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22.xml" ContentType="application/vnd.openxmlformats-officedocument.wordprocessingml.header+xml"/>
  <Override PartName="/word/footer4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3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F222D" w14:textId="77777777" w:rsidR="000F0BC0" w:rsidRPr="006953EA" w:rsidRDefault="006953EA" w:rsidP="004E7B8D">
      <w:pPr>
        <w:pStyle w:val="ARpublicationsubtitle"/>
      </w:pPr>
      <w:r>
        <w:rPr>
          <w:noProof/>
          <w:lang w:eastAsia="en-AU"/>
        </w:rPr>
        <w:drawing>
          <wp:anchor distT="0" distB="0" distL="114300" distR="114300" simplePos="0" relativeHeight="251656192" behindDoc="0" locked="1" layoutInCell="1" allowOverlap="1" wp14:anchorId="2ECFB9CF" wp14:editId="114738B5">
            <wp:simplePos x="0" y="0"/>
            <wp:positionH relativeFrom="page">
              <wp:align>left</wp:align>
            </wp:positionH>
            <wp:positionV relativeFrom="page">
              <wp:align>top</wp:align>
            </wp:positionV>
            <wp:extent cx="7563600" cy="10694520"/>
            <wp:effectExtent l="0" t="0" r="0" b="0"/>
            <wp:wrapNone/>
            <wp:docPr id="21" name="Picture 21" descr="Department of Health and Human Services annual report 2018-19; Victoria State Government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07417_DHHS Annual Report 2018_19 Cover 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600" cy="10694520"/>
                    </a:xfrm>
                    <a:prstGeom prst="rect">
                      <a:avLst/>
                    </a:prstGeom>
                  </pic:spPr>
                </pic:pic>
              </a:graphicData>
            </a:graphic>
            <wp14:sizeRelH relativeFrom="page">
              <wp14:pctWidth>0</wp14:pctWidth>
            </wp14:sizeRelH>
            <wp14:sizeRelV relativeFrom="page">
              <wp14:pctHeight>0</wp14:pctHeight>
            </wp14:sizeRelV>
          </wp:anchor>
        </w:drawing>
      </w:r>
      <w:bookmarkStart w:id="0" w:name="_Hlk21859892"/>
      <w:r w:rsidR="000F0BC0" w:rsidRPr="006953EA">
        <w:t>Department of Health and Human Services</w:t>
      </w:r>
      <w:r w:rsidRPr="00E34BA4">
        <w:t xml:space="preserve"> annual report 2018–19</w:t>
      </w:r>
      <w:bookmarkEnd w:id="0"/>
    </w:p>
    <w:p w14:paraId="7DDEDA48" w14:textId="30518CDA" w:rsidR="008F1D0C" w:rsidRPr="007939DD" w:rsidRDefault="008F1D0C" w:rsidP="00150431">
      <w:pPr>
        <w:pStyle w:val="ARbody"/>
      </w:pPr>
    </w:p>
    <w:p w14:paraId="6968F65D" w14:textId="77777777" w:rsidR="00BC1D42" w:rsidRPr="007939DD" w:rsidRDefault="00BC1D42" w:rsidP="00150431">
      <w:pPr>
        <w:pStyle w:val="ARbody"/>
        <w:rPr>
          <w:szCs w:val="20"/>
        </w:rPr>
        <w:sectPr w:rsidR="00BC1D42" w:rsidRPr="007939DD" w:rsidSect="008F1D0C">
          <w:headerReference w:type="default" r:id="rId12"/>
          <w:endnotePr>
            <w:numFmt w:val="decimal"/>
          </w:endnotePr>
          <w:pgSz w:w="11900" w:h="16840" w:code="9"/>
          <w:pgMar w:top="5954" w:right="851" w:bottom="680" w:left="1134" w:header="510" w:footer="340" w:gutter="0"/>
          <w:pgNumType w:fmt="lowerRoman" w:start="1"/>
          <w:cols w:space="720"/>
          <w:titlePg/>
          <w:docGrid w:linePitch="326"/>
        </w:sectPr>
      </w:pPr>
    </w:p>
    <w:p w14:paraId="6CCF7D31" w14:textId="77777777" w:rsidR="00B35093" w:rsidRPr="00586EC6" w:rsidRDefault="00B35093" w:rsidP="00586EC6">
      <w:pPr>
        <w:pStyle w:val="ARbody"/>
        <w:rPr>
          <w:rStyle w:val="Strong"/>
        </w:rPr>
      </w:pPr>
      <w:r w:rsidRPr="00586EC6">
        <w:rPr>
          <w:rStyle w:val="Strong"/>
        </w:rPr>
        <w:lastRenderedPageBreak/>
        <w:t>The department proudly acknowledges Victoria</w:t>
      </w:r>
      <w:r w:rsidR="00917CDC" w:rsidRPr="00586EC6">
        <w:rPr>
          <w:rStyle w:val="Strong"/>
        </w:rPr>
        <w:t>’</w:t>
      </w:r>
      <w:r w:rsidRPr="00586EC6">
        <w:rPr>
          <w:rStyle w:val="Strong"/>
        </w:rPr>
        <w:t>s Aboriginal communi</w:t>
      </w:r>
      <w:r w:rsidR="00E96D52" w:rsidRPr="00586EC6">
        <w:rPr>
          <w:rStyle w:val="Strong"/>
        </w:rPr>
        <w:t>ties and their rich culture and </w:t>
      </w:r>
      <w:r w:rsidRPr="00586EC6">
        <w:rPr>
          <w:rStyle w:val="Strong"/>
        </w:rPr>
        <w:t>pays respect to their Elders past and present.</w:t>
      </w:r>
    </w:p>
    <w:p w14:paraId="6F02ADAB" w14:textId="77777777" w:rsidR="00B35093" w:rsidRPr="00586EC6" w:rsidRDefault="00B35093" w:rsidP="00586EC6">
      <w:pPr>
        <w:pStyle w:val="ARbody"/>
        <w:rPr>
          <w:rStyle w:val="Strong"/>
        </w:rPr>
      </w:pPr>
      <w:r w:rsidRPr="00586EC6">
        <w:rPr>
          <w:rStyle w:val="Strong"/>
        </w:rPr>
        <w:t>We acknowledge Aboriginal people as Australia</w:t>
      </w:r>
      <w:r w:rsidR="00917CDC" w:rsidRPr="00586EC6">
        <w:rPr>
          <w:rStyle w:val="Strong"/>
        </w:rPr>
        <w:t>’</w:t>
      </w:r>
      <w:r w:rsidRPr="00586EC6">
        <w:rPr>
          <w:rStyle w:val="Strong"/>
        </w:rPr>
        <w:t>s first peoples an</w:t>
      </w:r>
      <w:r w:rsidR="00E96D52" w:rsidRPr="00586EC6">
        <w:rPr>
          <w:rStyle w:val="Strong"/>
        </w:rPr>
        <w:t>d as the Traditional Owners and </w:t>
      </w:r>
      <w:r w:rsidRPr="00586EC6">
        <w:rPr>
          <w:rStyle w:val="Strong"/>
        </w:rPr>
        <w:t>custodians of the land and water on which we rely.</w:t>
      </w:r>
    </w:p>
    <w:p w14:paraId="54CD767A" w14:textId="77777777" w:rsidR="00B35093" w:rsidRPr="00586EC6" w:rsidRDefault="00B35093" w:rsidP="00586EC6">
      <w:pPr>
        <w:pStyle w:val="ARbody"/>
        <w:rPr>
          <w:rStyle w:val="Strong"/>
        </w:rPr>
      </w:pPr>
      <w:r w:rsidRPr="00586EC6">
        <w:rPr>
          <w:rStyle w:val="Strong"/>
        </w:rPr>
        <w:t>We recognise and value the ongoing contribution of Aboriginal people a</w:t>
      </w:r>
      <w:r w:rsidR="00E96D52" w:rsidRPr="00586EC6">
        <w:rPr>
          <w:rStyle w:val="Strong"/>
        </w:rPr>
        <w:t>nd communities to Victorian </w:t>
      </w:r>
      <w:r w:rsidRPr="00586EC6">
        <w:rPr>
          <w:rStyle w:val="Strong"/>
        </w:rPr>
        <w:t>life and how this enriches us.</w:t>
      </w:r>
    </w:p>
    <w:p w14:paraId="6946FBD0" w14:textId="77777777" w:rsidR="00B35093" w:rsidRPr="00586EC6" w:rsidRDefault="00B35093" w:rsidP="00586EC6">
      <w:pPr>
        <w:pStyle w:val="ARbody"/>
        <w:spacing w:after="2400"/>
        <w:rPr>
          <w:rStyle w:val="Strong"/>
        </w:rPr>
      </w:pPr>
      <w:r w:rsidRPr="00586EC6">
        <w:rPr>
          <w:rStyle w:val="Strong"/>
        </w:rPr>
        <w:t>We embrace the spirit of reconciliation, working towards the equal</w:t>
      </w:r>
      <w:r w:rsidR="008469F5" w:rsidRPr="00586EC6">
        <w:rPr>
          <w:rStyle w:val="Strong"/>
        </w:rPr>
        <w:t>ity of outcomes and ensuring an </w:t>
      </w:r>
      <w:r w:rsidRPr="00586EC6">
        <w:rPr>
          <w:rStyle w:val="Strong"/>
        </w:rPr>
        <w:t>equal voice.</w:t>
      </w:r>
    </w:p>
    <w:p w14:paraId="63373E11" w14:textId="18712413" w:rsidR="00107EA5" w:rsidRPr="00CC7A6B" w:rsidRDefault="00107EA5" w:rsidP="00107EA5">
      <w:pPr>
        <w:pStyle w:val="ARaccessibilitypara"/>
      </w:pPr>
      <w:r w:rsidRPr="00CC7A6B">
        <w:t xml:space="preserve">To receive this publication in an accessible format, </w:t>
      </w:r>
      <w:hyperlink r:id="rId13" w:history="1">
        <w:r w:rsidRPr="00CC7A6B">
          <w:rPr>
            <w:rStyle w:val="Hyperlink"/>
          </w:rPr>
          <w:t>email corporate reporting</w:t>
        </w:r>
      </w:hyperlink>
      <w:r w:rsidRPr="00CC7A6B">
        <w:t xml:space="preserve"> &lt;corporate.reporting@dhhs.vic.gov.au&gt;.</w:t>
      </w:r>
    </w:p>
    <w:p w14:paraId="5954F468" w14:textId="77777777" w:rsidR="00107EA5" w:rsidRPr="00CC7A6B" w:rsidRDefault="00107EA5" w:rsidP="00107EA5">
      <w:pPr>
        <w:pStyle w:val="ARbody"/>
      </w:pPr>
      <w:r w:rsidRPr="00CC7A6B">
        <w:t>Authorised and published by the Victorian Government, 1 Treasury Place, Melbourne.</w:t>
      </w:r>
    </w:p>
    <w:p w14:paraId="2B3118A4" w14:textId="77777777" w:rsidR="00C35260" w:rsidRDefault="00107EA5" w:rsidP="00107EA5">
      <w:pPr>
        <w:pStyle w:val="ARbody"/>
      </w:pPr>
      <w:r w:rsidRPr="00CC7A6B">
        <w:t xml:space="preserve">© State of Victoria, Australia (Department of Health and Human Services), </w:t>
      </w:r>
      <w:r w:rsidR="00F51637">
        <w:t>October</w:t>
      </w:r>
      <w:r w:rsidRPr="00CC7A6B">
        <w:t xml:space="preserve"> 201</w:t>
      </w:r>
      <w:r w:rsidR="00F51637">
        <w:t>9</w:t>
      </w:r>
      <w:r w:rsidRPr="00CC7A6B">
        <w:t>.</w:t>
      </w:r>
    </w:p>
    <w:p w14:paraId="158B23C6" w14:textId="77777777" w:rsidR="00107EA5" w:rsidRPr="00CC7A6B" w:rsidRDefault="00107EA5" w:rsidP="00107EA5">
      <w:pPr>
        <w:spacing w:line="260" w:lineRule="atLeast"/>
        <w:rPr>
          <w:rFonts w:eastAsia="Times" w:cs="Arial"/>
        </w:rPr>
      </w:pPr>
      <w:r w:rsidRPr="00CC7A6B">
        <w:rPr>
          <w:rFonts w:eastAsia="Times" w:cs="Arial"/>
          <w:noProof/>
          <w:sz w:val="16"/>
          <w:szCs w:val="16"/>
        </w:rPr>
        <w:drawing>
          <wp:inline distT="0" distB="0" distL="0" distR="0" wp14:anchorId="324D7B72" wp14:editId="61858321">
            <wp:extent cx="1233170" cy="425450"/>
            <wp:effectExtent l="0" t="0" r="5080" b="0"/>
            <wp:docPr id="6" name="Picture 6"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3170" cy="425450"/>
                    </a:xfrm>
                    <a:prstGeom prst="rect">
                      <a:avLst/>
                    </a:prstGeom>
                    <a:noFill/>
                    <a:ln>
                      <a:noFill/>
                    </a:ln>
                  </pic:spPr>
                </pic:pic>
              </a:graphicData>
            </a:graphic>
          </wp:inline>
        </w:drawing>
      </w:r>
    </w:p>
    <w:p w14:paraId="15E80E64" w14:textId="00DED6CD" w:rsidR="00107EA5" w:rsidRPr="00CC7A6B" w:rsidRDefault="00107EA5" w:rsidP="00107EA5">
      <w:pPr>
        <w:pStyle w:val="ARbody"/>
      </w:pPr>
      <w:r w:rsidRPr="00CC7A6B">
        <w:t>With the exception of any images, photographs or branding (including, but not limited to the Victorian Coat of Arms, the Victorian Government logo or the Department of Health and Human Services logo), this work,</w:t>
      </w:r>
      <w:r w:rsidRPr="00CC7A6B">
        <w:rPr>
          <w:i/>
        </w:rPr>
        <w:t xml:space="preserve"> Department of Health and Human Services</w:t>
      </w:r>
      <w:r w:rsidR="008D59CC" w:rsidRPr="008D59CC">
        <w:t xml:space="preserve"> </w:t>
      </w:r>
      <w:r w:rsidR="008D59CC">
        <w:rPr>
          <w:i/>
        </w:rPr>
        <w:t>a</w:t>
      </w:r>
      <w:r w:rsidR="008D59CC" w:rsidRPr="008D59CC">
        <w:rPr>
          <w:i/>
        </w:rPr>
        <w:t>nnual report</w:t>
      </w:r>
      <w:r w:rsidR="008D59CC">
        <w:rPr>
          <w:i/>
        </w:rPr>
        <w:t xml:space="preserve"> 2018–19</w:t>
      </w:r>
      <w:r w:rsidRPr="00CC7A6B">
        <w:t>, is licensed under a Creative Commons Attribution 4.0 licence.</w:t>
      </w:r>
    </w:p>
    <w:p w14:paraId="027CD34C" w14:textId="47819F8E" w:rsidR="00107EA5" w:rsidRPr="00CC7A6B" w:rsidRDefault="00107EA5" w:rsidP="00107EA5">
      <w:pPr>
        <w:pStyle w:val="ARbody"/>
      </w:pPr>
      <w:r w:rsidRPr="00CC7A6B">
        <w:t xml:space="preserve">The terms and conditions of this licence, including disclaimer of warranties and limitation of liability are available at </w:t>
      </w:r>
      <w:hyperlink r:id="rId16" w:history="1">
        <w:r w:rsidRPr="00CC7A6B">
          <w:rPr>
            <w:rStyle w:val="Hyperlink"/>
          </w:rPr>
          <w:t>Creative Commons Attribution 4.0 International</w:t>
        </w:r>
      </w:hyperlink>
      <w:r w:rsidRPr="00CC7A6B">
        <w:t xml:space="preserve"> &lt;https://creativecommons.org/licenses/by/4.0/legalcode&gt;.</w:t>
      </w:r>
    </w:p>
    <w:p w14:paraId="09C2AA3C" w14:textId="77777777" w:rsidR="00107EA5" w:rsidRPr="00CC7A6B" w:rsidRDefault="00107EA5" w:rsidP="00107EA5">
      <w:pPr>
        <w:pStyle w:val="ARbody"/>
      </w:pPr>
      <w:r w:rsidRPr="00CC7A6B">
        <w:t>You are free to reuse the work under that licence, on the condition that you credit the State of Victoria, Australia (Department of Health and Human Services) as the author and/or own</w:t>
      </w:r>
      <w:r w:rsidR="00E96D52">
        <w:t>er of the work, indicate if any </w:t>
      </w:r>
      <w:r w:rsidRPr="00CC7A6B">
        <w:t>changes have been made to the work and comply with the other licence terms.</w:t>
      </w:r>
    </w:p>
    <w:p w14:paraId="0C0965F1" w14:textId="77777777" w:rsidR="00107EA5" w:rsidRPr="00CC7A6B" w:rsidRDefault="00107EA5" w:rsidP="00107EA5">
      <w:pPr>
        <w:pStyle w:val="ARbody"/>
      </w:pPr>
      <w:r w:rsidRPr="00CC7A6B">
        <w:t xml:space="preserve">In this document, </w:t>
      </w:r>
      <w:r w:rsidR="00917CDC">
        <w:t>‘</w:t>
      </w:r>
      <w:r w:rsidRPr="00CC7A6B">
        <w:t>Aboriginal</w:t>
      </w:r>
      <w:r w:rsidR="00917CDC">
        <w:t>’</w:t>
      </w:r>
      <w:r w:rsidRPr="00CC7A6B">
        <w:t xml:space="preserve"> refers to both Aboriginal and Torres Strait Islander people. </w:t>
      </w:r>
      <w:r w:rsidR="00917CDC">
        <w:t>‘</w:t>
      </w:r>
      <w:r w:rsidRPr="00CC7A6B">
        <w:t>Indigenous</w:t>
      </w:r>
      <w:r w:rsidR="00917CDC">
        <w:t>’</w:t>
      </w:r>
      <w:r w:rsidR="00E96D52">
        <w:t xml:space="preserve"> or </w:t>
      </w:r>
      <w:r w:rsidR="00917CDC">
        <w:t>‘</w:t>
      </w:r>
      <w:r w:rsidRPr="00CC7A6B">
        <w:t>Koori/Koorie</w:t>
      </w:r>
      <w:r w:rsidR="00917CDC">
        <w:t>’</w:t>
      </w:r>
      <w:r w:rsidRPr="00CC7A6B">
        <w:t xml:space="preserve"> is retained when part of the title of a report, program or quotation.</w:t>
      </w:r>
    </w:p>
    <w:p w14:paraId="5F98841D" w14:textId="77777777" w:rsidR="00107EA5" w:rsidRPr="00CC7A6B" w:rsidRDefault="00107EA5" w:rsidP="00107EA5">
      <w:pPr>
        <w:pStyle w:val="ARbody"/>
      </w:pPr>
      <w:r w:rsidRPr="00CC7A6B">
        <w:t>ISSN 2205-5398 (print)</w:t>
      </w:r>
    </w:p>
    <w:p w14:paraId="7911389B" w14:textId="77777777" w:rsidR="00107EA5" w:rsidRPr="00CC7A6B" w:rsidRDefault="00107EA5" w:rsidP="00107EA5">
      <w:pPr>
        <w:pStyle w:val="ARbody"/>
      </w:pPr>
      <w:r w:rsidRPr="00CC7A6B">
        <w:t>ISSN 2205-5401 (online)</w:t>
      </w:r>
    </w:p>
    <w:p w14:paraId="24B59715" w14:textId="52D2DC55" w:rsidR="00107EA5" w:rsidRPr="00CC7A6B" w:rsidRDefault="00107EA5" w:rsidP="00107EA5">
      <w:pPr>
        <w:pStyle w:val="ARbody"/>
        <w:rPr>
          <w:szCs w:val="20"/>
        </w:rPr>
      </w:pPr>
      <w:r w:rsidRPr="00CC7A6B">
        <w:rPr>
          <w:szCs w:val="19"/>
        </w:rPr>
        <w:t xml:space="preserve">Available at </w:t>
      </w:r>
      <w:hyperlink r:id="rId17" w:history="1">
        <w:r w:rsidRPr="00CC7A6B">
          <w:rPr>
            <w:rStyle w:val="Hyperlink"/>
          </w:rPr>
          <w:t>Department of Health and Human Services annual reports</w:t>
        </w:r>
      </w:hyperlink>
      <w:r w:rsidRPr="00CC7A6B">
        <w:rPr>
          <w:szCs w:val="19"/>
        </w:rPr>
        <w:t xml:space="preserve"> &lt;</w:t>
      </w:r>
      <w:r w:rsidRPr="00CC7A6B">
        <w:rPr>
          <w:szCs w:val="20"/>
        </w:rPr>
        <w:t>https://www.dhhs.vic.gov.au/publications/annual-reports&gt;</w:t>
      </w:r>
    </w:p>
    <w:p w14:paraId="6571D55F" w14:textId="77777777" w:rsidR="001719E6" w:rsidRDefault="00107EA5" w:rsidP="001719E6">
      <w:pPr>
        <w:pStyle w:val="ARbody"/>
      </w:pPr>
      <w:r w:rsidRPr="00CC7A6B">
        <w:rPr>
          <w:lang w:eastAsia="en-AU"/>
        </w:rPr>
        <w:t xml:space="preserve">Printed by </w:t>
      </w:r>
      <w:r w:rsidR="007771DD" w:rsidRPr="007771DD">
        <w:rPr>
          <w:lang w:eastAsia="en-AU"/>
        </w:rPr>
        <w:t>Waratah Group</w:t>
      </w:r>
      <w:r w:rsidR="000C3AC4">
        <w:rPr>
          <w:lang w:eastAsia="en-AU"/>
        </w:rPr>
        <w:t xml:space="preserve">, </w:t>
      </w:r>
      <w:r w:rsidR="000C3AC4" w:rsidRPr="000C3AC4">
        <w:rPr>
          <w:lang w:eastAsia="en-AU"/>
        </w:rPr>
        <w:t>Port Melbourne</w:t>
      </w:r>
      <w:r w:rsidR="007771DD">
        <w:rPr>
          <w:lang w:eastAsia="en-AU"/>
        </w:rPr>
        <w:t xml:space="preserve"> </w:t>
      </w:r>
      <w:r w:rsidRPr="00CC7A6B">
        <w:rPr>
          <w:lang w:eastAsia="en-AU"/>
        </w:rPr>
        <w:t xml:space="preserve">on </w:t>
      </w:r>
      <w:bookmarkStart w:id="1" w:name="_Hlk20400670"/>
      <w:r w:rsidRPr="00CC7A6B">
        <w:rPr>
          <w:lang w:eastAsia="en-AU"/>
        </w:rPr>
        <w:t>100 per cent recycled, FSC (Forestry Stewardship Council) certified and carbon neutral paper.</w:t>
      </w:r>
      <w:bookmarkEnd w:id="1"/>
      <w:r w:rsidRPr="00CC7A6B">
        <w:rPr>
          <w:lang w:eastAsia="en-AU"/>
        </w:rPr>
        <w:t xml:space="preserve"> </w:t>
      </w:r>
      <w:r w:rsidRPr="00CC7A6B">
        <w:rPr>
          <w:szCs w:val="19"/>
        </w:rPr>
        <w:t>(</w:t>
      </w:r>
      <w:r w:rsidR="00A926EA">
        <w:rPr>
          <w:szCs w:val="19"/>
        </w:rPr>
        <w:t>1907417</w:t>
      </w:r>
      <w:r w:rsidRPr="00CC7A6B">
        <w:rPr>
          <w:szCs w:val="19"/>
        </w:rPr>
        <w:t>)</w:t>
      </w:r>
      <w:bookmarkStart w:id="2" w:name="_Ref492905920"/>
    </w:p>
    <w:p w14:paraId="5B13880F" w14:textId="77777777" w:rsidR="00504132" w:rsidRDefault="00504132" w:rsidP="004B3C07">
      <w:pPr>
        <w:pStyle w:val="Heading1"/>
        <w:ind w:right="4536"/>
        <w:sectPr w:rsidR="00504132" w:rsidSect="00150431">
          <w:headerReference w:type="even" r:id="rId18"/>
          <w:headerReference w:type="default" r:id="rId19"/>
          <w:footerReference w:type="even" r:id="rId20"/>
          <w:footerReference w:type="default" r:id="rId21"/>
          <w:endnotePr>
            <w:numFmt w:val="decimal"/>
          </w:endnotePr>
          <w:pgSz w:w="11900" w:h="16840" w:code="9"/>
          <w:pgMar w:top="1985" w:right="851" w:bottom="851" w:left="1418" w:header="510" w:footer="340" w:gutter="0"/>
          <w:cols w:space="720"/>
        </w:sectPr>
      </w:pPr>
    </w:p>
    <w:p w14:paraId="17578C88" w14:textId="77777777" w:rsidR="00504132" w:rsidRDefault="006C578F" w:rsidP="004B3C07">
      <w:pPr>
        <w:pStyle w:val="Heading1"/>
        <w:ind w:right="4536"/>
      </w:pPr>
      <w:bookmarkStart w:id="3" w:name="_Toc21682714"/>
      <w:bookmarkStart w:id="4" w:name="_Ref21957502"/>
      <w:r>
        <w:rPr>
          <w:noProof/>
          <w:lang w:eastAsia="en-AU"/>
        </w:rPr>
        <w:lastRenderedPageBreak/>
        <w:drawing>
          <wp:anchor distT="0" distB="0" distL="114300" distR="114300" simplePos="0" relativeHeight="251640832" behindDoc="1" locked="1" layoutInCell="1" allowOverlap="1" wp14:anchorId="5A04641A" wp14:editId="75810E7C">
            <wp:simplePos x="0" y="0"/>
            <wp:positionH relativeFrom="page">
              <wp:align>right</wp:align>
            </wp:positionH>
            <wp:positionV relativeFrom="page">
              <wp:align>top</wp:align>
            </wp:positionV>
            <wp:extent cx="3133080" cy="2700000"/>
            <wp:effectExtent l="0" t="0" r="0" b="5715"/>
            <wp:wrapNone/>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1907417_DHHS Annual Report Section start 87x75m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3080" cy="2700000"/>
                    </a:xfrm>
                    <a:prstGeom prst="rect">
                      <a:avLst/>
                    </a:prstGeom>
                  </pic:spPr>
                </pic:pic>
              </a:graphicData>
            </a:graphic>
            <wp14:sizeRelH relativeFrom="page">
              <wp14:pctWidth>0</wp14:pctWidth>
            </wp14:sizeRelH>
            <wp14:sizeRelV relativeFrom="page">
              <wp14:pctHeight>0</wp14:pctHeight>
            </wp14:sizeRelV>
          </wp:anchor>
        </w:drawing>
      </w:r>
      <w:r w:rsidR="0092299C" w:rsidRPr="007939DD">
        <w:t>Responsible body</w:t>
      </w:r>
      <w:r w:rsidR="00917CDC">
        <w:t>’</w:t>
      </w:r>
      <w:r w:rsidR="0092299C" w:rsidRPr="007939DD">
        <w:t>s declaration</w:t>
      </w:r>
      <w:bookmarkEnd w:id="2"/>
      <w:bookmarkEnd w:id="3"/>
      <w:bookmarkEnd w:id="4"/>
    </w:p>
    <w:p w14:paraId="14B6F229" w14:textId="77777777" w:rsidR="00FC1209" w:rsidRPr="00FC1209" w:rsidRDefault="00FC1209" w:rsidP="00FC1209">
      <w:pPr>
        <w:pStyle w:val="ARbody"/>
        <w:sectPr w:rsidR="00FC1209" w:rsidRPr="00FC1209" w:rsidSect="00FF7677">
          <w:footerReference w:type="default" r:id="rId23"/>
          <w:endnotePr>
            <w:numFmt w:val="decimal"/>
          </w:endnotePr>
          <w:pgSz w:w="11900" w:h="16840" w:code="9"/>
          <w:pgMar w:top="3232" w:right="851" w:bottom="851" w:left="1418" w:header="510" w:footer="340" w:gutter="0"/>
          <w:pgNumType w:start="3"/>
          <w:cols w:space="720"/>
        </w:sectPr>
      </w:pPr>
    </w:p>
    <w:p w14:paraId="4974BD93" w14:textId="77777777" w:rsidR="00F51637" w:rsidRDefault="00F51637" w:rsidP="00F51637">
      <w:pPr>
        <w:pStyle w:val="ARbody"/>
      </w:pPr>
      <w:r>
        <w:t>Jenny Mikakos MP</w:t>
      </w:r>
      <w:r>
        <w:br/>
        <w:t>Minister for Health, Minister for Ambulance Services</w:t>
      </w:r>
    </w:p>
    <w:p w14:paraId="1E999076" w14:textId="77777777" w:rsidR="00F51637" w:rsidRDefault="00F51637" w:rsidP="00F51637">
      <w:pPr>
        <w:pStyle w:val="ARbody"/>
      </w:pPr>
      <w:r>
        <w:t>Martin Foley MP</w:t>
      </w:r>
      <w:r>
        <w:br/>
        <w:t>Minister for Mental Health</w:t>
      </w:r>
    </w:p>
    <w:p w14:paraId="0447D377" w14:textId="77777777" w:rsidR="00F51637" w:rsidRDefault="00F51637" w:rsidP="00F51637">
      <w:pPr>
        <w:pStyle w:val="ARbody"/>
      </w:pPr>
      <w:r>
        <w:t>The Hon. Richard Wynne MP</w:t>
      </w:r>
      <w:r>
        <w:br/>
        <w:t>Minister for Housing</w:t>
      </w:r>
    </w:p>
    <w:p w14:paraId="5288327A" w14:textId="77777777" w:rsidR="00F51637" w:rsidRDefault="00F51637" w:rsidP="00F51637">
      <w:pPr>
        <w:pStyle w:val="ARbody"/>
      </w:pPr>
      <w:r>
        <w:t xml:space="preserve">The Hon. Luke Donnellan MP </w:t>
      </w:r>
      <w:r>
        <w:br/>
        <w:t>Minister for Child Protection</w:t>
      </w:r>
      <w:r>
        <w:br/>
        <w:t>Minister for Disability, Ageing and Carers</w:t>
      </w:r>
    </w:p>
    <w:p w14:paraId="4E055FA4" w14:textId="77777777" w:rsidR="00E30B07" w:rsidRDefault="00F51637" w:rsidP="00F51637">
      <w:pPr>
        <w:pStyle w:val="ARbody"/>
      </w:pPr>
      <w:r>
        <w:t>Gabrielle Williams MP</w:t>
      </w:r>
      <w:r>
        <w:br/>
        <w:t>Minister for the Prevention of Family Violence</w:t>
      </w:r>
    </w:p>
    <w:p w14:paraId="3F32F0F1" w14:textId="77777777" w:rsidR="00F51637" w:rsidRPr="007939DD" w:rsidRDefault="00F51637" w:rsidP="00F51637">
      <w:pPr>
        <w:pStyle w:val="ARbody"/>
      </w:pPr>
    </w:p>
    <w:p w14:paraId="205229A4" w14:textId="77777777" w:rsidR="0092299C" w:rsidRPr="007939DD" w:rsidRDefault="0092299C" w:rsidP="00F51637">
      <w:pPr>
        <w:pStyle w:val="ARbody"/>
      </w:pPr>
      <w:r w:rsidRPr="007939DD">
        <w:t xml:space="preserve">Dear </w:t>
      </w:r>
      <w:r w:rsidR="009E79D5" w:rsidRPr="007939DD">
        <w:t>m</w:t>
      </w:r>
      <w:r w:rsidRPr="007939DD">
        <w:t>inisters</w:t>
      </w:r>
    </w:p>
    <w:p w14:paraId="0B143520" w14:textId="77777777" w:rsidR="0092299C" w:rsidRPr="007939DD" w:rsidRDefault="0092299C" w:rsidP="00E15DF2">
      <w:pPr>
        <w:pStyle w:val="ARbody"/>
      </w:pPr>
      <w:r w:rsidRPr="007939DD">
        <w:t xml:space="preserve">In accordance with the </w:t>
      </w:r>
      <w:r w:rsidRPr="007939DD">
        <w:rPr>
          <w:i/>
        </w:rPr>
        <w:t>Financial Management Act 1994</w:t>
      </w:r>
      <w:r w:rsidRPr="007939DD">
        <w:t xml:space="preserve">, I am pleased to submit to you the </w:t>
      </w:r>
      <w:r w:rsidRPr="007939DD">
        <w:br/>
        <w:t>Department of Health and Human Services annual r</w:t>
      </w:r>
      <w:r w:rsidR="009E79D5" w:rsidRPr="007939DD">
        <w:t>eport for the period 1 July 201</w:t>
      </w:r>
      <w:r w:rsidR="00F51637">
        <w:t>8</w:t>
      </w:r>
      <w:r w:rsidRPr="007939DD">
        <w:t xml:space="preserve"> to 30 June 201</w:t>
      </w:r>
      <w:r w:rsidR="00F51637">
        <w:t>9</w:t>
      </w:r>
      <w:r w:rsidRPr="007939DD">
        <w:t>.</w:t>
      </w:r>
    </w:p>
    <w:p w14:paraId="2146B71D" w14:textId="77777777" w:rsidR="004D5677" w:rsidRPr="007939DD" w:rsidRDefault="00FC509D" w:rsidP="00C80D5E">
      <w:pPr>
        <w:pStyle w:val="ARbodyaftertable"/>
        <w:spacing w:before="400"/>
      </w:pPr>
      <w:r w:rsidRPr="007939DD">
        <w:rPr>
          <w:noProof/>
          <w:lang w:eastAsia="en-AU"/>
        </w:rPr>
        <w:drawing>
          <wp:inline distT="0" distB="0" distL="0" distR="0" wp14:anchorId="7315B177" wp14:editId="22461D57">
            <wp:extent cx="1204595" cy="672465"/>
            <wp:effectExtent l="0" t="0" r="0" b="0"/>
            <wp:docPr id="26" name="Picture 26" descr="Kim Peak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m Peake signa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4595" cy="672465"/>
                    </a:xfrm>
                    <a:prstGeom prst="rect">
                      <a:avLst/>
                    </a:prstGeom>
                    <a:noFill/>
                    <a:ln>
                      <a:noFill/>
                    </a:ln>
                  </pic:spPr>
                </pic:pic>
              </a:graphicData>
            </a:graphic>
          </wp:inline>
        </w:drawing>
      </w:r>
    </w:p>
    <w:p w14:paraId="30EB86A3" w14:textId="77777777" w:rsidR="0092299C" w:rsidRPr="007939DD" w:rsidRDefault="0092299C" w:rsidP="00E15DF2">
      <w:pPr>
        <w:pStyle w:val="ARbodynospace"/>
      </w:pPr>
      <w:r w:rsidRPr="007939DD">
        <w:t>Kym Peake</w:t>
      </w:r>
    </w:p>
    <w:p w14:paraId="5698F068" w14:textId="77777777" w:rsidR="0092299C" w:rsidRPr="007939DD" w:rsidRDefault="0092299C" w:rsidP="00E15DF2">
      <w:pPr>
        <w:pStyle w:val="ARbodynospace"/>
      </w:pPr>
      <w:r w:rsidRPr="007939DD">
        <w:t>Secretary</w:t>
      </w:r>
    </w:p>
    <w:p w14:paraId="444BB3C7" w14:textId="77777777" w:rsidR="0092299C" w:rsidRPr="007939DD" w:rsidRDefault="0092299C" w:rsidP="00E15DF2">
      <w:pPr>
        <w:pStyle w:val="ARbodynospace"/>
      </w:pPr>
      <w:r w:rsidRPr="007939DD">
        <w:t>Department of Health and Human Services</w:t>
      </w:r>
    </w:p>
    <w:p w14:paraId="273CA5A6" w14:textId="77777777" w:rsidR="00504132" w:rsidRPr="00504132" w:rsidRDefault="00504132" w:rsidP="00504132">
      <w:pPr>
        <w:pStyle w:val="ARbody"/>
      </w:pPr>
      <w:r w:rsidRPr="00504132">
        <w:br w:type="page"/>
      </w:r>
    </w:p>
    <w:p w14:paraId="5CAB884D" w14:textId="77777777" w:rsidR="0092299C" w:rsidRPr="007939DD" w:rsidRDefault="0092299C" w:rsidP="00D90FA1">
      <w:pPr>
        <w:pStyle w:val="ARTOCheading"/>
        <w:rPr>
          <w:lang w:val="en-AU"/>
        </w:rPr>
      </w:pPr>
      <w:r w:rsidRPr="007939DD">
        <w:rPr>
          <w:lang w:val="en-AU"/>
        </w:rPr>
        <w:lastRenderedPageBreak/>
        <w:t>Contents</w:t>
      </w:r>
    </w:p>
    <w:p w14:paraId="288CC56A" w14:textId="48B0AAB4" w:rsidR="00CC2F0B" w:rsidRDefault="0092299C">
      <w:pPr>
        <w:pStyle w:val="TOC1"/>
        <w:rPr>
          <w:rFonts w:asciiTheme="minorHAnsi" w:hAnsiTheme="minorHAnsi"/>
          <w:sz w:val="22"/>
          <w:szCs w:val="22"/>
          <w:lang w:eastAsia="en-AU"/>
        </w:rPr>
      </w:pPr>
      <w:r w:rsidRPr="007939DD">
        <w:rPr>
          <w:noProof w:val="0"/>
          <w:color w:val="53565A"/>
          <w:sz w:val="22"/>
        </w:rPr>
        <w:fldChar w:fldCharType="begin"/>
      </w:r>
      <w:r w:rsidRPr="007939DD">
        <w:rPr>
          <w:noProof w:val="0"/>
        </w:rPr>
        <w:instrText xml:space="preserve"> TOC \o "1-1" \h \z \u </w:instrText>
      </w:r>
      <w:r w:rsidRPr="007939DD">
        <w:rPr>
          <w:noProof w:val="0"/>
          <w:color w:val="53565A"/>
          <w:sz w:val="22"/>
        </w:rPr>
        <w:fldChar w:fldCharType="separate"/>
      </w:r>
      <w:hyperlink w:anchor="_Toc21682714" w:history="1">
        <w:r w:rsidR="00CC2F0B" w:rsidRPr="00DC3E2E">
          <w:rPr>
            <w:rStyle w:val="Hyperlink"/>
          </w:rPr>
          <w:t>Responsible body’s declaration</w:t>
        </w:r>
        <w:r w:rsidR="00CC2F0B">
          <w:rPr>
            <w:webHidden/>
          </w:rPr>
          <w:tab/>
        </w:r>
        <w:r w:rsidR="00CC2F0B">
          <w:rPr>
            <w:webHidden/>
          </w:rPr>
          <w:fldChar w:fldCharType="begin"/>
        </w:r>
        <w:r w:rsidR="00CC2F0B">
          <w:rPr>
            <w:webHidden/>
          </w:rPr>
          <w:instrText xml:space="preserve"> PAGEREF _Toc21682714 \h </w:instrText>
        </w:r>
        <w:r w:rsidR="00CC2F0B">
          <w:rPr>
            <w:webHidden/>
          </w:rPr>
        </w:r>
        <w:r w:rsidR="00CC2F0B">
          <w:rPr>
            <w:webHidden/>
          </w:rPr>
          <w:fldChar w:fldCharType="separate"/>
        </w:r>
        <w:r w:rsidR="000179F2">
          <w:rPr>
            <w:webHidden/>
          </w:rPr>
          <w:t>3</w:t>
        </w:r>
        <w:r w:rsidR="00CC2F0B">
          <w:rPr>
            <w:webHidden/>
          </w:rPr>
          <w:fldChar w:fldCharType="end"/>
        </w:r>
      </w:hyperlink>
    </w:p>
    <w:p w14:paraId="3B7E43D5" w14:textId="413E7105" w:rsidR="00CC2F0B" w:rsidRDefault="00DE204B">
      <w:pPr>
        <w:pStyle w:val="TOC1"/>
        <w:rPr>
          <w:rFonts w:asciiTheme="minorHAnsi" w:hAnsiTheme="minorHAnsi"/>
          <w:sz w:val="22"/>
          <w:szCs w:val="22"/>
          <w:lang w:eastAsia="en-AU"/>
        </w:rPr>
      </w:pPr>
      <w:hyperlink w:anchor="_Toc21682715" w:history="1">
        <w:r w:rsidR="00CC2F0B" w:rsidRPr="00DC3E2E">
          <w:rPr>
            <w:rStyle w:val="Hyperlink"/>
          </w:rPr>
          <w:t>Secretary’s foreword</w:t>
        </w:r>
        <w:r w:rsidR="00CC2F0B">
          <w:rPr>
            <w:webHidden/>
          </w:rPr>
          <w:tab/>
        </w:r>
        <w:r w:rsidR="00CC2F0B">
          <w:rPr>
            <w:webHidden/>
          </w:rPr>
          <w:fldChar w:fldCharType="begin"/>
        </w:r>
        <w:r w:rsidR="00CC2F0B">
          <w:rPr>
            <w:webHidden/>
          </w:rPr>
          <w:instrText xml:space="preserve"> PAGEREF _Toc21682715 \h </w:instrText>
        </w:r>
        <w:r w:rsidR="00CC2F0B">
          <w:rPr>
            <w:webHidden/>
          </w:rPr>
        </w:r>
        <w:r w:rsidR="00CC2F0B">
          <w:rPr>
            <w:webHidden/>
          </w:rPr>
          <w:fldChar w:fldCharType="separate"/>
        </w:r>
        <w:r w:rsidR="000179F2">
          <w:rPr>
            <w:webHidden/>
          </w:rPr>
          <w:t>5</w:t>
        </w:r>
        <w:r w:rsidR="00CC2F0B">
          <w:rPr>
            <w:webHidden/>
          </w:rPr>
          <w:fldChar w:fldCharType="end"/>
        </w:r>
      </w:hyperlink>
    </w:p>
    <w:p w14:paraId="75FD116D" w14:textId="511492CD" w:rsidR="00CC2F0B" w:rsidRDefault="00DE204B">
      <w:pPr>
        <w:pStyle w:val="TOC1"/>
        <w:rPr>
          <w:rFonts w:asciiTheme="minorHAnsi" w:hAnsiTheme="minorHAnsi"/>
          <w:sz w:val="22"/>
          <w:szCs w:val="22"/>
          <w:lang w:eastAsia="en-AU"/>
        </w:rPr>
      </w:pPr>
      <w:hyperlink w:anchor="_Toc21682716" w:history="1">
        <w:r w:rsidR="00CC2F0B" w:rsidRPr="00DC3E2E">
          <w:rPr>
            <w:rStyle w:val="Hyperlink"/>
          </w:rPr>
          <w:t>Introduction</w:t>
        </w:r>
        <w:r w:rsidR="00CC2F0B">
          <w:rPr>
            <w:webHidden/>
          </w:rPr>
          <w:tab/>
        </w:r>
        <w:r w:rsidR="00CC2F0B">
          <w:rPr>
            <w:webHidden/>
          </w:rPr>
          <w:fldChar w:fldCharType="begin"/>
        </w:r>
        <w:r w:rsidR="00CC2F0B">
          <w:rPr>
            <w:webHidden/>
          </w:rPr>
          <w:instrText xml:space="preserve"> PAGEREF _Toc21682716 \h </w:instrText>
        </w:r>
        <w:r w:rsidR="00CC2F0B">
          <w:rPr>
            <w:webHidden/>
          </w:rPr>
        </w:r>
        <w:r w:rsidR="00CC2F0B">
          <w:rPr>
            <w:webHidden/>
          </w:rPr>
          <w:fldChar w:fldCharType="separate"/>
        </w:r>
        <w:r w:rsidR="000179F2">
          <w:rPr>
            <w:webHidden/>
          </w:rPr>
          <w:t>7</w:t>
        </w:r>
        <w:r w:rsidR="00CC2F0B">
          <w:rPr>
            <w:webHidden/>
          </w:rPr>
          <w:fldChar w:fldCharType="end"/>
        </w:r>
      </w:hyperlink>
    </w:p>
    <w:p w14:paraId="089274A4" w14:textId="262E26BB" w:rsidR="00CC2F0B" w:rsidRDefault="00DE204B">
      <w:pPr>
        <w:pStyle w:val="TOC1"/>
        <w:rPr>
          <w:rFonts w:asciiTheme="minorHAnsi" w:hAnsiTheme="minorHAnsi"/>
          <w:sz w:val="22"/>
          <w:szCs w:val="22"/>
          <w:lang w:eastAsia="en-AU"/>
        </w:rPr>
      </w:pPr>
      <w:hyperlink w:anchor="_Toc21682717" w:history="1">
        <w:r w:rsidR="00CC2F0B" w:rsidRPr="00DC3E2E">
          <w:rPr>
            <w:rStyle w:val="Hyperlink"/>
          </w:rPr>
          <w:t>The department’s ministers</w:t>
        </w:r>
        <w:r w:rsidR="00CC2F0B">
          <w:rPr>
            <w:webHidden/>
          </w:rPr>
          <w:tab/>
        </w:r>
        <w:r w:rsidR="00CC2F0B">
          <w:rPr>
            <w:webHidden/>
          </w:rPr>
          <w:fldChar w:fldCharType="begin"/>
        </w:r>
        <w:r w:rsidR="00CC2F0B">
          <w:rPr>
            <w:webHidden/>
          </w:rPr>
          <w:instrText xml:space="preserve"> PAGEREF _Toc21682717 \h </w:instrText>
        </w:r>
        <w:r w:rsidR="00CC2F0B">
          <w:rPr>
            <w:webHidden/>
          </w:rPr>
        </w:r>
        <w:r w:rsidR="00CC2F0B">
          <w:rPr>
            <w:webHidden/>
          </w:rPr>
          <w:fldChar w:fldCharType="separate"/>
        </w:r>
        <w:r w:rsidR="000179F2">
          <w:rPr>
            <w:webHidden/>
          </w:rPr>
          <w:t>17</w:t>
        </w:r>
        <w:r w:rsidR="00CC2F0B">
          <w:rPr>
            <w:webHidden/>
          </w:rPr>
          <w:fldChar w:fldCharType="end"/>
        </w:r>
      </w:hyperlink>
    </w:p>
    <w:p w14:paraId="75917CBC" w14:textId="592BC171" w:rsidR="00CC2F0B" w:rsidRDefault="00DE204B">
      <w:pPr>
        <w:pStyle w:val="TOC1"/>
        <w:rPr>
          <w:rFonts w:asciiTheme="minorHAnsi" w:hAnsiTheme="minorHAnsi"/>
          <w:sz w:val="22"/>
          <w:szCs w:val="22"/>
          <w:lang w:eastAsia="en-AU"/>
        </w:rPr>
      </w:pPr>
      <w:hyperlink w:anchor="_Toc21682718" w:history="1">
        <w:r w:rsidR="00CC2F0B" w:rsidRPr="00DC3E2E">
          <w:rPr>
            <w:rStyle w:val="Hyperlink"/>
          </w:rPr>
          <w:t>Year in review</w:t>
        </w:r>
        <w:r w:rsidR="00CC2F0B">
          <w:rPr>
            <w:webHidden/>
          </w:rPr>
          <w:tab/>
        </w:r>
        <w:r w:rsidR="00CC2F0B">
          <w:rPr>
            <w:webHidden/>
          </w:rPr>
          <w:fldChar w:fldCharType="begin"/>
        </w:r>
        <w:r w:rsidR="00CC2F0B">
          <w:rPr>
            <w:webHidden/>
          </w:rPr>
          <w:instrText xml:space="preserve"> PAGEREF _Toc21682718 \h </w:instrText>
        </w:r>
        <w:r w:rsidR="00CC2F0B">
          <w:rPr>
            <w:webHidden/>
          </w:rPr>
        </w:r>
        <w:r w:rsidR="00CC2F0B">
          <w:rPr>
            <w:webHidden/>
          </w:rPr>
          <w:fldChar w:fldCharType="separate"/>
        </w:r>
        <w:r w:rsidR="000179F2">
          <w:rPr>
            <w:webHidden/>
          </w:rPr>
          <w:t>21</w:t>
        </w:r>
        <w:r w:rsidR="00CC2F0B">
          <w:rPr>
            <w:webHidden/>
          </w:rPr>
          <w:fldChar w:fldCharType="end"/>
        </w:r>
      </w:hyperlink>
    </w:p>
    <w:p w14:paraId="696B2B3C" w14:textId="1417FA8E" w:rsidR="00CC2F0B" w:rsidRDefault="00DE204B">
      <w:pPr>
        <w:pStyle w:val="TOC1"/>
        <w:rPr>
          <w:rFonts w:asciiTheme="minorHAnsi" w:hAnsiTheme="minorHAnsi"/>
          <w:sz w:val="22"/>
          <w:szCs w:val="22"/>
          <w:lang w:eastAsia="en-AU"/>
        </w:rPr>
      </w:pPr>
      <w:hyperlink w:anchor="_Toc21682719" w:history="1">
        <w:r w:rsidR="00CC2F0B" w:rsidRPr="00DC3E2E">
          <w:rPr>
            <w:rStyle w:val="Hyperlink"/>
          </w:rPr>
          <w:t>Performance reporting</w:t>
        </w:r>
        <w:r w:rsidR="00CC2F0B">
          <w:rPr>
            <w:webHidden/>
          </w:rPr>
          <w:tab/>
        </w:r>
        <w:r w:rsidR="00CC2F0B">
          <w:rPr>
            <w:webHidden/>
          </w:rPr>
          <w:fldChar w:fldCharType="begin"/>
        </w:r>
        <w:r w:rsidR="00CC2F0B">
          <w:rPr>
            <w:webHidden/>
          </w:rPr>
          <w:instrText xml:space="preserve"> PAGEREF _Toc21682719 \h </w:instrText>
        </w:r>
        <w:r w:rsidR="00CC2F0B">
          <w:rPr>
            <w:webHidden/>
          </w:rPr>
        </w:r>
        <w:r w:rsidR="00CC2F0B">
          <w:rPr>
            <w:webHidden/>
          </w:rPr>
          <w:fldChar w:fldCharType="separate"/>
        </w:r>
        <w:r w:rsidR="000179F2">
          <w:rPr>
            <w:webHidden/>
          </w:rPr>
          <w:t>75</w:t>
        </w:r>
        <w:r w:rsidR="00CC2F0B">
          <w:rPr>
            <w:webHidden/>
          </w:rPr>
          <w:fldChar w:fldCharType="end"/>
        </w:r>
      </w:hyperlink>
    </w:p>
    <w:p w14:paraId="4F668F36" w14:textId="60B8D8A1" w:rsidR="00CC2F0B" w:rsidRDefault="00DE204B">
      <w:pPr>
        <w:pStyle w:val="TOC1"/>
        <w:rPr>
          <w:rFonts w:asciiTheme="minorHAnsi" w:hAnsiTheme="minorHAnsi"/>
          <w:sz w:val="22"/>
          <w:szCs w:val="22"/>
          <w:lang w:eastAsia="en-AU"/>
        </w:rPr>
      </w:pPr>
      <w:hyperlink w:anchor="_Toc21682720" w:history="1">
        <w:r w:rsidR="00CC2F0B" w:rsidRPr="00DC3E2E">
          <w:rPr>
            <w:rStyle w:val="Hyperlink"/>
          </w:rPr>
          <w:t>Finance and budgetary performance</w:t>
        </w:r>
        <w:r w:rsidR="00CC2F0B">
          <w:rPr>
            <w:webHidden/>
          </w:rPr>
          <w:tab/>
        </w:r>
        <w:r w:rsidR="00CC2F0B">
          <w:rPr>
            <w:webHidden/>
          </w:rPr>
          <w:fldChar w:fldCharType="begin"/>
        </w:r>
        <w:r w:rsidR="00CC2F0B">
          <w:rPr>
            <w:webHidden/>
          </w:rPr>
          <w:instrText xml:space="preserve"> PAGEREF _Toc21682720 \h </w:instrText>
        </w:r>
        <w:r w:rsidR="00CC2F0B">
          <w:rPr>
            <w:webHidden/>
          </w:rPr>
        </w:r>
        <w:r w:rsidR="00CC2F0B">
          <w:rPr>
            <w:webHidden/>
          </w:rPr>
          <w:fldChar w:fldCharType="separate"/>
        </w:r>
        <w:r w:rsidR="000179F2">
          <w:rPr>
            <w:webHidden/>
          </w:rPr>
          <w:t>101</w:t>
        </w:r>
        <w:r w:rsidR="00CC2F0B">
          <w:rPr>
            <w:webHidden/>
          </w:rPr>
          <w:fldChar w:fldCharType="end"/>
        </w:r>
      </w:hyperlink>
    </w:p>
    <w:p w14:paraId="2C90F278" w14:textId="19B1822A" w:rsidR="00CC2F0B" w:rsidRDefault="00DE204B">
      <w:pPr>
        <w:pStyle w:val="TOC1"/>
        <w:rPr>
          <w:rFonts w:asciiTheme="minorHAnsi" w:hAnsiTheme="minorHAnsi"/>
          <w:sz w:val="22"/>
          <w:szCs w:val="22"/>
          <w:lang w:eastAsia="en-AU"/>
        </w:rPr>
      </w:pPr>
      <w:hyperlink w:anchor="_Toc21682721" w:history="1">
        <w:r w:rsidR="00CC2F0B" w:rsidRPr="00DC3E2E">
          <w:rPr>
            <w:rStyle w:val="Hyperlink"/>
          </w:rPr>
          <w:t>Governance</w:t>
        </w:r>
        <w:r w:rsidR="00CC2F0B">
          <w:rPr>
            <w:webHidden/>
          </w:rPr>
          <w:tab/>
        </w:r>
        <w:r w:rsidR="00CC2F0B">
          <w:rPr>
            <w:webHidden/>
          </w:rPr>
          <w:fldChar w:fldCharType="begin"/>
        </w:r>
        <w:r w:rsidR="00CC2F0B">
          <w:rPr>
            <w:webHidden/>
          </w:rPr>
          <w:instrText xml:space="preserve"> PAGEREF _Toc21682721 \h </w:instrText>
        </w:r>
        <w:r w:rsidR="00CC2F0B">
          <w:rPr>
            <w:webHidden/>
          </w:rPr>
        </w:r>
        <w:r w:rsidR="00CC2F0B">
          <w:rPr>
            <w:webHidden/>
          </w:rPr>
          <w:fldChar w:fldCharType="separate"/>
        </w:r>
        <w:r w:rsidR="000179F2">
          <w:rPr>
            <w:webHidden/>
          </w:rPr>
          <w:t>103</w:t>
        </w:r>
        <w:r w:rsidR="00CC2F0B">
          <w:rPr>
            <w:webHidden/>
          </w:rPr>
          <w:fldChar w:fldCharType="end"/>
        </w:r>
      </w:hyperlink>
    </w:p>
    <w:p w14:paraId="4FB2B5FE" w14:textId="6C91E216" w:rsidR="00CC2F0B" w:rsidRDefault="00DE204B">
      <w:pPr>
        <w:pStyle w:val="TOC1"/>
        <w:rPr>
          <w:rFonts w:asciiTheme="minorHAnsi" w:hAnsiTheme="minorHAnsi"/>
          <w:sz w:val="22"/>
          <w:szCs w:val="22"/>
          <w:lang w:eastAsia="en-AU"/>
        </w:rPr>
      </w:pPr>
      <w:hyperlink w:anchor="_Toc21682722" w:history="1">
        <w:r w:rsidR="00CC2F0B" w:rsidRPr="00DC3E2E">
          <w:rPr>
            <w:rStyle w:val="Hyperlink"/>
          </w:rPr>
          <w:t>People</w:t>
        </w:r>
        <w:r w:rsidR="00CC2F0B">
          <w:rPr>
            <w:webHidden/>
          </w:rPr>
          <w:tab/>
        </w:r>
        <w:r w:rsidR="00CC2F0B">
          <w:rPr>
            <w:webHidden/>
          </w:rPr>
          <w:fldChar w:fldCharType="begin"/>
        </w:r>
        <w:r w:rsidR="00CC2F0B">
          <w:rPr>
            <w:webHidden/>
          </w:rPr>
          <w:instrText xml:space="preserve"> PAGEREF _Toc21682722 \h </w:instrText>
        </w:r>
        <w:r w:rsidR="00CC2F0B">
          <w:rPr>
            <w:webHidden/>
          </w:rPr>
        </w:r>
        <w:r w:rsidR="00CC2F0B">
          <w:rPr>
            <w:webHidden/>
          </w:rPr>
          <w:fldChar w:fldCharType="separate"/>
        </w:r>
        <w:r w:rsidR="000179F2">
          <w:rPr>
            <w:webHidden/>
          </w:rPr>
          <w:t>111</w:t>
        </w:r>
        <w:r w:rsidR="00CC2F0B">
          <w:rPr>
            <w:webHidden/>
          </w:rPr>
          <w:fldChar w:fldCharType="end"/>
        </w:r>
      </w:hyperlink>
    </w:p>
    <w:p w14:paraId="15FCA74B" w14:textId="14177CCE" w:rsidR="00CC2F0B" w:rsidRDefault="00DE204B">
      <w:pPr>
        <w:pStyle w:val="TOC1"/>
        <w:rPr>
          <w:rFonts w:asciiTheme="minorHAnsi" w:hAnsiTheme="minorHAnsi"/>
          <w:sz w:val="22"/>
          <w:szCs w:val="22"/>
          <w:lang w:eastAsia="en-AU"/>
        </w:rPr>
      </w:pPr>
      <w:hyperlink w:anchor="_Toc21682723" w:history="1">
        <w:r w:rsidR="00CC2F0B" w:rsidRPr="00DC3E2E">
          <w:rPr>
            <w:rStyle w:val="Hyperlink"/>
          </w:rPr>
          <w:t>Disclosures</w:t>
        </w:r>
        <w:r w:rsidR="00CC2F0B">
          <w:rPr>
            <w:webHidden/>
          </w:rPr>
          <w:tab/>
        </w:r>
        <w:r w:rsidR="00CC2F0B">
          <w:rPr>
            <w:webHidden/>
          </w:rPr>
          <w:fldChar w:fldCharType="begin"/>
        </w:r>
        <w:r w:rsidR="00CC2F0B">
          <w:rPr>
            <w:webHidden/>
          </w:rPr>
          <w:instrText xml:space="preserve"> PAGEREF _Toc21682723 \h </w:instrText>
        </w:r>
        <w:r w:rsidR="00CC2F0B">
          <w:rPr>
            <w:webHidden/>
          </w:rPr>
        </w:r>
        <w:r w:rsidR="00CC2F0B">
          <w:rPr>
            <w:webHidden/>
          </w:rPr>
          <w:fldChar w:fldCharType="separate"/>
        </w:r>
        <w:r w:rsidR="000179F2">
          <w:rPr>
            <w:webHidden/>
          </w:rPr>
          <w:t>141</w:t>
        </w:r>
        <w:r w:rsidR="00CC2F0B">
          <w:rPr>
            <w:webHidden/>
          </w:rPr>
          <w:fldChar w:fldCharType="end"/>
        </w:r>
      </w:hyperlink>
    </w:p>
    <w:p w14:paraId="18AAAFCE" w14:textId="1A0CB8BC" w:rsidR="00CC2F0B" w:rsidRDefault="00DE204B">
      <w:pPr>
        <w:pStyle w:val="TOC1"/>
        <w:rPr>
          <w:rFonts w:asciiTheme="minorHAnsi" w:hAnsiTheme="minorHAnsi"/>
          <w:sz w:val="22"/>
          <w:szCs w:val="22"/>
          <w:lang w:eastAsia="en-AU"/>
        </w:rPr>
      </w:pPr>
      <w:hyperlink w:anchor="_Toc21682724" w:history="1">
        <w:r w:rsidR="00CC2F0B" w:rsidRPr="00DC3E2E">
          <w:rPr>
            <w:rStyle w:val="Hyperlink"/>
          </w:rPr>
          <w:t>Environmental sustainability report</w:t>
        </w:r>
        <w:r w:rsidR="00CC2F0B">
          <w:rPr>
            <w:webHidden/>
          </w:rPr>
          <w:tab/>
        </w:r>
        <w:r w:rsidR="00CC2F0B">
          <w:rPr>
            <w:webHidden/>
          </w:rPr>
          <w:fldChar w:fldCharType="begin"/>
        </w:r>
        <w:r w:rsidR="00CC2F0B">
          <w:rPr>
            <w:webHidden/>
          </w:rPr>
          <w:instrText xml:space="preserve"> PAGEREF _Toc21682724 \h </w:instrText>
        </w:r>
        <w:r w:rsidR="00CC2F0B">
          <w:rPr>
            <w:webHidden/>
          </w:rPr>
        </w:r>
        <w:r w:rsidR="00CC2F0B">
          <w:rPr>
            <w:webHidden/>
          </w:rPr>
          <w:fldChar w:fldCharType="separate"/>
        </w:r>
        <w:r w:rsidR="000179F2">
          <w:rPr>
            <w:webHidden/>
          </w:rPr>
          <w:t>171</w:t>
        </w:r>
        <w:r w:rsidR="00CC2F0B">
          <w:rPr>
            <w:webHidden/>
          </w:rPr>
          <w:fldChar w:fldCharType="end"/>
        </w:r>
      </w:hyperlink>
    </w:p>
    <w:p w14:paraId="67273738" w14:textId="54949B85" w:rsidR="00CC2F0B" w:rsidRDefault="00DE204B">
      <w:pPr>
        <w:pStyle w:val="TOC1"/>
        <w:rPr>
          <w:rFonts w:asciiTheme="minorHAnsi" w:hAnsiTheme="minorHAnsi"/>
          <w:sz w:val="22"/>
          <w:szCs w:val="22"/>
          <w:lang w:eastAsia="en-AU"/>
        </w:rPr>
      </w:pPr>
      <w:hyperlink w:anchor="_Toc21682725" w:history="1">
        <w:r w:rsidR="00CC2F0B" w:rsidRPr="00DC3E2E">
          <w:rPr>
            <w:rStyle w:val="Hyperlink"/>
          </w:rPr>
          <w:t xml:space="preserve">Department of Health and Human Services: Financial statements for the financial year ended </w:t>
        </w:r>
        <w:r w:rsidR="00AB51D6">
          <w:rPr>
            <w:rStyle w:val="Hyperlink"/>
          </w:rPr>
          <w:br/>
        </w:r>
        <w:r w:rsidR="00CC2F0B" w:rsidRPr="00DC3E2E">
          <w:rPr>
            <w:rStyle w:val="Hyperlink"/>
          </w:rPr>
          <w:t>30 June 2019</w:t>
        </w:r>
        <w:r w:rsidR="00CC2F0B">
          <w:rPr>
            <w:webHidden/>
          </w:rPr>
          <w:tab/>
        </w:r>
        <w:r w:rsidR="00CC2F0B">
          <w:rPr>
            <w:webHidden/>
          </w:rPr>
          <w:fldChar w:fldCharType="begin"/>
        </w:r>
        <w:r w:rsidR="00CC2F0B">
          <w:rPr>
            <w:webHidden/>
          </w:rPr>
          <w:instrText xml:space="preserve"> PAGEREF _Toc21682725 \h </w:instrText>
        </w:r>
        <w:r w:rsidR="00CC2F0B">
          <w:rPr>
            <w:webHidden/>
          </w:rPr>
        </w:r>
        <w:r w:rsidR="00CC2F0B">
          <w:rPr>
            <w:webHidden/>
          </w:rPr>
          <w:fldChar w:fldCharType="separate"/>
        </w:r>
        <w:r w:rsidR="000179F2">
          <w:rPr>
            <w:webHidden/>
          </w:rPr>
          <w:t>189</w:t>
        </w:r>
        <w:r w:rsidR="00CC2F0B">
          <w:rPr>
            <w:webHidden/>
          </w:rPr>
          <w:fldChar w:fldCharType="end"/>
        </w:r>
      </w:hyperlink>
    </w:p>
    <w:p w14:paraId="667E40D3" w14:textId="18C08C9C" w:rsidR="00CC2F0B" w:rsidRDefault="00DE204B">
      <w:pPr>
        <w:pStyle w:val="TOC1"/>
        <w:rPr>
          <w:rFonts w:asciiTheme="minorHAnsi" w:hAnsiTheme="minorHAnsi"/>
          <w:sz w:val="22"/>
          <w:szCs w:val="22"/>
          <w:lang w:eastAsia="en-AU"/>
        </w:rPr>
      </w:pPr>
      <w:hyperlink w:anchor="_Toc21682726" w:history="1">
        <w:r w:rsidR="00CC2F0B" w:rsidRPr="00DC3E2E">
          <w:rPr>
            <w:rStyle w:val="Hyperlink"/>
          </w:rPr>
          <w:t>Appendices</w:t>
        </w:r>
        <w:r w:rsidR="00CC2F0B">
          <w:rPr>
            <w:webHidden/>
          </w:rPr>
          <w:tab/>
        </w:r>
        <w:r w:rsidR="00CC2F0B">
          <w:rPr>
            <w:webHidden/>
          </w:rPr>
          <w:fldChar w:fldCharType="begin"/>
        </w:r>
        <w:r w:rsidR="00CC2F0B">
          <w:rPr>
            <w:webHidden/>
          </w:rPr>
          <w:instrText xml:space="preserve"> PAGEREF _Toc21682726 \h </w:instrText>
        </w:r>
        <w:r w:rsidR="00CC2F0B">
          <w:rPr>
            <w:webHidden/>
          </w:rPr>
        </w:r>
        <w:r w:rsidR="00CC2F0B">
          <w:rPr>
            <w:webHidden/>
          </w:rPr>
          <w:fldChar w:fldCharType="separate"/>
        </w:r>
        <w:r w:rsidR="000179F2">
          <w:rPr>
            <w:webHidden/>
          </w:rPr>
          <w:t>265</w:t>
        </w:r>
        <w:r w:rsidR="00CC2F0B">
          <w:rPr>
            <w:webHidden/>
          </w:rPr>
          <w:fldChar w:fldCharType="end"/>
        </w:r>
      </w:hyperlink>
    </w:p>
    <w:p w14:paraId="0C58E869" w14:textId="0CA9ACBD" w:rsidR="0092299C" w:rsidRPr="007A75BC" w:rsidRDefault="0092299C" w:rsidP="007A75BC">
      <w:pPr>
        <w:pStyle w:val="ARbody"/>
      </w:pPr>
      <w:r w:rsidRPr="007939DD">
        <w:fldChar w:fldCharType="end"/>
      </w:r>
    </w:p>
    <w:p w14:paraId="49D8B226" w14:textId="77777777" w:rsidR="0092299C" w:rsidRPr="007A75BC" w:rsidRDefault="0092299C" w:rsidP="007A75BC">
      <w:pPr>
        <w:pStyle w:val="ARbody"/>
        <w:sectPr w:rsidR="0092299C" w:rsidRPr="007A75BC" w:rsidSect="00504132">
          <w:footerReference w:type="even" r:id="rId25"/>
          <w:endnotePr>
            <w:numFmt w:val="decimal"/>
          </w:endnotePr>
          <w:type w:val="continuous"/>
          <w:pgSz w:w="11900" w:h="16840" w:code="9"/>
          <w:pgMar w:top="1985" w:right="851" w:bottom="851" w:left="1418" w:header="510" w:footer="340" w:gutter="0"/>
          <w:cols w:space="720"/>
        </w:sectPr>
      </w:pPr>
    </w:p>
    <w:p w14:paraId="193749E1" w14:textId="77777777" w:rsidR="00D55D54" w:rsidRPr="007939DD" w:rsidRDefault="00586629" w:rsidP="007276F3">
      <w:pPr>
        <w:pStyle w:val="Heading1"/>
      </w:pPr>
      <w:bookmarkStart w:id="5" w:name="_Toc21682715"/>
      <w:r>
        <w:rPr>
          <w:noProof/>
          <w:lang w:eastAsia="en-AU"/>
        </w:rPr>
        <w:lastRenderedPageBreak/>
        <w:drawing>
          <wp:anchor distT="0" distB="0" distL="114300" distR="114300" simplePos="0" relativeHeight="251642880" behindDoc="1" locked="1" layoutInCell="1" allowOverlap="1" wp14:anchorId="76E056DD" wp14:editId="17714856">
            <wp:simplePos x="0" y="0"/>
            <wp:positionH relativeFrom="page">
              <wp:align>right</wp:align>
            </wp:positionH>
            <wp:positionV relativeFrom="page">
              <wp:align>top</wp:align>
            </wp:positionV>
            <wp:extent cx="3132000" cy="2698920"/>
            <wp:effectExtent l="0" t="0" r="0"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1907417_DHHS Annual Report Section start 87x75m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2000" cy="2698920"/>
                    </a:xfrm>
                    <a:prstGeom prst="rect">
                      <a:avLst/>
                    </a:prstGeom>
                  </pic:spPr>
                </pic:pic>
              </a:graphicData>
            </a:graphic>
            <wp14:sizeRelH relativeFrom="page">
              <wp14:pctWidth>0</wp14:pctWidth>
            </wp14:sizeRelH>
            <wp14:sizeRelV relativeFrom="page">
              <wp14:pctHeight>0</wp14:pctHeight>
            </wp14:sizeRelV>
          </wp:anchor>
        </w:drawing>
      </w:r>
      <w:r w:rsidR="00D55D54" w:rsidRPr="007939DD">
        <w:t>Secretary</w:t>
      </w:r>
      <w:r w:rsidR="00917CDC">
        <w:t>’</w:t>
      </w:r>
      <w:r w:rsidR="00D55D54" w:rsidRPr="007939DD">
        <w:t>s foreword</w:t>
      </w:r>
      <w:bookmarkEnd w:id="5"/>
    </w:p>
    <w:p w14:paraId="7919E9B1" w14:textId="77777777" w:rsidR="00D55D54" w:rsidRPr="007939DD" w:rsidRDefault="00D55D54" w:rsidP="007276F3">
      <w:pPr>
        <w:pStyle w:val="Heading1"/>
        <w:sectPr w:rsidR="00D55D54" w:rsidRPr="007939DD" w:rsidSect="004B3C07">
          <w:endnotePr>
            <w:numFmt w:val="decimal"/>
          </w:endnotePr>
          <w:pgSz w:w="11900" w:h="16840" w:code="9"/>
          <w:pgMar w:top="3771" w:right="851" w:bottom="851" w:left="1418" w:header="510" w:footer="340" w:gutter="0"/>
          <w:cols w:space="720"/>
        </w:sectPr>
      </w:pPr>
    </w:p>
    <w:p w14:paraId="72272AE7" w14:textId="77777777" w:rsidR="00F80EFD" w:rsidRDefault="00F80EFD" w:rsidP="00F5579F">
      <w:pPr>
        <w:pStyle w:val="ARbody"/>
      </w:pPr>
      <w:r>
        <w:rPr>
          <w:noProof/>
          <w:lang w:eastAsia="en-AU"/>
        </w:rPr>
        <w:drawing>
          <wp:inline distT="0" distB="0" distL="0" distR="0" wp14:anchorId="6FF0BC05" wp14:editId="43380257">
            <wp:extent cx="926465" cy="969645"/>
            <wp:effectExtent l="0" t="0" r="6985" b="1905"/>
            <wp:docPr id="288" name="Picture 288" descr="Kym Peake, Secretary,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6465" cy="969645"/>
                    </a:xfrm>
                    <a:prstGeom prst="rect">
                      <a:avLst/>
                    </a:prstGeom>
                    <a:noFill/>
                  </pic:spPr>
                </pic:pic>
              </a:graphicData>
            </a:graphic>
          </wp:inline>
        </w:drawing>
      </w:r>
    </w:p>
    <w:p w14:paraId="469B7752" w14:textId="1BB9634C" w:rsidR="008D124E" w:rsidRDefault="006953EA" w:rsidP="006953EA">
      <w:pPr>
        <w:pStyle w:val="ARbody"/>
      </w:pPr>
      <w:r w:rsidRPr="00132486">
        <w:t>Our department aspires for all Victorians to be</w:t>
      </w:r>
      <w:r w:rsidR="00E33AE8">
        <w:t> </w:t>
      </w:r>
      <w:r w:rsidRPr="00132486">
        <w:t>safe,</w:t>
      </w:r>
      <w:r w:rsidR="00E33AE8">
        <w:t> </w:t>
      </w:r>
      <w:r w:rsidRPr="00132486">
        <w:t xml:space="preserve">healthy and live a </w:t>
      </w:r>
      <w:r>
        <w:t>life</w:t>
      </w:r>
      <w:r w:rsidRPr="00132486">
        <w:t xml:space="preserve"> they value.</w:t>
      </w:r>
    </w:p>
    <w:p w14:paraId="69C282FA" w14:textId="05486D73" w:rsidR="006953EA" w:rsidRPr="00132486" w:rsidRDefault="006953EA" w:rsidP="006953EA">
      <w:pPr>
        <w:pStyle w:val="ARbody"/>
      </w:pPr>
      <w:r w:rsidRPr="00132486">
        <w:t>All Victorians come into contact with health and human services at some point in their lives. We know there are critical links between wellbeing, economic prosperity and social inclusion. We also know that active and engaged Victorians have better long-term health and wellbeing outcomes, and that vibrant, inclusive and cohesive communities are best able to adapt to demographic, social and economic changes.</w:t>
      </w:r>
    </w:p>
    <w:p w14:paraId="6627A542" w14:textId="05507A22" w:rsidR="006953EA" w:rsidRPr="00132486" w:rsidRDefault="006953EA" w:rsidP="006953EA">
      <w:pPr>
        <w:pStyle w:val="ARbody"/>
      </w:pPr>
      <w:r w:rsidRPr="00132486">
        <w:t>That is why our priority is to improve the experience and outcomes of the consumers of our services and empower them to be partners in their own care.</w:t>
      </w:r>
      <w:r w:rsidR="00E33AE8">
        <w:t> </w:t>
      </w:r>
      <w:r w:rsidRPr="00132486">
        <w:t xml:space="preserve">And why we prioritise our partnerships with communities and with our service delivery partners </w:t>
      </w:r>
      <w:r>
        <w:t xml:space="preserve">to </w:t>
      </w:r>
      <w:r w:rsidRPr="00132486">
        <w:t>tackl</w:t>
      </w:r>
      <w:r>
        <w:t>e</w:t>
      </w:r>
      <w:r w:rsidRPr="00132486">
        <w:t xml:space="preserve"> the social determinants of health and wellbeing and improv</w:t>
      </w:r>
      <w:r>
        <w:t>e</w:t>
      </w:r>
      <w:r w:rsidRPr="00132486">
        <w:t xml:space="preserve"> models of support and care.</w:t>
      </w:r>
    </w:p>
    <w:p w14:paraId="2CE0099F" w14:textId="77777777" w:rsidR="008D124E" w:rsidRDefault="006953EA" w:rsidP="006953EA">
      <w:pPr>
        <w:pStyle w:val="ARbody"/>
      </w:pPr>
      <w:r w:rsidRPr="00132486">
        <w:t>In listening to the people who use and deliver our services</w:t>
      </w:r>
      <w:r>
        <w:t>,</w:t>
      </w:r>
      <w:r w:rsidRPr="00132486">
        <w:t xml:space="preserve"> we have heard about the need to access supports earlier and more easily. In response</w:t>
      </w:r>
      <w:r>
        <w:t>,</w:t>
      </w:r>
      <w:r w:rsidRPr="00132486">
        <w:t xml:space="preserve"> we are developing </w:t>
      </w:r>
      <w:r>
        <w:t xml:space="preserve">coordinated </w:t>
      </w:r>
      <w:r w:rsidRPr="00132486">
        <w:t xml:space="preserve">service pathways </w:t>
      </w:r>
      <w:r>
        <w:t>and</w:t>
      </w:r>
      <w:r w:rsidRPr="00132486">
        <w:t xml:space="preserve"> testing innovative models of care.</w:t>
      </w:r>
    </w:p>
    <w:p w14:paraId="68FB07C0" w14:textId="508AAA52" w:rsidR="006953EA" w:rsidRPr="00132486" w:rsidRDefault="006953EA" w:rsidP="006953EA">
      <w:pPr>
        <w:pStyle w:val="ARbody"/>
      </w:pPr>
      <w:r w:rsidRPr="00132486">
        <w:t xml:space="preserve">Over the past </w:t>
      </w:r>
      <w:r>
        <w:t>12</w:t>
      </w:r>
      <w:r w:rsidRPr="00132486">
        <w:t xml:space="preserve"> months we have continued to</w:t>
      </w:r>
      <w:r w:rsidR="00E33AE8">
        <w:t> </w:t>
      </w:r>
      <w:r w:rsidRPr="00132486">
        <w:t>focus our efforts on:</w:t>
      </w:r>
    </w:p>
    <w:p w14:paraId="016530E3" w14:textId="1FA970DF" w:rsidR="006953EA" w:rsidRPr="00132486" w:rsidRDefault="006953EA" w:rsidP="006953EA">
      <w:pPr>
        <w:pStyle w:val="ARbullet1"/>
      </w:pPr>
      <w:r w:rsidRPr="00132486">
        <w:t>advancing Aboriginal self-determination across</w:t>
      </w:r>
      <w:r w:rsidR="00E33AE8">
        <w:t> </w:t>
      </w:r>
      <w:r w:rsidRPr="00132486">
        <w:t>all our portfolios</w:t>
      </w:r>
    </w:p>
    <w:p w14:paraId="221129AB" w14:textId="59354A40" w:rsidR="006953EA" w:rsidRPr="00132486" w:rsidRDefault="006953EA" w:rsidP="006953EA">
      <w:pPr>
        <w:pStyle w:val="ARbullet1"/>
      </w:pPr>
      <w:r w:rsidRPr="00132486">
        <w:t>amplifying the voice</w:t>
      </w:r>
      <w:r>
        <w:t>s</w:t>
      </w:r>
      <w:r w:rsidRPr="00132486">
        <w:t xml:space="preserve"> of our clients, patients and</w:t>
      </w:r>
      <w:r w:rsidR="00E33AE8">
        <w:t> </w:t>
      </w:r>
      <w:r w:rsidRPr="00132486">
        <w:t>victim survivors in our advice to government and in the design and delivery of services</w:t>
      </w:r>
    </w:p>
    <w:p w14:paraId="3FC2915F" w14:textId="77777777" w:rsidR="008D124E" w:rsidRDefault="006953EA" w:rsidP="006953EA">
      <w:pPr>
        <w:pStyle w:val="ARbullet1"/>
      </w:pPr>
      <w:r>
        <w:t>developing</w:t>
      </w:r>
      <w:r w:rsidRPr="00132486">
        <w:t xml:space="preserve"> research and practice communities to generate and make better use of data and evidence for policy and practice</w:t>
      </w:r>
    </w:p>
    <w:p w14:paraId="29EC6516" w14:textId="29DDDF0C" w:rsidR="006953EA" w:rsidRPr="00132486" w:rsidRDefault="006953EA" w:rsidP="006953EA">
      <w:pPr>
        <w:pStyle w:val="ARbullet1"/>
      </w:pPr>
      <w:r w:rsidRPr="00132486">
        <w:t>working collaboratively with our sectors and other parts of government to improve the impact of existing services and develop new service models</w:t>
      </w:r>
    </w:p>
    <w:p w14:paraId="6CEEBC1E" w14:textId="29DB1684" w:rsidR="006953EA" w:rsidRPr="00132486" w:rsidRDefault="006953EA" w:rsidP="006953EA">
      <w:pPr>
        <w:pStyle w:val="ARbullet1"/>
      </w:pPr>
      <w:r w:rsidRPr="00132486">
        <w:t>supporting governing bodies of public and community organisations to support their organisations to grow and sustain quality and</w:t>
      </w:r>
      <w:r w:rsidR="00E33AE8">
        <w:t> </w:t>
      </w:r>
      <w:r w:rsidRPr="00132486">
        <w:t>safety cultures</w:t>
      </w:r>
    </w:p>
    <w:p w14:paraId="1DB3B928" w14:textId="77777777" w:rsidR="006953EA" w:rsidRPr="00132486" w:rsidRDefault="006953EA" w:rsidP="006953EA">
      <w:pPr>
        <w:pStyle w:val="ARbullet1"/>
      </w:pPr>
      <w:r w:rsidRPr="00132486">
        <w:t>supporting community-led actions to promote health and wellbeing and reduce vulnerability</w:t>
      </w:r>
    </w:p>
    <w:p w14:paraId="12D30522" w14:textId="77777777" w:rsidR="006953EA" w:rsidRPr="00132486" w:rsidRDefault="006953EA" w:rsidP="006953EA">
      <w:pPr>
        <w:pStyle w:val="ARbullet1"/>
      </w:pPr>
      <w:r w:rsidRPr="00132486">
        <w:t>delivering a significant capital program, with a view to improving access to services and overall community amenity</w:t>
      </w:r>
    </w:p>
    <w:p w14:paraId="44789569" w14:textId="77777777" w:rsidR="006953EA" w:rsidRPr="00132486" w:rsidRDefault="006953EA" w:rsidP="006953EA">
      <w:pPr>
        <w:pStyle w:val="ARbullet1"/>
      </w:pPr>
      <w:r w:rsidRPr="00132486">
        <w:t>agile development of our information systems and our regulatory, contract management and project management capabilities.</w:t>
      </w:r>
    </w:p>
    <w:p w14:paraId="5D2B83AF" w14:textId="618D12F9" w:rsidR="008D124E" w:rsidRDefault="006953EA" w:rsidP="006953EA">
      <w:pPr>
        <w:pStyle w:val="ARbodyafterbullets"/>
      </w:pPr>
      <w:r>
        <w:t xml:space="preserve">This report sets out our achievements in more detail – </w:t>
      </w:r>
      <w:r w:rsidRPr="00132486">
        <w:t xml:space="preserve">achievements </w:t>
      </w:r>
      <w:r>
        <w:t>due to the</w:t>
      </w:r>
      <w:r w:rsidRPr="00132486">
        <w:t xml:space="preserve"> efforts of hundreds of thousands of people work</w:t>
      </w:r>
      <w:r>
        <w:t>ing</w:t>
      </w:r>
      <w:r w:rsidRPr="00132486">
        <w:t xml:space="preserve"> across</w:t>
      </w:r>
      <w:r w:rsidR="00E33AE8">
        <w:t> </w:t>
      </w:r>
      <w:r w:rsidRPr="00132486">
        <w:t>the health and human services sector.</w:t>
      </w:r>
    </w:p>
    <w:p w14:paraId="25414027" w14:textId="1AE9DB77" w:rsidR="006953EA" w:rsidRPr="00132486" w:rsidRDefault="006953EA" w:rsidP="006953EA">
      <w:pPr>
        <w:pStyle w:val="ARbody"/>
      </w:pPr>
      <w:r w:rsidRPr="00132486">
        <w:t>Some of the significant milestones reached in</w:t>
      </w:r>
      <w:r w:rsidR="00E33AE8">
        <w:t> </w:t>
      </w:r>
      <w:r w:rsidRPr="00132486">
        <w:t>the</w:t>
      </w:r>
      <w:r w:rsidR="00E33AE8">
        <w:t> </w:t>
      </w:r>
      <w:r w:rsidRPr="00132486">
        <w:t xml:space="preserve">past </w:t>
      </w:r>
      <w:r>
        <w:t>12</w:t>
      </w:r>
      <w:r w:rsidRPr="00132486">
        <w:t xml:space="preserve"> months include:</w:t>
      </w:r>
    </w:p>
    <w:p w14:paraId="5346E7AB" w14:textId="0B28D5CB" w:rsidR="006953EA" w:rsidRPr="00132486" w:rsidRDefault="006953EA" w:rsidP="006953EA">
      <w:pPr>
        <w:pStyle w:val="ARbullet1"/>
      </w:pPr>
      <w:r w:rsidRPr="00132486">
        <w:t>opening the Joan Kirner Women's and Children's Sunshine Hospital, enabling more women and families in Melbourne’s west to give</w:t>
      </w:r>
      <w:r w:rsidR="00E33AE8">
        <w:t> </w:t>
      </w:r>
      <w:r w:rsidRPr="00132486">
        <w:t>birth and access children’s services closer to home</w:t>
      </w:r>
    </w:p>
    <w:p w14:paraId="62325A3E" w14:textId="77777777" w:rsidR="006953EA" w:rsidRPr="00132486" w:rsidRDefault="00C63BE3" w:rsidP="006953EA">
      <w:pPr>
        <w:pStyle w:val="ARbullet1"/>
      </w:pPr>
      <w:r>
        <w:t>completion of</w:t>
      </w:r>
      <w:r w:rsidRPr="00132486">
        <w:t xml:space="preserve"> </w:t>
      </w:r>
      <w:r w:rsidR="006953EA" w:rsidRPr="00132486">
        <w:t>the redeveloped Orygen building in Parkville, a world</w:t>
      </w:r>
      <w:r w:rsidR="006953EA">
        <w:t>-</w:t>
      </w:r>
      <w:r w:rsidR="006953EA" w:rsidRPr="00132486">
        <w:t>first clinical and research centre for young people across Victoria with serious mental illness</w:t>
      </w:r>
    </w:p>
    <w:p w14:paraId="40BCF588" w14:textId="331807E5" w:rsidR="006953EA" w:rsidRPr="00132486" w:rsidRDefault="006953EA" w:rsidP="006953EA">
      <w:pPr>
        <w:pStyle w:val="ARbullet1"/>
      </w:pPr>
      <w:r w:rsidRPr="00132486">
        <w:t xml:space="preserve">opening the first </w:t>
      </w:r>
      <w:r>
        <w:t xml:space="preserve">of The </w:t>
      </w:r>
      <w:r w:rsidRPr="00132486">
        <w:t>Orange Door support and safety hub</w:t>
      </w:r>
      <w:r>
        <w:t>s</w:t>
      </w:r>
      <w:r w:rsidRPr="00132486">
        <w:t>, alongside new information</w:t>
      </w:r>
      <w:r>
        <w:t>-</w:t>
      </w:r>
      <w:r w:rsidRPr="00132486">
        <w:t>sharing and risk</w:t>
      </w:r>
      <w:r>
        <w:t>-</w:t>
      </w:r>
      <w:r w:rsidRPr="00132486">
        <w:t xml:space="preserve">assessment capabilities for workforces involved </w:t>
      </w:r>
      <w:r>
        <w:t>with</w:t>
      </w:r>
      <w:r w:rsidRPr="00132486">
        <w:t xml:space="preserve"> ending the scourge of</w:t>
      </w:r>
      <w:r w:rsidR="00E33AE8">
        <w:t> </w:t>
      </w:r>
      <w:r w:rsidRPr="00132486">
        <w:t>family violence</w:t>
      </w:r>
    </w:p>
    <w:p w14:paraId="2C2449A9" w14:textId="77777777" w:rsidR="006953EA" w:rsidRPr="00132486" w:rsidRDefault="006953EA" w:rsidP="006953EA">
      <w:pPr>
        <w:pStyle w:val="ARbullet1"/>
      </w:pPr>
      <w:r w:rsidRPr="00132486">
        <w:lastRenderedPageBreak/>
        <w:t>rolling out SafeScript to limit the harms associated with opioids and other high-risk prescription medications</w:t>
      </w:r>
    </w:p>
    <w:p w14:paraId="072A976A" w14:textId="1AA618C4" w:rsidR="006953EA" w:rsidRPr="00132486" w:rsidRDefault="006953EA" w:rsidP="006953EA">
      <w:pPr>
        <w:pStyle w:val="ARbullet1"/>
      </w:pPr>
      <w:r w:rsidRPr="00132486">
        <w:t>the commencement of Victoria’s voluntary assisted dying laws, allowing eligible patients to</w:t>
      </w:r>
      <w:r w:rsidR="00E33AE8">
        <w:t> </w:t>
      </w:r>
      <w:r w:rsidRPr="00132486">
        <w:t>choose the manner and timing of their death</w:t>
      </w:r>
    </w:p>
    <w:p w14:paraId="07FF67C5" w14:textId="2F7821A3" w:rsidR="006953EA" w:rsidRPr="00132486" w:rsidRDefault="006953EA" w:rsidP="006953EA">
      <w:pPr>
        <w:pStyle w:val="ARbullet1"/>
      </w:pPr>
      <w:r>
        <w:t>R</w:t>
      </w:r>
      <w:r w:rsidRPr="00132486">
        <w:t>espect Victoria commencing as an independent statutory authority, leading the state’s prevention efforts in changing the attitudes, social norms and culture that result in</w:t>
      </w:r>
      <w:r w:rsidR="00E33AE8">
        <w:t> </w:t>
      </w:r>
      <w:r w:rsidRPr="00132486">
        <w:t>family violence and violence against women</w:t>
      </w:r>
    </w:p>
    <w:p w14:paraId="6C3CB520" w14:textId="77777777" w:rsidR="006953EA" w:rsidRPr="00132486" w:rsidRDefault="006953EA" w:rsidP="006953EA">
      <w:pPr>
        <w:pStyle w:val="ARbullet1"/>
      </w:pPr>
      <w:r>
        <w:t xml:space="preserve">having </w:t>
      </w:r>
      <w:r w:rsidRPr="00132486">
        <w:t xml:space="preserve">almost 50 per cent of Aboriginal children in care managed by Aboriginal </w:t>
      </w:r>
      <w:r>
        <w:t>c</w:t>
      </w:r>
      <w:r w:rsidRPr="00132486">
        <w:t>ommunity</w:t>
      </w:r>
      <w:r>
        <w:t>-c</w:t>
      </w:r>
      <w:r w:rsidRPr="00132486">
        <w:t xml:space="preserve">ontrolled </w:t>
      </w:r>
      <w:r>
        <w:t>o</w:t>
      </w:r>
      <w:r w:rsidRPr="00132486">
        <w:t>rganisations, a 250 per cent improvement compared with two years ago</w:t>
      </w:r>
    </w:p>
    <w:p w14:paraId="6FFD6E2E" w14:textId="15F0BE43" w:rsidR="006953EA" w:rsidRPr="00132486" w:rsidRDefault="006953EA" w:rsidP="006953EA">
      <w:pPr>
        <w:pStyle w:val="ARbullet1"/>
      </w:pPr>
      <w:r w:rsidRPr="00132486">
        <w:t xml:space="preserve">elective surgery patients in Victoria being seen sooner, </w:t>
      </w:r>
      <w:r>
        <w:t xml:space="preserve">thanks to </w:t>
      </w:r>
      <w:r w:rsidRPr="00132486">
        <w:t xml:space="preserve">ongoing investment in </w:t>
      </w:r>
      <w:r>
        <w:t xml:space="preserve">our </w:t>
      </w:r>
      <w:r w:rsidRPr="00132486">
        <w:t>health workforce and infrastructure, with the median wait</w:t>
      </w:r>
      <w:r w:rsidR="008D59CC">
        <w:t>-t</w:t>
      </w:r>
      <w:r w:rsidRPr="00132486">
        <w:t xml:space="preserve">ime for elective surgery </w:t>
      </w:r>
      <w:r>
        <w:t>now just</w:t>
      </w:r>
      <w:r w:rsidRPr="00132486">
        <w:t xml:space="preserve"> 28 days.</w:t>
      </w:r>
    </w:p>
    <w:p w14:paraId="6878C7BB" w14:textId="75053F7D" w:rsidR="006953EA" w:rsidRPr="00132486" w:rsidRDefault="006953EA" w:rsidP="006953EA">
      <w:pPr>
        <w:pStyle w:val="ARbodyafterbullets"/>
      </w:pPr>
      <w:r w:rsidRPr="00132486">
        <w:t>In a new term of government</w:t>
      </w:r>
      <w:r>
        <w:t>,</w:t>
      </w:r>
      <w:r w:rsidRPr="00132486">
        <w:t xml:space="preserve"> all of our divisions and agencies have reviewed their work programs to</w:t>
      </w:r>
      <w:r w:rsidR="00B3543E">
        <w:t> </w:t>
      </w:r>
      <w:r w:rsidRPr="00132486">
        <w:t xml:space="preserve">sharpen our focus on our </w:t>
      </w:r>
      <w:r w:rsidR="00566EA7">
        <w:t>m</w:t>
      </w:r>
      <w:r w:rsidRPr="00132486">
        <w:t>inisters</w:t>
      </w:r>
      <w:r w:rsidR="00566EA7">
        <w:t>’</w:t>
      </w:r>
      <w:r w:rsidRPr="00132486">
        <w:t xml:space="preserve"> ambitious reform agendas. We have recently released a refreshed strateg</w:t>
      </w:r>
      <w:r>
        <w:t>ic plan</w:t>
      </w:r>
      <w:r w:rsidRPr="00132486">
        <w:t xml:space="preserve"> </w:t>
      </w:r>
      <w:r>
        <w:t xml:space="preserve">that </w:t>
      </w:r>
      <w:r w:rsidRPr="00132486">
        <w:t>outlines our outcomes, values and directions for the next four years and communicates our priorities for the next 12 months.</w:t>
      </w:r>
    </w:p>
    <w:p w14:paraId="4C686EFE" w14:textId="77777777" w:rsidR="008D124E" w:rsidRDefault="006953EA" w:rsidP="006953EA">
      <w:pPr>
        <w:pStyle w:val="ARbody"/>
      </w:pPr>
      <w:r w:rsidRPr="00132486">
        <w:t>Through this plan</w:t>
      </w:r>
      <w:r>
        <w:t>,</w:t>
      </w:r>
      <w:r w:rsidRPr="00132486">
        <w:t xml:space="preserve"> we commit to putting people first.</w:t>
      </w:r>
      <w:r w:rsidR="00B3543E">
        <w:t> </w:t>
      </w:r>
      <w:r w:rsidRPr="00132486">
        <w:t>And we recommit to our shared values and</w:t>
      </w:r>
      <w:r w:rsidR="00B3543E">
        <w:t> </w:t>
      </w:r>
      <w:r w:rsidRPr="00132486">
        <w:t>behaviours of demonstrating integrity and accountability, being curious and innovative, demonstrating excellence in collaboration</w:t>
      </w:r>
      <w:r>
        <w:t>,</w:t>
      </w:r>
      <w:r w:rsidRPr="00132486">
        <w:t xml:space="preserve"> and being caring and respectful.</w:t>
      </w:r>
    </w:p>
    <w:p w14:paraId="36862C76" w14:textId="6967C11D" w:rsidR="006953EA" w:rsidRPr="00132486" w:rsidRDefault="006953EA" w:rsidP="006953EA">
      <w:pPr>
        <w:pStyle w:val="ARbody"/>
      </w:pPr>
      <w:r w:rsidRPr="00132486">
        <w:t>Just as we have maintained a relentless focus on improving services for clients, patients and victim survivors, we have continued our internal transformation journey.</w:t>
      </w:r>
    </w:p>
    <w:p w14:paraId="5464884D" w14:textId="70AC44B4" w:rsidR="006953EA" w:rsidRPr="00132486" w:rsidRDefault="006953EA" w:rsidP="006953EA">
      <w:pPr>
        <w:pStyle w:val="ARbody"/>
      </w:pPr>
      <w:r w:rsidRPr="00132486">
        <w:t>This is not just change for the sake of it. There is a</w:t>
      </w:r>
      <w:r w:rsidR="00B3543E">
        <w:t> </w:t>
      </w:r>
      <w:r w:rsidRPr="00132486">
        <w:t xml:space="preserve">clear purpose </w:t>
      </w:r>
      <w:r>
        <w:t>to</w:t>
      </w:r>
      <w:r w:rsidRPr="00132486">
        <w:t xml:space="preserve"> this work.</w:t>
      </w:r>
    </w:p>
    <w:p w14:paraId="2FCDDF38" w14:textId="77777777" w:rsidR="006953EA" w:rsidRPr="00132486" w:rsidRDefault="006953EA" w:rsidP="006953EA">
      <w:pPr>
        <w:pStyle w:val="ARbody"/>
      </w:pPr>
      <w:r w:rsidRPr="00132486">
        <w:t>It is driven by an aspiration to build a learning organisation that translates evidence and client voice</w:t>
      </w:r>
      <w:r>
        <w:t>s</w:t>
      </w:r>
      <w:r w:rsidRPr="00132486">
        <w:t xml:space="preserve"> into better services that are delivered in, and connected to, the local communities we serve – and an organisation </w:t>
      </w:r>
      <w:r>
        <w:t>that</w:t>
      </w:r>
      <w:r w:rsidRPr="00132486">
        <w:t xml:space="preserve"> respon</w:t>
      </w:r>
      <w:r>
        <w:t>ds</w:t>
      </w:r>
      <w:r w:rsidRPr="00132486">
        <w:t xml:space="preserve"> to changing client needs and government priorities.</w:t>
      </w:r>
    </w:p>
    <w:p w14:paraId="07F93ABE" w14:textId="5A93B842" w:rsidR="006953EA" w:rsidRPr="00132486" w:rsidRDefault="006953EA" w:rsidP="006953EA">
      <w:pPr>
        <w:pStyle w:val="ARbody"/>
      </w:pPr>
      <w:r w:rsidRPr="00132486">
        <w:t>To this end</w:t>
      </w:r>
      <w:r>
        <w:t>,</w:t>
      </w:r>
      <w:r w:rsidRPr="00132486">
        <w:t xml:space="preserve"> we continue to prioritise investment in our staff – to promote their health and wellbeing, build inclusive, positive and culturally safe workplaces and improve our inte</w:t>
      </w:r>
      <w:r>
        <w:t>r</w:t>
      </w:r>
      <w:r w:rsidRPr="00132486">
        <w:t xml:space="preserve">nal systems, </w:t>
      </w:r>
      <w:r w:rsidRPr="00132486">
        <w:t>tools, capabilities and supports. Key initiatives in</w:t>
      </w:r>
      <w:r w:rsidR="00B70B3F">
        <w:t> </w:t>
      </w:r>
      <w:r w:rsidRPr="00132486">
        <w:t xml:space="preserve">the </w:t>
      </w:r>
      <w:r>
        <w:t>p</w:t>
      </w:r>
      <w:r w:rsidRPr="00132486">
        <w:t>ast 12 months include:</w:t>
      </w:r>
    </w:p>
    <w:p w14:paraId="7F4F44DD" w14:textId="77777777" w:rsidR="006953EA" w:rsidRPr="00132486" w:rsidRDefault="006953EA" w:rsidP="006953EA">
      <w:pPr>
        <w:pStyle w:val="ARbullet1"/>
      </w:pPr>
      <w:r w:rsidRPr="00132486">
        <w:t xml:space="preserve">implementing our </w:t>
      </w:r>
      <w:r w:rsidRPr="00132486">
        <w:rPr>
          <w:i/>
        </w:rPr>
        <w:t>All roles flex</w:t>
      </w:r>
      <w:r w:rsidRPr="00132486">
        <w:t xml:space="preserve"> policy</w:t>
      </w:r>
    </w:p>
    <w:p w14:paraId="1F11DB2E" w14:textId="00A2B01B" w:rsidR="006953EA" w:rsidRPr="00132486" w:rsidRDefault="006953EA" w:rsidP="006953EA">
      <w:pPr>
        <w:pStyle w:val="ARbullet1"/>
      </w:pPr>
      <w:r w:rsidRPr="00132486">
        <w:t>commencing our child protection mental health</w:t>
      </w:r>
      <w:r w:rsidR="00B70B3F">
        <w:t> </w:t>
      </w:r>
      <w:r w:rsidRPr="00132486">
        <w:t>and wellbeing program</w:t>
      </w:r>
    </w:p>
    <w:p w14:paraId="0B124829" w14:textId="6EF7121E" w:rsidR="006953EA" w:rsidRPr="00132486" w:rsidRDefault="006953EA" w:rsidP="006953EA">
      <w:pPr>
        <w:pStyle w:val="ARbullet1"/>
      </w:pPr>
      <w:r w:rsidRPr="00132486">
        <w:t>supporting participants, families and staff as we</w:t>
      </w:r>
      <w:r w:rsidR="00B3543E">
        <w:t> </w:t>
      </w:r>
      <w:r w:rsidRPr="00132486">
        <w:t>progress</w:t>
      </w:r>
      <w:r>
        <w:t>ed</w:t>
      </w:r>
      <w:r w:rsidRPr="00132486">
        <w:t xml:space="preserve"> the transfer of disability shared accommodation and respite services to </w:t>
      </w:r>
      <w:r>
        <w:t>five</w:t>
      </w:r>
      <w:r w:rsidRPr="00132486">
        <w:t xml:space="preserve"> </w:t>
      </w:r>
      <w:r w:rsidR="00B3543E">
        <w:br/>
      </w:r>
      <w:r w:rsidRPr="00132486">
        <w:t>non-government providers</w:t>
      </w:r>
    </w:p>
    <w:p w14:paraId="5766F534" w14:textId="73ACAB8E" w:rsidR="006953EA" w:rsidRPr="00132486" w:rsidRDefault="006953EA" w:rsidP="006953EA">
      <w:pPr>
        <w:pStyle w:val="ARbullet1"/>
      </w:pPr>
      <w:r w:rsidRPr="00132486">
        <w:t>creating an innovation program that promotes</w:t>
      </w:r>
      <w:r w:rsidR="00B70B3F">
        <w:t> </w:t>
      </w:r>
      <w:r w:rsidRPr="00132486">
        <w:t>‘a</w:t>
      </w:r>
      <w:r w:rsidR="00B3543E">
        <w:t> </w:t>
      </w:r>
      <w:r w:rsidRPr="00132486">
        <w:t>culture of possible’</w:t>
      </w:r>
    </w:p>
    <w:p w14:paraId="23D9C175" w14:textId="470B47B4" w:rsidR="006953EA" w:rsidRPr="00132486" w:rsidRDefault="006953EA" w:rsidP="006953EA">
      <w:pPr>
        <w:pStyle w:val="ARbullet1"/>
      </w:pPr>
      <w:r w:rsidRPr="00132486">
        <w:t>refreshing our staff leadership and management</w:t>
      </w:r>
      <w:r w:rsidR="00B70B3F">
        <w:t> </w:t>
      </w:r>
      <w:r w:rsidRPr="00132486">
        <w:t>programs</w:t>
      </w:r>
    </w:p>
    <w:p w14:paraId="73DF58C1" w14:textId="77777777" w:rsidR="006953EA" w:rsidRPr="00132486" w:rsidRDefault="006953EA" w:rsidP="006953EA">
      <w:pPr>
        <w:pStyle w:val="ARbullet1"/>
      </w:pPr>
      <w:r w:rsidRPr="00132486">
        <w:t>establishing a dedicated customer support function and customer promise to guide our corporate services</w:t>
      </w:r>
    </w:p>
    <w:p w14:paraId="5A5CC73E" w14:textId="6CCC7E37" w:rsidR="006953EA" w:rsidRPr="00132486" w:rsidRDefault="006953EA" w:rsidP="006953EA">
      <w:pPr>
        <w:pStyle w:val="ARbullet1"/>
      </w:pPr>
      <w:r w:rsidRPr="00132486">
        <w:t>rolling out new technology systems, such as</w:t>
      </w:r>
      <w:r w:rsidR="00B70B3F">
        <w:t> </w:t>
      </w:r>
      <w:r w:rsidRPr="00132486">
        <w:t>Office 365 an</w:t>
      </w:r>
      <w:r>
        <w:t>d</w:t>
      </w:r>
      <w:r w:rsidRPr="00132486">
        <w:t xml:space="preserve"> the productivity centre</w:t>
      </w:r>
      <w:r>
        <w:t>,</w:t>
      </w:r>
      <w:r w:rsidRPr="00132486">
        <w:t xml:space="preserve"> to make it</w:t>
      </w:r>
      <w:r w:rsidR="00B3543E">
        <w:t> </w:t>
      </w:r>
      <w:r w:rsidRPr="00132486">
        <w:t>easier for people to do their work</w:t>
      </w:r>
    </w:p>
    <w:p w14:paraId="34547B5A" w14:textId="77777777" w:rsidR="006953EA" w:rsidRPr="00132486" w:rsidRDefault="006953EA" w:rsidP="006953EA">
      <w:pPr>
        <w:pStyle w:val="ARbullet1"/>
      </w:pPr>
      <w:r w:rsidRPr="00132486">
        <w:t>continuing to invest in building our internal capabilities – including project management, data assets, strategic policy, evaluation and infrastructure delivery.</w:t>
      </w:r>
    </w:p>
    <w:p w14:paraId="280CFFC4" w14:textId="77777777" w:rsidR="006953EA" w:rsidRPr="00132486" w:rsidRDefault="006953EA" w:rsidP="006953EA">
      <w:pPr>
        <w:pStyle w:val="ARbodyafterbullets"/>
      </w:pPr>
      <w:r w:rsidRPr="00132486">
        <w:t>My sincere thanks to the thousands of dedicated staff across the department, our ministers and all our partner agencies.</w:t>
      </w:r>
    </w:p>
    <w:p w14:paraId="15BCD467" w14:textId="74137789" w:rsidR="006953EA" w:rsidRPr="00132486" w:rsidRDefault="006953EA" w:rsidP="006953EA">
      <w:pPr>
        <w:pStyle w:val="ARbody"/>
      </w:pPr>
      <w:r w:rsidRPr="00132486">
        <w:t>My thanks also to the people and communities who</w:t>
      </w:r>
      <w:r w:rsidR="00B3543E">
        <w:t> </w:t>
      </w:r>
      <w:r w:rsidRPr="00132486">
        <w:t xml:space="preserve">have lent their voices to the issues they are passionate about </w:t>
      </w:r>
      <w:r>
        <w:t>–</w:t>
      </w:r>
      <w:r w:rsidRPr="00132486">
        <w:t xml:space="preserve"> through the many community engagements and advisory groups the department has held during the year. And most recently through the online submissions and engagements with </w:t>
      </w:r>
      <w:r>
        <w:t>the</w:t>
      </w:r>
      <w:r w:rsidRPr="00132486">
        <w:t xml:space="preserve"> Royal Commission into </w:t>
      </w:r>
      <w:r>
        <w:t xml:space="preserve">Victoria’s </w:t>
      </w:r>
      <w:r w:rsidRPr="00132486">
        <w:t>Mental Health</w:t>
      </w:r>
      <w:r>
        <w:t xml:space="preserve"> System</w:t>
      </w:r>
      <w:r w:rsidRPr="00132486">
        <w:t>.</w:t>
      </w:r>
    </w:p>
    <w:p w14:paraId="082D30DD" w14:textId="77777777" w:rsidR="006953EA" w:rsidRDefault="006953EA" w:rsidP="006953EA">
      <w:pPr>
        <w:pStyle w:val="ARbody"/>
      </w:pPr>
      <w:r w:rsidRPr="00132486">
        <w:t xml:space="preserve">It is a great privilege to be part of the stewardship of health and human services. We know there is more work to be done – and we will continue to listen and find ways to achieve the best health, wellbeing and safety </w:t>
      </w:r>
      <w:r>
        <w:t>for</w:t>
      </w:r>
      <w:r w:rsidRPr="00132486">
        <w:t xml:space="preserve"> all Victorians so they can live a life they value. I look forward to the year ahead.</w:t>
      </w:r>
    </w:p>
    <w:p w14:paraId="48B83FAA" w14:textId="77777777" w:rsidR="001F7027" w:rsidRPr="007939DD" w:rsidRDefault="00B35093" w:rsidP="00F5579F">
      <w:pPr>
        <w:pStyle w:val="ARbody"/>
      </w:pPr>
      <w:r w:rsidRPr="007939DD">
        <w:rPr>
          <w:noProof/>
          <w:lang w:eastAsia="en-AU"/>
        </w:rPr>
        <w:drawing>
          <wp:inline distT="0" distB="0" distL="0" distR="0" wp14:anchorId="58093F6D" wp14:editId="75D32DA2">
            <wp:extent cx="1204595" cy="672465"/>
            <wp:effectExtent l="0" t="0" r="0" b="0"/>
            <wp:docPr id="36" name="Picture 36" descr="Kim Peak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m Peake signa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4595" cy="672465"/>
                    </a:xfrm>
                    <a:prstGeom prst="rect">
                      <a:avLst/>
                    </a:prstGeom>
                    <a:noFill/>
                    <a:ln>
                      <a:noFill/>
                    </a:ln>
                  </pic:spPr>
                </pic:pic>
              </a:graphicData>
            </a:graphic>
          </wp:inline>
        </w:drawing>
      </w:r>
    </w:p>
    <w:p w14:paraId="5F6F2B22" w14:textId="77777777" w:rsidR="00BE14AF" w:rsidRPr="007939DD" w:rsidRDefault="00D55D54" w:rsidP="007D1A82">
      <w:pPr>
        <w:pStyle w:val="ARbodynospace"/>
      </w:pPr>
      <w:r w:rsidRPr="007939DD">
        <w:t>Kym Peake</w:t>
      </w:r>
      <w:r w:rsidR="007D1A82">
        <w:br/>
      </w:r>
      <w:r w:rsidRPr="007939DD">
        <w:t>Secretary</w:t>
      </w:r>
      <w:r w:rsidR="007D1A82">
        <w:br/>
      </w:r>
      <w:r w:rsidRPr="007939DD">
        <w:t>Department of Health and Human Services</w:t>
      </w:r>
    </w:p>
    <w:p w14:paraId="46D6910A" w14:textId="77777777" w:rsidR="0092299C" w:rsidRPr="007939DD" w:rsidRDefault="0092299C" w:rsidP="0092299C">
      <w:pPr>
        <w:keepNext/>
        <w:keepLines/>
        <w:spacing w:after="480" w:line="480" w:lineRule="atLeast"/>
        <w:rPr>
          <w:rFonts w:eastAsia="MS Gothic"/>
          <w:bCs/>
          <w:color w:val="87189D"/>
          <w:kern w:val="32"/>
          <w:sz w:val="48"/>
          <w:szCs w:val="32"/>
          <w:lang w:eastAsia="x-none"/>
        </w:rPr>
        <w:sectPr w:rsidR="0092299C" w:rsidRPr="007939DD" w:rsidSect="00BE7E27">
          <w:endnotePr>
            <w:numFmt w:val="decimal"/>
          </w:endnotePr>
          <w:type w:val="continuous"/>
          <w:pgSz w:w="11900" w:h="16840" w:code="9"/>
          <w:pgMar w:top="1985" w:right="851" w:bottom="851" w:left="1418" w:header="510" w:footer="340" w:gutter="0"/>
          <w:cols w:num="2" w:space="454"/>
        </w:sectPr>
      </w:pPr>
    </w:p>
    <w:p w14:paraId="308716BC" w14:textId="77777777" w:rsidR="00761D45" w:rsidRPr="007939DD" w:rsidRDefault="00BD5A52" w:rsidP="00761D45">
      <w:pPr>
        <w:pStyle w:val="Heading1"/>
      </w:pPr>
      <w:bookmarkStart w:id="6" w:name="_Ref492894141"/>
      <w:bookmarkStart w:id="7" w:name="_Toc21682716"/>
      <w:r>
        <w:rPr>
          <w:noProof/>
          <w:lang w:eastAsia="en-AU"/>
        </w:rPr>
        <w:lastRenderedPageBreak/>
        <w:drawing>
          <wp:anchor distT="0" distB="0" distL="114300" distR="114300" simplePos="0" relativeHeight="251638784" behindDoc="1" locked="1" layoutInCell="1" allowOverlap="1" wp14:anchorId="418AA0E1" wp14:editId="7E4AA97B">
            <wp:simplePos x="0" y="0"/>
            <wp:positionH relativeFrom="page">
              <wp:align>right</wp:align>
            </wp:positionH>
            <wp:positionV relativeFrom="page">
              <wp:align>top</wp:align>
            </wp:positionV>
            <wp:extent cx="3132360" cy="2699280"/>
            <wp:effectExtent l="0" t="0" r="0" b="6350"/>
            <wp:wrapNone/>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1907417_DHHS Annual Report Section start 87x75m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2360" cy="2699280"/>
                    </a:xfrm>
                    <a:prstGeom prst="rect">
                      <a:avLst/>
                    </a:prstGeom>
                  </pic:spPr>
                </pic:pic>
              </a:graphicData>
            </a:graphic>
            <wp14:sizeRelH relativeFrom="page">
              <wp14:pctWidth>0</wp14:pctWidth>
            </wp14:sizeRelH>
            <wp14:sizeRelV relativeFrom="page">
              <wp14:pctHeight>0</wp14:pctHeight>
            </wp14:sizeRelV>
          </wp:anchor>
        </w:drawing>
      </w:r>
      <w:r w:rsidR="0092299C" w:rsidRPr="007939DD">
        <w:t>Introduction</w:t>
      </w:r>
      <w:bookmarkEnd w:id="6"/>
      <w:bookmarkEnd w:id="7"/>
    </w:p>
    <w:p w14:paraId="497FE591" w14:textId="77777777" w:rsidR="00761D45" w:rsidRPr="007939DD" w:rsidRDefault="00761D45" w:rsidP="00761D45">
      <w:pPr>
        <w:pStyle w:val="ARbody"/>
        <w:sectPr w:rsidR="00761D45" w:rsidRPr="007939DD" w:rsidSect="004B3C07">
          <w:endnotePr>
            <w:numFmt w:val="decimal"/>
          </w:endnotePr>
          <w:pgSz w:w="11900" w:h="16840" w:code="9"/>
          <w:pgMar w:top="3771" w:right="851" w:bottom="851" w:left="1418" w:header="510" w:footer="340" w:gutter="0"/>
          <w:cols w:space="720"/>
        </w:sectPr>
      </w:pPr>
    </w:p>
    <w:p w14:paraId="4A96B927" w14:textId="77777777" w:rsidR="002877A5" w:rsidRPr="00C33862" w:rsidRDefault="00472A56" w:rsidP="00217AF4">
      <w:pPr>
        <w:pStyle w:val="Heading2"/>
        <w:spacing w:before="200"/>
      </w:pPr>
      <w:r w:rsidRPr="00C33862">
        <w:t>Our v</w:t>
      </w:r>
      <w:r w:rsidR="002877A5" w:rsidRPr="00C33862">
        <w:t>ision</w:t>
      </w:r>
    </w:p>
    <w:p w14:paraId="1349DFF7" w14:textId="77777777" w:rsidR="002877A5" w:rsidRPr="00C33862" w:rsidRDefault="002877A5" w:rsidP="002877A5">
      <w:pPr>
        <w:pStyle w:val="ARbody"/>
      </w:pPr>
      <w:r w:rsidRPr="00C33862">
        <w:rPr>
          <w:lang w:eastAsia="en-AU"/>
        </w:rPr>
        <w:t>To achieve the best health, wellbeing and safety of all Victorians so that they can live a life they value.</w:t>
      </w:r>
    </w:p>
    <w:p w14:paraId="1421D58F" w14:textId="77777777" w:rsidR="002877A5" w:rsidRPr="00C33862" w:rsidRDefault="002877A5" w:rsidP="005F7104">
      <w:pPr>
        <w:pStyle w:val="Heading2"/>
      </w:pPr>
      <w:r w:rsidRPr="00C33862">
        <w:t>Our values</w:t>
      </w:r>
    </w:p>
    <w:p w14:paraId="710A85B8" w14:textId="0542111D" w:rsidR="002877A5" w:rsidRDefault="002403A3" w:rsidP="00505CCC">
      <w:pPr>
        <w:pStyle w:val="ARbody"/>
        <w:spacing w:after="0"/>
      </w:pPr>
      <w:r w:rsidRPr="00C33862">
        <w:t>Our values describe what we stand for at the department, how we want to make decisions and</w:t>
      </w:r>
      <w:r w:rsidR="00B3543E">
        <w:t> </w:t>
      </w:r>
      <w:r w:rsidRPr="00C33862">
        <w:t>how we expect each other to behave.</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08"/>
        <w:gridCol w:w="3880"/>
      </w:tblGrid>
      <w:tr w:rsidR="00505CCC" w:rsidRPr="002672CF" w14:paraId="6E417864" w14:textId="77777777" w:rsidTr="002907EF">
        <w:tc>
          <w:tcPr>
            <w:tcW w:w="708" w:type="dxa"/>
            <w:tcMar>
              <w:top w:w="57" w:type="dxa"/>
            </w:tcMar>
            <w:vAlign w:val="center"/>
          </w:tcPr>
          <w:p w14:paraId="3BB8DB94" w14:textId="0BAE4F3A" w:rsidR="00505CCC" w:rsidRPr="00C33862" w:rsidRDefault="002907EF" w:rsidP="00505CCC">
            <w:pPr>
              <w:pStyle w:val="ARbody"/>
            </w:pPr>
            <w:r>
              <w:rPr>
                <w:noProof/>
              </w:rPr>
              <w:drawing>
                <wp:inline distT="0" distB="0" distL="0" distR="0" wp14:anchorId="3922208A" wp14:editId="13A4240B">
                  <wp:extent cx="378000" cy="378000"/>
                  <wp:effectExtent l="0" t="0" r="3175" b="3175"/>
                  <wp:docPr id="24" name="Picture 2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c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p>
        </w:tc>
        <w:tc>
          <w:tcPr>
            <w:tcW w:w="3880" w:type="dxa"/>
            <w:tcMar>
              <w:top w:w="57" w:type="dxa"/>
            </w:tcMar>
            <w:vAlign w:val="center"/>
          </w:tcPr>
          <w:p w14:paraId="3DCCA0CC" w14:textId="77777777" w:rsidR="00505CCC" w:rsidRPr="00C33862" w:rsidRDefault="00505CCC" w:rsidP="00505CCC">
            <w:pPr>
              <w:pStyle w:val="ARbody"/>
              <w:spacing w:before="120"/>
            </w:pPr>
            <w:r w:rsidRPr="00C33862">
              <w:rPr>
                <w:b/>
                <w:color w:val="004EA8"/>
                <w:sz w:val="22"/>
                <w:szCs w:val="22"/>
              </w:rPr>
              <w:t>We are respectful</w:t>
            </w:r>
          </w:p>
        </w:tc>
      </w:tr>
    </w:tbl>
    <w:p w14:paraId="60B47CB4" w14:textId="2CDB165D" w:rsidR="00E57200" w:rsidRPr="0031278D" w:rsidRDefault="00E57200" w:rsidP="0031278D">
      <w:pPr>
        <w:pStyle w:val="ARbullet1"/>
        <w:ind w:left="567"/>
      </w:pPr>
      <w:r w:rsidRPr="0031278D">
        <w:t>We treat people with fairness, objectivity and</w:t>
      </w:r>
      <w:r w:rsidR="00B3543E">
        <w:t> </w:t>
      </w:r>
      <w:r w:rsidRPr="0031278D">
        <w:t>courtesy.</w:t>
      </w:r>
    </w:p>
    <w:p w14:paraId="0720E048" w14:textId="46C946B3" w:rsidR="00E57200" w:rsidRPr="0031278D" w:rsidRDefault="00E57200" w:rsidP="0031278D">
      <w:pPr>
        <w:pStyle w:val="ARbullet1"/>
        <w:ind w:left="567"/>
      </w:pPr>
      <w:r w:rsidRPr="0031278D">
        <w:t>We listen and communicate honestly and</w:t>
      </w:r>
      <w:r w:rsidR="00B3543E">
        <w:t> </w:t>
      </w:r>
      <w:r w:rsidRPr="0031278D">
        <w:t>clearly.</w:t>
      </w:r>
    </w:p>
    <w:p w14:paraId="1348EA4C" w14:textId="77777777" w:rsidR="00E57200" w:rsidRPr="0031278D" w:rsidRDefault="00E57200" w:rsidP="0031278D">
      <w:pPr>
        <w:pStyle w:val="ARbullet1"/>
        <w:ind w:left="567"/>
      </w:pPr>
      <w:r w:rsidRPr="0031278D">
        <w:t>We seek to understand others’ perspectives, experiences and contributions.</w:t>
      </w:r>
    </w:p>
    <w:p w14:paraId="6F512BAA" w14:textId="77777777" w:rsidR="00E57200" w:rsidRPr="0031278D" w:rsidRDefault="00E57200" w:rsidP="0031278D">
      <w:pPr>
        <w:pStyle w:val="ARbullet1"/>
        <w:ind w:left="567"/>
      </w:pPr>
      <w:r w:rsidRPr="0031278D">
        <w:t>We recognise and value people’s diversity, equality and human rights.</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08"/>
        <w:gridCol w:w="3880"/>
      </w:tblGrid>
      <w:tr w:rsidR="00505CCC" w:rsidRPr="002672CF" w14:paraId="45715B0F" w14:textId="77777777" w:rsidTr="00B3543E">
        <w:tc>
          <w:tcPr>
            <w:tcW w:w="678" w:type="dxa"/>
            <w:tcMar>
              <w:top w:w="57" w:type="dxa"/>
            </w:tcMar>
            <w:vAlign w:val="center"/>
          </w:tcPr>
          <w:p w14:paraId="18051298" w14:textId="77777777" w:rsidR="00505CCC" w:rsidRPr="00C33862" w:rsidRDefault="00505CCC" w:rsidP="00505CCC">
            <w:pPr>
              <w:pStyle w:val="ARbody"/>
            </w:pPr>
            <w:r w:rsidRPr="00C33862">
              <w:rPr>
                <w:noProof/>
                <w:sz w:val="32"/>
                <w:szCs w:val="32"/>
                <w:lang w:eastAsia="en-AU"/>
              </w:rPr>
              <w:drawing>
                <wp:inline distT="0" distB="0" distL="0" distR="0" wp14:anchorId="112E3D56" wp14:editId="44090307">
                  <wp:extent cx="378000" cy="378000"/>
                  <wp:effectExtent l="0" t="0" r="3175" b="3175"/>
                  <wp:docPr id="146" name="Picture 14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on"/>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78000" cy="378000"/>
                          </a:xfrm>
                          <a:prstGeom prst="rect">
                            <a:avLst/>
                          </a:prstGeom>
                          <a:noFill/>
                          <a:ln>
                            <a:noFill/>
                          </a:ln>
                        </pic:spPr>
                      </pic:pic>
                    </a:graphicData>
                  </a:graphic>
                </wp:inline>
              </w:drawing>
            </w:r>
          </w:p>
        </w:tc>
        <w:tc>
          <w:tcPr>
            <w:tcW w:w="3910" w:type="dxa"/>
            <w:tcMar>
              <w:top w:w="57" w:type="dxa"/>
            </w:tcMar>
            <w:vAlign w:val="center"/>
          </w:tcPr>
          <w:p w14:paraId="15A7122F" w14:textId="77777777" w:rsidR="00505CCC" w:rsidRPr="00C33862" w:rsidRDefault="00505CCC" w:rsidP="00505CCC">
            <w:pPr>
              <w:pStyle w:val="ARbody"/>
              <w:spacing w:before="120"/>
            </w:pPr>
            <w:r w:rsidRPr="00C33862">
              <w:rPr>
                <w:b/>
                <w:color w:val="004EA8"/>
                <w:sz w:val="22"/>
                <w:szCs w:val="22"/>
              </w:rPr>
              <w:t>We have integrity</w:t>
            </w:r>
          </w:p>
        </w:tc>
      </w:tr>
    </w:tbl>
    <w:p w14:paraId="28BF1AF4" w14:textId="52B0AA70" w:rsidR="00E57200" w:rsidRPr="00C33862" w:rsidRDefault="00E57200" w:rsidP="0031278D">
      <w:pPr>
        <w:pStyle w:val="ARbullet1"/>
        <w:ind w:left="567"/>
      </w:pPr>
      <w:r w:rsidRPr="00C33862">
        <w:t>We are trustworthy, and we do what we say</w:t>
      </w:r>
      <w:r w:rsidR="00B3543E">
        <w:t> </w:t>
      </w:r>
      <w:r w:rsidRPr="00C33862">
        <w:t>we will do.</w:t>
      </w:r>
    </w:p>
    <w:p w14:paraId="4679C793" w14:textId="09879379" w:rsidR="00E57200" w:rsidRPr="00C33862" w:rsidRDefault="00E57200" w:rsidP="0031278D">
      <w:pPr>
        <w:pStyle w:val="ARbullet1"/>
        <w:ind w:left="567"/>
      </w:pPr>
      <w:r w:rsidRPr="00C33862">
        <w:t>We are professional in all our dealings with</w:t>
      </w:r>
      <w:r w:rsidR="00B3543E">
        <w:t> </w:t>
      </w:r>
      <w:r w:rsidRPr="00C33862">
        <w:t>others.</w:t>
      </w:r>
    </w:p>
    <w:p w14:paraId="48EA3070" w14:textId="46673CD6" w:rsidR="00505CCC" w:rsidRPr="00C33862" w:rsidRDefault="00E57200" w:rsidP="0031278D">
      <w:pPr>
        <w:pStyle w:val="ARbullet1"/>
        <w:ind w:left="567"/>
      </w:pPr>
      <w:r w:rsidRPr="00C33862">
        <w:t>We stay true to our values when it is easy</w:t>
      </w:r>
      <w:r w:rsidR="00B3543E">
        <w:t> </w:t>
      </w:r>
      <w:r w:rsidRPr="00C33862">
        <w:t>and when it is difficult.</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08"/>
        <w:gridCol w:w="3880"/>
      </w:tblGrid>
      <w:tr w:rsidR="00505CCC" w:rsidRPr="002672CF" w14:paraId="4D1C142A" w14:textId="77777777" w:rsidTr="00B3543E">
        <w:tc>
          <w:tcPr>
            <w:tcW w:w="678" w:type="dxa"/>
            <w:vAlign w:val="center"/>
          </w:tcPr>
          <w:p w14:paraId="5B5110F4" w14:textId="1ADAF4E0" w:rsidR="00505CCC" w:rsidRPr="00C33862" w:rsidRDefault="00505CCC" w:rsidP="00505CCC">
            <w:pPr>
              <w:pStyle w:val="ARbody"/>
              <w:spacing w:before="120"/>
            </w:pPr>
            <w:r w:rsidRPr="00C33862">
              <w:br w:type="column"/>
            </w:r>
            <w:r w:rsidR="005F18A7" w:rsidRPr="00C33862">
              <w:rPr>
                <w:noProof/>
                <w:sz w:val="32"/>
                <w:szCs w:val="32"/>
                <w:lang w:eastAsia="en-AU"/>
              </w:rPr>
              <w:drawing>
                <wp:inline distT="0" distB="0" distL="0" distR="0" wp14:anchorId="5CF0FB22" wp14:editId="0351A34B">
                  <wp:extent cx="378000" cy="378000"/>
                  <wp:effectExtent l="0" t="0" r="3175" b="3175"/>
                  <wp:docPr id="264" name="Picture 26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78000" cy="378000"/>
                          </a:xfrm>
                          <a:prstGeom prst="rect">
                            <a:avLst/>
                          </a:prstGeom>
                          <a:noFill/>
                          <a:ln>
                            <a:noFill/>
                          </a:ln>
                        </pic:spPr>
                      </pic:pic>
                    </a:graphicData>
                  </a:graphic>
                </wp:inline>
              </w:drawing>
            </w:r>
          </w:p>
        </w:tc>
        <w:tc>
          <w:tcPr>
            <w:tcW w:w="3910" w:type="dxa"/>
            <w:vAlign w:val="center"/>
          </w:tcPr>
          <w:p w14:paraId="5004396E" w14:textId="77777777" w:rsidR="00505CCC" w:rsidRPr="00C33862" w:rsidRDefault="00505CCC" w:rsidP="00505CCC">
            <w:pPr>
              <w:pStyle w:val="ARbody"/>
              <w:spacing w:before="120"/>
            </w:pPr>
            <w:r w:rsidRPr="00C33862">
              <w:rPr>
                <w:b/>
                <w:color w:val="004EA8"/>
                <w:sz w:val="22"/>
                <w:szCs w:val="22"/>
              </w:rPr>
              <w:t>We collaborate</w:t>
            </w:r>
          </w:p>
        </w:tc>
      </w:tr>
    </w:tbl>
    <w:p w14:paraId="493E7BFB" w14:textId="77777777" w:rsidR="00E57200" w:rsidRPr="00C33862" w:rsidRDefault="00E57200" w:rsidP="0031278D">
      <w:pPr>
        <w:pStyle w:val="ARbullet1"/>
        <w:ind w:left="567"/>
      </w:pPr>
      <w:r w:rsidRPr="00C33862">
        <w:t>We help each other as colleagues.</w:t>
      </w:r>
    </w:p>
    <w:p w14:paraId="7D271529" w14:textId="77777777" w:rsidR="00E57200" w:rsidRPr="00C33862" w:rsidRDefault="00E57200" w:rsidP="0031278D">
      <w:pPr>
        <w:pStyle w:val="ARbullet1"/>
        <w:ind w:left="567"/>
      </w:pPr>
      <w:r w:rsidRPr="00C33862">
        <w:t>We generously share our knowledge, expertise and skills.</w:t>
      </w:r>
    </w:p>
    <w:p w14:paraId="5F63C2F3" w14:textId="77777777" w:rsidR="00E57200" w:rsidRPr="00C33862" w:rsidRDefault="00E57200" w:rsidP="0031278D">
      <w:pPr>
        <w:pStyle w:val="ARbullet1"/>
        <w:ind w:left="567"/>
      </w:pPr>
      <w:r w:rsidRPr="00C33862">
        <w:t>We work in partnership with people and organisations to find the best approach.</w:t>
      </w:r>
    </w:p>
    <w:p w14:paraId="113AC443" w14:textId="675D448D" w:rsidR="00E57200" w:rsidRPr="00C33862" w:rsidRDefault="00E57200" w:rsidP="0031278D">
      <w:pPr>
        <w:pStyle w:val="ARbullet1"/>
        <w:ind w:left="567"/>
      </w:pPr>
      <w:r w:rsidRPr="00C33862">
        <w:t>We are inclusive and seek people’s input and</w:t>
      </w:r>
      <w:r w:rsidR="00B3543E">
        <w:t> </w:t>
      </w:r>
      <w:r w:rsidRPr="00C33862">
        <w:t>involvement.</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08"/>
        <w:gridCol w:w="3880"/>
      </w:tblGrid>
      <w:tr w:rsidR="00505CCC" w:rsidRPr="002672CF" w14:paraId="3A0612D0" w14:textId="77777777" w:rsidTr="00B3543E">
        <w:tc>
          <w:tcPr>
            <w:tcW w:w="678" w:type="dxa"/>
            <w:vAlign w:val="center"/>
          </w:tcPr>
          <w:p w14:paraId="16880BF8" w14:textId="77777777" w:rsidR="00505CCC" w:rsidRPr="00C33862" w:rsidRDefault="00505CCC" w:rsidP="00505CCC">
            <w:pPr>
              <w:pStyle w:val="ARbody"/>
              <w:spacing w:before="120"/>
            </w:pPr>
            <w:r w:rsidRPr="00C33862">
              <w:rPr>
                <w:noProof/>
                <w:sz w:val="32"/>
                <w:szCs w:val="32"/>
                <w:lang w:eastAsia="en-AU"/>
              </w:rPr>
              <w:drawing>
                <wp:inline distT="0" distB="0" distL="0" distR="0" wp14:anchorId="2DA59D12" wp14:editId="7CF660DF">
                  <wp:extent cx="378000" cy="378000"/>
                  <wp:effectExtent l="0" t="0" r="3175" b="3175"/>
                  <wp:docPr id="143" name="Picture 14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78000" cy="378000"/>
                          </a:xfrm>
                          <a:prstGeom prst="rect">
                            <a:avLst/>
                          </a:prstGeom>
                          <a:noFill/>
                          <a:ln>
                            <a:noFill/>
                          </a:ln>
                        </pic:spPr>
                      </pic:pic>
                    </a:graphicData>
                  </a:graphic>
                </wp:inline>
              </w:drawing>
            </w:r>
          </w:p>
        </w:tc>
        <w:tc>
          <w:tcPr>
            <w:tcW w:w="3910" w:type="dxa"/>
            <w:vAlign w:val="center"/>
          </w:tcPr>
          <w:p w14:paraId="7C3FE376" w14:textId="3AAA8659" w:rsidR="00505CCC" w:rsidRPr="00C33862" w:rsidRDefault="00505CCC" w:rsidP="00505CCC">
            <w:pPr>
              <w:pStyle w:val="ARbody"/>
              <w:spacing w:before="120"/>
            </w:pPr>
            <w:r w:rsidRPr="00C33862">
              <w:rPr>
                <w:b/>
                <w:color w:val="004EA8"/>
                <w:sz w:val="22"/>
                <w:szCs w:val="22"/>
              </w:rPr>
              <w:t>We care for people, families and</w:t>
            </w:r>
            <w:r w:rsidR="00B3543E">
              <w:rPr>
                <w:b/>
                <w:color w:val="004EA8"/>
                <w:sz w:val="22"/>
                <w:szCs w:val="22"/>
              </w:rPr>
              <w:t> </w:t>
            </w:r>
            <w:r w:rsidRPr="00C33862">
              <w:rPr>
                <w:b/>
                <w:color w:val="004EA8"/>
                <w:sz w:val="22"/>
                <w:szCs w:val="22"/>
              </w:rPr>
              <w:t>communities</w:t>
            </w:r>
          </w:p>
        </w:tc>
      </w:tr>
    </w:tbl>
    <w:p w14:paraId="160C939A" w14:textId="77777777" w:rsidR="00E57200" w:rsidRPr="00C33862" w:rsidRDefault="00E57200" w:rsidP="0031278D">
      <w:pPr>
        <w:pStyle w:val="ARbullet1"/>
        <w:ind w:left="567"/>
      </w:pPr>
      <w:r w:rsidRPr="00C33862">
        <w:t>We involve people in decisions that affect their lives.</w:t>
      </w:r>
    </w:p>
    <w:p w14:paraId="7B872CD8" w14:textId="4821F820" w:rsidR="00E57200" w:rsidRPr="00C33862" w:rsidRDefault="00E57200" w:rsidP="0031278D">
      <w:pPr>
        <w:pStyle w:val="ARbullet1"/>
        <w:ind w:left="567"/>
      </w:pPr>
      <w:r w:rsidRPr="00C33862">
        <w:t>We value our colleagues, and we develop and support them to be resilient and effective.</w:t>
      </w:r>
    </w:p>
    <w:p w14:paraId="0BD059A0" w14:textId="77777777" w:rsidR="00E57200" w:rsidRPr="00C33862" w:rsidRDefault="00E57200" w:rsidP="0031278D">
      <w:pPr>
        <w:pStyle w:val="ARbullet1"/>
        <w:ind w:left="567"/>
      </w:pPr>
      <w:r w:rsidRPr="00C33862">
        <w:t>We have empathy for people and seek to</w:t>
      </w:r>
      <w:r w:rsidR="002672CF">
        <w:t xml:space="preserve"> </w:t>
      </w:r>
      <w:r w:rsidRPr="00C33862">
        <w:t>understand their perspectives.</w:t>
      </w:r>
    </w:p>
    <w:p w14:paraId="530B0C0A" w14:textId="77777777" w:rsidR="00505CCC" w:rsidRPr="00C33862" w:rsidRDefault="00E57200" w:rsidP="0031278D">
      <w:pPr>
        <w:pStyle w:val="ARbullet1"/>
        <w:ind w:left="567"/>
      </w:pPr>
      <w:r w:rsidRPr="00C33862">
        <w:t>We support and empower people through our work.</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08"/>
        <w:gridCol w:w="3880"/>
      </w:tblGrid>
      <w:tr w:rsidR="00505CCC" w:rsidRPr="002672CF" w14:paraId="0BEA1229" w14:textId="77777777" w:rsidTr="00B3543E">
        <w:tc>
          <w:tcPr>
            <w:tcW w:w="678" w:type="dxa"/>
            <w:vAlign w:val="center"/>
          </w:tcPr>
          <w:p w14:paraId="69D9CF52" w14:textId="77777777" w:rsidR="00505CCC" w:rsidRPr="00C33862" w:rsidRDefault="00505CCC" w:rsidP="00505CCC">
            <w:pPr>
              <w:pStyle w:val="ARbody"/>
              <w:spacing w:before="120"/>
            </w:pPr>
            <w:r w:rsidRPr="00C33862">
              <w:rPr>
                <w:noProof/>
                <w:sz w:val="32"/>
                <w:szCs w:val="32"/>
                <w:lang w:eastAsia="en-AU"/>
              </w:rPr>
              <w:drawing>
                <wp:inline distT="0" distB="0" distL="0" distR="0" wp14:anchorId="7C948641" wp14:editId="7F876159">
                  <wp:extent cx="378000" cy="378000"/>
                  <wp:effectExtent l="0" t="0" r="3175" b="3175"/>
                  <wp:docPr id="142" name="Picture 14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78000" cy="378000"/>
                          </a:xfrm>
                          <a:prstGeom prst="rect">
                            <a:avLst/>
                          </a:prstGeom>
                          <a:noFill/>
                          <a:ln>
                            <a:noFill/>
                          </a:ln>
                        </pic:spPr>
                      </pic:pic>
                    </a:graphicData>
                  </a:graphic>
                </wp:inline>
              </w:drawing>
            </w:r>
          </w:p>
        </w:tc>
        <w:tc>
          <w:tcPr>
            <w:tcW w:w="3910" w:type="dxa"/>
            <w:vAlign w:val="center"/>
          </w:tcPr>
          <w:p w14:paraId="63F36802" w14:textId="77777777" w:rsidR="00505CCC" w:rsidRPr="00C33862" w:rsidRDefault="00505CCC" w:rsidP="00505CCC">
            <w:pPr>
              <w:pStyle w:val="ARbody"/>
              <w:spacing w:before="120"/>
            </w:pPr>
            <w:r w:rsidRPr="00C33862">
              <w:rPr>
                <w:b/>
                <w:color w:val="004EA8"/>
                <w:sz w:val="22"/>
                <w:szCs w:val="22"/>
              </w:rPr>
              <w:t>We are accountable</w:t>
            </w:r>
          </w:p>
        </w:tc>
      </w:tr>
    </w:tbl>
    <w:p w14:paraId="2DC764EB" w14:textId="41B02F18" w:rsidR="00E57200" w:rsidRPr="00C33862" w:rsidRDefault="00E57200" w:rsidP="0031278D">
      <w:pPr>
        <w:pStyle w:val="ARbullet1"/>
        <w:ind w:left="567"/>
      </w:pPr>
      <w:r w:rsidRPr="00C33862">
        <w:t>We each take ownership of the quality and</w:t>
      </w:r>
      <w:r w:rsidR="00B3543E">
        <w:t> </w:t>
      </w:r>
      <w:r w:rsidRPr="00C33862">
        <w:t>demonstrable impacts of our work.</w:t>
      </w:r>
    </w:p>
    <w:p w14:paraId="557763C9" w14:textId="188E1952" w:rsidR="00E57200" w:rsidRPr="00C33862" w:rsidRDefault="00E57200" w:rsidP="0031278D">
      <w:pPr>
        <w:pStyle w:val="ARbullet1"/>
        <w:ind w:left="567"/>
      </w:pPr>
      <w:r w:rsidRPr="00C33862">
        <w:t>We ensure that our decisions and actions are</w:t>
      </w:r>
      <w:r w:rsidR="00B3543E">
        <w:t> </w:t>
      </w:r>
      <w:r w:rsidRPr="00C33862">
        <w:t>evidence based and outcomes focused.</w:t>
      </w:r>
    </w:p>
    <w:p w14:paraId="603BFCBF" w14:textId="77777777" w:rsidR="00E57200" w:rsidRPr="00C33862" w:rsidRDefault="00E57200" w:rsidP="0031278D">
      <w:pPr>
        <w:pStyle w:val="ARbullet1"/>
        <w:ind w:left="567"/>
      </w:pPr>
      <w:r w:rsidRPr="00C33862">
        <w:t>We are careful about and transparent in how we use public resources.</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08"/>
        <w:gridCol w:w="3880"/>
      </w:tblGrid>
      <w:tr w:rsidR="00505CCC" w:rsidRPr="002672CF" w14:paraId="4456ADD9" w14:textId="77777777" w:rsidTr="00B3543E">
        <w:tc>
          <w:tcPr>
            <w:tcW w:w="678" w:type="dxa"/>
            <w:vAlign w:val="center"/>
          </w:tcPr>
          <w:p w14:paraId="785C0659" w14:textId="77777777" w:rsidR="00505CCC" w:rsidRPr="00C33862" w:rsidRDefault="00505CCC" w:rsidP="00505CCC">
            <w:pPr>
              <w:pStyle w:val="ARbody"/>
              <w:spacing w:before="120"/>
            </w:pPr>
            <w:r w:rsidRPr="00C33862">
              <w:rPr>
                <w:noProof/>
                <w:sz w:val="32"/>
                <w:szCs w:val="32"/>
                <w:lang w:eastAsia="en-AU"/>
              </w:rPr>
              <w:drawing>
                <wp:inline distT="0" distB="0" distL="0" distR="0" wp14:anchorId="41A0DE59" wp14:editId="4D4AF884">
                  <wp:extent cx="378000" cy="378000"/>
                  <wp:effectExtent l="0" t="0" r="3175" b="3175"/>
                  <wp:docPr id="140" name="Picture 14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78000" cy="378000"/>
                          </a:xfrm>
                          <a:prstGeom prst="rect">
                            <a:avLst/>
                          </a:prstGeom>
                          <a:noFill/>
                          <a:ln>
                            <a:noFill/>
                          </a:ln>
                        </pic:spPr>
                      </pic:pic>
                    </a:graphicData>
                  </a:graphic>
                </wp:inline>
              </w:drawing>
            </w:r>
          </w:p>
        </w:tc>
        <w:tc>
          <w:tcPr>
            <w:tcW w:w="3910" w:type="dxa"/>
            <w:vAlign w:val="center"/>
          </w:tcPr>
          <w:p w14:paraId="7D6C71CD" w14:textId="77777777" w:rsidR="00505CCC" w:rsidRPr="00C33862" w:rsidRDefault="00505CCC" w:rsidP="00505CCC">
            <w:pPr>
              <w:pStyle w:val="ARbody"/>
              <w:spacing w:before="120"/>
            </w:pPr>
            <w:r w:rsidRPr="00C33862">
              <w:rPr>
                <w:b/>
                <w:color w:val="004EA8"/>
                <w:sz w:val="22"/>
                <w:szCs w:val="22"/>
              </w:rPr>
              <w:t>We are innovative</w:t>
            </w:r>
          </w:p>
        </w:tc>
      </w:tr>
    </w:tbl>
    <w:p w14:paraId="4C5838B8" w14:textId="0088C354" w:rsidR="00E57200" w:rsidRPr="00C33862" w:rsidRDefault="00E57200" w:rsidP="0031278D">
      <w:pPr>
        <w:pStyle w:val="ARbullet1"/>
        <w:ind w:left="567"/>
      </w:pPr>
      <w:r w:rsidRPr="00C33862">
        <w:t>We are flexible, creative and responsive to</w:t>
      </w:r>
      <w:r w:rsidR="00B3543E">
        <w:t> </w:t>
      </w:r>
      <w:r w:rsidRPr="00C33862">
        <w:t>changing needs.</w:t>
      </w:r>
    </w:p>
    <w:p w14:paraId="6F84D158" w14:textId="1182A520" w:rsidR="00E57200" w:rsidRPr="00C33862" w:rsidRDefault="00E57200" w:rsidP="0031278D">
      <w:pPr>
        <w:pStyle w:val="ARbullet1"/>
        <w:ind w:left="567"/>
      </w:pPr>
      <w:r w:rsidRPr="00C33862">
        <w:t>We have the courage to take informed risks</w:t>
      </w:r>
      <w:r w:rsidR="00B3543E">
        <w:t> </w:t>
      </w:r>
      <w:r w:rsidRPr="00C33862">
        <w:t>and try something new.</w:t>
      </w:r>
    </w:p>
    <w:p w14:paraId="55600964" w14:textId="5A94558E" w:rsidR="00E57200" w:rsidRPr="00C33862" w:rsidRDefault="00E57200" w:rsidP="0031278D">
      <w:pPr>
        <w:pStyle w:val="ARbullet1"/>
        <w:ind w:left="567"/>
      </w:pPr>
      <w:r w:rsidRPr="00C33862">
        <w:t>We are reflective and seek feedback to</w:t>
      </w:r>
      <w:r w:rsidR="00B3543E">
        <w:t> </w:t>
      </w:r>
      <w:r w:rsidRPr="00C33862">
        <w:t>inform and shape our work.</w:t>
      </w:r>
    </w:p>
    <w:p w14:paraId="605514DF" w14:textId="2DDEF1CC" w:rsidR="00505CCC" w:rsidRPr="00C33862" w:rsidRDefault="00505CCC" w:rsidP="00761D45">
      <w:pPr>
        <w:pStyle w:val="ARbodyafterbullets"/>
      </w:pPr>
      <w:r w:rsidRPr="00C33862">
        <w:t xml:space="preserve">The values are available in full at </w:t>
      </w:r>
      <w:hyperlink r:id="rId33" w:history="1">
        <w:r w:rsidRPr="00C33862">
          <w:rPr>
            <w:rStyle w:val="Hyperlink"/>
          </w:rPr>
          <w:t>Our values</w:t>
        </w:r>
      </w:hyperlink>
      <w:r w:rsidRPr="00C33862">
        <w:t xml:space="preserve"> &lt;https://www.dhhs.vic.gov.au/our-values&gt;.</w:t>
      </w:r>
    </w:p>
    <w:p w14:paraId="3B0E9D28" w14:textId="77777777" w:rsidR="00BE14AF" w:rsidRPr="0031278D" w:rsidRDefault="00BE14AF" w:rsidP="00761D45">
      <w:pPr>
        <w:pStyle w:val="ARbodyafterbullets"/>
      </w:pPr>
    </w:p>
    <w:p w14:paraId="3AAFE1D2" w14:textId="77777777" w:rsidR="00BE14AF" w:rsidRPr="0031278D" w:rsidRDefault="00BE14AF" w:rsidP="00761D45">
      <w:pPr>
        <w:pStyle w:val="ARbodyafterbullets"/>
        <w:sectPr w:rsidR="00BE14AF" w:rsidRPr="0031278D" w:rsidSect="004B3C07">
          <w:endnotePr>
            <w:numFmt w:val="decimal"/>
          </w:endnotePr>
          <w:type w:val="continuous"/>
          <w:pgSz w:w="11900" w:h="16840" w:code="9"/>
          <w:pgMar w:top="1985" w:right="851" w:bottom="851" w:left="1418" w:header="510" w:footer="340" w:gutter="0"/>
          <w:cols w:num="2" w:space="454"/>
        </w:sectPr>
      </w:pPr>
    </w:p>
    <w:p w14:paraId="08770A69" w14:textId="77777777" w:rsidR="002877A5" w:rsidRPr="0031278D" w:rsidRDefault="002877A5" w:rsidP="00505CCC">
      <w:pPr>
        <w:pStyle w:val="Heading2"/>
        <w:spacing w:before="0"/>
      </w:pPr>
      <w:r w:rsidRPr="0031278D">
        <w:lastRenderedPageBreak/>
        <w:t>Outcomes</w:t>
      </w:r>
    </w:p>
    <w:p w14:paraId="59D71ECE" w14:textId="4CF81447" w:rsidR="006953EA" w:rsidRPr="0031278D" w:rsidRDefault="006953EA" w:rsidP="006953EA">
      <w:pPr>
        <w:pStyle w:val="ARbody"/>
      </w:pPr>
      <w:r w:rsidRPr="0031278D">
        <w:t>Our department is increasing how we use outcomes to monitor, measure and improve the lives of Victorians and drive tangible improvements for some of our most complex and enduring issues. Focusing on outcomes allows us to better understand the impact our work has on the lives of</w:t>
      </w:r>
      <w:r w:rsidR="00296591">
        <w:t> </w:t>
      </w:r>
      <w:r w:rsidRPr="0031278D">
        <w:t>people and communities, and build the evidence of what works, what does not work, and why.</w:t>
      </w:r>
    </w:p>
    <w:p w14:paraId="2CC5BBAC" w14:textId="172498CB" w:rsidR="006953EA" w:rsidRPr="00C33120" w:rsidRDefault="006953EA" w:rsidP="006953EA">
      <w:pPr>
        <w:pStyle w:val="ARbody"/>
      </w:pPr>
      <w:r w:rsidRPr="0031278D">
        <w:t>Our outcomes approach puts people at the centre of how we plan, design and evaluate service</w:t>
      </w:r>
      <w:r>
        <w:t>s</w:t>
      </w:r>
      <w:r w:rsidRPr="00C33120">
        <w:t>. This</w:t>
      </w:r>
      <w:r w:rsidR="00B3543E">
        <w:t> </w:t>
      </w:r>
      <w:r w:rsidRPr="00C33120">
        <w:t>allows us to adjust our effort</w:t>
      </w:r>
      <w:r>
        <w:t>s</w:t>
      </w:r>
      <w:r w:rsidRPr="00C33120">
        <w:t xml:space="preserve"> to ensure that services and supports are effective and delivered at the right place and at the right time. It complements the essential work of measuring inputs, activities and outputs,</w:t>
      </w:r>
      <w:r>
        <w:t xml:space="preserve"> to assure value from public investment in our services</w:t>
      </w:r>
      <w:r w:rsidRPr="00C33120">
        <w:t>.</w:t>
      </w:r>
    </w:p>
    <w:p w14:paraId="38BD9279" w14:textId="77777777" w:rsidR="006953EA" w:rsidRPr="00C33120" w:rsidRDefault="006953EA" w:rsidP="006953EA">
      <w:pPr>
        <w:pStyle w:val="ARbody"/>
      </w:pPr>
      <w:r w:rsidRPr="00C33120">
        <w:t>The department’s outcomes framework is the organising structure that communicates our key priorities in a way that is meaningful for Victorians,</w:t>
      </w:r>
      <w:r>
        <w:t xml:space="preserve"> as well as explaining</w:t>
      </w:r>
      <w:r w:rsidRPr="00C33120">
        <w:t xml:space="preserve"> why </w:t>
      </w:r>
      <w:r>
        <w:t>our priorities</w:t>
      </w:r>
      <w:r w:rsidRPr="00C33120">
        <w:t xml:space="preserve"> matter and what success looks like. </w:t>
      </w:r>
      <w:r>
        <w:t xml:space="preserve">Our key results reflect </w:t>
      </w:r>
      <w:r w:rsidRPr="00C33120">
        <w:t>the health, wellbeing, social, economic and safety outcomes that support people to live a life they value across the following five domains:</w:t>
      </w:r>
    </w:p>
    <w:p w14:paraId="5BA8EF64" w14:textId="77777777" w:rsidR="006953EA" w:rsidRPr="00C33120" w:rsidRDefault="006953EA" w:rsidP="006953EA">
      <w:pPr>
        <w:pStyle w:val="ARbullet1"/>
      </w:pPr>
      <w:r w:rsidRPr="00C33120">
        <w:t>Victorians are healthy and well</w:t>
      </w:r>
    </w:p>
    <w:p w14:paraId="7AF4BB72" w14:textId="77777777" w:rsidR="006953EA" w:rsidRPr="00C33120" w:rsidRDefault="006953EA" w:rsidP="006953EA">
      <w:pPr>
        <w:pStyle w:val="ARbullet1"/>
      </w:pPr>
      <w:r w:rsidRPr="00C33120">
        <w:t>Victorians are safe and secure</w:t>
      </w:r>
    </w:p>
    <w:p w14:paraId="19C808BD" w14:textId="77777777" w:rsidR="006953EA" w:rsidRPr="00C33120" w:rsidRDefault="006953EA" w:rsidP="006953EA">
      <w:pPr>
        <w:pStyle w:val="ARbullet1"/>
      </w:pPr>
      <w:r w:rsidRPr="00C33120">
        <w:t>Victorians have the capabilities to participate</w:t>
      </w:r>
    </w:p>
    <w:p w14:paraId="2A040C1C" w14:textId="77777777" w:rsidR="006953EA" w:rsidRPr="00C33120" w:rsidRDefault="006953EA" w:rsidP="006953EA">
      <w:pPr>
        <w:pStyle w:val="ARbullet1"/>
      </w:pPr>
      <w:r w:rsidRPr="00C33120">
        <w:t>Victorians are connected to culture and community</w:t>
      </w:r>
    </w:p>
    <w:p w14:paraId="785152A7" w14:textId="7A667F31" w:rsidR="006953EA" w:rsidRPr="00C33120" w:rsidRDefault="006953EA" w:rsidP="006953EA">
      <w:pPr>
        <w:pStyle w:val="ARbullet1"/>
      </w:pPr>
      <w:r w:rsidRPr="00C33120">
        <w:t>Victorian health and human services are person</w:t>
      </w:r>
      <w:r w:rsidR="00B3543E">
        <w:t> </w:t>
      </w:r>
      <w:r w:rsidRPr="00C33120">
        <w:t>centred and sustainable.</w:t>
      </w:r>
    </w:p>
    <w:p w14:paraId="62DCD19E" w14:textId="7D2DED93" w:rsidR="006953EA" w:rsidRPr="00C33120" w:rsidRDefault="006953EA" w:rsidP="006953EA">
      <w:pPr>
        <w:pStyle w:val="ARbodyafterbullets"/>
      </w:pPr>
      <w:r>
        <w:br w:type="column"/>
      </w:r>
      <w:r w:rsidRPr="00C33120">
        <w:t xml:space="preserve">This year, </w:t>
      </w:r>
      <w:r>
        <w:t xml:space="preserve">we added </w:t>
      </w:r>
      <w:r w:rsidRPr="00C33120">
        <w:t>four new key results to the outcomes framework to reflect machinery-of-government changes and government priorities for</w:t>
      </w:r>
      <w:r w:rsidR="00B3543E">
        <w:t> </w:t>
      </w:r>
      <w:r w:rsidRPr="00C33120">
        <w:t>the next four years.</w:t>
      </w:r>
    </w:p>
    <w:p w14:paraId="37074D1C" w14:textId="77777777" w:rsidR="008D124E" w:rsidRDefault="006953EA" w:rsidP="006953EA">
      <w:pPr>
        <w:pStyle w:val="ARbody"/>
      </w:pPr>
      <w:r w:rsidRPr="00C33120">
        <w:t xml:space="preserve">Monitoring outcomes </w:t>
      </w:r>
      <w:r>
        <w:t>increases</w:t>
      </w:r>
      <w:r w:rsidRPr="00C33120">
        <w:t xml:space="preserve"> our capability to measure the impact of our services for patients and</w:t>
      </w:r>
      <w:r w:rsidR="00B3543E">
        <w:t> </w:t>
      </w:r>
      <w:r w:rsidRPr="00C33120">
        <w:t>clients, as well as track our global measures of</w:t>
      </w:r>
      <w:r w:rsidR="00B3543E">
        <w:t> </w:t>
      </w:r>
      <w:r w:rsidRPr="00C33120">
        <w:t>population health, wellbeing and safety.</w:t>
      </w:r>
    </w:p>
    <w:p w14:paraId="7B8D31BD" w14:textId="5D76F0F8" w:rsidR="006953EA" w:rsidRPr="00C33120" w:rsidRDefault="006953EA" w:rsidP="006953EA">
      <w:pPr>
        <w:pStyle w:val="ARbody"/>
      </w:pPr>
      <w:r w:rsidRPr="00C33120">
        <w:t>Better outcomes data provides greater transparency about our work, providing a continuous feedback loop of information that informs decision</w:t>
      </w:r>
      <w:r>
        <w:t xml:space="preserve"> </w:t>
      </w:r>
      <w:r w:rsidRPr="00C33120">
        <w:t>making. This also inform</w:t>
      </w:r>
      <w:r>
        <w:t>s</w:t>
      </w:r>
      <w:r w:rsidRPr="00C33120">
        <w:t xml:space="preserve"> how we work with our government, sector and community partners to cut across traditional policy boundaries and collaborate around shared outcomes.</w:t>
      </w:r>
    </w:p>
    <w:p w14:paraId="72BA13DF" w14:textId="5CEEF0A1" w:rsidR="006953EA" w:rsidRPr="00C33120" w:rsidRDefault="006953EA" w:rsidP="006953EA">
      <w:pPr>
        <w:pStyle w:val="ARbody"/>
      </w:pPr>
      <w:r w:rsidRPr="00C33120">
        <w:t xml:space="preserve">Further information on the department’s outcomes framework is available in </w:t>
      </w:r>
      <w:hyperlink r:id="rId34" w:history="1">
        <w:r w:rsidRPr="00C33120">
          <w:rPr>
            <w:rStyle w:val="Hyperlink"/>
          </w:rPr>
          <w:t>our strategic plan</w:t>
        </w:r>
      </w:hyperlink>
      <w:r w:rsidRPr="00C33120">
        <w:t xml:space="preserve"> &lt;https://dhhs.vic.gov.au/ publications/department-health-and-human-services-strategic-plan&gt;.</w:t>
      </w:r>
    </w:p>
    <w:p w14:paraId="679947B9" w14:textId="77777777" w:rsidR="003E6D59" w:rsidRDefault="003E6D59">
      <w:pPr>
        <w:rPr>
          <w:rFonts w:ascii="Arial" w:eastAsia="MS Gothic" w:hAnsi="Arial" w:cs="Times New Roman"/>
          <w:bCs/>
          <w:iCs/>
          <w:color w:val="53565A" w:themeColor="accent2"/>
          <w:sz w:val="32"/>
          <w:szCs w:val="30"/>
          <w:lang w:eastAsia="en-US"/>
        </w:rPr>
      </w:pPr>
      <w:bookmarkStart w:id="8" w:name="_Hlk18418550"/>
      <w:r>
        <w:br w:type="page"/>
      </w:r>
    </w:p>
    <w:p w14:paraId="7E616BD4" w14:textId="77777777" w:rsidR="00D977D9" w:rsidRPr="00C33120" w:rsidRDefault="00D977D9" w:rsidP="00D977D9">
      <w:pPr>
        <w:pStyle w:val="Heading2"/>
      </w:pPr>
      <w:r w:rsidRPr="00C33120">
        <w:lastRenderedPageBreak/>
        <w:t>Strategic directions</w:t>
      </w:r>
    </w:p>
    <w:p w14:paraId="7A72AC3B" w14:textId="77777777" w:rsidR="006953EA" w:rsidRPr="00C33120" w:rsidRDefault="006953EA" w:rsidP="006953EA">
      <w:pPr>
        <w:pStyle w:val="ARbody"/>
      </w:pPr>
      <w:bookmarkStart w:id="9" w:name="_Hlk17715542"/>
      <w:bookmarkEnd w:id="8"/>
      <w:r w:rsidRPr="00C33120">
        <w:t>The department has four strategic directions. The directions work together to generate improvements in the impact of our services and activities on the lives of Victorians.</w:t>
      </w:r>
    </w:p>
    <w:p w14:paraId="028FC1CB" w14:textId="77777777" w:rsidR="008D124E" w:rsidRDefault="006953EA" w:rsidP="006953EA">
      <w:pPr>
        <w:pStyle w:val="ARbody"/>
      </w:pPr>
      <w:r w:rsidRPr="00C33120">
        <w:t>The directions inform the three roles of this department:</w:t>
      </w:r>
    </w:p>
    <w:p w14:paraId="5250D6F6" w14:textId="2E25FE0B" w:rsidR="006953EA" w:rsidRPr="00A373FA" w:rsidRDefault="006953EA" w:rsidP="006953EA">
      <w:pPr>
        <w:pStyle w:val="ARbullet1"/>
      </w:pPr>
      <w:r>
        <w:t>s</w:t>
      </w:r>
      <w:r w:rsidRPr="00A373FA">
        <w:t>teward – how we develop and oversee policy</w:t>
      </w:r>
    </w:p>
    <w:p w14:paraId="02536A0C" w14:textId="77777777" w:rsidR="006953EA" w:rsidRPr="00A373FA" w:rsidRDefault="006953EA" w:rsidP="006953EA">
      <w:pPr>
        <w:pStyle w:val="ARbullet1"/>
      </w:pPr>
      <w:r>
        <w:t>s</w:t>
      </w:r>
      <w:r w:rsidRPr="00A373FA">
        <w:t xml:space="preserve">ystem manager – how we design funding and </w:t>
      </w:r>
      <w:r w:rsidR="00E03D73">
        <w:t xml:space="preserve">do </w:t>
      </w:r>
      <w:r w:rsidRPr="00A373FA">
        <w:t>regulation</w:t>
      </w:r>
    </w:p>
    <w:p w14:paraId="5517F732" w14:textId="1EAA95E7" w:rsidR="006953EA" w:rsidRPr="00C33120" w:rsidRDefault="006953EA" w:rsidP="006953EA">
      <w:pPr>
        <w:pStyle w:val="ARbullet1"/>
      </w:pPr>
      <w:r>
        <w:t>a</w:t>
      </w:r>
      <w:r w:rsidRPr="00A373FA">
        <w:t>gent – how we deliver services, and how we</w:t>
      </w:r>
      <w:r w:rsidR="00B3543E">
        <w:t> </w:t>
      </w:r>
      <w:r w:rsidRPr="00A373FA">
        <w:t xml:space="preserve">build capacity </w:t>
      </w:r>
      <w:r w:rsidRPr="00C33120">
        <w:t>and influence.</w:t>
      </w:r>
    </w:p>
    <w:p w14:paraId="137312C9" w14:textId="3724B25D" w:rsidR="006953EA" w:rsidRPr="00C33120" w:rsidRDefault="006953EA" w:rsidP="006953EA">
      <w:pPr>
        <w:pStyle w:val="ARbodyafterbullets"/>
      </w:pPr>
      <w:r w:rsidRPr="00C33120">
        <w:t>A summary of each strategic direction is provided</w:t>
      </w:r>
      <w:r w:rsidR="00B3543E">
        <w:t> </w:t>
      </w:r>
      <w:r w:rsidRPr="00C33120">
        <w:t>below.</w:t>
      </w:r>
    </w:p>
    <w:p w14:paraId="40A4566D" w14:textId="77777777" w:rsidR="006953EA" w:rsidRPr="00D55D63" w:rsidRDefault="006953EA" w:rsidP="006953EA">
      <w:pPr>
        <w:pStyle w:val="Heading3"/>
      </w:pPr>
      <w:r w:rsidRPr="00D55D63">
        <w:t>1. Person-centred services and care</w:t>
      </w:r>
    </w:p>
    <w:p w14:paraId="7B947048" w14:textId="77777777" w:rsidR="006953EA" w:rsidRDefault="006953EA" w:rsidP="006953EA">
      <w:pPr>
        <w:pStyle w:val="ARbody"/>
      </w:pPr>
      <w:r w:rsidRPr="00657E8C">
        <w:t>Person-centred services and care take into consideration all the influences on a person’s health and wellbeing.</w:t>
      </w:r>
    </w:p>
    <w:p w14:paraId="08A46E73" w14:textId="3383F8DC" w:rsidR="006953EA" w:rsidRDefault="006953EA" w:rsidP="006953EA">
      <w:pPr>
        <w:pStyle w:val="ARbody"/>
      </w:pPr>
      <w:r>
        <w:t>The department and its agencies have created new</w:t>
      </w:r>
      <w:r w:rsidR="00B3543E">
        <w:t> </w:t>
      </w:r>
      <w:r>
        <w:t>mechanisms to enable input from consumers, families and carers into the design of models of care and care pathways, while also supporting consumers to be partners in their own care.</w:t>
      </w:r>
    </w:p>
    <w:p w14:paraId="272DE1A9" w14:textId="77777777" w:rsidR="006953EA" w:rsidRDefault="006953EA" w:rsidP="006953EA">
      <w:pPr>
        <w:pStyle w:val="ARbody"/>
      </w:pPr>
      <w:r>
        <w:t>We are improving how we link administrative data to generate new insights about consumer</w:t>
      </w:r>
      <w:r w:rsidR="005F1EF5">
        <w:t>s’</w:t>
      </w:r>
      <w:r>
        <w:t xml:space="preserve"> experience of, and outcomes from, our services.</w:t>
      </w:r>
    </w:p>
    <w:p w14:paraId="2636C67F" w14:textId="39A236E2" w:rsidR="006953EA" w:rsidRDefault="006953EA" w:rsidP="00F76229">
      <w:pPr>
        <w:pStyle w:val="ARbody"/>
        <w:ind w:right="-232"/>
      </w:pPr>
      <w:r>
        <w:t>New demand</w:t>
      </w:r>
      <w:r w:rsidR="005F1EF5">
        <w:t>-</w:t>
      </w:r>
      <w:r>
        <w:t>modelling tools have been developed to</w:t>
      </w:r>
      <w:r w:rsidR="00B3543E">
        <w:t> </w:t>
      </w:r>
      <w:r>
        <w:t>improve forecasting of demand for services and enable our service systems to provide support earlier.</w:t>
      </w:r>
    </w:p>
    <w:p w14:paraId="1E69AF29" w14:textId="1F205EF0" w:rsidR="006953EA" w:rsidRDefault="006953EA" w:rsidP="006953EA">
      <w:pPr>
        <w:pStyle w:val="ARbody"/>
      </w:pPr>
      <w:r>
        <w:t xml:space="preserve">We are continuing to evolve our use of digital technology and behavioural insights to support </w:t>
      </w:r>
      <w:r w:rsidR="00B3543E">
        <w:br/>
      </w:r>
      <w:r>
        <w:t>self-care and enable clients and patients to make more informed choices about their own care.</w:t>
      </w:r>
    </w:p>
    <w:p w14:paraId="57717423" w14:textId="77777777" w:rsidR="006953EA" w:rsidRDefault="006953EA" w:rsidP="006953EA">
      <w:pPr>
        <w:pStyle w:val="ARbody"/>
      </w:pPr>
      <w:r>
        <w:t>Over the past 12 months</w:t>
      </w:r>
      <w:r w:rsidR="005F1EF5">
        <w:t>,</w:t>
      </w:r>
      <w:r>
        <w:t xml:space="preserve"> the department and its agencies have continued to progress this strategic direction. Some examples are detailed below.</w:t>
      </w:r>
    </w:p>
    <w:p w14:paraId="36813E0E" w14:textId="77777777" w:rsidR="006953EA" w:rsidRDefault="006953EA" w:rsidP="006953EA">
      <w:pPr>
        <w:pStyle w:val="ARbullet1"/>
      </w:pPr>
      <w:r>
        <w:t xml:space="preserve">All areas of the department are bringing new approaches to </w:t>
      </w:r>
      <w:r w:rsidRPr="008F035E">
        <w:rPr>
          <w:b/>
          <w:bCs/>
        </w:rPr>
        <w:t>partnering with consumers</w:t>
      </w:r>
      <w:r>
        <w:t>.</w:t>
      </w:r>
      <w:r w:rsidR="00140921">
        <w:t xml:space="preserve"> </w:t>
      </w:r>
      <w:r>
        <w:t xml:space="preserve">Our focus is on improving how and when consumers can get involved in the design of services for them, and actively participate in decisions about their own care. </w:t>
      </w:r>
      <w:r w:rsidR="005F1EF5">
        <w:t>This includes:</w:t>
      </w:r>
    </w:p>
    <w:p w14:paraId="173662AD" w14:textId="77777777" w:rsidR="006953EA" w:rsidRDefault="006953EA" w:rsidP="006953EA">
      <w:pPr>
        <w:pStyle w:val="ARbullet2"/>
      </w:pPr>
      <w:r>
        <w:t>Safer Care Victoria</w:t>
      </w:r>
      <w:r w:rsidR="005F66E1">
        <w:t xml:space="preserve">’s </w:t>
      </w:r>
      <w:r>
        <w:t>release</w:t>
      </w:r>
      <w:r w:rsidR="005F66E1">
        <w:t xml:space="preserve"> of</w:t>
      </w:r>
      <w:r>
        <w:t xml:space="preserve"> </w:t>
      </w:r>
      <w:r w:rsidR="00DC5645">
        <w:t>the</w:t>
      </w:r>
      <w:r>
        <w:t xml:space="preserve"> new </w:t>
      </w:r>
      <w:r w:rsidRPr="008F035E">
        <w:rPr>
          <w:b/>
          <w:bCs/>
        </w:rPr>
        <w:t>Partnering in healthcare framework</w:t>
      </w:r>
      <w:r>
        <w:t xml:space="preserve"> to support increased consumer participation and engagement</w:t>
      </w:r>
    </w:p>
    <w:p w14:paraId="1C74342F" w14:textId="77777777" w:rsidR="006953EA" w:rsidRDefault="006953EA" w:rsidP="006953EA">
      <w:pPr>
        <w:pStyle w:val="ARbullet2"/>
      </w:pPr>
      <w:r>
        <w:t>Safer Care Victoria and the Victorian Health Information Agency</w:t>
      </w:r>
      <w:r w:rsidR="00DC5645">
        <w:t xml:space="preserve"> using</w:t>
      </w:r>
      <w:r>
        <w:t xml:space="preserve"> </w:t>
      </w:r>
      <w:r w:rsidR="00801A62">
        <w:rPr>
          <w:b/>
          <w:bCs/>
        </w:rPr>
        <w:t xml:space="preserve">new consumer </w:t>
      </w:r>
      <w:r w:rsidR="00801A62" w:rsidRPr="00801A62">
        <w:rPr>
          <w:b/>
          <w:bCs/>
        </w:rPr>
        <w:t>networks</w:t>
      </w:r>
      <w:r w:rsidR="00801A62">
        <w:t xml:space="preserve"> to </w:t>
      </w:r>
      <w:r w:rsidRPr="00801A62">
        <w:t>support</w:t>
      </w:r>
      <w:r>
        <w:t xml:space="preserve"> greater consumer engagement and participation</w:t>
      </w:r>
      <w:r w:rsidR="00801A62">
        <w:t xml:space="preserve">. This included trialling </w:t>
      </w:r>
      <w:r>
        <w:t>a new set of patient</w:t>
      </w:r>
      <w:r w:rsidR="005F1EF5">
        <w:t>-</w:t>
      </w:r>
      <w:r>
        <w:t xml:space="preserve">reported outcome measures, practical resources to boost consumer involvement in reviews of serious events in health services, training programs for clinical and non-clinical staff to improve communication with patients and families, and support for </w:t>
      </w:r>
      <w:r w:rsidR="009E61DB">
        <w:t>five</w:t>
      </w:r>
      <w:r>
        <w:t xml:space="preserve"> health services to develop patient</w:t>
      </w:r>
      <w:r w:rsidR="005F1EF5">
        <w:t>-</w:t>
      </w:r>
      <w:r>
        <w:t>experience dashboards</w:t>
      </w:r>
    </w:p>
    <w:p w14:paraId="31029E6E" w14:textId="0CE0146B" w:rsidR="006953EA" w:rsidRPr="0096445B" w:rsidRDefault="006953EA" w:rsidP="006953EA">
      <w:pPr>
        <w:pStyle w:val="ARbullet2"/>
      </w:pPr>
      <w:r>
        <w:t xml:space="preserve">a </w:t>
      </w:r>
      <w:r w:rsidRPr="008F035E">
        <w:rPr>
          <w:b/>
          <w:bCs/>
        </w:rPr>
        <w:t>client</w:t>
      </w:r>
      <w:r w:rsidR="005F1EF5" w:rsidRPr="008F035E">
        <w:rPr>
          <w:b/>
          <w:bCs/>
        </w:rPr>
        <w:t>-</w:t>
      </w:r>
      <w:r w:rsidRPr="008F035E">
        <w:rPr>
          <w:b/>
          <w:bCs/>
        </w:rPr>
        <w:t>voice framework for community services</w:t>
      </w:r>
      <w:r>
        <w:t xml:space="preserve">, backed by specific </w:t>
      </w:r>
      <w:r w:rsidR="005F1EF5">
        <w:t xml:space="preserve">policy and service design </w:t>
      </w:r>
      <w:r>
        <w:t xml:space="preserve">initiatives </w:t>
      </w:r>
      <w:r w:rsidR="005F1EF5">
        <w:t xml:space="preserve">that </w:t>
      </w:r>
      <w:r>
        <w:t xml:space="preserve">engage </w:t>
      </w:r>
      <w:r w:rsidR="005F1EF5">
        <w:t xml:space="preserve">with </w:t>
      </w:r>
      <w:r>
        <w:t>public housing tenants, young people in out</w:t>
      </w:r>
      <w:r w:rsidR="005F1EF5">
        <w:t>-</w:t>
      </w:r>
      <w:r>
        <w:t>of</w:t>
      </w:r>
      <w:r w:rsidR="005F1EF5">
        <w:t>-</w:t>
      </w:r>
      <w:r>
        <w:t xml:space="preserve">home care, </w:t>
      </w:r>
      <w:r w:rsidR="009D25FB" w:rsidRPr="009D25FB">
        <w:t>National Disability Insurance Scheme</w:t>
      </w:r>
      <w:r>
        <w:t xml:space="preserve"> participants and their families</w:t>
      </w:r>
      <w:r w:rsidR="005F1EF5">
        <w:t>,</w:t>
      </w:r>
      <w:r>
        <w:t xml:space="preserve"> and people with lived experience of</w:t>
      </w:r>
      <w:r w:rsidR="00B3543E">
        <w:t> </w:t>
      </w:r>
      <w:r>
        <w:t>our services.</w:t>
      </w:r>
      <w:r w:rsidR="00140921">
        <w:t xml:space="preserve"> </w:t>
      </w:r>
      <w:r>
        <w:t>For example, the Victim Survivors’ Advisory Council provided expert</w:t>
      </w:r>
      <w:r w:rsidR="00B3543E">
        <w:t> </w:t>
      </w:r>
      <w:r>
        <w:t xml:space="preserve">input into new family violence risk assessment tools and the design of </w:t>
      </w:r>
      <w:r w:rsidR="005F1EF5">
        <w:t xml:space="preserve">The </w:t>
      </w:r>
      <w:r>
        <w:t>Orange Door services.</w:t>
      </w:r>
    </w:p>
    <w:p w14:paraId="4C84B402" w14:textId="32608BAB" w:rsidR="006953EA" w:rsidRDefault="006953EA" w:rsidP="006953EA">
      <w:pPr>
        <w:pStyle w:val="ARbullet1"/>
      </w:pPr>
      <w:r>
        <w:t>Our approach to person-centred services and</w:t>
      </w:r>
      <w:r w:rsidR="00B3543E">
        <w:t> </w:t>
      </w:r>
      <w:r>
        <w:t xml:space="preserve">care is underpinned by a commitment to </w:t>
      </w:r>
      <w:r w:rsidRPr="008F035E">
        <w:rPr>
          <w:b/>
          <w:bCs/>
        </w:rPr>
        <w:t>advancing self-determination of Aboriginal communities</w:t>
      </w:r>
      <w:r>
        <w:t>.</w:t>
      </w:r>
      <w:r w:rsidR="00140921">
        <w:t xml:space="preserve"> </w:t>
      </w:r>
      <w:r>
        <w:t>Actions in 2018</w:t>
      </w:r>
      <w:r w:rsidR="005F1EF5">
        <w:t>–</w:t>
      </w:r>
      <w:r>
        <w:t>19 included:</w:t>
      </w:r>
    </w:p>
    <w:p w14:paraId="19FA8699" w14:textId="0B9B519B" w:rsidR="006953EA" w:rsidRDefault="005F1EF5" w:rsidP="006953EA">
      <w:pPr>
        <w:pStyle w:val="ARbullet2"/>
      </w:pPr>
      <w:r>
        <w:t>t</w:t>
      </w:r>
      <w:r w:rsidR="006953EA">
        <w:t xml:space="preserve">ransitioning </w:t>
      </w:r>
      <w:r w:rsidR="006953EA" w:rsidRPr="008F035E">
        <w:rPr>
          <w:b/>
          <w:bCs/>
        </w:rPr>
        <w:t>case management</w:t>
      </w:r>
      <w:r w:rsidR="006953EA">
        <w:t xml:space="preserve"> for an additional </w:t>
      </w:r>
      <w:r w:rsidR="00AB12B7">
        <w:t>300</w:t>
      </w:r>
      <w:r w:rsidR="006953EA">
        <w:t xml:space="preserve"> children </w:t>
      </w:r>
      <w:r w:rsidR="006953EA" w:rsidRPr="00D816E8">
        <w:t xml:space="preserve">from non-Aboriginal organisations or </w:t>
      </w:r>
      <w:r w:rsidRPr="008F035E">
        <w:t>c</w:t>
      </w:r>
      <w:r w:rsidR="006953EA" w:rsidRPr="008F035E">
        <w:t xml:space="preserve">hild </w:t>
      </w:r>
      <w:r w:rsidRPr="008F035E">
        <w:t>protection</w:t>
      </w:r>
      <w:r w:rsidRPr="00D816E8">
        <w:t xml:space="preserve"> </w:t>
      </w:r>
      <w:r w:rsidR="006953EA" w:rsidRPr="00C63BE3">
        <w:t>to an Aboriginal community-controlled</w:t>
      </w:r>
      <w:r w:rsidR="006953EA">
        <w:t xml:space="preserve"> organisation</w:t>
      </w:r>
    </w:p>
    <w:p w14:paraId="3B0A5534" w14:textId="77777777" w:rsidR="006953EA" w:rsidRDefault="005F1EF5" w:rsidP="006953EA">
      <w:pPr>
        <w:pStyle w:val="ARbullet2"/>
      </w:pPr>
      <w:r>
        <w:t>f</w:t>
      </w:r>
      <w:r w:rsidR="006953EA">
        <w:t xml:space="preserve">unding Aboriginal Housing Victoria to lead the development of an overarching </w:t>
      </w:r>
      <w:r w:rsidR="006953EA" w:rsidRPr="008F035E">
        <w:rPr>
          <w:b/>
          <w:bCs/>
        </w:rPr>
        <w:t xml:space="preserve">Aboriginal </w:t>
      </w:r>
      <w:r w:rsidR="001F7911">
        <w:rPr>
          <w:b/>
          <w:bCs/>
        </w:rPr>
        <w:t>h</w:t>
      </w:r>
      <w:r w:rsidR="006953EA" w:rsidRPr="008F035E">
        <w:rPr>
          <w:b/>
          <w:bCs/>
        </w:rPr>
        <w:t xml:space="preserve">ousing and </w:t>
      </w:r>
      <w:r w:rsidR="001F7911">
        <w:rPr>
          <w:b/>
          <w:bCs/>
        </w:rPr>
        <w:t>h</w:t>
      </w:r>
      <w:r w:rsidR="006953EA" w:rsidRPr="008F035E">
        <w:rPr>
          <w:b/>
          <w:bCs/>
        </w:rPr>
        <w:t xml:space="preserve">omelessness </w:t>
      </w:r>
      <w:r w:rsidR="001F7911">
        <w:rPr>
          <w:b/>
          <w:bCs/>
        </w:rPr>
        <w:t>f</w:t>
      </w:r>
      <w:r w:rsidR="006953EA" w:rsidRPr="008F035E">
        <w:rPr>
          <w:b/>
          <w:bCs/>
        </w:rPr>
        <w:t>ramework</w:t>
      </w:r>
    </w:p>
    <w:p w14:paraId="16737985" w14:textId="77777777" w:rsidR="006953EA" w:rsidRDefault="005F1EF5" w:rsidP="00FF7677">
      <w:pPr>
        <w:pStyle w:val="ARbullet2"/>
        <w:ind w:right="-232"/>
      </w:pPr>
      <w:r>
        <w:t>t</w:t>
      </w:r>
      <w:r w:rsidR="006953EA">
        <w:t xml:space="preserve">he release of an </w:t>
      </w:r>
      <w:r w:rsidR="006953EA" w:rsidRPr="008F035E">
        <w:rPr>
          <w:b/>
          <w:bCs/>
        </w:rPr>
        <w:t>Optimal Care Pathway for Aboriginal and Torres Strait Islander People with Cancer</w:t>
      </w:r>
      <w:r w:rsidR="006953EA">
        <w:t>, developed in partnership with Victorian Aboriginal Community Controlled Health Organisation, the Cancer Council of Victoria and Cancer Australia</w:t>
      </w:r>
    </w:p>
    <w:p w14:paraId="67099DAF" w14:textId="4FBFD19A" w:rsidR="006953EA" w:rsidRPr="00761FB7" w:rsidRDefault="001F7911" w:rsidP="006953EA">
      <w:pPr>
        <w:pStyle w:val="ARbullet2"/>
        <w:rPr>
          <w:i/>
          <w:iCs/>
        </w:rPr>
      </w:pPr>
      <w:r>
        <w:rPr>
          <w:b/>
          <w:bCs/>
        </w:rPr>
        <w:t>n</w:t>
      </w:r>
      <w:r w:rsidR="006953EA" w:rsidRPr="008F035E">
        <w:rPr>
          <w:b/>
          <w:bCs/>
        </w:rPr>
        <w:t>ew partnership agreements</w:t>
      </w:r>
      <w:r w:rsidR="006953EA">
        <w:t xml:space="preserve">, including </w:t>
      </w:r>
      <w:r w:rsidR="00873607">
        <w:t>the</w:t>
      </w:r>
      <w:r w:rsidR="00B3543E">
        <w:t> </w:t>
      </w:r>
      <w:r w:rsidR="00873607">
        <w:t xml:space="preserve">10-Year Aboriginal Family Violence Agreement </w:t>
      </w:r>
      <w:r w:rsidR="00873607" w:rsidRPr="00FA14B7">
        <w:rPr>
          <w:i/>
        </w:rPr>
        <w:t>Dhelk Dja: Safe Our Way</w:t>
      </w:r>
      <w:r w:rsidR="00873607">
        <w:rPr>
          <w:i/>
        </w:rPr>
        <w:t xml:space="preserve"> –</w:t>
      </w:r>
      <w:r w:rsidR="00873607" w:rsidRPr="00FA14B7">
        <w:rPr>
          <w:i/>
        </w:rPr>
        <w:t xml:space="preserve"> Strong Culture, Strong Peoples, Strong Familie</w:t>
      </w:r>
      <w:r w:rsidR="00873607">
        <w:rPr>
          <w:i/>
        </w:rPr>
        <w:t>s</w:t>
      </w:r>
      <w:r w:rsidR="00873607" w:rsidRPr="00761FB7" w:rsidDel="00873607">
        <w:rPr>
          <w:i/>
          <w:iCs/>
        </w:rPr>
        <w:t xml:space="preserve"> </w:t>
      </w:r>
      <w:r w:rsidR="006953EA">
        <w:t xml:space="preserve">and </w:t>
      </w:r>
      <w:r w:rsidR="006953EA" w:rsidRPr="00761FB7">
        <w:rPr>
          <w:i/>
          <w:iCs/>
        </w:rPr>
        <w:t>Wungurilwil Gapgapduir: Aboriginal Children</w:t>
      </w:r>
      <w:r w:rsidR="006953EA">
        <w:rPr>
          <w:i/>
          <w:iCs/>
        </w:rPr>
        <w:t xml:space="preserve"> </w:t>
      </w:r>
      <w:r w:rsidR="006953EA" w:rsidRPr="00761FB7">
        <w:rPr>
          <w:i/>
          <w:iCs/>
        </w:rPr>
        <w:t>and Families Agreement</w:t>
      </w:r>
      <w:r w:rsidR="008D59CC">
        <w:rPr>
          <w:i/>
          <w:iCs/>
        </w:rPr>
        <w:t>.</w:t>
      </w:r>
    </w:p>
    <w:p w14:paraId="039589CF" w14:textId="77777777" w:rsidR="008D124E" w:rsidRDefault="00DC5645" w:rsidP="006953EA">
      <w:pPr>
        <w:pStyle w:val="ARbullet1"/>
      </w:pPr>
      <w:r>
        <w:rPr>
          <w:bCs/>
        </w:rPr>
        <w:t xml:space="preserve">Adopting </w:t>
      </w:r>
      <w:r>
        <w:rPr>
          <w:b/>
        </w:rPr>
        <w:t>p</w:t>
      </w:r>
      <w:r w:rsidRPr="003E6D59">
        <w:rPr>
          <w:b/>
        </w:rPr>
        <w:t>erson</w:t>
      </w:r>
      <w:r w:rsidR="006953EA" w:rsidRPr="003E6D59">
        <w:rPr>
          <w:b/>
        </w:rPr>
        <w:t>-centred services</w:t>
      </w:r>
      <w:r w:rsidR="006953EA" w:rsidRPr="00390F77">
        <w:t xml:space="preserve"> require</w:t>
      </w:r>
      <w:r>
        <w:t>s</w:t>
      </w:r>
      <w:r w:rsidR="006953EA" w:rsidRPr="00390F77">
        <w:t xml:space="preserve"> us to pay more attention to </w:t>
      </w:r>
      <w:r w:rsidR="001F7911">
        <w:t>service users and their</w:t>
      </w:r>
      <w:r w:rsidR="006953EA">
        <w:t xml:space="preserve"> needs,</w:t>
      </w:r>
      <w:r w:rsidR="006953EA" w:rsidRPr="00390F77">
        <w:t xml:space="preserve"> experiences and outcomes. </w:t>
      </w:r>
      <w:r w:rsidR="00866247">
        <w:t>We have done this</w:t>
      </w:r>
      <w:r w:rsidR="006953EA" w:rsidRPr="00390F77">
        <w:t xml:space="preserve"> through:</w:t>
      </w:r>
    </w:p>
    <w:p w14:paraId="6A72DF33" w14:textId="600A3B65" w:rsidR="006953EA" w:rsidRDefault="005F1EF5" w:rsidP="006953EA">
      <w:pPr>
        <w:pStyle w:val="ARbullet2"/>
      </w:pPr>
      <w:r w:rsidRPr="008F035E">
        <w:rPr>
          <w:b/>
          <w:bCs/>
        </w:rPr>
        <w:lastRenderedPageBreak/>
        <w:t>linking</w:t>
      </w:r>
      <w:r w:rsidR="006953EA" w:rsidRPr="008F035E">
        <w:rPr>
          <w:b/>
          <w:bCs/>
        </w:rPr>
        <w:t xml:space="preserve"> administrative data</w:t>
      </w:r>
      <w:r w:rsidR="006953EA" w:rsidRPr="00390F77">
        <w:t xml:space="preserve"> to generate new</w:t>
      </w:r>
      <w:r w:rsidR="00B3543E">
        <w:t> </w:t>
      </w:r>
      <w:r w:rsidR="006953EA" w:rsidRPr="00390F77">
        <w:t xml:space="preserve">insights about service use, choices and behaviours, </w:t>
      </w:r>
      <w:r>
        <w:t xml:space="preserve">and to </w:t>
      </w:r>
      <w:r w:rsidR="006953EA" w:rsidRPr="00390F77">
        <w:t>predict future demand for</w:t>
      </w:r>
      <w:r w:rsidR="00B3543E">
        <w:t> </w:t>
      </w:r>
      <w:r w:rsidR="006953EA" w:rsidRPr="00390F77">
        <w:t>services and better target services that prevent or reduce future demand</w:t>
      </w:r>
    </w:p>
    <w:p w14:paraId="53E9984B" w14:textId="5861B2E4" w:rsidR="006953EA" w:rsidRPr="00390F77" w:rsidRDefault="005F1EF5" w:rsidP="006953EA">
      <w:pPr>
        <w:pStyle w:val="ARbullet2"/>
      </w:pPr>
      <w:r>
        <w:t>the</w:t>
      </w:r>
      <w:r w:rsidR="006953EA">
        <w:t xml:space="preserve"> continued implementation of</w:t>
      </w:r>
      <w:r>
        <w:t xml:space="preserve"> the</w:t>
      </w:r>
      <w:r w:rsidR="006953EA">
        <w:t xml:space="preserve"> </w:t>
      </w:r>
      <w:r w:rsidR="006953EA" w:rsidRPr="001F7911">
        <w:rPr>
          <w:b/>
          <w:bCs/>
        </w:rPr>
        <w:t xml:space="preserve">Designing for </w:t>
      </w:r>
      <w:r w:rsidRPr="008F035E">
        <w:rPr>
          <w:b/>
          <w:bCs/>
        </w:rPr>
        <w:t>d</w:t>
      </w:r>
      <w:r w:rsidR="006953EA" w:rsidRPr="001F7911">
        <w:rPr>
          <w:b/>
          <w:bCs/>
        </w:rPr>
        <w:t>iversity</w:t>
      </w:r>
      <w:r w:rsidR="006953EA" w:rsidRPr="008F035E">
        <w:rPr>
          <w:b/>
          <w:bCs/>
        </w:rPr>
        <w:t xml:space="preserve"> framework</w:t>
      </w:r>
      <w:r w:rsidR="006953EA">
        <w:t xml:space="preserve"> to</w:t>
      </w:r>
      <w:r w:rsidR="00B3543E">
        <w:t> </w:t>
      </w:r>
      <w:r w:rsidR="006953EA">
        <w:t>ensure service planning, design and governance processes are culturally safe, inclusive and accessible</w:t>
      </w:r>
    </w:p>
    <w:p w14:paraId="43845D3F" w14:textId="49AC7F63" w:rsidR="006953EA" w:rsidRPr="00390F77" w:rsidRDefault="001F7911" w:rsidP="006953EA">
      <w:pPr>
        <w:pStyle w:val="ARbullet2"/>
      </w:pPr>
      <w:r>
        <w:rPr>
          <w:bCs/>
        </w:rPr>
        <w:t>t</w:t>
      </w:r>
      <w:r w:rsidRPr="008F035E">
        <w:rPr>
          <w:bCs/>
        </w:rPr>
        <w:t>he</w:t>
      </w:r>
      <w:r>
        <w:rPr>
          <w:b/>
        </w:rPr>
        <w:t xml:space="preserve"> </w:t>
      </w:r>
      <w:r w:rsidR="006953EA" w:rsidRPr="001F7911">
        <w:rPr>
          <w:b/>
        </w:rPr>
        <w:t>Everybody matters: inclusion and</w:t>
      </w:r>
      <w:r w:rsidR="00B3543E">
        <w:rPr>
          <w:b/>
        </w:rPr>
        <w:t> </w:t>
      </w:r>
      <w:r w:rsidR="006953EA" w:rsidRPr="001F7911">
        <w:rPr>
          <w:b/>
        </w:rPr>
        <w:t>equity statement</w:t>
      </w:r>
      <w:r w:rsidRPr="008F035E">
        <w:rPr>
          <w:bCs/>
        </w:rPr>
        <w:t>,</w:t>
      </w:r>
      <w:r>
        <w:t xml:space="preserve"> which</w:t>
      </w:r>
      <w:r w:rsidR="006953EA" w:rsidRPr="00390F77">
        <w:t xml:space="preserve"> will guide a more inclusive, safe and responsive family violence system for more people, regardless of gender, ability, sexual orientation, sex, ethnicity, religion, age or mental health.</w:t>
      </w:r>
    </w:p>
    <w:p w14:paraId="47FA1839" w14:textId="77777777" w:rsidR="006953EA" w:rsidRPr="00276ECD" w:rsidRDefault="006953EA" w:rsidP="006953EA">
      <w:pPr>
        <w:pStyle w:val="Heading3"/>
      </w:pPr>
      <w:r w:rsidRPr="00276ECD">
        <w:t>2. Local solutions</w:t>
      </w:r>
    </w:p>
    <w:p w14:paraId="6080107B" w14:textId="77777777" w:rsidR="006953EA" w:rsidRPr="00276ECD" w:rsidRDefault="006953EA" w:rsidP="006953EA">
      <w:pPr>
        <w:pStyle w:val="ARbody"/>
      </w:pPr>
      <w:r w:rsidRPr="00276ECD">
        <w:t xml:space="preserve">Person-centred solutions work best when they are </w:t>
      </w:r>
      <w:r>
        <w:t>designed in the context of</w:t>
      </w:r>
      <w:r w:rsidRPr="00276ECD">
        <w:t xml:space="preserve"> the local communities </w:t>
      </w:r>
      <w:r>
        <w:t>where people live</w:t>
      </w:r>
      <w:r w:rsidRPr="00276ECD">
        <w:t>.</w:t>
      </w:r>
    </w:p>
    <w:p w14:paraId="2C052D5B" w14:textId="77777777" w:rsidR="006953EA" w:rsidRPr="00276ECD" w:rsidRDefault="006953EA" w:rsidP="006953EA">
      <w:pPr>
        <w:pStyle w:val="ARbody"/>
      </w:pPr>
      <w:r w:rsidRPr="00276ECD">
        <w:t xml:space="preserve">Local solutions require us to </w:t>
      </w:r>
      <w:r>
        <w:t>design and deliver</w:t>
      </w:r>
      <w:r w:rsidRPr="00276ECD">
        <w:t xml:space="preserve"> service models</w:t>
      </w:r>
      <w:r>
        <w:t xml:space="preserve"> that are effective on the ground</w:t>
      </w:r>
      <w:r w:rsidRPr="00276ECD">
        <w:t>.</w:t>
      </w:r>
    </w:p>
    <w:p w14:paraId="5DA9BA66" w14:textId="04AF1A1B" w:rsidR="006953EA" w:rsidRDefault="006953EA" w:rsidP="006953EA">
      <w:pPr>
        <w:pStyle w:val="ARbody"/>
      </w:pPr>
      <w:r w:rsidRPr="00276ECD">
        <w:t xml:space="preserve">We recognise that co-design </w:t>
      </w:r>
      <w:r>
        <w:t>should be undertaken to involve clients and communities in solving local problems</w:t>
      </w:r>
      <w:r w:rsidRPr="00276ECD">
        <w:t>. By working with individuals and providers to guide policy, program and service design and delivery, we can better understand local communities and promote equitable access for</w:t>
      </w:r>
      <w:r w:rsidR="00B3543E">
        <w:t> </w:t>
      </w:r>
      <w:r w:rsidRPr="00276ECD">
        <w:t>people with diverse needs and identities.</w:t>
      </w:r>
    </w:p>
    <w:p w14:paraId="5360B9B0" w14:textId="036F9A20" w:rsidR="006953EA" w:rsidRPr="00276ECD" w:rsidRDefault="006953EA" w:rsidP="006953EA">
      <w:pPr>
        <w:pStyle w:val="ARbody"/>
      </w:pPr>
      <w:r w:rsidRPr="00276ECD">
        <w:t xml:space="preserve">Local solutions also extend beyond how services are provided. The </w:t>
      </w:r>
      <w:r w:rsidR="00866247">
        <w:t xml:space="preserve">World Health Organization recognises that the </w:t>
      </w:r>
      <w:r w:rsidRPr="00276ECD">
        <w:t>conditions in which people are</w:t>
      </w:r>
      <w:r w:rsidR="00B3543E">
        <w:t> </w:t>
      </w:r>
      <w:r w:rsidRPr="00276ECD">
        <w:t>born, grow, live, work and age are the major causes of avoidable and inequitable health</w:t>
      </w:r>
      <w:r>
        <w:t xml:space="preserve"> and wellbeing outcomes</w:t>
      </w:r>
      <w:r w:rsidRPr="00276ECD">
        <w:t>.</w:t>
      </w:r>
    </w:p>
    <w:p w14:paraId="40C07E96" w14:textId="77777777" w:rsidR="006953EA" w:rsidRDefault="006953EA" w:rsidP="006953EA">
      <w:pPr>
        <w:pStyle w:val="ARbody"/>
      </w:pPr>
      <w:r w:rsidRPr="00276ECD">
        <w:t xml:space="preserve">Some communities face seemingly intractable </w:t>
      </w:r>
      <w:r>
        <w:t>social disadvantage</w:t>
      </w:r>
      <w:r w:rsidRPr="00276ECD">
        <w:t xml:space="preserve"> that cannot be solved by government acting alone. The scale and complexity of these challenges demand collective action across all levels of government and communities.</w:t>
      </w:r>
    </w:p>
    <w:p w14:paraId="33C51EAE" w14:textId="77777777" w:rsidR="006953EA" w:rsidRDefault="006953EA" w:rsidP="006953EA">
      <w:pPr>
        <w:pStyle w:val="ARbody"/>
      </w:pPr>
      <w:r>
        <w:t>Over the previous 12 months</w:t>
      </w:r>
      <w:r w:rsidR="005F66E1">
        <w:t>,</w:t>
      </w:r>
      <w:r>
        <w:t xml:space="preserve"> the department facilitate</w:t>
      </w:r>
      <w:r w:rsidR="005F66E1">
        <w:t>d</w:t>
      </w:r>
      <w:r>
        <w:t xml:space="preserve"> and support</w:t>
      </w:r>
      <w:r w:rsidR="005F66E1">
        <w:t>ed</w:t>
      </w:r>
      <w:r>
        <w:t xml:space="preserve"> local service responses and community resilience. Some examples are detailed below.</w:t>
      </w:r>
    </w:p>
    <w:p w14:paraId="2C36B90D" w14:textId="77777777" w:rsidR="006953EA" w:rsidRDefault="006953EA" w:rsidP="006953EA">
      <w:pPr>
        <w:pStyle w:val="ARbullet1"/>
      </w:pPr>
      <w:r>
        <w:t xml:space="preserve">The department is funding and supporting a range of </w:t>
      </w:r>
      <w:r w:rsidRPr="008F035E">
        <w:rPr>
          <w:b/>
          <w:bCs/>
        </w:rPr>
        <w:t xml:space="preserve">community-led initiatives </w:t>
      </w:r>
      <w:r w:rsidRPr="005F66E1">
        <w:t>to improve health and wellbeing outcomes</w:t>
      </w:r>
      <w:r>
        <w:t>, including:</w:t>
      </w:r>
    </w:p>
    <w:p w14:paraId="4A65F845" w14:textId="4627FA2C" w:rsidR="006953EA" w:rsidRDefault="006953EA" w:rsidP="006953EA">
      <w:pPr>
        <w:pStyle w:val="ARbullet2"/>
      </w:pPr>
      <w:r w:rsidRPr="00427686">
        <w:rPr>
          <w:b/>
          <w:bCs/>
        </w:rPr>
        <w:t>Himilo Community Connect</w:t>
      </w:r>
      <w:r>
        <w:t xml:space="preserve">, a </w:t>
      </w:r>
      <w:r w:rsidR="00B3543E">
        <w:br/>
      </w:r>
      <w:r>
        <w:t>community</w:t>
      </w:r>
      <w:r w:rsidR="005F66E1">
        <w:t>-</w:t>
      </w:r>
      <w:r>
        <w:t>led project improv</w:t>
      </w:r>
      <w:r w:rsidR="005F66E1">
        <w:t>ing</w:t>
      </w:r>
      <w:r>
        <w:t xml:space="preserve"> education, employment, health and social cohesion outcomes for the Australian-Somali community of West Heidelberg</w:t>
      </w:r>
    </w:p>
    <w:p w14:paraId="44F25305" w14:textId="77777777" w:rsidR="006953EA" w:rsidRPr="00390F77" w:rsidRDefault="006953EA" w:rsidP="006953EA">
      <w:pPr>
        <w:pStyle w:val="ARbullet2"/>
      </w:pPr>
      <w:r w:rsidRPr="00427686">
        <w:rPr>
          <w:b/>
          <w:bCs/>
        </w:rPr>
        <w:t>South Sudanese Community Support Groups</w:t>
      </w:r>
      <w:r w:rsidR="00866247" w:rsidRPr="008F035E">
        <w:t>,</w:t>
      </w:r>
      <w:r w:rsidR="00866247">
        <w:t xml:space="preserve"> which</w:t>
      </w:r>
      <w:r w:rsidRPr="00390F77">
        <w:t xml:space="preserve"> connect with local service providers, develop clear referral pathways and encourage culturally appropriate service within mainstream providers</w:t>
      </w:r>
    </w:p>
    <w:p w14:paraId="1F67CC7F" w14:textId="77777777" w:rsidR="006953EA" w:rsidRDefault="005F66E1" w:rsidP="006953EA">
      <w:pPr>
        <w:pStyle w:val="ARbullet2"/>
      </w:pPr>
      <w:r>
        <w:t>t</w:t>
      </w:r>
      <w:r w:rsidR="006953EA">
        <w:t xml:space="preserve">he </w:t>
      </w:r>
      <w:r w:rsidR="006953EA" w:rsidRPr="00427686">
        <w:rPr>
          <w:b/>
          <w:bCs/>
        </w:rPr>
        <w:t>Latrobe Health Assembly</w:t>
      </w:r>
      <w:r w:rsidR="006953EA">
        <w:t>, which leads health improvement initiatives and integration of health and community services for people with complex conditions through the Latrobe Health Innovation Zone</w:t>
      </w:r>
      <w:r>
        <w:t>.</w:t>
      </w:r>
    </w:p>
    <w:p w14:paraId="6C1CEA44" w14:textId="77777777" w:rsidR="006953EA" w:rsidRPr="008355D2" w:rsidRDefault="006953EA" w:rsidP="006953EA">
      <w:pPr>
        <w:pStyle w:val="ARbullet1"/>
      </w:pPr>
      <w:r>
        <w:t>The department has also provided targeted support to communities recovering from emergencies.</w:t>
      </w:r>
      <w:r w:rsidR="00140921">
        <w:t xml:space="preserve"> </w:t>
      </w:r>
      <w:r w:rsidR="00866247">
        <w:t>For example:</w:t>
      </w:r>
    </w:p>
    <w:p w14:paraId="2C543382" w14:textId="77777777" w:rsidR="006953EA" w:rsidRPr="00390F77" w:rsidRDefault="006953EA" w:rsidP="006953EA">
      <w:pPr>
        <w:pStyle w:val="ARbullet2"/>
      </w:pPr>
      <w:r>
        <w:t xml:space="preserve">following </w:t>
      </w:r>
      <w:r w:rsidRPr="00390F77">
        <w:t>severe bushfires in</w:t>
      </w:r>
      <w:r>
        <w:t xml:space="preserve"> Eastern Victoria in</w:t>
      </w:r>
      <w:r w:rsidRPr="00390F77">
        <w:t xml:space="preserve"> March 2019</w:t>
      </w:r>
      <w:r w:rsidR="005F66E1">
        <w:t>,</w:t>
      </w:r>
      <w:r w:rsidRPr="00390F77">
        <w:t xml:space="preserve"> the department rapidly established </w:t>
      </w:r>
      <w:r w:rsidR="005F66E1">
        <w:t>the</w:t>
      </w:r>
      <w:r w:rsidR="005F66E1" w:rsidRPr="00FB4729">
        <w:rPr>
          <w:b/>
          <w:bCs/>
        </w:rPr>
        <w:t xml:space="preserve"> </w:t>
      </w:r>
      <w:r w:rsidRPr="00FB4729">
        <w:rPr>
          <w:b/>
          <w:bCs/>
        </w:rPr>
        <w:t>Bushfire Case Support Program</w:t>
      </w:r>
      <w:r w:rsidRPr="00390F77">
        <w:t xml:space="preserve"> in partnership with Windermere, a local community services organisation. This gave the people affected by the bushfires a single point of contact to provide them with information and support suited to their unique needs. This support was often provided in people’s own homes, and often for people who had also been affected by the Ash Wednesday and Black Saturday fires.</w:t>
      </w:r>
    </w:p>
    <w:p w14:paraId="3548BEFF" w14:textId="77777777" w:rsidR="006953EA" w:rsidRDefault="006953EA" w:rsidP="00326F42">
      <w:pPr>
        <w:pStyle w:val="ARbullet1"/>
        <w:numPr>
          <w:ilvl w:val="0"/>
          <w:numId w:val="27"/>
        </w:numPr>
      </w:pPr>
      <w:r>
        <w:t>In all of our services, the department seeks to combine data and evidence about the most appropriate and effective service models, with flexibility to tailor services to local community preferences and needs. Some examples of this process of local engagement and adaptation in 2018–19 include:</w:t>
      </w:r>
    </w:p>
    <w:p w14:paraId="42D3FC07" w14:textId="77777777" w:rsidR="006953EA" w:rsidRDefault="00866247" w:rsidP="00326F42">
      <w:pPr>
        <w:pStyle w:val="ARbullet2"/>
        <w:numPr>
          <w:ilvl w:val="1"/>
          <w:numId w:val="27"/>
        </w:numPr>
      </w:pPr>
      <w:r>
        <w:t>f</w:t>
      </w:r>
      <w:r w:rsidR="006953EA" w:rsidRPr="00390F77">
        <w:t xml:space="preserve">lexibility in the </w:t>
      </w:r>
      <w:r w:rsidR="006953EA" w:rsidRPr="003E6D59">
        <w:rPr>
          <w:b/>
        </w:rPr>
        <w:t xml:space="preserve">Aboriginal maternal and child health </w:t>
      </w:r>
      <w:r w:rsidR="006953EA" w:rsidRPr="00390F77">
        <w:t>service model</w:t>
      </w:r>
      <w:r w:rsidR="006953EA">
        <w:t xml:space="preserve"> to</w:t>
      </w:r>
      <w:r w:rsidR="006953EA" w:rsidRPr="00390F77">
        <w:t xml:space="preserve"> allow place-based approaches </w:t>
      </w:r>
      <w:r>
        <w:t>to</w:t>
      </w:r>
      <w:r w:rsidRPr="00390F77">
        <w:t xml:space="preserve"> </w:t>
      </w:r>
      <w:r w:rsidR="006953EA" w:rsidRPr="00390F77">
        <w:t>service delivery</w:t>
      </w:r>
    </w:p>
    <w:p w14:paraId="597865A5" w14:textId="77777777" w:rsidR="006953EA" w:rsidRDefault="00866247" w:rsidP="00326F42">
      <w:pPr>
        <w:pStyle w:val="ARbullet2"/>
        <w:numPr>
          <w:ilvl w:val="1"/>
          <w:numId w:val="27"/>
        </w:numPr>
      </w:pPr>
      <w:r>
        <w:t>t</w:t>
      </w:r>
      <w:r w:rsidR="006953EA">
        <w:t xml:space="preserve">he creation of local governance groups to guide the design and establishment of </w:t>
      </w:r>
      <w:r w:rsidR="006953EA" w:rsidRPr="002167FA">
        <w:rPr>
          <w:b/>
          <w:bCs/>
        </w:rPr>
        <w:t>The Orange Door support and safety hubs</w:t>
      </w:r>
    </w:p>
    <w:p w14:paraId="7AE04141" w14:textId="77777777" w:rsidR="006953EA" w:rsidRPr="00390F77" w:rsidRDefault="00866247" w:rsidP="00326F42">
      <w:pPr>
        <w:pStyle w:val="ARbullet2"/>
        <w:numPr>
          <w:ilvl w:val="1"/>
          <w:numId w:val="27"/>
        </w:numPr>
      </w:pPr>
      <w:r>
        <w:t>e</w:t>
      </w:r>
      <w:r w:rsidR="006953EA">
        <w:t>ngag</w:t>
      </w:r>
      <w:r>
        <w:t>ing</w:t>
      </w:r>
      <w:r w:rsidR="006953EA">
        <w:t xml:space="preserve"> local communities at all stages of the </w:t>
      </w:r>
      <w:r w:rsidR="006953EA" w:rsidRPr="002167FA">
        <w:rPr>
          <w:b/>
          <w:bCs/>
        </w:rPr>
        <w:t>design and delivery of public housing renewal projects and health capital projects</w:t>
      </w:r>
      <w:r w:rsidR="006953EA">
        <w:t>, including the Joan Kirner Women’s and Children’s Hospital, Werribee Mercy Hospital acute expansion and Phillip Island Minor Injury and Illness Clinic.</w:t>
      </w:r>
    </w:p>
    <w:p w14:paraId="08346469" w14:textId="77777777" w:rsidR="006953EA" w:rsidRPr="00276ECD" w:rsidRDefault="006953EA" w:rsidP="006953EA">
      <w:pPr>
        <w:pStyle w:val="Heading3"/>
      </w:pPr>
      <w:r w:rsidRPr="00276ECD">
        <w:lastRenderedPageBreak/>
        <w:t>3. Prevention and earlier intervention</w:t>
      </w:r>
    </w:p>
    <w:p w14:paraId="5CFCC51E" w14:textId="74733640" w:rsidR="006953EA" w:rsidRDefault="006953EA" w:rsidP="006953EA">
      <w:pPr>
        <w:pStyle w:val="ARbody"/>
      </w:pPr>
      <w:r>
        <w:t>Our data shows that for many Victorians, their first contact with health and human services is through an emergency department, child protection, crisis housing, or family violence services. Even with great empathy and care from the dedicated professionals in these services, the experience of</w:t>
      </w:r>
      <w:r w:rsidR="00B3543E">
        <w:t> </w:t>
      </w:r>
      <w:r>
        <w:t>emergency and crisis services can be stressful and feel disempowering.</w:t>
      </w:r>
    </w:p>
    <w:p w14:paraId="6822F9D8" w14:textId="77777777" w:rsidR="006953EA" w:rsidRPr="00276ECD" w:rsidRDefault="006953EA" w:rsidP="006953EA">
      <w:pPr>
        <w:pStyle w:val="ARbody"/>
      </w:pPr>
      <w:r w:rsidRPr="00276ECD">
        <w:t xml:space="preserve">Effective prevention and early intervention are critical to reducing inequalities in health and social outcomes, </w:t>
      </w:r>
      <w:r>
        <w:t xml:space="preserve">arresting the </w:t>
      </w:r>
      <w:r w:rsidRPr="00276ECD">
        <w:t>intergenerational transfer of disadvantage, and reducing the need for crisis and emergency services.</w:t>
      </w:r>
    </w:p>
    <w:p w14:paraId="20D7CD87" w14:textId="78B2F4BC" w:rsidR="006953EA" w:rsidRPr="00276ECD" w:rsidRDefault="006953EA" w:rsidP="006953EA">
      <w:pPr>
        <w:pStyle w:val="ARbody"/>
      </w:pPr>
      <w:r w:rsidRPr="00276ECD">
        <w:t>Successful early intervention requires new models of care that focus on the whole person. For people with complex or chronic needs, early intervention models need to take account of the range of social, economic</w:t>
      </w:r>
      <w:r>
        <w:t xml:space="preserve"> and personal </w:t>
      </w:r>
      <w:r w:rsidRPr="00276ECD">
        <w:t xml:space="preserve">factors that </w:t>
      </w:r>
      <w:r w:rsidR="00866247">
        <w:t>affect</w:t>
      </w:r>
      <w:r w:rsidRPr="00276ECD">
        <w:t xml:space="preserve"> their lives. A focus on building capacities – to recover from trauma or </w:t>
      </w:r>
      <w:r>
        <w:t>address early signs of</w:t>
      </w:r>
      <w:r w:rsidRPr="00276ECD">
        <w:t xml:space="preserve"> mental health</w:t>
      </w:r>
      <w:r w:rsidR="00B3543E">
        <w:t> </w:t>
      </w:r>
      <w:r>
        <w:t>issues</w:t>
      </w:r>
      <w:r w:rsidRPr="00276ECD">
        <w:t xml:space="preserve">, manage a chronic disease, or support </w:t>
      </w:r>
      <w:r>
        <w:t>family functioning</w:t>
      </w:r>
      <w:r w:rsidRPr="00276ECD">
        <w:t xml:space="preserve"> – can reduce the need</w:t>
      </w:r>
      <w:r w:rsidR="00B3543E">
        <w:t> </w:t>
      </w:r>
      <w:r w:rsidRPr="00276ECD">
        <w:t>for crisis responses.</w:t>
      </w:r>
    </w:p>
    <w:p w14:paraId="11F489C4" w14:textId="77777777" w:rsidR="006953EA" w:rsidRPr="00276ECD" w:rsidRDefault="006953EA" w:rsidP="006953EA">
      <w:pPr>
        <w:pStyle w:val="ARbody"/>
      </w:pPr>
      <w:r w:rsidRPr="00276ECD">
        <w:t xml:space="preserve">This strategic direction links to our emphasis on local solutions and joining up local services. </w:t>
      </w:r>
      <w:r>
        <w:t xml:space="preserve">All of our partners are working hard to </w:t>
      </w:r>
      <w:r w:rsidRPr="00276ECD">
        <w:t>break down the barriers in how care is provided within and across sectors – for example between primary, secondary and acute health services, between physical and mental health services, between health, education and social services, between justice and social services, between paid staff and volunteers</w:t>
      </w:r>
      <w:r w:rsidR="00866247">
        <w:t>,</w:t>
      </w:r>
      <w:r w:rsidRPr="00276ECD">
        <w:t xml:space="preserve"> and between specialists and generalists.</w:t>
      </w:r>
    </w:p>
    <w:p w14:paraId="6D55CFE2" w14:textId="0463D85F" w:rsidR="006953EA" w:rsidRDefault="00866247" w:rsidP="006953EA">
      <w:pPr>
        <w:pStyle w:val="ARbody"/>
      </w:pPr>
      <w:r>
        <w:t>T</w:t>
      </w:r>
      <w:r w:rsidR="006953EA" w:rsidRPr="00276ECD">
        <w:t xml:space="preserve">his strategic direction </w:t>
      </w:r>
      <w:r>
        <w:t xml:space="preserve">also focuses on </w:t>
      </w:r>
      <w:r w:rsidR="006953EA" w:rsidRPr="00276ECD">
        <w:t>support</w:t>
      </w:r>
      <w:r>
        <w:t>ing</w:t>
      </w:r>
      <w:r w:rsidR="006953EA" w:rsidRPr="00276ECD">
        <w:t xml:space="preserve"> universal services to be more </w:t>
      </w:r>
      <w:r w:rsidR="006953EA">
        <w:t xml:space="preserve">confident </w:t>
      </w:r>
      <w:r w:rsidR="006953EA" w:rsidRPr="00276ECD">
        <w:t xml:space="preserve">in identifying and responding to risk and vulnerability </w:t>
      </w:r>
      <w:r w:rsidR="006953EA">
        <w:t>and to promote safe, self-deter</w:t>
      </w:r>
      <w:r>
        <w:t>min</w:t>
      </w:r>
      <w:r w:rsidR="006953EA">
        <w:t>ing and healthy environments and behaviours at a population level.</w:t>
      </w:r>
    </w:p>
    <w:p w14:paraId="10150D56" w14:textId="43832FE5" w:rsidR="006953EA" w:rsidRDefault="006953EA" w:rsidP="006953EA">
      <w:pPr>
        <w:pStyle w:val="ARbody"/>
      </w:pPr>
      <w:r>
        <w:t>Over the past 12 months, we have broadened our</w:t>
      </w:r>
      <w:r w:rsidR="00B3543E">
        <w:t> </w:t>
      </w:r>
      <w:r>
        <w:t>focus on prevention and earlier intervention. Some examples are detailed below.</w:t>
      </w:r>
    </w:p>
    <w:p w14:paraId="12AD5604" w14:textId="77777777" w:rsidR="006953EA" w:rsidRDefault="00866247" w:rsidP="006953EA">
      <w:pPr>
        <w:pStyle w:val="ARbullet1"/>
      </w:pPr>
      <w:r>
        <w:t xml:space="preserve">The department has taken steps to reduce </w:t>
      </w:r>
      <w:r w:rsidR="006953EA">
        <w:t xml:space="preserve">risk factors for chronic disease and </w:t>
      </w:r>
      <w:r>
        <w:t xml:space="preserve">provided </w:t>
      </w:r>
      <w:r w:rsidR="006953EA">
        <w:t>better support for managing chronic conditions</w:t>
      </w:r>
      <w:r>
        <w:t>,</w:t>
      </w:r>
      <w:r w:rsidR="006953EA">
        <w:t xml:space="preserve"> including through:</w:t>
      </w:r>
    </w:p>
    <w:p w14:paraId="6392F6C7" w14:textId="77777777" w:rsidR="008D124E" w:rsidRDefault="006953EA" w:rsidP="006953EA">
      <w:pPr>
        <w:pStyle w:val="ARbullet2"/>
      </w:pPr>
      <w:r w:rsidRPr="00C11665">
        <w:rPr>
          <w:b/>
          <w:bCs/>
        </w:rPr>
        <w:t>two new prevention projects initiated by Regional Partnerships</w:t>
      </w:r>
      <w:r>
        <w:t>: the Healthy Heart of Victoria project in Loddon Campaspe and the Prevention Lab initiative in Central Highlands</w:t>
      </w:r>
    </w:p>
    <w:p w14:paraId="3525BB29" w14:textId="1AD474D6" w:rsidR="006953EA" w:rsidRDefault="006953EA" w:rsidP="006953EA">
      <w:pPr>
        <w:pStyle w:val="ARbullet2"/>
      </w:pPr>
      <w:r w:rsidRPr="00C11665">
        <w:rPr>
          <w:b/>
          <w:bCs/>
        </w:rPr>
        <w:t>community infrastructure and programs</w:t>
      </w:r>
      <w:r>
        <w:t xml:space="preserve"> to support Victorians to be physically active.</w:t>
      </w:r>
      <w:r w:rsidR="00140921">
        <w:t xml:space="preserve"> </w:t>
      </w:r>
      <w:r>
        <w:t>In 2018</w:t>
      </w:r>
      <w:r w:rsidR="00866247">
        <w:t>–</w:t>
      </w:r>
      <w:r>
        <w:t>19</w:t>
      </w:r>
      <w:r w:rsidR="00866247">
        <w:t>,</w:t>
      </w:r>
      <w:r>
        <w:t xml:space="preserve"> the Office of Women and Sport was created to boost active recreation for women and girls</w:t>
      </w:r>
    </w:p>
    <w:p w14:paraId="0389DB3B" w14:textId="0CD8E2CE" w:rsidR="006953EA" w:rsidRDefault="006953EA" w:rsidP="006953EA">
      <w:pPr>
        <w:pStyle w:val="ARbullet2"/>
      </w:pPr>
      <w:r>
        <w:rPr>
          <w:b/>
          <w:bCs/>
        </w:rPr>
        <w:t xml:space="preserve">support for people to manage chronic conditions at home and reduce acute episodes </w:t>
      </w:r>
      <w:r>
        <w:t>through resources and campaigns to increase asthma management plans, new technologies to improve self-monitoring, and active outreach to people in the community to enable earlier escalation of health care</w:t>
      </w:r>
      <w:r w:rsidR="008D59CC">
        <w:t>.</w:t>
      </w:r>
    </w:p>
    <w:p w14:paraId="5AAC16E9" w14:textId="77777777" w:rsidR="006953EA" w:rsidRDefault="00866247" w:rsidP="006953EA">
      <w:pPr>
        <w:pStyle w:val="ARbullet1"/>
      </w:pPr>
      <w:r>
        <w:t xml:space="preserve">The department acted to reduce </w:t>
      </w:r>
      <w:r w:rsidR="006953EA">
        <w:t>the incidence, spread and severity of disease and illness</w:t>
      </w:r>
      <w:r>
        <w:t>, including through</w:t>
      </w:r>
      <w:r w:rsidR="006953EA">
        <w:t>:</w:t>
      </w:r>
    </w:p>
    <w:p w14:paraId="16F7D67E" w14:textId="66AD5CF1" w:rsidR="006953EA" w:rsidRDefault="00866247" w:rsidP="006953EA">
      <w:pPr>
        <w:pStyle w:val="ARbullet2"/>
      </w:pPr>
      <w:r>
        <w:t>k</w:t>
      </w:r>
      <w:r w:rsidR="006953EA">
        <w:t>ey initiatives to protect the community from</w:t>
      </w:r>
      <w:r w:rsidR="00B3543E">
        <w:t> </w:t>
      </w:r>
      <w:r>
        <w:rPr>
          <w:b/>
          <w:bCs/>
        </w:rPr>
        <w:t>influenza</w:t>
      </w:r>
      <w:r>
        <w:t>, such as</w:t>
      </w:r>
      <w:r w:rsidR="006953EA">
        <w:t xml:space="preserve"> </w:t>
      </w:r>
      <w:r>
        <w:t xml:space="preserve">introducing </w:t>
      </w:r>
      <w:r w:rsidR="006953EA">
        <w:t>free flu vaccination for children aged from six months to under five and a public campaign encouraging more people to get their flu shot</w:t>
      </w:r>
      <w:r>
        <w:t>,</w:t>
      </w:r>
      <w:r w:rsidR="006953EA">
        <w:t xml:space="preserve"> and providing information on how to reduce the spread</w:t>
      </w:r>
      <w:r>
        <w:t xml:space="preserve"> of the disease</w:t>
      </w:r>
    </w:p>
    <w:p w14:paraId="3CEC5E30" w14:textId="00FD34F8" w:rsidR="006953EA" w:rsidRDefault="00866247" w:rsidP="006953EA">
      <w:pPr>
        <w:pStyle w:val="ARbullet2"/>
      </w:pPr>
      <w:r>
        <w:rPr>
          <w:b/>
        </w:rPr>
        <w:t>d</w:t>
      </w:r>
      <w:r w:rsidR="006953EA" w:rsidRPr="003E6D59">
        <w:rPr>
          <w:b/>
        </w:rPr>
        <w:t>ata to manage disease outbreaks and analyse emerging risks</w:t>
      </w:r>
      <w:r>
        <w:t>.</w:t>
      </w:r>
      <w:r w:rsidR="006953EA">
        <w:t xml:space="preserve"> The Public Health Data Analytics Platform provides more than 20 years of data in an interactive and publicly accessible format to manage disease outbreaks and analyse emerging risks. The</w:t>
      </w:r>
      <w:r w:rsidR="00B3543E">
        <w:t> </w:t>
      </w:r>
      <w:r w:rsidR="006953EA">
        <w:t>platform assists local governments and health service partners to plan and deliver targeted responses that support community health and wellbeing.</w:t>
      </w:r>
    </w:p>
    <w:p w14:paraId="52E63D0A" w14:textId="635725B2" w:rsidR="006953EA" w:rsidRDefault="00866247" w:rsidP="006953EA">
      <w:pPr>
        <w:pStyle w:val="ARbullet1"/>
      </w:pPr>
      <w:r>
        <w:t xml:space="preserve">The department also provided increased </w:t>
      </w:r>
      <w:r w:rsidR="006953EA">
        <w:t>support</w:t>
      </w:r>
      <w:r w:rsidR="00B3543E">
        <w:t> </w:t>
      </w:r>
      <w:r w:rsidR="006953EA">
        <w:t>for children and families through universal services and evidence</w:t>
      </w:r>
      <w:r>
        <w:t>-</w:t>
      </w:r>
      <w:r w:rsidR="006953EA">
        <w:t>based secondary prevention programs</w:t>
      </w:r>
      <w:r>
        <w:t xml:space="preserve"> such as</w:t>
      </w:r>
      <w:r w:rsidR="006953EA">
        <w:t>:</w:t>
      </w:r>
    </w:p>
    <w:p w14:paraId="65C08E29" w14:textId="77777777" w:rsidR="006953EA" w:rsidRDefault="00866247" w:rsidP="006953EA">
      <w:pPr>
        <w:pStyle w:val="ARbullet2"/>
      </w:pPr>
      <w:r>
        <w:rPr>
          <w:b/>
        </w:rPr>
        <w:t>s</w:t>
      </w:r>
      <w:r w:rsidR="006953EA" w:rsidRPr="003E6D59">
        <w:rPr>
          <w:b/>
        </w:rPr>
        <w:t>upported playgroups</w:t>
      </w:r>
      <w:r>
        <w:t>.</w:t>
      </w:r>
      <w:r w:rsidR="006953EA">
        <w:t xml:space="preserve"> These are available to families with children from birth to school age, to improve the quality of parent–child interactions and improve children’s wellbeing and development</w:t>
      </w:r>
    </w:p>
    <w:p w14:paraId="271A9975" w14:textId="4A460D2B" w:rsidR="006953EA" w:rsidRPr="005821F0" w:rsidRDefault="00866247" w:rsidP="006953EA">
      <w:pPr>
        <w:pStyle w:val="ARbullet2"/>
      </w:pPr>
      <w:r>
        <w:rPr>
          <w:bCs/>
        </w:rPr>
        <w:t xml:space="preserve">the </w:t>
      </w:r>
      <w:r w:rsidR="006953EA">
        <w:rPr>
          <w:b/>
        </w:rPr>
        <w:t>Roadmap for Reform</w:t>
      </w:r>
      <w:r>
        <w:t>, which</w:t>
      </w:r>
      <w:r w:rsidR="006953EA">
        <w:t xml:space="preserve"> continued to test six evidence-based service models to</w:t>
      </w:r>
      <w:r w:rsidR="00B3543E">
        <w:t> </w:t>
      </w:r>
      <w:r w:rsidR="006953EA">
        <w:t>strengthen family capabilities and better support children and young people to recover from trauma in their childhood.</w:t>
      </w:r>
    </w:p>
    <w:p w14:paraId="427DD9D2" w14:textId="77777777" w:rsidR="006953EA" w:rsidRDefault="00866247" w:rsidP="006953EA">
      <w:pPr>
        <w:pStyle w:val="ARbullet1"/>
      </w:pPr>
      <w:r>
        <w:t xml:space="preserve">The department provided earlier </w:t>
      </w:r>
      <w:r w:rsidR="006953EA">
        <w:t>support for people experiencing homelessness</w:t>
      </w:r>
      <w:r>
        <w:t xml:space="preserve"> through:</w:t>
      </w:r>
    </w:p>
    <w:p w14:paraId="711A2F98" w14:textId="08F03F26" w:rsidR="006953EA" w:rsidRDefault="00866247" w:rsidP="006953EA">
      <w:pPr>
        <w:pStyle w:val="ARbullet2"/>
      </w:pPr>
      <w:r>
        <w:t>redesigned h</w:t>
      </w:r>
      <w:r w:rsidR="006953EA">
        <w:t xml:space="preserve">omelessness and </w:t>
      </w:r>
      <w:r>
        <w:t>r</w:t>
      </w:r>
      <w:r w:rsidR="006953EA">
        <w:t>ough</w:t>
      </w:r>
      <w:r>
        <w:t>-</w:t>
      </w:r>
      <w:r w:rsidR="006953EA">
        <w:t xml:space="preserve">sleeping </w:t>
      </w:r>
      <w:r>
        <w:t xml:space="preserve">service responses that </w:t>
      </w:r>
      <w:r w:rsidR="006953EA">
        <w:t xml:space="preserve">provide </w:t>
      </w:r>
      <w:r w:rsidR="006953EA">
        <w:lastRenderedPageBreak/>
        <w:t>more suitable and permanent housing for</w:t>
      </w:r>
      <w:r w:rsidR="00B3543E">
        <w:t> </w:t>
      </w:r>
      <w:r w:rsidR="006953EA">
        <w:t>people who are at risk</w:t>
      </w:r>
      <w:r>
        <w:t xml:space="preserve"> of</w:t>
      </w:r>
      <w:r w:rsidR="006953EA">
        <w:t>, or who are experiencing</w:t>
      </w:r>
      <w:r>
        <w:t>,</w:t>
      </w:r>
      <w:r w:rsidR="006953EA">
        <w:t xml:space="preserve"> chronic homelessness</w:t>
      </w:r>
    </w:p>
    <w:p w14:paraId="14A0C00D" w14:textId="157D4FEC" w:rsidR="006953EA" w:rsidRDefault="00866247" w:rsidP="006953EA">
      <w:pPr>
        <w:pStyle w:val="ARbullet2"/>
      </w:pPr>
      <w:r>
        <w:t>s</w:t>
      </w:r>
      <w:r w:rsidR="006953EA">
        <w:t>pecific initiatives includ</w:t>
      </w:r>
      <w:r>
        <w:t>ing</w:t>
      </w:r>
      <w:r w:rsidR="006953EA">
        <w:t xml:space="preserve"> the redesign of</w:t>
      </w:r>
      <w:r w:rsidR="00B3543E">
        <w:t> </w:t>
      </w:r>
      <w:r w:rsidR="006953EA">
        <w:t>congregate crisis accommodation and two</w:t>
      </w:r>
      <w:r w:rsidR="00B3543E">
        <w:t> </w:t>
      </w:r>
      <w:r w:rsidR="006953EA">
        <w:t>social impact bonds</w:t>
      </w:r>
      <w:r>
        <w:t xml:space="preserve"> </w:t>
      </w:r>
      <w:r w:rsidR="006953EA">
        <w:t>focused on young people leaving care and people experiencing chronic homelessness</w:t>
      </w:r>
    </w:p>
    <w:p w14:paraId="75F46080" w14:textId="77777777" w:rsidR="006953EA" w:rsidRDefault="00866247" w:rsidP="006953EA">
      <w:pPr>
        <w:pStyle w:val="ARbullet2"/>
      </w:pPr>
      <w:r>
        <w:t>n</w:t>
      </w:r>
      <w:r w:rsidR="006953EA">
        <w:t>ew accommodation with wrap-around support services at Ozanam House in North Melbourne and across Ballarat and Bendigo.</w:t>
      </w:r>
    </w:p>
    <w:p w14:paraId="3B270E07" w14:textId="72CF9163" w:rsidR="006953EA" w:rsidRPr="00276ECD" w:rsidRDefault="006953EA" w:rsidP="006953EA">
      <w:pPr>
        <w:pStyle w:val="Heading3"/>
      </w:pPr>
      <w:r w:rsidRPr="00276ECD">
        <w:t>4. Advancing quality, safety and</w:t>
      </w:r>
      <w:r w:rsidR="00B3543E">
        <w:t> </w:t>
      </w:r>
      <w:r w:rsidRPr="00276ECD">
        <w:t>innovation</w:t>
      </w:r>
    </w:p>
    <w:p w14:paraId="64520260" w14:textId="77777777" w:rsidR="006953EA" w:rsidRPr="00276ECD" w:rsidRDefault="006953EA" w:rsidP="006953EA">
      <w:pPr>
        <w:pStyle w:val="ARbody"/>
      </w:pPr>
      <w:r w:rsidRPr="00276ECD">
        <w:t>As funders, regulators and stewards, we have legislative obligations on behalf of Victorians to ensure the professionals who work in our services and the organisations they work for are delivering safe and effective care.</w:t>
      </w:r>
    </w:p>
    <w:p w14:paraId="0AECE00E" w14:textId="77777777" w:rsidR="008D124E" w:rsidRDefault="006953EA" w:rsidP="006953EA">
      <w:pPr>
        <w:pStyle w:val="ARbody"/>
      </w:pPr>
      <w:r w:rsidRPr="00276ECD">
        <w:t>This strategic direction affirms our commitment to advance patient and client safety, the effectiveness of interventions and the experience of the people relying on health and human services. Our focus is</w:t>
      </w:r>
      <w:r w:rsidR="00B3543E">
        <w:t> </w:t>
      </w:r>
      <w:r w:rsidRPr="00276ECD">
        <w:t xml:space="preserve">on </w:t>
      </w:r>
      <w:r>
        <w:t>embedding safe and just cultures in all of Victoria’s health and human services while also strengthening our assurance and safeguarding capabilities.</w:t>
      </w:r>
    </w:p>
    <w:p w14:paraId="4EA72712" w14:textId="1812239C" w:rsidR="006953EA" w:rsidRPr="00276ECD" w:rsidRDefault="006953EA" w:rsidP="006953EA">
      <w:pPr>
        <w:pStyle w:val="ARbody"/>
      </w:pPr>
      <w:r w:rsidRPr="00276ECD">
        <w:t>We have a duty of care to ensure the safety and</w:t>
      </w:r>
      <w:r w:rsidR="00B3543E">
        <w:t> </w:t>
      </w:r>
      <w:r w:rsidRPr="00276ECD">
        <w:t>wellbeing of the people who use our services. Implementation of child safety standards, the development of a reportable conduct scheme for employees of organisations working closely with children, an enhanced incident management and complaints mechanism, and improvements in national health regulation are all important to acquitting our duty of care.</w:t>
      </w:r>
    </w:p>
    <w:p w14:paraId="39D28335" w14:textId="77777777" w:rsidR="008D124E" w:rsidRDefault="006953EA" w:rsidP="006953EA">
      <w:pPr>
        <w:pStyle w:val="ARbody"/>
      </w:pPr>
      <w:r w:rsidRPr="00276ECD">
        <w:t xml:space="preserve">This strategic direction also involves us working with our partners to </w:t>
      </w:r>
      <w:r>
        <w:t>innovate, make</w:t>
      </w:r>
      <w:r w:rsidRPr="00276ECD">
        <w:t xml:space="preserve"> improvements</w:t>
      </w:r>
      <w:r>
        <w:t xml:space="preserve"> and </w:t>
      </w:r>
      <w:r w:rsidRPr="00276ECD">
        <w:t>evaluat</w:t>
      </w:r>
      <w:r>
        <w:t>e</w:t>
      </w:r>
      <w:r w:rsidRPr="00276ECD">
        <w:t xml:space="preserve"> what we are doing, spread </w:t>
      </w:r>
      <w:r>
        <w:t xml:space="preserve">evidence of </w:t>
      </w:r>
      <w:r w:rsidRPr="00276ECD">
        <w:t>what works</w:t>
      </w:r>
      <w:r>
        <w:t xml:space="preserve">, </w:t>
      </w:r>
      <w:r w:rsidRPr="00173141">
        <w:t>and reduc</w:t>
      </w:r>
      <w:r>
        <w:t>e</w:t>
      </w:r>
      <w:r w:rsidRPr="00173141">
        <w:t xml:space="preserve"> unacceptable variations in care and outcomes.</w:t>
      </w:r>
    </w:p>
    <w:p w14:paraId="0352163B" w14:textId="3C5C3E65" w:rsidR="006953EA" w:rsidRDefault="006953EA" w:rsidP="006953EA">
      <w:pPr>
        <w:pStyle w:val="ARbody"/>
      </w:pPr>
      <w:r>
        <w:t>Over the past 12 months</w:t>
      </w:r>
      <w:r w:rsidR="00683C20">
        <w:t>,</w:t>
      </w:r>
      <w:r>
        <w:t xml:space="preserve"> we have progressed our work to further embed and strengthen a quality and safety culture in our services, while continuing to innovate how we do what we do to improve health and wellbeing outcomes for the community. Some examples are detailed below.</w:t>
      </w:r>
    </w:p>
    <w:p w14:paraId="7F2B7C51" w14:textId="77777777" w:rsidR="006953EA" w:rsidRPr="00BC3BAA" w:rsidRDefault="006953EA" w:rsidP="006953EA">
      <w:pPr>
        <w:pStyle w:val="ARbullet1"/>
        <w:rPr>
          <w:b/>
          <w:bCs/>
        </w:rPr>
      </w:pPr>
      <w:r>
        <w:t xml:space="preserve">Safer Care Victoria is supporting </w:t>
      </w:r>
      <w:r w:rsidRPr="00E97C5C">
        <w:rPr>
          <w:b/>
          <w:bCs/>
        </w:rPr>
        <w:t>52 health improvement projects</w:t>
      </w:r>
      <w:r>
        <w:t>.</w:t>
      </w:r>
      <w:r w:rsidR="00140921">
        <w:t xml:space="preserve"> </w:t>
      </w:r>
      <w:r>
        <w:t>Key actions in 2018</w:t>
      </w:r>
      <w:r w:rsidR="00683C20">
        <w:t>–</w:t>
      </w:r>
      <w:r>
        <w:t>19 included:</w:t>
      </w:r>
    </w:p>
    <w:p w14:paraId="424D3A0C" w14:textId="60EDCC00" w:rsidR="006953EA" w:rsidRPr="005B07B0" w:rsidRDefault="00683C20" w:rsidP="006953EA">
      <w:pPr>
        <w:pStyle w:val="ARbullet2"/>
        <w:rPr>
          <w:b/>
          <w:bCs/>
        </w:rPr>
      </w:pPr>
      <w:r>
        <w:t>e</w:t>
      </w:r>
      <w:r w:rsidR="006953EA">
        <w:t xml:space="preserve">ntering into a </w:t>
      </w:r>
      <w:r w:rsidR="006953EA" w:rsidRPr="008F035E">
        <w:rPr>
          <w:b/>
          <w:bCs/>
        </w:rPr>
        <w:t>strategic alliance</w:t>
      </w:r>
      <w:r w:rsidR="006953EA">
        <w:t xml:space="preserve"> </w:t>
      </w:r>
      <w:r w:rsidR="006953EA" w:rsidRPr="008F035E">
        <w:rPr>
          <w:b/>
          <w:bCs/>
        </w:rPr>
        <w:t>with the Institute of HealthCare Improvement</w:t>
      </w:r>
      <w:r>
        <w:rPr>
          <w:b/>
          <w:bCs/>
        </w:rPr>
        <w:t xml:space="preserve"> </w:t>
      </w:r>
      <w:r w:rsidRPr="008F035E">
        <w:t>(IHI)</w:t>
      </w:r>
      <w:r w:rsidR="006953EA">
        <w:t>, providing health services with proven methodology to test, adopt and sustain improvements in patient safety and quality of</w:t>
      </w:r>
      <w:r w:rsidR="00B3543E">
        <w:t> </w:t>
      </w:r>
      <w:r w:rsidR="006953EA">
        <w:t>health care</w:t>
      </w:r>
    </w:p>
    <w:p w14:paraId="27B8AA43" w14:textId="77777777" w:rsidR="006953EA" w:rsidRPr="00B057AD" w:rsidRDefault="00683C20" w:rsidP="006953EA">
      <w:pPr>
        <w:pStyle w:val="ARbullet2"/>
        <w:rPr>
          <w:b/>
          <w:bCs/>
        </w:rPr>
      </w:pPr>
      <w:r>
        <w:t>the</w:t>
      </w:r>
      <w:r w:rsidR="006953EA">
        <w:t xml:space="preserve"> </w:t>
      </w:r>
      <w:r w:rsidR="006953EA" w:rsidRPr="005B07B0">
        <w:rPr>
          <w:b/>
        </w:rPr>
        <w:t>Reducing</w:t>
      </w:r>
      <w:r w:rsidR="006953EA">
        <w:t xml:space="preserve"> </w:t>
      </w:r>
      <w:r w:rsidR="006953EA">
        <w:rPr>
          <w:b/>
        </w:rPr>
        <w:t>Delirium Collaborative</w:t>
      </w:r>
      <w:r>
        <w:rPr>
          <w:bCs/>
        </w:rPr>
        <w:t>,</w:t>
      </w:r>
      <w:r w:rsidR="006953EA">
        <w:t xml:space="preserve"> launched in late 2018 to reduce harm and improve outcomes for hospital patients at risk of delirium</w:t>
      </w:r>
      <w:r w:rsidR="0021195A">
        <w:t xml:space="preserve"> </w:t>
      </w:r>
      <w:r w:rsidR="0021195A" w:rsidRPr="0021195A">
        <w:t xml:space="preserve">has tripled the number of patients over 65 years screened for this </w:t>
      </w:r>
      <w:r w:rsidR="006B3212" w:rsidRPr="0021195A">
        <w:t>often-preventable</w:t>
      </w:r>
      <w:r w:rsidR="0021195A" w:rsidRPr="0021195A">
        <w:t xml:space="preserve"> condition. More than 20 health services collaborating on this project have achieved their first goal, with 90 per cent of patients over 65 years screened for delirium, three times more patients than before the project. Fewer patient now require medication to manage delirium, at participating sites.</w:t>
      </w:r>
    </w:p>
    <w:p w14:paraId="7268A640" w14:textId="00C5E005" w:rsidR="006953EA" w:rsidRPr="005821F0" w:rsidRDefault="00683C20" w:rsidP="006953EA">
      <w:pPr>
        <w:pStyle w:val="ARbullet2"/>
      </w:pPr>
      <w:r>
        <w:t>a</w:t>
      </w:r>
      <w:r w:rsidR="006953EA">
        <w:t xml:space="preserve"> new</w:t>
      </w:r>
      <w:r w:rsidR="006953EA" w:rsidRPr="005821F0">
        <w:t xml:space="preserve"> </w:t>
      </w:r>
      <w:r w:rsidR="006953EA" w:rsidRPr="004B0152">
        <w:rPr>
          <w:b/>
          <w:bCs/>
        </w:rPr>
        <w:t>Safer Baby Collaborative</w:t>
      </w:r>
      <w:r w:rsidRPr="008F035E">
        <w:t>, which</w:t>
      </w:r>
      <w:r w:rsidR="006953EA" w:rsidRPr="005821F0">
        <w:t xml:space="preserve"> </w:t>
      </w:r>
      <w:r>
        <w:t xml:space="preserve">was </w:t>
      </w:r>
      <w:r w:rsidR="006953EA" w:rsidRPr="005821F0">
        <w:t>launched</w:t>
      </w:r>
      <w:r w:rsidR="006953EA">
        <w:t xml:space="preserve"> in April 2019 to reduce the rate of stillbirths. Actions supported by IHI include increasing public awareness of the importance of </w:t>
      </w:r>
      <w:r w:rsidR="001573EF">
        <w:t>fetal</w:t>
      </w:r>
      <w:r w:rsidR="00EB3C16">
        <w:t xml:space="preserve"> </w:t>
      </w:r>
      <w:r w:rsidR="006953EA">
        <w:t xml:space="preserve">movements and safe maternal sleep positions, diagnosis and management of </w:t>
      </w:r>
      <w:r w:rsidR="001573EF">
        <w:t>f</w:t>
      </w:r>
      <w:r w:rsidR="00EB3C16">
        <w:t xml:space="preserve">etal </w:t>
      </w:r>
      <w:r w:rsidR="006953EA">
        <w:t>growth restriction and promotion of appropriate timing of birth, and interventions to improve rates of smoking cessation in pregnancy</w:t>
      </w:r>
    </w:p>
    <w:p w14:paraId="33BEE441" w14:textId="7FDE330B" w:rsidR="006953EA" w:rsidRPr="003920B6" w:rsidRDefault="006953EA" w:rsidP="006953EA">
      <w:pPr>
        <w:pStyle w:val="ARbullet2"/>
      </w:pPr>
      <w:r>
        <w:rPr>
          <w:b/>
        </w:rPr>
        <w:t xml:space="preserve">11 clinical networks </w:t>
      </w:r>
      <w:r w:rsidR="00683C20">
        <w:rPr>
          <w:b/>
        </w:rPr>
        <w:t xml:space="preserve">that are </w:t>
      </w:r>
      <w:r>
        <w:rPr>
          <w:b/>
        </w:rPr>
        <w:t>leading 15</w:t>
      </w:r>
      <w:r w:rsidR="00B3543E">
        <w:rPr>
          <w:b/>
        </w:rPr>
        <w:t> </w:t>
      </w:r>
      <w:r>
        <w:rPr>
          <w:b/>
        </w:rPr>
        <w:t xml:space="preserve">improvement projects, </w:t>
      </w:r>
      <w:r w:rsidRPr="003920B6">
        <w:rPr>
          <w:bCs/>
        </w:rPr>
        <w:t>including actions</w:t>
      </w:r>
      <w:r w:rsidR="00B3543E">
        <w:rPr>
          <w:bCs/>
        </w:rPr>
        <w:t> </w:t>
      </w:r>
      <w:r>
        <w:rPr>
          <w:bCs/>
        </w:rPr>
        <w:t xml:space="preserve">to </w:t>
      </w:r>
      <w:r w:rsidRPr="003920B6">
        <w:rPr>
          <w:bCs/>
        </w:rPr>
        <w:t>reduce infection</w:t>
      </w:r>
      <w:r>
        <w:rPr>
          <w:bCs/>
        </w:rPr>
        <w:t>s</w:t>
      </w:r>
      <w:r w:rsidRPr="003920B6">
        <w:rPr>
          <w:bCs/>
        </w:rPr>
        <w:t xml:space="preserve"> associated with medical devices</w:t>
      </w:r>
      <w:r>
        <w:rPr>
          <w:bCs/>
        </w:rPr>
        <w:t xml:space="preserve"> and</w:t>
      </w:r>
      <w:r w:rsidRPr="003920B6">
        <w:rPr>
          <w:bCs/>
        </w:rPr>
        <w:t xml:space="preserve"> optimising the use of antimicrobials to control multi-drug resistant organisms</w:t>
      </w:r>
    </w:p>
    <w:p w14:paraId="3D4766F5" w14:textId="5D4CC0D0" w:rsidR="006953EA" w:rsidRPr="002D058E" w:rsidRDefault="00683C20" w:rsidP="006953EA">
      <w:pPr>
        <w:pStyle w:val="ARbullet2"/>
      </w:pPr>
      <w:r>
        <w:rPr>
          <w:bCs/>
        </w:rPr>
        <w:t xml:space="preserve">the release of </w:t>
      </w:r>
      <w:r w:rsidR="006953EA">
        <w:rPr>
          <w:b/>
        </w:rPr>
        <w:t>30 new practice guidelines</w:t>
      </w:r>
      <w:r w:rsidR="006953EA">
        <w:rPr>
          <w:bCs/>
        </w:rPr>
        <w:t>, together with an online database that is easier to search, to improve consistency in</w:t>
      </w:r>
      <w:r w:rsidR="00B3543E">
        <w:rPr>
          <w:bCs/>
        </w:rPr>
        <w:t> </w:t>
      </w:r>
      <w:r w:rsidR="006953EA">
        <w:rPr>
          <w:bCs/>
        </w:rPr>
        <w:t>safe, high</w:t>
      </w:r>
      <w:r>
        <w:rPr>
          <w:bCs/>
        </w:rPr>
        <w:t>-</w:t>
      </w:r>
      <w:r w:rsidR="006953EA">
        <w:rPr>
          <w:bCs/>
        </w:rPr>
        <w:t xml:space="preserve">quality care. For example, guidance </w:t>
      </w:r>
      <w:r>
        <w:rPr>
          <w:bCs/>
        </w:rPr>
        <w:t>includes</w:t>
      </w:r>
      <w:r w:rsidR="006953EA">
        <w:rPr>
          <w:bCs/>
        </w:rPr>
        <w:t xml:space="preserve"> managing anaphylaxis in</w:t>
      </w:r>
      <w:r w:rsidR="00B3543E">
        <w:rPr>
          <w:bCs/>
        </w:rPr>
        <w:t> </w:t>
      </w:r>
      <w:r w:rsidR="006953EA">
        <w:rPr>
          <w:bCs/>
        </w:rPr>
        <w:t>adults, car</w:t>
      </w:r>
      <w:r>
        <w:rPr>
          <w:bCs/>
        </w:rPr>
        <w:t>ing</w:t>
      </w:r>
      <w:r w:rsidR="006953EA">
        <w:rPr>
          <w:bCs/>
        </w:rPr>
        <w:t xml:space="preserve"> for critical care patients to reduce medication errors, and supporting the</w:t>
      </w:r>
      <w:r w:rsidR="00B3543E">
        <w:rPr>
          <w:bCs/>
        </w:rPr>
        <w:t> </w:t>
      </w:r>
      <w:r w:rsidR="006953EA">
        <w:rPr>
          <w:bCs/>
        </w:rPr>
        <w:t>specific needs of maternity services</w:t>
      </w:r>
    </w:p>
    <w:p w14:paraId="4C039722" w14:textId="77777777" w:rsidR="0045543B" w:rsidRDefault="0045543B" w:rsidP="006953EA">
      <w:pPr>
        <w:pStyle w:val="ARbullet2"/>
      </w:pPr>
      <w:r>
        <w:br w:type="page"/>
      </w:r>
    </w:p>
    <w:p w14:paraId="77459A92" w14:textId="69F08AA4" w:rsidR="006953EA" w:rsidRDefault="00683C20" w:rsidP="006953EA">
      <w:pPr>
        <w:pStyle w:val="ARbullet2"/>
      </w:pPr>
      <w:r>
        <w:lastRenderedPageBreak/>
        <w:t>d</w:t>
      </w:r>
      <w:r w:rsidR="006953EA">
        <w:t xml:space="preserve">elivering </w:t>
      </w:r>
      <w:r w:rsidR="006953EA" w:rsidRPr="00690641">
        <w:rPr>
          <w:b/>
          <w:bCs/>
        </w:rPr>
        <w:t xml:space="preserve">more support to </w:t>
      </w:r>
      <w:r w:rsidR="006953EA">
        <w:rPr>
          <w:b/>
          <w:bCs/>
        </w:rPr>
        <w:t xml:space="preserve">current and future </w:t>
      </w:r>
      <w:r w:rsidR="006953EA" w:rsidRPr="00690641">
        <w:rPr>
          <w:b/>
          <w:bCs/>
        </w:rPr>
        <w:t>healthcare leaders</w:t>
      </w:r>
      <w:r w:rsidR="006953EA">
        <w:t xml:space="preserve"> through tailored mentoring, coaching and networking opportunities and new leader development programs for mid-career and executive health service professionals and clinicians</w:t>
      </w:r>
    </w:p>
    <w:p w14:paraId="4447BD83" w14:textId="2D6D9701" w:rsidR="006953EA" w:rsidRDefault="00683C20" w:rsidP="006953EA">
      <w:pPr>
        <w:pStyle w:val="ARbullet2"/>
      </w:pPr>
      <w:r>
        <w:t>w</w:t>
      </w:r>
      <w:r w:rsidR="006953EA">
        <w:t xml:space="preserve">orking with </w:t>
      </w:r>
      <w:r w:rsidR="006953EA" w:rsidRPr="00E44FE0">
        <w:rPr>
          <w:b/>
          <w:bCs/>
        </w:rPr>
        <w:t>health service boards</w:t>
      </w:r>
      <w:r w:rsidR="006953EA">
        <w:t xml:space="preserve"> to</w:t>
      </w:r>
      <w:r w:rsidR="00B3543E">
        <w:t> </w:t>
      </w:r>
      <w:r w:rsidR="006953EA">
        <w:t>strengthen clinical governance</w:t>
      </w:r>
    </w:p>
    <w:p w14:paraId="5EAF1A21" w14:textId="0DD8DA99" w:rsidR="00796B4E" w:rsidRPr="0021195A" w:rsidRDefault="00683C20" w:rsidP="00326F42">
      <w:pPr>
        <w:pStyle w:val="ARbullet2"/>
      </w:pPr>
      <w:r>
        <w:t>e</w:t>
      </w:r>
      <w:r w:rsidR="006953EA">
        <w:t>xpanding their work to encompass quality, safety and innovation in aged care.</w:t>
      </w:r>
    </w:p>
    <w:p w14:paraId="7E8A5AE5" w14:textId="77777777" w:rsidR="006953EA" w:rsidRDefault="006953EA" w:rsidP="006953EA">
      <w:pPr>
        <w:pStyle w:val="ARbullet1"/>
      </w:pPr>
      <w:r>
        <w:t xml:space="preserve">The </w:t>
      </w:r>
      <w:r>
        <w:rPr>
          <w:b/>
        </w:rPr>
        <w:t xml:space="preserve">Victorian Agency for Health Information </w:t>
      </w:r>
      <w:r>
        <w:rPr>
          <w:bCs/>
        </w:rPr>
        <w:t>is supporting improvements in the collection, interpretation and use of health data to support better decision-making and care.</w:t>
      </w:r>
      <w:r w:rsidR="00140921">
        <w:rPr>
          <w:bCs/>
        </w:rPr>
        <w:t xml:space="preserve"> </w:t>
      </w:r>
      <w:r>
        <w:rPr>
          <w:bCs/>
        </w:rPr>
        <w:t>Specific initiative</w:t>
      </w:r>
      <w:r w:rsidR="00683C20">
        <w:rPr>
          <w:bCs/>
        </w:rPr>
        <w:t>s</w:t>
      </w:r>
      <w:r>
        <w:rPr>
          <w:bCs/>
        </w:rPr>
        <w:t xml:space="preserve"> in 2018</w:t>
      </w:r>
      <w:r w:rsidR="00683C20">
        <w:rPr>
          <w:bCs/>
        </w:rPr>
        <w:t>–</w:t>
      </w:r>
      <w:r>
        <w:rPr>
          <w:bCs/>
        </w:rPr>
        <w:t>19 included:</w:t>
      </w:r>
    </w:p>
    <w:p w14:paraId="1CCE0D83" w14:textId="77777777" w:rsidR="006953EA" w:rsidRDefault="00683C20" w:rsidP="006953EA">
      <w:pPr>
        <w:pStyle w:val="ARbullet2"/>
      </w:pPr>
      <w:r>
        <w:rPr>
          <w:b/>
        </w:rPr>
        <w:t>n</w:t>
      </w:r>
      <w:r w:rsidR="006953EA">
        <w:rPr>
          <w:b/>
        </w:rPr>
        <w:t>ew linked h</w:t>
      </w:r>
      <w:r w:rsidR="006953EA" w:rsidRPr="003E6D59">
        <w:rPr>
          <w:b/>
        </w:rPr>
        <w:t xml:space="preserve">ealth data to </w:t>
      </w:r>
      <w:r w:rsidR="006953EA">
        <w:rPr>
          <w:b/>
        </w:rPr>
        <w:t>improve</w:t>
      </w:r>
      <w:r w:rsidR="006953EA" w:rsidRPr="003E6D59">
        <w:rPr>
          <w:b/>
        </w:rPr>
        <w:t xml:space="preserve"> cardiac outcomes</w:t>
      </w:r>
      <w:r>
        <w:rPr>
          <w:bCs/>
        </w:rPr>
        <w:t xml:space="preserve"> which includes</w:t>
      </w:r>
      <w:r w:rsidR="006953EA">
        <w:t xml:space="preserve"> </w:t>
      </w:r>
      <w:r>
        <w:t xml:space="preserve">released </w:t>
      </w:r>
      <w:r w:rsidR="006953EA">
        <w:t xml:space="preserve">findings and actionable information </w:t>
      </w:r>
      <w:r>
        <w:t>to</w:t>
      </w:r>
      <w:r w:rsidR="006953EA">
        <w:t xml:space="preserve"> drive improvements in practice, </w:t>
      </w:r>
      <w:r>
        <w:t xml:space="preserve">and lead </w:t>
      </w:r>
      <w:r w:rsidR="006953EA">
        <w:t>to better cardiac health outcomes</w:t>
      </w:r>
    </w:p>
    <w:p w14:paraId="27E91A0E" w14:textId="77777777" w:rsidR="006953EA" w:rsidRDefault="00683C20" w:rsidP="006953EA">
      <w:pPr>
        <w:pStyle w:val="ARbullet2"/>
      </w:pPr>
      <w:r>
        <w:rPr>
          <w:b/>
          <w:bCs/>
        </w:rPr>
        <w:t>b</w:t>
      </w:r>
      <w:r w:rsidR="006953EA" w:rsidRPr="004F3720">
        <w:rPr>
          <w:b/>
          <w:bCs/>
        </w:rPr>
        <w:t>i-annual reports on quality and safety in Victorian private hospitals</w:t>
      </w:r>
      <w:r>
        <w:t>, which</w:t>
      </w:r>
      <w:r w:rsidR="006953EA">
        <w:t xml:space="preserve"> aim to improve access to high-quality information, including the ability to compare performance with comparable services</w:t>
      </w:r>
    </w:p>
    <w:p w14:paraId="34995F28" w14:textId="19BBA6E9" w:rsidR="006953EA" w:rsidRDefault="00683C20" w:rsidP="006953EA">
      <w:pPr>
        <w:pStyle w:val="ARbullet2"/>
      </w:pPr>
      <w:r>
        <w:t>d</w:t>
      </w:r>
      <w:r w:rsidR="006953EA">
        <w:t xml:space="preserve">evelopment of the </w:t>
      </w:r>
      <w:r w:rsidR="006953EA" w:rsidRPr="000F69B4">
        <w:rPr>
          <w:b/>
        </w:rPr>
        <w:t>Victorian Health Incident Management System</w:t>
      </w:r>
      <w:r w:rsidR="006953EA">
        <w:t xml:space="preserve"> (VHIMS) to capture incident data for clinical and health worker hazards. This includes clinical incidents, occupational health and safety incidents, near misses and hazards. Information collected through VHIMS is important in driving local and statewide improvements in the quality and safety of</w:t>
      </w:r>
      <w:r w:rsidR="00B3543E">
        <w:t> </w:t>
      </w:r>
      <w:r w:rsidR="006953EA">
        <w:t>health care and the overall patient experience</w:t>
      </w:r>
      <w:r w:rsidR="009E61DB">
        <w:t>.</w:t>
      </w:r>
    </w:p>
    <w:p w14:paraId="7AE453B9" w14:textId="77777777" w:rsidR="006953EA" w:rsidRDefault="00683C20" w:rsidP="006953EA">
      <w:pPr>
        <w:pStyle w:val="ARbullet1"/>
      </w:pPr>
      <w:r>
        <w:t>The department also s</w:t>
      </w:r>
      <w:r w:rsidR="006953EA">
        <w:t>upport</w:t>
      </w:r>
      <w:r>
        <w:t>ed</w:t>
      </w:r>
      <w:r w:rsidR="006953EA">
        <w:t xml:space="preserve"> quality, safety and improvement in social services</w:t>
      </w:r>
      <w:r>
        <w:t xml:space="preserve"> through</w:t>
      </w:r>
      <w:r w:rsidR="009E61DB">
        <w:t>:</w:t>
      </w:r>
    </w:p>
    <w:p w14:paraId="126D2AAD" w14:textId="77777777" w:rsidR="008D124E" w:rsidRDefault="00683C20" w:rsidP="006953EA">
      <w:pPr>
        <w:pStyle w:val="ARbullet2"/>
      </w:pPr>
      <w:r>
        <w:t>n</w:t>
      </w:r>
      <w:r w:rsidR="006953EA">
        <w:t xml:space="preserve">ew quality, safety and improvement functions for social services, including a </w:t>
      </w:r>
      <w:r w:rsidR="006953EA" w:rsidRPr="008F035E">
        <w:rPr>
          <w:b/>
        </w:rPr>
        <w:t>Community</w:t>
      </w:r>
      <w:r w:rsidR="006953EA">
        <w:t xml:space="preserve"> </w:t>
      </w:r>
      <w:r w:rsidR="006953EA" w:rsidRPr="00C44D69">
        <w:rPr>
          <w:b/>
          <w:bCs/>
        </w:rPr>
        <w:t xml:space="preserve">Services Quality and Safety Office </w:t>
      </w:r>
      <w:r w:rsidR="006953EA" w:rsidRPr="00326F42">
        <w:rPr>
          <w:bCs/>
        </w:rPr>
        <w:t>and</w:t>
      </w:r>
      <w:r w:rsidR="006953EA" w:rsidRPr="00C44D69">
        <w:rPr>
          <w:b/>
          <w:bCs/>
        </w:rPr>
        <w:t xml:space="preserve"> Centre for Evaluation and Research</w:t>
      </w:r>
    </w:p>
    <w:p w14:paraId="01683C9F" w14:textId="5C004BEA" w:rsidR="006953EA" w:rsidRDefault="006953EA" w:rsidP="006953EA">
      <w:pPr>
        <w:pStyle w:val="ARbullet2"/>
      </w:pPr>
      <w:r>
        <w:t xml:space="preserve">a new </w:t>
      </w:r>
      <w:r w:rsidRPr="00780100">
        <w:rPr>
          <w:b/>
          <w:bCs/>
        </w:rPr>
        <w:t>Community Services Quality Governance Framework</w:t>
      </w:r>
      <w:r>
        <w:t xml:space="preserve"> </w:t>
      </w:r>
      <w:r w:rsidR="00C3097C">
        <w:t xml:space="preserve">released by the Community Services Quality and Safety Office </w:t>
      </w:r>
      <w:r>
        <w:t>in October 2018</w:t>
      </w:r>
    </w:p>
    <w:p w14:paraId="16EA47C7" w14:textId="044DEFAD" w:rsidR="006953EA" w:rsidRDefault="008D124E" w:rsidP="006953EA">
      <w:pPr>
        <w:pStyle w:val="ARbullet2"/>
      </w:pPr>
      <w:r>
        <w:rPr>
          <w:b/>
          <w:bCs/>
        </w:rPr>
        <w:br w:type="column"/>
      </w:r>
      <w:r w:rsidR="006953EA">
        <w:rPr>
          <w:b/>
          <w:bCs/>
        </w:rPr>
        <w:t>q</w:t>
      </w:r>
      <w:r w:rsidR="006953EA" w:rsidRPr="00681ED8">
        <w:rPr>
          <w:b/>
          <w:bCs/>
        </w:rPr>
        <w:t xml:space="preserve">uality governance workshops </w:t>
      </w:r>
      <w:r w:rsidR="006953EA">
        <w:rPr>
          <w:b/>
          <w:bCs/>
        </w:rPr>
        <w:t>for</w:t>
      </w:r>
      <w:r w:rsidR="006953EA" w:rsidRPr="00681ED8">
        <w:rPr>
          <w:b/>
          <w:bCs/>
        </w:rPr>
        <w:t xml:space="preserve"> governing bodies of community services</w:t>
      </w:r>
      <w:r>
        <w:t xml:space="preserve"> </w:t>
      </w:r>
      <w:r w:rsidR="00C3097C">
        <w:t xml:space="preserve">to enhance </w:t>
      </w:r>
      <w:r w:rsidR="006953EA">
        <w:t>capabilities and promot</w:t>
      </w:r>
      <w:r w:rsidR="00C3097C">
        <w:t>e</w:t>
      </w:r>
      <w:r w:rsidR="006953EA">
        <w:t xml:space="preserve"> strong system-leadership. A Driving Improvement in Community Services forum was also held for practitioners and executives of community service organisations </w:t>
      </w:r>
      <w:r w:rsidR="00C3097C">
        <w:t>to</w:t>
      </w:r>
      <w:r w:rsidR="006953EA">
        <w:t xml:space="preserve"> promot</w:t>
      </w:r>
      <w:r w:rsidR="00C3097C">
        <w:t>e</w:t>
      </w:r>
      <w:r w:rsidR="006953EA">
        <w:t xml:space="preserve"> safe, effective, person-centred community services for everybody, every time; to promote the importance of the client voice; and the culture change required to achieve best outcomes for service users</w:t>
      </w:r>
    </w:p>
    <w:p w14:paraId="185D2A0E" w14:textId="77777777" w:rsidR="008D124E" w:rsidRDefault="00C3097C" w:rsidP="006953EA">
      <w:pPr>
        <w:pStyle w:val="ARbullet2"/>
      </w:pPr>
      <w:r>
        <w:rPr>
          <w:b/>
          <w:bCs/>
        </w:rPr>
        <w:t>r</w:t>
      </w:r>
      <w:r w:rsidR="006953EA" w:rsidRPr="00681ED8">
        <w:rPr>
          <w:b/>
          <w:bCs/>
        </w:rPr>
        <w:t>esearch partnerships</w:t>
      </w:r>
      <w:r w:rsidR="006953EA">
        <w:t xml:space="preserve"> to support the development and use of evidence in policy and service delivery.</w:t>
      </w:r>
      <w:r w:rsidR="00140921">
        <w:t xml:space="preserve"> </w:t>
      </w:r>
      <w:r w:rsidR="006953EA">
        <w:t>For example, the department funded the Outcomes Practice Evidence Network, and continued to support the Generation Victoria project at the Murdoch Children’s Research Institute to create a holistic picture of the health and wellbeing of Victoria’s children and advance the translation of research into practice</w:t>
      </w:r>
    </w:p>
    <w:p w14:paraId="36B1B300" w14:textId="010ADA16" w:rsidR="006953EA" w:rsidRDefault="00C3097C" w:rsidP="006953EA">
      <w:pPr>
        <w:pStyle w:val="ARbullet2"/>
      </w:pPr>
      <w:r>
        <w:t>the</w:t>
      </w:r>
      <w:r w:rsidR="006953EA">
        <w:t xml:space="preserve"> new </w:t>
      </w:r>
      <w:r w:rsidR="006953EA" w:rsidRPr="00E97C5C">
        <w:rPr>
          <w:b/>
          <w:bCs/>
        </w:rPr>
        <w:t>Orygen medical research facility for youth mental health</w:t>
      </w:r>
      <w:r w:rsidR="006953EA">
        <w:t xml:space="preserve"> in Parkville</w:t>
      </w:r>
      <w:r>
        <w:t>, which</w:t>
      </w:r>
      <w:r w:rsidR="00B3543E">
        <w:t> </w:t>
      </w:r>
      <w:r w:rsidR="006953EA">
        <w:t>brings together research, clinical care</w:t>
      </w:r>
      <w:r w:rsidR="00B3543E">
        <w:t> </w:t>
      </w:r>
      <w:r w:rsidR="006953EA">
        <w:t>and service reform capabilities and was</w:t>
      </w:r>
      <w:r w:rsidR="00B3543E">
        <w:t> </w:t>
      </w:r>
      <w:r w:rsidR="006953EA">
        <w:t>co-designed with more than 160 young</w:t>
      </w:r>
      <w:r w:rsidR="00B3543E">
        <w:t> </w:t>
      </w:r>
      <w:r w:rsidR="006953EA">
        <w:t>people.</w:t>
      </w:r>
    </w:p>
    <w:p w14:paraId="5A2CD0EA" w14:textId="6F9A8D49" w:rsidR="006953EA" w:rsidRPr="00CA4346" w:rsidRDefault="00C3097C" w:rsidP="006953EA">
      <w:pPr>
        <w:pStyle w:val="ARbullet1"/>
        <w:rPr>
          <w:b/>
          <w:bCs/>
        </w:rPr>
      </w:pPr>
      <w:r w:rsidRPr="008F035E">
        <w:t>The de</w:t>
      </w:r>
      <w:r>
        <w:t xml:space="preserve">partment sought to </w:t>
      </w:r>
      <w:r>
        <w:rPr>
          <w:b/>
          <w:bCs/>
        </w:rPr>
        <w:t>i</w:t>
      </w:r>
      <w:r w:rsidRPr="00CA4346">
        <w:rPr>
          <w:b/>
          <w:bCs/>
        </w:rPr>
        <w:t>mprov</w:t>
      </w:r>
      <w:r>
        <w:rPr>
          <w:b/>
          <w:bCs/>
        </w:rPr>
        <w:t>e</w:t>
      </w:r>
      <w:r w:rsidRPr="00CA4346">
        <w:rPr>
          <w:b/>
          <w:bCs/>
        </w:rPr>
        <w:t xml:space="preserve"> </w:t>
      </w:r>
      <w:r w:rsidR="006953EA" w:rsidRPr="00CA4346">
        <w:rPr>
          <w:b/>
          <w:bCs/>
        </w:rPr>
        <w:t>safeguards</w:t>
      </w:r>
      <w:r w:rsidR="00B3543E">
        <w:t> </w:t>
      </w:r>
      <w:r>
        <w:t>through:</w:t>
      </w:r>
    </w:p>
    <w:p w14:paraId="0457954D" w14:textId="43FB7C02" w:rsidR="006953EA" w:rsidRDefault="00C3097C" w:rsidP="006953EA">
      <w:pPr>
        <w:pStyle w:val="ARbullet2"/>
      </w:pPr>
      <w:r>
        <w:rPr>
          <w:b/>
        </w:rPr>
        <w:t>r</w:t>
      </w:r>
      <w:r w:rsidRPr="000F69B4">
        <w:rPr>
          <w:b/>
        </w:rPr>
        <w:t>eview</w:t>
      </w:r>
      <w:r>
        <w:rPr>
          <w:b/>
        </w:rPr>
        <w:t>ing</w:t>
      </w:r>
      <w:r w:rsidRPr="000F69B4">
        <w:rPr>
          <w:b/>
        </w:rPr>
        <w:t xml:space="preserve"> </w:t>
      </w:r>
      <w:r w:rsidR="006953EA" w:rsidRPr="000F69B4">
        <w:rPr>
          <w:b/>
        </w:rPr>
        <w:t>regulatory reform for assisted reproductive treatment</w:t>
      </w:r>
      <w:r w:rsidR="006953EA">
        <w:t xml:space="preserve"> as part of a major push to make sure more Victorians have better access to safer, higher-quality treatment and are free from discrimination. The</w:t>
      </w:r>
      <w:r>
        <w:t xml:space="preserve"> review has already led to </w:t>
      </w:r>
      <w:r w:rsidR="006953EA">
        <w:t>legislative amendments to implement some of the 80</w:t>
      </w:r>
      <w:r w:rsidR="00403187">
        <w:t> </w:t>
      </w:r>
      <w:r>
        <w:t>wide-</w:t>
      </w:r>
      <w:r w:rsidR="006953EA">
        <w:t>ranging recommendations</w:t>
      </w:r>
    </w:p>
    <w:p w14:paraId="2F075ADA" w14:textId="6E93F89E" w:rsidR="006953EA" w:rsidRDefault="00C3097C" w:rsidP="006953EA">
      <w:pPr>
        <w:pStyle w:val="ARbullet2"/>
      </w:pPr>
      <w:r>
        <w:rPr>
          <w:bCs/>
        </w:rPr>
        <w:t xml:space="preserve">the </w:t>
      </w:r>
      <w:r>
        <w:rPr>
          <w:b/>
        </w:rPr>
        <w:t>a</w:t>
      </w:r>
      <w:r w:rsidR="006953EA" w:rsidRPr="000F69B4">
        <w:rPr>
          <w:b/>
        </w:rPr>
        <w:t>gency risk management framework</w:t>
      </w:r>
      <w:r>
        <w:t>,</w:t>
      </w:r>
      <w:r w:rsidR="006953EA">
        <w:t xml:space="preserve"> </w:t>
      </w:r>
      <w:r>
        <w:t xml:space="preserve">which provides </w:t>
      </w:r>
      <w:r w:rsidR="006953EA">
        <w:t>policies, procedures and tools to streamline and standardise the monitoring of service agreement compliance across the state. This new approach reduces the administrative burden for funded agencies and allows for better services for</w:t>
      </w:r>
      <w:r w:rsidR="00403187">
        <w:t> </w:t>
      </w:r>
      <w:r w:rsidR="006953EA">
        <w:t>vulnerable Victorians</w:t>
      </w:r>
      <w:r w:rsidR="009E61DB">
        <w:t>.</w:t>
      </w:r>
    </w:p>
    <w:p w14:paraId="483539A8" w14:textId="77777777" w:rsidR="003A4C63" w:rsidRPr="0045543B" w:rsidRDefault="003A4C63" w:rsidP="0045543B">
      <w:pPr>
        <w:pStyle w:val="ARbody"/>
      </w:pPr>
      <w:r w:rsidRPr="0045543B">
        <w:br w:type="page"/>
      </w:r>
    </w:p>
    <w:p w14:paraId="3CF1C16A" w14:textId="77777777" w:rsidR="003A4C63" w:rsidRPr="00276ECD" w:rsidRDefault="003A4C63" w:rsidP="003A4C63">
      <w:pPr>
        <w:pStyle w:val="Heading2"/>
      </w:pPr>
      <w:r w:rsidRPr="00276ECD">
        <w:lastRenderedPageBreak/>
        <w:t>Leadership charter</w:t>
      </w:r>
    </w:p>
    <w:p w14:paraId="2195E21E" w14:textId="7E487AB2" w:rsidR="009320B3" w:rsidRPr="00276ECD" w:rsidRDefault="009320B3" w:rsidP="009320B3">
      <w:pPr>
        <w:pStyle w:val="ARbody"/>
      </w:pPr>
      <w:r w:rsidRPr="00276ECD">
        <w:t>Our leadership charter is an important part of</w:t>
      </w:r>
      <w:r w:rsidR="00403187">
        <w:t> </w:t>
      </w:r>
      <w:r w:rsidRPr="00276ECD">
        <w:t>shaping our culture.</w:t>
      </w:r>
    </w:p>
    <w:p w14:paraId="0E104DE0" w14:textId="2CEECFA7" w:rsidR="009320B3" w:rsidRPr="00276ECD" w:rsidRDefault="009320B3" w:rsidP="009320B3">
      <w:pPr>
        <w:pStyle w:val="ARbody"/>
      </w:pPr>
      <w:r w:rsidRPr="00276ECD">
        <w:t>It outlines the leadership behaviours our staff and</w:t>
      </w:r>
      <w:r w:rsidR="00403187">
        <w:t> </w:t>
      </w:r>
      <w:r w:rsidRPr="00276ECD">
        <w:t>stakeholders can expect of the executive leadership group and positions the department as</w:t>
      </w:r>
      <w:r w:rsidR="00403187">
        <w:t> </w:t>
      </w:r>
      <w:r w:rsidRPr="00276ECD">
        <w:t>a</w:t>
      </w:r>
      <w:r w:rsidR="00403187">
        <w:t> </w:t>
      </w:r>
      <w:r w:rsidRPr="00276ECD">
        <w:t>great place to work. It represents how the department’s executive leadership group wish to</w:t>
      </w:r>
      <w:r w:rsidR="005305BD">
        <w:t> </w:t>
      </w:r>
      <w:r w:rsidRPr="00276ECD">
        <w:t>be</w:t>
      </w:r>
      <w:r w:rsidR="00403187">
        <w:t> </w:t>
      </w:r>
      <w:r w:rsidRPr="00276ECD">
        <w:t>known and to relate to each other and to our</w:t>
      </w:r>
      <w:r w:rsidR="005305BD">
        <w:t> </w:t>
      </w:r>
      <w:r w:rsidRPr="00276ECD">
        <w:t>stakeholders.</w:t>
      </w:r>
    </w:p>
    <w:p w14:paraId="22884DF6" w14:textId="4E727235" w:rsidR="009320B3" w:rsidRPr="00276ECD" w:rsidRDefault="009320B3" w:rsidP="009320B3">
      <w:pPr>
        <w:pStyle w:val="ARbody"/>
      </w:pPr>
      <w:r w:rsidRPr="00276ECD">
        <w:t>The charter commits the executive leadership group to lead by example and ensure their behaviours and the way they approach their work embodies the department’s values. For example, by being accountable for their actions and outcomes, sharing information with staff when it</w:t>
      </w:r>
      <w:r w:rsidR="005305BD">
        <w:t> </w:t>
      </w:r>
      <w:r w:rsidRPr="00276ECD">
        <w:t>should be shared, and seeking out and valuing other perspectives.</w:t>
      </w:r>
    </w:p>
    <w:p w14:paraId="6223AA0F" w14:textId="5592424E" w:rsidR="009320B3" w:rsidRPr="00173141" w:rsidRDefault="009320B3" w:rsidP="009320B3">
      <w:pPr>
        <w:pStyle w:val="ARbody"/>
      </w:pPr>
      <w:r w:rsidRPr="00276ECD">
        <w:t xml:space="preserve">The </w:t>
      </w:r>
      <w:hyperlink r:id="rId35" w:history="1">
        <w:r w:rsidRPr="00173141">
          <w:rPr>
            <w:rStyle w:val="Hyperlink"/>
          </w:rPr>
          <w:t>leadership charter</w:t>
        </w:r>
      </w:hyperlink>
      <w:r w:rsidRPr="00173141">
        <w:t xml:space="preserve"> is available on our website &lt;http://dhhs.vic.gov.au/leadership</w:t>
      </w:r>
      <w:r w:rsidR="00EC7E1F">
        <w:t>-</w:t>
      </w:r>
      <w:r w:rsidRPr="00173141">
        <w:t>charter&gt;.</w:t>
      </w:r>
    </w:p>
    <w:p w14:paraId="0D3FFD89" w14:textId="77777777" w:rsidR="009320B3" w:rsidRPr="00173141" w:rsidRDefault="009320B3" w:rsidP="009320B3">
      <w:pPr>
        <w:pStyle w:val="Heading2"/>
      </w:pPr>
      <w:r w:rsidRPr="00173141">
        <w:t>Purpose and functions</w:t>
      </w:r>
    </w:p>
    <w:p w14:paraId="6AEE1C73" w14:textId="77777777" w:rsidR="009320B3" w:rsidRPr="00173141" w:rsidRDefault="009320B3" w:rsidP="009320B3">
      <w:pPr>
        <w:pStyle w:val="ARbody"/>
      </w:pPr>
      <w:r w:rsidRPr="00173141">
        <w:t>The department develop</w:t>
      </w:r>
      <w:r>
        <w:t>s</w:t>
      </w:r>
      <w:r w:rsidRPr="00173141">
        <w:t xml:space="preserve"> policies</w:t>
      </w:r>
      <w:r>
        <w:t xml:space="preserve"> and</w:t>
      </w:r>
      <w:r w:rsidRPr="00173141">
        <w:t xml:space="preserve"> programs</w:t>
      </w:r>
      <w:r>
        <w:t xml:space="preserve"> a</w:t>
      </w:r>
      <w:r w:rsidRPr="00173141">
        <w:t xml:space="preserve">nd </w:t>
      </w:r>
      <w:r>
        <w:t xml:space="preserve">funds </w:t>
      </w:r>
      <w:r w:rsidRPr="00173141">
        <w:t>and deliver</w:t>
      </w:r>
      <w:r>
        <w:t>s</w:t>
      </w:r>
      <w:r w:rsidRPr="00173141">
        <w:t xml:space="preserve"> services that support and enhance the wellbeing of all Victorians.</w:t>
      </w:r>
    </w:p>
    <w:p w14:paraId="4BC66402" w14:textId="77777777" w:rsidR="009320B3" w:rsidRPr="00173141" w:rsidRDefault="009320B3" w:rsidP="009320B3">
      <w:pPr>
        <w:pStyle w:val="ARbody"/>
        <w:rPr>
          <w:bCs/>
        </w:rPr>
      </w:pPr>
      <w:r w:rsidRPr="00173141">
        <w:t xml:space="preserve">Some of these activities include </w:t>
      </w:r>
      <w:r>
        <w:t xml:space="preserve">social </w:t>
      </w:r>
      <w:r w:rsidRPr="00173141">
        <w:t>housing, disability, child</w:t>
      </w:r>
      <w:r>
        <w:t xml:space="preserve"> and family</w:t>
      </w:r>
      <w:r w:rsidRPr="00173141">
        <w:t xml:space="preserve"> services, public hospitals, </w:t>
      </w:r>
      <w:r>
        <w:t xml:space="preserve">community </w:t>
      </w:r>
      <w:r w:rsidRPr="00173141">
        <w:t>health, mental health and aged care services, maternal and child health</w:t>
      </w:r>
      <w:r>
        <w:t>,</w:t>
      </w:r>
      <w:r w:rsidRPr="00173141">
        <w:t xml:space="preserve"> </w:t>
      </w:r>
      <w:r>
        <w:t xml:space="preserve">and preventing </w:t>
      </w:r>
      <w:r w:rsidRPr="00173141">
        <w:t>family violence and violence against women</w:t>
      </w:r>
      <w:r>
        <w:t>.</w:t>
      </w:r>
    </w:p>
    <w:p w14:paraId="14F780DD" w14:textId="77777777" w:rsidR="009320B3" w:rsidRPr="00173141" w:rsidRDefault="009320B3" w:rsidP="009320B3">
      <w:pPr>
        <w:pStyle w:val="Heading3"/>
      </w:pPr>
      <w:r w:rsidRPr="00173141">
        <w:t>Our services</w:t>
      </w:r>
    </w:p>
    <w:p w14:paraId="7617537B" w14:textId="77777777" w:rsidR="009320B3" w:rsidRPr="00173141" w:rsidRDefault="009320B3" w:rsidP="009320B3">
      <w:pPr>
        <w:pStyle w:val="Heading4"/>
      </w:pPr>
      <w:r w:rsidRPr="00173141">
        <w:t>Disability</w:t>
      </w:r>
    </w:p>
    <w:p w14:paraId="5FD3146B" w14:textId="77777777" w:rsidR="008D124E" w:rsidRDefault="009320B3" w:rsidP="009320B3">
      <w:pPr>
        <w:pStyle w:val="ARbody"/>
      </w:pPr>
      <w:r w:rsidRPr="00173141">
        <w:t xml:space="preserve">The department works in partnership with people with a disability, their families and carers to achieve greater inclusion and improve their quality of life by providing a broad range of supports and community services. The </w:t>
      </w:r>
      <w:r w:rsidRPr="00173141">
        <w:rPr>
          <w:i/>
          <w:iCs/>
        </w:rPr>
        <w:t>Absolutely everyone</w:t>
      </w:r>
      <w:r>
        <w:rPr>
          <w:i/>
          <w:iCs/>
        </w:rPr>
        <w:t>:</w:t>
      </w:r>
      <w:r w:rsidRPr="00173141">
        <w:rPr>
          <w:i/>
          <w:iCs/>
        </w:rPr>
        <w:t xml:space="preserve"> state disability plan 2017–2020</w:t>
      </w:r>
      <w:r w:rsidRPr="00173141">
        <w:t xml:space="preserve"> was created in consultation with people with disability</w:t>
      </w:r>
      <w:r>
        <w:t>.</w:t>
      </w:r>
    </w:p>
    <w:p w14:paraId="7D513989" w14:textId="1D3AE54B" w:rsidR="009320B3" w:rsidRPr="00173141" w:rsidRDefault="009320B3" w:rsidP="009320B3">
      <w:pPr>
        <w:pStyle w:val="ARbody"/>
      </w:pPr>
      <w:r>
        <w:t>It</w:t>
      </w:r>
      <w:r w:rsidRPr="00173141">
        <w:t xml:space="preserve"> commits the department to actions that will build inclusive communities and help increase access to</w:t>
      </w:r>
      <w:r w:rsidR="005305BD">
        <w:t> </w:t>
      </w:r>
      <w:r w:rsidRPr="00173141">
        <w:t>affordable housing, public transport, schools and</w:t>
      </w:r>
      <w:r w:rsidR="005305BD">
        <w:t> </w:t>
      </w:r>
      <w:r w:rsidRPr="00173141">
        <w:t>jobs.</w:t>
      </w:r>
    </w:p>
    <w:p w14:paraId="30194105" w14:textId="1AC19E94" w:rsidR="009320B3" w:rsidRPr="00B34C15" w:rsidRDefault="0045543B" w:rsidP="009320B3">
      <w:pPr>
        <w:pStyle w:val="ARbody"/>
      </w:pPr>
      <w:r>
        <w:br w:type="column"/>
      </w:r>
      <w:r w:rsidR="009320B3" w:rsidRPr="00173141">
        <w:t>One of the department’s key priorities is managing the implementation of the National Disability Insurance Scheme (NDIS) and its interface with the</w:t>
      </w:r>
      <w:r w:rsidR="005305BD">
        <w:t> </w:t>
      </w:r>
      <w:r w:rsidR="009320B3" w:rsidRPr="00173141">
        <w:t>health services system, child protection and housing. The NDIS is a profound change in the way disability services are delivered</w:t>
      </w:r>
      <w:r w:rsidR="009320B3">
        <w:t>,</w:t>
      </w:r>
      <w:r w:rsidR="009320B3" w:rsidRPr="00173141">
        <w:t xml:space="preserve"> and Victoria has been transitioning to the NDIS </w:t>
      </w:r>
      <w:r w:rsidR="009320B3">
        <w:t>since</w:t>
      </w:r>
      <w:r w:rsidR="009320B3" w:rsidRPr="00173141">
        <w:t xml:space="preserve"> 2016–17.</w:t>
      </w:r>
    </w:p>
    <w:p w14:paraId="53E02738" w14:textId="77777777" w:rsidR="009320B3" w:rsidRPr="00173141" w:rsidRDefault="009320B3" w:rsidP="009320B3">
      <w:pPr>
        <w:pStyle w:val="Heading4"/>
      </w:pPr>
      <w:r w:rsidRPr="00173141">
        <w:t>Carers</w:t>
      </w:r>
    </w:p>
    <w:p w14:paraId="594D7758" w14:textId="77777777" w:rsidR="009320B3" w:rsidRPr="00173141" w:rsidRDefault="009320B3" w:rsidP="009320B3">
      <w:pPr>
        <w:pStyle w:val="ARbody"/>
      </w:pPr>
      <w:r w:rsidRPr="00173141">
        <w:t>Carers make an invaluable contribution to our community. They give their time, effort and love to caring for a family member, partner or friend who needs them.</w:t>
      </w:r>
    </w:p>
    <w:p w14:paraId="0BE8494F" w14:textId="48687C8F" w:rsidR="009320B3" w:rsidRPr="00173141" w:rsidRDefault="009320B3" w:rsidP="009320B3">
      <w:pPr>
        <w:pStyle w:val="ARbody"/>
      </w:pPr>
      <w:r w:rsidRPr="00173141">
        <w:t>The department is working to improve the health and wellbeing of carers. We work in partnership</w:t>
      </w:r>
      <w:r>
        <w:t xml:space="preserve"> with a range of community organisations</w:t>
      </w:r>
      <w:r w:rsidRPr="00173141">
        <w:t xml:space="preserve"> to support the needs of carers. These include </w:t>
      </w:r>
      <w:r>
        <w:t xml:space="preserve">supporting </w:t>
      </w:r>
      <w:r w:rsidRPr="00173141">
        <w:t>access to respite, support groups, information and</w:t>
      </w:r>
      <w:r w:rsidR="00403187">
        <w:t> </w:t>
      </w:r>
      <w:r w:rsidRPr="00173141">
        <w:t>advice, financial services and transport concessions.</w:t>
      </w:r>
    </w:p>
    <w:p w14:paraId="6951031C" w14:textId="77777777" w:rsidR="009320B3" w:rsidRPr="00173141" w:rsidRDefault="009320B3" w:rsidP="009320B3">
      <w:pPr>
        <w:pStyle w:val="Heading4"/>
      </w:pPr>
      <w:r w:rsidRPr="00173141">
        <w:t>Ageing</w:t>
      </w:r>
    </w:p>
    <w:p w14:paraId="63F137D7" w14:textId="27F6203E" w:rsidR="009320B3" w:rsidRDefault="009320B3" w:rsidP="009320B3">
      <w:pPr>
        <w:pStyle w:val="ARbody"/>
      </w:pPr>
      <w:r w:rsidRPr="00173141">
        <w:t>The Ageing portfolio addresses the needs of</w:t>
      </w:r>
      <w:r w:rsidR="00403187">
        <w:t> </w:t>
      </w:r>
      <w:r w:rsidRPr="00173141">
        <w:t>Victoria’s ageing population, by creating opportunities for older people to maximise their health and wellbeing, participate and remain engaged and connected in their communities</w:t>
      </w:r>
      <w:r>
        <w:t>.</w:t>
      </w:r>
    </w:p>
    <w:p w14:paraId="37F817CF" w14:textId="311518B1" w:rsidR="009320B3" w:rsidRPr="00DA312A" w:rsidRDefault="009320B3" w:rsidP="009320B3">
      <w:pPr>
        <w:pStyle w:val="ARbody"/>
      </w:pPr>
      <w:r>
        <w:t>This includes providing</w:t>
      </w:r>
      <w:r w:rsidRPr="00173141">
        <w:t xml:space="preserve"> timely access to supports and services that enable </w:t>
      </w:r>
      <w:r>
        <w:t xml:space="preserve">older people </w:t>
      </w:r>
      <w:r w:rsidRPr="00173141">
        <w:t>to remain independent for as long as possible.</w:t>
      </w:r>
      <w:r w:rsidRPr="00891E52">
        <w:t xml:space="preserve"> </w:t>
      </w:r>
      <w:r w:rsidRPr="00DA312A">
        <w:t xml:space="preserve">The </w:t>
      </w:r>
      <w:r w:rsidRPr="00891E52">
        <w:t>department</w:t>
      </w:r>
      <w:r w:rsidRPr="00DA312A">
        <w:t xml:space="preserve"> is also the system manager for the largest public sector residential aged care sector in</w:t>
      </w:r>
      <w:r w:rsidR="00403187">
        <w:t> </w:t>
      </w:r>
      <w:r>
        <w:t>Australia.</w:t>
      </w:r>
    </w:p>
    <w:p w14:paraId="43B63ED5" w14:textId="77777777" w:rsidR="009320B3" w:rsidRPr="00173141" w:rsidRDefault="009320B3" w:rsidP="009320B3">
      <w:pPr>
        <w:pStyle w:val="Heading4"/>
      </w:pPr>
      <w:r w:rsidRPr="00173141">
        <w:t>Health</w:t>
      </w:r>
    </w:p>
    <w:p w14:paraId="3D54BE6B" w14:textId="77777777" w:rsidR="008D124E" w:rsidRDefault="009320B3" w:rsidP="009320B3">
      <w:pPr>
        <w:pStyle w:val="ARbody"/>
      </w:pPr>
      <w:r w:rsidRPr="00C05F84">
        <w:t>The health system provides all Victorians with public services to address their health needs. The</w:t>
      </w:r>
      <w:r w:rsidR="00403187">
        <w:t> </w:t>
      </w:r>
      <w:r w:rsidRPr="00C05F84">
        <w:t>department contributes to system leadership, policy, advancing quality and safety, and governance responsibility for the management of</w:t>
      </w:r>
      <w:r w:rsidR="00403187">
        <w:t> </w:t>
      </w:r>
      <w:r w:rsidRPr="00C05F84">
        <w:t>the public health system.</w:t>
      </w:r>
    </w:p>
    <w:p w14:paraId="19D1F9BB" w14:textId="3FC32AFB" w:rsidR="009320B3" w:rsidRPr="00C05F84" w:rsidRDefault="009320B3" w:rsidP="009320B3">
      <w:pPr>
        <w:pStyle w:val="ARbody"/>
      </w:pPr>
      <w:r w:rsidRPr="00C05F84">
        <w:t>This includes responsibility for funding, performance monitoring and accountability, strategic asset management and system planning.</w:t>
      </w:r>
    </w:p>
    <w:p w14:paraId="27663AC6" w14:textId="77777777" w:rsidR="009320B3" w:rsidRPr="00173141" w:rsidRDefault="009320B3" w:rsidP="009320B3">
      <w:pPr>
        <w:pStyle w:val="Heading4"/>
      </w:pPr>
      <w:r w:rsidRPr="00173141">
        <w:t>Ambulance services</w:t>
      </w:r>
    </w:p>
    <w:p w14:paraId="760BC246" w14:textId="272FE594" w:rsidR="00796B4E" w:rsidRPr="0045543B" w:rsidRDefault="009320B3" w:rsidP="0045543B">
      <w:pPr>
        <w:pStyle w:val="ARbody"/>
      </w:pPr>
      <w:r w:rsidRPr="00173141">
        <w:t>Victorians expect timely responses to emergencies. Ambulance services provide emergency and non-emergency ambulance services to contribute to integrated and accessible health and community services for all Victorians.</w:t>
      </w:r>
    </w:p>
    <w:p w14:paraId="3C28DD1C" w14:textId="77777777" w:rsidR="009320B3" w:rsidRPr="00173141" w:rsidRDefault="009320B3" w:rsidP="009320B3">
      <w:pPr>
        <w:pStyle w:val="Heading4"/>
      </w:pPr>
      <w:r w:rsidRPr="00173141">
        <w:lastRenderedPageBreak/>
        <w:t>Alcohol and other drugs</w:t>
      </w:r>
    </w:p>
    <w:p w14:paraId="06B74162" w14:textId="77777777" w:rsidR="009320B3" w:rsidRPr="00173141" w:rsidRDefault="009320B3" w:rsidP="009320B3">
      <w:pPr>
        <w:pStyle w:val="ARbody"/>
      </w:pPr>
      <w:r w:rsidRPr="00173141">
        <w:t>Drug and alcohol problems affect not just individuals, but their families, their friends and their communities. We work with Victoria’s alcohol and drug treatment and support services</w:t>
      </w:r>
      <w:r>
        <w:t xml:space="preserve"> to</w:t>
      </w:r>
      <w:r w:rsidRPr="00173141">
        <w:t xml:space="preserve"> develop policies and provide funding for the right drug treatment, support and harm</w:t>
      </w:r>
      <w:r>
        <w:t>-</w:t>
      </w:r>
      <w:r w:rsidRPr="00173141">
        <w:t>reduction services across Victoria.</w:t>
      </w:r>
    </w:p>
    <w:p w14:paraId="3F5407A5" w14:textId="77777777" w:rsidR="009320B3" w:rsidRPr="00173141" w:rsidRDefault="009320B3" w:rsidP="009320B3">
      <w:pPr>
        <w:pStyle w:val="Heading4"/>
      </w:pPr>
      <w:r w:rsidRPr="00173141">
        <w:t>Mental health</w:t>
      </w:r>
    </w:p>
    <w:p w14:paraId="373B08B7" w14:textId="77777777" w:rsidR="008D124E" w:rsidRDefault="009320B3" w:rsidP="009320B3">
      <w:pPr>
        <w:pStyle w:val="ARbody"/>
      </w:pPr>
      <w:r w:rsidRPr="00173141">
        <w:t>Mental health services support Victorians experiencing or</w:t>
      </w:r>
      <w:r>
        <w:t xml:space="preserve"> </w:t>
      </w:r>
      <w:r w:rsidRPr="00173141">
        <w:t xml:space="preserve">affected by </w:t>
      </w:r>
      <w:r w:rsidR="00880B66">
        <w:t xml:space="preserve">poor </w:t>
      </w:r>
      <w:r w:rsidRPr="00173141">
        <w:t>mental health, as</w:t>
      </w:r>
      <w:r w:rsidR="00403187">
        <w:t> </w:t>
      </w:r>
      <w:r w:rsidRPr="00173141">
        <w:t xml:space="preserve">well as their families and carers. </w:t>
      </w:r>
      <w:r w:rsidR="002F250F">
        <w:t>The department</w:t>
      </w:r>
      <w:r w:rsidRPr="00173141">
        <w:t xml:space="preserve"> is responsible for mental health policy, planning, strategy and programs that deliver prevention, early</w:t>
      </w:r>
      <w:r w:rsidR="00403187">
        <w:t> </w:t>
      </w:r>
      <w:r w:rsidRPr="00173141">
        <w:t>intervention, treatment and support.</w:t>
      </w:r>
      <w:r w:rsidR="00E03D73">
        <w:t xml:space="preserve"> </w:t>
      </w:r>
      <w:r w:rsidR="00F85355">
        <w:t xml:space="preserve">The </w:t>
      </w:r>
      <w:r w:rsidR="002F250F">
        <w:t xml:space="preserve">department </w:t>
      </w:r>
      <w:r w:rsidR="00F85355">
        <w:t xml:space="preserve">also supports the </w:t>
      </w:r>
      <w:r w:rsidR="00E03D73" w:rsidRPr="00E03D73">
        <w:t xml:space="preserve">Royal Commission into Victoria’s Mental Health System – </w:t>
      </w:r>
      <w:r w:rsidR="00F85355">
        <w:t>established by the Government this is the</w:t>
      </w:r>
      <w:r w:rsidR="00E03D73" w:rsidRPr="00E03D73">
        <w:t xml:space="preserve"> first of its kind in Australia.</w:t>
      </w:r>
    </w:p>
    <w:p w14:paraId="078B278A" w14:textId="7719E389" w:rsidR="009320B3" w:rsidRPr="00173141" w:rsidRDefault="009320B3" w:rsidP="009320B3">
      <w:pPr>
        <w:pStyle w:val="Heading4"/>
      </w:pPr>
      <w:r w:rsidRPr="00173141">
        <w:t>Housing</w:t>
      </w:r>
    </w:p>
    <w:p w14:paraId="00788079" w14:textId="640D3522" w:rsidR="009320B3" w:rsidRPr="00173141" w:rsidRDefault="009320B3" w:rsidP="009320B3">
      <w:pPr>
        <w:pStyle w:val="ARbody"/>
      </w:pPr>
      <w:r w:rsidRPr="00173141">
        <w:t>Having a safe, stable and secure home is essential</w:t>
      </w:r>
      <w:r>
        <w:t xml:space="preserve"> </w:t>
      </w:r>
      <w:r w:rsidRPr="00173141">
        <w:t>for long-term health and wellbeing. A</w:t>
      </w:r>
      <w:r w:rsidR="00403187">
        <w:t xml:space="preserve"> </w:t>
      </w:r>
      <w:r w:rsidRPr="00173141">
        <w:t xml:space="preserve">range of housing assistance is available to Victorians experiencing disadvantage, including long-term housing assistance in the form of public or community housing, private rental assistance and home ownership and renovation assistance. </w:t>
      </w:r>
      <w:r w:rsidRPr="00173141">
        <w:rPr>
          <w:spacing w:val="-2"/>
        </w:rPr>
        <w:t>The department also works to reduce homelessness</w:t>
      </w:r>
      <w:r w:rsidRPr="00173141">
        <w:t xml:space="preserve"> by increasing and improving the supply of crisis and long-term housing options in Victoria – particularly for those who need support to get their lives back on track.</w:t>
      </w:r>
    </w:p>
    <w:p w14:paraId="29E5634C" w14:textId="77777777" w:rsidR="009320B3" w:rsidRPr="00173141" w:rsidRDefault="009320B3" w:rsidP="009320B3">
      <w:pPr>
        <w:pStyle w:val="Heading4"/>
      </w:pPr>
      <w:r w:rsidRPr="00173141">
        <w:t>Children and Families</w:t>
      </w:r>
    </w:p>
    <w:p w14:paraId="601F1D12" w14:textId="7C62A364" w:rsidR="009320B3" w:rsidRPr="00173141" w:rsidRDefault="009320B3" w:rsidP="009320B3">
      <w:pPr>
        <w:pStyle w:val="ARbody"/>
      </w:pPr>
      <w:r w:rsidRPr="00173141">
        <w:t>Victoria’s child and family services are providing vulnerable children and families with earlier and more connected support through a unified system. We are designing a child and family services system that can respond to the changing needs of</w:t>
      </w:r>
      <w:r w:rsidR="00403187">
        <w:t> </w:t>
      </w:r>
      <w:r w:rsidRPr="00173141">
        <w:t xml:space="preserve">families. We are recruiting additional child protection practitioners </w:t>
      </w:r>
      <w:r w:rsidR="00566EA7">
        <w:t xml:space="preserve">– </w:t>
      </w:r>
      <w:r w:rsidRPr="00173141">
        <w:t>the largest ever expansion of the workforce and we are working to</w:t>
      </w:r>
      <w:r w:rsidR="00403187">
        <w:t> </w:t>
      </w:r>
      <w:r w:rsidRPr="00173141">
        <w:t>ensure every Aboriginal child has the opportunity to learn, practice, thrive and pass on their culture. We work with Victoria Police, Ambulance Victoria, across government and with a host of other support agencies to keep children safe.</w:t>
      </w:r>
    </w:p>
    <w:p w14:paraId="24AB254D" w14:textId="77777777" w:rsidR="009320B3" w:rsidRPr="00173141" w:rsidRDefault="009320B3" w:rsidP="009320B3">
      <w:pPr>
        <w:pStyle w:val="Heading4"/>
      </w:pPr>
      <w:r w:rsidRPr="00173141">
        <w:t>Prevention of family violence</w:t>
      </w:r>
    </w:p>
    <w:p w14:paraId="54C2D064" w14:textId="77777777" w:rsidR="009320B3" w:rsidRDefault="009320B3" w:rsidP="009320B3">
      <w:pPr>
        <w:pStyle w:val="ARbody"/>
      </w:pPr>
      <w:r w:rsidRPr="00173141">
        <w:t>The department is working towards a Victoria free from family violence. Successful primary prevention of family violence and all forms of violence against women is a critical part of achieving this.</w:t>
      </w:r>
      <w:r>
        <w:t xml:space="preserve"> Through the delivery of Orange Doors and behaviour change programs for perpetrators we are seeking to end family violence.</w:t>
      </w:r>
    </w:p>
    <w:p w14:paraId="50C168DD" w14:textId="2BE4F4F4" w:rsidR="009320B3" w:rsidRDefault="009320B3" w:rsidP="009320B3">
      <w:pPr>
        <w:pStyle w:val="ARbody"/>
      </w:pPr>
      <w:r w:rsidRPr="00E461BF">
        <w:t>The department also funds a range of support services for victim survivors of family violence and</w:t>
      </w:r>
      <w:r w:rsidR="00323536">
        <w:t> </w:t>
      </w:r>
      <w:r w:rsidRPr="00E461BF">
        <w:t>services that seek to engage perpetrators and</w:t>
      </w:r>
      <w:r w:rsidR="00323536">
        <w:t> </w:t>
      </w:r>
      <w:r w:rsidRPr="00E461BF">
        <w:t>support them to change their behaviour.</w:t>
      </w:r>
    </w:p>
    <w:p w14:paraId="26E0CCA4" w14:textId="77777777" w:rsidR="009320B3" w:rsidRPr="00173141" w:rsidRDefault="009320B3" w:rsidP="009320B3">
      <w:pPr>
        <w:pStyle w:val="Heading3"/>
      </w:pPr>
      <w:bookmarkStart w:id="10" w:name="_Ref21861667"/>
      <w:r w:rsidRPr="00173141">
        <w:t>Changes to the department</w:t>
      </w:r>
      <w:bookmarkEnd w:id="10"/>
    </w:p>
    <w:p w14:paraId="59F03909" w14:textId="77777777" w:rsidR="008D124E" w:rsidRDefault="009320B3" w:rsidP="009320B3">
      <w:pPr>
        <w:pStyle w:val="ARbody"/>
      </w:pPr>
      <w:r w:rsidRPr="00955256">
        <w:t>As a consequence of machinery</w:t>
      </w:r>
      <w:r>
        <w:t>-</w:t>
      </w:r>
      <w:r w:rsidRPr="00955256">
        <w:t>of</w:t>
      </w:r>
      <w:r>
        <w:t>-</w:t>
      </w:r>
      <w:r w:rsidRPr="00955256">
        <w:t xml:space="preserve">government changes effective 1 January 2019, the department received the </w:t>
      </w:r>
      <w:r>
        <w:t xml:space="preserve">disability reform, </w:t>
      </w:r>
      <w:r w:rsidRPr="00955256">
        <w:t xml:space="preserve">Maternal and Child Health and Early Parenting functions, and </w:t>
      </w:r>
      <w:r w:rsidR="00C63BE3">
        <w:t>transferred</w:t>
      </w:r>
      <w:r w:rsidRPr="00955256">
        <w:t xml:space="preserve"> the Sports and Recreation Victoria, Office of Women and Office for Youth and Adoption</w:t>
      </w:r>
      <w:r w:rsidR="00323536">
        <w:t> </w:t>
      </w:r>
      <w:r w:rsidRPr="00955256">
        <w:t>Services functions.</w:t>
      </w:r>
    </w:p>
    <w:p w14:paraId="31F219BE" w14:textId="6ECA1764" w:rsidR="009320B3" w:rsidRPr="00955256" w:rsidRDefault="009320B3" w:rsidP="009320B3">
      <w:pPr>
        <w:pStyle w:val="ARbody"/>
      </w:pPr>
      <w:r w:rsidRPr="00955256">
        <w:t xml:space="preserve">Financial details of the transfers are detailed in Note 4.3 of the Financial Statements: ‘Restructuring of administrative </w:t>
      </w:r>
      <w:r w:rsidR="00C63BE3" w:rsidRPr="00955256">
        <w:t>arrangements</w:t>
      </w:r>
      <w:r w:rsidRPr="00955256">
        <w:t>’. The net asset transfers were treated as a contribution of capital by the state.</w:t>
      </w:r>
    </w:p>
    <w:p w14:paraId="2FD24E17" w14:textId="13443940" w:rsidR="009320B3" w:rsidRPr="00AB6785" w:rsidRDefault="009320B3" w:rsidP="009320B3">
      <w:pPr>
        <w:pStyle w:val="ARbody"/>
      </w:pPr>
      <w:r w:rsidRPr="00955256">
        <w:t>The combined income and expenses of the functions received are reported for the period 1</w:t>
      </w:r>
      <w:r>
        <w:t> </w:t>
      </w:r>
      <w:r w:rsidRPr="00955256">
        <w:t>January 2019 to 30 June 2019, with the net assets assumed by the department on 1 January 2019. The combined income and expenses of the functions provided are reported for the period 1</w:t>
      </w:r>
      <w:r w:rsidR="00403187">
        <w:t> </w:t>
      </w:r>
      <w:r w:rsidRPr="00955256">
        <w:t>July</w:t>
      </w:r>
      <w:r w:rsidR="00403187">
        <w:t> </w:t>
      </w:r>
      <w:r w:rsidRPr="00955256">
        <w:t>2018 to 31 December 2018, with the net</w:t>
      </w:r>
      <w:r w:rsidR="00403187">
        <w:t> </w:t>
      </w:r>
      <w:r w:rsidRPr="00955256">
        <w:t xml:space="preserve">assets transferred by the </w:t>
      </w:r>
      <w:r>
        <w:t>d</w:t>
      </w:r>
      <w:r w:rsidRPr="00955256">
        <w:t>epartment on 31</w:t>
      </w:r>
      <w:r w:rsidR="00403187">
        <w:t> </w:t>
      </w:r>
      <w:r w:rsidRPr="00955256">
        <w:t>December</w:t>
      </w:r>
      <w:r w:rsidR="00796B4E">
        <w:t> </w:t>
      </w:r>
      <w:r w:rsidRPr="00955256">
        <w:t>2018.</w:t>
      </w:r>
    </w:p>
    <w:p w14:paraId="320A8772" w14:textId="77777777" w:rsidR="003E2C23" w:rsidRDefault="003E2C23">
      <w:pPr>
        <w:rPr>
          <w:rFonts w:ascii="Arial" w:eastAsia="Times" w:hAnsi="Arial" w:cs="Arial"/>
          <w:szCs w:val="24"/>
          <w:lang w:eastAsia="en-US"/>
        </w:rPr>
      </w:pPr>
      <w:r>
        <w:br w:type="page"/>
      </w:r>
    </w:p>
    <w:p w14:paraId="58FAF801" w14:textId="77777777" w:rsidR="006B2B74" w:rsidRPr="00AB6785" w:rsidRDefault="003E2C23" w:rsidP="003A4C63">
      <w:pPr>
        <w:pStyle w:val="ARbody"/>
      </w:pPr>
      <w:r>
        <w:rPr>
          <w:noProof/>
          <w:lang w:eastAsia="en-AU"/>
        </w:rPr>
        <w:lastRenderedPageBreak/>
        <w:drawing>
          <wp:anchor distT="0" distB="0" distL="114300" distR="114300" simplePos="0" relativeHeight="251669504" behindDoc="1" locked="1" layoutInCell="1" allowOverlap="1" wp14:anchorId="44D3FD2E" wp14:editId="73AFA2F3">
            <wp:simplePos x="0" y="0"/>
            <wp:positionH relativeFrom="page">
              <wp:posOffset>0</wp:posOffset>
            </wp:positionH>
            <wp:positionV relativeFrom="page">
              <wp:posOffset>0</wp:posOffset>
            </wp:positionV>
            <wp:extent cx="7563600" cy="10697400"/>
            <wp:effectExtent l="0" t="0" r="0" b="889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1907417_DHHS Annual Report Full page BW.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63600" cy="10697400"/>
                    </a:xfrm>
                    <a:prstGeom prst="rect">
                      <a:avLst/>
                    </a:prstGeom>
                  </pic:spPr>
                </pic:pic>
              </a:graphicData>
            </a:graphic>
            <wp14:sizeRelH relativeFrom="page">
              <wp14:pctWidth>0</wp14:pctWidth>
            </wp14:sizeRelH>
            <wp14:sizeRelV relativeFrom="page">
              <wp14:pctHeight>0</wp14:pctHeight>
            </wp14:sizeRelV>
          </wp:anchor>
        </w:drawing>
      </w:r>
    </w:p>
    <w:p w14:paraId="2F09252B" w14:textId="77777777" w:rsidR="0092299C" w:rsidRPr="00AB6785" w:rsidRDefault="0092299C" w:rsidP="00AB6785">
      <w:pPr>
        <w:pStyle w:val="ARbody"/>
        <w:sectPr w:rsidR="0092299C" w:rsidRPr="00AB6785" w:rsidSect="00BE14AF">
          <w:endnotePr>
            <w:numFmt w:val="decimal"/>
          </w:endnotePr>
          <w:pgSz w:w="11900" w:h="16840" w:code="9"/>
          <w:pgMar w:top="1985" w:right="851" w:bottom="851" w:left="1418" w:header="510" w:footer="340" w:gutter="0"/>
          <w:cols w:num="2" w:space="454"/>
        </w:sectPr>
      </w:pPr>
    </w:p>
    <w:p w14:paraId="0CE39E31" w14:textId="77777777" w:rsidR="002877A5" w:rsidRPr="007939DD" w:rsidRDefault="00953B2E" w:rsidP="008066A4">
      <w:pPr>
        <w:pStyle w:val="Heading1"/>
        <w:spacing w:after="400"/>
        <w:ind w:right="4536"/>
      </w:pPr>
      <w:bookmarkStart w:id="11" w:name="_Ref492893888"/>
      <w:bookmarkStart w:id="12" w:name="_Toc21682717"/>
      <w:r>
        <w:rPr>
          <w:noProof/>
          <w:lang w:eastAsia="en-AU"/>
        </w:rPr>
        <w:lastRenderedPageBreak/>
        <w:drawing>
          <wp:anchor distT="0" distB="0" distL="114300" distR="114300" simplePos="0" relativeHeight="251644928" behindDoc="1" locked="1" layoutInCell="1" allowOverlap="1" wp14:anchorId="30632AE3" wp14:editId="67710182">
            <wp:simplePos x="0" y="0"/>
            <wp:positionH relativeFrom="page">
              <wp:align>right</wp:align>
            </wp:positionH>
            <wp:positionV relativeFrom="page">
              <wp:align>top</wp:align>
            </wp:positionV>
            <wp:extent cx="3132000" cy="2698920"/>
            <wp:effectExtent l="0" t="0" r="0" b="635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1907417_DHHS Annual Report Section start 87x75m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2000" cy="2698920"/>
                    </a:xfrm>
                    <a:prstGeom prst="rect">
                      <a:avLst/>
                    </a:prstGeom>
                  </pic:spPr>
                </pic:pic>
              </a:graphicData>
            </a:graphic>
            <wp14:sizeRelH relativeFrom="page">
              <wp14:pctWidth>0</wp14:pctWidth>
            </wp14:sizeRelH>
            <wp14:sizeRelV relativeFrom="page">
              <wp14:pctHeight>0</wp14:pctHeight>
            </wp14:sizeRelV>
          </wp:anchor>
        </w:drawing>
      </w:r>
      <w:r w:rsidR="0092299C" w:rsidRPr="007939DD">
        <w:t>The department</w:t>
      </w:r>
      <w:r w:rsidR="00917CDC">
        <w:t>’</w:t>
      </w:r>
      <w:r w:rsidR="0092299C" w:rsidRPr="007939DD">
        <w:t>s ministers</w:t>
      </w:r>
      <w:bookmarkEnd w:id="11"/>
      <w:bookmarkEnd w:id="12"/>
    </w:p>
    <w:p w14:paraId="133880CA" w14:textId="77777777" w:rsidR="00FF6A01" w:rsidRPr="007939DD" w:rsidRDefault="00FF6A01" w:rsidP="005F7104">
      <w:pPr>
        <w:pStyle w:val="Heading2"/>
        <w:sectPr w:rsidR="00FF6A01" w:rsidRPr="007939DD" w:rsidSect="004B3C07">
          <w:footerReference w:type="default" r:id="rId37"/>
          <w:pgSz w:w="11906" w:h="16838" w:code="9"/>
          <w:pgMar w:top="3232" w:right="851" w:bottom="851" w:left="1418" w:header="510" w:footer="340" w:gutter="0"/>
          <w:cols w:space="465"/>
          <w:docGrid w:linePitch="360"/>
        </w:sectPr>
      </w:pPr>
    </w:p>
    <w:p w14:paraId="79B187B1" w14:textId="77777777" w:rsidR="00053861" w:rsidRDefault="00053861" w:rsidP="00694BFB">
      <w:pPr>
        <w:pStyle w:val="ARbody"/>
      </w:pPr>
      <w:r w:rsidRPr="007939DD">
        <w:rPr>
          <w:noProof/>
          <w:lang w:eastAsia="en-AU"/>
        </w:rPr>
        <w:drawing>
          <wp:inline distT="0" distB="0" distL="0" distR="0" wp14:anchorId="7553B728" wp14:editId="27A67F0E">
            <wp:extent cx="1084680" cy="971640"/>
            <wp:effectExtent l="0" t="0" r="1270" b="0"/>
            <wp:docPr id="121" name="Picture 121" descr="Jenny Mikako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y Mikako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4680" cy="971640"/>
                    </a:xfrm>
                    <a:prstGeom prst="rect">
                      <a:avLst/>
                    </a:prstGeom>
                  </pic:spPr>
                </pic:pic>
              </a:graphicData>
            </a:graphic>
          </wp:inline>
        </w:drawing>
      </w:r>
    </w:p>
    <w:p w14:paraId="2AAF87FD" w14:textId="77777777" w:rsidR="00053861" w:rsidRPr="008066A4" w:rsidRDefault="00053861" w:rsidP="008066A4">
      <w:pPr>
        <w:pStyle w:val="Heading2"/>
        <w:spacing w:before="200"/>
      </w:pPr>
      <w:r w:rsidRPr="008066A4">
        <w:t>Jenny Mikakos MP</w:t>
      </w:r>
    </w:p>
    <w:p w14:paraId="2B00C3F6" w14:textId="77777777" w:rsidR="00053861" w:rsidRPr="008066A4" w:rsidRDefault="00053861" w:rsidP="00053861">
      <w:pPr>
        <w:pStyle w:val="ARbody"/>
        <w:rPr>
          <w:b/>
        </w:rPr>
      </w:pPr>
      <w:r w:rsidRPr="008066A4">
        <w:rPr>
          <w:b/>
        </w:rPr>
        <w:t>Minister for Health</w:t>
      </w:r>
      <w:r w:rsidRPr="008066A4">
        <w:rPr>
          <w:b/>
        </w:rPr>
        <w:br/>
        <w:t>Minister for Ambulance Services</w:t>
      </w:r>
    </w:p>
    <w:p w14:paraId="576A800B" w14:textId="45D3F92C" w:rsidR="00E330D6" w:rsidRPr="008066A4" w:rsidRDefault="00E330D6" w:rsidP="00E330D6">
      <w:pPr>
        <w:pStyle w:val="ARbody"/>
      </w:pPr>
      <w:r w:rsidRPr="008066A4">
        <w:t>Jenny Mikakos MP was elected to the Legislative Council in 1999. Previously she was the Minister for Families and Children</w:t>
      </w:r>
      <w:r w:rsidR="00891E52">
        <w:t>,</w:t>
      </w:r>
      <w:r w:rsidRPr="008066A4">
        <w:t xml:space="preserve"> Minister for Youth Affairs and the Minister for Early Childhood Education. Minister Mikakos has been Minister for Health and Minister for Ambulance </w:t>
      </w:r>
      <w:r w:rsidR="006354F5" w:rsidRPr="008066A4">
        <w:t>Services</w:t>
      </w:r>
      <w:r w:rsidRPr="008066A4">
        <w:t xml:space="preserve"> since December 2018.</w:t>
      </w:r>
    </w:p>
    <w:p w14:paraId="08AE5529" w14:textId="77777777" w:rsidR="008D124E" w:rsidRDefault="00E330D6" w:rsidP="00E330D6">
      <w:pPr>
        <w:pStyle w:val="ARbody"/>
      </w:pPr>
      <w:r w:rsidRPr="008066A4">
        <w:t>Minister Mikakos holds a Bachelor of Laws and a Bachelor of Arts from the University of Melbourne and practised as a lawyer prior to entering Parliament.</w:t>
      </w:r>
    </w:p>
    <w:p w14:paraId="5C0A2826" w14:textId="6FC8E2B6" w:rsidR="00FF6A01" w:rsidRPr="008066A4" w:rsidRDefault="00E330D6" w:rsidP="00FF6A01">
      <w:pPr>
        <w:pStyle w:val="ARbody"/>
      </w:pPr>
      <w:r w:rsidRPr="008066A4">
        <w:t xml:space="preserve">Minister Mikakos </w:t>
      </w:r>
      <w:r w:rsidR="00041837">
        <w:t xml:space="preserve">is committed to a strong public health system in Victoria and </w:t>
      </w:r>
      <w:r w:rsidRPr="008066A4">
        <w:t xml:space="preserve">has led the continued growth and redevelopment </w:t>
      </w:r>
      <w:r w:rsidR="00041837">
        <w:t xml:space="preserve">of the system </w:t>
      </w:r>
      <w:r w:rsidRPr="008066A4">
        <w:t xml:space="preserve">with a $3.8 billion plan to build modern hospitals for a growing Victoria, with two million more patients expected to be treated over the next year. She has announced funding for the flagship new Footscray Hospital, opened the </w:t>
      </w:r>
      <w:r w:rsidR="00891E52">
        <w:t xml:space="preserve">new, </w:t>
      </w:r>
      <w:r w:rsidR="008066A4" w:rsidRPr="008066A4">
        <w:t>cutting-edge</w:t>
      </w:r>
      <w:r w:rsidRPr="008066A4">
        <w:t xml:space="preserve"> Joan Kirner </w:t>
      </w:r>
      <w:r w:rsidR="006354F5" w:rsidRPr="008066A4">
        <w:t>Women’s</w:t>
      </w:r>
      <w:r w:rsidRPr="008066A4">
        <w:t xml:space="preserve"> and </w:t>
      </w:r>
      <w:r w:rsidR="006354F5" w:rsidRPr="008066A4">
        <w:t>Children’s</w:t>
      </w:r>
      <w:r w:rsidRPr="008066A4">
        <w:t xml:space="preserve"> Hospital, </w:t>
      </w:r>
      <w:r w:rsidR="00041837">
        <w:t>funded</w:t>
      </w:r>
      <w:r w:rsidRPr="008066A4">
        <w:t xml:space="preserve"> 500,000 additional specialist appointments in regional areas</w:t>
      </w:r>
      <w:r w:rsidR="00891E52">
        <w:t>,</w:t>
      </w:r>
      <w:r w:rsidRPr="008066A4">
        <w:t xml:space="preserve"> and </w:t>
      </w:r>
      <w:r w:rsidR="00041837">
        <w:t>commenced the delivery of</w:t>
      </w:r>
      <w:r w:rsidR="00041837" w:rsidRPr="008066A4">
        <w:t xml:space="preserve"> </w:t>
      </w:r>
      <w:r w:rsidRPr="008066A4">
        <w:t>free dental care for all Victorian government school students. She has overseen the statewide roll</w:t>
      </w:r>
      <w:r w:rsidR="00891E52">
        <w:t>-</w:t>
      </w:r>
      <w:r w:rsidRPr="008066A4">
        <w:t xml:space="preserve">out of Victoria’s SafeScript real-time prescription monitoring system and the implementation of Victoria’s landmark voluntary assisted dying legislation, providing Victorians who are suffering at the end of their life with a genuine and compassionate choice over the manner of their death. </w:t>
      </w:r>
      <w:r w:rsidR="008066A4" w:rsidRPr="008066A4">
        <w:br w:type="column"/>
      </w:r>
      <w:r w:rsidR="00BD606D" w:rsidRPr="008066A4">
        <w:rPr>
          <w:noProof/>
          <w:lang w:eastAsia="en-AU"/>
        </w:rPr>
        <w:drawing>
          <wp:inline distT="0" distB="0" distL="0" distR="0" wp14:anchorId="396509F0" wp14:editId="743B0B75">
            <wp:extent cx="1051200" cy="972000"/>
            <wp:effectExtent l="0" t="0" r="0" b="0"/>
            <wp:docPr id="118" name="Picture 118" descr="Martin Foley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 Foley.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51200" cy="972000"/>
                    </a:xfrm>
                    <a:prstGeom prst="rect">
                      <a:avLst/>
                    </a:prstGeom>
                  </pic:spPr>
                </pic:pic>
              </a:graphicData>
            </a:graphic>
          </wp:inline>
        </w:drawing>
      </w:r>
    </w:p>
    <w:p w14:paraId="0CB33451" w14:textId="77777777" w:rsidR="0092299C" w:rsidRPr="008066A4" w:rsidRDefault="0092299C" w:rsidP="008066A4">
      <w:pPr>
        <w:pStyle w:val="Heading2"/>
        <w:spacing w:before="200"/>
      </w:pPr>
      <w:r w:rsidRPr="008066A4">
        <w:t>Martin Foley MP</w:t>
      </w:r>
    </w:p>
    <w:p w14:paraId="51EABA3A" w14:textId="77777777" w:rsidR="00053861" w:rsidRPr="008066A4" w:rsidRDefault="00053861" w:rsidP="00767312">
      <w:pPr>
        <w:pStyle w:val="ARbody"/>
        <w:rPr>
          <w:b/>
        </w:rPr>
      </w:pPr>
      <w:r w:rsidRPr="008066A4">
        <w:rPr>
          <w:b/>
        </w:rPr>
        <w:t>Minister for Mental Health</w:t>
      </w:r>
    </w:p>
    <w:p w14:paraId="34F722C1" w14:textId="77777777" w:rsidR="00E330D6" w:rsidRPr="008066A4" w:rsidRDefault="00E330D6" w:rsidP="00E330D6">
      <w:pPr>
        <w:pStyle w:val="ARbody"/>
      </w:pPr>
      <w:r w:rsidRPr="008066A4">
        <w:t>Martin Foley MP was elected to the Legislative Assembly in 2007. Previously the Minister for Housing, Disability and Ageing, Minister Foley has been the Minister for Mental Health, Minister for Equality and Minister for Creative Industries in the Victorian Government since 4 December 2014.</w:t>
      </w:r>
    </w:p>
    <w:p w14:paraId="07FD1E3C" w14:textId="77777777" w:rsidR="00E330D6" w:rsidRPr="008066A4" w:rsidRDefault="00E330D6" w:rsidP="00E330D6">
      <w:pPr>
        <w:pStyle w:val="ARbody"/>
      </w:pPr>
      <w:r w:rsidRPr="008066A4">
        <w:t xml:space="preserve">Recognising our mental health system is facing crucial challenges to cope with increasing demand, Minister Foley championed the establishment of the Royal Commission into Victoria’s Mental Health System – the first of its kind in Australia. This includes leading statewide discussions to establish the </w:t>
      </w:r>
      <w:r w:rsidR="008066A4" w:rsidRPr="008066A4">
        <w:t>t</w:t>
      </w:r>
      <w:r w:rsidRPr="008066A4">
        <w:t xml:space="preserve">erms of </w:t>
      </w:r>
      <w:r w:rsidR="008066A4" w:rsidRPr="008066A4">
        <w:t>r</w:t>
      </w:r>
      <w:r w:rsidRPr="008066A4">
        <w:t>eference.</w:t>
      </w:r>
      <w:r w:rsidR="008066A4" w:rsidRPr="008066A4">
        <w:t xml:space="preserve"> </w:t>
      </w:r>
      <w:r w:rsidRPr="008066A4">
        <w:t xml:space="preserve">The Royal Commission </w:t>
      </w:r>
      <w:r w:rsidR="00451297">
        <w:t xml:space="preserve">will </w:t>
      </w:r>
      <w:r w:rsidRPr="008066A4">
        <w:t>provid</w:t>
      </w:r>
      <w:r w:rsidR="00451297">
        <w:t>e</w:t>
      </w:r>
      <w:r w:rsidRPr="008066A4">
        <w:t xml:space="preserve"> a comprehensive set of recommendations for reform that reflect the </w:t>
      </w:r>
      <w:r w:rsidR="00891E52">
        <w:t>g</w:t>
      </w:r>
      <w:r w:rsidR="00891E52" w:rsidRPr="008066A4">
        <w:t xml:space="preserve">overnment’s </w:t>
      </w:r>
      <w:r w:rsidRPr="008066A4">
        <w:t xml:space="preserve">vision for an accessible, flexible and responsive mental health system that provides the very best care and treatment, free </w:t>
      </w:r>
      <w:r w:rsidR="00891E52">
        <w:t>from</w:t>
      </w:r>
      <w:r w:rsidR="00891E52" w:rsidRPr="008066A4">
        <w:t xml:space="preserve"> </w:t>
      </w:r>
      <w:r w:rsidRPr="008066A4">
        <w:t>stigma and discrimination.</w:t>
      </w:r>
    </w:p>
    <w:p w14:paraId="147D884A" w14:textId="08706D86" w:rsidR="00E330D6" w:rsidRPr="008066A4" w:rsidRDefault="00E330D6" w:rsidP="00E330D6">
      <w:pPr>
        <w:pStyle w:val="ARbody"/>
      </w:pPr>
      <w:r w:rsidRPr="008066A4">
        <w:t>Minister Foley has presided over Victoria’s first</w:t>
      </w:r>
      <w:r w:rsidR="00323536">
        <w:t> </w:t>
      </w:r>
      <w:r w:rsidRPr="008066A4">
        <w:t>medically supervised injecting room trial in</w:t>
      </w:r>
      <w:r w:rsidR="00323536">
        <w:t> </w:t>
      </w:r>
      <w:r w:rsidRPr="008066A4">
        <w:t>North</w:t>
      </w:r>
      <w:r w:rsidR="00323536">
        <w:t> </w:t>
      </w:r>
      <w:r w:rsidRPr="008066A4">
        <w:t>Richmond</w:t>
      </w:r>
      <w:r w:rsidR="00891E52">
        <w:t xml:space="preserve">, </w:t>
      </w:r>
      <w:r w:rsidR="00D10BF8">
        <w:t>to</w:t>
      </w:r>
      <w:r w:rsidR="00891E52">
        <w:t xml:space="preserve"> be </w:t>
      </w:r>
      <w:r w:rsidR="006354F5">
        <w:t>reviewed</w:t>
      </w:r>
      <w:r w:rsidR="00891E52">
        <w:t xml:space="preserve"> in 2020 by</w:t>
      </w:r>
      <w:r w:rsidRPr="008066A4">
        <w:t xml:space="preserve"> an</w:t>
      </w:r>
      <w:r w:rsidR="00323536">
        <w:t> </w:t>
      </w:r>
      <w:r w:rsidRPr="008066A4">
        <w:t xml:space="preserve">independent panel of experts </w:t>
      </w:r>
      <w:r w:rsidR="00891E52">
        <w:t>who will report to</w:t>
      </w:r>
      <w:r w:rsidR="00323536">
        <w:t> </w:t>
      </w:r>
      <w:r w:rsidR="00891E52">
        <w:t>government</w:t>
      </w:r>
      <w:r w:rsidRPr="008066A4">
        <w:t>.</w:t>
      </w:r>
    </w:p>
    <w:p w14:paraId="2EE243F8" w14:textId="77777777" w:rsidR="00E330D6" w:rsidRPr="008066A4" w:rsidRDefault="00E330D6" w:rsidP="00E330D6">
      <w:pPr>
        <w:pStyle w:val="ARbody"/>
      </w:pPr>
      <w:r w:rsidRPr="008066A4">
        <w:t xml:space="preserve">In the past year the </w:t>
      </w:r>
      <w:r w:rsidR="00891E52">
        <w:t>g</w:t>
      </w:r>
      <w:r w:rsidRPr="008066A4">
        <w:t>overnment invested a record $705 million to give Victorians with mental illness and addiction and their families the treatment and the support they need closer to home.</w:t>
      </w:r>
    </w:p>
    <w:p w14:paraId="395646B4" w14:textId="77777777" w:rsidR="00E330D6" w:rsidRPr="008066A4" w:rsidRDefault="00E330D6" w:rsidP="00E330D6">
      <w:pPr>
        <w:pStyle w:val="ARbody"/>
      </w:pPr>
      <w:r w:rsidRPr="008066A4">
        <w:t>Minister Foley holds a BA (Hons) in History and Politics and a Master of Commerce (Hons).</w:t>
      </w:r>
    </w:p>
    <w:p w14:paraId="3DE3376A" w14:textId="77777777" w:rsidR="00D047B7" w:rsidRPr="008066A4" w:rsidRDefault="005F7104" w:rsidP="00E330D6">
      <w:pPr>
        <w:pStyle w:val="ARbody"/>
      </w:pPr>
      <w:r w:rsidRPr="008066A4">
        <w:br w:type="column"/>
      </w:r>
      <w:r w:rsidR="004412EE" w:rsidRPr="008066A4">
        <w:rPr>
          <w:noProof/>
          <w:lang w:eastAsia="en-AU"/>
        </w:rPr>
        <w:lastRenderedPageBreak/>
        <w:drawing>
          <wp:inline distT="0" distB="0" distL="0" distR="0" wp14:anchorId="18338E74" wp14:editId="0CECB0DD">
            <wp:extent cx="925200" cy="972000"/>
            <wp:effectExtent l="0" t="0" r="8255" b="0"/>
            <wp:docPr id="256" name="Picture 256" descr="The Hon. Richard Wynne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Minister Richard Wynn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25200" cy="972000"/>
                    </a:xfrm>
                    <a:prstGeom prst="rect">
                      <a:avLst/>
                    </a:prstGeom>
                  </pic:spPr>
                </pic:pic>
              </a:graphicData>
            </a:graphic>
          </wp:inline>
        </w:drawing>
      </w:r>
    </w:p>
    <w:p w14:paraId="50D1B70C" w14:textId="77777777" w:rsidR="00053861" w:rsidRPr="008066A4" w:rsidRDefault="00053861" w:rsidP="008066A4">
      <w:pPr>
        <w:pStyle w:val="Heading2"/>
        <w:spacing w:before="200"/>
      </w:pPr>
      <w:r w:rsidRPr="008066A4">
        <w:t>The Hon. Richard Wynne MP</w:t>
      </w:r>
    </w:p>
    <w:p w14:paraId="18682386" w14:textId="77777777" w:rsidR="00053861" w:rsidRPr="008066A4" w:rsidRDefault="00053861" w:rsidP="00053861">
      <w:pPr>
        <w:pStyle w:val="ARbody"/>
        <w:rPr>
          <w:b/>
        </w:rPr>
      </w:pPr>
      <w:r w:rsidRPr="008066A4">
        <w:rPr>
          <w:b/>
        </w:rPr>
        <w:t>Minister for Housing</w:t>
      </w:r>
    </w:p>
    <w:p w14:paraId="2C12D54A" w14:textId="77777777" w:rsidR="008D124E" w:rsidRDefault="00E330D6" w:rsidP="006818EA">
      <w:pPr>
        <w:pStyle w:val="ARbody"/>
      </w:pPr>
      <w:r w:rsidRPr="008066A4">
        <w:t xml:space="preserve">The Hon. </w:t>
      </w:r>
      <w:r w:rsidR="006818EA" w:rsidRPr="008066A4">
        <w:t>Richard Wynne MP was elected to the Legislative Assembly in 1999. Minister Wynne was previously the Minister for Local Government and Minister for Aboriginal Affairs and Minister for Housing.</w:t>
      </w:r>
    </w:p>
    <w:p w14:paraId="7EAD1786" w14:textId="2305AEE2" w:rsidR="006818EA" w:rsidRPr="008066A4" w:rsidRDefault="006818EA" w:rsidP="006818EA">
      <w:pPr>
        <w:pStyle w:val="ARbody"/>
      </w:pPr>
      <w:r w:rsidRPr="008066A4">
        <w:t>Minister Wynne has been the Minister for Planning</w:t>
      </w:r>
      <w:r w:rsidR="00323536">
        <w:t> </w:t>
      </w:r>
      <w:r w:rsidRPr="008066A4">
        <w:t>since 2014 and the Minister for Housing and Minister for Multicultural Affairs since December 2018.</w:t>
      </w:r>
    </w:p>
    <w:p w14:paraId="516C6FE2" w14:textId="5B8CF3DB" w:rsidR="009D3A91" w:rsidRPr="009D3A91" w:rsidRDefault="009D3A91" w:rsidP="009D3A91">
      <w:pPr>
        <w:pStyle w:val="ARbody"/>
      </w:pPr>
      <w:r w:rsidRPr="009D3A91">
        <w:t>Minister Wynne is committed to increasing and renewing public and community housing, so more Victorians gain access to safe, secure and stable housing. Initiatives to increase social housing include a $1 billion social housing growth fund to</w:t>
      </w:r>
      <w:r w:rsidR="008D124E">
        <w:t> </w:t>
      </w:r>
      <w:r w:rsidRPr="009D3A91">
        <w:t>deliver more social housing and a four-year $185</w:t>
      </w:r>
      <w:r w:rsidR="008D124E">
        <w:t> </w:t>
      </w:r>
      <w:r w:rsidRPr="009D3A91">
        <w:t>million program to redevelop public housing</w:t>
      </w:r>
      <w:r w:rsidR="008D124E">
        <w:t> </w:t>
      </w:r>
      <w:r w:rsidRPr="009D3A91">
        <w:t>estates.</w:t>
      </w:r>
    </w:p>
    <w:p w14:paraId="480D02D9" w14:textId="03A4FC83" w:rsidR="009D3A91" w:rsidRPr="009D3A91" w:rsidRDefault="009D3A91" w:rsidP="009D3A91">
      <w:pPr>
        <w:pStyle w:val="ARbody"/>
      </w:pPr>
      <w:r w:rsidRPr="009D3A91">
        <w:t>The government has also committed to building 1,000 new public homes across key areas in Victoria by 2022 – providing more people in need</w:t>
      </w:r>
      <w:r w:rsidR="008D124E">
        <w:t> </w:t>
      </w:r>
      <w:r w:rsidRPr="009D3A91">
        <w:t>with a safe and secure place to call home.</w:t>
      </w:r>
    </w:p>
    <w:p w14:paraId="6DAD3611" w14:textId="77777777" w:rsidR="008D124E" w:rsidRDefault="009D3A91" w:rsidP="009D3A91">
      <w:pPr>
        <w:pStyle w:val="ARbody"/>
      </w:pPr>
      <w:r w:rsidRPr="009D3A91">
        <w:t>Minister Wynne is rolling out initiatives under the Rough Sleeping Action Plan, including assertive outreach teams and supportive housing teams to reduce both the incidence and impact of rough sleeping in Victoria.</w:t>
      </w:r>
    </w:p>
    <w:p w14:paraId="6E9816A6" w14:textId="77777777" w:rsidR="008D124E" w:rsidRDefault="009D3A91" w:rsidP="009D3A91">
      <w:pPr>
        <w:pStyle w:val="ARbody"/>
      </w:pPr>
      <w:r w:rsidRPr="009D3A91">
        <w:t>The government’s continued investment demonstrates its commitment to providing public housing and support as an essential part of ensuring all Victorians have a safe and secure home.</w:t>
      </w:r>
    </w:p>
    <w:p w14:paraId="624064E7" w14:textId="6B77D0F4" w:rsidR="00D047B7" w:rsidRPr="008066A4" w:rsidRDefault="008066A4" w:rsidP="009D3A91">
      <w:pPr>
        <w:pStyle w:val="ARbody"/>
      </w:pPr>
      <w:r w:rsidRPr="008066A4">
        <w:br w:type="column"/>
      </w:r>
      <w:r w:rsidR="00DF19AF">
        <w:rPr>
          <w:noProof/>
          <w:lang w:eastAsia="en-AU"/>
        </w:rPr>
        <w:drawing>
          <wp:inline distT="0" distB="0" distL="0" distR="0" wp14:anchorId="6F49D504" wp14:editId="7E7DE645">
            <wp:extent cx="1108800" cy="972000"/>
            <wp:effectExtent l="0" t="0" r="0" b="0"/>
            <wp:docPr id="11" name="Picture 11" descr="The Hon. Luke Donnellan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ke Donnellan MP.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08800" cy="972000"/>
                    </a:xfrm>
                    <a:prstGeom prst="rect">
                      <a:avLst/>
                    </a:prstGeom>
                  </pic:spPr>
                </pic:pic>
              </a:graphicData>
            </a:graphic>
          </wp:inline>
        </w:drawing>
      </w:r>
    </w:p>
    <w:p w14:paraId="5B6BE468" w14:textId="77777777" w:rsidR="00053861" w:rsidRPr="008066A4" w:rsidRDefault="00053861" w:rsidP="008066A4">
      <w:pPr>
        <w:pStyle w:val="Heading2"/>
        <w:spacing w:before="200"/>
      </w:pPr>
      <w:r w:rsidRPr="008066A4">
        <w:t>The Hon. Luke Donnellan MP</w:t>
      </w:r>
    </w:p>
    <w:p w14:paraId="55265899" w14:textId="77777777" w:rsidR="00053861" w:rsidRPr="008066A4" w:rsidRDefault="00053861" w:rsidP="00053861">
      <w:pPr>
        <w:pStyle w:val="ARbody"/>
        <w:rPr>
          <w:b/>
        </w:rPr>
      </w:pPr>
      <w:r w:rsidRPr="008066A4">
        <w:rPr>
          <w:b/>
        </w:rPr>
        <w:t>Minister for Child Protection</w:t>
      </w:r>
      <w:r w:rsidRPr="008066A4">
        <w:rPr>
          <w:b/>
        </w:rPr>
        <w:br/>
        <w:t>Minister for Disability</w:t>
      </w:r>
      <w:r w:rsidR="00CC3FBE">
        <w:rPr>
          <w:b/>
        </w:rPr>
        <w:t xml:space="preserve"> </w:t>
      </w:r>
      <w:r w:rsidRPr="008066A4">
        <w:rPr>
          <w:b/>
        </w:rPr>
        <w:t>Ageing and Carers</w:t>
      </w:r>
    </w:p>
    <w:p w14:paraId="036FBF22" w14:textId="77777777" w:rsidR="008D124E" w:rsidRDefault="00423DFA" w:rsidP="00423DFA">
      <w:pPr>
        <w:pStyle w:val="ARbody"/>
      </w:pPr>
      <w:r w:rsidRPr="008066A4">
        <w:t xml:space="preserve">The Hon. Luke Donnellan MP </w:t>
      </w:r>
      <w:r w:rsidR="004B109B">
        <w:t>was elected to</w:t>
      </w:r>
      <w:r w:rsidR="004B109B" w:rsidRPr="008066A4">
        <w:t xml:space="preserve"> </w:t>
      </w:r>
      <w:r w:rsidRPr="008066A4">
        <w:t>the Legislative Assembly in 200</w:t>
      </w:r>
      <w:r w:rsidR="004B109B">
        <w:t>2</w:t>
      </w:r>
      <w:r w:rsidRPr="008066A4">
        <w:t>. He has previously been Minister for Roads and Road Safety and Minister for Ports. He has been Minister for Child Protection and Minister for Disability, Ageing and Carers since December 2018.</w:t>
      </w:r>
    </w:p>
    <w:p w14:paraId="1C70D91A" w14:textId="1F486D49" w:rsidR="00423DFA" w:rsidRPr="008066A4" w:rsidRDefault="00423DFA" w:rsidP="00423DFA">
      <w:pPr>
        <w:pStyle w:val="ARbody"/>
      </w:pPr>
      <w:r w:rsidRPr="008066A4">
        <w:t>Minister Donnellan has announced a $476.8 million investment to support residential aged care, carers and child and family services – in addition to support for Victorians with a disability as we transition to the National Disability Insurance Scheme. This investment includes a boost for Victoria’s public sector residential aged care, including $81.6 million to build a new 120-bed public residential aged care service in Wantirna, reflecting a commitment to modernising and maintaining public sector residential aged care in</w:t>
      </w:r>
      <w:r w:rsidR="008D124E">
        <w:t> </w:t>
      </w:r>
      <w:r w:rsidRPr="008066A4">
        <w:t>Victoria.</w:t>
      </w:r>
    </w:p>
    <w:p w14:paraId="30457E7B" w14:textId="2F96C29C" w:rsidR="00423DFA" w:rsidRPr="008066A4" w:rsidRDefault="00423DFA" w:rsidP="00423DFA">
      <w:pPr>
        <w:pStyle w:val="ARbody"/>
      </w:pPr>
      <w:r w:rsidRPr="008066A4">
        <w:t>Under Minister Donnellan’s leadership, the focus in</w:t>
      </w:r>
      <w:r w:rsidR="008D124E">
        <w:t> </w:t>
      </w:r>
      <w:r w:rsidRPr="008066A4">
        <w:t xml:space="preserve">child and family services </w:t>
      </w:r>
      <w:r w:rsidR="00D128CA">
        <w:t>will</w:t>
      </w:r>
      <w:r w:rsidRPr="008066A4">
        <w:t xml:space="preserve"> move from crisis response to early intervention and prevention. This includes delivering a new model of kinship care to identify carers earlier and strengthening community connections for Aboriginal children in care. In April 2019, the Minister launched the Home Stretch program, which will help 250 young people in care</w:t>
      </w:r>
      <w:r w:rsidR="008D124E">
        <w:t> </w:t>
      </w:r>
      <w:r w:rsidRPr="008066A4">
        <w:t>to successfully transition to independence by providing an accommodation allowance to continue supports for young people and carers in kinship or foster care living arrangements</w:t>
      </w:r>
      <w:r w:rsidR="00ED16DB">
        <w:t xml:space="preserve"> </w:t>
      </w:r>
      <w:r w:rsidRPr="008066A4">
        <w:t>up to the age of 21.</w:t>
      </w:r>
    </w:p>
    <w:p w14:paraId="75120BD3" w14:textId="77777777" w:rsidR="00423DFA" w:rsidRPr="008066A4" w:rsidRDefault="00423DFA" w:rsidP="00423DFA">
      <w:pPr>
        <w:pStyle w:val="ARbody"/>
      </w:pPr>
      <w:r w:rsidRPr="008066A4">
        <w:t>The Minister has made a commitment to Victoria’s 700,000 carers with an investment of $49.5 million over four years to provide more respite services, better support and improved public transport concessions for carers.</w:t>
      </w:r>
    </w:p>
    <w:p w14:paraId="505C8102" w14:textId="77777777" w:rsidR="006818EA" w:rsidRPr="008066A4" w:rsidRDefault="00423DFA" w:rsidP="00423DFA">
      <w:pPr>
        <w:pStyle w:val="ARbody"/>
      </w:pPr>
      <w:r w:rsidRPr="008066A4">
        <w:t>One of the Minister’s key priorities has been overseeing the implementation of the National Disability Insurance Scheme.</w:t>
      </w:r>
    </w:p>
    <w:p w14:paraId="07CDFE2D" w14:textId="77777777" w:rsidR="00D93102" w:rsidRPr="008066A4" w:rsidRDefault="00053861" w:rsidP="006818EA">
      <w:pPr>
        <w:pStyle w:val="ARbody"/>
      </w:pPr>
      <w:r w:rsidRPr="008066A4">
        <w:br w:type="column"/>
      </w:r>
      <w:r w:rsidR="00D93102" w:rsidRPr="008066A4">
        <w:rPr>
          <w:noProof/>
          <w:lang w:eastAsia="en-AU"/>
        </w:rPr>
        <w:lastRenderedPageBreak/>
        <w:drawing>
          <wp:inline distT="0" distB="0" distL="0" distR="0" wp14:anchorId="3EF7F3F4" wp14:editId="5626211D">
            <wp:extent cx="844201" cy="972185"/>
            <wp:effectExtent l="0" t="0" r="0" b="0"/>
            <wp:docPr id="14" name="Picture 14" descr="Gabrielle William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brielle_Williams"/>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44201" cy="972185"/>
                    </a:xfrm>
                    <a:prstGeom prst="rect">
                      <a:avLst/>
                    </a:prstGeom>
                    <a:noFill/>
                    <a:ln>
                      <a:noFill/>
                    </a:ln>
                    <a:effectLst/>
                  </pic:spPr>
                </pic:pic>
              </a:graphicData>
            </a:graphic>
          </wp:inline>
        </w:drawing>
      </w:r>
    </w:p>
    <w:p w14:paraId="45D08BDB" w14:textId="77777777" w:rsidR="008D124E" w:rsidRDefault="00053861" w:rsidP="008066A4">
      <w:pPr>
        <w:pStyle w:val="Heading2"/>
        <w:spacing w:before="200"/>
      </w:pPr>
      <w:bookmarkStart w:id="13" w:name="_Ref21861477"/>
      <w:r w:rsidRPr="008066A4">
        <w:t>Gabrielle Williams MP</w:t>
      </w:r>
      <w:bookmarkEnd w:id="13"/>
    </w:p>
    <w:p w14:paraId="09989E99" w14:textId="71041CC4" w:rsidR="00053861" w:rsidRPr="008066A4" w:rsidRDefault="00053861" w:rsidP="00053861">
      <w:pPr>
        <w:pStyle w:val="ARbody"/>
        <w:rPr>
          <w:b/>
        </w:rPr>
      </w:pPr>
      <w:r w:rsidRPr="008066A4">
        <w:rPr>
          <w:b/>
        </w:rPr>
        <w:t>Minister for the Prevention of Family Violence</w:t>
      </w:r>
    </w:p>
    <w:bookmarkEnd w:id="9"/>
    <w:p w14:paraId="3F0906D5" w14:textId="0F958181" w:rsidR="009320B3" w:rsidRDefault="009320B3" w:rsidP="009320B3">
      <w:pPr>
        <w:pStyle w:val="ARbody"/>
      </w:pPr>
      <w:r>
        <w:t>Gabrielle Williams MP was appointed as Minister for</w:t>
      </w:r>
      <w:r w:rsidR="008D124E">
        <w:t> </w:t>
      </w:r>
      <w:r>
        <w:t>the Prevention of Family Violence, Minister for Women and Minister for Youth in December 2018.</w:t>
      </w:r>
    </w:p>
    <w:p w14:paraId="5857FC82" w14:textId="716734DE" w:rsidR="009320B3" w:rsidRDefault="009320B3" w:rsidP="009320B3">
      <w:pPr>
        <w:pStyle w:val="ARbody"/>
      </w:pPr>
      <w:r>
        <w:t>Minister Williams previously served as Parliamentary Secretary on a number of portfolios, including Health and Carers and Volunteers between November 2016 and December 2018. She</w:t>
      </w:r>
      <w:r w:rsidR="008D124E">
        <w:t> </w:t>
      </w:r>
      <w:r>
        <w:t>has held the role of Parliamentary Secretary for Industry and Employment and was Parliamentary Secretary for Carers and Volunteers dating back to December 2014.</w:t>
      </w:r>
    </w:p>
    <w:p w14:paraId="427EECFB" w14:textId="5C52B50D" w:rsidR="009320B3" w:rsidRDefault="009320B3" w:rsidP="009320B3">
      <w:pPr>
        <w:pStyle w:val="ARbody"/>
      </w:pPr>
      <w:r>
        <w:t>Minister Williams was first elected to the Legislative</w:t>
      </w:r>
      <w:r w:rsidR="008D124E">
        <w:t> </w:t>
      </w:r>
      <w:r>
        <w:t>Assembly, as the Member for Dandenong, in late 2014.</w:t>
      </w:r>
    </w:p>
    <w:p w14:paraId="1A56264A" w14:textId="3A1C3652" w:rsidR="009320B3" w:rsidRDefault="009320B3" w:rsidP="009320B3">
      <w:pPr>
        <w:pStyle w:val="ARbody"/>
      </w:pPr>
      <w:r>
        <w:t>Since her appointment as the Minister for the Prevention of Family Violence, Minister Williams has boosted funding for crisis support and counselling for survivors of sexual assault, announcing a further $5 million in funding in April</w:t>
      </w:r>
      <w:r w:rsidR="008D124E">
        <w:t> </w:t>
      </w:r>
      <w:r>
        <w:t>2019.</w:t>
      </w:r>
    </w:p>
    <w:p w14:paraId="760794D5" w14:textId="675CB9AF" w:rsidR="009320B3" w:rsidRDefault="009320B3" w:rsidP="009320B3">
      <w:pPr>
        <w:pStyle w:val="ARbody"/>
      </w:pPr>
      <w:r>
        <w:t xml:space="preserve">In the same month, she launched the State’s </w:t>
      </w:r>
      <w:r w:rsidR="008D124E">
        <w:br/>
      </w:r>
      <w:r>
        <w:t>10-year plan for a family violence system that supports all Victorians – the Everybody matters: Inclusion and Equity Statement.</w:t>
      </w:r>
    </w:p>
    <w:p w14:paraId="1BE5B92D" w14:textId="77777777" w:rsidR="009320B3" w:rsidRDefault="009320B3" w:rsidP="009320B3">
      <w:pPr>
        <w:pStyle w:val="ARbody"/>
      </w:pPr>
      <w:r>
        <w:t>She is working to change attitudes</w:t>
      </w:r>
      <w:r w:rsidR="00783B31">
        <w:t xml:space="preserve"> and behaviours</w:t>
      </w:r>
      <w:r>
        <w:t>, through influential advertising campaigns, including one that encourages Victorians to call-out sexual harassment in the community.</w:t>
      </w:r>
    </w:p>
    <w:p w14:paraId="56FDA852" w14:textId="1146AF5A" w:rsidR="001D07FB" w:rsidRDefault="009320B3" w:rsidP="00360881">
      <w:pPr>
        <w:pStyle w:val="ARbody"/>
      </w:pPr>
      <w:r>
        <w:t>In May 2019, Minister Williams announced a further $185.5 million in the State Budget to build on the Victorian Government’s $2.7 billion to commitment to deliver a better family violence system – one that also holds perpetrators to account.</w:t>
      </w:r>
    </w:p>
    <w:p w14:paraId="5C2F3BBC" w14:textId="77777777" w:rsidR="003E2C23" w:rsidRDefault="003E2C23">
      <w:pPr>
        <w:rPr>
          <w:rFonts w:ascii="Arial" w:eastAsia="Times" w:hAnsi="Arial" w:cs="Arial"/>
          <w:szCs w:val="24"/>
          <w:lang w:eastAsia="en-US"/>
        </w:rPr>
      </w:pPr>
      <w:r>
        <w:br w:type="page"/>
      </w:r>
    </w:p>
    <w:p w14:paraId="1B13955C" w14:textId="77777777" w:rsidR="003E2C23" w:rsidRDefault="003E2C23">
      <w:pPr>
        <w:rPr>
          <w:rFonts w:ascii="Arial" w:eastAsia="Times" w:hAnsi="Arial" w:cs="Arial"/>
          <w:szCs w:val="24"/>
          <w:lang w:eastAsia="en-US"/>
        </w:rPr>
      </w:pPr>
    </w:p>
    <w:p w14:paraId="595599C6" w14:textId="77777777" w:rsidR="001D07FB" w:rsidRPr="007939DD" w:rsidRDefault="003E2C23" w:rsidP="001D07FB">
      <w:pPr>
        <w:pStyle w:val="ARbody"/>
        <w:sectPr w:rsidR="001D07FB" w:rsidRPr="007939DD" w:rsidSect="004B3C07">
          <w:headerReference w:type="default" r:id="rId43"/>
          <w:type w:val="continuous"/>
          <w:pgSz w:w="11906" w:h="16838" w:code="9"/>
          <w:pgMar w:top="1985" w:right="851" w:bottom="851" w:left="1418" w:header="510" w:footer="340" w:gutter="0"/>
          <w:cols w:num="2" w:space="397"/>
          <w:docGrid w:linePitch="360"/>
        </w:sectPr>
      </w:pPr>
      <w:r>
        <w:rPr>
          <w:noProof/>
          <w:lang w:eastAsia="en-AU"/>
        </w:rPr>
        <w:drawing>
          <wp:anchor distT="0" distB="0" distL="114300" distR="114300" simplePos="0" relativeHeight="251658240" behindDoc="1" locked="1" layoutInCell="1" allowOverlap="1" wp14:anchorId="2022737E" wp14:editId="340B33B2">
            <wp:simplePos x="0" y="0"/>
            <wp:positionH relativeFrom="page">
              <wp:posOffset>0</wp:posOffset>
            </wp:positionH>
            <wp:positionV relativeFrom="page">
              <wp:posOffset>0</wp:posOffset>
            </wp:positionV>
            <wp:extent cx="7563600" cy="10697400"/>
            <wp:effectExtent l="0" t="0" r="0" b="889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1907417_DHHS Annual Report Full page BW.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63600" cy="10697400"/>
                    </a:xfrm>
                    <a:prstGeom prst="rect">
                      <a:avLst/>
                    </a:prstGeom>
                  </pic:spPr>
                </pic:pic>
              </a:graphicData>
            </a:graphic>
            <wp14:sizeRelH relativeFrom="page">
              <wp14:pctWidth>0</wp14:pctWidth>
            </wp14:sizeRelH>
            <wp14:sizeRelV relativeFrom="page">
              <wp14:pctHeight>0</wp14:pctHeight>
            </wp14:sizeRelV>
          </wp:anchor>
        </w:drawing>
      </w:r>
    </w:p>
    <w:p w14:paraId="43F93957" w14:textId="77777777" w:rsidR="0092299C" w:rsidRPr="00795715" w:rsidRDefault="00CB0517" w:rsidP="00962428">
      <w:pPr>
        <w:pStyle w:val="Heading1"/>
      </w:pPr>
      <w:bookmarkStart w:id="14" w:name="_Toc492026541"/>
      <w:bookmarkStart w:id="15" w:name="_Ref492894342"/>
      <w:bookmarkStart w:id="16" w:name="_Ref525047118"/>
      <w:bookmarkStart w:id="17" w:name="_Toc21682718"/>
      <w:bookmarkStart w:id="18" w:name="_Ref21861714"/>
      <w:bookmarkStart w:id="19" w:name="_Hlk17715698"/>
      <w:r w:rsidRPr="00795715">
        <w:rPr>
          <w:noProof/>
          <w:lang w:eastAsia="en-AU"/>
        </w:rPr>
        <w:lastRenderedPageBreak/>
        <w:drawing>
          <wp:anchor distT="0" distB="0" distL="114300" distR="114300" simplePos="0" relativeHeight="251646976" behindDoc="1" locked="1" layoutInCell="1" allowOverlap="1" wp14:anchorId="1F86738F" wp14:editId="040BF2EB">
            <wp:simplePos x="0" y="0"/>
            <wp:positionH relativeFrom="page">
              <wp:align>right</wp:align>
            </wp:positionH>
            <wp:positionV relativeFrom="page">
              <wp:align>top</wp:align>
            </wp:positionV>
            <wp:extent cx="3132000" cy="2698920"/>
            <wp:effectExtent l="0" t="0" r="0" b="635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1907417_DHHS Annual Report Section start 87x75m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2000" cy="2698920"/>
                    </a:xfrm>
                    <a:prstGeom prst="rect">
                      <a:avLst/>
                    </a:prstGeom>
                  </pic:spPr>
                </pic:pic>
              </a:graphicData>
            </a:graphic>
            <wp14:sizeRelH relativeFrom="page">
              <wp14:pctWidth>0</wp14:pctWidth>
            </wp14:sizeRelH>
            <wp14:sizeRelV relativeFrom="page">
              <wp14:pctHeight>0</wp14:pctHeight>
            </wp14:sizeRelV>
          </wp:anchor>
        </w:drawing>
      </w:r>
      <w:r w:rsidR="0092299C" w:rsidRPr="00795715">
        <w:t>Year in review</w:t>
      </w:r>
      <w:bookmarkEnd w:id="14"/>
      <w:bookmarkEnd w:id="15"/>
      <w:bookmarkEnd w:id="16"/>
      <w:bookmarkEnd w:id="17"/>
      <w:bookmarkEnd w:id="18"/>
    </w:p>
    <w:p w14:paraId="4B199479" w14:textId="77777777" w:rsidR="00FC1209" w:rsidRPr="00795715" w:rsidRDefault="00FC1209" w:rsidP="005F7104">
      <w:pPr>
        <w:pStyle w:val="Heading2"/>
        <w:sectPr w:rsidR="00FC1209" w:rsidRPr="00795715" w:rsidSect="00515507">
          <w:endnotePr>
            <w:numFmt w:val="decimal"/>
          </w:endnotePr>
          <w:pgSz w:w="11900" w:h="16840" w:code="9"/>
          <w:pgMar w:top="3771" w:right="851" w:bottom="851" w:left="1418" w:header="510" w:footer="340" w:gutter="0"/>
          <w:cols w:space="454"/>
        </w:sectPr>
      </w:pPr>
    </w:p>
    <w:p w14:paraId="184A8FC8" w14:textId="763A0BBB" w:rsidR="00814857" w:rsidRPr="00851DC4" w:rsidRDefault="00814857" w:rsidP="00851DC4">
      <w:pPr>
        <w:pStyle w:val="ARintro"/>
      </w:pPr>
      <w:bookmarkStart w:id="20" w:name="_Ref492894463"/>
      <w:bookmarkStart w:id="21" w:name="_Ref492905644"/>
      <w:bookmarkEnd w:id="19"/>
      <w:r w:rsidRPr="00851DC4">
        <w:t xml:space="preserve">Over the </w:t>
      </w:r>
      <w:r>
        <w:t>p</w:t>
      </w:r>
      <w:r w:rsidRPr="00851DC4">
        <w:t>ast 12 months, we have had a strong focus on improving the quality, safety, accessibility</w:t>
      </w:r>
      <w:r w:rsidR="0099241F">
        <w:t> </w:t>
      </w:r>
      <w:r w:rsidRPr="00851DC4">
        <w:t>and impact of our services.</w:t>
      </w:r>
    </w:p>
    <w:p w14:paraId="7F7AB442" w14:textId="56DC31E0" w:rsidR="00814857" w:rsidRPr="00851DC4" w:rsidRDefault="00814857" w:rsidP="00851DC4">
      <w:pPr>
        <w:pStyle w:val="ARintro"/>
      </w:pPr>
      <w:r>
        <w:t>We put e</w:t>
      </w:r>
      <w:r w:rsidRPr="00851DC4">
        <w:t xml:space="preserve">mpathy at the centre of </w:t>
      </w:r>
      <w:r>
        <w:t xml:space="preserve">our </w:t>
      </w:r>
      <w:r w:rsidRPr="00851DC4">
        <w:t>efforts to</w:t>
      </w:r>
      <w:r w:rsidR="001A390D">
        <w:t xml:space="preserve"> </w:t>
      </w:r>
      <w:r w:rsidRPr="00851DC4">
        <w:t>improve the delivery of care</w:t>
      </w:r>
      <w:r>
        <w:t xml:space="preserve">, </w:t>
      </w:r>
      <w:r w:rsidRPr="00851DC4">
        <w:t>consumers</w:t>
      </w:r>
      <w:r>
        <w:t>’</w:t>
      </w:r>
      <w:r w:rsidRPr="00851DC4">
        <w:t xml:space="preserve"> experience of care</w:t>
      </w:r>
      <w:r>
        <w:t>,</w:t>
      </w:r>
      <w:r w:rsidRPr="00851DC4">
        <w:t xml:space="preserve"> and the outcome</w:t>
      </w:r>
      <w:r>
        <w:t xml:space="preserve">s </w:t>
      </w:r>
      <w:r w:rsidRPr="00851DC4">
        <w:t>of that care. A</w:t>
      </w:r>
      <w:r>
        <w:t xml:space="preserve">ll our work </w:t>
      </w:r>
      <w:r w:rsidRPr="00851DC4">
        <w:t>focus</w:t>
      </w:r>
      <w:r>
        <w:t>ed</w:t>
      </w:r>
      <w:r w:rsidRPr="00851DC4">
        <w:t xml:space="preserve"> on</w:t>
      </w:r>
      <w:r>
        <w:t xml:space="preserve"> partnerships with</w:t>
      </w:r>
      <w:r w:rsidRPr="00851DC4">
        <w:t xml:space="preserve"> consumer</w:t>
      </w:r>
      <w:r>
        <w:t xml:space="preserve">s, their families and carers, as well as addressing the </w:t>
      </w:r>
      <w:r w:rsidRPr="00851DC4">
        <w:t xml:space="preserve">social determinants </w:t>
      </w:r>
      <w:r>
        <w:t xml:space="preserve">of health and </w:t>
      </w:r>
      <w:r w:rsidRPr="00851DC4">
        <w:t>integrati</w:t>
      </w:r>
      <w:r>
        <w:t>ng</w:t>
      </w:r>
      <w:r w:rsidRPr="00851DC4">
        <w:t xml:space="preserve"> care around the outcomes that matter most to </w:t>
      </w:r>
      <w:r>
        <w:t>Victorians</w:t>
      </w:r>
      <w:r w:rsidRPr="00851DC4">
        <w:t>.</w:t>
      </w:r>
    </w:p>
    <w:p w14:paraId="2162488E" w14:textId="58B953BB" w:rsidR="00814857" w:rsidRDefault="00814857" w:rsidP="00851DC4">
      <w:pPr>
        <w:pStyle w:val="ARintro"/>
      </w:pPr>
      <w:r w:rsidRPr="00851DC4">
        <w:t>Like every health and human service system</w:t>
      </w:r>
      <w:r>
        <w:t>,</w:t>
      </w:r>
      <w:r w:rsidRPr="00851DC4">
        <w:t xml:space="preserve"> we constantly adapt to new opportunities and challenges. We are responding to changing customer preferences, the sheer growth in demand for</w:t>
      </w:r>
      <w:r w:rsidR="0099241F">
        <w:t> </w:t>
      </w:r>
      <w:r w:rsidRPr="00851DC4">
        <w:t>our services, the supply and distribution of</w:t>
      </w:r>
      <w:r>
        <w:t xml:space="preserve"> our</w:t>
      </w:r>
      <w:r w:rsidRPr="00851DC4">
        <w:t xml:space="preserve"> workforce (especially in regional Victoria) and</w:t>
      </w:r>
      <w:r>
        <w:t>,</w:t>
      </w:r>
      <w:r w:rsidRPr="00851DC4">
        <w:t xml:space="preserve"> of</w:t>
      </w:r>
      <w:r w:rsidR="0099241F">
        <w:t> </w:t>
      </w:r>
      <w:r w:rsidRPr="00851DC4">
        <w:t>course</w:t>
      </w:r>
      <w:r>
        <w:t>,</w:t>
      </w:r>
      <w:r w:rsidRPr="00851DC4">
        <w:t xml:space="preserve"> how to maximise </w:t>
      </w:r>
      <w:r>
        <w:t xml:space="preserve">the </w:t>
      </w:r>
      <w:r w:rsidRPr="00851DC4">
        <w:t xml:space="preserve">value </w:t>
      </w:r>
      <w:r>
        <w:t xml:space="preserve">of our available resources for </w:t>
      </w:r>
      <w:r w:rsidRPr="00851DC4">
        <w:t>our patients, clients and victim</w:t>
      </w:r>
      <w:r w:rsidR="0099241F">
        <w:t> </w:t>
      </w:r>
      <w:r w:rsidRPr="00851DC4">
        <w:t>survivors.</w:t>
      </w:r>
    </w:p>
    <w:p w14:paraId="52863DBC" w14:textId="77777777" w:rsidR="00814857" w:rsidRPr="007939DD" w:rsidRDefault="00814857" w:rsidP="00851DC4">
      <w:pPr>
        <w:pStyle w:val="Heading2"/>
      </w:pPr>
      <w:r w:rsidRPr="00D77488">
        <w:t>Objectives</w:t>
      </w:r>
      <w:r>
        <w:t xml:space="preserve"> </w:t>
      </w:r>
      <w:r w:rsidRPr="0012026D">
        <w:t>and</w:t>
      </w:r>
      <w:r>
        <w:t xml:space="preserve"> outcomes</w:t>
      </w:r>
    </w:p>
    <w:p w14:paraId="74CBDC83" w14:textId="77777777" w:rsidR="00345066" w:rsidRDefault="00814857" w:rsidP="00F80EFD">
      <w:pPr>
        <w:pStyle w:val="ARbody"/>
      </w:pPr>
      <w:r w:rsidRPr="007A596A">
        <w:t xml:space="preserve">There are five objectives for the department published in the </w:t>
      </w:r>
      <w:r w:rsidRPr="007A596A">
        <w:rPr>
          <w:i/>
        </w:rPr>
        <w:t>Victorian Budget 2018–19</w:t>
      </w:r>
      <w:r w:rsidRPr="007A596A">
        <w:t>. The five objectives map to our outcome domains. They are linked to our output initiatives for health and human services (programs, activities and services), and output indicators that measure how public funds have been applied.</w:t>
      </w:r>
    </w:p>
    <w:p w14:paraId="7BE42582" w14:textId="20F1BC27" w:rsidR="00814857" w:rsidRDefault="00814857" w:rsidP="00F80EFD">
      <w:pPr>
        <w:pStyle w:val="ARnumberdigit"/>
        <w:spacing w:before="240"/>
        <w:rPr>
          <w:b/>
          <w:color w:val="004EA8"/>
        </w:rPr>
        <w:sectPr w:rsidR="00814857" w:rsidSect="0099241F">
          <w:footerReference w:type="even" r:id="rId44"/>
          <w:footerReference w:type="default" r:id="rId45"/>
          <w:endnotePr>
            <w:numFmt w:val="decimal"/>
          </w:endnotePr>
          <w:type w:val="continuous"/>
          <w:pgSz w:w="11900" w:h="16840" w:code="9"/>
          <w:pgMar w:top="1985" w:right="851" w:bottom="851" w:left="1418" w:header="510" w:footer="340" w:gutter="0"/>
          <w:cols w:space="454"/>
        </w:sectPr>
      </w:pPr>
    </w:p>
    <w:p w14:paraId="7A7FF319" w14:textId="77777777" w:rsidR="00814857" w:rsidRPr="00621FAE" w:rsidRDefault="00814857" w:rsidP="00F80EFD">
      <w:pPr>
        <w:pStyle w:val="ARnumberdigit"/>
        <w:spacing w:before="240"/>
        <w:rPr>
          <w:rFonts w:ascii="Arial" w:hAnsi="Arial" w:cs="Arial"/>
          <w:b/>
          <w:color w:val="004EA8"/>
        </w:rPr>
      </w:pPr>
      <w:r w:rsidRPr="00621FAE">
        <w:rPr>
          <w:rFonts w:ascii="Arial" w:hAnsi="Arial" w:cs="Arial"/>
          <w:b/>
          <w:color w:val="004EA8"/>
        </w:rPr>
        <w:t>Victorians are healthy and well</w:t>
      </w:r>
    </w:p>
    <w:p w14:paraId="199DF534" w14:textId="77777777" w:rsidR="00814857" w:rsidRPr="00621FAE" w:rsidRDefault="00814857" w:rsidP="0099241F">
      <w:pPr>
        <w:pStyle w:val="ARbullet1"/>
        <w:numPr>
          <w:ilvl w:val="0"/>
          <w:numId w:val="19"/>
        </w:numPr>
        <w:ind w:left="681" w:hanging="284"/>
      </w:pPr>
      <w:r w:rsidRPr="00621FAE">
        <w:t>Victorians have good physical health</w:t>
      </w:r>
    </w:p>
    <w:p w14:paraId="5BD48DC0" w14:textId="77777777" w:rsidR="00814857" w:rsidRPr="00621FAE" w:rsidRDefault="00814857" w:rsidP="0099241F">
      <w:pPr>
        <w:pStyle w:val="ARbullet1"/>
        <w:numPr>
          <w:ilvl w:val="0"/>
          <w:numId w:val="19"/>
        </w:numPr>
        <w:ind w:left="681" w:hanging="284"/>
      </w:pPr>
      <w:r w:rsidRPr="00621FAE">
        <w:t>Victorians have good mental health</w:t>
      </w:r>
    </w:p>
    <w:p w14:paraId="044EF1FE" w14:textId="77777777" w:rsidR="00814857" w:rsidRPr="00621FAE" w:rsidRDefault="00814857" w:rsidP="0099241F">
      <w:pPr>
        <w:pStyle w:val="ARbullet1"/>
        <w:numPr>
          <w:ilvl w:val="0"/>
          <w:numId w:val="19"/>
        </w:numPr>
        <w:ind w:left="681" w:hanging="284"/>
        <w:rPr>
          <w:noProof/>
          <w:lang w:eastAsia="en-AU"/>
        </w:rPr>
      </w:pPr>
      <w:r w:rsidRPr="00621FAE">
        <w:t>Victorians act to protect and promote health</w:t>
      </w:r>
      <w:r>
        <w:t>.</w:t>
      </w:r>
    </w:p>
    <w:p w14:paraId="63A65EAF" w14:textId="77777777" w:rsidR="00814857" w:rsidRPr="00621FAE" w:rsidRDefault="00814857" w:rsidP="00F80EFD">
      <w:pPr>
        <w:pStyle w:val="ARnumberdigit"/>
        <w:spacing w:before="240"/>
        <w:rPr>
          <w:rFonts w:ascii="Arial" w:hAnsi="Arial" w:cs="Arial"/>
          <w:b/>
          <w:color w:val="004EA8"/>
        </w:rPr>
      </w:pPr>
      <w:r w:rsidRPr="00621FAE">
        <w:rPr>
          <w:rFonts w:ascii="Arial" w:hAnsi="Arial" w:cs="Arial"/>
          <w:b/>
          <w:color w:val="004EA8"/>
        </w:rPr>
        <w:t>Victorians are safe and secure</w:t>
      </w:r>
    </w:p>
    <w:p w14:paraId="008B4F5F" w14:textId="77777777" w:rsidR="00814857" w:rsidRPr="00621FAE" w:rsidRDefault="00814857" w:rsidP="0099241F">
      <w:pPr>
        <w:pStyle w:val="ARbullet1"/>
        <w:numPr>
          <w:ilvl w:val="0"/>
          <w:numId w:val="19"/>
        </w:numPr>
        <w:ind w:left="681" w:hanging="284"/>
      </w:pPr>
      <w:r w:rsidRPr="00621FAE">
        <w:t>Victorians live free from abuse and violence</w:t>
      </w:r>
    </w:p>
    <w:p w14:paraId="7B70A349" w14:textId="77777777" w:rsidR="00814857" w:rsidRPr="00621FAE" w:rsidRDefault="00814857" w:rsidP="0099241F">
      <w:pPr>
        <w:pStyle w:val="ARbullet1"/>
        <w:numPr>
          <w:ilvl w:val="0"/>
          <w:numId w:val="19"/>
        </w:numPr>
        <w:ind w:left="681" w:hanging="284"/>
      </w:pPr>
      <w:r w:rsidRPr="00621FAE">
        <w:t>Victorians have suitable and stable housing</w:t>
      </w:r>
      <w:r>
        <w:t>.</w:t>
      </w:r>
    </w:p>
    <w:p w14:paraId="2B351511" w14:textId="2DA56C7A" w:rsidR="00814857" w:rsidRPr="00621FAE" w:rsidRDefault="00814857" w:rsidP="00F80EFD">
      <w:pPr>
        <w:pStyle w:val="ARnumberdigit"/>
        <w:spacing w:before="160"/>
        <w:rPr>
          <w:rFonts w:ascii="Arial" w:hAnsi="Arial" w:cs="Arial"/>
          <w:b/>
          <w:color w:val="004EA8"/>
        </w:rPr>
      </w:pPr>
      <w:r w:rsidRPr="00621FAE">
        <w:rPr>
          <w:rFonts w:ascii="Arial" w:hAnsi="Arial" w:cs="Arial"/>
          <w:b/>
          <w:color w:val="004EA8"/>
        </w:rPr>
        <w:t>Victorians have the capabilities</w:t>
      </w:r>
      <w:r w:rsidR="0099241F">
        <w:rPr>
          <w:rFonts w:ascii="Arial" w:hAnsi="Arial" w:cs="Arial"/>
          <w:b/>
          <w:color w:val="004EA8"/>
        </w:rPr>
        <w:t> </w:t>
      </w:r>
      <w:r w:rsidRPr="00621FAE">
        <w:rPr>
          <w:rFonts w:ascii="Arial" w:hAnsi="Arial" w:cs="Arial"/>
          <w:b/>
          <w:color w:val="004EA8"/>
        </w:rPr>
        <w:t>to</w:t>
      </w:r>
      <w:r w:rsidR="0099241F">
        <w:rPr>
          <w:rFonts w:ascii="Arial" w:hAnsi="Arial" w:cs="Arial"/>
          <w:b/>
          <w:color w:val="004EA8"/>
        </w:rPr>
        <w:t> </w:t>
      </w:r>
      <w:r w:rsidRPr="00621FAE">
        <w:rPr>
          <w:rFonts w:ascii="Arial" w:hAnsi="Arial" w:cs="Arial"/>
          <w:b/>
          <w:color w:val="004EA8"/>
        </w:rPr>
        <w:t>participate</w:t>
      </w:r>
    </w:p>
    <w:p w14:paraId="2E76019F" w14:textId="7D452D6E" w:rsidR="00814857" w:rsidRPr="00621FAE" w:rsidRDefault="00814857" w:rsidP="0099241F">
      <w:pPr>
        <w:pStyle w:val="ARbullet1"/>
        <w:numPr>
          <w:ilvl w:val="0"/>
          <w:numId w:val="19"/>
        </w:numPr>
        <w:ind w:left="681" w:hanging="284"/>
      </w:pPr>
      <w:r w:rsidRPr="00621FAE">
        <w:t>Victorians participate in learning, education</w:t>
      </w:r>
      <w:r w:rsidR="0099241F">
        <w:t> </w:t>
      </w:r>
      <w:r w:rsidRPr="00621FAE">
        <w:t>and</w:t>
      </w:r>
      <w:r w:rsidR="0099241F">
        <w:t> </w:t>
      </w:r>
      <w:r w:rsidRPr="00621FAE">
        <w:t>employment</w:t>
      </w:r>
    </w:p>
    <w:p w14:paraId="0028FF71" w14:textId="555BA259" w:rsidR="00814857" w:rsidRPr="00621FAE" w:rsidRDefault="00814857" w:rsidP="0099241F">
      <w:pPr>
        <w:pStyle w:val="ARbullet1"/>
        <w:numPr>
          <w:ilvl w:val="0"/>
          <w:numId w:val="19"/>
        </w:numPr>
        <w:ind w:left="681" w:hanging="284"/>
      </w:pPr>
      <w:r w:rsidRPr="00621FAE">
        <w:t>Victorians benefit economically from strong</w:t>
      </w:r>
      <w:r w:rsidR="0099241F">
        <w:t> </w:t>
      </w:r>
      <w:r w:rsidRPr="00621FAE">
        <w:t>health, human services and sport and recreation sectors</w:t>
      </w:r>
    </w:p>
    <w:p w14:paraId="3FDC3AE3" w14:textId="451C4C7F" w:rsidR="00814857" w:rsidRPr="00621FAE" w:rsidRDefault="00814857" w:rsidP="0099241F">
      <w:pPr>
        <w:pStyle w:val="ARbullet1"/>
        <w:numPr>
          <w:ilvl w:val="0"/>
          <w:numId w:val="19"/>
        </w:numPr>
        <w:ind w:left="681" w:hanging="284"/>
      </w:pPr>
      <w:r w:rsidRPr="00621FAE">
        <w:t>Victorians participate in the economy and</w:t>
      </w:r>
      <w:r w:rsidR="0099241F">
        <w:t> </w:t>
      </w:r>
      <w:r w:rsidRPr="00621FAE">
        <w:t>have</w:t>
      </w:r>
      <w:r w:rsidR="0099241F">
        <w:t> </w:t>
      </w:r>
      <w:r w:rsidRPr="00621FAE">
        <w:t>financial security</w:t>
      </w:r>
      <w:r>
        <w:t>.</w:t>
      </w:r>
    </w:p>
    <w:p w14:paraId="7ECBF014" w14:textId="3E3F455C" w:rsidR="00814857" w:rsidRPr="00621FAE" w:rsidRDefault="00814857" w:rsidP="00F80EFD">
      <w:pPr>
        <w:pStyle w:val="ARnumberdigit"/>
        <w:spacing w:before="240"/>
        <w:rPr>
          <w:rFonts w:ascii="Arial" w:hAnsi="Arial" w:cs="Arial"/>
          <w:b/>
          <w:color w:val="004EA8"/>
        </w:rPr>
      </w:pPr>
      <w:r w:rsidRPr="00621FAE">
        <w:rPr>
          <w:rFonts w:ascii="Arial" w:hAnsi="Arial" w:cs="Arial"/>
          <w:b/>
          <w:color w:val="004EA8"/>
        </w:rPr>
        <w:br w:type="column"/>
      </w:r>
      <w:r w:rsidRPr="00621FAE">
        <w:rPr>
          <w:rFonts w:ascii="Arial" w:hAnsi="Arial" w:cs="Arial"/>
          <w:b/>
          <w:color w:val="004EA8"/>
        </w:rPr>
        <w:t xml:space="preserve">Victorians are connected </w:t>
      </w:r>
      <w:r w:rsidR="0099241F">
        <w:rPr>
          <w:rFonts w:ascii="Arial" w:hAnsi="Arial" w:cs="Arial"/>
          <w:b/>
          <w:color w:val="004EA8"/>
        </w:rPr>
        <w:br/>
      </w:r>
      <w:r w:rsidRPr="00621FAE">
        <w:rPr>
          <w:rFonts w:ascii="Arial" w:hAnsi="Arial" w:cs="Arial"/>
          <w:b/>
          <w:color w:val="004EA8"/>
        </w:rPr>
        <w:t>to culture and community</w:t>
      </w:r>
    </w:p>
    <w:p w14:paraId="70C620C8" w14:textId="5FAAB282" w:rsidR="00814857" w:rsidRPr="00621FAE" w:rsidRDefault="00814857" w:rsidP="0099241F">
      <w:pPr>
        <w:pStyle w:val="ARbullet1"/>
        <w:numPr>
          <w:ilvl w:val="0"/>
          <w:numId w:val="19"/>
        </w:numPr>
        <w:ind w:left="681" w:hanging="284"/>
      </w:pPr>
      <w:r w:rsidRPr="00621FAE">
        <w:t>Victorians are socially engaged and live</w:t>
      </w:r>
      <w:r w:rsidR="0099241F">
        <w:t> </w:t>
      </w:r>
      <w:r w:rsidRPr="00621FAE">
        <w:t>in</w:t>
      </w:r>
      <w:r w:rsidR="0099241F">
        <w:t> </w:t>
      </w:r>
      <w:r w:rsidRPr="00621FAE">
        <w:t>inclusive communities</w:t>
      </w:r>
    </w:p>
    <w:p w14:paraId="7BE479AF" w14:textId="77777777" w:rsidR="00814857" w:rsidRPr="00621FAE" w:rsidRDefault="00814857" w:rsidP="0099241F">
      <w:pPr>
        <w:pStyle w:val="ARbullet1"/>
        <w:numPr>
          <w:ilvl w:val="0"/>
          <w:numId w:val="19"/>
        </w:numPr>
        <w:ind w:left="681" w:hanging="284"/>
      </w:pPr>
      <w:r w:rsidRPr="00621FAE">
        <w:t xml:space="preserve">Victorians can safely identify and connect with their culture and identity, </w:t>
      </w:r>
      <w:r>
        <w:t>with</w:t>
      </w:r>
      <w:r w:rsidRPr="00621FAE">
        <w:t xml:space="preserve"> their health and wellbeing advanced through self-determination</w:t>
      </w:r>
      <w:r>
        <w:t>.</w:t>
      </w:r>
    </w:p>
    <w:p w14:paraId="071D3779" w14:textId="76A5D641" w:rsidR="00814857" w:rsidRPr="00621FAE" w:rsidRDefault="00814857" w:rsidP="00F80EFD">
      <w:pPr>
        <w:pStyle w:val="ARnumberdigit"/>
        <w:spacing w:before="240"/>
        <w:rPr>
          <w:rFonts w:ascii="Arial" w:hAnsi="Arial" w:cs="Arial"/>
          <w:b/>
          <w:color w:val="004EA8"/>
        </w:rPr>
      </w:pPr>
      <w:r w:rsidRPr="00621FAE">
        <w:rPr>
          <w:rFonts w:ascii="Arial" w:hAnsi="Arial" w:cs="Arial"/>
          <w:b/>
          <w:color w:val="004EA8"/>
        </w:rPr>
        <w:t>Victorian health and human services are</w:t>
      </w:r>
      <w:r w:rsidR="0099241F">
        <w:rPr>
          <w:rFonts w:ascii="Arial" w:hAnsi="Arial" w:cs="Arial"/>
          <w:b/>
          <w:color w:val="004EA8"/>
        </w:rPr>
        <w:t> </w:t>
      </w:r>
      <w:r w:rsidRPr="00621FAE">
        <w:rPr>
          <w:rFonts w:ascii="Arial" w:hAnsi="Arial" w:cs="Arial"/>
          <w:b/>
          <w:color w:val="004EA8"/>
        </w:rPr>
        <w:t>person centred and sustainable</w:t>
      </w:r>
    </w:p>
    <w:p w14:paraId="06E5CB0B" w14:textId="1E438104" w:rsidR="00814857" w:rsidRPr="00621FAE" w:rsidRDefault="00814857" w:rsidP="0099241F">
      <w:pPr>
        <w:pStyle w:val="ARbullet1"/>
        <w:numPr>
          <w:ilvl w:val="0"/>
          <w:numId w:val="19"/>
        </w:numPr>
        <w:ind w:left="681" w:hanging="284"/>
      </w:pPr>
      <w:r w:rsidRPr="00621FAE">
        <w:t>Services are appropriate and accessible in</w:t>
      </w:r>
      <w:r w:rsidR="0099241F">
        <w:t> </w:t>
      </w:r>
      <w:r w:rsidRPr="00621FAE">
        <w:t>the</w:t>
      </w:r>
      <w:r w:rsidR="0099241F">
        <w:t> </w:t>
      </w:r>
      <w:r w:rsidRPr="00621FAE">
        <w:t>right place, at the right time</w:t>
      </w:r>
    </w:p>
    <w:p w14:paraId="38AB0D4F" w14:textId="6C0D3100" w:rsidR="00814857" w:rsidRPr="00621FAE" w:rsidRDefault="00814857" w:rsidP="0099241F">
      <w:pPr>
        <w:pStyle w:val="ARbullet1"/>
        <w:numPr>
          <w:ilvl w:val="0"/>
          <w:numId w:val="19"/>
        </w:numPr>
        <w:ind w:left="681" w:hanging="284"/>
      </w:pPr>
      <w:r w:rsidRPr="00621FAE">
        <w:t>Services are inclusive and respond to choice, culture, identity, circumstances and</w:t>
      </w:r>
      <w:r w:rsidR="0099241F">
        <w:t> </w:t>
      </w:r>
      <w:r w:rsidRPr="00621FAE">
        <w:t>goals</w:t>
      </w:r>
    </w:p>
    <w:p w14:paraId="152A5EE7" w14:textId="77777777" w:rsidR="00814857" w:rsidRPr="00621FAE" w:rsidRDefault="00814857" w:rsidP="0099241F">
      <w:pPr>
        <w:pStyle w:val="ARbullet1"/>
        <w:numPr>
          <w:ilvl w:val="0"/>
          <w:numId w:val="19"/>
        </w:numPr>
        <w:ind w:left="681" w:hanging="284"/>
      </w:pPr>
      <w:r w:rsidRPr="00621FAE">
        <w:t>Services are efficient and sustainable</w:t>
      </w:r>
    </w:p>
    <w:p w14:paraId="1587772C" w14:textId="0E0A7FC7" w:rsidR="00814857" w:rsidRPr="00621FAE" w:rsidRDefault="00814857" w:rsidP="0099241F">
      <w:pPr>
        <w:pStyle w:val="ARbullet1"/>
        <w:numPr>
          <w:ilvl w:val="0"/>
          <w:numId w:val="19"/>
        </w:numPr>
        <w:ind w:left="681" w:hanging="284"/>
      </w:pPr>
      <w:r w:rsidRPr="00621FAE">
        <w:t>Services are safe, high quality and provide a</w:t>
      </w:r>
      <w:r w:rsidR="0099241F">
        <w:t> </w:t>
      </w:r>
      <w:r w:rsidRPr="00621FAE">
        <w:t>positive experience</w:t>
      </w:r>
      <w:r>
        <w:t>.</w:t>
      </w:r>
    </w:p>
    <w:p w14:paraId="08F38FC1" w14:textId="77777777" w:rsidR="00814857" w:rsidRDefault="00814857">
      <w:pPr>
        <w:sectPr w:rsidR="00814857" w:rsidSect="00D15379">
          <w:endnotePr>
            <w:numFmt w:val="decimal"/>
          </w:endnotePr>
          <w:type w:val="continuous"/>
          <w:pgSz w:w="11900" w:h="16840" w:code="9"/>
          <w:pgMar w:top="3771" w:right="851" w:bottom="851" w:left="1418" w:header="510" w:footer="340" w:gutter="0"/>
          <w:cols w:num="2" w:space="454"/>
        </w:sectPr>
      </w:pPr>
    </w:p>
    <w:p w14:paraId="02DE9E82" w14:textId="77777777" w:rsidR="00814857" w:rsidRPr="00692AB2" w:rsidRDefault="00814857" w:rsidP="00BD3806">
      <w:pPr>
        <w:pStyle w:val="Heading2"/>
        <w:spacing w:before="0"/>
        <w:rPr>
          <w:sz w:val="44"/>
          <w:szCs w:val="44"/>
        </w:rPr>
      </w:pPr>
      <w:r>
        <w:rPr>
          <w:noProof/>
          <w:sz w:val="44"/>
          <w:szCs w:val="44"/>
          <w:lang w:eastAsia="en-AU"/>
        </w:rPr>
        <w:lastRenderedPageBreak/>
        <w:drawing>
          <wp:anchor distT="0" distB="0" distL="114300" distR="114300" simplePos="0" relativeHeight="251677696" behindDoc="1" locked="1" layoutInCell="1" allowOverlap="1" wp14:anchorId="63FFB00E" wp14:editId="328F1937">
            <wp:simplePos x="0" y="0"/>
            <wp:positionH relativeFrom="page">
              <wp:posOffset>0</wp:posOffset>
            </wp:positionH>
            <wp:positionV relativeFrom="page">
              <wp:posOffset>0</wp:posOffset>
            </wp:positionV>
            <wp:extent cx="7563600" cy="9978480"/>
            <wp:effectExtent l="0" t="0" r="0" b="381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907417_DHHS Annual Report Timeline pages 1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63600" cy="9978480"/>
                    </a:xfrm>
                    <a:prstGeom prst="rect">
                      <a:avLst/>
                    </a:prstGeom>
                  </pic:spPr>
                </pic:pic>
              </a:graphicData>
            </a:graphic>
            <wp14:sizeRelH relativeFrom="page">
              <wp14:pctWidth>0</wp14:pctWidth>
            </wp14:sizeRelH>
            <wp14:sizeRelV relativeFrom="page">
              <wp14:pctHeight>0</wp14:pctHeight>
            </wp14:sizeRelV>
          </wp:anchor>
        </w:drawing>
      </w:r>
      <w:r w:rsidRPr="00692AB2">
        <w:rPr>
          <w:sz w:val="44"/>
          <w:szCs w:val="44"/>
        </w:rPr>
        <w:t>Highlights for the year</w:t>
      </w:r>
    </w:p>
    <w:p w14:paraId="317387F7" w14:textId="77777777" w:rsidR="00814857" w:rsidRPr="007272EE" w:rsidRDefault="00814857" w:rsidP="00140921">
      <w:pPr>
        <w:pStyle w:val="Heading3dates"/>
      </w:pPr>
      <w:r w:rsidRPr="007272EE">
        <w:t>July 2018</w:t>
      </w:r>
    </w:p>
    <w:p w14:paraId="3833E50D" w14:textId="77777777" w:rsidR="00814857" w:rsidRDefault="00814857" w:rsidP="00EF7759">
      <w:pPr>
        <w:pStyle w:val="ARbullettimeline"/>
      </w:pPr>
      <w:r>
        <w:t>Opening of t</w:t>
      </w:r>
      <w:r w:rsidRPr="000507A7">
        <w:t>he medically supervised injecting room in North Richmond</w:t>
      </w:r>
    </w:p>
    <w:p w14:paraId="39E6F7CB" w14:textId="77777777" w:rsidR="00814857" w:rsidRPr="000507A7" w:rsidRDefault="00814857" w:rsidP="00EF7759">
      <w:pPr>
        <w:pStyle w:val="ARbullettimeline"/>
      </w:pPr>
      <w:r>
        <w:t xml:space="preserve">Release of the </w:t>
      </w:r>
      <w:r w:rsidRPr="00EF7759">
        <w:rPr>
          <w:i/>
          <w:iCs/>
        </w:rPr>
        <w:t>Victorian carer strategy 2018–22</w:t>
      </w:r>
    </w:p>
    <w:p w14:paraId="6CBCF8F1" w14:textId="77777777" w:rsidR="00814857" w:rsidRPr="00EF7759" w:rsidRDefault="00814857" w:rsidP="00EF7759">
      <w:pPr>
        <w:pStyle w:val="ARbullettimeline"/>
      </w:pPr>
      <w:r w:rsidRPr="000507A7">
        <w:t>Lau</w:t>
      </w:r>
      <w:r w:rsidRPr="00EF7759">
        <w:t>nch of Public Health Data Analytics Platform</w:t>
      </w:r>
    </w:p>
    <w:p w14:paraId="28A7195B" w14:textId="77777777" w:rsidR="00814857" w:rsidRPr="00EF7759" w:rsidRDefault="00814857" w:rsidP="00EF7759">
      <w:pPr>
        <w:pStyle w:val="ARbullettimeline"/>
      </w:pPr>
      <w:r w:rsidRPr="00EF7759">
        <w:t>Construction begins on $55.6 million residential aged care facility in Kew</w:t>
      </w:r>
    </w:p>
    <w:p w14:paraId="2D848FCD" w14:textId="2F0C0332" w:rsidR="00814857" w:rsidRDefault="00814857" w:rsidP="00EF7759">
      <w:pPr>
        <w:pStyle w:val="ARbullettimeline"/>
      </w:pPr>
      <w:r w:rsidRPr="00EF7759">
        <w:t>Service co</w:t>
      </w:r>
      <w:r w:rsidRPr="00E461BF">
        <w:t xml:space="preserve">mmencement at the </w:t>
      </w:r>
      <w:r>
        <w:t>n</w:t>
      </w:r>
      <w:r w:rsidRPr="00E461BF">
        <w:t>orth</w:t>
      </w:r>
      <w:r>
        <w:t>-e</w:t>
      </w:r>
      <w:r w:rsidRPr="00E461BF">
        <w:t xml:space="preserve">astern Melbourne </w:t>
      </w:r>
      <w:r>
        <w:t xml:space="preserve">The </w:t>
      </w:r>
      <w:r w:rsidRPr="00E461BF">
        <w:t>Orange Door support and</w:t>
      </w:r>
      <w:r w:rsidR="00314C2B">
        <w:t> </w:t>
      </w:r>
      <w:r w:rsidRPr="00E461BF">
        <w:t xml:space="preserve">safety hub </w:t>
      </w:r>
      <w:r>
        <w:t xml:space="preserve">at </w:t>
      </w:r>
      <w:r w:rsidRPr="00E461BF">
        <w:t>Hei</w:t>
      </w:r>
      <w:r>
        <w:t>d</w:t>
      </w:r>
      <w:r w:rsidRPr="00E461BF">
        <w:t>elberg</w:t>
      </w:r>
    </w:p>
    <w:p w14:paraId="518D79D9" w14:textId="77777777" w:rsidR="00814857" w:rsidRDefault="00814857" w:rsidP="00EF7759">
      <w:pPr>
        <w:pStyle w:val="ARbullettimeline"/>
      </w:pPr>
      <w:r w:rsidRPr="00EF7759">
        <w:rPr>
          <w:i/>
          <w:iCs/>
        </w:rPr>
        <w:t>Wungurilwil Gapgapduir Aboriginal Children and Families Agreement</w:t>
      </w:r>
      <w:r w:rsidRPr="00224364">
        <w:t xml:space="preserve"> came into effect</w:t>
      </w:r>
    </w:p>
    <w:p w14:paraId="3B885386" w14:textId="77777777" w:rsidR="00814857" w:rsidRPr="000507A7" w:rsidRDefault="00814857" w:rsidP="00EF7759">
      <w:pPr>
        <w:pStyle w:val="ARbullettimeline"/>
      </w:pPr>
      <w:r>
        <w:t>Aboriginal Children’s Forum held</w:t>
      </w:r>
    </w:p>
    <w:p w14:paraId="77F8FF69" w14:textId="77777777" w:rsidR="00814857" w:rsidRPr="007272EE" w:rsidRDefault="00814857" w:rsidP="00140921">
      <w:pPr>
        <w:pStyle w:val="Heading3dates"/>
      </w:pPr>
      <w:r w:rsidRPr="007272EE">
        <w:t>August 2018</w:t>
      </w:r>
    </w:p>
    <w:p w14:paraId="266B6724" w14:textId="12E0D955" w:rsidR="00814857" w:rsidRPr="00EF7759" w:rsidRDefault="00814857" w:rsidP="00EF7759">
      <w:pPr>
        <w:pStyle w:val="ARbullettimeline"/>
      </w:pPr>
      <w:r w:rsidRPr="000507A7">
        <w:t xml:space="preserve">Official </w:t>
      </w:r>
      <w:r w:rsidRPr="00EF7759">
        <w:t>opening of new Bendigo Hospital buildings, the largest hospital redevelopment in</w:t>
      </w:r>
      <w:r w:rsidR="00EF7759">
        <w:t> </w:t>
      </w:r>
      <w:r w:rsidRPr="00EF7759">
        <w:t>regional Victoria’s history</w:t>
      </w:r>
    </w:p>
    <w:p w14:paraId="01609DA2" w14:textId="21DC357D" w:rsidR="00814857" w:rsidRPr="00EF7759" w:rsidRDefault="00814857" w:rsidP="00EF7759">
      <w:pPr>
        <w:pStyle w:val="ARbullettimeline"/>
      </w:pPr>
      <w:r w:rsidRPr="00EF7759">
        <w:t>Awarding of contracts to five not-for-profit disability providers to deliver disability respite and</w:t>
      </w:r>
      <w:r w:rsidR="00EF7759">
        <w:t> </w:t>
      </w:r>
      <w:r w:rsidRPr="00EF7759">
        <w:t>shared accommodation services previously operated by the department</w:t>
      </w:r>
    </w:p>
    <w:p w14:paraId="581079CD" w14:textId="77777777" w:rsidR="00345066" w:rsidRDefault="00814857" w:rsidP="00EF7759">
      <w:pPr>
        <w:pStyle w:val="ARbullettimeline"/>
      </w:pPr>
      <w:r w:rsidRPr="00EF7759">
        <w:t>Commencement of Aboriginal Mental Health Traineeship Program</w:t>
      </w:r>
    </w:p>
    <w:p w14:paraId="00659F52" w14:textId="17FCCB50" w:rsidR="00814857" w:rsidRDefault="00814857" w:rsidP="00EF7759">
      <w:pPr>
        <w:pStyle w:val="ARbullettimeline"/>
      </w:pPr>
      <w:r w:rsidRPr="00EF7759">
        <w:t>Official openin</w:t>
      </w:r>
      <w:r>
        <w:t>g of the</w:t>
      </w:r>
      <w:r w:rsidRPr="000507A7">
        <w:t xml:space="preserve"> new Eltham ambulance station</w:t>
      </w:r>
    </w:p>
    <w:p w14:paraId="559DCF8D" w14:textId="77777777" w:rsidR="00814857" w:rsidRPr="007272EE" w:rsidRDefault="00814857" w:rsidP="00140921">
      <w:pPr>
        <w:pStyle w:val="Heading3dates"/>
      </w:pPr>
      <w:r w:rsidRPr="007272EE">
        <w:t>September 2018</w:t>
      </w:r>
    </w:p>
    <w:p w14:paraId="223027FF" w14:textId="77777777" w:rsidR="00814857" w:rsidRPr="00EF7759" w:rsidRDefault="00814857" w:rsidP="00EF7759">
      <w:pPr>
        <w:pStyle w:val="ARbullettimeline"/>
      </w:pPr>
      <w:r w:rsidRPr="000507A7">
        <w:t>Esta</w:t>
      </w:r>
      <w:r w:rsidRPr="00EF7759">
        <w:t>blishment of a new specialised statewide Aboriginal kinship finding service</w:t>
      </w:r>
    </w:p>
    <w:p w14:paraId="2C7B2659" w14:textId="77777777" w:rsidR="00814857" w:rsidRPr="00EF7759" w:rsidRDefault="00814857" w:rsidP="00EF7759">
      <w:pPr>
        <w:pStyle w:val="ARbullettimeline"/>
      </w:pPr>
      <w:r w:rsidRPr="00EF7759">
        <w:t xml:space="preserve">Launch of the </w:t>
      </w:r>
      <w:r w:rsidRPr="00EF7759">
        <w:rPr>
          <w:i/>
          <w:iCs/>
        </w:rPr>
        <w:t>Family Violence Multi-Agency Risk Assessment and Management Framework</w:t>
      </w:r>
    </w:p>
    <w:p w14:paraId="0B7AED77" w14:textId="77777777" w:rsidR="00814857" w:rsidRPr="00EF7759" w:rsidRDefault="00814857" w:rsidP="00EF7759">
      <w:pPr>
        <w:pStyle w:val="ARbullettimeline"/>
      </w:pPr>
      <w:r w:rsidRPr="00EF7759">
        <w:t>Official opening of the new Sale ambulance station</w:t>
      </w:r>
    </w:p>
    <w:p w14:paraId="05F4AC80" w14:textId="77777777" w:rsidR="00814857" w:rsidRPr="000507A7" w:rsidRDefault="00814857" w:rsidP="00EF7759">
      <w:pPr>
        <w:pStyle w:val="ARbullettimeline"/>
      </w:pPr>
      <w:r w:rsidRPr="00EF7759">
        <w:t>Aboriginal Ch</w:t>
      </w:r>
      <w:r>
        <w:t>ildren’s Forum held</w:t>
      </w:r>
    </w:p>
    <w:p w14:paraId="168A5BCE" w14:textId="77777777" w:rsidR="00814857" w:rsidRPr="0099241F" w:rsidRDefault="00814857" w:rsidP="0099241F">
      <w:pPr>
        <w:pStyle w:val="ARbody"/>
      </w:pPr>
      <w:r w:rsidRPr="0099241F">
        <w:br w:type="page"/>
      </w:r>
    </w:p>
    <w:p w14:paraId="54F0B53E" w14:textId="77777777" w:rsidR="00814857" w:rsidRPr="007272EE" w:rsidRDefault="00814857" w:rsidP="00140921">
      <w:pPr>
        <w:pStyle w:val="Heading3dates"/>
      </w:pPr>
      <w:r>
        <w:rPr>
          <w:sz w:val="44"/>
          <w:szCs w:val="44"/>
        </w:rPr>
        <w:lastRenderedPageBreak/>
        <w:drawing>
          <wp:anchor distT="0" distB="0" distL="114300" distR="114300" simplePos="0" relativeHeight="251679744" behindDoc="1" locked="1" layoutInCell="1" allowOverlap="1" wp14:anchorId="421E5A0B" wp14:editId="36D5825D">
            <wp:simplePos x="0" y="0"/>
            <wp:positionH relativeFrom="page">
              <wp:posOffset>0</wp:posOffset>
            </wp:positionH>
            <wp:positionV relativeFrom="page">
              <wp:posOffset>0</wp:posOffset>
            </wp:positionV>
            <wp:extent cx="7563600" cy="9978480"/>
            <wp:effectExtent l="0" t="0" r="0" b="381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907417_DHHS Annual Report Timeline pages 1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63600" cy="9978480"/>
                    </a:xfrm>
                    <a:prstGeom prst="rect">
                      <a:avLst/>
                    </a:prstGeom>
                  </pic:spPr>
                </pic:pic>
              </a:graphicData>
            </a:graphic>
            <wp14:sizeRelH relativeFrom="page">
              <wp14:pctWidth>0</wp14:pctWidth>
            </wp14:sizeRelH>
            <wp14:sizeRelV relativeFrom="page">
              <wp14:pctHeight>0</wp14:pctHeight>
            </wp14:sizeRelV>
          </wp:anchor>
        </w:drawing>
      </w:r>
      <w:r w:rsidRPr="007272EE">
        <w:t>October 2018</w:t>
      </w:r>
    </w:p>
    <w:p w14:paraId="3165E956" w14:textId="77777777" w:rsidR="00814857" w:rsidRPr="00EF7759" w:rsidRDefault="00814857" w:rsidP="00EF7759">
      <w:pPr>
        <w:pStyle w:val="ARbullettimeline"/>
      </w:pPr>
      <w:r w:rsidRPr="000507A7">
        <w:t>Official est</w:t>
      </w:r>
      <w:r w:rsidRPr="00EF7759">
        <w:t>ablishment of Respect Victoria as an independent statutory authority</w:t>
      </w:r>
    </w:p>
    <w:p w14:paraId="0AB9AD40" w14:textId="5ABFD847" w:rsidR="00345066" w:rsidRDefault="00814857" w:rsidP="00EF7759">
      <w:pPr>
        <w:pStyle w:val="ARbullettimeline"/>
      </w:pPr>
      <w:r w:rsidRPr="00EF7759">
        <w:t xml:space="preserve">Signing of the </w:t>
      </w:r>
      <w:r w:rsidRPr="00EF7759">
        <w:rPr>
          <w:i/>
          <w:iCs/>
        </w:rPr>
        <w:t>Dhelk Dja: Safe Our Way – Strong Culture, Strong Peoples, Strong</w:t>
      </w:r>
      <w:r w:rsidR="00345066">
        <w:rPr>
          <w:i/>
          <w:iCs/>
        </w:rPr>
        <w:t> </w:t>
      </w:r>
      <w:r w:rsidRPr="00EF7759">
        <w:rPr>
          <w:i/>
          <w:iCs/>
        </w:rPr>
        <w:t>Families</w:t>
      </w:r>
      <w:r w:rsidR="00345066">
        <w:t> </w:t>
      </w:r>
      <w:r w:rsidRPr="00EF7759">
        <w:t>10-year Aboriginal family violence agreement</w:t>
      </w:r>
    </w:p>
    <w:p w14:paraId="1F22381A" w14:textId="0B1DA117" w:rsidR="00814857" w:rsidRPr="00EF7759" w:rsidRDefault="00814857" w:rsidP="00EF7759">
      <w:pPr>
        <w:pStyle w:val="ARbullettimeline"/>
      </w:pPr>
      <w:r w:rsidRPr="00EF7759">
        <w:t>Release of a 10-year community services industry plan and its two-year rolling implementation plan 2019–20</w:t>
      </w:r>
    </w:p>
    <w:p w14:paraId="7ECEF929" w14:textId="77777777" w:rsidR="00814857" w:rsidRPr="00EF7759" w:rsidRDefault="00814857" w:rsidP="00EF7759">
      <w:pPr>
        <w:pStyle w:val="ARbullettimeline"/>
      </w:pPr>
      <w:r w:rsidRPr="00EF7759">
        <w:t>Release of the Community Services Quality Governance Framework</w:t>
      </w:r>
    </w:p>
    <w:p w14:paraId="6539912E" w14:textId="52DE9B62" w:rsidR="00814857" w:rsidRPr="00EF7759" w:rsidRDefault="00814857" w:rsidP="00EF7759">
      <w:pPr>
        <w:pStyle w:val="ARbullettimeline"/>
      </w:pPr>
      <w:r w:rsidRPr="00EF7759">
        <w:t>COMPASS social impact bond commenced in western Melbourne and Brimbank Melton</w:t>
      </w:r>
      <w:r w:rsidR="00EF7759">
        <w:t> </w:t>
      </w:r>
      <w:r w:rsidRPr="00EF7759">
        <w:t>areas</w:t>
      </w:r>
    </w:p>
    <w:p w14:paraId="6C837224" w14:textId="77777777" w:rsidR="00814857" w:rsidRPr="008F035E" w:rsidRDefault="00814857" w:rsidP="00EF7759">
      <w:pPr>
        <w:pStyle w:val="ARbullettimeline"/>
      </w:pPr>
      <w:r w:rsidRPr="00EF7759">
        <w:t>Opening of the intensive c</w:t>
      </w:r>
      <w:r>
        <w:t>are unit and short stay unit at Angliss Hospital</w:t>
      </w:r>
    </w:p>
    <w:p w14:paraId="09BEC684" w14:textId="77777777" w:rsidR="00814857" w:rsidRPr="007272EE" w:rsidRDefault="00814857" w:rsidP="00140921">
      <w:pPr>
        <w:pStyle w:val="Heading3dates"/>
      </w:pPr>
      <w:r w:rsidRPr="007272EE">
        <w:t>November 2018</w:t>
      </w:r>
    </w:p>
    <w:p w14:paraId="76D27E1B" w14:textId="5C500A02" w:rsidR="00814857" w:rsidRPr="00EF7759" w:rsidRDefault="00814857" w:rsidP="00EF7759">
      <w:pPr>
        <w:pStyle w:val="ARbullettimeline"/>
      </w:pPr>
      <w:r w:rsidRPr="000507A7">
        <w:t>Commencement of requirements under No Jab, No Play laws for parents or carers of</w:t>
      </w:r>
      <w:r w:rsidR="00EF7759">
        <w:t> </w:t>
      </w:r>
      <w:r w:rsidRPr="000507A7">
        <w:t>childr</w:t>
      </w:r>
      <w:r w:rsidRPr="00EF7759">
        <w:t>en in childcare or kindergarten to give early childhood services regular proof that</w:t>
      </w:r>
      <w:r w:rsidR="00EF7759" w:rsidRPr="00EF7759">
        <w:t> </w:t>
      </w:r>
      <w:r w:rsidRPr="00EF7759">
        <w:t>their child is up to date with their immunisations</w:t>
      </w:r>
    </w:p>
    <w:p w14:paraId="043CCEF1" w14:textId="6E594B38" w:rsidR="00814857" w:rsidRPr="00EF7759" w:rsidRDefault="00814857" w:rsidP="00EF7759">
      <w:pPr>
        <w:pStyle w:val="ARbullettimeline"/>
      </w:pPr>
      <w:r w:rsidRPr="00EF7759">
        <w:t>The first quality and safety report for private hospitals released by the Victorian Agency for</w:t>
      </w:r>
      <w:r w:rsidR="00EF7759">
        <w:t> </w:t>
      </w:r>
      <w:r w:rsidRPr="00EF7759">
        <w:t>Health Information</w:t>
      </w:r>
    </w:p>
    <w:p w14:paraId="2BDBB437" w14:textId="77777777" w:rsidR="00814857" w:rsidRPr="000507A7" w:rsidRDefault="00814857" w:rsidP="00EF7759">
      <w:pPr>
        <w:pStyle w:val="ARbullettimeline"/>
      </w:pPr>
      <w:r w:rsidRPr="00EF7759">
        <w:t xml:space="preserve">Commencement </w:t>
      </w:r>
      <w:r w:rsidRPr="00E461BF">
        <w:t xml:space="preserve">of </w:t>
      </w:r>
      <w:r>
        <w:t>T</w:t>
      </w:r>
      <w:r w:rsidRPr="00E461BF">
        <w:t xml:space="preserve">he Orange Door support and safety hub in </w:t>
      </w:r>
      <w:r>
        <w:t>i</w:t>
      </w:r>
      <w:r w:rsidRPr="00E461BF">
        <w:t>nner Gippsland (Morwell)</w:t>
      </w:r>
    </w:p>
    <w:p w14:paraId="269D7275" w14:textId="77777777" w:rsidR="00814857" w:rsidRPr="007272EE" w:rsidRDefault="00814857" w:rsidP="00140921">
      <w:pPr>
        <w:pStyle w:val="Heading3dates"/>
      </w:pPr>
      <w:r w:rsidRPr="007272EE">
        <w:t>December 2018</w:t>
      </w:r>
    </w:p>
    <w:p w14:paraId="013CA921" w14:textId="77777777" w:rsidR="00814857" w:rsidRPr="00EF7759" w:rsidRDefault="00814857" w:rsidP="00EF7759">
      <w:pPr>
        <w:pStyle w:val="ARbullettimeline"/>
      </w:pPr>
      <w:r w:rsidRPr="000507A7">
        <w:t>Opening o</w:t>
      </w:r>
      <w:r w:rsidRPr="00EF7759">
        <w:t>f Phillip Island health hub to provide access to 24-hour care close to home</w:t>
      </w:r>
    </w:p>
    <w:p w14:paraId="0F311A6D" w14:textId="77777777" w:rsidR="00814857" w:rsidRPr="000507A7" w:rsidRDefault="00814857" w:rsidP="00EF7759">
      <w:pPr>
        <w:pStyle w:val="ARbullettimeline"/>
      </w:pPr>
      <w:r w:rsidRPr="00EF7759">
        <w:t xml:space="preserve">Launch of the </w:t>
      </w:r>
      <w:r>
        <w:t>Department of Health and Human Services</w:t>
      </w:r>
      <w:r w:rsidRPr="000507A7">
        <w:t xml:space="preserve"> disability action plan</w:t>
      </w:r>
    </w:p>
    <w:p w14:paraId="7B97FE5A" w14:textId="77777777" w:rsidR="0099241F" w:rsidRPr="0099241F" w:rsidRDefault="0099241F" w:rsidP="0099241F">
      <w:pPr>
        <w:pStyle w:val="ARbody"/>
        <w:numPr>
          <w:ilvl w:val="0"/>
          <w:numId w:val="20"/>
        </w:numPr>
      </w:pPr>
      <w:r w:rsidRPr="0099241F">
        <w:br w:type="page"/>
      </w:r>
    </w:p>
    <w:p w14:paraId="5A6EC585" w14:textId="77777777" w:rsidR="00814857" w:rsidRPr="007272EE" w:rsidRDefault="00814857" w:rsidP="00140921">
      <w:pPr>
        <w:pStyle w:val="Heading3dates"/>
      </w:pPr>
      <w:r>
        <w:rPr>
          <w:sz w:val="44"/>
          <w:szCs w:val="44"/>
        </w:rPr>
        <w:lastRenderedPageBreak/>
        <w:drawing>
          <wp:anchor distT="0" distB="0" distL="114300" distR="114300" simplePos="0" relativeHeight="251680768" behindDoc="1" locked="0" layoutInCell="1" allowOverlap="1" wp14:anchorId="0E3B744C" wp14:editId="37F70400">
            <wp:simplePos x="0" y="0"/>
            <wp:positionH relativeFrom="page">
              <wp:posOffset>0</wp:posOffset>
            </wp:positionH>
            <wp:positionV relativeFrom="page">
              <wp:posOffset>0</wp:posOffset>
            </wp:positionV>
            <wp:extent cx="7563600" cy="9978480"/>
            <wp:effectExtent l="0" t="0" r="0" b="381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907417_DHHS Annual Report Timeline pages 1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63600" cy="9978480"/>
                    </a:xfrm>
                    <a:prstGeom prst="rect">
                      <a:avLst/>
                    </a:prstGeom>
                  </pic:spPr>
                </pic:pic>
              </a:graphicData>
            </a:graphic>
            <wp14:sizeRelH relativeFrom="page">
              <wp14:pctWidth>0</wp14:pctWidth>
            </wp14:sizeRelH>
            <wp14:sizeRelV relativeFrom="page">
              <wp14:pctHeight>0</wp14:pctHeight>
            </wp14:sizeRelV>
          </wp:anchor>
        </w:drawing>
      </w:r>
      <w:r w:rsidRPr="007272EE">
        <w:t>January 2019</w:t>
      </w:r>
    </w:p>
    <w:p w14:paraId="669C5F39" w14:textId="77777777" w:rsidR="00814857" w:rsidRPr="00EF7759" w:rsidRDefault="00814857" w:rsidP="00EF7759">
      <w:pPr>
        <w:pStyle w:val="ARbullettimeline"/>
      </w:pPr>
      <w:r w:rsidRPr="000507A7">
        <w:t>Launch</w:t>
      </w:r>
      <w:r w:rsidRPr="00EF7759">
        <w:t xml:space="preserve"> of new wellbeing program for child protection staff</w:t>
      </w:r>
    </w:p>
    <w:p w14:paraId="17FDFABB" w14:textId="77777777" w:rsidR="00814857" w:rsidRPr="00EF7759" w:rsidRDefault="00814857" w:rsidP="00EF7759">
      <w:pPr>
        <w:pStyle w:val="ARbullettimeline"/>
      </w:pPr>
      <w:r w:rsidRPr="00EF7759">
        <w:t>Opening of an alcohol and other drug residential rehabilitation facility in the Grampians</w:t>
      </w:r>
    </w:p>
    <w:p w14:paraId="0588966D" w14:textId="327D677A" w:rsidR="00814857" w:rsidRPr="000507A7" w:rsidRDefault="00814857" w:rsidP="00EF7759">
      <w:pPr>
        <w:pStyle w:val="ARbullettimeline"/>
      </w:pPr>
      <w:r w:rsidRPr="00EF7759">
        <w:t>Bendigo and</w:t>
      </w:r>
      <w:r w:rsidRPr="001207AF">
        <w:t xml:space="preserve"> District Aboriginal Co-op</w:t>
      </w:r>
      <w:r>
        <w:t xml:space="preserve"> (BDAC)</w:t>
      </w:r>
      <w:r w:rsidRPr="001207AF">
        <w:t xml:space="preserve"> commences Aboriginal children in Aboriginal</w:t>
      </w:r>
      <w:r w:rsidR="0007489E">
        <w:t> </w:t>
      </w:r>
      <w:r w:rsidRPr="001207AF">
        <w:t>Care</w:t>
      </w:r>
    </w:p>
    <w:p w14:paraId="63FF99CE" w14:textId="77777777" w:rsidR="00814857" w:rsidRPr="007272EE" w:rsidRDefault="00814857" w:rsidP="00140921">
      <w:pPr>
        <w:pStyle w:val="Heading3dates"/>
      </w:pPr>
      <w:r w:rsidRPr="007272EE">
        <w:t>February 2019</w:t>
      </w:r>
    </w:p>
    <w:p w14:paraId="5FBC553E" w14:textId="77777777" w:rsidR="00814857" w:rsidRPr="000507A7" w:rsidRDefault="00814857" w:rsidP="00EF7759">
      <w:pPr>
        <w:pStyle w:val="ARbullettimeline"/>
      </w:pPr>
      <w:r w:rsidRPr="000507A7">
        <w:t>Release of terms of reference for Royal Commission into Victoria’s Mental Health System</w:t>
      </w:r>
    </w:p>
    <w:p w14:paraId="571F0A75" w14:textId="77777777" w:rsidR="00814857" w:rsidRPr="000507A7" w:rsidRDefault="00814857" w:rsidP="00EF7759">
      <w:pPr>
        <w:pStyle w:val="ARbullettimeline"/>
      </w:pPr>
      <w:r>
        <w:t>Opening of n</w:t>
      </w:r>
      <w:r w:rsidRPr="000507A7">
        <w:t>ew stroke care unit at Royal Melbourne Hospital</w:t>
      </w:r>
    </w:p>
    <w:p w14:paraId="5CE109A9" w14:textId="77777777" w:rsidR="00814857" w:rsidRPr="000507A7" w:rsidRDefault="00814857" w:rsidP="00EF7759">
      <w:pPr>
        <w:pStyle w:val="ARbullettimeline"/>
      </w:pPr>
      <w:r w:rsidRPr="000507A7">
        <w:t>Minimum nurse and midwife to patient ratios legislated</w:t>
      </w:r>
    </w:p>
    <w:p w14:paraId="403C8C75" w14:textId="6A94F647" w:rsidR="00814857" w:rsidRPr="000507A7" w:rsidRDefault="00814857" w:rsidP="00EF7759">
      <w:pPr>
        <w:pStyle w:val="ARbullettimeline"/>
      </w:pPr>
      <w:r>
        <w:t xml:space="preserve">Commencement of the </w:t>
      </w:r>
      <w:r w:rsidRPr="000507A7">
        <w:t>Victorian Comprehensive Cancer Centre’s Teletrials Program in</w:t>
      </w:r>
      <w:r w:rsidR="0007489E">
        <w:t> </w:t>
      </w:r>
      <w:r w:rsidRPr="000507A7">
        <w:t>Bendigo and Albury</w:t>
      </w:r>
    </w:p>
    <w:p w14:paraId="6DE54C34" w14:textId="72A79CF3" w:rsidR="00814857" w:rsidRPr="000507A7" w:rsidRDefault="00814857" w:rsidP="00EF7759">
      <w:pPr>
        <w:pStyle w:val="ARbullettimeline"/>
      </w:pPr>
      <w:r w:rsidRPr="000507A7">
        <w:t xml:space="preserve">Launch of the Preventing the Cycle of Violence Aboriginal Fund for Aboriginal </w:t>
      </w:r>
      <w:r w:rsidR="00EF7759">
        <w:br/>
      </w:r>
      <w:r w:rsidRPr="000507A7">
        <w:t>community-controlled organisations</w:t>
      </w:r>
    </w:p>
    <w:p w14:paraId="10A94FB8" w14:textId="77777777" w:rsidR="00814857" w:rsidRDefault="00814857" w:rsidP="00EF7759">
      <w:pPr>
        <w:pStyle w:val="ARbullettimeline"/>
      </w:pPr>
      <w:r w:rsidRPr="000507A7">
        <w:t>Opening of McAuley House Ballarat, offering integrated support to women who have experienced homelessness and family violence</w:t>
      </w:r>
    </w:p>
    <w:p w14:paraId="4A63FDD1" w14:textId="77777777" w:rsidR="00814857" w:rsidRPr="000507A7" w:rsidRDefault="00814857" w:rsidP="00EF7759">
      <w:pPr>
        <w:pStyle w:val="ARbullettimeline"/>
      </w:pPr>
      <w:r>
        <w:t>Aboriginal Children’s Forum held</w:t>
      </w:r>
    </w:p>
    <w:p w14:paraId="790D08B3" w14:textId="77777777" w:rsidR="00814857" w:rsidRPr="007272EE" w:rsidRDefault="00814857" w:rsidP="00140921">
      <w:pPr>
        <w:pStyle w:val="Heading3dates"/>
      </w:pPr>
      <w:r w:rsidRPr="007272EE">
        <w:t>March 2019</w:t>
      </w:r>
    </w:p>
    <w:p w14:paraId="0413A9B3" w14:textId="77777777" w:rsidR="00814857" w:rsidRPr="000507A7" w:rsidRDefault="00814857" w:rsidP="00EF7759">
      <w:pPr>
        <w:pStyle w:val="ARbullettimeline"/>
      </w:pPr>
      <w:r>
        <w:t>Opening of n</w:t>
      </w:r>
      <w:r w:rsidRPr="000507A7">
        <w:t>ew intensive care unit at Northern Hospital</w:t>
      </w:r>
    </w:p>
    <w:p w14:paraId="0161F672" w14:textId="77777777" w:rsidR="00814857" w:rsidRPr="000507A7" w:rsidRDefault="00814857" w:rsidP="00EF7759">
      <w:pPr>
        <w:pStyle w:val="ARbullettimeline"/>
      </w:pPr>
      <w:r w:rsidRPr="000507A7">
        <w:t>Commencement of expanded mandatory reporting to child protection</w:t>
      </w:r>
      <w:r>
        <w:t xml:space="preserve"> services</w:t>
      </w:r>
      <w:r w:rsidRPr="000507A7">
        <w:t xml:space="preserve"> to include those who work in out-of-home care (excluding voluntary foster and kinship carers), early childhood and youth justice, as well as registered psychologists</w:t>
      </w:r>
    </w:p>
    <w:p w14:paraId="1105CA18" w14:textId="77777777" w:rsidR="0099241F" w:rsidRPr="0099241F" w:rsidRDefault="0099241F" w:rsidP="0099241F">
      <w:pPr>
        <w:pStyle w:val="ARbody"/>
        <w:numPr>
          <w:ilvl w:val="0"/>
          <w:numId w:val="20"/>
        </w:numPr>
      </w:pPr>
      <w:r w:rsidRPr="0099241F">
        <w:br w:type="page"/>
      </w:r>
    </w:p>
    <w:p w14:paraId="54FC1632" w14:textId="77777777" w:rsidR="00814857" w:rsidRPr="007272EE" w:rsidRDefault="00814857" w:rsidP="00140921">
      <w:pPr>
        <w:pStyle w:val="Heading3dates"/>
      </w:pPr>
      <w:r>
        <w:rPr>
          <w:sz w:val="44"/>
          <w:szCs w:val="44"/>
        </w:rPr>
        <w:lastRenderedPageBreak/>
        <w:drawing>
          <wp:anchor distT="0" distB="0" distL="114300" distR="114300" simplePos="0" relativeHeight="251681792" behindDoc="1" locked="1" layoutInCell="1" allowOverlap="1" wp14:anchorId="24C2FEB3" wp14:editId="1A614227">
            <wp:simplePos x="0" y="0"/>
            <wp:positionH relativeFrom="page">
              <wp:posOffset>0</wp:posOffset>
            </wp:positionH>
            <wp:positionV relativeFrom="page">
              <wp:posOffset>0</wp:posOffset>
            </wp:positionV>
            <wp:extent cx="7563600" cy="9978480"/>
            <wp:effectExtent l="0" t="0" r="0" b="3810"/>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907417_DHHS Annual Report Timeline pages 1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63600" cy="9978480"/>
                    </a:xfrm>
                    <a:prstGeom prst="rect">
                      <a:avLst/>
                    </a:prstGeom>
                  </pic:spPr>
                </pic:pic>
              </a:graphicData>
            </a:graphic>
            <wp14:sizeRelH relativeFrom="page">
              <wp14:pctWidth>0</wp14:pctWidth>
            </wp14:sizeRelH>
            <wp14:sizeRelV relativeFrom="page">
              <wp14:pctHeight>0</wp14:pctHeight>
            </wp14:sizeRelV>
          </wp:anchor>
        </w:drawing>
      </w:r>
      <w:r w:rsidRPr="007272EE">
        <w:t>April 2019</w:t>
      </w:r>
    </w:p>
    <w:p w14:paraId="65EC6639" w14:textId="77777777" w:rsidR="00814857" w:rsidRPr="0007489E" w:rsidRDefault="00814857" w:rsidP="0007489E">
      <w:pPr>
        <w:pStyle w:val="ARbullettimeline"/>
      </w:pPr>
      <w:r w:rsidRPr="000507A7">
        <w:t>Statewide launc</w:t>
      </w:r>
      <w:r w:rsidRPr="0007489E">
        <w:t>h of SafeScript real-time prescription monitoring system</w:t>
      </w:r>
    </w:p>
    <w:p w14:paraId="391A8A00" w14:textId="6B96D495" w:rsidR="00814857" w:rsidRPr="0007489E" w:rsidRDefault="00814857" w:rsidP="0007489E">
      <w:pPr>
        <w:pStyle w:val="ARbullettimeline"/>
      </w:pPr>
      <w:r w:rsidRPr="0007489E">
        <w:t>Opening of multidisciplinary health clinics in Ballarat and Preston to support the needs</w:t>
      </w:r>
      <w:r w:rsidR="0007489E">
        <w:t> </w:t>
      </w:r>
      <w:r w:rsidRPr="0007489E">
        <w:t>of</w:t>
      </w:r>
      <w:r w:rsidR="0007489E">
        <w:t> </w:t>
      </w:r>
      <w:r w:rsidRPr="0007489E">
        <w:t>trans and gender diverse Victorians</w:t>
      </w:r>
    </w:p>
    <w:p w14:paraId="54F325EA" w14:textId="77777777" w:rsidR="00345066" w:rsidRDefault="00814857" w:rsidP="0007489E">
      <w:pPr>
        <w:pStyle w:val="ARbullettimeline"/>
      </w:pPr>
      <w:r w:rsidRPr="0007489E">
        <w:t>Launch of Home Stretc</w:t>
      </w:r>
      <w:r w:rsidRPr="000507A7">
        <w:t xml:space="preserve">h program to extend the age that young people in </w:t>
      </w:r>
      <w:r>
        <w:t>s</w:t>
      </w:r>
      <w:r w:rsidRPr="000507A7">
        <w:t xml:space="preserve">tate </w:t>
      </w:r>
      <w:r>
        <w:t>c</w:t>
      </w:r>
      <w:r w:rsidRPr="000507A7">
        <w:t>are can</w:t>
      </w:r>
      <w:r w:rsidR="0007489E">
        <w:t> </w:t>
      </w:r>
      <w:r w:rsidRPr="000507A7">
        <w:t>receive support from 18 to 21 years</w:t>
      </w:r>
    </w:p>
    <w:p w14:paraId="38B55093" w14:textId="10382514" w:rsidR="00814857" w:rsidRPr="000507A7" w:rsidRDefault="00814857" w:rsidP="0007489E">
      <w:pPr>
        <w:pStyle w:val="ARbullettimeline"/>
      </w:pPr>
      <w:r w:rsidRPr="000507A7">
        <w:t xml:space="preserve">Launch of </w:t>
      </w:r>
      <w:r w:rsidRPr="00CE5132">
        <w:rPr>
          <w:i/>
          <w:iCs/>
        </w:rPr>
        <w:t xml:space="preserve">Everybody </w:t>
      </w:r>
      <w:r>
        <w:rPr>
          <w:i/>
          <w:iCs/>
        </w:rPr>
        <w:t>m</w:t>
      </w:r>
      <w:r w:rsidRPr="00CE5132">
        <w:rPr>
          <w:i/>
          <w:iCs/>
        </w:rPr>
        <w:t>atters</w:t>
      </w:r>
      <w:r w:rsidRPr="000507A7">
        <w:t>, a 10-year inclusion and equity statement to ensure Victoria’s</w:t>
      </w:r>
      <w:r w:rsidR="0007489E">
        <w:t> </w:t>
      </w:r>
      <w:r w:rsidRPr="000507A7">
        <w:t>family violence system supports all Victorians</w:t>
      </w:r>
    </w:p>
    <w:p w14:paraId="1EE0E7CE" w14:textId="77777777" w:rsidR="00814857" w:rsidRPr="0007489E" w:rsidRDefault="00814857" w:rsidP="0007489E">
      <w:pPr>
        <w:pStyle w:val="ARbullettimeline"/>
      </w:pPr>
      <w:r>
        <w:t>F</w:t>
      </w:r>
      <w:r w:rsidRPr="000507A7">
        <w:t>ree flu vac</w:t>
      </w:r>
      <w:r w:rsidRPr="0007489E">
        <w:t>cination for children aged from six months to under five</w:t>
      </w:r>
    </w:p>
    <w:p w14:paraId="3529797E" w14:textId="77777777" w:rsidR="00814857" w:rsidRPr="0007489E" w:rsidRDefault="00814857" w:rsidP="0007489E">
      <w:pPr>
        <w:pStyle w:val="ARbullettimeline"/>
      </w:pPr>
      <w:r w:rsidRPr="0007489E">
        <w:t>Secondment of first group of disability staff to not-for-profit providers</w:t>
      </w:r>
    </w:p>
    <w:p w14:paraId="13269E55" w14:textId="3FAFDE77" w:rsidR="00814857" w:rsidRPr="0007489E" w:rsidRDefault="00814857" w:rsidP="0007489E">
      <w:pPr>
        <w:pStyle w:val="ARbullettimeline"/>
      </w:pPr>
      <w:r w:rsidRPr="0007489E">
        <w:t>First community consultations by the Royal Commission into Victoria’s Mental Health</w:t>
      </w:r>
      <w:r w:rsidR="0007489E">
        <w:t> </w:t>
      </w:r>
      <w:r w:rsidRPr="0007489E">
        <w:t>System</w:t>
      </w:r>
    </w:p>
    <w:p w14:paraId="4B94E843" w14:textId="77777777" w:rsidR="00814857" w:rsidRPr="0007489E" w:rsidRDefault="00814857" w:rsidP="0007489E">
      <w:pPr>
        <w:pStyle w:val="ARbullettimeline"/>
      </w:pPr>
      <w:r w:rsidRPr="0007489E">
        <w:t>COMPASS operation extended to Greater Bendigo and north-east Melbourne</w:t>
      </w:r>
    </w:p>
    <w:p w14:paraId="2A9F33D3" w14:textId="23CD33A6" w:rsidR="00814857" w:rsidRPr="000507A7" w:rsidRDefault="00814857" w:rsidP="0007489E">
      <w:pPr>
        <w:pStyle w:val="ARbullettimeline"/>
      </w:pPr>
      <w:r w:rsidRPr="0007489E">
        <w:t>Launched the Know</w:t>
      </w:r>
      <w:r w:rsidRPr="00DD56AB">
        <w:rPr>
          <w:iCs/>
        </w:rPr>
        <w:t xml:space="preserve"> Better, Be Better</w:t>
      </w:r>
      <w:r>
        <w:t xml:space="preserve"> anti-bullying and harassment campaign in</w:t>
      </w:r>
      <w:r w:rsidR="0007489E">
        <w:t> </w:t>
      </w:r>
      <w:r>
        <w:t>public</w:t>
      </w:r>
      <w:r w:rsidR="0007489E">
        <w:t> </w:t>
      </w:r>
      <w:r>
        <w:t>hospitals, including a trial of independent facilitators in six hospitals</w:t>
      </w:r>
    </w:p>
    <w:p w14:paraId="3893E531" w14:textId="77777777" w:rsidR="00814857" w:rsidRPr="007272EE" w:rsidRDefault="00814857" w:rsidP="00140921">
      <w:pPr>
        <w:pStyle w:val="Heading3dates"/>
      </w:pPr>
      <w:r w:rsidRPr="007272EE">
        <w:t>May 2019</w:t>
      </w:r>
    </w:p>
    <w:p w14:paraId="1CCC63D7" w14:textId="77777777" w:rsidR="00814857" w:rsidRPr="0007489E" w:rsidRDefault="00814857" w:rsidP="0007489E">
      <w:pPr>
        <w:pStyle w:val="ARbullettimeline"/>
      </w:pPr>
      <w:r w:rsidRPr="000507A7">
        <w:t>Opening of Joan K</w:t>
      </w:r>
      <w:r w:rsidRPr="0007489E">
        <w:t>irner Women’s and Children’s Hospital in Sunshine</w:t>
      </w:r>
    </w:p>
    <w:p w14:paraId="681EFD2E" w14:textId="38EA9CD4" w:rsidR="00814857" w:rsidRPr="0007489E" w:rsidRDefault="00814857" w:rsidP="0007489E">
      <w:pPr>
        <w:pStyle w:val="ARbullettimeline"/>
      </w:pPr>
      <w:r w:rsidRPr="0007489E">
        <w:t>Commencement of Ocular Genetics Service through a partnership between the</w:t>
      </w:r>
      <w:r w:rsidR="0007489E">
        <w:t> </w:t>
      </w:r>
      <w:r w:rsidRPr="0007489E">
        <w:t>Royal</w:t>
      </w:r>
      <w:r w:rsidR="0007489E">
        <w:t> </w:t>
      </w:r>
      <w:r w:rsidRPr="0007489E">
        <w:t>Victorian Eye and Ear Hospital and Royal Melbourne Hospital</w:t>
      </w:r>
    </w:p>
    <w:p w14:paraId="07E3B1E5" w14:textId="6FB8F40E" w:rsidR="00814857" w:rsidRPr="000507A7" w:rsidRDefault="00814857" w:rsidP="0007489E">
      <w:pPr>
        <w:pStyle w:val="ARbullettimeline"/>
      </w:pPr>
      <w:r w:rsidRPr="0007489E">
        <w:t xml:space="preserve">Opening of Melbourne City </w:t>
      </w:r>
      <w:r w:rsidRPr="000507A7">
        <w:t>Mission’s upgraded 24</w:t>
      </w:r>
      <w:r>
        <w:t>/</w:t>
      </w:r>
      <w:r w:rsidRPr="000507A7">
        <w:t>7 Frontyard youth refuge</w:t>
      </w:r>
    </w:p>
    <w:p w14:paraId="2626B6E3" w14:textId="77777777" w:rsidR="0099241F" w:rsidRPr="0099241F" w:rsidRDefault="0099241F" w:rsidP="0099241F">
      <w:pPr>
        <w:pStyle w:val="ARbody"/>
        <w:numPr>
          <w:ilvl w:val="0"/>
          <w:numId w:val="20"/>
        </w:numPr>
      </w:pPr>
      <w:r w:rsidRPr="0099241F">
        <w:br w:type="page"/>
      </w:r>
    </w:p>
    <w:p w14:paraId="4F6E487E" w14:textId="77777777" w:rsidR="00814857" w:rsidRPr="007272EE" w:rsidRDefault="00814857" w:rsidP="00140921">
      <w:pPr>
        <w:pStyle w:val="Heading3dates"/>
      </w:pPr>
      <w:r>
        <w:lastRenderedPageBreak/>
        <w:drawing>
          <wp:anchor distT="0" distB="0" distL="114300" distR="114300" simplePos="0" relativeHeight="251682816" behindDoc="1" locked="1" layoutInCell="1" allowOverlap="1" wp14:anchorId="2D3868EE" wp14:editId="56BE9726">
            <wp:simplePos x="0" y="0"/>
            <wp:positionH relativeFrom="page">
              <wp:posOffset>0</wp:posOffset>
            </wp:positionH>
            <wp:positionV relativeFrom="page">
              <wp:posOffset>0</wp:posOffset>
            </wp:positionV>
            <wp:extent cx="7563600" cy="9978480"/>
            <wp:effectExtent l="0" t="0" r="0" b="3810"/>
            <wp:wrapNone/>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907417_DHHS Annual Report Timeline pages 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563600" cy="9978480"/>
                    </a:xfrm>
                    <a:prstGeom prst="rect">
                      <a:avLst/>
                    </a:prstGeom>
                  </pic:spPr>
                </pic:pic>
              </a:graphicData>
            </a:graphic>
            <wp14:sizeRelH relativeFrom="page">
              <wp14:pctWidth>0</wp14:pctWidth>
            </wp14:sizeRelH>
            <wp14:sizeRelV relativeFrom="page">
              <wp14:pctHeight>0</wp14:pctHeight>
            </wp14:sizeRelV>
          </wp:anchor>
        </w:drawing>
      </w:r>
      <w:r w:rsidRPr="007272EE">
        <w:t>June 2019</w:t>
      </w:r>
    </w:p>
    <w:p w14:paraId="54DFE556" w14:textId="12496163" w:rsidR="00814857" w:rsidRPr="00182FA5" w:rsidRDefault="00814857" w:rsidP="0007489E">
      <w:pPr>
        <w:pStyle w:val="ARbullettimeline"/>
      </w:pPr>
      <w:r w:rsidRPr="00182FA5">
        <w:t xml:space="preserve">Signed the </w:t>
      </w:r>
      <w:r w:rsidR="009D25FB" w:rsidRPr="009D25FB">
        <w:t xml:space="preserve">National Disability Insurance Scheme </w:t>
      </w:r>
      <w:r w:rsidR="009D25FB">
        <w:t>(</w:t>
      </w:r>
      <w:r w:rsidRPr="00182FA5">
        <w:t>NDIS</w:t>
      </w:r>
      <w:r w:rsidR="009D25FB">
        <w:t>)</w:t>
      </w:r>
      <w:r w:rsidRPr="00182FA5">
        <w:t xml:space="preserve"> full scheme agreement between the Commonwealth and Victoria to</w:t>
      </w:r>
      <w:r w:rsidR="0007489E">
        <w:t> </w:t>
      </w:r>
      <w:r w:rsidRPr="00182FA5">
        <w:t>take</w:t>
      </w:r>
      <w:r w:rsidR="0007489E">
        <w:t> </w:t>
      </w:r>
      <w:r w:rsidRPr="00182FA5">
        <w:t>effect on 1 July 2019</w:t>
      </w:r>
    </w:p>
    <w:p w14:paraId="2C6DECBC" w14:textId="71C5C10E" w:rsidR="00814857" w:rsidRPr="00182FA5" w:rsidRDefault="00814857" w:rsidP="0007489E">
      <w:pPr>
        <w:pStyle w:val="ARbullettimeline"/>
      </w:pPr>
      <w:r w:rsidRPr="00182FA5">
        <w:t xml:space="preserve">Passage of the </w:t>
      </w:r>
      <w:r w:rsidRPr="00182FA5">
        <w:rPr>
          <w:i/>
          <w:iCs/>
        </w:rPr>
        <w:t>Disability (NDIS Transition) Act 2019</w:t>
      </w:r>
      <w:r w:rsidRPr="00182FA5">
        <w:t xml:space="preserve"> supporting Victoria’s transition to</w:t>
      </w:r>
      <w:r w:rsidR="0007489E">
        <w:t> </w:t>
      </w:r>
      <w:r w:rsidRPr="00182FA5">
        <w:t>the</w:t>
      </w:r>
      <w:r w:rsidR="0007489E">
        <w:t> </w:t>
      </w:r>
      <w:r w:rsidRPr="00182FA5">
        <w:t>NDIS</w:t>
      </w:r>
    </w:p>
    <w:p w14:paraId="101FAFA2" w14:textId="649ED510" w:rsidR="00814857" w:rsidRPr="0007489E" w:rsidRDefault="00814857" w:rsidP="0007489E">
      <w:pPr>
        <w:pStyle w:val="ARbullettimeline"/>
      </w:pPr>
      <w:r w:rsidRPr="000507A7">
        <w:t>Openin</w:t>
      </w:r>
      <w:r w:rsidRPr="0007489E">
        <w:t>g of Centre for Cancer Immunotherapy at the Victorian Comprehensive Cancer</w:t>
      </w:r>
      <w:r w:rsidR="0007489E">
        <w:t> </w:t>
      </w:r>
      <w:r w:rsidRPr="0007489E">
        <w:t>Centre</w:t>
      </w:r>
    </w:p>
    <w:p w14:paraId="2AA18A55" w14:textId="77777777" w:rsidR="00814857" w:rsidRPr="0007489E" w:rsidRDefault="00814857" w:rsidP="0007489E">
      <w:pPr>
        <w:pStyle w:val="ARbullettimeline"/>
      </w:pPr>
      <w:r w:rsidRPr="0007489E">
        <w:t>Opening of Ozanam House redevelopment</w:t>
      </w:r>
    </w:p>
    <w:p w14:paraId="1244A65D" w14:textId="77777777" w:rsidR="00814857" w:rsidRPr="0007489E" w:rsidRDefault="00814857" w:rsidP="0007489E">
      <w:pPr>
        <w:pStyle w:val="ARbullettimeline"/>
      </w:pPr>
      <w:r w:rsidRPr="0007489E">
        <w:t>Safer Baby Collaborative begins aiming to reduce rate of stillbirths by 20 per cent</w:t>
      </w:r>
    </w:p>
    <w:p w14:paraId="6EAEFC33" w14:textId="77777777" w:rsidR="00814857" w:rsidRPr="0007489E" w:rsidRDefault="00814857" w:rsidP="0007489E">
      <w:pPr>
        <w:pStyle w:val="ARbullettimeline"/>
      </w:pPr>
      <w:r w:rsidRPr="0007489E">
        <w:t>Launch of the department’s Aboriginal and Torres Strait Islander cultural safety framework</w:t>
      </w:r>
    </w:p>
    <w:p w14:paraId="4A0E1621" w14:textId="77777777" w:rsidR="00814857" w:rsidRPr="0007489E" w:rsidRDefault="00814857" w:rsidP="0007489E">
      <w:pPr>
        <w:pStyle w:val="ARbullettimeline"/>
      </w:pPr>
      <w:r w:rsidRPr="0007489E">
        <w:t>Official opening of the $20 million Melton Health Hub</w:t>
      </w:r>
    </w:p>
    <w:p w14:paraId="1973D585" w14:textId="39431997" w:rsidR="00814857" w:rsidRPr="0007489E" w:rsidRDefault="00814857" w:rsidP="0007489E">
      <w:pPr>
        <w:pStyle w:val="ARbullettimeline"/>
      </w:pPr>
      <w:r w:rsidRPr="0007489E">
        <w:t>Assisted Reproductive Treatment Amendment (Consent) Bill introduced and passed in</w:t>
      </w:r>
      <w:r w:rsidR="0007489E">
        <w:t> </w:t>
      </w:r>
      <w:r w:rsidRPr="0007489E">
        <w:t>the</w:t>
      </w:r>
      <w:r w:rsidR="0007489E">
        <w:t> </w:t>
      </w:r>
      <w:r w:rsidRPr="0007489E">
        <w:t>Legislative Assembly of the Victorian Parliament</w:t>
      </w:r>
    </w:p>
    <w:p w14:paraId="0BD30784" w14:textId="77777777" w:rsidR="00814857" w:rsidRPr="000507A7" w:rsidRDefault="00814857" w:rsidP="0007489E">
      <w:pPr>
        <w:pStyle w:val="ARbullettimeline"/>
      </w:pPr>
      <w:r w:rsidRPr="0007489E">
        <w:t>Aboriginal Childre</w:t>
      </w:r>
      <w:r>
        <w:t>n’s Forum held</w:t>
      </w:r>
    </w:p>
    <w:p w14:paraId="39D40F45" w14:textId="77777777" w:rsidR="00814857" w:rsidRPr="007939DD" w:rsidRDefault="00814857" w:rsidP="00B550B1">
      <w:pPr>
        <w:pStyle w:val="ARbody"/>
        <w:sectPr w:rsidR="00814857" w:rsidRPr="007939DD" w:rsidSect="0099241F">
          <w:endnotePr>
            <w:numFmt w:val="decimal"/>
          </w:endnotePr>
          <w:pgSz w:w="11900" w:h="16840" w:code="9"/>
          <w:pgMar w:top="3402" w:right="1701" w:bottom="851" w:left="1701" w:header="510" w:footer="340" w:gutter="0"/>
          <w:cols w:space="454"/>
        </w:sectPr>
      </w:pPr>
    </w:p>
    <w:p w14:paraId="175AAC60" w14:textId="77777777" w:rsidR="00814857" w:rsidRDefault="00814857" w:rsidP="00BD3806">
      <w:pPr>
        <w:pStyle w:val="Heading2"/>
        <w:spacing w:before="0"/>
      </w:pPr>
      <w:bookmarkStart w:id="22" w:name="_Hlk17910904"/>
      <w:bookmarkStart w:id="23" w:name="_Hlk18409945"/>
      <w:r>
        <w:lastRenderedPageBreak/>
        <w:t>At a glance</w:t>
      </w:r>
    </w:p>
    <w:p w14:paraId="0C939E58" w14:textId="77777777" w:rsidR="00814857" w:rsidRDefault="00814857" w:rsidP="00BD3806">
      <w:pPr>
        <w:pStyle w:val="Heading3"/>
      </w:pPr>
      <w:bookmarkStart w:id="24" w:name="_Hlk18578007"/>
      <w:bookmarkStart w:id="25" w:name="_Hlk18577898"/>
      <w:bookmarkEnd w:id="22"/>
      <w:r>
        <w:t>Health and Ambulance Services</w:t>
      </w:r>
    </w:p>
    <w:tbl>
      <w:tblPr>
        <w:tblStyle w:val="TableGrid10"/>
        <w:tblW w:w="9571" w:type="dxa"/>
        <w:tblBorders>
          <w:top w:val="single" w:sz="24" w:space="0" w:color="004C97"/>
          <w:left w:val="single" w:sz="24" w:space="0" w:color="004C97"/>
          <w:bottom w:val="single" w:sz="24" w:space="0" w:color="004C97"/>
          <w:right w:val="single" w:sz="24" w:space="0" w:color="004C97"/>
          <w:insideH w:val="single" w:sz="24" w:space="0" w:color="004C97"/>
          <w:insideV w:val="single" w:sz="24" w:space="0" w:color="004C97"/>
        </w:tblBorders>
        <w:tblCellMar>
          <w:top w:w="108" w:type="dxa"/>
          <w:bottom w:w="108" w:type="dxa"/>
        </w:tblCellMar>
        <w:tblLook w:val="0600" w:firstRow="0" w:lastRow="0" w:firstColumn="0" w:lastColumn="0" w:noHBand="1" w:noVBand="1"/>
      </w:tblPr>
      <w:tblGrid>
        <w:gridCol w:w="3190"/>
        <w:gridCol w:w="3190"/>
        <w:gridCol w:w="3191"/>
      </w:tblGrid>
      <w:tr w:rsidR="00814857" w14:paraId="51779B37" w14:textId="77777777" w:rsidTr="00490E16">
        <w:tc>
          <w:tcPr>
            <w:tcW w:w="1665" w:type="pct"/>
            <w:tcBorders>
              <w:top w:val="single" w:sz="48" w:space="0" w:color="004C97"/>
              <w:left w:val="single" w:sz="48" w:space="0" w:color="004C97"/>
            </w:tcBorders>
            <w:vAlign w:val="center"/>
          </w:tcPr>
          <w:p w14:paraId="162E43AE" w14:textId="1897D92C" w:rsidR="00814857" w:rsidRDefault="00814857" w:rsidP="00C50796">
            <w:pPr>
              <w:pStyle w:val="ARbody"/>
              <w:jc w:val="center"/>
            </w:pPr>
            <w:bookmarkStart w:id="26" w:name="_GoBack"/>
            <w:r>
              <w:rPr>
                <w:noProof/>
              </w:rPr>
              <w:drawing>
                <wp:inline distT="0" distB="0" distL="0" distR="0" wp14:anchorId="6BC40A44" wp14:editId="2D5CAF88">
                  <wp:extent cx="1837080" cy="2176560"/>
                  <wp:effectExtent l="0" t="0" r="0" b="0"/>
                  <wp:docPr id="286" name="Picture 286" descr="$200 million to open new Joan Kirner Women’s and Children’s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837080" cy="2176560"/>
                          </a:xfrm>
                          <a:prstGeom prst="rect">
                            <a:avLst/>
                          </a:prstGeom>
                          <a:noFill/>
                          <a:ln>
                            <a:noFill/>
                          </a:ln>
                        </pic:spPr>
                      </pic:pic>
                    </a:graphicData>
                  </a:graphic>
                </wp:inline>
              </w:drawing>
            </w:r>
            <w:bookmarkEnd w:id="26"/>
          </w:p>
        </w:tc>
        <w:tc>
          <w:tcPr>
            <w:tcW w:w="1665" w:type="pct"/>
            <w:tcBorders>
              <w:top w:val="single" w:sz="48" w:space="0" w:color="004C97"/>
            </w:tcBorders>
            <w:vAlign w:val="center"/>
          </w:tcPr>
          <w:p w14:paraId="07E7160C" w14:textId="77777777" w:rsidR="00814857" w:rsidRDefault="00814857" w:rsidP="00C50796">
            <w:pPr>
              <w:pStyle w:val="ARbody"/>
              <w:jc w:val="center"/>
            </w:pPr>
            <w:r>
              <w:rPr>
                <w:noProof/>
                <w:lang w:eastAsia="en-AU"/>
              </w:rPr>
              <w:drawing>
                <wp:inline distT="0" distB="0" distL="0" distR="0" wp14:anchorId="2EEAC3FB" wp14:editId="6891CBF4">
                  <wp:extent cx="1786132" cy="2145796"/>
                  <wp:effectExtent l="0" t="0" r="5080" b="6985"/>
                  <wp:docPr id="55" name="Picture 55" descr="95.7% of children fully immunised before &#10;start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ealth-infographics_children immunised (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86132" cy="2145796"/>
                          </a:xfrm>
                          <a:prstGeom prst="rect">
                            <a:avLst/>
                          </a:prstGeom>
                        </pic:spPr>
                      </pic:pic>
                    </a:graphicData>
                  </a:graphic>
                </wp:inline>
              </w:drawing>
            </w:r>
          </w:p>
        </w:tc>
        <w:tc>
          <w:tcPr>
            <w:tcW w:w="1665" w:type="pct"/>
            <w:tcBorders>
              <w:top w:val="single" w:sz="48" w:space="0" w:color="004C97"/>
              <w:right w:val="single" w:sz="48" w:space="0" w:color="004C97"/>
            </w:tcBorders>
            <w:vAlign w:val="center"/>
          </w:tcPr>
          <w:p w14:paraId="474587CD" w14:textId="77777777" w:rsidR="00814857" w:rsidRDefault="00814857" w:rsidP="00C50796">
            <w:pPr>
              <w:pStyle w:val="ARbody"/>
              <w:jc w:val="center"/>
              <w:rPr>
                <w:noProof/>
              </w:rPr>
            </w:pPr>
            <w:r>
              <w:rPr>
                <w:noProof/>
                <w:lang w:eastAsia="en-AU"/>
              </w:rPr>
              <w:drawing>
                <wp:inline distT="0" distB="0" distL="0" distR="0" wp14:anchorId="1F87EBA8" wp14:editId="6A129CCB">
                  <wp:extent cx="1786132" cy="2145796"/>
                  <wp:effectExtent l="0" t="0" r="5080" b="6985"/>
                  <wp:docPr id="280" name="Picture 280" descr="91% elective surgery patients treated o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Health-infographics_elective surgery (3).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86132" cy="2145796"/>
                          </a:xfrm>
                          <a:prstGeom prst="rect">
                            <a:avLst/>
                          </a:prstGeom>
                        </pic:spPr>
                      </pic:pic>
                    </a:graphicData>
                  </a:graphic>
                </wp:inline>
              </w:drawing>
            </w:r>
          </w:p>
        </w:tc>
      </w:tr>
      <w:tr w:rsidR="00814857" w14:paraId="5BB23E9F" w14:textId="77777777" w:rsidTr="00490E16">
        <w:tc>
          <w:tcPr>
            <w:tcW w:w="1665" w:type="pct"/>
            <w:tcBorders>
              <w:top w:val="single" w:sz="48" w:space="0" w:color="004C97"/>
              <w:left w:val="single" w:sz="48" w:space="0" w:color="004C97"/>
              <w:bottom w:val="single" w:sz="48" w:space="0" w:color="004C97"/>
            </w:tcBorders>
            <w:vAlign w:val="center"/>
          </w:tcPr>
          <w:p w14:paraId="748A5B5A" w14:textId="77777777" w:rsidR="00814857" w:rsidRDefault="00814857" w:rsidP="00C50796">
            <w:pPr>
              <w:pStyle w:val="ARbody"/>
              <w:jc w:val="center"/>
              <w:rPr>
                <w:noProof/>
              </w:rPr>
            </w:pPr>
            <w:r>
              <w:rPr>
                <w:noProof/>
                <w:lang w:eastAsia="en-AU"/>
              </w:rPr>
              <w:drawing>
                <wp:inline distT="0" distB="0" distL="0" distR="0" wp14:anchorId="074AA50A" wp14:editId="2B4E675E">
                  <wp:extent cx="1786132" cy="2145796"/>
                  <wp:effectExtent l="0" t="0" r="5080" b="6985"/>
                  <wp:docPr id="47" name="Picture 47" descr="83.9 per cent of Code 1 patients attended to by ambulance in 1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ealth-infographics_Code 1 (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86132" cy="2145796"/>
                          </a:xfrm>
                          <a:prstGeom prst="rect">
                            <a:avLst/>
                          </a:prstGeom>
                        </pic:spPr>
                      </pic:pic>
                    </a:graphicData>
                  </a:graphic>
                </wp:inline>
              </w:drawing>
            </w:r>
          </w:p>
        </w:tc>
        <w:tc>
          <w:tcPr>
            <w:tcW w:w="1665" w:type="pct"/>
            <w:tcBorders>
              <w:top w:val="single" w:sz="48" w:space="0" w:color="004C97"/>
              <w:bottom w:val="single" w:sz="48" w:space="0" w:color="004C97"/>
            </w:tcBorders>
            <w:vAlign w:val="center"/>
          </w:tcPr>
          <w:p w14:paraId="7ADF8BBF" w14:textId="77777777" w:rsidR="00814857" w:rsidRDefault="00814857" w:rsidP="00C50796">
            <w:pPr>
              <w:pStyle w:val="ARbody"/>
              <w:jc w:val="center"/>
              <w:rPr>
                <w:noProof/>
              </w:rPr>
            </w:pPr>
            <w:r>
              <w:rPr>
                <w:noProof/>
                <w:lang w:eastAsia="en-AU"/>
              </w:rPr>
              <w:drawing>
                <wp:inline distT="0" distB="0" distL="0" distR="0" wp14:anchorId="7B045A2B" wp14:editId="7655F65E">
                  <wp:extent cx="1807560" cy="2194920"/>
                  <wp:effectExtent l="0" t="0" r="2540" b="0"/>
                  <wp:docPr id="261" name="Picture 261" descr="An extra 600 nurses and midwives employed to improve patient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Health-infographics_extra nurses (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07560" cy="2194920"/>
                          </a:xfrm>
                          <a:prstGeom prst="rect">
                            <a:avLst/>
                          </a:prstGeom>
                        </pic:spPr>
                      </pic:pic>
                    </a:graphicData>
                  </a:graphic>
                </wp:inline>
              </w:drawing>
            </w:r>
          </w:p>
        </w:tc>
        <w:tc>
          <w:tcPr>
            <w:tcW w:w="1665" w:type="pct"/>
            <w:tcBorders>
              <w:top w:val="single" w:sz="48" w:space="0" w:color="004C97"/>
              <w:bottom w:val="single" w:sz="48" w:space="0" w:color="004C97"/>
              <w:right w:val="single" w:sz="48" w:space="0" w:color="004C97"/>
            </w:tcBorders>
            <w:vAlign w:val="center"/>
          </w:tcPr>
          <w:p w14:paraId="6D01088F" w14:textId="77777777" w:rsidR="00814857" w:rsidRDefault="00814857" w:rsidP="00C50796">
            <w:pPr>
              <w:pStyle w:val="ARbody"/>
              <w:jc w:val="center"/>
              <w:rPr>
                <w:noProof/>
              </w:rPr>
            </w:pPr>
            <w:r>
              <w:rPr>
                <w:noProof/>
                <w:lang w:eastAsia="en-AU"/>
              </w:rPr>
              <w:drawing>
                <wp:inline distT="0" distB="0" distL="0" distR="0" wp14:anchorId="466C2C92" wp14:editId="0DC71B37">
                  <wp:extent cx="1786132" cy="2142753"/>
                  <wp:effectExtent l="0" t="0" r="5080" b="0"/>
                  <wp:docPr id="59" name="Picture 59" descr="$6.7 million invested in statewide rollout of SafeScrip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Health-infographics_Safe Script.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86132" cy="2142753"/>
                          </a:xfrm>
                          <a:prstGeom prst="rect">
                            <a:avLst/>
                          </a:prstGeom>
                        </pic:spPr>
                      </pic:pic>
                    </a:graphicData>
                  </a:graphic>
                </wp:inline>
              </w:drawing>
            </w:r>
          </w:p>
        </w:tc>
      </w:tr>
      <w:bookmarkEnd w:id="24"/>
    </w:tbl>
    <w:p w14:paraId="3642F6D6" w14:textId="77777777" w:rsidR="0099241F" w:rsidRPr="0099241F" w:rsidRDefault="0099241F" w:rsidP="0099241F">
      <w:pPr>
        <w:pStyle w:val="ARbody"/>
      </w:pPr>
      <w:r w:rsidRPr="0099241F">
        <w:br w:type="page"/>
      </w:r>
    </w:p>
    <w:p w14:paraId="4632FAB3" w14:textId="77777777" w:rsidR="00814857" w:rsidRPr="002C5CDB" w:rsidRDefault="00814857" w:rsidP="00D11DEE">
      <w:pPr>
        <w:pStyle w:val="Heading3"/>
      </w:pPr>
      <w:r>
        <w:lastRenderedPageBreak/>
        <w:t>Disability, Ageing and Carers</w:t>
      </w:r>
      <w:bookmarkStart w:id="27" w:name="_Hlk17905568"/>
    </w:p>
    <w:tbl>
      <w:tblPr>
        <w:tblStyle w:val="TableGrid10"/>
        <w:tblW w:w="5000" w:type="pct"/>
        <w:tblBorders>
          <w:top w:val="single" w:sz="48" w:space="0" w:color="004C97"/>
          <w:left w:val="single" w:sz="48" w:space="0" w:color="004C97"/>
          <w:bottom w:val="single" w:sz="48" w:space="0" w:color="004C97"/>
          <w:right w:val="single" w:sz="48" w:space="0" w:color="004C97"/>
          <w:insideH w:val="single" w:sz="24" w:space="0" w:color="004C97"/>
          <w:insideV w:val="single" w:sz="24" w:space="0" w:color="004C97"/>
        </w:tblBorders>
        <w:tblCellMar>
          <w:top w:w="108" w:type="dxa"/>
          <w:bottom w:w="108" w:type="dxa"/>
        </w:tblCellMar>
        <w:tblLook w:val="0600" w:firstRow="0" w:lastRow="0" w:firstColumn="0" w:lastColumn="0" w:noHBand="1" w:noVBand="1"/>
      </w:tblPr>
      <w:tblGrid>
        <w:gridCol w:w="3170"/>
        <w:gridCol w:w="3170"/>
        <w:gridCol w:w="3171"/>
      </w:tblGrid>
      <w:tr w:rsidR="00814857" w14:paraId="2D72B476" w14:textId="77777777" w:rsidTr="00490E16">
        <w:tc>
          <w:tcPr>
            <w:tcW w:w="1665" w:type="pct"/>
            <w:vAlign w:val="center"/>
          </w:tcPr>
          <w:p w14:paraId="2CC86C96" w14:textId="77777777" w:rsidR="00814857" w:rsidRPr="00D11DEE" w:rsidRDefault="00814857" w:rsidP="00C50796">
            <w:pPr>
              <w:pStyle w:val="ARbody"/>
              <w:jc w:val="center"/>
            </w:pPr>
            <w:r>
              <w:rPr>
                <w:noProof/>
                <w:lang w:eastAsia="en-AU"/>
              </w:rPr>
              <w:drawing>
                <wp:inline distT="0" distB="0" distL="0" distR="0" wp14:anchorId="1C848860" wp14:editId="72E36A69">
                  <wp:extent cx="1722600" cy="2098080"/>
                  <wp:effectExtent l="0" t="0" r="0" b="0"/>
                  <wp:docPr id="292" name="Picture 292" descr="77,168 Victorians with a disability transitioned to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Disability-infographics_Victorians transitioned (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22600" cy="2098080"/>
                          </a:xfrm>
                          <a:prstGeom prst="rect">
                            <a:avLst/>
                          </a:prstGeom>
                        </pic:spPr>
                      </pic:pic>
                    </a:graphicData>
                  </a:graphic>
                </wp:inline>
              </w:drawing>
            </w:r>
          </w:p>
        </w:tc>
        <w:tc>
          <w:tcPr>
            <w:tcW w:w="1665" w:type="pct"/>
            <w:vAlign w:val="center"/>
          </w:tcPr>
          <w:p w14:paraId="1FFA7BE1" w14:textId="77777777" w:rsidR="00814857" w:rsidRPr="00D11DEE" w:rsidRDefault="00814857" w:rsidP="00C50796">
            <w:pPr>
              <w:pStyle w:val="ARbody"/>
              <w:jc w:val="center"/>
            </w:pPr>
            <w:r>
              <w:rPr>
                <w:noProof/>
                <w:lang w:eastAsia="en-AU"/>
              </w:rPr>
              <w:drawing>
                <wp:inline distT="0" distB="0" distL="0" distR="0" wp14:anchorId="2EDCC6A9" wp14:editId="14A4A321">
                  <wp:extent cx="1650960" cy="2161080"/>
                  <wp:effectExtent l="0" t="0" r="6985" b="0"/>
                  <wp:docPr id="23" name="Picture 23" descr="178 public sector residential aged care services ope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sability-infographics_public secto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50960" cy="2161080"/>
                          </a:xfrm>
                          <a:prstGeom prst="rect">
                            <a:avLst/>
                          </a:prstGeom>
                        </pic:spPr>
                      </pic:pic>
                    </a:graphicData>
                  </a:graphic>
                </wp:inline>
              </w:drawing>
            </w:r>
          </w:p>
        </w:tc>
        <w:tc>
          <w:tcPr>
            <w:tcW w:w="1665" w:type="pct"/>
            <w:vAlign w:val="center"/>
          </w:tcPr>
          <w:p w14:paraId="676F21DB" w14:textId="77777777" w:rsidR="00814857" w:rsidRPr="00D11DEE" w:rsidRDefault="00814857" w:rsidP="00C50796">
            <w:pPr>
              <w:pStyle w:val="ARbody"/>
              <w:jc w:val="center"/>
            </w:pPr>
            <w:r>
              <w:rPr>
                <w:noProof/>
                <w:lang w:eastAsia="en-AU"/>
              </w:rPr>
              <w:drawing>
                <wp:inline distT="0" distB="0" distL="0" distR="0" wp14:anchorId="23DD38DA" wp14:editId="5D85F5AB">
                  <wp:extent cx="1793160" cy="2161080"/>
                  <wp:effectExtent l="0" t="0" r="0" b="0"/>
                  <wp:docPr id="291" name="Picture 291" descr="Over 5,500 staff transferred to non-government organisations as part of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Disability-infographics_staff transferred (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93160" cy="2161080"/>
                          </a:xfrm>
                          <a:prstGeom prst="rect">
                            <a:avLst/>
                          </a:prstGeom>
                        </pic:spPr>
                      </pic:pic>
                    </a:graphicData>
                  </a:graphic>
                </wp:inline>
              </w:drawing>
            </w:r>
          </w:p>
        </w:tc>
      </w:tr>
      <w:tr w:rsidR="00814857" w14:paraId="57984661" w14:textId="77777777" w:rsidTr="00490E16">
        <w:tc>
          <w:tcPr>
            <w:tcW w:w="1665" w:type="pct"/>
            <w:vAlign w:val="center"/>
          </w:tcPr>
          <w:p w14:paraId="2481EDE8" w14:textId="77777777" w:rsidR="00814857" w:rsidRPr="00D11DEE" w:rsidRDefault="00814857" w:rsidP="00C50796">
            <w:pPr>
              <w:pStyle w:val="ARbody"/>
              <w:jc w:val="center"/>
            </w:pPr>
            <w:r>
              <w:rPr>
                <w:noProof/>
                <w:lang w:eastAsia="en-AU"/>
              </w:rPr>
              <w:drawing>
                <wp:inline distT="0" distB="0" distL="0" distR="0" wp14:anchorId="7ECEBA67" wp14:editId="43FB61EE">
                  <wp:extent cx="1661760" cy="2182680"/>
                  <wp:effectExtent l="0" t="0" r="0" b="8255"/>
                  <wp:docPr id="15" name="Picture 15" descr="347 Victorian supported accommodation properties upgr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sability-infographics_properties upgraded.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61760" cy="2182680"/>
                          </a:xfrm>
                          <a:prstGeom prst="rect">
                            <a:avLst/>
                          </a:prstGeom>
                        </pic:spPr>
                      </pic:pic>
                    </a:graphicData>
                  </a:graphic>
                </wp:inline>
              </w:drawing>
            </w:r>
          </w:p>
        </w:tc>
        <w:tc>
          <w:tcPr>
            <w:tcW w:w="1665" w:type="pct"/>
            <w:vAlign w:val="center"/>
          </w:tcPr>
          <w:p w14:paraId="2790AB5C" w14:textId="77777777" w:rsidR="00814857" w:rsidRPr="00D11DEE" w:rsidRDefault="00814857" w:rsidP="00C50796">
            <w:pPr>
              <w:pStyle w:val="ARbody"/>
              <w:jc w:val="center"/>
            </w:pPr>
            <w:r>
              <w:rPr>
                <w:noProof/>
                <w:lang w:eastAsia="en-AU"/>
              </w:rPr>
              <w:drawing>
                <wp:inline distT="0" distB="0" distL="0" distR="0" wp14:anchorId="24A5EAB7" wp14:editId="722E6633">
                  <wp:extent cx="1801372" cy="2161036"/>
                  <wp:effectExtent l="0" t="0" r="8890" b="0"/>
                  <wp:docPr id="20" name="Picture 20" descr="$19.3 million provided for respite and support for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sability-infographics_respite and support (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01372" cy="2161036"/>
                          </a:xfrm>
                          <a:prstGeom prst="rect">
                            <a:avLst/>
                          </a:prstGeom>
                        </pic:spPr>
                      </pic:pic>
                    </a:graphicData>
                  </a:graphic>
                </wp:inline>
              </w:drawing>
            </w:r>
          </w:p>
        </w:tc>
        <w:tc>
          <w:tcPr>
            <w:tcW w:w="1665" w:type="pct"/>
            <w:vAlign w:val="center"/>
          </w:tcPr>
          <w:p w14:paraId="740AA63C" w14:textId="77777777" w:rsidR="00814857" w:rsidRPr="00D11DEE" w:rsidRDefault="00814857" w:rsidP="00C50796">
            <w:pPr>
              <w:pStyle w:val="ARbody"/>
              <w:jc w:val="center"/>
            </w:pPr>
            <w:r>
              <w:rPr>
                <w:noProof/>
                <w:lang w:eastAsia="en-AU"/>
              </w:rPr>
              <w:drawing>
                <wp:inline distT="0" distB="0" distL="0" distR="0" wp14:anchorId="49B88AE8" wp14:editId="14C2D29B">
                  <wp:extent cx="1764720" cy="2139480"/>
                  <wp:effectExtent l="0" t="0" r="6985" b="0"/>
                  <wp:docPr id="54" name="Picture 54" descr="40 Changing Places facilities opened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isability-infographics_changing places 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64720" cy="2139480"/>
                          </a:xfrm>
                          <a:prstGeom prst="rect">
                            <a:avLst/>
                          </a:prstGeom>
                        </pic:spPr>
                      </pic:pic>
                    </a:graphicData>
                  </a:graphic>
                </wp:inline>
              </w:drawing>
            </w:r>
          </w:p>
        </w:tc>
      </w:tr>
    </w:tbl>
    <w:p w14:paraId="42043773" w14:textId="77777777" w:rsidR="0099241F" w:rsidRPr="0099241F" w:rsidRDefault="0099241F" w:rsidP="0099241F">
      <w:pPr>
        <w:pStyle w:val="ARbody"/>
      </w:pPr>
      <w:bookmarkStart w:id="28" w:name="_Hlk18589181"/>
      <w:bookmarkEnd w:id="25"/>
      <w:r w:rsidRPr="0099241F">
        <w:br w:type="page"/>
      </w:r>
    </w:p>
    <w:p w14:paraId="71E33312" w14:textId="77777777" w:rsidR="00814857" w:rsidRDefault="00814857" w:rsidP="00FA0DAF">
      <w:pPr>
        <w:pStyle w:val="Heading3"/>
      </w:pPr>
      <w:r>
        <w:lastRenderedPageBreak/>
        <w:t>Housing</w:t>
      </w:r>
    </w:p>
    <w:tbl>
      <w:tblPr>
        <w:tblStyle w:val="TableGrid10"/>
        <w:tblW w:w="9571" w:type="dxa"/>
        <w:tblBorders>
          <w:top w:val="single" w:sz="24" w:space="0" w:color="004C97"/>
          <w:left w:val="single" w:sz="24" w:space="0" w:color="004C97"/>
          <w:bottom w:val="single" w:sz="24" w:space="0" w:color="004C97"/>
          <w:right w:val="single" w:sz="24" w:space="0" w:color="004C97"/>
          <w:insideH w:val="single" w:sz="24" w:space="0" w:color="004C97"/>
          <w:insideV w:val="single" w:sz="24" w:space="0" w:color="004C97"/>
        </w:tblBorders>
        <w:tblCellMar>
          <w:top w:w="108" w:type="dxa"/>
          <w:bottom w:w="108" w:type="dxa"/>
        </w:tblCellMar>
        <w:tblLook w:val="0600" w:firstRow="0" w:lastRow="0" w:firstColumn="0" w:lastColumn="0" w:noHBand="1" w:noVBand="1"/>
      </w:tblPr>
      <w:tblGrid>
        <w:gridCol w:w="3190"/>
        <w:gridCol w:w="3190"/>
        <w:gridCol w:w="3191"/>
      </w:tblGrid>
      <w:tr w:rsidR="00814857" w14:paraId="52A4928D" w14:textId="77777777" w:rsidTr="00490E16">
        <w:tc>
          <w:tcPr>
            <w:tcW w:w="1665" w:type="pct"/>
            <w:tcBorders>
              <w:top w:val="single" w:sz="48" w:space="0" w:color="004C97"/>
              <w:left w:val="single" w:sz="48" w:space="0" w:color="004C97"/>
            </w:tcBorders>
            <w:vAlign w:val="center"/>
          </w:tcPr>
          <w:p w14:paraId="342B3865" w14:textId="77777777" w:rsidR="00814857" w:rsidRDefault="00814857" w:rsidP="00C50796">
            <w:pPr>
              <w:pStyle w:val="ARbody"/>
              <w:jc w:val="center"/>
            </w:pPr>
            <w:r>
              <w:rPr>
                <w:noProof/>
                <w:lang w:eastAsia="en-AU"/>
              </w:rPr>
              <w:drawing>
                <wp:inline distT="0" distB="0" distL="0" distR="0" wp14:anchorId="212B275C" wp14:editId="3D1F2D54">
                  <wp:extent cx="1585080" cy="2019600"/>
                  <wp:effectExtent l="0" t="0" r="0" b="0"/>
                  <wp:docPr id="267" name="Picture 267" descr="Asset base valued at $28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using-Asset base (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85080" cy="2019600"/>
                          </a:xfrm>
                          <a:prstGeom prst="rect">
                            <a:avLst/>
                          </a:prstGeom>
                        </pic:spPr>
                      </pic:pic>
                    </a:graphicData>
                  </a:graphic>
                </wp:inline>
              </w:drawing>
            </w:r>
          </w:p>
        </w:tc>
        <w:tc>
          <w:tcPr>
            <w:tcW w:w="1665" w:type="pct"/>
            <w:tcBorders>
              <w:top w:val="single" w:sz="48" w:space="0" w:color="004C97"/>
            </w:tcBorders>
            <w:vAlign w:val="center"/>
          </w:tcPr>
          <w:p w14:paraId="791F4218" w14:textId="069ED875" w:rsidR="00814857" w:rsidRDefault="00814857" w:rsidP="00C50796">
            <w:pPr>
              <w:pStyle w:val="ARbody"/>
              <w:jc w:val="center"/>
            </w:pPr>
            <w:r>
              <w:rPr>
                <w:noProof/>
                <w:lang w:eastAsia="en-AU"/>
              </w:rPr>
              <w:drawing>
                <wp:inline distT="0" distB="0" distL="0" distR="0" wp14:anchorId="65836A74" wp14:editId="7E1B6B4F">
                  <wp:extent cx="1815120" cy="2117160"/>
                  <wp:effectExtent l="0" t="0" r="0" b="0"/>
                  <wp:docPr id="8" name="Picture 8" descr="$116.2 million final transfer of housing to Aboriginal Housing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815120" cy="2117160"/>
                          </a:xfrm>
                          <a:prstGeom prst="rect">
                            <a:avLst/>
                          </a:prstGeom>
                          <a:noFill/>
                          <a:ln>
                            <a:noFill/>
                          </a:ln>
                        </pic:spPr>
                      </pic:pic>
                    </a:graphicData>
                  </a:graphic>
                </wp:inline>
              </w:drawing>
            </w:r>
          </w:p>
        </w:tc>
        <w:tc>
          <w:tcPr>
            <w:tcW w:w="1665" w:type="pct"/>
            <w:tcBorders>
              <w:top w:val="single" w:sz="48" w:space="0" w:color="004C97"/>
              <w:right w:val="single" w:sz="48" w:space="0" w:color="004C97"/>
            </w:tcBorders>
            <w:vAlign w:val="center"/>
          </w:tcPr>
          <w:p w14:paraId="3F3796E5" w14:textId="77777777" w:rsidR="00814857" w:rsidRDefault="00814857" w:rsidP="00C50796">
            <w:pPr>
              <w:pStyle w:val="ARbody"/>
              <w:jc w:val="center"/>
              <w:rPr>
                <w:noProof/>
              </w:rPr>
            </w:pPr>
            <w:r>
              <w:rPr>
                <w:noProof/>
                <w:lang w:eastAsia="en-AU"/>
              </w:rPr>
              <w:drawing>
                <wp:inline distT="0" distB="0" distL="0" distR="0" wp14:anchorId="430C6496" wp14:editId="2E766AFB">
                  <wp:extent cx="1719720" cy="2161080"/>
                  <wp:effectExtent l="0" t="0" r="0" b="0"/>
                  <wp:docPr id="270" name="Picture 270" descr="874 social housing dwellings ac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using-dwellings acquired.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19720" cy="2161080"/>
                          </a:xfrm>
                          <a:prstGeom prst="rect">
                            <a:avLst/>
                          </a:prstGeom>
                        </pic:spPr>
                      </pic:pic>
                    </a:graphicData>
                  </a:graphic>
                </wp:inline>
              </w:drawing>
            </w:r>
          </w:p>
        </w:tc>
      </w:tr>
      <w:tr w:rsidR="00814857" w14:paraId="79482387" w14:textId="77777777" w:rsidTr="00490E16">
        <w:tc>
          <w:tcPr>
            <w:tcW w:w="1665" w:type="pct"/>
            <w:tcBorders>
              <w:top w:val="single" w:sz="48" w:space="0" w:color="004C97"/>
              <w:left w:val="single" w:sz="48" w:space="0" w:color="004C97"/>
              <w:bottom w:val="single" w:sz="48" w:space="0" w:color="004C97"/>
            </w:tcBorders>
            <w:vAlign w:val="center"/>
          </w:tcPr>
          <w:p w14:paraId="0E971061" w14:textId="77777777" w:rsidR="00814857" w:rsidRDefault="00814857" w:rsidP="00C50796">
            <w:pPr>
              <w:pStyle w:val="ARbody"/>
              <w:jc w:val="center"/>
              <w:rPr>
                <w:noProof/>
              </w:rPr>
            </w:pPr>
            <w:r>
              <w:rPr>
                <w:noProof/>
                <w:lang w:eastAsia="en-AU"/>
              </w:rPr>
              <w:drawing>
                <wp:inline distT="0" distB="0" distL="0" distR="0" wp14:anchorId="1BDE9796" wp14:editId="68205D13">
                  <wp:extent cx="1533960" cy="2077920"/>
                  <wp:effectExtent l="0" t="0" r="9525" b="0"/>
                  <wp:docPr id="31" name="Picture 31" descr="2,145 public housing homes upgr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ousing-homes upgraded (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33960" cy="2077920"/>
                          </a:xfrm>
                          <a:prstGeom prst="rect">
                            <a:avLst/>
                          </a:prstGeom>
                        </pic:spPr>
                      </pic:pic>
                    </a:graphicData>
                  </a:graphic>
                </wp:inline>
              </w:drawing>
            </w:r>
          </w:p>
        </w:tc>
        <w:tc>
          <w:tcPr>
            <w:tcW w:w="1665" w:type="pct"/>
            <w:tcBorders>
              <w:top w:val="single" w:sz="48" w:space="0" w:color="004C97"/>
              <w:bottom w:val="single" w:sz="48" w:space="0" w:color="004C97"/>
            </w:tcBorders>
            <w:vAlign w:val="center"/>
          </w:tcPr>
          <w:p w14:paraId="545C14F5" w14:textId="77777777" w:rsidR="00814857" w:rsidRDefault="00814857" w:rsidP="00C50796">
            <w:pPr>
              <w:pStyle w:val="ARbody"/>
              <w:jc w:val="center"/>
              <w:rPr>
                <w:noProof/>
              </w:rPr>
            </w:pPr>
            <w:r>
              <w:rPr>
                <w:noProof/>
                <w:lang w:eastAsia="en-AU"/>
              </w:rPr>
              <w:drawing>
                <wp:inline distT="0" distB="0" distL="0" distR="0" wp14:anchorId="14C66BA4" wp14:editId="3C85EE28">
                  <wp:extent cx="1678680" cy="2077920"/>
                  <wp:effectExtent l="0" t="0" r="0" b="0"/>
                  <wp:docPr id="273" name="Picture 273" descr="874 Family violence victims assisted through  refug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ousing-family violence victims.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78680" cy="2077920"/>
                          </a:xfrm>
                          <a:prstGeom prst="rect">
                            <a:avLst/>
                          </a:prstGeom>
                        </pic:spPr>
                      </pic:pic>
                    </a:graphicData>
                  </a:graphic>
                </wp:inline>
              </w:drawing>
            </w:r>
          </w:p>
        </w:tc>
        <w:tc>
          <w:tcPr>
            <w:tcW w:w="1665" w:type="pct"/>
            <w:tcBorders>
              <w:top w:val="single" w:sz="48" w:space="0" w:color="004C97"/>
              <w:bottom w:val="single" w:sz="48" w:space="0" w:color="004C97"/>
              <w:right w:val="single" w:sz="48" w:space="0" w:color="004C97"/>
            </w:tcBorders>
            <w:vAlign w:val="center"/>
          </w:tcPr>
          <w:p w14:paraId="6B9CCBED" w14:textId="77777777" w:rsidR="00814857" w:rsidRDefault="00814857" w:rsidP="00C50796">
            <w:pPr>
              <w:pStyle w:val="ARbody"/>
              <w:jc w:val="center"/>
              <w:rPr>
                <w:noProof/>
              </w:rPr>
            </w:pPr>
            <w:r>
              <w:rPr>
                <w:noProof/>
                <w:lang w:eastAsia="en-AU"/>
              </w:rPr>
              <w:drawing>
                <wp:inline distT="0" distB="0" distL="0" distR="0" wp14:anchorId="24092072" wp14:editId="5A6292DF">
                  <wp:extent cx="1754280" cy="2139480"/>
                  <wp:effectExtent l="0" t="0" r="0" b="0"/>
                  <wp:docPr id="274" name="Picture 274" descr="112,054 people supported through homelessnes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using-people supported (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54280" cy="2139480"/>
                          </a:xfrm>
                          <a:prstGeom prst="rect">
                            <a:avLst/>
                          </a:prstGeom>
                        </pic:spPr>
                      </pic:pic>
                    </a:graphicData>
                  </a:graphic>
                </wp:inline>
              </w:drawing>
            </w:r>
          </w:p>
        </w:tc>
      </w:tr>
    </w:tbl>
    <w:p w14:paraId="36D00A19" w14:textId="77777777" w:rsidR="0099241F" w:rsidRPr="0099241F" w:rsidRDefault="0099241F" w:rsidP="0099241F">
      <w:pPr>
        <w:pStyle w:val="ARbody"/>
      </w:pPr>
      <w:bookmarkStart w:id="29" w:name="_Hlk18593126"/>
      <w:bookmarkStart w:id="30" w:name="_Hlk18589206"/>
      <w:bookmarkEnd w:id="27"/>
      <w:bookmarkEnd w:id="28"/>
      <w:r w:rsidRPr="0099241F">
        <w:br w:type="page"/>
      </w:r>
    </w:p>
    <w:p w14:paraId="7C17BBA2" w14:textId="77777777" w:rsidR="00814857" w:rsidRPr="002C5CDB" w:rsidRDefault="00814857" w:rsidP="0049743C">
      <w:pPr>
        <w:pStyle w:val="Heading3"/>
      </w:pPr>
      <w:r>
        <w:lastRenderedPageBreak/>
        <w:t>Mental Health</w:t>
      </w:r>
    </w:p>
    <w:tbl>
      <w:tblPr>
        <w:tblStyle w:val="TableGrid10"/>
        <w:tblW w:w="9571" w:type="dxa"/>
        <w:tblBorders>
          <w:top w:val="single" w:sz="24" w:space="0" w:color="004C97"/>
          <w:left w:val="single" w:sz="24" w:space="0" w:color="004C97"/>
          <w:bottom w:val="single" w:sz="24" w:space="0" w:color="004C97"/>
          <w:right w:val="single" w:sz="24" w:space="0" w:color="004C97"/>
          <w:insideH w:val="single" w:sz="24" w:space="0" w:color="004C97"/>
          <w:insideV w:val="single" w:sz="24" w:space="0" w:color="004C97"/>
        </w:tblBorders>
        <w:tblCellMar>
          <w:top w:w="108" w:type="dxa"/>
          <w:bottom w:w="108" w:type="dxa"/>
        </w:tblCellMar>
        <w:tblLook w:val="0600" w:firstRow="0" w:lastRow="0" w:firstColumn="0" w:lastColumn="0" w:noHBand="1" w:noVBand="1"/>
      </w:tblPr>
      <w:tblGrid>
        <w:gridCol w:w="3190"/>
        <w:gridCol w:w="3190"/>
        <w:gridCol w:w="3191"/>
      </w:tblGrid>
      <w:tr w:rsidR="00814857" w14:paraId="5EC6D77B" w14:textId="77777777" w:rsidTr="00490E16">
        <w:tc>
          <w:tcPr>
            <w:tcW w:w="1665" w:type="pct"/>
            <w:tcBorders>
              <w:top w:val="single" w:sz="48" w:space="0" w:color="004C97"/>
              <w:left w:val="single" w:sz="48" w:space="0" w:color="004C97"/>
            </w:tcBorders>
            <w:vAlign w:val="center"/>
          </w:tcPr>
          <w:p w14:paraId="358627E5" w14:textId="77777777" w:rsidR="00814857" w:rsidRDefault="00814857" w:rsidP="00C50796">
            <w:pPr>
              <w:pStyle w:val="ARbody"/>
              <w:jc w:val="center"/>
            </w:pPr>
            <w:r>
              <w:rPr>
                <w:noProof/>
                <w:lang w:eastAsia="en-AU"/>
              </w:rPr>
              <w:drawing>
                <wp:inline distT="0" distB="0" distL="0" distR="0" wp14:anchorId="4D09CFFE" wp14:editId="364AE2B8">
                  <wp:extent cx="1683000" cy="2000520"/>
                  <wp:effectExtent l="0" t="0" r="0" b="0"/>
                  <wp:docPr id="39" name="Picture 39" descr="74,794 registered clients at public mental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ental health-registered clients (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83000" cy="2000520"/>
                          </a:xfrm>
                          <a:prstGeom prst="rect">
                            <a:avLst/>
                          </a:prstGeom>
                        </pic:spPr>
                      </pic:pic>
                    </a:graphicData>
                  </a:graphic>
                </wp:inline>
              </w:drawing>
            </w:r>
          </w:p>
        </w:tc>
        <w:tc>
          <w:tcPr>
            <w:tcW w:w="1665" w:type="pct"/>
            <w:tcBorders>
              <w:top w:val="single" w:sz="48" w:space="0" w:color="004C97"/>
            </w:tcBorders>
            <w:vAlign w:val="center"/>
          </w:tcPr>
          <w:p w14:paraId="76B54159" w14:textId="77777777" w:rsidR="00814857" w:rsidRDefault="00814857" w:rsidP="00C50796">
            <w:pPr>
              <w:pStyle w:val="ARbody"/>
              <w:jc w:val="center"/>
            </w:pPr>
            <w:r>
              <w:rPr>
                <w:noProof/>
                <w:lang w:eastAsia="en-AU"/>
              </w:rPr>
              <w:drawing>
                <wp:inline distT="0" distB="0" distL="0" distR="0" wp14:anchorId="38FA9A61" wp14:editId="47B42236">
                  <wp:extent cx="1715040" cy="2021760"/>
                  <wp:effectExtent l="0" t="0" r="0" b="0"/>
                  <wp:docPr id="257" name="Picture 257" descr="&gt; 1,230 overdoses managed in year 1 of medically supervised injecting room t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Mental health-overdoses managed (2).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15040" cy="2021760"/>
                          </a:xfrm>
                          <a:prstGeom prst="rect">
                            <a:avLst/>
                          </a:prstGeom>
                        </pic:spPr>
                      </pic:pic>
                    </a:graphicData>
                  </a:graphic>
                </wp:inline>
              </w:drawing>
            </w:r>
          </w:p>
        </w:tc>
        <w:tc>
          <w:tcPr>
            <w:tcW w:w="1665" w:type="pct"/>
            <w:tcBorders>
              <w:top w:val="single" w:sz="48" w:space="0" w:color="004C97"/>
              <w:right w:val="single" w:sz="48" w:space="0" w:color="004C97"/>
            </w:tcBorders>
            <w:vAlign w:val="center"/>
          </w:tcPr>
          <w:p w14:paraId="2298E646" w14:textId="77777777" w:rsidR="00814857" w:rsidRDefault="00814857" w:rsidP="00C50796">
            <w:pPr>
              <w:pStyle w:val="ARbody"/>
              <w:jc w:val="center"/>
              <w:rPr>
                <w:noProof/>
              </w:rPr>
            </w:pPr>
            <w:r>
              <w:rPr>
                <w:noProof/>
                <w:lang w:eastAsia="en-AU"/>
              </w:rPr>
              <w:drawing>
                <wp:inline distT="0" distB="0" distL="0" distR="0" wp14:anchorId="27809C19" wp14:editId="40438E0D">
                  <wp:extent cx="1677240" cy="2058120"/>
                  <wp:effectExtent l="0" t="0" r="0" b="0"/>
                  <wp:docPr id="57" name="Picture 57" descr="place-based suicide prevention trials now operating in 12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ental health-place based.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77240" cy="2058120"/>
                          </a:xfrm>
                          <a:prstGeom prst="rect">
                            <a:avLst/>
                          </a:prstGeom>
                        </pic:spPr>
                      </pic:pic>
                    </a:graphicData>
                  </a:graphic>
                </wp:inline>
              </w:drawing>
            </w:r>
          </w:p>
        </w:tc>
      </w:tr>
      <w:tr w:rsidR="00814857" w14:paraId="06797323" w14:textId="77777777" w:rsidTr="00490E16">
        <w:tc>
          <w:tcPr>
            <w:tcW w:w="1665" w:type="pct"/>
            <w:tcBorders>
              <w:top w:val="single" w:sz="48" w:space="0" w:color="004C97"/>
              <w:left w:val="single" w:sz="48" w:space="0" w:color="004C97"/>
              <w:bottom w:val="single" w:sz="48" w:space="0" w:color="004C97"/>
            </w:tcBorders>
            <w:vAlign w:val="center"/>
          </w:tcPr>
          <w:p w14:paraId="0D45718A" w14:textId="77777777" w:rsidR="00814857" w:rsidRDefault="00814857" w:rsidP="00C50796">
            <w:pPr>
              <w:pStyle w:val="ARbody"/>
              <w:jc w:val="center"/>
              <w:rPr>
                <w:noProof/>
              </w:rPr>
            </w:pPr>
            <w:r>
              <w:rPr>
                <w:rFonts w:asciiTheme="minorHAnsi" w:eastAsiaTheme="minorEastAsia" w:hAnsiTheme="minorHAnsi" w:cstheme="minorBidi"/>
                <w:noProof/>
                <w:sz w:val="16"/>
                <w:szCs w:val="16"/>
                <w:lang w:eastAsia="en-AU"/>
              </w:rPr>
              <w:drawing>
                <wp:inline distT="0" distB="0" distL="0" distR="0" wp14:anchorId="41F96E64" wp14:editId="2430D21E">
                  <wp:extent cx="1801372" cy="2161036"/>
                  <wp:effectExtent l="0" t="0" r="8890" b="0"/>
                  <wp:docPr id="53" name="Picture 53" descr="&gt;2.4 million times people received support from a mental healt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ental health-times people received.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01372" cy="2161036"/>
                          </a:xfrm>
                          <a:prstGeom prst="rect">
                            <a:avLst/>
                          </a:prstGeom>
                        </pic:spPr>
                      </pic:pic>
                    </a:graphicData>
                  </a:graphic>
                </wp:inline>
              </w:drawing>
            </w:r>
          </w:p>
        </w:tc>
        <w:tc>
          <w:tcPr>
            <w:tcW w:w="1665" w:type="pct"/>
            <w:tcBorders>
              <w:top w:val="single" w:sz="48" w:space="0" w:color="004C97"/>
              <w:bottom w:val="single" w:sz="48" w:space="0" w:color="004C97"/>
            </w:tcBorders>
            <w:vAlign w:val="center"/>
          </w:tcPr>
          <w:p w14:paraId="3C21652B" w14:textId="77777777" w:rsidR="00814857" w:rsidRDefault="00814857" w:rsidP="00C50796">
            <w:pPr>
              <w:pStyle w:val="ARbody"/>
              <w:jc w:val="center"/>
              <w:rPr>
                <w:noProof/>
              </w:rPr>
            </w:pPr>
            <w:r>
              <w:rPr>
                <w:noProof/>
                <w:lang w:eastAsia="en-AU"/>
              </w:rPr>
              <w:drawing>
                <wp:inline distT="0" distB="0" distL="0" distR="0" wp14:anchorId="1AA9B347" wp14:editId="17B41145">
                  <wp:extent cx="1772640" cy="2088720"/>
                  <wp:effectExtent l="0" t="0" r="0" b="6985"/>
                  <wp:docPr id="27" name="Picture 27" descr="&gt; 8,000 submissions to inform the Royal Commission into Victoria’s Mental Health System terms of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ntal health-royal_commission (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72640" cy="2088720"/>
                          </a:xfrm>
                          <a:prstGeom prst="rect">
                            <a:avLst/>
                          </a:prstGeom>
                        </pic:spPr>
                      </pic:pic>
                    </a:graphicData>
                  </a:graphic>
                </wp:inline>
              </w:drawing>
            </w:r>
          </w:p>
        </w:tc>
        <w:tc>
          <w:tcPr>
            <w:tcW w:w="1665" w:type="pct"/>
            <w:tcBorders>
              <w:top w:val="single" w:sz="48" w:space="0" w:color="004C97"/>
              <w:bottom w:val="single" w:sz="48" w:space="0" w:color="004C97"/>
              <w:right w:val="single" w:sz="48" w:space="0" w:color="004C97"/>
            </w:tcBorders>
            <w:vAlign w:val="center"/>
          </w:tcPr>
          <w:p w14:paraId="6832F8A3" w14:textId="77777777" w:rsidR="00814857" w:rsidRDefault="00814857" w:rsidP="00C50796">
            <w:pPr>
              <w:pStyle w:val="ARbody"/>
              <w:jc w:val="center"/>
              <w:rPr>
                <w:noProof/>
              </w:rPr>
            </w:pPr>
            <w:r>
              <w:rPr>
                <w:noProof/>
                <w:lang w:eastAsia="en-AU"/>
              </w:rPr>
              <w:drawing>
                <wp:inline distT="0" distB="0" distL="0" distR="0" wp14:anchorId="30EB7734" wp14:editId="02D4A5CB">
                  <wp:extent cx="1801372" cy="2161036"/>
                  <wp:effectExtent l="0" t="0" r="8890" b="0"/>
                  <wp:docPr id="262" name="Picture 262" descr="34,841 Victorians received alcohol and other drug treatmen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Mental health-Victorians received (1).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01372" cy="2161036"/>
                          </a:xfrm>
                          <a:prstGeom prst="rect">
                            <a:avLst/>
                          </a:prstGeom>
                        </pic:spPr>
                      </pic:pic>
                    </a:graphicData>
                  </a:graphic>
                </wp:inline>
              </w:drawing>
            </w:r>
          </w:p>
        </w:tc>
      </w:tr>
      <w:bookmarkEnd w:id="29"/>
      <w:bookmarkEnd w:id="30"/>
    </w:tbl>
    <w:p w14:paraId="66203A52" w14:textId="77777777" w:rsidR="0099241F" w:rsidRPr="0099241F" w:rsidRDefault="0099241F" w:rsidP="0099241F">
      <w:pPr>
        <w:pStyle w:val="ARbody"/>
      </w:pPr>
      <w:r w:rsidRPr="0099241F">
        <w:br w:type="page"/>
      </w:r>
    </w:p>
    <w:p w14:paraId="3D3CFD4A" w14:textId="77777777" w:rsidR="00814857" w:rsidRPr="002C5CDB" w:rsidRDefault="00814857" w:rsidP="00E34BA4">
      <w:pPr>
        <w:pStyle w:val="Heading3"/>
      </w:pPr>
      <w:r>
        <w:lastRenderedPageBreak/>
        <w:t>Prevention of Family Violence</w:t>
      </w:r>
    </w:p>
    <w:tbl>
      <w:tblPr>
        <w:tblStyle w:val="TableGrid10"/>
        <w:tblW w:w="9571" w:type="dxa"/>
        <w:tblBorders>
          <w:top w:val="single" w:sz="24" w:space="0" w:color="004C97"/>
          <w:left w:val="single" w:sz="24" w:space="0" w:color="004C97"/>
          <w:bottom w:val="single" w:sz="24" w:space="0" w:color="004C97"/>
          <w:right w:val="single" w:sz="24" w:space="0" w:color="004C97"/>
          <w:insideH w:val="single" w:sz="24" w:space="0" w:color="004C97"/>
          <w:insideV w:val="single" w:sz="24" w:space="0" w:color="004C97"/>
        </w:tblBorders>
        <w:tblCellMar>
          <w:top w:w="108" w:type="dxa"/>
          <w:bottom w:w="108" w:type="dxa"/>
        </w:tblCellMar>
        <w:tblLook w:val="0600" w:firstRow="0" w:lastRow="0" w:firstColumn="0" w:lastColumn="0" w:noHBand="1" w:noVBand="1"/>
      </w:tblPr>
      <w:tblGrid>
        <w:gridCol w:w="3190"/>
        <w:gridCol w:w="3190"/>
        <w:gridCol w:w="3191"/>
      </w:tblGrid>
      <w:tr w:rsidR="00814857" w14:paraId="36442A51" w14:textId="77777777" w:rsidTr="00490E16">
        <w:tc>
          <w:tcPr>
            <w:tcW w:w="1665" w:type="pct"/>
            <w:tcBorders>
              <w:top w:val="single" w:sz="48" w:space="0" w:color="004C97"/>
              <w:left w:val="single" w:sz="48" w:space="0" w:color="004C97"/>
            </w:tcBorders>
            <w:vAlign w:val="center"/>
          </w:tcPr>
          <w:p w14:paraId="67CDE1E3" w14:textId="77777777" w:rsidR="00814857" w:rsidRDefault="00814857" w:rsidP="00C50796">
            <w:pPr>
              <w:pStyle w:val="ARbody"/>
              <w:jc w:val="center"/>
            </w:pPr>
            <w:r>
              <w:rPr>
                <w:noProof/>
                <w:lang w:eastAsia="en-AU"/>
              </w:rPr>
              <w:drawing>
                <wp:inline distT="0" distB="0" distL="0" distR="0" wp14:anchorId="077FFFDB" wp14:editId="67397FD4">
                  <wp:extent cx="1801372" cy="2161036"/>
                  <wp:effectExtent l="0" t="0" r="8890" b="0"/>
                  <wp:docPr id="28" name="Picture 28" descr="The Orange Door now operating in 5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ily violence-orange door (2).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01372" cy="2161036"/>
                          </a:xfrm>
                          <a:prstGeom prst="rect">
                            <a:avLst/>
                          </a:prstGeom>
                        </pic:spPr>
                      </pic:pic>
                    </a:graphicData>
                  </a:graphic>
                </wp:inline>
              </w:drawing>
            </w:r>
          </w:p>
        </w:tc>
        <w:tc>
          <w:tcPr>
            <w:tcW w:w="1665" w:type="pct"/>
            <w:tcBorders>
              <w:top w:val="single" w:sz="48" w:space="0" w:color="004C97"/>
            </w:tcBorders>
            <w:vAlign w:val="center"/>
          </w:tcPr>
          <w:p w14:paraId="605FB1C8" w14:textId="77777777" w:rsidR="00814857" w:rsidRDefault="00814857" w:rsidP="00C50796">
            <w:pPr>
              <w:pStyle w:val="ARbody"/>
              <w:jc w:val="center"/>
            </w:pPr>
            <w:r>
              <w:rPr>
                <w:noProof/>
                <w:lang w:eastAsia="en-AU"/>
              </w:rPr>
              <w:drawing>
                <wp:inline distT="0" distB="0" distL="0" distR="0" wp14:anchorId="5FAA77DB" wp14:editId="200151E1">
                  <wp:extent cx="1843560" cy="2064240"/>
                  <wp:effectExtent l="0" t="0" r="4445" b="0"/>
                  <wp:docPr id="30" name="Picture 30" descr="Everybody Matters: Victoria’s family violence statement supporting all Victorians laun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amily violence-Everbody matters (1).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43560" cy="2064240"/>
                          </a:xfrm>
                          <a:prstGeom prst="rect">
                            <a:avLst/>
                          </a:prstGeom>
                        </pic:spPr>
                      </pic:pic>
                    </a:graphicData>
                  </a:graphic>
                </wp:inline>
              </w:drawing>
            </w:r>
          </w:p>
        </w:tc>
        <w:tc>
          <w:tcPr>
            <w:tcW w:w="1665" w:type="pct"/>
            <w:tcBorders>
              <w:top w:val="single" w:sz="48" w:space="0" w:color="004C97"/>
              <w:right w:val="single" w:sz="48" w:space="0" w:color="004C97"/>
            </w:tcBorders>
            <w:vAlign w:val="center"/>
          </w:tcPr>
          <w:p w14:paraId="52342A36" w14:textId="77777777" w:rsidR="00814857" w:rsidRDefault="00814857" w:rsidP="00C50796">
            <w:pPr>
              <w:pStyle w:val="ARbody"/>
              <w:jc w:val="center"/>
              <w:rPr>
                <w:noProof/>
              </w:rPr>
            </w:pPr>
            <w:r>
              <w:rPr>
                <w:noProof/>
                <w:lang w:eastAsia="en-AU"/>
              </w:rPr>
              <w:drawing>
                <wp:inline distT="0" distB="0" distL="0" distR="0" wp14:anchorId="022F2413" wp14:editId="4620C6B9">
                  <wp:extent cx="1801372" cy="2173228"/>
                  <wp:effectExtent l="0" t="0" r="8890" b="0"/>
                  <wp:docPr id="259" name="Picture 259" descr="Trained 10,000 people in family violence risk assessment and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Family violence-Trained.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01372" cy="2173228"/>
                          </a:xfrm>
                          <a:prstGeom prst="rect">
                            <a:avLst/>
                          </a:prstGeom>
                        </pic:spPr>
                      </pic:pic>
                    </a:graphicData>
                  </a:graphic>
                </wp:inline>
              </w:drawing>
            </w:r>
          </w:p>
        </w:tc>
      </w:tr>
      <w:tr w:rsidR="00814857" w14:paraId="5732A125" w14:textId="77777777" w:rsidTr="00490E16">
        <w:tc>
          <w:tcPr>
            <w:tcW w:w="1665" w:type="pct"/>
            <w:tcBorders>
              <w:top w:val="single" w:sz="48" w:space="0" w:color="004C97"/>
              <w:left w:val="single" w:sz="48" w:space="0" w:color="004C97"/>
              <w:bottom w:val="single" w:sz="48" w:space="0" w:color="004C97"/>
            </w:tcBorders>
            <w:vAlign w:val="center"/>
          </w:tcPr>
          <w:p w14:paraId="701830F3" w14:textId="77777777" w:rsidR="00814857" w:rsidRDefault="00814857" w:rsidP="00C50796">
            <w:pPr>
              <w:pStyle w:val="ARbody"/>
              <w:jc w:val="center"/>
              <w:rPr>
                <w:noProof/>
              </w:rPr>
            </w:pPr>
            <w:r>
              <w:rPr>
                <w:noProof/>
                <w:lang w:eastAsia="en-AU"/>
              </w:rPr>
              <w:drawing>
                <wp:inline distT="0" distB="0" distL="0" distR="0" wp14:anchorId="1FD2B2E6" wp14:editId="69F934F2">
                  <wp:extent cx="1719000" cy="2069640"/>
                  <wp:effectExtent l="0" t="0" r="0" b="6985"/>
                  <wp:docPr id="29" name="Picture 29" descr="5,400 men received a Men’s Behaviour Change Program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amily violence-mens behaviour change (2).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19000" cy="2069640"/>
                          </a:xfrm>
                          <a:prstGeom prst="rect">
                            <a:avLst/>
                          </a:prstGeom>
                        </pic:spPr>
                      </pic:pic>
                    </a:graphicData>
                  </a:graphic>
                </wp:inline>
              </w:drawing>
            </w:r>
          </w:p>
        </w:tc>
        <w:tc>
          <w:tcPr>
            <w:tcW w:w="1665" w:type="pct"/>
            <w:tcBorders>
              <w:top w:val="single" w:sz="48" w:space="0" w:color="004C97"/>
              <w:bottom w:val="single" w:sz="48" w:space="0" w:color="004C97"/>
            </w:tcBorders>
            <w:vAlign w:val="center"/>
          </w:tcPr>
          <w:p w14:paraId="6B1ADE13" w14:textId="77777777" w:rsidR="00814857" w:rsidRDefault="00814857" w:rsidP="00C50796">
            <w:pPr>
              <w:pStyle w:val="ARbody"/>
              <w:jc w:val="center"/>
              <w:rPr>
                <w:noProof/>
              </w:rPr>
            </w:pPr>
            <w:r>
              <w:rPr>
                <w:noProof/>
                <w:lang w:eastAsia="en-AU"/>
              </w:rPr>
              <w:drawing>
                <wp:inline distT="0" distB="0" distL="0" distR="0" wp14:anchorId="53000A5D" wp14:editId="51A8C202">
                  <wp:extent cx="1801372" cy="2221997"/>
                  <wp:effectExtent l="0" t="0" r="8890" b="6985"/>
                  <wp:docPr id="43" name="Picture 43" descr="Dhelk Dja: Safe Our Way: Aboriginal &#10;10-year family violence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Family violence-Dhelk Dja (1).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01372" cy="2221997"/>
                          </a:xfrm>
                          <a:prstGeom prst="rect">
                            <a:avLst/>
                          </a:prstGeom>
                        </pic:spPr>
                      </pic:pic>
                    </a:graphicData>
                  </a:graphic>
                </wp:inline>
              </w:drawing>
            </w:r>
          </w:p>
        </w:tc>
        <w:tc>
          <w:tcPr>
            <w:tcW w:w="1665" w:type="pct"/>
            <w:tcBorders>
              <w:top w:val="single" w:sz="48" w:space="0" w:color="004C97"/>
              <w:bottom w:val="single" w:sz="48" w:space="0" w:color="004C97"/>
              <w:right w:val="single" w:sz="48" w:space="0" w:color="004C97"/>
            </w:tcBorders>
            <w:vAlign w:val="center"/>
          </w:tcPr>
          <w:p w14:paraId="00C66C3A" w14:textId="77777777" w:rsidR="00814857" w:rsidRDefault="00814857" w:rsidP="00C50796">
            <w:pPr>
              <w:pStyle w:val="ARbody"/>
              <w:jc w:val="center"/>
              <w:rPr>
                <w:noProof/>
              </w:rPr>
            </w:pPr>
            <w:r>
              <w:rPr>
                <w:rFonts w:asciiTheme="minorHAnsi" w:eastAsiaTheme="minorEastAsia" w:hAnsiTheme="minorHAnsi" w:cstheme="minorBidi"/>
                <w:noProof/>
                <w:sz w:val="16"/>
                <w:szCs w:val="16"/>
                <w:lang w:eastAsia="en-AU"/>
              </w:rPr>
              <w:drawing>
                <wp:inline distT="0" distB="0" distL="0" distR="0" wp14:anchorId="15EBED21" wp14:editId="691DC97C">
                  <wp:extent cx="1803960" cy="2161080"/>
                  <wp:effectExtent l="0" t="0" r="6350" b="0"/>
                  <wp:docPr id="44" name="Picture 44" descr="50,000 people referred to The&#10;Orange Door services since comme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mily violence-orange door.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03960" cy="2161080"/>
                          </a:xfrm>
                          <a:prstGeom prst="rect">
                            <a:avLst/>
                          </a:prstGeom>
                        </pic:spPr>
                      </pic:pic>
                    </a:graphicData>
                  </a:graphic>
                </wp:inline>
              </w:drawing>
            </w:r>
          </w:p>
        </w:tc>
      </w:tr>
    </w:tbl>
    <w:p w14:paraId="7D6A4270" w14:textId="77777777" w:rsidR="0099241F" w:rsidRPr="0099241F" w:rsidRDefault="0099241F" w:rsidP="0099241F">
      <w:pPr>
        <w:pStyle w:val="ARbody"/>
      </w:pPr>
      <w:bookmarkStart w:id="31" w:name="_Hlk18577558"/>
      <w:bookmarkEnd w:id="23"/>
      <w:r w:rsidRPr="0099241F">
        <w:br w:type="page"/>
      </w:r>
    </w:p>
    <w:p w14:paraId="23C35163" w14:textId="77777777" w:rsidR="00814857" w:rsidRPr="002C5CDB" w:rsidRDefault="00814857" w:rsidP="00F06946">
      <w:pPr>
        <w:pStyle w:val="Heading3"/>
      </w:pPr>
      <w:r>
        <w:lastRenderedPageBreak/>
        <w:t>Children, Youth and Families and Child Protection</w:t>
      </w:r>
    </w:p>
    <w:tbl>
      <w:tblPr>
        <w:tblStyle w:val="TableGrid10"/>
        <w:tblW w:w="5000" w:type="pct"/>
        <w:tblBorders>
          <w:top w:val="single" w:sz="48" w:space="0" w:color="004C97"/>
          <w:left w:val="single" w:sz="48" w:space="0" w:color="004C97"/>
          <w:bottom w:val="single" w:sz="48" w:space="0" w:color="004C97"/>
          <w:right w:val="single" w:sz="48" w:space="0" w:color="004C97"/>
          <w:insideH w:val="single" w:sz="24" w:space="0" w:color="004C97"/>
          <w:insideV w:val="single" w:sz="24" w:space="0" w:color="004C97"/>
        </w:tblBorders>
        <w:tblCellMar>
          <w:top w:w="108" w:type="dxa"/>
          <w:bottom w:w="108" w:type="dxa"/>
        </w:tblCellMar>
        <w:tblLook w:val="0600" w:firstRow="0" w:lastRow="0" w:firstColumn="0" w:lastColumn="0" w:noHBand="1" w:noVBand="1"/>
      </w:tblPr>
      <w:tblGrid>
        <w:gridCol w:w="3170"/>
        <w:gridCol w:w="3170"/>
        <w:gridCol w:w="3171"/>
      </w:tblGrid>
      <w:tr w:rsidR="00814857" w14:paraId="19B92E9D" w14:textId="77777777" w:rsidTr="00490E16">
        <w:tc>
          <w:tcPr>
            <w:tcW w:w="1665" w:type="pct"/>
            <w:vAlign w:val="center"/>
          </w:tcPr>
          <w:p w14:paraId="17160C2C" w14:textId="77777777" w:rsidR="00814857" w:rsidRDefault="00814857" w:rsidP="00C50796">
            <w:pPr>
              <w:pStyle w:val="ARbody"/>
              <w:jc w:val="center"/>
              <w:rPr>
                <w:noProof/>
              </w:rPr>
            </w:pPr>
            <w:r>
              <w:rPr>
                <w:noProof/>
                <w:lang w:eastAsia="en-AU"/>
              </w:rPr>
              <w:drawing>
                <wp:inline distT="0" distB="0" distL="0" distR="0" wp14:anchorId="45C8B213" wp14:editId="13223AA8">
                  <wp:extent cx="1683000" cy="2026080"/>
                  <wp:effectExtent l="0" t="0" r="0" b="0"/>
                  <wp:docPr id="46" name="Picture 46" descr="More than 2,000 child protection practitioners now working across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hildren &amp; Families-infographics_01 (1).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83000" cy="2026080"/>
                          </a:xfrm>
                          <a:prstGeom prst="rect">
                            <a:avLst/>
                          </a:prstGeom>
                        </pic:spPr>
                      </pic:pic>
                    </a:graphicData>
                  </a:graphic>
                </wp:inline>
              </w:drawing>
            </w:r>
          </w:p>
        </w:tc>
        <w:tc>
          <w:tcPr>
            <w:tcW w:w="1665" w:type="pct"/>
            <w:vAlign w:val="center"/>
          </w:tcPr>
          <w:p w14:paraId="43DDB938" w14:textId="77777777" w:rsidR="00814857" w:rsidRDefault="00814857" w:rsidP="00C50796">
            <w:pPr>
              <w:pStyle w:val="ARbody"/>
              <w:jc w:val="center"/>
              <w:rPr>
                <w:noProof/>
              </w:rPr>
            </w:pPr>
            <w:r>
              <w:rPr>
                <w:noProof/>
                <w:lang w:eastAsia="en-AU"/>
              </w:rPr>
              <w:drawing>
                <wp:inline distT="0" distB="0" distL="0" distR="0" wp14:anchorId="09EA63D1" wp14:editId="3E6BDA7D">
                  <wp:extent cx="1583280" cy="2077920"/>
                  <wp:effectExtent l="0" t="0" r="0" b="0"/>
                  <wp:docPr id="283" name="Picture 283" descr="more than 998 foster care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Children &amp; Families-infographics_02_Foster care households.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83280" cy="2077920"/>
                          </a:xfrm>
                          <a:prstGeom prst="rect">
                            <a:avLst/>
                          </a:prstGeom>
                        </pic:spPr>
                      </pic:pic>
                    </a:graphicData>
                  </a:graphic>
                </wp:inline>
              </w:drawing>
            </w:r>
          </w:p>
        </w:tc>
        <w:tc>
          <w:tcPr>
            <w:tcW w:w="1665" w:type="pct"/>
            <w:vAlign w:val="center"/>
          </w:tcPr>
          <w:p w14:paraId="2C176CE4" w14:textId="77777777" w:rsidR="00814857" w:rsidRDefault="00814857" w:rsidP="00C50796">
            <w:pPr>
              <w:pStyle w:val="ARbody"/>
              <w:jc w:val="center"/>
              <w:rPr>
                <w:noProof/>
              </w:rPr>
            </w:pPr>
            <w:r>
              <w:rPr>
                <w:noProof/>
                <w:lang w:eastAsia="en-AU"/>
              </w:rPr>
              <w:drawing>
                <wp:inline distT="0" distB="0" distL="0" distR="0" wp14:anchorId="35B738EA" wp14:editId="6C6D5012">
                  <wp:extent cx="1715040" cy="2014560"/>
                  <wp:effectExtent l="0" t="0" r="0" b="5080"/>
                  <wp:docPr id="18" name="Picture 18" descr="&gt;150 young people leaving &#10;out-of-home care receive individual support through Better Fu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ildren &amp; Families-infographics_150 young people leaving.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715040" cy="2014560"/>
                          </a:xfrm>
                          <a:prstGeom prst="rect">
                            <a:avLst/>
                          </a:prstGeom>
                        </pic:spPr>
                      </pic:pic>
                    </a:graphicData>
                  </a:graphic>
                </wp:inline>
              </w:drawing>
            </w:r>
          </w:p>
        </w:tc>
      </w:tr>
      <w:tr w:rsidR="00814857" w14:paraId="5F0C2760" w14:textId="77777777" w:rsidTr="00490E16">
        <w:tc>
          <w:tcPr>
            <w:tcW w:w="1665" w:type="pct"/>
            <w:vAlign w:val="center"/>
          </w:tcPr>
          <w:p w14:paraId="703DF0F5" w14:textId="77777777" w:rsidR="00814857" w:rsidRDefault="00814857" w:rsidP="00C50796">
            <w:pPr>
              <w:pStyle w:val="ARbody"/>
              <w:jc w:val="center"/>
              <w:rPr>
                <w:noProof/>
              </w:rPr>
            </w:pPr>
            <w:r>
              <w:rPr>
                <w:noProof/>
                <w:lang w:eastAsia="en-AU"/>
              </w:rPr>
              <w:drawing>
                <wp:inline distT="0" distB="0" distL="0" distR="0" wp14:anchorId="52D78F1B" wp14:editId="362BE59F">
                  <wp:extent cx="1801372" cy="2161036"/>
                  <wp:effectExtent l="0" t="0" r="8890" b="0"/>
                  <wp:docPr id="49" name="Picture 49" descr="3,705 kinship carer households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hildren &amp; Families-infographics_04 (1).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01372" cy="2161036"/>
                          </a:xfrm>
                          <a:prstGeom prst="rect">
                            <a:avLst/>
                          </a:prstGeom>
                        </pic:spPr>
                      </pic:pic>
                    </a:graphicData>
                  </a:graphic>
                </wp:inline>
              </w:drawing>
            </w:r>
          </w:p>
        </w:tc>
        <w:tc>
          <w:tcPr>
            <w:tcW w:w="1665" w:type="pct"/>
            <w:vAlign w:val="center"/>
          </w:tcPr>
          <w:p w14:paraId="1351E27D" w14:textId="77777777" w:rsidR="00814857" w:rsidRDefault="00814857" w:rsidP="00C50796">
            <w:pPr>
              <w:pStyle w:val="ARbody"/>
              <w:jc w:val="center"/>
              <w:rPr>
                <w:noProof/>
              </w:rPr>
            </w:pPr>
            <w:r>
              <w:rPr>
                <w:noProof/>
              </w:rPr>
              <w:drawing>
                <wp:inline distT="0" distB="0" distL="0" distR="0" wp14:anchorId="529D8F89" wp14:editId="709C3692">
                  <wp:extent cx="1718640" cy="2100960"/>
                  <wp:effectExtent l="0" t="0" r="0" b="0"/>
                  <wp:docPr id="258" name="Picture 258" descr="Almost 50% of Aboriginal children in care now managed by an Aboriginal community-controlled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Children &amp; Families-infographics_50percent in care.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18640" cy="2100960"/>
                          </a:xfrm>
                          <a:prstGeom prst="rect">
                            <a:avLst/>
                          </a:prstGeom>
                        </pic:spPr>
                      </pic:pic>
                    </a:graphicData>
                  </a:graphic>
                </wp:inline>
              </w:drawing>
            </w:r>
          </w:p>
        </w:tc>
        <w:tc>
          <w:tcPr>
            <w:tcW w:w="1665" w:type="pct"/>
            <w:vAlign w:val="center"/>
          </w:tcPr>
          <w:p w14:paraId="476A9613" w14:textId="77777777" w:rsidR="00814857" w:rsidRDefault="00814857" w:rsidP="00C50796">
            <w:pPr>
              <w:pStyle w:val="ARbody"/>
              <w:jc w:val="center"/>
              <w:rPr>
                <w:noProof/>
              </w:rPr>
            </w:pPr>
            <w:r>
              <w:rPr>
                <w:noProof/>
                <w:lang w:eastAsia="en-AU"/>
              </w:rPr>
              <w:drawing>
                <wp:inline distT="0" distB="0" distL="0" distR="0" wp14:anchorId="4F70AE1F" wp14:editId="317BDB54">
                  <wp:extent cx="1694520" cy="2058120"/>
                  <wp:effectExtent l="0" t="0" r="1270" b="0"/>
                  <wp:docPr id="281" name="Picture 281" descr="39,966 family service supports through Child FIRST and Integrated Famil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Children &amp; Families-infographics_03_ChildFIRST.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94520" cy="2058120"/>
                          </a:xfrm>
                          <a:prstGeom prst="rect">
                            <a:avLst/>
                          </a:prstGeom>
                        </pic:spPr>
                      </pic:pic>
                    </a:graphicData>
                  </a:graphic>
                </wp:inline>
              </w:drawing>
            </w:r>
          </w:p>
        </w:tc>
      </w:tr>
      <w:bookmarkEnd w:id="31"/>
    </w:tbl>
    <w:p w14:paraId="7083BD0B" w14:textId="77777777" w:rsidR="0099241F" w:rsidRPr="0099241F" w:rsidRDefault="0099241F" w:rsidP="0099241F">
      <w:pPr>
        <w:pStyle w:val="ARbody"/>
      </w:pPr>
      <w:r w:rsidRPr="0099241F">
        <w:br w:type="page"/>
      </w:r>
    </w:p>
    <w:p w14:paraId="31C363B9" w14:textId="77777777" w:rsidR="00814857" w:rsidRPr="007939DD" w:rsidRDefault="00814857" w:rsidP="00FA0DAF">
      <w:pPr>
        <w:pStyle w:val="ARbody"/>
        <w:sectPr w:rsidR="00814857" w:rsidRPr="007939DD" w:rsidSect="00350E76">
          <w:endnotePr>
            <w:numFmt w:val="decimal"/>
          </w:endnotePr>
          <w:pgSz w:w="11900" w:h="16840" w:code="9"/>
          <w:pgMar w:top="2127" w:right="851" w:bottom="851" w:left="1418" w:header="510" w:footer="340" w:gutter="0"/>
          <w:cols w:space="454"/>
        </w:sectPr>
      </w:pPr>
    </w:p>
    <w:p w14:paraId="2FD575F7" w14:textId="77777777" w:rsidR="00814857" w:rsidRPr="004B3CEB" w:rsidRDefault="00814857" w:rsidP="00A845B8">
      <w:pPr>
        <w:pStyle w:val="Heading3"/>
        <w:spacing w:before="0"/>
      </w:pPr>
      <w:r w:rsidRPr="004B3CEB">
        <w:lastRenderedPageBreak/>
        <w:t>Objective 1: Victorians are healthy and well</w:t>
      </w:r>
    </w:p>
    <w:p w14:paraId="2B1B62B1" w14:textId="77777777" w:rsidR="00814857" w:rsidRPr="00BF568D" w:rsidRDefault="00814857" w:rsidP="00350E76">
      <w:pPr>
        <w:pStyle w:val="ARintro"/>
      </w:pPr>
      <w:r w:rsidRPr="00BF568D">
        <w:t xml:space="preserve">The Victorian Department of Health and Human Services </w:t>
      </w:r>
      <w:r>
        <w:t>acts as the steward for Victoria’s healthcare and social services systems to</w:t>
      </w:r>
      <w:r w:rsidRPr="00BF568D">
        <w:t xml:space="preserve"> improv</w:t>
      </w:r>
      <w:r>
        <w:t>e</w:t>
      </w:r>
      <w:r w:rsidRPr="00BF568D">
        <w:t xml:space="preserve"> Victorians’ health and wellbeing and tackl</w:t>
      </w:r>
      <w:r>
        <w:t>e</w:t>
      </w:r>
      <w:r w:rsidRPr="00BF568D">
        <w:t xml:space="preserve"> health inequality.</w:t>
      </w:r>
    </w:p>
    <w:p w14:paraId="54A5F199" w14:textId="77777777" w:rsidR="00814857" w:rsidRDefault="00814857">
      <w:pPr>
        <w:pStyle w:val="ARintro"/>
      </w:pPr>
      <w:r w:rsidRPr="008F035E">
        <w:t>Social determinants – such as socioeconomic status, education, housing, social support networks and the physical environment –</w:t>
      </w:r>
      <w:r>
        <w:t xml:space="preserve"> </w:t>
      </w:r>
      <w:r w:rsidRPr="008F035E">
        <w:t>have a significant impact on health and wellbeing and are largely responsible for health inequities.</w:t>
      </w:r>
      <w:r>
        <w:t xml:space="preserve"> Advancing the health and wellbeing of all Victorians relies on well-targeted public </w:t>
      </w:r>
      <w:r w:rsidRPr="006E1EE8">
        <w:t>health</w:t>
      </w:r>
      <w:r>
        <w:t xml:space="preserve"> initiatives, an</w:t>
      </w:r>
      <w:r w:rsidRPr="00BF568D">
        <w:t xml:space="preserve"> effective healthcare system</w:t>
      </w:r>
      <w:r>
        <w:t>,</w:t>
      </w:r>
      <w:r w:rsidRPr="00BF568D">
        <w:t xml:space="preserve"> and innovative specialist services that link up to meet patients’ needs</w:t>
      </w:r>
      <w:r>
        <w:t>. It also depends on</w:t>
      </w:r>
      <w:r w:rsidRPr="00BF568D">
        <w:t xml:space="preserve"> </w:t>
      </w:r>
      <w:r>
        <w:t>consistently</w:t>
      </w:r>
      <w:r w:rsidRPr="00BF568D">
        <w:t xml:space="preserve"> safe, high-quality health care.</w:t>
      </w:r>
    </w:p>
    <w:p w14:paraId="7D32577D" w14:textId="3D0DD6DA" w:rsidR="00814857" w:rsidRPr="00D81813" w:rsidRDefault="00814857" w:rsidP="008F035E">
      <w:pPr>
        <w:pStyle w:val="ARintro"/>
      </w:pPr>
      <w:r w:rsidRPr="00D81813">
        <w:t>An effective system of care in turn relies on Victoria’s public health services work</w:t>
      </w:r>
      <w:r>
        <w:t>ing</w:t>
      </w:r>
      <w:r w:rsidRPr="00D81813">
        <w:t xml:space="preserve"> closely with</w:t>
      </w:r>
      <w:r w:rsidR="0007489E">
        <w:t> </w:t>
      </w:r>
      <w:r w:rsidRPr="00D81813">
        <w:t>primary healthcare partners to support effective and early management of health conditions</w:t>
      </w:r>
      <w:r>
        <w:t>, a</w:t>
      </w:r>
      <w:r w:rsidRPr="00D81813">
        <w:t xml:space="preserve">s well as stronger integration of physical and mental health care. Advances in science and technology are creating opportunities to enhance how consumers, communities, </w:t>
      </w:r>
      <w:r w:rsidRPr="00C47ABE">
        <w:t>governments</w:t>
      </w:r>
      <w:r w:rsidRPr="00D81813">
        <w:t xml:space="preserve"> and</w:t>
      </w:r>
      <w:r w:rsidR="0007489E">
        <w:t> </w:t>
      </w:r>
      <w:r w:rsidRPr="00D81813">
        <w:t>health practitioners can work together to prevent or minimise harm and ill health – by better recognising genetic, clinical, behavioural and social risks, and empowering individuals to make choices that protect and promote their health.</w:t>
      </w:r>
    </w:p>
    <w:p w14:paraId="0F535F9B" w14:textId="77777777" w:rsidR="00814857" w:rsidRDefault="00814857" w:rsidP="000B7C6C">
      <w:pPr>
        <w:pStyle w:val="ARintro"/>
      </w:pPr>
      <w:r>
        <w:t xml:space="preserve">We recognise that stronger </w:t>
      </w:r>
      <w:r w:rsidRPr="00BF568D">
        <w:t>link</w:t>
      </w:r>
      <w:r>
        <w:t>ages between</w:t>
      </w:r>
      <w:r w:rsidRPr="00BF568D">
        <w:t xml:space="preserve"> social services, health care and other supports</w:t>
      </w:r>
      <w:r>
        <w:t xml:space="preserve"> are particularly important for Victorians with more chronic or complex needs. We are committed to</w:t>
      </w:r>
      <w:r w:rsidRPr="00BF568D">
        <w:t xml:space="preserve"> deepening the department’s </w:t>
      </w:r>
      <w:r>
        <w:t>engagement with consumers and practitioners to continue to improve the experience of, and outcomes from, healthcare.</w:t>
      </w:r>
    </w:p>
    <w:p w14:paraId="0C878744" w14:textId="77777777" w:rsidR="00814857" w:rsidRDefault="00814857" w:rsidP="0099241F">
      <w:pPr>
        <w:pStyle w:val="ARbody"/>
      </w:pPr>
    </w:p>
    <w:p w14:paraId="465CF9E5" w14:textId="77777777" w:rsidR="00814857" w:rsidRPr="00843E40" w:rsidRDefault="00814857" w:rsidP="0099241F">
      <w:pPr>
        <w:pStyle w:val="ARbody"/>
        <w:sectPr w:rsidR="00814857" w:rsidRPr="00843E40" w:rsidSect="005D5372">
          <w:headerReference w:type="first" r:id="rId84"/>
          <w:footerReference w:type="first" r:id="rId85"/>
          <w:endnotePr>
            <w:numFmt w:val="decimal"/>
          </w:endnotePr>
          <w:type w:val="continuous"/>
          <w:pgSz w:w="11900" w:h="16840" w:code="9"/>
          <w:pgMar w:top="1985" w:right="851" w:bottom="851" w:left="1418" w:header="510" w:footer="340" w:gutter="0"/>
          <w:cols w:space="454"/>
        </w:sectPr>
      </w:pPr>
    </w:p>
    <w:p w14:paraId="77EB96E3" w14:textId="15233715" w:rsidR="00814857" w:rsidRDefault="00814857" w:rsidP="000B7C6C">
      <w:pPr>
        <w:pStyle w:val="Heading4"/>
      </w:pPr>
      <w:r w:rsidRPr="000B7C6C">
        <w:t>Outcome</w:t>
      </w:r>
      <w:r>
        <w:t xml:space="preserve"> 1.1: Victorians have</w:t>
      </w:r>
      <w:r w:rsidR="0007489E">
        <w:t> </w:t>
      </w:r>
      <w:r>
        <w:t>good</w:t>
      </w:r>
      <w:r w:rsidR="0007489E">
        <w:t> </w:t>
      </w:r>
      <w:r>
        <w:t>physical health</w:t>
      </w:r>
    </w:p>
    <w:p w14:paraId="68DAE1E1" w14:textId="77777777" w:rsidR="00345066" w:rsidRDefault="00814857" w:rsidP="00350E76">
      <w:pPr>
        <w:pStyle w:val="ARbody"/>
      </w:pPr>
      <w:r>
        <w:t xml:space="preserve">Victoria’s population is expected to increase by </w:t>
      </w:r>
      <w:r w:rsidRPr="00174313">
        <w:t>about two</w:t>
      </w:r>
      <w:r>
        <w:t>-</w:t>
      </w:r>
      <w:r w:rsidRPr="00174313">
        <w:t>thirds in the next four decades. At the same time, our population is ageing and becoming more diverse.</w:t>
      </w:r>
    </w:p>
    <w:p w14:paraId="352E5484" w14:textId="77777777" w:rsidR="00345066" w:rsidRDefault="00814857" w:rsidP="00350E76">
      <w:pPr>
        <w:pStyle w:val="ARbody"/>
      </w:pPr>
      <w:r>
        <w:t>Improving overall physical health relies on convenient access to care that is consistently safe and appropriate. Preventive measures to improve healthy living also contribute to this outcome.</w:t>
      </w:r>
    </w:p>
    <w:p w14:paraId="77076304" w14:textId="30187431" w:rsidR="00814857" w:rsidRDefault="00814857" w:rsidP="00350E76">
      <w:pPr>
        <w:pStyle w:val="Heading5"/>
      </w:pPr>
      <w:r>
        <w:t>Progress against outcomes</w:t>
      </w:r>
    </w:p>
    <w:p w14:paraId="6FABAA47" w14:textId="77777777" w:rsidR="00345066" w:rsidRDefault="00814857" w:rsidP="00350E76">
      <w:pPr>
        <w:pStyle w:val="ARbody"/>
      </w:pPr>
      <w:r>
        <w:t>Over the next four years, the Victorian Health and Human Services Building Authority will manage a pipeline of nearly $4 billion in capital projects to improve access to safe, high-quality health and human services close to home.</w:t>
      </w:r>
    </w:p>
    <w:p w14:paraId="38BED9A4" w14:textId="4D6D2830" w:rsidR="00814857" w:rsidRPr="00174313" w:rsidRDefault="00814857" w:rsidP="00350E76">
      <w:pPr>
        <w:pStyle w:val="ARbody"/>
      </w:pPr>
      <w:r>
        <w:t>Some of the significant health projects completed</w:t>
      </w:r>
      <w:r w:rsidR="0007489E">
        <w:t> </w:t>
      </w:r>
      <w:r>
        <w:t>during 2018–19 are profiled below.</w:t>
      </w:r>
    </w:p>
    <w:p w14:paraId="0CB049EA" w14:textId="77777777" w:rsidR="00814857" w:rsidRPr="003F1701" w:rsidRDefault="00814857" w:rsidP="00350E76">
      <w:pPr>
        <w:pStyle w:val="Heading6"/>
        <w:rPr>
          <w:lang w:val="en-AU"/>
        </w:rPr>
      </w:pPr>
      <w:r>
        <w:rPr>
          <w:lang w:val="en-AU"/>
        </w:rPr>
        <w:t>High-quality health care in the west</w:t>
      </w:r>
    </w:p>
    <w:p w14:paraId="6210479C" w14:textId="77777777" w:rsidR="00814857" w:rsidRPr="00174313" w:rsidRDefault="00814857" w:rsidP="00350E76">
      <w:pPr>
        <w:pStyle w:val="ARbody"/>
      </w:pPr>
      <w:r w:rsidRPr="00174313">
        <w:t xml:space="preserve">The new Joan Kirner Women’s and Children’s Hospital, </w:t>
      </w:r>
      <w:r>
        <w:t xml:space="preserve">named after Victoria’s first female Premier, </w:t>
      </w:r>
      <w:r w:rsidRPr="00174313">
        <w:t>officially opened on 5 May 2019</w:t>
      </w:r>
      <w:r>
        <w:t xml:space="preserve"> at Sunshine Hospital. It </w:t>
      </w:r>
      <w:r w:rsidRPr="00174313">
        <w:t>is delivering the highest standard of health</w:t>
      </w:r>
      <w:r>
        <w:t xml:space="preserve"> </w:t>
      </w:r>
      <w:r w:rsidRPr="00174313">
        <w:t>care for families in the rapidly growing western suburbs.</w:t>
      </w:r>
    </w:p>
    <w:p w14:paraId="25980EF4" w14:textId="7C6DFA1D" w:rsidR="00814857" w:rsidRPr="00174313" w:rsidRDefault="00814857" w:rsidP="00350E76">
      <w:pPr>
        <w:pStyle w:val="ARbody"/>
      </w:pPr>
      <w:r w:rsidRPr="00174313">
        <w:t>The hospital’s new delivery suites are forecast to deliver up to 7,000 babies a year by 2026, giving more local women the chance to give birth closer to</w:t>
      </w:r>
      <w:r w:rsidR="0007489E">
        <w:t> </w:t>
      </w:r>
      <w:r w:rsidRPr="00174313">
        <w:t>home. The hospital also features the western suburbs’ first-ever neonatal intensive care unit, 20</w:t>
      </w:r>
      <w:r>
        <w:t> </w:t>
      </w:r>
      <w:r w:rsidRPr="00174313">
        <w:t>maternity delivery rooms, 237 beds, 39 special care nursery cots and four theatres plus additional clinics.</w:t>
      </w:r>
    </w:p>
    <w:p w14:paraId="558273F7" w14:textId="77777777" w:rsidR="00814857" w:rsidRPr="00174313" w:rsidRDefault="00814857" w:rsidP="00350E76">
      <w:pPr>
        <w:pStyle w:val="ARbody"/>
      </w:pPr>
      <w:r w:rsidRPr="00174313">
        <w:t>The transfer of women’s and children’s services has also made room for an additional 90 adult acute inpatient beds at Western Health’s Sunshine Hospital, with refurbishments due to be completed in June 2020.</w:t>
      </w:r>
    </w:p>
    <w:p w14:paraId="08A7B5F5" w14:textId="77777777" w:rsidR="00814857" w:rsidRPr="004D63E8" w:rsidRDefault="00814857" w:rsidP="00350E76">
      <w:pPr>
        <w:pStyle w:val="ARbody"/>
      </w:pPr>
      <w:r w:rsidRPr="00174313">
        <w:t>Expansion of the emergency department at Sunshine Hospital is also underway</w:t>
      </w:r>
      <w:r w:rsidRPr="004D63E8">
        <w:t xml:space="preserve">, with improved children’s facilities and a mental health and alcohol and other drug crisis </w:t>
      </w:r>
      <w:r>
        <w:t>hub</w:t>
      </w:r>
      <w:r w:rsidRPr="004D63E8">
        <w:t xml:space="preserve">, due to be completed by </w:t>
      </w:r>
      <w:r>
        <w:t>mid 2022</w:t>
      </w:r>
      <w:r w:rsidRPr="004D63E8">
        <w:t>.</w:t>
      </w:r>
    </w:p>
    <w:p w14:paraId="24FC28B6" w14:textId="77777777" w:rsidR="00814857" w:rsidRPr="003F1701" w:rsidRDefault="00814857" w:rsidP="00350E76">
      <w:pPr>
        <w:pStyle w:val="Heading6"/>
        <w:rPr>
          <w:lang w:val="en-AU"/>
        </w:rPr>
      </w:pPr>
      <w:r>
        <w:rPr>
          <w:lang w:val="en-AU"/>
        </w:rPr>
        <w:t>Meeting the needs of a growing population</w:t>
      </w:r>
    </w:p>
    <w:p w14:paraId="78B28423" w14:textId="77777777" w:rsidR="00814857" w:rsidRPr="004D63E8" w:rsidRDefault="00814857" w:rsidP="00350E76">
      <w:pPr>
        <w:pStyle w:val="ARbody"/>
      </w:pPr>
      <w:r w:rsidRPr="004D63E8">
        <w:t>Services provided at Werribee Mercy Hospital have also increased in 2018–19 following an expansion completed in June 2018.</w:t>
      </w:r>
    </w:p>
    <w:p w14:paraId="7384317E" w14:textId="6FB43687" w:rsidR="00814857" w:rsidRPr="004D63E8" w:rsidRDefault="00814857" w:rsidP="0007489E">
      <w:pPr>
        <w:pStyle w:val="ARbody"/>
      </w:pPr>
      <w:r w:rsidRPr="004D63E8">
        <w:t>An additional 64 inpatient beds, including eight new</w:t>
      </w:r>
      <w:r w:rsidR="0007489E">
        <w:t> </w:t>
      </w:r>
      <w:r w:rsidRPr="004D63E8">
        <w:t>critical care beds, take the total number of beds to 298.</w:t>
      </w:r>
    </w:p>
    <w:p w14:paraId="316B9580" w14:textId="77777777" w:rsidR="00814857" w:rsidRPr="004D63E8" w:rsidRDefault="00814857" w:rsidP="00350E76">
      <w:pPr>
        <w:pStyle w:val="ARbody"/>
      </w:pPr>
      <w:r w:rsidRPr="004D63E8">
        <w:lastRenderedPageBreak/>
        <w:t>Combined with six new operating theatres, the expanded hospital is better meeting the demands of the rapidly growing Wyndham City community, which is expected to grow by 193,000 people between 2011 and 2031.</w:t>
      </w:r>
    </w:p>
    <w:p w14:paraId="07532A8B" w14:textId="77777777" w:rsidR="00814857" w:rsidRDefault="00814857" w:rsidP="00350E76">
      <w:pPr>
        <w:pStyle w:val="ARbody"/>
      </w:pPr>
      <w:r w:rsidRPr="004D63E8">
        <w:t>During construction, the project created nearly 300</w:t>
      </w:r>
      <w:r>
        <w:t> </w:t>
      </w:r>
      <w:r w:rsidRPr="004D63E8">
        <w:t>jobs.</w:t>
      </w:r>
    </w:p>
    <w:p w14:paraId="1C93BE36" w14:textId="77777777" w:rsidR="00814857" w:rsidRDefault="00814857" w:rsidP="00350E76">
      <w:pPr>
        <w:pStyle w:val="ARbody"/>
      </w:pPr>
      <w:r>
        <w:t>Several other hospital expansions are delivering increased services across Melbourne.</w:t>
      </w:r>
    </w:p>
    <w:p w14:paraId="6AF4DB6E" w14:textId="49EBC04D" w:rsidR="00814857" w:rsidRDefault="00814857" w:rsidP="00350E76">
      <w:pPr>
        <w:pStyle w:val="ARbody"/>
      </w:pPr>
      <w:r>
        <w:t>The new intensive care unit and short</w:t>
      </w:r>
      <w:r w:rsidR="000A6AF0">
        <w:t>-</w:t>
      </w:r>
      <w:r>
        <w:t>stay unit</w:t>
      </w:r>
      <w:r w:rsidR="008C5FCE">
        <w:t> </w:t>
      </w:r>
      <w:r>
        <w:t>at</w:t>
      </w:r>
      <w:r w:rsidR="0007489E">
        <w:t> </w:t>
      </w:r>
      <w:r>
        <w:t>Angliss Hospital opened in October 2018</w:t>
      </w:r>
      <w:r w:rsidR="000A6AF0">
        <w:t>. It</w:t>
      </w:r>
      <w:r w:rsidR="008C5FCE">
        <w:t> </w:t>
      </w:r>
      <w:r>
        <w:t>has</w:t>
      </w:r>
      <w:r w:rsidR="008C5FCE">
        <w:t> </w:t>
      </w:r>
      <w:r>
        <w:t>significantly increased and improved the hospital’s ability to provide critical health care to the</w:t>
      </w:r>
      <w:r w:rsidR="008C5FCE">
        <w:t> </w:t>
      </w:r>
      <w:r>
        <w:t>community and reduced waiting times in the hospital’s emergency department, so local patients can get the treatment and care they need, sooner.</w:t>
      </w:r>
    </w:p>
    <w:p w14:paraId="4E93058B" w14:textId="04FE575D" w:rsidR="00814857" w:rsidRDefault="00814857" w:rsidP="00350E76">
      <w:pPr>
        <w:pStyle w:val="ARbody"/>
      </w:pPr>
      <w:r>
        <w:t>Expansion of the Northern Hospital is progressing with a new start-of-the-art intensive care unit opening in March 2019. The new 18-bed unit includes hi-tech equipment to offer better comfort and care for patients and their families. The opening clears the way for phase two of the development to begin. This larger project will see a</w:t>
      </w:r>
      <w:r w:rsidR="008C5FCE">
        <w:t> </w:t>
      </w:r>
      <w:r>
        <w:t>seven-storey tower built with 96 new inpatient beds, three new operating theatres, a kitchen and more treatment rooms.</w:t>
      </w:r>
    </w:p>
    <w:p w14:paraId="794885A0" w14:textId="77777777" w:rsidR="00814857" w:rsidRDefault="00814857" w:rsidP="005E463D">
      <w:pPr>
        <w:pStyle w:val="Heading6"/>
      </w:pPr>
      <w:r>
        <w:t>Meeting the needs of regional Victoria</w:t>
      </w:r>
    </w:p>
    <w:p w14:paraId="6E3B4D0C" w14:textId="77777777" w:rsidR="00814857" w:rsidRDefault="00814857" w:rsidP="00350E76">
      <w:pPr>
        <w:pStyle w:val="ARbody"/>
        <w:rPr>
          <w:rFonts w:eastAsia="Times New Roman"/>
        </w:rPr>
      </w:pPr>
      <w:r>
        <w:rPr>
          <w:rFonts w:eastAsia="Times New Roman"/>
        </w:rPr>
        <w:t>Construction of the new Bendigo Hospital was completed in June 2018, giving patients better access to world-class health care with integrated cancer, mental health and maternity units.</w:t>
      </w:r>
    </w:p>
    <w:p w14:paraId="7407C45C" w14:textId="571DC15E" w:rsidR="00814857" w:rsidRDefault="00814857" w:rsidP="00350E76">
      <w:pPr>
        <w:pStyle w:val="ARbody"/>
        <w:rPr>
          <w:rFonts w:eastAsia="Times New Roman"/>
        </w:rPr>
      </w:pPr>
      <w:r>
        <w:rPr>
          <w:rFonts w:eastAsia="Times New Roman"/>
        </w:rPr>
        <w:t>The state-of-the-art redevelopment is the largest hospital redevelopment in regional Victoria’s history and features 372 inpatient beds, 72 same-day beds, 11 new operating theatres, and an integrated cancer centre. There is also a 25-bed maternity unit and an 80</w:t>
      </w:r>
      <w:r w:rsidR="000A6AF0">
        <w:rPr>
          <w:rFonts w:eastAsia="Times New Roman"/>
        </w:rPr>
        <w:t>-</w:t>
      </w:r>
      <w:r>
        <w:rPr>
          <w:rFonts w:eastAsia="Times New Roman"/>
        </w:rPr>
        <w:t>bed mental health unit</w:t>
      </w:r>
      <w:r w:rsidR="000A6AF0">
        <w:rPr>
          <w:rFonts w:eastAsia="Times New Roman"/>
        </w:rPr>
        <w:t>;</w:t>
      </w:r>
      <w:r>
        <w:rPr>
          <w:rFonts w:eastAsia="Times New Roman"/>
        </w:rPr>
        <w:t xml:space="preserve"> </w:t>
      </w:r>
      <w:r w:rsidR="000A6AF0">
        <w:rPr>
          <w:rFonts w:eastAsia="Times New Roman"/>
        </w:rPr>
        <w:t xml:space="preserve">a </w:t>
      </w:r>
      <w:r>
        <w:rPr>
          <w:rFonts w:eastAsia="Times New Roman"/>
        </w:rPr>
        <w:t>multideck car park</w:t>
      </w:r>
      <w:r w:rsidR="000A6AF0">
        <w:rPr>
          <w:rFonts w:eastAsia="Times New Roman"/>
        </w:rPr>
        <w:t>;</w:t>
      </w:r>
      <w:r>
        <w:rPr>
          <w:rFonts w:eastAsia="Times New Roman"/>
        </w:rPr>
        <w:t xml:space="preserve"> </w:t>
      </w:r>
      <w:r w:rsidR="000A6AF0">
        <w:rPr>
          <w:rFonts w:eastAsia="Times New Roman"/>
        </w:rPr>
        <w:t xml:space="preserve">a </w:t>
      </w:r>
      <w:r>
        <w:rPr>
          <w:rFonts w:eastAsia="Times New Roman"/>
        </w:rPr>
        <w:t>helipad</w:t>
      </w:r>
      <w:r w:rsidR="000A6AF0">
        <w:rPr>
          <w:rFonts w:eastAsia="Times New Roman"/>
        </w:rPr>
        <w:t xml:space="preserve">; </w:t>
      </w:r>
      <w:r>
        <w:rPr>
          <w:rFonts w:eastAsia="Times New Roman"/>
        </w:rPr>
        <w:t>a childcare centre</w:t>
      </w:r>
      <w:r w:rsidR="000A6AF0">
        <w:rPr>
          <w:rFonts w:eastAsia="Times New Roman"/>
        </w:rPr>
        <w:t>;</w:t>
      </w:r>
      <w:r>
        <w:rPr>
          <w:rFonts w:eastAsia="Times New Roman"/>
        </w:rPr>
        <w:t xml:space="preserve"> and affordable accommodation for visitors.</w:t>
      </w:r>
    </w:p>
    <w:p w14:paraId="6904F920" w14:textId="77777777" w:rsidR="00814857" w:rsidRDefault="00814857" w:rsidP="00350E76">
      <w:pPr>
        <w:pStyle w:val="ARbody"/>
        <w:rPr>
          <w:rFonts w:eastAsia="Times New Roman"/>
        </w:rPr>
      </w:pPr>
      <w:r>
        <w:rPr>
          <w:rFonts w:eastAsia="Times New Roman"/>
        </w:rPr>
        <w:t>To ensure that even more regional health services can build new facilities or complete the upgrades they need, a $50 million boost was provided to the Regional Health Infrastructure fund, bringing the total $250 million.</w:t>
      </w:r>
    </w:p>
    <w:p w14:paraId="7ED63CA1" w14:textId="1A55FED0" w:rsidR="00814857" w:rsidRPr="00843E40" w:rsidRDefault="00A845B8" w:rsidP="0099241F">
      <w:pPr>
        <w:pStyle w:val="Heading6"/>
        <w:rPr>
          <w:rFonts w:eastAsia="Times"/>
          <w:lang w:val="en-AU"/>
        </w:rPr>
      </w:pPr>
      <w:r>
        <w:rPr>
          <w:rFonts w:eastAsia="Times"/>
          <w:lang w:val="en-AU"/>
        </w:rPr>
        <w:br w:type="column"/>
      </w:r>
      <w:r w:rsidR="00814857" w:rsidRPr="00843E40">
        <w:rPr>
          <w:rFonts w:eastAsia="Times"/>
          <w:lang w:val="en-AU"/>
        </w:rPr>
        <w:t>Modernising Ambulance Victoria Infrastructure</w:t>
      </w:r>
    </w:p>
    <w:p w14:paraId="32B09721" w14:textId="77777777" w:rsidR="00345066" w:rsidRDefault="00814857" w:rsidP="00350E76">
      <w:pPr>
        <w:pStyle w:val="ARbody"/>
        <w:rPr>
          <w:rFonts w:eastAsia="Times New Roman"/>
        </w:rPr>
      </w:pPr>
      <w:r>
        <w:rPr>
          <w:rFonts w:eastAsia="Times New Roman"/>
        </w:rPr>
        <w:t>The Victorian Government has committed $181.8 million for Ambulance Victorian capital projects since 2015–16, reflecting a strong commitment to providing modern, fit-for-purpose accommodation for paramedics.</w:t>
      </w:r>
    </w:p>
    <w:p w14:paraId="7CAECD99" w14:textId="27B054C3" w:rsidR="00814857" w:rsidRPr="006C53EF" w:rsidRDefault="00814857" w:rsidP="00350E76">
      <w:pPr>
        <w:pStyle w:val="ARbody"/>
        <w:rPr>
          <w:rFonts w:eastAsia="Times New Roman"/>
        </w:rPr>
      </w:pPr>
      <w:r>
        <w:rPr>
          <w:rFonts w:eastAsia="Times New Roman"/>
        </w:rPr>
        <w:t>In 2018–19, new stations were opened at Diamond Creek, St. Arnaud, Preston and Mernda.</w:t>
      </w:r>
    </w:p>
    <w:p w14:paraId="59125433" w14:textId="27DE8F70" w:rsidR="00814857" w:rsidRPr="00A430DD" w:rsidRDefault="00814857" w:rsidP="00350E76">
      <w:pPr>
        <w:pStyle w:val="Heading6"/>
        <w:rPr>
          <w:lang w:val="en-AU"/>
        </w:rPr>
      </w:pPr>
      <w:r>
        <w:rPr>
          <w:rFonts w:eastAsia="Times"/>
          <w:lang w:val="en-AU"/>
        </w:rPr>
        <w:t>24-hour medical and nursing services</w:t>
      </w:r>
      <w:r w:rsidR="00345066">
        <w:rPr>
          <w:rFonts w:eastAsia="Times"/>
          <w:lang w:val="en-AU"/>
        </w:rPr>
        <w:t> </w:t>
      </w:r>
      <w:r>
        <w:rPr>
          <w:rFonts w:eastAsia="Times"/>
          <w:lang w:val="en-AU"/>
        </w:rPr>
        <w:t>for</w:t>
      </w:r>
      <w:r w:rsidR="0007489E">
        <w:rPr>
          <w:rFonts w:eastAsia="Times"/>
          <w:lang w:val="en-AU"/>
        </w:rPr>
        <w:t> </w:t>
      </w:r>
      <w:r>
        <w:rPr>
          <w:rFonts w:eastAsia="Times"/>
          <w:lang w:val="en-AU"/>
        </w:rPr>
        <w:t>Phillip</w:t>
      </w:r>
      <w:r w:rsidR="0007489E">
        <w:rPr>
          <w:rFonts w:eastAsia="Times"/>
          <w:lang w:val="en-AU"/>
        </w:rPr>
        <w:t> </w:t>
      </w:r>
      <w:r>
        <w:rPr>
          <w:rFonts w:eastAsia="Times"/>
          <w:lang w:val="en-AU"/>
        </w:rPr>
        <w:t>Island</w:t>
      </w:r>
    </w:p>
    <w:p w14:paraId="2F351ED7" w14:textId="2C24AA84" w:rsidR="00814857" w:rsidRPr="004D63E8" w:rsidRDefault="00814857" w:rsidP="00350E76">
      <w:pPr>
        <w:pStyle w:val="ARbody"/>
      </w:pPr>
      <w:r w:rsidRPr="004D63E8">
        <w:t>The department worked closely with Bass Coast Health to establish the Minor Injury and Illness Clinic on Phillip Island</w:t>
      </w:r>
      <w:r>
        <w:t xml:space="preserve">, also known as the </w:t>
      </w:r>
      <w:r w:rsidRPr="00167312">
        <w:t>Phillip Island</w:t>
      </w:r>
      <w:r>
        <w:t xml:space="preserve"> Health Hub</w:t>
      </w:r>
      <w:r w:rsidRPr="004D63E8">
        <w:t>. The clinic provides 24-hour medical and nursing services on Phillip Island. It</w:t>
      </w:r>
      <w:r w:rsidR="0007489E">
        <w:t> </w:t>
      </w:r>
      <w:r w:rsidRPr="004D63E8">
        <w:t>was opened in December 2018, ready for the peak holiday season. More than 6,000 locals and holidaymakers were treated at the clinic this year, demonstrating the strong need for the service in the</w:t>
      </w:r>
      <w:r w:rsidR="0007489E">
        <w:t> </w:t>
      </w:r>
      <w:r w:rsidRPr="004D63E8">
        <w:t>community. The new clinic has already saved a</w:t>
      </w:r>
      <w:r w:rsidR="0007489E">
        <w:t> </w:t>
      </w:r>
      <w:r w:rsidRPr="004D63E8">
        <w:t>number of lives</w:t>
      </w:r>
      <w:r>
        <w:t xml:space="preserve"> and </w:t>
      </w:r>
      <w:r w:rsidRPr="004D63E8">
        <w:t xml:space="preserve">has also saved significant travel </w:t>
      </w:r>
      <w:r>
        <w:t xml:space="preserve">and time </w:t>
      </w:r>
      <w:r w:rsidRPr="004D63E8">
        <w:t>for those individuals and their families.</w:t>
      </w:r>
    </w:p>
    <w:p w14:paraId="6931CCD5" w14:textId="77777777" w:rsidR="00345066" w:rsidRDefault="00814857" w:rsidP="00350E76">
      <w:pPr>
        <w:pStyle w:val="ARbody"/>
      </w:pPr>
      <w:r w:rsidRPr="004D63E8">
        <w:t>The department has also ensured refurbishment works to increase the range of services offered at the Phillip Island Health Hub, with the urgent care centre due to open in the new financial year.</w:t>
      </w:r>
    </w:p>
    <w:p w14:paraId="53D9FD21" w14:textId="60A8F693" w:rsidR="00814857" w:rsidRPr="004D63E8" w:rsidRDefault="00814857" w:rsidP="00350E76">
      <w:pPr>
        <w:pStyle w:val="ARbody"/>
      </w:pPr>
      <w:r w:rsidRPr="004D63E8">
        <w:t>The 24-hour, seven-day-a-week service and</w:t>
      </w:r>
      <w:r w:rsidR="005E463D">
        <w:t> </w:t>
      </w:r>
      <w:r w:rsidRPr="004D63E8">
        <w:t>refurbishments are the first part of the transformation of the Phillip Island Health Hub into</w:t>
      </w:r>
      <w:r w:rsidR="005E463D">
        <w:t> </w:t>
      </w:r>
      <w:r w:rsidRPr="004D63E8">
        <w:t>a new flagship community hospital. When complete, as well as an urgent care service, the new community hospital will feature day surgery and allied health services</w:t>
      </w:r>
      <w:r w:rsidR="000A6AF0">
        <w:t>;</w:t>
      </w:r>
      <w:r w:rsidRPr="004D63E8">
        <w:t xml:space="preserve"> a pharmacy</w:t>
      </w:r>
      <w:r w:rsidR="000A6AF0">
        <w:t>;</w:t>
      </w:r>
      <w:r w:rsidRPr="004D63E8">
        <w:t xml:space="preserve"> renal dialysis</w:t>
      </w:r>
      <w:r w:rsidR="000A6AF0">
        <w:t>;</w:t>
      </w:r>
      <w:r w:rsidRPr="004D63E8">
        <w:t xml:space="preserve"> diagnostic imaging and pathology services</w:t>
      </w:r>
      <w:r w:rsidR="000A6AF0">
        <w:t>;</w:t>
      </w:r>
      <w:r w:rsidRPr="004D63E8">
        <w:t xml:space="preserve"> dental services</w:t>
      </w:r>
      <w:r w:rsidR="000A6AF0">
        <w:t>;</w:t>
      </w:r>
      <w:r w:rsidRPr="004D63E8">
        <w:t xml:space="preserve"> family violence support</w:t>
      </w:r>
      <w:r w:rsidR="000A6AF0">
        <w:t>;</w:t>
      </w:r>
      <w:r w:rsidRPr="004D63E8">
        <w:t xml:space="preserve"> and maternal and child health services.</w:t>
      </w:r>
    </w:p>
    <w:p w14:paraId="6CD0C47C" w14:textId="77777777" w:rsidR="00814857" w:rsidRPr="00B34C15" w:rsidRDefault="00814857" w:rsidP="00350E76">
      <w:pPr>
        <w:pStyle w:val="ARbody"/>
      </w:pPr>
      <w:r w:rsidRPr="004D63E8">
        <w:t>These reforms will enable the community of Phillip Island to access health and social care even closer to home.</w:t>
      </w:r>
    </w:p>
    <w:p w14:paraId="200EBFA9" w14:textId="2BFCA7CD" w:rsidR="00814857" w:rsidRPr="007E26D9" w:rsidRDefault="00814857" w:rsidP="00350E76">
      <w:pPr>
        <w:pStyle w:val="Heading6"/>
      </w:pPr>
      <w:r>
        <w:rPr>
          <w:rFonts w:eastAsia="Times"/>
          <w:lang w:val="en-AU"/>
        </w:rPr>
        <w:t xml:space="preserve">Better patient experience through </w:t>
      </w:r>
      <w:r w:rsidR="000A6AF0">
        <w:rPr>
          <w:rFonts w:eastAsia="Times"/>
          <w:lang w:val="en-AU"/>
        </w:rPr>
        <w:t>t</w:t>
      </w:r>
      <w:r w:rsidRPr="007E26D9">
        <w:rPr>
          <w:rFonts w:eastAsia="Times"/>
        </w:rPr>
        <w:t>elehealth</w:t>
      </w:r>
    </w:p>
    <w:p w14:paraId="70DB7E8C" w14:textId="77777777" w:rsidR="00814857" w:rsidRPr="004D63E8" w:rsidRDefault="00814857" w:rsidP="00350E76">
      <w:pPr>
        <w:pStyle w:val="ARbody"/>
      </w:pPr>
      <w:r>
        <w:t>Alongside capital redevelopments and new physical locations, h</w:t>
      </w:r>
      <w:r w:rsidRPr="004D63E8">
        <w:t>ealth services continue to drive choice and better patient experience through increased use of telehealth (video consulting) to deliver acute and specialist services in 2018–19. The technology is particularly used to target patient</w:t>
      </w:r>
      <w:r>
        <w:t xml:space="preserve">s </w:t>
      </w:r>
      <w:r w:rsidRPr="004D63E8">
        <w:t>who are under</w:t>
      </w:r>
      <w:r>
        <w:t>-</w:t>
      </w:r>
      <w:r w:rsidRPr="004D63E8">
        <w:t xml:space="preserve">serviced by the conventional face-to-face model, irrespective of the clinic/specialty. This </w:t>
      </w:r>
      <w:r w:rsidRPr="004D63E8">
        <w:lastRenderedPageBreak/>
        <w:t>includes people from rural areas, Aboriginal Victorians, the elderly and people with mobility issues or disabilities. Telehealth activity in specialist clinics and emergency departments is funded through existing funding models for acute care.</w:t>
      </w:r>
    </w:p>
    <w:p w14:paraId="2F92BDFE" w14:textId="77777777" w:rsidR="00814857" w:rsidRPr="004D63E8" w:rsidRDefault="00814857" w:rsidP="00350E76">
      <w:pPr>
        <w:pStyle w:val="ARbody"/>
      </w:pPr>
      <w:r w:rsidRPr="004D63E8">
        <w:t>To assist in supporting telehealth projects, the department continued to provide access to Healthdirect Video Call, a web-based real-time conferencing telehealth solution specifically designed for clinicians and patients.</w:t>
      </w:r>
    </w:p>
    <w:p w14:paraId="2B8F79F0" w14:textId="77777777" w:rsidR="00814857" w:rsidRPr="00782044" w:rsidRDefault="00814857" w:rsidP="00350E76">
      <w:pPr>
        <w:pStyle w:val="Heading5"/>
        <w:rPr>
          <w:rFonts w:eastAsia="Calibri"/>
        </w:rPr>
      </w:pPr>
      <w:r w:rsidRPr="00782044">
        <w:rPr>
          <w:rFonts w:eastAsia="Calibri"/>
        </w:rPr>
        <w:t>Key result 1</w:t>
      </w:r>
      <w:r>
        <w:rPr>
          <w:rFonts w:eastAsia="Calibri"/>
        </w:rPr>
        <w:t xml:space="preserve">: </w:t>
      </w:r>
      <w:r w:rsidRPr="00782044">
        <w:rPr>
          <w:rFonts w:eastAsia="Calibri"/>
        </w:rPr>
        <w:t>Reduce the incidence of avoidable harm in Victorian hospitals</w:t>
      </w:r>
    </w:p>
    <w:p w14:paraId="33A460F8" w14:textId="77777777" w:rsidR="00345066" w:rsidRDefault="00814857" w:rsidP="00350E76">
      <w:pPr>
        <w:pStyle w:val="Heading6"/>
        <w:rPr>
          <w:rFonts w:eastAsia="Calibri"/>
          <w:lang w:val="en-AU"/>
        </w:rPr>
      </w:pPr>
      <w:r>
        <w:rPr>
          <w:rFonts w:eastAsia="Calibri"/>
          <w:lang w:val="en-AU"/>
        </w:rPr>
        <w:t>Real change in patient safety outcomes</w:t>
      </w:r>
    </w:p>
    <w:p w14:paraId="20637C62" w14:textId="368BFE37" w:rsidR="00814857" w:rsidRPr="00D277B7" w:rsidRDefault="00814857" w:rsidP="00350E76">
      <w:pPr>
        <w:pStyle w:val="ARbody"/>
      </w:pPr>
      <w:r w:rsidRPr="00D277B7">
        <w:t>Three years into the Better Care Victoria innovation fund, we are starting to measure real change in patient safety outcomes.</w:t>
      </w:r>
    </w:p>
    <w:p w14:paraId="6C61A029" w14:textId="77777777" w:rsidR="00345066" w:rsidRDefault="00814857" w:rsidP="00350E76">
      <w:pPr>
        <w:pStyle w:val="ARbody"/>
      </w:pPr>
      <w:r w:rsidRPr="00D277B7">
        <w:t>Fostering the best and brightest improvement ideas from the frontline, the fund has to date invested $13.2 million into 37 grassroots projects.</w:t>
      </w:r>
    </w:p>
    <w:p w14:paraId="6BC16864" w14:textId="4428CD87" w:rsidR="00814857" w:rsidRDefault="00814857" w:rsidP="00350E76">
      <w:pPr>
        <w:pStyle w:val="ARbody"/>
      </w:pPr>
      <w:r w:rsidRPr="00D277B7">
        <w:t>Safer Care Victoria is now scaling seven Better Care Victoria innovation fund projects.</w:t>
      </w:r>
    </w:p>
    <w:p w14:paraId="75CEA249" w14:textId="077E5B07" w:rsidR="00814857" w:rsidRPr="00D277B7" w:rsidRDefault="00814857" w:rsidP="00350E76">
      <w:pPr>
        <w:pStyle w:val="ARbody"/>
      </w:pPr>
      <w:r w:rsidRPr="00D277B7">
        <w:t>One of the first programs the fund invested in was the Think Sepsis. Act Fast. program, which aims to</w:t>
      </w:r>
      <w:r w:rsidR="00345066">
        <w:t> </w:t>
      </w:r>
      <w:r w:rsidRPr="00D277B7">
        <w:t>reduce harm from sepsis – the largest cause of hospital deaths globally. After a successful trial at Melbourne Health, we expanded the project to a further 11 hospitals in 2018–19.</w:t>
      </w:r>
    </w:p>
    <w:p w14:paraId="1334C255" w14:textId="60F1D4D6" w:rsidR="00814857" w:rsidRPr="00D277B7" w:rsidRDefault="00814857" w:rsidP="00350E76">
      <w:pPr>
        <w:pStyle w:val="ARbody"/>
      </w:pPr>
      <w:r>
        <w:t>During</w:t>
      </w:r>
      <w:r w:rsidRPr="002E04DB">
        <w:t xml:space="preserve"> just four months, partnering hospitals saved 52 lives and prevented 96 people being admitted to</w:t>
      </w:r>
      <w:r w:rsidR="00345066">
        <w:t> </w:t>
      </w:r>
      <w:r w:rsidRPr="002E04DB">
        <w:t>intensive care. Together, they saved more than 3,781 bed days and delivered a six-fold return on</w:t>
      </w:r>
      <w:r w:rsidR="00345066">
        <w:t> </w:t>
      </w:r>
      <w:r w:rsidRPr="002E04DB">
        <w:t>investment.</w:t>
      </w:r>
    </w:p>
    <w:p w14:paraId="6A0FFB70" w14:textId="7E38B45B" w:rsidR="00814857" w:rsidRDefault="00814857" w:rsidP="00350E76">
      <w:pPr>
        <w:pStyle w:val="Heading6"/>
        <w:rPr>
          <w:lang w:val="en-AU"/>
        </w:rPr>
      </w:pPr>
      <w:r>
        <w:rPr>
          <w:lang w:val="en-AU"/>
        </w:rPr>
        <w:t>Strategic partnerships driving quality</w:t>
      </w:r>
      <w:r w:rsidR="00345066">
        <w:rPr>
          <w:lang w:val="en-AU"/>
        </w:rPr>
        <w:t> </w:t>
      </w:r>
      <w:r>
        <w:rPr>
          <w:lang w:val="en-AU"/>
        </w:rPr>
        <w:t>health</w:t>
      </w:r>
      <w:r w:rsidR="00345066">
        <w:rPr>
          <w:lang w:val="en-AU"/>
        </w:rPr>
        <w:t> </w:t>
      </w:r>
      <w:r>
        <w:rPr>
          <w:lang w:val="en-AU"/>
        </w:rPr>
        <w:t>services</w:t>
      </w:r>
    </w:p>
    <w:p w14:paraId="54E7BACA" w14:textId="77777777" w:rsidR="00345066" w:rsidRDefault="00814857" w:rsidP="00350E76">
      <w:pPr>
        <w:pStyle w:val="ARbody"/>
        <w:rPr>
          <w:lang w:eastAsia="en-AU"/>
        </w:rPr>
      </w:pPr>
      <w:r w:rsidRPr="00657E8C">
        <w:rPr>
          <w:lang w:eastAsia="en-AU"/>
        </w:rPr>
        <w:t>Through a four-year strategic partnership with the Institute for Healthcare Improvement, Safer Care Victoria is applying an internationally proven method to test, adopt and sustain projects that improve patient safety and health service quality.</w:t>
      </w:r>
    </w:p>
    <w:p w14:paraId="33F40C65" w14:textId="784A4937" w:rsidR="00814857" w:rsidRPr="00657E8C" w:rsidRDefault="00814857" w:rsidP="00350E76">
      <w:pPr>
        <w:pStyle w:val="ARbody"/>
        <w:rPr>
          <w:lang w:eastAsia="en-AU"/>
        </w:rPr>
      </w:pPr>
      <w:r w:rsidRPr="00657E8C">
        <w:rPr>
          <w:lang w:eastAsia="en-AU"/>
        </w:rPr>
        <w:t>The first major project under the partnership aims to reduce harm from delirium, a condition that affects a patient’s thinking, attention and memory, and leads to falls, pressure injuries, longer hospital admissions and sometimes death.</w:t>
      </w:r>
    </w:p>
    <w:p w14:paraId="348C559D" w14:textId="30982FCD" w:rsidR="00814857" w:rsidRPr="00657E8C" w:rsidRDefault="00700071" w:rsidP="00350E76">
      <w:pPr>
        <w:pStyle w:val="ARbody"/>
        <w:rPr>
          <w:lang w:eastAsia="en-AU"/>
        </w:rPr>
      </w:pPr>
      <w:r>
        <w:rPr>
          <w:lang w:eastAsia="en-AU"/>
        </w:rPr>
        <w:br w:type="column"/>
      </w:r>
      <w:r w:rsidR="00814857" w:rsidRPr="00657E8C">
        <w:rPr>
          <w:lang w:eastAsia="en-AU"/>
        </w:rPr>
        <w:t>Older people are particularly vulnerable to this condition which, in many cases, is preventable.</w:t>
      </w:r>
    </w:p>
    <w:p w14:paraId="06BD2721" w14:textId="77777777" w:rsidR="00814857" w:rsidRPr="00657E8C" w:rsidRDefault="00814857" w:rsidP="00350E76">
      <w:pPr>
        <w:pStyle w:val="ARbody"/>
        <w:rPr>
          <w:lang w:eastAsia="en-AU"/>
        </w:rPr>
      </w:pPr>
      <w:r w:rsidRPr="00657E8C">
        <w:rPr>
          <w:lang w:eastAsia="en-AU"/>
        </w:rPr>
        <w:t xml:space="preserve">More than 20 health services collaborating on this project have achieved their first goal, with 90 per cent of patients </w:t>
      </w:r>
      <w:r>
        <w:rPr>
          <w:lang w:eastAsia="en-AU"/>
        </w:rPr>
        <w:t>older than</w:t>
      </w:r>
      <w:r w:rsidRPr="00657E8C">
        <w:rPr>
          <w:lang w:eastAsia="en-AU"/>
        </w:rPr>
        <w:t xml:space="preserve"> 65 years screened for delirium</w:t>
      </w:r>
      <w:r>
        <w:rPr>
          <w:lang w:eastAsia="en-AU"/>
        </w:rPr>
        <w:t xml:space="preserve"> – three times more patients than before the project at participating sites. Fewer patients than ever now require medication to manage delirium</w:t>
      </w:r>
      <w:r w:rsidRPr="00657E8C">
        <w:rPr>
          <w:lang w:eastAsia="en-AU"/>
        </w:rPr>
        <w:t>.</w:t>
      </w:r>
    </w:p>
    <w:p w14:paraId="2192CE38" w14:textId="77777777" w:rsidR="00814857" w:rsidRDefault="00814857" w:rsidP="00350E76">
      <w:pPr>
        <w:pStyle w:val="ARbody"/>
        <w:rPr>
          <w:lang w:eastAsia="en-AU"/>
        </w:rPr>
      </w:pPr>
      <w:r w:rsidRPr="00657E8C">
        <w:rPr>
          <w:lang w:eastAsia="en-AU"/>
        </w:rPr>
        <w:t>This model is being applied to collaborative projects targeting harm related to maternity care, and to many of Safer Care Victoria’s 52 improvement projects.</w:t>
      </w:r>
    </w:p>
    <w:p w14:paraId="17FDFAC9" w14:textId="78CA59DB" w:rsidR="00814857" w:rsidRPr="004D63E8" w:rsidRDefault="00814857" w:rsidP="00350E76">
      <w:pPr>
        <w:pStyle w:val="Heading5"/>
        <w:rPr>
          <w:rFonts w:eastAsia="Calibri"/>
        </w:rPr>
      </w:pPr>
      <w:r w:rsidRPr="004D63E8">
        <w:rPr>
          <w:rFonts w:eastAsia="Calibri"/>
        </w:rPr>
        <w:t>Key result 2</w:t>
      </w:r>
      <w:r>
        <w:rPr>
          <w:rFonts w:eastAsia="Calibri"/>
        </w:rPr>
        <w:t xml:space="preserve">: </w:t>
      </w:r>
      <w:r w:rsidRPr="004D63E8">
        <w:rPr>
          <w:rFonts w:eastAsia="Calibri"/>
        </w:rPr>
        <w:t>Reduce obesity and</w:t>
      </w:r>
      <w:r w:rsidR="00345066">
        <w:rPr>
          <w:rFonts w:eastAsia="Calibri"/>
        </w:rPr>
        <w:t> </w:t>
      </w:r>
      <w:r w:rsidRPr="004D63E8">
        <w:rPr>
          <w:rFonts w:eastAsia="Calibri"/>
        </w:rPr>
        <w:t>increase</w:t>
      </w:r>
      <w:r w:rsidR="00345066">
        <w:rPr>
          <w:rFonts w:eastAsia="Calibri"/>
        </w:rPr>
        <w:t> </w:t>
      </w:r>
      <w:r w:rsidRPr="004D63E8">
        <w:rPr>
          <w:rFonts w:eastAsia="Calibri"/>
        </w:rPr>
        <w:t>physical activity across</w:t>
      </w:r>
      <w:r w:rsidR="00345066">
        <w:rPr>
          <w:rFonts w:eastAsia="Calibri"/>
        </w:rPr>
        <w:t> </w:t>
      </w:r>
      <w:r w:rsidRPr="004D63E8">
        <w:rPr>
          <w:rFonts w:eastAsia="Calibri"/>
        </w:rPr>
        <w:t>Victoria</w:t>
      </w:r>
    </w:p>
    <w:p w14:paraId="058AAC97" w14:textId="6AF0C6FF" w:rsidR="00814857" w:rsidRPr="004D63E8" w:rsidRDefault="00814857" w:rsidP="00350E76">
      <w:pPr>
        <w:pStyle w:val="Heading6"/>
      </w:pPr>
      <w:r w:rsidRPr="004D63E8">
        <w:t>Reducing obesity and increasing</w:t>
      </w:r>
      <w:r w:rsidR="00345066">
        <w:rPr>
          <w:lang w:val="en-US"/>
        </w:rPr>
        <w:t> </w:t>
      </w:r>
      <w:r w:rsidRPr="004D63E8">
        <w:t>physical</w:t>
      </w:r>
      <w:r w:rsidR="00345066">
        <w:rPr>
          <w:lang w:val="en-US"/>
        </w:rPr>
        <w:t> </w:t>
      </w:r>
      <w:r w:rsidRPr="004D63E8">
        <w:t>activity</w:t>
      </w:r>
    </w:p>
    <w:p w14:paraId="340BDFD8" w14:textId="77777777" w:rsidR="00814857" w:rsidRPr="007B337D" w:rsidRDefault="00814857" w:rsidP="00350E76">
      <w:pPr>
        <w:pStyle w:val="ARbody"/>
      </w:pPr>
      <w:r w:rsidRPr="007B337D">
        <w:t>Every year</w:t>
      </w:r>
      <w:r>
        <w:t>,</w:t>
      </w:r>
      <w:r w:rsidRPr="007B337D">
        <w:t xml:space="preserve"> we drive initiatives that contribute to obesity prevention and help support increased physical activity. </w:t>
      </w:r>
      <w:r w:rsidRPr="007B337D">
        <w:rPr>
          <w:color w:val="000000"/>
        </w:rPr>
        <w:t>Creating more opportunities for Victorians to be active and play sport foster</w:t>
      </w:r>
      <w:r>
        <w:rPr>
          <w:color w:val="000000"/>
        </w:rPr>
        <w:t>s</w:t>
      </w:r>
      <w:r w:rsidRPr="007B337D">
        <w:rPr>
          <w:color w:val="000000"/>
        </w:rPr>
        <w:t xml:space="preserve"> healthier, well-connected communities</w:t>
      </w:r>
      <w:r>
        <w:rPr>
          <w:color w:val="000000"/>
        </w:rPr>
        <w:t>.</w:t>
      </w:r>
      <w:r w:rsidRPr="007B337D">
        <w:t xml:space="preserve"> These initiatives include:</w:t>
      </w:r>
    </w:p>
    <w:p w14:paraId="469723C8" w14:textId="4F26A69B" w:rsidR="00814857" w:rsidRPr="007B337D" w:rsidRDefault="00814857" w:rsidP="00350E76">
      <w:pPr>
        <w:pStyle w:val="ARbullet1"/>
      </w:pPr>
      <w:r>
        <w:t>t</w:t>
      </w:r>
      <w:r w:rsidRPr="007B337D">
        <w:t>he Achievement Program</w:t>
      </w:r>
      <w:r>
        <w:t>,</w:t>
      </w:r>
      <w:r w:rsidR="008C5FCE">
        <w:t xml:space="preserve"> </w:t>
      </w:r>
      <w:r w:rsidRPr="007B337D">
        <w:t>which is supporting approximately 2,800 early childhood services, schools and workplaces to create</w:t>
      </w:r>
      <w:r>
        <w:t xml:space="preserve"> </w:t>
      </w:r>
      <w:r w:rsidRPr="007B337D">
        <w:t>healthy</w:t>
      </w:r>
      <w:r>
        <w:t xml:space="preserve"> </w:t>
      </w:r>
      <w:r w:rsidRPr="007B337D">
        <w:t xml:space="preserve">environments </w:t>
      </w:r>
      <w:r>
        <w:t>–</w:t>
      </w:r>
      <w:r w:rsidRPr="007B337D">
        <w:t xml:space="preserve"> making it</w:t>
      </w:r>
      <w:r>
        <w:t xml:space="preserve"> </w:t>
      </w:r>
      <w:r w:rsidRPr="007B337D">
        <w:t>as easy as possible for children and adults to be healthy and well where they play, learn and work</w:t>
      </w:r>
    </w:p>
    <w:p w14:paraId="2F447FFB" w14:textId="46A74BE5" w:rsidR="00814857" w:rsidRPr="007B337D" w:rsidRDefault="00814857" w:rsidP="00350E76">
      <w:pPr>
        <w:pStyle w:val="ARbullet1"/>
      </w:pPr>
      <w:r>
        <w:t>t</w:t>
      </w:r>
      <w:r w:rsidRPr="007B337D">
        <w:t>he</w:t>
      </w:r>
      <w:r w:rsidR="008C5FCE">
        <w:t xml:space="preserve"> </w:t>
      </w:r>
      <w:r w:rsidRPr="007B337D">
        <w:t>Healthy Eating Advisory Service</w:t>
      </w:r>
      <w:r>
        <w:t>,</w:t>
      </w:r>
      <w:r w:rsidR="008C5FCE">
        <w:t xml:space="preserve"> </w:t>
      </w:r>
      <w:r w:rsidRPr="007B337D">
        <w:t>which is supporting</w:t>
      </w:r>
      <w:r w:rsidR="008C5FCE">
        <w:t xml:space="preserve"> </w:t>
      </w:r>
      <w:r w:rsidRPr="007B337D">
        <w:t>approximately 2,000 organisations from early childhood services, schools, hospitals, sport and recreation centres to make it as easy as possible for Victorians to</w:t>
      </w:r>
      <w:r w:rsidR="00345066">
        <w:t> </w:t>
      </w:r>
      <w:r w:rsidRPr="007B337D">
        <w:t>make healthy food and drink choices</w:t>
      </w:r>
    </w:p>
    <w:p w14:paraId="71EE8F3B" w14:textId="4E487036" w:rsidR="00814857" w:rsidRPr="007B337D" w:rsidRDefault="00814857" w:rsidP="00350E76">
      <w:pPr>
        <w:pStyle w:val="ARbullet1"/>
      </w:pPr>
      <w:r>
        <w:t>t</w:t>
      </w:r>
      <w:r w:rsidRPr="007B337D">
        <w:t>he</w:t>
      </w:r>
      <w:r w:rsidR="008C5FCE">
        <w:t xml:space="preserve"> </w:t>
      </w:r>
      <w:r w:rsidRPr="007B337D">
        <w:t>Life! Program</w:t>
      </w:r>
      <w:r w:rsidR="000A6AF0">
        <w:t xml:space="preserve"> –</w:t>
      </w:r>
      <w:r w:rsidR="008C5FCE">
        <w:t xml:space="preserve"> </w:t>
      </w:r>
      <w:r w:rsidRPr="007B337D">
        <w:t>a lifestyle modification program that is helping approximately 5,600 Victorians every year to make better decisions for their health to reduce their risk of type 2 diabetes and cardiovascular disease</w:t>
      </w:r>
    </w:p>
    <w:p w14:paraId="5629D793" w14:textId="0FCE945D" w:rsidR="000A6AF0" w:rsidRPr="007B337D" w:rsidRDefault="00814857" w:rsidP="000A6AF0">
      <w:pPr>
        <w:pStyle w:val="ARbullet1"/>
        <w:rPr>
          <w:color w:val="201F1E"/>
        </w:rPr>
      </w:pPr>
      <w:r w:rsidRPr="000A6AF0">
        <w:rPr>
          <w:color w:val="201F1E"/>
        </w:rPr>
        <w:t>two</w:t>
      </w:r>
      <w:r w:rsidR="008C5FCE">
        <w:rPr>
          <w:color w:val="201F1E"/>
        </w:rPr>
        <w:t xml:space="preserve"> </w:t>
      </w:r>
      <w:r w:rsidRPr="000A6AF0">
        <w:rPr>
          <w:shd w:val="clear" w:color="auto" w:fill="FFFFFF"/>
        </w:rPr>
        <w:t>new prevention projects in regional areas</w:t>
      </w:r>
      <w:r w:rsidRPr="0082268D">
        <w:rPr>
          <w:shd w:val="clear" w:color="auto" w:fill="FFFFFF"/>
        </w:rPr>
        <w:t>,</w:t>
      </w:r>
      <w:r w:rsidR="008C5FCE">
        <w:rPr>
          <w:shd w:val="clear" w:color="auto" w:fill="FFFFFF"/>
        </w:rPr>
        <w:t> </w:t>
      </w:r>
      <w:r w:rsidRPr="0082268D">
        <w:rPr>
          <w:shd w:val="clear" w:color="auto" w:fill="FFFFFF"/>
        </w:rPr>
        <w:t>suppor</w:t>
      </w:r>
      <w:r w:rsidRPr="000B12DD">
        <w:rPr>
          <w:shd w:val="clear" w:color="auto" w:fill="FFFFFF"/>
        </w:rPr>
        <w:t>ted via the Regional Partnerships. The Healthy Heart of Victoria project in Loddon Campaspe and the Prevention Lab initiative in</w:t>
      </w:r>
      <w:r w:rsidR="008C5FCE">
        <w:rPr>
          <w:shd w:val="clear" w:color="auto" w:fill="FFFFFF"/>
        </w:rPr>
        <w:t> </w:t>
      </w:r>
      <w:r w:rsidRPr="000B12DD">
        <w:rPr>
          <w:shd w:val="clear" w:color="auto" w:fill="FFFFFF"/>
        </w:rPr>
        <w:t>Central Highlands provid</w:t>
      </w:r>
      <w:r w:rsidRPr="009622B7">
        <w:rPr>
          <w:shd w:val="clear" w:color="auto" w:fill="FFFFFF"/>
        </w:rPr>
        <w:t>e</w:t>
      </w:r>
      <w:r w:rsidRPr="001F4A28">
        <w:rPr>
          <w:shd w:val="clear" w:color="auto" w:fill="FFFFFF"/>
        </w:rPr>
        <w:t xml:space="preserve"> local solutions to</w:t>
      </w:r>
      <w:r w:rsidR="008C5FCE">
        <w:rPr>
          <w:shd w:val="clear" w:color="auto" w:fill="FFFFFF"/>
        </w:rPr>
        <w:t> </w:t>
      </w:r>
      <w:r w:rsidRPr="001F4A28">
        <w:rPr>
          <w:shd w:val="clear" w:color="auto" w:fill="FFFFFF"/>
        </w:rPr>
        <w:t>locally identified issues in Victoria's regions. In</w:t>
      </w:r>
      <w:r w:rsidR="008C5FCE">
        <w:rPr>
          <w:shd w:val="clear" w:color="auto" w:fill="FFFFFF"/>
        </w:rPr>
        <w:t> </w:t>
      </w:r>
      <w:r w:rsidRPr="001F4A28">
        <w:rPr>
          <w:shd w:val="clear" w:color="auto" w:fill="FFFFFF"/>
        </w:rPr>
        <w:t>addition, </w:t>
      </w:r>
      <w:r w:rsidRPr="00616CC6">
        <w:rPr>
          <w:color w:val="201F1E"/>
          <w:shd w:val="clear" w:color="auto" w:fill="FFFFFF"/>
        </w:rPr>
        <w:t>the department conti</w:t>
      </w:r>
      <w:r w:rsidRPr="002F5CB9">
        <w:rPr>
          <w:color w:val="201F1E"/>
          <w:shd w:val="clear" w:color="auto" w:fill="FFFFFF"/>
        </w:rPr>
        <w:t xml:space="preserve">nues to facilitate active and ongoing partnerships with local and statewide organisations to drive an integrated, place-based approach to preventive health in </w:t>
      </w:r>
      <w:r w:rsidRPr="002F5CB9">
        <w:rPr>
          <w:color w:val="201F1E"/>
          <w:shd w:val="clear" w:color="auto" w:fill="FFFFFF"/>
        </w:rPr>
        <w:lastRenderedPageBreak/>
        <w:t>the Latrobe Valley.</w:t>
      </w:r>
      <w:r w:rsidR="008C5FCE">
        <w:rPr>
          <w:color w:val="201F1E"/>
          <w:shd w:val="clear" w:color="auto" w:fill="FFFFFF"/>
        </w:rPr>
        <w:t xml:space="preserve"> </w:t>
      </w:r>
      <w:r w:rsidR="000A6AF0" w:rsidRPr="002F5CB9">
        <w:rPr>
          <w:color w:val="201F1E"/>
          <w:shd w:val="clear" w:color="auto" w:fill="FFFFFF"/>
        </w:rPr>
        <w:t xml:space="preserve">The </w:t>
      </w:r>
      <w:r w:rsidRPr="002F5CB9">
        <w:rPr>
          <w:color w:val="201F1E"/>
          <w:shd w:val="clear" w:color="auto" w:fill="FFFFFF"/>
        </w:rPr>
        <w:t xml:space="preserve">range of programs and initiatives being developed and </w:t>
      </w:r>
      <w:r w:rsidRPr="00583613">
        <w:rPr>
          <w:color w:val="201F1E"/>
          <w:shd w:val="clear" w:color="auto" w:fill="FFFFFF"/>
        </w:rPr>
        <w:t>underway are enabling an integrated, place-based approach to</w:t>
      </w:r>
      <w:r w:rsidR="008C5FCE">
        <w:rPr>
          <w:color w:val="201F1E"/>
          <w:shd w:val="clear" w:color="auto" w:fill="FFFFFF"/>
        </w:rPr>
        <w:t> </w:t>
      </w:r>
      <w:r w:rsidRPr="00583613">
        <w:rPr>
          <w:color w:val="201F1E"/>
          <w:shd w:val="clear" w:color="auto" w:fill="FFFFFF"/>
        </w:rPr>
        <w:t>preventive health, with an evaluation of this effort due in 2020.</w:t>
      </w:r>
    </w:p>
    <w:p w14:paraId="672C0BE4" w14:textId="7C5A476F" w:rsidR="00345066" w:rsidRDefault="00814857" w:rsidP="008C5FCE">
      <w:pPr>
        <w:pStyle w:val="ARbullet1"/>
      </w:pPr>
      <w:r w:rsidRPr="007B337D">
        <w:t>the department supported</w:t>
      </w:r>
      <w:r w:rsidR="008C5FCE">
        <w:t xml:space="preserve"> </w:t>
      </w:r>
      <w:r w:rsidRPr="000A6AF0">
        <w:rPr>
          <w:shd w:val="clear" w:color="auto" w:fill="FFFFFF"/>
        </w:rPr>
        <w:t>the efforts of VicHealth to increase physical activity, including via</w:t>
      </w:r>
      <w:r w:rsidR="00700071" w:rsidRPr="0082268D">
        <w:rPr>
          <w:shd w:val="clear" w:color="auto" w:fill="FFFFFF"/>
        </w:rPr>
        <w:t> </w:t>
      </w:r>
      <w:r w:rsidRPr="0082268D">
        <w:rPr>
          <w:shd w:val="clear" w:color="auto" w:fill="FFFFFF"/>
        </w:rPr>
        <w:t>the This Girl Can campaign. This campaign is designed to increase female participation in</w:t>
      </w:r>
      <w:r w:rsidR="008C5FCE">
        <w:rPr>
          <w:shd w:val="clear" w:color="auto" w:fill="FFFFFF"/>
        </w:rPr>
        <w:t> </w:t>
      </w:r>
      <w:r w:rsidRPr="0082268D">
        <w:rPr>
          <w:shd w:val="clear" w:color="auto" w:fill="FFFFFF"/>
        </w:rPr>
        <w:t>physical activity, with </w:t>
      </w:r>
      <w:r w:rsidRPr="007B337D">
        <w:t>more than 285,000 Victorian women empowered to get active in</w:t>
      </w:r>
      <w:r w:rsidR="008C5FCE">
        <w:t> </w:t>
      </w:r>
      <w:r w:rsidRPr="007B337D">
        <w:t>the</w:t>
      </w:r>
      <w:r w:rsidR="008C5FCE">
        <w:t> </w:t>
      </w:r>
      <w:r w:rsidRPr="007B337D">
        <w:t>first year.</w:t>
      </w:r>
    </w:p>
    <w:p w14:paraId="58359042" w14:textId="22EE7B89" w:rsidR="00814857" w:rsidRDefault="00814857" w:rsidP="00350E76">
      <w:pPr>
        <w:pStyle w:val="Heading5"/>
        <w:rPr>
          <w:rFonts w:eastAsia="Calibri"/>
        </w:rPr>
      </w:pPr>
      <w:r w:rsidRPr="00782044">
        <w:rPr>
          <w:rFonts w:eastAsia="Calibri"/>
        </w:rPr>
        <w:t>Key result 3</w:t>
      </w:r>
      <w:r>
        <w:rPr>
          <w:rFonts w:eastAsia="Calibri"/>
        </w:rPr>
        <w:t xml:space="preserve">: </w:t>
      </w:r>
      <w:r w:rsidRPr="00782044">
        <w:rPr>
          <w:rFonts w:eastAsia="Calibri"/>
        </w:rPr>
        <w:t>Increase the proportion of</w:t>
      </w:r>
      <w:r w:rsidR="008C5FCE">
        <w:rPr>
          <w:rFonts w:eastAsia="Calibri"/>
        </w:rPr>
        <w:t> </w:t>
      </w:r>
      <w:r w:rsidRPr="00782044">
        <w:rPr>
          <w:rFonts w:eastAsia="Calibri"/>
        </w:rPr>
        <w:t>children with healthy birthweight – with</w:t>
      </w:r>
      <w:r w:rsidR="008C5FCE">
        <w:rPr>
          <w:rFonts w:eastAsia="Calibri"/>
        </w:rPr>
        <w:t> </w:t>
      </w:r>
      <w:r w:rsidRPr="00782044">
        <w:rPr>
          <w:rFonts w:eastAsia="Calibri"/>
        </w:rPr>
        <w:t>a</w:t>
      </w:r>
      <w:r w:rsidR="00345066">
        <w:rPr>
          <w:rFonts w:eastAsia="Calibri"/>
        </w:rPr>
        <w:t> </w:t>
      </w:r>
      <w:r w:rsidRPr="00782044">
        <w:rPr>
          <w:rFonts w:eastAsia="Calibri"/>
        </w:rPr>
        <w:t>focus on reducing smoking during</w:t>
      </w:r>
      <w:r w:rsidR="008C5FCE">
        <w:rPr>
          <w:rFonts w:eastAsia="Calibri"/>
        </w:rPr>
        <w:t> </w:t>
      </w:r>
      <w:r w:rsidRPr="00782044">
        <w:rPr>
          <w:rFonts w:eastAsia="Calibri"/>
        </w:rPr>
        <w:t>pregnancy</w:t>
      </w:r>
    </w:p>
    <w:p w14:paraId="19EC2665" w14:textId="77777777" w:rsidR="00814857" w:rsidRPr="007B337D" w:rsidRDefault="00814857" w:rsidP="00350E76">
      <w:pPr>
        <w:pStyle w:val="Heading6"/>
      </w:pPr>
      <w:r w:rsidRPr="007B337D">
        <w:t>Data to inform better decision making</w:t>
      </w:r>
    </w:p>
    <w:p w14:paraId="1389B22F" w14:textId="46EA7285" w:rsidR="00814857" w:rsidRPr="004D63E8" w:rsidRDefault="00814857" w:rsidP="00350E76">
      <w:pPr>
        <w:pStyle w:val="ARbody"/>
      </w:pPr>
      <w:r w:rsidRPr="004D63E8">
        <w:t xml:space="preserve">For almost seven years, through the annual </w:t>
      </w:r>
      <w:r w:rsidRPr="004D63E8">
        <w:rPr>
          <w:i/>
        </w:rPr>
        <w:t>Perinatal services performance indicators report</w:t>
      </w:r>
      <w:r w:rsidRPr="004D63E8">
        <w:t>, we have been reporting how well hospitals have detected fetal growth restriction – or when a baby does not grow as expected during pregnancy. Safer</w:t>
      </w:r>
      <w:r w:rsidR="008C5FCE">
        <w:t> </w:t>
      </w:r>
      <w:r w:rsidRPr="004D63E8">
        <w:t>Care Victoria then follows up with hospitals whose detection rates are poorer than expected. This year, we were able to show detection has improved, and the rate of stillbirth has fallen by 3</w:t>
      </w:r>
      <w:r>
        <w:t xml:space="preserve">0 per cent </w:t>
      </w:r>
      <w:r w:rsidRPr="004D63E8">
        <w:t>in these very high-risk pregnancies.</w:t>
      </w:r>
    </w:p>
    <w:p w14:paraId="24855F1C" w14:textId="77777777" w:rsidR="00814857" w:rsidRPr="007B337D" w:rsidRDefault="00814857" w:rsidP="00350E76">
      <w:pPr>
        <w:pStyle w:val="Heading7"/>
      </w:pPr>
      <w:r w:rsidRPr="007B337D">
        <w:t>Severe fetal growth restriction</w:t>
      </w:r>
    </w:p>
    <w:p w14:paraId="3360A7F2" w14:textId="1E7E351B" w:rsidR="00345066" w:rsidRDefault="00814857" w:rsidP="00350E76">
      <w:pPr>
        <w:pStyle w:val="ARbody"/>
      </w:pPr>
      <w:r>
        <w:t>The detection and care of</w:t>
      </w:r>
      <w:r w:rsidRPr="004D63E8">
        <w:t xml:space="preserve"> severe fetal growth restricted (FGR) babies </w:t>
      </w:r>
      <w:r>
        <w:t>continues to improve statewide, year by year. In 2017, the proportion of</w:t>
      </w:r>
      <w:r w:rsidR="00700071">
        <w:t> </w:t>
      </w:r>
      <w:r>
        <w:t xml:space="preserve">severe FGR babies </w:t>
      </w:r>
      <w:r w:rsidRPr="004D63E8">
        <w:t>undelivered by 40 weeks gestation</w:t>
      </w:r>
      <w:r>
        <w:t xml:space="preserve">, </w:t>
      </w:r>
      <w:r w:rsidRPr="004D63E8">
        <w:t>28.1 per</w:t>
      </w:r>
      <w:r>
        <w:t xml:space="preserve"> cent, is the lowest yet reported for the state, falling from more than 40 per cent in</w:t>
      </w:r>
      <w:r w:rsidR="00700071">
        <w:t> </w:t>
      </w:r>
      <w:r>
        <w:t>2011.</w:t>
      </w:r>
    </w:p>
    <w:p w14:paraId="0FC87972" w14:textId="4A27EC76" w:rsidR="00345066" w:rsidRDefault="00814857" w:rsidP="00350E76">
      <w:pPr>
        <w:pStyle w:val="ARbody"/>
      </w:pPr>
      <w:r>
        <w:t>Underpinning these improvements, in</w:t>
      </w:r>
      <w:r w:rsidRPr="004F76F3">
        <w:t xml:space="preserve"> the past year</w:t>
      </w:r>
      <w:r w:rsidR="00700071">
        <w:t> </w:t>
      </w:r>
      <w:r w:rsidRPr="004F76F3">
        <w:t>we ran 23 workshops for more than 700 clinicians to help improve antenatal detection and</w:t>
      </w:r>
      <w:r w:rsidR="00700071">
        <w:t> </w:t>
      </w:r>
      <w:r w:rsidRPr="004F76F3">
        <w:t xml:space="preserve">management of fetal growth restriction. </w:t>
      </w:r>
      <w:r>
        <w:t>T</w:t>
      </w:r>
      <w:r w:rsidRPr="004F76F3">
        <w:t>heir confidence in</w:t>
      </w:r>
      <w:r>
        <w:t xml:space="preserve"> </w:t>
      </w:r>
      <w:r w:rsidRPr="004F76F3">
        <w:t xml:space="preserve">managing fetal growth restriction rose from 37 to 88 per cent. And 92 per cent of </w:t>
      </w:r>
      <w:r>
        <w:t>clinicians</w:t>
      </w:r>
      <w:r w:rsidRPr="004F76F3">
        <w:t xml:space="preserve"> said they would change their clinical practice.</w:t>
      </w:r>
    </w:p>
    <w:p w14:paraId="6F1DF4CE" w14:textId="6611EBA3" w:rsidR="00814857" w:rsidRPr="004F76F3" w:rsidRDefault="00814857" w:rsidP="00350E76">
      <w:pPr>
        <w:pStyle w:val="ARbody"/>
      </w:pPr>
      <w:r w:rsidRPr="004F76F3">
        <w:t>The program was delivered with the</w:t>
      </w:r>
      <w:r>
        <w:t xml:space="preserve"> </w:t>
      </w:r>
      <w:r w:rsidRPr="009B4A3B">
        <w:t xml:space="preserve">National Health and Medical Research </w:t>
      </w:r>
      <w:r w:rsidRPr="00FC4721">
        <w:t xml:space="preserve">Council </w:t>
      </w:r>
      <w:r w:rsidRPr="009B4A3B">
        <w:t>Centre of</w:t>
      </w:r>
      <w:r w:rsidR="008C5FCE">
        <w:t> </w:t>
      </w:r>
      <w:r w:rsidRPr="009B4A3B">
        <w:t xml:space="preserve">Research Excellence in Stillbirth </w:t>
      </w:r>
      <w:r>
        <w:t>and the</w:t>
      </w:r>
      <w:r w:rsidRPr="004F76F3">
        <w:t xml:space="preserve"> Perinatal Society of Australia and New Zealand.</w:t>
      </w:r>
    </w:p>
    <w:p w14:paraId="6B456477" w14:textId="596E8877" w:rsidR="00814857" w:rsidRPr="007B337D" w:rsidRDefault="00700071" w:rsidP="00350E76">
      <w:pPr>
        <w:pStyle w:val="Heading7"/>
        <w:rPr>
          <w:bCs/>
        </w:rPr>
      </w:pPr>
      <w:r>
        <w:br w:type="column"/>
      </w:r>
      <w:r w:rsidR="00814857" w:rsidRPr="007B337D">
        <w:t>Smoking cessation in pregnancy data</w:t>
      </w:r>
    </w:p>
    <w:p w14:paraId="0F3E508D" w14:textId="591E9FED" w:rsidR="00345066" w:rsidRDefault="00814857" w:rsidP="00350E76">
      <w:pPr>
        <w:pStyle w:val="ARbody"/>
      </w:pPr>
      <w:r w:rsidRPr="004D63E8">
        <w:t xml:space="preserve">The </w:t>
      </w:r>
      <w:r w:rsidRPr="004D63E8">
        <w:rPr>
          <w:i/>
        </w:rPr>
        <w:t>Perinatal services performance indicators report 2017</w:t>
      </w:r>
      <w:r>
        <w:rPr>
          <w:i/>
        </w:rPr>
        <w:t>–</w:t>
      </w:r>
      <w:r w:rsidRPr="004D63E8">
        <w:rPr>
          <w:i/>
        </w:rPr>
        <w:t>18</w:t>
      </w:r>
      <w:r w:rsidRPr="00835615">
        <w:t>, released in February 2019,</w:t>
      </w:r>
      <w:r w:rsidRPr="004D63E8">
        <w:t xml:space="preserve"> states that the statewide rate of smoking cessation in pregnancy increased from 26.1 per cent in 2016 to</w:t>
      </w:r>
      <w:r w:rsidR="00700071">
        <w:t> </w:t>
      </w:r>
      <w:r w:rsidRPr="004D63E8">
        <w:t>27.1 per cent in 2017. This increase is attributed to an improvement in smoking cessation across public hospitals, where rates increased from 24.4</w:t>
      </w:r>
      <w:r w:rsidR="00700071">
        <w:t> </w:t>
      </w:r>
      <w:r w:rsidRPr="004D63E8">
        <w:t>per cent in 2016 to 25.5 per cent in 2017.</w:t>
      </w:r>
    </w:p>
    <w:p w14:paraId="1766EE49" w14:textId="18E7CA08" w:rsidR="00814857" w:rsidRPr="00782044" w:rsidRDefault="00814857" w:rsidP="00350E76">
      <w:pPr>
        <w:pStyle w:val="Heading5"/>
        <w:rPr>
          <w:rFonts w:eastAsia="Calibri"/>
        </w:rPr>
      </w:pPr>
      <w:r w:rsidRPr="00782044">
        <w:rPr>
          <w:rFonts w:eastAsia="Calibri"/>
        </w:rPr>
        <w:t>Key result 4</w:t>
      </w:r>
      <w:r>
        <w:rPr>
          <w:rFonts w:eastAsia="Calibri"/>
        </w:rPr>
        <w:t>:</w:t>
      </w:r>
      <w:r w:rsidRPr="00782044">
        <w:rPr>
          <w:rFonts w:eastAsia="Calibri"/>
        </w:rPr>
        <w:t xml:space="preserve"> Reduce infant mortality</w:t>
      </w:r>
    </w:p>
    <w:p w14:paraId="62D011D4" w14:textId="77777777" w:rsidR="00814857" w:rsidRPr="007B337D" w:rsidRDefault="00814857" w:rsidP="00350E76">
      <w:pPr>
        <w:pStyle w:val="Heading6"/>
      </w:pPr>
      <w:r w:rsidRPr="007B337D">
        <w:t>Reducing stillbirths</w:t>
      </w:r>
    </w:p>
    <w:p w14:paraId="2844D1E7" w14:textId="3EA9300A" w:rsidR="00345066" w:rsidRDefault="00814857" w:rsidP="00350E76">
      <w:pPr>
        <w:pStyle w:val="ARbody"/>
      </w:pPr>
      <w:r w:rsidRPr="004F76F3">
        <w:t>Launched in October 2018, Safer Care Victoria’s Movements Matter campaign encouraged expectant mothers to get to know their baby’s movements, and to immediately speak up if they notice</w:t>
      </w:r>
      <w:r>
        <w:t>d</w:t>
      </w:r>
      <w:r w:rsidRPr="004F76F3">
        <w:t xml:space="preserve"> any change. Educational messages about the importance of a baby’s movements reached more than 620,000 people through a social media campaign to reduce stillbirths. Working with the </w:t>
      </w:r>
      <w:r w:rsidR="00583613" w:rsidRPr="00583613">
        <w:t xml:space="preserve">National Health and Medical Research Council </w:t>
      </w:r>
      <w:r w:rsidRPr="009B4A3B">
        <w:t>Centre of Research Excellence in Stillbirth</w:t>
      </w:r>
      <w:r>
        <w:t>,</w:t>
      </w:r>
      <w:r w:rsidRPr="009B4A3B">
        <w:t xml:space="preserve"> </w:t>
      </w:r>
      <w:r w:rsidRPr="004F76F3">
        <w:t>we also</w:t>
      </w:r>
      <w:r w:rsidR="008C5FCE">
        <w:t> </w:t>
      </w:r>
      <w:r w:rsidRPr="004F76F3">
        <w:t xml:space="preserve">provided resources and education to </w:t>
      </w:r>
      <w:r>
        <w:t>general practitioner</w:t>
      </w:r>
      <w:r w:rsidRPr="004F76F3">
        <w:t xml:space="preserve">s, midwives and obstetricians to ensure best practice in managing women with decreased </w:t>
      </w:r>
      <w:r>
        <w:t xml:space="preserve">fetal </w:t>
      </w:r>
      <w:r w:rsidRPr="004F76F3">
        <w:t>movements, a potential risk factor for stillbirth.</w:t>
      </w:r>
    </w:p>
    <w:p w14:paraId="610887ED" w14:textId="6240035A" w:rsidR="00345066" w:rsidRDefault="00814857" w:rsidP="00350E76">
      <w:pPr>
        <w:pStyle w:val="ARbody"/>
      </w:pPr>
      <w:r w:rsidRPr="004F76F3">
        <w:t>Building on this work</w:t>
      </w:r>
      <w:r>
        <w:t>, we launched the Safer Baby</w:t>
      </w:r>
      <w:r w:rsidR="00700071">
        <w:t> </w:t>
      </w:r>
      <w:r>
        <w:t>Collaborative</w:t>
      </w:r>
      <w:r w:rsidRPr="004F76F3">
        <w:t xml:space="preserve"> in</w:t>
      </w:r>
      <w:r>
        <w:t xml:space="preserve"> April 2019</w:t>
      </w:r>
      <w:r w:rsidRPr="004F76F3">
        <w:t xml:space="preserve">, which </w:t>
      </w:r>
      <w:r>
        <w:t xml:space="preserve">comprises 20 health services </w:t>
      </w:r>
      <w:r w:rsidRPr="004F76F3">
        <w:t>aim</w:t>
      </w:r>
      <w:r>
        <w:t>ing</w:t>
      </w:r>
      <w:r w:rsidRPr="004F76F3">
        <w:t xml:space="preserve"> to reduce stillbirths by 20</w:t>
      </w:r>
      <w:r>
        <w:t> </w:t>
      </w:r>
      <w:r w:rsidRPr="004F76F3">
        <w:t>per cent.</w:t>
      </w:r>
    </w:p>
    <w:p w14:paraId="5E778AA6" w14:textId="77777777" w:rsidR="00345066" w:rsidRDefault="00814857" w:rsidP="00350E76">
      <w:pPr>
        <w:pStyle w:val="ARbody"/>
      </w:pPr>
      <w:r>
        <w:t xml:space="preserve">With support from the </w:t>
      </w:r>
      <w:r w:rsidRPr="009B4A3B">
        <w:t xml:space="preserve">Institute </w:t>
      </w:r>
      <w:r>
        <w:t>for</w:t>
      </w:r>
      <w:r w:rsidRPr="009B4A3B">
        <w:t xml:space="preserve"> Health</w:t>
      </w:r>
      <w:r>
        <w:t>c</w:t>
      </w:r>
      <w:r w:rsidRPr="009B4A3B">
        <w:t>are Improvement</w:t>
      </w:r>
      <w:r>
        <w:t xml:space="preserve"> to implement improvement initiatives, p</w:t>
      </w:r>
      <w:r w:rsidRPr="004F76F3">
        <w:t>artnering sites will receive support and resources around five key aspects of care:</w:t>
      </w:r>
    </w:p>
    <w:p w14:paraId="78E8D204" w14:textId="6FC04CBB" w:rsidR="00345066" w:rsidRDefault="00814857" w:rsidP="008F035E">
      <w:pPr>
        <w:pStyle w:val="ARbullet1"/>
      </w:pPr>
      <w:r>
        <w:t>i</w:t>
      </w:r>
      <w:r w:rsidRPr="004F76F3">
        <w:t>ncreasing public awareness of the importance</w:t>
      </w:r>
      <w:r w:rsidR="00700071">
        <w:t xml:space="preserve"> </w:t>
      </w:r>
      <w:r w:rsidRPr="004F76F3">
        <w:t>of fetal movements</w:t>
      </w:r>
    </w:p>
    <w:p w14:paraId="41E5AD26" w14:textId="2B0EFC11" w:rsidR="00814857" w:rsidRPr="004F76F3" w:rsidRDefault="00814857" w:rsidP="008F035E">
      <w:pPr>
        <w:pStyle w:val="ARbullet1"/>
      </w:pPr>
      <w:r>
        <w:t>d</w:t>
      </w:r>
      <w:r w:rsidRPr="004F76F3">
        <w:t>iagnosis and management of fetal growth restriction</w:t>
      </w:r>
    </w:p>
    <w:p w14:paraId="23305B34" w14:textId="7699710D" w:rsidR="00814857" w:rsidRPr="004F76F3" w:rsidRDefault="00814857" w:rsidP="008F035E">
      <w:pPr>
        <w:pStyle w:val="ARbullet1"/>
      </w:pPr>
      <w:r>
        <w:t>i</w:t>
      </w:r>
      <w:r w:rsidRPr="004F76F3">
        <w:t>mproving rates of smoking cessation in</w:t>
      </w:r>
      <w:r w:rsidR="00700071">
        <w:t> </w:t>
      </w:r>
      <w:r w:rsidRPr="004F76F3">
        <w:t>pregnancy</w:t>
      </w:r>
    </w:p>
    <w:p w14:paraId="74F0E6C6" w14:textId="77777777" w:rsidR="00345066" w:rsidRDefault="00814857" w:rsidP="008F035E">
      <w:pPr>
        <w:pStyle w:val="ARbullet1"/>
      </w:pPr>
      <w:r>
        <w:t>r</w:t>
      </w:r>
      <w:r w:rsidRPr="004F76F3">
        <w:t>aising awareness of safe maternal sleep positions</w:t>
      </w:r>
    </w:p>
    <w:p w14:paraId="3A944534" w14:textId="16CDEC5A" w:rsidR="00814857" w:rsidRDefault="00814857" w:rsidP="008F035E">
      <w:pPr>
        <w:pStyle w:val="ARbullet1"/>
      </w:pPr>
      <w:r>
        <w:t>p</w:t>
      </w:r>
      <w:r w:rsidRPr="004F76F3">
        <w:t>romoting appropriate timing of birth and mitigating unintended consequences or harm</w:t>
      </w:r>
      <w:r>
        <w:t>.</w:t>
      </w:r>
    </w:p>
    <w:p w14:paraId="652FA146" w14:textId="5E0F11CE" w:rsidR="00814857" w:rsidRDefault="00814857" w:rsidP="00350E76">
      <w:pPr>
        <w:pStyle w:val="Heading5"/>
        <w:rPr>
          <w:rFonts w:eastAsia="Calibri"/>
        </w:rPr>
      </w:pPr>
      <w:r w:rsidRPr="00782044">
        <w:rPr>
          <w:rFonts w:eastAsia="Calibri"/>
        </w:rPr>
        <w:lastRenderedPageBreak/>
        <w:t xml:space="preserve">Key result </w:t>
      </w:r>
      <w:r>
        <w:rPr>
          <w:rFonts w:eastAsia="Calibri"/>
        </w:rPr>
        <w:t>5:</w:t>
      </w:r>
      <w:r w:rsidRPr="00782044">
        <w:rPr>
          <w:rFonts w:eastAsia="Calibri"/>
        </w:rPr>
        <w:t xml:space="preserve"> Reduce </w:t>
      </w:r>
      <w:r>
        <w:rPr>
          <w:rFonts w:eastAsia="Calibri"/>
        </w:rPr>
        <w:t>inequalities in</w:t>
      </w:r>
      <w:r w:rsidR="00700071">
        <w:rPr>
          <w:rFonts w:eastAsia="Calibri"/>
        </w:rPr>
        <w:t> </w:t>
      </w:r>
      <w:r>
        <w:rPr>
          <w:rFonts w:eastAsia="Calibri"/>
        </w:rPr>
        <w:t>premature death</w:t>
      </w:r>
    </w:p>
    <w:p w14:paraId="6F4ADBE9" w14:textId="77777777" w:rsidR="00814857" w:rsidRDefault="00814857" w:rsidP="00350E76">
      <w:pPr>
        <w:pStyle w:val="Heading6"/>
        <w:rPr>
          <w:rFonts w:eastAsia="Times"/>
          <w:lang w:val="en-AU"/>
        </w:rPr>
      </w:pPr>
      <w:r>
        <w:rPr>
          <w:rFonts w:eastAsia="Times"/>
          <w:lang w:val="en-AU"/>
        </w:rPr>
        <w:t>Improving immunisation rates for Aboriginal and Torres Strait Islander children</w:t>
      </w:r>
    </w:p>
    <w:p w14:paraId="25E35F8D" w14:textId="14E8EB45" w:rsidR="00814857" w:rsidRPr="00A10AD7" w:rsidRDefault="00814857" w:rsidP="00A10AD7">
      <w:pPr>
        <w:pStyle w:val="ARbody"/>
      </w:pPr>
      <w:r w:rsidRPr="00A10AD7">
        <w:t>Aboriginal and Torres Strait Islander people suffer disproportionately from communicable diseases, with higher rates of hospitalisation and illness due</w:t>
      </w:r>
      <w:r w:rsidR="00700071">
        <w:t> </w:t>
      </w:r>
      <w:r w:rsidRPr="00A10AD7">
        <w:t>to these conditions. According to Australian Institute of Health and Welfare data, immunisation coverage rates for Aboriginal and Torres Strait Islander children have historically been much lower</w:t>
      </w:r>
      <w:r w:rsidR="00700071">
        <w:t> </w:t>
      </w:r>
      <w:r w:rsidRPr="00A10AD7">
        <w:t>than</w:t>
      </w:r>
      <w:r>
        <w:t xml:space="preserve"> for</w:t>
      </w:r>
      <w:r w:rsidRPr="00A10AD7">
        <w:t xml:space="preserve"> non-Aboriginal children.</w:t>
      </w:r>
    </w:p>
    <w:p w14:paraId="1ED558E6" w14:textId="77777777" w:rsidR="00814857" w:rsidRPr="00A10AD7" w:rsidRDefault="00814857" w:rsidP="00A10AD7">
      <w:pPr>
        <w:pStyle w:val="ARbody"/>
      </w:pPr>
      <w:r w:rsidRPr="00A10AD7">
        <w:t>However, in Victoria an increased emphasis on immunisation rates, and changes to</w:t>
      </w:r>
      <w:r>
        <w:t xml:space="preserve"> the</w:t>
      </w:r>
      <w:r w:rsidRPr="00A10AD7">
        <w:t xml:space="preserve"> law, have improved overall immunisation rates and those of Aboriginal children.</w:t>
      </w:r>
    </w:p>
    <w:p w14:paraId="79C03DA0" w14:textId="77777777" w:rsidR="00814857" w:rsidRPr="00A10AD7" w:rsidRDefault="00814857" w:rsidP="00A10AD7">
      <w:pPr>
        <w:pStyle w:val="ARbody"/>
      </w:pPr>
      <w:r w:rsidRPr="00A10AD7">
        <w:t>These surpass the 95 per cent immunisation rate that is accepted as the rate required to achieve ‘herd immunity’.</w:t>
      </w:r>
    </w:p>
    <w:p w14:paraId="5F092DAA" w14:textId="77777777" w:rsidR="00814857" w:rsidRPr="00A10AD7" w:rsidRDefault="00814857" w:rsidP="00A10AD7">
      <w:pPr>
        <w:pStyle w:val="ARbody"/>
      </w:pPr>
      <w:r w:rsidRPr="00A10AD7">
        <w:t xml:space="preserve">In the quarter from April to June 2019, 96.4 per cent of Aboriginal and Torres Strait Islander children five and </w:t>
      </w:r>
      <w:r>
        <w:t>younger</w:t>
      </w:r>
      <w:r w:rsidRPr="00A10AD7">
        <w:t xml:space="preserve"> were fully immunised. The rate over the same quarter for all Victorian children five and under was 95.7 per cent.</w:t>
      </w:r>
    </w:p>
    <w:p w14:paraId="7E29CD69" w14:textId="77777777" w:rsidR="00814857" w:rsidRPr="00A10AD7" w:rsidRDefault="00814857" w:rsidP="00A10AD7">
      <w:pPr>
        <w:pStyle w:val="ARbody"/>
      </w:pPr>
      <w:r w:rsidRPr="00A10AD7">
        <w:t>These rates pertain to vaccinations on Australia’s National Immunisation Program Schedule</w:t>
      </w:r>
      <w:r>
        <w:t>,</w:t>
      </w:r>
      <w:r w:rsidRPr="00A10AD7">
        <w:t xml:space="preserve"> </w:t>
      </w:r>
      <w:r>
        <w:t xml:space="preserve">which </w:t>
      </w:r>
      <w:r w:rsidRPr="00A10AD7">
        <w:t>includ</w:t>
      </w:r>
      <w:r>
        <w:t xml:space="preserve">e </w:t>
      </w:r>
      <w:r w:rsidRPr="00A10AD7">
        <w:t>diphtheria, tetanus, polio, measles and pneumococcal.</w:t>
      </w:r>
    </w:p>
    <w:p w14:paraId="24BA429C" w14:textId="77777777" w:rsidR="00814857" w:rsidRPr="001D2B12" w:rsidRDefault="00814857" w:rsidP="00350E76">
      <w:pPr>
        <w:pStyle w:val="Heading6"/>
      </w:pPr>
      <w:r w:rsidRPr="001D2B12">
        <w:rPr>
          <w:rFonts w:eastAsia="Times"/>
        </w:rPr>
        <w:t>Cutting</w:t>
      </w:r>
      <w:r>
        <w:rPr>
          <w:rFonts w:eastAsia="Times"/>
          <w:lang w:val="en-AU"/>
        </w:rPr>
        <w:t>-</w:t>
      </w:r>
      <w:r w:rsidRPr="001D2B12">
        <w:rPr>
          <w:rFonts w:eastAsia="Times"/>
        </w:rPr>
        <w:t>edge cancer treatments</w:t>
      </w:r>
    </w:p>
    <w:p w14:paraId="189A321E" w14:textId="4A5452BE" w:rsidR="00814857" w:rsidRPr="00B112D8" w:rsidRDefault="00814857" w:rsidP="00731310">
      <w:pPr>
        <w:pStyle w:val="ARbody"/>
      </w:pPr>
      <w:r w:rsidRPr="00731310">
        <w:t>Chimeric antigen receptor T-cell (CAR-T) therapy is</w:t>
      </w:r>
      <w:r w:rsidR="00700071">
        <w:t> </w:t>
      </w:r>
      <w:r w:rsidRPr="00731310">
        <w:t>a new treatment for some blood cancers. The treatment has been effective in treating patients for</w:t>
      </w:r>
      <w:r w:rsidR="00700071">
        <w:t> </w:t>
      </w:r>
      <w:r w:rsidRPr="00731310">
        <w:t>whom all other treatments have failed, and who</w:t>
      </w:r>
      <w:r w:rsidR="00700071">
        <w:t> </w:t>
      </w:r>
      <w:r w:rsidRPr="00731310">
        <w:t>would otherwise be offered palliative care.</w:t>
      </w:r>
    </w:p>
    <w:p w14:paraId="6E815B66" w14:textId="6582C2CF" w:rsidR="00814857" w:rsidRPr="002909DA" w:rsidRDefault="00814857" w:rsidP="00731310">
      <w:pPr>
        <w:pStyle w:val="ARbody"/>
      </w:pPr>
      <w:r w:rsidRPr="002909DA">
        <w:t>The Royal Children’s Hospital and Peter MacCallum Cancer Centre are</w:t>
      </w:r>
      <w:r>
        <w:t xml:space="preserve"> currently the </w:t>
      </w:r>
      <w:r w:rsidRPr="002909DA">
        <w:t>only</w:t>
      </w:r>
      <w:r>
        <w:t xml:space="preserve"> public hospitals</w:t>
      </w:r>
      <w:r w:rsidRPr="002909DA">
        <w:t xml:space="preserve"> approved nationally to provide CAR-T therapy to treat children and young adult patients with acute lymphoblastic leukemia. The</w:t>
      </w:r>
      <w:r w:rsidR="00700071">
        <w:t> </w:t>
      </w:r>
      <w:r w:rsidRPr="002909DA">
        <w:t xml:space="preserve">Peter MacCallum Cancer Centre and the department have worked hard to expedite patient access to CAR-T therapy, with the first </w:t>
      </w:r>
      <w:r>
        <w:t xml:space="preserve">children and young people </w:t>
      </w:r>
      <w:r w:rsidRPr="002909DA">
        <w:t>patients having their T-cells collected in May 2019.</w:t>
      </w:r>
    </w:p>
    <w:p w14:paraId="739C423A" w14:textId="00761187" w:rsidR="00814857" w:rsidRDefault="00700071" w:rsidP="00350E76">
      <w:pPr>
        <w:pStyle w:val="Heading4"/>
      </w:pPr>
      <w:r>
        <w:br w:type="column"/>
      </w:r>
      <w:r w:rsidR="00814857">
        <w:t>Outcome 1.2: Victorians have</w:t>
      </w:r>
      <w:r>
        <w:t> </w:t>
      </w:r>
      <w:r w:rsidR="00814857">
        <w:t>good</w:t>
      </w:r>
      <w:r>
        <w:t> </w:t>
      </w:r>
      <w:r w:rsidR="00814857">
        <w:t>mental health</w:t>
      </w:r>
    </w:p>
    <w:p w14:paraId="4CA593BF" w14:textId="77777777" w:rsidR="00814857" w:rsidRPr="00EF19C9" w:rsidRDefault="00814857" w:rsidP="00350E76">
      <w:pPr>
        <w:pStyle w:val="ARbody"/>
      </w:pPr>
      <w:r w:rsidRPr="00EF19C9">
        <w:t>Almost half the Victorian population will directly experience a mental illness or disorder in their lifetime. The rest of us will have friends, family and work colleagues who have experienced a mental illness or mental health issue.</w:t>
      </w:r>
    </w:p>
    <w:p w14:paraId="0721D6CA" w14:textId="77777777" w:rsidR="00814857" w:rsidRPr="00EF19C9" w:rsidRDefault="00814857" w:rsidP="00350E76">
      <w:pPr>
        <w:pStyle w:val="ARbody"/>
      </w:pPr>
      <w:r w:rsidRPr="00EF19C9">
        <w:t xml:space="preserve">The department is leading action </w:t>
      </w:r>
      <w:r>
        <w:t xml:space="preserve">to </w:t>
      </w:r>
      <w:r w:rsidRPr="00EF19C9">
        <w:t>reduce suicide rates and provide better access to services to help promote positive mental health and wellbeing and prevent mental illness.</w:t>
      </w:r>
    </w:p>
    <w:p w14:paraId="3839B30A" w14:textId="77777777" w:rsidR="00814857" w:rsidRDefault="00814857" w:rsidP="00350E76">
      <w:pPr>
        <w:pStyle w:val="Heading5"/>
      </w:pPr>
      <w:r>
        <w:t>Progress against outcomes</w:t>
      </w:r>
    </w:p>
    <w:p w14:paraId="1260AF72" w14:textId="3BE9FE21" w:rsidR="00345066" w:rsidRDefault="00814857" w:rsidP="00350E76">
      <w:pPr>
        <w:pStyle w:val="Heading6"/>
      </w:pPr>
      <w:r>
        <w:t>Royal Commission into Victoria’s Mental</w:t>
      </w:r>
      <w:r w:rsidR="00700071">
        <w:rPr>
          <w:lang w:val="en-US"/>
        </w:rPr>
        <w:t> </w:t>
      </w:r>
      <w:r>
        <w:t>Health</w:t>
      </w:r>
      <w:r w:rsidR="00700071">
        <w:rPr>
          <w:lang w:val="en-US"/>
        </w:rPr>
        <w:t> </w:t>
      </w:r>
      <w:r>
        <w:t>System</w:t>
      </w:r>
    </w:p>
    <w:p w14:paraId="5942732F" w14:textId="532CC7F9" w:rsidR="00814857" w:rsidRPr="009E4FAF" w:rsidRDefault="00814857" w:rsidP="009E4FAF">
      <w:pPr>
        <w:pStyle w:val="ARbody"/>
        <w:rPr>
          <w:rFonts w:eastAsiaTheme="minorHAnsi"/>
        </w:rPr>
      </w:pPr>
      <w:r w:rsidRPr="009E4FAF">
        <w:rPr>
          <w:rFonts w:eastAsiaTheme="minorHAnsi"/>
        </w:rPr>
        <w:t>The establishment of the Royal Commission is a</w:t>
      </w:r>
      <w:r w:rsidR="00A845B8">
        <w:rPr>
          <w:rFonts w:eastAsiaTheme="minorHAnsi"/>
        </w:rPr>
        <w:t> </w:t>
      </w:r>
      <w:r w:rsidRPr="009E4FAF">
        <w:rPr>
          <w:rFonts w:eastAsiaTheme="minorHAnsi"/>
        </w:rPr>
        <w:t>clear acknowledgement that our mental health system needs to improve to meet the expectations of the Victorian community.</w:t>
      </w:r>
    </w:p>
    <w:p w14:paraId="42DB13D5" w14:textId="1DA7B71F" w:rsidR="00345066" w:rsidRDefault="00814857" w:rsidP="009E4FAF">
      <w:pPr>
        <w:pStyle w:val="ARbody"/>
        <w:rPr>
          <w:rFonts w:eastAsiaTheme="minorHAnsi"/>
        </w:rPr>
      </w:pPr>
      <w:r w:rsidRPr="009E4FAF">
        <w:rPr>
          <w:rFonts w:eastAsiaTheme="minorHAnsi"/>
        </w:rPr>
        <w:t>More than 8,000 submissions were received to inform the terms of reference, most commonly from</w:t>
      </w:r>
      <w:r w:rsidR="00700071">
        <w:rPr>
          <w:rFonts w:eastAsiaTheme="minorHAnsi"/>
        </w:rPr>
        <w:t> </w:t>
      </w:r>
      <w:r w:rsidRPr="009E4FAF">
        <w:rPr>
          <w:rFonts w:eastAsiaTheme="minorHAnsi"/>
        </w:rPr>
        <w:t>people with lived experience or working in the</w:t>
      </w:r>
      <w:r w:rsidR="00700071">
        <w:rPr>
          <w:rFonts w:eastAsiaTheme="minorHAnsi"/>
        </w:rPr>
        <w:t> </w:t>
      </w:r>
      <w:r w:rsidRPr="009E4FAF">
        <w:rPr>
          <w:rFonts w:eastAsiaTheme="minorHAnsi"/>
        </w:rPr>
        <w:t>sector.</w:t>
      </w:r>
    </w:p>
    <w:p w14:paraId="577A347D" w14:textId="0D24DB6B" w:rsidR="00814857" w:rsidRDefault="00814857" w:rsidP="009E4FAF">
      <w:pPr>
        <w:pStyle w:val="ARbody"/>
        <w:rPr>
          <w:rFonts w:eastAsiaTheme="minorHAnsi"/>
        </w:rPr>
      </w:pPr>
      <w:r w:rsidRPr="009E4FAF">
        <w:rPr>
          <w:rFonts w:eastAsiaTheme="minorHAnsi"/>
        </w:rPr>
        <w:t>In the lead up to the Royal Commission, the government held 23 roundtable discussions including in Shepparton</w:t>
      </w:r>
      <w:r w:rsidR="000A6AF0">
        <w:rPr>
          <w:rFonts w:eastAsiaTheme="minorHAnsi"/>
        </w:rPr>
        <w:t>;</w:t>
      </w:r>
      <w:r w:rsidRPr="009E4FAF">
        <w:rPr>
          <w:rFonts w:eastAsiaTheme="minorHAnsi"/>
        </w:rPr>
        <w:t xml:space="preserve"> Ballarat</w:t>
      </w:r>
      <w:r w:rsidR="000A6AF0">
        <w:rPr>
          <w:rFonts w:eastAsiaTheme="minorHAnsi"/>
        </w:rPr>
        <w:t>;</w:t>
      </w:r>
      <w:r w:rsidRPr="009E4FAF">
        <w:rPr>
          <w:rFonts w:eastAsiaTheme="minorHAnsi"/>
        </w:rPr>
        <w:t xml:space="preserve"> Mildura</w:t>
      </w:r>
      <w:r w:rsidR="000A6AF0">
        <w:rPr>
          <w:rFonts w:eastAsiaTheme="minorHAnsi"/>
        </w:rPr>
        <w:t>;</w:t>
      </w:r>
      <w:r w:rsidRPr="009E4FAF">
        <w:rPr>
          <w:rFonts w:eastAsiaTheme="minorHAnsi"/>
        </w:rPr>
        <w:t xml:space="preserve"> Geelong</w:t>
      </w:r>
      <w:r w:rsidR="000A6AF0">
        <w:rPr>
          <w:rFonts w:eastAsiaTheme="minorHAnsi"/>
        </w:rPr>
        <w:t>;</w:t>
      </w:r>
      <w:r w:rsidR="008C5FCE">
        <w:rPr>
          <w:rFonts w:eastAsiaTheme="minorHAnsi"/>
        </w:rPr>
        <w:t> </w:t>
      </w:r>
      <w:r w:rsidRPr="009E4FAF">
        <w:rPr>
          <w:rFonts w:eastAsiaTheme="minorHAnsi"/>
        </w:rPr>
        <w:t>Bendigo</w:t>
      </w:r>
      <w:r w:rsidR="000A6AF0">
        <w:rPr>
          <w:rFonts w:eastAsiaTheme="minorHAnsi"/>
        </w:rPr>
        <w:t>; and Melbourne</w:t>
      </w:r>
      <w:r w:rsidRPr="009E4FAF">
        <w:rPr>
          <w:rFonts w:eastAsiaTheme="minorHAnsi"/>
        </w:rPr>
        <w:t>, seeking input from healthcare and community leaders, mental health consumers, carers and family members.</w:t>
      </w:r>
    </w:p>
    <w:p w14:paraId="09857C2A" w14:textId="72212A9A" w:rsidR="00345066" w:rsidRDefault="00814857" w:rsidP="00350E76">
      <w:pPr>
        <w:pStyle w:val="Heading6"/>
      </w:pPr>
      <w:r>
        <w:t>Psychiatric intensive care for</w:t>
      </w:r>
      <w:r w:rsidR="00700071">
        <w:rPr>
          <w:lang w:val="en-US"/>
        </w:rPr>
        <w:t> </w:t>
      </w:r>
      <w:r>
        <w:t>male</w:t>
      </w:r>
      <w:r w:rsidR="00700071">
        <w:rPr>
          <w:lang w:val="en-US"/>
        </w:rPr>
        <w:t> </w:t>
      </w:r>
      <w:r>
        <w:t>prisoner</w:t>
      </w:r>
      <w:r w:rsidR="00700071">
        <w:rPr>
          <w:lang w:val="en-US"/>
        </w:rPr>
        <w:t> </w:t>
      </w:r>
      <w:r>
        <w:t>patients</w:t>
      </w:r>
    </w:p>
    <w:p w14:paraId="4C294AF6" w14:textId="77777777" w:rsidR="00345066" w:rsidRDefault="00814857" w:rsidP="00350E76">
      <w:pPr>
        <w:pStyle w:val="ARbody"/>
        <w:rPr>
          <w:lang w:eastAsia="en-AU"/>
        </w:rPr>
      </w:pPr>
      <w:r>
        <w:rPr>
          <w:lang w:eastAsia="en-AU"/>
        </w:rPr>
        <w:t>The new eight-bed secure psychiatric intensive care unit (SPICU) and four in-fill beds opened in 2018–19 are providing much-needed additional capacity at the Thomas Embling Hospital, Fairfield.</w:t>
      </w:r>
    </w:p>
    <w:p w14:paraId="7BFA9E5F" w14:textId="6A16B044" w:rsidR="00814857" w:rsidRDefault="00814857" w:rsidP="00A845B8">
      <w:pPr>
        <w:pStyle w:val="ARbody"/>
        <w:rPr>
          <w:lang w:eastAsia="en-AU"/>
        </w:rPr>
      </w:pPr>
      <w:r>
        <w:rPr>
          <w:lang w:eastAsia="en-AU"/>
        </w:rPr>
        <w:t>SPICU, opened in March 2019, is a state-of-the-art,</w:t>
      </w:r>
      <w:r w:rsidR="00700071">
        <w:rPr>
          <w:lang w:eastAsia="en-AU"/>
        </w:rPr>
        <w:t> </w:t>
      </w:r>
      <w:r>
        <w:rPr>
          <w:lang w:eastAsia="en-AU"/>
        </w:rPr>
        <w:t>short-term unit providing a calming space to assist male prisoner patients with their mental health recovery. The stand-alone unit features contemporary designs, providing patients with a</w:t>
      </w:r>
      <w:r w:rsidR="00700071">
        <w:rPr>
          <w:lang w:eastAsia="en-AU"/>
        </w:rPr>
        <w:t> </w:t>
      </w:r>
      <w:r>
        <w:rPr>
          <w:lang w:eastAsia="en-AU"/>
        </w:rPr>
        <w:t>recovery-focused, highly secure therapeutic environment. SPICU patients are treated by an experienced team of specialist multidisciplinary clinicians, using positive behaviour treatment programs.</w:t>
      </w:r>
    </w:p>
    <w:p w14:paraId="5C0AB009" w14:textId="169082F9" w:rsidR="00345066" w:rsidRDefault="00814857" w:rsidP="00350E76">
      <w:pPr>
        <w:pStyle w:val="Heading6"/>
      </w:pPr>
      <w:r>
        <w:lastRenderedPageBreak/>
        <w:t>Expanded alcohol and other drug services</w:t>
      </w:r>
      <w:r w:rsidR="00700071">
        <w:rPr>
          <w:lang w:val="en-US"/>
        </w:rPr>
        <w:t> </w:t>
      </w:r>
      <w:r>
        <w:t>in</w:t>
      </w:r>
      <w:r w:rsidR="00700071">
        <w:rPr>
          <w:lang w:val="en-US"/>
        </w:rPr>
        <w:t> </w:t>
      </w:r>
      <w:r>
        <w:t>the Grampians region</w:t>
      </w:r>
    </w:p>
    <w:p w14:paraId="3E8981DA" w14:textId="672D9DC6" w:rsidR="00814857" w:rsidRDefault="00814857" w:rsidP="00350E76">
      <w:pPr>
        <w:pStyle w:val="ARbody"/>
        <w:rPr>
          <w:rFonts w:eastAsiaTheme="minorHAnsi"/>
          <w:lang w:eastAsia="en-AU"/>
        </w:rPr>
      </w:pPr>
      <w:r>
        <w:rPr>
          <w:lang w:eastAsia="en-AU"/>
        </w:rPr>
        <w:t>The rise in harm from alcohol and other drugs (AOD), particularly ice, over the past five years has prompted an increase in demand for appropriate AOD residential rehabilitation services across the state, especially in regional and outer metropolitan regions. This has led to a comprehensive and staged approach to investment.</w:t>
      </w:r>
    </w:p>
    <w:p w14:paraId="3C4763C2" w14:textId="77777777" w:rsidR="00814857" w:rsidRDefault="00814857" w:rsidP="00350E76">
      <w:pPr>
        <w:pStyle w:val="ARbody"/>
        <w:rPr>
          <w:lang w:eastAsia="en-AU"/>
        </w:rPr>
      </w:pPr>
      <w:r>
        <w:rPr>
          <w:lang w:eastAsia="en-AU"/>
        </w:rPr>
        <w:t>The Grampians region has exhibited increasing levels of ice use and associated complications over the past three years, as well as incidence of alcohol and other substance problems. Twenty additional beds have been established so that approximately 80 more local people recovering from AOD issues can receive appropriate and timely residential rehabilitation care.</w:t>
      </w:r>
    </w:p>
    <w:p w14:paraId="19CAE1F8" w14:textId="7E8EED5B" w:rsidR="00814857" w:rsidRPr="00C325D2" w:rsidRDefault="00814857" w:rsidP="00350E76">
      <w:pPr>
        <w:pStyle w:val="Heading6"/>
        <w:rPr>
          <w:lang w:val="en-AU"/>
        </w:rPr>
      </w:pPr>
      <w:r>
        <w:rPr>
          <w:lang w:val="en-AU"/>
        </w:rPr>
        <w:t>Supporting the mental health of</w:t>
      </w:r>
      <w:r w:rsidR="00700071">
        <w:rPr>
          <w:lang w:val="en-AU"/>
        </w:rPr>
        <w:t> </w:t>
      </w:r>
      <w:r>
        <w:rPr>
          <w:lang w:val="en-AU"/>
        </w:rPr>
        <w:t>vulnerable</w:t>
      </w:r>
      <w:r w:rsidR="00700071">
        <w:rPr>
          <w:lang w:val="en-AU"/>
        </w:rPr>
        <w:t> </w:t>
      </w:r>
      <w:r>
        <w:rPr>
          <w:lang w:val="en-AU"/>
        </w:rPr>
        <w:t>young Victorians</w:t>
      </w:r>
    </w:p>
    <w:p w14:paraId="174BAE6E" w14:textId="77777777" w:rsidR="00814857" w:rsidRDefault="00814857" w:rsidP="00350E76">
      <w:pPr>
        <w:pStyle w:val="ARbody"/>
        <w:rPr>
          <w:rFonts w:eastAsiaTheme="minorHAnsi"/>
        </w:rPr>
      </w:pPr>
      <w:r>
        <w:t>The upgraded facility for the Orygen Youth Mental Health program facility was completed in November 2018 and officially opened on 30 July 2019.</w:t>
      </w:r>
    </w:p>
    <w:p w14:paraId="05A0BE02" w14:textId="1FD654B1" w:rsidR="00345066" w:rsidRDefault="00814857" w:rsidP="00350E76">
      <w:pPr>
        <w:pStyle w:val="ARbody"/>
      </w:pPr>
      <w:r>
        <w:t>The Poplar Road facility is home to the National Centre of Excellence in Youth Mental Health and specialist mental health service Orygen Youth Health, a program provided by Melbourne Health. It</w:t>
      </w:r>
      <w:r w:rsidR="00700071">
        <w:t> </w:t>
      </w:r>
      <w:r>
        <w:t>replaces old facilities, some dating back to 1906, that were not conducive to contemporary mental healthcare practice. It will support 5,000 vulnerable young Victorians annually, with a focus on prevention and early intervention.</w:t>
      </w:r>
    </w:p>
    <w:p w14:paraId="45205088" w14:textId="27055F4D" w:rsidR="00814857" w:rsidRDefault="00814857" w:rsidP="00350E76">
      <w:pPr>
        <w:pStyle w:val="ARbody"/>
      </w:pPr>
      <w:r>
        <w:t>Its innovative features reflect the principles of inclusiveness and universal design, following a</w:t>
      </w:r>
      <w:r w:rsidR="008C5FCE">
        <w:t> </w:t>
      </w:r>
      <w:r>
        <w:t>long</w:t>
      </w:r>
      <w:r w:rsidR="008C5FCE">
        <w:t> </w:t>
      </w:r>
      <w:r>
        <w:t xml:space="preserve">and productive consultation process with </w:t>
      </w:r>
      <w:r w:rsidR="008C5FCE">
        <w:br/>
      </w:r>
      <w:r>
        <w:t>12</w:t>
      </w:r>
      <w:r w:rsidR="0082268D">
        <w:t xml:space="preserve">- to </w:t>
      </w:r>
      <w:r>
        <w:t>25-year-olds to learn about what they want in</w:t>
      </w:r>
      <w:r w:rsidR="008C5FCE">
        <w:t> </w:t>
      </w:r>
      <w:r>
        <w:t>the places they seek treatment and support.</w:t>
      </w:r>
    </w:p>
    <w:p w14:paraId="3679A85D" w14:textId="77777777" w:rsidR="00345066" w:rsidRDefault="00814857" w:rsidP="00350E76">
      <w:pPr>
        <w:pStyle w:val="ARbody"/>
      </w:pPr>
      <w:r>
        <w:t>The three-storey building has impressed design professionals internationally, and it recently earned top honours for Best Mental Health Design at the 2019 European Healthcare Design awards.</w:t>
      </w:r>
    </w:p>
    <w:p w14:paraId="37FD2EAE" w14:textId="668B7806" w:rsidR="00814857" w:rsidRPr="008F035E" w:rsidRDefault="00814857" w:rsidP="00B732FA">
      <w:pPr>
        <w:pStyle w:val="Heading6"/>
        <w:rPr>
          <w:lang w:val="en-AU"/>
        </w:rPr>
      </w:pPr>
      <w:bookmarkStart w:id="32" w:name="_Hlk20325650"/>
      <w:r>
        <w:rPr>
          <w:lang w:val="en-AU"/>
        </w:rPr>
        <w:t xml:space="preserve">Supporting Melbourne’s </w:t>
      </w:r>
      <w:r w:rsidR="00700071">
        <w:rPr>
          <w:lang w:val="en-AU"/>
        </w:rPr>
        <w:br/>
      </w:r>
      <w:r>
        <w:rPr>
          <w:lang w:val="en-AU"/>
        </w:rPr>
        <w:t>fast-growing western</w:t>
      </w:r>
      <w:r w:rsidR="00700071">
        <w:rPr>
          <w:lang w:val="en-AU"/>
        </w:rPr>
        <w:t> </w:t>
      </w:r>
      <w:r>
        <w:rPr>
          <w:lang w:val="en-AU"/>
        </w:rPr>
        <w:t>suburbs</w:t>
      </w:r>
    </w:p>
    <w:p w14:paraId="5D316510" w14:textId="0C88ABCB" w:rsidR="00345066" w:rsidRDefault="00814857" w:rsidP="004637A0">
      <w:pPr>
        <w:pStyle w:val="ARbody"/>
      </w:pPr>
      <w:r>
        <w:t xml:space="preserve">A rapidly growing population in Melbourne’s </w:t>
      </w:r>
      <w:r w:rsidR="008C5FCE">
        <w:br/>
      </w:r>
      <w:r>
        <w:t>north-west and the ongoing implementation of Victoria’s Mental Health Plan drove the expansion of mental health services at Werribee Mercy Hospital. The new Clare Moore Building officially</w:t>
      </w:r>
      <w:r w:rsidR="008C5FCE">
        <w:t> </w:t>
      </w:r>
      <w:r>
        <w:t>opened in October 2018.</w:t>
      </w:r>
    </w:p>
    <w:p w14:paraId="6E20A96F" w14:textId="41309B1F" w:rsidR="00814857" w:rsidRDefault="00814857" w:rsidP="004637A0">
      <w:pPr>
        <w:pStyle w:val="ARbody"/>
      </w:pPr>
      <w:r>
        <w:t>The Clare Moore Building replaces the previous mental health facility with a 54-bed capability including a:</w:t>
      </w:r>
    </w:p>
    <w:p w14:paraId="7610EA00" w14:textId="1AF51DF2" w:rsidR="00814857" w:rsidRDefault="00814857" w:rsidP="004637A0">
      <w:pPr>
        <w:pStyle w:val="ARbullet1"/>
      </w:pPr>
      <w:r>
        <w:t xml:space="preserve">4-bed psychiatric assessment and </w:t>
      </w:r>
      <w:r w:rsidR="008C5FCE">
        <w:br/>
      </w:r>
      <w:r>
        <w:t>planning unit</w:t>
      </w:r>
    </w:p>
    <w:p w14:paraId="01EE0AC0" w14:textId="77777777" w:rsidR="00814857" w:rsidRDefault="00814857" w:rsidP="004637A0">
      <w:pPr>
        <w:pStyle w:val="ARbullet1"/>
      </w:pPr>
      <w:r>
        <w:t>10-bed high dependency unit</w:t>
      </w:r>
    </w:p>
    <w:p w14:paraId="241F07E5" w14:textId="77777777" w:rsidR="00814857" w:rsidRDefault="00814857" w:rsidP="004637A0">
      <w:pPr>
        <w:pStyle w:val="ARbullet1"/>
      </w:pPr>
      <w:r>
        <w:t>40-bed low dependency unit.</w:t>
      </w:r>
    </w:p>
    <w:p w14:paraId="557EB31C" w14:textId="0277DC88" w:rsidR="00814857" w:rsidRDefault="00814857" w:rsidP="008F035E">
      <w:pPr>
        <w:pStyle w:val="ARbodyafterbullets"/>
      </w:pPr>
      <w:r>
        <w:t>The new facility delivers an extra 25 inpatient beds,</w:t>
      </w:r>
      <w:r w:rsidR="00700071">
        <w:t> </w:t>
      </w:r>
      <w:r w:rsidRPr="004637A0">
        <w:t>for the Mercy mental health catchment which</w:t>
      </w:r>
      <w:r w:rsidR="00700071">
        <w:t> </w:t>
      </w:r>
      <w:r w:rsidRPr="004637A0">
        <w:t>includes Wyndham, Hobsons Bay and Maribyrnong.</w:t>
      </w:r>
      <w:bookmarkEnd w:id="32"/>
    </w:p>
    <w:p w14:paraId="78AA1E9F" w14:textId="77777777" w:rsidR="00814857" w:rsidRPr="004D63E8" w:rsidRDefault="00814857" w:rsidP="00350E76">
      <w:pPr>
        <w:pStyle w:val="Heading5"/>
        <w:rPr>
          <w:rFonts w:eastAsia="Calibri"/>
        </w:rPr>
      </w:pPr>
      <w:r w:rsidRPr="004D63E8">
        <w:rPr>
          <w:rFonts w:eastAsia="Calibri"/>
        </w:rPr>
        <w:t>Key result 6</w:t>
      </w:r>
      <w:r>
        <w:rPr>
          <w:rFonts w:eastAsia="Calibri"/>
        </w:rPr>
        <w:t>:</w:t>
      </w:r>
      <w:r w:rsidRPr="004D63E8">
        <w:rPr>
          <w:rFonts w:eastAsia="Calibri"/>
        </w:rPr>
        <w:t xml:space="preserve"> Reduce the suicide rate</w:t>
      </w:r>
    </w:p>
    <w:p w14:paraId="3165B7B8" w14:textId="77777777" w:rsidR="00814857" w:rsidRPr="00DE4E1D" w:rsidRDefault="00814857" w:rsidP="00700071">
      <w:pPr>
        <w:pStyle w:val="Heading6"/>
      </w:pPr>
      <w:r w:rsidRPr="00DE4E1D">
        <w:t>Place-based suicide prevention trials</w:t>
      </w:r>
    </w:p>
    <w:p w14:paraId="2645CE5C" w14:textId="165DB519" w:rsidR="00814857" w:rsidRDefault="00814857" w:rsidP="00350E76">
      <w:pPr>
        <w:pStyle w:val="ARbody"/>
      </w:pPr>
      <w:r>
        <w:t>The department and public health services are continuing to work with Primary Health Networks and Aboriginal community-controlled organisations to support local communities to develop and implement coordinated place-based approaches to</w:t>
      </w:r>
      <w:r w:rsidR="00700071">
        <w:t> </w:t>
      </w:r>
      <w:r>
        <w:t>suicide prevention.</w:t>
      </w:r>
    </w:p>
    <w:p w14:paraId="5F0A61F5" w14:textId="3575A7BE" w:rsidR="00814857" w:rsidRDefault="00814857" w:rsidP="00350E76">
      <w:pPr>
        <w:pStyle w:val="ARbody"/>
      </w:pPr>
      <w:r>
        <w:t>The trials are being implemented in 12 locations: Mornington Peninsula/Frankston</w:t>
      </w:r>
      <w:r w:rsidR="0082268D">
        <w:t>;</w:t>
      </w:r>
      <w:r>
        <w:t xml:space="preserve"> Dandenong</w:t>
      </w:r>
      <w:r w:rsidR="0082268D">
        <w:t>;</w:t>
      </w:r>
      <w:r>
        <w:t xml:space="preserve"> Latrobe Valley</w:t>
      </w:r>
      <w:r w:rsidR="0082268D">
        <w:t>;</w:t>
      </w:r>
      <w:r>
        <w:t xml:space="preserve"> Bass Coast</w:t>
      </w:r>
      <w:r w:rsidR="0082268D">
        <w:t>;</w:t>
      </w:r>
      <w:r>
        <w:t xml:space="preserve"> Brimbank/Melton</w:t>
      </w:r>
      <w:r w:rsidR="0082268D">
        <w:t>;</w:t>
      </w:r>
      <w:r>
        <w:t xml:space="preserve"> Macedon Ranges</w:t>
      </w:r>
      <w:r w:rsidR="0082268D">
        <w:t>;</w:t>
      </w:r>
      <w:r>
        <w:t xml:space="preserve"> Whittlesea</w:t>
      </w:r>
      <w:r w:rsidR="0082268D">
        <w:t>;</w:t>
      </w:r>
      <w:r>
        <w:t xml:space="preserve"> Maroondah</w:t>
      </w:r>
      <w:r w:rsidR="0082268D">
        <w:t>;</w:t>
      </w:r>
      <w:r>
        <w:t xml:space="preserve"> Mildura</w:t>
      </w:r>
      <w:r w:rsidR="0082268D">
        <w:t>;</w:t>
      </w:r>
      <w:r>
        <w:t xml:space="preserve"> Benalla</w:t>
      </w:r>
      <w:r w:rsidR="0082268D">
        <w:t>;</w:t>
      </w:r>
      <w:r>
        <w:t xml:space="preserve"> Ballarat</w:t>
      </w:r>
      <w:r w:rsidR="0082268D">
        <w:t>;</w:t>
      </w:r>
      <w:r>
        <w:t xml:space="preserve"> and the Great South Coast.</w:t>
      </w:r>
    </w:p>
    <w:p w14:paraId="2C5CD93C" w14:textId="35CCBD08" w:rsidR="00814857" w:rsidRDefault="00814857" w:rsidP="00350E76">
      <w:pPr>
        <w:pStyle w:val="ARbody"/>
      </w:pPr>
      <w:r>
        <w:t>In many of the projects, there has been a focus on</w:t>
      </w:r>
      <w:r w:rsidR="008C5FCE">
        <w:t> </w:t>
      </w:r>
      <w:r>
        <w:t>how to encourage and help men to seek support. In Gippsland this has involved engaging closely with the dairy farming industry.</w:t>
      </w:r>
    </w:p>
    <w:p w14:paraId="0106957D" w14:textId="28E895E2" w:rsidR="00814857" w:rsidRDefault="00814857" w:rsidP="00350E76">
      <w:pPr>
        <w:pStyle w:val="ARbody"/>
      </w:pPr>
      <w:r>
        <w:t>In each of the sites, partnerships have been developed with Aboriginal community-controlled organisations and communities, and lesbian, gay,</w:t>
      </w:r>
      <w:r w:rsidR="00700071">
        <w:t> </w:t>
      </w:r>
      <w:r>
        <w:t>bisexual, trans, intersex and queer and/or questioning (LGBTIQ) organisations and people with lived experience to develop tools and resources and initiate community conversations about seeking help.</w:t>
      </w:r>
    </w:p>
    <w:p w14:paraId="74A182D8" w14:textId="616B9BF3" w:rsidR="00814857" w:rsidRDefault="00814857" w:rsidP="00350E76">
      <w:pPr>
        <w:pStyle w:val="ARbody"/>
      </w:pPr>
      <w:r>
        <w:t>The department has also worked closely with South</w:t>
      </w:r>
      <w:r w:rsidR="00700071">
        <w:t> </w:t>
      </w:r>
      <w:r>
        <w:t xml:space="preserve">Sudanese </w:t>
      </w:r>
      <w:r w:rsidRPr="0063513B">
        <w:t>Community Support Groups</w:t>
      </w:r>
      <w:r>
        <w:t xml:space="preserve"> (CSG) in Dandenong Casey, Brimbank Melton and</w:t>
      </w:r>
      <w:r w:rsidR="00700071">
        <w:t> </w:t>
      </w:r>
      <w:r>
        <w:t xml:space="preserve">Wyndham to involve these communities in trial related activities. </w:t>
      </w:r>
      <w:r w:rsidRPr="0063513B">
        <w:t>The CSG teams were trained and supported to enable South Sudanese CSG staff and community leaders to better provide support to</w:t>
      </w:r>
      <w:r w:rsidR="00700071">
        <w:t> </w:t>
      </w:r>
      <w:r w:rsidRPr="0063513B">
        <w:t>community members and link them to local services.</w:t>
      </w:r>
    </w:p>
    <w:p w14:paraId="73259FA3" w14:textId="4B540168" w:rsidR="00814857" w:rsidRPr="004D63E8" w:rsidRDefault="00814857" w:rsidP="00350E76">
      <w:pPr>
        <w:pStyle w:val="Heading5"/>
        <w:rPr>
          <w:rFonts w:eastAsia="Calibri"/>
        </w:rPr>
      </w:pPr>
      <w:r w:rsidRPr="004D63E8">
        <w:rPr>
          <w:rFonts w:eastAsia="Calibri"/>
        </w:rPr>
        <w:lastRenderedPageBreak/>
        <w:t xml:space="preserve">Key result 7: Improve rates </w:t>
      </w:r>
      <w:r w:rsidR="00700071">
        <w:rPr>
          <w:rFonts w:eastAsia="Calibri"/>
        </w:rPr>
        <w:br/>
      </w:r>
      <w:r w:rsidRPr="004D63E8">
        <w:rPr>
          <w:rFonts w:eastAsia="Calibri"/>
        </w:rPr>
        <w:t>of self-reported health and wellbeing</w:t>
      </w:r>
    </w:p>
    <w:p w14:paraId="056A2FAC" w14:textId="15FB148F" w:rsidR="00814857" w:rsidRPr="00C325D2" w:rsidRDefault="00814857" w:rsidP="00350E76">
      <w:pPr>
        <w:pStyle w:val="Heading6"/>
        <w:rPr>
          <w:lang w:val="en-AU"/>
        </w:rPr>
      </w:pPr>
      <w:r>
        <w:rPr>
          <w:lang w:val="en-AU"/>
        </w:rPr>
        <w:t>Adding community voice to health and</w:t>
      </w:r>
      <w:r w:rsidR="00700071">
        <w:rPr>
          <w:lang w:val="en-AU"/>
        </w:rPr>
        <w:t> </w:t>
      </w:r>
      <w:r>
        <w:rPr>
          <w:lang w:val="en-AU"/>
        </w:rPr>
        <w:t xml:space="preserve">wellbeing in the </w:t>
      </w:r>
      <w:r>
        <w:t xml:space="preserve">Latrobe </w:t>
      </w:r>
      <w:r>
        <w:rPr>
          <w:lang w:val="en-AU"/>
        </w:rPr>
        <w:t>Valley</w:t>
      </w:r>
    </w:p>
    <w:p w14:paraId="55B38BE9" w14:textId="50F3E654" w:rsidR="00814857" w:rsidRDefault="00814857" w:rsidP="00350E76">
      <w:pPr>
        <w:pStyle w:val="ARbody"/>
        <w:rPr>
          <w:lang w:eastAsia="en-AU"/>
        </w:rPr>
      </w:pPr>
      <w:r>
        <w:rPr>
          <w:lang w:eastAsia="en-AU"/>
        </w:rPr>
        <w:t>The Latrobe Health Innovation Zone aims to improve health and wellbeing with initiatives and programs that give voice to community aspirations in planning. It is delivering better health and wellbeing outcomes, and actively encouraging a</w:t>
      </w:r>
      <w:r w:rsidR="009D7BD7">
        <w:rPr>
          <w:lang w:eastAsia="en-AU"/>
        </w:rPr>
        <w:t> </w:t>
      </w:r>
      <w:r>
        <w:rPr>
          <w:lang w:eastAsia="en-AU"/>
        </w:rPr>
        <w:t>process of co-design with communities and organisations.</w:t>
      </w:r>
    </w:p>
    <w:p w14:paraId="03B47AAA" w14:textId="77777777" w:rsidR="00345066" w:rsidRDefault="00814857" w:rsidP="00350E76">
      <w:pPr>
        <w:pStyle w:val="ARbody"/>
        <w:rPr>
          <w:lang w:eastAsia="en-AU"/>
        </w:rPr>
      </w:pPr>
      <w:r>
        <w:rPr>
          <w:lang w:eastAsia="en-AU"/>
        </w:rPr>
        <w:t xml:space="preserve">Appointed in May 2018 and reporting to the Minister for Health, the Latrobe Health Advocate, Jane Anderson provides independent advice to the </w:t>
      </w:r>
      <w:r w:rsidRPr="00C325D2">
        <w:rPr>
          <w:lang w:eastAsia="en-AU"/>
        </w:rPr>
        <w:t>Victorian Government</w:t>
      </w:r>
      <w:r>
        <w:rPr>
          <w:lang w:eastAsia="en-AU"/>
        </w:rPr>
        <w:t xml:space="preserve"> on behalf of Latrobe Valley communities about system and policy issues affecting their health and wellbeing.</w:t>
      </w:r>
    </w:p>
    <w:p w14:paraId="20900D8E" w14:textId="07953F92" w:rsidR="00814857" w:rsidRDefault="00814857" w:rsidP="00350E76">
      <w:pPr>
        <w:pStyle w:val="ARbody"/>
        <w:rPr>
          <w:lang w:eastAsia="en-AU"/>
        </w:rPr>
      </w:pPr>
      <w:r>
        <w:rPr>
          <w:lang w:eastAsia="en-AU"/>
        </w:rPr>
        <w:t>Programs and initiatives underway are achieving positive health outcomes for the Latrobe Valley community, including:</w:t>
      </w:r>
    </w:p>
    <w:p w14:paraId="5164C991" w14:textId="77777777" w:rsidR="00814857" w:rsidRDefault="00814857" w:rsidP="00350E76">
      <w:pPr>
        <w:pStyle w:val="ARbullet1"/>
      </w:pPr>
      <w:r>
        <w:t>increased smoking cessation support and initiatives, increased mental health awareness, expanded chronic disease services, increased specialist services, and expanded telehealth services</w:t>
      </w:r>
    </w:p>
    <w:p w14:paraId="2295965F" w14:textId="77777777" w:rsidR="00814857" w:rsidRDefault="00814857" w:rsidP="00350E76">
      <w:pPr>
        <w:pStyle w:val="ARbullet1"/>
      </w:pPr>
      <w:r>
        <w:t>dental health initiatives addressing extensive wait lists in Latrobe Valley, including a voucher scheme that has seen a more than 50 per cent uptake</w:t>
      </w:r>
    </w:p>
    <w:p w14:paraId="5FB6740E" w14:textId="77777777" w:rsidR="00814857" w:rsidRDefault="00814857" w:rsidP="00350E76">
      <w:pPr>
        <w:pStyle w:val="ARbullet1"/>
      </w:pPr>
      <w:r>
        <w:t>expanded respiratory and allied health services that include the co-location of respiratory nurses in clinics, monthly respiratory clinics, and expanded diabetes services and education programs</w:t>
      </w:r>
    </w:p>
    <w:p w14:paraId="758F2A1B" w14:textId="77777777" w:rsidR="00814857" w:rsidRDefault="00814857" w:rsidP="00350E76">
      <w:pPr>
        <w:pStyle w:val="ARbullet1"/>
      </w:pPr>
      <w:r>
        <w:t>increased support for Aboriginal health, wellbeing and connectedness through culturally appropriate organisations and facilities.</w:t>
      </w:r>
    </w:p>
    <w:p w14:paraId="51CC36EC" w14:textId="7117E717" w:rsidR="00345066" w:rsidRDefault="00814857" w:rsidP="00350E76">
      <w:pPr>
        <w:pStyle w:val="Heading4"/>
      </w:pPr>
      <w:r>
        <w:t>Outcome 1.3: Victorians act to</w:t>
      </w:r>
      <w:r w:rsidR="00700071">
        <w:t> </w:t>
      </w:r>
      <w:r>
        <w:t>protect</w:t>
      </w:r>
      <w:r w:rsidR="00700071">
        <w:t> </w:t>
      </w:r>
      <w:r>
        <w:t>and promote health</w:t>
      </w:r>
    </w:p>
    <w:p w14:paraId="49576A1E" w14:textId="2BEC81F9" w:rsidR="00814857" w:rsidRDefault="00814857" w:rsidP="00350E76">
      <w:pPr>
        <w:pStyle w:val="ARbody"/>
      </w:pPr>
      <w:r>
        <w:t>The department wants all Victorians to enjoy the highest attainable standards of health, wellbeing, development and participation at every age. Recognising the influential role of social, cultural and economic forces, as well as biological and environmental factors on health and wellbeing, we</w:t>
      </w:r>
      <w:r w:rsidR="00700071">
        <w:t> </w:t>
      </w:r>
      <w:r>
        <w:t>consider the whole population and support community-led action wherever possible.</w:t>
      </w:r>
    </w:p>
    <w:p w14:paraId="398EC9E1" w14:textId="77777777" w:rsidR="00814857" w:rsidRDefault="00814857" w:rsidP="00350E76">
      <w:pPr>
        <w:pStyle w:val="Heading5"/>
      </w:pPr>
      <w:r>
        <w:t>Progress against outcomes</w:t>
      </w:r>
    </w:p>
    <w:p w14:paraId="6BA352F5" w14:textId="615504E5" w:rsidR="00345066" w:rsidRDefault="00814857" w:rsidP="00350E76">
      <w:pPr>
        <w:pStyle w:val="Heading6"/>
      </w:pPr>
      <w:r>
        <w:rPr>
          <w:lang w:val="en-AU"/>
        </w:rPr>
        <w:t>M</w:t>
      </w:r>
      <w:r w:rsidRPr="00C325D2">
        <w:t>ore Victorians have better access to</w:t>
      </w:r>
      <w:r w:rsidR="00700071">
        <w:rPr>
          <w:lang w:val="en-US"/>
        </w:rPr>
        <w:t> </w:t>
      </w:r>
      <w:r w:rsidRPr="003F2397">
        <w:t>assisted</w:t>
      </w:r>
      <w:r w:rsidR="00700071">
        <w:rPr>
          <w:lang w:val="en-US"/>
        </w:rPr>
        <w:t> </w:t>
      </w:r>
      <w:r w:rsidRPr="003F2397">
        <w:t>reproductive treatment</w:t>
      </w:r>
    </w:p>
    <w:p w14:paraId="22897AA0" w14:textId="77777777" w:rsidR="00345066" w:rsidRDefault="00814857" w:rsidP="00350E76">
      <w:pPr>
        <w:pStyle w:val="ARbody"/>
      </w:pPr>
      <w:r w:rsidRPr="003F2397">
        <w:t>In April 2018, the Victorian Government commissioned a landmark, independent 12-month review of assisted reproductive treatment in Victoria. Mr Michael Gorton AM led the review.</w:t>
      </w:r>
    </w:p>
    <w:p w14:paraId="508FABAB" w14:textId="73B28447" w:rsidR="00814857" w:rsidRPr="003F2397" w:rsidRDefault="00814857" w:rsidP="00350E76">
      <w:pPr>
        <w:pStyle w:val="ARbody"/>
      </w:pPr>
      <w:r w:rsidRPr="003F2397">
        <w:t xml:space="preserve">The report was commissioned as part of a major push to make sure </w:t>
      </w:r>
      <w:bookmarkStart w:id="33" w:name="_Hlk18939312"/>
      <w:r w:rsidRPr="003F2397">
        <w:t xml:space="preserve">more Victorians have better access to </w:t>
      </w:r>
      <w:bookmarkEnd w:id="33"/>
      <w:r w:rsidRPr="003F2397">
        <w:t>safer, higher-quality treatment and are free from discrimination.</w:t>
      </w:r>
    </w:p>
    <w:p w14:paraId="32B9A40D" w14:textId="285ABB2A" w:rsidR="00814857" w:rsidRPr="003F2397" w:rsidRDefault="00814857" w:rsidP="00350E76">
      <w:pPr>
        <w:pStyle w:val="ARbody"/>
      </w:pPr>
      <w:r w:rsidRPr="003F2397">
        <w:t xml:space="preserve">On 3 July 2019, the </w:t>
      </w:r>
      <w:r w:rsidRPr="00835615">
        <w:t>Victorian Government</w:t>
      </w:r>
      <w:r w:rsidRPr="003F2397">
        <w:t xml:space="preserve"> released the </w:t>
      </w:r>
      <w:r w:rsidRPr="008F035E">
        <w:rPr>
          <w:i/>
          <w:iCs/>
        </w:rPr>
        <w:t>Final report of the Independent Review of Assisted Reproductive Treatment</w:t>
      </w:r>
      <w:r w:rsidRPr="003F2397">
        <w:t>, which makes 80</w:t>
      </w:r>
      <w:r w:rsidR="00700071">
        <w:t> </w:t>
      </w:r>
      <w:r w:rsidRPr="003F2397">
        <w:t xml:space="preserve">wide-ranging recommendations. The report was informed by an extensive consultation process, including 40 written submissions and 191 survey responses. The </w:t>
      </w:r>
      <w:r w:rsidRPr="00835615">
        <w:t>government</w:t>
      </w:r>
      <w:r w:rsidRPr="003F2397">
        <w:t xml:space="preserve"> is considering the recommendations in detail.</w:t>
      </w:r>
    </w:p>
    <w:p w14:paraId="16D753E7" w14:textId="41F72681" w:rsidR="00814857" w:rsidRPr="003F2397" w:rsidRDefault="00814857" w:rsidP="00350E76">
      <w:pPr>
        <w:pStyle w:val="ARbody"/>
      </w:pPr>
      <w:r w:rsidRPr="003F2397">
        <w:t>On</w:t>
      </w:r>
      <w:r>
        <w:t xml:space="preserve"> </w:t>
      </w:r>
      <w:r w:rsidRPr="003F2397">
        <w:t xml:space="preserve">4 June </w:t>
      </w:r>
      <w:r>
        <w:t>2019,</w:t>
      </w:r>
      <w:r w:rsidRPr="003F2397">
        <w:t xml:space="preserve"> legislation to address discrimination issues associated with married but</w:t>
      </w:r>
      <w:r w:rsidR="00700071">
        <w:t> </w:t>
      </w:r>
      <w:r w:rsidRPr="003F2397">
        <w:t>separated women who wish to seek treatment was introduced in the Victorian Parliament and was</w:t>
      </w:r>
      <w:r w:rsidR="00700071">
        <w:t> </w:t>
      </w:r>
      <w:r w:rsidRPr="003F2397">
        <w:t>subsequently passed in August 2019.</w:t>
      </w:r>
    </w:p>
    <w:p w14:paraId="5DBA7BD7" w14:textId="2F97261F" w:rsidR="00814857" w:rsidRDefault="00814857" w:rsidP="00350E76">
      <w:pPr>
        <w:pStyle w:val="Heading6"/>
      </w:pPr>
      <w:r w:rsidRPr="00B64D1E">
        <w:t>Crack down on cosmetic treatment</w:t>
      </w:r>
      <w:r w:rsidR="00700071">
        <w:rPr>
          <w:lang w:val="en-US"/>
        </w:rPr>
        <w:t> </w:t>
      </w:r>
      <w:r w:rsidRPr="00B64D1E">
        <w:t>and</w:t>
      </w:r>
      <w:r w:rsidR="00700071">
        <w:rPr>
          <w:lang w:val="en-US"/>
        </w:rPr>
        <w:t> </w:t>
      </w:r>
      <w:r w:rsidRPr="00B64D1E">
        <w:t>AOD</w:t>
      </w:r>
      <w:r w:rsidR="00700071">
        <w:rPr>
          <w:lang w:val="en-US"/>
        </w:rPr>
        <w:t> </w:t>
      </w:r>
      <w:r w:rsidRPr="00B64D1E">
        <w:t>providers</w:t>
      </w:r>
    </w:p>
    <w:p w14:paraId="562DC66A" w14:textId="77777777" w:rsidR="00814857" w:rsidRDefault="00814857" w:rsidP="00350E76">
      <w:pPr>
        <w:pStyle w:val="ARbody"/>
      </w:pPr>
      <w:r>
        <w:t>In response to the 2016 Targeting Zero report, the legislation that governs the private health sector was amended on 1 July 2018. These amendments require that all surgery be undertaken in registered premises, regardless of frequency. In addition, liposuction, anaesthesia and alcohol and other drug (AOD) withdrawal treatments must be provided in registered facilities.</w:t>
      </w:r>
    </w:p>
    <w:p w14:paraId="0F85E1D3" w14:textId="5523B118" w:rsidR="00345066" w:rsidRDefault="00814857" w:rsidP="00350E76">
      <w:pPr>
        <w:pStyle w:val="ARbody"/>
      </w:pPr>
      <w:r>
        <w:t>The department has commenced enforcement and</w:t>
      </w:r>
      <w:r w:rsidR="00700071">
        <w:t> </w:t>
      </w:r>
      <w:r>
        <w:t>compliance activity to support these changes. In 2019, the department began investigating unregistered clinics that may have been performing procedures that should be undertaken in a registered facility.</w:t>
      </w:r>
    </w:p>
    <w:p w14:paraId="7333866F" w14:textId="77777777" w:rsidR="00345066" w:rsidRDefault="00814857" w:rsidP="00350E76">
      <w:pPr>
        <w:pStyle w:val="ARbody"/>
      </w:pPr>
      <w:r>
        <w:t>The quality of AOD</w:t>
      </w:r>
      <w:r w:rsidRPr="00AC59E5">
        <w:t xml:space="preserve"> withdrawal facilities </w:t>
      </w:r>
      <w:r>
        <w:t>is also a key focus. Work to ensure providers better meet the needs of clients includes:</w:t>
      </w:r>
    </w:p>
    <w:p w14:paraId="1407EF22" w14:textId="24EB2968" w:rsidR="00814857" w:rsidRDefault="00814857" w:rsidP="00350E76">
      <w:pPr>
        <w:pStyle w:val="ARbullet1"/>
      </w:pPr>
      <w:r>
        <w:t>developing and publishing a suite of resources to promote informed decision making in the selection of AOD services, and providing information about what to do when services do</w:t>
      </w:r>
      <w:r w:rsidR="00700071">
        <w:t> </w:t>
      </w:r>
      <w:r>
        <w:t>not meet expectations</w:t>
      </w:r>
    </w:p>
    <w:p w14:paraId="0F6D9C35" w14:textId="77777777" w:rsidR="00814857" w:rsidRDefault="00814857" w:rsidP="00350E76">
      <w:pPr>
        <w:pStyle w:val="ARbullet1"/>
      </w:pPr>
      <w:r>
        <w:lastRenderedPageBreak/>
        <w:t xml:space="preserve">working with the Health Complaints Commissioner to ensure it is well positioned to undertake its duties in relation to AOD services under the </w:t>
      </w:r>
      <w:r w:rsidRPr="008F035E">
        <w:rPr>
          <w:i/>
          <w:iCs/>
        </w:rPr>
        <w:t>Health Complaints Act 2016</w:t>
      </w:r>
    </w:p>
    <w:p w14:paraId="7B0E6136" w14:textId="77777777" w:rsidR="00814857" w:rsidRPr="000C0F90" w:rsidRDefault="00814857" w:rsidP="00350E76">
      <w:pPr>
        <w:pStyle w:val="ARbullet1"/>
      </w:pPr>
      <w:r>
        <w:t>participating in the development of a National Quality Framework for AOD services.</w:t>
      </w:r>
    </w:p>
    <w:p w14:paraId="71B44B27" w14:textId="5857C8EE" w:rsidR="00814857" w:rsidRPr="00BE13DF" w:rsidRDefault="00814857" w:rsidP="00350E76">
      <w:pPr>
        <w:pStyle w:val="Heading5"/>
        <w:rPr>
          <w:rFonts w:eastAsia="Calibri"/>
        </w:rPr>
      </w:pPr>
      <w:r w:rsidRPr="00BE13DF">
        <w:rPr>
          <w:rFonts w:eastAsia="Calibri"/>
        </w:rPr>
        <w:t>Key result 8: Reduce deaths resulting from</w:t>
      </w:r>
      <w:r w:rsidR="00700071">
        <w:rPr>
          <w:rFonts w:eastAsia="Calibri"/>
        </w:rPr>
        <w:t> </w:t>
      </w:r>
      <w:r w:rsidRPr="00BE13DF">
        <w:rPr>
          <w:rFonts w:eastAsia="Calibri"/>
        </w:rPr>
        <w:t>misuse of prescription medicines</w:t>
      </w:r>
    </w:p>
    <w:p w14:paraId="2CB3FECC" w14:textId="77777777" w:rsidR="00814857" w:rsidRDefault="00814857" w:rsidP="00350E76">
      <w:pPr>
        <w:pStyle w:val="Heading6"/>
      </w:pPr>
      <w:r>
        <w:t>SafeScript reduces high-risk medicine usage</w:t>
      </w:r>
    </w:p>
    <w:p w14:paraId="104293AE" w14:textId="546EB538" w:rsidR="00814857" w:rsidRDefault="00814857" w:rsidP="00350E76">
      <w:pPr>
        <w:pStyle w:val="ARbody"/>
      </w:pPr>
      <w:r>
        <w:t>The SafeScript real-time prescription monitoring system seeks to reduce the risks associated with the harmful use of prescription medicines. The system gives doctors and pharmacists access to information about a patient’s prescription history for</w:t>
      </w:r>
      <w:r w:rsidR="00700071">
        <w:t> </w:t>
      </w:r>
      <w:r>
        <w:t>high-risk medicines such as opioids and benzodiazepines.</w:t>
      </w:r>
    </w:p>
    <w:p w14:paraId="65283D32" w14:textId="503E35C7" w:rsidR="00814857" w:rsidRDefault="00814857" w:rsidP="00350E76">
      <w:pPr>
        <w:pStyle w:val="ARbody"/>
      </w:pPr>
      <w:r>
        <w:t>Following a successful six-month pilot in western Victoria, SafeScript was rolled out statewide in April</w:t>
      </w:r>
      <w:r w:rsidR="00700071">
        <w:t> </w:t>
      </w:r>
      <w:r>
        <w:t>2019. In three months, more than 13,000 Victorian health professionals registered for SafeScript, including more than 50 per cent of the</w:t>
      </w:r>
      <w:r w:rsidR="00700071">
        <w:t> </w:t>
      </w:r>
      <w:r>
        <w:t>state’s general practitioners and 60 per cent of</w:t>
      </w:r>
      <w:r w:rsidR="00700071">
        <w:t> </w:t>
      </w:r>
      <w:r>
        <w:t>pharmacists. This is a record uptake for this kind</w:t>
      </w:r>
      <w:r w:rsidR="00700071">
        <w:t> </w:t>
      </w:r>
      <w:r>
        <w:t>of</w:t>
      </w:r>
      <w:r w:rsidR="00700071">
        <w:t> </w:t>
      </w:r>
      <w:r>
        <w:t>system anywhere in the world.</w:t>
      </w:r>
    </w:p>
    <w:p w14:paraId="53C08FD7" w14:textId="06C9D354" w:rsidR="00814857" w:rsidRDefault="00814857" w:rsidP="00350E76">
      <w:pPr>
        <w:pStyle w:val="ARbody"/>
      </w:pPr>
      <w:r>
        <w:t>Every month, the system alerts clinicians to around</w:t>
      </w:r>
      <w:r w:rsidR="00700071">
        <w:t> </w:t>
      </w:r>
      <w:r>
        <w:t>27,000 Victorians who may be at risk of</w:t>
      </w:r>
      <w:r w:rsidR="00700071">
        <w:t> </w:t>
      </w:r>
      <w:r>
        <w:t>harm because they are visiting multiple providers, obtaining excessive doses or taking risky</w:t>
      </w:r>
      <w:r w:rsidR="00700071">
        <w:t> </w:t>
      </w:r>
      <w:r>
        <w:t>combinations of monitored medicines.</w:t>
      </w:r>
    </w:p>
    <w:p w14:paraId="1D5AFB6E" w14:textId="6B021CD5" w:rsidR="00814857" w:rsidRDefault="00814857" w:rsidP="00350E76">
      <w:pPr>
        <w:pStyle w:val="ARbody"/>
      </w:pPr>
      <w:r>
        <w:t>This knowledge allows clinicians to improve practice for patients who are potentially at risk. To</w:t>
      </w:r>
      <w:r w:rsidR="00700071">
        <w:t> </w:t>
      </w:r>
      <w:r>
        <w:t>support this, the General Practitioner Clinical Advisors Service has recruited 12 experienced general practitioners, who assist their colleagues to</w:t>
      </w:r>
      <w:r w:rsidR="00700071">
        <w:t> </w:t>
      </w:r>
      <w:r>
        <w:t>work with patients with complex needs.</w:t>
      </w:r>
    </w:p>
    <w:p w14:paraId="466C7A03" w14:textId="77777777" w:rsidR="00814857" w:rsidRDefault="00814857" w:rsidP="00350E76">
      <w:pPr>
        <w:pStyle w:val="ARbody"/>
      </w:pPr>
      <w:r>
        <w:t>Another 2,500 clinicians across Victoria participated in online and face-to-face SafeScript training.</w:t>
      </w:r>
    </w:p>
    <w:p w14:paraId="4A9190C4" w14:textId="77777777" w:rsidR="00814857" w:rsidRDefault="00814857" w:rsidP="000B7C6C">
      <w:pPr>
        <w:pStyle w:val="ARbody"/>
        <w:ind w:right="-232"/>
      </w:pPr>
      <w:r>
        <w:t xml:space="preserve">Patients with concerns about their use of prescription medicines are calling the SafeScript </w:t>
      </w:r>
      <w:r w:rsidRPr="002E04DB">
        <w:t>Pharmaceutical</w:t>
      </w:r>
      <w:r>
        <w:t xml:space="preserve"> Helpline to access counselling and referrals.</w:t>
      </w:r>
      <w:r w:rsidRPr="00E747D6">
        <w:t xml:space="preserve"> </w:t>
      </w:r>
      <w:r>
        <w:t>It will become mandatory for doctors and pharmacists from April 2020.</w:t>
      </w:r>
    </w:p>
    <w:p w14:paraId="4D6B9A93" w14:textId="4C8B28C8" w:rsidR="00814857" w:rsidRDefault="00700071" w:rsidP="00350E76">
      <w:pPr>
        <w:pStyle w:val="ARbody"/>
      </w:pPr>
      <w:r>
        <w:br w:type="column"/>
      </w:r>
      <w:r w:rsidR="00814857">
        <w:t>SafeScript has earned several awards including:</w:t>
      </w:r>
    </w:p>
    <w:p w14:paraId="52DD1695" w14:textId="77777777" w:rsidR="00345066" w:rsidRDefault="00814857" w:rsidP="0099241F">
      <w:pPr>
        <w:pStyle w:val="ARbullet1"/>
      </w:pPr>
      <w:r w:rsidRPr="00E747D6">
        <w:t>2019 Evidence-Based Policy Award from the Institute of Public Administration Victoria</w:t>
      </w:r>
    </w:p>
    <w:p w14:paraId="628FB9DC" w14:textId="0F7EDA49" w:rsidR="00345066" w:rsidRDefault="0082268D" w:rsidP="0099241F">
      <w:pPr>
        <w:pStyle w:val="ARbullet1"/>
      </w:pPr>
      <w:r>
        <w:t>t</w:t>
      </w:r>
      <w:r w:rsidR="00814857" w:rsidRPr="00B0310E">
        <w:t>wo merit awards at the recent</w:t>
      </w:r>
      <w:r w:rsidR="00814857">
        <w:t xml:space="preserve"> Victorian iAwards</w:t>
      </w:r>
      <w:r w:rsidR="008C5FCE">
        <w:t> </w:t>
      </w:r>
      <w:r w:rsidR="00814857">
        <w:t>hosted by the</w:t>
      </w:r>
      <w:r w:rsidR="00814857" w:rsidRPr="00B0310E">
        <w:t xml:space="preserve"> Australian Information Industry Association. The</w:t>
      </w:r>
      <w:r w:rsidR="00814857">
        <w:t xml:space="preserve"> awards were for</w:t>
      </w:r>
      <w:r w:rsidR="00814857" w:rsidRPr="00B0310E">
        <w:t xml:space="preserve"> digital</w:t>
      </w:r>
      <w:r w:rsidR="00700071">
        <w:t> </w:t>
      </w:r>
      <w:r w:rsidR="00814857" w:rsidRPr="00B0310E">
        <w:t>innovation in the public sector, a</w:t>
      </w:r>
      <w:r w:rsidR="00814857">
        <w:t>nd</w:t>
      </w:r>
      <w:r w:rsidR="00814857" w:rsidRPr="00B0310E">
        <w:t xml:space="preserve"> infrastructure and platform innovation.</w:t>
      </w:r>
    </w:p>
    <w:p w14:paraId="5829D043" w14:textId="06B82C7F" w:rsidR="00814857" w:rsidRDefault="00814857" w:rsidP="00700071">
      <w:pPr>
        <w:pStyle w:val="ARbodyafterbullets"/>
      </w:pPr>
      <w:r>
        <w:t>SafeScript w</w:t>
      </w:r>
      <w:r w:rsidRPr="00B0310E">
        <w:t>ill now go in</w:t>
      </w:r>
      <w:r>
        <w:t>to</w:t>
      </w:r>
      <w:r w:rsidRPr="00B0310E">
        <w:t xml:space="preserve"> the running for the national </w:t>
      </w:r>
      <w:r>
        <w:t>iA</w:t>
      </w:r>
      <w:r w:rsidRPr="00B0310E">
        <w:t>wards</w:t>
      </w:r>
      <w:r>
        <w:t xml:space="preserve">, </w:t>
      </w:r>
      <w:r w:rsidRPr="00B0310E">
        <w:t>Australia’s longest</w:t>
      </w:r>
      <w:r>
        <w:t>-</w:t>
      </w:r>
      <w:r w:rsidRPr="00B0310E">
        <w:t>running innovation recognition program.</w:t>
      </w:r>
    </w:p>
    <w:p w14:paraId="57277A06" w14:textId="64BE8692" w:rsidR="00814857" w:rsidRPr="00BE13DF" w:rsidRDefault="00814857" w:rsidP="00350E76">
      <w:pPr>
        <w:pStyle w:val="Heading5"/>
        <w:rPr>
          <w:rFonts w:eastAsia="Calibri"/>
        </w:rPr>
      </w:pPr>
      <w:r w:rsidRPr="00BE13DF">
        <w:rPr>
          <w:rFonts w:eastAsia="Calibri"/>
        </w:rPr>
        <w:t>Key result 9: Increase immunisation coverage rates at two years of age and</w:t>
      </w:r>
      <w:r w:rsidR="00700071">
        <w:rPr>
          <w:rFonts w:eastAsia="Calibri"/>
        </w:rPr>
        <w:t> </w:t>
      </w:r>
      <w:r w:rsidRPr="00BE13DF">
        <w:rPr>
          <w:rFonts w:eastAsia="Calibri"/>
        </w:rPr>
        <w:t>at</w:t>
      </w:r>
      <w:r w:rsidR="00700071">
        <w:rPr>
          <w:rFonts w:eastAsia="Calibri"/>
        </w:rPr>
        <w:t> </w:t>
      </w:r>
      <w:r w:rsidRPr="00BE13DF">
        <w:rPr>
          <w:rFonts w:eastAsia="Calibri"/>
        </w:rPr>
        <w:t>school entry</w:t>
      </w:r>
    </w:p>
    <w:p w14:paraId="2081104C" w14:textId="08F840AA" w:rsidR="00814857" w:rsidRDefault="00814857" w:rsidP="00350E76">
      <w:pPr>
        <w:pStyle w:val="Heading6"/>
      </w:pPr>
      <w:r>
        <w:rPr>
          <w:lang w:val="en-AU"/>
        </w:rPr>
        <w:t>Protecting Victorians through f</w:t>
      </w:r>
      <w:r>
        <w:t>lu vaccinations</w:t>
      </w:r>
    </w:p>
    <w:p w14:paraId="125AFE77" w14:textId="0ADEF193" w:rsidR="00814857" w:rsidRDefault="00814857" w:rsidP="00350E76">
      <w:pPr>
        <w:pStyle w:val="ARbody"/>
      </w:pPr>
      <w:r>
        <w:t>Each year the flu affects thousands of Victorians and puts an enormous amount of pressure on Victoria’s health system. More than 3,500 avoidable</w:t>
      </w:r>
      <w:r w:rsidR="00700071">
        <w:t> </w:t>
      </w:r>
      <w:r>
        <w:t>deaths occur in Australia every year from</w:t>
      </w:r>
      <w:r w:rsidR="00700071">
        <w:t> </w:t>
      </w:r>
      <w:r>
        <w:t>complications of seasonal flu, including pneumonia. Victoria, like the rest of Australia, experienced an unusually early start to the 2019 flu</w:t>
      </w:r>
      <w:r w:rsidR="00700071">
        <w:t> </w:t>
      </w:r>
      <w:r>
        <w:t>season, with more than 22,300 cases of laboratory-confirmed influenza notified to the department between 1 January and 30 June 2019.</w:t>
      </w:r>
    </w:p>
    <w:p w14:paraId="47E0E050" w14:textId="10FB3669" w:rsidR="00814857" w:rsidRDefault="00814857" w:rsidP="00350E76">
      <w:pPr>
        <w:pStyle w:val="ARbody"/>
        <w:sectPr w:rsidR="00814857" w:rsidSect="00E34BA4">
          <w:endnotePr>
            <w:numFmt w:val="decimal"/>
          </w:endnotePr>
          <w:type w:val="continuous"/>
          <w:pgSz w:w="11900" w:h="16840" w:code="9"/>
          <w:pgMar w:top="1985" w:right="851" w:bottom="851" w:left="1418" w:header="510" w:footer="340" w:gutter="0"/>
          <w:cols w:num="2" w:space="454"/>
        </w:sectPr>
      </w:pPr>
      <w:r>
        <w:t>For the second year running, a $5.4 million program made sure Victorian children were protected from the flu, with Victorian children aged</w:t>
      </w:r>
      <w:r w:rsidR="00700071">
        <w:t> </w:t>
      </w:r>
      <w:r>
        <w:t xml:space="preserve">from six months to under five-years-old able to receive a free flu shot. Additionally, a major public health campaign encouraged more people to get their flu shot and demonstrated how to reduce the spread of the flu. </w:t>
      </w:r>
    </w:p>
    <w:p w14:paraId="190A4909" w14:textId="77777777" w:rsidR="00814857" w:rsidRDefault="00814857" w:rsidP="00700071">
      <w:pPr>
        <w:pStyle w:val="Heading3"/>
        <w:spacing w:before="0"/>
      </w:pPr>
      <w:r w:rsidRPr="00336AE4">
        <w:lastRenderedPageBreak/>
        <w:t xml:space="preserve">Objective 1: </w:t>
      </w:r>
      <w:r>
        <w:t>I</w:t>
      </w:r>
      <w:r w:rsidRPr="00336AE4">
        <w:t>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20" w:firstRow="1" w:lastRow="0" w:firstColumn="0" w:lastColumn="0" w:noHBand="0" w:noVBand="1"/>
      </w:tblPr>
      <w:tblGrid>
        <w:gridCol w:w="5343"/>
        <w:gridCol w:w="1019"/>
        <w:gridCol w:w="1019"/>
        <w:gridCol w:w="1016"/>
        <w:gridCol w:w="1242"/>
      </w:tblGrid>
      <w:tr w:rsidR="00814857" w14:paraId="5E0EC5A5" w14:textId="77777777" w:rsidTr="009C600F">
        <w:trPr>
          <w:cantSplit/>
          <w:tblHeader/>
        </w:trPr>
        <w:tc>
          <w:tcPr>
            <w:tcW w:w="5383" w:type="dxa"/>
            <w:tcBorders>
              <w:top w:val="nil"/>
              <w:left w:val="single" w:sz="4" w:space="0" w:color="FFFFFF"/>
              <w:bottom w:val="single" w:sz="4" w:space="0" w:color="auto"/>
              <w:right w:val="single" w:sz="4" w:space="0" w:color="FFFFFF"/>
            </w:tcBorders>
            <w:vAlign w:val="bottom"/>
          </w:tcPr>
          <w:p w14:paraId="3AA0AE4B" w14:textId="77777777" w:rsidR="00814857" w:rsidRDefault="00814857" w:rsidP="00682CD7">
            <w:pPr>
              <w:spacing w:before="80" w:after="60" w:line="216" w:lineRule="auto"/>
              <w:rPr>
                <w:rFonts w:eastAsia="Times" w:cs="Arial"/>
                <w:b/>
                <w:sz w:val="18"/>
                <w:szCs w:val="18"/>
              </w:rPr>
            </w:pPr>
          </w:p>
        </w:tc>
        <w:tc>
          <w:tcPr>
            <w:tcW w:w="1021" w:type="dxa"/>
            <w:tcBorders>
              <w:top w:val="nil"/>
              <w:left w:val="single" w:sz="4" w:space="0" w:color="FFFFFF"/>
              <w:bottom w:val="single" w:sz="4" w:space="0" w:color="auto"/>
              <w:right w:val="single" w:sz="4" w:space="0" w:color="FFFFFF"/>
            </w:tcBorders>
            <w:hideMark/>
          </w:tcPr>
          <w:p w14:paraId="414B4CC9" w14:textId="77777777" w:rsidR="00814857" w:rsidRDefault="00814857" w:rsidP="00682CD7">
            <w:pPr>
              <w:pStyle w:val="ARtablecolhead"/>
            </w:pPr>
            <w:r>
              <w:t>2015–16</w:t>
            </w:r>
          </w:p>
        </w:tc>
        <w:tc>
          <w:tcPr>
            <w:tcW w:w="1021" w:type="dxa"/>
            <w:tcBorders>
              <w:top w:val="nil"/>
              <w:left w:val="single" w:sz="4" w:space="0" w:color="FFFFFF"/>
              <w:bottom w:val="single" w:sz="4" w:space="0" w:color="auto"/>
              <w:right w:val="single" w:sz="4" w:space="0" w:color="FFFFFF"/>
            </w:tcBorders>
            <w:hideMark/>
          </w:tcPr>
          <w:p w14:paraId="00CD972F" w14:textId="77777777" w:rsidR="00814857" w:rsidRDefault="00814857" w:rsidP="00682CD7">
            <w:pPr>
              <w:pStyle w:val="ARtablecolhead"/>
            </w:pPr>
            <w:r>
              <w:t>2016–17</w:t>
            </w:r>
          </w:p>
        </w:tc>
        <w:tc>
          <w:tcPr>
            <w:tcW w:w="1021" w:type="dxa"/>
            <w:tcBorders>
              <w:top w:val="nil"/>
              <w:left w:val="single" w:sz="4" w:space="0" w:color="FFFFFF"/>
              <w:bottom w:val="single" w:sz="4" w:space="0" w:color="auto"/>
              <w:right w:val="single" w:sz="4" w:space="0" w:color="FFFFFF"/>
            </w:tcBorders>
            <w:hideMark/>
          </w:tcPr>
          <w:p w14:paraId="6A2DA995" w14:textId="77777777" w:rsidR="00814857" w:rsidRDefault="00814857" w:rsidP="00682CD7">
            <w:pPr>
              <w:pStyle w:val="ARtablecolhead"/>
            </w:pPr>
            <w:r>
              <w:t>2017–18</w:t>
            </w:r>
          </w:p>
        </w:tc>
        <w:tc>
          <w:tcPr>
            <w:tcW w:w="1247" w:type="dxa"/>
            <w:tcBorders>
              <w:top w:val="nil"/>
              <w:left w:val="single" w:sz="4" w:space="0" w:color="FFFFFF"/>
              <w:bottom w:val="single" w:sz="4" w:space="0" w:color="auto"/>
              <w:right w:val="single" w:sz="4" w:space="0" w:color="FFFFFF"/>
            </w:tcBorders>
            <w:hideMark/>
          </w:tcPr>
          <w:p w14:paraId="74CFAC38" w14:textId="77777777" w:rsidR="00814857" w:rsidRDefault="00814857" w:rsidP="00682CD7">
            <w:pPr>
              <w:pStyle w:val="ARtablecolhead"/>
            </w:pPr>
            <w:r>
              <w:t>2018–19</w:t>
            </w:r>
          </w:p>
        </w:tc>
      </w:tr>
      <w:tr w:rsidR="00814857" w14:paraId="4AFFB80C" w14:textId="77777777" w:rsidTr="009C600F">
        <w:trPr>
          <w:cantSplit/>
        </w:trPr>
        <w:tc>
          <w:tcPr>
            <w:tcW w:w="1021" w:type="dxa"/>
            <w:gridSpan w:val="5"/>
            <w:tcBorders>
              <w:top w:val="single" w:sz="4" w:space="0" w:color="auto"/>
              <w:left w:val="single" w:sz="4" w:space="0" w:color="FFFFFF"/>
              <w:bottom w:val="single" w:sz="4" w:space="0" w:color="BFBFBF"/>
              <w:right w:val="single" w:sz="4" w:space="0" w:color="FFFFFF"/>
            </w:tcBorders>
            <w:hideMark/>
          </w:tcPr>
          <w:p w14:paraId="77C13AF5" w14:textId="77777777" w:rsidR="00814857" w:rsidRDefault="00814857" w:rsidP="008F035E">
            <w:pPr>
              <w:pStyle w:val="ARtablebluebold"/>
            </w:pPr>
            <w:r>
              <w:t>Victorians have good physical health</w:t>
            </w:r>
          </w:p>
        </w:tc>
      </w:tr>
      <w:tr w:rsidR="00814857" w14:paraId="0E0E60DE" w14:textId="77777777" w:rsidTr="009C600F">
        <w:trPr>
          <w:cantSplit/>
        </w:trPr>
        <w:tc>
          <w:tcPr>
            <w:tcW w:w="5383" w:type="dxa"/>
            <w:tcBorders>
              <w:top w:val="single" w:sz="4" w:space="0" w:color="BFBFBF"/>
              <w:left w:val="single" w:sz="4" w:space="0" w:color="FFFFFF"/>
              <w:bottom w:val="single" w:sz="4" w:space="0" w:color="FFFFFF"/>
              <w:right w:val="single" w:sz="4" w:space="0" w:color="FFFFFF"/>
            </w:tcBorders>
            <w:hideMark/>
          </w:tcPr>
          <w:p w14:paraId="4F4485B1" w14:textId="77777777" w:rsidR="00814857" w:rsidRDefault="00814857" w:rsidP="00682CD7">
            <w:pPr>
              <w:pStyle w:val="ARtabletext"/>
              <w:rPr>
                <w:i/>
              </w:rPr>
            </w:pPr>
            <w:r>
              <w:t>Persons completing the Life! – Diabetes and Cardiovascular Disease Prevention program</w:t>
            </w:r>
          </w:p>
        </w:tc>
        <w:tc>
          <w:tcPr>
            <w:tcW w:w="1021" w:type="dxa"/>
            <w:tcBorders>
              <w:top w:val="single" w:sz="4" w:space="0" w:color="BFBFBF"/>
              <w:left w:val="single" w:sz="4" w:space="0" w:color="FFFFFF"/>
              <w:bottom w:val="single" w:sz="4" w:space="0" w:color="FFFFFF"/>
              <w:right w:val="single" w:sz="4" w:space="0" w:color="FFFFFF"/>
            </w:tcBorders>
            <w:hideMark/>
          </w:tcPr>
          <w:p w14:paraId="12C9AF45" w14:textId="77777777" w:rsidR="00814857" w:rsidRDefault="00814857" w:rsidP="00682CD7">
            <w:pPr>
              <w:pStyle w:val="ARtabletext"/>
            </w:pPr>
            <w:r>
              <w:t>5,486</w:t>
            </w:r>
          </w:p>
        </w:tc>
        <w:tc>
          <w:tcPr>
            <w:tcW w:w="1021" w:type="dxa"/>
            <w:tcBorders>
              <w:top w:val="single" w:sz="4" w:space="0" w:color="BFBFBF"/>
              <w:left w:val="single" w:sz="4" w:space="0" w:color="FFFFFF"/>
              <w:bottom w:val="single" w:sz="4" w:space="0" w:color="FFFFFF"/>
              <w:right w:val="single" w:sz="4" w:space="0" w:color="FFFFFF"/>
            </w:tcBorders>
            <w:hideMark/>
          </w:tcPr>
          <w:p w14:paraId="5E55A6FB" w14:textId="77777777" w:rsidR="00814857" w:rsidRDefault="00814857" w:rsidP="00682CD7">
            <w:pPr>
              <w:pStyle w:val="ARtabletext"/>
            </w:pPr>
            <w:r>
              <w:t>5,199</w:t>
            </w:r>
          </w:p>
        </w:tc>
        <w:tc>
          <w:tcPr>
            <w:tcW w:w="1021" w:type="dxa"/>
            <w:tcBorders>
              <w:top w:val="single" w:sz="4" w:space="0" w:color="BFBFBF"/>
              <w:left w:val="single" w:sz="4" w:space="0" w:color="FFFFFF"/>
              <w:bottom w:val="single" w:sz="4" w:space="0" w:color="FFFFFF"/>
              <w:right w:val="single" w:sz="4" w:space="0" w:color="FFFFFF"/>
            </w:tcBorders>
            <w:hideMark/>
          </w:tcPr>
          <w:p w14:paraId="16F3DEE0" w14:textId="77777777" w:rsidR="00814857" w:rsidRDefault="00814857" w:rsidP="00682CD7">
            <w:pPr>
              <w:pStyle w:val="ARtabletext"/>
            </w:pPr>
            <w:r>
              <w:t>5,513</w:t>
            </w:r>
          </w:p>
        </w:tc>
        <w:tc>
          <w:tcPr>
            <w:tcW w:w="1247" w:type="dxa"/>
            <w:tcBorders>
              <w:top w:val="single" w:sz="4" w:space="0" w:color="BFBFBF"/>
              <w:left w:val="single" w:sz="4" w:space="0" w:color="FFFFFF"/>
              <w:bottom w:val="single" w:sz="4" w:space="0" w:color="FFFFFF"/>
              <w:right w:val="single" w:sz="4" w:space="0" w:color="FFFFFF"/>
            </w:tcBorders>
            <w:hideMark/>
          </w:tcPr>
          <w:p w14:paraId="24B9FC3C" w14:textId="77777777" w:rsidR="00814857" w:rsidRDefault="00814857" w:rsidP="00682CD7">
            <w:pPr>
              <w:pStyle w:val="ARtabletext"/>
            </w:pPr>
            <w:r>
              <w:t>5,782</w:t>
            </w:r>
          </w:p>
        </w:tc>
      </w:tr>
      <w:tr w:rsidR="00814857" w14:paraId="19DE6D87" w14:textId="77777777" w:rsidTr="009C600F">
        <w:trPr>
          <w:cantSplit/>
        </w:trPr>
        <w:tc>
          <w:tcPr>
            <w:tcW w:w="5383" w:type="dxa"/>
            <w:tcBorders>
              <w:top w:val="single" w:sz="4" w:space="0" w:color="BFBFBF"/>
              <w:left w:val="single" w:sz="4" w:space="0" w:color="FFFFFF"/>
              <w:bottom w:val="nil"/>
              <w:right w:val="single" w:sz="4" w:space="0" w:color="FFFFFF"/>
            </w:tcBorders>
            <w:hideMark/>
          </w:tcPr>
          <w:p w14:paraId="58A6DAAC" w14:textId="77777777" w:rsidR="00814857" w:rsidRDefault="00814857" w:rsidP="00682CD7">
            <w:pPr>
              <w:pStyle w:val="ARtabletext"/>
              <w:rPr>
                <w:i/>
              </w:rPr>
            </w:pPr>
            <w:r>
              <w:t>Unplanned/unexpected readmission for acute myocardial infarction</w:t>
            </w:r>
          </w:p>
        </w:tc>
        <w:tc>
          <w:tcPr>
            <w:tcW w:w="1021" w:type="dxa"/>
            <w:tcBorders>
              <w:top w:val="single" w:sz="4" w:space="0" w:color="BFBFBF"/>
              <w:left w:val="single" w:sz="4" w:space="0" w:color="FFFFFF"/>
              <w:bottom w:val="nil"/>
              <w:right w:val="single" w:sz="4" w:space="0" w:color="FFFFFF"/>
            </w:tcBorders>
            <w:hideMark/>
          </w:tcPr>
          <w:p w14:paraId="141FD0E7" w14:textId="77777777" w:rsidR="00814857" w:rsidRDefault="00814857" w:rsidP="00682CD7">
            <w:pPr>
              <w:pStyle w:val="ARtabletext"/>
            </w:pPr>
            <w:r>
              <w:t>1.7</w:t>
            </w:r>
          </w:p>
        </w:tc>
        <w:tc>
          <w:tcPr>
            <w:tcW w:w="1021" w:type="dxa"/>
            <w:tcBorders>
              <w:top w:val="single" w:sz="4" w:space="0" w:color="BFBFBF"/>
              <w:left w:val="single" w:sz="4" w:space="0" w:color="FFFFFF"/>
              <w:bottom w:val="nil"/>
              <w:right w:val="single" w:sz="4" w:space="0" w:color="FFFFFF"/>
            </w:tcBorders>
            <w:hideMark/>
          </w:tcPr>
          <w:p w14:paraId="239DEE49" w14:textId="77777777" w:rsidR="00814857" w:rsidRDefault="00814857" w:rsidP="00682CD7">
            <w:pPr>
              <w:pStyle w:val="ARtabletext"/>
            </w:pPr>
            <w:r>
              <w:t>1.7</w:t>
            </w:r>
          </w:p>
        </w:tc>
        <w:tc>
          <w:tcPr>
            <w:tcW w:w="1021" w:type="dxa"/>
            <w:tcBorders>
              <w:top w:val="single" w:sz="4" w:space="0" w:color="BFBFBF"/>
              <w:left w:val="single" w:sz="4" w:space="0" w:color="FFFFFF"/>
              <w:bottom w:val="nil"/>
              <w:right w:val="single" w:sz="4" w:space="0" w:color="FFFFFF"/>
            </w:tcBorders>
            <w:hideMark/>
          </w:tcPr>
          <w:p w14:paraId="7CCB1B1E" w14:textId="77777777" w:rsidR="00814857" w:rsidRDefault="00814857" w:rsidP="00682CD7">
            <w:pPr>
              <w:pStyle w:val="ARtabletext"/>
            </w:pPr>
            <w:r>
              <w:t>1.6</w:t>
            </w:r>
          </w:p>
        </w:tc>
        <w:tc>
          <w:tcPr>
            <w:tcW w:w="1247" w:type="dxa"/>
            <w:tcBorders>
              <w:top w:val="single" w:sz="4" w:space="0" w:color="BFBFBF"/>
              <w:left w:val="single" w:sz="4" w:space="0" w:color="FFFFFF"/>
              <w:bottom w:val="nil"/>
              <w:right w:val="single" w:sz="4" w:space="0" w:color="FFFFFF"/>
            </w:tcBorders>
            <w:hideMark/>
          </w:tcPr>
          <w:p w14:paraId="16DC3B5F" w14:textId="77777777" w:rsidR="00814857" w:rsidRDefault="00814857" w:rsidP="00682CD7">
            <w:pPr>
              <w:pStyle w:val="ARtabletext"/>
            </w:pPr>
            <w:r>
              <w:t>1.5</w:t>
            </w:r>
          </w:p>
        </w:tc>
      </w:tr>
      <w:tr w:rsidR="00814857" w14:paraId="1AE27CEB" w14:textId="77777777" w:rsidTr="009C600F">
        <w:trPr>
          <w:cantSplit/>
        </w:trPr>
        <w:tc>
          <w:tcPr>
            <w:tcW w:w="5383" w:type="dxa"/>
            <w:tcBorders>
              <w:top w:val="single" w:sz="4" w:space="0" w:color="BFBFBF"/>
              <w:left w:val="single" w:sz="4" w:space="0" w:color="FFFFFF"/>
              <w:bottom w:val="nil"/>
              <w:right w:val="single" w:sz="4" w:space="0" w:color="FFFFFF"/>
            </w:tcBorders>
            <w:hideMark/>
          </w:tcPr>
          <w:p w14:paraId="051C887F" w14:textId="77777777" w:rsidR="00814857" w:rsidRDefault="00814857" w:rsidP="00682CD7">
            <w:pPr>
              <w:pStyle w:val="ARtabletext"/>
              <w:rPr>
                <w:i/>
              </w:rPr>
            </w:pPr>
            <w:r>
              <w:t>Unplanned/unexpected readmission for heart failure</w:t>
            </w:r>
          </w:p>
        </w:tc>
        <w:tc>
          <w:tcPr>
            <w:tcW w:w="1021" w:type="dxa"/>
            <w:tcBorders>
              <w:top w:val="single" w:sz="4" w:space="0" w:color="BFBFBF"/>
              <w:left w:val="single" w:sz="4" w:space="0" w:color="FFFFFF"/>
              <w:bottom w:val="nil"/>
              <w:right w:val="single" w:sz="4" w:space="0" w:color="FFFFFF"/>
            </w:tcBorders>
            <w:hideMark/>
          </w:tcPr>
          <w:p w14:paraId="32AD294F" w14:textId="77777777" w:rsidR="00814857" w:rsidRDefault="00814857" w:rsidP="00682CD7">
            <w:pPr>
              <w:pStyle w:val="ARtabletext"/>
            </w:pPr>
            <w:r>
              <w:t>9.4</w:t>
            </w:r>
          </w:p>
        </w:tc>
        <w:tc>
          <w:tcPr>
            <w:tcW w:w="1021" w:type="dxa"/>
            <w:tcBorders>
              <w:top w:val="single" w:sz="4" w:space="0" w:color="BFBFBF"/>
              <w:left w:val="single" w:sz="4" w:space="0" w:color="FFFFFF"/>
              <w:bottom w:val="nil"/>
              <w:right w:val="single" w:sz="4" w:space="0" w:color="FFFFFF"/>
            </w:tcBorders>
            <w:hideMark/>
          </w:tcPr>
          <w:p w14:paraId="381685E1" w14:textId="77777777" w:rsidR="00814857" w:rsidRDefault="00814857" w:rsidP="00682CD7">
            <w:pPr>
              <w:pStyle w:val="ARtabletext"/>
            </w:pPr>
            <w:r>
              <w:t>9.4</w:t>
            </w:r>
          </w:p>
        </w:tc>
        <w:tc>
          <w:tcPr>
            <w:tcW w:w="1021" w:type="dxa"/>
            <w:tcBorders>
              <w:top w:val="single" w:sz="4" w:space="0" w:color="BFBFBF"/>
              <w:left w:val="single" w:sz="4" w:space="0" w:color="FFFFFF"/>
              <w:bottom w:val="nil"/>
              <w:right w:val="single" w:sz="4" w:space="0" w:color="FFFFFF"/>
            </w:tcBorders>
            <w:hideMark/>
          </w:tcPr>
          <w:p w14:paraId="531ADBD5" w14:textId="77777777" w:rsidR="00814857" w:rsidRDefault="00814857" w:rsidP="00682CD7">
            <w:pPr>
              <w:pStyle w:val="ARtabletext"/>
            </w:pPr>
            <w:r>
              <w:t>9.0</w:t>
            </w:r>
          </w:p>
        </w:tc>
        <w:tc>
          <w:tcPr>
            <w:tcW w:w="1247" w:type="dxa"/>
            <w:tcBorders>
              <w:top w:val="single" w:sz="4" w:space="0" w:color="BFBFBF"/>
              <w:left w:val="single" w:sz="4" w:space="0" w:color="FFFFFF"/>
              <w:bottom w:val="nil"/>
              <w:right w:val="single" w:sz="4" w:space="0" w:color="FFFFFF"/>
            </w:tcBorders>
            <w:hideMark/>
          </w:tcPr>
          <w:p w14:paraId="48706514" w14:textId="77777777" w:rsidR="00814857" w:rsidRDefault="00814857" w:rsidP="00682CD7">
            <w:pPr>
              <w:pStyle w:val="ARtabletext"/>
            </w:pPr>
            <w:r>
              <w:t>8.9</w:t>
            </w:r>
          </w:p>
        </w:tc>
      </w:tr>
      <w:tr w:rsidR="00814857" w14:paraId="737E13CA" w14:textId="77777777" w:rsidTr="009C600F">
        <w:trPr>
          <w:cantSplit/>
        </w:trPr>
        <w:tc>
          <w:tcPr>
            <w:tcW w:w="5383" w:type="dxa"/>
            <w:tcBorders>
              <w:top w:val="single" w:sz="4" w:space="0" w:color="BFBFBF"/>
              <w:left w:val="single" w:sz="4" w:space="0" w:color="FFFFFF"/>
              <w:bottom w:val="nil"/>
              <w:right w:val="single" w:sz="4" w:space="0" w:color="FFFFFF"/>
            </w:tcBorders>
            <w:hideMark/>
          </w:tcPr>
          <w:p w14:paraId="7DDF163D" w14:textId="77777777" w:rsidR="00814857" w:rsidRDefault="00814857" w:rsidP="00682CD7">
            <w:pPr>
              <w:pStyle w:val="ARtabletext"/>
              <w:rPr>
                <w:i/>
              </w:rPr>
            </w:pPr>
            <w:r>
              <w:t>Unplanned/unexpected readmission for hip replacement</w:t>
            </w:r>
          </w:p>
        </w:tc>
        <w:tc>
          <w:tcPr>
            <w:tcW w:w="1021" w:type="dxa"/>
            <w:tcBorders>
              <w:top w:val="single" w:sz="4" w:space="0" w:color="BFBFBF"/>
              <w:left w:val="single" w:sz="4" w:space="0" w:color="FFFFFF"/>
              <w:bottom w:val="nil"/>
              <w:right w:val="single" w:sz="4" w:space="0" w:color="FFFFFF"/>
            </w:tcBorders>
            <w:hideMark/>
          </w:tcPr>
          <w:p w14:paraId="72651E50" w14:textId="77777777" w:rsidR="00814857" w:rsidRDefault="00814857" w:rsidP="00682CD7">
            <w:pPr>
              <w:pStyle w:val="ARtabletext"/>
            </w:pPr>
            <w:r>
              <w:t>3.1</w:t>
            </w:r>
          </w:p>
        </w:tc>
        <w:tc>
          <w:tcPr>
            <w:tcW w:w="1021" w:type="dxa"/>
            <w:tcBorders>
              <w:top w:val="single" w:sz="4" w:space="0" w:color="BFBFBF"/>
              <w:left w:val="single" w:sz="4" w:space="0" w:color="FFFFFF"/>
              <w:bottom w:val="nil"/>
              <w:right w:val="single" w:sz="4" w:space="0" w:color="FFFFFF"/>
            </w:tcBorders>
            <w:hideMark/>
          </w:tcPr>
          <w:p w14:paraId="2C48E284" w14:textId="77777777" w:rsidR="00814857" w:rsidRDefault="00814857" w:rsidP="00682CD7">
            <w:pPr>
              <w:pStyle w:val="ARtabletext"/>
            </w:pPr>
            <w:r>
              <w:t>2.5</w:t>
            </w:r>
          </w:p>
        </w:tc>
        <w:tc>
          <w:tcPr>
            <w:tcW w:w="1021" w:type="dxa"/>
            <w:tcBorders>
              <w:top w:val="single" w:sz="4" w:space="0" w:color="BFBFBF"/>
              <w:left w:val="single" w:sz="4" w:space="0" w:color="FFFFFF"/>
              <w:bottom w:val="nil"/>
              <w:right w:val="single" w:sz="4" w:space="0" w:color="FFFFFF"/>
            </w:tcBorders>
            <w:hideMark/>
          </w:tcPr>
          <w:p w14:paraId="0326BABF" w14:textId="77777777" w:rsidR="00814857" w:rsidRDefault="00814857" w:rsidP="00682CD7">
            <w:pPr>
              <w:pStyle w:val="ARtabletext"/>
            </w:pPr>
            <w:r>
              <w:t>3.4</w:t>
            </w:r>
          </w:p>
        </w:tc>
        <w:tc>
          <w:tcPr>
            <w:tcW w:w="1247" w:type="dxa"/>
            <w:tcBorders>
              <w:top w:val="single" w:sz="4" w:space="0" w:color="BFBFBF"/>
              <w:left w:val="single" w:sz="4" w:space="0" w:color="FFFFFF"/>
              <w:bottom w:val="nil"/>
              <w:right w:val="single" w:sz="4" w:space="0" w:color="FFFFFF"/>
            </w:tcBorders>
            <w:hideMark/>
          </w:tcPr>
          <w:p w14:paraId="7FD6EE3A" w14:textId="77777777" w:rsidR="00814857" w:rsidRDefault="00814857" w:rsidP="00682CD7">
            <w:pPr>
              <w:pStyle w:val="ARtabletext"/>
            </w:pPr>
            <w:r>
              <w:t>3.4</w:t>
            </w:r>
          </w:p>
        </w:tc>
      </w:tr>
      <w:tr w:rsidR="00814857" w14:paraId="7A9BA9B7" w14:textId="77777777" w:rsidTr="009C600F">
        <w:trPr>
          <w:cantSplit/>
        </w:trPr>
        <w:tc>
          <w:tcPr>
            <w:tcW w:w="5383" w:type="dxa"/>
            <w:tcBorders>
              <w:top w:val="single" w:sz="4" w:space="0" w:color="BFBFBF"/>
              <w:left w:val="single" w:sz="4" w:space="0" w:color="FFFFFF"/>
              <w:bottom w:val="single" w:sz="4" w:space="0" w:color="BFBFBF"/>
              <w:right w:val="single" w:sz="4" w:space="0" w:color="FFFFFF"/>
            </w:tcBorders>
            <w:hideMark/>
          </w:tcPr>
          <w:p w14:paraId="46CA32BB" w14:textId="77777777" w:rsidR="00814857" w:rsidRDefault="00814857" w:rsidP="00682CD7">
            <w:pPr>
              <w:pStyle w:val="ARtabletext"/>
              <w:rPr>
                <w:i/>
              </w:rPr>
            </w:pPr>
            <w:r>
              <w:t>Unplanned/unexpected readmission for knee replacement</w:t>
            </w:r>
          </w:p>
        </w:tc>
        <w:tc>
          <w:tcPr>
            <w:tcW w:w="1021" w:type="dxa"/>
            <w:tcBorders>
              <w:top w:val="single" w:sz="4" w:space="0" w:color="BFBFBF"/>
              <w:left w:val="single" w:sz="4" w:space="0" w:color="FFFFFF"/>
              <w:bottom w:val="single" w:sz="4" w:space="0" w:color="BFBFBF"/>
              <w:right w:val="single" w:sz="4" w:space="0" w:color="FFFFFF"/>
            </w:tcBorders>
            <w:hideMark/>
          </w:tcPr>
          <w:p w14:paraId="5608FDA2" w14:textId="77777777" w:rsidR="00814857" w:rsidRDefault="00814857" w:rsidP="00682CD7">
            <w:pPr>
              <w:pStyle w:val="ARtabletext"/>
            </w:pPr>
            <w:r>
              <w:t>5.0</w:t>
            </w:r>
          </w:p>
        </w:tc>
        <w:tc>
          <w:tcPr>
            <w:tcW w:w="1021" w:type="dxa"/>
            <w:tcBorders>
              <w:top w:val="single" w:sz="4" w:space="0" w:color="BFBFBF"/>
              <w:left w:val="single" w:sz="4" w:space="0" w:color="FFFFFF"/>
              <w:bottom w:val="single" w:sz="4" w:space="0" w:color="BFBFBF"/>
              <w:right w:val="single" w:sz="4" w:space="0" w:color="FFFFFF"/>
            </w:tcBorders>
            <w:hideMark/>
          </w:tcPr>
          <w:p w14:paraId="31F7178E" w14:textId="77777777" w:rsidR="00814857" w:rsidRDefault="00814857" w:rsidP="00682CD7">
            <w:pPr>
              <w:pStyle w:val="ARtabletext"/>
            </w:pPr>
            <w:r>
              <w:t>5.0</w:t>
            </w:r>
          </w:p>
        </w:tc>
        <w:tc>
          <w:tcPr>
            <w:tcW w:w="1021" w:type="dxa"/>
            <w:tcBorders>
              <w:top w:val="single" w:sz="4" w:space="0" w:color="BFBFBF"/>
              <w:left w:val="single" w:sz="4" w:space="0" w:color="FFFFFF"/>
              <w:bottom w:val="single" w:sz="4" w:space="0" w:color="BFBFBF"/>
              <w:right w:val="single" w:sz="4" w:space="0" w:color="FFFFFF"/>
            </w:tcBorders>
            <w:hideMark/>
          </w:tcPr>
          <w:p w14:paraId="6F4F650B" w14:textId="77777777" w:rsidR="00814857" w:rsidRDefault="00814857" w:rsidP="00682CD7">
            <w:pPr>
              <w:pStyle w:val="ARtabletext"/>
            </w:pPr>
            <w:r>
              <w:t>6.3</w:t>
            </w:r>
          </w:p>
        </w:tc>
        <w:tc>
          <w:tcPr>
            <w:tcW w:w="1247" w:type="dxa"/>
            <w:tcBorders>
              <w:top w:val="single" w:sz="4" w:space="0" w:color="BFBFBF"/>
              <w:left w:val="single" w:sz="4" w:space="0" w:color="FFFFFF"/>
              <w:bottom w:val="single" w:sz="4" w:space="0" w:color="BFBFBF"/>
              <w:right w:val="single" w:sz="4" w:space="0" w:color="FFFFFF"/>
            </w:tcBorders>
            <w:hideMark/>
          </w:tcPr>
          <w:p w14:paraId="53E45B9E" w14:textId="77777777" w:rsidR="00814857" w:rsidRDefault="00814857" w:rsidP="00682CD7">
            <w:pPr>
              <w:pStyle w:val="ARtabletext"/>
            </w:pPr>
            <w:r>
              <w:t>5.2</w:t>
            </w:r>
          </w:p>
        </w:tc>
      </w:tr>
      <w:tr w:rsidR="00814857" w14:paraId="1C48793B" w14:textId="77777777" w:rsidTr="009C600F">
        <w:trPr>
          <w:cantSplit/>
        </w:trPr>
        <w:tc>
          <w:tcPr>
            <w:tcW w:w="5383" w:type="dxa"/>
            <w:tcBorders>
              <w:top w:val="single" w:sz="4" w:space="0" w:color="BFBFBF"/>
              <w:left w:val="single" w:sz="4" w:space="0" w:color="FFFFFF"/>
              <w:bottom w:val="single" w:sz="4" w:space="0" w:color="BFBFBF"/>
              <w:right w:val="single" w:sz="4" w:space="0" w:color="FFFFFF"/>
            </w:tcBorders>
            <w:hideMark/>
          </w:tcPr>
          <w:p w14:paraId="40CAD235" w14:textId="77777777" w:rsidR="00814857" w:rsidRDefault="00814857" w:rsidP="00682CD7">
            <w:pPr>
              <w:pStyle w:val="ARtabletext"/>
            </w:pPr>
            <w:r>
              <w:t>Unplanned/unexpected readmission for paediatric tonsillectomy and adenoidectomy</w:t>
            </w:r>
          </w:p>
          <w:p w14:paraId="3FEF177E" w14:textId="77777777" w:rsidR="00814857" w:rsidRDefault="00814857" w:rsidP="00682CD7">
            <w:pPr>
              <w:pStyle w:val="ARtablefootnote"/>
              <w:rPr>
                <w:i/>
              </w:rPr>
            </w:pPr>
            <w:r>
              <w:rPr>
                <w:rFonts w:eastAsia="Times"/>
                <w:lang w:eastAsia="en-AU"/>
              </w:rPr>
              <w:t>Source: Internal departmental data</w:t>
            </w:r>
          </w:p>
        </w:tc>
        <w:tc>
          <w:tcPr>
            <w:tcW w:w="1021" w:type="dxa"/>
            <w:tcBorders>
              <w:top w:val="single" w:sz="4" w:space="0" w:color="BFBFBF"/>
              <w:left w:val="single" w:sz="4" w:space="0" w:color="FFFFFF"/>
              <w:bottom w:val="single" w:sz="4" w:space="0" w:color="BFBFBF"/>
              <w:right w:val="single" w:sz="4" w:space="0" w:color="FFFFFF"/>
            </w:tcBorders>
            <w:hideMark/>
          </w:tcPr>
          <w:p w14:paraId="52650740" w14:textId="77777777" w:rsidR="00814857" w:rsidRDefault="00814857" w:rsidP="00682CD7">
            <w:pPr>
              <w:pStyle w:val="ARtabletext"/>
            </w:pPr>
            <w:r>
              <w:t>2.3</w:t>
            </w:r>
          </w:p>
        </w:tc>
        <w:tc>
          <w:tcPr>
            <w:tcW w:w="1021" w:type="dxa"/>
            <w:tcBorders>
              <w:top w:val="single" w:sz="4" w:space="0" w:color="BFBFBF"/>
              <w:left w:val="single" w:sz="4" w:space="0" w:color="FFFFFF"/>
              <w:bottom w:val="single" w:sz="4" w:space="0" w:color="BFBFBF"/>
              <w:right w:val="single" w:sz="4" w:space="0" w:color="FFFFFF"/>
            </w:tcBorders>
            <w:hideMark/>
          </w:tcPr>
          <w:p w14:paraId="08D41139" w14:textId="77777777" w:rsidR="00814857" w:rsidRDefault="00814857" w:rsidP="00682CD7">
            <w:pPr>
              <w:pStyle w:val="ARtabletext"/>
            </w:pPr>
            <w:r>
              <w:t>2.2</w:t>
            </w:r>
          </w:p>
        </w:tc>
        <w:tc>
          <w:tcPr>
            <w:tcW w:w="1021" w:type="dxa"/>
            <w:tcBorders>
              <w:top w:val="single" w:sz="4" w:space="0" w:color="BFBFBF"/>
              <w:left w:val="single" w:sz="4" w:space="0" w:color="FFFFFF"/>
              <w:bottom w:val="single" w:sz="4" w:space="0" w:color="BFBFBF"/>
              <w:right w:val="single" w:sz="4" w:space="0" w:color="FFFFFF"/>
            </w:tcBorders>
            <w:hideMark/>
          </w:tcPr>
          <w:p w14:paraId="4AA56B8F" w14:textId="77777777" w:rsidR="00814857" w:rsidRDefault="00814857" w:rsidP="00682CD7">
            <w:pPr>
              <w:pStyle w:val="ARtabletext"/>
            </w:pPr>
            <w:r>
              <w:t>2.5</w:t>
            </w:r>
          </w:p>
        </w:tc>
        <w:tc>
          <w:tcPr>
            <w:tcW w:w="1247" w:type="dxa"/>
            <w:tcBorders>
              <w:top w:val="single" w:sz="4" w:space="0" w:color="BFBFBF"/>
              <w:left w:val="single" w:sz="4" w:space="0" w:color="FFFFFF"/>
              <w:bottom w:val="single" w:sz="4" w:space="0" w:color="BFBFBF"/>
              <w:right w:val="single" w:sz="4" w:space="0" w:color="FFFFFF"/>
            </w:tcBorders>
            <w:hideMark/>
          </w:tcPr>
          <w:p w14:paraId="471C1B19" w14:textId="77777777" w:rsidR="00814857" w:rsidRDefault="00814857" w:rsidP="00682CD7">
            <w:pPr>
              <w:pStyle w:val="ARtabletext"/>
            </w:pPr>
            <w:r>
              <w:t>2.5</w:t>
            </w:r>
          </w:p>
        </w:tc>
      </w:tr>
      <w:tr w:rsidR="00814857" w14:paraId="60AA51F8" w14:textId="77777777" w:rsidTr="009C600F">
        <w:trPr>
          <w:cantSplit/>
        </w:trPr>
        <w:tc>
          <w:tcPr>
            <w:tcW w:w="5383" w:type="dxa"/>
            <w:tcBorders>
              <w:top w:val="single" w:sz="4" w:space="0" w:color="BFBFBF"/>
              <w:left w:val="single" w:sz="4" w:space="0" w:color="FFFFFF"/>
              <w:bottom w:val="single" w:sz="4" w:space="0" w:color="BFBFBF"/>
              <w:right w:val="single" w:sz="4" w:space="0" w:color="FFFFFF"/>
            </w:tcBorders>
            <w:hideMark/>
          </w:tcPr>
          <w:p w14:paraId="235F9C89" w14:textId="77777777" w:rsidR="00814857" w:rsidRDefault="00814857" w:rsidP="00682CD7">
            <w:pPr>
              <w:pStyle w:val="ARtabletext"/>
              <w:rPr>
                <w:i/>
              </w:rPr>
            </w:pPr>
            <w:r>
              <w:t>Proportion of adults who are overweight (self-reported)</w:t>
            </w:r>
          </w:p>
        </w:tc>
        <w:tc>
          <w:tcPr>
            <w:tcW w:w="1021" w:type="dxa"/>
            <w:tcBorders>
              <w:top w:val="single" w:sz="4" w:space="0" w:color="BFBFBF"/>
              <w:left w:val="single" w:sz="4" w:space="0" w:color="FFFFFF"/>
              <w:bottom w:val="single" w:sz="4" w:space="0" w:color="BFBFBF"/>
              <w:right w:val="single" w:sz="4" w:space="0" w:color="FFFFFF"/>
            </w:tcBorders>
            <w:hideMark/>
          </w:tcPr>
          <w:p w14:paraId="2604EDEA" w14:textId="77777777" w:rsidR="00814857" w:rsidRDefault="00814857" w:rsidP="00682CD7">
            <w:pPr>
              <w:pStyle w:val="ARtabletext"/>
            </w:pPr>
            <w:r>
              <w:t>30.1%</w:t>
            </w:r>
          </w:p>
        </w:tc>
        <w:tc>
          <w:tcPr>
            <w:tcW w:w="1021" w:type="dxa"/>
            <w:tcBorders>
              <w:top w:val="single" w:sz="4" w:space="0" w:color="BFBFBF"/>
              <w:left w:val="single" w:sz="4" w:space="0" w:color="FFFFFF"/>
              <w:bottom w:val="single" w:sz="4" w:space="0" w:color="BFBFBF"/>
              <w:right w:val="single" w:sz="4" w:space="0" w:color="FFFFFF"/>
            </w:tcBorders>
            <w:hideMark/>
          </w:tcPr>
          <w:p w14:paraId="2628020D" w14:textId="77777777" w:rsidR="00814857" w:rsidRDefault="00814857" w:rsidP="00682CD7">
            <w:pPr>
              <w:pStyle w:val="ARtabletext"/>
            </w:pPr>
            <w:r>
              <w:t>30.6%</w:t>
            </w:r>
          </w:p>
        </w:tc>
        <w:tc>
          <w:tcPr>
            <w:tcW w:w="1021" w:type="dxa"/>
            <w:tcBorders>
              <w:top w:val="single" w:sz="4" w:space="0" w:color="BFBFBF"/>
              <w:left w:val="single" w:sz="4" w:space="0" w:color="FFFFFF"/>
              <w:bottom w:val="single" w:sz="4" w:space="0" w:color="BFBFBF"/>
              <w:right w:val="single" w:sz="4" w:space="0" w:color="FFFFFF"/>
            </w:tcBorders>
            <w:shd w:val="clear" w:color="auto" w:fill="auto"/>
          </w:tcPr>
          <w:p w14:paraId="67E3709B" w14:textId="77777777" w:rsidR="00814857" w:rsidRDefault="00814857" w:rsidP="00682CD7">
            <w:pPr>
              <w:pStyle w:val="ARtabletext"/>
            </w:pPr>
            <w:r>
              <w:t>31.5%</w:t>
            </w:r>
          </w:p>
        </w:tc>
        <w:tc>
          <w:tcPr>
            <w:tcW w:w="1247" w:type="dxa"/>
            <w:tcBorders>
              <w:top w:val="single" w:sz="4" w:space="0" w:color="BFBFBF"/>
              <w:left w:val="single" w:sz="4" w:space="0" w:color="FFFFFF"/>
              <w:bottom w:val="single" w:sz="4" w:space="0" w:color="BFBFBF"/>
              <w:right w:val="single" w:sz="4" w:space="0" w:color="FFFFFF"/>
            </w:tcBorders>
            <w:hideMark/>
          </w:tcPr>
          <w:p w14:paraId="1B63D9E1" w14:textId="77777777" w:rsidR="00814857" w:rsidRDefault="00814857" w:rsidP="00682CD7">
            <w:pPr>
              <w:pStyle w:val="ARtabletext"/>
            </w:pPr>
            <w:r>
              <w:t>Available March 2020</w:t>
            </w:r>
          </w:p>
        </w:tc>
      </w:tr>
      <w:tr w:rsidR="00814857" w14:paraId="2F9D9351" w14:textId="77777777" w:rsidTr="009C600F">
        <w:trPr>
          <w:cantSplit/>
        </w:trPr>
        <w:tc>
          <w:tcPr>
            <w:tcW w:w="5383" w:type="dxa"/>
            <w:tcBorders>
              <w:top w:val="single" w:sz="4" w:space="0" w:color="BFBFBF"/>
              <w:left w:val="single" w:sz="4" w:space="0" w:color="FFFFFF"/>
              <w:bottom w:val="single" w:sz="4" w:space="0" w:color="FFFFFF"/>
              <w:right w:val="single" w:sz="4" w:space="0" w:color="FFFFFF"/>
            </w:tcBorders>
            <w:hideMark/>
          </w:tcPr>
          <w:p w14:paraId="01179102" w14:textId="77777777" w:rsidR="00814857" w:rsidRDefault="00814857" w:rsidP="00682CD7">
            <w:pPr>
              <w:pStyle w:val="ARtabletext"/>
              <w:rPr>
                <w:i/>
              </w:rPr>
            </w:pPr>
            <w:r>
              <w:t>Proportion of adults who are obese (self-reported)</w:t>
            </w:r>
          </w:p>
        </w:tc>
        <w:tc>
          <w:tcPr>
            <w:tcW w:w="1021" w:type="dxa"/>
            <w:tcBorders>
              <w:top w:val="single" w:sz="4" w:space="0" w:color="BFBFBF"/>
              <w:left w:val="single" w:sz="4" w:space="0" w:color="FFFFFF"/>
              <w:bottom w:val="single" w:sz="4" w:space="0" w:color="FFFFFF"/>
              <w:right w:val="single" w:sz="4" w:space="0" w:color="FFFFFF"/>
            </w:tcBorders>
            <w:hideMark/>
          </w:tcPr>
          <w:p w14:paraId="00229B26" w14:textId="77777777" w:rsidR="00814857" w:rsidRDefault="00814857" w:rsidP="00682CD7">
            <w:pPr>
              <w:pStyle w:val="ARtabletext"/>
            </w:pPr>
            <w:r>
              <w:t>19.1%</w:t>
            </w:r>
          </w:p>
        </w:tc>
        <w:tc>
          <w:tcPr>
            <w:tcW w:w="1021" w:type="dxa"/>
            <w:tcBorders>
              <w:top w:val="single" w:sz="4" w:space="0" w:color="BFBFBF"/>
              <w:left w:val="single" w:sz="4" w:space="0" w:color="FFFFFF"/>
              <w:bottom w:val="single" w:sz="4" w:space="0" w:color="FFFFFF"/>
              <w:right w:val="single" w:sz="4" w:space="0" w:color="FFFFFF"/>
            </w:tcBorders>
            <w:hideMark/>
          </w:tcPr>
          <w:p w14:paraId="4AA6B4BB" w14:textId="77777777" w:rsidR="00814857" w:rsidRDefault="00814857" w:rsidP="00682CD7">
            <w:pPr>
              <w:pStyle w:val="ARtabletext"/>
            </w:pPr>
            <w:r>
              <w:t>19.1%</w:t>
            </w:r>
          </w:p>
        </w:tc>
        <w:tc>
          <w:tcPr>
            <w:tcW w:w="1021" w:type="dxa"/>
            <w:tcBorders>
              <w:top w:val="single" w:sz="4" w:space="0" w:color="BFBFBF"/>
              <w:left w:val="single" w:sz="4" w:space="0" w:color="FFFFFF"/>
              <w:bottom w:val="nil"/>
              <w:right w:val="single" w:sz="4" w:space="0" w:color="FFFFFF"/>
            </w:tcBorders>
            <w:shd w:val="clear" w:color="auto" w:fill="auto"/>
            <w:hideMark/>
          </w:tcPr>
          <w:p w14:paraId="78704A8C" w14:textId="77777777" w:rsidR="00814857" w:rsidRDefault="00814857" w:rsidP="00682CD7">
            <w:pPr>
              <w:pStyle w:val="ARtabletext"/>
            </w:pPr>
            <w:r>
              <w:t>19.3%</w:t>
            </w:r>
          </w:p>
        </w:tc>
        <w:tc>
          <w:tcPr>
            <w:tcW w:w="1247" w:type="dxa"/>
            <w:tcBorders>
              <w:top w:val="single" w:sz="4" w:space="0" w:color="BFBFBF"/>
              <w:left w:val="single" w:sz="4" w:space="0" w:color="FFFFFF"/>
              <w:bottom w:val="single" w:sz="4" w:space="0" w:color="FFFFFF"/>
              <w:right w:val="single" w:sz="4" w:space="0" w:color="FFFFFF"/>
            </w:tcBorders>
            <w:hideMark/>
          </w:tcPr>
          <w:p w14:paraId="06E8E4C8" w14:textId="77777777" w:rsidR="00814857" w:rsidRDefault="00814857" w:rsidP="00682CD7">
            <w:pPr>
              <w:pStyle w:val="ARtabletext"/>
            </w:pPr>
            <w:r>
              <w:t>Available March 2020</w:t>
            </w:r>
          </w:p>
        </w:tc>
      </w:tr>
      <w:tr w:rsidR="00814857" w14:paraId="08BA531C" w14:textId="77777777" w:rsidTr="009C600F">
        <w:trPr>
          <w:cantSplit/>
        </w:trPr>
        <w:tc>
          <w:tcPr>
            <w:tcW w:w="5383" w:type="dxa"/>
            <w:tcBorders>
              <w:top w:val="single" w:sz="4" w:space="0" w:color="BFBFBF"/>
              <w:left w:val="single" w:sz="4" w:space="0" w:color="FFFFFF"/>
              <w:bottom w:val="single" w:sz="4" w:space="0" w:color="FFFFFF"/>
              <w:right w:val="single" w:sz="4" w:space="0" w:color="FFFFFF"/>
            </w:tcBorders>
            <w:hideMark/>
          </w:tcPr>
          <w:p w14:paraId="4B2948EA" w14:textId="77777777" w:rsidR="00814857" w:rsidRDefault="00814857" w:rsidP="00682CD7">
            <w:pPr>
              <w:pStyle w:val="ARtabletext"/>
              <w:rPr>
                <w:i/>
              </w:rPr>
            </w:pPr>
            <w:r>
              <w:t>Proportion of adults who were current smokers</w:t>
            </w:r>
          </w:p>
        </w:tc>
        <w:tc>
          <w:tcPr>
            <w:tcW w:w="1021" w:type="dxa"/>
            <w:tcBorders>
              <w:top w:val="single" w:sz="4" w:space="0" w:color="BFBFBF"/>
              <w:left w:val="single" w:sz="4" w:space="0" w:color="FFFFFF"/>
              <w:bottom w:val="single" w:sz="4" w:space="0" w:color="FFFFFF"/>
              <w:right w:val="single" w:sz="4" w:space="0" w:color="FFFFFF"/>
            </w:tcBorders>
            <w:hideMark/>
          </w:tcPr>
          <w:p w14:paraId="09DF2595" w14:textId="77777777" w:rsidR="00814857" w:rsidRDefault="00814857" w:rsidP="00682CD7">
            <w:pPr>
              <w:pStyle w:val="ARtabletext"/>
            </w:pPr>
            <w:r>
              <w:t>18.5%</w:t>
            </w:r>
          </w:p>
        </w:tc>
        <w:tc>
          <w:tcPr>
            <w:tcW w:w="1021" w:type="dxa"/>
            <w:tcBorders>
              <w:top w:val="single" w:sz="4" w:space="0" w:color="BFBFBF"/>
              <w:left w:val="single" w:sz="4" w:space="0" w:color="FFFFFF"/>
              <w:bottom w:val="single" w:sz="4" w:space="0" w:color="FFFFFF"/>
              <w:right w:val="single" w:sz="4" w:space="0" w:color="FFFFFF"/>
            </w:tcBorders>
            <w:hideMark/>
          </w:tcPr>
          <w:p w14:paraId="50B1802C" w14:textId="77777777" w:rsidR="00814857" w:rsidRDefault="00814857" w:rsidP="00682CD7">
            <w:pPr>
              <w:pStyle w:val="ARtabletext"/>
            </w:pPr>
            <w:r>
              <w:t>16.7%</w:t>
            </w:r>
          </w:p>
        </w:tc>
        <w:tc>
          <w:tcPr>
            <w:tcW w:w="1021" w:type="dxa"/>
            <w:tcBorders>
              <w:top w:val="single" w:sz="4" w:space="0" w:color="BFBFBF"/>
              <w:left w:val="single" w:sz="4" w:space="0" w:color="FFFFFF"/>
              <w:bottom w:val="nil"/>
              <w:right w:val="single" w:sz="4" w:space="0" w:color="FFFFFF"/>
            </w:tcBorders>
            <w:shd w:val="clear" w:color="auto" w:fill="auto"/>
            <w:hideMark/>
          </w:tcPr>
          <w:p w14:paraId="448EF6EB" w14:textId="77777777" w:rsidR="00814857" w:rsidRDefault="00814857" w:rsidP="00682CD7">
            <w:pPr>
              <w:pStyle w:val="ARtabletext"/>
            </w:pPr>
            <w:r>
              <w:t>16.7%</w:t>
            </w:r>
          </w:p>
        </w:tc>
        <w:tc>
          <w:tcPr>
            <w:tcW w:w="1247" w:type="dxa"/>
            <w:tcBorders>
              <w:top w:val="single" w:sz="4" w:space="0" w:color="BFBFBF"/>
              <w:left w:val="single" w:sz="4" w:space="0" w:color="FFFFFF"/>
              <w:bottom w:val="single" w:sz="4" w:space="0" w:color="FFFFFF"/>
              <w:right w:val="single" w:sz="4" w:space="0" w:color="FFFFFF"/>
            </w:tcBorders>
            <w:hideMark/>
          </w:tcPr>
          <w:p w14:paraId="3BA37488" w14:textId="77777777" w:rsidR="00814857" w:rsidRDefault="00814857" w:rsidP="00682CD7">
            <w:pPr>
              <w:pStyle w:val="ARtabletext"/>
            </w:pPr>
            <w:r>
              <w:t>Available March 2020</w:t>
            </w:r>
          </w:p>
        </w:tc>
      </w:tr>
      <w:tr w:rsidR="00814857" w14:paraId="4354FC65" w14:textId="77777777" w:rsidTr="009C600F">
        <w:trPr>
          <w:cantSplit/>
        </w:trPr>
        <w:tc>
          <w:tcPr>
            <w:tcW w:w="5383" w:type="dxa"/>
            <w:tcBorders>
              <w:top w:val="single" w:sz="4" w:space="0" w:color="BFBFBF"/>
              <w:left w:val="single" w:sz="4" w:space="0" w:color="FFFFFF"/>
              <w:bottom w:val="single" w:sz="4" w:space="0" w:color="FFFFFF"/>
              <w:right w:val="single" w:sz="4" w:space="0" w:color="FFFFFF"/>
            </w:tcBorders>
            <w:hideMark/>
          </w:tcPr>
          <w:p w14:paraId="6F131A82" w14:textId="77777777" w:rsidR="00814857" w:rsidRDefault="00814857" w:rsidP="00682CD7">
            <w:pPr>
              <w:pStyle w:val="ARtabletext"/>
              <w:rPr>
                <w:i/>
              </w:rPr>
            </w:pPr>
            <w:r>
              <w:t>Proportion of adults who smoked daily</w:t>
            </w:r>
          </w:p>
        </w:tc>
        <w:tc>
          <w:tcPr>
            <w:tcW w:w="1021" w:type="dxa"/>
            <w:tcBorders>
              <w:top w:val="single" w:sz="4" w:space="0" w:color="BFBFBF"/>
              <w:left w:val="single" w:sz="4" w:space="0" w:color="FFFFFF"/>
              <w:bottom w:val="single" w:sz="4" w:space="0" w:color="FFFFFF"/>
              <w:right w:val="single" w:sz="4" w:space="0" w:color="FFFFFF"/>
            </w:tcBorders>
            <w:hideMark/>
          </w:tcPr>
          <w:p w14:paraId="4AECD60D" w14:textId="77777777" w:rsidR="00814857" w:rsidRDefault="00814857" w:rsidP="00682CD7">
            <w:pPr>
              <w:pStyle w:val="ARtabletext"/>
            </w:pPr>
            <w:r>
              <w:t>13.3</w:t>
            </w:r>
          </w:p>
        </w:tc>
        <w:tc>
          <w:tcPr>
            <w:tcW w:w="1021" w:type="dxa"/>
            <w:tcBorders>
              <w:top w:val="single" w:sz="4" w:space="0" w:color="BFBFBF"/>
              <w:left w:val="single" w:sz="4" w:space="0" w:color="FFFFFF"/>
              <w:bottom w:val="single" w:sz="4" w:space="0" w:color="FFFFFF"/>
              <w:right w:val="single" w:sz="4" w:space="0" w:color="FFFFFF"/>
            </w:tcBorders>
            <w:hideMark/>
          </w:tcPr>
          <w:p w14:paraId="7ADC8F0E" w14:textId="77777777" w:rsidR="00814857" w:rsidRDefault="00814857" w:rsidP="00682CD7">
            <w:pPr>
              <w:pStyle w:val="ARtabletext"/>
            </w:pPr>
            <w:r>
              <w:t>12.3</w:t>
            </w:r>
          </w:p>
        </w:tc>
        <w:tc>
          <w:tcPr>
            <w:tcW w:w="1021" w:type="dxa"/>
            <w:tcBorders>
              <w:top w:val="single" w:sz="4" w:space="0" w:color="BFBFBF"/>
              <w:left w:val="single" w:sz="4" w:space="0" w:color="FFFFFF"/>
              <w:bottom w:val="nil"/>
              <w:right w:val="single" w:sz="4" w:space="0" w:color="FFFFFF"/>
            </w:tcBorders>
            <w:shd w:val="clear" w:color="auto" w:fill="auto"/>
            <w:hideMark/>
          </w:tcPr>
          <w:p w14:paraId="7A690039" w14:textId="77777777" w:rsidR="00814857" w:rsidRDefault="00814857" w:rsidP="00682CD7">
            <w:pPr>
              <w:pStyle w:val="ARtabletext"/>
            </w:pPr>
            <w:r>
              <w:t>12.4%</w:t>
            </w:r>
          </w:p>
        </w:tc>
        <w:tc>
          <w:tcPr>
            <w:tcW w:w="1247" w:type="dxa"/>
            <w:tcBorders>
              <w:top w:val="single" w:sz="4" w:space="0" w:color="BFBFBF"/>
              <w:left w:val="single" w:sz="4" w:space="0" w:color="FFFFFF"/>
              <w:bottom w:val="single" w:sz="4" w:space="0" w:color="FFFFFF"/>
              <w:right w:val="single" w:sz="4" w:space="0" w:color="FFFFFF"/>
            </w:tcBorders>
            <w:hideMark/>
          </w:tcPr>
          <w:p w14:paraId="293A7987" w14:textId="77777777" w:rsidR="00814857" w:rsidRDefault="00814857" w:rsidP="00682CD7">
            <w:pPr>
              <w:pStyle w:val="ARtabletext"/>
            </w:pPr>
            <w:r>
              <w:t>Available March 2020</w:t>
            </w:r>
          </w:p>
        </w:tc>
      </w:tr>
      <w:tr w:rsidR="00814857" w14:paraId="06FB9A83" w14:textId="77777777" w:rsidTr="009C600F">
        <w:trPr>
          <w:cantSplit/>
        </w:trPr>
        <w:tc>
          <w:tcPr>
            <w:tcW w:w="5383" w:type="dxa"/>
            <w:tcBorders>
              <w:top w:val="single" w:sz="4" w:space="0" w:color="BFBFBF"/>
              <w:left w:val="single" w:sz="4" w:space="0" w:color="FFFFFF"/>
              <w:bottom w:val="single" w:sz="4" w:space="0" w:color="FFFFFF"/>
              <w:right w:val="single" w:sz="4" w:space="0" w:color="FFFFFF"/>
            </w:tcBorders>
            <w:hideMark/>
          </w:tcPr>
          <w:p w14:paraId="2E638C0E" w14:textId="77777777" w:rsidR="00814857" w:rsidRDefault="00814857" w:rsidP="00682CD7">
            <w:pPr>
              <w:pStyle w:val="ARtabletext"/>
              <w:rPr>
                <w:i/>
              </w:rPr>
            </w:pPr>
            <w:r>
              <w:t>Proportion of adults with doctor-diagnosed high blood pressure</w:t>
            </w:r>
          </w:p>
        </w:tc>
        <w:tc>
          <w:tcPr>
            <w:tcW w:w="1021" w:type="dxa"/>
            <w:tcBorders>
              <w:top w:val="single" w:sz="4" w:space="0" w:color="BFBFBF"/>
              <w:left w:val="single" w:sz="4" w:space="0" w:color="FFFFFF"/>
              <w:bottom w:val="single" w:sz="4" w:space="0" w:color="FFFFFF"/>
              <w:right w:val="single" w:sz="4" w:space="0" w:color="FFFFFF"/>
            </w:tcBorders>
            <w:hideMark/>
          </w:tcPr>
          <w:p w14:paraId="3C00B500" w14:textId="77777777" w:rsidR="00814857" w:rsidRDefault="00814857" w:rsidP="00682CD7">
            <w:pPr>
              <w:pStyle w:val="ARtabletext"/>
            </w:pPr>
            <w:r>
              <w:t>25.6%</w:t>
            </w:r>
          </w:p>
        </w:tc>
        <w:tc>
          <w:tcPr>
            <w:tcW w:w="1021" w:type="dxa"/>
            <w:tcBorders>
              <w:top w:val="single" w:sz="4" w:space="0" w:color="BFBFBF"/>
              <w:left w:val="single" w:sz="4" w:space="0" w:color="FFFFFF"/>
              <w:bottom w:val="single" w:sz="4" w:space="0" w:color="FFFFFF"/>
              <w:right w:val="single" w:sz="4" w:space="0" w:color="FFFFFF"/>
            </w:tcBorders>
            <w:hideMark/>
          </w:tcPr>
          <w:p w14:paraId="022C9885" w14:textId="77777777" w:rsidR="00814857" w:rsidRDefault="00814857" w:rsidP="00682CD7">
            <w:pPr>
              <w:pStyle w:val="ARtabletext"/>
            </w:pPr>
            <w:r>
              <w:t>25.5%</w:t>
            </w:r>
          </w:p>
        </w:tc>
        <w:tc>
          <w:tcPr>
            <w:tcW w:w="1021" w:type="dxa"/>
            <w:tcBorders>
              <w:top w:val="single" w:sz="4" w:space="0" w:color="BFBFBF"/>
              <w:left w:val="single" w:sz="4" w:space="0" w:color="FFFFFF"/>
              <w:bottom w:val="nil"/>
              <w:right w:val="single" w:sz="4" w:space="0" w:color="FFFFFF"/>
            </w:tcBorders>
            <w:shd w:val="clear" w:color="auto" w:fill="auto"/>
            <w:hideMark/>
          </w:tcPr>
          <w:p w14:paraId="03E3DFCA" w14:textId="77777777" w:rsidR="00814857" w:rsidRDefault="00814857" w:rsidP="00682CD7">
            <w:pPr>
              <w:pStyle w:val="ARtabletext"/>
            </w:pPr>
            <w:r>
              <w:t>25.4%</w:t>
            </w:r>
          </w:p>
        </w:tc>
        <w:tc>
          <w:tcPr>
            <w:tcW w:w="1247" w:type="dxa"/>
            <w:tcBorders>
              <w:top w:val="single" w:sz="4" w:space="0" w:color="BFBFBF"/>
              <w:left w:val="single" w:sz="4" w:space="0" w:color="FFFFFF"/>
              <w:bottom w:val="single" w:sz="4" w:space="0" w:color="FFFFFF"/>
              <w:right w:val="single" w:sz="4" w:space="0" w:color="FFFFFF"/>
            </w:tcBorders>
            <w:hideMark/>
          </w:tcPr>
          <w:p w14:paraId="580D0813" w14:textId="77777777" w:rsidR="00814857" w:rsidRDefault="00814857" w:rsidP="00682CD7">
            <w:pPr>
              <w:pStyle w:val="ARtabletext"/>
            </w:pPr>
            <w:r>
              <w:t>Available March 2020</w:t>
            </w:r>
          </w:p>
        </w:tc>
      </w:tr>
      <w:tr w:rsidR="00814857" w14:paraId="5FACB35F" w14:textId="77777777" w:rsidTr="009C600F">
        <w:trPr>
          <w:cantSplit/>
          <w:trHeight w:val="471"/>
        </w:trPr>
        <w:tc>
          <w:tcPr>
            <w:tcW w:w="5383" w:type="dxa"/>
            <w:tcBorders>
              <w:top w:val="single" w:sz="4" w:space="0" w:color="BFBFBF"/>
              <w:left w:val="single" w:sz="4" w:space="0" w:color="FFFFFF"/>
              <w:bottom w:val="single" w:sz="4" w:space="0" w:color="FFFFFF"/>
              <w:right w:val="single" w:sz="4" w:space="0" w:color="FFFFFF"/>
            </w:tcBorders>
            <w:hideMark/>
          </w:tcPr>
          <w:p w14:paraId="7D634111" w14:textId="77777777" w:rsidR="00814857" w:rsidRDefault="00814857" w:rsidP="00682CD7">
            <w:pPr>
              <w:pStyle w:val="ARtabletext"/>
              <w:rPr>
                <w:i/>
              </w:rPr>
            </w:pPr>
            <w:r>
              <w:t>Proportion of adults diagnosed with type 2 diabetes</w:t>
            </w:r>
          </w:p>
        </w:tc>
        <w:tc>
          <w:tcPr>
            <w:tcW w:w="1021" w:type="dxa"/>
            <w:tcBorders>
              <w:top w:val="single" w:sz="4" w:space="0" w:color="BFBFBF"/>
              <w:left w:val="single" w:sz="4" w:space="0" w:color="FFFFFF"/>
              <w:bottom w:val="single" w:sz="4" w:space="0" w:color="FFFFFF"/>
              <w:right w:val="single" w:sz="4" w:space="0" w:color="FFFFFF"/>
            </w:tcBorders>
            <w:hideMark/>
          </w:tcPr>
          <w:p w14:paraId="63C43331" w14:textId="77777777" w:rsidR="00814857" w:rsidRDefault="00814857" w:rsidP="00682CD7">
            <w:pPr>
              <w:pStyle w:val="ARtabletext"/>
            </w:pPr>
            <w:r>
              <w:t>6.0%</w:t>
            </w:r>
          </w:p>
        </w:tc>
        <w:tc>
          <w:tcPr>
            <w:tcW w:w="1021" w:type="dxa"/>
            <w:tcBorders>
              <w:top w:val="single" w:sz="4" w:space="0" w:color="BFBFBF"/>
              <w:left w:val="single" w:sz="4" w:space="0" w:color="FFFFFF"/>
              <w:bottom w:val="single" w:sz="4" w:space="0" w:color="FFFFFF"/>
              <w:right w:val="single" w:sz="4" w:space="0" w:color="FFFFFF"/>
            </w:tcBorders>
            <w:hideMark/>
          </w:tcPr>
          <w:p w14:paraId="78ECCF1D" w14:textId="77777777" w:rsidR="00814857" w:rsidRDefault="00814857" w:rsidP="00682CD7">
            <w:pPr>
              <w:pStyle w:val="ARtabletext"/>
            </w:pPr>
            <w:r>
              <w:t>5.9%</w:t>
            </w:r>
          </w:p>
        </w:tc>
        <w:tc>
          <w:tcPr>
            <w:tcW w:w="1021" w:type="dxa"/>
            <w:tcBorders>
              <w:top w:val="single" w:sz="4" w:space="0" w:color="BFBFBF"/>
              <w:left w:val="single" w:sz="4" w:space="0" w:color="FFFFFF"/>
              <w:bottom w:val="nil"/>
              <w:right w:val="single" w:sz="4" w:space="0" w:color="FFFFFF"/>
            </w:tcBorders>
            <w:shd w:val="clear" w:color="auto" w:fill="auto"/>
            <w:hideMark/>
          </w:tcPr>
          <w:p w14:paraId="2FD29674" w14:textId="77777777" w:rsidR="00814857" w:rsidRDefault="00814857" w:rsidP="00682CD7">
            <w:pPr>
              <w:pStyle w:val="ARtabletext"/>
            </w:pPr>
            <w:r>
              <w:t>5.5%</w:t>
            </w:r>
          </w:p>
        </w:tc>
        <w:tc>
          <w:tcPr>
            <w:tcW w:w="1247" w:type="dxa"/>
            <w:tcBorders>
              <w:top w:val="single" w:sz="4" w:space="0" w:color="BFBFBF"/>
              <w:left w:val="single" w:sz="4" w:space="0" w:color="FFFFFF"/>
              <w:bottom w:val="single" w:sz="4" w:space="0" w:color="FFFFFF"/>
              <w:right w:val="single" w:sz="4" w:space="0" w:color="FFFFFF"/>
            </w:tcBorders>
            <w:hideMark/>
          </w:tcPr>
          <w:p w14:paraId="3CE2B0FD" w14:textId="77777777" w:rsidR="00814857" w:rsidRDefault="00814857" w:rsidP="00682CD7">
            <w:pPr>
              <w:pStyle w:val="ARtabletext"/>
            </w:pPr>
            <w:r>
              <w:t>Available March 2020</w:t>
            </w:r>
          </w:p>
        </w:tc>
      </w:tr>
      <w:tr w:rsidR="00814857" w14:paraId="2747AB6A" w14:textId="77777777" w:rsidTr="009C600F">
        <w:trPr>
          <w:cantSplit/>
        </w:trPr>
        <w:tc>
          <w:tcPr>
            <w:tcW w:w="5383" w:type="dxa"/>
            <w:tcBorders>
              <w:top w:val="single" w:sz="4" w:space="0" w:color="BFBFBF"/>
              <w:left w:val="single" w:sz="4" w:space="0" w:color="FFFFFF"/>
              <w:bottom w:val="nil"/>
              <w:right w:val="single" w:sz="4" w:space="0" w:color="FFFFFF"/>
            </w:tcBorders>
            <w:hideMark/>
          </w:tcPr>
          <w:p w14:paraId="7F6A3F11" w14:textId="77777777" w:rsidR="00814857" w:rsidRDefault="00814857" w:rsidP="00682CD7">
            <w:pPr>
              <w:pStyle w:val="ARtabletext"/>
            </w:pPr>
            <w:r>
              <w:t>Proportion of adults who are sufficiently physically active</w:t>
            </w:r>
          </w:p>
          <w:p w14:paraId="2A025D2C" w14:textId="77777777" w:rsidR="00814857" w:rsidRDefault="00814857" w:rsidP="00682CD7">
            <w:pPr>
              <w:pStyle w:val="ARtablefootnote"/>
              <w:rPr>
                <w:i/>
              </w:rPr>
            </w:pPr>
            <w:r>
              <w:rPr>
                <w:rFonts w:eastAsia="Times"/>
                <w:lang w:eastAsia="en-AU"/>
              </w:rPr>
              <w:t>Source: Victorian Population Health Survey (VPHS)</w:t>
            </w:r>
          </w:p>
        </w:tc>
        <w:tc>
          <w:tcPr>
            <w:tcW w:w="1021" w:type="dxa"/>
            <w:tcBorders>
              <w:top w:val="single" w:sz="4" w:space="0" w:color="BFBFBF"/>
              <w:left w:val="single" w:sz="4" w:space="0" w:color="FFFFFF"/>
              <w:bottom w:val="nil"/>
              <w:right w:val="single" w:sz="4" w:space="0" w:color="FFFFFF"/>
            </w:tcBorders>
            <w:hideMark/>
          </w:tcPr>
          <w:p w14:paraId="37BD2D56" w14:textId="77777777" w:rsidR="00814857" w:rsidRDefault="00814857" w:rsidP="00682CD7">
            <w:pPr>
              <w:pStyle w:val="ARtabletext"/>
            </w:pPr>
            <w:r>
              <w:t>47.0%</w:t>
            </w:r>
          </w:p>
        </w:tc>
        <w:tc>
          <w:tcPr>
            <w:tcW w:w="1021" w:type="dxa"/>
            <w:tcBorders>
              <w:top w:val="single" w:sz="4" w:space="0" w:color="BFBFBF"/>
              <w:left w:val="single" w:sz="4" w:space="0" w:color="FFFFFF"/>
              <w:bottom w:val="nil"/>
              <w:right w:val="single" w:sz="4" w:space="0" w:color="FFFFFF"/>
            </w:tcBorders>
            <w:hideMark/>
          </w:tcPr>
          <w:p w14:paraId="6F81199A" w14:textId="77777777" w:rsidR="00814857" w:rsidRDefault="00814857" w:rsidP="00682CD7">
            <w:pPr>
              <w:pStyle w:val="ARtabletext"/>
            </w:pPr>
            <w:r>
              <w:t>49.9%</w:t>
            </w:r>
          </w:p>
        </w:tc>
        <w:tc>
          <w:tcPr>
            <w:tcW w:w="1021" w:type="dxa"/>
            <w:tcBorders>
              <w:top w:val="single" w:sz="4" w:space="0" w:color="BFBFBF"/>
              <w:left w:val="single" w:sz="4" w:space="0" w:color="FFFFFF"/>
              <w:bottom w:val="nil"/>
              <w:right w:val="single" w:sz="4" w:space="0" w:color="FFFFFF"/>
            </w:tcBorders>
            <w:shd w:val="clear" w:color="auto" w:fill="auto"/>
            <w:hideMark/>
          </w:tcPr>
          <w:p w14:paraId="46C00F39" w14:textId="77777777" w:rsidR="00814857" w:rsidRDefault="00814857" w:rsidP="00682CD7">
            <w:pPr>
              <w:pStyle w:val="ARtabletext"/>
            </w:pPr>
            <w:r>
              <w:t>50.9%</w:t>
            </w:r>
          </w:p>
        </w:tc>
        <w:tc>
          <w:tcPr>
            <w:tcW w:w="1247" w:type="dxa"/>
            <w:tcBorders>
              <w:top w:val="single" w:sz="4" w:space="0" w:color="BFBFBF"/>
              <w:left w:val="single" w:sz="4" w:space="0" w:color="FFFFFF"/>
              <w:bottom w:val="nil"/>
              <w:right w:val="single" w:sz="4" w:space="0" w:color="FFFFFF"/>
            </w:tcBorders>
            <w:hideMark/>
          </w:tcPr>
          <w:p w14:paraId="5114D54C" w14:textId="77777777" w:rsidR="00814857" w:rsidRDefault="00814857" w:rsidP="00682CD7">
            <w:pPr>
              <w:pStyle w:val="ARtabletext"/>
            </w:pPr>
            <w:r>
              <w:t>Available March 2020</w:t>
            </w:r>
          </w:p>
        </w:tc>
      </w:tr>
      <w:tr w:rsidR="00814857" w14:paraId="096D6B41" w14:textId="77777777" w:rsidTr="009C600F">
        <w:trPr>
          <w:cantSplit/>
        </w:trPr>
        <w:tc>
          <w:tcPr>
            <w:tcW w:w="1021" w:type="dxa"/>
            <w:gridSpan w:val="5"/>
            <w:tcBorders>
              <w:top w:val="single" w:sz="4" w:space="0" w:color="auto"/>
              <w:left w:val="nil"/>
              <w:bottom w:val="single" w:sz="4" w:space="0" w:color="BFBFBF"/>
              <w:right w:val="single" w:sz="4" w:space="0" w:color="FFFFFF"/>
            </w:tcBorders>
            <w:hideMark/>
          </w:tcPr>
          <w:p w14:paraId="0387BD14" w14:textId="77777777" w:rsidR="00814857" w:rsidRDefault="00814857" w:rsidP="008F035E">
            <w:pPr>
              <w:pStyle w:val="ARtablebluebold"/>
            </w:pPr>
            <w:r>
              <w:t>Victorians have good mental health</w:t>
            </w:r>
          </w:p>
        </w:tc>
      </w:tr>
      <w:tr w:rsidR="00814857" w14:paraId="0988BDC7" w14:textId="77777777" w:rsidTr="009C600F">
        <w:trPr>
          <w:cantSplit/>
        </w:trPr>
        <w:tc>
          <w:tcPr>
            <w:tcW w:w="5383" w:type="dxa"/>
            <w:tcBorders>
              <w:top w:val="single" w:sz="4" w:space="0" w:color="BFBFBF"/>
              <w:left w:val="single" w:sz="4" w:space="0" w:color="FFFFFF"/>
              <w:bottom w:val="single" w:sz="4" w:space="0" w:color="FFFFFF"/>
              <w:right w:val="single" w:sz="4" w:space="0" w:color="FFFFFF"/>
            </w:tcBorders>
            <w:hideMark/>
          </w:tcPr>
          <w:p w14:paraId="45B85EED" w14:textId="77777777" w:rsidR="00814857" w:rsidRDefault="00814857" w:rsidP="00682CD7">
            <w:pPr>
              <w:pStyle w:val="ARtabletext"/>
              <w:rPr>
                <w:i/>
              </w:rPr>
            </w:pPr>
            <w:r>
              <w:t>Proportion of adults who had been diagnosed with anxiety or depression</w:t>
            </w:r>
          </w:p>
        </w:tc>
        <w:tc>
          <w:tcPr>
            <w:tcW w:w="1021" w:type="dxa"/>
            <w:tcBorders>
              <w:top w:val="single" w:sz="4" w:space="0" w:color="BFBFBF"/>
              <w:left w:val="single" w:sz="4" w:space="0" w:color="FFFFFF"/>
              <w:bottom w:val="single" w:sz="4" w:space="0" w:color="FFFFFF"/>
              <w:right w:val="single" w:sz="4" w:space="0" w:color="FFFFFF"/>
            </w:tcBorders>
            <w:hideMark/>
          </w:tcPr>
          <w:p w14:paraId="4D1E7A6C" w14:textId="77777777" w:rsidR="00814857" w:rsidRDefault="00814857" w:rsidP="00682CD7">
            <w:pPr>
              <w:pStyle w:val="ARtabletext"/>
            </w:pPr>
            <w:r>
              <w:t>24.2%</w:t>
            </w:r>
          </w:p>
        </w:tc>
        <w:tc>
          <w:tcPr>
            <w:tcW w:w="1021" w:type="dxa"/>
            <w:tcBorders>
              <w:top w:val="single" w:sz="4" w:space="0" w:color="BFBFBF"/>
              <w:left w:val="single" w:sz="4" w:space="0" w:color="FFFFFF"/>
              <w:bottom w:val="single" w:sz="4" w:space="0" w:color="FFFFFF"/>
              <w:right w:val="single" w:sz="4" w:space="0" w:color="FFFFFF"/>
            </w:tcBorders>
            <w:hideMark/>
          </w:tcPr>
          <w:p w14:paraId="254B5049" w14:textId="77777777" w:rsidR="00814857" w:rsidRDefault="00814857" w:rsidP="00682CD7">
            <w:pPr>
              <w:pStyle w:val="ARtabletext"/>
            </w:pPr>
            <w:r>
              <w:t>24.5%</w:t>
            </w:r>
          </w:p>
        </w:tc>
        <w:tc>
          <w:tcPr>
            <w:tcW w:w="1021" w:type="dxa"/>
            <w:tcBorders>
              <w:top w:val="single" w:sz="4" w:space="0" w:color="BFBFBF"/>
              <w:left w:val="single" w:sz="4" w:space="0" w:color="FFFFFF"/>
              <w:bottom w:val="single" w:sz="4" w:space="0" w:color="FFFFFF"/>
              <w:right w:val="single" w:sz="4" w:space="0" w:color="FFFFFF"/>
            </w:tcBorders>
            <w:shd w:val="clear" w:color="auto" w:fill="auto"/>
            <w:hideMark/>
          </w:tcPr>
          <w:p w14:paraId="5553CC32" w14:textId="77777777" w:rsidR="00814857" w:rsidRDefault="00814857" w:rsidP="00682CD7">
            <w:pPr>
              <w:pStyle w:val="ARtabletext"/>
            </w:pPr>
            <w:r>
              <w:t>27.4%</w:t>
            </w:r>
          </w:p>
        </w:tc>
        <w:tc>
          <w:tcPr>
            <w:tcW w:w="1247" w:type="dxa"/>
            <w:tcBorders>
              <w:top w:val="single" w:sz="4" w:space="0" w:color="BFBFBF"/>
              <w:left w:val="single" w:sz="4" w:space="0" w:color="FFFFFF"/>
              <w:bottom w:val="single" w:sz="4" w:space="0" w:color="FFFFFF"/>
              <w:right w:val="single" w:sz="4" w:space="0" w:color="FFFFFF"/>
            </w:tcBorders>
            <w:hideMark/>
          </w:tcPr>
          <w:p w14:paraId="0ACD858A" w14:textId="77777777" w:rsidR="00814857" w:rsidRDefault="00814857" w:rsidP="00682CD7">
            <w:pPr>
              <w:pStyle w:val="ARtabletext"/>
            </w:pPr>
            <w:r>
              <w:t>Available March 2020</w:t>
            </w:r>
          </w:p>
        </w:tc>
      </w:tr>
      <w:tr w:rsidR="00814857" w14:paraId="696B107E" w14:textId="77777777" w:rsidTr="009C600F">
        <w:trPr>
          <w:cantSplit/>
        </w:trPr>
        <w:tc>
          <w:tcPr>
            <w:tcW w:w="5383" w:type="dxa"/>
            <w:tcBorders>
              <w:top w:val="single" w:sz="4" w:space="0" w:color="BFBFBF"/>
              <w:left w:val="single" w:sz="4" w:space="0" w:color="FFFFFF"/>
              <w:bottom w:val="single" w:sz="4" w:space="0" w:color="FFFFFF"/>
              <w:right w:val="single" w:sz="4" w:space="0" w:color="FFFFFF"/>
            </w:tcBorders>
            <w:hideMark/>
          </w:tcPr>
          <w:p w14:paraId="5DE52913" w14:textId="77777777" w:rsidR="00814857" w:rsidRDefault="00814857" w:rsidP="00682CD7">
            <w:pPr>
              <w:pStyle w:val="ARtabletext"/>
              <w:rPr>
                <w:i/>
              </w:rPr>
            </w:pPr>
            <w:r>
              <w:t>Proportion of adults with high/very high psychological distress</w:t>
            </w:r>
          </w:p>
        </w:tc>
        <w:tc>
          <w:tcPr>
            <w:tcW w:w="1021" w:type="dxa"/>
            <w:tcBorders>
              <w:top w:val="single" w:sz="4" w:space="0" w:color="BFBFBF"/>
              <w:left w:val="single" w:sz="4" w:space="0" w:color="FFFFFF"/>
              <w:bottom w:val="single" w:sz="4" w:space="0" w:color="FFFFFF"/>
              <w:right w:val="single" w:sz="4" w:space="0" w:color="FFFFFF"/>
            </w:tcBorders>
            <w:hideMark/>
          </w:tcPr>
          <w:p w14:paraId="3B659711" w14:textId="77777777" w:rsidR="00814857" w:rsidRDefault="00814857" w:rsidP="00682CD7">
            <w:pPr>
              <w:pStyle w:val="ARtabletext"/>
            </w:pPr>
            <w:r>
              <w:t>17.3%</w:t>
            </w:r>
          </w:p>
        </w:tc>
        <w:tc>
          <w:tcPr>
            <w:tcW w:w="1021" w:type="dxa"/>
            <w:tcBorders>
              <w:top w:val="single" w:sz="4" w:space="0" w:color="BFBFBF"/>
              <w:left w:val="single" w:sz="4" w:space="0" w:color="FFFFFF"/>
              <w:bottom w:val="single" w:sz="4" w:space="0" w:color="FFFFFF"/>
              <w:right w:val="single" w:sz="4" w:space="0" w:color="FFFFFF"/>
            </w:tcBorders>
            <w:hideMark/>
          </w:tcPr>
          <w:p w14:paraId="436146DC" w14:textId="77777777" w:rsidR="00814857" w:rsidRDefault="00814857" w:rsidP="00682CD7">
            <w:pPr>
              <w:pStyle w:val="ARtabletext"/>
            </w:pPr>
            <w:r>
              <w:t>14.8%</w:t>
            </w:r>
          </w:p>
        </w:tc>
        <w:tc>
          <w:tcPr>
            <w:tcW w:w="1021" w:type="dxa"/>
            <w:tcBorders>
              <w:top w:val="single" w:sz="4" w:space="0" w:color="BFBFBF"/>
              <w:left w:val="single" w:sz="4" w:space="0" w:color="FFFFFF"/>
              <w:bottom w:val="single" w:sz="4" w:space="0" w:color="FFFFFF"/>
              <w:right w:val="single" w:sz="4" w:space="0" w:color="FFFFFF"/>
            </w:tcBorders>
            <w:shd w:val="clear" w:color="auto" w:fill="auto"/>
            <w:hideMark/>
          </w:tcPr>
          <w:p w14:paraId="05E83E0B" w14:textId="77777777" w:rsidR="00814857" w:rsidRDefault="00814857" w:rsidP="00682CD7">
            <w:pPr>
              <w:pStyle w:val="ARtabletext"/>
            </w:pPr>
            <w:r>
              <w:t>15.4%</w:t>
            </w:r>
          </w:p>
        </w:tc>
        <w:tc>
          <w:tcPr>
            <w:tcW w:w="1247" w:type="dxa"/>
            <w:tcBorders>
              <w:top w:val="single" w:sz="4" w:space="0" w:color="BFBFBF"/>
              <w:left w:val="single" w:sz="4" w:space="0" w:color="FFFFFF"/>
              <w:bottom w:val="single" w:sz="4" w:space="0" w:color="FFFFFF"/>
              <w:right w:val="single" w:sz="4" w:space="0" w:color="FFFFFF"/>
            </w:tcBorders>
            <w:hideMark/>
          </w:tcPr>
          <w:p w14:paraId="39A0D07D" w14:textId="77777777" w:rsidR="00814857" w:rsidRDefault="00814857" w:rsidP="00682CD7">
            <w:pPr>
              <w:pStyle w:val="ARtabletext"/>
            </w:pPr>
            <w:r>
              <w:t>Available March 2020</w:t>
            </w:r>
          </w:p>
        </w:tc>
      </w:tr>
      <w:tr w:rsidR="00814857" w14:paraId="20A02A9B" w14:textId="77777777" w:rsidTr="009C600F">
        <w:trPr>
          <w:cantSplit/>
        </w:trPr>
        <w:tc>
          <w:tcPr>
            <w:tcW w:w="5383" w:type="dxa"/>
            <w:tcBorders>
              <w:top w:val="single" w:sz="4" w:space="0" w:color="BFBFBF"/>
              <w:left w:val="single" w:sz="4" w:space="0" w:color="FFFFFF"/>
              <w:bottom w:val="single" w:sz="4" w:space="0" w:color="FFFFFF"/>
              <w:right w:val="single" w:sz="4" w:space="0" w:color="FFFFFF"/>
            </w:tcBorders>
            <w:hideMark/>
          </w:tcPr>
          <w:p w14:paraId="4B649DBF" w14:textId="77777777" w:rsidR="00814857" w:rsidRDefault="00814857" w:rsidP="00682CD7">
            <w:pPr>
              <w:pStyle w:val="ARtabletext"/>
              <w:rPr>
                <w:i/>
              </w:rPr>
            </w:pPr>
            <w:r>
              <w:t>Standardised rate of death from suicide (per 100,000 people)</w:t>
            </w:r>
          </w:p>
        </w:tc>
        <w:tc>
          <w:tcPr>
            <w:tcW w:w="1021" w:type="dxa"/>
            <w:tcBorders>
              <w:top w:val="single" w:sz="4" w:space="0" w:color="BFBFBF"/>
              <w:left w:val="single" w:sz="4" w:space="0" w:color="FFFFFF"/>
              <w:bottom w:val="single" w:sz="4" w:space="0" w:color="FFFFFF"/>
              <w:right w:val="single" w:sz="4" w:space="0" w:color="FFFFFF"/>
            </w:tcBorders>
            <w:hideMark/>
          </w:tcPr>
          <w:p w14:paraId="6E047868" w14:textId="77777777" w:rsidR="00814857" w:rsidRDefault="00814857" w:rsidP="00682CD7">
            <w:pPr>
              <w:pStyle w:val="ARtabletext"/>
            </w:pPr>
            <w:r>
              <w:t>10.9</w:t>
            </w:r>
          </w:p>
        </w:tc>
        <w:tc>
          <w:tcPr>
            <w:tcW w:w="1021" w:type="dxa"/>
            <w:tcBorders>
              <w:top w:val="single" w:sz="4" w:space="0" w:color="BFBFBF"/>
              <w:left w:val="single" w:sz="4" w:space="0" w:color="FFFFFF"/>
              <w:bottom w:val="single" w:sz="4" w:space="0" w:color="FFFFFF"/>
              <w:right w:val="single" w:sz="4" w:space="0" w:color="FFFFFF"/>
            </w:tcBorders>
            <w:hideMark/>
          </w:tcPr>
          <w:p w14:paraId="3C8C2DAF" w14:textId="77777777" w:rsidR="00814857" w:rsidRDefault="00814857" w:rsidP="00682CD7">
            <w:pPr>
              <w:pStyle w:val="ARtabletext"/>
            </w:pPr>
            <w:r>
              <w:t>9.9</w:t>
            </w:r>
          </w:p>
        </w:tc>
        <w:tc>
          <w:tcPr>
            <w:tcW w:w="1021" w:type="dxa"/>
            <w:tcBorders>
              <w:top w:val="single" w:sz="4" w:space="0" w:color="BFBFBF"/>
              <w:left w:val="single" w:sz="4" w:space="0" w:color="FFFFFF"/>
              <w:bottom w:val="single" w:sz="4" w:space="0" w:color="FFFFFF"/>
              <w:right w:val="single" w:sz="4" w:space="0" w:color="FFFFFF"/>
            </w:tcBorders>
            <w:hideMark/>
          </w:tcPr>
          <w:p w14:paraId="68C16ECF" w14:textId="77777777" w:rsidR="00814857" w:rsidRDefault="00814857" w:rsidP="00682CD7">
            <w:pPr>
              <w:pStyle w:val="ARtabletext"/>
            </w:pPr>
            <w:r>
              <w:t>9.6</w:t>
            </w:r>
          </w:p>
        </w:tc>
        <w:tc>
          <w:tcPr>
            <w:tcW w:w="1247" w:type="dxa"/>
            <w:tcBorders>
              <w:top w:val="single" w:sz="4" w:space="0" w:color="BFBFBF"/>
              <w:left w:val="single" w:sz="4" w:space="0" w:color="FFFFFF"/>
              <w:bottom w:val="single" w:sz="4" w:space="0" w:color="FFFFFF"/>
              <w:right w:val="single" w:sz="4" w:space="0" w:color="FFFFFF"/>
            </w:tcBorders>
            <w:hideMark/>
          </w:tcPr>
          <w:p w14:paraId="5FC4EC0A" w14:textId="77777777" w:rsidR="00814857" w:rsidRDefault="00814857" w:rsidP="00682CD7">
            <w:pPr>
              <w:pStyle w:val="ARtabletext"/>
            </w:pPr>
            <w:r>
              <w:t>9.0</w:t>
            </w:r>
          </w:p>
        </w:tc>
      </w:tr>
      <w:tr w:rsidR="00814857" w14:paraId="7F37630B" w14:textId="77777777" w:rsidTr="009C600F">
        <w:trPr>
          <w:cantSplit/>
          <w:trHeight w:val="467"/>
        </w:trPr>
        <w:tc>
          <w:tcPr>
            <w:tcW w:w="1021" w:type="dxa"/>
            <w:gridSpan w:val="5"/>
            <w:tcBorders>
              <w:top w:val="single" w:sz="4" w:space="0" w:color="FFFFFF"/>
              <w:left w:val="single" w:sz="4" w:space="0" w:color="FFFFFF"/>
              <w:bottom w:val="nil"/>
              <w:right w:val="single" w:sz="4" w:space="0" w:color="FFFFFF"/>
            </w:tcBorders>
            <w:hideMark/>
          </w:tcPr>
          <w:p w14:paraId="3B8F3029" w14:textId="77777777" w:rsidR="00814857" w:rsidRDefault="00814857" w:rsidP="00682CD7">
            <w:pPr>
              <w:pStyle w:val="ARtablefootnote"/>
            </w:pPr>
            <w:r>
              <w:rPr>
                <w:rFonts w:eastAsia="Times"/>
                <w:lang w:eastAsia="en-AU"/>
              </w:rPr>
              <w:t>Sources: VPHS; Australian Bureau of Statistics (ABS)</w:t>
            </w:r>
          </w:p>
        </w:tc>
      </w:tr>
      <w:tr w:rsidR="00814857" w14:paraId="3C76C3B1" w14:textId="77777777" w:rsidTr="009C600F">
        <w:trPr>
          <w:cantSplit/>
        </w:trPr>
        <w:tc>
          <w:tcPr>
            <w:tcW w:w="1021" w:type="dxa"/>
            <w:gridSpan w:val="5"/>
            <w:tcBorders>
              <w:top w:val="single" w:sz="4" w:space="0" w:color="auto"/>
              <w:left w:val="single" w:sz="4" w:space="0" w:color="FFFFFF"/>
              <w:bottom w:val="single" w:sz="4" w:space="0" w:color="BFBFBF"/>
              <w:right w:val="single" w:sz="4" w:space="0" w:color="FFFFFF"/>
            </w:tcBorders>
            <w:hideMark/>
          </w:tcPr>
          <w:p w14:paraId="0ADF8826" w14:textId="77777777" w:rsidR="00814857" w:rsidRDefault="00814857" w:rsidP="008F035E">
            <w:pPr>
              <w:pStyle w:val="ARtablebluebold"/>
            </w:pPr>
            <w:r>
              <w:t>Victorians act to protect and promote health</w:t>
            </w:r>
          </w:p>
        </w:tc>
      </w:tr>
      <w:tr w:rsidR="00814857" w14:paraId="163F8082" w14:textId="77777777" w:rsidTr="009C600F">
        <w:trPr>
          <w:cantSplit/>
        </w:trPr>
        <w:tc>
          <w:tcPr>
            <w:tcW w:w="5383" w:type="dxa"/>
            <w:tcBorders>
              <w:top w:val="single" w:sz="4" w:space="0" w:color="BFBFBF"/>
              <w:left w:val="single" w:sz="4" w:space="0" w:color="FFFFFF"/>
              <w:bottom w:val="single" w:sz="4" w:space="0" w:color="FFFFFF"/>
              <w:right w:val="single" w:sz="4" w:space="0" w:color="FFFFFF"/>
            </w:tcBorders>
            <w:hideMark/>
          </w:tcPr>
          <w:p w14:paraId="333E2562" w14:textId="77777777" w:rsidR="00814857" w:rsidRDefault="00814857" w:rsidP="00682CD7">
            <w:pPr>
              <w:pStyle w:val="ARtabletext"/>
              <w:rPr>
                <w:i/>
              </w:rPr>
            </w:pPr>
            <w:r>
              <w:t>Immunisation coverage: At school entry</w:t>
            </w:r>
          </w:p>
        </w:tc>
        <w:tc>
          <w:tcPr>
            <w:tcW w:w="1021" w:type="dxa"/>
            <w:tcBorders>
              <w:top w:val="single" w:sz="4" w:space="0" w:color="BFBFBF"/>
              <w:left w:val="single" w:sz="4" w:space="0" w:color="FFFFFF"/>
              <w:bottom w:val="single" w:sz="4" w:space="0" w:color="FFFFFF"/>
              <w:right w:val="single" w:sz="4" w:space="0" w:color="FFFFFF"/>
            </w:tcBorders>
            <w:hideMark/>
          </w:tcPr>
          <w:p w14:paraId="722CF066" w14:textId="77777777" w:rsidR="00814857" w:rsidRDefault="00814857" w:rsidP="00682CD7">
            <w:pPr>
              <w:pStyle w:val="ARtabletext"/>
            </w:pPr>
            <w:r>
              <w:t>93.0%</w:t>
            </w:r>
          </w:p>
        </w:tc>
        <w:tc>
          <w:tcPr>
            <w:tcW w:w="1021" w:type="dxa"/>
            <w:tcBorders>
              <w:top w:val="single" w:sz="4" w:space="0" w:color="BFBFBF"/>
              <w:left w:val="single" w:sz="4" w:space="0" w:color="FFFFFF"/>
              <w:bottom w:val="single" w:sz="4" w:space="0" w:color="FFFFFF"/>
              <w:right w:val="single" w:sz="4" w:space="0" w:color="FFFFFF"/>
            </w:tcBorders>
            <w:hideMark/>
          </w:tcPr>
          <w:p w14:paraId="410F640D" w14:textId="77777777" w:rsidR="00814857" w:rsidRDefault="00814857" w:rsidP="00682CD7">
            <w:pPr>
              <w:pStyle w:val="ARtabletext"/>
            </w:pPr>
            <w:r>
              <w:t>93.0%</w:t>
            </w:r>
          </w:p>
        </w:tc>
        <w:tc>
          <w:tcPr>
            <w:tcW w:w="1021" w:type="dxa"/>
            <w:tcBorders>
              <w:top w:val="single" w:sz="4" w:space="0" w:color="BFBFBF"/>
              <w:left w:val="single" w:sz="4" w:space="0" w:color="FFFFFF"/>
              <w:bottom w:val="single" w:sz="4" w:space="0" w:color="FFFFFF"/>
              <w:right w:val="single" w:sz="4" w:space="0" w:color="FFFFFF"/>
            </w:tcBorders>
            <w:hideMark/>
          </w:tcPr>
          <w:p w14:paraId="067E2F40" w14:textId="77777777" w:rsidR="00814857" w:rsidRDefault="00814857" w:rsidP="00682CD7">
            <w:pPr>
              <w:pStyle w:val="ARtabletext"/>
            </w:pPr>
            <w:r>
              <w:t>95.3%</w:t>
            </w:r>
          </w:p>
        </w:tc>
        <w:tc>
          <w:tcPr>
            <w:tcW w:w="1247" w:type="dxa"/>
            <w:tcBorders>
              <w:top w:val="single" w:sz="4" w:space="0" w:color="BFBFBF"/>
              <w:left w:val="single" w:sz="4" w:space="0" w:color="FFFFFF"/>
              <w:bottom w:val="single" w:sz="4" w:space="0" w:color="FFFFFF"/>
              <w:right w:val="single" w:sz="4" w:space="0" w:color="FFFFFF"/>
            </w:tcBorders>
            <w:hideMark/>
          </w:tcPr>
          <w:p w14:paraId="31E76CA3" w14:textId="77777777" w:rsidR="00814857" w:rsidRDefault="00814857" w:rsidP="00682CD7">
            <w:pPr>
              <w:pStyle w:val="ARtabletext"/>
            </w:pPr>
            <w:r>
              <w:t>95.7%</w:t>
            </w:r>
          </w:p>
        </w:tc>
      </w:tr>
      <w:tr w:rsidR="00814857" w14:paraId="5806AF5C" w14:textId="77777777" w:rsidTr="009C600F">
        <w:trPr>
          <w:cantSplit/>
        </w:trPr>
        <w:tc>
          <w:tcPr>
            <w:tcW w:w="5383" w:type="dxa"/>
            <w:tcBorders>
              <w:top w:val="single" w:sz="4" w:space="0" w:color="BFBFBF"/>
              <w:left w:val="single" w:sz="4" w:space="0" w:color="FFFFFF"/>
              <w:bottom w:val="single" w:sz="4" w:space="0" w:color="FFFFFF"/>
              <w:right w:val="single" w:sz="4" w:space="0" w:color="FFFFFF"/>
            </w:tcBorders>
            <w:hideMark/>
          </w:tcPr>
          <w:p w14:paraId="1D31C628" w14:textId="77777777" w:rsidR="00814857" w:rsidRDefault="00814857" w:rsidP="00682CD7">
            <w:pPr>
              <w:pStyle w:val="ARtabletext"/>
              <w:rPr>
                <w:i/>
              </w:rPr>
            </w:pPr>
            <w:r>
              <w:t>Immunisation coverage: At two years of age</w:t>
            </w:r>
          </w:p>
        </w:tc>
        <w:tc>
          <w:tcPr>
            <w:tcW w:w="1021" w:type="dxa"/>
            <w:tcBorders>
              <w:top w:val="single" w:sz="4" w:space="0" w:color="BFBFBF"/>
              <w:left w:val="single" w:sz="4" w:space="0" w:color="FFFFFF"/>
              <w:bottom w:val="single" w:sz="4" w:space="0" w:color="FFFFFF"/>
              <w:right w:val="single" w:sz="4" w:space="0" w:color="FFFFFF"/>
            </w:tcBorders>
            <w:hideMark/>
          </w:tcPr>
          <w:p w14:paraId="198BB896" w14:textId="77777777" w:rsidR="00814857" w:rsidRDefault="00814857" w:rsidP="00682CD7">
            <w:pPr>
              <w:pStyle w:val="ARtabletext"/>
            </w:pPr>
            <w:r>
              <w:t>91.0%</w:t>
            </w:r>
          </w:p>
        </w:tc>
        <w:tc>
          <w:tcPr>
            <w:tcW w:w="1021" w:type="dxa"/>
            <w:tcBorders>
              <w:top w:val="single" w:sz="4" w:space="0" w:color="BFBFBF"/>
              <w:left w:val="single" w:sz="4" w:space="0" w:color="FFFFFF"/>
              <w:bottom w:val="single" w:sz="4" w:space="0" w:color="FFFFFF"/>
              <w:right w:val="single" w:sz="4" w:space="0" w:color="FFFFFF"/>
            </w:tcBorders>
            <w:hideMark/>
          </w:tcPr>
          <w:p w14:paraId="203513FB" w14:textId="77777777" w:rsidR="00814857" w:rsidRDefault="00814857" w:rsidP="00682CD7">
            <w:pPr>
              <w:pStyle w:val="ARtabletext"/>
            </w:pPr>
            <w:r>
              <w:t>92.0%</w:t>
            </w:r>
          </w:p>
        </w:tc>
        <w:tc>
          <w:tcPr>
            <w:tcW w:w="1021" w:type="dxa"/>
            <w:tcBorders>
              <w:top w:val="single" w:sz="4" w:space="0" w:color="BFBFBF"/>
              <w:left w:val="single" w:sz="4" w:space="0" w:color="FFFFFF"/>
              <w:bottom w:val="single" w:sz="4" w:space="0" w:color="FFFFFF"/>
              <w:right w:val="single" w:sz="4" w:space="0" w:color="FFFFFF"/>
            </w:tcBorders>
            <w:hideMark/>
          </w:tcPr>
          <w:p w14:paraId="2F4C5495" w14:textId="77777777" w:rsidR="00814857" w:rsidRDefault="00814857" w:rsidP="00682CD7">
            <w:pPr>
              <w:pStyle w:val="ARtabletext"/>
            </w:pPr>
            <w:r>
              <w:t>91.0%</w:t>
            </w:r>
          </w:p>
        </w:tc>
        <w:tc>
          <w:tcPr>
            <w:tcW w:w="1247" w:type="dxa"/>
            <w:tcBorders>
              <w:top w:val="single" w:sz="4" w:space="0" w:color="BFBFBF"/>
              <w:left w:val="single" w:sz="4" w:space="0" w:color="FFFFFF"/>
              <w:bottom w:val="single" w:sz="4" w:space="0" w:color="FFFFFF"/>
              <w:right w:val="single" w:sz="4" w:space="0" w:color="FFFFFF"/>
            </w:tcBorders>
            <w:hideMark/>
          </w:tcPr>
          <w:p w14:paraId="1E55AE26" w14:textId="77777777" w:rsidR="00814857" w:rsidRDefault="00814857" w:rsidP="00682CD7">
            <w:pPr>
              <w:pStyle w:val="ARtabletext"/>
            </w:pPr>
            <w:r>
              <w:t>92.0%</w:t>
            </w:r>
          </w:p>
        </w:tc>
      </w:tr>
      <w:tr w:rsidR="00814857" w14:paraId="08C3DBAD" w14:textId="77777777" w:rsidTr="009C600F">
        <w:trPr>
          <w:cantSplit/>
        </w:trPr>
        <w:tc>
          <w:tcPr>
            <w:tcW w:w="5383" w:type="dxa"/>
            <w:tcBorders>
              <w:top w:val="single" w:sz="4" w:space="0" w:color="BFBFBF"/>
              <w:left w:val="single" w:sz="4" w:space="0" w:color="FFFFFF"/>
              <w:bottom w:val="single" w:sz="4" w:space="0" w:color="BFBFBF"/>
              <w:right w:val="single" w:sz="4" w:space="0" w:color="FFFFFF"/>
            </w:tcBorders>
            <w:hideMark/>
          </w:tcPr>
          <w:p w14:paraId="1382482C" w14:textId="77777777" w:rsidR="00814857" w:rsidRDefault="00814857" w:rsidP="00682CD7">
            <w:pPr>
              <w:pStyle w:val="ARtabletext"/>
              <w:rPr>
                <w:i/>
              </w:rPr>
            </w:pPr>
            <w:r>
              <w:t>Percentage of Aboriginal children fully immunised at 60 months</w:t>
            </w:r>
          </w:p>
        </w:tc>
        <w:tc>
          <w:tcPr>
            <w:tcW w:w="1021" w:type="dxa"/>
            <w:tcBorders>
              <w:top w:val="single" w:sz="4" w:space="0" w:color="BFBFBF"/>
              <w:left w:val="single" w:sz="4" w:space="0" w:color="FFFFFF"/>
              <w:bottom w:val="single" w:sz="4" w:space="0" w:color="BFBFBF"/>
              <w:right w:val="single" w:sz="4" w:space="0" w:color="FFFFFF"/>
            </w:tcBorders>
            <w:hideMark/>
          </w:tcPr>
          <w:p w14:paraId="08177B1B" w14:textId="77777777" w:rsidR="00814857" w:rsidRDefault="00814857" w:rsidP="00682CD7">
            <w:pPr>
              <w:pStyle w:val="ARtabletext"/>
            </w:pPr>
            <w:r>
              <w:t>91.0%</w:t>
            </w:r>
          </w:p>
        </w:tc>
        <w:tc>
          <w:tcPr>
            <w:tcW w:w="1021" w:type="dxa"/>
            <w:tcBorders>
              <w:top w:val="single" w:sz="4" w:space="0" w:color="BFBFBF"/>
              <w:left w:val="single" w:sz="4" w:space="0" w:color="FFFFFF"/>
              <w:bottom w:val="single" w:sz="4" w:space="0" w:color="BFBFBF"/>
              <w:right w:val="single" w:sz="4" w:space="0" w:color="FFFFFF"/>
            </w:tcBorders>
            <w:hideMark/>
          </w:tcPr>
          <w:p w14:paraId="07DA7A5A" w14:textId="77777777" w:rsidR="00814857" w:rsidRDefault="00814857" w:rsidP="00682CD7">
            <w:pPr>
              <w:pStyle w:val="ARtabletext"/>
            </w:pPr>
            <w:r>
              <w:t>92.0%</w:t>
            </w:r>
          </w:p>
        </w:tc>
        <w:tc>
          <w:tcPr>
            <w:tcW w:w="1021" w:type="dxa"/>
            <w:tcBorders>
              <w:top w:val="single" w:sz="4" w:space="0" w:color="BFBFBF"/>
              <w:left w:val="single" w:sz="4" w:space="0" w:color="FFFFFF"/>
              <w:bottom w:val="single" w:sz="4" w:space="0" w:color="BFBFBF"/>
              <w:right w:val="single" w:sz="4" w:space="0" w:color="FFFFFF"/>
            </w:tcBorders>
            <w:hideMark/>
          </w:tcPr>
          <w:p w14:paraId="6394835E" w14:textId="77777777" w:rsidR="00814857" w:rsidRDefault="00814857" w:rsidP="00682CD7">
            <w:pPr>
              <w:pStyle w:val="ARtabletext"/>
            </w:pPr>
            <w:r>
              <w:t>91.0%</w:t>
            </w:r>
          </w:p>
        </w:tc>
        <w:tc>
          <w:tcPr>
            <w:tcW w:w="1247" w:type="dxa"/>
            <w:tcBorders>
              <w:top w:val="single" w:sz="4" w:space="0" w:color="BFBFBF"/>
              <w:left w:val="single" w:sz="4" w:space="0" w:color="FFFFFF"/>
              <w:bottom w:val="single" w:sz="4" w:space="0" w:color="BFBFBF"/>
              <w:right w:val="single" w:sz="4" w:space="0" w:color="FFFFFF"/>
            </w:tcBorders>
            <w:hideMark/>
          </w:tcPr>
          <w:p w14:paraId="5380A196" w14:textId="77777777" w:rsidR="00814857" w:rsidRDefault="00814857" w:rsidP="00682CD7">
            <w:pPr>
              <w:pStyle w:val="ARtabletext"/>
            </w:pPr>
            <w:r>
              <w:t>96.5%</w:t>
            </w:r>
          </w:p>
        </w:tc>
      </w:tr>
      <w:tr w:rsidR="00814857" w14:paraId="77601EDC" w14:textId="77777777" w:rsidTr="00611FEB">
        <w:trPr>
          <w:cantSplit/>
        </w:trPr>
        <w:tc>
          <w:tcPr>
            <w:tcW w:w="5383" w:type="dxa"/>
            <w:tcBorders>
              <w:top w:val="single" w:sz="4" w:space="0" w:color="BFBFBF"/>
              <w:left w:val="single" w:sz="4" w:space="0" w:color="FFFFFF"/>
              <w:bottom w:val="single" w:sz="4" w:space="0" w:color="BFBFBF"/>
              <w:right w:val="single" w:sz="4" w:space="0" w:color="FFFFFF"/>
            </w:tcBorders>
            <w:hideMark/>
          </w:tcPr>
          <w:p w14:paraId="5CCF29B4" w14:textId="77777777" w:rsidR="00814857" w:rsidRDefault="00814857" w:rsidP="00682CD7">
            <w:pPr>
              <w:pStyle w:val="ARtabletext"/>
            </w:pPr>
            <w:r>
              <w:t>Eligible newborns screened for hearing deficit before one month of age</w:t>
            </w:r>
          </w:p>
        </w:tc>
        <w:tc>
          <w:tcPr>
            <w:tcW w:w="1021" w:type="dxa"/>
            <w:tcBorders>
              <w:top w:val="single" w:sz="4" w:space="0" w:color="BFBFBF"/>
              <w:left w:val="single" w:sz="4" w:space="0" w:color="FFFFFF"/>
              <w:bottom w:val="single" w:sz="4" w:space="0" w:color="BFBFBF"/>
              <w:right w:val="single" w:sz="4" w:space="0" w:color="FFFFFF"/>
            </w:tcBorders>
            <w:hideMark/>
          </w:tcPr>
          <w:p w14:paraId="127FBE87" w14:textId="77777777" w:rsidR="00814857" w:rsidRDefault="00814857" w:rsidP="00682CD7">
            <w:pPr>
              <w:pStyle w:val="ARtabletext"/>
            </w:pPr>
            <w:r>
              <w:t>98.5%</w:t>
            </w:r>
          </w:p>
        </w:tc>
        <w:tc>
          <w:tcPr>
            <w:tcW w:w="1021" w:type="dxa"/>
            <w:tcBorders>
              <w:top w:val="single" w:sz="4" w:space="0" w:color="BFBFBF"/>
              <w:left w:val="single" w:sz="4" w:space="0" w:color="FFFFFF"/>
              <w:bottom w:val="single" w:sz="4" w:space="0" w:color="BFBFBF"/>
              <w:right w:val="single" w:sz="4" w:space="0" w:color="FFFFFF"/>
            </w:tcBorders>
            <w:hideMark/>
          </w:tcPr>
          <w:p w14:paraId="49BCF63E" w14:textId="77777777" w:rsidR="00814857" w:rsidRDefault="00814857" w:rsidP="00682CD7">
            <w:pPr>
              <w:pStyle w:val="ARtabletext"/>
            </w:pPr>
            <w:r>
              <w:t>98.5%</w:t>
            </w:r>
          </w:p>
        </w:tc>
        <w:tc>
          <w:tcPr>
            <w:tcW w:w="1021" w:type="dxa"/>
            <w:tcBorders>
              <w:top w:val="single" w:sz="4" w:space="0" w:color="BFBFBF"/>
              <w:left w:val="single" w:sz="4" w:space="0" w:color="FFFFFF"/>
              <w:bottom w:val="single" w:sz="4" w:space="0" w:color="BFBFBF"/>
              <w:right w:val="single" w:sz="4" w:space="0" w:color="FFFFFF"/>
            </w:tcBorders>
            <w:hideMark/>
          </w:tcPr>
          <w:p w14:paraId="713F8103" w14:textId="77777777" w:rsidR="00814857" w:rsidRDefault="00814857" w:rsidP="00682CD7">
            <w:pPr>
              <w:pStyle w:val="ARtabletext"/>
            </w:pPr>
            <w:r>
              <w:t>98.6%</w:t>
            </w:r>
          </w:p>
        </w:tc>
        <w:tc>
          <w:tcPr>
            <w:tcW w:w="1247" w:type="dxa"/>
            <w:tcBorders>
              <w:top w:val="single" w:sz="4" w:space="0" w:color="BFBFBF"/>
              <w:left w:val="single" w:sz="4" w:space="0" w:color="FFFFFF"/>
              <w:bottom w:val="single" w:sz="4" w:space="0" w:color="BFBFBF"/>
              <w:right w:val="single" w:sz="4" w:space="0" w:color="FFFFFF"/>
            </w:tcBorders>
            <w:hideMark/>
          </w:tcPr>
          <w:p w14:paraId="2C453DC9" w14:textId="77777777" w:rsidR="00814857" w:rsidRDefault="00814857" w:rsidP="00682CD7">
            <w:pPr>
              <w:pStyle w:val="ARtabletext"/>
            </w:pPr>
            <w:r>
              <w:t>98.7%</w:t>
            </w:r>
          </w:p>
        </w:tc>
      </w:tr>
      <w:tr w:rsidR="00814857" w14:paraId="290B9F29" w14:textId="77777777" w:rsidTr="00611FEB">
        <w:trPr>
          <w:cantSplit/>
        </w:trPr>
        <w:tc>
          <w:tcPr>
            <w:tcW w:w="5383" w:type="dxa"/>
            <w:tcBorders>
              <w:top w:val="single" w:sz="4" w:space="0" w:color="BFBFBF"/>
              <w:left w:val="single" w:sz="4" w:space="0" w:color="FFFFFF"/>
              <w:bottom w:val="single" w:sz="4" w:space="0" w:color="BFBFBF" w:themeColor="background1" w:themeShade="BF"/>
              <w:right w:val="single" w:sz="4" w:space="0" w:color="FFFFFF"/>
            </w:tcBorders>
            <w:hideMark/>
          </w:tcPr>
          <w:p w14:paraId="3D8CCBC4" w14:textId="77777777" w:rsidR="00814857" w:rsidRDefault="00814857" w:rsidP="00682CD7">
            <w:pPr>
              <w:pStyle w:val="ARtabletext"/>
              <w:rPr>
                <w:i/>
              </w:rPr>
            </w:pPr>
            <w:r>
              <w:t xml:space="preserve">Rate of </w:t>
            </w:r>
            <w:r w:rsidRPr="008F035E">
              <w:rPr>
                <w:i/>
                <w:iCs/>
              </w:rPr>
              <w:t>Staphylococcus aureus</w:t>
            </w:r>
            <w:r>
              <w:t xml:space="preserve"> bacteraemias (SAB) infections per 10,000 patient days</w:t>
            </w:r>
          </w:p>
        </w:tc>
        <w:tc>
          <w:tcPr>
            <w:tcW w:w="1021" w:type="dxa"/>
            <w:tcBorders>
              <w:top w:val="single" w:sz="4" w:space="0" w:color="BFBFBF"/>
              <w:left w:val="single" w:sz="4" w:space="0" w:color="FFFFFF"/>
              <w:bottom w:val="single" w:sz="4" w:space="0" w:color="BFBFBF" w:themeColor="background1" w:themeShade="BF"/>
              <w:right w:val="single" w:sz="4" w:space="0" w:color="FFFFFF"/>
            </w:tcBorders>
            <w:hideMark/>
          </w:tcPr>
          <w:p w14:paraId="5D720321" w14:textId="77777777" w:rsidR="00814857" w:rsidRDefault="00814857" w:rsidP="00682CD7">
            <w:pPr>
              <w:pStyle w:val="ARtabletext"/>
            </w:pPr>
            <w:r>
              <w:t>0.7</w:t>
            </w:r>
          </w:p>
        </w:tc>
        <w:tc>
          <w:tcPr>
            <w:tcW w:w="1021" w:type="dxa"/>
            <w:tcBorders>
              <w:top w:val="single" w:sz="4" w:space="0" w:color="BFBFBF"/>
              <w:left w:val="single" w:sz="4" w:space="0" w:color="FFFFFF"/>
              <w:bottom w:val="single" w:sz="4" w:space="0" w:color="BFBFBF" w:themeColor="background1" w:themeShade="BF"/>
              <w:right w:val="single" w:sz="4" w:space="0" w:color="FFFFFF"/>
            </w:tcBorders>
            <w:hideMark/>
          </w:tcPr>
          <w:p w14:paraId="79EEFC86" w14:textId="77777777" w:rsidR="00814857" w:rsidRDefault="00814857" w:rsidP="00682CD7">
            <w:pPr>
              <w:pStyle w:val="ARtabletext"/>
            </w:pPr>
            <w:r>
              <w:t>0.7</w:t>
            </w:r>
          </w:p>
        </w:tc>
        <w:tc>
          <w:tcPr>
            <w:tcW w:w="1021" w:type="dxa"/>
            <w:tcBorders>
              <w:top w:val="single" w:sz="4" w:space="0" w:color="BFBFBF"/>
              <w:left w:val="single" w:sz="4" w:space="0" w:color="FFFFFF"/>
              <w:bottom w:val="single" w:sz="4" w:space="0" w:color="BFBFBF" w:themeColor="background1" w:themeShade="BF"/>
              <w:right w:val="single" w:sz="4" w:space="0" w:color="FFFFFF"/>
            </w:tcBorders>
            <w:hideMark/>
          </w:tcPr>
          <w:p w14:paraId="605AA454" w14:textId="77777777" w:rsidR="00814857" w:rsidRDefault="00814857" w:rsidP="00682CD7">
            <w:pPr>
              <w:pStyle w:val="ARtabletext"/>
            </w:pPr>
            <w:r>
              <w:t>0.8</w:t>
            </w:r>
          </w:p>
        </w:tc>
        <w:tc>
          <w:tcPr>
            <w:tcW w:w="1247" w:type="dxa"/>
            <w:tcBorders>
              <w:top w:val="single" w:sz="4" w:space="0" w:color="BFBFBF"/>
              <w:left w:val="single" w:sz="4" w:space="0" w:color="FFFFFF"/>
              <w:bottom w:val="single" w:sz="4" w:space="0" w:color="BFBFBF" w:themeColor="background1" w:themeShade="BF"/>
              <w:right w:val="single" w:sz="4" w:space="0" w:color="FFFFFF"/>
            </w:tcBorders>
            <w:hideMark/>
          </w:tcPr>
          <w:p w14:paraId="105F09E7" w14:textId="77777777" w:rsidR="00814857" w:rsidRDefault="00814857" w:rsidP="00682CD7">
            <w:pPr>
              <w:pStyle w:val="ARtabletext"/>
            </w:pPr>
            <w:r>
              <w:t>0.9</w:t>
            </w:r>
          </w:p>
        </w:tc>
      </w:tr>
      <w:tr w:rsidR="00814857" w14:paraId="771B9A2D" w14:textId="77777777" w:rsidTr="00611FEB">
        <w:trPr>
          <w:cantSplit/>
        </w:trPr>
        <w:tc>
          <w:tcPr>
            <w:tcW w:w="5383" w:type="dxa"/>
            <w:tcBorders>
              <w:top w:val="single" w:sz="4" w:space="0" w:color="BFBFBF" w:themeColor="background1" w:themeShade="BF"/>
              <w:left w:val="single" w:sz="4" w:space="0" w:color="FFFFFF"/>
              <w:bottom w:val="single" w:sz="4" w:space="0" w:color="BFBFBF"/>
              <w:right w:val="single" w:sz="4" w:space="0" w:color="FFFFFF"/>
            </w:tcBorders>
            <w:hideMark/>
          </w:tcPr>
          <w:p w14:paraId="3DE5C33C" w14:textId="77777777" w:rsidR="00814857" w:rsidRDefault="00814857" w:rsidP="00682CD7">
            <w:pPr>
              <w:pStyle w:val="ARtabletext"/>
              <w:rPr>
                <w:i/>
              </w:rPr>
            </w:pPr>
            <w:r>
              <w:lastRenderedPageBreak/>
              <w:t>Healthcare worker immunisation – influenza</w:t>
            </w:r>
          </w:p>
        </w:tc>
        <w:tc>
          <w:tcPr>
            <w:tcW w:w="1021" w:type="dxa"/>
            <w:tcBorders>
              <w:top w:val="single" w:sz="4" w:space="0" w:color="BFBFBF" w:themeColor="background1" w:themeShade="BF"/>
              <w:left w:val="single" w:sz="4" w:space="0" w:color="FFFFFF"/>
              <w:bottom w:val="single" w:sz="4" w:space="0" w:color="BFBFBF"/>
              <w:right w:val="single" w:sz="4" w:space="0" w:color="FFFFFF"/>
            </w:tcBorders>
            <w:hideMark/>
          </w:tcPr>
          <w:p w14:paraId="327F9862" w14:textId="77777777" w:rsidR="00814857" w:rsidRDefault="00814857" w:rsidP="00682CD7">
            <w:pPr>
              <w:pStyle w:val="ARtabletext"/>
            </w:pPr>
            <w:r>
              <w:t>79.0%</w:t>
            </w:r>
          </w:p>
        </w:tc>
        <w:tc>
          <w:tcPr>
            <w:tcW w:w="1021" w:type="dxa"/>
            <w:tcBorders>
              <w:top w:val="single" w:sz="4" w:space="0" w:color="BFBFBF" w:themeColor="background1" w:themeShade="BF"/>
              <w:left w:val="single" w:sz="4" w:space="0" w:color="FFFFFF"/>
              <w:bottom w:val="single" w:sz="4" w:space="0" w:color="BFBFBF"/>
              <w:right w:val="single" w:sz="4" w:space="0" w:color="FFFFFF"/>
            </w:tcBorders>
            <w:hideMark/>
          </w:tcPr>
          <w:p w14:paraId="6405BB4B" w14:textId="77777777" w:rsidR="00814857" w:rsidRDefault="00814857" w:rsidP="00682CD7">
            <w:pPr>
              <w:pStyle w:val="ARtabletext"/>
            </w:pPr>
            <w:r>
              <w:t>75.0%</w:t>
            </w:r>
          </w:p>
        </w:tc>
        <w:tc>
          <w:tcPr>
            <w:tcW w:w="1021" w:type="dxa"/>
            <w:tcBorders>
              <w:top w:val="single" w:sz="4" w:space="0" w:color="BFBFBF" w:themeColor="background1" w:themeShade="BF"/>
              <w:left w:val="single" w:sz="4" w:space="0" w:color="FFFFFF"/>
              <w:bottom w:val="single" w:sz="4" w:space="0" w:color="BFBFBF"/>
              <w:right w:val="single" w:sz="4" w:space="0" w:color="FFFFFF"/>
            </w:tcBorders>
            <w:hideMark/>
          </w:tcPr>
          <w:p w14:paraId="4AEF2854" w14:textId="77777777" w:rsidR="00814857" w:rsidRDefault="00814857" w:rsidP="00682CD7">
            <w:pPr>
              <w:pStyle w:val="ARtabletext"/>
            </w:pPr>
            <w:r>
              <w:t>80.0%</w:t>
            </w:r>
          </w:p>
        </w:tc>
        <w:tc>
          <w:tcPr>
            <w:tcW w:w="1247" w:type="dxa"/>
            <w:tcBorders>
              <w:top w:val="single" w:sz="4" w:space="0" w:color="BFBFBF" w:themeColor="background1" w:themeShade="BF"/>
              <w:left w:val="single" w:sz="4" w:space="0" w:color="FFFFFF"/>
              <w:bottom w:val="single" w:sz="4" w:space="0" w:color="BFBFBF"/>
              <w:right w:val="single" w:sz="4" w:space="0" w:color="FFFFFF"/>
            </w:tcBorders>
            <w:hideMark/>
          </w:tcPr>
          <w:p w14:paraId="53EAF090" w14:textId="77777777" w:rsidR="00814857" w:rsidRDefault="00814857" w:rsidP="00682CD7">
            <w:pPr>
              <w:pStyle w:val="ARtabletext"/>
            </w:pPr>
            <w:r>
              <w:t>83.0%</w:t>
            </w:r>
          </w:p>
        </w:tc>
      </w:tr>
      <w:tr w:rsidR="00814857" w14:paraId="0AE98971" w14:textId="77777777" w:rsidTr="009C600F">
        <w:trPr>
          <w:cantSplit/>
        </w:trPr>
        <w:tc>
          <w:tcPr>
            <w:tcW w:w="5383" w:type="dxa"/>
            <w:tcBorders>
              <w:top w:val="single" w:sz="4" w:space="0" w:color="BFBFBF"/>
              <w:left w:val="single" w:sz="4" w:space="0" w:color="FFFFFF"/>
              <w:bottom w:val="nil"/>
              <w:right w:val="single" w:sz="4" w:space="0" w:color="FFFFFF"/>
            </w:tcBorders>
            <w:hideMark/>
          </w:tcPr>
          <w:p w14:paraId="78F6B6B1" w14:textId="77777777" w:rsidR="00814857" w:rsidRDefault="00814857" w:rsidP="00682CD7">
            <w:pPr>
              <w:pStyle w:val="ARtabletext"/>
              <w:rPr>
                <w:i/>
              </w:rPr>
            </w:pPr>
            <w:r>
              <w:t>Hospitals participating in Victorian Hospital Acquired Infection Surveillance System (VICNISS)</w:t>
            </w:r>
          </w:p>
        </w:tc>
        <w:tc>
          <w:tcPr>
            <w:tcW w:w="1021" w:type="dxa"/>
            <w:tcBorders>
              <w:top w:val="single" w:sz="4" w:space="0" w:color="BFBFBF"/>
              <w:left w:val="single" w:sz="4" w:space="0" w:color="FFFFFF"/>
              <w:bottom w:val="nil"/>
              <w:right w:val="single" w:sz="4" w:space="0" w:color="FFFFFF"/>
            </w:tcBorders>
            <w:hideMark/>
          </w:tcPr>
          <w:p w14:paraId="2BCB985E" w14:textId="77777777" w:rsidR="00814857" w:rsidRDefault="00814857" w:rsidP="00682CD7">
            <w:pPr>
              <w:pStyle w:val="ARtabletext"/>
            </w:pPr>
            <w:r>
              <w:t>100%</w:t>
            </w:r>
          </w:p>
        </w:tc>
        <w:tc>
          <w:tcPr>
            <w:tcW w:w="1021" w:type="dxa"/>
            <w:tcBorders>
              <w:top w:val="single" w:sz="4" w:space="0" w:color="BFBFBF"/>
              <w:left w:val="single" w:sz="4" w:space="0" w:color="FFFFFF"/>
              <w:bottom w:val="nil"/>
              <w:right w:val="single" w:sz="4" w:space="0" w:color="FFFFFF"/>
            </w:tcBorders>
            <w:hideMark/>
          </w:tcPr>
          <w:p w14:paraId="3CA10F90" w14:textId="77777777" w:rsidR="00814857" w:rsidRDefault="00814857" w:rsidP="00682CD7">
            <w:pPr>
              <w:pStyle w:val="ARtabletext"/>
            </w:pPr>
            <w:r>
              <w:t>100%</w:t>
            </w:r>
          </w:p>
        </w:tc>
        <w:tc>
          <w:tcPr>
            <w:tcW w:w="1021" w:type="dxa"/>
            <w:tcBorders>
              <w:top w:val="single" w:sz="4" w:space="0" w:color="BFBFBF"/>
              <w:left w:val="single" w:sz="4" w:space="0" w:color="FFFFFF"/>
              <w:bottom w:val="nil"/>
              <w:right w:val="single" w:sz="4" w:space="0" w:color="FFFFFF"/>
            </w:tcBorders>
            <w:hideMark/>
          </w:tcPr>
          <w:p w14:paraId="09DED0BF" w14:textId="77777777" w:rsidR="00814857" w:rsidRDefault="00814857" w:rsidP="00682CD7">
            <w:pPr>
              <w:pStyle w:val="ARtabletext"/>
            </w:pPr>
            <w:r>
              <w:t>100%</w:t>
            </w:r>
          </w:p>
        </w:tc>
        <w:tc>
          <w:tcPr>
            <w:tcW w:w="1247" w:type="dxa"/>
            <w:tcBorders>
              <w:top w:val="single" w:sz="4" w:space="0" w:color="BFBFBF"/>
              <w:left w:val="single" w:sz="4" w:space="0" w:color="FFFFFF"/>
              <w:bottom w:val="nil"/>
              <w:right w:val="single" w:sz="4" w:space="0" w:color="FFFFFF"/>
            </w:tcBorders>
            <w:hideMark/>
          </w:tcPr>
          <w:p w14:paraId="43FAE32A" w14:textId="77777777" w:rsidR="00814857" w:rsidRDefault="00814857" w:rsidP="00682CD7">
            <w:pPr>
              <w:pStyle w:val="ARtabletext"/>
            </w:pPr>
            <w:r>
              <w:t>100%</w:t>
            </w:r>
          </w:p>
        </w:tc>
      </w:tr>
      <w:tr w:rsidR="00814857" w14:paraId="5945B04D" w14:textId="77777777" w:rsidTr="009C600F">
        <w:trPr>
          <w:cantSplit/>
        </w:trPr>
        <w:tc>
          <w:tcPr>
            <w:tcW w:w="5383" w:type="dxa"/>
            <w:tcBorders>
              <w:top w:val="single" w:sz="4" w:space="0" w:color="BFBFBF"/>
              <w:left w:val="single" w:sz="4" w:space="0" w:color="FFFFFF"/>
              <w:bottom w:val="nil"/>
              <w:right w:val="single" w:sz="4" w:space="0" w:color="FFFFFF"/>
            </w:tcBorders>
            <w:hideMark/>
          </w:tcPr>
          <w:p w14:paraId="3C4A7CF5" w14:textId="77777777" w:rsidR="00814857" w:rsidRDefault="00814857" w:rsidP="00682CD7">
            <w:pPr>
              <w:pStyle w:val="ARtabletext"/>
              <w:rPr>
                <w:i/>
              </w:rPr>
            </w:pPr>
            <w:r>
              <w:t>Rate of intensive care unit central line associated blood stream infections (CLABSI) per 1,000 device days</w:t>
            </w:r>
          </w:p>
        </w:tc>
        <w:tc>
          <w:tcPr>
            <w:tcW w:w="1021" w:type="dxa"/>
            <w:tcBorders>
              <w:top w:val="single" w:sz="4" w:space="0" w:color="BFBFBF"/>
              <w:left w:val="single" w:sz="4" w:space="0" w:color="FFFFFF"/>
              <w:bottom w:val="nil"/>
              <w:right w:val="single" w:sz="4" w:space="0" w:color="FFFFFF"/>
            </w:tcBorders>
            <w:hideMark/>
          </w:tcPr>
          <w:p w14:paraId="10A892BB" w14:textId="77777777" w:rsidR="00814857" w:rsidRDefault="00814857" w:rsidP="00682CD7">
            <w:pPr>
              <w:pStyle w:val="ARtabletext"/>
            </w:pPr>
            <w:r>
              <w:t>0.7</w:t>
            </w:r>
          </w:p>
        </w:tc>
        <w:tc>
          <w:tcPr>
            <w:tcW w:w="1021" w:type="dxa"/>
            <w:tcBorders>
              <w:top w:val="single" w:sz="4" w:space="0" w:color="BFBFBF"/>
              <w:left w:val="single" w:sz="4" w:space="0" w:color="FFFFFF"/>
              <w:bottom w:val="nil"/>
              <w:right w:val="single" w:sz="4" w:space="0" w:color="FFFFFF"/>
            </w:tcBorders>
            <w:hideMark/>
          </w:tcPr>
          <w:p w14:paraId="2E11CD9A" w14:textId="77777777" w:rsidR="00814857" w:rsidRDefault="00814857" w:rsidP="00682CD7">
            <w:pPr>
              <w:pStyle w:val="ARtabletext"/>
            </w:pPr>
            <w:r>
              <w:t>1.0</w:t>
            </w:r>
          </w:p>
        </w:tc>
        <w:tc>
          <w:tcPr>
            <w:tcW w:w="1021" w:type="dxa"/>
            <w:tcBorders>
              <w:top w:val="single" w:sz="4" w:space="0" w:color="BFBFBF"/>
              <w:left w:val="single" w:sz="4" w:space="0" w:color="FFFFFF"/>
              <w:bottom w:val="nil"/>
              <w:right w:val="single" w:sz="4" w:space="0" w:color="FFFFFF"/>
            </w:tcBorders>
            <w:hideMark/>
          </w:tcPr>
          <w:p w14:paraId="7C09533A" w14:textId="77777777" w:rsidR="00814857" w:rsidRDefault="00814857" w:rsidP="00682CD7">
            <w:pPr>
              <w:pStyle w:val="ARtabletext"/>
            </w:pPr>
            <w:r>
              <w:t>0.8</w:t>
            </w:r>
          </w:p>
        </w:tc>
        <w:tc>
          <w:tcPr>
            <w:tcW w:w="1247" w:type="dxa"/>
            <w:tcBorders>
              <w:top w:val="single" w:sz="4" w:space="0" w:color="BFBFBF"/>
              <w:left w:val="single" w:sz="4" w:space="0" w:color="FFFFFF"/>
              <w:bottom w:val="nil"/>
              <w:right w:val="single" w:sz="4" w:space="0" w:color="FFFFFF"/>
            </w:tcBorders>
            <w:hideMark/>
          </w:tcPr>
          <w:p w14:paraId="0CCAC073" w14:textId="77777777" w:rsidR="00814857" w:rsidRDefault="00814857" w:rsidP="00682CD7">
            <w:pPr>
              <w:pStyle w:val="ARtabletext"/>
            </w:pPr>
            <w:r>
              <w:t>0.9</w:t>
            </w:r>
          </w:p>
        </w:tc>
      </w:tr>
      <w:tr w:rsidR="00814857" w14:paraId="727A4B89" w14:textId="77777777" w:rsidTr="009C600F">
        <w:trPr>
          <w:cantSplit/>
        </w:trPr>
        <w:tc>
          <w:tcPr>
            <w:tcW w:w="5383" w:type="dxa"/>
            <w:tcBorders>
              <w:top w:val="single" w:sz="4" w:space="0" w:color="BFBFBF"/>
              <w:left w:val="single" w:sz="4" w:space="0" w:color="FFFFFF"/>
              <w:bottom w:val="nil"/>
              <w:right w:val="single" w:sz="4" w:space="0" w:color="FFFFFF"/>
            </w:tcBorders>
            <w:hideMark/>
          </w:tcPr>
          <w:p w14:paraId="61896079" w14:textId="77777777" w:rsidR="00814857" w:rsidRDefault="00814857" w:rsidP="00682CD7">
            <w:pPr>
              <w:pStyle w:val="ARtabletext"/>
            </w:pPr>
            <w:r>
              <w:t>Hand hygiene compliance</w:t>
            </w:r>
          </w:p>
        </w:tc>
        <w:tc>
          <w:tcPr>
            <w:tcW w:w="1021" w:type="dxa"/>
            <w:tcBorders>
              <w:top w:val="single" w:sz="4" w:space="0" w:color="BFBFBF"/>
              <w:left w:val="single" w:sz="4" w:space="0" w:color="FFFFFF"/>
              <w:bottom w:val="nil"/>
              <w:right w:val="single" w:sz="4" w:space="0" w:color="FFFFFF"/>
            </w:tcBorders>
            <w:hideMark/>
          </w:tcPr>
          <w:p w14:paraId="6E46EE60" w14:textId="77777777" w:rsidR="00814857" w:rsidRDefault="00814857" w:rsidP="00682CD7">
            <w:pPr>
              <w:pStyle w:val="ARtabletext"/>
            </w:pPr>
            <w:r>
              <w:t>84.0</w:t>
            </w:r>
          </w:p>
        </w:tc>
        <w:tc>
          <w:tcPr>
            <w:tcW w:w="1021" w:type="dxa"/>
            <w:tcBorders>
              <w:top w:val="single" w:sz="4" w:space="0" w:color="BFBFBF"/>
              <w:left w:val="single" w:sz="4" w:space="0" w:color="FFFFFF"/>
              <w:bottom w:val="nil"/>
              <w:right w:val="single" w:sz="4" w:space="0" w:color="FFFFFF"/>
            </w:tcBorders>
            <w:hideMark/>
          </w:tcPr>
          <w:p w14:paraId="3233D2B6" w14:textId="77777777" w:rsidR="00814857" w:rsidRDefault="00814857" w:rsidP="00682CD7">
            <w:pPr>
              <w:pStyle w:val="ARtabletext"/>
            </w:pPr>
            <w:r>
              <w:t>85.0</w:t>
            </w:r>
          </w:p>
        </w:tc>
        <w:tc>
          <w:tcPr>
            <w:tcW w:w="1021" w:type="dxa"/>
            <w:tcBorders>
              <w:top w:val="single" w:sz="4" w:space="0" w:color="BFBFBF"/>
              <w:left w:val="single" w:sz="4" w:space="0" w:color="FFFFFF"/>
              <w:bottom w:val="nil"/>
              <w:right w:val="single" w:sz="4" w:space="0" w:color="FFFFFF"/>
            </w:tcBorders>
            <w:hideMark/>
          </w:tcPr>
          <w:p w14:paraId="09275115" w14:textId="77777777" w:rsidR="00814857" w:rsidRDefault="00814857" w:rsidP="00682CD7">
            <w:pPr>
              <w:pStyle w:val="ARtabletext"/>
            </w:pPr>
            <w:r>
              <w:t>85.0%</w:t>
            </w:r>
          </w:p>
        </w:tc>
        <w:tc>
          <w:tcPr>
            <w:tcW w:w="1247" w:type="dxa"/>
            <w:tcBorders>
              <w:top w:val="single" w:sz="4" w:space="0" w:color="BFBFBF"/>
              <w:left w:val="single" w:sz="4" w:space="0" w:color="FFFFFF"/>
              <w:bottom w:val="nil"/>
              <w:right w:val="single" w:sz="4" w:space="0" w:color="FFFFFF"/>
            </w:tcBorders>
            <w:hideMark/>
          </w:tcPr>
          <w:p w14:paraId="445E589D" w14:textId="77777777" w:rsidR="00814857" w:rsidRDefault="00814857" w:rsidP="00682CD7">
            <w:pPr>
              <w:pStyle w:val="ARtabletext"/>
            </w:pPr>
            <w:r>
              <w:t>85.0%</w:t>
            </w:r>
          </w:p>
        </w:tc>
      </w:tr>
      <w:tr w:rsidR="00814857" w14:paraId="59EE1AA0" w14:textId="77777777" w:rsidTr="009C600F">
        <w:trPr>
          <w:cantSplit/>
        </w:trPr>
        <w:tc>
          <w:tcPr>
            <w:tcW w:w="5383" w:type="dxa"/>
            <w:tcBorders>
              <w:top w:val="single" w:sz="4" w:space="0" w:color="BFBFBF"/>
              <w:left w:val="single" w:sz="4" w:space="0" w:color="FFFFFF"/>
              <w:bottom w:val="nil"/>
              <w:right w:val="single" w:sz="4" w:space="0" w:color="FFFFFF"/>
            </w:tcBorders>
            <w:hideMark/>
          </w:tcPr>
          <w:p w14:paraId="58B0B211" w14:textId="77777777" w:rsidR="00814857" w:rsidRDefault="00814857" w:rsidP="00682CD7">
            <w:pPr>
              <w:pStyle w:val="ARtabletext"/>
              <w:rPr>
                <w:i/>
              </w:rPr>
            </w:pPr>
            <w:r>
              <w:t>Patient reported hospital cleanliness</w:t>
            </w:r>
          </w:p>
        </w:tc>
        <w:tc>
          <w:tcPr>
            <w:tcW w:w="1021" w:type="dxa"/>
            <w:tcBorders>
              <w:top w:val="single" w:sz="4" w:space="0" w:color="BFBFBF"/>
              <w:left w:val="single" w:sz="4" w:space="0" w:color="FFFFFF"/>
              <w:bottom w:val="nil"/>
              <w:right w:val="single" w:sz="4" w:space="0" w:color="FFFFFF"/>
            </w:tcBorders>
            <w:hideMark/>
          </w:tcPr>
          <w:p w14:paraId="0DAC1437" w14:textId="77777777" w:rsidR="00814857" w:rsidRDefault="00814857" w:rsidP="00682CD7">
            <w:pPr>
              <w:pStyle w:val="ARtabletext"/>
            </w:pPr>
            <w:r>
              <w:t>New measure</w:t>
            </w:r>
          </w:p>
        </w:tc>
        <w:tc>
          <w:tcPr>
            <w:tcW w:w="1021" w:type="dxa"/>
            <w:tcBorders>
              <w:top w:val="single" w:sz="4" w:space="0" w:color="BFBFBF"/>
              <w:left w:val="single" w:sz="4" w:space="0" w:color="FFFFFF"/>
              <w:bottom w:val="nil"/>
              <w:right w:val="single" w:sz="4" w:space="0" w:color="FFFFFF"/>
            </w:tcBorders>
            <w:hideMark/>
          </w:tcPr>
          <w:p w14:paraId="1D9033E3" w14:textId="77777777" w:rsidR="00814857" w:rsidRDefault="00814857" w:rsidP="00682CD7">
            <w:pPr>
              <w:pStyle w:val="ARtabletext"/>
            </w:pPr>
            <w:r>
              <w:t>New measure</w:t>
            </w:r>
          </w:p>
        </w:tc>
        <w:tc>
          <w:tcPr>
            <w:tcW w:w="1021" w:type="dxa"/>
            <w:tcBorders>
              <w:top w:val="single" w:sz="4" w:space="0" w:color="BFBFBF"/>
              <w:left w:val="single" w:sz="4" w:space="0" w:color="FFFFFF"/>
              <w:bottom w:val="nil"/>
              <w:right w:val="single" w:sz="4" w:space="0" w:color="FFFFFF"/>
            </w:tcBorders>
            <w:hideMark/>
          </w:tcPr>
          <w:p w14:paraId="40233DE4" w14:textId="77777777" w:rsidR="00814857" w:rsidRDefault="00814857" w:rsidP="00682CD7">
            <w:pPr>
              <w:pStyle w:val="ARtabletext"/>
            </w:pPr>
            <w:r>
              <w:t>70.0%</w:t>
            </w:r>
          </w:p>
        </w:tc>
        <w:tc>
          <w:tcPr>
            <w:tcW w:w="1247" w:type="dxa"/>
            <w:tcBorders>
              <w:top w:val="single" w:sz="4" w:space="0" w:color="BFBFBF"/>
              <w:left w:val="single" w:sz="4" w:space="0" w:color="FFFFFF"/>
              <w:bottom w:val="nil"/>
              <w:right w:val="single" w:sz="4" w:space="0" w:color="FFFFFF"/>
            </w:tcBorders>
            <w:hideMark/>
          </w:tcPr>
          <w:p w14:paraId="230A3709" w14:textId="77777777" w:rsidR="00814857" w:rsidRDefault="00814857" w:rsidP="00682CD7">
            <w:pPr>
              <w:pStyle w:val="ARtabletext"/>
            </w:pPr>
            <w:r>
              <w:t>69.4%</w:t>
            </w:r>
          </w:p>
        </w:tc>
      </w:tr>
      <w:tr w:rsidR="00814857" w14:paraId="3D0520D2" w14:textId="77777777" w:rsidTr="009C600F">
        <w:trPr>
          <w:cantSplit/>
        </w:trPr>
        <w:tc>
          <w:tcPr>
            <w:tcW w:w="5383" w:type="dxa"/>
            <w:tcBorders>
              <w:top w:val="single" w:sz="4" w:space="0" w:color="BFBFBF"/>
              <w:left w:val="single" w:sz="4" w:space="0" w:color="FFFFFF"/>
              <w:bottom w:val="single" w:sz="4" w:space="0" w:color="FFFFFF"/>
              <w:right w:val="single" w:sz="4" w:space="0" w:color="FFFFFF"/>
            </w:tcBorders>
            <w:hideMark/>
          </w:tcPr>
          <w:p w14:paraId="1E805B79" w14:textId="77777777" w:rsidR="00814857" w:rsidRDefault="00814857" w:rsidP="00682CD7">
            <w:pPr>
              <w:pStyle w:val="ARtabletext"/>
              <w:rPr>
                <w:i/>
              </w:rPr>
            </w:pPr>
            <w:r>
              <w:t>Perinatal and child mortality reports received, reviewed and classified</w:t>
            </w:r>
          </w:p>
        </w:tc>
        <w:tc>
          <w:tcPr>
            <w:tcW w:w="1021" w:type="dxa"/>
            <w:tcBorders>
              <w:top w:val="single" w:sz="4" w:space="0" w:color="BFBFBF"/>
              <w:left w:val="single" w:sz="4" w:space="0" w:color="FFFFFF"/>
              <w:bottom w:val="single" w:sz="4" w:space="0" w:color="FFFFFF"/>
              <w:right w:val="single" w:sz="4" w:space="0" w:color="FFFFFF"/>
            </w:tcBorders>
            <w:hideMark/>
          </w:tcPr>
          <w:p w14:paraId="3D41E149" w14:textId="77777777" w:rsidR="00814857" w:rsidRDefault="00814857" w:rsidP="00682CD7">
            <w:pPr>
              <w:pStyle w:val="ARtabletext"/>
              <w:rPr>
                <w:i/>
              </w:rPr>
            </w:pPr>
            <w:r>
              <w:t>New measure</w:t>
            </w:r>
          </w:p>
        </w:tc>
        <w:tc>
          <w:tcPr>
            <w:tcW w:w="1021" w:type="dxa"/>
            <w:tcBorders>
              <w:top w:val="single" w:sz="4" w:space="0" w:color="BFBFBF"/>
              <w:left w:val="single" w:sz="4" w:space="0" w:color="FFFFFF"/>
              <w:bottom w:val="single" w:sz="4" w:space="0" w:color="FFFFFF"/>
              <w:right w:val="single" w:sz="4" w:space="0" w:color="FFFFFF"/>
            </w:tcBorders>
            <w:hideMark/>
          </w:tcPr>
          <w:p w14:paraId="236C8D6E" w14:textId="77777777" w:rsidR="00814857" w:rsidRDefault="00814857" w:rsidP="00682CD7">
            <w:pPr>
              <w:pStyle w:val="ARtabletext"/>
              <w:rPr>
                <w:i/>
              </w:rPr>
            </w:pPr>
            <w:r>
              <w:t>New measure</w:t>
            </w:r>
          </w:p>
        </w:tc>
        <w:tc>
          <w:tcPr>
            <w:tcW w:w="1021" w:type="dxa"/>
            <w:tcBorders>
              <w:top w:val="single" w:sz="4" w:space="0" w:color="BFBFBF"/>
              <w:left w:val="single" w:sz="4" w:space="0" w:color="FFFFFF"/>
              <w:bottom w:val="single" w:sz="4" w:space="0" w:color="FFFFFF"/>
              <w:right w:val="single" w:sz="4" w:space="0" w:color="FFFFFF"/>
            </w:tcBorders>
            <w:hideMark/>
          </w:tcPr>
          <w:p w14:paraId="167A7B9F" w14:textId="77777777" w:rsidR="00814857" w:rsidRDefault="00814857" w:rsidP="00682CD7">
            <w:pPr>
              <w:pStyle w:val="ARtabletext"/>
              <w:rPr>
                <w:i/>
              </w:rPr>
            </w:pPr>
            <w:r>
              <w:t>100%</w:t>
            </w:r>
          </w:p>
        </w:tc>
        <w:tc>
          <w:tcPr>
            <w:tcW w:w="1247" w:type="dxa"/>
            <w:tcBorders>
              <w:top w:val="single" w:sz="4" w:space="0" w:color="BFBFBF"/>
              <w:left w:val="single" w:sz="4" w:space="0" w:color="FFFFFF"/>
              <w:bottom w:val="single" w:sz="4" w:space="0" w:color="FFFFFF"/>
              <w:right w:val="single" w:sz="4" w:space="0" w:color="FFFFFF"/>
            </w:tcBorders>
            <w:hideMark/>
          </w:tcPr>
          <w:p w14:paraId="73E54140" w14:textId="77777777" w:rsidR="00814857" w:rsidRDefault="00814857" w:rsidP="00682CD7">
            <w:pPr>
              <w:pStyle w:val="ARtabletext"/>
            </w:pPr>
            <w:r>
              <w:t>100%</w:t>
            </w:r>
          </w:p>
        </w:tc>
      </w:tr>
      <w:tr w:rsidR="00814857" w14:paraId="5D610216" w14:textId="77777777" w:rsidTr="009C600F">
        <w:trPr>
          <w:cantSplit/>
        </w:trPr>
        <w:tc>
          <w:tcPr>
            <w:tcW w:w="5383" w:type="dxa"/>
            <w:tcBorders>
              <w:top w:val="single" w:sz="4" w:space="0" w:color="BFBFBF"/>
              <w:left w:val="single" w:sz="4" w:space="0" w:color="FFFFFF"/>
              <w:bottom w:val="single" w:sz="4" w:space="0" w:color="FFFFFF"/>
              <w:right w:val="single" w:sz="4" w:space="0" w:color="FFFFFF"/>
            </w:tcBorders>
            <w:hideMark/>
          </w:tcPr>
          <w:p w14:paraId="08C8F9C6" w14:textId="77777777" w:rsidR="00814857" w:rsidRDefault="00814857" w:rsidP="00682CD7">
            <w:pPr>
              <w:pStyle w:val="ARtabletext"/>
              <w:rPr>
                <w:i/>
              </w:rPr>
            </w:pPr>
            <w:r>
              <w:t>Perinatal mortality rate per 1,000 of babies of Aboriginal mothers using rolling three-year average</w:t>
            </w:r>
          </w:p>
        </w:tc>
        <w:tc>
          <w:tcPr>
            <w:tcW w:w="1021" w:type="dxa"/>
            <w:tcBorders>
              <w:top w:val="single" w:sz="4" w:space="0" w:color="BFBFBF"/>
              <w:left w:val="single" w:sz="4" w:space="0" w:color="FFFFFF"/>
              <w:bottom w:val="single" w:sz="4" w:space="0" w:color="FFFFFF"/>
              <w:right w:val="single" w:sz="4" w:space="0" w:color="FFFFFF"/>
            </w:tcBorders>
            <w:hideMark/>
          </w:tcPr>
          <w:p w14:paraId="2122E079" w14:textId="77777777" w:rsidR="00814857" w:rsidRDefault="00814857" w:rsidP="00682CD7">
            <w:pPr>
              <w:pStyle w:val="ARtabletext"/>
              <w:rPr>
                <w:i/>
              </w:rPr>
            </w:pPr>
            <w:r>
              <w:t>New measure</w:t>
            </w:r>
          </w:p>
        </w:tc>
        <w:tc>
          <w:tcPr>
            <w:tcW w:w="1021" w:type="dxa"/>
            <w:tcBorders>
              <w:top w:val="single" w:sz="4" w:space="0" w:color="BFBFBF"/>
              <w:left w:val="single" w:sz="4" w:space="0" w:color="FFFFFF"/>
              <w:bottom w:val="single" w:sz="4" w:space="0" w:color="FFFFFF"/>
              <w:right w:val="single" w:sz="4" w:space="0" w:color="FFFFFF"/>
            </w:tcBorders>
            <w:hideMark/>
          </w:tcPr>
          <w:p w14:paraId="520A36A1" w14:textId="77777777" w:rsidR="00814857" w:rsidRDefault="00814857" w:rsidP="00682CD7">
            <w:pPr>
              <w:pStyle w:val="ARtabletext"/>
              <w:rPr>
                <w:i/>
              </w:rPr>
            </w:pPr>
            <w:r>
              <w:t>New measure</w:t>
            </w:r>
          </w:p>
        </w:tc>
        <w:tc>
          <w:tcPr>
            <w:tcW w:w="1021" w:type="dxa"/>
            <w:tcBorders>
              <w:top w:val="single" w:sz="4" w:space="0" w:color="BFBFBF"/>
              <w:left w:val="single" w:sz="4" w:space="0" w:color="FFFFFF"/>
              <w:bottom w:val="single" w:sz="4" w:space="0" w:color="FFFFFF"/>
              <w:right w:val="single" w:sz="4" w:space="0" w:color="FFFFFF"/>
            </w:tcBorders>
            <w:hideMark/>
          </w:tcPr>
          <w:p w14:paraId="6CDEB2ED" w14:textId="77777777" w:rsidR="00814857" w:rsidRDefault="00814857" w:rsidP="00682CD7">
            <w:pPr>
              <w:pStyle w:val="ARtabletext"/>
              <w:rPr>
                <w:i/>
              </w:rPr>
            </w:pPr>
            <w:r>
              <w:t>9.0</w:t>
            </w:r>
          </w:p>
        </w:tc>
        <w:tc>
          <w:tcPr>
            <w:tcW w:w="1247" w:type="dxa"/>
            <w:tcBorders>
              <w:top w:val="single" w:sz="4" w:space="0" w:color="BFBFBF"/>
              <w:left w:val="single" w:sz="4" w:space="0" w:color="FFFFFF"/>
              <w:bottom w:val="single" w:sz="4" w:space="0" w:color="FFFFFF"/>
              <w:right w:val="single" w:sz="4" w:space="0" w:color="FFFFFF"/>
            </w:tcBorders>
            <w:hideMark/>
          </w:tcPr>
          <w:p w14:paraId="36831247" w14:textId="77777777" w:rsidR="00814857" w:rsidRDefault="00814857" w:rsidP="00682CD7">
            <w:pPr>
              <w:pStyle w:val="ARtabletext"/>
            </w:pPr>
            <w:r>
              <w:t>10.0</w:t>
            </w:r>
          </w:p>
        </w:tc>
      </w:tr>
      <w:tr w:rsidR="00814857" w14:paraId="1EF72BEB" w14:textId="77777777" w:rsidTr="009C600F">
        <w:trPr>
          <w:cantSplit/>
        </w:trPr>
        <w:tc>
          <w:tcPr>
            <w:tcW w:w="5383" w:type="dxa"/>
            <w:tcBorders>
              <w:top w:val="single" w:sz="4" w:space="0" w:color="BFBFBF"/>
              <w:left w:val="single" w:sz="4" w:space="0" w:color="FFFFFF"/>
              <w:bottom w:val="single" w:sz="4" w:space="0" w:color="FFFFFF"/>
              <w:right w:val="single" w:sz="4" w:space="0" w:color="FFFFFF"/>
            </w:tcBorders>
            <w:hideMark/>
          </w:tcPr>
          <w:p w14:paraId="6D99ED17" w14:textId="77777777" w:rsidR="00814857" w:rsidRDefault="00814857" w:rsidP="00682CD7">
            <w:pPr>
              <w:pStyle w:val="ARtabletext"/>
              <w:rPr>
                <w:i/>
              </w:rPr>
            </w:pPr>
            <w:r>
              <w:t>Smoking cessation of Aboriginal mothers</w:t>
            </w:r>
          </w:p>
        </w:tc>
        <w:tc>
          <w:tcPr>
            <w:tcW w:w="1021" w:type="dxa"/>
            <w:tcBorders>
              <w:top w:val="single" w:sz="4" w:space="0" w:color="BFBFBF"/>
              <w:left w:val="single" w:sz="4" w:space="0" w:color="FFFFFF"/>
              <w:bottom w:val="single" w:sz="4" w:space="0" w:color="FFFFFF"/>
              <w:right w:val="single" w:sz="4" w:space="0" w:color="FFFFFF"/>
            </w:tcBorders>
            <w:hideMark/>
          </w:tcPr>
          <w:p w14:paraId="45298929" w14:textId="77777777" w:rsidR="00814857" w:rsidRDefault="00814857" w:rsidP="00682CD7">
            <w:pPr>
              <w:pStyle w:val="ARtabletext"/>
              <w:rPr>
                <w:i/>
              </w:rPr>
            </w:pPr>
            <w:r>
              <w:t>New measure</w:t>
            </w:r>
          </w:p>
        </w:tc>
        <w:tc>
          <w:tcPr>
            <w:tcW w:w="1021" w:type="dxa"/>
            <w:tcBorders>
              <w:top w:val="single" w:sz="4" w:space="0" w:color="BFBFBF"/>
              <w:left w:val="single" w:sz="4" w:space="0" w:color="FFFFFF"/>
              <w:bottom w:val="single" w:sz="4" w:space="0" w:color="FFFFFF"/>
              <w:right w:val="single" w:sz="4" w:space="0" w:color="FFFFFF"/>
            </w:tcBorders>
            <w:hideMark/>
          </w:tcPr>
          <w:p w14:paraId="657FC2D5" w14:textId="77777777" w:rsidR="00814857" w:rsidRDefault="00814857" w:rsidP="00682CD7">
            <w:pPr>
              <w:pStyle w:val="ARtabletext"/>
              <w:rPr>
                <w:i/>
              </w:rPr>
            </w:pPr>
            <w:r>
              <w:t>25.0%</w:t>
            </w:r>
          </w:p>
        </w:tc>
        <w:tc>
          <w:tcPr>
            <w:tcW w:w="1021" w:type="dxa"/>
            <w:tcBorders>
              <w:top w:val="single" w:sz="4" w:space="0" w:color="BFBFBF"/>
              <w:left w:val="single" w:sz="4" w:space="0" w:color="FFFFFF"/>
              <w:bottom w:val="single" w:sz="4" w:space="0" w:color="FFFFFF"/>
              <w:right w:val="single" w:sz="4" w:space="0" w:color="FFFFFF"/>
            </w:tcBorders>
            <w:hideMark/>
          </w:tcPr>
          <w:p w14:paraId="71625685" w14:textId="77777777" w:rsidR="00814857" w:rsidRDefault="00814857" w:rsidP="00682CD7">
            <w:pPr>
              <w:pStyle w:val="ARtabletext"/>
              <w:rPr>
                <w:i/>
              </w:rPr>
            </w:pPr>
            <w:r>
              <w:t>23.7%</w:t>
            </w:r>
          </w:p>
        </w:tc>
        <w:tc>
          <w:tcPr>
            <w:tcW w:w="1247" w:type="dxa"/>
            <w:tcBorders>
              <w:top w:val="single" w:sz="4" w:space="0" w:color="BFBFBF"/>
              <w:left w:val="single" w:sz="4" w:space="0" w:color="FFFFFF"/>
              <w:bottom w:val="single" w:sz="4" w:space="0" w:color="FFFFFF"/>
              <w:right w:val="single" w:sz="4" w:space="0" w:color="FFFFFF"/>
            </w:tcBorders>
            <w:hideMark/>
          </w:tcPr>
          <w:p w14:paraId="649E10CB" w14:textId="77777777" w:rsidR="00814857" w:rsidRDefault="00814857" w:rsidP="00682CD7">
            <w:pPr>
              <w:pStyle w:val="ARtabletext"/>
            </w:pPr>
            <w:r>
              <w:t>23.5%</w:t>
            </w:r>
          </w:p>
        </w:tc>
      </w:tr>
      <w:tr w:rsidR="00814857" w14:paraId="77A58110" w14:textId="77777777" w:rsidTr="009C600F">
        <w:trPr>
          <w:cantSplit/>
        </w:trPr>
        <w:tc>
          <w:tcPr>
            <w:tcW w:w="1021" w:type="dxa"/>
            <w:gridSpan w:val="5"/>
            <w:tcBorders>
              <w:top w:val="single" w:sz="4" w:space="0" w:color="FFFFFF"/>
              <w:left w:val="single" w:sz="4" w:space="0" w:color="FFFFFF"/>
              <w:bottom w:val="single" w:sz="4" w:space="0" w:color="auto"/>
              <w:right w:val="single" w:sz="4" w:space="0" w:color="FFFFFF"/>
            </w:tcBorders>
            <w:hideMark/>
          </w:tcPr>
          <w:p w14:paraId="0B5C86A1" w14:textId="77777777" w:rsidR="00814857" w:rsidRDefault="00814857" w:rsidP="00682CD7">
            <w:pPr>
              <w:pStyle w:val="ARtablefootnote"/>
            </w:pPr>
            <w:r>
              <w:rPr>
                <w:rFonts w:eastAsia="Times"/>
                <w:lang w:eastAsia="en-AU"/>
              </w:rPr>
              <w:t>Source: Internal departmental data</w:t>
            </w:r>
          </w:p>
        </w:tc>
      </w:tr>
    </w:tbl>
    <w:p w14:paraId="235533F5" w14:textId="314B6971" w:rsidR="00814857" w:rsidRPr="00DD74C3" w:rsidRDefault="00814857" w:rsidP="008F035E">
      <w:pPr>
        <w:pStyle w:val="ARtablefootnote"/>
        <w:rPr>
          <w:lang w:eastAsia="en-AU"/>
        </w:rPr>
      </w:pPr>
      <w:r>
        <w:t>The department is committed to measuring outcomes for all indicators set out in the Victorian budget papers. Candidate indicators and</w:t>
      </w:r>
      <w:r w:rsidR="009C600F">
        <w:t> </w:t>
      </w:r>
      <w:r>
        <w:t>measures have been identified and provisionally mapped to this outcome, however, further work is needed to test and validate measures to ensure departmental initiatives and policies are reflected by the performance indicators. As the outcomes approaches in the department mature, reporting will be provided against outcome measures and will inform the reporting of performance indicators.</w:t>
      </w:r>
    </w:p>
    <w:p w14:paraId="16B6FC46" w14:textId="77777777" w:rsidR="00814857" w:rsidRPr="00CA03B2" w:rsidRDefault="00814857" w:rsidP="00350E76">
      <w:pPr>
        <w:pStyle w:val="ARtablefootnote"/>
      </w:pPr>
      <w:r>
        <w:br w:type="page"/>
      </w:r>
    </w:p>
    <w:p w14:paraId="04F8BABD" w14:textId="77777777" w:rsidR="00814857" w:rsidRPr="004B3CEB" w:rsidRDefault="00814857" w:rsidP="00350E76">
      <w:pPr>
        <w:pStyle w:val="Heading3"/>
      </w:pPr>
      <w:r w:rsidRPr="004B3CEB">
        <w:lastRenderedPageBreak/>
        <w:t>Objective 2: Victorians are safe and secure</w:t>
      </w:r>
    </w:p>
    <w:p w14:paraId="552085B4" w14:textId="77777777" w:rsidR="00814857" w:rsidRPr="004B3CEB" w:rsidRDefault="00814857" w:rsidP="00350E76">
      <w:pPr>
        <w:pStyle w:val="ARintro"/>
      </w:pPr>
      <w:r w:rsidRPr="004B3CEB">
        <w:t>The department, its agencies and administrative offices are collaborating to change attitudes and behaviours that perpetuate violence and abuse. We want to stop cycles of family violence, child abuse and neglect</w:t>
      </w:r>
      <w:r>
        <w:t>,</w:t>
      </w:r>
      <w:r w:rsidRPr="004B3CEB">
        <w:t xml:space="preserve"> and help children and adult victim survivors recover</w:t>
      </w:r>
      <w:r>
        <w:t>.</w:t>
      </w:r>
    </w:p>
    <w:p w14:paraId="5BB62833" w14:textId="77777777" w:rsidR="00814857" w:rsidRPr="004B3CEB" w:rsidRDefault="00814857" w:rsidP="00350E76">
      <w:pPr>
        <w:pStyle w:val="ARintro"/>
      </w:pPr>
      <w:r w:rsidRPr="004B3CEB">
        <w:t>Like freedom from abuse, access to suitable and stable housing is an essential determinant of good health and wellbeing. It is a foundation from which to attend to other risk factors, such as unemployment or substance abuse.</w:t>
      </w:r>
    </w:p>
    <w:p w14:paraId="76311640" w14:textId="77777777" w:rsidR="00814857" w:rsidRPr="004B3CEB" w:rsidRDefault="00814857" w:rsidP="00350E76">
      <w:pPr>
        <w:pStyle w:val="ARintro"/>
      </w:pPr>
      <w:r w:rsidRPr="004B3CEB">
        <w:t xml:space="preserve">Earlier support is key to vulnerable children having the same health, early development and educational opportunities and status as the broader child population. </w:t>
      </w:r>
      <w:r>
        <w:t>T</w:t>
      </w:r>
      <w:r w:rsidRPr="004B3CEB">
        <w:t>he department is leading work to embed this shared responsibility and to break intergenerational cycles of disadvantage.</w:t>
      </w:r>
    </w:p>
    <w:p w14:paraId="542F7A67" w14:textId="77777777" w:rsidR="00814857" w:rsidRPr="004B3CEB" w:rsidRDefault="00814857" w:rsidP="00350E76">
      <w:pPr>
        <w:pStyle w:val="ARintro"/>
      </w:pPr>
      <w:r w:rsidRPr="004B3CEB">
        <w:t>As we implement the recommendations of the Royal Commission into Family Violence, victim survivors and specialist family violence services have provided deep insights into the dynamics of family violence – and how to strengthen prevention and service responses. We are placing a much stronger emphasis on system</w:t>
      </w:r>
      <w:r>
        <w:t>-</w:t>
      </w:r>
      <w:r w:rsidRPr="004B3CEB">
        <w:t>wide approaches to assessing and managing family violence risk, and on making it easier to access help.</w:t>
      </w:r>
    </w:p>
    <w:p w14:paraId="3C77A3A6" w14:textId="77777777" w:rsidR="00814857" w:rsidRDefault="00814857" w:rsidP="00350E76">
      <w:pPr>
        <w:pStyle w:val="ARintro"/>
      </w:pPr>
      <w:r w:rsidRPr="004B3CEB">
        <w:t>Our approaches to family violence, child protection, homelessness and social housing recognise that cultural identity and community networks offer protection, connection and healing.</w:t>
      </w:r>
    </w:p>
    <w:p w14:paraId="54CDF62A" w14:textId="77777777" w:rsidR="00814857" w:rsidRDefault="00814857" w:rsidP="00350E76">
      <w:pPr>
        <w:pStyle w:val="ARbody"/>
      </w:pPr>
    </w:p>
    <w:p w14:paraId="7C698172" w14:textId="77777777" w:rsidR="00814857" w:rsidRPr="008E1C8B" w:rsidRDefault="00814857" w:rsidP="00350E76">
      <w:pPr>
        <w:pStyle w:val="ARbody"/>
        <w:sectPr w:rsidR="00814857" w:rsidRPr="008E1C8B" w:rsidSect="00E34BA4">
          <w:endnotePr>
            <w:numFmt w:val="decimal"/>
          </w:endnotePr>
          <w:pgSz w:w="11900" w:h="16840" w:code="9"/>
          <w:pgMar w:top="1985" w:right="851" w:bottom="851" w:left="1418" w:header="510" w:footer="340" w:gutter="0"/>
          <w:cols w:space="454"/>
        </w:sectPr>
      </w:pPr>
    </w:p>
    <w:p w14:paraId="7697EA99" w14:textId="0F953192" w:rsidR="00814857" w:rsidRDefault="00814857" w:rsidP="00350E76">
      <w:pPr>
        <w:pStyle w:val="Heading4"/>
      </w:pPr>
      <w:r>
        <w:t xml:space="preserve">Outcome 2.1: </w:t>
      </w:r>
      <w:r w:rsidRPr="00E920DC">
        <w:t>Victorians live free</w:t>
      </w:r>
      <w:r w:rsidR="009C600F">
        <w:t> </w:t>
      </w:r>
      <w:r w:rsidRPr="00E920DC">
        <w:t>from</w:t>
      </w:r>
      <w:r w:rsidR="009C600F">
        <w:t> </w:t>
      </w:r>
      <w:r w:rsidRPr="00E920DC">
        <w:t>abuse and violence</w:t>
      </w:r>
    </w:p>
    <w:p w14:paraId="3D0FD6E9" w14:textId="0C8544C4" w:rsidR="00814857" w:rsidRDefault="00814857" w:rsidP="00350E76">
      <w:pPr>
        <w:pStyle w:val="ARbody"/>
      </w:pPr>
      <w:r w:rsidRPr="00421A56">
        <w:t xml:space="preserve">The </w:t>
      </w:r>
      <w:r>
        <w:t>department is continuing to work with the child</w:t>
      </w:r>
      <w:r w:rsidR="009C600F">
        <w:t> </w:t>
      </w:r>
      <w:r>
        <w:t>and family sector and Aboriginal community-controlled sector to build family capabilities to prevent child abuse and neglect, support children and young people to recover from trauma in their childhood, and break intergenerational cycles of statutory intervention into families’ lives.</w:t>
      </w:r>
    </w:p>
    <w:p w14:paraId="23B46EB4" w14:textId="5AA9E8CB" w:rsidR="00814857" w:rsidRDefault="00814857" w:rsidP="00350E76">
      <w:pPr>
        <w:pStyle w:val="ARbody"/>
      </w:pPr>
      <w:r>
        <w:t>Strong recognition of cultural connection as a protective factor, the importance of cultural safety in</w:t>
      </w:r>
      <w:r w:rsidR="009C600F">
        <w:t> </w:t>
      </w:r>
      <w:r>
        <w:t>all of our services, and Aboriginal self-determination underpins our efforts to advance this</w:t>
      </w:r>
      <w:r w:rsidR="009C600F">
        <w:t> </w:t>
      </w:r>
      <w:r>
        <w:t>outcome.</w:t>
      </w:r>
    </w:p>
    <w:p w14:paraId="5C07C2DC" w14:textId="77777777" w:rsidR="00814857" w:rsidRDefault="00814857" w:rsidP="00350E76">
      <w:pPr>
        <w:pStyle w:val="ARbody"/>
      </w:pPr>
      <w:r>
        <w:t>For children who cannot live safely at home, our priority continues to be supporting them to have a consistent relationship with a caring adult in their life, and better supporting them to build the capabilities they need to lead a good life.</w:t>
      </w:r>
    </w:p>
    <w:p w14:paraId="30CB5919" w14:textId="7BAD8F32" w:rsidR="00814857" w:rsidRDefault="00814857" w:rsidP="00350E76">
      <w:pPr>
        <w:pStyle w:val="ARbody"/>
      </w:pPr>
      <w:r w:rsidRPr="00901A99">
        <w:t xml:space="preserve">Legal guardianship by the Secretary of </w:t>
      </w:r>
      <w:r>
        <w:t>the d</w:t>
      </w:r>
      <w:r w:rsidRPr="00AC6D72">
        <w:t xml:space="preserve">epartment </w:t>
      </w:r>
      <w:r w:rsidRPr="00901A99">
        <w:t xml:space="preserve">or an authorised head of an Aboriginal </w:t>
      </w:r>
      <w:r>
        <w:t>o</w:t>
      </w:r>
      <w:r w:rsidRPr="00901A99">
        <w:t>rganisation ends when their order expires or when a child turns 18</w:t>
      </w:r>
      <w:r>
        <w:t>. In recognition that this is a critical stage of a young person’s development, and their vulnerability to social and economic exclusion, a</w:t>
      </w:r>
      <w:r w:rsidR="009C600F">
        <w:t> </w:t>
      </w:r>
      <w:r>
        <w:t>key priority over the past 12 months has been to</w:t>
      </w:r>
      <w:r w:rsidR="009C600F">
        <w:t> </w:t>
      </w:r>
      <w:r>
        <w:t>enhance supports for young people as they transition to adulthood and independent living.</w:t>
      </w:r>
    </w:p>
    <w:p w14:paraId="0425F27F" w14:textId="77777777" w:rsidR="00814857" w:rsidRDefault="00814857" w:rsidP="00350E76">
      <w:pPr>
        <w:pStyle w:val="Heading5"/>
      </w:pPr>
      <w:r>
        <w:t>Progress against outcomes</w:t>
      </w:r>
    </w:p>
    <w:p w14:paraId="3ED4A085" w14:textId="77777777" w:rsidR="00814857" w:rsidRDefault="00814857" w:rsidP="00350E76">
      <w:pPr>
        <w:pStyle w:val="Heading6"/>
      </w:pPr>
      <w:r>
        <w:t>Greater support for young people</w:t>
      </w:r>
    </w:p>
    <w:p w14:paraId="7E1ED27F" w14:textId="6A05014F" w:rsidR="00814857" w:rsidRDefault="00814857" w:rsidP="00350E76">
      <w:pPr>
        <w:pStyle w:val="ARbody"/>
      </w:pPr>
      <w:r>
        <w:t>Young people who have been under state guardianship have told us they value having a voice</w:t>
      </w:r>
      <w:r w:rsidR="009C600F">
        <w:t> </w:t>
      </w:r>
      <w:r>
        <w:t>in transition planning, and identifying their goals for independence. They also highly value the opportunity to build a relationship with a practitioner who will be there for them during this transition – before they move out of home.</w:t>
      </w:r>
    </w:p>
    <w:p w14:paraId="7F7E5D93" w14:textId="4EAA38DC" w:rsidR="00814857" w:rsidRDefault="00814857" w:rsidP="00350E76">
      <w:pPr>
        <w:pStyle w:val="ARbody"/>
      </w:pPr>
      <w:r>
        <w:t>To this end, the department, child and family services and Aboriginal community-controlled organisations are working together to better link up</w:t>
      </w:r>
      <w:r w:rsidR="009C600F">
        <w:t> </w:t>
      </w:r>
      <w:r>
        <w:t>planning and the range of supports for young people under state guardianship as they turn 18.</w:t>
      </w:r>
    </w:p>
    <w:p w14:paraId="2DD8D1F4" w14:textId="77843C48" w:rsidR="00814857" w:rsidRDefault="00814857" w:rsidP="00350E76">
      <w:pPr>
        <w:pStyle w:val="ARbody"/>
      </w:pPr>
      <w:r>
        <w:t>In 2018–19, more than 150 young people leaving out-of-home care received individualised support to</w:t>
      </w:r>
      <w:r w:rsidR="009C600F">
        <w:t> </w:t>
      </w:r>
      <w:r>
        <w:t>assist their transition to independent living.</w:t>
      </w:r>
    </w:p>
    <w:p w14:paraId="71FB59BA" w14:textId="299873B3" w:rsidR="00814857" w:rsidRDefault="00814857" w:rsidP="00350E76">
      <w:pPr>
        <w:pStyle w:val="ARbody"/>
      </w:pPr>
      <w:r>
        <w:t>Additionally, Victorian young people transitioning from state care are now supported until 21</w:t>
      </w:r>
      <w:r w:rsidR="0082268D">
        <w:t>-</w:t>
      </w:r>
      <w:r>
        <w:t>years</w:t>
      </w:r>
      <w:r w:rsidR="0082268D">
        <w:t>-</w:t>
      </w:r>
      <w:r>
        <w:t>of</w:t>
      </w:r>
      <w:r w:rsidR="0082268D">
        <w:t>-</w:t>
      </w:r>
      <w:r>
        <w:t>age, improving their housing, employment and education opportunities and outcomes.</w:t>
      </w:r>
    </w:p>
    <w:p w14:paraId="52AE177A" w14:textId="67A34386" w:rsidR="00814857" w:rsidRDefault="00814857" w:rsidP="00350E76">
      <w:pPr>
        <w:pStyle w:val="ARbody"/>
      </w:pPr>
      <w:r>
        <w:t>Through the Home Stretch program, up to 250 young people who would have previously been required to leave care at 18 years will now be supported to remain in their home-based care placements until they turn 21 or are provided an accommodation allowance. In both instances, they</w:t>
      </w:r>
      <w:r w:rsidR="009C600F">
        <w:t> </w:t>
      </w:r>
      <w:r>
        <w:t>are supported to enhance their education or</w:t>
      </w:r>
      <w:r w:rsidR="009C600F">
        <w:t> </w:t>
      </w:r>
      <w:r>
        <w:t>employment and planning for independence.</w:t>
      </w:r>
    </w:p>
    <w:p w14:paraId="7BC7742A" w14:textId="77777777" w:rsidR="00814857" w:rsidRPr="00EC2566" w:rsidRDefault="00814857" w:rsidP="00350E76">
      <w:pPr>
        <w:pStyle w:val="Heading5"/>
      </w:pPr>
      <w:r>
        <w:lastRenderedPageBreak/>
        <w:t xml:space="preserve">Key result 10: </w:t>
      </w:r>
      <w:r w:rsidRPr="00EC2566">
        <w:t>Reduce the abuse and neglect</w:t>
      </w:r>
      <w:r>
        <w:t xml:space="preserve"> </w:t>
      </w:r>
      <w:r w:rsidRPr="00EC2566">
        <w:t>of children and young people</w:t>
      </w:r>
    </w:p>
    <w:p w14:paraId="4E9E08DD" w14:textId="46CEC29A" w:rsidR="00345066" w:rsidRDefault="00814857" w:rsidP="00350E76">
      <w:pPr>
        <w:pStyle w:val="Heading6"/>
      </w:pPr>
      <w:r w:rsidRPr="000434E0">
        <w:rPr>
          <w:lang w:val="en-AU"/>
        </w:rPr>
        <w:t>Improving access to early help</w:t>
      </w:r>
      <w:r>
        <w:rPr>
          <w:lang w:val="en-AU"/>
        </w:rPr>
        <w:t xml:space="preserve"> through </w:t>
      </w:r>
      <w:r w:rsidR="001A390D">
        <w:rPr>
          <w:lang w:val="en-US"/>
        </w:rPr>
        <w:t xml:space="preserve">statewide </w:t>
      </w:r>
      <w:r>
        <w:t>roll-out of supported playgroups</w:t>
      </w:r>
    </w:p>
    <w:p w14:paraId="4A727456" w14:textId="2A718294" w:rsidR="00814857" w:rsidRDefault="00814857" w:rsidP="00350E76">
      <w:pPr>
        <w:pStyle w:val="ARbody"/>
        <w:rPr>
          <w:lang w:eastAsia="en-AU"/>
        </w:rPr>
      </w:pPr>
      <w:r>
        <w:rPr>
          <w:lang w:eastAsia="en-AU"/>
        </w:rPr>
        <w:t>Supported playgroups provide extra support to families with children from birth to school age. Up</w:t>
      </w:r>
      <w:r w:rsidR="009C600F">
        <w:rPr>
          <w:lang w:eastAsia="en-AU"/>
        </w:rPr>
        <w:t> </w:t>
      </w:r>
      <w:r>
        <w:rPr>
          <w:lang w:eastAsia="en-AU"/>
        </w:rPr>
        <w:t>to</w:t>
      </w:r>
      <w:r w:rsidR="009C600F">
        <w:rPr>
          <w:lang w:eastAsia="en-AU"/>
        </w:rPr>
        <w:t> </w:t>
      </w:r>
      <w:r>
        <w:rPr>
          <w:lang w:eastAsia="en-AU"/>
        </w:rPr>
        <w:t>10,000 families benefit from a supported playgroup or in-home coaching each year.</w:t>
      </w:r>
    </w:p>
    <w:p w14:paraId="23E5DCD0" w14:textId="475430BD" w:rsidR="00814857" w:rsidRDefault="00814857" w:rsidP="00350E76">
      <w:pPr>
        <w:pStyle w:val="ARbody"/>
        <w:rPr>
          <w:lang w:eastAsia="en-AU"/>
        </w:rPr>
      </w:pPr>
      <w:r>
        <w:rPr>
          <w:lang w:eastAsia="en-AU"/>
        </w:rPr>
        <w:t>Supported playgroups are led by qualified and trained facilitators using an evidence-based curriculum (smalltalk) delivered at a playgroup or</w:t>
      </w:r>
      <w:r w:rsidR="009C600F">
        <w:rPr>
          <w:lang w:eastAsia="en-AU"/>
        </w:rPr>
        <w:t> </w:t>
      </w:r>
      <w:r>
        <w:rPr>
          <w:lang w:eastAsia="en-AU"/>
        </w:rPr>
        <w:t>within the home. Supported playgroups improve the skills and confidence of parents to provide a supportive and stimulating home environment for their children. Smalltalk was developed though a randomised controlled trial, and it has been shown to improve the quality of parent–child interactions and children’s wellbeing and development.</w:t>
      </w:r>
    </w:p>
    <w:p w14:paraId="4454DBAC" w14:textId="77777777" w:rsidR="00814857" w:rsidRDefault="00814857" w:rsidP="00350E76">
      <w:pPr>
        <w:pStyle w:val="ARbody"/>
        <w:rPr>
          <w:lang w:eastAsia="en-AU"/>
        </w:rPr>
      </w:pPr>
      <w:r>
        <w:rPr>
          <w:lang w:eastAsia="en-AU"/>
        </w:rPr>
        <w:t>Emerging evidence shows that the benefits continue well into primary school.</w:t>
      </w:r>
    </w:p>
    <w:p w14:paraId="067C3399" w14:textId="0BFFE0EE" w:rsidR="00814857" w:rsidRDefault="00814857" w:rsidP="008F035E">
      <w:pPr>
        <w:pStyle w:val="Heading6"/>
      </w:pPr>
      <w:r>
        <w:t>Improving the allocation rate of child protection</w:t>
      </w:r>
      <w:r w:rsidR="009C600F">
        <w:rPr>
          <w:lang w:val="en-US"/>
        </w:rPr>
        <w:t> </w:t>
      </w:r>
      <w:r>
        <w:t>clients to a case practitioner</w:t>
      </w:r>
    </w:p>
    <w:p w14:paraId="65D42D73" w14:textId="10A4CF77" w:rsidR="00814857" w:rsidRPr="008F035E" w:rsidRDefault="00814857" w:rsidP="00882195">
      <w:pPr>
        <w:pStyle w:val="ARbody"/>
      </w:pPr>
      <w:bookmarkStart w:id="34" w:name="_Hlk19789129"/>
      <w:r w:rsidRPr="008F035E">
        <w:t>For children, consistent relationships with a trusted</w:t>
      </w:r>
      <w:r w:rsidR="009C600F">
        <w:t> </w:t>
      </w:r>
      <w:r w:rsidRPr="008F035E">
        <w:t>adult are critical to healthy development. The statewide allocation rate of child protection clients to a case practitioner has improved with 88.7</w:t>
      </w:r>
      <w:r>
        <w:t xml:space="preserve"> per cent</w:t>
      </w:r>
      <w:r w:rsidRPr="008F035E">
        <w:t xml:space="preserve"> of clients allocated in 2018</w:t>
      </w:r>
      <w:r>
        <w:t>–</w:t>
      </w:r>
      <w:r w:rsidRPr="008F035E">
        <w:t>19, when compared to an average of 80.3</w:t>
      </w:r>
      <w:r>
        <w:t xml:space="preserve"> per cent</w:t>
      </w:r>
      <w:r w:rsidRPr="008F035E">
        <w:t xml:space="preserve"> of clients allocated in 2017</w:t>
      </w:r>
      <w:r>
        <w:t>–</w:t>
      </w:r>
      <w:r w:rsidRPr="008F035E">
        <w:t>18. This improved allocation rate has occurred despite demand for child protection services increasing by 7,322 reports. The improved allocation rate aligns with increased investment in the number of child protection practitioners.</w:t>
      </w:r>
    </w:p>
    <w:bookmarkEnd w:id="34"/>
    <w:p w14:paraId="17E08FD0" w14:textId="2D77D71E" w:rsidR="00814857" w:rsidRPr="007B5036" w:rsidRDefault="00814857" w:rsidP="00350E76">
      <w:pPr>
        <w:pStyle w:val="Heading6"/>
      </w:pPr>
      <w:r>
        <w:rPr>
          <w:lang w:val="en-AU"/>
        </w:rPr>
        <w:t xml:space="preserve">Protecting Victorian children by </w:t>
      </w:r>
      <w:r w:rsidRPr="007B5036">
        <w:t>expanding</w:t>
      </w:r>
      <w:r w:rsidR="009C600F">
        <w:rPr>
          <w:lang w:val="en-US"/>
        </w:rPr>
        <w:t> </w:t>
      </w:r>
      <w:r w:rsidRPr="007B5036">
        <w:t>mandatory reporting</w:t>
      </w:r>
    </w:p>
    <w:p w14:paraId="1CF9DBC8" w14:textId="150EDCBD" w:rsidR="00814857" w:rsidRDefault="00814857" w:rsidP="00350E76">
      <w:pPr>
        <w:pStyle w:val="ARbody"/>
      </w:pPr>
      <w:r w:rsidRPr="00AC6D72">
        <w:t>As of 1 March 2019</w:t>
      </w:r>
      <w:r>
        <w:t>,</w:t>
      </w:r>
      <w:r w:rsidRPr="00AC6D72">
        <w:t xml:space="preserve"> early childhood, youth justice,</w:t>
      </w:r>
      <w:r w:rsidR="009C600F">
        <w:t> </w:t>
      </w:r>
      <w:r w:rsidRPr="00AC6D72">
        <w:t xml:space="preserve">out-of-home care workers and registered psychologists </w:t>
      </w:r>
      <w:r>
        <w:t>are</w:t>
      </w:r>
      <w:r w:rsidRPr="00AC6D72">
        <w:t xml:space="preserve"> mandated to report physical and child abuse to child protection</w:t>
      </w:r>
      <w:r>
        <w:t xml:space="preserve"> services</w:t>
      </w:r>
      <w:r w:rsidRPr="00AC6D72">
        <w:t>. This will improve the protection of many Victorian children, as well as respond to recommendation 7.3 of the Royal Commission into Institutional Responses to Child Sexual Abuse.</w:t>
      </w:r>
      <w:r w:rsidRPr="00F77FD8">
        <w:rPr>
          <w:rFonts w:asciiTheme="minorHAnsi" w:eastAsiaTheme="minorEastAsia" w:hAnsiTheme="minorHAnsi" w:cstheme="minorBidi"/>
          <w:szCs w:val="20"/>
          <w:lang w:eastAsia="en-AU"/>
        </w:rPr>
        <w:t xml:space="preserve"> </w:t>
      </w:r>
      <w:r w:rsidRPr="00F77FD8">
        <w:t>The Victorian Government committed to introduce into legislation people in religious ministry as mandated reporters in 2019.</w:t>
      </w:r>
    </w:p>
    <w:p w14:paraId="38714A7E" w14:textId="1F483AF8" w:rsidR="00814857" w:rsidRPr="00EC5713" w:rsidRDefault="00814857" w:rsidP="0099241F">
      <w:pPr>
        <w:pStyle w:val="Heading6"/>
      </w:pPr>
      <w:r w:rsidRPr="00EC5713">
        <w:t>Child Information Sharing Scheme – assisting</w:t>
      </w:r>
      <w:r w:rsidR="009C600F">
        <w:rPr>
          <w:lang w:val="en-US"/>
        </w:rPr>
        <w:t> </w:t>
      </w:r>
      <w:r w:rsidRPr="00EC5713">
        <w:t>professionals and organisations to</w:t>
      </w:r>
      <w:r w:rsidR="009C600F">
        <w:rPr>
          <w:lang w:val="en-US"/>
        </w:rPr>
        <w:t> </w:t>
      </w:r>
      <w:r w:rsidRPr="00EC5713">
        <w:t>protect children</w:t>
      </w:r>
    </w:p>
    <w:p w14:paraId="6D439E82" w14:textId="77777777" w:rsidR="00814857" w:rsidRDefault="00814857" w:rsidP="00350E76">
      <w:pPr>
        <w:pStyle w:val="ARbody"/>
      </w:pPr>
      <w:r>
        <w:t>The Child Information Sharing Scheme assists professionals and organisations to better perform their roles and responsibilities by expanding the circumstances in which they can share information to promote the wellbeing and safety of children.</w:t>
      </w:r>
    </w:p>
    <w:p w14:paraId="5624E027" w14:textId="351678D6" w:rsidR="00814857" w:rsidRDefault="00814857" w:rsidP="00350E76">
      <w:pPr>
        <w:pStyle w:val="ARbody"/>
      </w:pPr>
      <w:r>
        <w:t>The scheme is intended to facilitate services working together to identify needs and risks, promote earlier and more effective intervention and</w:t>
      </w:r>
      <w:r w:rsidR="009C600F">
        <w:t> </w:t>
      </w:r>
      <w:r>
        <w:t>integrated service provision, and improve outcomes for children and families.</w:t>
      </w:r>
    </w:p>
    <w:p w14:paraId="2B829DF2" w14:textId="3179E20F" w:rsidR="00345066" w:rsidRDefault="00814857" w:rsidP="00350E76">
      <w:pPr>
        <w:pStyle w:val="ARbody"/>
      </w:pPr>
      <w:r>
        <w:t>In recognition of the need for services to provide a</w:t>
      </w:r>
      <w:r w:rsidR="009C600F">
        <w:t> </w:t>
      </w:r>
      <w:r>
        <w:t xml:space="preserve">holistic response to the range of needs and risks experienced by children and families, this scheme complements the Family Violence Information Sharing Scheme authorised by Part 5A of the </w:t>
      </w:r>
      <w:r w:rsidRPr="00AC6D72">
        <w:rPr>
          <w:i/>
        </w:rPr>
        <w:t>Family Violence Protection Act 2008</w:t>
      </w:r>
      <w:r>
        <w:t>. To share information to identify, assess and manage the risk</w:t>
      </w:r>
      <w:r w:rsidR="009C600F">
        <w:t> </w:t>
      </w:r>
      <w:r>
        <w:t>of family violence to children or adults, while promoting children’s wellbeing and safety, the two</w:t>
      </w:r>
      <w:r w:rsidR="009C600F">
        <w:t> </w:t>
      </w:r>
      <w:r>
        <w:t>schemes must be used together in conjunction with the Multi-Agency Risk Assessment and Management Framework (MARAM Framework).</w:t>
      </w:r>
    </w:p>
    <w:p w14:paraId="37A279D8" w14:textId="1FC6DFC0" w:rsidR="00814857" w:rsidRDefault="00814857" w:rsidP="00350E76">
      <w:pPr>
        <w:pStyle w:val="ARbody"/>
      </w:pPr>
      <w:r>
        <w:t>The Child Information Sharing Scheme also complements and supports child and family service reforms, The Orange Door and other child safety legislation, including the Child Safe Standards and Reportable Conduct Scheme. These reforms share a common purpose to:</w:t>
      </w:r>
    </w:p>
    <w:p w14:paraId="7E0B0B35" w14:textId="1B77E0A1" w:rsidR="00345066" w:rsidRDefault="00814857" w:rsidP="00350E76">
      <w:pPr>
        <w:pStyle w:val="ARbullet1"/>
      </w:pPr>
      <w:r>
        <w:t>drive cultural and practice change to place the wellbeing and safety of children at the centre of</w:t>
      </w:r>
      <w:r w:rsidR="009C600F">
        <w:t> </w:t>
      </w:r>
      <w:r>
        <w:t>service delivery</w:t>
      </w:r>
    </w:p>
    <w:p w14:paraId="15CDEEA3" w14:textId="3A0E18B7" w:rsidR="00814857" w:rsidRDefault="00814857" w:rsidP="00350E76">
      <w:pPr>
        <w:pStyle w:val="ARbullet1"/>
      </w:pPr>
      <w:r>
        <w:t>focus on prevention and earlier intervention to</w:t>
      </w:r>
      <w:r w:rsidR="009C600F">
        <w:t> </w:t>
      </w:r>
      <w:r>
        <w:t>protect children and assist them to thrive and</w:t>
      </w:r>
      <w:r w:rsidR="009C600F">
        <w:t> </w:t>
      </w:r>
      <w:r>
        <w:t>develop.</w:t>
      </w:r>
    </w:p>
    <w:p w14:paraId="1848AD2C" w14:textId="2F8B2C77" w:rsidR="00814857" w:rsidRDefault="00814857" w:rsidP="00350E76">
      <w:pPr>
        <w:pStyle w:val="Heading5"/>
      </w:pPr>
      <w:r w:rsidRPr="00974436">
        <w:t>Key result 1</w:t>
      </w:r>
      <w:r>
        <w:t>1</w:t>
      </w:r>
      <w:r w:rsidRPr="00974436">
        <w:t>:</w:t>
      </w:r>
      <w:r w:rsidRPr="001376F4">
        <w:t xml:space="preserve"> </w:t>
      </w:r>
      <w:r>
        <w:t>Reduce the rate of</w:t>
      </w:r>
      <w:r w:rsidR="009C600F">
        <w:t> </w:t>
      </w:r>
      <w:r>
        <w:t>growth</w:t>
      </w:r>
      <w:r w:rsidR="009C600F">
        <w:t> </w:t>
      </w:r>
      <w:r>
        <w:t>in</w:t>
      </w:r>
      <w:r w:rsidR="009C600F">
        <w:t> </w:t>
      </w:r>
      <w:r>
        <w:t>out-of-home care – especially</w:t>
      </w:r>
      <w:r w:rsidR="009C600F">
        <w:t> </w:t>
      </w:r>
      <w:r>
        <w:t>for</w:t>
      </w:r>
      <w:r w:rsidR="009C600F">
        <w:t> </w:t>
      </w:r>
      <w:r>
        <w:t>Aboriginal children</w:t>
      </w:r>
    </w:p>
    <w:p w14:paraId="37282F2D" w14:textId="23F562AC" w:rsidR="00814857" w:rsidRPr="005D04AC" w:rsidRDefault="00814857" w:rsidP="0082268D">
      <w:pPr>
        <w:pStyle w:val="ARbody"/>
      </w:pPr>
      <w:r w:rsidRPr="006F1953">
        <w:t>The department is tr</w:t>
      </w:r>
      <w:r>
        <w:t>iall</w:t>
      </w:r>
      <w:r w:rsidRPr="006F1953">
        <w:t>ing innovative ways to support vulnerable families at risk of involvement with child protection or out-of-home care through several evidenced</w:t>
      </w:r>
      <w:r>
        <w:t>-</w:t>
      </w:r>
      <w:r w:rsidRPr="006F1953">
        <w:t>based program trials</w:t>
      </w:r>
      <w:r>
        <w:t xml:space="preserve">. </w:t>
      </w:r>
      <w:r w:rsidRPr="00326F42">
        <w:t>Two of the</w:t>
      </w:r>
      <w:r w:rsidR="009C600F">
        <w:t> </w:t>
      </w:r>
      <w:r w:rsidRPr="00326F42">
        <w:t>evidence-based programs in family services currently being trialled are</w:t>
      </w:r>
      <w:r w:rsidR="0082268D">
        <w:t xml:space="preserve"> </w:t>
      </w:r>
      <w:r w:rsidR="00583613">
        <w:t>b</w:t>
      </w:r>
      <w:r w:rsidR="0082268D">
        <w:t>etter treatment and 24/7 crisis response for at-risk children and s</w:t>
      </w:r>
      <w:r w:rsidR="0082268D" w:rsidRPr="0082268D">
        <w:t>trengthening our approach to better support families and children</w:t>
      </w:r>
      <w:r w:rsidR="0082268D">
        <w:t>.</w:t>
      </w:r>
    </w:p>
    <w:p w14:paraId="1BA6A20C" w14:textId="28E5B997" w:rsidR="00814857" w:rsidRDefault="00814857" w:rsidP="00350E76">
      <w:pPr>
        <w:pStyle w:val="Heading6"/>
      </w:pPr>
      <w:r>
        <w:rPr>
          <w:lang w:val="en-AU"/>
        </w:rPr>
        <w:lastRenderedPageBreak/>
        <w:t xml:space="preserve">Better treatment and 24/7 crisis </w:t>
      </w:r>
      <w:r w:rsidR="009C600F">
        <w:rPr>
          <w:lang w:val="en-AU"/>
        </w:rPr>
        <w:br/>
      </w:r>
      <w:r>
        <w:rPr>
          <w:lang w:val="en-AU"/>
        </w:rPr>
        <w:t>response for at-risk children</w:t>
      </w:r>
    </w:p>
    <w:p w14:paraId="62A371E3" w14:textId="77777777" w:rsidR="00814857" w:rsidRPr="00DF6630" w:rsidRDefault="00814857" w:rsidP="00350E76">
      <w:pPr>
        <w:pStyle w:val="ARbody"/>
      </w:pPr>
      <w:r w:rsidRPr="00DF6630">
        <w:t>Multisystemic Therapy with Psychiatric Supports (</w:t>
      </w:r>
      <w:r w:rsidRPr="002E04DB">
        <w:t>MST-Psych</w:t>
      </w:r>
      <w:r w:rsidRPr="00DF6630">
        <w:t xml:space="preserve">) provides intensive at-home treatment and 24/7 crisis response targeting children aged </w:t>
      </w:r>
      <w:r>
        <w:t xml:space="preserve">nine to </w:t>
      </w:r>
      <w:r w:rsidRPr="00DF6630">
        <w:t>15</w:t>
      </w:r>
      <w:r>
        <w:t xml:space="preserve"> years</w:t>
      </w:r>
      <w:r w:rsidRPr="00DF6630">
        <w:t xml:space="preserve"> who are at risk of removal</w:t>
      </w:r>
      <w:r>
        <w:t>,</w:t>
      </w:r>
      <w:r w:rsidRPr="00DF6630">
        <w:t xml:space="preserve"> or</w:t>
      </w:r>
      <w:r>
        <w:t xml:space="preserve"> are</w:t>
      </w:r>
      <w:r w:rsidRPr="00DF6630">
        <w:t xml:space="preserve"> in care</w:t>
      </w:r>
      <w:r>
        <w:t>,</w:t>
      </w:r>
      <w:r w:rsidRPr="00DF6630">
        <w:t xml:space="preserve"> due to dysfunction, trauma or other issues.</w:t>
      </w:r>
    </w:p>
    <w:p w14:paraId="3354EEE7" w14:textId="77777777" w:rsidR="00814857" w:rsidRPr="00B64D1E" w:rsidRDefault="00814857" w:rsidP="00350E76">
      <w:pPr>
        <w:pStyle w:val="ARbody"/>
      </w:pPr>
      <w:r w:rsidRPr="00B64D1E">
        <w:t xml:space="preserve">Specifically, it addresses </w:t>
      </w:r>
      <w:r>
        <w:t>young people</w:t>
      </w:r>
      <w:r w:rsidRPr="00B64D1E">
        <w:t xml:space="preserve"> who are at risk of an out-of-home placement due to serious behavioural problems and co-occurring mental health symptoms such as thought disorder, depression, anxiety and impulsivity.</w:t>
      </w:r>
    </w:p>
    <w:p w14:paraId="5C5DDACC" w14:textId="45A3F7A5" w:rsidR="00814857" w:rsidRPr="00B64D1E" w:rsidRDefault="00814857" w:rsidP="00350E76">
      <w:pPr>
        <w:pStyle w:val="ARbody"/>
      </w:pPr>
      <w:r w:rsidRPr="00B64D1E">
        <w:t>It involves adding a child psychiatrist to an MST</w:t>
      </w:r>
      <w:r w:rsidR="009C600F">
        <w:t> </w:t>
      </w:r>
      <w:r w:rsidRPr="00B64D1E">
        <w:t>treatment team</w:t>
      </w:r>
      <w:r>
        <w:t>,</w:t>
      </w:r>
      <w:r w:rsidRPr="00B64D1E">
        <w:t xml:space="preserve"> who supports the delivery of</w:t>
      </w:r>
      <w:r w:rsidR="009C600F">
        <w:t> </w:t>
      </w:r>
      <w:r w:rsidRPr="00B64D1E">
        <w:t>the model through expert advice.</w:t>
      </w:r>
    </w:p>
    <w:p w14:paraId="179FBDDF" w14:textId="0F4B0560" w:rsidR="00814857" w:rsidRDefault="00814857" w:rsidP="00350E76">
      <w:pPr>
        <w:pStyle w:val="ARbody"/>
      </w:pPr>
      <w:r w:rsidRPr="00B64D1E">
        <w:t xml:space="preserve">MacKillop Family Services is the first international agency to trial this model outside of the USA. MacKillop Family Services is delivering </w:t>
      </w:r>
      <w:r w:rsidRPr="002E04DB">
        <w:t xml:space="preserve">MST-Psych </w:t>
      </w:r>
      <w:r w:rsidRPr="00B64D1E">
        <w:t>in the Western Metro and Barwon regions, in partnership with the Victorian Aboriginal Child Care</w:t>
      </w:r>
      <w:r w:rsidR="009C600F">
        <w:t> </w:t>
      </w:r>
      <w:r w:rsidRPr="00B64D1E">
        <w:t>Agency and the Wathaurong Aboriginal Cooperative.</w:t>
      </w:r>
    </w:p>
    <w:p w14:paraId="6643CDDB" w14:textId="22BB92D0" w:rsidR="00814857" w:rsidRPr="006F1953" w:rsidRDefault="00814857" w:rsidP="00350E76">
      <w:pPr>
        <w:pStyle w:val="Heading6"/>
        <w:rPr>
          <w:lang w:val="en-AU"/>
        </w:rPr>
      </w:pPr>
      <w:r>
        <w:rPr>
          <w:lang w:val="en-AU"/>
        </w:rPr>
        <w:t>Strengthening our approach to better</w:t>
      </w:r>
      <w:r w:rsidR="009C600F">
        <w:rPr>
          <w:lang w:val="en-AU"/>
        </w:rPr>
        <w:t> </w:t>
      </w:r>
      <w:r>
        <w:rPr>
          <w:lang w:val="en-AU"/>
        </w:rPr>
        <w:t>support</w:t>
      </w:r>
      <w:r w:rsidR="009C600F">
        <w:rPr>
          <w:lang w:val="en-AU"/>
        </w:rPr>
        <w:t> </w:t>
      </w:r>
      <w:r>
        <w:rPr>
          <w:lang w:val="en-AU"/>
        </w:rPr>
        <w:t>families and children</w:t>
      </w:r>
    </w:p>
    <w:p w14:paraId="523D2D17" w14:textId="5C0765CA" w:rsidR="00814857" w:rsidRDefault="00814857" w:rsidP="00350E76">
      <w:pPr>
        <w:pStyle w:val="ARbody"/>
      </w:pPr>
      <w:r w:rsidRPr="0048442D">
        <w:t>Rapid Response</w:t>
      </w:r>
      <w:r w:rsidRPr="00843E40">
        <w:rPr>
          <w:vertAlign w:val="superscript"/>
        </w:rPr>
        <w:t xml:space="preserve"> </w:t>
      </w:r>
      <w:r>
        <w:rPr>
          <w:vertAlign w:val="superscript"/>
        </w:rPr>
        <w:t>TM</w:t>
      </w:r>
      <w:r w:rsidRPr="0048442D">
        <w:t xml:space="preserve"> is an intensive, short-term placement prevention model that is being trialled by</w:t>
      </w:r>
      <w:r w:rsidR="009C600F">
        <w:t> </w:t>
      </w:r>
      <w:r w:rsidRPr="0048442D">
        <w:t>Anglicare Victoria in five areas across the state. This provides an alternative intervention where a</w:t>
      </w:r>
      <w:r w:rsidR="009C600F">
        <w:t> </w:t>
      </w:r>
      <w:r w:rsidRPr="0048442D">
        <w:t>decision to remove a child from the home is imminent.</w:t>
      </w:r>
    </w:p>
    <w:p w14:paraId="0FF79FBA" w14:textId="0845F93C" w:rsidR="00814857" w:rsidRPr="00174313" w:rsidRDefault="00814857" w:rsidP="00350E76">
      <w:pPr>
        <w:pStyle w:val="ARbody"/>
      </w:pPr>
      <w:r w:rsidRPr="00901A99">
        <w:t>Rapid Response</w:t>
      </w:r>
      <w:r w:rsidRPr="00843E40">
        <w:rPr>
          <w:vertAlign w:val="superscript"/>
        </w:rPr>
        <w:t xml:space="preserve"> </w:t>
      </w:r>
      <w:r>
        <w:rPr>
          <w:vertAlign w:val="superscript"/>
        </w:rPr>
        <w:t>TM</w:t>
      </w:r>
      <w:r w:rsidRPr="00901A99">
        <w:t xml:space="preserve"> works with families at imminent</w:t>
      </w:r>
      <w:r w:rsidR="009C600F">
        <w:t> </w:t>
      </w:r>
      <w:r w:rsidRPr="00901A99">
        <w:t>risk of having their child removed. The</w:t>
      </w:r>
      <w:r w:rsidR="009C600F">
        <w:t> </w:t>
      </w:r>
      <w:r w:rsidRPr="00901A99">
        <w:t>Rapid Response</w:t>
      </w:r>
      <w:r w:rsidRPr="00843E40">
        <w:rPr>
          <w:vertAlign w:val="superscript"/>
        </w:rPr>
        <w:t xml:space="preserve"> </w:t>
      </w:r>
      <w:r>
        <w:rPr>
          <w:vertAlign w:val="superscript"/>
        </w:rPr>
        <w:t>TM</w:t>
      </w:r>
      <w:r w:rsidRPr="00901A99">
        <w:t xml:space="preserve"> team develops a safety-focused plan with child protection and the family and provides targeted in-home support to improve safety.</w:t>
      </w:r>
      <w:r>
        <w:t xml:space="preserve"> </w:t>
      </w:r>
      <w:r w:rsidRPr="00174313">
        <w:t xml:space="preserve">These </w:t>
      </w:r>
      <w:r>
        <w:t>e</w:t>
      </w:r>
      <w:r w:rsidRPr="00174313">
        <w:t>vidence</w:t>
      </w:r>
      <w:r>
        <w:t>-b</w:t>
      </w:r>
      <w:r w:rsidRPr="00174313">
        <w:t xml:space="preserve">ased </w:t>
      </w:r>
      <w:r>
        <w:t>p</w:t>
      </w:r>
      <w:r w:rsidRPr="00174313">
        <w:t xml:space="preserve">rogram trials are helping deliver the </w:t>
      </w:r>
      <w:r w:rsidRPr="008F035E">
        <w:rPr>
          <w:i/>
          <w:iCs/>
        </w:rPr>
        <w:t>Roadmap for Reform</w:t>
      </w:r>
      <w:r w:rsidRPr="00174313">
        <w:t xml:space="preserve"> by testing new or strengthened approaches to better support families, children and young people.</w:t>
      </w:r>
    </w:p>
    <w:p w14:paraId="29B76A47" w14:textId="4D73DEAB" w:rsidR="00814857" w:rsidRDefault="00814857" w:rsidP="00350E76">
      <w:pPr>
        <w:pStyle w:val="Heading5"/>
      </w:pPr>
      <w:r>
        <w:t xml:space="preserve">Key result 12: </w:t>
      </w:r>
      <w:r w:rsidRPr="008E463B">
        <w:t>Reduce the number of</w:t>
      </w:r>
      <w:r w:rsidR="009C600F">
        <w:t> </w:t>
      </w:r>
      <w:r w:rsidRPr="008E463B">
        <w:t>children in out</w:t>
      </w:r>
      <w:r>
        <w:t>-</w:t>
      </w:r>
      <w:r w:rsidRPr="008E463B">
        <w:t>of</w:t>
      </w:r>
      <w:r>
        <w:t>-</w:t>
      </w:r>
      <w:r w:rsidRPr="008E463B">
        <w:t>home care who</w:t>
      </w:r>
      <w:r w:rsidR="009C600F">
        <w:t> </w:t>
      </w:r>
      <w:r w:rsidRPr="008E463B">
        <w:t>live</w:t>
      </w:r>
      <w:r w:rsidR="009C600F">
        <w:t> </w:t>
      </w:r>
      <w:r w:rsidRPr="008E463B">
        <w:t>in</w:t>
      </w:r>
      <w:r w:rsidR="009C600F">
        <w:t> </w:t>
      </w:r>
      <w:r w:rsidRPr="008E463B">
        <w:t>residential care</w:t>
      </w:r>
    </w:p>
    <w:p w14:paraId="7C74F91C" w14:textId="3ECA6435" w:rsidR="00814857" w:rsidRPr="00B64D1E" w:rsidRDefault="00814857" w:rsidP="00350E76">
      <w:pPr>
        <w:pStyle w:val="Heading6"/>
      </w:pPr>
      <w:r>
        <w:rPr>
          <w:lang w:val="en-AU"/>
        </w:rPr>
        <w:t xml:space="preserve">Attracting more </w:t>
      </w:r>
      <w:r w:rsidR="001A390D">
        <w:rPr>
          <w:lang w:val="en-US"/>
        </w:rPr>
        <w:t xml:space="preserve">foster </w:t>
      </w:r>
      <w:r w:rsidRPr="00B64D1E">
        <w:t>car</w:t>
      </w:r>
      <w:r>
        <w:rPr>
          <w:lang w:val="en-AU"/>
        </w:rPr>
        <w:t>ers</w:t>
      </w:r>
    </w:p>
    <w:p w14:paraId="2E85A6C7" w14:textId="77777777" w:rsidR="00814857" w:rsidRPr="00174313" w:rsidRDefault="00814857" w:rsidP="00350E76">
      <w:pPr>
        <w:pStyle w:val="ARbody"/>
      </w:pPr>
      <w:r w:rsidRPr="00174313">
        <w:t>Recruiting more carers remains a priority</w:t>
      </w:r>
      <w:r>
        <w:t xml:space="preserve"> through the</w:t>
      </w:r>
      <w:r w:rsidRPr="00174313">
        <w:t xml:space="preserve"> Fostering Connections campaign.</w:t>
      </w:r>
    </w:p>
    <w:p w14:paraId="585BE0A8" w14:textId="49D7012B" w:rsidR="00814857" w:rsidRPr="00174313" w:rsidRDefault="009C600F" w:rsidP="00350E76">
      <w:pPr>
        <w:pStyle w:val="ARbody"/>
      </w:pPr>
      <w:r>
        <w:br w:type="column"/>
      </w:r>
      <w:r w:rsidR="00814857" w:rsidRPr="00174313">
        <w:t xml:space="preserve">The </w:t>
      </w:r>
      <w:r w:rsidR="00814857">
        <w:t>c</w:t>
      </w:r>
      <w:r w:rsidR="00814857" w:rsidRPr="00174313">
        <w:t xml:space="preserve">ampaign </w:t>
      </w:r>
      <w:r w:rsidR="00814857">
        <w:t>works</w:t>
      </w:r>
      <w:r w:rsidR="00814857" w:rsidRPr="00174313">
        <w:t xml:space="preserve"> to increase community awareness of foster care</w:t>
      </w:r>
      <w:r w:rsidR="00814857">
        <w:t>,</w:t>
      </w:r>
      <w:r w:rsidR="00814857" w:rsidRPr="00174313">
        <w:t xml:space="preserve"> and </w:t>
      </w:r>
      <w:r w:rsidR="00814857">
        <w:t xml:space="preserve">to </w:t>
      </w:r>
      <w:r w:rsidR="00814857" w:rsidRPr="00174313">
        <w:t>attract a greater number and diversity of carers.</w:t>
      </w:r>
    </w:p>
    <w:p w14:paraId="57C667FE" w14:textId="77777777" w:rsidR="00814857" w:rsidRPr="00174313" w:rsidRDefault="00814857" w:rsidP="00350E76">
      <w:pPr>
        <w:pStyle w:val="ARbody"/>
      </w:pPr>
      <w:r w:rsidRPr="00174313">
        <w:t>Since launching in January 2016 more than 1</w:t>
      </w:r>
      <w:r>
        <w:t>,</w:t>
      </w:r>
      <w:r w:rsidRPr="00174313">
        <w:t>400</w:t>
      </w:r>
      <w:r>
        <w:t> </w:t>
      </w:r>
      <w:r w:rsidRPr="00174313">
        <w:t>carers have welcomed their first child into their home. The program will continue in 2019</w:t>
      </w:r>
      <w:r>
        <w:t>–</w:t>
      </w:r>
      <w:r w:rsidRPr="00174313">
        <w:t>20.</w:t>
      </w:r>
    </w:p>
    <w:p w14:paraId="719068BE" w14:textId="7A854985" w:rsidR="00814857" w:rsidRDefault="00814857" w:rsidP="00350E76">
      <w:pPr>
        <w:pStyle w:val="Heading6"/>
      </w:pPr>
      <w:r>
        <w:rPr>
          <w:lang w:val="en-AU"/>
        </w:rPr>
        <w:t>Testing alternatives to residential</w:t>
      </w:r>
      <w:r w:rsidR="009C600F">
        <w:rPr>
          <w:lang w:val="en-AU"/>
        </w:rPr>
        <w:t> </w:t>
      </w:r>
      <w:r>
        <w:rPr>
          <w:lang w:val="en-AU"/>
        </w:rPr>
        <w:t>care</w:t>
      </w:r>
      <w:r w:rsidR="009C600F">
        <w:rPr>
          <w:lang w:val="en-AU"/>
        </w:rPr>
        <w:t> </w:t>
      </w:r>
      <w:r>
        <w:rPr>
          <w:lang w:val="en-AU"/>
        </w:rPr>
        <w:t>placements</w:t>
      </w:r>
    </w:p>
    <w:p w14:paraId="4C0F2953" w14:textId="77777777" w:rsidR="00814857" w:rsidRDefault="00814857" w:rsidP="00350E76">
      <w:pPr>
        <w:pStyle w:val="ARbody"/>
      </w:pPr>
      <w:r>
        <w:t>Therapeutic Foster Care (TFCO®) is an alternative to residential care placements being tested in Victoria to reunify young people with their biological family or kinship carers or place them in lower-intensity long-term care.</w:t>
      </w:r>
    </w:p>
    <w:p w14:paraId="7CB128FE" w14:textId="72F8416D" w:rsidR="00814857" w:rsidRDefault="00814857" w:rsidP="00350E76">
      <w:pPr>
        <w:pStyle w:val="ARbody"/>
      </w:pPr>
      <w:r>
        <w:t xml:space="preserve">Ozchild delivers a </w:t>
      </w:r>
      <w:r w:rsidRPr="00631E54">
        <w:t>TFCO-C</w:t>
      </w:r>
      <w:r>
        <w:t xml:space="preserve"> (child)</w:t>
      </w:r>
      <w:r w:rsidRPr="00631E54">
        <w:t xml:space="preserve"> program for</w:t>
      </w:r>
      <w:r w:rsidR="009C600F">
        <w:t> </w:t>
      </w:r>
      <w:r w:rsidRPr="00631E54">
        <w:t>children</w:t>
      </w:r>
      <w:r>
        <w:t xml:space="preserve"> aged</w:t>
      </w:r>
      <w:r w:rsidRPr="00631E54">
        <w:t xml:space="preserve"> </w:t>
      </w:r>
      <w:r w:rsidR="00583613">
        <w:t xml:space="preserve">7- </w:t>
      </w:r>
      <w:r>
        <w:t>to 11</w:t>
      </w:r>
      <w:r w:rsidR="0082268D">
        <w:t>-</w:t>
      </w:r>
      <w:r>
        <w:t>years</w:t>
      </w:r>
      <w:r w:rsidR="0082268D">
        <w:t>-</w:t>
      </w:r>
      <w:r>
        <w:t>of</w:t>
      </w:r>
      <w:r w:rsidR="0082268D">
        <w:t>-</w:t>
      </w:r>
      <w:r>
        <w:t>age in residential care or at risk of entering residential care because of very serious emotional or behavioural difficulties. The program aims to assist and modify children’s challenging behaviours through a structured treatment approach enabling them to be reunified with their biological family or kinship carers. Family are also supported to develop their parenting skills by TFCO-C team. Children are supported in the TFCO-C placement for nine to 12 months.</w:t>
      </w:r>
    </w:p>
    <w:p w14:paraId="60D1A43F" w14:textId="103C4C12" w:rsidR="00345066" w:rsidRDefault="00814857" w:rsidP="00350E76">
      <w:pPr>
        <w:pStyle w:val="ARbody"/>
      </w:pPr>
      <w:r>
        <w:t>This year, work was undertaken jointly between the</w:t>
      </w:r>
      <w:r w:rsidR="009C600F">
        <w:t> </w:t>
      </w:r>
      <w:r>
        <w:t>department and providers to identify aftercare placements, intake processes for referral and matching</w:t>
      </w:r>
      <w:r w:rsidR="0082268D">
        <w:t>,</w:t>
      </w:r>
      <w:r>
        <w:t xml:space="preserve"> and better analysing client profiles to understand who will be more likely to succeed in the program. The program is funded to support seven children. During 2018–19, TFCO-C has supported eight children.</w:t>
      </w:r>
    </w:p>
    <w:p w14:paraId="1C24E134" w14:textId="6DF6A90F" w:rsidR="00814857" w:rsidRPr="00631E54" w:rsidRDefault="00814857" w:rsidP="00350E76">
      <w:pPr>
        <w:pStyle w:val="ARbody"/>
        <w:rPr>
          <w:highlight w:val="yellow"/>
        </w:rPr>
      </w:pPr>
      <w:r>
        <w:t xml:space="preserve">The TFCO-A (adolescent) program (for </w:t>
      </w:r>
      <w:r w:rsidR="0082268D">
        <w:t xml:space="preserve">12- to </w:t>
      </w:r>
      <w:r w:rsidR="005D04AC">
        <w:br/>
      </w:r>
      <w:r w:rsidR="0082268D">
        <w:t xml:space="preserve">17-year-old </w:t>
      </w:r>
      <w:r>
        <w:t>adolescents) delivered by Anglicare has now become a bespoke model known as Enhanced Care Opportunities (ECO). The model has taken the learnings and successful elements of the TFCO-A model to develop a therapeutic foster care model, offering an alternative to residential care placements. It aims to assist young people to recover from trauma, develop strong relationships and secure attachments and build life skills for the future. Currently four young people are supported by the service. The ECO model is a transitional program. Young people can transition to family, to kinship care, to mainstream long-term home-based care (with either new or existing carer), or to semi-independent living.</w:t>
      </w:r>
    </w:p>
    <w:p w14:paraId="4DE04615" w14:textId="2E662B0F" w:rsidR="00814857" w:rsidRPr="002850D9" w:rsidRDefault="00814857" w:rsidP="00350E76">
      <w:pPr>
        <w:pStyle w:val="Heading6"/>
        <w:rPr>
          <w:lang w:val="en-AU"/>
        </w:rPr>
      </w:pPr>
      <w:r w:rsidRPr="002850D9">
        <w:rPr>
          <w:lang w:val="en-AU"/>
        </w:rPr>
        <w:lastRenderedPageBreak/>
        <w:t>Residential and outreach support</w:t>
      </w:r>
      <w:r>
        <w:rPr>
          <w:lang w:val="en-AU"/>
        </w:rPr>
        <w:t xml:space="preserve"> for</w:t>
      </w:r>
      <w:r w:rsidR="009C600F">
        <w:rPr>
          <w:lang w:val="en-AU"/>
        </w:rPr>
        <w:t> </w:t>
      </w:r>
      <w:r>
        <w:rPr>
          <w:lang w:val="en-AU"/>
        </w:rPr>
        <w:t>vulnerable</w:t>
      </w:r>
      <w:r w:rsidR="009C600F">
        <w:rPr>
          <w:lang w:val="en-AU"/>
        </w:rPr>
        <w:t> </w:t>
      </w:r>
      <w:r>
        <w:rPr>
          <w:lang w:val="en-AU"/>
        </w:rPr>
        <w:t>young people</w:t>
      </w:r>
    </w:p>
    <w:p w14:paraId="2FED6454" w14:textId="0A967B56" w:rsidR="00814857" w:rsidRDefault="00814857" w:rsidP="00350E76">
      <w:pPr>
        <w:pStyle w:val="ARbody"/>
      </w:pPr>
      <w:r>
        <w:t xml:space="preserve">KEYS is a new live-in and live-out service that takes a trauma-informed treatment and care approach to working with highly vulnerable </w:t>
      </w:r>
      <w:r w:rsidR="005D04AC">
        <w:br/>
      </w:r>
      <w:r w:rsidR="0082268D">
        <w:t>12- to</w:t>
      </w:r>
      <w:r w:rsidR="005D04AC">
        <w:t> </w:t>
      </w:r>
      <w:r w:rsidR="0082268D">
        <w:t xml:space="preserve">17-year-old </w:t>
      </w:r>
      <w:r>
        <w:t>young people who exhibit complex, risky and challenging behaviours. Working closely with Monash Health, the program has a strong focus on providing opportunities for young people to better understand and address mental health and build emotional resilience.</w:t>
      </w:r>
    </w:p>
    <w:p w14:paraId="412EB60B" w14:textId="77777777" w:rsidR="00814857" w:rsidRDefault="00814857" w:rsidP="00350E76">
      <w:pPr>
        <w:pStyle w:val="ARbody"/>
      </w:pPr>
      <w:r>
        <w:t>KEYS is a live-in residential and outreach support service that takes a therapeutic approach and integrates a mental health service into the delivery of service, as well as support from a family worker, community engagement worker and a teacher. There is also a partnership with police to provide a care rather than custody approach. Young people are supported in the placement component and then support is continued into their next-less intensive placement (outreach).</w:t>
      </w:r>
    </w:p>
    <w:p w14:paraId="380AA16F" w14:textId="77777777" w:rsidR="00814857" w:rsidRDefault="00814857" w:rsidP="00350E76">
      <w:pPr>
        <w:pStyle w:val="ARbody"/>
      </w:pPr>
      <w:r>
        <w:t>Young people in the program are achieving better outcomes than they had in previous residential placements. Success includes reductions in absconding, sexual exploitation, criminal activity and drug use, as well as increased engagement with employment, education and family.</w:t>
      </w:r>
    </w:p>
    <w:p w14:paraId="0ADFE636" w14:textId="77777777" w:rsidR="00814857" w:rsidRDefault="00814857" w:rsidP="00350E76">
      <w:pPr>
        <w:pStyle w:val="Heading6"/>
      </w:pPr>
      <w:r>
        <w:rPr>
          <w:lang w:val="en-AU"/>
        </w:rPr>
        <w:t>Informing the future of home-based c</w:t>
      </w:r>
      <w:r>
        <w:t>are</w:t>
      </w:r>
    </w:p>
    <w:p w14:paraId="4A8F52A6" w14:textId="77777777" w:rsidR="00814857" w:rsidRDefault="00814857" w:rsidP="00350E76">
      <w:pPr>
        <w:pStyle w:val="ARbody"/>
      </w:pPr>
      <w:r>
        <w:t>Victoria’s first strategy for home-based carers is being developed, signifying commitment to kinship, foster and permanent carers. It sets out our strategy to transform kinship, foster and permanent carers’ experience to achieve improved outcomes for children and young people in care. The strategy has been developed in close consultation with key stakeholders.</w:t>
      </w:r>
    </w:p>
    <w:p w14:paraId="77628A82" w14:textId="77777777" w:rsidR="00814857" w:rsidRDefault="00814857" w:rsidP="00350E76">
      <w:pPr>
        <w:pStyle w:val="ARbody"/>
      </w:pPr>
      <w:r>
        <w:t xml:space="preserve">It will guide and inform the future direction of home-based care, consistent with a reformed children and family services system detailed under the </w:t>
      </w:r>
      <w:r w:rsidRPr="008F035E">
        <w:rPr>
          <w:i/>
          <w:iCs/>
        </w:rPr>
        <w:t>Roadmap for Reform</w:t>
      </w:r>
      <w:r>
        <w:t>.</w:t>
      </w:r>
    </w:p>
    <w:p w14:paraId="1A68A620" w14:textId="77777777" w:rsidR="00814857" w:rsidRDefault="00814857" w:rsidP="00350E76">
      <w:pPr>
        <w:pStyle w:val="ARbody"/>
      </w:pPr>
      <w:r>
        <w:t>The development of the strategy has sought to:</w:t>
      </w:r>
    </w:p>
    <w:p w14:paraId="3BB9C7B5" w14:textId="41067D1A" w:rsidR="00814857" w:rsidRDefault="00814857" w:rsidP="00350E76">
      <w:pPr>
        <w:pStyle w:val="ARbullet1"/>
      </w:pPr>
      <w:r>
        <w:t>maintain children and young people’s connection to family where possible, and find</w:t>
      </w:r>
      <w:r w:rsidR="009C600F">
        <w:t> </w:t>
      </w:r>
      <w:r>
        <w:t>appropriate care arrangements</w:t>
      </w:r>
    </w:p>
    <w:p w14:paraId="612F396D" w14:textId="73E759CD" w:rsidR="00814857" w:rsidRDefault="00814857" w:rsidP="00350E76">
      <w:pPr>
        <w:pStyle w:val="ARbullet1"/>
      </w:pPr>
      <w:r>
        <w:t>ensure carers are adequately prepared to</w:t>
      </w:r>
      <w:r w:rsidR="00152D52">
        <w:t> </w:t>
      </w:r>
      <w:r>
        <w:t>support the children they care for</w:t>
      </w:r>
    </w:p>
    <w:p w14:paraId="6BBB0028" w14:textId="084CE5AB" w:rsidR="00814857" w:rsidRDefault="00814857" w:rsidP="00350E76">
      <w:pPr>
        <w:pStyle w:val="ARbullet1"/>
      </w:pPr>
      <w:r>
        <w:t>ensure carers are well informed, valued and</w:t>
      </w:r>
      <w:r w:rsidR="009C600F">
        <w:t> </w:t>
      </w:r>
      <w:r>
        <w:t>empowered</w:t>
      </w:r>
    </w:p>
    <w:p w14:paraId="0001FE83" w14:textId="77777777" w:rsidR="00814857" w:rsidRDefault="00814857" w:rsidP="00350E76">
      <w:pPr>
        <w:pStyle w:val="ARbullet1"/>
      </w:pPr>
      <w:r>
        <w:t>provide relevant and timely training to enable carers to provide safe, stable, quality and culturally-connected care</w:t>
      </w:r>
    </w:p>
    <w:p w14:paraId="678DA45B" w14:textId="4E23041F" w:rsidR="00814857" w:rsidRDefault="00814857" w:rsidP="00350E76">
      <w:pPr>
        <w:pStyle w:val="ARbullet1"/>
      </w:pPr>
      <w:r>
        <w:t>enhance and improve the supports and systems</w:t>
      </w:r>
      <w:r w:rsidR="009C600F">
        <w:t> </w:t>
      </w:r>
      <w:r>
        <w:t>available to carers</w:t>
      </w:r>
    </w:p>
    <w:p w14:paraId="3FE71CD0" w14:textId="3B220250" w:rsidR="00814857" w:rsidRDefault="00814857" w:rsidP="00350E76">
      <w:pPr>
        <w:pStyle w:val="ARbullet1"/>
      </w:pPr>
      <w:r>
        <w:t>facilitate long-term stability for children and</w:t>
      </w:r>
      <w:r w:rsidR="009C600F">
        <w:t> </w:t>
      </w:r>
      <w:r>
        <w:t>young people in care.</w:t>
      </w:r>
    </w:p>
    <w:p w14:paraId="20493287" w14:textId="77777777" w:rsidR="00814857" w:rsidRDefault="00814857" w:rsidP="00B8496A">
      <w:pPr>
        <w:pStyle w:val="ARbodyafterbullets"/>
        <w:spacing w:before="160"/>
        <w:rPr>
          <w:highlight w:val="yellow"/>
        </w:rPr>
      </w:pPr>
      <w:r>
        <w:t>The strategy articulates a vision for the future where carers are supported and empowered to better respond to the changing needs of children and young people in care. It will be implemented over the next five years through a series of action plans, developed in consultation with the sector.</w:t>
      </w:r>
    </w:p>
    <w:p w14:paraId="33242C27" w14:textId="2988A6B4" w:rsidR="00814857" w:rsidRPr="001376F4" w:rsidRDefault="00814857" w:rsidP="00B8496A">
      <w:pPr>
        <w:pStyle w:val="Heading5"/>
        <w:spacing w:before="300"/>
      </w:pPr>
      <w:r w:rsidRPr="00974436">
        <w:t>Key result 1</w:t>
      </w:r>
      <w:r w:rsidRPr="004D63E8">
        <w:t>3</w:t>
      </w:r>
      <w:r w:rsidRPr="00974436">
        <w:t>:</w:t>
      </w:r>
      <w:r w:rsidRPr="001376F4">
        <w:t xml:space="preserve"> Prevent family violence and</w:t>
      </w:r>
      <w:r w:rsidR="009C600F">
        <w:t> </w:t>
      </w:r>
      <w:r w:rsidRPr="001376F4">
        <w:t>reduce the</w:t>
      </w:r>
      <w:r w:rsidRPr="004D63E8">
        <w:t xml:space="preserve"> </w:t>
      </w:r>
      <w:r w:rsidRPr="001376F4">
        <w:t>continuing risk of harm associated with family violence</w:t>
      </w:r>
    </w:p>
    <w:p w14:paraId="0DBE961C" w14:textId="0DFA947F" w:rsidR="00814857" w:rsidRPr="00B27EED" w:rsidRDefault="00814857" w:rsidP="00350E76">
      <w:pPr>
        <w:pStyle w:val="Heading6"/>
        <w:rPr>
          <w:lang w:val="en-AU"/>
        </w:rPr>
      </w:pPr>
      <w:r>
        <w:rPr>
          <w:lang w:val="en-AU"/>
        </w:rPr>
        <w:t xml:space="preserve">Working to prevent </w:t>
      </w:r>
      <w:r w:rsidR="001A390D">
        <w:rPr>
          <w:lang w:val="en-US"/>
        </w:rPr>
        <w:t xml:space="preserve">family </w:t>
      </w:r>
      <w:r>
        <w:t>violence</w:t>
      </w:r>
    </w:p>
    <w:p w14:paraId="69A8E332" w14:textId="77777777" w:rsidR="00345066" w:rsidRDefault="00814857" w:rsidP="00350E76">
      <w:pPr>
        <w:pStyle w:val="ARbody"/>
      </w:pPr>
      <w:r w:rsidRPr="00052C56">
        <w:t>The department and Family Safety Victoria continued to support implementation of new and enhanced service responses for victim survivors and perpet</w:t>
      </w:r>
      <w:r>
        <w:t>r</w:t>
      </w:r>
      <w:r w:rsidRPr="00052C56">
        <w:t>at</w:t>
      </w:r>
      <w:r>
        <w:t>o</w:t>
      </w:r>
      <w:r w:rsidRPr="00052C56">
        <w:t>rs of family violence, consist</w:t>
      </w:r>
      <w:r>
        <w:t>e</w:t>
      </w:r>
      <w:r w:rsidRPr="00052C56">
        <w:t>nt with the recommendations of the Royal Commission into Family Violence. Some of the key achie</w:t>
      </w:r>
      <w:r>
        <w:t>ve</w:t>
      </w:r>
      <w:r w:rsidRPr="00052C56">
        <w:t>ments during 2018</w:t>
      </w:r>
      <w:r>
        <w:t>–</w:t>
      </w:r>
      <w:r w:rsidRPr="00052C56">
        <w:t>19 are outlined below.</w:t>
      </w:r>
    </w:p>
    <w:p w14:paraId="5AC2B352" w14:textId="6596EA56" w:rsidR="00814857" w:rsidRPr="00052C56" w:rsidRDefault="00814857" w:rsidP="00B8496A">
      <w:pPr>
        <w:pStyle w:val="Heading7"/>
        <w:spacing w:before="240"/>
      </w:pPr>
      <w:r w:rsidRPr="00052C56">
        <w:t>Specialist family violence service responses</w:t>
      </w:r>
    </w:p>
    <w:p w14:paraId="7AA374A9" w14:textId="2428D05F" w:rsidR="00345066" w:rsidRDefault="00814857" w:rsidP="00350E76">
      <w:pPr>
        <w:pStyle w:val="ARbody"/>
      </w:pPr>
      <w:r w:rsidRPr="00052C56">
        <w:t>In 2018</w:t>
      </w:r>
      <w:r>
        <w:t>–</w:t>
      </w:r>
      <w:r w:rsidRPr="00052C56">
        <w:t xml:space="preserve">19, </w:t>
      </w:r>
      <w:r>
        <w:t>more than</w:t>
      </w:r>
      <w:r w:rsidRPr="00052C56">
        <w:t xml:space="preserve"> 6,500 flexible support packages were funded and delivered to victim survivors of family violence. These packages provided personalised and holistic responses to</w:t>
      </w:r>
      <w:r w:rsidR="00152D52">
        <w:t> </w:t>
      </w:r>
      <w:r w:rsidRPr="00052C56">
        <w:t>assist adult and child victim survivors. The packages have supported victim survivors to access counselling</w:t>
      </w:r>
      <w:r w:rsidR="0082268D">
        <w:t>;</w:t>
      </w:r>
      <w:r w:rsidRPr="00052C56">
        <w:t xml:space="preserve"> cover education</w:t>
      </w:r>
      <w:r w:rsidR="0082268D">
        <w:t>;</w:t>
      </w:r>
      <w:r w:rsidRPr="00052C56">
        <w:t xml:space="preserve"> employment and transport expenses</w:t>
      </w:r>
      <w:r w:rsidR="0082268D">
        <w:t>;</w:t>
      </w:r>
      <w:r w:rsidRPr="00052C56">
        <w:t xml:space="preserve"> secure housing stability</w:t>
      </w:r>
      <w:r w:rsidR="0082268D">
        <w:t>;</w:t>
      </w:r>
      <w:r w:rsidRPr="00052C56">
        <w:t xml:space="preserve"> and fund other practical or material needs.</w:t>
      </w:r>
    </w:p>
    <w:p w14:paraId="3FD6CD9F" w14:textId="0F20DBF8" w:rsidR="00814857" w:rsidRDefault="00814857" w:rsidP="00B8496A">
      <w:pPr>
        <w:pStyle w:val="Heading7"/>
        <w:spacing w:before="240"/>
      </w:pPr>
      <w:r>
        <w:t xml:space="preserve">The Orange Door </w:t>
      </w:r>
      <w:r w:rsidRPr="00DE6B9F">
        <w:t>support and safety hubs</w:t>
      </w:r>
    </w:p>
    <w:p w14:paraId="27EF41DA" w14:textId="08E58C73" w:rsidR="00345066" w:rsidRDefault="00814857" w:rsidP="00350E76">
      <w:pPr>
        <w:pStyle w:val="ARbody"/>
      </w:pPr>
      <w:r>
        <w:t>Following the establishment of The Orange Door</w:t>
      </w:r>
      <w:r w:rsidR="00152D52">
        <w:t> </w:t>
      </w:r>
      <w:r>
        <w:t xml:space="preserve">support and safety hubs in five </w:t>
      </w:r>
      <w:r w:rsidRPr="00DE6B9F">
        <w:t>a</w:t>
      </w:r>
      <w:r>
        <w:t>reas in 2018,</w:t>
      </w:r>
      <w:r w:rsidR="00152D52">
        <w:t> </w:t>
      </w:r>
      <w:r>
        <w:t>it is estimated that more than 50,000 people were referred to The Orange Door for support in 2018–19, including 20,000 children and 3,500 people who identified as Aboriginal or Torres Strait Islander.</w:t>
      </w:r>
    </w:p>
    <w:p w14:paraId="1102352C" w14:textId="33EBE525" w:rsidR="00814857" w:rsidRDefault="00814857" w:rsidP="00B8496A">
      <w:pPr>
        <w:pStyle w:val="ARbody"/>
        <w:spacing w:before="160"/>
      </w:pPr>
      <w:r>
        <w:t>The Orange Door brings together workers from specialist family violence services</w:t>
      </w:r>
      <w:r w:rsidR="0082268D">
        <w:t>;</w:t>
      </w:r>
      <w:r>
        <w:t xml:space="preserve"> child and family services</w:t>
      </w:r>
      <w:r w:rsidR="0082268D">
        <w:t>;</w:t>
      </w:r>
      <w:r>
        <w:t xml:space="preserve"> Aboriginal services</w:t>
      </w:r>
      <w:r w:rsidR="0082268D">
        <w:t>;</w:t>
      </w:r>
      <w:r>
        <w:t xml:space="preserve"> and men’s services</w:t>
      </w:r>
      <w:r w:rsidR="0082268D">
        <w:t>. It</w:t>
      </w:r>
      <w:r w:rsidR="005D04AC">
        <w:t> </w:t>
      </w:r>
      <w:r>
        <w:t>provid</w:t>
      </w:r>
      <w:r w:rsidR="0082268D">
        <w:t>es</w:t>
      </w:r>
      <w:r>
        <w:t xml:space="preserve"> a welcoming environment for Victorians to</w:t>
      </w:r>
      <w:r w:rsidR="00152D52">
        <w:t> </w:t>
      </w:r>
      <w:r>
        <w:t xml:space="preserve">connect to a wide range of supports through </w:t>
      </w:r>
      <w:r>
        <w:lastRenderedPageBreak/>
        <w:t xml:space="preserve">coordinated and integrated service responses </w:t>
      </w:r>
      <w:r w:rsidRPr="00DF24B0">
        <w:t xml:space="preserve">drawing on specialist expertise within </w:t>
      </w:r>
      <w:r>
        <w:t>T</w:t>
      </w:r>
      <w:r w:rsidRPr="00DF24B0">
        <w:t>he Orange Door and the broader service network</w:t>
      </w:r>
      <w:r>
        <w:t>.</w:t>
      </w:r>
    </w:p>
    <w:p w14:paraId="1CBE971A" w14:textId="0422E742" w:rsidR="00814857" w:rsidRDefault="00814857" w:rsidP="00350E76">
      <w:pPr>
        <w:pStyle w:val="ARbody"/>
      </w:pPr>
      <w:r>
        <w:t>The Orange Door provides a first point of access to</w:t>
      </w:r>
      <w:r w:rsidR="00152D52">
        <w:t> </w:t>
      </w:r>
      <w:r>
        <w:t>services for adults, children and young people who are experiencing or have experienced family violence, and families who need extra support with the care of children. People can walk</w:t>
      </w:r>
      <w:r w:rsidR="0082268D">
        <w:t xml:space="preserve"> </w:t>
      </w:r>
      <w:r>
        <w:t>in or phone The Orange Door, or could also be introduced by relevant people or professionals in their lives.</w:t>
      </w:r>
    </w:p>
    <w:p w14:paraId="56B78A2C" w14:textId="4D6F42C2" w:rsidR="00814857" w:rsidRDefault="00814857" w:rsidP="00326F42">
      <w:pPr>
        <w:pStyle w:val="ARbody"/>
        <w:ind w:right="-90"/>
      </w:pPr>
      <w:r>
        <w:t>The Orange Door builds on the current Child FIRST</w:t>
      </w:r>
      <w:r w:rsidR="00152D52">
        <w:t> </w:t>
      </w:r>
      <w:r>
        <w:t xml:space="preserve">and Family Alliances. The service model will continue to evolve so that people can seamlessly and quickly receive the help they need. </w:t>
      </w:r>
      <w:bookmarkStart w:id="35" w:name="_Hlk21628578"/>
      <w:r>
        <w:t xml:space="preserve">This work will be informed by the </w:t>
      </w:r>
      <w:r w:rsidRPr="008F035E">
        <w:rPr>
          <w:i/>
          <w:iCs/>
        </w:rPr>
        <w:t>Roadmap for Reform</w:t>
      </w:r>
      <w:r w:rsidR="0082268D">
        <w:t xml:space="preserve"> </w:t>
      </w:r>
      <w:r>
        <w:t>– a strategy for reform of the children, youth and famil</w:t>
      </w:r>
      <w:r w:rsidR="00583613">
        <w:t>ies</w:t>
      </w:r>
      <w:r w:rsidR="008B2281">
        <w:t xml:space="preserve"> services</w:t>
      </w:r>
      <w:r>
        <w:t xml:space="preserve"> system.</w:t>
      </w:r>
    </w:p>
    <w:p w14:paraId="5A3CAFFF" w14:textId="0BC2D2EB" w:rsidR="00814857" w:rsidRDefault="00814857" w:rsidP="00350E76">
      <w:pPr>
        <w:pStyle w:val="Heading7"/>
      </w:pPr>
      <w:bookmarkStart w:id="36" w:name="_Ref21960588"/>
      <w:bookmarkEnd w:id="35"/>
      <w:r>
        <w:t>Framework to identify to better identify, assess</w:t>
      </w:r>
      <w:r w:rsidR="00152D52">
        <w:t> </w:t>
      </w:r>
      <w:r>
        <w:t>and manage family violence</w:t>
      </w:r>
      <w:bookmarkEnd w:id="36"/>
    </w:p>
    <w:p w14:paraId="6538A6B2" w14:textId="77777777" w:rsidR="00814857" w:rsidRDefault="00814857" w:rsidP="00350E76">
      <w:pPr>
        <w:pStyle w:val="ARbody"/>
      </w:pPr>
      <w:r>
        <w:t xml:space="preserve">More than 1,300 stakeholders across </w:t>
      </w:r>
      <w:r w:rsidRPr="00DE6B9F">
        <w:t>government and non-government orga</w:t>
      </w:r>
      <w:r>
        <w:t>nisations contributed to the development of the new Family Violence Multi-Agency Risk Assessment and Management Framework (MARAM).</w:t>
      </w:r>
    </w:p>
    <w:p w14:paraId="495FEB6E" w14:textId="77777777" w:rsidR="00814857" w:rsidRDefault="00814857" w:rsidP="00350E76">
      <w:pPr>
        <w:pStyle w:val="ARbody"/>
      </w:pPr>
      <w:r>
        <w:t>The framework, which commenced under legislation in September 2018, aims to ensure services are effectively identifying, assessing and managing family violence risk. Services that were prescribed in 2018 included maternal and child health services, alcohol and drug services, mental health services, homelessness services.</w:t>
      </w:r>
    </w:p>
    <w:p w14:paraId="7FD7C2F5" w14:textId="77777777" w:rsidR="00814857" w:rsidRDefault="00814857" w:rsidP="00350E76">
      <w:pPr>
        <w:pStyle w:val="ARbody"/>
      </w:pPr>
      <w:r>
        <w:t>The MARAM provides guidance to organisations (prescribed under regulation) that have responsibilities to assess and manage family violence risk, equipping them to recognise a wide range of risk indicators for children, older people and diverse communities.</w:t>
      </w:r>
    </w:p>
    <w:p w14:paraId="135F35B4" w14:textId="77777777" w:rsidR="00814857" w:rsidRDefault="00814857" w:rsidP="00350E76">
      <w:pPr>
        <w:pStyle w:val="ARbody"/>
      </w:pPr>
      <w:r>
        <w:t>It also supports organisations to keep perpetrators in view and to hold them accountable for their actions and behaviours.</w:t>
      </w:r>
    </w:p>
    <w:p w14:paraId="469C083E" w14:textId="77777777" w:rsidR="00814857" w:rsidRDefault="00814857" w:rsidP="00350E76">
      <w:pPr>
        <w:pStyle w:val="ARbody"/>
      </w:pPr>
      <w:r>
        <w:t>The MARAM covers all aspects of service delivery, from early identification, screening, risk assessment and management, to safety planning, collaborative practice, stabilisation and recovery. It responds to issues and gaps identified by Victoria’s Royal Commission into Family Violence.</w:t>
      </w:r>
    </w:p>
    <w:p w14:paraId="6AF501CC" w14:textId="66BDD8C2" w:rsidR="00814857" w:rsidRDefault="00B8496A" w:rsidP="00350E76">
      <w:pPr>
        <w:pStyle w:val="ARbody"/>
      </w:pPr>
      <w:r>
        <w:br w:type="column"/>
      </w:r>
      <w:r w:rsidR="00814857">
        <w:t>More than 855 organisations and 37,500 professionals are now prescribed to align their policies, procedures, practice guidance and tools with the MARAM, and further organisations will be</w:t>
      </w:r>
      <w:r w:rsidR="00152D52">
        <w:t> </w:t>
      </w:r>
      <w:r w:rsidR="00814857">
        <w:t>prescribed from 2020.</w:t>
      </w:r>
    </w:p>
    <w:p w14:paraId="5452CFB1" w14:textId="77777777" w:rsidR="00814857" w:rsidRDefault="00814857" w:rsidP="00350E76">
      <w:pPr>
        <w:pStyle w:val="ARbody"/>
      </w:pPr>
      <w:r>
        <w:t>The Family Violence Information Sharing Scheme that commenced in February 2018 is a core element of the new MARAM, enabling prescribed entities to share information to assess and manage family violence risk.</w:t>
      </w:r>
    </w:p>
    <w:p w14:paraId="07F69863" w14:textId="615F4D75" w:rsidR="00814857" w:rsidRDefault="00814857" w:rsidP="00350E76">
      <w:pPr>
        <w:pStyle w:val="ARbody"/>
      </w:pPr>
      <w:r>
        <w:t>Evaluations of the information sharing scheme and</w:t>
      </w:r>
      <w:r w:rsidR="00152D52">
        <w:t> </w:t>
      </w:r>
      <w:r>
        <w:t>the MARAM have commenced, in line with requirements under the legislation.</w:t>
      </w:r>
    </w:p>
    <w:p w14:paraId="1A40D4B3" w14:textId="3F865527" w:rsidR="00814857" w:rsidRDefault="00814857" w:rsidP="00350E76">
      <w:pPr>
        <w:pStyle w:val="Heading7"/>
      </w:pPr>
      <w:r>
        <w:t>T</w:t>
      </w:r>
      <w:r w:rsidRPr="00A40566">
        <w:t xml:space="preserve">ailored one-on-one service response </w:t>
      </w:r>
      <w:r>
        <w:t>to</w:t>
      </w:r>
      <w:r w:rsidR="00152D52">
        <w:t> </w:t>
      </w:r>
      <w:r>
        <w:t>address men’s behaviour change</w:t>
      </w:r>
    </w:p>
    <w:p w14:paraId="442C9C7C" w14:textId="02245E71" w:rsidR="00814857" w:rsidRPr="001D3B13" w:rsidRDefault="00814857" w:rsidP="00350E76">
      <w:pPr>
        <w:pStyle w:val="ARbody"/>
      </w:pPr>
      <w:r w:rsidRPr="001D3B13">
        <w:t>In 2018–19, 5,400 men received a Men’s Behaviour Change Program (MBCP) service. MBCP services hold men to account for their violence, challenge their use of violence and maintain a focus on victim survivors’ safety. In addition, over 900 perpetrators of family violence received case management services in 2018–19. These services provided a</w:t>
      </w:r>
      <w:r w:rsidR="00152D52">
        <w:t> </w:t>
      </w:r>
      <w:r w:rsidRPr="001D3B13">
        <w:t>tailored one-on-one service response that enhances the safety of victim survivors by keeping</w:t>
      </w:r>
      <w:r w:rsidR="00152D52">
        <w:t> </w:t>
      </w:r>
      <w:r w:rsidRPr="001D3B13">
        <w:t>perpetrators in view of services and sharing information for the purposes of risk assessment and management.</w:t>
      </w:r>
    </w:p>
    <w:p w14:paraId="34193F66" w14:textId="77777777" w:rsidR="00345066" w:rsidRDefault="00814857" w:rsidP="00350E76">
      <w:pPr>
        <w:pStyle w:val="Heading7"/>
      </w:pPr>
      <w:bookmarkStart w:id="37" w:name="_Ref21960529"/>
      <w:r>
        <w:t>Preventing the cycle of violence</w:t>
      </w:r>
      <w:bookmarkEnd w:id="37"/>
    </w:p>
    <w:p w14:paraId="7C50CEEA" w14:textId="20BE002B" w:rsidR="00814857" w:rsidRDefault="00814857" w:rsidP="00350E76">
      <w:pPr>
        <w:pStyle w:val="ARbody"/>
      </w:pPr>
      <w:r>
        <w:t>To provide earlier support for Aboriginal Victorians, the Preventing the Cycle of Violence Aboriginal Fund has allocated $2.7 million over two years to 11 Aboriginal-led family violence primary prevention and early intervention projects.</w:t>
      </w:r>
    </w:p>
    <w:p w14:paraId="431EE8DC" w14:textId="77777777" w:rsidR="00814857" w:rsidRDefault="00814857" w:rsidP="00350E76">
      <w:pPr>
        <w:pStyle w:val="ARbody"/>
      </w:pPr>
      <w:r>
        <w:t>In addition, the Aboriginal Community Initiatives Fund delivered $1.1 million of annual grant funding in 2018–19, to support 46 Aboriginal-led projects across the state.</w:t>
      </w:r>
    </w:p>
    <w:p w14:paraId="2B285221" w14:textId="77777777" w:rsidR="00345066" w:rsidRDefault="00814857" w:rsidP="00350E76">
      <w:pPr>
        <w:pStyle w:val="Heading7"/>
      </w:pPr>
      <w:r>
        <w:t>Aboriginal-led family violence support</w:t>
      </w:r>
    </w:p>
    <w:p w14:paraId="6324EDBC" w14:textId="02D98C42" w:rsidR="00814857" w:rsidRDefault="00814857" w:rsidP="00350E76">
      <w:pPr>
        <w:pStyle w:val="ARbody"/>
      </w:pPr>
      <w:r>
        <w:t>Aboriginal and Torres Strait Islander people living in</w:t>
      </w:r>
      <w:r w:rsidR="00152D52">
        <w:t> </w:t>
      </w:r>
      <w:r>
        <w:t>eastern metropolitan Melbourne can now receive support from an independent, Aboriginal-led service when healing from the impact of family violence. In the words of Aunty Janet, an Elder and chair of the Boorndawan Willam Healing Service, ‘We can be an Aboriginal organisation doing, being and sharing our way.’</w:t>
      </w:r>
    </w:p>
    <w:p w14:paraId="7C824758" w14:textId="77777777" w:rsidR="00B8496A" w:rsidRDefault="00B8496A" w:rsidP="00350E76">
      <w:pPr>
        <w:pStyle w:val="ARbody"/>
      </w:pPr>
      <w:r>
        <w:br w:type="page"/>
      </w:r>
    </w:p>
    <w:p w14:paraId="1AC13E02" w14:textId="2E8341DB" w:rsidR="00814857" w:rsidRDefault="00814857" w:rsidP="00350E76">
      <w:pPr>
        <w:pStyle w:val="ARbody"/>
      </w:pPr>
      <w:r>
        <w:lastRenderedPageBreak/>
        <w:t>Boorndawan Willam, which translates as ‘safe house’, signed a service agreement with the department in April 2019, signalling a significant step forward for self-determination. Auspiced by mainstream provider EACH since 2006, its new independence is the result of hard work and respectful collaboration between the two providers and the department.</w:t>
      </w:r>
    </w:p>
    <w:p w14:paraId="02749E1C" w14:textId="77777777" w:rsidR="00814857" w:rsidRDefault="00814857" w:rsidP="00350E76">
      <w:pPr>
        <w:pStyle w:val="ARbody"/>
      </w:pPr>
      <w:r>
        <w:t>Boorndawan Willam works within a non-judgmental Aboriginal cultural framework to support victims and perpetrators. It seeks to reduce and ultimately eliminate the impacts of transgenerational and historical abuse associated with family violence.</w:t>
      </w:r>
    </w:p>
    <w:p w14:paraId="64EFF1A0" w14:textId="1AB411A3" w:rsidR="00345066" w:rsidRDefault="00814857" w:rsidP="00B34C15">
      <w:pPr>
        <w:pStyle w:val="Heading7"/>
      </w:pPr>
      <w:r>
        <w:t>C</w:t>
      </w:r>
      <w:r w:rsidRPr="00A40566">
        <w:t>ommunity-led Aboriginal agreement to</w:t>
      </w:r>
      <w:r w:rsidR="00152D52">
        <w:t> </w:t>
      </w:r>
      <w:r w:rsidRPr="00A40566">
        <w:t>address family violence</w:t>
      </w:r>
    </w:p>
    <w:p w14:paraId="58F042D3" w14:textId="09154C32" w:rsidR="00814857" w:rsidRPr="0060094D" w:rsidRDefault="00814857" w:rsidP="00350E76">
      <w:pPr>
        <w:pStyle w:val="ARbody"/>
      </w:pPr>
      <w:r w:rsidRPr="008F035E">
        <w:rPr>
          <w:i/>
        </w:rPr>
        <w:t>Dhelk Dja: Safe Our Way – Strong Culture, Strong Peoples, Strong Families</w:t>
      </w:r>
      <w:r w:rsidRPr="000A5537">
        <w:t xml:space="preserve"> is the new Aboriginal </w:t>
      </w:r>
      <w:r w:rsidR="00152D52">
        <w:br/>
      </w:r>
      <w:r w:rsidRPr="000A5537">
        <w:t>10-year family violence agreement for 2018–2028. It is a community</w:t>
      </w:r>
      <w:r>
        <w:t>-</w:t>
      </w:r>
      <w:r w:rsidRPr="00D816E8">
        <w:t>led agreement built on Aboriginal self-determination that was formally launched in Mildura in October 2018</w:t>
      </w:r>
      <w:r w:rsidRPr="00D20540">
        <w:t>.</w:t>
      </w:r>
    </w:p>
    <w:p w14:paraId="1440824E" w14:textId="44C9527F" w:rsidR="00814857" w:rsidRPr="0060094D" w:rsidRDefault="00814857" w:rsidP="00350E76">
      <w:pPr>
        <w:pStyle w:val="ARbody"/>
      </w:pPr>
      <w:r w:rsidRPr="00FA14B7">
        <w:rPr>
          <w:i/>
        </w:rPr>
        <w:t>Dhelk Dja</w:t>
      </w:r>
      <w:r w:rsidRPr="0060094D" w:rsidDel="00B672ED">
        <w:t xml:space="preserve"> </w:t>
      </w:r>
      <w:r w:rsidRPr="0060094D">
        <w:t>recognises the urgent need to reduce the</w:t>
      </w:r>
      <w:r w:rsidR="00152D52">
        <w:t> </w:t>
      </w:r>
      <w:r w:rsidRPr="0060094D">
        <w:t>disproportionate impact of family violence on Aboriginal people, particularly women and children</w:t>
      </w:r>
      <w:r w:rsidR="0082268D">
        <w:t>,</w:t>
      </w:r>
      <w:r w:rsidRPr="0060094D">
        <w:t xml:space="preserve"> and ensure there is a strengths-based and gender</w:t>
      </w:r>
      <w:r>
        <w:t>-</w:t>
      </w:r>
      <w:r w:rsidRPr="0060094D">
        <w:t>informed approach for people who experience and use violence.</w:t>
      </w:r>
    </w:p>
    <w:p w14:paraId="23DC6DE7" w14:textId="2B1537A8" w:rsidR="00345066" w:rsidRDefault="00814857" w:rsidP="00350E76">
      <w:pPr>
        <w:pStyle w:val="ARbody"/>
      </w:pPr>
      <w:r w:rsidRPr="00C67200">
        <w:rPr>
          <w:i/>
        </w:rPr>
        <w:t>Dhelk Dja</w:t>
      </w:r>
      <w:r w:rsidRPr="0060094D">
        <w:t xml:space="preserve"> also recognises that family violence is</w:t>
      </w:r>
      <w:r w:rsidR="00152D52">
        <w:t> </w:t>
      </w:r>
      <w:r w:rsidRPr="0060094D">
        <w:t>not part of Aboriginal culture and that family violence against Aboriginal people is perpetrated by</w:t>
      </w:r>
      <w:r w:rsidR="00152D52">
        <w:t> </w:t>
      </w:r>
      <w:r w:rsidRPr="0060094D">
        <w:t xml:space="preserve">both non-Aboriginal and Aboriginal people. </w:t>
      </w:r>
      <w:r w:rsidRPr="00C67200">
        <w:rPr>
          <w:i/>
        </w:rPr>
        <w:t>Dhelk Dja</w:t>
      </w:r>
      <w:r w:rsidRPr="0060094D">
        <w:t xml:space="preserve"> </w:t>
      </w:r>
      <w:r>
        <w:t>acknowledges</w:t>
      </w:r>
      <w:r w:rsidRPr="0060094D">
        <w:t xml:space="preserve"> the importance of whole</w:t>
      </w:r>
      <w:r>
        <w:t>-</w:t>
      </w:r>
      <w:r w:rsidRPr="0060094D">
        <w:t>of</w:t>
      </w:r>
      <w:r>
        <w:t>-</w:t>
      </w:r>
      <w:r w:rsidRPr="0060094D">
        <w:t>family and whole</w:t>
      </w:r>
      <w:r>
        <w:t>-</w:t>
      </w:r>
      <w:r w:rsidRPr="0060094D">
        <w:t>of</w:t>
      </w:r>
      <w:r>
        <w:t>-</w:t>
      </w:r>
      <w:r w:rsidRPr="0060094D">
        <w:t xml:space="preserve">community approaches that are inclusive </w:t>
      </w:r>
      <w:r>
        <w:t>of</w:t>
      </w:r>
      <w:r w:rsidRPr="0060094D">
        <w:t xml:space="preserve"> the diversity of Aboriginal people and communities. It values the strength, knowledge and rich diversity of Aboriginal people, families and communities.</w:t>
      </w:r>
    </w:p>
    <w:p w14:paraId="1700BEBC" w14:textId="20E10AD0" w:rsidR="00814857" w:rsidRDefault="00814857" w:rsidP="00350E76">
      <w:pPr>
        <w:pStyle w:val="Heading7"/>
      </w:pPr>
      <w:r>
        <w:t>Everybody matters – responding to the Royal</w:t>
      </w:r>
      <w:r w:rsidR="00152D52">
        <w:t> </w:t>
      </w:r>
      <w:r>
        <w:t>Commission into Family Violence</w:t>
      </w:r>
    </w:p>
    <w:p w14:paraId="12A202D9" w14:textId="35396DFE" w:rsidR="00814857" w:rsidRDefault="00814857" w:rsidP="00350E76">
      <w:pPr>
        <w:pStyle w:val="ARbody"/>
      </w:pPr>
      <w:r w:rsidRPr="00675CC5">
        <w:rPr>
          <w:i/>
          <w:iCs/>
        </w:rPr>
        <w:t xml:space="preserve">Everybody </w:t>
      </w:r>
      <w:r>
        <w:rPr>
          <w:i/>
          <w:iCs/>
        </w:rPr>
        <w:t>m</w:t>
      </w:r>
      <w:r w:rsidRPr="00675CC5">
        <w:rPr>
          <w:i/>
          <w:iCs/>
        </w:rPr>
        <w:t xml:space="preserve">atters: </w:t>
      </w:r>
      <w:r>
        <w:rPr>
          <w:i/>
          <w:iCs/>
        </w:rPr>
        <w:t>i</w:t>
      </w:r>
      <w:r w:rsidRPr="00675CC5">
        <w:rPr>
          <w:i/>
          <w:iCs/>
        </w:rPr>
        <w:t xml:space="preserve">nclusion and </w:t>
      </w:r>
      <w:r>
        <w:rPr>
          <w:i/>
          <w:iCs/>
        </w:rPr>
        <w:t>e</w:t>
      </w:r>
      <w:r w:rsidRPr="00675CC5">
        <w:rPr>
          <w:i/>
          <w:iCs/>
        </w:rPr>
        <w:t xml:space="preserve">quity </w:t>
      </w:r>
      <w:r>
        <w:rPr>
          <w:i/>
          <w:iCs/>
        </w:rPr>
        <w:t>s</w:t>
      </w:r>
      <w:r w:rsidRPr="00675CC5">
        <w:rPr>
          <w:i/>
          <w:iCs/>
        </w:rPr>
        <w:t>tatement</w:t>
      </w:r>
      <w:r>
        <w:t>, the 10-year commitment to building an inclusive, safe, responsive, accessible and accountable family violence system, was launched on 5</w:t>
      </w:r>
      <w:r w:rsidR="00152D52">
        <w:t> </w:t>
      </w:r>
      <w:r>
        <w:t>April</w:t>
      </w:r>
      <w:r w:rsidR="00152D52">
        <w:t> </w:t>
      </w:r>
      <w:r>
        <w:t>2019.</w:t>
      </w:r>
    </w:p>
    <w:p w14:paraId="6C53FC6C" w14:textId="395A3F66" w:rsidR="00814857" w:rsidRDefault="00814857" w:rsidP="00350E76">
      <w:pPr>
        <w:pStyle w:val="ARbody"/>
      </w:pPr>
      <w:r>
        <w:t>The world-first statement was a key response to the</w:t>
      </w:r>
      <w:r w:rsidR="00152D52">
        <w:t> </w:t>
      </w:r>
      <w:r>
        <w:t>Royal Commission into Family Violence, which found that people from diverse communities can be</w:t>
      </w:r>
      <w:r w:rsidR="00152D52">
        <w:t> </w:t>
      </w:r>
      <w:r>
        <w:t>at greater risk of family violence and face extra barriers to getting help.</w:t>
      </w:r>
    </w:p>
    <w:p w14:paraId="6D07A0E9" w14:textId="77777777" w:rsidR="00814857" w:rsidRDefault="00814857" w:rsidP="00350E76">
      <w:pPr>
        <w:pStyle w:val="ARbody"/>
      </w:pPr>
      <w:r>
        <w:rPr>
          <w:i/>
          <w:iCs/>
        </w:rPr>
        <w:t>Everybody matters</w:t>
      </w:r>
      <w:r>
        <w:t xml:space="preserve"> will guide a more inclusive, safe and responsive system for more people, regardless of gender, ability, sexual orientation, sex, ethnicity, religion, age or mental health.</w:t>
      </w:r>
    </w:p>
    <w:p w14:paraId="58B4F737" w14:textId="6FF5B0C2" w:rsidR="00814857" w:rsidRDefault="00814857" w:rsidP="00350E76">
      <w:pPr>
        <w:pStyle w:val="ARbody"/>
      </w:pPr>
      <w:r>
        <w:t>Other key initiatives towards building a more inclusive system include W/Respect, a new specialist family violence service for lesbian, gay,</w:t>
      </w:r>
      <w:r w:rsidR="00152D52">
        <w:t> </w:t>
      </w:r>
      <w:r>
        <w:t>bisexual, trans, intersex and queer and/or questioning (LGBTIQ) people launched in September 2018. The service aims to address barriers and service gaps for LGBTIQ people.</w:t>
      </w:r>
    </w:p>
    <w:p w14:paraId="317CDA77" w14:textId="6F809546" w:rsidR="00814857" w:rsidRDefault="00814857" w:rsidP="00350E76">
      <w:pPr>
        <w:pStyle w:val="ARbody"/>
      </w:pPr>
      <w:r>
        <w:t xml:space="preserve">In 2018–19, W/Respect provided 441 responses </w:t>
      </w:r>
      <w:r>
        <w:br/>
        <w:t>to people from LGBTIQ communities across early intervention, crisis recovery and perpetrator responses, with 1,350 prevention responses delivered. The service received 654 calls through the statewide after-hours telephone service, which</w:t>
      </w:r>
      <w:r w:rsidR="005D04AC">
        <w:t> </w:t>
      </w:r>
      <w:r>
        <w:t xml:space="preserve">provides family violence intake and </w:t>
      </w:r>
      <w:r>
        <w:br/>
        <w:t>tele-counselling.</w:t>
      </w:r>
    </w:p>
    <w:p w14:paraId="1DD5C6C6" w14:textId="36359784" w:rsidR="00814857" w:rsidRDefault="00814857" w:rsidP="00350E76">
      <w:pPr>
        <w:pStyle w:val="ARbody"/>
      </w:pPr>
      <w:r>
        <w:t>In addition, 26 family violence service providers (including six Aboriginal organisations) were funded</w:t>
      </w:r>
      <w:r w:rsidR="00152D52">
        <w:t> </w:t>
      </w:r>
      <w:r>
        <w:t>to undertake the Rainbow Tick Accreditation initiative, a national accreditation program recognising organisations that deliver safe and</w:t>
      </w:r>
      <w:r w:rsidR="00152D52">
        <w:t> </w:t>
      </w:r>
      <w:r>
        <w:t>inclusive practice for LGBTIQ people.</w:t>
      </w:r>
    </w:p>
    <w:p w14:paraId="2D374E9B" w14:textId="30B9B733" w:rsidR="00814857" w:rsidRDefault="00814857" w:rsidP="00350E76">
      <w:pPr>
        <w:pStyle w:val="ARbody"/>
      </w:pPr>
      <w:r>
        <w:t xml:space="preserve">In addition, pilot funding was provided in 2018–19 for a statewide LGBTIQ </w:t>
      </w:r>
      <w:r w:rsidR="0082268D">
        <w:t>i</w:t>
      </w:r>
      <w:r>
        <w:t xml:space="preserve">nclusion </w:t>
      </w:r>
      <w:r w:rsidR="0082268D">
        <w:t>a</w:t>
      </w:r>
      <w:r>
        <w:t>dvisor based at</w:t>
      </w:r>
      <w:r w:rsidR="005D04AC">
        <w:t> </w:t>
      </w:r>
      <w:r>
        <w:t>Domestic Violence Victoria.</w:t>
      </w:r>
    </w:p>
    <w:p w14:paraId="3DCF5E62" w14:textId="16EAE031" w:rsidR="00814857" w:rsidRDefault="00814857" w:rsidP="00350E76">
      <w:pPr>
        <w:pStyle w:val="Heading5"/>
      </w:pPr>
      <w:r>
        <w:t>Key result 14: Reduce the occurrence of</w:t>
      </w:r>
      <w:r w:rsidR="00152D52">
        <w:t> </w:t>
      </w:r>
      <w:r>
        <w:t>occupational violence, bullying, assault</w:t>
      </w:r>
      <w:r w:rsidR="00152D52">
        <w:t> </w:t>
      </w:r>
      <w:r>
        <w:t>and inappropriate behaviour in departmental and public health services</w:t>
      </w:r>
    </w:p>
    <w:p w14:paraId="5764B9C8" w14:textId="4F654B36" w:rsidR="00814857" w:rsidRDefault="00814857" w:rsidP="00350E76">
      <w:pPr>
        <w:pStyle w:val="Heading6"/>
      </w:pPr>
      <w:r>
        <w:rPr>
          <w:lang w:val="en-AU"/>
        </w:rPr>
        <w:t>Improving the prevention and management</w:t>
      </w:r>
      <w:r w:rsidR="00152D52">
        <w:rPr>
          <w:lang w:val="en-AU"/>
        </w:rPr>
        <w:t> </w:t>
      </w:r>
      <w:r>
        <w:rPr>
          <w:lang w:val="en-AU"/>
        </w:rPr>
        <w:t>of</w:t>
      </w:r>
      <w:r w:rsidR="00152D52">
        <w:rPr>
          <w:lang w:val="en-AU"/>
        </w:rPr>
        <w:t> </w:t>
      </w:r>
      <w:r w:rsidR="00DE343C">
        <w:rPr>
          <w:lang w:val="en-US"/>
        </w:rPr>
        <w:t>occupational</w:t>
      </w:r>
      <w:r>
        <w:t xml:space="preserve"> violence</w:t>
      </w:r>
    </w:p>
    <w:p w14:paraId="4E3801E0" w14:textId="749C0297" w:rsidR="00814857" w:rsidRDefault="00814857" w:rsidP="00350E76">
      <w:pPr>
        <w:pStyle w:val="ARbody"/>
      </w:pPr>
      <w:r>
        <w:t>The department has worked collaboratively with health services, sector representatives and other key stakeholders such as workers, unions, professional associations and WorkSafe Victoria to</w:t>
      </w:r>
      <w:r w:rsidR="005D04AC">
        <w:t> </w:t>
      </w:r>
      <w:r>
        <w:t>implement initiatives to improve the prevention and management of occupational violence and aggression across Victorian health services.</w:t>
      </w:r>
    </w:p>
    <w:p w14:paraId="3D38442F" w14:textId="15E4FBA8" w:rsidR="00345066" w:rsidRDefault="00814857" w:rsidP="00350E76">
      <w:pPr>
        <w:pStyle w:val="ARbody"/>
      </w:pPr>
      <w:r>
        <w:t xml:space="preserve">Phase 3 of the It’s Never OK campaign, a partnership with WorkSafe Victoria, ran from February to May 2019 and further highlighted the impact of aggressive behaviours against healthcare workers, building on the improved attitudes and beliefs that violence and aggression against healthcare workers is never OK. It included </w:t>
      </w:r>
      <w:r>
        <w:lastRenderedPageBreak/>
        <w:t>television commercials, radio and social media, as</w:t>
      </w:r>
      <w:r w:rsidR="00152D52">
        <w:t> </w:t>
      </w:r>
      <w:r>
        <w:t>well as new sponsorships and partnerships.</w:t>
      </w:r>
    </w:p>
    <w:p w14:paraId="617B2CCA" w14:textId="1B0116FA" w:rsidR="00814857" w:rsidRDefault="00814857" w:rsidP="00350E76">
      <w:pPr>
        <w:pStyle w:val="ARbody"/>
      </w:pPr>
      <w:r>
        <w:t>In November 2018, we launched an online occupational violence and aggression prevention training program to assist Victorian healthcare workers to prevent and de-escalate violent and aggressive situations. This training allows every healthcare worker across Victoria’s hospitals to</w:t>
      </w:r>
      <w:r w:rsidR="00152D52">
        <w:t> </w:t>
      </w:r>
      <w:r>
        <w:t>access specific occupational violence and aggression prevention training.</w:t>
      </w:r>
    </w:p>
    <w:p w14:paraId="4D7219DF" w14:textId="0484D0E8" w:rsidR="00814857" w:rsidRDefault="00814857" w:rsidP="00350E76">
      <w:pPr>
        <w:pStyle w:val="ARbody"/>
      </w:pPr>
      <w:r>
        <w:t>Additional information resources include a website,</w:t>
      </w:r>
      <w:r w:rsidR="00152D52">
        <w:t> </w:t>
      </w:r>
      <w:r>
        <w:t>guides and a self-assessment tool. These</w:t>
      </w:r>
      <w:r w:rsidR="00152D52">
        <w:t> </w:t>
      </w:r>
      <w:r>
        <w:t>resources provide links and guidance to assist staff and managers to seek and provide support after aggressive and violent incidents.</w:t>
      </w:r>
    </w:p>
    <w:p w14:paraId="2D576DB5" w14:textId="4B9B8051" w:rsidR="00814857" w:rsidRDefault="00814857" w:rsidP="00350E76">
      <w:pPr>
        <w:pStyle w:val="ARbody"/>
      </w:pPr>
      <w:r>
        <w:t>All Victorian health services are applying a consistent approach to security by implementing the minimum standards for occupational violence and aggression prevention and response. As</w:t>
      </w:r>
      <w:r w:rsidR="005D04AC">
        <w:t> </w:t>
      </w:r>
      <w:r>
        <w:t>part</w:t>
      </w:r>
      <w:r w:rsidR="00152D52">
        <w:t> </w:t>
      </w:r>
      <w:r>
        <w:t>of the $40 million Health Service Violence</w:t>
      </w:r>
      <w:r w:rsidR="005D04AC">
        <w:t> </w:t>
      </w:r>
      <w:r>
        <w:t>Prevention Fund, this has been further supported by infrastructure improvements with the</w:t>
      </w:r>
      <w:r w:rsidR="005D04AC">
        <w:t> </w:t>
      </w:r>
      <w:r>
        <w:t xml:space="preserve">implementation of round four of </w:t>
      </w:r>
      <w:r w:rsidR="000B12DD">
        <w:t>the f</w:t>
      </w:r>
      <w:r>
        <w:t xml:space="preserve">und in </w:t>
      </w:r>
      <w:r w:rsidR="005D04AC">
        <w:br/>
      </w:r>
      <w:r>
        <w:t>2018–19, providing $3 million to support 37 projects</w:t>
      </w:r>
      <w:r w:rsidR="005D04AC">
        <w:t> </w:t>
      </w:r>
      <w:r>
        <w:t>across 25 health services to improve</w:t>
      </w:r>
      <w:r w:rsidR="005D04AC">
        <w:t> </w:t>
      </w:r>
      <w:r>
        <w:t>their safety and security.</w:t>
      </w:r>
    </w:p>
    <w:p w14:paraId="0E188F99" w14:textId="4D3817E8" w:rsidR="00814857" w:rsidRDefault="00814857" w:rsidP="00350E76">
      <w:pPr>
        <w:pStyle w:val="ARbody"/>
      </w:pPr>
      <w:r>
        <w:t>These actions are improving the attitudes of both the community and the healthcare sector to not accept violence and aggression, building the capability of our healthcare workers to prevent and</w:t>
      </w:r>
      <w:r w:rsidR="005D04AC">
        <w:t> </w:t>
      </w:r>
      <w:r>
        <w:t>de-escalate violence and aggressive situations, and improving the safety and security of our healthcare facilities and incident response.</w:t>
      </w:r>
    </w:p>
    <w:p w14:paraId="5F49A810" w14:textId="6D6D13D3" w:rsidR="00814857" w:rsidRDefault="00814857" w:rsidP="00350E76">
      <w:pPr>
        <w:pStyle w:val="Heading4"/>
      </w:pPr>
      <w:r>
        <w:t xml:space="preserve">Outcome: 2.2 </w:t>
      </w:r>
      <w:r w:rsidRPr="00621FAE">
        <w:t>Victorians have suitable</w:t>
      </w:r>
      <w:r w:rsidR="00152D52">
        <w:t> </w:t>
      </w:r>
      <w:r w:rsidRPr="00621FAE">
        <w:t>and stable housing</w:t>
      </w:r>
    </w:p>
    <w:p w14:paraId="27C15298" w14:textId="72FD5885" w:rsidR="00814857" w:rsidRDefault="00814857" w:rsidP="00350E76">
      <w:pPr>
        <w:pStyle w:val="ARbody"/>
      </w:pPr>
      <w:r>
        <w:t>Every Victorian deserves the safety and security of</w:t>
      </w:r>
      <w:r w:rsidR="00152D52">
        <w:t> </w:t>
      </w:r>
      <w:r>
        <w:t>a home, which is why the department continues to provide a range of initiatives addressing both housing and homelessness. A key focus has been on improving the safety and amenity of public housing estates through the redevelopment of ageing estates. Additionally, work continues to provide support for those Victorians who are at risk</w:t>
      </w:r>
      <w:r w:rsidR="00152D52">
        <w:t> </w:t>
      </w:r>
      <w:r>
        <w:t xml:space="preserve">of homelessness; supporting the community housing sector, not-for-profit sector, financial institutions and </w:t>
      </w:r>
      <w:r w:rsidRPr="00B34D4B">
        <w:t>government</w:t>
      </w:r>
      <w:r>
        <w:t xml:space="preserve"> bodies to develop more</w:t>
      </w:r>
      <w:r w:rsidR="00152D52">
        <w:t> </w:t>
      </w:r>
      <w:r>
        <w:t>social housing; and provide more housing for Victorians escaping family violence.</w:t>
      </w:r>
    </w:p>
    <w:p w14:paraId="3E8A5075" w14:textId="77777777" w:rsidR="00814857" w:rsidRDefault="00814857" w:rsidP="00350E76">
      <w:pPr>
        <w:pStyle w:val="Heading5"/>
      </w:pPr>
      <w:r>
        <w:t>Progress against outcomes</w:t>
      </w:r>
    </w:p>
    <w:p w14:paraId="3E69463F" w14:textId="77777777" w:rsidR="00345066" w:rsidRDefault="00814857" w:rsidP="00350E76">
      <w:pPr>
        <w:pStyle w:val="Heading6"/>
      </w:pPr>
      <w:r>
        <w:t>Redeveloping ageing public housing estates</w:t>
      </w:r>
    </w:p>
    <w:p w14:paraId="6118D777" w14:textId="329CA4C1" w:rsidR="00814857" w:rsidRDefault="00814857" w:rsidP="00350E76">
      <w:pPr>
        <w:pStyle w:val="ARbody"/>
      </w:pPr>
      <w:r w:rsidRPr="00830A5B">
        <w:t>Ageing public housing estates across metropolitan Melbourne are being transformed into vibrant, well-connected neighbourhoods with homes that are comfortable, modern and energy efficient.</w:t>
      </w:r>
    </w:p>
    <w:p w14:paraId="34AA8835" w14:textId="5892F394" w:rsidR="00345066" w:rsidRDefault="00814857" w:rsidP="009D3A91">
      <w:pPr>
        <w:pStyle w:val="ARbody"/>
      </w:pPr>
      <w:r>
        <w:t>Development partners have been selected to</w:t>
      </w:r>
      <w:r w:rsidR="00152D52">
        <w:t> </w:t>
      </w:r>
      <w:r>
        <w:t>redevelop ageing public housing estates in</w:t>
      </w:r>
      <w:r w:rsidR="00152D52">
        <w:t> </w:t>
      </w:r>
      <w:r>
        <w:t>Northcote, North Melbourne, Preston and Brunswick West. These redevelopments will deliver</w:t>
      </w:r>
      <w:r w:rsidR="00152D52">
        <w:t> </w:t>
      </w:r>
      <w:r>
        <w:t>at least 457 new social housing homes, in</w:t>
      </w:r>
      <w:r w:rsidR="00152D52">
        <w:t> </w:t>
      </w:r>
      <w:r>
        <w:t>partnership with the private sector and not-for-profits housing agencies. These homes will be part</w:t>
      </w:r>
      <w:r w:rsidR="00152D52">
        <w:t> </w:t>
      </w:r>
      <w:r>
        <w:t>of integrated mixed tenure communities, with</w:t>
      </w:r>
      <w:r w:rsidR="00152D52">
        <w:t> </w:t>
      </w:r>
      <w:r>
        <w:t>proceeds of private sales going back into the</w:t>
      </w:r>
      <w:r w:rsidR="00152D52">
        <w:t> </w:t>
      </w:r>
      <w:r>
        <w:t>social housing system.</w:t>
      </w:r>
    </w:p>
    <w:p w14:paraId="40CAA8DB" w14:textId="77777777" w:rsidR="00345066" w:rsidRDefault="00814857" w:rsidP="009D3A91">
      <w:pPr>
        <w:pStyle w:val="ARbody"/>
      </w:pPr>
      <w:r>
        <w:t>The new public housing being delivered is sustainable and designed to a 5-star Green Star rating and an average 7-star Nationwide House Energy Rating Scheme (NatHERS) rating – making them cooler in summer and warmer in winter. Demolition works began at walk-up public housing estates in Flemington, Heidelberg West and North Melbourne.</w:t>
      </w:r>
    </w:p>
    <w:p w14:paraId="17834E1C" w14:textId="7F8723CA" w:rsidR="00814857" w:rsidRDefault="00814857" w:rsidP="009D3A91">
      <w:pPr>
        <w:pStyle w:val="ARbody"/>
      </w:pPr>
      <w:r>
        <w:t>Community consultative committees have been set</w:t>
      </w:r>
      <w:r w:rsidR="00152D52">
        <w:t> </w:t>
      </w:r>
      <w:r>
        <w:t>up for all redevelopment sites and additional community consultation events were held with residents, neighbours and stakeholders for Hawthorn, and Ascot Vale sites. Understanding community needs allowed us to refine the design for both sites. A planning permit for 200 dwellings on the Dunlop Avenue, Ascot Vale site was lodged with the council in May 2019.</w:t>
      </w:r>
    </w:p>
    <w:p w14:paraId="235835E2" w14:textId="37C4B2E1" w:rsidR="00814857" w:rsidRPr="00830A5B" w:rsidRDefault="00814857" w:rsidP="009D3A91">
      <w:pPr>
        <w:pStyle w:val="ARbody"/>
      </w:pPr>
      <w:r>
        <w:t xml:space="preserve">Community consultation at the Ascot Vale </w:t>
      </w:r>
      <w:r w:rsidR="000B12DD">
        <w:t>e</w:t>
      </w:r>
      <w:r>
        <w:t>state informed a set of principles for a shared community vision and masterplan for the wider estate.</w:t>
      </w:r>
    </w:p>
    <w:p w14:paraId="16A5A874" w14:textId="7982ED69" w:rsidR="00345066" w:rsidRDefault="00814857" w:rsidP="00350E76">
      <w:pPr>
        <w:pStyle w:val="ARbody"/>
      </w:pPr>
      <w:r w:rsidRPr="00574888">
        <w:t>More than 800 households have been relocated to</w:t>
      </w:r>
      <w:r w:rsidR="00152D52">
        <w:t> </w:t>
      </w:r>
      <w:r w:rsidRPr="00574888">
        <w:t xml:space="preserve">new homes while the redevelopment takes place, and all tenants have the right to return to the redeveloped estates if they wish to do so. Each household has met with the </w:t>
      </w:r>
      <w:r>
        <w:t>c</w:t>
      </w:r>
      <w:r w:rsidRPr="00574888">
        <w:t xml:space="preserve">lient </w:t>
      </w:r>
      <w:r>
        <w:t>e</w:t>
      </w:r>
      <w:r w:rsidRPr="00574888">
        <w:t xml:space="preserve">ngagement </w:t>
      </w:r>
      <w:r>
        <w:t>t</w:t>
      </w:r>
      <w:r w:rsidRPr="00574888">
        <w:t>eam to determine their housing needs and find the</w:t>
      </w:r>
      <w:r w:rsidR="00152D52">
        <w:t> </w:t>
      </w:r>
      <w:r w:rsidRPr="00574888">
        <w:t>best fit for their new property. Including environmentally sustainable design features in</w:t>
      </w:r>
      <w:r w:rsidR="00152D52">
        <w:t> </w:t>
      </w:r>
      <w:r w:rsidRPr="00574888">
        <w:t>disability support houses</w:t>
      </w:r>
      <w:r>
        <w:t>.</w:t>
      </w:r>
    </w:p>
    <w:p w14:paraId="4F8A52C7" w14:textId="799950E4" w:rsidR="00814857" w:rsidRDefault="00814857" w:rsidP="00350E76">
      <w:pPr>
        <w:pStyle w:val="ARbody"/>
      </w:pPr>
      <w:r>
        <w:t>In 2018–19, the department included a range of environmentally sustainable design features in the</w:t>
      </w:r>
      <w:r w:rsidR="00152D52">
        <w:t> </w:t>
      </w:r>
      <w:r>
        <w:t>construction of 15 newly built disability support houses in various regions around the state.</w:t>
      </w:r>
    </w:p>
    <w:p w14:paraId="5C96220C" w14:textId="44EEE279" w:rsidR="00345066" w:rsidRDefault="00814857" w:rsidP="00350E76">
      <w:pPr>
        <w:pStyle w:val="ARbody"/>
      </w:pPr>
      <w:r>
        <w:lastRenderedPageBreak/>
        <w:t>The all-electric designs feature a combination of roof-top solar p</w:t>
      </w:r>
      <w:r w:rsidRPr="00DA4236">
        <w:t xml:space="preserve">hotovoltaic </w:t>
      </w:r>
      <w:r>
        <w:t>(PV) and back-up battery storage to reduce energy costs throughout the year</w:t>
      </w:r>
      <w:r w:rsidR="00152D52">
        <w:t> </w:t>
      </w:r>
      <w:r>
        <w:t>and ensure maximum tenant comfort. Previously, disability support houses relied on diesel generators to provide back-up supply in the</w:t>
      </w:r>
      <w:r w:rsidR="00152D52">
        <w:t> </w:t>
      </w:r>
      <w:r>
        <w:t>event of an outage.</w:t>
      </w:r>
    </w:p>
    <w:p w14:paraId="055B5B4E" w14:textId="1259BD37" w:rsidR="00345066" w:rsidRDefault="00814857" w:rsidP="00350E76">
      <w:pPr>
        <w:pStyle w:val="ARbody"/>
      </w:pPr>
      <w:r>
        <w:t>These sustainable design principles enabled the</w:t>
      </w:r>
      <w:r w:rsidR="00152D52">
        <w:t> </w:t>
      </w:r>
      <w:r>
        <w:t>builds to achieve a 6-star NatHERS rating. Rainwater is also collected on-site for re-use in</w:t>
      </w:r>
      <w:r w:rsidR="00152D52">
        <w:t> </w:t>
      </w:r>
      <w:r>
        <w:t>gardens.</w:t>
      </w:r>
    </w:p>
    <w:p w14:paraId="455D88F7" w14:textId="06A50FCA" w:rsidR="00814857" w:rsidRDefault="00814857" w:rsidP="00B8496A">
      <w:pPr>
        <w:pStyle w:val="ARbody"/>
        <w:spacing w:after="60"/>
      </w:pPr>
      <w:r>
        <w:t>Environmentally sustainable design inclusions:</w:t>
      </w:r>
    </w:p>
    <w:p w14:paraId="305C42A6" w14:textId="77777777" w:rsidR="00814857" w:rsidRDefault="00814857" w:rsidP="00350E76">
      <w:pPr>
        <w:pStyle w:val="ARbullet1"/>
      </w:pPr>
      <w:r>
        <w:t>2 to 4 kW solar PV per dwelling</w:t>
      </w:r>
    </w:p>
    <w:p w14:paraId="5E75A8C1" w14:textId="77777777" w:rsidR="00814857" w:rsidRDefault="00814857" w:rsidP="00350E76">
      <w:pPr>
        <w:pStyle w:val="ARbullet1"/>
      </w:pPr>
      <w:r>
        <w:t>efficient heat-pump hot water systems</w:t>
      </w:r>
    </w:p>
    <w:p w14:paraId="62D7D4C5" w14:textId="77777777" w:rsidR="00814857" w:rsidRDefault="00814857" w:rsidP="00350E76">
      <w:pPr>
        <w:pStyle w:val="ARbullet1"/>
      </w:pPr>
      <w:r>
        <w:t>LED lighting</w:t>
      </w:r>
    </w:p>
    <w:p w14:paraId="1B983EC6" w14:textId="77777777" w:rsidR="00345066" w:rsidRDefault="00814857" w:rsidP="00350E76">
      <w:pPr>
        <w:pStyle w:val="ARbullet1"/>
      </w:pPr>
      <w:r>
        <w:t>high-performance insulation</w:t>
      </w:r>
    </w:p>
    <w:p w14:paraId="1902F4C3" w14:textId="77777777" w:rsidR="00345066" w:rsidRDefault="00814857" w:rsidP="00350E76">
      <w:pPr>
        <w:pStyle w:val="ARbullet1"/>
      </w:pPr>
      <w:r>
        <w:t>double glazing</w:t>
      </w:r>
    </w:p>
    <w:p w14:paraId="398763D1" w14:textId="3AACFA16" w:rsidR="00814857" w:rsidRDefault="00814857" w:rsidP="00350E76">
      <w:pPr>
        <w:pStyle w:val="ARbullet1"/>
      </w:pPr>
      <w:r>
        <w:t>water-saving showerheads and toilets</w:t>
      </w:r>
    </w:p>
    <w:p w14:paraId="1A0D2D7B" w14:textId="77777777" w:rsidR="00814857" w:rsidRDefault="00814857" w:rsidP="00350E76">
      <w:pPr>
        <w:pStyle w:val="ARbullet1"/>
      </w:pPr>
      <w:r>
        <w:t>rainwater tanks</w:t>
      </w:r>
    </w:p>
    <w:p w14:paraId="06969863" w14:textId="4516FE35" w:rsidR="00814857" w:rsidRDefault="00814857" w:rsidP="00F836BE">
      <w:pPr>
        <w:pStyle w:val="ARbullet1"/>
      </w:pPr>
      <w:r>
        <w:t>site orientation to incorporate optimum natural</w:t>
      </w:r>
      <w:r w:rsidR="00152D52">
        <w:t> </w:t>
      </w:r>
      <w:r>
        <w:t>light</w:t>
      </w:r>
    </w:p>
    <w:p w14:paraId="5A60B321" w14:textId="77777777" w:rsidR="00814857" w:rsidRPr="0063513B" w:rsidRDefault="00814857" w:rsidP="00350E76">
      <w:pPr>
        <w:pStyle w:val="ARbullet1"/>
      </w:pPr>
      <w:r>
        <w:t>external block-out blinds.</w:t>
      </w:r>
    </w:p>
    <w:p w14:paraId="4AC4D66C" w14:textId="0E754C02" w:rsidR="00814857" w:rsidRPr="00974436" w:rsidRDefault="00814857" w:rsidP="00350E76">
      <w:pPr>
        <w:pStyle w:val="Heading5"/>
      </w:pPr>
      <w:r w:rsidRPr="00974436">
        <w:t>Key result 15: Reduce the proportion of</w:t>
      </w:r>
      <w:r w:rsidR="00152D52">
        <w:t> </w:t>
      </w:r>
      <w:r w:rsidRPr="00974436">
        <w:t>the</w:t>
      </w:r>
      <w:r w:rsidR="00152D52">
        <w:t> </w:t>
      </w:r>
      <w:r w:rsidRPr="00974436">
        <w:t>population experiencing homelessness</w:t>
      </w:r>
      <w:r w:rsidR="00152D52">
        <w:t> </w:t>
      </w:r>
      <w:r w:rsidRPr="00974436">
        <w:t>– especially victims of</w:t>
      </w:r>
      <w:r w:rsidR="00152D52">
        <w:t> </w:t>
      </w:r>
      <w:r w:rsidRPr="00974436">
        <w:t>family violence and young people</w:t>
      </w:r>
    </w:p>
    <w:p w14:paraId="11C56E99" w14:textId="4C60E44B" w:rsidR="00345066" w:rsidRDefault="00814857" w:rsidP="00B8496A">
      <w:pPr>
        <w:pStyle w:val="Heading6"/>
        <w:spacing w:before="120"/>
      </w:pPr>
      <w:r>
        <w:rPr>
          <w:lang w:val="en-AU"/>
        </w:rPr>
        <w:t xml:space="preserve">Investing in </w:t>
      </w:r>
      <w:r w:rsidR="00DE343C">
        <w:rPr>
          <w:lang w:val="en-US"/>
        </w:rPr>
        <w:t xml:space="preserve">family </w:t>
      </w:r>
      <w:r>
        <w:t>violence crisis</w:t>
      </w:r>
      <w:r w:rsidR="00152D52">
        <w:rPr>
          <w:lang w:val="en-US"/>
        </w:rPr>
        <w:t> </w:t>
      </w:r>
      <w:r>
        <w:t>accommodation</w:t>
      </w:r>
    </w:p>
    <w:p w14:paraId="77647413" w14:textId="2702C0EE" w:rsidR="00814857" w:rsidRDefault="00814857" w:rsidP="00350E76">
      <w:pPr>
        <w:pStyle w:val="ARbody"/>
      </w:pPr>
      <w:r>
        <w:t xml:space="preserve">In 2018–19, 14 sites were acquired for new core and cluster family violence refuges. </w:t>
      </w:r>
      <w:r w:rsidRPr="00574888">
        <w:t>Four of these new facilities have been constructed and are planned to open</w:t>
      </w:r>
      <w:r w:rsidRPr="00574888" w:rsidDel="00574888">
        <w:t xml:space="preserve"> </w:t>
      </w:r>
      <w:r>
        <w:t>by the end of 2019. This model will</w:t>
      </w:r>
      <w:r w:rsidR="00152D52">
        <w:t> </w:t>
      </w:r>
      <w:r>
        <w:t>replace the traditional communal facility where multiple households shared amenities in the one residential home. The new model allows for greater privacy and independence for women and children who will be accommodated in individual units (the clusters) and on-site support provided with staff operating out of a central administration building (the core) on a 24/7 basis. The new facilities allow for visiting services to provide outreach to clients during their refuge stay to ensure their needs are met while safety and security is prioritised.</w:t>
      </w:r>
    </w:p>
    <w:p w14:paraId="63C6038C" w14:textId="77777777" w:rsidR="00814857" w:rsidRDefault="00814857" w:rsidP="00350E76">
      <w:pPr>
        <w:pStyle w:val="Heading6"/>
      </w:pPr>
      <w:r>
        <w:rPr>
          <w:lang w:val="en-AU"/>
        </w:rPr>
        <w:t xml:space="preserve">Supporting a positive transition to independence through </w:t>
      </w:r>
      <w:r>
        <w:t>COMPASS</w:t>
      </w:r>
    </w:p>
    <w:p w14:paraId="3E82FB6F" w14:textId="22774BAF" w:rsidR="00814857" w:rsidRDefault="00814857" w:rsidP="00350E76">
      <w:pPr>
        <w:pStyle w:val="ARbody"/>
      </w:pPr>
      <w:r>
        <w:t>COMPASS is the largest social impact bond in</w:t>
      </w:r>
      <w:r w:rsidR="00152D52">
        <w:t> </w:t>
      </w:r>
      <w:r>
        <w:t>Australia, and will provide 202 young people leaving out-of-home care with a key worker and</w:t>
      </w:r>
      <w:r w:rsidR="00152D52">
        <w:t> </w:t>
      </w:r>
      <w:r>
        <w:t xml:space="preserve">housing to assist their positive transition </w:t>
      </w:r>
      <w:r>
        <w:t>to</w:t>
      </w:r>
      <w:r w:rsidR="00B8496A">
        <w:t> </w:t>
      </w:r>
      <w:r>
        <w:t>independence. COMPASS commenced operation in Western Melbourne and Brimbank Melton in October 2018 and expanded into Greater Bendigo</w:t>
      </w:r>
      <w:r w:rsidR="00152D52">
        <w:t> </w:t>
      </w:r>
      <w:r>
        <w:t>and North East Melbourne in April 2019. The partnership between the department and COMPASS is resulting in innovative person-centred approaches to support young people leaving care, including the provision of appropriate housing sourced by VincentCare. More than 75 young people have been referred to the COMPASS program since the program began, and 20 are now</w:t>
      </w:r>
      <w:r w:rsidR="00152D52">
        <w:t> </w:t>
      </w:r>
      <w:r>
        <w:t>active participants.</w:t>
      </w:r>
    </w:p>
    <w:p w14:paraId="51A32630" w14:textId="77777777" w:rsidR="00B8496A" w:rsidRDefault="00814857" w:rsidP="00B8496A">
      <w:pPr>
        <w:pStyle w:val="Heading6"/>
      </w:pPr>
      <w:r>
        <w:t>T</w:t>
      </w:r>
      <w:r w:rsidRPr="00B34D4B">
        <w:t>ailored intensive support and stable housing</w:t>
      </w:r>
    </w:p>
    <w:p w14:paraId="41F4A88A" w14:textId="7AFCDE25" w:rsidR="00814857" w:rsidRDefault="00814857" w:rsidP="00350E76">
      <w:pPr>
        <w:pStyle w:val="ARbody"/>
      </w:pPr>
      <w:r>
        <w:t xml:space="preserve">The </w:t>
      </w:r>
      <w:r w:rsidRPr="008F035E">
        <w:rPr>
          <w:iCs/>
        </w:rPr>
        <w:t>Journey to Social Inclusion</w:t>
      </w:r>
      <w:r>
        <w:t xml:space="preserve"> social impact investment provides 180 people experiencing chronic homelessness with tailored intensive support and stable housing. The first intake for the program commenced successfully in August 2018, with the second intake now underway. Sixty people who have experienced chronic homelessness are supported by the program, with 98 per cent now in stable housing.</w:t>
      </w:r>
    </w:p>
    <w:p w14:paraId="61F2A074" w14:textId="77777777" w:rsidR="00814857" w:rsidRDefault="00814857" w:rsidP="00350E76">
      <w:pPr>
        <w:pStyle w:val="ARbody"/>
      </w:pPr>
      <w:r>
        <w:t>A further 60 people will join the program by September 2019.</w:t>
      </w:r>
    </w:p>
    <w:p w14:paraId="340278AE" w14:textId="71D3097B" w:rsidR="00814857" w:rsidRPr="00B34D4B" w:rsidRDefault="00814857" w:rsidP="00350E76">
      <w:pPr>
        <w:pStyle w:val="Heading6"/>
        <w:rPr>
          <w:lang w:val="en-AU"/>
        </w:rPr>
      </w:pPr>
      <w:r>
        <w:t>Homelessness and rough sleeping initiatives</w:t>
      </w:r>
      <w:r w:rsidR="00152D52">
        <w:rPr>
          <w:lang w:val="en-AU"/>
        </w:rPr>
        <w:t> </w:t>
      </w:r>
      <w:r>
        <w:rPr>
          <w:lang w:val="en-AU"/>
        </w:rPr>
        <w:t>to</w:t>
      </w:r>
      <w:r w:rsidR="00152D52">
        <w:rPr>
          <w:lang w:val="en-AU"/>
        </w:rPr>
        <w:t> </w:t>
      </w:r>
      <w:r>
        <w:rPr>
          <w:lang w:val="en-AU"/>
        </w:rPr>
        <w:t>support people accessing crisis</w:t>
      </w:r>
      <w:r w:rsidR="00152D52">
        <w:rPr>
          <w:lang w:val="en-AU"/>
        </w:rPr>
        <w:t> </w:t>
      </w:r>
      <w:r>
        <w:rPr>
          <w:lang w:val="en-AU"/>
        </w:rPr>
        <w:t>accommodation</w:t>
      </w:r>
    </w:p>
    <w:p w14:paraId="5DDC6C52" w14:textId="2902B0D5" w:rsidR="00814857" w:rsidRPr="00574888" w:rsidRDefault="00814857" w:rsidP="008F035E">
      <w:pPr>
        <w:pStyle w:val="ARbody"/>
      </w:pPr>
      <w:r w:rsidRPr="00574888">
        <w:t xml:space="preserve">The </w:t>
      </w:r>
      <w:r w:rsidRPr="008F035E">
        <w:rPr>
          <w:i/>
        </w:rPr>
        <w:t>Victorian homelessness and rough sleeping action plan</w:t>
      </w:r>
      <w:r w:rsidRPr="00574888">
        <w:t xml:space="preserve"> aims to reduce the impact and incidence of rough sleeping by assisting people into</w:t>
      </w:r>
      <w:r w:rsidR="00152D52">
        <w:t> </w:t>
      </w:r>
      <w:r w:rsidRPr="00574888">
        <w:t>suitable and permanent housing and providing tailored support services, with assertive outreach teams and supported housing options rolling out in</w:t>
      </w:r>
      <w:r w:rsidR="00152D52">
        <w:t> </w:t>
      </w:r>
      <w:r w:rsidRPr="00574888">
        <w:t>2018</w:t>
      </w:r>
      <w:r>
        <w:t>–</w:t>
      </w:r>
      <w:r w:rsidRPr="00574888">
        <w:t>19.</w:t>
      </w:r>
    </w:p>
    <w:p w14:paraId="6C348012" w14:textId="77777777" w:rsidR="00814857" w:rsidRPr="00574888" w:rsidRDefault="00814857" w:rsidP="008F035E">
      <w:pPr>
        <w:pStyle w:val="ARbody"/>
      </w:pPr>
      <w:r w:rsidRPr="00574888">
        <w:t>The Towards Home initiatives provided 78 people with transitional housing and supported them to end their homelessness experience through integrated, flexible and multidisciplinary services. Breaking the cycle and giving people a sense of belonging starts them on a new journey away from homelessness.</w:t>
      </w:r>
    </w:p>
    <w:p w14:paraId="35221D2A" w14:textId="77777777" w:rsidR="00814857" w:rsidRDefault="00814857" w:rsidP="00574888">
      <w:pPr>
        <w:pStyle w:val="ARbody"/>
      </w:pPr>
      <w:r w:rsidRPr="00574888">
        <w:t>In addition, in 2018–19 congregate crisis accommodation for people experiencing homelessness was re-designed to provide an enhanced service model at three facilities managed by Launch Housing, The Salvation Army and VincentCare Victoria.</w:t>
      </w:r>
    </w:p>
    <w:p w14:paraId="78C59A03" w14:textId="77777777" w:rsidR="00814857" w:rsidRDefault="00814857" w:rsidP="00574888">
      <w:pPr>
        <w:pStyle w:val="ARbody"/>
      </w:pPr>
      <w:r>
        <w:t>This evidence-based and therapeutic approach delivers improved client health, wellbeing and housing outcomes to people accessing crisis accommodation.</w:t>
      </w:r>
    </w:p>
    <w:p w14:paraId="71548781" w14:textId="77777777" w:rsidR="00152D52" w:rsidRDefault="00152D52" w:rsidP="00350E76">
      <w:pPr>
        <w:pStyle w:val="ARbody"/>
        <w:sectPr w:rsidR="00152D52" w:rsidSect="00E34BA4">
          <w:endnotePr>
            <w:numFmt w:val="decimal"/>
          </w:endnotePr>
          <w:type w:val="continuous"/>
          <w:pgSz w:w="11900" w:h="16840" w:code="9"/>
          <w:pgMar w:top="1985" w:right="851" w:bottom="851" w:left="1418" w:header="510" w:footer="340" w:gutter="0"/>
          <w:cols w:num="2" w:space="454"/>
        </w:sectPr>
      </w:pPr>
    </w:p>
    <w:p w14:paraId="4FB2696A" w14:textId="52F6D69A" w:rsidR="00814857" w:rsidRDefault="00814857" w:rsidP="00350E76">
      <w:pPr>
        <w:pStyle w:val="ARbody"/>
      </w:pPr>
      <w:r>
        <w:lastRenderedPageBreak/>
        <w:t>In 2018–19, the congregate crisis accommodation</w:t>
      </w:r>
      <w:r w:rsidR="00152D52">
        <w:t> </w:t>
      </w:r>
      <w:r>
        <w:t>re-design project provided:</w:t>
      </w:r>
    </w:p>
    <w:p w14:paraId="0A82D8F5" w14:textId="77777777" w:rsidR="00814857" w:rsidRDefault="00814857" w:rsidP="00350E76">
      <w:pPr>
        <w:pStyle w:val="ARbullet1"/>
      </w:pPr>
      <w:r>
        <w:t>enhanced mental health and drug and alcohol services at the three crisis accommodation facilities</w:t>
      </w:r>
    </w:p>
    <w:p w14:paraId="58C9F37D" w14:textId="77777777" w:rsidR="00814857" w:rsidRDefault="00814857" w:rsidP="00350E76">
      <w:pPr>
        <w:pStyle w:val="ARbullet1"/>
      </w:pPr>
      <w:r>
        <w:t>accommodation for 175 homeless adults every night who have the highest support needs</w:t>
      </w:r>
    </w:p>
    <w:p w14:paraId="568EDCFF" w14:textId="77777777" w:rsidR="00814857" w:rsidRDefault="00814857" w:rsidP="00350E76">
      <w:pPr>
        <w:pStyle w:val="ARbullet1"/>
      </w:pPr>
      <w:r>
        <w:t>relevant support services and crisis accommodation to more than 900 people.</w:t>
      </w:r>
    </w:p>
    <w:p w14:paraId="41C113A1" w14:textId="77777777" w:rsidR="00814857" w:rsidRDefault="00814857" w:rsidP="00350E76">
      <w:pPr>
        <w:pStyle w:val="ARbodyafterbullets"/>
      </w:pPr>
      <w:r>
        <w:t>Improving people’s participation in health services and strengthening their pathway to long-term housing benefits the whole community.</w:t>
      </w:r>
    </w:p>
    <w:p w14:paraId="271ADE08" w14:textId="33585815" w:rsidR="00814857" w:rsidRDefault="00814857" w:rsidP="00574888">
      <w:pPr>
        <w:pStyle w:val="ARbody"/>
      </w:pPr>
      <w:r w:rsidRPr="00574888">
        <w:t>Vincent</w:t>
      </w:r>
      <w:r>
        <w:t>C</w:t>
      </w:r>
      <w:r w:rsidRPr="00574888">
        <w:t>are operate</w:t>
      </w:r>
      <w:r>
        <w:t>s</w:t>
      </w:r>
      <w:r w:rsidRPr="00574888">
        <w:t xml:space="preserve"> this model at the newly redeveloped Ozanam House in North Melbourne. The redeveloped centre, opened this year</w:t>
      </w:r>
      <w:r>
        <w:t>,</w:t>
      </w:r>
      <w:r w:rsidRPr="00574888">
        <w:t xml:space="preserve"> provid</w:t>
      </w:r>
      <w:r>
        <w:t>es</w:t>
      </w:r>
      <w:r w:rsidR="002C1224">
        <w:t> </w:t>
      </w:r>
      <w:r w:rsidRPr="00574888">
        <w:t>crisis facilities combined with apartment accommodation and a full range of wrap-around support services, with a focus on engagement, reconnection and recovery.</w:t>
      </w:r>
    </w:p>
    <w:p w14:paraId="4CC4AAE1" w14:textId="77777777" w:rsidR="00814857" w:rsidRDefault="00814857" w:rsidP="008F035E">
      <w:pPr>
        <w:pStyle w:val="ARbody"/>
      </w:pPr>
      <w:r w:rsidRPr="00574888">
        <w:t>The first CBD refuge for young people opened this year, providing therapeutic refuge accommodation for 18 young people at Frontyard Youth Services. This innovative model combines accommodation with services for mental health, drug and alcohol, disability, health, family violence, legal needs and counselling, all under the one roof for homeless people aged under 25.</w:t>
      </w:r>
    </w:p>
    <w:p w14:paraId="2FDC48A4" w14:textId="558E3710" w:rsidR="00814857" w:rsidRPr="00141F2E" w:rsidRDefault="00152D52" w:rsidP="00350E76">
      <w:pPr>
        <w:pStyle w:val="Heading6"/>
        <w:rPr>
          <w:lang w:val="en-AU"/>
        </w:rPr>
      </w:pPr>
      <w:r>
        <w:br w:type="column"/>
      </w:r>
      <w:r w:rsidR="00814857">
        <w:t>Accommodation for the homeless</w:t>
      </w:r>
      <w:r w:rsidR="00814857">
        <w:rPr>
          <w:lang w:val="en-AU"/>
        </w:rPr>
        <w:t xml:space="preserve"> initiative</w:t>
      </w:r>
      <w:r>
        <w:rPr>
          <w:lang w:val="en-AU"/>
        </w:rPr>
        <w:t> </w:t>
      </w:r>
      <w:r w:rsidR="00814857">
        <w:rPr>
          <w:lang w:val="en-AU"/>
        </w:rPr>
        <w:t>making a difference</w:t>
      </w:r>
    </w:p>
    <w:p w14:paraId="30DB7952" w14:textId="67F1C2F7" w:rsidR="00814857" w:rsidRDefault="00814857" w:rsidP="00350E76">
      <w:pPr>
        <w:pStyle w:val="ARbody"/>
      </w:pPr>
      <w:r>
        <w:t>In 2018–19, the Accommodation for the Homeless</w:t>
      </w:r>
      <w:r w:rsidR="00152D52">
        <w:t> </w:t>
      </w:r>
      <w:r>
        <w:t>initiative delivered:</w:t>
      </w:r>
    </w:p>
    <w:p w14:paraId="6ECA0C0A" w14:textId="158BA626" w:rsidR="00814857" w:rsidRDefault="00814857" w:rsidP="00350E76">
      <w:pPr>
        <w:pStyle w:val="ARbullet1"/>
      </w:pPr>
      <w:r>
        <w:t xml:space="preserve">the construction of five two-bedroom townhouses in Mt Pleasant, Ballarat, for crisis accommodation with intensive support for homeless </w:t>
      </w:r>
      <w:r w:rsidR="000B12DD">
        <w:t xml:space="preserve">16- to 23-year old </w:t>
      </w:r>
      <w:r>
        <w:t>young people. Uniting Housing Victoria has partnered with Salvo Connect Western</w:t>
      </w:r>
      <w:r w:rsidR="000B12DD">
        <w:t>;</w:t>
      </w:r>
      <w:r>
        <w:t xml:space="preserve"> Berry Street Western</w:t>
      </w:r>
      <w:r w:rsidR="000B12DD">
        <w:t>;</w:t>
      </w:r>
      <w:r>
        <w:t xml:space="preserve"> Ballarat Community Health</w:t>
      </w:r>
      <w:r w:rsidR="000B12DD">
        <w:t>;</w:t>
      </w:r>
      <w:r>
        <w:t xml:space="preserve"> Child and Family Services</w:t>
      </w:r>
      <w:r w:rsidR="000B12DD">
        <w:t xml:space="preserve">; and </w:t>
      </w:r>
      <w:r>
        <w:t>Uniting Care Ballarat</w:t>
      </w:r>
    </w:p>
    <w:p w14:paraId="583CBFE3" w14:textId="15F13780" w:rsidR="00814857" w:rsidRDefault="00814857" w:rsidP="00350E76">
      <w:pPr>
        <w:pStyle w:val="ARbullet1"/>
      </w:pPr>
      <w:r>
        <w:t>the purchase of 11 two- and three-bedroom units in North Bendigo, Epson and Hamlyn Heights for multiple vulnerable groups, led by</w:t>
      </w:r>
      <w:r w:rsidR="002C1224">
        <w:t> </w:t>
      </w:r>
      <w:r>
        <w:t>Haven Home Safe</w:t>
      </w:r>
    </w:p>
    <w:p w14:paraId="2D9A42CE" w14:textId="6112CB47" w:rsidR="00814857" w:rsidRDefault="00814857" w:rsidP="00350E76">
      <w:pPr>
        <w:pStyle w:val="ARbullet1"/>
      </w:pPr>
      <w:r>
        <w:t>accommodation for eight young people with</w:t>
      </w:r>
      <w:r w:rsidR="00152D52">
        <w:t> </w:t>
      </w:r>
      <w:r>
        <w:t>a</w:t>
      </w:r>
      <w:r w:rsidR="00152D52">
        <w:t> </w:t>
      </w:r>
      <w:r>
        <w:t>24-hour lead tenant support worker (supporting a total of 20 young people a year).</w:t>
      </w:r>
    </w:p>
    <w:p w14:paraId="12019C6D" w14:textId="7BAB06B8" w:rsidR="00814857" w:rsidRDefault="00814857" w:rsidP="008F035E">
      <w:pPr>
        <w:pStyle w:val="ARbodyafterbullets"/>
      </w:pPr>
      <w:r>
        <w:t>The initiative was developed in response to a shortage of crisis accommodation across Ballarat and Bendigo. It provides an initial response to young people with significant risk factors presenting to homelessness service providers.</w:t>
      </w:r>
    </w:p>
    <w:p w14:paraId="62DAAEED" w14:textId="77777777" w:rsidR="00814857" w:rsidRDefault="00814857" w:rsidP="00350E76">
      <w:pPr>
        <w:pStyle w:val="ARintro"/>
        <w:sectPr w:rsidR="00814857" w:rsidSect="00E34BA4">
          <w:endnotePr>
            <w:numFmt w:val="decimal"/>
          </w:endnotePr>
          <w:type w:val="continuous"/>
          <w:pgSz w:w="11900" w:h="16840" w:code="9"/>
          <w:pgMar w:top="1985" w:right="851" w:bottom="851" w:left="1418" w:header="510" w:footer="340" w:gutter="0"/>
          <w:cols w:num="2" w:space="454"/>
        </w:sectPr>
      </w:pPr>
    </w:p>
    <w:p w14:paraId="7A75B62D" w14:textId="77777777" w:rsidR="00814857" w:rsidRDefault="00814857" w:rsidP="00BD3806">
      <w:pPr>
        <w:pStyle w:val="Heading3"/>
        <w:spacing w:before="0"/>
      </w:pPr>
      <w:r w:rsidRPr="00336AE4">
        <w:lastRenderedPageBreak/>
        <w:t xml:space="preserve">Objective </w:t>
      </w:r>
      <w:r>
        <w:t>2</w:t>
      </w:r>
      <w:r w:rsidRPr="00336AE4">
        <w:t xml:space="preserve">: </w:t>
      </w:r>
      <w:r>
        <w:t>I</w:t>
      </w:r>
      <w:r w:rsidRPr="00336AE4">
        <w:t>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20" w:firstRow="1" w:lastRow="0" w:firstColumn="0" w:lastColumn="0" w:noHBand="0" w:noVBand="1"/>
      </w:tblPr>
      <w:tblGrid>
        <w:gridCol w:w="5519"/>
        <w:gridCol w:w="1030"/>
        <w:gridCol w:w="1030"/>
        <w:gridCol w:w="1030"/>
        <w:gridCol w:w="1030"/>
      </w:tblGrid>
      <w:tr w:rsidR="00814857" w14:paraId="03DD58A5" w14:textId="77777777" w:rsidTr="00152D52">
        <w:trPr>
          <w:cantSplit/>
          <w:tblHeader/>
        </w:trPr>
        <w:tc>
          <w:tcPr>
            <w:tcW w:w="5474" w:type="dxa"/>
            <w:tcBorders>
              <w:top w:val="nil"/>
              <w:left w:val="single" w:sz="4" w:space="0" w:color="FFFFFF"/>
              <w:bottom w:val="single" w:sz="4" w:space="0" w:color="auto"/>
              <w:right w:val="single" w:sz="4" w:space="0" w:color="FFFFFF"/>
            </w:tcBorders>
            <w:vAlign w:val="bottom"/>
          </w:tcPr>
          <w:p w14:paraId="10DAD4C3" w14:textId="77777777" w:rsidR="00814857" w:rsidRDefault="00814857" w:rsidP="00682CD7">
            <w:pPr>
              <w:spacing w:before="80" w:after="60" w:line="216" w:lineRule="auto"/>
              <w:rPr>
                <w:rFonts w:eastAsia="Times" w:cs="Arial"/>
                <w:b/>
                <w:sz w:val="18"/>
                <w:szCs w:val="18"/>
              </w:rPr>
            </w:pPr>
          </w:p>
        </w:tc>
        <w:tc>
          <w:tcPr>
            <w:tcW w:w="1021" w:type="dxa"/>
            <w:tcBorders>
              <w:top w:val="nil"/>
              <w:left w:val="single" w:sz="4" w:space="0" w:color="FFFFFF"/>
              <w:bottom w:val="single" w:sz="4" w:space="0" w:color="auto"/>
              <w:right w:val="single" w:sz="4" w:space="0" w:color="FFFFFF"/>
            </w:tcBorders>
            <w:hideMark/>
          </w:tcPr>
          <w:p w14:paraId="3620EC6C" w14:textId="77777777" w:rsidR="00814857" w:rsidRPr="00B54655" w:rsidRDefault="00814857" w:rsidP="00B54655">
            <w:pPr>
              <w:pStyle w:val="ARtablecolhead"/>
            </w:pPr>
            <w:r w:rsidRPr="00B54655">
              <w:t>2015–16</w:t>
            </w:r>
          </w:p>
        </w:tc>
        <w:tc>
          <w:tcPr>
            <w:tcW w:w="1021" w:type="dxa"/>
            <w:tcBorders>
              <w:top w:val="nil"/>
              <w:left w:val="single" w:sz="4" w:space="0" w:color="FFFFFF"/>
              <w:bottom w:val="single" w:sz="4" w:space="0" w:color="auto"/>
              <w:right w:val="single" w:sz="4" w:space="0" w:color="FFFFFF"/>
            </w:tcBorders>
            <w:hideMark/>
          </w:tcPr>
          <w:p w14:paraId="281AABD3" w14:textId="77777777" w:rsidR="00814857" w:rsidRPr="00B54655" w:rsidRDefault="00814857" w:rsidP="00B54655">
            <w:pPr>
              <w:pStyle w:val="ARtablecolhead"/>
            </w:pPr>
            <w:r w:rsidRPr="00B54655">
              <w:t>2016–17</w:t>
            </w:r>
          </w:p>
        </w:tc>
        <w:tc>
          <w:tcPr>
            <w:tcW w:w="1021" w:type="dxa"/>
            <w:tcBorders>
              <w:top w:val="nil"/>
              <w:left w:val="single" w:sz="4" w:space="0" w:color="FFFFFF"/>
              <w:bottom w:val="single" w:sz="4" w:space="0" w:color="auto"/>
              <w:right w:val="single" w:sz="4" w:space="0" w:color="FFFFFF"/>
            </w:tcBorders>
            <w:hideMark/>
          </w:tcPr>
          <w:p w14:paraId="223E8729" w14:textId="77777777" w:rsidR="00814857" w:rsidRPr="00B54655" w:rsidRDefault="00814857" w:rsidP="00B54655">
            <w:pPr>
              <w:pStyle w:val="ARtablecolhead"/>
            </w:pPr>
            <w:r w:rsidRPr="00B54655">
              <w:t>2017–18</w:t>
            </w:r>
          </w:p>
        </w:tc>
        <w:tc>
          <w:tcPr>
            <w:tcW w:w="1021" w:type="dxa"/>
            <w:tcBorders>
              <w:top w:val="nil"/>
              <w:left w:val="single" w:sz="4" w:space="0" w:color="FFFFFF"/>
              <w:bottom w:val="single" w:sz="4" w:space="0" w:color="auto"/>
              <w:right w:val="single" w:sz="4" w:space="0" w:color="FFFFFF"/>
            </w:tcBorders>
            <w:hideMark/>
          </w:tcPr>
          <w:p w14:paraId="53D3EAA3" w14:textId="77777777" w:rsidR="00814857" w:rsidRPr="00B54655" w:rsidRDefault="00814857" w:rsidP="00B54655">
            <w:pPr>
              <w:pStyle w:val="ARtablecolhead"/>
            </w:pPr>
            <w:r w:rsidRPr="00B54655">
              <w:t>2018–19</w:t>
            </w:r>
          </w:p>
        </w:tc>
      </w:tr>
      <w:tr w:rsidR="00814857" w14:paraId="1E2A4820" w14:textId="77777777" w:rsidTr="00152D52">
        <w:trPr>
          <w:cantSplit/>
        </w:trPr>
        <w:tc>
          <w:tcPr>
            <w:tcW w:w="1021" w:type="dxa"/>
            <w:gridSpan w:val="5"/>
            <w:tcBorders>
              <w:top w:val="single" w:sz="4" w:space="0" w:color="auto"/>
              <w:left w:val="single" w:sz="4" w:space="0" w:color="FFFFFF"/>
              <w:bottom w:val="single" w:sz="4" w:space="0" w:color="BFBFBF"/>
              <w:right w:val="single" w:sz="4" w:space="0" w:color="FFFFFF"/>
            </w:tcBorders>
            <w:hideMark/>
          </w:tcPr>
          <w:p w14:paraId="5D9E54DB" w14:textId="77777777" w:rsidR="00814857" w:rsidRDefault="00814857" w:rsidP="008F035E">
            <w:pPr>
              <w:pStyle w:val="ARtablebluebold"/>
            </w:pPr>
            <w:r>
              <w:t>Victorians live free from violence and abuse</w:t>
            </w:r>
          </w:p>
        </w:tc>
      </w:tr>
      <w:tr w:rsidR="00814857" w14:paraId="75351C1F" w14:textId="77777777" w:rsidTr="00152D52">
        <w:trPr>
          <w:cantSplit/>
        </w:trPr>
        <w:tc>
          <w:tcPr>
            <w:tcW w:w="5474" w:type="dxa"/>
            <w:tcBorders>
              <w:top w:val="single" w:sz="4" w:space="0" w:color="BFBFBF"/>
              <w:left w:val="single" w:sz="4" w:space="0" w:color="FFFFFF"/>
              <w:bottom w:val="single" w:sz="4" w:space="0" w:color="FFFFFF"/>
              <w:right w:val="single" w:sz="4" w:space="0" w:color="FFFFFF"/>
            </w:tcBorders>
            <w:hideMark/>
          </w:tcPr>
          <w:p w14:paraId="571DC30C" w14:textId="77777777" w:rsidR="00814857" w:rsidRDefault="00814857" w:rsidP="0099241F">
            <w:pPr>
              <w:pStyle w:val="ARtabletext"/>
              <w:spacing w:before="60"/>
              <w:rPr>
                <w:i/>
              </w:rPr>
            </w:pPr>
            <w:r>
              <w:t>Children and young people who were the subject of a substantiated report within 12 months of the closure of a previous substantiated report</w:t>
            </w:r>
          </w:p>
        </w:tc>
        <w:tc>
          <w:tcPr>
            <w:tcW w:w="1021" w:type="dxa"/>
            <w:tcBorders>
              <w:top w:val="single" w:sz="4" w:space="0" w:color="BFBFBF"/>
              <w:left w:val="single" w:sz="4" w:space="0" w:color="FFFFFF"/>
              <w:bottom w:val="single" w:sz="4" w:space="0" w:color="FFFFFF"/>
              <w:right w:val="single" w:sz="4" w:space="0" w:color="FFFFFF"/>
            </w:tcBorders>
            <w:hideMark/>
          </w:tcPr>
          <w:p w14:paraId="2BD091E1" w14:textId="77777777" w:rsidR="00814857" w:rsidRDefault="00814857" w:rsidP="0099241F">
            <w:pPr>
              <w:pStyle w:val="ARtabletext"/>
              <w:spacing w:before="60"/>
            </w:pPr>
            <w:r>
              <w:t>16.5%</w:t>
            </w:r>
          </w:p>
        </w:tc>
        <w:tc>
          <w:tcPr>
            <w:tcW w:w="1021" w:type="dxa"/>
            <w:tcBorders>
              <w:top w:val="single" w:sz="4" w:space="0" w:color="BFBFBF"/>
              <w:left w:val="single" w:sz="4" w:space="0" w:color="FFFFFF"/>
              <w:bottom w:val="single" w:sz="4" w:space="0" w:color="FFFFFF"/>
              <w:right w:val="single" w:sz="4" w:space="0" w:color="FFFFFF"/>
            </w:tcBorders>
            <w:hideMark/>
          </w:tcPr>
          <w:p w14:paraId="7B793B80" w14:textId="77777777" w:rsidR="00814857" w:rsidRDefault="00814857" w:rsidP="0099241F">
            <w:pPr>
              <w:pStyle w:val="ARtabletext"/>
              <w:spacing w:before="60"/>
            </w:pPr>
            <w:r>
              <w:t>17.1%</w:t>
            </w:r>
          </w:p>
        </w:tc>
        <w:tc>
          <w:tcPr>
            <w:tcW w:w="1021" w:type="dxa"/>
            <w:tcBorders>
              <w:top w:val="single" w:sz="4" w:space="0" w:color="BFBFBF"/>
              <w:left w:val="single" w:sz="4" w:space="0" w:color="FFFFFF"/>
              <w:bottom w:val="single" w:sz="4" w:space="0" w:color="FFFFFF"/>
              <w:right w:val="single" w:sz="4" w:space="0" w:color="FFFFFF"/>
            </w:tcBorders>
            <w:hideMark/>
          </w:tcPr>
          <w:p w14:paraId="74ECAABD" w14:textId="77777777" w:rsidR="00814857" w:rsidRDefault="00814857" w:rsidP="0099241F">
            <w:pPr>
              <w:pStyle w:val="ARtabletext"/>
              <w:spacing w:before="60"/>
            </w:pPr>
            <w:r>
              <w:t>17.9%</w:t>
            </w:r>
          </w:p>
        </w:tc>
        <w:tc>
          <w:tcPr>
            <w:tcW w:w="1021" w:type="dxa"/>
            <w:tcBorders>
              <w:top w:val="single" w:sz="4" w:space="0" w:color="BFBFBF"/>
              <w:left w:val="single" w:sz="4" w:space="0" w:color="FFFFFF"/>
              <w:bottom w:val="single" w:sz="4" w:space="0" w:color="FFFFFF"/>
              <w:right w:val="single" w:sz="4" w:space="0" w:color="FFFFFF"/>
            </w:tcBorders>
            <w:hideMark/>
          </w:tcPr>
          <w:p w14:paraId="365EFDA3" w14:textId="77777777" w:rsidR="00814857" w:rsidRDefault="00814857" w:rsidP="0099241F">
            <w:pPr>
              <w:pStyle w:val="ARtabletext"/>
              <w:spacing w:before="60"/>
            </w:pPr>
            <w:r>
              <w:t>18.2%</w:t>
            </w:r>
          </w:p>
        </w:tc>
      </w:tr>
      <w:tr w:rsidR="00814857" w14:paraId="10C67088" w14:textId="77777777" w:rsidTr="00152D52">
        <w:trPr>
          <w:cantSplit/>
        </w:trPr>
        <w:tc>
          <w:tcPr>
            <w:tcW w:w="5474" w:type="dxa"/>
            <w:tcBorders>
              <w:top w:val="single" w:sz="4" w:space="0" w:color="BFBFBF"/>
              <w:left w:val="single" w:sz="4" w:space="0" w:color="FFFFFF"/>
              <w:bottom w:val="single" w:sz="4" w:space="0" w:color="FFFFFF"/>
              <w:right w:val="single" w:sz="4" w:space="0" w:color="FFFFFF"/>
            </w:tcBorders>
            <w:hideMark/>
          </w:tcPr>
          <w:p w14:paraId="1184BD29" w14:textId="77777777" w:rsidR="00814857" w:rsidRPr="00FC4721" w:rsidRDefault="00814857" w:rsidP="0099241F">
            <w:pPr>
              <w:pStyle w:val="ARtabletext"/>
              <w:spacing w:before="60"/>
              <w:rPr>
                <w:i/>
              </w:rPr>
            </w:pPr>
            <w:r w:rsidRPr="00FC4721">
              <w:t>Number of Child FIRST assessments and interventions</w:t>
            </w:r>
            <w:r>
              <w:rPr>
                <w:rStyle w:val="FootnoteReference"/>
              </w:rPr>
              <w:footnoteReference w:id="1"/>
            </w:r>
          </w:p>
        </w:tc>
        <w:tc>
          <w:tcPr>
            <w:tcW w:w="1021" w:type="dxa"/>
            <w:tcBorders>
              <w:top w:val="single" w:sz="4" w:space="0" w:color="BFBFBF"/>
              <w:left w:val="single" w:sz="4" w:space="0" w:color="FFFFFF"/>
              <w:bottom w:val="single" w:sz="4" w:space="0" w:color="FFFFFF"/>
              <w:right w:val="single" w:sz="4" w:space="0" w:color="FFFFFF"/>
            </w:tcBorders>
            <w:hideMark/>
          </w:tcPr>
          <w:p w14:paraId="2C5996F3" w14:textId="77777777" w:rsidR="00814857" w:rsidRPr="00FC4721" w:rsidRDefault="00814857" w:rsidP="0099241F">
            <w:pPr>
              <w:pStyle w:val="ARtabletext"/>
              <w:spacing w:before="60"/>
            </w:pPr>
            <w:r w:rsidRPr="00FC4721">
              <w:t>15,190</w:t>
            </w:r>
          </w:p>
        </w:tc>
        <w:tc>
          <w:tcPr>
            <w:tcW w:w="1021" w:type="dxa"/>
            <w:tcBorders>
              <w:top w:val="single" w:sz="4" w:space="0" w:color="BFBFBF"/>
              <w:left w:val="single" w:sz="4" w:space="0" w:color="FFFFFF"/>
              <w:bottom w:val="single" w:sz="4" w:space="0" w:color="FFFFFF"/>
              <w:right w:val="single" w:sz="4" w:space="0" w:color="FFFFFF"/>
            </w:tcBorders>
            <w:hideMark/>
          </w:tcPr>
          <w:p w14:paraId="0400C5F1" w14:textId="77777777" w:rsidR="00814857" w:rsidRPr="00FC4721" w:rsidRDefault="00814857" w:rsidP="0099241F">
            <w:pPr>
              <w:pStyle w:val="ARtabletext"/>
              <w:spacing w:before="60"/>
            </w:pPr>
            <w:r w:rsidRPr="00FC4721">
              <w:t>20,016</w:t>
            </w:r>
          </w:p>
        </w:tc>
        <w:tc>
          <w:tcPr>
            <w:tcW w:w="1021" w:type="dxa"/>
            <w:tcBorders>
              <w:top w:val="single" w:sz="4" w:space="0" w:color="BFBFBF"/>
              <w:left w:val="single" w:sz="4" w:space="0" w:color="FFFFFF"/>
              <w:bottom w:val="single" w:sz="4" w:space="0" w:color="FFFFFF"/>
              <w:right w:val="single" w:sz="4" w:space="0" w:color="FFFFFF"/>
            </w:tcBorders>
            <w:hideMark/>
          </w:tcPr>
          <w:p w14:paraId="2CB663FA" w14:textId="77777777" w:rsidR="00814857" w:rsidRPr="00FC4721" w:rsidRDefault="00814857" w:rsidP="0099241F">
            <w:pPr>
              <w:pStyle w:val="ARtabletext"/>
              <w:spacing w:before="60"/>
            </w:pPr>
            <w:r w:rsidRPr="00FC4721">
              <w:t>22,310</w:t>
            </w:r>
          </w:p>
        </w:tc>
        <w:tc>
          <w:tcPr>
            <w:tcW w:w="1021" w:type="dxa"/>
            <w:tcBorders>
              <w:top w:val="single" w:sz="4" w:space="0" w:color="BFBFBF"/>
              <w:left w:val="single" w:sz="4" w:space="0" w:color="FFFFFF"/>
              <w:bottom w:val="single" w:sz="4" w:space="0" w:color="FFFFFF"/>
              <w:right w:val="single" w:sz="4" w:space="0" w:color="FFFFFF"/>
            </w:tcBorders>
            <w:hideMark/>
          </w:tcPr>
          <w:p w14:paraId="6C2634DA" w14:textId="77777777" w:rsidR="00814857" w:rsidRPr="00FC4721" w:rsidRDefault="00814857" w:rsidP="0099241F">
            <w:pPr>
              <w:pStyle w:val="ARtabletext"/>
              <w:spacing w:before="60"/>
            </w:pPr>
            <w:r w:rsidRPr="00FC4721">
              <w:t>17,582</w:t>
            </w:r>
          </w:p>
        </w:tc>
      </w:tr>
      <w:tr w:rsidR="00814857" w14:paraId="1EB8EC7B" w14:textId="77777777" w:rsidTr="00152D52">
        <w:trPr>
          <w:cantSplit/>
        </w:trPr>
        <w:tc>
          <w:tcPr>
            <w:tcW w:w="5474" w:type="dxa"/>
            <w:tcBorders>
              <w:top w:val="single" w:sz="4" w:space="0" w:color="BFBFBF"/>
              <w:left w:val="single" w:sz="4" w:space="0" w:color="FFFFFF"/>
              <w:bottom w:val="single" w:sz="4" w:space="0" w:color="FFFFFF"/>
              <w:right w:val="single" w:sz="4" w:space="0" w:color="FFFFFF"/>
            </w:tcBorders>
            <w:hideMark/>
          </w:tcPr>
          <w:p w14:paraId="27D7C316" w14:textId="715366F2" w:rsidR="00814857" w:rsidRDefault="00814857" w:rsidP="0099241F">
            <w:pPr>
              <w:pStyle w:val="ARtabletext"/>
              <w:spacing w:before="60"/>
              <w:rPr>
                <w:i/>
              </w:rPr>
            </w:pPr>
            <w:r>
              <w:t xml:space="preserve">Reports to </w:t>
            </w:r>
            <w:r w:rsidR="000B12DD">
              <w:t>c</w:t>
            </w:r>
            <w:r>
              <w:t xml:space="preserve">hild </w:t>
            </w:r>
            <w:r w:rsidR="000B12DD">
              <w:t>p</w:t>
            </w:r>
            <w:r>
              <w:t xml:space="preserve">rotection </w:t>
            </w:r>
            <w:r w:rsidR="000B12DD">
              <w:t>s</w:t>
            </w:r>
            <w:r>
              <w:t>ervices about the wellbeing and safety of children</w:t>
            </w:r>
          </w:p>
        </w:tc>
        <w:tc>
          <w:tcPr>
            <w:tcW w:w="1021" w:type="dxa"/>
            <w:tcBorders>
              <w:top w:val="single" w:sz="4" w:space="0" w:color="BFBFBF"/>
              <w:left w:val="single" w:sz="4" w:space="0" w:color="FFFFFF"/>
              <w:bottom w:val="single" w:sz="4" w:space="0" w:color="FFFFFF"/>
              <w:right w:val="single" w:sz="4" w:space="0" w:color="FFFFFF"/>
            </w:tcBorders>
            <w:hideMark/>
          </w:tcPr>
          <w:p w14:paraId="1B63E6E1" w14:textId="77777777" w:rsidR="00814857" w:rsidRDefault="00814857" w:rsidP="0099241F">
            <w:pPr>
              <w:pStyle w:val="ARtabletext"/>
              <w:spacing w:before="60"/>
            </w:pPr>
            <w:r>
              <w:t>106,909</w:t>
            </w:r>
          </w:p>
        </w:tc>
        <w:tc>
          <w:tcPr>
            <w:tcW w:w="1021" w:type="dxa"/>
            <w:tcBorders>
              <w:top w:val="single" w:sz="4" w:space="0" w:color="BFBFBF"/>
              <w:left w:val="single" w:sz="4" w:space="0" w:color="FFFFFF"/>
              <w:bottom w:val="single" w:sz="4" w:space="0" w:color="FFFFFF"/>
              <w:right w:val="single" w:sz="4" w:space="0" w:color="FFFFFF"/>
            </w:tcBorders>
            <w:hideMark/>
          </w:tcPr>
          <w:p w14:paraId="629D0EF1" w14:textId="77777777" w:rsidR="00814857" w:rsidRDefault="00814857" w:rsidP="0099241F">
            <w:pPr>
              <w:pStyle w:val="ARtabletext"/>
              <w:spacing w:before="60"/>
            </w:pPr>
            <w:r>
              <w:t>110,987</w:t>
            </w:r>
          </w:p>
        </w:tc>
        <w:tc>
          <w:tcPr>
            <w:tcW w:w="1021" w:type="dxa"/>
            <w:tcBorders>
              <w:top w:val="single" w:sz="4" w:space="0" w:color="BFBFBF"/>
              <w:left w:val="single" w:sz="4" w:space="0" w:color="FFFFFF"/>
              <w:bottom w:val="single" w:sz="4" w:space="0" w:color="FFFFFF"/>
              <w:right w:val="single" w:sz="4" w:space="0" w:color="FFFFFF"/>
            </w:tcBorders>
            <w:hideMark/>
          </w:tcPr>
          <w:p w14:paraId="3E531F26" w14:textId="77777777" w:rsidR="00814857" w:rsidRDefault="00814857" w:rsidP="0099241F">
            <w:pPr>
              <w:pStyle w:val="ARtabletext"/>
              <w:spacing w:before="60"/>
            </w:pPr>
            <w:r>
              <w:t>115,641</w:t>
            </w:r>
          </w:p>
        </w:tc>
        <w:tc>
          <w:tcPr>
            <w:tcW w:w="1021" w:type="dxa"/>
            <w:tcBorders>
              <w:top w:val="single" w:sz="4" w:space="0" w:color="BFBFBF"/>
              <w:left w:val="single" w:sz="4" w:space="0" w:color="FFFFFF"/>
              <w:bottom w:val="single" w:sz="4" w:space="0" w:color="FFFFFF"/>
              <w:right w:val="single" w:sz="4" w:space="0" w:color="FFFFFF"/>
            </w:tcBorders>
            <w:hideMark/>
          </w:tcPr>
          <w:p w14:paraId="15DEC85A" w14:textId="77777777" w:rsidR="00814857" w:rsidRDefault="00814857" w:rsidP="0099241F">
            <w:pPr>
              <w:pStyle w:val="ARtabletext"/>
              <w:spacing w:before="60"/>
            </w:pPr>
            <w:r>
              <w:t>122,963</w:t>
            </w:r>
          </w:p>
        </w:tc>
      </w:tr>
      <w:tr w:rsidR="00814857" w14:paraId="05574E67" w14:textId="77777777" w:rsidTr="00152D52">
        <w:trPr>
          <w:cantSplit/>
        </w:trPr>
        <w:tc>
          <w:tcPr>
            <w:tcW w:w="5474" w:type="dxa"/>
            <w:tcBorders>
              <w:top w:val="single" w:sz="4" w:space="0" w:color="BFBFBF"/>
              <w:left w:val="single" w:sz="4" w:space="0" w:color="FFFFFF"/>
              <w:bottom w:val="nil"/>
              <w:right w:val="single" w:sz="4" w:space="0" w:color="FFFFFF"/>
            </w:tcBorders>
          </w:tcPr>
          <w:p w14:paraId="3754DE9C" w14:textId="77777777" w:rsidR="00814857" w:rsidRDefault="00814857" w:rsidP="0099241F">
            <w:pPr>
              <w:pStyle w:val="ARtabletext"/>
              <w:spacing w:before="60"/>
            </w:pPr>
            <w:r>
              <w:t>Number of family violence victims who receive a refuge response</w:t>
            </w:r>
          </w:p>
        </w:tc>
        <w:tc>
          <w:tcPr>
            <w:tcW w:w="1021" w:type="dxa"/>
            <w:tcBorders>
              <w:top w:val="single" w:sz="4" w:space="0" w:color="BFBFBF"/>
              <w:left w:val="single" w:sz="4" w:space="0" w:color="FFFFFF"/>
              <w:bottom w:val="nil"/>
              <w:right w:val="single" w:sz="4" w:space="0" w:color="FFFFFF"/>
            </w:tcBorders>
            <w:hideMark/>
          </w:tcPr>
          <w:p w14:paraId="4DECDBCA" w14:textId="77777777" w:rsidR="00814857" w:rsidRDefault="00814857" w:rsidP="0099241F">
            <w:pPr>
              <w:pStyle w:val="ARtabletext"/>
              <w:spacing w:before="60"/>
            </w:pPr>
            <w:r>
              <w:t>New measure</w:t>
            </w:r>
          </w:p>
        </w:tc>
        <w:tc>
          <w:tcPr>
            <w:tcW w:w="1021" w:type="dxa"/>
            <w:tcBorders>
              <w:top w:val="single" w:sz="4" w:space="0" w:color="BFBFBF"/>
              <w:left w:val="single" w:sz="4" w:space="0" w:color="FFFFFF"/>
              <w:bottom w:val="nil"/>
              <w:right w:val="single" w:sz="4" w:space="0" w:color="FFFFFF"/>
            </w:tcBorders>
            <w:hideMark/>
          </w:tcPr>
          <w:p w14:paraId="12B8BB6A" w14:textId="77777777" w:rsidR="00814857" w:rsidRDefault="00814857" w:rsidP="0099241F">
            <w:pPr>
              <w:pStyle w:val="ARtabletext"/>
              <w:spacing w:before="60"/>
            </w:pPr>
            <w:r>
              <w:t>New measure</w:t>
            </w:r>
          </w:p>
        </w:tc>
        <w:tc>
          <w:tcPr>
            <w:tcW w:w="1021" w:type="dxa"/>
            <w:tcBorders>
              <w:top w:val="single" w:sz="4" w:space="0" w:color="BFBFBF"/>
              <w:left w:val="single" w:sz="4" w:space="0" w:color="FFFFFF"/>
              <w:bottom w:val="nil"/>
              <w:right w:val="single" w:sz="4" w:space="0" w:color="FFFFFF"/>
            </w:tcBorders>
            <w:hideMark/>
          </w:tcPr>
          <w:p w14:paraId="53FA7B9E" w14:textId="77777777" w:rsidR="00814857" w:rsidRDefault="00814857" w:rsidP="0099241F">
            <w:pPr>
              <w:pStyle w:val="ARtabletext"/>
              <w:spacing w:before="60"/>
            </w:pPr>
            <w:r>
              <w:t>823</w:t>
            </w:r>
          </w:p>
        </w:tc>
        <w:tc>
          <w:tcPr>
            <w:tcW w:w="1021" w:type="dxa"/>
            <w:tcBorders>
              <w:top w:val="single" w:sz="4" w:space="0" w:color="BFBFBF"/>
              <w:left w:val="single" w:sz="4" w:space="0" w:color="FFFFFF"/>
              <w:bottom w:val="nil"/>
              <w:right w:val="single" w:sz="4" w:space="0" w:color="FFFFFF"/>
            </w:tcBorders>
            <w:hideMark/>
          </w:tcPr>
          <w:p w14:paraId="4B653962" w14:textId="77777777" w:rsidR="00814857" w:rsidRDefault="00814857" w:rsidP="0099241F">
            <w:pPr>
              <w:pStyle w:val="ARtabletext"/>
              <w:spacing w:before="60"/>
            </w:pPr>
            <w:r>
              <w:t>897</w:t>
            </w:r>
          </w:p>
        </w:tc>
      </w:tr>
      <w:tr w:rsidR="00814857" w14:paraId="3DAEEF3C" w14:textId="77777777" w:rsidTr="00152D52">
        <w:trPr>
          <w:cantSplit/>
        </w:trPr>
        <w:tc>
          <w:tcPr>
            <w:tcW w:w="5474" w:type="dxa"/>
            <w:tcBorders>
              <w:top w:val="single" w:sz="4" w:space="0" w:color="BFBFBF"/>
              <w:left w:val="single" w:sz="4" w:space="0" w:color="FFFFFF"/>
              <w:bottom w:val="nil"/>
              <w:right w:val="single" w:sz="4" w:space="0" w:color="FFFFFF"/>
            </w:tcBorders>
            <w:hideMark/>
          </w:tcPr>
          <w:p w14:paraId="01678B2E" w14:textId="77777777" w:rsidR="00814857" w:rsidRDefault="00814857" w:rsidP="0099241F">
            <w:pPr>
              <w:pStyle w:val="ARtabletext"/>
              <w:spacing w:before="60"/>
              <w:rPr>
                <w:i/>
              </w:rPr>
            </w:pPr>
            <w:r>
              <w:t>Children and young people in out-of-home care who have had two or less placements in the past 12 months (not including placements at home)</w:t>
            </w:r>
          </w:p>
        </w:tc>
        <w:tc>
          <w:tcPr>
            <w:tcW w:w="1021" w:type="dxa"/>
            <w:tcBorders>
              <w:top w:val="single" w:sz="4" w:space="0" w:color="BFBFBF"/>
              <w:left w:val="single" w:sz="4" w:space="0" w:color="FFFFFF"/>
              <w:bottom w:val="nil"/>
              <w:right w:val="single" w:sz="4" w:space="0" w:color="FFFFFF"/>
            </w:tcBorders>
            <w:hideMark/>
          </w:tcPr>
          <w:p w14:paraId="7C531B4E" w14:textId="77777777" w:rsidR="00814857" w:rsidRDefault="00814857" w:rsidP="0099241F">
            <w:pPr>
              <w:pStyle w:val="ARtabletext"/>
              <w:spacing w:before="60"/>
            </w:pPr>
            <w:r>
              <w:t>91.0%</w:t>
            </w:r>
          </w:p>
        </w:tc>
        <w:tc>
          <w:tcPr>
            <w:tcW w:w="1021" w:type="dxa"/>
            <w:tcBorders>
              <w:top w:val="single" w:sz="4" w:space="0" w:color="BFBFBF"/>
              <w:left w:val="single" w:sz="4" w:space="0" w:color="FFFFFF"/>
              <w:bottom w:val="nil"/>
              <w:right w:val="single" w:sz="4" w:space="0" w:color="FFFFFF"/>
            </w:tcBorders>
            <w:hideMark/>
          </w:tcPr>
          <w:p w14:paraId="1B4B7700" w14:textId="77777777" w:rsidR="00814857" w:rsidRDefault="00814857" w:rsidP="0099241F">
            <w:pPr>
              <w:pStyle w:val="ARtabletext"/>
              <w:spacing w:before="60"/>
            </w:pPr>
            <w:r>
              <w:t>91.2%</w:t>
            </w:r>
          </w:p>
        </w:tc>
        <w:tc>
          <w:tcPr>
            <w:tcW w:w="1021" w:type="dxa"/>
            <w:tcBorders>
              <w:top w:val="single" w:sz="4" w:space="0" w:color="BFBFBF"/>
              <w:left w:val="single" w:sz="4" w:space="0" w:color="FFFFFF"/>
              <w:bottom w:val="nil"/>
              <w:right w:val="single" w:sz="4" w:space="0" w:color="FFFFFF"/>
            </w:tcBorders>
            <w:hideMark/>
          </w:tcPr>
          <w:p w14:paraId="3920FD2A" w14:textId="77777777" w:rsidR="00814857" w:rsidRDefault="00814857" w:rsidP="0099241F">
            <w:pPr>
              <w:pStyle w:val="ARtabletext"/>
              <w:spacing w:before="60"/>
            </w:pPr>
            <w:r>
              <w:t>91.3%</w:t>
            </w:r>
          </w:p>
        </w:tc>
        <w:tc>
          <w:tcPr>
            <w:tcW w:w="1021" w:type="dxa"/>
            <w:tcBorders>
              <w:top w:val="single" w:sz="4" w:space="0" w:color="BFBFBF"/>
              <w:left w:val="single" w:sz="4" w:space="0" w:color="FFFFFF"/>
              <w:bottom w:val="nil"/>
              <w:right w:val="single" w:sz="4" w:space="0" w:color="FFFFFF"/>
            </w:tcBorders>
            <w:hideMark/>
          </w:tcPr>
          <w:p w14:paraId="419CF6A5" w14:textId="77777777" w:rsidR="00814857" w:rsidRDefault="00814857" w:rsidP="0099241F">
            <w:pPr>
              <w:pStyle w:val="ARtabletext"/>
              <w:spacing w:before="60"/>
            </w:pPr>
            <w:r>
              <w:t>90.6%</w:t>
            </w:r>
          </w:p>
        </w:tc>
      </w:tr>
      <w:tr w:rsidR="00814857" w14:paraId="7DD3AF77" w14:textId="77777777" w:rsidTr="00152D52">
        <w:trPr>
          <w:cantSplit/>
        </w:trPr>
        <w:tc>
          <w:tcPr>
            <w:tcW w:w="5474" w:type="dxa"/>
            <w:tcBorders>
              <w:top w:val="single" w:sz="4" w:space="0" w:color="BFBFBF"/>
              <w:left w:val="single" w:sz="4" w:space="0" w:color="FFFFFF"/>
              <w:bottom w:val="nil"/>
              <w:right w:val="single" w:sz="4" w:space="0" w:color="FFFFFF"/>
            </w:tcBorders>
            <w:hideMark/>
          </w:tcPr>
          <w:p w14:paraId="7B1C9BB9" w14:textId="77777777" w:rsidR="00814857" w:rsidRDefault="00814857" w:rsidP="0099241F">
            <w:pPr>
              <w:pStyle w:val="ARtabletext"/>
              <w:spacing w:before="60"/>
              <w:rPr>
                <w:i/>
              </w:rPr>
            </w:pPr>
            <w:r>
              <w:t>Daily average number of children in out-of-home care placements</w:t>
            </w:r>
          </w:p>
        </w:tc>
        <w:tc>
          <w:tcPr>
            <w:tcW w:w="1021" w:type="dxa"/>
            <w:tcBorders>
              <w:top w:val="single" w:sz="4" w:space="0" w:color="BFBFBF"/>
              <w:left w:val="single" w:sz="4" w:space="0" w:color="FFFFFF"/>
              <w:bottom w:val="nil"/>
              <w:right w:val="single" w:sz="4" w:space="0" w:color="FFFFFF"/>
            </w:tcBorders>
            <w:hideMark/>
          </w:tcPr>
          <w:p w14:paraId="138EFAA0" w14:textId="77777777" w:rsidR="00814857" w:rsidRDefault="00814857" w:rsidP="0099241F">
            <w:pPr>
              <w:pStyle w:val="ARtabletext"/>
              <w:spacing w:before="60"/>
            </w:pPr>
            <w:r>
              <w:t>8,752</w:t>
            </w:r>
          </w:p>
        </w:tc>
        <w:tc>
          <w:tcPr>
            <w:tcW w:w="1021" w:type="dxa"/>
            <w:tcBorders>
              <w:top w:val="single" w:sz="4" w:space="0" w:color="BFBFBF"/>
              <w:left w:val="single" w:sz="4" w:space="0" w:color="FFFFFF"/>
              <w:bottom w:val="nil"/>
              <w:right w:val="single" w:sz="4" w:space="0" w:color="FFFFFF"/>
            </w:tcBorders>
            <w:hideMark/>
          </w:tcPr>
          <w:p w14:paraId="6F318DAF" w14:textId="77777777" w:rsidR="00814857" w:rsidRDefault="00814857" w:rsidP="0099241F">
            <w:pPr>
              <w:pStyle w:val="ARtabletext"/>
              <w:spacing w:before="60"/>
            </w:pPr>
            <w:r>
              <w:t>9,446</w:t>
            </w:r>
          </w:p>
        </w:tc>
        <w:tc>
          <w:tcPr>
            <w:tcW w:w="1021" w:type="dxa"/>
            <w:tcBorders>
              <w:top w:val="single" w:sz="4" w:space="0" w:color="BFBFBF"/>
              <w:left w:val="single" w:sz="4" w:space="0" w:color="FFFFFF"/>
              <w:bottom w:val="nil"/>
              <w:right w:val="single" w:sz="4" w:space="0" w:color="FFFFFF"/>
            </w:tcBorders>
            <w:hideMark/>
          </w:tcPr>
          <w:p w14:paraId="5B15704D" w14:textId="77777777" w:rsidR="00814857" w:rsidRDefault="00814857" w:rsidP="0099241F">
            <w:pPr>
              <w:pStyle w:val="ARtabletext"/>
              <w:spacing w:before="60"/>
            </w:pPr>
            <w:r>
              <w:t>10,305</w:t>
            </w:r>
          </w:p>
        </w:tc>
        <w:tc>
          <w:tcPr>
            <w:tcW w:w="1021" w:type="dxa"/>
            <w:tcBorders>
              <w:top w:val="single" w:sz="4" w:space="0" w:color="BFBFBF"/>
              <w:left w:val="single" w:sz="4" w:space="0" w:color="FFFFFF"/>
              <w:bottom w:val="nil"/>
              <w:right w:val="single" w:sz="4" w:space="0" w:color="FFFFFF"/>
            </w:tcBorders>
            <w:hideMark/>
          </w:tcPr>
          <w:p w14:paraId="60823261" w14:textId="77777777" w:rsidR="00814857" w:rsidRDefault="00814857" w:rsidP="0099241F">
            <w:pPr>
              <w:pStyle w:val="ARtabletext"/>
              <w:spacing w:before="60"/>
            </w:pPr>
            <w:r>
              <w:t>11,363</w:t>
            </w:r>
          </w:p>
        </w:tc>
      </w:tr>
      <w:tr w:rsidR="00814857" w14:paraId="48556D77" w14:textId="77777777" w:rsidTr="00152D52">
        <w:trPr>
          <w:cantSplit/>
        </w:trPr>
        <w:tc>
          <w:tcPr>
            <w:tcW w:w="5474" w:type="dxa"/>
            <w:tcBorders>
              <w:top w:val="single" w:sz="4" w:space="0" w:color="BFBFBF"/>
              <w:left w:val="single" w:sz="4" w:space="0" w:color="FFFFFF"/>
              <w:bottom w:val="single" w:sz="4" w:space="0" w:color="FFFFFF"/>
              <w:right w:val="single" w:sz="4" w:space="0" w:color="FFFFFF"/>
            </w:tcBorders>
            <w:hideMark/>
          </w:tcPr>
          <w:p w14:paraId="3CFF6E94" w14:textId="77777777" w:rsidR="00814857" w:rsidRDefault="00814857" w:rsidP="0099241F">
            <w:pPr>
              <w:pStyle w:val="ARtabletext"/>
              <w:spacing w:before="60"/>
              <w:rPr>
                <w:i/>
              </w:rPr>
            </w:pPr>
            <w:r>
              <w:t>Reduce the proportion of children in out-of-home care who live in residential care (daily average)</w:t>
            </w:r>
          </w:p>
        </w:tc>
        <w:tc>
          <w:tcPr>
            <w:tcW w:w="1021" w:type="dxa"/>
            <w:tcBorders>
              <w:top w:val="single" w:sz="4" w:space="0" w:color="BFBFBF"/>
              <w:left w:val="single" w:sz="4" w:space="0" w:color="FFFFFF"/>
              <w:bottom w:val="single" w:sz="4" w:space="0" w:color="FFFFFF"/>
              <w:right w:val="single" w:sz="4" w:space="0" w:color="FFFFFF"/>
            </w:tcBorders>
            <w:hideMark/>
          </w:tcPr>
          <w:p w14:paraId="2E41F178" w14:textId="77777777" w:rsidR="00814857" w:rsidRDefault="00814857" w:rsidP="0099241F">
            <w:pPr>
              <w:pStyle w:val="ARtabletext"/>
              <w:spacing w:before="60"/>
            </w:pPr>
            <w:r>
              <w:t>5.2%</w:t>
            </w:r>
          </w:p>
        </w:tc>
        <w:tc>
          <w:tcPr>
            <w:tcW w:w="1021" w:type="dxa"/>
            <w:tcBorders>
              <w:top w:val="single" w:sz="4" w:space="0" w:color="BFBFBF"/>
              <w:left w:val="single" w:sz="4" w:space="0" w:color="FFFFFF"/>
              <w:bottom w:val="single" w:sz="4" w:space="0" w:color="FFFFFF"/>
              <w:right w:val="single" w:sz="4" w:space="0" w:color="FFFFFF"/>
            </w:tcBorders>
            <w:hideMark/>
          </w:tcPr>
          <w:p w14:paraId="32D949EF" w14:textId="77777777" w:rsidR="00814857" w:rsidRDefault="00814857" w:rsidP="0099241F">
            <w:pPr>
              <w:pStyle w:val="ARtabletext"/>
              <w:spacing w:before="60"/>
            </w:pPr>
            <w:r>
              <w:t>4.6%</w:t>
            </w:r>
          </w:p>
        </w:tc>
        <w:tc>
          <w:tcPr>
            <w:tcW w:w="1021" w:type="dxa"/>
            <w:tcBorders>
              <w:top w:val="single" w:sz="4" w:space="0" w:color="BFBFBF"/>
              <w:left w:val="single" w:sz="4" w:space="0" w:color="FFFFFF"/>
              <w:bottom w:val="single" w:sz="4" w:space="0" w:color="FFFFFF"/>
              <w:right w:val="single" w:sz="4" w:space="0" w:color="FFFFFF"/>
            </w:tcBorders>
            <w:hideMark/>
          </w:tcPr>
          <w:p w14:paraId="54F61849" w14:textId="77777777" w:rsidR="00814857" w:rsidRDefault="00814857" w:rsidP="0099241F">
            <w:pPr>
              <w:pStyle w:val="ARtabletext"/>
              <w:spacing w:before="60"/>
            </w:pPr>
            <w:r>
              <w:t>4.1%</w:t>
            </w:r>
          </w:p>
        </w:tc>
        <w:tc>
          <w:tcPr>
            <w:tcW w:w="1021" w:type="dxa"/>
            <w:tcBorders>
              <w:top w:val="single" w:sz="4" w:space="0" w:color="BFBFBF"/>
              <w:left w:val="single" w:sz="4" w:space="0" w:color="FFFFFF"/>
              <w:bottom w:val="single" w:sz="4" w:space="0" w:color="FFFFFF"/>
              <w:right w:val="single" w:sz="4" w:space="0" w:color="FFFFFF"/>
            </w:tcBorders>
            <w:hideMark/>
          </w:tcPr>
          <w:p w14:paraId="000E86C9" w14:textId="77777777" w:rsidR="00814857" w:rsidRDefault="00814857" w:rsidP="0099241F">
            <w:pPr>
              <w:pStyle w:val="ARtabletext"/>
              <w:spacing w:before="60"/>
              <w:rPr>
                <w:highlight w:val="green"/>
              </w:rPr>
            </w:pPr>
            <w:r>
              <w:t>4.0%</w:t>
            </w:r>
          </w:p>
        </w:tc>
      </w:tr>
      <w:tr w:rsidR="00814857" w14:paraId="4140E754" w14:textId="77777777" w:rsidTr="00152D52">
        <w:trPr>
          <w:cantSplit/>
        </w:trPr>
        <w:tc>
          <w:tcPr>
            <w:tcW w:w="5474" w:type="dxa"/>
            <w:tcBorders>
              <w:top w:val="single" w:sz="4" w:space="0" w:color="BFBFBF"/>
              <w:left w:val="single" w:sz="4" w:space="0" w:color="FFFFFF"/>
              <w:bottom w:val="single" w:sz="4" w:space="0" w:color="FFFFFF"/>
              <w:right w:val="single" w:sz="4" w:space="0" w:color="FFFFFF"/>
            </w:tcBorders>
            <w:hideMark/>
          </w:tcPr>
          <w:p w14:paraId="10553AA9" w14:textId="77777777" w:rsidR="00814857" w:rsidRDefault="00814857" w:rsidP="0099241F">
            <w:pPr>
              <w:pStyle w:val="ARtabletext"/>
              <w:spacing w:before="60"/>
            </w:pPr>
            <w:r>
              <w:t>Proportion of Aboriginal children place with relatives/kin, other Aboriginal carers or in Aboriginal residential care</w:t>
            </w:r>
          </w:p>
          <w:p w14:paraId="30B83100" w14:textId="77777777" w:rsidR="00814857" w:rsidRDefault="00814857" w:rsidP="0099241F">
            <w:pPr>
              <w:pStyle w:val="ARtabletext"/>
              <w:spacing w:before="60"/>
              <w:rPr>
                <w:i/>
                <w:sz w:val="16"/>
                <w:szCs w:val="16"/>
              </w:rPr>
            </w:pPr>
            <w:r>
              <w:rPr>
                <w:sz w:val="16"/>
                <w:szCs w:val="16"/>
              </w:rPr>
              <w:t>Source (for all above): Internal departmental data</w:t>
            </w:r>
          </w:p>
        </w:tc>
        <w:tc>
          <w:tcPr>
            <w:tcW w:w="1021" w:type="dxa"/>
            <w:tcBorders>
              <w:top w:val="single" w:sz="4" w:space="0" w:color="BFBFBF"/>
              <w:left w:val="single" w:sz="4" w:space="0" w:color="FFFFFF"/>
              <w:bottom w:val="single" w:sz="4" w:space="0" w:color="FFFFFF"/>
              <w:right w:val="single" w:sz="4" w:space="0" w:color="FFFFFF"/>
            </w:tcBorders>
            <w:hideMark/>
          </w:tcPr>
          <w:p w14:paraId="253C8B0B" w14:textId="77777777" w:rsidR="00814857" w:rsidRDefault="00814857" w:rsidP="0099241F">
            <w:pPr>
              <w:pStyle w:val="ARtabletext"/>
              <w:spacing w:before="60"/>
            </w:pPr>
            <w:r>
              <w:t>72.0%</w:t>
            </w:r>
          </w:p>
        </w:tc>
        <w:tc>
          <w:tcPr>
            <w:tcW w:w="1021" w:type="dxa"/>
            <w:tcBorders>
              <w:top w:val="single" w:sz="4" w:space="0" w:color="BFBFBF"/>
              <w:left w:val="single" w:sz="4" w:space="0" w:color="FFFFFF"/>
              <w:bottom w:val="single" w:sz="4" w:space="0" w:color="FFFFFF"/>
              <w:right w:val="single" w:sz="4" w:space="0" w:color="FFFFFF"/>
            </w:tcBorders>
            <w:hideMark/>
          </w:tcPr>
          <w:p w14:paraId="1EAEE7C2" w14:textId="77777777" w:rsidR="00814857" w:rsidRDefault="00814857" w:rsidP="0099241F">
            <w:pPr>
              <w:pStyle w:val="ARtabletext"/>
              <w:spacing w:before="60"/>
            </w:pPr>
            <w:r>
              <w:t>76.0%</w:t>
            </w:r>
          </w:p>
        </w:tc>
        <w:tc>
          <w:tcPr>
            <w:tcW w:w="1021" w:type="dxa"/>
            <w:tcBorders>
              <w:top w:val="single" w:sz="4" w:space="0" w:color="BFBFBF"/>
              <w:left w:val="single" w:sz="4" w:space="0" w:color="FFFFFF"/>
              <w:bottom w:val="single" w:sz="4" w:space="0" w:color="FFFFFF"/>
              <w:right w:val="single" w:sz="4" w:space="0" w:color="FFFFFF"/>
            </w:tcBorders>
            <w:hideMark/>
          </w:tcPr>
          <w:p w14:paraId="36FDD13F" w14:textId="77777777" w:rsidR="00814857" w:rsidRDefault="00814857" w:rsidP="0099241F">
            <w:pPr>
              <w:pStyle w:val="ARtabletext"/>
              <w:spacing w:before="60"/>
            </w:pPr>
            <w:r>
              <w:t>77.6%</w:t>
            </w:r>
          </w:p>
        </w:tc>
        <w:tc>
          <w:tcPr>
            <w:tcW w:w="1021" w:type="dxa"/>
            <w:tcBorders>
              <w:top w:val="single" w:sz="4" w:space="0" w:color="BFBFBF"/>
              <w:left w:val="single" w:sz="4" w:space="0" w:color="FFFFFF"/>
              <w:bottom w:val="single" w:sz="4" w:space="0" w:color="FFFFFF"/>
              <w:right w:val="single" w:sz="4" w:space="0" w:color="FFFFFF"/>
            </w:tcBorders>
            <w:hideMark/>
          </w:tcPr>
          <w:p w14:paraId="42513A93" w14:textId="77777777" w:rsidR="00814857" w:rsidRDefault="00814857" w:rsidP="0099241F">
            <w:pPr>
              <w:pStyle w:val="ARtabletext"/>
              <w:spacing w:before="60"/>
            </w:pPr>
            <w:r>
              <w:t>78.8</w:t>
            </w:r>
          </w:p>
        </w:tc>
      </w:tr>
      <w:tr w:rsidR="00814857" w14:paraId="3AD98B75" w14:textId="77777777" w:rsidTr="00152D52">
        <w:trPr>
          <w:cantSplit/>
        </w:trPr>
        <w:tc>
          <w:tcPr>
            <w:tcW w:w="5474" w:type="dxa"/>
            <w:tcBorders>
              <w:top w:val="single" w:sz="4" w:space="0" w:color="BFBFBF"/>
              <w:left w:val="single" w:sz="4" w:space="0" w:color="FFFFFF"/>
              <w:bottom w:val="nil"/>
              <w:right w:val="single" w:sz="4" w:space="0" w:color="FFFFFF"/>
            </w:tcBorders>
            <w:hideMark/>
          </w:tcPr>
          <w:p w14:paraId="71F757C1" w14:textId="77777777" w:rsidR="00814857" w:rsidRDefault="00814857" w:rsidP="0099241F">
            <w:pPr>
              <w:pStyle w:val="ARtabletext"/>
              <w:spacing w:before="60"/>
            </w:pPr>
            <w:r>
              <w:t>Percentage of departmental workforce who have experienced bullying in the past 12 months</w:t>
            </w:r>
          </w:p>
          <w:p w14:paraId="38EE89F0" w14:textId="6B03B4C6" w:rsidR="00814857" w:rsidRDefault="00814857" w:rsidP="0099241F">
            <w:pPr>
              <w:pStyle w:val="ARtablefootnote"/>
              <w:spacing w:before="60"/>
              <w:rPr>
                <w:i/>
              </w:rPr>
            </w:pPr>
            <w:r>
              <w:rPr>
                <w:rFonts w:eastAsia="Times"/>
                <w:lang w:eastAsia="en-AU"/>
              </w:rPr>
              <w:t xml:space="preserve">Source: </w:t>
            </w:r>
            <w:r w:rsidR="000B12DD">
              <w:rPr>
                <w:rFonts w:eastAsia="Times"/>
                <w:lang w:eastAsia="en-AU"/>
              </w:rPr>
              <w:t xml:space="preserve">internal </w:t>
            </w:r>
            <w:r>
              <w:rPr>
                <w:rFonts w:eastAsia="Times"/>
                <w:lang w:eastAsia="en-AU"/>
              </w:rPr>
              <w:t>People Matters Survey</w:t>
            </w:r>
          </w:p>
        </w:tc>
        <w:tc>
          <w:tcPr>
            <w:tcW w:w="1021" w:type="dxa"/>
            <w:tcBorders>
              <w:top w:val="single" w:sz="4" w:space="0" w:color="BFBFBF"/>
              <w:left w:val="single" w:sz="4" w:space="0" w:color="FFFFFF"/>
              <w:bottom w:val="nil"/>
              <w:right w:val="single" w:sz="4" w:space="0" w:color="FFFFFF"/>
            </w:tcBorders>
            <w:hideMark/>
          </w:tcPr>
          <w:p w14:paraId="322E9BB9" w14:textId="77777777" w:rsidR="00814857" w:rsidRDefault="00814857" w:rsidP="0099241F">
            <w:pPr>
              <w:pStyle w:val="ARtabletext"/>
              <w:spacing w:before="60"/>
            </w:pPr>
            <w:r>
              <w:t>22%</w:t>
            </w:r>
          </w:p>
        </w:tc>
        <w:tc>
          <w:tcPr>
            <w:tcW w:w="1021" w:type="dxa"/>
            <w:tcBorders>
              <w:top w:val="single" w:sz="4" w:space="0" w:color="BFBFBF"/>
              <w:left w:val="single" w:sz="4" w:space="0" w:color="FFFFFF"/>
              <w:bottom w:val="nil"/>
              <w:right w:val="single" w:sz="4" w:space="0" w:color="FFFFFF"/>
            </w:tcBorders>
            <w:hideMark/>
          </w:tcPr>
          <w:p w14:paraId="4118D263" w14:textId="77777777" w:rsidR="00814857" w:rsidRDefault="00814857" w:rsidP="0099241F">
            <w:pPr>
              <w:pStyle w:val="ARtabletext"/>
              <w:spacing w:before="60"/>
            </w:pPr>
            <w:r>
              <w:t>24%</w:t>
            </w:r>
          </w:p>
        </w:tc>
        <w:tc>
          <w:tcPr>
            <w:tcW w:w="1021" w:type="dxa"/>
            <w:tcBorders>
              <w:top w:val="single" w:sz="4" w:space="0" w:color="BFBFBF"/>
              <w:left w:val="single" w:sz="4" w:space="0" w:color="FFFFFF"/>
              <w:bottom w:val="nil"/>
              <w:right w:val="single" w:sz="4" w:space="0" w:color="FFFFFF"/>
            </w:tcBorders>
            <w:hideMark/>
          </w:tcPr>
          <w:p w14:paraId="704BF30F" w14:textId="77777777" w:rsidR="00814857" w:rsidRDefault="00814857" w:rsidP="0099241F">
            <w:pPr>
              <w:pStyle w:val="ARtabletext"/>
              <w:spacing w:before="60"/>
            </w:pPr>
            <w:r>
              <w:t>22%</w:t>
            </w:r>
          </w:p>
        </w:tc>
        <w:tc>
          <w:tcPr>
            <w:tcW w:w="1021" w:type="dxa"/>
            <w:tcBorders>
              <w:top w:val="single" w:sz="4" w:space="0" w:color="BFBFBF"/>
              <w:left w:val="single" w:sz="4" w:space="0" w:color="FFFFFF"/>
              <w:bottom w:val="nil"/>
              <w:right w:val="single" w:sz="4" w:space="0" w:color="FFFFFF"/>
            </w:tcBorders>
            <w:hideMark/>
          </w:tcPr>
          <w:p w14:paraId="2CB87126" w14:textId="77777777" w:rsidR="00814857" w:rsidRDefault="00814857" w:rsidP="0099241F">
            <w:pPr>
              <w:pStyle w:val="ARtabletext"/>
              <w:spacing w:before="60"/>
            </w:pPr>
            <w:r>
              <w:t>20%</w:t>
            </w:r>
          </w:p>
        </w:tc>
      </w:tr>
      <w:tr w:rsidR="00814857" w14:paraId="7C116AAA" w14:textId="77777777" w:rsidTr="00152D52">
        <w:trPr>
          <w:cantSplit/>
        </w:trPr>
        <w:tc>
          <w:tcPr>
            <w:tcW w:w="1021" w:type="dxa"/>
            <w:gridSpan w:val="5"/>
            <w:tcBorders>
              <w:top w:val="single" w:sz="4" w:space="0" w:color="auto"/>
              <w:left w:val="nil"/>
              <w:bottom w:val="single" w:sz="4" w:space="0" w:color="BFBFBF"/>
              <w:right w:val="single" w:sz="4" w:space="0" w:color="FFFFFF"/>
            </w:tcBorders>
            <w:hideMark/>
          </w:tcPr>
          <w:p w14:paraId="46C7DA60" w14:textId="77777777" w:rsidR="00814857" w:rsidRDefault="00814857" w:rsidP="008F035E">
            <w:pPr>
              <w:pStyle w:val="ARtablebluebold"/>
            </w:pPr>
            <w:r>
              <w:t>Victorians have suitable and stable housing</w:t>
            </w:r>
          </w:p>
        </w:tc>
      </w:tr>
      <w:tr w:rsidR="00814857" w14:paraId="562DFFC6" w14:textId="77777777" w:rsidTr="00152D52">
        <w:trPr>
          <w:cantSplit/>
        </w:trPr>
        <w:tc>
          <w:tcPr>
            <w:tcW w:w="5474" w:type="dxa"/>
            <w:tcBorders>
              <w:top w:val="single" w:sz="4" w:space="0" w:color="BFBFBF"/>
              <w:left w:val="single" w:sz="4" w:space="0" w:color="FFFFFF"/>
              <w:bottom w:val="single" w:sz="4" w:space="0" w:color="FFFFFF"/>
              <w:right w:val="single" w:sz="4" w:space="0" w:color="FFFFFF"/>
            </w:tcBorders>
            <w:hideMark/>
          </w:tcPr>
          <w:p w14:paraId="4335FB23" w14:textId="77777777" w:rsidR="00814857" w:rsidRDefault="00814857" w:rsidP="00682CD7">
            <w:pPr>
              <w:pStyle w:val="ARtabletext"/>
              <w:rPr>
                <w:i/>
              </w:rPr>
            </w:pPr>
            <w:r>
              <w:t>Number of clients assisted to address and prevent homelessness</w:t>
            </w:r>
          </w:p>
        </w:tc>
        <w:tc>
          <w:tcPr>
            <w:tcW w:w="1021" w:type="dxa"/>
            <w:tcBorders>
              <w:top w:val="single" w:sz="4" w:space="0" w:color="BFBFBF"/>
              <w:left w:val="single" w:sz="4" w:space="0" w:color="FFFFFF"/>
              <w:bottom w:val="single" w:sz="4" w:space="0" w:color="FFFFFF"/>
              <w:right w:val="single" w:sz="4" w:space="0" w:color="FFFFFF"/>
            </w:tcBorders>
            <w:hideMark/>
          </w:tcPr>
          <w:p w14:paraId="08F03F77" w14:textId="77777777" w:rsidR="00814857" w:rsidRDefault="00814857" w:rsidP="00682CD7">
            <w:pPr>
              <w:pStyle w:val="ARtabletext"/>
            </w:pPr>
            <w:r>
              <w:t>105,287</w:t>
            </w:r>
          </w:p>
        </w:tc>
        <w:tc>
          <w:tcPr>
            <w:tcW w:w="1021" w:type="dxa"/>
            <w:tcBorders>
              <w:top w:val="single" w:sz="4" w:space="0" w:color="BFBFBF"/>
              <w:left w:val="single" w:sz="4" w:space="0" w:color="FFFFFF"/>
              <w:bottom w:val="single" w:sz="4" w:space="0" w:color="FFFFFF"/>
              <w:right w:val="single" w:sz="4" w:space="0" w:color="FFFFFF"/>
            </w:tcBorders>
            <w:hideMark/>
          </w:tcPr>
          <w:p w14:paraId="03BF723B" w14:textId="77777777" w:rsidR="00814857" w:rsidRDefault="00814857" w:rsidP="00682CD7">
            <w:pPr>
              <w:pStyle w:val="ARtabletext"/>
            </w:pPr>
            <w:r>
              <w:t>108,574</w:t>
            </w:r>
          </w:p>
        </w:tc>
        <w:tc>
          <w:tcPr>
            <w:tcW w:w="1021" w:type="dxa"/>
            <w:tcBorders>
              <w:top w:val="single" w:sz="4" w:space="0" w:color="BFBFBF"/>
              <w:left w:val="single" w:sz="4" w:space="0" w:color="FFFFFF"/>
              <w:bottom w:val="single" w:sz="4" w:space="0" w:color="FFFFFF"/>
              <w:right w:val="single" w:sz="4" w:space="0" w:color="FFFFFF"/>
            </w:tcBorders>
            <w:hideMark/>
          </w:tcPr>
          <w:p w14:paraId="628DE52C" w14:textId="77777777" w:rsidR="00814857" w:rsidRDefault="00814857" w:rsidP="00682CD7">
            <w:pPr>
              <w:pStyle w:val="ARtabletext"/>
            </w:pPr>
            <w:r>
              <w:t>118,141</w:t>
            </w:r>
          </w:p>
        </w:tc>
        <w:tc>
          <w:tcPr>
            <w:tcW w:w="1021" w:type="dxa"/>
            <w:tcBorders>
              <w:top w:val="single" w:sz="4" w:space="0" w:color="BFBFBF"/>
              <w:left w:val="single" w:sz="4" w:space="0" w:color="FFFFFF"/>
              <w:bottom w:val="single" w:sz="4" w:space="0" w:color="FFFFFF"/>
              <w:right w:val="single" w:sz="4" w:space="0" w:color="FFFFFF"/>
            </w:tcBorders>
            <w:hideMark/>
          </w:tcPr>
          <w:p w14:paraId="789DBB79" w14:textId="77777777" w:rsidR="00814857" w:rsidRDefault="00814857" w:rsidP="00682CD7">
            <w:pPr>
              <w:pStyle w:val="ARtabletext"/>
            </w:pPr>
            <w:r>
              <w:t>112,054</w:t>
            </w:r>
          </w:p>
        </w:tc>
      </w:tr>
      <w:tr w:rsidR="00814857" w14:paraId="58292452" w14:textId="77777777" w:rsidTr="00152D52">
        <w:trPr>
          <w:cantSplit/>
        </w:trPr>
        <w:tc>
          <w:tcPr>
            <w:tcW w:w="5474" w:type="dxa"/>
            <w:tcBorders>
              <w:top w:val="single" w:sz="4" w:space="0" w:color="BFBFBF"/>
              <w:left w:val="single" w:sz="4" w:space="0" w:color="FFFFFF"/>
              <w:bottom w:val="single" w:sz="4" w:space="0" w:color="FFFFFF"/>
              <w:right w:val="single" w:sz="4" w:space="0" w:color="FFFFFF"/>
            </w:tcBorders>
            <w:hideMark/>
          </w:tcPr>
          <w:p w14:paraId="3DBA41A5" w14:textId="77777777" w:rsidR="00814857" w:rsidRDefault="00814857" w:rsidP="00682CD7">
            <w:pPr>
              <w:pStyle w:val="ARtabletext"/>
              <w:rPr>
                <w:i/>
              </w:rPr>
            </w:pPr>
            <w:r>
              <w:t>Number of clients provided with accommodation</w:t>
            </w:r>
          </w:p>
        </w:tc>
        <w:tc>
          <w:tcPr>
            <w:tcW w:w="1021" w:type="dxa"/>
            <w:tcBorders>
              <w:top w:val="single" w:sz="4" w:space="0" w:color="BFBFBF"/>
              <w:left w:val="single" w:sz="4" w:space="0" w:color="FFFFFF"/>
              <w:bottom w:val="single" w:sz="4" w:space="0" w:color="FFFFFF"/>
              <w:right w:val="single" w:sz="4" w:space="0" w:color="FFFFFF"/>
            </w:tcBorders>
            <w:hideMark/>
          </w:tcPr>
          <w:p w14:paraId="2D75344E" w14:textId="77777777" w:rsidR="00814857" w:rsidRDefault="00814857" w:rsidP="00682CD7">
            <w:pPr>
              <w:pStyle w:val="ARtabletext"/>
            </w:pPr>
            <w:r>
              <w:t>New measure</w:t>
            </w:r>
          </w:p>
        </w:tc>
        <w:tc>
          <w:tcPr>
            <w:tcW w:w="1021" w:type="dxa"/>
            <w:tcBorders>
              <w:top w:val="single" w:sz="4" w:space="0" w:color="BFBFBF"/>
              <w:left w:val="single" w:sz="4" w:space="0" w:color="FFFFFF"/>
              <w:bottom w:val="single" w:sz="4" w:space="0" w:color="FFFFFF"/>
              <w:right w:val="single" w:sz="4" w:space="0" w:color="FFFFFF"/>
            </w:tcBorders>
            <w:hideMark/>
          </w:tcPr>
          <w:p w14:paraId="04645441" w14:textId="77777777" w:rsidR="00814857" w:rsidRDefault="00814857" w:rsidP="00682CD7">
            <w:pPr>
              <w:pStyle w:val="ARtabletext"/>
            </w:pPr>
            <w:r>
              <w:t>New Measure</w:t>
            </w:r>
          </w:p>
        </w:tc>
        <w:tc>
          <w:tcPr>
            <w:tcW w:w="1021" w:type="dxa"/>
            <w:tcBorders>
              <w:top w:val="single" w:sz="4" w:space="0" w:color="BFBFBF"/>
              <w:left w:val="single" w:sz="4" w:space="0" w:color="FFFFFF"/>
              <w:bottom w:val="single" w:sz="4" w:space="0" w:color="FFFFFF"/>
              <w:right w:val="single" w:sz="4" w:space="0" w:color="FFFFFF"/>
            </w:tcBorders>
            <w:hideMark/>
          </w:tcPr>
          <w:p w14:paraId="1800F2C5" w14:textId="77777777" w:rsidR="00814857" w:rsidRDefault="00814857" w:rsidP="00682CD7">
            <w:pPr>
              <w:pStyle w:val="ARtabletext"/>
            </w:pPr>
            <w:r>
              <w:t>New Measure</w:t>
            </w:r>
          </w:p>
        </w:tc>
        <w:tc>
          <w:tcPr>
            <w:tcW w:w="1021" w:type="dxa"/>
            <w:tcBorders>
              <w:top w:val="single" w:sz="4" w:space="0" w:color="BFBFBF"/>
              <w:left w:val="single" w:sz="4" w:space="0" w:color="FFFFFF"/>
              <w:bottom w:val="single" w:sz="4" w:space="0" w:color="FFFFFF"/>
              <w:right w:val="single" w:sz="4" w:space="0" w:color="FFFFFF"/>
            </w:tcBorders>
            <w:hideMark/>
          </w:tcPr>
          <w:p w14:paraId="776E2909" w14:textId="77777777" w:rsidR="00814857" w:rsidRDefault="00814857" w:rsidP="00682CD7">
            <w:pPr>
              <w:pStyle w:val="ARtabletext"/>
            </w:pPr>
            <w:r>
              <w:t>27,845</w:t>
            </w:r>
          </w:p>
        </w:tc>
      </w:tr>
      <w:tr w:rsidR="00814857" w14:paraId="70FC01F7" w14:textId="77777777" w:rsidTr="00152D52">
        <w:trPr>
          <w:cantSplit/>
        </w:trPr>
        <w:tc>
          <w:tcPr>
            <w:tcW w:w="5474" w:type="dxa"/>
            <w:tcBorders>
              <w:top w:val="single" w:sz="4" w:space="0" w:color="BFBFBF"/>
              <w:left w:val="single" w:sz="4" w:space="0" w:color="FFFFFF"/>
              <w:bottom w:val="single" w:sz="4" w:space="0" w:color="FFFFFF"/>
              <w:right w:val="single" w:sz="4" w:space="0" w:color="FFFFFF"/>
            </w:tcBorders>
            <w:hideMark/>
          </w:tcPr>
          <w:p w14:paraId="3D6346EA" w14:textId="77777777" w:rsidR="00814857" w:rsidRDefault="00814857" w:rsidP="00682CD7">
            <w:pPr>
              <w:pStyle w:val="ARtabletext"/>
              <w:rPr>
                <w:i/>
              </w:rPr>
            </w:pPr>
            <w:r>
              <w:t>Number of clients assisted to address and prevent homelessness due to family violence</w:t>
            </w:r>
          </w:p>
        </w:tc>
        <w:tc>
          <w:tcPr>
            <w:tcW w:w="1021" w:type="dxa"/>
            <w:tcBorders>
              <w:top w:val="single" w:sz="4" w:space="0" w:color="BFBFBF"/>
              <w:left w:val="single" w:sz="4" w:space="0" w:color="FFFFFF"/>
              <w:bottom w:val="single" w:sz="4" w:space="0" w:color="FFFFFF"/>
              <w:right w:val="single" w:sz="4" w:space="0" w:color="FFFFFF"/>
            </w:tcBorders>
            <w:hideMark/>
          </w:tcPr>
          <w:p w14:paraId="24A452C8" w14:textId="77777777" w:rsidR="00814857" w:rsidRDefault="00814857" w:rsidP="00682CD7">
            <w:pPr>
              <w:pStyle w:val="ARtabletext"/>
            </w:pPr>
            <w:r>
              <w:t>New measure</w:t>
            </w:r>
          </w:p>
        </w:tc>
        <w:tc>
          <w:tcPr>
            <w:tcW w:w="1021" w:type="dxa"/>
            <w:tcBorders>
              <w:top w:val="single" w:sz="4" w:space="0" w:color="BFBFBF"/>
              <w:left w:val="single" w:sz="4" w:space="0" w:color="FFFFFF"/>
              <w:bottom w:val="single" w:sz="4" w:space="0" w:color="FFFFFF"/>
              <w:right w:val="single" w:sz="4" w:space="0" w:color="FFFFFF"/>
            </w:tcBorders>
            <w:hideMark/>
          </w:tcPr>
          <w:p w14:paraId="4F0878FB" w14:textId="77777777" w:rsidR="00814857" w:rsidRDefault="00814857" w:rsidP="00682CD7">
            <w:pPr>
              <w:pStyle w:val="ARtabletext"/>
            </w:pPr>
            <w:r>
              <w:t>New measure</w:t>
            </w:r>
          </w:p>
        </w:tc>
        <w:tc>
          <w:tcPr>
            <w:tcW w:w="1021" w:type="dxa"/>
            <w:tcBorders>
              <w:top w:val="single" w:sz="4" w:space="0" w:color="BFBFBF"/>
              <w:left w:val="single" w:sz="4" w:space="0" w:color="FFFFFF"/>
              <w:bottom w:val="single" w:sz="4" w:space="0" w:color="FFFFFF"/>
              <w:right w:val="single" w:sz="4" w:space="0" w:color="FFFFFF"/>
            </w:tcBorders>
            <w:hideMark/>
          </w:tcPr>
          <w:p w14:paraId="1316031D" w14:textId="77777777" w:rsidR="00814857" w:rsidRDefault="00814857" w:rsidP="00682CD7">
            <w:pPr>
              <w:pStyle w:val="ARtabletext"/>
            </w:pPr>
            <w:r>
              <w:t>57,136</w:t>
            </w:r>
          </w:p>
        </w:tc>
        <w:tc>
          <w:tcPr>
            <w:tcW w:w="1021" w:type="dxa"/>
            <w:tcBorders>
              <w:top w:val="single" w:sz="4" w:space="0" w:color="BFBFBF"/>
              <w:left w:val="single" w:sz="4" w:space="0" w:color="FFFFFF"/>
              <w:bottom w:val="single" w:sz="4" w:space="0" w:color="FFFFFF"/>
              <w:right w:val="single" w:sz="4" w:space="0" w:color="FFFFFF"/>
            </w:tcBorders>
            <w:hideMark/>
          </w:tcPr>
          <w:p w14:paraId="4E821F6A" w14:textId="77777777" w:rsidR="00814857" w:rsidRDefault="00814857" w:rsidP="00682CD7">
            <w:pPr>
              <w:pStyle w:val="ARtabletext"/>
            </w:pPr>
            <w:r>
              <w:t>50,375</w:t>
            </w:r>
          </w:p>
        </w:tc>
      </w:tr>
      <w:tr w:rsidR="00814857" w14:paraId="639B7316" w14:textId="77777777" w:rsidTr="00152D52">
        <w:trPr>
          <w:cantSplit/>
        </w:trPr>
        <w:tc>
          <w:tcPr>
            <w:tcW w:w="5474" w:type="dxa"/>
            <w:tcBorders>
              <w:top w:val="single" w:sz="4" w:space="0" w:color="BFBFBF"/>
              <w:left w:val="single" w:sz="4" w:space="0" w:color="FFFFFF"/>
              <w:bottom w:val="single" w:sz="4" w:space="0" w:color="FFFFFF"/>
              <w:right w:val="single" w:sz="4" w:space="0" w:color="FFFFFF"/>
            </w:tcBorders>
            <w:hideMark/>
          </w:tcPr>
          <w:p w14:paraId="0EE4667B" w14:textId="77777777" w:rsidR="00814857" w:rsidRDefault="00814857" w:rsidP="00682CD7">
            <w:pPr>
              <w:pStyle w:val="ARtabletext"/>
              <w:rPr>
                <w:i/>
              </w:rPr>
            </w:pPr>
            <w:r>
              <w:t>Percentage of clients with case plans in homelessness support programs with some, most or all of their case plan goals achieved</w:t>
            </w:r>
          </w:p>
        </w:tc>
        <w:tc>
          <w:tcPr>
            <w:tcW w:w="1021" w:type="dxa"/>
            <w:tcBorders>
              <w:top w:val="single" w:sz="4" w:space="0" w:color="BFBFBF"/>
              <w:left w:val="single" w:sz="4" w:space="0" w:color="FFFFFF"/>
              <w:bottom w:val="single" w:sz="4" w:space="0" w:color="FFFFFF"/>
              <w:right w:val="single" w:sz="4" w:space="0" w:color="FFFFFF"/>
            </w:tcBorders>
            <w:hideMark/>
          </w:tcPr>
          <w:p w14:paraId="6B3C3900" w14:textId="77777777" w:rsidR="00814857" w:rsidRDefault="00814857" w:rsidP="00682CD7">
            <w:pPr>
              <w:pStyle w:val="ARtabletext"/>
            </w:pPr>
            <w:r>
              <w:t>92.0%</w:t>
            </w:r>
          </w:p>
        </w:tc>
        <w:tc>
          <w:tcPr>
            <w:tcW w:w="1021" w:type="dxa"/>
            <w:tcBorders>
              <w:top w:val="single" w:sz="4" w:space="0" w:color="BFBFBF"/>
              <w:left w:val="single" w:sz="4" w:space="0" w:color="FFFFFF"/>
              <w:bottom w:val="single" w:sz="4" w:space="0" w:color="FFFFFF"/>
              <w:right w:val="single" w:sz="4" w:space="0" w:color="FFFFFF"/>
            </w:tcBorders>
            <w:hideMark/>
          </w:tcPr>
          <w:p w14:paraId="0063974F" w14:textId="77777777" w:rsidR="00814857" w:rsidRDefault="00814857" w:rsidP="00682CD7">
            <w:pPr>
              <w:pStyle w:val="ARtabletext"/>
            </w:pPr>
            <w:r>
              <w:t>90.0%</w:t>
            </w:r>
          </w:p>
        </w:tc>
        <w:tc>
          <w:tcPr>
            <w:tcW w:w="1021" w:type="dxa"/>
            <w:tcBorders>
              <w:top w:val="single" w:sz="4" w:space="0" w:color="BFBFBF"/>
              <w:left w:val="single" w:sz="4" w:space="0" w:color="FFFFFF"/>
              <w:bottom w:val="single" w:sz="4" w:space="0" w:color="FFFFFF"/>
              <w:right w:val="single" w:sz="4" w:space="0" w:color="FFFFFF"/>
            </w:tcBorders>
            <w:hideMark/>
          </w:tcPr>
          <w:p w14:paraId="07B0712B" w14:textId="77777777" w:rsidR="00814857" w:rsidRDefault="00814857" w:rsidP="00682CD7">
            <w:pPr>
              <w:pStyle w:val="ARtabletext"/>
            </w:pPr>
            <w:r>
              <w:t>91.8%</w:t>
            </w:r>
          </w:p>
        </w:tc>
        <w:tc>
          <w:tcPr>
            <w:tcW w:w="1021" w:type="dxa"/>
            <w:tcBorders>
              <w:top w:val="single" w:sz="4" w:space="0" w:color="BFBFBF"/>
              <w:left w:val="single" w:sz="4" w:space="0" w:color="FFFFFF"/>
              <w:bottom w:val="single" w:sz="4" w:space="0" w:color="FFFFFF"/>
              <w:right w:val="single" w:sz="4" w:space="0" w:color="FFFFFF"/>
            </w:tcBorders>
            <w:hideMark/>
          </w:tcPr>
          <w:p w14:paraId="16F22C55" w14:textId="77777777" w:rsidR="00814857" w:rsidRDefault="00814857" w:rsidP="00682CD7">
            <w:pPr>
              <w:pStyle w:val="ARtabletext"/>
            </w:pPr>
            <w:r>
              <w:t>89.8%</w:t>
            </w:r>
          </w:p>
        </w:tc>
      </w:tr>
      <w:tr w:rsidR="00814857" w14:paraId="1F97B710" w14:textId="77777777" w:rsidTr="00152D52">
        <w:trPr>
          <w:cantSplit/>
        </w:trPr>
        <w:tc>
          <w:tcPr>
            <w:tcW w:w="5474" w:type="dxa"/>
            <w:tcBorders>
              <w:top w:val="single" w:sz="4" w:space="0" w:color="BFBFBF"/>
              <w:left w:val="single" w:sz="4" w:space="0" w:color="FFFFFF"/>
              <w:bottom w:val="single" w:sz="4" w:space="0" w:color="FFFFFF"/>
              <w:right w:val="single" w:sz="4" w:space="0" w:color="FFFFFF"/>
            </w:tcBorders>
            <w:hideMark/>
          </w:tcPr>
          <w:p w14:paraId="5D9B091D" w14:textId="77777777" w:rsidR="00814857" w:rsidRDefault="00814857" w:rsidP="00682CD7">
            <w:pPr>
              <w:pStyle w:val="ARtabletext"/>
              <w:rPr>
                <w:i/>
              </w:rPr>
            </w:pPr>
            <w:r>
              <w:t>Average waiting time for public rental housing for those clients who have received priority access housing allocation</w:t>
            </w:r>
          </w:p>
        </w:tc>
        <w:tc>
          <w:tcPr>
            <w:tcW w:w="1021" w:type="dxa"/>
            <w:tcBorders>
              <w:top w:val="single" w:sz="4" w:space="0" w:color="BFBFBF"/>
              <w:left w:val="single" w:sz="4" w:space="0" w:color="FFFFFF"/>
              <w:bottom w:val="single" w:sz="4" w:space="0" w:color="FFFFFF"/>
              <w:right w:val="single" w:sz="4" w:space="0" w:color="FFFFFF"/>
            </w:tcBorders>
            <w:hideMark/>
          </w:tcPr>
          <w:p w14:paraId="1FB99845" w14:textId="4054B626" w:rsidR="00814857" w:rsidRDefault="00814857" w:rsidP="00682CD7">
            <w:pPr>
              <w:pStyle w:val="ARtabletext"/>
            </w:pPr>
            <w:r>
              <w:t>10</w:t>
            </w:r>
            <w:r w:rsidR="000B12DD">
              <w:br/>
            </w:r>
            <w:r>
              <w:t>m</w:t>
            </w:r>
            <w:r w:rsidR="000B12DD">
              <w:t>on</w:t>
            </w:r>
            <w:r>
              <w:t>ths</w:t>
            </w:r>
          </w:p>
        </w:tc>
        <w:tc>
          <w:tcPr>
            <w:tcW w:w="1021" w:type="dxa"/>
            <w:tcBorders>
              <w:top w:val="single" w:sz="4" w:space="0" w:color="BFBFBF"/>
              <w:left w:val="single" w:sz="4" w:space="0" w:color="FFFFFF"/>
              <w:bottom w:val="single" w:sz="4" w:space="0" w:color="FFFFFF"/>
              <w:right w:val="single" w:sz="4" w:space="0" w:color="FFFFFF"/>
            </w:tcBorders>
            <w:hideMark/>
          </w:tcPr>
          <w:p w14:paraId="2E1356C6" w14:textId="11D1C7C9" w:rsidR="00814857" w:rsidRDefault="00814857" w:rsidP="00682CD7">
            <w:pPr>
              <w:pStyle w:val="ARtabletext"/>
            </w:pPr>
            <w:r>
              <w:t>10.4</w:t>
            </w:r>
            <w:r w:rsidR="000B12DD">
              <w:br/>
            </w:r>
            <w:r>
              <w:t>m</w:t>
            </w:r>
            <w:r w:rsidR="000B12DD">
              <w:t>on</w:t>
            </w:r>
            <w:r>
              <w:t>ths</w:t>
            </w:r>
          </w:p>
        </w:tc>
        <w:tc>
          <w:tcPr>
            <w:tcW w:w="1021" w:type="dxa"/>
            <w:tcBorders>
              <w:top w:val="single" w:sz="4" w:space="0" w:color="BFBFBF"/>
              <w:left w:val="single" w:sz="4" w:space="0" w:color="FFFFFF"/>
              <w:bottom w:val="single" w:sz="4" w:space="0" w:color="FFFFFF"/>
              <w:right w:val="single" w:sz="4" w:space="0" w:color="FFFFFF"/>
            </w:tcBorders>
            <w:hideMark/>
          </w:tcPr>
          <w:p w14:paraId="36F4BD40" w14:textId="2695B9B9" w:rsidR="00814857" w:rsidRDefault="00814857" w:rsidP="00682CD7">
            <w:pPr>
              <w:pStyle w:val="ARtabletext"/>
            </w:pPr>
            <w:r>
              <w:t>10.5</w:t>
            </w:r>
            <w:r w:rsidR="000B12DD">
              <w:br/>
            </w:r>
            <w:r>
              <w:t>m</w:t>
            </w:r>
            <w:r w:rsidR="000B12DD">
              <w:t>on</w:t>
            </w:r>
            <w:r>
              <w:t>ths</w:t>
            </w:r>
          </w:p>
        </w:tc>
        <w:tc>
          <w:tcPr>
            <w:tcW w:w="1021" w:type="dxa"/>
            <w:tcBorders>
              <w:top w:val="single" w:sz="4" w:space="0" w:color="BFBFBF"/>
              <w:left w:val="single" w:sz="4" w:space="0" w:color="FFFFFF"/>
              <w:bottom w:val="single" w:sz="4" w:space="0" w:color="FFFFFF"/>
              <w:right w:val="single" w:sz="4" w:space="0" w:color="FFFFFF"/>
            </w:tcBorders>
            <w:hideMark/>
          </w:tcPr>
          <w:p w14:paraId="660D197D" w14:textId="463B484A" w:rsidR="00814857" w:rsidRDefault="00814857" w:rsidP="00682CD7">
            <w:pPr>
              <w:pStyle w:val="ARtabletext"/>
            </w:pPr>
            <w:r>
              <w:t>11.6</w:t>
            </w:r>
            <w:r w:rsidR="000B12DD">
              <w:br/>
            </w:r>
            <w:r>
              <w:t>m</w:t>
            </w:r>
            <w:r w:rsidR="000B12DD">
              <w:t>on</w:t>
            </w:r>
            <w:r>
              <w:t>ths</w:t>
            </w:r>
          </w:p>
        </w:tc>
      </w:tr>
      <w:tr w:rsidR="00814857" w14:paraId="2618C2A7" w14:textId="77777777" w:rsidTr="00152D52">
        <w:trPr>
          <w:cantSplit/>
        </w:trPr>
        <w:tc>
          <w:tcPr>
            <w:tcW w:w="5474" w:type="dxa"/>
            <w:tcBorders>
              <w:top w:val="single" w:sz="4" w:space="0" w:color="BFBFBF"/>
              <w:left w:val="single" w:sz="4" w:space="0" w:color="FFFFFF"/>
              <w:bottom w:val="single" w:sz="4" w:space="0" w:color="FFFFFF"/>
              <w:right w:val="single" w:sz="4" w:space="0" w:color="FFFFFF"/>
            </w:tcBorders>
            <w:hideMark/>
          </w:tcPr>
          <w:p w14:paraId="1A56B4CF" w14:textId="77777777" w:rsidR="00814857" w:rsidRDefault="00814857" w:rsidP="00682CD7">
            <w:pPr>
              <w:pStyle w:val="ARtabletext"/>
              <w:rPr>
                <w:i/>
              </w:rPr>
            </w:pPr>
            <w:r>
              <w:t>Average waiting time for public rental housing for clients who have received a priority access housing or priority transfer allocation due to family violence</w:t>
            </w:r>
          </w:p>
        </w:tc>
        <w:tc>
          <w:tcPr>
            <w:tcW w:w="1021" w:type="dxa"/>
            <w:tcBorders>
              <w:top w:val="single" w:sz="4" w:space="0" w:color="BFBFBF"/>
              <w:left w:val="single" w:sz="4" w:space="0" w:color="FFFFFF"/>
              <w:bottom w:val="single" w:sz="4" w:space="0" w:color="FFFFFF"/>
              <w:right w:val="single" w:sz="4" w:space="0" w:color="FFFFFF"/>
            </w:tcBorders>
            <w:hideMark/>
          </w:tcPr>
          <w:p w14:paraId="0B63346E" w14:textId="77777777" w:rsidR="00814857" w:rsidRDefault="00814857" w:rsidP="00682CD7">
            <w:pPr>
              <w:pStyle w:val="ARtabletext"/>
            </w:pPr>
            <w:r>
              <w:t>New measure</w:t>
            </w:r>
          </w:p>
        </w:tc>
        <w:tc>
          <w:tcPr>
            <w:tcW w:w="1021" w:type="dxa"/>
            <w:tcBorders>
              <w:top w:val="single" w:sz="4" w:space="0" w:color="BFBFBF"/>
              <w:left w:val="single" w:sz="4" w:space="0" w:color="FFFFFF"/>
              <w:bottom w:val="single" w:sz="4" w:space="0" w:color="FFFFFF"/>
              <w:right w:val="single" w:sz="4" w:space="0" w:color="FFFFFF"/>
            </w:tcBorders>
            <w:hideMark/>
          </w:tcPr>
          <w:p w14:paraId="77DF2185" w14:textId="77777777" w:rsidR="00814857" w:rsidRDefault="00814857" w:rsidP="00682CD7">
            <w:pPr>
              <w:pStyle w:val="ARtabletext"/>
            </w:pPr>
            <w:r>
              <w:t>New measure</w:t>
            </w:r>
          </w:p>
        </w:tc>
        <w:tc>
          <w:tcPr>
            <w:tcW w:w="1021" w:type="dxa"/>
            <w:tcBorders>
              <w:top w:val="single" w:sz="4" w:space="0" w:color="BFBFBF"/>
              <w:left w:val="single" w:sz="4" w:space="0" w:color="FFFFFF"/>
              <w:bottom w:val="single" w:sz="4" w:space="0" w:color="FFFFFF"/>
              <w:right w:val="single" w:sz="4" w:space="0" w:color="FFFFFF"/>
            </w:tcBorders>
            <w:hideMark/>
          </w:tcPr>
          <w:p w14:paraId="4615E90C" w14:textId="77777777" w:rsidR="00814857" w:rsidRDefault="00814857" w:rsidP="00682CD7">
            <w:pPr>
              <w:pStyle w:val="ARtabletext"/>
            </w:pPr>
            <w:r>
              <w:t>8.8</w:t>
            </w:r>
          </w:p>
        </w:tc>
        <w:tc>
          <w:tcPr>
            <w:tcW w:w="1021" w:type="dxa"/>
            <w:tcBorders>
              <w:top w:val="single" w:sz="4" w:space="0" w:color="BFBFBF"/>
              <w:left w:val="single" w:sz="4" w:space="0" w:color="FFFFFF"/>
              <w:bottom w:val="single" w:sz="4" w:space="0" w:color="FFFFFF"/>
              <w:right w:val="single" w:sz="4" w:space="0" w:color="FFFFFF"/>
            </w:tcBorders>
            <w:hideMark/>
          </w:tcPr>
          <w:p w14:paraId="519A4368" w14:textId="77777777" w:rsidR="00814857" w:rsidRDefault="00814857" w:rsidP="00682CD7">
            <w:pPr>
              <w:pStyle w:val="ARtabletext"/>
            </w:pPr>
            <w:r>
              <w:t>10.3</w:t>
            </w:r>
          </w:p>
        </w:tc>
      </w:tr>
      <w:tr w:rsidR="00814857" w14:paraId="00F8F683" w14:textId="77777777" w:rsidTr="00152D52">
        <w:trPr>
          <w:cantSplit/>
        </w:trPr>
        <w:tc>
          <w:tcPr>
            <w:tcW w:w="1021" w:type="dxa"/>
            <w:gridSpan w:val="5"/>
            <w:tcBorders>
              <w:top w:val="single" w:sz="4" w:space="0" w:color="FFFFFF"/>
              <w:left w:val="single" w:sz="4" w:space="0" w:color="FFFFFF"/>
              <w:bottom w:val="single" w:sz="4" w:space="0" w:color="auto"/>
              <w:right w:val="single" w:sz="4" w:space="0" w:color="FFFFFF"/>
            </w:tcBorders>
            <w:hideMark/>
          </w:tcPr>
          <w:p w14:paraId="1EF03A4A" w14:textId="77777777" w:rsidR="00814857" w:rsidRDefault="00814857" w:rsidP="00682CD7">
            <w:pPr>
              <w:pStyle w:val="ARtablefootnote"/>
            </w:pPr>
            <w:r>
              <w:rPr>
                <w:rFonts w:eastAsia="Times"/>
                <w:lang w:eastAsia="en-AU"/>
              </w:rPr>
              <w:t>Source: Internal g</w:t>
            </w:r>
            <w:r w:rsidRPr="00FC4721">
              <w:rPr>
                <w:rFonts w:eastAsia="Times"/>
                <w:lang w:eastAsia="en-AU"/>
              </w:rPr>
              <w:t>overnment</w:t>
            </w:r>
            <w:r>
              <w:rPr>
                <w:rFonts w:eastAsia="Times"/>
                <w:lang w:eastAsia="en-AU"/>
              </w:rPr>
              <w:t xml:space="preserve"> sources</w:t>
            </w:r>
          </w:p>
        </w:tc>
      </w:tr>
    </w:tbl>
    <w:p w14:paraId="6A15B9F5" w14:textId="77777777" w:rsidR="00814857" w:rsidRDefault="00814857" w:rsidP="008F035E">
      <w:pPr>
        <w:pStyle w:val="ARtablefootnote"/>
        <w:sectPr w:rsidR="00814857" w:rsidSect="00152D52">
          <w:endnotePr>
            <w:numFmt w:val="decimal"/>
          </w:endnotePr>
          <w:pgSz w:w="11900" w:h="16840" w:code="9"/>
          <w:pgMar w:top="1985" w:right="851" w:bottom="851" w:left="1418" w:header="510" w:footer="340" w:gutter="0"/>
          <w:cols w:space="454"/>
        </w:sectPr>
      </w:pPr>
      <w:r>
        <w:t>The department is committed to measuring outcomes for all indicators set out in the Victorian budget papers. Candidate indicators and measures have been identified and provisionally mapped to this outcome, however, further work is needed to test and validate measures to ensure departmental initiatives and policies are reflected by the performance indicators. As the outcomes approaches in the department mature, reporting will be provided against outcome measures and will inform the reporting of performance indicators.</w:t>
      </w:r>
    </w:p>
    <w:p w14:paraId="5E8BD8F3" w14:textId="77777777" w:rsidR="00814857" w:rsidRPr="004B3CEB" w:rsidRDefault="00814857" w:rsidP="00667457">
      <w:pPr>
        <w:pStyle w:val="Heading3"/>
        <w:spacing w:before="0"/>
      </w:pPr>
      <w:r w:rsidRPr="004B3CEB">
        <w:lastRenderedPageBreak/>
        <w:t>Objective 3: Victorians have the capabilities to participate</w:t>
      </w:r>
    </w:p>
    <w:p w14:paraId="360ECBA1" w14:textId="504F7E59" w:rsidR="00814857" w:rsidRPr="004B3CEB" w:rsidRDefault="00814857" w:rsidP="00350E76">
      <w:pPr>
        <w:pStyle w:val="ARintro"/>
        <w:rPr>
          <w:lang w:eastAsia="en-AU"/>
        </w:rPr>
      </w:pPr>
      <w:r w:rsidRPr="004B3CEB">
        <w:rPr>
          <w:lang w:eastAsia="en-AU"/>
        </w:rPr>
        <w:t>Every individual, regardless of their circumstances, has abilities, skills and qualities that – if</w:t>
      </w:r>
      <w:r w:rsidR="00C14C9C">
        <w:rPr>
          <w:lang w:eastAsia="en-AU"/>
        </w:rPr>
        <w:t> </w:t>
      </w:r>
      <w:r w:rsidRPr="004B3CEB">
        <w:rPr>
          <w:lang w:eastAsia="en-AU"/>
        </w:rPr>
        <w:t>encouraged, supported and resourced – can position them as custodians of their future.</w:t>
      </w:r>
    </w:p>
    <w:p w14:paraId="70A6A1CC" w14:textId="77777777" w:rsidR="00814857" w:rsidRPr="004B3CEB" w:rsidRDefault="00814857" w:rsidP="00350E76">
      <w:pPr>
        <w:pStyle w:val="ARintro"/>
        <w:rPr>
          <w:lang w:eastAsia="en-AU"/>
        </w:rPr>
      </w:pPr>
      <w:r w:rsidRPr="004B3CEB">
        <w:rPr>
          <w:lang w:eastAsia="en-AU"/>
        </w:rPr>
        <w:t>The department recognises the reciprocal relationship between education and economic participation. The converse is also true, in that people who cannot fully participate in the labour market often suffer from varying degrees of poverty.</w:t>
      </w:r>
    </w:p>
    <w:p w14:paraId="439A05CC" w14:textId="27E506DF" w:rsidR="00814857" w:rsidRPr="004B3CEB" w:rsidRDefault="00814857" w:rsidP="00350E76">
      <w:pPr>
        <w:pStyle w:val="ARintro"/>
        <w:rPr>
          <w:lang w:eastAsia="en-AU"/>
        </w:rPr>
      </w:pPr>
      <w:r w:rsidRPr="004B3CEB">
        <w:rPr>
          <w:lang w:eastAsia="en-AU"/>
        </w:rPr>
        <w:t>This understanding drives our focus on improving quality of life for Victorians through increased participation in learning, education, volunteering and employment. Success demands the right foundations being laid in early childhood, giving children opportunities to achieve in education, and</w:t>
      </w:r>
      <w:r w:rsidR="00D752DF">
        <w:rPr>
          <w:lang w:eastAsia="en-AU"/>
        </w:rPr>
        <w:t> </w:t>
      </w:r>
      <w:r w:rsidRPr="004B3CEB">
        <w:rPr>
          <w:lang w:eastAsia="en-AU"/>
        </w:rPr>
        <w:t>supporting people to access meaningful employment.</w:t>
      </w:r>
    </w:p>
    <w:p w14:paraId="06DD322A" w14:textId="2522E1B8" w:rsidR="00814857" w:rsidRPr="004B3CEB" w:rsidRDefault="00814857" w:rsidP="00350E76">
      <w:pPr>
        <w:pStyle w:val="ARintro"/>
        <w:rPr>
          <w:lang w:eastAsia="en-AU"/>
        </w:rPr>
      </w:pPr>
      <w:r w:rsidRPr="004B3CEB">
        <w:rPr>
          <w:lang w:eastAsia="en-AU"/>
        </w:rPr>
        <w:t>The department plays a key role in unlocking the social, educational and economic potential of</w:t>
      </w:r>
      <w:r w:rsidR="00D752DF">
        <w:rPr>
          <w:lang w:eastAsia="en-AU"/>
        </w:rPr>
        <w:t> </w:t>
      </w:r>
      <w:r w:rsidRPr="004B3CEB">
        <w:rPr>
          <w:lang w:eastAsia="en-AU"/>
        </w:rPr>
        <w:t>all</w:t>
      </w:r>
      <w:r w:rsidR="00D752DF">
        <w:rPr>
          <w:lang w:eastAsia="en-AU"/>
        </w:rPr>
        <w:t> </w:t>
      </w:r>
      <w:r w:rsidRPr="004B3CEB">
        <w:rPr>
          <w:lang w:eastAsia="en-AU"/>
        </w:rPr>
        <w:t>Victorians, including those facing barriers to participation.</w:t>
      </w:r>
    </w:p>
    <w:p w14:paraId="6EDA1A92" w14:textId="37DE8EB3" w:rsidR="00814857" w:rsidRDefault="00814857" w:rsidP="00350E76">
      <w:pPr>
        <w:pStyle w:val="ARintro"/>
        <w:rPr>
          <w:lang w:eastAsia="en-AU"/>
        </w:rPr>
      </w:pPr>
      <w:r w:rsidRPr="004B3CEB">
        <w:rPr>
          <w:lang w:eastAsia="en-AU"/>
        </w:rPr>
        <w:t>We also make a significant contribution to Victoria’s economic growth through the jobs our services</w:t>
      </w:r>
      <w:r w:rsidR="00D752DF">
        <w:rPr>
          <w:lang w:eastAsia="en-AU"/>
        </w:rPr>
        <w:t> </w:t>
      </w:r>
      <w:r w:rsidRPr="004B3CEB">
        <w:rPr>
          <w:lang w:eastAsia="en-AU"/>
        </w:rPr>
        <w:t>and capital investments create, especially in the construction sector, and the industries and workforces that we support.</w:t>
      </w:r>
    </w:p>
    <w:p w14:paraId="403A3E69" w14:textId="77777777" w:rsidR="00814857" w:rsidRPr="006D00CE" w:rsidRDefault="00814857" w:rsidP="002C1224">
      <w:pPr>
        <w:pStyle w:val="ARbodynospace"/>
        <w:rPr>
          <w:highlight w:val="red"/>
        </w:rPr>
      </w:pPr>
    </w:p>
    <w:p w14:paraId="1579273A" w14:textId="77777777" w:rsidR="00814857" w:rsidRPr="006D00CE" w:rsidRDefault="00814857" w:rsidP="002C1224">
      <w:pPr>
        <w:pStyle w:val="ARbodynospace"/>
        <w:rPr>
          <w:highlight w:val="red"/>
        </w:rPr>
        <w:sectPr w:rsidR="00814857" w:rsidRPr="006D00CE" w:rsidSect="00E34BA4">
          <w:endnotePr>
            <w:numFmt w:val="decimal"/>
          </w:endnotePr>
          <w:type w:val="continuous"/>
          <w:pgSz w:w="11900" w:h="16840" w:code="9"/>
          <w:pgMar w:top="1985" w:right="851" w:bottom="851" w:left="1418" w:header="510" w:footer="340" w:gutter="0"/>
          <w:cols w:space="454"/>
        </w:sectPr>
      </w:pPr>
    </w:p>
    <w:p w14:paraId="63E290D1" w14:textId="77777777" w:rsidR="00814857" w:rsidRDefault="00814857" w:rsidP="002C1224">
      <w:pPr>
        <w:pStyle w:val="Heading4"/>
        <w:spacing w:before="0"/>
      </w:pPr>
      <w:r>
        <w:t xml:space="preserve">Outcome 3.1: Victorians participate in learning, education and </w:t>
      </w:r>
      <w:r w:rsidRPr="006E3969">
        <w:t>employment</w:t>
      </w:r>
    </w:p>
    <w:p w14:paraId="05DA9D56" w14:textId="7F4C1D4B" w:rsidR="00814857" w:rsidRPr="00174313" w:rsidRDefault="00814857" w:rsidP="00141F2E">
      <w:pPr>
        <w:pStyle w:val="ARbody"/>
      </w:pPr>
      <w:r w:rsidRPr="00174313">
        <w:t>A focus for the depar</w:t>
      </w:r>
      <w:r>
        <w:t>t</w:t>
      </w:r>
      <w:r w:rsidRPr="00174313">
        <w:t xml:space="preserve">ment over the past year has been supporting the transition of people with a disability to the </w:t>
      </w:r>
      <w:r w:rsidR="000B12DD">
        <w:t>National Disability Insurance Scheme (</w:t>
      </w:r>
      <w:r w:rsidRPr="00174313">
        <w:t>NDIS</w:t>
      </w:r>
      <w:r w:rsidR="000B12DD">
        <w:t>)</w:t>
      </w:r>
      <w:r w:rsidRPr="00174313">
        <w:t>. This will give them greater choice</w:t>
      </w:r>
      <w:r w:rsidR="002C1224">
        <w:t> </w:t>
      </w:r>
      <w:r w:rsidRPr="00174313">
        <w:t>and control over services and give them more capacity to fully participate socially and economically in their local community.</w:t>
      </w:r>
    </w:p>
    <w:p w14:paraId="2ED2A5F0" w14:textId="77777777" w:rsidR="00814857" w:rsidRPr="00174313" w:rsidRDefault="00814857" w:rsidP="008F035E">
      <w:pPr>
        <w:pStyle w:val="ARbody"/>
        <w:ind w:right="-90"/>
      </w:pPr>
      <w:r w:rsidRPr="00174313">
        <w:t xml:space="preserve">In 2018–19, the department also made important progress towards universal early childhood services and took on new responsibilities which are reflected in the new </w:t>
      </w:r>
      <w:r>
        <w:t>k</w:t>
      </w:r>
      <w:r w:rsidRPr="00174313">
        <w:t xml:space="preserve">ey </w:t>
      </w:r>
      <w:r>
        <w:t>r</w:t>
      </w:r>
      <w:r w:rsidRPr="00174313">
        <w:t>esults in the 2019</w:t>
      </w:r>
      <w:r>
        <w:t>–</w:t>
      </w:r>
      <w:r w:rsidRPr="00174313">
        <w:t xml:space="preserve">20 </w:t>
      </w:r>
      <w:r>
        <w:t>s</w:t>
      </w:r>
      <w:r w:rsidRPr="00174313">
        <w:t xml:space="preserve">trategic </w:t>
      </w:r>
      <w:r>
        <w:t>p</w:t>
      </w:r>
      <w:r w:rsidRPr="00174313">
        <w:t>lan.</w:t>
      </w:r>
    </w:p>
    <w:p w14:paraId="6234BCC8" w14:textId="63338143" w:rsidR="00814857" w:rsidRDefault="00814857" w:rsidP="00350E76">
      <w:pPr>
        <w:pStyle w:val="Heading5"/>
      </w:pPr>
      <w:r w:rsidRPr="004D63E8">
        <w:t xml:space="preserve">Key result 16: Increase educational engagement and achievement by children and young people in contact with </w:t>
      </w:r>
      <w:r w:rsidRPr="00174313">
        <w:t>departmental</w:t>
      </w:r>
      <w:r w:rsidRPr="004D63E8">
        <w:t xml:space="preserve"> services – especially those</w:t>
      </w:r>
      <w:r w:rsidR="00D752DF">
        <w:t> </w:t>
      </w:r>
      <w:r w:rsidRPr="004D63E8">
        <w:t>in</w:t>
      </w:r>
      <w:r w:rsidR="00D752DF">
        <w:t> </w:t>
      </w:r>
      <w:r w:rsidRPr="004D63E8">
        <w:t>out</w:t>
      </w:r>
      <w:r>
        <w:t>-</w:t>
      </w:r>
      <w:r w:rsidRPr="004D63E8">
        <w:t>of</w:t>
      </w:r>
      <w:r>
        <w:t>-</w:t>
      </w:r>
      <w:r w:rsidRPr="004D63E8">
        <w:t>home care</w:t>
      </w:r>
    </w:p>
    <w:p w14:paraId="1C3B2145" w14:textId="056FF33C" w:rsidR="00814857" w:rsidRDefault="00814857" w:rsidP="00350E76">
      <w:pPr>
        <w:pStyle w:val="Heading6"/>
      </w:pPr>
      <w:r>
        <w:rPr>
          <w:lang w:val="en-AU"/>
        </w:rPr>
        <w:t>Supporting the education of children and</w:t>
      </w:r>
      <w:r w:rsidR="00D752DF">
        <w:rPr>
          <w:lang w:val="en-AU"/>
        </w:rPr>
        <w:t> </w:t>
      </w:r>
      <w:r>
        <w:rPr>
          <w:lang w:val="en-AU"/>
        </w:rPr>
        <w:t>young</w:t>
      </w:r>
      <w:r w:rsidR="00D752DF">
        <w:rPr>
          <w:lang w:val="en-AU"/>
        </w:rPr>
        <w:t> </w:t>
      </w:r>
      <w:r>
        <w:rPr>
          <w:lang w:val="en-AU"/>
        </w:rPr>
        <w:t>people in out-</w:t>
      </w:r>
      <w:r>
        <w:t>of-home care</w:t>
      </w:r>
    </w:p>
    <w:p w14:paraId="23781B07" w14:textId="77777777" w:rsidR="00814857" w:rsidRPr="00CC08A5" w:rsidRDefault="00814857" w:rsidP="00350E76">
      <w:pPr>
        <w:pStyle w:val="ARbody"/>
        <w:rPr>
          <w:lang w:eastAsia="en-AU"/>
        </w:rPr>
      </w:pPr>
      <w:r w:rsidRPr="00CC08A5">
        <w:rPr>
          <w:lang w:eastAsia="en-AU"/>
        </w:rPr>
        <w:t xml:space="preserve">The </w:t>
      </w:r>
      <w:r>
        <w:rPr>
          <w:lang w:eastAsia="en-AU"/>
        </w:rPr>
        <w:t xml:space="preserve">out-of-home care education commitment </w:t>
      </w:r>
      <w:r w:rsidRPr="00CC08A5">
        <w:rPr>
          <w:lang w:eastAsia="en-AU"/>
        </w:rPr>
        <w:t>includes agreed actions to actively support the educational achievement of every child and young person in out-of-home care.</w:t>
      </w:r>
    </w:p>
    <w:p w14:paraId="51B18F8B" w14:textId="64C48D7E" w:rsidR="00814857" w:rsidRDefault="00814857" w:rsidP="00350E76">
      <w:pPr>
        <w:pStyle w:val="ARbody"/>
        <w:rPr>
          <w:lang w:eastAsia="en-AU"/>
        </w:rPr>
      </w:pPr>
      <w:r>
        <w:rPr>
          <w:lang w:eastAsia="en-AU"/>
        </w:rPr>
        <w:t>Through the agreement, schools, child protection practitioners and case workers understand each other’s roles and responsibilities and work cooperatively. The agreement includes strategies to</w:t>
      </w:r>
      <w:r w:rsidR="00D752DF">
        <w:rPr>
          <w:lang w:eastAsia="en-AU"/>
        </w:rPr>
        <w:t> </w:t>
      </w:r>
      <w:r>
        <w:rPr>
          <w:lang w:eastAsia="en-AU"/>
        </w:rPr>
        <w:t>improve outcomes related to student enrolment, attendance, achievement, case planning, retention and school completion.</w:t>
      </w:r>
    </w:p>
    <w:p w14:paraId="23DCA396" w14:textId="1CFACD1E" w:rsidR="00814857" w:rsidRPr="00CC08A5" w:rsidRDefault="00814857" w:rsidP="00350E76">
      <w:pPr>
        <w:pStyle w:val="ARbody"/>
        <w:rPr>
          <w:lang w:eastAsia="en-AU"/>
        </w:rPr>
      </w:pPr>
      <w:r>
        <w:rPr>
          <w:lang w:eastAsia="en-AU"/>
        </w:rPr>
        <w:t>W</w:t>
      </w:r>
      <w:r w:rsidRPr="00CC08A5">
        <w:rPr>
          <w:lang w:eastAsia="en-AU"/>
        </w:rPr>
        <w:t xml:space="preserve">eekly notifications to </w:t>
      </w:r>
      <w:r w:rsidRPr="00851F29">
        <w:rPr>
          <w:lang w:eastAsia="en-AU"/>
        </w:rPr>
        <w:t>local governments and schools advise when a child enters care, moves placements or exits care. This ensures that the school and local government</w:t>
      </w:r>
      <w:r w:rsidRPr="00CC08A5">
        <w:rPr>
          <w:lang w:eastAsia="en-AU"/>
        </w:rPr>
        <w:t xml:space="preserve"> services have the information they need to provide educational supports for the child or young person living in </w:t>
      </w:r>
      <w:r w:rsidR="00D752DF">
        <w:rPr>
          <w:lang w:eastAsia="en-AU"/>
        </w:rPr>
        <w:br/>
      </w:r>
      <w:r w:rsidRPr="00CC08A5">
        <w:rPr>
          <w:lang w:eastAsia="en-AU"/>
        </w:rPr>
        <w:t>out</w:t>
      </w:r>
      <w:r>
        <w:rPr>
          <w:lang w:eastAsia="en-AU"/>
        </w:rPr>
        <w:t>-</w:t>
      </w:r>
      <w:r w:rsidRPr="00CC08A5">
        <w:rPr>
          <w:lang w:eastAsia="en-AU"/>
        </w:rPr>
        <w:t>of</w:t>
      </w:r>
      <w:r>
        <w:rPr>
          <w:lang w:eastAsia="en-AU"/>
        </w:rPr>
        <w:t>-</w:t>
      </w:r>
      <w:r w:rsidRPr="00CC08A5">
        <w:rPr>
          <w:lang w:eastAsia="en-AU"/>
        </w:rPr>
        <w:t>home care.</w:t>
      </w:r>
    </w:p>
    <w:p w14:paraId="627C6E08" w14:textId="5DAAF548" w:rsidR="00814857" w:rsidRDefault="00814857" w:rsidP="00350E76">
      <w:pPr>
        <w:pStyle w:val="ARbody"/>
        <w:rPr>
          <w:lang w:eastAsia="en-AU"/>
        </w:rPr>
      </w:pPr>
      <w:r w:rsidRPr="00CC08A5">
        <w:rPr>
          <w:lang w:eastAsia="en-AU"/>
        </w:rPr>
        <w:t xml:space="preserve">The notifications process also </w:t>
      </w:r>
      <w:r>
        <w:rPr>
          <w:lang w:eastAsia="en-AU"/>
        </w:rPr>
        <w:t>allows</w:t>
      </w:r>
      <w:r w:rsidRPr="00CC08A5">
        <w:rPr>
          <w:lang w:eastAsia="en-AU"/>
        </w:rPr>
        <w:t xml:space="preserve"> local councils </w:t>
      </w:r>
      <w:r>
        <w:rPr>
          <w:lang w:eastAsia="en-AU"/>
        </w:rPr>
        <w:t xml:space="preserve">to put in place </w:t>
      </w:r>
      <w:r w:rsidRPr="00CC08A5">
        <w:rPr>
          <w:lang w:eastAsia="en-AU"/>
        </w:rPr>
        <w:t>additional supports through early childhood services. These support arrangements are described in the Early Childhood Agreement for</w:t>
      </w:r>
      <w:r w:rsidR="00D752DF">
        <w:rPr>
          <w:lang w:eastAsia="en-AU"/>
        </w:rPr>
        <w:t> </w:t>
      </w:r>
      <w:r w:rsidRPr="00CC08A5">
        <w:rPr>
          <w:lang w:eastAsia="en-AU"/>
        </w:rPr>
        <w:t>Children in Out-of-Home Care.</w:t>
      </w:r>
    </w:p>
    <w:p w14:paraId="5A96201E" w14:textId="59941B91" w:rsidR="00814857" w:rsidRDefault="00814857" w:rsidP="00350E76">
      <w:pPr>
        <w:pStyle w:val="Heading5"/>
      </w:pPr>
      <w:r>
        <w:t>Key result 17: Increase participation in</w:t>
      </w:r>
      <w:r w:rsidR="00D752DF">
        <w:t> </w:t>
      </w:r>
      <w:r>
        <w:t>three- and four-year-old kindergarten by</w:t>
      </w:r>
      <w:r w:rsidR="00D752DF">
        <w:t> </w:t>
      </w:r>
      <w:r>
        <w:t>children known to child protection</w:t>
      </w:r>
    </w:p>
    <w:p w14:paraId="650D37BE" w14:textId="6E084C48" w:rsidR="00345066" w:rsidRDefault="00814857" w:rsidP="00350E76">
      <w:pPr>
        <w:pStyle w:val="Heading6"/>
      </w:pPr>
      <w:r w:rsidRPr="000A1D87">
        <w:t xml:space="preserve">Early start </w:t>
      </w:r>
      <w:r>
        <w:rPr>
          <w:lang w:val="en-AU"/>
        </w:rPr>
        <w:t>– giving three-year-olds access</w:t>
      </w:r>
      <w:r w:rsidR="00D752DF">
        <w:rPr>
          <w:lang w:val="en-AU"/>
        </w:rPr>
        <w:t> </w:t>
      </w:r>
      <w:r>
        <w:rPr>
          <w:lang w:val="en-AU"/>
        </w:rPr>
        <w:t>to</w:t>
      </w:r>
      <w:r w:rsidR="00D752DF">
        <w:rPr>
          <w:lang w:val="en-AU"/>
        </w:rPr>
        <w:t> </w:t>
      </w:r>
      <w:r w:rsidRPr="000A1D87">
        <w:t>kindergarten</w:t>
      </w:r>
    </w:p>
    <w:p w14:paraId="58F6DCFA" w14:textId="2F1B7D85" w:rsidR="00814857" w:rsidRDefault="00814857" w:rsidP="00350E76">
      <w:pPr>
        <w:pStyle w:val="ARbody"/>
        <w:rPr>
          <w:rFonts w:eastAsiaTheme="minorHAnsi"/>
          <w:lang w:eastAsia="en-AU"/>
        </w:rPr>
      </w:pPr>
      <w:r>
        <w:t>Early Start Kindergarten (ESK) provides eligible three-year-old children with access to up to 15 hours of kindergarten per week (or 600 hours per year) for free. This grant is available in all settings where the kindergarten program is delivered by a qualified teacher, including in a three-year-old kindergarten program, a mixed age</w:t>
      </w:r>
      <w:r w:rsidR="00D752DF">
        <w:t> </w:t>
      </w:r>
      <w:r>
        <w:t>program or where Early Start enrolments are incorporated into a four-year-old program.</w:t>
      </w:r>
      <w:r>
        <w:rPr>
          <w:lang w:eastAsia="en-AU"/>
        </w:rPr>
        <w:t xml:space="preserve"> Since 2017, rates of enrolment of out-of-home care children aged three years and over in the ESK program have increased from 18 per cent to 36</w:t>
      </w:r>
      <w:r w:rsidR="00D752DF">
        <w:rPr>
          <w:lang w:eastAsia="en-AU"/>
        </w:rPr>
        <w:t> </w:t>
      </w:r>
      <w:r>
        <w:rPr>
          <w:lang w:eastAsia="en-AU"/>
        </w:rPr>
        <w:t>per</w:t>
      </w:r>
      <w:r w:rsidR="00D752DF">
        <w:rPr>
          <w:lang w:eastAsia="en-AU"/>
        </w:rPr>
        <w:t> </w:t>
      </w:r>
      <w:r>
        <w:rPr>
          <w:lang w:eastAsia="en-AU"/>
        </w:rPr>
        <w:t>cent.</w:t>
      </w:r>
    </w:p>
    <w:p w14:paraId="118850D1" w14:textId="792D8397" w:rsidR="00814857" w:rsidRDefault="00814857" w:rsidP="00350E76">
      <w:pPr>
        <w:pStyle w:val="Heading4"/>
      </w:pPr>
      <w:r>
        <w:lastRenderedPageBreak/>
        <w:t>Outcome 3.2: Victorians benefit economically from strong health and</w:t>
      </w:r>
      <w:r w:rsidR="00D325F4">
        <w:t> </w:t>
      </w:r>
      <w:r>
        <w:t>human services sectors</w:t>
      </w:r>
    </w:p>
    <w:p w14:paraId="35912E47" w14:textId="3CA705C8" w:rsidR="00814857" w:rsidRDefault="00814857" w:rsidP="00350E76">
      <w:pPr>
        <w:pStyle w:val="ARbody"/>
      </w:pPr>
      <w:r>
        <w:t>In 2018–19 the department continued to support our medical research institutes and public health services to advance the commercialisation and export of medical research in areas such as precision medicine, health services research and</w:t>
      </w:r>
      <w:r w:rsidR="00D325F4">
        <w:t> </w:t>
      </w:r>
      <w:r>
        <w:t>big data.</w:t>
      </w:r>
    </w:p>
    <w:p w14:paraId="1DA93728" w14:textId="7A865525" w:rsidR="00814857" w:rsidRPr="0007281F" w:rsidRDefault="00814857" w:rsidP="00350E76">
      <w:pPr>
        <w:pStyle w:val="ARbody"/>
      </w:pPr>
      <w:r>
        <w:t>Health and social services are growth industries in</w:t>
      </w:r>
      <w:r w:rsidR="00D325F4">
        <w:t> </w:t>
      </w:r>
      <w:r>
        <w:t>Victoria’s economy. The department also works closely with Victoria’s TAFEs, registered training organisations and universities to create pathways into employment.</w:t>
      </w:r>
    </w:p>
    <w:p w14:paraId="7FB5B971" w14:textId="7DC07C0C" w:rsidR="00814857" w:rsidRDefault="00814857" w:rsidP="00350E76">
      <w:pPr>
        <w:pStyle w:val="Heading5"/>
      </w:pPr>
      <w:r>
        <w:t>Key result 18: Increase the satisfaction of those who care voluntarily for people with a</w:t>
      </w:r>
      <w:r w:rsidR="00D325F4">
        <w:t> </w:t>
      </w:r>
      <w:r>
        <w:t>disability, people with mental illness and children in out-of-home care</w:t>
      </w:r>
    </w:p>
    <w:p w14:paraId="799821ED" w14:textId="77777777" w:rsidR="00814857" w:rsidRPr="00C41E29" w:rsidRDefault="00814857" w:rsidP="00350E76">
      <w:pPr>
        <w:pStyle w:val="Heading6"/>
        <w:rPr>
          <w:rFonts w:eastAsia="Times" w:cs="Arial"/>
          <w:lang w:val="en-AU" w:eastAsia="en-AU"/>
        </w:rPr>
      </w:pPr>
      <w:r>
        <w:rPr>
          <w:rFonts w:eastAsia="Times" w:cs="Arial"/>
          <w:lang w:val="en-AU" w:eastAsia="en-AU"/>
        </w:rPr>
        <w:t xml:space="preserve">Recognising and supporting </w:t>
      </w:r>
      <w:r w:rsidRPr="00C41E29">
        <w:rPr>
          <w:rFonts w:eastAsia="Times" w:cs="Arial"/>
          <w:lang w:val="en-AU" w:eastAsia="en-AU"/>
        </w:rPr>
        <w:t xml:space="preserve">Victorian </w:t>
      </w:r>
      <w:r>
        <w:rPr>
          <w:rFonts w:eastAsia="Times" w:cs="Arial"/>
          <w:lang w:val="en-AU" w:eastAsia="en-AU"/>
        </w:rPr>
        <w:t>c</w:t>
      </w:r>
      <w:r w:rsidRPr="00C41E29">
        <w:rPr>
          <w:rFonts w:eastAsia="Times" w:cs="Arial"/>
          <w:lang w:val="en-AU" w:eastAsia="en-AU"/>
        </w:rPr>
        <w:t>arers</w:t>
      </w:r>
    </w:p>
    <w:p w14:paraId="40434755" w14:textId="77777777" w:rsidR="00345066" w:rsidRDefault="00814857" w:rsidP="00350E76">
      <w:pPr>
        <w:rPr>
          <w:rFonts w:ascii="Arial" w:eastAsia="Times" w:hAnsi="Arial" w:cs="Arial"/>
          <w:szCs w:val="24"/>
        </w:rPr>
      </w:pPr>
      <w:r w:rsidRPr="00C41E29">
        <w:rPr>
          <w:rFonts w:ascii="Arial" w:eastAsia="Times" w:hAnsi="Arial" w:cs="Arial"/>
          <w:szCs w:val="24"/>
        </w:rPr>
        <w:t xml:space="preserve">The </w:t>
      </w:r>
      <w:r w:rsidRPr="00851F29">
        <w:rPr>
          <w:rFonts w:ascii="Arial" w:eastAsia="Times" w:hAnsi="Arial" w:cs="Arial"/>
          <w:i/>
          <w:szCs w:val="24"/>
        </w:rPr>
        <w:t>Victorian carer strategy 2018–22</w:t>
      </w:r>
      <w:r w:rsidRPr="00C41E29">
        <w:rPr>
          <w:rFonts w:ascii="Arial" w:eastAsia="Times" w:hAnsi="Arial" w:cs="Arial"/>
          <w:szCs w:val="24"/>
        </w:rPr>
        <w:t xml:space="preserve"> was launched in July 2018 to recognise and support the role of Victorian carers.</w:t>
      </w:r>
    </w:p>
    <w:p w14:paraId="18052E60" w14:textId="47206158" w:rsidR="00814857" w:rsidRPr="00C41E29" w:rsidRDefault="00814857" w:rsidP="000B7C6C">
      <w:pPr>
        <w:ind w:right="-90"/>
        <w:rPr>
          <w:rFonts w:ascii="Arial" w:eastAsia="Times" w:hAnsi="Arial" w:cs="Arial"/>
          <w:szCs w:val="24"/>
        </w:rPr>
      </w:pPr>
      <w:r w:rsidRPr="00C41E29">
        <w:rPr>
          <w:rFonts w:ascii="Arial" w:eastAsia="Times" w:hAnsi="Arial" w:cs="Arial"/>
          <w:szCs w:val="24"/>
        </w:rPr>
        <w:t>Developed with input from carers and peak bodies, actions focus on providing greater access to support groups, financial services</w:t>
      </w:r>
      <w:r>
        <w:rPr>
          <w:rFonts w:ascii="Arial" w:eastAsia="Times" w:hAnsi="Arial" w:cs="Arial"/>
          <w:szCs w:val="24"/>
        </w:rPr>
        <w:t>,</w:t>
      </w:r>
      <w:r w:rsidRPr="00C41E29">
        <w:rPr>
          <w:rFonts w:ascii="Arial" w:eastAsia="Times" w:hAnsi="Arial" w:cs="Arial"/>
          <w:szCs w:val="24"/>
        </w:rPr>
        <w:t xml:space="preserve"> transport and improved identification and help for young carers.</w:t>
      </w:r>
    </w:p>
    <w:p w14:paraId="19D0E275" w14:textId="77777777" w:rsidR="00814857" w:rsidRPr="004B109B" w:rsidRDefault="00814857" w:rsidP="004B109B">
      <w:pPr>
        <w:pStyle w:val="ARbody"/>
      </w:pPr>
      <w:r w:rsidRPr="00C41E29">
        <w:t xml:space="preserve">$1.2 million was provided </w:t>
      </w:r>
      <w:r w:rsidRPr="004B109B">
        <w:t xml:space="preserve">to deliver a range of new actions in the </w:t>
      </w:r>
      <w:r>
        <w:t>s</w:t>
      </w:r>
      <w:r w:rsidRPr="004B109B">
        <w:t>trategy</w:t>
      </w:r>
      <w:r>
        <w:t>,</w:t>
      </w:r>
      <w:r w:rsidRPr="004B109B">
        <w:t xml:space="preserve"> including support for young carers and carers of people with mental illness.</w:t>
      </w:r>
    </w:p>
    <w:p w14:paraId="7D8C6436" w14:textId="396560F5" w:rsidR="00814857" w:rsidRDefault="00814857" w:rsidP="004B109B">
      <w:pPr>
        <w:pStyle w:val="ARbody"/>
      </w:pPr>
      <w:r w:rsidRPr="004B109B">
        <w:t>This is in addition to the $19.3 million provided each year to the Support for Carers Program</w:t>
      </w:r>
      <w:r>
        <w:t>,</w:t>
      </w:r>
      <w:r w:rsidRPr="004B109B">
        <w:t xml:space="preserve"> which</w:t>
      </w:r>
      <w:r w:rsidR="00D325F4">
        <w:t> </w:t>
      </w:r>
      <w:r w:rsidRPr="004B109B">
        <w:t>provides a range of respite and other support</w:t>
      </w:r>
      <w:r w:rsidR="00D325F4">
        <w:t> </w:t>
      </w:r>
      <w:r w:rsidRPr="004B109B">
        <w:t>for carers.</w:t>
      </w:r>
    </w:p>
    <w:p w14:paraId="0DED7749" w14:textId="1F29C1BD" w:rsidR="00814857" w:rsidRPr="00337E33" w:rsidRDefault="00814857" w:rsidP="004B109B">
      <w:pPr>
        <w:pStyle w:val="Heading6"/>
      </w:pPr>
      <w:r>
        <w:rPr>
          <w:lang w:val="en-AU"/>
        </w:rPr>
        <w:t>Improving health, wellbeing and safety</w:t>
      </w:r>
      <w:r w:rsidR="00D325F4">
        <w:rPr>
          <w:lang w:val="en-AU"/>
        </w:rPr>
        <w:t> </w:t>
      </w:r>
      <w:r>
        <w:rPr>
          <w:lang w:val="en-AU"/>
        </w:rPr>
        <w:t>of</w:t>
      </w:r>
      <w:r w:rsidR="00D325F4">
        <w:rPr>
          <w:lang w:val="en-AU"/>
        </w:rPr>
        <w:t> </w:t>
      </w:r>
      <w:r>
        <w:rPr>
          <w:lang w:val="en-AU"/>
        </w:rPr>
        <w:t>Victorians with d</w:t>
      </w:r>
      <w:r>
        <w:t>isability</w:t>
      </w:r>
    </w:p>
    <w:p w14:paraId="594BDDA2" w14:textId="77777777" w:rsidR="00345066" w:rsidRDefault="00814857" w:rsidP="00350E76">
      <w:pPr>
        <w:pStyle w:val="ARbody"/>
        <w:rPr>
          <w:lang w:eastAsia="en-AU"/>
        </w:rPr>
      </w:pPr>
      <w:r>
        <w:rPr>
          <w:lang w:eastAsia="en-AU"/>
        </w:rPr>
        <w:t xml:space="preserve">The </w:t>
      </w:r>
      <w:r w:rsidRPr="009B0E55">
        <w:rPr>
          <w:i/>
          <w:iCs/>
          <w:lang w:eastAsia="en-AU"/>
        </w:rPr>
        <w:t>Victorian disability advocacy futures plan</w:t>
      </w:r>
      <w:r>
        <w:rPr>
          <w:lang w:eastAsia="en-AU"/>
        </w:rPr>
        <w:t xml:space="preserve"> and associated fixed-term funding of $5.6 million over 2018–19 and 2019–20 has delivered a 25 per cent core funding boost to the 24 agencies included in the plan. This has helped advocates to manage waiting lists and tackle complex cases, providing greater access to advocacy to improve the health, wellbeing and safety of Victorians with disability.</w:t>
      </w:r>
    </w:p>
    <w:p w14:paraId="019B8808" w14:textId="5A146808" w:rsidR="00814857" w:rsidRDefault="00814857" w:rsidP="00350E76">
      <w:pPr>
        <w:pStyle w:val="ARbody"/>
        <w:rPr>
          <w:lang w:eastAsia="en-AU"/>
        </w:rPr>
      </w:pPr>
      <w:r>
        <w:rPr>
          <w:lang w:eastAsia="en-AU"/>
        </w:rPr>
        <w:t>This work also supports advocates to engage with</w:t>
      </w:r>
      <w:r w:rsidR="00D325F4">
        <w:rPr>
          <w:lang w:eastAsia="en-AU"/>
        </w:rPr>
        <w:t> </w:t>
      </w:r>
      <w:r>
        <w:rPr>
          <w:lang w:eastAsia="en-AU"/>
        </w:rPr>
        <w:t>the Commonwealth Royal Commission into Violence, Abuse, Neglect and Exploitation of People with Disability.</w:t>
      </w:r>
    </w:p>
    <w:p w14:paraId="46BE55BA" w14:textId="77777777" w:rsidR="00814857" w:rsidRDefault="00814857" w:rsidP="00350E76">
      <w:pPr>
        <w:pStyle w:val="ARbody"/>
        <w:rPr>
          <w:lang w:eastAsia="en-AU"/>
        </w:rPr>
      </w:pPr>
      <w:r>
        <w:rPr>
          <w:lang w:eastAsia="en-AU"/>
        </w:rPr>
        <w:t xml:space="preserve">In 2018–19, 2,187 people accessed disability advocacy services in Victoria, which exceeds the 2018–19 and 2019–20 </w:t>
      </w:r>
      <w:r w:rsidRPr="009B0E55">
        <w:rPr>
          <w:i/>
          <w:iCs/>
          <w:lang w:eastAsia="en-AU"/>
        </w:rPr>
        <w:t>Budget Paper 3</w:t>
      </w:r>
      <w:r>
        <w:rPr>
          <w:lang w:eastAsia="en-AU"/>
        </w:rPr>
        <w:t xml:space="preserve"> target of 2,000 clients a year. This result shows that access to advocacy is increasing, although it is also a sign of increasing demand, as people with disability and their families access and navigate the National Disability Insurance Scheme.</w:t>
      </w:r>
    </w:p>
    <w:p w14:paraId="0EEB8A9B" w14:textId="55224554" w:rsidR="00814857" w:rsidRDefault="00814857" w:rsidP="00350E76">
      <w:pPr>
        <w:pStyle w:val="Heading4"/>
      </w:pPr>
      <w:r>
        <w:t>Outcome 3.3: Victorians participate</w:t>
      </w:r>
      <w:r w:rsidR="00D325F4">
        <w:t> </w:t>
      </w:r>
      <w:r>
        <w:t>in</w:t>
      </w:r>
      <w:r w:rsidR="00D325F4">
        <w:t> </w:t>
      </w:r>
      <w:r>
        <w:t>the economy and</w:t>
      </w:r>
      <w:r w:rsidR="00D325F4">
        <w:t> </w:t>
      </w:r>
      <w:r>
        <w:t>have</w:t>
      </w:r>
      <w:r w:rsidR="00D325F4">
        <w:t> </w:t>
      </w:r>
      <w:r>
        <w:t>financial security</w:t>
      </w:r>
    </w:p>
    <w:p w14:paraId="7D310691" w14:textId="5B9D3D09" w:rsidR="00814857" w:rsidRDefault="00814857" w:rsidP="00350E76">
      <w:pPr>
        <w:pStyle w:val="ARbody"/>
      </w:pPr>
      <w:r>
        <w:t>Improving the economic wellbeing of our clients, patients and victim survivors is a priority for the department. Economic wellbeing requires access to</w:t>
      </w:r>
      <w:r w:rsidR="00D325F4">
        <w:t> </w:t>
      </w:r>
      <w:r>
        <w:t>predictable and adequate income and an ability to access and manage finances effectively.</w:t>
      </w:r>
    </w:p>
    <w:p w14:paraId="5CD5D399" w14:textId="5C985B48" w:rsidR="00814857" w:rsidRDefault="00814857" w:rsidP="00350E76">
      <w:pPr>
        <w:pStyle w:val="ARbody"/>
      </w:pPr>
      <w:r>
        <w:t>The department works to advance this outcome by providing opportunities for economic participation through the goods and services we commission, as</w:t>
      </w:r>
      <w:r w:rsidR="00D325F4">
        <w:t> </w:t>
      </w:r>
      <w:r>
        <w:t xml:space="preserve">well as by working across </w:t>
      </w:r>
      <w:r w:rsidRPr="00AD222E">
        <w:t>government and</w:t>
      </w:r>
      <w:r>
        <w:t xml:space="preserve"> the</w:t>
      </w:r>
      <w:r w:rsidR="00D325F4">
        <w:t> </w:t>
      </w:r>
      <w:r>
        <w:t>community to actively address barriers to participation faced by our clients, patients and victim survivors.</w:t>
      </w:r>
    </w:p>
    <w:p w14:paraId="12237637" w14:textId="1D648A3D" w:rsidR="00814857" w:rsidRPr="0063513B" w:rsidRDefault="00814857" w:rsidP="00350E76">
      <w:pPr>
        <w:pStyle w:val="Heading5"/>
      </w:pPr>
      <w:r w:rsidRPr="004D63E8">
        <w:t>Key result 1</w:t>
      </w:r>
      <w:r w:rsidRPr="0063513B">
        <w:t>9</w:t>
      </w:r>
      <w:r w:rsidRPr="004D63E8">
        <w:t xml:space="preserve">: </w:t>
      </w:r>
      <w:r>
        <w:t>Increase labour market</w:t>
      </w:r>
      <w:r w:rsidR="00D325F4">
        <w:t xml:space="preserve"> </w:t>
      </w:r>
      <w:r>
        <w:t>participation by women, people with a disability, people with mental illness and people living in specified locations and communities</w:t>
      </w:r>
    </w:p>
    <w:p w14:paraId="00844A48" w14:textId="10046945" w:rsidR="00345066" w:rsidRDefault="00814857" w:rsidP="00350E76">
      <w:pPr>
        <w:pStyle w:val="Heading6"/>
        <w:rPr>
          <w:lang w:val="en-AU"/>
        </w:rPr>
      </w:pPr>
      <w:r>
        <w:t>S</w:t>
      </w:r>
      <w:r>
        <w:rPr>
          <w:lang w:val="en-AU"/>
        </w:rPr>
        <w:t>ustainable employment for</w:t>
      </w:r>
      <w:r w:rsidR="00D325F4">
        <w:rPr>
          <w:lang w:val="en-AU"/>
        </w:rPr>
        <w:t> </w:t>
      </w:r>
      <w:r>
        <w:rPr>
          <w:lang w:val="en-AU"/>
        </w:rPr>
        <w:t>public</w:t>
      </w:r>
      <w:r w:rsidR="00D325F4">
        <w:rPr>
          <w:lang w:val="en-AU"/>
        </w:rPr>
        <w:t> </w:t>
      </w:r>
      <w:r>
        <w:rPr>
          <w:lang w:val="en-AU"/>
        </w:rPr>
        <w:t>housing</w:t>
      </w:r>
      <w:r w:rsidR="00D325F4">
        <w:rPr>
          <w:lang w:val="en-AU"/>
        </w:rPr>
        <w:t> </w:t>
      </w:r>
      <w:r>
        <w:rPr>
          <w:lang w:val="en-AU"/>
        </w:rPr>
        <w:t>tenants</w:t>
      </w:r>
    </w:p>
    <w:p w14:paraId="075B004E" w14:textId="773A8C92" w:rsidR="00814857" w:rsidRDefault="00814857" w:rsidP="00350E76">
      <w:pPr>
        <w:pStyle w:val="ARbody"/>
        <w:rPr>
          <w:lang w:eastAsia="en-AU"/>
        </w:rPr>
      </w:pPr>
      <w:r>
        <w:rPr>
          <w:lang w:eastAsia="en-AU"/>
        </w:rPr>
        <w:t>The department developed the Public Tenant Employment Program in 2005 to create pathways for public housing tenants who want to gain secure and sustainable employment. Jobs are delivered by</w:t>
      </w:r>
      <w:r w:rsidR="00D325F4">
        <w:rPr>
          <w:lang w:eastAsia="en-AU"/>
        </w:rPr>
        <w:t> </w:t>
      </w:r>
      <w:r>
        <w:rPr>
          <w:lang w:eastAsia="en-AU"/>
        </w:rPr>
        <w:t>leveraging the department’s public housing contracts to create employment opportunities for public tenants and by providing accredited training in skills-shortage areas through partnerships with TAFEs and registered training organisations.</w:t>
      </w:r>
    </w:p>
    <w:p w14:paraId="492758DF" w14:textId="6AA4B17F" w:rsidR="00814857" w:rsidRDefault="00814857" w:rsidP="007E5619">
      <w:pPr>
        <w:pStyle w:val="ARbody"/>
      </w:pPr>
      <w:r>
        <w:rPr>
          <w:lang w:eastAsia="en-AU"/>
        </w:rPr>
        <w:t>The number of tenants a contractor is required to employ is specified by the type and size of the contract. The areas in which tenants can be employed include cleaning, maintenance, gardening and security, new construction, upgrades</w:t>
      </w:r>
      <w:r w:rsidR="00D325F4">
        <w:rPr>
          <w:lang w:eastAsia="en-AU"/>
        </w:rPr>
        <w:t> </w:t>
      </w:r>
      <w:r>
        <w:rPr>
          <w:lang w:eastAsia="en-AU"/>
        </w:rPr>
        <w:t>and major developments. As at June 2019, more than 90 public housing tenants were employed in these areas.</w:t>
      </w:r>
    </w:p>
    <w:p w14:paraId="179E5853" w14:textId="58E6E2E5" w:rsidR="00D325F4" w:rsidRPr="002C1224" w:rsidRDefault="00D325F4" w:rsidP="00350E76">
      <w:pPr>
        <w:pStyle w:val="ARbody"/>
      </w:pPr>
      <w:r w:rsidRPr="002C1224">
        <w:br w:type="page"/>
      </w:r>
    </w:p>
    <w:p w14:paraId="0589471F" w14:textId="1761A25C" w:rsidR="00814857" w:rsidRDefault="00814857" w:rsidP="00350E76">
      <w:pPr>
        <w:pStyle w:val="ARbody"/>
        <w:rPr>
          <w:lang w:eastAsia="en-AU"/>
        </w:rPr>
      </w:pPr>
      <w:r>
        <w:rPr>
          <w:lang w:eastAsia="en-AU"/>
        </w:rPr>
        <w:lastRenderedPageBreak/>
        <w:t>The department also funds employment and training services through Hope for the Future, which runs employment, training and life-skills development programs for public housing tenants on the Richmond, Fitzroy and Collingwood housing estates. At 30 June this year, more than 55 tenants were undertaking employment, education or life skills programs to improve their opportunities to gain employment.</w:t>
      </w:r>
    </w:p>
    <w:p w14:paraId="3709638B" w14:textId="4A227162" w:rsidR="00345066" w:rsidRDefault="00814857" w:rsidP="00350E76">
      <w:pPr>
        <w:pStyle w:val="ARbody"/>
        <w:rPr>
          <w:lang w:eastAsia="en-AU"/>
        </w:rPr>
      </w:pPr>
      <w:r>
        <w:rPr>
          <w:lang w:eastAsia="en-AU"/>
        </w:rPr>
        <w:t>In Ascot Vale, 10 public housing tenants from the</w:t>
      </w:r>
      <w:r w:rsidR="00D325F4">
        <w:rPr>
          <w:lang w:eastAsia="en-AU"/>
        </w:rPr>
        <w:t> </w:t>
      </w:r>
      <w:r>
        <w:rPr>
          <w:lang w:eastAsia="en-AU"/>
        </w:rPr>
        <w:t>Ascot Vale, Flemington and North Melbourne public housing estates completed RMIT’s 10-week interpreting course and can now be employed as nationally accredited interpreters. Five of the graduates have already been employed in interpreting roles.</w:t>
      </w:r>
    </w:p>
    <w:p w14:paraId="2CD6F10F" w14:textId="5FF87D77" w:rsidR="00814857" w:rsidRDefault="00814857" w:rsidP="00350E76">
      <w:pPr>
        <w:pStyle w:val="ARbody"/>
        <w:rPr>
          <w:lang w:eastAsia="en-AU"/>
        </w:rPr>
      </w:pPr>
      <w:r>
        <w:rPr>
          <w:lang w:eastAsia="en-AU"/>
        </w:rPr>
        <w:t>The Community Safety and Information Service is</w:t>
      </w:r>
      <w:r w:rsidR="00D325F4">
        <w:rPr>
          <w:lang w:eastAsia="en-AU"/>
        </w:rPr>
        <w:t> </w:t>
      </w:r>
      <w:r>
        <w:rPr>
          <w:lang w:eastAsia="en-AU"/>
        </w:rPr>
        <w:t>a</w:t>
      </w:r>
      <w:r w:rsidR="00D325F4">
        <w:rPr>
          <w:lang w:eastAsia="en-AU"/>
        </w:rPr>
        <w:t> </w:t>
      </w:r>
      <w:r>
        <w:rPr>
          <w:lang w:eastAsia="en-AU"/>
        </w:rPr>
        <w:t>social procurement program, funded by the department and delivered by the Brotherhood of St Laurence in the inner north of Melbourne. The program assists departmental clients to transition to</w:t>
      </w:r>
      <w:r w:rsidR="00D325F4">
        <w:rPr>
          <w:lang w:eastAsia="en-AU"/>
        </w:rPr>
        <w:t> </w:t>
      </w:r>
      <w:r>
        <w:rPr>
          <w:lang w:eastAsia="en-AU"/>
        </w:rPr>
        <w:t>employment. They are initially employed as trainees and run the concierge services located on</w:t>
      </w:r>
      <w:r w:rsidR="00D325F4">
        <w:rPr>
          <w:lang w:eastAsia="en-AU"/>
        </w:rPr>
        <w:t> </w:t>
      </w:r>
      <w:r>
        <w:rPr>
          <w:lang w:eastAsia="en-AU"/>
        </w:rPr>
        <w:t>the ground floor of the high-rise towers on the</w:t>
      </w:r>
      <w:r w:rsidR="00D325F4">
        <w:rPr>
          <w:lang w:eastAsia="en-AU"/>
        </w:rPr>
        <w:t> </w:t>
      </w:r>
      <w:r>
        <w:rPr>
          <w:lang w:eastAsia="en-AU"/>
        </w:rPr>
        <w:t>Collingwood, Richmond and Fitzroy estates. Trainees complete a Certificate II in Security Operations as part of this program and the Brotherhood of St Laurence works closely with the</w:t>
      </w:r>
      <w:r w:rsidR="00D325F4">
        <w:rPr>
          <w:lang w:eastAsia="en-AU"/>
        </w:rPr>
        <w:t> </w:t>
      </w:r>
      <w:r>
        <w:rPr>
          <w:lang w:eastAsia="en-AU"/>
        </w:rPr>
        <w:t>department’s security contractor to provide an</w:t>
      </w:r>
      <w:r w:rsidR="00D325F4">
        <w:rPr>
          <w:lang w:eastAsia="en-AU"/>
        </w:rPr>
        <w:t> </w:t>
      </w:r>
      <w:r>
        <w:rPr>
          <w:lang w:eastAsia="en-AU"/>
        </w:rPr>
        <w:t>employment pathway for participants.</w:t>
      </w:r>
    </w:p>
    <w:p w14:paraId="4CEAA7C9" w14:textId="7A12C96D" w:rsidR="00814857" w:rsidRPr="00337E33" w:rsidRDefault="00814857" w:rsidP="00350E76">
      <w:pPr>
        <w:pStyle w:val="Heading6"/>
      </w:pPr>
      <w:r w:rsidRPr="005312F1">
        <w:t>Economic participation</w:t>
      </w:r>
      <w:r>
        <w:t xml:space="preserve"> for</w:t>
      </w:r>
      <w:r w:rsidR="00D325F4">
        <w:rPr>
          <w:lang w:val="en-US"/>
        </w:rPr>
        <w:t> </w:t>
      </w:r>
      <w:r>
        <w:t>people</w:t>
      </w:r>
      <w:r w:rsidR="00D325F4">
        <w:rPr>
          <w:lang w:val="en-US"/>
        </w:rPr>
        <w:t> </w:t>
      </w:r>
      <w:r>
        <w:t>with</w:t>
      </w:r>
      <w:r w:rsidR="00D325F4">
        <w:rPr>
          <w:lang w:val="en-US"/>
        </w:rPr>
        <w:t> </w:t>
      </w:r>
      <w:r>
        <w:t>disability</w:t>
      </w:r>
    </w:p>
    <w:p w14:paraId="6133B3F7" w14:textId="176A9E2E" w:rsidR="00814857" w:rsidRDefault="00814857" w:rsidP="00350E76">
      <w:pPr>
        <w:pStyle w:val="ARbody"/>
        <w:rPr>
          <w:lang w:eastAsia="en-AU"/>
        </w:rPr>
      </w:pPr>
      <w:r>
        <w:rPr>
          <w:lang w:eastAsia="en-AU"/>
        </w:rPr>
        <w:t>Getting to Work was launched by the Victorian Public Sector Commission on 1 October 2018</w:t>
      </w:r>
      <w:r w:rsidR="000B12DD">
        <w:rPr>
          <w:lang w:eastAsia="en-AU"/>
        </w:rPr>
        <w:t>. It</w:t>
      </w:r>
      <w:r w:rsidR="002C1224">
        <w:rPr>
          <w:lang w:eastAsia="en-AU"/>
        </w:rPr>
        <w:t> </w:t>
      </w:r>
      <w:r>
        <w:rPr>
          <w:lang w:eastAsia="en-AU"/>
        </w:rPr>
        <w:t>is</w:t>
      </w:r>
      <w:r w:rsidR="002C1224">
        <w:rPr>
          <w:lang w:eastAsia="en-AU"/>
        </w:rPr>
        <w:t> </w:t>
      </w:r>
      <w:r>
        <w:rPr>
          <w:lang w:eastAsia="en-AU"/>
        </w:rPr>
        <w:t>driving a coordinated approach to improving the recruitment, retention and career development of people with disability across the public service. In</w:t>
      </w:r>
      <w:r w:rsidR="002C1224">
        <w:rPr>
          <w:lang w:eastAsia="en-AU"/>
        </w:rPr>
        <w:t> </w:t>
      </w:r>
      <w:r>
        <w:rPr>
          <w:lang w:eastAsia="en-AU"/>
        </w:rPr>
        <w:t>2018, seven projects were funded through the Jobs Victoria Innovation Fund that are supporting people with disability to participate in employment. People with disability were also supported to participate as entrepreneurs through a workshop held as part of the Victorian Small Business Festival Victoria on 22 August 2018. Emerging entrepreneurs with disability had the opportunity to</w:t>
      </w:r>
      <w:r w:rsidR="002C1224">
        <w:rPr>
          <w:lang w:eastAsia="en-AU"/>
        </w:rPr>
        <w:t> </w:t>
      </w:r>
      <w:r>
        <w:rPr>
          <w:lang w:eastAsia="en-AU"/>
        </w:rPr>
        <w:t>hear from established business leaders with disability and</w:t>
      </w:r>
      <w:r w:rsidR="00D325F4">
        <w:rPr>
          <w:lang w:eastAsia="en-AU"/>
        </w:rPr>
        <w:t> </w:t>
      </w:r>
      <w:r>
        <w:rPr>
          <w:lang w:eastAsia="en-AU"/>
        </w:rPr>
        <w:t>to</w:t>
      </w:r>
      <w:r w:rsidR="00D325F4">
        <w:rPr>
          <w:lang w:eastAsia="en-AU"/>
        </w:rPr>
        <w:t> </w:t>
      </w:r>
      <w:r>
        <w:rPr>
          <w:lang w:eastAsia="en-AU"/>
        </w:rPr>
        <w:t>workshop and pitch their own</w:t>
      </w:r>
      <w:r w:rsidR="002C1224">
        <w:rPr>
          <w:lang w:eastAsia="en-AU"/>
        </w:rPr>
        <w:t> </w:t>
      </w:r>
      <w:r>
        <w:rPr>
          <w:lang w:eastAsia="en-AU"/>
        </w:rPr>
        <w:t>ideas.</w:t>
      </w:r>
    </w:p>
    <w:p w14:paraId="178C04CB" w14:textId="4B09526A" w:rsidR="00814857" w:rsidDel="001C523E" w:rsidRDefault="002C1224" w:rsidP="00350E76">
      <w:pPr>
        <w:pStyle w:val="ARbody"/>
        <w:rPr>
          <w:lang w:eastAsia="en-AU"/>
        </w:rPr>
      </w:pPr>
      <w:r>
        <w:rPr>
          <w:lang w:eastAsia="en-AU"/>
        </w:rPr>
        <w:br w:type="column"/>
      </w:r>
      <w:r w:rsidR="00814857" w:rsidDel="001C523E">
        <w:rPr>
          <w:lang w:eastAsia="en-AU"/>
        </w:rPr>
        <w:t xml:space="preserve">In addition, as part of </w:t>
      </w:r>
      <w:r w:rsidR="00814857" w:rsidRPr="009B0E55" w:rsidDel="001C523E">
        <w:rPr>
          <w:i/>
          <w:iCs/>
          <w:lang w:eastAsia="en-AU"/>
        </w:rPr>
        <w:t>Every opportunity: Victorian</w:t>
      </w:r>
      <w:r w:rsidR="00D325F4">
        <w:rPr>
          <w:i/>
          <w:iCs/>
          <w:lang w:eastAsia="en-AU"/>
        </w:rPr>
        <w:t> </w:t>
      </w:r>
      <w:r w:rsidR="00814857" w:rsidRPr="009B0E55" w:rsidDel="001C523E">
        <w:rPr>
          <w:i/>
          <w:iCs/>
          <w:lang w:eastAsia="en-AU"/>
        </w:rPr>
        <w:t>economic participation plan for people with disability 2018</w:t>
      </w:r>
      <w:r w:rsidR="00814857" w:rsidDel="001C523E">
        <w:rPr>
          <w:i/>
          <w:iCs/>
          <w:lang w:eastAsia="en-AU"/>
        </w:rPr>
        <w:t>–</w:t>
      </w:r>
      <w:r w:rsidR="00814857" w:rsidRPr="009B0E55" w:rsidDel="001C523E">
        <w:rPr>
          <w:i/>
          <w:iCs/>
          <w:lang w:eastAsia="en-AU"/>
        </w:rPr>
        <w:t>2020</w:t>
      </w:r>
      <w:r w:rsidR="00814857" w:rsidDel="001C523E">
        <w:rPr>
          <w:lang w:eastAsia="en-AU"/>
        </w:rPr>
        <w:t xml:space="preserve">, we partnered across </w:t>
      </w:r>
      <w:r w:rsidR="00814857" w:rsidRPr="00AD222E" w:rsidDel="001C523E">
        <w:rPr>
          <w:lang w:eastAsia="en-AU"/>
        </w:rPr>
        <w:t>government to</w:t>
      </w:r>
      <w:r w:rsidR="00814857" w:rsidDel="001C523E">
        <w:rPr>
          <w:lang w:eastAsia="en-AU"/>
        </w:rPr>
        <w:t xml:space="preserve"> plan how we will achieve the Victorian public service employment targets of 6 per cent of employees to be people with disability by 2020 and 12 per cent by 2025 (</w:t>
      </w:r>
      <w:r w:rsidR="00814857" w:rsidRPr="009B0E55" w:rsidDel="001C523E">
        <w:rPr>
          <w:i/>
          <w:iCs/>
          <w:lang w:eastAsia="en-AU"/>
        </w:rPr>
        <w:t>Getting to work: Victorian public sector disability employment action plan 2018</w:t>
      </w:r>
      <w:r w:rsidR="00814857" w:rsidDel="001C523E">
        <w:rPr>
          <w:i/>
          <w:iCs/>
          <w:lang w:eastAsia="en-AU"/>
        </w:rPr>
        <w:t>–</w:t>
      </w:r>
      <w:r w:rsidR="00814857" w:rsidRPr="009B0E55" w:rsidDel="001C523E">
        <w:rPr>
          <w:i/>
          <w:iCs/>
          <w:lang w:eastAsia="en-AU"/>
        </w:rPr>
        <w:t>2025</w:t>
      </w:r>
      <w:r w:rsidR="00814857" w:rsidDel="001C523E">
        <w:rPr>
          <w:lang w:eastAsia="en-AU"/>
        </w:rPr>
        <w:t>). The department delivered six projects funded through Jobs Victoria Innovation Fund initiatives to support people with disability into employment and a workshop for entrepreneurs with disability delivered as part of the Small Business Victoria festival.</w:t>
      </w:r>
    </w:p>
    <w:p w14:paraId="71A08F19" w14:textId="77777777" w:rsidR="00814857" w:rsidRDefault="00814857" w:rsidP="00350E76">
      <w:pPr>
        <w:pStyle w:val="Heading6"/>
      </w:pPr>
      <w:r>
        <w:rPr>
          <w:lang w:val="en-AU"/>
        </w:rPr>
        <w:t>Helping people affected by bushfires</w:t>
      </w:r>
    </w:p>
    <w:p w14:paraId="379EAA7E" w14:textId="15601C6E" w:rsidR="00814857" w:rsidRDefault="00814857" w:rsidP="00350E76">
      <w:pPr>
        <w:pStyle w:val="ARbody"/>
        <w:rPr>
          <w:lang w:eastAsia="en-AU"/>
        </w:rPr>
      </w:pPr>
      <w:r>
        <w:rPr>
          <w:lang w:eastAsia="en-AU"/>
        </w:rPr>
        <w:t>During 2018–19, the department, together with key</w:t>
      </w:r>
      <w:r w:rsidR="00D325F4">
        <w:rPr>
          <w:lang w:eastAsia="en-AU"/>
        </w:rPr>
        <w:t> </w:t>
      </w:r>
      <w:r>
        <w:rPr>
          <w:lang w:eastAsia="en-AU"/>
        </w:rPr>
        <w:t>stakeholders, reviewed the Personal Hardship Assistance Program (PHAP). PHAP is for people who have been affected by a significant incident in Victoria, such as flood, bushfire or house fire, and it provides financial security during these distressing periods. It is also a vital tool for staff who assist Victorians experiencing financial difficulties.</w:t>
      </w:r>
    </w:p>
    <w:p w14:paraId="5CFF79B7" w14:textId="77777777" w:rsidR="00814857" w:rsidRDefault="00814857" w:rsidP="00350E76">
      <w:pPr>
        <w:pStyle w:val="ARbody"/>
        <w:rPr>
          <w:lang w:eastAsia="en-AU"/>
        </w:rPr>
      </w:pPr>
      <w:r>
        <w:rPr>
          <w:lang w:eastAsia="en-AU"/>
        </w:rPr>
        <w:t>Through the review process, the department developed a much-improved system that enables emergency staff to better assess claims, determine payment entitlement, allocate and track payments and provide funds securely and efficiently through streamlined application and payment processes and information security.</w:t>
      </w:r>
    </w:p>
    <w:p w14:paraId="4FED486E" w14:textId="77777777" w:rsidR="00814857" w:rsidRDefault="00814857" w:rsidP="00350E76">
      <w:pPr>
        <w:pStyle w:val="ARbody"/>
        <w:rPr>
          <w:lang w:eastAsia="en-AU"/>
        </w:rPr>
      </w:pPr>
      <w:r>
        <w:rPr>
          <w:lang w:eastAsia="en-AU"/>
        </w:rPr>
        <w:t>Staff can now manage all hardship assistance requests and eligibility assessments online and from mobile devices. It also supports issuing debit cards at relief centres to enable immediate access to funds to purchase essential health, safety and wellbeing needs. The reporting functionality of the system provides real-time reporting of information, including the number of people seeking financial assistance and the amount of assistance provided.</w:t>
      </w:r>
    </w:p>
    <w:p w14:paraId="5D0093D4" w14:textId="77777777" w:rsidR="00814857" w:rsidRDefault="00814857" w:rsidP="00350E76">
      <w:pPr>
        <w:rPr>
          <w:rFonts w:ascii="Arial" w:eastAsia="Times" w:hAnsi="Arial" w:cs="Arial"/>
          <w:szCs w:val="24"/>
        </w:rPr>
      </w:pPr>
      <w:r>
        <w:br w:type="page"/>
      </w:r>
    </w:p>
    <w:p w14:paraId="7A340D1F" w14:textId="77777777" w:rsidR="00814857" w:rsidRDefault="00814857" w:rsidP="00350E76">
      <w:pPr>
        <w:rPr>
          <w:rFonts w:eastAsia="Times"/>
          <w:b/>
          <w:bCs/>
        </w:rPr>
        <w:sectPr w:rsidR="00814857" w:rsidSect="00E34BA4">
          <w:endnotePr>
            <w:numFmt w:val="decimal"/>
          </w:endnotePr>
          <w:type w:val="continuous"/>
          <w:pgSz w:w="11900" w:h="16840" w:code="9"/>
          <w:pgMar w:top="1985" w:right="851" w:bottom="851" w:left="1418" w:header="510" w:footer="340" w:gutter="0"/>
          <w:cols w:num="2" w:space="454"/>
        </w:sectPr>
      </w:pPr>
    </w:p>
    <w:p w14:paraId="39E847B0" w14:textId="77777777" w:rsidR="00814857" w:rsidRDefault="00814857" w:rsidP="00D325F4">
      <w:pPr>
        <w:pStyle w:val="Heading3"/>
        <w:spacing w:before="0"/>
      </w:pPr>
      <w:r>
        <w:lastRenderedPageBreak/>
        <w:t>O</w:t>
      </w:r>
      <w:r w:rsidRPr="00336AE4">
        <w:t xml:space="preserve">bjective </w:t>
      </w:r>
      <w:r>
        <w:t>3</w:t>
      </w:r>
      <w:r w:rsidRPr="00336AE4">
        <w:t>: indicator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20" w:firstRow="1" w:lastRow="0" w:firstColumn="0" w:lastColumn="0" w:noHBand="0" w:noVBand="1"/>
      </w:tblPr>
      <w:tblGrid>
        <w:gridCol w:w="5943"/>
        <w:gridCol w:w="939"/>
        <w:gridCol w:w="939"/>
        <w:gridCol w:w="939"/>
        <w:gridCol w:w="879"/>
      </w:tblGrid>
      <w:tr w:rsidR="00814857" w14:paraId="27DA05D2" w14:textId="77777777" w:rsidTr="00DA2B47">
        <w:trPr>
          <w:cantSplit/>
          <w:tblHeader/>
        </w:trPr>
        <w:tc>
          <w:tcPr>
            <w:tcW w:w="5943" w:type="dxa"/>
            <w:tcBorders>
              <w:top w:val="nil"/>
              <w:left w:val="single" w:sz="4" w:space="0" w:color="FFFFFF"/>
              <w:bottom w:val="single" w:sz="4" w:space="0" w:color="auto"/>
              <w:right w:val="single" w:sz="4" w:space="0" w:color="FFFFFF"/>
            </w:tcBorders>
            <w:vAlign w:val="bottom"/>
          </w:tcPr>
          <w:p w14:paraId="1F12F44B" w14:textId="77777777" w:rsidR="00814857" w:rsidRDefault="00814857" w:rsidP="00682CD7">
            <w:pPr>
              <w:spacing w:before="80" w:after="60" w:line="216" w:lineRule="auto"/>
              <w:rPr>
                <w:rFonts w:eastAsia="Times" w:cs="Arial"/>
                <w:b/>
                <w:sz w:val="18"/>
                <w:szCs w:val="18"/>
              </w:rPr>
            </w:pPr>
          </w:p>
        </w:tc>
        <w:tc>
          <w:tcPr>
            <w:tcW w:w="939" w:type="dxa"/>
            <w:tcBorders>
              <w:top w:val="nil"/>
              <w:left w:val="single" w:sz="4" w:space="0" w:color="FFFFFF"/>
              <w:bottom w:val="single" w:sz="4" w:space="0" w:color="auto"/>
              <w:right w:val="single" w:sz="4" w:space="0" w:color="FFFFFF"/>
            </w:tcBorders>
            <w:vAlign w:val="bottom"/>
            <w:hideMark/>
          </w:tcPr>
          <w:p w14:paraId="3532B46B" w14:textId="77777777" w:rsidR="00814857" w:rsidRPr="00DA2B47" w:rsidRDefault="00814857" w:rsidP="00DA2B47">
            <w:pPr>
              <w:pStyle w:val="ARtablecolhead"/>
            </w:pPr>
            <w:r w:rsidRPr="00DA2B47">
              <w:t>2015–16</w:t>
            </w:r>
          </w:p>
        </w:tc>
        <w:tc>
          <w:tcPr>
            <w:tcW w:w="939" w:type="dxa"/>
            <w:tcBorders>
              <w:top w:val="nil"/>
              <w:left w:val="single" w:sz="4" w:space="0" w:color="FFFFFF"/>
              <w:bottom w:val="single" w:sz="4" w:space="0" w:color="auto"/>
              <w:right w:val="single" w:sz="4" w:space="0" w:color="FFFFFF"/>
            </w:tcBorders>
            <w:vAlign w:val="bottom"/>
            <w:hideMark/>
          </w:tcPr>
          <w:p w14:paraId="7540382C" w14:textId="77777777" w:rsidR="00814857" w:rsidRPr="00DA2B47" w:rsidRDefault="00814857" w:rsidP="00DA2B47">
            <w:pPr>
              <w:pStyle w:val="ARtablecolhead"/>
            </w:pPr>
            <w:r w:rsidRPr="00DA2B47">
              <w:t>2016–17</w:t>
            </w:r>
          </w:p>
        </w:tc>
        <w:tc>
          <w:tcPr>
            <w:tcW w:w="939" w:type="dxa"/>
            <w:tcBorders>
              <w:top w:val="nil"/>
              <w:left w:val="single" w:sz="4" w:space="0" w:color="FFFFFF"/>
              <w:bottom w:val="single" w:sz="4" w:space="0" w:color="auto"/>
              <w:right w:val="single" w:sz="4" w:space="0" w:color="FFFFFF"/>
            </w:tcBorders>
            <w:vAlign w:val="bottom"/>
            <w:hideMark/>
          </w:tcPr>
          <w:p w14:paraId="3BB7DEE1" w14:textId="77777777" w:rsidR="00814857" w:rsidRPr="00DA2B47" w:rsidRDefault="00814857" w:rsidP="00DA2B47">
            <w:pPr>
              <w:pStyle w:val="ARtablecolhead"/>
            </w:pPr>
            <w:r w:rsidRPr="00DA2B47">
              <w:t>2017–18</w:t>
            </w:r>
          </w:p>
        </w:tc>
        <w:tc>
          <w:tcPr>
            <w:tcW w:w="879" w:type="dxa"/>
            <w:tcBorders>
              <w:top w:val="nil"/>
              <w:left w:val="single" w:sz="4" w:space="0" w:color="FFFFFF"/>
              <w:bottom w:val="single" w:sz="4" w:space="0" w:color="auto"/>
              <w:right w:val="single" w:sz="4" w:space="0" w:color="FFFFFF"/>
            </w:tcBorders>
            <w:vAlign w:val="bottom"/>
            <w:hideMark/>
          </w:tcPr>
          <w:p w14:paraId="17EE30FD" w14:textId="77777777" w:rsidR="00814857" w:rsidRPr="00DA2B47" w:rsidRDefault="00814857" w:rsidP="00DA2B47">
            <w:pPr>
              <w:pStyle w:val="ARtablecolhead"/>
            </w:pPr>
            <w:r w:rsidRPr="00DA2B47">
              <w:t>2018–19</w:t>
            </w:r>
          </w:p>
        </w:tc>
      </w:tr>
      <w:tr w:rsidR="00814857" w14:paraId="06005FA7" w14:textId="77777777" w:rsidTr="00682CD7">
        <w:trPr>
          <w:cantSplit/>
        </w:trPr>
        <w:tc>
          <w:tcPr>
            <w:tcW w:w="9639" w:type="dxa"/>
            <w:gridSpan w:val="5"/>
            <w:tcBorders>
              <w:top w:val="single" w:sz="4" w:space="0" w:color="auto"/>
              <w:left w:val="single" w:sz="4" w:space="0" w:color="FFFFFF"/>
              <w:bottom w:val="single" w:sz="4" w:space="0" w:color="BFBFBF"/>
              <w:right w:val="single" w:sz="4" w:space="0" w:color="FFFFFF"/>
            </w:tcBorders>
            <w:hideMark/>
          </w:tcPr>
          <w:p w14:paraId="721E0DB2" w14:textId="77777777" w:rsidR="00814857" w:rsidRDefault="00814857" w:rsidP="008F035E">
            <w:pPr>
              <w:pStyle w:val="ARtablebluebold"/>
            </w:pPr>
            <w:r>
              <w:t>Victorians participate in learning and education</w:t>
            </w:r>
          </w:p>
        </w:tc>
      </w:tr>
      <w:tr w:rsidR="00814857" w14:paraId="6F8377FE" w14:textId="77777777" w:rsidTr="00682CD7">
        <w:trPr>
          <w:cantSplit/>
        </w:trPr>
        <w:tc>
          <w:tcPr>
            <w:tcW w:w="5943" w:type="dxa"/>
            <w:tcBorders>
              <w:top w:val="single" w:sz="4" w:space="0" w:color="BFBFBF"/>
              <w:left w:val="single" w:sz="4" w:space="0" w:color="FFFFFF"/>
              <w:bottom w:val="single" w:sz="4" w:space="0" w:color="FFFFFF"/>
              <w:right w:val="single" w:sz="4" w:space="0" w:color="FFFFFF"/>
            </w:tcBorders>
            <w:hideMark/>
          </w:tcPr>
          <w:p w14:paraId="5762320E" w14:textId="77777777" w:rsidR="00814857" w:rsidRDefault="00814857" w:rsidP="00682CD7">
            <w:pPr>
              <w:pStyle w:val="ARtabletext"/>
              <w:rPr>
                <w:i/>
              </w:rPr>
            </w:pPr>
            <w:r>
              <w:t>Clinical placement student days (medicine)</w:t>
            </w:r>
          </w:p>
        </w:tc>
        <w:tc>
          <w:tcPr>
            <w:tcW w:w="939" w:type="dxa"/>
            <w:tcBorders>
              <w:top w:val="single" w:sz="4" w:space="0" w:color="BFBFBF"/>
              <w:left w:val="single" w:sz="4" w:space="0" w:color="FFFFFF"/>
              <w:bottom w:val="single" w:sz="4" w:space="0" w:color="FFFFFF"/>
              <w:right w:val="single" w:sz="4" w:space="0" w:color="FFFFFF"/>
            </w:tcBorders>
            <w:hideMark/>
          </w:tcPr>
          <w:p w14:paraId="6D271940" w14:textId="77777777" w:rsidR="00814857" w:rsidRDefault="00814857" w:rsidP="00682CD7">
            <w:pPr>
              <w:pStyle w:val="ARtabletext"/>
            </w:pPr>
            <w:r>
              <w:t>New measure</w:t>
            </w:r>
          </w:p>
        </w:tc>
        <w:tc>
          <w:tcPr>
            <w:tcW w:w="939" w:type="dxa"/>
            <w:tcBorders>
              <w:top w:val="single" w:sz="4" w:space="0" w:color="BFBFBF"/>
              <w:left w:val="single" w:sz="4" w:space="0" w:color="FFFFFF"/>
              <w:bottom w:val="single" w:sz="4" w:space="0" w:color="FFFFFF"/>
              <w:right w:val="single" w:sz="4" w:space="0" w:color="FFFFFF"/>
            </w:tcBorders>
            <w:hideMark/>
          </w:tcPr>
          <w:p w14:paraId="1000A81C" w14:textId="77777777" w:rsidR="00814857" w:rsidRDefault="00814857" w:rsidP="00682CD7">
            <w:pPr>
              <w:pStyle w:val="ARtabletext"/>
            </w:pPr>
            <w:r>
              <w:t>New measure</w:t>
            </w:r>
          </w:p>
        </w:tc>
        <w:tc>
          <w:tcPr>
            <w:tcW w:w="939" w:type="dxa"/>
            <w:tcBorders>
              <w:top w:val="single" w:sz="4" w:space="0" w:color="BFBFBF"/>
              <w:left w:val="single" w:sz="4" w:space="0" w:color="FFFFFF"/>
              <w:bottom w:val="single" w:sz="4" w:space="0" w:color="FFFFFF"/>
              <w:right w:val="single" w:sz="4" w:space="0" w:color="FFFFFF"/>
            </w:tcBorders>
            <w:hideMark/>
          </w:tcPr>
          <w:p w14:paraId="043DF764" w14:textId="77777777" w:rsidR="00814857" w:rsidRDefault="00814857" w:rsidP="00682CD7">
            <w:pPr>
              <w:pStyle w:val="ARtabletext"/>
            </w:pPr>
            <w:r>
              <w:t>393,807</w:t>
            </w:r>
          </w:p>
        </w:tc>
        <w:tc>
          <w:tcPr>
            <w:tcW w:w="879" w:type="dxa"/>
            <w:tcBorders>
              <w:top w:val="single" w:sz="4" w:space="0" w:color="BFBFBF"/>
              <w:left w:val="single" w:sz="4" w:space="0" w:color="FFFFFF"/>
              <w:bottom w:val="single" w:sz="4" w:space="0" w:color="FFFFFF"/>
              <w:right w:val="single" w:sz="4" w:space="0" w:color="FFFFFF"/>
            </w:tcBorders>
            <w:hideMark/>
          </w:tcPr>
          <w:p w14:paraId="58487A2A" w14:textId="77777777" w:rsidR="00814857" w:rsidRDefault="00814857" w:rsidP="00682CD7">
            <w:pPr>
              <w:pStyle w:val="ARtabletext"/>
            </w:pPr>
            <w:r>
              <w:t>395,349</w:t>
            </w:r>
          </w:p>
        </w:tc>
      </w:tr>
      <w:tr w:rsidR="00814857" w14:paraId="5B327E10" w14:textId="77777777" w:rsidTr="00682CD7">
        <w:trPr>
          <w:cantSplit/>
        </w:trPr>
        <w:tc>
          <w:tcPr>
            <w:tcW w:w="5943" w:type="dxa"/>
            <w:tcBorders>
              <w:top w:val="single" w:sz="4" w:space="0" w:color="BFBFBF"/>
              <w:left w:val="single" w:sz="4" w:space="0" w:color="FFFFFF"/>
              <w:bottom w:val="single" w:sz="4" w:space="0" w:color="FFFFFF"/>
              <w:right w:val="single" w:sz="4" w:space="0" w:color="FFFFFF"/>
            </w:tcBorders>
            <w:hideMark/>
          </w:tcPr>
          <w:p w14:paraId="219F4A34" w14:textId="77777777" w:rsidR="00814857" w:rsidRDefault="00814857" w:rsidP="00682CD7">
            <w:pPr>
              <w:pStyle w:val="ARtabletext"/>
              <w:rPr>
                <w:i/>
              </w:rPr>
            </w:pPr>
            <w:r>
              <w:t>Clinical placements student days (nursing and midwifery)</w:t>
            </w:r>
          </w:p>
        </w:tc>
        <w:tc>
          <w:tcPr>
            <w:tcW w:w="939" w:type="dxa"/>
            <w:tcBorders>
              <w:top w:val="single" w:sz="4" w:space="0" w:color="BFBFBF"/>
              <w:left w:val="single" w:sz="4" w:space="0" w:color="FFFFFF"/>
              <w:bottom w:val="single" w:sz="4" w:space="0" w:color="FFFFFF"/>
              <w:right w:val="single" w:sz="4" w:space="0" w:color="FFFFFF"/>
            </w:tcBorders>
            <w:hideMark/>
          </w:tcPr>
          <w:p w14:paraId="76EE7B56" w14:textId="77777777" w:rsidR="00814857" w:rsidRDefault="00814857" w:rsidP="00682CD7">
            <w:pPr>
              <w:pStyle w:val="ARtabletext"/>
            </w:pPr>
            <w:r>
              <w:t>New measure</w:t>
            </w:r>
          </w:p>
        </w:tc>
        <w:tc>
          <w:tcPr>
            <w:tcW w:w="939" w:type="dxa"/>
            <w:tcBorders>
              <w:top w:val="single" w:sz="4" w:space="0" w:color="BFBFBF"/>
              <w:left w:val="single" w:sz="4" w:space="0" w:color="FFFFFF"/>
              <w:bottom w:val="single" w:sz="4" w:space="0" w:color="FFFFFF"/>
              <w:right w:val="single" w:sz="4" w:space="0" w:color="FFFFFF"/>
            </w:tcBorders>
            <w:hideMark/>
          </w:tcPr>
          <w:p w14:paraId="35FE9944" w14:textId="77777777" w:rsidR="00814857" w:rsidRDefault="00814857" w:rsidP="00682CD7">
            <w:pPr>
              <w:pStyle w:val="ARtabletext"/>
            </w:pPr>
            <w:r>
              <w:t>New measure</w:t>
            </w:r>
          </w:p>
        </w:tc>
        <w:tc>
          <w:tcPr>
            <w:tcW w:w="939" w:type="dxa"/>
            <w:tcBorders>
              <w:top w:val="single" w:sz="4" w:space="0" w:color="BFBFBF"/>
              <w:left w:val="single" w:sz="4" w:space="0" w:color="FFFFFF"/>
              <w:bottom w:val="single" w:sz="4" w:space="0" w:color="FFFFFF"/>
              <w:right w:val="single" w:sz="4" w:space="0" w:color="FFFFFF"/>
            </w:tcBorders>
            <w:hideMark/>
          </w:tcPr>
          <w:p w14:paraId="034A8579" w14:textId="77777777" w:rsidR="00814857" w:rsidRDefault="00814857" w:rsidP="00682CD7">
            <w:pPr>
              <w:pStyle w:val="ARtabletext"/>
            </w:pPr>
            <w:r>
              <w:t>406,330</w:t>
            </w:r>
          </w:p>
        </w:tc>
        <w:tc>
          <w:tcPr>
            <w:tcW w:w="879" w:type="dxa"/>
            <w:tcBorders>
              <w:top w:val="single" w:sz="4" w:space="0" w:color="BFBFBF"/>
              <w:left w:val="single" w:sz="4" w:space="0" w:color="FFFFFF"/>
              <w:bottom w:val="single" w:sz="4" w:space="0" w:color="FFFFFF"/>
              <w:right w:val="single" w:sz="4" w:space="0" w:color="FFFFFF"/>
            </w:tcBorders>
            <w:hideMark/>
          </w:tcPr>
          <w:p w14:paraId="5CEF162C" w14:textId="77777777" w:rsidR="00814857" w:rsidRDefault="00814857" w:rsidP="00682CD7">
            <w:pPr>
              <w:pStyle w:val="ARtabletext"/>
            </w:pPr>
            <w:r>
              <w:t>428,864</w:t>
            </w:r>
          </w:p>
        </w:tc>
      </w:tr>
      <w:tr w:rsidR="00814857" w14:paraId="77433D8C" w14:textId="77777777" w:rsidTr="00682CD7">
        <w:trPr>
          <w:cantSplit/>
        </w:trPr>
        <w:tc>
          <w:tcPr>
            <w:tcW w:w="5943" w:type="dxa"/>
            <w:tcBorders>
              <w:top w:val="single" w:sz="4" w:space="0" w:color="BFBFBF"/>
              <w:left w:val="single" w:sz="4" w:space="0" w:color="FFFFFF"/>
              <w:bottom w:val="single" w:sz="4" w:space="0" w:color="FFFFFF"/>
              <w:right w:val="single" w:sz="4" w:space="0" w:color="FFFFFF"/>
            </w:tcBorders>
            <w:hideMark/>
          </w:tcPr>
          <w:p w14:paraId="3B1B01C2" w14:textId="77777777" w:rsidR="00814857" w:rsidRDefault="00814857" w:rsidP="00682CD7">
            <w:pPr>
              <w:pStyle w:val="ARtabletext"/>
              <w:rPr>
                <w:i/>
              </w:rPr>
            </w:pPr>
            <w:r>
              <w:t>Clinical placement student days (allied health)</w:t>
            </w:r>
          </w:p>
        </w:tc>
        <w:tc>
          <w:tcPr>
            <w:tcW w:w="939" w:type="dxa"/>
            <w:tcBorders>
              <w:top w:val="single" w:sz="4" w:space="0" w:color="BFBFBF"/>
              <w:left w:val="single" w:sz="4" w:space="0" w:color="FFFFFF"/>
              <w:bottom w:val="single" w:sz="4" w:space="0" w:color="FFFFFF"/>
              <w:right w:val="single" w:sz="4" w:space="0" w:color="FFFFFF"/>
            </w:tcBorders>
            <w:hideMark/>
          </w:tcPr>
          <w:p w14:paraId="161F3011" w14:textId="77777777" w:rsidR="00814857" w:rsidRDefault="00814857" w:rsidP="00682CD7">
            <w:pPr>
              <w:pStyle w:val="ARtabletext"/>
            </w:pPr>
            <w:r>
              <w:t>New measure</w:t>
            </w:r>
          </w:p>
        </w:tc>
        <w:tc>
          <w:tcPr>
            <w:tcW w:w="939" w:type="dxa"/>
            <w:tcBorders>
              <w:top w:val="single" w:sz="4" w:space="0" w:color="BFBFBF"/>
              <w:left w:val="single" w:sz="4" w:space="0" w:color="FFFFFF"/>
              <w:bottom w:val="single" w:sz="4" w:space="0" w:color="FFFFFF"/>
              <w:right w:val="single" w:sz="4" w:space="0" w:color="FFFFFF"/>
            </w:tcBorders>
            <w:hideMark/>
          </w:tcPr>
          <w:p w14:paraId="4583C5AE" w14:textId="77777777" w:rsidR="00814857" w:rsidRDefault="00814857" w:rsidP="00682CD7">
            <w:pPr>
              <w:pStyle w:val="ARtabletext"/>
            </w:pPr>
            <w:r>
              <w:t>New measure</w:t>
            </w:r>
          </w:p>
        </w:tc>
        <w:tc>
          <w:tcPr>
            <w:tcW w:w="939" w:type="dxa"/>
            <w:tcBorders>
              <w:top w:val="single" w:sz="4" w:space="0" w:color="BFBFBF"/>
              <w:left w:val="single" w:sz="4" w:space="0" w:color="FFFFFF"/>
              <w:bottom w:val="single" w:sz="4" w:space="0" w:color="FFFFFF"/>
              <w:right w:val="single" w:sz="4" w:space="0" w:color="FFFFFF"/>
            </w:tcBorders>
            <w:hideMark/>
          </w:tcPr>
          <w:p w14:paraId="6B438551" w14:textId="77777777" w:rsidR="00814857" w:rsidRDefault="00814857" w:rsidP="00682CD7">
            <w:pPr>
              <w:pStyle w:val="ARtabletext"/>
            </w:pPr>
            <w:r>
              <w:t>158,461</w:t>
            </w:r>
          </w:p>
        </w:tc>
        <w:tc>
          <w:tcPr>
            <w:tcW w:w="879" w:type="dxa"/>
            <w:tcBorders>
              <w:top w:val="single" w:sz="4" w:space="0" w:color="BFBFBF"/>
              <w:left w:val="single" w:sz="4" w:space="0" w:color="FFFFFF"/>
              <w:bottom w:val="single" w:sz="4" w:space="0" w:color="FFFFFF"/>
              <w:right w:val="single" w:sz="4" w:space="0" w:color="FFFFFF"/>
            </w:tcBorders>
            <w:hideMark/>
          </w:tcPr>
          <w:p w14:paraId="185E5DDA" w14:textId="77777777" w:rsidR="00814857" w:rsidRDefault="00814857" w:rsidP="00682CD7">
            <w:pPr>
              <w:pStyle w:val="ARtabletext"/>
            </w:pPr>
            <w:r>
              <w:t>159,709</w:t>
            </w:r>
          </w:p>
        </w:tc>
      </w:tr>
      <w:tr w:rsidR="00814857" w14:paraId="6C5E45DF" w14:textId="77777777" w:rsidTr="00682CD7">
        <w:trPr>
          <w:cantSplit/>
        </w:trPr>
        <w:tc>
          <w:tcPr>
            <w:tcW w:w="5943" w:type="dxa"/>
            <w:tcBorders>
              <w:top w:val="single" w:sz="4" w:space="0" w:color="BFBFBF"/>
              <w:left w:val="single" w:sz="4" w:space="0" w:color="FFFFFF"/>
              <w:bottom w:val="single" w:sz="4" w:space="0" w:color="FFFFFF"/>
              <w:right w:val="single" w:sz="4" w:space="0" w:color="FFFFFF"/>
            </w:tcBorders>
            <w:hideMark/>
          </w:tcPr>
          <w:p w14:paraId="699D1D64" w14:textId="77777777" w:rsidR="00814857" w:rsidRDefault="00814857" w:rsidP="00682CD7">
            <w:pPr>
              <w:pStyle w:val="ARtabletext"/>
            </w:pPr>
            <w:r>
              <w:t>Number of people trained in emergency response</w:t>
            </w:r>
          </w:p>
          <w:p w14:paraId="4B7D7725" w14:textId="77777777" w:rsidR="00814857" w:rsidRDefault="00814857" w:rsidP="00682CD7">
            <w:pPr>
              <w:pStyle w:val="ARtabletext"/>
              <w:rPr>
                <w:i/>
              </w:rPr>
            </w:pPr>
            <w:r>
              <w:rPr>
                <w:sz w:val="16"/>
                <w:szCs w:val="16"/>
              </w:rPr>
              <w:t>Source: Internal departmental data</w:t>
            </w:r>
          </w:p>
        </w:tc>
        <w:tc>
          <w:tcPr>
            <w:tcW w:w="939" w:type="dxa"/>
            <w:tcBorders>
              <w:top w:val="single" w:sz="4" w:space="0" w:color="BFBFBF"/>
              <w:left w:val="single" w:sz="4" w:space="0" w:color="FFFFFF"/>
              <w:bottom w:val="single" w:sz="4" w:space="0" w:color="FFFFFF"/>
              <w:right w:val="single" w:sz="4" w:space="0" w:color="FFFFFF"/>
            </w:tcBorders>
            <w:hideMark/>
          </w:tcPr>
          <w:p w14:paraId="27509CE9" w14:textId="77777777" w:rsidR="00814857" w:rsidRDefault="00814857" w:rsidP="00682CD7">
            <w:pPr>
              <w:pStyle w:val="ARtabletext"/>
            </w:pPr>
            <w:r>
              <w:t>2,028</w:t>
            </w:r>
          </w:p>
        </w:tc>
        <w:tc>
          <w:tcPr>
            <w:tcW w:w="939" w:type="dxa"/>
            <w:tcBorders>
              <w:top w:val="single" w:sz="4" w:space="0" w:color="BFBFBF"/>
              <w:left w:val="single" w:sz="4" w:space="0" w:color="FFFFFF"/>
              <w:bottom w:val="single" w:sz="4" w:space="0" w:color="FFFFFF"/>
              <w:right w:val="single" w:sz="4" w:space="0" w:color="FFFFFF"/>
            </w:tcBorders>
            <w:hideMark/>
          </w:tcPr>
          <w:p w14:paraId="5AA061A5" w14:textId="77777777" w:rsidR="00814857" w:rsidRDefault="00814857" w:rsidP="00682CD7">
            <w:pPr>
              <w:pStyle w:val="ARtabletext"/>
            </w:pPr>
            <w:r>
              <w:t>2,000</w:t>
            </w:r>
          </w:p>
        </w:tc>
        <w:tc>
          <w:tcPr>
            <w:tcW w:w="939" w:type="dxa"/>
            <w:tcBorders>
              <w:top w:val="single" w:sz="4" w:space="0" w:color="BFBFBF"/>
              <w:left w:val="single" w:sz="4" w:space="0" w:color="FFFFFF"/>
              <w:bottom w:val="single" w:sz="4" w:space="0" w:color="FFFFFF"/>
              <w:right w:val="single" w:sz="4" w:space="0" w:color="FFFFFF"/>
            </w:tcBorders>
            <w:hideMark/>
          </w:tcPr>
          <w:p w14:paraId="55CEF053" w14:textId="77777777" w:rsidR="00814857" w:rsidRDefault="00814857" w:rsidP="00682CD7">
            <w:pPr>
              <w:pStyle w:val="ARtabletext"/>
            </w:pPr>
            <w:r>
              <w:t>2,783</w:t>
            </w:r>
          </w:p>
        </w:tc>
        <w:tc>
          <w:tcPr>
            <w:tcW w:w="879" w:type="dxa"/>
            <w:tcBorders>
              <w:top w:val="single" w:sz="4" w:space="0" w:color="BFBFBF"/>
              <w:left w:val="single" w:sz="4" w:space="0" w:color="FFFFFF"/>
              <w:bottom w:val="single" w:sz="4" w:space="0" w:color="FFFFFF"/>
              <w:right w:val="single" w:sz="4" w:space="0" w:color="FFFFFF"/>
            </w:tcBorders>
            <w:hideMark/>
          </w:tcPr>
          <w:p w14:paraId="7EE683E1" w14:textId="77777777" w:rsidR="00814857" w:rsidRDefault="00814857" w:rsidP="00682CD7">
            <w:pPr>
              <w:pStyle w:val="ARtabletext"/>
            </w:pPr>
            <w:r>
              <w:t>2,982</w:t>
            </w:r>
          </w:p>
        </w:tc>
      </w:tr>
      <w:tr w:rsidR="00814857" w14:paraId="07B52825" w14:textId="77777777" w:rsidTr="00682CD7">
        <w:trPr>
          <w:cantSplit/>
        </w:trPr>
        <w:tc>
          <w:tcPr>
            <w:tcW w:w="9639" w:type="dxa"/>
            <w:gridSpan w:val="5"/>
            <w:tcBorders>
              <w:top w:val="single" w:sz="4" w:space="0" w:color="auto"/>
              <w:left w:val="nil"/>
              <w:bottom w:val="single" w:sz="4" w:space="0" w:color="BFBFBF"/>
              <w:right w:val="single" w:sz="4" w:space="0" w:color="FFFFFF"/>
            </w:tcBorders>
            <w:hideMark/>
          </w:tcPr>
          <w:p w14:paraId="77AB7505" w14:textId="77777777" w:rsidR="00814857" w:rsidRDefault="00814857" w:rsidP="008F035E">
            <w:pPr>
              <w:pStyle w:val="ARtablebluebold"/>
            </w:pPr>
            <w:r>
              <w:t>Victorians participate in and contribute to the economy and have financial security</w:t>
            </w:r>
          </w:p>
        </w:tc>
      </w:tr>
      <w:tr w:rsidR="00814857" w14:paraId="1E70815D" w14:textId="77777777" w:rsidTr="00682CD7">
        <w:trPr>
          <w:cantSplit/>
          <w:trHeight w:val="404"/>
        </w:trPr>
        <w:tc>
          <w:tcPr>
            <w:tcW w:w="5943" w:type="dxa"/>
            <w:tcBorders>
              <w:top w:val="single" w:sz="4" w:space="0" w:color="BFBFBF"/>
              <w:left w:val="single" w:sz="4" w:space="0" w:color="FFFFFF"/>
              <w:bottom w:val="single" w:sz="4" w:space="0" w:color="FFFFFF"/>
              <w:right w:val="single" w:sz="4" w:space="0" w:color="FFFFFF"/>
            </w:tcBorders>
            <w:hideMark/>
          </w:tcPr>
          <w:p w14:paraId="4BD1D980" w14:textId="77777777" w:rsidR="00814857" w:rsidRDefault="00814857" w:rsidP="00682CD7">
            <w:pPr>
              <w:pStyle w:val="ARtabletext"/>
              <w:rPr>
                <w:i/>
              </w:rPr>
            </w:pPr>
            <w:r>
              <w:t>Funded postgraduate nursing and midwifery places at diploma and certificate level</w:t>
            </w:r>
          </w:p>
        </w:tc>
        <w:tc>
          <w:tcPr>
            <w:tcW w:w="939" w:type="dxa"/>
            <w:tcBorders>
              <w:top w:val="single" w:sz="4" w:space="0" w:color="BFBFBF"/>
              <w:left w:val="single" w:sz="4" w:space="0" w:color="FFFFFF"/>
              <w:bottom w:val="single" w:sz="4" w:space="0" w:color="FFFFFF"/>
              <w:right w:val="single" w:sz="4" w:space="0" w:color="FFFFFF"/>
            </w:tcBorders>
            <w:hideMark/>
          </w:tcPr>
          <w:p w14:paraId="4C91D6F8" w14:textId="77777777" w:rsidR="00814857" w:rsidRDefault="00814857" w:rsidP="00682CD7">
            <w:pPr>
              <w:pStyle w:val="ARtabletext"/>
            </w:pPr>
            <w:r>
              <w:t>832</w:t>
            </w:r>
          </w:p>
        </w:tc>
        <w:tc>
          <w:tcPr>
            <w:tcW w:w="939" w:type="dxa"/>
            <w:tcBorders>
              <w:top w:val="single" w:sz="4" w:space="0" w:color="BFBFBF"/>
              <w:left w:val="single" w:sz="4" w:space="0" w:color="FFFFFF"/>
              <w:bottom w:val="single" w:sz="4" w:space="0" w:color="FFFFFF"/>
              <w:right w:val="single" w:sz="4" w:space="0" w:color="FFFFFF"/>
            </w:tcBorders>
            <w:hideMark/>
          </w:tcPr>
          <w:p w14:paraId="11F0CF46" w14:textId="77777777" w:rsidR="00814857" w:rsidRDefault="00814857" w:rsidP="00682CD7">
            <w:pPr>
              <w:pStyle w:val="ARtabletext"/>
            </w:pPr>
            <w:r>
              <w:t>832</w:t>
            </w:r>
          </w:p>
        </w:tc>
        <w:tc>
          <w:tcPr>
            <w:tcW w:w="939" w:type="dxa"/>
            <w:tcBorders>
              <w:top w:val="single" w:sz="4" w:space="0" w:color="BFBFBF"/>
              <w:left w:val="single" w:sz="4" w:space="0" w:color="FFFFFF"/>
              <w:bottom w:val="single" w:sz="4" w:space="0" w:color="FFFFFF"/>
              <w:right w:val="single" w:sz="4" w:space="0" w:color="FFFFFF"/>
            </w:tcBorders>
            <w:hideMark/>
          </w:tcPr>
          <w:p w14:paraId="5E4C6879" w14:textId="77777777" w:rsidR="00814857" w:rsidRDefault="00814857" w:rsidP="00682CD7">
            <w:pPr>
              <w:pStyle w:val="ARtabletext"/>
            </w:pPr>
            <w:r>
              <w:t>832</w:t>
            </w:r>
          </w:p>
        </w:tc>
        <w:tc>
          <w:tcPr>
            <w:tcW w:w="879" w:type="dxa"/>
            <w:tcBorders>
              <w:top w:val="single" w:sz="4" w:space="0" w:color="BFBFBF"/>
              <w:left w:val="single" w:sz="4" w:space="0" w:color="FFFFFF"/>
              <w:bottom w:val="single" w:sz="4" w:space="0" w:color="FFFFFF"/>
              <w:right w:val="single" w:sz="4" w:space="0" w:color="FFFFFF"/>
            </w:tcBorders>
            <w:hideMark/>
          </w:tcPr>
          <w:p w14:paraId="3450E511" w14:textId="77777777" w:rsidR="00814857" w:rsidRDefault="00814857" w:rsidP="00682CD7">
            <w:pPr>
              <w:pStyle w:val="ARtabletext"/>
            </w:pPr>
            <w:r>
              <w:t>865</w:t>
            </w:r>
          </w:p>
        </w:tc>
      </w:tr>
      <w:tr w:rsidR="00814857" w14:paraId="522C1AFF" w14:textId="77777777" w:rsidTr="00682CD7">
        <w:trPr>
          <w:cantSplit/>
        </w:trPr>
        <w:tc>
          <w:tcPr>
            <w:tcW w:w="5943" w:type="dxa"/>
            <w:tcBorders>
              <w:top w:val="single" w:sz="4" w:space="0" w:color="BFBFBF"/>
              <w:left w:val="single" w:sz="4" w:space="0" w:color="FFFFFF"/>
              <w:bottom w:val="single" w:sz="4" w:space="0" w:color="FFFFFF"/>
              <w:right w:val="single" w:sz="4" w:space="0" w:color="FFFFFF"/>
            </w:tcBorders>
            <w:hideMark/>
          </w:tcPr>
          <w:p w14:paraId="5D1F8B80" w14:textId="7C7BF791" w:rsidR="00814857" w:rsidRDefault="00814857" w:rsidP="00682CD7">
            <w:pPr>
              <w:pStyle w:val="ARtabletext"/>
              <w:rPr>
                <w:i/>
              </w:rPr>
            </w:pPr>
            <w:r>
              <w:t xml:space="preserve">Total funded FTE (early graduate) allied health positions in </w:t>
            </w:r>
            <w:r w:rsidR="000B12DD">
              <w:br/>
            </w:r>
            <w:r>
              <w:t>public system</w:t>
            </w:r>
          </w:p>
        </w:tc>
        <w:tc>
          <w:tcPr>
            <w:tcW w:w="939" w:type="dxa"/>
            <w:tcBorders>
              <w:top w:val="single" w:sz="4" w:space="0" w:color="BFBFBF"/>
              <w:left w:val="single" w:sz="4" w:space="0" w:color="FFFFFF"/>
              <w:bottom w:val="single" w:sz="4" w:space="0" w:color="FFFFFF"/>
              <w:right w:val="single" w:sz="4" w:space="0" w:color="FFFFFF"/>
            </w:tcBorders>
            <w:hideMark/>
          </w:tcPr>
          <w:p w14:paraId="1E37889D" w14:textId="77777777" w:rsidR="00814857" w:rsidRDefault="00814857" w:rsidP="00682CD7">
            <w:pPr>
              <w:pStyle w:val="ARtabletext"/>
            </w:pPr>
            <w:r>
              <w:t>622</w:t>
            </w:r>
          </w:p>
        </w:tc>
        <w:tc>
          <w:tcPr>
            <w:tcW w:w="939" w:type="dxa"/>
            <w:tcBorders>
              <w:top w:val="single" w:sz="4" w:space="0" w:color="BFBFBF"/>
              <w:left w:val="single" w:sz="4" w:space="0" w:color="FFFFFF"/>
              <w:bottom w:val="single" w:sz="4" w:space="0" w:color="FFFFFF"/>
              <w:right w:val="single" w:sz="4" w:space="0" w:color="FFFFFF"/>
            </w:tcBorders>
            <w:hideMark/>
          </w:tcPr>
          <w:p w14:paraId="5380C414" w14:textId="77777777" w:rsidR="00814857" w:rsidRDefault="00814857" w:rsidP="00682CD7">
            <w:pPr>
              <w:pStyle w:val="ARtabletext"/>
            </w:pPr>
            <w:r>
              <w:t>670</w:t>
            </w:r>
          </w:p>
        </w:tc>
        <w:tc>
          <w:tcPr>
            <w:tcW w:w="939" w:type="dxa"/>
            <w:tcBorders>
              <w:top w:val="single" w:sz="4" w:space="0" w:color="BFBFBF"/>
              <w:left w:val="single" w:sz="4" w:space="0" w:color="FFFFFF"/>
              <w:bottom w:val="single" w:sz="4" w:space="0" w:color="FFFFFF"/>
              <w:right w:val="single" w:sz="4" w:space="0" w:color="FFFFFF"/>
            </w:tcBorders>
            <w:hideMark/>
          </w:tcPr>
          <w:p w14:paraId="0DEF1354" w14:textId="77777777" w:rsidR="00814857" w:rsidRDefault="00814857" w:rsidP="00682CD7">
            <w:pPr>
              <w:pStyle w:val="ARtabletext"/>
            </w:pPr>
            <w:r>
              <w:t>700</w:t>
            </w:r>
          </w:p>
        </w:tc>
        <w:tc>
          <w:tcPr>
            <w:tcW w:w="879" w:type="dxa"/>
            <w:tcBorders>
              <w:top w:val="single" w:sz="4" w:space="0" w:color="BFBFBF"/>
              <w:left w:val="single" w:sz="4" w:space="0" w:color="FFFFFF"/>
              <w:bottom w:val="single" w:sz="4" w:space="0" w:color="FFFFFF"/>
              <w:right w:val="single" w:sz="4" w:space="0" w:color="FFFFFF"/>
            </w:tcBorders>
            <w:hideMark/>
          </w:tcPr>
          <w:p w14:paraId="27C52BC0" w14:textId="77777777" w:rsidR="00814857" w:rsidRDefault="00814857" w:rsidP="00682CD7">
            <w:pPr>
              <w:pStyle w:val="ARtabletext"/>
            </w:pPr>
            <w:r>
              <w:t>745</w:t>
            </w:r>
          </w:p>
        </w:tc>
      </w:tr>
      <w:tr w:rsidR="00814857" w14:paraId="3D2AC9F4" w14:textId="77777777" w:rsidTr="00682CD7">
        <w:trPr>
          <w:cantSplit/>
        </w:trPr>
        <w:tc>
          <w:tcPr>
            <w:tcW w:w="5943" w:type="dxa"/>
            <w:tcBorders>
              <w:top w:val="single" w:sz="4" w:space="0" w:color="BFBFBF"/>
              <w:left w:val="single" w:sz="4" w:space="0" w:color="FFFFFF"/>
              <w:bottom w:val="single" w:sz="4" w:space="0" w:color="FFFFFF"/>
              <w:right w:val="single" w:sz="4" w:space="0" w:color="FFFFFF"/>
            </w:tcBorders>
            <w:hideMark/>
          </w:tcPr>
          <w:p w14:paraId="011495F6" w14:textId="3AD57607" w:rsidR="00814857" w:rsidRDefault="00814857" w:rsidP="00682CD7">
            <w:pPr>
              <w:pStyle w:val="ARtabletext"/>
              <w:rPr>
                <w:i/>
              </w:rPr>
            </w:pPr>
            <w:r>
              <w:t xml:space="preserve">Total funded FTE (early graduate) medical positions in </w:t>
            </w:r>
            <w:r w:rsidR="000B12DD">
              <w:br/>
            </w:r>
            <w:r>
              <w:t>public system</w:t>
            </w:r>
          </w:p>
        </w:tc>
        <w:tc>
          <w:tcPr>
            <w:tcW w:w="939" w:type="dxa"/>
            <w:tcBorders>
              <w:top w:val="single" w:sz="4" w:space="0" w:color="BFBFBF"/>
              <w:left w:val="single" w:sz="4" w:space="0" w:color="FFFFFF"/>
              <w:bottom w:val="single" w:sz="4" w:space="0" w:color="FFFFFF"/>
              <w:right w:val="single" w:sz="4" w:space="0" w:color="FFFFFF"/>
            </w:tcBorders>
            <w:hideMark/>
          </w:tcPr>
          <w:p w14:paraId="0DC9B25F" w14:textId="77777777" w:rsidR="00814857" w:rsidRDefault="00814857" w:rsidP="00682CD7">
            <w:pPr>
              <w:pStyle w:val="ARtabletext"/>
            </w:pPr>
            <w:r>
              <w:t>1,476</w:t>
            </w:r>
          </w:p>
        </w:tc>
        <w:tc>
          <w:tcPr>
            <w:tcW w:w="939" w:type="dxa"/>
            <w:tcBorders>
              <w:top w:val="single" w:sz="4" w:space="0" w:color="BFBFBF"/>
              <w:left w:val="single" w:sz="4" w:space="0" w:color="FFFFFF"/>
              <w:bottom w:val="single" w:sz="4" w:space="0" w:color="FFFFFF"/>
              <w:right w:val="single" w:sz="4" w:space="0" w:color="FFFFFF"/>
            </w:tcBorders>
            <w:hideMark/>
          </w:tcPr>
          <w:p w14:paraId="0DCC9C3D" w14:textId="77777777" w:rsidR="00814857" w:rsidRDefault="00814857" w:rsidP="00682CD7">
            <w:pPr>
              <w:pStyle w:val="ARtabletext"/>
            </w:pPr>
            <w:r>
              <w:t>1,525</w:t>
            </w:r>
          </w:p>
        </w:tc>
        <w:tc>
          <w:tcPr>
            <w:tcW w:w="939" w:type="dxa"/>
            <w:tcBorders>
              <w:top w:val="single" w:sz="4" w:space="0" w:color="BFBFBF"/>
              <w:left w:val="single" w:sz="4" w:space="0" w:color="FFFFFF"/>
              <w:bottom w:val="single" w:sz="4" w:space="0" w:color="FFFFFF"/>
              <w:right w:val="single" w:sz="4" w:space="0" w:color="FFFFFF"/>
            </w:tcBorders>
            <w:hideMark/>
          </w:tcPr>
          <w:p w14:paraId="7D929833" w14:textId="77777777" w:rsidR="00814857" w:rsidRDefault="00814857" w:rsidP="00682CD7">
            <w:pPr>
              <w:pStyle w:val="ARtabletext"/>
            </w:pPr>
            <w:r>
              <w:t>1,525</w:t>
            </w:r>
          </w:p>
        </w:tc>
        <w:tc>
          <w:tcPr>
            <w:tcW w:w="879" w:type="dxa"/>
            <w:tcBorders>
              <w:top w:val="single" w:sz="4" w:space="0" w:color="BFBFBF"/>
              <w:left w:val="single" w:sz="4" w:space="0" w:color="FFFFFF"/>
              <w:bottom w:val="single" w:sz="4" w:space="0" w:color="FFFFFF"/>
              <w:right w:val="single" w:sz="4" w:space="0" w:color="FFFFFF"/>
            </w:tcBorders>
            <w:hideMark/>
          </w:tcPr>
          <w:p w14:paraId="7BE5E262" w14:textId="77777777" w:rsidR="00814857" w:rsidRDefault="00814857" w:rsidP="00682CD7">
            <w:pPr>
              <w:pStyle w:val="ARtabletext"/>
            </w:pPr>
            <w:r>
              <w:t>1,525</w:t>
            </w:r>
          </w:p>
        </w:tc>
      </w:tr>
      <w:tr w:rsidR="00814857" w14:paraId="278DE094" w14:textId="77777777" w:rsidTr="00682CD7">
        <w:trPr>
          <w:cantSplit/>
        </w:trPr>
        <w:tc>
          <w:tcPr>
            <w:tcW w:w="5943" w:type="dxa"/>
            <w:tcBorders>
              <w:top w:val="single" w:sz="4" w:space="0" w:color="BFBFBF"/>
              <w:left w:val="single" w:sz="4" w:space="0" w:color="FFFFFF"/>
              <w:bottom w:val="single" w:sz="4" w:space="0" w:color="FFFFFF"/>
              <w:right w:val="single" w:sz="4" w:space="0" w:color="FFFFFF"/>
            </w:tcBorders>
            <w:hideMark/>
          </w:tcPr>
          <w:p w14:paraId="2D927553" w14:textId="2A1DCA3A" w:rsidR="00814857" w:rsidRDefault="00814857" w:rsidP="00682CD7">
            <w:pPr>
              <w:pStyle w:val="ARtabletext"/>
              <w:rPr>
                <w:i/>
              </w:rPr>
            </w:pPr>
            <w:r>
              <w:t xml:space="preserve">Total funded FTE (early graduate) nursing and midwifery positions </w:t>
            </w:r>
            <w:r w:rsidR="000B12DD">
              <w:br/>
            </w:r>
            <w:r>
              <w:t>in public system</w:t>
            </w:r>
          </w:p>
        </w:tc>
        <w:tc>
          <w:tcPr>
            <w:tcW w:w="939" w:type="dxa"/>
            <w:tcBorders>
              <w:top w:val="single" w:sz="4" w:space="0" w:color="BFBFBF"/>
              <w:left w:val="single" w:sz="4" w:space="0" w:color="FFFFFF"/>
              <w:bottom w:val="single" w:sz="4" w:space="0" w:color="FFFFFF"/>
              <w:right w:val="single" w:sz="4" w:space="0" w:color="FFFFFF"/>
            </w:tcBorders>
            <w:hideMark/>
          </w:tcPr>
          <w:p w14:paraId="66ABC944" w14:textId="77777777" w:rsidR="00814857" w:rsidRDefault="00814857" w:rsidP="00682CD7">
            <w:pPr>
              <w:pStyle w:val="ARtabletext"/>
            </w:pPr>
            <w:r>
              <w:t>1,591</w:t>
            </w:r>
          </w:p>
        </w:tc>
        <w:tc>
          <w:tcPr>
            <w:tcW w:w="939" w:type="dxa"/>
            <w:tcBorders>
              <w:top w:val="single" w:sz="4" w:space="0" w:color="BFBFBF"/>
              <w:left w:val="single" w:sz="4" w:space="0" w:color="FFFFFF"/>
              <w:bottom w:val="single" w:sz="4" w:space="0" w:color="FFFFFF"/>
              <w:right w:val="single" w:sz="4" w:space="0" w:color="FFFFFF"/>
            </w:tcBorders>
            <w:hideMark/>
          </w:tcPr>
          <w:p w14:paraId="675526EB" w14:textId="77777777" w:rsidR="00814857" w:rsidRDefault="00814857" w:rsidP="00682CD7">
            <w:pPr>
              <w:pStyle w:val="ARtabletext"/>
            </w:pPr>
            <w:r>
              <w:t>1,591</w:t>
            </w:r>
          </w:p>
        </w:tc>
        <w:tc>
          <w:tcPr>
            <w:tcW w:w="939" w:type="dxa"/>
            <w:tcBorders>
              <w:top w:val="single" w:sz="4" w:space="0" w:color="BFBFBF"/>
              <w:left w:val="single" w:sz="4" w:space="0" w:color="FFFFFF"/>
              <w:bottom w:val="single" w:sz="4" w:space="0" w:color="FFFFFF"/>
              <w:right w:val="single" w:sz="4" w:space="0" w:color="FFFFFF"/>
            </w:tcBorders>
            <w:hideMark/>
          </w:tcPr>
          <w:p w14:paraId="48C2F0D1" w14:textId="77777777" w:rsidR="00814857" w:rsidRDefault="00814857" w:rsidP="00682CD7">
            <w:pPr>
              <w:pStyle w:val="ARtabletext"/>
            </w:pPr>
            <w:r>
              <w:t>1,591</w:t>
            </w:r>
          </w:p>
        </w:tc>
        <w:tc>
          <w:tcPr>
            <w:tcW w:w="879" w:type="dxa"/>
            <w:tcBorders>
              <w:top w:val="single" w:sz="4" w:space="0" w:color="BFBFBF"/>
              <w:left w:val="single" w:sz="4" w:space="0" w:color="FFFFFF"/>
              <w:bottom w:val="single" w:sz="4" w:space="0" w:color="FFFFFF"/>
              <w:right w:val="single" w:sz="4" w:space="0" w:color="FFFFFF"/>
            </w:tcBorders>
            <w:hideMark/>
          </w:tcPr>
          <w:p w14:paraId="799D6DE5" w14:textId="77777777" w:rsidR="00814857" w:rsidRDefault="00814857" w:rsidP="00682CD7">
            <w:pPr>
              <w:pStyle w:val="ARtabletext"/>
            </w:pPr>
            <w:r>
              <w:t>1,618</w:t>
            </w:r>
          </w:p>
        </w:tc>
      </w:tr>
      <w:tr w:rsidR="00814857" w14:paraId="1DFBA7E1" w14:textId="77777777" w:rsidTr="00682CD7">
        <w:trPr>
          <w:cantSplit/>
        </w:trPr>
        <w:tc>
          <w:tcPr>
            <w:tcW w:w="5943" w:type="dxa"/>
            <w:tcBorders>
              <w:top w:val="single" w:sz="4" w:space="0" w:color="BFBFBF"/>
              <w:left w:val="single" w:sz="4" w:space="0" w:color="FFFFFF"/>
              <w:bottom w:val="single" w:sz="4" w:space="0" w:color="FFFFFF"/>
              <w:right w:val="single" w:sz="4" w:space="0" w:color="FFFFFF"/>
            </w:tcBorders>
            <w:hideMark/>
          </w:tcPr>
          <w:p w14:paraId="08ED674F" w14:textId="613DC94D" w:rsidR="00814857" w:rsidRDefault="00814857" w:rsidP="00682CD7">
            <w:pPr>
              <w:pStyle w:val="ARtabletext"/>
              <w:rPr>
                <w:i/>
              </w:rPr>
            </w:pPr>
            <w:r>
              <w:t xml:space="preserve">Number of bonds issued to low income Victorians to assist access </w:t>
            </w:r>
            <w:r w:rsidR="003E193B">
              <w:br/>
            </w:r>
            <w:r>
              <w:t>to the private rental market</w:t>
            </w:r>
          </w:p>
        </w:tc>
        <w:tc>
          <w:tcPr>
            <w:tcW w:w="939" w:type="dxa"/>
            <w:tcBorders>
              <w:top w:val="single" w:sz="4" w:space="0" w:color="BFBFBF"/>
              <w:left w:val="single" w:sz="4" w:space="0" w:color="FFFFFF"/>
              <w:bottom w:val="single" w:sz="4" w:space="0" w:color="FFFFFF"/>
              <w:right w:val="single" w:sz="4" w:space="0" w:color="FFFFFF"/>
            </w:tcBorders>
            <w:hideMark/>
          </w:tcPr>
          <w:p w14:paraId="16A0F780" w14:textId="77777777" w:rsidR="00814857" w:rsidRDefault="00814857" w:rsidP="00682CD7">
            <w:pPr>
              <w:pStyle w:val="ARtabletext"/>
            </w:pPr>
            <w:r>
              <w:t>11,761</w:t>
            </w:r>
          </w:p>
        </w:tc>
        <w:tc>
          <w:tcPr>
            <w:tcW w:w="939" w:type="dxa"/>
            <w:tcBorders>
              <w:top w:val="single" w:sz="4" w:space="0" w:color="BFBFBF"/>
              <w:left w:val="single" w:sz="4" w:space="0" w:color="FFFFFF"/>
              <w:bottom w:val="single" w:sz="4" w:space="0" w:color="FFFFFF"/>
              <w:right w:val="single" w:sz="4" w:space="0" w:color="FFFFFF"/>
            </w:tcBorders>
            <w:hideMark/>
          </w:tcPr>
          <w:p w14:paraId="3843AD03" w14:textId="77777777" w:rsidR="00814857" w:rsidRDefault="00814857" w:rsidP="00682CD7">
            <w:pPr>
              <w:pStyle w:val="ARtabletext"/>
            </w:pPr>
            <w:r>
              <w:t>11,584</w:t>
            </w:r>
          </w:p>
        </w:tc>
        <w:tc>
          <w:tcPr>
            <w:tcW w:w="939" w:type="dxa"/>
            <w:tcBorders>
              <w:top w:val="single" w:sz="4" w:space="0" w:color="BFBFBF"/>
              <w:left w:val="single" w:sz="4" w:space="0" w:color="FFFFFF"/>
              <w:bottom w:val="single" w:sz="4" w:space="0" w:color="FFFFFF"/>
              <w:right w:val="single" w:sz="4" w:space="0" w:color="FFFFFF"/>
            </w:tcBorders>
            <w:hideMark/>
          </w:tcPr>
          <w:p w14:paraId="175118D2" w14:textId="77777777" w:rsidR="00814857" w:rsidRDefault="00814857" w:rsidP="00682CD7">
            <w:pPr>
              <w:pStyle w:val="ARtabletext"/>
            </w:pPr>
            <w:r>
              <w:t xml:space="preserve">9,321 </w:t>
            </w:r>
          </w:p>
        </w:tc>
        <w:tc>
          <w:tcPr>
            <w:tcW w:w="879" w:type="dxa"/>
            <w:tcBorders>
              <w:top w:val="single" w:sz="4" w:space="0" w:color="BFBFBF"/>
              <w:left w:val="single" w:sz="4" w:space="0" w:color="FFFFFF"/>
              <w:bottom w:val="single" w:sz="4" w:space="0" w:color="FFFFFF"/>
              <w:right w:val="single" w:sz="4" w:space="0" w:color="FFFFFF"/>
            </w:tcBorders>
            <w:hideMark/>
          </w:tcPr>
          <w:p w14:paraId="1D31E3C4" w14:textId="77777777" w:rsidR="00814857" w:rsidRDefault="00814857" w:rsidP="00682CD7">
            <w:pPr>
              <w:pStyle w:val="ARtabletext"/>
            </w:pPr>
            <w:r>
              <w:t>8,754</w:t>
            </w:r>
          </w:p>
        </w:tc>
      </w:tr>
      <w:tr w:rsidR="00814857" w14:paraId="4CA3CE6E" w14:textId="77777777" w:rsidTr="00682CD7">
        <w:trPr>
          <w:cantSplit/>
        </w:trPr>
        <w:tc>
          <w:tcPr>
            <w:tcW w:w="9639" w:type="dxa"/>
            <w:gridSpan w:val="5"/>
            <w:tcBorders>
              <w:top w:val="single" w:sz="4" w:space="0" w:color="FFFFFF"/>
              <w:left w:val="single" w:sz="4" w:space="0" w:color="FFFFFF"/>
              <w:bottom w:val="single" w:sz="4" w:space="0" w:color="auto"/>
              <w:right w:val="single" w:sz="4" w:space="0" w:color="FFFFFF"/>
            </w:tcBorders>
            <w:hideMark/>
          </w:tcPr>
          <w:p w14:paraId="5A6415C3" w14:textId="77777777" w:rsidR="00814857" w:rsidRDefault="00814857" w:rsidP="00682CD7">
            <w:pPr>
              <w:pStyle w:val="ARtablefootnote"/>
            </w:pPr>
            <w:r>
              <w:rPr>
                <w:rFonts w:eastAsia="Times"/>
                <w:lang w:eastAsia="en-AU"/>
              </w:rPr>
              <w:t>Source: Internal departmental data</w:t>
            </w:r>
          </w:p>
        </w:tc>
      </w:tr>
    </w:tbl>
    <w:p w14:paraId="43331DB7" w14:textId="77777777" w:rsidR="00814857" w:rsidRDefault="00814857" w:rsidP="008F035E">
      <w:pPr>
        <w:pStyle w:val="ARtablefootnote"/>
      </w:pPr>
      <w:r>
        <w:t>The department is committed to measuring outcomes for all indicators set out in the Victorian budget papers. Candidate indicators and measures have been identified and provisionally mapped to this outcome, however, further work is needed to test and validate measures to ensure departmental initiatives and policies are reflected by the performance indicators. As the outcomes approaches in the department mature, reporting will be provided against outcome measures and will inform the reporting of performance indicators.</w:t>
      </w:r>
    </w:p>
    <w:p w14:paraId="1B07C176" w14:textId="77777777" w:rsidR="00814857" w:rsidRPr="00D325F4" w:rsidRDefault="00814857" w:rsidP="00D325F4">
      <w:pPr>
        <w:pStyle w:val="ARbody"/>
      </w:pPr>
      <w:r w:rsidRPr="00D325F4">
        <w:br w:type="page"/>
      </w:r>
    </w:p>
    <w:p w14:paraId="13958664" w14:textId="77777777" w:rsidR="00814857" w:rsidRPr="004B3CEB" w:rsidRDefault="00814857" w:rsidP="00350E76">
      <w:pPr>
        <w:pStyle w:val="Heading3"/>
        <w:spacing w:before="0"/>
      </w:pPr>
      <w:r w:rsidRPr="004B3CEB">
        <w:lastRenderedPageBreak/>
        <w:t>Objective 4: Victorians are connected to culture and community</w:t>
      </w:r>
    </w:p>
    <w:p w14:paraId="7754E946" w14:textId="1557A425" w:rsidR="00345066" w:rsidRDefault="00814857" w:rsidP="00350E76">
      <w:pPr>
        <w:pStyle w:val="ARintro"/>
      </w:pPr>
      <w:r w:rsidRPr="004B3CEB">
        <w:t>This outcome focuses on building strong, resilient communities that feel safe and connected to</w:t>
      </w:r>
      <w:r w:rsidR="00D325F4">
        <w:t> </w:t>
      </w:r>
      <w:r w:rsidRPr="004B3CEB">
        <w:t>culture and identity.</w:t>
      </w:r>
    </w:p>
    <w:p w14:paraId="26A98116" w14:textId="7ABCB273" w:rsidR="00345066" w:rsidRDefault="00814857" w:rsidP="00350E76">
      <w:pPr>
        <w:pStyle w:val="ARintro"/>
      </w:pPr>
      <w:r w:rsidRPr="004B3CEB">
        <w:t>Positive and supportive relationships within communities affirm identity and connection, which can</w:t>
      </w:r>
      <w:r w:rsidR="00D325F4">
        <w:t> </w:t>
      </w:r>
      <w:r w:rsidRPr="004B3CEB">
        <w:t>counter the health and wellbeing risks associated with social and cultural isolation.</w:t>
      </w:r>
    </w:p>
    <w:p w14:paraId="4F22EB61" w14:textId="0F861A3E" w:rsidR="00814857" w:rsidRPr="004B3CEB" w:rsidRDefault="00814857" w:rsidP="00350E76">
      <w:pPr>
        <w:pStyle w:val="ARintro"/>
      </w:pPr>
      <w:r w:rsidRPr="004B3CEB">
        <w:t>By linking individuals and families to a community’s resources – not just services, but also the resources that exist within every community and neighbourhood – we are assisting people to feel safe and more resilient.</w:t>
      </w:r>
    </w:p>
    <w:p w14:paraId="0F43CBF3" w14:textId="77777777" w:rsidR="00345066" w:rsidRDefault="00814857" w:rsidP="00350E76">
      <w:pPr>
        <w:pStyle w:val="ARintro"/>
      </w:pPr>
      <w:r w:rsidRPr="004B3CEB">
        <w:t>Place-based and community-centred approaches are essential to advance health and wellbeing. This approach recognises that people’s health and wellbeing improve when they can access culturally responsive services closer to home and have better connections to their communities.</w:t>
      </w:r>
    </w:p>
    <w:p w14:paraId="43F88ED4" w14:textId="77777777" w:rsidR="00345066" w:rsidRDefault="00814857" w:rsidP="00350E76">
      <w:pPr>
        <w:pStyle w:val="ARintro"/>
      </w:pPr>
      <w:r w:rsidRPr="004B3CEB">
        <w:t>For Aboriginal Victorians, achieving better outcomes for individuals, families and communities requires a strong commitment to advancing Aboriginal self-determination.</w:t>
      </w:r>
    </w:p>
    <w:p w14:paraId="073A865D" w14:textId="36F3D9D5" w:rsidR="00814857" w:rsidRPr="006D00CE" w:rsidRDefault="00814857" w:rsidP="00350E76">
      <w:pPr>
        <w:pStyle w:val="ARbody"/>
        <w:rPr>
          <w:highlight w:val="red"/>
        </w:rPr>
      </w:pPr>
    </w:p>
    <w:p w14:paraId="6B414665" w14:textId="77777777" w:rsidR="00814857" w:rsidRPr="006D00CE" w:rsidRDefault="00814857" w:rsidP="00350E76">
      <w:pPr>
        <w:pStyle w:val="ARbody"/>
        <w:rPr>
          <w:highlight w:val="red"/>
        </w:rPr>
        <w:sectPr w:rsidR="00814857" w:rsidRPr="006D00CE" w:rsidSect="00E34BA4">
          <w:headerReference w:type="first" r:id="rId86"/>
          <w:footerReference w:type="first" r:id="rId87"/>
          <w:endnotePr>
            <w:numFmt w:val="decimal"/>
          </w:endnotePr>
          <w:type w:val="continuous"/>
          <w:pgSz w:w="11900" w:h="16840" w:code="9"/>
          <w:pgMar w:top="1985" w:right="851" w:bottom="851" w:left="1418" w:header="510" w:footer="340" w:gutter="0"/>
          <w:cols w:space="454"/>
        </w:sectPr>
      </w:pPr>
    </w:p>
    <w:p w14:paraId="42367BC4" w14:textId="73EE12E0" w:rsidR="00814857" w:rsidRDefault="00814857" w:rsidP="00350E76">
      <w:pPr>
        <w:pStyle w:val="Heading4"/>
      </w:pPr>
      <w:r>
        <w:t xml:space="preserve">Outcome </w:t>
      </w:r>
      <w:r w:rsidRPr="00D755D7">
        <w:t>4.1</w:t>
      </w:r>
      <w:r>
        <w:t>:</w:t>
      </w:r>
      <w:r w:rsidRPr="00D755D7">
        <w:t xml:space="preserve"> Victorians are socially</w:t>
      </w:r>
      <w:r w:rsidR="00D325F4">
        <w:t> </w:t>
      </w:r>
      <w:r w:rsidRPr="00D755D7">
        <w:t>engaged and live in inclusive</w:t>
      </w:r>
      <w:r w:rsidR="00D325F4">
        <w:t> </w:t>
      </w:r>
      <w:r w:rsidRPr="00D755D7">
        <w:t>communities</w:t>
      </w:r>
    </w:p>
    <w:p w14:paraId="3F36D769" w14:textId="77777777" w:rsidR="00814857" w:rsidRPr="00B34C15" w:rsidRDefault="00814857" w:rsidP="00350E76">
      <w:pPr>
        <w:pStyle w:val="ARbody"/>
      </w:pPr>
      <w:r w:rsidRPr="00F94ED0">
        <w:t>By promoting inclusiveness and diversity</w:t>
      </w:r>
      <w:r>
        <w:t>,</w:t>
      </w:r>
      <w:r w:rsidRPr="00F94ED0">
        <w:t xml:space="preserve"> our society can be stronger, healthier, happier and safer. We want all Victorians to have the same rights and opportunities, and to celebrate and connect with their culture and identity.</w:t>
      </w:r>
    </w:p>
    <w:p w14:paraId="35F29C61" w14:textId="6858B529" w:rsidR="00814857" w:rsidRDefault="00814857" w:rsidP="00350E76">
      <w:pPr>
        <w:pStyle w:val="Heading5"/>
      </w:pPr>
      <w:r w:rsidRPr="004D63E8">
        <w:t>Key result 20: Increase rates of community</w:t>
      </w:r>
      <w:r w:rsidR="00D325F4">
        <w:t> </w:t>
      </w:r>
      <w:r w:rsidRPr="004D63E8">
        <w:t>engagement, including through</w:t>
      </w:r>
      <w:r w:rsidR="00D325F4">
        <w:t> </w:t>
      </w:r>
      <w:r w:rsidRPr="004D63E8">
        <w:t>participation in sport and recreation, especially for Aboriginal children and young people</w:t>
      </w:r>
    </w:p>
    <w:p w14:paraId="376608C9" w14:textId="1A5153D3" w:rsidR="00814857" w:rsidRDefault="00814857" w:rsidP="00350E76">
      <w:pPr>
        <w:pStyle w:val="Heading6"/>
      </w:pPr>
      <w:r>
        <w:t>Increasing physical activity for</w:t>
      </w:r>
      <w:r w:rsidR="00D325F4">
        <w:rPr>
          <w:lang w:val="en-US"/>
        </w:rPr>
        <w:t> </w:t>
      </w:r>
      <w:r>
        <w:t>healthier</w:t>
      </w:r>
      <w:r w:rsidR="00D325F4">
        <w:rPr>
          <w:lang w:val="en-US"/>
        </w:rPr>
        <w:t> </w:t>
      </w:r>
      <w:r>
        <w:t>Victorians</w:t>
      </w:r>
    </w:p>
    <w:p w14:paraId="606BCECD" w14:textId="19AD4380" w:rsidR="00814857" w:rsidRDefault="00814857" w:rsidP="00350E76">
      <w:pPr>
        <w:pStyle w:val="ARbody"/>
      </w:pPr>
      <w:r>
        <w:t>Across Victoria, the potential benefits of sport and</w:t>
      </w:r>
      <w:r w:rsidR="00D325F4">
        <w:t> </w:t>
      </w:r>
      <w:r>
        <w:t>active recreation go beyond physical wellbeing. A range of initiatives, such as Proud2Play, make active recreation more inclusive, and we have worked with state sporting organisations to actively promote lesbian, gay, bisexual, trans, intersex and queer and/or questioning people.</w:t>
      </w:r>
    </w:p>
    <w:p w14:paraId="22E968C3" w14:textId="77777777" w:rsidR="00814857" w:rsidRDefault="00814857" w:rsidP="00350E76">
      <w:pPr>
        <w:pStyle w:val="ARbody"/>
      </w:pPr>
      <w:r>
        <w:t>Reclink Australia’s delivery of both ‘pop up’ and formal sport and recreation activities targets low socioeconomic communities, participants at risk of mental illness, substance use or homelessness and acts as early intervention for people interacting with the criminal justice system.</w:t>
      </w:r>
    </w:p>
    <w:p w14:paraId="6F64D5F5" w14:textId="1AEA1E95" w:rsidR="00814857" w:rsidRDefault="00D325F4" w:rsidP="00350E76">
      <w:pPr>
        <w:pStyle w:val="ARbody"/>
      </w:pPr>
      <w:r>
        <w:br w:type="column"/>
      </w:r>
      <w:r w:rsidR="00814857">
        <w:t>The department led the development of Say No to Racism resources, which assist state associations and clubs to address racism at all levels. We conducted six camps for young Aboriginal people to</w:t>
      </w:r>
      <w:r>
        <w:t> </w:t>
      </w:r>
      <w:r w:rsidR="00814857">
        <w:t>strengthen their connection to Aboriginal culture. And we have provided increased opportunities for people with a disability to participate in sport and recreation through 300 projects involving 59 clubs and organisations across Victoria.</w:t>
      </w:r>
    </w:p>
    <w:p w14:paraId="0A70FF09" w14:textId="27183760" w:rsidR="00814857" w:rsidRDefault="00814857" w:rsidP="00350E76">
      <w:pPr>
        <w:pStyle w:val="Heading6"/>
        <w:rPr>
          <w:lang w:val="en-AU"/>
        </w:rPr>
      </w:pPr>
      <w:r>
        <w:rPr>
          <w:lang w:val="en-AU"/>
        </w:rPr>
        <w:t>R</w:t>
      </w:r>
      <w:r w:rsidRPr="00215344">
        <w:rPr>
          <w:lang w:val="en-AU"/>
        </w:rPr>
        <w:t>esearch and strategies</w:t>
      </w:r>
      <w:r>
        <w:rPr>
          <w:lang w:val="en-AU"/>
        </w:rPr>
        <w:t xml:space="preserve"> to reduce</w:t>
      </w:r>
      <w:r w:rsidR="00D325F4">
        <w:rPr>
          <w:lang w:val="en-AU"/>
        </w:rPr>
        <w:t> </w:t>
      </w:r>
      <w:r>
        <w:rPr>
          <w:lang w:val="en-AU"/>
        </w:rPr>
        <w:t>barriers</w:t>
      </w:r>
      <w:r w:rsidR="00D325F4">
        <w:rPr>
          <w:lang w:val="en-AU"/>
        </w:rPr>
        <w:t> </w:t>
      </w:r>
      <w:r>
        <w:rPr>
          <w:lang w:val="en-AU"/>
        </w:rPr>
        <w:t>to</w:t>
      </w:r>
      <w:r w:rsidR="00D325F4">
        <w:rPr>
          <w:lang w:val="en-AU"/>
        </w:rPr>
        <w:t> </w:t>
      </w:r>
      <w:r>
        <w:rPr>
          <w:lang w:val="en-AU"/>
        </w:rPr>
        <w:t>participation</w:t>
      </w:r>
    </w:p>
    <w:p w14:paraId="2BF4A675" w14:textId="29ED55C1" w:rsidR="00814857" w:rsidRPr="0063513B" w:rsidRDefault="00814857" w:rsidP="00EF2D34">
      <w:pPr>
        <w:pStyle w:val="ARbody"/>
        <w:ind w:right="-113"/>
      </w:pPr>
      <w:r w:rsidRPr="0063513B">
        <w:t xml:space="preserve">A national workshop on community attitudes to disability hosted by the </w:t>
      </w:r>
      <w:r w:rsidRPr="00215344">
        <w:t>Victorian Government on 28 June 2019 focused on research and strategies for</w:t>
      </w:r>
      <w:r w:rsidR="00EF2D34">
        <w:t> </w:t>
      </w:r>
      <w:r w:rsidRPr="00215344">
        <w:t>tackling attitudinal barriers to participation for people with disability. The 85 attendees included representatives from peak disability bodies</w:t>
      </w:r>
      <w:r w:rsidR="00EE7E15">
        <w:t>;</w:t>
      </w:r>
      <w:r w:rsidRPr="00215344">
        <w:t xml:space="preserve"> disability advocates and self-advocates</w:t>
      </w:r>
      <w:r w:rsidR="00EE7E15">
        <w:t>;</w:t>
      </w:r>
      <w:r w:rsidRPr="00215344">
        <w:t xml:space="preserve"> Commonwealth and</w:t>
      </w:r>
      <w:r w:rsidR="00EF2D34">
        <w:t> </w:t>
      </w:r>
      <w:r w:rsidRPr="00215344">
        <w:t>most state and territory governments</w:t>
      </w:r>
      <w:r w:rsidR="00EE7E15">
        <w:t>;</w:t>
      </w:r>
      <w:r w:rsidRPr="00215344">
        <w:t xml:space="preserve"> higher education</w:t>
      </w:r>
      <w:r w:rsidR="00EE7E15">
        <w:t>;</w:t>
      </w:r>
      <w:r w:rsidRPr="00215344">
        <w:t xml:space="preserve"> and local government. The work</w:t>
      </w:r>
      <w:r w:rsidRPr="0063513B">
        <w:t>shop was</w:t>
      </w:r>
      <w:r w:rsidR="00EF2D34">
        <w:t> </w:t>
      </w:r>
      <w:r w:rsidRPr="0063513B">
        <w:t>delivered in collaboration with the University of</w:t>
      </w:r>
      <w:r w:rsidR="00EF2D34">
        <w:t> </w:t>
      </w:r>
      <w:r w:rsidRPr="0063513B">
        <w:t>Melbourne Centre for Research Excellence in Disability and Health and the Victorian Disability Advisory Council.</w:t>
      </w:r>
    </w:p>
    <w:p w14:paraId="63A29418" w14:textId="77777777" w:rsidR="00814857" w:rsidRPr="0063513B" w:rsidRDefault="00814857" w:rsidP="00350E76">
      <w:pPr>
        <w:pStyle w:val="ARbody"/>
      </w:pPr>
      <w:r w:rsidRPr="0063513B">
        <w:t>The workshop highlighted the need for coordinated action to address community attitudes, including informing discussions around areas of focus for the next state disability plan and the post-2020 national disability framework after the expiry of the current National Disability Strategy.</w:t>
      </w:r>
    </w:p>
    <w:p w14:paraId="6F184265" w14:textId="20320968" w:rsidR="00814857" w:rsidRDefault="00814857" w:rsidP="00350E76">
      <w:pPr>
        <w:pStyle w:val="Heading4"/>
      </w:pPr>
      <w:r>
        <w:lastRenderedPageBreak/>
        <w:t>Outcome 4.2: Victorians can safely</w:t>
      </w:r>
      <w:r w:rsidR="00D325F4">
        <w:t> </w:t>
      </w:r>
      <w:r>
        <w:t>identify and connect with their</w:t>
      </w:r>
      <w:r w:rsidR="00D325F4">
        <w:t> </w:t>
      </w:r>
      <w:r>
        <w:t>culture and identity, with their health and wellbeing advanced through</w:t>
      </w:r>
      <w:r w:rsidR="00D325F4">
        <w:t> </w:t>
      </w:r>
      <w:r>
        <w:t>self-determination</w:t>
      </w:r>
    </w:p>
    <w:p w14:paraId="10B80931" w14:textId="77777777" w:rsidR="00814857" w:rsidRDefault="00814857" w:rsidP="00350E76">
      <w:pPr>
        <w:pStyle w:val="ARbody"/>
      </w:pPr>
      <w:r>
        <w:t>Cultural identity and connection is a critical protective factor for health and wellbeing.</w:t>
      </w:r>
    </w:p>
    <w:p w14:paraId="7F4550DF" w14:textId="77777777" w:rsidR="00814857" w:rsidRDefault="00814857" w:rsidP="00350E76">
      <w:pPr>
        <w:pStyle w:val="ARbody"/>
      </w:pPr>
      <w:r>
        <w:t>Community-controlled organisations play a critical role in embedding cultural content into service delivery and creating opportunities for cultural activities and events.</w:t>
      </w:r>
    </w:p>
    <w:p w14:paraId="213C846F" w14:textId="7514C8D6" w:rsidR="00814857" w:rsidRDefault="00814857" w:rsidP="00350E76">
      <w:pPr>
        <w:pStyle w:val="ARbody"/>
      </w:pPr>
      <w:r>
        <w:t>In 2018–19, the department continued to support</w:t>
      </w:r>
      <w:r w:rsidR="00EF2D34">
        <w:t> </w:t>
      </w:r>
      <w:r>
        <w:t>community-led initiatives to promote cultural connections</w:t>
      </w:r>
      <w:r w:rsidR="00EE7E15">
        <w:t>;</w:t>
      </w:r>
      <w:r>
        <w:t xml:space="preserve"> resource community-controlled organisations to deliver services to their</w:t>
      </w:r>
      <w:r w:rsidR="00EF2D34">
        <w:t> </w:t>
      </w:r>
      <w:r>
        <w:t>communities</w:t>
      </w:r>
      <w:r w:rsidR="00EE7E15">
        <w:t>;</w:t>
      </w:r>
      <w:r>
        <w:t xml:space="preserve"> and embed cultural safety and</w:t>
      </w:r>
      <w:r w:rsidR="00EF2D34">
        <w:t> </w:t>
      </w:r>
      <w:r>
        <w:t>attention to diversity in the design and delivery</w:t>
      </w:r>
      <w:r w:rsidR="00EF2D34">
        <w:t> </w:t>
      </w:r>
      <w:r>
        <w:t>of</w:t>
      </w:r>
      <w:r w:rsidR="00D325F4">
        <w:t> </w:t>
      </w:r>
      <w:r>
        <w:t>mainstream services.</w:t>
      </w:r>
    </w:p>
    <w:p w14:paraId="6BDA1B76" w14:textId="6D78196A" w:rsidR="00345066" w:rsidRDefault="00814857" w:rsidP="00E82434">
      <w:pPr>
        <w:pStyle w:val="Heading5smaller"/>
      </w:pPr>
      <w:r>
        <w:t xml:space="preserve">Improving outcomes for the </w:t>
      </w:r>
      <w:r w:rsidRPr="00215344">
        <w:t>West Heidelberg</w:t>
      </w:r>
      <w:r w:rsidR="00D325F4">
        <w:t> </w:t>
      </w:r>
      <w:r w:rsidRPr="00215344">
        <w:t>Australian-Somali community</w:t>
      </w:r>
    </w:p>
    <w:p w14:paraId="122C865A" w14:textId="436E98A8" w:rsidR="00814857" w:rsidRPr="00215344" w:rsidRDefault="00814857" w:rsidP="00215344">
      <w:pPr>
        <w:pStyle w:val="ARbody"/>
      </w:pPr>
      <w:r w:rsidRPr="00215344">
        <w:t>The department continued to support Himilo Community Connect to improve education, employment, health and social cohesion outcomes</w:t>
      </w:r>
      <w:r w:rsidR="00D325F4">
        <w:t> </w:t>
      </w:r>
      <w:r w:rsidRPr="00215344">
        <w:t>for the Australian-Somali community of</w:t>
      </w:r>
      <w:r w:rsidR="00D325F4">
        <w:t> </w:t>
      </w:r>
      <w:r w:rsidRPr="00215344">
        <w:t>West Heidelberg.</w:t>
      </w:r>
    </w:p>
    <w:p w14:paraId="512AF865" w14:textId="5CF349F1" w:rsidR="00814857" w:rsidRPr="00EE1E7D" w:rsidRDefault="00814857" w:rsidP="00350E76">
      <w:pPr>
        <w:rPr>
          <w:rFonts w:ascii="Arial" w:eastAsia="Times" w:hAnsi="Arial" w:cs="Arial"/>
          <w:szCs w:val="24"/>
          <w:lang w:eastAsia="en-US"/>
        </w:rPr>
      </w:pPr>
      <w:r w:rsidRPr="00EE1E7D">
        <w:rPr>
          <w:rFonts w:ascii="Arial" w:eastAsia="Times" w:hAnsi="Arial" w:cs="Arial"/>
          <w:szCs w:val="24"/>
          <w:lang w:eastAsia="en-US"/>
        </w:rPr>
        <w:t>Current projects</w:t>
      </w:r>
      <w:r>
        <w:rPr>
          <w:rFonts w:ascii="Arial" w:eastAsia="Times" w:hAnsi="Arial" w:cs="Arial"/>
          <w:szCs w:val="24"/>
          <w:lang w:eastAsia="en-US"/>
        </w:rPr>
        <w:t xml:space="preserve"> include a supported play group, homework club, job club, leadership programs for </w:t>
      </w:r>
      <w:r w:rsidR="00EE7E15">
        <w:rPr>
          <w:rFonts w:ascii="Arial" w:eastAsia="Times" w:hAnsi="Arial" w:cs="Arial"/>
          <w:szCs w:val="24"/>
          <w:lang w:eastAsia="en-US"/>
        </w:rPr>
        <w:t xml:space="preserve">18- to 25-year-old </w:t>
      </w:r>
      <w:r>
        <w:rPr>
          <w:rFonts w:ascii="Arial" w:eastAsia="Times" w:hAnsi="Arial" w:cs="Arial"/>
          <w:szCs w:val="24"/>
          <w:lang w:eastAsia="en-US"/>
        </w:rPr>
        <w:t>young people and women’s physical and mental health and wellbeing workshops.</w:t>
      </w:r>
    </w:p>
    <w:p w14:paraId="78882264" w14:textId="1BEFEE32" w:rsidR="00814857" w:rsidRPr="00A225B7" w:rsidRDefault="00814857" w:rsidP="00350E76">
      <w:pPr>
        <w:rPr>
          <w:rFonts w:ascii="Arial" w:eastAsia="Times" w:hAnsi="Arial" w:cs="Arial"/>
          <w:szCs w:val="24"/>
          <w:lang w:eastAsia="en-US"/>
        </w:rPr>
      </w:pPr>
      <w:r w:rsidRPr="00A225B7">
        <w:rPr>
          <w:rFonts w:ascii="Arial" w:eastAsia="Times" w:hAnsi="Arial" w:cs="Arial"/>
          <w:szCs w:val="24"/>
          <w:lang w:eastAsia="en-US"/>
        </w:rPr>
        <w:t xml:space="preserve">The partnership between the </w:t>
      </w:r>
      <w:r>
        <w:rPr>
          <w:rFonts w:ascii="Arial" w:eastAsia="Times" w:hAnsi="Arial" w:cs="Arial"/>
          <w:szCs w:val="24"/>
          <w:lang w:eastAsia="en-US"/>
        </w:rPr>
        <w:t>d</w:t>
      </w:r>
      <w:r w:rsidRPr="00A225B7">
        <w:rPr>
          <w:rFonts w:ascii="Arial" w:eastAsia="Times" w:hAnsi="Arial" w:cs="Arial"/>
          <w:szCs w:val="24"/>
          <w:lang w:eastAsia="en-US"/>
        </w:rPr>
        <w:t xml:space="preserve">epartment and Himilo has also created stronger pathways into employment with the </w:t>
      </w:r>
      <w:r>
        <w:rPr>
          <w:rFonts w:ascii="Arial" w:eastAsia="Times" w:hAnsi="Arial" w:cs="Arial"/>
          <w:szCs w:val="24"/>
          <w:lang w:eastAsia="en-US"/>
        </w:rPr>
        <w:t>d</w:t>
      </w:r>
      <w:r w:rsidRPr="00A225B7">
        <w:rPr>
          <w:rFonts w:ascii="Arial" w:eastAsia="Times" w:hAnsi="Arial" w:cs="Arial"/>
          <w:szCs w:val="24"/>
          <w:lang w:eastAsia="en-US"/>
        </w:rPr>
        <w:t xml:space="preserve">epartment </w:t>
      </w:r>
      <w:r>
        <w:rPr>
          <w:rFonts w:ascii="Arial" w:eastAsia="Times" w:hAnsi="Arial" w:cs="Arial"/>
          <w:szCs w:val="24"/>
          <w:lang w:eastAsia="en-US"/>
        </w:rPr>
        <w:t>and other parts of</w:t>
      </w:r>
      <w:r w:rsidR="00D325F4">
        <w:rPr>
          <w:rFonts w:ascii="Arial" w:eastAsia="Times" w:hAnsi="Arial" w:cs="Arial"/>
          <w:szCs w:val="24"/>
          <w:lang w:eastAsia="en-US"/>
        </w:rPr>
        <w:t> </w:t>
      </w:r>
      <w:r>
        <w:rPr>
          <w:rFonts w:ascii="Arial" w:eastAsia="Times" w:hAnsi="Arial" w:cs="Arial"/>
          <w:szCs w:val="24"/>
          <w:lang w:eastAsia="en-US"/>
        </w:rPr>
        <w:t>the Victorian public sector.</w:t>
      </w:r>
    </w:p>
    <w:p w14:paraId="199C3F28" w14:textId="1800CBEA" w:rsidR="00814857" w:rsidRDefault="00814857" w:rsidP="00E82434">
      <w:pPr>
        <w:pStyle w:val="Heading5smaller"/>
      </w:pPr>
      <w:r>
        <w:t>Localised support connecting communities</w:t>
      </w:r>
      <w:r w:rsidR="00D325F4">
        <w:t> </w:t>
      </w:r>
      <w:r>
        <w:t>with services</w:t>
      </w:r>
    </w:p>
    <w:p w14:paraId="1A2F9981" w14:textId="77777777" w:rsidR="00814857" w:rsidRPr="0063513B" w:rsidRDefault="00814857" w:rsidP="00215344">
      <w:pPr>
        <w:pStyle w:val="ARbody"/>
      </w:pPr>
      <w:r>
        <w:t>In 2018–20, t</w:t>
      </w:r>
      <w:r w:rsidRPr="0063513B">
        <w:t>he department continued to provide localised support to the Office for Youth-funded South Sudanese Community Support Groups (CSGs). In Melbourne’s west, this has involved a project-specific senior adviser working across the Brimbank Melton and Western Melbourne areas. The senior adviser supports two CSGs based in Werribee and Melton to connect with local service providers, develop clear referral pathways and encourage culturally appropriate service</w:t>
      </w:r>
      <w:r>
        <w:t>s</w:t>
      </w:r>
      <w:r w:rsidRPr="0063513B">
        <w:t xml:space="preserve"> within mainstream providers.</w:t>
      </w:r>
    </w:p>
    <w:p w14:paraId="2F20B7A4" w14:textId="77777777" w:rsidR="00814857" w:rsidRPr="0063513B" w:rsidRDefault="00814857" w:rsidP="00350E76">
      <w:pPr>
        <w:pStyle w:val="ARbody"/>
      </w:pPr>
      <w:r>
        <w:br w:type="column"/>
      </w:r>
      <w:r w:rsidRPr="0063513B">
        <w:t>Key CSG achievements in 2018–19 included:</w:t>
      </w:r>
    </w:p>
    <w:p w14:paraId="1531D6E3" w14:textId="77777777" w:rsidR="00814857" w:rsidRPr="0063513B" w:rsidRDefault="00814857" w:rsidP="00350E76">
      <w:pPr>
        <w:pStyle w:val="ARbullet1"/>
      </w:pPr>
      <w:r w:rsidRPr="0063513B">
        <w:t>provision of culturally appropriate case management support to 444 South Sudanese young people and their families in Brimbank Melton and 366 young people and their families in Wyndham</w:t>
      </w:r>
    </w:p>
    <w:p w14:paraId="340D80CE" w14:textId="77777777" w:rsidR="00814857" w:rsidRPr="0063513B" w:rsidRDefault="00814857" w:rsidP="00350E76">
      <w:pPr>
        <w:pStyle w:val="ARbullet1"/>
      </w:pPr>
      <w:r w:rsidRPr="0063513B">
        <w:t>establishment of working partnerships with seven primary and secondary schools in Brimbank Melton and 11 in Wyndham</w:t>
      </w:r>
    </w:p>
    <w:p w14:paraId="05133D79" w14:textId="77777777" w:rsidR="00814857" w:rsidRPr="0063513B" w:rsidRDefault="00814857" w:rsidP="00350E76">
      <w:pPr>
        <w:pStyle w:val="ARbullet1"/>
      </w:pPr>
      <w:r w:rsidRPr="0063513B">
        <w:t>establishment of 13 close working partnerships between CSGs and local providers in Brimbank Melton and 13 in Wyndham</w:t>
      </w:r>
    </w:p>
    <w:p w14:paraId="4E2A0E3E" w14:textId="77777777" w:rsidR="00814857" w:rsidRPr="0063513B" w:rsidRDefault="00814857" w:rsidP="00350E76">
      <w:pPr>
        <w:pStyle w:val="ARbullet1"/>
      </w:pPr>
      <w:r w:rsidRPr="0063513B">
        <w:t>delivery of school holiday program activities to 1,804 South Sudanese young people across Wyndham, Brimbank Melton and Dandenong/Casey.</w:t>
      </w:r>
    </w:p>
    <w:p w14:paraId="3E713EB5" w14:textId="74EDAAC7" w:rsidR="00814857" w:rsidRDefault="00814857" w:rsidP="008F035E">
      <w:pPr>
        <w:pStyle w:val="ARbodyafterbullets"/>
      </w:pPr>
      <w:r w:rsidRPr="0063513B">
        <w:t xml:space="preserve">The Somali CSG, led by the Huddle (North Melbourne </w:t>
      </w:r>
      <w:r w:rsidRPr="003E05EC">
        <w:t>Football</w:t>
      </w:r>
      <w:r w:rsidRPr="0063513B">
        <w:t xml:space="preserve"> Club), has delivered 10</w:t>
      </w:r>
      <w:r>
        <w:t> </w:t>
      </w:r>
      <w:r w:rsidRPr="0063513B">
        <w:t>programs across North Melbourne and Wyndham, engaged 2,403 young people and</w:t>
      </w:r>
      <w:r w:rsidR="00D325F4">
        <w:t> </w:t>
      </w:r>
      <w:r w:rsidRPr="0063513B">
        <w:t>worked with approximately 200 families.</w:t>
      </w:r>
    </w:p>
    <w:p w14:paraId="197F8BF5" w14:textId="77777777" w:rsidR="00814857" w:rsidRPr="004D63E8" w:rsidRDefault="00814857" w:rsidP="00350E76">
      <w:pPr>
        <w:pStyle w:val="Heading5"/>
      </w:pPr>
      <w:r w:rsidRPr="004D63E8">
        <w:t>Key result 21: Increase cultural connection for children in out</w:t>
      </w:r>
      <w:r>
        <w:t>-</w:t>
      </w:r>
      <w:r w:rsidRPr="004D63E8">
        <w:t>of</w:t>
      </w:r>
      <w:r>
        <w:t>-</w:t>
      </w:r>
      <w:r w:rsidRPr="004D63E8">
        <w:t>home care – especially Aboriginal children</w:t>
      </w:r>
    </w:p>
    <w:p w14:paraId="57D6DE54" w14:textId="77777777" w:rsidR="00345066" w:rsidRDefault="00814857" w:rsidP="00350E76">
      <w:pPr>
        <w:pStyle w:val="Heading6"/>
        <w:rPr>
          <w:rFonts w:eastAsia="Times"/>
        </w:rPr>
      </w:pPr>
      <w:bookmarkStart w:id="38" w:name="_Hlk19870712"/>
      <w:r w:rsidRPr="00FA14B7">
        <w:rPr>
          <w:rFonts w:eastAsia="Times"/>
          <w:iCs/>
        </w:rPr>
        <w:t>Wungurilwil Gapgapduir: Aboriginal children and families agreement strategic action plan</w:t>
      </w:r>
    </w:p>
    <w:p w14:paraId="39ED332D" w14:textId="6F0AE87C" w:rsidR="00814857" w:rsidRDefault="00814857" w:rsidP="00FA1106">
      <w:pPr>
        <w:pStyle w:val="ARbody"/>
      </w:pPr>
      <w:r w:rsidRPr="00FA1106">
        <w:t xml:space="preserve">At the June 2019 Aboriginal Children’s forum, the 2018–19 </w:t>
      </w:r>
      <w:r w:rsidRPr="00FA1106">
        <w:rPr>
          <w:i/>
        </w:rPr>
        <w:t>Wungurilwil Gapgapduir strategic action</w:t>
      </w:r>
      <w:r w:rsidRPr="00FA1106">
        <w:t xml:space="preserve"> plan was reviewed. Key success enablers were identified</w:t>
      </w:r>
      <w:r>
        <w:t>,</w:t>
      </w:r>
      <w:r w:rsidRPr="00FA1106">
        <w:t xml:space="preserve"> along with priorities and actions for the</w:t>
      </w:r>
      <w:r w:rsidR="00D325F4">
        <w:t> </w:t>
      </w:r>
      <w:r w:rsidRPr="00FA1106">
        <w:t xml:space="preserve">2019–2020 </w:t>
      </w:r>
      <w:r w:rsidRPr="00FA1106">
        <w:rPr>
          <w:i/>
        </w:rPr>
        <w:t>Wungurilwil Gapgapduir strategic action</w:t>
      </w:r>
      <w:r w:rsidRPr="00FA1106">
        <w:t xml:space="preserve"> plan.</w:t>
      </w:r>
    </w:p>
    <w:p w14:paraId="5BD12B06" w14:textId="77777777" w:rsidR="00814857" w:rsidRPr="001123A7" w:rsidRDefault="00814857" w:rsidP="004E4360">
      <w:pPr>
        <w:pStyle w:val="ARbody"/>
      </w:pPr>
      <w:r w:rsidRPr="00F85375">
        <w:rPr>
          <w:i/>
        </w:rPr>
        <w:t>Wungurilwil Gapgapduir</w:t>
      </w:r>
      <w:r w:rsidRPr="00FA14B7">
        <w:t> </w:t>
      </w:r>
      <w:r w:rsidRPr="001123A7">
        <w:t>has five central objectives:</w:t>
      </w:r>
    </w:p>
    <w:p w14:paraId="026C71AE" w14:textId="7A661357" w:rsidR="00814857" w:rsidRPr="003E05EC" w:rsidRDefault="00814857" w:rsidP="008F035E">
      <w:pPr>
        <w:pStyle w:val="ARbullet1"/>
      </w:pPr>
      <w:r>
        <w:t>e</w:t>
      </w:r>
      <w:r w:rsidRPr="003E05EC">
        <w:t>ncourage Aboriginal children and families to be</w:t>
      </w:r>
      <w:r w:rsidR="00D325F4">
        <w:t> </w:t>
      </w:r>
      <w:r w:rsidRPr="003E05EC">
        <w:t>strong in culture and proud of their unique identity</w:t>
      </w:r>
    </w:p>
    <w:p w14:paraId="1551D44A" w14:textId="751D1BC4" w:rsidR="00814857" w:rsidRPr="0079308A" w:rsidRDefault="00814857" w:rsidP="008F035E">
      <w:pPr>
        <w:pStyle w:val="ARbullet1"/>
      </w:pPr>
      <w:r>
        <w:t>r</w:t>
      </w:r>
      <w:r w:rsidRPr="003E05EC">
        <w:t>esource and support Aboriginal organisations to</w:t>
      </w:r>
      <w:r w:rsidR="00D325F4">
        <w:t> </w:t>
      </w:r>
      <w:r w:rsidRPr="003E05EC">
        <w:t>care for Aboriginal children, fa</w:t>
      </w:r>
      <w:r w:rsidRPr="00B529B3">
        <w:t>milies and communit</w:t>
      </w:r>
      <w:r w:rsidRPr="00EC66A5">
        <w:t>ies</w:t>
      </w:r>
    </w:p>
    <w:p w14:paraId="7F49D793" w14:textId="77777777" w:rsidR="00814857" w:rsidRPr="003E05EC" w:rsidRDefault="00814857" w:rsidP="008F035E">
      <w:pPr>
        <w:pStyle w:val="ARbullet1"/>
      </w:pPr>
      <w:r>
        <w:t>c</w:t>
      </w:r>
      <w:r w:rsidRPr="003E05EC">
        <w:t>ommit to culturally competent and culturally safe services for staff, children and families</w:t>
      </w:r>
    </w:p>
    <w:p w14:paraId="4EE01830" w14:textId="77777777" w:rsidR="00814857" w:rsidRPr="003E05EC" w:rsidRDefault="00814857" w:rsidP="008F035E">
      <w:pPr>
        <w:pStyle w:val="ARbullet1"/>
      </w:pPr>
      <w:r>
        <w:t>c</w:t>
      </w:r>
      <w:r w:rsidRPr="003E05EC">
        <w:t>apture, build and share Aboriginal knowledge, learning and evidence to inform practice</w:t>
      </w:r>
    </w:p>
    <w:p w14:paraId="060CD7F6" w14:textId="77777777" w:rsidR="00814857" w:rsidRPr="00284D6C" w:rsidRDefault="00814857" w:rsidP="008F035E">
      <w:pPr>
        <w:pStyle w:val="ARbullet1"/>
      </w:pPr>
      <w:r>
        <w:t>p</w:t>
      </w:r>
      <w:r w:rsidRPr="00284D6C">
        <w:t>rioritise Aboriginal workforce capability.</w:t>
      </w:r>
    </w:p>
    <w:bookmarkEnd w:id="38"/>
    <w:p w14:paraId="35C5A8C6" w14:textId="77777777" w:rsidR="00814857" w:rsidRPr="00B34C15" w:rsidRDefault="00814857" w:rsidP="00B34C15">
      <w:pPr>
        <w:pStyle w:val="ARbody"/>
      </w:pPr>
      <w:r w:rsidRPr="00B34C15">
        <w:br w:type="page"/>
      </w:r>
    </w:p>
    <w:p w14:paraId="77F04A21" w14:textId="68DF12F2" w:rsidR="00345066" w:rsidRDefault="00814857" w:rsidP="00512955">
      <w:pPr>
        <w:pStyle w:val="Heading6"/>
        <w:rPr>
          <w:rFonts w:eastAsia="Times"/>
          <w:lang w:val="en-AU"/>
        </w:rPr>
      </w:pPr>
      <w:r>
        <w:rPr>
          <w:rFonts w:eastAsia="Times"/>
          <w:lang w:val="en-AU"/>
        </w:rPr>
        <w:lastRenderedPageBreak/>
        <w:t xml:space="preserve">Re-uniting </w:t>
      </w:r>
      <w:r w:rsidRPr="006B2445">
        <w:rPr>
          <w:rFonts w:eastAsia="Times"/>
        </w:rPr>
        <w:t xml:space="preserve">Aboriginal </w:t>
      </w:r>
      <w:r>
        <w:rPr>
          <w:rFonts w:eastAsia="Times"/>
          <w:lang w:val="en-AU"/>
        </w:rPr>
        <w:t>c</w:t>
      </w:r>
      <w:r w:rsidRPr="006B2445">
        <w:rPr>
          <w:rFonts w:eastAsia="Times"/>
        </w:rPr>
        <w:t>hildren</w:t>
      </w:r>
      <w:r>
        <w:rPr>
          <w:rFonts w:eastAsia="Times"/>
          <w:lang w:val="en-AU"/>
        </w:rPr>
        <w:t xml:space="preserve"> with</w:t>
      </w:r>
      <w:r w:rsidR="00D325F4">
        <w:rPr>
          <w:rFonts w:eastAsia="Times"/>
          <w:lang w:val="en-AU"/>
        </w:rPr>
        <w:t> </w:t>
      </w:r>
      <w:r>
        <w:rPr>
          <w:rFonts w:eastAsia="Times"/>
          <w:lang w:val="en-AU"/>
        </w:rPr>
        <w:t>kin</w:t>
      </w:r>
      <w:r w:rsidR="00D325F4">
        <w:rPr>
          <w:rFonts w:eastAsia="Times"/>
          <w:lang w:val="en-AU"/>
        </w:rPr>
        <w:t> </w:t>
      </w:r>
      <w:r>
        <w:rPr>
          <w:rFonts w:eastAsia="Times"/>
          <w:lang w:val="en-AU"/>
        </w:rPr>
        <w:t>under</w:t>
      </w:r>
      <w:r w:rsidR="00D325F4">
        <w:rPr>
          <w:rFonts w:eastAsia="Times"/>
          <w:lang w:val="en-AU"/>
        </w:rPr>
        <w:t> </w:t>
      </w:r>
      <w:r>
        <w:rPr>
          <w:rFonts w:eastAsia="Times"/>
          <w:lang w:val="en-AU"/>
        </w:rPr>
        <w:t>expanded program</w:t>
      </w:r>
    </w:p>
    <w:p w14:paraId="42C7FBF3" w14:textId="7C8847E0" w:rsidR="00814857" w:rsidRPr="006B2445" w:rsidRDefault="00814857" w:rsidP="00350E76">
      <w:pPr>
        <w:pStyle w:val="ARbody"/>
      </w:pPr>
      <w:r w:rsidRPr="006B2445">
        <w:t>The Aboriginal Children in Aboriginal Care Program</w:t>
      </w:r>
      <w:r w:rsidR="00EF2D34">
        <w:t> </w:t>
      </w:r>
      <w:r w:rsidRPr="006B2445">
        <w:t>(ACAC)</w:t>
      </w:r>
      <w:r>
        <w:t xml:space="preserve"> continues to expand. It </w:t>
      </w:r>
      <w:r w:rsidRPr="006B2445">
        <w:t>transfers the responsibility for case management and care planning for Aboriginal children who are subject to</w:t>
      </w:r>
      <w:r w:rsidR="00D325F4">
        <w:t> </w:t>
      </w:r>
      <w:r w:rsidRPr="006B2445">
        <w:t>a Children’s Court protection order to Aboriginal community</w:t>
      </w:r>
      <w:r>
        <w:t>-</w:t>
      </w:r>
      <w:r w:rsidRPr="006B2445">
        <w:t>controlled organisations</w:t>
      </w:r>
      <w:r>
        <w:t xml:space="preserve"> (ACCOs)</w:t>
      </w:r>
      <w:r w:rsidRPr="006B2445">
        <w:t>. Many children subject to Children’s Court protection orders are now under the responsibility of ACCOs and are receiving culturally attuned and responsive care and case management.</w:t>
      </w:r>
    </w:p>
    <w:p w14:paraId="0D197E82" w14:textId="02DA9B68" w:rsidR="00814857" w:rsidRDefault="00814857" w:rsidP="00350E76">
      <w:pPr>
        <w:pStyle w:val="ARbody"/>
      </w:pPr>
      <w:r w:rsidRPr="006B2445">
        <w:t xml:space="preserve">As at June 2019, approximately 72 Aboriginal children had been authorised under ACAC to an </w:t>
      </w:r>
      <w:r>
        <w:t>ACCO</w:t>
      </w:r>
      <w:r w:rsidRPr="006B2445">
        <w:t>. Early evaluation indicates that reunification with family or kin is more likely under ACAC. In addition, children involved with ACAC are more culturally attuned, and high-risk families have remained engaged and willing to work towards and,</w:t>
      </w:r>
      <w:r w:rsidR="00D325F4">
        <w:t> </w:t>
      </w:r>
      <w:r w:rsidRPr="006B2445">
        <w:t>in some cases, achieve family reunification.</w:t>
      </w:r>
    </w:p>
    <w:p w14:paraId="261703EA" w14:textId="77777777" w:rsidR="00814857" w:rsidRPr="008F035E" w:rsidRDefault="00814857" w:rsidP="008F035E">
      <w:pPr>
        <w:pStyle w:val="Heading6"/>
        <w:rPr>
          <w:b w:val="0"/>
          <w:bCs w:val="0"/>
        </w:rPr>
      </w:pPr>
      <w:r>
        <w:rPr>
          <w:lang w:val="en-AU"/>
        </w:rPr>
        <w:t xml:space="preserve">Launch of </w:t>
      </w:r>
      <w:r w:rsidRPr="00EE1011">
        <w:rPr>
          <w:lang w:val="en-AU"/>
        </w:rPr>
        <w:t>Mutjang Bupuwingarrack Mukman</w:t>
      </w:r>
    </w:p>
    <w:p w14:paraId="5BFDF4CF" w14:textId="6DD2F2D2" w:rsidR="00814857" w:rsidRPr="00783DD5" w:rsidRDefault="00814857" w:rsidP="00512955">
      <w:pPr>
        <w:pStyle w:val="ARbody"/>
      </w:pPr>
      <w:r w:rsidRPr="00783DD5">
        <w:t xml:space="preserve">Bendigo and District Aboriginal Cooperative (BDAC) launched the </w:t>
      </w:r>
      <w:r w:rsidRPr="00675CC5">
        <w:rPr>
          <w:i/>
        </w:rPr>
        <w:t>Mutjang Bupuwingarrack Mukman</w:t>
      </w:r>
      <w:r w:rsidRPr="00783DD5">
        <w:t xml:space="preserve"> program (meaning ‘</w:t>
      </w:r>
      <w:r>
        <w:t>k</w:t>
      </w:r>
      <w:r w:rsidRPr="00783DD5">
        <w:t>eeping our kids safe’) in January 2019, becoming the second Aboriginal organisation authorised to be legally responsible for</w:t>
      </w:r>
      <w:r w:rsidR="00D325F4">
        <w:t> </w:t>
      </w:r>
      <w:r w:rsidRPr="00783DD5">
        <w:t>the welfare of Aboriginal children on Children’s Court protection orders.</w:t>
      </w:r>
    </w:p>
    <w:p w14:paraId="38A58A02" w14:textId="688DC727" w:rsidR="00814857" w:rsidRPr="00783DD5" w:rsidRDefault="00814857" w:rsidP="00512955">
      <w:pPr>
        <w:pStyle w:val="ARbody"/>
      </w:pPr>
      <w:r w:rsidRPr="00783DD5">
        <w:t>This significant milestone builds on years of work to set the legislative and program foundations so that BDAC can provide statutory care for Aboriginal children on Dja Dja Wurrung Country. BDAC is now</w:t>
      </w:r>
      <w:r w:rsidR="00D325F4">
        <w:t> </w:t>
      </w:r>
      <w:r w:rsidRPr="00783DD5">
        <w:t>authorised to take full responsibility for the case management of Aboriginal children and young people once a protection order has been made, and to make independent case-planning decisions.</w:t>
      </w:r>
    </w:p>
    <w:p w14:paraId="41AC3C47" w14:textId="5B3DF04A" w:rsidR="00814857" w:rsidRPr="00783DD5" w:rsidRDefault="00814857" w:rsidP="00512955">
      <w:pPr>
        <w:pStyle w:val="ARbody"/>
      </w:pPr>
      <w:r w:rsidRPr="00783DD5">
        <w:t xml:space="preserve">Placing Aboriginal </w:t>
      </w:r>
      <w:r>
        <w:t>c</w:t>
      </w:r>
      <w:r w:rsidRPr="00783DD5">
        <w:t xml:space="preserve">hildren into Aboriginal </w:t>
      </w:r>
      <w:r>
        <w:t>c</w:t>
      </w:r>
      <w:r w:rsidRPr="00783DD5">
        <w:t>are is occurring in a way that is culturally</w:t>
      </w:r>
      <w:r>
        <w:t xml:space="preserve"> </w:t>
      </w:r>
      <w:r w:rsidRPr="00783DD5">
        <w:t xml:space="preserve">sensitive, safe and in the best interests of the child. Importantly, the principle of Aboriginal self-determination is being put into practice in </w:t>
      </w:r>
      <w:r w:rsidR="009622B7">
        <w:t>c</w:t>
      </w:r>
      <w:r w:rsidRPr="00783DD5">
        <w:t>entral Victoria, with Aboriginal communities having a say in the future of</w:t>
      </w:r>
      <w:r w:rsidR="00D325F4">
        <w:t> </w:t>
      </w:r>
      <w:r w:rsidRPr="00783DD5">
        <w:t>some of their most vulnerable members.</w:t>
      </w:r>
    </w:p>
    <w:p w14:paraId="07914990" w14:textId="5FA6D138" w:rsidR="00814857" w:rsidRPr="00783DD5" w:rsidRDefault="00814857" w:rsidP="00512955">
      <w:pPr>
        <w:pStyle w:val="ARbody"/>
      </w:pPr>
      <w:r w:rsidRPr="00783DD5">
        <w:t>Mutjang Bupuwingarrack Mukman allows Aboriginal children and young people to remain on</w:t>
      </w:r>
      <w:r>
        <w:t xml:space="preserve"> C</w:t>
      </w:r>
      <w:r w:rsidRPr="00783DD5">
        <w:t>ountry and keep their familial and cultural connections during a time of significant stress and change. It</w:t>
      </w:r>
      <w:r w:rsidR="00D325F4">
        <w:t> </w:t>
      </w:r>
      <w:r w:rsidRPr="00783DD5">
        <w:t>also offers at-risk children and their families a</w:t>
      </w:r>
      <w:r w:rsidR="00D325F4">
        <w:t> </w:t>
      </w:r>
      <w:r w:rsidRPr="00783DD5">
        <w:t>holistic cultural approach to their safety, healing and connection.</w:t>
      </w:r>
    </w:p>
    <w:p w14:paraId="6BBFBDA6" w14:textId="3C22DE33" w:rsidR="00814857" w:rsidRPr="00783DD5" w:rsidRDefault="00814857" w:rsidP="00512955">
      <w:pPr>
        <w:pStyle w:val="ARbody"/>
      </w:pPr>
      <w:r w:rsidRPr="00783DD5">
        <w:t>In the 2018</w:t>
      </w:r>
      <w:r>
        <w:t xml:space="preserve"> </w:t>
      </w:r>
      <w:r w:rsidRPr="00783DD5">
        <w:t>Protecting Children Awards, BDAC earned the Robin Clark Making a Difference Award for exceptional contributions to improving the lives of Aboriginal children via their pilot</w:t>
      </w:r>
      <w:r>
        <w:t xml:space="preserve"> Section</w:t>
      </w:r>
      <w:r w:rsidR="00DE343C">
        <w:t xml:space="preserve"> </w:t>
      </w:r>
      <w:r w:rsidRPr="00783DD5">
        <w:t>18 program. The first authorisations to BDAC under Mutjang Bupuwingarrack Mukman took effect in January 2019, with 36 children authorised and transferred by the end of March 2019.</w:t>
      </w:r>
      <w:r>
        <w:t xml:space="preserve"> </w:t>
      </w:r>
      <w:r w:rsidRPr="00783DD5">
        <w:t>An additional 36 children will transition from 1</w:t>
      </w:r>
      <w:r>
        <w:t> </w:t>
      </w:r>
      <w:r w:rsidRPr="00783DD5">
        <w:t>July 2019, allowing the BDAC program to expand to two teams.</w:t>
      </w:r>
    </w:p>
    <w:p w14:paraId="35DB8D2E" w14:textId="71F34523" w:rsidR="00814857" w:rsidRDefault="00814857" w:rsidP="00512955">
      <w:pPr>
        <w:pStyle w:val="ARcasestudybanner"/>
      </w:pPr>
      <w:r w:rsidRPr="00783DD5">
        <w:t xml:space="preserve">By promoting cultural consistency and being more inclusive of Aboriginal families, the program </w:t>
      </w:r>
      <w:r>
        <w:t>brings</w:t>
      </w:r>
      <w:r w:rsidRPr="00783DD5">
        <w:t xml:space="preserve"> a greater level of cultural understanding to the decision-making process. Families report that the</w:t>
      </w:r>
      <w:r w:rsidR="00D325F4">
        <w:t> </w:t>
      </w:r>
      <w:r w:rsidRPr="00783DD5">
        <w:t xml:space="preserve">involvement of Aboriginal case managers or community members makes a big difference in building trust and maintaining cultural connections. BDAC chief executive Raylene Harradine </w:t>
      </w:r>
      <w:r>
        <w:t>said</w:t>
      </w:r>
      <w:r w:rsidRPr="00783DD5">
        <w:t xml:space="preserve">, </w:t>
      </w:r>
      <w:r>
        <w:t>‘</w:t>
      </w:r>
      <w:r w:rsidRPr="00783DD5">
        <w:t>We</w:t>
      </w:r>
      <w:r w:rsidR="00D325F4">
        <w:t> </w:t>
      </w:r>
      <w:r w:rsidRPr="00783DD5">
        <w:t>know that when Aboriginal children remain in Aboriginal care</w:t>
      </w:r>
      <w:r>
        <w:t>,</w:t>
      </w:r>
      <w:r w:rsidRPr="00783DD5">
        <w:t xml:space="preserve"> it ensures connection to </w:t>
      </w:r>
      <w:r>
        <w:t>C</w:t>
      </w:r>
      <w:r w:rsidRPr="00783DD5">
        <w:t>ountry, to culture, to family and community. It reinforces a sense of identity, builds resilience and provides an opportunity to heal.’</w:t>
      </w:r>
    </w:p>
    <w:p w14:paraId="42C3EB90" w14:textId="77777777" w:rsidR="00814857" w:rsidRPr="00FA1106" w:rsidRDefault="00814857" w:rsidP="00350E76">
      <w:pPr>
        <w:pStyle w:val="Heading6"/>
        <w:rPr>
          <w:rFonts w:eastAsia="Times"/>
          <w:lang w:val="en-AU"/>
        </w:rPr>
      </w:pPr>
      <w:r w:rsidRPr="006B2445">
        <w:rPr>
          <w:rFonts w:eastAsia="Times"/>
        </w:rPr>
        <w:t xml:space="preserve">Transitioning case management to </w:t>
      </w:r>
      <w:r w:rsidRPr="00FA1106">
        <w:rPr>
          <w:rFonts w:eastAsia="Times"/>
        </w:rPr>
        <w:t>Aboriginal community-controlled organisation</w:t>
      </w:r>
      <w:r>
        <w:rPr>
          <w:rFonts w:eastAsia="Times"/>
          <w:lang w:val="en-AU"/>
        </w:rPr>
        <w:t>s</w:t>
      </w:r>
    </w:p>
    <w:p w14:paraId="7130C295" w14:textId="64084FFD" w:rsidR="00814857" w:rsidRPr="006B2445" w:rsidRDefault="00814857" w:rsidP="00350E76">
      <w:pPr>
        <w:pStyle w:val="ARbody"/>
      </w:pPr>
      <w:r w:rsidRPr="006B2445">
        <w:t xml:space="preserve">In addition to the </w:t>
      </w:r>
      <w:r w:rsidR="009622B7" w:rsidRPr="009622B7">
        <w:t>Aboriginal Children in Aboriginal</w:t>
      </w:r>
      <w:r w:rsidR="00EF2D34">
        <w:t> </w:t>
      </w:r>
      <w:r w:rsidR="009622B7" w:rsidRPr="009622B7">
        <w:t>Care Program</w:t>
      </w:r>
      <w:r w:rsidRPr="006B2445">
        <w:t>, in 2019, funding support</w:t>
      </w:r>
      <w:r>
        <w:t>ed</w:t>
      </w:r>
      <w:r w:rsidRPr="006B2445">
        <w:t xml:space="preserve"> an</w:t>
      </w:r>
      <w:r w:rsidR="00EF2D34">
        <w:t xml:space="preserve"> </w:t>
      </w:r>
      <w:r w:rsidRPr="006B2445">
        <w:t>additional 200 Aboriginal children to</w:t>
      </w:r>
      <w:r w:rsidR="00EF2D34">
        <w:t> </w:t>
      </w:r>
      <w:r w:rsidRPr="006B2445">
        <w:t>have their</w:t>
      </w:r>
      <w:r w:rsidR="00EF2D34">
        <w:t xml:space="preserve"> </w:t>
      </w:r>
      <w:r w:rsidRPr="006B2445">
        <w:t>case</w:t>
      </w:r>
      <w:r w:rsidR="00EF2D34">
        <w:t xml:space="preserve"> </w:t>
      </w:r>
      <w:r w:rsidRPr="006B2445">
        <w:t>management transferred from a</w:t>
      </w:r>
      <w:r w:rsidR="00EF2D34">
        <w:t> </w:t>
      </w:r>
      <w:r w:rsidRPr="006B2445">
        <w:t xml:space="preserve">non-Aboriginal </w:t>
      </w:r>
      <w:r>
        <w:t>o</w:t>
      </w:r>
      <w:r w:rsidRPr="006B2445">
        <w:t xml:space="preserve">rganisation or </w:t>
      </w:r>
      <w:r>
        <w:t>c</w:t>
      </w:r>
      <w:r w:rsidRPr="006B2445">
        <w:t xml:space="preserve">hild </w:t>
      </w:r>
      <w:r>
        <w:t>p</w:t>
      </w:r>
      <w:r w:rsidRPr="006B2445">
        <w:t>rotection to</w:t>
      </w:r>
      <w:r w:rsidR="00EF2D34">
        <w:t> </w:t>
      </w:r>
      <w:r w:rsidRPr="006B2445">
        <w:t>an</w:t>
      </w:r>
      <w:r w:rsidR="009622B7">
        <w:t xml:space="preserve"> </w:t>
      </w:r>
      <w:r w:rsidR="009622B7" w:rsidRPr="009622B7">
        <w:t>Aboriginal community-controlled organisation</w:t>
      </w:r>
      <w:r w:rsidR="009622B7">
        <w:t xml:space="preserve"> (ACCO)</w:t>
      </w:r>
      <w:r w:rsidRPr="006B2445">
        <w:t>. Since 2017, there has been a 250</w:t>
      </w:r>
      <w:r>
        <w:t xml:space="preserve"> per cent</w:t>
      </w:r>
      <w:r w:rsidRPr="006B2445">
        <w:t xml:space="preserve"> increase in the</w:t>
      </w:r>
      <w:r w:rsidR="00EF2D34">
        <w:t> </w:t>
      </w:r>
      <w:r w:rsidRPr="006B2445">
        <w:t>number of Aboriginal children and young people receiving case management from an</w:t>
      </w:r>
      <w:r w:rsidR="00EF2D34">
        <w:t xml:space="preserve"> </w:t>
      </w:r>
      <w:r>
        <w:t>ACCO</w:t>
      </w:r>
      <w:r w:rsidRPr="006B2445">
        <w:t>.</w:t>
      </w:r>
    </w:p>
    <w:p w14:paraId="76A5D512" w14:textId="77777777" w:rsidR="00814857" w:rsidRDefault="00814857" w:rsidP="00350E76">
      <w:pPr>
        <w:pStyle w:val="Heading6"/>
        <w:rPr>
          <w:rFonts w:eastAsia="Times"/>
        </w:rPr>
      </w:pPr>
      <w:r>
        <w:rPr>
          <w:rFonts w:eastAsia="Times"/>
          <w:lang w:val="en-AU"/>
        </w:rPr>
        <w:t xml:space="preserve">Connecting </w:t>
      </w:r>
      <w:r w:rsidRPr="006B2445">
        <w:rPr>
          <w:rFonts w:eastAsia="Times"/>
        </w:rPr>
        <w:t>Aboriginal</w:t>
      </w:r>
      <w:r>
        <w:rPr>
          <w:rFonts w:eastAsia="Times"/>
          <w:lang w:val="en-AU"/>
        </w:rPr>
        <w:t xml:space="preserve"> children and young people with local leaders and family</w:t>
      </w:r>
    </w:p>
    <w:p w14:paraId="52EC18FC" w14:textId="350F29EF" w:rsidR="00814857" w:rsidRPr="005354B8" w:rsidRDefault="00814857" w:rsidP="00350E76">
      <w:pPr>
        <w:rPr>
          <w:rFonts w:ascii="Arial" w:eastAsia="Times" w:hAnsi="Arial" w:cs="Arial"/>
          <w:szCs w:val="24"/>
          <w:lang w:eastAsia="en-US"/>
        </w:rPr>
      </w:pPr>
      <w:r w:rsidRPr="005354B8">
        <w:rPr>
          <w:rFonts w:ascii="Arial" w:eastAsia="Times" w:hAnsi="Arial" w:cs="Arial"/>
          <w:szCs w:val="24"/>
          <w:lang w:eastAsia="en-US"/>
        </w:rPr>
        <w:t xml:space="preserve">Return to </w:t>
      </w:r>
      <w:r>
        <w:rPr>
          <w:rFonts w:ascii="Arial" w:eastAsia="Times" w:hAnsi="Arial" w:cs="Arial"/>
          <w:szCs w:val="24"/>
          <w:lang w:eastAsia="en-US"/>
        </w:rPr>
        <w:t>C</w:t>
      </w:r>
      <w:r w:rsidRPr="005354B8">
        <w:rPr>
          <w:rFonts w:ascii="Arial" w:eastAsia="Times" w:hAnsi="Arial" w:cs="Arial"/>
          <w:szCs w:val="24"/>
          <w:lang w:eastAsia="en-US"/>
        </w:rPr>
        <w:t xml:space="preserve">ountry enables local leaders and family members to connect Aboriginal children and young people in care services to their </w:t>
      </w:r>
      <w:r w:rsidR="00CC2F0B">
        <w:rPr>
          <w:rFonts w:ascii="Arial" w:eastAsia="Times" w:hAnsi="Arial" w:cs="Arial"/>
          <w:szCs w:val="24"/>
          <w:lang w:eastAsia="en-US"/>
        </w:rPr>
        <w:t>C</w:t>
      </w:r>
      <w:r w:rsidRPr="005354B8">
        <w:rPr>
          <w:rFonts w:ascii="Arial" w:eastAsia="Times" w:hAnsi="Arial" w:cs="Arial"/>
          <w:szCs w:val="24"/>
          <w:lang w:eastAsia="en-US"/>
        </w:rPr>
        <w:t>ountry of origin, promoting a positive sense of belonging.</w:t>
      </w:r>
    </w:p>
    <w:p w14:paraId="6252B33C" w14:textId="77777777" w:rsidR="00345066" w:rsidRDefault="00814857" w:rsidP="00350E76">
      <w:pPr>
        <w:pStyle w:val="ARbody"/>
      </w:pPr>
      <w:r>
        <w:t>A</w:t>
      </w:r>
      <w:r w:rsidRPr="006B2445">
        <w:t xml:space="preserve"> new model of kinship care recogni</w:t>
      </w:r>
      <w:r>
        <w:t>ses</w:t>
      </w:r>
      <w:r w:rsidRPr="006B2445">
        <w:t xml:space="preserve"> the vital role that kinship carers play in caring for some of Victoria’s most vulnerable children. This includes the launch of the Aboriginal Kinship Finding Service, a statewide service to support the early identification of kinship carers for Aboriginal children subject to </w:t>
      </w:r>
      <w:r>
        <w:t>c</w:t>
      </w:r>
      <w:r w:rsidRPr="006B2445">
        <w:t xml:space="preserve">hild </w:t>
      </w:r>
      <w:r>
        <w:t>p</w:t>
      </w:r>
      <w:r w:rsidRPr="006B2445">
        <w:t>rotection involvement.</w:t>
      </w:r>
    </w:p>
    <w:p w14:paraId="53C92745" w14:textId="5858D0E5" w:rsidR="00814857" w:rsidRDefault="00814857">
      <w:pPr>
        <w:rPr>
          <w:rFonts w:ascii="Arial" w:eastAsia="Times" w:hAnsi="Arial" w:cs="Arial"/>
          <w:szCs w:val="24"/>
          <w:lang w:eastAsia="en-US"/>
        </w:rPr>
      </w:pPr>
      <w:r>
        <w:br w:type="page"/>
      </w:r>
    </w:p>
    <w:p w14:paraId="66F46665" w14:textId="77777777" w:rsidR="00814857" w:rsidRPr="006B2445" w:rsidRDefault="00814857" w:rsidP="00350E76">
      <w:pPr>
        <w:pStyle w:val="ARbody"/>
      </w:pPr>
      <w:r w:rsidRPr="006B2445">
        <w:lastRenderedPageBreak/>
        <w:t xml:space="preserve">This service enables connections to family, community and culture, </w:t>
      </w:r>
      <w:r>
        <w:t xml:space="preserve">and </w:t>
      </w:r>
      <w:r w:rsidRPr="006B2445">
        <w:t>includes the provision of specialised Aboriginal kinship</w:t>
      </w:r>
      <w:r>
        <w:t>-</w:t>
      </w:r>
      <w:r w:rsidRPr="006B2445">
        <w:t>finding expertise including genealogy research and the development of a secure database.</w:t>
      </w:r>
    </w:p>
    <w:p w14:paraId="490912D9" w14:textId="5E8FD391" w:rsidR="00814857" w:rsidRPr="006B2445" w:rsidRDefault="00814857" w:rsidP="00350E76">
      <w:pPr>
        <w:pStyle w:val="ARbody"/>
      </w:pPr>
      <w:r w:rsidRPr="006B2445">
        <w:t>The service is being run by the Victorian Aboriginal Child Care Agency</w:t>
      </w:r>
      <w:r>
        <w:t xml:space="preserve"> (VACCA), which</w:t>
      </w:r>
      <w:r w:rsidRPr="006B2445">
        <w:t xml:space="preserve"> </w:t>
      </w:r>
      <w:r>
        <w:t xml:space="preserve">will </w:t>
      </w:r>
      <w:r w:rsidRPr="006B2445">
        <w:t>work in partnership with the First Nations Legal and Research Services, consulting with Koorie Heritage</w:t>
      </w:r>
      <w:r w:rsidR="00D325F4">
        <w:t> </w:t>
      </w:r>
      <w:r w:rsidRPr="006B2445">
        <w:t>Trust.</w:t>
      </w:r>
    </w:p>
    <w:p w14:paraId="7C24E6B8" w14:textId="77777777" w:rsidR="00814857" w:rsidRPr="00512955" w:rsidRDefault="00814857" w:rsidP="00350E76">
      <w:pPr>
        <w:pStyle w:val="Heading6"/>
        <w:rPr>
          <w:rFonts w:eastAsia="Times"/>
          <w:lang w:val="en-AU"/>
        </w:rPr>
      </w:pPr>
      <w:r w:rsidRPr="006B2445">
        <w:rPr>
          <w:rFonts w:eastAsia="Times"/>
        </w:rPr>
        <w:t xml:space="preserve">Cultural </w:t>
      </w:r>
      <w:r>
        <w:t>p</w:t>
      </w:r>
      <w:r w:rsidRPr="006B2445">
        <w:t>lans</w:t>
      </w:r>
      <w:r>
        <w:rPr>
          <w:lang w:val="en-AU"/>
        </w:rPr>
        <w:t xml:space="preserve"> – supporting self determination</w:t>
      </w:r>
    </w:p>
    <w:p w14:paraId="2EB42385" w14:textId="3D26D23D" w:rsidR="00814857" w:rsidRPr="006B2445" w:rsidRDefault="00814857" w:rsidP="00350E76">
      <w:pPr>
        <w:pStyle w:val="ARbody"/>
      </w:pPr>
      <w:r w:rsidRPr="006B2445">
        <w:t xml:space="preserve">The department supports Aboriginal children in </w:t>
      </w:r>
      <w:r w:rsidR="00EF2D34">
        <w:br/>
      </w:r>
      <w:r w:rsidRPr="006B2445">
        <w:t xml:space="preserve">out-of-home care to be connected with their kinship network, culture, community and </w:t>
      </w:r>
      <w:r>
        <w:t>C</w:t>
      </w:r>
      <w:r w:rsidRPr="006B2445">
        <w:t xml:space="preserve">ountry through the Aboriginal cultural support planning program. The department funds 18 senior advisers in </w:t>
      </w:r>
      <w:r w:rsidR="009622B7" w:rsidRPr="009622B7">
        <w:t>Aboriginal community-controlled organisation</w:t>
      </w:r>
      <w:r w:rsidR="009622B7">
        <w:t>s</w:t>
      </w:r>
      <w:r w:rsidR="009622B7" w:rsidRPr="009622B7">
        <w:t xml:space="preserve"> </w:t>
      </w:r>
      <w:r w:rsidR="009622B7">
        <w:t>(</w:t>
      </w:r>
      <w:r w:rsidRPr="006B2445">
        <w:t>ACCOs</w:t>
      </w:r>
      <w:r w:rsidR="009622B7">
        <w:t>)</w:t>
      </w:r>
      <w:r w:rsidRPr="006B2445">
        <w:t xml:space="preserve">, a statewide coordinator at the </w:t>
      </w:r>
      <w:r w:rsidR="009622B7" w:rsidRPr="006B2445">
        <w:t>Victorian Aboriginal Child Care Agency</w:t>
      </w:r>
      <w:r w:rsidR="009622B7">
        <w:t xml:space="preserve"> (VACCA)</w:t>
      </w:r>
      <w:r w:rsidRPr="006B2445">
        <w:t xml:space="preserve"> and</w:t>
      </w:r>
      <w:r w:rsidR="00EF2D34">
        <w:t xml:space="preserve"> </w:t>
      </w:r>
      <w:r w:rsidRPr="006B2445">
        <w:t>a cultural website to help develop cultural plans for</w:t>
      </w:r>
      <w:r w:rsidR="00EF2D34">
        <w:t> </w:t>
      </w:r>
      <w:r w:rsidRPr="006B2445">
        <w:t xml:space="preserve">every Aboriginal child and young person </w:t>
      </w:r>
      <w:r w:rsidR="00EF2D34">
        <w:br/>
      </w:r>
      <w:r w:rsidRPr="006B2445">
        <w:t>in out-of-home care.</w:t>
      </w:r>
    </w:p>
    <w:p w14:paraId="4FC376C3" w14:textId="39735337" w:rsidR="00814857" w:rsidRPr="006B2445" w:rsidRDefault="00814857" w:rsidP="00350E76">
      <w:pPr>
        <w:pStyle w:val="ARbody"/>
      </w:pPr>
      <w:r w:rsidRPr="006B2445">
        <w:t>In line with self-determination, it was agreed that</w:t>
      </w:r>
      <w:r w:rsidR="00D325F4">
        <w:t> </w:t>
      </w:r>
      <w:r w:rsidRPr="006B2445">
        <w:t>ACCOs manage and prioritise cultural plan brokerage funds</w:t>
      </w:r>
      <w:r>
        <w:t>,</w:t>
      </w:r>
      <w:r w:rsidRPr="006B2445">
        <w:t xml:space="preserve"> which can be used to fund local initiatives that bring Aboriginal children in </w:t>
      </w:r>
      <w:r>
        <w:t>out-of-home</w:t>
      </w:r>
      <w:r w:rsidRPr="006B2445">
        <w:t xml:space="preserve"> care together</w:t>
      </w:r>
      <w:r>
        <w:t>,</w:t>
      </w:r>
      <w:r w:rsidRPr="006B2445">
        <w:t xml:space="preserve"> such as cultural camps or community events. For instance, VACCA has held</w:t>
      </w:r>
      <w:r w:rsidR="00D325F4">
        <w:t> </w:t>
      </w:r>
      <w:r w:rsidRPr="006B2445">
        <w:t>cultural camps where young people have participated in art, music and dance. Hearing from</w:t>
      </w:r>
      <w:r w:rsidR="00D325F4">
        <w:t> </w:t>
      </w:r>
      <w:r w:rsidRPr="006B2445">
        <w:t xml:space="preserve">Elders and sharing cultural experiences helps young people see </w:t>
      </w:r>
      <w:r>
        <w:t xml:space="preserve">and </w:t>
      </w:r>
      <w:r w:rsidRPr="006B2445">
        <w:t>value their cultural heritage.</w:t>
      </w:r>
    </w:p>
    <w:p w14:paraId="18B001B1" w14:textId="3FB1145C" w:rsidR="00814857" w:rsidRPr="00682CD7" w:rsidRDefault="00814857" w:rsidP="00350E76">
      <w:pPr>
        <w:pStyle w:val="Heading6"/>
        <w:rPr>
          <w:lang w:val="en-AU"/>
        </w:rPr>
      </w:pPr>
      <w:r>
        <w:rPr>
          <w:lang w:val="en-AU"/>
        </w:rPr>
        <w:t xml:space="preserve">Developing an </w:t>
      </w:r>
      <w:r w:rsidRPr="00682CD7">
        <w:t xml:space="preserve">Aboriginal </w:t>
      </w:r>
      <w:r>
        <w:t>h</w:t>
      </w:r>
      <w:r w:rsidRPr="00682CD7">
        <w:t>ousing and</w:t>
      </w:r>
      <w:r w:rsidR="00D325F4">
        <w:rPr>
          <w:lang w:val="en-US"/>
        </w:rPr>
        <w:t> </w:t>
      </w:r>
      <w:r>
        <w:t>h</w:t>
      </w:r>
      <w:r w:rsidRPr="00682CD7">
        <w:t>omelessness framework</w:t>
      </w:r>
    </w:p>
    <w:p w14:paraId="033B4988" w14:textId="0FB1DED0" w:rsidR="00345066" w:rsidRDefault="00814857" w:rsidP="00350E76">
      <w:pPr>
        <w:pStyle w:val="ARbody"/>
      </w:pPr>
      <w:r w:rsidRPr="00682CD7">
        <w:t>Aboriginal Housing Victoria has been funded to</w:t>
      </w:r>
      <w:r w:rsidR="00D325F4">
        <w:t> </w:t>
      </w:r>
      <w:r w:rsidRPr="00682CD7">
        <w:t xml:space="preserve">lead the development of an Aboriginal </w:t>
      </w:r>
      <w:r>
        <w:t>h</w:t>
      </w:r>
      <w:r w:rsidRPr="00682CD7">
        <w:t xml:space="preserve">ousing and </w:t>
      </w:r>
      <w:r>
        <w:t>h</w:t>
      </w:r>
      <w:r w:rsidRPr="00682CD7">
        <w:t>omelessness framework.</w:t>
      </w:r>
    </w:p>
    <w:p w14:paraId="5CEAE0AC" w14:textId="19B30108" w:rsidR="00814857" w:rsidRPr="00682CD7" w:rsidRDefault="00814857" w:rsidP="00350E76">
      <w:pPr>
        <w:pStyle w:val="ARbody"/>
      </w:pPr>
      <w:r w:rsidRPr="00682CD7">
        <w:t xml:space="preserve">A steering committee to oversee the development of the framework is being chaired by </w:t>
      </w:r>
      <w:r w:rsidRPr="00574888">
        <w:t>Professor Kerry Arabena</w:t>
      </w:r>
      <w:r>
        <w:t>,</w:t>
      </w:r>
      <w:r w:rsidRPr="00574888">
        <w:t xml:space="preserve"> </w:t>
      </w:r>
      <w:r w:rsidRPr="00682CD7">
        <w:t>the Chair of Indigenous Health Equity at the University of Melbourne</w:t>
      </w:r>
      <w:r>
        <w:t>.</w:t>
      </w:r>
    </w:p>
    <w:p w14:paraId="39B9FD07" w14:textId="3B1E60A1" w:rsidR="00814857" w:rsidRPr="00682CD7" w:rsidRDefault="00814857" w:rsidP="00350E76">
      <w:pPr>
        <w:pStyle w:val="ARbody"/>
      </w:pPr>
      <w:r w:rsidRPr="00682CD7">
        <w:t xml:space="preserve">A Victorian Aboriginal Housing and Homelessness </w:t>
      </w:r>
      <w:r w:rsidR="009622B7">
        <w:t>S</w:t>
      </w:r>
      <w:r w:rsidRPr="00682CD7">
        <w:t>ummit was held in April 2019 to inform the framework.</w:t>
      </w:r>
    </w:p>
    <w:p w14:paraId="2F2CC784" w14:textId="727F2B3E" w:rsidR="00814857" w:rsidRPr="00682CD7" w:rsidRDefault="00814857" w:rsidP="00350E76">
      <w:pPr>
        <w:pStyle w:val="ARbody"/>
      </w:pPr>
      <w:r w:rsidRPr="00682CD7">
        <w:t>The summit brought together a range of organisations and practitioners. It acknowledged the importance of the transfer of public housing properties to Aboriginal Housing Victoria as part of</w:t>
      </w:r>
      <w:r w:rsidR="00D325F4">
        <w:t> </w:t>
      </w:r>
      <w:r w:rsidRPr="00682CD7">
        <w:t>the self-determination agenda and the need to increase the range of affordable housing options for</w:t>
      </w:r>
      <w:r w:rsidR="00D325F4">
        <w:t> </w:t>
      </w:r>
      <w:r w:rsidRPr="00682CD7">
        <w:t xml:space="preserve">Aboriginal Victorians. Underpinned by a rights-based approach to break </w:t>
      </w:r>
      <w:r>
        <w:t xml:space="preserve">the </w:t>
      </w:r>
      <w:r w:rsidRPr="00682CD7">
        <w:t>cycles of housing disadvantage, the framework will encompass:</w:t>
      </w:r>
    </w:p>
    <w:p w14:paraId="63EEE1DA" w14:textId="77777777" w:rsidR="00814857" w:rsidRPr="00682CD7" w:rsidRDefault="00814857" w:rsidP="00350E76">
      <w:pPr>
        <w:pStyle w:val="ARbullet1"/>
      </w:pPr>
      <w:r w:rsidRPr="00682CD7">
        <w:t>people’s housing needs across their life course</w:t>
      </w:r>
    </w:p>
    <w:p w14:paraId="5E5B4C4C" w14:textId="77777777" w:rsidR="00814857" w:rsidRPr="00682CD7" w:rsidRDefault="00814857" w:rsidP="00350E76">
      <w:pPr>
        <w:pStyle w:val="ARbullet1"/>
      </w:pPr>
      <w:r w:rsidRPr="00682CD7">
        <w:t>the program and supports necessary to improve housing outcomes</w:t>
      </w:r>
    </w:p>
    <w:p w14:paraId="6F8AF339" w14:textId="77777777" w:rsidR="00814857" w:rsidRPr="00682CD7" w:rsidRDefault="00814857" w:rsidP="00682CD7">
      <w:pPr>
        <w:pStyle w:val="ARbullet1"/>
      </w:pPr>
      <w:r w:rsidRPr="00682CD7">
        <w:t>innovative models that secure housing for Aboriginal Victorians, including pathways to private ownership</w:t>
      </w:r>
    </w:p>
    <w:p w14:paraId="40A1B5F6" w14:textId="1FFA8921" w:rsidR="00814857" w:rsidRPr="00682CD7" w:rsidRDefault="00814857" w:rsidP="00682CD7">
      <w:pPr>
        <w:pStyle w:val="ARbullet1"/>
      </w:pPr>
      <w:r w:rsidRPr="00682CD7">
        <w:t>actions required to build the capacity of Aboriginal organisations to own, manage and</w:t>
      </w:r>
      <w:r w:rsidR="00D325F4">
        <w:t> </w:t>
      </w:r>
      <w:r w:rsidRPr="00682CD7">
        <w:t>grow rental stock.</w:t>
      </w:r>
    </w:p>
    <w:p w14:paraId="16CE79B5" w14:textId="77777777" w:rsidR="00814857" w:rsidRDefault="00814857" w:rsidP="00350E76">
      <w:pPr>
        <w:rPr>
          <w:rFonts w:ascii="Arial" w:eastAsia="Times" w:hAnsi="Arial" w:cs="Arial"/>
          <w:szCs w:val="24"/>
          <w:lang w:eastAsia="en-US"/>
        </w:rPr>
      </w:pPr>
      <w:r>
        <w:br w:type="page"/>
      </w:r>
    </w:p>
    <w:p w14:paraId="0A1FD858" w14:textId="77777777" w:rsidR="00814857" w:rsidRDefault="00814857" w:rsidP="00350E76">
      <w:pPr>
        <w:pStyle w:val="ARbody"/>
        <w:sectPr w:rsidR="00814857" w:rsidSect="00E34BA4">
          <w:headerReference w:type="first" r:id="rId88"/>
          <w:footerReference w:type="first" r:id="rId89"/>
          <w:endnotePr>
            <w:numFmt w:val="decimal"/>
          </w:endnotePr>
          <w:type w:val="continuous"/>
          <w:pgSz w:w="11900" w:h="16840" w:code="9"/>
          <w:pgMar w:top="1985" w:right="851" w:bottom="851" w:left="1418" w:header="510" w:footer="340" w:gutter="0"/>
          <w:cols w:num="2" w:space="454"/>
        </w:sectPr>
      </w:pPr>
    </w:p>
    <w:p w14:paraId="02BB554E" w14:textId="77777777" w:rsidR="00814857" w:rsidRDefault="00814857" w:rsidP="00D325F4">
      <w:pPr>
        <w:pStyle w:val="Heading3"/>
        <w:spacing w:before="0"/>
      </w:pPr>
      <w:r w:rsidRPr="005833AF">
        <w:lastRenderedPageBreak/>
        <w:t>Objective 4: indicator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20" w:firstRow="1" w:lastRow="0" w:firstColumn="0" w:lastColumn="0" w:noHBand="0" w:noVBand="1"/>
      </w:tblPr>
      <w:tblGrid>
        <w:gridCol w:w="5943"/>
        <w:gridCol w:w="939"/>
        <w:gridCol w:w="939"/>
        <w:gridCol w:w="939"/>
        <w:gridCol w:w="879"/>
      </w:tblGrid>
      <w:tr w:rsidR="00814857" w14:paraId="7ACD81CC" w14:textId="77777777" w:rsidTr="00682CD7">
        <w:trPr>
          <w:cantSplit/>
          <w:tblHeader/>
        </w:trPr>
        <w:tc>
          <w:tcPr>
            <w:tcW w:w="5943" w:type="dxa"/>
            <w:tcBorders>
              <w:top w:val="nil"/>
              <w:left w:val="single" w:sz="4" w:space="0" w:color="FFFFFF"/>
              <w:bottom w:val="single" w:sz="4" w:space="0" w:color="auto"/>
              <w:right w:val="single" w:sz="4" w:space="0" w:color="FFFFFF"/>
            </w:tcBorders>
            <w:vAlign w:val="bottom"/>
          </w:tcPr>
          <w:p w14:paraId="67C440B0" w14:textId="77777777" w:rsidR="00814857" w:rsidRDefault="00814857" w:rsidP="00682CD7">
            <w:pPr>
              <w:spacing w:before="80" w:after="60" w:line="216" w:lineRule="auto"/>
              <w:rPr>
                <w:rFonts w:eastAsia="Times" w:cs="Arial"/>
                <w:b/>
                <w:sz w:val="18"/>
                <w:szCs w:val="18"/>
              </w:rPr>
            </w:pPr>
          </w:p>
        </w:tc>
        <w:tc>
          <w:tcPr>
            <w:tcW w:w="939" w:type="dxa"/>
            <w:tcBorders>
              <w:top w:val="nil"/>
              <w:left w:val="single" w:sz="4" w:space="0" w:color="FFFFFF"/>
              <w:bottom w:val="single" w:sz="4" w:space="0" w:color="auto"/>
              <w:right w:val="single" w:sz="4" w:space="0" w:color="FFFFFF"/>
            </w:tcBorders>
            <w:vAlign w:val="center"/>
            <w:hideMark/>
          </w:tcPr>
          <w:p w14:paraId="6EF29859" w14:textId="77777777" w:rsidR="00814857" w:rsidRDefault="00814857" w:rsidP="00682CD7">
            <w:pPr>
              <w:pStyle w:val="ARtablecolhead"/>
            </w:pPr>
            <w:r>
              <w:t>2015–16</w:t>
            </w:r>
          </w:p>
        </w:tc>
        <w:tc>
          <w:tcPr>
            <w:tcW w:w="939" w:type="dxa"/>
            <w:tcBorders>
              <w:top w:val="nil"/>
              <w:left w:val="single" w:sz="4" w:space="0" w:color="FFFFFF"/>
              <w:bottom w:val="single" w:sz="4" w:space="0" w:color="auto"/>
              <w:right w:val="single" w:sz="4" w:space="0" w:color="FFFFFF"/>
            </w:tcBorders>
            <w:vAlign w:val="center"/>
            <w:hideMark/>
          </w:tcPr>
          <w:p w14:paraId="6BCB7B33" w14:textId="77777777" w:rsidR="00814857" w:rsidRDefault="00814857" w:rsidP="00682CD7">
            <w:pPr>
              <w:pStyle w:val="ARtablecolhead"/>
            </w:pPr>
            <w:r>
              <w:t>2016–17</w:t>
            </w:r>
          </w:p>
        </w:tc>
        <w:tc>
          <w:tcPr>
            <w:tcW w:w="939" w:type="dxa"/>
            <w:tcBorders>
              <w:top w:val="nil"/>
              <w:left w:val="single" w:sz="4" w:space="0" w:color="FFFFFF"/>
              <w:bottom w:val="single" w:sz="4" w:space="0" w:color="auto"/>
              <w:right w:val="single" w:sz="4" w:space="0" w:color="FFFFFF"/>
            </w:tcBorders>
            <w:vAlign w:val="center"/>
            <w:hideMark/>
          </w:tcPr>
          <w:p w14:paraId="784250E1" w14:textId="77777777" w:rsidR="00814857" w:rsidRDefault="00814857" w:rsidP="00682CD7">
            <w:pPr>
              <w:pStyle w:val="ARtablecolhead"/>
            </w:pPr>
            <w:r>
              <w:t>2017–18</w:t>
            </w:r>
          </w:p>
        </w:tc>
        <w:tc>
          <w:tcPr>
            <w:tcW w:w="879" w:type="dxa"/>
            <w:tcBorders>
              <w:top w:val="nil"/>
              <w:left w:val="single" w:sz="4" w:space="0" w:color="FFFFFF"/>
              <w:bottom w:val="single" w:sz="4" w:space="0" w:color="auto"/>
              <w:right w:val="single" w:sz="4" w:space="0" w:color="FFFFFF"/>
            </w:tcBorders>
            <w:vAlign w:val="center"/>
            <w:hideMark/>
          </w:tcPr>
          <w:p w14:paraId="2325C399" w14:textId="77777777" w:rsidR="00814857" w:rsidRDefault="00814857" w:rsidP="00682CD7">
            <w:pPr>
              <w:pStyle w:val="ARtablecolhead"/>
            </w:pPr>
            <w:r>
              <w:t>2018–19</w:t>
            </w:r>
          </w:p>
        </w:tc>
      </w:tr>
      <w:tr w:rsidR="00814857" w14:paraId="50BDA970" w14:textId="77777777" w:rsidTr="00682CD7">
        <w:trPr>
          <w:cantSplit/>
        </w:trPr>
        <w:tc>
          <w:tcPr>
            <w:tcW w:w="9639" w:type="dxa"/>
            <w:gridSpan w:val="5"/>
            <w:tcBorders>
              <w:top w:val="single" w:sz="4" w:space="0" w:color="auto"/>
              <w:left w:val="single" w:sz="4" w:space="0" w:color="FFFFFF"/>
              <w:bottom w:val="single" w:sz="4" w:space="0" w:color="BFBFBF"/>
              <w:right w:val="single" w:sz="4" w:space="0" w:color="FFFFFF"/>
            </w:tcBorders>
            <w:hideMark/>
          </w:tcPr>
          <w:p w14:paraId="38F9584F" w14:textId="77777777" w:rsidR="00814857" w:rsidRDefault="00814857" w:rsidP="00682CD7">
            <w:pPr>
              <w:pStyle w:val="ARtablebluebold"/>
            </w:pPr>
            <w:r>
              <w:t>Victorians are socially engaged and live in inclusive communities</w:t>
            </w:r>
          </w:p>
        </w:tc>
      </w:tr>
      <w:tr w:rsidR="00814857" w14:paraId="73F39FB9" w14:textId="77777777" w:rsidTr="00682CD7">
        <w:trPr>
          <w:cantSplit/>
        </w:trPr>
        <w:tc>
          <w:tcPr>
            <w:tcW w:w="5943" w:type="dxa"/>
            <w:tcBorders>
              <w:top w:val="single" w:sz="4" w:space="0" w:color="BFBFBF"/>
              <w:left w:val="single" w:sz="4" w:space="0" w:color="FFFFFF"/>
              <w:bottom w:val="nil"/>
              <w:right w:val="single" w:sz="4" w:space="0" w:color="FFFFFF"/>
            </w:tcBorders>
            <w:shd w:val="clear" w:color="auto" w:fill="auto"/>
          </w:tcPr>
          <w:p w14:paraId="171A0641" w14:textId="77777777" w:rsidR="00814857" w:rsidRPr="00983BEC" w:rsidRDefault="00814857" w:rsidP="00682CD7">
            <w:pPr>
              <w:pStyle w:val="ARtabletext"/>
            </w:pPr>
            <w:r w:rsidRPr="00983BEC">
              <w:t>Hours of coordination funding provided to Neighbourhood Houses</w:t>
            </w:r>
          </w:p>
        </w:tc>
        <w:tc>
          <w:tcPr>
            <w:tcW w:w="939" w:type="dxa"/>
            <w:tcBorders>
              <w:top w:val="single" w:sz="4" w:space="0" w:color="BFBFBF"/>
              <w:left w:val="single" w:sz="4" w:space="0" w:color="FFFFFF"/>
              <w:bottom w:val="nil"/>
              <w:right w:val="single" w:sz="4" w:space="0" w:color="FFFFFF"/>
            </w:tcBorders>
            <w:shd w:val="clear" w:color="auto" w:fill="auto"/>
          </w:tcPr>
          <w:p w14:paraId="5C6EB9E9" w14:textId="77777777" w:rsidR="00814857" w:rsidRPr="00983BEC" w:rsidRDefault="00814857" w:rsidP="00682CD7">
            <w:pPr>
              <w:pStyle w:val="ARtabletextright"/>
            </w:pPr>
            <w:r w:rsidRPr="00983BEC">
              <w:t>480,000</w:t>
            </w:r>
          </w:p>
        </w:tc>
        <w:tc>
          <w:tcPr>
            <w:tcW w:w="939" w:type="dxa"/>
            <w:tcBorders>
              <w:top w:val="single" w:sz="4" w:space="0" w:color="BFBFBF"/>
              <w:left w:val="single" w:sz="4" w:space="0" w:color="FFFFFF"/>
              <w:bottom w:val="nil"/>
              <w:right w:val="single" w:sz="4" w:space="0" w:color="FFFFFF"/>
            </w:tcBorders>
            <w:shd w:val="clear" w:color="auto" w:fill="auto"/>
          </w:tcPr>
          <w:p w14:paraId="1EDF18BB" w14:textId="77777777" w:rsidR="00814857" w:rsidRPr="00983BEC" w:rsidRDefault="00814857" w:rsidP="00682CD7">
            <w:pPr>
              <w:pStyle w:val="ARtabletextright"/>
            </w:pPr>
            <w:r w:rsidRPr="00983BEC">
              <w:t>480,000</w:t>
            </w:r>
          </w:p>
        </w:tc>
        <w:tc>
          <w:tcPr>
            <w:tcW w:w="939" w:type="dxa"/>
            <w:tcBorders>
              <w:top w:val="single" w:sz="4" w:space="0" w:color="BFBFBF"/>
              <w:left w:val="single" w:sz="4" w:space="0" w:color="FFFFFF"/>
              <w:bottom w:val="nil"/>
              <w:right w:val="single" w:sz="4" w:space="0" w:color="FFFFFF"/>
            </w:tcBorders>
            <w:shd w:val="clear" w:color="auto" w:fill="auto"/>
          </w:tcPr>
          <w:p w14:paraId="6FC485CA" w14:textId="77777777" w:rsidR="00814857" w:rsidRPr="00983BEC" w:rsidRDefault="00814857" w:rsidP="00682CD7">
            <w:pPr>
              <w:pStyle w:val="ARtabletextright"/>
            </w:pPr>
            <w:r w:rsidRPr="00983BEC">
              <w:t>480,000</w:t>
            </w:r>
          </w:p>
        </w:tc>
        <w:tc>
          <w:tcPr>
            <w:tcW w:w="879" w:type="dxa"/>
            <w:tcBorders>
              <w:top w:val="single" w:sz="4" w:space="0" w:color="BFBFBF"/>
              <w:left w:val="single" w:sz="4" w:space="0" w:color="FFFFFF"/>
              <w:bottom w:val="nil"/>
              <w:right w:val="single" w:sz="4" w:space="0" w:color="FFFFFF"/>
            </w:tcBorders>
            <w:shd w:val="clear" w:color="auto" w:fill="auto"/>
          </w:tcPr>
          <w:p w14:paraId="614D77A3" w14:textId="77777777" w:rsidR="00814857" w:rsidRDefault="00814857" w:rsidP="00682CD7">
            <w:pPr>
              <w:pStyle w:val="ARtabletextright"/>
            </w:pPr>
            <w:r w:rsidRPr="00983BEC">
              <w:rPr>
                <w:noProof/>
              </w:rPr>
              <w:t>560,586</w:t>
            </w:r>
          </w:p>
        </w:tc>
      </w:tr>
      <w:tr w:rsidR="00814857" w14:paraId="02E70785" w14:textId="77777777" w:rsidTr="00682CD7">
        <w:trPr>
          <w:cantSplit/>
        </w:trPr>
        <w:tc>
          <w:tcPr>
            <w:tcW w:w="5943" w:type="dxa"/>
            <w:tcBorders>
              <w:top w:val="single" w:sz="4" w:space="0" w:color="BFBFBF"/>
              <w:left w:val="single" w:sz="4" w:space="0" w:color="FFFFFF"/>
              <w:bottom w:val="nil"/>
              <w:right w:val="single" w:sz="4" w:space="0" w:color="FFFFFF"/>
            </w:tcBorders>
            <w:shd w:val="clear" w:color="auto" w:fill="auto"/>
          </w:tcPr>
          <w:p w14:paraId="6443718B" w14:textId="77777777" w:rsidR="00814857" w:rsidRPr="00983BEC" w:rsidRDefault="00814857" w:rsidP="00682CD7">
            <w:pPr>
              <w:pStyle w:val="ARtabletext"/>
            </w:pPr>
            <w:r>
              <w:t>Reported children/young people in out-of-home care that had a strong relationship with someone in their care setting</w:t>
            </w:r>
          </w:p>
        </w:tc>
        <w:tc>
          <w:tcPr>
            <w:tcW w:w="939" w:type="dxa"/>
            <w:tcBorders>
              <w:top w:val="single" w:sz="4" w:space="0" w:color="BFBFBF"/>
              <w:left w:val="single" w:sz="4" w:space="0" w:color="FFFFFF"/>
              <w:bottom w:val="nil"/>
              <w:right w:val="single" w:sz="4" w:space="0" w:color="FFFFFF"/>
            </w:tcBorders>
            <w:shd w:val="clear" w:color="auto" w:fill="auto"/>
          </w:tcPr>
          <w:p w14:paraId="0A67CCB9" w14:textId="77777777" w:rsidR="00814857" w:rsidRPr="00983BEC" w:rsidRDefault="00814857" w:rsidP="00682CD7">
            <w:pPr>
              <w:pStyle w:val="ARtabletextright"/>
            </w:pPr>
            <w:r>
              <w:t>97%</w:t>
            </w:r>
          </w:p>
        </w:tc>
        <w:tc>
          <w:tcPr>
            <w:tcW w:w="939" w:type="dxa"/>
            <w:tcBorders>
              <w:top w:val="single" w:sz="4" w:space="0" w:color="BFBFBF"/>
              <w:left w:val="single" w:sz="4" w:space="0" w:color="FFFFFF"/>
              <w:bottom w:val="nil"/>
              <w:right w:val="single" w:sz="4" w:space="0" w:color="FFFFFF"/>
            </w:tcBorders>
            <w:shd w:val="clear" w:color="auto" w:fill="auto"/>
          </w:tcPr>
          <w:p w14:paraId="4B2585E9" w14:textId="77777777" w:rsidR="00814857" w:rsidRPr="00983BEC" w:rsidRDefault="00814857" w:rsidP="00682CD7">
            <w:pPr>
              <w:pStyle w:val="ARtabletextright"/>
            </w:pPr>
            <w:r>
              <w:t>-</w:t>
            </w:r>
          </w:p>
        </w:tc>
        <w:tc>
          <w:tcPr>
            <w:tcW w:w="939" w:type="dxa"/>
            <w:tcBorders>
              <w:top w:val="single" w:sz="4" w:space="0" w:color="BFBFBF"/>
              <w:left w:val="single" w:sz="4" w:space="0" w:color="FFFFFF"/>
              <w:bottom w:val="nil"/>
              <w:right w:val="single" w:sz="4" w:space="0" w:color="FFFFFF"/>
            </w:tcBorders>
            <w:shd w:val="clear" w:color="auto" w:fill="auto"/>
          </w:tcPr>
          <w:p w14:paraId="798F1807" w14:textId="77777777" w:rsidR="00814857" w:rsidRPr="00983BEC" w:rsidRDefault="00814857" w:rsidP="00682CD7">
            <w:pPr>
              <w:pStyle w:val="ARtabletextright"/>
            </w:pPr>
            <w:r>
              <w:t>-</w:t>
            </w:r>
          </w:p>
        </w:tc>
        <w:tc>
          <w:tcPr>
            <w:tcW w:w="879" w:type="dxa"/>
            <w:tcBorders>
              <w:top w:val="single" w:sz="4" w:space="0" w:color="BFBFBF"/>
              <w:left w:val="single" w:sz="4" w:space="0" w:color="FFFFFF"/>
              <w:bottom w:val="nil"/>
              <w:right w:val="single" w:sz="4" w:space="0" w:color="FFFFFF"/>
            </w:tcBorders>
            <w:shd w:val="clear" w:color="auto" w:fill="auto"/>
          </w:tcPr>
          <w:p w14:paraId="0199C353" w14:textId="77777777" w:rsidR="00814857" w:rsidRPr="00983BEC" w:rsidRDefault="00814857" w:rsidP="00682CD7">
            <w:pPr>
              <w:pStyle w:val="ARtabletextright"/>
            </w:pPr>
            <w:r>
              <w:t>97%</w:t>
            </w:r>
          </w:p>
        </w:tc>
      </w:tr>
      <w:tr w:rsidR="00814857" w14:paraId="6001DDED" w14:textId="77777777" w:rsidTr="00682CD7">
        <w:trPr>
          <w:cantSplit/>
        </w:trPr>
        <w:tc>
          <w:tcPr>
            <w:tcW w:w="5943" w:type="dxa"/>
            <w:tcBorders>
              <w:top w:val="single" w:sz="4" w:space="0" w:color="BFBFBF"/>
              <w:left w:val="single" w:sz="4" w:space="0" w:color="FFFFFF"/>
              <w:bottom w:val="nil"/>
              <w:right w:val="single" w:sz="4" w:space="0" w:color="FFFFFF"/>
            </w:tcBorders>
            <w:shd w:val="clear" w:color="auto" w:fill="auto"/>
          </w:tcPr>
          <w:p w14:paraId="74182DEA" w14:textId="77777777" w:rsidR="00814857" w:rsidRDefault="00814857" w:rsidP="00682CD7">
            <w:pPr>
              <w:pStyle w:val="ARtabletext"/>
            </w:pPr>
            <w:r>
              <w:t>Aboriginal children/young people in out-of-home care that have some contact with other Aboriginal children/young people outside their care setting</w:t>
            </w:r>
          </w:p>
          <w:p w14:paraId="5EA662FA" w14:textId="77777777" w:rsidR="00814857" w:rsidRDefault="00814857" w:rsidP="00682CD7">
            <w:pPr>
              <w:pStyle w:val="ARtablefootnote"/>
            </w:pPr>
            <w:r>
              <w:t>Source: Internal departmental data</w:t>
            </w:r>
          </w:p>
        </w:tc>
        <w:tc>
          <w:tcPr>
            <w:tcW w:w="939" w:type="dxa"/>
            <w:tcBorders>
              <w:top w:val="single" w:sz="4" w:space="0" w:color="BFBFBF"/>
              <w:left w:val="single" w:sz="4" w:space="0" w:color="FFFFFF"/>
              <w:bottom w:val="nil"/>
              <w:right w:val="single" w:sz="4" w:space="0" w:color="FFFFFF"/>
            </w:tcBorders>
            <w:shd w:val="clear" w:color="auto" w:fill="auto"/>
          </w:tcPr>
          <w:p w14:paraId="302FF0CE" w14:textId="77777777" w:rsidR="00814857" w:rsidRDefault="00814857" w:rsidP="00682CD7">
            <w:pPr>
              <w:pStyle w:val="ARtabletextright"/>
            </w:pPr>
            <w:r>
              <w:t>86%</w:t>
            </w:r>
          </w:p>
        </w:tc>
        <w:tc>
          <w:tcPr>
            <w:tcW w:w="939" w:type="dxa"/>
            <w:tcBorders>
              <w:top w:val="single" w:sz="4" w:space="0" w:color="BFBFBF"/>
              <w:left w:val="single" w:sz="4" w:space="0" w:color="FFFFFF"/>
              <w:bottom w:val="nil"/>
              <w:right w:val="single" w:sz="4" w:space="0" w:color="FFFFFF"/>
            </w:tcBorders>
            <w:shd w:val="clear" w:color="auto" w:fill="auto"/>
          </w:tcPr>
          <w:p w14:paraId="3A35DC76" w14:textId="77777777" w:rsidR="00814857" w:rsidRDefault="00814857" w:rsidP="00682CD7">
            <w:pPr>
              <w:pStyle w:val="ARtabletextright"/>
            </w:pPr>
            <w:r>
              <w:t>-</w:t>
            </w:r>
          </w:p>
        </w:tc>
        <w:tc>
          <w:tcPr>
            <w:tcW w:w="939" w:type="dxa"/>
            <w:tcBorders>
              <w:top w:val="single" w:sz="4" w:space="0" w:color="BFBFBF"/>
              <w:left w:val="single" w:sz="4" w:space="0" w:color="FFFFFF"/>
              <w:bottom w:val="nil"/>
              <w:right w:val="single" w:sz="4" w:space="0" w:color="FFFFFF"/>
            </w:tcBorders>
            <w:shd w:val="clear" w:color="auto" w:fill="auto"/>
          </w:tcPr>
          <w:p w14:paraId="3F577B9A" w14:textId="77777777" w:rsidR="00814857" w:rsidRDefault="00814857" w:rsidP="00682CD7">
            <w:pPr>
              <w:pStyle w:val="ARtabletextright"/>
            </w:pPr>
            <w:r>
              <w:t>-</w:t>
            </w:r>
          </w:p>
        </w:tc>
        <w:tc>
          <w:tcPr>
            <w:tcW w:w="879" w:type="dxa"/>
            <w:tcBorders>
              <w:top w:val="single" w:sz="4" w:space="0" w:color="BFBFBF"/>
              <w:left w:val="single" w:sz="4" w:space="0" w:color="FFFFFF"/>
              <w:bottom w:val="nil"/>
              <w:right w:val="single" w:sz="4" w:space="0" w:color="FFFFFF"/>
            </w:tcBorders>
            <w:shd w:val="clear" w:color="auto" w:fill="auto"/>
          </w:tcPr>
          <w:p w14:paraId="1A2D8988" w14:textId="77777777" w:rsidR="00814857" w:rsidRDefault="00814857" w:rsidP="00682CD7">
            <w:pPr>
              <w:pStyle w:val="ARtabletextright"/>
              <w:rPr>
                <w:noProof/>
              </w:rPr>
            </w:pPr>
            <w:r>
              <w:rPr>
                <w:noProof/>
              </w:rPr>
              <w:t>88%</w:t>
            </w:r>
          </w:p>
        </w:tc>
      </w:tr>
      <w:tr w:rsidR="00814857" w14:paraId="519CCF6A" w14:textId="77777777" w:rsidTr="00682CD7">
        <w:trPr>
          <w:cantSplit/>
        </w:trPr>
        <w:tc>
          <w:tcPr>
            <w:tcW w:w="9639" w:type="dxa"/>
            <w:gridSpan w:val="5"/>
            <w:tcBorders>
              <w:top w:val="single" w:sz="4" w:space="0" w:color="auto"/>
              <w:left w:val="nil"/>
              <w:bottom w:val="single" w:sz="4" w:space="0" w:color="BFBFBF"/>
              <w:right w:val="single" w:sz="4" w:space="0" w:color="FFFFFF"/>
            </w:tcBorders>
            <w:hideMark/>
          </w:tcPr>
          <w:p w14:paraId="42ABBDCA" w14:textId="77777777" w:rsidR="00814857" w:rsidRDefault="00814857" w:rsidP="00682CD7">
            <w:pPr>
              <w:pStyle w:val="ARtablebluebold"/>
            </w:pPr>
            <w:r>
              <w:t>Victorians can safely identify and connect with their culture and identity, with their health and wellbeing advanced through self-determination</w:t>
            </w:r>
          </w:p>
        </w:tc>
      </w:tr>
      <w:tr w:rsidR="00814857" w14:paraId="2035F4A4" w14:textId="77777777" w:rsidTr="00682CD7">
        <w:trPr>
          <w:cantSplit/>
        </w:trPr>
        <w:tc>
          <w:tcPr>
            <w:tcW w:w="5943" w:type="dxa"/>
            <w:tcBorders>
              <w:top w:val="single" w:sz="4" w:space="0" w:color="BFBFBF"/>
              <w:left w:val="single" w:sz="4" w:space="0" w:color="FFFFFF"/>
              <w:bottom w:val="single" w:sz="4" w:space="0" w:color="FFFFFF"/>
              <w:right w:val="single" w:sz="4" w:space="0" w:color="FFFFFF"/>
            </w:tcBorders>
            <w:hideMark/>
          </w:tcPr>
          <w:p w14:paraId="07CDF7F8" w14:textId="77777777" w:rsidR="00814857" w:rsidRDefault="00814857" w:rsidP="00682CD7">
            <w:pPr>
              <w:pStyle w:val="ARtabletext"/>
              <w:rPr>
                <w:i/>
              </w:rPr>
            </w:pPr>
            <w:r>
              <w:t>Proportion of Aboriginal children placed with relatives/kin, other Aboriginal carers or in Aboriginal residential care</w:t>
            </w:r>
          </w:p>
        </w:tc>
        <w:tc>
          <w:tcPr>
            <w:tcW w:w="939" w:type="dxa"/>
            <w:tcBorders>
              <w:top w:val="single" w:sz="4" w:space="0" w:color="BFBFBF"/>
              <w:left w:val="single" w:sz="4" w:space="0" w:color="FFFFFF"/>
              <w:bottom w:val="single" w:sz="4" w:space="0" w:color="FFFFFF"/>
              <w:right w:val="single" w:sz="4" w:space="0" w:color="FFFFFF"/>
            </w:tcBorders>
            <w:hideMark/>
          </w:tcPr>
          <w:p w14:paraId="03AE8C23" w14:textId="77777777" w:rsidR="00814857" w:rsidRDefault="00814857" w:rsidP="00682CD7">
            <w:pPr>
              <w:pStyle w:val="ARtabletextright"/>
            </w:pPr>
            <w:r>
              <w:t>72.0%</w:t>
            </w:r>
          </w:p>
        </w:tc>
        <w:tc>
          <w:tcPr>
            <w:tcW w:w="939" w:type="dxa"/>
            <w:tcBorders>
              <w:top w:val="single" w:sz="4" w:space="0" w:color="BFBFBF"/>
              <w:left w:val="single" w:sz="4" w:space="0" w:color="FFFFFF"/>
              <w:bottom w:val="single" w:sz="4" w:space="0" w:color="FFFFFF"/>
              <w:right w:val="single" w:sz="4" w:space="0" w:color="FFFFFF"/>
            </w:tcBorders>
            <w:hideMark/>
          </w:tcPr>
          <w:p w14:paraId="5A42C02D" w14:textId="77777777" w:rsidR="00814857" w:rsidRDefault="00814857" w:rsidP="00682CD7">
            <w:pPr>
              <w:pStyle w:val="ARtabletextright"/>
            </w:pPr>
            <w:r>
              <w:t>76.0%</w:t>
            </w:r>
          </w:p>
        </w:tc>
        <w:tc>
          <w:tcPr>
            <w:tcW w:w="939" w:type="dxa"/>
            <w:tcBorders>
              <w:top w:val="single" w:sz="4" w:space="0" w:color="BFBFBF"/>
              <w:left w:val="single" w:sz="4" w:space="0" w:color="FFFFFF"/>
              <w:bottom w:val="single" w:sz="4" w:space="0" w:color="FFFFFF"/>
              <w:right w:val="single" w:sz="4" w:space="0" w:color="FFFFFF"/>
            </w:tcBorders>
            <w:hideMark/>
          </w:tcPr>
          <w:p w14:paraId="4DD377A8" w14:textId="77777777" w:rsidR="00814857" w:rsidRDefault="00814857" w:rsidP="00682CD7">
            <w:pPr>
              <w:pStyle w:val="ARtabletextright"/>
            </w:pPr>
            <w:r>
              <w:t>77.6%</w:t>
            </w:r>
          </w:p>
        </w:tc>
        <w:tc>
          <w:tcPr>
            <w:tcW w:w="879" w:type="dxa"/>
            <w:tcBorders>
              <w:top w:val="single" w:sz="4" w:space="0" w:color="BFBFBF"/>
              <w:left w:val="single" w:sz="4" w:space="0" w:color="FFFFFF"/>
              <w:bottom w:val="single" w:sz="4" w:space="0" w:color="FFFFFF"/>
              <w:right w:val="single" w:sz="4" w:space="0" w:color="FFFFFF"/>
            </w:tcBorders>
            <w:hideMark/>
          </w:tcPr>
          <w:p w14:paraId="44A244CB" w14:textId="77777777" w:rsidR="00814857" w:rsidRDefault="00814857" w:rsidP="00682CD7">
            <w:pPr>
              <w:pStyle w:val="ARtabletextright"/>
            </w:pPr>
            <w:r>
              <w:t>78.8%</w:t>
            </w:r>
          </w:p>
        </w:tc>
      </w:tr>
      <w:tr w:rsidR="00814857" w14:paraId="303BF4DD" w14:textId="77777777" w:rsidTr="00682CD7">
        <w:trPr>
          <w:cantSplit/>
        </w:trPr>
        <w:tc>
          <w:tcPr>
            <w:tcW w:w="9639" w:type="dxa"/>
            <w:gridSpan w:val="5"/>
            <w:tcBorders>
              <w:top w:val="single" w:sz="4" w:space="0" w:color="FFFFFF"/>
              <w:left w:val="single" w:sz="4" w:space="0" w:color="FFFFFF"/>
              <w:bottom w:val="single" w:sz="4" w:space="0" w:color="auto"/>
              <w:right w:val="single" w:sz="4" w:space="0" w:color="FFFFFF"/>
            </w:tcBorders>
            <w:hideMark/>
          </w:tcPr>
          <w:p w14:paraId="50F709B3" w14:textId="77777777" w:rsidR="00814857" w:rsidRDefault="00814857" w:rsidP="00682CD7">
            <w:pPr>
              <w:pStyle w:val="ARtablefootnote"/>
            </w:pPr>
            <w:r>
              <w:rPr>
                <w:rFonts w:eastAsia="Times"/>
                <w:lang w:eastAsia="en-AU"/>
              </w:rPr>
              <w:t>Source: Internal departmental data</w:t>
            </w:r>
          </w:p>
        </w:tc>
      </w:tr>
    </w:tbl>
    <w:p w14:paraId="072D9E27" w14:textId="77777777" w:rsidR="00814857" w:rsidRPr="008F035E" w:rsidRDefault="00814857" w:rsidP="008F035E">
      <w:pPr>
        <w:pStyle w:val="ARtablefootnote"/>
        <w:rPr>
          <w:lang w:eastAsia="en-AU"/>
        </w:rPr>
      </w:pPr>
      <w:r w:rsidRPr="008F035E">
        <w:rPr>
          <w:rFonts w:eastAsia="Times"/>
          <w:lang w:eastAsia="en-AU"/>
        </w:rPr>
        <w:t>The department is committed to measuring outcomes for all indicators set out in the Victorian budget papers. Candidate indicators and measures have been identified and provisionally mapped to this outcome, however, further work is needed to test and validate measures to ensure departmental initiatives and policies are reflected by the performance indicators. As the outcomes approaches in the department mature, reporting will be provided against outcome measures and will inform the reporting of performance indicators.</w:t>
      </w:r>
    </w:p>
    <w:p w14:paraId="7C18E5CD" w14:textId="77777777" w:rsidR="00814857" w:rsidRPr="00CA03B2" w:rsidRDefault="00814857" w:rsidP="00350E76">
      <w:pPr>
        <w:pStyle w:val="ARtablefootnote"/>
      </w:pPr>
      <w:r>
        <w:t>.</w:t>
      </w:r>
      <w:r w:rsidRPr="00657E8C">
        <w:br w:type="page"/>
      </w:r>
    </w:p>
    <w:p w14:paraId="6234ED0C" w14:textId="41BBBE0A" w:rsidR="00814857" w:rsidRPr="004B3CEB" w:rsidRDefault="00814857" w:rsidP="00350E76">
      <w:pPr>
        <w:pStyle w:val="Heading3"/>
      </w:pPr>
      <w:r w:rsidRPr="004B3CEB">
        <w:lastRenderedPageBreak/>
        <w:t xml:space="preserve">Objective 5: Victorian health and human services </w:t>
      </w:r>
      <w:r w:rsidR="00D325F4">
        <w:br/>
      </w:r>
      <w:r w:rsidRPr="004B3CEB">
        <w:t>are person-centred and</w:t>
      </w:r>
      <w:r w:rsidR="00D325F4">
        <w:t> </w:t>
      </w:r>
      <w:r w:rsidRPr="004B3CEB">
        <w:t>sustainable</w:t>
      </w:r>
    </w:p>
    <w:p w14:paraId="22C7B9DC" w14:textId="77777777" w:rsidR="00345066" w:rsidRDefault="00814857" w:rsidP="00350E76">
      <w:pPr>
        <w:pStyle w:val="ARintro"/>
        <w:rPr>
          <w:lang w:eastAsia="en-AU"/>
        </w:rPr>
      </w:pPr>
      <w:r w:rsidRPr="004B3CEB">
        <w:rPr>
          <w:lang w:eastAsia="en-AU"/>
        </w:rPr>
        <w:t>By definition, our services aim to improve the lives of people – meaning their safety, quality, efficiency and sustainability is paramount.</w:t>
      </w:r>
    </w:p>
    <w:p w14:paraId="0C0A3444" w14:textId="77777777" w:rsidR="00345066" w:rsidRDefault="00814857" w:rsidP="00350E76">
      <w:pPr>
        <w:pStyle w:val="ARintro"/>
        <w:rPr>
          <w:lang w:eastAsia="en-AU"/>
        </w:rPr>
      </w:pPr>
      <w:r w:rsidRPr="004B3CEB">
        <w:rPr>
          <w:lang w:eastAsia="en-AU"/>
        </w:rPr>
        <w:t>To achieve this, we must understand and respond to the diverse and evolving needs of patients, clients and victim survivors, supporting them to be partners in their care.</w:t>
      </w:r>
    </w:p>
    <w:p w14:paraId="61C60D1A" w14:textId="6331E424" w:rsidR="00814857" w:rsidRPr="004B3CEB" w:rsidRDefault="00814857" w:rsidP="00350E76">
      <w:pPr>
        <w:pStyle w:val="ARintro"/>
        <w:rPr>
          <w:lang w:eastAsia="en-AU"/>
        </w:rPr>
      </w:pPr>
      <w:r w:rsidRPr="004B3CEB">
        <w:rPr>
          <w:lang w:eastAsia="en-AU"/>
        </w:rPr>
        <w:t>Across the department, we put clients, patients, carers and families at the centre of the way we design and deliver our services. We are embracing person-centred solutions to healthcare issues, acknowledging the value of lived experience.</w:t>
      </w:r>
    </w:p>
    <w:p w14:paraId="05F18B8B" w14:textId="77777777" w:rsidR="00814857" w:rsidRPr="004B3CEB" w:rsidRDefault="00814857" w:rsidP="00350E76">
      <w:pPr>
        <w:pStyle w:val="ARintro"/>
        <w:rPr>
          <w:lang w:eastAsia="en-AU"/>
        </w:rPr>
      </w:pPr>
      <w:r w:rsidRPr="004B3CEB">
        <w:rPr>
          <w:lang w:eastAsia="en-AU"/>
        </w:rPr>
        <w:t>We are also embracing digital technologies to improve the way we measure performance. This is a game changer in our ability to support our delivery partners to continuously lift performance for the benefit of patients and clients.</w:t>
      </w:r>
    </w:p>
    <w:p w14:paraId="1E8318F5" w14:textId="77777777" w:rsidR="00814857" w:rsidRDefault="00814857" w:rsidP="00350E76">
      <w:pPr>
        <w:pStyle w:val="ARintro"/>
        <w:rPr>
          <w:lang w:eastAsia="en-AU"/>
        </w:rPr>
      </w:pPr>
      <w:r w:rsidRPr="004B3CEB">
        <w:rPr>
          <w:lang w:eastAsia="en-AU"/>
        </w:rPr>
        <w:t>Advances in how we link and analyse data are providing insights into population and behavioural trends, better positioning us to predict and plan for future demand. They also equip us to provide better information to clients and patients so they can make more informed choices about their care.</w:t>
      </w:r>
    </w:p>
    <w:p w14:paraId="26613118" w14:textId="77777777" w:rsidR="00814857" w:rsidRPr="004B3CEB" w:rsidRDefault="00814857" w:rsidP="00350E76">
      <w:pPr>
        <w:pStyle w:val="ARbody"/>
        <w:rPr>
          <w:lang w:eastAsia="en-AU"/>
        </w:rPr>
      </w:pPr>
    </w:p>
    <w:p w14:paraId="79A52122" w14:textId="77777777" w:rsidR="00814857" w:rsidRDefault="00814857" w:rsidP="00350E76">
      <w:pPr>
        <w:pStyle w:val="ARbody"/>
        <w:rPr>
          <w:lang w:eastAsia="en-AU"/>
        </w:rPr>
        <w:sectPr w:rsidR="00814857" w:rsidSect="00E34BA4">
          <w:endnotePr>
            <w:numFmt w:val="decimal"/>
          </w:endnotePr>
          <w:type w:val="continuous"/>
          <w:pgSz w:w="11900" w:h="16840" w:code="9"/>
          <w:pgMar w:top="1985" w:right="851" w:bottom="851" w:left="1418" w:header="510" w:footer="340" w:gutter="0"/>
          <w:cols w:space="454"/>
        </w:sectPr>
      </w:pPr>
    </w:p>
    <w:p w14:paraId="4EF51720" w14:textId="0438C017" w:rsidR="00814857" w:rsidRDefault="00814857" w:rsidP="00350E76">
      <w:pPr>
        <w:pStyle w:val="Heading4"/>
      </w:pPr>
      <w:r>
        <w:t>Outcome 5.1: Services are appropriate</w:t>
      </w:r>
      <w:r w:rsidR="00D325F4">
        <w:t> </w:t>
      </w:r>
      <w:r>
        <w:t>and accessible in the</w:t>
      </w:r>
      <w:r w:rsidR="00D325F4">
        <w:t> </w:t>
      </w:r>
      <w:r>
        <w:t>right</w:t>
      </w:r>
      <w:r w:rsidR="00D325F4">
        <w:t> </w:t>
      </w:r>
      <w:r>
        <w:t>place, at the right time</w:t>
      </w:r>
    </w:p>
    <w:p w14:paraId="2B85178B" w14:textId="49F123E8" w:rsidR="00814857" w:rsidRDefault="00814857" w:rsidP="00350E76">
      <w:pPr>
        <w:pStyle w:val="ARbody"/>
      </w:pPr>
      <w:r>
        <w:t>Statewide service and infrastructure planning focuses on improving access to services when and</w:t>
      </w:r>
      <w:r w:rsidR="00D325F4">
        <w:t> </w:t>
      </w:r>
      <w:r>
        <w:t>where they are needed. Access is enabled by health and human services that respond in a timely way and are convenient, easy to navigate, culturally safe and responsive to diversity.</w:t>
      </w:r>
    </w:p>
    <w:p w14:paraId="2BE4FF12" w14:textId="77777777" w:rsidR="00814857" w:rsidRDefault="00814857" w:rsidP="00037F82">
      <w:pPr>
        <w:pStyle w:val="Heading5smaller"/>
      </w:pPr>
      <w:r>
        <w:t>Victoria’s first culturally safe Aboriginal maternal and child health services</w:t>
      </w:r>
    </w:p>
    <w:p w14:paraId="1E6FF7BC" w14:textId="3FCF2E7E" w:rsidR="00345066" w:rsidRDefault="00814857" w:rsidP="00A85B57">
      <w:pPr>
        <w:pStyle w:val="ARbody"/>
        <w:spacing w:after="80"/>
      </w:pPr>
      <w:r>
        <w:t>The Aboriginal Maternal and Child Health Initiative (AMCHI) was trialled successfully at nine sites and</w:t>
      </w:r>
      <w:r w:rsidR="00D325F4">
        <w:t> </w:t>
      </w:r>
      <w:r>
        <w:t>was expanded in 2018. The trial resulted in Aboriginal families re-engaging with the Maternal and Child Health (MCH) service. An evaluation of the trial found that the flexibility of the AMCHI service model allowed place-based approaches for service delivery, was tailored to the needs of the local Aboriginal community and built relationships to promote greater coordination across services.</w:t>
      </w:r>
    </w:p>
    <w:p w14:paraId="0608B461" w14:textId="55CDE934" w:rsidR="00814857" w:rsidRDefault="00814857" w:rsidP="00A85B57">
      <w:pPr>
        <w:pStyle w:val="ARbody"/>
        <w:spacing w:after="80"/>
      </w:pPr>
      <w:r>
        <w:t>The involvement of Aboriginal staff in the delivery of</w:t>
      </w:r>
      <w:r w:rsidR="00D325F4">
        <w:t> </w:t>
      </w:r>
      <w:r>
        <w:t>services was crucial to providing families with a</w:t>
      </w:r>
      <w:r w:rsidR="00D325F4">
        <w:t> </w:t>
      </w:r>
      <w:r>
        <w:t>choice and acting as cultural mentors for non-Aboriginal staff. This promoted stronger relationships between the MCH provider and the</w:t>
      </w:r>
      <w:r w:rsidR="00D325F4">
        <w:t> </w:t>
      </w:r>
      <w:r>
        <w:t>local Aboriginal community.</w:t>
      </w:r>
    </w:p>
    <w:p w14:paraId="16FCAE81" w14:textId="77777777" w:rsidR="00814857" w:rsidRPr="00EC2566" w:rsidRDefault="00814857" w:rsidP="00A85B57">
      <w:pPr>
        <w:pStyle w:val="ARbody"/>
      </w:pPr>
      <w:r>
        <w:t xml:space="preserve">Feedback also indicates that other success factors included maternal and child health nurses meeting families in the antenatal period at the Koori Maternity Service, developing resources that </w:t>
      </w:r>
      <w:r>
        <w:t>included local families, and delivering consultations in non-traditional settings such as playgroups and shopping centres.</w:t>
      </w:r>
    </w:p>
    <w:p w14:paraId="76BF465A" w14:textId="40F5AB76" w:rsidR="00814857" w:rsidRPr="007E26D9" w:rsidRDefault="00814857" w:rsidP="00037F82">
      <w:pPr>
        <w:pStyle w:val="Heading5smaller"/>
      </w:pPr>
      <w:r>
        <w:rPr>
          <w:rFonts w:eastAsia="Times"/>
        </w:rPr>
        <w:t>Implementing recommendations from the</w:t>
      </w:r>
      <w:r w:rsidR="00D325F4">
        <w:rPr>
          <w:rFonts w:eastAsia="Times"/>
        </w:rPr>
        <w:t> </w:t>
      </w:r>
      <w:r w:rsidRPr="0017581C">
        <w:rPr>
          <w:rFonts w:eastAsia="Times"/>
        </w:rPr>
        <w:t xml:space="preserve">palliative </w:t>
      </w:r>
      <w:r>
        <w:rPr>
          <w:rFonts w:eastAsia="Times"/>
        </w:rPr>
        <w:t>c</w:t>
      </w:r>
      <w:r w:rsidRPr="0017581C">
        <w:rPr>
          <w:rFonts w:eastAsia="Times"/>
        </w:rPr>
        <w:t xml:space="preserve">are </w:t>
      </w:r>
      <w:r>
        <w:rPr>
          <w:rFonts w:eastAsia="Times"/>
        </w:rPr>
        <w:t>funding</w:t>
      </w:r>
      <w:r w:rsidRPr="0017581C">
        <w:rPr>
          <w:rFonts w:eastAsia="Times"/>
        </w:rPr>
        <w:t xml:space="preserve"> model </w:t>
      </w:r>
      <w:r>
        <w:rPr>
          <w:rFonts w:eastAsia="Times"/>
        </w:rPr>
        <w:t>re</w:t>
      </w:r>
      <w:r w:rsidRPr="0017581C">
        <w:rPr>
          <w:rFonts w:eastAsia="Times"/>
        </w:rPr>
        <w:t>view</w:t>
      </w:r>
    </w:p>
    <w:p w14:paraId="62A66C7F" w14:textId="695E604E" w:rsidR="00345066" w:rsidRDefault="00814857" w:rsidP="00A85B57">
      <w:pPr>
        <w:pStyle w:val="ARbody"/>
        <w:spacing w:after="80"/>
      </w:pPr>
      <w:r w:rsidRPr="004D63E8">
        <w:t>November 2018 saw the start of</w:t>
      </w:r>
      <w:r>
        <w:t xml:space="preserve"> the</w:t>
      </w:r>
      <w:r w:rsidRPr="004D63E8">
        <w:t xml:space="preserve"> implementation of the </w:t>
      </w:r>
      <w:r w:rsidR="009622B7">
        <w:t>e</w:t>
      </w:r>
      <w:r w:rsidRPr="004D63E8">
        <w:t xml:space="preserve">xpert </w:t>
      </w:r>
      <w:r w:rsidR="009622B7">
        <w:t>p</w:t>
      </w:r>
      <w:r w:rsidRPr="004D63E8">
        <w:t xml:space="preserve">anel’s recommendations from the Palliative Care Funding Model Review (2018). Investment in improving access to home-based palliative care resulted in a </w:t>
      </w:r>
      <w:r w:rsidR="009622B7">
        <w:t>three</w:t>
      </w:r>
      <w:r w:rsidR="009622B7" w:rsidRPr="004D63E8">
        <w:t xml:space="preserve"> </w:t>
      </w:r>
      <w:r w:rsidRPr="004D63E8">
        <w:t>per cent growth in</w:t>
      </w:r>
      <w:r w:rsidR="00EF2D34">
        <w:t> </w:t>
      </w:r>
      <w:r w:rsidRPr="004D63E8">
        <w:t>referrals to community palliative care providers. Additional palliative care beds were introduced in</w:t>
      </w:r>
      <w:r w:rsidR="00D325F4">
        <w:t> </w:t>
      </w:r>
      <w:r w:rsidRPr="004D63E8">
        <w:t>February 2019, which enabled more people to</w:t>
      </w:r>
      <w:r w:rsidR="00D325F4">
        <w:t> </w:t>
      </w:r>
      <w:r w:rsidRPr="004D63E8">
        <w:t>receive acute-based palliative care. The department also introduced a specified grant to support metropolitan health services to develop a</w:t>
      </w:r>
      <w:r w:rsidR="00EF2D34">
        <w:t> </w:t>
      </w:r>
      <w:r w:rsidRPr="004D63E8">
        <w:t>community outreach component of their hospital palliative care consultancy service.</w:t>
      </w:r>
    </w:p>
    <w:p w14:paraId="19EF7656" w14:textId="77777777" w:rsidR="00345066" w:rsidRDefault="00814857" w:rsidP="00037F82">
      <w:pPr>
        <w:pStyle w:val="Heading5smaller"/>
        <w:rPr>
          <w:rFonts w:eastAsia="Times"/>
        </w:rPr>
      </w:pPr>
      <w:r w:rsidRPr="007E26D9">
        <w:rPr>
          <w:rFonts w:eastAsia="Times"/>
        </w:rPr>
        <w:t>Record ambulance response times</w:t>
      </w:r>
    </w:p>
    <w:p w14:paraId="673AD0DD" w14:textId="259D2DB6" w:rsidR="00814857" w:rsidRPr="004D63E8" w:rsidRDefault="00814857" w:rsidP="00A85B57">
      <w:pPr>
        <w:pStyle w:val="ARbody"/>
        <w:spacing w:after="80"/>
      </w:pPr>
      <w:r w:rsidRPr="004D63E8">
        <w:t>During the year, ambulance response measures reached a historic peak, building on improving performance measures recorded over the past several years.</w:t>
      </w:r>
    </w:p>
    <w:p w14:paraId="7351EC10" w14:textId="2E222D05" w:rsidR="00345066" w:rsidRDefault="00814857" w:rsidP="00A85B57">
      <w:pPr>
        <w:pStyle w:val="ARbody"/>
        <w:spacing w:after="80"/>
      </w:pPr>
      <w:r w:rsidRPr="004D63E8">
        <w:t>The most urgent situations, classified as Code 1 emergencies, receive the greatest focus – and in</w:t>
      </w:r>
      <w:r w:rsidR="00EF2D34">
        <w:t> </w:t>
      </w:r>
      <w:r w:rsidRPr="004D63E8">
        <w:t>2018–19, 83.9 per cent of Code 1 emergency patients were seen within 15 minutes. This represents a response improvement of 2.1</w:t>
      </w:r>
      <w:r w:rsidR="00D325F4">
        <w:t> </w:t>
      </w:r>
      <w:r w:rsidRPr="004D63E8">
        <w:t>per</w:t>
      </w:r>
      <w:r w:rsidR="00D325F4">
        <w:t> </w:t>
      </w:r>
      <w:r w:rsidRPr="004D63E8">
        <w:t>cent</w:t>
      </w:r>
      <w:r w:rsidR="00D325F4">
        <w:t> </w:t>
      </w:r>
      <w:r w:rsidRPr="004D63E8">
        <w:t>since 2017–18.</w:t>
      </w:r>
    </w:p>
    <w:p w14:paraId="00E51EBE" w14:textId="77777777" w:rsidR="00D325F4" w:rsidRDefault="00D325F4" w:rsidP="00A85B57">
      <w:pPr>
        <w:pStyle w:val="ARbody"/>
        <w:spacing w:after="80"/>
      </w:pPr>
      <w:r>
        <w:br w:type="page"/>
      </w:r>
    </w:p>
    <w:p w14:paraId="7A5CD6BC" w14:textId="7191C951" w:rsidR="00814857" w:rsidRPr="004D63E8" w:rsidRDefault="00814857" w:rsidP="00A85B57">
      <w:pPr>
        <w:pStyle w:val="ARbody"/>
        <w:spacing w:after="80"/>
      </w:pPr>
      <w:r w:rsidRPr="004D63E8">
        <w:lastRenderedPageBreak/>
        <w:t>Patients suffering time</w:t>
      </w:r>
      <w:r>
        <w:t>-</w:t>
      </w:r>
      <w:r w:rsidRPr="004D63E8">
        <w:t>critical conditions are</w:t>
      </w:r>
      <w:r w:rsidR="00D325F4">
        <w:t> </w:t>
      </w:r>
      <w:r w:rsidRPr="004D63E8">
        <w:t>experiencing improved outcomes:</w:t>
      </w:r>
    </w:p>
    <w:p w14:paraId="56A6F6A3" w14:textId="257B30B8" w:rsidR="00814857" w:rsidRPr="004D63E8" w:rsidRDefault="00814857" w:rsidP="00350E76">
      <w:pPr>
        <w:pStyle w:val="ARbody"/>
        <w:numPr>
          <w:ilvl w:val="0"/>
          <w:numId w:val="22"/>
        </w:numPr>
      </w:pPr>
      <w:r w:rsidRPr="004D63E8">
        <w:t>97.1 per cent of adults experiencing stroke in</w:t>
      </w:r>
      <w:r w:rsidR="00D325F4">
        <w:t> </w:t>
      </w:r>
      <w:r w:rsidRPr="004D63E8">
        <w:t>2018–19 were transported to appropriate care</w:t>
      </w:r>
      <w:r w:rsidR="00D325F4">
        <w:t> </w:t>
      </w:r>
      <w:r w:rsidRPr="004D63E8">
        <w:t>within 60 minutes</w:t>
      </w:r>
    </w:p>
    <w:p w14:paraId="5E50AD4B" w14:textId="77777777" w:rsidR="00814857" w:rsidRPr="004D63E8" w:rsidRDefault="00814857" w:rsidP="00350E76">
      <w:pPr>
        <w:pStyle w:val="ARbody"/>
        <w:numPr>
          <w:ilvl w:val="0"/>
          <w:numId w:val="22"/>
        </w:numPr>
      </w:pPr>
      <w:r w:rsidRPr="004D63E8">
        <w:t>50.7 per cent of adults experiencing cardiac arrest survived to hospital in 2018–19.</w:t>
      </w:r>
    </w:p>
    <w:p w14:paraId="58150D88" w14:textId="77777777" w:rsidR="00814857" w:rsidRDefault="00814857" w:rsidP="00A85B57">
      <w:pPr>
        <w:pStyle w:val="ARbody"/>
        <w:spacing w:after="80"/>
      </w:pPr>
      <w:r w:rsidRPr="004D63E8">
        <w:t>These improvements have been achieved despite significant increases in demand. In 2018–19, Ambulance Victoria experienced its busiest year ever, with a record 732,714 Triple Zero calls – an increase of 5.3 per cent on the previous year.</w:t>
      </w:r>
    </w:p>
    <w:p w14:paraId="3AB4FAD7" w14:textId="77777777" w:rsidR="00814857" w:rsidRDefault="00814857" w:rsidP="00037F82">
      <w:pPr>
        <w:pStyle w:val="Heading5smaller"/>
      </w:pPr>
      <w:bookmarkStart w:id="39" w:name="_Hlk20756545"/>
      <w:r w:rsidRPr="002F250F">
        <w:t>Reduced elective surgery waiting times</w:t>
      </w:r>
    </w:p>
    <w:bookmarkEnd w:id="39"/>
    <w:p w14:paraId="4C07DB2D" w14:textId="28773DB7" w:rsidR="00814857" w:rsidRDefault="00814857" w:rsidP="00D325F4">
      <w:pPr>
        <w:pStyle w:val="ARbody"/>
      </w:pPr>
      <w:r w:rsidRPr="00371D3A">
        <w:t>Victoria’s elective surgery patients are now getting seen sooner than ever before. The median time to</w:t>
      </w:r>
      <w:r w:rsidR="00D325F4">
        <w:t> </w:t>
      </w:r>
      <w:r w:rsidRPr="00371D3A">
        <w:t>treatment for all elective surgery patients has improved, reducing to 28 days, this means patients are waiting less time to</w:t>
      </w:r>
      <w:r w:rsidRPr="007775EC">
        <w:t xml:space="preserve"> be treated despite significant population growth.</w:t>
      </w:r>
    </w:p>
    <w:p w14:paraId="64703BB7" w14:textId="4017AFE2" w:rsidR="00814857" w:rsidRDefault="00814857" w:rsidP="00350E76">
      <w:pPr>
        <w:pStyle w:val="Heading4"/>
      </w:pPr>
      <w:r>
        <w:t>Outcome 5.2: Services are inclusive and respond to choice, culture, identity,</w:t>
      </w:r>
      <w:r w:rsidR="00D325F4">
        <w:t> </w:t>
      </w:r>
      <w:r>
        <w:t>circumstances and goals</w:t>
      </w:r>
    </w:p>
    <w:p w14:paraId="40AFCAAD" w14:textId="2ADF653B" w:rsidR="00814857" w:rsidRDefault="00814857" w:rsidP="00A85B57">
      <w:pPr>
        <w:pStyle w:val="ARbody"/>
        <w:spacing w:after="80"/>
      </w:pPr>
      <w:r>
        <w:t>Through this report, we describe many examples of</w:t>
      </w:r>
      <w:r w:rsidR="00D325F4">
        <w:t> </w:t>
      </w:r>
      <w:r>
        <w:t>how we have embedded the department’s diversity by design framework in policy and service development</w:t>
      </w:r>
      <w:r w:rsidR="009622B7">
        <w:t>;</w:t>
      </w:r>
      <w:r>
        <w:t xml:space="preserve"> new approaches to maximising consumer engagement and participation</w:t>
      </w:r>
      <w:r w:rsidR="009622B7">
        <w:t>;</w:t>
      </w:r>
      <w:r>
        <w:t xml:space="preserve"> and commitments to support cultural connections and</w:t>
      </w:r>
      <w:r w:rsidR="00D325F4">
        <w:t> </w:t>
      </w:r>
      <w:r>
        <w:t>advance self-determination.</w:t>
      </w:r>
    </w:p>
    <w:p w14:paraId="32FF179B" w14:textId="3C081F8B" w:rsidR="00814857" w:rsidRPr="002C4050" w:rsidRDefault="00814857" w:rsidP="00A85B57">
      <w:pPr>
        <w:pStyle w:val="ARbody"/>
        <w:spacing w:after="80"/>
      </w:pPr>
      <w:r>
        <w:t>Specific priorities for the past 12 months have included implementation of the new voluntary assisted dying model, increasing client voice in policy and service development, and supporting participants, families and our disability workforce through the transition to the National Disability Insurance Scheme.</w:t>
      </w:r>
    </w:p>
    <w:p w14:paraId="7F395718" w14:textId="65DD2DFB" w:rsidR="00814857" w:rsidRPr="0017581C" w:rsidRDefault="00814857" w:rsidP="00037F82">
      <w:pPr>
        <w:pStyle w:val="Heading5smaller"/>
      </w:pPr>
      <w:r w:rsidRPr="007E26D9">
        <w:rPr>
          <w:rFonts w:eastAsia="Times"/>
        </w:rPr>
        <w:t xml:space="preserve">Voluntary assisted dying </w:t>
      </w:r>
      <w:r>
        <w:rPr>
          <w:rFonts w:eastAsia="Times"/>
        </w:rPr>
        <w:t>laws giving</w:t>
      </w:r>
      <w:r w:rsidR="00D325F4">
        <w:rPr>
          <w:rFonts w:eastAsia="Times"/>
        </w:rPr>
        <w:t> </w:t>
      </w:r>
      <w:r>
        <w:rPr>
          <w:rFonts w:eastAsia="Times"/>
        </w:rPr>
        <w:t>choice</w:t>
      </w:r>
      <w:r w:rsidR="00D325F4">
        <w:rPr>
          <w:rFonts w:eastAsia="Times"/>
        </w:rPr>
        <w:t> </w:t>
      </w:r>
      <w:r>
        <w:rPr>
          <w:rFonts w:eastAsia="Times"/>
        </w:rPr>
        <w:t>to</w:t>
      </w:r>
      <w:r w:rsidR="00D325F4">
        <w:rPr>
          <w:rFonts w:eastAsia="Times"/>
        </w:rPr>
        <w:t> </w:t>
      </w:r>
      <w:r>
        <w:rPr>
          <w:rFonts w:eastAsia="Times"/>
        </w:rPr>
        <w:t>Victorians</w:t>
      </w:r>
    </w:p>
    <w:p w14:paraId="55CF1FFD" w14:textId="54698B45" w:rsidR="00814857" w:rsidRPr="004D63E8" w:rsidRDefault="00814857" w:rsidP="00A85B57">
      <w:pPr>
        <w:pStyle w:val="ARbody"/>
        <w:spacing w:after="80"/>
      </w:pPr>
      <w:r w:rsidRPr="004D63E8">
        <w:t xml:space="preserve">The passage of the historic </w:t>
      </w:r>
      <w:r w:rsidRPr="004D63E8">
        <w:rPr>
          <w:i/>
        </w:rPr>
        <w:t>Voluntary Assisted Dying Act 2017</w:t>
      </w:r>
      <w:r w:rsidRPr="004D63E8">
        <w:t xml:space="preserve"> made way for the implementation of</w:t>
      </w:r>
      <w:r w:rsidR="00D325F4">
        <w:t> </w:t>
      </w:r>
      <w:r w:rsidRPr="004D63E8">
        <w:t>the state’s model for voluntary assisted dying, which commenced on 19 June 2019.</w:t>
      </w:r>
    </w:p>
    <w:p w14:paraId="060B18E3" w14:textId="77777777" w:rsidR="00814857" w:rsidRPr="004D63E8" w:rsidRDefault="00814857" w:rsidP="00A85B57">
      <w:pPr>
        <w:pStyle w:val="ARbody"/>
        <w:spacing w:after="80"/>
      </w:pPr>
      <w:r w:rsidRPr="004D63E8">
        <w:t>For the small number of Victorians who are facing the end of their life, the model provides a genuine and compassionate additional choice about the manner and timing of their death.</w:t>
      </w:r>
    </w:p>
    <w:p w14:paraId="72C6661F" w14:textId="7010B97E" w:rsidR="00814857" w:rsidRPr="004D63E8" w:rsidRDefault="00D325F4" w:rsidP="00A85B57">
      <w:pPr>
        <w:pStyle w:val="ARbody"/>
        <w:spacing w:after="80"/>
      </w:pPr>
      <w:r>
        <w:br w:type="column"/>
      </w:r>
      <w:r w:rsidR="00814857" w:rsidRPr="004D63E8">
        <w:t xml:space="preserve">The Victorian model for voluntary assisted dying is working – we know that </w:t>
      </w:r>
      <w:r w:rsidR="00814857">
        <w:t xml:space="preserve">patients are talking to their </w:t>
      </w:r>
      <w:r w:rsidR="00814857" w:rsidRPr="004D63E8">
        <w:t xml:space="preserve">doctors about voluntary assisted dying and </w:t>
      </w:r>
      <w:r w:rsidR="00814857">
        <w:t xml:space="preserve">doctors </w:t>
      </w:r>
      <w:r w:rsidR="00814857" w:rsidRPr="004D63E8">
        <w:t>are carrying out assessments.</w:t>
      </w:r>
    </w:p>
    <w:p w14:paraId="4048B32A" w14:textId="0E19E430" w:rsidR="00814857" w:rsidRDefault="00814857" w:rsidP="00A85B57">
      <w:pPr>
        <w:pStyle w:val="ARbody"/>
        <w:spacing w:after="80"/>
      </w:pPr>
      <w:r>
        <w:t>We have established t</w:t>
      </w:r>
      <w:r w:rsidRPr="004D63E8">
        <w:t>wo support services, the</w:t>
      </w:r>
      <w:r w:rsidR="00D325F4">
        <w:t> </w:t>
      </w:r>
      <w:r w:rsidRPr="004D63E8">
        <w:t>Statewide Pharmacy Service and the Care Navigator Service. Both are assisting individuals, their carers, their families and their medical treating teams by providing information about, or access to, voluntary assisted dying.</w:t>
      </w:r>
    </w:p>
    <w:p w14:paraId="400E2E7F" w14:textId="32B2C61E" w:rsidR="00814857" w:rsidRPr="00657E8C" w:rsidRDefault="00814857" w:rsidP="00037F82">
      <w:pPr>
        <w:pStyle w:val="Heading5smaller"/>
      </w:pPr>
      <w:r w:rsidRPr="00657E8C">
        <w:t>Improving health outcomes by involving</w:t>
      </w:r>
      <w:r w:rsidR="00D325F4">
        <w:rPr>
          <w:lang w:val="en-US"/>
        </w:rPr>
        <w:t> </w:t>
      </w:r>
      <w:r w:rsidRPr="00657E8C">
        <w:t>patients, families and carers</w:t>
      </w:r>
    </w:p>
    <w:p w14:paraId="4FA32FE0" w14:textId="078A786A" w:rsidR="00345066" w:rsidRDefault="00814857" w:rsidP="00A85B57">
      <w:pPr>
        <w:pStyle w:val="ARbody"/>
        <w:spacing w:after="80"/>
        <w:rPr>
          <w:lang w:eastAsia="en-AU"/>
        </w:rPr>
      </w:pPr>
      <w:r w:rsidRPr="00657E8C">
        <w:rPr>
          <w:lang w:eastAsia="en-AU"/>
        </w:rPr>
        <w:t>More Victorians are able to participate in and engage with their care following the release of the</w:t>
      </w:r>
      <w:r w:rsidR="00D325F4">
        <w:rPr>
          <w:lang w:eastAsia="en-AU"/>
        </w:rPr>
        <w:t> </w:t>
      </w:r>
      <w:r w:rsidRPr="00657E8C">
        <w:rPr>
          <w:lang w:eastAsia="en-AU"/>
        </w:rPr>
        <w:t xml:space="preserve">new </w:t>
      </w:r>
      <w:r w:rsidRPr="008F035E">
        <w:rPr>
          <w:i/>
          <w:iCs/>
          <w:lang w:eastAsia="en-AU"/>
        </w:rPr>
        <w:t xml:space="preserve">Partnering in </w:t>
      </w:r>
      <w:r>
        <w:rPr>
          <w:i/>
          <w:iCs/>
          <w:lang w:eastAsia="en-AU"/>
        </w:rPr>
        <w:t>h</w:t>
      </w:r>
      <w:r w:rsidRPr="008F035E">
        <w:rPr>
          <w:i/>
          <w:iCs/>
          <w:lang w:eastAsia="en-AU"/>
        </w:rPr>
        <w:t>ealthcare framework</w:t>
      </w:r>
      <w:r w:rsidRPr="00657E8C">
        <w:rPr>
          <w:lang w:eastAsia="en-AU"/>
        </w:rPr>
        <w:t xml:space="preserve"> in February 2019.</w:t>
      </w:r>
    </w:p>
    <w:p w14:paraId="43F7DE01" w14:textId="28DA094A" w:rsidR="00814857" w:rsidRPr="00657E8C" w:rsidRDefault="00814857" w:rsidP="00A85B57">
      <w:pPr>
        <w:pStyle w:val="ARbody"/>
        <w:spacing w:after="80"/>
        <w:rPr>
          <w:lang w:eastAsia="en-AU"/>
        </w:rPr>
      </w:pPr>
      <w:r w:rsidRPr="00657E8C">
        <w:rPr>
          <w:lang w:eastAsia="en-AU"/>
        </w:rPr>
        <w:t>The framework provides practical strategies on partnering with patients and their families and carers. It responds to evidence that patients have better health outcomes when they play an active role in their care.</w:t>
      </w:r>
    </w:p>
    <w:p w14:paraId="74360CA7" w14:textId="77777777" w:rsidR="00345066" w:rsidRDefault="00814857" w:rsidP="00A85B57">
      <w:pPr>
        <w:pStyle w:val="ARbody"/>
        <w:spacing w:after="80"/>
        <w:rPr>
          <w:lang w:eastAsia="en-AU"/>
        </w:rPr>
      </w:pPr>
      <w:r w:rsidRPr="00657E8C">
        <w:rPr>
          <w:lang w:eastAsia="en-AU"/>
        </w:rPr>
        <w:t xml:space="preserve">The </w:t>
      </w:r>
      <w:r w:rsidRPr="008F035E">
        <w:rPr>
          <w:iCs/>
          <w:lang w:eastAsia="en-AU"/>
        </w:rPr>
        <w:t>framework</w:t>
      </w:r>
      <w:r w:rsidRPr="00657E8C">
        <w:rPr>
          <w:lang w:eastAsia="en-AU"/>
        </w:rPr>
        <w:t xml:space="preserve"> is the result of two years of research and consultation that reached more than 180,000 people.</w:t>
      </w:r>
      <w:r>
        <w:rPr>
          <w:lang w:eastAsia="en-AU"/>
        </w:rPr>
        <w:t xml:space="preserve"> </w:t>
      </w:r>
      <w:r w:rsidRPr="00657E8C">
        <w:rPr>
          <w:lang w:eastAsia="en-AU"/>
        </w:rPr>
        <w:t>Implementation is underway in Victorian public health services, and reach and application</w:t>
      </w:r>
      <w:r>
        <w:rPr>
          <w:lang w:eastAsia="en-AU"/>
        </w:rPr>
        <w:t xml:space="preserve"> of the framework</w:t>
      </w:r>
      <w:r w:rsidRPr="00657E8C">
        <w:rPr>
          <w:lang w:eastAsia="en-AU"/>
        </w:rPr>
        <w:t xml:space="preserve"> has extended into other areas of healthcare and community services reform</w:t>
      </w:r>
      <w:r>
        <w:rPr>
          <w:lang w:eastAsia="en-AU"/>
        </w:rPr>
        <w:t>,</w:t>
      </w:r>
      <w:r w:rsidRPr="00657E8C">
        <w:rPr>
          <w:lang w:eastAsia="en-AU"/>
        </w:rPr>
        <w:t xml:space="preserve"> including aged care, family safety initiatives and human services.</w:t>
      </w:r>
    </w:p>
    <w:p w14:paraId="5B6229C9" w14:textId="427095F7" w:rsidR="00814857" w:rsidRPr="00657E8C" w:rsidRDefault="00814857" w:rsidP="00A85B57">
      <w:pPr>
        <w:pStyle w:val="ARbody"/>
        <w:spacing w:after="80"/>
        <w:rPr>
          <w:lang w:eastAsia="en-AU"/>
        </w:rPr>
      </w:pPr>
      <w:r>
        <w:rPr>
          <w:lang w:eastAsia="en-AU"/>
        </w:rPr>
        <w:t xml:space="preserve">Safer Care Victoria is also progressing other consumer participation initiatives that have been recognised by </w:t>
      </w:r>
      <w:r w:rsidRPr="00657E8C">
        <w:rPr>
          <w:lang w:eastAsia="en-AU"/>
        </w:rPr>
        <w:t>Consumers Health Forum Australia.</w:t>
      </w:r>
    </w:p>
    <w:p w14:paraId="35CEFB1A" w14:textId="61398BC3" w:rsidR="00345066" w:rsidRDefault="00814857" w:rsidP="00A85B57">
      <w:pPr>
        <w:pStyle w:val="ARbody"/>
        <w:spacing w:after="80"/>
        <w:rPr>
          <w:lang w:eastAsia="en-AU"/>
        </w:rPr>
      </w:pPr>
      <w:r>
        <w:rPr>
          <w:lang w:eastAsia="en-AU"/>
        </w:rPr>
        <w:t xml:space="preserve">Safer Care Victoria </w:t>
      </w:r>
      <w:r w:rsidRPr="00657E8C">
        <w:rPr>
          <w:lang w:eastAsia="en-AU"/>
        </w:rPr>
        <w:t>has recruited more than 50</w:t>
      </w:r>
      <w:r>
        <w:rPr>
          <w:lang w:eastAsia="en-AU"/>
        </w:rPr>
        <w:t> </w:t>
      </w:r>
      <w:r w:rsidRPr="00657E8C">
        <w:rPr>
          <w:lang w:eastAsia="en-AU"/>
        </w:rPr>
        <w:t>consumer representatives as employees, consultants, and members of councils, committees and working groups, and sponsored 125</w:t>
      </w:r>
      <w:r>
        <w:rPr>
          <w:lang w:eastAsia="en-AU"/>
        </w:rPr>
        <w:t> </w:t>
      </w:r>
      <w:r w:rsidRPr="00657E8C">
        <w:rPr>
          <w:lang w:eastAsia="en-AU"/>
        </w:rPr>
        <w:t>consumers to attend conferences to provide</w:t>
      </w:r>
      <w:r w:rsidR="00D325F4">
        <w:rPr>
          <w:lang w:eastAsia="en-AU"/>
        </w:rPr>
        <w:t> </w:t>
      </w:r>
      <w:r w:rsidRPr="00657E8C">
        <w:rPr>
          <w:lang w:eastAsia="en-AU"/>
        </w:rPr>
        <w:t>patients’ perspectives.</w:t>
      </w:r>
    </w:p>
    <w:p w14:paraId="2BEAFBD5" w14:textId="58906065" w:rsidR="00814857" w:rsidRDefault="00814857" w:rsidP="00037F82">
      <w:pPr>
        <w:pStyle w:val="Heading5smaller"/>
      </w:pPr>
      <w:r>
        <w:t>Enhancing the client voice through consultation</w:t>
      </w:r>
    </w:p>
    <w:p w14:paraId="70CBF75D" w14:textId="77777777" w:rsidR="00814857" w:rsidRDefault="00814857" w:rsidP="00A85B57">
      <w:pPr>
        <w:pStyle w:val="ARbody"/>
        <w:spacing w:after="80"/>
      </w:pPr>
      <w:r>
        <w:t>During the year, a client voice framework for community services was developed with input from Family Safety Victoria, Safer Care Victoria, funded community service organisations, internal stakeholders and clients.</w:t>
      </w:r>
    </w:p>
    <w:p w14:paraId="5BDD9495" w14:textId="77777777" w:rsidR="00814857" w:rsidRDefault="00814857" w:rsidP="00A85B57">
      <w:pPr>
        <w:pStyle w:val="ARbody"/>
        <w:spacing w:after="80"/>
      </w:pPr>
      <w:r>
        <w:t xml:space="preserve">This process established links with a broader range of sector </w:t>
      </w:r>
      <w:r>
        <w:rPr>
          <w:lang w:eastAsia="en-AU"/>
        </w:rPr>
        <w:t>groups</w:t>
      </w:r>
      <w:r>
        <w:t>, including the Quality Learning Circle (Centre for Excellence in Child and Family Welfare) and the Consumer Participation Practice Network.</w:t>
      </w:r>
    </w:p>
    <w:p w14:paraId="3FC0DF0C" w14:textId="77777777" w:rsidR="00345066" w:rsidRDefault="00814857" w:rsidP="00A85B57">
      <w:pPr>
        <w:pStyle w:val="ARbody"/>
        <w:spacing w:after="80"/>
      </w:pPr>
      <w:r>
        <w:lastRenderedPageBreak/>
        <w:t xml:space="preserve">More than 600 representatives of funded community organisations viewed the Engage Victoria client </w:t>
      </w:r>
      <w:r>
        <w:rPr>
          <w:lang w:eastAsia="en-AU"/>
        </w:rPr>
        <w:t>voice</w:t>
      </w:r>
      <w:r>
        <w:t xml:space="preserve"> framework site, and more than 150 completed the engagement questionnaire.</w:t>
      </w:r>
    </w:p>
    <w:p w14:paraId="55A1E936" w14:textId="6083EA50" w:rsidR="00814857" w:rsidRDefault="00814857" w:rsidP="00A85B57">
      <w:pPr>
        <w:pStyle w:val="ARbody"/>
        <w:spacing w:after="80"/>
      </w:pPr>
      <w:r>
        <w:t xml:space="preserve">During 2018–19, the Victim Survivors’ Advisory Council informed the development of the </w:t>
      </w:r>
      <w:r w:rsidRPr="003379B6">
        <w:t xml:space="preserve">Multi-Agency </w:t>
      </w:r>
      <w:r w:rsidRPr="003379B6">
        <w:rPr>
          <w:lang w:eastAsia="en-AU"/>
        </w:rPr>
        <w:t>Risk</w:t>
      </w:r>
      <w:r w:rsidRPr="003379B6">
        <w:t xml:space="preserve"> Assessment and Management </w:t>
      </w:r>
      <w:r>
        <w:t>(MARAM) practice guidance, The Orange Door Client Partnership Strategy and the Victoria Police Family Violence Prevention Strategy, among other initiatives.</w:t>
      </w:r>
    </w:p>
    <w:p w14:paraId="6E485047" w14:textId="3E9AF560" w:rsidR="00345066" w:rsidRDefault="00814857" w:rsidP="00037F82">
      <w:pPr>
        <w:pStyle w:val="Heading5smaller"/>
      </w:pPr>
      <w:bookmarkStart w:id="40" w:name="_Hlk19878564"/>
      <w:bookmarkStart w:id="41" w:name="_Hlk19878621"/>
      <w:r w:rsidRPr="00657E8C">
        <w:t>Successful transition to the National Disability</w:t>
      </w:r>
      <w:r w:rsidR="00D325F4">
        <w:rPr>
          <w:lang w:val="en-US"/>
        </w:rPr>
        <w:t> </w:t>
      </w:r>
      <w:r w:rsidRPr="00657E8C">
        <w:t>Insurance Scheme</w:t>
      </w:r>
    </w:p>
    <w:bookmarkEnd w:id="40"/>
    <w:p w14:paraId="285D26EC" w14:textId="2B231F94" w:rsidR="00814857" w:rsidRDefault="00814857" w:rsidP="00350E76">
      <w:pPr>
        <w:pStyle w:val="ARbody"/>
        <w:rPr>
          <w:lang w:eastAsia="en-AU"/>
        </w:rPr>
      </w:pPr>
      <w:r>
        <w:rPr>
          <w:lang w:eastAsia="en-AU"/>
        </w:rPr>
        <w:t xml:space="preserve">A key focus of 2018–19 was the transition to the </w:t>
      </w:r>
      <w:r w:rsidR="009622B7">
        <w:rPr>
          <w:lang w:eastAsia="en-AU"/>
        </w:rPr>
        <w:t>National Disability Insurance Scheme (</w:t>
      </w:r>
      <w:r>
        <w:rPr>
          <w:lang w:eastAsia="en-AU"/>
        </w:rPr>
        <w:t>NDIS</w:t>
      </w:r>
      <w:r w:rsidR="009622B7">
        <w:rPr>
          <w:lang w:eastAsia="en-AU"/>
        </w:rPr>
        <w:t>)</w:t>
      </w:r>
      <w:r>
        <w:rPr>
          <w:lang w:eastAsia="en-AU"/>
        </w:rPr>
        <w:t>. As</w:t>
      </w:r>
      <w:r w:rsidR="00EF2D34">
        <w:rPr>
          <w:lang w:eastAsia="en-AU"/>
        </w:rPr>
        <w:t> </w:t>
      </w:r>
      <w:r>
        <w:rPr>
          <w:lang w:eastAsia="en-AU"/>
        </w:rPr>
        <w:t>at</w:t>
      </w:r>
      <w:r w:rsidR="00EF2D34">
        <w:rPr>
          <w:lang w:eastAsia="en-AU"/>
        </w:rPr>
        <w:t> </w:t>
      </w:r>
      <w:r>
        <w:rPr>
          <w:lang w:eastAsia="en-AU"/>
        </w:rPr>
        <w:t>30 June 2019, there were more than 77,000</w:t>
      </w:r>
      <w:r w:rsidR="00EF2D34">
        <w:rPr>
          <w:lang w:eastAsia="en-AU"/>
        </w:rPr>
        <w:t> </w:t>
      </w:r>
      <w:r>
        <w:rPr>
          <w:lang w:eastAsia="en-AU"/>
        </w:rPr>
        <w:t>Victorians with an NDIS plan, including more than 52,000 former state clients.</w:t>
      </w:r>
    </w:p>
    <w:p w14:paraId="1BEF50B3" w14:textId="398E1D16" w:rsidR="00345066" w:rsidRDefault="00814857" w:rsidP="00A85B57">
      <w:pPr>
        <w:pStyle w:val="ARbody"/>
        <w:spacing w:after="80"/>
        <w:rPr>
          <w:lang w:eastAsia="en-AU"/>
        </w:rPr>
      </w:pPr>
      <w:r>
        <w:rPr>
          <w:lang w:eastAsia="en-AU"/>
        </w:rPr>
        <w:t>To support people to determine their eligibility for</w:t>
      </w:r>
      <w:r w:rsidR="00D325F4">
        <w:rPr>
          <w:lang w:eastAsia="en-AU"/>
        </w:rPr>
        <w:t> </w:t>
      </w:r>
      <w:r>
        <w:rPr>
          <w:lang w:eastAsia="en-AU"/>
        </w:rPr>
        <w:t xml:space="preserve">the NDIS, the department allocated additional resources to connect with </w:t>
      </w:r>
      <w:r w:rsidRPr="0088590F">
        <w:rPr>
          <w:lang w:eastAsia="en-AU"/>
        </w:rPr>
        <w:t xml:space="preserve">up to 40,000 state clients whom the </w:t>
      </w:r>
      <w:r w:rsidR="009622B7" w:rsidRPr="009622B7">
        <w:rPr>
          <w:lang w:eastAsia="en-AU"/>
        </w:rPr>
        <w:t xml:space="preserve">National Disability Insurance Agency </w:t>
      </w:r>
      <w:r w:rsidR="009622B7">
        <w:rPr>
          <w:lang w:eastAsia="en-AU"/>
        </w:rPr>
        <w:t>(</w:t>
      </w:r>
      <w:r w:rsidRPr="0088590F">
        <w:rPr>
          <w:lang w:eastAsia="en-AU"/>
        </w:rPr>
        <w:t>NDIA</w:t>
      </w:r>
      <w:r w:rsidR="009622B7">
        <w:rPr>
          <w:lang w:eastAsia="en-AU"/>
        </w:rPr>
        <w:t>)</w:t>
      </w:r>
      <w:r w:rsidRPr="0088590F">
        <w:rPr>
          <w:lang w:eastAsia="en-AU"/>
        </w:rPr>
        <w:t xml:space="preserve"> had been unable to contact, and where possible facilitate their access</w:t>
      </w:r>
      <w:r>
        <w:rPr>
          <w:lang w:eastAsia="en-AU"/>
        </w:rPr>
        <w:t>.</w:t>
      </w:r>
    </w:p>
    <w:p w14:paraId="6F9ADCC4" w14:textId="205CDCD2" w:rsidR="00814857" w:rsidRDefault="00814857" w:rsidP="00A85B57">
      <w:pPr>
        <w:pStyle w:val="ARbody"/>
        <w:spacing w:after="80"/>
        <w:rPr>
          <w:lang w:eastAsia="en-AU"/>
        </w:rPr>
      </w:pPr>
      <w:r>
        <w:rPr>
          <w:lang w:eastAsia="en-AU"/>
        </w:rPr>
        <w:t>Many people with complex needs have become participants of the NDIS but have encountered difficulties in navigating the scheme or challenges with their planning. The department’s Intensive Support Team (IST) provided pivotal support for</w:t>
      </w:r>
      <w:r w:rsidR="00D325F4">
        <w:rPr>
          <w:lang w:eastAsia="en-AU"/>
        </w:rPr>
        <w:t> </w:t>
      </w:r>
      <w:r>
        <w:rPr>
          <w:lang w:eastAsia="en-AU"/>
        </w:rPr>
        <w:t xml:space="preserve">more than 700 people to achieve a positive outcome. For example, the team supported a client with complex disability support needs and ongoing contact with the justice system to revisit her inadequate support plan (particularly a lack of behavioural support). Without additional support, there was a high risk she would re-offend and be incarcerated. The IST facilitated a collaborative approach with the client and her care team to provide evidence for a request for additional funding. </w:t>
      </w:r>
      <w:r>
        <w:t>Consequently</w:t>
      </w:r>
      <w:r>
        <w:rPr>
          <w:lang w:eastAsia="en-AU"/>
        </w:rPr>
        <w:t>, the client’s NDIS plan was significantly increased and she gained access to the disability supports she required. This positive outcome substantially reduced her risk of further offending.</w:t>
      </w:r>
    </w:p>
    <w:p w14:paraId="23144F27" w14:textId="285ED8AA" w:rsidR="00814857" w:rsidRDefault="00814857" w:rsidP="00A85B57">
      <w:pPr>
        <w:pStyle w:val="ARbody"/>
        <w:spacing w:after="80"/>
        <w:rPr>
          <w:lang w:eastAsia="en-AU"/>
        </w:rPr>
      </w:pPr>
      <w:r>
        <w:rPr>
          <w:lang w:eastAsia="en-AU"/>
        </w:rPr>
        <w:t xml:space="preserve">The department has invested $41 million through the Victorian Transition Support Package to prepare the sector and people with disabilities for the NDIS. In 2018–19, this provided support to more than 14,000 people with disability to better understand and navigate the NDIS transition </w:t>
      </w:r>
      <w:r>
        <w:rPr>
          <w:lang w:eastAsia="en-AU"/>
        </w:rPr>
        <w:t>through access to information, workshops and</w:t>
      </w:r>
      <w:r w:rsidR="00D325F4">
        <w:rPr>
          <w:lang w:eastAsia="en-AU"/>
        </w:rPr>
        <w:t> </w:t>
      </w:r>
      <w:r>
        <w:rPr>
          <w:lang w:eastAsia="en-AU"/>
        </w:rPr>
        <w:t>resources.</w:t>
      </w:r>
    </w:p>
    <w:p w14:paraId="23194741" w14:textId="42674E25" w:rsidR="00345066" w:rsidRDefault="00814857" w:rsidP="00A85B57">
      <w:pPr>
        <w:pStyle w:val="ARbody"/>
        <w:spacing w:after="80"/>
        <w:rPr>
          <w:lang w:eastAsia="en-AU"/>
        </w:rPr>
      </w:pPr>
      <w:r>
        <w:rPr>
          <w:lang w:eastAsia="en-AU"/>
        </w:rPr>
        <w:t>The Transition Support Package also provided information and resources for service providers and</w:t>
      </w:r>
      <w:r w:rsidR="00D325F4">
        <w:rPr>
          <w:lang w:eastAsia="en-AU"/>
        </w:rPr>
        <w:t> </w:t>
      </w:r>
      <w:r>
        <w:rPr>
          <w:lang w:eastAsia="en-AU"/>
        </w:rPr>
        <w:t>the disability workforce, reaching more than 10,000 people in organisations across Victoria. Victorian Aboriginal Community Controlled Health Organisation has been funded to support Aboriginal community-controlled organisations (ACCOs) to engage with the transition to the NDIS. ACCOs are</w:t>
      </w:r>
      <w:r w:rsidR="00EF2D34">
        <w:rPr>
          <w:lang w:eastAsia="en-AU"/>
        </w:rPr>
        <w:t> </w:t>
      </w:r>
      <w:r>
        <w:rPr>
          <w:lang w:eastAsia="en-AU"/>
        </w:rPr>
        <w:t>not only aware of the NDIS but are now being</w:t>
      </w:r>
      <w:r w:rsidR="00EF2D34">
        <w:rPr>
          <w:lang w:eastAsia="en-AU"/>
        </w:rPr>
        <w:t> </w:t>
      </w:r>
      <w:r>
        <w:rPr>
          <w:lang w:eastAsia="en-AU"/>
        </w:rPr>
        <w:t>equipped to become registered NDIS service</w:t>
      </w:r>
      <w:r w:rsidR="00EF2D34">
        <w:rPr>
          <w:lang w:eastAsia="en-AU"/>
        </w:rPr>
        <w:t> </w:t>
      </w:r>
      <w:r>
        <w:rPr>
          <w:lang w:eastAsia="en-AU"/>
        </w:rPr>
        <w:t>providers, maximising their capacity to be financially viable in the changing disability services environment. This has resulted in</w:t>
      </w:r>
      <w:r w:rsidR="00D325F4">
        <w:rPr>
          <w:lang w:eastAsia="en-AU"/>
        </w:rPr>
        <w:t> </w:t>
      </w:r>
      <w:r>
        <w:rPr>
          <w:lang w:eastAsia="en-AU"/>
        </w:rPr>
        <w:t>more Aboriginal people with disability in Victoria accessing supports they require from culturally safe</w:t>
      </w:r>
      <w:r w:rsidR="00D325F4">
        <w:rPr>
          <w:lang w:eastAsia="en-AU"/>
        </w:rPr>
        <w:t> </w:t>
      </w:r>
      <w:r>
        <w:rPr>
          <w:lang w:eastAsia="en-AU"/>
        </w:rPr>
        <w:t>organisations.</w:t>
      </w:r>
    </w:p>
    <w:p w14:paraId="30CB17EF" w14:textId="46F794EE" w:rsidR="00814857" w:rsidRDefault="00814857" w:rsidP="00A85B57">
      <w:pPr>
        <w:pStyle w:val="ARbody"/>
        <w:spacing w:after="80"/>
        <w:rPr>
          <w:lang w:eastAsia="en-AU"/>
        </w:rPr>
      </w:pPr>
      <w:r>
        <w:rPr>
          <w:lang w:eastAsia="en-AU"/>
        </w:rPr>
        <w:t>The department has been implementing projects through Keeping Our Sector Strong workforce plan for the NDIS. Through this work, we are giving disability services staff the knowledge and skills they need to:</w:t>
      </w:r>
    </w:p>
    <w:p w14:paraId="7A6208A8" w14:textId="77777777" w:rsidR="00814857" w:rsidRDefault="00814857" w:rsidP="00350E76">
      <w:pPr>
        <w:pStyle w:val="ARbullet1"/>
      </w:pPr>
      <w:r>
        <w:t>thrive under the NDIS</w:t>
      </w:r>
    </w:p>
    <w:p w14:paraId="1DF31742" w14:textId="77777777" w:rsidR="00814857" w:rsidRDefault="00814857" w:rsidP="00350E76">
      <w:pPr>
        <w:pStyle w:val="ARbullet1"/>
      </w:pPr>
      <w:r>
        <w:t>improve job satisfaction</w:t>
      </w:r>
    </w:p>
    <w:p w14:paraId="11D00D21" w14:textId="030D5888" w:rsidR="00814857" w:rsidRDefault="00814857" w:rsidP="00350E76">
      <w:pPr>
        <w:pStyle w:val="ARbullet1"/>
      </w:pPr>
      <w:r>
        <w:t>create new, stronger career pathways within</w:t>
      </w:r>
      <w:r w:rsidR="00EF2D34">
        <w:t> </w:t>
      </w:r>
      <w:r>
        <w:t>the</w:t>
      </w:r>
      <w:r w:rsidR="00D325F4">
        <w:t> </w:t>
      </w:r>
      <w:r>
        <w:t>sector</w:t>
      </w:r>
    </w:p>
    <w:p w14:paraId="75946FC5" w14:textId="3C237745" w:rsidR="00814857" w:rsidRDefault="00814857" w:rsidP="00350E76">
      <w:pPr>
        <w:pStyle w:val="ARbullet1"/>
      </w:pPr>
      <w:r>
        <w:t>increase allied health workforce capacity and</w:t>
      </w:r>
      <w:r w:rsidR="00D325F4">
        <w:t> </w:t>
      </w:r>
      <w:r>
        <w:t>sustainability</w:t>
      </w:r>
    </w:p>
    <w:p w14:paraId="5A90CF07" w14:textId="101F7B1C" w:rsidR="00814857" w:rsidRDefault="00814857" w:rsidP="00350E76">
      <w:pPr>
        <w:pStyle w:val="ARbullet1"/>
      </w:pPr>
      <w:r>
        <w:t>help mainstream and community services to</w:t>
      </w:r>
      <w:r w:rsidR="00D325F4">
        <w:t> </w:t>
      </w:r>
      <w:r>
        <w:t>support better outcomes for people with disability.</w:t>
      </w:r>
    </w:p>
    <w:p w14:paraId="00632021" w14:textId="77777777" w:rsidR="00814857" w:rsidRDefault="00814857" w:rsidP="00EF2D34">
      <w:pPr>
        <w:pStyle w:val="ARbodyafterbullets"/>
      </w:pPr>
      <w:r>
        <w:t xml:space="preserve">The department will continue playing its part to ensure the NDIS can be achieved, and we are working with the </w:t>
      </w:r>
      <w:r w:rsidRPr="0017581C">
        <w:t>Commonwealth t</w:t>
      </w:r>
      <w:r>
        <w:t>o address a range of gaps including challenges in rural Victoria and affordable models of care.</w:t>
      </w:r>
    </w:p>
    <w:bookmarkEnd w:id="41"/>
    <w:p w14:paraId="75D44AA2" w14:textId="22C28849" w:rsidR="00814857" w:rsidRDefault="00814857" w:rsidP="00037F82">
      <w:pPr>
        <w:pStyle w:val="Heading5smaller"/>
      </w:pPr>
      <w:r w:rsidRPr="0017581C">
        <w:t xml:space="preserve">Transfer of departmental services </w:t>
      </w:r>
      <w:r w:rsidR="00D325F4">
        <w:br/>
      </w:r>
      <w:r w:rsidRPr="0017581C">
        <w:t>to non-government</w:t>
      </w:r>
      <w:r w:rsidRPr="0017581C">
        <w:rPr>
          <w:lang w:val="en-AU"/>
        </w:rPr>
        <w:t xml:space="preserve"> </w:t>
      </w:r>
      <w:r w:rsidRPr="0017581C">
        <w:t>organisations</w:t>
      </w:r>
    </w:p>
    <w:p w14:paraId="6EDBB3E0" w14:textId="1CDB0D81" w:rsidR="00345066" w:rsidRDefault="00814857" w:rsidP="00A85B57">
      <w:pPr>
        <w:pStyle w:val="ARbody"/>
        <w:spacing w:after="80"/>
        <w:rPr>
          <w:lang w:eastAsia="en-AU"/>
        </w:rPr>
      </w:pPr>
      <w:r>
        <w:rPr>
          <w:lang w:eastAsia="en-AU"/>
        </w:rPr>
        <w:t>On 28 August 2018, new not-for-profit providers were selected to deliver disability accommodation and facility-</w:t>
      </w:r>
      <w:r>
        <w:t>based</w:t>
      </w:r>
      <w:r>
        <w:rPr>
          <w:lang w:eastAsia="en-AU"/>
        </w:rPr>
        <w:t xml:space="preserve"> respite services currently operated by the department. The new providers are: Life Without Barriers</w:t>
      </w:r>
      <w:r w:rsidR="009622B7">
        <w:rPr>
          <w:lang w:eastAsia="en-AU"/>
        </w:rPr>
        <w:t>;</w:t>
      </w:r>
      <w:r>
        <w:rPr>
          <w:lang w:eastAsia="en-AU"/>
        </w:rPr>
        <w:t xml:space="preserve"> Melba Support Services Australia</w:t>
      </w:r>
      <w:r w:rsidR="009622B7">
        <w:rPr>
          <w:lang w:eastAsia="en-AU"/>
        </w:rPr>
        <w:t>;</w:t>
      </w:r>
      <w:r>
        <w:rPr>
          <w:lang w:eastAsia="en-AU"/>
        </w:rPr>
        <w:t xml:space="preserve"> Possability</w:t>
      </w:r>
      <w:r w:rsidR="009622B7">
        <w:rPr>
          <w:lang w:eastAsia="en-AU"/>
        </w:rPr>
        <w:t>;</w:t>
      </w:r>
      <w:r>
        <w:rPr>
          <w:lang w:eastAsia="en-AU"/>
        </w:rPr>
        <w:t xml:space="preserve"> Home@Scope (generally known as Scope)</w:t>
      </w:r>
      <w:r w:rsidR="009622B7">
        <w:rPr>
          <w:lang w:eastAsia="en-AU"/>
        </w:rPr>
        <w:t>;</w:t>
      </w:r>
      <w:r>
        <w:rPr>
          <w:lang w:eastAsia="en-AU"/>
        </w:rPr>
        <w:t xml:space="preserve"> and Aruma (formerly known as House with No Steps).</w:t>
      </w:r>
    </w:p>
    <w:p w14:paraId="708B8B39" w14:textId="5D877E15" w:rsidR="00814857" w:rsidRDefault="00814857" w:rsidP="00A85B57">
      <w:pPr>
        <w:pStyle w:val="ARbody"/>
        <w:spacing w:after="80"/>
        <w:rPr>
          <w:lang w:eastAsia="en-AU"/>
        </w:rPr>
      </w:pPr>
      <w:r w:rsidRPr="0017581C">
        <w:rPr>
          <w:lang w:eastAsia="en-AU"/>
        </w:rPr>
        <w:t xml:space="preserve">The staged transfer of services and staff to </w:t>
      </w:r>
      <w:r w:rsidR="002D7496">
        <w:rPr>
          <w:lang w:eastAsia="en-AU"/>
        </w:rPr>
        <w:br/>
      </w:r>
      <w:r w:rsidRPr="0017581C">
        <w:rPr>
          <w:lang w:eastAsia="en-AU"/>
        </w:rPr>
        <w:t>the non-government</w:t>
      </w:r>
      <w:r>
        <w:rPr>
          <w:lang w:eastAsia="en-AU"/>
        </w:rPr>
        <w:t xml:space="preserve"> providers commenced on 31</w:t>
      </w:r>
      <w:r w:rsidR="002D7496">
        <w:rPr>
          <w:lang w:eastAsia="en-AU"/>
        </w:rPr>
        <w:t> </w:t>
      </w:r>
      <w:r>
        <w:rPr>
          <w:lang w:eastAsia="en-AU"/>
        </w:rPr>
        <w:t xml:space="preserve">March 2019 and is on </w:t>
      </w:r>
      <w:r>
        <w:t>track</w:t>
      </w:r>
      <w:r>
        <w:rPr>
          <w:lang w:eastAsia="en-AU"/>
        </w:rPr>
        <w:t xml:space="preserve"> to be completed by October 2019. A key part of this approach is the </w:t>
      </w:r>
      <w:r>
        <w:rPr>
          <w:lang w:eastAsia="en-AU"/>
        </w:rPr>
        <w:lastRenderedPageBreak/>
        <w:t>secondment model as a staged approach for the transition to a direct employment model with the successful providers. The staged approach ensures minimal disruption for residents, continuity of care and maximises support for the workforce through this change.</w:t>
      </w:r>
    </w:p>
    <w:p w14:paraId="3468F408" w14:textId="77777777" w:rsidR="00814857" w:rsidRDefault="00814857" w:rsidP="00A85B57">
      <w:pPr>
        <w:pStyle w:val="ARbody"/>
        <w:spacing w:after="80"/>
        <w:rPr>
          <w:lang w:eastAsia="en-AU"/>
        </w:rPr>
      </w:pPr>
      <w:r>
        <w:rPr>
          <w:lang w:eastAsia="en-AU"/>
        </w:rPr>
        <w:t xml:space="preserve">Despite the complex nature of the approach, the team </w:t>
      </w:r>
      <w:r>
        <w:t>placed</w:t>
      </w:r>
      <w:r>
        <w:rPr>
          <w:lang w:eastAsia="en-AU"/>
        </w:rPr>
        <w:t xml:space="preserve"> people at the centre of the transfer and assumed a person-centred approach in designing and delivering successful outcomes to minimise impact on people with a disability and their family.</w:t>
      </w:r>
    </w:p>
    <w:p w14:paraId="2FEF4F71" w14:textId="4C8617DB" w:rsidR="00345066" w:rsidRDefault="00814857" w:rsidP="00A85B57">
      <w:pPr>
        <w:pStyle w:val="ARbody"/>
        <w:spacing w:after="80"/>
        <w:rPr>
          <w:lang w:eastAsia="en-AU"/>
        </w:rPr>
      </w:pPr>
      <w:r>
        <w:rPr>
          <w:lang w:eastAsia="en-AU"/>
        </w:rPr>
        <w:t>Throughout 2018, the department worked with staff,</w:t>
      </w:r>
      <w:r w:rsidR="002D7496">
        <w:rPr>
          <w:lang w:eastAsia="en-AU"/>
        </w:rPr>
        <w:t> </w:t>
      </w:r>
      <w:r>
        <w:rPr>
          <w:lang w:eastAsia="en-AU"/>
        </w:rPr>
        <w:t xml:space="preserve">people with disability and their families to understand what information and </w:t>
      </w:r>
      <w:r>
        <w:t>support</w:t>
      </w:r>
      <w:r>
        <w:rPr>
          <w:lang w:eastAsia="en-AU"/>
        </w:rPr>
        <w:t xml:space="preserve"> they want from </w:t>
      </w:r>
      <w:r w:rsidRPr="0017581C">
        <w:rPr>
          <w:lang w:eastAsia="en-AU"/>
        </w:rPr>
        <w:t>government</w:t>
      </w:r>
      <w:r>
        <w:rPr>
          <w:lang w:eastAsia="en-AU"/>
        </w:rPr>
        <w:t xml:space="preserve"> and providers during the transfer of services.</w:t>
      </w:r>
    </w:p>
    <w:p w14:paraId="3227719D" w14:textId="7D909D4B" w:rsidR="00814857" w:rsidRDefault="00814857" w:rsidP="00A85B57">
      <w:pPr>
        <w:pStyle w:val="ARbody"/>
        <w:spacing w:after="80"/>
        <w:rPr>
          <w:lang w:eastAsia="en-AU"/>
        </w:rPr>
      </w:pPr>
      <w:r>
        <w:rPr>
          <w:lang w:eastAsia="en-AU"/>
        </w:rPr>
        <w:t>Forums were held across the state between mid-September and early October for families and staff to meet with their new providers to hear more about them, the values and mission of the organisation, and why they are committed to delivering disability services.</w:t>
      </w:r>
    </w:p>
    <w:p w14:paraId="1F8746EB" w14:textId="77777777" w:rsidR="00345066" w:rsidRDefault="00814857" w:rsidP="00A85B57">
      <w:pPr>
        <w:pStyle w:val="ARbody"/>
        <w:spacing w:after="80"/>
        <w:rPr>
          <w:lang w:eastAsia="en-AU"/>
        </w:rPr>
      </w:pPr>
      <w:r>
        <w:rPr>
          <w:lang w:eastAsia="en-AU"/>
        </w:rPr>
        <w:t>Between October and December 2018, we followed up these forums with visits to more than 500 group homes to meet residents and staff by senior managers of the new providers.</w:t>
      </w:r>
    </w:p>
    <w:p w14:paraId="2A88CD61" w14:textId="0AC76C02" w:rsidR="00814857" w:rsidRDefault="00814857" w:rsidP="00A85B57">
      <w:pPr>
        <w:pStyle w:val="ARbody"/>
        <w:spacing w:after="80"/>
        <w:rPr>
          <w:lang w:eastAsia="en-AU"/>
        </w:rPr>
      </w:pPr>
      <w:r>
        <w:rPr>
          <w:lang w:eastAsia="en-AU"/>
        </w:rPr>
        <w:t xml:space="preserve">Over 5,500 public service employees will be seconded to the five new </w:t>
      </w:r>
      <w:r w:rsidRPr="0017581C">
        <w:rPr>
          <w:lang w:eastAsia="en-AU"/>
        </w:rPr>
        <w:t>non-government</w:t>
      </w:r>
      <w:r>
        <w:rPr>
          <w:lang w:eastAsia="en-AU"/>
        </w:rPr>
        <w:t xml:space="preserve"> providers until 31 December 2020. Employees will then transfer employment to their new provider on 1 January </w:t>
      </w:r>
      <w:r>
        <w:t>2021</w:t>
      </w:r>
      <w:r>
        <w:rPr>
          <w:lang w:eastAsia="en-AU"/>
        </w:rPr>
        <w:t>, with staff terms and conditions guaranteed until 31 December 2025. Additionally, more than 2,500 clients from 542 group homes and respite services and 436 vehicles will also transfer to the five providers. These tranches were divided into 21 geographical parcels which spanned across North, East, South and West Divisions.</w:t>
      </w:r>
    </w:p>
    <w:p w14:paraId="5D3BC466" w14:textId="7FD3E329" w:rsidR="00814857" w:rsidRDefault="00814857" w:rsidP="00A85B57">
      <w:pPr>
        <w:pStyle w:val="ARbody"/>
        <w:spacing w:after="80"/>
        <w:rPr>
          <w:lang w:eastAsia="en-AU"/>
        </w:rPr>
      </w:pPr>
      <w:r>
        <w:rPr>
          <w:lang w:eastAsia="en-AU"/>
        </w:rPr>
        <w:t xml:space="preserve">Staff who transferred have provided positive </w:t>
      </w:r>
      <w:r>
        <w:t>feedback</w:t>
      </w:r>
      <w:r>
        <w:rPr>
          <w:lang w:eastAsia="en-AU"/>
        </w:rPr>
        <w:t xml:space="preserve"> about the support provided by the new</w:t>
      </w:r>
      <w:r w:rsidR="002D7496">
        <w:rPr>
          <w:lang w:eastAsia="en-AU"/>
        </w:rPr>
        <w:t> </w:t>
      </w:r>
      <w:r>
        <w:rPr>
          <w:lang w:eastAsia="en-AU"/>
        </w:rPr>
        <w:t>providers.</w:t>
      </w:r>
    </w:p>
    <w:p w14:paraId="58EA65CE" w14:textId="77777777" w:rsidR="00814857" w:rsidRDefault="00814857" w:rsidP="00A85B57">
      <w:pPr>
        <w:pStyle w:val="ARbody"/>
        <w:spacing w:after="80"/>
        <w:rPr>
          <w:lang w:eastAsia="en-AU"/>
        </w:rPr>
      </w:pPr>
      <w:r>
        <w:rPr>
          <w:lang w:eastAsia="en-AU"/>
        </w:rPr>
        <w:t xml:space="preserve">A new performance and monitoring regime has been </w:t>
      </w:r>
      <w:r>
        <w:t>established</w:t>
      </w:r>
      <w:r>
        <w:rPr>
          <w:lang w:eastAsia="en-AU"/>
        </w:rPr>
        <w:t xml:space="preserve"> until 2025 to ensure the new providers comply with rigorous obligations relating to safety, service quality and fair workforce conditions.</w:t>
      </w:r>
    </w:p>
    <w:p w14:paraId="33506721" w14:textId="0CE189B9" w:rsidR="00814857" w:rsidRPr="00B12CF3" w:rsidRDefault="002D7496" w:rsidP="00037F82">
      <w:pPr>
        <w:pStyle w:val="Heading5smaller"/>
        <w:rPr>
          <w:lang w:val="en-AU"/>
        </w:rPr>
      </w:pPr>
      <w:r>
        <w:br w:type="column"/>
      </w:r>
      <w:r w:rsidR="00814857" w:rsidRPr="003379D4">
        <w:t>Transition from Colanda into</w:t>
      </w:r>
      <w:r>
        <w:rPr>
          <w:lang w:val="en-US"/>
        </w:rPr>
        <w:t> </w:t>
      </w:r>
      <w:r w:rsidR="00814857">
        <w:rPr>
          <w:lang w:val="en-AU"/>
        </w:rPr>
        <w:t>community</w:t>
      </w:r>
      <w:r>
        <w:rPr>
          <w:lang w:val="en-AU"/>
        </w:rPr>
        <w:t> </w:t>
      </w:r>
      <w:r w:rsidR="00814857">
        <w:rPr>
          <w:lang w:val="en-AU"/>
        </w:rPr>
        <w:t>settings</w:t>
      </w:r>
    </w:p>
    <w:p w14:paraId="2E9127EB" w14:textId="205689D4" w:rsidR="00814857" w:rsidRPr="0063513B" w:rsidRDefault="00814857" w:rsidP="00A85B57">
      <w:pPr>
        <w:pStyle w:val="ARbody"/>
        <w:spacing w:after="80"/>
      </w:pPr>
      <w:r w:rsidRPr="0063513B">
        <w:t xml:space="preserve">The </w:t>
      </w:r>
      <w:r>
        <w:t>department</w:t>
      </w:r>
      <w:r w:rsidRPr="0063513B">
        <w:t xml:space="preserve"> is on track to finalise the delivery of</w:t>
      </w:r>
      <w:r w:rsidR="002D7496">
        <w:t> </w:t>
      </w:r>
      <w:r w:rsidRPr="0063513B">
        <w:t xml:space="preserve">15 new homes and improved community opportunities for the residents of Victoria’s last disability institution at Colanda. The planned closure of Colanda is on track for late 2019, heralding the end of institutional care for people with a disability, with the </w:t>
      </w:r>
      <w:r w:rsidR="009622B7" w:rsidRPr="009622B7">
        <w:t xml:space="preserve">National Disability Insurance Scheme </w:t>
      </w:r>
      <w:r w:rsidR="009622B7">
        <w:t>(</w:t>
      </w:r>
      <w:r>
        <w:t>NDIS</w:t>
      </w:r>
      <w:r w:rsidR="009622B7">
        <w:t>)</w:t>
      </w:r>
      <w:r w:rsidRPr="0063513B">
        <w:t xml:space="preserve"> the major catalyst for</w:t>
      </w:r>
      <w:r w:rsidR="009622B7">
        <w:t> </w:t>
      </w:r>
      <w:r w:rsidRPr="0063513B">
        <w:t>change.</w:t>
      </w:r>
    </w:p>
    <w:p w14:paraId="11B52E6D" w14:textId="4A6B314B" w:rsidR="00814857" w:rsidRPr="0063513B" w:rsidRDefault="00814857" w:rsidP="00A85B57">
      <w:pPr>
        <w:pStyle w:val="ARbody"/>
        <w:spacing w:after="80"/>
      </w:pPr>
      <w:r w:rsidRPr="0063513B">
        <w:t>During 2018 and 2019, 20 residents of Colanda moved into their new purpose-built homes across Ballarat, Geelong and Colac. In many cases, they are closer to their families, and they have improved opportunities for community life and skill development. A further five new homes are under construction in the Colac and Geelong areas, providing new living arrangements for the remaining 24 residents of Colanda who will move</w:t>
      </w:r>
      <w:r w:rsidR="002D7496">
        <w:t> </w:t>
      </w:r>
      <w:r w:rsidRPr="0063513B">
        <w:t xml:space="preserve">into these homes </w:t>
      </w:r>
      <w:r>
        <w:t>during</w:t>
      </w:r>
      <w:r w:rsidRPr="0063513B">
        <w:t xml:space="preserve"> the remaining months of 2019.</w:t>
      </w:r>
    </w:p>
    <w:p w14:paraId="6EC2CD15" w14:textId="77777777" w:rsidR="00814857" w:rsidRPr="0063513B" w:rsidRDefault="00814857" w:rsidP="00A85B57">
      <w:pPr>
        <w:pStyle w:val="ARbody"/>
        <w:spacing w:after="80"/>
      </w:pPr>
      <w:r w:rsidRPr="0063513B">
        <w:t>The residents of Colanda are highly vulnerable members of our community</w:t>
      </w:r>
      <w:r>
        <w:t>,</w:t>
      </w:r>
      <w:r w:rsidRPr="0063513B">
        <w:t xml:space="preserve"> and </w:t>
      </w:r>
      <w:r>
        <w:t xml:space="preserve">they </w:t>
      </w:r>
      <w:r w:rsidRPr="0063513B">
        <w:t xml:space="preserve">are now receiving care </w:t>
      </w:r>
      <w:r>
        <w:t xml:space="preserve">in state-of-the-art homes in a </w:t>
      </w:r>
      <w:r>
        <w:rPr>
          <w:lang w:eastAsia="en-AU"/>
        </w:rPr>
        <w:t>community</w:t>
      </w:r>
      <w:r>
        <w:t xml:space="preserve"> setting that is </w:t>
      </w:r>
      <w:r w:rsidRPr="0063513B">
        <w:t>closer to family and friends. These purpose-built homes offer 24-hour support, personal space and privacy, and have been built in close consultation with residents, families and guardians to ensure their needs and preferences are met.</w:t>
      </w:r>
    </w:p>
    <w:p w14:paraId="42429564" w14:textId="1E2F1648" w:rsidR="00814857" w:rsidRPr="0063513B" w:rsidRDefault="00814857" w:rsidP="00A85B57">
      <w:pPr>
        <w:pStyle w:val="ARbody"/>
        <w:spacing w:after="80"/>
      </w:pPr>
      <w:r w:rsidRPr="0063513B">
        <w:t>As the remaining residents move into their new</w:t>
      </w:r>
      <w:r w:rsidR="002D7496">
        <w:t> </w:t>
      </w:r>
      <w:r w:rsidRPr="0063513B">
        <w:t xml:space="preserve">homes between now and </w:t>
      </w:r>
      <w:r>
        <w:t>the end of 2019</w:t>
      </w:r>
      <w:r w:rsidRPr="0063513B">
        <w:t>, institutionalised care in Victoria will end. Building on</w:t>
      </w:r>
      <w:r w:rsidR="002D7496">
        <w:t> </w:t>
      </w:r>
      <w:r w:rsidRPr="0063513B">
        <w:t>the dedication and care of Colanda staff in supporting residents over many years, the redevelopment of Colanda has empowered residents and their families to support the transition of their loved ones into community life where they have choice and control over their future.</w:t>
      </w:r>
    </w:p>
    <w:p w14:paraId="0F69F36D" w14:textId="2151342E" w:rsidR="00814857" w:rsidRPr="0063513B" w:rsidRDefault="00814857" w:rsidP="00A85B57">
      <w:pPr>
        <w:pStyle w:val="ARbody"/>
        <w:spacing w:after="80"/>
      </w:pPr>
      <w:r w:rsidRPr="0063513B">
        <w:t>We have received feedback from many families and friends that their family members have improved since moving into their new home. The</w:t>
      </w:r>
      <w:r w:rsidR="002D7496">
        <w:t> </w:t>
      </w:r>
      <w:r w:rsidRPr="0063513B">
        <w:t>assessments completed to assist in tailoring the homes to suit the residents’ needs show that some residents have gained skills and have further potential to expand these skills. Direct care staff in</w:t>
      </w:r>
      <w:r w:rsidR="002D7496">
        <w:t> </w:t>
      </w:r>
      <w:r w:rsidRPr="0063513B">
        <w:t>the new homes report increased engagement between families and residents, including regular visits and family outings.</w:t>
      </w:r>
    </w:p>
    <w:p w14:paraId="6EAC44C2" w14:textId="73974290" w:rsidR="00814857" w:rsidRDefault="00814857" w:rsidP="00350E76">
      <w:pPr>
        <w:pStyle w:val="Heading4"/>
      </w:pPr>
      <w:r>
        <w:lastRenderedPageBreak/>
        <w:t>Outcome 5.3: Services are efficient</w:t>
      </w:r>
      <w:r w:rsidR="002D7496">
        <w:t> </w:t>
      </w:r>
      <w:r>
        <w:t>and</w:t>
      </w:r>
      <w:r w:rsidR="002D7496">
        <w:t> </w:t>
      </w:r>
      <w:r>
        <w:t>sustainable</w:t>
      </w:r>
    </w:p>
    <w:p w14:paraId="61D6AE1A" w14:textId="77777777" w:rsidR="00814857" w:rsidRDefault="00814857" w:rsidP="00A85B57">
      <w:pPr>
        <w:pStyle w:val="ARbody"/>
        <w:spacing w:after="80"/>
        <w:rPr>
          <w:b/>
          <w:bCs/>
        </w:rPr>
      </w:pPr>
      <w:r>
        <w:t xml:space="preserve">The department works closely with internal and funded services to enable efficiencies in resource allocation and management of complex and chronic conditions </w:t>
      </w:r>
      <w:r>
        <w:rPr>
          <w:lang w:eastAsia="en-AU"/>
        </w:rPr>
        <w:t>and</w:t>
      </w:r>
      <w:r>
        <w:t xml:space="preserve"> needs.</w:t>
      </w:r>
    </w:p>
    <w:p w14:paraId="03E1FD61" w14:textId="77777777" w:rsidR="00814857" w:rsidRPr="00BF62AC" w:rsidRDefault="00814857" w:rsidP="00350E76">
      <w:pPr>
        <w:rPr>
          <w:rFonts w:ascii="Arial" w:eastAsia="Times New Roman" w:hAnsi="Arial" w:cs="Times New Roman"/>
          <w:szCs w:val="24"/>
          <w:lang w:eastAsia="en-US"/>
        </w:rPr>
      </w:pPr>
      <w:r w:rsidRPr="00A85B57">
        <w:rPr>
          <w:rFonts w:ascii="Arial" w:eastAsia="Times" w:hAnsi="Arial" w:cs="Arial"/>
          <w:szCs w:val="24"/>
        </w:rPr>
        <w:t>Integrated and coordinated service delivery models</w:t>
      </w:r>
      <w:r>
        <w:rPr>
          <w:rFonts w:ascii="Arial" w:eastAsia="Times New Roman" w:hAnsi="Arial" w:cs="Times New Roman"/>
          <w:szCs w:val="24"/>
          <w:lang w:eastAsia="en-US"/>
        </w:rPr>
        <w:t xml:space="preserve"> advance e</w:t>
      </w:r>
      <w:r w:rsidRPr="00BF62AC">
        <w:rPr>
          <w:rFonts w:ascii="Arial" w:eastAsia="Times New Roman" w:hAnsi="Arial" w:cs="Times New Roman"/>
          <w:szCs w:val="24"/>
          <w:lang w:eastAsia="en-US"/>
        </w:rPr>
        <w:t>fficiency</w:t>
      </w:r>
      <w:r>
        <w:rPr>
          <w:rFonts w:ascii="Arial" w:eastAsia="Times New Roman" w:hAnsi="Arial" w:cs="Times New Roman"/>
          <w:szCs w:val="24"/>
          <w:lang w:eastAsia="en-US"/>
        </w:rPr>
        <w:t>, and a well-trained and well-supported workforce</w:t>
      </w:r>
      <w:r w:rsidRPr="00BF62AC">
        <w:rPr>
          <w:rFonts w:ascii="Arial" w:eastAsia="Times New Roman" w:hAnsi="Arial" w:cs="Times New Roman"/>
          <w:szCs w:val="24"/>
          <w:lang w:eastAsia="en-US"/>
        </w:rPr>
        <w:t xml:space="preserve"> </w:t>
      </w:r>
      <w:r>
        <w:rPr>
          <w:rFonts w:ascii="Arial" w:eastAsia="Times New Roman" w:hAnsi="Arial" w:cs="Times New Roman"/>
          <w:szCs w:val="24"/>
          <w:lang w:eastAsia="en-US"/>
        </w:rPr>
        <w:t xml:space="preserve">ensure the system is </w:t>
      </w:r>
      <w:r w:rsidRPr="00BF62AC">
        <w:rPr>
          <w:rFonts w:ascii="Arial" w:eastAsia="Times New Roman" w:hAnsi="Arial" w:cs="Times New Roman"/>
          <w:szCs w:val="24"/>
          <w:lang w:eastAsia="en-US"/>
        </w:rPr>
        <w:t>sustainabl</w:t>
      </w:r>
      <w:r>
        <w:rPr>
          <w:rFonts w:ascii="Arial" w:eastAsia="Times New Roman" w:hAnsi="Arial" w:cs="Times New Roman"/>
          <w:szCs w:val="24"/>
          <w:lang w:eastAsia="en-US"/>
        </w:rPr>
        <w:t>e</w:t>
      </w:r>
      <w:r w:rsidRPr="00BF62AC">
        <w:rPr>
          <w:rFonts w:ascii="Arial" w:eastAsia="Times New Roman" w:hAnsi="Arial" w:cs="Times New Roman"/>
          <w:szCs w:val="24"/>
          <w:lang w:eastAsia="en-US"/>
        </w:rPr>
        <w:t>.</w:t>
      </w:r>
    </w:p>
    <w:p w14:paraId="0FC2353A" w14:textId="50094D62" w:rsidR="00814857" w:rsidRPr="00234EAF" w:rsidRDefault="00814857" w:rsidP="00037F82">
      <w:pPr>
        <w:pStyle w:val="Heading5smaller"/>
      </w:pPr>
      <w:r>
        <w:t>Reducing bottlenecks and improving health</w:t>
      </w:r>
      <w:r w:rsidR="002D7496">
        <w:t> </w:t>
      </w:r>
      <w:r>
        <w:t>care through p</w:t>
      </w:r>
      <w:r w:rsidRPr="00234EAF">
        <w:t>artnership</w:t>
      </w:r>
      <w:r>
        <w:t>s</w:t>
      </w:r>
    </w:p>
    <w:p w14:paraId="76965C10" w14:textId="77777777" w:rsidR="00345066" w:rsidRDefault="00814857" w:rsidP="00A85B57">
      <w:pPr>
        <w:pStyle w:val="ARbody"/>
        <w:spacing w:after="80"/>
        <w:rPr>
          <w:lang w:eastAsia="en-AU"/>
        </w:rPr>
      </w:pPr>
      <w:r w:rsidRPr="00234EAF">
        <w:rPr>
          <w:lang w:eastAsia="en-AU"/>
        </w:rPr>
        <w:t xml:space="preserve">More people were seen quickly at Victorian emergency departments, thanks to </w:t>
      </w:r>
      <w:r>
        <w:rPr>
          <w:lang w:eastAsia="en-AU"/>
        </w:rPr>
        <w:t>Safer Care Victoria’s</w:t>
      </w:r>
      <w:r w:rsidRPr="00234EAF">
        <w:rPr>
          <w:lang w:eastAsia="en-AU"/>
        </w:rPr>
        <w:t xml:space="preserve"> </w:t>
      </w:r>
      <w:r w:rsidRPr="008F035E">
        <w:rPr>
          <w:iCs/>
          <w:lang w:eastAsia="en-AU"/>
        </w:rPr>
        <w:t xml:space="preserve">Patient </w:t>
      </w:r>
      <w:r>
        <w:rPr>
          <w:iCs/>
          <w:lang w:eastAsia="en-AU"/>
        </w:rPr>
        <w:t>F</w:t>
      </w:r>
      <w:r w:rsidRPr="008F035E">
        <w:rPr>
          <w:iCs/>
          <w:lang w:eastAsia="en-AU"/>
        </w:rPr>
        <w:t xml:space="preserve">low </w:t>
      </w:r>
      <w:r>
        <w:rPr>
          <w:iCs/>
          <w:lang w:eastAsia="en-AU"/>
        </w:rPr>
        <w:t>P</w:t>
      </w:r>
      <w:r w:rsidRPr="008F035E">
        <w:rPr>
          <w:iCs/>
          <w:lang w:eastAsia="en-AU"/>
        </w:rPr>
        <w:t>artnership</w:t>
      </w:r>
      <w:r w:rsidRPr="00234EAF">
        <w:rPr>
          <w:lang w:eastAsia="en-AU"/>
        </w:rPr>
        <w:t xml:space="preserve"> aimed at reducing bottlenecks and </w:t>
      </w:r>
      <w:r>
        <w:rPr>
          <w:lang w:eastAsia="en-AU"/>
        </w:rPr>
        <w:t>improving care</w:t>
      </w:r>
      <w:r w:rsidRPr="00234EAF">
        <w:rPr>
          <w:lang w:eastAsia="en-AU"/>
        </w:rPr>
        <w:t>.</w:t>
      </w:r>
    </w:p>
    <w:p w14:paraId="6C94E3EC" w14:textId="23B87612" w:rsidR="00814857" w:rsidRPr="00234EAF" w:rsidRDefault="00814857" w:rsidP="00A85B57">
      <w:pPr>
        <w:pStyle w:val="ARbody"/>
        <w:spacing w:after="80"/>
        <w:rPr>
          <w:lang w:eastAsia="en-AU"/>
        </w:rPr>
      </w:pPr>
      <w:r w:rsidRPr="00234EAF">
        <w:rPr>
          <w:lang w:eastAsia="en-AU"/>
        </w:rPr>
        <w:t>Funded by the Better Care Victoria innovation fund, the partnership engaged 15 Victorian public health services to work collaboratively to improve their patient flow. Each participating organisation was given $100,000 to</w:t>
      </w:r>
      <w:r>
        <w:rPr>
          <w:lang w:eastAsia="en-AU"/>
        </w:rPr>
        <w:t xml:space="preserve"> design and</w:t>
      </w:r>
      <w:r w:rsidRPr="00234EAF">
        <w:rPr>
          <w:lang w:eastAsia="en-AU"/>
        </w:rPr>
        <w:t xml:space="preserve"> support local improvements.</w:t>
      </w:r>
    </w:p>
    <w:p w14:paraId="7B4DAEFD" w14:textId="77777777" w:rsidR="00345066" w:rsidRDefault="00814857" w:rsidP="00A85B57">
      <w:pPr>
        <w:pStyle w:val="ARbody"/>
        <w:spacing w:after="80"/>
        <w:rPr>
          <w:lang w:eastAsia="en-AU"/>
        </w:rPr>
      </w:pPr>
      <w:r w:rsidRPr="00234EAF">
        <w:rPr>
          <w:lang w:eastAsia="en-AU"/>
        </w:rPr>
        <w:t>Over 12 months, participating health services treated almost 27,000 more patients within four hours than during the previous 12 months.</w:t>
      </w:r>
    </w:p>
    <w:p w14:paraId="316FDF8F" w14:textId="3F95633C" w:rsidR="00814857" w:rsidRDefault="00814857" w:rsidP="0099241F">
      <w:pPr>
        <w:pStyle w:val="ARbody"/>
      </w:pPr>
      <w:r>
        <w:t>All Victorian health services are applying a consistent approach to security by implementing the minimum standards for occupational violence and aggression prevention and response. As part</w:t>
      </w:r>
      <w:r w:rsidR="002D7496">
        <w:t> </w:t>
      </w:r>
      <w:r>
        <w:t xml:space="preserve">of the $40 million Health Service Violence Prevention Fund, this has been further supported by infrastructure improvements with the implementation of round four of </w:t>
      </w:r>
      <w:r w:rsidR="009622B7">
        <w:t>the f</w:t>
      </w:r>
      <w:r>
        <w:t xml:space="preserve">und in </w:t>
      </w:r>
      <w:r w:rsidR="009622B7">
        <w:br/>
      </w:r>
      <w:r>
        <w:t>2018–19, providing $3 million to support 37 projects</w:t>
      </w:r>
      <w:r w:rsidR="00EF2D34">
        <w:t> </w:t>
      </w:r>
      <w:r>
        <w:t>across 25 health services to improve</w:t>
      </w:r>
      <w:r w:rsidR="00EF2D34">
        <w:t> </w:t>
      </w:r>
      <w:r>
        <w:t>their safety and security.</w:t>
      </w:r>
    </w:p>
    <w:p w14:paraId="2BE03CEE" w14:textId="6F6F6C28" w:rsidR="00814857" w:rsidRDefault="00814857" w:rsidP="00037F82">
      <w:pPr>
        <w:pStyle w:val="Heading5smaller"/>
      </w:pPr>
      <w:r>
        <w:t>Supporting the growth of community services</w:t>
      </w:r>
      <w:r w:rsidR="002D7496">
        <w:t> </w:t>
      </w:r>
      <w:r>
        <w:t>and organisations</w:t>
      </w:r>
    </w:p>
    <w:p w14:paraId="548E30FB" w14:textId="77777777" w:rsidR="00814857" w:rsidRPr="0026236C" w:rsidRDefault="00814857" w:rsidP="00A85B57">
      <w:pPr>
        <w:pStyle w:val="ARbody"/>
        <w:spacing w:after="80"/>
      </w:pPr>
      <w:r w:rsidRPr="0026236C">
        <w:t>The department worked closely with the Victorian Council for Social Services to support the development of a community services industry plan, which was released in October 2018.</w:t>
      </w:r>
    </w:p>
    <w:p w14:paraId="6DF9E1B3" w14:textId="5BA52E5A" w:rsidR="00814857" w:rsidRPr="0026236C" w:rsidRDefault="00814857" w:rsidP="00A85B57">
      <w:pPr>
        <w:pStyle w:val="ARbody"/>
        <w:spacing w:after="80"/>
      </w:pPr>
      <w:r w:rsidRPr="0026236C">
        <w:t>Developed by industry, for industry, the plan sets out actions to support community services sectors and organisations to grow and continue to</w:t>
      </w:r>
      <w:r w:rsidR="002D7496">
        <w:t> </w:t>
      </w:r>
      <w:r w:rsidRPr="0026236C">
        <w:t>build the</w:t>
      </w:r>
      <w:r w:rsidR="00EF2D34">
        <w:t> </w:t>
      </w:r>
      <w:r w:rsidRPr="0026236C">
        <w:t>capabilities, competencies and infrastructure required to deliver improved outcomes for vulnerable Victorians and Victorian</w:t>
      </w:r>
      <w:r w:rsidR="002D7496">
        <w:t> </w:t>
      </w:r>
      <w:r w:rsidRPr="0026236C">
        <w:t>communities.</w:t>
      </w:r>
    </w:p>
    <w:p w14:paraId="26548C09" w14:textId="5C06887C" w:rsidR="00814857" w:rsidRDefault="00814857" w:rsidP="00350E76">
      <w:pPr>
        <w:pStyle w:val="Heading4"/>
      </w:pPr>
      <w:r>
        <w:t>Outcome 5.4: Services are safe,</w:t>
      </w:r>
      <w:r w:rsidR="002D7496">
        <w:t> </w:t>
      </w:r>
      <w:r>
        <w:t>high</w:t>
      </w:r>
      <w:r w:rsidR="002D7496">
        <w:t> </w:t>
      </w:r>
      <w:r>
        <w:t>quality and provide a</w:t>
      </w:r>
      <w:r w:rsidR="002D7496">
        <w:t> </w:t>
      </w:r>
      <w:r>
        <w:t>positive</w:t>
      </w:r>
      <w:r w:rsidR="002D7496">
        <w:t> </w:t>
      </w:r>
      <w:r>
        <w:t>experience</w:t>
      </w:r>
    </w:p>
    <w:p w14:paraId="148D006D" w14:textId="77777777" w:rsidR="00814857" w:rsidRDefault="00814857" w:rsidP="00A85B57">
      <w:pPr>
        <w:pStyle w:val="ARbody"/>
        <w:spacing w:after="80"/>
      </w:pPr>
      <w:r w:rsidRPr="00E458A8">
        <w:t xml:space="preserve">The expectation of every Victorian experiencing healthcare and human services is that they will get </w:t>
      </w:r>
      <w:r>
        <w:t xml:space="preserve">the </w:t>
      </w:r>
      <w:r w:rsidRPr="00E458A8">
        <w:t>safe, high-quality care they need</w:t>
      </w:r>
      <w:r>
        <w:t>,</w:t>
      </w:r>
      <w:r w:rsidRPr="00E458A8">
        <w:t xml:space="preserve"> when they need it. But we also want </w:t>
      </w:r>
      <w:r>
        <w:t>people</w:t>
      </w:r>
      <w:r w:rsidRPr="00E458A8">
        <w:t xml:space="preserve"> accessing those services to have a positive experience. The department </w:t>
      </w:r>
      <w:r>
        <w:t>has</w:t>
      </w:r>
      <w:r w:rsidRPr="00E458A8">
        <w:t xml:space="preserve"> introduced a raft of initiatives and programs in the past year to ensure our health and wellbeing services keep getting better, </w:t>
      </w:r>
      <w:r>
        <w:t xml:space="preserve">and we have </w:t>
      </w:r>
      <w:r w:rsidRPr="00E458A8">
        <w:t>focus</w:t>
      </w:r>
      <w:r>
        <w:t>ed</w:t>
      </w:r>
      <w:r w:rsidRPr="00E458A8">
        <w:t xml:space="preserve"> </w:t>
      </w:r>
      <w:r>
        <w:t>on</w:t>
      </w:r>
      <w:r w:rsidRPr="00E458A8">
        <w:t xml:space="preserve"> ensuring we build the capability and capacity of community services and the child protection workforce</w:t>
      </w:r>
      <w:r>
        <w:t>,</w:t>
      </w:r>
      <w:r w:rsidRPr="00E458A8">
        <w:t xml:space="preserve"> while using data and best practice to improve the health services system.</w:t>
      </w:r>
    </w:p>
    <w:p w14:paraId="00561032" w14:textId="77777777" w:rsidR="00814857" w:rsidRPr="00786194" w:rsidRDefault="00814857" w:rsidP="00037F82">
      <w:pPr>
        <w:pStyle w:val="Heading5smaller"/>
      </w:pPr>
      <w:r w:rsidRPr="00786194">
        <w:t>Using data for better decision making</w:t>
      </w:r>
    </w:p>
    <w:p w14:paraId="06D3F4D8" w14:textId="3811440C" w:rsidR="00345066" w:rsidRDefault="00814857" w:rsidP="00A85B57">
      <w:pPr>
        <w:pStyle w:val="ARbody"/>
        <w:spacing w:after="80"/>
      </w:pPr>
      <w:r w:rsidRPr="00571C7F">
        <w:t>With the aim of enhancing quality and safety in Victorian private hospitals, the Victorian Agency for</w:t>
      </w:r>
      <w:r w:rsidR="002D7496">
        <w:t> </w:t>
      </w:r>
      <w:r w:rsidRPr="00571C7F">
        <w:t>Health Information has commenced releasing its</w:t>
      </w:r>
      <w:r w:rsidR="002D7496">
        <w:t> </w:t>
      </w:r>
      <w:r w:rsidRPr="00571C7F">
        <w:t xml:space="preserve">bi-annual </w:t>
      </w:r>
      <w:r w:rsidRPr="00571C7F">
        <w:rPr>
          <w:i/>
          <w:iCs/>
        </w:rPr>
        <w:t>Quality and safety in Victorian private hospitals</w:t>
      </w:r>
      <w:r w:rsidRPr="00571C7F">
        <w:t xml:space="preserve"> reports (November 2018 and May 2019).</w:t>
      </w:r>
    </w:p>
    <w:p w14:paraId="2E62FF68" w14:textId="20D3D348" w:rsidR="00814857" w:rsidRPr="00571C7F" w:rsidRDefault="00814857" w:rsidP="00A85B57">
      <w:pPr>
        <w:pStyle w:val="ARbody"/>
        <w:spacing w:after="80"/>
      </w:pPr>
      <w:r w:rsidRPr="00571C7F">
        <w:t>The first of their kind in Australia, the reports aim to</w:t>
      </w:r>
      <w:r w:rsidR="002D7496">
        <w:t> </w:t>
      </w:r>
      <w:r w:rsidRPr="00571C7F">
        <w:t xml:space="preserve">improve the quality and safety of care in private hospitals by improving access to high-quality information, including the ability to compare performance with peers. </w:t>
      </w:r>
      <w:r>
        <w:t>The reports</w:t>
      </w:r>
      <w:r w:rsidRPr="00571C7F">
        <w:t xml:space="preserve"> also include a</w:t>
      </w:r>
      <w:r w:rsidR="002D7496">
        <w:t> </w:t>
      </w:r>
      <w:r w:rsidRPr="00571C7F">
        <w:t>new method that uses linked data to capture unplanned readmissions to any Victorian hospital, giving a more accurate picture of readmissions.</w:t>
      </w:r>
    </w:p>
    <w:p w14:paraId="26ED129C" w14:textId="77777777" w:rsidR="00814857" w:rsidRPr="00571C7F" w:rsidRDefault="00814857" w:rsidP="00A85B57">
      <w:pPr>
        <w:pStyle w:val="ARbody"/>
        <w:spacing w:after="80"/>
      </w:pPr>
      <w:r w:rsidRPr="00571C7F">
        <w:t xml:space="preserve">Reporting </w:t>
      </w:r>
      <w:r>
        <w:t>on</w:t>
      </w:r>
      <w:r w:rsidRPr="00571C7F">
        <w:t xml:space="preserve"> private hospitals is consistent with recommendations in </w:t>
      </w:r>
      <w:r w:rsidRPr="00571C7F">
        <w:rPr>
          <w:i/>
          <w:iCs/>
        </w:rPr>
        <w:t>Targeting zero: the report of the review of hospital safety and quality assurance in Victoria</w:t>
      </w:r>
      <w:r w:rsidRPr="00571C7F">
        <w:t>, published in 2016.</w:t>
      </w:r>
    </w:p>
    <w:p w14:paraId="6FEFB0F4" w14:textId="77777777" w:rsidR="00814857" w:rsidRDefault="00814857" w:rsidP="00A85B57">
      <w:pPr>
        <w:pStyle w:val="ARbody"/>
        <w:spacing w:after="80"/>
      </w:pPr>
      <w:r w:rsidRPr="00571C7F">
        <w:t xml:space="preserve">Clinical leaders from private hospitals gave positive feedback </w:t>
      </w:r>
      <w:r>
        <w:t>on</w:t>
      </w:r>
      <w:r w:rsidRPr="00571C7F">
        <w:t xml:space="preserve"> the first report, indicating that it prompted them to take a closer look at the data from their own hospitals.</w:t>
      </w:r>
    </w:p>
    <w:p w14:paraId="59646904" w14:textId="77777777" w:rsidR="00814857" w:rsidRPr="00786194" w:rsidRDefault="00814857" w:rsidP="00037F82">
      <w:pPr>
        <w:pStyle w:val="Heading5smaller"/>
      </w:pPr>
      <w:r w:rsidRPr="00786194">
        <w:t>Health data to deliver better cardiac outcomes</w:t>
      </w:r>
    </w:p>
    <w:p w14:paraId="0FDB489F" w14:textId="3A48EA6D" w:rsidR="00345066" w:rsidRDefault="00814857" w:rsidP="00A85B57">
      <w:pPr>
        <w:pStyle w:val="ARbody"/>
        <w:spacing w:after="80"/>
      </w:pPr>
      <w:r w:rsidRPr="00EF2D34">
        <w:rPr>
          <w:iCs/>
        </w:rPr>
        <w:t>Delivering better cardiac outcomes in Victoria</w:t>
      </w:r>
      <w:r w:rsidRPr="004D63E8">
        <w:rPr>
          <w:i/>
          <w:iCs/>
        </w:rPr>
        <w:t xml:space="preserve"> </w:t>
      </w:r>
      <w:r>
        <w:t>is</w:t>
      </w:r>
      <w:r w:rsidR="002D7496">
        <w:t> </w:t>
      </w:r>
      <w:r w:rsidRPr="004D63E8">
        <w:t>an</w:t>
      </w:r>
      <w:r w:rsidR="002D7496">
        <w:t> </w:t>
      </w:r>
      <w:r w:rsidRPr="004D63E8">
        <w:t>initiative of the National Data Linkage Demonstration Project</w:t>
      </w:r>
      <w:r>
        <w:t>.</w:t>
      </w:r>
    </w:p>
    <w:p w14:paraId="1690851C" w14:textId="360B2AB3" w:rsidR="00814857" w:rsidRPr="004D63E8" w:rsidRDefault="00814857" w:rsidP="00A85B57">
      <w:pPr>
        <w:pStyle w:val="ARbody"/>
        <w:spacing w:after="80"/>
      </w:pPr>
      <w:r w:rsidRPr="004D63E8">
        <w:t xml:space="preserve">The </w:t>
      </w:r>
      <w:r w:rsidR="009622B7">
        <w:t xml:space="preserve">initiative’s </w:t>
      </w:r>
      <w:r w:rsidRPr="004D63E8">
        <w:t>report links patients’ hospital data with the Pharmaceutical Benefits Scheme. It shows low use of clinically recommended medications to reduce the risk of complications, including stroke and death, following atrial fibrillation or acute myocardial infarction. It also shows variation in rates of dispensing for these medications between Victorian public hospitals.</w:t>
      </w:r>
    </w:p>
    <w:p w14:paraId="414F493B" w14:textId="1D98B2CA" w:rsidR="00814857" w:rsidRPr="004D63E8" w:rsidRDefault="00814857" w:rsidP="00350E76">
      <w:pPr>
        <w:pStyle w:val="ARbody"/>
      </w:pPr>
      <w:r w:rsidRPr="004D63E8">
        <w:lastRenderedPageBreak/>
        <w:t>These findings provide actionable information that</w:t>
      </w:r>
      <w:r w:rsidR="002D7496">
        <w:t> </w:t>
      </w:r>
      <w:r w:rsidRPr="004D63E8">
        <w:t>will drive improvements in practice, leading to</w:t>
      </w:r>
      <w:r w:rsidR="002D7496">
        <w:t> </w:t>
      </w:r>
      <w:r w:rsidRPr="004D63E8">
        <w:t>better cardiac health outcomes.</w:t>
      </w:r>
    </w:p>
    <w:p w14:paraId="19B92FE8" w14:textId="1323524B" w:rsidR="00814857" w:rsidRPr="00786194" w:rsidRDefault="00814857" w:rsidP="00037F82">
      <w:pPr>
        <w:pStyle w:val="Heading5smaller"/>
      </w:pPr>
      <w:r w:rsidRPr="00786194">
        <w:t>Working in partnership to build</w:t>
      </w:r>
      <w:r w:rsidR="002D7496">
        <w:rPr>
          <w:lang w:val="en-US"/>
        </w:rPr>
        <w:t> </w:t>
      </w:r>
      <w:r w:rsidRPr="00786194">
        <w:t>capability</w:t>
      </w:r>
      <w:r w:rsidR="002D7496">
        <w:rPr>
          <w:lang w:val="en-US"/>
        </w:rPr>
        <w:t> </w:t>
      </w:r>
      <w:r w:rsidRPr="00786194">
        <w:t>and</w:t>
      </w:r>
      <w:r w:rsidR="002D7496">
        <w:rPr>
          <w:lang w:val="en-US"/>
        </w:rPr>
        <w:t> </w:t>
      </w:r>
      <w:r w:rsidRPr="00786194">
        <w:t>capacity</w:t>
      </w:r>
    </w:p>
    <w:p w14:paraId="706F9817" w14:textId="77777777" w:rsidR="00814857" w:rsidRPr="00571C7F" w:rsidRDefault="00814857" w:rsidP="000B7C6C">
      <w:pPr>
        <w:pStyle w:val="ARbody"/>
        <w:spacing w:after="80"/>
      </w:pPr>
      <w:r w:rsidRPr="00571C7F">
        <w:t>The department delivered 12 quality governance workshops for governing bodies of community services attended by more than 300 board directors. The aim of the workshops was to enhance capability and promote strong system leadership. Participants reported increased confidence in driving improvements to their organisations’ governance systems.</w:t>
      </w:r>
    </w:p>
    <w:p w14:paraId="042AAF22" w14:textId="77777777" w:rsidR="00814857" w:rsidRPr="00571C7F" w:rsidRDefault="00814857" w:rsidP="00350E76">
      <w:pPr>
        <w:pStyle w:val="ARbody"/>
      </w:pPr>
      <w:r w:rsidRPr="00571C7F">
        <w:t>We also delivered a Driving Improvement in Community Services forum in June 2019 with more than 300 participants including practitioners and executives of community service organisations. The forum aimed to promote participants’ understanding of their responsibilities in achieving safe, effective, person-centred community services for everybody, every time</w:t>
      </w:r>
      <w:r>
        <w:t>. It also highlighted</w:t>
      </w:r>
      <w:r w:rsidRPr="00571C7F">
        <w:t xml:space="preserve"> the importance of the client voice</w:t>
      </w:r>
      <w:r>
        <w:t>,</w:t>
      </w:r>
      <w:r w:rsidRPr="00571C7F">
        <w:t xml:space="preserve"> and the culture change required to achieve best outcomes for service users.</w:t>
      </w:r>
    </w:p>
    <w:p w14:paraId="748D59BB" w14:textId="4741CE14" w:rsidR="00814857" w:rsidRPr="00786194" w:rsidRDefault="00814857" w:rsidP="00037F82">
      <w:pPr>
        <w:pStyle w:val="Heading5smaller"/>
      </w:pPr>
      <w:r>
        <w:t>New approaches to monitoring service</w:t>
      </w:r>
      <w:r w:rsidR="002D7496">
        <w:t> </w:t>
      </w:r>
      <w:r>
        <w:t>agreement compliance</w:t>
      </w:r>
    </w:p>
    <w:p w14:paraId="6DB8457B" w14:textId="6999B085" w:rsidR="00814857" w:rsidRPr="00571C7F" w:rsidRDefault="00814857" w:rsidP="00A85B57">
      <w:pPr>
        <w:pStyle w:val="ARbody"/>
        <w:spacing w:after="80"/>
      </w:pPr>
      <w:r w:rsidRPr="00571C7F">
        <w:t>In response to a 2018 audit of contract management capability by the Victorian Auditor-General’s Office, the department has adopted a</w:t>
      </w:r>
      <w:r w:rsidR="00EF2D34">
        <w:t> </w:t>
      </w:r>
      <w:r w:rsidRPr="00571C7F">
        <w:t>new approach to how it monitors agencies funded</w:t>
      </w:r>
      <w:r w:rsidR="00EF2D34">
        <w:t> </w:t>
      </w:r>
      <w:r w:rsidRPr="00571C7F">
        <w:t>through a service agreement. The</w:t>
      </w:r>
      <w:r w:rsidR="002D7496">
        <w:t> </w:t>
      </w:r>
      <w:r w:rsidRPr="00571C7F">
        <w:t>Agency</w:t>
      </w:r>
      <w:r w:rsidR="00EF2D34">
        <w:t> </w:t>
      </w:r>
      <w:r w:rsidRPr="00571C7F">
        <w:t>Monitoring Framework (AMF) formally</w:t>
      </w:r>
      <w:r w:rsidR="002D7496">
        <w:t> </w:t>
      </w:r>
      <w:r w:rsidRPr="00571C7F">
        <w:t>commenced on 1 July 2019 and introduced</w:t>
      </w:r>
      <w:r w:rsidR="002D7496">
        <w:t> </w:t>
      </w:r>
      <w:r w:rsidRPr="00571C7F">
        <w:t>a risk-based approach.</w:t>
      </w:r>
    </w:p>
    <w:p w14:paraId="74F1AF39" w14:textId="1473A300" w:rsidR="00345066" w:rsidRDefault="00814857" w:rsidP="00A85B57">
      <w:pPr>
        <w:pStyle w:val="ARbody"/>
        <w:spacing w:after="80"/>
      </w:pPr>
      <w:r w:rsidRPr="00571C7F">
        <w:t>It consists of policies, procedures and tools designed to streamline and standardise the monitoring of service agreement compliance across</w:t>
      </w:r>
      <w:r w:rsidR="002D7496">
        <w:t> </w:t>
      </w:r>
      <w:r w:rsidRPr="00571C7F">
        <w:t>the state. It fosters early identification of</w:t>
      </w:r>
      <w:r w:rsidR="002D7496">
        <w:t> </w:t>
      </w:r>
      <w:r w:rsidRPr="00571C7F">
        <w:t>issues and provides support for agencies to meet</w:t>
      </w:r>
      <w:r w:rsidR="002D7496">
        <w:t> </w:t>
      </w:r>
      <w:r w:rsidRPr="00571C7F">
        <w:t>their contractual requirements and improve performance. The framework standardises contract management processes across the state and guides the monitoring of staff activity.</w:t>
      </w:r>
    </w:p>
    <w:p w14:paraId="478227C5" w14:textId="3340F484" w:rsidR="00814857" w:rsidRPr="00571C7F" w:rsidRDefault="002D7496" w:rsidP="00350E76">
      <w:pPr>
        <w:pStyle w:val="ARbody"/>
      </w:pPr>
      <w:r>
        <w:br w:type="column"/>
      </w:r>
      <w:r w:rsidR="00814857" w:rsidRPr="00571C7F">
        <w:t>This new approach to agency monitoring reduces the administrative burden for funded agencies and allows for better services for vulnerable Victorians. A cornerstone of the AMF is a set of risk-tiering principles that assess agency risk based on the scale, complexity and scope of activities. The level of contact the department has with an agency is guided by the corresponding level of risk assigned to each agency’s services. The AMF is being progressively rolled out from 1 July 2019.</w:t>
      </w:r>
    </w:p>
    <w:p w14:paraId="673C8456" w14:textId="77777777" w:rsidR="00814857" w:rsidRPr="0087191D" w:rsidRDefault="00814857" w:rsidP="00037F82">
      <w:pPr>
        <w:pStyle w:val="Heading5smaller"/>
      </w:pPr>
      <w:r>
        <w:t>Shifting to a governance continuous improvement mindset</w:t>
      </w:r>
    </w:p>
    <w:p w14:paraId="17ADB3EE" w14:textId="0C5D0906" w:rsidR="00814857" w:rsidRPr="00174313" w:rsidRDefault="00814857" w:rsidP="000B7C6C">
      <w:pPr>
        <w:pStyle w:val="ARbody"/>
        <w:spacing w:after="80"/>
      </w:pPr>
      <w:r w:rsidRPr="00174313">
        <w:t>The Community Services Quality Governance Framework’s goals are for safe, effective, connected, person-centred community services for</w:t>
      </w:r>
      <w:r w:rsidR="002D7496">
        <w:t> </w:t>
      </w:r>
      <w:r w:rsidRPr="00174313">
        <w:t>everybody, every time. It has changed the way</w:t>
      </w:r>
      <w:r w:rsidR="002D7496">
        <w:t> </w:t>
      </w:r>
      <w:r w:rsidRPr="00174313">
        <w:t>the community services sector thinks, shifting from a compliance mindset to one of continuous improvement. In addition, the framework has strengthened the role of boards and a focus on</w:t>
      </w:r>
      <w:r w:rsidR="002D7496">
        <w:t> </w:t>
      </w:r>
      <w:r w:rsidRPr="00174313">
        <w:t>client voice.</w:t>
      </w:r>
    </w:p>
    <w:p w14:paraId="7DDC7F62" w14:textId="124684A2" w:rsidR="00814857" w:rsidRPr="00174313" w:rsidRDefault="00814857" w:rsidP="000B7C6C">
      <w:pPr>
        <w:pStyle w:val="ARbody"/>
        <w:spacing w:after="80"/>
      </w:pPr>
      <w:r w:rsidRPr="00174313">
        <w:t>More than 400 people across the department, sector and oversight bodies engaged with the process to develop and agree on the framework’s goals and areas of focus. This engagement has continued, and sector demand for the framework is</w:t>
      </w:r>
      <w:r w:rsidR="002D7496">
        <w:t> </w:t>
      </w:r>
      <w:r w:rsidRPr="00174313">
        <w:t>so high that multiple reprints and more than 2,000 hard</w:t>
      </w:r>
      <w:r>
        <w:t xml:space="preserve"> </w:t>
      </w:r>
      <w:r w:rsidRPr="00174313">
        <w:t>copies have been distributed with regular requests for additional copies from services and resources to support and drive implementation.</w:t>
      </w:r>
    </w:p>
    <w:p w14:paraId="0F0FCF36" w14:textId="77777777" w:rsidR="00814857" w:rsidRDefault="00814857" w:rsidP="008F035E">
      <w:pPr>
        <w:sectPr w:rsidR="00814857" w:rsidSect="00E34BA4">
          <w:headerReference w:type="first" r:id="rId90"/>
          <w:footerReference w:type="first" r:id="rId91"/>
          <w:endnotePr>
            <w:numFmt w:val="decimal"/>
          </w:endnotePr>
          <w:type w:val="continuous"/>
          <w:pgSz w:w="11900" w:h="16840" w:code="9"/>
          <w:pgMar w:top="1985" w:right="851" w:bottom="851" w:left="1418" w:header="510" w:footer="340" w:gutter="0"/>
          <w:cols w:num="2" w:space="454"/>
        </w:sectPr>
      </w:pPr>
    </w:p>
    <w:p w14:paraId="6C8D00CA" w14:textId="77777777" w:rsidR="00814857" w:rsidRDefault="00814857" w:rsidP="002D7496">
      <w:pPr>
        <w:pStyle w:val="Heading3"/>
        <w:spacing w:before="0"/>
      </w:pPr>
      <w:r w:rsidRPr="00657E8C">
        <w:lastRenderedPageBreak/>
        <w:t>Objective 5: indicator results</w:t>
      </w: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20" w:firstRow="1" w:lastRow="0" w:firstColumn="0" w:lastColumn="0" w:noHBand="0" w:noVBand="1"/>
      </w:tblPr>
      <w:tblGrid>
        <w:gridCol w:w="5947"/>
        <w:gridCol w:w="940"/>
        <w:gridCol w:w="939"/>
        <w:gridCol w:w="939"/>
        <w:gridCol w:w="879"/>
      </w:tblGrid>
      <w:tr w:rsidR="00814857" w14:paraId="55FC5D17" w14:textId="77777777" w:rsidTr="008F035E">
        <w:trPr>
          <w:cantSplit/>
          <w:tblHeader/>
        </w:trPr>
        <w:tc>
          <w:tcPr>
            <w:tcW w:w="5947" w:type="dxa"/>
            <w:tcBorders>
              <w:top w:val="nil"/>
              <w:left w:val="single" w:sz="4" w:space="0" w:color="FFFFFF"/>
              <w:bottom w:val="single" w:sz="4" w:space="0" w:color="auto"/>
              <w:right w:val="single" w:sz="4" w:space="0" w:color="FFFFFF"/>
            </w:tcBorders>
            <w:vAlign w:val="bottom"/>
          </w:tcPr>
          <w:p w14:paraId="78642BBB" w14:textId="77777777" w:rsidR="00814857" w:rsidRDefault="00814857" w:rsidP="00682CD7">
            <w:pPr>
              <w:spacing w:before="80" w:after="60" w:line="216" w:lineRule="auto"/>
              <w:rPr>
                <w:rFonts w:eastAsia="Times" w:cs="Arial"/>
                <w:b/>
                <w:sz w:val="18"/>
                <w:szCs w:val="18"/>
              </w:rPr>
            </w:pPr>
          </w:p>
        </w:tc>
        <w:tc>
          <w:tcPr>
            <w:tcW w:w="940" w:type="dxa"/>
            <w:tcBorders>
              <w:top w:val="nil"/>
              <w:left w:val="single" w:sz="4" w:space="0" w:color="FFFFFF"/>
              <w:bottom w:val="single" w:sz="4" w:space="0" w:color="auto"/>
              <w:right w:val="single" w:sz="4" w:space="0" w:color="FFFFFF"/>
            </w:tcBorders>
            <w:hideMark/>
          </w:tcPr>
          <w:p w14:paraId="35EEA9EF" w14:textId="77777777" w:rsidR="00814857" w:rsidRDefault="00814857" w:rsidP="00682CD7">
            <w:pPr>
              <w:pStyle w:val="ARtablecolhead"/>
            </w:pPr>
            <w:r>
              <w:t>2015–16</w:t>
            </w:r>
          </w:p>
        </w:tc>
        <w:tc>
          <w:tcPr>
            <w:tcW w:w="939" w:type="dxa"/>
            <w:tcBorders>
              <w:top w:val="nil"/>
              <w:left w:val="single" w:sz="4" w:space="0" w:color="FFFFFF"/>
              <w:bottom w:val="single" w:sz="4" w:space="0" w:color="auto"/>
              <w:right w:val="single" w:sz="4" w:space="0" w:color="FFFFFF"/>
            </w:tcBorders>
            <w:hideMark/>
          </w:tcPr>
          <w:p w14:paraId="1FF9F930" w14:textId="77777777" w:rsidR="00814857" w:rsidRDefault="00814857" w:rsidP="00682CD7">
            <w:pPr>
              <w:pStyle w:val="ARtablecolhead"/>
            </w:pPr>
            <w:r>
              <w:t>2016–17</w:t>
            </w:r>
          </w:p>
        </w:tc>
        <w:tc>
          <w:tcPr>
            <w:tcW w:w="939" w:type="dxa"/>
            <w:tcBorders>
              <w:top w:val="nil"/>
              <w:left w:val="single" w:sz="4" w:space="0" w:color="FFFFFF"/>
              <w:bottom w:val="single" w:sz="4" w:space="0" w:color="auto"/>
              <w:right w:val="single" w:sz="4" w:space="0" w:color="FFFFFF"/>
            </w:tcBorders>
            <w:hideMark/>
          </w:tcPr>
          <w:p w14:paraId="53D9653A" w14:textId="77777777" w:rsidR="00814857" w:rsidRDefault="00814857" w:rsidP="00682CD7">
            <w:pPr>
              <w:pStyle w:val="ARtablecolhead"/>
            </w:pPr>
            <w:r>
              <w:t>2017–18</w:t>
            </w:r>
          </w:p>
        </w:tc>
        <w:tc>
          <w:tcPr>
            <w:tcW w:w="879" w:type="dxa"/>
            <w:tcBorders>
              <w:top w:val="nil"/>
              <w:left w:val="single" w:sz="4" w:space="0" w:color="FFFFFF"/>
              <w:bottom w:val="single" w:sz="4" w:space="0" w:color="auto"/>
              <w:right w:val="single" w:sz="4" w:space="0" w:color="FFFFFF"/>
            </w:tcBorders>
            <w:hideMark/>
          </w:tcPr>
          <w:p w14:paraId="560D4427" w14:textId="77777777" w:rsidR="00814857" w:rsidRDefault="00814857" w:rsidP="00682CD7">
            <w:pPr>
              <w:pStyle w:val="ARtablecolhead"/>
            </w:pPr>
            <w:r>
              <w:t>2018–19</w:t>
            </w:r>
          </w:p>
        </w:tc>
      </w:tr>
      <w:tr w:rsidR="00814857" w14:paraId="1312E575" w14:textId="77777777" w:rsidTr="00682CD7">
        <w:trPr>
          <w:cantSplit/>
        </w:trPr>
        <w:tc>
          <w:tcPr>
            <w:tcW w:w="9644" w:type="dxa"/>
            <w:gridSpan w:val="5"/>
            <w:tcBorders>
              <w:top w:val="single" w:sz="4" w:space="0" w:color="auto"/>
              <w:left w:val="single" w:sz="4" w:space="0" w:color="FFFFFF"/>
              <w:bottom w:val="single" w:sz="4" w:space="0" w:color="BFBFBF"/>
              <w:right w:val="single" w:sz="4" w:space="0" w:color="FFFFFF"/>
            </w:tcBorders>
            <w:hideMark/>
          </w:tcPr>
          <w:p w14:paraId="4D8C1BCA" w14:textId="77777777" w:rsidR="00814857" w:rsidRDefault="00814857" w:rsidP="008F035E">
            <w:pPr>
              <w:pStyle w:val="ARtablebluebold"/>
            </w:pPr>
            <w:r>
              <w:t>Services are appropriate and accessible in the right place, at the right time</w:t>
            </w:r>
          </w:p>
        </w:tc>
      </w:tr>
      <w:tr w:rsidR="00814857" w14:paraId="595BE0BC" w14:textId="77777777" w:rsidTr="00682CD7">
        <w:trPr>
          <w:cantSplit/>
        </w:trPr>
        <w:tc>
          <w:tcPr>
            <w:tcW w:w="5947" w:type="dxa"/>
            <w:tcBorders>
              <w:top w:val="single" w:sz="4" w:space="0" w:color="BFBFBF"/>
              <w:left w:val="single" w:sz="4" w:space="0" w:color="FFFFFF"/>
              <w:bottom w:val="single" w:sz="4" w:space="0" w:color="FFFFFF"/>
              <w:right w:val="single" w:sz="4" w:space="0" w:color="FFFFFF"/>
            </w:tcBorders>
            <w:hideMark/>
          </w:tcPr>
          <w:p w14:paraId="56F98182" w14:textId="77777777" w:rsidR="00814857" w:rsidRDefault="00814857" w:rsidP="00682CD7">
            <w:pPr>
              <w:pStyle w:val="ARtabletext"/>
              <w:rPr>
                <w:i/>
              </w:rPr>
            </w:pPr>
            <w:r>
              <w:t>Non-urgent (Category 3) elective surgery patients admitted within 365 days</w:t>
            </w:r>
          </w:p>
        </w:tc>
        <w:tc>
          <w:tcPr>
            <w:tcW w:w="940" w:type="dxa"/>
            <w:tcBorders>
              <w:top w:val="single" w:sz="4" w:space="0" w:color="BFBFBF"/>
              <w:left w:val="single" w:sz="4" w:space="0" w:color="FFFFFF"/>
              <w:bottom w:val="single" w:sz="4" w:space="0" w:color="FFFFFF"/>
              <w:right w:val="single" w:sz="4" w:space="0" w:color="FFFFFF"/>
            </w:tcBorders>
            <w:hideMark/>
          </w:tcPr>
          <w:p w14:paraId="3CEA476C" w14:textId="77777777" w:rsidR="00814857" w:rsidRDefault="00814857" w:rsidP="00682CD7">
            <w:pPr>
              <w:pStyle w:val="ARtabletext"/>
            </w:pPr>
            <w:r>
              <w:t>94.0%</w:t>
            </w:r>
          </w:p>
        </w:tc>
        <w:tc>
          <w:tcPr>
            <w:tcW w:w="939" w:type="dxa"/>
            <w:tcBorders>
              <w:top w:val="single" w:sz="4" w:space="0" w:color="BFBFBF"/>
              <w:left w:val="single" w:sz="4" w:space="0" w:color="FFFFFF"/>
              <w:bottom w:val="single" w:sz="4" w:space="0" w:color="FFFFFF"/>
              <w:right w:val="single" w:sz="4" w:space="0" w:color="FFFFFF"/>
            </w:tcBorders>
            <w:hideMark/>
          </w:tcPr>
          <w:p w14:paraId="02C2C2FE" w14:textId="77777777" w:rsidR="00814857" w:rsidRDefault="00814857" w:rsidP="00682CD7">
            <w:pPr>
              <w:pStyle w:val="ARtabletext"/>
            </w:pPr>
            <w:r>
              <w:t>95.0%</w:t>
            </w:r>
          </w:p>
        </w:tc>
        <w:tc>
          <w:tcPr>
            <w:tcW w:w="939" w:type="dxa"/>
            <w:tcBorders>
              <w:top w:val="single" w:sz="4" w:space="0" w:color="BFBFBF"/>
              <w:left w:val="single" w:sz="4" w:space="0" w:color="FFFFFF"/>
              <w:bottom w:val="single" w:sz="4" w:space="0" w:color="FFFFFF"/>
              <w:right w:val="single" w:sz="4" w:space="0" w:color="FFFFFF"/>
            </w:tcBorders>
            <w:hideMark/>
          </w:tcPr>
          <w:p w14:paraId="04BF4C10" w14:textId="77777777" w:rsidR="00814857" w:rsidRDefault="00814857" w:rsidP="00682CD7">
            <w:pPr>
              <w:pStyle w:val="ARtabletext"/>
            </w:pPr>
            <w:r>
              <w:t>95.7%</w:t>
            </w:r>
          </w:p>
        </w:tc>
        <w:tc>
          <w:tcPr>
            <w:tcW w:w="879" w:type="dxa"/>
            <w:tcBorders>
              <w:top w:val="single" w:sz="4" w:space="0" w:color="BFBFBF"/>
              <w:left w:val="single" w:sz="4" w:space="0" w:color="FFFFFF"/>
              <w:bottom w:val="single" w:sz="4" w:space="0" w:color="FFFFFF"/>
              <w:right w:val="single" w:sz="4" w:space="0" w:color="FFFFFF"/>
            </w:tcBorders>
            <w:hideMark/>
          </w:tcPr>
          <w:p w14:paraId="39D5C7B9" w14:textId="77777777" w:rsidR="00814857" w:rsidRDefault="00814857" w:rsidP="00682CD7">
            <w:pPr>
              <w:pStyle w:val="ARtabletext"/>
            </w:pPr>
            <w:r>
              <w:t>96.2%</w:t>
            </w:r>
          </w:p>
        </w:tc>
      </w:tr>
      <w:tr w:rsidR="00814857" w14:paraId="7AD66BBC" w14:textId="77777777" w:rsidTr="00682CD7">
        <w:trPr>
          <w:cantSplit/>
        </w:trPr>
        <w:tc>
          <w:tcPr>
            <w:tcW w:w="5947" w:type="dxa"/>
            <w:tcBorders>
              <w:top w:val="single" w:sz="4" w:space="0" w:color="BFBFBF"/>
              <w:left w:val="single" w:sz="4" w:space="0" w:color="FFFFFF"/>
              <w:bottom w:val="single" w:sz="4" w:space="0" w:color="FFFFFF"/>
              <w:right w:val="single" w:sz="4" w:space="0" w:color="FFFFFF"/>
            </w:tcBorders>
            <w:hideMark/>
          </w:tcPr>
          <w:p w14:paraId="34C9635D" w14:textId="77777777" w:rsidR="00814857" w:rsidRDefault="00814857" w:rsidP="00682CD7">
            <w:pPr>
              <w:pStyle w:val="ARtabletext"/>
              <w:rPr>
                <w:i/>
              </w:rPr>
            </w:pPr>
            <w:r>
              <w:t>Semi-urgent (Category 2) elective surgery patients admitted within 90 days</w:t>
            </w:r>
          </w:p>
        </w:tc>
        <w:tc>
          <w:tcPr>
            <w:tcW w:w="940" w:type="dxa"/>
            <w:tcBorders>
              <w:top w:val="single" w:sz="4" w:space="0" w:color="BFBFBF"/>
              <w:left w:val="single" w:sz="4" w:space="0" w:color="FFFFFF"/>
              <w:bottom w:val="single" w:sz="4" w:space="0" w:color="FFFFFF"/>
              <w:right w:val="single" w:sz="4" w:space="0" w:color="FFFFFF"/>
            </w:tcBorders>
            <w:hideMark/>
          </w:tcPr>
          <w:p w14:paraId="2CF5C32C" w14:textId="77777777" w:rsidR="00814857" w:rsidRDefault="00814857" w:rsidP="00682CD7">
            <w:pPr>
              <w:pStyle w:val="ARtabletext"/>
            </w:pPr>
            <w:r>
              <w:t>77.0%</w:t>
            </w:r>
          </w:p>
        </w:tc>
        <w:tc>
          <w:tcPr>
            <w:tcW w:w="939" w:type="dxa"/>
            <w:tcBorders>
              <w:top w:val="single" w:sz="4" w:space="0" w:color="BFBFBF"/>
              <w:left w:val="single" w:sz="4" w:space="0" w:color="FFFFFF"/>
              <w:bottom w:val="single" w:sz="4" w:space="0" w:color="FFFFFF"/>
              <w:right w:val="single" w:sz="4" w:space="0" w:color="FFFFFF"/>
            </w:tcBorders>
            <w:hideMark/>
          </w:tcPr>
          <w:p w14:paraId="6B4D4766" w14:textId="77777777" w:rsidR="00814857" w:rsidRDefault="00814857" w:rsidP="00682CD7">
            <w:pPr>
              <w:pStyle w:val="ARtabletext"/>
            </w:pPr>
            <w:r>
              <w:t>81.0%</w:t>
            </w:r>
          </w:p>
        </w:tc>
        <w:tc>
          <w:tcPr>
            <w:tcW w:w="939" w:type="dxa"/>
            <w:tcBorders>
              <w:top w:val="single" w:sz="4" w:space="0" w:color="BFBFBF"/>
              <w:left w:val="single" w:sz="4" w:space="0" w:color="FFFFFF"/>
              <w:bottom w:val="single" w:sz="4" w:space="0" w:color="FFFFFF"/>
              <w:right w:val="single" w:sz="4" w:space="0" w:color="FFFFFF"/>
            </w:tcBorders>
            <w:hideMark/>
          </w:tcPr>
          <w:p w14:paraId="0EB8FAC9" w14:textId="77777777" w:rsidR="00814857" w:rsidRDefault="00814857" w:rsidP="00682CD7">
            <w:pPr>
              <w:pStyle w:val="ARtabletext"/>
            </w:pPr>
            <w:r>
              <w:t>80.6%</w:t>
            </w:r>
          </w:p>
        </w:tc>
        <w:tc>
          <w:tcPr>
            <w:tcW w:w="879" w:type="dxa"/>
            <w:tcBorders>
              <w:top w:val="single" w:sz="4" w:space="0" w:color="BFBFBF"/>
              <w:left w:val="single" w:sz="4" w:space="0" w:color="FFFFFF"/>
              <w:bottom w:val="single" w:sz="4" w:space="0" w:color="FFFFFF"/>
              <w:right w:val="single" w:sz="4" w:space="0" w:color="FFFFFF"/>
            </w:tcBorders>
            <w:hideMark/>
          </w:tcPr>
          <w:p w14:paraId="6979A5B1" w14:textId="77777777" w:rsidR="00814857" w:rsidRDefault="00814857" w:rsidP="00682CD7">
            <w:pPr>
              <w:pStyle w:val="ARtabletext"/>
            </w:pPr>
            <w:r>
              <w:t>82.0%</w:t>
            </w:r>
          </w:p>
        </w:tc>
      </w:tr>
      <w:tr w:rsidR="00814857" w14:paraId="58C982F6" w14:textId="77777777" w:rsidTr="00682CD7">
        <w:trPr>
          <w:cantSplit/>
        </w:trPr>
        <w:tc>
          <w:tcPr>
            <w:tcW w:w="5947" w:type="dxa"/>
            <w:tcBorders>
              <w:top w:val="single" w:sz="4" w:space="0" w:color="BFBFBF"/>
              <w:left w:val="single" w:sz="4" w:space="0" w:color="FFFFFF"/>
              <w:bottom w:val="single" w:sz="4" w:space="0" w:color="FFFFFF"/>
              <w:right w:val="single" w:sz="4" w:space="0" w:color="FFFFFF"/>
            </w:tcBorders>
            <w:hideMark/>
          </w:tcPr>
          <w:p w14:paraId="0EF015D8" w14:textId="77777777" w:rsidR="00814857" w:rsidRDefault="00814857" w:rsidP="00682CD7">
            <w:pPr>
              <w:pStyle w:val="ARtabletext"/>
              <w:rPr>
                <w:i/>
              </w:rPr>
            </w:pPr>
            <w:r>
              <w:t>Urgent (Category 1) elective surgery patients admitted within 30 days</w:t>
            </w:r>
          </w:p>
        </w:tc>
        <w:tc>
          <w:tcPr>
            <w:tcW w:w="940" w:type="dxa"/>
            <w:tcBorders>
              <w:top w:val="single" w:sz="4" w:space="0" w:color="BFBFBF"/>
              <w:left w:val="single" w:sz="4" w:space="0" w:color="FFFFFF"/>
              <w:bottom w:val="single" w:sz="4" w:space="0" w:color="FFFFFF"/>
              <w:right w:val="single" w:sz="4" w:space="0" w:color="FFFFFF"/>
            </w:tcBorders>
            <w:hideMark/>
          </w:tcPr>
          <w:p w14:paraId="2B82AD67" w14:textId="77777777" w:rsidR="00814857" w:rsidRDefault="00814857" w:rsidP="00682CD7">
            <w:pPr>
              <w:pStyle w:val="ARtabletext"/>
            </w:pPr>
            <w:r>
              <w:t>100%</w:t>
            </w:r>
          </w:p>
        </w:tc>
        <w:tc>
          <w:tcPr>
            <w:tcW w:w="939" w:type="dxa"/>
            <w:tcBorders>
              <w:top w:val="single" w:sz="4" w:space="0" w:color="BFBFBF"/>
              <w:left w:val="single" w:sz="4" w:space="0" w:color="FFFFFF"/>
              <w:bottom w:val="single" w:sz="4" w:space="0" w:color="FFFFFF"/>
              <w:right w:val="single" w:sz="4" w:space="0" w:color="FFFFFF"/>
            </w:tcBorders>
            <w:hideMark/>
          </w:tcPr>
          <w:p w14:paraId="4F430928" w14:textId="77777777" w:rsidR="00814857" w:rsidRDefault="00814857" w:rsidP="00682CD7">
            <w:pPr>
              <w:pStyle w:val="ARtabletext"/>
            </w:pPr>
            <w:r>
              <w:t>100%</w:t>
            </w:r>
          </w:p>
        </w:tc>
        <w:tc>
          <w:tcPr>
            <w:tcW w:w="939" w:type="dxa"/>
            <w:tcBorders>
              <w:top w:val="single" w:sz="4" w:space="0" w:color="BFBFBF"/>
              <w:left w:val="single" w:sz="4" w:space="0" w:color="FFFFFF"/>
              <w:bottom w:val="single" w:sz="4" w:space="0" w:color="FFFFFF"/>
              <w:right w:val="single" w:sz="4" w:space="0" w:color="FFFFFF"/>
            </w:tcBorders>
            <w:hideMark/>
          </w:tcPr>
          <w:p w14:paraId="59C31AF9" w14:textId="77777777" w:rsidR="00814857" w:rsidRDefault="00814857" w:rsidP="00682CD7">
            <w:pPr>
              <w:pStyle w:val="ARtabletext"/>
            </w:pPr>
            <w:r>
              <w:t>100%</w:t>
            </w:r>
          </w:p>
        </w:tc>
        <w:tc>
          <w:tcPr>
            <w:tcW w:w="879" w:type="dxa"/>
            <w:tcBorders>
              <w:top w:val="single" w:sz="4" w:space="0" w:color="BFBFBF"/>
              <w:left w:val="single" w:sz="4" w:space="0" w:color="FFFFFF"/>
              <w:bottom w:val="single" w:sz="4" w:space="0" w:color="FFFFFF"/>
              <w:right w:val="single" w:sz="4" w:space="0" w:color="FFFFFF"/>
            </w:tcBorders>
            <w:hideMark/>
          </w:tcPr>
          <w:p w14:paraId="2CEE9B53" w14:textId="77777777" w:rsidR="00814857" w:rsidRDefault="00814857" w:rsidP="00682CD7">
            <w:pPr>
              <w:pStyle w:val="ARtabletext"/>
            </w:pPr>
            <w:r>
              <w:t>100%</w:t>
            </w:r>
          </w:p>
        </w:tc>
      </w:tr>
      <w:tr w:rsidR="00814857" w14:paraId="2DF2ABA4" w14:textId="77777777" w:rsidTr="00682CD7">
        <w:trPr>
          <w:cantSplit/>
        </w:trPr>
        <w:tc>
          <w:tcPr>
            <w:tcW w:w="5947" w:type="dxa"/>
            <w:tcBorders>
              <w:top w:val="single" w:sz="4" w:space="0" w:color="BFBFBF"/>
              <w:left w:val="single" w:sz="4" w:space="0" w:color="FFFFFF"/>
              <w:bottom w:val="single" w:sz="4" w:space="0" w:color="FFFFFF"/>
              <w:right w:val="single" w:sz="4" w:space="0" w:color="FFFFFF"/>
            </w:tcBorders>
            <w:hideMark/>
          </w:tcPr>
          <w:p w14:paraId="45B1FFF8" w14:textId="77777777" w:rsidR="00814857" w:rsidRDefault="00814857" w:rsidP="00682CD7">
            <w:pPr>
              <w:pStyle w:val="ARtabletext"/>
              <w:rPr>
                <w:i/>
              </w:rPr>
            </w:pPr>
            <w:r>
              <w:t>Emergency Category 1 treated immediately</w:t>
            </w:r>
          </w:p>
        </w:tc>
        <w:tc>
          <w:tcPr>
            <w:tcW w:w="940" w:type="dxa"/>
            <w:tcBorders>
              <w:top w:val="single" w:sz="4" w:space="0" w:color="BFBFBF"/>
              <w:left w:val="single" w:sz="4" w:space="0" w:color="FFFFFF"/>
              <w:bottom w:val="single" w:sz="4" w:space="0" w:color="FFFFFF"/>
              <w:right w:val="single" w:sz="4" w:space="0" w:color="FFFFFF"/>
            </w:tcBorders>
            <w:hideMark/>
          </w:tcPr>
          <w:p w14:paraId="58B59673" w14:textId="77777777" w:rsidR="00814857" w:rsidRDefault="00814857" w:rsidP="00682CD7">
            <w:pPr>
              <w:pStyle w:val="ARtabletext"/>
            </w:pPr>
            <w:r>
              <w:t>100%</w:t>
            </w:r>
          </w:p>
        </w:tc>
        <w:tc>
          <w:tcPr>
            <w:tcW w:w="939" w:type="dxa"/>
            <w:tcBorders>
              <w:top w:val="single" w:sz="4" w:space="0" w:color="BFBFBF"/>
              <w:left w:val="single" w:sz="4" w:space="0" w:color="FFFFFF"/>
              <w:bottom w:val="single" w:sz="4" w:space="0" w:color="FFFFFF"/>
              <w:right w:val="single" w:sz="4" w:space="0" w:color="FFFFFF"/>
            </w:tcBorders>
            <w:hideMark/>
          </w:tcPr>
          <w:p w14:paraId="49598CF3" w14:textId="77777777" w:rsidR="00814857" w:rsidRDefault="00814857" w:rsidP="00682CD7">
            <w:pPr>
              <w:pStyle w:val="ARtabletext"/>
            </w:pPr>
            <w:r>
              <w:t>100%</w:t>
            </w:r>
          </w:p>
        </w:tc>
        <w:tc>
          <w:tcPr>
            <w:tcW w:w="939" w:type="dxa"/>
            <w:tcBorders>
              <w:top w:val="single" w:sz="4" w:space="0" w:color="BFBFBF"/>
              <w:left w:val="single" w:sz="4" w:space="0" w:color="FFFFFF"/>
              <w:bottom w:val="single" w:sz="4" w:space="0" w:color="FFFFFF"/>
              <w:right w:val="single" w:sz="4" w:space="0" w:color="FFFFFF"/>
            </w:tcBorders>
            <w:hideMark/>
          </w:tcPr>
          <w:p w14:paraId="0B811195" w14:textId="77777777" w:rsidR="00814857" w:rsidRDefault="00814857" w:rsidP="00682CD7">
            <w:pPr>
              <w:pStyle w:val="ARtabletext"/>
            </w:pPr>
            <w:r>
              <w:t>100%</w:t>
            </w:r>
          </w:p>
        </w:tc>
        <w:tc>
          <w:tcPr>
            <w:tcW w:w="879" w:type="dxa"/>
            <w:tcBorders>
              <w:top w:val="single" w:sz="4" w:space="0" w:color="BFBFBF"/>
              <w:left w:val="single" w:sz="4" w:space="0" w:color="FFFFFF"/>
              <w:bottom w:val="single" w:sz="4" w:space="0" w:color="FFFFFF"/>
              <w:right w:val="single" w:sz="4" w:space="0" w:color="FFFFFF"/>
            </w:tcBorders>
            <w:hideMark/>
          </w:tcPr>
          <w:p w14:paraId="718C49A8" w14:textId="77777777" w:rsidR="00814857" w:rsidRDefault="00814857" w:rsidP="00682CD7">
            <w:pPr>
              <w:pStyle w:val="ARtabletext"/>
            </w:pPr>
            <w:r>
              <w:t>100%</w:t>
            </w:r>
          </w:p>
        </w:tc>
      </w:tr>
      <w:tr w:rsidR="00814857" w14:paraId="6B8A9F3F" w14:textId="77777777" w:rsidTr="00682CD7">
        <w:trPr>
          <w:cantSplit/>
        </w:trPr>
        <w:tc>
          <w:tcPr>
            <w:tcW w:w="5947" w:type="dxa"/>
            <w:tcBorders>
              <w:top w:val="single" w:sz="4" w:space="0" w:color="BFBFBF"/>
              <w:left w:val="single" w:sz="4" w:space="0" w:color="FFFFFF"/>
              <w:bottom w:val="nil"/>
              <w:right w:val="single" w:sz="4" w:space="0" w:color="FFFFFF"/>
            </w:tcBorders>
            <w:hideMark/>
          </w:tcPr>
          <w:p w14:paraId="51AF84EC" w14:textId="77777777" w:rsidR="00814857" w:rsidRDefault="00814857" w:rsidP="00682CD7">
            <w:pPr>
              <w:pStyle w:val="ARtabletext"/>
            </w:pPr>
            <w:r>
              <w:t>Emergency patients treated within clinically recommended time to treatment</w:t>
            </w:r>
          </w:p>
          <w:p w14:paraId="558B4379" w14:textId="77777777" w:rsidR="00814857" w:rsidRDefault="00814857" w:rsidP="00682CD7">
            <w:pPr>
              <w:pStyle w:val="ARtablefootnote"/>
              <w:rPr>
                <w:i/>
              </w:rPr>
            </w:pPr>
            <w:r>
              <w:rPr>
                <w:rFonts w:eastAsia="Times"/>
                <w:lang w:eastAsia="en-AU"/>
              </w:rPr>
              <w:t>Source: Internal departmental data</w:t>
            </w:r>
          </w:p>
        </w:tc>
        <w:tc>
          <w:tcPr>
            <w:tcW w:w="940" w:type="dxa"/>
            <w:tcBorders>
              <w:top w:val="single" w:sz="4" w:space="0" w:color="BFBFBF"/>
              <w:left w:val="single" w:sz="4" w:space="0" w:color="FFFFFF"/>
              <w:bottom w:val="nil"/>
              <w:right w:val="single" w:sz="4" w:space="0" w:color="FFFFFF"/>
            </w:tcBorders>
            <w:hideMark/>
          </w:tcPr>
          <w:p w14:paraId="5AA86ED1" w14:textId="77777777" w:rsidR="00814857" w:rsidRDefault="00814857" w:rsidP="00682CD7">
            <w:pPr>
              <w:pStyle w:val="ARtabletext"/>
            </w:pPr>
            <w:r>
              <w:t>74.3%</w:t>
            </w:r>
          </w:p>
        </w:tc>
        <w:tc>
          <w:tcPr>
            <w:tcW w:w="939" w:type="dxa"/>
            <w:tcBorders>
              <w:top w:val="single" w:sz="4" w:space="0" w:color="BFBFBF"/>
              <w:left w:val="single" w:sz="4" w:space="0" w:color="FFFFFF"/>
              <w:bottom w:val="nil"/>
              <w:right w:val="single" w:sz="4" w:space="0" w:color="FFFFFF"/>
            </w:tcBorders>
            <w:hideMark/>
          </w:tcPr>
          <w:p w14:paraId="0AB03D6B" w14:textId="77777777" w:rsidR="00814857" w:rsidRDefault="00814857" w:rsidP="00682CD7">
            <w:pPr>
              <w:pStyle w:val="ARtabletext"/>
            </w:pPr>
            <w:r>
              <w:t>73.4%</w:t>
            </w:r>
          </w:p>
        </w:tc>
        <w:tc>
          <w:tcPr>
            <w:tcW w:w="939" w:type="dxa"/>
            <w:tcBorders>
              <w:top w:val="single" w:sz="4" w:space="0" w:color="BFBFBF"/>
              <w:left w:val="single" w:sz="4" w:space="0" w:color="FFFFFF"/>
              <w:bottom w:val="nil"/>
              <w:right w:val="single" w:sz="4" w:space="0" w:color="FFFFFF"/>
            </w:tcBorders>
            <w:hideMark/>
          </w:tcPr>
          <w:p w14:paraId="2630DE28" w14:textId="77777777" w:rsidR="00814857" w:rsidRDefault="00814857" w:rsidP="00682CD7">
            <w:pPr>
              <w:pStyle w:val="ARtabletext"/>
            </w:pPr>
            <w:r>
              <w:t>72.3%</w:t>
            </w:r>
          </w:p>
        </w:tc>
        <w:tc>
          <w:tcPr>
            <w:tcW w:w="879" w:type="dxa"/>
            <w:tcBorders>
              <w:top w:val="single" w:sz="4" w:space="0" w:color="BFBFBF"/>
              <w:left w:val="single" w:sz="4" w:space="0" w:color="FFFFFF"/>
              <w:bottom w:val="nil"/>
              <w:right w:val="single" w:sz="4" w:space="0" w:color="FFFFFF"/>
            </w:tcBorders>
            <w:hideMark/>
          </w:tcPr>
          <w:p w14:paraId="3BC7656B" w14:textId="77777777" w:rsidR="00814857" w:rsidRDefault="00814857" w:rsidP="00682CD7">
            <w:pPr>
              <w:pStyle w:val="ARtabletext"/>
            </w:pPr>
            <w:r>
              <w:t>71.5%</w:t>
            </w:r>
          </w:p>
        </w:tc>
      </w:tr>
      <w:tr w:rsidR="00814857" w14:paraId="2DD597F0" w14:textId="77777777" w:rsidTr="00682CD7">
        <w:trPr>
          <w:cantSplit/>
        </w:trPr>
        <w:tc>
          <w:tcPr>
            <w:tcW w:w="9644" w:type="dxa"/>
            <w:gridSpan w:val="5"/>
            <w:tcBorders>
              <w:top w:val="single" w:sz="4" w:space="0" w:color="auto"/>
              <w:left w:val="nil"/>
              <w:bottom w:val="single" w:sz="4" w:space="0" w:color="BFBFBF"/>
              <w:right w:val="single" w:sz="4" w:space="0" w:color="FFFFFF"/>
            </w:tcBorders>
            <w:hideMark/>
          </w:tcPr>
          <w:p w14:paraId="400C2AE0" w14:textId="77777777" w:rsidR="00814857" w:rsidRDefault="00814857" w:rsidP="008F035E">
            <w:pPr>
              <w:pStyle w:val="ARtablebluebold"/>
            </w:pPr>
            <w:r>
              <w:t>Services are inclusive and respond to choice, culture, identity, circumstances and goals</w:t>
            </w:r>
          </w:p>
        </w:tc>
      </w:tr>
      <w:tr w:rsidR="00814857" w14:paraId="0C47C6F5" w14:textId="77777777" w:rsidTr="00682CD7">
        <w:trPr>
          <w:cantSplit/>
        </w:trPr>
        <w:tc>
          <w:tcPr>
            <w:tcW w:w="5947" w:type="dxa"/>
            <w:tcBorders>
              <w:top w:val="single" w:sz="4" w:space="0" w:color="BFBFBF"/>
              <w:left w:val="single" w:sz="4" w:space="0" w:color="FFFFFF"/>
              <w:bottom w:val="single" w:sz="4" w:space="0" w:color="FFFFFF"/>
              <w:right w:val="single" w:sz="4" w:space="0" w:color="FFFFFF"/>
            </w:tcBorders>
            <w:hideMark/>
          </w:tcPr>
          <w:p w14:paraId="76328D61" w14:textId="77777777" w:rsidR="00814857" w:rsidRDefault="00814857" w:rsidP="00682CD7">
            <w:pPr>
              <w:pStyle w:val="ARtabletext"/>
              <w:rPr>
                <w:i/>
              </w:rPr>
            </w:pPr>
            <w:r>
              <w:t>Health Independence Program direct contacts</w:t>
            </w:r>
          </w:p>
        </w:tc>
        <w:tc>
          <w:tcPr>
            <w:tcW w:w="940" w:type="dxa"/>
            <w:tcBorders>
              <w:top w:val="single" w:sz="4" w:space="0" w:color="BFBFBF"/>
              <w:left w:val="single" w:sz="4" w:space="0" w:color="FFFFFF"/>
              <w:bottom w:val="single" w:sz="4" w:space="0" w:color="FFFFFF"/>
              <w:right w:val="single" w:sz="4" w:space="0" w:color="FFFFFF"/>
            </w:tcBorders>
            <w:hideMark/>
          </w:tcPr>
          <w:p w14:paraId="0C66AF1D" w14:textId="77777777" w:rsidR="00814857" w:rsidRDefault="00814857" w:rsidP="00682CD7">
            <w:pPr>
              <w:pStyle w:val="ARtabletext"/>
            </w:pPr>
            <w:r>
              <w:t>1,498</w:t>
            </w:r>
          </w:p>
        </w:tc>
        <w:tc>
          <w:tcPr>
            <w:tcW w:w="939" w:type="dxa"/>
            <w:tcBorders>
              <w:top w:val="single" w:sz="4" w:space="0" w:color="BFBFBF"/>
              <w:left w:val="single" w:sz="4" w:space="0" w:color="FFFFFF"/>
              <w:bottom w:val="single" w:sz="4" w:space="0" w:color="FFFFFF"/>
              <w:right w:val="single" w:sz="4" w:space="0" w:color="FFFFFF"/>
            </w:tcBorders>
            <w:hideMark/>
          </w:tcPr>
          <w:p w14:paraId="5A589C2A" w14:textId="77777777" w:rsidR="00814857" w:rsidRDefault="00814857" w:rsidP="00682CD7">
            <w:pPr>
              <w:pStyle w:val="ARtabletext"/>
            </w:pPr>
            <w:r>
              <w:t>1,511</w:t>
            </w:r>
          </w:p>
        </w:tc>
        <w:tc>
          <w:tcPr>
            <w:tcW w:w="939" w:type="dxa"/>
            <w:tcBorders>
              <w:top w:val="single" w:sz="4" w:space="0" w:color="BFBFBF"/>
              <w:left w:val="single" w:sz="4" w:space="0" w:color="FFFFFF"/>
              <w:bottom w:val="single" w:sz="4" w:space="0" w:color="FFFFFF"/>
              <w:right w:val="single" w:sz="4" w:space="0" w:color="FFFFFF"/>
            </w:tcBorders>
            <w:hideMark/>
          </w:tcPr>
          <w:p w14:paraId="146BCCAE" w14:textId="77777777" w:rsidR="00814857" w:rsidRDefault="00814857" w:rsidP="00682CD7">
            <w:pPr>
              <w:pStyle w:val="ARtabletext"/>
            </w:pPr>
            <w:r>
              <w:t>1,474</w:t>
            </w:r>
          </w:p>
        </w:tc>
        <w:tc>
          <w:tcPr>
            <w:tcW w:w="879" w:type="dxa"/>
            <w:tcBorders>
              <w:top w:val="single" w:sz="4" w:space="0" w:color="BFBFBF"/>
              <w:left w:val="single" w:sz="4" w:space="0" w:color="FFFFFF"/>
              <w:bottom w:val="single" w:sz="4" w:space="0" w:color="FFFFFF"/>
              <w:right w:val="single" w:sz="4" w:space="0" w:color="FFFFFF"/>
            </w:tcBorders>
            <w:hideMark/>
          </w:tcPr>
          <w:p w14:paraId="0697E563" w14:textId="77777777" w:rsidR="00814857" w:rsidRDefault="00814857" w:rsidP="00682CD7">
            <w:pPr>
              <w:pStyle w:val="ARtabletext"/>
            </w:pPr>
            <w:r>
              <w:t>1,591</w:t>
            </w:r>
          </w:p>
        </w:tc>
      </w:tr>
      <w:tr w:rsidR="00814857" w14:paraId="598E6726" w14:textId="77777777" w:rsidTr="00682CD7">
        <w:trPr>
          <w:cantSplit/>
        </w:trPr>
        <w:tc>
          <w:tcPr>
            <w:tcW w:w="5947" w:type="dxa"/>
            <w:tcBorders>
              <w:top w:val="single" w:sz="4" w:space="0" w:color="BFBFBF"/>
              <w:left w:val="single" w:sz="4" w:space="0" w:color="FFFFFF"/>
              <w:bottom w:val="single" w:sz="4" w:space="0" w:color="FFFFFF"/>
              <w:right w:val="single" w:sz="4" w:space="0" w:color="FFFFFF"/>
            </w:tcBorders>
            <w:hideMark/>
          </w:tcPr>
          <w:p w14:paraId="38A85D20" w14:textId="77777777" w:rsidR="00814857" w:rsidRDefault="00814857" w:rsidP="00682CD7">
            <w:pPr>
              <w:pStyle w:val="ARtabletext"/>
              <w:rPr>
                <w:i/>
              </w:rPr>
            </w:pPr>
            <w:r>
              <w:t>Patients treated in specialist outpatient clinics – unweighted</w:t>
            </w:r>
          </w:p>
        </w:tc>
        <w:tc>
          <w:tcPr>
            <w:tcW w:w="940" w:type="dxa"/>
            <w:tcBorders>
              <w:top w:val="single" w:sz="4" w:space="0" w:color="BFBFBF"/>
              <w:left w:val="single" w:sz="4" w:space="0" w:color="FFFFFF"/>
              <w:bottom w:val="single" w:sz="4" w:space="0" w:color="FFFFFF"/>
              <w:right w:val="single" w:sz="4" w:space="0" w:color="FFFFFF"/>
            </w:tcBorders>
            <w:hideMark/>
          </w:tcPr>
          <w:p w14:paraId="2E097057" w14:textId="77777777" w:rsidR="00814857" w:rsidRDefault="00814857" w:rsidP="00682CD7">
            <w:pPr>
              <w:pStyle w:val="ARtabletext"/>
            </w:pPr>
            <w:r>
              <w:t>1,729</w:t>
            </w:r>
          </w:p>
        </w:tc>
        <w:tc>
          <w:tcPr>
            <w:tcW w:w="939" w:type="dxa"/>
            <w:tcBorders>
              <w:top w:val="single" w:sz="4" w:space="0" w:color="BFBFBF"/>
              <w:left w:val="single" w:sz="4" w:space="0" w:color="FFFFFF"/>
              <w:bottom w:val="single" w:sz="4" w:space="0" w:color="FFFFFF"/>
              <w:right w:val="single" w:sz="4" w:space="0" w:color="FFFFFF"/>
            </w:tcBorders>
            <w:hideMark/>
          </w:tcPr>
          <w:p w14:paraId="3B2779AB" w14:textId="77777777" w:rsidR="00814857" w:rsidRDefault="00814857" w:rsidP="00682CD7">
            <w:pPr>
              <w:pStyle w:val="ARtabletext"/>
            </w:pPr>
            <w:r>
              <w:t>1,718</w:t>
            </w:r>
          </w:p>
        </w:tc>
        <w:tc>
          <w:tcPr>
            <w:tcW w:w="939" w:type="dxa"/>
            <w:tcBorders>
              <w:top w:val="single" w:sz="4" w:space="0" w:color="BFBFBF"/>
              <w:left w:val="single" w:sz="4" w:space="0" w:color="FFFFFF"/>
              <w:bottom w:val="single" w:sz="4" w:space="0" w:color="FFFFFF"/>
              <w:right w:val="single" w:sz="4" w:space="0" w:color="FFFFFF"/>
            </w:tcBorders>
            <w:hideMark/>
          </w:tcPr>
          <w:p w14:paraId="74737A92" w14:textId="77777777" w:rsidR="00814857" w:rsidRDefault="00814857" w:rsidP="00682CD7">
            <w:pPr>
              <w:pStyle w:val="ARtabletext"/>
            </w:pPr>
            <w:r>
              <w:t>1,786</w:t>
            </w:r>
          </w:p>
        </w:tc>
        <w:tc>
          <w:tcPr>
            <w:tcW w:w="879" w:type="dxa"/>
            <w:tcBorders>
              <w:top w:val="single" w:sz="4" w:space="0" w:color="BFBFBF"/>
              <w:left w:val="single" w:sz="4" w:space="0" w:color="FFFFFF"/>
              <w:bottom w:val="single" w:sz="4" w:space="0" w:color="FFFFFF"/>
              <w:right w:val="single" w:sz="4" w:space="0" w:color="FFFFFF"/>
            </w:tcBorders>
            <w:hideMark/>
          </w:tcPr>
          <w:p w14:paraId="0D3230FF" w14:textId="77777777" w:rsidR="00814857" w:rsidRDefault="00814857" w:rsidP="00682CD7">
            <w:pPr>
              <w:pStyle w:val="ARtabletext"/>
            </w:pPr>
            <w:r>
              <w:t>1,812</w:t>
            </w:r>
          </w:p>
        </w:tc>
      </w:tr>
      <w:tr w:rsidR="00814857" w14:paraId="05A9D3BD" w14:textId="77777777" w:rsidTr="00682CD7">
        <w:trPr>
          <w:cantSplit/>
        </w:trPr>
        <w:tc>
          <w:tcPr>
            <w:tcW w:w="5947" w:type="dxa"/>
            <w:tcBorders>
              <w:top w:val="single" w:sz="4" w:space="0" w:color="BFBFBF"/>
              <w:left w:val="single" w:sz="4" w:space="0" w:color="FFFFFF"/>
              <w:bottom w:val="single" w:sz="4" w:space="0" w:color="FFFFFF"/>
              <w:right w:val="single" w:sz="4" w:space="0" w:color="FFFFFF"/>
            </w:tcBorders>
            <w:hideMark/>
          </w:tcPr>
          <w:p w14:paraId="471805B4" w14:textId="77777777" w:rsidR="00814857" w:rsidRDefault="00814857" w:rsidP="00682CD7">
            <w:pPr>
              <w:pStyle w:val="ARtabletext"/>
              <w:rPr>
                <w:i/>
              </w:rPr>
            </w:pPr>
            <w:r>
              <w:t>Post-acute clients not readmitted to acute hospital</w:t>
            </w:r>
          </w:p>
        </w:tc>
        <w:tc>
          <w:tcPr>
            <w:tcW w:w="940" w:type="dxa"/>
            <w:tcBorders>
              <w:top w:val="single" w:sz="4" w:space="0" w:color="BFBFBF"/>
              <w:left w:val="single" w:sz="4" w:space="0" w:color="FFFFFF"/>
              <w:bottom w:val="single" w:sz="4" w:space="0" w:color="FFFFFF"/>
              <w:right w:val="single" w:sz="4" w:space="0" w:color="FFFFFF"/>
            </w:tcBorders>
            <w:hideMark/>
          </w:tcPr>
          <w:p w14:paraId="7F9FAF9D" w14:textId="77777777" w:rsidR="00814857" w:rsidRDefault="00814857" w:rsidP="00682CD7">
            <w:pPr>
              <w:pStyle w:val="ARtabletext"/>
            </w:pPr>
            <w:r>
              <w:t>93.0</w:t>
            </w:r>
          </w:p>
        </w:tc>
        <w:tc>
          <w:tcPr>
            <w:tcW w:w="939" w:type="dxa"/>
            <w:tcBorders>
              <w:top w:val="single" w:sz="4" w:space="0" w:color="BFBFBF"/>
              <w:left w:val="single" w:sz="4" w:space="0" w:color="FFFFFF"/>
              <w:bottom w:val="single" w:sz="4" w:space="0" w:color="FFFFFF"/>
              <w:right w:val="single" w:sz="4" w:space="0" w:color="FFFFFF"/>
            </w:tcBorders>
            <w:hideMark/>
          </w:tcPr>
          <w:p w14:paraId="2C212973" w14:textId="77777777" w:rsidR="00814857" w:rsidRDefault="00814857" w:rsidP="00682CD7">
            <w:pPr>
              <w:pStyle w:val="ARtabletext"/>
            </w:pPr>
            <w:r>
              <w:t>93.0</w:t>
            </w:r>
          </w:p>
        </w:tc>
        <w:tc>
          <w:tcPr>
            <w:tcW w:w="939" w:type="dxa"/>
            <w:tcBorders>
              <w:top w:val="single" w:sz="4" w:space="0" w:color="BFBFBF"/>
              <w:left w:val="single" w:sz="4" w:space="0" w:color="FFFFFF"/>
              <w:bottom w:val="single" w:sz="4" w:space="0" w:color="FFFFFF"/>
              <w:right w:val="single" w:sz="4" w:space="0" w:color="FFFFFF"/>
            </w:tcBorders>
            <w:hideMark/>
          </w:tcPr>
          <w:p w14:paraId="0F3FEDBB" w14:textId="77777777" w:rsidR="00814857" w:rsidRDefault="00814857" w:rsidP="00682CD7">
            <w:pPr>
              <w:pStyle w:val="ARtabletext"/>
            </w:pPr>
            <w:r>
              <w:t>93.6</w:t>
            </w:r>
          </w:p>
        </w:tc>
        <w:tc>
          <w:tcPr>
            <w:tcW w:w="879" w:type="dxa"/>
            <w:tcBorders>
              <w:top w:val="single" w:sz="4" w:space="0" w:color="BFBFBF"/>
              <w:left w:val="single" w:sz="4" w:space="0" w:color="FFFFFF"/>
              <w:bottom w:val="single" w:sz="4" w:space="0" w:color="FFFFFF"/>
              <w:right w:val="single" w:sz="4" w:space="0" w:color="FFFFFF"/>
            </w:tcBorders>
            <w:hideMark/>
          </w:tcPr>
          <w:p w14:paraId="228FE751" w14:textId="77777777" w:rsidR="00814857" w:rsidRDefault="00814857" w:rsidP="00682CD7">
            <w:pPr>
              <w:pStyle w:val="ARtabletext"/>
            </w:pPr>
            <w:r>
              <w:t>93.9</w:t>
            </w:r>
          </w:p>
        </w:tc>
      </w:tr>
      <w:tr w:rsidR="00814857" w14:paraId="65404C90" w14:textId="77777777" w:rsidTr="00682CD7">
        <w:trPr>
          <w:cantSplit/>
        </w:trPr>
        <w:tc>
          <w:tcPr>
            <w:tcW w:w="5947" w:type="dxa"/>
            <w:tcBorders>
              <w:top w:val="single" w:sz="4" w:space="0" w:color="BFBFBF"/>
              <w:left w:val="single" w:sz="4" w:space="0" w:color="FFFFFF"/>
              <w:bottom w:val="single" w:sz="4" w:space="0" w:color="FFFFFF"/>
              <w:right w:val="single" w:sz="4" w:space="0" w:color="FFFFFF"/>
            </w:tcBorders>
            <w:hideMark/>
          </w:tcPr>
          <w:p w14:paraId="5F2CADCF" w14:textId="77777777" w:rsidR="00814857" w:rsidRDefault="00814857" w:rsidP="00682CD7">
            <w:pPr>
              <w:pStyle w:val="ARtabletext"/>
              <w:rPr>
                <w:i/>
              </w:rPr>
            </w:pPr>
            <w:r>
              <w:t>Health Independence Program clients contacted within three days of referral</w:t>
            </w:r>
          </w:p>
        </w:tc>
        <w:tc>
          <w:tcPr>
            <w:tcW w:w="940" w:type="dxa"/>
            <w:tcBorders>
              <w:top w:val="single" w:sz="4" w:space="0" w:color="BFBFBF"/>
              <w:left w:val="single" w:sz="4" w:space="0" w:color="FFFFFF"/>
              <w:bottom w:val="single" w:sz="4" w:space="0" w:color="FFFFFF"/>
              <w:right w:val="single" w:sz="4" w:space="0" w:color="FFFFFF"/>
            </w:tcBorders>
            <w:hideMark/>
          </w:tcPr>
          <w:p w14:paraId="5014C839" w14:textId="77777777" w:rsidR="00814857" w:rsidRDefault="00814857" w:rsidP="00682CD7">
            <w:pPr>
              <w:pStyle w:val="ARtabletext"/>
            </w:pPr>
            <w:r>
              <w:t>90.0</w:t>
            </w:r>
          </w:p>
        </w:tc>
        <w:tc>
          <w:tcPr>
            <w:tcW w:w="939" w:type="dxa"/>
            <w:tcBorders>
              <w:top w:val="single" w:sz="4" w:space="0" w:color="BFBFBF"/>
              <w:left w:val="single" w:sz="4" w:space="0" w:color="FFFFFF"/>
              <w:bottom w:val="single" w:sz="4" w:space="0" w:color="FFFFFF"/>
              <w:right w:val="single" w:sz="4" w:space="0" w:color="FFFFFF"/>
            </w:tcBorders>
            <w:hideMark/>
          </w:tcPr>
          <w:p w14:paraId="48520D5F" w14:textId="77777777" w:rsidR="00814857" w:rsidRDefault="00814857" w:rsidP="00682CD7">
            <w:pPr>
              <w:pStyle w:val="ARtabletext"/>
            </w:pPr>
            <w:r>
              <w:t>89.0</w:t>
            </w:r>
          </w:p>
        </w:tc>
        <w:tc>
          <w:tcPr>
            <w:tcW w:w="939" w:type="dxa"/>
            <w:tcBorders>
              <w:top w:val="single" w:sz="4" w:space="0" w:color="BFBFBF"/>
              <w:left w:val="single" w:sz="4" w:space="0" w:color="FFFFFF"/>
              <w:bottom w:val="single" w:sz="4" w:space="0" w:color="FFFFFF"/>
              <w:right w:val="single" w:sz="4" w:space="0" w:color="FFFFFF"/>
            </w:tcBorders>
            <w:hideMark/>
          </w:tcPr>
          <w:p w14:paraId="0ED7C71D" w14:textId="77777777" w:rsidR="00814857" w:rsidRDefault="00814857" w:rsidP="00682CD7">
            <w:pPr>
              <w:pStyle w:val="ARtabletext"/>
            </w:pPr>
            <w:r>
              <w:t>89.8</w:t>
            </w:r>
          </w:p>
        </w:tc>
        <w:tc>
          <w:tcPr>
            <w:tcW w:w="879" w:type="dxa"/>
            <w:tcBorders>
              <w:top w:val="single" w:sz="4" w:space="0" w:color="BFBFBF"/>
              <w:left w:val="single" w:sz="4" w:space="0" w:color="FFFFFF"/>
              <w:bottom w:val="single" w:sz="4" w:space="0" w:color="FFFFFF"/>
              <w:right w:val="single" w:sz="4" w:space="0" w:color="FFFFFF"/>
            </w:tcBorders>
            <w:hideMark/>
          </w:tcPr>
          <w:p w14:paraId="06FE4F99" w14:textId="77777777" w:rsidR="00814857" w:rsidRDefault="00814857" w:rsidP="00682CD7">
            <w:pPr>
              <w:pStyle w:val="ARtabletext"/>
            </w:pPr>
            <w:r>
              <w:t>88.7</w:t>
            </w:r>
          </w:p>
        </w:tc>
      </w:tr>
      <w:tr w:rsidR="00814857" w14:paraId="42154296" w14:textId="77777777" w:rsidTr="00682CD7">
        <w:trPr>
          <w:cantSplit/>
        </w:trPr>
        <w:tc>
          <w:tcPr>
            <w:tcW w:w="9644" w:type="dxa"/>
            <w:gridSpan w:val="5"/>
            <w:tcBorders>
              <w:top w:val="single" w:sz="4" w:space="0" w:color="FFFFFF"/>
              <w:left w:val="single" w:sz="4" w:space="0" w:color="FFFFFF"/>
              <w:bottom w:val="nil"/>
              <w:right w:val="single" w:sz="4" w:space="0" w:color="FFFFFF"/>
            </w:tcBorders>
            <w:hideMark/>
          </w:tcPr>
          <w:p w14:paraId="6EC6220D" w14:textId="77777777" w:rsidR="00814857" w:rsidRDefault="00814857" w:rsidP="00682CD7">
            <w:pPr>
              <w:pStyle w:val="ARtablefootnote"/>
            </w:pPr>
            <w:r>
              <w:rPr>
                <w:rFonts w:eastAsia="Times"/>
                <w:lang w:eastAsia="en-AU"/>
              </w:rPr>
              <w:t>Source: Internal departmental data</w:t>
            </w:r>
          </w:p>
        </w:tc>
      </w:tr>
      <w:tr w:rsidR="00814857" w14:paraId="0639B6EB" w14:textId="77777777" w:rsidTr="00682CD7">
        <w:trPr>
          <w:cantSplit/>
        </w:trPr>
        <w:tc>
          <w:tcPr>
            <w:tcW w:w="9644" w:type="dxa"/>
            <w:gridSpan w:val="5"/>
            <w:tcBorders>
              <w:top w:val="single" w:sz="4" w:space="0" w:color="auto"/>
              <w:left w:val="nil"/>
              <w:bottom w:val="single" w:sz="4" w:space="0" w:color="BFBFBF"/>
              <w:right w:val="single" w:sz="4" w:space="0" w:color="FFFFFF"/>
            </w:tcBorders>
            <w:hideMark/>
          </w:tcPr>
          <w:p w14:paraId="44A843B1" w14:textId="77777777" w:rsidR="00814857" w:rsidRDefault="00814857" w:rsidP="008F035E">
            <w:pPr>
              <w:pStyle w:val="ARtablebluebold"/>
            </w:pPr>
            <w:r>
              <w:t>Services are efficient and sustainable</w:t>
            </w:r>
          </w:p>
        </w:tc>
      </w:tr>
      <w:tr w:rsidR="00814857" w14:paraId="17518AB5" w14:textId="77777777" w:rsidTr="00682CD7">
        <w:trPr>
          <w:cantSplit/>
        </w:trPr>
        <w:tc>
          <w:tcPr>
            <w:tcW w:w="5947" w:type="dxa"/>
            <w:tcBorders>
              <w:top w:val="single" w:sz="4" w:space="0" w:color="BFBFBF"/>
              <w:left w:val="single" w:sz="4" w:space="0" w:color="FFFFFF"/>
              <w:bottom w:val="single" w:sz="4" w:space="0" w:color="FFFFFF"/>
              <w:right w:val="single" w:sz="4" w:space="0" w:color="FFFFFF"/>
            </w:tcBorders>
            <w:hideMark/>
          </w:tcPr>
          <w:p w14:paraId="6F2B1223" w14:textId="77777777" w:rsidR="00814857" w:rsidRDefault="00814857" w:rsidP="00682CD7">
            <w:pPr>
              <w:pStyle w:val="ARtabletext"/>
              <w:rPr>
                <w:i/>
              </w:rPr>
            </w:pPr>
            <w:r>
              <w:t>Major trauma patients transferred to a major trauma service</w:t>
            </w:r>
          </w:p>
        </w:tc>
        <w:tc>
          <w:tcPr>
            <w:tcW w:w="940" w:type="dxa"/>
            <w:tcBorders>
              <w:top w:val="single" w:sz="4" w:space="0" w:color="BFBFBF"/>
              <w:left w:val="single" w:sz="4" w:space="0" w:color="FFFFFF"/>
              <w:bottom w:val="single" w:sz="4" w:space="0" w:color="FFFFFF"/>
              <w:right w:val="single" w:sz="4" w:space="0" w:color="FFFFFF"/>
            </w:tcBorders>
            <w:hideMark/>
          </w:tcPr>
          <w:p w14:paraId="6263AE77" w14:textId="77777777" w:rsidR="00814857" w:rsidRDefault="00814857" w:rsidP="00682CD7">
            <w:pPr>
              <w:pStyle w:val="ARtabletext"/>
            </w:pPr>
            <w:r>
              <w:t>91.0%</w:t>
            </w:r>
          </w:p>
        </w:tc>
        <w:tc>
          <w:tcPr>
            <w:tcW w:w="939" w:type="dxa"/>
            <w:tcBorders>
              <w:top w:val="single" w:sz="4" w:space="0" w:color="BFBFBF"/>
              <w:left w:val="single" w:sz="4" w:space="0" w:color="FFFFFF"/>
              <w:bottom w:val="single" w:sz="4" w:space="0" w:color="FFFFFF"/>
              <w:right w:val="single" w:sz="4" w:space="0" w:color="FFFFFF"/>
            </w:tcBorders>
            <w:hideMark/>
          </w:tcPr>
          <w:p w14:paraId="2528FED9" w14:textId="77777777" w:rsidR="00814857" w:rsidRDefault="00814857" w:rsidP="00682CD7">
            <w:pPr>
              <w:pStyle w:val="ARtabletext"/>
            </w:pPr>
            <w:r>
              <w:t>85.0%</w:t>
            </w:r>
          </w:p>
        </w:tc>
        <w:tc>
          <w:tcPr>
            <w:tcW w:w="939" w:type="dxa"/>
            <w:tcBorders>
              <w:top w:val="single" w:sz="4" w:space="0" w:color="BFBFBF"/>
              <w:left w:val="single" w:sz="4" w:space="0" w:color="FFFFFF"/>
              <w:bottom w:val="single" w:sz="4" w:space="0" w:color="FFFFFF"/>
              <w:right w:val="single" w:sz="4" w:space="0" w:color="FFFFFF"/>
            </w:tcBorders>
            <w:hideMark/>
          </w:tcPr>
          <w:p w14:paraId="30C588B9" w14:textId="77777777" w:rsidR="00814857" w:rsidRDefault="00814857" w:rsidP="00682CD7">
            <w:pPr>
              <w:pStyle w:val="ARtabletext"/>
            </w:pPr>
            <w:r>
              <w:t>90.0%</w:t>
            </w:r>
          </w:p>
        </w:tc>
        <w:tc>
          <w:tcPr>
            <w:tcW w:w="879" w:type="dxa"/>
            <w:tcBorders>
              <w:top w:val="single" w:sz="4" w:space="0" w:color="BFBFBF"/>
              <w:left w:val="single" w:sz="4" w:space="0" w:color="FFFFFF"/>
              <w:bottom w:val="single" w:sz="4" w:space="0" w:color="FFFFFF"/>
              <w:right w:val="single" w:sz="4" w:space="0" w:color="FFFFFF"/>
            </w:tcBorders>
            <w:hideMark/>
          </w:tcPr>
          <w:p w14:paraId="251AFC66" w14:textId="77777777" w:rsidR="00814857" w:rsidRDefault="00814857" w:rsidP="00682CD7">
            <w:pPr>
              <w:pStyle w:val="ARtabletext"/>
            </w:pPr>
            <w:r>
              <w:t>91.9%</w:t>
            </w:r>
          </w:p>
        </w:tc>
      </w:tr>
      <w:tr w:rsidR="00814857" w14:paraId="5A17267C" w14:textId="77777777" w:rsidTr="00682CD7">
        <w:trPr>
          <w:cantSplit/>
        </w:trPr>
        <w:tc>
          <w:tcPr>
            <w:tcW w:w="9644" w:type="dxa"/>
            <w:gridSpan w:val="5"/>
            <w:tcBorders>
              <w:top w:val="single" w:sz="4" w:space="0" w:color="FFFFFF"/>
              <w:left w:val="single" w:sz="4" w:space="0" w:color="FFFFFF"/>
              <w:bottom w:val="nil"/>
              <w:right w:val="single" w:sz="4" w:space="0" w:color="FFFFFF"/>
            </w:tcBorders>
            <w:hideMark/>
          </w:tcPr>
          <w:p w14:paraId="2E42F754" w14:textId="77777777" w:rsidR="00814857" w:rsidRDefault="00814857" w:rsidP="00682CD7">
            <w:pPr>
              <w:pStyle w:val="ARtablefootnote"/>
            </w:pPr>
            <w:r>
              <w:rPr>
                <w:rFonts w:eastAsia="Times"/>
                <w:lang w:eastAsia="en-AU"/>
              </w:rPr>
              <w:t>Source: Internal departmental data</w:t>
            </w:r>
          </w:p>
        </w:tc>
      </w:tr>
      <w:tr w:rsidR="00814857" w14:paraId="4D0BE36E" w14:textId="77777777" w:rsidTr="00682CD7">
        <w:trPr>
          <w:cantSplit/>
        </w:trPr>
        <w:tc>
          <w:tcPr>
            <w:tcW w:w="9644" w:type="dxa"/>
            <w:gridSpan w:val="5"/>
            <w:tcBorders>
              <w:top w:val="single" w:sz="4" w:space="0" w:color="auto"/>
              <w:left w:val="nil"/>
              <w:bottom w:val="single" w:sz="4" w:space="0" w:color="BFBFBF"/>
              <w:right w:val="single" w:sz="4" w:space="0" w:color="FFFFFF"/>
            </w:tcBorders>
            <w:hideMark/>
          </w:tcPr>
          <w:p w14:paraId="452C3C23" w14:textId="77777777" w:rsidR="00814857" w:rsidRDefault="00814857" w:rsidP="008F035E">
            <w:pPr>
              <w:pStyle w:val="ARtablebluebold"/>
            </w:pPr>
            <w:r>
              <w:t>Services are safe, high-quality and provide a positive experience</w:t>
            </w:r>
          </w:p>
        </w:tc>
      </w:tr>
      <w:tr w:rsidR="00814857" w14:paraId="7987C18E" w14:textId="77777777" w:rsidTr="0099241F">
        <w:trPr>
          <w:cantSplit/>
        </w:trPr>
        <w:tc>
          <w:tcPr>
            <w:tcW w:w="5947" w:type="dxa"/>
            <w:tcBorders>
              <w:top w:val="single" w:sz="4" w:space="0" w:color="BFBFBF"/>
              <w:left w:val="single" w:sz="4" w:space="0" w:color="FFFFFF"/>
              <w:bottom w:val="single" w:sz="4" w:space="0" w:color="BFBFBF"/>
              <w:right w:val="single" w:sz="4" w:space="0" w:color="FFFFFF"/>
            </w:tcBorders>
            <w:hideMark/>
          </w:tcPr>
          <w:p w14:paraId="5C20CF32" w14:textId="77777777" w:rsidR="00814857" w:rsidRDefault="00814857" w:rsidP="00682CD7">
            <w:pPr>
              <w:pStyle w:val="ARtabletext"/>
              <w:rPr>
                <w:i/>
              </w:rPr>
            </w:pPr>
            <w:r>
              <w:t>Public hospitals accredited</w:t>
            </w:r>
          </w:p>
        </w:tc>
        <w:tc>
          <w:tcPr>
            <w:tcW w:w="940" w:type="dxa"/>
            <w:tcBorders>
              <w:top w:val="single" w:sz="4" w:space="0" w:color="BFBFBF"/>
              <w:left w:val="single" w:sz="4" w:space="0" w:color="FFFFFF"/>
              <w:bottom w:val="single" w:sz="4" w:space="0" w:color="BFBFBF"/>
              <w:right w:val="single" w:sz="4" w:space="0" w:color="FFFFFF"/>
            </w:tcBorders>
            <w:hideMark/>
          </w:tcPr>
          <w:p w14:paraId="71B9A201" w14:textId="77777777" w:rsidR="00814857" w:rsidRDefault="00814857" w:rsidP="00682CD7">
            <w:pPr>
              <w:pStyle w:val="ARtabletext"/>
            </w:pPr>
            <w:r>
              <w:t>100%</w:t>
            </w:r>
          </w:p>
        </w:tc>
        <w:tc>
          <w:tcPr>
            <w:tcW w:w="939" w:type="dxa"/>
            <w:tcBorders>
              <w:top w:val="single" w:sz="4" w:space="0" w:color="BFBFBF"/>
              <w:left w:val="single" w:sz="4" w:space="0" w:color="FFFFFF"/>
              <w:bottom w:val="single" w:sz="4" w:space="0" w:color="BFBFBF"/>
              <w:right w:val="single" w:sz="4" w:space="0" w:color="FFFFFF"/>
            </w:tcBorders>
            <w:hideMark/>
          </w:tcPr>
          <w:p w14:paraId="7988EF54" w14:textId="77777777" w:rsidR="00814857" w:rsidRDefault="00814857" w:rsidP="00682CD7">
            <w:pPr>
              <w:pStyle w:val="ARtabletext"/>
            </w:pPr>
            <w:r>
              <w:t>100%</w:t>
            </w:r>
          </w:p>
        </w:tc>
        <w:tc>
          <w:tcPr>
            <w:tcW w:w="939" w:type="dxa"/>
            <w:tcBorders>
              <w:top w:val="single" w:sz="4" w:space="0" w:color="BFBFBF"/>
              <w:left w:val="single" w:sz="4" w:space="0" w:color="FFFFFF"/>
              <w:bottom w:val="single" w:sz="4" w:space="0" w:color="BFBFBF"/>
              <w:right w:val="single" w:sz="4" w:space="0" w:color="FFFFFF"/>
            </w:tcBorders>
            <w:hideMark/>
          </w:tcPr>
          <w:p w14:paraId="15526A2C" w14:textId="77777777" w:rsidR="00814857" w:rsidRDefault="00814857" w:rsidP="00682CD7">
            <w:pPr>
              <w:pStyle w:val="ARtabletext"/>
            </w:pPr>
            <w:r>
              <w:t>100%</w:t>
            </w:r>
          </w:p>
        </w:tc>
        <w:tc>
          <w:tcPr>
            <w:tcW w:w="879" w:type="dxa"/>
            <w:tcBorders>
              <w:top w:val="single" w:sz="4" w:space="0" w:color="BFBFBF"/>
              <w:left w:val="single" w:sz="4" w:space="0" w:color="FFFFFF"/>
              <w:bottom w:val="single" w:sz="4" w:space="0" w:color="BFBFBF"/>
              <w:right w:val="single" w:sz="4" w:space="0" w:color="FFFFFF"/>
            </w:tcBorders>
            <w:hideMark/>
          </w:tcPr>
          <w:p w14:paraId="15BFC8D1" w14:textId="77777777" w:rsidR="00814857" w:rsidRDefault="00814857" w:rsidP="00682CD7">
            <w:pPr>
              <w:pStyle w:val="ARtabletext"/>
            </w:pPr>
            <w:r>
              <w:t>100%</w:t>
            </w:r>
          </w:p>
        </w:tc>
      </w:tr>
      <w:tr w:rsidR="00814857" w14:paraId="4CEB4818" w14:textId="77777777" w:rsidTr="00682CD7">
        <w:trPr>
          <w:cantSplit/>
        </w:trPr>
        <w:tc>
          <w:tcPr>
            <w:tcW w:w="5947" w:type="dxa"/>
            <w:tcBorders>
              <w:top w:val="single" w:sz="4" w:space="0" w:color="BFBFBF"/>
              <w:left w:val="single" w:sz="4" w:space="0" w:color="FFFFFF"/>
              <w:bottom w:val="single" w:sz="4" w:space="0" w:color="FFFFFF"/>
              <w:right w:val="single" w:sz="4" w:space="0" w:color="FFFFFF"/>
            </w:tcBorders>
            <w:hideMark/>
          </w:tcPr>
          <w:p w14:paraId="6819574D" w14:textId="77777777" w:rsidR="00814857" w:rsidRDefault="00814857" w:rsidP="00682CD7">
            <w:pPr>
              <w:pStyle w:val="ARtabletext"/>
              <w:rPr>
                <w:i/>
              </w:rPr>
            </w:pPr>
            <w:r>
              <w:t>Patient reported hospital cleanliness</w:t>
            </w:r>
          </w:p>
        </w:tc>
        <w:tc>
          <w:tcPr>
            <w:tcW w:w="940" w:type="dxa"/>
            <w:tcBorders>
              <w:top w:val="single" w:sz="4" w:space="0" w:color="BFBFBF"/>
              <w:left w:val="single" w:sz="4" w:space="0" w:color="FFFFFF"/>
              <w:bottom w:val="single" w:sz="4" w:space="0" w:color="FFFFFF"/>
              <w:right w:val="single" w:sz="4" w:space="0" w:color="FFFFFF"/>
            </w:tcBorders>
            <w:hideMark/>
          </w:tcPr>
          <w:p w14:paraId="2F370269" w14:textId="77777777" w:rsidR="00814857" w:rsidRDefault="00814857" w:rsidP="00682CD7">
            <w:pPr>
              <w:pStyle w:val="ARtabletext"/>
            </w:pPr>
            <w:r>
              <w:t>New measure</w:t>
            </w:r>
          </w:p>
        </w:tc>
        <w:tc>
          <w:tcPr>
            <w:tcW w:w="939" w:type="dxa"/>
            <w:tcBorders>
              <w:top w:val="single" w:sz="4" w:space="0" w:color="BFBFBF"/>
              <w:left w:val="single" w:sz="4" w:space="0" w:color="FFFFFF"/>
              <w:bottom w:val="single" w:sz="4" w:space="0" w:color="FFFFFF"/>
              <w:right w:val="single" w:sz="4" w:space="0" w:color="FFFFFF"/>
            </w:tcBorders>
            <w:hideMark/>
          </w:tcPr>
          <w:p w14:paraId="6C643D06" w14:textId="77777777" w:rsidR="00814857" w:rsidRDefault="00814857" w:rsidP="00682CD7">
            <w:pPr>
              <w:pStyle w:val="ARtabletext"/>
            </w:pPr>
            <w:r>
              <w:t>New measure</w:t>
            </w:r>
          </w:p>
        </w:tc>
        <w:tc>
          <w:tcPr>
            <w:tcW w:w="939" w:type="dxa"/>
            <w:tcBorders>
              <w:top w:val="single" w:sz="4" w:space="0" w:color="BFBFBF"/>
              <w:left w:val="single" w:sz="4" w:space="0" w:color="FFFFFF"/>
              <w:bottom w:val="single" w:sz="4" w:space="0" w:color="FFFFFF"/>
              <w:right w:val="single" w:sz="4" w:space="0" w:color="FFFFFF"/>
            </w:tcBorders>
            <w:hideMark/>
          </w:tcPr>
          <w:p w14:paraId="5C8608F0" w14:textId="77777777" w:rsidR="00814857" w:rsidRDefault="00814857" w:rsidP="00682CD7">
            <w:pPr>
              <w:pStyle w:val="ARtabletext"/>
            </w:pPr>
            <w:r>
              <w:t>70.0%</w:t>
            </w:r>
          </w:p>
        </w:tc>
        <w:tc>
          <w:tcPr>
            <w:tcW w:w="879" w:type="dxa"/>
            <w:tcBorders>
              <w:top w:val="single" w:sz="4" w:space="0" w:color="BFBFBF"/>
              <w:left w:val="single" w:sz="4" w:space="0" w:color="FFFFFF"/>
              <w:bottom w:val="single" w:sz="4" w:space="0" w:color="FFFFFF"/>
              <w:right w:val="single" w:sz="4" w:space="0" w:color="FFFFFF"/>
            </w:tcBorders>
            <w:hideMark/>
          </w:tcPr>
          <w:p w14:paraId="1D11BF79" w14:textId="77777777" w:rsidR="00814857" w:rsidRDefault="00814857" w:rsidP="00682CD7">
            <w:pPr>
              <w:pStyle w:val="ARtabletext"/>
            </w:pPr>
            <w:r>
              <w:t>69.4%</w:t>
            </w:r>
          </w:p>
        </w:tc>
      </w:tr>
      <w:tr w:rsidR="00814857" w14:paraId="307B422D" w14:textId="77777777" w:rsidTr="0099241F">
        <w:trPr>
          <w:cantSplit/>
        </w:trPr>
        <w:tc>
          <w:tcPr>
            <w:tcW w:w="9644" w:type="dxa"/>
            <w:gridSpan w:val="5"/>
            <w:tcBorders>
              <w:top w:val="single" w:sz="4" w:space="0" w:color="FFFFFF"/>
              <w:left w:val="single" w:sz="4" w:space="0" w:color="FFFFFF"/>
              <w:bottom w:val="single" w:sz="4" w:space="0" w:color="BFBFBF"/>
              <w:right w:val="single" w:sz="4" w:space="0" w:color="FFFFFF"/>
            </w:tcBorders>
            <w:hideMark/>
          </w:tcPr>
          <w:p w14:paraId="793990F7" w14:textId="77777777" w:rsidR="00814857" w:rsidRDefault="00814857" w:rsidP="00682CD7">
            <w:pPr>
              <w:pStyle w:val="ARtablefootnote"/>
            </w:pPr>
            <w:r>
              <w:rPr>
                <w:rFonts w:eastAsia="Times"/>
                <w:lang w:eastAsia="en-AU"/>
              </w:rPr>
              <w:t>Source: Internal departmental data</w:t>
            </w:r>
          </w:p>
        </w:tc>
      </w:tr>
      <w:tr w:rsidR="00814857" w14:paraId="49D20BCB" w14:textId="77777777" w:rsidTr="0099241F">
        <w:trPr>
          <w:cantSplit/>
        </w:trPr>
        <w:tc>
          <w:tcPr>
            <w:tcW w:w="5947" w:type="dxa"/>
            <w:tcBorders>
              <w:top w:val="single" w:sz="4" w:space="0" w:color="BFBFBF"/>
              <w:left w:val="single" w:sz="4" w:space="0" w:color="FFFFFF"/>
              <w:bottom w:val="single" w:sz="4" w:space="0" w:color="BFBFBF"/>
              <w:right w:val="single" w:sz="4" w:space="0" w:color="FFFFFF"/>
            </w:tcBorders>
            <w:hideMark/>
          </w:tcPr>
          <w:p w14:paraId="03A6884D" w14:textId="66D5C66A" w:rsidR="00814857" w:rsidRDefault="00814857" w:rsidP="00682CD7">
            <w:pPr>
              <w:pStyle w:val="ARtabletext"/>
              <w:rPr>
                <w:i/>
              </w:rPr>
            </w:pPr>
            <w:r>
              <w:t>Positive patient experience</w:t>
            </w:r>
          </w:p>
        </w:tc>
        <w:tc>
          <w:tcPr>
            <w:tcW w:w="940" w:type="dxa"/>
            <w:tcBorders>
              <w:top w:val="single" w:sz="4" w:space="0" w:color="BFBFBF"/>
              <w:left w:val="single" w:sz="4" w:space="0" w:color="FFFFFF"/>
              <w:bottom w:val="single" w:sz="4" w:space="0" w:color="BFBFBF"/>
              <w:right w:val="single" w:sz="4" w:space="0" w:color="FFFFFF"/>
            </w:tcBorders>
            <w:hideMark/>
          </w:tcPr>
          <w:p w14:paraId="26C79E2F" w14:textId="77777777" w:rsidR="00814857" w:rsidRDefault="00814857" w:rsidP="00682CD7">
            <w:pPr>
              <w:pStyle w:val="ARtabletext"/>
            </w:pPr>
            <w:r>
              <w:t>91.4%</w:t>
            </w:r>
          </w:p>
        </w:tc>
        <w:tc>
          <w:tcPr>
            <w:tcW w:w="939" w:type="dxa"/>
            <w:tcBorders>
              <w:top w:val="single" w:sz="4" w:space="0" w:color="BFBFBF"/>
              <w:left w:val="single" w:sz="4" w:space="0" w:color="FFFFFF"/>
              <w:bottom w:val="single" w:sz="4" w:space="0" w:color="BFBFBF"/>
              <w:right w:val="single" w:sz="4" w:space="0" w:color="FFFFFF"/>
            </w:tcBorders>
            <w:hideMark/>
          </w:tcPr>
          <w:p w14:paraId="530C2AFE" w14:textId="77777777" w:rsidR="00814857" w:rsidRDefault="00814857" w:rsidP="00682CD7">
            <w:pPr>
              <w:pStyle w:val="ARtabletext"/>
            </w:pPr>
            <w:r>
              <w:t>92.0%</w:t>
            </w:r>
          </w:p>
        </w:tc>
        <w:tc>
          <w:tcPr>
            <w:tcW w:w="939" w:type="dxa"/>
            <w:tcBorders>
              <w:top w:val="single" w:sz="4" w:space="0" w:color="BFBFBF"/>
              <w:left w:val="single" w:sz="4" w:space="0" w:color="FFFFFF"/>
              <w:bottom w:val="single" w:sz="4" w:space="0" w:color="BFBFBF"/>
              <w:right w:val="single" w:sz="4" w:space="0" w:color="FFFFFF"/>
            </w:tcBorders>
            <w:shd w:val="clear" w:color="auto" w:fill="auto"/>
            <w:hideMark/>
          </w:tcPr>
          <w:p w14:paraId="14DA3BC7" w14:textId="77777777" w:rsidR="00814857" w:rsidRPr="00761ECB" w:rsidRDefault="00814857" w:rsidP="00682CD7">
            <w:pPr>
              <w:pStyle w:val="ARtabletext"/>
            </w:pPr>
            <w:r w:rsidRPr="00761ECB">
              <w:t>9</w:t>
            </w:r>
            <w:r>
              <w:t>1.5</w:t>
            </w:r>
            <w:r w:rsidRPr="00761ECB">
              <w:t>%</w:t>
            </w:r>
          </w:p>
        </w:tc>
        <w:tc>
          <w:tcPr>
            <w:tcW w:w="879" w:type="dxa"/>
            <w:tcBorders>
              <w:top w:val="single" w:sz="4" w:space="0" w:color="BFBFBF"/>
              <w:left w:val="single" w:sz="4" w:space="0" w:color="FFFFFF"/>
              <w:bottom w:val="single" w:sz="4" w:space="0" w:color="BFBFBF"/>
              <w:right w:val="single" w:sz="4" w:space="0" w:color="FFFFFF"/>
            </w:tcBorders>
            <w:shd w:val="clear" w:color="auto" w:fill="auto"/>
            <w:hideMark/>
          </w:tcPr>
          <w:p w14:paraId="1333EB2E" w14:textId="77777777" w:rsidR="00814857" w:rsidRDefault="00814857" w:rsidP="00682CD7">
            <w:pPr>
              <w:pStyle w:val="ARtabletext"/>
            </w:pPr>
            <w:r>
              <w:t>92.4%</w:t>
            </w:r>
          </w:p>
        </w:tc>
      </w:tr>
      <w:tr w:rsidR="00814857" w14:paraId="5D65967B" w14:textId="77777777" w:rsidTr="00682CD7">
        <w:trPr>
          <w:cantSplit/>
        </w:trPr>
        <w:tc>
          <w:tcPr>
            <w:tcW w:w="5947" w:type="dxa"/>
            <w:tcBorders>
              <w:top w:val="single" w:sz="4" w:space="0" w:color="BFBFBF"/>
              <w:left w:val="single" w:sz="4" w:space="0" w:color="FFFFFF"/>
              <w:bottom w:val="single" w:sz="4" w:space="0" w:color="FFFFFF"/>
              <w:right w:val="single" w:sz="4" w:space="0" w:color="FFFFFF"/>
            </w:tcBorders>
            <w:hideMark/>
          </w:tcPr>
          <w:p w14:paraId="1A1B3A8C" w14:textId="2CF49A8B" w:rsidR="00814857" w:rsidRDefault="00814857" w:rsidP="00682CD7">
            <w:pPr>
              <w:pStyle w:val="ARtabletext"/>
              <w:rPr>
                <w:i/>
              </w:rPr>
            </w:pPr>
            <w:r>
              <w:t>Discharge Experience Index</w:t>
            </w:r>
          </w:p>
        </w:tc>
        <w:tc>
          <w:tcPr>
            <w:tcW w:w="940" w:type="dxa"/>
            <w:tcBorders>
              <w:top w:val="single" w:sz="4" w:space="0" w:color="BFBFBF"/>
              <w:left w:val="single" w:sz="4" w:space="0" w:color="FFFFFF"/>
              <w:bottom w:val="single" w:sz="4" w:space="0" w:color="FFFFFF"/>
              <w:right w:val="single" w:sz="4" w:space="0" w:color="FFFFFF"/>
            </w:tcBorders>
            <w:hideMark/>
          </w:tcPr>
          <w:p w14:paraId="21A1D17F" w14:textId="77777777" w:rsidR="00814857" w:rsidRDefault="00814857" w:rsidP="00682CD7">
            <w:pPr>
              <w:pStyle w:val="ARtabletext"/>
            </w:pPr>
            <w:r>
              <w:t>74.3%</w:t>
            </w:r>
          </w:p>
        </w:tc>
        <w:tc>
          <w:tcPr>
            <w:tcW w:w="939" w:type="dxa"/>
            <w:tcBorders>
              <w:top w:val="single" w:sz="4" w:space="0" w:color="BFBFBF"/>
              <w:left w:val="single" w:sz="4" w:space="0" w:color="FFFFFF"/>
              <w:bottom w:val="single" w:sz="4" w:space="0" w:color="FFFFFF"/>
              <w:right w:val="single" w:sz="4" w:space="0" w:color="FFFFFF"/>
            </w:tcBorders>
            <w:hideMark/>
          </w:tcPr>
          <w:p w14:paraId="57EEB74C" w14:textId="77777777" w:rsidR="00814857" w:rsidRDefault="00814857" w:rsidP="00682CD7">
            <w:pPr>
              <w:pStyle w:val="ARtabletext"/>
            </w:pPr>
            <w:r>
              <w:t>75.6%</w:t>
            </w:r>
          </w:p>
        </w:tc>
        <w:tc>
          <w:tcPr>
            <w:tcW w:w="939" w:type="dxa"/>
            <w:tcBorders>
              <w:top w:val="single" w:sz="4" w:space="0" w:color="BFBFBF"/>
              <w:left w:val="single" w:sz="4" w:space="0" w:color="FFFFFF"/>
              <w:bottom w:val="single" w:sz="4" w:space="0" w:color="FFFFFF"/>
              <w:right w:val="single" w:sz="4" w:space="0" w:color="FFFFFF"/>
            </w:tcBorders>
            <w:shd w:val="clear" w:color="auto" w:fill="auto"/>
            <w:hideMark/>
          </w:tcPr>
          <w:p w14:paraId="7BFAC75B" w14:textId="77777777" w:rsidR="00814857" w:rsidRPr="00761ECB" w:rsidRDefault="00814857" w:rsidP="00682CD7">
            <w:pPr>
              <w:pStyle w:val="ARtabletext"/>
            </w:pPr>
            <w:r>
              <w:t>75.3</w:t>
            </w:r>
            <w:r w:rsidRPr="00761ECB">
              <w:t>%</w:t>
            </w:r>
          </w:p>
        </w:tc>
        <w:tc>
          <w:tcPr>
            <w:tcW w:w="879" w:type="dxa"/>
            <w:tcBorders>
              <w:top w:val="single" w:sz="4" w:space="0" w:color="BFBFBF"/>
              <w:left w:val="single" w:sz="4" w:space="0" w:color="FFFFFF"/>
              <w:bottom w:val="single" w:sz="4" w:space="0" w:color="FFFFFF"/>
              <w:right w:val="single" w:sz="4" w:space="0" w:color="FFFFFF"/>
            </w:tcBorders>
            <w:shd w:val="clear" w:color="auto" w:fill="auto"/>
            <w:hideMark/>
          </w:tcPr>
          <w:p w14:paraId="5EBEEBB6" w14:textId="77777777" w:rsidR="00814857" w:rsidRDefault="00814857" w:rsidP="00682CD7">
            <w:pPr>
              <w:pStyle w:val="ARtabletext"/>
            </w:pPr>
            <w:r>
              <w:t>75.7%</w:t>
            </w:r>
          </w:p>
        </w:tc>
      </w:tr>
      <w:tr w:rsidR="00814857" w14:paraId="5D68FDE7" w14:textId="77777777" w:rsidTr="00682CD7">
        <w:trPr>
          <w:cantSplit/>
        </w:trPr>
        <w:tc>
          <w:tcPr>
            <w:tcW w:w="9644" w:type="dxa"/>
            <w:gridSpan w:val="5"/>
            <w:tcBorders>
              <w:top w:val="single" w:sz="4" w:space="0" w:color="FFFFFF"/>
              <w:left w:val="single" w:sz="4" w:space="0" w:color="FFFFFF"/>
              <w:bottom w:val="single" w:sz="4" w:space="0" w:color="auto"/>
              <w:right w:val="single" w:sz="4" w:space="0" w:color="FFFFFF"/>
            </w:tcBorders>
            <w:hideMark/>
          </w:tcPr>
          <w:p w14:paraId="1D4AE612" w14:textId="77777777" w:rsidR="00814857" w:rsidRDefault="00814857" w:rsidP="00682CD7">
            <w:pPr>
              <w:pStyle w:val="ARtablefootnote"/>
            </w:pPr>
            <w:r>
              <w:rPr>
                <w:rFonts w:eastAsia="Times"/>
                <w:lang w:eastAsia="en-AU"/>
              </w:rPr>
              <w:t>Source: Victorian Health Experience Survey</w:t>
            </w:r>
          </w:p>
        </w:tc>
      </w:tr>
    </w:tbl>
    <w:p w14:paraId="1FE17E0E" w14:textId="77777777" w:rsidR="00814857" w:rsidRPr="008F035E" w:rsidRDefault="00814857" w:rsidP="008F035E">
      <w:pPr>
        <w:pStyle w:val="ARtablefootnote"/>
        <w:rPr>
          <w:lang w:eastAsia="en-AU"/>
        </w:rPr>
      </w:pPr>
      <w:r w:rsidRPr="008F035E">
        <w:rPr>
          <w:rFonts w:eastAsia="Times"/>
          <w:lang w:eastAsia="en-AU"/>
        </w:rPr>
        <w:t>The department is committed to measuring outcomes for all indicators set out in the Victorian budget papers. Candidate indicators and measures have been identified and provisionally mapped to this outcome, however, further work is needed to test and validate measures to ensure departmental initiatives and policies are reflected by the performance indicators. As the outcomes approaches in the department mature, reporting will be provided against outcome measures and will inform the reporting of performance indicators</w:t>
      </w:r>
      <w:r>
        <w:rPr>
          <w:rFonts w:eastAsia="Times"/>
          <w:lang w:eastAsia="en-AU"/>
        </w:rPr>
        <w:t>.</w:t>
      </w:r>
    </w:p>
    <w:p w14:paraId="28ADB195" w14:textId="77777777" w:rsidR="00814857" w:rsidRDefault="00814857" w:rsidP="00350E76">
      <w:pPr>
        <w:sectPr w:rsidR="00814857" w:rsidSect="001E49B2">
          <w:headerReference w:type="first" r:id="rId92"/>
          <w:footerReference w:type="first" r:id="rId93"/>
          <w:endnotePr>
            <w:numFmt w:val="decimal"/>
          </w:endnotePr>
          <w:pgSz w:w="11900" w:h="16840" w:code="9"/>
          <w:pgMar w:top="1985" w:right="851" w:bottom="851" w:left="1418" w:header="510" w:footer="340" w:gutter="0"/>
          <w:cols w:space="454"/>
        </w:sectPr>
      </w:pPr>
    </w:p>
    <w:p w14:paraId="2A827A72" w14:textId="77777777" w:rsidR="00814857" w:rsidRDefault="00814857" w:rsidP="00BD3806">
      <w:pPr>
        <w:pStyle w:val="Heading2"/>
        <w:spacing w:before="0"/>
      </w:pPr>
      <w:r>
        <w:lastRenderedPageBreak/>
        <w:t>Our stories</w:t>
      </w:r>
    </w:p>
    <w:p w14:paraId="6AA02EAB" w14:textId="77777777" w:rsidR="00814857" w:rsidRDefault="00814857" w:rsidP="00731310">
      <w:pPr>
        <w:pStyle w:val="ARcasestudybanner"/>
      </w:pPr>
      <w:r w:rsidRPr="000B7C6C">
        <w:rPr>
          <w:noProof/>
          <w:lang w:eastAsia="en-AU"/>
        </w:rPr>
        <w:drawing>
          <wp:inline distT="0" distB="0" distL="0" distR="0" wp14:anchorId="6E8A3D2B" wp14:editId="68B97AF2">
            <wp:extent cx="2879640" cy="991080"/>
            <wp:effectExtent l="0" t="0" r="0" b="0"/>
            <wp:docPr id="275" name="Pictur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7417_DHHS Annual Report Case study header 87x30mm.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79640" cy="991080"/>
                    </a:xfrm>
                    <a:prstGeom prst="rect">
                      <a:avLst/>
                    </a:prstGeom>
                  </pic:spPr>
                </pic:pic>
              </a:graphicData>
            </a:graphic>
          </wp:inline>
        </w:drawing>
      </w:r>
    </w:p>
    <w:tbl>
      <w:tblPr>
        <w:tblStyle w:val="Casestudy"/>
        <w:tblW w:w="4536" w:type="dxa"/>
        <w:tblLayout w:type="fixed"/>
        <w:tblLook w:val="0600" w:firstRow="0" w:lastRow="0" w:firstColumn="0" w:lastColumn="0" w:noHBand="1" w:noVBand="1"/>
      </w:tblPr>
      <w:tblGrid>
        <w:gridCol w:w="4536"/>
      </w:tblGrid>
      <w:tr w:rsidR="00814857" w:rsidRPr="00B00569" w14:paraId="7574D82C" w14:textId="77777777" w:rsidTr="002D7496">
        <w:trPr>
          <w:trHeight w:val="1120"/>
        </w:trPr>
        <w:tc>
          <w:tcPr>
            <w:tcW w:w="4536" w:type="dxa"/>
          </w:tcPr>
          <w:p w14:paraId="1E2B4C5C" w14:textId="7D2C1ED0" w:rsidR="00814857" w:rsidRDefault="00814857" w:rsidP="00682CD7">
            <w:pPr>
              <w:pStyle w:val="ARcasestudyheading"/>
            </w:pPr>
            <w:r w:rsidRPr="00AD05AA">
              <w:br w:type="column"/>
            </w:r>
            <w:r w:rsidRPr="00AD05AA">
              <w:br w:type="column"/>
            </w:r>
            <w:r>
              <w:t>Case study – Transitioning to</w:t>
            </w:r>
            <w:r w:rsidR="002D7496">
              <w:t> </w:t>
            </w:r>
            <w:r>
              <w:t>the</w:t>
            </w:r>
            <w:r w:rsidR="002D7496">
              <w:t> </w:t>
            </w:r>
            <w:r>
              <w:t>NDIS</w:t>
            </w:r>
          </w:p>
          <w:p w14:paraId="7E1D3105" w14:textId="77777777" w:rsidR="00814857" w:rsidRDefault="00814857" w:rsidP="00682CD7">
            <w:pPr>
              <w:pStyle w:val="ARcasestudybody"/>
            </w:pPr>
            <w:r>
              <w:t>About 105,000 Victorians will get access to disability services under the National Disability Insurance Scheme (NDIS).</w:t>
            </w:r>
          </w:p>
          <w:p w14:paraId="40EE9795" w14:textId="77777777" w:rsidR="00814857" w:rsidRDefault="00814857" w:rsidP="00682CD7">
            <w:pPr>
              <w:pStyle w:val="ARcasestudybody"/>
            </w:pPr>
            <w:r>
              <w:t>The staged roll-out of the scheme began in Victoria in 2016 and is progressing through 2019, with the full scheme agreement between the Commonwealth and Victoria taking effect on 1 July 2019.</w:t>
            </w:r>
          </w:p>
          <w:p w14:paraId="1C3A1841" w14:textId="77777777" w:rsidR="00814857" w:rsidRDefault="00814857" w:rsidP="00682CD7">
            <w:pPr>
              <w:pStyle w:val="ARcasestudybody"/>
            </w:pPr>
            <w:r>
              <w:t>Charlie is one participant, who says the NDIS transition has been overwhelmingly positive.</w:t>
            </w:r>
          </w:p>
          <w:p w14:paraId="7BC14961" w14:textId="58A0F723" w:rsidR="00814857" w:rsidRDefault="00814857" w:rsidP="00682CD7">
            <w:pPr>
              <w:pStyle w:val="ARcasestudybody"/>
            </w:pPr>
            <w:r>
              <w:t>Charlie has worked at the Darebin Resource Recovery Centre three days a week for 15</w:t>
            </w:r>
            <w:r w:rsidR="002D7496">
              <w:t> </w:t>
            </w:r>
            <w:r>
              <w:t>years, and since the introduction of the NDIS, he has also been able to improve his quality of</w:t>
            </w:r>
            <w:r w:rsidR="002D7496">
              <w:t> </w:t>
            </w:r>
            <w:r>
              <w:t>life.</w:t>
            </w:r>
          </w:p>
          <w:p w14:paraId="4129114A" w14:textId="583F8ED6" w:rsidR="00814857" w:rsidRDefault="00814857" w:rsidP="00682CD7">
            <w:pPr>
              <w:pStyle w:val="ARcasestudybody"/>
            </w:pPr>
            <w:r>
              <w:t>This includes sustaining his passion for drawing, and he regularly spends time at the Northcote Support Services where he can access an art studio.</w:t>
            </w:r>
          </w:p>
          <w:p w14:paraId="5F8911E2" w14:textId="7F8E06E6" w:rsidR="00814857" w:rsidRDefault="00814857" w:rsidP="00682CD7">
            <w:pPr>
              <w:pStyle w:val="ARcasestudybody"/>
            </w:pPr>
            <w:r>
              <w:t>Charlie’s NDIS package also enables him to</w:t>
            </w:r>
            <w:r w:rsidR="002D7496">
              <w:t> </w:t>
            </w:r>
            <w:r>
              <w:t>do</w:t>
            </w:r>
            <w:r w:rsidR="002D7496">
              <w:t> </w:t>
            </w:r>
            <w:r>
              <w:t>physio every week.</w:t>
            </w:r>
          </w:p>
          <w:p w14:paraId="287FE850" w14:textId="245C809C" w:rsidR="00814857" w:rsidRDefault="00814857" w:rsidP="00682CD7">
            <w:pPr>
              <w:pStyle w:val="ARcasestudybody"/>
            </w:pPr>
            <w:r>
              <w:t>He couldn’t walk very well before, but lately his</w:t>
            </w:r>
            <w:r w:rsidR="00EF2D34">
              <w:t> </w:t>
            </w:r>
            <w:r>
              <w:t>balance, walking ability and health in general is improving.</w:t>
            </w:r>
          </w:p>
          <w:p w14:paraId="4E001D67" w14:textId="77777777" w:rsidR="00814857" w:rsidRPr="00AD05AA" w:rsidRDefault="00814857" w:rsidP="00682CD7">
            <w:pPr>
              <w:pStyle w:val="ARcasestudybody"/>
            </w:pPr>
            <w:r>
              <w:t>For Charlie, the NDIS supports his quality of life, helping him to grow stronger both mentally and physically.</w:t>
            </w:r>
          </w:p>
        </w:tc>
      </w:tr>
    </w:tbl>
    <w:p w14:paraId="1E96156F" w14:textId="77777777" w:rsidR="00814857" w:rsidRDefault="00814857" w:rsidP="008F035E">
      <w:pPr>
        <w:pStyle w:val="ARcasestudybanner"/>
        <w:spacing w:before="600"/>
      </w:pPr>
      <w:r>
        <w:br w:type="column"/>
      </w:r>
      <w:r>
        <w:rPr>
          <w:noProof/>
          <w:lang w:eastAsia="en-AU"/>
        </w:rPr>
        <w:drawing>
          <wp:inline distT="0" distB="0" distL="0" distR="0" wp14:anchorId="2FDD6AAD" wp14:editId="2EAE9691">
            <wp:extent cx="2879640" cy="991080"/>
            <wp:effectExtent l="0" t="0" r="0" b="0"/>
            <wp:docPr id="279" name="Pictur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7417_DHHS Annual Report Case study header 87x30mm.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79640" cy="991080"/>
                    </a:xfrm>
                    <a:prstGeom prst="rect">
                      <a:avLst/>
                    </a:prstGeom>
                  </pic:spPr>
                </pic:pic>
              </a:graphicData>
            </a:graphic>
          </wp:inline>
        </w:drawing>
      </w:r>
    </w:p>
    <w:tbl>
      <w:tblPr>
        <w:tblStyle w:val="Casestudy"/>
        <w:tblW w:w="4536" w:type="dxa"/>
        <w:tblLayout w:type="fixed"/>
        <w:tblLook w:val="0600" w:firstRow="0" w:lastRow="0" w:firstColumn="0" w:lastColumn="0" w:noHBand="1" w:noVBand="1"/>
      </w:tblPr>
      <w:tblGrid>
        <w:gridCol w:w="4536"/>
      </w:tblGrid>
      <w:tr w:rsidR="00814857" w:rsidRPr="00B00569" w14:paraId="7AB1FA3D" w14:textId="77777777" w:rsidTr="002D7496">
        <w:trPr>
          <w:trHeight w:val="5075"/>
        </w:trPr>
        <w:tc>
          <w:tcPr>
            <w:tcW w:w="4536" w:type="dxa"/>
          </w:tcPr>
          <w:p w14:paraId="7EC10A21" w14:textId="45BD2E3A" w:rsidR="00814857" w:rsidRDefault="00814857" w:rsidP="00682CD7">
            <w:pPr>
              <w:pStyle w:val="ARcasestudyheading"/>
            </w:pPr>
            <w:r w:rsidRPr="00AD05AA">
              <w:br w:type="column"/>
            </w:r>
            <w:r w:rsidRPr="00AD05AA">
              <w:br w:type="column"/>
            </w:r>
            <w:r>
              <w:t>Case study – The Royal Commission into Victoria’s Mental</w:t>
            </w:r>
            <w:r w:rsidR="002D7496">
              <w:t> </w:t>
            </w:r>
            <w:r>
              <w:t>Health System</w:t>
            </w:r>
          </w:p>
          <w:p w14:paraId="4EAE86C7" w14:textId="03D76039" w:rsidR="00814857" w:rsidRDefault="00814857" w:rsidP="00682CD7">
            <w:pPr>
              <w:pStyle w:val="ARcasestudybody"/>
            </w:pPr>
            <w:r>
              <w:t>The importance of the Royal Commission into</w:t>
            </w:r>
            <w:r w:rsidR="002D7496">
              <w:t> </w:t>
            </w:r>
            <w:r>
              <w:t>Victoria’s Mental Health System is being highlighted by the personal experiences of so many people across the state.</w:t>
            </w:r>
          </w:p>
          <w:p w14:paraId="187564A0" w14:textId="77777777" w:rsidR="00814857" w:rsidRDefault="00814857" w:rsidP="00682CD7">
            <w:pPr>
              <w:pStyle w:val="ARcasestudybody"/>
            </w:pPr>
            <w:r>
              <w:t>During December and January, Victorians were invited to provide input on the terms of reference for the Royal Commission to help inform the focus areas for the inquiry.</w:t>
            </w:r>
          </w:p>
          <w:p w14:paraId="6AA209EA" w14:textId="77777777" w:rsidR="00814857" w:rsidRDefault="00814857" w:rsidP="00682CD7">
            <w:pPr>
              <w:pStyle w:val="ARcasestudybody"/>
            </w:pPr>
            <w:r>
              <w:t>More than 8,000 community contributions were received, and more than 80 per cent of people who contributed said they, or someone close to them, had accessed mental health services in Victoria in the past five years.</w:t>
            </w:r>
          </w:p>
          <w:p w14:paraId="65635443" w14:textId="77777777" w:rsidR="00814857" w:rsidRDefault="00814857" w:rsidP="00682CD7">
            <w:pPr>
              <w:pStyle w:val="ARcasestudybody"/>
            </w:pPr>
            <w:r>
              <w:t>When the terms of reference were launched in February, Julie, 46, was one of the thousands who shared their powerful experiences.</w:t>
            </w:r>
          </w:p>
          <w:p w14:paraId="2EA46AA7" w14:textId="159C8F4D" w:rsidR="00814857" w:rsidRDefault="00814857" w:rsidP="00682CD7">
            <w:pPr>
              <w:pStyle w:val="ARcasestudybody"/>
            </w:pPr>
            <w:r>
              <w:t>Her partner Steve took his own life seven years</w:t>
            </w:r>
            <w:r w:rsidR="002D7496">
              <w:t> </w:t>
            </w:r>
            <w:r>
              <w:t>ago after a long battle with mental health</w:t>
            </w:r>
            <w:r w:rsidR="002D7496">
              <w:t> </w:t>
            </w:r>
            <w:r>
              <w:t>issues. The pair had been together for</w:t>
            </w:r>
            <w:r w:rsidR="002D7496">
              <w:t> </w:t>
            </w:r>
            <w:r>
              <w:t>15 years.</w:t>
            </w:r>
          </w:p>
          <w:p w14:paraId="749C5A1D" w14:textId="77777777" w:rsidR="00814857" w:rsidRDefault="00814857" w:rsidP="00682CD7">
            <w:pPr>
              <w:pStyle w:val="ARcasestudybody"/>
            </w:pPr>
            <w:r>
              <w:t>Steve, who was only 44, had been struggling with his physical and mental health after a workplace accident left him with chronic back problems. They were so severe, he couldn’t walk, work or drive.</w:t>
            </w:r>
          </w:p>
          <w:p w14:paraId="2D39F562" w14:textId="4B42B465" w:rsidR="00814857" w:rsidRDefault="00814857" w:rsidP="00682CD7">
            <w:pPr>
              <w:pStyle w:val="ARcasestudybody"/>
            </w:pPr>
            <w:r>
              <w:t>Julie said Steve’s death was ‘like a bomb going</w:t>
            </w:r>
            <w:r w:rsidR="002D7496">
              <w:t> </w:t>
            </w:r>
            <w:r>
              <w:t>off’ in her life.</w:t>
            </w:r>
          </w:p>
          <w:p w14:paraId="23878B57" w14:textId="77777777" w:rsidR="00814857" w:rsidRDefault="00814857" w:rsidP="00682CD7">
            <w:pPr>
              <w:pStyle w:val="ARcasestudybody"/>
            </w:pPr>
            <w:r>
              <w:t>‘We need to understand what’s not working and fix it, so people get the help they need, when they need it,’ she said.</w:t>
            </w:r>
          </w:p>
          <w:p w14:paraId="21F9612C" w14:textId="77777777" w:rsidR="00814857" w:rsidRDefault="00814857" w:rsidP="00682CD7">
            <w:pPr>
              <w:pStyle w:val="ARcasestudybody"/>
            </w:pPr>
            <w:r>
              <w:t>Public hearings were held in Victoria between 2 July and 26 July 2019.</w:t>
            </w:r>
          </w:p>
          <w:p w14:paraId="7711A348" w14:textId="51AF2E1B" w:rsidR="00814857" w:rsidRPr="00AD05AA" w:rsidRDefault="00814857" w:rsidP="00682CD7">
            <w:pPr>
              <w:pStyle w:val="ARcasestudybody"/>
            </w:pPr>
            <w:r>
              <w:t>The Royal Commission, led by Chair, Penny</w:t>
            </w:r>
            <w:r w:rsidR="002D7496">
              <w:t> </w:t>
            </w:r>
            <w:r>
              <w:t>Armytage and Commissioners Dr</w:t>
            </w:r>
            <w:r w:rsidR="002D7496">
              <w:t> </w:t>
            </w:r>
            <w:r>
              <w:t>Alex</w:t>
            </w:r>
            <w:r w:rsidR="002D7496">
              <w:t> </w:t>
            </w:r>
            <w:r>
              <w:t>Cockram, Professor Allan Fels AO and</w:t>
            </w:r>
            <w:r w:rsidR="002D7496">
              <w:t> </w:t>
            </w:r>
            <w:r>
              <w:t xml:space="preserve">Professor Bernadette McSherry, will provide a final report to the </w:t>
            </w:r>
            <w:r w:rsidRPr="0087191D">
              <w:t>Victorian Government by October 2020.</w:t>
            </w:r>
          </w:p>
        </w:tc>
      </w:tr>
    </w:tbl>
    <w:p w14:paraId="18D9E462" w14:textId="77777777" w:rsidR="00814857" w:rsidRPr="002D7496" w:rsidRDefault="00814857" w:rsidP="002D7496">
      <w:pPr>
        <w:pStyle w:val="ARcasestudybanner"/>
      </w:pPr>
      <w:r>
        <w:rPr>
          <w:noProof/>
          <w:lang w:eastAsia="en-AU"/>
        </w:rPr>
        <w:lastRenderedPageBreak/>
        <w:drawing>
          <wp:inline distT="0" distB="0" distL="0" distR="0" wp14:anchorId="5BFD76A2" wp14:editId="7AD30DCB">
            <wp:extent cx="2880000" cy="991800"/>
            <wp:effectExtent l="0" t="0" r="0" b="0"/>
            <wp:docPr id="282"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7417_DHHS Annual Report Case study header 87x30mm.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880000" cy="991800"/>
                    </a:xfrm>
                    <a:prstGeom prst="rect">
                      <a:avLst/>
                    </a:prstGeom>
                  </pic:spPr>
                </pic:pic>
              </a:graphicData>
            </a:graphic>
          </wp:inline>
        </w:drawing>
      </w:r>
    </w:p>
    <w:tbl>
      <w:tblPr>
        <w:tblStyle w:val="Casestudy"/>
        <w:tblW w:w="4536" w:type="dxa"/>
        <w:tblLayout w:type="fixed"/>
        <w:tblLook w:val="0600" w:firstRow="0" w:lastRow="0" w:firstColumn="0" w:lastColumn="0" w:noHBand="1" w:noVBand="1"/>
      </w:tblPr>
      <w:tblGrid>
        <w:gridCol w:w="4536"/>
      </w:tblGrid>
      <w:tr w:rsidR="00814857" w:rsidRPr="00B00569" w14:paraId="619FDDAB" w14:textId="77777777" w:rsidTr="00BD3806">
        <w:trPr>
          <w:trHeight w:val="681"/>
        </w:trPr>
        <w:tc>
          <w:tcPr>
            <w:tcW w:w="4366" w:type="dxa"/>
          </w:tcPr>
          <w:p w14:paraId="7A1B3E91" w14:textId="6B1D9B26" w:rsidR="00814857" w:rsidRDefault="00814857" w:rsidP="00682CD7">
            <w:pPr>
              <w:pStyle w:val="ARcasestudyheading"/>
            </w:pPr>
            <w:r w:rsidRPr="00AD05AA">
              <w:br w:type="column"/>
            </w:r>
            <w:r w:rsidRPr="00AD05AA">
              <w:br w:type="column"/>
            </w:r>
            <w:r>
              <w:t>Case study – Orygen Youth Health</w:t>
            </w:r>
            <w:r w:rsidR="002D7496">
              <w:t> </w:t>
            </w:r>
            <w:r>
              <w:t>and the National Centre of Excellence in Youth Mental Health</w:t>
            </w:r>
          </w:p>
          <w:p w14:paraId="023C3F02" w14:textId="578C620B" w:rsidR="00814857" w:rsidRDefault="00814857" w:rsidP="00682CD7">
            <w:pPr>
              <w:pStyle w:val="ARcasestudybody"/>
            </w:pPr>
            <w:r>
              <w:t>Mental health is a key issue facing young people, with young Victorians experiencing mental illness among those who have told their</w:t>
            </w:r>
            <w:r w:rsidR="003059D1">
              <w:t> </w:t>
            </w:r>
            <w:r>
              <w:t>stories through the Royal Commission into Victoria’s Mental Health System.</w:t>
            </w:r>
          </w:p>
          <w:p w14:paraId="5C49ECCB" w14:textId="7AA9DD59" w:rsidR="00814857" w:rsidRDefault="00814857" w:rsidP="00682CD7">
            <w:pPr>
              <w:pStyle w:val="ARcasestudybody"/>
            </w:pPr>
            <w:r>
              <w:t>The new $60 million Poplar Road facility is</w:t>
            </w:r>
            <w:r w:rsidR="00EF2D34">
              <w:t> </w:t>
            </w:r>
            <w:r>
              <w:t>home to Orygen, the National Centre of Excellence in Youth Mental Health and the Orygen Youth Health program. It is a hub of research and training for health professionals in search of better treatments for young people living with mental illness.</w:t>
            </w:r>
          </w:p>
          <w:p w14:paraId="73D65803" w14:textId="77777777" w:rsidR="00345066" w:rsidRDefault="00814857" w:rsidP="00682CD7">
            <w:pPr>
              <w:pStyle w:val="ARcasestudybody"/>
            </w:pPr>
            <w:r>
              <w:t>Orygen’s Director of Strategy and Development, Kerryn Pennell says a critical decision was to ensure young people were active contributors in the planning process.</w:t>
            </w:r>
          </w:p>
          <w:p w14:paraId="03965DB7" w14:textId="59B08CCD" w:rsidR="00814857" w:rsidRDefault="00814857" w:rsidP="00682CD7">
            <w:pPr>
              <w:pStyle w:val="ARcasestudybody"/>
            </w:pPr>
            <w:r>
              <w:t>More than 140 young people were involved in</w:t>
            </w:r>
            <w:r w:rsidR="00BD3806">
              <w:t> </w:t>
            </w:r>
            <w:r>
              <w:t>long and productive consultations, including current and ex-clients as well as</w:t>
            </w:r>
            <w:r w:rsidR="002D7496">
              <w:t> </w:t>
            </w:r>
            <w:r>
              <w:t>youth from the</w:t>
            </w:r>
            <w:r w:rsidR="00BD3806">
              <w:t> </w:t>
            </w:r>
            <w:r>
              <w:t>wider community.</w:t>
            </w:r>
          </w:p>
          <w:p w14:paraId="3A95DDDE" w14:textId="3FB7DFC4" w:rsidR="00814857" w:rsidRDefault="00814857" w:rsidP="00682CD7">
            <w:pPr>
              <w:pStyle w:val="ARcasestudybody"/>
            </w:pPr>
            <w:r>
              <w:t>‘They weighed in on what furniture we should have, what kind of furnishings, the design of consulting rooms – everything! And they certainly defied some stereotypes along the</w:t>
            </w:r>
            <w:r w:rsidR="002D7496">
              <w:t> </w:t>
            </w:r>
            <w:r>
              <w:t>way,’ Kerryn said.</w:t>
            </w:r>
          </w:p>
          <w:p w14:paraId="226D63D1" w14:textId="18A0BBDF" w:rsidR="00814857" w:rsidRDefault="00814857" w:rsidP="00682CD7">
            <w:pPr>
              <w:pStyle w:val="ARcasestudybody"/>
            </w:pPr>
            <w:r>
              <w:t>The world-class design of the three-storey building impressed design professionals beyond Australia’s borders, winning top honours for Best Mental Health Design at the</w:t>
            </w:r>
            <w:r w:rsidR="003059D1">
              <w:t> </w:t>
            </w:r>
            <w:r>
              <w:t>European Healthcare Design awards against competitors from the Netherlands and</w:t>
            </w:r>
            <w:r w:rsidR="003059D1">
              <w:t> </w:t>
            </w:r>
            <w:r>
              <w:t>Denmark.</w:t>
            </w:r>
          </w:p>
          <w:p w14:paraId="599B1E6B" w14:textId="7E633F96" w:rsidR="00814857" w:rsidRDefault="00814857" w:rsidP="00682CD7">
            <w:pPr>
              <w:pStyle w:val="ARcasestudybody"/>
            </w:pPr>
            <w:r>
              <w:t>Kerryn says the building reflects the drive and</w:t>
            </w:r>
            <w:r w:rsidR="00EF2D34">
              <w:rPr>
                <w:b/>
              </w:rPr>
              <w:t> </w:t>
            </w:r>
            <w:r>
              <w:t>ambition of the entire organisation.</w:t>
            </w:r>
          </w:p>
          <w:p w14:paraId="2EEAD261" w14:textId="77777777" w:rsidR="00814857" w:rsidRDefault="00814857" w:rsidP="00682CD7">
            <w:pPr>
              <w:pStyle w:val="ARcasestudybody"/>
            </w:pPr>
            <w:r>
              <w:t>‘Orygen is about change, renewal and opportunity. This building represents true passion. It lets people see who we are – that we are what it says on the tin,’ she said.</w:t>
            </w:r>
          </w:p>
          <w:p w14:paraId="01958F1C" w14:textId="77777777" w:rsidR="00814857" w:rsidRPr="00AD05AA" w:rsidRDefault="00814857" w:rsidP="00682CD7">
            <w:pPr>
              <w:pStyle w:val="ARcasestudybody"/>
            </w:pPr>
            <w:r>
              <w:t>The facility will support about 5,000 young Victorians each year, with a focus on prevention and early intervention.</w:t>
            </w:r>
          </w:p>
        </w:tc>
      </w:tr>
    </w:tbl>
    <w:p w14:paraId="4D07C150" w14:textId="77777777" w:rsidR="00814857" w:rsidRPr="00657E8C" w:rsidRDefault="00814857" w:rsidP="00350E76">
      <w:pPr>
        <w:pStyle w:val="ARcasestudybanner"/>
      </w:pPr>
      <w:r w:rsidRPr="00657E8C">
        <w:rPr>
          <w:noProof/>
          <w:lang w:eastAsia="en-AU"/>
        </w:rPr>
        <w:drawing>
          <wp:inline distT="0" distB="0" distL="0" distR="0" wp14:anchorId="617D5BB3" wp14:editId="0DC50BC7">
            <wp:extent cx="2880000" cy="991080"/>
            <wp:effectExtent l="0" t="0" r="0" b="0"/>
            <wp:docPr id="285"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7417_DHHS Annual Report Case study header 87x30mm.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880000" cy="991080"/>
                    </a:xfrm>
                    <a:prstGeom prst="rect">
                      <a:avLst/>
                    </a:prstGeom>
                  </pic:spPr>
                </pic:pic>
              </a:graphicData>
            </a:graphic>
          </wp:inline>
        </w:drawing>
      </w:r>
    </w:p>
    <w:tbl>
      <w:tblPr>
        <w:tblStyle w:val="Casestudy"/>
        <w:tblW w:w="4536" w:type="dxa"/>
        <w:tblLayout w:type="fixed"/>
        <w:tblLook w:val="0600" w:firstRow="0" w:lastRow="0" w:firstColumn="0" w:lastColumn="0" w:noHBand="1" w:noVBand="1"/>
      </w:tblPr>
      <w:tblGrid>
        <w:gridCol w:w="4536"/>
      </w:tblGrid>
      <w:tr w:rsidR="00814857" w:rsidRPr="00657E8C" w14:paraId="0D66B814" w14:textId="77777777" w:rsidTr="003059D1">
        <w:trPr>
          <w:trHeight w:val="1404"/>
        </w:trPr>
        <w:tc>
          <w:tcPr>
            <w:tcW w:w="4366" w:type="dxa"/>
          </w:tcPr>
          <w:p w14:paraId="463F05CA" w14:textId="3DD8E92E" w:rsidR="00345066" w:rsidRDefault="00814857" w:rsidP="00682CD7">
            <w:pPr>
              <w:pStyle w:val="ARcasestudyheading"/>
            </w:pPr>
            <w:r>
              <w:t>Case study – Establishing voluntary assisted dying in</w:t>
            </w:r>
            <w:r w:rsidR="002D7496">
              <w:t> </w:t>
            </w:r>
            <w:r>
              <w:t>Victoria</w:t>
            </w:r>
          </w:p>
          <w:p w14:paraId="5710F0A4" w14:textId="45D379B2" w:rsidR="00814857" w:rsidRDefault="00814857" w:rsidP="00682CD7">
            <w:pPr>
              <w:pStyle w:val="ARcasestudybody"/>
            </w:pPr>
            <w:r>
              <w:t>Victoria’s ground-breaking Voluntary Assisted Dying legislation commenced in</w:t>
            </w:r>
            <w:r w:rsidR="002D7496">
              <w:t> </w:t>
            </w:r>
            <w:r>
              <w:t>June 2019.</w:t>
            </w:r>
          </w:p>
          <w:p w14:paraId="3FEC9F37" w14:textId="46E19953" w:rsidR="00814857" w:rsidRDefault="00814857" w:rsidP="00682CD7">
            <w:pPr>
              <w:pStyle w:val="ARcasestudybody"/>
            </w:pPr>
            <w:r>
              <w:t xml:space="preserve">The </w:t>
            </w:r>
            <w:r w:rsidRPr="008F035E">
              <w:rPr>
                <w:i/>
                <w:iCs/>
              </w:rPr>
              <w:t>Voluntary Assisted Dying Act</w:t>
            </w:r>
            <w:r>
              <w:t xml:space="preserve"> </w:t>
            </w:r>
            <w:r w:rsidRPr="008F035E">
              <w:rPr>
                <w:i/>
                <w:iCs/>
              </w:rPr>
              <w:t>2017</w:t>
            </w:r>
            <w:r>
              <w:t xml:space="preserve"> is the</w:t>
            </w:r>
            <w:r w:rsidR="002D7496">
              <w:t> </w:t>
            </w:r>
            <w:r>
              <w:t>first of its kind in Australia, and it provides a</w:t>
            </w:r>
            <w:r w:rsidR="00EF2D34">
              <w:t> </w:t>
            </w:r>
            <w:r>
              <w:t>safe, legal framework for people who are terminally ill to be able to choose the manner and timing of their death.</w:t>
            </w:r>
          </w:p>
          <w:p w14:paraId="73A4E070" w14:textId="0084264A" w:rsidR="00814857" w:rsidRDefault="00814857" w:rsidP="00682CD7">
            <w:pPr>
              <w:pStyle w:val="ARcasestudybody"/>
            </w:pPr>
            <w:r>
              <w:t>Margaret explains why she plans to apply for</w:t>
            </w:r>
            <w:r w:rsidR="002D7496">
              <w:t> </w:t>
            </w:r>
            <w:r>
              <w:t>a</w:t>
            </w:r>
            <w:r w:rsidR="00EF2D34">
              <w:t> </w:t>
            </w:r>
            <w:r>
              <w:t>permit under the legislation.</w:t>
            </w:r>
          </w:p>
          <w:p w14:paraId="17431244" w14:textId="77777777" w:rsidR="00814857" w:rsidRDefault="00814857" w:rsidP="00682CD7">
            <w:pPr>
              <w:pStyle w:val="ARcasestudybody"/>
            </w:pPr>
            <w:r>
              <w:t>‘It was a Saturday morning and the covering gastroenterologist came into my room and asked about my family,’ Margaret said.</w:t>
            </w:r>
          </w:p>
          <w:p w14:paraId="03206BA3" w14:textId="312579C9" w:rsidR="00814857" w:rsidRDefault="00814857" w:rsidP="00682CD7">
            <w:pPr>
              <w:pStyle w:val="ARcasestudybody"/>
            </w:pPr>
            <w:r>
              <w:t>‘She said I’m very sorry, but you will have time</w:t>
            </w:r>
            <w:r w:rsidR="00EF2D34">
              <w:t> </w:t>
            </w:r>
            <w:r>
              <w:t>to get your affairs in order.’</w:t>
            </w:r>
          </w:p>
          <w:p w14:paraId="0DCDF0C9" w14:textId="77777777" w:rsidR="00814857" w:rsidRDefault="00814857" w:rsidP="00682CD7">
            <w:pPr>
              <w:pStyle w:val="ARcasestudybody"/>
            </w:pPr>
            <w:r>
              <w:t>Scans revealed Margaret’s cancer had spread.</w:t>
            </w:r>
          </w:p>
          <w:p w14:paraId="309AF4B6" w14:textId="77777777" w:rsidR="00814857" w:rsidRDefault="00814857" w:rsidP="00682CD7">
            <w:pPr>
              <w:pStyle w:val="ARcasestudybody"/>
            </w:pPr>
            <w:r>
              <w:t>‘I think it was worse in a way because I know from my nursing career that death is often the end stage of a period of pain and distress for the patient and their family,’ she said.</w:t>
            </w:r>
          </w:p>
          <w:p w14:paraId="43AAC29C" w14:textId="3D217A98" w:rsidR="00814857" w:rsidRDefault="00814857" w:rsidP="00682CD7">
            <w:pPr>
              <w:pStyle w:val="ARcasestudybody"/>
            </w:pPr>
            <w:r>
              <w:t>Until recently, voluntary assisted dying was just</w:t>
            </w:r>
            <w:r w:rsidR="00EF2D34">
              <w:t> </w:t>
            </w:r>
            <w:r>
              <w:t>a concept for people like Margaret.</w:t>
            </w:r>
          </w:p>
          <w:p w14:paraId="08F8A202" w14:textId="77777777" w:rsidR="00814857" w:rsidRDefault="00814857" w:rsidP="00682CD7">
            <w:pPr>
              <w:pStyle w:val="ARcasestudybody"/>
            </w:pPr>
            <w:r>
              <w:t>‘Just as recently as five years ago, I don’t think people really believed that it was eventually going to become law,’ she said.</w:t>
            </w:r>
          </w:p>
          <w:p w14:paraId="456BD735" w14:textId="477C861F" w:rsidR="00814857" w:rsidRDefault="00814857" w:rsidP="00682CD7">
            <w:pPr>
              <w:pStyle w:val="ARcasestudybody"/>
            </w:pPr>
            <w:r>
              <w:t>‘It’s just remarkable that Victoria has been able</w:t>
            </w:r>
            <w:r w:rsidR="00EF2D34">
              <w:t> </w:t>
            </w:r>
            <w:r>
              <w:t>to step up and achieve the legislation.’</w:t>
            </w:r>
          </w:p>
          <w:p w14:paraId="552BD3BC" w14:textId="5142A1E3" w:rsidR="00814857" w:rsidRPr="00657E8C" w:rsidRDefault="00814857" w:rsidP="00682CD7">
            <w:pPr>
              <w:pStyle w:val="ARcasestudybody"/>
            </w:pPr>
            <w:r>
              <w:t>With comprehensive safeguards, the process for accessing voluntary assisted dying is among the safest and most conservative in</w:t>
            </w:r>
            <w:r w:rsidR="003059D1">
              <w:t> </w:t>
            </w:r>
            <w:r>
              <w:t>the</w:t>
            </w:r>
            <w:r w:rsidR="00EF2D34">
              <w:t> </w:t>
            </w:r>
            <w:r>
              <w:t>world.</w:t>
            </w:r>
          </w:p>
        </w:tc>
      </w:tr>
    </w:tbl>
    <w:p w14:paraId="698AB864" w14:textId="77777777" w:rsidR="00814857" w:rsidRDefault="00814857" w:rsidP="00350E76">
      <w:pPr>
        <w:rPr>
          <w:rFonts w:ascii="Arial" w:eastAsia="Times" w:hAnsi="Arial" w:cs="Arial"/>
          <w:szCs w:val="24"/>
          <w:lang w:eastAsia="en-US"/>
        </w:rPr>
      </w:pPr>
      <w:r>
        <w:br w:type="page"/>
      </w:r>
    </w:p>
    <w:p w14:paraId="09D0B2E4" w14:textId="77777777" w:rsidR="00814857" w:rsidRDefault="00814857" w:rsidP="00F11C8F">
      <w:pPr>
        <w:pStyle w:val="ARcasestudybanner"/>
      </w:pPr>
      <w:r>
        <w:rPr>
          <w:noProof/>
          <w:lang w:eastAsia="en-AU"/>
        </w:rPr>
        <w:lastRenderedPageBreak/>
        <w:drawing>
          <wp:inline distT="0" distB="0" distL="0" distR="0" wp14:anchorId="5BBA82CA" wp14:editId="5B617B7A">
            <wp:extent cx="2879640" cy="991080"/>
            <wp:effectExtent l="0" t="0" r="0" b="0"/>
            <wp:docPr id="287" name="Pictur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7417_DHHS Annual Report Case study header 87x30mm.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79640" cy="991080"/>
                    </a:xfrm>
                    <a:prstGeom prst="rect">
                      <a:avLst/>
                    </a:prstGeom>
                  </pic:spPr>
                </pic:pic>
              </a:graphicData>
            </a:graphic>
          </wp:inline>
        </w:drawing>
      </w:r>
    </w:p>
    <w:tbl>
      <w:tblPr>
        <w:tblStyle w:val="Casestudy"/>
        <w:tblW w:w="4536" w:type="dxa"/>
        <w:tblLayout w:type="fixed"/>
        <w:tblLook w:val="0600" w:firstRow="0" w:lastRow="0" w:firstColumn="0" w:lastColumn="0" w:noHBand="1" w:noVBand="1"/>
      </w:tblPr>
      <w:tblGrid>
        <w:gridCol w:w="4536"/>
      </w:tblGrid>
      <w:tr w:rsidR="00814857" w:rsidRPr="00B00569" w14:paraId="7C640FAA" w14:textId="77777777" w:rsidTr="002D7496">
        <w:trPr>
          <w:trHeight w:val="1262"/>
        </w:trPr>
        <w:tc>
          <w:tcPr>
            <w:tcW w:w="4536" w:type="dxa"/>
          </w:tcPr>
          <w:p w14:paraId="4926BC1C" w14:textId="4E02B606" w:rsidR="00345066" w:rsidRDefault="00814857" w:rsidP="00682CD7">
            <w:pPr>
              <w:pStyle w:val="ARcasestudyheading"/>
            </w:pPr>
            <w:r>
              <w:t>Case study – Aboriginal Children</w:t>
            </w:r>
            <w:r w:rsidR="002D7496">
              <w:t> </w:t>
            </w:r>
            <w:r>
              <w:t>in</w:t>
            </w:r>
            <w:r w:rsidR="002D7496">
              <w:t> </w:t>
            </w:r>
            <w:r>
              <w:t>Aboriginal Care</w:t>
            </w:r>
          </w:p>
          <w:p w14:paraId="07AC1AC0" w14:textId="7ACDEDBF" w:rsidR="00814857" w:rsidRDefault="00814857" w:rsidP="00682CD7">
            <w:pPr>
              <w:pStyle w:val="ARcasestudybody"/>
            </w:pPr>
            <w:r>
              <w:t>Aboriginal Children in Aboriginal Care is a program for Aboriginal children and young people who are subject to a Children’s Court protection order.</w:t>
            </w:r>
          </w:p>
          <w:p w14:paraId="708AF736" w14:textId="2EA85471" w:rsidR="00814857" w:rsidRDefault="00814857" w:rsidP="00682CD7">
            <w:pPr>
              <w:pStyle w:val="ARcasestudybody"/>
            </w:pPr>
            <w:r>
              <w:t>This means that an approved Aboriginal community-controlled organisation (ACCO) may be authorised to take on responsibility for</w:t>
            </w:r>
            <w:r w:rsidR="002D7496">
              <w:t> </w:t>
            </w:r>
            <w:r>
              <w:t>a child’s case management and case plan.</w:t>
            </w:r>
          </w:p>
          <w:p w14:paraId="1E3ACD0D" w14:textId="77777777" w:rsidR="00814857" w:rsidRDefault="00814857" w:rsidP="00682CD7">
            <w:pPr>
              <w:pStyle w:val="ARcasestudybody"/>
            </w:pPr>
            <w:r>
              <w:t>One such ACCO is the Victorian Aboriginal Child Care Agency (VACCA).</w:t>
            </w:r>
          </w:p>
          <w:p w14:paraId="50D93E11" w14:textId="77777777" w:rsidR="00814857" w:rsidRDefault="00814857" w:rsidP="00682CD7">
            <w:pPr>
              <w:pStyle w:val="ARcasestudybody"/>
            </w:pPr>
            <w:r>
              <w:t>VACCA understands that a strong sense of identity and belonging is critical for Aboriginal people’s wellbeing – and they work to connect Aboriginal children with their culture.</w:t>
            </w:r>
          </w:p>
          <w:p w14:paraId="392F03EB" w14:textId="79B11793" w:rsidR="00814857" w:rsidRDefault="00814857" w:rsidP="00682CD7">
            <w:pPr>
              <w:pStyle w:val="ARcasestudybody"/>
            </w:pPr>
            <w:r>
              <w:t xml:space="preserve">Sophie* is an Aboriginal woman who had been in out-of-home care since she was three years old. She was far from </w:t>
            </w:r>
            <w:r w:rsidR="009622B7">
              <w:t>C</w:t>
            </w:r>
            <w:r>
              <w:t>ountry and family.</w:t>
            </w:r>
          </w:p>
          <w:p w14:paraId="5BB61DDE" w14:textId="4F7C9D7B" w:rsidR="00814857" w:rsidRDefault="00814857" w:rsidP="00682CD7">
            <w:pPr>
              <w:pStyle w:val="ARcasestudybody"/>
            </w:pPr>
            <w:r>
              <w:t>With the support of VACCA, Sophie was able to leave out-of-home care and be reunited with</w:t>
            </w:r>
            <w:r w:rsidR="002D7496">
              <w:t> </w:t>
            </w:r>
            <w:r>
              <w:t>her mother. Her sister Merinda* says the</w:t>
            </w:r>
            <w:r w:rsidR="00EF2D34">
              <w:t> </w:t>
            </w:r>
            <w:r>
              <w:t>difference in Sophie was noticeable.</w:t>
            </w:r>
          </w:p>
          <w:p w14:paraId="461F2709" w14:textId="77777777" w:rsidR="00345066" w:rsidRDefault="00814857" w:rsidP="00682CD7">
            <w:pPr>
              <w:pStyle w:val="ARcasestudybody"/>
            </w:pPr>
            <w:r>
              <w:t>Things just kept getting better for Sophie.</w:t>
            </w:r>
          </w:p>
          <w:p w14:paraId="6FDEE85C" w14:textId="6E0B6499" w:rsidR="00814857" w:rsidRDefault="00814857" w:rsidP="00682CD7">
            <w:pPr>
              <w:pStyle w:val="ARcasestudybody"/>
            </w:pPr>
            <w:r>
              <w:t>‘Watching her living with mum and watching her evolve as a teenager … I can see what a great opportunity it was for her to be able to build that relationship with our mum that we didn’t have growing up,’ her sister said.</w:t>
            </w:r>
          </w:p>
          <w:p w14:paraId="5584F8BF" w14:textId="62B6EEF7" w:rsidR="00814857" w:rsidRDefault="00814857" w:rsidP="00682CD7">
            <w:pPr>
              <w:pStyle w:val="ARcasestudybody"/>
            </w:pPr>
            <w:r>
              <w:t>The department is trying to ensure as many Aboriginal children and young people as possible are case managed by ACCOs. Today,</w:t>
            </w:r>
            <w:r w:rsidR="002D7496">
              <w:t> </w:t>
            </w:r>
            <w:r>
              <w:t>almost 50 per cent of Aboriginal children in care are now case managed by</w:t>
            </w:r>
            <w:r w:rsidR="002D7496">
              <w:t> </w:t>
            </w:r>
            <w:r>
              <w:t>ACCOs, a 250 per cent improvement in</w:t>
            </w:r>
            <w:r w:rsidR="002D7496">
              <w:t> </w:t>
            </w:r>
            <w:r>
              <w:t>two</w:t>
            </w:r>
            <w:r w:rsidR="002D7496">
              <w:t> </w:t>
            </w:r>
            <w:r>
              <w:t>years.</w:t>
            </w:r>
          </w:p>
          <w:p w14:paraId="245982D6" w14:textId="77777777" w:rsidR="00814857" w:rsidRDefault="00814857" w:rsidP="00682CD7">
            <w:pPr>
              <w:pStyle w:val="ARcasestudybody"/>
            </w:pPr>
            <w:r>
              <w:t>By placing more children like Sophie with ACCOs, Aboriginal children and young people are growing up more strongly connected to their community and culture.</w:t>
            </w:r>
          </w:p>
          <w:p w14:paraId="6947A3CE" w14:textId="5CE8DDB8" w:rsidR="009622B7" w:rsidRPr="00EF4C32" w:rsidRDefault="009622B7" w:rsidP="00EF2D34">
            <w:pPr>
              <w:pStyle w:val="ARbody"/>
              <w:spacing w:before="60"/>
              <w:rPr>
                <w:highlight w:val="yellow"/>
              </w:rPr>
            </w:pPr>
            <w:r w:rsidRPr="000C7D1A">
              <w:t>(*Not their real names)</w:t>
            </w:r>
          </w:p>
        </w:tc>
      </w:tr>
    </w:tbl>
    <w:p w14:paraId="6AC41417" w14:textId="77777777" w:rsidR="00814857" w:rsidRDefault="00814857" w:rsidP="00350E76">
      <w:pPr>
        <w:pStyle w:val="ARcasestudybanner"/>
      </w:pPr>
      <w:r>
        <w:br w:type="column"/>
      </w:r>
      <w:r>
        <w:rPr>
          <w:noProof/>
          <w:lang w:eastAsia="en-AU"/>
        </w:rPr>
        <w:drawing>
          <wp:inline distT="0" distB="0" distL="0" distR="0" wp14:anchorId="1786FD14" wp14:editId="45CADB46">
            <wp:extent cx="2879640" cy="99108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7417_DHHS Annual Report Case study header 87x30mm.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79640" cy="991080"/>
                    </a:xfrm>
                    <a:prstGeom prst="rect">
                      <a:avLst/>
                    </a:prstGeom>
                  </pic:spPr>
                </pic:pic>
              </a:graphicData>
            </a:graphic>
          </wp:inline>
        </w:drawing>
      </w:r>
    </w:p>
    <w:tbl>
      <w:tblPr>
        <w:tblStyle w:val="Casestudy"/>
        <w:tblW w:w="4536" w:type="dxa"/>
        <w:tblLayout w:type="fixed"/>
        <w:tblLook w:val="0600" w:firstRow="0" w:lastRow="0" w:firstColumn="0" w:lastColumn="0" w:noHBand="1" w:noVBand="1"/>
      </w:tblPr>
      <w:tblGrid>
        <w:gridCol w:w="4536"/>
      </w:tblGrid>
      <w:tr w:rsidR="00814857" w:rsidRPr="00B00569" w14:paraId="39C64DF8" w14:textId="77777777" w:rsidTr="002D7496">
        <w:trPr>
          <w:trHeight w:val="1517"/>
        </w:trPr>
        <w:tc>
          <w:tcPr>
            <w:tcW w:w="4536" w:type="dxa"/>
          </w:tcPr>
          <w:p w14:paraId="7F43B86D" w14:textId="63D5003B" w:rsidR="00814857" w:rsidRDefault="00814857" w:rsidP="00682CD7">
            <w:pPr>
              <w:pStyle w:val="ARcasestudyheading"/>
            </w:pPr>
            <w:r w:rsidRPr="00AD05AA">
              <w:br w:type="column"/>
            </w:r>
            <w:r w:rsidRPr="00AD05AA">
              <w:br w:type="column"/>
            </w:r>
            <w:r>
              <w:t>Case study – Matching public</w:t>
            </w:r>
            <w:r w:rsidR="002D7496">
              <w:t> </w:t>
            </w:r>
            <w:r>
              <w:t>housing to tenants</w:t>
            </w:r>
          </w:p>
          <w:p w14:paraId="64073A63" w14:textId="4014139D" w:rsidR="00814857" w:rsidRDefault="00814857" w:rsidP="00682CD7">
            <w:pPr>
              <w:pStyle w:val="ARcasestudybody"/>
            </w:pPr>
            <w:r>
              <w:t>The department is working to realise the Victorian Government’s goal of providing better</w:t>
            </w:r>
            <w:r w:rsidR="002D7496">
              <w:t> </w:t>
            </w:r>
            <w:r>
              <w:t>homes and stronger communities for all</w:t>
            </w:r>
            <w:r w:rsidR="002D7496">
              <w:t> </w:t>
            </w:r>
            <w:r>
              <w:t>Victorians.</w:t>
            </w:r>
          </w:p>
          <w:p w14:paraId="0457CD7F" w14:textId="77777777" w:rsidR="00814857" w:rsidRDefault="00814857" w:rsidP="00682CD7">
            <w:pPr>
              <w:pStyle w:val="ARcasestudybody"/>
            </w:pPr>
            <w:r>
              <w:t>This includes redevelopments of old public housing estates.</w:t>
            </w:r>
          </w:p>
          <w:p w14:paraId="37733955" w14:textId="77777777" w:rsidR="00814857" w:rsidRDefault="00814857" w:rsidP="00682CD7">
            <w:pPr>
              <w:pStyle w:val="ARcasestudybody"/>
            </w:pPr>
            <w:r>
              <w:t>Client engagement teams are working one-on-one with each resident to support their move to a suitable location, while their estate is being redeveloped.</w:t>
            </w:r>
          </w:p>
          <w:p w14:paraId="5A6B548F" w14:textId="189E9AAD" w:rsidR="00814857" w:rsidRDefault="00814857" w:rsidP="00682CD7">
            <w:pPr>
              <w:pStyle w:val="ARcasestudybody"/>
            </w:pPr>
            <w:r>
              <w:t>After 30 years in a three-bedroom apartment in</w:t>
            </w:r>
            <w:r w:rsidR="00EF2D34">
              <w:t> </w:t>
            </w:r>
            <w:r>
              <w:t>Preston, Mary relocated to a two-bedroom unit in Reservoir.</w:t>
            </w:r>
          </w:p>
          <w:p w14:paraId="6297D441" w14:textId="77777777" w:rsidR="00814857" w:rsidRDefault="00814857" w:rsidP="00682CD7">
            <w:pPr>
              <w:pStyle w:val="ARcasestudybody"/>
            </w:pPr>
            <w:r>
              <w:t>She was initially hesitant at the idea of moving, in part because she had raised her three children in the Preston apartment.</w:t>
            </w:r>
          </w:p>
          <w:p w14:paraId="75B6A770" w14:textId="77777777" w:rsidR="00814857" w:rsidRDefault="00814857" w:rsidP="00682CD7">
            <w:pPr>
              <w:pStyle w:val="ARcasestudybody"/>
            </w:pPr>
            <w:r>
              <w:t>But a smaller unit was a better fit for Mary – and in much better condition.</w:t>
            </w:r>
          </w:p>
          <w:p w14:paraId="7B426E1E" w14:textId="253AF3F1" w:rsidR="00814857" w:rsidRDefault="00814857" w:rsidP="00682CD7">
            <w:pPr>
              <w:pStyle w:val="ARcasestudybody"/>
            </w:pPr>
            <w:r>
              <w:t>‘I was overwhelmed the first time I saw it. It’s</w:t>
            </w:r>
            <w:r w:rsidR="002D7496">
              <w:t> </w:t>
            </w:r>
            <w:r>
              <w:t>so clean and neat. The place didn’t even need to be painted when I moved in, that’s how</w:t>
            </w:r>
            <w:r w:rsidR="002D7496">
              <w:t> </w:t>
            </w:r>
            <w:r>
              <w:t>good it was,’ she said.</w:t>
            </w:r>
          </w:p>
          <w:p w14:paraId="3E876D9C" w14:textId="77777777" w:rsidR="00814857" w:rsidRDefault="00814857" w:rsidP="00682CD7">
            <w:pPr>
              <w:pStyle w:val="ARcasestudybody"/>
            </w:pPr>
            <w:r>
              <w:t>The move went smoothly.</w:t>
            </w:r>
          </w:p>
          <w:p w14:paraId="6C84C51F" w14:textId="3237622E" w:rsidR="00814857" w:rsidRDefault="00814857" w:rsidP="00682CD7">
            <w:pPr>
              <w:pStyle w:val="ARcasestudybody"/>
            </w:pPr>
            <w:r>
              <w:t>Mary is close to Preston Market and the aged</w:t>
            </w:r>
            <w:r w:rsidR="002D7496">
              <w:t> </w:t>
            </w:r>
            <w:r>
              <w:t>care facility where she works several days a week as a carer. She’s only a short drive from Fairfield, where she’s a member of</w:t>
            </w:r>
            <w:r w:rsidR="002D7496">
              <w:t> </w:t>
            </w:r>
            <w:r>
              <w:t>the bowls club.</w:t>
            </w:r>
          </w:p>
          <w:p w14:paraId="3C8B3318" w14:textId="4C7EE82D" w:rsidR="00814857" w:rsidRDefault="00814857" w:rsidP="00682CD7">
            <w:pPr>
              <w:pStyle w:val="ARcasestudybody"/>
            </w:pPr>
            <w:r>
              <w:t>‘I thought I’d never move from Preston. I</w:t>
            </w:r>
            <w:r w:rsidR="002D7496">
              <w:t> </w:t>
            </w:r>
            <w:r>
              <w:t>thought I’d go out feet first,’ she said.</w:t>
            </w:r>
          </w:p>
          <w:p w14:paraId="4333EADF" w14:textId="77777777" w:rsidR="00814857" w:rsidRPr="00AD05AA" w:rsidRDefault="00814857" w:rsidP="00682CD7">
            <w:pPr>
              <w:pStyle w:val="ARcasestudybody"/>
            </w:pPr>
            <w:r>
              <w:t>‘But the kids said, maybe this is a new adventure, mum, and it is.’</w:t>
            </w:r>
          </w:p>
        </w:tc>
      </w:tr>
    </w:tbl>
    <w:p w14:paraId="07A9FE96" w14:textId="77777777" w:rsidR="00814857" w:rsidRDefault="00814857" w:rsidP="00350E76">
      <w:pPr>
        <w:pStyle w:val="ARcasestudybanner"/>
      </w:pPr>
    </w:p>
    <w:p w14:paraId="1F986BA7" w14:textId="77777777" w:rsidR="00814857" w:rsidRDefault="00814857" w:rsidP="00350E76">
      <w:pPr>
        <w:rPr>
          <w:rFonts w:ascii="Arial" w:eastAsia="Times" w:hAnsi="Arial" w:cs="Arial"/>
          <w:szCs w:val="24"/>
          <w:lang w:eastAsia="en-US"/>
        </w:rPr>
      </w:pPr>
      <w:r>
        <w:br w:type="page"/>
      </w:r>
    </w:p>
    <w:p w14:paraId="3566B11F" w14:textId="77777777" w:rsidR="00814857" w:rsidRDefault="00814857" w:rsidP="00350E76">
      <w:pPr>
        <w:pStyle w:val="ARcasestudybanner"/>
      </w:pPr>
      <w:r>
        <w:rPr>
          <w:noProof/>
          <w:lang w:eastAsia="en-AU"/>
        </w:rPr>
        <w:lastRenderedPageBreak/>
        <w:drawing>
          <wp:inline distT="0" distB="0" distL="0" distR="0" wp14:anchorId="29C3B18D" wp14:editId="124AF21C">
            <wp:extent cx="2879640" cy="99108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7417_DHHS Annual Report Case study header 87x30mm.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79640" cy="991080"/>
                    </a:xfrm>
                    <a:prstGeom prst="rect">
                      <a:avLst/>
                    </a:prstGeom>
                  </pic:spPr>
                </pic:pic>
              </a:graphicData>
            </a:graphic>
          </wp:inline>
        </w:drawing>
      </w:r>
    </w:p>
    <w:tbl>
      <w:tblPr>
        <w:tblStyle w:val="Casestudy"/>
        <w:tblW w:w="4536" w:type="dxa"/>
        <w:tblLayout w:type="fixed"/>
        <w:tblLook w:val="0600" w:firstRow="0" w:lastRow="0" w:firstColumn="0" w:lastColumn="0" w:noHBand="1" w:noVBand="1"/>
      </w:tblPr>
      <w:tblGrid>
        <w:gridCol w:w="4536"/>
      </w:tblGrid>
      <w:tr w:rsidR="00814857" w:rsidRPr="00B00569" w14:paraId="0D209625" w14:textId="77777777" w:rsidTr="002D7496">
        <w:trPr>
          <w:trHeight w:val="1120"/>
        </w:trPr>
        <w:tc>
          <w:tcPr>
            <w:tcW w:w="4536" w:type="dxa"/>
          </w:tcPr>
          <w:p w14:paraId="3FA5C8BB" w14:textId="77777777" w:rsidR="00814857" w:rsidRDefault="00814857" w:rsidP="00682CD7">
            <w:pPr>
              <w:pStyle w:val="ARcasestudyheading"/>
            </w:pPr>
            <w:r w:rsidRPr="00AD05AA">
              <w:br w:type="column"/>
            </w:r>
            <w:r w:rsidRPr="00AD05AA">
              <w:br w:type="column"/>
            </w:r>
            <w:r>
              <w:t>Case study – The Healthy Workplaces Achievement Program</w:t>
            </w:r>
          </w:p>
          <w:p w14:paraId="561278F0" w14:textId="77777777" w:rsidR="00814857" w:rsidRDefault="00814857" w:rsidP="00682CD7">
            <w:pPr>
              <w:pStyle w:val="ARcasestudybody"/>
            </w:pPr>
            <w:r>
              <w:t>The Healthy Workplaces Achievement Program is a Victorian best practice framework that supports early childhood services, schools and workplaces to become healthy settings.</w:t>
            </w:r>
          </w:p>
          <w:p w14:paraId="1DB66236" w14:textId="77777777" w:rsidR="00814857" w:rsidRDefault="00814857" w:rsidP="00682CD7">
            <w:pPr>
              <w:pStyle w:val="ARcasestudybody"/>
            </w:pPr>
            <w:r>
              <w:t>And it is making a difference in organisations such as Capel Sounds Educational Child Care Centre and Kindergarten in Tootgarook and Gippsland Lakes Community Health.</w:t>
            </w:r>
          </w:p>
          <w:p w14:paraId="78E26EFB" w14:textId="77777777" w:rsidR="00814857" w:rsidRDefault="00814857" w:rsidP="00682CD7">
            <w:pPr>
              <w:pStyle w:val="ARcasestudybody"/>
            </w:pPr>
            <w:r>
              <w:t>Both organisations wanted to promote healthy eating as part of a healthy workplace – and have developed their own initiatives to improve the health of children, staff and families.</w:t>
            </w:r>
          </w:p>
          <w:p w14:paraId="21C88A52" w14:textId="77777777" w:rsidR="00814857" w:rsidRDefault="00814857" w:rsidP="00682CD7">
            <w:pPr>
              <w:pStyle w:val="ARcasestudybody"/>
            </w:pPr>
            <w:r>
              <w:t>Capel Sounds has focused on combining the children’s love of the kitchen garden with preparing delicious meals with the food they have harvested.</w:t>
            </w:r>
          </w:p>
          <w:p w14:paraId="256F3E70" w14:textId="77777777" w:rsidR="00814857" w:rsidRDefault="00814857" w:rsidP="00682CD7">
            <w:pPr>
              <w:pStyle w:val="ARcasestudybody"/>
            </w:pPr>
            <w:r>
              <w:t>‘I like tasting new things from our garden,’ said Oliver, of his experience with the initiative.</w:t>
            </w:r>
          </w:p>
          <w:p w14:paraId="37BB0F94" w14:textId="77777777" w:rsidR="00814857" w:rsidRDefault="00814857" w:rsidP="00682CD7">
            <w:pPr>
              <w:pStyle w:val="ARcasestudybody"/>
            </w:pPr>
            <w:r>
              <w:t>The centre was recognised by the Achievement Program for its successes in the health priority areas: Healthy Eating and Oral Health, and Physical Activity and Movement.</w:t>
            </w:r>
          </w:p>
          <w:p w14:paraId="1E515FC8" w14:textId="201C9158" w:rsidR="00814857" w:rsidRDefault="00814857" w:rsidP="00682CD7">
            <w:pPr>
              <w:pStyle w:val="ARcasestudybody"/>
            </w:pPr>
            <w:r>
              <w:t>The Gippsland Lakes project sought to establish a healthier food culture across the</w:t>
            </w:r>
            <w:r w:rsidR="002D7496">
              <w:t> </w:t>
            </w:r>
            <w:r>
              <w:t>organisation’s five different locations.</w:t>
            </w:r>
          </w:p>
          <w:p w14:paraId="32D44C48" w14:textId="77777777" w:rsidR="00814857" w:rsidRDefault="00814857" w:rsidP="00682CD7">
            <w:pPr>
              <w:pStyle w:val="ARcasestudybody"/>
            </w:pPr>
            <w:r>
              <w:t>Working together with local cafes and caterers, project workers used Achievement Program tools to increase awareness of ‘red’ foods in the traffic light model.</w:t>
            </w:r>
          </w:p>
          <w:p w14:paraId="31BBAD77" w14:textId="77777777" w:rsidR="00345066" w:rsidRDefault="00814857" w:rsidP="00682CD7">
            <w:pPr>
              <w:pStyle w:val="ARcasestudybody"/>
            </w:pPr>
            <w:r>
              <w:t>They then provided healthier food options for board members, staff and clients in meetings and during programs.</w:t>
            </w:r>
          </w:p>
          <w:p w14:paraId="4A969009" w14:textId="34295C03" w:rsidR="00814857" w:rsidRPr="00AD05AA" w:rsidRDefault="00814857" w:rsidP="00682CD7">
            <w:pPr>
              <w:pStyle w:val="ARcasestudybody"/>
            </w:pPr>
            <w:r>
              <w:t>‘We spend a great deal of our time advising clients how to be healthier, and this made us look at our own behaviours around catering and access to healthy food in the workplace,’ said Health Promotion Worker Kerrilee.</w:t>
            </w:r>
          </w:p>
        </w:tc>
      </w:tr>
    </w:tbl>
    <w:p w14:paraId="362CB9FF" w14:textId="77777777" w:rsidR="00814857" w:rsidRDefault="00814857" w:rsidP="00350E76">
      <w:pPr>
        <w:pStyle w:val="ARcasestudybanner"/>
      </w:pPr>
      <w:r>
        <w:br w:type="column"/>
      </w:r>
      <w:r>
        <w:rPr>
          <w:noProof/>
          <w:lang w:eastAsia="en-AU"/>
        </w:rPr>
        <w:drawing>
          <wp:inline distT="0" distB="0" distL="0" distR="0" wp14:anchorId="50817316" wp14:editId="6036E24E">
            <wp:extent cx="2879640" cy="991080"/>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7417_DHHS Annual Report Case study header 87x30mm.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79640" cy="991080"/>
                    </a:xfrm>
                    <a:prstGeom prst="rect">
                      <a:avLst/>
                    </a:prstGeom>
                  </pic:spPr>
                </pic:pic>
              </a:graphicData>
            </a:graphic>
          </wp:inline>
        </w:drawing>
      </w:r>
    </w:p>
    <w:tbl>
      <w:tblPr>
        <w:tblStyle w:val="Casestudy"/>
        <w:tblW w:w="4536" w:type="dxa"/>
        <w:tblLayout w:type="fixed"/>
        <w:tblLook w:val="0600" w:firstRow="0" w:lastRow="0" w:firstColumn="0" w:lastColumn="0" w:noHBand="1" w:noVBand="1"/>
      </w:tblPr>
      <w:tblGrid>
        <w:gridCol w:w="4536"/>
      </w:tblGrid>
      <w:tr w:rsidR="00814857" w:rsidRPr="00B00569" w14:paraId="156BF1CB" w14:textId="77777777" w:rsidTr="002D7496">
        <w:trPr>
          <w:trHeight w:val="1517"/>
        </w:trPr>
        <w:tc>
          <w:tcPr>
            <w:tcW w:w="4536" w:type="dxa"/>
          </w:tcPr>
          <w:p w14:paraId="6CE83A16" w14:textId="77777777" w:rsidR="00814857" w:rsidRDefault="00814857" w:rsidP="00682CD7">
            <w:pPr>
              <w:pStyle w:val="ARcasestudyheading"/>
            </w:pPr>
            <w:r w:rsidRPr="00AD05AA">
              <w:br w:type="column"/>
            </w:r>
            <w:r w:rsidRPr="00AD05AA">
              <w:br w:type="column"/>
            </w:r>
            <w:r>
              <w:t>Case study – The Orange Door</w:t>
            </w:r>
          </w:p>
          <w:p w14:paraId="313D2C79" w14:textId="4BD9C79B" w:rsidR="00345066" w:rsidRDefault="00814857" w:rsidP="00682CD7">
            <w:pPr>
              <w:pStyle w:val="ARcasestudybody"/>
            </w:pPr>
            <w:r>
              <w:t>A woman and her four children were referred to</w:t>
            </w:r>
            <w:r w:rsidR="002D7496">
              <w:t> </w:t>
            </w:r>
            <w:r>
              <w:t>The Orange Door by a psychologist.</w:t>
            </w:r>
          </w:p>
          <w:p w14:paraId="11B54C6F" w14:textId="07FA87EC" w:rsidR="00814857" w:rsidRDefault="00814857" w:rsidP="00682CD7">
            <w:pPr>
              <w:pStyle w:val="ARcasestudybody"/>
            </w:pPr>
            <w:r>
              <w:t>Using the Multi-Agency Risk Assessment and Management (MARAM) framework and the Central Information Point (CIP), practitioners in The Orange Door completed a risk assessment for each family member.</w:t>
            </w:r>
          </w:p>
          <w:p w14:paraId="734207E7" w14:textId="77777777" w:rsidR="00814857" w:rsidRDefault="00814857" w:rsidP="00682CD7">
            <w:pPr>
              <w:pStyle w:val="ARcasestudybody"/>
            </w:pPr>
            <w:r>
              <w:t>The risk assessment revealed controlling behaviour and verbal abuse directed at the woman and her children, from the children’s father.</w:t>
            </w:r>
          </w:p>
          <w:p w14:paraId="473610FE" w14:textId="77777777" w:rsidR="00814857" w:rsidRDefault="00814857" w:rsidP="00682CD7">
            <w:pPr>
              <w:pStyle w:val="ARcasestudybody"/>
            </w:pPr>
            <w:r>
              <w:t>The perpetrator, having used a mobile phone app to track the woman, arrived at The Orange Door demanding to speak with her.</w:t>
            </w:r>
          </w:p>
          <w:p w14:paraId="0036C5A8" w14:textId="30147A3B" w:rsidR="00814857" w:rsidRDefault="00814857" w:rsidP="00682CD7">
            <w:pPr>
              <w:pStyle w:val="ARcasestudybody"/>
            </w:pPr>
            <w:r>
              <w:t>The strong security and safety features meant</w:t>
            </w:r>
            <w:r w:rsidR="002D7496">
              <w:t> </w:t>
            </w:r>
            <w:r>
              <w:t>that a practitioner with specialist skills in</w:t>
            </w:r>
            <w:r w:rsidR="002D7496">
              <w:t> </w:t>
            </w:r>
            <w:r>
              <w:t>working with perpetrators could complete a risk assessment with him while maintaining the safety of the family, clients and staff.</w:t>
            </w:r>
          </w:p>
          <w:p w14:paraId="309D538C" w14:textId="47C9360D" w:rsidR="00345066" w:rsidRDefault="00814857" w:rsidP="00682CD7">
            <w:pPr>
              <w:pStyle w:val="ARcasestudybody"/>
            </w:pPr>
            <w:r>
              <w:t>The team of practitioners coordinated their efforts to address the family violence and keep</w:t>
            </w:r>
            <w:r w:rsidR="002D7496">
              <w:t> </w:t>
            </w:r>
            <w:r>
              <w:t>the family safe.</w:t>
            </w:r>
          </w:p>
          <w:p w14:paraId="2B32C9CF" w14:textId="12DFD93A" w:rsidR="00814857" w:rsidRDefault="00814857" w:rsidP="00682CD7">
            <w:pPr>
              <w:pStyle w:val="ARcasestudybody"/>
            </w:pPr>
            <w:r>
              <w:t>The woman decided she did not want the perpetrator to return home – so The Orange Door worked with him to secure interim accommodation.</w:t>
            </w:r>
          </w:p>
          <w:p w14:paraId="5674D3C7" w14:textId="0BF1C24C" w:rsidR="00814857" w:rsidRDefault="00814857" w:rsidP="00682CD7">
            <w:pPr>
              <w:pStyle w:val="ARcasestudybody"/>
            </w:pPr>
            <w:r>
              <w:t>The Orange Door assisted her to apply for an</w:t>
            </w:r>
            <w:r w:rsidR="002D7496">
              <w:t> </w:t>
            </w:r>
            <w:r>
              <w:t>intervention order.</w:t>
            </w:r>
          </w:p>
          <w:p w14:paraId="5AED615E" w14:textId="323F6B35" w:rsidR="00814857" w:rsidRDefault="00814857" w:rsidP="00682CD7">
            <w:pPr>
              <w:pStyle w:val="ARcasestudybody"/>
            </w:pPr>
            <w:r>
              <w:t>Brokerage was used to support the safety plan,</w:t>
            </w:r>
            <w:r w:rsidR="002D7496">
              <w:t> </w:t>
            </w:r>
            <w:r>
              <w:t>including changing the locks on the family</w:t>
            </w:r>
            <w:r w:rsidR="002D7496">
              <w:t> </w:t>
            </w:r>
            <w:r>
              <w:t>home and purchasing food and other essentials.</w:t>
            </w:r>
          </w:p>
          <w:p w14:paraId="5FBD3873" w14:textId="1FE3CAEA" w:rsidR="00814857" w:rsidRDefault="00814857" w:rsidP="00682CD7">
            <w:pPr>
              <w:pStyle w:val="ARcasestudybody"/>
            </w:pPr>
            <w:r>
              <w:t>The Orange Door also worked with the children’s school, who agreed to contact The</w:t>
            </w:r>
            <w:r w:rsidR="002D7496">
              <w:t> </w:t>
            </w:r>
            <w:r>
              <w:t>Orange Door if the perpetrator attempted to collect the children from school.</w:t>
            </w:r>
          </w:p>
          <w:p w14:paraId="792B83CB" w14:textId="77777777" w:rsidR="00814857" w:rsidRPr="00AD05AA" w:rsidRDefault="00814857" w:rsidP="00682CD7">
            <w:pPr>
              <w:pStyle w:val="ARcasestudybody"/>
            </w:pPr>
            <w:r>
              <w:t>This coordinated response enabled the woman and her children to remain safely at home, reducing the disruption to their lives, including to the children’s schooling.</w:t>
            </w:r>
          </w:p>
        </w:tc>
      </w:tr>
    </w:tbl>
    <w:p w14:paraId="6927B3B6" w14:textId="77777777" w:rsidR="00814857" w:rsidRDefault="00814857" w:rsidP="00350E76">
      <w:pPr>
        <w:pStyle w:val="ARbody"/>
      </w:pPr>
    </w:p>
    <w:p w14:paraId="33264B73" w14:textId="77777777" w:rsidR="00814857" w:rsidRDefault="00814857" w:rsidP="00350E76">
      <w:pPr>
        <w:rPr>
          <w:rFonts w:ascii="Arial" w:eastAsia="Times" w:hAnsi="Arial" w:cs="Arial"/>
          <w:szCs w:val="24"/>
          <w:lang w:eastAsia="en-US"/>
        </w:rPr>
      </w:pPr>
      <w:r>
        <w:br w:type="page"/>
      </w:r>
    </w:p>
    <w:p w14:paraId="5F2937B1" w14:textId="77777777" w:rsidR="00814857" w:rsidRDefault="00814857" w:rsidP="00350E76">
      <w:pPr>
        <w:pStyle w:val="ARcasestudybanner"/>
      </w:pPr>
      <w:r w:rsidRPr="00C4664F">
        <w:rPr>
          <w:noProof/>
          <w:lang w:eastAsia="en-AU"/>
        </w:rPr>
        <w:lastRenderedPageBreak/>
        <w:drawing>
          <wp:inline distT="0" distB="0" distL="0" distR="0" wp14:anchorId="69352302" wp14:editId="3494A4C7">
            <wp:extent cx="2879640" cy="99108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7417_DHHS Annual Report Case study header 87x30mm.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79640" cy="991080"/>
                    </a:xfrm>
                    <a:prstGeom prst="rect">
                      <a:avLst/>
                    </a:prstGeom>
                  </pic:spPr>
                </pic:pic>
              </a:graphicData>
            </a:graphic>
          </wp:inline>
        </w:drawing>
      </w:r>
    </w:p>
    <w:tbl>
      <w:tblPr>
        <w:tblStyle w:val="Casestudy"/>
        <w:tblW w:w="4536" w:type="dxa"/>
        <w:tblLayout w:type="fixed"/>
        <w:tblLook w:val="0600" w:firstRow="0" w:lastRow="0" w:firstColumn="0" w:lastColumn="0" w:noHBand="1" w:noVBand="1"/>
      </w:tblPr>
      <w:tblGrid>
        <w:gridCol w:w="4536"/>
      </w:tblGrid>
      <w:tr w:rsidR="00814857" w:rsidRPr="00B00569" w14:paraId="06EF01A0" w14:textId="77777777" w:rsidTr="002D7496">
        <w:trPr>
          <w:trHeight w:val="1517"/>
        </w:trPr>
        <w:tc>
          <w:tcPr>
            <w:tcW w:w="4536" w:type="dxa"/>
          </w:tcPr>
          <w:p w14:paraId="4B4A74FD" w14:textId="77777777" w:rsidR="00814857" w:rsidRDefault="00814857" w:rsidP="00682CD7">
            <w:pPr>
              <w:pStyle w:val="ARcasestudyheading"/>
            </w:pPr>
            <w:r w:rsidRPr="00AD05AA">
              <w:br w:type="column"/>
            </w:r>
            <w:r w:rsidRPr="00AD05AA">
              <w:br w:type="column"/>
            </w:r>
            <w:r>
              <w:t>Case study – The new Joan Kirner Women’s and Children’s Hospital</w:t>
            </w:r>
          </w:p>
          <w:p w14:paraId="0276F923" w14:textId="1EED6ACE" w:rsidR="00814857" w:rsidRDefault="00814857" w:rsidP="00682CD7">
            <w:pPr>
              <w:pStyle w:val="ARcasestudybody"/>
            </w:pPr>
            <w:r>
              <w:t>The landmark Joan Kirner Women’s and Children’s Hospital is now delivering the highest standard of health care for families in</w:t>
            </w:r>
            <w:r w:rsidR="002D7496">
              <w:t> </w:t>
            </w:r>
            <w:r>
              <w:t>Melbourne’s rapidly growing region.</w:t>
            </w:r>
          </w:p>
          <w:p w14:paraId="39A89FDB" w14:textId="19D27540" w:rsidR="00345066" w:rsidRDefault="00814857" w:rsidP="00682CD7">
            <w:pPr>
              <w:pStyle w:val="ARcasestudybody"/>
            </w:pPr>
            <w:r>
              <w:t>And it is giving more local women the chance</w:t>
            </w:r>
            <w:r w:rsidR="002D7496">
              <w:t> </w:t>
            </w:r>
            <w:r>
              <w:t>to give birth closer to home.</w:t>
            </w:r>
          </w:p>
          <w:p w14:paraId="26593943" w14:textId="3EE819BC" w:rsidR="00814857" w:rsidRDefault="00814857" w:rsidP="00682CD7">
            <w:pPr>
              <w:pStyle w:val="ARcasestudybody"/>
            </w:pPr>
            <w:r>
              <w:t>Nurses and midwives from the adjacent Sunshine Hospital were invited to tour the new</w:t>
            </w:r>
            <w:r w:rsidR="002D7496">
              <w:t> </w:t>
            </w:r>
            <w:r>
              <w:t>$200 million facility a few months before it</w:t>
            </w:r>
            <w:r w:rsidR="002D7496">
              <w:t> </w:t>
            </w:r>
            <w:r>
              <w:t>opened in May 2019.</w:t>
            </w:r>
          </w:p>
          <w:p w14:paraId="47F68865" w14:textId="77777777" w:rsidR="00814857" w:rsidRDefault="00814857" w:rsidP="00682CD7">
            <w:pPr>
              <w:pStyle w:val="ARcasestudybody"/>
            </w:pPr>
            <w:r>
              <w:t>‘I’m just so excited for the women and families of the west to have access to spaces like this,’ said one midwife.</w:t>
            </w:r>
          </w:p>
          <w:p w14:paraId="57DB685A" w14:textId="77777777" w:rsidR="00814857" w:rsidRDefault="00814857" w:rsidP="00682CD7">
            <w:pPr>
              <w:pStyle w:val="ARcasestudybody"/>
            </w:pPr>
            <w:r>
              <w:t>‘I feel like the standard of midwifery, paediatric, obstetric care is so high at Sunshine Hospital, and now we have a facility that meets that.’</w:t>
            </w:r>
          </w:p>
          <w:p w14:paraId="173F207C" w14:textId="77777777" w:rsidR="00814857" w:rsidRDefault="00814857" w:rsidP="00682CD7">
            <w:pPr>
              <w:pStyle w:val="ARcasestudybody"/>
            </w:pPr>
            <w:r>
              <w:t>Named in honour of Victoria’s first and only female Premier, Joan Kirner, it is forecast that up to 7,000 babies will be delivered at the hospital by 2026.</w:t>
            </w:r>
          </w:p>
          <w:p w14:paraId="6BCDFC14" w14:textId="775F8A6F" w:rsidR="00814857" w:rsidRDefault="00814857" w:rsidP="00682CD7">
            <w:pPr>
              <w:pStyle w:val="ARcasestudybody"/>
            </w:pPr>
            <w:r>
              <w:t>The state-of-the-art facilities include the western suburbs’ first ever neonatal intensive care unit, 20 maternity delivery rooms, 237 beds, 39 special care nursery cots, four</w:t>
            </w:r>
            <w:r w:rsidR="002D7496">
              <w:t> </w:t>
            </w:r>
            <w:r>
              <w:t>theatres and additional clinics.</w:t>
            </w:r>
          </w:p>
          <w:p w14:paraId="584C6C99" w14:textId="1174DC36" w:rsidR="00814857" w:rsidRPr="00AD05AA" w:rsidRDefault="00814857" w:rsidP="00682CD7">
            <w:pPr>
              <w:pStyle w:val="ARcasestudybody"/>
            </w:pPr>
            <w:r>
              <w:t>‘We’re going to be able to have the parents at</w:t>
            </w:r>
            <w:r w:rsidR="002D7496">
              <w:t> </w:t>
            </w:r>
            <w:r>
              <w:t>their babies’ cot-side more often now,’ said another midwife. ‘It’s just going to be a lovely experience, like a home away from home.’</w:t>
            </w:r>
          </w:p>
        </w:tc>
      </w:tr>
    </w:tbl>
    <w:p w14:paraId="1A1E1B03" w14:textId="77777777" w:rsidR="00814857" w:rsidRDefault="00814857" w:rsidP="00350E76">
      <w:pPr>
        <w:pStyle w:val="ARcasestudybanner"/>
      </w:pPr>
      <w:r>
        <w:br w:type="column"/>
      </w:r>
      <w:r>
        <w:rPr>
          <w:noProof/>
          <w:lang w:eastAsia="en-AU"/>
        </w:rPr>
        <w:drawing>
          <wp:inline distT="0" distB="0" distL="0" distR="0" wp14:anchorId="569B2425" wp14:editId="458222FC">
            <wp:extent cx="2879640" cy="99108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7417_DHHS Annual Report Case study header 87x30mm.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79640" cy="991080"/>
                    </a:xfrm>
                    <a:prstGeom prst="rect">
                      <a:avLst/>
                    </a:prstGeom>
                  </pic:spPr>
                </pic:pic>
              </a:graphicData>
            </a:graphic>
          </wp:inline>
        </w:drawing>
      </w:r>
    </w:p>
    <w:tbl>
      <w:tblPr>
        <w:tblStyle w:val="Casestudy"/>
        <w:tblW w:w="4536" w:type="dxa"/>
        <w:tblLayout w:type="fixed"/>
        <w:tblLook w:val="0600" w:firstRow="0" w:lastRow="0" w:firstColumn="0" w:lastColumn="0" w:noHBand="1" w:noVBand="1"/>
      </w:tblPr>
      <w:tblGrid>
        <w:gridCol w:w="4536"/>
      </w:tblGrid>
      <w:tr w:rsidR="00814857" w:rsidRPr="00B00569" w14:paraId="747288F6" w14:textId="77777777" w:rsidTr="002D7496">
        <w:trPr>
          <w:trHeight w:val="398"/>
        </w:trPr>
        <w:tc>
          <w:tcPr>
            <w:tcW w:w="4536" w:type="dxa"/>
          </w:tcPr>
          <w:p w14:paraId="0FFF0B4C" w14:textId="00815E38" w:rsidR="00814857" w:rsidRDefault="00814857" w:rsidP="00682CD7">
            <w:pPr>
              <w:pStyle w:val="ARcasestudyheading"/>
            </w:pPr>
            <w:bookmarkStart w:id="42" w:name="Year_in_review_end"/>
            <w:r>
              <w:t>Case study – Aboriginal Children’s</w:t>
            </w:r>
            <w:r w:rsidR="002D7496">
              <w:t> </w:t>
            </w:r>
            <w:r>
              <w:t>Forum</w:t>
            </w:r>
          </w:p>
          <w:bookmarkEnd w:id="42"/>
          <w:p w14:paraId="466127D8" w14:textId="77777777" w:rsidR="00814857" w:rsidRDefault="00814857" w:rsidP="00682CD7">
            <w:pPr>
              <w:pStyle w:val="ARcasestudybody"/>
            </w:pPr>
            <w:r>
              <w:t>The Aboriginal Children’s Forum is a group of people dedicated to improving the safety and wellbeing of Aboriginal children in, or at risk of entering, out-of-home care.</w:t>
            </w:r>
          </w:p>
          <w:p w14:paraId="18425D04" w14:textId="77777777" w:rsidR="00814857" w:rsidRDefault="00814857" w:rsidP="00682CD7">
            <w:pPr>
              <w:pStyle w:val="ARcasestudybody"/>
            </w:pPr>
            <w:r>
              <w:t>It brings together Aboriginal community-controlled organisations (ACCOs), the community sector and government on a quarterly basis, with a shared purpose.</w:t>
            </w:r>
          </w:p>
          <w:p w14:paraId="44F72A3C" w14:textId="064E7931" w:rsidR="00814857" w:rsidRDefault="00814857" w:rsidP="00682CD7">
            <w:pPr>
              <w:pStyle w:val="ARcasestudybody"/>
            </w:pPr>
            <w:r w:rsidRPr="00E71842">
              <w:t>It gives practical effect to the</w:t>
            </w:r>
            <w:r>
              <w:t xml:space="preserve"> </w:t>
            </w:r>
            <w:r w:rsidRPr="003D7329">
              <w:rPr>
                <w:i/>
              </w:rPr>
              <w:t>Wungurilwil Gapgapduir: Aboriginal Children and Families Agreement</w:t>
            </w:r>
            <w:r>
              <w:t>. The agreement promotes the safety, health and resilience of vulnerable Aboriginal children and young people, so they</w:t>
            </w:r>
            <w:r w:rsidR="002D7496">
              <w:t> </w:t>
            </w:r>
            <w:r>
              <w:t>thrive and live in culturally rich and strong</w:t>
            </w:r>
            <w:r w:rsidR="002D7496">
              <w:t> </w:t>
            </w:r>
            <w:r>
              <w:t>Aboriginal families and communities.</w:t>
            </w:r>
          </w:p>
          <w:p w14:paraId="591C1A16" w14:textId="73F553CE" w:rsidR="00814857" w:rsidRDefault="00814857" w:rsidP="00682CD7">
            <w:pPr>
              <w:pStyle w:val="ARcasestudybody"/>
            </w:pPr>
            <w:r w:rsidRPr="0087191D">
              <w:t>Participants say the forums have brought an</w:t>
            </w:r>
            <w:r w:rsidR="002D7496">
              <w:t> </w:t>
            </w:r>
            <w:r w:rsidRPr="0087191D">
              <w:t>improved understanding of the ACCO perspective and the meaning and impact of</w:t>
            </w:r>
            <w:r w:rsidR="002D7496">
              <w:t> </w:t>
            </w:r>
            <w:r w:rsidRPr="0087191D">
              <w:t>culture.</w:t>
            </w:r>
          </w:p>
          <w:p w14:paraId="2621931D" w14:textId="77777777" w:rsidR="00814857" w:rsidRDefault="00814857" w:rsidP="00682CD7">
            <w:pPr>
              <w:pStyle w:val="ARcasestudybody"/>
            </w:pPr>
            <w:r>
              <w:t>And this has had a flow-on effect, with the goal of self-determination being realised more fully as ACCOs lead decision making for children.</w:t>
            </w:r>
          </w:p>
          <w:p w14:paraId="265B8B0A" w14:textId="371676D0" w:rsidR="00345066" w:rsidRDefault="00814857" w:rsidP="00682CD7">
            <w:pPr>
              <w:pStyle w:val="ARcasestudybody"/>
            </w:pPr>
            <w:r>
              <w:t>‘It has created a new-found belief that with strong shared purpose, barriers can be swept away and unimagined change is possible,’ said</w:t>
            </w:r>
            <w:r w:rsidR="00F609A1">
              <w:t> </w:t>
            </w:r>
            <w:r>
              <w:t>one member.</w:t>
            </w:r>
          </w:p>
          <w:p w14:paraId="60E3F500" w14:textId="6308D30B" w:rsidR="00814857" w:rsidRDefault="00814857" w:rsidP="00682CD7">
            <w:pPr>
              <w:pStyle w:val="ARcasestudybody"/>
            </w:pPr>
            <w:r>
              <w:t>Another participant said that for them, the best</w:t>
            </w:r>
            <w:r w:rsidR="00F609A1">
              <w:t> </w:t>
            </w:r>
            <w:r>
              <w:t>moments were the ‘tricky’ ones.</w:t>
            </w:r>
          </w:p>
          <w:p w14:paraId="243ADE23" w14:textId="77777777" w:rsidR="00814857" w:rsidRDefault="00814857" w:rsidP="00682CD7">
            <w:pPr>
              <w:pStyle w:val="ARcasestudybody"/>
            </w:pPr>
            <w:r>
              <w:t>‘Where disagreements are made, tricky conversations are had, all parties are being informed by the other, and outcomes eventually arise,’ they said.</w:t>
            </w:r>
          </w:p>
          <w:p w14:paraId="0168B617" w14:textId="4D9A3C64" w:rsidR="00814857" w:rsidRDefault="00814857" w:rsidP="00682CD7">
            <w:pPr>
              <w:pStyle w:val="ARcasestudybody"/>
            </w:pPr>
            <w:r>
              <w:t>‘This is what the Aboriginal Children’s Forum is</w:t>
            </w:r>
            <w:r w:rsidR="00F609A1">
              <w:t> </w:t>
            </w:r>
            <w:r>
              <w:t>all about, working together for a better future for Aboriginal children.’</w:t>
            </w:r>
          </w:p>
          <w:p w14:paraId="291E4DE0" w14:textId="2608A0EA" w:rsidR="00814857" w:rsidRDefault="00814857" w:rsidP="00682CD7">
            <w:pPr>
              <w:pStyle w:val="ARcasestudybody"/>
            </w:pPr>
            <w:r>
              <w:t>The Aboriginal Children’s Forum is co-chaired by a nominated chief executive officer from an</w:t>
            </w:r>
            <w:r w:rsidR="00F609A1">
              <w:t> </w:t>
            </w:r>
            <w:r>
              <w:t>ACCO together with the Minister for Child Protection and the Secretary of the department.</w:t>
            </w:r>
          </w:p>
          <w:p w14:paraId="0A9E42BA" w14:textId="333138C3" w:rsidR="00814857" w:rsidRPr="00EF4C32" w:rsidRDefault="00814857" w:rsidP="00682CD7">
            <w:pPr>
              <w:pStyle w:val="ARcasestudybody"/>
              <w:rPr>
                <w:highlight w:val="yellow"/>
              </w:rPr>
            </w:pPr>
            <w:r>
              <w:t>It was established in 2015, following the Aboriginal Children’s Summit, which was convened by the then Minister for Families and</w:t>
            </w:r>
            <w:r w:rsidR="00F609A1">
              <w:t> </w:t>
            </w:r>
            <w:r>
              <w:t>Children.</w:t>
            </w:r>
          </w:p>
        </w:tc>
      </w:tr>
    </w:tbl>
    <w:p w14:paraId="53DD9C4B" w14:textId="77777777" w:rsidR="00814857" w:rsidRDefault="00814857" w:rsidP="00327926">
      <w:pPr>
        <w:pStyle w:val="ARbody"/>
        <w:sectPr w:rsidR="00814857" w:rsidSect="00BD3806">
          <w:endnotePr>
            <w:numFmt w:val="decimal"/>
          </w:endnotePr>
          <w:type w:val="continuous"/>
          <w:pgSz w:w="11900" w:h="16840" w:code="9"/>
          <w:pgMar w:top="1985" w:right="851" w:bottom="851" w:left="1418" w:header="510" w:footer="340" w:gutter="0"/>
          <w:cols w:num="2" w:space="454"/>
        </w:sectPr>
      </w:pPr>
    </w:p>
    <w:p w14:paraId="77C1B9B7" w14:textId="77777777" w:rsidR="00814857" w:rsidRPr="00830963" w:rsidRDefault="00814857" w:rsidP="00830963">
      <w:pPr>
        <w:pStyle w:val="ARbody"/>
      </w:pPr>
      <w:bookmarkStart w:id="43" w:name="_Ref525047190"/>
      <w:bookmarkStart w:id="44" w:name="_Ref525205191"/>
      <w:bookmarkEnd w:id="20"/>
      <w:bookmarkEnd w:id="21"/>
      <w:r w:rsidRPr="00830963">
        <w:rPr>
          <w:noProof/>
        </w:rPr>
        <w:lastRenderedPageBreak/>
        <w:drawing>
          <wp:anchor distT="0" distB="0" distL="114300" distR="114300" simplePos="0" relativeHeight="251678720" behindDoc="1" locked="1" layoutInCell="1" allowOverlap="1" wp14:anchorId="152F8267" wp14:editId="2CCB1167">
            <wp:simplePos x="0" y="0"/>
            <wp:positionH relativeFrom="page">
              <wp:posOffset>0</wp:posOffset>
            </wp:positionH>
            <wp:positionV relativeFrom="page">
              <wp:posOffset>0</wp:posOffset>
            </wp:positionV>
            <wp:extent cx="7563600" cy="10697400"/>
            <wp:effectExtent l="0" t="0" r="0" b="889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1907417_DHHS Annual Report Full page BW.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63600" cy="10697400"/>
                    </a:xfrm>
                    <a:prstGeom prst="rect">
                      <a:avLst/>
                    </a:prstGeom>
                  </pic:spPr>
                </pic:pic>
              </a:graphicData>
            </a:graphic>
            <wp14:sizeRelH relativeFrom="page">
              <wp14:pctWidth>0</wp14:pctWidth>
            </wp14:sizeRelH>
            <wp14:sizeRelV relativeFrom="page">
              <wp14:pctHeight>0</wp14:pctHeight>
            </wp14:sizeRelV>
          </wp:anchor>
        </w:drawing>
      </w:r>
      <w:r w:rsidRPr="00830963">
        <w:br w:type="page"/>
      </w:r>
    </w:p>
    <w:p w14:paraId="5DFEA4D4" w14:textId="77777777" w:rsidR="00814857" w:rsidRPr="007939DD" w:rsidRDefault="00814857" w:rsidP="00576B70">
      <w:pPr>
        <w:pStyle w:val="Heading1"/>
      </w:pPr>
      <w:bookmarkStart w:id="45" w:name="_Toc21682719"/>
      <w:bookmarkStart w:id="46" w:name="_Ref21861906"/>
      <w:r>
        <w:rPr>
          <w:noProof/>
          <w:lang w:eastAsia="en-AU"/>
        </w:rPr>
        <w:lastRenderedPageBreak/>
        <w:drawing>
          <wp:anchor distT="0" distB="0" distL="114300" distR="114300" simplePos="0" relativeHeight="251675648" behindDoc="1" locked="1" layoutInCell="1" allowOverlap="1" wp14:anchorId="572A52CC" wp14:editId="0DB74FF4">
            <wp:simplePos x="0" y="0"/>
            <wp:positionH relativeFrom="page">
              <wp:align>right</wp:align>
            </wp:positionH>
            <wp:positionV relativeFrom="page">
              <wp:align>top</wp:align>
            </wp:positionV>
            <wp:extent cx="3133080" cy="2700000"/>
            <wp:effectExtent l="0" t="0" r="0" b="5715"/>
            <wp:wrapNone/>
            <wp:docPr id="265" name="Pictur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1907417_DHHS Annual Report Section start 87x75m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3080" cy="2700000"/>
                    </a:xfrm>
                    <a:prstGeom prst="rect">
                      <a:avLst/>
                    </a:prstGeom>
                  </pic:spPr>
                </pic:pic>
              </a:graphicData>
            </a:graphic>
            <wp14:sizeRelH relativeFrom="page">
              <wp14:pctWidth>0</wp14:pctWidth>
            </wp14:sizeRelH>
            <wp14:sizeRelV relativeFrom="page">
              <wp14:pctHeight>0</wp14:pctHeight>
            </wp14:sizeRelV>
          </wp:anchor>
        </w:drawing>
      </w:r>
      <w:r w:rsidRPr="007939DD">
        <w:t>Performance reporting</w:t>
      </w:r>
      <w:bookmarkEnd w:id="43"/>
      <w:bookmarkEnd w:id="44"/>
      <w:bookmarkEnd w:id="45"/>
      <w:bookmarkEnd w:id="46"/>
    </w:p>
    <w:p w14:paraId="0D0642E5" w14:textId="77777777" w:rsidR="00814857" w:rsidRDefault="00814857" w:rsidP="00576B70">
      <w:pPr>
        <w:pStyle w:val="ARbody"/>
        <w:sectPr w:rsidR="00814857" w:rsidSect="004B3C07">
          <w:endnotePr>
            <w:numFmt w:val="decimal"/>
          </w:endnotePr>
          <w:pgSz w:w="11900" w:h="16840" w:code="9"/>
          <w:pgMar w:top="3771" w:right="851" w:bottom="851" w:left="1418" w:header="510" w:footer="340" w:gutter="0"/>
          <w:cols w:space="454"/>
        </w:sectPr>
      </w:pPr>
    </w:p>
    <w:p w14:paraId="4440F18E" w14:textId="77777777" w:rsidR="00814857" w:rsidRPr="007939DD" w:rsidRDefault="00814857" w:rsidP="00625EDE">
      <w:pPr>
        <w:pStyle w:val="ARbody"/>
      </w:pPr>
      <w:r w:rsidRPr="007939DD">
        <w:t>Results in the tables below are coded according to:</w:t>
      </w:r>
    </w:p>
    <w:p w14:paraId="0A7FAE6E" w14:textId="77777777" w:rsidR="00814857" w:rsidRPr="007939DD" w:rsidRDefault="00814857" w:rsidP="00625EDE">
      <w:pPr>
        <w:pStyle w:val="ARbody"/>
      </w:pPr>
      <w:r w:rsidRPr="007939DD">
        <w:sym w:font="Wingdings" w:char="F0FC"/>
      </w:r>
      <w:r w:rsidRPr="007939DD">
        <w:tab/>
        <w:t>Performance target achieved or exceeded</w:t>
      </w:r>
    </w:p>
    <w:p w14:paraId="5F535D45" w14:textId="50EBB507" w:rsidR="00814857" w:rsidRPr="007939DD" w:rsidRDefault="00814857" w:rsidP="00625EDE">
      <w:pPr>
        <w:pStyle w:val="ARbody"/>
      </w:pPr>
      <w:r w:rsidRPr="007939DD">
        <w:sym w:font="Wingdings 2" w:char="F099"/>
      </w:r>
      <w:r w:rsidRPr="007939DD">
        <w:tab/>
        <w:t>Performance target not achieved – within five per cent variance</w:t>
      </w:r>
    </w:p>
    <w:p w14:paraId="1C2DF975" w14:textId="77777777" w:rsidR="00814857" w:rsidRPr="007939DD" w:rsidRDefault="00814857" w:rsidP="00625EDE">
      <w:pPr>
        <w:pStyle w:val="ARbody"/>
        <w:rPr>
          <w:kern w:val="28"/>
        </w:rPr>
      </w:pPr>
      <w:r w:rsidRPr="007939DD">
        <w:sym w:font="Wingdings" w:char="F06E"/>
      </w:r>
      <w:r w:rsidRPr="007939DD">
        <w:tab/>
        <w:t>Performance target not achieved – exceeds five per cent variance</w:t>
      </w:r>
    </w:p>
    <w:p w14:paraId="2AC7CBBB" w14:textId="77777777" w:rsidR="00814857" w:rsidRDefault="00814857" w:rsidP="00625EDE">
      <w:pPr>
        <w:pStyle w:val="ARbodyafterbullets"/>
      </w:pPr>
      <w:r w:rsidRPr="007939DD">
        <w:t>An update will be provided on the department</w:t>
      </w:r>
      <w:r>
        <w:t>’</w:t>
      </w:r>
      <w:r w:rsidRPr="007939DD">
        <w:t>s annual report website when all actuals are available.</w:t>
      </w:r>
    </w:p>
    <w:p w14:paraId="4DDF90B0" w14:textId="77777777" w:rsidR="00814857" w:rsidRPr="007939DD" w:rsidRDefault="00814857" w:rsidP="0055734C">
      <w:pPr>
        <w:pStyle w:val="Heading2"/>
      </w:pPr>
      <w:bookmarkStart w:id="47" w:name="_Toc18954474"/>
      <w:bookmarkStart w:id="48" w:name="_Toc18955076"/>
      <w:r w:rsidRPr="007939DD">
        <w:t>Acute Health Services</w:t>
      </w:r>
      <w:bookmarkEnd w:id="47"/>
      <w:bookmarkEnd w:id="48"/>
    </w:p>
    <w:p w14:paraId="14BE7BEB" w14:textId="77777777" w:rsidR="00814857" w:rsidRPr="007939DD" w:rsidRDefault="00814857" w:rsidP="0055734C">
      <w:pPr>
        <w:pStyle w:val="ARbody"/>
      </w:pPr>
      <w:r w:rsidRPr="007939DD">
        <w:t>This output provides a range of timely and high-quality acute hospital inpatient, ambulatory, emergency, community-based and specialist services.</w:t>
      </w:r>
    </w:p>
    <w:tbl>
      <w:tblPr>
        <w:tblW w:w="9645" w:type="dxa"/>
        <w:tblLayout w:type="fixed"/>
        <w:tblCellMar>
          <w:left w:w="0" w:type="dxa"/>
        </w:tblCellMar>
        <w:tblLook w:val="04A0" w:firstRow="1" w:lastRow="0" w:firstColumn="1" w:lastColumn="0" w:noHBand="0" w:noVBand="1"/>
      </w:tblPr>
      <w:tblGrid>
        <w:gridCol w:w="4764"/>
        <w:gridCol w:w="1021"/>
        <w:gridCol w:w="1022"/>
        <w:gridCol w:w="1022"/>
        <w:gridCol w:w="1022"/>
        <w:gridCol w:w="794"/>
      </w:tblGrid>
      <w:tr w:rsidR="00814857" w14:paraId="5E41ECF4" w14:textId="77777777" w:rsidTr="00894126">
        <w:trPr>
          <w:cantSplit/>
          <w:trHeight w:val="480"/>
          <w:tblHeader/>
        </w:trPr>
        <w:tc>
          <w:tcPr>
            <w:tcW w:w="4764" w:type="dxa"/>
            <w:tcBorders>
              <w:top w:val="nil"/>
              <w:left w:val="nil"/>
              <w:bottom w:val="single" w:sz="4" w:space="0" w:color="auto"/>
              <w:right w:val="nil"/>
            </w:tcBorders>
            <w:vAlign w:val="bottom"/>
            <w:hideMark/>
          </w:tcPr>
          <w:p w14:paraId="6AA4A0E3" w14:textId="77777777" w:rsidR="00814857" w:rsidRDefault="00814857" w:rsidP="00894126">
            <w:pPr>
              <w:pStyle w:val="ARtablecolhead"/>
            </w:pPr>
            <w:r>
              <w:t>Performance measures</w:t>
            </w:r>
          </w:p>
        </w:tc>
        <w:tc>
          <w:tcPr>
            <w:tcW w:w="1021" w:type="dxa"/>
            <w:tcBorders>
              <w:top w:val="nil"/>
              <w:left w:val="nil"/>
              <w:bottom w:val="single" w:sz="4" w:space="0" w:color="auto"/>
              <w:right w:val="nil"/>
            </w:tcBorders>
            <w:vAlign w:val="bottom"/>
            <w:hideMark/>
          </w:tcPr>
          <w:p w14:paraId="48BD1F59" w14:textId="77777777" w:rsidR="00814857" w:rsidRDefault="00814857" w:rsidP="00894126">
            <w:pPr>
              <w:pStyle w:val="ARtablecolheadright"/>
            </w:pPr>
            <w:r>
              <w:t>Unit of measure</w:t>
            </w:r>
          </w:p>
        </w:tc>
        <w:tc>
          <w:tcPr>
            <w:tcW w:w="1022" w:type="dxa"/>
            <w:tcBorders>
              <w:top w:val="nil"/>
              <w:left w:val="nil"/>
              <w:bottom w:val="single" w:sz="4" w:space="0" w:color="auto"/>
              <w:right w:val="nil"/>
            </w:tcBorders>
            <w:vAlign w:val="bottom"/>
            <w:hideMark/>
          </w:tcPr>
          <w:p w14:paraId="1A686EFA" w14:textId="77777777" w:rsidR="00814857" w:rsidRDefault="00814857" w:rsidP="00894126">
            <w:pPr>
              <w:pStyle w:val="ARtablecolheadright"/>
            </w:pPr>
            <w:r>
              <w:t>2018–19 target</w:t>
            </w:r>
          </w:p>
        </w:tc>
        <w:tc>
          <w:tcPr>
            <w:tcW w:w="1022" w:type="dxa"/>
            <w:tcBorders>
              <w:top w:val="nil"/>
              <w:left w:val="nil"/>
              <w:bottom w:val="single" w:sz="4" w:space="0" w:color="auto"/>
              <w:right w:val="nil"/>
            </w:tcBorders>
            <w:vAlign w:val="bottom"/>
            <w:hideMark/>
          </w:tcPr>
          <w:p w14:paraId="337637E6" w14:textId="77777777" w:rsidR="00814857" w:rsidRDefault="00814857" w:rsidP="00894126">
            <w:pPr>
              <w:pStyle w:val="ARtablecolheadright"/>
            </w:pPr>
            <w:r>
              <w:t>2018–19 actual</w:t>
            </w:r>
          </w:p>
        </w:tc>
        <w:tc>
          <w:tcPr>
            <w:tcW w:w="1022" w:type="dxa"/>
            <w:tcBorders>
              <w:top w:val="nil"/>
              <w:left w:val="nil"/>
              <w:bottom w:val="single" w:sz="4" w:space="0" w:color="auto"/>
              <w:right w:val="nil"/>
            </w:tcBorders>
            <w:vAlign w:val="bottom"/>
            <w:hideMark/>
          </w:tcPr>
          <w:p w14:paraId="594B4C8B" w14:textId="77777777" w:rsidR="00814857" w:rsidRDefault="00814857" w:rsidP="00894126">
            <w:pPr>
              <w:pStyle w:val="ARtablecolheadright"/>
            </w:pPr>
            <w:r>
              <w:t>Variation (%)</w:t>
            </w:r>
          </w:p>
        </w:tc>
        <w:tc>
          <w:tcPr>
            <w:tcW w:w="794" w:type="dxa"/>
            <w:tcBorders>
              <w:top w:val="nil"/>
              <w:left w:val="nil"/>
              <w:bottom w:val="single" w:sz="4" w:space="0" w:color="auto"/>
              <w:right w:val="nil"/>
            </w:tcBorders>
            <w:vAlign w:val="bottom"/>
            <w:hideMark/>
          </w:tcPr>
          <w:p w14:paraId="38C4501B" w14:textId="77777777" w:rsidR="00814857" w:rsidRDefault="00814857" w:rsidP="00894126">
            <w:pPr>
              <w:pStyle w:val="ARtablecolheadright"/>
            </w:pPr>
            <w:r>
              <w:t>Result</w:t>
            </w:r>
          </w:p>
        </w:tc>
      </w:tr>
      <w:tr w:rsidR="00830963" w14:paraId="44539CD5"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19B4B36A" w14:textId="0AD9B9A9" w:rsidR="00830963" w:rsidRPr="00830963" w:rsidRDefault="00830963" w:rsidP="00830963">
            <w:pPr>
              <w:pStyle w:val="ARtablebluebold"/>
            </w:pPr>
            <w:r w:rsidRPr="00830963">
              <w:t>Admitted Services</w:t>
            </w:r>
          </w:p>
        </w:tc>
      </w:tr>
      <w:tr w:rsidR="00830963" w14:paraId="061E783C" w14:textId="77777777" w:rsidTr="00A05EB7">
        <w:trPr>
          <w:cantSplit/>
          <w:trHeight w:val="240"/>
        </w:trPr>
        <w:tc>
          <w:tcPr>
            <w:tcW w:w="9645" w:type="dxa"/>
            <w:gridSpan w:val="6"/>
            <w:tcBorders>
              <w:top w:val="single" w:sz="4" w:space="0" w:color="auto"/>
              <w:left w:val="nil"/>
              <w:bottom w:val="nil"/>
              <w:right w:val="nil"/>
            </w:tcBorders>
            <w:hideMark/>
          </w:tcPr>
          <w:p w14:paraId="304C9C8C" w14:textId="64EEF973" w:rsidR="00830963" w:rsidRPr="00830963" w:rsidRDefault="00830963" w:rsidP="00830963">
            <w:pPr>
              <w:pStyle w:val="ARtablegreybold"/>
            </w:pPr>
            <w:r w:rsidRPr="00830963">
              <w:t>Quantity</w:t>
            </w:r>
          </w:p>
        </w:tc>
      </w:tr>
      <w:tr w:rsidR="00814857" w14:paraId="5B8C0FC9" w14:textId="77777777" w:rsidTr="00894126">
        <w:trPr>
          <w:cantSplit/>
          <w:trHeight w:val="480"/>
        </w:trPr>
        <w:tc>
          <w:tcPr>
            <w:tcW w:w="4764" w:type="dxa"/>
            <w:tcBorders>
              <w:bottom w:val="single" w:sz="4" w:space="0" w:color="BFBFBF" w:themeColor="background1" w:themeShade="BF"/>
            </w:tcBorders>
            <w:hideMark/>
          </w:tcPr>
          <w:p w14:paraId="59F75350" w14:textId="77777777" w:rsidR="00814857" w:rsidRDefault="00814857" w:rsidP="00894126">
            <w:pPr>
              <w:pStyle w:val="ARtabletext"/>
            </w:pPr>
            <w:r>
              <w:rPr>
                <w:noProof/>
              </w:rPr>
              <w:t>Palliative separations</w:t>
            </w:r>
          </w:p>
        </w:tc>
        <w:tc>
          <w:tcPr>
            <w:tcW w:w="1021" w:type="dxa"/>
            <w:tcBorders>
              <w:bottom w:val="single" w:sz="4" w:space="0" w:color="BFBFBF" w:themeColor="background1" w:themeShade="BF"/>
            </w:tcBorders>
            <w:hideMark/>
          </w:tcPr>
          <w:p w14:paraId="004402C7" w14:textId="77777777" w:rsidR="00814857" w:rsidRDefault="00814857" w:rsidP="00894126">
            <w:pPr>
              <w:pStyle w:val="ARtabletextright"/>
            </w:pPr>
            <w:r>
              <w:rPr>
                <w:noProof/>
              </w:rPr>
              <w:t>number</w:t>
            </w:r>
          </w:p>
        </w:tc>
        <w:tc>
          <w:tcPr>
            <w:tcW w:w="1022" w:type="dxa"/>
            <w:tcBorders>
              <w:bottom w:val="single" w:sz="4" w:space="0" w:color="BFBFBF" w:themeColor="background1" w:themeShade="BF"/>
            </w:tcBorders>
            <w:hideMark/>
          </w:tcPr>
          <w:p w14:paraId="4C2B302F" w14:textId="77777777" w:rsidR="00814857" w:rsidRDefault="00814857" w:rsidP="00894126">
            <w:pPr>
              <w:pStyle w:val="ARtabletextright"/>
            </w:pPr>
            <w:r>
              <w:rPr>
                <w:noProof/>
              </w:rPr>
              <w:t>7,670</w:t>
            </w:r>
          </w:p>
        </w:tc>
        <w:tc>
          <w:tcPr>
            <w:tcW w:w="1022" w:type="dxa"/>
            <w:tcBorders>
              <w:bottom w:val="single" w:sz="4" w:space="0" w:color="BFBFBF" w:themeColor="background1" w:themeShade="BF"/>
            </w:tcBorders>
            <w:hideMark/>
          </w:tcPr>
          <w:p w14:paraId="2FE45524" w14:textId="77777777" w:rsidR="00814857" w:rsidRDefault="00814857" w:rsidP="00894126">
            <w:pPr>
              <w:pStyle w:val="ARtabletextright"/>
            </w:pPr>
            <w:r>
              <w:rPr>
                <w:noProof/>
              </w:rPr>
              <w:t>7,992</w:t>
            </w:r>
          </w:p>
        </w:tc>
        <w:tc>
          <w:tcPr>
            <w:tcW w:w="1022" w:type="dxa"/>
            <w:tcBorders>
              <w:bottom w:val="single" w:sz="4" w:space="0" w:color="BFBFBF" w:themeColor="background1" w:themeShade="BF"/>
            </w:tcBorders>
            <w:hideMark/>
          </w:tcPr>
          <w:p w14:paraId="65A314AD" w14:textId="77777777" w:rsidR="00814857" w:rsidRDefault="00814857" w:rsidP="00894126">
            <w:pPr>
              <w:pStyle w:val="ARtabletextright"/>
            </w:pPr>
            <w:r>
              <w:rPr>
                <w:noProof/>
              </w:rPr>
              <w:t>4.2</w:t>
            </w:r>
          </w:p>
        </w:tc>
        <w:tc>
          <w:tcPr>
            <w:tcW w:w="794" w:type="dxa"/>
            <w:tcBorders>
              <w:bottom w:val="single" w:sz="4" w:space="0" w:color="BFBFBF" w:themeColor="background1" w:themeShade="BF"/>
            </w:tcBorders>
            <w:hideMark/>
          </w:tcPr>
          <w:p w14:paraId="3C5D1F71" w14:textId="77777777" w:rsidR="00814857" w:rsidRDefault="00814857" w:rsidP="00894126">
            <w:pPr>
              <w:pStyle w:val="ARtabletextright"/>
            </w:pPr>
            <w:r>
              <w:sym w:font="Wingdings" w:char="F0FC"/>
            </w:r>
          </w:p>
        </w:tc>
      </w:tr>
      <w:tr w:rsidR="00814857" w14:paraId="4947A31C"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274674C7" w14:textId="77777777" w:rsidR="00814857" w:rsidRDefault="00814857" w:rsidP="00894126">
            <w:pPr>
              <w:pStyle w:val="ARtabletext"/>
            </w:pPr>
            <w:r>
              <w:rPr>
                <w:noProof/>
              </w:rPr>
              <w:t>Sub-acute care separations</w:t>
            </w:r>
          </w:p>
        </w:tc>
        <w:tc>
          <w:tcPr>
            <w:tcW w:w="1021" w:type="dxa"/>
            <w:tcBorders>
              <w:top w:val="single" w:sz="4" w:space="0" w:color="BFBFBF" w:themeColor="background1" w:themeShade="BF"/>
              <w:bottom w:val="single" w:sz="4" w:space="0" w:color="BFBFBF" w:themeColor="background1" w:themeShade="BF"/>
            </w:tcBorders>
            <w:hideMark/>
          </w:tcPr>
          <w:p w14:paraId="54FAB934" w14:textId="77777777" w:rsidR="00814857" w:rsidRDefault="00814857" w:rsidP="00894126">
            <w:pPr>
              <w:pStyle w:val="ARtabletextright"/>
            </w:pPr>
            <w:r>
              <w:rPr>
                <w:noProof/>
              </w:rPr>
              <w:t>number</w:t>
            </w:r>
          </w:p>
        </w:tc>
        <w:tc>
          <w:tcPr>
            <w:tcW w:w="1022" w:type="dxa"/>
            <w:tcBorders>
              <w:top w:val="single" w:sz="4" w:space="0" w:color="BFBFBF" w:themeColor="background1" w:themeShade="BF"/>
              <w:bottom w:val="single" w:sz="4" w:space="0" w:color="BFBFBF" w:themeColor="background1" w:themeShade="BF"/>
            </w:tcBorders>
            <w:hideMark/>
          </w:tcPr>
          <w:p w14:paraId="319FE199" w14:textId="77777777" w:rsidR="00814857" w:rsidRDefault="00814857" w:rsidP="00894126">
            <w:pPr>
              <w:pStyle w:val="ARtabletextright"/>
            </w:pPr>
            <w:r>
              <w:rPr>
                <w:noProof/>
              </w:rPr>
              <w:t>38,396</w:t>
            </w:r>
          </w:p>
        </w:tc>
        <w:tc>
          <w:tcPr>
            <w:tcW w:w="1022" w:type="dxa"/>
            <w:tcBorders>
              <w:top w:val="single" w:sz="4" w:space="0" w:color="BFBFBF" w:themeColor="background1" w:themeShade="BF"/>
              <w:bottom w:val="single" w:sz="4" w:space="0" w:color="BFBFBF" w:themeColor="background1" w:themeShade="BF"/>
            </w:tcBorders>
            <w:hideMark/>
          </w:tcPr>
          <w:p w14:paraId="5D9E7F06" w14:textId="77777777" w:rsidR="00814857" w:rsidRDefault="00814857" w:rsidP="00894126">
            <w:pPr>
              <w:pStyle w:val="ARtabletextright"/>
            </w:pPr>
            <w:r>
              <w:rPr>
                <w:noProof/>
              </w:rPr>
              <w:t>39,734</w:t>
            </w:r>
          </w:p>
        </w:tc>
        <w:tc>
          <w:tcPr>
            <w:tcW w:w="1022" w:type="dxa"/>
            <w:tcBorders>
              <w:top w:val="single" w:sz="4" w:space="0" w:color="BFBFBF" w:themeColor="background1" w:themeShade="BF"/>
              <w:bottom w:val="single" w:sz="4" w:space="0" w:color="BFBFBF" w:themeColor="background1" w:themeShade="BF"/>
            </w:tcBorders>
            <w:hideMark/>
          </w:tcPr>
          <w:p w14:paraId="247BFE38" w14:textId="77777777" w:rsidR="00814857" w:rsidRDefault="00814857" w:rsidP="00894126">
            <w:pPr>
              <w:pStyle w:val="ARtabletextright"/>
            </w:pPr>
            <w:r>
              <w:rPr>
                <w:noProof/>
              </w:rPr>
              <w:t>3.5</w:t>
            </w:r>
          </w:p>
        </w:tc>
        <w:tc>
          <w:tcPr>
            <w:tcW w:w="794" w:type="dxa"/>
            <w:tcBorders>
              <w:top w:val="single" w:sz="4" w:space="0" w:color="BFBFBF" w:themeColor="background1" w:themeShade="BF"/>
              <w:bottom w:val="single" w:sz="4" w:space="0" w:color="BFBFBF" w:themeColor="background1" w:themeShade="BF"/>
            </w:tcBorders>
            <w:hideMark/>
          </w:tcPr>
          <w:p w14:paraId="43D4798B" w14:textId="77777777" w:rsidR="00814857" w:rsidRDefault="00814857" w:rsidP="00894126">
            <w:pPr>
              <w:pStyle w:val="ARtabletextright"/>
            </w:pPr>
            <w:r>
              <w:sym w:font="Wingdings" w:char="F0FC"/>
            </w:r>
          </w:p>
        </w:tc>
      </w:tr>
      <w:tr w:rsidR="00814857" w14:paraId="467A1320"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5C494C4D" w14:textId="77777777" w:rsidR="00814857" w:rsidRDefault="00814857" w:rsidP="00894126">
            <w:pPr>
              <w:pStyle w:val="ARtabletext"/>
            </w:pPr>
            <w:r>
              <w:rPr>
                <w:noProof/>
              </w:rPr>
              <w:t>Total separations – all hospitals</w:t>
            </w:r>
          </w:p>
        </w:tc>
        <w:tc>
          <w:tcPr>
            <w:tcW w:w="1021" w:type="dxa"/>
            <w:tcBorders>
              <w:top w:val="single" w:sz="4" w:space="0" w:color="BFBFBF" w:themeColor="background1" w:themeShade="BF"/>
              <w:bottom w:val="single" w:sz="4" w:space="0" w:color="BFBFBF" w:themeColor="background1" w:themeShade="BF"/>
            </w:tcBorders>
            <w:hideMark/>
          </w:tcPr>
          <w:p w14:paraId="03010BBB" w14:textId="77777777" w:rsidR="00814857" w:rsidRDefault="00814857" w:rsidP="00894126">
            <w:pPr>
              <w:pStyle w:val="ARtabletextright"/>
            </w:pPr>
            <w:r>
              <w:rPr>
                <w:noProof/>
              </w:rPr>
              <w:t>number (thousand)</w:t>
            </w:r>
          </w:p>
        </w:tc>
        <w:tc>
          <w:tcPr>
            <w:tcW w:w="1022" w:type="dxa"/>
            <w:tcBorders>
              <w:top w:val="single" w:sz="4" w:space="0" w:color="BFBFBF" w:themeColor="background1" w:themeShade="BF"/>
              <w:bottom w:val="single" w:sz="4" w:space="0" w:color="BFBFBF" w:themeColor="background1" w:themeShade="BF"/>
            </w:tcBorders>
            <w:hideMark/>
          </w:tcPr>
          <w:p w14:paraId="5A2BABAC" w14:textId="77777777" w:rsidR="00814857" w:rsidRDefault="00814857" w:rsidP="00894126">
            <w:pPr>
              <w:pStyle w:val="ARtabletextright"/>
            </w:pPr>
            <w:r>
              <w:rPr>
                <w:noProof/>
              </w:rPr>
              <w:t>1,956</w:t>
            </w:r>
          </w:p>
        </w:tc>
        <w:tc>
          <w:tcPr>
            <w:tcW w:w="1022" w:type="dxa"/>
            <w:tcBorders>
              <w:top w:val="single" w:sz="4" w:space="0" w:color="BFBFBF" w:themeColor="background1" w:themeShade="BF"/>
              <w:bottom w:val="single" w:sz="4" w:space="0" w:color="BFBFBF" w:themeColor="background1" w:themeShade="BF"/>
            </w:tcBorders>
            <w:hideMark/>
          </w:tcPr>
          <w:p w14:paraId="5865BBCE" w14:textId="77777777" w:rsidR="00814857" w:rsidRDefault="00814857" w:rsidP="00894126">
            <w:pPr>
              <w:pStyle w:val="ARtabletextright"/>
            </w:pPr>
            <w:r>
              <w:rPr>
                <w:noProof/>
              </w:rPr>
              <w:t>1,948</w:t>
            </w:r>
          </w:p>
        </w:tc>
        <w:tc>
          <w:tcPr>
            <w:tcW w:w="1022" w:type="dxa"/>
            <w:tcBorders>
              <w:top w:val="single" w:sz="4" w:space="0" w:color="BFBFBF" w:themeColor="background1" w:themeShade="BF"/>
              <w:bottom w:val="single" w:sz="4" w:space="0" w:color="BFBFBF" w:themeColor="background1" w:themeShade="BF"/>
            </w:tcBorders>
            <w:hideMark/>
          </w:tcPr>
          <w:p w14:paraId="51E2A1E8" w14:textId="77777777" w:rsidR="00814857" w:rsidRDefault="00814857" w:rsidP="00894126">
            <w:pPr>
              <w:pStyle w:val="ARtabletextright"/>
            </w:pPr>
            <w:r>
              <w:rPr>
                <w:noProof/>
              </w:rPr>
              <w:t>-0.4</w:t>
            </w:r>
          </w:p>
        </w:tc>
        <w:tc>
          <w:tcPr>
            <w:tcW w:w="794" w:type="dxa"/>
            <w:tcBorders>
              <w:top w:val="single" w:sz="4" w:space="0" w:color="BFBFBF" w:themeColor="background1" w:themeShade="BF"/>
              <w:bottom w:val="single" w:sz="4" w:space="0" w:color="BFBFBF" w:themeColor="background1" w:themeShade="BF"/>
            </w:tcBorders>
            <w:hideMark/>
          </w:tcPr>
          <w:p w14:paraId="7E6A1379" w14:textId="77777777" w:rsidR="00814857" w:rsidRDefault="00814857" w:rsidP="00894126">
            <w:pPr>
              <w:pStyle w:val="ARtabletextright"/>
            </w:pPr>
            <w:r w:rsidRPr="007939DD">
              <w:sym w:font="Wingdings 2" w:char="F099"/>
            </w:r>
          </w:p>
        </w:tc>
      </w:tr>
      <w:tr w:rsidR="00814857" w14:paraId="6F6B6BB0" w14:textId="77777777" w:rsidTr="00894126">
        <w:trPr>
          <w:cantSplit/>
          <w:trHeight w:val="480"/>
        </w:trPr>
        <w:tc>
          <w:tcPr>
            <w:tcW w:w="4764" w:type="dxa"/>
            <w:tcBorders>
              <w:top w:val="single" w:sz="4" w:space="0" w:color="BFBFBF" w:themeColor="background1" w:themeShade="BF"/>
            </w:tcBorders>
            <w:hideMark/>
          </w:tcPr>
          <w:p w14:paraId="543C8A5D" w14:textId="77777777" w:rsidR="00814857" w:rsidRDefault="00814857" w:rsidP="00894126">
            <w:pPr>
              <w:pStyle w:val="ARtabletext"/>
            </w:pPr>
            <w:r>
              <w:rPr>
                <w:noProof/>
              </w:rPr>
              <w:t>Perinatal mortality rate per 1,000 of babies of Aboriginal mothers, using rolling three year average</w:t>
            </w:r>
          </w:p>
        </w:tc>
        <w:tc>
          <w:tcPr>
            <w:tcW w:w="1021" w:type="dxa"/>
            <w:tcBorders>
              <w:top w:val="single" w:sz="4" w:space="0" w:color="BFBFBF" w:themeColor="background1" w:themeShade="BF"/>
            </w:tcBorders>
            <w:hideMark/>
          </w:tcPr>
          <w:p w14:paraId="31950686" w14:textId="77777777" w:rsidR="00814857" w:rsidRDefault="00814857" w:rsidP="00894126">
            <w:pPr>
              <w:pStyle w:val="ARtabletextright"/>
            </w:pPr>
            <w:r>
              <w:rPr>
                <w:noProof/>
              </w:rPr>
              <w:t>rate per 1,000</w:t>
            </w:r>
          </w:p>
        </w:tc>
        <w:tc>
          <w:tcPr>
            <w:tcW w:w="1022" w:type="dxa"/>
            <w:tcBorders>
              <w:top w:val="single" w:sz="4" w:space="0" w:color="BFBFBF" w:themeColor="background1" w:themeShade="BF"/>
            </w:tcBorders>
            <w:hideMark/>
          </w:tcPr>
          <w:p w14:paraId="3D281C5F" w14:textId="77777777" w:rsidR="00814857" w:rsidRDefault="00814857" w:rsidP="00894126">
            <w:pPr>
              <w:pStyle w:val="ARtabletextright"/>
            </w:pPr>
            <w:r>
              <w:rPr>
                <w:noProof/>
              </w:rPr>
              <w:t>13.6</w:t>
            </w:r>
          </w:p>
        </w:tc>
        <w:tc>
          <w:tcPr>
            <w:tcW w:w="1022" w:type="dxa"/>
            <w:tcBorders>
              <w:top w:val="single" w:sz="4" w:space="0" w:color="BFBFBF" w:themeColor="background1" w:themeShade="BF"/>
            </w:tcBorders>
            <w:hideMark/>
          </w:tcPr>
          <w:p w14:paraId="46D52C3F" w14:textId="77777777" w:rsidR="00814857" w:rsidRDefault="00814857" w:rsidP="00894126">
            <w:pPr>
              <w:pStyle w:val="ARtabletextright"/>
            </w:pPr>
            <w:r>
              <w:rPr>
                <w:noProof/>
              </w:rPr>
              <w:t>10</w:t>
            </w:r>
          </w:p>
        </w:tc>
        <w:tc>
          <w:tcPr>
            <w:tcW w:w="1022" w:type="dxa"/>
            <w:tcBorders>
              <w:top w:val="single" w:sz="4" w:space="0" w:color="BFBFBF" w:themeColor="background1" w:themeShade="BF"/>
            </w:tcBorders>
            <w:hideMark/>
          </w:tcPr>
          <w:p w14:paraId="7B0F4E84" w14:textId="77777777" w:rsidR="00814857" w:rsidRDefault="00814857" w:rsidP="00894126">
            <w:pPr>
              <w:pStyle w:val="ARtabletextright"/>
            </w:pPr>
            <w:r>
              <w:rPr>
                <w:noProof/>
              </w:rPr>
              <w:t>-26.5</w:t>
            </w:r>
          </w:p>
        </w:tc>
        <w:tc>
          <w:tcPr>
            <w:tcW w:w="794" w:type="dxa"/>
            <w:tcBorders>
              <w:top w:val="single" w:sz="4" w:space="0" w:color="BFBFBF" w:themeColor="background1" w:themeShade="BF"/>
            </w:tcBorders>
            <w:hideMark/>
          </w:tcPr>
          <w:p w14:paraId="154411CC" w14:textId="77777777" w:rsidR="00814857" w:rsidRDefault="00814857" w:rsidP="00894126">
            <w:pPr>
              <w:pStyle w:val="ARtabletextright"/>
            </w:pPr>
            <w:r>
              <w:sym w:font="Wingdings" w:char="F0FC"/>
            </w:r>
          </w:p>
        </w:tc>
      </w:tr>
      <w:tr w:rsidR="00814857" w14:paraId="6F6634DB" w14:textId="77777777" w:rsidTr="00894126">
        <w:trPr>
          <w:cantSplit/>
          <w:trHeight w:val="240"/>
        </w:trPr>
        <w:tc>
          <w:tcPr>
            <w:tcW w:w="9645" w:type="dxa"/>
            <w:gridSpan w:val="6"/>
            <w:tcBorders>
              <w:top w:val="nil"/>
              <w:left w:val="nil"/>
              <w:bottom w:val="single" w:sz="4" w:space="0" w:color="BFBFBF"/>
              <w:right w:val="nil"/>
            </w:tcBorders>
            <w:noWrap/>
            <w:hideMark/>
          </w:tcPr>
          <w:p w14:paraId="070F4211" w14:textId="7D8C9CD0" w:rsidR="00814857" w:rsidRDefault="00814857" w:rsidP="00894126">
            <w:pPr>
              <w:pStyle w:val="ARtablenoteindent"/>
            </w:pPr>
            <w:r>
              <w:rPr>
                <w:noProof/>
              </w:rPr>
              <w:t>Preliminary result. This data is lagged by 12 months and the results are reported annually for the rolling three-year period. Actual end-of-year results for 2018 will be available late 2019, after receipt of Consultative Council on Obstetric and Paediatric Mortality and Morbidity report. This is a positive result.</w:t>
            </w:r>
          </w:p>
        </w:tc>
      </w:tr>
      <w:tr w:rsidR="00814857" w14:paraId="6F175C3E"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3F06959E" w14:textId="77777777" w:rsidR="00814857" w:rsidRDefault="00814857" w:rsidP="00894126">
            <w:pPr>
              <w:pStyle w:val="ARtabletext"/>
            </w:pPr>
            <w:r>
              <w:rPr>
                <w:noProof/>
              </w:rPr>
              <w:t>Weighted Inlier Equivalent Separations (WIES) – all hospitals except small rural health services</w:t>
            </w:r>
          </w:p>
        </w:tc>
        <w:tc>
          <w:tcPr>
            <w:tcW w:w="1021" w:type="dxa"/>
            <w:tcBorders>
              <w:top w:val="single" w:sz="4" w:space="0" w:color="BFBFBF" w:themeColor="background1" w:themeShade="BF"/>
              <w:bottom w:val="single" w:sz="4" w:space="0" w:color="BFBFBF" w:themeColor="background1" w:themeShade="BF"/>
            </w:tcBorders>
            <w:hideMark/>
          </w:tcPr>
          <w:p w14:paraId="7AA6A324" w14:textId="77777777" w:rsidR="00814857" w:rsidRDefault="00814857" w:rsidP="00894126">
            <w:pPr>
              <w:pStyle w:val="ARtabletextright"/>
            </w:pPr>
            <w:r>
              <w:rPr>
                <w:noProof/>
              </w:rPr>
              <w:t>number (thousand)</w:t>
            </w:r>
          </w:p>
        </w:tc>
        <w:tc>
          <w:tcPr>
            <w:tcW w:w="1022" w:type="dxa"/>
            <w:tcBorders>
              <w:top w:val="single" w:sz="4" w:space="0" w:color="BFBFBF" w:themeColor="background1" w:themeShade="BF"/>
              <w:bottom w:val="single" w:sz="4" w:space="0" w:color="BFBFBF" w:themeColor="background1" w:themeShade="BF"/>
            </w:tcBorders>
            <w:hideMark/>
          </w:tcPr>
          <w:p w14:paraId="65CD86A0" w14:textId="77777777" w:rsidR="00814857" w:rsidRDefault="00814857" w:rsidP="00894126">
            <w:pPr>
              <w:pStyle w:val="ARtabletextright"/>
            </w:pPr>
            <w:r>
              <w:rPr>
                <w:noProof/>
              </w:rPr>
              <w:t>1,400</w:t>
            </w:r>
          </w:p>
        </w:tc>
        <w:tc>
          <w:tcPr>
            <w:tcW w:w="1022" w:type="dxa"/>
            <w:tcBorders>
              <w:top w:val="single" w:sz="4" w:space="0" w:color="BFBFBF" w:themeColor="background1" w:themeShade="BF"/>
              <w:bottom w:val="single" w:sz="4" w:space="0" w:color="BFBFBF" w:themeColor="background1" w:themeShade="BF"/>
            </w:tcBorders>
            <w:hideMark/>
          </w:tcPr>
          <w:p w14:paraId="18B28D5B" w14:textId="77777777" w:rsidR="00814857" w:rsidRDefault="00814857" w:rsidP="00894126">
            <w:pPr>
              <w:pStyle w:val="ARtabletextright"/>
            </w:pPr>
            <w:r>
              <w:rPr>
                <w:noProof/>
              </w:rPr>
              <w:t>1,407</w:t>
            </w:r>
          </w:p>
        </w:tc>
        <w:tc>
          <w:tcPr>
            <w:tcW w:w="1022" w:type="dxa"/>
            <w:tcBorders>
              <w:top w:val="single" w:sz="4" w:space="0" w:color="BFBFBF" w:themeColor="background1" w:themeShade="BF"/>
              <w:bottom w:val="single" w:sz="4" w:space="0" w:color="BFBFBF" w:themeColor="background1" w:themeShade="BF"/>
            </w:tcBorders>
            <w:hideMark/>
          </w:tcPr>
          <w:p w14:paraId="14E59EBF" w14:textId="77777777" w:rsidR="00814857" w:rsidRDefault="00814857" w:rsidP="00894126">
            <w:pPr>
              <w:pStyle w:val="ARtabletextright"/>
            </w:pPr>
            <w:r>
              <w:rPr>
                <w:noProof/>
              </w:rPr>
              <w:t>0.5</w:t>
            </w:r>
          </w:p>
        </w:tc>
        <w:tc>
          <w:tcPr>
            <w:tcW w:w="794" w:type="dxa"/>
            <w:tcBorders>
              <w:top w:val="single" w:sz="4" w:space="0" w:color="BFBFBF" w:themeColor="background1" w:themeShade="BF"/>
              <w:bottom w:val="single" w:sz="4" w:space="0" w:color="BFBFBF" w:themeColor="background1" w:themeShade="BF"/>
            </w:tcBorders>
            <w:hideMark/>
          </w:tcPr>
          <w:p w14:paraId="4807D230" w14:textId="77777777" w:rsidR="00814857" w:rsidRDefault="00814857" w:rsidP="00894126">
            <w:pPr>
              <w:pStyle w:val="ARtabletextright"/>
            </w:pPr>
            <w:r>
              <w:sym w:font="Wingdings" w:char="F0FC"/>
            </w:r>
          </w:p>
        </w:tc>
      </w:tr>
      <w:tr w:rsidR="00814857" w14:paraId="40640CDB"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6E3AAA6F" w14:textId="77777777" w:rsidR="00814857" w:rsidRDefault="00814857" w:rsidP="00894126">
            <w:pPr>
              <w:pStyle w:val="ARtabletext"/>
            </w:pPr>
            <w:r>
              <w:rPr>
                <w:noProof/>
              </w:rPr>
              <w:t>WIES funded emergency separations – all hospitals</w:t>
            </w:r>
          </w:p>
        </w:tc>
        <w:tc>
          <w:tcPr>
            <w:tcW w:w="1021" w:type="dxa"/>
            <w:tcBorders>
              <w:top w:val="single" w:sz="4" w:space="0" w:color="BFBFBF" w:themeColor="background1" w:themeShade="BF"/>
              <w:bottom w:val="single" w:sz="4" w:space="0" w:color="BFBFBF" w:themeColor="background1" w:themeShade="BF"/>
            </w:tcBorders>
            <w:hideMark/>
          </w:tcPr>
          <w:p w14:paraId="5BA96486" w14:textId="77777777" w:rsidR="00814857" w:rsidRDefault="00814857" w:rsidP="00894126">
            <w:pPr>
              <w:pStyle w:val="ARtabletextright"/>
            </w:pPr>
            <w:r>
              <w:rPr>
                <w:noProof/>
              </w:rPr>
              <w:t>number (thousand)</w:t>
            </w:r>
          </w:p>
        </w:tc>
        <w:tc>
          <w:tcPr>
            <w:tcW w:w="1022" w:type="dxa"/>
            <w:tcBorders>
              <w:top w:val="single" w:sz="4" w:space="0" w:color="BFBFBF" w:themeColor="background1" w:themeShade="BF"/>
              <w:bottom w:val="single" w:sz="4" w:space="0" w:color="BFBFBF" w:themeColor="background1" w:themeShade="BF"/>
            </w:tcBorders>
            <w:hideMark/>
          </w:tcPr>
          <w:p w14:paraId="0C8260CB" w14:textId="77777777" w:rsidR="00814857" w:rsidRDefault="00814857" w:rsidP="00894126">
            <w:pPr>
              <w:pStyle w:val="ARtabletextright"/>
            </w:pPr>
            <w:r>
              <w:rPr>
                <w:noProof/>
              </w:rPr>
              <w:t>716</w:t>
            </w:r>
          </w:p>
        </w:tc>
        <w:tc>
          <w:tcPr>
            <w:tcW w:w="1022" w:type="dxa"/>
            <w:tcBorders>
              <w:top w:val="single" w:sz="4" w:space="0" w:color="BFBFBF" w:themeColor="background1" w:themeShade="BF"/>
              <w:bottom w:val="single" w:sz="4" w:space="0" w:color="BFBFBF" w:themeColor="background1" w:themeShade="BF"/>
            </w:tcBorders>
            <w:hideMark/>
          </w:tcPr>
          <w:p w14:paraId="00C805BF" w14:textId="77777777" w:rsidR="00814857" w:rsidRDefault="00814857" w:rsidP="00894126">
            <w:pPr>
              <w:pStyle w:val="ARtabletextright"/>
            </w:pPr>
            <w:r>
              <w:rPr>
                <w:noProof/>
              </w:rPr>
              <w:t>680</w:t>
            </w:r>
          </w:p>
        </w:tc>
        <w:tc>
          <w:tcPr>
            <w:tcW w:w="1022" w:type="dxa"/>
            <w:tcBorders>
              <w:top w:val="single" w:sz="4" w:space="0" w:color="BFBFBF" w:themeColor="background1" w:themeShade="BF"/>
              <w:bottom w:val="single" w:sz="4" w:space="0" w:color="BFBFBF" w:themeColor="background1" w:themeShade="BF"/>
            </w:tcBorders>
            <w:hideMark/>
          </w:tcPr>
          <w:p w14:paraId="14911421" w14:textId="77777777" w:rsidR="00814857" w:rsidRDefault="00814857" w:rsidP="00894126">
            <w:pPr>
              <w:pStyle w:val="ARtabletextright"/>
            </w:pPr>
            <w:r>
              <w:rPr>
                <w:noProof/>
              </w:rPr>
              <w:t>-5.0</w:t>
            </w:r>
          </w:p>
        </w:tc>
        <w:tc>
          <w:tcPr>
            <w:tcW w:w="794" w:type="dxa"/>
            <w:tcBorders>
              <w:top w:val="single" w:sz="4" w:space="0" w:color="BFBFBF" w:themeColor="background1" w:themeShade="BF"/>
              <w:bottom w:val="single" w:sz="4" w:space="0" w:color="BFBFBF" w:themeColor="background1" w:themeShade="BF"/>
            </w:tcBorders>
            <w:hideMark/>
          </w:tcPr>
          <w:p w14:paraId="1CBE021E" w14:textId="77777777" w:rsidR="00814857" w:rsidRDefault="00814857" w:rsidP="00894126">
            <w:pPr>
              <w:pStyle w:val="ARtabletextright"/>
            </w:pPr>
            <w:r w:rsidRPr="007939DD">
              <w:sym w:font="Wingdings 2" w:char="F099"/>
            </w:r>
          </w:p>
        </w:tc>
      </w:tr>
      <w:tr w:rsidR="00814857" w14:paraId="3EEC61FE" w14:textId="77777777" w:rsidTr="00894126">
        <w:trPr>
          <w:cantSplit/>
          <w:trHeight w:val="480"/>
        </w:trPr>
        <w:tc>
          <w:tcPr>
            <w:tcW w:w="4764" w:type="dxa"/>
            <w:tcBorders>
              <w:top w:val="single" w:sz="4" w:space="0" w:color="BFBFBF" w:themeColor="background1" w:themeShade="BF"/>
            </w:tcBorders>
            <w:hideMark/>
          </w:tcPr>
          <w:p w14:paraId="594E087C" w14:textId="77777777" w:rsidR="00814857" w:rsidRDefault="00814857" w:rsidP="00894126">
            <w:pPr>
              <w:pStyle w:val="ARtabletext"/>
            </w:pPr>
            <w:r>
              <w:rPr>
                <w:noProof/>
              </w:rPr>
              <w:t>WIES funded separations – all hospitals except small rural health services</w:t>
            </w:r>
          </w:p>
        </w:tc>
        <w:tc>
          <w:tcPr>
            <w:tcW w:w="1021" w:type="dxa"/>
            <w:tcBorders>
              <w:top w:val="single" w:sz="4" w:space="0" w:color="BFBFBF" w:themeColor="background1" w:themeShade="BF"/>
            </w:tcBorders>
            <w:hideMark/>
          </w:tcPr>
          <w:p w14:paraId="21A853D1" w14:textId="77777777" w:rsidR="00814857" w:rsidRDefault="00814857" w:rsidP="00894126">
            <w:pPr>
              <w:pStyle w:val="ARtabletextright"/>
            </w:pPr>
            <w:r>
              <w:rPr>
                <w:noProof/>
              </w:rPr>
              <w:t>number (thousand)</w:t>
            </w:r>
          </w:p>
        </w:tc>
        <w:tc>
          <w:tcPr>
            <w:tcW w:w="1022" w:type="dxa"/>
            <w:tcBorders>
              <w:top w:val="single" w:sz="4" w:space="0" w:color="BFBFBF" w:themeColor="background1" w:themeShade="BF"/>
            </w:tcBorders>
            <w:hideMark/>
          </w:tcPr>
          <w:p w14:paraId="51A43970" w14:textId="77777777" w:rsidR="00814857" w:rsidRDefault="00814857" w:rsidP="00894126">
            <w:pPr>
              <w:pStyle w:val="ARtabletextright"/>
            </w:pPr>
            <w:r>
              <w:rPr>
                <w:noProof/>
              </w:rPr>
              <w:t>1,773</w:t>
            </w:r>
          </w:p>
        </w:tc>
        <w:tc>
          <w:tcPr>
            <w:tcW w:w="1022" w:type="dxa"/>
            <w:tcBorders>
              <w:top w:val="single" w:sz="4" w:space="0" w:color="BFBFBF" w:themeColor="background1" w:themeShade="BF"/>
            </w:tcBorders>
            <w:hideMark/>
          </w:tcPr>
          <w:p w14:paraId="243C6697" w14:textId="77777777" w:rsidR="00814857" w:rsidRDefault="00814857" w:rsidP="00894126">
            <w:pPr>
              <w:pStyle w:val="ARtabletextright"/>
            </w:pPr>
            <w:r>
              <w:rPr>
                <w:noProof/>
              </w:rPr>
              <w:t>1,762</w:t>
            </w:r>
          </w:p>
        </w:tc>
        <w:tc>
          <w:tcPr>
            <w:tcW w:w="1022" w:type="dxa"/>
            <w:tcBorders>
              <w:top w:val="single" w:sz="4" w:space="0" w:color="BFBFBF" w:themeColor="background1" w:themeShade="BF"/>
            </w:tcBorders>
            <w:hideMark/>
          </w:tcPr>
          <w:p w14:paraId="3C386DB9" w14:textId="77777777" w:rsidR="00814857" w:rsidRDefault="00814857" w:rsidP="00894126">
            <w:pPr>
              <w:pStyle w:val="ARtabletextright"/>
            </w:pPr>
            <w:r>
              <w:rPr>
                <w:noProof/>
              </w:rPr>
              <w:t>-0.6</w:t>
            </w:r>
          </w:p>
        </w:tc>
        <w:tc>
          <w:tcPr>
            <w:tcW w:w="794" w:type="dxa"/>
            <w:tcBorders>
              <w:top w:val="single" w:sz="4" w:space="0" w:color="BFBFBF" w:themeColor="background1" w:themeShade="BF"/>
            </w:tcBorders>
            <w:hideMark/>
          </w:tcPr>
          <w:p w14:paraId="5BD614E4" w14:textId="77777777" w:rsidR="00814857" w:rsidRDefault="00814857" w:rsidP="00894126">
            <w:pPr>
              <w:pStyle w:val="ARtabletextright"/>
            </w:pPr>
            <w:r w:rsidRPr="007939DD">
              <w:sym w:font="Wingdings 2" w:char="F099"/>
            </w:r>
          </w:p>
        </w:tc>
      </w:tr>
      <w:tr w:rsidR="00830963" w14:paraId="2F37A256" w14:textId="77777777" w:rsidTr="00A05EB7">
        <w:trPr>
          <w:cantSplit/>
          <w:trHeight w:val="240"/>
        </w:trPr>
        <w:tc>
          <w:tcPr>
            <w:tcW w:w="9645" w:type="dxa"/>
            <w:gridSpan w:val="6"/>
            <w:tcBorders>
              <w:top w:val="single" w:sz="4" w:space="0" w:color="auto"/>
              <w:left w:val="nil"/>
              <w:right w:val="nil"/>
            </w:tcBorders>
            <w:hideMark/>
          </w:tcPr>
          <w:p w14:paraId="5230A505" w14:textId="67863A48" w:rsidR="00830963" w:rsidRDefault="00830963" w:rsidP="00DD579E">
            <w:pPr>
              <w:pStyle w:val="ARtablegreybold"/>
            </w:pPr>
            <w:r>
              <w:t>Quality</w:t>
            </w:r>
          </w:p>
        </w:tc>
      </w:tr>
      <w:tr w:rsidR="00814857" w14:paraId="40A1D8E3" w14:textId="77777777" w:rsidTr="00894126">
        <w:trPr>
          <w:cantSplit/>
          <w:trHeight w:val="480"/>
        </w:trPr>
        <w:tc>
          <w:tcPr>
            <w:tcW w:w="4764" w:type="dxa"/>
            <w:tcBorders>
              <w:bottom w:val="single" w:sz="4" w:space="0" w:color="BFBFBF" w:themeColor="background1" w:themeShade="BF"/>
            </w:tcBorders>
            <w:hideMark/>
          </w:tcPr>
          <w:p w14:paraId="045B77D7" w14:textId="77777777" w:rsidR="00814857" w:rsidRDefault="00814857" w:rsidP="00894126">
            <w:pPr>
              <w:pStyle w:val="ARtabletext"/>
            </w:pPr>
            <w:r>
              <w:rPr>
                <w:noProof/>
              </w:rPr>
              <w:t>Public hospitals accredited</w:t>
            </w:r>
          </w:p>
        </w:tc>
        <w:tc>
          <w:tcPr>
            <w:tcW w:w="1021" w:type="dxa"/>
            <w:tcBorders>
              <w:bottom w:val="single" w:sz="4" w:space="0" w:color="BFBFBF" w:themeColor="background1" w:themeShade="BF"/>
            </w:tcBorders>
            <w:hideMark/>
          </w:tcPr>
          <w:p w14:paraId="4411283B" w14:textId="77777777" w:rsidR="00814857" w:rsidRDefault="00814857" w:rsidP="00894126">
            <w:pPr>
              <w:pStyle w:val="ARtabletextright"/>
            </w:pPr>
            <w:r>
              <w:rPr>
                <w:noProof/>
              </w:rPr>
              <w:t>per cent</w:t>
            </w:r>
          </w:p>
        </w:tc>
        <w:tc>
          <w:tcPr>
            <w:tcW w:w="1022" w:type="dxa"/>
            <w:tcBorders>
              <w:bottom w:val="single" w:sz="4" w:space="0" w:color="BFBFBF" w:themeColor="background1" w:themeShade="BF"/>
            </w:tcBorders>
            <w:hideMark/>
          </w:tcPr>
          <w:p w14:paraId="614130F4" w14:textId="77777777" w:rsidR="00814857" w:rsidRDefault="00814857" w:rsidP="00894126">
            <w:pPr>
              <w:pStyle w:val="ARtabletextright"/>
            </w:pPr>
            <w:r>
              <w:rPr>
                <w:noProof/>
              </w:rPr>
              <w:t>100</w:t>
            </w:r>
          </w:p>
        </w:tc>
        <w:tc>
          <w:tcPr>
            <w:tcW w:w="1022" w:type="dxa"/>
            <w:tcBorders>
              <w:bottom w:val="single" w:sz="4" w:space="0" w:color="BFBFBF" w:themeColor="background1" w:themeShade="BF"/>
            </w:tcBorders>
            <w:hideMark/>
          </w:tcPr>
          <w:p w14:paraId="1CFFF276" w14:textId="77777777" w:rsidR="00814857" w:rsidRDefault="00814857" w:rsidP="00894126">
            <w:pPr>
              <w:pStyle w:val="ARtabletextright"/>
            </w:pPr>
            <w:r>
              <w:rPr>
                <w:noProof/>
              </w:rPr>
              <w:t>100</w:t>
            </w:r>
          </w:p>
        </w:tc>
        <w:tc>
          <w:tcPr>
            <w:tcW w:w="1022" w:type="dxa"/>
            <w:tcBorders>
              <w:bottom w:val="single" w:sz="4" w:space="0" w:color="BFBFBF" w:themeColor="background1" w:themeShade="BF"/>
            </w:tcBorders>
            <w:hideMark/>
          </w:tcPr>
          <w:p w14:paraId="220548F9" w14:textId="77777777" w:rsidR="00814857" w:rsidRDefault="00814857" w:rsidP="00894126">
            <w:pPr>
              <w:pStyle w:val="ARtabletextright"/>
            </w:pPr>
            <w:r>
              <w:rPr>
                <w:noProof/>
              </w:rPr>
              <w:t>0.0</w:t>
            </w:r>
          </w:p>
        </w:tc>
        <w:tc>
          <w:tcPr>
            <w:tcW w:w="794" w:type="dxa"/>
            <w:tcBorders>
              <w:bottom w:val="single" w:sz="4" w:space="0" w:color="BFBFBF" w:themeColor="background1" w:themeShade="BF"/>
            </w:tcBorders>
            <w:hideMark/>
          </w:tcPr>
          <w:p w14:paraId="3FCD4376" w14:textId="77777777" w:rsidR="00814857" w:rsidRDefault="00814857" w:rsidP="00894126">
            <w:pPr>
              <w:pStyle w:val="ARtabletextright"/>
            </w:pPr>
            <w:r>
              <w:sym w:font="Wingdings" w:char="F0FC"/>
            </w:r>
          </w:p>
        </w:tc>
      </w:tr>
      <w:tr w:rsidR="00814857" w14:paraId="4430CA1F" w14:textId="77777777" w:rsidTr="00894126">
        <w:trPr>
          <w:cantSplit/>
          <w:trHeight w:val="480"/>
        </w:trPr>
        <w:tc>
          <w:tcPr>
            <w:tcW w:w="4764" w:type="dxa"/>
            <w:hideMark/>
          </w:tcPr>
          <w:p w14:paraId="1C0A6032" w14:textId="77777777" w:rsidR="00814857" w:rsidRDefault="00814857" w:rsidP="00894126">
            <w:pPr>
              <w:pStyle w:val="ARtabletext"/>
            </w:pPr>
            <w:r>
              <w:rPr>
                <w:noProof/>
              </w:rPr>
              <w:t>Eligible newborns screened for hearing deficit before one month of age</w:t>
            </w:r>
          </w:p>
        </w:tc>
        <w:tc>
          <w:tcPr>
            <w:tcW w:w="1021" w:type="dxa"/>
            <w:hideMark/>
          </w:tcPr>
          <w:p w14:paraId="55192EF0" w14:textId="77777777" w:rsidR="00814857" w:rsidRDefault="00814857" w:rsidP="00894126">
            <w:pPr>
              <w:pStyle w:val="ARtabletextright"/>
            </w:pPr>
            <w:r>
              <w:rPr>
                <w:noProof/>
              </w:rPr>
              <w:t>per cent</w:t>
            </w:r>
          </w:p>
        </w:tc>
        <w:tc>
          <w:tcPr>
            <w:tcW w:w="1022" w:type="dxa"/>
            <w:hideMark/>
          </w:tcPr>
          <w:p w14:paraId="422A7FAF" w14:textId="77777777" w:rsidR="00814857" w:rsidRDefault="00814857" w:rsidP="00894126">
            <w:pPr>
              <w:pStyle w:val="ARtabletextright"/>
            </w:pPr>
            <w:r>
              <w:rPr>
                <w:noProof/>
              </w:rPr>
              <w:t>97</w:t>
            </w:r>
          </w:p>
        </w:tc>
        <w:tc>
          <w:tcPr>
            <w:tcW w:w="1022" w:type="dxa"/>
            <w:hideMark/>
          </w:tcPr>
          <w:p w14:paraId="737135E3" w14:textId="77777777" w:rsidR="00814857" w:rsidRDefault="00814857" w:rsidP="00894126">
            <w:pPr>
              <w:pStyle w:val="ARtabletextright"/>
            </w:pPr>
            <w:r>
              <w:rPr>
                <w:noProof/>
              </w:rPr>
              <w:t>98.7</w:t>
            </w:r>
          </w:p>
        </w:tc>
        <w:tc>
          <w:tcPr>
            <w:tcW w:w="1022" w:type="dxa"/>
            <w:hideMark/>
          </w:tcPr>
          <w:p w14:paraId="592D3315" w14:textId="77777777" w:rsidR="00814857" w:rsidRDefault="00814857" w:rsidP="00894126">
            <w:pPr>
              <w:pStyle w:val="ARtabletextright"/>
            </w:pPr>
            <w:r>
              <w:rPr>
                <w:noProof/>
              </w:rPr>
              <w:t>1.8</w:t>
            </w:r>
          </w:p>
        </w:tc>
        <w:tc>
          <w:tcPr>
            <w:tcW w:w="794" w:type="dxa"/>
            <w:hideMark/>
          </w:tcPr>
          <w:p w14:paraId="360DA2F1" w14:textId="77777777" w:rsidR="00814857" w:rsidRDefault="00814857" w:rsidP="00894126">
            <w:pPr>
              <w:pStyle w:val="ARtabletextright"/>
            </w:pPr>
            <w:r>
              <w:sym w:font="Wingdings" w:char="F0FC"/>
            </w:r>
          </w:p>
        </w:tc>
      </w:tr>
      <w:tr w:rsidR="00814857" w14:paraId="4FADA8FF" w14:textId="77777777" w:rsidTr="00894126">
        <w:trPr>
          <w:cantSplit/>
          <w:trHeight w:val="240"/>
        </w:trPr>
        <w:tc>
          <w:tcPr>
            <w:tcW w:w="9645" w:type="dxa"/>
            <w:gridSpan w:val="6"/>
            <w:tcBorders>
              <w:top w:val="nil"/>
              <w:left w:val="nil"/>
              <w:bottom w:val="single" w:sz="4" w:space="0" w:color="BFBFBF"/>
              <w:right w:val="nil"/>
            </w:tcBorders>
            <w:noWrap/>
            <w:hideMark/>
          </w:tcPr>
          <w:p w14:paraId="1EC6E78C" w14:textId="77777777" w:rsidR="00814857" w:rsidRDefault="00814857" w:rsidP="00894126">
            <w:pPr>
              <w:pStyle w:val="ARtablenoteindent"/>
            </w:pPr>
            <w:r>
              <w:rPr>
                <w:noProof/>
              </w:rPr>
              <w:t>Preliminary result. Actual end-of-year results will be available late 2019. This is a positive result.</w:t>
            </w:r>
          </w:p>
        </w:tc>
      </w:tr>
      <w:tr w:rsidR="00814857" w14:paraId="2E4B7864" w14:textId="77777777" w:rsidTr="00894126">
        <w:trPr>
          <w:cantSplit/>
          <w:trHeight w:val="480"/>
        </w:trPr>
        <w:tc>
          <w:tcPr>
            <w:tcW w:w="4764" w:type="dxa"/>
            <w:hideMark/>
          </w:tcPr>
          <w:p w14:paraId="54390EE2" w14:textId="77777777" w:rsidR="00814857" w:rsidRDefault="00814857" w:rsidP="00894126">
            <w:pPr>
              <w:pStyle w:val="ARtabletext"/>
            </w:pPr>
            <w:r>
              <w:rPr>
                <w:noProof/>
              </w:rPr>
              <w:lastRenderedPageBreak/>
              <w:t>Hand hygiene compliance</w:t>
            </w:r>
          </w:p>
        </w:tc>
        <w:tc>
          <w:tcPr>
            <w:tcW w:w="1021" w:type="dxa"/>
            <w:hideMark/>
          </w:tcPr>
          <w:p w14:paraId="2BFCE28C" w14:textId="77777777" w:rsidR="00814857" w:rsidRDefault="00814857" w:rsidP="00894126">
            <w:pPr>
              <w:pStyle w:val="ARtabletextright"/>
            </w:pPr>
            <w:r>
              <w:rPr>
                <w:noProof/>
              </w:rPr>
              <w:t>per cent</w:t>
            </w:r>
          </w:p>
        </w:tc>
        <w:tc>
          <w:tcPr>
            <w:tcW w:w="1022" w:type="dxa"/>
            <w:hideMark/>
          </w:tcPr>
          <w:p w14:paraId="1F8BE4A9" w14:textId="77777777" w:rsidR="00814857" w:rsidRDefault="00814857" w:rsidP="00894126">
            <w:pPr>
              <w:pStyle w:val="ARtabletextright"/>
            </w:pPr>
            <w:r>
              <w:rPr>
                <w:noProof/>
              </w:rPr>
              <w:t>85</w:t>
            </w:r>
          </w:p>
        </w:tc>
        <w:tc>
          <w:tcPr>
            <w:tcW w:w="1022" w:type="dxa"/>
            <w:hideMark/>
          </w:tcPr>
          <w:p w14:paraId="54CFEC07" w14:textId="77777777" w:rsidR="00814857" w:rsidRDefault="00814857" w:rsidP="00894126">
            <w:pPr>
              <w:pStyle w:val="ARtabletextright"/>
            </w:pPr>
            <w:r>
              <w:rPr>
                <w:noProof/>
              </w:rPr>
              <w:t>85</w:t>
            </w:r>
          </w:p>
        </w:tc>
        <w:tc>
          <w:tcPr>
            <w:tcW w:w="1022" w:type="dxa"/>
            <w:hideMark/>
          </w:tcPr>
          <w:p w14:paraId="479EB111" w14:textId="77777777" w:rsidR="00814857" w:rsidRDefault="00814857" w:rsidP="00894126">
            <w:pPr>
              <w:pStyle w:val="ARtabletextright"/>
            </w:pPr>
            <w:r>
              <w:rPr>
                <w:noProof/>
              </w:rPr>
              <w:t>0.0</w:t>
            </w:r>
          </w:p>
        </w:tc>
        <w:tc>
          <w:tcPr>
            <w:tcW w:w="794" w:type="dxa"/>
            <w:hideMark/>
          </w:tcPr>
          <w:p w14:paraId="2DFBC1ED" w14:textId="77777777" w:rsidR="00814857" w:rsidRDefault="00814857" w:rsidP="00894126">
            <w:pPr>
              <w:pStyle w:val="ARtabletextright"/>
            </w:pPr>
            <w:r>
              <w:sym w:font="Wingdings" w:char="F0FC"/>
            </w:r>
          </w:p>
        </w:tc>
      </w:tr>
      <w:tr w:rsidR="00814857" w14:paraId="2C913308" w14:textId="77777777" w:rsidTr="00894126">
        <w:trPr>
          <w:cantSplit/>
          <w:trHeight w:val="240"/>
        </w:trPr>
        <w:tc>
          <w:tcPr>
            <w:tcW w:w="9645" w:type="dxa"/>
            <w:gridSpan w:val="6"/>
            <w:tcBorders>
              <w:top w:val="nil"/>
              <w:left w:val="nil"/>
              <w:bottom w:val="single" w:sz="4" w:space="0" w:color="BFBFBF" w:themeColor="background1" w:themeShade="BF"/>
              <w:right w:val="nil"/>
            </w:tcBorders>
            <w:noWrap/>
            <w:hideMark/>
          </w:tcPr>
          <w:p w14:paraId="20565F42" w14:textId="77777777" w:rsidR="00814857" w:rsidRDefault="00814857" w:rsidP="00894126">
            <w:pPr>
              <w:pStyle w:val="ARtablenoteindent"/>
            </w:pPr>
            <w:r>
              <w:rPr>
                <w:noProof/>
              </w:rPr>
              <w:t>Preliminary result. Actual end-of-year results will be available late 2019 after receipt of health service end-of-year data submissions.</w:t>
            </w:r>
          </w:p>
        </w:tc>
      </w:tr>
      <w:tr w:rsidR="00814857" w14:paraId="4316B3B3"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595F7B64" w14:textId="77777777" w:rsidR="00814857" w:rsidRDefault="00814857" w:rsidP="00894126">
            <w:pPr>
              <w:pStyle w:val="ARtabletext"/>
            </w:pPr>
            <w:r>
              <w:rPr>
                <w:noProof/>
              </w:rPr>
              <w:t>Healthcare worker immunisation – influenza</w:t>
            </w:r>
          </w:p>
        </w:tc>
        <w:tc>
          <w:tcPr>
            <w:tcW w:w="1021" w:type="dxa"/>
            <w:tcBorders>
              <w:top w:val="single" w:sz="4" w:space="0" w:color="BFBFBF" w:themeColor="background1" w:themeShade="BF"/>
              <w:bottom w:val="single" w:sz="4" w:space="0" w:color="BFBFBF" w:themeColor="background1" w:themeShade="BF"/>
            </w:tcBorders>
            <w:hideMark/>
          </w:tcPr>
          <w:p w14:paraId="3F0DA217" w14:textId="77777777" w:rsidR="00814857" w:rsidRDefault="00814857" w:rsidP="00894126">
            <w:pPr>
              <w:pStyle w:val="ARtabletextright"/>
            </w:pPr>
            <w:r>
              <w:rPr>
                <w:noProof/>
              </w:rPr>
              <w:t>per cent</w:t>
            </w:r>
          </w:p>
        </w:tc>
        <w:tc>
          <w:tcPr>
            <w:tcW w:w="1022" w:type="dxa"/>
            <w:tcBorders>
              <w:top w:val="single" w:sz="4" w:space="0" w:color="BFBFBF" w:themeColor="background1" w:themeShade="BF"/>
              <w:bottom w:val="single" w:sz="4" w:space="0" w:color="BFBFBF" w:themeColor="background1" w:themeShade="BF"/>
            </w:tcBorders>
            <w:hideMark/>
          </w:tcPr>
          <w:p w14:paraId="09102260" w14:textId="77777777" w:rsidR="00814857" w:rsidRDefault="00814857" w:rsidP="00894126">
            <w:pPr>
              <w:pStyle w:val="ARtabletextright"/>
            </w:pPr>
            <w:r>
              <w:rPr>
                <w:noProof/>
              </w:rPr>
              <w:t>80</w:t>
            </w:r>
          </w:p>
        </w:tc>
        <w:tc>
          <w:tcPr>
            <w:tcW w:w="1022" w:type="dxa"/>
            <w:tcBorders>
              <w:top w:val="single" w:sz="4" w:space="0" w:color="BFBFBF" w:themeColor="background1" w:themeShade="BF"/>
              <w:bottom w:val="single" w:sz="4" w:space="0" w:color="BFBFBF" w:themeColor="background1" w:themeShade="BF"/>
            </w:tcBorders>
            <w:hideMark/>
          </w:tcPr>
          <w:p w14:paraId="4B03846E" w14:textId="77777777" w:rsidR="00814857" w:rsidRDefault="00814857" w:rsidP="00894126">
            <w:pPr>
              <w:pStyle w:val="ARtabletextright"/>
            </w:pPr>
            <w:r>
              <w:rPr>
                <w:noProof/>
              </w:rPr>
              <w:t>83</w:t>
            </w:r>
          </w:p>
        </w:tc>
        <w:tc>
          <w:tcPr>
            <w:tcW w:w="1022" w:type="dxa"/>
            <w:tcBorders>
              <w:top w:val="single" w:sz="4" w:space="0" w:color="BFBFBF" w:themeColor="background1" w:themeShade="BF"/>
              <w:bottom w:val="single" w:sz="4" w:space="0" w:color="BFBFBF" w:themeColor="background1" w:themeShade="BF"/>
            </w:tcBorders>
            <w:hideMark/>
          </w:tcPr>
          <w:p w14:paraId="60FC5BB5" w14:textId="77777777" w:rsidR="00814857" w:rsidRDefault="00814857" w:rsidP="00894126">
            <w:pPr>
              <w:pStyle w:val="ARtabletextright"/>
            </w:pPr>
            <w:r>
              <w:rPr>
                <w:noProof/>
              </w:rPr>
              <w:t>3.8</w:t>
            </w:r>
          </w:p>
        </w:tc>
        <w:tc>
          <w:tcPr>
            <w:tcW w:w="794" w:type="dxa"/>
            <w:tcBorders>
              <w:top w:val="single" w:sz="4" w:space="0" w:color="BFBFBF" w:themeColor="background1" w:themeShade="BF"/>
              <w:bottom w:val="single" w:sz="4" w:space="0" w:color="BFBFBF" w:themeColor="background1" w:themeShade="BF"/>
            </w:tcBorders>
            <w:hideMark/>
          </w:tcPr>
          <w:p w14:paraId="4C57103C" w14:textId="77777777" w:rsidR="00814857" w:rsidRDefault="00814857" w:rsidP="00894126">
            <w:pPr>
              <w:pStyle w:val="ARtabletextright"/>
            </w:pPr>
            <w:r>
              <w:sym w:font="Wingdings" w:char="F0FC"/>
            </w:r>
          </w:p>
        </w:tc>
      </w:tr>
      <w:tr w:rsidR="00814857" w14:paraId="79E2FB8B" w14:textId="77777777" w:rsidTr="00894126">
        <w:trPr>
          <w:cantSplit/>
          <w:trHeight w:val="480"/>
        </w:trPr>
        <w:tc>
          <w:tcPr>
            <w:tcW w:w="4764" w:type="dxa"/>
            <w:tcBorders>
              <w:top w:val="single" w:sz="4" w:space="0" w:color="BFBFBF" w:themeColor="background1" w:themeShade="BF"/>
            </w:tcBorders>
            <w:hideMark/>
          </w:tcPr>
          <w:p w14:paraId="58F8B510" w14:textId="77777777" w:rsidR="00814857" w:rsidRDefault="00814857" w:rsidP="00894126">
            <w:pPr>
              <w:pStyle w:val="ARtabletext"/>
            </w:pPr>
            <w:r>
              <w:rPr>
                <w:noProof/>
              </w:rPr>
              <w:t>Hospitals participating in Victorian Hospital Acquired Infection Surveillance System (VICNISS)</w:t>
            </w:r>
          </w:p>
        </w:tc>
        <w:tc>
          <w:tcPr>
            <w:tcW w:w="1021" w:type="dxa"/>
            <w:tcBorders>
              <w:top w:val="single" w:sz="4" w:space="0" w:color="BFBFBF" w:themeColor="background1" w:themeShade="BF"/>
            </w:tcBorders>
            <w:hideMark/>
          </w:tcPr>
          <w:p w14:paraId="58471B40" w14:textId="77777777" w:rsidR="00814857" w:rsidRDefault="00814857" w:rsidP="00894126">
            <w:pPr>
              <w:pStyle w:val="ARtabletextright"/>
            </w:pPr>
            <w:r>
              <w:rPr>
                <w:noProof/>
              </w:rPr>
              <w:t>per cent</w:t>
            </w:r>
          </w:p>
        </w:tc>
        <w:tc>
          <w:tcPr>
            <w:tcW w:w="1022" w:type="dxa"/>
            <w:tcBorders>
              <w:top w:val="single" w:sz="4" w:space="0" w:color="BFBFBF" w:themeColor="background1" w:themeShade="BF"/>
            </w:tcBorders>
            <w:hideMark/>
          </w:tcPr>
          <w:p w14:paraId="3AED4A6E" w14:textId="77777777" w:rsidR="00814857" w:rsidRDefault="00814857" w:rsidP="00894126">
            <w:pPr>
              <w:pStyle w:val="ARtabletextright"/>
            </w:pPr>
            <w:r>
              <w:rPr>
                <w:noProof/>
              </w:rPr>
              <w:t>100</w:t>
            </w:r>
          </w:p>
        </w:tc>
        <w:tc>
          <w:tcPr>
            <w:tcW w:w="1022" w:type="dxa"/>
            <w:tcBorders>
              <w:top w:val="single" w:sz="4" w:space="0" w:color="BFBFBF" w:themeColor="background1" w:themeShade="BF"/>
            </w:tcBorders>
            <w:hideMark/>
          </w:tcPr>
          <w:p w14:paraId="3C4D322E" w14:textId="77777777" w:rsidR="00814857" w:rsidRDefault="00814857" w:rsidP="00894126">
            <w:pPr>
              <w:pStyle w:val="ARtabletextright"/>
            </w:pPr>
            <w:r>
              <w:rPr>
                <w:noProof/>
              </w:rPr>
              <w:t>100</w:t>
            </w:r>
          </w:p>
        </w:tc>
        <w:tc>
          <w:tcPr>
            <w:tcW w:w="1022" w:type="dxa"/>
            <w:tcBorders>
              <w:top w:val="single" w:sz="4" w:space="0" w:color="BFBFBF" w:themeColor="background1" w:themeShade="BF"/>
            </w:tcBorders>
            <w:hideMark/>
          </w:tcPr>
          <w:p w14:paraId="788AEED7" w14:textId="77777777" w:rsidR="00814857" w:rsidRDefault="00814857" w:rsidP="00894126">
            <w:pPr>
              <w:pStyle w:val="ARtabletextright"/>
            </w:pPr>
            <w:r>
              <w:rPr>
                <w:noProof/>
              </w:rPr>
              <w:t>0.0</w:t>
            </w:r>
          </w:p>
        </w:tc>
        <w:tc>
          <w:tcPr>
            <w:tcW w:w="794" w:type="dxa"/>
            <w:tcBorders>
              <w:top w:val="single" w:sz="4" w:space="0" w:color="BFBFBF" w:themeColor="background1" w:themeShade="BF"/>
            </w:tcBorders>
            <w:hideMark/>
          </w:tcPr>
          <w:p w14:paraId="04F9B009" w14:textId="77777777" w:rsidR="00814857" w:rsidRDefault="00814857" w:rsidP="00894126">
            <w:pPr>
              <w:pStyle w:val="ARtabletextright"/>
            </w:pPr>
            <w:r>
              <w:sym w:font="Wingdings" w:char="F0FC"/>
            </w:r>
          </w:p>
        </w:tc>
      </w:tr>
      <w:tr w:rsidR="00814857" w14:paraId="06C063BE" w14:textId="77777777" w:rsidTr="00894126">
        <w:trPr>
          <w:cantSplit/>
          <w:trHeight w:val="240"/>
        </w:trPr>
        <w:tc>
          <w:tcPr>
            <w:tcW w:w="9645" w:type="dxa"/>
            <w:gridSpan w:val="6"/>
            <w:tcBorders>
              <w:top w:val="nil"/>
              <w:left w:val="nil"/>
              <w:bottom w:val="single" w:sz="4" w:space="0" w:color="BFBFBF"/>
              <w:right w:val="nil"/>
            </w:tcBorders>
            <w:noWrap/>
            <w:hideMark/>
          </w:tcPr>
          <w:p w14:paraId="13D8FF21" w14:textId="2376D000" w:rsidR="00814857" w:rsidRDefault="00814857" w:rsidP="00894126">
            <w:pPr>
              <w:pStyle w:val="ARtablenoteindent"/>
            </w:pPr>
            <w:r>
              <w:rPr>
                <w:noProof/>
              </w:rPr>
              <w:t>Preliminary result. Actual end-of-year results will be available late 2019 after receipt of health service end-of-year data submissions.</w:t>
            </w:r>
          </w:p>
        </w:tc>
      </w:tr>
      <w:tr w:rsidR="00814857" w14:paraId="42DCB82D" w14:textId="77777777" w:rsidTr="00894126">
        <w:trPr>
          <w:cantSplit/>
          <w:trHeight w:val="480"/>
        </w:trPr>
        <w:tc>
          <w:tcPr>
            <w:tcW w:w="4764" w:type="dxa"/>
            <w:hideMark/>
          </w:tcPr>
          <w:p w14:paraId="1DBF1FD5" w14:textId="77777777" w:rsidR="00814857" w:rsidRDefault="00814857" w:rsidP="00894126">
            <w:pPr>
              <w:pStyle w:val="ARtabletext"/>
            </w:pPr>
            <w:r>
              <w:rPr>
                <w:noProof/>
              </w:rPr>
              <w:t>Intensive Care Unit central line associated blood stream infections (CLABSI) per 1,000 device days</w:t>
            </w:r>
          </w:p>
        </w:tc>
        <w:tc>
          <w:tcPr>
            <w:tcW w:w="1021" w:type="dxa"/>
            <w:hideMark/>
          </w:tcPr>
          <w:p w14:paraId="4834DD82" w14:textId="77777777" w:rsidR="00814857" w:rsidRDefault="00814857" w:rsidP="00894126">
            <w:pPr>
              <w:pStyle w:val="ARtabletextright"/>
            </w:pPr>
            <w:r>
              <w:rPr>
                <w:noProof/>
              </w:rPr>
              <w:t>rate</w:t>
            </w:r>
          </w:p>
        </w:tc>
        <w:tc>
          <w:tcPr>
            <w:tcW w:w="1022" w:type="dxa"/>
            <w:hideMark/>
          </w:tcPr>
          <w:p w14:paraId="2F22A7BC" w14:textId="77777777" w:rsidR="00814857" w:rsidRDefault="00814857" w:rsidP="00894126">
            <w:pPr>
              <w:pStyle w:val="ARtabletextright"/>
            </w:pPr>
            <w:r>
              <w:rPr>
                <w:noProof/>
              </w:rPr>
              <w:t>1</w:t>
            </w:r>
          </w:p>
        </w:tc>
        <w:tc>
          <w:tcPr>
            <w:tcW w:w="1022" w:type="dxa"/>
            <w:hideMark/>
          </w:tcPr>
          <w:p w14:paraId="5F89932A" w14:textId="77777777" w:rsidR="00814857" w:rsidRDefault="00814857" w:rsidP="00894126">
            <w:pPr>
              <w:pStyle w:val="ARtabletextright"/>
            </w:pPr>
            <w:r>
              <w:rPr>
                <w:noProof/>
              </w:rPr>
              <w:t>0.9</w:t>
            </w:r>
          </w:p>
        </w:tc>
        <w:tc>
          <w:tcPr>
            <w:tcW w:w="1022" w:type="dxa"/>
            <w:hideMark/>
          </w:tcPr>
          <w:p w14:paraId="3BDF911E" w14:textId="77777777" w:rsidR="00814857" w:rsidRDefault="00814857" w:rsidP="00894126">
            <w:pPr>
              <w:pStyle w:val="ARtabletextright"/>
            </w:pPr>
            <w:r>
              <w:rPr>
                <w:noProof/>
              </w:rPr>
              <w:t>-10.0</w:t>
            </w:r>
          </w:p>
        </w:tc>
        <w:tc>
          <w:tcPr>
            <w:tcW w:w="794" w:type="dxa"/>
            <w:hideMark/>
          </w:tcPr>
          <w:p w14:paraId="0ACF0418" w14:textId="77777777" w:rsidR="00814857" w:rsidRDefault="00814857" w:rsidP="00894126">
            <w:pPr>
              <w:pStyle w:val="ARtabletextright"/>
            </w:pPr>
            <w:r>
              <w:sym w:font="Wingdings" w:char="F0FC"/>
            </w:r>
          </w:p>
        </w:tc>
      </w:tr>
      <w:tr w:rsidR="00814857" w14:paraId="16EC1BD5" w14:textId="77777777" w:rsidTr="00894126">
        <w:trPr>
          <w:cantSplit/>
          <w:trHeight w:val="240"/>
        </w:trPr>
        <w:tc>
          <w:tcPr>
            <w:tcW w:w="9645" w:type="dxa"/>
            <w:gridSpan w:val="6"/>
            <w:tcBorders>
              <w:top w:val="nil"/>
              <w:left w:val="nil"/>
              <w:bottom w:val="single" w:sz="4" w:space="0" w:color="BFBFBF"/>
              <w:right w:val="nil"/>
            </w:tcBorders>
            <w:noWrap/>
            <w:hideMark/>
          </w:tcPr>
          <w:p w14:paraId="28927DAD" w14:textId="77777777" w:rsidR="00814857" w:rsidRDefault="00814857" w:rsidP="00894126">
            <w:pPr>
              <w:pStyle w:val="ARtablenoteindent"/>
            </w:pPr>
            <w:r>
              <w:rPr>
                <w:noProof/>
              </w:rPr>
              <w:t>Preliminary result. Actual end-of-year results will be available late 2019 after receipt of health service end-of-year submissions. This is a positive result.</w:t>
            </w:r>
          </w:p>
        </w:tc>
      </w:tr>
      <w:tr w:rsidR="00814857" w14:paraId="4F5A3A00" w14:textId="77777777" w:rsidTr="00894126">
        <w:trPr>
          <w:cantSplit/>
          <w:trHeight w:val="480"/>
        </w:trPr>
        <w:tc>
          <w:tcPr>
            <w:tcW w:w="4764" w:type="dxa"/>
            <w:hideMark/>
          </w:tcPr>
          <w:p w14:paraId="7AF486E1" w14:textId="77777777" w:rsidR="00814857" w:rsidRDefault="00814857" w:rsidP="00894126">
            <w:pPr>
              <w:pStyle w:val="ARtabletext"/>
            </w:pPr>
            <w:r>
              <w:rPr>
                <w:noProof/>
              </w:rPr>
              <w:t>Major trauma patients transferred to a major trauma service</w:t>
            </w:r>
          </w:p>
        </w:tc>
        <w:tc>
          <w:tcPr>
            <w:tcW w:w="1021" w:type="dxa"/>
            <w:hideMark/>
          </w:tcPr>
          <w:p w14:paraId="11E7510A" w14:textId="77777777" w:rsidR="00814857" w:rsidRDefault="00814857" w:rsidP="00894126">
            <w:pPr>
              <w:pStyle w:val="ARtabletextright"/>
            </w:pPr>
            <w:r>
              <w:rPr>
                <w:noProof/>
              </w:rPr>
              <w:t>per cent</w:t>
            </w:r>
          </w:p>
        </w:tc>
        <w:tc>
          <w:tcPr>
            <w:tcW w:w="1022" w:type="dxa"/>
            <w:hideMark/>
          </w:tcPr>
          <w:p w14:paraId="721CA44D" w14:textId="77777777" w:rsidR="00814857" w:rsidRDefault="00814857" w:rsidP="00894126">
            <w:pPr>
              <w:pStyle w:val="ARtabletextright"/>
            </w:pPr>
            <w:r>
              <w:rPr>
                <w:noProof/>
              </w:rPr>
              <w:t>85</w:t>
            </w:r>
          </w:p>
        </w:tc>
        <w:tc>
          <w:tcPr>
            <w:tcW w:w="1022" w:type="dxa"/>
            <w:hideMark/>
          </w:tcPr>
          <w:p w14:paraId="4FD81C9A" w14:textId="77777777" w:rsidR="00814857" w:rsidRDefault="00814857" w:rsidP="00894126">
            <w:pPr>
              <w:pStyle w:val="ARtabletextright"/>
            </w:pPr>
            <w:r>
              <w:rPr>
                <w:noProof/>
              </w:rPr>
              <w:t>91.9</w:t>
            </w:r>
          </w:p>
        </w:tc>
        <w:tc>
          <w:tcPr>
            <w:tcW w:w="1022" w:type="dxa"/>
            <w:hideMark/>
          </w:tcPr>
          <w:p w14:paraId="30CE18E3" w14:textId="77777777" w:rsidR="00814857" w:rsidRDefault="00814857" w:rsidP="00894126">
            <w:pPr>
              <w:pStyle w:val="ARtabletextright"/>
            </w:pPr>
            <w:r>
              <w:rPr>
                <w:noProof/>
              </w:rPr>
              <w:t>8.1</w:t>
            </w:r>
          </w:p>
        </w:tc>
        <w:tc>
          <w:tcPr>
            <w:tcW w:w="794" w:type="dxa"/>
            <w:hideMark/>
          </w:tcPr>
          <w:p w14:paraId="6D9D873E" w14:textId="77777777" w:rsidR="00814857" w:rsidRDefault="00814857" w:rsidP="00894126">
            <w:pPr>
              <w:pStyle w:val="ARtabletextright"/>
            </w:pPr>
            <w:r>
              <w:sym w:font="Wingdings" w:char="F0FC"/>
            </w:r>
          </w:p>
        </w:tc>
      </w:tr>
      <w:tr w:rsidR="00814857" w14:paraId="0B10023E" w14:textId="77777777" w:rsidTr="00894126">
        <w:trPr>
          <w:cantSplit/>
          <w:trHeight w:val="240"/>
        </w:trPr>
        <w:tc>
          <w:tcPr>
            <w:tcW w:w="9645" w:type="dxa"/>
            <w:gridSpan w:val="6"/>
            <w:tcBorders>
              <w:top w:val="nil"/>
              <w:left w:val="nil"/>
              <w:bottom w:val="single" w:sz="4" w:space="0" w:color="BFBFBF"/>
              <w:right w:val="nil"/>
            </w:tcBorders>
            <w:noWrap/>
            <w:hideMark/>
          </w:tcPr>
          <w:p w14:paraId="5370022B" w14:textId="77777777" w:rsidR="00814857" w:rsidRDefault="00814857" w:rsidP="00894126">
            <w:pPr>
              <w:pStyle w:val="ARtablenoteindent"/>
            </w:pPr>
            <w:r>
              <w:rPr>
                <w:noProof/>
              </w:rPr>
              <w:t>Preliminary result. Actual end-of-year results will be available late 2019.</w:t>
            </w:r>
          </w:p>
        </w:tc>
      </w:tr>
      <w:tr w:rsidR="00814857" w14:paraId="328D0532" w14:textId="77777777" w:rsidTr="00894126">
        <w:trPr>
          <w:cantSplit/>
          <w:trHeight w:val="480"/>
        </w:trPr>
        <w:tc>
          <w:tcPr>
            <w:tcW w:w="4764" w:type="dxa"/>
            <w:hideMark/>
          </w:tcPr>
          <w:p w14:paraId="0032B71B" w14:textId="77777777" w:rsidR="00814857" w:rsidRDefault="00814857" w:rsidP="00894126">
            <w:pPr>
              <w:pStyle w:val="ARtabletext"/>
            </w:pPr>
            <w:r>
              <w:rPr>
                <w:noProof/>
              </w:rPr>
              <w:t>Perinatal and child mortality reports received, reviewed and classified</w:t>
            </w:r>
          </w:p>
        </w:tc>
        <w:tc>
          <w:tcPr>
            <w:tcW w:w="1021" w:type="dxa"/>
            <w:hideMark/>
          </w:tcPr>
          <w:p w14:paraId="34A72B3A" w14:textId="77777777" w:rsidR="00814857" w:rsidRDefault="00814857" w:rsidP="00894126">
            <w:pPr>
              <w:pStyle w:val="ARtabletextright"/>
            </w:pPr>
            <w:r>
              <w:rPr>
                <w:noProof/>
              </w:rPr>
              <w:t>per cent</w:t>
            </w:r>
          </w:p>
        </w:tc>
        <w:tc>
          <w:tcPr>
            <w:tcW w:w="1022" w:type="dxa"/>
            <w:hideMark/>
          </w:tcPr>
          <w:p w14:paraId="0C320E31" w14:textId="77777777" w:rsidR="00814857" w:rsidRDefault="00814857" w:rsidP="00894126">
            <w:pPr>
              <w:pStyle w:val="ARtabletextright"/>
            </w:pPr>
            <w:r>
              <w:rPr>
                <w:noProof/>
              </w:rPr>
              <w:t>95</w:t>
            </w:r>
          </w:p>
        </w:tc>
        <w:tc>
          <w:tcPr>
            <w:tcW w:w="1022" w:type="dxa"/>
            <w:hideMark/>
          </w:tcPr>
          <w:p w14:paraId="77571F8D" w14:textId="77777777" w:rsidR="00814857" w:rsidRDefault="00814857" w:rsidP="00894126">
            <w:pPr>
              <w:pStyle w:val="ARtabletextright"/>
            </w:pPr>
            <w:r>
              <w:rPr>
                <w:noProof/>
              </w:rPr>
              <w:t>100</w:t>
            </w:r>
          </w:p>
        </w:tc>
        <w:tc>
          <w:tcPr>
            <w:tcW w:w="1022" w:type="dxa"/>
            <w:hideMark/>
          </w:tcPr>
          <w:p w14:paraId="64625570" w14:textId="77777777" w:rsidR="00814857" w:rsidRDefault="00814857" w:rsidP="00894126">
            <w:pPr>
              <w:pStyle w:val="ARtabletextright"/>
            </w:pPr>
            <w:r>
              <w:rPr>
                <w:noProof/>
              </w:rPr>
              <w:t>5.3</w:t>
            </w:r>
          </w:p>
        </w:tc>
        <w:tc>
          <w:tcPr>
            <w:tcW w:w="794" w:type="dxa"/>
            <w:hideMark/>
          </w:tcPr>
          <w:p w14:paraId="2B749536" w14:textId="77777777" w:rsidR="00814857" w:rsidRDefault="00814857" w:rsidP="00894126">
            <w:pPr>
              <w:pStyle w:val="ARtabletextright"/>
            </w:pPr>
            <w:r>
              <w:sym w:font="Wingdings" w:char="F0FC"/>
            </w:r>
          </w:p>
        </w:tc>
      </w:tr>
      <w:tr w:rsidR="00814857" w14:paraId="7CD43516" w14:textId="77777777" w:rsidTr="00894126">
        <w:trPr>
          <w:cantSplit/>
          <w:trHeight w:val="240"/>
        </w:trPr>
        <w:tc>
          <w:tcPr>
            <w:tcW w:w="9645" w:type="dxa"/>
            <w:gridSpan w:val="6"/>
            <w:tcBorders>
              <w:top w:val="nil"/>
              <w:left w:val="nil"/>
              <w:bottom w:val="single" w:sz="4" w:space="0" w:color="BFBFBF"/>
              <w:right w:val="nil"/>
            </w:tcBorders>
            <w:noWrap/>
            <w:hideMark/>
          </w:tcPr>
          <w:p w14:paraId="670D1B10" w14:textId="77777777" w:rsidR="00814857" w:rsidRDefault="00814857" w:rsidP="00894126">
            <w:pPr>
              <w:pStyle w:val="ARtablenoteindent"/>
            </w:pPr>
            <w:r>
              <w:rPr>
                <w:noProof/>
              </w:rPr>
              <w:t xml:space="preserve">Preliminary result. The data is lagged by 12 months and results are reported annually for the calendar year. Actual end-of-year results for 2018 will be available late 2019, after receipt of the Consultative Council on Obstetric and Paediatric Mortality and Morbidity report. </w:t>
            </w:r>
          </w:p>
        </w:tc>
      </w:tr>
      <w:tr w:rsidR="00814857" w14:paraId="30585DB7" w14:textId="77777777" w:rsidTr="00894126">
        <w:trPr>
          <w:cantSplit/>
          <w:trHeight w:val="480"/>
        </w:trPr>
        <w:tc>
          <w:tcPr>
            <w:tcW w:w="4764" w:type="dxa"/>
            <w:hideMark/>
          </w:tcPr>
          <w:p w14:paraId="74058BFE" w14:textId="77777777" w:rsidR="00814857" w:rsidRDefault="00814857" w:rsidP="00894126">
            <w:pPr>
              <w:pStyle w:val="ARtabletext"/>
            </w:pPr>
            <w:r>
              <w:rPr>
                <w:noProof/>
              </w:rPr>
              <w:t>Patient reported hospital cleanliness</w:t>
            </w:r>
          </w:p>
        </w:tc>
        <w:tc>
          <w:tcPr>
            <w:tcW w:w="1021" w:type="dxa"/>
            <w:hideMark/>
          </w:tcPr>
          <w:p w14:paraId="13D88AFC" w14:textId="77777777" w:rsidR="00814857" w:rsidRDefault="00814857" w:rsidP="00894126">
            <w:pPr>
              <w:pStyle w:val="ARtabletextright"/>
            </w:pPr>
            <w:r>
              <w:rPr>
                <w:noProof/>
              </w:rPr>
              <w:t>per cent</w:t>
            </w:r>
          </w:p>
        </w:tc>
        <w:tc>
          <w:tcPr>
            <w:tcW w:w="1022" w:type="dxa"/>
            <w:hideMark/>
          </w:tcPr>
          <w:p w14:paraId="755894D3" w14:textId="77777777" w:rsidR="00814857" w:rsidRDefault="00814857" w:rsidP="00894126">
            <w:pPr>
              <w:pStyle w:val="ARtabletextright"/>
            </w:pPr>
            <w:r>
              <w:rPr>
                <w:noProof/>
              </w:rPr>
              <w:t>70</w:t>
            </w:r>
          </w:p>
        </w:tc>
        <w:tc>
          <w:tcPr>
            <w:tcW w:w="1022" w:type="dxa"/>
            <w:hideMark/>
          </w:tcPr>
          <w:p w14:paraId="62525418" w14:textId="77777777" w:rsidR="00814857" w:rsidRDefault="00814857" w:rsidP="00894126">
            <w:pPr>
              <w:pStyle w:val="ARtabletextright"/>
            </w:pPr>
            <w:r>
              <w:rPr>
                <w:noProof/>
              </w:rPr>
              <w:t>69.4</w:t>
            </w:r>
          </w:p>
        </w:tc>
        <w:tc>
          <w:tcPr>
            <w:tcW w:w="1022" w:type="dxa"/>
            <w:hideMark/>
          </w:tcPr>
          <w:p w14:paraId="0B70F6DC" w14:textId="77777777" w:rsidR="00814857" w:rsidRDefault="00814857" w:rsidP="00894126">
            <w:pPr>
              <w:pStyle w:val="ARtabletextright"/>
            </w:pPr>
            <w:r>
              <w:rPr>
                <w:noProof/>
              </w:rPr>
              <w:t>-0.9</w:t>
            </w:r>
          </w:p>
        </w:tc>
        <w:tc>
          <w:tcPr>
            <w:tcW w:w="794" w:type="dxa"/>
            <w:hideMark/>
          </w:tcPr>
          <w:p w14:paraId="07BB1D1C" w14:textId="77777777" w:rsidR="00814857" w:rsidRDefault="00814857" w:rsidP="00894126">
            <w:pPr>
              <w:pStyle w:val="ARtabletextright"/>
            </w:pPr>
            <w:r w:rsidRPr="007939DD">
              <w:sym w:font="Wingdings 2" w:char="F099"/>
            </w:r>
          </w:p>
        </w:tc>
      </w:tr>
      <w:tr w:rsidR="00814857" w14:paraId="06A47FEC" w14:textId="77777777" w:rsidTr="00894126">
        <w:trPr>
          <w:cantSplit/>
          <w:trHeight w:val="240"/>
        </w:trPr>
        <w:tc>
          <w:tcPr>
            <w:tcW w:w="9645" w:type="dxa"/>
            <w:gridSpan w:val="6"/>
            <w:tcBorders>
              <w:top w:val="nil"/>
              <w:left w:val="nil"/>
              <w:bottom w:val="single" w:sz="4" w:space="0" w:color="BFBFBF"/>
              <w:right w:val="nil"/>
            </w:tcBorders>
            <w:noWrap/>
            <w:hideMark/>
          </w:tcPr>
          <w:p w14:paraId="49100534" w14:textId="77777777" w:rsidR="00814857" w:rsidRDefault="00814857" w:rsidP="00894126">
            <w:pPr>
              <w:pStyle w:val="ARtablenoteindent"/>
            </w:pPr>
            <w:r>
              <w:rPr>
                <w:noProof/>
              </w:rPr>
              <w:t>Preliminary result. Actual end-of-year results will be available late 2019 after receipt of health service end-of-year data submissions.</w:t>
            </w:r>
          </w:p>
        </w:tc>
      </w:tr>
      <w:tr w:rsidR="00814857" w14:paraId="5EEF0BDE" w14:textId="77777777" w:rsidTr="00894126">
        <w:trPr>
          <w:cantSplit/>
          <w:trHeight w:val="480"/>
        </w:trPr>
        <w:tc>
          <w:tcPr>
            <w:tcW w:w="4764" w:type="dxa"/>
            <w:hideMark/>
          </w:tcPr>
          <w:p w14:paraId="6FCC4704" w14:textId="77777777" w:rsidR="00814857" w:rsidRDefault="00814857" w:rsidP="00894126">
            <w:pPr>
              <w:pStyle w:val="ARtabletext"/>
            </w:pPr>
            <w:r>
              <w:rPr>
                <w:noProof/>
              </w:rPr>
              <w:t>Staphylococcus aureus bacteraemias (SAB) infections per 10000 patient days</w:t>
            </w:r>
          </w:p>
        </w:tc>
        <w:tc>
          <w:tcPr>
            <w:tcW w:w="1021" w:type="dxa"/>
            <w:hideMark/>
          </w:tcPr>
          <w:p w14:paraId="0ACD4CD5" w14:textId="77777777" w:rsidR="00814857" w:rsidRDefault="00814857" w:rsidP="00894126">
            <w:pPr>
              <w:pStyle w:val="ARtabletextright"/>
            </w:pPr>
            <w:r>
              <w:rPr>
                <w:noProof/>
              </w:rPr>
              <w:t>rate</w:t>
            </w:r>
          </w:p>
        </w:tc>
        <w:tc>
          <w:tcPr>
            <w:tcW w:w="1022" w:type="dxa"/>
            <w:hideMark/>
          </w:tcPr>
          <w:p w14:paraId="01093BE8" w14:textId="77777777" w:rsidR="00814857" w:rsidRDefault="00814857" w:rsidP="00894126">
            <w:pPr>
              <w:pStyle w:val="ARtabletextright"/>
            </w:pPr>
            <w:r>
              <w:rPr>
                <w:noProof/>
              </w:rPr>
              <w:t>1</w:t>
            </w:r>
          </w:p>
        </w:tc>
        <w:tc>
          <w:tcPr>
            <w:tcW w:w="1022" w:type="dxa"/>
            <w:hideMark/>
          </w:tcPr>
          <w:p w14:paraId="5A4BF36B" w14:textId="77777777" w:rsidR="00814857" w:rsidRDefault="00814857" w:rsidP="00894126">
            <w:pPr>
              <w:pStyle w:val="ARtabletextright"/>
            </w:pPr>
            <w:r>
              <w:rPr>
                <w:noProof/>
              </w:rPr>
              <w:t>0.9</w:t>
            </w:r>
          </w:p>
        </w:tc>
        <w:tc>
          <w:tcPr>
            <w:tcW w:w="1022" w:type="dxa"/>
            <w:hideMark/>
          </w:tcPr>
          <w:p w14:paraId="2EC63C4B" w14:textId="77777777" w:rsidR="00814857" w:rsidRDefault="00814857" w:rsidP="00894126">
            <w:pPr>
              <w:pStyle w:val="ARtabletextright"/>
            </w:pPr>
            <w:r>
              <w:rPr>
                <w:noProof/>
              </w:rPr>
              <w:t>-10.0</w:t>
            </w:r>
          </w:p>
        </w:tc>
        <w:tc>
          <w:tcPr>
            <w:tcW w:w="794" w:type="dxa"/>
            <w:hideMark/>
          </w:tcPr>
          <w:p w14:paraId="0603E82F" w14:textId="77777777" w:rsidR="00814857" w:rsidRDefault="00814857" w:rsidP="00894126">
            <w:pPr>
              <w:pStyle w:val="ARtabletextright"/>
            </w:pPr>
            <w:r>
              <w:sym w:font="Wingdings" w:char="F0FC"/>
            </w:r>
          </w:p>
        </w:tc>
      </w:tr>
      <w:tr w:rsidR="00814857" w14:paraId="111128D2" w14:textId="77777777" w:rsidTr="00894126">
        <w:trPr>
          <w:cantSplit/>
          <w:trHeight w:val="240"/>
        </w:trPr>
        <w:tc>
          <w:tcPr>
            <w:tcW w:w="9645" w:type="dxa"/>
            <w:gridSpan w:val="6"/>
            <w:tcBorders>
              <w:top w:val="nil"/>
              <w:left w:val="nil"/>
              <w:bottom w:val="single" w:sz="4" w:space="0" w:color="BFBFBF"/>
              <w:right w:val="nil"/>
            </w:tcBorders>
            <w:noWrap/>
            <w:hideMark/>
          </w:tcPr>
          <w:p w14:paraId="13A737B7" w14:textId="77777777" w:rsidR="00814857" w:rsidRDefault="00814857" w:rsidP="00894126">
            <w:pPr>
              <w:pStyle w:val="ARtablenoteindent"/>
            </w:pPr>
            <w:r>
              <w:rPr>
                <w:noProof/>
              </w:rPr>
              <w:t>Preliminary result. Actual end-of-year results will be available late 2019 after receipt of health service end-of-year data submissions. This is a positive result.</w:t>
            </w:r>
          </w:p>
        </w:tc>
      </w:tr>
      <w:tr w:rsidR="00814857" w14:paraId="00C9457C" w14:textId="77777777" w:rsidTr="00894126">
        <w:trPr>
          <w:cantSplit/>
          <w:trHeight w:val="480"/>
        </w:trPr>
        <w:tc>
          <w:tcPr>
            <w:tcW w:w="4764" w:type="dxa"/>
            <w:hideMark/>
          </w:tcPr>
          <w:p w14:paraId="5A57C2C0" w14:textId="77777777" w:rsidR="00814857" w:rsidRDefault="00814857" w:rsidP="00894126">
            <w:pPr>
              <w:pStyle w:val="ARtabletext"/>
            </w:pPr>
            <w:r>
              <w:rPr>
                <w:noProof/>
              </w:rPr>
              <w:t>Unplanned/unexpected readmission for acute myocardial infarction</w:t>
            </w:r>
          </w:p>
        </w:tc>
        <w:tc>
          <w:tcPr>
            <w:tcW w:w="1021" w:type="dxa"/>
            <w:hideMark/>
          </w:tcPr>
          <w:p w14:paraId="73D71E02" w14:textId="77777777" w:rsidR="00814857" w:rsidRDefault="00814857" w:rsidP="00894126">
            <w:pPr>
              <w:pStyle w:val="ARtabletextright"/>
            </w:pPr>
            <w:r>
              <w:rPr>
                <w:noProof/>
              </w:rPr>
              <w:t>per cent</w:t>
            </w:r>
          </w:p>
        </w:tc>
        <w:tc>
          <w:tcPr>
            <w:tcW w:w="1022" w:type="dxa"/>
            <w:hideMark/>
          </w:tcPr>
          <w:p w14:paraId="1EA71FE6" w14:textId="77777777" w:rsidR="00814857" w:rsidRDefault="00814857" w:rsidP="00894126">
            <w:pPr>
              <w:pStyle w:val="ARtabletextright"/>
            </w:pPr>
            <w:r>
              <w:rPr>
                <w:noProof/>
              </w:rPr>
              <w:t>2.5</w:t>
            </w:r>
          </w:p>
        </w:tc>
        <w:tc>
          <w:tcPr>
            <w:tcW w:w="1022" w:type="dxa"/>
            <w:hideMark/>
          </w:tcPr>
          <w:p w14:paraId="0C7F870F" w14:textId="77777777" w:rsidR="00814857" w:rsidRDefault="00814857" w:rsidP="00894126">
            <w:pPr>
              <w:pStyle w:val="ARtabletextright"/>
            </w:pPr>
            <w:r>
              <w:rPr>
                <w:noProof/>
              </w:rPr>
              <w:t>1.5</w:t>
            </w:r>
          </w:p>
        </w:tc>
        <w:tc>
          <w:tcPr>
            <w:tcW w:w="1022" w:type="dxa"/>
            <w:hideMark/>
          </w:tcPr>
          <w:p w14:paraId="136D0F63" w14:textId="77777777" w:rsidR="00814857" w:rsidRDefault="00814857" w:rsidP="00894126">
            <w:pPr>
              <w:pStyle w:val="ARtabletextright"/>
            </w:pPr>
            <w:r>
              <w:rPr>
                <w:noProof/>
              </w:rPr>
              <w:t>-40.0</w:t>
            </w:r>
          </w:p>
        </w:tc>
        <w:tc>
          <w:tcPr>
            <w:tcW w:w="794" w:type="dxa"/>
            <w:hideMark/>
          </w:tcPr>
          <w:p w14:paraId="59F400A3" w14:textId="77777777" w:rsidR="00814857" w:rsidRDefault="00814857" w:rsidP="00894126">
            <w:pPr>
              <w:pStyle w:val="ARtabletextright"/>
            </w:pPr>
            <w:r>
              <w:sym w:font="Wingdings" w:char="F0FC"/>
            </w:r>
          </w:p>
        </w:tc>
      </w:tr>
      <w:tr w:rsidR="00814857" w14:paraId="4AFDFD2A" w14:textId="77777777" w:rsidTr="00894126">
        <w:trPr>
          <w:cantSplit/>
          <w:trHeight w:val="240"/>
        </w:trPr>
        <w:tc>
          <w:tcPr>
            <w:tcW w:w="9645" w:type="dxa"/>
            <w:gridSpan w:val="6"/>
            <w:tcBorders>
              <w:top w:val="nil"/>
              <w:left w:val="nil"/>
              <w:bottom w:val="single" w:sz="4" w:space="0" w:color="BFBFBF"/>
              <w:right w:val="nil"/>
            </w:tcBorders>
            <w:noWrap/>
            <w:hideMark/>
          </w:tcPr>
          <w:p w14:paraId="447B5879" w14:textId="77777777" w:rsidR="00814857" w:rsidRDefault="00814857" w:rsidP="00894126">
            <w:pPr>
              <w:pStyle w:val="ARtablenoteindent"/>
            </w:pPr>
            <w:r>
              <w:rPr>
                <w:noProof/>
              </w:rPr>
              <w:t>Preliminary result. Actual end-of-year results will be available late 2019 after receipt of health service end-of-year submissions. The result is lower than the target due to effective discharge plans that ensure appropriate physical and social supports are available to the patients. This is a positive result.</w:t>
            </w:r>
          </w:p>
        </w:tc>
      </w:tr>
      <w:tr w:rsidR="00814857" w14:paraId="2DA80891" w14:textId="77777777" w:rsidTr="00894126">
        <w:trPr>
          <w:cantSplit/>
          <w:trHeight w:val="480"/>
        </w:trPr>
        <w:tc>
          <w:tcPr>
            <w:tcW w:w="4764" w:type="dxa"/>
            <w:hideMark/>
          </w:tcPr>
          <w:p w14:paraId="0CE60615" w14:textId="77777777" w:rsidR="00814857" w:rsidRDefault="00814857" w:rsidP="00894126">
            <w:pPr>
              <w:pStyle w:val="ARtabletext"/>
            </w:pPr>
            <w:r>
              <w:rPr>
                <w:noProof/>
              </w:rPr>
              <w:t>Unplanned/unexpected readmission for heart failure</w:t>
            </w:r>
          </w:p>
        </w:tc>
        <w:tc>
          <w:tcPr>
            <w:tcW w:w="1021" w:type="dxa"/>
            <w:hideMark/>
          </w:tcPr>
          <w:p w14:paraId="6F841497" w14:textId="77777777" w:rsidR="00814857" w:rsidRDefault="00814857" w:rsidP="00894126">
            <w:pPr>
              <w:pStyle w:val="ARtabletextright"/>
            </w:pPr>
            <w:r>
              <w:rPr>
                <w:noProof/>
              </w:rPr>
              <w:t>per cent</w:t>
            </w:r>
          </w:p>
        </w:tc>
        <w:tc>
          <w:tcPr>
            <w:tcW w:w="1022" w:type="dxa"/>
            <w:hideMark/>
          </w:tcPr>
          <w:p w14:paraId="3916D134" w14:textId="77777777" w:rsidR="00814857" w:rsidRDefault="00814857" w:rsidP="00894126">
            <w:pPr>
              <w:pStyle w:val="ARtabletextright"/>
            </w:pPr>
            <w:r>
              <w:rPr>
                <w:noProof/>
              </w:rPr>
              <w:t>10.3</w:t>
            </w:r>
          </w:p>
        </w:tc>
        <w:tc>
          <w:tcPr>
            <w:tcW w:w="1022" w:type="dxa"/>
            <w:hideMark/>
          </w:tcPr>
          <w:p w14:paraId="3B64848B" w14:textId="77777777" w:rsidR="00814857" w:rsidRDefault="00814857" w:rsidP="00894126">
            <w:pPr>
              <w:pStyle w:val="ARtabletextright"/>
            </w:pPr>
            <w:r>
              <w:rPr>
                <w:noProof/>
              </w:rPr>
              <w:t>8.9</w:t>
            </w:r>
          </w:p>
        </w:tc>
        <w:tc>
          <w:tcPr>
            <w:tcW w:w="1022" w:type="dxa"/>
            <w:hideMark/>
          </w:tcPr>
          <w:p w14:paraId="1A3D9B5F" w14:textId="77777777" w:rsidR="00814857" w:rsidRDefault="00814857" w:rsidP="00894126">
            <w:pPr>
              <w:pStyle w:val="ARtabletextright"/>
            </w:pPr>
            <w:r>
              <w:rPr>
                <w:noProof/>
              </w:rPr>
              <w:t>-13.6</w:t>
            </w:r>
          </w:p>
        </w:tc>
        <w:tc>
          <w:tcPr>
            <w:tcW w:w="794" w:type="dxa"/>
            <w:hideMark/>
          </w:tcPr>
          <w:p w14:paraId="487E3AF1" w14:textId="77777777" w:rsidR="00814857" w:rsidRDefault="00814857" w:rsidP="00894126">
            <w:pPr>
              <w:pStyle w:val="ARtabletextright"/>
            </w:pPr>
            <w:r>
              <w:sym w:font="Wingdings" w:char="F0FC"/>
            </w:r>
          </w:p>
        </w:tc>
      </w:tr>
      <w:tr w:rsidR="00814857" w14:paraId="76483397" w14:textId="77777777" w:rsidTr="00894126">
        <w:trPr>
          <w:cantSplit/>
          <w:trHeight w:val="240"/>
        </w:trPr>
        <w:tc>
          <w:tcPr>
            <w:tcW w:w="9645" w:type="dxa"/>
            <w:gridSpan w:val="6"/>
            <w:tcBorders>
              <w:top w:val="nil"/>
              <w:left w:val="nil"/>
              <w:bottom w:val="single" w:sz="4" w:space="0" w:color="BFBFBF"/>
              <w:right w:val="nil"/>
            </w:tcBorders>
            <w:noWrap/>
            <w:hideMark/>
          </w:tcPr>
          <w:p w14:paraId="225D746D" w14:textId="77777777" w:rsidR="00814857" w:rsidRDefault="00814857" w:rsidP="00894126">
            <w:pPr>
              <w:pStyle w:val="ARtablenoteindent"/>
            </w:pPr>
            <w:r>
              <w:rPr>
                <w:noProof/>
              </w:rPr>
              <w:t>Preliminary result. Actual end-of-year results will be available late 2019 after receipt of health service end-of-year submissions. The result is lower than the target due to effective discharge plans that ensure appropriate physical and social supports are available to the patients. This is a positive result.</w:t>
            </w:r>
          </w:p>
        </w:tc>
      </w:tr>
      <w:tr w:rsidR="00814857" w14:paraId="32FEC442" w14:textId="77777777" w:rsidTr="00894126">
        <w:trPr>
          <w:cantSplit/>
          <w:trHeight w:val="480"/>
        </w:trPr>
        <w:tc>
          <w:tcPr>
            <w:tcW w:w="4764" w:type="dxa"/>
            <w:hideMark/>
          </w:tcPr>
          <w:p w14:paraId="4AF01853" w14:textId="77777777" w:rsidR="00814857" w:rsidRDefault="00814857" w:rsidP="00894126">
            <w:pPr>
              <w:pStyle w:val="ARtabletext"/>
            </w:pPr>
            <w:r>
              <w:rPr>
                <w:noProof/>
              </w:rPr>
              <w:t>Unplanned/unexpected readmission for hip replacement</w:t>
            </w:r>
          </w:p>
        </w:tc>
        <w:tc>
          <w:tcPr>
            <w:tcW w:w="1021" w:type="dxa"/>
            <w:hideMark/>
          </w:tcPr>
          <w:p w14:paraId="77E1F45A" w14:textId="77777777" w:rsidR="00814857" w:rsidRDefault="00814857" w:rsidP="00894126">
            <w:pPr>
              <w:pStyle w:val="ARtabletextright"/>
            </w:pPr>
            <w:r>
              <w:rPr>
                <w:noProof/>
              </w:rPr>
              <w:t>per cent</w:t>
            </w:r>
          </w:p>
        </w:tc>
        <w:tc>
          <w:tcPr>
            <w:tcW w:w="1022" w:type="dxa"/>
            <w:hideMark/>
          </w:tcPr>
          <w:p w14:paraId="3268167C" w14:textId="77777777" w:rsidR="00814857" w:rsidRDefault="00814857" w:rsidP="00894126">
            <w:pPr>
              <w:pStyle w:val="ARtabletextright"/>
            </w:pPr>
            <w:r>
              <w:rPr>
                <w:noProof/>
              </w:rPr>
              <w:t>2.5</w:t>
            </w:r>
          </w:p>
        </w:tc>
        <w:tc>
          <w:tcPr>
            <w:tcW w:w="1022" w:type="dxa"/>
            <w:hideMark/>
          </w:tcPr>
          <w:p w14:paraId="5E335B34" w14:textId="77777777" w:rsidR="00814857" w:rsidRDefault="00814857" w:rsidP="00894126">
            <w:pPr>
              <w:pStyle w:val="ARtabletextright"/>
            </w:pPr>
            <w:r>
              <w:rPr>
                <w:noProof/>
              </w:rPr>
              <w:t>3.4</w:t>
            </w:r>
          </w:p>
        </w:tc>
        <w:tc>
          <w:tcPr>
            <w:tcW w:w="1022" w:type="dxa"/>
            <w:hideMark/>
          </w:tcPr>
          <w:p w14:paraId="733EB0A8" w14:textId="77777777" w:rsidR="00814857" w:rsidRDefault="00814857" w:rsidP="00894126">
            <w:pPr>
              <w:pStyle w:val="ARtabletextright"/>
            </w:pPr>
            <w:r>
              <w:rPr>
                <w:noProof/>
              </w:rPr>
              <w:t>36.0</w:t>
            </w:r>
          </w:p>
        </w:tc>
        <w:tc>
          <w:tcPr>
            <w:tcW w:w="794" w:type="dxa"/>
            <w:hideMark/>
          </w:tcPr>
          <w:p w14:paraId="470C03E8" w14:textId="77777777" w:rsidR="00814857" w:rsidRDefault="00814857" w:rsidP="00894126">
            <w:pPr>
              <w:pStyle w:val="ARtabletextright"/>
            </w:pPr>
            <w:r>
              <w:sym w:font="Wingdings" w:char="F06E"/>
            </w:r>
          </w:p>
        </w:tc>
      </w:tr>
      <w:tr w:rsidR="00814857" w14:paraId="2C393321" w14:textId="77777777" w:rsidTr="00894126">
        <w:trPr>
          <w:cantSplit/>
          <w:trHeight w:val="240"/>
        </w:trPr>
        <w:tc>
          <w:tcPr>
            <w:tcW w:w="9645" w:type="dxa"/>
            <w:gridSpan w:val="6"/>
            <w:tcBorders>
              <w:top w:val="nil"/>
              <w:left w:val="nil"/>
              <w:bottom w:val="single" w:sz="4" w:space="0" w:color="BFBFBF"/>
              <w:right w:val="nil"/>
            </w:tcBorders>
            <w:noWrap/>
            <w:hideMark/>
          </w:tcPr>
          <w:p w14:paraId="72BBDDCF" w14:textId="1668DE83" w:rsidR="00814857" w:rsidRDefault="00814857" w:rsidP="00894126">
            <w:pPr>
              <w:pStyle w:val="ARtablenoteindent"/>
            </w:pPr>
            <w:r>
              <w:rPr>
                <w:noProof/>
              </w:rPr>
              <w:t>Preliminary result. Actual end-of-year results will be available late 2019. Safer Care Victoria is working with health services to identify the causes of unplanned readmissions of these patients.</w:t>
            </w:r>
          </w:p>
        </w:tc>
      </w:tr>
      <w:tr w:rsidR="00814857" w14:paraId="1D204501" w14:textId="77777777" w:rsidTr="00894126">
        <w:trPr>
          <w:cantSplit/>
          <w:trHeight w:val="480"/>
        </w:trPr>
        <w:tc>
          <w:tcPr>
            <w:tcW w:w="4764" w:type="dxa"/>
            <w:hideMark/>
          </w:tcPr>
          <w:p w14:paraId="296B463E" w14:textId="77777777" w:rsidR="00814857" w:rsidRDefault="00814857" w:rsidP="00894126">
            <w:pPr>
              <w:pStyle w:val="ARtabletext"/>
            </w:pPr>
            <w:r>
              <w:rPr>
                <w:noProof/>
              </w:rPr>
              <w:t>Unplanned/unexpected readmission for knee replacement</w:t>
            </w:r>
          </w:p>
        </w:tc>
        <w:tc>
          <w:tcPr>
            <w:tcW w:w="1021" w:type="dxa"/>
            <w:hideMark/>
          </w:tcPr>
          <w:p w14:paraId="1372766B" w14:textId="77777777" w:rsidR="00814857" w:rsidRDefault="00814857" w:rsidP="00894126">
            <w:pPr>
              <w:pStyle w:val="ARtabletextright"/>
            </w:pPr>
            <w:r>
              <w:rPr>
                <w:noProof/>
              </w:rPr>
              <w:t>per cent</w:t>
            </w:r>
          </w:p>
        </w:tc>
        <w:tc>
          <w:tcPr>
            <w:tcW w:w="1022" w:type="dxa"/>
            <w:hideMark/>
          </w:tcPr>
          <w:p w14:paraId="29359BB2" w14:textId="77777777" w:rsidR="00814857" w:rsidRDefault="00814857" w:rsidP="00894126">
            <w:pPr>
              <w:pStyle w:val="ARtabletextright"/>
            </w:pPr>
            <w:r>
              <w:rPr>
                <w:noProof/>
              </w:rPr>
              <w:t>6</w:t>
            </w:r>
          </w:p>
        </w:tc>
        <w:tc>
          <w:tcPr>
            <w:tcW w:w="1022" w:type="dxa"/>
            <w:hideMark/>
          </w:tcPr>
          <w:p w14:paraId="08A2D7AE" w14:textId="77777777" w:rsidR="00814857" w:rsidRDefault="00814857" w:rsidP="00894126">
            <w:pPr>
              <w:pStyle w:val="ARtabletextright"/>
            </w:pPr>
            <w:r>
              <w:rPr>
                <w:noProof/>
              </w:rPr>
              <w:t>5.2</w:t>
            </w:r>
          </w:p>
        </w:tc>
        <w:tc>
          <w:tcPr>
            <w:tcW w:w="1022" w:type="dxa"/>
            <w:hideMark/>
          </w:tcPr>
          <w:p w14:paraId="6A38E3C8" w14:textId="77777777" w:rsidR="00814857" w:rsidRDefault="00814857" w:rsidP="00894126">
            <w:pPr>
              <w:pStyle w:val="ARtabletextright"/>
            </w:pPr>
            <w:r>
              <w:rPr>
                <w:noProof/>
              </w:rPr>
              <w:t>-13.3</w:t>
            </w:r>
          </w:p>
        </w:tc>
        <w:tc>
          <w:tcPr>
            <w:tcW w:w="794" w:type="dxa"/>
            <w:hideMark/>
          </w:tcPr>
          <w:p w14:paraId="23876AFE" w14:textId="77777777" w:rsidR="00814857" w:rsidRDefault="00814857" w:rsidP="00894126">
            <w:pPr>
              <w:pStyle w:val="ARtabletextright"/>
            </w:pPr>
            <w:r>
              <w:sym w:font="Wingdings" w:char="F0FC"/>
            </w:r>
          </w:p>
        </w:tc>
      </w:tr>
      <w:tr w:rsidR="00814857" w14:paraId="0329EDB9" w14:textId="77777777" w:rsidTr="00511E26">
        <w:trPr>
          <w:cantSplit/>
          <w:trHeight w:val="238"/>
        </w:trPr>
        <w:tc>
          <w:tcPr>
            <w:tcW w:w="9645" w:type="dxa"/>
            <w:gridSpan w:val="6"/>
            <w:tcBorders>
              <w:top w:val="nil"/>
              <w:left w:val="nil"/>
              <w:bottom w:val="single" w:sz="4" w:space="0" w:color="BFBFBF"/>
              <w:right w:val="nil"/>
            </w:tcBorders>
            <w:noWrap/>
            <w:hideMark/>
          </w:tcPr>
          <w:p w14:paraId="7A03E9B6" w14:textId="77777777" w:rsidR="00814857" w:rsidRDefault="00814857" w:rsidP="00894126">
            <w:pPr>
              <w:pStyle w:val="ARtablenoteindent"/>
            </w:pPr>
            <w:r>
              <w:rPr>
                <w:noProof/>
              </w:rPr>
              <w:t>Preliminary result. Actual end-of-year results will be available late 2019 after receipt of health service end-of-year submissions. The result is lower than the target due to effective discharge plans that ensure appropriate physical and social supports are available to the patients. This is a positive result.</w:t>
            </w:r>
          </w:p>
        </w:tc>
      </w:tr>
      <w:tr w:rsidR="00814857" w14:paraId="2D8C447A" w14:textId="77777777" w:rsidTr="00894126">
        <w:trPr>
          <w:cantSplit/>
          <w:trHeight w:val="480"/>
        </w:trPr>
        <w:tc>
          <w:tcPr>
            <w:tcW w:w="4764" w:type="dxa"/>
            <w:hideMark/>
          </w:tcPr>
          <w:p w14:paraId="7A917665" w14:textId="77777777" w:rsidR="00814857" w:rsidRDefault="00814857" w:rsidP="00511E26">
            <w:pPr>
              <w:pStyle w:val="ARtabletext"/>
              <w:keepNext/>
            </w:pPr>
            <w:r>
              <w:rPr>
                <w:noProof/>
              </w:rPr>
              <w:lastRenderedPageBreak/>
              <w:t>Unplanned/unexpected readmission for paediatric tonsillectomy and adenoidectomy</w:t>
            </w:r>
          </w:p>
        </w:tc>
        <w:tc>
          <w:tcPr>
            <w:tcW w:w="1021" w:type="dxa"/>
            <w:hideMark/>
          </w:tcPr>
          <w:p w14:paraId="3977F6A2" w14:textId="77777777" w:rsidR="00814857" w:rsidRDefault="00814857" w:rsidP="00894126">
            <w:pPr>
              <w:pStyle w:val="ARtabletextright"/>
            </w:pPr>
            <w:r>
              <w:rPr>
                <w:noProof/>
              </w:rPr>
              <w:t>per cent</w:t>
            </w:r>
          </w:p>
        </w:tc>
        <w:tc>
          <w:tcPr>
            <w:tcW w:w="1022" w:type="dxa"/>
            <w:hideMark/>
          </w:tcPr>
          <w:p w14:paraId="4A3D6BA9" w14:textId="77777777" w:rsidR="00814857" w:rsidRDefault="00814857" w:rsidP="00894126">
            <w:pPr>
              <w:pStyle w:val="ARtabletextright"/>
            </w:pPr>
            <w:r>
              <w:rPr>
                <w:noProof/>
              </w:rPr>
              <w:t>2.2</w:t>
            </w:r>
          </w:p>
        </w:tc>
        <w:tc>
          <w:tcPr>
            <w:tcW w:w="1022" w:type="dxa"/>
            <w:hideMark/>
          </w:tcPr>
          <w:p w14:paraId="3157FED3" w14:textId="77777777" w:rsidR="00814857" w:rsidRDefault="00814857" w:rsidP="00894126">
            <w:pPr>
              <w:pStyle w:val="ARtabletextright"/>
            </w:pPr>
            <w:r>
              <w:rPr>
                <w:noProof/>
              </w:rPr>
              <w:t>2.5</w:t>
            </w:r>
          </w:p>
        </w:tc>
        <w:tc>
          <w:tcPr>
            <w:tcW w:w="1022" w:type="dxa"/>
            <w:hideMark/>
          </w:tcPr>
          <w:p w14:paraId="17D7A29F" w14:textId="77777777" w:rsidR="00814857" w:rsidRDefault="00814857" w:rsidP="00894126">
            <w:pPr>
              <w:pStyle w:val="ARtabletextright"/>
            </w:pPr>
            <w:r>
              <w:rPr>
                <w:noProof/>
              </w:rPr>
              <w:t>13.6</w:t>
            </w:r>
          </w:p>
        </w:tc>
        <w:tc>
          <w:tcPr>
            <w:tcW w:w="794" w:type="dxa"/>
            <w:hideMark/>
          </w:tcPr>
          <w:p w14:paraId="4686698E" w14:textId="77777777" w:rsidR="00814857" w:rsidRDefault="00814857" w:rsidP="00894126">
            <w:pPr>
              <w:pStyle w:val="ARtabletextright"/>
            </w:pPr>
            <w:r>
              <w:sym w:font="Wingdings" w:char="F06E"/>
            </w:r>
          </w:p>
        </w:tc>
      </w:tr>
      <w:tr w:rsidR="00814857" w14:paraId="2222904D" w14:textId="77777777" w:rsidTr="00894126">
        <w:trPr>
          <w:cantSplit/>
          <w:trHeight w:val="240"/>
        </w:trPr>
        <w:tc>
          <w:tcPr>
            <w:tcW w:w="9645" w:type="dxa"/>
            <w:gridSpan w:val="6"/>
            <w:tcBorders>
              <w:top w:val="nil"/>
              <w:left w:val="nil"/>
              <w:bottom w:val="single" w:sz="4" w:space="0" w:color="BFBFBF"/>
              <w:right w:val="nil"/>
            </w:tcBorders>
            <w:noWrap/>
            <w:hideMark/>
          </w:tcPr>
          <w:p w14:paraId="792BD8A1" w14:textId="77777777" w:rsidR="00814857" w:rsidRDefault="00814857" w:rsidP="00894126">
            <w:pPr>
              <w:pStyle w:val="ARtablenoteindent"/>
            </w:pPr>
            <w:r>
              <w:rPr>
                <w:noProof/>
              </w:rPr>
              <w:t>Preliminary result. Actual end-of-year results will be available late 2019 after receipt of health service end-of-year submissions. In 2018–19 Safer Care Victoria commenced a statewide improvement program, led by the Victorian Paediatric Clinical Network, to reduce variation in tonsillitis care overall and unplanned readmissions. This is expected to see an improvement in readmission rates over time.</w:t>
            </w:r>
          </w:p>
        </w:tc>
      </w:tr>
      <w:tr w:rsidR="00830963" w14:paraId="299E6BD8" w14:textId="77777777" w:rsidTr="00A05EB7">
        <w:trPr>
          <w:cantSplit/>
          <w:trHeight w:val="240"/>
        </w:trPr>
        <w:tc>
          <w:tcPr>
            <w:tcW w:w="9645" w:type="dxa"/>
            <w:gridSpan w:val="6"/>
            <w:tcBorders>
              <w:top w:val="single" w:sz="4" w:space="0" w:color="auto"/>
              <w:left w:val="nil"/>
              <w:bottom w:val="nil"/>
              <w:right w:val="nil"/>
            </w:tcBorders>
            <w:hideMark/>
          </w:tcPr>
          <w:p w14:paraId="6C8AF323" w14:textId="6AF91E11" w:rsidR="00830963" w:rsidRDefault="00830963" w:rsidP="00DD579E">
            <w:pPr>
              <w:pStyle w:val="ARtablebluebold"/>
            </w:pPr>
            <w:r>
              <w:t>Timeliness</w:t>
            </w:r>
          </w:p>
        </w:tc>
      </w:tr>
      <w:tr w:rsidR="00814857" w14:paraId="398A5D99" w14:textId="77777777" w:rsidTr="00894126">
        <w:trPr>
          <w:cantSplit/>
          <w:trHeight w:val="480"/>
        </w:trPr>
        <w:tc>
          <w:tcPr>
            <w:tcW w:w="4764" w:type="dxa"/>
            <w:tcBorders>
              <w:bottom w:val="single" w:sz="4" w:space="0" w:color="BFBFBF" w:themeColor="background1" w:themeShade="BF"/>
            </w:tcBorders>
            <w:hideMark/>
          </w:tcPr>
          <w:p w14:paraId="3D9C0720" w14:textId="77777777" w:rsidR="00814857" w:rsidRDefault="00814857" w:rsidP="00894126">
            <w:pPr>
              <w:pStyle w:val="ARtabletext"/>
            </w:pPr>
            <w:r>
              <w:rPr>
                <w:noProof/>
              </w:rPr>
              <w:t>Non-urgent (Category 3) elective surgery patients admitted within 365 days</w:t>
            </w:r>
          </w:p>
        </w:tc>
        <w:tc>
          <w:tcPr>
            <w:tcW w:w="1021" w:type="dxa"/>
            <w:tcBorders>
              <w:bottom w:val="single" w:sz="4" w:space="0" w:color="BFBFBF" w:themeColor="background1" w:themeShade="BF"/>
            </w:tcBorders>
            <w:hideMark/>
          </w:tcPr>
          <w:p w14:paraId="25CA1F4F" w14:textId="77777777" w:rsidR="00814857" w:rsidRDefault="00814857" w:rsidP="00894126">
            <w:pPr>
              <w:pStyle w:val="ARtabletextright"/>
            </w:pPr>
            <w:r>
              <w:rPr>
                <w:noProof/>
              </w:rPr>
              <w:t>per cent</w:t>
            </w:r>
          </w:p>
        </w:tc>
        <w:tc>
          <w:tcPr>
            <w:tcW w:w="1022" w:type="dxa"/>
            <w:tcBorders>
              <w:bottom w:val="single" w:sz="4" w:space="0" w:color="BFBFBF" w:themeColor="background1" w:themeShade="BF"/>
            </w:tcBorders>
            <w:hideMark/>
          </w:tcPr>
          <w:p w14:paraId="561FD484" w14:textId="77777777" w:rsidR="00814857" w:rsidRDefault="00814857" w:rsidP="00894126">
            <w:pPr>
              <w:pStyle w:val="ARtabletextright"/>
            </w:pPr>
            <w:r>
              <w:rPr>
                <w:noProof/>
              </w:rPr>
              <w:t>95</w:t>
            </w:r>
          </w:p>
        </w:tc>
        <w:tc>
          <w:tcPr>
            <w:tcW w:w="1022" w:type="dxa"/>
            <w:tcBorders>
              <w:bottom w:val="single" w:sz="4" w:space="0" w:color="BFBFBF" w:themeColor="background1" w:themeShade="BF"/>
            </w:tcBorders>
            <w:hideMark/>
          </w:tcPr>
          <w:p w14:paraId="1E28BC59" w14:textId="77777777" w:rsidR="00814857" w:rsidRDefault="00814857" w:rsidP="00894126">
            <w:pPr>
              <w:pStyle w:val="ARtabletextright"/>
            </w:pPr>
            <w:r>
              <w:rPr>
                <w:noProof/>
              </w:rPr>
              <w:t>96.1</w:t>
            </w:r>
          </w:p>
        </w:tc>
        <w:tc>
          <w:tcPr>
            <w:tcW w:w="1022" w:type="dxa"/>
            <w:tcBorders>
              <w:bottom w:val="single" w:sz="4" w:space="0" w:color="BFBFBF" w:themeColor="background1" w:themeShade="BF"/>
            </w:tcBorders>
            <w:hideMark/>
          </w:tcPr>
          <w:p w14:paraId="1BCE677E" w14:textId="77777777" w:rsidR="00814857" w:rsidRDefault="00814857" w:rsidP="00894126">
            <w:pPr>
              <w:pStyle w:val="ARtabletextright"/>
            </w:pPr>
            <w:r>
              <w:rPr>
                <w:noProof/>
              </w:rPr>
              <w:t>1.2</w:t>
            </w:r>
          </w:p>
        </w:tc>
        <w:tc>
          <w:tcPr>
            <w:tcW w:w="794" w:type="dxa"/>
            <w:tcBorders>
              <w:bottom w:val="single" w:sz="4" w:space="0" w:color="BFBFBF" w:themeColor="background1" w:themeShade="BF"/>
            </w:tcBorders>
            <w:hideMark/>
          </w:tcPr>
          <w:p w14:paraId="58651959" w14:textId="77777777" w:rsidR="00814857" w:rsidRDefault="00814857" w:rsidP="00894126">
            <w:pPr>
              <w:pStyle w:val="ARtabletextright"/>
            </w:pPr>
            <w:r>
              <w:sym w:font="Wingdings" w:char="F0FC"/>
            </w:r>
          </w:p>
        </w:tc>
      </w:tr>
      <w:tr w:rsidR="00814857" w14:paraId="7C2F4359"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0C359080" w14:textId="77777777" w:rsidR="00814857" w:rsidRDefault="00814857" w:rsidP="00894126">
            <w:pPr>
              <w:pStyle w:val="ARtabletext"/>
            </w:pPr>
            <w:r>
              <w:rPr>
                <w:noProof/>
              </w:rPr>
              <w:t>Semi-urgent (Category 2) elective surgery patients admitted within 90 days</w:t>
            </w:r>
          </w:p>
        </w:tc>
        <w:tc>
          <w:tcPr>
            <w:tcW w:w="1021" w:type="dxa"/>
            <w:tcBorders>
              <w:top w:val="single" w:sz="4" w:space="0" w:color="BFBFBF" w:themeColor="background1" w:themeShade="BF"/>
              <w:bottom w:val="single" w:sz="4" w:space="0" w:color="BFBFBF" w:themeColor="background1" w:themeShade="BF"/>
            </w:tcBorders>
            <w:hideMark/>
          </w:tcPr>
          <w:p w14:paraId="7DF530C6" w14:textId="77777777" w:rsidR="00814857" w:rsidRDefault="00814857" w:rsidP="00894126">
            <w:pPr>
              <w:pStyle w:val="ARtabletextright"/>
            </w:pPr>
            <w:r>
              <w:rPr>
                <w:noProof/>
              </w:rPr>
              <w:t>per cent</w:t>
            </w:r>
          </w:p>
        </w:tc>
        <w:tc>
          <w:tcPr>
            <w:tcW w:w="1022" w:type="dxa"/>
            <w:tcBorders>
              <w:top w:val="single" w:sz="4" w:space="0" w:color="BFBFBF" w:themeColor="background1" w:themeShade="BF"/>
              <w:bottom w:val="single" w:sz="4" w:space="0" w:color="BFBFBF" w:themeColor="background1" w:themeShade="BF"/>
            </w:tcBorders>
            <w:hideMark/>
          </w:tcPr>
          <w:p w14:paraId="425D1790" w14:textId="77777777" w:rsidR="00814857" w:rsidRDefault="00814857" w:rsidP="00894126">
            <w:pPr>
              <w:pStyle w:val="ARtabletextright"/>
            </w:pPr>
            <w:r>
              <w:rPr>
                <w:noProof/>
              </w:rPr>
              <w:t>83</w:t>
            </w:r>
          </w:p>
        </w:tc>
        <w:tc>
          <w:tcPr>
            <w:tcW w:w="1022" w:type="dxa"/>
            <w:tcBorders>
              <w:top w:val="single" w:sz="4" w:space="0" w:color="BFBFBF" w:themeColor="background1" w:themeShade="BF"/>
              <w:bottom w:val="single" w:sz="4" w:space="0" w:color="BFBFBF" w:themeColor="background1" w:themeShade="BF"/>
            </w:tcBorders>
            <w:hideMark/>
          </w:tcPr>
          <w:p w14:paraId="085DBE11" w14:textId="77777777" w:rsidR="00814857" w:rsidRDefault="00814857" w:rsidP="00894126">
            <w:pPr>
              <w:pStyle w:val="ARtabletextright"/>
            </w:pPr>
            <w:r>
              <w:rPr>
                <w:noProof/>
              </w:rPr>
              <w:t>82</w:t>
            </w:r>
          </w:p>
        </w:tc>
        <w:tc>
          <w:tcPr>
            <w:tcW w:w="1022" w:type="dxa"/>
            <w:tcBorders>
              <w:top w:val="single" w:sz="4" w:space="0" w:color="BFBFBF" w:themeColor="background1" w:themeShade="BF"/>
              <w:bottom w:val="single" w:sz="4" w:space="0" w:color="BFBFBF" w:themeColor="background1" w:themeShade="BF"/>
            </w:tcBorders>
            <w:hideMark/>
          </w:tcPr>
          <w:p w14:paraId="0F5141FC" w14:textId="77777777" w:rsidR="00814857" w:rsidRDefault="00814857" w:rsidP="00894126">
            <w:pPr>
              <w:pStyle w:val="ARtabletextright"/>
            </w:pPr>
            <w:r>
              <w:rPr>
                <w:noProof/>
              </w:rPr>
              <w:t>-1.2</w:t>
            </w:r>
          </w:p>
        </w:tc>
        <w:tc>
          <w:tcPr>
            <w:tcW w:w="794" w:type="dxa"/>
            <w:tcBorders>
              <w:top w:val="single" w:sz="4" w:space="0" w:color="BFBFBF" w:themeColor="background1" w:themeShade="BF"/>
              <w:bottom w:val="single" w:sz="4" w:space="0" w:color="BFBFBF" w:themeColor="background1" w:themeShade="BF"/>
            </w:tcBorders>
            <w:hideMark/>
          </w:tcPr>
          <w:p w14:paraId="3B5D0FAD" w14:textId="77777777" w:rsidR="00814857" w:rsidRDefault="00814857" w:rsidP="00894126">
            <w:pPr>
              <w:pStyle w:val="ARtabletextright"/>
            </w:pPr>
            <w:r w:rsidRPr="007939DD">
              <w:sym w:font="Wingdings 2" w:char="F099"/>
            </w:r>
          </w:p>
        </w:tc>
      </w:tr>
      <w:tr w:rsidR="00814857" w14:paraId="3FE99ED5" w14:textId="77777777" w:rsidTr="00894126">
        <w:trPr>
          <w:cantSplit/>
          <w:trHeight w:val="480"/>
        </w:trPr>
        <w:tc>
          <w:tcPr>
            <w:tcW w:w="4764" w:type="dxa"/>
            <w:tcBorders>
              <w:top w:val="single" w:sz="4" w:space="0" w:color="BFBFBF" w:themeColor="background1" w:themeShade="BF"/>
            </w:tcBorders>
            <w:hideMark/>
          </w:tcPr>
          <w:p w14:paraId="3C37B5ED" w14:textId="77777777" w:rsidR="00814857" w:rsidRDefault="00814857" w:rsidP="00894126">
            <w:pPr>
              <w:pStyle w:val="ARtabletext"/>
            </w:pPr>
            <w:r>
              <w:rPr>
                <w:noProof/>
              </w:rPr>
              <w:t>Urgent (Category 1) elective surgery patients admitted within 30 days</w:t>
            </w:r>
          </w:p>
        </w:tc>
        <w:tc>
          <w:tcPr>
            <w:tcW w:w="1021" w:type="dxa"/>
            <w:tcBorders>
              <w:top w:val="single" w:sz="4" w:space="0" w:color="BFBFBF" w:themeColor="background1" w:themeShade="BF"/>
            </w:tcBorders>
            <w:hideMark/>
          </w:tcPr>
          <w:p w14:paraId="404B2408" w14:textId="77777777" w:rsidR="00814857" w:rsidRDefault="00814857" w:rsidP="00894126">
            <w:pPr>
              <w:pStyle w:val="ARtabletextright"/>
            </w:pPr>
            <w:r>
              <w:rPr>
                <w:noProof/>
              </w:rPr>
              <w:t>per cent</w:t>
            </w:r>
          </w:p>
        </w:tc>
        <w:tc>
          <w:tcPr>
            <w:tcW w:w="1022" w:type="dxa"/>
            <w:tcBorders>
              <w:top w:val="single" w:sz="4" w:space="0" w:color="BFBFBF" w:themeColor="background1" w:themeShade="BF"/>
            </w:tcBorders>
            <w:hideMark/>
          </w:tcPr>
          <w:p w14:paraId="1DB22611" w14:textId="77777777" w:rsidR="00814857" w:rsidRDefault="00814857" w:rsidP="00894126">
            <w:pPr>
              <w:pStyle w:val="ARtabletextright"/>
            </w:pPr>
            <w:r>
              <w:rPr>
                <w:noProof/>
              </w:rPr>
              <w:t>100</w:t>
            </w:r>
          </w:p>
        </w:tc>
        <w:tc>
          <w:tcPr>
            <w:tcW w:w="1022" w:type="dxa"/>
            <w:tcBorders>
              <w:top w:val="single" w:sz="4" w:space="0" w:color="BFBFBF" w:themeColor="background1" w:themeShade="BF"/>
            </w:tcBorders>
            <w:hideMark/>
          </w:tcPr>
          <w:p w14:paraId="566B27E0" w14:textId="77777777" w:rsidR="00814857" w:rsidRDefault="00814857" w:rsidP="00894126">
            <w:pPr>
              <w:pStyle w:val="ARtabletextright"/>
            </w:pPr>
            <w:r>
              <w:rPr>
                <w:noProof/>
              </w:rPr>
              <w:t>100</w:t>
            </w:r>
          </w:p>
        </w:tc>
        <w:tc>
          <w:tcPr>
            <w:tcW w:w="1022" w:type="dxa"/>
            <w:tcBorders>
              <w:top w:val="single" w:sz="4" w:space="0" w:color="BFBFBF" w:themeColor="background1" w:themeShade="BF"/>
            </w:tcBorders>
            <w:hideMark/>
          </w:tcPr>
          <w:p w14:paraId="67E5A413" w14:textId="77777777" w:rsidR="00814857" w:rsidRDefault="00814857" w:rsidP="00894126">
            <w:pPr>
              <w:pStyle w:val="ARtabletextright"/>
            </w:pPr>
            <w:r>
              <w:rPr>
                <w:noProof/>
              </w:rPr>
              <w:t>0.0</w:t>
            </w:r>
          </w:p>
        </w:tc>
        <w:tc>
          <w:tcPr>
            <w:tcW w:w="794" w:type="dxa"/>
            <w:tcBorders>
              <w:top w:val="single" w:sz="4" w:space="0" w:color="BFBFBF" w:themeColor="background1" w:themeShade="BF"/>
            </w:tcBorders>
            <w:hideMark/>
          </w:tcPr>
          <w:p w14:paraId="6FD455B9" w14:textId="77777777" w:rsidR="00814857" w:rsidRDefault="00814857" w:rsidP="00894126">
            <w:pPr>
              <w:pStyle w:val="ARtabletextright"/>
            </w:pPr>
            <w:r>
              <w:sym w:font="Wingdings" w:char="F0FC"/>
            </w:r>
          </w:p>
        </w:tc>
      </w:tr>
      <w:tr w:rsidR="00830963" w14:paraId="7A257C0B" w14:textId="77777777" w:rsidTr="00A05EB7">
        <w:trPr>
          <w:cantSplit/>
          <w:trHeight w:val="240"/>
        </w:trPr>
        <w:tc>
          <w:tcPr>
            <w:tcW w:w="9645" w:type="dxa"/>
            <w:gridSpan w:val="6"/>
            <w:tcBorders>
              <w:top w:val="single" w:sz="4" w:space="0" w:color="auto"/>
              <w:left w:val="nil"/>
              <w:bottom w:val="nil"/>
              <w:right w:val="nil"/>
            </w:tcBorders>
            <w:hideMark/>
          </w:tcPr>
          <w:p w14:paraId="297149B5" w14:textId="7F484020" w:rsidR="00830963" w:rsidRDefault="00830963" w:rsidP="00DD579E">
            <w:pPr>
              <w:pStyle w:val="ARtablegreybold"/>
            </w:pPr>
            <w:r>
              <w:t>Cost</w:t>
            </w:r>
          </w:p>
        </w:tc>
      </w:tr>
      <w:tr w:rsidR="00814857" w14:paraId="1CFF807E" w14:textId="77777777" w:rsidTr="00894126">
        <w:trPr>
          <w:cantSplit/>
          <w:trHeight w:val="480"/>
        </w:trPr>
        <w:tc>
          <w:tcPr>
            <w:tcW w:w="4764" w:type="dxa"/>
            <w:hideMark/>
          </w:tcPr>
          <w:p w14:paraId="0B14A34B" w14:textId="77777777" w:rsidR="00814857" w:rsidRPr="00921526" w:rsidRDefault="00814857" w:rsidP="00894126">
            <w:pPr>
              <w:pStyle w:val="ARtabletext"/>
              <w:rPr>
                <w:b/>
              </w:rPr>
            </w:pPr>
            <w:r w:rsidRPr="00921526">
              <w:rPr>
                <w:b/>
                <w:noProof/>
              </w:rPr>
              <w:t xml:space="preserve">Total </w:t>
            </w:r>
            <w:r>
              <w:rPr>
                <w:b/>
                <w:noProof/>
              </w:rPr>
              <w:t>o</w:t>
            </w:r>
            <w:r w:rsidRPr="00921526">
              <w:rPr>
                <w:b/>
                <w:noProof/>
              </w:rPr>
              <w:t xml:space="preserve">utput </w:t>
            </w:r>
            <w:r>
              <w:rPr>
                <w:b/>
                <w:noProof/>
              </w:rPr>
              <w:t>c</w:t>
            </w:r>
            <w:r w:rsidRPr="00921526">
              <w:rPr>
                <w:b/>
                <w:noProof/>
              </w:rPr>
              <w:t>ost</w:t>
            </w:r>
          </w:p>
        </w:tc>
        <w:tc>
          <w:tcPr>
            <w:tcW w:w="1021" w:type="dxa"/>
            <w:hideMark/>
          </w:tcPr>
          <w:p w14:paraId="31C919F0" w14:textId="77777777" w:rsidR="00814857" w:rsidRPr="00921526" w:rsidRDefault="00814857" w:rsidP="00894126">
            <w:pPr>
              <w:pStyle w:val="ARtabletextright"/>
              <w:rPr>
                <w:b/>
                <w:noProof/>
              </w:rPr>
            </w:pPr>
            <w:r w:rsidRPr="00921526">
              <w:rPr>
                <w:b/>
                <w:noProof/>
              </w:rPr>
              <w:t>$ million</w:t>
            </w:r>
          </w:p>
        </w:tc>
        <w:tc>
          <w:tcPr>
            <w:tcW w:w="1022" w:type="dxa"/>
            <w:hideMark/>
          </w:tcPr>
          <w:p w14:paraId="0AF4CDAE" w14:textId="77777777" w:rsidR="00814857" w:rsidRPr="00921526" w:rsidRDefault="00814857" w:rsidP="00894126">
            <w:pPr>
              <w:pStyle w:val="ARtabletextright"/>
              <w:rPr>
                <w:b/>
                <w:noProof/>
              </w:rPr>
            </w:pPr>
            <w:r w:rsidRPr="00921526">
              <w:rPr>
                <w:b/>
                <w:noProof/>
              </w:rPr>
              <w:t>11,225.1</w:t>
            </w:r>
          </w:p>
        </w:tc>
        <w:tc>
          <w:tcPr>
            <w:tcW w:w="1022" w:type="dxa"/>
            <w:hideMark/>
          </w:tcPr>
          <w:p w14:paraId="6C83363E" w14:textId="77777777" w:rsidR="00814857" w:rsidRPr="00921526" w:rsidRDefault="00814857" w:rsidP="00894126">
            <w:pPr>
              <w:pStyle w:val="ARtabletextright"/>
              <w:rPr>
                <w:b/>
                <w:noProof/>
              </w:rPr>
            </w:pPr>
            <w:r w:rsidRPr="00921526">
              <w:rPr>
                <w:b/>
                <w:noProof/>
              </w:rPr>
              <w:t>11,261</w:t>
            </w:r>
          </w:p>
        </w:tc>
        <w:tc>
          <w:tcPr>
            <w:tcW w:w="1022" w:type="dxa"/>
            <w:hideMark/>
          </w:tcPr>
          <w:p w14:paraId="00C4E4E9" w14:textId="77777777" w:rsidR="00814857" w:rsidRPr="00921526" w:rsidRDefault="00814857" w:rsidP="00894126">
            <w:pPr>
              <w:pStyle w:val="ARtabletextright"/>
              <w:rPr>
                <w:b/>
                <w:noProof/>
              </w:rPr>
            </w:pPr>
            <w:r w:rsidRPr="00921526">
              <w:rPr>
                <w:b/>
                <w:noProof/>
              </w:rPr>
              <w:t>0.3</w:t>
            </w:r>
          </w:p>
        </w:tc>
        <w:tc>
          <w:tcPr>
            <w:tcW w:w="794" w:type="dxa"/>
            <w:hideMark/>
          </w:tcPr>
          <w:p w14:paraId="1C8E5FD7" w14:textId="77777777" w:rsidR="00814857" w:rsidRPr="00DD579E" w:rsidRDefault="00814857" w:rsidP="00894126">
            <w:pPr>
              <w:rPr>
                <w:rFonts w:ascii="Arial" w:eastAsia="Times" w:hAnsi="Arial" w:cs="Arial"/>
                <w:b/>
                <w:noProof/>
                <w:sz w:val="18"/>
                <w:szCs w:val="18"/>
              </w:rPr>
            </w:pPr>
          </w:p>
        </w:tc>
      </w:tr>
      <w:tr w:rsidR="00830963" w14:paraId="5EF4AE03"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0BB5F7EB" w14:textId="38732D5A" w:rsidR="00830963" w:rsidRDefault="00830963" w:rsidP="00DD579E">
            <w:pPr>
              <w:pStyle w:val="ARtablebluebold"/>
            </w:pPr>
            <w:bookmarkStart w:id="49" w:name="_Hlk21519241"/>
            <w:r>
              <w:t>Non-Admitted Services</w:t>
            </w:r>
          </w:p>
        </w:tc>
      </w:tr>
      <w:bookmarkEnd w:id="49"/>
      <w:tr w:rsidR="00830963" w14:paraId="56EA5ED7" w14:textId="77777777" w:rsidTr="00A05EB7">
        <w:trPr>
          <w:cantSplit/>
          <w:trHeight w:val="240"/>
        </w:trPr>
        <w:tc>
          <w:tcPr>
            <w:tcW w:w="9645" w:type="dxa"/>
            <w:gridSpan w:val="6"/>
            <w:tcBorders>
              <w:top w:val="single" w:sz="4" w:space="0" w:color="auto"/>
              <w:left w:val="nil"/>
              <w:bottom w:val="nil"/>
              <w:right w:val="nil"/>
            </w:tcBorders>
            <w:hideMark/>
          </w:tcPr>
          <w:p w14:paraId="2AE96592" w14:textId="7157F0A6" w:rsidR="00830963" w:rsidRDefault="00830963" w:rsidP="00DD579E">
            <w:pPr>
              <w:pStyle w:val="ARtablegreybold"/>
            </w:pPr>
            <w:r>
              <w:t>Quantity</w:t>
            </w:r>
          </w:p>
        </w:tc>
      </w:tr>
      <w:tr w:rsidR="00814857" w14:paraId="4DEEC49D" w14:textId="77777777" w:rsidTr="00894126">
        <w:trPr>
          <w:cantSplit/>
          <w:trHeight w:val="480"/>
        </w:trPr>
        <w:tc>
          <w:tcPr>
            <w:tcW w:w="4764" w:type="dxa"/>
            <w:hideMark/>
          </w:tcPr>
          <w:p w14:paraId="78453EE9" w14:textId="77777777" w:rsidR="00814857" w:rsidRDefault="00814857" w:rsidP="00894126">
            <w:pPr>
              <w:pStyle w:val="ARtabletext"/>
            </w:pPr>
            <w:r>
              <w:rPr>
                <w:noProof/>
              </w:rPr>
              <w:t>Completed post-acute episodes</w:t>
            </w:r>
          </w:p>
        </w:tc>
        <w:tc>
          <w:tcPr>
            <w:tcW w:w="1021" w:type="dxa"/>
            <w:hideMark/>
          </w:tcPr>
          <w:p w14:paraId="138B6490" w14:textId="77777777" w:rsidR="00814857" w:rsidRDefault="00814857" w:rsidP="00894126">
            <w:pPr>
              <w:pStyle w:val="ARtabletextright"/>
            </w:pPr>
            <w:r>
              <w:rPr>
                <w:noProof/>
              </w:rPr>
              <w:t>number</w:t>
            </w:r>
          </w:p>
        </w:tc>
        <w:tc>
          <w:tcPr>
            <w:tcW w:w="1022" w:type="dxa"/>
            <w:hideMark/>
          </w:tcPr>
          <w:p w14:paraId="659D9BC9" w14:textId="77777777" w:rsidR="00814857" w:rsidRDefault="00814857" w:rsidP="00894126">
            <w:pPr>
              <w:pStyle w:val="ARtabletextright"/>
            </w:pPr>
            <w:r>
              <w:rPr>
                <w:noProof/>
              </w:rPr>
              <w:t>44,700</w:t>
            </w:r>
          </w:p>
        </w:tc>
        <w:tc>
          <w:tcPr>
            <w:tcW w:w="1022" w:type="dxa"/>
            <w:hideMark/>
          </w:tcPr>
          <w:p w14:paraId="6A6E660D" w14:textId="77777777" w:rsidR="00814857" w:rsidRDefault="00814857" w:rsidP="00894126">
            <w:pPr>
              <w:pStyle w:val="ARtabletextright"/>
            </w:pPr>
            <w:r>
              <w:rPr>
                <w:noProof/>
              </w:rPr>
              <w:t>51,997</w:t>
            </w:r>
          </w:p>
        </w:tc>
        <w:tc>
          <w:tcPr>
            <w:tcW w:w="1022" w:type="dxa"/>
            <w:hideMark/>
          </w:tcPr>
          <w:p w14:paraId="284E007A" w14:textId="77777777" w:rsidR="00814857" w:rsidRDefault="00814857" w:rsidP="00894126">
            <w:pPr>
              <w:pStyle w:val="ARtabletextright"/>
            </w:pPr>
            <w:r>
              <w:rPr>
                <w:noProof/>
              </w:rPr>
              <w:t>16.3</w:t>
            </w:r>
          </w:p>
        </w:tc>
        <w:tc>
          <w:tcPr>
            <w:tcW w:w="794" w:type="dxa"/>
            <w:hideMark/>
          </w:tcPr>
          <w:p w14:paraId="5375168B" w14:textId="77777777" w:rsidR="00814857" w:rsidRDefault="00814857" w:rsidP="00894126">
            <w:pPr>
              <w:pStyle w:val="ARtabletextright"/>
            </w:pPr>
            <w:r>
              <w:sym w:font="Wingdings" w:char="F0FC"/>
            </w:r>
          </w:p>
        </w:tc>
      </w:tr>
      <w:tr w:rsidR="00814857" w14:paraId="568F7549"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5BF98703" w14:textId="77777777" w:rsidR="00814857" w:rsidRDefault="00814857" w:rsidP="00894126">
            <w:pPr>
              <w:pStyle w:val="ARtabletext"/>
            </w:pPr>
            <w:r>
              <w:rPr>
                <w:noProof/>
              </w:rPr>
              <w:t>Health Independence Program direct contacts</w:t>
            </w:r>
          </w:p>
        </w:tc>
        <w:tc>
          <w:tcPr>
            <w:tcW w:w="1021" w:type="dxa"/>
            <w:tcBorders>
              <w:top w:val="single" w:sz="4" w:space="0" w:color="BFBFBF" w:themeColor="background1" w:themeShade="BF"/>
              <w:bottom w:val="single" w:sz="4" w:space="0" w:color="BFBFBF" w:themeColor="background1" w:themeShade="BF"/>
            </w:tcBorders>
            <w:hideMark/>
          </w:tcPr>
          <w:p w14:paraId="0EBD5EFA" w14:textId="77777777" w:rsidR="00814857" w:rsidRDefault="00814857" w:rsidP="00894126">
            <w:pPr>
              <w:pStyle w:val="ARtabletextright"/>
            </w:pPr>
            <w:r>
              <w:rPr>
                <w:noProof/>
              </w:rPr>
              <w:t>number (thousand)</w:t>
            </w:r>
          </w:p>
        </w:tc>
        <w:tc>
          <w:tcPr>
            <w:tcW w:w="1022" w:type="dxa"/>
            <w:tcBorders>
              <w:top w:val="single" w:sz="4" w:space="0" w:color="BFBFBF" w:themeColor="background1" w:themeShade="BF"/>
              <w:bottom w:val="single" w:sz="4" w:space="0" w:color="BFBFBF" w:themeColor="background1" w:themeShade="BF"/>
            </w:tcBorders>
            <w:hideMark/>
          </w:tcPr>
          <w:p w14:paraId="11F14AFB" w14:textId="77777777" w:rsidR="00814857" w:rsidRDefault="00814857" w:rsidP="00894126">
            <w:pPr>
              <w:pStyle w:val="ARtabletextright"/>
            </w:pPr>
            <w:r>
              <w:rPr>
                <w:noProof/>
              </w:rPr>
              <w:t>1,582</w:t>
            </w:r>
          </w:p>
        </w:tc>
        <w:tc>
          <w:tcPr>
            <w:tcW w:w="1022" w:type="dxa"/>
            <w:tcBorders>
              <w:top w:val="single" w:sz="4" w:space="0" w:color="BFBFBF" w:themeColor="background1" w:themeShade="BF"/>
              <w:bottom w:val="single" w:sz="4" w:space="0" w:color="BFBFBF" w:themeColor="background1" w:themeShade="BF"/>
            </w:tcBorders>
            <w:hideMark/>
          </w:tcPr>
          <w:p w14:paraId="70D62E76" w14:textId="77777777" w:rsidR="00814857" w:rsidRDefault="00814857" w:rsidP="00894126">
            <w:pPr>
              <w:pStyle w:val="ARtabletextright"/>
            </w:pPr>
            <w:r>
              <w:rPr>
                <w:noProof/>
              </w:rPr>
              <w:t>1,577</w:t>
            </w:r>
          </w:p>
        </w:tc>
        <w:tc>
          <w:tcPr>
            <w:tcW w:w="1022" w:type="dxa"/>
            <w:tcBorders>
              <w:top w:val="single" w:sz="4" w:space="0" w:color="BFBFBF" w:themeColor="background1" w:themeShade="BF"/>
              <w:bottom w:val="single" w:sz="4" w:space="0" w:color="BFBFBF" w:themeColor="background1" w:themeShade="BF"/>
            </w:tcBorders>
            <w:hideMark/>
          </w:tcPr>
          <w:p w14:paraId="63C1564F" w14:textId="77777777" w:rsidR="00814857" w:rsidRDefault="00814857" w:rsidP="00894126">
            <w:pPr>
              <w:pStyle w:val="ARtabletextright"/>
            </w:pPr>
            <w:r>
              <w:rPr>
                <w:noProof/>
              </w:rPr>
              <w:t>-0.3</w:t>
            </w:r>
          </w:p>
        </w:tc>
        <w:tc>
          <w:tcPr>
            <w:tcW w:w="794" w:type="dxa"/>
            <w:tcBorders>
              <w:top w:val="single" w:sz="4" w:space="0" w:color="BFBFBF" w:themeColor="background1" w:themeShade="BF"/>
              <w:bottom w:val="single" w:sz="4" w:space="0" w:color="BFBFBF" w:themeColor="background1" w:themeShade="BF"/>
            </w:tcBorders>
            <w:hideMark/>
          </w:tcPr>
          <w:p w14:paraId="0B18EED7" w14:textId="77777777" w:rsidR="00814857" w:rsidRDefault="00814857" w:rsidP="00894126">
            <w:pPr>
              <w:pStyle w:val="ARtabletextright"/>
            </w:pPr>
            <w:r>
              <w:sym w:font="Wingdings" w:char="F0FC"/>
            </w:r>
          </w:p>
        </w:tc>
      </w:tr>
      <w:tr w:rsidR="00814857" w14:paraId="776AD067" w14:textId="77777777" w:rsidTr="00894126">
        <w:trPr>
          <w:cantSplit/>
          <w:trHeight w:val="480"/>
        </w:trPr>
        <w:tc>
          <w:tcPr>
            <w:tcW w:w="4764" w:type="dxa"/>
            <w:tcBorders>
              <w:top w:val="single" w:sz="4" w:space="0" w:color="BFBFBF" w:themeColor="background1" w:themeShade="BF"/>
            </w:tcBorders>
            <w:hideMark/>
          </w:tcPr>
          <w:p w14:paraId="589360C9" w14:textId="77777777" w:rsidR="00814857" w:rsidRDefault="00814857" w:rsidP="00894126">
            <w:pPr>
              <w:pStyle w:val="ARtabletext"/>
            </w:pPr>
            <w:r>
              <w:rPr>
                <w:noProof/>
              </w:rPr>
              <w:t>Patients treated in Specialist Outpatient Clinics – unweighted</w:t>
            </w:r>
          </w:p>
        </w:tc>
        <w:tc>
          <w:tcPr>
            <w:tcW w:w="1021" w:type="dxa"/>
            <w:tcBorders>
              <w:top w:val="single" w:sz="4" w:space="0" w:color="BFBFBF" w:themeColor="background1" w:themeShade="BF"/>
            </w:tcBorders>
            <w:hideMark/>
          </w:tcPr>
          <w:p w14:paraId="28F4F51C" w14:textId="77777777" w:rsidR="00814857" w:rsidRDefault="00814857" w:rsidP="00894126">
            <w:pPr>
              <w:pStyle w:val="ARtabletextright"/>
            </w:pPr>
            <w:r>
              <w:rPr>
                <w:noProof/>
              </w:rPr>
              <w:t>number (thousand)</w:t>
            </w:r>
          </w:p>
        </w:tc>
        <w:tc>
          <w:tcPr>
            <w:tcW w:w="1022" w:type="dxa"/>
            <w:tcBorders>
              <w:top w:val="single" w:sz="4" w:space="0" w:color="BFBFBF" w:themeColor="background1" w:themeShade="BF"/>
            </w:tcBorders>
            <w:hideMark/>
          </w:tcPr>
          <w:p w14:paraId="586BF0D6" w14:textId="77777777" w:rsidR="00814857" w:rsidRDefault="00814857" w:rsidP="00894126">
            <w:pPr>
              <w:pStyle w:val="ARtabletextright"/>
            </w:pPr>
            <w:r>
              <w:rPr>
                <w:noProof/>
              </w:rPr>
              <w:t>1,831</w:t>
            </w:r>
          </w:p>
        </w:tc>
        <w:tc>
          <w:tcPr>
            <w:tcW w:w="1022" w:type="dxa"/>
            <w:tcBorders>
              <w:top w:val="single" w:sz="4" w:space="0" w:color="BFBFBF" w:themeColor="background1" w:themeShade="BF"/>
            </w:tcBorders>
            <w:hideMark/>
          </w:tcPr>
          <w:p w14:paraId="40032E63" w14:textId="77777777" w:rsidR="00814857" w:rsidRDefault="00814857" w:rsidP="00894126">
            <w:pPr>
              <w:pStyle w:val="ARtabletextright"/>
            </w:pPr>
            <w:r>
              <w:rPr>
                <w:noProof/>
              </w:rPr>
              <w:t>1,823</w:t>
            </w:r>
          </w:p>
        </w:tc>
        <w:tc>
          <w:tcPr>
            <w:tcW w:w="1022" w:type="dxa"/>
            <w:tcBorders>
              <w:top w:val="single" w:sz="4" w:space="0" w:color="BFBFBF" w:themeColor="background1" w:themeShade="BF"/>
            </w:tcBorders>
            <w:hideMark/>
          </w:tcPr>
          <w:p w14:paraId="55177457" w14:textId="77777777" w:rsidR="00814857" w:rsidRDefault="00814857" w:rsidP="00894126">
            <w:pPr>
              <w:pStyle w:val="ARtabletextright"/>
            </w:pPr>
            <w:r>
              <w:rPr>
                <w:noProof/>
              </w:rPr>
              <w:t>-1.0</w:t>
            </w:r>
          </w:p>
        </w:tc>
        <w:tc>
          <w:tcPr>
            <w:tcW w:w="794" w:type="dxa"/>
            <w:tcBorders>
              <w:top w:val="single" w:sz="4" w:space="0" w:color="BFBFBF" w:themeColor="background1" w:themeShade="BF"/>
            </w:tcBorders>
            <w:hideMark/>
          </w:tcPr>
          <w:p w14:paraId="7FD7086A" w14:textId="77777777" w:rsidR="00814857" w:rsidRDefault="00814857" w:rsidP="00894126">
            <w:pPr>
              <w:pStyle w:val="ARtabletextright"/>
            </w:pPr>
            <w:r w:rsidRPr="007939DD">
              <w:sym w:font="Wingdings 2" w:char="F099"/>
            </w:r>
          </w:p>
        </w:tc>
      </w:tr>
      <w:tr w:rsidR="00830963" w14:paraId="2DFBF1F6" w14:textId="77777777" w:rsidTr="00A05EB7">
        <w:trPr>
          <w:cantSplit/>
          <w:trHeight w:val="240"/>
        </w:trPr>
        <w:tc>
          <w:tcPr>
            <w:tcW w:w="9645" w:type="dxa"/>
            <w:gridSpan w:val="6"/>
            <w:tcBorders>
              <w:top w:val="single" w:sz="4" w:space="0" w:color="auto"/>
              <w:left w:val="nil"/>
              <w:bottom w:val="nil"/>
              <w:right w:val="nil"/>
            </w:tcBorders>
            <w:hideMark/>
          </w:tcPr>
          <w:p w14:paraId="283FADD1" w14:textId="20910B81" w:rsidR="00830963" w:rsidRDefault="00830963" w:rsidP="00DD579E">
            <w:pPr>
              <w:pStyle w:val="ARtablegreybold"/>
            </w:pPr>
            <w:r>
              <w:t>Quality</w:t>
            </w:r>
          </w:p>
        </w:tc>
      </w:tr>
      <w:tr w:rsidR="00814857" w14:paraId="14740DBE" w14:textId="77777777" w:rsidTr="00894126">
        <w:trPr>
          <w:cantSplit/>
          <w:trHeight w:val="480"/>
        </w:trPr>
        <w:tc>
          <w:tcPr>
            <w:tcW w:w="4764" w:type="dxa"/>
            <w:hideMark/>
          </w:tcPr>
          <w:p w14:paraId="357E2556" w14:textId="77777777" w:rsidR="00814857" w:rsidRDefault="00814857" w:rsidP="00894126">
            <w:pPr>
              <w:pStyle w:val="ARtabletext"/>
            </w:pPr>
            <w:r>
              <w:rPr>
                <w:noProof/>
              </w:rPr>
              <w:t>Post-acute clients not readmitted to acute hospital</w:t>
            </w:r>
          </w:p>
        </w:tc>
        <w:tc>
          <w:tcPr>
            <w:tcW w:w="1021" w:type="dxa"/>
            <w:hideMark/>
          </w:tcPr>
          <w:p w14:paraId="436B2C35" w14:textId="77777777" w:rsidR="00814857" w:rsidRDefault="00814857" w:rsidP="00894126">
            <w:pPr>
              <w:pStyle w:val="ARtabletextright"/>
            </w:pPr>
            <w:r>
              <w:rPr>
                <w:noProof/>
              </w:rPr>
              <w:t>per cent</w:t>
            </w:r>
          </w:p>
        </w:tc>
        <w:tc>
          <w:tcPr>
            <w:tcW w:w="1022" w:type="dxa"/>
            <w:hideMark/>
          </w:tcPr>
          <w:p w14:paraId="018BD08A" w14:textId="77777777" w:rsidR="00814857" w:rsidRDefault="00814857" w:rsidP="00894126">
            <w:pPr>
              <w:pStyle w:val="ARtabletextright"/>
            </w:pPr>
            <w:r>
              <w:rPr>
                <w:noProof/>
              </w:rPr>
              <w:t>90</w:t>
            </w:r>
          </w:p>
        </w:tc>
        <w:tc>
          <w:tcPr>
            <w:tcW w:w="1022" w:type="dxa"/>
            <w:hideMark/>
          </w:tcPr>
          <w:p w14:paraId="6BCBE518" w14:textId="77777777" w:rsidR="00814857" w:rsidRDefault="00814857" w:rsidP="00894126">
            <w:pPr>
              <w:pStyle w:val="ARtabletextright"/>
            </w:pPr>
            <w:r>
              <w:rPr>
                <w:noProof/>
              </w:rPr>
              <w:t>93.9</w:t>
            </w:r>
          </w:p>
        </w:tc>
        <w:tc>
          <w:tcPr>
            <w:tcW w:w="1022" w:type="dxa"/>
            <w:hideMark/>
          </w:tcPr>
          <w:p w14:paraId="0820B4F2" w14:textId="77777777" w:rsidR="00814857" w:rsidRDefault="00814857" w:rsidP="00894126">
            <w:pPr>
              <w:pStyle w:val="ARtabletextright"/>
            </w:pPr>
            <w:r>
              <w:rPr>
                <w:noProof/>
              </w:rPr>
              <w:t>4.3</w:t>
            </w:r>
          </w:p>
        </w:tc>
        <w:tc>
          <w:tcPr>
            <w:tcW w:w="794" w:type="dxa"/>
            <w:hideMark/>
          </w:tcPr>
          <w:p w14:paraId="69CA643B" w14:textId="77777777" w:rsidR="00814857" w:rsidRDefault="00814857" w:rsidP="00894126">
            <w:pPr>
              <w:pStyle w:val="ARtabletextright"/>
            </w:pPr>
            <w:r>
              <w:sym w:font="Wingdings" w:char="F0FC"/>
            </w:r>
          </w:p>
        </w:tc>
      </w:tr>
      <w:tr w:rsidR="00830963" w14:paraId="50008A75" w14:textId="77777777" w:rsidTr="00A05EB7">
        <w:trPr>
          <w:cantSplit/>
          <w:trHeight w:val="240"/>
        </w:trPr>
        <w:tc>
          <w:tcPr>
            <w:tcW w:w="9645" w:type="dxa"/>
            <w:gridSpan w:val="6"/>
            <w:tcBorders>
              <w:top w:val="single" w:sz="4" w:space="0" w:color="auto"/>
              <w:left w:val="nil"/>
              <w:bottom w:val="nil"/>
              <w:right w:val="nil"/>
            </w:tcBorders>
            <w:hideMark/>
          </w:tcPr>
          <w:p w14:paraId="48F73D89" w14:textId="2BC325BE" w:rsidR="00830963" w:rsidRDefault="00830963" w:rsidP="00DD579E">
            <w:pPr>
              <w:pStyle w:val="ARtablegreybold"/>
            </w:pPr>
            <w:r>
              <w:t>Timeliness</w:t>
            </w:r>
          </w:p>
        </w:tc>
      </w:tr>
      <w:tr w:rsidR="00814857" w14:paraId="48A2565B" w14:textId="77777777" w:rsidTr="00894126">
        <w:trPr>
          <w:cantSplit/>
          <w:trHeight w:val="480"/>
        </w:trPr>
        <w:tc>
          <w:tcPr>
            <w:tcW w:w="4764" w:type="dxa"/>
            <w:hideMark/>
          </w:tcPr>
          <w:p w14:paraId="3FCC949A" w14:textId="77777777" w:rsidR="00814857" w:rsidRDefault="00814857" w:rsidP="00894126">
            <w:pPr>
              <w:pStyle w:val="ARtabletext"/>
            </w:pPr>
            <w:r>
              <w:rPr>
                <w:noProof/>
              </w:rPr>
              <w:t>Health Independence Program clients contacted within three days of referral</w:t>
            </w:r>
          </w:p>
        </w:tc>
        <w:tc>
          <w:tcPr>
            <w:tcW w:w="1021" w:type="dxa"/>
            <w:hideMark/>
          </w:tcPr>
          <w:p w14:paraId="266DB994" w14:textId="77777777" w:rsidR="00814857" w:rsidRDefault="00814857" w:rsidP="00894126">
            <w:pPr>
              <w:pStyle w:val="ARtabletextright"/>
            </w:pPr>
            <w:r>
              <w:rPr>
                <w:noProof/>
              </w:rPr>
              <w:t>per cent</w:t>
            </w:r>
          </w:p>
        </w:tc>
        <w:tc>
          <w:tcPr>
            <w:tcW w:w="1022" w:type="dxa"/>
            <w:hideMark/>
          </w:tcPr>
          <w:p w14:paraId="5A75303D" w14:textId="77777777" w:rsidR="00814857" w:rsidRDefault="00814857" w:rsidP="00894126">
            <w:pPr>
              <w:pStyle w:val="ARtabletextright"/>
            </w:pPr>
            <w:r>
              <w:rPr>
                <w:noProof/>
              </w:rPr>
              <w:t>85</w:t>
            </w:r>
          </w:p>
        </w:tc>
        <w:tc>
          <w:tcPr>
            <w:tcW w:w="1022" w:type="dxa"/>
            <w:hideMark/>
          </w:tcPr>
          <w:p w14:paraId="5CC88D51" w14:textId="77777777" w:rsidR="00814857" w:rsidRDefault="00814857" w:rsidP="00894126">
            <w:pPr>
              <w:pStyle w:val="ARtabletextright"/>
            </w:pPr>
            <w:r>
              <w:rPr>
                <w:noProof/>
              </w:rPr>
              <w:t>88.7</w:t>
            </w:r>
          </w:p>
        </w:tc>
        <w:tc>
          <w:tcPr>
            <w:tcW w:w="1022" w:type="dxa"/>
            <w:hideMark/>
          </w:tcPr>
          <w:p w14:paraId="14E2519E" w14:textId="77777777" w:rsidR="00814857" w:rsidRDefault="00814857" w:rsidP="00894126">
            <w:pPr>
              <w:pStyle w:val="ARtabletextright"/>
            </w:pPr>
            <w:r>
              <w:rPr>
                <w:noProof/>
              </w:rPr>
              <w:t>4.4</w:t>
            </w:r>
          </w:p>
        </w:tc>
        <w:tc>
          <w:tcPr>
            <w:tcW w:w="794" w:type="dxa"/>
            <w:hideMark/>
          </w:tcPr>
          <w:p w14:paraId="4961D12C" w14:textId="77777777" w:rsidR="00814857" w:rsidRDefault="00814857" w:rsidP="00894126">
            <w:pPr>
              <w:pStyle w:val="ARtabletextright"/>
            </w:pPr>
            <w:r>
              <w:sym w:font="Wingdings" w:char="F0FC"/>
            </w:r>
          </w:p>
        </w:tc>
      </w:tr>
      <w:tr w:rsidR="00830963" w14:paraId="00660D9C" w14:textId="77777777" w:rsidTr="00A05EB7">
        <w:trPr>
          <w:cantSplit/>
          <w:trHeight w:val="240"/>
        </w:trPr>
        <w:tc>
          <w:tcPr>
            <w:tcW w:w="9645" w:type="dxa"/>
            <w:gridSpan w:val="6"/>
            <w:tcBorders>
              <w:top w:val="single" w:sz="4" w:space="0" w:color="auto"/>
              <w:left w:val="nil"/>
              <w:bottom w:val="nil"/>
              <w:right w:val="nil"/>
            </w:tcBorders>
            <w:hideMark/>
          </w:tcPr>
          <w:p w14:paraId="3276534A" w14:textId="2CCE7AD0" w:rsidR="00830963" w:rsidRDefault="00830963" w:rsidP="00DD579E">
            <w:pPr>
              <w:pStyle w:val="ARtablegreybold"/>
            </w:pPr>
            <w:bookmarkStart w:id="50" w:name="_Hlk21519288"/>
            <w:r>
              <w:t>Cost</w:t>
            </w:r>
          </w:p>
        </w:tc>
      </w:tr>
      <w:tr w:rsidR="00814857" w14:paraId="447F8CCF" w14:textId="77777777" w:rsidTr="00894126">
        <w:trPr>
          <w:cantSplit/>
          <w:trHeight w:val="480"/>
        </w:trPr>
        <w:tc>
          <w:tcPr>
            <w:tcW w:w="4764" w:type="dxa"/>
            <w:hideMark/>
          </w:tcPr>
          <w:p w14:paraId="6624D756" w14:textId="77777777" w:rsidR="00814857" w:rsidRPr="00921526" w:rsidRDefault="00814857" w:rsidP="00894126">
            <w:pPr>
              <w:pStyle w:val="ARtabletext"/>
              <w:rPr>
                <w:b/>
              </w:rPr>
            </w:pPr>
            <w:bookmarkStart w:id="51" w:name="_Hlk21519236"/>
            <w:r w:rsidRPr="00921526">
              <w:rPr>
                <w:b/>
                <w:noProof/>
              </w:rPr>
              <w:t xml:space="preserve">Total </w:t>
            </w:r>
            <w:r>
              <w:rPr>
                <w:b/>
                <w:noProof/>
              </w:rPr>
              <w:t>o</w:t>
            </w:r>
            <w:r w:rsidRPr="00921526">
              <w:rPr>
                <w:b/>
                <w:noProof/>
              </w:rPr>
              <w:t xml:space="preserve">utput </w:t>
            </w:r>
            <w:r>
              <w:rPr>
                <w:b/>
                <w:noProof/>
              </w:rPr>
              <w:t>c</w:t>
            </w:r>
            <w:r w:rsidRPr="00921526">
              <w:rPr>
                <w:b/>
                <w:noProof/>
              </w:rPr>
              <w:t>ost</w:t>
            </w:r>
          </w:p>
        </w:tc>
        <w:tc>
          <w:tcPr>
            <w:tcW w:w="1021" w:type="dxa"/>
            <w:hideMark/>
          </w:tcPr>
          <w:p w14:paraId="2E65EAE4" w14:textId="77777777" w:rsidR="00814857" w:rsidRPr="00921526" w:rsidRDefault="00814857" w:rsidP="00894126">
            <w:pPr>
              <w:pStyle w:val="ARtabletextright"/>
              <w:rPr>
                <w:b/>
              </w:rPr>
            </w:pPr>
            <w:r w:rsidRPr="00921526">
              <w:rPr>
                <w:b/>
                <w:noProof/>
              </w:rPr>
              <w:t>$ million</w:t>
            </w:r>
          </w:p>
        </w:tc>
        <w:tc>
          <w:tcPr>
            <w:tcW w:w="1022" w:type="dxa"/>
            <w:hideMark/>
          </w:tcPr>
          <w:p w14:paraId="16F0FD3B" w14:textId="77777777" w:rsidR="00814857" w:rsidRPr="00921526" w:rsidRDefault="00814857" w:rsidP="00894126">
            <w:pPr>
              <w:pStyle w:val="ARtabletextright"/>
              <w:rPr>
                <w:b/>
              </w:rPr>
            </w:pPr>
            <w:r w:rsidRPr="00921526">
              <w:rPr>
                <w:b/>
                <w:noProof/>
              </w:rPr>
              <w:t>1,870.7</w:t>
            </w:r>
          </w:p>
        </w:tc>
        <w:tc>
          <w:tcPr>
            <w:tcW w:w="1022" w:type="dxa"/>
            <w:hideMark/>
          </w:tcPr>
          <w:p w14:paraId="362F7017" w14:textId="77777777" w:rsidR="00814857" w:rsidRPr="00921526" w:rsidRDefault="00814857" w:rsidP="00894126">
            <w:pPr>
              <w:pStyle w:val="ARtabletextright"/>
              <w:rPr>
                <w:b/>
              </w:rPr>
            </w:pPr>
            <w:r w:rsidRPr="00921526">
              <w:rPr>
                <w:b/>
                <w:noProof/>
              </w:rPr>
              <w:t>1,771.4</w:t>
            </w:r>
          </w:p>
        </w:tc>
        <w:tc>
          <w:tcPr>
            <w:tcW w:w="1022" w:type="dxa"/>
            <w:hideMark/>
          </w:tcPr>
          <w:p w14:paraId="54EBE9E9" w14:textId="77777777" w:rsidR="00814857" w:rsidRPr="00921526" w:rsidRDefault="00814857" w:rsidP="00894126">
            <w:pPr>
              <w:pStyle w:val="ARtabletextright"/>
              <w:rPr>
                <w:b/>
              </w:rPr>
            </w:pPr>
            <w:r w:rsidRPr="00921526">
              <w:rPr>
                <w:b/>
                <w:noProof/>
              </w:rPr>
              <w:t>-5.3</w:t>
            </w:r>
          </w:p>
        </w:tc>
        <w:tc>
          <w:tcPr>
            <w:tcW w:w="794" w:type="dxa"/>
            <w:hideMark/>
          </w:tcPr>
          <w:p w14:paraId="79797B63" w14:textId="77777777" w:rsidR="00814857" w:rsidRPr="00921526" w:rsidRDefault="00814857" w:rsidP="00DD579E">
            <w:pPr>
              <w:pStyle w:val="ARtabletextright"/>
              <w:rPr>
                <w:b/>
              </w:rPr>
            </w:pPr>
          </w:p>
        </w:tc>
      </w:tr>
      <w:tr w:rsidR="00814857" w14:paraId="656AEB5A" w14:textId="77777777" w:rsidTr="00894126">
        <w:trPr>
          <w:cantSplit/>
          <w:trHeight w:val="240"/>
        </w:trPr>
        <w:tc>
          <w:tcPr>
            <w:tcW w:w="9645" w:type="dxa"/>
            <w:gridSpan w:val="6"/>
            <w:tcBorders>
              <w:top w:val="nil"/>
              <w:left w:val="nil"/>
              <w:bottom w:val="single" w:sz="4" w:space="0" w:color="BFBFBF"/>
              <w:right w:val="nil"/>
            </w:tcBorders>
            <w:noWrap/>
            <w:hideMark/>
          </w:tcPr>
          <w:p w14:paraId="6C49C72D" w14:textId="77777777" w:rsidR="00814857" w:rsidRDefault="00814857" w:rsidP="00894126">
            <w:pPr>
              <w:pStyle w:val="ARtablenoteindent"/>
            </w:pPr>
            <w:r>
              <w:rPr>
                <w:noProof/>
              </w:rPr>
              <w:t>The 2018–19 actual outcome primarily reflects: lower than expected Commonwealth revenue for Highly Specialised Drugs; realignment of output budget related to National Health Reform funding; partially offset by additional Victorian Government policy initiatives.</w:t>
            </w:r>
          </w:p>
        </w:tc>
      </w:tr>
      <w:bookmarkEnd w:id="50"/>
      <w:bookmarkEnd w:id="51"/>
      <w:tr w:rsidR="00830963" w14:paraId="657D40F6"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1BA008C5" w14:textId="29203EB1" w:rsidR="00830963" w:rsidRDefault="00830963" w:rsidP="00DD579E">
            <w:pPr>
              <w:pStyle w:val="ARtablebluebold"/>
            </w:pPr>
            <w:r>
              <w:t>Emergency Services</w:t>
            </w:r>
          </w:p>
        </w:tc>
      </w:tr>
      <w:tr w:rsidR="00830963" w14:paraId="7AFC099F" w14:textId="77777777" w:rsidTr="00A05EB7">
        <w:trPr>
          <w:cantSplit/>
          <w:trHeight w:val="240"/>
        </w:trPr>
        <w:tc>
          <w:tcPr>
            <w:tcW w:w="9645" w:type="dxa"/>
            <w:gridSpan w:val="6"/>
            <w:tcBorders>
              <w:top w:val="single" w:sz="4" w:space="0" w:color="auto"/>
              <w:left w:val="nil"/>
              <w:bottom w:val="nil"/>
              <w:right w:val="nil"/>
            </w:tcBorders>
            <w:hideMark/>
          </w:tcPr>
          <w:p w14:paraId="7F22F41D" w14:textId="282B94AD" w:rsidR="00830963" w:rsidRDefault="00830963" w:rsidP="00DD579E">
            <w:pPr>
              <w:pStyle w:val="ARtablegreybold"/>
            </w:pPr>
            <w:r>
              <w:t>Quantity</w:t>
            </w:r>
          </w:p>
        </w:tc>
      </w:tr>
      <w:tr w:rsidR="00814857" w14:paraId="7766B781" w14:textId="77777777" w:rsidTr="00894126">
        <w:trPr>
          <w:cantSplit/>
          <w:trHeight w:val="480"/>
        </w:trPr>
        <w:tc>
          <w:tcPr>
            <w:tcW w:w="4764" w:type="dxa"/>
            <w:tcBorders>
              <w:bottom w:val="single" w:sz="4" w:space="0" w:color="BFBFBF" w:themeColor="background1" w:themeShade="BF"/>
            </w:tcBorders>
            <w:hideMark/>
          </w:tcPr>
          <w:p w14:paraId="320A1A2A" w14:textId="77777777" w:rsidR="00814857" w:rsidRDefault="00814857" w:rsidP="00894126">
            <w:pPr>
              <w:pStyle w:val="ARtabletext"/>
            </w:pPr>
            <w:r>
              <w:rPr>
                <w:noProof/>
              </w:rPr>
              <w:t>Emergency presentations</w:t>
            </w:r>
          </w:p>
        </w:tc>
        <w:tc>
          <w:tcPr>
            <w:tcW w:w="1021" w:type="dxa"/>
            <w:tcBorders>
              <w:bottom w:val="single" w:sz="4" w:space="0" w:color="BFBFBF" w:themeColor="background1" w:themeShade="BF"/>
            </w:tcBorders>
            <w:hideMark/>
          </w:tcPr>
          <w:p w14:paraId="489A8B68" w14:textId="77777777" w:rsidR="00814857" w:rsidRDefault="00814857" w:rsidP="00894126">
            <w:pPr>
              <w:pStyle w:val="ARtabletextright"/>
            </w:pPr>
            <w:r>
              <w:rPr>
                <w:noProof/>
              </w:rPr>
              <w:t>number (thousand)</w:t>
            </w:r>
          </w:p>
        </w:tc>
        <w:tc>
          <w:tcPr>
            <w:tcW w:w="1022" w:type="dxa"/>
            <w:tcBorders>
              <w:bottom w:val="single" w:sz="4" w:space="0" w:color="BFBFBF" w:themeColor="background1" w:themeShade="BF"/>
            </w:tcBorders>
            <w:hideMark/>
          </w:tcPr>
          <w:p w14:paraId="6BE2FFED" w14:textId="77777777" w:rsidR="00814857" w:rsidRDefault="00814857" w:rsidP="00894126">
            <w:pPr>
              <w:pStyle w:val="ARtabletextright"/>
            </w:pPr>
            <w:r>
              <w:rPr>
                <w:noProof/>
              </w:rPr>
              <w:t>1,841</w:t>
            </w:r>
          </w:p>
        </w:tc>
        <w:tc>
          <w:tcPr>
            <w:tcW w:w="1022" w:type="dxa"/>
            <w:tcBorders>
              <w:bottom w:val="single" w:sz="4" w:space="0" w:color="BFBFBF" w:themeColor="background1" w:themeShade="BF"/>
            </w:tcBorders>
            <w:hideMark/>
          </w:tcPr>
          <w:p w14:paraId="7E811D8E" w14:textId="77777777" w:rsidR="00814857" w:rsidRDefault="00814857" w:rsidP="00894126">
            <w:pPr>
              <w:pStyle w:val="ARtabletextright"/>
            </w:pPr>
            <w:r>
              <w:rPr>
                <w:noProof/>
              </w:rPr>
              <w:t>1,860</w:t>
            </w:r>
          </w:p>
        </w:tc>
        <w:tc>
          <w:tcPr>
            <w:tcW w:w="1022" w:type="dxa"/>
            <w:tcBorders>
              <w:bottom w:val="single" w:sz="4" w:space="0" w:color="BFBFBF" w:themeColor="background1" w:themeShade="BF"/>
            </w:tcBorders>
            <w:hideMark/>
          </w:tcPr>
          <w:p w14:paraId="3A57D788" w14:textId="77777777" w:rsidR="00814857" w:rsidRDefault="00814857" w:rsidP="00894126">
            <w:pPr>
              <w:pStyle w:val="ARtabletextright"/>
            </w:pPr>
            <w:r>
              <w:rPr>
                <w:noProof/>
              </w:rPr>
              <w:t>1.0</w:t>
            </w:r>
          </w:p>
        </w:tc>
        <w:tc>
          <w:tcPr>
            <w:tcW w:w="794" w:type="dxa"/>
            <w:tcBorders>
              <w:bottom w:val="single" w:sz="4" w:space="0" w:color="BFBFBF" w:themeColor="background1" w:themeShade="BF"/>
            </w:tcBorders>
            <w:hideMark/>
          </w:tcPr>
          <w:p w14:paraId="56F45B7D" w14:textId="77777777" w:rsidR="00814857" w:rsidRDefault="00814857" w:rsidP="00894126">
            <w:pPr>
              <w:pStyle w:val="ARtabletextright"/>
            </w:pPr>
            <w:r>
              <w:sym w:font="Wingdings" w:char="F0FC"/>
            </w:r>
          </w:p>
        </w:tc>
      </w:tr>
      <w:tr w:rsidR="00814857" w14:paraId="552E42CD" w14:textId="77777777" w:rsidTr="0056128E">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3A9ABBB0" w14:textId="77777777" w:rsidR="00814857" w:rsidRDefault="00814857" w:rsidP="00894126">
            <w:pPr>
              <w:pStyle w:val="ARtabletext"/>
            </w:pPr>
            <w:r>
              <w:rPr>
                <w:noProof/>
              </w:rPr>
              <w:t>Emergency patients that did not wait for treatment</w:t>
            </w:r>
          </w:p>
        </w:tc>
        <w:tc>
          <w:tcPr>
            <w:tcW w:w="1021" w:type="dxa"/>
            <w:tcBorders>
              <w:top w:val="single" w:sz="4" w:space="0" w:color="BFBFBF" w:themeColor="background1" w:themeShade="BF"/>
              <w:bottom w:val="single" w:sz="4" w:space="0" w:color="BFBFBF" w:themeColor="background1" w:themeShade="BF"/>
            </w:tcBorders>
            <w:hideMark/>
          </w:tcPr>
          <w:p w14:paraId="5D1F1119" w14:textId="77777777" w:rsidR="00814857" w:rsidRDefault="00814857" w:rsidP="00894126">
            <w:pPr>
              <w:pStyle w:val="ARtabletextright"/>
            </w:pPr>
            <w:r>
              <w:rPr>
                <w:noProof/>
              </w:rPr>
              <w:t>per cent</w:t>
            </w:r>
          </w:p>
        </w:tc>
        <w:tc>
          <w:tcPr>
            <w:tcW w:w="1022" w:type="dxa"/>
            <w:tcBorders>
              <w:top w:val="single" w:sz="4" w:space="0" w:color="BFBFBF" w:themeColor="background1" w:themeShade="BF"/>
              <w:bottom w:val="single" w:sz="4" w:space="0" w:color="BFBFBF" w:themeColor="background1" w:themeShade="BF"/>
            </w:tcBorders>
            <w:hideMark/>
          </w:tcPr>
          <w:p w14:paraId="0BDFD4D6" w14:textId="77777777" w:rsidR="00814857" w:rsidRDefault="00814857" w:rsidP="00894126">
            <w:pPr>
              <w:pStyle w:val="ARtabletextright"/>
            </w:pPr>
            <w:r>
              <w:rPr>
                <w:noProof/>
              </w:rPr>
              <w:t>&lt;5</w:t>
            </w:r>
          </w:p>
        </w:tc>
        <w:tc>
          <w:tcPr>
            <w:tcW w:w="1022" w:type="dxa"/>
            <w:tcBorders>
              <w:top w:val="single" w:sz="4" w:space="0" w:color="BFBFBF" w:themeColor="background1" w:themeShade="BF"/>
              <w:bottom w:val="single" w:sz="4" w:space="0" w:color="BFBFBF" w:themeColor="background1" w:themeShade="BF"/>
            </w:tcBorders>
            <w:hideMark/>
          </w:tcPr>
          <w:p w14:paraId="24F4C6AC" w14:textId="77777777" w:rsidR="00814857" w:rsidRDefault="00814857" w:rsidP="00894126">
            <w:pPr>
              <w:pStyle w:val="ARtabletextright"/>
            </w:pPr>
            <w:r>
              <w:rPr>
                <w:noProof/>
              </w:rPr>
              <w:t>4.4</w:t>
            </w:r>
          </w:p>
        </w:tc>
        <w:tc>
          <w:tcPr>
            <w:tcW w:w="1022" w:type="dxa"/>
            <w:tcBorders>
              <w:top w:val="single" w:sz="4" w:space="0" w:color="BFBFBF" w:themeColor="background1" w:themeShade="BF"/>
              <w:bottom w:val="single" w:sz="4" w:space="0" w:color="BFBFBF" w:themeColor="background1" w:themeShade="BF"/>
            </w:tcBorders>
            <w:hideMark/>
          </w:tcPr>
          <w:p w14:paraId="5D767F69" w14:textId="77777777" w:rsidR="00814857" w:rsidRDefault="00814857" w:rsidP="00894126">
            <w:pPr>
              <w:pStyle w:val="ARtabletextright"/>
            </w:pPr>
            <w:r>
              <w:rPr>
                <w:noProof/>
              </w:rPr>
              <w:t>-12.0</w:t>
            </w:r>
          </w:p>
        </w:tc>
        <w:tc>
          <w:tcPr>
            <w:tcW w:w="794" w:type="dxa"/>
            <w:tcBorders>
              <w:top w:val="single" w:sz="4" w:space="0" w:color="BFBFBF" w:themeColor="background1" w:themeShade="BF"/>
              <w:bottom w:val="single" w:sz="4" w:space="0" w:color="BFBFBF" w:themeColor="background1" w:themeShade="BF"/>
            </w:tcBorders>
            <w:hideMark/>
          </w:tcPr>
          <w:p w14:paraId="2602D190" w14:textId="77777777" w:rsidR="00814857" w:rsidRDefault="00814857" w:rsidP="00894126">
            <w:pPr>
              <w:pStyle w:val="ARtabletextright"/>
            </w:pPr>
            <w:r>
              <w:sym w:font="Wingdings" w:char="F0FC"/>
            </w:r>
          </w:p>
        </w:tc>
      </w:tr>
      <w:tr w:rsidR="00814857" w14:paraId="0904FC62" w14:textId="77777777" w:rsidTr="0056128E">
        <w:trPr>
          <w:cantSplit/>
          <w:trHeight w:val="238"/>
        </w:trPr>
        <w:tc>
          <w:tcPr>
            <w:tcW w:w="4764" w:type="dxa"/>
            <w:tcBorders>
              <w:top w:val="single" w:sz="4" w:space="0" w:color="BFBFBF" w:themeColor="background1" w:themeShade="BF"/>
              <w:bottom w:val="single" w:sz="4" w:space="0" w:color="auto"/>
            </w:tcBorders>
            <w:hideMark/>
          </w:tcPr>
          <w:p w14:paraId="6AC582DE" w14:textId="77777777" w:rsidR="00814857" w:rsidRDefault="00814857" w:rsidP="00894126">
            <w:pPr>
              <w:pStyle w:val="ARtabletext"/>
            </w:pPr>
            <w:r>
              <w:rPr>
                <w:noProof/>
              </w:rPr>
              <w:t>Emergency patients re-presenting to the emergency department within 48 hours of previous presentation</w:t>
            </w:r>
          </w:p>
        </w:tc>
        <w:tc>
          <w:tcPr>
            <w:tcW w:w="1021" w:type="dxa"/>
            <w:tcBorders>
              <w:top w:val="single" w:sz="4" w:space="0" w:color="BFBFBF" w:themeColor="background1" w:themeShade="BF"/>
              <w:bottom w:val="single" w:sz="4" w:space="0" w:color="auto"/>
            </w:tcBorders>
            <w:hideMark/>
          </w:tcPr>
          <w:p w14:paraId="363A7B08" w14:textId="77777777" w:rsidR="00814857" w:rsidRDefault="00814857" w:rsidP="00894126">
            <w:pPr>
              <w:pStyle w:val="ARtabletextright"/>
            </w:pPr>
            <w:r>
              <w:rPr>
                <w:noProof/>
              </w:rPr>
              <w:t>per cent</w:t>
            </w:r>
          </w:p>
        </w:tc>
        <w:tc>
          <w:tcPr>
            <w:tcW w:w="1022" w:type="dxa"/>
            <w:tcBorders>
              <w:top w:val="single" w:sz="4" w:space="0" w:color="BFBFBF" w:themeColor="background1" w:themeShade="BF"/>
              <w:bottom w:val="single" w:sz="4" w:space="0" w:color="auto"/>
            </w:tcBorders>
            <w:hideMark/>
          </w:tcPr>
          <w:p w14:paraId="7C8EA976" w14:textId="77777777" w:rsidR="00814857" w:rsidRDefault="00814857" w:rsidP="00894126">
            <w:pPr>
              <w:pStyle w:val="ARtabletextright"/>
            </w:pPr>
            <w:r>
              <w:rPr>
                <w:noProof/>
              </w:rPr>
              <w:t>&lt;6</w:t>
            </w:r>
          </w:p>
        </w:tc>
        <w:tc>
          <w:tcPr>
            <w:tcW w:w="1022" w:type="dxa"/>
            <w:tcBorders>
              <w:top w:val="single" w:sz="4" w:space="0" w:color="BFBFBF" w:themeColor="background1" w:themeShade="BF"/>
              <w:bottom w:val="single" w:sz="4" w:space="0" w:color="auto"/>
            </w:tcBorders>
            <w:hideMark/>
          </w:tcPr>
          <w:p w14:paraId="0807FF9E" w14:textId="77777777" w:rsidR="00814857" w:rsidRDefault="00814857" w:rsidP="00894126">
            <w:pPr>
              <w:pStyle w:val="ARtabletextright"/>
            </w:pPr>
            <w:r>
              <w:rPr>
                <w:noProof/>
              </w:rPr>
              <w:t>6</w:t>
            </w:r>
          </w:p>
        </w:tc>
        <w:tc>
          <w:tcPr>
            <w:tcW w:w="1022" w:type="dxa"/>
            <w:tcBorders>
              <w:top w:val="single" w:sz="4" w:space="0" w:color="BFBFBF" w:themeColor="background1" w:themeShade="BF"/>
              <w:bottom w:val="single" w:sz="4" w:space="0" w:color="auto"/>
            </w:tcBorders>
            <w:hideMark/>
          </w:tcPr>
          <w:p w14:paraId="35E60BAB" w14:textId="77777777" w:rsidR="00814857" w:rsidRDefault="00814857" w:rsidP="00894126">
            <w:pPr>
              <w:pStyle w:val="ARtabletextright"/>
            </w:pPr>
            <w:r>
              <w:rPr>
                <w:noProof/>
              </w:rPr>
              <w:t>0.0</w:t>
            </w:r>
          </w:p>
        </w:tc>
        <w:tc>
          <w:tcPr>
            <w:tcW w:w="794" w:type="dxa"/>
            <w:tcBorders>
              <w:top w:val="single" w:sz="4" w:space="0" w:color="BFBFBF" w:themeColor="background1" w:themeShade="BF"/>
              <w:bottom w:val="single" w:sz="4" w:space="0" w:color="auto"/>
            </w:tcBorders>
            <w:hideMark/>
          </w:tcPr>
          <w:p w14:paraId="555A6C99" w14:textId="77777777" w:rsidR="00814857" w:rsidRDefault="00814857" w:rsidP="00894126">
            <w:pPr>
              <w:pStyle w:val="ARtabletextright"/>
            </w:pPr>
            <w:r>
              <w:sym w:font="Wingdings" w:char="F0FC"/>
            </w:r>
          </w:p>
        </w:tc>
      </w:tr>
      <w:tr w:rsidR="00830963" w14:paraId="15A64A7F" w14:textId="77777777" w:rsidTr="0056128E">
        <w:trPr>
          <w:cantSplit/>
          <w:trHeight w:val="324"/>
        </w:trPr>
        <w:tc>
          <w:tcPr>
            <w:tcW w:w="9645" w:type="dxa"/>
            <w:gridSpan w:val="6"/>
            <w:tcBorders>
              <w:top w:val="single" w:sz="4" w:space="0" w:color="auto"/>
            </w:tcBorders>
          </w:tcPr>
          <w:p w14:paraId="45958F46" w14:textId="2B0B4ACA" w:rsidR="00830963" w:rsidRPr="007939DD" w:rsidRDefault="00830963" w:rsidP="0056128E">
            <w:pPr>
              <w:pStyle w:val="ARtablegreybold"/>
              <w:keepNext/>
            </w:pPr>
            <w:r>
              <w:lastRenderedPageBreak/>
              <w:t>Quality</w:t>
            </w:r>
          </w:p>
        </w:tc>
      </w:tr>
      <w:tr w:rsidR="00814857" w14:paraId="022E96D7" w14:textId="77777777" w:rsidTr="00A66888">
        <w:trPr>
          <w:cantSplit/>
          <w:trHeight w:val="480"/>
        </w:trPr>
        <w:tc>
          <w:tcPr>
            <w:tcW w:w="4764" w:type="dxa"/>
            <w:hideMark/>
          </w:tcPr>
          <w:p w14:paraId="2784AA5A" w14:textId="77777777" w:rsidR="00814857" w:rsidRDefault="00814857" w:rsidP="00A66888">
            <w:pPr>
              <w:pStyle w:val="ARtabletext"/>
            </w:pPr>
            <w:r>
              <w:rPr>
                <w:noProof/>
              </w:rPr>
              <w:t>Patients' experience of emergency department care</w:t>
            </w:r>
          </w:p>
        </w:tc>
        <w:tc>
          <w:tcPr>
            <w:tcW w:w="1021" w:type="dxa"/>
            <w:hideMark/>
          </w:tcPr>
          <w:p w14:paraId="27880BB9" w14:textId="77777777" w:rsidR="00814857" w:rsidRDefault="00814857" w:rsidP="00A66888">
            <w:pPr>
              <w:pStyle w:val="ARtabletextright"/>
            </w:pPr>
            <w:r>
              <w:rPr>
                <w:noProof/>
              </w:rPr>
              <w:t>per cent</w:t>
            </w:r>
          </w:p>
        </w:tc>
        <w:tc>
          <w:tcPr>
            <w:tcW w:w="1022" w:type="dxa"/>
            <w:hideMark/>
          </w:tcPr>
          <w:p w14:paraId="2936878F" w14:textId="77777777" w:rsidR="00814857" w:rsidRDefault="00814857" w:rsidP="00A66888">
            <w:pPr>
              <w:pStyle w:val="ARtabletextright"/>
            </w:pPr>
            <w:r>
              <w:rPr>
                <w:noProof/>
              </w:rPr>
              <w:t>85</w:t>
            </w:r>
          </w:p>
        </w:tc>
        <w:tc>
          <w:tcPr>
            <w:tcW w:w="1022" w:type="dxa"/>
            <w:hideMark/>
          </w:tcPr>
          <w:p w14:paraId="2BFB3A23" w14:textId="77777777" w:rsidR="00814857" w:rsidRDefault="00814857" w:rsidP="00A66888">
            <w:pPr>
              <w:pStyle w:val="ARtabletextright"/>
            </w:pPr>
            <w:r>
              <w:rPr>
                <w:noProof/>
              </w:rPr>
              <w:t>83.3</w:t>
            </w:r>
          </w:p>
        </w:tc>
        <w:tc>
          <w:tcPr>
            <w:tcW w:w="1022" w:type="dxa"/>
            <w:hideMark/>
          </w:tcPr>
          <w:p w14:paraId="5FF22B9A" w14:textId="77777777" w:rsidR="00814857" w:rsidRDefault="00814857" w:rsidP="00A66888">
            <w:pPr>
              <w:pStyle w:val="ARtabletextright"/>
            </w:pPr>
            <w:r>
              <w:rPr>
                <w:noProof/>
              </w:rPr>
              <w:t>-2.0</w:t>
            </w:r>
          </w:p>
        </w:tc>
        <w:tc>
          <w:tcPr>
            <w:tcW w:w="794" w:type="dxa"/>
            <w:hideMark/>
          </w:tcPr>
          <w:p w14:paraId="687F9972" w14:textId="77777777" w:rsidR="00814857" w:rsidRDefault="00814857" w:rsidP="00A66888">
            <w:pPr>
              <w:pStyle w:val="ARtabletextright"/>
            </w:pPr>
            <w:r w:rsidRPr="007939DD">
              <w:sym w:font="Wingdings 2" w:char="F099"/>
            </w:r>
          </w:p>
        </w:tc>
      </w:tr>
      <w:tr w:rsidR="00814857" w14:paraId="29B3F5CC" w14:textId="77777777" w:rsidTr="00894126">
        <w:trPr>
          <w:cantSplit/>
          <w:trHeight w:val="240"/>
        </w:trPr>
        <w:tc>
          <w:tcPr>
            <w:tcW w:w="9645" w:type="dxa"/>
            <w:gridSpan w:val="6"/>
            <w:tcBorders>
              <w:top w:val="nil"/>
              <w:left w:val="nil"/>
              <w:bottom w:val="single" w:sz="4" w:space="0" w:color="BFBFBF"/>
              <w:right w:val="nil"/>
            </w:tcBorders>
            <w:noWrap/>
            <w:hideMark/>
          </w:tcPr>
          <w:p w14:paraId="505D6336" w14:textId="77777777" w:rsidR="00814857" w:rsidRDefault="00814857" w:rsidP="00A66888">
            <w:pPr>
              <w:pStyle w:val="ARtablenoteindent"/>
            </w:pPr>
            <w:r>
              <w:rPr>
                <w:noProof/>
              </w:rPr>
              <w:t>Preliminary result. Actual end-of-year results will be available late 2019 after receipt of health service end-of-year data submissions.</w:t>
            </w:r>
          </w:p>
        </w:tc>
      </w:tr>
      <w:tr w:rsidR="00830963" w14:paraId="19F8B47A" w14:textId="77777777" w:rsidTr="00A05EB7">
        <w:trPr>
          <w:cantSplit/>
          <w:trHeight w:val="240"/>
        </w:trPr>
        <w:tc>
          <w:tcPr>
            <w:tcW w:w="9645" w:type="dxa"/>
            <w:gridSpan w:val="6"/>
            <w:tcBorders>
              <w:top w:val="single" w:sz="4" w:space="0" w:color="auto"/>
              <w:left w:val="nil"/>
              <w:bottom w:val="nil"/>
              <w:right w:val="nil"/>
            </w:tcBorders>
            <w:hideMark/>
          </w:tcPr>
          <w:p w14:paraId="59B543D9" w14:textId="2E581BC0" w:rsidR="00830963" w:rsidRDefault="00830963" w:rsidP="00A66888">
            <w:pPr>
              <w:pStyle w:val="ARtablegreybold"/>
            </w:pPr>
            <w:r>
              <w:t>Timeliness</w:t>
            </w:r>
          </w:p>
        </w:tc>
      </w:tr>
      <w:tr w:rsidR="00814857" w14:paraId="730D311D" w14:textId="77777777" w:rsidTr="00894126">
        <w:trPr>
          <w:cantSplit/>
          <w:trHeight w:val="480"/>
        </w:trPr>
        <w:tc>
          <w:tcPr>
            <w:tcW w:w="4764" w:type="dxa"/>
            <w:hideMark/>
          </w:tcPr>
          <w:p w14:paraId="75305B39" w14:textId="77777777" w:rsidR="00814857" w:rsidRDefault="00814857" w:rsidP="00A66888">
            <w:pPr>
              <w:pStyle w:val="ARtabletext"/>
            </w:pPr>
            <w:r>
              <w:rPr>
                <w:noProof/>
              </w:rPr>
              <w:t>Emergency Category 1 treated immediately</w:t>
            </w:r>
          </w:p>
        </w:tc>
        <w:tc>
          <w:tcPr>
            <w:tcW w:w="1021" w:type="dxa"/>
            <w:hideMark/>
          </w:tcPr>
          <w:p w14:paraId="5B288EAB" w14:textId="77777777" w:rsidR="00814857" w:rsidRDefault="00814857" w:rsidP="00A66888">
            <w:pPr>
              <w:pStyle w:val="ARtabletextright"/>
            </w:pPr>
            <w:r>
              <w:rPr>
                <w:noProof/>
              </w:rPr>
              <w:t>per cent</w:t>
            </w:r>
          </w:p>
        </w:tc>
        <w:tc>
          <w:tcPr>
            <w:tcW w:w="1022" w:type="dxa"/>
            <w:hideMark/>
          </w:tcPr>
          <w:p w14:paraId="3DF624CA" w14:textId="77777777" w:rsidR="00814857" w:rsidRDefault="00814857" w:rsidP="00A66888">
            <w:pPr>
              <w:pStyle w:val="ARtabletextright"/>
            </w:pPr>
            <w:r>
              <w:rPr>
                <w:noProof/>
              </w:rPr>
              <w:t>100</w:t>
            </w:r>
          </w:p>
        </w:tc>
        <w:tc>
          <w:tcPr>
            <w:tcW w:w="1022" w:type="dxa"/>
            <w:hideMark/>
          </w:tcPr>
          <w:p w14:paraId="26EE3E17" w14:textId="77777777" w:rsidR="00814857" w:rsidRDefault="00814857" w:rsidP="00A66888">
            <w:pPr>
              <w:pStyle w:val="ARtabletextright"/>
            </w:pPr>
            <w:r>
              <w:rPr>
                <w:noProof/>
              </w:rPr>
              <w:t>100</w:t>
            </w:r>
          </w:p>
        </w:tc>
        <w:tc>
          <w:tcPr>
            <w:tcW w:w="1022" w:type="dxa"/>
            <w:hideMark/>
          </w:tcPr>
          <w:p w14:paraId="1CD0B0A1" w14:textId="77777777" w:rsidR="00814857" w:rsidRDefault="00814857" w:rsidP="00A66888">
            <w:pPr>
              <w:pStyle w:val="ARtabletextright"/>
            </w:pPr>
            <w:r>
              <w:rPr>
                <w:noProof/>
              </w:rPr>
              <w:t>0.0</w:t>
            </w:r>
          </w:p>
        </w:tc>
        <w:tc>
          <w:tcPr>
            <w:tcW w:w="794" w:type="dxa"/>
            <w:hideMark/>
          </w:tcPr>
          <w:p w14:paraId="0D14D3C7" w14:textId="77777777" w:rsidR="00814857" w:rsidRDefault="00814857" w:rsidP="00A66888">
            <w:pPr>
              <w:pStyle w:val="ARtabletextright"/>
            </w:pPr>
            <w:r>
              <w:sym w:font="Wingdings" w:char="F0FC"/>
            </w:r>
          </w:p>
        </w:tc>
      </w:tr>
      <w:tr w:rsidR="00814857" w14:paraId="21292236" w14:textId="77777777" w:rsidTr="00894126">
        <w:trPr>
          <w:cantSplit/>
          <w:trHeight w:val="240"/>
        </w:trPr>
        <w:tc>
          <w:tcPr>
            <w:tcW w:w="9645" w:type="dxa"/>
            <w:gridSpan w:val="6"/>
            <w:tcBorders>
              <w:top w:val="nil"/>
              <w:left w:val="nil"/>
              <w:bottom w:val="single" w:sz="4" w:space="0" w:color="BFBFBF"/>
              <w:right w:val="nil"/>
            </w:tcBorders>
            <w:noWrap/>
            <w:hideMark/>
          </w:tcPr>
          <w:p w14:paraId="5C220BBC" w14:textId="77777777" w:rsidR="00814857" w:rsidRDefault="00814857" w:rsidP="00A66888">
            <w:pPr>
              <w:pStyle w:val="ARtablenoteindent"/>
            </w:pPr>
            <w:r>
              <w:rPr>
                <w:noProof/>
              </w:rPr>
              <w:t>Preliminary result. Actual end-of-year results will be available late 2019. This indicator shows that Victoria’s most urgent patients continue to be cared for immediately within emergency departments. This is a positive result.</w:t>
            </w:r>
          </w:p>
        </w:tc>
      </w:tr>
      <w:tr w:rsidR="00814857" w14:paraId="2B257C71" w14:textId="77777777" w:rsidTr="00894126">
        <w:trPr>
          <w:cantSplit/>
          <w:trHeight w:val="480"/>
        </w:trPr>
        <w:tc>
          <w:tcPr>
            <w:tcW w:w="4764" w:type="dxa"/>
            <w:hideMark/>
          </w:tcPr>
          <w:p w14:paraId="42122F35" w14:textId="77777777" w:rsidR="00814857" w:rsidRDefault="00814857" w:rsidP="00A66888">
            <w:pPr>
              <w:pStyle w:val="ARtabletext"/>
            </w:pPr>
            <w:r>
              <w:rPr>
                <w:noProof/>
              </w:rPr>
              <w:t>Emergency patients treated within clinically recommended 'time to treatment'</w:t>
            </w:r>
          </w:p>
        </w:tc>
        <w:tc>
          <w:tcPr>
            <w:tcW w:w="1021" w:type="dxa"/>
            <w:hideMark/>
          </w:tcPr>
          <w:p w14:paraId="4EA9E9EE" w14:textId="77777777" w:rsidR="00814857" w:rsidRDefault="00814857" w:rsidP="00A66888">
            <w:pPr>
              <w:pStyle w:val="ARtabletextright"/>
            </w:pPr>
            <w:r>
              <w:rPr>
                <w:noProof/>
              </w:rPr>
              <w:t>per cent</w:t>
            </w:r>
          </w:p>
        </w:tc>
        <w:tc>
          <w:tcPr>
            <w:tcW w:w="1022" w:type="dxa"/>
            <w:hideMark/>
          </w:tcPr>
          <w:p w14:paraId="67803BF4" w14:textId="77777777" w:rsidR="00814857" w:rsidRDefault="00814857" w:rsidP="00A66888">
            <w:pPr>
              <w:pStyle w:val="ARtabletextright"/>
            </w:pPr>
            <w:r>
              <w:rPr>
                <w:noProof/>
              </w:rPr>
              <w:t>80</w:t>
            </w:r>
          </w:p>
        </w:tc>
        <w:tc>
          <w:tcPr>
            <w:tcW w:w="1022" w:type="dxa"/>
            <w:hideMark/>
          </w:tcPr>
          <w:p w14:paraId="3D890071" w14:textId="77777777" w:rsidR="00814857" w:rsidRDefault="00814857" w:rsidP="00A66888">
            <w:pPr>
              <w:pStyle w:val="ARtabletextright"/>
            </w:pPr>
            <w:r>
              <w:rPr>
                <w:noProof/>
              </w:rPr>
              <w:t>71.5</w:t>
            </w:r>
          </w:p>
        </w:tc>
        <w:tc>
          <w:tcPr>
            <w:tcW w:w="1022" w:type="dxa"/>
            <w:hideMark/>
          </w:tcPr>
          <w:p w14:paraId="4BE2D21B" w14:textId="77777777" w:rsidR="00814857" w:rsidRDefault="00814857" w:rsidP="00A66888">
            <w:pPr>
              <w:pStyle w:val="ARtabletextright"/>
            </w:pPr>
            <w:r>
              <w:rPr>
                <w:noProof/>
              </w:rPr>
              <w:t>-10.6</w:t>
            </w:r>
          </w:p>
        </w:tc>
        <w:tc>
          <w:tcPr>
            <w:tcW w:w="794" w:type="dxa"/>
            <w:hideMark/>
          </w:tcPr>
          <w:p w14:paraId="57A33497" w14:textId="77777777" w:rsidR="00814857" w:rsidRDefault="00814857" w:rsidP="00A66888">
            <w:pPr>
              <w:pStyle w:val="ARtabletextright"/>
            </w:pPr>
            <w:r>
              <w:sym w:font="Wingdings" w:char="F06E"/>
            </w:r>
          </w:p>
        </w:tc>
      </w:tr>
      <w:tr w:rsidR="00814857" w14:paraId="71158739" w14:textId="77777777" w:rsidTr="00894126">
        <w:trPr>
          <w:cantSplit/>
          <w:trHeight w:val="240"/>
        </w:trPr>
        <w:tc>
          <w:tcPr>
            <w:tcW w:w="9645" w:type="dxa"/>
            <w:gridSpan w:val="6"/>
            <w:tcBorders>
              <w:top w:val="nil"/>
              <w:left w:val="nil"/>
              <w:bottom w:val="single" w:sz="4" w:space="0" w:color="BFBFBF"/>
              <w:right w:val="nil"/>
            </w:tcBorders>
            <w:noWrap/>
            <w:hideMark/>
          </w:tcPr>
          <w:p w14:paraId="5823D0FE" w14:textId="77777777" w:rsidR="00814857" w:rsidRDefault="00814857" w:rsidP="00A66888">
            <w:pPr>
              <w:pStyle w:val="ARtablenoteindent"/>
            </w:pPr>
            <w:r>
              <w:rPr>
                <w:noProof/>
              </w:rPr>
              <w:t>Preliminary result. Actual end-of-year results will be available late 2019. The result is lower than the target due to increasing demand for emergency department services across the Victorian hospital system. The Timely Care Partnership has been initiated by Safer Care Victoria to improve sector performance.</w:t>
            </w:r>
          </w:p>
        </w:tc>
      </w:tr>
      <w:tr w:rsidR="00814857" w14:paraId="0CFF9D3D" w14:textId="77777777" w:rsidTr="00894126">
        <w:trPr>
          <w:cantSplit/>
          <w:trHeight w:val="480"/>
        </w:trPr>
        <w:tc>
          <w:tcPr>
            <w:tcW w:w="4764" w:type="dxa"/>
            <w:hideMark/>
          </w:tcPr>
          <w:p w14:paraId="61F18593" w14:textId="77777777" w:rsidR="00814857" w:rsidRDefault="00814857" w:rsidP="00A66888">
            <w:pPr>
              <w:pStyle w:val="ARtabletext"/>
            </w:pPr>
            <w:r>
              <w:rPr>
                <w:noProof/>
              </w:rPr>
              <w:t>Emergency patients with a length of stay of less than four hours</w:t>
            </w:r>
          </w:p>
        </w:tc>
        <w:tc>
          <w:tcPr>
            <w:tcW w:w="1021" w:type="dxa"/>
            <w:hideMark/>
          </w:tcPr>
          <w:p w14:paraId="099E3997" w14:textId="77777777" w:rsidR="00814857" w:rsidRDefault="00814857" w:rsidP="00A66888">
            <w:pPr>
              <w:pStyle w:val="ARtabletextright"/>
            </w:pPr>
            <w:r>
              <w:rPr>
                <w:noProof/>
              </w:rPr>
              <w:t>per cent</w:t>
            </w:r>
          </w:p>
        </w:tc>
        <w:tc>
          <w:tcPr>
            <w:tcW w:w="1022" w:type="dxa"/>
            <w:hideMark/>
          </w:tcPr>
          <w:p w14:paraId="1613F986" w14:textId="77777777" w:rsidR="00814857" w:rsidRDefault="00814857" w:rsidP="00A66888">
            <w:pPr>
              <w:pStyle w:val="ARtabletextright"/>
            </w:pPr>
            <w:r>
              <w:rPr>
                <w:noProof/>
              </w:rPr>
              <w:t>75</w:t>
            </w:r>
          </w:p>
        </w:tc>
        <w:tc>
          <w:tcPr>
            <w:tcW w:w="1022" w:type="dxa"/>
            <w:hideMark/>
          </w:tcPr>
          <w:p w14:paraId="17584ED7" w14:textId="77777777" w:rsidR="00814857" w:rsidRDefault="00814857" w:rsidP="00A66888">
            <w:pPr>
              <w:pStyle w:val="ARtabletextright"/>
            </w:pPr>
            <w:r>
              <w:rPr>
                <w:noProof/>
              </w:rPr>
              <w:t>67.5</w:t>
            </w:r>
          </w:p>
        </w:tc>
        <w:tc>
          <w:tcPr>
            <w:tcW w:w="1022" w:type="dxa"/>
            <w:hideMark/>
          </w:tcPr>
          <w:p w14:paraId="31D55AAF" w14:textId="77777777" w:rsidR="00814857" w:rsidRDefault="00814857" w:rsidP="00A66888">
            <w:pPr>
              <w:pStyle w:val="ARtabletextright"/>
            </w:pPr>
            <w:r>
              <w:rPr>
                <w:noProof/>
              </w:rPr>
              <w:t>-10.0</w:t>
            </w:r>
          </w:p>
        </w:tc>
        <w:tc>
          <w:tcPr>
            <w:tcW w:w="794" w:type="dxa"/>
            <w:hideMark/>
          </w:tcPr>
          <w:p w14:paraId="6104B77A" w14:textId="77777777" w:rsidR="00814857" w:rsidRDefault="00814857" w:rsidP="00A66888">
            <w:pPr>
              <w:pStyle w:val="ARtabletextright"/>
            </w:pPr>
            <w:r>
              <w:sym w:font="Wingdings" w:char="F06E"/>
            </w:r>
          </w:p>
        </w:tc>
      </w:tr>
      <w:tr w:rsidR="00814857" w14:paraId="3E6BA0F5" w14:textId="77777777" w:rsidTr="00894126">
        <w:trPr>
          <w:cantSplit/>
          <w:trHeight w:val="240"/>
        </w:trPr>
        <w:tc>
          <w:tcPr>
            <w:tcW w:w="9645" w:type="dxa"/>
            <w:gridSpan w:val="6"/>
            <w:tcBorders>
              <w:top w:val="nil"/>
              <w:left w:val="nil"/>
              <w:bottom w:val="single" w:sz="4" w:space="0" w:color="BFBFBF"/>
              <w:right w:val="nil"/>
            </w:tcBorders>
            <w:noWrap/>
            <w:hideMark/>
          </w:tcPr>
          <w:p w14:paraId="453FDF70" w14:textId="77777777" w:rsidR="00814857" w:rsidRDefault="00814857" w:rsidP="00A66888">
            <w:pPr>
              <w:pStyle w:val="ARtablenoteindent"/>
            </w:pPr>
            <w:r>
              <w:rPr>
                <w:noProof/>
              </w:rPr>
              <w:t>Preliminary result. Actual end-of-year results will be available late 2019. The result is lower than the target due to higher number of emergency presentations and stable number of patients presenting for less urgent conditions (categories 4 and 5).</w:t>
            </w:r>
          </w:p>
        </w:tc>
      </w:tr>
      <w:tr w:rsidR="00814857" w14:paraId="30A0160B" w14:textId="77777777" w:rsidTr="00894126">
        <w:trPr>
          <w:cantSplit/>
          <w:trHeight w:val="480"/>
        </w:trPr>
        <w:tc>
          <w:tcPr>
            <w:tcW w:w="4764" w:type="dxa"/>
            <w:hideMark/>
          </w:tcPr>
          <w:p w14:paraId="420AA59B" w14:textId="77777777" w:rsidR="00814857" w:rsidRDefault="00814857" w:rsidP="00A66888">
            <w:pPr>
              <w:pStyle w:val="ARtabletext"/>
            </w:pPr>
            <w:r>
              <w:rPr>
                <w:noProof/>
              </w:rPr>
              <w:t>Proportion of ambulance patient transfers within 40 minutes</w:t>
            </w:r>
          </w:p>
        </w:tc>
        <w:tc>
          <w:tcPr>
            <w:tcW w:w="1021" w:type="dxa"/>
            <w:hideMark/>
          </w:tcPr>
          <w:p w14:paraId="2D7FF38A" w14:textId="77777777" w:rsidR="00814857" w:rsidRDefault="00814857" w:rsidP="00A66888">
            <w:pPr>
              <w:pStyle w:val="ARtabletextright"/>
            </w:pPr>
            <w:r>
              <w:rPr>
                <w:noProof/>
              </w:rPr>
              <w:t>per cent</w:t>
            </w:r>
          </w:p>
        </w:tc>
        <w:tc>
          <w:tcPr>
            <w:tcW w:w="1022" w:type="dxa"/>
            <w:hideMark/>
          </w:tcPr>
          <w:p w14:paraId="20AED2DF" w14:textId="77777777" w:rsidR="00814857" w:rsidRDefault="00814857" w:rsidP="00A66888">
            <w:pPr>
              <w:pStyle w:val="ARtabletextright"/>
            </w:pPr>
            <w:r>
              <w:rPr>
                <w:noProof/>
              </w:rPr>
              <w:t>90</w:t>
            </w:r>
          </w:p>
        </w:tc>
        <w:tc>
          <w:tcPr>
            <w:tcW w:w="1022" w:type="dxa"/>
            <w:hideMark/>
          </w:tcPr>
          <w:p w14:paraId="6DDC7167" w14:textId="77777777" w:rsidR="00814857" w:rsidRDefault="00814857" w:rsidP="00A66888">
            <w:pPr>
              <w:pStyle w:val="ARtabletextright"/>
            </w:pPr>
            <w:r>
              <w:rPr>
                <w:noProof/>
              </w:rPr>
              <w:t>81.6</w:t>
            </w:r>
          </w:p>
        </w:tc>
        <w:tc>
          <w:tcPr>
            <w:tcW w:w="1022" w:type="dxa"/>
            <w:hideMark/>
          </w:tcPr>
          <w:p w14:paraId="3CF765B1" w14:textId="77777777" w:rsidR="00814857" w:rsidRDefault="00814857" w:rsidP="00A66888">
            <w:pPr>
              <w:pStyle w:val="ARtabletextright"/>
            </w:pPr>
            <w:r>
              <w:rPr>
                <w:noProof/>
              </w:rPr>
              <w:t>-9.3</w:t>
            </w:r>
          </w:p>
        </w:tc>
        <w:tc>
          <w:tcPr>
            <w:tcW w:w="794" w:type="dxa"/>
            <w:hideMark/>
          </w:tcPr>
          <w:p w14:paraId="7A051914" w14:textId="77777777" w:rsidR="00814857" w:rsidRDefault="00814857" w:rsidP="00A66888">
            <w:pPr>
              <w:pStyle w:val="ARtabletextright"/>
            </w:pPr>
            <w:r>
              <w:sym w:font="Wingdings" w:char="F06E"/>
            </w:r>
          </w:p>
        </w:tc>
      </w:tr>
      <w:tr w:rsidR="00814857" w14:paraId="5BEFE6CC" w14:textId="77777777" w:rsidTr="00894126">
        <w:trPr>
          <w:cantSplit/>
          <w:trHeight w:val="240"/>
        </w:trPr>
        <w:tc>
          <w:tcPr>
            <w:tcW w:w="9645" w:type="dxa"/>
            <w:gridSpan w:val="6"/>
            <w:tcBorders>
              <w:top w:val="nil"/>
              <w:left w:val="nil"/>
              <w:bottom w:val="single" w:sz="4" w:space="0" w:color="BFBFBF"/>
              <w:right w:val="nil"/>
            </w:tcBorders>
            <w:noWrap/>
            <w:hideMark/>
          </w:tcPr>
          <w:p w14:paraId="087A6E8E" w14:textId="77777777" w:rsidR="00814857" w:rsidRDefault="00814857" w:rsidP="00A66888">
            <w:pPr>
              <w:pStyle w:val="ARtablenoteindent"/>
            </w:pPr>
            <w:r>
              <w:rPr>
                <w:noProof/>
              </w:rPr>
              <w:t>Preliminary result. Actual end-of-year results will be available late 2019. The result is lower than the target due to increasing demand for emergency department services across the Victorian hospital system which impacts on performance. The department has established the Ambulance Taskforce with key stakeholders across the sector to identify and improve performance.</w:t>
            </w:r>
          </w:p>
        </w:tc>
      </w:tr>
      <w:tr w:rsidR="00830963" w14:paraId="5C9F5940" w14:textId="77777777" w:rsidTr="00A05EB7">
        <w:trPr>
          <w:cantSplit/>
          <w:trHeight w:val="240"/>
        </w:trPr>
        <w:tc>
          <w:tcPr>
            <w:tcW w:w="9645" w:type="dxa"/>
            <w:gridSpan w:val="6"/>
            <w:tcBorders>
              <w:top w:val="single" w:sz="4" w:space="0" w:color="auto"/>
              <w:left w:val="nil"/>
              <w:bottom w:val="nil"/>
              <w:right w:val="nil"/>
            </w:tcBorders>
            <w:hideMark/>
          </w:tcPr>
          <w:p w14:paraId="3953BDA6" w14:textId="4982FE93" w:rsidR="00830963" w:rsidRDefault="00830963" w:rsidP="00A66888">
            <w:pPr>
              <w:pStyle w:val="ARtablegreybold"/>
            </w:pPr>
            <w:r>
              <w:t>Cost</w:t>
            </w:r>
          </w:p>
        </w:tc>
      </w:tr>
      <w:tr w:rsidR="00814857" w14:paraId="5C4CFA7B" w14:textId="77777777" w:rsidTr="00894126">
        <w:trPr>
          <w:cantSplit/>
          <w:trHeight w:val="480"/>
        </w:trPr>
        <w:tc>
          <w:tcPr>
            <w:tcW w:w="4764" w:type="dxa"/>
            <w:hideMark/>
          </w:tcPr>
          <w:p w14:paraId="682FE52F" w14:textId="77777777" w:rsidR="00814857" w:rsidRPr="004305B0" w:rsidRDefault="00814857" w:rsidP="00A66888">
            <w:pPr>
              <w:pStyle w:val="ARtabletext"/>
              <w:rPr>
                <w:b/>
              </w:rPr>
            </w:pPr>
            <w:r w:rsidRPr="004305B0">
              <w:rPr>
                <w:b/>
                <w:noProof/>
              </w:rPr>
              <w:t xml:space="preserve">Total </w:t>
            </w:r>
            <w:r>
              <w:rPr>
                <w:b/>
                <w:noProof/>
              </w:rPr>
              <w:t>o</w:t>
            </w:r>
            <w:r w:rsidRPr="004305B0">
              <w:rPr>
                <w:b/>
                <w:noProof/>
              </w:rPr>
              <w:t xml:space="preserve">utput </w:t>
            </w:r>
            <w:r>
              <w:rPr>
                <w:b/>
                <w:noProof/>
              </w:rPr>
              <w:t>c</w:t>
            </w:r>
            <w:r w:rsidRPr="004305B0">
              <w:rPr>
                <w:b/>
                <w:noProof/>
              </w:rPr>
              <w:t>ost</w:t>
            </w:r>
          </w:p>
        </w:tc>
        <w:tc>
          <w:tcPr>
            <w:tcW w:w="1021" w:type="dxa"/>
            <w:hideMark/>
          </w:tcPr>
          <w:p w14:paraId="10781C5C" w14:textId="77777777" w:rsidR="00814857" w:rsidRPr="004305B0" w:rsidRDefault="00814857" w:rsidP="00A66888">
            <w:pPr>
              <w:pStyle w:val="ARtabletextright"/>
              <w:rPr>
                <w:b/>
              </w:rPr>
            </w:pPr>
            <w:r w:rsidRPr="004305B0">
              <w:rPr>
                <w:b/>
                <w:noProof/>
              </w:rPr>
              <w:t>$ million</w:t>
            </w:r>
          </w:p>
        </w:tc>
        <w:tc>
          <w:tcPr>
            <w:tcW w:w="1022" w:type="dxa"/>
            <w:hideMark/>
          </w:tcPr>
          <w:p w14:paraId="6AE4B88E" w14:textId="77777777" w:rsidR="00814857" w:rsidRPr="004305B0" w:rsidRDefault="00814857" w:rsidP="00A66888">
            <w:pPr>
              <w:pStyle w:val="ARtabletextright"/>
              <w:rPr>
                <w:b/>
              </w:rPr>
            </w:pPr>
            <w:r w:rsidRPr="004305B0">
              <w:rPr>
                <w:b/>
                <w:noProof/>
              </w:rPr>
              <w:t>725.1</w:t>
            </w:r>
          </w:p>
        </w:tc>
        <w:tc>
          <w:tcPr>
            <w:tcW w:w="1022" w:type="dxa"/>
            <w:hideMark/>
          </w:tcPr>
          <w:p w14:paraId="63891632" w14:textId="77777777" w:rsidR="00814857" w:rsidRPr="004305B0" w:rsidRDefault="00814857" w:rsidP="00A66888">
            <w:pPr>
              <w:pStyle w:val="ARtabletextright"/>
              <w:rPr>
                <w:b/>
              </w:rPr>
            </w:pPr>
            <w:r w:rsidRPr="004305B0">
              <w:rPr>
                <w:b/>
                <w:noProof/>
              </w:rPr>
              <w:t>693.2</w:t>
            </w:r>
          </w:p>
        </w:tc>
        <w:tc>
          <w:tcPr>
            <w:tcW w:w="1022" w:type="dxa"/>
            <w:hideMark/>
          </w:tcPr>
          <w:p w14:paraId="1D256AB0" w14:textId="77777777" w:rsidR="00814857" w:rsidRPr="004305B0" w:rsidRDefault="00814857" w:rsidP="00A66888">
            <w:pPr>
              <w:pStyle w:val="ARtabletextright"/>
              <w:rPr>
                <w:b/>
              </w:rPr>
            </w:pPr>
            <w:r w:rsidRPr="004305B0">
              <w:rPr>
                <w:b/>
                <w:noProof/>
              </w:rPr>
              <w:t>-4.4</w:t>
            </w:r>
          </w:p>
        </w:tc>
        <w:tc>
          <w:tcPr>
            <w:tcW w:w="794" w:type="dxa"/>
            <w:hideMark/>
          </w:tcPr>
          <w:p w14:paraId="3F7A9257" w14:textId="77777777" w:rsidR="00814857" w:rsidRPr="004305B0" w:rsidRDefault="00814857" w:rsidP="00A66888">
            <w:pPr>
              <w:rPr>
                <w:b/>
              </w:rPr>
            </w:pPr>
          </w:p>
        </w:tc>
      </w:tr>
      <w:tr w:rsidR="00814857" w14:paraId="6F721E5B" w14:textId="77777777" w:rsidTr="00894126">
        <w:trPr>
          <w:cantSplit/>
          <w:trHeight w:val="240"/>
        </w:trPr>
        <w:tc>
          <w:tcPr>
            <w:tcW w:w="9645" w:type="dxa"/>
            <w:gridSpan w:val="6"/>
            <w:tcBorders>
              <w:top w:val="nil"/>
              <w:left w:val="nil"/>
              <w:bottom w:val="single" w:sz="4" w:space="0" w:color="BFBFBF"/>
              <w:right w:val="nil"/>
            </w:tcBorders>
            <w:noWrap/>
            <w:hideMark/>
          </w:tcPr>
          <w:p w14:paraId="10322996" w14:textId="77777777" w:rsidR="00814857" w:rsidRDefault="00814857" w:rsidP="00A66888">
            <w:pPr>
              <w:pStyle w:val="ARtablenoteindent"/>
            </w:pPr>
            <w:r>
              <w:rPr>
                <w:noProof/>
              </w:rPr>
              <w:t>The 2018–19 actual outcome primarily reflects output realignment related to the National Health Reform Agreement.</w:t>
            </w:r>
          </w:p>
        </w:tc>
      </w:tr>
      <w:tr w:rsidR="00830963" w14:paraId="084175E1"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59CC28AE" w14:textId="42FD9893" w:rsidR="00830963" w:rsidRPr="00B54655" w:rsidRDefault="00830963" w:rsidP="00A66888">
            <w:pPr>
              <w:pStyle w:val="ARtablebluebold"/>
            </w:pPr>
            <w:bookmarkStart w:id="52" w:name="_Hlk21519272"/>
            <w:r>
              <w:t>Acute Training and Development</w:t>
            </w:r>
          </w:p>
        </w:tc>
      </w:tr>
      <w:bookmarkEnd w:id="52"/>
      <w:tr w:rsidR="00830963" w14:paraId="12E688D5" w14:textId="77777777" w:rsidTr="00A05EB7">
        <w:trPr>
          <w:cantSplit/>
          <w:trHeight w:val="240"/>
        </w:trPr>
        <w:tc>
          <w:tcPr>
            <w:tcW w:w="9645" w:type="dxa"/>
            <w:gridSpan w:val="6"/>
            <w:tcBorders>
              <w:top w:val="single" w:sz="4" w:space="0" w:color="auto"/>
              <w:left w:val="nil"/>
              <w:right w:val="nil"/>
            </w:tcBorders>
            <w:hideMark/>
          </w:tcPr>
          <w:p w14:paraId="0D3DB21C" w14:textId="09D729D7" w:rsidR="00830963" w:rsidRPr="00B54655" w:rsidRDefault="00830963" w:rsidP="00A66888">
            <w:pPr>
              <w:pStyle w:val="ARtablegreybold"/>
            </w:pPr>
            <w:r>
              <w:t>Quantity</w:t>
            </w:r>
          </w:p>
        </w:tc>
      </w:tr>
      <w:tr w:rsidR="00814857" w14:paraId="479BB805" w14:textId="77777777" w:rsidTr="00894126">
        <w:trPr>
          <w:cantSplit/>
          <w:trHeight w:val="480"/>
        </w:trPr>
        <w:tc>
          <w:tcPr>
            <w:tcW w:w="4764" w:type="dxa"/>
            <w:tcBorders>
              <w:bottom w:val="single" w:sz="4" w:space="0" w:color="BFBFBF" w:themeColor="background1" w:themeShade="BF"/>
            </w:tcBorders>
            <w:hideMark/>
          </w:tcPr>
          <w:p w14:paraId="311C10BF" w14:textId="77777777" w:rsidR="00814857" w:rsidRDefault="00814857" w:rsidP="00A66888">
            <w:pPr>
              <w:pStyle w:val="ARtabletext"/>
            </w:pPr>
            <w:r>
              <w:rPr>
                <w:noProof/>
              </w:rPr>
              <w:t>Clinical placement student days (medicine)</w:t>
            </w:r>
          </w:p>
        </w:tc>
        <w:tc>
          <w:tcPr>
            <w:tcW w:w="1021" w:type="dxa"/>
            <w:tcBorders>
              <w:bottom w:val="single" w:sz="4" w:space="0" w:color="BFBFBF" w:themeColor="background1" w:themeShade="BF"/>
            </w:tcBorders>
            <w:hideMark/>
          </w:tcPr>
          <w:p w14:paraId="1CBB4029" w14:textId="77777777" w:rsidR="00814857" w:rsidRDefault="00814857" w:rsidP="00A66888">
            <w:pPr>
              <w:pStyle w:val="ARtabletextright"/>
            </w:pPr>
            <w:r>
              <w:rPr>
                <w:noProof/>
              </w:rPr>
              <w:t>number</w:t>
            </w:r>
          </w:p>
        </w:tc>
        <w:tc>
          <w:tcPr>
            <w:tcW w:w="1022" w:type="dxa"/>
            <w:tcBorders>
              <w:bottom w:val="single" w:sz="4" w:space="0" w:color="BFBFBF" w:themeColor="background1" w:themeShade="BF"/>
            </w:tcBorders>
            <w:hideMark/>
          </w:tcPr>
          <w:p w14:paraId="56993764" w14:textId="77777777" w:rsidR="00814857" w:rsidRDefault="00814857" w:rsidP="00A66888">
            <w:pPr>
              <w:pStyle w:val="ARtabletextright"/>
            </w:pPr>
            <w:r>
              <w:rPr>
                <w:noProof/>
              </w:rPr>
              <w:t>385,000</w:t>
            </w:r>
          </w:p>
        </w:tc>
        <w:tc>
          <w:tcPr>
            <w:tcW w:w="1022" w:type="dxa"/>
            <w:tcBorders>
              <w:bottom w:val="single" w:sz="4" w:space="0" w:color="BFBFBF" w:themeColor="background1" w:themeShade="BF"/>
            </w:tcBorders>
            <w:hideMark/>
          </w:tcPr>
          <w:p w14:paraId="4EEED0A4" w14:textId="77777777" w:rsidR="00814857" w:rsidRDefault="00814857" w:rsidP="00A66888">
            <w:pPr>
              <w:pStyle w:val="ARtabletextright"/>
            </w:pPr>
            <w:r>
              <w:rPr>
                <w:noProof/>
              </w:rPr>
              <w:t>395,349</w:t>
            </w:r>
          </w:p>
        </w:tc>
        <w:tc>
          <w:tcPr>
            <w:tcW w:w="1022" w:type="dxa"/>
            <w:tcBorders>
              <w:bottom w:val="single" w:sz="4" w:space="0" w:color="BFBFBF" w:themeColor="background1" w:themeShade="BF"/>
            </w:tcBorders>
            <w:hideMark/>
          </w:tcPr>
          <w:p w14:paraId="3AC71133" w14:textId="77777777" w:rsidR="00814857" w:rsidRDefault="00814857" w:rsidP="00A66888">
            <w:pPr>
              <w:pStyle w:val="ARtabletextright"/>
            </w:pPr>
            <w:r>
              <w:rPr>
                <w:noProof/>
              </w:rPr>
              <w:t>2.7</w:t>
            </w:r>
          </w:p>
        </w:tc>
        <w:tc>
          <w:tcPr>
            <w:tcW w:w="794" w:type="dxa"/>
            <w:tcBorders>
              <w:bottom w:val="single" w:sz="4" w:space="0" w:color="BFBFBF" w:themeColor="background1" w:themeShade="BF"/>
            </w:tcBorders>
            <w:hideMark/>
          </w:tcPr>
          <w:p w14:paraId="01EBA168" w14:textId="77777777" w:rsidR="00814857" w:rsidRDefault="00814857" w:rsidP="00A66888">
            <w:pPr>
              <w:pStyle w:val="ARtabletextright"/>
            </w:pPr>
            <w:r>
              <w:sym w:font="Wingdings" w:char="F0FC"/>
            </w:r>
          </w:p>
        </w:tc>
      </w:tr>
      <w:tr w:rsidR="00814857" w14:paraId="2159EB15" w14:textId="77777777" w:rsidTr="00894126">
        <w:trPr>
          <w:cantSplit/>
          <w:trHeight w:val="480"/>
        </w:trPr>
        <w:tc>
          <w:tcPr>
            <w:tcW w:w="4764" w:type="dxa"/>
            <w:tcBorders>
              <w:top w:val="single" w:sz="4" w:space="0" w:color="BFBFBF" w:themeColor="background1" w:themeShade="BF"/>
            </w:tcBorders>
            <w:hideMark/>
          </w:tcPr>
          <w:p w14:paraId="3BEF7C39" w14:textId="77777777" w:rsidR="00814857" w:rsidRDefault="00814857" w:rsidP="00A66888">
            <w:pPr>
              <w:pStyle w:val="ARtabletext"/>
            </w:pPr>
            <w:r>
              <w:rPr>
                <w:noProof/>
              </w:rPr>
              <w:t>Clinical placement student days (nursing and midwifery)</w:t>
            </w:r>
          </w:p>
        </w:tc>
        <w:tc>
          <w:tcPr>
            <w:tcW w:w="1021" w:type="dxa"/>
            <w:tcBorders>
              <w:top w:val="single" w:sz="4" w:space="0" w:color="BFBFBF" w:themeColor="background1" w:themeShade="BF"/>
            </w:tcBorders>
            <w:hideMark/>
          </w:tcPr>
          <w:p w14:paraId="6D7D7078" w14:textId="77777777" w:rsidR="00814857" w:rsidRDefault="00814857" w:rsidP="00A66888">
            <w:pPr>
              <w:pStyle w:val="ARtabletextright"/>
            </w:pPr>
            <w:r>
              <w:rPr>
                <w:noProof/>
              </w:rPr>
              <w:t>number</w:t>
            </w:r>
          </w:p>
        </w:tc>
        <w:tc>
          <w:tcPr>
            <w:tcW w:w="1022" w:type="dxa"/>
            <w:tcBorders>
              <w:top w:val="single" w:sz="4" w:space="0" w:color="BFBFBF" w:themeColor="background1" w:themeShade="BF"/>
            </w:tcBorders>
            <w:hideMark/>
          </w:tcPr>
          <w:p w14:paraId="00509CAA" w14:textId="77777777" w:rsidR="00814857" w:rsidRDefault="00814857" w:rsidP="00A66888">
            <w:pPr>
              <w:pStyle w:val="ARtabletextright"/>
            </w:pPr>
            <w:r>
              <w:rPr>
                <w:noProof/>
              </w:rPr>
              <w:t>385,000</w:t>
            </w:r>
          </w:p>
        </w:tc>
        <w:tc>
          <w:tcPr>
            <w:tcW w:w="1022" w:type="dxa"/>
            <w:tcBorders>
              <w:top w:val="single" w:sz="4" w:space="0" w:color="BFBFBF" w:themeColor="background1" w:themeShade="BF"/>
            </w:tcBorders>
            <w:hideMark/>
          </w:tcPr>
          <w:p w14:paraId="2F96DCFB" w14:textId="77777777" w:rsidR="00814857" w:rsidRDefault="00814857" w:rsidP="00A66888">
            <w:pPr>
              <w:pStyle w:val="ARtabletextright"/>
            </w:pPr>
            <w:r>
              <w:rPr>
                <w:noProof/>
              </w:rPr>
              <w:t>428,864</w:t>
            </w:r>
          </w:p>
        </w:tc>
        <w:tc>
          <w:tcPr>
            <w:tcW w:w="1022" w:type="dxa"/>
            <w:tcBorders>
              <w:top w:val="single" w:sz="4" w:space="0" w:color="BFBFBF" w:themeColor="background1" w:themeShade="BF"/>
            </w:tcBorders>
            <w:hideMark/>
          </w:tcPr>
          <w:p w14:paraId="49A85E01" w14:textId="77777777" w:rsidR="00814857" w:rsidRDefault="00814857" w:rsidP="00A66888">
            <w:pPr>
              <w:pStyle w:val="ARtabletextright"/>
            </w:pPr>
            <w:r>
              <w:rPr>
                <w:noProof/>
              </w:rPr>
              <w:t>11.4</w:t>
            </w:r>
          </w:p>
        </w:tc>
        <w:tc>
          <w:tcPr>
            <w:tcW w:w="794" w:type="dxa"/>
            <w:tcBorders>
              <w:top w:val="single" w:sz="4" w:space="0" w:color="BFBFBF" w:themeColor="background1" w:themeShade="BF"/>
            </w:tcBorders>
            <w:hideMark/>
          </w:tcPr>
          <w:p w14:paraId="5B2B25E7" w14:textId="77777777" w:rsidR="00814857" w:rsidRDefault="00814857" w:rsidP="00A66888">
            <w:pPr>
              <w:pStyle w:val="ARtabletextright"/>
            </w:pPr>
            <w:r>
              <w:sym w:font="Wingdings" w:char="F0FC"/>
            </w:r>
          </w:p>
        </w:tc>
      </w:tr>
      <w:tr w:rsidR="00814857" w14:paraId="338859CE" w14:textId="77777777" w:rsidTr="00894126">
        <w:trPr>
          <w:cantSplit/>
          <w:trHeight w:val="240"/>
        </w:trPr>
        <w:tc>
          <w:tcPr>
            <w:tcW w:w="9645" w:type="dxa"/>
            <w:gridSpan w:val="6"/>
            <w:tcBorders>
              <w:top w:val="nil"/>
              <w:left w:val="nil"/>
              <w:bottom w:val="single" w:sz="4" w:space="0" w:color="BFBFBF" w:themeColor="background1" w:themeShade="BF"/>
              <w:right w:val="nil"/>
            </w:tcBorders>
            <w:noWrap/>
            <w:hideMark/>
          </w:tcPr>
          <w:p w14:paraId="119C4824" w14:textId="77777777" w:rsidR="00814857" w:rsidRDefault="00814857" w:rsidP="00A66888">
            <w:pPr>
              <w:pStyle w:val="ARtablenoteindent"/>
            </w:pPr>
            <w:r>
              <w:rPr>
                <w:noProof/>
              </w:rPr>
              <w:t xml:space="preserve">Demand for clinical placements is influenced by student numbers, which has grown for nursing and midwifery since this measure was established in 2015–16 due to deregulation of the university sector and implementation of legislated nurse/patient ratios. </w:t>
            </w:r>
          </w:p>
        </w:tc>
      </w:tr>
      <w:tr w:rsidR="00814857" w14:paraId="663EA83B"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10EA0DAE" w14:textId="77777777" w:rsidR="00814857" w:rsidRDefault="00814857" w:rsidP="00A66888">
            <w:pPr>
              <w:pStyle w:val="ARtabletext"/>
            </w:pPr>
            <w:r>
              <w:rPr>
                <w:noProof/>
              </w:rPr>
              <w:t>Clinical placement student days (allied health)</w:t>
            </w:r>
          </w:p>
        </w:tc>
        <w:tc>
          <w:tcPr>
            <w:tcW w:w="1021" w:type="dxa"/>
            <w:tcBorders>
              <w:top w:val="single" w:sz="4" w:space="0" w:color="BFBFBF" w:themeColor="background1" w:themeShade="BF"/>
              <w:bottom w:val="single" w:sz="4" w:space="0" w:color="BFBFBF" w:themeColor="background1" w:themeShade="BF"/>
            </w:tcBorders>
            <w:hideMark/>
          </w:tcPr>
          <w:p w14:paraId="7E1B7784" w14:textId="77777777" w:rsidR="00814857" w:rsidRDefault="00814857" w:rsidP="00A66888">
            <w:pPr>
              <w:pStyle w:val="ARtabletextright"/>
            </w:pPr>
            <w:r>
              <w:rPr>
                <w:noProof/>
              </w:rPr>
              <w:t>number</w:t>
            </w:r>
          </w:p>
        </w:tc>
        <w:tc>
          <w:tcPr>
            <w:tcW w:w="1022" w:type="dxa"/>
            <w:tcBorders>
              <w:top w:val="single" w:sz="4" w:space="0" w:color="BFBFBF" w:themeColor="background1" w:themeShade="BF"/>
              <w:bottom w:val="single" w:sz="4" w:space="0" w:color="BFBFBF" w:themeColor="background1" w:themeShade="BF"/>
            </w:tcBorders>
            <w:hideMark/>
          </w:tcPr>
          <w:p w14:paraId="7EC502B4" w14:textId="77777777" w:rsidR="00814857" w:rsidRDefault="00814857" w:rsidP="00A66888">
            <w:pPr>
              <w:pStyle w:val="ARtabletextright"/>
            </w:pPr>
            <w:r>
              <w:rPr>
                <w:noProof/>
              </w:rPr>
              <w:t>160,000</w:t>
            </w:r>
          </w:p>
        </w:tc>
        <w:tc>
          <w:tcPr>
            <w:tcW w:w="1022" w:type="dxa"/>
            <w:tcBorders>
              <w:top w:val="single" w:sz="4" w:space="0" w:color="BFBFBF" w:themeColor="background1" w:themeShade="BF"/>
              <w:bottom w:val="single" w:sz="4" w:space="0" w:color="BFBFBF" w:themeColor="background1" w:themeShade="BF"/>
            </w:tcBorders>
            <w:hideMark/>
          </w:tcPr>
          <w:p w14:paraId="6705A80D" w14:textId="77777777" w:rsidR="00814857" w:rsidRDefault="00814857" w:rsidP="00A66888">
            <w:pPr>
              <w:pStyle w:val="ARtabletextright"/>
            </w:pPr>
            <w:r>
              <w:rPr>
                <w:noProof/>
              </w:rPr>
              <w:t>159,709</w:t>
            </w:r>
          </w:p>
        </w:tc>
        <w:tc>
          <w:tcPr>
            <w:tcW w:w="1022" w:type="dxa"/>
            <w:tcBorders>
              <w:top w:val="single" w:sz="4" w:space="0" w:color="BFBFBF" w:themeColor="background1" w:themeShade="BF"/>
              <w:bottom w:val="single" w:sz="4" w:space="0" w:color="BFBFBF" w:themeColor="background1" w:themeShade="BF"/>
            </w:tcBorders>
            <w:hideMark/>
          </w:tcPr>
          <w:p w14:paraId="5F0CF3E1" w14:textId="77777777" w:rsidR="00814857" w:rsidRDefault="00814857" w:rsidP="00A66888">
            <w:pPr>
              <w:pStyle w:val="ARtabletextright"/>
            </w:pPr>
            <w:r>
              <w:rPr>
                <w:noProof/>
              </w:rPr>
              <w:t>-0.2</w:t>
            </w:r>
          </w:p>
        </w:tc>
        <w:tc>
          <w:tcPr>
            <w:tcW w:w="794" w:type="dxa"/>
            <w:tcBorders>
              <w:top w:val="single" w:sz="4" w:space="0" w:color="BFBFBF" w:themeColor="background1" w:themeShade="BF"/>
              <w:bottom w:val="single" w:sz="4" w:space="0" w:color="BFBFBF" w:themeColor="background1" w:themeShade="BF"/>
            </w:tcBorders>
            <w:hideMark/>
          </w:tcPr>
          <w:p w14:paraId="0EF4F3EE" w14:textId="77777777" w:rsidR="00814857" w:rsidRDefault="00814857" w:rsidP="00A66888">
            <w:pPr>
              <w:pStyle w:val="ARtabletextright"/>
            </w:pPr>
            <w:r w:rsidRPr="007939DD">
              <w:sym w:font="Wingdings 2" w:char="F099"/>
            </w:r>
          </w:p>
        </w:tc>
      </w:tr>
      <w:tr w:rsidR="00814857" w14:paraId="60AB7DB6"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0CC8D72C" w14:textId="77777777" w:rsidR="00814857" w:rsidRDefault="00814857" w:rsidP="00A66888">
            <w:pPr>
              <w:pStyle w:val="ARtabletext"/>
            </w:pPr>
            <w:r>
              <w:rPr>
                <w:noProof/>
              </w:rPr>
              <w:t>Number of filled rural generalist GP procedural positions</w:t>
            </w:r>
          </w:p>
        </w:tc>
        <w:tc>
          <w:tcPr>
            <w:tcW w:w="1021" w:type="dxa"/>
            <w:tcBorders>
              <w:top w:val="single" w:sz="4" w:space="0" w:color="BFBFBF" w:themeColor="background1" w:themeShade="BF"/>
              <w:bottom w:val="single" w:sz="4" w:space="0" w:color="BFBFBF" w:themeColor="background1" w:themeShade="BF"/>
            </w:tcBorders>
            <w:hideMark/>
          </w:tcPr>
          <w:p w14:paraId="0FF37081" w14:textId="77777777" w:rsidR="00814857" w:rsidRDefault="00814857" w:rsidP="00A66888">
            <w:pPr>
              <w:pStyle w:val="ARtabletextright"/>
            </w:pPr>
            <w:r>
              <w:rPr>
                <w:noProof/>
              </w:rPr>
              <w:t>number</w:t>
            </w:r>
          </w:p>
        </w:tc>
        <w:tc>
          <w:tcPr>
            <w:tcW w:w="1022" w:type="dxa"/>
            <w:tcBorders>
              <w:top w:val="single" w:sz="4" w:space="0" w:color="BFBFBF" w:themeColor="background1" w:themeShade="BF"/>
              <w:bottom w:val="single" w:sz="4" w:space="0" w:color="BFBFBF" w:themeColor="background1" w:themeShade="BF"/>
            </w:tcBorders>
            <w:hideMark/>
          </w:tcPr>
          <w:p w14:paraId="092FBD37" w14:textId="77777777" w:rsidR="00814857" w:rsidRDefault="00814857" w:rsidP="00A66888">
            <w:pPr>
              <w:pStyle w:val="ARtabletextright"/>
            </w:pPr>
            <w:r>
              <w:rPr>
                <w:noProof/>
              </w:rPr>
              <w:t>15</w:t>
            </w:r>
          </w:p>
        </w:tc>
        <w:tc>
          <w:tcPr>
            <w:tcW w:w="1022" w:type="dxa"/>
            <w:tcBorders>
              <w:top w:val="single" w:sz="4" w:space="0" w:color="BFBFBF" w:themeColor="background1" w:themeShade="BF"/>
              <w:bottom w:val="single" w:sz="4" w:space="0" w:color="BFBFBF" w:themeColor="background1" w:themeShade="BF"/>
            </w:tcBorders>
            <w:hideMark/>
          </w:tcPr>
          <w:p w14:paraId="077A8AE0" w14:textId="77777777" w:rsidR="00814857" w:rsidRDefault="00814857" w:rsidP="00A66888">
            <w:pPr>
              <w:pStyle w:val="ARtabletextright"/>
            </w:pPr>
            <w:r>
              <w:rPr>
                <w:noProof/>
              </w:rPr>
              <w:t>15</w:t>
            </w:r>
          </w:p>
        </w:tc>
        <w:tc>
          <w:tcPr>
            <w:tcW w:w="1022" w:type="dxa"/>
            <w:tcBorders>
              <w:top w:val="single" w:sz="4" w:space="0" w:color="BFBFBF" w:themeColor="background1" w:themeShade="BF"/>
              <w:bottom w:val="single" w:sz="4" w:space="0" w:color="BFBFBF" w:themeColor="background1" w:themeShade="BF"/>
            </w:tcBorders>
            <w:hideMark/>
          </w:tcPr>
          <w:p w14:paraId="032E6714" w14:textId="77777777" w:rsidR="00814857" w:rsidRDefault="00814857" w:rsidP="00A66888">
            <w:pPr>
              <w:pStyle w:val="ARtabletextright"/>
            </w:pPr>
            <w:r>
              <w:rPr>
                <w:noProof/>
              </w:rPr>
              <w:t>0.0</w:t>
            </w:r>
          </w:p>
        </w:tc>
        <w:tc>
          <w:tcPr>
            <w:tcW w:w="794" w:type="dxa"/>
            <w:tcBorders>
              <w:top w:val="single" w:sz="4" w:space="0" w:color="BFBFBF" w:themeColor="background1" w:themeShade="BF"/>
              <w:bottom w:val="single" w:sz="4" w:space="0" w:color="BFBFBF" w:themeColor="background1" w:themeShade="BF"/>
            </w:tcBorders>
            <w:hideMark/>
          </w:tcPr>
          <w:p w14:paraId="26352A7B" w14:textId="77777777" w:rsidR="00814857" w:rsidRDefault="00814857" w:rsidP="00A66888">
            <w:pPr>
              <w:pStyle w:val="ARtabletextright"/>
            </w:pPr>
            <w:r>
              <w:sym w:font="Wingdings" w:char="F0FC"/>
            </w:r>
          </w:p>
        </w:tc>
      </w:tr>
      <w:tr w:rsidR="00814857" w14:paraId="672BD1F7"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2E029578" w14:textId="77777777" w:rsidR="00814857" w:rsidRDefault="00814857" w:rsidP="00A66888">
            <w:pPr>
              <w:pStyle w:val="ARtabletext"/>
            </w:pPr>
            <w:r>
              <w:rPr>
                <w:noProof/>
              </w:rPr>
              <w:t>Funded postgraduate nursing and midwifery places at Diploma and Certificate level</w:t>
            </w:r>
          </w:p>
        </w:tc>
        <w:tc>
          <w:tcPr>
            <w:tcW w:w="1021" w:type="dxa"/>
            <w:tcBorders>
              <w:top w:val="single" w:sz="4" w:space="0" w:color="BFBFBF" w:themeColor="background1" w:themeShade="BF"/>
              <w:bottom w:val="single" w:sz="4" w:space="0" w:color="BFBFBF" w:themeColor="background1" w:themeShade="BF"/>
            </w:tcBorders>
            <w:hideMark/>
          </w:tcPr>
          <w:p w14:paraId="342CFB14" w14:textId="77777777" w:rsidR="00814857" w:rsidRDefault="00814857" w:rsidP="00A66888">
            <w:pPr>
              <w:pStyle w:val="ARtabletextright"/>
            </w:pPr>
            <w:r>
              <w:rPr>
                <w:noProof/>
              </w:rPr>
              <w:t>number</w:t>
            </w:r>
          </w:p>
        </w:tc>
        <w:tc>
          <w:tcPr>
            <w:tcW w:w="1022" w:type="dxa"/>
            <w:tcBorders>
              <w:top w:val="single" w:sz="4" w:space="0" w:color="BFBFBF" w:themeColor="background1" w:themeShade="BF"/>
              <w:bottom w:val="single" w:sz="4" w:space="0" w:color="BFBFBF" w:themeColor="background1" w:themeShade="BF"/>
            </w:tcBorders>
            <w:hideMark/>
          </w:tcPr>
          <w:p w14:paraId="3CA909FA" w14:textId="77777777" w:rsidR="00814857" w:rsidRDefault="00814857" w:rsidP="00A66888">
            <w:pPr>
              <w:pStyle w:val="ARtabletextright"/>
            </w:pPr>
            <w:r>
              <w:rPr>
                <w:noProof/>
              </w:rPr>
              <w:t>832</w:t>
            </w:r>
          </w:p>
        </w:tc>
        <w:tc>
          <w:tcPr>
            <w:tcW w:w="1022" w:type="dxa"/>
            <w:tcBorders>
              <w:top w:val="single" w:sz="4" w:space="0" w:color="BFBFBF" w:themeColor="background1" w:themeShade="BF"/>
              <w:bottom w:val="single" w:sz="4" w:space="0" w:color="BFBFBF" w:themeColor="background1" w:themeShade="BF"/>
            </w:tcBorders>
            <w:hideMark/>
          </w:tcPr>
          <w:p w14:paraId="3BF0A23F" w14:textId="77777777" w:rsidR="00814857" w:rsidRDefault="00814857" w:rsidP="00A66888">
            <w:pPr>
              <w:pStyle w:val="ARtabletextright"/>
            </w:pPr>
            <w:r>
              <w:rPr>
                <w:noProof/>
              </w:rPr>
              <w:t>865</w:t>
            </w:r>
          </w:p>
        </w:tc>
        <w:tc>
          <w:tcPr>
            <w:tcW w:w="1022" w:type="dxa"/>
            <w:tcBorders>
              <w:top w:val="single" w:sz="4" w:space="0" w:color="BFBFBF" w:themeColor="background1" w:themeShade="BF"/>
              <w:bottom w:val="single" w:sz="4" w:space="0" w:color="BFBFBF" w:themeColor="background1" w:themeShade="BF"/>
            </w:tcBorders>
            <w:hideMark/>
          </w:tcPr>
          <w:p w14:paraId="198D3058" w14:textId="77777777" w:rsidR="00814857" w:rsidRDefault="00814857" w:rsidP="00A66888">
            <w:pPr>
              <w:pStyle w:val="ARtabletextright"/>
            </w:pPr>
            <w:r>
              <w:rPr>
                <w:noProof/>
              </w:rPr>
              <w:t>4.0</w:t>
            </w:r>
          </w:p>
        </w:tc>
        <w:tc>
          <w:tcPr>
            <w:tcW w:w="794" w:type="dxa"/>
            <w:tcBorders>
              <w:top w:val="single" w:sz="4" w:space="0" w:color="BFBFBF" w:themeColor="background1" w:themeShade="BF"/>
              <w:bottom w:val="single" w:sz="4" w:space="0" w:color="BFBFBF" w:themeColor="background1" w:themeShade="BF"/>
            </w:tcBorders>
            <w:hideMark/>
          </w:tcPr>
          <w:p w14:paraId="58845132" w14:textId="77777777" w:rsidR="00814857" w:rsidRDefault="00814857" w:rsidP="00A66888">
            <w:pPr>
              <w:pStyle w:val="ARtabletextright"/>
            </w:pPr>
            <w:r>
              <w:sym w:font="Wingdings" w:char="F0FC"/>
            </w:r>
          </w:p>
        </w:tc>
      </w:tr>
      <w:tr w:rsidR="00814857" w14:paraId="356A8130" w14:textId="77777777" w:rsidTr="00894126">
        <w:trPr>
          <w:cantSplit/>
          <w:trHeight w:val="480"/>
        </w:trPr>
        <w:tc>
          <w:tcPr>
            <w:tcW w:w="4764" w:type="dxa"/>
            <w:tcBorders>
              <w:top w:val="single" w:sz="4" w:space="0" w:color="BFBFBF" w:themeColor="background1" w:themeShade="BF"/>
            </w:tcBorders>
            <w:hideMark/>
          </w:tcPr>
          <w:p w14:paraId="1722D2AA" w14:textId="77777777" w:rsidR="00814857" w:rsidRDefault="00814857" w:rsidP="00A66888">
            <w:pPr>
              <w:pStyle w:val="ARtabletext"/>
            </w:pPr>
            <w:r>
              <w:rPr>
                <w:noProof/>
              </w:rPr>
              <w:t>Total funded FTE (early graduate) allied health positions in public system</w:t>
            </w:r>
          </w:p>
        </w:tc>
        <w:tc>
          <w:tcPr>
            <w:tcW w:w="1021" w:type="dxa"/>
            <w:tcBorders>
              <w:top w:val="single" w:sz="4" w:space="0" w:color="BFBFBF" w:themeColor="background1" w:themeShade="BF"/>
            </w:tcBorders>
            <w:hideMark/>
          </w:tcPr>
          <w:p w14:paraId="2DF886BF" w14:textId="77777777" w:rsidR="00814857" w:rsidRDefault="00814857" w:rsidP="00A66888">
            <w:pPr>
              <w:pStyle w:val="ARtabletextright"/>
            </w:pPr>
            <w:r>
              <w:rPr>
                <w:noProof/>
              </w:rPr>
              <w:t>number</w:t>
            </w:r>
          </w:p>
        </w:tc>
        <w:tc>
          <w:tcPr>
            <w:tcW w:w="1022" w:type="dxa"/>
            <w:tcBorders>
              <w:top w:val="single" w:sz="4" w:space="0" w:color="BFBFBF" w:themeColor="background1" w:themeShade="BF"/>
            </w:tcBorders>
            <w:hideMark/>
          </w:tcPr>
          <w:p w14:paraId="32560FB3" w14:textId="77777777" w:rsidR="00814857" w:rsidRDefault="00814857" w:rsidP="00A66888">
            <w:pPr>
              <w:pStyle w:val="ARtabletextright"/>
            </w:pPr>
            <w:r>
              <w:rPr>
                <w:noProof/>
              </w:rPr>
              <w:t>700</w:t>
            </w:r>
          </w:p>
        </w:tc>
        <w:tc>
          <w:tcPr>
            <w:tcW w:w="1022" w:type="dxa"/>
            <w:tcBorders>
              <w:top w:val="single" w:sz="4" w:space="0" w:color="BFBFBF" w:themeColor="background1" w:themeShade="BF"/>
            </w:tcBorders>
            <w:hideMark/>
          </w:tcPr>
          <w:p w14:paraId="2AA5165A" w14:textId="77777777" w:rsidR="00814857" w:rsidRDefault="00814857" w:rsidP="00A66888">
            <w:pPr>
              <w:pStyle w:val="ARtabletextright"/>
            </w:pPr>
            <w:r>
              <w:rPr>
                <w:noProof/>
              </w:rPr>
              <w:t>745</w:t>
            </w:r>
          </w:p>
        </w:tc>
        <w:tc>
          <w:tcPr>
            <w:tcW w:w="1022" w:type="dxa"/>
            <w:tcBorders>
              <w:top w:val="single" w:sz="4" w:space="0" w:color="BFBFBF" w:themeColor="background1" w:themeShade="BF"/>
            </w:tcBorders>
            <w:hideMark/>
          </w:tcPr>
          <w:p w14:paraId="1A5749BF" w14:textId="77777777" w:rsidR="00814857" w:rsidRDefault="00814857" w:rsidP="00A66888">
            <w:pPr>
              <w:pStyle w:val="ARtabletextright"/>
            </w:pPr>
            <w:r>
              <w:rPr>
                <w:noProof/>
              </w:rPr>
              <w:t>6.4</w:t>
            </w:r>
          </w:p>
        </w:tc>
        <w:tc>
          <w:tcPr>
            <w:tcW w:w="794" w:type="dxa"/>
            <w:tcBorders>
              <w:top w:val="single" w:sz="4" w:space="0" w:color="BFBFBF" w:themeColor="background1" w:themeShade="BF"/>
            </w:tcBorders>
            <w:hideMark/>
          </w:tcPr>
          <w:p w14:paraId="21B4F011" w14:textId="77777777" w:rsidR="00814857" w:rsidRDefault="00814857" w:rsidP="00A66888">
            <w:pPr>
              <w:pStyle w:val="ARtabletextright"/>
            </w:pPr>
            <w:r>
              <w:sym w:font="Wingdings" w:char="F0FC"/>
            </w:r>
          </w:p>
        </w:tc>
      </w:tr>
      <w:tr w:rsidR="00814857" w14:paraId="37CA4C69" w14:textId="77777777" w:rsidTr="00894126">
        <w:trPr>
          <w:cantSplit/>
          <w:trHeight w:val="240"/>
        </w:trPr>
        <w:tc>
          <w:tcPr>
            <w:tcW w:w="9645" w:type="dxa"/>
            <w:gridSpan w:val="6"/>
            <w:tcBorders>
              <w:top w:val="nil"/>
              <w:left w:val="nil"/>
              <w:bottom w:val="single" w:sz="4" w:space="0" w:color="BFBFBF" w:themeColor="background1" w:themeShade="BF"/>
              <w:right w:val="nil"/>
            </w:tcBorders>
            <w:noWrap/>
            <w:hideMark/>
          </w:tcPr>
          <w:p w14:paraId="51EACD14" w14:textId="5A97389C" w:rsidR="00814857" w:rsidRDefault="00814857" w:rsidP="00A66888">
            <w:pPr>
              <w:pStyle w:val="ARtablenoteindent"/>
            </w:pPr>
            <w:r>
              <w:rPr>
                <w:noProof/>
              </w:rPr>
              <w:t xml:space="preserve">The expected decreases in </w:t>
            </w:r>
            <w:r w:rsidR="001F4A28">
              <w:rPr>
                <w:noProof/>
              </w:rPr>
              <w:t>i</w:t>
            </w:r>
            <w:r>
              <w:rPr>
                <w:noProof/>
              </w:rPr>
              <w:t xml:space="preserve">ntern </w:t>
            </w:r>
            <w:r w:rsidR="001F4A28">
              <w:rPr>
                <w:noProof/>
              </w:rPr>
              <w:t>a</w:t>
            </w:r>
            <w:r>
              <w:rPr>
                <w:noProof/>
              </w:rPr>
              <w:t xml:space="preserve">llied </w:t>
            </w:r>
            <w:r w:rsidR="001F4A28">
              <w:rPr>
                <w:noProof/>
              </w:rPr>
              <w:t>h</w:t>
            </w:r>
            <w:r>
              <w:rPr>
                <w:noProof/>
              </w:rPr>
              <w:t xml:space="preserve">ealth </w:t>
            </w:r>
            <w:r w:rsidR="001F4A28">
              <w:rPr>
                <w:noProof/>
              </w:rPr>
              <w:t>e</w:t>
            </w:r>
            <w:r>
              <w:rPr>
                <w:noProof/>
              </w:rPr>
              <w:t xml:space="preserve">arly </w:t>
            </w:r>
            <w:r w:rsidR="001F4A28">
              <w:rPr>
                <w:noProof/>
              </w:rPr>
              <w:t>g</w:t>
            </w:r>
            <w:r>
              <w:rPr>
                <w:noProof/>
              </w:rPr>
              <w:t>raduate positions due to change in the training pathway (moving from intern year to undergraduate placements). This is a positive result.</w:t>
            </w:r>
          </w:p>
        </w:tc>
      </w:tr>
      <w:tr w:rsidR="00814857" w14:paraId="63013239"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66E2314F" w14:textId="77777777" w:rsidR="00814857" w:rsidRDefault="00814857" w:rsidP="00A66888">
            <w:pPr>
              <w:pStyle w:val="ARtabletext"/>
            </w:pPr>
            <w:r>
              <w:rPr>
                <w:noProof/>
              </w:rPr>
              <w:t>Total funded FTE (early graduate) medical positions in public system</w:t>
            </w:r>
          </w:p>
        </w:tc>
        <w:tc>
          <w:tcPr>
            <w:tcW w:w="1021" w:type="dxa"/>
            <w:tcBorders>
              <w:top w:val="single" w:sz="4" w:space="0" w:color="BFBFBF" w:themeColor="background1" w:themeShade="BF"/>
              <w:bottom w:val="single" w:sz="4" w:space="0" w:color="BFBFBF" w:themeColor="background1" w:themeShade="BF"/>
            </w:tcBorders>
            <w:hideMark/>
          </w:tcPr>
          <w:p w14:paraId="0E8A8363" w14:textId="77777777" w:rsidR="00814857" w:rsidRDefault="00814857" w:rsidP="00A66888">
            <w:pPr>
              <w:pStyle w:val="ARtabletextright"/>
            </w:pPr>
            <w:r>
              <w:rPr>
                <w:noProof/>
              </w:rPr>
              <w:t>number</w:t>
            </w:r>
          </w:p>
        </w:tc>
        <w:tc>
          <w:tcPr>
            <w:tcW w:w="1022" w:type="dxa"/>
            <w:tcBorders>
              <w:top w:val="single" w:sz="4" w:space="0" w:color="BFBFBF" w:themeColor="background1" w:themeShade="BF"/>
              <w:bottom w:val="single" w:sz="4" w:space="0" w:color="BFBFBF" w:themeColor="background1" w:themeShade="BF"/>
            </w:tcBorders>
            <w:hideMark/>
          </w:tcPr>
          <w:p w14:paraId="72DF1EB7" w14:textId="77777777" w:rsidR="00814857" w:rsidRDefault="00814857" w:rsidP="00A66888">
            <w:pPr>
              <w:pStyle w:val="ARtabletextright"/>
            </w:pPr>
            <w:r>
              <w:rPr>
                <w:noProof/>
              </w:rPr>
              <w:t>1,525</w:t>
            </w:r>
          </w:p>
        </w:tc>
        <w:tc>
          <w:tcPr>
            <w:tcW w:w="1022" w:type="dxa"/>
            <w:tcBorders>
              <w:top w:val="single" w:sz="4" w:space="0" w:color="BFBFBF" w:themeColor="background1" w:themeShade="BF"/>
              <w:bottom w:val="single" w:sz="4" w:space="0" w:color="BFBFBF" w:themeColor="background1" w:themeShade="BF"/>
            </w:tcBorders>
            <w:hideMark/>
          </w:tcPr>
          <w:p w14:paraId="74AA43B2" w14:textId="77777777" w:rsidR="00814857" w:rsidRDefault="00814857" w:rsidP="00A66888">
            <w:pPr>
              <w:pStyle w:val="ARtabletextright"/>
            </w:pPr>
            <w:r>
              <w:rPr>
                <w:noProof/>
              </w:rPr>
              <w:t>1,525</w:t>
            </w:r>
          </w:p>
        </w:tc>
        <w:tc>
          <w:tcPr>
            <w:tcW w:w="1022" w:type="dxa"/>
            <w:tcBorders>
              <w:top w:val="single" w:sz="4" w:space="0" w:color="BFBFBF" w:themeColor="background1" w:themeShade="BF"/>
              <w:bottom w:val="single" w:sz="4" w:space="0" w:color="BFBFBF" w:themeColor="background1" w:themeShade="BF"/>
            </w:tcBorders>
            <w:hideMark/>
          </w:tcPr>
          <w:p w14:paraId="42F3EF30" w14:textId="77777777" w:rsidR="00814857" w:rsidRDefault="00814857" w:rsidP="00A66888">
            <w:pPr>
              <w:pStyle w:val="ARtabletextright"/>
            </w:pPr>
            <w:r>
              <w:rPr>
                <w:noProof/>
              </w:rPr>
              <w:t>0.0</w:t>
            </w:r>
          </w:p>
        </w:tc>
        <w:tc>
          <w:tcPr>
            <w:tcW w:w="794" w:type="dxa"/>
            <w:tcBorders>
              <w:top w:val="single" w:sz="4" w:space="0" w:color="BFBFBF" w:themeColor="background1" w:themeShade="BF"/>
              <w:bottom w:val="single" w:sz="4" w:space="0" w:color="BFBFBF" w:themeColor="background1" w:themeShade="BF"/>
            </w:tcBorders>
            <w:hideMark/>
          </w:tcPr>
          <w:p w14:paraId="232BD117" w14:textId="77777777" w:rsidR="00814857" w:rsidRDefault="00814857" w:rsidP="00A66888">
            <w:pPr>
              <w:pStyle w:val="ARtabletextright"/>
            </w:pPr>
            <w:r>
              <w:sym w:font="Wingdings" w:char="F0FC"/>
            </w:r>
          </w:p>
        </w:tc>
      </w:tr>
      <w:tr w:rsidR="00814857" w14:paraId="30015A88" w14:textId="77777777" w:rsidTr="00894126">
        <w:trPr>
          <w:cantSplit/>
          <w:trHeight w:val="480"/>
        </w:trPr>
        <w:tc>
          <w:tcPr>
            <w:tcW w:w="4764" w:type="dxa"/>
            <w:tcBorders>
              <w:top w:val="single" w:sz="4" w:space="0" w:color="BFBFBF" w:themeColor="background1" w:themeShade="BF"/>
            </w:tcBorders>
            <w:hideMark/>
          </w:tcPr>
          <w:p w14:paraId="3FF0B0DD" w14:textId="77777777" w:rsidR="00814857" w:rsidRDefault="00814857" w:rsidP="00A66888">
            <w:pPr>
              <w:pStyle w:val="ARtabletext"/>
            </w:pPr>
            <w:r>
              <w:rPr>
                <w:noProof/>
              </w:rPr>
              <w:lastRenderedPageBreak/>
              <w:t>Total funded FTE (early graduate) nursing and midwifery positions in public system</w:t>
            </w:r>
          </w:p>
        </w:tc>
        <w:tc>
          <w:tcPr>
            <w:tcW w:w="1021" w:type="dxa"/>
            <w:tcBorders>
              <w:top w:val="single" w:sz="4" w:space="0" w:color="BFBFBF" w:themeColor="background1" w:themeShade="BF"/>
            </w:tcBorders>
            <w:hideMark/>
          </w:tcPr>
          <w:p w14:paraId="0FBDE74E" w14:textId="77777777" w:rsidR="00814857" w:rsidRDefault="00814857" w:rsidP="00A66888">
            <w:pPr>
              <w:pStyle w:val="ARtabletextright"/>
            </w:pPr>
            <w:r>
              <w:rPr>
                <w:noProof/>
              </w:rPr>
              <w:t>number</w:t>
            </w:r>
          </w:p>
        </w:tc>
        <w:tc>
          <w:tcPr>
            <w:tcW w:w="1022" w:type="dxa"/>
            <w:tcBorders>
              <w:top w:val="single" w:sz="4" w:space="0" w:color="BFBFBF" w:themeColor="background1" w:themeShade="BF"/>
            </w:tcBorders>
            <w:hideMark/>
          </w:tcPr>
          <w:p w14:paraId="035F46B9" w14:textId="77777777" w:rsidR="00814857" w:rsidRDefault="00814857" w:rsidP="00A66888">
            <w:pPr>
              <w:pStyle w:val="ARtabletextright"/>
            </w:pPr>
            <w:r>
              <w:rPr>
                <w:noProof/>
              </w:rPr>
              <w:t>1,591</w:t>
            </w:r>
          </w:p>
        </w:tc>
        <w:tc>
          <w:tcPr>
            <w:tcW w:w="1022" w:type="dxa"/>
            <w:tcBorders>
              <w:top w:val="single" w:sz="4" w:space="0" w:color="BFBFBF" w:themeColor="background1" w:themeShade="BF"/>
            </w:tcBorders>
            <w:hideMark/>
          </w:tcPr>
          <w:p w14:paraId="7928E133" w14:textId="77777777" w:rsidR="00814857" w:rsidRDefault="00814857" w:rsidP="00A66888">
            <w:pPr>
              <w:pStyle w:val="ARtabletextright"/>
            </w:pPr>
            <w:r>
              <w:rPr>
                <w:noProof/>
              </w:rPr>
              <w:t>1,618</w:t>
            </w:r>
          </w:p>
        </w:tc>
        <w:tc>
          <w:tcPr>
            <w:tcW w:w="1022" w:type="dxa"/>
            <w:tcBorders>
              <w:top w:val="single" w:sz="4" w:space="0" w:color="BFBFBF" w:themeColor="background1" w:themeShade="BF"/>
            </w:tcBorders>
            <w:hideMark/>
          </w:tcPr>
          <w:p w14:paraId="305451FF" w14:textId="77777777" w:rsidR="00814857" w:rsidRDefault="00814857" w:rsidP="00A66888">
            <w:pPr>
              <w:pStyle w:val="ARtabletextright"/>
            </w:pPr>
            <w:r>
              <w:rPr>
                <w:noProof/>
              </w:rPr>
              <w:t>1.7</w:t>
            </w:r>
          </w:p>
        </w:tc>
        <w:tc>
          <w:tcPr>
            <w:tcW w:w="794" w:type="dxa"/>
            <w:tcBorders>
              <w:top w:val="single" w:sz="4" w:space="0" w:color="BFBFBF" w:themeColor="background1" w:themeShade="BF"/>
            </w:tcBorders>
            <w:hideMark/>
          </w:tcPr>
          <w:p w14:paraId="2DDA6FD7" w14:textId="77777777" w:rsidR="00814857" w:rsidRDefault="00814857" w:rsidP="00A66888">
            <w:pPr>
              <w:pStyle w:val="ARtabletextright"/>
            </w:pPr>
            <w:r>
              <w:sym w:font="Wingdings" w:char="F0FC"/>
            </w:r>
          </w:p>
        </w:tc>
      </w:tr>
      <w:tr w:rsidR="00830963" w14:paraId="31B13EF2" w14:textId="77777777" w:rsidTr="00A05EB7">
        <w:trPr>
          <w:cantSplit/>
          <w:trHeight w:val="240"/>
        </w:trPr>
        <w:tc>
          <w:tcPr>
            <w:tcW w:w="9645" w:type="dxa"/>
            <w:gridSpan w:val="6"/>
            <w:tcBorders>
              <w:top w:val="single" w:sz="4" w:space="0" w:color="auto"/>
              <w:left w:val="nil"/>
              <w:bottom w:val="nil"/>
              <w:right w:val="nil"/>
            </w:tcBorders>
            <w:hideMark/>
          </w:tcPr>
          <w:p w14:paraId="73702E68" w14:textId="3AA9355A" w:rsidR="00830963" w:rsidRDefault="00830963" w:rsidP="00A66888">
            <w:pPr>
              <w:pStyle w:val="ARtablegreybold"/>
            </w:pPr>
            <w:r>
              <w:t>Quality</w:t>
            </w:r>
          </w:p>
        </w:tc>
      </w:tr>
      <w:tr w:rsidR="00814857" w14:paraId="50E83865" w14:textId="77777777" w:rsidTr="00894126">
        <w:trPr>
          <w:cantSplit/>
          <w:trHeight w:val="480"/>
        </w:trPr>
        <w:tc>
          <w:tcPr>
            <w:tcW w:w="4764" w:type="dxa"/>
            <w:hideMark/>
          </w:tcPr>
          <w:p w14:paraId="77C8AACB" w14:textId="77777777" w:rsidR="00814857" w:rsidRDefault="00814857" w:rsidP="00A66888">
            <w:pPr>
              <w:pStyle w:val="ARtabletext"/>
            </w:pPr>
            <w:r>
              <w:rPr>
                <w:noProof/>
              </w:rPr>
              <w:t>Learner satisfaction about their feeling of safety and wellbeing while undertaking their program of study at health services</w:t>
            </w:r>
          </w:p>
        </w:tc>
        <w:tc>
          <w:tcPr>
            <w:tcW w:w="1021" w:type="dxa"/>
            <w:hideMark/>
          </w:tcPr>
          <w:p w14:paraId="684D28A0" w14:textId="77777777" w:rsidR="00814857" w:rsidRDefault="00814857" w:rsidP="00A66888">
            <w:pPr>
              <w:pStyle w:val="ARtabletextright"/>
            </w:pPr>
            <w:r>
              <w:rPr>
                <w:noProof/>
              </w:rPr>
              <w:t>per cent</w:t>
            </w:r>
          </w:p>
        </w:tc>
        <w:tc>
          <w:tcPr>
            <w:tcW w:w="1022" w:type="dxa"/>
            <w:hideMark/>
          </w:tcPr>
          <w:p w14:paraId="731C7E21" w14:textId="77777777" w:rsidR="00814857" w:rsidRDefault="00814857" w:rsidP="00A66888">
            <w:pPr>
              <w:pStyle w:val="ARtabletextright"/>
            </w:pPr>
            <w:r>
              <w:rPr>
                <w:noProof/>
              </w:rPr>
              <w:t>80</w:t>
            </w:r>
          </w:p>
        </w:tc>
        <w:tc>
          <w:tcPr>
            <w:tcW w:w="1022" w:type="dxa"/>
            <w:hideMark/>
          </w:tcPr>
          <w:p w14:paraId="271FA96E" w14:textId="77777777" w:rsidR="00814857" w:rsidRDefault="00814857" w:rsidP="00A66888">
            <w:pPr>
              <w:pStyle w:val="ARtabletextright"/>
            </w:pPr>
            <w:r>
              <w:rPr>
                <w:noProof/>
              </w:rPr>
              <w:t>94</w:t>
            </w:r>
          </w:p>
        </w:tc>
        <w:tc>
          <w:tcPr>
            <w:tcW w:w="1022" w:type="dxa"/>
            <w:hideMark/>
          </w:tcPr>
          <w:p w14:paraId="04B3BB1B" w14:textId="77777777" w:rsidR="00814857" w:rsidRDefault="00814857" w:rsidP="00A66888">
            <w:pPr>
              <w:pStyle w:val="ARtabletextright"/>
            </w:pPr>
            <w:r>
              <w:rPr>
                <w:noProof/>
              </w:rPr>
              <w:t>17.5</w:t>
            </w:r>
          </w:p>
        </w:tc>
        <w:tc>
          <w:tcPr>
            <w:tcW w:w="794" w:type="dxa"/>
            <w:hideMark/>
          </w:tcPr>
          <w:p w14:paraId="7E1D9BA0" w14:textId="77777777" w:rsidR="00814857" w:rsidRDefault="00814857" w:rsidP="00A66888">
            <w:pPr>
              <w:pStyle w:val="ARtabletextright"/>
            </w:pPr>
            <w:r>
              <w:sym w:font="Wingdings" w:char="F0FC"/>
            </w:r>
          </w:p>
        </w:tc>
      </w:tr>
      <w:tr w:rsidR="00814857" w14:paraId="59DE8868" w14:textId="77777777" w:rsidTr="00894126">
        <w:trPr>
          <w:cantSplit/>
          <w:trHeight w:val="240"/>
        </w:trPr>
        <w:tc>
          <w:tcPr>
            <w:tcW w:w="9645" w:type="dxa"/>
            <w:gridSpan w:val="6"/>
            <w:tcBorders>
              <w:top w:val="nil"/>
              <w:left w:val="nil"/>
              <w:bottom w:val="single" w:sz="4" w:space="0" w:color="BFBFBF"/>
              <w:right w:val="nil"/>
            </w:tcBorders>
            <w:noWrap/>
            <w:hideMark/>
          </w:tcPr>
          <w:p w14:paraId="77C84A7D" w14:textId="77777777" w:rsidR="00814857" w:rsidRDefault="00814857" w:rsidP="00A66888">
            <w:pPr>
              <w:pStyle w:val="ARtablenoteindent"/>
            </w:pPr>
            <w:r>
              <w:rPr>
                <w:noProof/>
              </w:rPr>
              <w:t>This measure was introduced in 2017–18 and has been consistently higher than the target. This is a positive result.</w:t>
            </w:r>
          </w:p>
        </w:tc>
      </w:tr>
      <w:tr w:rsidR="00830963" w14:paraId="043F3313" w14:textId="77777777" w:rsidTr="00A05EB7">
        <w:trPr>
          <w:cantSplit/>
          <w:trHeight w:val="240"/>
        </w:trPr>
        <w:tc>
          <w:tcPr>
            <w:tcW w:w="9645" w:type="dxa"/>
            <w:gridSpan w:val="6"/>
            <w:tcBorders>
              <w:top w:val="single" w:sz="4" w:space="0" w:color="auto"/>
              <w:left w:val="nil"/>
              <w:bottom w:val="nil"/>
              <w:right w:val="nil"/>
            </w:tcBorders>
            <w:hideMark/>
          </w:tcPr>
          <w:p w14:paraId="42F9CD21" w14:textId="30017590" w:rsidR="00830963" w:rsidRPr="00DD579E" w:rsidRDefault="00830963" w:rsidP="00A66888">
            <w:pPr>
              <w:pStyle w:val="ARtablegreybold"/>
            </w:pPr>
            <w:bookmarkStart w:id="53" w:name="_Hlk21519265"/>
            <w:r>
              <w:t>Cost</w:t>
            </w:r>
          </w:p>
        </w:tc>
      </w:tr>
      <w:tr w:rsidR="00814857" w14:paraId="2941FFA8" w14:textId="77777777" w:rsidTr="0056128E">
        <w:trPr>
          <w:cantSplit/>
          <w:trHeight w:val="480"/>
        </w:trPr>
        <w:tc>
          <w:tcPr>
            <w:tcW w:w="4764" w:type="dxa"/>
            <w:hideMark/>
          </w:tcPr>
          <w:p w14:paraId="079714CE" w14:textId="77777777" w:rsidR="00814857" w:rsidRPr="004305B0" w:rsidRDefault="00814857" w:rsidP="00A66888">
            <w:pPr>
              <w:pStyle w:val="ARtabletext"/>
              <w:rPr>
                <w:b/>
              </w:rPr>
            </w:pPr>
            <w:r w:rsidRPr="004305B0">
              <w:rPr>
                <w:b/>
                <w:noProof/>
              </w:rPr>
              <w:t xml:space="preserve">Total </w:t>
            </w:r>
            <w:r>
              <w:rPr>
                <w:b/>
                <w:noProof/>
              </w:rPr>
              <w:t>o</w:t>
            </w:r>
            <w:r w:rsidRPr="004305B0">
              <w:rPr>
                <w:b/>
                <w:noProof/>
              </w:rPr>
              <w:t xml:space="preserve">utput </w:t>
            </w:r>
            <w:r>
              <w:rPr>
                <w:b/>
                <w:noProof/>
              </w:rPr>
              <w:t>c</w:t>
            </w:r>
            <w:r w:rsidRPr="004305B0">
              <w:rPr>
                <w:b/>
                <w:noProof/>
              </w:rPr>
              <w:t>ost</w:t>
            </w:r>
          </w:p>
        </w:tc>
        <w:tc>
          <w:tcPr>
            <w:tcW w:w="1021" w:type="dxa"/>
            <w:hideMark/>
          </w:tcPr>
          <w:p w14:paraId="4A05DF74" w14:textId="77777777" w:rsidR="00814857" w:rsidRPr="004305B0" w:rsidRDefault="00814857" w:rsidP="00A66888">
            <w:pPr>
              <w:pStyle w:val="ARtabletextright"/>
              <w:rPr>
                <w:b/>
              </w:rPr>
            </w:pPr>
            <w:r w:rsidRPr="004305B0">
              <w:rPr>
                <w:b/>
                <w:noProof/>
              </w:rPr>
              <w:t>$ million</w:t>
            </w:r>
          </w:p>
        </w:tc>
        <w:tc>
          <w:tcPr>
            <w:tcW w:w="1022" w:type="dxa"/>
            <w:hideMark/>
          </w:tcPr>
          <w:p w14:paraId="5E5A3CF4" w14:textId="77777777" w:rsidR="00814857" w:rsidRPr="004305B0" w:rsidRDefault="00814857" w:rsidP="00A66888">
            <w:pPr>
              <w:pStyle w:val="ARtabletextright"/>
              <w:rPr>
                <w:b/>
              </w:rPr>
            </w:pPr>
            <w:r w:rsidRPr="004305B0">
              <w:rPr>
                <w:b/>
                <w:noProof/>
              </w:rPr>
              <w:t>285.7</w:t>
            </w:r>
          </w:p>
        </w:tc>
        <w:tc>
          <w:tcPr>
            <w:tcW w:w="1022" w:type="dxa"/>
            <w:hideMark/>
          </w:tcPr>
          <w:p w14:paraId="46E15859" w14:textId="77777777" w:rsidR="00814857" w:rsidRPr="004305B0" w:rsidRDefault="00814857" w:rsidP="00A66888">
            <w:pPr>
              <w:pStyle w:val="ARtabletextright"/>
              <w:rPr>
                <w:b/>
              </w:rPr>
            </w:pPr>
            <w:r w:rsidRPr="004305B0">
              <w:rPr>
                <w:b/>
                <w:noProof/>
              </w:rPr>
              <w:t>276.3</w:t>
            </w:r>
          </w:p>
        </w:tc>
        <w:tc>
          <w:tcPr>
            <w:tcW w:w="1022" w:type="dxa"/>
            <w:hideMark/>
          </w:tcPr>
          <w:p w14:paraId="4E0723E6" w14:textId="77777777" w:rsidR="00814857" w:rsidRPr="004305B0" w:rsidRDefault="00814857" w:rsidP="00A66888">
            <w:pPr>
              <w:pStyle w:val="ARtabletextright"/>
              <w:rPr>
                <w:b/>
              </w:rPr>
            </w:pPr>
            <w:r w:rsidRPr="004305B0">
              <w:rPr>
                <w:b/>
                <w:noProof/>
              </w:rPr>
              <w:t>-3.3</w:t>
            </w:r>
          </w:p>
        </w:tc>
        <w:tc>
          <w:tcPr>
            <w:tcW w:w="794" w:type="dxa"/>
            <w:hideMark/>
          </w:tcPr>
          <w:p w14:paraId="02F91908" w14:textId="77777777" w:rsidR="00814857" w:rsidRPr="004305B0" w:rsidRDefault="00814857" w:rsidP="00A66888">
            <w:pPr>
              <w:pStyle w:val="ARtabletextright"/>
              <w:rPr>
                <w:b/>
              </w:rPr>
            </w:pPr>
          </w:p>
        </w:tc>
      </w:tr>
      <w:tr w:rsidR="00814857" w14:paraId="7705F196" w14:textId="77777777" w:rsidTr="0056128E">
        <w:trPr>
          <w:cantSplit/>
          <w:trHeight w:val="240"/>
        </w:trPr>
        <w:tc>
          <w:tcPr>
            <w:tcW w:w="9645" w:type="dxa"/>
            <w:gridSpan w:val="6"/>
            <w:tcBorders>
              <w:top w:val="nil"/>
              <w:left w:val="nil"/>
              <w:bottom w:val="single" w:sz="4" w:space="0" w:color="auto"/>
              <w:right w:val="nil"/>
            </w:tcBorders>
            <w:noWrap/>
            <w:hideMark/>
          </w:tcPr>
          <w:p w14:paraId="63F988E7" w14:textId="77777777" w:rsidR="00814857" w:rsidRDefault="00814857" w:rsidP="00A66888">
            <w:pPr>
              <w:pStyle w:val="ARtablenoteindent"/>
            </w:pPr>
            <w:r>
              <w:rPr>
                <w:noProof/>
              </w:rPr>
              <w:t>The 2018–19 actual outcome primarily reflects output realignment related to the National Health Reform Agreement. Output from training and development was transferred from Acute Training and Development to Small Rural Services – Acute Health.</w:t>
            </w:r>
          </w:p>
        </w:tc>
      </w:tr>
    </w:tbl>
    <w:p w14:paraId="3A12085F" w14:textId="77777777" w:rsidR="00814857" w:rsidRDefault="00814857" w:rsidP="002909DA">
      <w:pPr>
        <w:pStyle w:val="Heading2"/>
      </w:pPr>
      <w:bookmarkStart w:id="54" w:name="_Toc18954475"/>
      <w:bookmarkStart w:id="55" w:name="_Toc18955077"/>
      <w:bookmarkEnd w:id="53"/>
      <w:r>
        <w:t>Ageing, Aged and Home Care</w:t>
      </w:r>
      <w:bookmarkEnd w:id="54"/>
      <w:bookmarkEnd w:id="55"/>
    </w:p>
    <w:p w14:paraId="60D7E82C" w14:textId="67DE1BE5" w:rsidR="00814857" w:rsidRPr="00030BBE" w:rsidRDefault="00814857" w:rsidP="0055734C">
      <w:pPr>
        <w:pStyle w:val="ARbody"/>
      </w:pPr>
      <w:r w:rsidRPr="00030BBE">
        <w:t>This output encompasses leading and coordinating the whole-of-government policy on issues affecting our ageing community. It includes a range of in-home, specialist geriatric, residential care and community-based programs, such as Home and Community Care, that are targeted to older people, people with a disability, and their carers.</w:t>
      </w:r>
    </w:p>
    <w:tbl>
      <w:tblPr>
        <w:tblW w:w="9645" w:type="dxa"/>
        <w:tblLayout w:type="fixed"/>
        <w:tblCellMar>
          <w:left w:w="0" w:type="dxa"/>
        </w:tblCellMar>
        <w:tblLook w:val="04A0" w:firstRow="1" w:lastRow="0" w:firstColumn="1" w:lastColumn="0" w:noHBand="0" w:noVBand="1"/>
      </w:tblPr>
      <w:tblGrid>
        <w:gridCol w:w="4764"/>
        <w:gridCol w:w="1021"/>
        <w:gridCol w:w="1022"/>
        <w:gridCol w:w="1022"/>
        <w:gridCol w:w="1022"/>
        <w:gridCol w:w="794"/>
      </w:tblGrid>
      <w:tr w:rsidR="00814857" w14:paraId="4005DF8D" w14:textId="77777777" w:rsidTr="00894126">
        <w:trPr>
          <w:cantSplit/>
          <w:trHeight w:val="480"/>
          <w:tblHeader/>
        </w:trPr>
        <w:tc>
          <w:tcPr>
            <w:tcW w:w="4764" w:type="dxa"/>
            <w:tcBorders>
              <w:top w:val="nil"/>
              <w:left w:val="nil"/>
              <w:bottom w:val="single" w:sz="4" w:space="0" w:color="auto"/>
              <w:right w:val="nil"/>
            </w:tcBorders>
            <w:vAlign w:val="bottom"/>
            <w:hideMark/>
          </w:tcPr>
          <w:p w14:paraId="55F2BAA6" w14:textId="77777777" w:rsidR="00814857" w:rsidRDefault="00814857" w:rsidP="00894126">
            <w:pPr>
              <w:pStyle w:val="ARtablecolhead"/>
            </w:pPr>
            <w:r>
              <w:t>Performance measures</w:t>
            </w:r>
          </w:p>
        </w:tc>
        <w:tc>
          <w:tcPr>
            <w:tcW w:w="1021" w:type="dxa"/>
            <w:tcBorders>
              <w:top w:val="nil"/>
              <w:left w:val="nil"/>
              <w:bottom w:val="single" w:sz="4" w:space="0" w:color="auto"/>
              <w:right w:val="nil"/>
            </w:tcBorders>
            <w:vAlign w:val="bottom"/>
            <w:hideMark/>
          </w:tcPr>
          <w:p w14:paraId="5BEF43E6" w14:textId="77777777" w:rsidR="00814857" w:rsidRDefault="00814857" w:rsidP="00894126">
            <w:pPr>
              <w:pStyle w:val="ARtablecolheadright"/>
            </w:pPr>
            <w:r>
              <w:t>Unit of measure</w:t>
            </w:r>
          </w:p>
        </w:tc>
        <w:tc>
          <w:tcPr>
            <w:tcW w:w="1022" w:type="dxa"/>
            <w:tcBorders>
              <w:top w:val="nil"/>
              <w:left w:val="nil"/>
              <w:bottom w:val="single" w:sz="4" w:space="0" w:color="auto"/>
              <w:right w:val="nil"/>
            </w:tcBorders>
            <w:vAlign w:val="bottom"/>
            <w:hideMark/>
          </w:tcPr>
          <w:p w14:paraId="050CC758" w14:textId="77777777" w:rsidR="00814857" w:rsidRDefault="00814857" w:rsidP="00894126">
            <w:pPr>
              <w:pStyle w:val="ARtablecolheadright"/>
            </w:pPr>
            <w:r>
              <w:t>2018–19 target</w:t>
            </w:r>
          </w:p>
        </w:tc>
        <w:tc>
          <w:tcPr>
            <w:tcW w:w="1022" w:type="dxa"/>
            <w:tcBorders>
              <w:top w:val="nil"/>
              <w:left w:val="nil"/>
              <w:bottom w:val="single" w:sz="4" w:space="0" w:color="auto"/>
              <w:right w:val="nil"/>
            </w:tcBorders>
            <w:vAlign w:val="bottom"/>
            <w:hideMark/>
          </w:tcPr>
          <w:p w14:paraId="564826F3" w14:textId="77777777" w:rsidR="00814857" w:rsidRDefault="00814857" w:rsidP="00894126">
            <w:pPr>
              <w:pStyle w:val="ARtablecolheadright"/>
            </w:pPr>
            <w:r>
              <w:t>2018–19 actual</w:t>
            </w:r>
          </w:p>
        </w:tc>
        <w:tc>
          <w:tcPr>
            <w:tcW w:w="1022" w:type="dxa"/>
            <w:tcBorders>
              <w:top w:val="nil"/>
              <w:left w:val="nil"/>
              <w:bottom w:val="single" w:sz="4" w:space="0" w:color="auto"/>
              <w:right w:val="nil"/>
            </w:tcBorders>
            <w:vAlign w:val="bottom"/>
            <w:hideMark/>
          </w:tcPr>
          <w:p w14:paraId="290B2A05" w14:textId="77777777" w:rsidR="00814857" w:rsidRDefault="00814857" w:rsidP="00894126">
            <w:pPr>
              <w:pStyle w:val="ARtablecolheadright"/>
            </w:pPr>
            <w:r>
              <w:t>Variation (%)</w:t>
            </w:r>
          </w:p>
        </w:tc>
        <w:tc>
          <w:tcPr>
            <w:tcW w:w="794" w:type="dxa"/>
            <w:tcBorders>
              <w:top w:val="nil"/>
              <w:left w:val="nil"/>
              <w:bottom w:val="single" w:sz="4" w:space="0" w:color="auto"/>
              <w:right w:val="nil"/>
            </w:tcBorders>
            <w:vAlign w:val="bottom"/>
            <w:hideMark/>
          </w:tcPr>
          <w:p w14:paraId="2C57D151" w14:textId="77777777" w:rsidR="00814857" w:rsidRDefault="00814857" w:rsidP="00894126">
            <w:pPr>
              <w:pStyle w:val="ARtablecolheadright"/>
            </w:pPr>
            <w:r>
              <w:t>Result</w:t>
            </w:r>
          </w:p>
        </w:tc>
      </w:tr>
      <w:tr w:rsidR="00830963" w14:paraId="09421930"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4DC13CB0" w14:textId="44276E68" w:rsidR="00830963" w:rsidRDefault="00830963" w:rsidP="00DD579E">
            <w:pPr>
              <w:pStyle w:val="ARtablebluebold"/>
            </w:pPr>
            <w:r>
              <w:t>Seniors Programs and Participation</w:t>
            </w:r>
          </w:p>
        </w:tc>
      </w:tr>
      <w:tr w:rsidR="00830963" w14:paraId="2F7F02D1" w14:textId="77777777" w:rsidTr="00A05EB7">
        <w:trPr>
          <w:cantSplit/>
          <w:trHeight w:val="240"/>
        </w:trPr>
        <w:tc>
          <w:tcPr>
            <w:tcW w:w="9645" w:type="dxa"/>
            <w:gridSpan w:val="6"/>
            <w:tcBorders>
              <w:top w:val="single" w:sz="4" w:space="0" w:color="auto"/>
              <w:left w:val="nil"/>
              <w:bottom w:val="nil"/>
              <w:right w:val="nil"/>
            </w:tcBorders>
            <w:hideMark/>
          </w:tcPr>
          <w:p w14:paraId="5258B0AF" w14:textId="02282654" w:rsidR="00830963" w:rsidRDefault="00830963" w:rsidP="00DD579E">
            <w:pPr>
              <w:pStyle w:val="ARtablegreybold"/>
            </w:pPr>
            <w:r>
              <w:t>Quantity</w:t>
            </w:r>
          </w:p>
        </w:tc>
      </w:tr>
      <w:tr w:rsidR="00814857" w14:paraId="47EBC3B7" w14:textId="77777777" w:rsidTr="00894126">
        <w:trPr>
          <w:cantSplit/>
          <w:trHeight w:val="480"/>
        </w:trPr>
        <w:tc>
          <w:tcPr>
            <w:tcW w:w="4764" w:type="dxa"/>
            <w:hideMark/>
          </w:tcPr>
          <w:p w14:paraId="369BCC37" w14:textId="77777777" w:rsidR="00814857" w:rsidRDefault="00814857" w:rsidP="00894126">
            <w:pPr>
              <w:pStyle w:val="ARtabletext"/>
            </w:pPr>
            <w:r>
              <w:rPr>
                <w:noProof/>
              </w:rPr>
              <w:t>New University of the Third Age (U3A) programs funded</w:t>
            </w:r>
          </w:p>
        </w:tc>
        <w:tc>
          <w:tcPr>
            <w:tcW w:w="1021" w:type="dxa"/>
            <w:hideMark/>
          </w:tcPr>
          <w:p w14:paraId="11F62DFA" w14:textId="77777777" w:rsidR="00814857" w:rsidRDefault="00814857" w:rsidP="00894126">
            <w:pPr>
              <w:pStyle w:val="ARtabletextright"/>
            </w:pPr>
            <w:r>
              <w:rPr>
                <w:noProof/>
              </w:rPr>
              <w:t>number</w:t>
            </w:r>
          </w:p>
        </w:tc>
        <w:tc>
          <w:tcPr>
            <w:tcW w:w="1022" w:type="dxa"/>
            <w:hideMark/>
          </w:tcPr>
          <w:p w14:paraId="2C4E9B0D" w14:textId="4EE10485" w:rsidR="00814857" w:rsidRDefault="00814857" w:rsidP="00894126">
            <w:pPr>
              <w:pStyle w:val="ARtabletextright"/>
            </w:pPr>
            <w:r>
              <w:rPr>
                <w:noProof/>
              </w:rPr>
              <w:t>45</w:t>
            </w:r>
            <w:r w:rsidR="001F4A28">
              <w:rPr>
                <w:noProof/>
              </w:rPr>
              <w:t>–</w:t>
            </w:r>
            <w:r>
              <w:rPr>
                <w:noProof/>
              </w:rPr>
              <w:t>60</w:t>
            </w:r>
          </w:p>
        </w:tc>
        <w:tc>
          <w:tcPr>
            <w:tcW w:w="1022" w:type="dxa"/>
            <w:hideMark/>
          </w:tcPr>
          <w:p w14:paraId="5E9F0349" w14:textId="77777777" w:rsidR="00814857" w:rsidRDefault="00814857" w:rsidP="00894126">
            <w:pPr>
              <w:pStyle w:val="ARtabletextright"/>
            </w:pPr>
            <w:r>
              <w:rPr>
                <w:noProof/>
              </w:rPr>
              <w:t>59</w:t>
            </w:r>
          </w:p>
        </w:tc>
        <w:tc>
          <w:tcPr>
            <w:tcW w:w="1022" w:type="dxa"/>
            <w:hideMark/>
          </w:tcPr>
          <w:p w14:paraId="154DDEE4" w14:textId="77777777" w:rsidR="00814857" w:rsidRDefault="00814857" w:rsidP="00894126">
            <w:pPr>
              <w:pStyle w:val="ARtabletextright"/>
            </w:pPr>
            <w:r>
              <w:rPr>
                <w:noProof/>
              </w:rPr>
              <w:t>0.0</w:t>
            </w:r>
          </w:p>
        </w:tc>
        <w:tc>
          <w:tcPr>
            <w:tcW w:w="794" w:type="dxa"/>
            <w:hideMark/>
          </w:tcPr>
          <w:p w14:paraId="676C7C5C" w14:textId="77777777" w:rsidR="00814857" w:rsidRDefault="00814857" w:rsidP="00894126">
            <w:pPr>
              <w:pStyle w:val="ARtabletextright"/>
            </w:pPr>
            <w:r>
              <w:sym w:font="Wingdings" w:char="F0FC"/>
            </w:r>
          </w:p>
        </w:tc>
      </w:tr>
      <w:tr w:rsidR="00814857" w14:paraId="79598BA1" w14:textId="77777777" w:rsidTr="00894126">
        <w:trPr>
          <w:cantSplit/>
          <w:trHeight w:val="240"/>
        </w:trPr>
        <w:tc>
          <w:tcPr>
            <w:tcW w:w="9645" w:type="dxa"/>
            <w:gridSpan w:val="6"/>
            <w:tcBorders>
              <w:top w:val="nil"/>
              <w:left w:val="nil"/>
              <w:bottom w:val="single" w:sz="4" w:space="0" w:color="BFBFBF"/>
              <w:right w:val="nil"/>
            </w:tcBorders>
            <w:noWrap/>
            <w:hideMark/>
          </w:tcPr>
          <w:p w14:paraId="3AC02BB5" w14:textId="77777777" w:rsidR="00814857" w:rsidRDefault="00814857" w:rsidP="00894126">
            <w:pPr>
              <w:pStyle w:val="ARtablenoteindent"/>
              <w:rPr>
                <w:noProof/>
              </w:rPr>
            </w:pPr>
            <w:r>
              <w:rPr>
                <w:noProof/>
              </w:rPr>
              <w:t>This is a positive result.</w:t>
            </w:r>
          </w:p>
        </w:tc>
      </w:tr>
      <w:tr w:rsidR="00814857" w14:paraId="2DCFD874" w14:textId="77777777" w:rsidTr="00894126">
        <w:trPr>
          <w:cantSplit/>
          <w:trHeight w:val="480"/>
        </w:trPr>
        <w:tc>
          <w:tcPr>
            <w:tcW w:w="4764" w:type="dxa"/>
            <w:hideMark/>
          </w:tcPr>
          <w:p w14:paraId="7B4E8743" w14:textId="77777777" w:rsidR="00814857" w:rsidRDefault="00814857" w:rsidP="00894126">
            <w:pPr>
              <w:pStyle w:val="ARtabletext"/>
            </w:pPr>
            <w:r>
              <w:rPr>
                <w:noProof/>
              </w:rPr>
              <w:t>Seniors funded activities and programs: number approved</w:t>
            </w:r>
          </w:p>
        </w:tc>
        <w:tc>
          <w:tcPr>
            <w:tcW w:w="1021" w:type="dxa"/>
            <w:hideMark/>
          </w:tcPr>
          <w:p w14:paraId="0EA80536" w14:textId="77777777" w:rsidR="00814857" w:rsidRDefault="00814857" w:rsidP="00894126">
            <w:pPr>
              <w:pStyle w:val="ARtabletextright"/>
            </w:pPr>
            <w:r>
              <w:rPr>
                <w:noProof/>
              </w:rPr>
              <w:t>number</w:t>
            </w:r>
          </w:p>
        </w:tc>
        <w:tc>
          <w:tcPr>
            <w:tcW w:w="1022" w:type="dxa"/>
            <w:hideMark/>
          </w:tcPr>
          <w:p w14:paraId="5EDCA36F" w14:textId="181FB94D" w:rsidR="00814857" w:rsidRDefault="00814857" w:rsidP="00894126">
            <w:pPr>
              <w:pStyle w:val="ARtabletextright"/>
            </w:pPr>
            <w:r>
              <w:rPr>
                <w:noProof/>
              </w:rPr>
              <w:t>156</w:t>
            </w:r>
            <w:r w:rsidR="001F4A28">
              <w:rPr>
                <w:noProof/>
              </w:rPr>
              <w:t>–</w:t>
            </w:r>
            <w:r>
              <w:rPr>
                <w:noProof/>
              </w:rPr>
              <w:t>176</w:t>
            </w:r>
          </w:p>
        </w:tc>
        <w:tc>
          <w:tcPr>
            <w:tcW w:w="1022" w:type="dxa"/>
            <w:hideMark/>
          </w:tcPr>
          <w:p w14:paraId="5176C9B7" w14:textId="77777777" w:rsidR="00814857" w:rsidRDefault="00814857" w:rsidP="00894126">
            <w:pPr>
              <w:pStyle w:val="ARtabletextright"/>
            </w:pPr>
            <w:r>
              <w:rPr>
                <w:noProof/>
              </w:rPr>
              <w:t>133</w:t>
            </w:r>
          </w:p>
        </w:tc>
        <w:tc>
          <w:tcPr>
            <w:tcW w:w="1022" w:type="dxa"/>
            <w:hideMark/>
          </w:tcPr>
          <w:p w14:paraId="55255D00" w14:textId="77777777" w:rsidR="00814857" w:rsidRDefault="00814857" w:rsidP="00894126">
            <w:pPr>
              <w:pStyle w:val="ARtabletextright"/>
            </w:pPr>
            <w:r>
              <w:rPr>
                <w:noProof/>
              </w:rPr>
              <w:t>0.0</w:t>
            </w:r>
          </w:p>
        </w:tc>
        <w:tc>
          <w:tcPr>
            <w:tcW w:w="794" w:type="dxa"/>
            <w:hideMark/>
          </w:tcPr>
          <w:p w14:paraId="156DBBF1" w14:textId="77777777" w:rsidR="00814857" w:rsidRDefault="00814857" w:rsidP="00894126">
            <w:pPr>
              <w:pStyle w:val="ARtabletextright"/>
            </w:pPr>
            <w:r>
              <w:sym w:font="Wingdings" w:char="F06E"/>
            </w:r>
          </w:p>
        </w:tc>
      </w:tr>
      <w:tr w:rsidR="00814857" w14:paraId="049B55BB" w14:textId="77777777" w:rsidTr="00894126">
        <w:trPr>
          <w:cantSplit/>
          <w:trHeight w:val="240"/>
        </w:trPr>
        <w:tc>
          <w:tcPr>
            <w:tcW w:w="9645" w:type="dxa"/>
            <w:gridSpan w:val="6"/>
            <w:tcBorders>
              <w:top w:val="nil"/>
              <w:left w:val="nil"/>
              <w:bottom w:val="single" w:sz="4" w:space="0" w:color="BFBFBF"/>
              <w:right w:val="nil"/>
            </w:tcBorders>
            <w:noWrap/>
            <w:hideMark/>
          </w:tcPr>
          <w:p w14:paraId="19AFB40F" w14:textId="77777777" w:rsidR="00814857" w:rsidRDefault="00814857" w:rsidP="00894126">
            <w:pPr>
              <w:pStyle w:val="ARtablenoteindent"/>
            </w:pPr>
            <w:r>
              <w:rPr>
                <w:noProof/>
              </w:rPr>
              <w:t>The result is lower than the target due to a strategic review undertaken of the grants program. The grants round for 2018–19 funded grants of a higher value which resulted in a lower number of grants offered.</w:t>
            </w:r>
          </w:p>
        </w:tc>
      </w:tr>
      <w:tr w:rsidR="00814857" w14:paraId="6506A327" w14:textId="77777777" w:rsidTr="00894126">
        <w:trPr>
          <w:cantSplit/>
          <w:trHeight w:val="480"/>
        </w:trPr>
        <w:tc>
          <w:tcPr>
            <w:tcW w:w="4764" w:type="dxa"/>
            <w:hideMark/>
          </w:tcPr>
          <w:p w14:paraId="563495D6" w14:textId="77777777" w:rsidR="00814857" w:rsidRDefault="00814857" w:rsidP="00894126">
            <w:pPr>
              <w:pStyle w:val="ARtabletext"/>
            </w:pPr>
            <w:r>
              <w:rPr>
                <w:noProof/>
              </w:rPr>
              <w:t>Open Rates for Seniors Card e-Newsletters</w:t>
            </w:r>
          </w:p>
        </w:tc>
        <w:tc>
          <w:tcPr>
            <w:tcW w:w="1021" w:type="dxa"/>
            <w:hideMark/>
          </w:tcPr>
          <w:p w14:paraId="3A6527B5" w14:textId="77777777" w:rsidR="00814857" w:rsidRDefault="00814857" w:rsidP="00894126">
            <w:pPr>
              <w:pStyle w:val="ARtabletextright"/>
            </w:pPr>
            <w:r>
              <w:rPr>
                <w:noProof/>
              </w:rPr>
              <w:t>per cent</w:t>
            </w:r>
          </w:p>
        </w:tc>
        <w:tc>
          <w:tcPr>
            <w:tcW w:w="1022" w:type="dxa"/>
            <w:hideMark/>
          </w:tcPr>
          <w:p w14:paraId="55B112FC" w14:textId="77777777" w:rsidR="00814857" w:rsidRDefault="00814857" w:rsidP="00894126">
            <w:pPr>
              <w:pStyle w:val="ARtabletextright"/>
            </w:pPr>
            <w:r>
              <w:rPr>
                <w:noProof/>
              </w:rPr>
              <w:t>45</w:t>
            </w:r>
          </w:p>
        </w:tc>
        <w:tc>
          <w:tcPr>
            <w:tcW w:w="1022" w:type="dxa"/>
            <w:hideMark/>
          </w:tcPr>
          <w:p w14:paraId="05322B49" w14:textId="77777777" w:rsidR="00814857" w:rsidRDefault="00814857" w:rsidP="00894126">
            <w:pPr>
              <w:pStyle w:val="ARtabletextright"/>
            </w:pPr>
            <w:r>
              <w:rPr>
                <w:noProof/>
              </w:rPr>
              <w:t>50</w:t>
            </w:r>
          </w:p>
        </w:tc>
        <w:tc>
          <w:tcPr>
            <w:tcW w:w="1022" w:type="dxa"/>
            <w:hideMark/>
          </w:tcPr>
          <w:p w14:paraId="70B34BE9" w14:textId="77777777" w:rsidR="00814857" w:rsidRDefault="00814857" w:rsidP="00894126">
            <w:pPr>
              <w:pStyle w:val="ARtabletextright"/>
            </w:pPr>
            <w:r>
              <w:rPr>
                <w:noProof/>
              </w:rPr>
              <w:t>11.1</w:t>
            </w:r>
          </w:p>
        </w:tc>
        <w:tc>
          <w:tcPr>
            <w:tcW w:w="794" w:type="dxa"/>
            <w:hideMark/>
          </w:tcPr>
          <w:p w14:paraId="297412EC" w14:textId="77777777" w:rsidR="00814857" w:rsidRDefault="00814857" w:rsidP="00894126">
            <w:pPr>
              <w:pStyle w:val="ARtabletextright"/>
            </w:pPr>
            <w:r>
              <w:sym w:font="Wingdings" w:char="F0FC"/>
            </w:r>
          </w:p>
        </w:tc>
      </w:tr>
      <w:tr w:rsidR="00814857" w14:paraId="0D0D20B0" w14:textId="77777777" w:rsidTr="00894126">
        <w:trPr>
          <w:cantSplit/>
          <w:trHeight w:val="240"/>
        </w:trPr>
        <w:tc>
          <w:tcPr>
            <w:tcW w:w="9645" w:type="dxa"/>
            <w:gridSpan w:val="6"/>
            <w:tcBorders>
              <w:top w:val="nil"/>
              <w:left w:val="nil"/>
              <w:bottom w:val="single" w:sz="4" w:space="0" w:color="BFBFBF"/>
              <w:right w:val="nil"/>
            </w:tcBorders>
            <w:noWrap/>
            <w:hideMark/>
          </w:tcPr>
          <w:p w14:paraId="4AADEA95" w14:textId="77777777" w:rsidR="00814857" w:rsidRDefault="00814857" w:rsidP="00894126">
            <w:pPr>
              <w:pStyle w:val="ARtablenoteindent"/>
            </w:pPr>
            <w:r>
              <w:rPr>
                <w:noProof/>
              </w:rPr>
              <w:t>The result is higher than the target due to topics and offers featured in the newsletter being of high interest to Seniors Card holders. This is a positive result.</w:t>
            </w:r>
          </w:p>
        </w:tc>
      </w:tr>
      <w:tr w:rsidR="00830963" w14:paraId="4F9B4254" w14:textId="77777777" w:rsidTr="00A05EB7">
        <w:trPr>
          <w:cantSplit/>
          <w:trHeight w:val="240"/>
        </w:trPr>
        <w:tc>
          <w:tcPr>
            <w:tcW w:w="9645" w:type="dxa"/>
            <w:gridSpan w:val="6"/>
            <w:tcBorders>
              <w:top w:val="single" w:sz="4" w:space="0" w:color="auto"/>
              <w:left w:val="nil"/>
              <w:bottom w:val="nil"/>
              <w:right w:val="nil"/>
            </w:tcBorders>
            <w:hideMark/>
          </w:tcPr>
          <w:p w14:paraId="2067F7D4" w14:textId="596EC2BB" w:rsidR="00830963" w:rsidRDefault="00830963" w:rsidP="00DD579E">
            <w:pPr>
              <w:pStyle w:val="ARtablegreybold"/>
            </w:pPr>
            <w:r>
              <w:t>Quality</w:t>
            </w:r>
          </w:p>
        </w:tc>
      </w:tr>
      <w:tr w:rsidR="00814857" w14:paraId="5B917715" w14:textId="77777777" w:rsidTr="00894126">
        <w:trPr>
          <w:cantSplit/>
          <w:trHeight w:val="480"/>
        </w:trPr>
        <w:tc>
          <w:tcPr>
            <w:tcW w:w="4764" w:type="dxa"/>
            <w:tcBorders>
              <w:bottom w:val="single" w:sz="4" w:space="0" w:color="BFBFBF" w:themeColor="background1" w:themeShade="BF"/>
            </w:tcBorders>
            <w:hideMark/>
          </w:tcPr>
          <w:p w14:paraId="124C77D8" w14:textId="77777777" w:rsidR="00814857" w:rsidRDefault="00814857" w:rsidP="00894126">
            <w:pPr>
              <w:pStyle w:val="ARtabletext"/>
            </w:pPr>
            <w:r>
              <w:rPr>
                <w:noProof/>
              </w:rPr>
              <w:t>Eligible seniors in the Seniors Card Program</w:t>
            </w:r>
          </w:p>
        </w:tc>
        <w:tc>
          <w:tcPr>
            <w:tcW w:w="1021" w:type="dxa"/>
            <w:tcBorders>
              <w:bottom w:val="single" w:sz="4" w:space="0" w:color="BFBFBF" w:themeColor="background1" w:themeShade="BF"/>
            </w:tcBorders>
            <w:hideMark/>
          </w:tcPr>
          <w:p w14:paraId="1A9E5F74" w14:textId="77777777" w:rsidR="00814857" w:rsidRDefault="00814857" w:rsidP="00894126">
            <w:pPr>
              <w:pStyle w:val="ARtabletextright"/>
            </w:pPr>
            <w:r>
              <w:rPr>
                <w:noProof/>
              </w:rPr>
              <w:t>per cent</w:t>
            </w:r>
          </w:p>
        </w:tc>
        <w:tc>
          <w:tcPr>
            <w:tcW w:w="1022" w:type="dxa"/>
            <w:tcBorders>
              <w:bottom w:val="single" w:sz="4" w:space="0" w:color="BFBFBF" w:themeColor="background1" w:themeShade="BF"/>
            </w:tcBorders>
            <w:hideMark/>
          </w:tcPr>
          <w:p w14:paraId="48C0B1A4" w14:textId="77777777" w:rsidR="00814857" w:rsidRDefault="00814857" w:rsidP="00894126">
            <w:pPr>
              <w:pStyle w:val="ARtabletextright"/>
            </w:pPr>
            <w:r>
              <w:rPr>
                <w:noProof/>
              </w:rPr>
              <w:t>90</w:t>
            </w:r>
          </w:p>
        </w:tc>
        <w:tc>
          <w:tcPr>
            <w:tcW w:w="1022" w:type="dxa"/>
            <w:tcBorders>
              <w:bottom w:val="single" w:sz="4" w:space="0" w:color="BFBFBF" w:themeColor="background1" w:themeShade="BF"/>
            </w:tcBorders>
            <w:hideMark/>
          </w:tcPr>
          <w:p w14:paraId="236BCBE1" w14:textId="77777777" w:rsidR="00814857" w:rsidRDefault="00814857" w:rsidP="00894126">
            <w:pPr>
              <w:pStyle w:val="ARtabletextright"/>
            </w:pPr>
            <w:r>
              <w:rPr>
                <w:noProof/>
              </w:rPr>
              <w:t>88</w:t>
            </w:r>
          </w:p>
        </w:tc>
        <w:tc>
          <w:tcPr>
            <w:tcW w:w="1022" w:type="dxa"/>
            <w:tcBorders>
              <w:bottom w:val="single" w:sz="4" w:space="0" w:color="BFBFBF" w:themeColor="background1" w:themeShade="BF"/>
            </w:tcBorders>
            <w:hideMark/>
          </w:tcPr>
          <w:p w14:paraId="79792E68" w14:textId="77777777" w:rsidR="00814857" w:rsidRDefault="00814857" w:rsidP="00894126">
            <w:pPr>
              <w:pStyle w:val="ARtabletextright"/>
            </w:pPr>
            <w:r>
              <w:rPr>
                <w:noProof/>
              </w:rPr>
              <w:t>-2.2</w:t>
            </w:r>
          </w:p>
        </w:tc>
        <w:tc>
          <w:tcPr>
            <w:tcW w:w="794" w:type="dxa"/>
            <w:tcBorders>
              <w:bottom w:val="single" w:sz="4" w:space="0" w:color="BFBFBF" w:themeColor="background1" w:themeShade="BF"/>
            </w:tcBorders>
            <w:hideMark/>
          </w:tcPr>
          <w:p w14:paraId="38F64A69" w14:textId="77777777" w:rsidR="00814857" w:rsidRDefault="00814857" w:rsidP="00894126">
            <w:pPr>
              <w:pStyle w:val="ARtabletextright"/>
            </w:pPr>
            <w:r w:rsidRPr="007939DD">
              <w:sym w:font="Wingdings 2" w:char="F099"/>
            </w:r>
          </w:p>
        </w:tc>
      </w:tr>
      <w:tr w:rsidR="00814857" w14:paraId="1CCA855F" w14:textId="77777777" w:rsidTr="00894126">
        <w:trPr>
          <w:cantSplit/>
          <w:trHeight w:val="480"/>
        </w:trPr>
        <w:tc>
          <w:tcPr>
            <w:tcW w:w="4764" w:type="dxa"/>
            <w:tcBorders>
              <w:top w:val="single" w:sz="4" w:space="0" w:color="BFBFBF" w:themeColor="background1" w:themeShade="BF"/>
              <w:bottom w:val="single" w:sz="4" w:space="0" w:color="auto"/>
            </w:tcBorders>
            <w:hideMark/>
          </w:tcPr>
          <w:p w14:paraId="769251C5" w14:textId="77777777" w:rsidR="00814857" w:rsidRDefault="00814857" w:rsidP="00894126">
            <w:pPr>
              <w:pStyle w:val="ARtabletext"/>
            </w:pPr>
            <w:r>
              <w:rPr>
                <w:noProof/>
              </w:rPr>
              <w:t>Senior satisfaction with Victorian Seniors Festival events</w:t>
            </w:r>
          </w:p>
        </w:tc>
        <w:tc>
          <w:tcPr>
            <w:tcW w:w="1021" w:type="dxa"/>
            <w:tcBorders>
              <w:top w:val="single" w:sz="4" w:space="0" w:color="BFBFBF" w:themeColor="background1" w:themeShade="BF"/>
              <w:bottom w:val="single" w:sz="4" w:space="0" w:color="auto"/>
            </w:tcBorders>
            <w:hideMark/>
          </w:tcPr>
          <w:p w14:paraId="6657D70B" w14:textId="77777777" w:rsidR="00814857" w:rsidRDefault="00814857" w:rsidP="00894126">
            <w:pPr>
              <w:pStyle w:val="ARtabletextright"/>
            </w:pPr>
            <w:r>
              <w:rPr>
                <w:noProof/>
              </w:rPr>
              <w:t>per cent</w:t>
            </w:r>
          </w:p>
        </w:tc>
        <w:tc>
          <w:tcPr>
            <w:tcW w:w="1022" w:type="dxa"/>
            <w:tcBorders>
              <w:top w:val="single" w:sz="4" w:space="0" w:color="BFBFBF" w:themeColor="background1" w:themeShade="BF"/>
              <w:bottom w:val="single" w:sz="4" w:space="0" w:color="auto"/>
            </w:tcBorders>
            <w:hideMark/>
          </w:tcPr>
          <w:p w14:paraId="52E1B12A" w14:textId="77777777" w:rsidR="00814857" w:rsidRDefault="00814857" w:rsidP="00894126">
            <w:pPr>
              <w:pStyle w:val="ARtabletextright"/>
            </w:pPr>
            <w:r>
              <w:rPr>
                <w:noProof/>
              </w:rPr>
              <w:t>90</w:t>
            </w:r>
          </w:p>
        </w:tc>
        <w:tc>
          <w:tcPr>
            <w:tcW w:w="1022" w:type="dxa"/>
            <w:tcBorders>
              <w:top w:val="single" w:sz="4" w:space="0" w:color="BFBFBF" w:themeColor="background1" w:themeShade="BF"/>
              <w:bottom w:val="single" w:sz="4" w:space="0" w:color="auto"/>
            </w:tcBorders>
            <w:hideMark/>
          </w:tcPr>
          <w:p w14:paraId="37566EE0" w14:textId="77777777" w:rsidR="00814857" w:rsidRDefault="00814857" w:rsidP="00894126">
            <w:pPr>
              <w:pStyle w:val="ARtabletextright"/>
            </w:pPr>
            <w:r>
              <w:rPr>
                <w:noProof/>
              </w:rPr>
              <w:t>90</w:t>
            </w:r>
          </w:p>
        </w:tc>
        <w:tc>
          <w:tcPr>
            <w:tcW w:w="1022" w:type="dxa"/>
            <w:tcBorders>
              <w:top w:val="single" w:sz="4" w:space="0" w:color="BFBFBF" w:themeColor="background1" w:themeShade="BF"/>
              <w:bottom w:val="single" w:sz="4" w:space="0" w:color="auto"/>
            </w:tcBorders>
            <w:hideMark/>
          </w:tcPr>
          <w:p w14:paraId="09E86052" w14:textId="77777777" w:rsidR="00814857" w:rsidRDefault="00814857" w:rsidP="00894126">
            <w:pPr>
              <w:pStyle w:val="ARtabletextright"/>
            </w:pPr>
            <w:r>
              <w:rPr>
                <w:noProof/>
              </w:rPr>
              <w:t>0.0</w:t>
            </w:r>
          </w:p>
        </w:tc>
        <w:tc>
          <w:tcPr>
            <w:tcW w:w="794" w:type="dxa"/>
            <w:tcBorders>
              <w:top w:val="single" w:sz="4" w:space="0" w:color="BFBFBF" w:themeColor="background1" w:themeShade="BF"/>
              <w:bottom w:val="single" w:sz="4" w:space="0" w:color="auto"/>
            </w:tcBorders>
            <w:hideMark/>
          </w:tcPr>
          <w:p w14:paraId="32C3CE35" w14:textId="77777777" w:rsidR="00814857" w:rsidRDefault="00814857" w:rsidP="00894126">
            <w:pPr>
              <w:pStyle w:val="ARtabletextright"/>
            </w:pPr>
            <w:r>
              <w:sym w:font="Wingdings" w:char="F0FC"/>
            </w:r>
          </w:p>
        </w:tc>
      </w:tr>
      <w:tr w:rsidR="00830963" w14:paraId="259DF5D5" w14:textId="77777777" w:rsidTr="00A05EB7">
        <w:trPr>
          <w:cantSplit/>
          <w:trHeight w:val="240"/>
        </w:trPr>
        <w:tc>
          <w:tcPr>
            <w:tcW w:w="9645" w:type="dxa"/>
            <w:gridSpan w:val="6"/>
            <w:tcBorders>
              <w:top w:val="single" w:sz="4" w:space="0" w:color="auto"/>
              <w:left w:val="nil"/>
              <w:bottom w:val="nil"/>
              <w:right w:val="nil"/>
            </w:tcBorders>
            <w:hideMark/>
          </w:tcPr>
          <w:p w14:paraId="0BFA8A72" w14:textId="280C77F2" w:rsidR="00830963" w:rsidRDefault="00830963" w:rsidP="00DD579E">
            <w:pPr>
              <w:pStyle w:val="ARtablegreybold"/>
            </w:pPr>
            <w:r>
              <w:t>Cost</w:t>
            </w:r>
          </w:p>
        </w:tc>
      </w:tr>
      <w:tr w:rsidR="00814857" w14:paraId="70516CF4" w14:textId="77777777" w:rsidTr="00894126">
        <w:trPr>
          <w:cantSplit/>
          <w:trHeight w:val="480"/>
        </w:trPr>
        <w:tc>
          <w:tcPr>
            <w:tcW w:w="4764" w:type="dxa"/>
            <w:hideMark/>
          </w:tcPr>
          <w:p w14:paraId="37ECAB9F" w14:textId="77777777" w:rsidR="00814857" w:rsidRPr="005A6F56" w:rsidRDefault="00814857" w:rsidP="00894126">
            <w:pPr>
              <w:pStyle w:val="ARtabletext"/>
              <w:rPr>
                <w:b/>
              </w:rPr>
            </w:pPr>
            <w:r w:rsidRPr="005A6F56">
              <w:rPr>
                <w:b/>
                <w:noProof/>
              </w:rPr>
              <w:t xml:space="preserve">Total </w:t>
            </w:r>
            <w:r>
              <w:rPr>
                <w:b/>
                <w:noProof/>
              </w:rPr>
              <w:t>o</w:t>
            </w:r>
            <w:r w:rsidRPr="005A6F56">
              <w:rPr>
                <w:b/>
                <w:noProof/>
              </w:rPr>
              <w:t xml:space="preserve">utput </w:t>
            </w:r>
            <w:r>
              <w:rPr>
                <w:b/>
                <w:noProof/>
              </w:rPr>
              <w:t>c</w:t>
            </w:r>
            <w:r w:rsidRPr="005A6F56">
              <w:rPr>
                <w:b/>
                <w:noProof/>
              </w:rPr>
              <w:t>ost</w:t>
            </w:r>
          </w:p>
        </w:tc>
        <w:tc>
          <w:tcPr>
            <w:tcW w:w="1021" w:type="dxa"/>
            <w:hideMark/>
          </w:tcPr>
          <w:p w14:paraId="0D80B1EE" w14:textId="77777777" w:rsidR="00814857" w:rsidRPr="005A6F56" w:rsidRDefault="00814857" w:rsidP="00894126">
            <w:pPr>
              <w:pStyle w:val="ARtabletextright"/>
              <w:rPr>
                <w:b/>
              </w:rPr>
            </w:pPr>
            <w:r w:rsidRPr="005A6F56">
              <w:rPr>
                <w:b/>
                <w:noProof/>
              </w:rPr>
              <w:t>$ million</w:t>
            </w:r>
          </w:p>
        </w:tc>
        <w:tc>
          <w:tcPr>
            <w:tcW w:w="1022" w:type="dxa"/>
            <w:hideMark/>
          </w:tcPr>
          <w:p w14:paraId="1D36AFA9" w14:textId="77777777" w:rsidR="00814857" w:rsidRPr="005A6F56" w:rsidRDefault="00814857" w:rsidP="00894126">
            <w:pPr>
              <w:pStyle w:val="ARtabletextright"/>
              <w:rPr>
                <w:b/>
              </w:rPr>
            </w:pPr>
            <w:r w:rsidRPr="005A6F56">
              <w:rPr>
                <w:b/>
                <w:noProof/>
              </w:rPr>
              <w:t>9.5</w:t>
            </w:r>
          </w:p>
        </w:tc>
        <w:tc>
          <w:tcPr>
            <w:tcW w:w="1022" w:type="dxa"/>
            <w:hideMark/>
          </w:tcPr>
          <w:p w14:paraId="55FDA2B6" w14:textId="77777777" w:rsidR="00814857" w:rsidRPr="005A6F56" w:rsidRDefault="00814857" w:rsidP="00894126">
            <w:pPr>
              <w:pStyle w:val="ARtabletextright"/>
              <w:rPr>
                <w:b/>
              </w:rPr>
            </w:pPr>
            <w:r w:rsidRPr="005A6F56">
              <w:rPr>
                <w:b/>
                <w:noProof/>
              </w:rPr>
              <w:t>11.1</w:t>
            </w:r>
          </w:p>
        </w:tc>
        <w:tc>
          <w:tcPr>
            <w:tcW w:w="1022" w:type="dxa"/>
            <w:hideMark/>
          </w:tcPr>
          <w:p w14:paraId="7E58026B" w14:textId="77777777" w:rsidR="00814857" w:rsidRPr="005A6F56" w:rsidRDefault="00814857" w:rsidP="00894126">
            <w:pPr>
              <w:pStyle w:val="ARtabletextright"/>
              <w:rPr>
                <w:b/>
              </w:rPr>
            </w:pPr>
            <w:r w:rsidRPr="005A6F56">
              <w:rPr>
                <w:b/>
                <w:noProof/>
              </w:rPr>
              <w:t>17.2</w:t>
            </w:r>
          </w:p>
        </w:tc>
        <w:tc>
          <w:tcPr>
            <w:tcW w:w="794" w:type="dxa"/>
            <w:hideMark/>
          </w:tcPr>
          <w:p w14:paraId="1161CF11" w14:textId="77777777" w:rsidR="00814857" w:rsidRPr="005A6F56" w:rsidRDefault="00814857" w:rsidP="00894126">
            <w:pPr>
              <w:rPr>
                <w:b/>
              </w:rPr>
            </w:pPr>
          </w:p>
        </w:tc>
      </w:tr>
      <w:tr w:rsidR="00830963" w14:paraId="17B89D81"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7C16F4C1" w14:textId="2073A30B" w:rsidR="00830963" w:rsidRDefault="00830963" w:rsidP="00DD579E">
            <w:pPr>
              <w:pStyle w:val="ARtablebluebold"/>
            </w:pPr>
            <w:r>
              <w:t>Residential Aged Care</w:t>
            </w:r>
          </w:p>
        </w:tc>
      </w:tr>
      <w:tr w:rsidR="00830963" w14:paraId="77F8A5AB" w14:textId="77777777" w:rsidTr="00A05EB7">
        <w:trPr>
          <w:cantSplit/>
          <w:trHeight w:val="240"/>
        </w:trPr>
        <w:tc>
          <w:tcPr>
            <w:tcW w:w="9645" w:type="dxa"/>
            <w:gridSpan w:val="6"/>
            <w:tcBorders>
              <w:top w:val="single" w:sz="4" w:space="0" w:color="auto"/>
              <w:left w:val="nil"/>
              <w:bottom w:val="nil"/>
              <w:right w:val="nil"/>
            </w:tcBorders>
            <w:hideMark/>
          </w:tcPr>
          <w:p w14:paraId="5EDA4E3F" w14:textId="568D6830" w:rsidR="00830963" w:rsidRDefault="00830963" w:rsidP="00DD579E">
            <w:pPr>
              <w:pStyle w:val="ARtablegreybold"/>
            </w:pPr>
            <w:r w:rsidRPr="00B54655">
              <w:t>Quantity</w:t>
            </w:r>
          </w:p>
        </w:tc>
      </w:tr>
      <w:tr w:rsidR="00814857" w14:paraId="5A3FC17A" w14:textId="77777777" w:rsidTr="00894126">
        <w:trPr>
          <w:cantSplit/>
          <w:trHeight w:val="480"/>
        </w:trPr>
        <w:tc>
          <w:tcPr>
            <w:tcW w:w="4764" w:type="dxa"/>
            <w:hideMark/>
          </w:tcPr>
          <w:p w14:paraId="18F888B6" w14:textId="77777777" w:rsidR="00814857" w:rsidRDefault="00814857" w:rsidP="00894126">
            <w:pPr>
              <w:pStyle w:val="ARtabletext"/>
            </w:pPr>
            <w:r>
              <w:rPr>
                <w:noProof/>
              </w:rPr>
              <w:t>Available bed days</w:t>
            </w:r>
          </w:p>
        </w:tc>
        <w:tc>
          <w:tcPr>
            <w:tcW w:w="1021" w:type="dxa"/>
            <w:hideMark/>
          </w:tcPr>
          <w:p w14:paraId="11A15DB3" w14:textId="77777777" w:rsidR="00814857" w:rsidRDefault="00814857" w:rsidP="00894126">
            <w:pPr>
              <w:pStyle w:val="ARtabletextright"/>
            </w:pPr>
            <w:r>
              <w:rPr>
                <w:noProof/>
              </w:rPr>
              <w:t>days</w:t>
            </w:r>
          </w:p>
        </w:tc>
        <w:tc>
          <w:tcPr>
            <w:tcW w:w="1022" w:type="dxa"/>
            <w:hideMark/>
          </w:tcPr>
          <w:p w14:paraId="76945C9D" w14:textId="77777777" w:rsidR="00814857" w:rsidRDefault="00814857" w:rsidP="00894126">
            <w:pPr>
              <w:pStyle w:val="ARtabletextright"/>
            </w:pPr>
            <w:r>
              <w:rPr>
                <w:noProof/>
              </w:rPr>
              <w:t>1,152,417</w:t>
            </w:r>
          </w:p>
        </w:tc>
        <w:tc>
          <w:tcPr>
            <w:tcW w:w="1022" w:type="dxa"/>
            <w:hideMark/>
          </w:tcPr>
          <w:p w14:paraId="34B1E2E7" w14:textId="77777777" w:rsidR="00814857" w:rsidRDefault="00814857" w:rsidP="00894126">
            <w:pPr>
              <w:pStyle w:val="ARtabletextright"/>
            </w:pPr>
            <w:r>
              <w:rPr>
                <w:noProof/>
              </w:rPr>
              <w:t>1,143,371</w:t>
            </w:r>
          </w:p>
        </w:tc>
        <w:tc>
          <w:tcPr>
            <w:tcW w:w="1022" w:type="dxa"/>
            <w:hideMark/>
          </w:tcPr>
          <w:p w14:paraId="275A991A" w14:textId="77777777" w:rsidR="00814857" w:rsidRDefault="00814857" w:rsidP="00894126">
            <w:pPr>
              <w:pStyle w:val="ARtabletextright"/>
            </w:pPr>
            <w:r>
              <w:rPr>
                <w:noProof/>
              </w:rPr>
              <w:t>-0.8</w:t>
            </w:r>
          </w:p>
        </w:tc>
        <w:tc>
          <w:tcPr>
            <w:tcW w:w="794" w:type="dxa"/>
            <w:hideMark/>
          </w:tcPr>
          <w:p w14:paraId="59B04479" w14:textId="77777777" w:rsidR="00814857" w:rsidRDefault="00814857" w:rsidP="00894126">
            <w:pPr>
              <w:pStyle w:val="ARtabletextright"/>
            </w:pPr>
            <w:r w:rsidRPr="007939DD">
              <w:sym w:font="Wingdings 2" w:char="F099"/>
            </w:r>
          </w:p>
        </w:tc>
      </w:tr>
      <w:tr w:rsidR="00830963" w14:paraId="2CDCF6FE" w14:textId="77777777" w:rsidTr="0056128E">
        <w:trPr>
          <w:cantSplit/>
          <w:trHeight w:val="240"/>
        </w:trPr>
        <w:tc>
          <w:tcPr>
            <w:tcW w:w="9645" w:type="dxa"/>
            <w:gridSpan w:val="6"/>
            <w:tcBorders>
              <w:top w:val="single" w:sz="4" w:space="0" w:color="auto"/>
              <w:left w:val="nil"/>
              <w:right w:val="nil"/>
            </w:tcBorders>
            <w:hideMark/>
          </w:tcPr>
          <w:p w14:paraId="16FE179F" w14:textId="741FFFED" w:rsidR="00830963" w:rsidRPr="00DD579E" w:rsidRDefault="00830963" w:rsidP="00DD579E">
            <w:pPr>
              <w:pStyle w:val="ARtablegreybold"/>
            </w:pPr>
            <w:r>
              <w:t>Quality</w:t>
            </w:r>
          </w:p>
        </w:tc>
      </w:tr>
      <w:tr w:rsidR="00814857" w14:paraId="50A1FB50" w14:textId="77777777" w:rsidTr="0056128E">
        <w:trPr>
          <w:cantSplit/>
          <w:trHeight w:val="454"/>
        </w:trPr>
        <w:tc>
          <w:tcPr>
            <w:tcW w:w="4764" w:type="dxa"/>
            <w:tcBorders>
              <w:bottom w:val="single" w:sz="4" w:space="0" w:color="auto"/>
            </w:tcBorders>
            <w:hideMark/>
          </w:tcPr>
          <w:p w14:paraId="33FC4C03" w14:textId="77777777" w:rsidR="00814857" w:rsidRDefault="00814857" w:rsidP="00894126">
            <w:pPr>
              <w:pStyle w:val="ARtabletext"/>
            </w:pPr>
            <w:r>
              <w:rPr>
                <w:noProof/>
              </w:rPr>
              <w:t>Residential care services accredited</w:t>
            </w:r>
          </w:p>
        </w:tc>
        <w:tc>
          <w:tcPr>
            <w:tcW w:w="1021" w:type="dxa"/>
            <w:tcBorders>
              <w:bottom w:val="single" w:sz="4" w:space="0" w:color="auto"/>
            </w:tcBorders>
            <w:hideMark/>
          </w:tcPr>
          <w:p w14:paraId="70FCCB7B" w14:textId="77777777" w:rsidR="00814857" w:rsidRDefault="00814857" w:rsidP="00894126">
            <w:pPr>
              <w:pStyle w:val="ARtabletextright"/>
            </w:pPr>
            <w:r>
              <w:rPr>
                <w:noProof/>
              </w:rPr>
              <w:t>per cent</w:t>
            </w:r>
          </w:p>
        </w:tc>
        <w:tc>
          <w:tcPr>
            <w:tcW w:w="1022" w:type="dxa"/>
            <w:tcBorders>
              <w:bottom w:val="single" w:sz="4" w:space="0" w:color="auto"/>
            </w:tcBorders>
            <w:hideMark/>
          </w:tcPr>
          <w:p w14:paraId="2D1716F6" w14:textId="77777777" w:rsidR="00814857" w:rsidRDefault="00814857" w:rsidP="00894126">
            <w:pPr>
              <w:pStyle w:val="ARtabletextright"/>
            </w:pPr>
            <w:r>
              <w:rPr>
                <w:noProof/>
              </w:rPr>
              <w:t>100</w:t>
            </w:r>
          </w:p>
        </w:tc>
        <w:tc>
          <w:tcPr>
            <w:tcW w:w="1022" w:type="dxa"/>
            <w:tcBorders>
              <w:bottom w:val="single" w:sz="4" w:space="0" w:color="auto"/>
            </w:tcBorders>
            <w:hideMark/>
          </w:tcPr>
          <w:p w14:paraId="69D896C8" w14:textId="77777777" w:rsidR="00814857" w:rsidRDefault="00814857" w:rsidP="00894126">
            <w:pPr>
              <w:pStyle w:val="ARtabletextright"/>
            </w:pPr>
            <w:r>
              <w:rPr>
                <w:noProof/>
              </w:rPr>
              <w:t>100</w:t>
            </w:r>
          </w:p>
        </w:tc>
        <w:tc>
          <w:tcPr>
            <w:tcW w:w="1022" w:type="dxa"/>
            <w:tcBorders>
              <w:bottom w:val="single" w:sz="4" w:space="0" w:color="auto"/>
            </w:tcBorders>
            <w:hideMark/>
          </w:tcPr>
          <w:p w14:paraId="351D786F" w14:textId="77777777" w:rsidR="00814857" w:rsidRDefault="00814857" w:rsidP="00894126">
            <w:pPr>
              <w:pStyle w:val="ARtabletextright"/>
            </w:pPr>
            <w:r>
              <w:rPr>
                <w:noProof/>
              </w:rPr>
              <w:t>0.0</w:t>
            </w:r>
          </w:p>
        </w:tc>
        <w:tc>
          <w:tcPr>
            <w:tcW w:w="794" w:type="dxa"/>
            <w:tcBorders>
              <w:bottom w:val="single" w:sz="4" w:space="0" w:color="auto"/>
            </w:tcBorders>
            <w:hideMark/>
          </w:tcPr>
          <w:p w14:paraId="46A204E1" w14:textId="77777777" w:rsidR="00814857" w:rsidRDefault="00814857" w:rsidP="00894126">
            <w:pPr>
              <w:pStyle w:val="ARtabletextright"/>
            </w:pPr>
            <w:r>
              <w:sym w:font="Wingdings" w:char="F0FC"/>
            </w:r>
          </w:p>
        </w:tc>
      </w:tr>
      <w:tr w:rsidR="00830963" w14:paraId="4992A3F4" w14:textId="77777777" w:rsidTr="0056128E">
        <w:trPr>
          <w:cantSplit/>
          <w:trHeight w:val="240"/>
        </w:trPr>
        <w:tc>
          <w:tcPr>
            <w:tcW w:w="9645" w:type="dxa"/>
            <w:gridSpan w:val="6"/>
            <w:tcBorders>
              <w:top w:val="single" w:sz="4" w:space="0" w:color="auto"/>
              <w:left w:val="nil"/>
              <w:bottom w:val="nil"/>
              <w:right w:val="nil"/>
            </w:tcBorders>
            <w:hideMark/>
          </w:tcPr>
          <w:p w14:paraId="27F6FE9D" w14:textId="74C1BA7F" w:rsidR="00830963" w:rsidRPr="00DD579E" w:rsidRDefault="00830963" w:rsidP="00DD579E">
            <w:pPr>
              <w:pStyle w:val="ARtablegreybold"/>
            </w:pPr>
            <w:r>
              <w:lastRenderedPageBreak/>
              <w:t>Cost</w:t>
            </w:r>
          </w:p>
        </w:tc>
      </w:tr>
      <w:tr w:rsidR="00814857" w14:paraId="085FF610" w14:textId="77777777" w:rsidTr="00894126">
        <w:trPr>
          <w:cantSplit/>
          <w:trHeight w:val="480"/>
        </w:trPr>
        <w:tc>
          <w:tcPr>
            <w:tcW w:w="4764" w:type="dxa"/>
            <w:hideMark/>
          </w:tcPr>
          <w:p w14:paraId="19A89618" w14:textId="77777777" w:rsidR="00814857" w:rsidRPr="005A6F56" w:rsidRDefault="00814857" w:rsidP="00894126">
            <w:pPr>
              <w:pStyle w:val="ARtabletext"/>
              <w:rPr>
                <w:b/>
              </w:rPr>
            </w:pPr>
            <w:r w:rsidRPr="005A6F56">
              <w:rPr>
                <w:b/>
                <w:noProof/>
              </w:rPr>
              <w:t xml:space="preserve">Total </w:t>
            </w:r>
            <w:r>
              <w:rPr>
                <w:b/>
                <w:noProof/>
              </w:rPr>
              <w:t>o</w:t>
            </w:r>
            <w:r w:rsidRPr="005A6F56">
              <w:rPr>
                <w:b/>
                <w:noProof/>
              </w:rPr>
              <w:t xml:space="preserve">utput </w:t>
            </w:r>
            <w:r>
              <w:rPr>
                <w:b/>
                <w:noProof/>
              </w:rPr>
              <w:t>c</w:t>
            </w:r>
            <w:r w:rsidRPr="005A6F56">
              <w:rPr>
                <w:b/>
                <w:noProof/>
              </w:rPr>
              <w:t>ost</w:t>
            </w:r>
          </w:p>
        </w:tc>
        <w:tc>
          <w:tcPr>
            <w:tcW w:w="1021" w:type="dxa"/>
            <w:hideMark/>
          </w:tcPr>
          <w:p w14:paraId="7392D103" w14:textId="77777777" w:rsidR="00814857" w:rsidRPr="005A6F56" w:rsidRDefault="00814857" w:rsidP="00894126">
            <w:pPr>
              <w:pStyle w:val="ARtabletextright"/>
              <w:rPr>
                <w:b/>
              </w:rPr>
            </w:pPr>
            <w:r w:rsidRPr="005A6F56">
              <w:rPr>
                <w:b/>
                <w:noProof/>
              </w:rPr>
              <w:t>$ million</w:t>
            </w:r>
          </w:p>
        </w:tc>
        <w:tc>
          <w:tcPr>
            <w:tcW w:w="1022" w:type="dxa"/>
            <w:hideMark/>
          </w:tcPr>
          <w:p w14:paraId="62694611" w14:textId="77777777" w:rsidR="00814857" w:rsidRPr="005A6F56" w:rsidRDefault="00814857" w:rsidP="00894126">
            <w:pPr>
              <w:pStyle w:val="ARtabletextright"/>
              <w:rPr>
                <w:b/>
              </w:rPr>
            </w:pPr>
            <w:r w:rsidRPr="005A6F56">
              <w:rPr>
                <w:b/>
                <w:noProof/>
              </w:rPr>
              <w:t>427.8</w:t>
            </w:r>
          </w:p>
        </w:tc>
        <w:tc>
          <w:tcPr>
            <w:tcW w:w="1022" w:type="dxa"/>
            <w:hideMark/>
          </w:tcPr>
          <w:p w14:paraId="7BB1DC41" w14:textId="77777777" w:rsidR="00814857" w:rsidRPr="005A6F56" w:rsidRDefault="00814857" w:rsidP="00894126">
            <w:pPr>
              <w:pStyle w:val="ARtabletextright"/>
              <w:rPr>
                <w:b/>
              </w:rPr>
            </w:pPr>
            <w:r w:rsidRPr="005A6F56">
              <w:rPr>
                <w:b/>
                <w:noProof/>
              </w:rPr>
              <w:t>401.8</w:t>
            </w:r>
          </w:p>
        </w:tc>
        <w:tc>
          <w:tcPr>
            <w:tcW w:w="1022" w:type="dxa"/>
            <w:hideMark/>
          </w:tcPr>
          <w:p w14:paraId="715BA0E5" w14:textId="77777777" w:rsidR="00814857" w:rsidRPr="005A6F56" w:rsidRDefault="00814857" w:rsidP="00894126">
            <w:pPr>
              <w:pStyle w:val="ARtabletextright"/>
              <w:rPr>
                <w:b/>
              </w:rPr>
            </w:pPr>
            <w:r w:rsidRPr="005A6F56">
              <w:rPr>
                <w:b/>
                <w:noProof/>
              </w:rPr>
              <w:t>-6.1</w:t>
            </w:r>
          </w:p>
        </w:tc>
        <w:tc>
          <w:tcPr>
            <w:tcW w:w="794" w:type="dxa"/>
            <w:hideMark/>
          </w:tcPr>
          <w:p w14:paraId="633877FC" w14:textId="77777777" w:rsidR="00814857" w:rsidRPr="005A6F56" w:rsidRDefault="00814857" w:rsidP="00894126">
            <w:pPr>
              <w:rPr>
                <w:b/>
              </w:rPr>
            </w:pPr>
          </w:p>
        </w:tc>
      </w:tr>
      <w:tr w:rsidR="00814857" w14:paraId="219F564F" w14:textId="77777777" w:rsidTr="00894126">
        <w:trPr>
          <w:cantSplit/>
          <w:trHeight w:val="240"/>
        </w:trPr>
        <w:tc>
          <w:tcPr>
            <w:tcW w:w="9645" w:type="dxa"/>
            <w:gridSpan w:val="6"/>
            <w:tcBorders>
              <w:top w:val="nil"/>
              <w:left w:val="nil"/>
              <w:bottom w:val="single" w:sz="4" w:space="0" w:color="BFBFBF"/>
              <w:right w:val="nil"/>
            </w:tcBorders>
            <w:noWrap/>
            <w:hideMark/>
          </w:tcPr>
          <w:p w14:paraId="646F6C6C" w14:textId="77777777" w:rsidR="00814857" w:rsidRDefault="00814857" w:rsidP="00894126">
            <w:pPr>
              <w:pStyle w:val="ARtablenoteindent"/>
            </w:pPr>
            <w:r>
              <w:rPr>
                <w:noProof/>
              </w:rPr>
              <w:t>The result primarily reflects realignment across outputs.</w:t>
            </w:r>
          </w:p>
        </w:tc>
      </w:tr>
      <w:tr w:rsidR="00830963" w14:paraId="4D87E8A6"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7B502AD3" w14:textId="39DC526C" w:rsidR="00830963" w:rsidRDefault="00830963" w:rsidP="00DD579E">
            <w:pPr>
              <w:pStyle w:val="ARtablebluebold"/>
            </w:pPr>
            <w:r>
              <w:t>Aged Care Assessment</w:t>
            </w:r>
          </w:p>
        </w:tc>
      </w:tr>
      <w:tr w:rsidR="00830963" w14:paraId="2BADE344" w14:textId="77777777" w:rsidTr="00A05EB7">
        <w:trPr>
          <w:cantSplit/>
          <w:trHeight w:val="240"/>
        </w:trPr>
        <w:tc>
          <w:tcPr>
            <w:tcW w:w="9645" w:type="dxa"/>
            <w:gridSpan w:val="6"/>
            <w:tcBorders>
              <w:top w:val="single" w:sz="4" w:space="0" w:color="auto"/>
              <w:left w:val="nil"/>
              <w:bottom w:val="nil"/>
              <w:right w:val="nil"/>
            </w:tcBorders>
            <w:hideMark/>
          </w:tcPr>
          <w:p w14:paraId="49FDE102" w14:textId="308A3F5E" w:rsidR="00830963" w:rsidRDefault="00830963" w:rsidP="00DD579E">
            <w:pPr>
              <w:pStyle w:val="ARtablegreybold"/>
            </w:pPr>
            <w:r>
              <w:t>Quantity</w:t>
            </w:r>
          </w:p>
        </w:tc>
      </w:tr>
      <w:tr w:rsidR="00814857" w14:paraId="6DB4A359" w14:textId="77777777" w:rsidTr="00894126">
        <w:trPr>
          <w:cantSplit/>
          <w:trHeight w:val="480"/>
        </w:trPr>
        <w:tc>
          <w:tcPr>
            <w:tcW w:w="4764" w:type="dxa"/>
            <w:hideMark/>
          </w:tcPr>
          <w:p w14:paraId="48F483DD" w14:textId="77777777" w:rsidR="00814857" w:rsidRDefault="00814857" w:rsidP="00894126">
            <w:pPr>
              <w:pStyle w:val="ARtabletext"/>
            </w:pPr>
            <w:r>
              <w:rPr>
                <w:noProof/>
              </w:rPr>
              <w:t>Aged care assessments</w:t>
            </w:r>
          </w:p>
        </w:tc>
        <w:tc>
          <w:tcPr>
            <w:tcW w:w="1021" w:type="dxa"/>
            <w:hideMark/>
          </w:tcPr>
          <w:p w14:paraId="67739F28" w14:textId="77777777" w:rsidR="00814857" w:rsidRDefault="00814857" w:rsidP="00894126">
            <w:pPr>
              <w:pStyle w:val="ARtabletextright"/>
            </w:pPr>
            <w:r>
              <w:rPr>
                <w:noProof/>
              </w:rPr>
              <w:t>number</w:t>
            </w:r>
          </w:p>
        </w:tc>
        <w:tc>
          <w:tcPr>
            <w:tcW w:w="1022" w:type="dxa"/>
            <w:hideMark/>
          </w:tcPr>
          <w:p w14:paraId="59ADB49F" w14:textId="77777777" w:rsidR="00814857" w:rsidRDefault="00814857" w:rsidP="00894126">
            <w:pPr>
              <w:pStyle w:val="ARtabletextright"/>
            </w:pPr>
            <w:r>
              <w:rPr>
                <w:noProof/>
              </w:rPr>
              <w:t>59,000</w:t>
            </w:r>
          </w:p>
        </w:tc>
        <w:tc>
          <w:tcPr>
            <w:tcW w:w="1022" w:type="dxa"/>
            <w:hideMark/>
          </w:tcPr>
          <w:p w14:paraId="77F71199" w14:textId="77777777" w:rsidR="00814857" w:rsidRDefault="00814857" w:rsidP="00894126">
            <w:pPr>
              <w:pStyle w:val="ARtabletextright"/>
            </w:pPr>
            <w:r>
              <w:rPr>
                <w:noProof/>
              </w:rPr>
              <w:t>56,600</w:t>
            </w:r>
          </w:p>
        </w:tc>
        <w:tc>
          <w:tcPr>
            <w:tcW w:w="1022" w:type="dxa"/>
            <w:hideMark/>
          </w:tcPr>
          <w:p w14:paraId="5C6B129E" w14:textId="77777777" w:rsidR="00814857" w:rsidRDefault="00814857" w:rsidP="00894126">
            <w:pPr>
              <w:pStyle w:val="ARtabletextright"/>
            </w:pPr>
            <w:r>
              <w:rPr>
                <w:noProof/>
              </w:rPr>
              <w:t>-4.1</w:t>
            </w:r>
          </w:p>
        </w:tc>
        <w:tc>
          <w:tcPr>
            <w:tcW w:w="794" w:type="dxa"/>
            <w:hideMark/>
          </w:tcPr>
          <w:p w14:paraId="12B610F1" w14:textId="77777777" w:rsidR="00814857" w:rsidRDefault="00814857" w:rsidP="00894126">
            <w:pPr>
              <w:pStyle w:val="ARtabletextright"/>
            </w:pPr>
            <w:r w:rsidRPr="007939DD">
              <w:sym w:font="Wingdings 2" w:char="F099"/>
            </w:r>
          </w:p>
        </w:tc>
      </w:tr>
      <w:tr w:rsidR="00830963" w14:paraId="193EBF81" w14:textId="77777777" w:rsidTr="00A05EB7">
        <w:trPr>
          <w:cantSplit/>
          <w:trHeight w:val="240"/>
        </w:trPr>
        <w:tc>
          <w:tcPr>
            <w:tcW w:w="9645" w:type="dxa"/>
            <w:gridSpan w:val="6"/>
            <w:tcBorders>
              <w:top w:val="single" w:sz="4" w:space="0" w:color="auto"/>
              <w:left w:val="nil"/>
              <w:bottom w:val="nil"/>
              <w:right w:val="nil"/>
            </w:tcBorders>
            <w:hideMark/>
          </w:tcPr>
          <w:p w14:paraId="50138E16" w14:textId="613A9F4C" w:rsidR="00830963" w:rsidRDefault="00830963" w:rsidP="00DD579E">
            <w:pPr>
              <w:pStyle w:val="ARtablegreybold"/>
            </w:pPr>
            <w:r>
              <w:t>Timeliness</w:t>
            </w:r>
          </w:p>
        </w:tc>
      </w:tr>
      <w:tr w:rsidR="00814857" w14:paraId="2D8C6A1D" w14:textId="77777777" w:rsidTr="00894126">
        <w:trPr>
          <w:cantSplit/>
          <w:trHeight w:val="480"/>
        </w:trPr>
        <w:tc>
          <w:tcPr>
            <w:tcW w:w="4764" w:type="dxa"/>
            <w:hideMark/>
          </w:tcPr>
          <w:p w14:paraId="174585B7" w14:textId="77777777" w:rsidR="00814857" w:rsidRDefault="00814857" w:rsidP="00894126">
            <w:pPr>
              <w:pStyle w:val="ARtabletext"/>
            </w:pPr>
            <w:r>
              <w:rPr>
                <w:noProof/>
              </w:rPr>
              <w:t>Percentage of high priority clients assessed within the appropriate time in all settings</w:t>
            </w:r>
          </w:p>
        </w:tc>
        <w:tc>
          <w:tcPr>
            <w:tcW w:w="1021" w:type="dxa"/>
            <w:hideMark/>
          </w:tcPr>
          <w:p w14:paraId="61278CC1" w14:textId="77777777" w:rsidR="00814857" w:rsidRDefault="00814857" w:rsidP="00894126">
            <w:pPr>
              <w:pStyle w:val="ARtabletextright"/>
            </w:pPr>
            <w:r>
              <w:rPr>
                <w:noProof/>
              </w:rPr>
              <w:t>per cent</w:t>
            </w:r>
          </w:p>
        </w:tc>
        <w:tc>
          <w:tcPr>
            <w:tcW w:w="1022" w:type="dxa"/>
            <w:hideMark/>
          </w:tcPr>
          <w:p w14:paraId="454FA8B2" w14:textId="77777777" w:rsidR="00814857" w:rsidRDefault="00814857" w:rsidP="00894126">
            <w:pPr>
              <w:pStyle w:val="ARtabletextright"/>
            </w:pPr>
            <w:r>
              <w:rPr>
                <w:noProof/>
              </w:rPr>
              <w:t>90</w:t>
            </w:r>
          </w:p>
        </w:tc>
        <w:tc>
          <w:tcPr>
            <w:tcW w:w="1022" w:type="dxa"/>
            <w:hideMark/>
          </w:tcPr>
          <w:p w14:paraId="1C0793AD" w14:textId="77777777" w:rsidR="00814857" w:rsidRDefault="00814857" w:rsidP="00894126">
            <w:pPr>
              <w:pStyle w:val="ARtabletextright"/>
            </w:pPr>
            <w:r>
              <w:rPr>
                <w:noProof/>
              </w:rPr>
              <w:t>95</w:t>
            </w:r>
          </w:p>
        </w:tc>
        <w:tc>
          <w:tcPr>
            <w:tcW w:w="1022" w:type="dxa"/>
            <w:hideMark/>
          </w:tcPr>
          <w:p w14:paraId="69B9139C" w14:textId="77777777" w:rsidR="00814857" w:rsidRDefault="00814857" w:rsidP="00894126">
            <w:pPr>
              <w:pStyle w:val="ARtabletextright"/>
            </w:pPr>
            <w:r>
              <w:rPr>
                <w:noProof/>
              </w:rPr>
              <w:t>5.6</w:t>
            </w:r>
          </w:p>
        </w:tc>
        <w:tc>
          <w:tcPr>
            <w:tcW w:w="794" w:type="dxa"/>
            <w:hideMark/>
          </w:tcPr>
          <w:p w14:paraId="7C32379D" w14:textId="77777777" w:rsidR="00814857" w:rsidRDefault="00814857" w:rsidP="00894126">
            <w:pPr>
              <w:pStyle w:val="ARtabletextright"/>
            </w:pPr>
            <w:r>
              <w:sym w:font="Wingdings" w:char="F0FC"/>
            </w:r>
          </w:p>
        </w:tc>
      </w:tr>
      <w:tr w:rsidR="00814857" w14:paraId="7D4286D8" w14:textId="77777777" w:rsidTr="00894126">
        <w:trPr>
          <w:cantSplit/>
          <w:trHeight w:val="240"/>
        </w:trPr>
        <w:tc>
          <w:tcPr>
            <w:tcW w:w="9645" w:type="dxa"/>
            <w:gridSpan w:val="6"/>
            <w:tcBorders>
              <w:top w:val="nil"/>
              <w:left w:val="nil"/>
              <w:bottom w:val="single" w:sz="4" w:space="0" w:color="BFBFBF"/>
              <w:right w:val="nil"/>
            </w:tcBorders>
            <w:noWrap/>
            <w:hideMark/>
          </w:tcPr>
          <w:p w14:paraId="7ECF998C" w14:textId="77777777" w:rsidR="00814857" w:rsidRDefault="00814857" w:rsidP="00894126">
            <w:pPr>
              <w:pStyle w:val="ARtablenoteindent"/>
            </w:pPr>
            <w:r>
              <w:rPr>
                <w:noProof/>
              </w:rPr>
              <w:t>The result is higher than the target. This is a positive result.</w:t>
            </w:r>
          </w:p>
        </w:tc>
      </w:tr>
      <w:tr w:rsidR="00814857" w14:paraId="015CD354" w14:textId="77777777" w:rsidTr="00894126">
        <w:trPr>
          <w:cantSplit/>
          <w:trHeight w:val="480"/>
        </w:trPr>
        <w:tc>
          <w:tcPr>
            <w:tcW w:w="4764" w:type="dxa"/>
            <w:tcBorders>
              <w:bottom w:val="single" w:sz="4" w:space="0" w:color="BFBFBF" w:themeColor="background1" w:themeShade="BF"/>
            </w:tcBorders>
            <w:hideMark/>
          </w:tcPr>
          <w:p w14:paraId="7C3BF763" w14:textId="77777777" w:rsidR="00814857" w:rsidRDefault="00814857" w:rsidP="00894126">
            <w:pPr>
              <w:pStyle w:val="ARtabletext"/>
            </w:pPr>
            <w:r>
              <w:rPr>
                <w:noProof/>
              </w:rPr>
              <w:t>Percentage of low priority clients assessed within the appropriate time in all settings</w:t>
            </w:r>
          </w:p>
        </w:tc>
        <w:tc>
          <w:tcPr>
            <w:tcW w:w="1021" w:type="dxa"/>
            <w:tcBorders>
              <w:bottom w:val="single" w:sz="4" w:space="0" w:color="BFBFBF" w:themeColor="background1" w:themeShade="BF"/>
            </w:tcBorders>
            <w:hideMark/>
          </w:tcPr>
          <w:p w14:paraId="238E98F6" w14:textId="77777777" w:rsidR="00814857" w:rsidRDefault="00814857" w:rsidP="00894126">
            <w:pPr>
              <w:pStyle w:val="ARtabletextright"/>
            </w:pPr>
            <w:r>
              <w:rPr>
                <w:noProof/>
              </w:rPr>
              <w:t>per cent</w:t>
            </w:r>
          </w:p>
        </w:tc>
        <w:tc>
          <w:tcPr>
            <w:tcW w:w="1022" w:type="dxa"/>
            <w:tcBorders>
              <w:bottom w:val="single" w:sz="4" w:space="0" w:color="BFBFBF" w:themeColor="background1" w:themeShade="BF"/>
            </w:tcBorders>
            <w:hideMark/>
          </w:tcPr>
          <w:p w14:paraId="308EE2EB" w14:textId="77777777" w:rsidR="00814857" w:rsidRDefault="00814857" w:rsidP="00894126">
            <w:pPr>
              <w:pStyle w:val="ARtabletextright"/>
            </w:pPr>
            <w:r>
              <w:rPr>
                <w:noProof/>
              </w:rPr>
              <w:t>90</w:t>
            </w:r>
          </w:p>
        </w:tc>
        <w:tc>
          <w:tcPr>
            <w:tcW w:w="1022" w:type="dxa"/>
            <w:tcBorders>
              <w:bottom w:val="single" w:sz="4" w:space="0" w:color="BFBFBF" w:themeColor="background1" w:themeShade="BF"/>
            </w:tcBorders>
            <w:hideMark/>
          </w:tcPr>
          <w:p w14:paraId="74A42B22" w14:textId="77777777" w:rsidR="00814857" w:rsidRDefault="00814857" w:rsidP="00894126">
            <w:pPr>
              <w:pStyle w:val="ARtabletextright"/>
            </w:pPr>
            <w:r>
              <w:rPr>
                <w:noProof/>
              </w:rPr>
              <w:t>89</w:t>
            </w:r>
          </w:p>
        </w:tc>
        <w:tc>
          <w:tcPr>
            <w:tcW w:w="1022" w:type="dxa"/>
            <w:tcBorders>
              <w:bottom w:val="single" w:sz="4" w:space="0" w:color="BFBFBF" w:themeColor="background1" w:themeShade="BF"/>
            </w:tcBorders>
            <w:hideMark/>
          </w:tcPr>
          <w:p w14:paraId="5917A86B" w14:textId="77777777" w:rsidR="00814857" w:rsidRDefault="00814857" w:rsidP="00894126">
            <w:pPr>
              <w:pStyle w:val="ARtabletextright"/>
            </w:pPr>
            <w:r>
              <w:rPr>
                <w:noProof/>
              </w:rPr>
              <w:t>-1.1</w:t>
            </w:r>
          </w:p>
        </w:tc>
        <w:tc>
          <w:tcPr>
            <w:tcW w:w="794" w:type="dxa"/>
            <w:tcBorders>
              <w:bottom w:val="single" w:sz="4" w:space="0" w:color="BFBFBF" w:themeColor="background1" w:themeShade="BF"/>
            </w:tcBorders>
            <w:hideMark/>
          </w:tcPr>
          <w:p w14:paraId="7BA4EE74" w14:textId="77777777" w:rsidR="00814857" w:rsidRDefault="00814857" w:rsidP="00894126">
            <w:pPr>
              <w:pStyle w:val="ARtabletextright"/>
            </w:pPr>
            <w:r w:rsidRPr="007939DD">
              <w:sym w:font="Wingdings 2" w:char="F099"/>
            </w:r>
          </w:p>
        </w:tc>
      </w:tr>
      <w:tr w:rsidR="00814857" w14:paraId="209DF420"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6123E24E" w14:textId="77777777" w:rsidR="00814857" w:rsidRDefault="00814857" w:rsidP="00894126">
            <w:pPr>
              <w:pStyle w:val="ARtabletext"/>
            </w:pPr>
            <w:r>
              <w:rPr>
                <w:noProof/>
              </w:rPr>
              <w:t>Percentage of medium priority clients assessed within the appropriate time in all settings</w:t>
            </w:r>
          </w:p>
        </w:tc>
        <w:tc>
          <w:tcPr>
            <w:tcW w:w="1021" w:type="dxa"/>
            <w:tcBorders>
              <w:top w:val="single" w:sz="4" w:space="0" w:color="BFBFBF" w:themeColor="background1" w:themeShade="BF"/>
              <w:bottom w:val="single" w:sz="4" w:space="0" w:color="BFBFBF" w:themeColor="background1" w:themeShade="BF"/>
            </w:tcBorders>
            <w:hideMark/>
          </w:tcPr>
          <w:p w14:paraId="38ADAB4C" w14:textId="77777777" w:rsidR="00814857" w:rsidRDefault="00814857" w:rsidP="00894126">
            <w:pPr>
              <w:pStyle w:val="ARtabletextright"/>
            </w:pPr>
            <w:r>
              <w:rPr>
                <w:noProof/>
              </w:rPr>
              <w:t>per cent</w:t>
            </w:r>
          </w:p>
        </w:tc>
        <w:tc>
          <w:tcPr>
            <w:tcW w:w="1022" w:type="dxa"/>
            <w:tcBorders>
              <w:top w:val="single" w:sz="4" w:space="0" w:color="BFBFBF" w:themeColor="background1" w:themeShade="BF"/>
              <w:bottom w:val="single" w:sz="4" w:space="0" w:color="BFBFBF" w:themeColor="background1" w:themeShade="BF"/>
            </w:tcBorders>
            <w:hideMark/>
          </w:tcPr>
          <w:p w14:paraId="79914332" w14:textId="77777777" w:rsidR="00814857" w:rsidRDefault="00814857" w:rsidP="00894126">
            <w:pPr>
              <w:pStyle w:val="ARtabletextright"/>
            </w:pPr>
            <w:r>
              <w:rPr>
                <w:noProof/>
              </w:rPr>
              <w:t>90</w:t>
            </w:r>
          </w:p>
        </w:tc>
        <w:tc>
          <w:tcPr>
            <w:tcW w:w="1022" w:type="dxa"/>
            <w:tcBorders>
              <w:top w:val="single" w:sz="4" w:space="0" w:color="BFBFBF" w:themeColor="background1" w:themeShade="BF"/>
              <w:bottom w:val="single" w:sz="4" w:space="0" w:color="BFBFBF" w:themeColor="background1" w:themeShade="BF"/>
            </w:tcBorders>
            <w:hideMark/>
          </w:tcPr>
          <w:p w14:paraId="54CBC508" w14:textId="77777777" w:rsidR="00814857" w:rsidRDefault="00814857" w:rsidP="00894126">
            <w:pPr>
              <w:pStyle w:val="ARtabletextright"/>
            </w:pPr>
            <w:r>
              <w:rPr>
                <w:noProof/>
              </w:rPr>
              <w:t>98</w:t>
            </w:r>
          </w:p>
        </w:tc>
        <w:tc>
          <w:tcPr>
            <w:tcW w:w="1022" w:type="dxa"/>
            <w:tcBorders>
              <w:top w:val="single" w:sz="4" w:space="0" w:color="BFBFBF" w:themeColor="background1" w:themeShade="BF"/>
              <w:bottom w:val="single" w:sz="4" w:space="0" w:color="BFBFBF" w:themeColor="background1" w:themeShade="BF"/>
            </w:tcBorders>
            <w:hideMark/>
          </w:tcPr>
          <w:p w14:paraId="2852A517" w14:textId="77777777" w:rsidR="00814857" w:rsidRDefault="00814857" w:rsidP="00894126">
            <w:pPr>
              <w:pStyle w:val="ARtabletextright"/>
            </w:pPr>
            <w:r>
              <w:rPr>
                <w:noProof/>
              </w:rPr>
              <w:t>8.9</w:t>
            </w:r>
          </w:p>
        </w:tc>
        <w:tc>
          <w:tcPr>
            <w:tcW w:w="794" w:type="dxa"/>
            <w:tcBorders>
              <w:top w:val="single" w:sz="4" w:space="0" w:color="BFBFBF" w:themeColor="background1" w:themeShade="BF"/>
              <w:bottom w:val="single" w:sz="4" w:space="0" w:color="BFBFBF" w:themeColor="background1" w:themeShade="BF"/>
            </w:tcBorders>
            <w:hideMark/>
          </w:tcPr>
          <w:p w14:paraId="05942D63" w14:textId="77777777" w:rsidR="00814857" w:rsidRDefault="00814857" w:rsidP="00894126">
            <w:pPr>
              <w:pStyle w:val="ARtabletextright"/>
            </w:pPr>
            <w:r>
              <w:sym w:font="Wingdings" w:char="F0FC"/>
            </w:r>
          </w:p>
        </w:tc>
      </w:tr>
      <w:tr w:rsidR="00814857" w14:paraId="43B82088" w14:textId="77777777" w:rsidTr="00894126">
        <w:trPr>
          <w:cantSplit/>
          <w:trHeight w:val="480"/>
        </w:trPr>
        <w:tc>
          <w:tcPr>
            <w:tcW w:w="4764" w:type="dxa"/>
            <w:tcBorders>
              <w:top w:val="single" w:sz="4" w:space="0" w:color="BFBFBF" w:themeColor="background1" w:themeShade="BF"/>
            </w:tcBorders>
            <w:hideMark/>
          </w:tcPr>
          <w:p w14:paraId="66AB3C33" w14:textId="77777777" w:rsidR="00814857" w:rsidRDefault="00814857" w:rsidP="00894126">
            <w:pPr>
              <w:pStyle w:val="ARtabletext"/>
            </w:pPr>
            <w:r>
              <w:rPr>
                <w:noProof/>
              </w:rPr>
              <w:t>Average waiting time (calendar days) from referral to assessment</w:t>
            </w:r>
          </w:p>
        </w:tc>
        <w:tc>
          <w:tcPr>
            <w:tcW w:w="1021" w:type="dxa"/>
            <w:tcBorders>
              <w:top w:val="single" w:sz="4" w:space="0" w:color="BFBFBF" w:themeColor="background1" w:themeShade="BF"/>
            </w:tcBorders>
            <w:hideMark/>
          </w:tcPr>
          <w:p w14:paraId="523162CB" w14:textId="77777777" w:rsidR="00814857" w:rsidRDefault="00814857" w:rsidP="00894126">
            <w:pPr>
              <w:pStyle w:val="ARtabletextright"/>
            </w:pPr>
            <w:r>
              <w:rPr>
                <w:noProof/>
              </w:rPr>
              <w:t>days</w:t>
            </w:r>
          </w:p>
        </w:tc>
        <w:tc>
          <w:tcPr>
            <w:tcW w:w="1022" w:type="dxa"/>
            <w:tcBorders>
              <w:top w:val="single" w:sz="4" w:space="0" w:color="BFBFBF" w:themeColor="background1" w:themeShade="BF"/>
            </w:tcBorders>
            <w:hideMark/>
          </w:tcPr>
          <w:p w14:paraId="4BA7DFA9" w14:textId="77777777" w:rsidR="00814857" w:rsidRDefault="00814857" w:rsidP="00894126">
            <w:pPr>
              <w:pStyle w:val="ARtabletextright"/>
            </w:pPr>
            <w:r>
              <w:rPr>
                <w:noProof/>
              </w:rPr>
              <w:t>16</w:t>
            </w:r>
          </w:p>
        </w:tc>
        <w:tc>
          <w:tcPr>
            <w:tcW w:w="1022" w:type="dxa"/>
            <w:tcBorders>
              <w:top w:val="single" w:sz="4" w:space="0" w:color="BFBFBF" w:themeColor="background1" w:themeShade="BF"/>
            </w:tcBorders>
            <w:hideMark/>
          </w:tcPr>
          <w:p w14:paraId="023C2F0A" w14:textId="77777777" w:rsidR="00814857" w:rsidRDefault="00814857" w:rsidP="00894126">
            <w:pPr>
              <w:pStyle w:val="ARtabletextright"/>
            </w:pPr>
            <w:r>
              <w:rPr>
                <w:noProof/>
              </w:rPr>
              <w:t>18</w:t>
            </w:r>
          </w:p>
        </w:tc>
        <w:tc>
          <w:tcPr>
            <w:tcW w:w="1022" w:type="dxa"/>
            <w:tcBorders>
              <w:top w:val="single" w:sz="4" w:space="0" w:color="BFBFBF" w:themeColor="background1" w:themeShade="BF"/>
            </w:tcBorders>
            <w:hideMark/>
          </w:tcPr>
          <w:p w14:paraId="59E54189" w14:textId="77777777" w:rsidR="00814857" w:rsidRDefault="00814857" w:rsidP="00894126">
            <w:pPr>
              <w:pStyle w:val="ARtabletextright"/>
            </w:pPr>
            <w:r>
              <w:rPr>
                <w:noProof/>
              </w:rPr>
              <w:t>12.5</w:t>
            </w:r>
          </w:p>
        </w:tc>
        <w:tc>
          <w:tcPr>
            <w:tcW w:w="794" w:type="dxa"/>
            <w:tcBorders>
              <w:top w:val="single" w:sz="4" w:space="0" w:color="BFBFBF" w:themeColor="background1" w:themeShade="BF"/>
            </w:tcBorders>
            <w:hideMark/>
          </w:tcPr>
          <w:p w14:paraId="4B1019BC" w14:textId="77777777" w:rsidR="00814857" w:rsidRDefault="00814857" w:rsidP="00894126">
            <w:pPr>
              <w:pStyle w:val="ARtabletextright"/>
            </w:pPr>
            <w:r>
              <w:sym w:font="Wingdings" w:char="F06E"/>
            </w:r>
          </w:p>
        </w:tc>
      </w:tr>
      <w:tr w:rsidR="00814857" w14:paraId="5F557A7B" w14:textId="77777777" w:rsidTr="00894126">
        <w:trPr>
          <w:cantSplit/>
          <w:trHeight w:val="240"/>
        </w:trPr>
        <w:tc>
          <w:tcPr>
            <w:tcW w:w="9645" w:type="dxa"/>
            <w:gridSpan w:val="6"/>
            <w:tcBorders>
              <w:top w:val="nil"/>
              <w:left w:val="nil"/>
              <w:bottom w:val="single" w:sz="4" w:space="0" w:color="BFBFBF"/>
              <w:right w:val="nil"/>
            </w:tcBorders>
            <w:noWrap/>
            <w:hideMark/>
          </w:tcPr>
          <w:p w14:paraId="09C4D614" w14:textId="77777777" w:rsidR="00814857" w:rsidRDefault="00814857" w:rsidP="00894126">
            <w:pPr>
              <w:pStyle w:val="ARtablenoteindent"/>
            </w:pPr>
            <w:r>
              <w:rPr>
                <w:noProof/>
              </w:rPr>
              <w:t xml:space="preserve">Under-performance specifically relates to lower-acuity community assessments. High-priority and medium-priority assessments are meeting key performance indicators. </w:t>
            </w:r>
          </w:p>
        </w:tc>
      </w:tr>
      <w:tr w:rsidR="00830963" w14:paraId="57E36A17" w14:textId="77777777" w:rsidTr="00A05EB7">
        <w:trPr>
          <w:cantSplit/>
          <w:trHeight w:val="240"/>
        </w:trPr>
        <w:tc>
          <w:tcPr>
            <w:tcW w:w="9645" w:type="dxa"/>
            <w:gridSpan w:val="6"/>
            <w:tcBorders>
              <w:top w:val="single" w:sz="4" w:space="0" w:color="auto"/>
              <w:left w:val="nil"/>
              <w:bottom w:val="nil"/>
              <w:right w:val="nil"/>
            </w:tcBorders>
            <w:hideMark/>
          </w:tcPr>
          <w:p w14:paraId="65570EE6" w14:textId="77052E68" w:rsidR="00830963" w:rsidRDefault="00830963" w:rsidP="00DD579E">
            <w:pPr>
              <w:pStyle w:val="ARtablegreybold"/>
            </w:pPr>
            <w:r>
              <w:t>Cost</w:t>
            </w:r>
          </w:p>
        </w:tc>
      </w:tr>
      <w:tr w:rsidR="00814857" w14:paraId="2A3424ED" w14:textId="77777777" w:rsidTr="00894126">
        <w:trPr>
          <w:cantSplit/>
          <w:trHeight w:val="480"/>
        </w:trPr>
        <w:tc>
          <w:tcPr>
            <w:tcW w:w="4764" w:type="dxa"/>
            <w:hideMark/>
          </w:tcPr>
          <w:p w14:paraId="4A69DAB5" w14:textId="77777777" w:rsidR="00814857" w:rsidRPr="004305B0" w:rsidRDefault="00814857" w:rsidP="00894126">
            <w:pPr>
              <w:pStyle w:val="ARtabletext"/>
              <w:rPr>
                <w:b/>
              </w:rPr>
            </w:pPr>
            <w:r w:rsidRPr="004305B0">
              <w:rPr>
                <w:b/>
                <w:noProof/>
              </w:rPr>
              <w:t xml:space="preserve">Total </w:t>
            </w:r>
            <w:r>
              <w:rPr>
                <w:b/>
                <w:noProof/>
              </w:rPr>
              <w:t>o</w:t>
            </w:r>
            <w:r w:rsidRPr="004305B0">
              <w:rPr>
                <w:b/>
                <w:noProof/>
              </w:rPr>
              <w:t xml:space="preserve">utput </w:t>
            </w:r>
            <w:r>
              <w:rPr>
                <w:b/>
                <w:noProof/>
              </w:rPr>
              <w:t>c</w:t>
            </w:r>
            <w:r w:rsidRPr="004305B0">
              <w:rPr>
                <w:b/>
                <w:noProof/>
              </w:rPr>
              <w:t>ost</w:t>
            </w:r>
          </w:p>
        </w:tc>
        <w:tc>
          <w:tcPr>
            <w:tcW w:w="1021" w:type="dxa"/>
            <w:hideMark/>
          </w:tcPr>
          <w:p w14:paraId="59F8303D" w14:textId="77777777" w:rsidR="00814857" w:rsidRPr="004305B0" w:rsidRDefault="00814857" w:rsidP="00894126">
            <w:pPr>
              <w:pStyle w:val="ARtabletextright"/>
              <w:rPr>
                <w:b/>
              </w:rPr>
            </w:pPr>
            <w:r w:rsidRPr="004305B0">
              <w:rPr>
                <w:b/>
                <w:noProof/>
              </w:rPr>
              <w:t>$ million</w:t>
            </w:r>
          </w:p>
        </w:tc>
        <w:tc>
          <w:tcPr>
            <w:tcW w:w="1022" w:type="dxa"/>
            <w:hideMark/>
          </w:tcPr>
          <w:p w14:paraId="215F6FE0" w14:textId="77777777" w:rsidR="00814857" w:rsidRPr="004305B0" w:rsidRDefault="00814857" w:rsidP="00894126">
            <w:pPr>
              <w:pStyle w:val="ARtabletextright"/>
              <w:rPr>
                <w:b/>
              </w:rPr>
            </w:pPr>
            <w:r w:rsidRPr="004305B0">
              <w:rPr>
                <w:b/>
                <w:noProof/>
              </w:rPr>
              <w:t>31.5</w:t>
            </w:r>
          </w:p>
        </w:tc>
        <w:tc>
          <w:tcPr>
            <w:tcW w:w="1022" w:type="dxa"/>
            <w:hideMark/>
          </w:tcPr>
          <w:p w14:paraId="6553A470" w14:textId="77777777" w:rsidR="00814857" w:rsidRPr="004305B0" w:rsidRDefault="00814857" w:rsidP="00894126">
            <w:pPr>
              <w:pStyle w:val="ARtabletextright"/>
              <w:rPr>
                <w:b/>
              </w:rPr>
            </w:pPr>
            <w:r w:rsidRPr="004305B0">
              <w:rPr>
                <w:b/>
                <w:noProof/>
              </w:rPr>
              <w:t>62.8</w:t>
            </w:r>
          </w:p>
        </w:tc>
        <w:tc>
          <w:tcPr>
            <w:tcW w:w="1022" w:type="dxa"/>
            <w:hideMark/>
          </w:tcPr>
          <w:p w14:paraId="54D84224" w14:textId="77777777" w:rsidR="00814857" w:rsidRPr="004305B0" w:rsidRDefault="00814857" w:rsidP="00894126">
            <w:pPr>
              <w:pStyle w:val="ARtabletextright"/>
              <w:rPr>
                <w:b/>
              </w:rPr>
            </w:pPr>
            <w:r w:rsidRPr="004305B0">
              <w:rPr>
                <w:b/>
                <w:noProof/>
              </w:rPr>
              <w:t>99.4</w:t>
            </w:r>
          </w:p>
        </w:tc>
        <w:tc>
          <w:tcPr>
            <w:tcW w:w="794" w:type="dxa"/>
            <w:hideMark/>
          </w:tcPr>
          <w:p w14:paraId="076E36AC" w14:textId="77777777" w:rsidR="00814857" w:rsidRPr="004305B0" w:rsidRDefault="00814857" w:rsidP="00894126">
            <w:pPr>
              <w:rPr>
                <w:b/>
              </w:rPr>
            </w:pPr>
          </w:p>
        </w:tc>
      </w:tr>
      <w:tr w:rsidR="00814857" w14:paraId="228B8A1C" w14:textId="77777777" w:rsidTr="00894126">
        <w:trPr>
          <w:cantSplit/>
          <w:trHeight w:val="240"/>
        </w:trPr>
        <w:tc>
          <w:tcPr>
            <w:tcW w:w="9645" w:type="dxa"/>
            <w:gridSpan w:val="6"/>
            <w:tcBorders>
              <w:top w:val="nil"/>
              <w:left w:val="nil"/>
              <w:bottom w:val="single" w:sz="4" w:space="0" w:color="BFBFBF"/>
              <w:right w:val="nil"/>
            </w:tcBorders>
            <w:noWrap/>
            <w:hideMark/>
          </w:tcPr>
          <w:p w14:paraId="2D7953AB" w14:textId="77777777" w:rsidR="00814857" w:rsidRDefault="00814857" w:rsidP="00894126">
            <w:pPr>
              <w:pStyle w:val="ARtablenoteindent"/>
            </w:pPr>
            <w:r>
              <w:rPr>
                <w:noProof/>
              </w:rPr>
              <w:t>The result reflects Commonwealth funding relating to the Aged Care Assessment Program, which was finalised with the Commonwealth after the budget was published.</w:t>
            </w:r>
          </w:p>
        </w:tc>
      </w:tr>
      <w:tr w:rsidR="00830963" w14:paraId="3963460A"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0252B12A" w14:textId="7490C957" w:rsidR="00830963" w:rsidRDefault="00830963" w:rsidP="00DD579E">
            <w:pPr>
              <w:pStyle w:val="ARtablebluebold"/>
            </w:pPr>
            <w:r>
              <w:t>Aged Support Services</w:t>
            </w:r>
          </w:p>
        </w:tc>
      </w:tr>
      <w:tr w:rsidR="00830963" w14:paraId="376F4DF3" w14:textId="77777777" w:rsidTr="00A05EB7">
        <w:trPr>
          <w:cantSplit/>
          <w:trHeight w:val="240"/>
        </w:trPr>
        <w:tc>
          <w:tcPr>
            <w:tcW w:w="9645" w:type="dxa"/>
            <w:gridSpan w:val="6"/>
            <w:tcBorders>
              <w:top w:val="single" w:sz="4" w:space="0" w:color="auto"/>
              <w:left w:val="nil"/>
              <w:bottom w:val="nil"/>
              <w:right w:val="nil"/>
            </w:tcBorders>
            <w:hideMark/>
          </w:tcPr>
          <w:p w14:paraId="05736827" w14:textId="5AC84BA1" w:rsidR="00830963" w:rsidRDefault="00830963" w:rsidP="00DD579E">
            <w:pPr>
              <w:pStyle w:val="ARtablegreybold"/>
            </w:pPr>
            <w:r>
              <w:t>Quantity</w:t>
            </w:r>
          </w:p>
        </w:tc>
      </w:tr>
      <w:tr w:rsidR="00814857" w14:paraId="37C05E87" w14:textId="77777777" w:rsidTr="00894126">
        <w:trPr>
          <w:cantSplit/>
          <w:trHeight w:val="480"/>
        </w:trPr>
        <w:tc>
          <w:tcPr>
            <w:tcW w:w="4764" w:type="dxa"/>
            <w:hideMark/>
          </w:tcPr>
          <w:p w14:paraId="440E3C71" w14:textId="77777777" w:rsidR="00814857" w:rsidRDefault="00814857" w:rsidP="00894126">
            <w:pPr>
              <w:pStyle w:val="ARtabletext"/>
            </w:pPr>
            <w:r>
              <w:rPr>
                <w:noProof/>
              </w:rPr>
              <w:t>Individuals provided with respite and support services</w:t>
            </w:r>
          </w:p>
        </w:tc>
        <w:tc>
          <w:tcPr>
            <w:tcW w:w="1021" w:type="dxa"/>
            <w:hideMark/>
          </w:tcPr>
          <w:p w14:paraId="71319ABB" w14:textId="77777777" w:rsidR="00814857" w:rsidRDefault="00814857" w:rsidP="00894126">
            <w:pPr>
              <w:pStyle w:val="ARtabletextright"/>
            </w:pPr>
            <w:r>
              <w:rPr>
                <w:noProof/>
              </w:rPr>
              <w:t>number</w:t>
            </w:r>
          </w:p>
        </w:tc>
        <w:tc>
          <w:tcPr>
            <w:tcW w:w="1022" w:type="dxa"/>
            <w:hideMark/>
          </w:tcPr>
          <w:p w14:paraId="1709F66A" w14:textId="77777777" w:rsidR="00814857" w:rsidRDefault="00814857" w:rsidP="00894126">
            <w:pPr>
              <w:pStyle w:val="ARtabletextright"/>
            </w:pPr>
            <w:r>
              <w:rPr>
                <w:noProof/>
              </w:rPr>
              <w:t>8,254</w:t>
            </w:r>
          </w:p>
        </w:tc>
        <w:tc>
          <w:tcPr>
            <w:tcW w:w="1022" w:type="dxa"/>
            <w:hideMark/>
          </w:tcPr>
          <w:p w14:paraId="743F0B5C" w14:textId="77777777" w:rsidR="00814857" w:rsidRDefault="00814857" w:rsidP="00894126">
            <w:pPr>
              <w:pStyle w:val="ARtabletextright"/>
            </w:pPr>
            <w:r>
              <w:rPr>
                <w:noProof/>
              </w:rPr>
              <w:t>8,788</w:t>
            </w:r>
          </w:p>
        </w:tc>
        <w:tc>
          <w:tcPr>
            <w:tcW w:w="1022" w:type="dxa"/>
            <w:hideMark/>
          </w:tcPr>
          <w:p w14:paraId="31A3B3DF" w14:textId="77777777" w:rsidR="00814857" w:rsidRDefault="00814857" w:rsidP="00894126">
            <w:pPr>
              <w:pStyle w:val="ARtabletextright"/>
            </w:pPr>
            <w:r>
              <w:rPr>
                <w:noProof/>
              </w:rPr>
              <w:t>6.5</w:t>
            </w:r>
          </w:p>
        </w:tc>
        <w:tc>
          <w:tcPr>
            <w:tcW w:w="794" w:type="dxa"/>
            <w:hideMark/>
          </w:tcPr>
          <w:p w14:paraId="703837C4" w14:textId="77777777" w:rsidR="00814857" w:rsidRDefault="00814857" w:rsidP="00894126">
            <w:pPr>
              <w:pStyle w:val="ARtabletextright"/>
            </w:pPr>
            <w:r>
              <w:sym w:font="Wingdings" w:char="F0FC"/>
            </w:r>
          </w:p>
        </w:tc>
      </w:tr>
      <w:tr w:rsidR="00814857" w14:paraId="4B58D042" w14:textId="77777777" w:rsidTr="00894126">
        <w:trPr>
          <w:cantSplit/>
          <w:trHeight w:val="240"/>
        </w:trPr>
        <w:tc>
          <w:tcPr>
            <w:tcW w:w="9645" w:type="dxa"/>
            <w:gridSpan w:val="6"/>
            <w:tcBorders>
              <w:top w:val="nil"/>
              <w:left w:val="nil"/>
              <w:bottom w:val="single" w:sz="4" w:space="0" w:color="BFBFBF"/>
              <w:right w:val="nil"/>
            </w:tcBorders>
            <w:noWrap/>
            <w:hideMark/>
          </w:tcPr>
          <w:p w14:paraId="69F7327D" w14:textId="77777777" w:rsidR="00814857" w:rsidRDefault="00814857" w:rsidP="00894126">
            <w:pPr>
              <w:pStyle w:val="ARtablenoteindent"/>
            </w:pPr>
            <w:r>
              <w:rPr>
                <w:noProof/>
              </w:rPr>
              <w:t>Agencies have the opportunity to resubmit data for all quarters. The final measure may change due to strategies undertaken to imrpove quality of reporting by agencies. Finalised measure will be available late 2019.</w:t>
            </w:r>
          </w:p>
        </w:tc>
      </w:tr>
      <w:tr w:rsidR="00814857" w14:paraId="5A22F333" w14:textId="77777777" w:rsidTr="00894126">
        <w:trPr>
          <w:cantSplit/>
          <w:trHeight w:val="480"/>
        </w:trPr>
        <w:tc>
          <w:tcPr>
            <w:tcW w:w="4764" w:type="dxa"/>
            <w:hideMark/>
          </w:tcPr>
          <w:p w14:paraId="293A4E91" w14:textId="77777777" w:rsidR="00814857" w:rsidRDefault="00814857" w:rsidP="00894126">
            <w:pPr>
              <w:pStyle w:val="ARtabletext"/>
            </w:pPr>
            <w:r>
              <w:rPr>
                <w:noProof/>
              </w:rPr>
              <w:t>Number of hours of respite and support services</w:t>
            </w:r>
          </w:p>
        </w:tc>
        <w:tc>
          <w:tcPr>
            <w:tcW w:w="1021" w:type="dxa"/>
            <w:hideMark/>
          </w:tcPr>
          <w:p w14:paraId="3CE4DB4E" w14:textId="77777777" w:rsidR="00814857" w:rsidRDefault="00814857" w:rsidP="00894126">
            <w:pPr>
              <w:pStyle w:val="ARtabletextright"/>
            </w:pPr>
            <w:r>
              <w:rPr>
                <w:noProof/>
              </w:rPr>
              <w:t>number</w:t>
            </w:r>
          </w:p>
        </w:tc>
        <w:tc>
          <w:tcPr>
            <w:tcW w:w="1022" w:type="dxa"/>
            <w:hideMark/>
          </w:tcPr>
          <w:p w14:paraId="32BE15E1" w14:textId="77777777" w:rsidR="00814857" w:rsidRDefault="00814857" w:rsidP="00894126">
            <w:pPr>
              <w:pStyle w:val="ARtabletextright"/>
            </w:pPr>
            <w:r>
              <w:rPr>
                <w:noProof/>
              </w:rPr>
              <w:t>161,250</w:t>
            </w:r>
          </w:p>
        </w:tc>
        <w:tc>
          <w:tcPr>
            <w:tcW w:w="1022" w:type="dxa"/>
            <w:hideMark/>
          </w:tcPr>
          <w:p w14:paraId="415A2AB6" w14:textId="77777777" w:rsidR="00814857" w:rsidRPr="00017326" w:rsidRDefault="00814857" w:rsidP="00894126">
            <w:pPr>
              <w:pStyle w:val="ARtabletextright"/>
            </w:pPr>
            <w:r w:rsidRPr="00017326">
              <w:rPr>
                <w:noProof/>
              </w:rPr>
              <w:t>238,286</w:t>
            </w:r>
          </w:p>
        </w:tc>
        <w:tc>
          <w:tcPr>
            <w:tcW w:w="1022" w:type="dxa"/>
            <w:hideMark/>
          </w:tcPr>
          <w:p w14:paraId="3B255704" w14:textId="77777777" w:rsidR="00814857" w:rsidRPr="00017326" w:rsidRDefault="00814857" w:rsidP="00894126">
            <w:pPr>
              <w:pStyle w:val="ARtabletextright"/>
            </w:pPr>
            <w:r w:rsidRPr="00017326">
              <w:rPr>
                <w:noProof/>
              </w:rPr>
              <w:t>47.8</w:t>
            </w:r>
          </w:p>
        </w:tc>
        <w:tc>
          <w:tcPr>
            <w:tcW w:w="794" w:type="dxa"/>
            <w:hideMark/>
          </w:tcPr>
          <w:p w14:paraId="2288188F" w14:textId="77777777" w:rsidR="00814857" w:rsidRPr="00017326" w:rsidRDefault="00814857" w:rsidP="00894126">
            <w:pPr>
              <w:pStyle w:val="ARtabletextright"/>
            </w:pPr>
            <w:r w:rsidRPr="00017326">
              <w:sym w:font="Wingdings" w:char="F0FC"/>
            </w:r>
          </w:p>
        </w:tc>
      </w:tr>
      <w:tr w:rsidR="00814857" w14:paraId="5DA806D8" w14:textId="77777777" w:rsidTr="00894126">
        <w:trPr>
          <w:cantSplit/>
          <w:trHeight w:val="240"/>
        </w:trPr>
        <w:tc>
          <w:tcPr>
            <w:tcW w:w="9645" w:type="dxa"/>
            <w:gridSpan w:val="6"/>
            <w:tcBorders>
              <w:top w:val="nil"/>
              <w:left w:val="nil"/>
              <w:bottom w:val="single" w:sz="4" w:space="0" w:color="BFBFBF" w:themeColor="background1" w:themeShade="BF"/>
              <w:right w:val="nil"/>
            </w:tcBorders>
            <w:noWrap/>
            <w:hideMark/>
          </w:tcPr>
          <w:p w14:paraId="09D8CFC9" w14:textId="77777777" w:rsidR="00814857" w:rsidRDefault="00814857" w:rsidP="00894126">
            <w:pPr>
              <w:pStyle w:val="ARtablenoteindent"/>
            </w:pPr>
            <w:r>
              <w:rPr>
                <w:noProof/>
              </w:rPr>
              <w:t>Agencies have the opportunity to resubmit data for all quarters. The final measue may change due to strategies undertaken to imrpove quality of reporting by agencies. Finalised measure will be available late 2019.</w:t>
            </w:r>
          </w:p>
        </w:tc>
      </w:tr>
      <w:tr w:rsidR="00814857" w14:paraId="4004FA71"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121B687C" w14:textId="77777777" w:rsidR="00814857" w:rsidRDefault="00814857" w:rsidP="00894126">
            <w:pPr>
              <w:pStyle w:val="ARtabletext"/>
            </w:pPr>
            <w:r>
              <w:rPr>
                <w:noProof/>
              </w:rPr>
              <w:t>Pension-level beds available in assisted Supported Residential Services facilities</w:t>
            </w:r>
          </w:p>
        </w:tc>
        <w:tc>
          <w:tcPr>
            <w:tcW w:w="1021" w:type="dxa"/>
            <w:tcBorders>
              <w:top w:val="single" w:sz="4" w:space="0" w:color="BFBFBF" w:themeColor="background1" w:themeShade="BF"/>
              <w:bottom w:val="single" w:sz="4" w:space="0" w:color="BFBFBF" w:themeColor="background1" w:themeShade="BF"/>
            </w:tcBorders>
            <w:hideMark/>
          </w:tcPr>
          <w:p w14:paraId="4084129F" w14:textId="77777777" w:rsidR="00814857" w:rsidRDefault="00814857" w:rsidP="00894126">
            <w:pPr>
              <w:pStyle w:val="ARtabletextright"/>
            </w:pPr>
            <w:r>
              <w:rPr>
                <w:noProof/>
              </w:rPr>
              <w:t>number</w:t>
            </w:r>
          </w:p>
        </w:tc>
        <w:tc>
          <w:tcPr>
            <w:tcW w:w="1022" w:type="dxa"/>
            <w:tcBorders>
              <w:top w:val="single" w:sz="4" w:space="0" w:color="BFBFBF" w:themeColor="background1" w:themeShade="BF"/>
              <w:bottom w:val="single" w:sz="4" w:space="0" w:color="BFBFBF" w:themeColor="background1" w:themeShade="BF"/>
            </w:tcBorders>
            <w:hideMark/>
          </w:tcPr>
          <w:p w14:paraId="25CB32BB" w14:textId="77777777" w:rsidR="00814857" w:rsidRDefault="00814857" w:rsidP="00894126">
            <w:pPr>
              <w:pStyle w:val="ARtabletextright"/>
            </w:pPr>
            <w:r>
              <w:rPr>
                <w:noProof/>
              </w:rPr>
              <w:t>1,876</w:t>
            </w:r>
          </w:p>
        </w:tc>
        <w:tc>
          <w:tcPr>
            <w:tcW w:w="1022" w:type="dxa"/>
            <w:tcBorders>
              <w:top w:val="single" w:sz="4" w:space="0" w:color="BFBFBF" w:themeColor="background1" w:themeShade="BF"/>
              <w:bottom w:val="single" w:sz="4" w:space="0" w:color="BFBFBF" w:themeColor="background1" w:themeShade="BF"/>
            </w:tcBorders>
            <w:hideMark/>
          </w:tcPr>
          <w:p w14:paraId="7F660905" w14:textId="77777777" w:rsidR="00814857" w:rsidRDefault="00814857" w:rsidP="00894126">
            <w:pPr>
              <w:pStyle w:val="ARtabletextright"/>
            </w:pPr>
            <w:r>
              <w:rPr>
                <w:noProof/>
              </w:rPr>
              <w:t>1,816</w:t>
            </w:r>
          </w:p>
        </w:tc>
        <w:tc>
          <w:tcPr>
            <w:tcW w:w="1022" w:type="dxa"/>
            <w:tcBorders>
              <w:top w:val="single" w:sz="4" w:space="0" w:color="BFBFBF" w:themeColor="background1" w:themeShade="BF"/>
              <w:bottom w:val="single" w:sz="4" w:space="0" w:color="BFBFBF" w:themeColor="background1" w:themeShade="BF"/>
            </w:tcBorders>
            <w:hideMark/>
          </w:tcPr>
          <w:p w14:paraId="087503E6" w14:textId="77777777" w:rsidR="00814857" w:rsidRDefault="00814857" w:rsidP="00894126">
            <w:pPr>
              <w:pStyle w:val="ARtabletextright"/>
            </w:pPr>
            <w:r>
              <w:rPr>
                <w:noProof/>
              </w:rPr>
              <w:t>-3.2</w:t>
            </w:r>
          </w:p>
        </w:tc>
        <w:tc>
          <w:tcPr>
            <w:tcW w:w="794" w:type="dxa"/>
            <w:tcBorders>
              <w:top w:val="single" w:sz="4" w:space="0" w:color="BFBFBF" w:themeColor="background1" w:themeShade="BF"/>
              <w:bottom w:val="single" w:sz="4" w:space="0" w:color="BFBFBF" w:themeColor="background1" w:themeShade="BF"/>
            </w:tcBorders>
            <w:hideMark/>
          </w:tcPr>
          <w:p w14:paraId="0C23446E" w14:textId="77777777" w:rsidR="00814857" w:rsidRDefault="00814857" w:rsidP="00894126">
            <w:pPr>
              <w:pStyle w:val="ARtabletextright"/>
            </w:pPr>
            <w:r w:rsidRPr="007939DD">
              <w:sym w:font="Wingdings 2" w:char="F099"/>
            </w:r>
          </w:p>
        </w:tc>
      </w:tr>
      <w:tr w:rsidR="00814857" w14:paraId="4855A4DB"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1A0889A9" w14:textId="77777777" w:rsidR="00814857" w:rsidRDefault="00814857" w:rsidP="00894126">
            <w:pPr>
              <w:pStyle w:val="ARtabletext"/>
            </w:pPr>
            <w:r>
              <w:rPr>
                <w:noProof/>
              </w:rPr>
              <w:t>Victorian Eye Care Service (occasions of service)</w:t>
            </w:r>
          </w:p>
        </w:tc>
        <w:tc>
          <w:tcPr>
            <w:tcW w:w="1021" w:type="dxa"/>
            <w:tcBorders>
              <w:top w:val="single" w:sz="4" w:space="0" w:color="BFBFBF" w:themeColor="background1" w:themeShade="BF"/>
              <w:bottom w:val="single" w:sz="4" w:space="0" w:color="BFBFBF" w:themeColor="background1" w:themeShade="BF"/>
            </w:tcBorders>
            <w:hideMark/>
          </w:tcPr>
          <w:p w14:paraId="5495CC3E" w14:textId="77777777" w:rsidR="00814857" w:rsidRDefault="00814857" w:rsidP="00894126">
            <w:pPr>
              <w:pStyle w:val="ARtabletextright"/>
            </w:pPr>
            <w:r>
              <w:rPr>
                <w:noProof/>
              </w:rPr>
              <w:t>number</w:t>
            </w:r>
          </w:p>
        </w:tc>
        <w:tc>
          <w:tcPr>
            <w:tcW w:w="1022" w:type="dxa"/>
            <w:tcBorders>
              <w:top w:val="single" w:sz="4" w:space="0" w:color="BFBFBF" w:themeColor="background1" w:themeShade="BF"/>
              <w:bottom w:val="single" w:sz="4" w:space="0" w:color="BFBFBF" w:themeColor="background1" w:themeShade="BF"/>
            </w:tcBorders>
            <w:hideMark/>
          </w:tcPr>
          <w:p w14:paraId="11C95B0A" w14:textId="77777777" w:rsidR="00814857" w:rsidRDefault="00814857" w:rsidP="00894126">
            <w:pPr>
              <w:pStyle w:val="ARtabletextright"/>
            </w:pPr>
            <w:r>
              <w:rPr>
                <w:noProof/>
              </w:rPr>
              <w:t>75,800</w:t>
            </w:r>
          </w:p>
        </w:tc>
        <w:tc>
          <w:tcPr>
            <w:tcW w:w="1022" w:type="dxa"/>
            <w:tcBorders>
              <w:top w:val="single" w:sz="4" w:space="0" w:color="BFBFBF" w:themeColor="background1" w:themeShade="BF"/>
              <w:bottom w:val="single" w:sz="4" w:space="0" w:color="BFBFBF" w:themeColor="background1" w:themeShade="BF"/>
            </w:tcBorders>
            <w:hideMark/>
          </w:tcPr>
          <w:p w14:paraId="74B6536A" w14:textId="77777777" w:rsidR="00814857" w:rsidRDefault="00814857" w:rsidP="00894126">
            <w:pPr>
              <w:pStyle w:val="ARtabletextright"/>
            </w:pPr>
            <w:r>
              <w:rPr>
                <w:noProof/>
              </w:rPr>
              <w:t>73,924</w:t>
            </w:r>
          </w:p>
        </w:tc>
        <w:tc>
          <w:tcPr>
            <w:tcW w:w="1022" w:type="dxa"/>
            <w:tcBorders>
              <w:top w:val="single" w:sz="4" w:space="0" w:color="BFBFBF" w:themeColor="background1" w:themeShade="BF"/>
              <w:bottom w:val="single" w:sz="4" w:space="0" w:color="BFBFBF" w:themeColor="background1" w:themeShade="BF"/>
            </w:tcBorders>
            <w:hideMark/>
          </w:tcPr>
          <w:p w14:paraId="11AAFFF9" w14:textId="77777777" w:rsidR="00814857" w:rsidRDefault="00814857" w:rsidP="00894126">
            <w:pPr>
              <w:pStyle w:val="ARtabletextright"/>
            </w:pPr>
            <w:r>
              <w:rPr>
                <w:noProof/>
              </w:rPr>
              <w:t>-2.5</w:t>
            </w:r>
          </w:p>
        </w:tc>
        <w:tc>
          <w:tcPr>
            <w:tcW w:w="794" w:type="dxa"/>
            <w:tcBorders>
              <w:top w:val="single" w:sz="4" w:space="0" w:color="BFBFBF" w:themeColor="background1" w:themeShade="BF"/>
              <w:bottom w:val="single" w:sz="4" w:space="0" w:color="BFBFBF" w:themeColor="background1" w:themeShade="BF"/>
            </w:tcBorders>
            <w:hideMark/>
          </w:tcPr>
          <w:p w14:paraId="682AADAD" w14:textId="77777777" w:rsidR="00814857" w:rsidRDefault="00814857" w:rsidP="00894126">
            <w:pPr>
              <w:pStyle w:val="ARtabletextright"/>
            </w:pPr>
            <w:r w:rsidRPr="007939DD">
              <w:sym w:font="Wingdings 2" w:char="F099"/>
            </w:r>
          </w:p>
        </w:tc>
      </w:tr>
      <w:tr w:rsidR="00814857" w14:paraId="787732AF" w14:textId="77777777" w:rsidTr="00894126">
        <w:trPr>
          <w:cantSplit/>
          <w:trHeight w:val="480"/>
        </w:trPr>
        <w:tc>
          <w:tcPr>
            <w:tcW w:w="4764" w:type="dxa"/>
            <w:tcBorders>
              <w:top w:val="single" w:sz="4" w:space="0" w:color="BFBFBF" w:themeColor="background1" w:themeShade="BF"/>
            </w:tcBorders>
            <w:hideMark/>
          </w:tcPr>
          <w:p w14:paraId="18A24BB0" w14:textId="77777777" w:rsidR="00814857" w:rsidRDefault="00814857" w:rsidP="00894126">
            <w:pPr>
              <w:pStyle w:val="ARtabletext"/>
            </w:pPr>
            <w:r>
              <w:rPr>
                <w:noProof/>
              </w:rPr>
              <w:t>Pension-level Supported Residential Services residents provided with service coordination and support/brokerage services</w:t>
            </w:r>
          </w:p>
        </w:tc>
        <w:tc>
          <w:tcPr>
            <w:tcW w:w="1021" w:type="dxa"/>
            <w:tcBorders>
              <w:top w:val="single" w:sz="4" w:space="0" w:color="BFBFBF" w:themeColor="background1" w:themeShade="BF"/>
            </w:tcBorders>
            <w:hideMark/>
          </w:tcPr>
          <w:p w14:paraId="253E6885" w14:textId="77777777" w:rsidR="00814857" w:rsidRDefault="00814857" w:rsidP="00894126">
            <w:pPr>
              <w:pStyle w:val="ARtabletextright"/>
            </w:pPr>
            <w:r>
              <w:rPr>
                <w:noProof/>
              </w:rPr>
              <w:t>number</w:t>
            </w:r>
          </w:p>
        </w:tc>
        <w:tc>
          <w:tcPr>
            <w:tcW w:w="1022" w:type="dxa"/>
            <w:tcBorders>
              <w:top w:val="single" w:sz="4" w:space="0" w:color="BFBFBF" w:themeColor="background1" w:themeShade="BF"/>
            </w:tcBorders>
            <w:hideMark/>
          </w:tcPr>
          <w:p w14:paraId="663C7807" w14:textId="77777777" w:rsidR="00814857" w:rsidRDefault="00814857" w:rsidP="00894126">
            <w:pPr>
              <w:pStyle w:val="ARtabletextright"/>
            </w:pPr>
            <w:r>
              <w:rPr>
                <w:noProof/>
              </w:rPr>
              <w:t>775</w:t>
            </w:r>
          </w:p>
        </w:tc>
        <w:tc>
          <w:tcPr>
            <w:tcW w:w="1022" w:type="dxa"/>
            <w:tcBorders>
              <w:top w:val="single" w:sz="4" w:space="0" w:color="BFBFBF" w:themeColor="background1" w:themeShade="BF"/>
            </w:tcBorders>
            <w:hideMark/>
          </w:tcPr>
          <w:p w14:paraId="38D589D9" w14:textId="77777777" w:rsidR="00814857" w:rsidRDefault="00814857" w:rsidP="00894126">
            <w:pPr>
              <w:pStyle w:val="ARtabletextright"/>
            </w:pPr>
            <w:r>
              <w:rPr>
                <w:noProof/>
              </w:rPr>
              <w:t>769</w:t>
            </w:r>
          </w:p>
        </w:tc>
        <w:tc>
          <w:tcPr>
            <w:tcW w:w="1022" w:type="dxa"/>
            <w:tcBorders>
              <w:top w:val="single" w:sz="4" w:space="0" w:color="BFBFBF" w:themeColor="background1" w:themeShade="BF"/>
            </w:tcBorders>
            <w:hideMark/>
          </w:tcPr>
          <w:p w14:paraId="7316137C" w14:textId="77777777" w:rsidR="00814857" w:rsidRDefault="00814857" w:rsidP="00894126">
            <w:pPr>
              <w:pStyle w:val="ARtabletextright"/>
            </w:pPr>
            <w:r>
              <w:rPr>
                <w:noProof/>
              </w:rPr>
              <w:t>-0.8</w:t>
            </w:r>
          </w:p>
        </w:tc>
        <w:tc>
          <w:tcPr>
            <w:tcW w:w="794" w:type="dxa"/>
            <w:tcBorders>
              <w:top w:val="single" w:sz="4" w:space="0" w:color="BFBFBF" w:themeColor="background1" w:themeShade="BF"/>
            </w:tcBorders>
            <w:hideMark/>
          </w:tcPr>
          <w:p w14:paraId="30F66B18" w14:textId="77777777" w:rsidR="00814857" w:rsidRDefault="00814857" w:rsidP="00894126">
            <w:pPr>
              <w:pStyle w:val="ARtabletextright"/>
            </w:pPr>
            <w:r w:rsidRPr="007939DD">
              <w:sym w:font="Wingdings 2" w:char="F099"/>
            </w:r>
          </w:p>
        </w:tc>
      </w:tr>
      <w:tr w:rsidR="00814857" w14:paraId="2E18BE59" w14:textId="77777777" w:rsidTr="0056128E">
        <w:trPr>
          <w:cantSplit/>
          <w:trHeight w:val="240"/>
        </w:trPr>
        <w:tc>
          <w:tcPr>
            <w:tcW w:w="9645" w:type="dxa"/>
            <w:gridSpan w:val="6"/>
            <w:tcBorders>
              <w:top w:val="nil"/>
              <w:left w:val="nil"/>
              <w:right w:val="nil"/>
            </w:tcBorders>
            <w:noWrap/>
            <w:hideMark/>
          </w:tcPr>
          <w:p w14:paraId="0FE061E8" w14:textId="77777777" w:rsidR="00814857" w:rsidRDefault="00814857" w:rsidP="00894126">
            <w:pPr>
              <w:pStyle w:val="ARtablenoteindent"/>
            </w:pPr>
            <w:r>
              <w:rPr>
                <w:noProof/>
              </w:rPr>
              <w:t>Preliminary result. Actual end-of-year results will be available late 2019.</w:t>
            </w:r>
          </w:p>
        </w:tc>
      </w:tr>
      <w:tr w:rsidR="00814857" w14:paraId="3C95558D" w14:textId="77777777" w:rsidTr="0056128E">
        <w:trPr>
          <w:cantSplit/>
          <w:trHeight w:val="466"/>
        </w:trPr>
        <w:tc>
          <w:tcPr>
            <w:tcW w:w="4764" w:type="dxa"/>
            <w:tcBorders>
              <w:bottom w:val="single" w:sz="4" w:space="0" w:color="auto"/>
            </w:tcBorders>
            <w:hideMark/>
          </w:tcPr>
          <w:p w14:paraId="064B3799" w14:textId="77777777" w:rsidR="00814857" w:rsidRDefault="00814857" w:rsidP="00894126">
            <w:pPr>
              <w:pStyle w:val="ARtabletext"/>
            </w:pPr>
            <w:r>
              <w:rPr>
                <w:noProof/>
              </w:rPr>
              <w:t>Personal alert units allocated</w:t>
            </w:r>
          </w:p>
        </w:tc>
        <w:tc>
          <w:tcPr>
            <w:tcW w:w="1021" w:type="dxa"/>
            <w:tcBorders>
              <w:bottom w:val="single" w:sz="4" w:space="0" w:color="auto"/>
            </w:tcBorders>
            <w:hideMark/>
          </w:tcPr>
          <w:p w14:paraId="0EA0A534" w14:textId="77777777" w:rsidR="00814857" w:rsidRDefault="00814857" w:rsidP="00894126">
            <w:pPr>
              <w:pStyle w:val="ARtabletextright"/>
            </w:pPr>
            <w:r>
              <w:rPr>
                <w:noProof/>
              </w:rPr>
              <w:t>number</w:t>
            </w:r>
          </w:p>
        </w:tc>
        <w:tc>
          <w:tcPr>
            <w:tcW w:w="1022" w:type="dxa"/>
            <w:tcBorders>
              <w:bottom w:val="single" w:sz="4" w:space="0" w:color="auto"/>
            </w:tcBorders>
            <w:hideMark/>
          </w:tcPr>
          <w:p w14:paraId="43EE6D58" w14:textId="77777777" w:rsidR="00814857" w:rsidRDefault="00814857" w:rsidP="00894126">
            <w:pPr>
              <w:pStyle w:val="ARtabletextright"/>
            </w:pPr>
            <w:r>
              <w:rPr>
                <w:noProof/>
              </w:rPr>
              <w:t>29,121</w:t>
            </w:r>
          </w:p>
        </w:tc>
        <w:tc>
          <w:tcPr>
            <w:tcW w:w="1022" w:type="dxa"/>
            <w:tcBorders>
              <w:bottom w:val="single" w:sz="4" w:space="0" w:color="auto"/>
            </w:tcBorders>
            <w:hideMark/>
          </w:tcPr>
          <w:p w14:paraId="2CE59E50" w14:textId="77777777" w:rsidR="00814857" w:rsidRDefault="00814857" w:rsidP="00894126">
            <w:pPr>
              <w:pStyle w:val="ARtabletextright"/>
            </w:pPr>
            <w:r>
              <w:rPr>
                <w:noProof/>
              </w:rPr>
              <w:t>29,121</w:t>
            </w:r>
          </w:p>
        </w:tc>
        <w:tc>
          <w:tcPr>
            <w:tcW w:w="1022" w:type="dxa"/>
            <w:tcBorders>
              <w:bottom w:val="single" w:sz="4" w:space="0" w:color="auto"/>
            </w:tcBorders>
            <w:hideMark/>
          </w:tcPr>
          <w:p w14:paraId="7FF738A1" w14:textId="77777777" w:rsidR="00814857" w:rsidRDefault="00814857" w:rsidP="00894126">
            <w:pPr>
              <w:pStyle w:val="ARtabletextright"/>
            </w:pPr>
            <w:r>
              <w:rPr>
                <w:noProof/>
              </w:rPr>
              <w:t>0.0</w:t>
            </w:r>
          </w:p>
        </w:tc>
        <w:tc>
          <w:tcPr>
            <w:tcW w:w="794" w:type="dxa"/>
            <w:tcBorders>
              <w:bottom w:val="single" w:sz="4" w:space="0" w:color="auto"/>
            </w:tcBorders>
            <w:hideMark/>
          </w:tcPr>
          <w:p w14:paraId="4A4462F6" w14:textId="77777777" w:rsidR="00814857" w:rsidRDefault="00814857" w:rsidP="00894126">
            <w:pPr>
              <w:pStyle w:val="ARtabletextright"/>
            </w:pPr>
            <w:r>
              <w:sym w:font="Wingdings" w:char="F0FC"/>
            </w:r>
          </w:p>
        </w:tc>
      </w:tr>
      <w:tr w:rsidR="00830963" w14:paraId="7F4C5F4A" w14:textId="77777777" w:rsidTr="0056128E">
        <w:trPr>
          <w:cantSplit/>
          <w:trHeight w:val="240"/>
        </w:trPr>
        <w:tc>
          <w:tcPr>
            <w:tcW w:w="9645" w:type="dxa"/>
            <w:gridSpan w:val="6"/>
            <w:tcBorders>
              <w:top w:val="single" w:sz="4" w:space="0" w:color="auto"/>
              <w:left w:val="nil"/>
              <w:bottom w:val="nil"/>
              <w:right w:val="nil"/>
            </w:tcBorders>
            <w:hideMark/>
          </w:tcPr>
          <w:p w14:paraId="379F8F61" w14:textId="3923ABF2" w:rsidR="00830963" w:rsidRDefault="00830963" w:rsidP="00830963">
            <w:pPr>
              <w:pStyle w:val="ARtablegreybold"/>
              <w:keepNext/>
            </w:pPr>
            <w:r>
              <w:lastRenderedPageBreak/>
              <w:t>Quality</w:t>
            </w:r>
          </w:p>
        </w:tc>
      </w:tr>
      <w:tr w:rsidR="00814857" w14:paraId="5EF82B62" w14:textId="77777777" w:rsidTr="00894126">
        <w:trPr>
          <w:cantSplit/>
          <w:trHeight w:val="480"/>
        </w:trPr>
        <w:tc>
          <w:tcPr>
            <w:tcW w:w="4764" w:type="dxa"/>
            <w:tcBorders>
              <w:top w:val="single" w:sz="4" w:space="0" w:color="BFBFBF" w:themeColor="background1" w:themeShade="BF"/>
            </w:tcBorders>
            <w:hideMark/>
          </w:tcPr>
          <w:p w14:paraId="2FF09F08" w14:textId="77777777" w:rsidR="00814857" w:rsidRDefault="00814857" w:rsidP="00894126">
            <w:pPr>
              <w:pStyle w:val="ARtabletext"/>
            </w:pPr>
            <w:r>
              <w:rPr>
                <w:noProof/>
              </w:rPr>
              <w:t>Funded research and service development projects for which satisfactory reports have been received</w:t>
            </w:r>
          </w:p>
        </w:tc>
        <w:tc>
          <w:tcPr>
            <w:tcW w:w="1021" w:type="dxa"/>
            <w:tcBorders>
              <w:top w:val="single" w:sz="4" w:space="0" w:color="BFBFBF" w:themeColor="background1" w:themeShade="BF"/>
            </w:tcBorders>
            <w:hideMark/>
          </w:tcPr>
          <w:p w14:paraId="3D11C734" w14:textId="77777777" w:rsidR="00814857" w:rsidRDefault="00814857" w:rsidP="00894126">
            <w:pPr>
              <w:pStyle w:val="ARtabletextright"/>
            </w:pPr>
            <w:r>
              <w:rPr>
                <w:noProof/>
              </w:rPr>
              <w:t>per cent</w:t>
            </w:r>
          </w:p>
        </w:tc>
        <w:tc>
          <w:tcPr>
            <w:tcW w:w="1022" w:type="dxa"/>
            <w:tcBorders>
              <w:top w:val="single" w:sz="4" w:space="0" w:color="BFBFBF" w:themeColor="background1" w:themeShade="BF"/>
            </w:tcBorders>
            <w:hideMark/>
          </w:tcPr>
          <w:p w14:paraId="6E13F2CD" w14:textId="77777777" w:rsidR="00814857" w:rsidRDefault="00814857" w:rsidP="00894126">
            <w:pPr>
              <w:pStyle w:val="ARtabletextright"/>
            </w:pPr>
            <w:r>
              <w:rPr>
                <w:noProof/>
              </w:rPr>
              <w:t>100</w:t>
            </w:r>
          </w:p>
        </w:tc>
        <w:tc>
          <w:tcPr>
            <w:tcW w:w="1022" w:type="dxa"/>
            <w:tcBorders>
              <w:top w:val="single" w:sz="4" w:space="0" w:color="BFBFBF" w:themeColor="background1" w:themeShade="BF"/>
            </w:tcBorders>
            <w:hideMark/>
          </w:tcPr>
          <w:p w14:paraId="0E56854E" w14:textId="77777777" w:rsidR="00814857" w:rsidRDefault="00814857" w:rsidP="00894126">
            <w:pPr>
              <w:pStyle w:val="ARtabletextright"/>
            </w:pPr>
            <w:r>
              <w:rPr>
                <w:noProof/>
              </w:rPr>
              <w:t>100</w:t>
            </w:r>
          </w:p>
        </w:tc>
        <w:tc>
          <w:tcPr>
            <w:tcW w:w="1022" w:type="dxa"/>
            <w:tcBorders>
              <w:top w:val="single" w:sz="4" w:space="0" w:color="BFBFBF" w:themeColor="background1" w:themeShade="BF"/>
            </w:tcBorders>
            <w:hideMark/>
          </w:tcPr>
          <w:p w14:paraId="2844CB4B" w14:textId="77777777" w:rsidR="00814857" w:rsidRDefault="00814857" w:rsidP="00894126">
            <w:pPr>
              <w:pStyle w:val="ARtabletextright"/>
            </w:pPr>
            <w:r>
              <w:rPr>
                <w:noProof/>
              </w:rPr>
              <w:t>0.0</w:t>
            </w:r>
          </w:p>
        </w:tc>
        <w:tc>
          <w:tcPr>
            <w:tcW w:w="794" w:type="dxa"/>
            <w:tcBorders>
              <w:top w:val="single" w:sz="4" w:space="0" w:color="BFBFBF" w:themeColor="background1" w:themeShade="BF"/>
            </w:tcBorders>
            <w:hideMark/>
          </w:tcPr>
          <w:p w14:paraId="7237BA6F" w14:textId="77777777" w:rsidR="00814857" w:rsidRDefault="00814857" w:rsidP="00894126">
            <w:pPr>
              <w:pStyle w:val="ARtabletextright"/>
            </w:pPr>
            <w:r>
              <w:sym w:font="Wingdings" w:char="F0FC"/>
            </w:r>
          </w:p>
        </w:tc>
      </w:tr>
      <w:tr w:rsidR="00830963" w14:paraId="57EACD38" w14:textId="77777777" w:rsidTr="00A05EB7">
        <w:trPr>
          <w:cantSplit/>
          <w:trHeight w:val="240"/>
        </w:trPr>
        <w:tc>
          <w:tcPr>
            <w:tcW w:w="9645" w:type="dxa"/>
            <w:gridSpan w:val="6"/>
            <w:tcBorders>
              <w:top w:val="single" w:sz="4" w:space="0" w:color="auto"/>
              <w:left w:val="nil"/>
              <w:bottom w:val="nil"/>
              <w:right w:val="nil"/>
            </w:tcBorders>
            <w:hideMark/>
          </w:tcPr>
          <w:p w14:paraId="09A9F363" w14:textId="6E94A445" w:rsidR="00830963" w:rsidRDefault="00830963" w:rsidP="00DD579E">
            <w:pPr>
              <w:pStyle w:val="ARtablegreybold"/>
            </w:pPr>
            <w:r w:rsidRPr="00B54655">
              <w:t>Cost</w:t>
            </w:r>
          </w:p>
        </w:tc>
      </w:tr>
      <w:tr w:rsidR="00814857" w14:paraId="3FB06A2F" w14:textId="77777777" w:rsidTr="00894126">
        <w:trPr>
          <w:cantSplit/>
          <w:trHeight w:val="480"/>
        </w:trPr>
        <w:tc>
          <w:tcPr>
            <w:tcW w:w="4764" w:type="dxa"/>
            <w:hideMark/>
          </w:tcPr>
          <w:p w14:paraId="65CFB648" w14:textId="77777777" w:rsidR="00814857" w:rsidRPr="004305B0" w:rsidRDefault="00814857" w:rsidP="00894126">
            <w:pPr>
              <w:pStyle w:val="ARtabletext"/>
              <w:rPr>
                <w:b/>
              </w:rPr>
            </w:pPr>
            <w:r w:rsidRPr="004305B0">
              <w:rPr>
                <w:b/>
                <w:noProof/>
              </w:rPr>
              <w:t xml:space="preserve">Total </w:t>
            </w:r>
            <w:r>
              <w:rPr>
                <w:b/>
                <w:noProof/>
              </w:rPr>
              <w:t>o</w:t>
            </w:r>
            <w:r w:rsidRPr="004305B0">
              <w:rPr>
                <w:b/>
                <w:noProof/>
              </w:rPr>
              <w:t xml:space="preserve">utput </w:t>
            </w:r>
            <w:r>
              <w:rPr>
                <w:b/>
                <w:noProof/>
              </w:rPr>
              <w:t>c</w:t>
            </w:r>
            <w:r w:rsidRPr="004305B0">
              <w:rPr>
                <w:b/>
                <w:noProof/>
              </w:rPr>
              <w:t>ost</w:t>
            </w:r>
          </w:p>
        </w:tc>
        <w:tc>
          <w:tcPr>
            <w:tcW w:w="1021" w:type="dxa"/>
            <w:hideMark/>
          </w:tcPr>
          <w:p w14:paraId="6C90D94C" w14:textId="77777777" w:rsidR="00814857" w:rsidRPr="004305B0" w:rsidRDefault="00814857" w:rsidP="00894126">
            <w:pPr>
              <w:pStyle w:val="ARtabletextright"/>
              <w:rPr>
                <w:b/>
              </w:rPr>
            </w:pPr>
            <w:r w:rsidRPr="004305B0">
              <w:rPr>
                <w:b/>
                <w:noProof/>
              </w:rPr>
              <w:t>$ million</w:t>
            </w:r>
          </w:p>
        </w:tc>
        <w:tc>
          <w:tcPr>
            <w:tcW w:w="1022" w:type="dxa"/>
            <w:hideMark/>
          </w:tcPr>
          <w:p w14:paraId="0BED1D17" w14:textId="77777777" w:rsidR="00814857" w:rsidRPr="004305B0" w:rsidRDefault="00814857" w:rsidP="00894126">
            <w:pPr>
              <w:pStyle w:val="ARtabletextright"/>
              <w:rPr>
                <w:b/>
              </w:rPr>
            </w:pPr>
            <w:r w:rsidRPr="004305B0">
              <w:rPr>
                <w:b/>
                <w:noProof/>
              </w:rPr>
              <w:t>106.7</w:t>
            </w:r>
          </w:p>
        </w:tc>
        <w:tc>
          <w:tcPr>
            <w:tcW w:w="1022" w:type="dxa"/>
            <w:hideMark/>
          </w:tcPr>
          <w:p w14:paraId="2281C529" w14:textId="77777777" w:rsidR="00814857" w:rsidRPr="004305B0" w:rsidRDefault="00814857" w:rsidP="00894126">
            <w:pPr>
              <w:pStyle w:val="ARtabletextright"/>
              <w:rPr>
                <w:b/>
              </w:rPr>
            </w:pPr>
            <w:r w:rsidRPr="004305B0">
              <w:rPr>
                <w:b/>
                <w:noProof/>
              </w:rPr>
              <w:t>105.1</w:t>
            </w:r>
          </w:p>
        </w:tc>
        <w:tc>
          <w:tcPr>
            <w:tcW w:w="1022" w:type="dxa"/>
            <w:hideMark/>
          </w:tcPr>
          <w:p w14:paraId="67758C82" w14:textId="77777777" w:rsidR="00814857" w:rsidRPr="004305B0" w:rsidRDefault="00814857" w:rsidP="00894126">
            <w:pPr>
              <w:pStyle w:val="ARtabletextright"/>
              <w:rPr>
                <w:b/>
              </w:rPr>
            </w:pPr>
            <w:r w:rsidRPr="004305B0">
              <w:rPr>
                <w:b/>
                <w:noProof/>
              </w:rPr>
              <w:t>-1.5</w:t>
            </w:r>
          </w:p>
        </w:tc>
        <w:tc>
          <w:tcPr>
            <w:tcW w:w="794" w:type="dxa"/>
            <w:hideMark/>
          </w:tcPr>
          <w:p w14:paraId="239C5688" w14:textId="77777777" w:rsidR="00814857" w:rsidRPr="004305B0" w:rsidRDefault="00814857" w:rsidP="00DD579E">
            <w:pPr>
              <w:pStyle w:val="ARtabletextright"/>
              <w:rPr>
                <w:b/>
              </w:rPr>
            </w:pPr>
          </w:p>
        </w:tc>
      </w:tr>
      <w:tr w:rsidR="00814857" w14:paraId="3C9F1E51" w14:textId="77777777" w:rsidTr="00894126">
        <w:trPr>
          <w:cantSplit/>
          <w:trHeight w:val="240"/>
        </w:trPr>
        <w:tc>
          <w:tcPr>
            <w:tcW w:w="9645" w:type="dxa"/>
            <w:gridSpan w:val="6"/>
            <w:tcBorders>
              <w:top w:val="nil"/>
              <w:left w:val="nil"/>
              <w:bottom w:val="single" w:sz="4" w:space="0" w:color="BFBFBF"/>
              <w:right w:val="nil"/>
            </w:tcBorders>
            <w:noWrap/>
            <w:hideMark/>
          </w:tcPr>
          <w:p w14:paraId="6DE6718D" w14:textId="77777777" w:rsidR="00814857" w:rsidRDefault="00814857" w:rsidP="00894126">
            <w:pPr>
              <w:pStyle w:val="ARtablenoteindent"/>
            </w:pPr>
            <w:r>
              <w:rPr>
                <w:noProof/>
              </w:rPr>
              <w:t>The result primarily reflects lower than estimated Commonwealth revenue for Department of Veterans’ Affairs hospital services.</w:t>
            </w:r>
          </w:p>
        </w:tc>
      </w:tr>
      <w:tr w:rsidR="00814857" w14:paraId="1B468AF7" w14:textId="77777777" w:rsidTr="00894126">
        <w:trPr>
          <w:cantSplit/>
          <w:trHeight w:val="289"/>
        </w:trPr>
        <w:tc>
          <w:tcPr>
            <w:tcW w:w="9645" w:type="dxa"/>
            <w:gridSpan w:val="6"/>
            <w:tcBorders>
              <w:top w:val="single" w:sz="4" w:space="0" w:color="auto"/>
              <w:left w:val="nil"/>
              <w:bottom w:val="single" w:sz="4" w:space="0" w:color="auto"/>
              <w:right w:val="nil"/>
            </w:tcBorders>
            <w:hideMark/>
          </w:tcPr>
          <w:p w14:paraId="3F5AD913" w14:textId="77777777" w:rsidR="00814857" w:rsidRPr="004305B0" w:rsidRDefault="00814857" w:rsidP="00DD579E">
            <w:pPr>
              <w:pStyle w:val="ARtablebluebold"/>
            </w:pPr>
            <w:r>
              <w:t>Home and Community Care Program for Younger People</w:t>
            </w:r>
          </w:p>
        </w:tc>
      </w:tr>
      <w:tr w:rsidR="00830963" w14:paraId="433EFDAF" w14:textId="77777777" w:rsidTr="00A05EB7">
        <w:trPr>
          <w:cantSplit/>
          <w:trHeight w:val="240"/>
        </w:trPr>
        <w:tc>
          <w:tcPr>
            <w:tcW w:w="9645" w:type="dxa"/>
            <w:gridSpan w:val="6"/>
            <w:tcBorders>
              <w:top w:val="single" w:sz="4" w:space="0" w:color="auto"/>
              <w:left w:val="nil"/>
              <w:bottom w:val="nil"/>
              <w:right w:val="nil"/>
            </w:tcBorders>
            <w:hideMark/>
          </w:tcPr>
          <w:p w14:paraId="3E32F071" w14:textId="254E7103" w:rsidR="00830963" w:rsidRDefault="00830963" w:rsidP="00DD579E">
            <w:pPr>
              <w:pStyle w:val="ARtablegreybold"/>
            </w:pPr>
            <w:r>
              <w:t>Quantity</w:t>
            </w:r>
          </w:p>
        </w:tc>
      </w:tr>
      <w:tr w:rsidR="00814857" w14:paraId="751D78F2" w14:textId="77777777" w:rsidTr="00894126">
        <w:trPr>
          <w:cantSplit/>
          <w:trHeight w:val="480"/>
        </w:trPr>
        <w:tc>
          <w:tcPr>
            <w:tcW w:w="4764" w:type="dxa"/>
            <w:hideMark/>
          </w:tcPr>
          <w:p w14:paraId="62970C39" w14:textId="77777777" w:rsidR="00814857" w:rsidRDefault="00814857" w:rsidP="00894126">
            <w:pPr>
              <w:pStyle w:val="ARtabletext"/>
            </w:pPr>
            <w:r>
              <w:rPr>
                <w:noProof/>
              </w:rPr>
              <w:t>Home and Community Care for Younger People – number of clients receiving a service</w:t>
            </w:r>
          </w:p>
        </w:tc>
        <w:tc>
          <w:tcPr>
            <w:tcW w:w="1021" w:type="dxa"/>
            <w:hideMark/>
          </w:tcPr>
          <w:p w14:paraId="57BCC4E4" w14:textId="77777777" w:rsidR="00814857" w:rsidRDefault="00814857" w:rsidP="00894126">
            <w:pPr>
              <w:pStyle w:val="ARtabletextright"/>
            </w:pPr>
            <w:r>
              <w:rPr>
                <w:noProof/>
              </w:rPr>
              <w:t>number</w:t>
            </w:r>
          </w:p>
        </w:tc>
        <w:tc>
          <w:tcPr>
            <w:tcW w:w="1022" w:type="dxa"/>
            <w:hideMark/>
          </w:tcPr>
          <w:p w14:paraId="7FDA4507" w14:textId="77777777" w:rsidR="00814857" w:rsidRDefault="00814857" w:rsidP="00894126">
            <w:pPr>
              <w:pStyle w:val="ARtabletextright"/>
            </w:pPr>
            <w:r>
              <w:rPr>
                <w:noProof/>
              </w:rPr>
              <w:t>63,000</w:t>
            </w:r>
          </w:p>
        </w:tc>
        <w:tc>
          <w:tcPr>
            <w:tcW w:w="1022" w:type="dxa"/>
            <w:hideMark/>
          </w:tcPr>
          <w:p w14:paraId="73971474" w14:textId="77777777" w:rsidR="00814857" w:rsidRDefault="00814857" w:rsidP="00894126">
            <w:pPr>
              <w:pStyle w:val="ARtabletextright"/>
            </w:pPr>
            <w:r>
              <w:rPr>
                <w:noProof/>
              </w:rPr>
              <w:t>72,561</w:t>
            </w:r>
          </w:p>
        </w:tc>
        <w:tc>
          <w:tcPr>
            <w:tcW w:w="1022" w:type="dxa"/>
            <w:hideMark/>
          </w:tcPr>
          <w:p w14:paraId="05F88A2C" w14:textId="77777777" w:rsidR="00814857" w:rsidRDefault="00814857" w:rsidP="00894126">
            <w:pPr>
              <w:pStyle w:val="ARtabletextright"/>
            </w:pPr>
            <w:r>
              <w:rPr>
                <w:noProof/>
              </w:rPr>
              <w:t>15.2</w:t>
            </w:r>
          </w:p>
        </w:tc>
        <w:tc>
          <w:tcPr>
            <w:tcW w:w="794" w:type="dxa"/>
            <w:hideMark/>
          </w:tcPr>
          <w:p w14:paraId="2AD98058" w14:textId="77777777" w:rsidR="00814857" w:rsidRDefault="00814857" w:rsidP="00894126">
            <w:pPr>
              <w:pStyle w:val="ARtabletextright"/>
            </w:pPr>
            <w:r>
              <w:sym w:font="Wingdings" w:char="F0FC"/>
            </w:r>
          </w:p>
        </w:tc>
      </w:tr>
      <w:tr w:rsidR="00814857" w14:paraId="09518215" w14:textId="77777777" w:rsidTr="00894126">
        <w:trPr>
          <w:cantSplit/>
          <w:trHeight w:val="240"/>
        </w:trPr>
        <w:tc>
          <w:tcPr>
            <w:tcW w:w="9645" w:type="dxa"/>
            <w:gridSpan w:val="6"/>
            <w:tcBorders>
              <w:top w:val="nil"/>
              <w:left w:val="nil"/>
              <w:bottom w:val="single" w:sz="4" w:space="0" w:color="BFBFBF"/>
              <w:right w:val="nil"/>
            </w:tcBorders>
            <w:noWrap/>
            <w:hideMark/>
          </w:tcPr>
          <w:p w14:paraId="06B5D8F9" w14:textId="77777777" w:rsidR="00814857" w:rsidRDefault="00814857" w:rsidP="00894126">
            <w:pPr>
              <w:pStyle w:val="ARtablenoteindent"/>
            </w:pPr>
            <w:r>
              <w:rPr>
                <w:noProof/>
              </w:rPr>
              <w:t>Preliminary result. Actual end-of-year results will be available late 2019. The over-performance is largely due to Travellers Aid Australia providing services to 6,465 clients aged 65 years and over (which was not factored into the target), a higher client turnover for Nursing and Allied health services, and delays in the transition to the National Disability Insurance Scheme (NDIS). This is a positive result.</w:t>
            </w:r>
          </w:p>
        </w:tc>
      </w:tr>
      <w:tr w:rsidR="00814857" w14:paraId="0C638853" w14:textId="77777777" w:rsidTr="00894126">
        <w:trPr>
          <w:cantSplit/>
          <w:trHeight w:val="480"/>
        </w:trPr>
        <w:tc>
          <w:tcPr>
            <w:tcW w:w="4764" w:type="dxa"/>
            <w:hideMark/>
          </w:tcPr>
          <w:p w14:paraId="16F806E5" w14:textId="77777777" w:rsidR="00814857" w:rsidRDefault="00814857" w:rsidP="00894126">
            <w:pPr>
              <w:pStyle w:val="ARtabletext"/>
            </w:pPr>
            <w:r>
              <w:rPr>
                <w:noProof/>
              </w:rPr>
              <w:t>Home and Community Care for Younger People – hours of service delivery</w:t>
            </w:r>
          </w:p>
        </w:tc>
        <w:tc>
          <w:tcPr>
            <w:tcW w:w="1021" w:type="dxa"/>
            <w:hideMark/>
          </w:tcPr>
          <w:p w14:paraId="442D3990" w14:textId="77777777" w:rsidR="00814857" w:rsidRDefault="00814857" w:rsidP="00894126">
            <w:pPr>
              <w:pStyle w:val="ARtabletextright"/>
            </w:pPr>
            <w:r>
              <w:rPr>
                <w:noProof/>
              </w:rPr>
              <w:t>number (000)</w:t>
            </w:r>
          </w:p>
        </w:tc>
        <w:tc>
          <w:tcPr>
            <w:tcW w:w="1022" w:type="dxa"/>
            <w:hideMark/>
          </w:tcPr>
          <w:p w14:paraId="16060FE6" w14:textId="77777777" w:rsidR="00814857" w:rsidRDefault="00814857" w:rsidP="00894126">
            <w:pPr>
              <w:pStyle w:val="ARtabletextright"/>
            </w:pPr>
            <w:r>
              <w:rPr>
                <w:noProof/>
              </w:rPr>
              <w:t>2,117</w:t>
            </w:r>
          </w:p>
        </w:tc>
        <w:tc>
          <w:tcPr>
            <w:tcW w:w="1022" w:type="dxa"/>
            <w:hideMark/>
          </w:tcPr>
          <w:p w14:paraId="019CA215" w14:textId="77777777" w:rsidR="00814857" w:rsidRDefault="00814857" w:rsidP="00894126">
            <w:pPr>
              <w:pStyle w:val="ARtabletextright"/>
            </w:pPr>
            <w:r>
              <w:rPr>
                <w:noProof/>
              </w:rPr>
              <w:t>1,408</w:t>
            </w:r>
          </w:p>
        </w:tc>
        <w:tc>
          <w:tcPr>
            <w:tcW w:w="1022" w:type="dxa"/>
            <w:hideMark/>
          </w:tcPr>
          <w:p w14:paraId="7102A398" w14:textId="77777777" w:rsidR="00814857" w:rsidRDefault="00814857" w:rsidP="00894126">
            <w:pPr>
              <w:pStyle w:val="ARtabletextright"/>
            </w:pPr>
            <w:r>
              <w:rPr>
                <w:noProof/>
              </w:rPr>
              <w:t>-33.5</w:t>
            </w:r>
          </w:p>
        </w:tc>
        <w:tc>
          <w:tcPr>
            <w:tcW w:w="794" w:type="dxa"/>
            <w:hideMark/>
          </w:tcPr>
          <w:p w14:paraId="0D4ADF41" w14:textId="77777777" w:rsidR="00814857" w:rsidRDefault="00814857" w:rsidP="00894126">
            <w:pPr>
              <w:pStyle w:val="ARtabletextright"/>
            </w:pPr>
            <w:r>
              <w:sym w:font="Wingdings" w:char="F06E"/>
            </w:r>
          </w:p>
        </w:tc>
      </w:tr>
      <w:tr w:rsidR="00814857" w14:paraId="5B0C5C69" w14:textId="77777777" w:rsidTr="00894126">
        <w:trPr>
          <w:cantSplit/>
          <w:trHeight w:val="240"/>
        </w:trPr>
        <w:tc>
          <w:tcPr>
            <w:tcW w:w="9645" w:type="dxa"/>
            <w:gridSpan w:val="6"/>
            <w:tcBorders>
              <w:top w:val="nil"/>
              <w:left w:val="nil"/>
              <w:bottom w:val="single" w:sz="4" w:space="0" w:color="BFBFBF"/>
              <w:right w:val="nil"/>
            </w:tcBorders>
            <w:noWrap/>
            <w:hideMark/>
          </w:tcPr>
          <w:p w14:paraId="6171851C" w14:textId="77777777" w:rsidR="00814857" w:rsidRDefault="00814857" w:rsidP="00894126">
            <w:pPr>
              <w:pStyle w:val="ARtablenoteindent"/>
            </w:pPr>
            <w:r>
              <w:rPr>
                <w:noProof/>
              </w:rPr>
              <w:t xml:space="preserve">Preliminary result. Actual end-of-year results will be available late 2019. </w:t>
            </w:r>
            <w:r w:rsidRPr="00452C41">
              <w:rPr>
                <w:noProof/>
              </w:rPr>
              <w:t>Outcomes in 2018</w:t>
            </w:r>
            <w:r>
              <w:rPr>
                <w:noProof/>
              </w:rPr>
              <w:t>–</w:t>
            </w:r>
            <w:r w:rsidRPr="00452C41">
              <w:rPr>
                <w:noProof/>
              </w:rPr>
              <w:t xml:space="preserve">19 reflect the impact of transformation on the sector in particular the transition of hours of service delivery to the NDIS. The drop reflects the effect of full phase into </w:t>
            </w:r>
            <w:r>
              <w:rPr>
                <w:noProof/>
              </w:rPr>
              <w:t>nine</w:t>
            </w:r>
            <w:r w:rsidRPr="00452C41">
              <w:rPr>
                <w:noProof/>
              </w:rPr>
              <w:t xml:space="preserve"> NDIS areas.</w:t>
            </w:r>
          </w:p>
        </w:tc>
      </w:tr>
      <w:tr w:rsidR="00830963" w14:paraId="34F0BE4F" w14:textId="77777777" w:rsidTr="0056128E">
        <w:trPr>
          <w:cantSplit/>
          <w:trHeight w:val="240"/>
        </w:trPr>
        <w:tc>
          <w:tcPr>
            <w:tcW w:w="9645" w:type="dxa"/>
            <w:gridSpan w:val="6"/>
            <w:tcBorders>
              <w:top w:val="single" w:sz="4" w:space="0" w:color="auto"/>
              <w:left w:val="nil"/>
              <w:right w:val="nil"/>
            </w:tcBorders>
            <w:hideMark/>
          </w:tcPr>
          <w:p w14:paraId="79866C2C" w14:textId="722D8CAC" w:rsidR="00830963" w:rsidRPr="00DD579E" w:rsidRDefault="00830963" w:rsidP="00DD579E">
            <w:pPr>
              <w:pStyle w:val="ARtablegreybold"/>
            </w:pPr>
            <w:r>
              <w:t>Cost</w:t>
            </w:r>
          </w:p>
        </w:tc>
      </w:tr>
      <w:tr w:rsidR="00814857" w14:paraId="285FE7F4" w14:textId="77777777" w:rsidTr="0056128E">
        <w:trPr>
          <w:cantSplit/>
          <w:trHeight w:val="480"/>
        </w:trPr>
        <w:tc>
          <w:tcPr>
            <w:tcW w:w="4764" w:type="dxa"/>
            <w:tcBorders>
              <w:bottom w:val="single" w:sz="4" w:space="0" w:color="auto"/>
            </w:tcBorders>
            <w:hideMark/>
          </w:tcPr>
          <w:p w14:paraId="12C1ACF3" w14:textId="77777777" w:rsidR="00814857" w:rsidRPr="004305B0" w:rsidRDefault="00814857" w:rsidP="00894126">
            <w:pPr>
              <w:pStyle w:val="ARtabletext"/>
              <w:rPr>
                <w:b/>
              </w:rPr>
            </w:pPr>
            <w:r w:rsidRPr="004305B0">
              <w:rPr>
                <w:b/>
                <w:noProof/>
              </w:rPr>
              <w:t xml:space="preserve">Total </w:t>
            </w:r>
            <w:r>
              <w:rPr>
                <w:b/>
                <w:noProof/>
              </w:rPr>
              <w:t>o</w:t>
            </w:r>
            <w:r w:rsidRPr="004305B0">
              <w:rPr>
                <w:b/>
                <w:noProof/>
              </w:rPr>
              <w:t xml:space="preserve">utput </w:t>
            </w:r>
            <w:r>
              <w:rPr>
                <w:b/>
                <w:noProof/>
              </w:rPr>
              <w:t>c</w:t>
            </w:r>
            <w:r w:rsidRPr="004305B0">
              <w:rPr>
                <w:b/>
                <w:noProof/>
              </w:rPr>
              <w:t>ost</w:t>
            </w:r>
          </w:p>
        </w:tc>
        <w:tc>
          <w:tcPr>
            <w:tcW w:w="1021" w:type="dxa"/>
            <w:tcBorders>
              <w:bottom w:val="single" w:sz="4" w:space="0" w:color="auto"/>
            </w:tcBorders>
            <w:hideMark/>
          </w:tcPr>
          <w:p w14:paraId="2B14AE5C" w14:textId="77777777" w:rsidR="00814857" w:rsidRPr="004305B0" w:rsidRDefault="00814857" w:rsidP="00894126">
            <w:pPr>
              <w:pStyle w:val="ARtabletextright"/>
              <w:rPr>
                <w:b/>
              </w:rPr>
            </w:pPr>
            <w:r w:rsidRPr="004305B0">
              <w:rPr>
                <w:b/>
                <w:noProof/>
              </w:rPr>
              <w:t>$ million</w:t>
            </w:r>
          </w:p>
        </w:tc>
        <w:tc>
          <w:tcPr>
            <w:tcW w:w="1022" w:type="dxa"/>
            <w:tcBorders>
              <w:bottom w:val="single" w:sz="4" w:space="0" w:color="auto"/>
            </w:tcBorders>
            <w:hideMark/>
          </w:tcPr>
          <w:p w14:paraId="5371CF38" w14:textId="77777777" w:rsidR="00814857" w:rsidRPr="004305B0" w:rsidRDefault="00814857" w:rsidP="00894126">
            <w:pPr>
              <w:pStyle w:val="ARtabletextright"/>
              <w:rPr>
                <w:b/>
              </w:rPr>
            </w:pPr>
            <w:r w:rsidRPr="004305B0">
              <w:rPr>
                <w:b/>
                <w:noProof/>
              </w:rPr>
              <w:t>229.4</w:t>
            </w:r>
          </w:p>
        </w:tc>
        <w:tc>
          <w:tcPr>
            <w:tcW w:w="1022" w:type="dxa"/>
            <w:tcBorders>
              <w:bottom w:val="single" w:sz="4" w:space="0" w:color="auto"/>
            </w:tcBorders>
            <w:hideMark/>
          </w:tcPr>
          <w:p w14:paraId="50278257" w14:textId="77777777" w:rsidR="00814857" w:rsidRPr="004305B0" w:rsidRDefault="00814857" w:rsidP="00894126">
            <w:pPr>
              <w:pStyle w:val="ARtabletextright"/>
              <w:rPr>
                <w:b/>
              </w:rPr>
            </w:pPr>
            <w:r w:rsidRPr="004305B0">
              <w:rPr>
                <w:b/>
                <w:noProof/>
              </w:rPr>
              <w:t>232.6</w:t>
            </w:r>
          </w:p>
        </w:tc>
        <w:tc>
          <w:tcPr>
            <w:tcW w:w="1022" w:type="dxa"/>
            <w:tcBorders>
              <w:bottom w:val="single" w:sz="4" w:space="0" w:color="auto"/>
            </w:tcBorders>
            <w:hideMark/>
          </w:tcPr>
          <w:p w14:paraId="16C02C22" w14:textId="77777777" w:rsidR="00814857" w:rsidRPr="004305B0" w:rsidRDefault="00814857" w:rsidP="00894126">
            <w:pPr>
              <w:pStyle w:val="ARtabletextright"/>
              <w:rPr>
                <w:b/>
                <w:noProof/>
              </w:rPr>
            </w:pPr>
            <w:r w:rsidRPr="004305B0">
              <w:rPr>
                <w:b/>
                <w:noProof/>
              </w:rPr>
              <w:t>1.4</w:t>
            </w:r>
          </w:p>
        </w:tc>
        <w:tc>
          <w:tcPr>
            <w:tcW w:w="794" w:type="dxa"/>
            <w:tcBorders>
              <w:bottom w:val="single" w:sz="4" w:space="0" w:color="auto"/>
            </w:tcBorders>
            <w:hideMark/>
          </w:tcPr>
          <w:p w14:paraId="6569D6BC" w14:textId="77777777" w:rsidR="00814857" w:rsidRPr="00DD579E" w:rsidRDefault="00814857" w:rsidP="00DD579E">
            <w:pPr>
              <w:pStyle w:val="ARtabletextright"/>
              <w:rPr>
                <w:b/>
                <w:noProof/>
              </w:rPr>
            </w:pPr>
          </w:p>
        </w:tc>
      </w:tr>
    </w:tbl>
    <w:p w14:paraId="02524693" w14:textId="77777777" w:rsidR="00814857" w:rsidRDefault="00814857" w:rsidP="002909DA">
      <w:pPr>
        <w:pStyle w:val="Heading2"/>
      </w:pPr>
      <w:bookmarkStart w:id="56" w:name="_Toc18954476"/>
      <w:bookmarkStart w:id="57" w:name="_Toc18955078"/>
      <w:r>
        <w:t>Ambulance Services</w:t>
      </w:r>
      <w:bookmarkEnd w:id="56"/>
      <w:bookmarkEnd w:id="57"/>
    </w:p>
    <w:p w14:paraId="296A1B18" w14:textId="69C29E43" w:rsidR="00814857" w:rsidRPr="00030BBE" w:rsidRDefault="00814857" w:rsidP="00DD579E">
      <w:pPr>
        <w:pStyle w:val="ARbody"/>
      </w:pPr>
      <w:r>
        <w:t>This output describes the units of activity for emergency and non-emergency ambulance services under the</w:t>
      </w:r>
      <w:r w:rsidR="00EF2D34">
        <w:t> </w:t>
      </w:r>
      <w:r>
        <w:t>funding model introduced 1 July 2014</w:t>
      </w:r>
      <w:r w:rsidR="001F4A28">
        <w:t>. It</w:t>
      </w:r>
      <w:r>
        <w:t xml:space="preserve"> includ</w:t>
      </w:r>
      <w:r w:rsidR="001F4A28">
        <w:t>es</w:t>
      </w:r>
      <w:r>
        <w:t xml:space="preserve"> a range of performance deliverables that measure the quality and timeliness of ambulance services expected over the period. The quality and timeliness measures identify expected clinical output measures and ambulance response times, which are important to ensure critically ill Victorians receive the care they need.</w:t>
      </w:r>
    </w:p>
    <w:tbl>
      <w:tblPr>
        <w:tblW w:w="9645" w:type="dxa"/>
        <w:tblLayout w:type="fixed"/>
        <w:tblCellMar>
          <w:left w:w="0" w:type="dxa"/>
        </w:tblCellMar>
        <w:tblLook w:val="04A0" w:firstRow="1" w:lastRow="0" w:firstColumn="1" w:lastColumn="0" w:noHBand="0" w:noVBand="1"/>
      </w:tblPr>
      <w:tblGrid>
        <w:gridCol w:w="4764"/>
        <w:gridCol w:w="1021"/>
        <w:gridCol w:w="1022"/>
        <w:gridCol w:w="1022"/>
        <w:gridCol w:w="1022"/>
        <w:gridCol w:w="794"/>
      </w:tblGrid>
      <w:tr w:rsidR="00814857" w14:paraId="37ADBD39" w14:textId="77777777" w:rsidTr="00894126">
        <w:trPr>
          <w:cantSplit/>
          <w:trHeight w:val="480"/>
          <w:tblHeader/>
        </w:trPr>
        <w:tc>
          <w:tcPr>
            <w:tcW w:w="4764" w:type="dxa"/>
            <w:tcBorders>
              <w:top w:val="nil"/>
              <w:left w:val="nil"/>
              <w:bottom w:val="single" w:sz="4" w:space="0" w:color="auto"/>
              <w:right w:val="nil"/>
            </w:tcBorders>
            <w:vAlign w:val="bottom"/>
            <w:hideMark/>
          </w:tcPr>
          <w:p w14:paraId="669E2935" w14:textId="77777777" w:rsidR="00814857" w:rsidRDefault="00814857" w:rsidP="00894126">
            <w:pPr>
              <w:pStyle w:val="ARtablecolhead"/>
            </w:pPr>
            <w:r>
              <w:t>Performance measures</w:t>
            </w:r>
          </w:p>
        </w:tc>
        <w:tc>
          <w:tcPr>
            <w:tcW w:w="1021" w:type="dxa"/>
            <w:tcBorders>
              <w:top w:val="nil"/>
              <w:left w:val="nil"/>
              <w:bottom w:val="single" w:sz="4" w:space="0" w:color="auto"/>
              <w:right w:val="nil"/>
            </w:tcBorders>
            <w:vAlign w:val="bottom"/>
            <w:hideMark/>
          </w:tcPr>
          <w:p w14:paraId="5C9FBDA7" w14:textId="77777777" w:rsidR="00814857" w:rsidRDefault="00814857" w:rsidP="00894126">
            <w:pPr>
              <w:pStyle w:val="ARtablecolheadright"/>
            </w:pPr>
            <w:r>
              <w:t>Unit of measure</w:t>
            </w:r>
          </w:p>
        </w:tc>
        <w:tc>
          <w:tcPr>
            <w:tcW w:w="1022" w:type="dxa"/>
            <w:tcBorders>
              <w:top w:val="nil"/>
              <w:left w:val="nil"/>
              <w:bottom w:val="single" w:sz="4" w:space="0" w:color="auto"/>
              <w:right w:val="nil"/>
            </w:tcBorders>
            <w:vAlign w:val="bottom"/>
            <w:hideMark/>
          </w:tcPr>
          <w:p w14:paraId="773BA2FB" w14:textId="77777777" w:rsidR="00814857" w:rsidRDefault="00814857" w:rsidP="00894126">
            <w:pPr>
              <w:pStyle w:val="ARtablecolheadright"/>
            </w:pPr>
            <w:r>
              <w:t>2018–19 target</w:t>
            </w:r>
          </w:p>
        </w:tc>
        <w:tc>
          <w:tcPr>
            <w:tcW w:w="1022" w:type="dxa"/>
            <w:tcBorders>
              <w:top w:val="nil"/>
              <w:left w:val="nil"/>
              <w:bottom w:val="single" w:sz="4" w:space="0" w:color="auto"/>
              <w:right w:val="nil"/>
            </w:tcBorders>
            <w:vAlign w:val="bottom"/>
            <w:hideMark/>
          </w:tcPr>
          <w:p w14:paraId="45E865ED" w14:textId="77777777" w:rsidR="00814857" w:rsidRDefault="00814857" w:rsidP="00894126">
            <w:pPr>
              <w:pStyle w:val="ARtablecolheadright"/>
            </w:pPr>
            <w:r>
              <w:t>2018–19 actual</w:t>
            </w:r>
          </w:p>
        </w:tc>
        <w:tc>
          <w:tcPr>
            <w:tcW w:w="1022" w:type="dxa"/>
            <w:tcBorders>
              <w:top w:val="nil"/>
              <w:left w:val="nil"/>
              <w:bottom w:val="single" w:sz="4" w:space="0" w:color="auto"/>
              <w:right w:val="nil"/>
            </w:tcBorders>
            <w:vAlign w:val="bottom"/>
            <w:hideMark/>
          </w:tcPr>
          <w:p w14:paraId="7F9B20EA" w14:textId="77777777" w:rsidR="00814857" w:rsidRDefault="00814857" w:rsidP="00894126">
            <w:pPr>
              <w:pStyle w:val="ARtablecolheadright"/>
            </w:pPr>
            <w:r>
              <w:t>Variation (%)</w:t>
            </w:r>
          </w:p>
        </w:tc>
        <w:tc>
          <w:tcPr>
            <w:tcW w:w="794" w:type="dxa"/>
            <w:tcBorders>
              <w:top w:val="nil"/>
              <w:left w:val="nil"/>
              <w:bottom w:val="single" w:sz="4" w:space="0" w:color="auto"/>
              <w:right w:val="nil"/>
            </w:tcBorders>
            <w:vAlign w:val="bottom"/>
            <w:hideMark/>
          </w:tcPr>
          <w:p w14:paraId="7D4ABFD1" w14:textId="77777777" w:rsidR="00814857" w:rsidRDefault="00814857" w:rsidP="00894126">
            <w:pPr>
              <w:pStyle w:val="ARtablecolheadright"/>
            </w:pPr>
            <w:r>
              <w:t>Result</w:t>
            </w:r>
          </w:p>
        </w:tc>
      </w:tr>
      <w:tr w:rsidR="00830963" w14:paraId="0546EBF7"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5A40DC0E" w14:textId="3A4705C1" w:rsidR="00830963" w:rsidRPr="00DD579E" w:rsidRDefault="00830963" w:rsidP="00830963">
            <w:pPr>
              <w:pStyle w:val="ARtablebluebold"/>
            </w:pPr>
            <w:r>
              <w:t>Ambulance Emergency Services</w:t>
            </w:r>
          </w:p>
        </w:tc>
      </w:tr>
      <w:tr w:rsidR="00830963" w14:paraId="17B330DB" w14:textId="77777777" w:rsidTr="00A05EB7">
        <w:trPr>
          <w:cantSplit/>
          <w:trHeight w:val="240"/>
        </w:trPr>
        <w:tc>
          <w:tcPr>
            <w:tcW w:w="9645" w:type="dxa"/>
            <w:gridSpan w:val="6"/>
            <w:tcBorders>
              <w:top w:val="single" w:sz="4" w:space="0" w:color="auto"/>
              <w:left w:val="nil"/>
              <w:bottom w:val="nil"/>
              <w:right w:val="nil"/>
            </w:tcBorders>
            <w:hideMark/>
          </w:tcPr>
          <w:p w14:paraId="1A1AF845" w14:textId="4F54A831" w:rsidR="00830963" w:rsidRPr="00DD579E" w:rsidRDefault="00830963" w:rsidP="00DD579E">
            <w:pPr>
              <w:pStyle w:val="ARtablegreybold"/>
            </w:pPr>
            <w:r>
              <w:t>Quantity</w:t>
            </w:r>
          </w:p>
        </w:tc>
      </w:tr>
      <w:tr w:rsidR="00814857" w14:paraId="1FC93C53" w14:textId="77777777" w:rsidTr="00894126">
        <w:trPr>
          <w:cantSplit/>
          <w:trHeight w:val="480"/>
        </w:trPr>
        <w:tc>
          <w:tcPr>
            <w:tcW w:w="4764" w:type="dxa"/>
            <w:hideMark/>
          </w:tcPr>
          <w:p w14:paraId="50660777" w14:textId="77777777" w:rsidR="00814857" w:rsidRDefault="00814857" w:rsidP="00894126">
            <w:pPr>
              <w:pStyle w:val="ARtabletext"/>
            </w:pPr>
            <w:r>
              <w:rPr>
                <w:noProof/>
              </w:rPr>
              <w:t>Community Service Obligation emergency road and air transports</w:t>
            </w:r>
          </w:p>
        </w:tc>
        <w:tc>
          <w:tcPr>
            <w:tcW w:w="1021" w:type="dxa"/>
            <w:hideMark/>
          </w:tcPr>
          <w:p w14:paraId="75394C20" w14:textId="77777777" w:rsidR="00814857" w:rsidRDefault="00814857" w:rsidP="00894126">
            <w:pPr>
              <w:pStyle w:val="ARtabletextright"/>
            </w:pPr>
            <w:r>
              <w:rPr>
                <w:noProof/>
              </w:rPr>
              <w:t>number</w:t>
            </w:r>
          </w:p>
        </w:tc>
        <w:tc>
          <w:tcPr>
            <w:tcW w:w="1022" w:type="dxa"/>
            <w:hideMark/>
          </w:tcPr>
          <w:p w14:paraId="322A570B" w14:textId="77777777" w:rsidR="00814857" w:rsidRDefault="00814857" w:rsidP="00894126">
            <w:pPr>
              <w:pStyle w:val="ARtabletextright"/>
            </w:pPr>
            <w:r>
              <w:rPr>
                <w:noProof/>
              </w:rPr>
              <w:t>240,011</w:t>
            </w:r>
          </w:p>
        </w:tc>
        <w:tc>
          <w:tcPr>
            <w:tcW w:w="1022" w:type="dxa"/>
            <w:hideMark/>
          </w:tcPr>
          <w:p w14:paraId="1D5A1EBC" w14:textId="77777777" w:rsidR="00814857" w:rsidRDefault="00814857" w:rsidP="00894126">
            <w:pPr>
              <w:pStyle w:val="ARtabletextright"/>
            </w:pPr>
            <w:r>
              <w:rPr>
                <w:noProof/>
              </w:rPr>
              <w:t>268,702</w:t>
            </w:r>
          </w:p>
        </w:tc>
        <w:tc>
          <w:tcPr>
            <w:tcW w:w="1022" w:type="dxa"/>
            <w:hideMark/>
          </w:tcPr>
          <w:p w14:paraId="2559CEB1" w14:textId="77777777" w:rsidR="00814857" w:rsidRDefault="00814857" w:rsidP="00894126">
            <w:pPr>
              <w:pStyle w:val="ARtabletextright"/>
            </w:pPr>
            <w:r>
              <w:rPr>
                <w:noProof/>
              </w:rPr>
              <w:t>12.0</w:t>
            </w:r>
          </w:p>
        </w:tc>
        <w:tc>
          <w:tcPr>
            <w:tcW w:w="794" w:type="dxa"/>
            <w:hideMark/>
          </w:tcPr>
          <w:p w14:paraId="015B1F37" w14:textId="77777777" w:rsidR="00814857" w:rsidRDefault="00814857" w:rsidP="00894126">
            <w:pPr>
              <w:pStyle w:val="ARtabletextright"/>
            </w:pPr>
            <w:r>
              <w:sym w:font="Wingdings" w:char="F0FC"/>
            </w:r>
          </w:p>
        </w:tc>
      </w:tr>
      <w:tr w:rsidR="00814857" w14:paraId="7DB597C1" w14:textId="77777777" w:rsidTr="00894126">
        <w:trPr>
          <w:cantSplit/>
          <w:trHeight w:val="240"/>
        </w:trPr>
        <w:tc>
          <w:tcPr>
            <w:tcW w:w="9645" w:type="dxa"/>
            <w:gridSpan w:val="6"/>
            <w:tcBorders>
              <w:top w:val="nil"/>
              <w:left w:val="nil"/>
              <w:bottom w:val="single" w:sz="4" w:space="0" w:color="BFBFBF"/>
              <w:right w:val="nil"/>
            </w:tcBorders>
            <w:noWrap/>
            <w:hideMark/>
          </w:tcPr>
          <w:p w14:paraId="061C109A" w14:textId="77777777" w:rsidR="00814857" w:rsidRDefault="00814857" w:rsidP="00894126">
            <w:pPr>
              <w:pStyle w:val="ARtablenoteindent"/>
            </w:pPr>
            <w:r>
              <w:rPr>
                <w:noProof/>
              </w:rPr>
              <w:t>Activity is higher due to increased winter demand. The department will continue to monitor performance of this measure over the coming quarter. This is a positive result.</w:t>
            </w:r>
          </w:p>
        </w:tc>
      </w:tr>
      <w:tr w:rsidR="00814857" w14:paraId="33EFDBDB" w14:textId="77777777" w:rsidTr="00894126">
        <w:trPr>
          <w:cantSplit/>
          <w:trHeight w:val="480"/>
        </w:trPr>
        <w:tc>
          <w:tcPr>
            <w:tcW w:w="4764" w:type="dxa"/>
            <w:hideMark/>
          </w:tcPr>
          <w:p w14:paraId="3A8BCB53" w14:textId="77777777" w:rsidR="00814857" w:rsidRDefault="00814857" w:rsidP="00894126">
            <w:pPr>
              <w:pStyle w:val="ARtabletext"/>
            </w:pPr>
            <w:r>
              <w:rPr>
                <w:noProof/>
              </w:rPr>
              <w:t>Statewide emergency air transports</w:t>
            </w:r>
          </w:p>
        </w:tc>
        <w:tc>
          <w:tcPr>
            <w:tcW w:w="1021" w:type="dxa"/>
            <w:hideMark/>
          </w:tcPr>
          <w:p w14:paraId="2004094B" w14:textId="77777777" w:rsidR="00814857" w:rsidRDefault="00814857" w:rsidP="00894126">
            <w:pPr>
              <w:pStyle w:val="ARtabletextright"/>
            </w:pPr>
            <w:r>
              <w:rPr>
                <w:noProof/>
              </w:rPr>
              <w:t>number</w:t>
            </w:r>
          </w:p>
        </w:tc>
        <w:tc>
          <w:tcPr>
            <w:tcW w:w="1022" w:type="dxa"/>
            <w:hideMark/>
          </w:tcPr>
          <w:p w14:paraId="55E5496D" w14:textId="77777777" w:rsidR="00814857" w:rsidRDefault="00814857" w:rsidP="00894126">
            <w:pPr>
              <w:pStyle w:val="ARtabletextright"/>
            </w:pPr>
            <w:r>
              <w:rPr>
                <w:noProof/>
              </w:rPr>
              <w:t>4,484</w:t>
            </w:r>
          </w:p>
        </w:tc>
        <w:tc>
          <w:tcPr>
            <w:tcW w:w="1022" w:type="dxa"/>
            <w:hideMark/>
          </w:tcPr>
          <w:p w14:paraId="583EC9DD" w14:textId="77777777" w:rsidR="00814857" w:rsidRDefault="00814857" w:rsidP="00894126">
            <w:pPr>
              <w:pStyle w:val="ARtabletextright"/>
            </w:pPr>
            <w:r>
              <w:rPr>
                <w:noProof/>
              </w:rPr>
              <w:t>4,822</w:t>
            </w:r>
          </w:p>
        </w:tc>
        <w:tc>
          <w:tcPr>
            <w:tcW w:w="1022" w:type="dxa"/>
            <w:hideMark/>
          </w:tcPr>
          <w:p w14:paraId="7BD3195E" w14:textId="77777777" w:rsidR="00814857" w:rsidRDefault="00814857" w:rsidP="00894126">
            <w:pPr>
              <w:pStyle w:val="ARtabletextright"/>
            </w:pPr>
            <w:r>
              <w:rPr>
                <w:noProof/>
              </w:rPr>
              <w:t>7.5</w:t>
            </w:r>
          </w:p>
        </w:tc>
        <w:tc>
          <w:tcPr>
            <w:tcW w:w="794" w:type="dxa"/>
            <w:hideMark/>
          </w:tcPr>
          <w:p w14:paraId="6C81358A" w14:textId="77777777" w:rsidR="00814857" w:rsidRDefault="00814857" w:rsidP="00894126">
            <w:pPr>
              <w:pStyle w:val="ARtabletextright"/>
            </w:pPr>
            <w:r>
              <w:sym w:font="Wingdings" w:char="F0FC"/>
            </w:r>
          </w:p>
        </w:tc>
      </w:tr>
      <w:tr w:rsidR="00814857" w14:paraId="009349B3" w14:textId="77777777" w:rsidTr="00894126">
        <w:trPr>
          <w:cantSplit/>
          <w:trHeight w:val="240"/>
        </w:trPr>
        <w:tc>
          <w:tcPr>
            <w:tcW w:w="9645" w:type="dxa"/>
            <w:gridSpan w:val="6"/>
            <w:tcBorders>
              <w:top w:val="nil"/>
              <w:left w:val="nil"/>
              <w:bottom w:val="single" w:sz="4" w:space="0" w:color="BFBFBF"/>
              <w:right w:val="nil"/>
            </w:tcBorders>
            <w:noWrap/>
            <w:hideMark/>
          </w:tcPr>
          <w:p w14:paraId="13D2299E" w14:textId="77777777" w:rsidR="00814857" w:rsidRDefault="00814857" w:rsidP="00894126">
            <w:pPr>
              <w:pStyle w:val="ARtablenoteindent"/>
            </w:pPr>
            <w:r>
              <w:rPr>
                <w:noProof/>
              </w:rPr>
              <w:t>Air activity is entirely demand driven. Activity above target represents higher demand for air services. This is a positive result.</w:t>
            </w:r>
          </w:p>
        </w:tc>
      </w:tr>
      <w:tr w:rsidR="00814857" w14:paraId="5B181761" w14:textId="77777777" w:rsidTr="00894126">
        <w:trPr>
          <w:cantSplit/>
          <w:trHeight w:val="480"/>
        </w:trPr>
        <w:tc>
          <w:tcPr>
            <w:tcW w:w="4764" w:type="dxa"/>
            <w:hideMark/>
          </w:tcPr>
          <w:p w14:paraId="2D7F0D74" w14:textId="77777777" w:rsidR="00814857" w:rsidRDefault="00814857" w:rsidP="00894126">
            <w:pPr>
              <w:pStyle w:val="ARtabletext"/>
            </w:pPr>
            <w:r>
              <w:rPr>
                <w:noProof/>
              </w:rPr>
              <w:t>Statewide emergency road transports</w:t>
            </w:r>
          </w:p>
        </w:tc>
        <w:tc>
          <w:tcPr>
            <w:tcW w:w="1021" w:type="dxa"/>
            <w:hideMark/>
          </w:tcPr>
          <w:p w14:paraId="7E33E22C" w14:textId="77777777" w:rsidR="00814857" w:rsidRDefault="00814857" w:rsidP="00894126">
            <w:pPr>
              <w:pStyle w:val="ARtabletextright"/>
            </w:pPr>
            <w:r>
              <w:rPr>
                <w:noProof/>
              </w:rPr>
              <w:t>number</w:t>
            </w:r>
          </w:p>
        </w:tc>
        <w:tc>
          <w:tcPr>
            <w:tcW w:w="1022" w:type="dxa"/>
            <w:hideMark/>
          </w:tcPr>
          <w:p w14:paraId="27789ED2" w14:textId="77777777" w:rsidR="00814857" w:rsidRDefault="00814857" w:rsidP="00894126">
            <w:pPr>
              <w:pStyle w:val="ARtabletextright"/>
            </w:pPr>
            <w:r>
              <w:rPr>
                <w:noProof/>
              </w:rPr>
              <w:t>427,738</w:t>
            </w:r>
          </w:p>
        </w:tc>
        <w:tc>
          <w:tcPr>
            <w:tcW w:w="1022" w:type="dxa"/>
            <w:hideMark/>
          </w:tcPr>
          <w:p w14:paraId="59719EA7" w14:textId="77777777" w:rsidR="00814857" w:rsidRDefault="00814857" w:rsidP="00894126">
            <w:pPr>
              <w:pStyle w:val="ARtabletextright"/>
            </w:pPr>
            <w:r>
              <w:rPr>
                <w:noProof/>
              </w:rPr>
              <w:t>481,436</w:t>
            </w:r>
          </w:p>
        </w:tc>
        <w:tc>
          <w:tcPr>
            <w:tcW w:w="1022" w:type="dxa"/>
            <w:hideMark/>
          </w:tcPr>
          <w:p w14:paraId="76E047A1" w14:textId="77777777" w:rsidR="00814857" w:rsidRDefault="00814857" w:rsidP="00894126">
            <w:pPr>
              <w:pStyle w:val="ARtabletextright"/>
            </w:pPr>
            <w:r>
              <w:rPr>
                <w:noProof/>
              </w:rPr>
              <w:t>12.6</w:t>
            </w:r>
          </w:p>
        </w:tc>
        <w:tc>
          <w:tcPr>
            <w:tcW w:w="794" w:type="dxa"/>
            <w:hideMark/>
          </w:tcPr>
          <w:p w14:paraId="1528D8F6" w14:textId="77777777" w:rsidR="00814857" w:rsidRDefault="00814857" w:rsidP="00894126">
            <w:pPr>
              <w:pStyle w:val="ARtabletextright"/>
            </w:pPr>
            <w:r>
              <w:sym w:font="Wingdings" w:char="F0FC"/>
            </w:r>
          </w:p>
        </w:tc>
      </w:tr>
      <w:tr w:rsidR="00814857" w14:paraId="7CBF3541" w14:textId="77777777" w:rsidTr="0099241F">
        <w:trPr>
          <w:cantSplit/>
          <w:trHeight w:val="545"/>
        </w:trPr>
        <w:tc>
          <w:tcPr>
            <w:tcW w:w="9645" w:type="dxa"/>
            <w:gridSpan w:val="6"/>
            <w:tcBorders>
              <w:top w:val="nil"/>
              <w:left w:val="nil"/>
              <w:bottom w:val="single" w:sz="4" w:space="0" w:color="BFBFBF"/>
              <w:right w:val="nil"/>
            </w:tcBorders>
            <w:noWrap/>
            <w:hideMark/>
          </w:tcPr>
          <w:p w14:paraId="4645BF0D" w14:textId="77777777" w:rsidR="00814857" w:rsidRDefault="00814857" w:rsidP="00894126">
            <w:pPr>
              <w:pStyle w:val="ARtablenoteindent"/>
            </w:pPr>
            <w:r>
              <w:rPr>
                <w:noProof/>
              </w:rPr>
              <w:t>Activity is higher due to increased winter demand. The department will continue to monitor performance of this measure over the coming quarter. This is a positive result.</w:t>
            </w:r>
          </w:p>
        </w:tc>
      </w:tr>
      <w:tr w:rsidR="00814857" w14:paraId="4D5EC055" w14:textId="77777777" w:rsidTr="00894126">
        <w:trPr>
          <w:cantSplit/>
          <w:trHeight w:val="480"/>
        </w:trPr>
        <w:tc>
          <w:tcPr>
            <w:tcW w:w="4764" w:type="dxa"/>
            <w:hideMark/>
          </w:tcPr>
          <w:p w14:paraId="4E6AEF28" w14:textId="77777777" w:rsidR="00814857" w:rsidRDefault="00814857" w:rsidP="00830963">
            <w:pPr>
              <w:pStyle w:val="ARtabletext"/>
              <w:keepNext/>
            </w:pPr>
            <w:r>
              <w:rPr>
                <w:noProof/>
              </w:rPr>
              <w:lastRenderedPageBreak/>
              <w:t>Treatment without transport</w:t>
            </w:r>
          </w:p>
        </w:tc>
        <w:tc>
          <w:tcPr>
            <w:tcW w:w="1021" w:type="dxa"/>
            <w:hideMark/>
          </w:tcPr>
          <w:p w14:paraId="7765A4C6" w14:textId="77777777" w:rsidR="00814857" w:rsidRDefault="00814857" w:rsidP="00894126">
            <w:pPr>
              <w:pStyle w:val="ARtabletextright"/>
            </w:pPr>
            <w:r>
              <w:rPr>
                <w:noProof/>
              </w:rPr>
              <w:t>number</w:t>
            </w:r>
          </w:p>
        </w:tc>
        <w:tc>
          <w:tcPr>
            <w:tcW w:w="1022" w:type="dxa"/>
            <w:hideMark/>
          </w:tcPr>
          <w:p w14:paraId="116F3891" w14:textId="77777777" w:rsidR="00814857" w:rsidRDefault="00814857" w:rsidP="00894126">
            <w:pPr>
              <w:pStyle w:val="ARtabletextright"/>
            </w:pPr>
            <w:r>
              <w:rPr>
                <w:noProof/>
              </w:rPr>
              <w:t>103,332</w:t>
            </w:r>
          </w:p>
        </w:tc>
        <w:tc>
          <w:tcPr>
            <w:tcW w:w="1022" w:type="dxa"/>
            <w:hideMark/>
          </w:tcPr>
          <w:p w14:paraId="72D9D73B" w14:textId="77777777" w:rsidR="00814857" w:rsidRDefault="00814857" w:rsidP="00894126">
            <w:pPr>
              <w:pStyle w:val="ARtabletextright"/>
            </w:pPr>
            <w:r>
              <w:rPr>
                <w:noProof/>
              </w:rPr>
              <w:t>86,707</w:t>
            </w:r>
          </w:p>
        </w:tc>
        <w:tc>
          <w:tcPr>
            <w:tcW w:w="1022" w:type="dxa"/>
            <w:hideMark/>
          </w:tcPr>
          <w:p w14:paraId="2A22FA5B" w14:textId="77777777" w:rsidR="00814857" w:rsidRDefault="00814857" w:rsidP="00894126">
            <w:pPr>
              <w:pStyle w:val="ARtabletextright"/>
            </w:pPr>
            <w:r>
              <w:rPr>
                <w:noProof/>
              </w:rPr>
              <w:t>-16.1</w:t>
            </w:r>
          </w:p>
        </w:tc>
        <w:tc>
          <w:tcPr>
            <w:tcW w:w="794" w:type="dxa"/>
            <w:hideMark/>
          </w:tcPr>
          <w:p w14:paraId="1AEB3BB8" w14:textId="77777777" w:rsidR="00814857" w:rsidRDefault="00814857" w:rsidP="00894126">
            <w:pPr>
              <w:pStyle w:val="ARtabletextright"/>
            </w:pPr>
            <w:r>
              <w:sym w:font="Wingdings" w:char="F06E"/>
            </w:r>
          </w:p>
        </w:tc>
      </w:tr>
      <w:tr w:rsidR="00814857" w14:paraId="35AB422F" w14:textId="77777777" w:rsidTr="00894126">
        <w:trPr>
          <w:cantSplit/>
          <w:trHeight w:val="240"/>
        </w:trPr>
        <w:tc>
          <w:tcPr>
            <w:tcW w:w="9645" w:type="dxa"/>
            <w:gridSpan w:val="6"/>
            <w:tcBorders>
              <w:top w:val="nil"/>
              <w:left w:val="nil"/>
              <w:bottom w:val="single" w:sz="4" w:space="0" w:color="BFBFBF"/>
              <w:right w:val="nil"/>
            </w:tcBorders>
            <w:noWrap/>
            <w:hideMark/>
          </w:tcPr>
          <w:p w14:paraId="47056973" w14:textId="77777777" w:rsidR="00814857" w:rsidRDefault="00814857" w:rsidP="00894126">
            <w:pPr>
              <w:pStyle w:val="ARtablenoteindent"/>
            </w:pPr>
            <w:r>
              <w:rPr>
                <w:noProof/>
              </w:rPr>
              <w:t>Ambulance Victoria's implementation of its revised clinical response model is ensuring that patients are receiving care appropriate to their needs through Ambulance Victoria’s secondary triage service, resulting in fewer patients needing transport to hospital. This is a positive result.</w:t>
            </w:r>
          </w:p>
        </w:tc>
      </w:tr>
      <w:tr w:rsidR="00830963" w14:paraId="5241F799" w14:textId="77777777" w:rsidTr="00A05EB7">
        <w:trPr>
          <w:cantSplit/>
          <w:trHeight w:val="240"/>
        </w:trPr>
        <w:tc>
          <w:tcPr>
            <w:tcW w:w="9645" w:type="dxa"/>
            <w:gridSpan w:val="6"/>
            <w:tcBorders>
              <w:top w:val="single" w:sz="4" w:space="0" w:color="auto"/>
              <w:left w:val="nil"/>
              <w:bottom w:val="nil"/>
              <w:right w:val="nil"/>
            </w:tcBorders>
            <w:hideMark/>
          </w:tcPr>
          <w:p w14:paraId="7471F146" w14:textId="19E142BC" w:rsidR="00830963" w:rsidRPr="00DD579E" w:rsidRDefault="00830963" w:rsidP="00DD579E">
            <w:pPr>
              <w:pStyle w:val="ARtablegreybold"/>
            </w:pPr>
            <w:r>
              <w:t>Quality</w:t>
            </w:r>
          </w:p>
        </w:tc>
      </w:tr>
      <w:tr w:rsidR="00814857" w14:paraId="3F2A3862" w14:textId="77777777" w:rsidTr="00894126">
        <w:trPr>
          <w:cantSplit/>
          <w:trHeight w:val="480"/>
        </w:trPr>
        <w:tc>
          <w:tcPr>
            <w:tcW w:w="4764" w:type="dxa"/>
            <w:hideMark/>
          </w:tcPr>
          <w:p w14:paraId="47C49B72" w14:textId="77777777" w:rsidR="00814857" w:rsidRDefault="00814857" w:rsidP="00894126">
            <w:pPr>
              <w:pStyle w:val="ARtabletext"/>
            </w:pPr>
            <w:r>
              <w:rPr>
                <w:noProof/>
              </w:rPr>
              <w:t>Audited cases attended by Community Emergency Response Teams (CERT) meeting clinical practice standards</w:t>
            </w:r>
          </w:p>
        </w:tc>
        <w:tc>
          <w:tcPr>
            <w:tcW w:w="1021" w:type="dxa"/>
            <w:hideMark/>
          </w:tcPr>
          <w:p w14:paraId="5C8C4FB6" w14:textId="77777777" w:rsidR="00814857" w:rsidRDefault="00814857" w:rsidP="00894126">
            <w:pPr>
              <w:pStyle w:val="ARtabletextright"/>
            </w:pPr>
            <w:r>
              <w:rPr>
                <w:noProof/>
              </w:rPr>
              <w:t>per cent</w:t>
            </w:r>
          </w:p>
        </w:tc>
        <w:tc>
          <w:tcPr>
            <w:tcW w:w="1022" w:type="dxa"/>
            <w:hideMark/>
          </w:tcPr>
          <w:p w14:paraId="0DDAD728" w14:textId="77777777" w:rsidR="00814857" w:rsidRDefault="00814857" w:rsidP="00894126">
            <w:pPr>
              <w:pStyle w:val="ARtabletextright"/>
            </w:pPr>
            <w:r>
              <w:rPr>
                <w:noProof/>
              </w:rPr>
              <w:t>90</w:t>
            </w:r>
          </w:p>
        </w:tc>
        <w:tc>
          <w:tcPr>
            <w:tcW w:w="1022" w:type="dxa"/>
            <w:hideMark/>
          </w:tcPr>
          <w:p w14:paraId="1F7CCB70" w14:textId="77777777" w:rsidR="00814857" w:rsidRDefault="00814857" w:rsidP="00894126">
            <w:pPr>
              <w:pStyle w:val="ARtabletextright"/>
            </w:pPr>
            <w:r>
              <w:rPr>
                <w:noProof/>
              </w:rPr>
              <w:t>100</w:t>
            </w:r>
          </w:p>
        </w:tc>
        <w:tc>
          <w:tcPr>
            <w:tcW w:w="1022" w:type="dxa"/>
            <w:hideMark/>
          </w:tcPr>
          <w:p w14:paraId="11953A1E" w14:textId="77777777" w:rsidR="00814857" w:rsidRDefault="00814857" w:rsidP="00894126">
            <w:pPr>
              <w:pStyle w:val="ARtabletextright"/>
            </w:pPr>
            <w:r>
              <w:rPr>
                <w:noProof/>
              </w:rPr>
              <w:t>11.1</w:t>
            </w:r>
          </w:p>
        </w:tc>
        <w:tc>
          <w:tcPr>
            <w:tcW w:w="794" w:type="dxa"/>
            <w:hideMark/>
          </w:tcPr>
          <w:p w14:paraId="24E34DBE" w14:textId="77777777" w:rsidR="00814857" w:rsidRDefault="00814857" w:rsidP="00894126">
            <w:pPr>
              <w:pStyle w:val="ARtabletextright"/>
            </w:pPr>
            <w:r>
              <w:sym w:font="Wingdings" w:char="F0FC"/>
            </w:r>
          </w:p>
        </w:tc>
      </w:tr>
      <w:tr w:rsidR="00814857" w14:paraId="136BBAD3" w14:textId="77777777" w:rsidTr="00894126">
        <w:trPr>
          <w:cantSplit/>
          <w:trHeight w:val="240"/>
        </w:trPr>
        <w:tc>
          <w:tcPr>
            <w:tcW w:w="9645" w:type="dxa"/>
            <w:gridSpan w:val="6"/>
            <w:tcBorders>
              <w:top w:val="nil"/>
              <w:left w:val="nil"/>
              <w:bottom w:val="single" w:sz="4" w:space="0" w:color="BFBFBF"/>
              <w:right w:val="nil"/>
            </w:tcBorders>
            <w:noWrap/>
            <w:hideMark/>
          </w:tcPr>
          <w:p w14:paraId="51C1D095" w14:textId="77777777" w:rsidR="00814857" w:rsidRDefault="00814857" w:rsidP="00894126">
            <w:pPr>
              <w:pStyle w:val="ARtablenoteindent"/>
            </w:pPr>
            <w:r>
              <w:rPr>
                <w:noProof/>
              </w:rPr>
              <w:t>This is a positive result.</w:t>
            </w:r>
          </w:p>
        </w:tc>
      </w:tr>
      <w:tr w:rsidR="00814857" w14:paraId="14D3EBFB" w14:textId="77777777" w:rsidTr="00894126">
        <w:trPr>
          <w:cantSplit/>
          <w:trHeight w:val="480"/>
        </w:trPr>
        <w:tc>
          <w:tcPr>
            <w:tcW w:w="4764" w:type="dxa"/>
            <w:hideMark/>
          </w:tcPr>
          <w:p w14:paraId="26EAEA33" w14:textId="77777777" w:rsidR="00814857" w:rsidRDefault="00814857" w:rsidP="00894126">
            <w:pPr>
              <w:pStyle w:val="ARtabletext"/>
            </w:pPr>
            <w:r>
              <w:rPr>
                <w:noProof/>
              </w:rPr>
              <w:t>Audited cases statewide meeting clinical practice standards</w:t>
            </w:r>
          </w:p>
        </w:tc>
        <w:tc>
          <w:tcPr>
            <w:tcW w:w="1021" w:type="dxa"/>
            <w:hideMark/>
          </w:tcPr>
          <w:p w14:paraId="1D276D30" w14:textId="77777777" w:rsidR="00814857" w:rsidRDefault="00814857" w:rsidP="00894126">
            <w:pPr>
              <w:pStyle w:val="ARtabletextright"/>
            </w:pPr>
            <w:r>
              <w:rPr>
                <w:noProof/>
              </w:rPr>
              <w:t>per cent</w:t>
            </w:r>
          </w:p>
        </w:tc>
        <w:tc>
          <w:tcPr>
            <w:tcW w:w="1022" w:type="dxa"/>
            <w:hideMark/>
          </w:tcPr>
          <w:p w14:paraId="0C9488EE" w14:textId="77777777" w:rsidR="00814857" w:rsidRDefault="00814857" w:rsidP="00894126">
            <w:pPr>
              <w:pStyle w:val="ARtabletextright"/>
            </w:pPr>
            <w:r>
              <w:rPr>
                <w:noProof/>
              </w:rPr>
              <w:t>95</w:t>
            </w:r>
          </w:p>
        </w:tc>
        <w:tc>
          <w:tcPr>
            <w:tcW w:w="1022" w:type="dxa"/>
            <w:hideMark/>
          </w:tcPr>
          <w:p w14:paraId="3955D8AB" w14:textId="77777777" w:rsidR="00814857" w:rsidRDefault="00814857" w:rsidP="00894126">
            <w:pPr>
              <w:pStyle w:val="ARtabletextright"/>
            </w:pPr>
            <w:r>
              <w:rPr>
                <w:noProof/>
              </w:rPr>
              <w:t>99.9</w:t>
            </w:r>
          </w:p>
        </w:tc>
        <w:tc>
          <w:tcPr>
            <w:tcW w:w="1022" w:type="dxa"/>
            <w:hideMark/>
          </w:tcPr>
          <w:p w14:paraId="2D65F988" w14:textId="77777777" w:rsidR="00814857" w:rsidRDefault="00814857" w:rsidP="00894126">
            <w:pPr>
              <w:pStyle w:val="ARtabletextright"/>
            </w:pPr>
            <w:r>
              <w:rPr>
                <w:noProof/>
              </w:rPr>
              <w:t>5.2</w:t>
            </w:r>
          </w:p>
        </w:tc>
        <w:tc>
          <w:tcPr>
            <w:tcW w:w="794" w:type="dxa"/>
            <w:hideMark/>
          </w:tcPr>
          <w:p w14:paraId="3C228EFA" w14:textId="77777777" w:rsidR="00814857" w:rsidRDefault="00814857" w:rsidP="00894126">
            <w:pPr>
              <w:pStyle w:val="ARtabletextright"/>
            </w:pPr>
            <w:r>
              <w:sym w:font="Wingdings" w:char="F0FC"/>
            </w:r>
          </w:p>
        </w:tc>
      </w:tr>
      <w:tr w:rsidR="00814857" w14:paraId="1C1DCACE" w14:textId="77777777" w:rsidTr="00894126">
        <w:trPr>
          <w:cantSplit/>
          <w:trHeight w:val="240"/>
        </w:trPr>
        <w:tc>
          <w:tcPr>
            <w:tcW w:w="9645" w:type="dxa"/>
            <w:gridSpan w:val="6"/>
            <w:tcBorders>
              <w:top w:val="nil"/>
              <w:left w:val="nil"/>
              <w:bottom w:val="single" w:sz="4" w:space="0" w:color="BFBFBF"/>
              <w:right w:val="nil"/>
            </w:tcBorders>
            <w:noWrap/>
            <w:hideMark/>
          </w:tcPr>
          <w:p w14:paraId="2110C9E3" w14:textId="77777777" w:rsidR="00814857" w:rsidRDefault="00814857" w:rsidP="00894126">
            <w:pPr>
              <w:pStyle w:val="ARtablenoteindent"/>
            </w:pPr>
            <w:r>
              <w:rPr>
                <w:noProof/>
              </w:rPr>
              <w:t>This is a positive result.</w:t>
            </w:r>
          </w:p>
        </w:tc>
      </w:tr>
      <w:tr w:rsidR="00814857" w14:paraId="258302F4" w14:textId="77777777" w:rsidTr="00894126">
        <w:trPr>
          <w:cantSplit/>
          <w:trHeight w:val="480"/>
        </w:trPr>
        <w:tc>
          <w:tcPr>
            <w:tcW w:w="4764" w:type="dxa"/>
            <w:hideMark/>
          </w:tcPr>
          <w:p w14:paraId="3DFA034C" w14:textId="77777777" w:rsidR="00814857" w:rsidRDefault="00814857" w:rsidP="00894126">
            <w:pPr>
              <w:pStyle w:val="ARtabletext"/>
            </w:pPr>
            <w:r>
              <w:rPr>
                <w:noProof/>
              </w:rPr>
              <w:t>Proportion of adult patients suspected of having a stroke who were transported to a stroke unit with thrombolysis facilities within 60 minutes</w:t>
            </w:r>
          </w:p>
        </w:tc>
        <w:tc>
          <w:tcPr>
            <w:tcW w:w="1021" w:type="dxa"/>
            <w:hideMark/>
          </w:tcPr>
          <w:p w14:paraId="3B5D58DF" w14:textId="77777777" w:rsidR="00814857" w:rsidRDefault="00814857" w:rsidP="00894126">
            <w:pPr>
              <w:pStyle w:val="ARtabletextright"/>
            </w:pPr>
            <w:r>
              <w:rPr>
                <w:noProof/>
              </w:rPr>
              <w:t>per cent</w:t>
            </w:r>
          </w:p>
        </w:tc>
        <w:tc>
          <w:tcPr>
            <w:tcW w:w="1022" w:type="dxa"/>
            <w:hideMark/>
          </w:tcPr>
          <w:p w14:paraId="072729D3" w14:textId="77777777" w:rsidR="00814857" w:rsidRDefault="00814857" w:rsidP="00894126">
            <w:pPr>
              <w:pStyle w:val="ARtabletextright"/>
            </w:pPr>
            <w:r>
              <w:rPr>
                <w:noProof/>
              </w:rPr>
              <w:t>90</w:t>
            </w:r>
          </w:p>
        </w:tc>
        <w:tc>
          <w:tcPr>
            <w:tcW w:w="1022" w:type="dxa"/>
            <w:hideMark/>
          </w:tcPr>
          <w:p w14:paraId="047C29B8" w14:textId="77777777" w:rsidR="00814857" w:rsidRDefault="00814857" w:rsidP="00894126">
            <w:pPr>
              <w:pStyle w:val="ARtabletextright"/>
            </w:pPr>
            <w:r>
              <w:rPr>
                <w:noProof/>
              </w:rPr>
              <w:t>97.1</w:t>
            </w:r>
          </w:p>
        </w:tc>
        <w:tc>
          <w:tcPr>
            <w:tcW w:w="1022" w:type="dxa"/>
            <w:hideMark/>
          </w:tcPr>
          <w:p w14:paraId="2A5935D0" w14:textId="77777777" w:rsidR="00814857" w:rsidRDefault="00814857" w:rsidP="00894126">
            <w:pPr>
              <w:pStyle w:val="ARtabletextright"/>
            </w:pPr>
            <w:r>
              <w:rPr>
                <w:noProof/>
              </w:rPr>
              <w:t>7.8</w:t>
            </w:r>
          </w:p>
        </w:tc>
        <w:tc>
          <w:tcPr>
            <w:tcW w:w="794" w:type="dxa"/>
            <w:hideMark/>
          </w:tcPr>
          <w:p w14:paraId="3B72285B" w14:textId="77777777" w:rsidR="00814857" w:rsidRDefault="00814857" w:rsidP="00894126">
            <w:pPr>
              <w:pStyle w:val="ARtabletextright"/>
            </w:pPr>
            <w:r>
              <w:sym w:font="Wingdings" w:char="F0FC"/>
            </w:r>
          </w:p>
        </w:tc>
      </w:tr>
      <w:tr w:rsidR="00814857" w14:paraId="76C4724D" w14:textId="77777777" w:rsidTr="00894126">
        <w:trPr>
          <w:cantSplit/>
          <w:trHeight w:val="240"/>
        </w:trPr>
        <w:tc>
          <w:tcPr>
            <w:tcW w:w="9645" w:type="dxa"/>
            <w:gridSpan w:val="6"/>
            <w:tcBorders>
              <w:top w:val="nil"/>
              <w:left w:val="nil"/>
              <w:bottom w:val="single" w:sz="4" w:space="0" w:color="BFBFBF"/>
              <w:right w:val="nil"/>
            </w:tcBorders>
            <w:noWrap/>
            <w:hideMark/>
          </w:tcPr>
          <w:p w14:paraId="2E150097" w14:textId="77777777" w:rsidR="00814857" w:rsidRDefault="00814857" w:rsidP="00894126">
            <w:pPr>
              <w:pStyle w:val="ARtablenoteindent"/>
            </w:pPr>
            <w:r>
              <w:rPr>
                <w:noProof/>
              </w:rPr>
              <w:t>This is a positive result.</w:t>
            </w:r>
          </w:p>
        </w:tc>
      </w:tr>
      <w:tr w:rsidR="00814857" w14:paraId="4EDC0A6F" w14:textId="77777777" w:rsidTr="00894126">
        <w:trPr>
          <w:cantSplit/>
          <w:trHeight w:val="480"/>
        </w:trPr>
        <w:tc>
          <w:tcPr>
            <w:tcW w:w="4764" w:type="dxa"/>
            <w:hideMark/>
          </w:tcPr>
          <w:p w14:paraId="6961DED1" w14:textId="77777777" w:rsidR="00814857" w:rsidRDefault="00814857" w:rsidP="00894126">
            <w:pPr>
              <w:pStyle w:val="ARtabletext"/>
            </w:pPr>
            <w:r>
              <w:rPr>
                <w:noProof/>
              </w:rPr>
              <w:t>Proportion of adult VF/VT cardiac arrest patients with vital signs at hospital</w:t>
            </w:r>
          </w:p>
        </w:tc>
        <w:tc>
          <w:tcPr>
            <w:tcW w:w="1021" w:type="dxa"/>
            <w:hideMark/>
          </w:tcPr>
          <w:p w14:paraId="6AADF906" w14:textId="77777777" w:rsidR="00814857" w:rsidRDefault="00814857" w:rsidP="00894126">
            <w:pPr>
              <w:pStyle w:val="ARtabletextright"/>
            </w:pPr>
            <w:r>
              <w:rPr>
                <w:noProof/>
              </w:rPr>
              <w:t>per cent</w:t>
            </w:r>
          </w:p>
        </w:tc>
        <w:tc>
          <w:tcPr>
            <w:tcW w:w="1022" w:type="dxa"/>
            <w:hideMark/>
          </w:tcPr>
          <w:p w14:paraId="2F375A1C" w14:textId="77777777" w:rsidR="00814857" w:rsidRDefault="00814857" w:rsidP="00894126">
            <w:pPr>
              <w:pStyle w:val="ARtabletextright"/>
            </w:pPr>
            <w:r>
              <w:rPr>
                <w:noProof/>
              </w:rPr>
              <w:t>50</w:t>
            </w:r>
          </w:p>
        </w:tc>
        <w:tc>
          <w:tcPr>
            <w:tcW w:w="1022" w:type="dxa"/>
            <w:hideMark/>
          </w:tcPr>
          <w:p w14:paraId="7988B278" w14:textId="77777777" w:rsidR="00814857" w:rsidRDefault="00814857" w:rsidP="00894126">
            <w:pPr>
              <w:pStyle w:val="ARtabletextright"/>
            </w:pPr>
            <w:r>
              <w:rPr>
                <w:noProof/>
              </w:rPr>
              <w:t>52</w:t>
            </w:r>
          </w:p>
        </w:tc>
        <w:tc>
          <w:tcPr>
            <w:tcW w:w="1022" w:type="dxa"/>
            <w:hideMark/>
          </w:tcPr>
          <w:p w14:paraId="0C339EAE" w14:textId="77777777" w:rsidR="00814857" w:rsidRDefault="00814857" w:rsidP="00894126">
            <w:pPr>
              <w:pStyle w:val="ARtabletextright"/>
            </w:pPr>
            <w:r>
              <w:rPr>
                <w:noProof/>
              </w:rPr>
              <w:t>4.0</w:t>
            </w:r>
          </w:p>
        </w:tc>
        <w:tc>
          <w:tcPr>
            <w:tcW w:w="794" w:type="dxa"/>
            <w:hideMark/>
          </w:tcPr>
          <w:p w14:paraId="335B4111" w14:textId="77777777" w:rsidR="00814857" w:rsidRDefault="00814857" w:rsidP="00894126">
            <w:pPr>
              <w:pStyle w:val="ARtabletextright"/>
            </w:pPr>
            <w:r>
              <w:sym w:font="Wingdings" w:char="F0FC"/>
            </w:r>
          </w:p>
        </w:tc>
      </w:tr>
      <w:tr w:rsidR="00814857" w14:paraId="2803D231" w14:textId="77777777" w:rsidTr="00894126">
        <w:trPr>
          <w:cantSplit/>
          <w:trHeight w:val="240"/>
        </w:trPr>
        <w:tc>
          <w:tcPr>
            <w:tcW w:w="9645" w:type="dxa"/>
            <w:gridSpan w:val="6"/>
            <w:tcBorders>
              <w:top w:val="nil"/>
              <w:left w:val="nil"/>
              <w:bottom w:val="single" w:sz="4" w:space="0" w:color="BFBFBF" w:themeColor="background1" w:themeShade="BF"/>
              <w:right w:val="nil"/>
            </w:tcBorders>
            <w:noWrap/>
            <w:hideMark/>
          </w:tcPr>
          <w:p w14:paraId="6A891552" w14:textId="77777777" w:rsidR="00814857" w:rsidRDefault="00814857" w:rsidP="00894126">
            <w:pPr>
              <w:pStyle w:val="ARtablenoteindent"/>
            </w:pPr>
            <w:r>
              <w:rPr>
                <w:noProof/>
              </w:rPr>
              <w:t>Preliminary result. Actual end-of-year results will be available late 2019. This is a positive result.</w:t>
            </w:r>
          </w:p>
        </w:tc>
      </w:tr>
      <w:tr w:rsidR="00814857" w14:paraId="793FCCA5"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35A36EC1" w14:textId="77777777" w:rsidR="00814857" w:rsidRDefault="00814857" w:rsidP="00894126">
            <w:pPr>
              <w:pStyle w:val="ARtabletext"/>
            </w:pPr>
            <w:r>
              <w:rPr>
                <w:noProof/>
              </w:rPr>
              <w:t>Proportion of patients experiencing severe cardiac or traumatic pain whose level of pain is reduced significantly</w:t>
            </w:r>
          </w:p>
        </w:tc>
        <w:tc>
          <w:tcPr>
            <w:tcW w:w="1021" w:type="dxa"/>
            <w:tcBorders>
              <w:top w:val="single" w:sz="4" w:space="0" w:color="BFBFBF" w:themeColor="background1" w:themeShade="BF"/>
              <w:bottom w:val="single" w:sz="4" w:space="0" w:color="BFBFBF" w:themeColor="background1" w:themeShade="BF"/>
            </w:tcBorders>
            <w:hideMark/>
          </w:tcPr>
          <w:p w14:paraId="59DCAA7E" w14:textId="77777777" w:rsidR="00814857" w:rsidRDefault="00814857" w:rsidP="00894126">
            <w:pPr>
              <w:pStyle w:val="ARtabletextright"/>
            </w:pPr>
            <w:r>
              <w:rPr>
                <w:noProof/>
              </w:rPr>
              <w:t>per cent</w:t>
            </w:r>
          </w:p>
        </w:tc>
        <w:tc>
          <w:tcPr>
            <w:tcW w:w="1022" w:type="dxa"/>
            <w:tcBorders>
              <w:top w:val="single" w:sz="4" w:space="0" w:color="BFBFBF" w:themeColor="background1" w:themeShade="BF"/>
              <w:bottom w:val="single" w:sz="4" w:space="0" w:color="BFBFBF" w:themeColor="background1" w:themeShade="BF"/>
            </w:tcBorders>
            <w:hideMark/>
          </w:tcPr>
          <w:p w14:paraId="01858F73" w14:textId="77777777" w:rsidR="00814857" w:rsidRDefault="00814857" w:rsidP="00894126">
            <w:pPr>
              <w:pStyle w:val="ARtabletextright"/>
            </w:pPr>
            <w:r>
              <w:rPr>
                <w:noProof/>
              </w:rPr>
              <w:t>90</w:t>
            </w:r>
          </w:p>
        </w:tc>
        <w:tc>
          <w:tcPr>
            <w:tcW w:w="1022" w:type="dxa"/>
            <w:tcBorders>
              <w:top w:val="single" w:sz="4" w:space="0" w:color="BFBFBF" w:themeColor="background1" w:themeShade="BF"/>
              <w:bottom w:val="single" w:sz="4" w:space="0" w:color="BFBFBF" w:themeColor="background1" w:themeShade="BF"/>
            </w:tcBorders>
            <w:hideMark/>
          </w:tcPr>
          <w:p w14:paraId="7BDCE2ED" w14:textId="77777777" w:rsidR="00814857" w:rsidRDefault="00814857" w:rsidP="00894126">
            <w:pPr>
              <w:pStyle w:val="ARtabletextright"/>
            </w:pPr>
            <w:r>
              <w:rPr>
                <w:noProof/>
              </w:rPr>
              <w:t>91.7</w:t>
            </w:r>
          </w:p>
        </w:tc>
        <w:tc>
          <w:tcPr>
            <w:tcW w:w="1022" w:type="dxa"/>
            <w:tcBorders>
              <w:top w:val="single" w:sz="4" w:space="0" w:color="BFBFBF" w:themeColor="background1" w:themeShade="BF"/>
              <w:bottom w:val="single" w:sz="4" w:space="0" w:color="BFBFBF" w:themeColor="background1" w:themeShade="BF"/>
            </w:tcBorders>
            <w:hideMark/>
          </w:tcPr>
          <w:p w14:paraId="63FA881F" w14:textId="77777777" w:rsidR="00814857" w:rsidRDefault="00814857" w:rsidP="00894126">
            <w:pPr>
              <w:pStyle w:val="ARtabletextright"/>
            </w:pPr>
            <w:r>
              <w:rPr>
                <w:noProof/>
              </w:rPr>
              <w:t>1.9</w:t>
            </w:r>
          </w:p>
        </w:tc>
        <w:tc>
          <w:tcPr>
            <w:tcW w:w="794" w:type="dxa"/>
            <w:tcBorders>
              <w:top w:val="single" w:sz="4" w:space="0" w:color="BFBFBF" w:themeColor="background1" w:themeShade="BF"/>
              <w:bottom w:val="single" w:sz="4" w:space="0" w:color="BFBFBF" w:themeColor="background1" w:themeShade="BF"/>
            </w:tcBorders>
            <w:hideMark/>
          </w:tcPr>
          <w:p w14:paraId="1D44F38B" w14:textId="77777777" w:rsidR="00814857" w:rsidRDefault="00814857" w:rsidP="00894126">
            <w:pPr>
              <w:pStyle w:val="ARtabletextright"/>
            </w:pPr>
            <w:r>
              <w:sym w:font="Wingdings" w:char="F0FC"/>
            </w:r>
          </w:p>
        </w:tc>
      </w:tr>
      <w:tr w:rsidR="00814857" w14:paraId="7A51BB02" w14:textId="77777777" w:rsidTr="00894126">
        <w:trPr>
          <w:cantSplit/>
          <w:trHeight w:val="480"/>
        </w:trPr>
        <w:tc>
          <w:tcPr>
            <w:tcW w:w="4764" w:type="dxa"/>
            <w:tcBorders>
              <w:top w:val="single" w:sz="4" w:space="0" w:color="BFBFBF" w:themeColor="background1" w:themeShade="BF"/>
            </w:tcBorders>
            <w:hideMark/>
          </w:tcPr>
          <w:p w14:paraId="1F9ADC24" w14:textId="77777777" w:rsidR="00814857" w:rsidRDefault="00814857" w:rsidP="00894126">
            <w:pPr>
              <w:pStyle w:val="ARtabletext"/>
            </w:pPr>
            <w:r>
              <w:rPr>
                <w:noProof/>
              </w:rPr>
              <w:t>Proportion of patients very satisfied or satisfied with overall services delivered by paramedics</w:t>
            </w:r>
          </w:p>
        </w:tc>
        <w:tc>
          <w:tcPr>
            <w:tcW w:w="1021" w:type="dxa"/>
            <w:tcBorders>
              <w:top w:val="single" w:sz="4" w:space="0" w:color="BFBFBF" w:themeColor="background1" w:themeShade="BF"/>
            </w:tcBorders>
            <w:hideMark/>
          </w:tcPr>
          <w:p w14:paraId="12FC10D8" w14:textId="77777777" w:rsidR="00814857" w:rsidRDefault="00814857" w:rsidP="00894126">
            <w:pPr>
              <w:pStyle w:val="ARtabletextright"/>
            </w:pPr>
            <w:r>
              <w:rPr>
                <w:noProof/>
              </w:rPr>
              <w:t>per cent</w:t>
            </w:r>
          </w:p>
        </w:tc>
        <w:tc>
          <w:tcPr>
            <w:tcW w:w="1022" w:type="dxa"/>
            <w:tcBorders>
              <w:top w:val="single" w:sz="4" w:space="0" w:color="BFBFBF" w:themeColor="background1" w:themeShade="BF"/>
            </w:tcBorders>
            <w:hideMark/>
          </w:tcPr>
          <w:p w14:paraId="6B1EF80C" w14:textId="77777777" w:rsidR="00814857" w:rsidRDefault="00814857" w:rsidP="00894126">
            <w:pPr>
              <w:pStyle w:val="ARtabletextright"/>
            </w:pPr>
            <w:r>
              <w:rPr>
                <w:noProof/>
              </w:rPr>
              <w:t>95</w:t>
            </w:r>
          </w:p>
        </w:tc>
        <w:tc>
          <w:tcPr>
            <w:tcW w:w="1022" w:type="dxa"/>
            <w:tcBorders>
              <w:top w:val="single" w:sz="4" w:space="0" w:color="BFBFBF" w:themeColor="background1" w:themeShade="BF"/>
            </w:tcBorders>
            <w:hideMark/>
          </w:tcPr>
          <w:p w14:paraId="1E1ECC70" w14:textId="77777777" w:rsidR="00814857" w:rsidRDefault="00814857" w:rsidP="00894126">
            <w:pPr>
              <w:pStyle w:val="ARtabletextright"/>
            </w:pPr>
            <w:r>
              <w:rPr>
                <w:noProof/>
              </w:rPr>
              <w:t>97.9</w:t>
            </w:r>
          </w:p>
        </w:tc>
        <w:tc>
          <w:tcPr>
            <w:tcW w:w="1022" w:type="dxa"/>
            <w:tcBorders>
              <w:top w:val="single" w:sz="4" w:space="0" w:color="BFBFBF" w:themeColor="background1" w:themeShade="BF"/>
            </w:tcBorders>
            <w:hideMark/>
          </w:tcPr>
          <w:p w14:paraId="1E95A3B4" w14:textId="77777777" w:rsidR="00814857" w:rsidRDefault="00814857" w:rsidP="00894126">
            <w:pPr>
              <w:pStyle w:val="ARtabletextright"/>
            </w:pPr>
            <w:r>
              <w:rPr>
                <w:noProof/>
              </w:rPr>
              <w:t>3.1</w:t>
            </w:r>
          </w:p>
        </w:tc>
        <w:tc>
          <w:tcPr>
            <w:tcW w:w="794" w:type="dxa"/>
            <w:tcBorders>
              <w:top w:val="single" w:sz="4" w:space="0" w:color="BFBFBF" w:themeColor="background1" w:themeShade="BF"/>
            </w:tcBorders>
            <w:hideMark/>
          </w:tcPr>
          <w:p w14:paraId="6DB60103" w14:textId="77777777" w:rsidR="00814857" w:rsidRDefault="00814857" w:rsidP="00894126">
            <w:pPr>
              <w:pStyle w:val="ARtabletextright"/>
            </w:pPr>
            <w:r>
              <w:sym w:font="Wingdings" w:char="F0FC"/>
            </w:r>
          </w:p>
        </w:tc>
      </w:tr>
      <w:tr w:rsidR="00830963" w14:paraId="48849575" w14:textId="77777777" w:rsidTr="00A05EB7">
        <w:trPr>
          <w:cantSplit/>
          <w:trHeight w:val="240"/>
        </w:trPr>
        <w:tc>
          <w:tcPr>
            <w:tcW w:w="9645" w:type="dxa"/>
            <w:gridSpan w:val="6"/>
            <w:tcBorders>
              <w:top w:val="single" w:sz="4" w:space="0" w:color="auto"/>
              <w:left w:val="nil"/>
              <w:bottom w:val="nil"/>
              <w:right w:val="nil"/>
            </w:tcBorders>
            <w:hideMark/>
          </w:tcPr>
          <w:p w14:paraId="56063DFA" w14:textId="3F0CC653" w:rsidR="00830963" w:rsidRPr="00DD579E" w:rsidRDefault="00830963" w:rsidP="00DD579E">
            <w:pPr>
              <w:pStyle w:val="ARtablegreybold"/>
            </w:pPr>
            <w:r>
              <w:t>Timeliness</w:t>
            </w:r>
          </w:p>
        </w:tc>
      </w:tr>
      <w:tr w:rsidR="00814857" w14:paraId="5EDD39F1" w14:textId="77777777" w:rsidTr="00894126">
        <w:trPr>
          <w:cantSplit/>
          <w:trHeight w:val="480"/>
        </w:trPr>
        <w:tc>
          <w:tcPr>
            <w:tcW w:w="4764" w:type="dxa"/>
            <w:tcBorders>
              <w:bottom w:val="single" w:sz="4" w:space="0" w:color="BFBFBF" w:themeColor="background1" w:themeShade="BF"/>
            </w:tcBorders>
            <w:hideMark/>
          </w:tcPr>
          <w:p w14:paraId="21668A17" w14:textId="77777777" w:rsidR="00814857" w:rsidRDefault="00814857" w:rsidP="00894126">
            <w:pPr>
              <w:pStyle w:val="ARtabletext"/>
            </w:pPr>
            <w:r>
              <w:rPr>
                <w:noProof/>
              </w:rPr>
              <w:t>Proportion of emergency (Code 1) incidents responded to within 15 minutes – statewide</w:t>
            </w:r>
          </w:p>
        </w:tc>
        <w:tc>
          <w:tcPr>
            <w:tcW w:w="1021" w:type="dxa"/>
            <w:tcBorders>
              <w:bottom w:val="single" w:sz="4" w:space="0" w:color="BFBFBF" w:themeColor="background1" w:themeShade="BF"/>
            </w:tcBorders>
            <w:hideMark/>
          </w:tcPr>
          <w:p w14:paraId="75CC4D00" w14:textId="77777777" w:rsidR="00814857" w:rsidRDefault="00814857" w:rsidP="00894126">
            <w:pPr>
              <w:pStyle w:val="ARtabletextright"/>
            </w:pPr>
            <w:r>
              <w:rPr>
                <w:noProof/>
              </w:rPr>
              <w:t>per cent</w:t>
            </w:r>
          </w:p>
        </w:tc>
        <w:tc>
          <w:tcPr>
            <w:tcW w:w="1022" w:type="dxa"/>
            <w:tcBorders>
              <w:bottom w:val="single" w:sz="4" w:space="0" w:color="BFBFBF" w:themeColor="background1" w:themeShade="BF"/>
            </w:tcBorders>
            <w:hideMark/>
          </w:tcPr>
          <w:p w14:paraId="39B2DF21" w14:textId="77777777" w:rsidR="00814857" w:rsidRDefault="00814857" w:rsidP="00894126">
            <w:pPr>
              <w:pStyle w:val="ARtabletextright"/>
            </w:pPr>
            <w:r>
              <w:rPr>
                <w:noProof/>
              </w:rPr>
              <w:t>85</w:t>
            </w:r>
          </w:p>
        </w:tc>
        <w:tc>
          <w:tcPr>
            <w:tcW w:w="1022" w:type="dxa"/>
            <w:tcBorders>
              <w:bottom w:val="single" w:sz="4" w:space="0" w:color="BFBFBF" w:themeColor="background1" w:themeShade="BF"/>
            </w:tcBorders>
            <w:hideMark/>
          </w:tcPr>
          <w:p w14:paraId="1E26BEA5" w14:textId="77777777" w:rsidR="00814857" w:rsidRDefault="00814857" w:rsidP="00894126">
            <w:pPr>
              <w:pStyle w:val="ARtabletextright"/>
            </w:pPr>
            <w:r>
              <w:rPr>
                <w:noProof/>
              </w:rPr>
              <w:t>83.9</w:t>
            </w:r>
          </w:p>
        </w:tc>
        <w:tc>
          <w:tcPr>
            <w:tcW w:w="1022" w:type="dxa"/>
            <w:tcBorders>
              <w:bottom w:val="single" w:sz="4" w:space="0" w:color="BFBFBF" w:themeColor="background1" w:themeShade="BF"/>
            </w:tcBorders>
            <w:hideMark/>
          </w:tcPr>
          <w:p w14:paraId="4F6C889F" w14:textId="77777777" w:rsidR="00814857" w:rsidRDefault="00814857" w:rsidP="00894126">
            <w:pPr>
              <w:pStyle w:val="ARtabletextright"/>
            </w:pPr>
            <w:r>
              <w:rPr>
                <w:noProof/>
              </w:rPr>
              <w:t>-1.3</w:t>
            </w:r>
          </w:p>
        </w:tc>
        <w:tc>
          <w:tcPr>
            <w:tcW w:w="794" w:type="dxa"/>
            <w:tcBorders>
              <w:bottom w:val="single" w:sz="4" w:space="0" w:color="BFBFBF" w:themeColor="background1" w:themeShade="BF"/>
            </w:tcBorders>
            <w:hideMark/>
          </w:tcPr>
          <w:p w14:paraId="11C21CF2" w14:textId="77777777" w:rsidR="00814857" w:rsidRDefault="00814857" w:rsidP="00894126">
            <w:pPr>
              <w:pStyle w:val="ARtabletextright"/>
            </w:pPr>
            <w:r w:rsidRPr="007939DD">
              <w:sym w:font="Wingdings 2" w:char="F099"/>
            </w:r>
          </w:p>
        </w:tc>
      </w:tr>
      <w:tr w:rsidR="00814857" w14:paraId="576E4276" w14:textId="77777777" w:rsidTr="00894126">
        <w:trPr>
          <w:cantSplit/>
          <w:trHeight w:val="480"/>
        </w:trPr>
        <w:tc>
          <w:tcPr>
            <w:tcW w:w="4764" w:type="dxa"/>
            <w:tcBorders>
              <w:top w:val="single" w:sz="4" w:space="0" w:color="BFBFBF" w:themeColor="background1" w:themeShade="BF"/>
              <w:bottom w:val="single" w:sz="4" w:space="0" w:color="auto"/>
            </w:tcBorders>
            <w:hideMark/>
          </w:tcPr>
          <w:p w14:paraId="6804BE12" w14:textId="77777777" w:rsidR="00814857" w:rsidRDefault="00814857" w:rsidP="00894126">
            <w:pPr>
              <w:pStyle w:val="ARtabletext"/>
            </w:pPr>
            <w:r>
              <w:rPr>
                <w:noProof/>
              </w:rPr>
              <w:t>Proportion of emergency (Code 1) incidents responded to within 15 minutes in centres with more than 7,500 population</w:t>
            </w:r>
          </w:p>
        </w:tc>
        <w:tc>
          <w:tcPr>
            <w:tcW w:w="1021" w:type="dxa"/>
            <w:tcBorders>
              <w:top w:val="single" w:sz="4" w:space="0" w:color="BFBFBF" w:themeColor="background1" w:themeShade="BF"/>
              <w:bottom w:val="single" w:sz="4" w:space="0" w:color="auto"/>
            </w:tcBorders>
            <w:hideMark/>
          </w:tcPr>
          <w:p w14:paraId="18FCAB7B" w14:textId="77777777" w:rsidR="00814857" w:rsidRDefault="00814857" w:rsidP="00894126">
            <w:pPr>
              <w:pStyle w:val="ARtabletextright"/>
            </w:pPr>
            <w:r>
              <w:rPr>
                <w:noProof/>
              </w:rPr>
              <w:t>per cent</w:t>
            </w:r>
          </w:p>
        </w:tc>
        <w:tc>
          <w:tcPr>
            <w:tcW w:w="1022" w:type="dxa"/>
            <w:tcBorders>
              <w:top w:val="single" w:sz="4" w:space="0" w:color="BFBFBF" w:themeColor="background1" w:themeShade="BF"/>
              <w:bottom w:val="single" w:sz="4" w:space="0" w:color="auto"/>
            </w:tcBorders>
            <w:hideMark/>
          </w:tcPr>
          <w:p w14:paraId="304B5996" w14:textId="77777777" w:rsidR="00814857" w:rsidRDefault="00814857" w:rsidP="00894126">
            <w:pPr>
              <w:pStyle w:val="ARtabletextright"/>
            </w:pPr>
            <w:r>
              <w:rPr>
                <w:noProof/>
              </w:rPr>
              <w:t>90</w:t>
            </w:r>
          </w:p>
        </w:tc>
        <w:tc>
          <w:tcPr>
            <w:tcW w:w="1022" w:type="dxa"/>
            <w:tcBorders>
              <w:top w:val="single" w:sz="4" w:space="0" w:color="BFBFBF" w:themeColor="background1" w:themeShade="BF"/>
              <w:bottom w:val="single" w:sz="4" w:space="0" w:color="auto"/>
            </w:tcBorders>
            <w:hideMark/>
          </w:tcPr>
          <w:p w14:paraId="55B8A968" w14:textId="77777777" w:rsidR="00814857" w:rsidRDefault="00814857" w:rsidP="00894126">
            <w:pPr>
              <w:pStyle w:val="ARtabletextright"/>
            </w:pPr>
            <w:r>
              <w:rPr>
                <w:noProof/>
              </w:rPr>
              <w:t>89.3</w:t>
            </w:r>
          </w:p>
        </w:tc>
        <w:tc>
          <w:tcPr>
            <w:tcW w:w="1022" w:type="dxa"/>
            <w:tcBorders>
              <w:top w:val="single" w:sz="4" w:space="0" w:color="BFBFBF" w:themeColor="background1" w:themeShade="BF"/>
              <w:bottom w:val="single" w:sz="4" w:space="0" w:color="auto"/>
            </w:tcBorders>
            <w:hideMark/>
          </w:tcPr>
          <w:p w14:paraId="2847D36C" w14:textId="77777777" w:rsidR="00814857" w:rsidRDefault="00814857" w:rsidP="00894126">
            <w:pPr>
              <w:pStyle w:val="ARtabletextright"/>
            </w:pPr>
            <w:r>
              <w:rPr>
                <w:noProof/>
              </w:rPr>
              <w:t>-0.8</w:t>
            </w:r>
          </w:p>
        </w:tc>
        <w:tc>
          <w:tcPr>
            <w:tcW w:w="794" w:type="dxa"/>
            <w:tcBorders>
              <w:top w:val="single" w:sz="4" w:space="0" w:color="BFBFBF" w:themeColor="background1" w:themeShade="BF"/>
              <w:bottom w:val="single" w:sz="4" w:space="0" w:color="auto"/>
            </w:tcBorders>
            <w:hideMark/>
          </w:tcPr>
          <w:p w14:paraId="6686AB80" w14:textId="77777777" w:rsidR="00814857" w:rsidRDefault="00814857" w:rsidP="00894126">
            <w:pPr>
              <w:pStyle w:val="ARtabletextright"/>
            </w:pPr>
            <w:r w:rsidRPr="007939DD">
              <w:sym w:font="Wingdings 2" w:char="F099"/>
            </w:r>
          </w:p>
        </w:tc>
      </w:tr>
      <w:tr w:rsidR="00830963" w14:paraId="42C7C6B5" w14:textId="77777777" w:rsidTr="00A05EB7">
        <w:trPr>
          <w:cantSplit/>
          <w:trHeight w:val="240"/>
        </w:trPr>
        <w:tc>
          <w:tcPr>
            <w:tcW w:w="9645" w:type="dxa"/>
            <w:gridSpan w:val="6"/>
            <w:tcBorders>
              <w:top w:val="single" w:sz="4" w:space="0" w:color="auto"/>
              <w:left w:val="nil"/>
              <w:bottom w:val="nil"/>
              <w:right w:val="nil"/>
            </w:tcBorders>
            <w:hideMark/>
          </w:tcPr>
          <w:p w14:paraId="051647A9" w14:textId="7EE118D7" w:rsidR="00830963" w:rsidRPr="00DD579E" w:rsidRDefault="00830963" w:rsidP="00DD579E">
            <w:pPr>
              <w:pStyle w:val="ARtablegreybold"/>
            </w:pPr>
            <w:r>
              <w:t>Cost</w:t>
            </w:r>
          </w:p>
        </w:tc>
      </w:tr>
      <w:tr w:rsidR="00814857" w14:paraId="74789027" w14:textId="77777777" w:rsidTr="00894126">
        <w:trPr>
          <w:cantSplit/>
          <w:trHeight w:val="480"/>
        </w:trPr>
        <w:tc>
          <w:tcPr>
            <w:tcW w:w="4764" w:type="dxa"/>
            <w:hideMark/>
          </w:tcPr>
          <w:p w14:paraId="051EDCF5" w14:textId="77777777" w:rsidR="00814857" w:rsidRPr="005A6F56" w:rsidRDefault="00814857" w:rsidP="00894126">
            <w:pPr>
              <w:pStyle w:val="ARtabletext"/>
              <w:rPr>
                <w:b/>
              </w:rPr>
            </w:pPr>
            <w:r w:rsidRPr="005A6F56">
              <w:rPr>
                <w:b/>
                <w:noProof/>
              </w:rPr>
              <w:t xml:space="preserve">Total </w:t>
            </w:r>
            <w:r>
              <w:rPr>
                <w:b/>
                <w:noProof/>
              </w:rPr>
              <w:t>o</w:t>
            </w:r>
            <w:r w:rsidRPr="005A6F56">
              <w:rPr>
                <w:b/>
                <w:noProof/>
              </w:rPr>
              <w:t xml:space="preserve">utput </w:t>
            </w:r>
            <w:r>
              <w:rPr>
                <w:b/>
                <w:noProof/>
              </w:rPr>
              <w:t>c</w:t>
            </w:r>
            <w:r w:rsidRPr="005A6F56">
              <w:rPr>
                <w:b/>
                <w:noProof/>
              </w:rPr>
              <w:t>ost</w:t>
            </w:r>
          </w:p>
        </w:tc>
        <w:tc>
          <w:tcPr>
            <w:tcW w:w="1021" w:type="dxa"/>
            <w:hideMark/>
          </w:tcPr>
          <w:p w14:paraId="0C0F5642" w14:textId="77777777" w:rsidR="00814857" w:rsidRPr="005A6F56" w:rsidRDefault="00814857" w:rsidP="00894126">
            <w:pPr>
              <w:pStyle w:val="ARtabletextright"/>
              <w:rPr>
                <w:b/>
              </w:rPr>
            </w:pPr>
            <w:r w:rsidRPr="005A6F56">
              <w:rPr>
                <w:b/>
                <w:noProof/>
              </w:rPr>
              <w:t>$ million</w:t>
            </w:r>
          </w:p>
        </w:tc>
        <w:tc>
          <w:tcPr>
            <w:tcW w:w="1022" w:type="dxa"/>
            <w:hideMark/>
          </w:tcPr>
          <w:p w14:paraId="436CDEBE" w14:textId="77777777" w:rsidR="00814857" w:rsidRPr="005A6F56" w:rsidRDefault="00814857" w:rsidP="00894126">
            <w:pPr>
              <w:pStyle w:val="ARtabletextright"/>
              <w:rPr>
                <w:b/>
              </w:rPr>
            </w:pPr>
            <w:r w:rsidRPr="005A6F56">
              <w:rPr>
                <w:b/>
                <w:noProof/>
              </w:rPr>
              <w:t>946.3</w:t>
            </w:r>
          </w:p>
        </w:tc>
        <w:tc>
          <w:tcPr>
            <w:tcW w:w="1022" w:type="dxa"/>
            <w:hideMark/>
          </w:tcPr>
          <w:p w14:paraId="42AA04C7" w14:textId="77777777" w:rsidR="00814857" w:rsidRPr="005A6F56" w:rsidRDefault="00814857" w:rsidP="00894126">
            <w:pPr>
              <w:pStyle w:val="ARtabletextright"/>
              <w:rPr>
                <w:b/>
              </w:rPr>
            </w:pPr>
            <w:r w:rsidRPr="005A6F56">
              <w:rPr>
                <w:b/>
                <w:noProof/>
              </w:rPr>
              <w:t>940</w:t>
            </w:r>
          </w:p>
        </w:tc>
        <w:tc>
          <w:tcPr>
            <w:tcW w:w="1022" w:type="dxa"/>
            <w:hideMark/>
          </w:tcPr>
          <w:p w14:paraId="0F861366" w14:textId="77777777" w:rsidR="00814857" w:rsidRPr="005A6F56" w:rsidRDefault="00814857" w:rsidP="00894126">
            <w:pPr>
              <w:pStyle w:val="ARtabletextright"/>
              <w:rPr>
                <w:b/>
              </w:rPr>
            </w:pPr>
            <w:r w:rsidRPr="005A6F56">
              <w:rPr>
                <w:b/>
                <w:noProof/>
              </w:rPr>
              <w:t>-0.7</w:t>
            </w:r>
          </w:p>
        </w:tc>
        <w:tc>
          <w:tcPr>
            <w:tcW w:w="794" w:type="dxa"/>
            <w:hideMark/>
          </w:tcPr>
          <w:p w14:paraId="25A2E003" w14:textId="77777777" w:rsidR="00814857" w:rsidRPr="005A6F56" w:rsidRDefault="00814857" w:rsidP="00894126">
            <w:pPr>
              <w:rPr>
                <w:b/>
              </w:rPr>
            </w:pPr>
          </w:p>
        </w:tc>
      </w:tr>
      <w:tr w:rsidR="00814857" w14:paraId="223333E1" w14:textId="77777777" w:rsidTr="00894126">
        <w:trPr>
          <w:cantSplit/>
          <w:trHeight w:val="240"/>
        </w:trPr>
        <w:tc>
          <w:tcPr>
            <w:tcW w:w="9645" w:type="dxa"/>
            <w:gridSpan w:val="6"/>
            <w:tcBorders>
              <w:top w:val="nil"/>
              <w:left w:val="nil"/>
              <w:bottom w:val="single" w:sz="4" w:space="0" w:color="BFBFBF"/>
              <w:right w:val="nil"/>
            </w:tcBorders>
            <w:noWrap/>
            <w:hideMark/>
          </w:tcPr>
          <w:p w14:paraId="503F29CB" w14:textId="77777777" w:rsidR="00814857" w:rsidRDefault="00814857" w:rsidP="00894126">
            <w:pPr>
              <w:pStyle w:val="ARtablenoteindent"/>
            </w:pPr>
            <w:r>
              <w:rPr>
                <w:noProof/>
              </w:rPr>
              <w:t>The result primarily reflects an output realignment from Ambulance Emergency Services to Ambulance Non Emergency Services.</w:t>
            </w:r>
          </w:p>
        </w:tc>
      </w:tr>
      <w:tr w:rsidR="00830963" w14:paraId="1EDEB82D"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5B67240C" w14:textId="3C9552BE" w:rsidR="00830963" w:rsidRPr="00DD579E" w:rsidRDefault="00830963" w:rsidP="00830963">
            <w:pPr>
              <w:pStyle w:val="ARtablebluebold"/>
            </w:pPr>
            <w:r>
              <w:t>Ambulance Non-Emergency Services</w:t>
            </w:r>
          </w:p>
        </w:tc>
      </w:tr>
      <w:tr w:rsidR="00830963" w14:paraId="7783F3AA" w14:textId="77777777" w:rsidTr="00A05EB7">
        <w:trPr>
          <w:cantSplit/>
          <w:trHeight w:val="240"/>
        </w:trPr>
        <w:tc>
          <w:tcPr>
            <w:tcW w:w="9645" w:type="dxa"/>
            <w:gridSpan w:val="6"/>
            <w:tcBorders>
              <w:top w:val="single" w:sz="4" w:space="0" w:color="auto"/>
              <w:left w:val="nil"/>
              <w:bottom w:val="nil"/>
              <w:right w:val="nil"/>
            </w:tcBorders>
            <w:hideMark/>
          </w:tcPr>
          <w:p w14:paraId="0C2B630F" w14:textId="3FB6EE85" w:rsidR="00830963" w:rsidRPr="00DD579E" w:rsidRDefault="00830963" w:rsidP="00DD579E">
            <w:pPr>
              <w:pStyle w:val="ARtablegreybold"/>
            </w:pPr>
            <w:r>
              <w:t>Quantity</w:t>
            </w:r>
          </w:p>
        </w:tc>
      </w:tr>
      <w:tr w:rsidR="00814857" w14:paraId="666850D9" w14:textId="77777777" w:rsidTr="00894126">
        <w:trPr>
          <w:cantSplit/>
          <w:trHeight w:val="480"/>
        </w:trPr>
        <w:tc>
          <w:tcPr>
            <w:tcW w:w="4764" w:type="dxa"/>
            <w:hideMark/>
          </w:tcPr>
          <w:p w14:paraId="1C27A9F6" w14:textId="77777777" w:rsidR="00814857" w:rsidRDefault="00814857" w:rsidP="00894126">
            <w:pPr>
              <w:pStyle w:val="ARtabletext"/>
            </w:pPr>
            <w:r>
              <w:rPr>
                <w:noProof/>
              </w:rPr>
              <w:t>Community Service Obligation non-emergency road and air transports</w:t>
            </w:r>
          </w:p>
        </w:tc>
        <w:tc>
          <w:tcPr>
            <w:tcW w:w="1021" w:type="dxa"/>
            <w:hideMark/>
          </w:tcPr>
          <w:p w14:paraId="38AFF6BE" w14:textId="77777777" w:rsidR="00814857" w:rsidRDefault="00814857" w:rsidP="00894126">
            <w:pPr>
              <w:pStyle w:val="ARtabletextright"/>
            </w:pPr>
            <w:r>
              <w:rPr>
                <w:noProof/>
              </w:rPr>
              <w:t>number</w:t>
            </w:r>
          </w:p>
        </w:tc>
        <w:tc>
          <w:tcPr>
            <w:tcW w:w="1022" w:type="dxa"/>
            <w:hideMark/>
          </w:tcPr>
          <w:p w14:paraId="5199AF97" w14:textId="77777777" w:rsidR="00814857" w:rsidRDefault="00814857" w:rsidP="00894126">
            <w:pPr>
              <w:pStyle w:val="ARtabletextright"/>
            </w:pPr>
            <w:r>
              <w:rPr>
                <w:noProof/>
              </w:rPr>
              <w:t>192,275</w:t>
            </w:r>
          </w:p>
        </w:tc>
        <w:tc>
          <w:tcPr>
            <w:tcW w:w="1022" w:type="dxa"/>
            <w:hideMark/>
          </w:tcPr>
          <w:p w14:paraId="0FF20229" w14:textId="77777777" w:rsidR="00814857" w:rsidRDefault="00814857" w:rsidP="00894126">
            <w:pPr>
              <w:pStyle w:val="ARtabletextright"/>
            </w:pPr>
            <w:r>
              <w:rPr>
                <w:noProof/>
              </w:rPr>
              <w:t>217,828</w:t>
            </w:r>
          </w:p>
        </w:tc>
        <w:tc>
          <w:tcPr>
            <w:tcW w:w="1022" w:type="dxa"/>
            <w:hideMark/>
          </w:tcPr>
          <w:p w14:paraId="52498B40" w14:textId="77777777" w:rsidR="00814857" w:rsidRDefault="00814857" w:rsidP="00894126">
            <w:pPr>
              <w:pStyle w:val="ARtabletextright"/>
            </w:pPr>
            <w:r>
              <w:rPr>
                <w:noProof/>
              </w:rPr>
              <w:t>13.3</w:t>
            </w:r>
          </w:p>
        </w:tc>
        <w:tc>
          <w:tcPr>
            <w:tcW w:w="794" w:type="dxa"/>
            <w:hideMark/>
          </w:tcPr>
          <w:p w14:paraId="6A700478" w14:textId="77777777" w:rsidR="00814857" w:rsidRDefault="00814857" w:rsidP="00894126">
            <w:pPr>
              <w:pStyle w:val="ARtabletextright"/>
            </w:pPr>
            <w:r>
              <w:sym w:font="Wingdings" w:char="F0FC"/>
            </w:r>
          </w:p>
        </w:tc>
      </w:tr>
      <w:tr w:rsidR="00814857" w14:paraId="55F91B33" w14:textId="77777777" w:rsidTr="00894126">
        <w:trPr>
          <w:cantSplit/>
          <w:trHeight w:val="240"/>
        </w:trPr>
        <w:tc>
          <w:tcPr>
            <w:tcW w:w="9645" w:type="dxa"/>
            <w:gridSpan w:val="6"/>
            <w:tcBorders>
              <w:top w:val="nil"/>
              <w:left w:val="nil"/>
              <w:bottom w:val="single" w:sz="4" w:space="0" w:color="BFBFBF"/>
              <w:right w:val="nil"/>
            </w:tcBorders>
            <w:noWrap/>
            <w:hideMark/>
          </w:tcPr>
          <w:p w14:paraId="4AF28C31" w14:textId="77777777" w:rsidR="00814857" w:rsidRDefault="00814857" w:rsidP="00894126">
            <w:pPr>
              <w:pStyle w:val="ARtablenoteindent"/>
            </w:pPr>
            <w:r>
              <w:rPr>
                <w:noProof/>
              </w:rPr>
              <w:t>Activity is higher due to increased winter demand. The department will continue to monitor performance of this measure.</w:t>
            </w:r>
          </w:p>
        </w:tc>
      </w:tr>
      <w:tr w:rsidR="00814857" w14:paraId="6AA92B17" w14:textId="77777777" w:rsidTr="00894126">
        <w:trPr>
          <w:cantSplit/>
          <w:trHeight w:val="480"/>
        </w:trPr>
        <w:tc>
          <w:tcPr>
            <w:tcW w:w="4764" w:type="dxa"/>
            <w:hideMark/>
          </w:tcPr>
          <w:p w14:paraId="509566D7" w14:textId="77777777" w:rsidR="00814857" w:rsidRDefault="00814857" w:rsidP="00894126">
            <w:pPr>
              <w:pStyle w:val="ARtabletext"/>
            </w:pPr>
            <w:r>
              <w:rPr>
                <w:noProof/>
              </w:rPr>
              <w:t>Statewide non-emergency air transports</w:t>
            </w:r>
          </w:p>
        </w:tc>
        <w:tc>
          <w:tcPr>
            <w:tcW w:w="1021" w:type="dxa"/>
            <w:hideMark/>
          </w:tcPr>
          <w:p w14:paraId="0E9734DA" w14:textId="77777777" w:rsidR="00814857" w:rsidRDefault="00814857" w:rsidP="00894126">
            <w:pPr>
              <w:pStyle w:val="ARtabletextright"/>
            </w:pPr>
            <w:r>
              <w:rPr>
                <w:noProof/>
              </w:rPr>
              <w:t>number</w:t>
            </w:r>
          </w:p>
        </w:tc>
        <w:tc>
          <w:tcPr>
            <w:tcW w:w="1022" w:type="dxa"/>
            <w:hideMark/>
          </w:tcPr>
          <w:p w14:paraId="59D35481" w14:textId="77777777" w:rsidR="00814857" w:rsidRDefault="00814857" w:rsidP="00894126">
            <w:pPr>
              <w:pStyle w:val="ARtabletextright"/>
            </w:pPr>
            <w:r>
              <w:rPr>
                <w:noProof/>
              </w:rPr>
              <w:t>2,342</w:t>
            </w:r>
          </w:p>
        </w:tc>
        <w:tc>
          <w:tcPr>
            <w:tcW w:w="1022" w:type="dxa"/>
            <w:hideMark/>
          </w:tcPr>
          <w:p w14:paraId="1B5DB361" w14:textId="77777777" w:rsidR="00814857" w:rsidRDefault="00814857" w:rsidP="00894126">
            <w:pPr>
              <w:pStyle w:val="ARtabletextright"/>
            </w:pPr>
            <w:r>
              <w:rPr>
                <w:noProof/>
              </w:rPr>
              <w:t>2,189</w:t>
            </w:r>
          </w:p>
        </w:tc>
        <w:tc>
          <w:tcPr>
            <w:tcW w:w="1022" w:type="dxa"/>
            <w:hideMark/>
          </w:tcPr>
          <w:p w14:paraId="74B753E5" w14:textId="77777777" w:rsidR="00814857" w:rsidRDefault="00814857" w:rsidP="00894126">
            <w:pPr>
              <w:pStyle w:val="ARtabletextright"/>
            </w:pPr>
            <w:r>
              <w:rPr>
                <w:noProof/>
              </w:rPr>
              <w:t>-6.5</w:t>
            </w:r>
          </w:p>
        </w:tc>
        <w:tc>
          <w:tcPr>
            <w:tcW w:w="794" w:type="dxa"/>
            <w:hideMark/>
          </w:tcPr>
          <w:p w14:paraId="381A7938" w14:textId="77777777" w:rsidR="00814857" w:rsidRDefault="00814857" w:rsidP="00894126">
            <w:pPr>
              <w:pStyle w:val="ARtabletextright"/>
            </w:pPr>
            <w:r>
              <w:sym w:font="Wingdings" w:char="F06E"/>
            </w:r>
          </w:p>
        </w:tc>
      </w:tr>
      <w:tr w:rsidR="00814857" w14:paraId="14D3C396" w14:textId="77777777" w:rsidTr="00894126">
        <w:trPr>
          <w:cantSplit/>
          <w:trHeight w:val="240"/>
        </w:trPr>
        <w:tc>
          <w:tcPr>
            <w:tcW w:w="9645" w:type="dxa"/>
            <w:gridSpan w:val="6"/>
            <w:tcBorders>
              <w:top w:val="nil"/>
              <w:left w:val="nil"/>
              <w:bottom w:val="single" w:sz="4" w:space="0" w:color="BFBFBF"/>
              <w:right w:val="nil"/>
            </w:tcBorders>
            <w:noWrap/>
            <w:hideMark/>
          </w:tcPr>
          <w:p w14:paraId="76E6F1B6" w14:textId="77777777" w:rsidR="00814857" w:rsidRDefault="00814857" w:rsidP="00894126">
            <w:pPr>
              <w:pStyle w:val="ARtablenoteindent"/>
            </w:pPr>
            <w:r>
              <w:rPr>
                <w:noProof/>
              </w:rPr>
              <w:t>Air activity is entirely demand driven. Activity below target represents lower demand for air services.</w:t>
            </w:r>
          </w:p>
        </w:tc>
      </w:tr>
      <w:tr w:rsidR="00814857" w14:paraId="7D4C8B37" w14:textId="77777777" w:rsidTr="00830963">
        <w:trPr>
          <w:cantSplit/>
          <w:trHeight w:val="480"/>
        </w:trPr>
        <w:tc>
          <w:tcPr>
            <w:tcW w:w="4764" w:type="dxa"/>
            <w:hideMark/>
          </w:tcPr>
          <w:p w14:paraId="1B031DB2" w14:textId="77777777" w:rsidR="00814857" w:rsidRDefault="00814857" w:rsidP="00894126">
            <w:pPr>
              <w:pStyle w:val="ARtabletext"/>
            </w:pPr>
            <w:r>
              <w:rPr>
                <w:noProof/>
              </w:rPr>
              <w:t>Statewide non-emergency road transports</w:t>
            </w:r>
          </w:p>
        </w:tc>
        <w:tc>
          <w:tcPr>
            <w:tcW w:w="1021" w:type="dxa"/>
            <w:hideMark/>
          </w:tcPr>
          <w:p w14:paraId="61970516" w14:textId="77777777" w:rsidR="00814857" w:rsidRDefault="00814857" w:rsidP="00894126">
            <w:pPr>
              <w:pStyle w:val="ARtabletextright"/>
            </w:pPr>
            <w:r>
              <w:rPr>
                <w:noProof/>
              </w:rPr>
              <w:t>number</w:t>
            </w:r>
          </w:p>
        </w:tc>
        <w:tc>
          <w:tcPr>
            <w:tcW w:w="1022" w:type="dxa"/>
            <w:hideMark/>
          </w:tcPr>
          <w:p w14:paraId="79AB0B82" w14:textId="77777777" w:rsidR="00814857" w:rsidRDefault="00814857" w:rsidP="00894126">
            <w:pPr>
              <w:pStyle w:val="ARtabletextright"/>
            </w:pPr>
            <w:r>
              <w:rPr>
                <w:noProof/>
              </w:rPr>
              <w:t>265,859</w:t>
            </w:r>
          </w:p>
        </w:tc>
        <w:tc>
          <w:tcPr>
            <w:tcW w:w="1022" w:type="dxa"/>
            <w:hideMark/>
          </w:tcPr>
          <w:p w14:paraId="31E5775C" w14:textId="77777777" w:rsidR="00814857" w:rsidRDefault="00814857" w:rsidP="00894126">
            <w:pPr>
              <w:pStyle w:val="ARtabletextright"/>
            </w:pPr>
            <w:r>
              <w:rPr>
                <w:noProof/>
              </w:rPr>
              <w:t>287,724</w:t>
            </w:r>
          </w:p>
        </w:tc>
        <w:tc>
          <w:tcPr>
            <w:tcW w:w="1022" w:type="dxa"/>
            <w:hideMark/>
          </w:tcPr>
          <w:p w14:paraId="4B20C516" w14:textId="77777777" w:rsidR="00814857" w:rsidRDefault="00814857" w:rsidP="00894126">
            <w:pPr>
              <w:pStyle w:val="ARtabletextright"/>
            </w:pPr>
            <w:r>
              <w:rPr>
                <w:noProof/>
              </w:rPr>
              <w:t>8.2</w:t>
            </w:r>
          </w:p>
        </w:tc>
        <w:tc>
          <w:tcPr>
            <w:tcW w:w="794" w:type="dxa"/>
            <w:hideMark/>
          </w:tcPr>
          <w:p w14:paraId="4335AD77" w14:textId="77777777" w:rsidR="00814857" w:rsidRDefault="00814857" w:rsidP="00894126">
            <w:pPr>
              <w:pStyle w:val="ARtabletextright"/>
            </w:pPr>
            <w:r>
              <w:sym w:font="Wingdings" w:char="F0FC"/>
            </w:r>
          </w:p>
        </w:tc>
      </w:tr>
      <w:tr w:rsidR="00814857" w14:paraId="2E5C0C6A" w14:textId="77777777" w:rsidTr="00830963">
        <w:trPr>
          <w:cantSplit/>
          <w:trHeight w:val="238"/>
        </w:trPr>
        <w:tc>
          <w:tcPr>
            <w:tcW w:w="9645" w:type="dxa"/>
            <w:gridSpan w:val="6"/>
            <w:tcBorders>
              <w:top w:val="nil"/>
              <w:left w:val="nil"/>
              <w:bottom w:val="single" w:sz="4" w:space="0" w:color="auto"/>
              <w:right w:val="nil"/>
            </w:tcBorders>
            <w:noWrap/>
            <w:hideMark/>
          </w:tcPr>
          <w:p w14:paraId="7C85A6C7" w14:textId="77777777" w:rsidR="00814857" w:rsidRDefault="00814857" w:rsidP="00894126">
            <w:pPr>
              <w:pStyle w:val="ARtablenoteindent"/>
            </w:pPr>
            <w:r>
              <w:rPr>
                <w:noProof/>
              </w:rPr>
              <w:t>Activity is higher due to increased winter demand. The department will continue to monitor performance of this measure.</w:t>
            </w:r>
          </w:p>
        </w:tc>
      </w:tr>
      <w:tr w:rsidR="00830963" w14:paraId="12B1C197" w14:textId="77777777" w:rsidTr="00A05EB7">
        <w:trPr>
          <w:cantSplit/>
          <w:trHeight w:val="240"/>
        </w:trPr>
        <w:tc>
          <w:tcPr>
            <w:tcW w:w="9645" w:type="dxa"/>
            <w:gridSpan w:val="6"/>
            <w:tcBorders>
              <w:top w:val="single" w:sz="4" w:space="0" w:color="auto"/>
              <w:left w:val="nil"/>
              <w:bottom w:val="nil"/>
              <w:right w:val="nil"/>
            </w:tcBorders>
            <w:hideMark/>
          </w:tcPr>
          <w:p w14:paraId="11E17E2A" w14:textId="44606A71" w:rsidR="00830963" w:rsidRPr="00DD579E" w:rsidRDefault="00830963" w:rsidP="00830963">
            <w:pPr>
              <w:pStyle w:val="ARtablegreybold"/>
              <w:keepNext/>
            </w:pPr>
            <w:r>
              <w:lastRenderedPageBreak/>
              <w:t>Quality</w:t>
            </w:r>
          </w:p>
        </w:tc>
      </w:tr>
      <w:tr w:rsidR="00814857" w14:paraId="37EA9987" w14:textId="77777777" w:rsidTr="00894126">
        <w:trPr>
          <w:cantSplit/>
          <w:trHeight w:val="480"/>
        </w:trPr>
        <w:tc>
          <w:tcPr>
            <w:tcW w:w="4764" w:type="dxa"/>
            <w:hideMark/>
          </w:tcPr>
          <w:p w14:paraId="485C82E7" w14:textId="77777777" w:rsidR="00814857" w:rsidRDefault="00814857" w:rsidP="00894126">
            <w:pPr>
              <w:pStyle w:val="ARtabletext"/>
            </w:pPr>
            <w:r>
              <w:rPr>
                <w:noProof/>
              </w:rPr>
              <w:t>Audited cases statewide meeting clinical practice standards</w:t>
            </w:r>
          </w:p>
        </w:tc>
        <w:tc>
          <w:tcPr>
            <w:tcW w:w="1021" w:type="dxa"/>
            <w:hideMark/>
          </w:tcPr>
          <w:p w14:paraId="2016AD3A" w14:textId="77777777" w:rsidR="00814857" w:rsidRDefault="00814857" w:rsidP="00894126">
            <w:pPr>
              <w:pStyle w:val="ARtabletextright"/>
            </w:pPr>
            <w:r>
              <w:rPr>
                <w:noProof/>
              </w:rPr>
              <w:t>per cent</w:t>
            </w:r>
          </w:p>
        </w:tc>
        <w:tc>
          <w:tcPr>
            <w:tcW w:w="1022" w:type="dxa"/>
            <w:hideMark/>
          </w:tcPr>
          <w:p w14:paraId="21004903" w14:textId="77777777" w:rsidR="00814857" w:rsidRDefault="00814857" w:rsidP="00894126">
            <w:pPr>
              <w:pStyle w:val="ARtabletextright"/>
            </w:pPr>
            <w:r>
              <w:rPr>
                <w:noProof/>
              </w:rPr>
              <w:t>95</w:t>
            </w:r>
          </w:p>
        </w:tc>
        <w:tc>
          <w:tcPr>
            <w:tcW w:w="1022" w:type="dxa"/>
            <w:hideMark/>
          </w:tcPr>
          <w:p w14:paraId="22FDC1BF" w14:textId="77777777" w:rsidR="00814857" w:rsidRDefault="00814857" w:rsidP="00894126">
            <w:pPr>
              <w:pStyle w:val="ARtabletextright"/>
            </w:pPr>
            <w:r>
              <w:rPr>
                <w:noProof/>
              </w:rPr>
              <w:t>99.9</w:t>
            </w:r>
          </w:p>
        </w:tc>
        <w:tc>
          <w:tcPr>
            <w:tcW w:w="1022" w:type="dxa"/>
            <w:hideMark/>
          </w:tcPr>
          <w:p w14:paraId="7BFE8510" w14:textId="77777777" w:rsidR="00814857" w:rsidRDefault="00814857" w:rsidP="00894126">
            <w:pPr>
              <w:pStyle w:val="ARtabletextright"/>
            </w:pPr>
            <w:r>
              <w:rPr>
                <w:noProof/>
              </w:rPr>
              <w:t>5.3</w:t>
            </w:r>
          </w:p>
        </w:tc>
        <w:tc>
          <w:tcPr>
            <w:tcW w:w="794" w:type="dxa"/>
            <w:hideMark/>
          </w:tcPr>
          <w:p w14:paraId="6E43BE5B" w14:textId="77777777" w:rsidR="00814857" w:rsidRDefault="00814857" w:rsidP="00894126">
            <w:pPr>
              <w:pStyle w:val="ARtabletextright"/>
            </w:pPr>
            <w:r>
              <w:sym w:font="Wingdings" w:char="F0FC"/>
            </w:r>
          </w:p>
        </w:tc>
      </w:tr>
      <w:tr w:rsidR="00814857" w14:paraId="1E46EC50" w14:textId="77777777" w:rsidTr="00894126">
        <w:trPr>
          <w:cantSplit/>
          <w:trHeight w:val="240"/>
        </w:trPr>
        <w:tc>
          <w:tcPr>
            <w:tcW w:w="9645" w:type="dxa"/>
            <w:gridSpan w:val="6"/>
            <w:tcBorders>
              <w:top w:val="nil"/>
              <w:left w:val="nil"/>
              <w:bottom w:val="single" w:sz="4" w:space="0" w:color="BFBFBF"/>
              <w:right w:val="nil"/>
            </w:tcBorders>
            <w:noWrap/>
            <w:hideMark/>
          </w:tcPr>
          <w:p w14:paraId="3E109C3F" w14:textId="77777777" w:rsidR="00814857" w:rsidRDefault="00814857" w:rsidP="00894126">
            <w:pPr>
              <w:pStyle w:val="ARtablenoteindent"/>
            </w:pPr>
            <w:r>
              <w:rPr>
                <w:noProof/>
              </w:rPr>
              <w:t>This is a positive result.</w:t>
            </w:r>
          </w:p>
        </w:tc>
      </w:tr>
      <w:tr w:rsidR="00830963" w14:paraId="2165CC3A" w14:textId="77777777" w:rsidTr="00A05EB7">
        <w:trPr>
          <w:cantSplit/>
          <w:trHeight w:val="240"/>
        </w:trPr>
        <w:tc>
          <w:tcPr>
            <w:tcW w:w="9645" w:type="dxa"/>
            <w:gridSpan w:val="6"/>
            <w:tcBorders>
              <w:top w:val="single" w:sz="4" w:space="0" w:color="auto"/>
              <w:left w:val="nil"/>
              <w:bottom w:val="nil"/>
              <w:right w:val="nil"/>
            </w:tcBorders>
            <w:hideMark/>
          </w:tcPr>
          <w:p w14:paraId="5B95EB03" w14:textId="3CD68652" w:rsidR="00830963" w:rsidRPr="00DD579E" w:rsidRDefault="00830963" w:rsidP="00DD579E">
            <w:pPr>
              <w:pStyle w:val="ARtablegreybold"/>
            </w:pPr>
            <w:r>
              <w:t>Cost</w:t>
            </w:r>
          </w:p>
        </w:tc>
      </w:tr>
      <w:tr w:rsidR="00814857" w14:paraId="6BB9DBC9" w14:textId="77777777" w:rsidTr="0056128E">
        <w:trPr>
          <w:cantSplit/>
          <w:trHeight w:val="480"/>
        </w:trPr>
        <w:tc>
          <w:tcPr>
            <w:tcW w:w="4764" w:type="dxa"/>
            <w:hideMark/>
          </w:tcPr>
          <w:p w14:paraId="59588364" w14:textId="77777777" w:rsidR="00814857" w:rsidRPr="004305B0" w:rsidRDefault="00814857" w:rsidP="00894126">
            <w:pPr>
              <w:pStyle w:val="ARtabletext"/>
              <w:rPr>
                <w:b/>
              </w:rPr>
            </w:pPr>
            <w:r w:rsidRPr="004305B0">
              <w:rPr>
                <w:b/>
                <w:noProof/>
              </w:rPr>
              <w:t xml:space="preserve">Total </w:t>
            </w:r>
            <w:r>
              <w:rPr>
                <w:b/>
                <w:noProof/>
              </w:rPr>
              <w:t>o</w:t>
            </w:r>
            <w:r w:rsidRPr="004305B0">
              <w:rPr>
                <w:b/>
                <w:noProof/>
              </w:rPr>
              <w:t xml:space="preserve">utput </w:t>
            </w:r>
            <w:r>
              <w:rPr>
                <w:b/>
                <w:noProof/>
              </w:rPr>
              <w:t>c</w:t>
            </w:r>
            <w:r w:rsidRPr="004305B0">
              <w:rPr>
                <w:b/>
                <w:noProof/>
              </w:rPr>
              <w:t>ost</w:t>
            </w:r>
          </w:p>
        </w:tc>
        <w:tc>
          <w:tcPr>
            <w:tcW w:w="1021" w:type="dxa"/>
            <w:hideMark/>
          </w:tcPr>
          <w:p w14:paraId="33B5879E" w14:textId="77777777" w:rsidR="00814857" w:rsidRPr="004305B0" w:rsidRDefault="00814857" w:rsidP="00894126">
            <w:pPr>
              <w:pStyle w:val="ARtabletextright"/>
              <w:rPr>
                <w:b/>
                <w:noProof/>
              </w:rPr>
            </w:pPr>
            <w:r w:rsidRPr="004305B0">
              <w:rPr>
                <w:b/>
                <w:noProof/>
              </w:rPr>
              <w:t>$ million</w:t>
            </w:r>
          </w:p>
        </w:tc>
        <w:tc>
          <w:tcPr>
            <w:tcW w:w="1022" w:type="dxa"/>
            <w:hideMark/>
          </w:tcPr>
          <w:p w14:paraId="56208EA4" w14:textId="77777777" w:rsidR="00814857" w:rsidRPr="004305B0" w:rsidRDefault="00814857" w:rsidP="00894126">
            <w:pPr>
              <w:pStyle w:val="ARtabletextright"/>
              <w:rPr>
                <w:b/>
                <w:noProof/>
              </w:rPr>
            </w:pPr>
            <w:r w:rsidRPr="004305B0">
              <w:rPr>
                <w:b/>
                <w:noProof/>
              </w:rPr>
              <w:t>138</w:t>
            </w:r>
          </w:p>
        </w:tc>
        <w:tc>
          <w:tcPr>
            <w:tcW w:w="1022" w:type="dxa"/>
            <w:hideMark/>
          </w:tcPr>
          <w:p w14:paraId="3A0D060A" w14:textId="77777777" w:rsidR="00814857" w:rsidRPr="004305B0" w:rsidRDefault="00814857" w:rsidP="00894126">
            <w:pPr>
              <w:pStyle w:val="ARtabletextright"/>
              <w:rPr>
                <w:b/>
                <w:noProof/>
              </w:rPr>
            </w:pPr>
            <w:r w:rsidRPr="004305B0">
              <w:rPr>
                <w:b/>
                <w:noProof/>
              </w:rPr>
              <w:t>146.4</w:t>
            </w:r>
          </w:p>
        </w:tc>
        <w:tc>
          <w:tcPr>
            <w:tcW w:w="1022" w:type="dxa"/>
            <w:hideMark/>
          </w:tcPr>
          <w:p w14:paraId="20AD8D05" w14:textId="77777777" w:rsidR="00814857" w:rsidRPr="004305B0" w:rsidRDefault="00814857" w:rsidP="00894126">
            <w:pPr>
              <w:pStyle w:val="ARtabletextright"/>
              <w:rPr>
                <w:b/>
                <w:noProof/>
              </w:rPr>
            </w:pPr>
            <w:r w:rsidRPr="004305B0">
              <w:rPr>
                <w:b/>
                <w:noProof/>
              </w:rPr>
              <w:t>6.1</w:t>
            </w:r>
          </w:p>
        </w:tc>
        <w:tc>
          <w:tcPr>
            <w:tcW w:w="794" w:type="dxa"/>
            <w:hideMark/>
          </w:tcPr>
          <w:p w14:paraId="3D07B50F" w14:textId="77777777" w:rsidR="00814857" w:rsidRPr="008F035E" w:rsidRDefault="00814857" w:rsidP="008F035E">
            <w:pPr>
              <w:pStyle w:val="ARtabletextright"/>
              <w:rPr>
                <w:b/>
                <w:noProof/>
              </w:rPr>
            </w:pPr>
          </w:p>
        </w:tc>
      </w:tr>
      <w:tr w:rsidR="00814857" w14:paraId="0D9FD8F1" w14:textId="77777777" w:rsidTr="0056128E">
        <w:trPr>
          <w:cantSplit/>
          <w:trHeight w:val="240"/>
        </w:trPr>
        <w:tc>
          <w:tcPr>
            <w:tcW w:w="9645" w:type="dxa"/>
            <w:gridSpan w:val="6"/>
            <w:tcBorders>
              <w:top w:val="nil"/>
              <w:left w:val="nil"/>
              <w:bottom w:val="single" w:sz="4" w:space="0" w:color="auto"/>
              <w:right w:val="nil"/>
            </w:tcBorders>
            <w:noWrap/>
            <w:hideMark/>
          </w:tcPr>
          <w:p w14:paraId="543197F8" w14:textId="77777777" w:rsidR="00814857" w:rsidRDefault="00814857" w:rsidP="00894126">
            <w:pPr>
              <w:pStyle w:val="ARtablenoteindent"/>
            </w:pPr>
            <w:r>
              <w:rPr>
                <w:noProof/>
              </w:rPr>
              <w:t>The result primarily reflects an output realignment to Ambulance Non Emergency Services from Ambulance Emergency Services.</w:t>
            </w:r>
          </w:p>
        </w:tc>
      </w:tr>
    </w:tbl>
    <w:p w14:paraId="485252D8" w14:textId="77777777" w:rsidR="00814857" w:rsidRDefault="00814857" w:rsidP="002909DA">
      <w:pPr>
        <w:pStyle w:val="Heading2"/>
      </w:pPr>
      <w:bookmarkStart w:id="58" w:name="_Toc18954477"/>
      <w:bookmarkStart w:id="59" w:name="_Toc18955079"/>
      <w:r>
        <w:t>Drug Services</w:t>
      </w:r>
      <w:bookmarkEnd w:id="58"/>
      <w:bookmarkEnd w:id="59"/>
    </w:p>
    <w:p w14:paraId="1940F247" w14:textId="77777777" w:rsidR="00814857" w:rsidRPr="00030BBE" w:rsidRDefault="00814857" w:rsidP="002B4443">
      <w:pPr>
        <w:pStyle w:val="ARbody"/>
      </w:pPr>
      <w:r>
        <w:t>This output includes programs and services aimed at promoting and protecting health by reducing death, disease and social harm caused by the use and misuse of licit and illicit drugs.</w:t>
      </w:r>
    </w:p>
    <w:tbl>
      <w:tblPr>
        <w:tblW w:w="9645" w:type="dxa"/>
        <w:tblLayout w:type="fixed"/>
        <w:tblCellMar>
          <w:left w:w="0" w:type="dxa"/>
        </w:tblCellMar>
        <w:tblLook w:val="04A0" w:firstRow="1" w:lastRow="0" w:firstColumn="1" w:lastColumn="0" w:noHBand="0" w:noVBand="1"/>
      </w:tblPr>
      <w:tblGrid>
        <w:gridCol w:w="4764"/>
        <w:gridCol w:w="1021"/>
        <w:gridCol w:w="1022"/>
        <w:gridCol w:w="1022"/>
        <w:gridCol w:w="1022"/>
        <w:gridCol w:w="794"/>
      </w:tblGrid>
      <w:tr w:rsidR="00814857" w14:paraId="6E8EDC7D" w14:textId="77777777" w:rsidTr="00894126">
        <w:trPr>
          <w:cantSplit/>
          <w:trHeight w:val="480"/>
          <w:tblHeader/>
        </w:trPr>
        <w:tc>
          <w:tcPr>
            <w:tcW w:w="4764" w:type="dxa"/>
            <w:tcBorders>
              <w:top w:val="nil"/>
              <w:left w:val="nil"/>
              <w:bottom w:val="single" w:sz="4" w:space="0" w:color="auto"/>
              <w:right w:val="nil"/>
            </w:tcBorders>
            <w:vAlign w:val="bottom"/>
            <w:hideMark/>
          </w:tcPr>
          <w:p w14:paraId="6B9B3E0B" w14:textId="77777777" w:rsidR="00814857" w:rsidRDefault="00814857" w:rsidP="00894126">
            <w:pPr>
              <w:pStyle w:val="ARtablecolhead"/>
            </w:pPr>
            <w:r>
              <w:t>Performance measures</w:t>
            </w:r>
          </w:p>
        </w:tc>
        <w:tc>
          <w:tcPr>
            <w:tcW w:w="1021" w:type="dxa"/>
            <w:tcBorders>
              <w:top w:val="nil"/>
              <w:left w:val="nil"/>
              <w:bottom w:val="single" w:sz="4" w:space="0" w:color="auto"/>
              <w:right w:val="nil"/>
            </w:tcBorders>
            <w:vAlign w:val="bottom"/>
            <w:hideMark/>
          </w:tcPr>
          <w:p w14:paraId="3DA82B4D" w14:textId="77777777" w:rsidR="00814857" w:rsidRDefault="00814857" w:rsidP="00894126">
            <w:pPr>
              <w:pStyle w:val="ARtablecolheadright"/>
            </w:pPr>
            <w:r>
              <w:t>Unit of measure</w:t>
            </w:r>
          </w:p>
        </w:tc>
        <w:tc>
          <w:tcPr>
            <w:tcW w:w="1022" w:type="dxa"/>
            <w:tcBorders>
              <w:top w:val="nil"/>
              <w:left w:val="nil"/>
              <w:bottom w:val="single" w:sz="4" w:space="0" w:color="auto"/>
              <w:right w:val="nil"/>
            </w:tcBorders>
            <w:vAlign w:val="bottom"/>
            <w:hideMark/>
          </w:tcPr>
          <w:p w14:paraId="7791F3D3" w14:textId="77777777" w:rsidR="00814857" w:rsidRDefault="00814857" w:rsidP="00894126">
            <w:pPr>
              <w:pStyle w:val="ARtablecolheadright"/>
            </w:pPr>
            <w:r>
              <w:t>2018–19 target</w:t>
            </w:r>
          </w:p>
        </w:tc>
        <w:tc>
          <w:tcPr>
            <w:tcW w:w="1022" w:type="dxa"/>
            <w:tcBorders>
              <w:top w:val="nil"/>
              <w:left w:val="nil"/>
              <w:bottom w:val="single" w:sz="4" w:space="0" w:color="auto"/>
              <w:right w:val="nil"/>
            </w:tcBorders>
            <w:vAlign w:val="bottom"/>
            <w:hideMark/>
          </w:tcPr>
          <w:p w14:paraId="3543D11A" w14:textId="77777777" w:rsidR="00814857" w:rsidRDefault="00814857" w:rsidP="00894126">
            <w:pPr>
              <w:pStyle w:val="ARtablecolheadright"/>
            </w:pPr>
            <w:r>
              <w:t>2018–19 actual</w:t>
            </w:r>
          </w:p>
        </w:tc>
        <w:tc>
          <w:tcPr>
            <w:tcW w:w="1022" w:type="dxa"/>
            <w:tcBorders>
              <w:top w:val="nil"/>
              <w:left w:val="nil"/>
              <w:bottom w:val="single" w:sz="4" w:space="0" w:color="auto"/>
              <w:right w:val="nil"/>
            </w:tcBorders>
            <w:vAlign w:val="bottom"/>
            <w:hideMark/>
          </w:tcPr>
          <w:p w14:paraId="05B99835" w14:textId="77777777" w:rsidR="00814857" w:rsidRDefault="00814857" w:rsidP="00894126">
            <w:pPr>
              <w:pStyle w:val="ARtablecolheadright"/>
            </w:pPr>
            <w:r>
              <w:t>Variation (%)</w:t>
            </w:r>
          </w:p>
        </w:tc>
        <w:tc>
          <w:tcPr>
            <w:tcW w:w="794" w:type="dxa"/>
            <w:tcBorders>
              <w:top w:val="nil"/>
              <w:left w:val="nil"/>
              <w:bottom w:val="single" w:sz="4" w:space="0" w:color="auto"/>
              <w:right w:val="nil"/>
            </w:tcBorders>
            <w:vAlign w:val="bottom"/>
            <w:hideMark/>
          </w:tcPr>
          <w:p w14:paraId="3C10E0DA" w14:textId="77777777" w:rsidR="00814857" w:rsidRDefault="00814857" w:rsidP="00894126">
            <w:pPr>
              <w:pStyle w:val="ARtablecolheadright"/>
            </w:pPr>
            <w:r>
              <w:t>Result</w:t>
            </w:r>
          </w:p>
        </w:tc>
      </w:tr>
      <w:tr w:rsidR="001955CC" w14:paraId="137F7427"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6F9A74CB" w14:textId="2523B117" w:rsidR="001955CC" w:rsidRPr="002B4443" w:rsidRDefault="001955CC" w:rsidP="001955CC">
            <w:pPr>
              <w:pStyle w:val="ARtablebluebold"/>
            </w:pPr>
            <w:r>
              <w:t>Drug Prevention and Control</w:t>
            </w:r>
          </w:p>
        </w:tc>
      </w:tr>
      <w:tr w:rsidR="001955CC" w14:paraId="6D9B75DE" w14:textId="77777777" w:rsidTr="00A05EB7">
        <w:trPr>
          <w:cantSplit/>
          <w:trHeight w:val="240"/>
        </w:trPr>
        <w:tc>
          <w:tcPr>
            <w:tcW w:w="9645" w:type="dxa"/>
            <w:gridSpan w:val="6"/>
            <w:tcBorders>
              <w:top w:val="single" w:sz="4" w:space="0" w:color="auto"/>
              <w:left w:val="nil"/>
              <w:bottom w:val="nil"/>
              <w:right w:val="nil"/>
            </w:tcBorders>
            <w:hideMark/>
          </w:tcPr>
          <w:p w14:paraId="466A0DAD" w14:textId="17D27DC8" w:rsidR="001955CC" w:rsidRPr="002B4443" w:rsidRDefault="001955CC" w:rsidP="002B4443">
            <w:pPr>
              <w:pStyle w:val="ARtablegreybold"/>
            </w:pPr>
            <w:r>
              <w:t>Quantity</w:t>
            </w:r>
          </w:p>
        </w:tc>
      </w:tr>
      <w:tr w:rsidR="00814857" w14:paraId="20EC029D" w14:textId="77777777" w:rsidTr="00894126">
        <w:trPr>
          <w:cantSplit/>
          <w:trHeight w:val="480"/>
        </w:trPr>
        <w:tc>
          <w:tcPr>
            <w:tcW w:w="4764" w:type="dxa"/>
            <w:hideMark/>
          </w:tcPr>
          <w:p w14:paraId="0005C58E" w14:textId="77777777" w:rsidR="00814857" w:rsidRDefault="00814857" w:rsidP="00894126">
            <w:pPr>
              <w:pStyle w:val="ARtabletext"/>
            </w:pPr>
            <w:r>
              <w:rPr>
                <w:noProof/>
              </w:rPr>
              <w:t>Number of phone contacts from family members seeking support</w:t>
            </w:r>
          </w:p>
        </w:tc>
        <w:tc>
          <w:tcPr>
            <w:tcW w:w="1021" w:type="dxa"/>
            <w:hideMark/>
          </w:tcPr>
          <w:p w14:paraId="78788E75" w14:textId="77777777" w:rsidR="00814857" w:rsidRDefault="00814857" w:rsidP="00894126">
            <w:pPr>
              <w:pStyle w:val="ARtabletextright"/>
            </w:pPr>
            <w:r>
              <w:rPr>
                <w:noProof/>
              </w:rPr>
              <w:t>number</w:t>
            </w:r>
          </w:p>
        </w:tc>
        <w:tc>
          <w:tcPr>
            <w:tcW w:w="1022" w:type="dxa"/>
            <w:hideMark/>
          </w:tcPr>
          <w:p w14:paraId="43FE0F59" w14:textId="77777777" w:rsidR="00814857" w:rsidRDefault="00814857" w:rsidP="00894126">
            <w:pPr>
              <w:pStyle w:val="ARtabletextright"/>
            </w:pPr>
            <w:r>
              <w:rPr>
                <w:noProof/>
              </w:rPr>
              <w:t>14,300</w:t>
            </w:r>
          </w:p>
        </w:tc>
        <w:tc>
          <w:tcPr>
            <w:tcW w:w="1022" w:type="dxa"/>
            <w:hideMark/>
          </w:tcPr>
          <w:p w14:paraId="049F9FE1" w14:textId="77777777" w:rsidR="00814857" w:rsidRDefault="00814857" w:rsidP="00894126">
            <w:pPr>
              <w:pStyle w:val="ARtabletextright"/>
            </w:pPr>
            <w:r>
              <w:rPr>
                <w:noProof/>
              </w:rPr>
              <w:t>10,005</w:t>
            </w:r>
          </w:p>
        </w:tc>
        <w:tc>
          <w:tcPr>
            <w:tcW w:w="1022" w:type="dxa"/>
            <w:hideMark/>
          </w:tcPr>
          <w:p w14:paraId="7AC52658" w14:textId="77777777" w:rsidR="00814857" w:rsidRDefault="00814857" w:rsidP="00894126">
            <w:pPr>
              <w:pStyle w:val="ARtabletextright"/>
            </w:pPr>
            <w:r>
              <w:rPr>
                <w:noProof/>
              </w:rPr>
              <w:t>-30.0</w:t>
            </w:r>
          </w:p>
        </w:tc>
        <w:tc>
          <w:tcPr>
            <w:tcW w:w="794" w:type="dxa"/>
            <w:hideMark/>
          </w:tcPr>
          <w:p w14:paraId="785CF33A" w14:textId="77777777" w:rsidR="00814857" w:rsidRDefault="00814857" w:rsidP="00894126">
            <w:pPr>
              <w:pStyle w:val="ARtabletextright"/>
            </w:pPr>
            <w:r>
              <w:sym w:font="Wingdings" w:char="F06E"/>
            </w:r>
          </w:p>
        </w:tc>
      </w:tr>
      <w:tr w:rsidR="00814857" w14:paraId="71981E9D" w14:textId="77777777" w:rsidTr="00894126">
        <w:trPr>
          <w:cantSplit/>
          <w:trHeight w:val="240"/>
        </w:trPr>
        <w:tc>
          <w:tcPr>
            <w:tcW w:w="9645" w:type="dxa"/>
            <w:gridSpan w:val="6"/>
            <w:tcBorders>
              <w:top w:val="nil"/>
              <w:left w:val="nil"/>
              <w:bottom w:val="single" w:sz="4" w:space="0" w:color="BFBFBF"/>
              <w:right w:val="nil"/>
            </w:tcBorders>
            <w:noWrap/>
            <w:hideMark/>
          </w:tcPr>
          <w:p w14:paraId="192D1555" w14:textId="77777777" w:rsidR="00814857" w:rsidRDefault="00814857" w:rsidP="00894126">
            <w:pPr>
              <w:pStyle w:val="ARtablenoteindent"/>
            </w:pPr>
            <w:r>
              <w:rPr>
                <w:noProof/>
              </w:rPr>
              <w:t>Preliminary result. Actual end-of-year results will be available late 2019. The result is lower than the target, due to a decline in contacts from family members in 2018–19. In response, the department is working with service providers to raise awareness of their service.</w:t>
            </w:r>
          </w:p>
        </w:tc>
      </w:tr>
      <w:tr w:rsidR="00814857" w14:paraId="0E253869" w14:textId="77777777" w:rsidTr="00894126">
        <w:trPr>
          <w:cantSplit/>
          <w:trHeight w:val="480"/>
        </w:trPr>
        <w:tc>
          <w:tcPr>
            <w:tcW w:w="4764" w:type="dxa"/>
            <w:hideMark/>
          </w:tcPr>
          <w:p w14:paraId="73DB6AD6" w14:textId="77777777" w:rsidR="00814857" w:rsidRDefault="00814857" w:rsidP="00894126">
            <w:pPr>
              <w:pStyle w:val="ARtabletext"/>
            </w:pPr>
            <w:r>
              <w:rPr>
                <w:noProof/>
              </w:rPr>
              <w:t>Needles and syringes provided through the Needle and Syringe Program</w:t>
            </w:r>
          </w:p>
        </w:tc>
        <w:tc>
          <w:tcPr>
            <w:tcW w:w="1021" w:type="dxa"/>
            <w:hideMark/>
          </w:tcPr>
          <w:p w14:paraId="439E930C" w14:textId="77777777" w:rsidR="00814857" w:rsidRDefault="00814857" w:rsidP="00894126">
            <w:pPr>
              <w:pStyle w:val="ARtabletextright"/>
            </w:pPr>
            <w:r>
              <w:rPr>
                <w:noProof/>
              </w:rPr>
              <w:t>number (thousand)</w:t>
            </w:r>
          </w:p>
        </w:tc>
        <w:tc>
          <w:tcPr>
            <w:tcW w:w="1022" w:type="dxa"/>
            <w:hideMark/>
          </w:tcPr>
          <w:p w14:paraId="357BFE37" w14:textId="77777777" w:rsidR="00814857" w:rsidRDefault="00814857" w:rsidP="00894126">
            <w:pPr>
              <w:pStyle w:val="ARtabletextright"/>
            </w:pPr>
            <w:r>
              <w:rPr>
                <w:noProof/>
              </w:rPr>
              <w:t>8,800</w:t>
            </w:r>
          </w:p>
        </w:tc>
        <w:tc>
          <w:tcPr>
            <w:tcW w:w="1022" w:type="dxa"/>
            <w:hideMark/>
          </w:tcPr>
          <w:p w14:paraId="70D44910" w14:textId="77777777" w:rsidR="00814857" w:rsidRDefault="00814857" w:rsidP="00894126">
            <w:pPr>
              <w:pStyle w:val="ARtabletextright"/>
            </w:pPr>
            <w:r>
              <w:rPr>
                <w:noProof/>
              </w:rPr>
              <w:t>11,055.3</w:t>
            </w:r>
          </w:p>
        </w:tc>
        <w:tc>
          <w:tcPr>
            <w:tcW w:w="1022" w:type="dxa"/>
            <w:hideMark/>
          </w:tcPr>
          <w:p w14:paraId="1B03D6C9" w14:textId="77777777" w:rsidR="00814857" w:rsidRDefault="00814857" w:rsidP="00894126">
            <w:pPr>
              <w:pStyle w:val="ARtabletextright"/>
            </w:pPr>
            <w:r>
              <w:rPr>
                <w:noProof/>
              </w:rPr>
              <w:t>25.6</w:t>
            </w:r>
          </w:p>
        </w:tc>
        <w:tc>
          <w:tcPr>
            <w:tcW w:w="794" w:type="dxa"/>
            <w:hideMark/>
          </w:tcPr>
          <w:p w14:paraId="7D53AD1D" w14:textId="77777777" w:rsidR="00814857" w:rsidRDefault="00814857" w:rsidP="00894126">
            <w:pPr>
              <w:pStyle w:val="ARtabletextright"/>
            </w:pPr>
            <w:r>
              <w:sym w:font="Wingdings" w:char="F0FC"/>
            </w:r>
          </w:p>
        </w:tc>
      </w:tr>
      <w:tr w:rsidR="00814857" w14:paraId="0A3EF38A" w14:textId="77777777" w:rsidTr="00894126">
        <w:trPr>
          <w:cantSplit/>
          <w:trHeight w:val="240"/>
        </w:trPr>
        <w:tc>
          <w:tcPr>
            <w:tcW w:w="9645" w:type="dxa"/>
            <w:gridSpan w:val="6"/>
            <w:tcBorders>
              <w:top w:val="nil"/>
              <w:left w:val="nil"/>
              <w:bottom w:val="single" w:sz="4" w:space="0" w:color="BFBFBF"/>
              <w:right w:val="nil"/>
            </w:tcBorders>
            <w:noWrap/>
            <w:hideMark/>
          </w:tcPr>
          <w:p w14:paraId="44F1C5D2" w14:textId="77777777" w:rsidR="00814857" w:rsidRDefault="00814857" w:rsidP="00894126">
            <w:pPr>
              <w:pStyle w:val="ARtablenoteindent"/>
            </w:pPr>
            <w:r>
              <w:rPr>
                <w:noProof/>
              </w:rPr>
              <w:t>Preliminary result. Actual end-of-year results will be available late 2019. The result is higher than the target, which is due to ongoing strong engagement with the program by clients. This is a positive result.</w:t>
            </w:r>
          </w:p>
        </w:tc>
      </w:tr>
      <w:tr w:rsidR="00814857" w14:paraId="29190347" w14:textId="77777777" w:rsidTr="00894126">
        <w:trPr>
          <w:cantSplit/>
          <w:trHeight w:val="480"/>
        </w:trPr>
        <w:tc>
          <w:tcPr>
            <w:tcW w:w="4764" w:type="dxa"/>
            <w:hideMark/>
          </w:tcPr>
          <w:p w14:paraId="2C11BE57" w14:textId="77777777" w:rsidR="00814857" w:rsidRDefault="00814857" w:rsidP="00894126">
            <w:pPr>
              <w:pStyle w:val="ARtabletext"/>
            </w:pPr>
            <w:r>
              <w:rPr>
                <w:noProof/>
              </w:rPr>
              <w:t>Number of telephone, email, website contacts and requests for information on alcohol and other drugs</w:t>
            </w:r>
          </w:p>
        </w:tc>
        <w:tc>
          <w:tcPr>
            <w:tcW w:w="1021" w:type="dxa"/>
            <w:hideMark/>
          </w:tcPr>
          <w:p w14:paraId="3FBFD4D7" w14:textId="77777777" w:rsidR="00814857" w:rsidRDefault="00814857" w:rsidP="00894126">
            <w:pPr>
              <w:pStyle w:val="ARtabletextright"/>
            </w:pPr>
            <w:r>
              <w:rPr>
                <w:noProof/>
              </w:rPr>
              <w:t>number (thousand)</w:t>
            </w:r>
          </w:p>
        </w:tc>
        <w:tc>
          <w:tcPr>
            <w:tcW w:w="1022" w:type="dxa"/>
            <w:hideMark/>
          </w:tcPr>
          <w:p w14:paraId="3D550FA7" w14:textId="77777777" w:rsidR="00814857" w:rsidRDefault="00814857" w:rsidP="00894126">
            <w:pPr>
              <w:pStyle w:val="ARtabletextright"/>
            </w:pPr>
            <w:r>
              <w:rPr>
                <w:noProof/>
              </w:rPr>
              <w:t>2,000</w:t>
            </w:r>
          </w:p>
        </w:tc>
        <w:tc>
          <w:tcPr>
            <w:tcW w:w="1022" w:type="dxa"/>
            <w:hideMark/>
          </w:tcPr>
          <w:p w14:paraId="03464174" w14:textId="77777777" w:rsidR="00814857" w:rsidRDefault="00814857" w:rsidP="00894126">
            <w:pPr>
              <w:pStyle w:val="ARtabletextright"/>
            </w:pPr>
            <w:r>
              <w:rPr>
                <w:noProof/>
              </w:rPr>
              <w:t>4,272</w:t>
            </w:r>
          </w:p>
        </w:tc>
        <w:tc>
          <w:tcPr>
            <w:tcW w:w="1022" w:type="dxa"/>
            <w:hideMark/>
          </w:tcPr>
          <w:p w14:paraId="3949B311" w14:textId="77777777" w:rsidR="00814857" w:rsidRDefault="00814857" w:rsidP="00894126">
            <w:pPr>
              <w:pStyle w:val="ARtabletextright"/>
            </w:pPr>
            <w:r>
              <w:rPr>
                <w:noProof/>
              </w:rPr>
              <w:t>113.6</w:t>
            </w:r>
          </w:p>
        </w:tc>
        <w:tc>
          <w:tcPr>
            <w:tcW w:w="794" w:type="dxa"/>
            <w:hideMark/>
          </w:tcPr>
          <w:p w14:paraId="5B67684C" w14:textId="77777777" w:rsidR="00814857" w:rsidRDefault="00814857" w:rsidP="00894126">
            <w:pPr>
              <w:pStyle w:val="ARtabletextright"/>
            </w:pPr>
            <w:r>
              <w:sym w:font="Wingdings" w:char="F0FC"/>
            </w:r>
          </w:p>
        </w:tc>
      </w:tr>
      <w:tr w:rsidR="00814857" w14:paraId="6552BC56" w14:textId="77777777" w:rsidTr="00894126">
        <w:trPr>
          <w:cantSplit/>
          <w:trHeight w:val="240"/>
        </w:trPr>
        <w:tc>
          <w:tcPr>
            <w:tcW w:w="9645" w:type="dxa"/>
            <w:gridSpan w:val="6"/>
            <w:tcBorders>
              <w:top w:val="nil"/>
              <w:left w:val="nil"/>
              <w:bottom w:val="single" w:sz="4" w:space="0" w:color="BFBFBF"/>
              <w:right w:val="nil"/>
            </w:tcBorders>
            <w:noWrap/>
            <w:hideMark/>
          </w:tcPr>
          <w:p w14:paraId="3F9F8233" w14:textId="77777777" w:rsidR="00814857" w:rsidRDefault="00814857" w:rsidP="00894126">
            <w:pPr>
              <w:pStyle w:val="ARtablenoteindent"/>
            </w:pPr>
            <w:r>
              <w:rPr>
                <w:noProof/>
              </w:rPr>
              <w:t>The result is higher than the target which reflects the redevelopment of the primary service provider's website and improvements in how the department derives website visit data. This is a positive result.</w:t>
            </w:r>
          </w:p>
        </w:tc>
      </w:tr>
      <w:tr w:rsidR="001955CC" w14:paraId="77DD1C0A" w14:textId="77777777" w:rsidTr="00A05EB7">
        <w:trPr>
          <w:cantSplit/>
          <w:trHeight w:val="240"/>
        </w:trPr>
        <w:tc>
          <w:tcPr>
            <w:tcW w:w="9645" w:type="dxa"/>
            <w:gridSpan w:val="6"/>
            <w:tcBorders>
              <w:top w:val="single" w:sz="4" w:space="0" w:color="auto"/>
              <w:left w:val="nil"/>
              <w:bottom w:val="nil"/>
              <w:right w:val="nil"/>
            </w:tcBorders>
            <w:hideMark/>
          </w:tcPr>
          <w:p w14:paraId="72D5319C" w14:textId="5D111859" w:rsidR="001955CC" w:rsidRDefault="001955CC" w:rsidP="002B4443">
            <w:pPr>
              <w:pStyle w:val="ARtablegreybold"/>
            </w:pPr>
            <w:r>
              <w:t>Quality</w:t>
            </w:r>
          </w:p>
        </w:tc>
      </w:tr>
      <w:tr w:rsidR="00814857" w14:paraId="41C90775" w14:textId="77777777" w:rsidTr="00894126">
        <w:trPr>
          <w:cantSplit/>
          <w:trHeight w:val="480"/>
        </w:trPr>
        <w:tc>
          <w:tcPr>
            <w:tcW w:w="4764" w:type="dxa"/>
            <w:hideMark/>
          </w:tcPr>
          <w:p w14:paraId="78899AE6" w14:textId="77777777" w:rsidR="00814857" w:rsidRDefault="00814857" w:rsidP="00894126">
            <w:pPr>
              <w:pStyle w:val="ARtabletext"/>
            </w:pPr>
            <w:r>
              <w:rPr>
                <w:noProof/>
              </w:rPr>
              <w:t>Pharmacotherapy permits processed within designated timeframe</w:t>
            </w:r>
          </w:p>
        </w:tc>
        <w:tc>
          <w:tcPr>
            <w:tcW w:w="1021" w:type="dxa"/>
            <w:hideMark/>
          </w:tcPr>
          <w:p w14:paraId="52085FB7" w14:textId="77777777" w:rsidR="00814857" w:rsidRDefault="00814857" w:rsidP="00894126">
            <w:pPr>
              <w:pStyle w:val="ARtabletextright"/>
            </w:pPr>
            <w:r>
              <w:rPr>
                <w:noProof/>
              </w:rPr>
              <w:t>per cent</w:t>
            </w:r>
          </w:p>
        </w:tc>
        <w:tc>
          <w:tcPr>
            <w:tcW w:w="1022" w:type="dxa"/>
            <w:hideMark/>
          </w:tcPr>
          <w:p w14:paraId="264CDA8E" w14:textId="77777777" w:rsidR="00814857" w:rsidRDefault="00814857" w:rsidP="00894126">
            <w:pPr>
              <w:pStyle w:val="ARtabletextright"/>
            </w:pPr>
            <w:r>
              <w:rPr>
                <w:noProof/>
              </w:rPr>
              <w:t>100</w:t>
            </w:r>
          </w:p>
        </w:tc>
        <w:tc>
          <w:tcPr>
            <w:tcW w:w="1022" w:type="dxa"/>
            <w:hideMark/>
          </w:tcPr>
          <w:p w14:paraId="6D6942B7" w14:textId="77777777" w:rsidR="00814857" w:rsidRDefault="00814857" w:rsidP="00894126">
            <w:pPr>
              <w:pStyle w:val="ARtabletextright"/>
            </w:pPr>
            <w:r>
              <w:rPr>
                <w:noProof/>
              </w:rPr>
              <w:t>100</w:t>
            </w:r>
          </w:p>
        </w:tc>
        <w:tc>
          <w:tcPr>
            <w:tcW w:w="1022" w:type="dxa"/>
            <w:hideMark/>
          </w:tcPr>
          <w:p w14:paraId="7A314B1B" w14:textId="77777777" w:rsidR="00814857" w:rsidRDefault="00814857" w:rsidP="00894126">
            <w:pPr>
              <w:pStyle w:val="ARtabletextright"/>
            </w:pPr>
            <w:r>
              <w:rPr>
                <w:noProof/>
              </w:rPr>
              <w:t>0.0</w:t>
            </w:r>
          </w:p>
        </w:tc>
        <w:tc>
          <w:tcPr>
            <w:tcW w:w="794" w:type="dxa"/>
            <w:hideMark/>
          </w:tcPr>
          <w:p w14:paraId="501B48EA" w14:textId="77777777" w:rsidR="00814857" w:rsidRDefault="00814857" w:rsidP="00894126">
            <w:pPr>
              <w:pStyle w:val="ARtabletextright"/>
            </w:pPr>
            <w:r>
              <w:sym w:font="Wingdings" w:char="F0FC"/>
            </w:r>
          </w:p>
        </w:tc>
      </w:tr>
      <w:tr w:rsidR="001955CC" w14:paraId="56BA4DA8" w14:textId="77777777" w:rsidTr="00A05EB7">
        <w:trPr>
          <w:cantSplit/>
          <w:trHeight w:val="240"/>
        </w:trPr>
        <w:tc>
          <w:tcPr>
            <w:tcW w:w="9645" w:type="dxa"/>
            <w:gridSpan w:val="6"/>
            <w:tcBorders>
              <w:top w:val="single" w:sz="4" w:space="0" w:color="auto"/>
              <w:left w:val="nil"/>
              <w:right w:val="nil"/>
            </w:tcBorders>
            <w:hideMark/>
          </w:tcPr>
          <w:p w14:paraId="1A33F7E8" w14:textId="1560ED45" w:rsidR="001955CC" w:rsidRDefault="001955CC" w:rsidP="002B4443">
            <w:pPr>
              <w:pStyle w:val="ARtablegreybold"/>
            </w:pPr>
            <w:r>
              <w:t>Timeliness</w:t>
            </w:r>
          </w:p>
        </w:tc>
      </w:tr>
      <w:tr w:rsidR="00814857" w14:paraId="22DBB4B7" w14:textId="77777777" w:rsidTr="00894126">
        <w:trPr>
          <w:cantSplit/>
          <w:trHeight w:val="480"/>
        </w:trPr>
        <w:tc>
          <w:tcPr>
            <w:tcW w:w="4764" w:type="dxa"/>
            <w:tcBorders>
              <w:bottom w:val="single" w:sz="4" w:space="0" w:color="BFBFBF" w:themeColor="background1" w:themeShade="BF"/>
            </w:tcBorders>
            <w:hideMark/>
          </w:tcPr>
          <w:p w14:paraId="4441FFB8" w14:textId="77777777" w:rsidR="00814857" w:rsidRDefault="00814857" w:rsidP="00894126">
            <w:pPr>
              <w:pStyle w:val="ARtabletext"/>
            </w:pPr>
            <w:r>
              <w:rPr>
                <w:noProof/>
              </w:rPr>
              <w:t>Percentage of new licences and permits issued to health services or businesses for the manufacture, use or supply of drugs and poisons within six weeks following receipt of full information</w:t>
            </w:r>
          </w:p>
        </w:tc>
        <w:tc>
          <w:tcPr>
            <w:tcW w:w="1021" w:type="dxa"/>
            <w:tcBorders>
              <w:bottom w:val="single" w:sz="4" w:space="0" w:color="BFBFBF" w:themeColor="background1" w:themeShade="BF"/>
            </w:tcBorders>
            <w:hideMark/>
          </w:tcPr>
          <w:p w14:paraId="32FC1FF1" w14:textId="77777777" w:rsidR="00814857" w:rsidRDefault="00814857" w:rsidP="00894126">
            <w:pPr>
              <w:pStyle w:val="ARtabletextright"/>
            </w:pPr>
            <w:r>
              <w:rPr>
                <w:noProof/>
              </w:rPr>
              <w:t>per cent</w:t>
            </w:r>
          </w:p>
        </w:tc>
        <w:tc>
          <w:tcPr>
            <w:tcW w:w="1022" w:type="dxa"/>
            <w:tcBorders>
              <w:bottom w:val="single" w:sz="4" w:space="0" w:color="BFBFBF" w:themeColor="background1" w:themeShade="BF"/>
            </w:tcBorders>
            <w:hideMark/>
          </w:tcPr>
          <w:p w14:paraId="0D624230" w14:textId="77777777" w:rsidR="00814857" w:rsidRDefault="00814857" w:rsidP="00894126">
            <w:pPr>
              <w:pStyle w:val="ARtabletextright"/>
            </w:pPr>
            <w:r>
              <w:rPr>
                <w:noProof/>
              </w:rPr>
              <w:t>100</w:t>
            </w:r>
          </w:p>
        </w:tc>
        <w:tc>
          <w:tcPr>
            <w:tcW w:w="1022" w:type="dxa"/>
            <w:tcBorders>
              <w:bottom w:val="single" w:sz="4" w:space="0" w:color="BFBFBF" w:themeColor="background1" w:themeShade="BF"/>
            </w:tcBorders>
            <w:hideMark/>
          </w:tcPr>
          <w:p w14:paraId="0D91D28E" w14:textId="77777777" w:rsidR="00814857" w:rsidRDefault="00814857" w:rsidP="00894126">
            <w:pPr>
              <w:pStyle w:val="ARtabletextright"/>
            </w:pPr>
            <w:r>
              <w:rPr>
                <w:noProof/>
              </w:rPr>
              <w:t>100</w:t>
            </w:r>
          </w:p>
        </w:tc>
        <w:tc>
          <w:tcPr>
            <w:tcW w:w="1022" w:type="dxa"/>
            <w:tcBorders>
              <w:bottom w:val="single" w:sz="4" w:space="0" w:color="BFBFBF" w:themeColor="background1" w:themeShade="BF"/>
            </w:tcBorders>
            <w:hideMark/>
          </w:tcPr>
          <w:p w14:paraId="2E473E05" w14:textId="77777777" w:rsidR="00814857" w:rsidRDefault="00814857" w:rsidP="00894126">
            <w:pPr>
              <w:pStyle w:val="ARtabletextright"/>
            </w:pPr>
            <w:r>
              <w:rPr>
                <w:noProof/>
              </w:rPr>
              <w:t>0.0</w:t>
            </w:r>
          </w:p>
        </w:tc>
        <w:tc>
          <w:tcPr>
            <w:tcW w:w="794" w:type="dxa"/>
            <w:tcBorders>
              <w:bottom w:val="single" w:sz="4" w:space="0" w:color="BFBFBF" w:themeColor="background1" w:themeShade="BF"/>
            </w:tcBorders>
            <w:hideMark/>
          </w:tcPr>
          <w:p w14:paraId="7E2314A3" w14:textId="77777777" w:rsidR="00814857" w:rsidRDefault="00814857" w:rsidP="00894126">
            <w:pPr>
              <w:pStyle w:val="ARtabletextright"/>
            </w:pPr>
            <w:r>
              <w:sym w:font="Wingdings" w:char="F0FC"/>
            </w:r>
          </w:p>
        </w:tc>
      </w:tr>
      <w:tr w:rsidR="00814857" w14:paraId="3BFC38F4" w14:textId="77777777" w:rsidTr="00894126">
        <w:trPr>
          <w:cantSplit/>
          <w:trHeight w:val="480"/>
        </w:trPr>
        <w:tc>
          <w:tcPr>
            <w:tcW w:w="4764" w:type="dxa"/>
            <w:tcBorders>
              <w:top w:val="single" w:sz="4" w:space="0" w:color="BFBFBF" w:themeColor="background1" w:themeShade="BF"/>
            </w:tcBorders>
            <w:hideMark/>
          </w:tcPr>
          <w:p w14:paraId="61B0A1ED" w14:textId="77777777" w:rsidR="00814857" w:rsidRDefault="00814857" w:rsidP="00894126">
            <w:pPr>
              <w:pStyle w:val="ARtabletext"/>
            </w:pPr>
            <w:r>
              <w:rPr>
                <w:noProof/>
              </w:rPr>
              <w:t>Percentage of treatment permits for medical practitioners or nurse practitioners to prescribe Schedule 8 drugs assessed within four weeks</w:t>
            </w:r>
          </w:p>
        </w:tc>
        <w:tc>
          <w:tcPr>
            <w:tcW w:w="1021" w:type="dxa"/>
            <w:tcBorders>
              <w:top w:val="single" w:sz="4" w:space="0" w:color="BFBFBF" w:themeColor="background1" w:themeShade="BF"/>
            </w:tcBorders>
            <w:hideMark/>
          </w:tcPr>
          <w:p w14:paraId="5040EBF2" w14:textId="77777777" w:rsidR="00814857" w:rsidRDefault="00814857" w:rsidP="00894126">
            <w:pPr>
              <w:pStyle w:val="ARtabletextright"/>
            </w:pPr>
            <w:r>
              <w:rPr>
                <w:noProof/>
              </w:rPr>
              <w:t>per cent</w:t>
            </w:r>
          </w:p>
        </w:tc>
        <w:tc>
          <w:tcPr>
            <w:tcW w:w="1022" w:type="dxa"/>
            <w:tcBorders>
              <w:top w:val="single" w:sz="4" w:space="0" w:color="BFBFBF" w:themeColor="background1" w:themeShade="BF"/>
            </w:tcBorders>
            <w:hideMark/>
          </w:tcPr>
          <w:p w14:paraId="65A87D80" w14:textId="77777777" w:rsidR="00814857" w:rsidRDefault="00814857" w:rsidP="00894126">
            <w:pPr>
              <w:pStyle w:val="ARtabletextright"/>
            </w:pPr>
            <w:r>
              <w:rPr>
                <w:noProof/>
              </w:rPr>
              <w:t>75</w:t>
            </w:r>
          </w:p>
        </w:tc>
        <w:tc>
          <w:tcPr>
            <w:tcW w:w="1022" w:type="dxa"/>
            <w:tcBorders>
              <w:top w:val="single" w:sz="4" w:space="0" w:color="BFBFBF" w:themeColor="background1" w:themeShade="BF"/>
            </w:tcBorders>
            <w:hideMark/>
          </w:tcPr>
          <w:p w14:paraId="0BE3887F" w14:textId="77777777" w:rsidR="00814857" w:rsidRDefault="00814857" w:rsidP="00894126">
            <w:pPr>
              <w:pStyle w:val="ARtabletextright"/>
            </w:pPr>
            <w:r>
              <w:rPr>
                <w:noProof/>
              </w:rPr>
              <w:t>100</w:t>
            </w:r>
          </w:p>
        </w:tc>
        <w:tc>
          <w:tcPr>
            <w:tcW w:w="1022" w:type="dxa"/>
            <w:tcBorders>
              <w:top w:val="single" w:sz="4" w:space="0" w:color="BFBFBF" w:themeColor="background1" w:themeShade="BF"/>
            </w:tcBorders>
            <w:hideMark/>
          </w:tcPr>
          <w:p w14:paraId="32F82051" w14:textId="77777777" w:rsidR="00814857" w:rsidRDefault="00814857" w:rsidP="00894126">
            <w:pPr>
              <w:pStyle w:val="ARtabletextright"/>
            </w:pPr>
            <w:r>
              <w:rPr>
                <w:noProof/>
              </w:rPr>
              <w:t>33.3</w:t>
            </w:r>
          </w:p>
        </w:tc>
        <w:tc>
          <w:tcPr>
            <w:tcW w:w="794" w:type="dxa"/>
            <w:tcBorders>
              <w:top w:val="single" w:sz="4" w:space="0" w:color="BFBFBF" w:themeColor="background1" w:themeShade="BF"/>
            </w:tcBorders>
            <w:hideMark/>
          </w:tcPr>
          <w:p w14:paraId="73FC9565" w14:textId="77777777" w:rsidR="00814857" w:rsidRDefault="00814857" w:rsidP="00894126">
            <w:pPr>
              <w:pStyle w:val="ARtabletextright"/>
            </w:pPr>
            <w:r>
              <w:sym w:font="Wingdings" w:char="F0FC"/>
            </w:r>
          </w:p>
        </w:tc>
      </w:tr>
      <w:tr w:rsidR="00814857" w14:paraId="69BB6882" w14:textId="77777777" w:rsidTr="00894126">
        <w:trPr>
          <w:cantSplit/>
          <w:trHeight w:val="240"/>
        </w:trPr>
        <w:tc>
          <w:tcPr>
            <w:tcW w:w="9645" w:type="dxa"/>
            <w:gridSpan w:val="6"/>
            <w:tcBorders>
              <w:top w:val="nil"/>
              <w:left w:val="nil"/>
              <w:bottom w:val="single" w:sz="4" w:space="0" w:color="BFBFBF"/>
              <w:right w:val="nil"/>
            </w:tcBorders>
            <w:noWrap/>
            <w:hideMark/>
          </w:tcPr>
          <w:p w14:paraId="5621CCD2" w14:textId="77777777" w:rsidR="00814857" w:rsidRDefault="00814857" w:rsidP="00894126">
            <w:pPr>
              <w:pStyle w:val="ARtablenoteindent"/>
            </w:pPr>
            <w:r>
              <w:rPr>
                <w:noProof/>
              </w:rPr>
              <w:t>The result is higher than the target due to improvements in processing treatment permits. This is a positive result.</w:t>
            </w:r>
          </w:p>
        </w:tc>
      </w:tr>
      <w:tr w:rsidR="001955CC" w14:paraId="3934BBE1" w14:textId="77777777" w:rsidTr="00A05EB7">
        <w:trPr>
          <w:cantSplit/>
          <w:trHeight w:val="240"/>
        </w:trPr>
        <w:tc>
          <w:tcPr>
            <w:tcW w:w="9645" w:type="dxa"/>
            <w:gridSpan w:val="6"/>
            <w:tcBorders>
              <w:top w:val="single" w:sz="4" w:space="0" w:color="auto"/>
              <w:left w:val="nil"/>
              <w:bottom w:val="nil"/>
              <w:right w:val="nil"/>
            </w:tcBorders>
            <w:hideMark/>
          </w:tcPr>
          <w:p w14:paraId="3CAC4DE2" w14:textId="70840418" w:rsidR="001955CC" w:rsidRDefault="001955CC" w:rsidP="002B4443">
            <w:pPr>
              <w:pStyle w:val="ARtablegreybold"/>
            </w:pPr>
            <w:r>
              <w:t>Cost</w:t>
            </w:r>
          </w:p>
        </w:tc>
      </w:tr>
      <w:tr w:rsidR="00814857" w14:paraId="2E4DAEF3" w14:textId="77777777" w:rsidTr="001955CC">
        <w:trPr>
          <w:cantSplit/>
          <w:trHeight w:val="480"/>
        </w:trPr>
        <w:tc>
          <w:tcPr>
            <w:tcW w:w="4764" w:type="dxa"/>
            <w:hideMark/>
          </w:tcPr>
          <w:p w14:paraId="37188C58" w14:textId="77777777" w:rsidR="00814857" w:rsidRPr="005A6F56" w:rsidRDefault="00814857" w:rsidP="00894126">
            <w:pPr>
              <w:pStyle w:val="ARtabletext"/>
              <w:rPr>
                <w:b/>
              </w:rPr>
            </w:pPr>
            <w:r w:rsidRPr="005A6F56">
              <w:rPr>
                <w:b/>
                <w:noProof/>
              </w:rPr>
              <w:t xml:space="preserve">Total </w:t>
            </w:r>
            <w:r>
              <w:rPr>
                <w:b/>
                <w:noProof/>
              </w:rPr>
              <w:t>o</w:t>
            </w:r>
            <w:r w:rsidRPr="005A6F56">
              <w:rPr>
                <w:b/>
                <w:noProof/>
              </w:rPr>
              <w:t xml:space="preserve">utput </w:t>
            </w:r>
            <w:r>
              <w:rPr>
                <w:b/>
                <w:noProof/>
              </w:rPr>
              <w:t>c</w:t>
            </w:r>
            <w:r w:rsidRPr="005A6F56">
              <w:rPr>
                <w:b/>
                <w:noProof/>
              </w:rPr>
              <w:t>ost</w:t>
            </w:r>
          </w:p>
        </w:tc>
        <w:tc>
          <w:tcPr>
            <w:tcW w:w="1021" w:type="dxa"/>
            <w:hideMark/>
          </w:tcPr>
          <w:p w14:paraId="43CCCB22" w14:textId="77777777" w:rsidR="00814857" w:rsidRPr="005A6F56" w:rsidRDefault="00814857" w:rsidP="00894126">
            <w:pPr>
              <w:pStyle w:val="ARtabletextright"/>
              <w:rPr>
                <w:b/>
              </w:rPr>
            </w:pPr>
            <w:r w:rsidRPr="005A6F56">
              <w:rPr>
                <w:b/>
                <w:noProof/>
              </w:rPr>
              <w:t>$ million</w:t>
            </w:r>
          </w:p>
        </w:tc>
        <w:tc>
          <w:tcPr>
            <w:tcW w:w="1022" w:type="dxa"/>
            <w:hideMark/>
          </w:tcPr>
          <w:p w14:paraId="2299B5EA" w14:textId="77777777" w:rsidR="00814857" w:rsidRPr="005A6F56" w:rsidRDefault="00814857" w:rsidP="00894126">
            <w:pPr>
              <w:pStyle w:val="ARtabletextright"/>
              <w:rPr>
                <w:b/>
              </w:rPr>
            </w:pPr>
            <w:r w:rsidRPr="005A6F56">
              <w:rPr>
                <w:b/>
                <w:noProof/>
              </w:rPr>
              <w:t>39.1</w:t>
            </w:r>
          </w:p>
        </w:tc>
        <w:tc>
          <w:tcPr>
            <w:tcW w:w="1022" w:type="dxa"/>
            <w:hideMark/>
          </w:tcPr>
          <w:p w14:paraId="7DE48E52" w14:textId="77777777" w:rsidR="00814857" w:rsidRPr="005A6F56" w:rsidRDefault="00814857" w:rsidP="00894126">
            <w:pPr>
              <w:pStyle w:val="ARtabletextright"/>
              <w:rPr>
                <w:b/>
              </w:rPr>
            </w:pPr>
            <w:r w:rsidRPr="005A6F56">
              <w:rPr>
                <w:b/>
                <w:noProof/>
              </w:rPr>
              <w:t>37.6</w:t>
            </w:r>
          </w:p>
        </w:tc>
        <w:tc>
          <w:tcPr>
            <w:tcW w:w="1022" w:type="dxa"/>
            <w:hideMark/>
          </w:tcPr>
          <w:p w14:paraId="4434E875" w14:textId="77777777" w:rsidR="00814857" w:rsidRPr="005A6F56" w:rsidRDefault="00814857" w:rsidP="00894126">
            <w:pPr>
              <w:pStyle w:val="ARtabletextright"/>
              <w:rPr>
                <w:b/>
              </w:rPr>
            </w:pPr>
            <w:r w:rsidRPr="005A6F56">
              <w:rPr>
                <w:b/>
                <w:noProof/>
              </w:rPr>
              <w:t>-3.9</w:t>
            </w:r>
          </w:p>
        </w:tc>
        <w:tc>
          <w:tcPr>
            <w:tcW w:w="794" w:type="dxa"/>
            <w:hideMark/>
          </w:tcPr>
          <w:p w14:paraId="3CC6B655" w14:textId="77777777" w:rsidR="00814857" w:rsidRPr="005A6F56" w:rsidRDefault="00814857" w:rsidP="002B4443">
            <w:pPr>
              <w:pStyle w:val="ARtabletextright"/>
              <w:rPr>
                <w:b/>
              </w:rPr>
            </w:pPr>
          </w:p>
        </w:tc>
      </w:tr>
      <w:tr w:rsidR="00814857" w14:paraId="515D6FC3" w14:textId="77777777" w:rsidTr="001955CC">
        <w:trPr>
          <w:cantSplit/>
          <w:trHeight w:val="240"/>
        </w:trPr>
        <w:tc>
          <w:tcPr>
            <w:tcW w:w="9645" w:type="dxa"/>
            <w:gridSpan w:val="6"/>
            <w:tcBorders>
              <w:top w:val="nil"/>
              <w:left w:val="nil"/>
              <w:bottom w:val="single" w:sz="4" w:space="0" w:color="auto"/>
              <w:right w:val="nil"/>
            </w:tcBorders>
            <w:noWrap/>
            <w:hideMark/>
          </w:tcPr>
          <w:p w14:paraId="753D7279" w14:textId="77777777" w:rsidR="00814857" w:rsidRDefault="00814857" w:rsidP="00894126">
            <w:pPr>
              <w:pStyle w:val="ARtablenoteindent"/>
            </w:pPr>
            <w:r>
              <w:rPr>
                <w:noProof/>
              </w:rPr>
              <w:t>The result primarily reflects output realignment across outputs to better reflect the mix of services funded.</w:t>
            </w:r>
          </w:p>
        </w:tc>
      </w:tr>
      <w:tr w:rsidR="001955CC" w14:paraId="6A2851E9"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656B8DB5" w14:textId="6AF5B47C" w:rsidR="001955CC" w:rsidRDefault="001955CC" w:rsidP="002B4443">
            <w:pPr>
              <w:pStyle w:val="ARtablebluebold"/>
            </w:pPr>
            <w:bookmarkStart w:id="60" w:name="_Hlk21519313"/>
            <w:r>
              <w:lastRenderedPageBreak/>
              <w:t>Drug Treatment and Rehabilitation</w:t>
            </w:r>
          </w:p>
        </w:tc>
      </w:tr>
      <w:bookmarkEnd w:id="60"/>
      <w:tr w:rsidR="001955CC" w14:paraId="2A7195BC" w14:textId="77777777" w:rsidTr="00A05EB7">
        <w:trPr>
          <w:cantSplit/>
          <w:trHeight w:val="240"/>
        </w:trPr>
        <w:tc>
          <w:tcPr>
            <w:tcW w:w="9645" w:type="dxa"/>
            <w:gridSpan w:val="6"/>
            <w:tcBorders>
              <w:top w:val="single" w:sz="4" w:space="0" w:color="auto"/>
              <w:left w:val="nil"/>
              <w:bottom w:val="nil"/>
              <w:right w:val="nil"/>
            </w:tcBorders>
            <w:hideMark/>
          </w:tcPr>
          <w:p w14:paraId="13B539A8" w14:textId="73FE079D" w:rsidR="001955CC" w:rsidRDefault="001955CC" w:rsidP="002B4443">
            <w:pPr>
              <w:pStyle w:val="ARtablegreybold"/>
            </w:pPr>
            <w:r>
              <w:t>Quantity</w:t>
            </w:r>
          </w:p>
        </w:tc>
      </w:tr>
      <w:tr w:rsidR="00814857" w14:paraId="569395D7" w14:textId="77777777" w:rsidTr="00894126">
        <w:trPr>
          <w:cantSplit/>
          <w:trHeight w:val="480"/>
        </w:trPr>
        <w:tc>
          <w:tcPr>
            <w:tcW w:w="4764" w:type="dxa"/>
            <w:hideMark/>
          </w:tcPr>
          <w:p w14:paraId="628A0D82" w14:textId="77777777" w:rsidR="00814857" w:rsidRDefault="00814857" w:rsidP="00894126">
            <w:pPr>
              <w:pStyle w:val="ARtabletext"/>
            </w:pPr>
            <w:r>
              <w:rPr>
                <w:noProof/>
              </w:rPr>
              <w:t>Clients on the pharmacotherapy program</w:t>
            </w:r>
          </w:p>
        </w:tc>
        <w:tc>
          <w:tcPr>
            <w:tcW w:w="1021" w:type="dxa"/>
            <w:hideMark/>
          </w:tcPr>
          <w:p w14:paraId="6535279D" w14:textId="77777777" w:rsidR="00814857" w:rsidRDefault="00814857" w:rsidP="00894126">
            <w:pPr>
              <w:pStyle w:val="ARtabletextright"/>
            </w:pPr>
            <w:r>
              <w:rPr>
                <w:noProof/>
              </w:rPr>
              <w:t>number</w:t>
            </w:r>
          </w:p>
        </w:tc>
        <w:tc>
          <w:tcPr>
            <w:tcW w:w="1022" w:type="dxa"/>
            <w:hideMark/>
          </w:tcPr>
          <w:p w14:paraId="433DA7BF" w14:textId="77777777" w:rsidR="00814857" w:rsidRDefault="00814857" w:rsidP="00894126">
            <w:pPr>
              <w:pStyle w:val="ARtabletextright"/>
            </w:pPr>
            <w:r>
              <w:rPr>
                <w:noProof/>
              </w:rPr>
              <w:t>14,000</w:t>
            </w:r>
          </w:p>
        </w:tc>
        <w:tc>
          <w:tcPr>
            <w:tcW w:w="1022" w:type="dxa"/>
            <w:hideMark/>
          </w:tcPr>
          <w:p w14:paraId="2F5931F0" w14:textId="77777777" w:rsidR="00814857" w:rsidRDefault="00814857" w:rsidP="00894126">
            <w:pPr>
              <w:pStyle w:val="ARtabletextright"/>
            </w:pPr>
            <w:r>
              <w:rPr>
                <w:noProof/>
              </w:rPr>
              <w:t>14,063</w:t>
            </w:r>
          </w:p>
        </w:tc>
        <w:tc>
          <w:tcPr>
            <w:tcW w:w="1022" w:type="dxa"/>
            <w:hideMark/>
          </w:tcPr>
          <w:p w14:paraId="0BDD9F14" w14:textId="77777777" w:rsidR="00814857" w:rsidRDefault="00814857" w:rsidP="00894126">
            <w:pPr>
              <w:pStyle w:val="ARtabletextright"/>
            </w:pPr>
            <w:r>
              <w:rPr>
                <w:noProof/>
              </w:rPr>
              <w:t>0.5</w:t>
            </w:r>
          </w:p>
        </w:tc>
        <w:tc>
          <w:tcPr>
            <w:tcW w:w="794" w:type="dxa"/>
            <w:hideMark/>
          </w:tcPr>
          <w:p w14:paraId="502C8267" w14:textId="77777777" w:rsidR="00814857" w:rsidRDefault="00814857" w:rsidP="00894126">
            <w:pPr>
              <w:pStyle w:val="ARtabletextright"/>
            </w:pPr>
            <w:r>
              <w:sym w:font="Wingdings" w:char="F0FC"/>
            </w:r>
          </w:p>
        </w:tc>
      </w:tr>
      <w:tr w:rsidR="00814857" w14:paraId="4402EA94" w14:textId="77777777" w:rsidTr="00894126">
        <w:trPr>
          <w:cantSplit/>
          <w:trHeight w:val="240"/>
        </w:trPr>
        <w:tc>
          <w:tcPr>
            <w:tcW w:w="9645" w:type="dxa"/>
            <w:gridSpan w:val="6"/>
            <w:tcBorders>
              <w:top w:val="nil"/>
              <w:left w:val="nil"/>
              <w:bottom w:val="single" w:sz="4" w:space="0" w:color="BFBFBF"/>
              <w:right w:val="nil"/>
            </w:tcBorders>
            <w:noWrap/>
            <w:hideMark/>
          </w:tcPr>
          <w:p w14:paraId="76E82C93" w14:textId="77777777" w:rsidR="00814857" w:rsidRDefault="00814857" w:rsidP="00894126">
            <w:pPr>
              <w:pStyle w:val="ARtablenoteindent"/>
            </w:pPr>
            <w:r>
              <w:rPr>
                <w:noProof/>
              </w:rPr>
              <w:t>Preliminary result. Actual end-of-year results will be available late 2019.</w:t>
            </w:r>
          </w:p>
        </w:tc>
      </w:tr>
      <w:tr w:rsidR="00814857" w14:paraId="096D71F6" w14:textId="77777777" w:rsidTr="00894126">
        <w:trPr>
          <w:cantSplit/>
          <w:trHeight w:val="480"/>
        </w:trPr>
        <w:tc>
          <w:tcPr>
            <w:tcW w:w="4764" w:type="dxa"/>
            <w:hideMark/>
          </w:tcPr>
          <w:p w14:paraId="3EEE0E40" w14:textId="77777777" w:rsidR="00814857" w:rsidRDefault="00814857" w:rsidP="00894126">
            <w:pPr>
              <w:pStyle w:val="ARtabletext"/>
            </w:pPr>
            <w:r>
              <w:rPr>
                <w:noProof/>
              </w:rPr>
              <w:t>Commenced courses of treatment: community-based drug treatment services</w:t>
            </w:r>
          </w:p>
        </w:tc>
        <w:tc>
          <w:tcPr>
            <w:tcW w:w="1021" w:type="dxa"/>
            <w:hideMark/>
          </w:tcPr>
          <w:p w14:paraId="4DA588F6" w14:textId="77777777" w:rsidR="00814857" w:rsidRDefault="00814857" w:rsidP="00894126">
            <w:pPr>
              <w:pStyle w:val="ARtabletextright"/>
            </w:pPr>
            <w:r>
              <w:rPr>
                <w:noProof/>
              </w:rPr>
              <w:t>number</w:t>
            </w:r>
          </w:p>
        </w:tc>
        <w:tc>
          <w:tcPr>
            <w:tcW w:w="1022" w:type="dxa"/>
            <w:hideMark/>
          </w:tcPr>
          <w:p w14:paraId="62842BCB" w14:textId="77777777" w:rsidR="00814857" w:rsidRDefault="00814857" w:rsidP="00894126">
            <w:pPr>
              <w:pStyle w:val="ARtabletextright"/>
            </w:pPr>
            <w:r>
              <w:rPr>
                <w:noProof/>
              </w:rPr>
              <w:t>7,669</w:t>
            </w:r>
          </w:p>
        </w:tc>
        <w:tc>
          <w:tcPr>
            <w:tcW w:w="1022" w:type="dxa"/>
            <w:hideMark/>
          </w:tcPr>
          <w:p w14:paraId="0390F034" w14:textId="77777777" w:rsidR="00814857" w:rsidRDefault="00814857" w:rsidP="00894126">
            <w:pPr>
              <w:pStyle w:val="ARtabletextright"/>
            </w:pPr>
            <w:r>
              <w:rPr>
                <w:noProof/>
              </w:rPr>
              <w:t>9,704</w:t>
            </w:r>
          </w:p>
        </w:tc>
        <w:tc>
          <w:tcPr>
            <w:tcW w:w="1022" w:type="dxa"/>
            <w:hideMark/>
          </w:tcPr>
          <w:p w14:paraId="6A5BAC1E" w14:textId="77777777" w:rsidR="00814857" w:rsidRDefault="00814857" w:rsidP="00894126">
            <w:pPr>
              <w:pStyle w:val="ARtabletextright"/>
            </w:pPr>
            <w:r>
              <w:rPr>
                <w:noProof/>
              </w:rPr>
              <w:t>26.5</w:t>
            </w:r>
          </w:p>
        </w:tc>
        <w:tc>
          <w:tcPr>
            <w:tcW w:w="794" w:type="dxa"/>
            <w:hideMark/>
          </w:tcPr>
          <w:p w14:paraId="59E6E1B3" w14:textId="77777777" w:rsidR="00814857" w:rsidRDefault="00814857" w:rsidP="00894126">
            <w:pPr>
              <w:pStyle w:val="ARtabletextright"/>
            </w:pPr>
            <w:r>
              <w:sym w:font="Wingdings" w:char="F0FC"/>
            </w:r>
          </w:p>
        </w:tc>
      </w:tr>
      <w:tr w:rsidR="00814857" w14:paraId="5C3C3E5E" w14:textId="77777777" w:rsidTr="00894126">
        <w:trPr>
          <w:cantSplit/>
          <w:trHeight w:val="240"/>
        </w:trPr>
        <w:tc>
          <w:tcPr>
            <w:tcW w:w="9645" w:type="dxa"/>
            <w:gridSpan w:val="6"/>
            <w:tcBorders>
              <w:top w:val="nil"/>
              <w:left w:val="nil"/>
              <w:bottom w:val="single" w:sz="4" w:space="0" w:color="BFBFBF"/>
              <w:right w:val="nil"/>
            </w:tcBorders>
            <w:noWrap/>
            <w:hideMark/>
          </w:tcPr>
          <w:p w14:paraId="46B9AD5A" w14:textId="77777777" w:rsidR="00814857" w:rsidRDefault="00814857" w:rsidP="00894126">
            <w:pPr>
              <w:pStyle w:val="ARtablenoteindent"/>
            </w:pPr>
            <w:r w:rsidRPr="005B05CA">
              <w:rPr>
                <w:noProof/>
              </w:rPr>
              <w:t>Preliminary result. The preliminary result is higher than the target due to an ongoing increase in the delivery of a range of treatment types. This is a positive result.</w:t>
            </w:r>
          </w:p>
        </w:tc>
      </w:tr>
      <w:tr w:rsidR="00814857" w14:paraId="412B196B" w14:textId="77777777" w:rsidTr="00894126">
        <w:trPr>
          <w:cantSplit/>
          <w:trHeight w:val="480"/>
        </w:trPr>
        <w:tc>
          <w:tcPr>
            <w:tcW w:w="4764" w:type="dxa"/>
            <w:hideMark/>
          </w:tcPr>
          <w:p w14:paraId="0E3192D7" w14:textId="77777777" w:rsidR="00814857" w:rsidRDefault="00814857" w:rsidP="00894126">
            <w:pPr>
              <w:pStyle w:val="ARtabletext"/>
            </w:pPr>
            <w:r>
              <w:rPr>
                <w:noProof/>
              </w:rPr>
              <w:t>Commenced courses of treatment: residential-based drug treatment services</w:t>
            </w:r>
          </w:p>
        </w:tc>
        <w:tc>
          <w:tcPr>
            <w:tcW w:w="1021" w:type="dxa"/>
            <w:hideMark/>
          </w:tcPr>
          <w:p w14:paraId="1EDAEACB" w14:textId="77777777" w:rsidR="00814857" w:rsidRDefault="00814857" w:rsidP="00894126">
            <w:pPr>
              <w:pStyle w:val="ARtabletextright"/>
            </w:pPr>
            <w:r>
              <w:rPr>
                <w:noProof/>
              </w:rPr>
              <w:t>number</w:t>
            </w:r>
          </w:p>
        </w:tc>
        <w:tc>
          <w:tcPr>
            <w:tcW w:w="1022" w:type="dxa"/>
            <w:hideMark/>
          </w:tcPr>
          <w:p w14:paraId="4F6E396C" w14:textId="77777777" w:rsidR="00814857" w:rsidRDefault="00814857" w:rsidP="00894126">
            <w:pPr>
              <w:pStyle w:val="ARtabletextright"/>
            </w:pPr>
            <w:r>
              <w:rPr>
                <w:noProof/>
              </w:rPr>
              <w:t>6,606</w:t>
            </w:r>
          </w:p>
        </w:tc>
        <w:tc>
          <w:tcPr>
            <w:tcW w:w="1022" w:type="dxa"/>
            <w:hideMark/>
          </w:tcPr>
          <w:p w14:paraId="529DCF9B" w14:textId="77777777" w:rsidR="00814857" w:rsidRDefault="00814857" w:rsidP="00894126">
            <w:pPr>
              <w:pStyle w:val="ARtabletextright"/>
            </w:pPr>
            <w:r>
              <w:rPr>
                <w:noProof/>
              </w:rPr>
              <w:t>5,681</w:t>
            </w:r>
          </w:p>
        </w:tc>
        <w:tc>
          <w:tcPr>
            <w:tcW w:w="1022" w:type="dxa"/>
            <w:hideMark/>
          </w:tcPr>
          <w:p w14:paraId="0B325251" w14:textId="77777777" w:rsidR="00814857" w:rsidRDefault="00814857" w:rsidP="00894126">
            <w:pPr>
              <w:pStyle w:val="ARtabletextright"/>
            </w:pPr>
            <w:r>
              <w:rPr>
                <w:noProof/>
              </w:rPr>
              <w:t>-14.0</w:t>
            </w:r>
          </w:p>
        </w:tc>
        <w:tc>
          <w:tcPr>
            <w:tcW w:w="794" w:type="dxa"/>
            <w:hideMark/>
          </w:tcPr>
          <w:p w14:paraId="248C9B35" w14:textId="77777777" w:rsidR="00814857" w:rsidRDefault="00814857" w:rsidP="00894126">
            <w:pPr>
              <w:pStyle w:val="ARtabletextright"/>
            </w:pPr>
            <w:r>
              <w:sym w:font="Wingdings" w:char="F06E"/>
            </w:r>
          </w:p>
        </w:tc>
      </w:tr>
      <w:tr w:rsidR="00814857" w14:paraId="625E08B3" w14:textId="77777777" w:rsidTr="00894126">
        <w:trPr>
          <w:cantSplit/>
          <w:trHeight w:val="240"/>
        </w:trPr>
        <w:tc>
          <w:tcPr>
            <w:tcW w:w="9645" w:type="dxa"/>
            <w:gridSpan w:val="6"/>
            <w:tcBorders>
              <w:top w:val="nil"/>
              <w:left w:val="nil"/>
              <w:bottom w:val="single" w:sz="4" w:space="0" w:color="BFBFBF"/>
              <w:right w:val="nil"/>
            </w:tcBorders>
            <w:noWrap/>
            <w:hideMark/>
          </w:tcPr>
          <w:p w14:paraId="2D7AFD8E" w14:textId="77777777" w:rsidR="00814857" w:rsidRPr="007F6B06" w:rsidRDefault="00814857" w:rsidP="00894126">
            <w:pPr>
              <w:pStyle w:val="ARtablenoteindent"/>
              <w:rPr>
                <w:noProof/>
              </w:rPr>
            </w:pPr>
            <w:r w:rsidRPr="005B05CA">
              <w:rPr>
                <w:noProof/>
              </w:rPr>
              <w:t>Preliminary result. The preliminary result is lower than the target but is expected to lift in 2019</w:t>
            </w:r>
            <w:r>
              <w:rPr>
                <w:noProof/>
              </w:rPr>
              <w:t>–</w:t>
            </w:r>
            <w:r w:rsidRPr="005B05CA">
              <w:rPr>
                <w:noProof/>
              </w:rPr>
              <w:t>20 as providers fully transition to the new Victorian Alcohol and Drug Collection.</w:t>
            </w:r>
          </w:p>
        </w:tc>
      </w:tr>
      <w:tr w:rsidR="00814857" w14:paraId="61427251" w14:textId="77777777" w:rsidTr="00894126">
        <w:trPr>
          <w:cantSplit/>
          <w:trHeight w:val="480"/>
        </w:trPr>
        <w:tc>
          <w:tcPr>
            <w:tcW w:w="4764" w:type="dxa"/>
            <w:hideMark/>
          </w:tcPr>
          <w:p w14:paraId="4C80AC3E" w14:textId="77777777" w:rsidR="00814857" w:rsidRDefault="00814857" w:rsidP="00894126">
            <w:pPr>
              <w:pStyle w:val="ARtabletext"/>
            </w:pPr>
            <w:r>
              <w:rPr>
                <w:noProof/>
              </w:rPr>
              <w:t>Number of Drug Treatment Activity Units (DTAUs)</w:t>
            </w:r>
          </w:p>
        </w:tc>
        <w:tc>
          <w:tcPr>
            <w:tcW w:w="1021" w:type="dxa"/>
            <w:hideMark/>
          </w:tcPr>
          <w:p w14:paraId="7F5CB1F8" w14:textId="77777777" w:rsidR="00814857" w:rsidRDefault="00814857" w:rsidP="00894126">
            <w:pPr>
              <w:pStyle w:val="ARtabletextright"/>
            </w:pPr>
            <w:r>
              <w:rPr>
                <w:noProof/>
              </w:rPr>
              <w:t>number</w:t>
            </w:r>
          </w:p>
        </w:tc>
        <w:tc>
          <w:tcPr>
            <w:tcW w:w="1022" w:type="dxa"/>
            <w:hideMark/>
          </w:tcPr>
          <w:p w14:paraId="22246311" w14:textId="77777777" w:rsidR="00814857" w:rsidRDefault="00814857" w:rsidP="00894126">
            <w:pPr>
              <w:pStyle w:val="ARtabletextright"/>
            </w:pPr>
            <w:r>
              <w:rPr>
                <w:noProof/>
              </w:rPr>
              <w:t>90,325</w:t>
            </w:r>
          </w:p>
        </w:tc>
        <w:tc>
          <w:tcPr>
            <w:tcW w:w="1022" w:type="dxa"/>
            <w:hideMark/>
          </w:tcPr>
          <w:p w14:paraId="68F95346" w14:textId="77777777" w:rsidR="00814857" w:rsidRDefault="00814857" w:rsidP="00894126">
            <w:pPr>
              <w:pStyle w:val="ARtabletextright"/>
            </w:pPr>
            <w:r>
              <w:rPr>
                <w:noProof/>
              </w:rPr>
              <w:t>80,666</w:t>
            </w:r>
          </w:p>
        </w:tc>
        <w:tc>
          <w:tcPr>
            <w:tcW w:w="1022" w:type="dxa"/>
            <w:hideMark/>
          </w:tcPr>
          <w:p w14:paraId="3FFC84F0" w14:textId="77777777" w:rsidR="00814857" w:rsidRDefault="00814857" w:rsidP="00894126">
            <w:pPr>
              <w:pStyle w:val="ARtabletextright"/>
            </w:pPr>
            <w:r>
              <w:rPr>
                <w:noProof/>
              </w:rPr>
              <w:t>-10.7</w:t>
            </w:r>
          </w:p>
        </w:tc>
        <w:tc>
          <w:tcPr>
            <w:tcW w:w="794" w:type="dxa"/>
            <w:hideMark/>
          </w:tcPr>
          <w:p w14:paraId="5584C33A" w14:textId="77777777" w:rsidR="00814857" w:rsidRDefault="00814857" w:rsidP="00894126">
            <w:pPr>
              <w:pStyle w:val="ARtabletextright"/>
            </w:pPr>
            <w:r>
              <w:sym w:font="Wingdings" w:char="F06E"/>
            </w:r>
          </w:p>
        </w:tc>
      </w:tr>
      <w:tr w:rsidR="00814857" w14:paraId="255007DF" w14:textId="77777777" w:rsidTr="00894126">
        <w:trPr>
          <w:cantSplit/>
          <w:trHeight w:val="240"/>
        </w:trPr>
        <w:tc>
          <w:tcPr>
            <w:tcW w:w="9645" w:type="dxa"/>
            <w:gridSpan w:val="6"/>
            <w:tcBorders>
              <w:top w:val="nil"/>
              <w:left w:val="nil"/>
              <w:bottom w:val="single" w:sz="4" w:space="0" w:color="BFBFBF"/>
              <w:right w:val="nil"/>
            </w:tcBorders>
            <w:noWrap/>
            <w:hideMark/>
          </w:tcPr>
          <w:p w14:paraId="4D287CFE" w14:textId="37BE386E" w:rsidR="00814857" w:rsidRDefault="00814857" w:rsidP="00894126">
            <w:pPr>
              <w:pStyle w:val="ARtablenoteindent"/>
              <w:rPr>
                <w:noProof/>
              </w:rPr>
            </w:pPr>
            <w:r w:rsidRPr="005B05CA">
              <w:rPr>
                <w:noProof/>
              </w:rPr>
              <w:t>Preliminary result. The preliminary result is lower than the target but is expected to lift in 2019</w:t>
            </w:r>
            <w:r w:rsidR="001F4A28">
              <w:rPr>
                <w:noProof/>
              </w:rPr>
              <w:t>–</w:t>
            </w:r>
            <w:r w:rsidRPr="005B05CA">
              <w:rPr>
                <w:noProof/>
              </w:rPr>
              <w:t>20 as providers fully transition to the new Victorian Alcohol and Drug Collection.</w:t>
            </w:r>
          </w:p>
        </w:tc>
      </w:tr>
      <w:tr w:rsidR="00814857" w14:paraId="4AC1B7C3" w14:textId="77777777" w:rsidTr="00894126">
        <w:trPr>
          <w:cantSplit/>
          <w:trHeight w:val="480"/>
        </w:trPr>
        <w:tc>
          <w:tcPr>
            <w:tcW w:w="4764" w:type="dxa"/>
            <w:hideMark/>
          </w:tcPr>
          <w:p w14:paraId="0A4AC98F" w14:textId="77777777" w:rsidR="00814857" w:rsidRDefault="00814857" w:rsidP="00894126">
            <w:pPr>
              <w:pStyle w:val="ARtabletext"/>
            </w:pPr>
            <w:r>
              <w:rPr>
                <w:noProof/>
              </w:rPr>
              <w:t>Number of new residential withdrawal clients</w:t>
            </w:r>
          </w:p>
        </w:tc>
        <w:tc>
          <w:tcPr>
            <w:tcW w:w="1021" w:type="dxa"/>
            <w:hideMark/>
          </w:tcPr>
          <w:p w14:paraId="72233ABA" w14:textId="77777777" w:rsidR="00814857" w:rsidRDefault="00814857" w:rsidP="00894126">
            <w:pPr>
              <w:pStyle w:val="ARtabletextright"/>
            </w:pPr>
            <w:r>
              <w:rPr>
                <w:noProof/>
              </w:rPr>
              <w:t>number</w:t>
            </w:r>
          </w:p>
        </w:tc>
        <w:tc>
          <w:tcPr>
            <w:tcW w:w="1022" w:type="dxa"/>
            <w:hideMark/>
          </w:tcPr>
          <w:p w14:paraId="4C90F239" w14:textId="77777777" w:rsidR="00814857" w:rsidRDefault="00814857" w:rsidP="00894126">
            <w:pPr>
              <w:pStyle w:val="ARtabletextright"/>
            </w:pPr>
            <w:r>
              <w:rPr>
                <w:noProof/>
              </w:rPr>
              <w:t>2,309</w:t>
            </w:r>
          </w:p>
        </w:tc>
        <w:tc>
          <w:tcPr>
            <w:tcW w:w="1022" w:type="dxa"/>
            <w:hideMark/>
          </w:tcPr>
          <w:p w14:paraId="6FA949E6" w14:textId="77777777" w:rsidR="00814857" w:rsidRDefault="00814857" w:rsidP="00894126">
            <w:pPr>
              <w:pStyle w:val="ARtabletextright"/>
            </w:pPr>
            <w:r>
              <w:rPr>
                <w:noProof/>
              </w:rPr>
              <w:t>1,767</w:t>
            </w:r>
          </w:p>
        </w:tc>
        <w:tc>
          <w:tcPr>
            <w:tcW w:w="1022" w:type="dxa"/>
            <w:hideMark/>
          </w:tcPr>
          <w:p w14:paraId="4C84EA8D" w14:textId="77777777" w:rsidR="00814857" w:rsidRDefault="00814857" w:rsidP="00894126">
            <w:pPr>
              <w:pStyle w:val="ARtabletextright"/>
            </w:pPr>
            <w:r>
              <w:rPr>
                <w:noProof/>
              </w:rPr>
              <w:t>-23.5</w:t>
            </w:r>
          </w:p>
        </w:tc>
        <w:tc>
          <w:tcPr>
            <w:tcW w:w="794" w:type="dxa"/>
            <w:hideMark/>
          </w:tcPr>
          <w:p w14:paraId="2226EF94" w14:textId="77777777" w:rsidR="00814857" w:rsidRDefault="00814857" w:rsidP="00894126">
            <w:pPr>
              <w:pStyle w:val="ARtabletextright"/>
            </w:pPr>
            <w:r>
              <w:sym w:font="Wingdings" w:char="F06E"/>
            </w:r>
          </w:p>
        </w:tc>
      </w:tr>
      <w:tr w:rsidR="00814857" w14:paraId="792C4869" w14:textId="77777777" w:rsidTr="00894126">
        <w:trPr>
          <w:cantSplit/>
          <w:trHeight w:val="240"/>
        </w:trPr>
        <w:tc>
          <w:tcPr>
            <w:tcW w:w="9645" w:type="dxa"/>
            <w:gridSpan w:val="6"/>
            <w:tcBorders>
              <w:top w:val="nil"/>
              <w:left w:val="nil"/>
              <w:bottom w:val="single" w:sz="4" w:space="0" w:color="BFBFBF"/>
              <w:right w:val="nil"/>
            </w:tcBorders>
            <w:noWrap/>
            <w:hideMark/>
          </w:tcPr>
          <w:p w14:paraId="04B39A1F" w14:textId="77777777" w:rsidR="00814857" w:rsidRDefault="00814857" w:rsidP="00894126">
            <w:pPr>
              <w:pStyle w:val="ARtablenoteindent"/>
            </w:pPr>
            <w:r>
              <w:rPr>
                <w:noProof/>
              </w:rPr>
              <w:t>P</w:t>
            </w:r>
            <w:r w:rsidRPr="005B05CA">
              <w:rPr>
                <w:noProof/>
              </w:rPr>
              <w:t>reliminary result. The preliminary result is lower than the target due to the continuation of a long-term trend of increasing client complexity, leading to lower overall throughput. This is due to more clients receiving multiple courses of treatment and having longe</w:t>
            </w:r>
            <w:r>
              <w:rPr>
                <w:noProof/>
              </w:rPr>
              <w:t xml:space="preserve"> </w:t>
            </w:r>
            <w:r w:rsidRPr="005B05CA">
              <w:rPr>
                <w:noProof/>
              </w:rPr>
              <w:t>lengths of stay.</w:t>
            </w:r>
          </w:p>
        </w:tc>
      </w:tr>
      <w:tr w:rsidR="00814857" w14:paraId="4AA2F433" w14:textId="77777777" w:rsidTr="00894126">
        <w:trPr>
          <w:cantSplit/>
          <w:trHeight w:val="480"/>
        </w:trPr>
        <w:tc>
          <w:tcPr>
            <w:tcW w:w="4764" w:type="dxa"/>
            <w:hideMark/>
          </w:tcPr>
          <w:p w14:paraId="32E2EA58" w14:textId="77777777" w:rsidR="00814857" w:rsidRDefault="00814857" w:rsidP="00894126">
            <w:pPr>
              <w:pStyle w:val="ARtabletext"/>
            </w:pPr>
            <w:r>
              <w:rPr>
                <w:noProof/>
              </w:rPr>
              <w:t>Residential bed days</w:t>
            </w:r>
          </w:p>
        </w:tc>
        <w:tc>
          <w:tcPr>
            <w:tcW w:w="1021" w:type="dxa"/>
            <w:hideMark/>
          </w:tcPr>
          <w:p w14:paraId="4644F1BC" w14:textId="77777777" w:rsidR="00814857" w:rsidRDefault="00814857" w:rsidP="00894126">
            <w:pPr>
              <w:pStyle w:val="ARtabletextright"/>
            </w:pPr>
            <w:r>
              <w:rPr>
                <w:noProof/>
              </w:rPr>
              <w:t>number</w:t>
            </w:r>
          </w:p>
        </w:tc>
        <w:tc>
          <w:tcPr>
            <w:tcW w:w="1022" w:type="dxa"/>
            <w:hideMark/>
          </w:tcPr>
          <w:p w14:paraId="5DFA82E0" w14:textId="77777777" w:rsidR="00814857" w:rsidRDefault="00814857" w:rsidP="00894126">
            <w:pPr>
              <w:pStyle w:val="ARtabletextright"/>
            </w:pPr>
            <w:r>
              <w:rPr>
                <w:noProof/>
              </w:rPr>
              <w:t>135,671</w:t>
            </w:r>
          </w:p>
        </w:tc>
        <w:tc>
          <w:tcPr>
            <w:tcW w:w="1022" w:type="dxa"/>
            <w:hideMark/>
          </w:tcPr>
          <w:p w14:paraId="6E7BB373" w14:textId="77777777" w:rsidR="00814857" w:rsidRDefault="00814857" w:rsidP="00894126">
            <w:pPr>
              <w:pStyle w:val="ARtabletextright"/>
            </w:pPr>
            <w:r>
              <w:rPr>
                <w:noProof/>
              </w:rPr>
              <w:t>175,334</w:t>
            </w:r>
          </w:p>
        </w:tc>
        <w:tc>
          <w:tcPr>
            <w:tcW w:w="1022" w:type="dxa"/>
            <w:hideMark/>
          </w:tcPr>
          <w:p w14:paraId="1AA02815" w14:textId="77777777" w:rsidR="00814857" w:rsidRDefault="00814857" w:rsidP="00894126">
            <w:pPr>
              <w:pStyle w:val="ARtabletextright"/>
            </w:pPr>
            <w:r>
              <w:rPr>
                <w:noProof/>
              </w:rPr>
              <w:t>29.2</w:t>
            </w:r>
          </w:p>
        </w:tc>
        <w:tc>
          <w:tcPr>
            <w:tcW w:w="794" w:type="dxa"/>
            <w:hideMark/>
          </w:tcPr>
          <w:p w14:paraId="0D2E7749" w14:textId="77777777" w:rsidR="00814857" w:rsidRDefault="00814857" w:rsidP="00894126">
            <w:pPr>
              <w:pStyle w:val="ARtabletextright"/>
            </w:pPr>
            <w:r>
              <w:sym w:font="Wingdings" w:char="F0FC"/>
            </w:r>
          </w:p>
        </w:tc>
      </w:tr>
      <w:tr w:rsidR="00814857" w14:paraId="716FF525" w14:textId="77777777" w:rsidTr="00894126">
        <w:trPr>
          <w:cantSplit/>
          <w:trHeight w:val="240"/>
        </w:trPr>
        <w:tc>
          <w:tcPr>
            <w:tcW w:w="9645" w:type="dxa"/>
            <w:gridSpan w:val="6"/>
            <w:tcBorders>
              <w:top w:val="nil"/>
              <w:left w:val="nil"/>
              <w:bottom w:val="single" w:sz="4" w:space="0" w:color="BFBFBF"/>
              <w:right w:val="nil"/>
            </w:tcBorders>
            <w:noWrap/>
            <w:hideMark/>
          </w:tcPr>
          <w:p w14:paraId="687F29B5" w14:textId="77777777" w:rsidR="00814857" w:rsidRDefault="00814857" w:rsidP="00894126">
            <w:pPr>
              <w:pStyle w:val="ARtablenoteindent"/>
            </w:pPr>
            <w:r w:rsidRPr="005B05CA">
              <w:rPr>
                <w:noProof/>
              </w:rPr>
              <w:t>Preliminary result.</w:t>
            </w:r>
            <w:r>
              <w:rPr>
                <w:noProof/>
              </w:rPr>
              <w:t xml:space="preserve"> </w:t>
            </w:r>
            <w:r w:rsidRPr="005B05CA">
              <w:rPr>
                <w:noProof/>
              </w:rPr>
              <w:t>The preliminary result is higher than the target, which is due to an improvement in the way the department derives data for this measure. This is a positive result.</w:t>
            </w:r>
          </w:p>
        </w:tc>
      </w:tr>
      <w:tr w:rsidR="00814857" w14:paraId="3ED097F0" w14:textId="77777777" w:rsidTr="00894126">
        <w:trPr>
          <w:cantSplit/>
          <w:trHeight w:val="480"/>
        </w:trPr>
        <w:tc>
          <w:tcPr>
            <w:tcW w:w="4764" w:type="dxa"/>
            <w:hideMark/>
          </w:tcPr>
          <w:p w14:paraId="6F1C77F6" w14:textId="77777777" w:rsidR="00814857" w:rsidRDefault="00814857" w:rsidP="00894126">
            <w:pPr>
              <w:pStyle w:val="ARtabletext"/>
            </w:pPr>
            <w:r>
              <w:rPr>
                <w:noProof/>
              </w:rPr>
              <w:t>Workers complying with Alcohol and Other Drug Minimum Qualification Strategy requirements</w:t>
            </w:r>
          </w:p>
        </w:tc>
        <w:tc>
          <w:tcPr>
            <w:tcW w:w="1021" w:type="dxa"/>
            <w:hideMark/>
          </w:tcPr>
          <w:p w14:paraId="32330B62" w14:textId="77777777" w:rsidR="00814857" w:rsidRDefault="00814857" w:rsidP="00894126">
            <w:pPr>
              <w:pStyle w:val="ARtabletextright"/>
            </w:pPr>
            <w:r>
              <w:rPr>
                <w:noProof/>
              </w:rPr>
              <w:t>per cent</w:t>
            </w:r>
          </w:p>
        </w:tc>
        <w:tc>
          <w:tcPr>
            <w:tcW w:w="1022" w:type="dxa"/>
            <w:hideMark/>
          </w:tcPr>
          <w:p w14:paraId="6B48818B" w14:textId="77777777" w:rsidR="00814857" w:rsidRDefault="00814857" w:rsidP="00894126">
            <w:pPr>
              <w:pStyle w:val="ARtabletextright"/>
            </w:pPr>
            <w:r>
              <w:rPr>
                <w:noProof/>
              </w:rPr>
              <w:t>85</w:t>
            </w:r>
          </w:p>
        </w:tc>
        <w:tc>
          <w:tcPr>
            <w:tcW w:w="1022" w:type="dxa"/>
            <w:hideMark/>
          </w:tcPr>
          <w:p w14:paraId="579EB49F" w14:textId="77777777" w:rsidR="00814857" w:rsidRDefault="00814857" w:rsidP="00894126">
            <w:pPr>
              <w:pStyle w:val="ARtabletextright"/>
            </w:pPr>
            <w:r>
              <w:rPr>
                <w:noProof/>
              </w:rPr>
              <w:t>72</w:t>
            </w:r>
          </w:p>
        </w:tc>
        <w:tc>
          <w:tcPr>
            <w:tcW w:w="1022" w:type="dxa"/>
            <w:hideMark/>
          </w:tcPr>
          <w:p w14:paraId="7E840CCD" w14:textId="77777777" w:rsidR="00814857" w:rsidRDefault="00814857" w:rsidP="00894126">
            <w:pPr>
              <w:pStyle w:val="ARtabletextright"/>
            </w:pPr>
            <w:r>
              <w:rPr>
                <w:noProof/>
              </w:rPr>
              <w:t>-27.8</w:t>
            </w:r>
          </w:p>
        </w:tc>
        <w:tc>
          <w:tcPr>
            <w:tcW w:w="794" w:type="dxa"/>
            <w:hideMark/>
          </w:tcPr>
          <w:p w14:paraId="2AEC1AE5" w14:textId="77777777" w:rsidR="00814857" w:rsidRDefault="00814857" w:rsidP="00894126">
            <w:pPr>
              <w:pStyle w:val="ARtabletextright"/>
            </w:pPr>
            <w:r>
              <w:sym w:font="Wingdings" w:char="F06E"/>
            </w:r>
          </w:p>
        </w:tc>
      </w:tr>
      <w:tr w:rsidR="00814857" w14:paraId="31D29F97" w14:textId="77777777" w:rsidTr="00894126">
        <w:trPr>
          <w:cantSplit/>
          <w:trHeight w:val="240"/>
        </w:trPr>
        <w:tc>
          <w:tcPr>
            <w:tcW w:w="9645" w:type="dxa"/>
            <w:gridSpan w:val="6"/>
            <w:tcBorders>
              <w:top w:val="nil"/>
              <w:left w:val="nil"/>
              <w:bottom w:val="single" w:sz="4" w:space="0" w:color="BFBFBF"/>
              <w:right w:val="nil"/>
            </w:tcBorders>
            <w:noWrap/>
            <w:hideMark/>
          </w:tcPr>
          <w:p w14:paraId="6361965F" w14:textId="77777777" w:rsidR="00814857" w:rsidRDefault="00814857" w:rsidP="00894126">
            <w:pPr>
              <w:pStyle w:val="ARtablenoteindent"/>
            </w:pPr>
            <w:r w:rsidRPr="00A85004">
              <w:rPr>
                <w:noProof/>
              </w:rPr>
              <w:t xml:space="preserve">Preliminary result. The result is estimated based on the 2016–17 workforce survey. The actual result for 2018–19 will be available </w:t>
            </w:r>
            <w:r>
              <w:rPr>
                <w:noProof/>
              </w:rPr>
              <w:t xml:space="preserve">late </w:t>
            </w:r>
            <w:r w:rsidRPr="00A85004">
              <w:rPr>
                <w:noProof/>
              </w:rPr>
              <w:t>2019. The preliminary result is lower than the target. The 2018</w:t>
            </w:r>
            <w:r>
              <w:rPr>
                <w:noProof/>
              </w:rPr>
              <w:t>–</w:t>
            </w:r>
            <w:r w:rsidRPr="00A85004">
              <w:rPr>
                <w:noProof/>
              </w:rPr>
              <w:t>19 result is expected to be higher than the preliminary result, reflecting the department’s investment in workforce training. The measure was updated in 2018</w:t>
            </w:r>
            <w:r>
              <w:rPr>
                <w:noProof/>
              </w:rPr>
              <w:t>–</w:t>
            </w:r>
            <w:r w:rsidRPr="00A85004">
              <w:rPr>
                <w:noProof/>
              </w:rPr>
              <w:t>19 to include workers that have a health, social or behavioural science tertiary qualification from a non-</w:t>
            </w:r>
            <w:r>
              <w:rPr>
                <w:noProof/>
              </w:rPr>
              <w:t>alcohol and other drugs (</w:t>
            </w:r>
            <w:r w:rsidRPr="00A85004">
              <w:rPr>
                <w:noProof/>
              </w:rPr>
              <w:t>AOD</w:t>
            </w:r>
            <w:r>
              <w:rPr>
                <w:noProof/>
              </w:rPr>
              <w:t>)</w:t>
            </w:r>
            <w:r w:rsidRPr="00A85004">
              <w:rPr>
                <w:noProof/>
              </w:rPr>
              <w:t xml:space="preserve"> course as well as those that are currently completing or have completed the units of competency of the minimum qualification requirement for the funded AOD sector.</w:t>
            </w:r>
          </w:p>
        </w:tc>
      </w:tr>
      <w:tr w:rsidR="001955CC" w14:paraId="081A98D4" w14:textId="77777777" w:rsidTr="00A05EB7">
        <w:trPr>
          <w:cantSplit/>
          <w:trHeight w:val="240"/>
        </w:trPr>
        <w:tc>
          <w:tcPr>
            <w:tcW w:w="9645" w:type="dxa"/>
            <w:gridSpan w:val="6"/>
            <w:tcBorders>
              <w:top w:val="single" w:sz="4" w:space="0" w:color="auto"/>
              <w:left w:val="nil"/>
              <w:bottom w:val="nil"/>
              <w:right w:val="nil"/>
            </w:tcBorders>
            <w:hideMark/>
          </w:tcPr>
          <w:p w14:paraId="7C69F64B" w14:textId="53614ED5" w:rsidR="001955CC" w:rsidRDefault="001955CC" w:rsidP="002B4443">
            <w:pPr>
              <w:pStyle w:val="ARtablegreybold"/>
            </w:pPr>
            <w:r>
              <w:t>Quality</w:t>
            </w:r>
          </w:p>
        </w:tc>
      </w:tr>
      <w:tr w:rsidR="00814857" w14:paraId="2C068537" w14:textId="77777777" w:rsidTr="00894126">
        <w:trPr>
          <w:cantSplit/>
          <w:trHeight w:val="480"/>
        </w:trPr>
        <w:tc>
          <w:tcPr>
            <w:tcW w:w="4764" w:type="dxa"/>
            <w:hideMark/>
          </w:tcPr>
          <w:p w14:paraId="7F65C0F9" w14:textId="77777777" w:rsidR="00814857" w:rsidRDefault="00814857" w:rsidP="00894126">
            <w:pPr>
              <w:pStyle w:val="ARtabletext"/>
            </w:pPr>
            <w:r>
              <w:rPr>
                <w:noProof/>
              </w:rPr>
              <w:t>Percentage of new clients to existing clients</w:t>
            </w:r>
          </w:p>
        </w:tc>
        <w:tc>
          <w:tcPr>
            <w:tcW w:w="1021" w:type="dxa"/>
            <w:hideMark/>
          </w:tcPr>
          <w:p w14:paraId="7DA906FD" w14:textId="77777777" w:rsidR="00814857" w:rsidRDefault="00814857" w:rsidP="00894126">
            <w:pPr>
              <w:pStyle w:val="ARtabletextright"/>
            </w:pPr>
            <w:r>
              <w:rPr>
                <w:noProof/>
              </w:rPr>
              <w:t>per cent</w:t>
            </w:r>
          </w:p>
        </w:tc>
        <w:tc>
          <w:tcPr>
            <w:tcW w:w="1022" w:type="dxa"/>
            <w:hideMark/>
          </w:tcPr>
          <w:p w14:paraId="587E25E6" w14:textId="77777777" w:rsidR="00814857" w:rsidRDefault="00814857" w:rsidP="00894126">
            <w:pPr>
              <w:pStyle w:val="ARtabletextright"/>
            </w:pPr>
            <w:r>
              <w:rPr>
                <w:noProof/>
              </w:rPr>
              <w:t>50</w:t>
            </w:r>
          </w:p>
        </w:tc>
        <w:tc>
          <w:tcPr>
            <w:tcW w:w="1022" w:type="dxa"/>
            <w:hideMark/>
          </w:tcPr>
          <w:p w14:paraId="7A80CA7C" w14:textId="77777777" w:rsidR="00814857" w:rsidRDefault="00814857" w:rsidP="00894126">
            <w:pPr>
              <w:pStyle w:val="ARtabletextright"/>
            </w:pPr>
            <w:r>
              <w:rPr>
                <w:noProof/>
              </w:rPr>
              <w:t>37.7</w:t>
            </w:r>
          </w:p>
        </w:tc>
        <w:tc>
          <w:tcPr>
            <w:tcW w:w="1022" w:type="dxa"/>
            <w:hideMark/>
          </w:tcPr>
          <w:p w14:paraId="39E4E066" w14:textId="77777777" w:rsidR="00814857" w:rsidRDefault="00814857" w:rsidP="00894126">
            <w:pPr>
              <w:pStyle w:val="ARtabletextright"/>
            </w:pPr>
            <w:r>
              <w:rPr>
                <w:noProof/>
              </w:rPr>
              <w:t>-24.6</w:t>
            </w:r>
          </w:p>
        </w:tc>
        <w:tc>
          <w:tcPr>
            <w:tcW w:w="794" w:type="dxa"/>
            <w:hideMark/>
          </w:tcPr>
          <w:p w14:paraId="1C816B85" w14:textId="77777777" w:rsidR="00814857" w:rsidRDefault="00814857" w:rsidP="00894126">
            <w:pPr>
              <w:pStyle w:val="ARtabletextright"/>
            </w:pPr>
            <w:r>
              <w:sym w:font="Wingdings" w:char="F06E"/>
            </w:r>
          </w:p>
        </w:tc>
      </w:tr>
      <w:tr w:rsidR="00814857" w14:paraId="2CB4F2D0" w14:textId="77777777" w:rsidTr="00894126">
        <w:trPr>
          <w:cantSplit/>
          <w:trHeight w:val="240"/>
        </w:trPr>
        <w:tc>
          <w:tcPr>
            <w:tcW w:w="9645" w:type="dxa"/>
            <w:gridSpan w:val="6"/>
            <w:tcBorders>
              <w:top w:val="nil"/>
              <w:left w:val="nil"/>
              <w:bottom w:val="single" w:sz="4" w:space="0" w:color="BFBFBF"/>
              <w:right w:val="nil"/>
            </w:tcBorders>
            <w:noWrap/>
            <w:hideMark/>
          </w:tcPr>
          <w:p w14:paraId="113155CA" w14:textId="77777777" w:rsidR="00814857" w:rsidRPr="00C4606C" w:rsidRDefault="00814857" w:rsidP="00894126">
            <w:pPr>
              <w:pStyle w:val="ARtablenoteindent"/>
              <w:rPr>
                <w:noProof/>
              </w:rPr>
            </w:pPr>
            <w:r w:rsidRPr="005B05CA">
              <w:rPr>
                <w:noProof/>
              </w:rPr>
              <w:t>Preliminary result. The preliminary result is lower than the target due to the continuation of a long-term trend of increasing client complexity. This is due to more clients receiving multiple courses of treatment and having longer lengths of stay. In response, the department is delivering innovative models of care (for example, the dual diagnosis service) to respond to clients with complex needs and to increase capacity for new clients in the system.</w:t>
            </w:r>
          </w:p>
        </w:tc>
      </w:tr>
      <w:tr w:rsidR="00814857" w14:paraId="2164DFD9" w14:textId="77777777" w:rsidTr="00894126">
        <w:trPr>
          <w:cantSplit/>
          <w:trHeight w:val="480"/>
        </w:trPr>
        <w:tc>
          <w:tcPr>
            <w:tcW w:w="4764" w:type="dxa"/>
            <w:hideMark/>
          </w:tcPr>
          <w:p w14:paraId="34D3D387" w14:textId="77777777" w:rsidR="00814857" w:rsidRDefault="00814857" w:rsidP="00894126">
            <w:pPr>
              <w:pStyle w:val="ARtabletext"/>
            </w:pPr>
            <w:r>
              <w:rPr>
                <w:noProof/>
              </w:rPr>
              <w:t>Percentage of residential rehabilitation courses of treatment greater than 65 days</w:t>
            </w:r>
          </w:p>
        </w:tc>
        <w:tc>
          <w:tcPr>
            <w:tcW w:w="1021" w:type="dxa"/>
            <w:hideMark/>
          </w:tcPr>
          <w:p w14:paraId="3D66C433" w14:textId="77777777" w:rsidR="00814857" w:rsidRDefault="00814857" w:rsidP="00894126">
            <w:pPr>
              <w:pStyle w:val="ARtabletextright"/>
            </w:pPr>
            <w:r>
              <w:rPr>
                <w:noProof/>
              </w:rPr>
              <w:t>per cent</w:t>
            </w:r>
          </w:p>
        </w:tc>
        <w:tc>
          <w:tcPr>
            <w:tcW w:w="1022" w:type="dxa"/>
            <w:hideMark/>
          </w:tcPr>
          <w:p w14:paraId="2A81B06B" w14:textId="77777777" w:rsidR="00814857" w:rsidRDefault="00814857" w:rsidP="00894126">
            <w:pPr>
              <w:pStyle w:val="ARtabletextright"/>
            </w:pPr>
            <w:r>
              <w:rPr>
                <w:noProof/>
              </w:rPr>
              <w:t>50</w:t>
            </w:r>
          </w:p>
        </w:tc>
        <w:tc>
          <w:tcPr>
            <w:tcW w:w="1022" w:type="dxa"/>
            <w:hideMark/>
          </w:tcPr>
          <w:p w14:paraId="4C59D52F" w14:textId="77777777" w:rsidR="00814857" w:rsidRDefault="00814857" w:rsidP="00894126">
            <w:pPr>
              <w:pStyle w:val="ARtabletextright"/>
            </w:pPr>
            <w:r>
              <w:rPr>
                <w:noProof/>
              </w:rPr>
              <w:t>33.5</w:t>
            </w:r>
          </w:p>
        </w:tc>
        <w:tc>
          <w:tcPr>
            <w:tcW w:w="1022" w:type="dxa"/>
            <w:hideMark/>
          </w:tcPr>
          <w:p w14:paraId="2D543D86" w14:textId="77777777" w:rsidR="00814857" w:rsidRDefault="00814857" w:rsidP="00894126">
            <w:pPr>
              <w:pStyle w:val="ARtabletextright"/>
            </w:pPr>
            <w:r>
              <w:rPr>
                <w:noProof/>
              </w:rPr>
              <w:t>-33.0</w:t>
            </w:r>
          </w:p>
        </w:tc>
        <w:tc>
          <w:tcPr>
            <w:tcW w:w="794" w:type="dxa"/>
            <w:hideMark/>
          </w:tcPr>
          <w:p w14:paraId="13C9022B" w14:textId="77777777" w:rsidR="00814857" w:rsidRDefault="00814857" w:rsidP="00894126">
            <w:pPr>
              <w:pStyle w:val="ARtabletextright"/>
            </w:pPr>
            <w:r>
              <w:sym w:font="Wingdings" w:char="F06E"/>
            </w:r>
          </w:p>
        </w:tc>
      </w:tr>
      <w:tr w:rsidR="00814857" w14:paraId="46244F69" w14:textId="77777777" w:rsidTr="00894126">
        <w:trPr>
          <w:cantSplit/>
          <w:trHeight w:val="240"/>
        </w:trPr>
        <w:tc>
          <w:tcPr>
            <w:tcW w:w="9645" w:type="dxa"/>
            <w:gridSpan w:val="6"/>
            <w:tcBorders>
              <w:top w:val="nil"/>
              <w:left w:val="nil"/>
              <w:bottom w:val="single" w:sz="4" w:space="0" w:color="BFBFBF"/>
              <w:right w:val="nil"/>
            </w:tcBorders>
            <w:noWrap/>
            <w:hideMark/>
          </w:tcPr>
          <w:p w14:paraId="35EC5276" w14:textId="77777777" w:rsidR="00814857" w:rsidRDefault="00814857" w:rsidP="00894126">
            <w:pPr>
              <w:pStyle w:val="ARtablenoteindent"/>
            </w:pPr>
            <w:r w:rsidRPr="005B05CA">
              <w:rPr>
                <w:noProof/>
              </w:rPr>
              <w:t>Preliminary result</w:t>
            </w:r>
            <w:r>
              <w:rPr>
                <w:noProof/>
              </w:rPr>
              <w:t xml:space="preserve">. </w:t>
            </w:r>
            <w:r w:rsidRPr="005B05CA">
              <w:rPr>
                <w:noProof/>
              </w:rPr>
              <w:t>The preliminary result is lower than the target due to several service providers operating delivery models with shorter courses of treatment. This is a positive result.</w:t>
            </w:r>
          </w:p>
        </w:tc>
      </w:tr>
      <w:tr w:rsidR="00814857" w14:paraId="47DFF001" w14:textId="77777777" w:rsidTr="00894126">
        <w:trPr>
          <w:cantSplit/>
          <w:trHeight w:val="480"/>
        </w:trPr>
        <w:tc>
          <w:tcPr>
            <w:tcW w:w="4764" w:type="dxa"/>
            <w:hideMark/>
          </w:tcPr>
          <w:p w14:paraId="7A07411D" w14:textId="77777777" w:rsidR="00814857" w:rsidRDefault="00814857" w:rsidP="00894126">
            <w:pPr>
              <w:pStyle w:val="ARtabletext"/>
            </w:pPr>
            <w:r>
              <w:rPr>
                <w:noProof/>
              </w:rPr>
              <w:t>Successful courses of treatment (episodes of care): community-based drug treatment services</w:t>
            </w:r>
          </w:p>
        </w:tc>
        <w:tc>
          <w:tcPr>
            <w:tcW w:w="1021" w:type="dxa"/>
            <w:hideMark/>
          </w:tcPr>
          <w:p w14:paraId="0359EACD" w14:textId="77777777" w:rsidR="00814857" w:rsidRDefault="00814857" w:rsidP="00894126">
            <w:pPr>
              <w:pStyle w:val="ARtabletextright"/>
            </w:pPr>
            <w:r>
              <w:rPr>
                <w:noProof/>
              </w:rPr>
              <w:t>number</w:t>
            </w:r>
          </w:p>
        </w:tc>
        <w:tc>
          <w:tcPr>
            <w:tcW w:w="1022" w:type="dxa"/>
            <w:hideMark/>
          </w:tcPr>
          <w:p w14:paraId="2B91784A" w14:textId="77777777" w:rsidR="00814857" w:rsidRDefault="00814857" w:rsidP="00894126">
            <w:pPr>
              <w:pStyle w:val="ARtabletextright"/>
            </w:pPr>
            <w:r>
              <w:rPr>
                <w:noProof/>
              </w:rPr>
              <w:t>6,665</w:t>
            </w:r>
          </w:p>
        </w:tc>
        <w:tc>
          <w:tcPr>
            <w:tcW w:w="1022" w:type="dxa"/>
            <w:hideMark/>
          </w:tcPr>
          <w:p w14:paraId="06C0831B" w14:textId="77777777" w:rsidR="00814857" w:rsidRDefault="00814857" w:rsidP="00894126">
            <w:pPr>
              <w:pStyle w:val="ARtabletextright"/>
            </w:pPr>
            <w:r>
              <w:rPr>
                <w:noProof/>
              </w:rPr>
              <w:t>7,774</w:t>
            </w:r>
          </w:p>
        </w:tc>
        <w:tc>
          <w:tcPr>
            <w:tcW w:w="1022" w:type="dxa"/>
            <w:hideMark/>
          </w:tcPr>
          <w:p w14:paraId="22725C95" w14:textId="77777777" w:rsidR="00814857" w:rsidRDefault="00814857" w:rsidP="00894126">
            <w:pPr>
              <w:pStyle w:val="ARtabletextright"/>
            </w:pPr>
            <w:r>
              <w:rPr>
                <w:noProof/>
              </w:rPr>
              <w:t>16.6</w:t>
            </w:r>
          </w:p>
        </w:tc>
        <w:tc>
          <w:tcPr>
            <w:tcW w:w="794" w:type="dxa"/>
            <w:hideMark/>
          </w:tcPr>
          <w:p w14:paraId="18567555" w14:textId="77777777" w:rsidR="00814857" w:rsidRDefault="00814857" w:rsidP="00894126">
            <w:pPr>
              <w:pStyle w:val="ARtabletextright"/>
            </w:pPr>
            <w:r>
              <w:sym w:font="Wingdings" w:char="F0FC"/>
            </w:r>
          </w:p>
        </w:tc>
      </w:tr>
      <w:tr w:rsidR="00814857" w14:paraId="32CACA4B" w14:textId="77777777" w:rsidTr="007775EC">
        <w:trPr>
          <w:cantSplit/>
          <w:trHeight w:val="629"/>
        </w:trPr>
        <w:tc>
          <w:tcPr>
            <w:tcW w:w="9645" w:type="dxa"/>
            <w:gridSpan w:val="6"/>
            <w:tcBorders>
              <w:top w:val="nil"/>
              <w:left w:val="nil"/>
              <w:bottom w:val="single" w:sz="4" w:space="0" w:color="BFBFBF"/>
              <w:right w:val="nil"/>
            </w:tcBorders>
            <w:noWrap/>
            <w:hideMark/>
          </w:tcPr>
          <w:p w14:paraId="7507440E" w14:textId="3FA48F2D" w:rsidR="00814857" w:rsidRDefault="00814857" w:rsidP="00894126">
            <w:pPr>
              <w:pStyle w:val="ARtablenoteindent"/>
            </w:pPr>
            <w:r w:rsidRPr="005B05CA">
              <w:rPr>
                <w:noProof/>
              </w:rPr>
              <w:t>Preliminary result. The preliminary result is higher than the target, which reflects investment into community-based drug treatment services in recent years, particularly into youth services. This result is consistent with the Commenced courses of treatment: community-based drug treatment services measure. This is a positive result.</w:t>
            </w:r>
          </w:p>
        </w:tc>
      </w:tr>
      <w:tr w:rsidR="00814857" w14:paraId="598E95B5" w14:textId="77777777" w:rsidTr="00894126">
        <w:trPr>
          <w:cantSplit/>
          <w:trHeight w:val="480"/>
        </w:trPr>
        <w:tc>
          <w:tcPr>
            <w:tcW w:w="4764" w:type="dxa"/>
            <w:hideMark/>
          </w:tcPr>
          <w:p w14:paraId="28BF66CE" w14:textId="77777777" w:rsidR="00814857" w:rsidRDefault="00814857" w:rsidP="001955CC">
            <w:pPr>
              <w:pStyle w:val="ARtabletext"/>
              <w:keepNext/>
            </w:pPr>
            <w:r>
              <w:rPr>
                <w:noProof/>
              </w:rPr>
              <w:lastRenderedPageBreak/>
              <w:t>Successful courses of treatment (episodes of care): residential-based drug treatment services</w:t>
            </w:r>
          </w:p>
        </w:tc>
        <w:tc>
          <w:tcPr>
            <w:tcW w:w="1021" w:type="dxa"/>
            <w:hideMark/>
          </w:tcPr>
          <w:p w14:paraId="51D7B238" w14:textId="77777777" w:rsidR="00814857" w:rsidRDefault="00814857" w:rsidP="00894126">
            <w:pPr>
              <w:pStyle w:val="ARtabletextright"/>
            </w:pPr>
            <w:r>
              <w:rPr>
                <w:noProof/>
              </w:rPr>
              <w:t>number</w:t>
            </w:r>
          </w:p>
        </w:tc>
        <w:tc>
          <w:tcPr>
            <w:tcW w:w="1022" w:type="dxa"/>
            <w:hideMark/>
          </w:tcPr>
          <w:p w14:paraId="5ADCEFD3" w14:textId="77777777" w:rsidR="00814857" w:rsidRDefault="00814857" w:rsidP="00894126">
            <w:pPr>
              <w:pStyle w:val="ARtabletextright"/>
            </w:pPr>
            <w:r>
              <w:rPr>
                <w:noProof/>
              </w:rPr>
              <w:t>6,133</w:t>
            </w:r>
          </w:p>
        </w:tc>
        <w:tc>
          <w:tcPr>
            <w:tcW w:w="1022" w:type="dxa"/>
            <w:hideMark/>
          </w:tcPr>
          <w:p w14:paraId="68E9578D" w14:textId="77777777" w:rsidR="00814857" w:rsidRDefault="00814857" w:rsidP="00894126">
            <w:pPr>
              <w:pStyle w:val="ARtabletextright"/>
            </w:pPr>
            <w:r>
              <w:rPr>
                <w:noProof/>
              </w:rPr>
              <w:t>4,536</w:t>
            </w:r>
          </w:p>
        </w:tc>
        <w:tc>
          <w:tcPr>
            <w:tcW w:w="1022" w:type="dxa"/>
            <w:hideMark/>
          </w:tcPr>
          <w:p w14:paraId="5AD0BD9F" w14:textId="77777777" w:rsidR="00814857" w:rsidRDefault="00814857" w:rsidP="00894126">
            <w:pPr>
              <w:pStyle w:val="ARtabletextright"/>
            </w:pPr>
            <w:r>
              <w:rPr>
                <w:noProof/>
              </w:rPr>
              <w:t>-26.0</w:t>
            </w:r>
          </w:p>
        </w:tc>
        <w:tc>
          <w:tcPr>
            <w:tcW w:w="794" w:type="dxa"/>
            <w:hideMark/>
          </w:tcPr>
          <w:p w14:paraId="15077134" w14:textId="77777777" w:rsidR="00814857" w:rsidRDefault="00814857" w:rsidP="00894126">
            <w:pPr>
              <w:pStyle w:val="ARtabletextright"/>
            </w:pPr>
            <w:r>
              <w:sym w:font="Wingdings" w:char="F06E"/>
            </w:r>
          </w:p>
        </w:tc>
      </w:tr>
      <w:tr w:rsidR="00814857" w14:paraId="26BB7498" w14:textId="77777777" w:rsidTr="00894126">
        <w:trPr>
          <w:cantSplit/>
          <w:trHeight w:val="240"/>
        </w:trPr>
        <w:tc>
          <w:tcPr>
            <w:tcW w:w="9645" w:type="dxa"/>
            <w:gridSpan w:val="6"/>
            <w:tcBorders>
              <w:top w:val="nil"/>
              <w:left w:val="nil"/>
              <w:bottom w:val="single" w:sz="4" w:space="0" w:color="BFBFBF"/>
              <w:right w:val="nil"/>
            </w:tcBorders>
            <w:noWrap/>
            <w:hideMark/>
          </w:tcPr>
          <w:p w14:paraId="4E1214F9" w14:textId="77777777" w:rsidR="00814857" w:rsidRDefault="00814857" w:rsidP="00894126">
            <w:pPr>
              <w:pStyle w:val="ARtablenoteindent"/>
              <w:rPr>
                <w:noProof/>
              </w:rPr>
            </w:pPr>
            <w:r w:rsidRPr="005B05CA">
              <w:rPr>
                <w:noProof/>
              </w:rPr>
              <w:t>The preliminary result is lower than the target but is expected to lift in 2019</w:t>
            </w:r>
            <w:r>
              <w:rPr>
                <w:noProof/>
              </w:rPr>
              <w:t>–</w:t>
            </w:r>
            <w:r w:rsidRPr="005B05CA">
              <w:rPr>
                <w:noProof/>
              </w:rPr>
              <w:t>20 as providers fully transition to the new Victorian Alcohol and Drug Collection.</w:t>
            </w:r>
          </w:p>
        </w:tc>
      </w:tr>
      <w:tr w:rsidR="001955CC" w14:paraId="0BBF1260" w14:textId="77777777" w:rsidTr="00A05EB7">
        <w:trPr>
          <w:cantSplit/>
          <w:trHeight w:val="240"/>
        </w:trPr>
        <w:tc>
          <w:tcPr>
            <w:tcW w:w="9645" w:type="dxa"/>
            <w:gridSpan w:val="6"/>
            <w:tcBorders>
              <w:top w:val="single" w:sz="4" w:space="0" w:color="auto"/>
              <w:left w:val="nil"/>
              <w:bottom w:val="nil"/>
              <w:right w:val="nil"/>
            </w:tcBorders>
            <w:hideMark/>
          </w:tcPr>
          <w:p w14:paraId="1D4218D3" w14:textId="25A4A90C" w:rsidR="001955CC" w:rsidRDefault="001955CC" w:rsidP="002B4443">
            <w:pPr>
              <w:pStyle w:val="ARtablegreybold"/>
            </w:pPr>
            <w:r>
              <w:t>Timeliness</w:t>
            </w:r>
          </w:p>
        </w:tc>
      </w:tr>
      <w:tr w:rsidR="00814857" w14:paraId="5EF87EA7" w14:textId="77777777" w:rsidTr="00894126">
        <w:trPr>
          <w:cantSplit/>
          <w:trHeight w:val="480"/>
        </w:trPr>
        <w:tc>
          <w:tcPr>
            <w:tcW w:w="4764" w:type="dxa"/>
            <w:hideMark/>
          </w:tcPr>
          <w:p w14:paraId="3C30976F" w14:textId="77777777" w:rsidR="00814857" w:rsidRDefault="00814857" w:rsidP="00894126">
            <w:pPr>
              <w:pStyle w:val="ARtabletext"/>
            </w:pPr>
            <w:r>
              <w:rPr>
                <w:noProof/>
              </w:rPr>
              <w:t>Average working days between screening of client and commencement of community-based drug treatment</w:t>
            </w:r>
          </w:p>
        </w:tc>
        <w:tc>
          <w:tcPr>
            <w:tcW w:w="1021" w:type="dxa"/>
            <w:hideMark/>
          </w:tcPr>
          <w:p w14:paraId="2F2E5DC2" w14:textId="77777777" w:rsidR="00814857" w:rsidRDefault="00814857" w:rsidP="00894126">
            <w:pPr>
              <w:pStyle w:val="ARtabletextright"/>
            </w:pPr>
            <w:r>
              <w:rPr>
                <w:noProof/>
              </w:rPr>
              <w:t>days</w:t>
            </w:r>
          </w:p>
        </w:tc>
        <w:tc>
          <w:tcPr>
            <w:tcW w:w="1022" w:type="dxa"/>
            <w:hideMark/>
          </w:tcPr>
          <w:p w14:paraId="20CFAC8D" w14:textId="77777777" w:rsidR="00814857" w:rsidRDefault="00814857" w:rsidP="00894126">
            <w:pPr>
              <w:pStyle w:val="ARtabletextright"/>
            </w:pPr>
            <w:r>
              <w:rPr>
                <w:noProof/>
              </w:rPr>
              <w:t>3</w:t>
            </w:r>
          </w:p>
        </w:tc>
        <w:tc>
          <w:tcPr>
            <w:tcW w:w="1022" w:type="dxa"/>
            <w:hideMark/>
          </w:tcPr>
          <w:p w14:paraId="5A1B653A" w14:textId="77777777" w:rsidR="00814857" w:rsidRDefault="00814857" w:rsidP="00894126">
            <w:pPr>
              <w:pStyle w:val="ARtabletextright"/>
            </w:pPr>
            <w:r>
              <w:rPr>
                <w:noProof/>
              </w:rPr>
              <w:t>0.06</w:t>
            </w:r>
          </w:p>
        </w:tc>
        <w:tc>
          <w:tcPr>
            <w:tcW w:w="1022" w:type="dxa"/>
            <w:hideMark/>
          </w:tcPr>
          <w:p w14:paraId="68075143" w14:textId="77777777" w:rsidR="00814857" w:rsidRDefault="00814857" w:rsidP="00894126">
            <w:pPr>
              <w:pStyle w:val="ARtabletextright"/>
            </w:pPr>
            <w:r>
              <w:rPr>
                <w:noProof/>
              </w:rPr>
              <w:t>-98.0</w:t>
            </w:r>
          </w:p>
        </w:tc>
        <w:tc>
          <w:tcPr>
            <w:tcW w:w="794" w:type="dxa"/>
            <w:hideMark/>
          </w:tcPr>
          <w:p w14:paraId="7BC56675" w14:textId="77777777" w:rsidR="00814857" w:rsidRDefault="00814857" w:rsidP="00894126">
            <w:pPr>
              <w:pStyle w:val="ARtabletextright"/>
            </w:pPr>
            <w:r>
              <w:sym w:font="Wingdings" w:char="F0FC"/>
            </w:r>
          </w:p>
        </w:tc>
      </w:tr>
      <w:tr w:rsidR="00814857" w14:paraId="220C7AD4" w14:textId="77777777" w:rsidTr="00894126">
        <w:trPr>
          <w:cantSplit/>
          <w:trHeight w:val="240"/>
        </w:trPr>
        <w:tc>
          <w:tcPr>
            <w:tcW w:w="9645" w:type="dxa"/>
            <w:gridSpan w:val="6"/>
            <w:tcBorders>
              <w:top w:val="nil"/>
              <w:left w:val="nil"/>
              <w:bottom w:val="single" w:sz="4" w:space="0" w:color="BFBFBF"/>
              <w:right w:val="nil"/>
            </w:tcBorders>
            <w:noWrap/>
            <w:hideMark/>
          </w:tcPr>
          <w:p w14:paraId="7E1FB916" w14:textId="77777777" w:rsidR="00814857" w:rsidRDefault="00814857" w:rsidP="00894126">
            <w:pPr>
              <w:pStyle w:val="ARtablenoteindent"/>
            </w:pPr>
            <w:r w:rsidRPr="005B05CA">
              <w:rPr>
                <w:noProof/>
              </w:rPr>
              <w:t>Preliminary result. The preliminary result is lower than the target but is expected to lift in 2019</w:t>
            </w:r>
            <w:r>
              <w:rPr>
                <w:noProof/>
              </w:rPr>
              <w:t>–</w:t>
            </w:r>
            <w:r w:rsidRPr="005B05CA">
              <w:rPr>
                <w:noProof/>
              </w:rPr>
              <w:t>20 as providers fully transition to the new Victorian Alcohol and Drug Collection.</w:t>
            </w:r>
            <w:r>
              <w:rPr>
                <w:noProof/>
              </w:rPr>
              <w:t xml:space="preserve"> This is a positive result.</w:t>
            </w:r>
          </w:p>
        </w:tc>
      </w:tr>
      <w:tr w:rsidR="00814857" w14:paraId="25CA4A5B" w14:textId="77777777" w:rsidTr="00894126">
        <w:trPr>
          <w:cantSplit/>
          <w:trHeight w:val="480"/>
        </w:trPr>
        <w:tc>
          <w:tcPr>
            <w:tcW w:w="4764" w:type="dxa"/>
            <w:hideMark/>
          </w:tcPr>
          <w:p w14:paraId="53D0D7FA" w14:textId="77777777" w:rsidR="00814857" w:rsidRDefault="00814857" w:rsidP="00894126">
            <w:pPr>
              <w:pStyle w:val="ARtabletext"/>
            </w:pPr>
            <w:r>
              <w:rPr>
                <w:noProof/>
              </w:rPr>
              <w:t>Average working days between screening of client and commencement of residential-based drug treatment</w:t>
            </w:r>
          </w:p>
        </w:tc>
        <w:tc>
          <w:tcPr>
            <w:tcW w:w="1021" w:type="dxa"/>
            <w:hideMark/>
          </w:tcPr>
          <w:p w14:paraId="0DFA7E2C" w14:textId="77777777" w:rsidR="00814857" w:rsidRDefault="00814857" w:rsidP="00894126">
            <w:pPr>
              <w:pStyle w:val="ARtabletextright"/>
            </w:pPr>
            <w:r>
              <w:rPr>
                <w:noProof/>
              </w:rPr>
              <w:t>days</w:t>
            </w:r>
          </w:p>
        </w:tc>
        <w:tc>
          <w:tcPr>
            <w:tcW w:w="1022" w:type="dxa"/>
            <w:hideMark/>
          </w:tcPr>
          <w:p w14:paraId="5DC7041F" w14:textId="77777777" w:rsidR="00814857" w:rsidRDefault="00814857" w:rsidP="00894126">
            <w:pPr>
              <w:pStyle w:val="ARtabletextright"/>
            </w:pPr>
            <w:r>
              <w:rPr>
                <w:noProof/>
              </w:rPr>
              <w:t>6</w:t>
            </w:r>
          </w:p>
        </w:tc>
        <w:tc>
          <w:tcPr>
            <w:tcW w:w="1022" w:type="dxa"/>
            <w:hideMark/>
          </w:tcPr>
          <w:p w14:paraId="36F6048F" w14:textId="77777777" w:rsidR="00814857" w:rsidRDefault="00814857" w:rsidP="00894126">
            <w:pPr>
              <w:pStyle w:val="ARtabletextright"/>
            </w:pPr>
            <w:r>
              <w:rPr>
                <w:noProof/>
              </w:rPr>
              <w:t>5.95</w:t>
            </w:r>
          </w:p>
        </w:tc>
        <w:tc>
          <w:tcPr>
            <w:tcW w:w="1022" w:type="dxa"/>
            <w:hideMark/>
          </w:tcPr>
          <w:p w14:paraId="1719BFFD" w14:textId="77777777" w:rsidR="00814857" w:rsidRDefault="00814857" w:rsidP="00894126">
            <w:pPr>
              <w:pStyle w:val="ARtabletextright"/>
            </w:pPr>
            <w:r>
              <w:rPr>
                <w:noProof/>
              </w:rPr>
              <w:t>-0.8</w:t>
            </w:r>
          </w:p>
        </w:tc>
        <w:tc>
          <w:tcPr>
            <w:tcW w:w="794" w:type="dxa"/>
            <w:hideMark/>
          </w:tcPr>
          <w:p w14:paraId="51E6FED0" w14:textId="77777777" w:rsidR="00814857" w:rsidRDefault="00814857" w:rsidP="00894126">
            <w:pPr>
              <w:pStyle w:val="ARtabletextright"/>
            </w:pPr>
            <w:r>
              <w:sym w:font="Wingdings" w:char="F0FC"/>
            </w:r>
          </w:p>
        </w:tc>
      </w:tr>
      <w:tr w:rsidR="00814857" w14:paraId="18540147" w14:textId="77777777" w:rsidTr="00894126">
        <w:trPr>
          <w:cantSplit/>
          <w:trHeight w:val="240"/>
        </w:trPr>
        <w:tc>
          <w:tcPr>
            <w:tcW w:w="9645" w:type="dxa"/>
            <w:gridSpan w:val="6"/>
            <w:tcBorders>
              <w:top w:val="nil"/>
              <w:left w:val="nil"/>
              <w:bottom w:val="single" w:sz="4" w:space="0" w:color="BFBFBF"/>
              <w:right w:val="nil"/>
            </w:tcBorders>
            <w:noWrap/>
            <w:hideMark/>
          </w:tcPr>
          <w:p w14:paraId="5C9341E6" w14:textId="77777777" w:rsidR="00814857" w:rsidRDefault="00814857" w:rsidP="00894126">
            <w:pPr>
              <w:pStyle w:val="ARtablenoteindent"/>
            </w:pPr>
            <w:r w:rsidRPr="005B05CA">
              <w:rPr>
                <w:noProof/>
              </w:rPr>
              <w:t>Preliminary result. The preliminary result is lower than the target but is expected to lift in 2019</w:t>
            </w:r>
            <w:r>
              <w:rPr>
                <w:noProof/>
              </w:rPr>
              <w:t>–</w:t>
            </w:r>
            <w:r w:rsidRPr="005B05CA">
              <w:rPr>
                <w:noProof/>
              </w:rPr>
              <w:t>20 as providers fully transition to the new Victorian Alcohol and Drug Collection.</w:t>
            </w:r>
            <w:r>
              <w:rPr>
                <w:noProof/>
              </w:rPr>
              <w:t xml:space="preserve"> This is a positive result.</w:t>
            </w:r>
          </w:p>
        </w:tc>
      </w:tr>
      <w:tr w:rsidR="001955CC" w14:paraId="02521F64" w14:textId="77777777" w:rsidTr="00A05EB7">
        <w:trPr>
          <w:cantSplit/>
          <w:trHeight w:val="240"/>
        </w:trPr>
        <w:tc>
          <w:tcPr>
            <w:tcW w:w="9645" w:type="dxa"/>
            <w:gridSpan w:val="6"/>
            <w:tcBorders>
              <w:top w:val="single" w:sz="4" w:space="0" w:color="auto"/>
              <w:left w:val="nil"/>
              <w:bottom w:val="nil"/>
              <w:right w:val="nil"/>
            </w:tcBorders>
            <w:hideMark/>
          </w:tcPr>
          <w:p w14:paraId="3C9D8708" w14:textId="334BDF3E" w:rsidR="001955CC" w:rsidRDefault="001955CC" w:rsidP="002B4443">
            <w:pPr>
              <w:pStyle w:val="ARtablegreybold"/>
            </w:pPr>
            <w:bookmarkStart w:id="61" w:name="_Hlk21519306"/>
            <w:r>
              <w:t>Cost</w:t>
            </w:r>
          </w:p>
        </w:tc>
      </w:tr>
      <w:tr w:rsidR="00814857" w14:paraId="31A41D62" w14:textId="77777777" w:rsidTr="001955CC">
        <w:trPr>
          <w:cantSplit/>
          <w:trHeight w:val="480"/>
        </w:trPr>
        <w:tc>
          <w:tcPr>
            <w:tcW w:w="4764" w:type="dxa"/>
            <w:hideMark/>
          </w:tcPr>
          <w:p w14:paraId="238AFEDF" w14:textId="77777777" w:rsidR="00814857" w:rsidRPr="004305B0" w:rsidRDefault="00814857" w:rsidP="00894126">
            <w:pPr>
              <w:pStyle w:val="ARtabletext"/>
              <w:rPr>
                <w:b/>
              </w:rPr>
            </w:pPr>
            <w:r w:rsidRPr="004305B0">
              <w:rPr>
                <w:b/>
                <w:noProof/>
              </w:rPr>
              <w:t xml:space="preserve">Total </w:t>
            </w:r>
            <w:r>
              <w:rPr>
                <w:b/>
                <w:noProof/>
              </w:rPr>
              <w:t>o</w:t>
            </w:r>
            <w:r w:rsidRPr="004305B0">
              <w:rPr>
                <w:b/>
                <w:noProof/>
              </w:rPr>
              <w:t xml:space="preserve">utput </w:t>
            </w:r>
            <w:r>
              <w:rPr>
                <w:b/>
                <w:noProof/>
              </w:rPr>
              <w:t>c</w:t>
            </w:r>
            <w:r w:rsidRPr="004305B0">
              <w:rPr>
                <w:b/>
                <w:noProof/>
              </w:rPr>
              <w:t>ost</w:t>
            </w:r>
          </w:p>
        </w:tc>
        <w:tc>
          <w:tcPr>
            <w:tcW w:w="1021" w:type="dxa"/>
            <w:hideMark/>
          </w:tcPr>
          <w:p w14:paraId="266065B1" w14:textId="77777777" w:rsidR="00814857" w:rsidRPr="004305B0" w:rsidRDefault="00814857" w:rsidP="00894126">
            <w:pPr>
              <w:pStyle w:val="ARtabletextright"/>
              <w:rPr>
                <w:b/>
                <w:noProof/>
              </w:rPr>
            </w:pPr>
            <w:r w:rsidRPr="004305B0">
              <w:rPr>
                <w:b/>
                <w:noProof/>
              </w:rPr>
              <w:t>$ million</w:t>
            </w:r>
          </w:p>
        </w:tc>
        <w:tc>
          <w:tcPr>
            <w:tcW w:w="1022" w:type="dxa"/>
            <w:hideMark/>
          </w:tcPr>
          <w:p w14:paraId="5B29F604" w14:textId="77777777" w:rsidR="00814857" w:rsidRPr="004305B0" w:rsidRDefault="00814857" w:rsidP="00894126">
            <w:pPr>
              <w:pStyle w:val="ARtabletextright"/>
              <w:rPr>
                <w:b/>
                <w:noProof/>
              </w:rPr>
            </w:pPr>
            <w:r w:rsidRPr="004305B0">
              <w:rPr>
                <w:b/>
                <w:noProof/>
              </w:rPr>
              <w:t>220.8</w:t>
            </w:r>
          </w:p>
        </w:tc>
        <w:tc>
          <w:tcPr>
            <w:tcW w:w="1022" w:type="dxa"/>
            <w:hideMark/>
          </w:tcPr>
          <w:p w14:paraId="73CFD290" w14:textId="77777777" w:rsidR="00814857" w:rsidRPr="004305B0" w:rsidRDefault="00814857" w:rsidP="00894126">
            <w:pPr>
              <w:pStyle w:val="ARtabletextright"/>
              <w:rPr>
                <w:b/>
                <w:noProof/>
              </w:rPr>
            </w:pPr>
            <w:r w:rsidRPr="004305B0">
              <w:rPr>
                <w:b/>
                <w:noProof/>
              </w:rPr>
              <w:t>230.2</w:t>
            </w:r>
          </w:p>
        </w:tc>
        <w:tc>
          <w:tcPr>
            <w:tcW w:w="1022" w:type="dxa"/>
            <w:hideMark/>
          </w:tcPr>
          <w:p w14:paraId="06CDD9B9" w14:textId="77777777" w:rsidR="00814857" w:rsidRPr="004305B0" w:rsidRDefault="00814857" w:rsidP="00894126">
            <w:pPr>
              <w:pStyle w:val="ARtabletextright"/>
              <w:rPr>
                <w:b/>
                <w:noProof/>
              </w:rPr>
            </w:pPr>
            <w:r w:rsidRPr="004305B0">
              <w:rPr>
                <w:b/>
                <w:noProof/>
              </w:rPr>
              <w:t>4.3</w:t>
            </w:r>
          </w:p>
        </w:tc>
        <w:tc>
          <w:tcPr>
            <w:tcW w:w="794" w:type="dxa"/>
            <w:hideMark/>
          </w:tcPr>
          <w:p w14:paraId="222647FB" w14:textId="77777777" w:rsidR="00814857" w:rsidRPr="002B4443" w:rsidRDefault="00814857" w:rsidP="002B4443">
            <w:pPr>
              <w:pStyle w:val="ARtabletextright"/>
              <w:rPr>
                <w:b/>
                <w:noProof/>
              </w:rPr>
            </w:pPr>
          </w:p>
        </w:tc>
      </w:tr>
      <w:tr w:rsidR="00814857" w14:paraId="50848D0D" w14:textId="77777777" w:rsidTr="001955CC">
        <w:trPr>
          <w:cantSplit/>
          <w:trHeight w:val="240"/>
        </w:trPr>
        <w:tc>
          <w:tcPr>
            <w:tcW w:w="9645" w:type="dxa"/>
            <w:gridSpan w:val="6"/>
            <w:tcBorders>
              <w:top w:val="nil"/>
              <w:left w:val="nil"/>
              <w:bottom w:val="single" w:sz="4" w:space="0" w:color="auto"/>
              <w:right w:val="nil"/>
            </w:tcBorders>
            <w:noWrap/>
            <w:hideMark/>
          </w:tcPr>
          <w:p w14:paraId="00081119" w14:textId="77777777" w:rsidR="00814857" w:rsidRDefault="00814857" w:rsidP="00894126">
            <w:pPr>
              <w:pStyle w:val="ARtablenoteindent"/>
            </w:pPr>
            <w:r>
              <w:rPr>
                <w:noProof/>
              </w:rPr>
              <w:t>The 2018–19 actual outcome primarily reflects increases in Victorian Government policy initiatives.</w:t>
            </w:r>
          </w:p>
        </w:tc>
      </w:tr>
    </w:tbl>
    <w:p w14:paraId="08240292" w14:textId="77777777" w:rsidR="00814857" w:rsidRDefault="00814857" w:rsidP="002909DA">
      <w:pPr>
        <w:pStyle w:val="Heading2"/>
      </w:pPr>
      <w:bookmarkStart w:id="62" w:name="_Toc18954478"/>
      <w:bookmarkStart w:id="63" w:name="_Toc18955080"/>
      <w:bookmarkEnd w:id="61"/>
      <w:r>
        <w:t>Mental Health</w:t>
      </w:r>
      <w:bookmarkEnd w:id="62"/>
      <w:bookmarkEnd w:id="63"/>
    </w:p>
    <w:p w14:paraId="688349CB" w14:textId="77777777" w:rsidR="00814857" w:rsidRPr="00030BBE" w:rsidRDefault="00814857" w:rsidP="002B4443">
      <w:pPr>
        <w:pStyle w:val="ARbody"/>
      </w:pPr>
      <w:r>
        <w:t>This output includes the provision of a range of inpatient, community-based residential and ambulatory services that target and support people with a mental illness and their families and carers, identifying mental illness early, and seek to reduce its impact through providing timely acute care services and appropriate longer-term accommodation and support for those living with a mental illness.</w:t>
      </w:r>
    </w:p>
    <w:tbl>
      <w:tblPr>
        <w:tblW w:w="9645" w:type="dxa"/>
        <w:tblLayout w:type="fixed"/>
        <w:tblCellMar>
          <w:left w:w="0" w:type="dxa"/>
        </w:tblCellMar>
        <w:tblLook w:val="04A0" w:firstRow="1" w:lastRow="0" w:firstColumn="1" w:lastColumn="0" w:noHBand="0" w:noVBand="1"/>
      </w:tblPr>
      <w:tblGrid>
        <w:gridCol w:w="4764"/>
        <w:gridCol w:w="1021"/>
        <w:gridCol w:w="1022"/>
        <w:gridCol w:w="1022"/>
        <w:gridCol w:w="1022"/>
        <w:gridCol w:w="794"/>
      </w:tblGrid>
      <w:tr w:rsidR="00814857" w14:paraId="5F14CC14" w14:textId="77777777" w:rsidTr="00894126">
        <w:trPr>
          <w:cantSplit/>
          <w:trHeight w:val="480"/>
          <w:tblHeader/>
        </w:trPr>
        <w:tc>
          <w:tcPr>
            <w:tcW w:w="4764" w:type="dxa"/>
            <w:tcBorders>
              <w:top w:val="nil"/>
              <w:left w:val="nil"/>
              <w:bottom w:val="single" w:sz="4" w:space="0" w:color="auto"/>
              <w:right w:val="nil"/>
            </w:tcBorders>
            <w:vAlign w:val="bottom"/>
            <w:hideMark/>
          </w:tcPr>
          <w:p w14:paraId="0FB2D7C7" w14:textId="77777777" w:rsidR="00814857" w:rsidRDefault="00814857" w:rsidP="00894126">
            <w:pPr>
              <w:pStyle w:val="ARtablecolhead"/>
            </w:pPr>
            <w:r>
              <w:t>Performance measures</w:t>
            </w:r>
          </w:p>
        </w:tc>
        <w:tc>
          <w:tcPr>
            <w:tcW w:w="1021" w:type="dxa"/>
            <w:tcBorders>
              <w:top w:val="nil"/>
              <w:left w:val="nil"/>
              <w:bottom w:val="single" w:sz="4" w:space="0" w:color="auto"/>
              <w:right w:val="nil"/>
            </w:tcBorders>
            <w:vAlign w:val="bottom"/>
            <w:hideMark/>
          </w:tcPr>
          <w:p w14:paraId="5B0C9767" w14:textId="77777777" w:rsidR="00814857" w:rsidRDefault="00814857" w:rsidP="00894126">
            <w:pPr>
              <w:pStyle w:val="ARtablecolheadright"/>
            </w:pPr>
            <w:r>
              <w:t>Unit of measure</w:t>
            </w:r>
          </w:p>
        </w:tc>
        <w:tc>
          <w:tcPr>
            <w:tcW w:w="1022" w:type="dxa"/>
            <w:tcBorders>
              <w:top w:val="nil"/>
              <w:left w:val="nil"/>
              <w:bottom w:val="single" w:sz="4" w:space="0" w:color="auto"/>
              <w:right w:val="nil"/>
            </w:tcBorders>
            <w:vAlign w:val="bottom"/>
            <w:hideMark/>
          </w:tcPr>
          <w:p w14:paraId="0D192768" w14:textId="77777777" w:rsidR="00814857" w:rsidRDefault="00814857" w:rsidP="00894126">
            <w:pPr>
              <w:pStyle w:val="ARtablecolheadright"/>
            </w:pPr>
            <w:r>
              <w:t>2018–19 target</w:t>
            </w:r>
          </w:p>
        </w:tc>
        <w:tc>
          <w:tcPr>
            <w:tcW w:w="1022" w:type="dxa"/>
            <w:tcBorders>
              <w:top w:val="nil"/>
              <w:left w:val="nil"/>
              <w:bottom w:val="single" w:sz="4" w:space="0" w:color="auto"/>
              <w:right w:val="nil"/>
            </w:tcBorders>
            <w:vAlign w:val="bottom"/>
            <w:hideMark/>
          </w:tcPr>
          <w:p w14:paraId="19098438" w14:textId="77777777" w:rsidR="00814857" w:rsidRDefault="00814857" w:rsidP="00894126">
            <w:pPr>
              <w:pStyle w:val="ARtablecolheadright"/>
            </w:pPr>
            <w:r>
              <w:t>2018–19 actual</w:t>
            </w:r>
          </w:p>
        </w:tc>
        <w:tc>
          <w:tcPr>
            <w:tcW w:w="1022" w:type="dxa"/>
            <w:tcBorders>
              <w:top w:val="nil"/>
              <w:left w:val="nil"/>
              <w:bottom w:val="single" w:sz="4" w:space="0" w:color="auto"/>
              <w:right w:val="nil"/>
            </w:tcBorders>
            <w:vAlign w:val="bottom"/>
            <w:hideMark/>
          </w:tcPr>
          <w:p w14:paraId="1D221E1B" w14:textId="77777777" w:rsidR="00814857" w:rsidRDefault="00814857" w:rsidP="00894126">
            <w:pPr>
              <w:pStyle w:val="ARtablecolheadright"/>
            </w:pPr>
            <w:r>
              <w:t>Variation (%)</w:t>
            </w:r>
          </w:p>
        </w:tc>
        <w:tc>
          <w:tcPr>
            <w:tcW w:w="794" w:type="dxa"/>
            <w:tcBorders>
              <w:top w:val="nil"/>
              <w:left w:val="nil"/>
              <w:bottom w:val="single" w:sz="4" w:space="0" w:color="auto"/>
              <w:right w:val="nil"/>
            </w:tcBorders>
            <w:vAlign w:val="bottom"/>
            <w:hideMark/>
          </w:tcPr>
          <w:p w14:paraId="40E9A968" w14:textId="77777777" w:rsidR="00814857" w:rsidRDefault="00814857" w:rsidP="00894126">
            <w:pPr>
              <w:pStyle w:val="ARtablecolheadright"/>
            </w:pPr>
            <w:r>
              <w:t>Result</w:t>
            </w:r>
          </w:p>
        </w:tc>
      </w:tr>
      <w:tr w:rsidR="001955CC" w14:paraId="0D019C5F"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3EB3A65A" w14:textId="74A75D14" w:rsidR="001955CC" w:rsidRPr="002B4443" w:rsidRDefault="001955CC" w:rsidP="001955CC">
            <w:pPr>
              <w:pStyle w:val="ARtablebluebold"/>
            </w:pPr>
            <w:r>
              <w:t>Clinical Care</w:t>
            </w:r>
          </w:p>
        </w:tc>
      </w:tr>
      <w:tr w:rsidR="001955CC" w14:paraId="2E641F3E" w14:textId="77777777" w:rsidTr="00A05EB7">
        <w:trPr>
          <w:cantSplit/>
          <w:trHeight w:val="240"/>
        </w:trPr>
        <w:tc>
          <w:tcPr>
            <w:tcW w:w="9645" w:type="dxa"/>
            <w:gridSpan w:val="6"/>
            <w:tcBorders>
              <w:top w:val="single" w:sz="4" w:space="0" w:color="auto"/>
              <w:left w:val="nil"/>
              <w:bottom w:val="nil"/>
              <w:right w:val="nil"/>
            </w:tcBorders>
            <w:hideMark/>
          </w:tcPr>
          <w:p w14:paraId="0602A442" w14:textId="7C3CE58D" w:rsidR="001955CC" w:rsidRDefault="001955CC" w:rsidP="002B4443">
            <w:pPr>
              <w:pStyle w:val="ARtablegreybold"/>
            </w:pPr>
            <w:r>
              <w:t>Quantity</w:t>
            </w:r>
          </w:p>
        </w:tc>
      </w:tr>
      <w:tr w:rsidR="00814857" w14:paraId="14956F75" w14:textId="77777777" w:rsidTr="00894126">
        <w:trPr>
          <w:cantSplit/>
          <w:trHeight w:val="480"/>
        </w:trPr>
        <w:tc>
          <w:tcPr>
            <w:tcW w:w="4764" w:type="dxa"/>
            <w:hideMark/>
          </w:tcPr>
          <w:p w14:paraId="520F47E4" w14:textId="77777777" w:rsidR="00814857" w:rsidRDefault="00814857" w:rsidP="00894126">
            <w:pPr>
              <w:pStyle w:val="ARtabletext"/>
            </w:pPr>
            <w:r>
              <w:rPr>
                <w:noProof/>
              </w:rPr>
              <w:t>Clinical inpatient separations</w:t>
            </w:r>
          </w:p>
        </w:tc>
        <w:tc>
          <w:tcPr>
            <w:tcW w:w="1021" w:type="dxa"/>
            <w:hideMark/>
          </w:tcPr>
          <w:p w14:paraId="2F45E2C6" w14:textId="77777777" w:rsidR="00814857" w:rsidRDefault="00814857" w:rsidP="00894126">
            <w:pPr>
              <w:pStyle w:val="ARtabletextright"/>
            </w:pPr>
            <w:r>
              <w:rPr>
                <w:noProof/>
              </w:rPr>
              <w:t>number</w:t>
            </w:r>
          </w:p>
        </w:tc>
        <w:tc>
          <w:tcPr>
            <w:tcW w:w="1022" w:type="dxa"/>
            <w:hideMark/>
          </w:tcPr>
          <w:p w14:paraId="2719A3D1" w14:textId="77777777" w:rsidR="00814857" w:rsidRDefault="00814857" w:rsidP="00894126">
            <w:pPr>
              <w:pStyle w:val="ARtabletextright"/>
            </w:pPr>
            <w:r>
              <w:rPr>
                <w:noProof/>
              </w:rPr>
              <w:t>23,300</w:t>
            </w:r>
          </w:p>
        </w:tc>
        <w:tc>
          <w:tcPr>
            <w:tcW w:w="1022" w:type="dxa"/>
            <w:hideMark/>
          </w:tcPr>
          <w:p w14:paraId="1DAE5342" w14:textId="77777777" w:rsidR="00814857" w:rsidRDefault="00814857" w:rsidP="00894126">
            <w:pPr>
              <w:pStyle w:val="ARtabletextright"/>
            </w:pPr>
            <w:r>
              <w:rPr>
                <w:noProof/>
              </w:rPr>
              <w:t>27,652</w:t>
            </w:r>
          </w:p>
        </w:tc>
        <w:tc>
          <w:tcPr>
            <w:tcW w:w="1022" w:type="dxa"/>
            <w:hideMark/>
          </w:tcPr>
          <w:p w14:paraId="43BCC5A5" w14:textId="77777777" w:rsidR="00814857" w:rsidRDefault="00814857" w:rsidP="00894126">
            <w:pPr>
              <w:pStyle w:val="ARtabletextright"/>
            </w:pPr>
            <w:r>
              <w:rPr>
                <w:noProof/>
              </w:rPr>
              <w:t>18.7</w:t>
            </w:r>
          </w:p>
        </w:tc>
        <w:tc>
          <w:tcPr>
            <w:tcW w:w="794" w:type="dxa"/>
            <w:hideMark/>
          </w:tcPr>
          <w:p w14:paraId="3BF72D66" w14:textId="77777777" w:rsidR="00814857" w:rsidRDefault="00814857" w:rsidP="00894126">
            <w:pPr>
              <w:pStyle w:val="ARtabletextright"/>
            </w:pPr>
            <w:r>
              <w:sym w:font="Wingdings" w:char="F0FC"/>
            </w:r>
          </w:p>
        </w:tc>
      </w:tr>
      <w:tr w:rsidR="00814857" w14:paraId="42DD3AD3" w14:textId="77777777" w:rsidTr="00894126">
        <w:trPr>
          <w:cantSplit/>
          <w:trHeight w:val="240"/>
        </w:trPr>
        <w:tc>
          <w:tcPr>
            <w:tcW w:w="9645" w:type="dxa"/>
            <w:gridSpan w:val="6"/>
            <w:tcBorders>
              <w:top w:val="nil"/>
              <w:left w:val="nil"/>
              <w:bottom w:val="single" w:sz="4" w:space="0" w:color="BFBFBF" w:themeColor="background1" w:themeShade="BF"/>
              <w:right w:val="nil"/>
            </w:tcBorders>
            <w:noWrap/>
            <w:hideMark/>
          </w:tcPr>
          <w:p w14:paraId="43E1A755" w14:textId="77777777" w:rsidR="00814857" w:rsidRDefault="00814857" w:rsidP="00894126">
            <w:pPr>
              <w:pStyle w:val="ARtablenoteindent"/>
            </w:pPr>
            <w:r>
              <w:rPr>
                <w:noProof/>
              </w:rPr>
              <w:t xml:space="preserve">Results for this measure continue to reflect ongoing demand for inpatient mental health treatment, resulting in decreased length of stay. </w:t>
            </w:r>
          </w:p>
        </w:tc>
      </w:tr>
      <w:tr w:rsidR="00814857" w14:paraId="77BC3492"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3C268D6A" w14:textId="77777777" w:rsidR="00814857" w:rsidRDefault="00814857" w:rsidP="00894126">
            <w:pPr>
              <w:pStyle w:val="ARtabletext"/>
            </w:pPr>
            <w:r>
              <w:rPr>
                <w:noProof/>
              </w:rPr>
              <w:t>Total community service hours</w:t>
            </w:r>
          </w:p>
        </w:tc>
        <w:tc>
          <w:tcPr>
            <w:tcW w:w="1021" w:type="dxa"/>
            <w:tcBorders>
              <w:top w:val="single" w:sz="4" w:space="0" w:color="BFBFBF" w:themeColor="background1" w:themeShade="BF"/>
              <w:bottom w:val="single" w:sz="4" w:space="0" w:color="BFBFBF" w:themeColor="background1" w:themeShade="BF"/>
            </w:tcBorders>
            <w:hideMark/>
          </w:tcPr>
          <w:p w14:paraId="2E0BF067" w14:textId="77777777" w:rsidR="00814857" w:rsidRDefault="00814857" w:rsidP="00894126">
            <w:pPr>
              <w:pStyle w:val="ARtabletextright"/>
            </w:pPr>
            <w:r>
              <w:rPr>
                <w:noProof/>
              </w:rPr>
              <w:t>number (thousand)</w:t>
            </w:r>
          </w:p>
        </w:tc>
        <w:tc>
          <w:tcPr>
            <w:tcW w:w="1022" w:type="dxa"/>
            <w:tcBorders>
              <w:top w:val="single" w:sz="4" w:space="0" w:color="BFBFBF" w:themeColor="background1" w:themeShade="BF"/>
              <w:bottom w:val="single" w:sz="4" w:space="0" w:color="BFBFBF" w:themeColor="background1" w:themeShade="BF"/>
            </w:tcBorders>
            <w:hideMark/>
          </w:tcPr>
          <w:p w14:paraId="1B12718B" w14:textId="77777777" w:rsidR="00814857" w:rsidRDefault="00814857" w:rsidP="00894126">
            <w:pPr>
              <w:pStyle w:val="ARtabletextright"/>
            </w:pPr>
            <w:r>
              <w:rPr>
                <w:noProof/>
              </w:rPr>
              <w:t>1,333</w:t>
            </w:r>
          </w:p>
        </w:tc>
        <w:tc>
          <w:tcPr>
            <w:tcW w:w="1022" w:type="dxa"/>
            <w:tcBorders>
              <w:top w:val="single" w:sz="4" w:space="0" w:color="BFBFBF" w:themeColor="background1" w:themeShade="BF"/>
              <w:bottom w:val="single" w:sz="4" w:space="0" w:color="BFBFBF" w:themeColor="background1" w:themeShade="BF"/>
            </w:tcBorders>
            <w:hideMark/>
          </w:tcPr>
          <w:p w14:paraId="2D9A97F8" w14:textId="77777777" w:rsidR="00814857" w:rsidRDefault="00814857" w:rsidP="00894126">
            <w:pPr>
              <w:pStyle w:val="ARtabletextright"/>
            </w:pPr>
            <w:r>
              <w:rPr>
                <w:noProof/>
              </w:rPr>
              <w:t>1,371.9</w:t>
            </w:r>
          </w:p>
        </w:tc>
        <w:tc>
          <w:tcPr>
            <w:tcW w:w="1022" w:type="dxa"/>
            <w:tcBorders>
              <w:top w:val="single" w:sz="4" w:space="0" w:color="BFBFBF" w:themeColor="background1" w:themeShade="BF"/>
              <w:bottom w:val="single" w:sz="4" w:space="0" w:color="BFBFBF" w:themeColor="background1" w:themeShade="BF"/>
            </w:tcBorders>
            <w:hideMark/>
          </w:tcPr>
          <w:p w14:paraId="1EC4E0F5" w14:textId="77777777" w:rsidR="00814857" w:rsidRDefault="00814857" w:rsidP="00894126">
            <w:pPr>
              <w:pStyle w:val="ARtabletextright"/>
            </w:pPr>
            <w:r>
              <w:rPr>
                <w:noProof/>
              </w:rPr>
              <w:t>2.9</w:t>
            </w:r>
          </w:p>
        </w:tc>
        <w:tc>
          <w:tcPr>
            <w:tcW w:w="794" w:type="dxa"/>
            <w:tcBorders>
              <w:top w:val="single" w:sz="4" w:space="0" w:color="BFBFBF" w:themeColor="background1" w:themeShade="BF"/>
              <w:bottom w:val="single" w:sz="4" w:space="0" w:color="BFBFBF" w:themeColor="background1" w:themeShade="BF"/>
            </w:tcBorders>
            <w:hideMark/>
          </w:tcPr>
          <w:p w14:paraId="01F6E502" w14:textId="77777777" w:rsidR="00814857" w:rsidRDefault="00814857" w:rsidP="00894126">
            <w:pPr>
              <w:pStyle w:val="ARtabletextright"/>
            </w:pPr>
            <w:r>
              <w:sym w:font="Wingdings" w:char="F0FC"/>
            </w:r>
          </w:p>
        </w:tc>
      </w:tr>
      <w:tr w:rsidR="00814857" w14:paraId="31F2E47D" w14:textId="77777777" w:rsidTr="00894126">
        <w:trPr>
          <w:cantSplit/>
          <w:trHeight w:val="480"/>
        </w:trPr>
        <w:tc>
          <w:tcPr>
            <w:tcW w:w="4764" w:type="dxa"/>
            <w:tcBorders>
              <w:top w:val="single" w:sz="4" w:space="0" w:color="BFBFBF" w:themeColor="background1" w:themeShade="BF"/>
            </w:tcBorders>
            <w:hideMark/>
          </w:tcPr>
          <w:p w14:paraId="0A39C3C0" w14:textId="77777777" w:rsidR="00814857" w:rsidRDefault="00814857" w:rsidP="00894126">
            <w:pPr>
              <w:pStyle w:val="ARtabletext"/>
            </w:pPr>
            <w:r>
              <w:rPr>
                <w:noProof/>
              </w:rPr>
              <w:t>New case index</w:t>
            </w:r>
          </w:p>
        </w:tc>
        <w:tc>
          <w:tcPr>
            <w:tcW w:w="1021" w:type="dxa"/>
            <w:tcBorders>
              <w:top w:val="single" w:sz="4" w:space="0" w:color="BFBFBF" w:themeColor="background1" w:themeShade="BF"/>
            </w:tcBorders>
            <w:hideMark/>
          </w:tcPr>
          <w:p w14:paraId="651746C8" w14:textId="77777777" w:rsidR="00814857" w:rsidRDefault="00814857" w:rsidP="00894126">
            <w:pPr>
              <w:pStyle w:val="ARtabletextright"/>
            </w:pPr>
            <w:r>
              <w:rPr>
                <w:noProof/>
              </w:rPr>
              <w:t>per cent</w:t>
            </w:r>
          </w:p>
        </w:tc>
        <w:tc>
          <w:tcPr>
            <w:tcW w:w="1022" w:type="dxa"/>
            <w:tcBorders>
              <w:top w:val="single" w:sz="4" w:space="0" w:color="BFBFBF" w:themeColor="background1" w:themeShade="BF"/>
            </w:tcBorders>
            <w:hideMark/>
          </w:tcPr>
          <w:p w14:paraId="49036309" w14:textId="77777777" w:rsidR="00814857" w:rsidRDefault="00814857" w:rsidP="00894126">
            <w:pPr>
              <w:pStyle w:val="ARtabletextright"/>
            </w:pPr>
            <w:r>
              <w:rPr>
                <w:noProof/>
              </w:rPr>
              <w:t>50</w:t>
            </w:r>
          </w:p>
        </w:tc>
        <w:tc>
          <w:tcPr>
            <w:tcW w:w="1022" w:type="dxa"/>
            <w:tcBorders>
              <w:top w:val="single" w:sz="4" w:space="0" w:color="BFBFBF" w:themeColor="background1" w:themeShade="BF"/>
            </w:tcBorders>
            <w:hideMark/>
          </w:tcPr>
          <w:p w14:paraId="21FB3E31" w14:textId="77777777" w:rsidR="00814857" w:rsidRDefault="00814857" w:rsidP="00894126">
            <w:pPr>
              <w:pStyle w:val="ARtabletextright"/>
            </w:pPr>
            <w:r>
              <w:rPr>
                <w:noProof/>
              </w:rPr>
              <w:t>54</w:t>
            </w:r>
          </w:p>
        </w:tc>
        <w:tc>
          <w:tcPr>
            <w:tcW w:w="1022" w:type="dxa"/>
            <w:tcBorders>
              <w:top w:val="single" w:sz="4" w:space="0" w:color="BFBFBF" w:themeColor="background1" w:themeShade="BF"/>
            </w:tcBorders>
            <w:hideMark/>
          </w:tcPr>
          <w:p w14:paraId="3E8DA32F" w14:textId="77777777" w:rsidR="00814857" w:rsidRDefault="00814857" w:rsidP="00894126">
            <w:pPr>
              <w:pStyle w:val="ARtabletextright"/>
            </w:pPr>
            <w:r>
              <w:rPr>
                <w:noProof/>
              </w:rPr>
              <w:t>8.0</w:t>
            </w:r>
          </w:p>
        </w:tc>
        <w:tc>
          <w:tcPr>
            <w:tcW w:w="794" w:type="dxa"/>
            <w:tcBorders>
              <w:top w:val="single" w:sz="4" w:space="0" w:color="BFBFBF" w:themeColor="background1" w:themeShade="BF"/>
            </w:tcBorders>
            <w:hideMark/>
          </w:tcPr>
          <w:p w14:paraId="5ABA238E" w14:textId="77777777" w:rsidR="00814857" w:rsidRDefault="00814857" w:rsidP="00894126">
            <w:pPr>
              <w:pStyle w:val="ARtabletextright"/>
            </w:pPr>
            <w:r>
              <w:sym w:font="Wingdings" w:char="F0FC"/>
            </w:r>
          </w:p>
        </w:tc>
      </w:tr>
      <w:tr w:rsidR="00814857" w14:paraId="4BE48BDA" w14:textId="77777777" w:rsidTr="00894126">
        <w:trPr>
          <w:cantSplit/>
          <w:trHeight w:val="240"/>
        </w:trPr>
        <w:tc>
          <w:tcPr>
            <w:tcW w:w="9645" w:type="dxa"/>
            <w:gridSpan w:val="6"/>
            <w:tcBorders>
              <w:top w:val="nil"/>
              <w:left w:val="nil"/>
              <w:bottom w:val="single" w:sz="4" w:space="0" w:color="BFBFBF"/>
              <w:right w:val="nil"/>
            </w:tcBorders>
            <w:noWrap/>
            <w:hideMark/>
          </w:tcPr>
          <w:p w14:paraId="4E346A73" w14:textId="77777777" w:rsidR="00814857" w:rsidRDefault="00814857" w:rsidP="00894126">
            <w:pPr>
              <w:pStyle w:val="ARtablenoteindent"/>
            </w:pPr>
            <w:r>
              <w:rPr>
                <w:noProof/>
              </w:rPr>
              <w:t>This increase is indicative of reaching new clients and also new cases being opened for current clients, where their previous case was closed prematurely. This is a positive result.</w:t>
            </w:r>
          </w:p>
        </w:tc>
      </w:tr>
      <w:tr w:rsidR="00814857" w14:paraId="32DD5271" w14:textId="77777777" w:rsidTr="00894126">
        <w:trPr>
          <w:cantSplit/>
          <w:trHeight w:val="480"/>
        </w:trPr>
        <w:tc>
          <w:tcPr>
            <w:tcW w:w="4764" w:type="dxa"/>
            <w:hideMark/>
          </w:tcPr>
          <w:p w14:paraId="19D60E61" w14:textId="77777777" w:rsidR="00814857" w:rsidRDefault="00814857" w:rsidP="00894126">
            <w:pPr>
              <w:pStyle w:val="ARtabletext"/>
            </w:pPr>
            <w:r>
              <w:rPr>
                <w:noProof/>
              </w:rPr>
              <w:t>Registered community clients</w:t>
            </w:r>
          </w:p>
        </w:tc>
        <w:tc>
          <w:tcPr>
            <w:tcW w:w="1021" w:type="dxa"/>
            <w:hideMark/>
          </w:tcPr>
          <w:p w14:paraId="43F24D18" w14:textId="77777777" w:rsidR="00814857" w:rsidRDefault="00814857" w:rsidP="00894126">
            <w:pPr>
              <w:pStyle w:val="ARtabletextright"/>
            </w:pPr>
            <w:r>
              <w:rPr>
                <w:noProof/>
              </w:rPr>
              <w:t>number</w:t>
            </w:r>
          </w:p>
        </w:tc>
        <w:tc>
          <w:tcPr>
            <w:tcW w:w="1022" w:type="dxa"/>
            <w:hideMark/>
          </w:tcPr>
          <w:p w14:paraId="418471DA" w14:textId="77777777" w:rsidR="00814857" w:rsidRDefault="00814857" w:rsidP="00894126">
            <w:pPr>
              <w:pStyle w:val="ARtabletextright"/>
            </w:pPr>
            <w:r>
              <w:rPr>
                <w:noProof/>
              </w:rPr>
              <w:t>67,000</w:t>
            </w:r>
          </w:p>
        </w:tc>
        <w:tc>
          <w:tcPr>
            <w:tcW w:w="1022" w:type="dxa"/>
            <w:hideMark/>
          </w:tcPr>
          <w:p w14:paraId="111093C3" w14:textId="77777777" w:rsidR="00814857" w:rsidRDefault="00814857" w:rsidP="00894126">
            <w:pPr>
              <w:pStyle w:val="ARtabletextright"/>
            </w:pPr>
            <w:r>
              <w:rPr>
                <w:noProof/>
              </w:rPr>
              <w:t>73,548</w:t>
            </w:r>
          </w:p>
        </w:tc>
        <w:tc>
          <w:tcPr>
            <w:tcW w:w="1022" w:type="dxa"/>
            <w:hideMark/>
          </w:tcPr>
          <w:p w14:paraId="440151F8" w14:textId="77777777" w:rsidR="00814857" w:rsidRDefault="00814857" w:rsidP="00894126">
            <w:pPr>
              <w:pStyle w:val="ARtabletextright"/>
            </w:pPr>
            <w:r>
              <w:rPr>
                <w:noProof/>
              </w:rPr>
              <w:t>9.8</w:t>
            </w:r>
          </w:p>
        </w:tc>
        <w:tc>
          <w:tcPr>
            <w:tcW w:w="794" w:type="dxa"/>
            <w:hideMark/>
          </w:tcPr>
          <w:p w14:paraId="01B25E6E" w14:textId="77777777" w:rsidR="00814857" w:rsidRDefault="00814857" w:rsidP="00894126">
            <w:pPr>
              <w:pStyle w:val="ARtabletextright"/>
            </w:pPr>
            <w:r>
              <w:sym w:font="Wingdings" w:char="F0FC"/>
            </w:r>
          </w:p>
        </w:tc>
      </w:tr>
      <w:tr w:rsidR="00814857" w14:paraId="613FDD30" w14:textId="77777777" w:rsidTr="00894126">
        <w:trPr>
          <w:cantSplit/>
          <w:trHeight w:val="240"/>
        </w:trPr>
        <w:tc>
          <w:tcPr>
            <w:tcW w:w="9645" w:type="dxa"/>
            <w:gridSpan w:val="6"/>
            <w:tcBorders>
              <w:top w:val="nil"/>
              <w:left w:val="nil"/>
              <w:bottom w:val="single" w:sz="4" w:space="0" w:color="BFBFBF" w:themeColor="background1" w:themeShade="BF"/>
              <w:right w:val="nil"/>
            </w:tcBorders>
            <w:noWrap/>
            <w:hideMark/>
          </w:tcPr>
          <w:p w14:paraId="6FB08088" w14:textId="77777777" w:rsidR="00814857" w:rsidRDefault="00814857" w:rsidP="00894126">
            <w:pPr>
              <w:pStyle w:val="ARtablenoteindent"/>
            </w:pPr>
            <w:r>
              <w:rPr>
                <w:noProof/>
              </w:rPr>
              <w:t>The recent increase in investment has assisted the sector in reaching new clients. This is a positive result.</w:t>
            </w:r>
          </w:p>
        </w:tc>
      </w:tr>
      <w:tr w:rsidR="00814857" w14:paraId="082FF8BE"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6A1556F9" w14:textId="77777777" w:rsidR="00814857" w:rsidRDefault="00814857" w:rsidP="00894126">
            <w:pPr>
              <w:pStyle w:val="ARtabletext"/>
            </w:pPr>
            <w:r>
              <w:rPr>
                <w:noProof/>
              </w:rPr>
              <w:t>Occupied residential bed days</w:t>
            </w:r>
          </w:p>
        </w:tc>
        <w:tc>
          <w:tcPr>
            <w:tcW w:w="1021" w:type="dxa"/>
            <w:tcBorders>
              <w:top w:val="single" w:sz="4" w:space="0" w:color="BFBFBF" w:themeColor="background1" w:themeShade="BF"/>
              <w:bottom w:val="single" w:sz="4" w:space="0" w:color="BFBFBF" w:themeColor="background1" w:themeShade="BF"/>
            </w:tcBorders>
            <w:hideMark/>
          </w:tcPr>
          <w:p w14:paraId="4FB674CF" w14:textId="77777777" w:rsidR="00814857" w:rsidRDefault="00814857" w:rsidP="00894126">
            <w:pPr>
              <w:pStyle w:val="ARtabletextright"/>
            </w:pPr>
            <w:r>
              <w:rPr>
                <w:noProof/>
              </w:rPr>
              <w:t>number</w:t>
            </w:r>
          </w:p>
        </w:tc>
        <w:tc>
          <w:tcPr>
            <w:tcW w:w="1022" w:type="dxa"/>
            <w:tcBorders>
              <w:top w:val="single" w:sz="4" w:space="0" w:color="BFBFBF" w:themeColor="background1" w:themeShade="BF"/>
              <w:bottom w:val="single" w:sz="4" w:space="0" w:color="BFBFBF" w:themeColor="background1" w:themeShade="BF"/>
            </w:tcBorders>
            <w:hideMark/>
          </w:tcPr>
          <w:p w14:paraId="25AC07B0" w14:textId="77777777" w:rsidR="00814857" w:rsidRDefault="00814857" w:rsidP="00894126">
            <w:pPr>
              <w:pStyle w:val="ARtabletextright"/>
            </w:pPr>
            <w:r>
              <w:rPr>
                <w:noProof/>
              </w:rPr>
              <w:t>153,574</w:t>
            </w:r>
          </w:p>
        </w:tc>
        <w:tc>
          <w:tcPr>
            <w:tcW w:w="1022" w:type="dxa"/>
            <w:tcBorders>
              <w:top w:val="single" w:sz="4" w:space="0" w:color="BFBFBF" w:themeColor="background1" w:themeShade="BF"/>
              <w:bottom w:val="single" w:sz="4" w:space="0" w:color="BFBFBF" w:themeColor="background1" w:themeShade="BF"/>
            </w:tcBorders>
            <w:hideMark/>
          </w:tcPr>
          <w:p w14:paraId="53AFA049" w14:textId="77777777" w:rsidR="00814857" w:rsidRDefault="00814857" w:rsidP="00894126">
            <w:pPr>
              <w:pStyle w:val="ARtabletextright"/>
            </w:pPr>
            <w:r>
              <w:rPr>
                <w:noProof/>
              </w:rPr>
              <w:t>154,706</w:t>
            </w:r>
          </w:p>
        </w:tc>
        <w:tc>
          <w:tcPr>
            <w:tcW w:w="1022" w:type="dxa"/>
            <w:tcBorders>
              <w:top w:val="single" w:sz="4" w:space="0" w:color="BFBFBF" w:themeColor="background1" w:themeShade="BF"/>
              <w:bottom w:val="single" w:sz="4" w:space="0" w:color="BFBFBF" w:themeColor="background1" w:themeShade="BF"/>
            </w:tcBorders>
            <w:hideMark/>
          </w:tcPr>
          <w:p w14:paraId="13A4F6F3" w14:textId="77777777" w:rsidR="00814857" w:rsidRDefault="00814857" w:rsidP="00894126">
            <w:pPr>
              <w:pStyle w:val="ARtabletextright"/>
            </w:pPr>
            <w:r>
              <w:rPr>
                <w:noProof/>
              </w:rPr>
              <w:t>0.7</w:t>
            </w:r>
          </w:p>
        </w:tc>
        <w:tc>
          <w:tcPr>
            <w:tcW w:w="794" w:type="dxa"/>
            <w:tcBorders>
              <w:top w:val="single" w:sz="4" w:space="0" w:color="BFBFBF" w:themeColor="background1" w:themeShade="BF"/>
              <w:bottom w:val="single" w:sz="4" w:space="0" w:color="BFBFBF" w:themeColor="background1" w:themeShade="BF"/>
            </w:tcBorders>
            <w:hideMark/>
          </w:tcPr>
          <w:p w14:paraId="3AA2875E" w14:textId="77777777" w:rsidR="00814857" w:rsidRDefault="00814857" w:rsidP="00894126">
            <w:pPr>
              <w:pStyle w:val="ARtabletextright"/>
            </w:pPr>
            <w:r>
              <w:sym w:font="Wingdings" w:char="F0FC"/>
            </w:r>
          </w:p>
        </w:tc>
      </w:tr>
      <w:tr w:rsidR="00814857" w14:paraId="129BF39E" w14:textId="77777777" w:rsidTr="001955CC">
        <w:trPr>
          <w:cantSplit/>
          <w:trHeight w:val="480"/>
        </w:trPr>
        <w:tc>
          <w:tcPr>
            <w:tcW w:w="4764" w:type="dxa"/>
            <w:tcBorders>
              <w:top w:val="single" w:sz="4" w:space="0" w:color="BFBFBF" w:themeColor="background1" w:themeShade="BF"/>
            </w:tcBorders>
            <w:hideMark/>
          </w:tcPr>
          <w:p w14:paraId="33665176" w14:textId="77777777" w:rsidR="00814857" w:rsidRDefault="00814857" w:rsidP="00894126">
            <w:pPr>
              <w:pStyle w:val="ARtabletext"/>
            </w:pPr>
            <w:r>
              <w:rPr>
                <w:noProof/>
              </w:rPr>
              <w:t>Occupied sub-acute bed days</w:t>
            </w:r>
          </w:p>
        </w:tc>
        <w:tc>
          <w:tcPr>
            <w:tcW w:w="1021" w:type="dxa"/>
            <w:tcBorders>
              <w:top w:val="single" w:sz="4" w:space="0" w:color="BFBFBF" w:themeColor="background1" w:themeShade="BF"/>
            </w:tcBorders>
            <w:hideMark/>
          </w:tcPr>
          <w:p w14:paraId="774FFDCC" w14:textId="77777777" w:rsidR="00814857" w:rsidRDefault="00814857" w:rsidP="00894126">
            <w:pPr>
              <w:pStyle w:val="ARtabletextright"/>
            </w:pPr>
            <w:r>
              <w:rPr>
                <w:noProof/>
              </w:rPr>
              <w:t>number</w:t>
            </w:r>
          </w:p>
        </w:tc>
        <w:tc>
          <w:tcPr>
            <w:tcW w:w="1022" w:type="dxa"/>
            <w:tcBorders>
              <w:top w:val="single" w:sz="4" w:space="0" w:color="BFBFBF" w:themeColor="background1" w:themeShade="BF"/>
            </w:tcBorders>
            <w:hideMark/>
          </w:tcPr>
          <w:p w14:paraId="52C86475" w14:textId="77777777" w:rsidR="00814857" w:rsidRDefault="00814857" w:rsidP="00894126">
            <w:pPr>
              <w:pStyle w:val="ARtabletextright"/>
            </w:pPr>
            <w:r>
              <w:rPr>
                <w:noProof/>
              </w:rPr>
              <w:t>191,724</w:t>
            </w:r>
          </w:p>
        </w:tc>
        <w:tc>
          <w:tcPr>
            <w:tcW w:w="1022" w:type="dxa"/>
            <w:tcBorders>
              <w:top w:val="single" w:sz="4" w:space="0" w:color="BFBFBF" w:themeColor="background1" w:themeShade="BF"/>
            </w:tcBorders>
            <w:hideMark/>
          </w:tcPr>
          <w:p w14:paraId="6CC2C554" w14:textId="77777777" w:rsidR="00814857" w:rsidRDefault="00814857" w:rsidP="00894126">
            <w:pPr>
              <w:pStyle w:val="ARtabletextright"/>
            </w:pPr>
            <w:r>
              <w:rPr>
                <w:noProof/>
              </w:rPr>
              <w:t>202,459</w:t>
            </w:r>
          </w:p>
        </w:tc>
        <w:tc>
          <w:tcPr>
            <w:tcW w:w="1022" w:type="dxa"/>
            <w:tcBorders>
              <w:top w:val="single" w:sz="4" w:space="0" w:color="BFBFBF" w:themeColor="background1" w:themeShade="BF"/>
            </w:tcBorders>
            <w:hideMark/>
          </w:tcPr>
          <w:p w14:paraId="071905C7" w14:textId="77777777" w:rsidR="00814857" w:rsidRDefault="00814857" w:rsidP="00894126">
            <w:pPr>
              <w:pStyle w:val="ARtabletextright"/>
            </w:pPr>
            <w:r>
              <w:rPr>
                <w:noProof/>
              </w:rPr>
              <w:t>5.6</w:t>
            </w:r>
          </w:p>
        </w:tc>
        <w:tc>
          <w:tcPr>
            <w:tcW w:w="794" w:type="dxa"/>
            <w:tcBorders>
              <w:top w:val="single" w:sz="4" w:space="0" w:color="BFBFBF" w:themeColor="background1" w:themeShade="BF"/>
            </w:tcBorders>
            <w:hideMark/>
          </w:tcPr>
          <w:p w14:paraId="65FF6A40" w14:textId="77777777" w:rsidR="00814857" w:rsidRDefault="00814857" w:rsidP="00894126">
            <w:pPr>
              <w:pStyle w:val="ARtabletextright"/>
            </w:pPr>
            <w:r>
              <w:sym w:font="Wingdings" w:char="F0FC"/>
            </w:r>
          </w:p>
        </w:tc>
      </w:tr>
      <w:tr w:rsidR="00814857" w14:paraId="69D44A2A" w14:textId="77777777" w:rsidTr="001955CC">
        <w:trPr>
          <w:cantSplit/>
          <w:trHeight w:val="476"/>
        </w:trPr>
        <w:tc>
          <w:tcPr>
            <w:tcW w:w="9645" w:type="dxa"/>
            <w:gridSpan w:val="6"/>
            <w:tcBorders>
              <w:top w:val="nil"/>
              <w:left w:val="nil"/>
              <w:bottom w:val="single" w:sz="4" w:space="0" w:color="auto"/>
              <w:right w:val="nil"/>
            </w:tcBorders>
            <w:noWrap/>
            <w:hideMark/>
          </w:tcPr>
          <w:p w14:paraId="03DDAA20" w14:textId="77777777" w:rsidR="00814857" w:rsidRDefault="00814857" w:rsidP="00894126">
            <w:pPr>
              <w:pStyle w:val="ARtablenoteindent"/>
            </w:pPr>
            <w:r>
              <w:rPr>
                <w:noProof/>
              </w:rPr>
              <w:t>This result demonstrates high ongoing utilisation of sub-acute services, as the target is calculated at 85 per cent of the funded bed days. This is a positive result.</w:t>
            </w:r>
          </w:p>
        </w:tc>
      </w:tr>
      <w:tr w:rsidR="001955CC" w14:paraId="39D9463C" w14:textId="77777777" w:rsidTr="001955CC">
        <w:trPr>
          <w:cantSplit/>
          <w:trHeight w:val="240"/>
        </w:trPr>
        <w:tc>
          <w:tcPr>
            <w:tcW w:w="9645" w:type="dxa"/>
            <w:gridSpan w:val="6"/>
            <w:tcBorders>
              <w:top w:val="single" w:sz="4" w:space="0" w:color="auto"/>
              <w:left w:val="nil"/>
              <w:bottom w:val="nil"/>
              <w:right w:val="nil"/>
            </w:tcBorders>
            <w:hideMark/>
          </w:tcPr>
          <w:p w14:paraId="2DC3567A" w14:textId="4F9609F0" w:rsidR="001955CC" w:rsidRDefault="001955CC" w:rsidP="001955CC">
            <w:pPr>
              <w:pStyle w:val="ARtablegreybold"/>
              <w:keepNext/>
            </w:pPr>
            <w:r>
              <w:lastRenderedPageBreak/>
              <w:t>Quality</w:t>
            </w:r>
          </w:p>
        </w:tc>
      </w:tr>
      <w:tr w:rsidR="00814857" w14:paraId="633478D2" w14:textId="77777777" w:rsidTr="00894126">
        <w:trPr>
          <w:cantSplit/>
          <w:trHeight w:val="480"/>
        </w:trPr>
        <w:tc>
          <w:tcPr>
            <w:tcW w:w="4764" w:type="dxa"/>
            <w:hideMark/>
          </w:tcPr>
          <w:p w14:paraId="5F684350" w14:textId="77777777" w:rsidR="00814857" w:rsidRDefault="00814857" w:rsidP="00894126">
            <w:pPr>
              <w:pStyle w:val="ARtabletext"/>
            </w:pPr>
            <w:r>
              <w:rPr>
                <w:noProof/>
              </w:rPr>
              <w:t>Clients readmitted (unplanned) within 28 days</w:t>
            </w:r>
          </w:p>
        </w:tc>
        <w:tc>
          <w:tcPr>
            <w:tcW w:w="1021" w:type="dxa"/>
            <w:hideMark/>
          </w:tcPr>
          <w:p w14:paraId="3DEB33E5" w14:textId="77777777" w:rsidR="00814857" w:rsidRDefault="00814857" w:rsidP="00894126">
            <w:pPr>
              <w:pStyle w:val="ARtabletextright"/>
            </w:pPr>
            <w:r>
              <w:rPr>
                <w:noProof/>
              </w:rPr>
              <w:t>per cent</w:t>
            </w:r>
          </w:p>
        </w:tc>
        <w:tc>
          <w:tcPr>
            <w:tcW w:w="1022" w:type="dxa"/>
            <w:hideMark/>
          </w:tcPr>
          <w:p w14:paraId="0332BE3F" w14:textId="77777777" w:rsidR="00814857" w:rsidRDefault="00814857" w:rsidP="00894126">
            <w:pPr>
              <w:pStyle w:val="ARtabletextright"/>
            </w:pPr>
            <w:r>
              <w:rPr>
                <w:noProof/>
              </w:rPr>
              <w:t>14</w:t>
            </w:r>
          </w:p>
        </w:tc>
        <w:tc>
          <w:tcPr>
            <w:tcW w:w="1022" w:type="dxa"/>
            <w:hideMark/>
          </w:tcPr>
          <w:p w14:paraId="4CB9397F" w14:textId="77777777" w:rsidR="00814857" w:rsidRDefault="00814857" w:rsidP="00894126">
            <w:pPr>
              <w:pStyle w:val="ARtabletextright"/>
            </w:pPr>
            <w:r>
              <w:rPr>
                <w:noProof/>
              </w:rPr>
              <w:t>13.2</w:t>
            </w:r>
          </w:p>
        </w:tc>
        <w:tc>
          <w:tcPr>
            <w:tcW w:w="1022" w:type="dxa"/>
            <w:hideMark/>
          </w:tcPr>
          <w:p w14:paraId="78DFA955" w14:textId="77777777" w:rsidR="00814857" w:rsidRDefault="00814857" w:rsidP="00894126">
            <w:pPr>
              <w:pStyle w:val="ARtabletextright"/>
            </w:pPr>
            <w:r>
              <w:rPr>
                <w:noProof/>
              </w:rPr>
              <w:t>-5.7</w:t>
            </w:r>
          </w:p>
        </w:tc>
        <w:tc>
          <w:tcPr>
            <w:tcW w:w="794" w:type="dxa"/>
            <w:hideMark/>
          </w:tcPr>
          <w:p w14:paraId="37701DD0" w14:textId="77777777" w:rsidR="00814857" w:rsidRDefault="00814857" w:rsidP="00894126">
            <w:pPr>
              <w:pStyle w:val="ARtabletextright"/>
            </w:pPr>
            <w:r>
              <w:sym w:font="Wingdings" w:char="F0FC"/>
            </w:r>
          </w:p>
        </w:tc>
      </w:tr>
      <w:tr w:rsidR="00814857" w14:paraId="39DC463C" w14:textId="77777777" w:rsidTr="00894126">
        <w:trPr>
          <w:cantSplit/>
          <w:trHeight w:val="240"/>
        </w:trPr>
        <w:tc>
          <w:tcPr>
            <w:tcW w:w="9645" w:type="dxa"/>
            <w:gridSpan w:val="6"/>
            <w:tcBorders>
              <w:top w:val="nil"/>
              <w:left w:val="nil"/>
              <w:bottom w:val="single" w:sz="4" w:space="0" w:color="BFBFBF"/>
              <w:right w:val="nil"/>
            </w:tcBorders>
            <w:noWrap/>
            <w:hideMark/>
          </w:tcPr>
          <w:p w14:paraId="6F0BFC55" w14:textId="77777777" w:rsidR="00814857" w:rsidRDefault="00814857" w:rsidP="00894126">
            <w:pPr>
              <w:pStyle w:val="ARtablenoteindent"/>
            </w:pPr>
            <w:r>
              <w:rPr>
                <w:noProof/>
              </w:rPr>
              <w:t>This is a positive result, below the maximum acceptable readmission rate.</w:t>
            </w:r>
          </w:p>
        </w:tc>
      </w:tr>
      <w:tr w:rsidR="00814857" w14:paraId="551D0C7B" w14:textId="77777777" w:rsidTr="00894126">
        <w:trPr>
          <w:cantSplit/>
          <w:trHeight w:val="480"/>
        </w:trPr>
        <w:tc>
          <w:tcPr>
            <w:tcW w:w="4764" w:type="dxa"/>
            <w:hideMark/>
          </w:tcPr>
          <w:p w14:paraId="527F414A" w14:textId="77777777" w:rsidR="00814857" w:rsidRDefault="00814857" w:rsidP="00894126">
            <w:pPr>
              <w:pStyle w:val="ARtabletext"/>
            </w:pPr>
            <w:r>
              <w:rPr>
                <w:noProof/>
              </w:rPr>
              <w:t>New client index</w:t>
            </w:r>
          </w:p>
        </w:tc>
        <w:tc>
          <w:tcPr>
            <w:tcW w:w="1021" w:type="dxa"/>
            <w:hideMark/>
          </w:tcPr>
          <w:p w14:paraId="76F89762" w14:textId="77777777" w:rsidR="00814857" w:rsidRDefault="00814857" w:rsidP="00894126">
            <w:pPr>
              <w:pStyle w:val="ARtabletextright"/>
            </w:pPr>
            <w:r>
              <w:rPr>
                <w:noProof/>
              </w:rPr>
              <w:t>per cent</w:t>
            </w:r>
          </w:p>
        </w:tc>
        <w:tc>
          <w:tcPr>
            <w:tcW w:w="1022" w:type="dxa"/>
            <w:hideMark/>
          </w:tcPr>
          <w:p w14:paraId="39D49332" w14:textId="77777777" w:rsidR="00814857" w:rsidRDefault="00814857" w:rsidP="00894126">
            <w:pPr>
              <w:pStyle w:val="ARtabletextright"/>
            </w:pPr>
            <w:r>
              <w:rPr>
                <w:noProof/>
              </w:rPr>
              <w:t>45</w:t>
            </w:r>
          </w:p>
        </w:tc>
        <w:tc>
          <w:tcPr>
            <w:tcW w:w="1022" w:type="dxa"/>
            <w:hideMark/>
          </w:tcPr>
          <w:p w14:paraId="2B1FC41A" w14:textId="77777777" w:rsidR="00814857" w:rsidRDefault="00814857" w:rsidP="00894126">
            <w:pPr>
              <w:pStyle w:val="ARtabletextright"/>
            </w:pPr>
            <w:r>
              <w:rPr>
                <w:noProof/>
              </w:rPr>
              <w:t>45.2</w:t>
            </w:r>
          </w:p>
        </w:tc>
        <w:tc>
          <w:tcPr>
            <w:tcW w:w="1022" w:type="dxa"/>
            <w:hideMark/>
          </w:tcPr>
          <w:p w14:paraId="7CB2D23D" w14:textId="77777777" w:rsidR="00814857" w:rsidRDefault="00814857" w:rsidP="00894126">
            <w:pPr>
              <w:pStyle w:val="ARtabletextright"/>
            </w:pPr>
            <w:r>
              <w:rPr>
                <w:noProof/>
              </w:rPr>
              <w:t>0.4</w:t>
            </w:r>
          </w:p>
        </w:tc>
        <w:tc>
          <w:tcPr>
            <w:tcW w:w="794" w:type="dxa"/>
            <w:hideMark/>
          </w:tcPr>
          <w:p w14:paraId="73386239" w14:textId="77777777" w:rsidR="00814857" w:rsidRDefault="00814857" w:rsidP="00894126">
            <w:pPr>
              <w:pStyle w:val="ARtabletextright"/>
            </w:pPr>
            <w:r>
              <w:sym w:font="Wingdings" w:char="F0FC"/>
            </w:r>
          </w:p>
        </w:tc>
      </w:tr>
      <w:tr w:rsidR="00814857" w14:paraId="57259454" w14:textId="77777777" w:rsidTr="00894126">
        <w:trPr>
          <w:cantSplit/>
          <w:trHeight w:val="240"/>
        </w:trPr>
        <w:tc>
          <w:tcPr>
            <w:tcW w:w="9645" w:type="dxa"/>
            <w:gridSpan w:val="6"/>
            <w:tcBorders>
              <w:top w:val="nil"/>
              <w:left w:val="nil"/>
              <w:bottom w:val="single" w:sz="4" w:space="0" w:color="BFBFBF"/>
              <w:right w:val="nil"/>
            </w:tcBorders>
            <w:noWrap/>
            <w:hideMark/>
          </w:tcPr>
          <w:p w14:paraId="5674BA8D" w14:textId="77777777" w:rsidR="00814857" w:rsidRDefault="00814857" w:rsidP="00894126">
            <w:pPr>
              <w:pStyle w:val="ARtablenoteindent"/>
            </w:pPr>
            <w:r>
              <w:rPr>
                <w:noProof/>
              </w:rPr>
              <w:t>The recent increase in investment has assisted the sector in reaching new clients. This is a positive result.</w:t>
            </w:r>
          </w:p>
        </w:tc>
      </w:tr>
      <w:tr w:rsidR="00814857" w14:paraId="1F7D3569" w14:textId="77777777" w:rsidTr="00894126">
        <w:trPr>
          <w:cantSplit/>
          <w:trHeight w:val="480"/>
        </w:trPr>
        <w:tc>
          <w:tcPr>
            <w:tcW w:w="4764" w:type="dxa"/>
            <w:hideMark/>
          </w:tcPr>
          <w:p w14:paraId="57B843F0" w14:textId="77777777" w:rsidR="00814857" w:rsidRDefault="00814857" w:rsidP="00894126">
            <w:pPr>
              <w:pStyle w:val="ARtabletext"/>
            </w:pPr>
            <w:bookmarkStart w:id="64" w:name="_Hlk21529182"/>
            <w:r>
              <w:rPr>
                <w:noProof/>
              </w:rPr>
              <w:t>Number of designated mental health services achieving or maintaining accreditation under the National Standards for Mental Health Services</w:t>
            </w:r>
            <w:bookmarkEnd w:id="64"/>
          </w:p>
        </w:tc>
        <w:tc>
          <w:tcPr>
            <w:tcW w:w="1021" w:type="dxa"/>
            <w:hideMark/>
          </w:tcPr>
          <w:p w14:paraId="53133DD4" w14:textId="77777777" w:rsidR="00814857" w:rsidRDefault="00814857" w:rsidP="00894126">
            <w:pPr>
              <w:pStyle w:val="ARtabletextright"/>
            </w:pPr>
            <w:r>
              <w:rPr>
                <w:noProof/>
              </w:rPr>
              <w:t>number</w:t>
            </w:r>
          </w:p>
        </w:tc>
        <w:tc>
          <w:tcPr>
            <w:tcW w:w="1022" w:type="dxa"/>
            <w:hideMark/>
          </w:tcPr>
          <w:p w14:paraId="2437E095" w14:textId="77777777" w:rsidR="00814857" w:rsidRDefault="00814857" w:rsidP="00894126">
            <w:pPr>
              <w:pStyle w:val="ARtabletextright"/>
            </w:pPr>
            <w:r>
              <w:rPr>
                <w:noProof/>
              </w:rPr>
              <w:t>18</w:t>
            </w:r>
          </w:p>
        </w:tc>
        <w:tc>
          <w:tcPr>
            <w:tcW w:w="1022" w:type="dxa"/>
            <w:hideMark/>
          </w:tcPr>
          <w:p w14:paraId="0EAF838E" w14:textId="77777777" w:rsidR="00814857" w:rsidRDefault="00814857" w:rsidP="00894126">
            <w:pPr>
              <w:pStyle w:val="ARtabletextright"/>
            </w:pPr>
            <w:r>
              <w:rPr>
                <w:noProof/>
              </w:rPr>
              <w:t>16</w:t>
            </w:r>
          </w:p>
        </w:tc>
        <w:tc>
          <w:tcPr>
            <w:tcW w:w="1022" w:type="dxa"/>
            <w:hideMark/>
          </w:tcPr>
          <w:p w14:paraId="7E56A6BD" w14:textId="77777777" w:rsidR="00814857" w:rsidRDefault="00814857" w:rsidP="00894126">
            <w:pPr>
              <w:pStyle w:val="ARtabletextright"/>
            </w:pPr>
            <w:r>
              <w:rPr>
                <w:noProof/>
              </w:rPr>
              <w:t>-11.1</w:t>
            </w:r>
          </w:p>
        </w:tc>
        <w:tc>
          <w:tcPr>
            <w:tcW w:w="794" w:type="dxa"/>
            <w:hideMark/>
          </w:tcPr>
          <w:p w14:paraId="5D479DCA" w14:textId="77777777" w:rsidR="00814857" w:rsidRDefault="00814857" w:rsidP="00894126">
            <w:pPr>
              <w:pStyle w:val="ARtabletextright"/>
            </w:pPr>
            <w:r>
              <w:sym w:font="Wingdings" w:char="F06E"/>
            </w:r>
          </w:p>
        </w:tc>
      </w:tr>
      <w:tr w:rsidR="00814857" w14:paraId="65BB0362" w14:textId="77777777" w:rsidTr="00894126">
        <w:trPr>
          <w:cantSplit/>
          <w:trHeight w:val="240"/>
        </w:trPr>
        <w:tc>
          <w:tcPr>
            <w:tcW w:w="9645" w:type="dxa"/>
            <w:gridSpan w:val="6"/>
            <w:tcBorders>
              <w:top w:val="nil"/>
              <w:left w:val="nil"/>
              <w:bottom w:val="single" w:sz="4" w:space="0" w:color="BFBFBF"/>
              <w:right w:val="nil"/>
            </w:tcBorders>
            <w:noWrap/>
            <w:hideMark/>
          </w:tcPr>
          <w:p w14:paraId="2176CD9F" w14:textId="77777777" w:rsidR="00814857" w:rsidRDefault="00814857" w:rsidP="00894126">
            <w:pPr>
              <w:pStyle w:val="ARtablenoteindent"/>
            </w:pPr>
            <w:r w:rsidRPr="00B942C1">
              <w:rPr>
                <w:noProof/>
              </w:rPr>
              <w:t>Whilst the number of designated mental health services against the National Mental Health Standards is below target, all Victorian mental health services are accredited. Victorian health services are in transition to a single accreditation process – 16 services were accredited under the National Mental Health Services and two under the new National Safety and Quality in Health Services Standards (second edition).</w:t>
            </w:r>
          </w:p>
        </w:tc>
      </w:tr>
      <w:tr w:rsidR="00814857" w14:paraId="1B6C642F" w14:textId="77777777" w:rsidTr="00894126">
        <w:trPr>
          <w:cantSplit/>
          <w:trHeight w:val="480"/>
        </w:trPr>
        <w:tc>
          <w:tcPr>
            <w:tcW w:w="4764" w:type="dxa"/>
            <w:hideMark/>
          </w:tcPr>
          <w:p w14:paraId="527DB066" w14:textId="77777777" w:rsidR="00814857" w:rsidRDefault="00814857" w:rsidP="00894126">
            <w:pPr>
              <w:pStyle w:val="ARtabletext"/>
            </w:pPr>
            <w:r>
              <w:rPr>
                <w:noProof/>
              </w:rPr>
              <w:t>Post-discharge community care</w:t>
            </w:r>
          </w:p>
        </w:tc>
        <w:tc>
          <w:tcPr>
            <w:tcW w:w="1021" w:type="dxa"/>
            <w:hideMark/>
          </w:tcPr>
          <w:p w14:paraId="3AE5252D" w14:textId="77777777" w:rsidR="00814857" w:rsidRDefault="00814857" w:rsidP="00894126">
            <w:pPr>
              <w:pStyle w:val="ARtabletextright"/>
            </w:pPr>
            <w:r>
              <w:rPr>
                <w:noProof/>
              </w:rPr>
              <w:t>per cent</w:t>
            </w:r>
          </w:p>
        </w:tc>
        <w:tc>
          <w:tcPr>
            <w:tcW w:w="1022" w:type="dxa"/>
            <w:hideMark/>
          </w:tcPr>
          <w:p w14:paraId="03D00D50" w14:textId="77777777" w:rsidR="00814857" w:rsidRDefault="00814857" w:rsidP="00894126">
            <w:pPr>
              <w:pStyle w:val="ARtabletextright"/>
            </w:pPr>
            <w:r>
              <w:rPr>
                <w:noProof/>
              </w:rPr>
              <w:t>80</w:t>
            </w:r>
          </w:p>
        </w:tc>
        <w:tc>
          <w:tcPr>
            <w:tcW w:w="1022" w:type="dxa"/>
            <w:hideMark/>
          </w:tcPr>
          <w:p w14:paraId="5F9B60FF" w14:textId="77777777" w:rsidR="00814857" w:rsidRDefault="00814857" w:rsidP="00894126">
            <w:pPr>
              <w:pStyle w:val="ARtabletextright"/>
            </w:pPr>
            <w:r>
              <w:rPr>
                <w:noProof/>
              </w:rPr>
              <w:t>88</w:t>
            </w:r>
          </w:p>
        </w:tc>
        <w:tc>
          <w:tcPr>
            <w:tcW w:w="1022" w:type="dxa"/>
            <w:hideMark/>
          </w:tcPr>
          <w:p w14:paraId="66E4F38C" w14:textId="77777777" w:rsidR="00814857" w:rsidRDefault="00814857" w:rsidP="00894126">
            <w:pPr>
              <w:pStyle w:val="ARtabletextright"/>
            </w:pPr>
            <w:r>
              <w:rPr>
                <w:noProof/>
              </w:rPr>
              <w:t>10.0</w:t>
            </w:r>
          </w:p>
        </w:tc>
        <w:tc>
          <w:tcPr>
            <w:tcW w:w="794" w:type="dxa"/>
            <w:hideMark/>
          </w:tcPr>
          <w:p w14:paraId="786024B0" w14:textId="77777777" w:rsidR="00814857" w:rsidRDefault="00814857" w:rsidP="00894126">
            <w:pPr>
              <w:pStyle w:val="ARtabletextright"/>
            </w:pPr>
            <w:r>
              <w:sym w:font="Wingdings" w:char="F0FC"/>
            </w:r>
          </w:p>
        </w:tc>
      </w:tr>
      <w:tr w:rsidR="00814857" w14:paraId="0A05F62C" w14:textId="77777777" w:rsidTr="00894126">
        <w:trPr>
          <w:cantSplit/>
          <w:trHeight w:val="240"/>
        </w:trPr>
        <w:tc>
          <w:tcPr>
            <w:tcW w:w="9645" w:type="dxa"/>
            <w:gridSpan w:val="6"/>
            <w:tcBorders>
              <w:top w:val="nil"/>
              <w:left w:val="nil"/>
              <w:bottom w:val="single" w:sz="4" w:space="0" w:color="BFBFBF" w:themeColor="background1" w:themeShade="BF"/>
              <w:right w:val="nil"/>
            </w:tcBorders>
            <w:noWrap/>
            <w:hideMark/>
          </w:tcPr>
          <w:p w14:paraId="284C1673" w14:textId="77777777" w:rsidR="00814857" w:rsidRDefault="00814857" w:rsidP="00894126">
            <w:pPr>
              <w:pStyle w:val="ARtablenoteindent"/>
            </w:pPr>
            <w:r>
              <w:rPr>
                <w:noProof/>
              </w:rPr>
              <w:t>The result is higher than the target, reflecting the follow-up by health services of consumers within the community. This is a positive result.</w:t>
            </w:r>
          </w:p>
        </w:tc>
      </w:tr>
      <w:tr w:rsidR="00814857" w14:paraId="6E6D1496"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21C1B8E6" w14:textId="77777777" w:rsidR="00814857" w:rsidRDefault="00814857" w:rsidP="00894126">
            <w:pPr>
              <w:pStyle w:val="ARtabletext"/>
            </w:pPr>
            <w:r>
              <w:rPr>
                <w:noProof/>
              </w:rPr>
              <w:t>Pre-admission community care</w:t>
            </w:r>
          </w:p>
        </w:tc>
        <w:tc>
          <w:tcPr>
            <w:tcW w:w="1021" w:type="dxa"/>
            <w:tcBorders>
              <w:top w:val="single" w:sz="4" w:space="0" w:color="BFBFBF" w:themeColor="background1" w:themeShade="BF"/>
              <w:bottom w:val="single" w:sz="4" w:space="0" w:color="BFBFBF" w:themeColor="background1" w:themeShade="BF"/>
            </w:tcBorders>
            <w:hideMark/>
          </w:tcPr>
          <w:p w14:paraId="1FDF0AE6" w14:textId="77777777" w:rsidR="00814857" w:rsidRDefault="00814857" w:rsidP="00894126">
            <w:pPr>
              <w:pStyle w:val="ARtabletextright"/>
            </w:pPr>
            <w:r>
              <w:rPr>
                <w:noProof/>
              </w:rPr>
              <w:t>per cent</w:t>
            </w:r>
          </w:p>
        </w:tc>
        <w:tc>
          <w:tcPr>
            <w:tcW w:w="1022" w:type="dxa"/>
            <w:tcBorders>
              <w:top w:val="single" w:sz="4" w:space="0" w:color="BFBFBF" w:themeColor="background1" w:themeShade="BF"/>
              <w:bottom w:val="single" w:sz="4" w:space="0" w:color="BFBFBF" w:themeColor="background1" w:themeShade="BF"/>
            </w:tcBorders>
            <w:hideMark/>
          </w:tcPr>
          <w:p w14:paraId="4AB1EE00" w14:textId="77777777" w:rsidR="00814857" w:rsidRDefault="00814857" w:rsidP="00894126">
            <w:pPr>
              <w:pStyle w:val="ARtabletextright"/>
            </w:pPr>
            <w:r>
              <w:rPr>
                <w:noProof/>
              </w:rPr>
              <w:t>61</w:t>
            </w:r>
          </w:p>
        </w:tc>
        <w:tc>
          <w:tcPr>
            <w:tcW w:w="1022" w:type="dxa"/>
            <w:tcBorders>
              <w:top w:val="single" w:sz="4" w:space="0" w:color="BFBFBF" w:themeColor="background1" w:themeShade="BF"/>
              <w:bottom w:val="single" w:sz="4" w:space="0" w:color="BFBFBF" w:themeColor="background1" w:themeShade="BF"/>
            </w:tcBorders>
            <w:hideMark/>
          </w:tcPr>
          <w:p w14:paraId="270444AD" w14:textId="77777777" w:rsidR="00814857" w:rsidRDefault="00814857" w:rsidP="00894126">
            <w:pPr>
              <w:pStyle w:val="ARtabletextright"/>
            </w:pPr>
            <w:r>
              <w:rPr>
                <w:noProof/>
              </w:rPr>
              <w:t>59</w:t>
            </w:r>
          </w:p>
        </w:tc>
        <w:tc>
          <w:tcPr>
            <w:tcW w:w="1022" w:type="dxa"/>
            <w:tcBorders>
              <w:top w:val="single" w:sz="4" w:space="0" w:color="BFBFBF" w:themeColor="background1" w:themeShade="BF"/>
              <w:bottom w:val="single" w:sz="4" w:space="0" w:color="BFBFBF" w:themeColor="background1" w:themeShade="BF"/>
            </w:tcBorders>
            <w:hideMark/>
          </w:tcPr>
          <w:p w14:paraId="69CB700B" w14:textId="77777777" w:rsidR="00814857" w:rsidRDefault="00814857" w:rsidP="00894126">
            <w:pPr>
              <w:pStyle w:val="ARtabletextright"/>
            </w:pPr>
            <w:r>
              <w:rPr>
                <w:noProof/>
              </w:rPr>
              <w:t>-3.3</w:t>
            </w:r>
          </w:p>
        </w:tc>
        <w:tc>
          <w:tcPr>
            <w:tcW w:w="794" w:type="dxa"/>
            <w:tcBorders>
              <w:top w:val="single" w:sz="4" w:space="0" w:color="BFBFBF" w:themeColor="background1" w:themeShade="BF"/>
              <w:bottom w:val="single" w:sz="4" w:space="0" w:color="BFBFBF" w:themeColor="background1" w:themeShade="BF"/>
            </w:tcBorders>
            <w:hideMark/>
          </w:tcPr>
          <w:p w14:paraId="3C9655F9" w14:textId="77777777" w:rsidR="00814857" w:rsidRDefault="00814857" w:rsidP="00894126">
            <w:pPr>
              <w:pStyle w:val="ARtabletextright"/>
            </w:pPr>
            <w:r w:rsidRPr="007939DD">
              <w:sym w:font="Wingdings 2" w:char="F099"/>
            </w:r>
          </w:p>
        </w:tc>
      </w:tr>
      <w:tr w:rsidR="00814857" w14:paraId="4DC2D6EB" w14:textId="77777777" w:rsidTr="00894126">
        <w:trPr>
          <w:cantSplit/>
          <w:trHeight w:val="480"/>
        </w:trPr>
        <w:tc>
          <w:tcPr>
            <w:tcW w:w="4764" w:type="dxa"/>
            <w:tcBorders>
              <w:top w:val="single" w:sz="4" w:space="0" w:color="BFBFBF" w:themeColor="background1" w:themeShade="BF"/>
            </w:tcBorders>
            <w:hideMark/>
          </w:tcPr>
          <w:p w14:paraId="69BBA43E" w14:textId="77777777" w:rsidR="00814857" w:rsidRDefault="00814857" w:rsidP="00894126">
            <w:pPr>
              <w:pStyle w:val="ARtabletext"/>
            </w:pPr>
            <w:r>
              <w:rPr>
                <w:noProof/>
              </w:rPr>
              <w:t>Seclusions per 1,000 occupied bed days</w:t>
            </w:r>
          </w:p>
        </w:tc>
        <w:tc>
          <w:tcPr>
            <w:tcW w:w="1021" w:type="dxa"/>
            <w:tcBorders>
              <w:top w:val="single" w:sz="4" w:space="0" w:color="BFBFBF" w:themeColor="background1" w:themeShade="BF"/>
            </w:tcBorders>
            <w:hideMark/>
          </w:tcPr>
          <w:p w14:paraId="5E98D223" w14:textId="77777777" w:rsidR="00814857" w:rsidRDefault="00814857" w:rsidP="00894126">
            <w:pPr>
              <w:pStyle w:val="ARtabletextright"/>
            </w:pPr>
            <w:r>
              <w:rPr>
                <w:noProof/>
              </w:rPr>
              <w:t>number</w:t>
            </w:r>
          </w:p>
        </w:tc>
        <w:tc>
          <w:tcPr>
            <w:tcW w:w="1022" w:type="dxa"/>
            <w:tcBorders>
              <w:top w:val="single" w:sz="4" w:space="0" w:color="BFBFBF" w:themeColor="background1" w:themeShade="BF"/>
            </w:tcBorders>
            <w:hideMark/>
          </w:tcPr>
          <w:p w14:paraId="27C26CF8" w14:textId="77777777" w:rsidR="00814857" w:rsidRDefault="00814857" w:rsidP="00894126">
            <w:pPr>
              <w:pStyle w:val="ARtabletextright"/>
            </w:pPr>
            <w:r>
              <w:rPr>
                <w:noProof/>
              </w:rPr>
              <w:t>15</w:t>
            </w:r>
          </w:p>
        </w:tc>
        <w:tc>
          <w:tcPr>
            <w:tcW w:w="1022" w:type="dxa"/>
            <w:tcBorders>
              <w:top w:val="single" w:sz="4" w:space="0" w:color="BFBFBF" w:themeColor="background1" w:themeShade="BF"/>
            </w:tcBorders>
            <w:hideMark/>
          </w:tcPr>
          <w:p w14:paraId="68DB4148" w14:textId="77777777" w:rsidR="00814857" w:rsidRDefault="00814857" w:rsidP="00894126">
            <w:pPr>
              <w:pStyle w:val="ARtabletextright"/>
            </w:pPr>
            <w:r>
              <w:rPr>
                <w:noProof/>
              </w:rPr>
              <w:t>8.16</w:t>
            </w:r>
          </w:p>
        </w:tc>
        <w:tc>
          <w:tcPr>
            <w:tcW w:w="1022" w:type="dxa"/>
            <w:tcBorders>
              <w:top w:val="single" w:sz="4" w:space="0" w:color="BFBFBF" w:themeColor="background1" w:themeShade="BF"/>
            </w:tcBorders>
            <w:hideMark/>
          </w:tcPr>
          <w:p w14:paraId="3E64432B" w14:textId="77777777" w:rsidR="00814857" w:rsidRDefault="00814857" w:rsidP="00894126">
            <w:pPr>
              <w:pStyle w:val="ARtabletextright"/>
            </w:pPr>
            <w:r>
              <w:rPr>
                <w:noProof/>
              </w:rPr>
              <w:t>-45.6</w:t>
            </w:r>
          </w:p>
        </w:tc>
        <w:tc>
          <w:tcPr>
            <w:tcW w:w="794" w:type="dxa"/>
            <w:tcBorders>
              <w:top w:val="single" w:sz="4" w:space="0" w:color="BFBFBF" w:themeColor="background1" w:themeShade="BF"/>
            </w:tcBorders>
            <w:hideMark/>
          </w:tcPr>
          <w:p w14:paraId="2771A48F" w14:textId="77777777" w:rsidR="00814857" w:rsidRDefault="00814857" w:rsidP="00894126">
            <w:pPr>
              <w:pStyle w:val="ARtabletextright"/>
            </w:pPr>
            <w:r>
              <w:sym w:font="Wingdings" w:char="F0FC"/>
            </w:r>
          </w:p>
        </w:tc>
      </w:tr>
      <w:tr w:rsidR="00814857" w14:paraId="2DEC5D95" w14:textId="77777777" w:rsidTr="00894126">
        <w:trPr>
          <w:cantSplit/>
          <w:trHeight w:val="240"/>
        </w:trPr>
        <w:tc>
          <w:tcPr>
            <w:tcW w:w="9645" w:type="dxa"/>
            <w:gridSpan w:val="6"/>
            <w:tcBorders>
              <w:top w:val="nil"/>
              <w:left w:val="nil"/>
              <w:bottom w:val="single" w:sz="4" w:space="0" w:color="BFBFBF"/>
              <w:right w:val="nil"/>
            </w:tcBorders>
            <w:noWrap/>
            <w:hideMark/>
          </w:tcPr>
          <w:p w14:paraId="46BBCE76" w14:textId="77777777" w:rsidR="00814857" w:rsidRDefault="00814857" w:rsidP="00894126">
            <w:pPr>
              <w:pStyle w:val="ARtablenoteindent"/>
            </w:pPr>
            <w:r>
              <w:rPr>
                <w:noProof/>
              </w:rPr>
              <w:t xml:space="preserve">15 events per 1,000 bed days is the maximum accepted level for restrictive intervention of seclusion. This is a positive result. </w:t>
            </w:r>
            <w:r>
              <w:t>The 2019–20 target will be lower to reflect the 2018–19 result.</w:t>
            </w:r>
          </w:p>
        </w:tc>
      </w:tr>
      <w:tr w:rsidR="001955CC" w14:paraId="01258B48" w14:textId="77777777" w:rsidTr="00A05EB7">
        <w:trPr>
          <w:cantSplit/>
          <w:trHeight w:val="240"/>
        </w:trPr>
        <w:tc>
          <w:tcPr>
            <w:tcW w:w="9645" w:type="dxa"/>
            <w:gridSpan w:val="6"/>
            <w:tcBorders>
              <w:top w:val="single" w:sz="4" w:space="0" w:color="auto"/>
              <w:left w:val="nil"/>
              <w:bottom w:val="nil"/>
              <w:right w:val="nil"/>
            </w:tcBorders>
            <w:hideMark/>
          </w:tcPr>
          <w:p w14:paraId="6EAD15AD" w14:textId="3BD7003F" w:rsidR="001955CC" w:rsidRDefault="001955CC" w:rsidP="002B4443">
            <w:pPr>
              <w:pStyle w:val="ARtablegreybold"/>
            </w:pPr>
            <w:r>
              <w:t>Timeliness</w:t>
            </w:r>
          </w:p>
        </w:tc>
      </w:tr>
      <w:tr w:rsidR="00814857" w14:paraId="7C57A4DD" w14:textId="77777777" w:rsidTr="00894126">
        <w:trPr>
          <w:cantSplit/>
          <w:trHeight w:val="480"/>
        </w:trPr>
        <w:tc>
          <w:tcPr>
            <w:tcW w:w="4764" w:type="dxa"/>
            <w:hideMark/>
          </w:tcPr>
          <w:p w14:paraId="185CFF55" w14:textId="77777777" w:rsidR="00814857" w:rsidRDefault="00814857" w:rsidP="00894126">
            <w:pPr>
              <w:pStyle w:val="ARtabletext"/>
            </w:pPr>
            <w:r>
              <w:rPr>
                <w:noProof/>
              </w:rPr>
              <w:t>Emergency patients admitted to a mental health bed within eight hours</w:t>
            </w:r>
          </w:p>
        </w:tc>
        <w:tc>
          <w:tcPr>
            <w:tcW w:w="1021" w:type="dxa"/>
            <w:hideMark/>
          </w:tcPr>
          <w:p w14:paraId="42BC1FDE" w14:textId="77777777" w:rsidR="00814857" w:rsidRDefault="00814857" w:rsidP="00894126">
            <w:pPr>
              <w:pStyle w:val="ARtabletextright"/>
            </w:pPr>
            <w:r>
              <w:rPr>
                <w:noProof/>
              </w:rPr>
              <w:t>per cent</w:t>
            </w:r>
          </w:p>
        </w:tc>
        <w:tc>
          <w:tcPr>
            <w:tcW w:w="1022" w:type="dxa"/>
            <w:hideMark/>
          </w:tcPr>
          <w:p w14:paraId="461F71A2" w14:textId="77777777" w:rsidR="00814857" w:rsidRDefault="00814857" w:rsidP="00894126">
            <w:pPr>
              <w:pStyle w:val="ARtabletextright"/>
            </w:pPr>
            <w:r>
              <w:rPr>
                <w:noProof/>
              </w:rPr>
              <w:t>80</w:t>
            </w:r>
          </w:p>
        </w:tc>
        <w:tc>
          <w:tcPr>
            <w:tcW w:w="1022" w:type="dxa"/>
            <w:hideMark/>
          </w:tcPr>
          <w:p w14:paraId="3F573E40" w14:textId="77777777" w:rsidR="00814857" w:rsidRDefault="00814857" w:rsidP="00894126">
            <w:pPr>
              <w:pStyle w:val="ARtabletextright"/>
            </w:pPr>
            <w:r>
              <w:rPr>
                <w:noProof/>
              </w:rPr>
              <w:t>53</w:t>
            </w:r>
          </w:p>
        </w:tc>
        <w:tc>
          <w:tcPr>
            <w:tcW w:w="1022" w:type="dxa"/>
            <w:hideMark/>
          </w:tcPr>
          <w:p w14:paraId="10FBF465" w14:textId="77777777" w:rsidR="00814857" w:rsidRDefault="00814857" w:rsidP="00894126">
            <w:pPr>
              <w:pStyle w:val="ARtabletextright"/>
            </w:pPr>
            <w:r>
              <w:rPr>
                <w:noProof/>
              </w:rPr>
              <w:t>-33.8</w:t>
            </w:r>
          </w:p>
        </w:tc>
        <w:tc>
          <w:tcPr>
            <w:tcW w:w="794" w:type="dxa"/>
            <w:hideMark/>
          </w:tcPr>
          <w:p w14:paraId="2CDB83AF" w14:textId="77777777" w:rsidR="00814857" w:rsidRDefault="00814857" w:rsidP="00894126">
            <w:pPr>
              <w:pStyle w:val="ARtabletextright"/>
            </w:pPr>
            <w:r>
              <w:sym w:font="Wingdings" w:char="F06E"/>
            </w:r>
          </w:p>
        </w:tc>
      </w:tr>
      <w:tr w:rsidR="00814857" w14:paraId="06350032" w14:textId="77777777" w:rsidTr="00894126">
        <w:trPr>
          <w:cantSplit/>
          <w:trHeight w:val="240"/>
        </w:trPr>
        <w:tc>
          <w:tcPr>
            <w:tcW w:w="9645" w:type="dxa"/>
            <w:gridSpan w:val="6"/>
            <w:tcBorders>
              <w:top w:val="nil"/>
              <w:left w:val="nil"/>
              <w:bottom w:val="single" w:sz="4" w:space="0" w:color="BFBFBF"/>
              <w:right w:val="nil"/>
            </w:tcBorders>
            <w:noWrap/>
            <w:hideMark/>
          </w:tcPr>
          <w:p w14:paraId="495CBFC0" w14:textId="77777777" w:rsidR="00814857" w:rsidRDefault="00814857" w:rsidP="00894126">
            <w:pPr>
              <w:pStyle w:val="ARtablenoteindent"/>
            </w:pPr>
            <w:r>
              <w:rPr>
                <w:noProof/>
              </w:rPr>
              <w:t xml:space="preserve">The result is lower than the target due to the increasing trend in the number of people presenting directly to emergency departments. The majority of rural services meet the 80 per cent of emergency patients admitted to a mental health bed within eight hours target, yet results for metropolitan services impact negatively on the statewide results. </w:t>
            </w:r>
            <w:r w:rsidRPr="00F052C6">
              <w:rPr>
                <w:noProof/>
              </w:rPr>
              <w:t xml:space="preserve">The department is addressing demand via </w:t>
            </w:r>
            <w:r>
              <w:rPr>
                <w:noProof/>
              </w:rPr>
              <w:t>the development of Mental Health and Alcohol and Other Drug Emergency Department hubs, clinical uplift of Prevention and Recovery Care Units and Intensive Community Mental Health Packages.</w:t>
            </w:r>
          </w:p>
        </w:tc>
      </w:tr>
      <w:tr w:rsidR="001955CC" w14:paraId="50A61EFE" w14:textId="77777777" w:rsidTr="00A05EB7">
        <w:trPr>
          <w:cantSplit/>
          <w:trHeight w:val="240"/>
        </w:trPr>
        <w:tc>
          <w:tcPr>
            <w:tcW w:w="9645" w:type="dxa"/>
            <w:gridSpan w:val="6"/>
            <w:tcBorders>
              <w:top w:val="single" w:sz="4" w:space="0" w:color="auto"/>
              <w:left w:val="nil"/>
              <w:bottom w:val="nil"/>
              <w:right w:val="nil"/>
            </w:tcBorders>
            <w:hideMark/>
          </w:tcPr>
          <w:p w14:paraId="22F5F433" w14:textId="40E7536B" w:rsidR="001955CC" w:rsidRDefault="001955CC" w:rsidP="002B4443">
            <w:pPr>
              <w:pStyle w:val="ARtablegreybold"/>
            </w:pPr>
            <w:r>
              <w:t>Cost</w:t>
            </w:r>
          </w:p>
        </w:tc>
      </w:tr>
      <w:tr w:rsidR="00814857" w14:paraId="476D7B73" w14:textId="77777777" w:rsidTr="00894126">
        <w:trPr>
          <w:cantSplit/>
          <w:trHeight w:val="480"/>
        </w:trPr>
        <w:tc>
          <w:tcPr>
            <w:tcW w:w="4764" w:type="dxa"/>
            <w:hideMark/>
          </w:tcPr>
          <w:p w14:paraId="0FFFE7A5" w14:textId="77777777" w:rsidR="00814857" w:rsidRPr="005A6F56" w:rsidRDefault="00814857" w:rsidP="00894126">
            <w:pPr>
              <w:pStyle w:val="ARtabletext"/>
              <w:rPr>
                <w:b/>
              </w:rPr>
            </w:pPr>
            <w:r w:rsidRPr="005A6F56">
              <w:rPr>
                <w:b/>
                <w:noProof/>
              </w:rPr>
              <w:t xml:space="preserve">Total </w:t>
            </w:r>
            <w:r>
              <w:rPr>
                <w:b/>
                <w:noProof/>
              </w:rPr>
              <w:t>o</w:t>
            </w:r>
            <w:r w:rsidRPr="005A6F56">
              <w:rPr>
                <w:b/>
                <w:noProof/>
              </w:rPr>
              <w:t xml:space="preserve">utput </w:t>
            </w:r>
            <w:r>
              <w:rPr>
                <w:b/>
                <w:noProof/>
              </w:rPr>
              <w:t>c</w:t>
            </w:r>
            <w:r w:rsidRPr="005A6F56">
              <w:rPr>
                <w:b/>
                <w:noProof/>
              </w:rPr>
              <w:t>ost</w:t>
            </w:r>
          </w:p>
        </w:tc>
        <w:tc>
          <w:tcPr>
            <w:tcW w:w="1021" w:type="dxa"/>
            <w:hideMark/>
          </w:tcPr>
          <w:p w14:paraId="67665199" w14:textId="77777777" w:rsidR="00814857" w:rsidRPr="005A6F56" w:rsidRDefault="00814857" w:rsidP="00894126">
            <w:pPr>
              <w:pStyle w:val="ARtabletextright"/>
              <w:rPr>
                <w:b/>
              </w:rPr>
            </w:pPr>
            <w:r w:rsidRPr="005A6F56">
              <w:rPr>
                <w:b/>
                <w:noProof/>
              </w:rPr>
              <w:t>$ million</w:t>
            </w:r>
          </w:p>
        </w:tc>
        <w:tc>
          <w:tcPr>
            <w:tcW w:w="1022" w:type="dxa"/>
            <w:hideMark/>
          </w:tcPr>
          <w:p w14:paraId="5B553E4F" w14:textId="77777777" w:rsidR="00814857" w:rsidRPr="005A6F56" w:rsidRDefault="00814857" w:rsidP="00894126">
            <w:pPr>
              <w:pStyle w:val="ARtabletextright"/>
              <w:rPr>
                <w:b/>
              </w:rPr>
            </w:pPr>
            <w:r w:rsidRPr="005A6F56">
              <w:rPr>
                <w:b/>
                <w:noProof/>
              </w:rPr>
              <w:t>1,506.8</w:t>
            </w:r>
          </w:p>
        </w:tc>
        <w:tc>
          <w:tcPr>
            <w:tcW w:w="1022" w:type="dxa"/>
            <w:hideMark/>
          </w:tcPr>
          <w:p w14:paraId="704453D5" w14:textId="77777777" w:rsidR="00814857" w:rsidRPr="005A6F56" w:rsidRDefault="00814857" w:rsidP="00894126">
            <w:pPr>
              <w:pStyle w:val="ARtabletextright"/>
              <w:rPr>
                <w:b/>
              </w:rPr>
            </w:pPr>
            <w:r w:rsidRPr="005A6F56">
              <w:rPr>
                <w:b/>
                <w:noProof/>
              </w:rPr>
              <w:t>1,542.1</w:t>
            </w:r>
          </w:p>
        </w:tc>
        <w:tc>
          <w:tcPr>
            <w:tcW w:w="1022" w:type="dxa"/>
            <w:hideMark/>
          </w:tcPr>
          <w:p w14:paraId="08510B3E" w14:textId="77777777" w:rsidR="00814857" w:rsidRPr="005A6F56" w:rsidRDefault="00814857" w:rsidP="00894126">
            <w:pPr>
              <w:pStyle w:val="ARtabletextright"/>
              <w:rPr>
                <w:b/>
              </w:rPr>
            </w:pPr>
            <w:r w:rsidRPr="005A6F56">
              <w:rPr>
                <w:b/>
                <w:noProof/>
              </w:rPr>
              <w:t>2.3</w:t>
            </w:r>
          </w:p>
        </w:tc>
        <w:tc>
          <w:tcPr>
            <w:tcW w:w="794" w:type="dxa"/>
            <w:hideMark/>
          </w:tcPr>
          <w:p w14:paraId="2828FC8D" w14:textId="77777777" w:rsidR="00814857" w:rsidRPr="005A6F56" w:rsidRDefault="00814857" w:rsidP="008F035E">
            <w:pPr>
              <w:pStyle w:val="ARtabletextright"/>
              <w:rPr>
                <w:b/>
              </w:rPr>
            </w:pPr>
          </w:p>
        </w:tc>
      </w:tr>
      <w:tr w:rsidR="001955CC" w14:paraId="281C7ECA"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0901E0DF" w14:textId="6E9388F6" w:rsidR="001955CC" w:rsidRDefault="001955CC" w:rsidP="002B4443">
            <w:pPr>
              <w:pStyle w:val="ARtablebluebold"/>
            </w:pPr>
            <w:bookmarkStart w:id="65" w:name="_Hlk21519336"/>
            <w:r>
              <w:t>Mental Health Community Support Services (MHCSS)</w:t>
            </w:r>
          </w:p>
        </w:tc>
      </w:tr>
      <w:bookmarkEnd w:id="65"/>
      <w:tr w:rsidR="001955CC" w14:paraId="5F0DD45A" w14:textId="77777777" w:rsidTr="00A05EB7">
        <w:trPr>
          <w:cantSplit/>
          <w:trHeight w:val="240"/>
        </w:trPr>
        <w:tc>
          <w:tcPr>
            <w:tcW w:w="9645" w:type="dxa"/>
            <w:gridSpan w:val="6"/>
            <w:tcBorders>
              <w:top w:val="single" w:sz="4" w:space="0" w:color="auto"/>
              <w:left w:val="nil"/>
              <w:bottom w:val="nil"/>
              <w:right w:val="nil"/>
            </w:tcBorders>
            <w:hideMark/>
          </w:tcPr>
          <w:p w14:paraId="7CA4F311" w14:textId="24B9E292" w:rsidR="001955CC" w:rsidRDefault="001955CC" w:rsidP="008F035E">
            <w:pPr>
              <w:pStyle w:val="ARtablegreybold"/>
            </w:pPr>
            <w:r>
              <w:t>Quantity</w:t>
            </w:r>
          </w:p>
        </w:tc>
      </w:tr>
      <w:tr w:rsidR="00814857" w14:paraId="73993B83" w14:textId="77777777" w:rsidTr="00894126">
        <w:trPr>
          <w:cantSplit/>
          <w:trHeight w:val="480"/>
        </w:trPr>
        <w:tc>
          <w:tcPr>
            <w:tcW w:w="4764" w:type="dxa"/>
            <w:hideMark/>
          </w:tcPr>
          <w:p w14:paraId="3098603B" w14:textId="77777777" w:rsidR="00814857" w:rsidRDefault="00814857" w:rsidP="00894126">
            <w:pPr>
              <w:pStyle w:val="ARtabletext"/>
            </w:pPr>
            <w:r>
              <w:rPr>
                <w:noProof/>
              </w:rPr>
              <w:t>Bed days</w:t>
            </w:r>
          </w:p>
        </w:tc>
        <w:tc>
          <w:tcPr>
            <w:tcW w:w="1021" w:type="dxa"/>
            <w:hideMark/>
          </w:tcPr>
          <w:p w14:paraId="60B0819C" w14:textId="77777777" w:rsidR="00814857" w:rsidRDefault="00814857" w:rsidP="00894126">
            <w:pPr>
              <w:pStyle w:val="ARtabletextright"/>
            </w:pPr>
            <w:r>
              <w:rPr>
                <w:noProof/>
              </w:rPr>
              <w:t>number</w:t>
            </w:r>
          </w:p>
        </w:tc>
        <w:tc>
          <w:tcPr>
            <w:tcW w:w="1022" w:type="dxa"/>
            <w:hideMark/>
          </w:tcPr>
          <w:p w14:paraId="6E693721" w14:textId="77777777" w:rsidR="00814857" w:rsidRDefault="00814857" w:rsidP="00894126">
            <w:pPr>
              <w:pStyle w:val="ARtabletextright"/>
            </w:pPr>
            <w:r>
              <w:rPr>
                <w:noProof/>
              </w:rPr>
              <w:t>47,940</w:t>
            </w:r>
          </w:p>
        </w:tc>
        <w:tc>
          <w:tcPr>
            <w:tcW w:w="1022" w:type="dxa"/>
            <w:hideMark/>
          </w:tcPr>
          <w:p w14:paraId="5574D7AF" w14:textId="77777777" w:rsidR="00814857" w:rsidRDefault="00814857" w:rsidP="00894126">
            <w:pPr>
              <w:pStyle w:val="ARtabletextright"/>
            </w:pPr>
            <w:r>
              <w:rPr>
                <w:noProof/>
              </w:rPr>
              <w:t>62,417</w:t>
            </w:r>
          </w:p>
        </w:tc>
        <w:tc>
          <w:tcPr>
            <w:tcW w:w="1022" w:type="dxa"/>
            <w:hideMark/>
          </w:tcPr>
          <w:p w14:paraId="7E834796" w14:textId="77777777" w:rsidR="00814857" w:rsidRDefault="00814857" w:rsidP="00894126">
            <w:pPr>
              <w:pStyle w:val="ARtabletextright"/>
            </w:pPr>
            <w:r>
              <w:rPr>
                <w:noProof/>
              </w:rPr>
              <w:t>30.2</w:t>
            </w:r>
          </w:p>
        </w:tc>
        <w:tc>
          <w:tcPr>
            <w:tcW w:w="794" w:type="dxa"/>
            <w:hideMark/>
          </w:tcPr>
          <w:p w14:paraId="0D5E3EBB" w14:textId="77777777" w:rsidR="00814857" w:rsidRDefault="00814857" w:rsidP="00894126">
            <w:pPr>
              <w:pStyle w:val="ARtabletextright"/>
            </w:pPr>
            <w:r>
              <w:sym w:font="Wingdings" w:char="F0FC"/>
            </w:r>
          </w:p>
        </w:tc>
      </w:tr>
      <w:tr w:rsidR="00814857" w14:paraId="33015927" w14:textId="77777777" w:rsidTr="00894126">
        <w:trPr>
          <w:cantSplit/>
          <w:trHeight w:val="240"/>
        </w:trPr>
        <w:tc>
          <w:tcPr>
            <w:tcW w:w="9645" w:type="dxa"/>
            <w:gridSpan w:val="6"/>
            <w:tcBorders>
              <w:top w:val="nil"/>
              <w:left w:val="nil"/>
              <w:bottom w:val="single" w:sz="4" w:space="0" w:color="BFBFBF" w:themeColor="background1" w:themeShade="BF"/>
              <w:right w:val="nil"/>
            </w:tcBorders>
            <w:noWrap/>
            <w:hideMark/>
          </w:tcPr>
          <w:p w14:paraId="588CF78A" w14:textId="522CFC57" w:rsidR="00814857" w:rsidRDefault="00814857" w:rsidP="00894126">
            <w:pPr>
              <w:pStyle w:val="ARtablenoteindent"/>
            </w:pPr>
            <w:r>
              <w:rPr>
                <w:noProof/>
              </w:rPr>
              <w:t>The result is higher than the target, due to a slower than anticipated number of clients of defined bed</w:t>
            </w:r>
            <w:r w:rsidR="001F4A28">
              <w:rPr>
                <w:noProof/>
              </w:rPr>
              <w:t>-</w:t>
            </w:r>
            <w:r>
              <w:rPr>
                <w:noProof/>
              </w:rPr>
              <w:t xml:space="preserve">based services that have transitioned to the National Disability Insurance Scheme (NDIS). </w:t>
            </w:r>
            <w:r>
              <w:t>The 2019–20 target has been increased to reflect continued funding of a Supported Accommodation Service which is no longer in scope for transition to the NDIS.</w:t>
            </w:r>
          </w:p>
        </w:tc>
      </w:tr>
      <w:tr w:rsidR="00814857" w14:paraId="160EB055"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55C5F5D9" w14:textId="77777777" w:rsidR="00814857" w:rsidRDefault="00814857" w:rsidP="00894126">
            <w:pPr>
              <w:pStyle w:val="ARtabletext"/>
            </w:pPr>
            <w:r>
              <w:rPr>
                <w:noProof/>
              </w:rPr>
              <w:t>Client Support Units</w:t>
            </w:r>
          </w:p>
        </w:tc>
        <w:tc>
          <w:tcPr>
            <w:tcW w:w="1021" w:type="dxa"/>
            <w:tcBorders>
              <w:top w:val="single" w:sz="4" w:space="0" w:color="BFBFBF" w:themeColor="background1" w:themeShade="BF"/>
              <w:bottom w:val="single" w:sz="4" w:space="0" w:color="BFBFBF" w:themeColor="background1" w:themeShade="BF"/>
            </w:tcBorders>
            <w:hideMark/>
          </w:tcPr>
          <w:p w14:paraId="26756704" w14:textId="77777777" w:rsidR="00814857" w:rsidRDefault="00814857" w:rsidP="00894126">
            <w:pPr>
              <w:pStyle w:val="ARtabletextright"/>
            </w:pPr>
            <w:r>
              <w:rPr>
                <w:noProof/>
              </w:rPr>
              <w:t>number</w:t>
            </w:r>
          </w:p>
        </w:tc>
        <w:tc>
          <w:tcPr>
            <w:tcW w:w="1022" w:type="dxa"/>
            <w:tcBorders>
              <w:top w:val="single" w:sz="4" w:space="0" w:color="BFBFBF" w:themeColor="background1" w:themeShade="BF"/>
              <w:bottom w:val="single" w:sz="4" w:space="0" w:color="BFBFBF" w:themeColor="background1" w:themeShade="BF"/>
            </w:tcBorders>
            <w:hideMark/>
          </w:tcPr>
          <w:p w14:paraId="00FDCE7D" w14:textId="77777777" w:rsidR="00814857" w:rsidRDefault="00814857" w:rsidP="00894126">
            <w:pPr>
              <w:pStyle w:val="ARtabletextright"/>
            </w:pPr>
            <w:r>
              <w:rPr>
                <w:noProof/>
              </w:rPr>
              <w:t>317,600</w:t>
            </w:r>
          </w:p>
        </w:tc>
        <w:tc>
          <w:tcPr>
            <w:tcW w:w="1022" w:type="dxa"/>
            <w:tcBorders>
              <w:top w:val="single" w:sz="4" w:space="0" w:color="BFBFBF" w:themeColor="background1" w:themeShade="BF"/>
              <w:bottom w:val="single" w:sz="4" w:space="0" w:color="BFBFBF" w:themeColor="background1" w:themeShade="BF"/>
            </w:tcBorders>
            <w:hideMark/>
          </w:tcPr>
          <w:p w14:paraId="23E73035" w14:textId="77777777" w:rsidR="00814857" w:rsidRDefault="00814857" w:rsidP="00894126">
            <w:pPr>
              <w:pStyle w:val="ARtabletextright"/>
            </w:pPr>
            <w:r>
              <w:rPr>
                <w:noProof/>
              </w:rPr>
              <w:t>338,835</w:t>
            </w:r>
          </w:p>
        </w:tc>
        <w:tc>
          <w:tcPr>
            <w:tcW w:w="1022" w:type="dxa"/>
            <w:tcBorders>
              <w:top w:val="single" w:sz="4" w:space="0" w:color="BFBFBF" w:themeColor="background1" w:themeShade="BF"/>
              <w:bottom w:val="single" w:sz="4" w:space="0" w:color="BFBFBF" w:themeColor="background1" w:themeShade="BF"/>
            </w:tcBorders>
            <w:hideMark/>
          </w:tcPr>
          <w:p w14:paraId="77312DD4" w14:textId="77777777" w:rsidR="00814857" w:rsidRDefault="00814857" w:rsidP="00894126">
            <w:pPr>
              <w:pStyle w:val="ARtabletextright"/>
            </w:pPr>
            <w:r>
              <w:rPr>
                <w:noProof/>
              </w:rPr>
              <w:t>6.7</w:t>
            </w:r>
          </w:p>
        </w:tc>
        <w:tc>
          <w:tcPr>
            <w:tcW w:w="794" w:type="dxa"/>
            <w:tcBorders>
              <w:top w:val="single" w:sz="4" w:space="0" w:color="BFBFBF" w:themeColor="background1" w:themeShade="BF"/>
              <w:bottom w:val="single" w:sz="4" w:space="0" w:color="BFBFBF" w:themeColor="background1" w:themeShade="BF"/>
            </w:tcBorders>
            <w:hideMark/>
          </w:tcPr>
          <w:p w14:paraId="34B81BC9" w14:textId="77777777" w:rsidR="00814857" w:rsidRDefault="00814857" w:rsidP="00894126">
            <w:pPr>
              <w:pStyle w:val="ARtabletextright"/>
            </w:pPr>
            <w:r>
              <w:sym w:font="Wingdings" w:char="F0FC"/>
            </w:r>
          </w:p>
        </w:tc>
      </w:tr>
      <w:tr w:rsidR="00814857" w14:paraId="51995C99" w14:textId="77777777" w:rsidTr="00894126">
        <w:trPr>
          <w:cantSplit/>
          <w:trHeight w:val="480"/>
        </w:trPr>
        <w:tc>
          <w:tcPr>
            <w:tcW w:w="4764" w:type="dxa"/>
            <w:tcBorders>
              <w:top w:val="single" w:sz="4" w:space="0" w:color="BFBFBF" w:themeColor="background1" w:themeShade="BF"/>
            </w:tcBorders>
            <w:hideMark/>
          </w:tcPr>
          <w:p w14:paraId="4C8F7D34" w14:textId="77777777" w:rsidR="00814857" w:rsidRDefault="00814857" w:rsidP="00894126">
            <w:pPr>
              <w:pStyle w:val="ARtabletext"/>
            </w:pPr>
            <w:r>
              <w:rPr>
                <w:noProof/>
              </w:rPr>
              <w:t>Clients receiving community mental health support services</w:t>
            </w:r>
          </w:p>
        </w:tc>
        <w:tc>
          <w:tcPr>
            <w:tcW w:w="1021" w:type="dxa"/>
            <w:tcBorders>
              <w:top w:val="single" w:sz="4" w:space="0" w:color="BFBFBF" w:themeColor="background1" w:themeShade="BF"/>
            </w:tcBorders>
            <w:hideMark/>
          </w:tcPr>
          <w:p w14:paraId="37C302F1" w14:textId="77777777" w:rsidR="00814857" w:rsidRDefault="00814857" w:rsidP="00894126">
            <w:pPr>
              <w:pStyle w:val="ARtabletextright"/>
            </w:pPr>
            <w:r>
              <w:rPr>
                <w:noProof/>
              </w:rPr>
              <w:t>number</w:t>
            </w:r>
          </w:p>
        </w:tc>
        <w:tc>
          <w:tcPr>
            <w:tcW w:w="1022" w:type="dxa"/>
            <w:tcBorders>
              <w:top w:val="single" w:sz="4" w:space="0" w:color="BFBFBF" w:themeColor="background1" w:themeShade="BF"/>
            </w:tcBorders>
            <w:hideMark/>
          </w:tcPr>
          <w:p w14:paraId="4F54A33A" w14:textId="77777777" w:rsidR="00814857" w:rsidRDefault="00814857" w:rsidP="00894126">
            <w:pPr>
              <w:pStyle w:val="ARtabletextright"/>
            </w:pPr>
            <w:r>
              <w:rPr>
                <w:noProof/>
              </w:rPr>
              <w:t>6,440</w:t>
            </w:r>
          </w:p>
        </w:tc>
        <w:tc>
          <w:tcPr>
            <w:tcW w:w="1022" w:type="dxa"/>
            <w:tcBorders>
              <w:top w:val="single" w:sz="4" w:space="0" w:color="BFBFBF" w:themeColor="background1" w:themeShade="BF"/>
            </w:tcBorders>
            <w:hideMark/>
          </w:tcPr>
          <w:p w14:paraId="7D06D370" w14:textId="77777777" w:rsidR="00814857" w:rsidRDefault="00814857" w:rsidP="00894126">
            <w:pPr>
              <w:pStyle w:val="ARtabletextright"/>
            </w:pPr>
            <w:r>
              <w:rPr>
                <w:noProof/>
              </w:rPr>
              <w:t>5,732</w:t>
            </w:r>
          </w:p>
        </w:tc>
        <w:tc>
          <w:tcPr>
            <w:tcW w:w="1022" w:type="dxa"/>
            <w:tcBorders>
              <w:top w:val="single" w:sz="4" w:space="0" w:color="BFBFBF" w:themeColor="background1" w:themeShade="BF"/>
            </w:tcBorders>
            <w:hideMark/>
          </w:tcPr>
          <w:p w14:paraId="09EA7B0F" w14:textId="77777777" w:rsidR="00814857" w:rsidRDefault="00814857" w:rsidP="00894126">
            <w:pPr>
              <w:pStyle w:val="ARtabletextright"/>
            </w:pPr>
            <w:r>
              <w:rPr>
                <w:noProof/>
              </w:rPr>
              <w:t>-11.0</w:t>
            </w:r>
          </w:p>
        </w:tc>
        <w:tc>
          <w:tcPr>
            <w:tcW w:w="794" w:type="dxa"/>
            <w:tcBorders>
              <w:top w:val="single" w:sz="4" w:space="0" w:color="BFBFBF" w:themeColor="background1" w:themeShade="BF"/>
            </w:tcBorders>
            <w:hideMark/>
          </w:tcPr>
          <w:p w14:paraId="037F9C3C" w14:textId="77777777" w:rsidR="00814857" w:rsidRDefault="00814857" w:rsidP="00894126">
            <w:pPr>
              <w:pStyle w:val="ARtabletextright"/>
            </w:pPr>
            <w:r>
              <w:sym w:font="Wingdings" w:char="F06E"/>
            </w:r>
          </w:p>
        </w:tc>
      </w:tr>
      <w:tr w:rsidR="00814857" w14:paraId="35DBBDD2" w14:textId="77777777" w:rsidTr="00894126">
        <w:trPr>
          <w:cantSplit/>
          <w:trHeight w:val="240"/>
        </w:trPr>
        <w:tc>
          <w:tcPr>
            <w:tcW w:w="9645" w:type="dxa"/>
            <w:gridSpan w:val="6"/>
            <w:tcBorders>
              <w:top w:val="nil"/>
              <w:left w:val="nil"/>
              <w:bottom w:val="single" w:sz="4" w:space="0" w:color="BFBFBF"/>
              <w:right w:val="nil"/>
            </w:tcBorders>
            <w:noWrap/>
            <w:hideMark/>
          </w:tcPr>
          <w:p w14:paraId="03823945" w14:textId="7D5108D3" w:rsidR="00814857" w:rsidRDefault="00814857" w:rsidP="00894126">
            <w:pPr>
              <w:pStyle w:val="ARtablenoteindent"/>
            </w:pPr>
            <w:r>
              <w:rPr>
                <w:noProof/>
              </w:rPr>
              <w:t xml:space="preserve">The result is lower than the target, due to a greater than anticipated number of clients of </w:t>
            </w:r>
            <w:r w:rsidRPr="00652A91">
              <w:rPr>
                <w:noProof/>
              </w:rPr>
              <w:t>Mental Health Community Support Services</w:t>
            </w:r>
            <w:r w:rsidR="001F4A28">
              <w:rPr>
                <w:noProof/>
              </w:rPr>
              <w:t xml:space="preserve"> </w:t>
            </w:r>
            <w:r>
              <w:rPr>
                <w:noProof/>
              </w:rPr>
              <w:t xml:space="preserve">defined programs that transitioned to the NDIS in 2018–19. </w:t>
            </w:r>
            <w:r>
              <w:t xml:space="preserve">The target for 2019–20 has been reduced to reflect the transfer of Individualised Client Support Package clients to the </w:t>
            </w:r>
            <w:r w:rsidR="003E193B" w:rsidRPr="003E193B">
              <w:t xml:space="preserve">National Disability Insurance Scheme </w:t>
            </w:r>
            <w:r w:rsidR="003E193B">
              <w:t>(</w:t>
            </w:r>
            <w:r>
              <w:t>NDIS</w:t>
            </w:r>
            <w:r w:rsidR="003E193B">
              <w:t>)</w:t>
            </w:r>
            <w:r>
              <w:t>.</w:t>
            </w:r>
          </w:p>
        </w:tc>
      </w:tr>
      <w:tr w:rsidR="001955CC" w14:paraId="5F2A3F93" w14:textId="77777777" w:rsidTr="001955CC">
        <w:trPr>
          <w:cantSplit/>
          <w:trHeight w:val="240"/>
        </w:trPr>
        <w:tc>
          <w:tcPr>
            <w:tcW w:w="9645" w:type="dxa"/>
            <w:gridSpan w:val="6"/>
            <w:tcBorders>
              <w:top w:val="single" w:sz="4" w:space="0" w:color="auto"/>
              <w:left w:val="nil"/>
              <w:right w:val="nil"/>
            </w:tcBorders>
            <w:hideMark/>
          </w:tcPr>
          <w:p w14:paraId="32436945" w14:textId="33AB2249" w:rsidR="001955CC" w:rsidRDefault="001955CC" w:rsidP="002B4443">
            <w:pPr>
              <w:pStyle w:val="ARtablegreybold"/>
            </w:pPr>
            <w:r>
              <w:t>Quality</w:t>
            </w:r>
          </w:p>
        </w:tc>
      </w:tr>
      <w:tr w:rsidR="00814857" w14:paraId="7B4D5DB8" w14:textId="77777777" w:rsidTr="001955CC">
        <w:trPr>
          <w:cantSplit/>
          <w:trHeight w:val="480"/>
        </w:trPr>
        <w:tc>
          <w:tcPr>
            <w:tcW w:w="4764" w:type="dxa"/>
            <w:tcBorders>
              <w:bottom w:val="single" w:sz="4" w:space="0" w:color="auto"/>
            </w:tcBorders>
            <w:hideMark/>
          </w:tcPr>
          <w:p w14:paraId="72D5DD7D" w14:textId="77777777" w:rsidR="00814857" w:rsidRDefault="00814857" w:rsidP="00894126">
            <w:pPr>
              <w:pStyle w:val="ARtabletext"/>
            </w:pPr>
            <w:r>
              <w:rPr>
                <w:noProof/>
              </w:rPr>
              <w:t>Proportion of major agencies accredited</w:t>
            </w:r>
          </w:p>
        </w:tc>
        <w:tc>
          <w:tcPr>
            <w:tcW w:w="1021" w:type="dxa"/>
            <w:tcBorders>
              <w:bottom w:val="single" w:sz="4" w:space="0" w:color="auto"/>
            </w:tcBorders>
            <w:hideMark/>
          </w:tcPr>
          <w:p w14:paraId="119F049E" w14:textId="77777777" w:rsidR="00814857" w:rsidRDefault="00814857" w:rsidP="00894126">
            <w:pPr>
              <w:pStyle w:val="ARtabletextright"/>
            </w:pPr>
            <w:r>
              <w:rPr>
                <w:noProof/>
              </w:rPr>
              <w:t>per cent</w:t>
            </w:r>
          </w:p>
        </w:tc>
        <w:tc>
          <w:tcPr>
            <w:tcW w:w="1022" w:type="dxa"/>
            <w:tcBorders>
              <w:bottom w:val="single" w:sz="4" w:space="0" w:color="auto"/>
            </w:tcBorders>
            <w:hideMark/>
          </w:tcPr>
          <w:p w14:paraId="1C80CCC9" w14:textId="77777777" w:rsidR="00814857" w:rsidRDefault="00814857" w:rsidP="00894126">
            <w:pPr>
              <w:pStyle w:val="ARtabletextright"/>
            </w:pPr>
            <w:r>
              <w:rPr>
                <w:noProof/>
              </w:rPr>
              <w:t>100</w:t>
            </w:r>
          </w:p>
        </w:tc>
        <w:tc>
          <w:tcPr>
            <w:tcW w:w="1022" w:type="dxa"/>
            <w:tcBorders>
              <w:bottom w:val="single" w:sz="4" w:space="0" w:color="auto"/>
            </w:tcBorders>
            <w:hideMark/>
          </w:tcPr>
          <w:p w14:paraId="143CF504" w14:textId="77777777" w:rsidR="00814857" w:rsidRDefault="00814857" w:rsidP="00894126">
            <w:pPr>
              <w:pStyle w:val="ARtabletextright"/>
            </w:pPr>
            <w:r>
              <w:rPr>
                <w:noProof/>
              </w:rPr>
              <w:t>100</w:t>
            </w:r>
          </w:p>
        </w:tc>
        <w:tc>
          <w:tcPr>
            <w:tcW w:w="1022" w:type="dxa"/>
            <w:tcBorders>
              <w:bottom w:val="single" w:sz="4" w:space="0" w:color="auto"/>
            </w:tcBorders>
            <w:hideMark/>
          </w:tcPr>
          <w:p w14:paraId="01906490" w14:textId="77777777" w:rsidR="00814857" w:rsidRDefault="00814857" w:rsidP="00894126">
            <w:pPr>
              <w:pStyle w:val="ARtabletextright"/>
            </w:pPr>
            <w:r>
              <w:rPr>
                <w:noProof/>
              </w:rPr>
              <w:t>0.0</w:t>
            </w:r>
          </w:p>
        </w:tc>
        <w:tc>
          <w:tcPr>
            <w:tcW w:w="794" w:type="dxa"/>
            <w:tcBorders>
              <w:bottom w:val="single" w:sz="4" w:space="0" w:color="auto"/>
            </w:tcBorders>
            <w:hideMark/>
          </w:tcPr>
          <w:p w14:paraId="1B6E8E14" w14:textId="77777777" w:rsidR="00814857" w:rsidRDefault="00814857" w:rsidP="00894126">
            <w:pPr>
              <w:pStyle w:val="ARtabletextright"/>
            </w:pPr>
            <w:r>
              <w:sym w:font="Wingdings" w:char="F0FC"/>
            </w:r>
          </w:p>
        </w:tc>
      </w:tr>
      <w:tr w:rsidR="001955CC" w14:paraId="280342A0" w14:textId="77777777" w:rsidTr="001955CC">
        <w:trPr>
          <w:cantSplit/>
          <w:trHeight w:val="240"/>
        </w:trPr>
        <w:tc>
          <w:tcPr>
            <w:tcW w:w="9645" w:type="dxa"/>
            <w:gridSpan w:val="6"/>
            <w:tcBorders>
              <w:top w:val="single" w:sz="4" w:space="0" w:color="auto"/>
              <w:left w:val="nil"/>
              <w:bottom w:val="nil"/>
              <w:right w:val="nil"/>
            </w:tcBorders>
            <w:hideMark/>
          </w:tcPr>
          <w:p w14:paraId="3F8337DF" w14:textId="662A9F5A" w:rsidR="001955CC" w:rsidRDefault="001955CC" w:rsidP="002B4443">
            <w:pPr>
              <w:pStyle w:val="ARtablegreybold"/>
            </w:pPr>
            <w:r>
              <w:lastRenderedPageBreak/>
              <w:t>Cost</w:t>
            </w:r>
          </w:p>
        </w:tc>
      </w:tr>
      <w:tr w:rsidR="00814857" w14:paraId="44BF688A" w14:textId="77777777" w:rsidTr="0056128E">
        <w:trPr>
          <w:cantSplit/>
          <w:trHeight w:val="480"/>
        </w:trPr>
        <w:tc>
          <w:tcPr>
            <w:tcW w:w="4764" w:type="dxa"/>
            <w:hideMark/>
          </w:tcPr>
          <w:p w14:paraId="201FBB16" w14:textId="77777777" w:rsidR="00814857" w:rsidRPr="004305B0" w:rsidRDefault="00814857" w:rsidP="00894126">
            <w:pPr>
              <w:pStyle w:val="ARtabletext"/>
              <w:rPr>
                <w:b/>
              </w:rPr>
            </w:pPr>
            <w:bookmarkStart w:id="66" w:name="_Hlk21519328"/>
            <w:r w:rsidRPr="004305B0">
              <w:rPr>
                <w:b/>
                <w:noProof/>
              </w:rPr>
              <w:t xml:space="preserve">Total </w:t>
            </w:r>
            <w:r>
              <w:rPr>
                <w:b/>
                <w:noProof/>
              </w:rPr>
              <w:t>o</w:t>
            </w:r>
            <w:r w:rsidRPr="004305B0">
              <w:rPr>
                <w:b/>
                <w:noProof/>
              </w:rPr>
              <w:t xml:space="preserve">utput </w:t>
            </w:r>
            <w:r>
              <w:rPr>
                <w:b/>
                <w:noProof/>
              </w:rPr>
              <w:t>c</w:t>
            </w:r>
            <w:r w:rsidRPr="004305B0">
              <w:rPr>
                <w:b/>
                <w:noProof/>
              </w:rPr>
              <w:t>ost</w:t>
            </w:r>
          </w:p>
        </w:tc>
        <w:tc>
          <w:tcPr>
            <w:tcW w:w="1021" w:type="dxa"/>
            <w:hideMark/>
          </w:tcPr>
          <w:p w14:paraId="7C58EEFD" w14:textId="77777777" w:rsidR="00814857" w:rsidRPr="004305B0" w:rsidRDefault="00814857" w:rsidP="00894126">
            <w:pPr>
              <w:pStyle w:val="ARtabletextright"/>
              <w:rPr>
                <w:b/>
                <w:noProof/>
              </w:rPr>
            </w:pPr>
            <w:r w:rsidRPr="004305B0">
              <w:rPr>
                <w:b/>
                <w:noProof/>
              </w:rPr>
              <w:t>$ million</w:t>
            </w:r>
          </w:p>
        </w:tc>
        <w:tc>
          <w:tcPr>
            <w:tcW w:w="1022" w:type="dxa"/>
            <w:hideMark/>
          </w:tcPr>
          <w:p w14:paraId="7AD5625B" w14:textId="77777777" w:rsidR="00814857" w:rsidRPr="004305B0" w:rsidRDefault="00814857" w:rsidP="00894126">
            <w:pPr>
              <w:pStyle w:val="ARtabletextright"/>
              <w:rPr>
                <w:b/>
                <w:noProof/>
              </w:rPr>
            </w:pPr>
            <w:r w:rsidRPr="004305B0">
              <w:rPr>
                <w:b/>
                <w:noProof/>
              </w:rPr>
              <w:t>98.9</w:t>
            </w:r>
          </w:p>
        </w:tc>
        <w:tc>
          <w:tcPr>
            <w:tcW w:w="1022" w:type="dxa"/>
            <w:hideMark/>
          </w:tcPr>
          <w:p w14:paraId="672B4666" w14:textId="77777777" w:rsidR="00814857" w:rsidRPr="004305B0" w:rsidRDefault="00814857" w:rsidP="00894126">
            <w:pPr>
              <w:pStyle w:val="ARtabletextright"/>
              <w:rPr>
                <w:b/>
                <w:noProof/>
              </w:rPr>
            </w:pPr>
            <w:r w:rsidRPr="004305B0">
              <w:rPr>
                <w:b/>
                <w:noProof/>
              </w:rPr>
              <w:t>118.5</w:t>
            </w:r>
          </w:p>
        </w:tc>
        <w:tc>
          <w:tcPr>
            <w:tcW w:w="1022" w:type="dxa"/>
            <w:hideMark/>
          </w:tcPr>
          <w:p w14:paraId="0238B550" w14:textId="77777777" w:rsidR="00814857" w:rsidRPr="004305B0" w:rsidRDefault="00814857" w:rsidP="00894126">
            <w:pPr>
              <w:pStyle w:val="ARtabletextright"/>
              <w:rPr>
                <w:b/>
                <w:noProof/>
              </w:rPr>
            </w:pPr>
            <w:r w:rsidRPr="004305B0">
              <w:rPr>
                <w:b/>
                <w:noProof/>
              </w:rPr>
              <w:t>19.8</w:t>
            </w:r>
          </w:p>
        </w:tc>
        <w:tc>
          <w:tcPr>
            <w:tcW w:w="794" w:type="dxa"/>
            <w:hideMark/>
          </w:tcPr>
          <w:p w14:paraId="54907403" w14:textId="77777777" w:rsidR="00814857" w:rsidRPr="002B4443" w:rsidRDefault="00814857" w:rsidP="002B4443">
            <w:pPr>
              <w:pStyle w:val="ARtabletextright"/>
              <w:rPr>
                <w:b/>
                <w:noProof/>
              </w:rPr>
            </w:pPr>
          </w:p>
        </w:tc>
      </w:tr>
      <w:tr w:rsidR="00814857" w14:paraId="52BA1248" w14:textId="77777777" w:rsidTr="0056128E">
        <w:trPr>
          <w:cantSplit/>
          <w:trHeight w:val="240"/>
        </w:trPr>
        <w:tc>
          <w:tcPr>
            <w:tcW w:w="9645" w:type="dxa"/>
            <w:gridSpan w:val="6"/>
            <w:tcBorders>
              <w:top w:val="nil"/>
              <w:left w:val="nil"/>
              <w:bottom w:val="single" w:sz="4" w:space="0" w:color="auto"/>
              <w:right w:val="nil"/>
            </w:tcBorders>
            <w:noWrap/>
            <w:hideMark/>
          </w:tcPr>
          <w:p w14:paraId="7E1A519E" w14:textId="39BFCCE2" w:rsidR="00814857" w:rsidRDefault="00814857" w:rsidP="00894126">
            <w:pPr>
              <w:pStyle w:val="ARtablenoteindent"/>
            </w:pPr>
            <w:r>
              <w:rPr>
                <w:noProof/>
              </w:rPr>
              <w:t>The result primarily reflects increases in Victorian Government policy initiatives and lower than estimated contribution to the</w:t>
            </w:r>
            <w:r w:rsidR="007D517D">
              <w:rPr>
                <w:noProof/>
              </w:rPr>
              <w:t> </w:t>
            </w:r>
            <w:r>
              <w:rPr>
                <w:noProof/>
              </w:rPr>
              <w:t>NDIS.</w:t>
            </w:r>
          </w:p>
        </w:tc>
      </w:tr>
    </w:tbl>
    <w:p w14:paraId="475C45F9" w14:textId="77777777" w:rsidR="00814857" w:rsidRDefault="00814857" w:rsidP="002909DA">
      <w:pPr>
        <w:pStyle w:val="Heading2"/>
      </w:pPr>
      <w:bookmarkStart w:id="67" w:name="_Toc18954479"/>
      <w:bookmarkStart w:id="68" w:name="_Toc18955081"/>
      <w:bookmarkEnd w:id="66"/>
      <w:r>
        <w:t>Primary, Community and Dental Health</w:t>
      </w:r>
      <w:bookmarkEnd w:id="67"/>
      <w:bookmarkEnd w:id="68"/>
    </w:p>
    <w:p w14:paraId="39F537ED" w14:textId="77777777" w:rsidR="00814857" w:rsidRPr="00030BBE" w:rsidRDefault="00814857" w:rsidP="002B4443">
      <w:pPr>
        <w:pStyle w:val="ARbody"/>
      </w:pPr>
      <w:r w:rsidRPr="00030BBE">
        <w:t>This output, through the provision of a range of in-home, community-based, community, maternal and child, early parenting, primary health and dental services promotes health and wellbeing and prevents the onset of more serious illnesses.</w:t>
      </w:r>
    </w:p>
    <w:tbl>
      <w:tblPr>
        <w:tblW w:w="9645" w:type="dxa"/>
        <w:tblLayout w:type="fixed"/>
        <w:tblCellMar>
          <w:left w:w="0" w:type="dxa"/>
        </w:tblCellMar>
        <w:tblLook w:val="04A0" w:firstRow="1" w:lastRow="0" w:firstColumn="1" w:lastColumn="0" w:noHBand="0" w:noVBand="1"/>
      </w:tblPr>
      <w:tblGrid>
        <w:gridCol w:w="4764"/>
        <w:gridCol w:w="1021"/>
        <w:gridCol w:w="1022"/>
        <w:gridCol w:w="1022"/>
        <w:gridCol w:w="1022"/>
        <w:gridCol w:w="794"/>
      </w:tblGrid>
      <w:tr w:rsidR="00814857" w14:paraId="68991919" w14:textId="77777777" w:rsidTr="00894126">
        <w:trPr>
          <w:cantSplit/>
          <w:trHeight w:val="480"/>
          <w:tblHeader/>
        </w:trPr>
        <w:tc>
          <w:tcPr>
            <w:tcW w:w="4764" w:type="dxa"/>
            <w:tcBorders>
              <w:top w:val="nil"/>
              <w:left w:val="nil"/>
              <w:bottom w:val="single" w:sz="4" w:space="0" w:color="auto"/>
              <w:right w:val="nil"/>
            </w:tcBorders>
            <w:vAlign w:val="bottom"/>
            <w:hideMark/>
          </w:tcPr>
          <w:p w14:paraId="0F6F4A1B" w14:textId="77777777" w:rsidR="00814857" w:rsidRDefault="00814857" w:rsidP="00894126">
            <w:pPr>
              <w:pStyle w:val="ARtablecolhead"/>
            </w:pPr>
            <w:r>
              <w:t>Performance measures</w:t>
            </w:r>
          </w:p>
        </w:tc>
        <w:tc>
          <w:tcPr>
            <w:tcW w:w="1021" w:type="dxa"/>
            <w:tcBorders>
              <w:top w:val="nil"/>
              <w:left w:val="nil"/>
              <w:bottom w:val="single" w:sz="4" w:space="0" w:color="auto"/>
              <w:right w:val="nil"/>
            </w:tcBorders>
            <w:vAlign w:val="bottom"/>
            <w:hideMark/>
          </w:tcPr>
          <w:p w14:paraId="3B7A9A77" w14:textId="77777777" w:rsidR="00814857" w:rsidRDefault="00814857" w:rsidP="00894126">
            <w:pPr>
              <w:pStyle w:val="ARtablecolheadright"/>
            </w:pPr>
            <w:r>
              <w:t>Unit of measure</w:t>
            </w:r>
          </w:p>
        </w:tc>
        <w:tc>
          <w:tcPr>
            <w:tcW w:w="1022" w:type="dxa"/>
            <w:tcBorders>
              <w:top w:val="nil"/>
              <w:left w:val="nil"/>
              <w:bottom w:val="single" w:sz="4" w:space="0" w:color="auto"/>
              <w:right w:val="nil"/>
            </w:tcBorders>
            <w:vAlign w:val="bottom"/>
            <w:hideMark/>
          </w:tcPr>
          <w:p w14:paraId="6984AAF5" w14:textId="77777777" w:rsidR="00814857" w:rsidRDefault="00814857" w:rsidP="00894126">
            <w:pPr>
              <w:pStyle w:val="ARtablecolheadright"/>
            </w:pPr>
            <w:r>
              <w:t>2018–19 target</w:t>
            </w:r>
          </w:p>
        </w:tc>
        <w:tc>
          <w:tcPr>
            <w:tcW w:w="1022" w:type="dxa"/>
            <w:tcBorders>
              <w:top w:val="nil"/>
              <w:left w:val="nil"/>
              <w:bottom w:val="single" w:sz="4" w:space="0" w:color="auto"/>
              <w:right w:val="nil"/>
            </w:tcBorders>
            <w:vAlign w:val="bottom"/>
            <w:hideMark/>
          </w:tcPr>
          <w:p w14:paraId="219F7024" w14:textId="77777777" w:rsidR="00814857" w:rsidRDefault="00814857" w:rsidP="00894126">
            <w:pPr>
              <w:pStyle w:val="ARtablecolheadright"/>
            </w:pPr>
            <w:r>
              <w:t>2018–19 actual</w:t>
            </w:r>
          </w:p>
        </w:tc>
        <w:tc>
          <w:tcPr>
            <w:tcW w:w="1022" w:type="dxa"/>
            <w:tcBorders>
              <w:top w:val="nil"/>
              <w:left w:val="nil"/>
              <w:bottom w:val="single" w:sz="4" w:space="0" w:color="auto"/>
              <w:right w:val="nil"/>
            </w:tcBorders>
            <w:vAlign w:val="bottom"/>
            <w:hideMark/>
          </w:tcPr>
          <w:p w14:paraId="7C9DE792" w14:textId="77777777" w:rsidR="00814857" w:rsidRDefault="00814857" w:rsidP="00894126">
            <w:pPr>
              <w:pStyle w:val="ARtablecolheadright"/>
            </w:pPr>
            <w:r>
              <w:t>Variation (%)</w:t>
            </w:r>
          </w:p>
        </w:tc>
        <w:tc>
          <w:tcPr>
            <w:tcW w:w="794" w:type="dxa"/>
            <w:tcBorders>
              <w:top w:val="nil"/>
              <w:left w:val="nil"/>
              <w:bottom w:val="single" w:sz="4" w:space="0" w:color="auto"/>
              <w:right w:val="nil"/>
            </w:tcBorders>
            <w:vAlign w:val="bottom"/>
            <w:hideMark/>
          </w:tcPr>
          <w:p w14:paraId="50C9CBB7" w14:textId="77777777" w:rsidR="00814857" w:rsidRDefault="00814857" w:rsidP="00894126">
            <w:pPr>
              <w:pStyle w:val="ARtablecolheadright"/>
            </w:pPr>
            <w:r>
              <w:t>Result</w:t>
            </w:r>
          </w:p>
        </w:tc>
      </w:tr>
      <w:tr w:rsidR="00EC65CE" w14:paraId="5A51FE92"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4017562E" w14:textId="63A49E9E" w:rsidR="00EC65CE" w:rsidRDefault="00EC65CE" w:rsidP="002B4443">
            <w:pPr>
              <w:pStyle w:val="ARtablebluebold"/>
            </w:pPr>
            <w:bookmarkStart w:id="69" w:name="_Hlk21519360"/>
            <w:r>
              <w:t>Community Health Care</w:t>
            </w:r>
          </w:p>
        </w:tc>
      </w:tr>
      <w:bookmarkEnd w:id="69"/>
      <w:tr w:rsidR="00EC65CE" w14:paraId="55C0A4E5" w14:textId="77777777" w:rsidTr="00A05EB7">
        <w:trPr>
          <w:cantSplit/>
          <w:trHeight w:val="240"/>
        </w:trPr>
        <w:tc>
          <w:tcPr>
            <w:tcW w:w="9645" w:type="dxa"/>
            <w:gridSpan w:val="6"/>
            <w:tcBorders>
              <w:top w:val="single" w:sz="4" w:space="0" w:color="auto"/>
              <w:left w:val="nil"/>
              <w:bottom w:val="nil"/>
              <w:right w:val="nil"/>
            </w:tcBorders>
            <w:hideMark/>
          </w:tcPr>
          <w:p w14:paraId="27788630" w14:textId="5991E1FC" w:rsidR="00EC65CE" w:rsidRDefault="00EC65CE" w:rsidP="002B4443">
            <w:pPr>
              <w:pStyle w:val="ARtablegreybold"/>
            </w:pPr>
            <w:r>
              <w:t>Quantity</w:t>
            </w:r>
          </w:p>
        </w:tc>
      </w:tr>
      <w:tr w:rsidR="00814857" w14:paraId="1DC48E26" w14:textId="77777777" w:rsidTr="00894126">
        <w:trPr>
          <w:cantSplit/>
          <w:trHeight w:val="480"/>
        </w:trPr>
        <w:tc>
          <w:tcPr>
            <w:tcW w:w="4764" w:type="dxa"/>
            <w:hideMark/>
          </w:tcPr>
          <w:p w14:paraId="5A82CDA4" w14:textId="77777777" w:rsidR="00814857" w:rsidRDefault="00814857" w:rsidP="00894126">
            <w:pPr>
              <w:pStyle w:val="ARtabletext"/>
            </w:pPr>
            <w:r>
              <w:rPr>
                <w:noProof/>
              </w:rPr>
              <w:t>Rate of admissions for ambulatory care sensitive chronic conditions for Aboriginal Victorians</w:t>
            </w:r>
          </w:p>
        </w:tc>
        <w:tc>
          <w:tcPr>
            <w:tcW w:w="1021" w:type="dxa"/>
            <w:hideMark/>
          </w:tcPr>
          <w:p w14:paraId="6717EE5C" w14:textId="77777777" w:rsidR="00814857" w:rsidRDefault="00814857" w:rsidP="00894126">
            <w:pPr>
              <w:pStyle w:val="ARtabletextright"/>
            </w:pPr>
            <w:r>
              <w:rPr>
                <w:noProof/>
              </w:rPr>
              <w:t>rate per 1,000</w:t>
            </w:r>
          </w:p>
        </w:tc>
        <w:tc>
          <w:tcPr>
            <w:tcW w:w="1022" w:type="dxa"/>
            <w:hideMark/>
          </w:tcPr>
          <w:p w14:paraId="1C201AD6" w14:textId="77777777" w:rsidR="00814857" w:rsidRDefault="00814857" w:rsidP="00894126">
            <w:pPr>
              <w:pStyle w:val="ARtabletextright"/>
            </w:pPr>
            <w:r>
              <w:rPr>
                <w:noProof/>
              </w:rPr>
              <w:t>14.4</w:t>
            </w:r>
          </w:p>
        </w:tc>
        <w:tc>
          <w:tcPr>
            <w:tcW w:w="1022" w:type="dxa"/>
            <w:hideMark/>
          </w:tcPr>
          <w:p w14:paraId="16B24E4C" w14:textId="77777777" w:rsidR="00814857" w:rsidRDefault="00814857" w:rsidP="00894126">
            <w:pPr>
              <w:pStyle w:val="ARtabletextright"/>
            </w:pPr>
            <w:r>
              <w:rPr>
                <w:noProof/>
              </w:rPr>
              <w:t>25</w:t>
            </w:r>
          </w:p>
        </w:tc>
        <w:tc>
          <w:tcPr>
            <w:tcW w:w="1022" w:type="dxa"/>
            <w:hideMark/>
          </w:tcPr>
          <w:p w14:paraId="5172892F" w14:textId="77777777" w:rsidR="00814857" w:rsidRDefault="00814857" w:rsidP="00894126">
            <w:pPr>
              <w:pStyle w:val="ARtabletextright"/>
            </w:pPr>
            <w:r>
              <w:rPr>
                <w:noProof/>
              </w:rPr>
              <w:t>73.6</w:t>
            </w:r>
          </w:p>
        </w:tc>
        <w:tc>
          <w:tcPr>
            <w:tcW w:w="794" w:type="dxa"/>
            <w:hideMark/>
          </w:tcPr>
          <w:p w14:paraId="3205A62B" w14:textId="77777777" w:rsidR="00814857" w:rsidRDefault="00814857" w:rsidP="00894126">
            <w:pPr>
              <w:pStyle w:val="ARtabletextright"/>
            </w:pPr>
            <w:r>
              <w:sym w:font="Wingdings" w:char="F0FC"/>
            </w:r>
          </w:p>
        </w:tc>
      </w:tr>
      <w:tr w:rsidR="00814857" w14:paraId="1BFEB309" w14:textId="77777777" w:rsidTr="00894126">
        <w:trPr>
          <w:cantSplit/>
          <w:trHeight w:val="240"/>
        </w:trPr>
        <w:tc>
          <w:tcPr>
            <w:tcW w:w="9645" w:type="dxa"/>
            <w:gridSpan w:val="6"/>
            <w:tcBorders>
              <w:top w:val="nil"/>
              <w:left w:val="nil"/>
              <w:bottom w:val="single" w:sz="4" w:space="0" w:color="BFBFBF"/>
              <w:right w:val="nil"/>
            </w:tcBorders>
            <w:noWrap/>
            <w:hideMark/>
          </w:tcPr>
          <w:p w14:paraId="188E0912" w14:textId="77777777" w:rsidR="00814857" w:rsidRDefault="00814857" w:rsidP="00894126">
            <w:pPr>
              <w:pStyle w:val="ARtablenoteindent"/>
              <w:rPr>
                <w:noProof/>
              </w:rPr>
            </w:pPr>
            <w:r w:rsidRPr="00874474">
              <w:rPr>
                <w:noProof/>
              </w:rPr>
              <w:t>Aboriginal Victorians continue to have higher rates of admission for ambulatory care sensitive chronic conditions against target. This is driven by the ongoing health burden of preventable disease including higher rates of chronic disease risks factors and barriers to accessing primary care and prevention services as well as the ongoing impact of recalculating the estimated Aboriginal population. To improve performance, the department is investing in a range of prevention and early intervention services within a self-determination framework.</w:t>
            </w:r>
          </w:p>
        </w:tc>
      </w:tr>
      <w:tr w:rsidR="00814857" w14:paraId="422A9760" w14:textId="77777777" w:rsidTr="00894126">
        <w:trPr>
          <w:cantSplit/>
          <w:trHeight w:val="480"/>
        </w:trPr>
        <w:tc>
          <w:tcPr>
            <w:tcW w:w="4764" w:type="dxa"/>
            <w:hideMark/>
          </w:tcPr>
          <w:p w14:paraId="15271C4A" w14:textId="77777777" w:rsidR="00814857" w:rsidRDefault="00814857" w:rsidP="00894126">
            <w:pPr>
              <w:pStyle w:val="ARtabletext"/>
            </w:pPr>
            <w:r>
              <w:rPr>
                <w:noProof/>
              </w:rPr>
              <w:t>Better Health Channel visits</w:t>
            </w:r>
          </w:p>
        </w:tc>
        <w:tc>
          <w:tcPr>
            <w:tcW w:w="1021" w:type="dxa"/>
            <w:hideMark/>
          </w:tcPr>
          <w:p w14:paraId="18750951" w14:textId="77777777" w:rsidR="00814857" w:rsidRDefault="00814857" w:rsidP="00894126">
            <w:pPr>
              <w:pStyle w:val="ARtabletextright"/>
            </w:pPr>
            <w:r>
              <w:rPr>
                <w:noProof/>
              </w:rPr>
              <w:t>number (thousand)</w:t>
            </w:r>
          </w:p>
        </w:tc>
        <w:tc>
          <w:tcPr>
            <w:tcW w:w="1022" w:type="dxa"/>
            <w:hideMark/>
          </w:tcPr>
          <w:p w14:paraId="5CF3385F" w14:textId="77777777" w:rsidR="00814857" w:rsidRDefault="00814857" w:rsidP="00894126">
            <w:pPr>
              <w:pStyle w:val="ARtabletextright"/>
            </w:pPr>
            <w:r>
              <w:rPr>
                <w:noProof/>
              </w:rPr>
              <w:t>40,000</w:t>
            </w:r>
          </w:p>
        </w:tc>
        <w:tc>
          <w:tcPr>
            <w:tcW w:w="1022" w:type="dxa"/>
            <w:hideMark/>
          </w:tcPr>
          <w:p w14:paraId="79C68D71" w14:textId="77777777" w:rsidR="00814857" w:rsidRDefault="00814857" w:rsidP="00894126">
            <w:pPr>
              <w:pStyle w:val="ARtabletextright"/>
            </w:pPr>
            <w:r>
              <w:rPr>
                <w:noProof/>
              </w:rPr>
              <w:t>54,840</w:t>
            </w:r>
          </w:p>
        </w:tc>
        <w:tc>
          <w:tcPr>
            <w:tcW w:w="1022" w:type="dxa"/>
            <w:hideMark/>
          </w:tcPr>
          <w:p w14:paraId="512D2EB2" w14:textId="77777777" w:rsidR="00814857" w:rsidRDefault="00814857" w:rsidP="00894126">
            <w:pPr>
              <w:pStyle w:val="ARtabletextright"/>
            </w:pPr>
            <w:r>
              <w:rPr>
                <w:noProof/>
              </w:rPr>
              <w:t>37.1</w:t>
            </w:r>
          </w:p>
        </w:tc>
        <w:tc>
          <w:tcPr>
            <w:tcW w:w="794" w:type="dxa"/>
            <w:hideMark/>
          </w:tcPr>
          <w:p w14:paraId="4D654C3D" w14:textId="77777777" w:rsidR="00814857" w:rsidRDefault="00814857" w:rsidP="00894126">
            <w:pPr>
              <w:pStyle w:val="ARtabletextright"/>
            </w:pPr>
            <w:r>
              <w:sym w:font="Wingdings" w:char="F0FC"/>
            </w:r>
          </w:p>
        </w:tc>
      </w:tr>
      <w:tr w:rsidR="00814857" w14:paraId="0F58FCB4" w14:textId="77777777" w:rsidTr="00894126">
        <w:trPr>
          <w:cantSplit/>
          <w:trHeight w:val="240"/>
        </w:trPr>
        <w:tc>
          <w:tcPr>
            <w:tcW w:w="9645" w:type="dxa"/>
            <w:gridSpan w:val="6"/>
            <w:tcBorders>
              <w:top w:val="nil"/>
              <w:left w:val="nil"/>
              <w:bottom w:val="single" w:sz="4" w:space="0" w:color="BFBFBF"/>
              <w:right w:val="nil"/>
            </w:tcBorders>
            <w:noWrap/>
            <w:hideMark/>
          </w:tcPr>
          <w:p w14:paraId="76FE2832" w14:textId="77777777" w:rsidR="00814857" w:rsidRDefault="00814857" w:rsidP="00894126">
            <w:pPr>
              <w:pStyle w:val="ARtablenoteindent"/>
            </w:pPr>
            <w:r>
              <w:rPr>
                <w:noProof/>
              </w:rPr>
              <w:t>During quarter 1 and quarter 2 content and technology improvements along with changes to the Google search algorithm resulted in increased visitation. This is a positive result.</w:t>
            </w:r>
          </w:p>
        </w:tc>
      </w:tr>
      <w:tr w:rsidR="00814857" w14:paraId="757AF237" w14:textId="77777777" w:rsidTr="00894126">
        <w:trPr>
          <w:cantSplit/>
          <w:trHeight w:val="480"/>
        </w:trPr>
        <w:tc>
          <w:tcPr>
            <w:tcW w:w="4764" w:type="dxa"/>
            <w:hideMark/>
          </w:tcPr>
          <w:p w14:paraId="63E346A7" w14:textId="77777777" w:rsidR="00814857" w:rsidRDefault="00814857" w:rsidP="00894126">
            <w:pPr>
              <w:pStyle w:val="ARtabletext"/>
            </w:pPr>
            <w:r>
              <w:rPr>
                <w:noProof/>
              </w:rPr>
              <w:t>Number of referrals made using secure electronic referral systems</w:t>
            </w:r>
          </w:p>
        </w:tc>
        <w:tc>
          <w:tcPr>
            <w:tcW w:w="1021" w:type="dxa"/>
            <w:hideMark/>
          </w:tcPr>
          <w:p w14:paraId="211A5687" w14:textId="77777777" w:rsidR="00814857" w:rsidRDefault="00814857" w:rsidP="00894126">
            <w:pPr>
              <w:pStyle w:val="ARtabletextright"/>
            </w:pPr>
            <w:r>
              <w:rPr>
                <w:noProof/>
              </w:rPr>
              <w:t>number</w:t>
            </w:r>
          </w:p>
        </w:tc>
        <w:tc>
          <w:tcPr>
            <w:tcW w:w="1022" w:type="dxa"/>
            <w:hideMark/>
          </w:tcPr>
          <w:p w14:paraId="0A763510" w14:textId="77777777" w:rsidR="00814857" w:rsidRDefault="00814857" w:rsidP="00894126">
            <w:pPr>
              <w:pStyle w:val="ARtabletextright"/>
            </w:pPr>
            <w:r>
              <w:rPr>
                <w:noProof/>
              </w:rPr>
              <w:t>75,000</w:t>
            </w:r>
          </w:p>
        </w:tc>
        <w:tc>
          <w:tcPr>
            <w:tcW w:w="1022" w:type="dxa"/>
            <w:hideMark/>
          </w:tcPr>
          <w:p w14:paraId="73DE6D3E" w14:textId="77777777" w:rsidR="00814857" w:rsidRDefault="00814857" w:rsidP="00894126">
            <w:pPr>
              <w:pStyle w:val="ARtabletextright"/>
            </w:pPr>
            <w:r>
              <w:rPr>
                <w:noProof/>
              </w:rPr>
              <w:t>75,000</w:t>
            </w:r>
          </w:p>
        </w:tc>
        <w:tc>
          <w:tcPr>
            <w:tcW w:w="1022" w:type="dxa"/>
            <w:hideMark/>
          </w:tcPr>
          <w:p w14:paraId="3711D9D6" w14:textId="77777777" w:rsidR="00814857" w:rsidRDefault="00814857" w:rsidP="00894126">
            <w:pPr>
              <w:pStyle w:val="ARtabletextright"/>
            </w:pPr>
            <w:r>
              <w:rPr>
                <w:noProof/>
              </w:rPr>
              <w:t>0.0</w:t>
            </w:r>
          </w:p>
        </w:tc>
        <w:tc>
          <w:tcPr>
            <w:tcW w:w="794" w:type="dxa"/>
            <w:hideMark/>
          </w:tcPr>
          <w:p w14:paraId="42DEB963" w14:textId="77777777" w:rsidR="00814857" w:rsidRDefault="00814857" w:rsidP="00894126">
            <w:pPr>
              <w:pStyle w:val="ARtabletextright"/>
            </w:pPr>
            <w:r>
              <w:sym w:font="Wingdings" w:char="F0FC"/>
            </w:r>
          </w:p>
        </w:tc>
      </w:tr>
      <w:tr w:rsidR="00814857" w14:paraId="252C531F" w14:textId="77777777" w:rsidTr="00894126">
        <w:trPr>
          <w:cantSplit/>
          <w:trHeight w:val="240"/>
        </w:trPr>
        <w:tc>
          <w:tcPr>
            <w:tcW w:w="9645" w:type="dxa"/>
            <w:gridSpan w:val="6"/>
            <w:tcBorders>
              <w:top w:val="nil"/>
              <w:left w:val="nil"/>
              <w:bottom w:val="single" w:sz="4" w:space="0" w:color="BFBFBF"/>
              <w:right w:val="nil"/>
            </w:tcBorders>
            <w:noWrap/>
            <w:hideMark/>
          </w:tcPr>
          <w:p w14:paraId="08AB0D5D" w14:textId="5B664B34" w:rsidR="00814857" w:rsidRDefault="00814857" w:rsidP="00894126">
            <w:pPr>
              <w:pStyle w:val="ARtablenoteindent"/>
            </w:pPr>
            <w:r>
              <w:rPr>
                <w:noProof/>
              </w:rPr>
              <w:t xml:space="preserve">Preliminary result. Actual end-of-year results will be available late 2019. Additional referral portals associated with Commonwealth initiatives, My Aged Care and </w:t>
            </w:r>
            <w:r w:rsidR="009D25FB">
              <w:rPr>
                <w:noProof/>
              </w:rPr>
              <w:t xml:space="preserve">the </w:t>
            </w:r>
            <w:r w:rsidR="009D25FB" w:rsidRPr="009D25FB">
              <w:rPr>
                <w:noProof/>
              </w:rPr>
              <w:t xml:space="preserve">National Disability Insurance Scheme </w:t>
            </w:r>
            <w:r w:rsidR="009D25FB">
              <w:rPr>
                <w:noProof/>
              </w:rPr>
              <w:t>(</w:t>
            </w:r>
            <w:r>
              <w:rPr>
                <w:noProof/>
              </w:rPr>
              <w:t>NDIS</w:t>
            </w:r>
            <w:r w:rsidR="009D25FB">
              <w:rPr>
                <w:noProof/>
              </w:rPr>
              <w:t>)</w:t>
            </w:r>
            <w:r>
              <w:rPr>
                <w:noProof/>
              </w:rPr>
              <w:t>, have reduced the number of eReferrals made through the state system. These referrals are instead flowing through the Commonwealth systems. This is a positive result.</w:t>
            </w:r>
          </w:p>
        </w:tc>
      </w:tr>
      <w:tr w:rsidR="00814857" w14:paraId="2E140349" w14:textId="77777777" w:rsidTr="00894126">
        <w:trPr>
          <w:cantSplit/>
          <w:trHeight w:val="480"/>
        </w:trPr>
        <w:tc>
          <w:tcPr>
            <w:tcW w:w="4764" w:type="dxa"/>
            <w:hideMark/>
          </w:tcPr>
          <w:p w14:paraId="307D97CA" w14:textId="77777777" w:rsidR="00814857" w:rsidRDefault="00814857" w:rsidP="00894126">
            <w:pPr>
              <w:pStyle w:val="ARtabletext"/>
            </w:pPr>
            <w:r>
              <w:rPr>
                <w:noProof/>
              </w:rPr>
              <w:t>Primary Care Partnerships with reviewed and updated strategic plans</w:t>
            </w:r>
          </w:p>
        </w:tc>
        <w:tc>
          <w:tcPr>
            <w:tcW w:w="1021" w:type="dxa"/>
            <w:hideMark/>
          </w:tcPr>
          <w:p w14:paraId="5D34FDD1" w14:textId="77777777" w:rsidR="00814857" w:rsidRDefault="00814857" w:rsidP="00894126">
            <w:pPr>
              <w:pStyle w:val="ARtabletextright"/>
            </w:pPr>
            <w:r>
              <w:rPr>
                <w:noProof/>
              </w:rPr>
              <w:t>per cent</w:t>
            </w:r>
          </w:p>
        </w:tc>
        <w:tc>
          <w:tcPr>
            <w:tcW w:w="1022" w:type="dxa"/>
            <w:hideMark/>
          </w:tcPr>
          <w:p w14:paraId="54FA282C" w14:textId="77777777" w:rsidR="00814857" w:rsidRDefault="00814857" w:rsidP="00894126">
            <w:pPr>
              <w:pStyle w:val="ARtabletextright"/>
            </w:pPr>
            <w:r>
              <w:rPr>
                <w:noProof/>
              </w:rPr>
              <w:t>100</w:t>
            </w:r>
          </w:p>
        </w:tc>
        <w:tc>
          <w:tcPr>
            <w:tcW w:w="1022" w:type="dxa"/>
            <w:hideMark/>
          </w:tcPr>
          <w:p w14:paraId="1BE3F362" w14:textId="77777777" w:rsidR="00814857" w:rsidRDefault="00814857" w:rsidP="00894126">
            <w:pPr>
              <w:pStyle w:val="ARtabletextright"/>
            </w:pPr>
            <w:r>
              <w:rPr>
                <w:noProof/>
              </w:rPr>
              <w:t>100</w:t>
            </w:r>
          </w:p>
        </w:tc>
        <w:tc>
          <w:tcPr>
            <w:tcW w:w="1022" w:type="dxa"/>
            <w:hideMark/>
          </w:tcPr>
          <w:p w14:paraId="12FCB073" w14:textId="77777777" w:rsidR="00814857" w:rsidRDefault="00814857" w:rsidP="00894126">
            <w:pPr>
              <w:pStyle w:val="ARtabletextright"/>
            </w:pPr>
            <w:r>
              <w:rPr>
                <w:noProof/>
              </w:rPr>
              <w:t>0.0</w:t>
            </w:r>
          </w:p>
        </w:tc>
        <w:tc>
          <w:tcPr>
            <w:tcW w:w="794" w:type="dxa"/>
            <w:hideMark/>
          </w:tcPr>
          <w:p w14:paraId="0309E7F3" w14:textId="77777777" w:rsidR="00814857" w:rsidRDefault="00814857" w:rsidP="00894126">
            <w:pPr>
              <w:pStyle w:val="ARtabletextright"/>
            </w:pPr>
            <w:r>
              <w:sym w:font="Wingdings" w:char="F0FC"/>
            </w:r>
          </w:p>
        </w:tc>
      </w:tr>
      <w:tr w:rsidR="00814857" w14:paraId="28F0CE65" w14:textId="77777777" w:rsidTr="00894126">
        <w:trPr>
          <w:cantSplit/>
          <w:trHeight w:val="240"/>
        </w:trPr>
        <w:tc>
          <w:tcPr>
            <w:tcW w:w="9645" w:type="dxa"/>
            <w:gridSpan w:val="6"/>
            <w:tcBorders>
              <w:top w:val="nil"/>
              <w:left w:val="nil"/>
              <w:bottom w:val="single" w:sz="4" w:space="0" w:color="BFBFBF"/>
              <w:right w:val="nil"/>
            </w:tcBorders>
            <w:noWrap/>
            <w:hideMark/>
          </w:tcPr>
          <w:p w14:paraId="50CECF3A" w14:textId="77777777" w:rsidR="00814857" w:rsidRDefault="00814857" w:rsidP="00894126">
            <w:pPr>
              <w:pStyle w:val="ARtablenoteindent"/>
            </w:pPr>
            <w:r>
              <w:rPr>
                <w:noProof/>
              </w:rPr>
              <w:t>Preliminary result. Actual end-of-year results will be available at late 2019.</w:t>
            </w:r>
          </w:p>
        </w:tc>
      </w:tr>
      <w:tr w:rsidR="00814857" w14:paraId="3589AD7E" w14:textId="77777777" w:rsidTr="00894126">
        <w:trPr>
          <w:cantSplit/>
          <w:trHeight w:val="480"/>
        </w:trPr>
        <w:tc>
          <w:tcPr>
            <w:tcW w:w="4764" w:type="dxa"/>
            <w:hideMark/>
          </w:tcPr>
          <w:p w14:paraId="392AC8DE" w14:textId="77777777" w:rsidR="00814857" w:rsidRDefault="00814857" w:rsidP="00894126">
            <w:pPr>
              <w:pStyle w:val="ARtabletext"/>
            </w:pPr>
            <w:r>
              <w:rPr>
                <w:noProof/>
              </w:rPr>
              <w:t>Service delivery hours in community health care</w:t>
            </w:r>
          </w:p>
        </w:tc>
        <w:tc>
          <w:tcPr>
            <w:tcW w:w="1021" w:type="dxa"/>
            <w:hideMark/>
          </w:tcPr>
          <w:p w14:paraId="3968ADC3" w14:textId="77777777" w:rsidR="00814857" w:rsidRDefault="00814857" w:rsidP="00894126">
            <w:pPr>
              <w:pStyle w:val="ARtabletextright"/>
            </w:pPr>
            <w:r>
              <w:rPr>
                <w:noProof/>
              </w:rPr>
              <w:t>number ('000)</w:t>
            </w:r>
          </w:p>
        </w:tc>
        <w:tc>
          <w:tcPr>
            <w:tcW w:w="1022" w:type="dxa"/>
            <w:hideMark/>
          </w:tcPr>
          <w:p w14:paraId="7FDEE5C2" w14:textId="77777777" w:rsidR="00814857" w:rsidRDefault="00814857" w:rsidP="00894126">
            <w:pPr>
              <w:pStyle w:val="ARtabletextright"/>
            </w:pPr>
            <w:r>
              <w:rPr>
                <w:noProof/>
              </w:rPr>
              <w:t>1,015</w:t>
            </w:r>
          </w:p>
        </w:tc>
        <w:tc>
          <w:tcPr>
            <w:tcW w:w="1022" w:type="dxa"/>
            <w:hideMark/>
          </w:tcPr>
          <w:p w14:paraId="25212E1A" w14:textId="77777777" w:rsidR="00814857" w:rsidRDefault="00814857" w:rsidP="00894126">
            <w:pPr>
              <w:pStyle w:val="ARtabletextright"/>
            </w:pPr>
            <w:r>
              <w:rPr>
                <w:noProof/>
              </w:rPr>
              <w:t>1,125</w:t>
            </w:r>
          </w:p>
        </w:tc>
        <w:tc>
          <w:tcPr>
            <w:tcW w:w="1022" w:type="dxa"/>
            <w:hideMark/>
          </w:tcPr>
          <w:p w14:paraId="04F26135" w14:textId="77777777" w:rsidR="00814857" w:rsidRDefault="00814857" w:rsidP="00894126">
            <w:pPr>
              <w:pStyle w:val="ARtabletextright"/>
            </w:pPr>
            <w:r>
              <w:rPr>
                <w:noProof/>
              </w:rPr>
              <w:t>10.8</w:t>
            </w:r>
          </w:p>
        </w:tc>
        <w:tc>
          <w:tcPr>
            <w:tcW w:w="794" w:type="dxa"/>
            <w:hideMark/>
          </w:tcPr>
          <w:p w14:paraId="6187E5D9" w14:textId="77777777" w:rsidR="00814857" w:rsidRDefault="00814857" w:rsidP="00894126">
            <w:pPr>
              <w:pStyle w:val="ARtabletextright"/>
            </w:pPr>
            <w:r>
              <w:sym w:font="Wingdings" w:char="F0FC"/>
            </w:r>
          </w:p>
        </w:tc>
      </w:tr>
      <w:tr w:rsidR="00814857" w14:paraId="6CB4F767" w14:textId="77777777" w:rsidTr="00894126">
        <w:trPr>
          <w:cantSplit/>
          <w:trHeight w:val="240"/>
        </w:trPr>
        <w:tc>
          <w:tcPr>
            <w:tcW w:w="9645" w:type="dxa"/>
            <w:gridSpan w:val="6"/>
            <w:tcBorders>
              <w:top w:val="nil"/>
              <w:left w:val="nil"/>
              <w:bottom w:val="single" w:sz="4" w:space="0" w:color="BFBFBF"/>
              <w:right w:val="nil"/>
            </w:tcBorders>
            <w:noWrap/>
            <w:hideMark/>
          </w:tcPr>
          <w:p w14:paraId="7DD197AE" w14:textId="77777777" w:rsidR="00814857" w:rsidRDefault="00814857" w:rsidP="00894126">
            <w:pPr>
              <w:pStyle w:val="ARtablenoteindent"/>
            </w:pPr>
            <w:r>
              <w:rPr>
                <w:noProof/>
              </w:rPr>
              <w:t>Preliminary result. Actual end-of-year results will be available late 2019. There is consistent overperformance on this measure, which is a positive result.</w:t>
            </w:r>
          </w:p>
        </w:tc>
      </w:tr>
      <w:tr w:rsidR="00814857" w14:paraId="42CF5B4E" w14:textId="77777777" w:rsidTr="00894126">
        <w:trPr>
          <w:cantSplit/>
          <w:trHeight w:val="240"/>
        </w:trPr>
        <w:tc>
          <w:tcPr>
            <w:tcW w:w="4764" w:type="dxa"/>
            <w:tcBorders>
              <w:top w:val="single" w:sz="4" w:space="0" w:color="auto"/>
              <w:left w:val="nil"/>
              <w:bottom w:val="nil"/>
              <w:right w:val="nil"/>
            </w:tcBorders>
            <w:hideMark/>
          </w:tcPr>
          <w:p w14:paraId="75841ABC" w14:textId="77777777" w:rsidR="00814857" w:rsidRDefault="00814857" w:rsidP="002B4443">
            <w:pPr>
              <w:pStyle w:val="ARtablegreybold"/>
            </w:pPr>
            <w:r>
              <w:t>Quality</w:t>
            </w:r>
          </w:p>
        </w:tc>
        <w:tc>
          <w:tcPr>
            <w:tcW w:w="1021" w:type="dxa"/>
            <w:tcBorders>
              <w:top w:val="single" w:sz="4" w:space="0" w:color="auto"/>
              <w:left w:val="nil"/>
              <w:bottom w:val="nil"/>
              <w:right w:val="nil"/>
            </w:tcBorders>
            <w:hideMark/>
          </w:tcPr>
          <w:p w14:paraId="680282EC" w14:textId="77777777" w:rsidR="00814857" w:rsidRDefault="00814857" w:rsidP="002B4443">
            <w:pPr>
              <w:pStyle w:val="ARtablegreybold"/>
            </w:pPr>
          </w:p>
        </w:tc>
        <w:tc>
          <w:tcPr>
            <w:tcW w:w="1022" w:type="dxa"/>
            <w:tcBorders>
              <w:top w:val="single" w:sz="4" w:space="0" w:color="auto"/>
              <w:left w:val="nil"/>
              <w:bottom w:val="nil"/>
              <w:right w:val="nil"/>
            </w:tcBorders>
            <w:hideMark/>
          </w:tcPr>
          <w:p w14:paraId="436595D7" w14:textId="77777777" w:rsidR="00814857" w:rsidRDefault="00814857" w:rsidP="002B4443">
            <w:pPr>
              <w:pStyle w:val="ARtablegreybold"/>
            </w:pPr>
          </w:p>
        </w:tc>
        <w:tc>
          <w:tcPr>
            <w:tcW w:w="1022" w:type="dxa"/>
            <w:tcBorders>
              <w:top w:val="single" w:sz="4" w:space="0" w:color="auto"/>
              <w:left w:val="nil"/>
              <w:bottom w:val="nil"/>
              <w:right w:val="nil"/>
            </w:tcBorders>
            <w:hideMark/>
          </w:tcPr>
          <w:p w14:paraId="2B32277B" w14:textId="77777777" w:rsidR="00814857" w:rsidRDefault="00814857" w:rsidP="002B4443">
            <w:pPr>
              <w:pStyle w:val="ARtablegreybold"/>
            </w:pPr>
          </w:p>
        </w:tc>
        <w:tc>
          <w:tcPr>
            <w:tcW w:w="1022" w:type="dxa"/>
            <w:tcBorders>
              <w:top w:val="single" w:sz="4" w:space="0" w:color="auto"/>
              <w:left w:val="nil"/>
              <w:bottom w:val="nil"/>
              <w:right w:val="nil"/>
            </w:tcBorders>
            <w:hideMark/>
          </w:tcPr>
          <w:p w14:paraId="3E217360" w14:textId="77777777" w:rsidR="00814857" w:rsidRDefault="00814857" w:rsidP="002B4443">
            <w:pPr>
              <w:pStyle w:val="ARtablegreybold"/>
            </w:pPr>
          </w:p>
        </w:tc>
        <w:tc>
          <w:tcPr>
            <w:tcW w:w="794" w:type="dxa"/>
            <w:tcBorders>
              <w:top w:val="single" w:sz="4" w:space="0" w:color="auto"/>
              <w:left w:val="nil"/>
              <w:bottom w:val="nil"/>
              <w:right w:val="nil"/>
            </w:tcBorders>
            <w:hideMark/>
          </w:tcPr>
          <w:p w14:paraId="2453ED9D" w14:textId="77777777" w:rsidR="00814857" w:rsidRDefault="00814857" w:rsidP="002B4443">
            <w:pPr>
              <w:pStyle w:val="ARtablegreybold"/>
            </w:pPr>
          </w:p>
        </w:tc>
      </w:tr>
      <w:tr w:rsidR="00814857" w14:paraId="78DC1E0B" w14:textId="77777777" w:rsidTr="00A66888">
        <w:trPr>
          <w:cantSplit/>
          <w:trHeight w:val="617"/>
        </w:trPr>
        <w:tc>
          <w:tcPr>
            <w:tcW w:w="4764" w:type="dxa"/>
            <w:hideMark/>
          </w:tcPr>
          <w:p w14:paraId="27EE8CD0" w14:textId="77777777" w:rsidR="00814857" w:rsidRDefault="00814857" w:rsidP="00894126">
            <w:pPr>
              <w:pStyle w:val="ARtabletext"/>
            </w:pPr>
            <w:r>
              <w:rPr>
                <w:noProof/>
              </w:rPr>
              <w:t>Agencies with an Integrated Health Promotion plan that meets the stipulated planning requirements</w:t>
            </w:r>
          </w:p>
        </w:tc>
        <w:tc>
          <w:tcPr>
            <w:tcW w:w="1021" w:type="dxa"/>
            <w:hideMark/>
          </w:tcPr>
          <w:p w14:paraId="059CDA5D" w14:textId="77777777" w:rsidR="00814857" w:rsidRDefault="00814857" w:rsidP="00894126">
            <w:pPr>
              <w:pStyle w:val="ARtabletextright"/>
            </w:pPr>
            <w:r>
              <w:rPr>
                <w:noProof/>
              </w:rPr>
              <w:t>per cent</w:t>
            </w:r>
          </w:p>
        </w:tc>
        <w:tc>
          <w:tcPr>
            <w:tcW w:w="1022" w:type="dxa"/>
            <w:hideMark/>
          </w:tcPr>
          <w:p w14:paraId="6D71CA3E" w14:textId="77777777" w:rsidR="00814857" w:rsidRDefault="00814857" w:rsidP="00894126">
            <w:pPr>
              <w:pStyle w:val="ARtabletextright"/>
            </w:pPr>
            <w:r>
              <w:rPr>
                <w:noProof/>
              </w:rPr>
              <w:t>95</w:t>
            </w:r>
          </w:p>
        </w:tc>
        <w:tc>
          <w:tcPr>
            <w:tcW w:w="1022" w:type="dxa"/>
            <w:hideMark/>
          </w:tcPr>
          <w:p w14:paraId="4168B006" w14:textId="77777777" w:rsidR="00814857" w:rsidRDefault="00814857" w:rsidP="00894126">
            <w:pPr>
              <w:pStyle w:val="ARtabletextright"/>
            </w:pPr>
            <w:r>
              <w:rPr>
                <w:noProof/>
              </w:rPr>
              <w:t>95</w:t>
            </w:r>
          </w:p>
        </w:tc>
        <w:tc>
          <w:tcPr>
            <w:tcW w:w="1022" w:type="dxa"/>
            <w:hideMark/>
          </w:tcPr>
          <w:p w14:paraId="6835A7A0" w14:textId="77777777" w:rsidR="00814857" w:rsidRDefault="00814857" w:rsidP="00894126">
            <w:pPr>
              <w:pStyle w:val="ARtabletextright"/>
            </w:pPr>
            <w:r>
              <w:rPr>
                <w:noProof/>
              </w:rPr>
              <w:t>0.0</w:t>
            </w:r>
          </w:p>
        </w:tc>
        <w:tc>
          <w:tcPr>
            <w:tcW w:w="794" w:type="dxa"/>
            <w:hideMark/>
          </w:tcPr>
          <w:p w14:paraId="6D6C8FF8" w14:textId="77777777" w:rsidR="00814857" w:rsidRDefault="00814857" w:rsidP="00894126">
            <w:pPr>
              <w:pStyle w:val="ARtabletextright"/>
            </w:pPr>
            <w:r>
              <w:sym w:font="Wingdings" w:char="F0FC"/>
            </w:r>
          </w:p>
        </w:tc>
      </w:tr>
      <w:tr w:rsidR="00814857" w14:paraId="236A16C5" w14:textId="77777777" w:rsidTr="00894126">
        <w:trPr>
          <w:cantSplit/>
          <w:trHeight w:val="240"/>
        </w:trPr>
        <w:tc>
          <w:tcPr>
            <w:tcW w:w="4764" w:type="dxa"/>
            <w:tcBorders>
              <w:top w:val="single" w:sz="4" w:space="0" w:color="auto"/>
              <w:left w:val="nil"/>
              <w:bottom w:val="nil"/>
              <w:right w:val="nil"/>
            </w:tcBorders>
            <w:hideMark/>
          </w:tcPr>
          <w:p w14:paraId="2F797D10" w14:textId="77777777" w:rsidR="00814857" w:rsidRDefault="00814857" w:rsidP="002B4443">
            <w:pPr>
              <w:pStyle w:val="ARtablegreybold"/>
            </w:pPr>
            <w:bookmarkStart w:id="70" w:name="_Hlk21519355"/>
            <w:r>
              <w:t>Cost</w:t>
            </w:r>
          </w:p>
        </w:tc>
        <w:tc>
          <w:tcPr>
            <w:tcW w:w="1021" w:type="dxa"/>
            <w:tcBorders>
              <w:top w:val="single" w:sz="4" w:space="0" w:color="auto"/>
              <w:left w:val="nil"/>
              <w:bottom w:val="nil"/>
              <w:right w:val="nil"/>
            </w:tcBorders>
            <w:hideMark/>
          </w:tcPr>
          <w:p w14:paraId="62BFAC65" w14:textId="77777777" w:rsidR="00814857" w:rsidRDefault="00814857" w:rsidP="002B4443">
            <w:pPr>
              <w:pStyle w:val="ARtablegreybold"/>
            </w:pPr>
          </w:p>
        </w:tc>
        <w:tc>
          <w:tcPr>
            <w:tcW w:w="1022" w:type="dxa"/>
            <w:tcBorders>
              <w:top w:val="single" w:sz="4" w:space="0" w:color="auto"/>
              <w:left w:val="nil"/>
              <w:bottom w:val="nil"/>
              <w:right w:val="nil"/>
            </w:tcBorders>
            <w:hideMark/>
          </w:tcPr>
          <w:p w14:paraId="6E4599DF" w14:textId="77777777" w:rsidR="00814857" w:rsidRDefault="00814857" w:rsidP="002B4443">
            <w:pPr>
              <w:pStyle w:val="ARtablegreybold"/>
            </w:pPr>
          </w:p>
        </w:tc>
        <w:tc>
          <w:tcPr>
            <w:tcW w:w="1022" w:type="dxa"/>
            <w:tcBorders>
              <w:top w:val="single" w:sz="4" w:space="0" w:color="auto"/>
              <w:left w:val="nil"/>
              <w:bottom w:val="nil"/>
              <w:right w:val="nil"/>
            </w:tcBorders>
            <w:hideMark/>
          </w:tcPr>
          <w:p w14:paraId="7F2CF186" w14:textId="77777777" w:rsidR="00814857" w:rsidRDefault="00814857" w:rsidP="002B4443">
            <w:pPr>
              <w:pStyle w:val="ARtablegreybold"/>
            </w:pPr>
          </w:p>
        </w:tc>
        <w:tc>
          <w:tcPr>
            <w:tcW w:w="1022" w:type="dxa"/>
            <w:tcBorders>
              <w:top w:val="single" w:sz="4" w:space="0" w:color="auto"/>
              <w:left w:val="nil"/>
              <w:bottom w:val="nil"/>
              <w:right w:val="nil"/>
            </w:tcBorders>
            <w:hideMark/>
          </w:tcPr>
          <w:p w14:paraId="7A3AA912" w14:textId="77777777" w:rsidR="00814857" w:rsidRDefault="00814857" w:rsidP="002B4443">
            <w:pPr>
              <w:pStyle w:val="ARtablegreybold"/>
            </w:pPr>
          </w:p>
        </w:tc>
        <w:tc>
          <w:tcPr>
            <w:tcW w:w="794" w:type="dxa"/>
            <w:tcBorders>
              <w:top w:val="single" w:sz="4" w:space="0" w:color="auto"/>
              <w:left w:val="nil"/>
              <w:bottom w:val="nil"/>
              <w:right w:val="nil"/>
            </w:tcBorders>
            <w:hideMark/>
          </w:tcPr>
          <w:p w14:paraId="3775206F" w14:textId="77777777" w:rsidR="00814857" w:rsidRDefault="00814857" w:rsidP="002B4443">
            <w:pPr>
              <w:pStyle w:val="ARtablegreybold"/>
            </w:pPr>
          </w:p>
        </w:tc>
      </w:tr>
      <w:tr w:rsidR="00814857" w14:paraId="32ECD064" w14:textId="77777777" w:rsidTr="0056128E">
        <w:trPr>
          <w:cantSplit/>
          <w:trHeight w:val="397"/>
        </w:trPr>
        <w:tc>
          <w:tcPr>
            <w:tcW w:w="4764" w:type="dxa"/>
            <w:hideMark/>
          </w:tcPr>
          <w:p w14:paraId="37F8523E" w14:textId="77777777" w:rsidR="00814857" w:rsidRPr="005A6F56" w:rsidRDefault="00814857" w:rsidP="00894126">
            <w:pPr>
              <w:pStyle w:val="ARtabletext"/>
              <w:rPr>
                <w:b/>
              </w:rPr>
            </w:pPr>
            <w:r w:rsidRPr="005A6F56">
              <w:rPr>
                <w:b/>
                <w:noProof/>
              </w:rPr>
              <w:t xml:space="preserve">Total </w:t>
            </w:r>
            <w:r>
              <w:rPr>
                <w:b/>
                <w:noProof/>
              </w:rPr>
              <w:t>o</w:t>
            </w:r>
            <w:r w:rsidRPr="005A6F56">
              <w:rPr>
                <w:b/>
                <w:noProof/>
              </w:rPr>
              <w:t xml:space="preserve">utput </w:t>
            </w:r>
            <w:r>
              <w:rPr>
                <w:b/>
                <w:noProof/>
              </w:rPr>
              <w:t>c</w:t>
            </w:r>
            <w:r w:rsidRPr="005A6F56">
              <w:rPr>
                <w:b/>
                <w:noProof/>
              </w:rPr>
              <w:t>ost</w:t>
            </w:r>
          </w:p>
        </w:tc>
        <w:tc>
          <w:tcPr>
            <w:tcW w:w="1021" w:type="dxa"/>
            <w:hideMark/>
          </w:tcPr>
          <w:p w14:paraId="4C77E3B9" w14:textId="77777777" w:rsidR="00814857" w:rsidRPr="005A6F56" w:rsidRDefault="00814857" w:rsidP="00894126">
            <w:pPr>
              <w:pStyle w:val="ARtabletextright"/>
              <w:rPr>
                <w:b/>
              </w:rPr>
            </w:pPr>
            <w:r w:rsidRPr="005A6F56">
              <w:rPr>
                <w:b/>
                <w:noProof/>
              </w:rPr>
              <w:t>$ million</w:t>
            </w:r>
          </w:p>
        </w:tc>
        <w:tc>
          <w:tcPr>
            <w:tcW w:w="1022" w:type="dxa"/>
            <w:hideMark/>
          </w:tcPr>
          <w:p w14:paraId="2E6809D3" w14:textId="77777777" w:rsidR="00814857" w:rsidRPr="005A6F56" w:rsidRDefault="00814857" w:rsidP="00894126">
            <w:pPr>
              <w:pStyle w:val="ARtabletextright"/>
              <w:rPr>
                <w:b/>
              </w:rPr>
            </w:pPr>
            <w:r w:rsidRPr="005A6F56">
              <w:rPr>
                <w:b/>
                <w:noProof/>
              </w:rPr>
              <w:t>292.3</w:t>
            </w:r>
          </w:p>
        </w:tc>
        <w:tc>
          <w:tcPr>
            <w:tcW w:w="1022" w:type="dxa"/>
            <w:hideMark/>
          </w:tcPr>
          <w:p w14:paraId="684DA06B" w14:textId="77777777" w:rsidR="00814857" w:rsidRPr="005A6F56" w:rsidRDefault="00814857" w:rsidP="00894126">
            <w:pPr>
              <w:pStyle w:val="ARtabletextright"/>
              <w:rPr>
                <w:b/>
              </w:rPr>
            </w:pPr>
            <w:r w:rsidRPr="005A6F56">
              <w:rPr>
                <w:b/>
                <w:noProof/>
              </w:rPr>
              <w:t>282.8</w:t>
            </w:r>
          </w:p>
        </w:tc>
        <w:tc>
          <w:tcPr>
            <w:tcW w:w="1022" w:type="dxa"/>
            <w:hideMark/>
          </w:tcPr>
          <w:p w14:paraId="05100EA1" w14:textId="77777777" w:rsidR="00814857" w:rsidRPr="005A6F56" w:rsidRDefault="00814857" w:rsidP="00894126">
            <w:pPr>
              <w:pStyle w:val="ARtabletextright"/>
              <w:rPr>
                <w:b/>
              </w:rPr>
            </w:pPr>
            <w:r w:rsidRPr="005A6F56">
              <w:rPr>
                <w:b/>
                <w:noProof/>
              </w:rPr>
              <w:t>-3.2</w:t>
            </w:r>
          </w:p>
        </w:tc>
        <w:tc>
          <w:tcPr>
            <w:tcW w:w="794" w:type="dxa"/>
            <w:hideMark/>
          </w:tcPr>
          <w:p w14:paraId="540DDD3A" w14:textId="77777777" w:rsidR="00814857" w:rsidRPr="005A6F56" w:rsidRDefault="00814857" w:rsidP="008F035E">
            <w:pPr>
              <w:pStyle w:val="ARtabletextright"/>
              <w:rPr>
                <w:b/>
              </w:rPr>
            </w:pPr>
          </w:p>
        </w:tc>
      </w:tr>
      <w:tr w:rsidR="00814857" w14:paraId="132382F5" w14:textId="77777777" w:rsidTr="0056128E">
        <w:trPr>
          <w:cantSplit/>
          <w:trHeight w:val="240"/>
        </w:trPr>
        <w:tc>
          <w:tcPr>
            <w:tcW w:w="9645" w:type="dxa"/>
            <w:gridSpan w:val="6"/>
            <w:tcBorders>
              <w:top w:val="nil"/>
              <w:left w:val="nil"/>
              <w:bottom w:val="single" w:sz="4" w:space="0" w:color="auto"/>
              <w:right w:val="nil"/>
            </w:tcBorders>
            <w:noWrap/>
            <w:hideMark/>
          </w:tcPr>
          <w:p w14:paraId="42034965" w14:textId="77777777" w:rsidR="00814857" w:rsidRDefault="00814857" w:rsidP="00894126">
            <w:pPr>
              <w:pStyle w:val="ARtablenoteindent"/>
            </w:pPr>
            <w:r w:rsidRPr="002520AF">
              <w:rPr>
                <w:noProof/>
              </w:rPr>
              <w:t>The 2018</w:t>
            </w:r>
            <w:r>
              <w:rPr>
                <w:noProof/>
              </w:rPr>
              <w:t>–</w:t>
            </w:r>
            <w:r w:rsidRPr="002520AF">
              <w:rPr>
                <w:noProof/>
              </w:rPr>
              <w:t>19 actual outcome primarily reflects realignment across output groups to support service delivery needs, including funding provided to the Mental Health Community Support Services output for the Aboriginal Health, Wellbeing and Safety Initiative.</w:t>
            </w:r>
          </w:p>
        </w:tc>
      </w:tr>
      <w:tr w:rsidR="00EC65CE" w14:paraId="7EFC9B19" w14:textId="77777777" w:rsidTr="0056128E">
        <w:trPr>
          <w:cantSplit/>
          <w:trHeight w:val="289"/>
        </w:trPr>
        <w:tc>
          <w:tcPr>
            <w:tcW w:w="9645" w:type="dxa"/>
            <w:gridSpan w:val="6"/>
            <w:tcBorders>
              <w:top w:val="single" w:sz="4" w:space="0" w:color="auto"/>
              <w:left w:val="nil"/>
              <w:bottom w:val="single" w:sz="4" w:space="0" w:color="auto"/>
              <w:right w:val="nil"/>
            </w:tcBorders>
            <w:hideMark/>
          </w:tcPr>
          <w:p w14:paraId="31BB7176" w14:textId="1ADDC28C" w:rsidR="00EC65CE" w:rsidRDefault="00EC65CE" w:rsidP="00EC65CE">
            <w:pPr>
              <w:pStyle w:val="ARtablebluebold"/>
              <w:keepNext/>
            </w:pPr>
            <w:bookmarkStart w:id="71" w:name="_Hlk21519384"/>
            <w:bookmarkEnd w:id="70"/>
            <w:r>
              <w:lastRenderedPageBreak/>
              <w:t>Dental Services</w:t>
            </w:r>
          </w:p>
        </w:tc>
      </w:tr>
      <w:bookmarkEnd w:id="71"/>
      <w:tr w:rsidR="00EC65CE" w14:paraId="29D6E26C" w14:textId="77777777" w:rsidTr="00A05EB7">
        <w:trPr>
          <w:cantSplit/>
          <w:trHeight w:val="240"/>
        </w:trPr>
        <w:tc>
          <w:tcPr>
            <w:tcW w:w="9645" w:type="dxa"/>
            <w:gridSpan w:val="6"/>
            <w:tcBorders>
              <w:top w:val="single" w:sz="4" w:space="0" w:color="auto"/>
              <w:left w:val="nil"/>
              <w:bottom w:val="nil"/>
              <w:right w:val="nil"/>
            </w:tcBorders>
            <w:hideMark/>
          </w:tcPr>
          <w:p w14:paraId="7A4450A6" w14:textId="2D58623D" w:rsidR="00EC65CE" w:rsidRDefault="00EC65CE" w:rsidP="00EC65CE">
            <w:pPr>
              <w:pStyle w:val="ARtablegreybold"/>
              <w:keepNext/>
            </w:pPr>
            <w:r>
              <w:t>Quantity</w:t>
            </w:r>
          </w:p>
        </w:tc>
      </w:tr>
      <w:tr w:rsidR="00814857" w14:paraId="0B5BC8AF" w14:textId="77777777" w:rsidTr="00894126">
        <w:trPr>
          <w:cantSplit/>
          <w:trHeight w:val="480"/>
        </w:trPr>
        <w:tc>
          <w:tcPr>
            <w:tcW w:w="4764" w:type="dxa"/>
            <w:hideMark/>
          </w:tcPr>
          <w:p w14:paraId="33B9154A" w14:textId="77777777" w:rsidR="00814857" w:rsidRPr="007F6B06" w:rsidRDefault="00814857" w:rsidP="00894126">
            <w:pPr>
              <w:pStyle w:val="ARtabletext"/>
            </w:pPr>
            <w:r w:rsidRPr="007F6B06">
              <w:rPr>
                <w:noProof/>
              </w:rPr>
              <w:t>Priority and emergency clients treated</w:t>
            </w:r>
          </w:p>
        </w:tc>
        <w:tc>
          <w:tcPr>
            <w:tcW w:w="1021" w:type="dxa"/>
            <w:hideMark/>
          </w:tcPr>
          <w:p w14:paraId="5E72795E" w14:textId="77777777" w:rsidR="00814857" w:rsidRDefault="00814857" w:rsidP="00894126">
            <w:pPr>
              <w:pStyle w:val="ARtabletextright"/>
            </w:pPr>
            <w:r>
              <w:rPr>
                <w:noProof/>
              </w:rPr>
              <w:t>number</w:t>
            </w:r>
          </w:p>
        </w:tc>
        <w:tc>
          <w:tcPr>
            <w:tcW w:w="1022" w:type="dxa"/>
            <w:hideMark/>
          </w:tcPr>
          <w:p w14:paraId="68A701E8" w14:textId="77777777" w:rsidR="00814857" w:rsidRDefault="00814857" w:rsidP="00894126">
            <w:pPr>
              <w:pStyle w:val="ARtabletextright"/>
            </w:pPr>
            <w:r>
              <w:rPr>
                <w:noProof/>
              </w:rPr>
              <w:t>249,100</w:t>
            </w:r>
          </w:p>
        </w:tc>
        <w:tc>
          <w:tcPr>
            <w:tcW w:w="1022" w:type="dxa"/>
            <w:hideMark/>
          </w:tcPr>
          <w:p w14:paraId="6A011DA9" w14:textId="77777777" w:rsidR="00814857" w:rsidRDefault="00814857" w:rsidP="00894126">
            <w:pPr>
              <w:pStyle w:val="ARtabletextright"/>
            </w:pPr>
            <w:r>
              <w:rPr>
                <w:noProof/>
              </w:rPr>
              <w:t>302,624</w:t>
            </w:r>
          </w:p>
        </w:tc>
        <w:tc>
          <w:tcPr>
            <w:tcW w:w="1022" w:type="dxa"/>
            <w:hideMark/>
          </w:tcPr>
          <w:p w14:paraId="47DBCA50" w14:textId="77777777" w:rsidR="00814857" w:rsidRDefault="00814857" w:rsidP="00894126">
            <w:pPr>
              <w:pStyle w:val="ARtabletextright"/>
            </w:pPr>
            <w:r>
              <w:rPr>
                <w:noProof/>
              </w:rPr>
              <w:t>21.5</w:t>
            </w:r>
          </w:p>
        </w:tc>
        <w:tc>
          <w:tcPr>
            <w:tcW w:w="794" w:type="dxa"/>
            <w:hideMark/>
          </w:tcPr>
          <w:p w14:paraId="55ED4ACF" w14:textId="77777777" w:rsidR="00814857" w:rsidRDefault="00814857" w:rsidP="00894126">
            <w:pPr>
              <w:pStyle w:val="ARtabletextright"/>
            </w:pPr>
            <w:r>
              <w:sym w:font="Wingdings" w:char="F0FC"/>
            </w:r>
          </w:p>
        </w:tc>
      </w:tr>
      <w:tr w:rsidR="00814857" w14:paraId="26E7B093" w14:textId="77777777" w:rsidTr="00894126">
        <w:trPr>
          <w:cantSplit/>
          <w:trHeight w:val="240"/>
        </w:trPr>
        <w:tc>
          <w:tcPr>
            <w:tcW w:w="9645" w:type="dxa"/>
            <w:gridSpan w:val="6"/>
            <w:tcBorders>
              <w:top w:val="nil"/>
              <w:left w:val="nil"/>
              <w:bottom w:val="single" w:sz="4" w:space="0" w:color="BFBFBF"/>
              <w:right w:val="nil"/>
            </w:tcBorders>
            <w:noWrap/>
            <w:hideMark/>
          </w:tcPr>
          <w:p w14:paraId="5B2EA11D" w14:textId="77777777" w:rsidR="00814857" w:rsidRPr="007F6B06" w:rsidRDefault="00814857" w:rsidP="00894126">
            <w:pPr>
              <w:pStyle w:val="ARtablenoteindent"/>
            </w:pPr>
            <w:r w:rsidRPr="007F6B06">
              <w:rPr>
                <w:noProof/>
              </w:rPr>
              <w:t>Performance above target reflects additional activity being delivered. This is a positive result.</w:t>
            </w:r>
          </w:p>
        </w:tc>
      </w:tr>
      <w:tr w:rsidR="00814857" w14:paraId="4B0AFF0D" w14:textId="77777777" w:rsidTr="00894126">
        <w:trPr>
          <w:cantSplit/>
          <w:trHeight w:val="480"/>
        </w:trPr>
        <w:tc>
          <w:tcPr>
            <w:tcW w:w="4764" w:type="dxa"/>
            <w:hideMark/>
          </w:tcPr>
          <w:p w14:paraId="216DC57B" w14:textId="77777777" w:rsidR="00814857" w:rsidRPr="007F6B06" w:rsidRDefault="00814857" w:rsidP="00894126">
            <w:pPr>
              <w:pStyle w:val="ARtabletext"/>
            </w:pPr>
            <w:r w:rsidRPr="007F6B06">
              <w:rPr>
                <w:noProof/>
              </w:rPr>
              <w:t>Persons treated</w:t>
            </w:r>
          </w:p>
        </w:tc>
        <w:tc>
          <w:tcPr>
            <w:tcW w:w="1021" w:type="dxa"/>
            <w:hideMark/>
          </w:tcPr>
          <w:p w14:paraId="0B3DBD81" w14:textId="77777777" w:rsidR="00814857" w:rsidRDefault="00814857" w:rsidP="00894126">
            <w:pPr>
              <w:pStyle w:val="ARtabletextright"/>
            </w:pPr>
            <w:r>
              <w:rPr>
                <w:noProof/>
              </w:rPr>
              <w:t>number</w:t>
            </w:r>
          </w:p>
        </w:tc>
        <w:tc>
          <w:tcPr>
            <w:tcW w:w="1022" w:type="dxa"/>
            <w:hideMark/>
          </w:tcPr>
          <w:p w14:paraId="5A9BABB8" w14:textId="77777777" w:rsidR="00814857" w:rsidRDefault="00814857" w:rsidP="00894126">
            <w:pPr>
              <w:pStyle w:val="ARtabletextright"/>
            </w:pPr>
            <w:r>
              <w:rPr>
                <w:noProof/>
              </w:rPr>
              <w:t>365,000</w:t>
            </w:r>
          </w:p>
        </w:tc>
        <w:tc>
          <w:tcPr>
            <w:tcW w:w="1022" w:type="dxa"/>
            <w:hideMark/>
          </w:tcPr>
          <w:p w14:paraId="211791FB" w14:textId="77777777" w:rsidR="00814857" w:rsidRDefault="00814857" w:rsidP="00894126">
            <w:pPr>
              <w:pStyle w:val="ARtabletextright"/>
            </w:pPr>
            <w:r>
              <w:rPr>
                <w:noProof/>
              </w:rPr>
              <w:t>380,190</w:t>
            </w:r>
          </w:p>
        </w:tc>
        <w:tc>
          <w:tcPr>
            <w:tcW w:w="1022" w:type="dxa"/>
            <w:hideMark/>
          </w:tcPr>
          <w:p w14:paraId="2047FF63" w14:textId="77777777" w:rsidR="00814857" w:rsidRDefault="00814857" w:rsidP="00894126">
            <w:pPr>
              <w:pStyle w:val="ARtabletextright"/>
            </w:pPr>
            <w:r>
              <w:rPr>
                <w:noProof/>
              </w:rPr>
              <w:t>4.2</w:t>
            </w:r>
          </w:p>
        </w:tc>
        <w:tc>
          <w:tcPr>
            <w:tcW w:w="794" w:type="dxa"/>
            <w:hideMark/>
          </w:tcPr>
          <w:p w14:paraId="051D2B19" w14:textId="77777777" w:rsidR="00814857" w:rsidRDefault="00814857" w:rsidP="00894126">
            <w:pPr>
              <w:pStyle w:val="ARtabletextright"/>
            </w:pPr>
            <w:r>
              <w:sym w:font="Wingdings" w:char="F0FC"/>
            </w:r>
          </w:p>
        </w:tc>
      </w:tr>
      <w:tr w:rsidR="00814857" w14:paraId="6C3CBE28" w14:textId="77777777" w:rsidTr="00894126">
        <w:trPr>
          <w:cantSplit/>
          <w:trHeight w:val="240"/>
        </w:trPr>
        <w:tc>
          <w:tcPr>
            <w:tcW w:w="9645" w:type="dxa"/>
            <w:gridSpan w:val="6"/>
            <w:tcBorders>
              <w:top w:val="nil"/>
              <w:left w:val="nil"/>
              <w:bottom w:val="single" w:sz="4" w:space="0" w:color="BFBFBF"/>
              <w:right w:val="nil"/>
            </w:tcBorders>
            <w:noWrap/>
            <w:hideMark/>
          </w:tcPr>
          <w:p w14:paraId="7FE76C90" w14:textId="77777777" w:rsidR="00814857" w:rsidRPr="007F6B06" w:rsidRDefault="00814857" w:rsidP="00894126">
            <w:pPr>
              <w:pStyle w:val="ARtablenoteindent"/>
            </w:pPr>
            <w:r w:rsidRPr="007F6B06">
              <w:rPr>
                <w:noProof/>
              </w:rPr>
              <w:t>Performance above target reflects additional activity being delivered. This is a positive result.</w:t>
            </w:r>
          </w:p>
        </w:tc>
      </w:tr>
      <w:tr w:rsidR="00EC65CE" w14:paraId="547620A8" w14:textId="77777777" w:rsidTr="00A05EB7">
        <w:trPr>
          <w:cantSplit/>
          <w:trHeight w:val="240"/>
        </w:trPr>
        <w:tc>
          <w:tcPr>
            <w:tcW w:w="9645" w:type="dxa"/>
            <w:gridSpan w:val="6"/>
            <w:tcBorders>
              <w:top w:val="single" w:sz="4" w:space="0" w:color="auto"/>
              <w:left w:val="nil"/>
              <w:bottom w:val="nil"/>
              <w:right w:val="nil"/>
            </w:tcBorders>
            <w:hideMark/>
          </w:tcPr>
          <w:p w14:paraId="7BA06CAD" w14:textId="77D4A434" w:rsidR="00EC65CE" w:rsidRDefault="00EC65CE" w:rsidP="002B4443">
            <w:pPr>
              <w:pStyle w:val="ARtablegreybold"/>
            </w:pPr>
            <w:r w:rsidRPr="007F6B06">
              <w:t>Quality</w:t>
            </w:r>
          </w:p>
        </w:tc>
      </w:tr>
      <w:tr w:rsidR="00814857" w14:paraId="7E05A73C" w14:textId="77777777" w:rsidTr="00894126">
        <w:trPr>
          <w:cantSplit/>
          <w:trHeight w:val="480"/>
        </w:trPr>
        <w:tc>
          <w:tcPr>
            <w:tcW w:w="4764" w:type="dxa"/>
            <w:hideMark/>
          </w:tcPr>
          <w:p w14:paraId="52CFB7F4" w14:textId="77777777" w:rsidR="00814857" w:rsidRPr="007F6B06" w:rsidRDefault="00814857" w:rsidP="00894126">
            <w:pPr>
              <w:pStyle w:val="ARtabletext"/>
            </w:pPr>
            <w:r w:rsidRPr="007F6B06">
              <w:rPr>
                <w:noProof/>
              </w:rPr>
              <w:t>Percentage of Dental Emergency Triage Category 1 clients treated within 24 hours</w:t>
            </w:r>
          </w:p>
        </w:tc>
        <w:tc>
          <w:tcPr>
            <w:tcW w:w="1021" w:type="dxa"/>
            <w:hideMark/>
          </w:tcPr>
          <w:p w14:paraId="05D0ED33" w14:textId="77777777" w:rsidR="00814857" w:rsidRDefault="00814857" w:rsidP="00894126">
            <w:pPr>
              <w:pStyle w:val="ARtabletextright"/>
            </w:pPr>
            <w:r>
              <w:rPr>
                <w:noProof/>
              </w:rPr>
              <w:t>per cent</w:t>
            </w:r>
          </w:p>
        </w:tc>
        <w:tc>
          <w:tcPr>
            <w:tcW w:w="1022" w:type="dxa"/>
            <w:hideMark/>
          </w:tcPr>
          <w:p w14:paraId="3B288409" w14:textId="77777777" w:rsidR="00814857" w:rsidRDefault="00814857" w:rsidP="00894126">
            <w:pPr>
              <w:pStyle w:val="ARtabletextright"/>
            </w:pPr>
            <w:r>
              <w:rPr>
                <w:noProof/>
              </w:rPr>
              <w:t>85</w:t>
            </w:r>
          </w:p>
        </w:tc>
        <w:tc>
          <w:tcPr>
            <w:tcW w:w="1022" w:type="dxa"/>
            <w:hideMark/>
          </w:tcPr>
          <w:p w14:paraId="1C5E2430" w14:textId="77777777" w:rsidR="00814857" w:rsidRDefault="00814857" w:rsidP="00894126">
            <w:pPr>
              <w:pStyle w:val="ARtabletextright"/>
            </w:pPr>
            <w:r>
              <w:rPr>
                <w:noProof/>
              </w:rPr>
              <w:t>93</w:t>
            </w:r>
          </w:p>
        </w:tc>
        <w:tc>
          <w:tcPr>
            <w:tcW w:w="1022" w:type="dxa"/>
            <w:hideMark/>
          </w:tcPr>
          <w:p w14:paraId="629F13E3" w14:textId="77777777" w:rsidR="00814857" w:rsidRDefault="00814857" w:rsidP="00894126">
            <w:pPr>
              <w:pStyle w:val="ARtabletextright"/>
            </w:pPr>
            <w:r>
              <w:rPr>
                <w:noProof/>
              </w:rPr>
              <w:t>9.4</w:t>
            </w:r>
          </w:p>
        </w:tc>
        <w:tc>
          <w:tcPr>
            <w:tcW w:w="794" w:type="dxa"/>
            <w:hideMark/>
          </w:tcPr>
          <w:p w14:paraId="0BCACC20" w14:textId="77777777" w:rsidR="00814857" w:rsidRDefault="00814857" w:rsidP="00894126">
            <w:pPr>
              <w:pStyle w:val="ARtabletextright"/>
            </w:pPr>
            <w:r>
              <w:sym w:font="Wingdings" w:char="F0FC"/>
            </w:r>
          </w:p>
        </w:tc>
      </w:tr>
      <w:tr w:rsidR="00814857" w14:paraId="6EB28893" w14:textId="77777777" w:rsidTr="00894126">
        <w:trPr>
          <w:cantSplit/>
          <w:trHeight w:val="240"/>
        </w:trPr>
        <w:tc>
          <w:tcPr>
            <w:tcW w:w="9645" w:type="dxa"/>
            <w:gridSpan w:val="6"/>
            <w:tcBorders>
              <w:top w:val="nil"/>
              <w:left w:val="nil"/>
              <w:bottom w:val="single" w:sz="4" w:space="0" w:color="BFBFBF"/>
              <w:right w:val="nil"/>
            </w:tcBorders>
            <w:noWrap/>
            <w:hideMark/>
          </w:tcPr>
          <w:p w14:paraId="39EDB12B" w14:textId="77777777" w:rsidR="00814857" w:rsidRPr="007F6B06" w:rsidRDefault="00814857" w:rsidP="00894126">
            <w:pPr>
              <w:pStyle w:val="ARtablenoteindent"/>
            </w:pPr>
            <w:r w:rsidRPr="007F6B06">
              <w:rPr>
                <w:noProof/>
              </w:rPr>
              <w:t>Performance above target is a positive result. This shows a higher percentage of people requiring emergency care are treated within the appropriate time period.</w:t>
            </w:r>
          </w:p>
        </w:tc>
      </w:tr>
      <w:tr w:rsidR="00814857" w14:paraId="02BAD518" w14:textId="77777777" w:rsidTr="00894126">
        <w:trPr>
          <w:cantSplit/>
          <w:trHeight w:val="480"/>
        </w:trPr>
        <w:tc>
          <w:tcPr>
            <w:tcW w:w="4764" w:type="dxa"/>
            <w:hideMark/>
          </w:tcPr>
          <w:p w14:paraId="522E53F5" w14:textId="77777777" w:rsidR="00814857" w:rsidRPr="007F6B06" w:rsidRDefault="00814857" w:rsidP="00894126">
            <w:pPr>
              <w:pStyle w:val="ARtabletext"/>
            </w:pPr>
            <w:r w:rsidRPr="007F6B06">
              <w:rPr>
                <w:noProof/>
              </w:rPr>
              <w:t>Waiting time for dentures</w:t>
            </w:r>
          </w:p>
        </w:tc>
        <w:tc>
          <w:tcPr>
            <w:tcW w:w="1021" w:type="dxa"/>
            <w:hideMark/>
          </w:tcPr>
          <w:p w14:paraId="5657AEDA" w14:textId="77777777" w:rsidR="00814857" w:rsidRDefault="00814857" w:rsidP="00894126">
            <w:pPr>
              <w:pStyle w:val="ARtabletextright"/>
            </w:pPr>
            <w:r>
              <w:rPr>
                <w:noProof/>
              </w:rPr>
              <w:t>months</w:t>
            </w:r>
          </w:p>
        </w:tc>
        <w:tc>
          <w:tcPr>
            <w:tcW w:w="1022" w:type="dxa"/>
            <w:hideMark/>
          </w:tcPr>
          <w:p w14:paraId="7CDBBAA8" w14:textId="77777777" w:rsidR="00814857" w:rsidRDefault="00814857" w:rsidP="00894126">
            <w:pPr>
              <w:pStyle w:val="ARtabletextright"/>
            </w:pPr>
            <w:r>
              <w:rPr>
                <w:noProof/>
              </w:rPr>
              <w:t>22</w:t>
            </w:r>
          </w:p>
        </w:tc>
        <w:tc>
          <w:tcPr>
            <w:tcW w:w="1022" w:type="dxa"/>
            <w:hideMark/>
          </w:tcPr>
          <w:p w14:paraId="1494BA97" w14:textId="77777777" w:rsidR="00814857" w:rsidRDefault="00814857" w:rsidP="00894126">
            <w:pPr>
              <w:pStyle w:val="ARtabletextright"/>
            </w:pPr>
            <w:r>
              <w:rPr>
                <w:noProof/>
              </w:rPr>
              <w:t>19</w:t>
            </w:r>
          </w:p>
        </w:tc>
        <w:tc>
          <w:tcPr>
            <w:tcW w:w="1022" w:type="dxa"/>
            <w:hideMark/>
          </w:tcPr>
          <w:p w14:paraId="28C6FA90" w14:textId="77777777" w:rsidR="00814857" w:rsidRDefault="00814857" w:rsidP="00894126">
            <w:pPr>
              <w:pStyle w:val="ARtabletextright"/>
            </w:pPr>
            <w:r>
              <w:rPr>
                <w:noProof/>
              </w:rPr>
              <w:t>-13.6</w:t>
            </w:r>
          </w:p>
        </w:tc>
        <w:tc>
          <w:tcPr>
            <w:tcW w:w="794" w:type="dxa"/>
            <w:hideMark/>
          </w:tcPr>
          <w:p w14:paraId="748739A1" w14:textId="77777777" w:rsidR="00814857" w:rsidRDefault="00814857" w:rsidP="00894126">
            <w:pPr>
              <w:pStyle w:val="ARtabletextright"/>
            </w:pPr>
            <w:r>
              <w:sym w:font="Wingdings" w:char="F0FC"/>
            </w:r>
          </w:p>
        </w:tc>
      </w:tr>
      <w:tr w:rsidR="00814857" w14:paraId="5C289298" w14:textId="77777777" w:rsidTr="00894126">
        <w:trPr>
          <w:cantSplit/>
          <w:trHeight w:val="240"/>
        </w:trPr>
        <w:tc>
          <w:tcPr>
            <w:tcW w:w="9645" w:type="dxa"/>
            <w:gridSpan w:val="6"/>
            <w:tcBorders>
              <w:top w:val="nil"/>
              <w:left w:val="nil"/>
              <w:bottom w:val="single" w:sz="4" w:space="0" w:color="BFBFBF"/>
              <w:right w:val="nil"/>
            </w:tcBorders>
            <w:noWrap/>
            <w:hideMark/>
          </w:tcPr>
          <w:p w14:paraId="548DBA15" w14:textId="77777777" w:rsidR="00814857" w:rsidRPr="007F6B06" w:rsidRDefault="00814857" w:rsidP="00894126">
            <w:pPr>
              <w:pStyle w:val="ARtablenoteindent"/>
            </w:pPr>
            <w:r w:rsidRPr="007F6B06">
              <w:rPr>
                <w:noProof/>
              </w:rPr>
              <w:t>Performance below target reflects additional activity being delivered. This is a positive result.</w:t>
            </w:r>
          </w:p>
        </w:tc>
      </w:tr>
      <w:tr w:rsidR="00814857" w14:paraId="688E55EC" w14:textId="77777777" w:rsidTr="00894126">
        <w:trPr>
          <w:cantSplit/>
          <w:trHeight w:val="480"/>
        </w:trPr>
        <w:tc>
          <w:tcPr>
            <w:tcW w:w="4764" w:type="dxa"/>
            <w:hideMark/>
          </w:tcPr>
          <w:p w14:paraId="1B8CAF55" w14:textId="77777777" w:rsidR="00814857" w:rsidRPr="007F6B06" w:rsidRDefault="00814857" w:rsidP="00894126">
            <w:pPr>
              <w:pStyle w:val="ARtabletext"/>
            </w:pPr>
            <w:r w:rsidRPr="007F6B06">
              <w:rPr>
                <w:noProof/>
              </w:rPr>
              <w:t>Waiting time for general dental care</w:t>
            </w:r>
          </w:p>
        </w:tc>
        <w:tc>
          <w:tcPr>
            <w:tcW w:w="1021" w:type="dxa"/>
            <w:hideMark/>
          </w:tcPr>
          <w:p w14:paraId="7F2F08BF" w14:textId="77777777" w:rsidR="00814857" w:rsidRDefault="00814857" w:rsidP="00894126">
            <w:pPr>
              <w:pStyle w:val="ARtabletextright"/>
            </w:pPr>
            <w:r>
              <w:rPr>
                <w:noProof/>
              </w:rPr>
              <w:t>months</w:t>
            </w:r>
          </w:p>
        </w:tc>
        <w:tc>
          <w:tcPr>
            <w:tcW w:w="1022" w:type="dxa"/>
            <w:hideMark/>
          </w:tcPr>
          <w:p w14:paraId="4A6F826B" w14:textId="77777777" w:rsidR="00814857" w:rsidRDefault="00814857" w:rsidP="00894126">
            <w:pPr>
              <w:pStyle w:val="ARtabletextright"/>
            </w:pPr>
            <w:r>
              <w:rPr>
                <w:noProof/>
              </w:rPr>
              <w:t>23</w:t>
            </w:r>
          </w:p>
        </w:tc>
        <w:tc>
          <w:tcPr>
            <w:tcW w:w="1022" w:type="dxa"/>
            <w:hideMark/>
          </w:tcPr>
          <w:p w14:paraId="32EB269A" w14:textId="77777777" w:rsidR="00814857" w:rsidRDefault="00814857" w:rsidP="00894126">
            <w:pPr>
              <w:pStyle w:val="ARtabletextright"/>
            </w:pPr>
            <w:r>
              <w:rPr>
                <w:noProof/>
              </w:rPr>
              <w:t>20</w:t>
            </w:r>
          </w:p>
        </w:tc>
        <w:tc>
          <w:tcPr>
            <w:tcW w:w="1022" w:type="dxa"/>
            <w:hideMark/>
          </w:tcPr>
          <w:p w14:paraId="0234B2B9" w14:textId="77777777" w:rsidR="00814857" w:rsidRDefault="00814857" w:rsidP="00894126">
            <w:pPr>
              <w:pStyle w:val="ARtabletextright"/>
            </w:pPr>
            <w:r>
              <w:rPr>
                <w:noProof/>
              </w:rPr>
              <w:t>-13.0</w:t>
            </w:r>
          </w:p>
        </w:tc>
        <w:tc>
          <w:tcPr>
            <w:tcW w:w="794" w:type="dxa"/>
            <w:hideMark/>
          </w:tcPr>
          <w:p w14:paraId="3AB90F57" w14:textId="77777777" w:rsidR="00814857" w:rsidRDefault="00814857" w:rsidP="00894126">
            <w:pPr>
              <w:pStyle w:val="ARtabletextright"/>
            </w:pPr>
            <w:r>
              <w:sym w:font="Wingdings" w:char="F0FC"/>
            </w:r>
          </w:p>
        </w:tc>
      </w:tr>
      <w:tr w:rsidR="00814857" w14:paraId="3BFC2972" w14:textId="77777777" w:rsidTr="00894126">
        <w:trPr>
          <w:cantSplit/>
          <w:trHeight w:val="240"/>
        </w:trPr>
        <w:tc>
          <w:tcPr>
            <w:tcW w:w="9645" w:type="dxa"/>
            <w:gridSpan w:val="6"/>
            <w:tcBorders>
              <w:top w:val="nil"/>
              <w:left w:val="nil"/>
              <w:bottom w:val="single" w:sz="4" w:space="0" w:color="BFBFBF"/>
              <w:right w:val="nil"/>
            </w:tcBorders>
            <w:noWrap/>
            <w:hideMark/>
          </w:tcPr>
          <w:p w14:paraId="37831CFF" w14:textId="77777777" w:rsidR="00814857" w:rsidRPr="007F6B06" w:rsidRDefault="00814857" w:rsidP="00894126">
            <w:pPr>
              <w:pStyle w:val="ARtablenoteindent"/>
            </w:pPr>
            <w:r w:rsidRPr="007F6B06">
              <w:rPr>
                <w:noProof/>
              </w:rPr>
              <w:t>Performance below target reflects additional activity being delivered. This is a positive result.</w:t>
            </w:r>
          </w:p>
        </w:tc>
      </w:tr>
      <w:tr w:rsidR="00EC65CE" w14:paraId="69BD36F1" w14:textId="77777777" w:rsidTr="00A05EB7">
        <w:trPr>
          <w:cantSplit/>
          <w:trHeight w:val="240"/>
        </w:trPr>
        <w:tc>
          <w:tcPr>
            <w:tcW w:w="9645" w:type="dxa"/>
            <w:gridSpan w:val="6"/>
            <w:tcBorders>
              <w:top w:val="single" w:sz="4" w:space="0" w:color="auto"/>
              <w:left w:val="nil"/>
              <w:bottom w:val="nil"/>
              <w:right w:val="nil"/>
            </w:tcBorders>
            <w:hideMark/>
          </w:tcPr>
          <w:p w14:paraId="7D6368ED" w14:textId="723A7DFE" w:rsidR="00EC65CE" w:rsidRDefault="00EC65CE" w:rsidP="002B4443">
            <w:pPr>
              <w:pStyle w:val="ARtablegreybold"/>
            </w:pPr>
            <w:bookmarkStart w:id="72" w:name="_Hlk21519378"/>
            <w:r>
              <w:t>Cost</w:t>
            </w:r>
          </w:p>
        </w:tc>
      </w:tr>
      <w:tr w:rsidR="00814857" w14:paraId="52392FF2" w14:textId="77777777" w:rsidTr="000B7C6C">
        <w:trPr>
          <w:cantSplit/>
          <w:trHeight w:val="397"/>
        </w:trPr>
        <w:tc>
          <w:tcPr>
            <w:tcW w:w="4764" w:type="dxa"/>
            <w:hideMark/>
          </w:tcPr>
          <w:p w14:paraId="1AF1BCA8" w14:textId="77777777" w:rsidR="00814857" w:rsidRPr="004305B0" w:rsidRDefault="00814857" w:rsidP="00894126">
            <w:pPr>
              <w:pStyle w:val="ARtabletext"/>
              <w:rPr>
                <w:b/>
              </w:rPr>
            </w:pPr>
            <w:r w:rsidRPr="004305B0">
              <w:rPr>
                <w:b/>
                <w:noProof/>
              </w:rPr>
              <w:t xml:space="preserve">Total </w:t>
            </w:r>
            <w:r>
              <w:rPr>
                <w:b/>
                <w:noProof/>
              </w:rPr>
              <w:t>o</w:t>
            </w:r>
            <w:r w:rsidRPr="004305B0">
              <w:rPr>
                <w:b/>
                <w:noProof/>
              </w:rPr>
              <w:t xml:space="preserve">utput </w:t>
            </w:r>
            <w:r>
              <w:rPr>
                <w:b/>
                <w:noProof/>
              </w:rPr>
              <w:t>c</w:t>
            </w:r>
            <w:r w:rsidRPr="004305B0">
              <w:rPr>
                <w:b/>
                <w:noProof/>
              </w:rPr>
              <w:t>ost</w:t>
            </w:r>
          </w:p>
        </w:tc>
        <w:tc>
          <w:tcPr>
            <w:tcW w:w="1021" w:type="dxa"/>
            <w:hideMark/>
          </w:tcPr>
          <w:p w14:paraId="46DF2B3C" w14:textId="77777777" w:rsidR="00814857" w:rsidRPr="004305B0" w:rsidRDefault="00814857" w:rsidP="00894126">
            <w:pPr>
              <w:pStyle w:val="ARtabletextright"/>
              <w:rPr>
                <w:b/>
                <w:noProof/>
              </w:rPr>
            </w:pPr>
            <w:r w:rsidRPr="004305B0">
              <w:rPr>
                <w:b/>
                <w:noProof/>
              </w:rPr>
              <w:t>$ million</w:t>
            </w:r>
          </w:p>
        </w:tc>
        <w:tc>
          <w:tcPr>
            <w:tcW w:w="1022" w:type="dxa"/>
            <w:hideMark/>
          </w:tcPr>
          <w:p w14:paraId="7A8A6B18" w14:textId="77777777" w:rsidR="00814857" w:rsidRPr="004305B0" w:rsidRDefault="00814857" w:rsidP="00894126">
            <w:pPr>
              <w:pStyle w:val="ARtabletextright"/>
              <w:rPr>
                <w:b/>
                <w:noProof/>
              </w:rPr>
            </w:pPr>
            <w:r w:rsidRPr="004305B0">
              <w:rPr>
                <w:b/>
                <w:noProof/>
              </w:rPr>
              <w:t>267.4</w:t>
            </w:r>
          </w:p>
        </w:tc>
        <w:tc>
          <w:tcPr>
            <w:tcW w:w="1022" w:type="dxa"/>
            <w:hideMark/>
          </w:tcPr>
          <w:p w14:paraId="2B3B70CE" w14:textId="77777777" w:rsidR="00814857" w:rsidRPr="004305B0" w:rsidRDefault="00814857" w:rsidP="00894126">
            <w:pPr>
              <w:pStyle w:val="ARtabletextright"/>
              <w:rPr>
                <w:b/>
                <w:noProof/>
              </w:rPr>
            </w:pPr>
            <w:r w:rsidRPr="004305B0">
              <w:rPr>
                <w:b/>
                <w:noProof/>
              </w:rPr>
              <w:t>234.2</w:t>
            </w:r>
          </w:p>
        </w:tc>
        <w:tc>
          <w:tcPr>
            <w:tcW w:w="1022" w:type="dxa"/>
            <w:hideMark/>
          </w:tcPr>
          <w:p w14:paraId="226356B2" w14:textId="77777777" w:rsidR="00814857" w:rsidRPr="004305B0" w:rsidRDefault="00814857" w:rsidP="00894126">
            <w:pPr>
              <w:pStyle w:val="ARtabletextright"/>
              <w:rPr>
                <w:b/>
                <w:noProof/>
              </w:rPr>
            </w:pPr>
            <w:r w:rsidRPr="004305B0">
              <w:rPr>
                <w:b/>
                <w:noProof/>
              </w:rPr>
              <w:t>-12.4</w:t>
            </w:r>
          </w:p>
        </w:tc>
        <w:tc>
          <w:tcPr>
            <w:tcW w:w="794" w:type="dxa"/>
            <w:hideMark/>
          </w:tcPr>
          <w:p w14:paraId="5801A58E" w14:textId="77777777" w:rsidR="00814857" w:rsidRPr="002B4443" w:rsidRDefault="00814857" w:rsidP="002B4443">
            <w:pPr>
              <w:pStyle w:val="ARtabletextright"/>
              <w:rPr>
                <w:b/>
                <w:noProof/>
              </w:rPr>
            </w:pPr>
          </w:p>
        </w:tc>
      </w:tr>
      <w:tr w:rsidR="00814857" w14:paraId="1FF07661" w14:textId="77777777" w:rsidTr="00894126">
        <w:trPr>
          <w:cantSplit/>
          <w:trHeight w:val="240"/>
        </w:trPr>
        <w:tc>
          <w:tcPr>
            <w:tcW w:w="9645" w:type="dxa"/>
            <w:gridSpan w:val="6"/>
            <w:tcBorders>
              <w:top w:val="nil"/>
              <w:left w:val="nil"/>
              <w:bottom w:val="single" w:sz="4" w:space="0" w:color="BFBFBF"/>
              <w:right w:val="nil"/>
            </w:tcBorders>
            <w:noWrap/>
            <w:hideMark/>
          </w:tcPr>
          <w:p w14:paraId="76F13E50" w14:textId="77777777" w:rsidR="00814857" w:rsidRDefault="00814857">
            <w:pPr>
              <w:pStyle w:val="ARtablenoteindent"/>
            </w:pPr>
            <w:r w:rsidRPr="009E0D14">
              <w:rPr>
                <w:noProof/>
              </w:rPr>
              <w:t>The 2018</w:t>
            </w:r>
            <w:r>
              <w:rPr>
                <w:noProof/>
              </w:rPr>
              <w:t>–</w:t>
            </w:r>
            <w:r w:rsidRPr="009E0D14">
              <w:rPr>
                <w:noProof/>
              </w:rPr>
              <w:t>19 actual outcome reflects lower actual carryover from 2017</w:t>
            </w:r>
            <w:r>
              <w:rPr>
                <w:noProof/>
              </w:rPr>
              <w:t>–</w:t>
            </w:r>
            <w:r w:rsidRPr="009E0D14">
              <w:rPr>
                <w:noProof/>
              </w:rPr>
              <w:t>18 than estimated in the 2018</w:t>
            </w:r>
            <w:r>
              <w:rPr>
                <w:noProof/>
              </w:rPr>
              <w:t>–</w:t>
            </w:r>
            <w:r w:rsidRPr="009E0D14">
              <w:rPr>
                <w:noProof/>
              </w:rPr>
              <w:t>19 target; the late finalisation of the National Partnership Agreement for 2018</w:t>
            </w:r>
            <w:r>
              <w:rPr>
                <w:noProof/>
              </w:rPr>
              <w:t>–</w:t>
            </w:r>
            <w:r w:rsidRPr="009E0D14">
              <w:rPr>
                <w:noProof/>
              </w:rPr>
              <w:t>19 with the Commonwealth leading to carry over of funding into 2019</w:t>
            </w:r>
            <w:r>
              <w:rPr>
                <w:noProof/>
              </w:rPr>
              <w:t>–</w:t>
            </w:r>
            <w:r w:rsidRPr="009E0D14">
              <w:rPr>
                <w:noProof/>
              </w:rPr>
              <w:t>20; and a lower than estimated Own Source revenue for Dental Health Services Victoria.</w:t>
            </w:r>
          </w:p>
        </w:tc>
      </w:tr>
      <w:tr w:rsidR="00EC65CE" w14:paraId="43BC5F4F"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2DC0424D" w14:textId="1F7B199A" w:rsidR="00EC65CE" w:rsidRDefault="00EC65CE" w:rsidP="002B4443">
            <w:pPr>
              <w:pStyle w:val="ARtablebluebold"/>
            </w:pPr>
            <w:bookmarkStart w:id="73" w:name="_Hlk20403588"/>
            <w:bookmarkEnd w:id="72"/>
            <w:r>
              <w:t>Maternal and Child Health and Early Parenting Services</w:t>
            </w:r>
            <w:bookmarkEnd w:id="73"/>
          </w:p>
        </w:tc>
      </w:tr>
      <w:tr w:rsidR="00EC65CE" w14:paraId="1E9091EF" w14:textId="77777777" w:rsidTr="00A05EB7">
        <w:trPr>
          <w:cantSplit/>
          <w:trHeight w:val="240"/>
        </w:trPr>
        <w:tc>
          <w:tcPr>
            <w:tcW w:w="9645" w:type="dxa"/>
            <w:gridSpan w:val="6"/>
            <w:tcBorders>
              <w:top w:val="single" w:sz="4" w:space="0" w:color="auto"/>
              <w:left w:val="nil"/>
              <w:bottom w:val="nil"/>
              <w:right w:val="nil"/>
            </w:tcBorders>
            <w:hideMark/>
          </w:tcPr>
          <w:p w14:paraId="702034A5" w14:textId="3DC2B75D" w:rsidR="00EC65CE" w:rsidRDefault="00EC65CE" w:rsidP="002B4443">
            <w:pPr>
              <w:pStyle w:val="ARtablegreybold"/>
            </w:pPr>
            <w:r>
              <w:t>Quantity</w:t>
            </w:r>
          </w:p>
        </w:tc>
      </w:tr>
      <w:tr w:rsidR="00814857" w14:paraId="311F76FA" w14:textId="77777777" w:rsidTr="00894126">
        <w:trPr>
          <w:cantSplit/>
          <w:trHeight w:val="480"/>
        </w:trPr>
        <w:tc>
          <w:tcPr>
            <w:tcW w:w="4764" w:type="dxa"/>
            <w:hideMark/>
          </w:tcPr>
          <w:p w14:paraId="2B3B3832" w14:textId="77777777" w:rsidR="00814857" w:rsidRDefault="00814857" w:rsidP="00894126">
            <w:pPr>
              <w:pStyle w:val="ARtabletext"/>
            </w:pPr>
            <w:r>
              <w:rPr>
                <w:noProof/>
              </w:rPr>
              <w:t>Maternal and child health clients with children aged 0 to 1 year receiving additional support through enhanced maternal and child health services</w:t>
            </w:r>
          </w:p>
        </w:tc>
        <w:tc>
          <w:tcPr>
            <w:tcW w:w="1021" w:type="dxa"/>
            <w:hideMark/>
          </w:tcPr>
          <w:p w14:paraId="19E79CC0" w14:textId="77777777" w:rsidR="00814857" w:rsidRDefault="00814857" w:rsidP="00894126">
            <w:pPr>
              <w:pStyle w:val="ARtabletextright"/>
            </w:pPr>
            <w:r>
              <w:rPr>
                <w:noProof/>
              </w:rPr>
              <w:t>per cent</w:t>
            </w:r>
          </w:p>
        </w:tc>
        <w:tc>
          <w:tcPr>
            <w:tcW w:w="1022" w:type="dxa"/>
            <w:hideMark/>
          </w:tcPr>
          <w:p w14:paraId="65752945" w14:textId="77777777" w:rsidR="00814857" w:rsidRDefault="00814857" w:rsidP="00894126">
            <w:pPr>
              <w:pStyle w:val="ARtabletextright"/>
            </w:pPr>
            <w:r>
              <w:rPr>
                <w:noProof/>
              </w:rPr>
              <w:t>15</w:t>
            </w:r>
          </w:p>
        </w:tc>
        <w:tc>
          <w:tcPr>
            <w:tcW w:w="1022" w:type="dxa"/>
            <w:hideMark/>
          </w:tcPr>
          <w:p w14:paraId="5ABD2CC2" w14:textId="77777777" w:rsidR="00814857" w:rsidRDefault="00814857" w:rsidP="00894126">
            <w:pPr>
              <w:pStyle w:val="ARtabletextright"/>
            </w:pPr>
            <w:r>
              <w:rPr>
                <w:noProof/>
              </w:rPr>
              <w:t>15</w:t>
            </w:r>
          </w:p>
        </w:tc>
        <w:tc>
          <w:tcPr>
            <w:tcW w:w="1022" w:type="dxa"/>
            <w:hideMark/>
          </w:tcPr>
          <w:p w14:paraId="266AEF83" w14:textId="77777777" w:rsidR="00814857" w:rsidRDefault="00814857" w:rsidP="00894126">
            <w:pPr>
              <w:pStyle w:val="ARtabletextright"/>
            </w:pPr>
            <w:r>
              <w:rPr>
                <w:noProof/>
              </w:rPr>
              <w:t>0.0</w:t>
            </w:r>
          </w:p>
        </w:tc>
        <w:tc>
          <w:tcPr>
            <w:tcW w:w="794" w:type="dxa"/>
            <w:hideMark/>
          </w:tcPr>
          <w:p w14:paraId="6F7330AE" w14:textId="77777777" w:rsidR="00814857" w:rsidRDefault="00814857" w:rsidP="00894126">
            <w:pPr>
              <w:pStyle w:val="ARtabletextright"/>
            </w:pPr>
            <w:r>
              <w:sym w:font="Wingdings" w:char="F0FC"/>
            </w:r>
          </w:p>
        </w:tc>
      </w:tr>
      <w:tr w:rsidR="00814857" w14:paraId="4808331F" w14:textId="77777777" w:rsidTr="00894126">
        <w:trPr>
          <w:cantSplit/>
          <w:trHeight w:val="240"/>
        </w:trPr>
        <w:tc>
          <w:tcPr>
            <w:tcW w:w="9645" w:type="dxa"/>
            <w:gridSpan w:val="6"/>
            <w:tcBorders>
              <w:top w:val="nil"/>
              <w:left w:val="nil"/>
              <w:bottom w:val="single" w:sz="4" w:space="0" w:color="BFBFBF"/>
              <w:right w:val="nil"/>
            </w:tcBorders>
            <w:noWrap/>
            <w:hideMark/>
          </w:tcPr>
          <w:p w14:paraId="1F2420BA" w14:textId="77777777" w:rsidR="00814857" w:rsidRDefault="00814857" w:rsidP="00894126">
            <w:pPr>
              <w:pStyle w:val="ARtablenoteindent"/>
            </w:pPr>
            <w:r>
              <w:rPr>
                <w:noProof/>
              </w:rPr>
              <w:t xml:space="preserve">Preliminary result. </w:t>
            </w:r>
            <w:r w:rsidRPr="0052763D">
              <w:rPr>
                <w:noProof/>
              </w:rPr>
              <w:t>Consistent with policy, the outcome measured reflects service provided to families with children aged 0</w:t>
            </w:r>
            <w:r>
              <w:rPr>
                <w:noProof/>
              </w:rPr>
              <w:t xml:space="preserve"> to </w:t>
            </w:r>
            <w:r w:rsidRPr="0052763D">
              <w:rPr>
                <w:noProof/>
              </w:rPr>
              <w:t>2 years old in 2018</w:t>
            </w:r>
            <w:r>
              <w:rPr>
                <w:noProof/>
              </w:rPr>
              <w:t>–</w:t>
            </w:r>
            <w:r w:rsidRPr="0052763D">
              <w:rPr>
                <w:noProof/>
              </w:rPr>
              <w:t xml:space="preserve">19. </w:t>
            </w:r>
            <w:r>
              <w:rPr>
                <w:noProof/>
              </w:rPr>
              <w:t>Actual end-of-year results will be available late 2019.</w:t>
            </w:r>
          </w:p>
        </w:tc>
      </w:tr>
      <w:tr w:rsidR="00814857" w14:paraId="14AE6D0E" w14:textId="77777777" w:rsidTr="00894126">
        <w:trPr>
          <w:cantSplit/>
          <w:trHeight w:val="480"/>
        </w:trPr>
        <w:tc>
          <w:tcPr>
            <w:tcW w:w="4764" w:type="dxa"/>
            <w:hideMark/>
          </w:tcPr>
          <w:p w14:paraId="7D9E04E6" w14:textId="77777777" w:rsidR="00814857" w:rsidRDefault="00814857" w:rsidP="00894126">
            <w:pPr>
              <w:pStyle w:val="ARtabletext"/>
            </w:pPr>
            <w:r>
              <w:rPr>
                <w:noProof/>
              </w:rPr>
              <w:t>Total number of Maternal and Child Health Service clients (aged 0 to 1 year)</w:t>
            </w:r>
          </w:p>
        </w:tc>
        <w:tc>
          <w:tcPr>
            <w:tcW w:w="1021" w:type="dxa"/>
            <w:hideMark/>
          </w:tcPr>
          <w:p w14:paraId="322EE730" w14:textId="77777777" w:rsidR="00814857" w:rsidRDefault="00814857" w:rsidP="00894126">
            <w:pPr>
              <w:pStyle w:val="ARtabletextright"/>
            </w:pPr>
            <w:r>
              <w:rPr>
                <w:noProof/>
              </w:rPr>
              <w:t>number</w:t>
            </w:r>
          </w:p>
        </w:tc>
        <w:tc>
          <w:tcPr>
            <w:tcW w:w="1022" w:type="dxa"/>
            <w:hideMark/>
          </w:tcPr>
          <w:p w14:paraId="4C67EB30" w14:textId="77777777" w:rsidR="00814857" w:rsidRDefault="00814857" w:rsidP="00894126">
            <w:pPr>
              <w:pStyle w:val="ARtabletextright"/>
            </w:pPr>
            <w:r>
              <w:rPr>
                <w:noProof/>
              </w:rPr>
              <w:t>80,000</w:t>
            </w:r>
          </w:p>
        </w:tc>
        <w:tc>
          <w:tcPr>
            <w:tcW w:w="1022" w:type="dxa"/>
            <w:hideMark/>
          </w:tcPr>
          <w:p w14:paraId="49B6669B" w14:textId="77777777" w:rsidR="00814857" w:rsidRDefault="00814857" w:rsidP="00894126">
            <w:pPr>
              <w:pStyle w:val="ARtabletextright"/>
            </w:pPr>
            <w:r>
              <w:rPr>
                <w:noProof/>
              </w:rPr>
              <w:t>80,000</w:t>
            </w:r>
          </w:p>
        </w:tc>
        <w:tc>
          <w:tcPr>
            <w:tcW w:w="1022" w:type="dxa"/>
            <w:hideMark/>
          </w:tcPr>
          <w:p w14:paraId="758B1DCD" w14:textId="77777777" w:rsidR="00814857" w:rsidRDefault="00814857" w:rsidP="00894126">
            <w:pPr>
              <w:pStyle w:val="ARtabletextright"/>
            </w:pPr>
            <w:r>
              <w:rPr>
                <w:noProof/>
              </w:rPr>
              <w:t>0.0</w:t>
            </w:r>
          </w:p>
        </w:tc>
        <w:tc>
          <w:tcPr>
            <w:tcW w:w="794" w:type="dxa"/>
            <w:hideMark/>
          </w:tcPr>
          <w:p w14:paraId="750324F9" w14:textId="77777777" w:rsidR="00814857" w:rsidRDefault="00814857" w:rsidP="00894126">
            <w:pPr>
              <w:pStyle w:val="ARtabletextright"/>
            </w:pPr>
            <w:r>
              <w:sym w:font="Wingdings" w:char="F0FC"/>
            </w:r>
          </w:p>
        </w:tc>
      </w:tr>
      <w:tr w:rsidR="00814857" w14:paraId="78FA8E30" w14:textId="77777777" w:rsidTr="00894126">
        <w:trPr>
          <w:cantSplit/>
          <w:trHeight w:val="240"/>
        </w:trPr>
        <w:tc>
          <w:tcPr>
            <w:tcW w:w="9645" w:type="dxa"/>
            <w:gridSpan w:val="6"/>
            <w:tcBorders>
              <w:top w:val="nil"/>
              <w:left w:val="nil"/>
              <w:bottom w:val="single" w:sz="4" w:space="0" w:color="BFBFBF"/>
              <w:right w:val="nil"/>
            </w:tcBorders>
            <w:noWrap/>
            <w:hideMark/>
          </w:tcPr>
          <w:p w14:paraId="029A6AA9" w14:textId="77777777" w:rsidR="00814857" w:rsidRDefault="00814857" w:rsidP="00894126">
            <w:pPr>
              <w:pStyle w:val="ARtablenoteindent"/>
            </w:pPr>
            <w:r>
              <w:rPr>
                <w:noProof/>
              </w:rPr>
              <w:t>Preliminary result. Actual end-of-year results will be available late 2019.</w:t>
            </w:r>
          </w:p>
        </w:tc>
      </w:tr>
      <w:tr w:rsidR="00EC65CE" w14:paraId="61356A84" w14:textId="77777777" w:rsidTr="00A05EB7">
        <w:trPr>
          <w:cantSplit/>
          <w:trHeight w:val="240"/>
        </w:trPr>
        <w:tc>
          <w:tcPr>
            <w:tcW w:w="9645" w:type="dxa"/>
            <w:gridSpan w:val="6"/>
            <w:tcBorders>
              <w:top w:val="single" w:sz="4" w:space="0" w:color="auto"/>
              <w:left w:val="nil"/>
              <w:bottom w:val="nil"/>
              <w:right w:val="nil"/>
            </w:tcBorders>
            <w:hideMark/>
          </w:tcPr>
          <w:p w14:paraId="70FE2745" w14:textId="0A50235B" w:rsidR="00EC65CE" w:rsidRDefault="00EC65CE" w:rsidP="002B4443">
            <w:pPr>
              <w:pStyle w:val="ARtablegreybold"/>
            </w:pPr>
            <w:r>
              <w:t>Timeliness</w:t>
            </w:r>
          </w:p>
        </w:tc>
      </w:tr>
      <w:tr w:rsidR="00814857" w14:paraId="09C787C1" w14:textId="77777777" w:rsidTr="00894126">
        <w:trPr>
          <w:cantSplit/>
          <w:trHeight w:val="480"/>
        </w:trPr>
        <w:tc>
          <w:tcPr>
            <w:tcW w:w="4764" w:type="dxa"/>
            <w:hideMark/>
          </w:tcPr>
          <w:p w14:paraId="59442BE2" w14:textId="77777777" w:rsidR="00814857" w:rsidRDefault="00814857" w:rsidP="00894126">
            <w:pPr>
              <w:pStyle w:val="ARtabletext"/>
            </w:pPr>
            <w:r>
              <w:rPr>
                <w:noProof/>
              </w:rPr>
              <w:t>Children aged 0 to 1 month enrolled at maternal and child health services from birth notifications</w:t>
            </w:r>
          </w:p>
        </w:tc>
        <w:tc>
          <w:tcPr>
            <w:tcW w:w="1021" w:type="dxa"/>
            <w:hideMark/>
          </w:tcPr>
          <w:p w14:paraId="27546674" w14:textId="77777777" w:rsidR="00814857" w:rsidRDefault="00814857" w:rsidP="00894126">
            <w:pPr>
              <w:pStyle w:val="ARtabletextright"/>
            </w:pPr>
            <w:r>
              <w:rPr>
                <w:noProof/>
              </w:rPr>
              <w:t>per cent</w:t>
            </w:r>
          </w:p>
        </w:tc>
        <w:tc>
          <w:tcPr>
            <w:tcW w:w="1022" w:type="dxa"/>
            <w:hideMark/>
          </w:tcPr>
          <w:p w14:paraId="6BEB3273" w14:textId="77777777" w:rsidR="00814857" w:rsidRDefault="00814857" w:rsidP="00894126">
            <w:pPr>
              <w:pStyle w:val="ARtabletextright"/>
            </w:pPr>
            <w:r>
              <w:rPr>
                <w:noProof/>
              </w:rPr>
              <w:t>99</w:t>
            </w:r>
          </w:p>
        </w:tc>
        <w:tc>
          <w:tcPr>
            <w:tcW w:w="1022" w:type="dxa"/>
            <w:hideMark/>
          </w:tcPr>
          <w:p w14:paraId="38FB5C77" w14:textId="77777777" w:rsidR="00814857" w:rsidRDefault="00814857" w:rsidP="00894126">
            <w:pPr>
              <w:pStyle w:val="ARtabletextright"/>
            </w:pPr>
            <w:r>
              <w:rPr>
                <w:noProof/>
              </w:rPr>
              <w:t>99</w:t>
            </w:r>
          </w:p>
        </w:tc>
        <w:tc>
          <w:tcPr>
            <w:tcW w:w="1022" w:type="dxa"/>
            <w:hideMark/>
          </w:tcPr>
          <w:p w14:paraId="1E171048" w14:textId="77777777" w:rsidR="00814857" w:rsidRDefault="00814857" w:rsidP="00894126">
            <w:pPr>
              <w:pStyle w:val="ARtabletextright"/>
            </w:pPr>
            <w:r>
              <w:rPr>
                <w:noProof/>
              </w:rPr>
              <w:t>0.0</w:t>
            </w:r>
          </w:p>
        </w:tc>
        <w:tc>
          <w:tcPr>
            <w:tcW w:w="794" w:type="dxa"/>
            <w:hideMark/>
          </w:tcPr>
          <w:p w14:paraId="75D865D5" w14:textId="77777777" w:rsidR="00814857" w:rsidRDefault="00814857" w:rsidP="00894126">
            <w:pPr>
              <w:pStyle w:val="ARtabletextright"/>
            </w:pPr>
            <w:r>
              <w:sym w:font="Wingdings" w:char="F0FC"/>
            </w:r>
          </w:p>
        </w:tc>
      </w:tr>
      <w:tr w:rsidR="00814857" w14:paraId="5DDF6120" w14:textId="77777777" w:rsidTr="00894126">
        <w:trPr>
          <w:cantSplit/>
          <w:trHeight w:val="240"/>
        </w:trPr>
        <w:tc>
          <w:tcPr>
            <w:tcW w:w="9645" w:type="dxa"/>
            <w:gridSpan w:val="6"/>
            <w:tcBorders>
              <w:top w:val="nil"/>
              <w:left w:val="nil"/>
              <w:bottom w:val="single" w:sz="4" w:space="0" w:color="BFBFBF"/>
              <w:right w:val="nil"/>
            </w:tcBorders>
            <w:noWrap/>
            <w:hideMark/>
          </w:tcPr>
          <w:p w14:paraId="46AFB5D4" w14:textId="77777777" w:rsidR="00814857" w:rsidRDefault="00814857" w:rsidP="00894126">
            <w:pPr>
              <w:pStyle w:val="ARtablenoteindent"/>
            </w:pPr>
            <w:r>
              <w:rPr>
                <w:noProof/>
              </w:rPr>
              <w:t>Preliminary result. Actual end-of-year results will be available late 2019.</w:t>
            </w:r>
          </w:p>
        </w:tc>
      </w:tr>
      <w:tr w:rsidR="00EC65CE" w14:paraId="78621B0F" w14:textId="77777777" w:rsidTr="00A05EB7">
        <w:trPr>
          <w:cantSplit/>
          <w:trHeight w:val="240"/>
        </w:trPr>
        <w:tc>
          <w:tcPr>
            <w:tcW w:w="9645" w:type="dxa"/>
            <w:gridSpan w:val="6"/>
            <w:tcBorders>
              <w:top w:val="single" w:sz="4" w:space="0" w:color="auto"/>
              <w:left w:val="nil"/>
              <w:bottom w:val="nil"/>
              <w:right w:val="nil"/>
            </w:tcBorders>
            <w:hideMark/>
          </w:tcPr>
          <w:p w14:paraId="51AD1742" w14:textId="56E7DC81" w:rsidR="00EC65CE" w:rsidRDefault="00EC65CE" w:rsidP="008F035E">
            <w:pPr>
              <w:pStyle w:val="ARtablegreybold"/>
            </w:pPr>
            <w:r>
              <w:t>Cost</w:t>
            </w:r>
          </w:p>
        </w:tc>
      </w:tr>
      <w:tr w:rsidR="00814857" w14:paraId="1B416323" w14:textId="77777777" w:rsidTr="00EC65CE">
        <w:trPr>
          <w:cantSplit/>
          <w:trHeight w:val="397"/>
        </w:trPr>
        <w:tc>
          <w:tcPr>
            <w:tcW w:w="4764" w:type="dxa"/>
            <w:hideMark/>
          </w:tcPr>
          <w:p w14:paraId="66B517B7" w14:textId="77777777" w:rsidR="00814857" w:rsidRPr="004305B0" w:rsidRDefault="00814857" w:rsidP="00894126">
            <w:pPr>
              <w:pStyle w:val="ARtabletext"/>
              <w:rPr>
                <w:b/>
              </w:rPr>
            </w:pPr>
            <w:r w:rsidRPr="004305B0">
              <w:rPr>
                <w:b/>
                <w:noProof/>
              </w:rPr>
              <w:t xml:space="preserve">Total </w:t>
            </w:r>
            <w:r>
              <w:rPr>
                <w:b/>
                <w:noProof/>
              </w:rPr>
              <w:t>o</w:t>
            </w:r>
            <w:r w:rsidRPr="004305B0">
              <w:rPr>
                <w:b/>
                <w:noProof/>
              </w:rPr>
              <w:t xml:space="preserve">utput </w:t>
            </w:r>
            <w:r>
              <w:rPr>
                <w:b/>
                <w:noProof/>
              </w:rPr>
              <w:t>c</w:t>
            </w:r>
            <w:r w:rsidRPr="004305B0">
              <w:rPr>
                <w:b/>
                <w:noProof/>
              </w:rPr>
              <w:t>ost</w:t>
            </w:r>
          </w:p>
        </w:tc>
        <w:tc>
          <w:tcPr>
            <w:tcW w:w="1021" w:type="dxa"/>
            <w:hideMark/>
          </w:tcPr>
          <w:p w14:paraId="4C5BBEB1" w14:textId="77777777" w:rsidR="00814857" w:rsidRPr="004305B0" w:rsidRDefault="00814857" w:rsidP="00894126">
            <w:pPr>
              <w:pStyle w:val="ARtabletextright"/>
              <w:rPr>
                <w:b/>
              </w:rPr>
            </w:pPr>
            <w:r w:rsidRPr="004305B0">
              <w:rPr>
                <w:b/>
                <w:noProof/>
              </w:rPr>
              <w:t>$ million</w:t>
            </w:r>
          </w:p>
        </w:tc>
        <w:tc>
          <w:tcPr>
            <w:tcW w:w="1022" w:type="dxa"/>
            <w:hideMark/>
          </w:tcPr>
          <w:p w14:paraId="76AF65C3" w14:textId="77777777" w:rsidR="00814857" w:rsidRPr="004305B0" w:rsidRDefault="00814857" w:rsidP="00894126">
            <w:pPr>
              <w:pStyle w:val="ARtabletextright"/>
              <w:rPr>
                <w:b/>
              </w:rPr>
            </w:pPr>
            <w:r w:rsidRPr="004305B0">
              <w:rPr>
                <w:b/>
                <w:noProof/>
              </w:rPr>
              <w:t>95.5</w:t>
            </w:r>
          </w:p>
        </w:tc>
        <w:tc>
          <w:tcPr>
            <w:tcW w:w="1022" w:type="dxa"/>
            <w:hideMark/>
          </w:tcPr>
          <w:p w14:paraId="41DFE566" w14:textId="77777777" w:rsidR="00814857" w:rsidRPr="004305B0" w:rsidRDefault="00814857" w:rsidP="00894126">
            <w:pPr>
              <w:pStyle w:val="ARtabletextright"/>
              <w:rPr>
                <w:b/>
              </w:rPr>
            </w:pPr>
            <w:r w:rsidRPr="004305B0">
              <w:rPr>
                <w:b/>
                <w:noProof/>
              </w:rPr>
              <w:t>89.2</w:t>
            </w:r>
          </w:p>
        </w:tc>
        <w:tc>
          <w:tcPr>
            <w:tcW w:w="1022" w:type="dxa"/>
            <w:hideMark/>
          </w:tcPr>
          <w:p w14:paraId="457041C3" w14:textId="77777777" w:rsidR="00814857" w:rsidRPr="004305B0" w:rsidRDefault="00814857" w:rsidP="00894126">
            <w:pPr>
              <w:pStyle w:val="ARtabletextright"/>
              <w:rPr>
                <w:b/>
              </w:rPr>
            </w:pPr>
            <w:r w:rsidRPr="004305B0">
              <w:rPr>
                <w:b/>
                <w:noProof/>
              </w:rPr>
              <w:t>-6.6</w:t>
            </w:r>
          </w:p>
        </w:tc>
        <w:tc>
          <w:tcPr>
            <w:tcW w:w="794" w:type="dxa"/>
            <w:hideMark/>
          </w:tcPr>
          <w:p w14:paraId="7E97A928" w14:textId="77777777" w:rsidR="00814857" w:rsidRPr="004305B0" w:rsidRDefault="00814857" w:rsidP="002B4443">
            <w:pPr>
              <w:pStyle w:val="ARtabletextright"/>
              <w:rPr>
                <w:b/>
              </w:rPr>
            </w:pPr>
          </w:p>
        </w:tc>
      </w:tr>
      <w:tr w:rsidR="00814857" w14:paraId="25E1383B" w14:textId="77777777" w:rsidTr="00EC65CE">
        <w:trPr>
          <w:cantSplit/>
          <w:trHeight w:val="240"/>
        </w:trPr>
        <w:tc>
          <w:tcPr>
            <w:tcW w:w="9645" w:type="dxa"/>
            <w:gridSpan w:val="6"/>
            <w:tcBorders>
              <w:top w:val="nil"/>
              <w:left w:val="nil"/>
              <w:bottom w:val="single" w:sz="4" w:space="0" w:color="auto"/>
              <w:right w:val="nil"/>
            </w:tcBorders>
            <w:noWrap/>
            <w:hideMark/>
          </w:tcPr>
          <w:p w14:paraId="3684F614" w14:textId="77777777" w:rsidR="00814857" w:rsidRDefault="00814857" w:rsidP="00EC65CE">
            <w:pPr>
              <w:pStyle w:val="ARtablenoteindent"/>
            </w:pPr>
            <w:r w:rsidRPr="008370E7">
              <w:rPr>
                <w:noProof/>
              </w:rPr>
              <w:t>The 2018</w:t>
            </w:r>
            <w:r>
              <w:rPr>
                <w:noProof/>
              </w:rPr>
              <w:t>–</w:t>
            </w:r>
            <w:r w:rsidRPr="008370E7">
              <w:rPr>
                <w:noProof/>
              </w:rPr>
              <w:t xml:space="preserve">19 actual outcome reflects lower than expected expenditure due to timing in project implementation within the financial year. This did not impact on the delivery of </w:t>
            </w:r>
            <w:r>
              <w:rPr>
                <w:noProof/>
              </w:rPr>
              <w:t xml:space="preserve">Maternal and Child Health Service </w:t>
            </w:r>
            <w:r w:rsidRPr="008370E7">
              <w:rPr>
                <w:noProof/>
              </w:rPr>
              <w:t>services to families.</w:t>
            </w:r>
          </w:p>
        </w:tc>
      </w:tr>
    </w:tbl>
    <w:p w14:paraId="4C36F68A" w14:textId="77777777" w:rsidR="00814857" w:rsidRDefault="00814857" w:rsidP="002909DA">
      <w:pPr>
        <w:pStyle w:val="Heading2"/>
      </w:pPr>
      <w:bookmarkStart w:id="74" w:name="_Toc18954480"/>
      <w:bookmarkStart w:id="75" w:name="_Toc18955082"/>
      <w:r>
        <w:lastRenderedPageBreak/>
        <w:t>Public Health</w:t>
      </w:r>
      <w:bookmarkEnd w:id="74"/>
      <w:bookmarkEnd w:id="75"/>
    </w:p>
    <w:p w14:paraId="739CF46E" w14:textId="77777777" w:rsidR="00814857" w:rsidRPr="00030BBE" w:rsidRDefault="00814857" w:rsidP="003A2EB5">
      <w:pPr>
        <w:pStyle w:val="ARbody"/>
      </w:pPr>
      <w:r>
        <w:t>This output encompasses services and support, including screening for health conditions and safety inspections, that promote and protect the health and wellbeing of all Victorians. These services are delivered in partnership with key stakeholders and communities.</w:t>
      </w:r>
    </w:p>
    <w:tbl>
      <w:tblPr>
        <w:tblW w:w="9645" w:type="dxa"/>
        <w:tblLayout w:type="fixed"/>
        <w:tblCellMar>
          <w:left w:w="0" w:type="dxa"/>
        </w:tblCellMar>
        <w:tblLook w:val="04A0" w:firstRow="1" w:lastRow="0" w:firstColumn="1" w:lastColumn="0" w:noHBand="0" w:noVBand="1"/>
      </w:tblPr>
      <w:tblGrid>
        <w:gridCol w:w="4764"/>
        <w:gridCol w:w="1021"/>
        <w:gridCol w:w="1022"/>
        <w:gridCol w:w="1022"/>
        <w:gridCol w:w="1022"/>
        <w:gridCol w:w="794"/>
      </w:tblGrid>
      <w:tr w:rsidR="00814857" w14:paraId="7D7E82E5" w14:textId="77777777" w:rsidTr="00894126">
        <w:trPr>
          <w:cantSplit/>
          <w:trHeight w:val="480"/>
          <w:tblHeader/>
        </w:trPr>
        <w:tc>
          <w:tcPr>
            <w:tcW w:w="4764" w:type="dxa"/>
            <w:tcBorders>
              <w:top w:val="nil"/>
              <w:left w:val="nil"/>
              <w:bottom w:val="single" w:sz="4" w:space="0" w:color="auto"/>
              <w:right w:val="nil"/>
            </w:tcBorders>
            <w:vAlign w:val="bottom"/>
            <w:hideMark/>
          </w:tcPr>
          <w:p w14:paraId="675A1A2B" w14:textId="77777777" w:rsidR="00814857" w:rsidRDefault="00814857" w:rsidP="00894126">
            <w:pPr>
              <w:pStyle w:val="ARtablecolhead"/>
            </w:pPr>
            <w:r>
              <w:t>Performance measures</w:t>
            </w:r>
          </w:p>
        </w:tc>
        <w:tc>
          <w:tcPr>
            <w:tcW w:w="1021" w:type="dxa"/>
            <w:tcBorders>
              <w:top w:val="nil"/>
              <w:left w:val="nil"/>
              <w:bottom w:val="single" w:sz="4" w:space="0" w:color="auto"/>
              <w:right w:val="nil"/>
            </w:tcBorders>
            <w:vAlign w:val="bottom"/>
            <w:hideMark/>
          </w:tcPr>
          <w:p w14:paraId="06AAC75B" w14:textId="77777777" w:rsidR="00814857" w:rsidRDefault="00814857" w:rsidP="00894126">
            <w:pPr>
              <w:pStyle w:val="ARtablecolheadright"/>
            </w:pPr>
            <w:r>
              <w:t>Unit of measure</w:t>
            </w:r>
          </w:p>
        </w:tc>
        <w:tc>
          <w:tcPr>
            <w:tcW w:w="1022" w:type="dxa"/>
            <w:tcBorders>
              <w:top w:val="nil"/>
              <w:left w:val="nil"/>
              <w:bottom w:val="single" w:sz="4" w:space="0" w:color="auto"/>
              <w:right w:val="nil"/>
            </w:tcBorders>
            <w:vAlign w:val="bottom"/>
            <w:hideMark/>
          </w:tcPr>
          <w:p w14:paraId="60AE9877" w14:textId="77777777" w:rsidR="00814857" w:rsidRDefault="00814857" w:rsidP="00894126">
            <w:pPr>
              <w:pStyle w:val="ARtablecolheadright"/>
            </w:pPr>
            <w:r>
              <w:t>2018–19 target</w:t>
            </w:r>
          </w:p>
        </w:tc>
        <w:tc>
          <w:tcPr>
            <w:tcW w:w="1022" w:type="dxa"/>
            <w:tcBorders>
              <w:top w:val="nil"/>
              <w:left w:val="nil"/>
              <w:bottom w:val="single" w:sz="4" w:space="0" w:color="auto"/>
              <w:right w:val="nil"/>
            </w:tcBorders>
            <w:vAlign w:val="bottom"/>
            <w:hideMark/>
          </w:tcPr>
          <w:p w14:paraId="251C0617" w14:textId="77777777" w:rsidR="00814857" w:rsidRDefault="00814857" w:rsidP="00894126">
            <w:pPr>
              <w:pStyle w:val="ARtablecolheadright"/>
            </w:pPr>
            <w:r>
              <w:t>2018–19 actual</w:t>
            </w:r>
          </w:p>
        </w:tc>
        <w:tc>
          <w:tcPr>
            <w:tcW w:w="1022" w:type="dxa"/>
            <w:tcBorders>
              <w:top w:val="nil"/>
              <w:left w:val="nil"/>
              <w:bottom w:val="single" w:sz="4" w:space="0" w:color="auto"/>
              <w:right w:val="nil"/>
            </w:tcBorders>
            <w:vAlign w:val="bottom"/>
            <w:hideMark/>
          </w:tcPr>
          <w:p w14:paraId="3F2279AC" w14:textId="77777777" w:rsidR="00814857" w:rsidRDefault="00814857" w:rsidP="00894126">
            <w:pPr>
              <w:pStyle w:val="ARtablecolheadright"/>
            </w:pPr>
            <w:r>
              <w:t>Variation (%)</w:t>
            </w:r>
          </w:p>
        </w:tc>
        <w:tc>
          <w:tcPr>
            <w:tcW w:w="794" w:type="dxa"/>
            <w:tcBorders>
              <w:top w:val="nil"/>
              <w:left w:val="nil"/>
              <w:bottom w:val="single" w:sz="4" w:space="0" w:color="auto"/>
              <w:right w:val="nil"/>
            </w:tcBorders>
            <w:vAlign w:val="bottom"/>
            <w:hideMark/>
          </w:tcPr>
          <w:p w14:paraId="28A282BE" w14:textId="77777777" w:rsidR="00814857" w:rsidRDefault="00814857" w:rsidP="00894126">
            <w:pPr>
              <w:pStyle w:val="ARtablecolheadright"/>
            </w:pPr>
            <w:r>
              <w:t>Result</w:t>
            </w:r>
          </w:p>
        </w:tc>
      </w:tr>
      <w:tr w:rsidR="00EC65CE" w14:paraId="5978823D"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10DF16C0" w14:textId="4D63F157" w:rsidR="00EC65CE" w:rsidRDefault="00EC65CE" w:rsidP="003A2EB5">
            <w:pPr>
              <w:pStyle w:val="ARtablebluebold"/>
            </w:pPr>
            <w:r>
              <w:t>Health Protection</w:t>
            </w:r>
          </w:p>
        </w:tc>
      </w:tr>
      <w:tr w:rsidR="00EC65CE" w14:paraId="61E97723" w14:textId="77777777" w:rsidTr="00A05EB7">
        <w:trPr>
          <w:cantSplit/>
          <w:trHeight w:val="240"/>
        </w:trPr>
        <w:tc>
          <w:tcPr>
            <w:tcW w:w="9645" w:type="dxa"/>
            <w:gridSpan w:val="6"/>
            <w:tcBorders>
              <w:top w:val="single" w:sz="4" w:space="0" w:color="auto"/>
              <w:left w:val="nil"/>
              <w:bottom w:val="nil"/>
              <w:right w:val="nil"/>
            </w:tcBorders>
            <w:hideMark/>
          </w:tcPr>
          <w:p w14:paraId="0DC88D82" w14:textId="66CF3B52" w:rsidR="00EC65CE" w:rsidRDefault="00EC65CE" w:rsidP="003A2EB5">
            <w:pPr>
              <w:pStyle w:val="ARtablebluebold"/>
            </w:pPr>
            <w:r>
              <w:t>Quantity</w:t>
            </w:r>
          </w:p>
        </w:tc>
      </w:tr>
      <w:tr w:rsidR="00814857" w14:paraId="7DB36154" w14:textId="77777777" w:rsidTr="00894126">
        <w:trPr>
          <w:cantSplit/>
          <w:trHeight w:val="480"/>
        </w:trPr>
        <w:tc>
          <w:tcPr>
            <w:tcW w:w="4764" w:type="dxa"/>
            <w:hideMark/>
          </w:tcPr>
          <w:p w14:paraId="548C5B6C" w14:textId="77777777" w:rsidR="00814857" w:rsidRDefault="00814857" w:rsidP="00894126">
            <w:pPr>
              <w:pStyle w:val="ARtabletext"/>
            </w:pPr>
            <w:r>
              <w:rPr>
                <w:noProof/>
              </w:rPr>
              <w:t>Calls to food safety hotlines</w:t>
            </w:r>
          </w:p>
        </w:tc>
        <w:tc>
          <w:tcPr>
            <w:tcW w:w="1021" w:type="dxa"/>
            <w:hideMark/>
          </w:tcPr>
          <w:p w14:paraId="279C12AE" w14:textId="77777777" w:rsidR="00814857" w:rsidRDefault="00814857" w:rsidP="00894126">
            <w:pPr>
              <w:pStyle w:val="ARtabletextright"/>
            </w:pPr>
            <w:r>
              <w:rPr>
                <w:noProof/>
              </w:rPr>
              <w:t>number</w:t>
            </w:r>
          </w:p>
        </w:tc>
        <w:tc>
          <w:tcPr>
            <w:tcW w:w="1022" w:type="dxa"/>
            <w:hideMark/>
          </w:tcPr>
          <w:p w14:paraId="29856BE3" w14:textId="77777777" w:rsidR="00814857" w:rsidRDefault="00814857" w:rsidP="00894126">
            <w:pPr>
              <w:pStyle w:val="ARtabletextright"/>
            </w:pPr>
            <w:r>
              <w:rPr>
                <w:noProof/>
              </w:rPr>
              <w:t>4,500</w:t>
            </w:r>
          </w:p>
        </w:tc>
        <w:tc>
          <w:tcPr>
            <w:tcW w:w="1022" w:type="dxa"/>
            <w:hideMark/>
          </w:tcPr>
          <w:p w14:paraId="7E88B2A9" w14:textId="77777777" w:rsidR="00814857" w:rsidRDefault="00814857" w:rsidP="00894126">
            <w:pPr>
              <w:pStyle w:val="ARtabletextright"/>
            </w:pPr>
            <w:r>
              <w:rPr>
                <w:noProof/>
              </w:rPr>
              <w:t>4,221</w:t>
            </w:r>
          </w:p>
        </w:tc>
        <w:tc>
          <w:tcPr>
            <w:tcW w:w="1022" w:type="dxa"/>
            <w:hideMark/>
          </w:tcPr>
          <w:p w14:paraId="5D3AFD5F" w14:textId="77777777" w:rsidR="00814857" w:rsidRDefault="00814857" w:rsidP="00894126">
            <w:pPr>
              <w:pStyle w:val="ARtabletextright"/>
            </w:pPr>
            <w:r>
              <w:rPr>
                <w:noProof/>
              </w:rPr>
              <w:t>-6.2</w:t>
            </w:r>
          </w:p>
        </w:tc>
        <w:tc>
          <w:tcPr>
            <w:tcW w:w="794" w:type="dxa"/>
            <w:hideMark/>
          </w:tcPr>
          <w:p w14:paraId="3B1708A4" w14:textId="77777777" w:rsidR="00814857" w:rsidRDefault="00814857" w:rsidP="00894126">
            <w:pPr>
              <w:pStyle w:val="ARtabletextright"/>
            </w:pPr>
            <w:r>
              <w:sym w:font="Wingdings" w:char="F06E"/>
            </w:r>
          </w:p>
        </w:tc>
      </w:tr>
      <w:tr w:rsidR="00814857" w14:paraId="3D436194" w14:textId="77777777" w:rsidTr="00894126">
        <w:trPr>
          <w:cantSplit/>
          <w:trHeight w:val="240"/>
        </w:trPr>
        <w:tc>
          <w:tcPr>
            <w:tcW w:w="9645" w:type="dxa"/>
            <w:gridSpan w:val="6"/>
            <w:tcBorders>
              <w:top w:val="nil"/>
              <w:left w:val="nil"/>
              <w:bottom w:val="single" w:sz="4" w:space="0" w:color="BFBFBF"/>
              <w:right w:val="nil"/>
            </w:tcBorders>
            <w:noWrap/>
            <w:hideMark/>
          </w:tcPr>
          <w:p w14:paraId="65A9C6FA" w14:textId="77777777" w:rsidR="00814857" w:rsidRPr="006860E4" w:rsidRDefault="00814857" w:rsidP="00894126">
            <w:pPr>
              <w:pStyle w:val="ARtablenoteindent"/>
              <w:rPr>
                <w:highlight w:val="yellow"/>
              </w:rPr>
            </w:pPr>
            <w:bookmarkStart w:id="76" w:name="_Hlk18941894"/>
            <w:r w:rsidRPr="007939DD">
              <w:t>The result is lower than the target. The 4,2</w:t>
            </w:r>
            <w:r>
              <w:t>21</w:t>
            </w:r>
            <w:r w:rsidRPr="007939DD">
              <w:t xml:space="preserve"> calls received to the hotline in 201</w:t>
            </w:r>
            <w:r>
              <w:t>8</w:t>
            </w:r>
            <w:r w:rsidRPr="007939DD">
              <w:t>–1</w:t>
            </w:r>
            <w:r>
              <w:t>9</w:t>
            </w:r>
            <w:r w:rsidRPr="007939DD">
              <w:t xml:space="preserve"> </w:t>
            </w:r>
            <w:r>
              <w:t>is</w:t>
            </w:r>
            <w:r w:rsidRPr="007939DD">
              <w:t xml:space="preserve"> </w:t>
            </w:r>
            <w:r>
              <w:t>6</w:t>
            </w:r>
            <w:r w:rsidRPr="007939DD">
              <w:t xml:space="preserve"> per cent less than the estimated target, but comparable </w:t>
            </w:r>
            <w:r>
              <w:t>with</w:t>
            </w:r>
            <w:r w:rsidRPr="007939DD">
              <w:t xml:space="preserve"> the number of phone calls received in 201</w:t>
            </w:r>
            <w:r>
              <w:t>7</w:t>
            </w:r>
            <w:r w:rsidRPr="007939DD">
              <w:t>–1</w:t>
            </w:r>
            <w:r>
              <w:t>8</w:t>
            </w:r>
            <w:r w:rsidRPr="007939DD">
              <w:t xml:space="preserve"> (4,152). This lower level of calls </w:t>
            </w:r>
            <w:r>
              <w:t xml:space="preserve">reflects the use of alternative approaches </w:t>
            </w:r>
            <w:r w:rsidRPr="007939DD">
              <w:t>for the public and local government</w:t>
            </w:r>
            <w:r>
              <w:t xml:space="preserve"> to receive information. For example, the food safety website</w:t>
            </w:r>
            <w:r w:rsidRPr="007939DD">
              <w:t xml:space="preserve"> </w:t>
            </w:r>
            <w:r>
              <w:t xml:space="preserve">guides </w:t>
            </w:r>
            <w:r w:rsidRPr="007939DD">
              <w:t>food complaints directly to local councils for investigation.</w:t>
            </w:r>
            <w:bookmarkEnd w:id="76"/>
          </w:p>
        </w:tc>
      </w:tr>
      <w:tr w:rsidR="00814857" w14:paraId="28D33E70" w14:textId="77777777" w:rsidTr="00894126">
        <w:trPr>
          <w:cantSplit/>
          <w:trHeight w:val="480"/>
        </w:trPr>
        <w:tc>
          <w:tcPr>
            <w:tcW w:w="4764" w:type="dxa"/>
            <w:hideMark/>
          </w:tcPr>
          <w:p w14:paraId="5D032ECD" w14:textId="77777777" w:rsidR="00814857" w:rsidRDefault="00814857" w:rsidP="00894126">
            <w:pPr>
              <w:pStyle w:val="ARtabletext"/>
            </w:pPr>
            <w:r>
              <w:rPr>
                <w:noProof/>
              </w:rPr>
              <w:t>Inspections of cooling towers</w:t>
            </w:r>
          </w:p>
        </w:tc>
        <w:tc>
          <w:tcPr>
            <w:tcW w:w="1021" w:type="dxa"/>
            <w:hideMark/>
          </w:tcPr>
          <w:p w14:paraId="5E27459D" w14:textId="77777777" w:rsidR="00814857" w:rsidRDefault="00814857" w:rsidP="00894126">
            <w:pPr>
              <w:pStyle w:val="ARtabletextright"/>
            </w:pPr>
            <w:r>
              <w:rPr>
                <w:noProof/>
              </w:rPr>
              <w:t>number</w:t>
            </w:r>
          </w:p>
        </w:tc>
        <w:tc>
          <w:tcPr>
            <w:tcW w:w="1022" w:type="dxa"/>
            <w:hideMark/>
          </w:tcPr>
          <w:p w14:paraId="23A67B64" w14:textId="77777777" w:rsidR="00814857" w:rsidRDefault="00814857" w:rsidP="00894126">
            <w:pPr>
              <w:pStyle w:val="ARtabletextright"/>
            </w:pPr>
            <w:r>
              <w:rPr>
                <w:noProof/>
              </w:rPr>
              <w:t>1,250</w:t>
            </w:r>
          </w:p>
        </w:tc>
        <w:tc>
          <w:tcPr>
            <w:tcW w:w="1022" w:type="dxa"/>
            <w:hideMark/>
          </w:tcPr>
          <w:p w14:paraId="44D87F9F" w14:textId="77777777" w:rsidR="00814857" w:rsidRDefault="00814857" w:rsidP="00894126">
            <w:pPr>
              <w:pStyle w:val="ARtabletextright"/>
            </w:pPr>
            <w:r>
              <w:rPr>
                <w:noProof/>
              </w:rPr>
              <w:t>1,160</w:t>
            </w:r>
          </w:p>
        </w:tc>
        <w:tc>
          <w:tcPr>
            <w:tcW w:w="1022" w:type="dxa"/>
            <w:hideMark/>
          </w:tcPr>
          <w:p w14:paraId="40A4DDDD" w14:textId="77777777" w:rsidR="00814857" w:rsidRDefault="00814857" w:rsidP="00894126">
            <w:pPr>
              <w:pStyle w:val="ARtabletextright"/>
            </w:pPr>
            <w:r>
              <w:rPr>
                <w:noProof/>
              </w:rPr>
              <w:t>-7.2</w:t>
            </w:r>
          </w:p>
        </w:tc>
        <w:tc>
          <w:tcPr>
            <w:tcW w:w="794" w:type="dxa"/>
            <w:hideMark/>
          </w:tcPr>
          <w:p w14:paraId="0FE03EBB" w14:textId="77777777" w:rsidR="00814857" w:rsidRDefault="00814857" w:rsidP="00894126">
            <w:pPr>
              <w:pStyle w:val="ARtabletextright"/>
            </w:pPr>
            <w:r>
              <w:sym w:font="Wingdings" w:char="F06E"/>
            </w:r>
          </w:p>
        </w:tc>
      </w:tr>
      <w:tr w:rsidR="00814857" w14:paraId="1C457ABD" w14:textId="77777777" w:rsidTr="00894126">
        <w:trPr>
          <w:cantSplit/>
          <w:trHeight w:val="240"/>
        </w:trPr>
        <w:tc>
          <w:tcPr>
            <w:tcW w:w="9645" w:type="dxa"/>
            <w:gridSpan w:val="6"/>
            <w:tcBorders>
              <w:top w:val="nil"/>
              <w:left w:val="nil"/>
              <w:bottom w:val="single" w:sz="4" w:space="0" w:color="BFBFBF" w:themeColor="background1" w:themeShade="BF"/>
              <w:right w:val="nil"/>
            </w:tcBorders>
            <w:noWrap/>
            <w:hideMark/>
          </w:tcPr>
          <w:p w14:paraId="4B0F127F" w14:textId="0E23C40F" w:rsidR="00814857" w:rsidRDefault="00814857" w:rsidP="00894126">
            <w:pPr>
              <w:pStyle w:val="ARtablenoteindent"/>
            </w:pPr>
            <w:r>
              <w:rPr>
                <w:noProof/>
              </w:rPr>
              <w:t xml:space="preserve">The result is lower than the target due to a decrease in cases of Legionnaires </w:t>
            </w:r>
            <w:r w:rsidR="001F4A28">
              <w:rPr>
                <w:noProof/>
              </w:rPr>
              <w:t>d</w:t>
            </w:r>
            <w:r>
              <w:rPr>
                <w:noProof/>
              </w:rPr>
              <w:t>isease reported to the department. This resulted in a decrease in the number of inspections of cooling towers that were required. This is a positive result.</w:t>
            </w:r>
          </w:p>
        </w:tc>
      </w:tr>
      <w:tr w:rsidR="00814857" w14:paraId="620440C3"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30826E04" w14:textId="77777777" w:rsidR="00814857" w:rsidRDefault="00814857" w:rsidP="00894126">
            <w:pPr>
              <w:pStyle w:val="ARtabletext"/>
            </w:pPr>
            <w:r>
              <w:rPr>
                <w:noProof/>
              </w:rPr>
              <w:t>Inspections of radiation safety management licences</w:t>
            </w:r>
          </w:p>
        </w:tc>
        <w:tc>
          <w:tcPr>
            <w:tcW w:w="1021" w:type="dxa"/>
            <w:tcBorders>
              <w:top w:val="single" w:sz="4" w:space="0" w:color="BFBFBF" w:themeColor="background1" w:themeShade="BF"/>
              <w:bottom w:val="single" w:sz="4" w:space="0" w:color="BFBFBF" w:themeColor="background1" w:themeShade="BF"/>
            </w:tcBorders>
            <w:hideMark/>
          </w:tcPr>
          <w:p w14:paraId="16C362A0" w14:textId="77777777" w:rsidR="00814857" w:rsidRDefault="00814857" w:rsidP="00894126">
            <w:pPr>
              <w:pStyle w:val="ARtabletextright"/>
            </w:pPr>
            <w:r>
              <w:rPr>
                <w:noProof/>
              </w:rPr>
              <w:t>number</w:t>
            </w:r>
          </w:p>
        </w:tc>
        <w:tc>
          <w:tcPr>
            <w:tcW w:w="1022" w:type="dxa"/>
            <w:tcBorders>
              <w:top w:val="single" w:sz="4" w:space="0" w:color="BFBFBF" w:themeColor="background1" w:themeShade="BF"/>
              <w:bottom w:val="single" w:sz="4" w:space="0" w:color="BFBFBF" w:themeColor="background1" w:themeShade="BF"/>
            </w:tcBorders>
            <w:hideMark/>
          </w:tcPr>
          <w:p w14:paraId="60AB5F6D" w14:textId="77777777" w:rsidR="00814857" w:rsidRDefault="00814857" w:rsidP="00894126">
            <w:pPr>
              <w:pStyle w:val="ARtabletextright"/>
            </w:pPr>
            <w:r>
              <w:rPr>
                <w:noProof/>
              </w:rPr>
              <w:t>480</w:t>
            </w:r>
          </w:p>
        </w:tc>
        <w:tc>
          <w:tcPr>
            <w:tcW w:w="1022" w:type="dxa"/>
            <w:tcBorders>
              <w:top w:val="single" w:sz="4" w:space="0" w:color="BFBFBF" w:themeColor="background1" w:themeShade="BF"/>
              <w:bottom w:val="single" w:sz="4" w:space="0" w:color="BFBFBF" w:themeColor="background1" w:themeShade="BF"/>
            </w:tcBorders>
            <w:hideMark/>
          </w:tcPr>
          <w:p w14:paraId="2978C77E" w14:textId="77777777" w:rsidR="00814857" w:rsidRDefault="00814857" w:rsidP="00894126">
            <w:pPr>
              <w:pStyle w:val="ARtabletextright"/>
            </w:pPr>
            <w:r>
              <w:rPr>
                <w:noProof/>
              </w:rPr>
              <w:t>490</w:t>
            </w:r>
          </w:p>
        </w:tc>
        <w:tc>
          <w:tcPr>
            <w:tcW w:w="1022" w:type="dxa"/>
            <w:tcBorders>
              <w:top w:val="single" w:sz="4" w:space="0" w:color="BFBFBF" w:themeColor="background1" w:themeShade="BF"/>
              <w:bottom w:val="single" w:sz="4" w:space="0" w:color="BFBFBF" w:themeColor="background1" w:themeShade="BF"/>
            </w:tcBorders>
            <w:hideMark/>
          </w:tcPr>
          <w:p w14:paraId="198A0005" w14:textId="77777777" w:rsidR="00814857" w:rsidRDefault="00814857" w:rsidP="00894126">
            <w:pPr>
              <w:pStyle w:val="ARtabletextright"/>
            </w:pPr>
            <w:r>
              <w:rPr>
                <w:noProof/>
              </w:rPr>
              <w:t>2.1</w:t>
            </w:r>
          </w:p>
        </w:tc>
        <w:tc>
          <w:tcPr>
            <w:tcW w:w="794" w:type="dxa"/>
            <w:tcBorders>
              <w:top w:val="single" w:sz="4" w:space="0" w:color="BFBFBF" w:themeColor="background1" w:themeShade="BF"/>
              <w:bottom w:val="single" w:sz="4" w:space="0" w:color="BFBFBF" w:themeColor="background1" w:themeShade="BF"/>
            </w:tcBorders>
            <w:hideMark/>
          </w:tcPr>
          <w:p w14:paraId="5E2F9216" w14:textId="77777777" w:rsidR="00814857" w:rsidRDefault="00814857" w:rsidP="00894126">
            <w:pPr>
              <w:pStyle w:val="ARtabletextright"/>
            </w:pPr>
            <w:r>
              <w:sym w:font="Wingdings" w:char="F0FC"/>
            </w:r>
          </w:p>
        </w:tc>
      </w:tr>
      <w:tr w:rsidR="00814857" w14:paraId="7A617D7F" w14:textId="77777777" w:rsidTr="00894126">
        <w:trPr>
          <w:cantSplit/>
          <w:trHeight w:val="480"/>
        </w:trPr>
        <w:tc>
          <w:tcPr>
            <w:tcW w:w="4764" w:type="dxa"/>
            <w:tcBorders>
              <w:top w:val="single" w:sz="4" w:space="0" w:color="BFBFBF" w:themeColor="background1" w:themeShade="BF"/>
            </w:tcBorders>
            <w:hideMark/>
          </w:tcPr>
          <w:p w14:paraId="583572D2" w14:textId="77777777" w:rsidR="00814857" w:rsidRDefault="00814857" w:rsidP="00894126">
            <w:pPr>
              <w:pStyle w:val="ARtabletext"/>
            </w:pPr>
            <w:r>
              <w:rPr>
                <w:noProof/>
              </w:rPr>
              <w:t>Number of available HIV rapid test trial appointments used</w:t>
            </w:r>
          </w:p>
        </w:tc>
        <w:tc>
          <w:tcPr>
            <w:tcW w:w="1021" w:type="dxa"/>
            <w:tcBorders>
              <w:top w:val="single" w:sz="4" w:space="0" w:color="BFBFBF" w:themeColor="background1" w:themeShade="BF"/>
            </w:tcBorders>
            <w:hideMark/>
          </w:tcPr>
          <w:p w14:paraId="1582D768" w14:textId="77777777" w:rsidR="00814857" w:rsidRDefault="00814857" w:rsidP="00894126">
            <w:pPr>
              <w:pStyle w:val="ARtabletextright"/>
            </w:pPr>
            <w:r>
              <w:rPr>
                <w:noProof/>
              </w:rPr>
              <w:t>number</w:t>
            </w:r>
          </w:p>
        </w:tc>
        <w:tc>
          <w:tcPr>
            <w:tcW w:w="1022" w:type="dxa"/>
            <w:tcBorders>
              <w:top w:val="single" w:sz="4" w:space="0" w:color="BFBFBF" w:themeColor="background1" w:themeShade="BF"/>
            </w:tcBorders>
            <w:hideMark/>
          </w:tcPr>
          <w:p w14:paraId="578E6096" w14:textId="77777777" w:rsidR="00814857" w:rsidRDefault="00814857" w:rsidP="00894126">
            <w:pPr>
              <w:pStyle w:val="ARtabletextright"/>
            </w:pPr>
            <w:r>
              <w:rPr>
                <w:noProof/>
              </w:rPr>
              <w:t>2,688</w:t>
            </w:r>
          </w:p>
        </w:tc>
        <w:tc>
          <w:tcPr>
            <w:tcW w:w="1022" w:type="dxa"/>
            <w:tcBorders>
              <w:top w:val="single" w:sz="4" w:space="0" w:color="BFBFBF" w:themeColor="background1" w:themeShade="BF"/>
            </w:tcBorders>
            <w:hideMark/>
          </w:tcPr>
          <w:p w14:paraId="0C1C2FFD" w14:textId="77777777" w:rsidR="00814857" w:rsidRDefault="00814857" w:rsidP="00894126">
            <w:pPr>
              <w:pStyle w:val="ARtabletextright"/>
            </w:pPr>
            <w:r>
              <w:rPr>
                <w:noProof/>
              </w:rPr>
              <w:t>2,946</w:t>
            </w:r>
          </w:p>
        </w:tc>
        <w:tc>
          <w:tcPr>
            <w:tcW w:w="1022" w:type="dxa"/>
            <w:tcBorders>
              <w:top w:val="single" w:sz="4" w:space="0" w:color="BFBFBF" w:themeColor="background1" w:themeShade="BF"/>
            </w:tcBorders>
            <w:hideMark/>
          </w:tcPr>
          <w:p w14:paraId="3069BA0E" w14:textId="77777777" w:rsidR="00814857" w:rsidRDefault="00814857" w:rsidP="00894126">
            <w:pPr>
              <w:pStyle w:val="ARtabletextright"/>
            </w:pPr>
            <w:r>
              <w:rPr>
                <w:noProof/>
              </w:rPr>
              <w:t>9.6</w:t>
            </w:r>
          </w:p>
        </w:tc>
        <w:tc>
          <w:tcPr>
            <w:tcW w:w="794" w:type="dxa"/>
            <w:tcBorders>
              <w:top w:val="single" w:sz="4" w:space="0" w:color="BFBFBF" w:themeColor="background1" w:themeShade="BF"/>
            </w:tcBorders>
            <w:hideMark/>
          </w:tcPr>
          <w:p w14:paraId="631366F4" w14:textId="77777777" w:rsidR="00814857" w:rsidRDefault="00814857" w:rsidP="00894126">
            <w:pPr>
              <w:pStyle w:val="ARtabletextright"/>
            </w:pPr>
            <w:r>
              <w:sym w:font="Wingdings" w:char="F0FC"/>
            </w:r>
          </w:p>
        </w:tc>
      </w:tr>
      <w:tr w:rsidR="00814857" w14:paraId="0981AB33" w14:textId="77777777" w:rsidTr="00894126">
        <w:trPr>
          <w:cantSplit/>
          <w:trHeight w:val="240"/>
        </w:trPr>
        <w:tc>
          <w:tcPr>
            <w:tcW w:w="9645" w:type="dxa"/>
            <w:gridSpan w:val="6"/>
            <w:tcBorders>
              <w:top w:val="nil"/>
              <w:left w:val="nil"/>
              <w:bottom w:val="single" w:sz="4" w:space="0" w:color="BFBFBF" w:themeColor="background1" w:themeShade="BF"/>
              <w:right w:val="nil"/>
            </w:tcBorders>
            <w:noWrap/>
            <w:hideMark/>
          </w:tcPr>
          <w:p w14:paraId="09186FB2" w14:textId="77777777" w:rsidR="00814857" w:rsidRDefault="00814857" w:rsidP="00894126">
            <w:pPr>
              <w:pStyle w:val="ARtablenoteindent"/>
            </w:pPr>
            <w:r>
              <w:rPr>
                <w:noProof/>
              </w:rPr>
              <w:t>The result is higher than the target due to continued community acceptability, service growth and increased service uptake. The target has been increased to 2,875 in 2019–20 to reflect the sustained service uptake. This is a positive result.</w:t>
            </w:r>
          </w:p>
        </w:tc>
      </w:tr>
      <w:tr w:rsidR="00814857" w14:paraId="695E6182"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4E918B75" w14:textId="77777777" w:rsidR="00814857" w:rsidRDefault="00814857" w:rsidP="00894126">
            <w:pPr>
              <w:pStyle w:val="ARtabletext"/>
            </w:pPr>
            <w:r>
              <w:rPr>
                <w:noProof/>
              </w:rPr>
              <w:t>Women screened for breast cancer by BreastScreen Victoria</w:t>
            </w:r>
          </w:p>
        </w:tc>
        <w:tc>
          <w:tcPr>
            <w:tcW w:w="1021" w:type="dxa"/>
            <w:tcBorders>
              <w:top w:val="single" w:sz="4" w:space="0" w:color="BFBFBF" w:themeColor="background1" w:themeShade="BF"/>
              <w:bottom w:val="single" w:sz="4" w:space="0" w:color="BFBFBF" w:themeColor="background1" w:themeShade="BF"/>
            </w:tcBorders>
            <w:hideMark/>
          </w:tcPr>
          <w:p w14:paraId="409FEFBB" w14:textId="77777777" w:rsidR="00814857" w:rsidRDefault="00814857" w:rsidP="00894126">
            <w:pPr>
              <w:pStyle w:val="ARtabletextright"/>
            </w:pPr>
            <w:r>
              <w:rPr>
                <w:noProof/>
              </w:rPr>
              <w:t>number</w:t>
            </w:r>
          </w:p>
        </w:tc>
        <w:tc>
          <w:tcPr>
            <w:tcW w:w="1022" w:type="dxa"/>
            <w:tcBorders>
              <w:top w:val="single" w:sz="4" w:space="0" w:color="BFBFBF" w:themeColor="background1" w:themeShade="BF"/>
              <w:bottom w:val="single" w:sz="4" w:space="0" w:color="BFBFBF" w:themeColor="background1" w:themeShade="BF"/>
            </w:tcBorders>
            <w:hideMark/>
          </w:tcPr>
          <w:p w14:paraId="52BCA5CF" w14:textId="77777777" w:rsidR="00814857" w:rsidRDefault="00814857" w:rsidP="00894126">
            <w:pPr>
              <w:pStyle w:val="ARtabletextright"/>
            </w:pPr>
            <w:r>
              <w:rPr>
                <w:noProof/>
              </w:rPr>
              <w:t>260,000</w:t>
            </w:r>
          </w:p>
        </w:tc>
        <w:tc>
          <w:tcPr>
            <w:tcW w:w="1022" w:type="dxa"/>
            <w:tcBorders>
              <w:top w:val="single" w:sz="4" w:space="0" w:color="BFBFBF" w:themeColor="background1" w:themeShade="BF"/>
              <w:bottom w:val="single" w:sz="4" w:space="0" w:color="BFBFBF" w:themeColor="background1" w:themeShade="BF"/>
            </w:tcBorders>
            <w:hideMark/>
          </w:tcPr>
          <w:p w14:paraId="2A31DDFA" w14:textId="77777777" w:rsidR="00814857" w:rsidRDefault="00814857" w:rsidP="00894126">
            <w:pPr>
              <w:pStyle w:val="ARtabletextright"/>
            </w:pPr>
            <w:r>
              <w:rPr>
                <w:noProof/>
              </w:rPr>
              <w:t>267,589</w:t>
            </w:r>
          </w:p>
        </w:tc>
        <w:tc>
          <w:tcPr>
            <w:tcW w:w="1022" w:type="dxa"/>
            <w:tcBorders>
              <w:top w:val="single" w:sz="4" w:space="0" w:color="BFBFBF" w:themeColor="background1" w:themeShade="BF"/>
              <w:bottom w:val="single" w:sz="4" w:space="0" w:color="BFBFBF" w:themeColor="background1" w:themeShade="BF"/>
            </w:tcBorders>
            <w:hideMark/>
          </w:tcPr>
          <w:p w14:paraId="561D8940" w14:textId="77777777" w:rsidR="00814857" w:rsidRDefault="00814857" w:rsidP="00894126">
            <w:pPr>
              <w:pStyle w:val="ARtabletextright"/>
            </w:pPr>
            <w:r>
              <w:rPr>
                <w:noProof/>
              </w:rPr>
              <w:t>2.9</w:t>
            </w:r>
          </w:p>
        </w:tc>
        <w:tc>
          <w:tcPr>
            <w:tcW w:w="794" w:type="dxa"/>
            <w:tcBorders>
              <w:top w:val="single" w:sz="4" w:space="0" w:color="BFBFBF" w:themeColor="background1" w:themeShade="BF"/>
              <w:bottom w:val="single" w:sz="4" w:space="0" w:color="BFBFBF" w:themeColor="background1" w:themeShade="BF"/>
            </w:tcBorders>
            <w:hideMark/>
          </w:tcPr>
          <w:p w14:paraId="46273664" w14:textId="77777777" w:rsidR="00814857" w:rsidRDefault="00814857" w:rsidP="00894126">
            <w:pPr>
              <w:pStyle w:val="ARtabletextright"/>
            </w:pPr>
            <w:r>
              <w:sym w:font="Wingdings" w:char="F0FC"/>
            </w:r>
          </w:p>
        </w:tc>
      </w:tr>
      <w:tr w:rsidR="00814857" w14:paraId="1AC9C815" w14:textId="77777777" w:rsidTr="00894126">
        <w:trPr>
          <w:cantSplit/>
          <w:trHeight w:val="480"/>
        </w:trPr>
        <w:tc>
          <w:tcPr>
            <w:tcW w:w="4764" w:type="dxa"/>
            <w:tcBorders>
              <w:top w:val="single" w:sz="4" w:space="0" w:color="BFBFBF" w:themeColor="background1" w:themeShade="BF"/>
            </w:tcBorders>
            <w:hideMark/>
          </w:tcPr>
          <w:p w14:paraId="64CFA77E" w14:textId="77777777" w:rsidR="00814857" w:rsidRDefault="00814857" w:rsidP="00894126">
            <w:pPr>
              <w:pStyle w:val="ARtabletext"/>
            </w:pPr>
            <w:r>
              <w:rPr>
                <w:noProof/>
              </w:rPr>
              <w:t>Women screened for cervical cancer</w:t>
            </w:r>
          </w:p>
        </w:tc>
        <w:tc>
          <w:tcPr>
            <w:tcW w:w="1021" w:type="dxa"/>
            <w:tcBorders>
              <w:top w:val="single" w:sz="4" w:space="0" w:color="BFBFBF" w:themeColor="background1" w:themeShade="BF"/>
            </w:tcBorders>
            <w:hideMark/>
          </w:tcPr>
          <w:p w14:paraId="0D5982DD" w14:textId="77777777" w:rsidR="00814857" w:rsidRDefault="00814857" w:rsidP="00894126">
            <w:pPr>
              <w:pStyle w:val="ARtabletextright"/>
            </w:pPr>
            <w:r>
              <w:rPr>
                <w:noProof/>
              </w:rPr>
              <w:t>number</w:t>
            </w:r>
          </w:p>
        </w:tc>
        <w:tc>
          <w:tcPr>
            <w:tcW w:w="1022" w:type="dxa"/>
            <w:tcBorders>
              <w:top w:val="single" w:sz="4" w:space="0" w:color="BFBFBF" w:themeColor="background1" w:themeShade="BF"/>
            </w:tcBorders>
            <w:hideMark/>
          </w:tcPr>
          <w:p w14:paraId="3DFE15F4" w14:textId="77777777" w:rsidR="00814857" w:rsidRDefault="00814857" w:rsidP="00894126">
            <w:pPr>
              <w:pStyle w:val="ARtabletextright"/>
            </w:pPr>
            <w:r>
              <w:rPr>
                <w:noProof/>
              </w:rPr>
              <w:t>570,000</w:t>
            </w:r>
          </w:p>
        </w:tc>
        <w:tc>
          <w:tcPr>
            <w:tcW w:w="1022" w:type="dxa"/>
            <w:tcBorders>
              <w:top w:val="single" w:sz="4" w:space="0" w:color="BFBFBF" w:themeColor="background1" w:themeShade="BF"/>
            </w:tcBorders>
            <w:hideMark/>
          </w:tcPr>
          <w:p w14:paraId="579CF7EC" w14:textId="77777777" w:rsidR="00814857" w:rsidRDefault="00814857" w:rsidP="00894126">
            <w:pPr>
              <w:pStyle w:val="ARtabletextright"/>
            </w:pPr>
            <w:r>
              <w:rPr>
                <w:noProof/>
              </w:rPr>
              <w:t>504,050</w:t>
            </w:r>
          </w:p>
        </w:tc>
        <w:tc>
          <w:tcPr>
            <w:tcW w:w="1022" w:type="dxa"/>
            <w:tcBorders>
              <w:top w:val="single" w:sz="4" w:space="0" w:color="BFBFBF" w:themeColor="background1" w:themeShade="BF"/>
            </w:tcBorders>
            <w:hideMark/>
          </w:tcPr>
          <w:p w14:paraId="3BE0011C" w14:textId="77777777" w:rsidR="00814857" w:rsidRDefault="00814857" w:rsidP="00894126">
            <w:pPr>
              <w:pStyle w:val="ARtabletextright"/>
            </w:pPr>
            <w:r>
              <w:rPr>
                <w:noProof/>
              </w:rPr>
              <w:t>-11.6</w:t>
            </w:r>
          </w:p>
        </w:tc>
        <w:tc>
          <w:tcPr>
            <w:tcW w:w="794" w:type="dxa"/>
            <w:tcBorders>
              <w:top w:val="single" w:sz="4" w:space="0" w:color="BFBFBF" w:themeColor="background1" w:themeShade="BF"/>
            </w:tcBorders>
            <w:hideMark/>
          </w:tcPr>
          <w:p w14:paraId="1B9769FD" w14:textId="77777777" w:rsidR="00814857" w:rsidRDefault="00814857" w:rsidP="00894126">
            <w:pPr>
              <w:pStyle w:val="ARtabletextright"/>
            </w:pPr>
            <w:r>
              <w:sym w:font="Wingdings" w:char="F06E"/>
            </w:r>
          </w:p>
        </w:tc>
      </w:tr>
      <w:tr w:rsidR="00814857" w14:paraId="0685B34C" w14:textId="77777777" w:rsidTr="00894126">
        <w:trPr>
          <w:cantSplit/>
          <w:trHeight w:val="240"/>
        </w:trPr>
        <w:tc>
          <w:tcPr>
            <w:tcW w:w="9645" w:type="dxa"/>
            <w:gridSpan w:val="6"/>
            <w:tcBorders>
              <w:top w:val="nil"/>
              <w:left w:val="nil"/>
              <w:bottom w:val="single" w:sz="4" w:space="0" w:color="BFBFBF"/>
              <w:right w:val="nil"/>
            </w:tcBorders>
            <w:noWrap/>
            <w:hideMark/>
          </w:tcPr>
          <w:p w14:paraId="4A0D97CF" w14:textId="0A23BB71" w:rsidR="00814857" w:rsidRDefault="00814857" w:rsidP="00894126">
            <w:pPr>
              <w:pStyle w:val="ARtablenoteindent"/>
              <w:rPr>
                <w:noProof/>
              </w:rPr>
            </w:pPr>
            <w:r>
              <w:rPr>
                <w:noProof/>
              </w:rPr>
              <w:t>The result is lower than target due to implementation of the renewed National Cervical Screening Program and transition to a new National Cancer Screening Register. During the transistion, some records were provided directly to the National Cancer Screening Register as opposed to the Victorian register so this figure is not a complete picture of cervical screening participation in</w:t>
            </w:r>
            <w:r w:rsidR="001F4A28">
              <w:rPr>
                <w:noProof/>
              </w:rPr>
              <w:t xml:space="preserve"> </w:t>
            </w:r>
            <w:r>
              <w:rPr>
                <w:noProof/>
              </w:rPr>
              <w:t xml:space="preserve">Victoria. There is a participation report due from the Australian Institute of Health and Wellbeing by the end of the year. </w:t>
            </w:r>
          </w:p>
        </w:tc>
      </w:tr>
      <w:tr w:rsidR="00814857" w14:paraId="62CEBB25" w14:textId="77777777" w:rsidTr="00894126">
        <w:trPr>
          <w:cantSplit/>
          <w:trHeight w:val="480"/>
        </w:trPr>
        <w:tc>
          <w:tcPr>
            <w:tcW w:w="4764" w:type="dxa"/>
            <w:tcBorders>
              <w:bottom w:val="single" w:sz="4" w:space="0" w:color="BFBFBF" w:themeColor="background1" w:themeShade="BF"/>
            </w:tcBorders>
            <w:hideMark/>
          </w:tcPr>
          <w:p w14:paraId="523C2EF1" w14:textId="77777777" w:rsidR="00814857" w:rsidRDefault="00814857" w:rsidP="00894126">
            <w:pPr>
              <w:pStyle w:val="ARtabletext"/>
            </w:pPr>
            <w:r>
              <w:rPr>
                <w:noProof/>
              </w:rPr>
              <w:t>Number of persons participating in newborn bloodspot or maternal serum screening</w:t>
            </w:r>
          </w:p>
        </w:tc>
        <w:tc>
          <w:tcPr>
            <w:tcW w:w="1021" w:type="dxa"/>
            <w:tcBorders>
              <w:bottom w:val="single" w:sz="4" w:space="0" w:color="BFBFBF" w:themeColor="background1" w:themeShade="BF"/>
            </w:tcBorders>
            <w:hideMark/>
          </w:tcPr>
          <w:p w14:paraId="69E1C690" w14:textId="77777777" w:rsidR="00814857" w:rsidRDefault="00814857" w:rsidP="00894126">
            <w:pPr>
              <w:pStyle w:val="ARtabletextright"/>
            </w:pPr>
            <w:r>
              <w:rPr>
                <w:noProof/>
              </w:rPr>
              <w:t>number</w:t>
            </w:r>
          </w:p>
        </w:tc>
        <w:tc>
          <w:tcPr>
            <w:tcW w:w="1022" w:type="dxa"/>
            <w:tcBorders>
              <w:bottom w:val="single" w:sz="4" w:space="0" w:color="BFBFBF" w:themeColor="background1" w:themeShade="BF"/>
            </w:tcBorders>
            <w:hideMark/>
          </w:tcPr>
          <w:p w14:paraId="158B7B8D" w14:textId="77777777" w:rsidR="00814857" w:rsidRDefault="00814857" w:rsidP="00894126">
            <w:pPr>
              <w:pStyle w:val="ARtabletextright"/>
            </w:pPr>
            <w:r>
              <w:rPr>
                <w:noProof/>
              </w:rPr>
              <w:t>80,000</w:t>
            </w:r>
          </w:p>
        </w:tc>
        <w:tc>
          <w:tcPr>
            <w:tcW w:w="1022" w:type="dxa"/>
            <w:tcBorders>
              <w:bottom w:val="single" w:sz="4" w:space="0" w:color="BFBFBF" w:themeColor="background1" w:themeShade="BF"/>
            </w:tcBorders>
            <w:hideMark/>
          </w:tcPr>
          <w:p w14:paraId="230F7FA8" w14:textId="77777777" w:rsidR="00814857" w:rsidRDefault="00814857" w:rsidP="00894126">
            <w:pPr>
              <w:pStyle w:val="ARtabletextright"/>
            </w:pPr>
            <w:r>
              <w:rPr>
                <w:noProof/>
              </w:rPr>
              <w:t>78,577</w:t>
            </w:r>
          </w:p>
        </w:tc>
        <w:tc>
          <w:tcPr>
            <w:tcW w:w="1022" w:type="dxa"/>
            <w:tcBorders>
              <w:bottom w:val="single" w:sz="4" w:space="0" w:color="BFBFBF" w:themeColor="background1" w:themeShade="BF"/>
            </w:tcBorders>
            <w:hideMark/>
          </w:tcPr>
          <w:p w14:paraId="24A102AF" w14:textId="77777777" w:rsidR="00814857" w:rsidRDefault="00814857" w:rsidP="00894126">
            <w:pPr>
              <w:pStyle w:val="ARtabletextright"/>
            </w:pPr>
            <w:r>
              <w:rPr>
                <w:noProof/>
              </w:rPr>
              <w:t>-1.8</w:t>
            </w:r>
          </w:p>
        </w:tc>
        <w:tc>
          <w:tcPr>
            <w:tcW w:w="794" w:type="dxa"/>
            <w:tcBorders>
              <w:bottom w:val="single" w:sz="4" w:space="0" w:color="BFBFBF" w:themeColor="background1" w:themeShade="BF"/>
            </w:tcBorders>
            <w:hideMark/>
          </w:tcPr>
          <w:p w14:paraId="4FF0C552" w14:textId="77777777" w:rsidR="00814857" w:rsidRDefault="00814857" w:rsidP="00894126">
            <w:pPr>
              <w:pStyle w:val="ARtabletextright"/>
            </w:pPr>
            <w:r w:rsidRPr="007939DD">
              <w:sym w:font="Wingdings 2" w:char="F099"/>
            </w:r>
          </w:p>
        </w:tc>
      </w:tr>
      <w:tr w:rsidR="00814857" w14:paraId="5A7671EC"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2FEE6AE9" w14:textId="77777777" w:rsidR="00814857" w:rsidRDefault="00814857" w:rsidP="00894126">
            <w:pPr>
              <w:pStyle w:val="ARtabletext"/>
            </w:pPr>
            <w:r>
              <w:rPr>
                <w:noProof/>
              </w:rPr>
              <w:t>Persons screened for prevention and early detection of health conditions – pulmonary tuberculosis screening</w:t>
            </w:r>
          </w:p>
        </w:tc>
        <w:tc>
          <w:tcPr>
            <w:tcW w:w="1021" w:type="dxa"/>
            <w:tcBorders>
              <w:top w:val="single" w:sz="4" w:space="0" w:color="BFBFBF" w:themeColor="background1" w:themeShade="BF"/>
              <w:bottom w:val="single" w:sz="4" w:space="0" w:color="BFBFBF" w:themeColor="background1" w:themeShade="BF"/>
            </w:tcBorders>
            <w:hideMark/>
          </w:tcPr>
          <w:p w14:paraId="688838C5" w14:textId="77777777" w:rsidR="00814857" w:rsidRDefault="00814857" w:rsidP="00894126">
            <w:pPr>
              <w:pStyle w:val="ARtabletextright"/>
            </w:pPr>
            <w:r>
              <w:rPr>
                <w:noProof/>
              </w:rPr>
              <w:t>number</w:t>
            </w:r>
          </w:p>
        </w:tc>
        <w:tc>
          <w:tcPr>
            <w:tcW w:w="1022" w:type="dxa"/>
            <w:tcBorders>
              <w:top w:val="single" w:sz="4" w:space="0" w:color="BFBFBF" w:themeColor="background1" w:themeShade="BF"/>
              <w:bottom w:val="single" w:sz="4" w:space="0" w:color="BFBFBF" w:themeColor="background1" w:themeShade="BF"/>
            </w:tcBorders>
            <w:hideMark/>
          </w:tcPr>
          <w:p w14:paraId="4CF6CC63" w14:textId="77777777" w:rsidR="00814857" w:rsidRDefault="00814857" w:rsidP="00894126">
            <w:pPr>
              <w:pStyle w:val="ARtabletextright"/>
            </w:pPr>
            <w:r>
              <w:rPr>
                <w:noProof/>
              </w:rPr>
              <w:t>2,000</w:t>
            </w:r>
          </w:p>
        </w:tc>
        <w:tc>
          <w:tcPr>
            <w:tcW w:w="1022" w:type="dxa"/>
            <w:tcBorders>
              <w:top w:val="single" w:sz="4" w:space="0" w:color="BFBFBF" w:themeColor="background1" w:themeShade="BF"/>
              <w:bottom w:val="single" w:sz="4" w:space="0" w:color="BFBFBF" w:themeColor="background1" w:themeShade="BF"/>
            </w:tcBorders>
            <w:hideMark/>
          </w:tcPr>
          <w:p w14:paraId="330BBE3E" w14:textId="77777777" w:rsidR="00814857" w:rsidRDefault="00814857" w:rsidP="00894126">
            <w:pPr>
              <w:pStyle w:val="ARtabletextright"/>
            </w:pPr>
            <w:r>
              <w:rPr>
                <w:noProof/>
              </w:rPr>
              <w:t>1,908</w:t>
            </w:r>
          </w:p>
        </w:tc>
        <w:tc>
          <w:tcPr>
            <w:tcW w:w="1022" w:type="dxa"/>
            <w:tcBorders>
              <w:top w:val="single" w:sz="4" w:space="0" w:color="BFBFBF" w:themeColor="background1" w:themeShade="BF"/>
              <w:bottom w:val="single" w:sz="4" w:space="0" w:color="BFBFBF" w:themeColor="background1" w:themeShade="BF"/>
            </w:tcBorders>
            <w:hideMark/>
          </w:tcPr>
          <w:p w14:paraId="648E26EA" w14:textId="77777777" w:rsidR="00814857" w:rsidRDefault="00814857" w:rsidP="00894126">
            <w:pPr>
              <w:pStyle w:val="ARtabletextright"/>
            </w:pPr>
            <w:r>
              <w:rPr>
                <w:noProof/>
              </w:rPr>
              <w:t>-4.6</w:t>
            </w:r>
          </w:p>
        </w:tc>
        <w:tc>
          <w:tcPr>
            <w:tcW w:w="794" w:type="dxa"/>
            <w:tcBorders>
              <w:top w:val="single" w:sz="4" w:space="0" w:color="BFBFBF" w:themeColor="background1" w:themeShade="BF"/>
              <w:bottom w:val="single" w:sz="4" w:space="0" w:color="BFBFBF" w:themeColor="background1" w:themeShade="BF"/>
            </w:tcBorders>
            <w:hideMark/>
          </w:tcPr>
          <w:p w14:paraId="3C77C968" w14:textId="77777777" w:rsidR="00814857" w:rsidRDefault="00814857" w:rsidP="00894126">
            <w:pPr>
              <w:pStyle w:val="ARtabletextright"/>
            </w:pPr>
            <w:r w:rsidRPr="007939DD">
              <w:sym w:font="Wingdings 2" w:char="F099"/>
            </w:r>
          </w:p>
        </w:tc>
      </w:tr>
      <w:tr w:rsidR="00814857" w14:paraId="0BF089B9"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0CFD4E18" w14:textId="79CCBB79" w:rsidR="00814857" w:rsidRDefault="00814857" w:rsidP="00894126">
            <w:pPr>
              <w:pStyle w:val="ARtabletext"/>
            </w:pPr>
            <w:r>
              <w:rPr>
                <w:noProof/>
              </w:rPr>
              <w:t>Percentage of Aboriginal children fully immunised at 60</w:t>
            </w:r>
            <w:r w:rsidR="001F4A28">
              <w:rPr>
                <w:noProof/>
              </w:rPr>
              <w:t> </w:t>
            </w:r>
            <w:r>
              <w:rPr>
                <w:noProof/>
              </w:rPr>
              <w:t>months</w:t>
            </w:r>
          </w:p>
        </w:tc>
        <w:tc>
          <w:tcPr>
            <w:tcW w:w="1021" w:type="dxa"/>
            <w:tcBorders>
              <w:top w:val="single" w:sz="4" w:space="0" w:color="BFBFBF" w:themeColor="background1" w:themeShade="BF"/>
              <w:bottom w:val="single" w:sz="4" w:space="0" w:color="BFBFBF" w:themeColor="background1" w:themeShade="BF"/>
            </w:tcBorders>
            <w:hideMark/>
          </w:tcPr>
          <w:p w14:paraId="6CA99CA6" w14:textId="77777777" w:rsidR="00814857" w:rsidRDefault="00814857" w:rsidP="00894126">
            <w:pPr>
              <w:pStyle w:val="ARtabletextright"/>
            </w:pPr>
            <w:r>
              <w:rPr>
                <w:noProof/>
              </w:rPr>
              <w:t>per cent</w:t>
            </w:r>
          </w:p>
        </w:tc>
        <w:tc>
          <w:tcPr>
            <w:tcW w:w="1022" w:type="dxa"/>
            <w:tcBorders>
              <w:top w:val="single" w:sz="4" w:space="0" w:color="BFBFBF" w:themeColor="background1" w:themeShade="BF"/>
              <w:bottom w:val="single" w:sz="4" w:space="0" w:color="BFBFBF" w:themeColor="background1" w:themeShade="BF"/>
            </w:tcBorders>
            <w:hideMark/>
          </w:tcPr>
          <w:p w14:paraId="41EB7368" w14:textId="77777777" w:rsidR="00814857" w:rsidRDefault="00814857" w:rsidP="00894126">
            <w:pPr>
              <w:pStyle w:val="ARtabletextright"/>
            </w:pPr>
            <w:r>
              <w:rPr>
                <w:noProof/>
              </w:rPr>
              <w:t>95</w:t>
            </w:r>
          </w:p>
        </w:tc>
        <w:tc>
          <w:tcPr>
            <w:tcW w:w="1022" w:type="dxa"/>
            <w:tcBorders>
              <w:top w:val="single" w:sz="4" w:space="0" w:color="BFBFBF" w:themeColor="background1" w:themeShade="BF"/>
              <w:bottom w:val="single" w:sz="4" w:space="0" w:color="BFBFBF" w:themeColor="background1" w:themeShade="BF"/>
            </w:tcBorders>
            <w:hideMark/>
          </w:tcPr>
          <w:p w14:paraId="00B7343A" w14:textId="77777777" w:rsidR="00814857" w:rsidRDefault="00814857" w:rsidP="00894126">
            <w:pPr>
              <w:pStyle w:val="ARtabletextright"/>
            </w:pPr>
            <w:r>
              <w:rPr>
                <w:noProof/>
              </w:rPr>
              <w:t>96.5</w:t>
            </w:r>
          </w:p>
        </w:tc>
        <w:tc>
          <w:tcPr>
            <w:tcW w:w="1022" w:type="dxa"/>
            <w:tcBorders>
              <w:top w:val="single" w:sz="4" w:space="0" w:color="BFBFBF" w:themeColor="background1" w:themeShade="BF"/>
              <w:bottom w:val="single" w:sz="4" w:space="0" w:color="BFBFBF" w:themeColor="background1" w:themeShade="BF"/>
            </w:tcBorders>
            <w:hideMark/>
          </w:tcPr>
          <w:p w14:paraId="0F5B4793" w14:textId="77777777" w:rsidR="00814857" w:rsidRDefault="00814857" w:rsidP="00894126">
            <w:pPr>
              <w:pStyle w:val="ARtabletextright"/>
            </w:pPr>
            <w:r>
              <w:rPr>
                <w:noProof/>
              </w:rPr>
              <w:t>1.6</w:t>
            </w:r>
          </w:p>
        </w:tc>
        <w:tc>
          <w:tcPr>
            <w:tcW w:w="794" w:type="dxa"/>
            <w:tcBorders>
              <w:top w:val="single" w:sz="4" w:space="0" w:color="BFBFBF" w:themeColor="background1" w:themeShade="BF"/>
              <w:bottom w:val="single" w:sz="4" w:space="0" w:color="BFBFBF" w:themeColor="background1" w:themeShade="BF"/>
            </w:tcBorders>
            <w:hideMark/>
          </w:tcPr>
          <w:p w14:paraId="3BD59637" w14:textId="77777777" w:rsidR="00814857" w:rsidRDefault="00814857" w:rsidP="00894126">
            <w:pPr>
              <w:pStyle w:val="ARtabletextright"/>
            </w:pPr>
            <w:r>
              <w:sym w:font="Wingdings" w:char="F0FC"/>
            </w:r>
          </w:p>
        </w:tc>
      </w:tr>
      <w:tr w:rsidR="00814857" w14:paraId="45FA4E79" w14:textId="77777777" w:rsidTr="00894126">
        <w:trPr>
          <w:cantSplit/>
          <w:trHeight w:val="480"/>
        </w:trPr>
        <w:tc>
          <w:tcPr>
            <w:tcW w:w="4764" w:type="dxa"/>
            <w:tcBorders>
              <w:top w:val="single" w:sz="4" w:space="0" w:color="BFBFBF" w:themeColor="background1" w:themeShade="BF"/>
            </w:tcBorders>
            <w:hideMark/>
          </w:tcPr>
          <w:p w14:paraId="25E02FD0" w14:textId="77777777" w:rsidR="00814857" w:rsidRDefault="00814857" w:rsidP="00894126">
            <w:pPr>
              <w:pStyle w:val="ARtabletext"/>
            </w:pPr>
            <w:r>
              <w:rPr>
                <w:noProof/>
              </w:rPr>
              <w:t>Smoking cessation of Aboriginal mothers</w:t>
            </w:r>
          </w:p>
        </w:tc>
        <w:tc>
          <w:tcPr>
            <w:tcW w:w="1021" w:type="dxa"/>
            <w:tcBorders>
              <w:top w:val="single" w:sz="4" w:space="0" w:color="BFBFBF" w:themeColor="background1" w:themeShade="BF"/>
            </w:tcBorders>
            <w:hideMark/>
          </w:tcPr>
          <w:p w14:paraId="2496FB7B" w14:textId="77777777" w:rsidR="00814857" w:rsidRDefault="00814857" w:rsidP="00894126">
            <w:pPr>
              <w:pStyle w:val="ARtabletextright"/>
            </w:pPr>
            <w:r>
              <w:rPr>
                <w:noProof/>
              </w:rPr>
              <w:t>per cent</w:t>
            </w:r>
          </w:p>
        </w:tc>
        <w:tc>
          <w:tcPr>
            <w:tcW w:w="1022" w:type="dxa"/>
            <w:tcBorders>
              <w:top w:val="single" w:sz="4" w:space="0" w:color="BFBFBF" w:themeColor="background1" w:themeShade="BF"/>
            </w:tcBorders>
            <w:hideMark/>
          </w:tcPr>
          <w:p w14:paraId="4F3A6B02" w14:textId="77777777" w:rsidR="00814857" w:rsidRDefault="00814857" w:rsidP="00894126">
            <w:pPr>
              <w:pStyle w:val="ARtabletextright"/>
            </w:pPr>
            <w:r>
              <w:rPr>
                <w:noProof/>
              </w:rPr>
              <w:t>21.4</w:t>
            </w:r>
          </w:p>
        </w:tc>
        <w:tc>
          <w:tcPr>
            <w:tcW w:w="1022" w:type="dxa"/>
            <w:tcBorders>
              <w:top w:val="single" w:sz="4" w:space="0" w:color="BFBFBF" w:themeColor="background1" w:themeShade="BF"/>
            </w:tcBorders>
            <w:hideMark/>
          </w:tcPr>
          <w:p w14:paraId="0F2816F4" w14:textId="77777777" w:rsidR="00814857" w:rsidRDefault="00814857" w:rsidP="00894126">
            <w:pPr>
              <w:pStyle w:val="ARtabletextright"/>
            </w:pPr>
            <w:r>
              <w:rPr>
                <w:noProof/>
              </w:rPr>
              <w:t>23.5</w:t>
            </w:r>
          </w:p>
        </w:tc>
        <w:tc>
          <w:tcPr>
            <w:tcW w:w="1022" w:type="dxa"/>
            <w:tcBorders>
              <w:top w:val="single" w:sz="4" w:space="0" w:color="BFBFBF" w:themeColor="background1" w:themeShade="BF"/>
            </w:tcBorders>
            <w:hideMark/>
          </w:tcPr>
          <w:p w14:paraId="10053F59" w14:textId="77777777" w:rsidR="00814857" w:rsidRDefault="00814857" w:rsidP="00894126">
            <w:pPr>
              <w:pStyle w:val="ARtabletextright"/>
            </w:pPr>
            <w:r>
              <w:rPr>
                <w:noProof/>
              </w:rPr>
              <w:t>9.8</w:t>
            </w:r>
          </w:p>
        </w:tc>
        <w:tc>
          <w:tcPr>
            <w:tcW w:w="794" w:type="dxa"/>
            <w:tcBorders>
              <w:top w:val="single" w:sz="4" w:space="0" w:color="BFBFBF" w:themeColor="background1" w:themeShade="BF"/>
            </w:tcBorders>
            <w:hideMark/>
          </w:tcPr>
          <w:p w14:paraId="345BEF5B" w14:textId="77777777" w:rsidR="00814857" w:rsidRDefault="00814857" w:rsidP="00894126">
            <w:pPr>
              <w:pStyle w:val="ARtabletextright"/>
            </w:pPr>
            <w:r>
              <w:sym w:font="Wingdings" w:char="F0FC"/>
            </w:r>
          </w:p>
        </w:tc>
      </w:tr>
      <w:tr w:rsidR="00814857" w14:paraId="7FBA3A89" w14:textId="77777777" w:rsidTr="00894126">
        <w:trPr>
          <w:cantSplit/>
          <w:trHeight w:val="240"/>
        </w:trPr>
        <w:tc>
          <w:tcPr>
            <w:tcW w:w="9645" w:type="dxa"/>
            <w:gridSpan w:val="6"/>
            <w:tcBorders>
              <w:top w:val="nil"/>
              <w:left w:val="nil"/>
              <w:bottom w:val="single" w:sz="4" w:space="0" w:color="BFBFBF"/>
              <w:right w:val="nil"/>
            </w:tcBorders>
            <w:noWrap/>
            <w:hideMark/>
          </w:tcPr>
          <w:p w14:paraId="2EA15EAF" w14:textId="77777777" w:rsidR="00814857" w:rsidRDefault="00814857" w:rsidP="00894126">
            <w:pPr>
              <w:pStyle w:val="ARtablenoteindent"/>
            </w:pPr>
            <w:r>
              <w:rPr>
                <w:noProof/>
              </w:rPr>
              <w:t>Preliminary result. The data are lagged by 12 months and results are reported annually for the calendar year. Actual end-of-year results for 2018 will be available late 2019, after receipt of the Consultative Council on Obstetric and Paediatric Mortality and Morbidity report.</w:t>
            </w:r>
          </w:p>
        </w:tc>
      </w:tr>
      <w:tr w:rsidR="00EC65CE" w14:paraId="2945BD99" w14:textId="77777777" w:rsidTr="00A05EB7">
        <w:trPr>
          <w:cantSplit/>
          <w:trHeight w:val="240"/>
        </w:trPr>
        <w:tc>
          <w:tcPr>
            <w:tcW w:w="9645" w:type="dxa"/>
            <w:gridSpan w:val="6"/>
            <w:tcBorders>
              <w:top w:val="single" w:sz="4" w:space="0" w:color="auto"/>
              <w:left w:val="nil"/>
              <w:right w:val="nil"/>
            </w:tcBorders>
            <w:hideMark/>
          </w:tcPr>
          <w:p w14:paraId="7C92DD6E" w14:textId="6A98396A" w:rsidR="00EC65CE" w:rsidRPr="00617D9C" w:rsidRDefault="00EC65CE" w:rsidP="00617D9C">
            <w:pPr>
              <w:pStyle w:val="ARtablegreybold"/>
            </w:pPr>
            <w:r>
              <w:t>Quality</w:t>
            </w:r>
          </w:p>
        </w:tc>
      </w:tr>
      <w:tr w:rsidR="00814857" w14:paraId="79C02588" w14:textId="77777777" w:rsidTr="00894126">
        <w:trPr>
          <w:cantSplit/>
          <w:trHeight w:val="480"/>
        </w:trPr>
        <w:tc>
          <w:tcPr>
            <w:tcW w:w="4764" w:type="dxa"/>
            <w:tcBorders>
              <w:bottom w:val="single" w:sz="4" w:space="0" w:color="BFBFBF" w:themeColor="background1" w:themeShade="BF"/>
            </w:tcBorders>
            <w:hideMark/>
          </w:tcPr>
          <w:p w14:paraId="73875B23" w14:textId="77777777" w:rsidR="00814857" w:rsidRDefault="00814857" w:rsidP="00894126">
            <w:pPr>
              <w:pStyle w:val="ARtabletext"/>
            </w:pPr>
            <w:r>
              <w:rPr>
                <w:noProof/>
              </w:rPr>
              <w:t>Calls to food safety hotlines that are answered</w:t>
            </w:r>
          </w:p>
        </w:tc>
        <w:tc>
          <w:tcPr>
            <w:tcW w:w="1021" w:type="dxa"/>
            <w:tcBorders>
              <w:bottom w:val="single" w:sz="4" w:space="0" w:color="BFBFBF" w:themeColor="background1" w:themeShade="BF"/>
            </w:tcBorders>
            <w:hideMark/>
          </w:tcPr>
          <w:p w14:paraId="2AC055A3" w14:textId="77777777" w:rsidR="00814857" w:rsidRDefault="00814857" w:rsidP="00894126">
            <w:pPr>
              <w:pStyle w:val="ARtabletextright"/>
            </w:pPr>
            <w:r>
              <w:rPr>
                <w:noProof/>
              </w:rPr>
              <w:t>per cent</w:t>
            </w:r>
          </w:p>
        </w:tc>
        <w:tc>
          <w:tcPr>
            <w:tcW w:w="1022" w:type="dxa"/>
            <w:tcBorders>
              <w:bottom w:val="single" w:sz="4" w:space="0" w:color="BFBFBF" w:themeColor="background1" w:themeShade="BF"/>
            </w:tcBorders>
            <w:hideMark/>
          </w:tcPr>
          <w:p w14:paraId="2FA214E0" w14:textId="77777777" w:rsidR="00814857" w:rsidRDefault="00814857" w:rsidP="00894126">
            <w:pPr>
              <w:pStyle w:val="ARtabletextright"/>
            </w:pPr>
            <w:r>
              <w:rPr>
                <w:noProof/>
              </w:rPr>
              <w:t>97</w:t>
            </w:r>
          </w:p>
        </w:tc>
        <w:tc>
          <w:tcPr>
            <w:tcW w:w="1022" w:type="dxa"/>
            <w:tcBorders>
              <w:bottom w:val="single" w:sz="4" w:space="0" w:color="BFBFBF" w:themeColor="background1" w:themeShade="BF"/>
            </w:tcBorders>
            <w:hideMark/>
          </w:tcPr>
          <w:p w14:paraId="780793DD" w14:textId="77777777" w:rsidR="00814857" w:rsidRDefault="00814857" w:rsidP="00894126">
            <w:pPr>
              <w:pStyle w:val="ARtabletextright"/>
            </w:pPr>
            <w:r>
              <w:rPr>
                <w:noProof/>
              </w:rPr>
              <w:t>99</w:t>
            </w:r>
          </w:p>
        </w:tc>
        <w:tc>
          <w:tcPr>
            <w:tcW w:w="1022" w:type="dxa"/>
            <w:tcBorders>
              <w:bottom w:val="single" w:sz="4" w:space="0" w:color="BFBFBF" w:themeColor="background1" w:themeShade="BF"/>
            </w:tcBorders>
            <w:hideMark/>
          </w:tcPr>
          <w:p w14:paraId="55C071DB" w14:textId="77777777" w:rsidR="00814857" w:rsidRDefault="00814857" w:rsidP="00894126">
            <w:pPr>
              <w:pStyle w:val="ARtabletextright"/>
            </w:pPr>
            <w:r>
              <w:rPr>
                <w:noProof/>
              </w:rPr>
              <w:t>2.1</w:t>
            </w:r>
          </w:p>
        </w:tc>
        <w:tc>
          <w:tcPr>
            <w:tcW w:w="794" w:type="dxa"/>
            <w:tcBorders>
              <w:bottom w:val="single" w:sz="4" w:space="0" w:color="BFBFBF" w:themeColor="background1" w:themeShade="BF"/>
            </w:tcBorders>
            <w:hideMark/>
          </w:tcPr>
          <w:p w14:paraId="52DCC00A" w14:textId="77777777" w:rsidR="00814857" w:rsidRDefault="00814857" w:rsidP="00894126">
            <w:pPr>
              <w:pStyle w:val="ARtabletextright"/>
            </w:pPr>
            <w:r>
              <w:sym w:font="Wingdings" w:char="F0FC"/>
            </w:r>
          </w:p>
        </w:tc>
      </w:tr>
      <w:tr w:rsidR="00814857" w14:paraId="3FE93F43" w14:textId="77777777" w:rsidTr="00894126">
        <w:trPr>
          <w:cantSplit/>
          <w:trHeight w:val="480"/>
        </w:trPr>
        <w:tc>
          <w:tcPr>
            <w:tcW w:w="4764" w:type="dxa"/>
            <w:tcBorders>
              <w:top w:val="single" w:sz="4" w:space="0" w:color="BFBFBF" w:themeColor="background1" w:themeShade="BF"/>
            </w:tcBorders>
            <w:hideMark/>
          </w:tcPr>
          <w:p w14:paraId="5B6CD3CE" w14:textId="77777777" w:rsidR="00814857" w:rsidRDefault="00814857" w:rsidP="00894126">
            <w:pPr>
              <w:pStyle w:val="ARtabletext"/>
            </w:pPr>
            <w:r>
              <w:rPr>
                <w:noProof/>
              </w:rPr>
              <w:t>Immunisation coverage: adolescent (Year 7) students fully immunised for DTPa (diphtheria, tetanus and pertussis)</w:t>
            </w:r>
          </w:p>
        </w:tc>
        <w:tc>
          <w:tcPr>
            <w:tcW w:w="1021" w:type="dxa"/>
            <w:tcBorders>
              <w:top w:val="single" w:sz="4" w:space="0" w:color="BFBFBF" w:themeColor="background1" w:themeShade="BF"/>
            </w:tcBorders>
            <w:hideMark/>
          </w:tcPr>
          <w:p w14:paraId="79067A59" w14:textId="77777777" w:rsidR="00814857" w:rsidRDefault="00814857" w:rsidP="00894126">
            <w:pPr>
              <w:pStyle w:val="ARtabletextright"/>
            </w:pPr>
            <w:r>
              <w:rPr>
                <w:noProof/>
              </w:rPr>
              <w:t>per cent</w:t>
            </w:r>
          </w:p>
        </w:tc>
        <w:tc>
          <w:tcPr>
            <w:tcW w:w="1022" w:type="dxa"/>
            <w:tcBorders>
              <w:top w:val="single" w:sz="4" w:space="0" w:color="BFBFBF" w:themeColor="background1" w:themeShade="BF"/>
            </w:tcBorders>
            <w:hideMark/>
          </w:tcPr>
          <w:p w14:paraId="0890937C" w14:textId="77777777" w:rsidR="00814857" w:rsidRDefault="00814857" w:rsidP="00894126">
            <w:pPr>
              <w:pStyle w:val="ARtabletextright"/>
            </w:pPr>
            <w:r>
              <w:rPr>
                <w:noProof/>
              </w:rPr>
              <w:t>90</w:t>
            </w:r>
          </w:p>
        </w:tc>
        <w:tc>
          <w:tcPr>
            <w:tcW w:w="1022" w:type="dxa"/>
            <w:tcBorders>
              <w:top w:val="single" w:sz="4" w:space="0" w:color="BFBFBF" w:themeColor="background1" w:themeShade="BF"/>
            </w:tcBorders>
            <w:hideMark/>
          </w:tcPr>
          <w:p w14:paraId="2D76A5EF" w14:textId="77777777" w:rsidR="00814857" w:rsidRDefault="00814857" w:rsidP="00894126">
            <w:pPr>
              <w:pStyle w:val="ARtabletextright"/>
            </w:pPr>
            <w:r>
              <w:rPr>
                <w:noProof/>
              </w:rPr>
              <w:t>81.2</w:t>
            </w:r>
          </w:p>
        </w:tc>
        <w:tc>
          <w:tcPr>
            <w:tcW w:w="1022" w:type="dxa"/>
            <w:tcBorders>
              <w:top w:val="single" w:sz="4" w:space="0" w:color="BFBFBF" w:themeColor="background1" w:themeShade="BF"/>
            </w:tcBorders>
            <w:hideMark/>
          </w:tcPr>
          <w:p w14:paraId="3BC889E8" w14:textId="77777777" w:rsidR="00814857" w:rsidRDefault="00814857" w:rsidP="00894126">
            <w:pPr>
              <w:pStyle w:val="ARtabletextright"/>
            </w:pPr>
            <w:r>
              <w:rPr>
                <w:noProof/>
              </w:rPr>
              <w:t>-9.8</w:t>
            </w:r>
          </w:p>
        </w:tc>
        <w:tc>
          <w:tcPr>
            <w:tcW w:w="794" w:type="dxa"/>
            <w:tcBorders>
              <w:top w:val="single" w:sz="4" w:space="0" w:color="BFBFBF" w:themeColor="background1" w:themeShade="BF"/>
            </w:tcBorders>
            <w:hideMark/>
          </w:tcPr>
          <w:p w14:paraId="175F5915" w14:textId="77777777" w:rsidR="00814857" w:rsidRDefault="00814857" w:rsidP="00894126">
            <w:pPr>
              <w:pStyle w:val="ARtabletextright"/>
            </w:pPr>
            <w:r>
              <w:sym w:font="Wingdings" w:char="F06E"/>
            </w:r>
          </w:p>
        </w:tc>
      </w:tr>
      <w:tr w:rsidR="00814857" w14:paraId="3D156809" w14:textId="77777777" w:rsidTr="00894126">
        <w:trPr>
          <w:cantSplit/>
          <w:trHeight w:val="240"/>
        </w:trPr>
        <w:tc>
          <w:tcPr>
            <w:tcW w:w="9645" w:type="dxa"/>
            <w:gridSpan w:val="6"/>
            <w:tcBorders>
              <w:top w:val="nil"/>
              <w:left w:val="nil"/>
              <w:bottom w:val="single" w:sz="4" w:space="0" w:color="BFBFBF"/>
              <w:right w:val="nil"/>
            </w:tcBorders>
            <w:noWrap/>
            <w:hideMark/>
          </w:tcPr>
          <w:p w14:paraId="722CD5DD" w14:textId="190B4DC1" w:rsidR="00814857" w:rsidRDefault="00814857" w:rsidP="00894126">
            <w:pPr>
              <w:pStyle w:val="ARtablenoteindent"/>
            </w:pPr>
            <w:r>
              <w:rPr>
                <w:noProof/>
              </w:rPr>
              <w:t xml:space="preserve">This measurement is data for </w:t>
            </w:r>
            <w:r w:rsidR="001F4A28">
              <w:rPr>
                <w:noProof/>
              </w:rPr>
              <w:t>s</w:t>
            </w:r>
            <w:r>
              <w:rPr>
                <w:noProof/>
              </w:rPr>
              <w:t xml:space="preserve">chool Year 7 adolescents vaccinated at a school session or where it is indicated on their returned consent card that they have previously had the injection elsewhere (general practice). It does not include </w:t>
            </w:r>
            <w:r w:rsidR="001F4A28">
              <w:rPr>
                <w:noProof/>
              </w:rPr>
              <w:t>s</w:t>
            </w:r>
            <w:r>
              <w:rPr>
                <w:noProof/>
              </w:rPr>
              <w:t>chool Year 7 adolescents that return consent cards declining vaccination at school and then proceed to have vaccination elsewhere. These vaccinations are not measurable from the Australian Immunisation Register with no indicated School Year level being indicated on individuals’ records.</w:t>
            </w:r>
          </w:p>
        </w:tc>
      </w:tr>
      <w:tr w:rsidR="00814857" w14:paraId="7FCED7B8" w14:textId="77777777" w:rsidTr="00894126">
        <w:trPr>
          <w:cantSplit/>
          <w:trHeight w:val="480"/>
        </w:trPr>
        <w:tc>
          <w:tcPr>
            <w:tcW w:w="4764" w:type="dxa"/>
            <w:tcBorders>
              <w:bottom w:val="single" w:sz="4" w:space="0" w:color="BFBFBF" w:themeColor="background1" w:themeShade="BF"/>
            </w:tcBorders>
            <w:hideMark/>
          </w:tcPr>
          <w:p w14:paraId="7944F8B5" w14:textId="77777777" w:rsidR="00814857" w:rsidRDefault="00814857" w:rsidP="00894126">
            <w:pPr>
              <w:pStyle w:val="ARtabletext"/>
            </w:pPr>
            <w:r>
              <w:rPr>
                <w:noProof/>
              </w:rPr>
              <w:lastRenderedPageBreak/>
              <w:t>Immunisation coverage: At school entry</w:t>
            </w:r>
          </w:p>
        </w:tc>
        <w:tc>
          <w:tcPr>
            <w:tcW w:w="1021" w:type="dxa"/>
            <w:tcBorders>
              <w:bottom w:val="single" w:sz="4" w:space="0" w:color="BFBFBF" w:themeColor="background1" w:themeShade="BF"/>
            </w:tcBorders>
            <w:hideMark/>
          </w:tcPr>
          <w:p w14:paraId="660636FB" w14:textId="77777777" w:rsidR="00814857" w:rsidRDefault="00814857" w:rsidP="00894126">
            <w:pPr>
              <w:pStyle w:val="ARtabletextright"/>
            </w:pPr>
            <w:r>
              <w:rPr>
                <w:noProof/>
              </w:rPr>
              <w:t>per cent</w:t>
            </w:r>
          </w:p>
        </w:tc>
        <w:tc>
          <w:tcPr>
            <w:tcW w:w="1022" w:type="dxa"/>
            <w:tcBorders>
              <w:bottom w:val="single" w:sz="4" w:space="0" w:color="BFBFBF" w:themeColor="background1" w:themeShade="BF"/>
            </w:tcBorders>
            <w:hideMark/>
          </w:tcPr>
          <w:p w14:paraId="17782582" w14:textId="77777777" w:rsidR="00814857" w:rsidRDefault="00814857" w:rsidP="00894126">
            <w:pPr>
              <w:pStyle w:val="ARtabletextright"/>
            </w:pPr>
            <w:r>
              <w:rPr>
                <w:noProof/>
              </w:rPr>
              <w:t>95</w:t>
            </w:r>
          </w:p>
        </w:tc>
        <w:tc>
          <w:tcPr>
            <w:tcW w:w="1022" w:type="dxa"/>
            <w:tcBorders>
              <w:bottom w:val="single" w:sz="4" w:space="0" w:color="BFBFBF" w:themeColor="background1" w:themeShade="BF"/>
            </w:tcBorders>
            <w:hideMark/>
          </w:tcPr>
          <w:p w14:paraId="7743BC66" w14:textId="77777777" w:rsidR="00814857" w:rsidRDefault="00814857" w:rsidP="00894126">
            <w:pPr>
              <w:pStyle w:val="ARtabletextright"/>
            </w:pPr>
            <w:r>
              <w:rPr>
                <w:noProof/>
              </w:rPr>
              <w:t>95.7</w:t>
            </w:r>
          </w:p>
        </w:tc>
        <w:tc>
          <w:tcPr>
            <w:tcW w:w="1022" w:type="dxa"/>
            <w:tcBorders>
              <w:bottom w:val="single" w:sz="4" w:space="0" w:color="BFBFBF" w:themeColor="background1" w:themeShade="BF"/>
            </w:tcBorders>
            <w:hideMark/>
          </w:tcPr>
          <w:p w14:paraId="7C9F7C87" w14:textId="77777777" w:rsidR="00814857" w:rsidRDefault="00814857" w:rsidP="00894126">
            <w:pPr>
              <w:pStyle w:val="ARtabletextright"/>
            </w:pPr>
            <w:r>
              <w:rPr>
                <w:noProof/>
              </w:rPr>
              <w:t>0.7</w:t>
            </w:r>
          </w:p>
        </w:tc>
        <w:tc>
          <w:tcPr>
            <w:tcW w:w="794" w:type="dxa"/>
            <w:tcBorders>
              <w:bottom w:val="single" w:sz="4" w:space="0" w:color="BFBFBF" w:themeColor="background1" w:themeShade="BF"/>
            </w:tcBorders>
            <w:hideMark/>
          </w:tcPr>
          <w:p w14:paraId="0D794167" w14:textId="77777777" w:rsidR="00814857" w:rsidRDefault="00814857" w:rsidP="00894126">
            <w:pPr>
              <w:pStyle w:val="ARtabletextright"/>
            </w:pPr>
            <w:r>
              <w:sym w:font="Wingdings" w:char="F0FC"/>
            </w:r>
          </w:p>
        </w:tc>
      </w:tr>
      <w:tr w:rsidR="00814857" w14:paraId="06AF0426"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3D369CBD" w14:textId="77777777" w:rsidR="00814857" w:rsidRDefault="00814857" w:rsidP="00894126">
            <w:pPr>
              <w:pStyle w:val="ARtabletext"/>
            </w:pPr>
            <w:r>
              <w:rPr>
                <w:noProof/>
              </w:rPr>
              <w:t>Immunisation coverage: At two years of age</w:t>
            </w:r>
          </w:p>
        </w:tc>
        <w:tc>
          <w:tcPr>
            <w:tcW w:w="1021" w:type="dxa"/>
            <w:tcBorders>
              <w:top w:val="single" w:sz="4" w:space="0" w:color="BFBFBF" w:themeColor="background1" w:themeShade="BF"/>
              <w:bottom w:val="single" w:sz="4" w:space="0" w:color="BFBFBF" w:themeColor="background1" w:themeShade="BF"/>
            </w:tcBorders>
            <w:hideMark/>
          </w:tcPr>
          <w:p w14:paraId="7327D1E7" w14:textId="77777777" w:rsidR="00814857" w:rsidRDefault="00814857" w:rsidP="00894126">
            <w:pPr>
              <w:pStyle w:val="ARtabletextright"/>
            </w:pPr>
            <w:r>
              <w:rPr>
                <w:noProof/>
              </w:rPr>
              <w:t>per cent</w:t>
            </w:r>
          </w:p>
        </w:tc>
        <w:tc>
          <w:tcPr>
            <w:tcW w:w="1022" w:type="dxa"/>
            <w:tcBorders>
              <w:top w:val="single" w:sz="4" w:space="0" w:color="BFBFBF" w:themeColor="background1" w:themeShade="BF"/>
              <w:bottom w:val="single" w:sz="4" w:space="0" w:color="BFBFBF" w:themeColor="background1" w:themeShade="BF"/>
            </w:tcBorders>
            <w:hideMark/>
          </w:tcPr>
          <w:p w14:paraId="59AC838D" w14:textId="77777777" w:rsidR="00814857" w:rsidRDefault="00814857" w:rsidP="00894126">
            <w:pPr>
              <w:pStyle w:val="ARtabletextright"/>
            </w:pPr>
            <w:r>
              <w:rPr>
                <w:noProof/>
              </w:rPr>
              <w:t>95</w:t>
            </w:r>
          </w:p>
        </w:tc>
        <w:tc>
          <w:tcPr>
            <w:tcW w:w="1022" w:type="dxa"/>
            <w:tcBorders>
              <w:top w:val="single" w:sz="4" w:space="0" w:color="BFBFBF" w:themeColor="background1" w:themeShade="BF"/>
              <w:bottom w:val="single" w:sz="4" w:space="0" w:color="BFBFBF" w:themeColor="background1" w:themeShade="BF"/>
            </w:tcBorders>
            <w:hideMark/>
          </w:tcPr>
          <w:p w14:paraId="4A3FA325" w14:textId="77777777" w:rsidR="00814857" w:rsidRDefault="00814857" w:rsidP="00894126">
            <w:pPr>
              <w:pStyle w:val="ARtabletextright"/>
            </w:pPr>
            <w:r>
              <w:rPr>
                <w:noProof/>
              </w:rPr>
              <w:t>92</w:t>
            </w:r>
          </w:p>
        </w:tc>
        <w:tc>
          <w:tcPr>
            <w:tcW w:w="1022" w:type="dxa"/>
            <w:tcBorders>
              <w:top w:val="single" w:sz="4" w:space="0" w:color="BFBFBF" w:themeColor="background1" w:themeShade="BF"/>
              <w:bottom w:val="single" w:sz="4" w:space="0" w:color="BFBFBF" w:themeColor="background1" w:themeShade="BF"/>
            </w:tcBorders>
            <w:hideMark/>
          </w:tcPr>
          <w:p w14:paraId="0662A400" w14:textId="77777777" w:rsidR="00814857" w:rsidRDefault="00814857" w:rsidP="00894126">
            <w:pPr>
              <w:pStyle w:val="ARtabletextright"/>
            </w:pPr>
            <w:r>
              <w:rPr>
                <w:noProof/>
              </w:rPr>
              <w:t>-3.2</w:t>
            </w:r>
          </w:p>
        </w:tc>
        <w:tc>
          <w:tcPr>
            <w:tcW w:w="794" w:type="dxa"/>
            <w:tcBorders>
              <w:top w:val="single" w:sz="4" w:space="0" w:color="BFBFBF" w:themeColor="background1" w:themeShade="BF"/>
              <w:bottom w:val="single" w:sz="4" w:space="0" w:color="BFBFBF" w:themeColor="background1" w:themeShade="BF"/>
            </w:tcBorders>
            <w:hideMark/>
          </w:tcPr>
          <w:p w14:paraId="113A5A83" w14:textId="77777777" w:rsidR="00814857" w:rsidRDefault="00814857" w:rsidP="00894126">
            <w:pPr>
              <w:pStyle w:val="ARtabletextright"/>
            </w:pPr>
            <w:r w:rsidRPr="007939DD">
              <w:sym w:font="Wingdings 2" w:char="F099"/>
            </w:r>
          </w:p>
        </w:tc>
      </w:tr>
      <w:tr w:rsidR="00814857" w14:paraId="301AE28D" w14:textId="77777777" w:rsidTr="00894126">
        <w:trPr>
          <w:cantSplit/>
          <w:trHeight w:val="480"/>
        </w:trPr>
        <w:tc>
          <w:tcPr>
            <w:tcW w:w="4764" w:type="dxa"/>
            <w:tcBorders>
              <w:top w:val="single" w:sz="4" w:space="0" w:color="BFBFBF" w:themeColor="background1" w:themeShade="BF"/>
            </w:tcBorders>
            <w:hideMark/>
          </w:tcPr>
          <w:p w14:paraId="033ECDE5" w14:textId="77777777" w:rsidR="00814857" w:rsidRDefault="00814857" w:rsidP="00894126">
            <w:pPr>
              <w:pStyle w:val="ARtabletext"/>
            </w:pPr>
            <w:r>
              <w:rPr>
                <w:noProof/>
              </w:rPr>
              <w:t>Public Health emergency response calls dealt with within designated plans and procedure timelines</w:t>
            </w:r>
          </w:p>
        </w:tc>
        <w:tc>
          <w:tcPr>
            <w:tcW w:w="1021" w:type="dxa"/>
            <w:tcBorders>
              <w:top w:val="single" w:sz="4" w:space="0" w:color="BFBFBF" w:themeColor="background1" w:themeShade="BF"/>
            </w:tcBorders>
            <w:hideMark/>
          </w:tcPr>
          <w:p w14:paraId="1B6D847D" w14:textId="77777777" w:rsidR="00814857" w:rsidRDefault="00814857" w:rsidP="00894126">
            <w:pPr>
              <w:pStyle w:val="ARtabletextright"/>
            </w:pPr>
            <w:r>
              <w:rPr>
                <w:noProof/>
              </w:rPr>
              <w:t>per cent</w:t>
            </w:r>
          </w:p>
        </w:tc>
        <w:tc>
          <w:tcPr>
            <w:tcW w:w="1022" w:type="dxa"/>
            <w:tcBorders>
              <w:top w:val="single" w:sz="4" w:space="0" w:color="BFBFBF" w:themeColor="background1" w:themeShade="BF"/>
            </w:tcBorders>
            <w:hideMark/>
          </w:tcPr>
          <w:p w14:paraId="53806F07" w14:textId="77777777" w:rsidR="00814857" w:rsidRDefault="00814857" w:rsidP="00894126">
            <w:pPr>
              <w:pStyle w:val="ARtabletextright"/>
            </w:pPr>
            <w:r>
              <w:rPr>
                <w:noProof/>
              </w:rPr>
              <w:t>100</w:t>
            </w:r>
          </w:p>
        </w:tc>
        <w:tc>
          <w:tcPr>
            <w:tcW w:w="1022" w:type="dxa"/>
            <w:tcBorders>
              <w:top w:val="single" w:sz="4" w:space="0" w:color="BFBFBF" w:themeColor="background1" w:themeShade="BF"/>
            </w:tcBorders>
            <w:hideMark/>
          </w:tcPr>
          <w:p w14:paraId="01303231" w14:textId="77777777" w:rsidR="00814857" w:rsidRDefault="00814857" w:rsidP="00894126">
            <w:pPr>
              <w:pStyle w:val="ARtabletextright"/>
            </w:pPr>
            <w:r>
              <w:rPr>
                <w:noProof/>
              </w:rPr>
              <w:t>100</w:t>
            </w:r>
          </w:p>
        </w:tc>
        <w:tc>
          <w:tcPr>
            <w:tcW w:w="1022" w:type="dxa"/>
            <w:tcBorders>
              <w:top w:val="single" w:sz="4" w:space="0" w:color="BFBFBF" w:themeColor="background1" w:themeShade="BF"/>
            </w:tcBorders>
            <w:hideMark/>
          </w:tcPr>
          <w:p w14:paraId="310242B1" w14:textId="77777777" w:rsidR="00814857" w:rsidRDefault="00814857" w:rsidP="00894126">
            <w:pPr>
              <w:pStyle w:val="ARtabletextright"/>
            </w:pPr>
            <w:r>
              <w:rPr>
                <w:noProof/>
              </w:rPr>
              <w:t>0.0</w:t>
            </w:r>
          </w:p>
        </w:tc>
        <w:tc>
          <w:tcPr>
            <w:tcW w:w="794" w:type="dxa"/>
            <w:tcBorders>
              <w:top w:val="single" w:sz="4" w:space="0" w:color="BFBFBF" w:themeColor="background1" w:themeShade="BF"/>
            </w:tcBorders>
            <w:hideMark/>
          </w:tcPr>
          <w:p w14:paraId="3EC53F51" w14:textId="77777777" w:rsidR="00814857" w:rsidRDefault="00814857" w:rsidP="00894126">
            <w:pPr>
              <w:pStyle w:val="ARtabletextright"/>
            </w:pPr>
            <w:r>
              <w:sym w:font="Wingdings" w:char="F0FC"/>
            </w:r>
          </w:p>
        </w:tc>
      </w:tr>
      <w:tr w:rsidR="00EC65CE" w14:paraId="112D4924" w14:textId="77777777" w:rsidTr="00A05EB7">
        <w:trPr>
          <w:cantSplit/>
          <w:trHeight w:val="240"/>
        </w:trPr>
        <w:tc>
          <w:tcPr>
            <w:tcW w:w="9645" w:type="dxa"/>
            <w:gridSpan w:val="6"/>
            <w:tcBorders>
              <w:top w:val="single" w:sz="4" w:space="0" w:color="auto"/>
              <w:left w:val="nil"/>
              <w:bottom w:val="nil"/>
              <w:right w:val="nil"/>
            </w:tcBorders>
            <w:hideMark/>
          </w:tcPr>
          <w:p w14:paraId="6DC3F224" w14:textId="0E5DBD09" w:rsidR="00EC65CE" w:rsidRDefault="00EC65CE" w:rsidP="00617D9C">
            <w:pPr>
              <w:pStyle w:val="ARtablegreybold"/>
            </w:pPr>
            <w:r>
              <w:t>Timeliness</w:t>
            </w:r>
          </w:p>
        </w:tc>
      </w:tr>
      <w:tr w:rsidR="00814857" w14:paraId="189F3F35" w14:textId="77777777" w:rsidTr="00894126">
        <w:trPr>
          <w:cantSplit/>
          <w:trHeight w:val="480"/>
        </w:trPr>
        <w:tc>
          <w:tcPr>
            <w:tcW w:w="4764" w:type="dxa"/>
            <w:tcBorders>
              <w:bottom w:val="single" w:sz="4" w:space="0" w:color="BFBFBF" w:themeColor="background1" w:themeShade="BF"/>
            </w:tcBorders>
            <w:hideMark/>
          </w:tcPr>
          <w:p w14:paraId="115B9983" w14:textId="77777777" w:rsidR="00814857" w:rsidRDefault="00814857" w:rsidP="00894126">
            <w:pPr>
              <w:pStyle w:val="ARtabletext"/>
            </w:pPr>
            <w:r>
              <w:rPr>
                <w:noProof/>
              </w:rPr>
              <w:t>Average time taken from notification of a food complaint to commencement of appropriate action</w:t>
            </w:r>
          </w:p>
        </w:tc>
        <w:tc>
          <w:tcPr>
            <w:tcW w:w="1021" w:type="dxa"/>
            <w:tcBorders>
              <w:bottom w:val="single" w:sz="4" w:space="0" w:color="BFBFBF" w:themeColor="background1" w:themeShade="BF"/>
            </w:tcBorders>
            <w:hideMark/>
          </w:tcPr>
          <w:p w14:paraId="021CE93F" w14:textId="77777777" w:rsidR="00814857" w:rsidRDefault="00814857" w:rsidP="00894126">
            <w:pPr>
              <w:pStyle w:val="ARtabletextright"/>
            </w:pPr>
            <w:r>
              <w:rPr>
                <w:noProof/>
              </w:rPr>
              <w:t>number</w:t>
            </w:r>
          </w:p>
        </w:tc>
        <w:tc>
          <w:tcPr>
            <w:tcW w:w="1022" w:type="dxa"/>
            <w:tcBorders>
              <w:bottom w:val="single" w:sz="4" w:space="0" w:color="BFBFBF" w:themeColor="background1" w:themeShade="BF"/>
            </w:tcBorders>
            <w:hideMark/>
          </w:tcPr>
          <w:p w14:paraId="2A2CC146" w14:textId="77777777" w:rsidR="00814857" w:rsidRDefault="00814857" w:rsidP="00894126">
            <w:pPr>
              <w:pStyle w:val="ARtabletextright"/>
            </w:pPr>
            <w:r>
              <w:rPr>
                <w:noProof/>
              </w:rPr>
              <w:t>24</w:t>
            </w:r>
          </w:p>
        </w:tc>
        <w:tc>
          <w:tcPr>
            <w:tcW w:w="1022" w:type="dxa"/>
            <w:tcBorders>
              <w:bottom w:val="single" w:sz="4" w:space="0" w:color="BFBFBF" w:themeColor="background1" w:themeShade="BF"/>
            </w:tcBorders>
            <w:hideMark/>
          </w:tcPr>
          <w:p w14:paraId="11FF546E" w14:textId="77777777" w:rsidR="00814857" w:rsidRDefault="00814857" w:rsidP="00894126">
            <w:pPr>
              <w:pStyle w:val="ARtabletextright"/>
            </w:pPr>
            <w:r>
              <w:rPr>
                <w:noProof/>
              </w:rPr>
              <w:t>24</w:t>
            </w:r>
          </w:p>
        </w:tc>
        <w:tc>
          <w:tcPr>
            <w:tcW w:w="1022" w:type="dxa"/>
            <w:tcBorders>
              <w:bottom w:val="single" w:sz="4" w:space="0" w:color="BFBFBF" w:themeColor="background1" w:themeShade="BF"/>
            </w:tcBorders>
            <w:hideMark/>
          </w:tcPr>
          <w:p w14:paraId="0B56BAB5" w14:textId="77777777" w:rsidR="00814857" w:rsidRDefault="00814857" w:rsidP="00894126">
            <w:pPr>
              <w:pStyle w:val="ARtabletextright"/>
            </w:pPr>
            <w:r>
              <w:rPr>
                <w:noProof/>
              </w:rPr>
              <w:t>0.0</w:t>
            </w:r>
          </w:p>
        </w:tc>
        <w:tc>
          <w:tcPr>
            <w:tcW w:w="794" w:type="dxa"/>
            <w:tcBorders>
              <w:bottom w:val="single" w:sz="4" w:space="0" w:color="BFBFBF" w:themeColor="background1" w:themeShade="BF"/>
            </w:tcBorders>
            <w:hideMark/>
          </w:tcPr>
          <w:p w14:paraId="194574D1" w14:textId="77777777" w:rsidR="00814857" w:rsidRDefault="00814857" w:rsidP="00894126">
            <w:pPr>
              <w:pStyle w:val="ARtabletextright"/>
            </w:pPr>
            <w:r>
              <w:sym w:font="Wingdings" w:char="F0FC"/>
            </w:r>
          </w:p>
        </w:tc>
      </w:tr>
      <w:tr w:rsidR="00814857" w14:paraId="05633CAF"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3048A075" w14:textId="77777777" w:rsidR="00814857" w:rsidRDefault="00814857" w:rsidP="00894126">
            <w:pPr>
              <w:pStyle w:val="ARtabletext"/>
            </w:pPr>
            <w:r>
              <w:rPr>
                <w:noProof/>
              </w:rPr>
              <w:t>Infectious disease outbreaks responded to within 24 hours</w:t>
            </w:r>
          </w:p>
        </w:tc>
        <w:tc>
          <w:tcPr>
            <w:tcW w:w="1021" w:type="dxa"/>
            <w:tcBorders>
              <w:top w:val="single" w:sz="4" w:space="0" w:color="BFBFBF" w:themeColor="background1" w:themeShade="BF"/>
              <w:bottom w:val="single" w:sz="4" w:space="0" w:color="BFBFBF" w:themeColor="background1" w:themeShade="BF"/>
            </w:tcBorders>
            <w:hideMark/>
          </w:tcPr>
          <w:p w14:paraId="6D4077ED" w14:textId="77777777" w:rsidR="00814857" w:rsidRDefault="00814857" w:rsidP="00894126">
            <w:pPr>
              <w:pStyle w:val="ARtabletextright"/>
            </w:pPr>
            <w:r>
              <w:rPr>
                <w:noProof/>
              </w:rPr>
              <w:t>per cent</w:t>
            </w:r>
          </w:p>
        </w:tc>
        <w:tc>
          <w:tcPr>
            <w:tcW w:w="1022" w:type="dxa"/>
            <w:tcBorders>
              <w:top w:val="single" w:sz="4" w:space="0" w:color="BFBFBF" w:themeColor="background1" w:themeShade="BF"/>
              <w:bottom w:val="single" w:sz="4" w:space="0" w:color="BFBFBF" w:themeColor="background1" w:themeShade="BF"/>
            </w:tcBorders>
            <w:hideMark/>
          </w:tcPr>
          <w:p w14:paraId="5D45AD9E" w14:textId="77777777" w:rsidR="00814857" w:rsidRDefault="00814857" w:rsidP="00894126">
            <w:pPr>
              <w:pStyle w:val="ARtabletextright"/>
            </w:pPr>
            <w:r>
              <w:rPr>
                <w:noProof/>
              </w:rPr>
              <w:t>100</w:t>
            </w:r>
          </w:p>
        </w:tc>
        <w:tc>
          <w:tcPr>
            <w:tcW w:w="1022" w:type="dxa"/>
            <w:tcBorders>
              <w:top w:val="single" w:sz="4" w:space="0" w:color="BFBFBF" w:themeColor="background1" w:themeShade="BF"/>
              <w:bottom w:val="single" w:sz="4" w:space="0" w:color="BFBFBF" w:themeColor="background1" w:themeShade="BF"/>
            </w:tcBorders>
            <w:hideMark/>
          </w:tcPr>
          <w:p w14:paraId="55225D3D" w14:textId="77777777" w:rsidR="00814857" w:rsidRDefault="00814857" w:rsidP="00894126">
            <w:pPr>
              <w:pStyle w:val="ARtabletextright"/>
            </w:pPr>
            <w:r>
              <w:rPr>
                <w:noProof/>
              </w:rPr>
              <w:t>100</w:t>
            </w:r>
          </w:p>
        </w:tc>
        <w:tc>
          <w:tcPr>
            <w:tcW w:w="1022" w:type="dxa"/>
            <w:tcBorders>
              <w:top w:val="single" w:sz="4" w:space="0" w:color="BFBFBF" w:themeColor="background1" w:themeShade="BF"/>
              <w:bottom w:val="single" w:sz="4" w:space="0" w:color="BFBFBF" w:themeColor="background1" w:themeShade="BF"/>
            </w:tcBorders>
            <w:hideMark/>
          </w:tcPr>
          <w:p w14:paraId="225FDB02" w14:textId="77777777" w:rsidR="00814857" w:rsidRDefault="00814857" w:rsidP="00894126">
            <w:pPr>
              <w:pStyle w:val="ARtabletextright"/>
            </w:pPr>
            <w:r>
              <w:rPr>
                <w:noProof/>
              </w:rPr>
              <w:t>0.0</w:t>
            </w:r>
          </w:p>
        </w:tc>
        <w:tc>
          <w:tcPr>
            <w:tcW w:w="794" w:type="dxa"/>
            <w:tcBorders>
              <w:top w:val="single" w:sz="4" w:space="0" w:color="BFBFBF" w:themeColor="background1" w:themeShade="BF"/>
              <w:bottom w:val="single" w:sz="4" w:space="0" w:color="BFBFBF" w:themeColor="background1" w:themeShade="BF"/>
            </w:tcBorders>
            <w:hideMark/>
          </w:tcPr>
          <w:p w14:paraId="52619A24" w14:textId="77777777" w:rsidR="00814857" w:rsidRDefault="00814857" w:rsidP="00894126">
            <w:pPr>
              <w:pStyle w:val="ARtabletextright"/>
            </w:pPr>
            <w:r>
              <w:sym w:font="Wingdings" w:char="F0FC"/>
            </w:r>
          </w:p>
        </w:tc>
      </w:tr>
      <w:tr w:rsidR="00814857" w14:paraId="0848C29D"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4B1BC4BD" w14:textId="77777777" w:rsidR="00814857" w:rsidRDefault="00814857" w:rsidP="00894126">
            <w:pPr>
              <w:pStyle w:val="ARtabletext"/>
            </w:pPr>
            <w:r>
              <w:rPr>
                <w:noProof/>
              </w:rPr>
              <w:t>Participation rate of women in target age range screened for breast cancer</w:t>
            </w:r>
          </w:p>
        </w:tc>
        <w:tc>
          <w:tcPr>
            <w:tcW w:w="1021" w:type="dxa"/>
            <w:tcBorders>
              <w:top w:val="single" w:sz="4" w:space="0" w:color="BFBFBF" w:themeColor="background1" w:themeShade="BF"/>
              <w:bottom w:val="single" w:sz="4" w:space="0" w:color="BFBFBF" w:themeColor="background1" w:themeShade="BF"/>
            </w:tcBorders>
            <w:hideMark/>
          </w:tcPr>
          <w:p w14:paraId="03576539" w14:textId="77777777" w:rsidR="00814857" w:rsidRDefault="00814857" w:rsidP="00894126">
            <w:pPr>
              <w:pStyle w:val="ARtabletextright"/>
            </w:pPr>
            <w:r>
              <w:rPr>
                <w:noProof/>
              </w:rPr>
              <w:t>per cent</w:t>
            </w:r>
          </w:p>
        </w:tc>
        <w:tc>
          <w:tcPr>
            <w:tcW w:w="1022" w:type="dxa"/>
            <w:tcBorders>
              <w:top w:val="single" w:sz="4" w:space="0" w:color="BFBFBF" w:themeColor="background1" w:themeShade="BF"/>
              <w:bottom w:val="single" w:sz="4" w:space="0" w:color="BFBFBF" w:themeColor="background1" w:themeShade="BF"/>
            </w:tcBorders>
            <w:hideMark/>
          </w:tcPr>
          <w:p w14:paraId="4AD2F806" w14:textId="77777777" w:rsidR="00814857" w:rsidRDefault="00814857" w:rsidP="00894126">
            <w:pPr>
              <w:pStyle w:val="ARtabletextright"/>
            </w:pPr>
            <w:r>
              <w:rPr>
                <w:noProof/>
              </w:rPr>
              <w:t>54</w:t>
            </w:r>
          </w:p>
        </w:tc>
        <w:tc>
          <w:tcPr>
            <w:tcW w:w="1022" w:type="dxa"/>
            <w:tcBorders>
              <w:top w:val="single" w:sz="4" w:space="0" w:color="BFBFBF" w:themeColor="background1" w:themeShade="BF"/>
              <w:bottom w:val="single" w:sz="4" w:space="0" w:color="BFBFBF" w:themeColor="background1" w:themeShade="BF"/>
            </w:tcBorders>
            <w:hideMark/>
          </w:tcPr>
          <w:p w14:paraId="1A81E07D" w14:textId="77777777" w:rsidR="00814857" w:rsidRDefault="00814857" w:rsidP="00894126">
            <w:pPr>
              <w:pStyle w:val="ARtabletextright"/>
            </w:pPr>
            <w:r>
              <w:rPr>
                <w:noProof/>
              </w:rPr>
              <w:t>53.7</w:t>
            </w:r>
          </w:p>
        </w:tc>
        <w:tc>
          <w:tcPr>
            <w:tcW w:w="1022" w:type="dxa"/>
            <w:tcBorders>
              <w:top w:val="single" w:sz="4" w:space="0" w:color="BFBFBF" w:themeColor="background1" w:themeShade="BF"/>
              <w:bottom w:val="single" w:sz="4" w:space="0" w:color="BFBFBF" w:themeColor="background1" w:themeShade="BF"/>
            </w:tcBorders>
            <w:hideMark/>
          </w:tcPr>
          <w:p w14:paraId="038DDAE1" w14:textId="77777777" w:rsidR="00814857" w:rsidRDefault="00814857" w:rsidP="00894126">
            <w:pPr>
              <w:pStyle w:val="ARtabletextright"/>
            </w:pPr>
            <w:r>
              <w:rPr>
                <w:noProof/>
              </w:rPr>
              <w:t>-0.6</w:t>
            </w:r>
          </w:p>
        </w:tc>
        <w:tc>
          <w:tcPr>
            <w:tcW w:w="794" w:type="dxa"/>
            <w:tcBorders>
              <w:top w:val="single" w:sz="4" w:space="0" w:color="BFBFBF" w:themeColor="background1" w:themeShade="BF"/>
              <w:bottom w:val="single" w:sz="4" w:space="0" w:color="BFBFBF" w:themeColor="background1" w:themeShade="BF"/>
            </w:tcBorders>
            <w:hideMark/>
          </w:tcPr>
          <w:p w14:paraId="74129771" w14:textId="77777777" w:rsidR="00814857" w:rsidRDefault="00814857" w:rsidP="00894126">
            <w:pPr>
              <w:pStyle w:val="ARtabletextright"/>
            </w:pPr>
            <w:r w:rsidRPr="007939DD">
              <w:sym w:font="Wingdings 2" w:char="F099"/>
            </w:r>
          </w:p>
        </w:tc>
      </w:tr>
      <w:tr w:rsidR="00814857" w14:paraId="1AA8ADBD" w14:textId="77777777" w:rsidTr="00894126">
        <w:trPr>
          <w:cantSplit/>
          <w:trHeight w:val="480"/>
        </w:trPr>
        <w:tc>
          <w:tcPr>
            <w:tcW w:w="4764" w:type="dxa"/>
            <w:tcBorders>
              <w:top w:val="single" w:sz="4" w:space="0" w:color="BFBFBF" w:themeColor="background1" w:themeShade="BF"/>
            </w:tcBorders>
            <w:hideMark/>
          </w:tcPr>
          <w:p w14:paraId="6A5EBE8D" w14:textId="77777777" w:rsidR="00814857" w:rsidRDefault="00814857" w:rsidP="00894126">
            <w:pPr>
              <w:pStyle w:val="ARtabletext"/>
            </w:pPr>
            <w:r>
              <w:rPr>
                <w:noProof/>
              </w:rPr>
              <w:t>Participation rate of women in target age range screened for cervical cancer</w:t>
            </w:r>
          </w:p>
        </w:tc>
        <w:tc>
          <w:tcPr>
            <w:tcW w:w="1021" w:type="dxa"/>
            <w:tcBorders>
              <w:top w:val="single" w:sz="4" w:space="0" w:color="BFBFBF" w:themeColor="background1" w:themeShade="BF"/>
            </w:tcBorders>
            <w:hideMark/>
          </w:tcPr>
          <w:p w14:paraId="4FC105EE" w14:textId="77777777" w:rsidR="00814857" w:rsidRDefault="00814857" w:rsidP="00894126">
            <w:pPr>
              <w:pStyle w:val="ARtabletextright"/>
            </w:pPr>
            <w:r>
              <w:rPr>
                <w:noProof/>
              </w:rPr>
              <w:t>per cent</w:t>
            </w:r>
          </w:p>
        </w:tc>
        <w:tc>
          <w:tcPr>
            <w:tcW w:w="1022" w:type="dxa"/>
            <w:tcBorders>
              <w:top w:val="single" w:sz="4" w:space="0" w:color="BFBFBF" w:themeColor="background1" w:themeShade="BF"/>
            </w:tcBorders>
            <w:hideMark/>
          </w:tcPr>
          <w:p w14:paraId="3B0D6C14" w14:textId="77777777" w:rsidR="00814857" w:rsidRDefault="00814857" w:rsidP="00894126">
            <w:pPr>
              <w:pStyle w:val="ARtabletextright"/>
            </w:pPr>
            <w:r>
              <w:rPr>
                <w:noProof/>
              </w:rPr>
              <w:t>62</w:t>
            </w:r>
          </w:p>
        </w:tc>
        <w:tc>
          <w:tcPr>
            <w:tcW w:w="1022" w:type="dxa"/>
            <w:tcBorders>
              <w:top w:val="single" w:sz="4" w:space="0" w:color="BFBFBF" w:themeColor="background1" w:themeShade="BF"/>
            </w:tcBorders>
            <w:hideMark/>
          </w:tcPr>
          <w:p w14:paraId="0CF81555" w14:textId="77777777" w:rsidR="00814857" w:rsidRDefault="00814857" w:rsidP="00894126">
            <w:pPr>
              <w:pStyle w:val="ARtabletextright"/>
            </w:pPr>
            <w:r>
              <w:rPr>
                <w:noProof/>
              </w:rPr>
              <w:t>N/A</w:t>
            </w:r>
          </w:p>
        </w:tc>
        <w:tc>
          <w:tcPr>
            <w:tcW w:w="1022" w:type="dxa"/>
            <w:tcBorders>
              <w:top w:val="single" w:sz="4" w:space="0" w:color="BFBFBF" w:themeColor="background1" w:themeShade="BF"/>
            </w:tcBorders>
            <w:hideMark/>
          </w:tcPr>
          <w:p w14:paraId="24571E18" w14:textId="77777777" w:rsidR="00814857" w:rsidRDefault="00814857" w:rsidP="00894126">
            <w:pPr>
              <w:pStyle w:val="ARtabletextright"/>
            </w:pPr>
            <w:r>
              <w:rPr>
                <w:noProof/>
              </w:rPr>
              <w:t>N/A</w:t>
            </w:r>
          </w:p>
        </w:tc>
        <w:tc>
          <w:tcPr>
            <w:tcW w:w="794" w:type="dxa"/>
            <w:tcBorders>
              <w:top w:val="single" w:sz="4" w:space="0" w:color="BFBFBF" w:themeColor="background1" w:themeShade="BF"/>
            </w:tcBorders>
            <w:hideMark/>
          </w:tcPr>
          <w:p w14:paraId="3D2A4BBF" w14:textId="77777777" w:rsidR="00814857" w:rsidRDefault="00814857" w:rsidP="00894126">
            <w:pPr>
              <w:pStyle w:val="ARtabletextright"/>
              <w:rPr>
                <w:noProof/>
              </w:rPr>
            </w:pPr>
            <w:r>
              <w:rPr>
                <w:noProof/>
              </w:rPr>
              <w:t>N/A</w:t>
            </w:r>
          </w:p>
        </w:tc>
      </w:tr>
      <w:tr w:rsidR="00814857" w14:paraId="1B141BB9" w14:textId="77777777" w:rsidTr="00894126">
        <w:trPr>
          <w:cantSplit/>
          <w:trHeight w:val="240"/>
        </w:trPr>
        <w:tc>
          <w:tcPr>
            <w:tcW w:w="9645" w:type="dxa"/>
            <w:gridSpan w:val="6"/>
            <w:tcBorders>
              <w:top w:val="nil"/>
              <w:left w:val="nil"/>
              <w:bottom w:val="single" w:sz="4" w:space="0" w:color="BFBFBF"/>
              <w:right w:val="nil"/>
            </w:tcBorders>
            <w:noWrap/>
            <w:hideMark/>
          </w:tcPr>
          <w:p w14:paraId="541DECD9" w14:textId="61B2AA32" w:rsidR="00814857" w:rsidRDefault="00814857" w:rsidP="00894126">
            <w:pPr>
              <w:pStyle w:val="ARtablenoteindent"/>
            </w:pPr>
            <w:r w:rsidRPr="00676A10">
              <w:rPr>
                <w:noProof/>
              </w:rPr>
              <w:t xml:space="preserve">The participation rate of women in the target age range screened for cervical cancer is unable to measured due to changes to the National Cervical Screening Program which took effect on 1 December 2017 and data is not yet available. The Australian Institute of Health and Welfare is yet to publish participation data for the new program – this is expected to be available </w:t>
            </w:r>
            <w:r>
              <w:rPr>
                <w:noProof/>
              </w:rPr>
              <w:t>late</w:t>
            </w:r>
            <w:r w:rsidRPr="00676A10">
              <w:rPr>
                <w:noProof/>
              </w:rPr>
              <w:t xml:space="preserve"> 2019. </w:t>
            </w:r>
          </w:p>
        </w:tc>
      </w:tr>
      <w:tr w:rsidR="00EC65CE" w14:paraId="4A509DAE" w14:textId="77777777" w:rsidTr="00A05EB7">
        <w:trPr>
          <w:cantSplit/>
          <w:trHeight w:val="240"/>
        </w:trPr>
        <w:tc>
          <w:tcPr>
            <w:tcW w:w="9645" w:type="dxa"/>
            <w:gridSpan w:val="6"/>
            <w:tcBorders>
              <w:top w:val="single" w:sz="4" w:space="0" w:color="auto"/>
              <w:left w:val="nil"/>
              <w:bottom w:val="nil"/>
              <w:right w:val="nil"/>
            </w:tcBorders>
            <w:hideMark/>
          </w:tcPr>
          <w:p w14:paraId="5040357B" w14:textId="2C2AF8A1" w:rsidR="00EC65CE" w:rsidRDefault="00EC65CE" w:rsidP="00D26209">
            <w:pPr>
              <w:pStyle w:val="ARtablegreybold"/>
            </w:pPr>
            <w:r>
              <w:t>Cost</w:t>
            </w:r>
          </w:p>
        </w:tc>
      </w:tr>
      <w:tr w:rsidR="00814857" w14:paraId="657483B6" w14:textId="77777777" w:rsidTr="00894126">
        <w:trPr>
          <w:cantSplit/>
          <w:trHeight w:val="480"/>
        </w:trPr>
        <w:tc>
          <w:tcPr>
            <w:tcW w:w="4764" w:type="dxa"/>
            <w:hideMark/>
          </w:tcPr>
          <w:p w14:paraId="11BDE891" w14:textId="77777777" w:rsidR="00814857" w:rsidRPr="004305B0" w:rsidRDefault="00814857" w:rsidP="00894126">
            <w:pPr>
              <w:pStyle w:val="ARtabletext"/>
              <w:rPr>
                <w:b/>
              </w:rPr>
            </w:pPr>
            <w:r w:rsidRPr="004305B0">
              <w:rPr>
                <w:b/>
                <w:noProof/>
              </w:rPr>
              <w:t xml:space="preserve">Total </w:t>
            </w:r>
            <w:r>
              <w:rPr>
                <w:b/>
                <w:noProof/>
              </w:rPr>
              <w:t>o</w:t>
            </w:r>
            <w:r w:rsidRPr="004305B0">
              <w:rPr>
                <w:b/>
                <w:noProof/>
              </w:rPr>
              <w:t xml:space="preserve">utput </w:t>
            </w:r>
            <w:r>
              <w:rPr>
                <w:b/>
                <w:noProof/>
              </w:rPr>
              <w:t>c</w:t>
            </w:r>
            <w:r w:rsidRPr="004305B0">
              <w:rPr>
                <w:b/>
                <w:noProof/>
              </w:rPr>
              <w:t>ost</w:t>
            </w:r>
          </w:p>
        </w:tc>
        <w:tc>
          <w:tcPr>
            <w:tcW w:w="1021" w:type="dxa"/>
            <w:hideMark/>
          </w:tcPr>
          <w:p w14:paraId="3D8FB9AC" w14:textId="77777777" w:rsidR="00814857" w:rsidRPr="004305B0" w:rsidRDefault="00814857" w:rsidP="00894126">
            <w:pPr>
              <w:pStyle w:val="ARtabletextright"/>
              <w:rPr>
                <w:b/>
                <w:noProof/>
              </w:rPr>
            </w:pPr>
            <w:r w:rsidRPr="004305B0">
              <w:rPr>
                <w:b/>
                <w:noProof/>
              </w:rPr>
              <w:t>$ million</w:t>
            </w:r>
          </w:p>
        </w:tc>
        <w:tc>
          <w:tcPr>
            <w:tcW w:w="1022" w:type="dxa"/>
            <w:hideMark/>
          </w:tcPr>
          <w:p w14:paraId="4DD2E1C3" w14:textId="77777777" w:rsidR="00814857" w:rsidRPr="004305B0" w:rsidRDefault="00814857" w:rsidP="00894126">
            <w:pPr>
              <w:pStyle w:val="ARtabletextright"/>
              <w:rPr>
                <w:b/>
                <w:noProof/>
              </w:rPr>
            </w:pPr>
            <w:r w:rsidRPr="004305B0">
              <w:rPr>
                <w:b/>
                <w:noProof/>
              </w:rPr>
              <w:t>224.2</w:t>
            </w:r>
          </w:p>
        </w:tc>
        <w:tc>
          <w:tcPr>
            <w:tcW w:w="1022" w:type="dxa"/>
            <w:hideMark/>
          </w:tcPr>
          <w:p w14:paraId="2E2BCD5C" w14:textId="77777777" w:rsidR="00814857" w:rsidRPr="004305B0" w:rsidRDefault="00814857" w:rsidP="00894126">
            <w:pPr>
              <w:pStyle w:val="ARtabletextright"/>
              <w:rPr>
                <w:b/>
                <w:noProof/>
              </w:rPr>
            </w:pPr>
            <w:r w:rsidRPr="004305B0">
              <w:rPr>
                <w:b/>
                <w:noProof/>
              </w:rPr>
              <w:t>233.4</w:t>
            </w:r>
          </w:p>
        </w:tc>
        <w:tc>
          <w:tcPr>
            <w:tcW w:w="1022" w:type="dxa"/>
            <w:hideMark/>
          </w:tcPr>
          <w:p w14:paraId="6171FBE4" w14:textId="77777777" w:rsidR="00814857" w:rsidRPr="004305B0" w:rsidRDefault="00814857" w:rsidP="00894126">
            <w:pPr>
              <w:pStyle w:val="ARtabletextright"/>
              <w:rPr>
                <w:b/>
                <w:noProof/>
              </w:rPr>
            </w:pPr>
            <w:r w:rsidRPr="004305B0">
              <w:rPr>
                <w:b/>
                <w:noProof/>
              </w:rPr>
              <w:t>4.1</w:t>
            </w:r>
          </w:p>
        </w:tc>
        <w:tc>
          <w:tcPr>
            <w:tcW w:w="794" w:type="dxa"/>
            <w:hideMark/>
          </w:tcPr>
          <w:p w14:paraId="6CD93FE1" w14:textId="77777777" w:rsidR="00814857" w:rsidRPr="00D26209" w:rsidRDefault="00814857" w:rsidP="00D26209">
            <w:pPr>
              <w:pStyle w:val="ARtabletextright"/>
              <w:rPr>
                <w:b/>
                <w:noProof/>
              </w:rPr>
            </w:pPr>
          </w:p>
        </w:tc>
      </w:tr>
      <w:tr w:rsidR="00814857" w14:paraId="5A53C6DC" w14:textId="77777777" w:rsidTr="00894126">
        <w:trPr>
          <w:cantSplit/>
          <w:trHeight w:val="240"/>
        </w:trPr>
        <w:tc>
          <w:tcPr>
            <w:tcW w:w="9645" w:type="dxa"/>
            <w:gridSpan w:val="6"/>
            <w:tcBorders>
              <w:top w:val="nil"/>
              <w:left w:val="nil"/>
              <w:bottom w:val="single" w:sz="4" w:space="0" w:color="BFBFBF"/>
              <w:right w:val="nil"/>
            </w:tcBorders>
            <w:noWrap/>
            <w:hideMark/>
          </w:tcPr>
          <w:p w14:paraId="41EDC964" w14:textId="1E382C23" w:rsidR="00814857" w:rsidRDefault="00814857" w:rsidP="00894126">
            <w:pPr>
              <w:pStyle w:val="ARtablenoteindent"/>
            </w:pPr>
            <w:r>
              <w:rPr>
                <w:noProof/>
              </w:rPr>
              <w:t>The result reflects higher than estimated Commonwealth revenue for National Partnership Agreements.</w:t>
            </w:r>
          </w:p>
        </w:tc>
      </w:tr>
      <w:tr w:rsidR="00EC65CE" w14:paraId="265B5EC6"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7675F595" w14:textId="5A0D7252" w:rsidR="00EC65CE" w:rsidRPr="00D26209" w:rsidRDefault="00EC65CE" w:rsidP="00EC65CE">
            <w:pPr>
              <w:pStyle w:val="ARtablebluebold"/>
            </w:pPr>
            <w:r>
              <w:t>Health Advancement</w:t>
            </w:r>
          </w:p>
        </w:tc>
      </w:tr>
      <w:tr w:rsidR="00EC65CE" w14:paraId="665B950B" w14:textId="77777777" w:rsidTr="00A05EB7">
        <w:trPr>
          <w:cantSplit/>
          <w:trHeight w:val="240"/>
        </w:trPr>
        <w:tc>
          <w:tcPr>
            <w:tcW w:w="9645" w:type="dxa"/>
            <w:gridSpan w:val="6"/>
            <w:tcBorders>
              <w:top w:val="single" w:sz="4" w:space="0" w:color="auto"/>
              <w:left w:val="nil"/>
              <w:right w:val="nil"/>
            </w:tcBorders>
            <w:hideMark/>
          </w:tcPr>
          <w:p w14:paraId="7C1FADCD" w14:textId="47C8CB91" w:rsidR="00EC65CE" w:rsidRDefault="00EC65CE" w:rsidP="00D26209">
            <w:pPr>
              <w:pStyle w:val="ARtablegreybold"/>
            </w:pPr>
            <w:r w:rsidRPr="00D26209">
              <w:t>Quantity</w:t>
            </w:r>
          </w:p>
        </w:tc>
      </w:tr>
      <w:tr w:rsidR="00814857" w14:paraId="3EABC902" w14:textId="77777777" w:rsidTr="00894126">
        <w:trPr>
          <w:cantSplit/>
          <w:trHeight w:val="480"/>
        </w:trPr>
        <w:tc>
          <w:tcPr>
            <w:tcW w:w="4764" w:type="dxa"/>
            <w:tcBorders>
              <w:bottom w:val="single" w:sz="4" w:space="0" w:color="BFBFBF" w:themeColor="background1" w:themeShade="BF"/>
            </w:tcBorders>
            <w:hideMark/>
          </w:tcPr>
          <w:p w14:paraId="6271C5B3" w14:textId="77777777" w:rsidR="00814857" w:rsidRDefault="00814857" w:rsidP="00894126">
            <w:pPr>
              <w:pStyle w:val="ARtabletext"/>
            </w:pPr>
            <w:r>
              <w:rPr>
                <w:noProof/>
              </w:rPr>
              <w:t>Number of training courses for health professionals on sexual and reproductive health</w:t>
            </w:r>
          </w:p>
        </w:tc>
        <w:tc>
          <w:tcPr>
            <w:tcW w:w="1021" w:type="dxa"/>
            <w:tcBorders>
              <w:bottom w:val="single" w:sz="4" w:space="0" w:color="BFBFBF" w:themeColor="background1" w:themeShade="BF"/>
            </w:tcBorders>
            <w:hideMark/>
          </w:tcPr>
          <w:p w14:paraId="41BA43C9" w14:textId="77777777" w:rsidR="00814857" w:rsidRDefault="00814857" w:rsidP="00894126">
            <w:pPr>
              <w:pStyle w:val="ARtabletextright"/>
            </w:pPr>
            <w:r>
              <w:rPr>
                <w:noProof/>
              </w:rPr>
              <w:t>number</w:t>
            </w:r>
          </w:p>
        </w:tc>
        <w:tc>
          <w:tcPr>
            <w:tcW w:w="1022" w:type="dxa"/>
            <w:tcBorders>
              <w:bottom w:val="single" w:sz="4" w:space="0" w:color="BFBFBF" w:themeColor="background1" w:themeShade="BF"/>
            </w:tcBorders>
            <w:hideMark/>
          </w:tcPr>
          <w:p w14:paraId="21C7551B" w14:textId="77777777" w:rsidR="00814857" w:rsidRDefault="00814857" w:rsidP="00894126">
            <w:pPr>
              <w:pStyle w:val="ARtabletextright"/>
            </w:pPr>
            <w:r>
              <w:rPr>
                <w:noProof/>
              </w:rPr>
              <w:t>50</w:t>
            </w:r>
          </w:p>
        </w:tc>
        <w:tc>
          <w:tcPr>
            <w:tcW w:w="1022" w:type="dxa"/>
            <w:tcBorders>
              <w:bottom w:val="single" w:sz="4" w:space="0" w:color="BFBFBF" w:themeColor="background1" w:themeShade="BF"/>
            </w:tcBorders>
            <w:hideMark/>
          </w:tcPr>
          <w:p w14:paraId="7718B38A" w14:textId="77777777" w:rsidR="00814857" w:rsidRDefault="00814857" w:rsidP="00894126">
            <w:pPr>
              <w:pStyle w:val="ARtabletextright"/>
            </w:pPr>
            <w:r>
              <w:rPr>
                <w:noProof/>
              </w:rPr>
              <w:t>51</w:t>
            </w:r>
          </w:p>
        </w:tc>
        <w:tc>
          <w:tcPr>
            <w:tcW w:w="1022" w:type="dxa"/>
            <w:tcBorders>
              <w:bottom w:val="single" w:sz="4" w:space="0" w:color="BFBFBF" w:themeColor="background1" w:themeShade="BF"/>
            </w:tcBorders>
            <w:hideMark/>
          </w:tcPr>
          <w:p w14:paraId="09ACA0F5" w14:textId="77777777" w:rsidR="00814857" w:rsidRDefault="00814857" w:rsidP="00894126">
            <w:pPr>
              <w:pStyle w:val="ARtabletextright"/>
            </w:pPr>
            <w:r>
              <w:rPr>
                <w:noProof/>
              </w:rPr>
              <w:t>2.0</w:t>
            </w:r>
          </w:p>
        </w:tc>
        <w:tc>
          <w:tcPr>
            <w:tcW w:w="794" w:type="dxa"/>
            <w:tcBorders>
              <w:bottom w:val="single" w:sz="4" w:space="0" w:color="BFBFBF" w:themeColor="background1" w:themeShade="BF"/>
            </w:tcBorders>
            <w:hideMark/>
          </w:tcPr>
          <w:p w14:paraId="3EA7992A" w14:textId="77777777" w:rsidR="00814857" w:rsidRDefault="00814857" w:rsidP="00894126">
            <w:pPr>
              <w:pStyle w:val="ARtabletextright"/>
            </w:pPr>
            <w:r>
              <w:sym w:font="Wingdings" w:char="F0FC"/>
            </w:r>
          </w:p>
        </w:tc>
      </w:tr>
      <w:tr w:rsidR="00814857" w14:paraId="63239427" w14:textId="77777777" w:rsidTr="00894126">
        <w:trPr>
          <w:cantSplit/>
          <w:trHeight w:val="480"/>
        </w:trPr>
        <w:tc>
          <w:tcPr>
            <w:tcW w:w="4764" w:type="dxa"/>
            <w:tcBorders>
              <w:top w:val="single" w:sz="4" w:space="0" w:color="BFBFBF" w:themeColor="background1" w:themeShade="BF"/>
            </w:tcBorders>
            <w:hideMark/>
          </w:tcPr>
          <w:p w14:paraId="5F4B2904" w14:textId="77777777" w:rsidR="00814857" w:rsidRDefault="00814857" w:rsidP="00894126">
            <w:pPr>
              <w:pStyle w:val="ARtabletext"/>
            </w:pPr>
            <w:r>
              <w:rPr>
                <w:noProof/>
              </w:rPr>
              <w:t>Persons completing the Life! – Diabetes and Cardiovascular Disease Prevention program</w:t>
            </w:r>
          </w:p>
        </w:tc>
        <w:tc>
          <w:tcPr>
            <w:tcW w:w="1021" w:type="dxa"/>
            <w:tcBorders>
              <w:top w:val="single" w:sz="4" w:space="0" w:color="BFBFBF" w:themeColor="background1" w:themeShade="BF"/>
            </w:tcBorders>
            <w:hideMark/>
          </w:tcPr>
          <w:p w14:paraId="61716FBE" w14:textId="77777777" w:rsidR="00814857" w:rsidRDefault="00814857" w:rsidP="00894126">
            <w:pPr>
              <w:pStyle w:val="ARtabletextright"/>
            </w:pPr>
            <w:r>
              <w:rPr>
                <w:noProof/>
              </w:rPr>
              <w:t>number</w:t>
            </w:r>
          </w:p>
        </w:tc>
        <w:tc>
          <w:tcPr>
            <w:tcW w:w="1022" w:type="dxa"/>
            <w:tcBorders>
              <w:top w:val="single" w:sz="4" w:space="0" w:color="BFBFBF" w:themeColor="background1" w:themeShade="BF"/>
            </w:tcBorders>
            <w:hideMark/>
          </w:tcPr>
          <w:p w14:paraId="57D8BE70" w14:textId="77777777" w:rsidR="00814857" w:rsidRDefault="00814857" w:rsidP="00894126">
            <w:pPr>
              <w:pStyle w:val="ARtabletextright"/>
            </w:pPr>
            <w:r>
              <w:rPr>
                <w:noProof/>
              </w:rPr>
              <w:t>5,616</w:t>
            </w:r>
          </w:p>
        </w:tc>
        <w:tc>
          <w:tcPr>
            <w:tcW w:w="1022" w:type="dxa"/>
            <w:tcBorders>
              <w:top w:val="single" w:sz="4" w:space="0" w:color="BFBFBF" w:themeColor="background1" w:themeShade="BF"/>
            </w:tcBorders>
            <w:hideMark/>
          </w:tcPr>
          <w:p w14:paraId="310EB68A" w14:textId="77777777" w:rsidR="00814857" w:rsidRDefault="00814857" w:rsidP="00894126">
            <w:pPr>
              <w:pStyle w:val="ARtabletextright"/>
            </w:pPr>
            <w:r>
              <w:rPr>
                <w:noProof/>
              </w:rPr>
              <w:t>5,782</w:t>
            </w:r>
          </w:p>
        </w:tc>
        <w:tc>
          <w:tcPr>
            <w:tcW w:w="1022" w:type="dxa"/>
            <w:tcBorders>
              <w:top w:val="single" w:sz="4" w:space="0" w:color="BFBFBF" w:themeColor="background1" w:themeShade="BF"/>
            </w:tcBorders>
            <w:hideMark/>
          </w:tcPr>
          <w:p w14:paraId="1C7D9C89" w14:textId="77777777" w:rsidR="00814857" w:rsidRDefault="00814857" w:rsidP="00894126">
            <w:pPr>
              <w:pStyle w:val="ARtabletextright"/>
            </w:pPr>
            <w:r>
              <w:rPr>
                <w:noProof/>
              </w:rPr>
              <w:t>3.0</w:t>
            </w:r>
          </w:p>
        </w:tc>
        <w:tc>
          <w:tcPr>
            <w:tcW w:w="794" w:type="dxa"/>
            <w:tcBorders>
              <w:top w:val="single" w:sz="4" w:space="0" w:color="BFBFBF" w:themeColor="background1" w:themeShade="BF"/>
            </w:tcBorders>
            <w:hideMark/>
          </w:tcPr>
          <w:p w14:paraId="19EAE36D" w14:textId="77777777" w:rsidR="00814857" w:rsidRDefault="00814857" w:rsidP="00894126">
            <w:pPr>
              <w:pStyle w:val="ARtabletextright"/>
            </w:pPr>
            <w:r>
              <w:sym w:font="Wingdings" w:char="F0FC"/>
            </w:r>
          </w:p>
        </w:tc>
      </w:tr>
      <w:tr w:rsidR="00814857" w14:paraId="4125FD7D" w14:textId="77777777" w:rsidTr="00894126">
        <w:trPr>
          <w:cantSplit/>
          <w:trHeight w:val="240"/>
        </w:trPr>
        <w:tc>
          <w:tcPr>
            <w:tcW w:w="9645" w:type="dxa"/>
            <w:gridSpan w:val="6"/>
            <w:tcBorders>
              <w:top w:val="nil"/>
              <w:left w:val="nil"/>
              <w:bottom w:val="single" w:sz="4" w:space="0" w:color="BFBFBF"/>
              <w:right w:val="nil"/>
            </w:tcBorders>
            <w:noWrap/>
            <w:hideMark/>
          </w:tcPr>
          <w:p w14:paraId="66F787EA" w14:textId="77777777" w:rsidR="00814857" w:rsidRDefault="00814857" w:rsidP="00894126">
            <w:pPr>
              <w:pStyle w:val="ARtablenoteindent"/>
            </w:pPr>
            <w:r>
              <w:rPr>
                <w:noProof/>
              </w:rPr>
              <w:t>Preliminary result. Actual end-of-year results will be available late 2019.</w:t>
            </w:r>
          </w:p>
        </w:tc>
      </w:tr>
      <w:tr w:rsidR="00814857" w14:paraId="7EAA355C" w14:textId="77777777" w:rsidTr="00894126">
        <w:trPr>
          <w:cantSplit/>
          <w:trHeight w:val="480"/>
        </w:trPr>
        <w:tc>
          <w:tcPr>
            <w:tcW w:w="4764" w:type="dxa"/>
            <w:hideMark/>
          </w:tcPr>
          <w:p w14:paraId="697A8A4F" w14:textId="77777777" w:rsidR="00814857" w:rsidRDefault="00814857" w:rsidP="00894126">
            <w:pPr>
              <w:pStyle w:val="ARtabletext"/>
            </w:pPr>
            <w:r>
              <w:rPr>
                <w:noProof/>
              </w:rPr>
              <w:t>Workplaces and pubs and clubs complying with smoke free environment laws</w:t>
            </w:r>
          </w:p>
        </w:tc>
        <w:tc>
          <w:tcPr>
            <w:tcW w:w="1021" w:type="dxa"/>
            <w:hideMark/>
          </w:tcPr>
          <w:p w14:paraId="1D18FA1A" w14:textId="77777777" w:rsidR="00814857" w:rsidRDefault="00814857" w:rsidP="00894126">
            <w:pPr>
              <w:pStyle w:val="ARtabletextright"/>
            </w:pPr>
            <w:r>
              <w:rPr>
                <w:noProof/>
              </w:rPr>
              <w:t>per cent</w:t>
            </w:r>
          </w:p>
        </w:tc>
        <w:tc>
          <w:tcPr>
            <w:tcW w:w="1022" w:type="dxa"/>
            <w:hideMark/>
          </w:tcPr>
          <w:p w14:paraId="623F8585" w14:textId="77777777" w:rsidR="00814857" w:rsidRDefault="00814857" w:rsidP="00894126">
            <w:pPr>
              <w:pStyle w:val="ARtabletextright"/>
            </w:pPr>
            <w:r>
              <w:rPr>
                <w:noProof/>
              </w:rPr>
              <w:t>99</w:t>
            </w:r>
          </w:p>
        </w:tc>
        <w:tc>
          <w:tcPr>
            <w:tcW w:w="1022" w:type="dxa"/>
            <w:hideMark/>
          </w:tcPr>
          <w:p w14:paraId="39F2237F" w14:textId="77777777" w:rsidR="00814857" w:rsidRDefault="00814857" w:rsidP="00894126">
            <w:pPr>
              <w:pStyle w:val="ARtabletextright"/>
            </w:pPr>
            <w:r>
              <w:rPr>
                <w:noProof/>
              </w:rPr>
              <w:t>99</w:t>
            </w:r>
          </w:p>
        </w:tc>
        <w:tc>
          <w:tcPr>
            <w:tcW w:w="1022" w:type="dxa"/>
            <w:hideMark/>
          </w:tcPr>
          <w:p w14:paraId="1948935C" w14:textId="77777777" w:rsidR="00814857" w:rsidRDefault="00814857" w:rsidP="00894126">
            <w:pPr>
              <w:pStyle w:val="ARtabletextright"/>
            </w:pPr>
            <w:r>
              <w:rPr>
                <w:noProof/>
              </w:rPr>
              <w:t>0.0</w:t>
            </w:r>
          </w:p>
        </w:tc>
        <w:tc>
          <w:tcPr>
            <w:tcW w:w="794" w:type="dxa"/>
            <w:hideMark/>
          </w:tcPr>
          <w:p w14:paraId="1049EA32" w14:textId="77777777" w:rsidR="00814857" w:rsidRDefault="00814857" w:rsidP="00894126">
            <w:pPr>
              <w:pStyle w:val="ARtabletextright"/>
            </w:pPr>
            <w:r>
              <w:sym w:font="Wingdings" w:char="F0FC"/>
            </w:r>
          </w:p>
        </w:tc>
      </w:tr>
      <w:tr w:rsidR="00814857" w14:paraId="1546B034" w14:textId="77777777" w:rsidTr="00894126">
        <w:trPr>
          <w:cantSplit/>
          <w:trHeight w:val="240"/>
        </w:trPr>
        <w:tc>
          <w:tcPr>
            <w:tcW w:w="9645" w:type="dxa"/>
            <w:gridSpan w:val="6"/>
            <w:tcBorders>
              <w:top w:val="nil"/>
              <w:left w:val="nil"/>
              <w:bottom w:val="single" w:sz="4" w:space="0" w:color="BFBFBF"/>
              <w:right w:val="nil"/>
            </w:tcBorders>
            <w:noWrap/>
            <w:hideMark/>
          </w:tcPr>
          <w:p w14:paraId="62CE0946" w14:textId="77777777" w:rsidR="00814857" w:rsidRDefault="00814857" w:rsidP="00894126">
            <w:pPr>
              <w:pStyle w:val="ARtablenoteindent"/>
            </w:pPr>
            <w:r>
              <w:rPr>
                <w:noProof/>
              </w:rPr>
              <w:t>Preliminary result. Actual end-of-year results will be available late 2019.</w:t>
            </w:r>
          </w:p>
        </w:tc>
      </w:tr>
      <w:tr w:rsidR="00EC65CE" w14:paraId="10BDF79D" w14:textId="77777777" w:rsidTr="00A05EB7">
        <w:trPr>
          <w:cantSplit/>
          <w:trHeight w:val="240"/>
        </w:trPr>
        <w:tc>
          <w:tcPr>
            <w:tcW w:w="9645" w:type="dxa"/>
            <w:gridSpan w:val="6"/>
            <w:tcBorders>
              <w:top w:val="single" w:sz="4" w:space="0" w:color="auto"/>
              <w:left w:val="nil"/>
              <w:bottom w:val="nil"/>
              <w:right w:val="nil"/>
            </w:tcBorders>
            <w:hideMark/>
          </w:tcPr>
          <w:p w14:paraId="2E190412" w14:textId="76EC1ED4" w:rsidR="00EC65CE" w:rsidRDefault="00EC65CE" w:rsidP="00D26209">
            <w:pPr>
              <w:pStyle w:val="ARtablegreybold"/>
            </w:pPr>
            <w:r w:rsidRPr="00D26209">
              <w:t>Quality</w:t>
            </w:r>
          </w:p>
        </w:tc>
      </w:tr>
      <w:tr w:rsidR="00814857" w14:paraId="2386F025" w14:textId="77777777" w:rsidTr="00894126">
        <w:trPr>
          <w:cantSplit/>
          <w:trHeight w:val="480"/>
        </w:trPr>
        <w:tc>
          <w:tcPr>
            <w:tcW w:w="4764" w:type="dxa"/>
            <w:hideMark/>
          </w:tcPr>
          <w:p w14:paraId="62D10A0A" w14:textId="77777777" w:rsidR="00814857" w:rsidRDefault="00814857" w:rsidP="00894126">
            <w:pPr>
              <w:pStyle w:val="ARtabletext"/>
            </w:pPr>
            <w:r>
              <w:rPr>
                <w:noProof/>
              </w:rPr>
              <w:t>Local Government Authorities with Municipal Public Health and Wellbeing Plans</w:t>
            </w:r>
          </w:p>
        </w:tc>
        <w:tc>
          <w:tcPr>
            <w:tcW w:w="1021" w:type="dxa"/>
            <w:hideMark/>
          </w:tcPr>
          <w:p w14:paraId="087B10D5" w14:textId="77777777" w:rsidR="00814857" w:rsidRDefault="00814857" w:rsidP="00894126">
            <w:pPr>
              <w:pStyle w:val="ARtabletextright"/>
            </w:pPr>
            <w:r>
              <w:rPr>
                <w:noProof/>
              </w:rPr>
              <w:t>per cent</w:t>
            </w:r>
          </w:p>
        </w:tc>
        <w:tc>
          <w:tcPr>
            <w:tcW w:w="1022" w:type="dxa"/>
            <w:hideMark/>
          </w:tcPr>
          <w:p w14:paraId="74415DC5" w14:textId="77777777" w:rsidR="00814857" w:rsidRDefault="00814857" w:rsidP="00894126">
            <w:pPr>
              <w:pStyle w:val="ARtabletextright"/>
            </w:pPr>
            <w:r>
              <w:rPr>
                <w:noProof/>
              </w:rPr>
              <w:t>100</w:t>
            </w:r>
          </w:p>
        </w:tc>
        <w:tc>
          <w:tcPr>
            <w:tcW w:w="1022" w:type="dxa"/>
            <w:hideMark/>
          </w:tcPr>
          <w:p w14:paraId="0AB736B8" w14:textId="77777777" w:rsidR="00814857" w:rsidRDefault="00814857" w:rsidP="00894126">
            <w:pPr>
              <w:pStyle w:val="ARtabletextright"/>
            </w:pPr>
            <w:r>
              <w:rPr>
                <w:noProof/>
              </w:rPr>
              <w:t>100</w:t>
            </w:r>
          </w:p>
        </w:tc>
        <w:tc>
          <w:tcPr>
            <w:tcW w:w="1022" w:type="dxa"/>
            <w:hideMark/>
          </w:tcPr>
          <w:p w14:paraId="31BAF6E7" w14:textId="77777777" w:rsidR="00814857" w:rsidRDefault="00814857" w:rsidP="00894126">
            <w:pPr>
              <w:pStyle w:val="ARtabletextright"/>
            </w:pPr>
            <w:r>
              <w:rPr>
                <w:noProof/>
              </w:rPr>
              <w:t>0.0</w:t>
            </w:r>
          </w:p>
        </w:tc>
        <w:tc>
          <w:tcPr>
            <w:tcW w:w="794" w:type="dxa"/>
            <w:hideMark/>
          </w:tcPr>
          <w:p w14:paraId="6C9ECF63" w14:textId="77777777" w:rsidR="00814857" w:rsidRDefault="00814857" w:rsidP="00894126">
            <w:pPr>
              <w:pStyle w:val="ARtabletextright"/>
            </w:pPr>
            <w:r>
              <w:sym w:font="Wingdings" w:char="F0FC"/>
            </w:r>
          </w:p>
        </w:tc>
      </w:tr>
      <w:tr w:rsidR="00EC65CE" w14:paraId="74F956C5" w14:textId="77777777" w:rsidTr="00A05EB7">
        <w:trPr>
          <w:cantSplit/>
          <w:trHeight w:val="240"/>
        </w:trPr>
        <w:tc>
          <w:tcPr>
            <w:tcW w:w="9645" w:type="dxa"/>
            <w:gridSpan w:val="6"/>
            <w:tcBorders>
              <w:top w:val="single" w:sz="4" w:space="0" w:color="auto"/>
              <w:left w:val="nil"/>
              <w:bottom w:val="nil"/>
              <w:right w:val="nil"/>
            </w:tcBorders>
            <w:hideMark/>
          </w:tcPr>
          <w:p w14:paraId="16206CC4" w14:textId="2334EBB4" w:rsidR="00EC65CE" w:rsidRDefault="00EC65CE" w:rsidP="00D26209">
            <w:pPr>
              <w:pStyle w:val="ARtablegreybold"/>
            </w:pPr>
            <w:r w:rsidRPr="00D26209">
              <w:t>Cost</w:t>
            </w:r>
          </w:p>
        </w:tc>
      </w:tr>
      <w:tr w:rsidR="00814857" w14:paraId="5214CD43" w14:textId="77777777" w:rsidTr="00894126">
        <w:trPr>
          <w:cantSplit/>
          <w:trHeight w:val="480"/>
        </w:trPr>
        <w:tc>
          <w:tcPr>
            <w:tcW w:w="4764" w:type="dxa"/>
            <w:hideMark/>
          </w:tcPr>
          <w:p w14:paraId="1C82ACEB" w14:textId="77777777" w:rsidR="00814857" w:rsidRPr="004305B0" w:rsidRDefault="00814857" w:rsidP="00894126">
            <w:pPr>
              <w:pStyle w:val="ARtabletext"/>
              <w:rPr>
                <w:b/>
              </w:rPr>
            </w:pPr>
            <w:r w:rsidRPr="004305B0">
              <w:rPr>
                <w:b/>
                <w:noProof/>
              </w:rPr>
              <w:t xml:space="preserve">Total </w:t>
            </w:r>
            <w:r>
              <w:rPr>
                <w:b/>
                <w:noProof/>
              </w:rPr>
              <w:t>o</w:t>
            </w:r>
            <w:r w:rsidRPr="004305B0">
              <w:rPr>
                <w:b/>
                <w:noProof/>
              </w:rPr>
              <w:t xml:space="preserve">utput </w:t>
            </w:r>
            <w:r>
              <w:rPr>
                <w:b/>
                <w:noProof/>
              </w:rPr>
              <w:t>c</w:t>
            </w:r>
            <w:r w:rsidRPr="004305B0">
              <w:rPr>
                <w:b/>
                <w:noProof/>
              </w:rPr>
              <w:t>ost</w:t>
            </w:r>
          </w:p>
        </w:tc>
        <w:tc>
          <w:tcPr>
            <w:tcW w:w="1021" w:type="dxa"/>
            <w:hideMark/>
          </w:tcPr>
          <w:p w14:paraId="5C3075D5" w14:textId="77777777" w:rsidR="00814857" w:rsidRPr="004305B0" w:rsidRDefault="00814857" w:rsidP="00894126">
            <w:pPr>
              <w:pStyle w:val="ARtabletextright"/>
              <w:rPr>
                <w:b/>
              </w:rPr>
            </w:pPr>
            <w:r w:rsidRPr="004305B0">
              <w:rPr>
                <w:b/>
                <w:noProof/>
              </w:rPr>
              <w:t>$</w:t>
            </w:r>
            <w:r>
              <w:rPr>
                <w:b/>
                <w:noProof/>
              </w:rPr>
              <w:t xml:space="preserve"> </w:t>
            </w:r>
            <w:r w:rsidRPr="004305B0">
              <w:rPr>
                <w:b/>
                <w:noProof/>
              </w:rPr>
              <w:t>million</w:t>
            </w:r>
          </w:p>
        </w:tc>
        <w:tc>
          <w:tcPr>
            <w:tcW w:w="1022" w:type="dxa"/>
            <w:hideMark/>
          </w:tcPr>
          <w:p w14:paraId="4A254AA3" w14:textId="77777777" w:rsidR="00814857" w:rsidRPr="004305B0" w:rsidRDefault="00814857" w:rsidP="00894126">
            <w:pPr>
              <w:pStyle w:val="ARtabletextright"/>
              <w:rPr>
                <w:b/>
              </w:rPr>
            </w:pPr>
            <w:r w:rsidRPr="004305B0">
              <w:rPr>
                <w:b/>
                <w:noProof/>
              </w:rPr>
              <w:t>79.7</w:t>
            </w:r>
          </w:p>
        </w:tc>
        <w:tc>
          <w:tcPr>
            <w:tcW w:w="1022" w:type="dxa"/>
            <w:hideMark/>
          </w:tcPr>
          <w:p w14:paraId="13AD3C63" w14:textId="77777777" w:rsidR="00814857" w:rsidRPr="004305B0" w:rsidRDefault="00814857" w:rsidP="00894126">
            <w:pPr>
              <w:pStyle w:val="ARtabletextright"/>
              <w:rPr>
                <w:b/>
              </w:rPr>
            </w:pPr>
            <w:r w:rsidRPr="004305B0">
              <w:rPr>
                <w:b/>
                <w:noProof/>
              </w:rPr>
              <w:t>77.8</w:t>
            </w:r>
          </w:p>
        </w:tc>
        <w:tc>
          <w:tcPr>
            <w:tcW w:w="1022" w:type="dxa"/>
            <w:hideMark/>
          </w:tcPr>
          <w:p w14:paraId="77F26E63" w14:textId="77777777" w:rsidR="00814857" w:rsidRPr="004305B0" w:rsidRDefault="00814857" w:rsidP="00894126">
            <w:pPr>
              <w:pStyle w:val="ARtabletextright"/>
              <w:rPr>
                <w:b/>
              </w:rPr>
            </w:pPr>
            <w:r w:rsidRPr="004305B0">
              <w:rPr>
                <w:b/>
                <w:noProof/>
              </w:rPr>
              <w:t>-2.4</w:t>
            </w:r>
          </w:p>
        </w:tc>
        <w:tc>
          <w:tcPr>
            <w:tcW w:w="794" w:type="dxa"/>
            <w:hideMark/>
          </w:tcPr>
          <w:p w14:paraId="2A81D6A9" w14:textId="77777777" w:rsidR="00814857" w:rsidRPr="004305B0" w:rsidRDefault="00814857" w:rsidP="00D26209">
            <w:pPr>
              <w:pStyle w:val="ARtabletextright"/>
              <w:rPr>
                <w:b/>
              </w:rPr>
            </w:pPr>
          </w:p>
        </w:tc>
      </w:tr>
      <w:tr w:rsidR="00814857" w14:paraId="19AB16B8" w14:textId="77777777" w:rsidTr="00894126">
        <w:trPr>
          <w:cantSplit/>
          <w:trHeight w:val="240"/>
        </w:trPr>
        <w:tc>
          <w:tcPr>
            <w:tcW w:w="9645" w:type="dxa"/>
            <w:gridSpan w:val="6"/>
            <w:tcBorders>
              <w:top w:val="nil"/>
              <w:left w:val="nil"/>
              <w:bottom w:val="single" w:sz="4" w:space="0" w:color="BFBFBF"/>
              <w:right w:val="nil"/>
            </w:tcBorders>
            <w:noWrap/>
            <w:hideMark/>
          </w:tcPr>
          <w:p w14:paraId="03136234" w14:textId="77777777" w:rsidR="00814857" w:rsidRDefault="00814857" w:rsidP="00894126">
            <w:pPr>
              <w:pStyle w:val="ARtablenoteindent"/>
            </w:pPr>
            <w:r>
              <w:rPr>
                <w:noProof/>
              </w:rPr>
              <w:t>The 2018–19 actual outcome primarily reflects output realignment across outputs.</w:t>
            </w:r>
          </w:p>
        </w:tc>
      </w:tr>
      <w:tr w:rsidR="00EC65CE" w14:paraId="5DC78F3C"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21448C50" w14:textId="300C5B2C" w:rsidR="00EC65CE" w:rsidRDefault="00EC65CE" w:rsidP="00EC65CE">
            <w:pPr>
              <w:pStyle w:val="ARtablebluebold"/>
            </w:pPr>
            <w:r>
              <w:t>Public Health Development, Research and Support</w:t>
            </w:r>
          </w:p>
        </w:tc>
      </w:tr>
      <w:tr w:rsidR="00EC65CE" w14:paraId="0CE19C09" w14:textId="77777777" w:rsidTr="00A05EB7">
        <w:trPr>
          <w:cantSplit/>
          <w:trHeight w:val="240"/>
        </w:trPr>
        <w:tc>
          <w:tcPr>
            <w:tcW w:w="9645" w:type="dxa"/>
            <w:gridSpan w:val="6"/>
            <w:tcBorders>
              <w:top w:val="single" w:sz="4" w:space="0" w:color="auto"/>
              <w:left w:val="nil"/>
              <w:bottom w:val="nil"/>
              <w:right w:val="nil"/>
            </w:tcBorders>
            <w:hideMark/>
          </w:tcPr>
          <w:p w14:paraId="411CE748" w14:textId="51CD2169" w:rsidR="00EC65CE" w:rsidRDefault="00EC65CE" w:rsidP="00D26209">
            <w:pPr>
              <w:pStyle w:val="ARtablegreybold"/>
            </w:pPr>
            <w:r w:rsidRPr="00D26209">
              <w:t>Quantity</w:t>
            </w:r>
          </w:p>
        </w:tc>
      </w:tr>
      <w:tr w:rsidR="00814857" w14:paraId="5EB921F1" w14:textId="77777777" w:rsidTr="00894126">
        <w:trPr>
          <w:cantSplit/>
          <w:trHeight w:val="480"/>
        </w:trPr>
        <w:tc>
          <w:tcPr>
            <w:tcW w:w="4764" w:type="dxa"/>
            <w:hideMark/>
          </w:tcPr>
          <w:p w14:paraId="462BC7CE" w14:textId="77777777" w:rsidR="00814857" w:rsidRDefault="00814857" w:rsidP="00894126">
            <w:pPr>
              <w:pStyle w:val="ARtabletext"/>
            </w:pPr>
            <w:r>
              <w:rPr>
                <w:noProof/>
              </w:rPr>
              <w:t>Number of people trained in emergency response</w:t>
            </w:r>
          </w:p>
        </w:tc>
        <w:tc>
          <w:tcPr>
            <w:tcW w:w="1021" w:type="dxa"/>
            <w:hideMark/>
          </w:tcPr>
          <w:p w14:paraId="189D0F11" w14:textId="77777777" w:rsidR="00814857" w:rsidRDefault="00814857" w:rsidP="00894126">
            <w:pPr>
              <w:pStyle w:val="ARtabletextright"/>
            </w:pPr>
            <w:r>
              <w:rPr>
                <w:noProof/>
              </w:rPr>
              <w:t>number</w:t>
            </w:r>
          </w:p>
        </w:tc>
        <w:tc>
          <w:tcPr>
            <w:tcW w:w="1022" w:type="dxa"/>
            <w:hideMark/>
          </w:tcPr>
          <w:p w14:paraId="5C57C1DC" w14:textId="77777777" w:rsidR="00814857" w:rsidRDefault="00814857" w:rsidP="00894126">
            <w:pPr>
              <w:pStyle w:val="ARtabletextright"/>
            </w:pPr>
            <w:r>
              <w:rPr>
                <w:noProof/>
              </w:rPr>
              <w:t>2,000</w:t>
            </w:r>
          </w:p>
        </w:tc>
        <w:tc>
          <w:tcPr>
            <w:tcW w:w="1022" w:type="dxa"/>
            <w:hideMark/>
          </w:tcPr>
          <w:p w14:paraId="2DB50817" w14:textId="77777777" w:rsidR="00814857" w:rsidRDefault="00814857" w:rsidP="00894126">
            <w:pPr>
              <w:pStyle w:val="ARtabletextright"/>
            </w:pPr>
            <w:r>
              <w:rPr>
                <w:noProof/>
              </w:rPr>
              <w:t>2,982</w:t>
            </w:r>
          </w:p>
        </w:tc>
        <w:tc>
          <w:tcPr>
            <w:tcW w:w="1022" w:type="dxa"/>
            <w:hideMark/>
          </w:tcPr>
          <w:p w14:paraId="150414CD" w14:textId="77777777" w:rsidR="00814857" w:rsidRDefault="00814857" w:rsidP="00894126">
            <w:pPr>
              <w:pStyle w:val="ARtabletextright"/>
            </w:pPr>
            <w:r>
              <w:rPr>
                <w:noProof/>
              </w:rPr>
              <w:t>49.1</w:t>
            </w:r>
          </w:p>
        </w:tc>
        <w:tc>
          <w:tcPr>
            <w:tcW w:w="794" w:type="dxa"/>
            <w:hideMark/>
          </w:tcPr>
          <w:p w14:paraId="589ECA06" w14:textId="77777777" w:rsidR="00814857" w:rsidRDefault="00814857" w:rsidP="00894126">
            <w:pPr>
              <w:pStyle w:val="ARtabletextright"/>
            </w:pPr>
            <w:r>
              <w:sym w:font="Wingdings" w:char="F0FC"/>
            </w:r>
          </w:p>
        </w:tc>
      </w:tr>
      <w:tr w:rsidR="00814857" w14:paraId="6FC289E8" w14:textId="77777777" w:rsidTr="00894126">
        <w:trPr>
          <w:cantSplit/>
          <w:trHeight w:val="240"/>
        </w:trPr>
        <w:tc>
          <w:tcPr>
            <w:tcW w:w="9645" w:type="dxa"/>
            <w:gridSpan w:val="6"/>
            <w:tcBorders>
              <w:top w:val="nil"/>
              <w:left w:val="nil"/>
              <w:bottom w:val="single" w:sz="4" w:space="0" w:color="BFBFBF"/>
              <w:right w:val="nil"/>
            </w:tcBorders>
            <w:noWrap/>
            <w:hideMark/>
          </w:tcPr>
          <w:p w14:paraId="7F580B9D" w14:textId="2D1ADEED" w:rsidR="00814857" w:rsidRDefault="00814857" w:rsidP="00894126">
            <w:pPr>
              <w:pStyle w:val="ARtablenoteindent"/>
            </w:pPr>
            <w:r>
              <w:rPr>
                <w:noProof/>
              </w:rPr>
              <w:t xml:space="preserve">The department broadened the scope of its performance measure to include training for emergency preparedness, planning, response, relief and recovery across all its </w:t>
            </w:r>
            <w:r w:rsidR="001F4A28">
              <w:rPr>
                <w:noProof/>
              </w:rPr>
              <w:t>o</w:t>
            </w:r>
            <w:r>
              <w:rPr>
                <w:noProof/>
              </w:rPr>
              <w:t xml:space="preserve">perations </w:t>
            </w:r>
            <w:r w:rsidR="001F4A28">
              <w:rPr>
                <w:noProof/>
              </w:rPr>
              <w:t>d</w:t>
            </w:r>
            <w:r>
              <w:rPr>
                <w:noProof/>
              </w:rPr>
              <w:t>ivisions. This lead to a higher full-year result than the target and is illustrative of the department's investment in building emergency management capability and capacity. This is a positive result.</w:t>
            </w:r>
          </w:p>
        </w:tc>
      </w:tr>
      <w:tr w:rsidR="00814857" w14:paraId="16385F8D" w14:textId="77777777" w:rsidTr="00894126">
        <w:trPr>
          <w:cantSplit/>
          <w:trHeight w:val="480"/>
        </w:trPr>
        <w:tc>
          <w:tcPr>
            <w:tcW w:w="4764" w:type="dxa"/>
            <w:hideMark/>
          </w:tcPr>
          <w:p w14:paraId="15317D7F" w14:textId="77777777" w:rsidR="00814857" w:rsidRDefault="00814857" w:rsidP="00894126">
            <w:pPr>
              <w:pStyle w:val="ARtabletext"/>
            </w:pPr>
            <w:r>
              <w:rPr>
                <w:noProof/>
              </w:rPr>
              <w:lastRenderedPageBreak/>
              <w:t>Operational infrastructure support grants under management</w:t>
            </w:r>
          </w:p>
        </w:tc>
        <w:tc>
          <w:tcPr>
            <w:tcW w:w="1021" w:type="dxa"/>
            <w:hideMark/>
          </w:tcPr>
          <w:p w14:paraId="26A8407D" w14:textId="77777777" w:rsidR="00814857" w:rsidRDefault="00814857" w:rsidP="00894126">
            <w:pPr>
              <w:pStyle w:val="ARtabletextright"/>
            </w:pPr>
            <w:r>
              <w:rPr>
                <w:noProof/>
              </w:rPr>
              <w:t>number</w:t>
            </w:r>
          </w:p>
        </w:tc>
        <w:tc>
          <w:tcPr>
            <w:tcW w:w="1022" w:type="dxa"/>
            <w:hideMark/>
          </w:tcPr>
          <w:p w14:paraId="1FBEBC9A" w14:textId="77777777" w:rsidR="00814857" w:rsidRDefault="00814857" w:rsidP="00894126">
            <w:pPr>
              <w:pStyle w:val="ARtabletextright"/>
            </w:pPr>
            <w:r>
              <w:rPr>
                <w:noProof/>
              </w:rPr>
              <w:t>12</w:t>
            </w:r>
          </w:p>
        </w:tc>
        <w:tc>
          <w:tcPr>
            <w:tcW w:w="1022" w:type="dxa"/>
            <w:hideMark/>
          </w:tcPr>
          <w:p w14:paraId="73561478" w14:textId="77777777" w:rsidR="00814857" w:rsidRDefault="00814857" w:rsidP="00894126">
            <w:pPr>
              <w:pStyle w:val="ARtabletextright"/>
            </w:pPr>
            <w:r>
              <w:rPr>
                <w:noProof/>
              </w:rPr>
              <w:t>12</w:t>
            </w:r>
          </w:p>
        </w:tc>
        <w:tc>
          <w:tcPr>
            <w:tcW w:w="1022" w:type="dxa"/>
            <w:hideMark/>
          </w:tcPr>
          <w:p w14:paraId="485C2618" w14:textId="77777777" w:rsidR="00814857" w:rsidRDefault="00814857" w:rsidP="00894126">
            <w:pPr>
              <w:pStyle w:val="ARtabletextright"/>
            </w:pPr>
            <w:r>
              <w:rPr>
                <w:noProof/>
              </w:rPr>
              <w:t>0.0</w:t>
            </w:r>
          </w:p>
        </w:tc>
        <w:tc>
          <w:tcPr>
            <w:tcW w:w="794" w:type="dxa"/>
            <w:hideMark/>
          </w:tcPr>
          <w:p w14:paraId="122E5325" w14:textId="77777777" w:rsidR="00814857" w:rsidRDefault="00814857" w:rsidP="00894126">
            <w:pPr>
              <w:pStyle w:val="ARtabletextright"/>
            </w:pPr>
            <w:r>
              <w:sym w:font="Wingdings" w:char="F0FC"/>
            </w:r>
          </w:p>
        </w:tc>
      </w:tr>
      <w:tr w:rsidR="00EC65CE" w14:paraId="43A1B42A" w14:textId="77777777" w:rsidTr="00A05EB7">
        <w:trPr>
          <w:cantSplit/>
          <w:trHeight w:val="240"/>
        </w:trPr>
        <w:tc>
          <w:tcPr>
            <w:tcW w:w="9645" w:type="dxa"/>
            <w:gridSpan w:val="6"/>
            <w:tcBorders>
              <w:top w:val="single" w:sz="4" w:space="0" w:color="auto"/>
              <w:left w:val="nil"/>
              <w:bottom w:val="nil"/>
              <w:right w:val="nil"/>
            </w:tcBorders>
            <w:hideMark/>
          </w:tcPr>
          <w:p w14:paraId="719D891B" w14:textId="00A7A1D1" w:rsidR="00EC65CE" w:rsidRDefault="00EC65CE" w:rsidP="00D26209">
            <w:pPr>
              <w:pStyle w:val="ARtablegreybold"/>
            </w:pPr>
            <w:r w:rsidRPr="00D26209">
              <w:t>Cost</w:t>
            </w:r>
          </w:p>
        </w:tc>
      </w:tr>
      <w:tr w:rsidR="00814857" w14:paraId="65CF906F" w14:textId="77777777" w:rsidTr="00A25D5D">
        <w:trPr>
          <w:cantSplit/>
          <w:trHeight w:val="480"/>
        </w:trPr>
        <w:tc>
          <w:tcPr>
            <w:tcW w:w="4764" w:type="dxa"/>
            <w:hideMark/>
          </w:tcPr>
          <w:p w14:paraId="2D8983B4" w14:textId="77777777" w:rsidR="00814857" w:rsidRPr="004305B0" w:rsidRDefault="00814857" w:rsidP="00894126">
            <w:pPr>
              <w:pStyle w:val="ARtabletext"/>
              <w:rPr>
                <w:b/>
              </w:rPr>
            </w:pPr>
            <w:r w:rsidRPr="004305B0">
              <w:rPr>
                <w:b/>
                <w:noProof/>
              </w:rPr>
              <w:t xml:space="preserve">Total </w:t>
            </w:r>
            <w:r>
              <w:rPr>
                <w:b/>
                <w:noProof/>
              </w:rPr>
              <w:t>o</w:t>
            </w:r>
            <w:r w:rsidRPr="004305B0">
              <w:rPr>
                <w:b/>
                <w:noProof/>
              </w:rPr>
              <w:t xml:space="preserve">utput </w:t>
            </w:r>
            <w:r>
              <w:rPr>
                <w:b/>
                <w:noProof/>
              </w:rPr>
              <w:t>c</w:t>
            </w:r>
            <w:r w:rsidRPr="004305B0">
              <w:rPr>
                <w:b/>
                <w:noProof/>
              </w:rPr>
              <w:t>ost</w:t>
            </w:r>
          </w:p>
        </w:tc>
        <w:tc>
          <w:tcPr>
            <w:tcW w:w="1021" w:type="dxa"/>
            <w:hideMark/>
          </w:tcPr>
          <w:p w14:paraId="0F8E5F12" w14:textId="77777777" w:rsidR="00814857" w:rsidRPr="004305B0" w:rsidRDefault="00814857" w:rsidP="00894126">
            <w:pPr>
              <w:pStyle w:val="ARtabletextright"/>
              <w:rPr>
                <w:b/>
              </w:rPr>
            </w:pPr>
            <w:r w:rsidRPr="004305B0">
              <w:rPr>
                <w:b/>
                <w:noProof/>
              </w:rPr>
              <w:t>$ million</w:t>
            </w:r>
          </w:p>
        </w:tc>
        <w:tc>
          <w:tcPr>
            <w:tcW w:w="1022" w:type="dxa"/>
            <w:hideMark/>
          </w:tcPr>
          <w:p w14:paraId="63E1DE60" w14:textId="77777777" w:rsidR="00814857" w:rsidRPr="004305B0" w:rsidRDefault="00814857" w:rsidP="00894126">
            <w:pPr>
              <w:pStyle w:val="ARtabletextright"/>
              <w:rPr>
                <w:b/>
              </w:rPr>
            </w:pPr>
            <w:r w:rsidRPr="004305B0">
              <w:rPr>
                <w:b/>
                <w:noProof/>
              </w:rPr>
              <w:t>65.1</w:t>
            </w:r>
          </w:p>
        </w:tc>
        <w:tc>
          <w:tcPr>
            <w:tcW w:w="1022" w:type="dxa"/>
            <w:hideMark/>
          </w:tcPr>
          <w:p w14:paraId="6B1CE27D" w14:textId="77777777" w:rsidR="00814857" w:rsidRPr="004305B0" w:rsidRDefault="00814857" w:rsidP="00894126">
            <w:pPr>
              <w:pStyle w:val="ARtabletextright"/>
              <w:rPr>
                <w:b/>
              </w:rPr>
            </w:pPr>
            <w:r w:rsidRPr="004305B0">
              <w:rPr>
                <w:b/>
                <w:noProof/>
              </w:rPr>
              <w:t>69.9</w:t>
            </w:r>
          </w:p>
        </w:tc>
        <w:tc>
          <w:tcPr>
            <w:tcW w:w="1022" w:type="dxa"/>
            <w:hideMark/>
          </w:tcPr>
          <w:p w14:paraId="4E29B88A" w14:textId="77777777" w:rsidR="00814857" w:rsidRPr="004305B0" w:rsidRDefault="00814857" w:rsidP="00894126">
            <w:pPr>
              <w:pStyle w:val="ARtabletextright"/>
              <w:rPr>
                <w:b/>
              </w:rPr>
            </w:pPr>
            <w:r w:rsidRPr="004305B0">
              <w:rPr>
                <w:b/>
                <w:noProof/>
              </w:rPr>
              <w:t>7.3</w:t>
            </w:r>
          </w:p>
        </w:tc>
        <w:tc>
          <w:tcPr>
            <w:tcW w:w="794" w:type="dxa"/>
            <w:hideMark/>
          </w:tcPr>
          <w:p w14:paraId="31996BF6" w14:textId="77777777" w:rsidR="00814857" w:rsidRPr="004305B0" w:rsidRDefault="00814857" w:rsidP="00D26209">
            <w:pPr>
              <w:pStyle w:val="ARtabletextright"/>
              <w:rPr>
                <w:b/>
              </w:rPr>
            </w:pPr>
          </w:p>
        </w:tc>
      </w:tr>
      <w:tr w:rsidR="00814857" w14:paraId="7713C3E7" w14:textId="77777777" w:rsidTr="00A25D5D">
        <w:trPr>
          <w:cantSplit/>
          <w:trHeight w:val="240"/>
        </w:trPr>
        <w:tc>
          <w:tcPr>
            <w:tcW w:w="9645" w:type="dxa"/>
            <w:gridSpan w:val="6"/>
            <w:tcBorders>
              <w:top w:val="nil"/>
              <w:left w:val="nil"/>
              <w:bottom w:val="single" w:sz="4" w:space="0" w:color="auto"/>
              <w:right w:val="nil"/>
            </w:tcBorders>
            <w:noWrap/>
            <w:hideMark/>
          </w:tcPr>
          <w:p w14:paraId="66E4EAE2" w14:textId="77777777" w:rsidR="00814857" w:rsidRDefault="00814857" w:rsidP="00894126">
            <w:pPr>
              <w:pStyle w:val="ARtablenoteindent"/>
            </w:pPr>
            <w:r>
              <w:rPr>
                <w:noProof/>
              </w:rPr>
              <w:t>The 2018–19 actual outcome primarily reflects output realignment across outputs and increased expenditure for the Victorian Medical Research Strategy.</w:t>
            </w:r>
          </w:p>
        </w:tc>
      </w:tr>
    </w:tbl>
    <w:p w14:paraId="4C4F7306" w14:textId="77777777" w:rsidR="00814857" w:rsidRDefault="00814857" w:rsidP="002909DA">
      <w:pPr>
        <w:pStyle w:val="Heading2"/>
      </w:pPr>
      <w:bookmarkStart w:id="77" w:name="_Toc18954481"/>
      <w:bookmarkStart w:id="78" w:name="_Toc18955083"/>
      <w:r>
        <w:t>Small Rural Services</w:t>
      </w:r>
      <w:bookmarkEnd w:id="77"/>
      <w:bookmarkEnd w:id="78"/>
    </w:p>
    <w:p w14:paraId="1EFC7BA2" w14:textId="77777777" w:rsidR="00814857" w:rsidRPr="00030BBE" w:rsidRDefault="00814857" w:rsidP="00617D9C">
      <w:pPr>
        <w:pStyle w:val="ARbody"/>
      </w:pPr>
      <w:r>
        <w:t>This output includes a range of health and aged care services delivered in small rural towns. The funding and service delivery approach focuses on achieving a sustainable, flexible service mix that is responsive to local needs. Service providers include small rural hospitals, community health services, bush nursing centres, multipurpose services and public sector residential aged care services.</w:t>
      </w:r>
    </w:p>
    <w:tbl>
      <w:tblPr>
        <w:tblW w:w="9645" w:type="dxa"/>
        <w:tblLayout w:type="fixed"/>
        <w:tblCellMar>
          <w:left w:w="0" w:type="dxa"/>
        </w:tblCellMar>
        <w:tblLook w:val="04A0" w:firstRow="1" w:lastRow="0" w:firstColumn="1" w:lastColumn="0" w:noHBand="0" w:noVBand="1"/>
      </w:tblPr>
      <w:tblGrid>
        <w:gridCol w:w="4764"/>
        <w:gridCol w:w="768"/>
        <w:gridCol w:w="253"/>
        <w:gridCol w:w="1022"/>
        <w:gridCol w:w="1022"/>
        <w:gridCol w:w="1022"/>
        <w:gridCol w:w="794"/>
      </w:tblGrid>
      <w:tr w:rsidR="00814857" w14:paraId="1088DF40" w14:textId="77777777" w:rsidTr="00894126">
        <w:trPr>
          <w:cantSplit/>
          <w:trHeight w:val="480"/>
          <w:tblHeader/>
        </w:trPr>
        <w:tc>
          <w:tcPr>
            <w:tcW w:w="4764" w:type="dxa"/>
            <w:tcBorders>
              <w:top w:val="nil"/>
              <w:left w:val="nil"/>
              <w:bottom w:val="single" w:sz="4" w:space="0" w:color="auto"/>
              <w:right w:val="nil"/>
            </w:tcBorders>
            <w:vAlign w:val="bottom"/>
            <w:hideMark/>
          </w:tcPr>
          <w:p w14:paraId="571FB025" w14:textId="77777777" w:rsidR="00814857" w:rsidRDefault="00814857" w:rsidP="00894126">
            <w:pPr>
              <w:pStyle w:val="ARtablecolhead"/>
            </w:pPr>
            <w:r>
              <w:t>Performance measures</w:t>
            </w:r>
          </w:p>
        </w:tc>
        <w:tc>
          <w:tcPr>
            <w:tcW w:w="1021" w:type="dxa"/>
            <w:gridSpan w:val="2"/>
            <w:tcBorders>
              <w:top w:val="nil"/>
              <w:left w:val="nil"/>
              <w:bottom w:val="single" w:sz="4" w:space="0" w:color="auto"/>
              <w:right w:val="nil"/>
            </w:tcBorders>
            <w:vAlign w:val="bottom"/>
            <w:hideMark/>
          </w:tcPr>
          <w:p w14:paraId="75B5616A" w14:textId="77777777" w:rsidR="00814857" w:rsidRDefault="00814857" w:rsidP="00894126">
            <w:pPr>
              <w:pStyle w:val="ARtablecolheadright"/>
            </w:pPr>
            <w:r>
              <w:t>Unit of measure</w:t>
            </w:r>
          </w:p>
        </w:tc>
        <w:tc>
          <w:tcPr>
            <w:tcW w:w="1022" w:type="dxa"/>
            <w:tcBorders>
              <w:top w:val="nil"/>
              <w:left w:val="nil"/>
              <w:bottom w:val="single" w:sz="4" w:space="0" w:color="auto"/>
              <w:right w:val="nil"/>
            </w:tcBorders>
            <w:vAlign w:val="bottom"/>
            <w:hideMark/>
          </w:tcPr>
          <w:p w14:paraId="4A6727E1" w14:textId="77777777" w:rsidR="00814857" w:rsidRDefault="00814857" w:rsidP="00894126">
            <w:pPr>
              <w:pStyle w:val="ARtablecolheadright"/>
            </w:pPr>
            <w:r>
              <w:t>2018–19 target</w:t>
            </w:r>
          </w:p>
        </w:tc>
        <w:tc>
          <w:tcPr>
            <w:tcW w:w="1022" w:type="dxa"/>
            <w:tcBorders>
              <w:top w:val="nil"/>
              <w:left w:val="nil"/>
              <w:bottom w:val="single" w:sz="4" w:space="0" w:color="auto"/>
              <w:right w:val="nil"/>
            </w:tcBorders>
            <w:vAlign w:val="bottom"/>
            <w:hideMark/>
          </w:tcPr>
          <w:p w14:paraId="7271ACB1" w14:textId="77777777" w:rsidR="00814857" w:rsidRDefault="00814857" w:rsidP="00894126">
            <w:pPr>
              <w:pStyle w:val="ARtablecolheadright"/>
            </w:pPr>
            <w:r>
              <w:t>2018–19 actual</w:t>
            </w:r>
          </w:p>
        </w:tc>
        <w:tc>
          <w:tcPr>
            <w:tcW w:w="1022" w:type="dxa"/>
            <w:tcBorders>
              <w:top w:val="nil"/>
              <w:left w:val="nil"/>
              <w:bottom w:val="single" w:sz="4" w:space="0" w:color="auto"/>
              <w:right w:val="nil"/>
            </w:tcBorders>
            <w:vAlign w:val="bottom"/>
            <w:hideMark/>
          </w:tcPr>
          <w:p w14:paraId="0DFAE6DC" w14:textId="77777777" w:rsidR="00814857" w:rsidRDefault="00814857" w:rsidP="00894126">
            <w:pPr>
              <w:pStyle w:val="ARtablecolheadright"/>
            </w:pPr>
            <w:r>
              <w:t>Variation (%)</w:t>
            </w:r>
          </w:p>
        </w:tc>
        <w:tc>
          <w:tcPr>
            <w:tcW w:w="794" w:type="dxa"/>
            <w:tcBorders>
              <w:top w:val="nil"/>
              <w:left w:val="nil"/>
              <w:bottom w:val="single" w:sz="4" w:space="0" w:color="auto"/>
              <w:right w:val="nil"/>
            </w:tcBorders>
            <w:vAlign w:val="bottom"/>
            <w:hideMark/>
          </w:tcPr>
          <w:p w14:paraId="6D773067" w14:textId="77777777" w:rsidR="00814857" w:rsidRDefault="00814857" w:rsidP="00894126">
            <w:pPr>
              <w:pStyle w:val="ARtablecolheadright"/>
            </w:pPr>
            <w:r>
              <w:t>Result</w:t>
            </w:r>
          </w:p>
        </w:tc>
      </w:tr>
      <w:tr w:rsidR="00EC65CE" w14:paraId="44C964E1" w14:textId="77777777" w:rsidTr="00A05EB7">
        <w:trPr>
          <w:cantSplit/>
          <w:trHeight w:val="289"/>
        </w:trPr>
        <w:tc>
          <w:tcPr>
            <w:tcW w:w="9645" w:type="dxa"/>
            <w:gridSpan w:val="7"/>
            <w:tcBorders>
              <w:top w:val="single" w:sz="4" w:space="0" w:color="auto"/>
              <w:left w:val="nil"/>
              <w:bottom w:val="single" w:sz="4" w:space="0" w:color="auto"/>
              <w:right w:val="nil"/>
            </w:tcBorders>
            <w:hideMark/>
          </w:tcPr>
          <w:p w14:paraId="107A7439" w14:textId="7A6AC766" w:rsidR="00EC65CE" w:rsidRPr="00A168BF" w:rsidRDefault="00EC65CE" w:rsidP="00EC65CE">
            <w:pPr>
              <w:pStyle w:val="ARtablebluebold"/>
            </w:pPr>
            <w:r>
              <w:t>Small Rural Services – Acute Health</w:t>
            </w:r>
          </w:p>
        </w:tc>
      </w:tr>
      <w:tr w:rsidR="00EC65CE" w14:paraId="5716FBDD" w14:textId="77777777" w:rsidTr="00A05EB7">
        <w:trPr>
          <w:cantSplit/>
          <w:trHeight w:val="240"/>
        </w:trPr>
        <w:tc>
          <w:tcPr>
            <w:tcW w:w="9645" w:type="dxa"/>
            <w:gridSpan w:val="7"/>
            <w:tcBorders>
              <w:top w:val="single" w:sz="4" w:space="0" w:color="auto"/>
              <w:left w:val="nil"/>
              <w:bottom w:val="nil"/>
              <w:right w:val="nil"/>
            </w:tcBorders>
            <w:hideMark/>
          </w:tcPr>
          <w:p w14:paraId="4BE6249A" w14:textId="7D0287C0" w:rsidR="00EC65CE" w:rsidRDefault="00EC65CE" w:rsidP="00A168BF">
            <w:pPr>
              <w:pStyle w:val="ARtablegreybold"/>
            </w:pPr>
            <w:r w:rsidRPr="00A168BF">
              <w:t>Quantity</w:t>
            </w:r>
          </w:p>
        </w:tc>
      </w:tr>
      <w:tr w:rsidR="00814857" w14:paraId="07564D2D" w14:textId="77777777" w:rsidTr="00894126">
        <w:trPr>
          <w:cantSplit/>
          <w:trHeight w:val="480"/>
        </w:trPr>
        <w:tc>
          <w:tcPr>
            <w:tcW w:w="4764" w:type="dxa"/>
            <w:tcBorders>
              <w:bottom w:val="single" w:sz="4" w:space="0" w:color="BFBFBF" w:themeColor="background1" w:themeShade="BF"/>
            </w:tcBorders>
            <w:hideMark/>
          </w:tcPr>
          <w:p w14:paraId="27C937E9" w14:textId="77777777" w:rsidR="00814857" w:rsidRDefault="00814857" w:rsidP="00894126">
            <w:pPr>
              <w:pStyle w:val="ARtabletext"/>
            </w:pPr>
            <w:r>
              <w:rPr>
                <w:noProof/>
              </w:rPr>
              <w:t>Separations</w:t>
            </w:r>
          </w:p>
        </w:tc>
        <w:tc>
          <w:tcPr>
            <w:tcW w:w="1021" w:type="dxa"/>
            <w:gridSpan w:val="2"/>
            <w:tcBorders>
              <w:bottom w:val="single" w:sz="4" w:space="0" w:color="BFBFBF" w:themeColor="background1" w:themeShade="BF"/>
            </w:tcBorders>
            <w:hideMark/>
          </w:tcPr>
          <w:p w14:paraId="6D72AB53" w14:textId="77777777" w:rsidR="00814857" w:rsidRDefault="00814857" w:rsidP="00894126">
            <w:pPr>
              <w:pStyle w:val="ARtabletextright"/>
            </w:pPr>
            <w:r>
              <w:rPr>
                <w:noProof/>
              </w:rPr>
              <w:t>number (thousand)</w:t>
            </w:r>
          </w:p>
        </w:tc>
        <w:tc>
          <w:tcPr>
            <w:tcW w:w="1022" w:type="dxa"/>
            <w:tcBorders>
              <w:bottom w:val="single" w:sz="4" w:space="0" w:color="BFBFBF" w:themeColor="background1" w:themeShade="BF"/>
            </w:tcBorders>
            <w:hideMark/>
          </w:tcPr>
          <w:p w14:paraId="63238C81" w14:textId="77777777" w:rsidR="00814857" w:rsidRDefault="00814857" w:rsidP="00894126">
            <w:pPr>
              <w:pStyle w:val="ARtabletextright"/>
            </w:pPr>
            <w:r>
              <w:rPr>
                <w:noProof/>
              </w:rPr>
              <w:t>35.8</w:t>
            </w:r>
          </w:p>
        </w:tc>
        <w:tc>
          <w:tcPr>
            <w:tcW w:w="1022" w:type="dxa"/>
            <w:tcBorders>
              <w:bottom w:val="single" w:sz="4" w:space="0" w:color="BFBFBF" w:themeColor="background1" w:themeShade="BF"/>
            </w:tcBorders>
            <w:hideMark/>
          </w:tcPr>
          <w:p w14:paraId="65D22CB8" w14:textId="77777777" w:rsidR="00814857" w:rsidRDefault="00814857" w:rsidP="00894126">
            <w:pPr>
              <w:pStyle w:val="ARtabletextright"/>
            </w:pPr>
            <w:r>
              <w:rPr>
                <w:noProof/>
              </w:rPr>
              <w:t>33.8</w:t>
            </w:r>
          </w:p>
        </w:tc>
        <w:tc>
          <w:tcPr>
            <w:tcW w:w="1022" w:type="dxa"/>
            <w:tcBorders>
              <w:bottom w:val="single" w:sz="4" w:space="0" w:color="BFBFBF" w:themeColor="background1" w:themeShade="BF"/>
            </w:tcBorders>
            <w:hideMark/>
          </w:tcPr>
          <w:p w14:paraId="4B0A7259" w14:textId="77777777" w:rsidR="00814857" w:rsidRDefault="00814857" w:rsidP="00894126">
            <w:pPr>
              <w:pStyle w:val="ARtabletextright"/>
            </w:pPr>
            <w:r>
              <w:rPr>
                <w:noProof/>
              </w:rPr>
              <w:t>-5.6</w:t>
            </w:r>
          </w:p>
        </w:tc>
        <w:tc>
          <w:tcPr>
            <w:tcW w:w="794" w:type="dxa"/>
            <w:tcBorders>
              <w:bottom w:val="single" w:sz="4" w:space="0" w:color="BFBFBF" w:themeColor="background1" w:themeShade="BF"/>
            </w:tcBorders>
            <w:hideMark/>
          </w:tcPr>
          <w:p w14:paraId="6AD1A290" w14:textId="77777777" w:rsidR="00814857" w:rsidRDefault="00814857" w:rsidP="00894126">
            <w:pPr>
              <w:pStyle w:val="ARtabletextright"/>
            </w:pPr>
            <w:r>
              <w:sym w:font="Wingdings" w:char="F06E"/>
            </w:r>
          </w:p>
        </w:tc>
      </w:tr>
      <w:tr w:rsidR="00814857" w14:paraId="020BE3EA" w14:textId="77777777" w:rsidTr="00894126">
        <w:trPr>
          <w:cantSplit/>
          <w:trHeight w:val="480"/>
        </w:trPr>
        <w:tc>
          <w:tcPr>
            <w:tcW w:w="4764" w:type="dxa"/>
            <w:tcBorders>
              <w:top w:val="single" w:sz="4" w:space="0" w:color="BFBFBF" w:themeColor="background1" w:themeShade="BF"/>
            </w:tcBorders>
            <w:hideMark/>
          </w:tcPr>
          <w:p w14:paraId="14DB6954" w14:textId="77777777" w:rsidR="00814857" w:rsidRDefault="00814857" w:rsidP="00894126">
            <w:pPr>
              <w:pStyle w:val="ARtabletext"/>
            </w:pPr>
            <w:r>
              <w:rPr>
                <w:noProof/>
              </w:rPr>
              <w:t>Small rural weighted activity unit</w:t>
            </w:r>
          </w:p>
        </w:tc>
        <w:tc>
          <w:tcPr>
            <w:tcW w:w="1021" w:type="dxa"/>
            <w:gridSpan w:val="2"/>
            <w:tcBorders>
              <w:top w:val="single" w:sz="4" w:space="0" w:color="BFBFBF" w:themeColor="background1" w:themeShade="BF"/>
            </w:tcBorders>
            <w:hideMark/>
          </w:tcPr>
          <w:p w14:paraId="406474E9" w14:textId="77777777" w:rsidR="00814857" w:rsidRDefault="00814857" w:rsidP="00894126">
            <w:pPr>
              <w:pStyle w:val="ARtabletextright"/>
            </w:pPr>
            <w:r>
              <w:rPr>
                <w:noProof/>
              </w:rPr>
              <w:t>number (thousand)</w:t>
            </w:r>
          </w:p>
        </w:tc>
        <w:tc>
          <w:tcPr>
            <w:tcW w:w="1022" w:type="dxa"/>
            <w:tcBorders>
              <w:top w:val="single" w:sz="4" w:space="0" w:color="BFBFBF" w:themeColor="background1" w:themeShade="BF"/>
            </w:tcBorders>
            <w:hideMark/>
          </w:tcPr>
          <w:p w14:paraId="68E5EDBA" w14:textId="77777777" w:rsidR="00814857" w:rsidRDefault="00814857" w:rsidP="00894126">
            <w:pPr>
              <w:pStyle w:val="ARtabletextright"/>
            </w:pPr>
            <w:r>
              <w:rPr>
                <w:noProof/>
              </w:rPr>
              <w:t>350,000</w:t>
            </w:r>
          </w:p>
        </w:tc>
        <w:tc>
          <w:tcPr>
            <w:tcW w:w="1022" w:type="dxa"/>
            <w:tcBorders>
              <w:top w:val="single" w:sz="4" w:space="0" w:color="BFBFBF" w:themeColor="background1" w:themeShade="BF"/>
            </w:tcBorders>
            <w:hideMark/>
          </w:tcPr>
          <w:p w14:paraId="57DDE5AA" w14:textId="77777777" w:rsidR="00814857" w:rsidRDefault="00814857" w:rsidP="00894126">
            <w:pPr>
              <w:pStyle w:val="ARtabletextright"/>
            </w:pPr>
            <w:r>
              <w:rPr>
                <w:noProof/>
              </w:rPr>
              <w:t>350,000</w:t>
            </w:r>
          </w:p>
        </w:tc>
        <w:tc>
          <w:tcPr>
            <w:tcW w:w="1022" w:type="dxa"/>
            <w:tcBorders>
              <w:top w:val="single" w:sz="4" w:space="0" w:color="BFBFBF" w:themeColor="background1" w:themeShade="BF"/>
            </w:tcBorders>
            <w:hideMark/>
          </w:tcPr>
          <w:p w14:paraId="76C09694" w14:textId="77777777" w:rsidR="00814857" w:rsidRDefault="00814857" w:rsidP="00894126">
            <w:pPr>
              <w:pStyle w:val="ARtabletextright"/>
            </w:pPr>
            <w:r>
              <w:rPr>
                <w:noProof/>
              </w:rPr>
              <w:t>0.0</w:t>
            </w:r>
          </w:p>
        </w:tc>
        <w:tc>
          <w:tcPr>
            <w:tcW w:w="794" w:type="dxa"/>
            <w:tcBorders>
              <w:top w:val="single" w:sz="4" w:space="0" w:color="BFBFBF" w:themeColor="background1" w:themeShade="BF"/>
            </w:tcBorders>
            <w:hideMark/>
          </w:tcPr>
          <w:p w14:paraId="555D9437" w14:textId="77777777" w:rsidR="00814857" w:rsidRDefault="00814857" w:rsidP="00894126">
            <w:pPr>
              <w:pStyle w:val="ARtabletextright"/>
            </w:pPr>
            <w:r>
              <w:sym w:font="Wingdings" w:char="F0FC"/>
            </w:r>
          </w:p>
        </w:tc>
      </w:tr>
      <w:tr w:rsidR="00814857" w14:paraId="53D0DAF3" w14:textId="77777777" w:rsidTr="00894126">
        <w:trPr>
          <w:cantSplit/>
          <w:trHeight w:val="240"/>
        </w:trPr>
        <w:tc>
          <w:tcPr>
            <w:tcW w:w="9645" w:type="dxa"/>
            <w:gridSpan w:val="7"/>
            <w:tcBorders>
              <w:top w:val="nil"/>
              <w:left w:val="nil"/>
              <w:bottom w:val="single" w:sz="4" w:space="0" w:color="BFBFBF"/>
              <w:right w:val="nil"/>
            </w:tcBorders>
            <w:noWrap/>
            <w:hideMark/>
          </w:tcPr>
          <w:p w14:paraId="1D334AFF" w14:textId="77777777" w:rsidR="00814857" w:rsidRDefault="00814857" w:rsidP="00894126">
            <w:pPr>
              <w:pStyle w:val="ARtablenoteindent"/>
            </w:pPr>
            <w:r>
              <w:rPr>
                <w:noProof/>
              </w:rPr>
              <w:t>Preliminary result. Actual end-of-year results will be available late 2019.</w:t>
            </w:r>
          </w:p>
        </w:tc>
      </w:tr>
      <w:tr w:rsidR="00EC65CE" w14:paraId="7625A6F0" w14:textId="77777777" w:rsidTr="00A05EB7">
        <w:trPr>
          <w:cantSplit/>
          <w:trHeight w:val="240"/>
        </w:trPr>
        <w:tc>
          <w:tcPr>
            <w:tcW w:w="9645" w:type="dxa"/>
            <w:gridSpan w:val="7"/>
            <w:tcBorders>
              <w:top w:val="single" w:sz="4" w:space="0" w:color="auto"/>
              <w:left w:val="nil"/>
              <w:bottom w:val="nil"/>
              <w:right w:val="nil"/>
            </w:tcBorders>
            <w:hideMark/>
          </w:tcPr>
          <w:p w14:paraId="1B17ABC7" w14:textId="4DFCE26C" w:rsidR="00EC65CE" w:rsidRDefault="00EC65CE" w:rsidP="00A168BF">
            <w:pPr>
              <w:pStyle w:val="ARtablegreybold"/>
            </w:pPr>
            <w:r w:rsidRPr="00A168BF">
              <w:t>Quality</w:t>
            </w:r>
          </w:p>
        </w:tc>
      </w:tr>
      <w:tr w:rsidR="00814857" w14:paraId="4FD2C022" w14:textId="77777777" w:rsidTr="00894126">
        <w:trPr>
          <w:cantSplit/>
          <w:trHeight w:val="480"/>
        </w:trPr>
        <w:tc>
          <w:tcPr>
            <w:tcW w:w="4764" w:type="dxa"/>
            <w:hideMark/>
          </w:tcPr>
          <w:p w14:paraId="1D82477D" w14:textId="77777777" w:rsidR="00814857" w:rsidRDefault="00814857" w:rsidP="00894126">
            <w:pPr>
              <w:pStyle w:val="ARtabletext"/>
            </w:pPr>
            <w:r>
              <w:rPr>
                <w:noProof/>
              </w:rPr>
              <w:t>Percentage of Health Services accredited</w:t>
            </w:r>
          </w:p>
        </w:tc>
        <w:tc>
          <w:tcPr>
            <w:tcW w:w="1021" w:type="dxa"/>
            <w:gridSpan w:val="2"/>
            <w:hideMark/>
          </w:tcPr>
          <w:p w14:paraId="29FD5B75" w14:textId="77777777" w:rsidR="00814857" w:rsidRDefault="00814857" w:rsidP="00894126">
            <w:pPr>
              <w:pStyle w:val="ARtabletextright"/>
            </w:pPr>
            <w:r>
              <w:rPr>
                <w:noProof/>
              </w:rPr>
              <w:t>per cent</w:t>
            </w:r>
          </w:p>
        </w:tc>
        <w:tc>
          <w:tcPr>
            <w:tcW w:w="1022" w:type="dxa"/>
            <w:hideMark/>
          </w:tcPr>
          <w:p w14:paraId="77AA5132" w14:textId="77777777" w:rsidR="00814857" w:rsidRDefault="00814857" w:rsidP="00894126">
            <w:pPr>
              <w:pStyle w:val="ARtabletextright"/>
            </w:pPr>
            <w:r>
              <w:rPr>
                <w:noProof/>
              </w:rPr>
              <w:t>100</w:t>
            </w:r>
          </w:p>
        </w:tc>
        <w:tc>
          <w:tcPr>
            <w:tcW w:w="1022" w:type="dxa"/>
            <w:hideMark/>
          </w:tcPr>
          <w:p w14:paraId="5BF9E61F" w14:textId="77777777" w:rsidR="00814857" w:rsidRDefault="00814857" w:rsidP="00894126">
            <w:pPr>
              <w:pStyle w:val="ARtabletextright"/>
            </w:pPr>
            <w:r>
              <w:rPr>
                <w:noProof/>
              </w:rPr>
              <w:t>100</w:t>
            </w:r>
          </w:p>
        </w:tc>
        <w:tc>
          <w:tcPr>
            <w:tcW w:w="1022" w:type="dxa"/>
            <w:hideMark/>
          </w:tcPr>
          <w:p w14:paraId="1CFE0FF3" w14:textId="77777777" w:rsidR="00814857" w:rsidRDefault="00814857" w:rsidP="00894126">
            <w:pPr>
              <w:pStyle w:val="ARtabletextright"/>
            </w:pPr>
            <w:r>
              <w:rPr>
                <w:noProof/>
              </w:rPr>
              <w:t>0.0</w:t>
            </w:r>
          </w:p>
        </w:tc>
        <w:tc>
          <w:tcPr>
            <w:tcW w:w="794" w:type="dxa"/>
            <w:hideMark/>
          </w:tcPr>
          <w:p w14:paraId="59B6AB34" w14:textId="77777777" w:rsidR="00814857" w:rsidRDefault="00814857" w:rsidP="00894126">
            <w:pPr>
              <w:pStyle w:val="ARtabletextright"/>
            </w:pPr>
            <w:r>
              <w:sym w:font="Wingdings" w:char="F0FC"/>
            </w:r>
          </w:p>
        </w:tc>
      </w:tr>
      <w:tr w:rsidR="00EC65CE" w14:paraId="2E308483" w14:textId="77777777" w:rsidTr="00A05EB7">
        <w:trPr>
          <w:cantSplit/>
          <w:trHeight w:val="240"/>
        </w:trPr>
        <w:tc>
          <w:tcPr>
            <w:tcW w:w="9645" w:type="dxa"/>
            <w:gridSpan w:val="7"/>
            <w:tcBorders>
              <w:top w:val="single" w:sz="4" w:space="0" w:color="auto"/>
              <w:left w:val="nil"/>
              <w:bottom w:val="nil"/>
              <w:right w:val="nil"/>
            </w:tcBorders>
            <w:hideMark/>
          </w:tcPr>
          <w:p w14:paraId="56B30E18" w14:textId="0F11603C" w:rsidR="00EC65CE" w:rsidRDefault="00EC65CE" w:rsidP="00EC65CE">
            <w:pPr>
              <w:pStyle w:val="ARtablegreybold"/>
            </w:pPr>
            <w:r w:rsidRPr="00A168BF">
              <w:t>Cost</w:t>
            </w:r>
          </w:p>
        </w:tc>
      </w:tr>
      <w:tr w:rsidR="00814857" w14:paraId="77410849" w14:textId="77777777" w:rsidTr="00894126">
        <w:trPr>
          <w:cantSplit/>
          <w:trHeight w:val="480"/>
        </w:trPr>
        <w:tc>
          <w:tcPr>
            <w:tcW w:w="4764" w:type="dxa"/>
            <w:hideMark/>
          </w:tcPr>
          <w:p w14:paraId="16586E9C" w14:textId="77777777" w:rsidR="00814857" w:rsidRPr="005A6F56" w:rsidRDefault="00814857" w:rsidP="00894126">
            <w:pPr>
              <w:pStyle w:val="ARtabletext"/>
              <w:rPr>
                <w:b/>
              </w:rPr>
            </w:pPr>
            <w:r w:rsidRPr="005A6F56">
              <w:rPr>
                <w:b/>
                <w:noProof/>
              </w:rPr>
              <w:t xml:space="preserve">Total </w:t>
            </w:r>
            <w:r>
              <w:rPr>
                <w:b/>
                <w:noProof/>
              </w:rPr>
              <w:t>o</w:t>
            </w:r>
            <w:r w:rsidRPr="005A6F56">
              <w:rPr>
                <w:b/>
                <w:noProof/>
              </w:rPr>
              <w:t xml:space="preserve">utput </w:t>
            </w:r>
            <w:r>
              <w:rPr>
                <w:b/>
                <w:noProof/>
              </w:rPr>
              <w:t>c</w:t>
            </w:r>
            <w:r w:rsidRPr="005A6F56">
              <w:rPr>
                <w:b/>
                <w:noProof/>
              </w:rPr>
              <w:t>ost</w:t>
            </w:r>
          </w:p>
        </w:tc>
        <w:tc>
          <w:tcPr>
            <w:tcW w:w="1021" w:type="dxa"/>
            <w:gridSpan w:val="2"/>
            <w:hideMark/>
          </w:tcPr>
          <w:p w14:paraId="5998020E" w14:textId="77777777" w:rsidR="00814857" w:rsidRPr="005A6F56" w:rsidRDefault="00814857" w:rsidP="00894126">
            <w:pPr>
              <w:pStyle w:val="ARtabletextright"/>
              <w:rPr>
                <w:b/>
              </w:rPr>
            </w:pPr>
            <w:r w:rsidRPr="005A6F56">
              <w:rPr>
                <w:b/>
                <w:noProof/>
              </w:rPr>
              <w:t>$ million</w:t>
            </w:r>
          </w:p>
        </w:tc>
        <w:tc>
          <w:tcPr>
            <w:tcW w:w="1022" w:type="dxa"/>
            <w:hideMark/>
          </w:tcPr>
          <w:p w14:paraId="3793B372" w14:textId="77777777" w:rsidR="00814857" w:rsidRPr="005A6F56" w:rsidRDefault="00814857" w:rsidP="00894126">
            <w:pPr>
              <w:pStyle w:val="ARtabletextright"/>
              <w:rPr>
                <w:b/>
              </w:rPr>
            </w:pPr>
            <w:r w:rsidRPr="005A6F56">
              <w:rPr>
                <w:b/>
                <w:noProof/>
              </w:rPr>
              <w:t>369.5</w:t>
            </w:r>
          </w:p>
        </w:tc>
        <w:tc>
          <w:tcPr>
            <w:tcW w:w="1022" w:type="dxa"/>
            <w:hideMark/>
          </w:tcPr>
          <w:p w14:paraId="3857E685" w14:textId="77777777" w:rsidR="00814857" w:rsidRPr="005A6F56" w:rsidRDefault="00814857" w:rsidP="00894126">
            <w:pPr>
              <w:pStyle w:val="ARtabletextright"/>
              <w:rPr>
                <w:b/>
              </w:rPr>
            </w:pPr>
            <w:r w:rsidRPr="005A6F56">
              <w:rPr>
                <w:b/>
                <w:noProof/>
              </w:rPr>
              <w:t>375.2</w:t>
            </w:r>
          </w:p>
        </w:tc>
        <w:tc>
          <w:tcPr>
            <w:tcW w:w="1022" w:type="dxa"/>
            <w:hideMark/>
          </w:tcPr>
          <w:p w14:paraId="1F334872" w14:textId="77777777" w:rsidR="00814857" w:rsidRPr="005A6F56" w:rsidRDefault="00814857" w:rsidP="00894126">
            <w:pPr>
              <w:pStyle w:val="ARtabletextright"/>
              <w:rPr>
                <w:b/>
              </w:rPr>
            </w:pPr>
            <w:r w:rsidRPr="005A6F56">
              <w:rPr>
                <w:b/>
                <w:noProof/>
              </w:rPr>
              <w:t>1.6</w:t>
            </w:r>
          </w:p>
        </w:tc>
        <w:tc>
          <w:tcPr>
            <w:tcW w:w="794" w:type="dxa"/>
            <w:hideMark/>
          </w:tcPr>
          <w:p w14:paraId="0D6F05E0" w14:textId="77777777" w:rsidR="00814857" w:rsidRPr="005A6F56" w:rsidRDefault="00814857" w:rsidP="00894126">
            <w:pPr>
              <w:rPr>
                <w:b/>
              </w:rPr>
            </w:pPr>
          </w:p>
        </w:tc>
      </w:tr>
      <w:tr w:rsidR="00EC65CE" w14:paraId="4556551E" w14:textId="77777777" w:rsidTr="00A05EB7">
        <w:trPr>
          <w:cantSplit/>
          <w:trHeight w:val="289"/>
        </w:trPr>
        <w:tc>
          <w:tcPr>
            <w:tcW w:w="9645" w:type="dxa"/>
            <w:gridSpan w:val="7"/>
            <w:tcBorders>
              <w:top w:val="single" w:sz="4" w:space="0" w:color="auto"/>
              <w:left w:val="nil"/>
              <w:bottom w:val="single" w:sz="4" w:space="0" w:color="auto"/>
              <w:right w:val="nil"/>
            </w:tcBorders>
            <w:hideMark/>
          </w:tcPr>
          <w:p w14:paraId="462645F3" w14:textId="6B0894BF" w:rsidR="00EC65CE" w:rsidRDefault="00EC65CE" w:rsidP="00A168BF">
            <w:pPr>
              <w:pStyle w:val="ARtablebluebold"/>
            </w:pPr>
            <w:r>
              <w:t>Small Rural Services – Aged Care</w:t>
            </w:r>
          </w:p>
        </w:tc>
      </w:tr>
      <w:tr w:rsidR="00EC65CE" w14:paraId="0B4F2AB0" w14:textId="77777777" w:rsidTr="00A05EB7">
        <w:trPr>
          <w:cantSplit/>
          <w:trHeight w:val="240"/>
        </w:trPr>
        <w:tc>
          <w:tcPr>
            <w:tcW w:w="9645" w:type="dxa"/>
            <w:gridSpan w:val="7"/>
            <w:tcBorders>
              <w:top w:val="single" w:sz="4" w:space="0" w:color="auto"/>
              <w:left w:val="nil"/>
              <w:bottom w:val="nil"/>
              <w:right w:val="nil"/>
            </w:tcBorders>
            <w:hideMark/>
          </w:tcPr>
          <w:p w14:paraId="36FFB853" w14:textId="667D0E68" w:rsidR="00EC65CE" w:rsidRDefault="00EC65CE" w:rsidP="008F035E">
            <w:pPr>
              <w:pStyle w:val="ARtablegreybold"/>
            </w:pPr>
            <w:r w:rsidRPr="008F035E">
              <w:t>Quantity</w:t>
            </w:r>
          </w:p>
        </w:tc>
      </w:tr>
      <w:tr w:rsidR="00814857" w14:paraId="6CF2DBE4" w14:textId="77777777" w:rsidTr="00894126">
        <w:trPr>
          <w:cantSplit/>
          <w:trHeight w:val="480"/>
        </w:trPr>
        <w:tc>
          <w:tcPr>
            <w:tcW w:w="4764" w:type="dxa"/>
            <w:hideMark/>
          </w:tcPr>
          <w:p w14:paraId="77254FF1" w14:textId="77777777" w:rsidR="00814857" w:rsidRDefault="00814857" w:rsidP="00894126">
            <w:pPr>
              <w:pStyle w:val="ARtabletext"/>
            </w:pPr>
            <w:r>
              <w:rPr>
                <w:noProof/>
              </w:rPr>
              <w:t>Small Rural Available Bed Days</w:t>
            </w:r>
          </w:p>
        </w:tc>
        <w:tc>
          <w:tcPr>
            <w:tcW w:w="1021" w:type="dxa"/>
            <w:gridSpan w:val="2"/>
            <w:hideMark/>
          </w:tcPr>
          <w:p w14:paraId="6D78BE9E" w14:textId="77777777" w:rsidR="00814857" w:rsidRDefault="00814857" w:rsidP="00894126">
            <w:pPr>
              <w:pStyle w:val="ARtabletextright"/>
            </w:pPr>
            <w:r>
              <w:rPr>
                <w:noProof/>
              </w:rPr>
              <w:t>number</w:t>
            </w:r>
          </w:p>
        </w:tc>
        <w:tc>
          <w:tcPr>
            <w:tcW w:w="1022" w:type="dxa"/>
            <w:hideMark/>
          </w:tcPr>
          <w:p w14:paraId="4C35AD28" w14:textId="77777777" w:rsidR="00814857" w:rsidRDefault="00814857" w:rsidP="00894126">
            <w:pPr>
              <w:pStyle w:val="ARtabletextright"/>
            </w:pPr>
            <w:r>
              <w:rPr>
                <w:noProof/>
              </w:rPr>
              <w:t>701,143</w:t>
            </w:r>
          </w:p>
        </w:tc>
        <w:tc>
          <w:tcPr>
            <w:tcW w:w="1022" w:type="dxa"/>
            <w:hideMark/>
          </w:tcPr>
          <w:p w14:paraId="4240B7D0" w14:textId="77777777" w:rsidR="00814857" w:rsidRDefault="00814857" w:rsidP="00894126">
            <w:pPr>
              <w:pStyle w:val="ARtabletextright"/>
            </w:pPr>
            <w:r>
              <w:rPr>
                <w:noProof/>
              </w:rPr>
              <w:t>701,143</w:t>
            </w:r>
          </w:p>
        </w:tc>
        <w:tc>
          <w:tcPr>
            <w:tcW w:w="1022" w:type="dxa"/>
            <w:hideMark/>
          </w:tcPr>
          <w:p w14:paraId="47D89010" w14:textId="77777777" w:rsidR="00814857" w:rsidRDefault="00814857" w:rsidP="00894126">
            <w:pPr>
              <w:pStyle w:val="ARtabletextright"/>
            </w:pPr>
            <w:r>
              <w:rPr>
                <w:noProof/>
              </w:rPr>
              <w:t>0.0</w:t>
            </w:r>
          </w:p>
        </w:tc>
        <w:tc>
          <w:tcPr>
            <w:tcW w:w="794" w:type="dxa"/>
            <w:hideMark/>
          </w:tcPr>
          <w:p w14:paraId="5A1B860F" w14:textId="77777777" w:rsidR="00814857" w:rsidRDefault="00814857" w:rsidP="00894126">
            <w:pPr>
              <w:pStyle w:val="ARtabletextright"/>
            </w:pPr>
            <w:r>
              <w:sym w:font="Wingdings" w:char="F0FC"/>
            </w:r>
          </w:p>
        </w:tc>
      </w:tr>
      <w:tr w:rsidR="00EC65CE" w14:paraId="1E97613D" w14:textId="77777777" w:rsidTr="00A05EB7">
        <w:trPr>
          <w:cantSplit/>
          <w:trHeight w:val="240"/>
        </w:trPr>
        <w:tc>
          <w:tcPr>
            <w:tcW w:w="9645" w:type="dxa"/>
            <w:gridSpan w:val="7"/>
            <w:tcBorders>
              <w:top w:val="single" w:sz="4" w:space="0" w:color="auto"/>
              <w:left w:val="nil"/>
              <w:bottom w:val="nil"/>
              <w:right w:val="nil"/>
            </w:tcBorders>
            <w:hideMark/>
          </w:tcPr>
          <w:p w14:paraId="50D1E051" w14:textId="1DFACE31" w:rsidR="00EC65CE" w:rsidRDefault="00EC65CE" w:rsidP="00A168BF">
            <w:pPr>
              <w:pStyle w:val="ARtablegreybold"/>
            </w:pPr>
            <w:r w:rsidRPr="00A168BF">
              <w:t>Quality</w:t>
            </w:r>
          </w:p>
        </w:tc>
      </w:tr>
      <w:tr w:rsidR="00814857" w14:paraId="22619D0F" w14:textId="77777777" w:rsidTr="00894126">
        <w:trPr>
          <w:cantSplit/>
          <w:trHeight w:val="480"/>
        </w:trPr>
        <w:tc>
          <w:tcPr>
            <w:tcW w:w="4764" w:type="dxa"/>
            <w:hideMark/>
          </w:tcPr>
          <w:p w14:paraId="307A2486" w14:textId="77777777" w:rsidR="00814857" w:rsidRDefault="00814857" w:rsidP="00894126">
            <w:pPr>
              <w:pStyle w:val="ARtabletext"/>
            </w:pPr>
            <w:r>
              <w:rPr>
                <w:noProof/>
              </w:rPr>
              <w:t>Residential care services accredited</w:t>
            </w:r>
          </w:p>
        </w:tc>
        <w:tc>
          <w:tcPr>
            <w:tcW w:w="1021" w:type="dxa"/>
            <w:gridSpan w:val="2"/>
            <w:hideMark/>
          </w:tcPr>
          <w:p w14:paraId="58D7E778" w14:textId="77777777" w:rsidR="00814857" w:rsidRDefault="00814857" w:rsidP="00894126">
            <w:pPr>
              <w:pStyle w:val="ARtabletextright"/>
            </w:pPr>
            <w:r>
              <w:rPr>
                <w:noProof/>
              </w:rPr>
              <w:t>per cent</w:t>
            </w:r>
          </w:p>
        </w:tc>
        <w:tc>
          <w:tcPr>
            <w:tcW w:w="1022" w:type="dxa"/>
            <w:hideMark/>
          </w:tcPr>
          <w:p w14:paraId="6DD7C8AC" w14:textId="77777777" w:rsidR="00814857" w:rsidRDefault="00814857" w:rsidP="00894126">
            <w:pPr>
              <w:pStyle w:val="ARtabletextright"/>
            </w:pPr>
            <w:r>
              <w:rPr>
                <w:noProof/>
              </w:rPr>
              <w:t>100</w:t>
            </w:r>
          </w:p>
        </w:tc>
        <w:tc>
          <w:tcPr>
            <w:tcW w:w="1022" w:type="dxa"/>
            <w:hideMark/>
          </w:tcPr>
          <w:p w14:paraId="0A3A65C6" w14:textId="77777777" w:rsidR="00814857" w:rsidRDefault="00814857" w:rsidP="00894126">
            <w:pPr>
              <w:pStyle w:val="ARtabletextright"/>
            </w:pPr>
            <w:r>
              <w:rPr>
                <w:noProof/>
              </w:rPr>
              <w:t>100</w:t>
            </w:r>
          </w:p>
        </w:tc>
        <w:tc>
          <w:tcPr>
            <w:tcW w:w="1022" w:type="dxa"/>
            <w:hideMark/>
          </w:tcPr>
          <w:p w14:paraId="7D5F16FF" w14:textId="77777777" w:rsidR="00814857" w:rsidRDefault="00814857" w:rsidP="00894126">
            <w:pPr>
              <w:pStyle w:val="ARtabletextright"/>
            </w:pPr>
            <w:r>
              <w:rPr>
                <w:noProof/>
              </w:rPr>
              <w:t>0.0</w:t>
            </w:r>
          </w:p>
        </w:tc>
        <w:tc>
          <w:tcPr>
            <w:tcW w:w="794" w:type="dxa"/>
            <w:hideMark/>
          </w:tcPr>
          <w:p w14:paraId="44022C13" w14:textId="77777777" w:rsidR="00814857" w:rsidRDefault="00814857" w:rsidP="00894126">
            <w:pPr>
              <w:pStyle w:val="ARtabletextright"/>
            </w:pPr>
            <w:r>
              <w:sym w:font="Wingdings" w:char="F0FC"/>
            </w:r>
          </w:p>
        </w:tc>
      </w:tr>
      <w:tr w:rsidR="00EC65CE" w14:paraId="6B6CBB23" w14:textId="77777777" w:rsidTr="00A05EB7">
        <w:trPr>
          <w:cantSplit/>
          <w:trHeight w:val="240"/>
        </w:trPr>
        <w:tc>
          <w:tcPr>
            <w:tcW w:w="9645" w:type="dxa"/>
            <w:gridSpan w:val="7"/>
            <w:tcBorders>
              <w:top w:val="single" w:sz="4" w:space="0" w:color="auto"/>
              <w:left w:val="nil"/>
              <w:bottom w:val="nil"/>
              <w:right w:val="nil"/>
            </w:tcBorders>
            <w:hideMark/>
          </w:tcPr>
          <w:p w14:paraId="1EEC545A" w14:textId="21BAE6AA" w:rsidR="00EC65CE" w:rsidRDefault="00EC65CE" w:rsidP="00A168BF">
            <w:pPr>
              <w:pStyle w:val="ARtablegreybold"/>
            </w:pPr>
            <w:r w:rsidRPr="00A168BF">
              <w:t>Cost</w:t>
            </w:r>
          </w:p>
        </w:tc>
      </w:tr>
      <w:tr w:rsidR="00814857" w14:paraId="648C9DC5" w14:textId="77777777" w:rsidTr="00894126">
        <w:trPr>
          <w:cantSplit/>
          <w:trHeight w:val="480"/>
        </w:trPr>
        <w:tc>
          <w:tcPr>
            <w:tcW w:w="4764" w:type="dxa"/>
            <w:hideMark/>
          </w:tcPr>
          <w:p w14:paraId="455421A1" w14:textId="77777777" w:rsidR="00814857" w:rsidRPr="005A6F56" w:rsidRDefault="00814857" w:rsidP="00894126">
            <w:pPr>
              <w:pStyle w:val="ARtabletext"/>
              <w:rPr>
                <w:b/>
              </w:rPr>
            </w:pPr>
            <w:r w:rsidRPr="005A6F56">
              <w:rPr>
                <w:b/>
                <w:noProof/>
              </w:rPr>
              <w:t xml:space="preserve">Total </w:t>
            </w:r>
            <w:r>
              <w:rPr>
                <w:b/>
                <w:noProof/>
              </w:rPr>
              <w:t>o</w:t>
            </w:r>
            <w:r w:rsidRPr="005A6F56">
              <w:rPr>
                <w:b/>
                <w:noProof/>
              </w:rPr>
              <w:t xml:space="preserve">utput </w:t>
            </w:r>
            <w:r>
              <w:rPr>
                <w:b/>
                <w:noProof/>
              </w:rPr>
              <w:t>c</w:t>
            </w:r>
            <w:r w:rsidRPr="005A6F56">
              <w:rPr>
                <w:b/>
                <w:noProof/>
              </w:rPr>
              <w:t>ost</w:t>
            </w:r>
          </w:p>
        </w:tc>
        <w:tc>
          <w:tcPr>
            <w:tcW w:w="1021" w:type="dxa"/>
            <w:gridSpan w:val="2"/>
            <w:hideMark/>
          </w:tcPr>
          <w:p w14:paraId="479AF754" w14:textId="77777777" w:rsidR="00814857" w:rsidRPr="005A6F56" w:rsidRDefault="00814857" w:rsidP="00894126">
            <w:pPr>
              <w:pStyle w:val="ARtabletextright"/>
              <w:rPr>
                <w:b/>
              </w:rPr>
            </w:pPr>
            <w:r w:rsidRPr="005A6F56">
              <w:rPr>
                <w:b/>
                <w:noProof/>
              </w:rPr>
              <w:t>$ million</w:t>
            </w:r>
          </w:p>
        </w:tc>
        <w:tc>
          <w:tcPr>
            <w:tcW w:w="1022" w:type="dxa"/>
            <w:hideMark/>
          </w:tcPr>
          <w:p w14:paraId="1F0F2331" w14:textId="77777777" w:rsidR="00814857" w:rsidRPr="005A6F56" w:rsidRDefault="00814857" w:rsidP="00894126">
            <w:pPr>
              <w:pStyle w:val="ARtabletextright"/>
              <w:rPr>
                <w:b/>
              </w:rPr>
            </w:pPr>
            <w:r w:rsidRPr="005A6F56">
              <w:rPr>
                <w:b/>
                <w:noProof/>
              </w:rPr>
              <w:t>189.8</w:t>
            </w:r>
          </w:p>
        </w:tc>
        <w:tc>
          <w:tcPr>
            <w:tcW w:w="1022" w:type="dxa"/>
            <w:hideMark/>
          </w:tcPr>
          <w:p w14:paraId="22C5C1D4" w14:textId="77777777" w:rsidR="00814857" w:rsidRPr="005A6F56" w:rsidRDefault="00814857" w:rsidP="00894126">
            <w:pPr>
              <w:pStyle w:val="ARtabletextright"/>
              <w:rPr>
                <w:b/>
              </w:rPr>
            </w:pPr>
            <w:r w:rsidRPr="005A6F56">
              <w:rPr>
                <w:b/>
                <w:noProof/>
              </w:rPr>
              <w:t>191</w:t>
            </w:r>
          </w:p>
        </w:tc>
        <w:tc>
          <w:tcPr>
            <w:tcW w:w="1022" w:type="dxa"/>
            <w:hideMark/>
          </w:tcPr>
          <w:p w14:paraId="17A9B03E" w14:textId="77777777" w:rsidR="00814857" w:rsidRPr="005A6F56" w:rsidRDefault="00814857" w:rsidP="00894126">
            <w:pPr>
              <w:pStyle w:val="ARtabletextright"/>
              <w:rPr>
                <w:b/>
              </w:rPr>
            </w:pPr>
            <w:r w:rsidRPr="005A6F56">
              <w:rPr>
                <w:b/>
                <w:noProof/>
              </w:rPr>
              <w:t>0.6</w:t>
            </w:r>
          </w:p>
        </w:tc>
        <w:tc>
          <w:tcPr>
            <w:tcW w:w="794" w:type="dxa"/>
            <w:hideMark/>
          </w:tcPr>
          <w:p w14:paraId="63DB0646" w14:textId="77777777" w:rsidR="00814857" w:rsidRPr="005A6F56" w:rsidRDefault="00814857" w:rsidP="00894126">
            <w:pPr>
              <w:rPr>
                <w:b/>
              </w:rPr>
            </w:pPr>
          </w:p>
        </w:tc>
      </w:tr>
      <w:tr w:rsidR="00814857" w14:paraId="0A3C2B1B" w14:textId="77777777" w:rsidTr="00894126">
        <w:trPr>
          <w:cantSplit/>
          <w:trHeight w:val="289"/>
        </w:trPr>
        <w:tc>
          <w:tcPr>
            <w:tcW w:w="5532" w:type="dxa"/>
            <w:gridSpan w:val="2"/>
            <w:tcBorders>
              <w:top w:val="single" w:sz="4" w:space="0" w:color="auto"/>
              <w:left w:val="nil"/>
              <w:bottom w:val="single" w:sz="4" w:space="0" w:color="auto"/>
              <w:right w:val="nil"/>
            </w:tcBorders>
            <w:hideMark/>
          </w:tcPr>
          <w:p w14:paraId="018D6F74" w14:textId="77777777" w:rsidR="00814857" w:rsidRDefault="00814857" w:rsidP="007C1BB4">
            <w:pPr>
              <w:pStyle w:val="ARtablebluebold"/>
            </w:pPr>
            <w:r>
              <w:t>Small Rural Services – Home and Community Care Services</w:t>
            </w:r>
          </w:p>
        </w:tc>
        <w:tc>
          <w:tcPr>
            <w:tcW w:w="253" w:type="dxa"/>
            <w:tcBorders>
              <w:top w:val="single" w:sz="4" w:space="0" w:color="auto"/>
              <w:left w:val="nil"/>
              <w:bottom w:val="single" w:sz="4" w:space="0" w:color="auto"/>
              <w:right w:val="nil"/>
            </w:tcBorders>
            <w:hideMark/>
          </w:tcPr>
          <w:p w14:paraId="29F9634C" w14:textId="77777777" w:rsidR="00814857" w:rsidRDefault="00814857" w:rsidP="007C1BB4">
            <w:pPr>
              <w:pStyle w:val="ARtablebluebold"/>
            </w:pPr>
          </w:p>
        </w:tc>
        <w:tc>
          <w:tcPr>
            <w:tcW w:w="1022" w:type="dxa"/>
            <w:tcBorders>
              <w:top w:val="single" w:sz="4" w:space="0" w:color="auto"/>
              <w:left w:val="nil"/>
              <w:bottom w:val="single" w:sz="4" w:space="0" w:color="auto"/>
              <w:right w:val="nil"/>
            </w:tcBorders>
            <w:hideMark/>
          </w:tcPr>
          <w:p w14:paraId="5F633041" w14:textId="77777777" w:rsidR="00814857" w:rsidRDefault="00814857" w:rsidP="007C1BB4">
            <w:pPr>
              <w:pStyle w:val="ARtablebluebold"/>
            </w:pPr>
          </w:p>
        </w:tc>
        <w:tc>
          <w:tcPr>
            <w:tcW w:w="1022" w:type="dxa"/>
            <w:tcBorders>
              <w:top w:val="single" w:sz="4" w:space="0" w:color="auto"/>
              <w:left w:val="nil"/>
              <w:bottom w:val="single" w:sz="4" w:space="0" w:color="auto"/>
              <w:right w:val="nil"/>
            </w:tcBorders>
            <w:hideMark/>
          </w:tcPr>
          <w:p w14:paraId="7B3F0431" w14:textId="77777777" w:rsidR="00814857" w:rsidRDefault="00814857" w:rsidP="007C1BB4">
            <w:pPr>
              <w:pStyle w:val="ARtablebluebold"/>
            </w:pPr>
          </w:p>
        </w:tc>
        <w:tc>
          <w:tcPr>
            <w:tcW w:w="1022" w:type="dxa"/>
            <w:tcBorders>
              <w:top w:val="single" w:sz="4" w:space="0" w:color="auto"/>
              <w:left w:val="nil"/>
              <w:bottom w:val="single" w:sz="4" w:space="0" w:color="auto"/>
              <w:right w:val="nil"/>
            </w:tcBorders>
            <w:hideMark/>
          </w:tcPr>
          <w:p w14:paraId="3B90B467" w14:textId="77777777" w:rsidR="00814857" w:rsidRDefault="00814857" w:rsidP="007C1BB4">
            <w:pPr>
              <w:pStyle w:val="ARtablebluebold"/>
            </w:pPr>
          </w:p>
        </w:tc>
        <w:tc>
          <w:tcPr>
            <w:tcW w:w="794" w:type="dxa"/>
            <w:tcBorders>
              <w:top w:val="single" w:sz="4" w:space="0" w:color="auto"/>
              <w:left w:val="nil"/>
              <w:bottom w:val="single" w:sz="4" w:space="0" w:color="auto"/>
              <w:right w:val="nil"/>
            </w:tcBorders>
            <w:hideMark/>
          </w:tcPr>
          <w:p w14:paraId="39659CC6" w14:textId="77777777" w:rsidR="00814857" w:rsidRDefault="00814857" w:rsidP="007C1BB4">
            <w:pPr>
              <w:pStyle w:val="ARtablebluebold"/>
            </w:pPr>
          </w:p>
        </w:tc>
      </w:tr>
      <w:tr w:rsidR="00EC65CE" w14:paraId="1E9AFF5B" w14:textId="77777777" w:rsidTr="00A05EB7">
        <w:trPr>
          <w:cantSplit/>
          <w:trHeight w:val="240"/>
        </w:trPr>
        <w:tc>
          <w:tcPr>
            <w:tcW w:w="9645" w:type="dxa"/>
            <w:gridSpan w:val="7"/>
            <w:tcBorders>
              <w:top w:val="single" w:sz="4" w:space="0" w:color="auto"/>
              <w:left w:val="nil"/>
              <w:bottom w:val="nil"/>
              <w:right w:val="nil"/>
            </w:tcBorders>
            <w:hideMark/>
          </w:tcPr>
          <w:p w14:paraId="0F8C90C8" w14:textId="1D32573B" w:rsidR="00EC65CE" w:rsidRDefault="00EC65CE" w:rsidP="00A168BF">
            <w:pPr>
              <w:pStyle w:val="ARtablegreybold"/>
            </w:pPr>
            <w:r w:rsidRPr="00A168BF">
              <w:t>Quantity</w:t>
            </w:r>
          </w:p>
        </w:tc>
      </w:tr>
      <w:tr w:rsidR="00814857" w14:paraId="2BA439AC" w14:textId="77777777" w:rsidTr="00EC65CE">
        <w:trPr>
          <w:cantSplit/>
          <w:trHeight w:val="480"/>
        </w:trPr>
        <w:tc>
          <w:tcPr>
            <w:tcW w:w="4764" w:type="dxa"/>
            <w:hideMark/>
          </w:tcPr>
          <w:p w14:paraId="3B431077" w14:textId="77777777" w:rsidR="00814857" w:rsidRDefault="00814857" w:rsidP="00894126">
            <w:pPr>
              <w:pStyle w:val="ARtabletext"/>
            </w:pPr>
            <w:r>
              <w:rPr>
                <w:noProof/>
              </w:rPr>
              <w:t>Home and Community Care for Younger People – hours of service delivery</w:t>
            </w:r>
          </w:p>
        </w:tc>
        <w:tc>
          <w:tcPr>
            <w:tcW w:w="1021" w:type="dxa"/>
            <w:gridSpan w:val="2"/>
            <w:hideMark/>
          </w:tcPr>
          <w:p w14:paraId="16DB66DF" w14:textId="77777777" w:rsidR="00814857" w:rsidRDefault="00814857" w:rsidP="00894126">
            <w:pPr>
              <w:pStyle w:val="ARtabletextright"/>
            </w:pPr>
            <w:r>
              <w:rPr>
                <w:noProof/>
              </w:rPr>
              <w:t>hours</w:t>
            </w:r>
          </w:p>
        </w:tc>
        <w:tc>
          <w:tcPr>
            <w:tcW w:w="1022" w:type="dxa"/>
            <w:hideMark/>
          </w:tcPr>
          <w:p w14:paraId="7A0630FB" w14:textId="77777777" w:rsidR="00814857" w:rsidRDefault="00814857" w:rsidP="00894126">
            <w:pPr>
              <w:pStyle w:val="ARtabletextright"/>
            </w:pPr>
            <w:r>
              <w:rPr>
                <w:noProof/>
              </w:rPr>
              <w:t>88,919</w:t>
            </w:r>
          </w:p>
        </w:tc>
        <w:tc>
          <w:tcPr>
            <w:tcW w:w="1022" w:type="dxa"/>
            <w:hideMark/>
          </w:tcPr>
          <w:p w14:paraId="5A920152" w14:textId="77777777" w:rsidR="00814857" w:rsidRDefault="00814857" w:rsidP="00894126">
            <w:pPr>
              <w:pStyle w:val="ARtabletextright"/>
            </w:pPr>
            <w:r>
              <w:rPr>
                <w:noProof/>
              </w:rPr>
              <w:t>75,376</w:t>
            </w:r>
          </w:p>
        </w:tc>
        <w:tc>
          <w:tcPr>
            <w:tcW w:w="1022" w:type="dxa"/>
            <w:hideMark/>
          </w:tcPr>
          <w:p w14:paraId="2E49959C" w14:textId="77777777" w:rsidR="00814857" w:rsidRDefault="00814857" w:rsidP="00894126">
            <w:pPr>
              <w:pStyle w:val="ARtabletextright"/>
            </w:pPr>
            <w:r>
              <w:rPr>
                <w:noProof/>
              </w:rPr>
              <w:t>-15.2</w:t>
            </w:r>
          </w:p>
        </w:tc>
        <w:tc>
          <w:tcPr>
            <w:tcW w:w="794" w:type="dxa"/>
            <w:hideMark/>
          </w:tcPr>
          <w:p w14:paraId="57FD4DF3" w14:textId="77777777" w:rsidR="00814857" w:rsidRDefault="00814857" w:rsidP="00894126">
            <w:pPr>
              <w:pStyle w:val="ARtabletextright"/>
            </w:pPr>
            <w:r>
              <w:sym w:font="Wingdings" w:char="F06E"/>
            </w:r>
          </w:p>
        </w:tc>
      </w:tr>
      <w:tr w:rsidR="00814857" w14:paraId="39A2A875" w14:textId="77777777" w:rsidTr="00EC65CE">
        <w:trPr>
          <w:cantSplit/>
          <w:trHeight w:val="238"/>
        </w:trPr>
        <w:tc>
          <w:tcPr>
            <w:tcW w:w="9645" w:type="dxa"/>
            <w:gridSpan w:val="7"/>
            <w:tcBorders>
              <w:top w:val="nil"/>
              <w:left w:val="nil"/>
              <w:bottom w:val="single" w:sz="4" w:space="0" w:color="auto"/>
              <w:right w:val="nil"/>
            </w:tcBorders>
            <w:noWrap/>
            <w:hideMark/>
          </w:tcPr>
          <w:p w14:paraId="56453F85" w14:textId="3E547900" w:rsidR="00814857" w:rsidRDefault="00814857" w:rsidP="00894126">
            <w:pPr>
              <w:pStyle w:val="ARtablenoteindent"/>
            </w:pPr>
            <w:r>
              <w:rPr>
                <w:noProof/>
              </w:rPr>
              <w:t>Preliminary result. Actual end-of-year results will be available late 2019. This measure is being impacted by the</w:t>
            </w:r>
            <w:r w:rsidR="009D25FB">
              <w:t xml:space="preserve"> </w:t>
            </w:r>
            <w:r w:rsidR="009D25FB" w:rsidRPr="009D25FB">
              <w:rPr>
                <w:noProof/>
              </w:rPr>
              <w:t>National Disability Insurance Scheme</w:t>
            </w:r>
            <w:r>
              <w:rPr>
                <w:noProof/>
              </w:rPr>
              <w:t xml:space="preserve"> </w:t>
            </w:r>
            <w:r w:rsidR="009D25FB">
              <w:rPr>
                <w:noProof/>
              </w:rPr>
              <w:t>(</w:t>
            </w:r>
            <w:r>
              <w:rPr>
                <w:noProof/>
              </w:rPr>
              <w:t>NDIS</w:t>
            </w:r>
            <w:r w:rsidR="009D25FB">
              <w:rPr>
                <w:noProof/>
              </w:rPr>
              <w:t>)</w:t>
            </w:r>
            <w:r>
              <w:rPr>
                <w:noProof/>
              </w:rPr>
              <w:t xml:space="preserve"> transition. </w:t>
            </w:r>
            <w:r w:rsidRPr="002C4A10">
              <w:t xml:space="preserve">The </w:t>
            </w:r>
            <w:r>
              <w:t xml:space="preserve">2019–20 </w:t>
            </w:r>
            <w:r w:rsidRPr="002C4A10">
              <w:t>target</w:t>
            </w:r>
            <w:r>
              <w:t xml:space="preserve"> has been lowered to </w:t>
            </w:r>
            <w:r w:rsidRPr="002C4A10">
              <w:t>reflect the effect of Victorian clients transitioning to the NDIS.</w:t>
            </w:r>
          </w:p>
        </w:tc>
      </w:tr>
      <w:tr w:rsidR="00EC65CE" w14:paraId="34EAFE46" w14:textId="77777777" w:rsidTr="00EC65CE">
        <w:trPr>
          <w:cantSplit/>
          <w:trHeight w:val="240"/>
        </w:trPr>
        <w:tc>
          <w:tcPr>
            <w:tcW w:w="9645" w:type="dxa"/>
            <w:gridSpan w:val="7"/>
            <w:tcBorders>
              <w:top w:val="single" w:sz="4" w:space="0" w:color="auto"/>
              <w:left w:val="nil"/>
              <w:bottom w:val="nil"/>
              <w:right w:val="nil"/>
            </w:tcBorders>
            <w:hideMark/>
          </w:tcPr>
          <w:p w14:paraId="74A339BD" w14:textId="7D28A442" w:rsidR="00EC65CE" w:rsidRDefault="00EC65CE" w:rsidP="00EC65CE">
            <w:pPr>
              <w:pStyle w:val="ARtablegreybold"/>
              <w:keepNext/>
            </w:pPr>
            <w:r w:rsidRPr="00A168BF">
              <w:lastRenderedPageBreak/>
              <w:t>Cost</w:t>
            </w:r>
          </w:p>
        </w:tc>
      </w:tr>
      <w:tr w:rsidR="00814857" w14:paraId="02AF9FBD" w14:textId="77777777" w:rsidTr="00894126">
        <w:trPr>
          <w:cantSplit/>
          <w:trHeight w:val="480"/>
        </w:trPr>
        <w:tc>
          <w:tcPr>
            <w:tcW w:w="4764" w:type="dxa"/>
            <w:hideMark/>
          </w:tcPr>
          <w:p w14:paraId="36298B96" w14:textId="77777777" w:rsidR="00814857" w:rsidRPr="005A6F56" w:rsidRDefault="00814857" w:rsidP="00894126">
            <w:pPr>
              <w:pStyle w:val="ARtabletext"/>
              <w:rPr>
                <w:b/>
              </w:rPr>
            </w:pPr>
            <w:r w:rsidRPr="005A6F56">
              <w:rPr>
                <w:b/>
                <w:noProof/>
              </w:rPr>
              <w:t xml:space="preserve">Total </w:t>
            </w:r>
            <w:r>
              <w:rPr>
                <w:b/>
                <w:noProof/>
              </w:rPr>
              <w:t>o</w:t>
            </w:r>
            <w:r w:rsidRPr="005A6F56">
              <w:rPr>
                <w:b/>
                <w:noProof/>
              </w:rPr>
              <w:t xml:space="preserve">utput </w:t>
            </w:r>
            <w:r>
              <w:rPr>
                <w:b/>
                <w:noProof/>
              </w:rPr>
              <w:t>c</w:t>
            </w:r>
            <w:r w:rsidRPr="005A6F56">
              <w:rPr>
                <w:b/>
                <w:noProof/>
              </w:rPr>
              <w:t>ost</w:t>
            </w:r>
          </w:p>
        </w:tc>
        <w:tc>
          <w:tcPr>
            <w:tcW w:w="1021" w:type="dxa"/>
            <w:gridSpan w:val="2"/>
            <w:hideMark/>
          </w:tcPr>
          <w:p w14:paraId="72DCD042" w14:textId="77777777" w:rsidR="00814857" w:rsidRPr="005A6F56" w:rsidRDefault="00814857" w:rsidP="00894126">
            <w:pPr>
              <w:pStyle w:val="ARtabletextright"/>
              <w:rPr>
                <w:b/>
              </w:rPr>
            </w:pPr>
            <w:r w:rsidRPr="005A6F56">
              <w:rPr>
                <w:b/>
                <w:noProof/>
              </w:rPr>
              <w:t>$ million</w:t>
            </w:r>
          </w:p>
        </w:tc>
        <w:tc>
          <w:tcPr>
            <w:tcW w:w="1022" w:type="dxa"/>
            <w:hideMark/>
          </w:tcPr>
          <w:p w14:paraId="1C2E5ADB" w14:textId="77777777" w:rsidR="00814857" w:rsidRPr="005A6F56" w:rsidRDefault="00814857" w:rsidP="00894126">
            <w:pPr>
              <w:pStyle w:val="ARtabletextright"/>
              <w:rPr>
                <w:b/>
              </w:rPr>
            </w:pPr>
            <w:r w:rsidRPr="005A6F56">
              <w:rPr>
                <w:b/>
                <w:noProof/>
              </w:rPr>
              <w:t>12.1</w:t>
            </w:r>
          </w:p>
        </w:tc>
        <w:tc>
          <w:tcPr>
            <w:tcW w:w="1022" w:type="dxa"/>
            <w:hideMark/>
          </w:tcPr>
          <w:p w14:paraId="3960462C" w14:textId="77777777" w:rsidR="00814857" w:rsidRPr="005A6F56" w:rsidRDefault="00814857" w:rsidP="00894126">
            <w:pPr>
              <w:pStyle w:val="ARtabletextright"/>
              <w:rPr>
                <w:b/>
              </w:rPr>
            </w:pPr>
            <w:r w:rsidRPr="005A6F56">
              <w:rPr>
                <w:b/>
                <w:noProof/>
              </w:rPr>
              <w:t>5.3</w:t>
            </w:r>
          </w:p>
        </w:tc>
        <w:tc>
          <w:tcPr>
            <w:tcW w:w="1022" w:type="dxa"/>
            <w:hideMark/>
          </w:tcPr>
          <w:p w14:paraId="3D70CBD1" w14:textId="77777777" w:rsidR="00814857" w:rsidRPr="005A6F56" w:rsidRDefault="00814857" w:rsidP="00894126">
            <w:pPr>
              <w:pStyle w:val="ARtabletextright"/>
              <w:rPr>
                <w:b/>
              </w:rPr>
            </w:pPr>
            <w:r w:rsidRPr="005A6F56">
              <w:rPr>
                <w:b/>
                <w:noProof/>
              </w:rPr>
              <w:t>-56.5</w:t>
            </w:r>
          </w:p>
        </w:tc>
        <w:tc>
          <w:tcPr>
            <w:tcW w:w="794" w:type="dxa"/>
            <w:hideMark/>
          </w:tcPr>
          <w:p w14:paraId="2B47F5DB" w14:textId="77777777" w:rsidR="00814857" w:rsidRPr="005A6F56" w:rsidRDefault="00814857" w:rsidP="00894126">
            <w:pPr>
              <w:rPr>
                <w:b/>
              </w:rPr>
            </w:pPr>
          </w:p>
        </w:tc>
      </w:tr>
      <w:tr w:rsidR="00814857" w14:paraId="75A84F70" w14:textId="77777777" w:rsidTr="00894126">
        <w:trPr>
          <w:cantSplit/>
          <w:trHeight w:val="240"/>
        </w:trPr>
        <w:tc>
          <w:tcPr>
            <w:tcW w:w="9645" w:type="dxa"/>
            <w:gridSpan w:val="7"/>
            <w:tcBorders>
              <w:top w:val="nil"/>
              <w:left w:val="nil"/>
              <w:bottom w:val="single" w:sz="4" w:space="0" w:color="BFBFBF"/>
              <w:right w:val="nil"/>
            </w:tcBorders>
            <w:noWrap/>
            <w:hideMark/>
          </w:tcPr>
          <w:p w14:paraId="268FCC96" w14:textId="18C46EBF" w:rsidR="00814857" w:rsidRDefault="00814857" w:rsidP="00894126">
            <w:pPr>
              <w:pStyle w:val="ARtablenoteindent"/>
            </w:pPr>
            <w:r w:rsidRPr="008F76F1">
              <w:rPr>
                <w:noProof/>
              </w:rPr>
              <w:t>The 2018</w:t>
            </w:r>
            <w:r>
              <w:rPr>
                <w:noProof/>
              </w:rPr>
              <w:t>–</w:t>
            </w:r>
            <w:r w:rsidRPr="008F76F1">
              <w:rPr>
                <w:noProof/>
              </w:rPr>
              <w:t xml:space="preserve">19 actual outcome reflects higher than expected contribution to the Commonwealth for the </w:t>
            </w:r>
            <w:r w:rsidR="009D25FB">
              <w:rPr>
                <w:noProof/>
              </w:rPr>
              <w:t>NDIS</w:t>
            </w:r>
            <w:r w:rsidRPr="008F76F1">
              <w:rPr>
                <w:noProof/>
              </w:rPr>
              <w:t xml:space="preserve"> and lower than estimated third-party revenue.</w:t>
            </w:r>
          </w:p>
        </w:tc>
      </w:tr>
      <w:tr w:rsidR="00EC65CE" w14:paraId="3C51ABC6" w14:textId="77777777" w:rsidTr="00A05EB7">
        <w:trPr>
          <w:cantSplit/>
          <w:trHeight w:val="289"/>
        </w:trPr>
        <w:tc>
          <w:tcPr>
            <w:tcW w:w="9645" w:type="dxa"/>
            <w:gridSpan w:val="7"/>
            <w:tcBorders>
              <w:top w:val="single" w:sz="4" w:space="0" w:color="auto"/>
              <w:left w:val="nil"/>
              <w:bottom w:val="single" w:sz="4" w:space="0" w:color="auto"/>
              <w:right w:val="nil"/>
            </w:tcBorders>
            <w:hideMark/>
          </w:tcPr>
          <w:p w14:paraId="488F4B89" w14:textId="66812D2A" w:rsidR="00EC65CE" w:rsidRDefault="00EC65CE" w:rsidP="007C1BB4">
            <w:pPr>
              <w:pStyle w:val="ARtablebluebold"/>
            </w:pPr>
            <w:bookmarkStart w:id="79" w:name="_Hlk21519423"/>
            <w:r>
              <w:t>Small Rural Services – Primary Health</w:t>
            </w:r>
          </w:p>
        </w:tc>
      </w:tr>
      <w:bookmarkEnd w:id="79"/>
      <w:tr w:rsidR="00EC65CE" w14:paraId="775223BE" w14:textId="77777777" w:rsidTr="00A05EB7">
        <w:trPr>
          <w:cantSplit/>
          <w:trHeight w:val="240"/>
        </w:trPr>
        <w:tc>
          <w:tcPr>
            <w:tcW w:w="9645" w:type="dxa"/>
            <w:gridSpan w:val="7"/>
            <w:tcBorders>
              <w:top w:val="single" w:sz="4" w:space="0" w:color="auto"/>
              <w:left w:val="nil"/>
              <w:bottom w:val="nil"/>
              <w:right w:val="nil"/>
            </w:tcBorders>
            <w:hideMark/>
          </w:tcPr>
          <w:p w14:paraId="466A4E7E" w14:textId="0222F0ED" w:rsidR="00EC65CE" w:rsidRDefault="00EC65CE" w:rsidP="007C1BB4">
            <w:pPr>
              <w:pStyle w:val="ARtablegreybold"/>
            </w:pPr>
            <w:r w:rsidRPr="007C1BB4">
              <w:t>Quantity</w:t>
            </w:r>
          </w:p>
        </w:tc>
      </w:tr>
      <w:tr w:rsidR="00814857" w14:paraId="5F6C89AD" w14:textId="77777777" w:rsidTr="00894126">
        <w:trPr>
          <w:cantSplit/>
          <w:trHeight w:val="480"/>
        </w:trPr>
        <w:tc>
          <w:tcPr>
            <w:tcW w:w="4764" w:type="dxa"/>
            <w:hideMark/>
          </w:tcPr>
          <w:p w14:paraId="25322669" w14:textId="77777777" w:rsidR="00814857" w:rsidRDefault="00814857" w:rsidP="00894126">
            <w:pPr>
              <w:pStyle w:val="ARtabletext"/>
            </w:pPr>
            <w:r>
              <w:rPr>
                <w:noProof/>
              </w:rPr>
              <w:t>Service delivery hours in community health care</w:t>
            </w:r>
          </w:p>
        </w:tc>
        <w:tc>
          <w:tcPr>
            <w:tcW w:w="1021" w:type="dxa"/>
            <w:gridSpan w:val="2"/>
            <w:hideMark/>
          </w:tcPr>
          <w:p w14:paraId="0FF863B0" w14:textId="77777777" w:rsidR="00814857" w:rsidRDefault="00814857" w:rsidP="00894126">
            <w:pPr>
              <w:pStyle w:val="ARtabletextright"/>
            </w:pPr>
            <w:r>
              <w:rPr>
                <w:noProof/>
              </w:rPr>
              <w:t>number</w:t>
            </w:r>
          </w:p>
        </w:tc>
        <w:tc>
          <w:tcPr>
            <w:tcW w:w="1022" w:type="dxa"/>
            <w:hideMark/>
          </w:tcPr>
          <w:p w14:paraId="47150CBC" w14:textId="77777777" w:rsidR="00814857" w:rsidRDefault="00814857" w:rsidP="00894126">
            <w:pPr>
              <w:pStyle w:val="ARtabletextright"/>
            </w:pPr>
            <w:r>
              <w:rPr>
                <w:noProof/>
              </w:rPr>
              <w:t>99,000</w:t>
            </w:r>
          </w:p>
        </w:tc>
        <w:tc>
          <w:tcPr>
            <w:tcW w:w="1022" w:type="dxa"/>
            <w:hideMark/>
          </w:tcPr>
          <w:p w14:paraId="0D96722D" w14:textId="77777777" w:rsidR="00814857" w:rsidRDefault="00814857" w:rsidP="00894126">
            <w:pPr>
              <w:pStyle w:val="ARtabletextright"/>
            </w:pPr>
            <w:r>
              <w:rPr>
                <w:noProof/>
              </w:rPr>
              <w:t>105,375</w:t>
            </w:r>
          </w:p>
        </w:tc>
        <w:tc>
          <w:tcPr>
            <w:tcW w:w="1022" w:type="dxa"/>
            <w:hideMark/>
          </w:tcPr>
          <w:p w14:paraId="5FA6CEB6" w14:textId="77777777" w:rsidR="00814857" w:rsidRDefault="00814857" w:rsidP="00894126">
            <w:pPr>
              <w:pStyle w:val="ARtabletextright"/>
            </w:pPr>
            <w:r>
              <w:rPr>
                <w:noProof/>
              </w:rPr>
              <w:t>6.4</w:t>
            </w:r>
          </w:p>
        </w:tc>
        <w:tc>
          <w:tcPr>
            <w:tcW w:w="794" w:type="dxa"/>
            <w:hideMark/>
          </w:tcPr>
          <w:p w14:paraId="1D54F5F5" w14:textId="77777777" w:rsidR="00814857" w:rsidRDefault="00814857" w:rsidP="00894126">
            <w:pPr>
              <w:pStyle w:val="ARtabletextright"/>
            </w:pPr>
            <w:r>
              <w:sym w:font="Wingdings" w:char="F0FC"/>
            </w:r>
          </w:p>
        </w:tc>
      </w:tr>
      <w:tr w:rsidR="00814857" w14:paraId="7DEC7162" w14:textId="77777777" w:rsidTr="00894126">
        <w:trPr>
          <w:cantSplit/>
          <w:trHeight w:val="240"/>
        </w:trPr>
        <w:tc>
          <w:tcPr>
            <w:tcW w:w="9645" w:type="dxa"/>
            <w:gridSpan w:val="7"/>
            <w:tcBorders>
              <w:top w:val="nil"/>
              <w:left w:val="nil"/>
              <w:bottom w:val="single" w:sz="4" w:space="0" w:color="BFBFBF"/>
              <w:right w:val="nil"/>
            </w:tcBorders>
            <w:noWrap/>
            <w:hideMark/>
          </w:tcPr>
          <w:p w14:paraId="61EA8B3C" w14:textId="77777777" w:rsidR="00814857" w:rsidRDefault="00814857" w:rsidP="00894126">
            <w:pPr>
              <w:pStyle w:val="ARtablenoteindent"/>
            </w:pPr>
            <w:r>
              <w:rPr>
                <w:noProof/>
              </w:rPr>
              <w:t>Preliminary result. Actual end-of-year results will be available at late 2019. There is consistent over performance on this measure which is a positive result. Additional service delivery hours are due to the permissible use of funding from other Small Rural Services outputs to provide primary health services according to local needs.</w:t>
            </w:r>
          </w:p>
        </w:tc>
      </w:tr>
      <w:tr w:rsidR="00EC65CE" w14:paraId="0572D59B" w14:textId="77777777" w:rsidTr="00A05EB7">
        <w:trPr>
          <w:cantSplit/>
          <w:trHeight w:val="240"/>
        </w:trPr>
        <w:tc>
          <w:tcPr>
            <w:tcW w:w="9645" w:type="dxa"/>
            <w:gridSpan w:val="7"/>
            <w:tcBorders>
              <w:top w:val="single" w:sz="4" w:space="0" w:color="auto"/>
              <w:left w:val="nil"/>
              <w:bottom w:val="nil"/>
              <w:right w:val="nil"/>
            </w:tcBorders>
            <w:hideMark/>
          </w:tcPr>
          <w:p w14:paraId="12D80CE1" w14:textId="2512DA42" w:rsidR="00EC65CE" w:rsidRDefault="00EC65CE" w:rsidP="00170CD2">
            <w:pPr>
              <w:pStyle w:val="ARtablegreybold"/>
            </w:pPr>
            <w:bookmarkStart w:id="80" w:name="_Hlk21519415"/>
            <w:r w:rsidRPr="00170CD2">
              <w:t>Cost</w:t>
            </w:r>
          </w:p>
        </w:tc>
      </w:tr>
      <w:tr w:rsidR="00814857" w14:paraId="6E162F27" w14:textId="77777777" w:rsidTr="00EC65CE">
        <w:trPr>
          <w:cantSplit/>
          <w:trHeight w:val="480"/>
        </w:trPr>
        <w:tc>
          <w:tcPr>
            <w:tcW w:w="4764" w:type="dxa"/>
            <w:hideMark/>
          </w:tcPr>
          <w:p w14:paraId="217941D3" w14:textId="77777777" w:rsidR="00814857" w:rsidRPr="004305B0" w:rsidRDefault="00814857" w:rsidP="00894126">
            <w:pPr>
              <w:pStyle w:val="ARtabletext"/>
              <w:rPr>
                <w:b/>
              </w:rPr>
            </w:pPr>
            <w:r w:rsidRPr="004305B0">
              <w:rPr>
                <w:b/>
                <w:noProof/>
              </w:rPr>
              <w:t xml:space="preserve">Total </w:t>
            </w:r>
            <w:r>
              <w:rPr>
                <w:b/>
                <w:noProof/>
              </w:rPr>
              <w:t>o</w:t>
            </w:r>
            <w:r w:rsidRPr="004305B0">
              <w:rPr>
                <w:b/>
                <w:noProof/>
              </w:rPr>
              <w:t xml:space="preserve">utput </w:t>
            </w:r>
            <w:r>
              <w:rPr>
                <w:b/>
                <w:noProof/>
              </w:rPr>
              <w:t>c</w:t>
            </w:r>
            <w:r w:rsidRPr="004305B0">
              <w:rPr>
                <w:b/>
                <w:noProof/>
              </w:rPr>
              <w:t>ost</w:t>
            </w:r>
          </w:p>
        </w:tc>
        <w:tc>
          <w:tcPr>
            <w:tcW w:w="1021" w:type="dxa"/>
            <w:gridSpan w:val="2"/>
            <w:hideMark/>
          </w:tcPr>
          <w:p w14:paraId="43DEFD11" w14:textId="77777777" w:rsidR="00814857" w:rsidRPr="004305B0" w:rsidRDefault="00814857" w:rsidP="00894126">
            <w:pPr>
              <w:pStyle w:val="ARtabletextright"/>
              <w:rPr>
                <w:b/>
              </w:rPr>
            </w:pPr>
            <w:r w:rsidRPr="004305B0">
              <w:rPr>
                <w:b/>
                <w:noProof/>
              </w:rPr>
              <w:t>$ million</w:t>
            </w:r>
          </w:p>
        </w:tc>
        <w:tc>
          <w:tcPr>
            <w:tcW w:w="1022" w:type="dxa"/>
            <w:hideMark/>
          </w:tcPr>
          <w:p w14:paraId="5C9F3E9B" w14:textId="77777777" w:rsidR="00814857" w:rsidRPr="004305B0" w:rsidRDefault="00814857" w:rsidP="00894126">
            <w:pPr>
              <w:pStyle w:val="ARtabletextright"/>
              <w:rPr>
                <w:b/>
              </w:rPr>
            </w:pPr>
            <w:r w:rsidRPr="004305B0">
              <w:rPr>
                <w:b/>
                <w:noProof/>
              </w:rPr>
              <w:t>20.6</w:t>
            </w:r>
          </w:p>
        </w:tc>
        <w:tc>
          <w:tcPr>
            <w:tcW w:w="1022" w:type="dxa"/>
            <w:hideMark/>
          </w:tcPr>
          <w:p w14:paraId="64319A72" w14:textId="77777777" w:rsidR="00814857" w:rsidRPr="004305B0" w:rsidRDefault="00814857" w:rsidP="00894126">
            <w:pPr>
              <w:pStyle w:val="ARtabletextright"/>
              <w:rPr>
                <w:b/>
              </w:rPr>
            </w:pPr>
            <w:r w:rsidRPr="004305B0">
              <w:rPr>
                <w:b/>
                <w:noProof/>
              </w:rPr>
              <w:t>19</w:t>
            </w:r>
          </w:p>
        </w:tc>
        <w:tc>
          <w:tcPr>
            <w:tcW w:w="1022" w:type="dxa"/>
            <w:hideMark/>
          </w:tcPr>
          <w:p w14:paraId="5DFEF4F5" w14:textId="77777777" w:rsidR="00814857" w:rsidRPr="004305B0" w:rsidRDefault="00814857" w:rsidP="00894126">
            <w:pPr>
              <w:pStyle w:val="ARtabletextright"/>
              <w:rPr>
                <w:b/>
              </w:rPr>
            </w:pPr>
            <w:r w:rsidRPr="004305B0">
              <w:rPr>
                <w:b/>
                <w:noProof/>
              </w:rPr>
              <w:t>-7.7</w:t>
            </w:r>
          </w:p>
        </w:tc>
        <w:tc>
          <w:tcPr>
            <w:tcW w:w="794" w:type="dxa"/>
            <w:hideMark/>
          </w:tcPr>
          <w:p w14:paraId="19084A46" w14:textId="77777777" w:rsidR="00814857" w:rsidRPr="004305B0" w:rsidRDefault="00814857" w:rsidP="00894126">
            <w:pPr>
              <w:rPr>
                <w:b/>
              </w:rPr>
            </w:pPr>
          </w:p>
        </w:tc>
      </w:tr>
      <w:tr w:rsidR="00814857" w14:paraId="19E89DE3" w14:textId="77777777" w:rsidTr="00EC65CE">
        <w:trPr>
          <w:cantSplit/>
          <w:trHeight w:val="240"/>
        </w:trPr>
        <w:tc>
          <w:tcPr>
            <w:tcW w:w="9645" w:type="dxa"/>
            <w:gridSpan w:val="7"/>
            <w:tcBorders>
              <w:top w:val="nil"/>
              <w:left w:val="nil"/>
              <w:bottom w:val="single" w:sz="4" w:space="0" w:color="auto"/>
              <w:right w:val="nil"/>
            </w:tcBorders>
            <w:noWrap/>
            <w:hideMark/>
          </w:tcPr>
          <w:p w14:paraId="641BCF32" w14:textId="77777777" w:rsidR="00814857" w:rsidRDefault="00814857" w:rsidP="00894126">
            <w:pPr>
              <w:pStyle w:val="ARtablenoteindent"/>
            </w:pPr>
            <w:r w:rsidRPr="008F76F1">
              <w:rPr>
                <w:noProof/>
              </w:rPr>
              <w:t>The result reflects an output realignment in line with the transfer of service delivery hours from Small Rural Services – Primary Care output to the Community Health Care output as a result of the voluntary amalgamation of Macedon Ranges Health and Benetas.</w:t>
            </w:r>
          </w:p>
        </w:tc>
      </w:tr>
    </w:tbl>
    <w:p w14:paraId="0BFDD673" w14:textId="77777777" w:rsidR="00814857" w:rsidRDefault="00814857" w:rsidP="002909DA">
      <w:pPr>
        <w:pStyle w:val="Heading2"/>
      </w:pPr>
      <w:bookmarkStart w:id="81" w:name="_Toc18954482"/>
      <w:bookmarkStart w:id="82" w:name="_Toc18955084"/>
      <w:bookmarkEnd w:id="80"/>
      <w:r>
        <w:t>Child Protection and Family Services</w:t>
      </w:r>
      <w:bookmarkEnd w:id="81"/>
      <w:bookmarkEnd w:id="82"/>
    </w:p>
    <w:p w14:paraId="2418AA1C" w14:textId="77777777" w:rsidR="00814857" w:rsidRPr="00030BBE" w:rsidRDefault="00814857" w:rsidP="0055734C">
      <w:pPr>
        <w:autoSpaceDE w:val="0"/>
        <w:autoSpaceDN w:val="0"/>
      </w:pPr>
      <w:r>
        <w:rPr>
          <w:rFonts w:ascii="ArialMT" w:hAnsi="ArialMT"/>
          <w:color w:val="000000"/>
        </w:rPr>
        <w:t>The Child Protection and Family Services output, through the funding and statutory child protection services, family support and parenting services, family violence and sexual assault services, adoption and placement care services and specialist support services, aims to ensure the safety and wellbeing of adolescents and children at risk of harm, abuse and neglect. This output aims to make a positive difference to Victorians experiencing disadvantage by providing excellent community services to meet clients’ needs.</w:t>
      </w:r>
    </w:p>
    <w:tbl>
      <w:tblPr>
        <w:tblW w:w="9645" w:type="dxa"/>
        <w:tblLayout w:type="fixed"/>
        <w:tblCellMar>
          <w:left w:w="0" w:type="dxa"/>
        </w:tblCellMar>
        <w:tblLook w:val="04A0" w:firstRow="1" w:lastRow="0" w:firstColumn="1" w:lastColumn="0" w:noHBand="0" w:noVBand="1"/>
      </w:tblPr>
      <w:tblGrid>
        <w:gridCol w:w="4764"/>
        <w:gridCol w:w="1021"/>
        <w:gridCol w:w="1022"/>
        <w:gridCol w:w="1022"/>
        <w:gridCol w:w="1022"/>
        <w:gridCol w:w="794"/>
      </w:tblGrid>
      <w:tr w:rsidR="00814857" w14:paraId="265B13F8" w14:textId="77777777" w:rsidTr="00894126">
        <w:trPr>
          <w:cantSplit/>
          <w:trHeight w:val="480"/>
          <w:tblHeader/>
        </w:trPr>
        <w:tc>
          <w:tcPr>
            <w:tcW w:w="4764" w:type="dxa"/>
            <w:tcBorders>
              <w:top w:val="nil"/>
              <w:left w:val="nil"/>
              <w:bottom w:val="single" w:sz="4" w:space="0" w:color="auto"/>
              <w:right w:val="nil"/>
            </w:tcBorders>
            <w:vAlign w:val="bottom"/>
            <w:hideMark/>
          </w:tcPr>
          <w:p w14:paraId="6142ADB7" w14:textId="77777777" w:rsidR="00814857" w:rsidRDefault="00814857" w:rsidP="00894126">
            <w:pPr>
              <w:pStyle w:val="ARtablecolhead"/>
            </w:pPr>
            <w:r>
              <w:t>Performance measures</w:t>
            </w:r>
          </w:p>
        </w:tc>
        <w:tc>
          <w:tcPr>
            <w:tcW w:w="1021" w:type="dxa"/>
            <w:tcBorders>
              <w:top w:val="nil"/>
              <w:left w:val="nil"/>
              <w:bottom w:val="single" w:sz="4" w:space="0" w:color="auto"/>
              <w:right w:val="nil"/>
            </w:tcBorders>
            <w:vAlign w:val="bottom"/>
            <w:hideMark/>
          </w:tcPr>
          <w:p w14:paraId="560F3280" w14:textId="77777777" w:rsidR="00814857" w:rsidRDefault="00814857" w:rsidP="00894126">
            <w:pPr>
              <w:pStyle w:val="ARtablecolheadright"/>
            </w:pPr>
            <w:r>
              <w:t>Unit of measure</w:t>
            </w:r>
          </w:p>
        </w:tc>
        <w:tc>
          <w:tcPr>
            <w:tcW w:w="1022" w:type="dxa"/>
            <w:tcBorders>
              <w:top w:val="nil"/>
              <w:left w:val="nil"/>
              <w:bottom w:val="single" w:sz="4" w:space="0" w:color="auto"/>
              <w:right w:val="nil"/>
            </w:tcBorders>
            <w:vAlign w:val="bottom"/>
            <w:hideMark/>
          </w:tcPr>
          <w:p w14:paraId="20113D5B" w14:textId="77777777" w:rsidR="00814857" w:rsidRDefault="00814857" w:rsidP="00894126">
            <w:pPr>
              <w:pStyle w:val="ARtablecolheadright"/>
            </w:pPr>
            <w:r>
              <w:t>2018–19 target</w:t>
            </w:r>
          </w:p>
        </w:tc>
        <w:tc>
          <w:tcPr>
            <w:tcW w:w="1022" w:type="dxa"/>
            <w:tcBorders>
              <w:top w:val="nil"/>
              <w:left w:val="nil"/>
              <w:bottom w:val="single" w:sz="4" w:space="0" w:color="auto"/>
              <w:right w:val="nil"/>
            </w:tcBorders>
            <w:vAlign w:val="bottom"/>
            <w:hideMark/>
          </w:tcPr>
          <w:p w14:paraId="506B9244" w14:textId="77777777" w:rsidR="00814857" w:rsidRDefault="00814857" w:rsidP="00894126">
            <w:pPr>
              <w:pStyle w:val="ARtablecolheadright"/>
            </w:pPr>
            <w:r>
              <w:t>2018–19 actual</w:t>
            </w:r>
          </w:p>
        </w:tc>
        <w:tc>
          <w:tcPr>
            <w:tcW w:w="1022" w:type="dxa"/>
            <w:tcBorders>
              <w:top w:val="nil"/>
              <w:left w:val="nil"/>
              <w:bottom w:val="single" w:sz="4" w:space="0" w:color="auto"/>
              <w:right w:val="nil"/>
            </w:tcBorders>
            <w:vAlign w:val="bottom"/>
            <w:hideMark/>
          </w:tcPr>
          <w:p w14:paraId="49D71C1C" w14:textId="77777777" w:rsidR="00814857" w:rsidRDefault="00814857" w:rsidP="00894126">
            <w:pPr>
              <w:pStyle w:val="ARtablecolheadright"/>
            </w:pPr>
            <w:r>
              <w:t>Variation (%)</w:t>
            </w:r>
          </w:p>
        </w:tc>
        <w:tc>
          <w:tcPr>
            <w:tcW w:w="794" w:type="dxa"/>
            <w:tcBorders>
              <w:top w:val="nil"/>
              <w:left w:val="nil"/>
              <w:bottom w:val="single" w:sz="4" w:space="0" w:color="auto"/>
              <w:right w:val="nil"/>
            </w:tcBorders>
            <w:vAlign w:val="bottom"/>
            <w:hideMark/>
          </w:tcPr>
          <w:p w14:paraId="5C5E3D1B" w14:textId="77777777" w:rsidR="00814857" w:rsidRDefault="00814857" w:rsidP="00894126">
            <w:pPr>
              <w:pStyle w:val="ARtablecolheadright"/>
            </w:pPr>
            <w:r>
              <w:t>Result</w:t>
            </w:r>
          </w:p>
        </w:tc>
      </w:tr>
      <w:tr w:rsidR="00EC65CE" w14:paraId="44D94ACF"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5BE6EB2F" w14:textId="0909E827" w:rsidR="00EC65CE" w:rsidRDefault="00EC65CE" w:rsidP="00170CD2">
            <w:pPr>
              <w:pStyle w:val="ARtablebluebold"/>
            </w:pPr>
            <w:r>
              <w:t>Child Protection and Family Services</w:t>
            </w:r>
          </w:p>
        </w:tc>
      </w:tr>
      <w:tr w:rsidR="00EC65CE" w14:paraId="745A1A86" w14:textId="77777777" w:rsidTr="00A05EB7">
        <w:trPr>
          <w:cantSplit/>
          <w:trHeight w:val="240"/>
        </w:trPr>
        <w:tc>
          <w:tcPr>
            <w:tcW w:w="9645" w:type="dxa"/>
            <w:gridSpan w:val="6"/>
            <w:tcBorders>
              <w:top w:val="single" w:sz="4" w:space="0" w:color="auto"/>
              <w:left w:val="nil"/>
              <w:right w:val="nil"/>
            </w:tcBorders>
            <w:hideMark/>
          </w:tcPr>
          <w:p w14:paraId="683FD84E" w14:textId="070CB080" w:rsidR="00EC65CE" w:rsidRDefault="00EC65CE" w:rsidP="00170CD2">
            <w:pPr>
              <w:pStyle w:val="ARtablegreybold"/>
            </w:pPr>
            <w:r w:rsidRPr="00170CD2">
              <w:t>Quantity</w:t>
            </w:r>
          </w:p>
        </w:tc>
      </w:tr>
      <w:tr w:rsidR="00814857" w14:paraId="0ACB0905" w14:textId="77777777" w:rsidTr="00894126">
        <w:trPr>
          <w:cantSplit/>
          <w:trHeight w:val="480"/>
        </w:trPr>
        <w:tc>
          <w:tcPr>
            <w:tcW w:w="4764" w:type="dxa"/>
            <w:tcBorders>
              <w:bottom w:val="single" w:sz="4" w:space="0" w:color="BFBFBF" w:themeColor="background1" w:themeShade="BF"/>
            </w:tcBorders>
            <w:hideMark/>
          </w:tcPr>
          <w:p w14:paraId="3FB87FFD" w14:textId="77777777" w:rsidR="00814857" w:rsidRDefault="00814857" w:rsidP="00894126">
            <w:pPr>
              <w:pStyle w:val="ARtabletext"/>
            </w:pPr>
            <w:r>
              <w:rPr>
                <w:noProof/>
              </w:rPr>
              <w:t>Number of investigations from reports to child protection services about the wellbeing and safety of children</w:t>
            </w:r>
          </w:p>
        </w:tc>
        <w:tc>
          <w:tcPr>
            <w:tcW w:w="1021" w:type="dxa"/>
            <w:tcBorders>
              <w:bottom w:val="single" w:sz="4" w:space="0" w:color="BFBFBF" w:themeColor="background1" w:themeShade="BF"/>
            </w:tcBorders>
            <w:hideMark/>
          </w:tcPr>
          <w:p w14:paraId="2412E9C0" w14:textId="77777777" w:rsidR="00814857" w:rsidRDefault="00814857" w:rsidP="00894126">
            <w:pPr>
              <w:pStyle w:val="ARtabletextright"/>
            </w:pPr>
            <w:r>
              <w:rPr>
                <w:noProof/>
              </w:rPr>
              <w:t>number</w:t>
            </w:r>
          </w:p>
        </w:tc>
        <w:tc>
          <w:tcPr>
            <w:tcW w:w="1022" w:type="dxa"/>
            <w:tcBorders>
              <w:bottom w:val="single" w:sz="4" w:space="0" w:color="BFBFBF" w:themeColor="background1" w:themeShade="BF"/>
            </w:tcBorders>
            <w:hideMark/>
          </w:tcPr>
          <w:p w14:paraId="049E2041" w14:textId="77777777" w:rsidR="00814857" w:rsidRDefault="00814857" w:rsidP="00894126">
            <w:pPr>
              <w:pStyle w:val="ARtabletextright"/>
            </w:pPr>
            <w:r>
              <w:rPr>
                <w:noProof/>
              </w:rPr>
              <w:t>38,111</w:t>
            </w:r>
          </w:p>
        </w:tc>
        <w:tc>
          <w:tcPr>
            <w:tcW w:w="1022" w:type="dxa"/>
            <w:tcBorders>
              <w:bottom w:val="single" w:sz="4" w:space="0" w:color="BFBFBF" w:themeColor="background1" w:themeShade="BF"/>
            </w:tcBorders>
            <w:hideMark/>
          </w:tcPr>
          <w:p w14:paraId="41480540" w14:textId="77777777" w:rsidR="00814857" w:rsidRDefault="00814857" w:rsidP="00894126">
            <w:pPr>
              <w:pStyle w:val="ARtabletextright"/>
            </w:pPr>
            <w:r>
              <w:rPr>
                <w:noProof/>
              </w:rPr>
              <w:t>37,774</w:t>
            </w:r>
          </w:p>
        </w:tc>
        <w:tc>
          <w:tcPr>
            <w:tcW w:w="1022" w:type="dxa"/>
            <w:tcBorders>
              <w:bottom w:val="single" w:sz="4" w:space="0" w:color="BFBFBF" w:themeColor="background1" w:themeShade="BF"/>
            </w:tcBorders>
            <w:hideMark/>
          </w:tcPr>
          <w:p w14:paraId="02FE4577" w14:textId="77777777" w:rsidR="00814857" w:rsidRDefault="00814857" w:rsidP="00894126">
            <w:pPr>
              <w:pStyle w:val="ARtabletextright"/>
            </w:pPr>
            <w:r>
              <w:rPr>
                <w:noProof/>
              </w:rPr>
              <w:t>-0.9</w:t>
            </w:r>
          </w:p>
        </w:tc>
        <w:tc>
          <w:tcPr>
            <w:tcW w:w="794" w:type="dxa"/>
            <w:tcBorders>
              <w:bottom w:val="single" w:sz="4" w:space="0" w:color="BFBFBF" w:themeColor="background1" w:themeShade="BF"/>
            </w:tcBorders>
            <w:hideMark/>
          </w:tcPr>
          <w:p w14:paraId="6FBB9834" w14:textId="77777777" w:rsidR="00814857" w:rsidRDefault="00814857" w:rsidP="00894126">
            <w:pPr>
              <w:pStyle w:val="ARtabletextright"/>
            </w:pPr>
            <w:r w:rsidRPr="007939DD">
              <w:sym w:font="Wingdings 2" w:char="F099"/>
            </w:r>
          </w:p>
        </w:tc>
      </w:tr>
      <w:tr w:rsidR="00814857" w14:paraId="36007E32" w14:textId="77777777" w:rsidTr="00894126">
        <w:trPr>
          <w:cantSplit/>
          <w:trHeight w:val="480"/>
        </w:trPr>
        <w:tc>
          <w:tcPr>
            <w:tcW w:w="4764" w:type="dxa"/>
            <w:tcBorders>
              <w:top w:val="single" w:sz="4" w:space="0" w:color="BFBFBF" w:themeColor="background1" w:themeShade="BF"/>
            </w:tcBorders>
            <w:hideMark/>
          </w:tcPr>
          <w:p w14:paraId="2A25AE41" w14:textId="77777777" w:rsidR="00814857" w:rsidRDefault="00814857" w:rsidP="00894126">
            <w:pPr>
              <w:pStyle w:val="ARtabletext"/>
            </w:pPr>
            <w:r>
              <w:rPr>
                <w:noProof/>
              </w:rPr>
              <w:t>Daily average number of children in out-of-home care placements</w:t>
            </w:r>
          </w:p>
        </w:tc>
        <w:tc>
          <w:tcPr>
            <w:tcW w:w="1021" w:type="dxa"/>
            <w:tcBorders>
              <w:top w:val="single" w:sz="4" w:space="0" w:color="BFBFBF" w:themeColor="background1" w:themeShade="BF"/>
            </w:tcBorders>
            <w:hideMark/>
          </w:tcPr>
          <w:p w14:paraId="029AB840" w14:textId="77777777" w:rsidR="00814857" w:rsidRDefault="00814857" w:rsidP="00894126">
            <w:pPr>
              <w:pStyle w:val="ARtabletextright"/>
            </w:pPr>
            <w:r>
              <w:rPr>
                <w:noProof/>
              </w:rPr>
              <w:t>number</w:t>
            </w:r>
          </w:p>
        </w:tc>
        <w:tc>
          <w:tcPr>
            <w:tcW w:w="1022" w:type="dxa"/>
            <w:tcBorders>
              <w:top w:val="single" w:sz="4" w:space="0" w:color="BFBFBF" w:themeColor="background1" w:themeShade="BF"/>
            </w:tcBorders>
            <w:hideMark/>
          </w:tcPr>
          <w:p w14:paraId="049B316A" w14:textId="77777777" w:rsidR="00814857" w:rsidRDefault="00814857" w:rsidP="00894126">
            <w:pPr>
              <w:pStyle w:val="ARtabletextright"/>
            </w:pPr>
            <w:r>
              <w:rPr>
                <w:noProof/>
              </w:rPr>
              <w:t>10,390</w:t>
            </w:r>
          </w:p>
        </w:tc>
        <w:tc>
          <w:tcPr>
            <w:tcW w:w="1022" w:type="dxa"/>
            <w:tcBorders>
              <w:top w:val="single" w:sz="4" w:space="0" w:color="BFBFBF" w:themeColor="background1" w:themeShade="BF"/>
            </w:tcBorders>
            <w:hideMark/>
          </w:tcPr>
          <w:p w14:paraId="50C371E5" w14:textId="77777777" w:rsidR="00814857" w:rsidRDefault="00814857" w:rsidP="00894126">
            <w:pPr>
              <w:pStyle w:val="ARtabletextright"/>
            </w:pPr>
            <w:r>
              <w:rPr>
                <w:noProof/>
              </w:rPr>
              <w:t>11,363.3</w:t>
            </w:r>
          </w:p>
        </w:tc>
        <w:tc>
          <w:tcPr>
            <w:tcW w:w="1022" w:type="dxa"/>
            <w:tcBorders>
              <w:top w:val="single" w:sz="4" w:space="0" w:color="BFBFBF" w:themeColor="background1" w:themeShade="BF"/>
            </w:tcBorders>
            <w:hideMark/>
          </w:tcPr>
          <w:p w14:paraId="74F54C79" w14:textId="77777777" w:rsidR="00814857" w:rsidRDefault="00814857" w:rsidP="00894126">
            <w:pPr>
              <w:pStyle w:val="ARtabletextright"/>
            </w:pPr>
            <w:r>
              <w:rPr>
                <w:noProof/>
              </w:rPr>
              <w:t>9.4</w:t>
            </w:r>
          </w:p>
        </w:tc>
        <w:tc>
          <w:tcPr>
            <w:tcW w:w="794" w:type="dxa"/>
            <w:tcBorders>
              <w:top w:val="single" w:sz="4" w:space="0" w:color="BFBFBF" w:themeColor="background1" w:themeShade="BF"/>
            </w:tcBorders>
            <w:hideMark/>
          </w:tcPr>
          <w:p w14:paraId="0183BD44" w14:textId="77777777" w:rsidR="00814857" w:rsidRDefault="00814857" w:rsidP="00894126">
            <w:pPr>
              <w:pStyle w:val="ARtabletextright"/>
            </w:pPr>
            <w:r>
              <w:sym w:font="Wingdings" w:char="F0FC"/>
            </w:r>
          </w:p>
        </w:tc>
      </w:tr>
      <w:tr w:rsidR="00814857" w14:paraId="38CDAD53" w14:textId="77777777" w:rsidTr="00894126">
        <w:trPr>
          <w:cantSplit/>
          <w:trHeight w:val="240"/>
        </w:trPr>
        <w:tc>
          <w:tcPr>
            <w:tcW w:w="9645" w:type="dxa"/>
            <w:gridSpan w:val="6"/>
            <w:tcBorders>
              <w:top w:val="nil"/>
              <w:left w:val="nil"/>
              <w:bottom w:val="single" w:sz="4" w:space="0" w:color="BFBFBF"/>
              <w:right w:val="nil"/>
            </w:tcBorders>
            <w:noWrap/>
            <w:hideMark/>
          </w:tcPr>
          <w:p w14:paraId="4BF60940" w14:textId="77777777" w:rsidR="00814857" w:rsidRDefault="00814857" w:rsidP="00894126">
            <w:pPr>
              <w:pStyle w:val="ARtablenoteindent"/>
            </w:pPr>
            <w:r>
              <w:rPr>
                <w:noProof/>
              </w:rPr>
              <w:t xml:space="preserve">This result is higher that the target, which reflects the ongoing growth in demand for care placements. </w:t>
            </w:r>
          </w:p>
        </w:tc>
      </w:tr>
      <w:tr w:rsidR="00814857" w14:paraId="6A572E4A" w14:textId="77777777" w:rsidTr="00894126">
        <w:trPr>
          <w:cantSplit/>
          <w:trHeight w:val="480"/>
        </w:trPr>
        <w:tc>
          <w:tcPr>
            <w:tcW w:w="4764" w:type="dxa"/>
            <w:hideMark/>
          </w:tcPr>
          <w:p w14:paraId="457F1129" w14:textId="77777777" w:rsidR="00814857" w:rsidRDefault="00814857" w:rsidP="00894126">
            <w:pPr>
              <w:pStyle w:val="ARtabletext"/>
            </w:pPr>
            <w:r>
              <w:rPr>
                <w:noProof/>
              </w:rPr>
              <w:t>Number of Child FIRST assessments and interventions</w:t>
            </w:r>
          </w:p>
        </w:tc>
        <w:tc>
          <w:tcPr>
            <w:tcW w:w="1021" w:type="dxa"/>
            <w:hideMark/>
          </w:tcPr>
          <w:p w14:paraId="36C21ABA" w14:textId="77777777" w:rsidR="00814857" w:rsidRDefault="00814857" w:rsidP="00894126">
            <w:pPr>
              <w:pStyle w:val="ARtabletextright"/>
            </w:pPr>
            <w:r>
              <w:rPr>
                <w:noProof/>
              </w:rPr>
              <w:t>number</w:t>
            </w:r>
          </w:p>
        </w:tc>
        <w:tc>
          <w:tcPr>
            <w:tcW w:w="1022" w:type="dxa"/>
            <w:hideMark/>
          </w:tcPr>
          <w:p w14:paraId="4F881A53" w14:textId="77777777" w:rsidR="00814857" w:rsidRDefault="00814857" w:rsidP="00894126">
            <w:pPr>
              <w:pStyle w:val="ARtabletextright"/>
            </w:pPr>
            <w:r>
              <w:rPr>
                <w:noProof/>
              </w:rPr>
              <w:t>10,333</w:t>
            </w:r>
          </w:p>
        </w:tc>
        <w:tc>
          <w:tcPr>
            <w:tcW w:w="1022" w:type="dxa"/>
            <w:hideMark/>
          </w:tcPr>
          <w:p w14:paraId="3366CA4E" w14:textId="77777777" w:rsidR="00814857" w:rsidRDefault="00814857" w:rsidP="00894126">
            <w:pPr>
              <w:pStyle w:val="ARtabletextright"/>
            </w:pPr>
            <w:r>
              <w:rPr>
                <w:noProof/>
              </w:rPr>
              <w:t>17,582</w:t>
            </w:r>
          </w:p>
        </w:tc>
        <w:tc>
          <w:tcPr>
            <w:tcW w:w="1022" w:type="dxa"/>
            <w:hideMark/>
          </w:tcPr>
          <w:p w14:paraId="096BD83F" w14:textId="77777777" w:rsidR="00814857" w:rsidRDefault="00814857" w:rsidP="00894126">
            <w:pPr>
              <w:pStyle w:val="ARtabletextright"/>
            </w:pPr>
            <w:r>
              <w:rPr>
                <w:noProof/>
              </w:rPr>
              <w:t>70.2</w:t>
            </w:r>
          </w:p>
        </w:tc>
        <w:tc>
          <w:tcPr>
            <w:tcW w:w="794" w:type="dxa"/>
            <w:hideMark/>
          </w:tcPr>
          <w:p w14:paraId="0953AE6D" w14:textId="77777777" w:rsidR="00814857" w:rsidRDefault="00814857" w:rsidP="00894126">
            <w:pPr>
              <w:pStyle w:val="ARtabletextright"/>
            </w:pPr>
            <w:r>
              <w:sym w:font="Wingdings" w:char="F0FC"/>
            </w:r>
          </w:p>
        </w:tc>
      </w:tr>
      <w:tr w:rsidR="00814857" w14:paraId="2E767249" w14:textId="77777777" w:rsidTr="00894126">
        <w:trPr>
          <w:cantSplit/>
          <w:trHeight w:val="240"/>
        </w:trPr>
        <w:tc>
          <w:tcPr>
            <w:tcW w:w="9645" w:type="dxa"/>
            <w:gridSpan w:val="6"/>
            <w:tcBorders>
              <w:top w:val="nil"/>
              <w:left w:val="nil"/>
              <w:bottom w:val="single" w:sz="4" w:space="0" w:color="BFBFBF"/>
              <w:right w:val="nil"/>
            </w:tcBorders>
            <w:noWrap/>
            <w:hideMark/>
          </w:tcPr>
          <w:p w14:paraId="2D97AA8B" w14:textId="77777777" w:rsidR="00814857" w:rsidRDefault="00814857" w:rsidP="00894126">
            <w:pPr>
              <w:pStyle w:val="ARtablenoteindent"/>
            </w:pPr>
            <w:r>
              <w:rPr>
                <w:noProof/>
              </w:rPr>
              <w:t xml:space="preserve">The result is higher than the target due to high demand for assistance from Child FIRST and indicates over performance against the target. </w:t>
            </w:r>
            <w:r w:rsidRPr="001B72A4">
              <w:rPr>
                <w:noProof/>
              </w:rPr>
              <w:t>This is a positive result.</w:t>
            </w:r>
            <w:r>
              <w:rPr>
                <w:noProof/>
              </w:rPr>
              <w:t xml:space="preserve"> </w:t>
            </w:r>
            <w:r>
              <w:rPr>
                <w:rFonts w:eastAsia="Times New Roman"/>
              </w:rPr>
              <w:t>The reduced target for Child FIRST assessments and interventions in 2018–19 reflects clients transferring into the Orange Door Support and Safety hubs, where Child FIRST assessments will continue.</w:t>
            </w:r>
          </w:p>
        </w:tc>
      </w:tr>
      <w:tr w:rsidR="00814857" w14:paraId="4D821EDE" w14:textId="77777777" w:rsidTr="00894126">
        <w:trPr>
          <w:cantSplit/>
          <w:trHeight w:val="480"/>
        </w:trPr>
        <w:tc>
          <w:tcPr>
            <w:tcW w:w="4764" w:type="dxa"/>
            <w:hideMark/>
          </w:tcPr>
          <w:p w14:paraId="110B218E" w14:textId="77777777" w:rsidR="00814857" w:rsidRDefault="00814857" w:rsidP="00894126">
            <w:pPr>
              <w:pStyle w:val="ARtabletext"/>
            </w:pPr>
            <w:r>
              <w:rPr>
                <w:noProof/>
              </w:rPr>
              <w:t>Number of children in kinship care whose placements are managed by community service organisations</w:t>
            </w:r>
          </w:p>
        </w:tc>
        <w:tc>
          <w:tcPr>
            <w:tcW w:w="1021" w:type="dxa"/>
            <w:hideMark/>
          </w:tcPr>
          <w:p w14:paraId="7312FF8D" w14:textId="77777777" w:rsidR="00814857" w:rsidRDefault="00814857" w:rsidP="00894126">
            <w:pPr>
              <w:pStyle w:val="ARtabletextright"/>
            </w:pPr>
            <w:r>
              <w:rPr>
                <w:noProof/>
              </w:rPr>
              <w:t>number</w:t>
            </w:r>
          </w:p>
        </w:tc>
        <w:tc>
          <w:tcPr>
            <w:tcW w:w="1022" w:type="dxa"/>
            <w:hideMark/>
          </w:tcPr>
          <w:p w14:paraId="3AE2C28D" w14:textId="77777777" w:rsidR="00814857" w:rsidRDefault="00814857" w:rsidP="00894126">
            <w:pPr>
              <w:pStyle w:val="ARtabletextright"/>
            </w:pPr>
            <w:r>
              <w:rPr>
                <w:noProof/>
              </w:rPr>
              <w:t>1,234</w:t>
            </w:r>
          </w:p>
        </w:tc>
        <w:tc>
          <w:tcPr>
            <w:tcW w:w="1022" w:type="dxa"/>
            <w:hideMark/>
          </w:tcPr>
          <w:p w14:paraId="284E7EA7" w14:textId="77777777" w:rsidR="00814857" w:rsidRDefault="00814857" w:rsidP="00894126">
            <w:pPr>
              <w:pStyle w:val="ARtabletextright"/>
            </w:pPr>
            <w:r>
              <w:rPr>
                <w:noProof/>
              </w:rPr>
              <w:t>1,622</w:t>
            </w:r>
          </w:p>
        </w:tc>
        <w:tc>
          <w:tcPr>
            <w:tcW w:w="1022" w:type="dxa"/>
            <w:hideMark/>
          </w:tcPr>
          <w:p w14:paraId="665DA7EE" w14:textId="77777777" w:rsidR="00814857" w:rsidRDefault="00814857" w:rsidP="00894126">
            <w:pPr>
              <w:pStyle w:val="ARtabletextright"/>
            </w:pPr>
            <w:r>
              <w:rPr>
                <w:noProof/>
              </w:rPr>
              <w:t>31.4</w:t>
            </w:r>
          </w:p>
        </w:tc>
        <w:tc>
          <w:tcPr>
            <w:tcW w:w="794" w:type="dxa"/>
            <w:hideMark/>
          </w:tcPr>
          <w:p w14:paraId="32003871" w14:textId="77777777" w:rsidR="00814857" w:rsidRDefault="00814857" w:rsidP="00894126">
            <w:pPr>
              <w:pStyle w:val="ARtabletextright"/>
            </w:pPr>
            <w:r>
              <w:sym w:font="Wingdings" w:char="F0FC"/>
            </w:r>
          </w:p>
        </w:tc>
      </w:tr>
      <w:tr w:rsidR="00814857" w14:paraId="1FF788D8" w14:textId="77777777" w:rsidTr="00894126">
        <w:trPr>
          <w:cantSplit/>
          <w:trHeight w:val="240"/>
        </w:trPr>
        <w:tc>
          <w:tcPr>
            <w:tcW w:w="9645" w:type="dxa"/>
            <w:gridSpan w:val="6"/>
            <w:tcBorders>
              <w:top w:val="nil"/>
              <w:left w:val="nil"/>
              <w:bottom w:val="single" w:sz="4" w:space="0" w:color="BFBFBF"/>
              <w:right w:val="nil"/>
            </w:tcBorders>
            <w:noWrap/>
            <w:hideMark/>
          </w:tcPr>
          <w:p w14:paraId="13E6FFFF" w14:textId="77777777" w:rsidR="00814857" w:rsidRDefault="00814857" w:rsidP="00894126">
            <w:pPr>
              <w:pStyle w:val="ARtablenoteindent"/>
            </w:pPr>
            <w:r>
              <w:rPr>
                <w:noProof/>
              </w:rPr>
              <w:t>The result is higher than the target, which reflects the impact of the new Kinship Care Model. This is a positive result.</w:t>
            </w:r>
          </w:p>
        </w:tc>
      </w:tr>
      <w:tr w:rsidR="00814857" w14:paraId="5E19835E" w14:textId="77777777" w:rsidTr="00894126">
        <w:trPr>
          <w:cantSplit/>
          <w:trHeight w:val="480"/>
        </w:trPr>
        <w:tc>
          <w:tcPr>
            <w:tcW w:w="4764" w:type="dxa"/>
            <w:hideMark/>
          </w:tcPr>
          <w:p w14:paraId="76498A93" w14:textId="77777777" w:rsidR="00814857" w:rsidRDefault="00814857" w:rsidP="00894126">
            <w:pPr>
              <w:pStyle w:val="ARtabletext"/>
            </w:pPr>
            <w:r>
              <w:rPr>
                <w:noProof/>
              </w:rPr>
              <w:t>Number of children receiving an intensive support service</w:t>
            </w:r>
          </w:p>
        </w:tc>
        <w:tc>
          <w:tcPr>
            <w:tcW w:w="1021" w:type="dxa"/>
            <w:hideMark/>
          </w:tcPr>
          <w:p w14:paraId="7E562DDF" w14:textId="77777777" w:rsidR="00814857" w:rsidRDefault="00814857" w:rsidP="00894126">
            <w:pPr>
              <w:pStyle w:val="ARtabletextright"/>
            </w:pPr>
            <w:r>
              <w:rPr>
                <w:noProof/>
              </w:rPr>
              <w:t>number</w:t>
            </w:r>
          </w:p>
        </w:tc>
        <w:tc>
          <w:tcPr>
            <w:tcW w:w="1022" w:type="dxa"/>
            <w:hideMark/>
          </w:tcPr>
          <w:p w14:paraId="4B2AC99C" w14:textId="77777777" w:rsidR="00814857" w:rsidRDefault="00814857" w:rsidP="00894126">
            <w:pPr>
              <w:pStyle w:val="ARtabletextright"/>
            </w:pPr>
            <w:r>
              <w:rPr>
                <w:noProof/>
              </w:rPr>
              <w:t>1,400</w:t>
            </w:r>
          </w:p>
        </w:tc>
        <w:tc>
          <w:tcPr>
            <w:tcW w:w="1022" w:type="dxa"/>
            <w:hideMark/>
          </w:tcPr>
          <w:p w14:paraId="43853A6A" w14:textId="77777777" w:rsidR="00814857" w:rsidRDefault="00814857" w:rsidP="00894126">
            <w:pPr>
              <w:pStyle w:val="ARtabletextright"/>
            </w:pPr>
            <w:r>
              <w:rPr>
                <w:noProof/>
              </w:rPr>
              <w:t>1,400</w:t>
            </w:r>
          </w:p>
        </w:tc>
        <w:tc>
          <w:tcPr>
            <w:tcW w:w="1022" w:type="dxa"/>
            <w:hideMark/>
          </w:tcPr>
          <w:p w14:paraId="691EDF0E" w14:textId="77777777" w:rsidR="00814857" w:rsidRDefault="00814857" w:rsidP="00894126">
            <w:pPr>
              <w:pStyle w:val="ARtabletextright"/>
            </w:pPr>
            <w:r>
              <w:rPr>
                <w:noProof/>
              </w:rPr>
              <w:t>0.0</w:t>
            </w:r>
          </w:p>
        </w:tc>
        <w:tc>
          <w:tcPr>
            <w:tcW w:w="794" w:type="dxa"/>
            <w:hideMark/>
          </w:tcPr>
          <w:p w14:paraId="6060012A" w14:textId="77777777" w:rsidR="00814857" w:rsidRDefault="00814857" w:rsidP="00894126">
            <w:pPr>
              <w:pStyle w:val="ARtabletextright"/>
            </w:pPr>
            <w:r>
              <w:sym w:font="Wingdings" w:char="F0FC"/>
            </w:r>
          </w:p>
        </w:tc>
      </w:tr>
      <w:tr w:rsidR="00814857" w14:paraId="6D3C2FA4" w14:textId="77777777" w:rsidTr="00326F42">
        <w:trPr>
          <w:cantSplit/>
          <w:trHeight w:val="206"/>
        </w:trPr>
        <w:tc>
          <w:tcPr>
            <w:tcW w:w="9645" w:type="dxa"/>
            <w:gridSpan w:val="6"/>
            <w:tcBorders>
              <w:top w:val="nil"/>
              <w:left w:val="nil"/>
              <w:bottom w:val="single" w:sz="4" w:space="0" w:color="BFBFBF"/>
              <w:right w:val="nil"/>
            </w:tcBorders>
            <w:noWrap/>
            <w:hideMark/>
          </w:tcPr>
          <w:p w14:paraId="13D1A88F" w14:textId="77777777" w:rsidR="00814857" w:rsidRDefault="00814857" w:rsidP="00894126">
            <w:pPr>
              <w:pStyle w:val="ARtablenoteindent"/>
            </w:pPr>
            <w:r>
              <w:rPr>
                <w:noProof/>
              </w:rPr>
              <w:t>This performance measure has been replaced in 2019–20 with ‘Number of families receiving an intensive support service’.</w:t>
            </w:r>
          </w:p>
        </w:tc>
      </w:tr>
      <w:tr w:rsidR="00814857" w14:paraId="2AA389F3" w14:textId="77777777" w:rsidTr="00894126">
        <w:trPr>
          <w:cantSplit/>
          <w:trHeight w:val="480"/>
        </w:trPr>
        <w:tc>
          <w:tcPr>
            <w:tcW w:w="4764" w:type="dxa"/>
            <w:hideMark/>
          </w:tcPr>
          <w:p w14:paraId="38FCA189" w14:textId="77777777" w:rsidR="00814857" w:rsidRDefault="00814857" w:rsidP="00EC65CE">
            <w:pPr>
              <w:pStyle w:val="ARtabletext"/>
              <w:keepNext/>
            </w:pPr>
            <w:r>
              <w:rPr>
                <w:noProof/>
              </w:rPr>
              <w:lastRenderedPageBreak/>
              <w:t>Number of family services cases provided to Aboriginal families</w:t>
            </w:r>
          </w:p>
        </w:tc>
        <w:tc>
          <w:tcPr>
            <w:tcW w:w="1021" w:type="dxa"/>
            <w:hideMark/>
          </w:tcPr>
          <w:p w14:paraId="4ECDE175" w14:textId="77777777" w:rsidR="00814857" w:rsidRDefault="00814857" w:rsidP="00894126">
            <w:pPr>
              <w:pStyle w:val="ARtabletextright"/>
            </w:pPr>
            <w:r>
              <w:rPr>
                <w:noProof/>
              </w:rPr>
              <w:t>number</w:t>
            </w:r>
          </w:p>
        </w:tc>
        <w:tc>
          <w:tcPr>
            <w:tcW w:w="1022" w:type="dxa"/>
            <w:hideMark/>
          </w:tcPr>
          <w:p w14:paraId="4B4F136E" w14:textId="77777777" w:rsidR="00814857" w:rsidRDefault="00814857" w:rsidP="00894126">
            <w:pPr>
              <w:pStyle w:val="ARtabletextright"/>
            </w:pPr>
            <w:r>
              <w:rPr>
                <w:noProof/>
              </w:rPr>
              <w:t>3,347</w:t>
            </w:r>
          </w:p>
        </w:tc>
        <w:tc>
          <w:tcPr>
            <w:tcW w:w="1022" w:type="dxa"/>
            <w:hideMark/>
          </w:tcPr>
          <w:p w14:paraId="33A93934" w14:textId="77777777" w:rsidR="00814857" w:rsidRDefault="00814857" w:rsidP="00894126">
            <w:pPr>
              <w:pStyle w:val="ARtabletextright"/>
            </w:pPr>
            <w:r>
              <w:rPr>
                <w:noProof/>
              </w:rPr>
              <w:t>2,760</w:t>
            </w:r>
          </w:p>
        </w:tc>
        <w:tc>
          <w:tcPr>
            <w:tcW w:w="1022" w:type="dxa"/>
            <w:hideMark/>
          </w:tcPr>
          <w:p w14:paraId="7E045C59" w14:textId="77777777" w:rsidR="00814857" w:rsidRDefault="00814857" w:rsidP="00894126">
            <w:pPr>
              <w:pStyle w:val="ARtabletextright"/>
            </w:pPr>
            <w:r>
              <w:rPr>
                <w:noProof/>
              </w:rPr>
              <w:t>-17.5</w:t>
            </w:r>
          </w:p>
        </w:tc>
        <w:tc>
          <w:tcPr>
            <w:tcW w:w="794" w:type="dxa"/>
            <w:hideMark/>
          </w:tcPr>
          <w:p w14:paraId="0857C815" w14:textId="77777777" w:rsidR="00814857" w:rsidRDefault="00814857" w:rsidP="00894126">
            <w:pPr>
              <w:pStyle w:val="ARtabletextright"/>
            </w:pPr>
            <w:r>
              <w:sym w:font="Wingdings" w:char="F06E"/>
            </w:r>
          </w:p>
        </w:tc>
      </w:tr>
      <w:tr w:rsidR="00814857" w14:paraId="351FA92C" w14:textId="77777777" w:rsidTr="00894126">
        <w:trPr>
          <w:cantSplit/>
          <w:trHeight w:val="240"/>
        </w:trPr>
        <w:tc>
          <w:tcPr>
            <w:tcW w:w="9645" w:type="dxa"/>
            <w:gridSpan w:val="6"/>
            <w:tcBorders>
              <w:top w:val="nil"/>
              <w:left w:val="nil"/>
              <w:bottom w:val="single" w:sz="4" w:space="0" w:color="BFBFBF" w:themeColor="background1" w:themeShade="BF"/>
              <w:right w:val="nil"/>
            </w:tcBorders>
            <w:noWrap/>
            <w:hideMark/>
          </w:tcPr>
          <w:p w14:paraId="5EEFEB38" w14:textId="77777777" w:rsidR="00814857" w:rsidRDefault="00814857" w:rsidP="00894126">
            <w:pPr>
              <w:pStyle w:val="ARtablenoteindent"/>
            </w:pPr>
            <w:r>
              <w:rPr>
                <w:noProof/>
              </w:rPr>
              <w:t>The result is lower than the target due to gaps in available data. The department is working with Aboriginal community controlled organisations on options to improve data systems and reporting.</w:t>
            </w:r>
          </w:p>
        </w:tc>
      </w:tr>
      <w:tr w:rsidR="00814857" w14:paraId="7F55B26B"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1AA9D10E" w14:textId="77777777" w:rsidR="00814857" w:rsidRDefault="00814857" w:rsidP="00894126">
            <w:pPr>
              <w:pStyle w:val="ARtabletext"/>
            </w:pPr>
            <w:r>
              <w:rPr>
                <w:noProof/>
              </w:rPr>
              <w:t>Reports to Child Protection Services about the wellbeing and safety of children</w:t>
            </w:r>
          </w:p>
        </w:tc>
        <w:tc>
          <w:tcPr>
            <w:tcW w:w="1021" w:type="dxa"/>
            <w:tcBorders>
              <w:top w:val="single" w:sz="4" w:space="0" w:color="BFBFBF" w:themeColor="background1" w:themeShade="BF"/>
              <w:bottom w:val="single" w:sz="4" w:space="0" w:color="BFBFBF" w:themeColor="background1" w:themeShade="BF"/>
            </w:tcBorders>
            <w:hideMark/>
          </w:tcPr>
          <w:p w14:paraId="7FC5D847" w14:textId="77777777" w:rsidR="00814857" w:rsidRDefault="00814857" w:rsidP="00894126">
            <w:pPr>
              <w:pStyle w:val="ARtabletextright"/>
            </w:pPr>
            <w:r>
              <w:rPr>
                <w:noProof/>
              </w:rPr>
              <w:t>Number</w:t>
            </w:r>
          </w:p>
        </w:tc>
        <w:tc>
          <w:tcPr>
            <w:tcW w:w="1022" w:type="dxa"/>
            <w:tcBorders>
              <w:top w:val="single" w:sz="4" w:space="0" w:color="BFBFBF" w:themeColor="background1" w:themeShade="BF"/>
              <w:bottom w:val="single" w:sz="4" w:space="0" w:color="BFBFBF" w:themeColor="background1" w:themeShade="BF"/>
            </w:tcBorders>
            <w:hideMark/>
          </w:tcPr>
          <w:p w14:paraId="640725F5" w14:textId="77777777" w:rsidR="00814857" w:rsidRDefault="00814857" w:rsidP="00894126">
            <w:pPr>
              <w:pStyle w:val="ARtabletextright"/>
            </w:pPr>
            <w:r>
              <w:rPr>
                <w:noProof/>
              </w:rPr>
              <w:t>128,530</w:t>
            </w:r>
          </w:p>
        </w:tc>
        <w:tc>
          <w:tcPr>
            <w:tcW w:w="1022" w:type="dxa"/>
            <w:tcBorders>
              <w:top w:val="single" w:sz="4" w:space="0" w:color="BFBFBF" w:themeColor="background1" w:themeShade="BF"/>
              <w:bottom w:val="single" w:sz="4" w:space="0" w:color="BFBFBF" w:themeColor="background1" w:themeShade="BF"/>
            </w:tcBorders>
            <w:hideMark/>
          </w:tcPr>
          <w:p w14:paraId="0148261D" w14:textId="77777777" w:rsidR="00814857" w:rsidRDefault="00814857" w:rsidP="00894126">
            <w:pPr>
              <w:pStyle w:val="ARtabletextright"/>
            </w:pPr>
            <w:r>
              <w:rPr>
                <w:noProof/>
              </w:rPr>
              <w:t>122,963</w:t>
            </w:r>
          </w:p>
        </w:tc>
        <w:tc>
          <w:tcPr>
            <w:tcW w:w="1022" w:type="dxa"/>
            <w:tcBorders>
              <w:top w:val="single" w:sz="4" w:space="0" w:color="BFBFBF" w:themeColor="background1" w:themeShade="BF"/>
              <w:bottom w:val="single" w:sz="4" w:space="0" w:color="BFBFBF" w:themeColor="background1" w:themeShade="BF"/>
            </w:tcBorders>
            <w:hideMark/>
          </w:tcPr>
          <w:p w14:paraId="47EACE8C" w14:textId="77777777" w:rsidR="00814857" w:rsidRDefault="00814857" w:rsidP="00894126">
            <w:pPr>
              <w:pStyle w:val="ARtabletextright"/>
            </w:pPr>
            <w:r>
              <w:rPr>
                <w:noProof/>
              </w:rPr>
              <w:t>-4.3</w:t>
            </w:r>
          </w:p>
        </w:tc>
        <w:tc>
          <w:tcPr>
            <w:tcW w:w="794" w:type="dxa"/>
            <w:tcBorders>
              <w:top w:val="single" w:sz="4" w:space="0" w:color="BFBFBF" w:themeColor="background1" w:themeShade="BF"/>
              <w:bottom w:val="single" w:sz="4" w:space="0" w:color="BFBFBF" w:themeColor="background1" w:themeShade="BF"/>
            </w:tcBorders>
            <w:hideMark/>
          </w:tcPr>
          <w:p w14:paraId="1602AA8D" w14:textId="77777777" w:rsidR="00814857" w:rsidRDefault="00814857" w:rsidP="00894126">
            <w:pPr>
              <w:pStyle w:val="ARtabletextright"/>
            </w:pPr>
            <w:r>
              <w:sym w:font="Wingdings" w:char="F0FC"/>
            </w:r>
          </w:p>
        </w:tc>
      </w:tr>
      <w:tr w:rsidR="00814857" w14:paraId="369EB4A3" w14:textId="77777777" w:rsidTr="00894126">
        <w:trPr>
          <w:cantSplit/>
          <w:trHeight w:val="480"/>
        </w:trPr>
        <w:tc>
          <w:tcPr>
            <w:tcW w:w="4764" w:type="dxa"/>
            <w:tcBorders>
              <w:top w:val="single" w:sz="4" w:space="0" w:color="BFBFBF" w:themeColor="background1" w:themeShade="BF"/>
            </w:tcBorders>
            <w:hideMark/>
          </w:tcPr>
          <w:p w14:paraId="15AAB2DA" w14:textId="77777777" w:rsidR="00814857" w:rsidRDefault="00814857" w:rsidP="00894126">
            <w:pPr>
              <w:pStyle w:val="ARtabletext"/>
            </w:pPr>
            <w:r>
              <w:rPr>
                <w:noProof/>
              </w:rPr>
              <w:t>Total number of family services cases provided</w:t>
            </w:r>
          </w:p>
        </w:tc>
        <w:tc>
          <w:tcPr>
            <w:tcW w:w="1021" w:type="dxa"/>
            <w:tcBorders>
              <w:top w:val="single" w:sz="4" w:space="0" w:color="BFBFBF" w:themeColor="background1" w:themeShade="BF"/>
            </w:tcBorders>
            <w:hideMark/>
          </w:tcPr>
          <w:p w14:paraId="509C11F6" w14:textId="77777777" w:rsidR="00814857" w:rsidRDefault="00814857" w:rsidP="00894126">
            <w:pPr>
              <w:pStyle w:val="ARtabletextright"/>
            </w:pPr>
            <w:r>
              <w:rPr>
                <w:noProof/>
              </w:rPr>
              <w:t>Number</w:t>
            </w:r>
          </w:p>
        </w:tc>
        <w:tc>
          <w:tcPr>
            <w:tcW w:w="1022" w:type="dxa"/>
            <w:tcBorders>
              <w:top w:val="single" w:sz="4" w:space="0" w:color="BFBFBF" w:themeColor="background1" w:themeShade="BF"/>
            </w:tcBorders>
            <w:hideMark/>
          </w:tcPr>
          <w:p w14:paraId="0E69F020" w14:textId="77777777" w:rsidR="00814857" w:rsidRDefault="00814857" w:rsidP="00894126">
            <w:pPr>
              <w:pStyle w:val="ARtabletextright"/>
            </w:pPr>
            <w:r>
              <w:rPr>
                <w:noProof/>
              </w:rPr>
              <w:t>35,396</w:t>
            </w:r>
          </w:p>
        </w:tc>
        <w:tc>
          <w:tcPr>
            <w:tcW w:w="1022" w:type="dxa"/>
            <w:tcBorders>
              <w:top w:val="single" w:sz="4" w:space="0" w:color="BFBFBF" w:themeColor="background1" w:themeShade="BF"/>
            </w:tcBorders>
            <w:hideMark/>
          </w:tcPr>
          <w:p w14:paraId="112DA25E" w14:textId="77777777" w:rsidR="00814857" w:rsidRDefault="00814857" w:rsidP="00894126">
            <w:pPr>
              <w:pStyle w:val="ARtabletextright"/>
            </w:pPr>
            <w:r>
              <w:rPr>
                <w:noProof/>
              </w:rPr>
              <w:t>39,966</w:t>
            </w:r>
          </w:p>
        </w:tc>
        <w:tc>
          <w:tcPr>
            <w:tcW w:w="1022" w:type="dxa"/>
            <w:tcBorders>
              <w:top w:val="single" w:sz="4" w:space="0" w:color="BFBFBF" w:themeColor="background1" w:themeShade="BF"/>
            </w:tcBorders>
            <w:hideMark/>
          </w:tcPr>
          <w:p w14:paraId="1EBAA01B" w14:textId="77777777" w:rsidR="00814857" w:rsidRDefault="00814857" w:rsidP="00894126">
            <w:pPr>
              <w:pStyle w:val="ARtabletextright"/>
            </w:pPr>
            <w:r>
              <w:rPr>
                <w:noProof/>
              </w:rPr>
              <w:t>12.9</w:t>
            </w:r>
          </w:p>
        </w:tc>
        <w:tc>
          <w:tcPr>
            <w:tcW w:w="794" w:type="dxa"/>
            <w:tcBorders>
              <w:top w:val="single" w:sz="4" w:space="0" w:color="BFBFBF" w:themeColor="background1" w:themeShade="BF"/>
            </w:tcBorders>
            <w:hideMark/>
          </w:tcPr>
          <w:p w14:paraId="789CE8DF" w14:textId="77777777" w:rsidR="00814857" w:rsidRDefault="00814857" w:rsidP="00894126">
            <w:pPr>
              <w:pStyle w:val="ARtabletextright"/>
            </w:pPr>
            <w:r>
              <w:sym w:font="Wingdings" w:char="F0FC"/>
            </w:r>
          </w:p>
        </w:tc>
      </w:tr>
      <w:tr w:rsidR="00814857" w14:paraId="5B0779B8" w14:textId="77777777" w:rsidTr="00894126">
        <w:trPr>
          <w:cantSplit/>
          <w:trHeight w:val="240"/>
        </w:trPr>
        <w:tc>
          <w:tcPr>
            <w:tcW w:w="9645" w:type="dxa"/>
            <w:gridSpan w:val="6"/>
            <w:tcBorders>
              <w:top w:val="nil"/>
              <w:left w:val="nil"/>
              <w:bottom w:val="single" w:sz="4" w:space="0" w:color="BFBFBF"/>
              <w:right w:val="nil"/>
            </w:tcBorders>
            <w:noWrap/>
            <w:hideMark/>
          </w:tcPr>
          <w:p w14:paraId="0184B459" w14:textId="77777777" w:rsidR="00814857" w:rsidRDefault="00814857" w:rsidP="00894126">
            <w:pPr>
              <w:pStyle w:val="ARtablenoteindent"/>
            </w:pPr>
            <w:r>
              <w:rPr>
                <w:noProof/>
              </w:rPr>
              <w:t>The result is higher than the target due to continued high demand overall in Child FIRST and Integrated Family Services. This is a positive result.</w:t>
            </w:r>
          </w:p>
        </w:tc>
      </w:tr>
      <w:tr w:rsidR="00814857" w14:paraId="0ECF3397" w14:textId="77777777" w:rsidTr="00894126">
        <w:trPr>
          <w:cantSplit/>
          <w:trHeight w:val="480"/>
        </w:trPr>
        <w:tc>
          <w:tcPr>
            <w:tcW w:w="4764" w:type="dxa"/>
            <w:hideMark/>
          </w:tcPr>
          <w:p w14:paraId="48D57B4F" w14:textId="77777777" w:rsidR="00814857" w:rsidRDefault="00814857" w:rsidP="00894126">
            <w:pPr>
              <w:pStyle w:val="ARtabletext"/>
            </w:pPr>
            <w:r>
              <w:rPr>
                <w:noProof/>
              </w:rPr>
              <w:t>Number of clients assisted by a Risk Assessment and Management panel</w:t>
            </w:r>
          </w:p>
        </w:tc>
        <w:tc>
          <w:tcPr>
            <w:tcW w:w="1021" w:type="dxa"/>
            <w:hideMark/>
          </w:tcPr>
          <w:p w14:paraId="40E8677B" w14:textId="77777777" w:rsidR="00814857" w:rsidRDefault="00814857" w:rsidP="00894126">
            <w:pPr>
              <w:pStyle w:val="ARtabletextright"/>
            </w:pPr>
            <w:r>
              <w:rPr>
                <w:noProof/>
              </w:rPr>
              <w:t>Number</w:t>
            </w:r>
          </w:p>
        </w:tc>
        <w:tc>
          <w:tcPr>
            <w:tcW w:w="1022" w:type="dxa"/>
            <w:hideMark/>
          </w:tcPr>
          <w:p w14:paraId="2ED6B519" w14:textId="77777777" w:rsidR="00814857" w:rsidRDefault="00814857" w:rsidP="00894126">
            <w:pPr>
              <w:pStyle w:val="ARtabletextright"/>
            </w:pPr>
            <w:r>
              <w:rPr>
                <w:noProof/>
              </w:rPr>
              <w:t>860</w:t>
            </w:r>
          </w:p>
        </w:tc>
        <w:tc>
          <w:tcPr>
            <w:tcW w:w="1022" w:type="dxa"/>
            <w:hideMark/>
          </w:tcPr>
          <w:p w14:paraId="7DEE4AA2" w14:textId="77777777" w:rsidR="00814857" w:rsidRDefault="00814857" w:rsidP="00894126">
            <w:pPr>
              <w:pStyle w:val="ARtabletextright"/>
            </w:pPr>
            <w:r>
              <w:rPr>
                <w:noProof/>
              </w:rPr>
              <w:t>602</w:t>
            </w:r>
          </w:p>
        </w:tc>
        <w:tc>
          <w:tcPr>
            <w:tcW w:w="1022" w:type="dxa"/>
            <w:hideMark/>
          </w:tcPr>
          <w:p w14:paraId="39B21ECA" w14:textId="77777777" w:rsidR="00814857" w:rsidRDefault="00814857" w:rsidP="00894126">
            <w:pPr>
              <w:pStyle w:val="ARtabletextright"/>
            </w:pPr>
            <w:r>
              <w:rPr>
                <w:noProof/>
              </w:rPr>
              <w:t>-30.0</w:t>
            </w:r>
          </w:p>
        </w:tc>
        <w:tc>
          <w:tcPr>
            <w:tcW w:w="794" w:type="dxa"/>
            <w:hideMark/>
          </w:tcPr>
          <w:p w14:paraId="015401A1" w14:textId="77777777" w:rsidR="00814857" w:rsidRDefault="00814857" w:rsidP="00894126">
            <w:pPr>
              <w:pStyle w:val="ARtabletextright"/>
            </w:pPr>
            <w:r>
              <w:sym w:font="Wingdings" w:char="F06E"/>
            </w:r>
          </w:p>
        </w:tc>
      </w:tr>
      <w:tr w:rsidR="00814857" w14:paraId="5C91DF7B" w14:textId="77777777" w:rsidTr="00894126">
        <w:trPr>
          <w:cantSplit/>
          <w:trHeight w:val="240"/>
        </w:trPr>
        <w:tc>
          <w:tcPr>
            <w:tcW w:w="9645" w:type="dxa"/>
            <w:gridSpan w:val="6"/>
            <w:tcBorders>
              <w:top w:val="nil"/>
              <w:left w:val="nil"/>
              <w:bottom w:val="single" w:sz="4" w:space="0" w:color="BFBFBF"/>
              <w:right w:val="nil"/>
            </w:tcBorders>
            <w:noWrap/>
            <w:hideMark/>
          </w:tcPr>
          <w:p w14:paraId="3DFAE0E1" w14:textId="0B4FF4F8" w:rsidR="00814857" w:rsidRDefault="00814857" w:rsidP="00894126">
            <w:pPr>
              <w:pStyle w:val="ARtablenoteindent"/>
            </w:pPr>
            <w:r>
              <w:rPr>
                <w:noProof/>
              </w:rPr>
              <w:t xml:space="preserve">Preliminary result. Actual end-of-year results will be available late 2019.This result is lower than the target as it reflects effective service delivery to divert clients from a </w:t>
            </w:r>
            <w:r w:rsidR="001F4A28" w:rsidRPr="001F4A28">
              <w:rPr>
                <w:noProof/>
              </w:rPr>
              <w:t>Risk Assessment and Management</w:t>
            </w:r>
            <w:r>
              <w:rPr>
                <w:noProof/>
              </w:rPr>
              <w:t xml:space="preserve"> response. This is a positive result.</w:t>
            </w:r>
          </w:p>
        </w:tc>
      </w:tr>
      <w:tr w:rsidR="00814857" w14:paraId="2CA1A98B" w14:textId="77777777" w:rsidTr="00894126">
        <w:trPr>
          <w:cantSplit/>
          <w:trHeight w:val="480"/>
        </w:trPr>
        <w:tc>
          <w:tcPr>
            <w:tcW w:w="4764" w:type="dxa"/>
            <w:hideMark/>
          </w:tcPr>
          <w:p w14:paraId="63375BA1" w14:textId="77777777" w:rsidR="00814857" w:rsidRDefault="00814857" w:rsidP="00894126">
            <w:pPr>
              <w:pStyle w:val="ARtabletext"/>
            </w:pPr>
            <w:r>
              <w:rPr>
                <w:noProof/>
              </w:rPr>
              <w:t>Number of children who receive a SABTS response</w:t>
            </w:r>
          </w:p>
        </w:tc>
        <w:tc>
          <w:tcPr>
            <w:tcW w:w="1021" w:type="dxa"/>
            <w:hideMark/>
          </w:tcPr>
          <w:p w14:paraId="5DC3298C" w14:textId="77777777" w:rsidR="00814857" w:rsidRDefault="00814857" w:rsidP="00894126">
            <w:pPr>
              <w:pStyle w:val="ARtabletextright"/>
            </w:pPr>
            <w:r>
              <w:rPr>
                <w:noProof/>
              </w:rPr>
              <w:t>Number</w:t>
            </w:r>
          </w:p>
        </w:tc>
        <w:tc>
          <w:tcPr>
            <w:tcW w:w="1022" w:type="dxa"/>
            <w:hideMark/>
          </w:tcPr>
          <w:p w14:paraId="231DB594" w14:textId="77777777" w:rsidR="00814857" w:rsidRDefault="00814857" w:rsidP="00894126">
            <w:pPr>
              <w:pStyle w:val="ARtabletextright"/>
            </w:pPr>
            <w:r>
              <w:rPr>
                <w:noProof/>
              </w:rPr>
              <w:t>1,150</w:t>
            </w:r>
          </w:p>
        </w:tc>
        <w:tc>
          <w:tcPr>
            <w:tcW w:w="1022" w:type="dxa"/>
            <w:hideMark/>
          </w:tcPr>
          <w:p w14:paraId="45CBC0D0" w14:textId="77777777" w:rsidR="00814857" w:rsidRDefault="00814857" w:rsidP="00894126">
            <w:pPr>
              <w:pStyle w:val="ARtabletextright"/>
            </w:pPr>
            <w:r>
              <w:rPr>
                <w:noProof/>
              </w:rPr>
              <w:t>1,050</w:t>
            </w:r>
          </w:p>
        </w:tc>
        <w:tc>
          <w:tcPr>
            <w:tcW w:w="1022" w:type="dxa"/>
            <w:hideMark/>
          </w:tcPr>
          <w:p w14:paraId="34B0C16E" w14:textId="77777777" w:rsidR="00814857" w:rsidRDefault="00814857" w:rsidP="00894126">
            <w:pPr>
              <w:pStyle w:val="ARtabletextright"/>
            </w:pPr>
            <w:r>
              <w:rPr>
                <w:noProof/>
              </w:rPr>
              <w:t>-8.7</w:t>
            </w:r>
          </w:p>
        </w:tc>
        <w:tc>
          <w:tcPr>
            <w:tcW w:w="794" w:type="dxa"/>
            <w:hideMark/>
          </w:tcPr>
          <w:p w14:paraId="7BF978F1" w14:textId="77777777" w:rsidR="00814857" w:rsidRDefault="00814857" w:rsidP="00894126">
            <w:pPr>
              <w:pStyle w:val="ARtabletextright"/>
            </w:pPr>
            <w:r>
              <w:sym w:font="Wingdings" w:char="F06E"/>
            </w:r>
          </w:p>
        </w:tc>
      </w:tr>
      <w:tr w:rsidR="00814857" w14:paraId="6D25523A" w14:textId="77777777" w:rsidTr="00894126">
        <w:trPr>
          <w:cantSplit/>
          <w:trHeight w:val="240"/>
        </w:trPr>
        <w:tc>
          <w:tcPr>
            <w:tcW w:w="9645" w:type="dxa"/>
            <w:gridSpan w:val="6"/>
            <w:tcBorders>
              <w:top w:val="nil"/>
              <w:left w:val="nil"/>
              <w:bottom w:val="single" w:sz="4" w:space="0" w:color="BFBFBF"/>
              <w:right w:val="nil"/>
            </w:tcBorders>
            <w:noWrap/>
            <w:hideMark/>
          </w:tcPr>
          <w:p w14:paraId="50F1F3DD" w14:textId="77777777" w:rsidR="00814857" w:rsidRDefault="00814857" w:rsidP="00894126">
            <w:pPr>
              <w:pStyle w:val="ARtablenoteindent"/>
            </w:pPr>
            <w:r>
              <w:rPr>
                <w:noProof/>
              </w:rPr>
              <w:t>Preliminary result. Actual end-of-year results will be available late 2019.</w:t>
            </w:r>
          </w:p>
        </w:tc>
      </w:tr>
      <w:tr w:rsidR="00814857" w14:paraId="097CBD68" w14:textId="77777777" w:rsidTr="00894126">
        <w:trPr>
          <w:cantSplit/>
          <w:trHeight w:val="480"/>
        </w:trPr>
        <w:tc>
          <w:tcPr>
            <w:tcW w:w="4764" w:type="dxa"/>
            <w:hideMark/>
          </w:tcPr>
          <w:p w14:paraId="4BD07F51" w14:textId="77777777" w:rsidR="00814857" w:rsidRDefault="00814857" w:rsidP="00894126">
            <w:pPr>
              <w:pStyle w:val="ARtabletext"/>
            </w:pPr>
            <w:r>
              <w:rPr>
                <w:noProof/>
              </w:rPr>
              <w:t>Number of calls made to the statewide telephone help line for men regarding family violence</w:t>
            </w:r>
          </w:p>
        </w:tc>
        <w:tc>
          <w:tcPr>
            <w:tcW w:w="1021" w:type="dxa"/>
            <w:hideMark/>
          </w:tcPr>
          <w:p w14:paraId="18B13732" w14:textId="77777777" w:rsidR="00814857" w:rsidRDefault="00814857" w:rsidP="00894126">
            <w:pPr>
              <w:pStyle w:val="ARtabletextright"/>
            </w:pPr>
            <w:r>
              <w:rPr>
                <w:noProof/>
              </w:rPr>
              <w:t>Number</w:t>
            </w:r>
          </w:p>
        </w:tc>
        <w:tc>
          <w:tcPr>
            <w:tcW w:w="1022" w:type="dxa"/>
            <w:hideMark/>
          </w:tcPr>
          <w:p w14:paraId="619F3ACD" w14:textId="77777777" w:rsidR="00814857" w:rsidRDefault="00814857" w:rsidP="00894126">
            <w:pPr>
              <w:pStyle w:val="ARtabletextright"/>
            </w:pPr>
            <w:r>
              <w:rPr>
                <w:noProof/>
              </w:rPr>
              <w:t>9,000</w:t>
            </w:r>
          </w:p>
        </w:tc>
        <w:tc>
          <w:tcPr>
            <w:tcW w:w="1022" w:type="dxa"/>
            <w:hideMark/>
          </w:tcPr>
          <w:p w14:paraId="349FA8CF" w14:textId="77777777" w:rsidR="00814857" w:rsidRDefault="00814857" w:rsidP="00894126">
            <w:pPr>
              <w:pStyle w:val="ARtabletextright"/>
            </w:pPr>
            <w:r>
              <w:rPr>
                <w:noProof/>
              </w:rPr>
              <w:t>7,289</w:t>
            </w:r>
          </w:p>
        </w:tc>
        <w:tc>
          <w:tcPr>
            <w:tcW w:w="1022" w:type="dxa"/>
            <w:hideMark/>
          </w:tcPr>
          <w:p w14:paraId="6C1BDAF9" w14:textId="77777777" w:rsidR="00814857" w:rsidRDefault="00814857" w:rsidP="00894126">
            <w:pPr>
              <w:pStyle w:val="ARtabletextright"/>
            </w:pPr>
            <w:r>
              <w:rPr>
                <w:noProof/>
              </w:rPr>
              <w:t>-19.0</w:t>
            </w:r>
          </w:p>
        </w:tc>
        <w:tc>
          <w:tcPr>
            <w:tcW w:w="794" w:type="dxa"/>
            <w:hideMark/>
          </w:tcPr>
          <w:p w14:paraId="03AC7121" w14:textId="77777777" w:rsidR="00814857" w:rsidRDefault="00814857" w:rsidP="00894126">
            <w:pPr>
              <w:pStyle w:val="ARtabletextright"/>
            </w:pPr>
            <w:r>
              <w:sym w:font="Wingdings" w:char="F06E"/>
            </w:r>
          </w:p>
        </w:tc>
      </w:tr>
      <w:tr w:rsidR="00814857" w14:paraId="366FEB58" w14:textId="77777777" w:rsidTr="00894126">
        <w:trPr>
          <w:cantSplit/>
          <w:trHeight w:val="240"/>
        </w:trPr>
        <w:tc>
          <w:tcPr>
            <w:tcW w:w="9645" w:type="dxa"/>
            <w:gridSpan w:val="6"/>
            <w:tcBorders>
              <w:top w:val="nil"/>
              <w:left w:val="nil"/>
              <w:bottom w:val="single" w:sz="4" w:space="0" w:color="BFBFBF"/>
              <w:right w:val="nil"/>
            </w:tcBorders>
            <w:noWrap/>
            <w:hideMark/>
          </w:tcPr>
          <w:p w14:paraId="117AFE06" w14:textId="77777777" w:rsidR="00814857" w:rsidRDefault="00814857" w:rsidP="00894126">
            <w:pPr>
              <w:pStyle w:val="ARtablenoteindent"/>
            </w:pPr>
            <w:r>
              <w:rPr>
                <w:noProof/>
              </w:rPr>
              <w:t>This result is lower than the target and reflects increased efficiencies in service delivery. This is a positive result.</w:t>
            </w:r>
          </w:p>
        </w:tc>
      </w:tr>
      <w:tr w:rsidR="00EC65CE" w14:paraId="5750958F" w14:textId="77777777" w:rsidTr="00A05EB7">
        <w:trPr>
          <w:cantSplit/>
          <w:trHeight w:val="240"/>
        </w:trPr>
        <w:tc>
          <w:tcPr>
            <w:tcW w:w="9645" w:type="dxa"/>
            <w:gridSpan w:val="6"/>
            <w:tcBorders>
              <w:top w:val="single" w:sz="4" w:space="0" w:color="auto"/>
              <w:left w:val="nil"/>
              <w:bottom w:val="nil"/>
              <w:right w:val="nil"/>
            </w:tcBorders>
            <w:hideMark/>
          </w:tcPr>
          <w:p w14:paraId="78B1C7F2" w14:textId="43F84893" w:rsidR="00EC65CE" w:rsidRPr="00170CD2" w:rsidRDefault="00EC65CE" w:rsidP="00435211">
            <w:pPr>
              <w:pStyle w:val="ARtablegreybold"/>
            </w:pPr>
            <w:r w:rsidRPr="00170CD2">
              <w:t>Quality</w:t>
            </w:r>
          </w:p>
        </w:tc>
      </w:tr>
      <w:tr w:rsidR="00814857" w14:paraId="6F0F0468" w14:textId="77777777" w:rsidTr="00894126">
        <w:trPr>
          <w:cantSplit/>
          <w:trHeight w:val="480"/>
        </w:trPr>
        <w:tc>
          <w:tcPr>
            <w:tcW w:w="4764" w:type="dxa"/>
            <w:tcBorders>
              <w:bottom w:val="single" w:sz="4" w:space="0" w:color="BFBFBF" w:themeColor="background1" w:themeShade="BF"/>
            </w:tcBorders>
            <w:hideMark/>
          </w:tcPr>
          <w:p w14:paraId="49867886" w14:textId="77777777" w:rsidR="00814857" w:rsidRDefault="00814857" w:rsidP="00894126">
            <w:pPr>
              <w:pStyle w:val="ARtabletext"/>
            </w:pPr>
            <w:r>
              <w:rPr>
                <w:noProof/>
              </w:rPr>
              <w:t>Children and young people in out-of-home care who have had two or less placements in the past 12 months (not including placements at home)</w:t>
            </w:r>
          </w:p>
        </w:tc>
        <w:tc>
          <w:tcPr>
            <w:tcW w:w="1021" w:type="dxa"/>
            <w:tcBorders>
              <w:bottom w:val="single" w:sz="4" w:space="0" w:color="BFBFBF" w:themeColor="background1" w:themeShade="BF"/>
            </w:tcBorders>
            <w:hideMark/>
          </w:tcPr>
          <w:p w14:paraId="46CA83E5" w14:textId="77777777" w:rsidR="00814857" w:rsidRDefault="00814857" w:rsidP="00894126">
            <w:pPr>
              <w:pStyle w:val="ARtabletextright"/>
            </w:pPr>
            <w:r>
              <w:rPr>
                <w:noProof/>
              </w:rPr>
              <w:t>per cent</w:t>
            </w:r>
          </w:p>
        </w:tc>
        <w:tc>
          <w:tcPr>
            <w:tcW w:w="1022" w:type="dxa"/>
            <w:tcBorders>
              <w:bottom w:val="single" w:sz="4" w:space="0" w:color="BFBFBF" w:themeColor="background1" w:themeShade="BF"/>
            </w:tcBorders>
            <w:hideMark/>
          </w:tcPr>
          <w:p w14:paraId="6232D283" w14:textId="77777777" w:rsidR="00814857" w:rsidRDefault="00814857" w:rsidP="00894126">
            <w:pPr>
              <w:pStyle w:val="ARtabletextright"/>
            </w:pPr>
            <w:r>
              <w:rPr>
                <w:noProof/>
              </w:rPr>
              <w:t>90.0</w:t>
            </w:r>
          </w:p>
        </w:tc>
        <w:tc>
          <w:tcPr>
            <w:tcW w:w="1022" w:type="dxa"/>
            <w:tcBorders>
              <w:bottom w:val="single" w:sz="4" w:space="0" w:color="BFBFBF" w:themeColor="background1" w:themeShade="BF"/>
            </w:tcBorders>
            <w:hideMark/>
          </w:tcPr>
          <w:p w14:paraId="52C2E220" w14:textId="77777777" w:rsidR="00814857" w:rsidRDefault="00814857" w:rsidP="00894126">
            <w:pPr>
              <w:pStyle w:val="ARtabletextright"/>
            </w:pPr>
            <w:r>
              <w:rPr>
                <w:noProof/>
              </w:rPr>
              <w:t>90.6</w:t>
            </w:r>
          </w:p>
        </w:tc>
        <w:tc>
          <w:tcPr>
            <w:tcW w:w="1022" w:type="dxa"/>
            <w:tcBorders>
              <w:bottom w:val="single" w:sz="4" w:space="0" w:color="BFBFBF" w:themeColor="background1" w:themeShade="BF"/>
            </w:tcBorders>
            <w:hideMark/>
          </w:tcPr>
          <w:p w14:paraId="1969CD1B" w14:textId="77777777" w:rsidR="00814857" w:rsidRDefault="00814857" w:rsidP="00894126">
            <w:pPr>
              <w:pStyle w:val="ARtabletextright"/>
            </w:pPr>
            <w:r>
              <w:rPr>
                <w:noProof/>
              </w:rPr>
              <w:t>0.7</w:t>
            </w:r>
          </w:p>
        </w:tc>
        <w:tc>
          <w:tcPr>
            <w:tcW w:w="794" w:type="dxa"/>
            <w:tcBorders>
              <w:bottom w:val="single" w:sz="4" w:space="0" w:color="BFBFBF" w:themeColor="background1" w:themeShade="BF"/>
            </w:tcBorders>
            <w:hideMark/>
          </w:tcPr>
          <w:p w14:paraId="0AEE325E" w14:textId="77777777" w:rsidR="00814857" w:rsidRDefault="00814857" w:rsidP="00894126">
            <w:pPr>
              <w:pStyle w:val="ARtabletextright"/>
            </w:pPr>
            <w:r>
              <w:sym w:font="Wingdings" w:char="F0FC"/>
            </w:r>
          </w:p>
        </w:tc>
      </w:tr>
      <w:tr w:rsidR="00814857" w14:paraId="4874FE86"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2E28F5D4" w14:textId="77777777" w:rsidR="00814857" w:rsidRDefault="00814857" w:rsidP="00894126">
            <w:pPr>
              <w:pStyle w:val="ARtabletext"/>
            </w:pPr>
            <w:r>
              <w:rPr>
                <w:noProof/>
              </w:rPr>
              <w:t>Children and young people who were the subject of a substantiated report within 12 months of the closure of a previous substantiated report</w:t>
            </w:r>
          </w:p>
        </w:tc>
        <w:tc>
          <w:tcPr>
            <w:tcW w:w="1021" w:type="dxa"/>
            <w:tcBorders>
              <w:top w:val="single" w:sz="4" w:space="0" w:color="BFBFBF" w:themeColor="background1" w:themeShade="BF"/>
              <w:bottom w:val="single" w:sz="4" w:space="0" w:color="BFBFBF" w:themeColor="background1" w:themeShade="BF"/>
            </w:tcBorders>
            <w:hideMark/>
          </w:tcPr>
          <w:p w14:paraId="746B9D28" w14:textId="77777777" w:rsidR="00814857" w:rsidRDefault="00814857" w:rsidP="00894126">
            <w:pPr>
              <w:pStyle w:val="ARtabletextright"/>
            </w:pPr>
            <w:r>
              <w:rPr>
                <w:noProof/>
              </w:rPr>
              <w:t>per cent</w:t>
            </w:r>
          </w:p>
        </w:tc>
        <w:tc>
          <w:tcPr>
            <w:tcW w:w="1022" w:type="dxa"/>
            <w:tcBorders>
              <w:top w:val="single" w:sz="4" w:space="0" w:color="BFBFBF" w:themeColor="background1" w:themeShade="BF"/>
              <w:bottom w:val="single" w:sz="4" w:space="0" w:color="BFBFBF" w:themeColor="background1" w:themeShade="BF"/>
            </w:tcBorders>
            <w:hideMark/>
          </w:tcPr>
          <w:p w14:paraId="5F78EAE2" w14:textId="77777777" w:rsidR="00814857" w:rsidRDefault="00814857" w:rsidP="00894126">
            <w:pPr>
              <w:pStyle w:val="ARtabletextright"/>
            </w:pPr>
            <w:r>
              <w:rPr>
                <w:noProof/>
              </w:rPr>
              <w:t>17.5</w:t>
            </w:r>
          </w:p>
        </w:tc>
        <w:tc>
          <w:tcPr>
            <w:tcW w:w="1022" w:type="dxa"/>
            <w:tcBorders>
              <w:top w:val="single" w:sz="4" w:space="0" w:color="BFBFBF" w:themeColor="background1" w:themeShade="BF"/>
              <w:bottom w:val="single" w:sz="4" w:space="0" w:color="BFBFBF" w:themeColor="background1" w:themeShade="BF"/>
            </w:tcBorders>
            <w:hideMark/>
          </w:tcPr>
          <w:p w14:paraId="3CD7DAE9" w14:textId="77777777" w:rsidR="00814857" w:rsidRDefault="00814857" w:rsidP="00894126">
            <w:pPr>
              <w:pStyle w:val="ARtabletextright"/>
            </w:pPr>
            <w:r>
              <w:rPr>
                <w:noProof/>
              </w:rPr>
              <w:t>18.2</w:t>
            </w:r>
          </w:p>
        </w:tc>
        <w:tc>
          <w:tcPr>
            <w:tcW w:w="1022" w:type="dxa"/>
            <w:tcBorders>
              <w:top w:val="single" w:sz="4" w:space="0" w:color="BFBFBF" w:themeColor="background1" w:themeShade="BF"/>
              <w:bottom w:val="single" w:sz="4" w:space="0" w:color="BFBFBF" w:themeColor="background1" w:themeShade="BF"/>
            </w:tcBorders>
            <w:hideMark/>
          </w:tcPr>
          <w:p w14:paraId="3FF5EB52" w14:textId="77777777" w:rsidR="00814857" w:rsidRDefault="00814857" w:rsidP="00894126">
            <w:pPr>
              <w:pStyle w:val="ARtabletextright"/>
            </w:pPr>
            <w:r>
              <w:rPr>
                <w:noProof/>
              </w:rPr>
              <w:t>4.0</w:t>
            </w:r>
          </w:p>
        </w:tc>
        <w:tc>
          <w:tcPr>
            <w:tcW w:w="794" w:type="dxa"/>
            <w:tcBorders>
              <w:top w:val="single" w:sz="4" w:space="0" w:color="BFBFBF" w:themeColor="background1" w:themeShade="BF"/>
              <w:bottom w:val="single" w:sz="4" w:space="0" w:color="BFBFBF" w:themeColor="background1" w:themeShade="BF"/>
            </w:tcBorders>
            <w:hideMark/>
          </w:tcPr>
          <w:p w14:paraId="585177FD" w14:textId="77777777" w:rsidR="00814857" w:rsidRDefault="00814857" w:rsidP="00894126">
            <w:pPr>
              <w:pStyle w:val="ARtabletextright"/>
            </w:pPr>
            <w:r w:rsidRPr="007939DD">
              <w:sym w:font="Wingdings 2" w:char="F099"/>
            </w:r>
          </w:p>
        </w:tc>
      </w:tr>
      <w:tr w:rsidR="00814857" w14:paraId="24FA2C42" w14:textId="77777777" w:rsidTr="00894126">
        <w:trPr>
          <w:cantSplit/>
          <w:trHeight w:val="480"/>
        </w:trPr>
        <w:tc>
          <w:tcPr>
            <w:tcW w:w="4764" w:type="dxa"/>
            <w:tcBorders>
              <w:top w:val="single" w:sz="4" w:space="0" w:color="BFBFBF" w:themeColor="background1" w:themeShade="BF"/>
            </w:tcBorders>
            <w:hideMark/>
          </w:tcPr>
          <w:p w14:paraId="4B553DCF" w14:textId="77777777" w:rsidR="00814857" w:rsidRDefault="00814857" w:rsidP="00894126">
            <w:pPr>
              <w:pStyle w:val="ARtabletext"/>
            </w:pPr>
            <w:r>
              <w:rPr>
                <w:noProof/>
              </w:rPr>
              <w:t>Children and young people who were the subject of an investigation which led to a decision not to substantiate, who were subsequently the subject of a substantiation within three months of case closure</w:t>
            </w:r>
          </w:p>
        </w:tc>
        <w:tc>
          <w:tcPr>
            <w:tcW w:w="1021" w:type="dxa"/>
            <w:tcBorders>
              <w:top w:val="single" w:sz="4" w:space="0" w:color="BFBFBF" w:themeColor="background1" w:themeShade="BF"/>
            </w:tcBorders>
            <w:hideMark/>
          </w:tcPr>
          <w:p w14:paraId="203113F4" w14:textId="77777777" w:rsidR="00814857" w:rsidRDefault="00814857" w:rsidP="00894126">
            <w:pPr>
              <w:pStyle w:val="ARtabletextright"/>
            </w:pPr>
            <w:r>
              <w:rPr>
                <w:noProof/>
              </w:rPr>
              <w:t>per cent</w:t>
            </w:r>
          </w:p>
        </w:tc>
        <w:tc>
          <w:tcPr>
            <w:tcW w:w="1022" w:type="dxa"/>
            <w:tcBorders>
              <w:top w:val="single" w:sz="4" w:space="0" w:color="BFBFBF" w:themeColor="background1" w:themeShade="BF"/>
            </w:tcBorders>
            <w:hideMark/>
          </w:tcPr>
          <w:p w14:paraId="15D744BF" w14:textId="77777777" w:rsidR="00814857" w:rsidRDefault="00814857" w:rsidP="00894126">
            <w:pPr>
              <w:pStyle w:val="ARtabletextright"/>
            </w:pPr>
            <w:r>
              <w:rPr>
                <w:noProof/>
              </w:rPr>
              <w:t>3</w:t>
            </w:r>
          </w:p>
        </w:tc>
        <w:tc>
          <w:tcPr>
            <w:tcW w:w="1022" w:type="dxa"/>
            <w:tcBorders>
              <w:top w:val="single" w:sz="4" w:space="0" w:color="BFBFBF" w:themeColor="background1" w:themeShade="BF"/>
            </w:tcBorders>
            <w:hideMark/>
          </w:tcPr>
          <w:p w14:paraId="7E750356" w14:textId="77777777" w:rsidR="00814857" w:rsidRDefault="00814857" w:rsidP="00894126">
            <w:pPr>
              <w:pStyle w:val="ARtabletextright"/>
            </w:pPr>
            <w:r>
              <w:rPr>
                <w:noProof/>
              </w:rPr>
              <w:t>3.2</w:t>
            </w:r>
          </w:p>
        </w:tc>
        <w:tc>
          <w:tcPr>
            <w:tcW w:w="1022" w:type="dxa"/>
            <w:tcBorders>
              <w:top w:val="single" w:sz="4" w:space="0" w:color="BFBFBF" w:themeColor="background1" w:themeShade="BF"/>
            </w:tcBorders>
            <w:hideMark/>
          </w:tcPr>
          <w:p w14:paraId="6A0E0408" w14:textId="77777777" w:rsidR="00814857" w:rsidRDefault="00814857" w:rsidP="00894126">
            <w:pPr>
              <w:pStyle w:val="ARtabletextright"/>
            </w:pPr>
            <w:r>
              <w:rPr>
                <w:noProof/>
              </w:rPr>
              <w:t>6.7</w:t>
            </w:r>
          </w:p>
        </w:tc>
        <w:tc>
          <w:tcPr>
            <w:tcW w:w="794" w:type="dxa"/>
            <w:tcBorders>
              <w:top w:val="single" w:sz="4" w:space="0" w:color="BFBFBF" w:themeColor="background1" w:themeShade="BF"/>
            </w:tcBorders>
            <w:hideMark/>
          </w:tcPr>
          <w:p w14:paraId="36BDA89C" w14:textId="77777777" w:rsidR="00814857" w:rsidRDefault="00814857" w:rsidP="00894126">
            <w:pPr>
              <w:pStyle w:val="ARtabletextright"/>
            </w:pPr>
            <w:r>
              <w:sym w:font="Wingdings" w:char="F06E"/>
            </w:r>
          </w:p>
        </w:tc>
      </w:tr>
      <w:tr w:rsidR="00814857" w14:paraId="6079A333" w14:textId="77777777" w:rsidTr="00894126">
        <w:trPr>
          <w:cantSplit/>
          <w:trHeight w:val="240"/>
        </w:trPr>
        <w:tc>
          <w:tcPr>
            <w:tcW w:w="9645" w:type="dxa"/>
            <w:gridSpan w:val="6"/>
            <w:tcBorders>
              <w:top w:val="nil"/>
              <w:left w:val="nil"/>
              <w:bottom w:val="single" w:sz="4" w:space="0" w:color="BFBFBF"/>
              <w:right w:val="nil"/>
            </w:tcBorders>
            <w:noWrap/>
            <w:hideMark/>
          </w:tcPr>
          <w:p w14:paraId="2C80B3AC" w14:textId="77777777" w:rsidR="00814857" w:rsidRPr="007C0B3E" w:rsidRDefault="00814857" w:rsidP="00894126">
            <w:pPr>
              <w:pStyle w:val="ARtablenoteindent"/>
              <w:rPr>
                <w:highlight w:val="yellow"/>
              </w:rPr>
            </w:pPr>
            <w:r w:rsidRPr="00030BBE">
              <w:rPr>
                <w:noProof/>
              </w:rPr>
              <w:t>This measure is an indicator of effective substantiation decision making. The variation from the target is minimal (3.2 per cent against a target of 3.0 per cent)</w:t>
            </w:r>
            <w:r>
              <w:rPr>
                <w:noProof/>
              </w:rPr>
              <w:t>. I</w:t>
            </w:r>
            <w:r w:rsidRPr="00030BBE">
              <w:rPr>
                <w:noProof/>
              </w:rPr>
              <w:t>n some circumstances a subsequent substantiation within three months is valid due to changed circumstances or new information</w:t>
            </w:r>
            <w:r w:rsidRPr="004B43C4">
              <w:rPr>
                <w:noProof/>
              </w:rPr>
              <w:t>.</w:t>
            </w:r>
          </w:p>
        </w:tc>
      </w:tr>
      <w:tr w:rsidR="00814857" w14:paraId="22AF5D72" w14:textId="77777777" w:rsidTr="00894126">
        <w:trPr>
          <w:cantSplit/>
          <w:trHeight w:val="480"/>
        </w:trPr>
        <w:tc>
          <w:tcPr>
            <w:tcW w:w="4764" w:type="dxa"/>
            <w:hideMark/>
          </w:tcPr>
          <w:p w14:paraId="3576D3F0" w14:textId="77777777" w:rsidR="00814857" w:rsidRDefault="00814857" w:rsidP="00894126">
            <w:pPr>
              <w:pStyle w:val="ARtabletext"/>
            </w:pPr>
            <w:r>
              <w:rPr>
                <w:noProof/>
              </w:rPr>
              <w:t>Organisations that have successfully completed a certification review (family and community services)</w:t>
            </w:r>
          </w:p>
        </w:tc>
        <w:tc>
          <w:tcPr>
            <w:tcW w:w="1021" w:type="dxa"/>
            <w:hideMark/>
          </w:tcPr>
          <w:p w14:paraId="2AAD740F" w14:textId="77777777" w:rsidR="00814857" w:rsidRDefault="00814857" w:rsidP="00894126">
            <w:pPr>
              <w:pStyle w:val="ARtabletextright"/>
            </w:pPr>
            <w:r>
              <w:rPr>
                <w:noProof/>
              </w:rPr>
              <w:t>per cent</w:t>
            </w:r>
          </w:p>
        </w:tc>
        <w:tc>
          <w:tcPr>
            <w:tcW w:w="1022" w:type="dxa"/>
            <w:hideMark/>
          </w:tcPr>
          <w:p w14:paraId="5B4A1D11" w14:textId="77777777" w:rsidR="00814857" w:rsidRDefault="00814857" w:rsidP="00894126">
            <w:pPr>
              <w:pStyle w:val="ARtabletextright"/>
            </w:pPr>
            <w:r>
              <w:rPr>
                <w:noProof/>
              </w:rPr>
              <w:t>95</w:t>
            </w:r>
          </w:p>
        </w:tc>
        <w:tc>
          <w:tcPr>
            <w:tcW w:w="1022" w:type="dxa"/>
            <w:hideMark/>
          </w:tcPr>
          <w:p w14:paraId="454A092A" w14:textId="77777777" w:rsidR="00814857" w:rsidRDefault="00814857" w:rsidP="00894126">
            <w:pPr>
              <w:pStyle w:val="ARtabletextright"/>
            </w:pPr>
            <w:r>
              <w:rPr>
                <w:noProof/>
              </w:rPr>
              <w:t>100</w:t>
            </w:r>
          </w:p>
        </w:tc>
        <w:tc>
          <w:tcPr>
            <w:tcW w:w="1022" w:type="dxa"/>
            <w:hideMark/>
          </w:tcPr>
          <w:p w14:paraId="444E70FE" w14:textId="77777777" w:rsidR="00814857" w:rsidRDefault="00814857" w:rsidP="00894126">
            <w:pPr>
              <w:pStyle w:val="ARtabletextright"/>
            </w:pPr>
            <w:r>
              <w:rPr>
                <w:noProof/>
              </w:rPr>
              <w:t>5.3</w:t>
            </w:r>
          </w:p>
        </w:tc>
        <w:tc>
          <w:tcPr>
            <w:tcW w:w="794" w:type="dxa"/>
            <w:hideMark/>
          </w:tcPr>
          <w:p w14:paraId="105186DC" w14:textId="77777777" w:rsidR="00814857" w:rsidRDefault="00814857" w:rsidP="00894126">
            <w:pPr>
              <w:pStyle w:val="ARtabletextright"/>
            </w:pPr>
            <w:r>
              <w:sym w:font="Wingdings" w:char="F0FC"/>
            </w:r>
          </w:p>
        </w:tc>
      </w:tr>
      <w:tr w:rsidR="00814857" w14:paraId="7A76620D" w14:textId="77777777" w:rsidTr="00894126">
        <w:trPr>
          <w:cantSplit/>
          <w:trHeight w:val="240"/>
        </w:trPr>
        <w:tc>
          <w:tcPr>
            <w:tcW w:w="9645" w:type="dxa"/>
            <w:gridSpan w:val="6"/>
            <w:tcBorders>
              <w:top w:val="nil"/>
              <w:left w:val="nil"/>
              <w:bottom w:val="single" w:sz="4" w:space="0" w:color="BFBFBF"/>
              <w:right w:val="nil"/>
            </w:tcBorders>
            <w:noWrap/>
            <w:hideMark/>
          </w:tcPr>
          <w:p w14:paraId="3CA0A8BE" w14:textId="77777777" w:rsidR="00814857" w:rsidRDefault="00814857" w:rsidP="00894126">
            <w:pPr>
              <w:pStyle w:val="ARtablenoteindent"/>
            </w:pPr>
            <w:r>
              <w:rPr>
                <w:noProof/>
              </w:rPr>
              <w:t>The result is higher than the target due to eligible funded organisations completing a certification review every three years. This is a positive result.</w:t>
            </w:r>
          </w:p>
        </w:tc>
      </w:tr>
      <w:tr w:rsidR="00814857" w14:paraId="75DD32F6" w14:textId="77777777" w:rsidTr="00894126">
        <w:trPr>
          <w:cantSplit/>
          <w:trHeight w:val="480"/>
        </w:trPr>
        <w:tc>
          <w:tcPr>
            <w:tcW w:w="4764" w:type="dxa"/>
            <w:hideMark/>
          </w:tcPr>
          <w:p w14:paraId="2A9C958B" w14:textId="77777777" w:rsidR="00814857" w:rsidRDefault="00814857" w:rsidP="00894126">
            <w:pPr>
              <w:pStyle w:val="ARtabletext"/>
            </w:pPr>
            <w:r>
              <w:rPr>
                <w:noProof/>
              </w:rPr>
              <w:t>Organisations that have successfully completed a certification review (specialist support and placement services)</w:t>
            </w:r>
          </w:p>
        </w:tc>
        <w:tc>
          <w:tcPr>
            <w:tcW w:w="1021" w:type="dxa"/>
            <w:hideMark/>
          </w:tcPr>
          <w:p w14:paraId="5421C30C" w14:textId="77777777" w:rsidR="00814857" w:rsidRDefault="00814857" w:rsidP="00894126">
            <w:pPr>
              <w:pStyle w:val="ARtabletextright"/>
            </w:pPr>
            <w:r>
              <w:rPr>
                <w:noProof/>
              </w:rPr>
              <w:t>per cent</w:t>
            </w:r>
          </w:p>
        </w:tc>
        <w:tc>
          <w:tcPr>
            <w:tcW w:w="1022" w:type="dxa"/>
            <w:hideMark/>
          </w:tcPr>
          <w:p w14:paraId="2E447D20" w14:textId="77777777" w:rsidR="00814857" w:rsidRDefault="00814857" w:rsidP="00894126">
            <w:pPr>
              <w:pStyle w:val="ARtabletextright"/>
            </w:pPr>
            <w:r>
              <w:rPr>
                <w:noProof/>
              </w:rPr>
              <w:t>95</w:t>
            </w:r>
          </w:p>
        </w:tc>
        <w:tc>
          <w:tcPr>
            <w:tcW w:w="1022" w:type="dxa"/>
            <w:hideMark/>
          </w:tcPr>
          <w:p w14:paraId="1480FF55" w14:textId="77777777" w:rsidR="00814857" w:rsidRDefault="00814857" w:rsidP="00894126">
            <w:pPr>
              <w:pStyle w:val="ARtabletextright"/>
            </w:pPr>
            <w:r>
              <w:rPr>
                <w:noProof/>
              </w:rPr>
              <w:t>100</w:t>
            </w:r>
          </w:p>
        </w:tc>
        <w:tc>
          <w:tcPr>
            <w:tcW w:w="1022" w:type="dxa"/>
            <w:hideMark/>
          </w:tcPr>
          <w:p w14:paraId="33D01707" w14:textId="77777777" w:rsidR="00814857" w:rsidRDefault="00814857" w:rsidP="00894126">
            <w:pPr>
              <w:pStyle w:val="ARtabletextright"/>
            </w:pPr>
            <w:r>
              <w:rPr>
                <w:noProof/>
              </w:rPr>
              <w:t>5.3</w:t>
            </w:r>
          </w:p>
        </w:tc>
        <w:tc>
          <w:tcPr>
            <w:tcW w:w="794" w:type="dxa"/>
            <w:hideMark/>
          </w:tcPr>
          <w:p w14:paraId="51103565" w14:textId="77777777" w:rsidR="00814857" w:rsidRDefault="00814857" w:rsidP="00894126">
            <w:pPr>
              <w:pStyle w:val="ARtabletextright"/>
            </w:pPr>
            <w:r>
              <w:sym w:font="Wingdings" w:char="F0FC"/>
            </w:r>
          </w:p>
        </w:tc>
      </w:tr>
      <w:tr w:rsidR="00814857" w14:paraId="0AA6F226" w14:textId="77777777" w:rsidTr="00894126">
        <w:trPr>
          <w:cantSplit/>
          <w:trHeight w:val="240"/>
        </w:trPr>
        <w:tc>
          <w:tcPr>
            <w:tcW w:w="9645" w:type="dxa"/>
            <w:gridSpan w:val="6"/>
            <w:tcBorders>
              <w:top w:val="nil"/>
              <w:left w:val="nil"/>
              <w:bottom w:val="single" w:sz="4" w:space="0" w:color="BFBFBF"/>
              <w:right w:val="nil"/>
            </w:tcBorders>
            <w:noWrap/>
            <w:hideMark/>
          </w:tcPr>
          <w:p w14:paraId="41F90E50" w14:textId="77777777" w:rsidR="00814857" w:rsidRDefault="00814857" w:rsidP="00894126">
            <w:pPr>
              <w:pStyle w:val="ARtablenoteindent"/>
            </w:pPr>
            <w:r>
              <w:rPr>
                <w:noProof/>
              </w:rPr>
              <w:t>The result is higher than the target due to eligible funded organisations completing a certification review every three years. This is a positive result.</w:t>
            </w:r>
          </w:p>
        </w:tc>
      </w:tr>
      <w:tr w:rsidR="00814857" w14:paraId="23CC97DD" w14:textId="77777777" w:rsidTr="00894126">
        <w:trPr>
          <w:cantSplit/>
          <w:trHeight w:val="480"/>
        </w:trPr>
        <w:tc>
          <w:tcPr>
            <w:tcW w:w="4764" w:type="dxa"/>
            <w:hideMark/>
          </w:tcPr>
          <w:p w14:paraId="41A4628A" w14:textId="77777777" w:rsidR="00814857" w:rsidRDefault="00814857" w:rsidP="00894126">
            <w:pPr>
              <w:pStyle w:val="ARtabletext"/>
            </w:pPr>
            <w:r>
              <w:rPr>
                <w:noProof/>
              </w:rPr>
              <w:t>Proportion of Aboriginal children placed with relatives/kin, other Aboriginal carers or in Aboriginal residential care</w:t>
            </w:r>
          </w:p>
        </w:tc>
        <w:tc>
          <w:tcPr>
            <w:tcW w:w="1021" w:type="dxa"/>
            <w:hideMark/>
          </w:tcPr>
          <w:p w14:paraId="5A650D97" w14:textId="77777777" w:rsidR="00814857" w:rsidRDefault="00814857" w:rsidP="00894126">
            <w:pPr>
              <w:pStyle w:val="ARtabletextright"/>
            </w:pPr>
            <w:r>
              <w:rPr>
                <w:noProof/>
              </w:rPr>
              <w:t>per cent</w:t>
            </w:r>
          </w:p>
        </w:tc>
        <w:tc>
          <w:tcPr>
            <w:tcW w:w="1022" w:type="dxa"/>
            <w:hideMark/>
          </w:tcPr>
          <w:p w14:paraId="71C7424E" w14:textId="77777777" w:rsidR="00814857" w:rsidRDefault="00814857" w:rsidP="00894126">
            <w:pPr>
              <w:pStyle w:val="ARtabletextright"/>
            </w:pPr>
            <w:r>
              <w:rPr>
                <w:noProof/>
              </w:rPr>
              <w:t>70</w:t>
            </w:r>
          </w:p>
        </w:tc>
        <w:tc>
          <w:tcPr>
            <w:tcW w:w="1022" w:type="dxa"/>
            <w:hideMark/>
          </w:tcPr>
          <w:p w14:paraId="04478C1F" w14:textId="77777777" w:rsidR="00814857" w:rsidRDefault="00814857" w:rsidP="00894126">
            <w:pPr>
              <w:pStyle w:val="ARtabletextright"/>
            </w:pPr>
            <w:r>
              <w:rPr>
                <w:noProof/>
              </w:rPr>
              <w:t>78.8</w:t>
            </w:r>
          </w:p>
        </w:tc>
        <w:tc>
          <w:tcPr>
            <w:tcW w:w="1022" w:type="dxa"/>
            <w:hideMark/>
          </w:tcPr>
          <w:p w14:paraId="47D73663" w14:textId="77777777" w:rsidR="00814857" w:rsidRDefault="00814857" w:rsidP="00894126">
            <w:pPr>
              <w:pStyle w:val="ARtabletextright"/>
            </w:pPr>
            <w:r>
              <w:rPr>
                <w:noProof/>
              </w:rPr>
              <w:t>12.5</w:t>
            </w:r>
          </w:p>
        </w:tc>
        <w:tc>
          <w:tcPr>
            <w:tcW w:w="794" w:type="dxa"/>
            <w:hideMark/>
          </w:tcPr>
          <w:p w14:paraId="264E457D" w14:textId="77777777" w:rsidR="00814857" w:rsidRDefault="00814857" w:rsidP="00894126">
            <w:pPr>
              <w:pStyle w:val="ARtabletextright"/>
            </w:pPr>
            <w:r>
              <w:sym w:font="Wingdings" w:char="F0FC"/>
            </w:r>
          </w:p>
        </w:tc>
      </w:tr>
      <w:tr w:rsidR="00814857" w14:paraId="1D30EA1E" w14:textId="77777777" w:rsidTr="007775EC">
        <w:trPr>
          <w:cantSplit/>
          <w:trHeight w:val="675"/>
        </w:trPr>
        <w:tc>
          <w:tcPr>
            <w:tcW w:w="9645" w:type="dxa"/>
            <w:gridSpan w:val="6"/>
            <w:tcBorders>
              <w:top w:val="nil"/>
              <w:left w:val="nil"/>
              <w:bottom w:val="single" w:sz="4" w:space="0" w:color="BFBFBF"/>
              <w:right w:val="nil"/>
            </w:tcBorders>
            <w:noWrap/>
            <w:hideMark/>
          </w:tcPr>
          <w:p w14:paraId="7AEACFC0" w14:textId="7C32663C" w:rsidR="00814857" w:rsidRDefault="00814857" w:rsidP="00894126">
            <w:pPr>
              <w:pStyle w:val="ARtablenoteindent"/>
            </w:pPr>
            <w:r>
              <w:rPr>
                <w:noProof/>
              </w:rPr>
              <w:t xml:space="preserve">This outcomes is a result of significant effort to transition Aboriginal </w:t>
            </w:r>
            <w:r w:rsidR="001F4A28">
              <w:rPr>
                <w:noProof/>
              </w:rPr>
              <w:t>c</w:t>
            </w:r>
            <w:r>
              <w:rPr>
                <w:noProof/>
              </w:rPr>
              <w:t xml:space="preserve">hildren to Aboriginal </w:t>
            </w:r>
            <w:r w:rsidR="001F4A28">
              <w:rPr>
                <w:noProof/>
              </w:rPr>
              <w:t>c</w:t>
            </w:r>
            <w:r>
              <w:rPr>
                <w:noProof/>
              </w:rPr>
              <w:t>are where possible and increase placements with kin, in keeping with nationally agreed Aboriginal Child Placement principles. In addition there has been an improvement in the recording of carers' Aboriginal status. This is a positive result.</w:t>
            </w:r>
          </w:p>
        </w:tc>
      </w:tr>
      <w:tr w:rsidR="00814857" w14:paraId="56BCE6CD" w14:textId="77777777" w:rsidTr="00894126">
        <w:trPr>
          <w:cantSplit/>
          <w:trHeight w:val="480"/>
        </w:trPr>
        <w:tc>
          <w:tcPr>
            <w:tcW w:w="4764" w:type="dxa"/>
            <w:hideMark/>
          </w:tcPr>
          <w:p w14:paraId="789253FE" w14:textId="77777777" w:rsidR="00814857" w:rsidRDefault="00814857" w:rsidP="00EC65CE">
            <w:pPr>
              <w:pStyle w:val="ARtabletext"/>
              <w:keepNext/>
            </w:pPr>
            <w:r>
              <w:rPr>
                <w:noProof/>
              </w:rPr>
              <w:lastRenderedPageBreak/>
              <w:t>Proportion of placements that are home-based care</w:t>
            </w:r>
          </w:p>
        </w:tc>
        <w:tc>
          <w:tcPr>
            <w:tcW w:w="1021" w:type="dxa"/>
            <w:hideMark/>
          </w:tcPr>
          <w:p w14:paraId="20AD21F9" w14:textId="77777777" w:rsidR="00814857" w:rsidRDefault="00814857" w:rsidP="00894126">
            <w:pPr>
              <w:pStyle w:val="ARtabletextright"/>
            </w:pPr>
            <w:r>
              <w:rPr>
                <w:noProof/>
              </w:rPr>
              <w:t>per cent</w:t>
            </w:r>
          </w:p>
        </w:tc>
        <w:tc>
          <w:tcPr>
            <w:tcW w:w="1022" w:type="dxa"/>
            <w:hideMark/>
          </w:tcPr>
          <w:p w14:paraId="2CFD1A1C" w14:textId="77777777" w:rsidR="00814857" w:rsidRDefault="00814857" w:rsidP="00894126">
            <w:pPr>
              <w:pStyle w:val="ARtabletextright"/>
            </w:pPr>
            <w:r>
              <w:rPr>
                <w:noProof/>
              </w:rPr>
              <w:t>90</w:t>
            </w:r>
          </w:p>
        </w:tc>
        <w:tc>
          <w:tcPr>
            <w:tcW w:w="1022" w:type="dxa"/>
            <w:hideMark/>
          </w:tcPr>
          <w:p w14:paraId="04DF770C" w14:textId="77777777" w:rsidR="00814857" w:rsidRDefault="00814857" w:rsidP="00894126">
            <w:pPr>
              <w:pStyle w:val="ARtabletextright"/>
            </w:pPr>
            <w:r>
              <w:rPr>
                <w:noProof/>
              </w:rPr>
              <w:t>96</w:t>
            </w:r>
          </w:p>
        </w:tc>
        <w:tc>
          <w:tcPr>
            <w:tcW w:w="1022" w:type="dxa"/>
            <w:hideMark/>
          </w:tcPr>
          <w:p w14:paraId="0BE6B6CB" w14:textId="77777777" w:rsidR="00814857" w:rsidRDefault="00814857" w:rsidP="00894126">
            <w:pPr>
              <w:pStyle w:val="ARtabletextright"/>
            </w:pPr>
            <w:r>
              <w:rPr>
                <w:noProof/>
              </w:rPr>
              <w:t>6.6</w:t>
            </w:r>
          </w:p>
        </w:tc>
        <w:tc>
          <w:tcPr>
            <w:tcW w:w="794" w:type="dxa"/>
            <w:hideMark/>
          </w:tcPr>
          <w:p w14:paraId="2CFF3C66" w14:textId="77777777" w:rsidR="00814857" w:rsidRDefault="00814857" w:rsidP="00894126">
            <w:pPr>
              <w:pStyle w:val="ARtabletextright"/>
            </w:pPr>
            <w:r>
              <w:sym w:font="Wingdings" w:char="F0FC"/>
            </w:r>
          </w:p>
        </w:tc>
      </w:tr>
      <w:tr w:rsidR="00814857" w14:paraId="1CB1837C" w14:textId="77777777" w:rsidTr="00894126">
        <w:trPr>
          <w:cantSplit/>
          <w:trHeight w:val="240"/>
        </w:trPr>
        <w:tc>
          <w:tcPr>
            <w:tcW w:w="9645" w:type="dxa"/>
            <w:gridSpan w:val="6"/>
            <w:tcBorders>
              <w:top w:val="nil"/>
              <w:left w:val="nil"/>
              <w:bottom w:val="single" w:sz="4" w:space="0" w:color="BFBFBF"/>
              <w:right w:val="nil"/>
            </w:tcBorders>
            <w:noWrap/>
            <w:hideMark/>
          </w:tcPr>
          <w:p w14:paraId="27EF26D5" w14:textId="77777777" w:rsidR="00814857" w:rsidRDefault="00814857" w:rsidP="00894126">
            <w:pPr>
              <w:pStyle w:val="ARtablenoteindent"/>
            </w:pPr>
            <w:r>
              <w:rPr>
                <w:noProof/>
              </w:rPr>
              <w:t>The result is higher than the target, which reflects the continuing preference of placing children and young people in home-based care, and keeping residential care placements to a minimum. The target has been increased for 2019–20. This is a positive result.</w:t>
            </w:r>
          </w:p>
        </w:tc>
      </w:tr>
      <w:tr w:rsidR="00814857" w14:paraId="08AC4F8F" w14:textId="77777777" w:rsidTr="00894126">
        <w:trPr>
          <w:cantSplit/>
          <w:trHeight w:val="240"/>
        </w:trPr>
        <w:tc>
          <w:tcPr>
            <w:tcW w:w="4764" w:type="dxa"/>
            <w:tcBorders>
              <w:top w:val="single" w:sz="4" w:space="0" w:color="auto"/>
              <w:left w:val="nil"/>
              <w:right w:val="nil"/>
            </w:tcBorders>
            <w:hideMark/>
          </w:tcPr>
          <w:p w14:paraId="610DF82C" w14:textId="77777777" w:rsidR="00814857" w:rsidRPr="00435211" w:rsidRDefault="00814857" w:rsidP="00435211">
            <w:pPr>
              <w:pStyle w:val="ARtablegreybold"/>
            </w:pPr>
            <w:r w:rsidRPr="00435211">
              <w:t>Timeliness</w:t>
            </w:r>
          </w:p>
        </w:tc>
        <w:tc>
          <w:tcPr>
            <w:tcW w:w="1021" w:type="dxa"/>
            <w:tcBorders>
              <w:top w:val="single" w:sz="4" w:space="0" w:color="auto"/>
              <w:left w:val="nil"/>
              <w:right w:val="nil"/>
            </w:tcBorders>
            <w:hideMark/>
          </w:tcPr>
          <w:p w14:paraId="6FF69ECD" w14:textId="77777777" w:rsidR="00814857" w:rsidRPr="00435211" w:rsidRDefault="00814857" w:rsidP="00435211">
            <w:pPr>
              <w:pStyle w:val="ARtablegreybold"/>
            </w:pPr>
          </w:p>
        </w:tc>
        <w:tc>
          <w:tcPr>
            <w:tcW w:w="1022" w:type="dxa"/>
            <w:tcBorders>
              <w:top w:val="single" w:sz="4" w:space="0" w:color="auto"/>
              <w:left w:val="nil"/>
              <w:right w:val="nil"/>
            </w:tcBorders>
            <w:hideMark/>
          </w:tcPr>
          <w:p w14:paraId="6337111C" w14:textId="77777777" w:rsidR="00814857" w:rsidRPr="00435211" w:rsidRDefault="00814857" w:rsidP="00435211">
            <w:pPr>
              <w:pStyle w:val="ARtablegreybold"/>
            </w:pPr>
          </w:p>
        </w:tc>
        <w:tc>
          <w:tcPr>
            <w:tcW w:w="1022" w:type="dxa"/>
            <w:tcBorders>
              <w:top w:val="single" w:sz="4" w:space="0" w:color="auto"/>
              <w:left w:val="nil"/>
              <w:right w:val="nil"/>
            </w:tcBorders>
            <w:hideMark/>
          </w:tcPr>
          <w:p w14:paraId="52985C14" w14:textId="77777777" w:rsidR="00814857" w:rsidRPr="00435211" w:rsidRDefault="00814857" w:rsidP="00435211">
            <w:pPr>
              <w:pStyle w:val="ARtablegreybold"/>
            </w:pPr>
          </w:p>
        </w:tc>
        <w:tc>
          <w:tcPr>
            <w:tcW w:w="1022" w:type="dxa"/>
            <w:tcBorders>
              <w:top w:val="single" w:sz="4" w:space="0" w:color="auto"/>
              <w:left w:val="nil"/>
              <w:right w:val="nil"/>
            </w:tcBorders>
            <w:hideMark/>
          </w:tcPr>
          <w:p w14:paraId="3A113D3D" w14:textId="77777777" w:rsidR="00814857" w:rsidRPr="00435211" w:rsidRDefault="00814857" w:rsidP="00435211">
            <w:pPr>
              <w:pStyle w:val="ARtablegreybold"/>
            </w:pPr>
          </w:p>
        </w:tc>
        <w:tc>
          <w:tcPr>
            <w:tcW w:w="794" w:type="dxa"/>
            <w:tcBorders>
              <w:top w:val="single" w:sz="4" w:space="0" w:color="auto"/>
              <w:left w:val="nil"/>
              <w:right w:val="nil"/>
            </w:tcBorders>
            <w:hideMark/>
          </w:tcPr>
          <w:p w14:paraId="42671C0F" w14:textId="77777777" w:rsidR="00814857" w:rsidRPr="00435211" w:rsidRDefault="00814857" w:rsidP="00435211">
            <w:pPr>
              <w:pStyle w:val="ARtablegreybold"/>
            </w:pPr>
          </w:p>
        </w:tc>
      </w:tr>
      <w:tr w:rsidR="00814857" w14:paraId="5569F709" w14:textId="77777777" w:rsidTr="00894126">
        <w:trPr>
          <w:cantSplit/>
          <w:trHeight w:val="480"/>
        </w:trPr>
        <w:tc>
          <w:tcPr>
            <w:tcW w:w="4764" w:type="dxa"/>
            <w:tcBorders>
              <w:bottom w:val="single" w:sz="4" w:space="0" w:color="BFBFBF" w:themeColor="background1" w:themeShade="BF"/>
            </w:tcBorders>
            <w:hideMark/>
          </w:tcPr>
          <w:p w14:paraId="5574C7D6" w14:textId="77777777" w:rsidR="00814857" w:rsidRDefault="00814857" w:rsidP="00894126">
            <w:pPr>
              <w:pStyle w:val="ARtabletext"/>
            </w:pPr>
            <w:r>
              <w:rPr>
                <w:noProof/>
              </w:rPr>
              <w:t>Percentage of child protection investigations assessed as urgent, that were visited, or where attempts were made to visit, within two days of receipt of the report</w:t>
            </w:r>
          </w:p>
        </w:tc>
        <w:tc>
          <w:tcPr>
            <w:tcW w:w="1021" w:type="dxa"/>
            <w:tcBorders>
              <w:bottom w:val="single" w:sz="4" w:space="0" w:color="BFBFBF" w:themeColor="background1" w:themeShade="BF"/>
            </w:tcBorders>
            <w:hideMark/>
          </w:tcPr>
          <w:p w14:paraId="7C2340FE" w14:textId="77777777" w:rsidR="00814857" w:rsidRDefault="00814857" w:rsidP="00894126">
            <w:pPr>
              <w:pStyle w:val="ARtabletextright"/>
            </w:pPr>
            <w:r>
              <w:rPr>
                <w:noProof/>
              </w:rPr>
              <w:t>per cent</w:t>
            </w:r>
          </w:p>
        </w:tc>
        <w:tc>
          <w:tcPr>
            <w:tcW w:w="1022" w:type="dxa"/>
            <w:tcBorders>
              <w:bottom w:val="single" w:sz="4" w:space="0" w:color="BFBFBF" w:themeColor="background1" w:themeShade="BF"/>
            </w:tcBorders>
            <w:hideMark/>
          </w:tcPr>
          <w:p w14:paraId="6F8151D2" w14:textId="77777777" w:rsidR="00814857" w:rsidRDefault="00814857" w:rsidP="00894126">
            <w:pPr>
              <w:pStyle w:val="ARtabletextright"/>
            </w:pPr>
            <w:r>
              <w:rPr>
                <w:noProof/>
              </w:rPr>
              <w:t>97</w:t>
            </w:r>
          </w:p>
        </w:tc>
        <w:tc>
          <w:tcPr>
            <w:tcW w:w="1022" w:type="dxa"/>
            <w:tcBorders>
              <w:bottom w:val="single" w:sz="4" w:space="0" w:color="BFBFBF" w:themeColor="background1" w:themeShade="BF"/>
            </w:tcBorders>
            <w:hideMark/>
          </w:tcPr>
          <w:p w14:paraId="4F2CE7BD" w14:textId="77777777" w:rsidR="00814857" w:rsidRDefault="00814857" w:rsidP="00894126">
            <w:pPr>
              <w:pStyle w:val="ARtabletextright"/>
            </w:pPr>
            <w:r>
              <w:rPr>
                <w:noProof/>
              </w:rPr>
              <w:t>96.2</w:t>
            </w:r>
          </w:p>
        </w:tc>
        <w:tc>
          <w:tcPr>
            <w:tcW w:w="1022" w:type="dxa"/>
            <w:tcBorders>
              <w:bottom w:val="single" w:sz="4" w:space="0" w:color="BFBFBF" w:themeColor="background1" w:themeShade="BF"/>
            </w:tcBorders>
            <w:hideMark/>
          </w:tcPr>
          <w:p w14:paraId="08C320A5" w14:textId="77777777" w:rsidR="00814857" w:rsidRDefault="00814857" w:rsidP="00894126">
            <w:pPr>
              <w:pStyle w:val="ARtabletextright"/>
            </w:pPr>
            <w:r>
              <w:rPr>
                <w:noProof/>
              </w:rPr>
              <w:t>-0.9</w:t>
            </w:r>
          </w:p>
        </w:tc>
        <w:tc>
          <w:tcPr>
            <w:tcW w:w="794" w:type="dxa"/>
            <w:tcBorders>
              <w:bottom w:val="single" w:sz="4" w:space="0" w:color="BFBFBF" w:themeColor="background1" w:themeShade="BF"/>
            </w:tcBorders>
            <w:hideMark/>
          </w:tcPr>
          <w:p w14:paraId="40C80B65" w14:textId="77777777" w:rsidR="00814857" w:rsidRDefault="00814857" w:rsidP="00894126">
            <w:pPr>
              <w:pStyle w:val="ARtabletextright"/>
            </w:pPr>
            <w:r w:rsidRPr="007939DD">
              <w:sym w:font="Wingdings 2" w:char="F099"/>
            </w:r>
          </w:p>
        </w:tc>
      </w:tr>
      <w:tr w:rsidR="00814857" w14:paraId="0494402E" w14:textId="77777777" w:rsidTr="00894126">
        <w:trPr>
          <w:cantSplit/>
          <w:trHeight w:val="480"/>
        </w:trPr>
        <w:tc>
          <w:tcPr>
            <w:tcW w:w="4764" w:type="dxa"/>
            <w:tcBorders>
              <w:top w:val="single" w:sz="4" w:space="0" w:color="BFBFBF" w:themeColor="background1" w:themeShade="BF"/>
            </w:tcBorders>
            <w:hideMark/>
          </w:tcPr>
          <w:p w14:paraId="5D36E9D6" w14:textId="77777777" w:rsidR="00814857" w:rsidRDefault="00814857" w:rsidP="00894126">
            <w:pPr>
              <w:pStyle w:val="ARtabletext"/>
            </w:pPr>
            <w:r>
              <w:rPr>
                <w:noProof/>
              </w:rPr>
              <w:t>Sexual assault support services clients receiving an initial response within five working days of referral</w:t>
            </w:r>
          </w:p>
        </w:tc>
        <w:tc>
          <w:tcPr>
            <w:tcW w:w="1021" w:type="dxa"/>
            <w:tcBorders>
              <w:top w:val="single" w:sz="4" w:space="0" w:color="BFBFBF" w:themeColor="background1" w:themeShade="BF"/>
            </w:tcBorders>
            <w:hideMark/>
          </w:tcPr>
          <w:p w14:paraId="1EB5A138" w14:textId="77777777" w:rsidR="00814857" w:rsidRDefault="00814857" w:rsidP="00894126">
            <w:pPr>
              <w:pStyle w:val="ARtabletextright"/>
            </w:pPr>
            <w:r>
              <w:rPr>
                <w:noProof/>
              </w:rPr>
              <w:t>per cent</w:t>
            </w:r>
          </w:p>
        </w:tc>
        <w:tc>
          <w:tcPr>
            <w:tcW w:w="1022" w:type="dxa"/>
            <w:tcBorders>
              <w:top w:val="single" w:sz="4" w:space="0" w:color="BFBFBF" w:themeColor="background1" w:themeShade="BF"/>
            </w:tcBorders>
            <w:hideMark/>
          </w:tcPr>
          <w:p w14:paraId="38F69917" w14:textId="77777777" w:rsidR="00814857" w:rsidRDefault="00814857" w:rsidP="00894126">
            <w:pPr>
              <w:pStyle w:val="ARtabletextright"/>
            </w:pPr>
            <w:r>
              <w:rPr>
                <w:noProof/>
              </w:rPr>
              <w:t>95</w:t>
            </w:r>
          </w:p>
        </w:tc>
        <w:tc>
          <w:tcPr>
            <w:tcW w:w="1022" w:type="dxa"/>
            <w:tcBorders>
              <w:top w:val="single" w:sz="4" w:space="0" w:color="BFBFBF" w:themeColor="background1" w:themeShade="BF"/>
            </w:tcBorders>
            <w:hideMark/>
          </w:tcPr>
          <w:p w14:paraId="675BE696" w14:textId="77777777" w:rsidR="00814857" w:rsidRDefault="00814857" w:rsidP="00894126">
            <w:pPr>
              <w:pStyle w:val="ARtabletextright"/>
            </w:pPr>
            <w:r>
              <w:rPr>
                <w:noProof/>
              </w:rPr>
              <w:t>98.7</w:t>
            </w:r>
          </w:p>
        </w:tc>
        <w:tc>
          <w:tcPr>
            <w:tcW w:w="1022" w:type="dxa"/>
            <w:tcBorders>
              <w:top w:val="single" w:sz="4" w:space="0" w:color="BFBFBF" w:themeColor="background1" w:themeShade="BF"/>
            </w:tcBorders>
            <w:hideMark/>
          </w:tcPr>
          <w:p w14:paraId="4BAA0386" w14:textId="77777777" w:rsidR="00814857" w:rsidRDefault="00814857" w:rsidP="00894126">
            <w:pPr>
              <w:pStyle w:val="ARtabletextright"/>
            </w:pPr>
            <w:r>
              <w:rPr>
                <w:noProof/>
              </w:rPr>
              <w:t>3.9</w:t>
            </w:r>
          </w:p>
        </w:tc>
        <w:tc>
          <w:tcPr>
            <w:tcW w:w="794" w:type="dxa"/>
            <w:tcBorders>
              <w:top w:val="single" w:sz="4" w:space="0" w:color="BFBFBF" w:themeColor="background1" w:themeShade="BF"/>
            </w:tcBorders>
            <w:hideMark/>
          </w:tcPr>
          <w:p w14:paraId="54560F42" w14:textId="77777777" w:rsidR="00814857" w:rsidRDefault="00814857" w:rsidP="00894126">
            <w:pPr>
              <w:pStyle w:val="ARtabletextright"/>
            </w:pPr>
            <w:r>
              <w:sym w:font="Wingdings" w:char="F0FC"/>
            </w:r>
          </w:p>
        </w:tc>
      </w:tr>
      <w:tr w:rsidR="00814857" w14:paraId="258AF98F" w14:textId="77777777" w:rsidTr="00894126">
        <w:trPr>
          <w:cantSplit/>
          <w:trHeight w:val="240"/>
        </w:trPr>
        <w:tc>
          <w:tcPr>
            <w:tcW w:w="9645" w:type="dxa"/>
            <w:gridSpan w:val="6"/>
            <w:tcBorders>
              <w:top w:val="nil"/>
              <w:left w:val="nil"/>
              <w:bottom w:val="single" w:sz="4" w:space="0" w:color="BFBFBF"/>
              <w:right w:val="nil"/>
            </w:tcBorders>
            <w:noWrap/>
            <w:hideMark/>
          </w:tcPr>
          <w:p w14:paraId="466ED916" w14:textId="77777777" w:rsidR="00814857" w:rsidRDefault="00814857" w:rsidP="00894126">
            <w:pPr>
              <w:pStyle w:val="ARtablenoteindent"/>
            </w:pPr>
            <w:r>
              <w:rPr>
                <w:noProof/>
              </w:rPr>
              <w:t>Preliminary result. Actual end-of-year results will be available late 2019.</w:t>
            </w:r>
          </w:p>
        </w:tc>
      </w:tr>
      <w:tr w:rsidR="00EC65CE" w14:paraId="5D36E021" w14:textId="77777777" w:rsidTr="00A05EB7">
        <w:trPr>
          <w:cantSplit/>
          <w:trHeight w:val="240"/>
        </w:trPr>
        <w:tc>
          <w:tcPr>
            <w:tcW w:w="9645" w:type="dxa"/>
            <w:gridSpan w:val="6"/>
            <w:tcBorders>
              <w:top w:val="single" w:sz="4" w:space="0" w:color="auto"/>
              <w:left w:val="nil"/>
              <w:bottom w:val="nil"/>
              <w:right w:val="nil"/>
            </w:tcBorders>
            <w:hideMark/>
          </w:tcPr>
          <w:p w14:paraId="227AD47F" w14:textId="47469F32" w:rsidR="00EC65CE" w:rsidRPr="00435211" w:rsidRDefault="00EC65CE" w:rsidP="008F035E">
            <w:pPr>
              <w:pStyle w:val="ARtablegreybold"/>
            </w:pPr>
            <w:r w:rsidRPr="00435211">
              <w:t>Cost</w:t>
            </w:r>
          </w:p>
        </w:tc>
      </w:tr>
      <w:tr w:rsidR="00814857" w14:paraId="1F40E110" w14:textId="77777777" w:rsidTr="00A25D5D">
        <w:trPr>
          <w:cantSplit/>
          <w:trHeight w:val="480"/>
        </w:trPr>
        <w:tc>
          <w:tcPr>
            <w:tcW w:w="4764" w:type="dxa"/>
            <w:hideMark/>
          </w:tcPr>
          <w:p w14:paraId="1D414395" w14:textId="77777777" w:rsidR="00814857" w:rsidRPr="004305B0" w:rsidRDefault="00814857" w:rsidP="00894126">
            <w:pPr>
              <w:pStyle w:val="ARtabletext"/>
              <w:rPr>
                <w:b/>
              </w:rPr>
            </w:pPr>
            <w:r w:rsidRPr="004305B0">
              <w:rPr>
                <w:b/>
                <w:noProof/>
              </w:rPr>
              <w:t xml:space="preserve">Total </w:t>
            </w:r>
            <w:r>
              <w:rPr>
                <w:b/>
                <w:noProof/>
              </w:rPr>
              <w:t>o</w:t>
            </w:r>
            <w:r w:rsidRPr="004305B0">
              <w:rPr>
                <w:b/>
                <w:noProof/>
              </w:rPr>
              <w:t xml:space="preserve">utput </w:t>
            </w:r>
            <w:r>
              <w:rPr>
                <w:b/>
                <w:noProof/>
              </w:rPr>
              <w:t>c</w:t>
            </w:r>
            <w:r w:rsidRPr="004305B0">
              <w:rPr>
                <w:b/>
                <w:noProof/>
              </w:rPr>
              <w:t>ost</w:t>
            </w:r>
          </w:p>
        </w:tc>
        <w:tc>
          <w:tcPr>
            <w:tcW w:w="1021" w:type="dxa"/>
            <w:hideMark/>
          </w:tcPr>
          <w:p w14:paraId="6BCA6CB0" w14:textId="77777777" w:rsidR="00814857" w:rsidRPr="004305B0" w:rsidRDefault="00814857" w:rsidP="00894126">
            <w:pPr>
              <w:pStyle w:val="ARtabletextright"/>
              <w:rPr>
                <w:b/>
              </w:rPr>
            </w:pPr>
            <w:r w:rsidRPr="004305B0">
              <w:rPr>
                <w:b/>
                <w:noProof/>
              </w:rPr>
              <w:t>$ million</w:t>
            </w:r>
          </w:p>
        </w:tc>
        <w:tc>
          <w:tcPr>
            <w:tcW w:w="1022" w:type="dxa"/>
            <w:hideMark/>
          </w:tcPr>
          <w:p w14:paraId="4FB899AB" w14:textId="77777777" w:rsidR="00814857" w:rsidRPr="004305B0" w:rsidRDefault="00814857" w:rsidP="00894126">
            <w:pPr>
              <w:pStyle w:val="ARtabletextright"/>
              <w:rPr>
                <w:b/>
              </w:rPr>
            </w:pPr>
            <w:r w:rsidRPr="004305B0">
              <w:rPr>
                <w:b/>
                <w:noProof/>
              </w:rPr>
              <w:t>1,473.5</w:t>
            </w:r>
          </w:p>
        </w:tc>
        <w:tc>
          <w:tcPr>
            <w:tcW w:w="1022" w:type="dxa"/>
            <w:hideMark/>
          </w:tcPr>
          <w:p w14:paraId="77EC072A" w14:textId="77777777" w:rsidR="00814857" w:rsidRPr="004305B0" w:rsidRDefault="00814857" w:rsidP="00894126">
            <w:pPr>
              <w:pStyle w:val="ARtabletextright"/>
              <w:rPr>
                <w:b/>
              </w:rPr>
            </w:pPr>
            <w:r w:rsidRPr="004305B0">
              <w:rPr>
                <w:b/>
                <w:noProof/>
              </w:rPr>
              <w:t>1,627.7</w:t>
            </w:r>
          </w:p>
        </w:tc>
        <w:tc>
          <w:tcPr>
            <w:tcW w:w="1022" w:type="dxa"/>
            <w:hideMark/>
          </w:tcPr>
          <w:p w14:paraId="34DBD27D" w14:textId="77777777" w:rsidR="00814857" w:rsidRPr="004305B0" w:rsidRDefault="00814857" w:rsidP="00894126">
            <w:pPr>
              <w:pStyle w:val="ARtabletextright"/>
              <w:rPr>
                <w:b/>
              </w:rPr>
            </w:pPr>
            <w:r w:rsidRPr="004305B0">
              <w:rPr>
                <w:b/>
                <w:noProof/>
              </w:rPr>
              <w:t>10.5</w:t>
            </w:r>
          </w:p>
        </w:tc>
        <w:tc>
          <w:tcPr>
            <w:tcW w:w="794" w:type="dxa"/>
            <w:hideMark/>
          </w:tcPr>
          <w:p w14:paraId="7026E58A" w14:textId="77777777" w:rsidR="00814857" w:rsidRPr="004305B0" w:rsidRDefault="00814857" w:rsidP="00894126">
            <w:pPr>
              <w:rPr>
                <w:b/>
              </w:rPr>
            </w:pPr>
          </w:p>
        </w:tc>
      </w:tr>
      <w:tr w:rsidR="00814857" w14:paraId="7C29A89F" w14:textId="77777777" w:rsidTr="00A25D5D">
        <w:trPr>
          <w:cantSplit/>
          <w:trHeight w:val="240"/>
        </w:trPr>
        <w:tc>
          <w:tcPr>
            <w:tcW w:w="9645" w:type="dxa"/>
            <w:gridSpan w:val="6"/>
            <w:tcBorders>
              <w:top w:val="nil"/>
              <w:left w:val="nil"/>
              <w:bottom w:val="single" w:sz="4" w:space="0" w:color="auto"/>
              <w:right w:val="nil"/>
            </w:tcBorders>
            <w:noWrap/>
            <w:hideMark/>
          </w:tcPr>
          <w:p w14:paraId="1706D518" w14:textId="09E31A27" w:rsidR="00814857" w:rsidRDefault="00814857" w:rsidP="00894126">
            <w:pPr>
              <w:pStyle w:val="ARtablenoteindent"/>
            </w:pPr>
            <w:r>
              <w:rPr>
                <w:noProof/>
              </w:rPr>
              <w:t xml:space="preserve">The 2018–19 actual outcome is primarily due to increased demand for </w:t>
            </w:r>
            <w:r w:rsidR="003E193B">
              <w:rPr>
                <w:noProof/>
              </w:rPr>
              <w:t>s</w:t>
            </w:r>
            <w:r>
              <w:rPr>
                <w:noProof/>
              </w:rPr>
              <w:t xml:space="preserve">tatutory Child Protection Services and Care Services and the impact of </w:t>
            </w:r>
            <w:r w:rsidR="001F4A28">
              <w:rPr>
                <w:noProof/>
              </w:rPr>
              <w:t>m</w:t>
            </w:r>
            <w:r>
              <w:rPr>
                <w:noProof/>
              </w:rPr>
              <w:t xml:space="preserve">achinery of </w:t>
            </w:r>
            <w:r w:rsidR="001F4A28">
              <w:rPr>
                <w:noProof/>
              </w:rPr>
              <w:t>g</w:t>
            </w:r>
            <w:r>
              <w:rPr>
                <w:noProof/>
              </w:rPr>
              <w:t>overnment changes.</w:t>
            </w:r>
          </w:p>
        </w:tc>
      </w:tr>
    </w:tbl>
    <w:p w14:paraId="6536D0B9" w14:textId="77777777" w:rsidR="00814857" w:rsidRDefault="00814857" w:rsidP="002909DA">
      <w:pPr>
        <w:pStyle w:val="Heading2"/>
      </w:pPr>
      <w:bookmarkStart w:id="83" w:name="_Toc18954483"/>
      <w:bookmarkStart w:id="84" w:name="_Toc18955085"/>
      <w:r>
        <w:t>Housing Assistance</w:t>
      </w:r>
      <w:bookmarkEnd w:id="83"/>
      <w:bookmarkEnd w:id="84"/>
    </w:p>
    <w:p w14:paraId="02F237E1" w14:textId="77777777" w:rsidR="00814857" w:rsidRPr="00030BBE" w:rsidRDefault="00814857" w:rsidP="0055734C">
      <w:pPr>
        <w:autoSpaceDE w:val="0"/>
        <w:autoSpaceDN w:val="0"/>
      </w:pPr>
      <w:r>
        <w:rPr>
          <w:rFonts w:ascii="ArialMT" w:hAnsi="ArialMT"/>
          <w:color w:val="000000"/>
        </w:rPr>
        <w:t>This output aims to make a positive difference for Victorians experiencing disadvantage by providing excellent housing and community services to meet clients’ needs. It does this through the provision of homelessness services, crisis and transitional accommodation and long-term adequate, affordable and accessible housing assistance, coordinated with support services where required, home renovation assistance and the management of the home loan portfolio.</w:t>
      </w:r>
    </w:p>
    <w:tbl>
      <w:tblPr>
        <w:tblW w:w="9645" w:type="dxa"/>
        <w:tblLayout w:type="fixed"/>
        <w:tblCellMar>
          <w:left w:w="0" w:type="dxa"/>
        </w:tblCellMar>
        <w:tblLook w:val="04A0" w:firstRow="1" w:lastRow="0" w:firstColumn="1" w:lastColumn="0" w:noHBand="0" w:noVBand="1"/>
      </w:tblPr>
      <w:tblGrid>
        <w:gridCol w:w="4764"/>
        <w:gridCol w:w="1021"/>
        <w:gridCol w:w="1022"/>
        <w:gridCol w:w="1022"/>
        <w:gridCol w:w="1022"/>
        <w:gridCol w:w="794"/>
      </w:tblGrid>
      <w:tr w:rsidR="00814857" w14:paraId="3885D04C" w14:textId="77777777" w:rsidTr="00894126">
        <w:trPr>
          <w:cantSplit/>
          <w:trHeight w:val="480"/>
          <w:tblHeader/>
        </w:trPr>
        <w:tc>
          <w:tcPr>
            <w:tcW w:w="4764" w:type="dxa"/>
            <w:tcBorders>
              <w:top w:val="nil"/>
              <w:left w:val="nil"/>
              <w:bottom w:val="single" w:sz="4" w:space="0" w:color="auto"/>
              <w:right w:val="nil"/>
            </w:tcBorders>
            <w:vAlign w:val="bottom"/>
            <w:hideMark/>
          </w:tcPr>
          <w:p w14:paraId="21567115" w14:textId="77777777" w:rsidR="00814857" w:rsidRDefault="00814857" w:rsidP="00894126">
            <w:pPr>
              <w:pStyle w:val="ARtablecolhead"/>
            </w:pPr>
            <w:r>
              <w:t>Performance measures</w:t>
            </w:r>
          </w:p>
        </w:tc>
        <w:tc>
          <w:tcPr>
            <w:tcW w:w="1021" w:type="dxa"/>
            <w:tcBorders>
              <w:top w:val="nil"/>
              <w:left w:val="nil"/>
              <w:bottom w:val="single" w:sz="4" w:space="0" w:color="auto"/>
              <w:right w:val="nil"/>
            </w:tcBorders>
            <w:vAlign w:val="bottom"/>
            <w:hideMark/>
          </w:tcPr>
          <w:p w14:paraId="0C3CEAE8" w14:textId="77777777" w:rsidR="00814857" w:rsidRDefault="00814857" w:rsidP="00894126">
            <w:pPr>
              <w:pStyle w:val="ARtablecolheadright"/>
            </w:pPr>
            <w:r>
              <w:t>Unit of measure</w:t>
            </w:r>
          </w:p>
        </w:tc>
        <w:tc>
          <w:tcPr>
            <w:tcW w:w="1022" w:type="dxa"/>
            <w:tcBorders>
              <w:top w:val="nil"/>
              <w:left w:val="nil"/>
              <w:bottom w:val="single" w:sz="4" w:space="0" w:color="auto"/>
              <w:right w:val="nil"/>
            </w:tcBorders>
            <w:vAlign w:val="bottom"/>
            <w:hideMark/>
          </w:tcPr>
          <w:p w14:paraId="180C7A36" w14:textId="77777777" w:rsidR="00814857" w:rsidRDefault="00814857" w:rsidP="00894126">
            <w:pPr>
              <w:pStyle w:val="ARtablecolheadright"/>
            </w:pPr>
            <w:r>
              <w:t>2018–19 target</w:t>
            </w:r>
          </w:p>
        </w:tc>
        <w:tc>
          <w:tcPr>
            <w:tcW w:w="1022" w:type="dxa"/>
            <w:tcBorders>
              <w:top w:val="nil"/>
              <w:left w:val="nil"/>
              <w:bottom w:val="single" w:sz="4" w:space="0" w:color="auto"/>
              <w:right w:val="nil"/>
            </w:tcBorders>
            <w:vAlign w:val="bottom"/>
            <w:hideMark/>
          </w:tcPr>
          <w:p w14:paraId="31B91860" w14:textId="77777777" w:rsidR="00814857" w:rsidRDefault="00814857" w:rsidP="00894126">
            <w:pPr>
              <w:pStyle w:val="ARtablecolheadright"/>
            </w:pPr>
            <w:r>
              <w:t>2018–19 actual</w:t>
            </w:r>
          </w:p>
        </w:tc>
        <w:tc>
          <w:tcPr>
            <w:tcW w:w="1022" w:type="dxa"/>
            <w:tcBorders>
              <w:top w:val="nil"/>
              <w:left w:val="nil"/>
              <w:bottom w:val="single" w:sz="4" w:space="0" w:color="auto"/>
              <w:right w:val="nil"/>
            </w:tcBorders>
            <w:vAlign w:val="bottom"/>
            <w:hideMark/>
          </w:tcPr>
          <w:p w14:paraId="24E8DB8A" w14:textId="77777777" w:rsidR="00814857" w:rsidRDefault="00814857" w:rsidP="00894126">
            <w:pPr>
              <w:pStyle w:val="ARtablecolheadright"/>
            </w:pPr>
            <w:r>
              <w:t>Variation (%)</w:t>
            </w:r>
          </w:p>
        </w:tc>
        <w:tc>
          <w:tcPr>
            <w:tcW w:w="794" w:type="dxa"/>
            <w:tcBorders>
              <w:top w:val="nil"/>
              <w:left w:val="nil"/>
              <w:bottom w:val="single" w:sz="4" w:space="0" w:color="auto"/>
              <w:right w:val="nil"/>
            </w:tcBorders>
            <w:vAlign w:val="bottom"/>
            <w:hideMark/>
          </w:tcPr>
          <w:p w14:paraId="143B0D9C" w14:textId="77777777" w:rsidR="00814857" w:rsidRDefault="00814857" w:rsidP="00894126">
            <w:pPr>
              <w:pStyle w:val="ARtablecolheadright"/>
            </w:pPr>
            <w:r>
              <w:t>Result</w:t>
            </w:r>
          </w:p>
        </w:tc>
      </w:tr>
      <w:tr w:rsidR="00EC65CE" w14:paraId="3969E943"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5DCDC0CA" w14:textId="67B43F80" w:rsidR="00EC65CE" w:rsidRDefault="00EC65CE" w:rsidP="00435211">
            <w:pPr>
              <w:pStyle w:val="ARtablebluebold"/>
            </w:pPr>
            <w:r>
              <w:t>Housing Assistance</w:t>
            </w:r>
          </w:p>
        </w:tc>
      </w:tr>
      <w:tr w:rsidR="00EC65CE" w14:paraId="49D4F7ED" w14:textId="77777777" w:rsidTr="00A05EB7">
        <w:trPr>
          <w:cantSplit/>
          <w:trHeight w:val="240"/>
        </w:trPr>
        <w:tc>
          <w:tcPr>
            <w:tcW w:w="9645" w:type="dxa"/>
            <w:gridSpan w:val="6"/>
            <w:tcBorders>
              <w:top w:val="single" w:sz="4" w:space="0" w:color="auto"/>
              <w:left w:val="nil"/>
              <w:bottom w:val="nil"/>
              <w:right w:val="nil"/>
            </w:tcBorders>
            <w:hideMark/>
          </w:tcPr>
          <w:p w14:paraId="7A8E8D70" w14:textId="37486DBD" w:rsidR="00EC65CE" w:rsidRPr="00435211" w:rsidRDefault="00EC65CE" w:rsidP="00435211">
            <w:pPr>
              <w:pStyle w:val="ARtablegreybold"/>
            </w:pPr>
            <w:r w:rsidRPr="00435211">
              <w:t>Quantity</w:t>
            </w:r>
          </w:p>
        </w:tc>
      </w:tr>
      <w:tr w:rsidR="00814857" w14:paraId="11035AA6" w14:textId="77777777" w:rsidTr="00894126">
        <w:trPr>
          <w:cantSplit/>
          <w:trHeight w:val="480"/>
        </w:trPr>
        <w:tc>
          <w:tcPr>
            <w:tcW w:w="4764" w:type="dxa"/>
            <w:hideMark/>
          </w:tcPr>
          <w:p w14:paraId="0A380ADB" w14:textId="77777777" w:rsidR="00814857" w:rsidRDefault="00814857" w:rsidP="00894126">
            <w:pPr>
              <w:pStyle w:val="ARtabletext"/>
            </w:pPr>
            <w:r>
              <w:rPr>
                <w:noProof/>
              </w:rPr>
              <w:t>Number of clients provided with accommodation</w:t>
            </w:r>
          </w:p>
        </w:tc>
        <w:tc>
          <w:tcPr>
            <w:tcW w:w="1021" w:type="dxa"/>
            <w:hideMark/>
          </w:tcPr>
          <w:p w14:paraId="2305192D" w14:textId="77777777" w:rsidR="00814857" w:rsidRDefault="00814857" w:rsidP="00894126">
            <w:pPr>
              <w:pStyle w:val="ARtabletextright"/>
            </w:pPr>
            <w:r>
              <w:rPr>
                <w:noProof/>
              </w:rPr>
              <w:t>number</w:t>
            </w:r>
          </w:p>
        </w:tc>
        <w:tc>
          <w:tcPr>
            <w:tcW w:w="1022" w:type="dxa"/>
            <w:hideMark/>
          </w:tcPr>
          <w:p w14:paraId="15A38DDF" w14:textId="77777777" w:rsidR="00814857" w:rsidRDefault="00814857" w:rsidP="00894126">
            <w:pPr>
              <w:pStyle w:val="ARtabletextright"/>
            </w:pPr>
            <w:r>
              <w:rPr>
                <w:noProof/>
              </w:rPr>
              <w:t>25,100</w:t>
            </w:r>
          </w:p>
        </w:tc>
        <w:tc>
          <w:tcPr>
            <w:tcW w:w="1022" w:type="dxa"/>
            <w:hideMark/>
          </w:tcPr>
          <w:p w14:paraId="3E86522B" w14:textId="77777777" w:rsidR="00814857" w:rsidRDefault="00814857" w:rsidP="00894126">
            <w:pPr>
              <w:pStyle w:val="ARtabletextright"/>
            </w:pPr>
            <w:r>
              <w:rPr>
                <w:noProof/>
              </w:rPr>
              <w:t>27,845</w:t>
            </w:r>
          </w:p>
        </w:tc>
        <w:tc>
          <w:tcPr>
            <w:tcW w:w="1022" w:type="dxa"/>
            <w:hideMark/>
          </w:tcPr>
          <w:p w14:paraId="420B1144" w14:textId="77777777" w:rsidR="00814857" w:rsidRDefault="00814857" w:rsidP="00894126">
            <w:pPr>
              <w:pStyle w:val="ARtabletextright"/>
            </w:pPr>
            <w:r>
              <w:rPr>
                <w:noProof/>
              </w:rPr>
              <w:t>10.9</w:t>
            </w:r>
          </w:p>
        </w:tc>
        <w:tc>
          <w:tcPr>
            <w:tcW w:w="794" w:type="dxa"/>
            <w:hideMark/>
          </w:tcPr>
          <w:p w14:paraId="3DA228C8" w14:textId="77777777" w:rsidR="00814857" w:rsidRDefault="00814857" w:rsidP="00894126">
            <w:pPr>
              <w:pStyle w:val="ARtabletextright"/>
            </w:pPr>
            <w:r>
              <w:sym w:font="Wingdings" w:char="F0FC"/>
            </w:r>
          </w:p>
        </w:tc>
      </w:tr>
      <w:tr w:rsidR="00814857" w14:paraId="07943160" w14:textId="77777777" w:rsidTr="00894126">
        <w:trPr>
          <w:cantSplit/>
          <w:trHeight w:val="240"/>
        </w:trPr>
        <w:tc>
          <w:tcPr>
            <w:tcW w:w="9645" w:type="dxa"/>
            <w:gridSpan w:val="6"/>
            <w:tcBorders>
              <w:top w:val="nil"/>
              <w:left w:val="nil"/>
              <w:bottom w:val="single" w:sz="4" w:space="0" w:color="BFBFBF" w:themeColor="background1" w:themeShade="BF"/>
              <w:right w:val="nil"/>
            </w:tcBorders>
            <w:noWrap/>
            <w:hideMark/>
          </w:tcPr>
          <w:p w14:paraId="48B94B8D" w14:textId="77777777" w:rsidR="00814857" w:rsidRDefault="00814857" w:rsidP="00894126">
            <w:pPr>
              <w:pStyle w:val="ARtablenoteindent"/>
            </w:pPr>
            <w:r>
              <w:rPr>
                <w:noProof/>
              </w:rPr>
              <w:t>The result is higher than the target because accommodation stays are on average slightly shorter than previous years. An increase in clients receiving accommodation is most evident among people sleeping rough, most likely due to the roll out of the Towards Home strategy targeting rough sleepers in the central business district. Additional funding for emergency accommodation was also provided to the After Hours service. This is a positive result.</w:t>
            </w:r>
          </w:p>
        </w:tc>
      </w:tr>
      <w:tr w:rsidR="00814857" w14:paraId="4BE985B6" w14:textId="77777777" w:rsidTr="00894126">
        <w:trPr>
          <w:cantSplit/>
          <w:trHeight w:val="480"/>
        </w:trPr>
        <w:tc>
          <w:tcPr>
            <w:tcW w:w="4764" w:type="dxa"/>
            <w:tcBorders>
              <w:top w:val="single" w:sz="4" w:space="0" w:color="BFBFBF" w:themeColor="background1" w:themeShade="BF"/>
            </w:tcBorders>
            <w:hideMark/>
          </w:tcPr>
          <w:p w14:paraId="5B36D87C" w14:textId="77777777" w:rsidR="00814857" w:rsidRDefault="00814857" w:rsidP="00894126">
            <w:pPr>
              <w:pStyle w:val="ARtabletext"/>
            </w:pPr>
            <w:r>
              <w:rPr>
                <w:noProof/>
              </w:rPr>
              <w:t>Number of bonds issued to low income Victorians to assist access to the private rental market</w:t>
            </w:r>
          </w:p>
        </w:tc>
        <w:tc>
          <w:tcPr>
            <w:tcW w:w="1021" w:type="dxa"/>
            <w:tcBorders>
              <w:top w:val="single" w:sz="4" w:space="0" w:color="BFBFBF" w:themeColor="background1" w:themeShade="BF"/>
            </w:tcBorders>
            <w:hideMark/>
          </w:tcPr>
          <w:p w14:paraId="621BF81E" w14:textId="77777777" w:rsidR="00814857" w:rsidRDefault="00814857" w:rsidP="00894126">
            <w:pPr>
              <w:pStyle w:val="ARtabletextright"/>
            </w:pPr>
            <w:r>
              <w:rPr>
                <w:noProof/>
              </w:rPr>
              <w:t>number</w:t>
            </w:r>
          </w:p>
        </w:tc>
        <w:tc>
          <w:tcPr>
            <w:tcW w:w="1022" w:type="dxa"/>
            <w:tcBorders>
              <w:top w:val="single" w:sz="4" w:space="0" w:color="BFBFBF" w:themeColor="background1" w:themeShade="BF"/>
            </w:tcBorders>
            <w:hideMark/>
          </w:tcPr>
          <w:p w14:paraId="660A8664" w14:textId="77777777" w:rsidR="00814857" w:rsidRDefault="00814857" w:rsidP="00894126">
            <w:pPr>
              <w:pStyle w:val="ARtabletextright"/>
            </w:pPr>
            <w:r>
              <w:rPr>
                <w:noProof/>
              </w:rPr>
              <w:t>12,000</w:t>
            </w:r>
          </w:p>
        </w:tc>
        <w:tc>
          <w:tcPr>
            <w:tcW w:w="1022" w:type="dxa"/>
            <w:tcBorders>
              <w:top w:val="single" w:sz="4" w:space="0" w:color="BFBFBF" w:themeColor="background1" w:themeShade="BF"/>
            </w:tcBorders>
            <w:hideMark/>
          </w:tcPr>
          <w:p w14:paraId="3CD28EF5" w14:textId="77777777" w:rsidR="00814857" w:rsidRDefault="00814857" w:rsidP="00894126">
            <w:pPr>
              <w:pStyle w:val="ARtabletextright"/>
            </w:pPr>
            <w:r>
              <w:rPr>
                <w:noProof/>
              </w:rPr>
              <w:t>8,754</w:t>
            </w:r>
          </w:p>
        </w:tc>
        <w:tc>
          <w:tcPr>
            <w:tcW w:w="1022" w:type="dxa"/>
            <w:tcBorders>
              <w:top w:val="single" w:sz="4" w:space="0" w:color="BFBFBF" w:themeColor="background1" w:themeShade="BF"/>
            </w:tcBorders>
            <w:hideMark/>
          </w:tcPr>
          <w:p w14:paraId="74C324AB" w14:textId="77777777" w:rsidR="00814857" w:rsidRDefault="00814857" w:rsidP="00894126">
            <w:pPr>
              <w:pStyle w:val="ARtabletextright"/>
            </w:pPr>
            <w:r>
              <w:rPr>
                <w:noProof/>
              </w:rPr>
              <w:t>-27.1</w:t>
            </w:r>
          </w:p>
        </w:tc>
        <w:tc>
          <w:tcPr>
            <w:tcW w:w="794" w:type="dxa"/>
            <w:tcBorders>
              <w:top w:val="single" w:sz="4" w:space="0" w:color="BFBFBF" w:themeColor="background1" w:themeShade="BF"/>
            </w:tcBorders>
            <w:hideMark/>
          </w:tcPr>
          <w:p w14:paraId="7D62A1E3" w14:textId="77777777" w:rsidR="00814857" w:rsidRDefault="00814857" w:rsidP="00894126">
            <w:pPr>
              <w:pStyle w:val="ARtabletextright"/>
            </w:pPr>
            <w:r>
              <w:sym w:font="Wingdings" w:char="F06E"/>
            </w:r>
          </w:p>
        </w:tc>
      </w:tr>
      <w:tr w:rsidR="00814857" w14:paraId="2D58D11A" w14:textId="77777777" w:rsidTr="00894126">
        <w:trPr>
          <w:cantSplit/>
          <w:trHeight w:val="240"/>
        </w:trPr>
        <w:tc>
          <w:tcPr>
            <w:tcW w:w="9645" w:type="dxa"/>
            <w:gridSpan w:val="6"/>
            <w:tcBorders>
              <w:top w:val="nil"/>
              <w:left w:val="nil"/>
              <w:bottom w:val="single" w:sz="4" w:space="0" w:color="BFBFBF"/>
              <w:right w:val="nil"/>
            </w:tcBorders>
            <w:noWrap/>
            <w:hideMark/>
          </w:tcPr>
          <w:p w14:paraId="58BB87E2" w14:textId="77777777" w:rsidR="00814857" w:rsidRDefault="00814857" w:rsidP="00894126">
            <w:pPr>
              <w:pStyle w:val="ARtablenoteindent"/>
            </w:pPr>
            <w:r>
              <w:rPr>
                <w:noProof/>
              </w:rPr>
              <w:t>The result is lower than target due to demand. The measure is influenced by market rental conditions. Any eligible person who requests a bond loan is provided with one.</w:t>
            </w:r>
          </w:p>
        </w:tc>
      </w:tr>
      <w:tr w:rsidR="00814857" w14:paraId="727334A4" w14:textId="77777777" w:rsidTr="00894126">
        <w:trPr>
          <w:cantSplit/>
          <w:trHeight w:val="480"/>
        </w:trPr>
        <w:tc>
          <w:tcPr>
            <w:tcW w:w="4764" w:type="dxa"/>
            <w:hideMark/>
          </w:tcPr>
          <w:p w14:paraId="435AB0C8" w14:textId="77777777" w:rsidR="00814857" w:rsidRDefault="00814857" w:rsidP="00894126">
            <w:pPr>
              <w:pStyle w:val="ARtabletext"/>
            </w:pPr>
            <w:r>
              <w:rPr>
                <w:noProof/>
              </w:rPr>
              <w:t>Households assisted with housing establishment assistance during year</w:t>
            </w:r>
          </w:p>
        </w:tc>
        <w:tc>
          <w:tcPr>
            <w:tcW w:w="1021" w:type="dxa"/>
            <w:hideMark/>
          </w:tcPr>
          <w:p w14:paraId="093CB66F" w14:textId="77777777" w:rsidR="00814857" w:rsidRDefault="00814857" w:rsidP="00894126">
            <w:pPr>
              <w:pStyle w:val="ARtabletextright"/>
            </w:pPr>
            <w:r>
              <w:rPr>
                <w:noProof/>
              </w:rPr>
              <w:t>number</w:t>
            </w:r>
          </w:p>
        </w:tc>
        <w:tc>
          <w:tcPr>
            <w:tcW w:w="1022" w:type="dxa"/>
            <w:hideMark/>
          </w:tcPr>
          <w:p w14:paraId="792F88A0" w14:textId="77777777" w:rsidR="00814857" w:rsidRDefault="00814857" w:rsidP="00894126">
            <w:pPr>
              <w:pStyle w:val="ARtabletextright"/>
            </w:pPr>
            <w:r>
              <w:rPr>
                <w:noProof/>
              </w:rPr>
              <w:t>36,000</w:t>
            </w:r>
          </w:p>
        </w:tc>
        <w:tc>
          <w:tcPr>
            <w:tcW w:w="1022" w:type="dxa"/>
            <w:hideMark/>
          </w:tcPr>
          <w:p w14:paraId="2F996D31" w14:textId="77777777" w:rsidR="00814857" w:rsidRDefault="00814857" w:rsidP="00894126">
            <w:pPr>
              <w:pStyle w:val="ARtabletextright"/>
            </w:pPr>
            <w:r>
              <w:rPr>
                <w:noProof/>
              </w:rPr>
              <w:t>36,000</w:t>
            </w:r>
          </w:p>
        </w:tc>
        <w:tc>
          <w:tcPr>
            <w:tcW w:w="1022" w:type="dxa"/>
            <w:hideMark/>
          </w:tcPr>
          <w:p w14:paraId="2BFECF70" w14:textId="77777777" w:rsidR="00814857" w:rsidRDefault="00814857" w:rsidP="00894126">
            <w:pPr>
              <w:pStyle w:val="ARtabletextright"/>
            </w:pPr>
            <w:r>
              <w:rPr>
                <w:noProof/>
              </w:rPr>
              <w:t>0.0</w:t>
            </w:r>
          </w:p>
        </w:tc>
        <w:tc>
          <w:tcPr>
            <w:tcW w:w="794" w:type="dxa"/>
            <w:hideMark/>
          </w:tcPr>
          <w:p w14:paraId="6968BEF9" w14:textId="77777777" w:rsidR="00814857" w:rsidRDefault="00814857" w:rsidP="00894126">
            <w:pPr>
              <w:pStyle w:val="ARtabletextright"/>
            </w:pPr>
            <w:r>
              <w:sym w:font="Wingdings" w:char="F0FC"/>
            </w:r>
          </w:p>
        </w:tc>
      </w:tr>
      <w:tr w:rsidR="00814857" w14:paraId="3D959234" w14:textId="77777777" w:rsidTr="00894126">
        <w:trPr>
          <w:cantSplit/>
          <w:trHeight w:val="240"/>
        </w:trPr>
        <w:tc>
          <w:tcPr>
            <w:tcW w:w="9645" w:type="dxa"/>
            <w:gridSpan w:val="6"/>
            <w:tcBorders>
              <w:top w:val="nil"/>
              <w:left w:val="nil"/>
              <w:bottom w:val="single" w:sz="4" w:space="0" w:color="BFBFBF"/>
              <w:right w:val="nil"/>
            </w:tcBorders>
            <w:noWrap/>
            <w:hideMark/>
          </w:tcPr>
          <w:p w14:paraId="48B75DC8" w14:textId="77777777" w:rsidR="00814857" w:rsidRDefault="00814857" w:rsidP="00894126">
            <w:pPr>
              <w:pStyle w:val="ARtablenoteindent"/>
            </w:pPr>
            <w:r>
              <w:rPr>
                <w:noProof/>
              </w:rPr>
              <w:t>Preliminary result. Actual end-of-year results will be available late 2019. This estimate is based on funding and targets for this brokerage fund.</w:t>
            </w:r>
          </w:p>
        </w:tc>
      </w:tr>
      <w:tr w:rsidR="00814857" w14:paraId="3B63A71F" w14:textId="77777777" w:rsidTr="00894126">
        <w:trPr>
          <w:cantSplit/>
          <w:trHeight w:val="480"/>
        </w:trPr>
        <w:tc>
          <w:tcPr>
            <w:tcW w:w="4764" w:type="dxa"/>
            <w:hideMark/>
          </w:tcPr>
          <w:p w14:paraId="2E16B8D9" w14:textId="77777777" w:rsidR="00814857" w:rsidRDefault="00814857" w:rsidP="00894126">
            <w:pPr>
              <w:pStyle w:val="ARtabletext"/>
            </w:pPr>
            <w:r>
              <w:rPr>
                <w:noProof/>
              </w:rPr>
              <w:t>Number of clients assisted to address and prevent homelessness</w:t>
            </w:r>
          </w:p>
        </w:tc>
        <w:tc>
          <w:tcPr>
            <w:tcW w:w="1021" w:type="dxa"/>
            <w:hideMark/>
          </w:tcPr>
          <w:p w14:paraId="38BE1C26" w14:textId="77777777" w:rsidR="00814857" w:rsidRDefault="00814857" w:rsidP="00894126">
            <w:pPr>
              <w:pStyle w:val="ARtabletextright"/>
            </w:pPr>
            <w:r>
              <w:rPr>
                <w:noProof/>
              </w:rPr>
              <w:t>number</w:t>
            </w:r>
          </w:p>
        </w:tc>
        <w:tc>
          <w:tcPr>
            <w:tcW w:w="1022" w:type="dxa"/>
            <w:hideMark/>
          </w:tcPr>
          <w:p w14:paraId="704AA3EF" w14:textId="77777777" w:rsidR="00814857" w:rsidRDefault="00814857" w:rsidP="00894126">
            <w:pPr>
              <w:pStyle w:val="ARtabletextright"/>
            </w:pPr>
            <w:r>
              <w:rPr>
                <w:noProof/>
              </w:rPr>
              <w:t>103,000</w:t>
            </w:r>
          </w:p>
        </w:tc>
        <w:tc>
          <w:tcPr>
            <w:tcW w:w="1022" w:type="dxa"/>
            <w:hideMark/>
          </w:tcPr>
          <w:p w14:paraId="7A80089F" w14:textId="77777777" w:rsidR="00814857" w:rsidRDefault="00814857" w:rsidP="00894126">
            <w:pPr>
              <w:pStyle w:val="ARtabletextright"/>
            </w:pPr>
            <w:r>
              <w:rPr>
                <w:noProof/>
              </w:rPr>
              <w:t>112,054</w:t>
            </w:r>
          </w:p>
        </w:tc>
        <w:tc>
          <w:tcPr>
            <w:tcW w:w="1022" w:type="dxa"/>
            <w:hideMark/>
          </w:tcPr>
          <w:p w14:paraId="1CD7C542" w14:textId="77777777" w:rsidR="00814857" w:rsidRDefault="00814857" w:rsidP="00894126">
            <w:pPr>
              <w:pStyle w:val="ARtabletextright"/>
            </w:pPr>
            <w:r>
              <w:rPr>
                <w:noProof/>
              </w:rPr>
              <w:t>8.8</w:t>
            </w:r>
          </w:p>
        </w:tc>
        <w:tc>
          <w:tcPr>
            <w:tcW w:w="794" w:type="dxa"/>
            <w:hideMark/>
          </w:tcPr>
          <w:p w14:paraId="1CB73471" w14:textId="77777777" w:rsidR="00814857" w:rsidRDefault="00814857" w:rsidP="00894126">
            <w:pPr>
              <w:pStyle w:val="ARtabletextright"/>
            </w:pPr>
            <w:r>
              <w:sym w:font="Wingdings" w:char="F0FC"/>
            </w:r>
          </w:p>
        </w:tc>
      </w:tr>
      <w:tr w:rsidR="00814857" w14:paraId="54A9C64F" w14:textId="77777777" w:rsidTr="00894126">
        <w:trPr>
          <w:cantSplit/>
          <w:trHeight w:val="240"/>
        </w:trPr>
        <w:tc>
          <w:tcPr>
            <w:tcW w:w="9645" w:type="dxa"/>
            <w:gridSpan w:val="6"/>
            <w:tcBorders>
              <w:top w:val="nil"/>
              <w:left w:val="nil"/>
              <w:bottom w:val="single" w:sz="4" w:space="0" w:color="BFBFBF" w:themeColor="background1" w:themeShade="BF"/>
              <w:right w:val="nil"/>
            </w:tcBorders>
            <w:noWrap/>
            <w:hideMark/>
          </w:tcPr>
          <w:p w14:paraId="790F2274" w14:textId="77777777" w:rsidR="00814857" w:rsidRDefault="00814857" w:rsidP="00435211">
            <w:pPr>
              <w:pStyle w:val="ARtablenoteindent"/>
              <w:ind w:right="184"/>
            </w:pPr>
            <w:r>
              <w:rPr>
                <w:noProof/>
              </w:rPr>
              <w:t xml:space="preserve">The result is higher than the target because the target was lowered significantly from 2017–18 based on factors when the target was set, including levelling client numbers and a practice correction in how family violence providers record clients. </w:t>
            </w:r>
            <w:r>
              <w:t>The 2019–20 target has been increased to reflect improved performance in 2018–19 as well as continued growth in family violence clients.</w:t>
            </w:r>
          </w:p>
        </w:tc>
      </w:tr>
      <w:tr w:rsidR="00814857" w14:paraId="70237F44" w14:textId="77777777" w:rsidTr="00D26209">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10299C72" w14:textId="77777777" w:rsidR="00814857" w:rsidRDefault="00814857" w:rsidP="00894126">
            <w:pPr>
              <w:pStyle w:val="ARtabletext"/>
            </w:pPr>
            <w:r>
              <w:rPr>
                <w:noProof/>
              </w:rPr>
              <w:lastRenderedPageBreak/>
              <w:t>Number of calls made to the statewide 24/7 family violence victim/survivor crisis service</w:t>
            </w:r>
          </w:p>
        </w:tc>
        <w:tc>
          <w:tcPr>
            <w:tcW w:w="1021" w:type="dxa"/>
            <w:tcBorders>
              <w:top w:val="single" w:sz="4" w:space="0" w:color="BFBFBF" w:themeColor="background1" w:themeShade="BF"/>
              <w:bottom w:val="single" w:sz="4" w:space="0" w:color="BFBFBF" w:themeColor="background1" w:themeShade="BF"/>
            </w:tcBorders>
            <w:hideMark/>
          </w:tcPr>
          <w:p w14:paraId="2763696D" w14:textId="77777777" w:rsidR="00814857" w:rsidRDefault="00814857" w:rsidP="00894126">
            <w:pPr>
              <w:pStyle w:val="ARtabletextright"/>
              <w:rPr>
                <w:noProof/>
              </w:rPr>
            </w:pPr>
            <w:r>
              <w:rPr>
                <w:noProof/>
              </w:rPr>
              <w:t>number</w:t>
            </w:r>
          </w:p>
        </w:tc>
        <w:tc>
          <w:tcPr>
            <w:tcW w:w="1022" w:type="dxa"/>
            <w:tcBorders>
              <w:top w:val="single" w:sz="4" w:space="0" w:color="BFBFBF" w:themeColor="background1" w:themeShade="BF"/>
              <w:bottom w:val="single" w:sz="4" w:space="0" w:color="BFBFBF" w:themeColor="background1" w:themeShade="BF"/>
            </w:tcBorders>
            <w:hideMark/>
          </w:tcPr>
          <w:p w14:paraId="2BD0544A" w14:textId="77777777" w:rsidR="00814857" w:rsidRDefault="00814857" w:rsidP="00894126">
            <w:pPr>
              <w:pStyle w:val="ARtabletextright"/>
              <w:rPr>
                <w:noProof/>
              </w:rPr>
            </w:pPr>
            <w:r>
              <w:rPr>
                <w:noProof/>
              </w:rPr>
              <w:t>90,000</w:t>
            </w:r>
          </w:p>
        </w:tc>
        <w:tc>
          <w:tcPr>
            <w:tcW w:w="1022" w:type="dxa"/>
            <w:tcBorders>
              <w:top w:val="single" w:sz="4" w:space="0" w:color="BFBFBF" w:themeColor="background1" w:themeShade="BF"/>
              <w:bottom w:val="single" w:sz="4" w:space="0" w:color="BFBFBF" w:themeColor="background1" w:themeShade="BF"/>
            </w:tcBorders>
            <w:hideMark/>
          </w:tcPr>
          <w:p w14:paraId="723E5E9E" w14:textId="77777777" w:rsidR="00814857" w:rsidRDefault="00814857" w:rsidP="00894126">
            <w:pPr>
              <w:pStyle w:val="ARtabletextright"/>
              <w:rPr>
                <w:noProof/>
              </w:rPr>
            </w:pPr>
            <w:r>
              <w:rPr>
                <w:noProof/>
              </w:rPr>
              <w:t>86,931</w:t>
            </w:r>
          </w:p>
        </w:tc>
        <w:tc>
          <w:tcPr>
            <w:tcW w:w="1022" w:type="dxa"/>
            <w:tcBorders>
              <w:top w:val="single" w:sz="4" w:space="0" w:color="BFBFBF" w:themeColor="background1" w:themeShade="BF"/>
              <w:bottom w:val="single" w:sz="4" w:space="0" w:color="BFBFBF" w:themeColor="background1" w:themeShade="BF"/>
            </w:tcBorders>
            <w:hideMark/>
          </w:tcPr>
          <w:p w14:paraId="5DC0B507" w14:textId="77777777" w:rsidR="00814857" w:rsidRDefault="00814857" w:rsidP="00894126">
            <w:pPr>
              <w:pStyle w:val="ARtabletextright"/>
              <w:rPr>
                <w:noProof/>
              </w:rPr>
            </w:pPr>
            <w:r>
              <w:rPr>
                <w:noProof/>
              </w:rPr>
              <w:t>-3.4</w:t>
            </w:r>
          </w:p>
        </w:tc>
        <w:tc>
          <w:tcPr>
            <w:tcW w:w="794" w:type="dxa"/>
            <w:tcBorders>
              <w:top w:val="single" w:sz="4" w:space="0" w:color="BFBFBF" w:themeColor="background1" w:themeShade="BF"/>
              <w:bottom w:val="single" w:sz="4" w:space="0" w:color="BFBFBF" w:themeColor="background1" w:themeShade="BF"/>
            </w:tcBorders>
            <w:hideMark/>
          </w:tcPr>
          <w:p w14:paraId="44EDC175" w14:textId="77777777" w:rsidR="00814857" w:rsidRPr="00435211" w:rsidRDefault="00814857" w:rsidP="00435211">
            <w:pPr>
              <w:pStyle w:val="ARtabletextright"/>
              <w:rPr>
                <w:noProof/>
              </w:rPr>
            </w:pPr>
            <w:r w:rsidRPr="00435211">
              <w:rPr>
                <w:noProof/>
              </w:rPr>
              <w:sym w:font="Wingdings 2" w:char="F099"/>
            </w:r>
          </w:p>
        </w:tc>
      </w:tr>
      <w:tr w:rsidR="00814857" w14:paraId="427C5D9C" w14:textId="77777777" w:rsidTr="00894126">
        <w:trPr>
          <w:cantSplit/>
          <w:trHeight w:val="480"/>
        </w:trPr>
        <w:tc>
          <w:tcPr>
            <w:tcW w:w="4764" w:type="dxa"/>
            <w:tcBorders>
              <w:top w:val="single" w:sz="4" w:space="0" w:color="BFBFBF" w:themeColor="background1" w:themeShade="BF"/>
            </w:tcBorders>
            <w:hideMark/>
          </w:tcPr>
          <w:p w14:paraId="1CD644C6" w14:textId="77777777" w:rsidR="00814857" w:rsidRDefault="00814857" w:rsidP="00894126">
            <w:pPr>
              <w:pStyle w:val="ARtabletext"/>
            </w:pPr>
            <w:r>
              <w:rPr>
                <w:noProof/>
              </w:rPr>
              <w:t>Number of clients assisted to address and prevent homelessness due to family violence</w:t>
            </w:r>
          </w:p>
        </w:tc>
        <w:tc>
          <w:tcPr>
            <w:tcW w:w="1021" w:type="dxa"/>
            <w:tcBorders>
              <w:top w:val="single" w:sz="4" w:space="0" w:color="BFBFBF" w:themeColor="background1" w:themeShade="BF"/>
            </w:tcBorders>
            <w:hideMark/>
          </w:tcPr>
          <w:p w14:paraId="63191726" w14:textId="77777777" w:rsidR="00814857" w:rsidRDefault="00814857" w:rsidP="00894126">
            <w:pPr>
              <w:pStyle w:val="ARtabletextright"/>
            </w:pPr>
            <w:r>
              <w:rPr>
                <w:noProof/>
              </w:rPr>
              <w:t>number</w:t>
            </w:r>
          </w:p>
        </w:tc>
        <w:tc>
          <w:tcPr>
            <w:tcW w:w="1022" w:type="dxa"/>
            <w:tcBorders>
              <w:top w:val="single" w:sz="4" w:space="0" w:color="BFBFBF" w:themeColor="background1" w:themeShade="BF"/>
            </w:tcBorders>
            <w:hideMark/>
          </w:tcPr>
          <w:p w14:paraId="549A07FC" w14:textId="77777777" w:rsidR="00814857" w:rsidRDefault="00814857" w:rsidP="00894126">
            <w:pPr>
              <w:pStyle w:val="ARtabletextright"/>
            </w:pPr>
            <w:r>
              <w:rPr>
                <w:noProof/>
              </w:rPr>
              <w:t>41,000</w:t>
            </w:r>
          </w:p>
        </w:tc>
        <w:tc>
          <w:tcPr>
            <w:tcW w:w="1022" w:type="dxa"/>
            <w:tcBorders>
              <w:top w:val="single" w:sz="4" w:space="0" w:color="BFBFBF" w:themeColor="background1" w:themeShade="BF"/>
            </w:tcBorders>
            <w:hideMark/>
          </w:tcPr>
          <w:p w14:paraId="34314010" w14:textId="77777777" w:rsidR="00814857" w:rsidRDefault="00814857" w:rsidP="00894126">
            <w:pPr>
              <w:pStyle w:val="ARtabletextright"/>
            </w:pPr>
            <w:r>
              <w:rPr>
                <w:noProof/>
              </w:rPr>
              <w:t>50,375</w:t>
            </w:r>
          </w:p>
        </w:tc>
        <w:tc>
          <w:tcPr>
            <w:tcW w:w="1022" w:type="dxa"/>
            <w:tcBorders>
              <w:top w:val="single" w:sz="4" w:space="0" w:color="BFBFBF" w:themeColor="background1" w:themeShade="BF"/>
            </w:tcBorders>
            <w:hideMark/>
          </w:tcPr>
          <w:p w14:paraId="607386C5" w14:textId="77777777" w:rsidR="00814857" w:rsidRDefault="00814857" w:rsidP="00894126">
            <w:pPr>
              <w:pStyle w:val="ARtabletextright"/>
            </w:pPr>
            <w:r>
              <w:rPr>
                <w:noProof/>
              </w:rPr>
              <w:t>22.9</w:t>
            </w:r>
          </w:p>
        </w:tc>
        <w:tc>
          <w:tcPr>
            <w:tcW w:w="794" w:type="dxa"/>
            <w:tcBorders>
              <w:top w:val="single" w:sz="4" w:space="0" w:color="BFBFBF" w:themeColor="background1" w:themeShade="BF"/>
            </w:tcBorders>
            <w:hideMark/>
          </w:tcPr>
          <w:p w14:paraId="4B060F0E" w14:textId="77777777" w:rsidR="00814857" w:rsidRDefault="00814857" w:rsidP="00894126">
            <w:pPr>
              <w:pStyle w:val="ARtabletextright"/>
            </w:pPr>
            <w:r>
              <w:sym w:font="Wingdings" w:char="F0FC"/>
            </w:r>
          </w:p>
        </w:tc>
      </w:tr>
      <w:tr w:rsidR="00814857" w14:paraId="3D0BA318" w14:textId="77777777" w:rsidTr="00894126">
        <w:trPr>
          <w:cantSplit/>
          <w:trHeight w:val="240"/>
        </w:trPr>
        <w:tc>
          <w:tcPr>
            <w:tcW w:w="9645" w:type="dxa"/>
            <w:gridSpan w:val="6"/>
            <w:tcBorders>
              <w:top w:val="nil"/>
              <w:left w:val="nil"/>
              <w:bottom w:val="single" w:sz="4" w:space="0" w:color="BFBFBF"/>
              <w:right w:val="nil"/>
            </w:tcBorders>
            <w:noWrap/>
            <w:hideMark/>
          </w:tcPr>
          <w:p w14:paraId="381FF520" w14:textId="77777777" w:rsidR="00814857" w:rsidRDefault="00814857" w:rsidP="00894126">
            <w:pPr>
              <w:pStyle w:val="ARtablenoteindent"/>
            </w:pPr>
            <w:r>
              <w:rPr>
                <w:noProof/>
              </w:rPr>
              <w:t xml:space="preserve">The result is higher than the target because the target was lowered significantly from 2017–18 based on factors when the target was set, including levelling client numbers and a practice correction in how family violence providers record clients. The number has dropped but not as significantly as anticipated. This is a positive result. </w:t>
            </w:r>
            <w:r>
              <w:t>The 2019–20 target has been increased to reflect improved performance in 2018–19 as well as continued growth in family violence clients.</w:t>
            </w:r>
          </w:p>
        </w:tc>
      </w:tr>
      <w:tr w:rsidR="00814857" w14:paraId="1C8F14BE" w14:textId="77777777" w:rsidTr="00894126">
        <w:trPr>
          <w:cantSplit/>
          <w:trHeight w:val="480"/>
        </w:trPr>
        <w:tc>
          <w:tcPr>
            <w:tcW w:w="4764" w:type="dxa"/>
            <w:hideMark/>
          </w:tcPr>
          <w:p w14:paraId="027C9ABA" w14:textId="77777777" w:rsidR="00814857" w:rsidRDefault="00814857" w:rsidP="00894126">
            <w:pPr>
              <w:pStyle w:val="ARtabletext"/>
            </w:pPr>
            <w:r>
              <w:rPr>
                <w:noProof/>
              </w:rPr>
              <w:t>Number of households assisted with long term social housing (public, Aboriginal and community long-term tenancies at end of year)</w:t>
            </w:r>
          </w:p>
        </w:tc>
        <w:tc>
          <w:tcPr>
            <w:tcW w:w="1021" w:type="dxa"/>
            <w:hideMark/>
          </w:tcPr>
          <w:p w14:paraId="01487E3B" w14:textId="77777777" w:rsidR="00814857" w:rsidRDefault="00814857" w:rsidP="00894126">
            <w:pPr>
              <w:pStyle w:val="ARtabletextright"/>
            </w:pPr>
            <w:r>
              <w:rPr>
                <w:noProof/>
              </w:rPr>
              <w:t>number</w:t>
            </w:r>
          </w:p>
        </w:tc>
        <w:tc>
          <w:tcPr>
            <w:tcW w:w="1022" w:type="dxa"/>
            <w:hideMark/>
          </w:tcPr>
          <w:p w14:paraId="551F5ACD" w14:textId="77777777" w:rsidR="00814857" w:rsidRDefault="00814857" w:rsidP="00894126">
            <w:pPr>
              <w:pStyle w:val="ARtabletextright"/>
            </w:pPr>
            <w:r>
              <w:rPr>
                <w:noProof/>
              </w:rPr>
              <w:t>77,900</w:t>
            </w:r>
          </w:p>
        </w:tc>
        <w:tc>
          <w:tcPr>
            <w:tcW w:w="1022" w:type="dxa"/>
            <w:hideMark/>
          </w:tcPr>
          <w:p w14:paraId="2EEB523E" w14:textId="77777777" w:rsidR="00814857" w:rsidRDefault="00814857" w:rsidP="00894126">
            <w:pPr>
              <w:pStyle w:val="ARtabletextright"/>
            </w:pPr>
            <w:r>
              <w:rPr>
                <w:noProof/>
              </w:rPr>
              <w:t>77,900</w:t>
            </w:r>
          </w:p>
        </w:tc>
        <w:tc>
          <w:tcPr>
            <w:tcW w:w="1022" w:type="dxa"/>
            <w:hideMark/>
          </w:tcPr>
          <w:p w14:paraId="14BEF136" w14:textId="77777777" w:rsidR="00814857" w:rsidRDefault="00814857" w:rsidP="00894126">
            <w:pPr>
              <w:pStyle w:val="ARtabletextright"/>
            </w:pPr>
            <w:r>
              <w:rPr>
                <w:noProof/>
              </w:rPr>
              <w:t>0.0</w:t>
            </w:r>
          </w:p>
        </w:tc>
        <w:tc>
          <w:tcPr>
            <w:tcW w:w="794" w:type="dxa"/>
            <w:hideMark/>
          </w:tcPr>
          <w:p w14:paraId="7C38728A" w14:textId="77777777" w:rsidR="00814857" w:rsidRDefault="00814857" w:rsidP="00894126">
            <w:pPr>
              <w:pStyle w:val="ARtabletextright"/>
            </w:pPr>
            <w:r>
              <w:sym w:font="Wingdings" w:char="F0FC"/>
            </w:r>
          </w:p>
        </w:tc>
      </w:tr>
      <w:tr w:rsidR="00814857" w14:paraId="101F2B85" w14:textId="77777777" w:rsidTr="00894126">
        <w:trPr>
          <w:cantSplit/>
          <w:trHeight w:val="240"/>
        </w:trPr>
        <w:tc>
          <w:tcPr>
            <w:tcW w:w="9645" w:type="dxa"/>
            <w:gridSpan w:val="6"/>
            <w:tcBorders>
              <w:top w:val="nil"/>
              <w:left w:val="nil"/>
              <w:bottom w:val="single" w:sz="4" w:space="0" w:color="BFBFBF"/>
              <w:right w:val="nil"/>
            </w:tcBorders>
            <w:noWrap/>
            <w:hideMark/>
          </w:tcPr>
          <w:p w14:paraId="381B7333" w14:textId="77777777" w:rsidR="00814857" w:rsidRDefault="00814857" w:rsidP="00894126">
            <w:pPr>
              <w:pStyle w:val="ARtablenoteindent"/>
            </w:pPr>
            <w:r>
              <w:rPr>
                <w:noProof/>
              </w:rPr>
              <w:t>This is a preliminary result. Actual end-of-year results will be available early 2020.</w:t>
            </w:r>
          </w:p>
        </w:tc>
      </w:tr>
      <w:tr w:rsidR="00814857" w14:paraId="67C8D5A5" w14:textId="77777777" w:rsidTr="00894126">
        <w:trPr>
          <w:cantSplit/>
          <w:trHeight w:val="480"/>
        </w:trPr>
        <w:tc>
          <w:tcPr>
            <w:tcW w:w="4764" w:type="dxa"/>
            <w:tcBorders>
              <w:bottom w:val="single" w:sz="4" w:space="0" w:color="BFBFBF" w:themeColor="background1" w:themeShade="BF"/>
            </w:tcBorders>
            <w:hideMark/>
          </w:tcPr>
          <w:p w14:paraId="16D54571" w14:textId="77777777" w:rsidR="00814857" w:rsidRDefault="00814857" w:rsidP="00894126">
            <w:pPr>
              <w:pStyle w:val="ARtabletext"/>
            </w:pPr>
            <w:r>
              <w:rPr>
                <w:noProof/>
              </w:rPr>
              <w:t>Number of public housing dwellings upgraded during year</w:t>
            </w:r>
          </w:p>
        </w:tc>
        <w:tc>
          <w:tcPr>
            <w:tcW w:w="1021" w:type="dxa"/>
            <w:tcBorders>
              <w:bottom w:val="single" w:sz="4" w:space="0" w:color="BFBFBF" w:themeColor="background1" w:themeShade="BF"/>
            </w:tcBorders>
            <w:hideMark/>
          </w:tcPr>
          <w:p w14:paraId="0ED5B567" w14:textId="77777777" w:rsidR="00814857" w:rsidRDefault="00814857" w:rsidP="00894126">
            <w:pPr>
              <w:pStyle w:val="ARtabletextright"/>
            </w:pPr>
            <w:r>
              <w:rPr>
                <w:noProof/>
              </w:rPr>
              <w:t>number</w:t>
            </w:r>
          </w:p>
        </w:tc>
        <w:tc>
          <w:tcPr>
            <w:tcW w:w="1022" w:type="dxa"/>
            <w:tcBorders>
              <w:bottom w:val="single" w:sz="4" w:space="0" w:color="BFBFBF" w:themeColor="background1" w:themeShade="BF"/>
            </w:tcBorders>
            <w:hideMark/>
          </w:tcPr>
          <w:p w14:paraId="379CF07C" w14:textId="77777777" w:rsidR="00814857" w:rsidRDefault="00814857" w:rsidP="00894126">
            <w:pPr>
              <w:pStyle w:val="ARtabletextright"/>
            </w:pPr>
            <w:r>
              <w:rPr>
                <w:noProof/>
              </w:rPr>
              <w:t>2,134</w:t>
            </w:r>
          </w:p>
        </w:tc>
        <w:tc>
          <w:tcPr>
            <w:tcW w:w="1022" w:type="dxa"/>
            <w:tcBorders>
              <w:bottom w:val="single" w:sz="4" w:space="0" w:color="BFBFBF" w:themeColor="background1" w:themeShade="BF"/>
            </w:tcBorders>
            <w:hideMark/>
          </w:tcPr>
          <w:p w14:paraId="1AC28424" w14:textId="77777777" w:rsidR="00814857" w:rsidRDefault="00814857" w:rsidP="00894126">
            <w:pPr>
              <w:pStyle w:val="ARtabletextright"/>
            </w:pPr>
            <w:r>
              <w:rPr>
                <w:noProof/>
              </w:rPr>
              <w:t>2,145</w:t>
            </w:r>
          </w:p>
        </w:tc>
        <w:tc>
          <w:tcPr>
            <w:tcW w:w="1022" w:type="dxa"/>
            <w:tcBorders>
              <w:bottom w:val="single" w:sz="4" w:space="0" w:color="BFBFBF" w:themeColor="background1" w:themeShade="BF"/>
            </w:tcBorders>
            <w:hideMark/>
          </w:tcPr>
          <w:p w14:paraId="33540A4F" w14:textId="77777777" w:rsidR="00814857" w:rsidRDefault="00814857" w:rsidP="00894126">
            <w:pPr>
              <w:pStyle w:val="ARtabletextright"/>
            </w:pPr>
            <w:r>
              <w:rPr>
                <w:noProof/>
              </w:rPr>
              <w:t>0.5</w:t>
            </w:r>
          </w:p>
        </w:tc>
        <w:tc>
          <w:tcPr>
            <w:tcW w:w="794" w:type="dxa"/>
            <w:tcBorders>
              <w:bottom w:val="single" w:sz="4" w:space="0" w:color="BFBFBF" w:themeColor="background1" w:themeShade="BF"/>
            </w:tcBorders>
            <w:hideMark/>
          </w:tcPr>
          <w:p w14:paraId="3A1C3923" w14:textId="77777777" w:rsidR="00814857" w:rsidRDefault="00814857" w:rsidP="00894126">
            <w:pPr>
              <w:pStyle w:val="ARtabletextright"/>
            </w:pPr>
            <w:r>
              <w:sym w:font="Wingdings" w:char="F0FC"/>
            </w:r>
          </w:p>
        </w:tc>
      </w:tr>
      <w:tr w:rsidR="00814857" w14:paraId="0474CFC1"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1EB9044B" w14:textId="77777777" w:rsidR="00814857" w:rsidRDefault="00814857" w:rsidP="00894126">
            <w:pPr>
              <w:pStyle w:val="ARtabletext"/>
            </w:pPr>
            <w:r>
              <w:rPr>
                <w:noProof/>
              </w:rPr>
              <w:t>Total number of social housing dwellings</w:t>
            </w:r>
          </w:p>
        </w:tc>
        <w:tc>
          <w:tcPr>
            <w:tcW w:w="1021" w:type="dxa"/>
            <w:tcBorders>
              <w:top w:val="single" w:sz="4" w:space="0" w:color="BFBFBF" w:themeColor="background1" w:themeShade="BF"/>
              <w:bottom w:val="single" w:sz="4" w:space="0" w:color="BFBFBF" w:themeColor="background1" w:themeShade="BF"/>
            </w:tcBorders>
            <w:hideMark/>
          </w:tcPr>
          <w:p w14:paraId="3AE6738F" w14:textId="77777777" w:rsidR="00814857" w:rsidRDefault="00814857" w:rsidP="00894126">
            <w:pPr>
              <w:pStyle w:val="ARtabletextright"/>
            </w:pPr>
            <w:r>
              <w:rPr>
                <w:noProof/>
              </w:rPr>
              <w:t>number</w:t>
            </w:r>
          </w:p>
        </w:tc>
        <w:tc>
          <w:tcPr>
            <w:tcW w:w="1022" w:type="dxa"/>
            <w:tcBorders>
              <w:top w:val="single" w:sz="4" w:space="0" w:color="BFBFBF" w:themeColor="background1" w:themeShade="BF"/>
              <w:bottom w:val="single" w:sz="4" w:space="0" w:color="BFBFBF" w:themeColor="background1" w:themeShade="BF"/>
            </w:tcBorders>
            <w:hideMark/>
          </w:tcPr>
          <w:p w14:paraId="35EC0546" w14:textId="77777777" w:rsidR="00814857" w:rsidRDefault="00814857" w:rsidP="00894126">
            <w:pPr>
              <w:pStyle w:val="ARtabletextright"/>
            </w:pPr>
            <w:r>
              <w:rPr>
                <w:noProof/>
              </w:rPr>
              <w:t>86,463</w:t>
            </w:r>
          </w:p>
        </w:tc>
        <w:tc>
          <w:tcPr>
            <w:tcW w:w="1022" w:type="dxa"/>
            <w:tcBorders>
              <w:top w:val="single" w:sz="4" w:space="0" w:color="BFBFBF" w:themeColor="background1" w:themeShade="BF"/>
              <w:bottom w:val="single" w:sz="4" w:space="0" w:color="BFBFBF" w:themeColor="background1" w:themeShade="BF"/>
            </w:tcBorders>
            <w:hideMark/>
          </w:tcPr>
          <w:p w14:paraId="3A931D7B" w14:textId="77777777" w:rsidR="00814857" w:rsidRDefault="00814857" w:rsidP="00894126">
            <w:pPr>
              <w:pStyle w:val="ARtabletextright"/>
            </w:pPr>
            <w:r>
              <w:rPr>
                <w:noProof/>
              </w:rPr>
              <w:t>85,626</w:t>
            </w:r>
          </w:p>
        </w:tc>
        <w:tc>
          <w:tcPr>
            <w:tcW w:w="1022" w:type="dxa"/>
            <w:tcBorders>
              <w:top w:val="single" w:sz="4" w:space="0" w:color="BFBFBF" w:themeColor="background1" w:themeShade="BF"/>
              <w:bottom w:val="single" w:sz="4" w:space="0" w:color="BFBFBF" w:themeColor="background1" w:themeShade="BF"/>
            </w:tcBorders>
            <w:hideMark/>
          </w:tcPr>
          <w:p w14:paraId="38DEC35D" w14:textId="77777777" w:rsidR="00814857" w:rsidRDefault="00814857" w:rsidP="00894126">
            <w:pPr>
              <w:pStyle w:val="ARtabletextright"/>
            </w:pPr>
            <w:r>
              <w:rPr>
                <w:noProof/>
              </w:rPr>
              <w:t>-1.0</w:t>
            </w:r>
          </w:p>
        </w:tc>
        <w:tc>
          <w:tcPr>
            <w:tcW w:w="794" w:type="dxa"/>
            <w:tcBorders>
              <w:top w:val="single" w:sz="4" w:space="0" w:color="BFBFBF" w:themeColor="background1" w:themeShade="BF"/>
              <w:bottom w:val="single" w:sz="4" w:space="0" w:color="BFBFBF" w:themeColor="background1" w:themeShade="BF"/>
            </w:tcBorders>
            <w:hideMark/>
          </w:tcPr>
          <w:p w14:paraId="54F98BCB" w14:textId="77777777" w:rsidR="00814857" w:rsidRDefault="00814857" w:rsidP="00894126">
            <w:pPr>
              <w:pStyle w:val="ARtabletextright"/>
            </w:pPr>
            <w:r w:rsidRPr="007939DD">
              <w:sym w:font="Wingdings 2" w:char="F099"/>
            </w:r>
          </w:p>
        </w:tc>
      </w:tr>
      <w:tr w:rsidR="00814857" w14:paraId="414E3D41" w14:textId="77777777" w:rsidTr="0099241F">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1052CCE6" w14:textId="77777777" w:rsidR="00814857" w:rsidRDefault="00814857" w:rsidP="00894126">
            <w:pPr>
              <w:pStyle w:val="ARtabletext"/>
            </w:pPr>
            <w:r>
              <w:rPr>
                <w:noProof/>
              </w:rPr>
              <w:t>Total social housing dwellings acquired during the year</w:t>
            </w:r>
          </w:p>
        </w:tc>
        <w:tc>
          <w:tcPr>
            <w:tcW w:w="1021" w:type="dxa"/>
            <w:tcBorders>
              <w:top w:val="single" w:sz="4" w:space="0" w:color="BFBFBF" w:themeColor="background1" w:themeShade="BF"/>
              <w:bottom w:val="single" w:sz="4" w:space="0" w:color="BFBFBF" w:themeColor="background1" w:themeShade="BF"/>
            </w:tcBorders>
            <w:hideMark/>
          </w:tcPr>
          <w:p w14:paraId="538B465B" w14:textId="77777777" w:rsidR="00814857" w:rsidRDefault="00814857" w:rsidP="00894126">
            <w:pPr>
              <w:pStyle w:val="ARtabletextright"/>
            </w:pPr>
            <w:r>
              <w:rPr>
                <w:noProof/>
              </w:rPr>
              <w:t>number</w:t>
            </w:r>
          </w:p>
        </w:tc>
        <w:tc>
          <w:tcPr>
            <w:tcW w:w="1022" w:type="dxa"/>
            <w:tcBorders>
              <w:top w:val="single" w:sz="4" w:space="0" w:color="BFBFBF" w:themeColor="background1" w:themeShade="BF"/>
              <w:bottom w:val="single" w:sz="4" w:space="0" w:color="BFBFBF" w:themeColor="background1" w:themeShade="BF"/>
            </w:tcBorders>
            <w:hideMark/>
          </w:tcPr>
          <w:p w14:paraId="2116F0BF" w14:textId="77777777" w:rsidR="00814857" w:rsidRDefault="00814857" w:rsidP="00894126">
            <w:pPr>
              <w:pStyle w:val="ARtabletextright"/>
            </w:pPr>
            <w:r>
              <w:rPr>
                <w:noProof/>
              </w:rPr>
              <w:t>870</w:t>
            </w:r>
          </w:p>
        </w:tc>
        <w:tc>
          <w:tcPr>
            <w:tcW w:w="1022" w:type="dxa"/>
            <w:tcBorders>
              <w:top w:val="single" w:sz="4" w:space="0" w:color="BFBFBF" w:themeColor="background1" w:themeShade="BF"/>
              <w:bottom w:val="single" w:sz="4" w:space="0" w:color="BFBFBF" w:themeColor="background1" w:themeShade="BF"/>
            </w:tcBorders>
            <w:hideMark/>
          </w:tcPr>
          <w:p w14:paraId="081E8125" w14:textId="77777777" w:rsidR="00814857" w:rsidRDefault="00814857" w:rsidP="00894126">
            <w:pPr>
              <w:pStyle w:val="ARtabletextright"/>
            </w:pPr>
            <w:r>
              <w:rPr>
                <w:noProof/>
              </w:rPr>
              <w:t>874</w:t>
            </w:r>
          </w:p>
        </w:tc>
        <w:tc>
          <w:tcPr>
            <w:tcW w:w="1022" w:type="dxa"/>
            <w:tcBorders>
              <w:top w:val="single" w:sz="4" w:space="0" w:color="BFBFBF" w:themeColor="background1" w:themeShade="BF"/>
              <w:bottom w:val="single" w:sz="4" w:space="0" w:color="BFBFBF" w:themeColor="background1" w:themeShade="BF"/>
            </w:tcBorders>
            <w:hideMark/>
          </w:tcPr>
          <w:p w14:paraId="154D0CEF" w14:textId="77777777" w:rsidR="00814857" w:rsidRDefault="00814857" w:rsidP="00894126">
            <w:pPr>
              <w:pStyle w:val="ARtabletextright"/>
            </w:pPr>
            <w:r>
              <w:rPr>
                <w:noProof/>
              </w:rPr>
              <w:t>0.5</w:t>
            </w:r>
          </w:p>
        </w:tc>
        <w:tc>
          <w:tcPr>
            <w:tcW w:w="794" w:type="dxa"/>
            <w:tcBorders>
              <w:top w:val="single" w:sz="4" w:space="0" w:color="BFBFBF" w:themeColor="background1" w:themeShade="BF"/>
              <w:bottom w:val="single" w:sz="4" w:space="0" w:color="BFBFBF" w:themeColor="background1" w:themeShade="BF"/>
            </w:tcBorders>
            <w:hideMark/>
          </w:tcPr>
          <w:p w14:paraId="47F5F1E8" w14:textId="77777777" w:rsidR="00814857" w:rsidRDefault="00814857" w:rsidP="00894126">
            <w:pPr>
              <w:pStyle w:val="ARtabletextright"/>
            </w:pPr>
            <w:r>
              <w:sym w:font="Wingdings" w:char="F0FC"/>
            </w:r>
          </w:p>
        </w:tc>
      </w:tr>
      <w:tr w:rsidR="00814857" w14:paraId="569A96B5" w14:textId="77777777" w:rsidTr="0099241F">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7190B6A2" w14:textId="77777777" w:rsidR="00814857" w:rsidRDefault="00814857" w:rsidP="00894126">
            <w:pPr>
              <w:pStyle w:val="ARtabletext"/>
            </w:pPr>
            <w:r>
              <w:rPr>
                <w:noProof/>
              </w:rPr>
              <w:t>Number of family violence victims who receive a refuge response</w:t>
            </w:r>
          </w:p>
        </w:tc>
        <w:tc>
          <w:tcPr>
            <w:tcW w:w="1021" w:type="dxa"/>
            <w:tcBorders>
              <w:top w:val="single" w:sz="4" w:space="0" w:color="BFBFBF" w:themeColor="background1" w:themeShade="BF"/>
              <w:bottom w:val="single" w:sz="4" w:space="0" w:color="BFBFBF" w:themeColor="background1" w:themeShade="BF"/>
            </w:tcBorders>
            <w:hideMark/>
          </w:tcPr>
          <w:p w14:paraId="57BB64C1" w14:textId="77777777" w:rsidR="00814857" w:rsidRDefault="00814857" w:rsidP="00894126">
            <w:pPr>
              <w:pStyle w:val="ARtabletextright"/>
            </w:pPr>
            <w:r>
              <w:rPr>
                <w:noProof/>
              </w:rPr>
              <w:t>number</w:t>
            </w:r>
          </w:p>
        </w:tc>
        <w:tc>
          <w:tcPr>
            <w:tcW w:w="1022" w:type="dxa"/>
            <w:tcBorders>
              <w:top w:val="single" w:sz="4" w:space="0" w:color="BFBFBF" w:themeColor="background1" w:themeShade="BF"/>
              <w:bottom w:val="single" w:sz="4" w:space="0" w:color="BFBFBF" w:themeColor="background1" w:themeShade="BF"/>
            </w:tcBorders>
            <w:hideMark/>
          </w:tcPr>
          <w:p w14:paraId="4B151C5A" w14:textId="77777777" w:rsidR="00814857" w:rsidRDefault="00814857" w:rsidP="00894126">
            <w:pPr>
              <w:pStyle w:val="ARtabletextright"/>
            </w:pPr>
            <w:r>
              <w:rPr>
                <w:noProof/>
              </w:rPr>
              <w:t>900</w:t>
            </w:r>
          </w:p>
        </w:tc>
        <w:tc>
          <w:tcPr>
            <w:tcW w:w="1022" w:type="dxa"/>
            <w:tcBorders>
              <w:top w:val="single" w:sz="4" w:space="0" w:color="BFBFBF" w:themeColor="background1" w:themeShade="BF"/>
              <w:bottom w:val="single" w:sz="4" w:space="0" w:color="BFBFBF" w:themeColor="background1" w:themeShade="BF"/>
            </w:tcBorders>
            <w:hideMark/>
          </w:tcPr>
          <w:p w14:paraId="03ED732E" w14:textId="77777777" w:rsidR="00814857" w:rsidRDefault="00814857" w:rsidP="00894126">
            <w:pPr>
              <w:pStyle w:val="ARtabletextright"/>
            </w:pPr>
            <w:r>
              <w:rPr>
                <w:noProof/>
              </w:rPr>
              <w:t>874</w:t>
            </w:r>
          </w:p>
        </w:tc>
        <w:tc>
          <w:tcPr>
            <w:tcW w:w="1022" w:type="dxa"/>
            <w:tcBorders>
              <w:top w:val="single" w:sz="4" w:space="0" w:color="BFBFBF" w:themeColor="background1" w:themeShade="BF"/>
              <w:bottom w:val="single" w:sz="4" w:space="0" w:color="BFBFBF" w:themeColor="background1" w:themeShade="BF"/>
            </w:tcBorders>
            <w:hideMark/>
          </w:tcPr>
          <w:p w14:paraId="47684DF4" w14:textId="77777777" w:rsidR="00814857" w:rsidRDefault="00814857" w:rsidP="00894126">
            <w:pPr>
              <w:pStyle w:val="ARtabletextright"/>
            </w:pPr>
            <w:r>
              <w:rPr>
                <w:noProof/>
              </w:rPr>
              <w:t>-2.9</w:t>
            </w:r>
          </w:p>
        </w:tc>
        <w:tc>
          <w:tcPr>
            <w:tcW w:w="794" w:type="dxa"/>
            <w:tcBorders>
              <w:top w:val="single" w:sz="4" w:space="0" w:color="BFBFBF" w:themeColor="background1" w:themeShade="BF"/>
              <w:bottom w:val="single" w:sz="4" w:space="0" w:color="BFBFBF" w:themeColor="background1" w:themeShade="BF"/>
            </w:tcBorders>
            <w:hideMark/>
          </w:tcPr>
          <w:p w14:paraId="078363DC" w14:textId="77777777" w:rsidR="00814857" w:rsidRDefault="00814857" w:rsidP="00894126">
            <w:pPr>
              <w:pStyle w:val="ARtabletextright"/>
            </w:pPr>
            <w:r w:rsidRPr="007939DD">
              <w:sym w:font="Wingdings 2" w:char="F099"/>
            </w:r>
          </w:p>
        </w:tc>
      </w:tr>
      <w:tr w:rsidR="00814857" w14:paraId="667603A8" w14:textId="77777777" w:rsidTr="0099241F">
        <w:trPr>
          <w:cantSplit/>
          <w:trHeight w:val="480"/>
        </w:trPr>
        <w:tc>
          <w:tcPr>
            <w:tcW w:w="4764" w:type="dxa"/>
            <w:tcBorders>
              <w:top w:val="single" w:sz="4" w:space="0" w:color="BFBFBF" w:themeColor="background1" w:themeShade="BF"/>
            </w:tcBorders>
            <w:hideMark/>
          </w:tcPr>
          <w:p w14:paraId="039488E8" w14:textId="77777777" w:rsidR="00814857" w:rsidRDefault="00814857" w:rsidP="00894126">
            <w:pPr>
              <w:pStyle w:val="ARtabletext"/>
            </w:pPr>
            <w:r>
              <w:rPr>
                <w:noProof/>
              </w:rPr>
              <w:t>Number of nights of refuge accommodation provided to victims of family violence</w:t>
            </w:r>
          </w:p>
        </w:tc>
        <w:tc>
          <w:tcPr>
            <w:tcW w:w="1021" w:type="dxa"/>
            <w:tcBorders>
              <w:top w:val="single" w:sz="4" w:space="0" w:color="BFBFBF" w:themeColor="background1" w:themeShade="BF"/>
            </w:tcBorders>
            <w:hideMark/>
          </w:tcPr>
          <w:p w14:paraId="7454D603" w14:textId="77777777" w:rsidR="00814857" w:rsidRDefault="00814857" w:rsidP="00894126">
            <w:pPr>
              <w:pStyle w:val="ARtabletextright"/>
            </w:pPr>
            <w:r>
              <w:rPr>
                <w:noProof/>
              </w:rPr>
              <w:t>number</w:t>
            </w:r>
          </w:p>
        </w:tc>
        <w:tc>
          <w:tcPr>
            <w:tcW w:w="1022" w:type="dxa"/>
            <w:tcBorders>
              <w:top w:val="single" w:sz="4" w:space="0" w:color="BFBFBF" w:themeColor="background1" w:themeShade="BF"/>
            </w:tcBorders>
            <w:hideMark/>
          </w:tcPr>
          <w:p w14:paraId="75A337F5" w14:textId="77777777" w:rsidR="00814857" w:rsidRDefault="00814857" w:rsidP="00894126">
            <w:pPr>
              <w:pStyle w:val="ARtabletextright"/>
            </w:pPr>
            <w:r>
              <w:rPr>
                <w:noProof/>
              </w:rPr>
              <w:t>48,000</w:t>
            </w:r>
          </w:p>
        </w:tc>
        <w:tc>
          <w:tcPr>
            <w:tcW w:w="1022" w:type="dxa"/>
            <w:tcBorders>
              <w:top w:val="single" w:sz="4" w:space="0" w:color="BFBFBF" w:themeColor="background1" w:themeShade="BF"/>
            </w:tcBorders>
            <w:hideMark/>
          </w:tcPr>
          <w:p w14:paraId="11A6B069" w14:textId="77777777" w:rsidR="00814857" w:rsidRDefault="00814857" w:rsidP="00894126">
            <w:pPr>
              <w:pStyle w:val="ARtabletextright"/>
            </w:pPr>
            <w:r>
              <w:rPr>
                <w:noProof/>
              </w:rPr>
              <w:t>45,304</w:t>
            </w:r>
          </w:p>
        </w:tc>
        <w:tc>
          <w:tcPr>
            <w:tcW w:w="1022" w:type="dxa"/>
            <w:tcBorders>
              <w:top w:val="single" w:sz="4" w:space="0" w:color="BFBFBF" w:themeColor="background1" w:themeShade="BF"/>
            </w:tcBorders>
            <w:hideMark/>
          </w:tcPr>
          <w:p w14:paraId="42CA701B" w14:textId="77777777" w:rsidR="00814857" w:rsidRDefault="00814857" w:rsidP="00894126">
            <w:pPr>
              <w:pStyle w:val="ARtabletextright"/>
            </w:pPr>
            <w:r>
              <w:rPr>
                <w:noProof/>
              </w:rPr>
              <w:t>-5.6</w:t>
            </w:r>
          </w:p>
        </w:tc>
        <w:tc>
          <w:tcPr>
            <w:tcW w:w="794" w:type="dxa"/>
            <w:tcBorders>
              <w:top w:val="single" w:sz="4" w:space="0" w:color="BFBFBF" w:themeColor="background1" w:themeShade="BF"/>
            </w:tcBorders>
            <w:hideMark/>
          </w:tcPr>
          <w:p w14:paraId="6B3B8BFB" w14:textId="77777777" w:rsidR="00814857" w:rsidRDefault="00814857" w:rsidP="00894126">
            <w:pPr>
              <w:pStyle w:val="ARtabletextright"/>
            </w:pPr>
            <w:r>
              <w:sym w:font="Wingdings" w:char="F06E"/>
            </w:r>
          </w:p>
        </w:tc>
      </w:tr>
      <w:tr w:rsidR="00814857" w14:paraId="71A14D8E" w14:textId="77777777" w:rsidTr="00894126">
        <w:trPr>
          <w:cantSplit/>
          <w:trHeight w:val="240"/>
        </w:trPr>
        <w:tc>
          <w:tcPr>
            <w:tcW w:w="9645" w:type="dxa"/>
            <w:gridSpan w:val="6"/>
            <w:tcBorders>
              <w:top w:val="nil"/>
              <w:left w:val="nil"/>
              <w:bottom w:val="single" w:sz="4" w:space="0" w:color="BFBFBF"/>
              <w:right w:val="nil"/>
            </w:tcBorders>
            <w:noWrap/>
            <w:hideMark/>
          </w:tcPr>
          <w:p w14:paraId="58773E63" w14:textId="77777777" w:rsidR="00814857" w:rsidRDefault="00814857" w:rsidP="00894126">
            <w:pPr>
              <w:pStyle w:val="ARtablenoteindent"/>
            </w:pPr>
            <w:r w:rsidRPr="00F81D58">
              <w:rPr>
                <w:noProof/>
              </w:rPr>
              <w:t>Result is lower than the target due to the average length of stay in refuge by victim survivors of family violence being marginally shorter than anticipated.</w:t>
            </w:r>
          </w:p>
        </w:tc>
      </w:tr>
      <w:tr w:rsidR="00EC65CE" w14:paraId="0B938CEA" w14:textId="77777777" w:rsidTr="00A05EB7">
        <w:trPr>
          <w:cantSplit/>
          <w:trHeight w:val="240"/>
        </w:trPr>
        <w:tc>
          <w:tcPr>
            <w:tcW w:w="9645" w:type="dxa"/>
            <w:gridSpan w:val="6"/>
            <w:tcBorders>
              <w:top w:val="single" w:sz="4" w:space="0" w:color="auto"/>
              <w:left w:val="nil"/>
              <w:right w:val="nil"/>
            </w:tcBorders>
            <w:hideMark/>
          </w:tcPr>
          <w:p w14:paraId="4BA171B2" w14:textId="46CEFD35" w:rsidR="00EC65CE" w:rsidRDefault="00EC65CE" w:rsidP="00435211">
            <w:pPr>
              <w:pStyle w:val="ARtablegreybold"/>
            </w:pPr>
            <w:r w:rsidRPr="00435211">
              <w:t>Quality</w:t>
            </w:r>
          </w:p>
        </w:tc>
      </w:tr>
      <w:tr w:rsidR="00814857" w14:paraId="73B2647E" w14:textId="77777777" w:rsidTr="00894126">
        <w:trPr>
          <w:cantSplit/>
          <w:trHeight w:val="480"/>
        </w:trPr>
        <w:tc>
          <w:tcPr>
            <w:tcW w:w="4764" w:type="dxa"/>
            <w:tcBorders>
              <w:top w:val="single" w:sz="4" w:space="0" w:color="BFBFBF" w:themeColor="background1" w:themeShade="BF"/>
            </w:tcBorders>
            <w:hideMark/>
          </w:tcPr>
          <w:p w14:paraId="369198EB" w14:textId="77777777" w:rsidR="00814857" w:rsidRDefault="00814857" w:rsidP="00894126">
            <w:pPr>
              <w:pStyle w:val="ARtabletext"/>
            </w:pPr>
            <w:r>
              <w:rPr>
                <w:noProof/>
              </w:rPr>
              <w:t>Social housing tenants satisfied with completed urgent maintenance works</w:t>
            </w:r>
          </w:p>
        </w:tc>
        <w:tc>
          <w:tcPr>
            <w:tcW w:w="1021" w:type="dxa"/>
            <w:tcBorders>
              <w:top w:val="single" w:sz="4" w:space="0" w:color="BFBFBF" w:themeColor="background1" w:themeShade="BF"/>
            </w:tcBorders>
            <w:hideMark/>
          </w:tcPr>
          <w:p w14:paraId="0AA433C9" w14:textId="77777777" w:rsidR="00814857" w:rsidRDefault="00814857" w:rsidP="00894126">
            <w:pPr>
              <w:pStyle w:val="ARtabletextright"/>
            </w:pPr>
            <w:r>
              <w:rPr>
                <w:noProof/>
              </w:rPr>
              <w:t>per cent</w:t>
            </w:r>
          </w:p>
        </w:tc>
        <w:tc>
          <w:tcPr>
            <w:tcW w:w="1022" w:type="dxa"/>
            <w:tcBorders>
              <w:top w:val="single" w:sz="4" w:space="0" w:color="BFBFBF" w:themeColor="background1" w:themeShade="BF"/>
            </w:tcBorders>
            <w:hideMark/>
          </w:tcPr>
          <w:p w14:paraId="58635346" w14:textId="77777777" w:rsidR="00814857" w:rsidRDefault="00814857" w:rsidP="00894126">
            <w:pPr>
              <w:pStyle w:val="ARtabletextright"/>
            </w:pPr>
            <w:r>
              <w:rPr>
                <w:noProof/>
              </w:rPr>
              <w:t>85</w:t>
            </w:r>
          </w:p>
        </w:tc>
        <w:tc>
          <w:tcPr>
            <w:tcW w:w="1022" w:type="dxa"/>
            <w:tcBorders>
              <w:top w:val="single" w:sz="4" w:space="0" w:color="BFBFBF" w:themeColor="background1" w:themeShade="BF"/>
            </w:tcBorders>
            <w:hideMark/>
          </w:tcPr>
          <w:p w14:paraId="757E998A" w14:textId="77777777" w:rsidR="00814857" w:rsidRDefault="00814857" w:rsidP="00894126">
            <w:pPr>
              <w:pStyle w:val="ARtabletextright"/>
            </w:pPr>
            <w:r>
              <w:rPr>
                <w:noProof/>
              </w:rPr>
              <w:t>86.9</w:t>
            </w:r>
          </w:p>
        </w:tc>
        <w:tc>
          <w:tcPr>
            <w:tcW w:w="1022" w:type="dxa"/>
            <w:tcBorders>
              <w:top w:val="single" w:sz="4" w:space="0" w:color="BFBFBF" w:themeColor="background1" w:themeShade="BF"/>
            </w:tcBorders>
            <w:hideMark/>
          </w:tcPr>
          <w:p w14:paraId="14D53FAB" w14:textId="77777777" w:rsidR="00814857" w:rsidRDefault="00814857" w:rsidP="00894126">
            <w:pPr>
              <w:pStyle w:val="ARtabletextright"/>
            </w:pPr>
            <w:r>
              <w:rPr>
                <w:noProof/>
              </w:rPr>
              <w:t>2.4</w:t>
            </w:r>
          </w:p>
        </w:tc>
        <w:tc>
          <w:tcPr>
            <w:tcW w:w="794" w:type="dxa"/>
            <w:tcBorders>
              <w:top w:val="single" w:sz="4" w:space="0" w:color="BFBFBF" w:themeColor="background1" w:themeShade="BF"/>
            </w:tcBorders>
            <w:hideMark/>
          </w:tcPr>
          <w:p w14:paraId="53F83266" w14:textId="77777777" w:rsidR="00814857" w:rsidRDefault="00814857" w:rsidP="00894126">
            <w:pPr>
              <w:pStyle w:val="ARtabletextright"/>
            </w:pPr>
            <w:r>
              <w:sym w:font="Wingdings" w:char="F0FC"/>
            </w:r>
          </w:p>
        </w:tc>
      </w:tr>
      <w:tr w:rsidR="00814857" w14:paraId="5817494F" w14:textId="77777777" w:rsidTr="00894126">
        <w:trPr>
          <w:cantSplit/>
          <w:trHeight w:val="240"/>
        </w:trPr>
        <w:tc>
          <w:tcPr>
            <w:tcW w:w="9645" w:type="dxa"/>
            <w:gridSpan w:val="6"/>
            <w:tcBorders>
              <w:top w:val="nil"/>
              <w:left w:val="nil"/>
              <w:bottom w:val="single" w:sz="4" w:space="0" w:color="BFBFBF"/>
              <w:right w:val="nil"/>
            </w:tcBorders>
            <w:noWrap/>
            <w:hideMark/>
          </w:tcPr>
          <w:p w14:paraId="1DC63621" w14:textId="77777777" w:rsidR="00814857" w:rsidRDefault="00814857" w:rsidP="00894126">
            <w:pPr>
              <w:pStyle w:val="ARtablenoteindent"/>
            </w:pPr>
            <w:r>
              <w:rPr>
                <w:noProof/>
              </w:rPr>
              <w:t>This is a positive result.</w:t>
            </w:r>
          </w:p>
        </w:tc>
      </w:tr>
      <w:tr w:rsidR="00814857" w14:paraId="5FD02977" w14:textId="77777777" w:rsidTr="00894126">
        <w:trPr>
          <w:cantSplit/>
          <w:trHeight w:val="480"/>
        </w:trPr>
        <w:tc>
          <w:tcPr>
            <w:tcW w:w="4764" w:type="dxa"/>
            <w:hideMark/>
          </w:tcPr>
          <w:p w14:paraId="106433D1" w14:textId="77777777" w:rsidR="00814857" w:rsidRDefault="00814857" w:rsidP="00894126">
            <w:pPr>
              <w:pStyle w:val="ARtabletext"/>
            </w:pPr>
            <w:r>
              <w:rPr>
                <w:noProof/>
              </w:rPr>
              <w:t>Social housing tenants satisfied with completed non-urgent maintenance works</w:t>
            </w:r>
          </w:p>
        </w:tc>
        <w:tc>
          <w:tcPr>
            <w:tcW w:w="1021" w:type="dxa"/>
            <w:hideMark/>
          </w:tcPr>
          <w:p w14:paraId="6F24A3C7" w14:textId="77777777" w:rsidR="00814857" w:rsidRDefault="00814857" w:rsidP="00894126">
            <w:pPr>
              <w:pStyle w:val="ARtabletextright"/>
            </w:pPr>
            <w:r>
              <w:rPr>
                <w:noProof/>
              </w:rPr>
              <w:t>per cent</w:t>
            </w:r>
          </w:p>
        </w:tc>
        <w:tc>
          <w:tcPr>
            <w:tcW w:w="1022" w:type="dxa"/>
            <w:hideMark/>
          </w:tcPr>
          <w:p w14:paraId="6BABF4BD" w14:textId="77777777" w:rsidR="00814857" w:rsidRDefault="00814857" w:rsidP="00894126">
            <w:pPr>
              <w:pStyle w:val="ARtabletextright"/>
            </w:pPr>
            <w:r>
              <w:rPr>
                <w:noProof/>
              </w:rPr>
              <w:t>80</w:t>
            </w:r>
          </w:p>
        </w:tc>
        <w:tc>
          <w:tcPr>
            <w:tcW w:w="1022" w:type="dxa"/>
            <w:hideMark/>
          </w:tcPr>
          <w:p w14:paraId="3ED8E2C8" w14:textId="77777777" w:rsidR="00814857" w:rsidRDefault="00814857" w:rsidP="00894126">
            <w:pPr>
              <w:pStyle w:val="ARtabletextright"/>
            </w:pPr>
            <w:r>
              <w:rPr>
                <w:noProof/>
              </w:rPr>
              <w:t>70.8</w:t>
            </w:r>
          </w:p>
        </w:tc>
        <w:tc>
          <w:tcPr>
            <w:tcW w:w="1022" w:type="dxa"/>
            <w:hideMark/>
          </w:tcPr>
          <w:p w14:paraId="2180F0B2" w14:textId="77777777" w:rsidR="00814857" w:rsidRDefault="00814857" w:rsidP="00894126">
            <w:pPr>
              <w:pStyle w:val="ARtabletextright"/>
            </w:pPr>
            <w:r>
              <w:rPr>
                <w:noProof/>
              </w:rPr>
              <w:t>-11.5</w:t>
            </w:r>
          </w:p>
        </w:tc>
        <w:tc>
          <w:tcPr>
            <w:tcW w:w="794" w:type="dxa"/>
            <w:hideMark/>
          </w:tcPr>
          <w:p w14:paraId="6A9E8E90" w14:textId="77777777" w:rsidR="00814857" w:rsidRDefault="00814857" w:rsidP="00894126">
            <w:pPr>
              <w:pStyle w:val="ARtabletextright"/>
            </w:pPr>
            <w:r>
              <w:sym w:font="Wingdings" w:char="F06E"/>
            </w:r>
          </w:p>
        </w:tc>
      </w:tr>
      <w:tr w:rsidR="00814857" w14:paraId="044B980D" w14:textId="77777777" w:rsidTr="00894126">
        <w:trPr>
          <w:cantSplit/>
          <w:trHeight w:val="240"/>
        </w:trPr>
        <w:tc>
          <w:tcPr>
            <w:tcW w:w="9645" w:type="dxa"/>
            <w:gridSpan w:val="6"/>
            <w:tcBorders>
              <w:top w:val="nil"/>
              <w:left w:val="nil"/>
              <w:bottom w:val="single" w:sz="4" w:space="0" w:color="BFBFBF"/>
              <w:right w:val="nil"/>
            </w:tcBorders>
            <w:noWrap/>
            <w:hideMark/>
          </w:tcPr>
          <w:p w14:paraId="4FD39D6F" w14:textId="77777777" w:rsidR="00814857" w:rsidRDefault="00814857" w:rsidP="00894126">
            <w:pPr>
              <w:pStyle w:val="ARtablenoteindent"/>
            </w:pPr>
            <w:r>
              <w:rPr>
                <w:noProof/>
              </w:rPr>
              <w:t xml:space="preserve">This result is lower than the target due to the increased volume of calls requesting gas heater maintenance due to Energy Safety Victoria's public safety campaign aimed at raising the awareness of the harmful effects of carbon dioxide emissions from open flued gas heaters. </w:t>
            </w:r>
          </w:p>
        </w:tc>
      </w:tr>
      <w:tr w:rsidR="00EC65CE" w14:paraId="34A84879" w14:textId="77777777" w:rsidTr="00A05EB7">
        <w:trPr>
          <w:cantSplit/>
          <w:trHeight w:val="240"/>
        </w:trPr>
        <w:tc>
          <w:tcPr>
            <w:tcW w:w="9645" w:type="dxa"/>
            <w:gridSpan w:val="6"/>
            <w:tcBorders>
              <w:top w:val="single" w:sz="4" w:space="0" w:color="auto"/>
              <w:left w:val="nil"/>
              <w:right w:val="nil"/>
            </w:tcBorders>
            <w:hideMark/>
          </w:tcPr>
          <w:p w14:paraId="42A45045" w14:textId="51AF6F77" w:rsidR="00EC65CE" w:rsidRDefault="00EC65CE" w:rsidP="00435211">
            <w:pPr>
              <w:pStyle w:val="ARtablegreybold"/>
            </w:pPr>
            <w:r w:rsidRPr="00435211">
              <w:t>Timeliness</w:t>
            </w:r>
          </w:p>
        </w:tc>
      </w:tr>
      <w:tr w:rsidR="00814857" w14:paraId="50F451AB" w14:textId="77777777" w:rsidTr="00894126">
        <w:trPr>
          <w:cantSplit/>
          <w:trHeight w:val="480"/>
        </w:trPr>
        <w:tc>
          <w:tcPr>
            <w:tcW w:w="4764" w:type="dxa"/>
            <w:hideMark/>
          </w:tcPr>
          <w:p w14:paraId="36F128E4" w14:textId="77777777" w:rsidR="00814857" w:rsidRDefault="00814857" w:rsidP="00894126">
            <w:pPr>
              <w:pStyle w:val="ARtabletext"/>
            </w:pPr>
            <w:r>
              <w:rPr>
                <w:noProof/>
              </w:rPr>
              <w:t>Average waiting time for public rental housing for those clients who have received priority access housing allocation or a priority transfer</w:t>
            </w:r>
          </w:p>
        </w:tc>
        <w:tc>
          <w:tcPr>
            <w:tcW w:w="1021" w:type="dxa"/>
            <w:hideMark/>
          </w:tcPr>
          <w:p w14:paraId="5CBA91FC" w14:textId="77777777" w:rsidR="00814857" w:rsidRDefault="00814857" w:rsidP="00894126">
            <w:pPr>
              <w:pStyle w:val="ARtabletextright"/>
            </w:pPr>
            <w:r>
              <w:rPr>
                <w:noProof/>
              </w:rPr>
              <w:t>months</w:t>
            </w:r>
          </w:p>
        </w:tc>
        <w:tc>
          <w:tcPr>
            <w:tcW w:w="1022" w:type="dxa"/>
            <w:hideMark/>
          </w:tcPr>
          <w:p w14:paraId="7C7F649C" w14:textId="77777777" w:rsidR="00814857" w:rsidRDefault="00814857" w:rsidP="00894126">
            <w:pPr>
              <w:pStyle w:val="ARtabletextright"/>
            </w:pPr>
            <w:r>
              <w:rPr>
                <w:noProof/>
              </w:rPr>
              <w:t>10.5</w:t>
            </w:r>
          </w:p>
        </w:tc>
        <w:tc>
          <w:tcPr>
            <w:tcW w:w="1022" w:type="dxa"/>
            <w:hideMark/>
          </w:tcPr>
          <w:p w14:paraId="3E439C60" w14:textId="77777777" w:rsidR="00814857" w:rsidRDefault="00814857" w:rsidP="00894126">
            <w:pPr>
              <w:pStyle w:val="ARtabletextright"/>
            </w:pPr>
            <w:r>
              <w:rPr>
                <w:noProof/>
              </w:rPr>
              <w:t>11.6</w:t>
            </w:r>
          </w:p>
        </w:tc>
        <w:tc>
          <w:tcPr>
            <w:tcW w:w="1022" w:type="dxa"/>
            <w:hideMark/>
          </w:tcPr>
          <w:p w14:paraId="42D2D156" w14:textId="77777777" w:rsidR="00814857" w:rsidRDefault="00814857" w:rsidP="00894126">
            <w:pPr>
              <w:pStyle w:val="ARtabletextright"/>
            </w:pPr>
            <w:r>
              <w:rPr>
                <w:noProof/>
              </w:rPr>
              <w:t>10.5</w:t>
            </w:r>
          </w:p>
        </w:tc>
        <w:tc>
          <w:tcPr>
            <w:tcW w:w="794" w:type="dxa"/>
            <w:hideMark/>
          </w:tcPr>
          <w:p w14:paraId="2CB5AE81" w14:textId="77777777" w:rsidR="00814857" w:rsidRDefault="00814857" w:rsidP="00894126">
            <w:pPr>
              <w:pStyle w:val="ARtabletextright"/>
            </w:pPr>
            <w:r>
              <w:sym w:font="Wingdings" w:char="F06E"/>
            </w:r>
          </w:p>
        </w:tc>
      </w:tr>
      <w:tr w:rsidR="00814857" w14:paraId="107F71FA" w14:textId="77777777" w:rsidTr="00894126">
        <w:trPr>
          <w:cantSplit/>
          <w:trHeight w:val="240"/>
        </w:trPr>
        <w:tc>
          <w:tcPr>
            <w:tcW w:w="9645" w:type="dxa"/>
            <w:gridSpan w:val="6"/>
            <w:tcBorders>
              <w:top w:val="nil"/>
              <w:left w:val="nil"/>
              <w:bottom w:val="single" w:sz="4" w:space="0" w:color="BFBFBF"/>
              <w:right w:val="nil"/>
            </w:tcBorders>
            <w:noWrap/>
            <w:hideMark/>
          </w:tcPr>
          <w:p w14:paraId="47EDFFE9" w14:textId="77777777" w:rsidR="00814857" w:rsidRDefault="00814857" w:rsidP="00894126">
            <w:pPr>
              <w:pStyle w:val="ARtablenoteindent"/>
            </w:pPr>
            <w:r>
              <w:rPr>
                <w:noProof/>
              </w:rPr>
              <w:t>The result is higher than the target due to the reduction in households moving out of public housing, the number of properties currently awaiting redevelopment and the lack of growth in social housing. In combination these factors are impacting how long people have to wait before they are housed.</w:t>
            </w:r>
          </w:p>
        </w:tc>
      </w:tr>
      <w:tr w:rsidR="00814857" w14:paraId="2BE57FD0" w14:textId="77777777" w:rsidTr="00894126">
        <w:trPr>
          <w:cantSplit/>
          <w:trHeight w:val="480"/>
        </w:trPr>
        <w:tc>
          <w:tcPr>
            <w:tcW w:w="4764" w:type="dxa"/>
            <w:tcBorders>
              <w:bottom w:val="single" w:sz="4" w:space="0" w:color="BFBFBF" w:themeColor="background1" w:themeShade="BF"/>
            </w:tcBorders>
            <w:hideMark/>
          </w:tcPr>
          <w:p w14:paraId="04443F9E" w14:textId="77777777" w:rsidR="00814857" w:rsidRDefault="00814857" w:rsidP="00894126">
            <w:pPr>
              <w:pStyle w:val="ARtabletext"/>
            </w:pPr>
            <w:r>
              <w:rPr>
                <w:noProof/>
              </w:rPr>
              <w:t>Proportion of clients where support to sustain housing tenure was provided or referred</w:t>
            </w:r>
          </w:p>
        </w:tc>
        <w:tc>
          <w:tcPr>
            <w:tcW w:w="1021" w:type="dxa"/>
            <w:tcBorders>
              <w:bottom w:val="single" w:sz="4" w:space="0" w:color="BFBFBF" w:themeColor="background1" w:themeShade="BF"/>
            </w:tcBorders>
            <w:hideMark/>
          </w:tcPr>
          <w:p w14:paraId="494941ED" w14:textId="77777777" w:rsidR="00814857" w:rsidRDefault="00814857" w:rsidP="00894126">
            <w:pPr>
              <w:pStyle w:val="ARtabletextright"/>
            </w:pPr>
            <w:r>
              <w:rPr>
                <w:noProof/>
              </w:rPr>
              <w:t>per cent</w:t>
            </w:r>
          </w:p>
        </w:tc>
        <w:tc>
          <w:tcPr>
            <w:tcW w:w="1022" w:type="dxa"/>
            <w:tcBorders>
              <w:bottom w:val="single" w:sz="4" w:space="0" w:color="BFBFBF" w:themeColor="background1" w:themeShade="BF"/>
            </w:tcBorders>
            <w:hideMark/>
          </w:tcPr>
          <w:p w14:paraId="1A72FD69" w14:textId="77777777" w:rsidR="00814857" w:rsidRDefault="00814857" w:rsidP="00894126">
            <w:pPr>
              <w:pStyle w:val="ARtabletextright"/>
            </w:pPr>
            <w:r>
              <w:rPr>
                <w:noProof/>
              </w:rPr>
              <w:t>85</w:t>
            </w:r>
          </w:p>
        </w:tc>
        <w:tc>
          <w:tcPr>
            <w:tcW w:w="1022" w:type="dxa"/>
            <w:tcBorders>
              <w:bottom w:val="single" w:sz="4" w:space="0" w:color="BFBFBF" w:themeColor="background1" w:themeShade="BF"/>
            </w:tcBorders>
            <w:hideMark/>
          </w:tcPr>
          <w:p w14:paraId="48707697" w14:textId="77777777" w:rsidR="00814857" w:rsidRDefault="00814857" w:rsidP="00894126">
            <w:pPr>
              <w:pStyle w:val="ARtabletextright"/>
            </w:pPr>
            <w:r>
              <w:rPr>
                <w:noProof/>
              </w:rPr>
              <w:t>84.6</w:t>
            </w:r>
          </w:p>
        </w:tc>
        <w:tc>
          <w:tcPr>
            <w:tcW w:w="1022" w:type="dxa"/>
            <w:tcBorders>
              <w:bottom w:val="single" w:sz="4" w:space="0" w:color="BFBFBF" w:themeColor="background1" w:themeShade="BF"/>
            </w:tcBorders>
            <w:hideMark/>
          </w:tcPr>
          <w:p w14:paraId="1D8269B5" w14:textId="77777777" w:rsidR="00814857" w:rsidRDefault="00814857" w:rsidP="00894126">
            <w:pPr>
              <w:pStyle w:val="ARtabletextright"/>
            </w:pPr>
            <w:r>
              <w:rPr>
                <w:noProof/>
              </w:rPr>
              <w:t>-0.5</w:t>
            </w:r>
          </w:p>
        </w:tc>
        <w:tc>
          <w:tcPr>
            <w:tcW w:w="794" w:type="dxa"/>
            <w:tcBorders>
              <w:bottom w:val="single" w:sz="4" w:space="0" w:color="BFBFBF" w:themeColor="background1" w:themeShade="BF"/>
            </w:tcBorders>
            <w:hideMark/>
          </w:tcPr>
          <w:p w14:paraId="2F1DF8FB" w14:textId="77777777" w:rsidR="00814857" w:rsidRDefault="00814857" w:rsidP="00894126">
            <w:pPr>
              <w:pStyle w:val="ARtabletextright"/>
            </w:pPr>
            <w:r w:rsidRPr="007939DD">
              <w:sym w:font="Wingdings 2" w:char="F099"/>
            </w:r>
          </w:p>
        </w:tc>
      </w:tr>
      <w:tr w:rsidR="00814857" w14:paraId="3E79A382" w14:textId="77777777" w:rsidTr="00894126">
        <w:trPr>
          <w:cantSplit/>
          <w:trHeight w:val="480"/>
        </w:trPr>
        <w:tc>
          <w:tcPr>
            <w:tcW w:w="4764" w:type="dxa"/>
            <w:tcBorders>
              <w:top w:val="single" w:sz="4" w:space="0" w:color="BFBFBF" w:themeColor="background1" w:themeShade="BF"/>
              <w:bottom w:val="single" w:sz="4" w:space="0" w:color="BFBFBF" w:themeColor="background1" w:themeShade="BF"/>
            </w:tcBorders>
            <w:hideMark/>
          </w:tcPr>
          <w:p w14:paraId="1E65251B" w14:textId="77777777" w:rsidR="00814857" w:rsidRDefault="00814857" w:rsidP="00894126">
            <w:pPr>
              <w:pStyle w:val="ARtabletext"/>
            </w:pPr>
            <w:r>
              <w:rPr>
                <w:noProof/>
              </w:rPr>
              <w:t>Average waiting time for public rental housing for clients who have received a priority access housing or priority transfer allocation due to family violence</w:t>
            </w:r>
          </w:p>
        </w:tc>
        <w:tc>
          <w:tcPr>
            <w:tcW w:w="1021" w:type="dxa"/>
            <w:tcBorders>
              <w:top w:val="single" w:sz="4" w:space="0" w:color="BFBFBF" w:themeColor="background1" w:themeShade="BF"/>
              <w:bottom w:val="single" w:sz="4" w:space="0" w:color="BFBFBF" w:themeColor="background1" w:themeShade="BF"/>
            </w:tcBorders>
            <w:hideMark/>
          </w:tcPr>
          <w:p w14:paraId="294D4EC8" w14:textId="77777777" w:rsidR="00814857" w:rsidRDefault="00814857" w:rsidP="00894126">
            <w:pPr>
              <w:pStyle w:val="ARtabletextright"/>
            </w:pPr>
            <w:r>
              <w:rPr>
                <w:noProof/>
              </w:rPr>
              <w:t>months</w:t>
            </w:r>
          </w:p>
        </w:tc>
        <w:tc>
          <w:tcPr>
            <w:tcW w:w="1022" w:type="dxa"/>
            <w:tcBorders>
              <w:top w:val="single" w:sz="4" w:space="0" w:color="BFBFBF" w:themeColor="background1" w:themeShade="BF"/>
              <w:bottom w:val="single" w:sz="4" w:space="0" w:color="BFBFBF" w:themeColor="background1" w:themeShade="BF"/>
            </w:tcBorders>
            <w:hideMark/>
          </w:tcPr>
          <w:p w14:paraId="15D41D8F" w14:textId="77777777" w:rsidR="00814857" w:rsidRDefault="00814857" w:rsidP="00894126">
            <w:pPr>
              <w:pStyle w:val="ARtabletextright"/>
            </w:pPr>
            <w:r>
              <w:rPr>
                <w:noProof/>
              </w:rPr>
              <w:t>10.5</w:t>
            </w:r>
          </w:p>
        </w:tc>
        <w:tc>
          <w:tcPr>
            <w:tcW w:w="1022" w:type="dxa"/>
            <w:tcBorders>
              <w:top w:val="single" w:sz="4" w:space="0" w:color="BFBFBF" w:themeColor="background1" w:themeShade="BF"/>
              <w:bottom w:val="single" w:sz="4" w:space="0" w:color="BFBFBF" w:themeColor="background1" w:themeShade="BF"/>
            </w:tcBorders>
            <w:hideMark/>
          </w:tcPr>
          <w:p w14:paraId="057EB4B2" w14:textId="77777777" w:rsidR="00814857" w:rsidRDefault="00814857" w:rsidP="00894126">
            <w:pPr>
              <w:pStyle w:val="ARtabletextright"/>
            </w:pPr>
            <w:r>
              <w:rPr>
                <w:noProof/>
              </w:rPr>
              <w:t>10.3</w:t>
            </w:r>
          </w:p>
        </w:tc>
        <w:tc>
          <w:tcPr>
            <w:tcW w:w="1022" w:type="dxa"/>
            <w:tcBorders>
              <w:top w:val="single" w:sz="4" w:space="0" w:color="BFBFBF" w:themeColor="background1" w:themeShade="BF"/>
              <w:bottom w:val="single" w:sz="4" w:space="0" w:color="BFBFBF" w:themeColor="background1" w:themeShade="BF"/>
            </w:tcBorders>
            <w:hideMark/>
          </w:tcPr>
          <w:p w14:paraId="68E6B78D" w14:textId="77777777" w:rsidR="00814857" w:rsidRDefault="00814857" w:rsidP="00894126">
            <w:pPr>
              <w:pStyle w:val="ARtabletextright"/>
            </w:pPr>
            <w:r>
              <w:rPr>
                <w:noProof/>
              </w:rPr>
              <w:t>-1.9</w:t>
            </w:r>
          </w:p>
        </w:tc>
        <w:tc>
          <w:tcPr>
            <w:tcW w:w="794" w:type="dxa"/>
            <w:tcBorders>
              <w:top w:val="single" w:sz="4" w:space="0" w:color="BFBFBF" w:themeColor="background1" w:themeShade="BF"/>
              <w:bottom w:val="single" w:sz="4" w:space="0" w:color="BFBFBF" w:themeColor="background1" w:themeShade="BF"/>
            </w:tcBorders>
            <w:hideMark/>
          </w:tcPr>
          <w:p w14:paraId="761C8079" w14:textId="77777777" w:rsidR="00814857" w:rsidRDefault="00814857" w:rsidP="00894126">
            <w:pPr>
              <w:pStyle w:val="ARtabletextright"/>
            </w:pPr>
            <w:r>
              <w:sym w:font="Wingdings" w:char="F0FC"/>
            </w:r>
          </w:p>
        </w:tc>
      </w:tr>
      <w:tr w:rsidR="00EC65CE" w14:paraId="6AA40A8A" w14:textId="77777777" w:rsidTr="00A05EB7">
        <w:trPr>
          <w:cantSplit/>
          <w:trHeight w:val="240"/>
        </w:trPr>
        <w:tc>
          <w:tcPr>
            <w:tcW w:w="9645" w:type="dxa"/>
            <w:gridSpan w:val="6"/>
            <w:tcBorders>
              <w:top w:val="single" w:sz="4" w:space="0" w:color="auto"/>
              <w:left w:val="nil"/>
              <w:bottom w:val="nil"/>
              <w:right w:val="nil"/>
            </w:tcBorders>
            <w:hideMark/>
          </w:tcPr>
          <w:p w14:paraId="749DF3EF" w14:textId="4EBD42EC" w:rsidR="00EC65CE" w:rsidRDefault="00EC65CE" w:rsidP="00435211">
            <w:pPr>
              <w:pStyle w:val="ARtablegreybold"/>
            </w:pPr>
            <w:r w:rsidRPr="00435211">
              <w:t>Cost</w:t>
            </w:r>
          </w:p>
        </w:tc>
      </w:tr>
      <w:tr w:rsidR="00814857" w14:paraId="135F78FB" w14:textId="77777777" w:rsidTr="00EC65CE">
        <w:trPr>
          <w:cantSplit/>
          <w:trHeight w:val="397"/>
        </w:trPr>
        <w:tc>
          <w:tcPr>
            <w:tcW w:w="4764" w:type="dxa"/>
            <w:hideMark/>
          </w:tcPr>
          <w:p w14:paraId="32352D92" w14:textId="77777777" w:rsidR="00814857" w:rsidRPr="004305B0" w:rsidRDefault="00814857" w:rsidP="00894126">
            <w:pPr>
              <w:pStyle w:val="ARtabletext"/>
              <w:rPr>
                <w:b/>
              </w:rPr>
            </w:pPr>
            <w:r w:rsidRPr="004305B0">
              <w:rPr>
                <w:b/>
                <w:noProof/>
              </w:rPr>
              <w:t xml:space="preserve">Total </w:t>
            </w:r>
            <w:r>
              <w:rPr>
                <w:b/>
                <w:noProof/>
              </w:rPr>
              <w:t>o</w:t>
            </w:r>
            <w:r w:rsidRPr="004305B0">
              <w:rPr>
                <w:b/>
                <w:noProof/>
              </w:rPr>
              <w:t xml:space="preserve">utput </w:t>
            </w:r>
            <w:r>
              <w:rPr>
                <w:b/>
                <w:noProof/>
              </w:rPr>
              <w:t>c</w:t>
            </w:r>
            <w:r w:rsidRPr="004305B0">
              <w:rPr>
                <w:b/>
                <w:noProof/>
              </w:rPr>
              <w:t>ost</w:t>
            </w:r>
          </w:p>
        </w:tc>
        <w:tc>
          <w:tcPr>
            <w:tcW w:w="1021" w:type="dxa"/>
            <w:hideMark/>
          </w:tcPr>
          <w:p w14:paraId="3D2200EC" w14:textId="77777777" w:rsidR="00814857" w:rsidRPr="004305B0" w:rsidRDefault="00814857" w:rsidP="00894126">
            <w:pPr>
              <w:pStyle w:val="ARtabletextright"/>
              <w:rPr>
                <w:b/>
              </w:rPr>
            </w:pPr>
            <w:r w:rsidRPr="004305B0">
              <w:rPr>
                <w:b/>
                <w:noProof/>
              </w:rPr>
              <w:t>$ million</w:t>
            </w:r>
          </w:p>
        </w:tc>
        <w:tc>
          <w:tcPr>
            <w:tcW w:w="1022" w:type="dxa"/>
            <w:hideMark/>
          </w:tcPr>
          <w:p w14:paraId="5C8A3121" w14:textId="77777777" w:rsidR="00814857" w:rsidRPr="004305B0" w:rsidRDefault="00814857" w:rsidP="00894126">
            <w:pPr>
              <w:pStyle w:val="ARtabletextright"/>
              <w:rPr>
                <w:b/>
              </w:rPr>
            </w:pPr>
            <w:r w:rsidRPr="004305B0">
              <w:rPr>
                <w:b/>
                <w:noProof/>
              </w:rPr>
              <w:t>574.8</w:t>
            </w:r>
          </w:p>
        </w:tc>
        <w:tc>
          <w:tcPr>
            <w:tcW w:w="1022" w:type="dxa"/>
            <w:hideMark/>
          </w:tcPr>
          <w:p w14:paraId="3C8B9F32" w14:textId="77777777" w:rsidR="00814857" w:rsidRPr="004305B0" w:rsidRDefault="00814857" w:rsidP="00894126">
            <w:pPr>
              <w:pStyle w:val="ARtabletextright"/>
              <w:rPr>
                <w:b/>
              </w:rPr>
            </w:pPr>
            <w:r w:rsidRPr="004305B0">
              <w:rPr>
                <w:b/>
                <w:noProof/>
              </w:rPr>
              <w:t>618.8</w:t>
            </w:r>
          </w:p>
        </w:tc>
        <w:tc>
          <w:tcPr>
            <w:tcW w:w="1022" w:type="dxa"/>
            <w:hideMark/>
          </w:tcPr>
          <w:p w14:paraId="536723B2" w14:textId="77777777" w:rsidR="00814857" w:rsidRPr="004305B0" w:rsidRDefault="00814857" w:rsidP="00894126">
            <w:pPr>
              <w:pStyle w:val="ARtabletextright"/>
              <w:rPr>
                <w:b/>
              </w:rPr>
            </w:pPr>
            <w:r w:rsidRPr="004305B0">
              <w:rPr>
                <w:b/>
                <w:noProof/>
              </w:rPr>
              <w:t>7.7</w:t>
            </w:r>
          </w:p>
        </w:tc>
        <w:tc>
          <w:tcPr>
            <w:tcW w:w="794" w:type="dxa"/>
            <w:hideMark/>
          </w:tcPr>
          <w:p w14:paraId="36D13809" w14:textId="77777777" w:rsidR="00814857" w:rsidRPr="004305B0" w:rsidRDefault="00814857" w:rsidP="00894126">
            <w:pPr>
              <w:rPr>
                <w:b/>
              </w:rPr>
            </w:pPr>
          </w:p>
        </w:tc>
      </w:tr>
      <w:tr w:rsidR="00814857" w14:paraId="2CE05852" w14:textId="77777777" w:rsidTr="00EC65CE">
        <w:trPr>
          <w:cantSplit/>
          <w:trHeight w:val="240"/>
        </w:trPr>
        <w:tc>
          <w:tcPr>
            <w:tcW w:w="9645" w:type="dxa"/>
            <w:gridSpan w:val="6"/>
            <w:tcBorders>
              <w:top w:val="nil"/>
              <w:left w:val="nil"/>
              <w:bottom w:val="single" w:sz="4" w:space="0" w:color="auto"/>
              <w:right w:val="nil"/>
            </w:tcBorders>
            <w:noWrap/>
            <w:hideMark/>
          </w:tcPr>
          <w:p w14:paraId="50B0E224" w14:textId="77777777" w:rsidR="00814857" w:rsidRDefault="00814857" w:rsidP="00894126">
            <w:pPr>
              <w:pStyle w:val="ARtablenoteindent"/>
            </w:pPr>
            <w:r>
              <w:rPr>
                <w:noProof/>
              </w:rPr>
              <w:t>The 2018–19 actual outcome primarily reflects additional funding for the gas heater replacement program, and increased Commonwealth funding under the National Housing and Homelessness Agreement subsequent to the published budget.</w:t>
            </w:r>
          </w:p>
        </w:tc>
      </w:tr>
    </w:tbl>
    <w:p w14:paraId="35A90214" w14:textId="77777777" w:rsidR="00814857" w:rsidRDefault="00814857" w:rsidP="002909DA">
      <w:pPr>
        <w:pStyle w:val="Heading2"/>
      </w:pPr>
      <w:bookmarkStart w:id="85" w:name="_Toc18954484"/>
      <w:bookmarkStart w:id="86" w:name="_Toc18955086"/>
      <w:r>
        <w:lastRenderedPageBreak/>
        <w:t>Family Violence Service Delivery</w:t>
      </w:r>
      <w:bookmarkEnd w:id="85"/>
      <w:bookmarkEnd w:id="86"/>
    </w:p>
    <w:p w14:paraId="2FC18D43" w14:textId="77777777" w:rsidR="00814857" w:rsidRPr="00030BBE" w:rsidRDefault="00814857" w:rsidP="0055734C">
      <w:pPr>
        <w:autoSpaceDE w:val="0"/>
        <w:autoSpaceDN w:val="0"/>
      </w:pPr>
      <w:r>
        <w:rPr>
          <w:rFonts w:ascii="ArialMT" w:hAnsi="ArialMT"/>
          <w:color w:val="000000"/>
        </w:rPr>
        <w:t>This output leads and coordinates whole-of-government family violence policy and implements and delivers the government’s family violence reform agenda. This includes establishing and operating Support and Safety Hubs, implementing information sharing legislation, and delivery of risk assessment and management programs.</w:t>
      </w:r>
    </w:p>
    <w:tbl>
      <w:tblPr>
        <w:tblW w:w="9645" w:type="dxa"/>
        <w:tblLayout w:type="fixed"/>
        <w:tblCellMar>
          <w:left w:w="0" w:type="dxa"/>
        </w:tblCellMar>
        <w:tblLook w:val="04A0" w:firstRow="1" w:lastRow="0" w:firstColumn="1" w:lastColumn="0" w:noHBand="0" w:noVBand="1"/>
      </w:tblPr>
      <w:tblGrid>
        <w:gridCol w:w="4764"/>
        <w:gridCol w:w="1021"/>
        <w:gridCol w:w="1022"/>
        <w:gridCol w:w="1022"/>
        <w:gridCol w:w="1022"/>
        <w:gridCol w:w="794"/>
      </w:tblGrid>
      <w:tr w:rsidR="00814857" w14:paraId="0CFDDC32" w14:textId="77777777" w:rsidTr="00894126">
        <w:trPr>
          <w:cantSplit/>
          <w:trHeight w:val="480"/>
          <w:tblHeader/>
        </w:trPr>
        <w:tc>
          <w:tcPr>
            <w:tcW w:w="4764" w:type="dxa"/>
            <w:tcBorders>
              <w:top w:val="nil"/>
              <w:left w:val="nil"/>
              <w:bottom w:val="single" w:sz="4" w:space="0" w:color="auto"/>
              <w:right w:val="nil"/>
            </w:tcBorders>
            <w:vAlign w:val="bottom"/>
            <w:hideMark/>
          </w:tcPr>
          <w:p w14:paraId="2F550E92" w14:textId="77777777" w:rsidR="00814857" w:rsidRDefault="00814857" w:rsidP="00894126">
            <w:pPr>
              <w:pStyle w:val="ARtablecolhead"/>
            </w:pPr>
            <w:r>
              <w:t>Performance measures</w:t>
            </w:r>
          </w:p>
        </w:tc>
        <w:tc>
          <w:tcPr>
            <w:tcW w:w="1021" w:type="dxa"/>
            <w:tcBorders>
              <w:top w:val="nil"/>
              <w:left w:val="nil"/>
              <w:bottom w:val="single" w:sz="4" w:space="0" w:color="auto"/>
              <w:right w:val="nil"/>
            </w:tcBorders>
            <w:vAlign w:val="bottom"/>
            <w:hideMark/>
          </w:tcPr>
          <w:p w14:paraId="6D1CB899" w14:textId="77777777" w:rsidR="00814857" w:rsidRDefault="00814857" w:rsidP="00894126">
            <w:pPr>
              <w:pStyle w:val="ARtablecolheadright"/>
            </w:pPr>
            <w:r>
              <w:t>Unit of measure</w:t>
            </w:r>
          </w:p>
        </w:tc>
        <w:tc>
          <w:tcPr>
            <w:tcW w:w="1022" w:type="dxa"/>
            <w:tcBorders>
              <w:top w:val="nil"/>
              <w:left w:val="nil"/>
              <w:bottom w:val="single" w:sz="4" w:space="0" w:color="auto"/>
              <w:right w:val="nil"/>
            </w:tcBorders>
            <w:vAlign w:val="bottom"/>
            <w:hideMark/>
          </w:tcPr>
          <w:p w14:paraId="01E2C351" w14:textId="77777777" w:rsidR="00814857" w:rsidRDefault="00814857" w:rsidP="00894126">
            <w:pPr>
              <w:pStyle w:val="ARtablecolheadright"/>
            </w:pPr>
            <w:r>
              <w:t>2018–19 target</w:t>
            </w:r>
          </w:p>
        </w:tc>
        <w:tc>
          <w:tcPr>
            <w:tcW w:w="1022" w:type="dxa"/>
            <w:tcBorders>
              <w:top w:val="nil"/>
              <w:left w:val="nil"/>
              <w:bottom w:val="single" w:sz="4" w:space="0" w:color="auto"/>
              <w:right w:val="nil"/>
            </w:tcBorders>
            <w:vAlign w:val="bottom"/>
            <w:hideMark/>
          </w:tcPr>
          <w:p w14:paraId="736BA61B" w14:textId="77777777" w:rsidR="00814857" w:rsidRDefault="00814857" w:rsidP="00894126">
            <w:pPr>
              <w:pStyle w:val="ARtablecolheadright"/>
            </w:pPr>
            <w:r>
              <w:t>2018–19 actual</w:t>
            </w:r>
          </w:p>
        </w:tc>
        <w:tc>
          <w:tcPr>
            <w:tcW w:w="1022" w:type="dxa"/>
            <w:tcBorders>
              <w:top w:val="nil"/>
              <w:left w:val="nil"/>
              <w:bottom w:val="single" w:sz="4" w:space="0" w:color="auto"/>
              <w:right w:val="nil"/>
            </w:tcBorders>
            <w:vAlign w:val="bottom"/>
            <w:hideMark/>
          </w:tcPr>
          <w:p w14:paraId="03D0560C" w14:textId="77777777" w:rsidR="00814857" w:rsidRDefault="00814857" w:rsidP="00894126">
            <w:pPr>
              <w:pStyle w:val="ARtablecolheadright"/>
            </w:pPr>
            <w:r>
              <w:t>Variation (%)</w:t>
            </w:r>
          </w:p>
        </w:tc>
        <w:tc>
          <w:tcPr>
            <w:tcW w:w="794" w:type="dxa"/>
            <w:tcBorders>
              <w:top w:val="nil"/>
              <w:left w:val="nil"/>
              <w:bottom w:val="single" w:sz="4" w:space="0" w:color="auto"/>
              <w:right w:val="nil"/>
            </w:tcBorders>
            <w:vAlign w:val="bottom"/>
            <w:hideMark/>
          </w:tcPr>
          <w:p w14:paraId="6A81B4B1" w14:textId="77777777" w:rsidR="00814857" w:rsidRDefault="00814857" w:rsidP="00894126">
            <w:pPr>
              <w:pStyle w:val="ARtablecolheadright"/>
            </w:pPr>
            <w:r>
              <w:t>Result</w:t>
            </w:r>
          </w:p>
        </w:tc>
      </w:tr>
      <w:tr w:rsidR="00EC65CE" w14:paraId="237462ED"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4A225DC6" w14:textId="4679A882" w:rsidR="00EC65CE" w:rsidRDefault="00EC65CE" w:rsidP="00435211">
            <w:pPr>
              <w:pStyle w:val="ARtablebluebold"/>
            </w:pPr>
            <w:r>
              <w:t>Family Violence Service Delivery</w:t>
            </w:r>
          </w:p>
        </w:tc>
      </w:tr>
      <w:tr w:rsidR="00EC65CE" w14:paraId="736F6FE7" w14:textId="77777777" w:rsidTr="00A05EB7">
        <w:trPr>
          <w:cantSplit/>
          <w:trHeight w:val="240"/>
        </w:trPr>
        <w:tc>
          <w:tcPr>
            <w:tcW w:w="9645" w:type="dxa"/>
            <w:gridSpan w:val="6"/>
            <w:tcBorders>
              <w:top w:val="single" w:sz="4" w:space="0" w:color="auto"/>
              <w:left w:val="nil"/>
              <w:bottom w:val="nil"/>
              <w:right w:val="nil"/>
            </w:tcBorders>
            <w:hideMark/>
          </w:tcPr>
          <w:p w14:paraId="24768F98" w14:textId="67B517DB" w:rsidR="00EC65CE" w:rsidRDefault="00EC65CE" w:rsidP="00435211">
            <w:pPr>
              <w:pStyle w:val="ARtablegreybold"/>
            </w:pPr>
            <w:r w:rsidRPr="00435211">
              <w:t>Quantity</w:t>
            </w:r>
          </w:p>
        </w:tc>
      </w:tr>
      <w:tr w:rsidR="00814857" w14:paraId="1A6FA9B2" w14:textId="77777777" w:rsidTr="00894126">
        <w:trPr>
          <w:cantSplit/>
          <w:trHeight w:val="480"/>
        </w:trPr>
        <w:tc>
          <w:tcPr>
            <w:tcW w:w="4764" w:type="dxa"/>
            <w:hideMark/>
          </w:tcPr>
          <w:p w14:paraId="1524E386" w14:textId="77777777" w:rsidR="00814857" w:rsidRDefault="00814857" w:rsidP="00894126">
            <w:pPr>
              <w:pStyle w:val="ARtabletext"/>
            </w:pPr>
            <w:r>
              <w:rPr>
                <w:noProof/>
              </w:rPr>
              <w:t>Workers trained in the Family Violence Risk Assessment and Risk Management Framework</w:t>
            </w:r>
          </w:p>
        </w:tc>
        <w:tc>
          <w:tcPr>
            <w:tcW w:w="1021" w:type="dxa"/>
            <w:hideMark/>
          </w:tcPr>
          <w:p w14:paraId="43394B72" w14:textId="77777777" w:rsidR="00814857" w:rsidRDefault="00814857" w:rsidP="00894126">
            <w:pPr>
              <w:pStyle w:val="ARtabletextright"/>
            </w:pPr>
            <w:r>
              <w:rPr>
                <w:noProof/>
              </w:rPr>
              <w:t>number</w:t>
            </w:r>
          </w:p>
        </w:tc>
        <w:tc>
          <w:tcPr>
            <w:tcW w:w="1022" w:type="dxa"/>
            <w:hideMark/>
          </w:tcPr>
          <w:p w14:paraId="08101DFF" w14:textId="77777777" w:rsidR="00814857" w:rsidRDefault="00814857" w:rsidP="00894126">
            <w:pPr>
              <w:pStyle w:val="ARtabletextright"/>
            </w:pPr>
            <w:r>
              <w:rPr>
                <w:noProof/>
              </w:rPr>
              <w:t>10,000</w:t>
            </w:r>
          </w:p>
        </w:tc>
        <w:tc>
          <w:tcPr>
            <w:tcW w:w="1022" w:type="dxa"/>
            <w:hideMark/>
          </w:tcPr>
          <w:p w14:paraId="6D5B8159" w14:textId="77777777" w:rsidR="00814857" w:rsidRDefault="00814857" w:rsidP="00894126">
            <w:pPr>
              <w:pStyle w:val="ARtabletextright"/>
            </w:pPr>
            <w:r>
              <w:rPr>
                <w:noProof/>
              </w:rPr>
              <w:t>11,767</w:t>
            </w:r>
          </w:p>
        </w:tc>
        <w:tc>
          <w:tcPr>
            <w:tcW w:w="1022" w:type="dxa"/>
            <w:hideMark/>
          </w:tcPr>
          <w:p w14:paraId="6A7E18A2" w14:textId="77777777" w:rsidR="00814857" w:rsidRDefault="00814857" w:rsidP="00894126">
            <w:pPr>
              <w:pStyle w:val="ARtabletextright"/>
            </w:pPr>
            <w:r>
              <w:rPr>
                <w:noProof/>
              </w:rPr>
              <w:t>17.7</w:t>
            </w:r>
          </w:p>
        </w:tc>
        <w:tc>
          <w:tcPr>
            <w:tcW w:w="794" w:type="dxa"/>
            <w:hideMark/>
          </w:tcPr>
          <w:p w14:paraId="0283EEE0" w14:textId="77777777" w:rsidR="00814857" w:rsidRDefault="00814857" w:rsidP="00894126">
            <w:pPr>
              <w:pStyle w:val="ARtabletextright"/>
            </w:pPr>
            <w:r>
              <w:sym w:font="Wingdings" w:char="F0FC"/>
            </w:r>
          </w:p>
        </w:tc>
      </w:tr>
      <w:tr w:rsidR="00814857" w14:paraId="1A2A9215" w14:textId="77777777" w:rsidTr="00894126">
        <w:trPr>
          <w:cantSplit/>
          <w:trHeight w:val="240"/>
        </w:trPr>
        <w:tc>
          <w:tcPr>
            <w:tcW w:w="9645" w:type="dxa"/>
            <w:gridSpan w:val="6"/>
            <w:tcBorders>
              <w:top w:val="nil"/>
              <w:left w:val="nil"/>
              <w:bottom w:val="single" w:sz="4" w:space="0" w:color="BFBFBF"/>
              <w:right w:val="nil"/>
            </w:tcBorders>
            <w:noWrap/>
            <w:hideMark/>
          </w:tcPr>
          <w:p w14:paraId="48CDCC7C" w14:textId="77777777" w:rsidR="00814857" w:rsidRDefault="00814857" w:rsidP="00894126">
            <w:pPr>
              <w:pStyle w:val="ARtablenoteindent"/>
            </w:pPr>
            <w:r w:rsidRPr="00F81D58">
              <w:rPr>
                <w:noProof/>
              </w:rPr>
              <w:t>The number of workers trained in the Family Violence Multi-Agency Risk Assessment and Management (MARAM) Framework in 2018</w:t>
            </w:r>
            <w:r>
              <w:rPr>
                <w:noProof/>
              </w:rPr>
              <w:t>–</w:t>
            </w:r>
            <w:r w:rsidRPr="00F81D58">
              <w:rPr>
                <w:noProof/>
              </w:rPr>
              <w:t>19 is higher than the 10,000 target because 2018</w:t>
            </w:r>
            <w:r>
              <w:rPr>
                <w:noProof/>
              </w:rPr>
              <w:t>–</w:t>
            </w:r>
            <w:r w:rsidRPr="00F81D58">
              <w:rPr>
                <w:noProof/>
              </w:rPr>
              <w:t>19 saw a general increase in the delivery of training related to the MARAM Framework, particularly in quarters 3 and 4. This is a positive result.</w:t>
            </w:r>
          </w:p>
        </w:tc>
      </w:tr>
      <w:tr w:rsidR="00814857" w14:paraId="194B4F2B" w14:textId="77777777" w:rsidTr="00894126">
        <w:trPr>
          <w:cantSplit/>
          <w:trHeight w:val="480"/>
        </w:trPr>
        <w:tc>
          <w:tcPr>
            <w:tcW w:w="4764" w:type="dxa"/>
            <w:hideMark/>
          </w:tcPr>
          <w:p w14:paraId="6E32EBB8" w14:textId="77777777" w:rsidR="00814857" w:rsidRDefault="00814857" w:rsidP="00894126">
            <w:pPr>
              <w:pStyle w:val="ARtabletext"/>
            </w:pPr>
            <w:r>
              <w:rPr>
                <w:noProof/>
              </w:rPr>
              <w:t>Support and Safety Hubs established</w:t>
            </w:r>
          </w:p>
        </w:tc>
        <w:tc>
          <w:tcPr>
            <w:tcW w:w="1021" w:type="dxa"/>
            <w:hideMark/>
          </w:tcPr>
          <w:p w14:paraId="3289E59C" w14:textId="77777777" w:rsidR="00814857" w:rsidRDefault="00814857" w:rsidP="00894126">
            <w:pPr>
              <w:pStyle w:val="ARtabletextright"/>
            </w:pPr>
            <w:r>
              <w:rPr>
                <w:noProof/>
              </w:rPr>
              <w:t>number</w:t>
            </w:r>
          </w:p>
        </w:tc>
        <w:tc>
          <w:tcPr>
            <w:tcW w:w="1022" w:type="dxa"/>
            <w:hideMark/>
          </w:tcPr>
          <w:p w14:paraId="6F3A5D92" w14:textId="77777777" w:rsidR="00814857" w:rsidRDefault="00814857" w:rsidP="00894126">
            <w:pPr>
              <w:pStyle w:val="ARtabletextright"/>
            </w:pPr>
            <w:r>
              <w:rPr>
                <w:noProof/>
              </w:rPr>
              <w:t>8</w:t>
            </w:r>
          </w:p>
        </w:tc>
        <w:tc>
          <w:tcPr>
            <w:tcW w:w="1022" w:type="dxa"/>
            <w:hideMark/>
          </w:tcPr>
          <w:p w14:paraId="2D24AA51" w14:textId="77777777" w:rsidR="00814857" w:rsidRDefault="00814857" w:rsidP="00894126">
            <w:pPr>
              <w:pStyle w:val="ARtabletextright"/>
            </w:pPr>
            <w:r>
              <w:rPr>
                <w:noProof/>
              </w:rPr>
              <w:t>5</w:t>
            </w:r>
          </w:p>
        </w:tc>
        <w:tc>
          <w:tcPr>
            <w:tcW w:w="1022" w:type="dxa"/>
            <w:hideMark/>
          </w:tcPr>
          <w:p w14:paraId="72A6BE10" w14:textId="77777777" w:rsidR="00814857" w:rsidRDefault="00814857" w:rsidP="00894126">
            <w:pPr>
              <w:pStyle w:val="ARtabletextright"/>
            </w:pPr>
            <w:r>
              <w:rPr>
                <w:noProof/>
              </w:rPr>
              <w:t>-37.5</w:t>
            </w:r>
          </w:p>
        </w:tc>
        <w:tc>
          <w:tcPr>
            <w:tcW w:w="794" w:type="dxa"/>
            <w:hideMark/>
          </w:tcPr>
          <w:p w14:paraId="01D66773" w14:textId="77777777" w:rsidR="00814857" w:rsidRDefault="00814857" w:rsidP="00894126">
            <w:pPr>
              <w:pStyle w:val="ARtabletextright"/>
            </w:pPr>
            <w:r>
              <w:sym w:font="Wingdings" w:char="F06E"/>
            </w:r>
          </w:p>
        </w:tc>
      </w:tr>
      <w:tr w:rsidR="00814857" w14:paraId="2E6A4618" w14:textId="77777777" w:rsidTr="00894126">
        <w:trPr>
          <w:cantSplit/>
          <w:trHeight w:val="240"/>
        </w:trPr>
        <w:tc>
          <w:tcPr>
            <w:tcW w:w="9645" w:type="dxa"/>
            <w:gridSpan w:val="6"/>
            <w:tcBorders>
              <w:top w:val="nil"/>
              <w:left w:val="nil"/>
              <w:bottom w:val="single" w:sz="4" w:space="0" w:color="BFBFBF"/>
              <w:right w:val="nil"/>
            </w:tcBorders>
            <w:noWrap/>
            <w:hideMark/>
          </w:tcPr>
          <w:p w14:paraId="7928D46D" w14:textId="2750FFAD" w:rsidR="00814857" w:rsidRDefault="00814857" w:rsidP="00894126">
            <w:pPr>
              <w:pStyle w:val="ARtablenoteindent"/>
            </w:pPr>
            <w:r>
              <w:rPr>
                <w:noProof/>
              </w:rPr>
              <w:t>During 2018–19, three Support and Safety Hubs commenced services during quarters 1 and 2, with a total of five Support and Safety Hubs delivering services statewide, and preparatory work having commenced in three areas. This reflects lessons from the Family Violence Implementation Monitor, and The Orange Door 2018 Evaluation (PWC, Dec</w:t>
            </w:r>
            <w:r w:rsidR="001F4A28">
              <w:rPr>
                <w:noProof/>
              </w:rPr>
              <w:t>ember</w:t>
            </w:r>
            <w:r>
              <w:rPr>
                <w:noProof/>
              </w:rPr>
              <w:t xml:space="preserve"> 2018) to allow additional </w:t>
            </w:r>
            <w:r>
              <w:rPr>
                <w:noProof/>
              </w:rPr>
              <w:br/>
              <w:t>area-based prep work in advance of service commencement. The result is lower than the target due to the decision to sequence implementation of the next three Support and Safety Hubs from early 2019–20.</w:t>
            </w:r>
          </w:p>
        </w:tc>
      </w:tr>
      <w:tr w:rsidR="00814857" w14:paraId="573623E1" w14:textId="77777777" w:rsidTr="00894126">
        <w:trPr>
          <w:cantSplit/>
          <w:trHeight w:val="480"/>
        </w:trPr>
        <w:tc>
          <w:tcPr>
            <w:tcW w:w="4764" w:type="dxa"/>
            <w:hideMark/>
          </w:tcPr>
          <w:p w14:paraId="3E0FE128" w14:textId="77777777" w:rsidR="00814857" w:rsidRDefault="00814857" w:rsidP="00894126">
            <w:pPr>
              <w:pStyle w:val="ARtabletext"/>
            </w:pPr>
            <w:r>
              <w:rPr>
                <w:noProof/>
              </w:rPr>
              <w:t>Total assessments completed at the Support and Safety Hubs</w:t>
            </w:r>
          </w:p>
        </w:tc>
        <w:tc>
          <w:tcPr>
            <w:tcW w:w="1021" w:type="dxa"/>
            <w:hideMark/>
          </w:tcPr>
          <w:p w14:paraId="023D9E97" w14:textId="77777777" w:rsidR="00814857" w:rsidRDefault="00814857" w:rsidP="00894126">
            <w:pPr>
              <w:pStyle w:val="ARtabletextright"/>
            </w:pPr>
            <w:r>
              <w:rPr>
                <w:noProof/>
              </w:rPr>
              <w:t>number</w:t>
            </w:r>
          </w:p>
        </w:tc>
        <w:tc>
          <w:tcPr>
            <w:tcW w:w="1022" w:type="dxa"/>
            <w:hideMark/>
          </w:tcPr>
          <w:p w14:paraId="10F9BF48" w14:textId="77777777" w:rsidR="00814857" w:rsidRDefault="00814857" w:rsidP="00894126">
            <w:pPr>
              <w:pStyle w:val="ARtabletextright"/>
            </w:pPr>
            <w:r>
              <w:rPr>
                <w:noProof/>
              </w:rPr>
              <w:t>8,750</w:t>
            </w:r>
          </w:p>
        </w:tc>
        <w:tc>
          <w:tcPr>
            <w:tcW w:w="1022" w:type="dxa"/>
            <w:hideMark/>
          </w:tcPr>
          <w:p w14:paraId="582BD804" w14:textId="77777777" w:rsidR="00814857" w:rsidRDefault="00814857" w:rsidP="00894126">
            <w:pPr>
              <w:pStyle w:val="ARtabletextright"/>
            </w:pPr>
            <w:r>
              <w:rPr>
                <w:noProof/>
              </w:rPr>
              <w:t>10,808</w:t>
            </w:r>
          </w:p>
        </w:tc>
        <w:tc>
          <w:tcPr>
            <w:tcW w:w="1022" w:type="dxa"/>
            <w:hideMark/>
          </w:tcPr>
          <w:p w14:paraId="250AFE67" w14:textId="77777777" w:rsidR="00814857" w:rsidRDefault="00814857" w:rsidP="00894126">
            <w:pPr>
              <w:pStyle w:val="ARtabletextright"/>
            </w:pPr>
            <w:r>
              <w:rPr>
                <w:noProof/>
              </w:rPr>
              <w:t>23.5</w:t>
            </w:r>
          </w:p>
        </w:tc>
        <w:tc>
          <w:tcPr>
            <w:tcW w:w="794" w:type="dxa"/>
            <w:hideMark/>
          </w:tcPr>
          <w:p w14:paraId="31CE6CF1" w14:textId="77777777" w:rsidR="00814857" w:rsidRDefault="00814857" w:rsidP="00894126">
            <w:pPr>
              <w:pStyle w:val="ARtabletextright"/>
            </w:pPr>
            <w:r>
              <w:sym w:font="Wingdings" w:char="F0FC"/>
            </w:r>
          </w:p>
        </w:tc>
      </w:tr>
      <w:tr w:rsidR="00814857" w14:paraId="74001B05" w14:textId="77777777" w:rsidTr="00894126">
        <w:trPr>
          <w:cantSplit/>
          <w:trHeight w:val="240"/>
        </w:trPr>
        <w:tc>
          <w:tcPr>
            <w:tcW w:w="9645" w:type="dxa"/>
            <w:gridSpan w:val="6"/>
            <w:tcBorders>
              <w:top w:val="nil"/>
              <w:left w:val="nil"/>
              <w:bottom w:val="single" w:sz="4" w:space="0" w:color="BFBFBF"/>
              <w:right w:val="nil"/>
            </w:tcBorders>
            <w:noWrap/>
            <w:hideMark/>
          </w:tcPr>
          <w:p w14:paraId="530B4FC5" w14:textId="12E8E8E0" w:rsidR="00814857" w:rsidRDefault="00814857" w:rsidP="00894126">
            <w:pPr>
              <w:pStyle w:val="ARtablenoteindent"/>
            </w:pPr>
            <w:r>
              <w:rPr>
                <w:noProof/>
              </w:rPr>
              <w:t xml:space="preserve">The count is based on the actual number of assessments undertaken as recorded on the client relationship management platform and data reported via manual records between 1 July 2018 and 30 June 2019. The number of assessments undertaken in five </w:t>
            </w:r>
            <w:r w:rsidR="001F4A28">
              <w:rPr>
                <w:noProof/>
              </w:rPr>
              <w:t xml:space="preserve">The </w:t>
            </w:r>
            <w:r>
              <w:rPr>
                <w:noProof/>
              </w:rPr>
              <w:t xml:space="preserve">Orange Door areas exceeds the original target for assessments expected in eight </w:t>
            </w:r>
            <w:r w:rsidR="001F4A28">
              <w:rPr>
                <w:noProof/>
              </w:rPr>
              <w:t xml:space="preserve">The </w:t>
            </w:r>
            <w:r>
              <w:rPr>
                <w:noProof/>
              </w:rPr>
              <w:t>Orange Door areas. While this is a positive result and reflects a greater response rate, there is a change in title from ‘assessments completed’ to ‘assessments undertaken’. This measure has been renamed in 2019–20 to reflect the more appropriate methodology ‘assessments undertaken’ rather than ‘assessments completed’, as assessments for clients in the Support and Safety Hubs are ongoing.</w:t>
            </w:r>
          </w:p>
        </w:tc>
      </w:tr>
      <w:tr w:rsidR="00EC65CE" w14:paraId="4010B900" w14:textId="77777777" w:rsidTr="00A05EB7">
        <w:trPr>
          <w:cantSplit/>
          <w:trHeight w:val="240"/>
        </w:trPr>
        <w:tc>
          <w:tcPr>
            <w:tcW w:w="9645" w:type="dxa"/>
            <w:gridSpan w:val="6"/>
            <w:tcBorders>
              <w:top w:val="single" w:sz="4" w:space="0" w:color="auto"/>
              <w:left w:val="nil"/>
              <w:bottom w:val="nil"/>
              <w:right w:val="nil"/>
            </w:tcBorders>
            <w:hideMark/>
          </w:tcPr>
          <w:p w14:paraId="4FC47D88" w14:textId="589D4230" w:rsidR="00EC65CE" w:rsidRDefault="00EC65CE" w:rsidP="00E71D4A">
            <w:pPr>
              <w:pStyle w:val="ARtablegreybold"/>
            </w:pPr>
            <w:r w:rsidRPr="00E71D4A">
              <w:t>Quality</w:t>
            </w:r>
          </w:p>
        </w:tc>
      </w:tr>
      <w:tr w:rsidR="00814857" w14:paraId="2C733346" w14:textId="77777777" w:rsidTr="00894126">
        <w:trPr>
          <w:cantSplit/>
          <w:trHeight w:val="480"/>
        </w:trPr>
        <w:tc>
          <w:tcPr>
            <w:tcW w:w="4764" w:type="dxa"/>
            <w:hideMark/>
          </w:tcPr>
          <w:p w14:paraId="5C9612BC" w14:textId="77777777" w:rsidR="00814857" w:rsidRDefault="00814857" w:rsidP="00894126">
            <w:pPr>
              <w:pStyle w:val="ARtabletext"/>
            </w:pPr>
            <w:r>
              <w:rPr>
                <w:noProof/>
              </w:rPr>
              <w:t>Satisfaction by workers with family violence training</w:t>
            </w:r>
          </w:p>
        </w:tc>
        <w:tc>
          <w:tcPr>
            <w:tcW w:w="1021" w:type="dxa"/>
            <w:hideMark/>
          </w:tcPr>
          <w:p w14:paraId="0459990E" w14:textId="77777777" w:rsidR="00814857" w:rsidRDefault="00814857" w:rsidP="00894126">
            <w:pPr>
              <w:pStyle w:val="ARtabletextright"/>
            </w:pPr>
            <w:r>
              <w:rPr>
                <w:noProof/>
              </w:rPr>
              <w:t>per cent</w:t>
            </w:r>
          </w:p>
        </w:tc>
        <w:tc>
          <w:tcPr>
            <w:tcW w:w="1022" w:type="dxa"/>
            <w:hideMark/>
          </w:tcPr>
          <w:p w14:paraId="7C5170FE" w14:textId="77777777" w:rsidR="00814857" w:rsidRDefault="00814857" w:rsidP="00894126">
            <w:pPr>
              <w:pStyle w:val="ARtabletextright"/>
            </w:pPr>
            <w:r>
              <w:rPr>
                <w:noProof/>
              </w:rPr>
              <w:t>80</w:t>
            </w:r>
          </w:p>
        </w:tc>
        <w:tc>
          <w:tcPr>
            <w:tcW w:w="1022" w:type="dxa"/>
            <w:hideMark/>
          </w:tcPr>
          <w:p w14:paraId="5B68C858" w14:textId="77777777" w:rsidR="00814857" w:rsidRDefault="00814857" w:rsidP="00894126">
            <w:pPr>
              <w:pStyle w:val="ARtabletextright"/>
            </w:pPr>
            <w:r>
              <w:rPr>
                <w:noProof/>
              </w:rPr>
              <w:t>94.2</w:t>
            </w:r>
          </w:p>
        </w:tc>
        <w:tc>
          <w:tcPr>
            <w:tcW w:w="1022" w:type="dxa"/>
            <w:hideMark/>
          </w:tcPr>
          <w:p w14:paraId="5DDAAC69" w14:textId="77777777" w:rsidR="00814857" w:rsidRDefault="00814857" w:rsidP="00894126">
            <w:pPr>
              <w:pStyle w:val="ARtabletextright"/>
            </w:pPr>
            <w:r>
              <w:rPr>
                <w:noProof/>
              </w:rPr>
              <w:t>17.8</w:t>
            </w:r>
          </w:p>
        </w:tc>
        <w:tc>
          <w:tcPr>
            <w:tcW w:w="794" w:type="dxa"/>
            <w:hideMark/>
          </w:tcPr>
          <w:p w14:paraId="29152D2F" w14:textId="77777777" w:rsidR="00814857" w:rsidRDefault="00814857" w:rsidP="00894126">
            <w:pPr>
              <w:pStyle w:val="ARtabletextright"/>
            </w:pPr>
            <w:r>
              <w:sym w:font="Wingdings" w:char="F0FC"/>
            </w:r>
          </w:p>
        </w:tc>
      </w:tr>
      <w:tr w:rsidR="00814857" w14:paraId="698D2F20" w14:textId="77777777" w:rsidTr="00894126">
        <w:trPr>
          <w:cantSplit/>
          <w:trHeight w:val="240"/>
        </w:trPr>
        <w:tc>
          <w:tcPr>
            <w:tcW w:w="9645" w:type="dxa"/>
            <w:gridSpan w:val="6"/>
            <w:tcBorders>
              <w:top w:val="nil"/>
              <w:left w:val="nil"/>
              <w:bottom w:val="single" w:sz="4" w:space="0" w:color="BFBFBF"/>
              <w:right w:val="nil"/>
            </w:tcBorders>
            <w:noWrap/>
            <w:hideMark/>
          </w:tcPr>
          <w:p w14:paraId="5A82DE0B" w14:textId="77777777" w:rsidR="00814857" w:rsidRDefault="00814857" w:rsidP="00894126">
            <w:pPr>
              <w:pStyle w:val="ARtablenoteindent"/>
            </w:pPr>
            <w:r>
              <w:rPr>
                <w:noProof/>
              </w:rPr>
              <w:t>This is a positive result.</w:t>
            </w:r>
          </w:p>
        </w:tc>
      </w:tr>
      <w:tr w:rsidR="00814857" w14:paraId="0C0F9553" w14:textId="77777777" w:rsidTr="00894126">
        <w:trPr>
          <w:cantSplit/>
          <w:trHeight w:val="480"/>
        </w:trPr>
        <w:tc>
          <w:tcPr>
            <w:tcW w:w="4764" w:type="dxa"/>
            <w:hideMark/>
          </w:tcPr>
          <w:p w14:paraId="6855C460" w14:textId="77777777" w:rsidR="00814857" w:rsidRDefault="00814857" w:rsidP="00894126">
            <w:pPr>
              <w:pStyle w:val="ARtabletext"/>
            </w:pPr>
            <w:r>
              <w:rPr>
                <w:noProof/>
              </w:rPr>
              <w:t>Satisfaction of clients with Support and Safety Hubs services</w:t>
            </w:r>
          </w:p>
        </w:tc>
        <w:tc>
          <w:tcPr>
            <w:tcW w:w="1021" w:type="dxa"/>
            <w:hideMark/>
          </w:tcPr>
          <w:p w14:paraId="3D5B8A57" w14:textId="77777777" w:rsidR="00814857" w:rsidRDefault="00814857" w:rsidP="00894126">
            <w:pPr>
              <w:pStyle w:val="ARtabletextright"/>
            </w:pPr>
            <w:r>
              <w:rPr>
                <w:noProof/>
              </w:rPr>
              <w:t>per cent</w:t>
            </w:r>
          </w:p>
        </w:tc>
        <w:tc>
          <w:tcPr>
            <w:tcW w:w="1022" w:type="dxa"/>
            <w:hideMark/>
          </w:tcPr>
          <w:p w14:paraId="7BD701EB" w14:textId="77777777" w:rsidR="00814857" w:rsidRDefault="00814857" w:rsidP="00894126">
            <w:pPr>
              <w:pStyle w:val="ARtabletextright"/>
            </w:pPr>
            <w:r>
              <w:rPr>
                <w:noProof/>
              </w:rPr>
              <w:t>80</w:t>
            </w:r>
          </w:p>
        </w:tc>
        <w:tc>
          <w:tcPr>
            <w:tcW w:w="1022" w:type="dxa"/>
            <w:hideMark/>
          </w:tcPr>
          <w:p w14:paraId="02719E2B" w14:textId="77777777" w:rsidR="00814857" w:rsidRDefault="00814857" w:rsidP="00894126">
            <w:pPr>
              <w:pStyle w:val="ARtabletextright"/>
            </w:pPr>
            <w:r>
              <w:rPr>
                <w:noProof/>
              </w:rPr>
              <w:t>80</w:t>
            </w:r>
          </w:p>
        </w:tc>
        <w:tc>
          <w:tcPr>
            <w:tcW w:w="1022" w:type="dxa"/>
            <w:hideMark/>
          </w:tcPr>
          <w:p w14:paraId="5BCD8C98" w14:textId="77777777" w:rsidR="00814857" w:rsidRDefault="00814857" w:rsidP="00894126">
            <w:pPr>
              <w:pStyle w:val="ARtabletextright"/>
            </w:pPr>
            <w:r>
              <w:rPr>
                <w:noProof/>
              </w:rPr>
              <w:t>0.0</w:t>
            </w:r>
          </w:p>
        </w:tc>
        <w:tc>
          <w:tcPr>
            <w:tcW w:w="794" w:type="dxa"/>
            <w:hideMark/>
          </w:tcPr>
          <w:p w14:paraId="77978D2B" w14:textId="77777777" w:rsidR="00814857" w:rsidRDefault="00814857" w:rsidP="00894126">
            <w:pPr>
              <w:pStyle w:val="ARtabletextright"/>
            </w:pPr>
            <w:r>
              <w:sym w:font="Wingdings" w:char="F0FC"/>
            </w:r>
          </w:p>
        </w:tc>
      </w:tr>
      <w:tr w:rsidR="00814857" w14:paraId="50BBBCEC" w14:textId="77777777" w:rsidTr="00894126">
        <w:trPr>
          <w:cantSplit/>
          <w:trHeight w:val="240"/>
        </w:trPr>
        <w:tc>
          <w:tcPr>
            <w:tcW w:w="9645" w:type="dxa"/>
            <w:gridSpan w:val="6"/>
            <w:tcBorders>
              <w:top w:val="nil"/>
              <w:left w:val="nil"/>
              <w:bottom w:val="single" w:sz="4" w:space="0" w:color="BFBFBF"/>
              <w:right w:val="nil"/>
            </w:tcBorders>
            <w:noWrap/>
            <w:hideMark/>
          </w:tcPr>
          <w:p w14:paraId="4CE03771" w14:textId="77777777" w:rsidR="00814857" w:rsidRDefault="00814857" w:rsidP="00894126">
            <w:pPr>
              <w:pStyle w:val="ARtablenoteindent"/>
            </w:pPr>
            <w:r>
              <w:rPr>
                <w:noProof/>
              </w:rPr>
              <w:t>Preliminary result. Actual end-of-year results will be available at the end of January 2020.</w:t>
            </w:r>
          </w:p>
        </w:tc>
      </w:tr>
      <w:tr w:rsidR="00EC65CE" w14:paraId="1C1BA922" w14:textId="77777777" w:rsidTr="00A05EB7">
        <w:trPr>
          <w:cantSplit/>
          <w:trHeight w:val="240"/>
        </w:trPr>
        <w:tc>
          <w:tcPr>
            <w:tcW w:w="9645" w:type="dxa"/>
            <w:gridSpan w:val="6"/>
            <w:tcBorders>
              <w:top w:val="single" w:sz="4" w:space="0" w:color="auto"/>
              <w:left w:val="nil"/>
              <w:bottom w:val="nil"/>
              <w:right w:val="nil"/>
            </w:tcBorders>
            <w:hideMark/>
          </w:tcPr>
          <w:p w14:paraId="5C3C9B38" w14:textId="01708924" w:rsidR="00EC65CE" w:rsidRDefault="00EC65CE" w:rsidP="00E71D4A">
            <w:pPr>
              <w:pStyle w:val="ARtablegreybold"/>
            </w:pPr>
            <w:r w:rsidRPr="00E71D4A">
              <w:t>Timeliness</w:t>
            </w:r>
          </w:p>
        </w:tc>
      </w:tr>
      <w:tr w:rsidR="00814857" w14:paraId="325FC630" w14:textId="77777777" w:rsidTr="00E65400">
        <w:trPr>
          <w:cantSplit/>
          <w:trHeight w:val="383"/>
        </w:trPr>
        <w:tc>
          <w:tcPr>
            <w:tcW w:w="4764" w:type="dxa"/>
            <w:hideMark/>
          </w:tcPr>
          <w:p w14:paraId="6C344581" w14:textId="77777777" w:rsidR="00814857" w:rsidRDefault="00814857" w:rsidP="00894126">
            <w:pPr>
              <w:pStyle w:val="ARtabletext"/>
            </w:pPr>
            <w:r>
              <w:rPr>
                <w:noProof/>
              </w:rPr>
              <w:t>Assessments completed within agreed timeframes</w:t>
            </w:r>
          </w:p>
        </w:tc>
        <w:tc>
          <w:tcPr>
            <w:tcW w:w="1021" w:type="dxa"/>
            <w:hideMark/>
          </w:tcPr>
          <w:p w14:paraId="2C5B62FF" w14:textId="77777777" w:rsidR="00814857" w:rsidRDefault="00814857" w:rsidP="00894126">
            <w:pPr>
              <w:pStyle w:val="ARtabletextright"/>
            </w:pPr>
            <w:r>
              <w:rPr>
                <w:noProof/>
              </w:rPr>
              <w:t>per cent</w:t>
            </w:r>
          </w:p>
        </w:tc>
        <w:tc>
          <w:tcPr>
            <w:tcW w:w="1022" w:type="dxa"/>
            <w:hideMark/>
          </w:tcPr>
          <w:p w14:paraId="48F1914D" w14:textId="77777777" w:rsidR="00814857" w:rsidRDefault="00814857" w:rsidP="00894126">
            <w:pPr>
              <w:pStyle w:val="ARtabletextright"/>
            </w:pPr>
            <w:r>
              <w:rPr>
                <w:noProof/>
              </w:rPr>
              <w:t>80</w:t>
            </w:r>
          </w:p>
        </w:tc>
        <w:tc>
          <w:tcPr>
            <w:tcW w:w="1022" w:type="dxa"/>
            <w:hideMark/>
          </w:tcPr>
          <w:p w14:paraId="76600771" w14:textId="77777777" w:rsidR="00814857" w:rsidRDefault="00814857" w:rsidP="00894126">
            <w:pPr>
              <w:pStyle w:val="ARtabletextright"/>
            </w:pPr>
            <w:r>
              <w:rPr>
                <w:noProof/>
              </w:rPr>
              <w:t>79.4</w:t>
            </w:r>
          </w:p>
        </w:tc>
        <w:tc>
          <w:tcPr>
            <w:tcW w:w="1022" w:type="dxa"/>
            <w:hideMark/>
          </w:tcPr>
          <w:p w14:paraId="5D0A7D66" w14:textId="77777777" w:rsidR="00814857" w:rsidRDefault="00814857" w:rsidP="00894126">
            <w:pPr>
              <w:pStyle w:val="ARtabletextright"/>
            </w:pPr>
            <w:r>
              <w:rPr>
                <w:noProof/>
              </w:rPr>
              <w:t>-0.7</w:t>
            </w:r>
          </w:p>
        </w:tc>
        <w:tc>
          <w:tcPr>
            <w:tcW w:w="794" w:type="dxa"/>
            <w:hideMark/>
          </w:tcPr>
          <w:p w14:paraId="76799BED" w14:textId="77777777" w:rsidR="00814857" w:rsidRDefault="00814857" w:rsidP="00894126">
            <w:pPr>
              <w:pStyle w:val="ARtabletextright"/>
            </w:pPr>
            <w:r w:rsidRPr="007939DD">
              <w:sym w:font="Wingdings 2" w:char="F099"/>
            </w:r>
          </w:p>
        </w:tc>
      </w:tr>
      <w:tr w:rsidR="00EC65CE" w14:paraId="39CA102E" w14:textId="77777777" w:rsidTr="00A05EB7">
        <w:trPr>
          <w:cantSplit/>
          <w:trHeight w:val="240"/>
        </w:trPr>
        <w:tc>
          <w:tcPr>
            <w:tcW w:w="9645" w:type="dxa"/>
            <w:gridSpan w:val="6"/>
            <w:tcBorders>
              <w:top w:val="single" w:sz="4" w:space="0" w:color="auto"/>
              <w:left w:val="nil"/>
              <w:bottom w:val="nil"/>
              <w:right w:val="nil"/>
            </w:tcBorders>
            <w:hideMark/>
          </w:tcPr>
          <w:p w14:paraId="72AEDFBB" w14:textId="493F005A" w:rsidR="00EC65CE" w:rsidRDefault="00EC65CE" w:rsidP="00E71D4A">
            <w:pPr>
              <w:pStyle w:val="ARtablegreybold"/>
            </w:pPr>
            <w:r w:rsidRPr="00E71D4A">
              <w:t>Cost</w:t>
            </w:r>
          </w:p>
        </w:tc>
      </w:tr>
      <w:tr w:rsidR="00814857" w14:paraId="27AAF934" w14:textId="77777777" w:rsidTr="00EC65CE">
        <w:trPr>
          <w:cantSplit/>
          <w:trHeight w:val="480"/>
        </w:trPr>
        <w:tc>
          <w:tcPr>
            <w:tcW w:w="4764" w:type="dxa"/>
            <w:hideMark/>
          </w:tcPr>
          <w:p w14:paraId="17DB894F" w14:textId="77777777" w:rsidR="00814857" w:rsidRPr="004305B0" w:rsidRDefault="00814857" w:rsidP="00894126">
            <w:pPr>
              <w:pStyle w:val="ARtabletext"/>
              <w:rPr>
                <w:b/>
              </w:rPr>
            </w:pPr>
            <w:r w:rsidRPr="004305B0">
              <w:rPr>
                <w:b/>
                <w:noProof/>
              </w:rPr>
              <w:t xml:space="preserve">Total </w:t>
            </w:r>
            <w:r>
              <w:rPr>
                <w:b/>
                <w:noProof/>
              </w:rPr>
              <w:t>o</w:t>
            </w:r>
            <w:r w:rsidRPr="004305B0">
              <w:rPr>
                <w:b/>
                <w:noProof/>
              </w:rPr>
              <w:t xml:space="preserve">utput </w:t>
            </w:r>
            <w:r>
              <w:rPr>
                <w:b/>
                <w:noProof/>
              </w:rPr>
              <w:t>c</w:t>
            </w:r>
            <w:r w:rsidRPr="004305B0">
              <w:rPr>
                <w:b/>
                <w:noProof/>
              </w:rPr>
              <w:t>ost</w:t>
            </w:r>
          </w:p>
        </w:tc>
        <w:tc>
          <w:tcPr>
            <w:tcW w:w="1021" w:type="dxa"/>
            <w:hideMark/>
          </w:tcPr>
          <w:p w14:paraId="5C2F51F2" w14:textId="77777777" w:rsidR="00814857" w:rsidRPr="004305B0" w:rsidRDefault="00814857" w:rsidP="00894126">
            <w:pPr>
              <w:pStyle w:val="ARtabletextright"/>
              <w:rPr>
                <w:b/>
              </w:rPr>
            </w:pPr>
            <w:r w:rsidRPr="004305B0">
              <w:rPr>
                <w:b/>
                <w:noProof/>
              </w:rPr>
              <w:t>$million</w:t>
            </w:r>
          </w:p>
        </w:tc>
        <w:tc>
          <w:tcPr>
            <w:tcW w:w="1022" w:type="dxa"/>
            <w:hideMark/>
          </w:tcPr>
          <w:p w14:paraId="1E679E3D" w14:textId="77777777" w:rsidR="00814857" w:rsidRPr="004305B0" w:rsidRDefault="00814857" w:rsidP="00894126">
            <w:pPr>
              <w:pStyle w:val="ARtabletextright"/>
              <w:rPr>
                <w:b/>
              </w:rPr>
            </w:pPr>
            <w:r w:rsidRPr="004305B0">
              <w:rPr>
                <w:b/>
                <w:noProof/>
              </w:rPr>
              <w:t>192.2</w:t>
            </w:r>
          </w:p>
        </w:tc>
        <w:tc>
          <w:tcPr>
            <w:tcW w:w="1022" w:type="dxa"/>
            <w:hideMark/>
          </w:tcPr>
          <w:p w14:paraId="082E3E2A" w14:textId="77777777" w:rsidR="00814857" w:rsidRPr="004305B0" w:rsidRDefault="00814857" w:rsidP="00894126">
            <w:pPr>
              <w:pStyle w:val="ARtabletextright"/>
              <w:rPr>
                <w:b/>
              </w:rPr>
            </w:pPr>
            <w:r w:rsidRPr="004305B0">
              <w:rPr>
                <w:b/>
                <w:noProof/>
              </w:rPr>
              <w:t>123.2</w:t>
            </w:r>
          </w:p>
        </w:tc>
        <w:tc>
          <w:tcPr>
            <w:tcW w:w="1022" w:type="dxa"/>
            <w:hideMark/>
          </w:tcPr>
          <w:p w14:paraId="711386FB" w14:textId="77777777" w:rsidR="00814857" w:rsidRPr="004305B0" w:rsidRDefault="00814857" w:rsidP="00894126">
            <w:pPr>
              <w:pStyle w:val="ARtabletextright"/>
              <w:rPr>
                <w:b/>
              </w:rPr>
            </w:pPr>
            <w:r w:rsidRPr="004305B0">
              <w:rPr>
                <w:b/>
                <w:noProof/>
              </w:rPr>
              <w:t>-35.9</w:t>
            </w:r>
          </w:p>
        </w:tc>
        <w:tc>
          <w:tcPr>
            <w:tcW w:w="794" w:type="dxa"/>
            <w:hideMark/>
          </w:tcPr>
          <w:p w14:paraId="152E2E18" w14:textId="77777777" w:rsidR="00814857" w:rsidRPr="004305B0" w:rsidRDefault="00814857" w:rsidP="00894126">
            <w:pPr>
              <w:rPr>
                <w:b/>
              </w:rPr>
            </w:pPr>
          </w:p>
        </w:tc>
      </w:tr>
      <w:tr w:rsidR="00814857" w14:paraId="28048D41" w14:textId="77777777" w:rsidTr="00EC65CE">
        <w:trPr>
          <w:cantSplit/>
          <w:trHeight w:val="240"/>
        </w:trPr>
        <w:tc>
          <w:tcPr>
            <w:tcW w:w="9645" w:type="dxa"/>
            <w:gridSpan w:val="6"/>
            <w:tcBorders>
              <w:top w:val="nil"/>
              <w:left w:val="nil"/>
              <w:bottom w:val="single" w:sz="4" w:space="0" w:color="auto"/>
              <w:right w:val="nil"/>
            </w:tcBorders>
            <w:noWrap/>
            <w:hideMark/>
          </w:tcPr>
          <w:p w14:paraId="6527195A" w14:textId="2DD68CBD" w:rsidR="00814857" w:rsidRDefault="00814857" w:rsidP="00894126">
            <w:pPr>
              <w:pStyle w:val="ARtablenoteindent"/>
            </w:pPr>
            <w:r>
              <w:rPr>
                <w:noProof/>
              </w:rPr>
              <w:t xml:space="preserve">The 2018–19 actual outcome reflects the adoption of a revised schedule of sequencing for the </w:t>
            </w:r>
            <w:r w:rsidR="001F4A28">
              <w:rPr>
                <w:noProof/>
              </w:rPr>
              <w:t xml:space="preserve">The </w:t>
            </w:r>
            <w:r>
              <w:rPr>
                <w:noProof/>
              </w:rPr>
              <w:t>Orange Door site roll out; rephasing of initiatives and carryover of funding into 2019–20.</w:t>
            </w:r>
          </w:p>
        </w:tc>
      </w:tr>
    </w:tbl>
    <w:p w14:paraId="18806C26" w14:textId="77777777" w:rsidR="00DD67B1" w:rsidRPr="00DD67B1" w:rsidRDefault="00DD67B1" w:rsidP="00DD67B1">
      <w:pPr>
        <w:pStyle w:val="ARbody"/>
      </w:pPr>
      <w:bookmarkStart w:id="87" w:name="_Toc18954485"/>
      <w:bookmarkStart w:id="88" w:name="_Toc18955087"/>
      <w:r w:rsidRPr="00DD67B1">
        <w:br w:type="page"/>
      </w:r>
    </w:p>
    <w:p w14:paraId="51ABBE3E" w14:textId="6C3DC376" w:rsidR="00814857" w:rsidRDefault="00814857" w:rsidP="0055734C">
      <w:pPr>
        <w:pStyle w:val="Heading2"/>
      </w:pPr>
      <w:r>
        <w:lastRenderedPageBreak/>
        <w:t>Concessions to Pensioners and Beneficiaries</w:t>
      </w:r>
      <w:bookmarkEnd w:id="87"/>
      <w:bookmarkEnd w:id="88"/>
    </w:p>
    <w:p w14:paraId="44AE433D" w14:textId="0566B43F" w:rsidR="00814857" w:rsidRPr="00030BBE" w:rsidRDefault="00814857" w:rsidP="00E71D4A">
      <w:pPr>
        <w:pStyle w:val="ARbody"/>
      </w:pPr>
      <w:r>
        <w:t>This output, through the development and coordination of the delivery of concessions and relief grants to</w:t>
      </w:r>
      <w:r w:rsidR="00DD67B1">
        <w:t> </w:t>
      </w:r>
      <w:r>
        <w:t>eligible consumers and concession card holders, aims to make a positive difference for Victorians experiencing disadvantage by providing excellent community services to meet clients’ needs.</w:t>
      </w:r>
    </w:p>
    <w:tbl>
      <w:tblPr>
        <w:tblW w:w="9645" w:type="dxa"/>
        <w:tblLayout w:type="fixed"/>
        <w:tblCellMar>
          <w:left w:w="0" w:type="dxa"/>
        </w:tblCellMar>
        <w:tblLook w:val="04A0" w:firstRow="1" w:lastRow="0" w:firstColumn="1" w:lastColumn="0" w:noHBand="0" w:noVBand="1"/>
      </w:tblPr>
      <w:tblGrid>
        <w:gridCol w:w="4764"/>
        <w:gridCol w:w="1021"/>
        <w:gridCol w:w="1022"/>
        <w:gridCol w:w="1022"/>
        <w:gridCol w:w="1022"/>
        <w:gridCol w:w="794"/>
      </w:tblGrid>
      <w:tr w:rsidR="00814857" w14:paraId="2DC173E0" w14:textId="77777777" w:rsidTr="00894126">
        <w:trPr>
          <w:cantSplit/>
          <w:trHeight w:val="480"/>
          <w:tblHeader/>
        </w:trPr>
        <w:tc>
          <w:tcPr>
            <w:tcW w:w="4764" w:type="dxa"/>
            <w:tcBorders>
              <w:top w:val="nil"/>
              <w:left w:val="nil"/>
              <w:bottom w:val="single" w:sz="4" w:space="0" w:color="auto"/>
              <w:right w:val="nil"/>
            </w:tcBorders>
            <w:vAlign w:val="bottom"/>
            <w:hideMark/>
          </w:tcPr>
          <w:p w14:paraId="6C565885" w14:textId="77777777" w:rsidR="00814857" w:rsidRDefault="00814857" w:rsidP="00894126">
            <w:pPr>
              <w:pStyle w:val="ARtablecolhead"/>
            </w:pPr>
            <w:r>
              <w:t>Performance measures</w:t>
            </w:r>
          </w:p>
        </w:tc>
        <w:tc>
          <w:tcPr>
            <w:tcW w:w="1021" w:type="dxa"/>
            <w:tcBorders>
              <w:top w:val="nil"/>
              <w:left w:val="nil"/>
              <w:bottom w:val="single" w:sz="4" w:space="0" w:color="auto"/>
              <w:right w:val="nil"/>
            </w:tcBorders>
            <w:vAlign w:val="bottom"/>
            <w:hideMark/>
          </w:tcPr>
          <w:p w14:paraId="478ECC98" w14:textId="77777777" w:rsidR="00814857" w:rsidRDefault="00814857" w:rsidP="00894126">
            <w:pPr>
              <w:pStyle w:val="ARtablecolheadright"/>
            </w:pPr>
            <w:r>
              <w:t>Unit of measure</w:t>
            </w:r>
          </w:p>
        </w:tc>
        <w:tc>
          <w:tcPr>
            <w:tcW w:w="1022" w:type="dxa"/>
            <w:tcBorders>
              <w:top w:val="nil"/>
              <w:left w:val="nil"/>
              <w:bottom w:val="single" w:sz="4" w:space="0" w:color="auto"/>
              <w:right w:val="nil"/>
            </w:tcBorders>
            <w:vAlign w:val="bottom"/>
            <w:hideMark/>
          </w:tcPr>
          <w:p w14:paraId="4C4BBACF" w14:textId="77777777" w:rsidR="00814857" w:rsidRDefault="00814857" w:rsidP="00894126">
            <w:pPr>
              <w:pStyle w:val="ARtablecolheadright"/>
            </w:pPr>
            <w:r>
              <w:t>2018–19 target</w:t>
            </w:r>
          </w:p>
        </w:tc>
        <w:tc>
          <w:tcPr>
            <w:tcW w:w="1022" w:type="dxa"/>
            <w:tcBorders>
              <w:top w:val="nil"/>
              <w:left w:val="nil"/>
              <w:bottom w:val="single" w:sz="4" w:space="0" w:color="auto"/>
              <w:right w:val="nil"/>
            </w:tcBorders>
            <w:vAlign w:val="bottom"/>
            <w:hideMark/>
          </w:tcPr>
          <w:p w14:paraId="104A7E01" w14:textId="77777777" w:rsidR="00814857" w:rsidRDefault="00814857" w:rsidP="00894126">
            <w:pPr>
              <w:pStyle w:val="ARtablecolheadright"/>
            </w:pPr>
            <w:r>
              <w:t>2018–19 actual</w:t>
            </w:r>
          </w:p>
        </w:tc>
        <w:tc>
          <w:tcPr>
            <w:tcW w:w="1022" w:type="dxa"/>
            <w:tcBorders>
              <w:top w:val="nil"/>
              <w:left w:val="nil"/>
              <w:bottom w:val="single" w:sz="4" w:space="0" w:color="auto"/>
              <w:right w:val="nil"/>
            </w:tcBorders>
            <w:vAlign w:val="bottom"/>
            <w:hideMark/>
          </w:tcPr>
          <w:p w14:paraId="14D0A7EF" w14:textId="77777777" w:rsidR="00814857" w:rsidRDefault="00814857" w:rsidP="00894126">
            <w:pPr>
              <w:pStyle w:val="ARtablecolheadright"/>
            </w:pPr>
            <w:r>
              <w:t>Variation (%)</w:t>
            </w:r>
          </w:p>
        </w:tc>
        <w:tc>
          <w:tcPr>
            <w:tcW w:w="794" w:type="dxa"/>
            <w:tcBorders>
              <w:top w:val="nil"/>
              <w:left w:val="nil"/>
              <w:bottom w:val="single" w:sz="4" w:space="0" w:color="auto"/>
              <w:right w:val="nil"/>
            </w:tcBorders>
            <w:vAlign w:val="bottom"/>
            <w:hideMark/>
          </w:tcPr>
          <w:p w14:paraId="23C73ED0" w14:textId="77777777" w:rsidR="00814857" w:rsidRDefault="00814857" w:rsidP="00894126">
            <w:pPr>
              <w:pStyle w:val="ARtablecolheadright"/>
            </w:pPr>
            <w:r>
              <w:t>Result</w:t>
            </w:r>
          </w:p>
        </w:tc>
      </w:tr>
      <w:tr w:rsidR="00A05EB7" w14:paraId="7CBC2ED5" w14:textId="77777777" w:rsidTr="00A05EB7">
        <w:trPr>
          <w:cantSplit/>
          <w:trHeight w:val="289"/>
        </w:trPr>
        <w:tc>
          <w:tcPr>
            <w:tcW w:w="9645" w:type="dxa"/>
            <w:gridSpan w:val="6"/>
            <w:tcBorders>
              <w:top w:val="single" w:sz="4" w:space="0" w:color="auto"/>
              <w:left w:val="nil"/>
              <w:bottom w:val="single" w:sz="4" w:space="0" w:color="auto"/>
              <w:right w:val="nil"/>
            </w:tcBorders>
            <w:hideMark/>
          </w:tcPr>
          <w:p w14:paraId="7158F502" w14:textId="770A160F" w:rsidR="00A05EB7" w:rsidRDefault="00A05EB7" w:rsidP="00E71D4A">
            <w:pPr>
              <w:pStyle w:val="ARtablebluebold"/>
            </w:pPr>
            <w:r>
              <w:t>Concessions to Pensioners and Beneficiaries</w:t>
            </w:r>
          </w:p>
        </w:tc>
      </w:tr>
      <w:tr w:rsidR="00A05EB7" w14:paraId="4EB53D82" w14:textId="77777777" w:rsidTr="00A05EB7">
        <w:trPr>
          <w:cantSplit/>
          <w:trHeight w:val="240"/>
        </w:trPr>
        <w:tc>
          <w:tcPr>
            <w:tcW w:w="9645" w:type="dxa"/>
            <w:gridSpan w:val="6"/>
            <w:tcBorders>
              <w:top w:val="single" w:sz="4" w:space="0" w:color="auto"/>
              <w:left w:val="nil"/>
              <w:bottom w:val="nil"/>
              <w:right w:val="nil"/>
            </w:tcBorders>
            <w:hideMark/>
          </w:tcPr>
          <w:p w14:paraId="7E2E3BB3" w14:textId="4AF87584" w:rsidR="00A05EB7" w:rsidRDefault="00A05EB7" w:rsidP="00E71D4A">
            <w:pPr>
              <w:pStyle w:val="ARtablegreybold"/>
            </w:pPr>
            <w:r w:rsidRPr="00E71D4A">
              <w:t>Quantity</w:t>
            </w:r>
          </w:p>
        </w:tc>
      </w:tr>
      <w:tr w:rsidR="00814857" w14:paraId="55E34317" w14:textId="77777777" w:rsidTr="00894126">
        <w:trPr>
          <w:cantSplit/>
          <w:trHeight w:val="480"/>
        </w:trPr>
        <w:tc>
          <w:tcPr>
            <w:tcW w:w="4764" w:type="dxa"/>
            <w:hideMark/>
          </w:tcPr>
          <w:p w14:paraId="1A058B41" w14:textId="77777777" w:rsidR="00814857" w:rsidRDefault="00814857" w:rsidP="00894126">
            <w:pPr>
              <w:pStyle w:val="ARtabletext"/>
            </w:pPr>
            <w:r>
              <w:rPr>
                <w:noProof/>
              </w:rPr>
              <w:t>Households receiving mains electricity concessions</w:t>
            </w:r>
          </w:p>
        </w:tc>
        <w:tc>
          <w:tcPr>
            <w:tcW w:w="1021" w:type="dxa"/>
            <w:hideMark/>
          </w:tcPr>
          <w:p w14:paraId="61BC0D16" w14:textId="77777777" w:rsidR="00814857" w:rsidRDefault="00814857" w:rsidP="00894126">
            <w:pPr>
              <w:pStyle w:val="ARtabletextright"/>
            </w:pPr>
            <w:r>
              <w:rPr>
                <w:noProof/>
              </w:rPr>
              <w:t>number</w:t>
            </w:r>
          </w:p>
        </w:tc>
        <w:tc>
          <w:tcPr>
            <w:tcW w:w="1022" w:type="dxa"/>
            <w:hideMark/>
          </w:tcPr>
          <w:p w14:paraId="064EE1FB" w14:textId="77777777" w:rsidR="00814857" w:rsidRDefault="00814857" w:rsidP="00894126">
            <w:pPr>
              <w:pStyle w:val="ARtabletextright"/>
            </w:pPr>
            <w:r>
              <w:rPr>
                <w:noProof/>
              </w:rPr>
              <w:t>915,543</w:t>
            </w:r>
          </w:p>
        </w:tc>
        <w:tc>
          <w:tcPr>
            <w:tcW w:w="1022" w:type="dxa"/>
            <w:hideMark/>
          </w:tcPr>
          <w:p w14:paraId="1B401D9F" w14:textId="77777777" w:rsidR="00814857" w:rsidRDefault="00814857" w:rsidP="00894126">
            <w:pPr>
              <w:pStyle w:val="ARtabletextright"/>
            </w:pPr>
            <w:r>
              <w:rPr>
                <w:noProof/>
              </w:rPr>
              <w:t>919,313</w:t>
            </w:r>
          </w:p>
        </w:tc>
        <w:tc>
          <w:tcPr>
            <w:tcW w:w="1022" w:type="dxa"/>
            <w:hideMark/>
          </w:tcPr>
          <w:p w14:paraId="05BD2286" w14:textId="77777777" w:rsidR="00814857" w:rsidRDefault="00814857" w:rsidP="00894126">
            <w:pPr>
              <w:pStyle w:val="ARtabletextright"/>
            </w:pPr>
            <w:r>
              <w:rPr>
                <w:noProof/>
              </w:rPr>
              <w:t>0.4</w:t>
            </w:r>
          </w:p>
        </w:tc>
        <w:tc>
          <w:tcPr>
            <w:tcW w:w="794" w:type="dxa"/>
            <w:hideMark/>
          </w:tcPr>
          <w:p w14:paraId="43E22647" w14:textId="77777777" w:rsidR="00814857" w:rsidRDefault="00814857" w:rsidP="00894126">
            <w:pPr>
              <w:pStyle w:val="ARtabletextright"/>
            </w:pPr>
            <w:r>
              <w:sym w:font="Wingdings" w:char="F0FC"/>
            </w:r>
          </w:p>
        </w:tc>
      </w:tr>
      <w:tr w:rsidR="00814857" w14:paraId="10A46189" w14:textId="77777777" w:rsidTr="00894126">
        <w:trPr>
          <w:cantSplit/>
          <w:trHeight w:val="240"/>
        </w:trPr>
        <w:tc>
          <w:tcPr>
            <w:tcW w:w="9645" w:type="dxa"/>
            <w:gridSpan w:val="6"/>
            <w:tcBorders>
              <w:top w:val="nil"/>
              <w:left w:val="nil"/>
              <w:bottom w:val="single" w:sz="4" w:space="0" w:color="BFBFBF"/>
              <w:right w:val="nil"/>
            </w:tcBorders>
            <w:noWrap/>
            <w:hideMark/>
          </w:tcPr>
          <w:p w14:paraId="0A91A645" w14:textId="77777777" w:rsidR="00814857" w:rsidRDefault="00814857" w:rsidP="00894126">
            <w:pPr>
              <w:pStyle w:val="ARtablenoteindent"/>
            </w:pPr>
            <w:r>
              <w:rPr>
                <w:noProof/>
              </w:rPr>
              <w:t>Preliminary result. Actual end-of-year results will be available late 2019.</w:t>
            </w:r>
          </w:p>
        </w:tc>
      </w:tr>
      <w:tr w:rsidR="00814857" w14:paraId="26976495" w14:textId="77777777" w:rsidTr="00894126">
        <w:trPr>
          <w:cantSplit/>
          <w:trHeight w:val="480"/>
        </w:trPr>
        <w:tc>
          <w:tcPr>
            <w:tcW w:w="4764" w:type="dxa"/>
            <w:hideMark/>
          </w:tcPr>
          <w:p w14:paraId="0D3E8EA7" w14:textId="77777777" w:rsidR="00814857" w:rsidRDefault="00814857" w:rsidP="00894126">
            <w:pPr>
              <w:pStyle w:val="ARtabletext"/>
            </w:pPr>
            <w:r>
              <w:rPr>
                <w:noProof/>
              </w:rPr>
              <w:t>Households receiving mains gas concessions</w:t>
            </w:r>
          </w:p>
        </w:tc>
        <w:tc>
          <w:tcPr>
            <w:tcW w:w="1021" w:type="dxa"/>
            <w:hideMark/>
          </w:tcPr>
          <w:p w14:paraId="33F353E4" w14:textId="77777777" w:rsidR="00814857" w:rsidRDefault="00814857" w:rsidP="00894126">
            <w:pPr>
              <w:pStyle w:val="ARtabletextright"/>
            </w:pPr>
            <w:r>
              <w:rPr>
                <w:noProof/>
              </w:rPr>
              <w:t>number</w:t>
            </w:r>
          </w:p>
        </w:tc>
        <w:tc>
          <w:tcPr>
            <w:tcW w:w="1022" w:type="dxa"/>
            <w:hideMark/>
          </w:tcPr>
          <w:p w14:paraId="18E626A6" w14:textId="77777777" w:rsidR="00814857" w:rsidRDefault="00814857" w:rsidP="00894126">
            <w:pPr>
              <w:pStyle w:val="ARtabletextright"/>
            </w:pPr>
            <w:r>
              <w:rPr>
                <w:noProof/>
              </w:rPr>
              <w:t>676,222</w:t>
            </w:r>
          </w:p>
        </w:tc>
        <w:tc>
          <w:tcPr>
            <w:tcW w:w="1022" w:type="dxa"/>
            <w:hideMark/>
          </w:tcPr>
          <w:p w14:paraId="50657975" w14:textId="77777777" w:rsidR="00814857" w:rsidRDefault="00814857" w:rsidP="00894126">
            <w:pPr>
              <w:pStyle w:val="ARtabletextright"/>
            </w:pPr>
            <w:r>
              <w:rPr>
                <w:noProof/>
              </w:rPr>
              <w:t>677,130</w:t>
            </w:r>
          </w:p>
        </w:tc>
        <w:tc>
          <w:tcPr>
            <w:tcW w:w="1022" w:type="dxa"/>
            <w:hideMark/>
          </w:tcPr>
          <w:p w14:paraId="5FF15E76" w14:textId="77777777" w:rsidR="00814857" w:rsidRDefault="00814857" w:rsidP="00894126">
            <w:pPr>
              <w:pStyle w:val="ARtabletextright"/>
            </w:pPr>
            <w:r>
              <w:rPr>
                <w:noProof/>
              </w:rPr>
              <w:t>0.1</w:t>
            </w:r>
          </w:p>
        </w:tc>
        <w:tc>
          <w:tcPr>
            <w:tcW w:w="794" w:type="dxa"/>
            <w:hideMark/>
          </w:tcPr>
          <w:p w14:paraId="49C1B05B" w14:textId="77777777" w:rsidR="00814857" w:rsidRDefault="00814857" w:rsidP="00894126">
            <w:pPr>
              <w:pStyle w:val="ARtabletextright"/>
            </w:pPr>
            <w:r>
              <w:sym w:font="Wingdings" w:char="F0FC"/>
            </w:r>
          </w:p>
        </w:tc>
      </w:tr>
      <w:tr w:rsidR="00814857" w14:paraId="5B30F198" w14:textId="77777777" w:rsidTr="00894126">
        <w:trPr>
          <w:cantSplit/>
          <w:trHeight w:val="240"/>
        </w:trPr>
        <w:tc>
          <w:tcPr>
            <w:tcW w:w="9645" w:type="dxa"/>
            <w:gridSpan w:val="6"/>
            <w:tcBorders>
              <w:top w:val="nil"/>
              <w:left w:val="nil"/>
              <w:bottom w:val="single" w:sz="4" w:space="0" w:color="BFBFBF"/>
              <w:right w:val="nil"/>
            </w:tcBorders>
            <w:noWrap/>
            <w:hideMark/>
          </w:tcPr>
          <w:p w14:paraId="18FA7396" w14:textId="77777777" w:rsidR="00814857" w:rsidRDefault="00814857" w:rsidP="00894126">
            <w:pPr>
              <w:pStyle w:val="ARtablenoteindent"/>
            </w:pPr>
            <w:r>
              <w:rPr>
                <w:noProof/>
              </w:rPr>
              <w:t>Preliminary result. Actual end-of-year results will be available late 2019.</w:t>
            </w:r>
          </w:p>
        </w:tc>
      </w:tr>
      <w:tr w:rsidR="00814857" w14:paraId="72CE4827" w14:textId="77777777" w:rsidTr="00894126">
        <w:trPr>
          <w:cantSplit/>
          <w:trHeight w:val="480"/>
        </w:trPr>
        <w:tc>
          <w:tcPr>
            <w:tcW w:w="4764" w:type="dxa"/>
            <w:hideMark/>
          </w:tcPr>
          <w:p w14:paraId="7FB14595" w14:textId="77777777" w:rsidR="00814857" w:rsidRDefault="00814857" w:rsidP="00894126">
            <w:pPr>
              <w:pStyle w:val="ARtabletext"/>
            </w:pPr>
            <w:r>
              <w:rPr>
                <w:noProof/>
              </w:rPr>
              <w:t>Households receiving non-mains energy concessions</w:t>
            </w:r>
          </w:p>
        </w:tc>
        <w:tc>
          <w:tcPr>
            <w:tcW w:w="1021" w:type="dxa"/>
            <w:hideMark/>
          </w:tcPr>
          <w:p w14:paraId="4EC75E83" w14:textId="77777777" w:rsidR="00814857" w:rsidRDefault="00814857" w:rsidP="00894126">
            <w:pPr>
              <w:pStyle w:val="ARtabletextright"/>
            </w:pPr>
            <w:r>
              <w:rPr>
                <w:noProof/>
              </w:rPr>
              <w:t>number</w:t>
            </w:r>
          </w:p>
        </w:tc>
        <w:tc>
          <w:tcPr>
            <w:tcW w:w="1022" w:type="dxa"/>
            <w:hideMark/>
          </w:tcPr>
          <w:p w14:paraId="5181AB52" w14:textId="77777777" w:rsidR="00814857" w:rsidRDefault="00814857" w:rsidP="00894126">
            <w:pPr>
              <w:pStyle w:val="ARtabletextright"/>
            </w:pPr>
            <w:r>
              <w:rPr>
                <w:noProof/>
              </w:rPr>
              <w:t>24,295</w:t>
            </w:r>
          </w:p>
        </w:tc>
        <w:tc>
          <w:tcPr>
            <w:tcW w:w="1022" w:type="dxa"/>
            <w:hideMark/>
          </w:tcPr>
          <w:p w14:paraId="7696398F" w14:textId="77777777" w:rsidR="00814857" w:rsidRDefault="00814857" w:rsidP="00894126">
            <w:pPr>
              <w:pStyle w:val="ARtabletextright"/>
            </w:pPr>
            <w:r>
              <w:rPr>
                <w:noProof/>
              </w:rPr>
              <w:t>24,357</w:t>
            </w:r>
          </w:p>
        </w:tc>
        <w:tc>
          <w:tcPr>
            <w:tcW w:w="1022" w:type="dxa"/>
            <w:hideMark/>
          </w:tcPr>
          <w:p w14:paraId="7C2B1BCE" w14:textId="77777777" w:rsidR="00814857" w:rsidRDefault="00814857" w:rsidP="00894126">
            <w:pPr>
              <w:pStyle w:val="ARtabletextright"/>
            </w:pPr>
            <w:r>
              <w:rPr>
                <w:noProof/>
              </w:rPr>
              <w:t>0.3</w:t>
            </w:r>
          </w:p>
        </w:tc>
        <w:tc>
          <w:tcPr>
            <w:tcW w:w="794" w:type="dxa"/>
            <w:hideMark/>
          </w:tcPr>
          <w:p w14:paraId="1CD6AD97" w14:textId="77777777" w:rsidR="00814857" w:rsidRDefault="00814857" w:rsidP="00894126">
            <w:pPr>
              <w:pStyle w:val="ARtabletextright"/>
            </w:pPr>
            <w:r>
              <w:sym w:font="Wingdings" w:char="F0FC"/>
            </w:r>
          </w:p>
        </w:tc>
      </w:tr>
      <w:tr w:rsidR="00814857" w14:paraId="6310FA78" w14:textId="77777777" w:rsidTr="00894126">
        <w:trPr>
          <w:cantSplit/>
          <w:trHeight w:val="240"/>
        </w:trPr>
        <w:tc>
          <w:tcPr>
            <w:tcW w:w="9645" w:type="dxa"/>
            <w:gridSpan w:val="6"/>
            <w:tcBorders>
              <w:top w:val="nil"/>
              <w:left w:val="nil"/>
              <w:bottom w:val="single" w:sz="4" w:space="0" w:color="BFBFBF"/>
              <w:right w:val="nil"/>
            </w:tcBorders>
            <w:noWrap/>
            <w:hideMark/>
          </w:tcPr>
          <w:p w14:paraId="6EB2F940" w14:textId="77777777" w:rsidR="00814857" w:rsidRDefault="00814857" w:rsidP="00894126">
            <w:pPr>
              <w:pStyle w:val="ARtablenoteindent"/>
            </w:pPr>
            <w:r>
              <w:rPr>
                <w:noProof/>
              </w:rPr>
              <w:t>Preliminary result. Actual end-of-year results will be available late 2019.</w:t>
            </w:r>
          </w:p>
        </w:tc>
      </w:tr>
      <w:tr w:rsidR="00814857" w14:paraId="2790A188" w14:textId="77777777" w:rsidTr="00894126">
        <w:trPr>
          <w:cantSplit/>
          <w:trHeight w:val="480"/>
        </w:trPr>
        <w:tc>
          <w:tcPr>
            <w:tcW w:w="4764" w:type="dxa"/>
            <w:hideMark/>
          </w:tcPr>
          <w:p w14:paraId="1D65AEEE" w14:textId="77777777" w:rsidR="00814857" w:rsidRDefault="00814857" w:rsidP="00894126">
            <w:pPr>
              <w:pStyle w:val="ARtabletext"/>
            </w:pPr>
            <w:r>
              <w:rPr>
                <w:noProof/>
              </w:rPr>
              <w:t>Households receiving pensioner concessions for municipal rates and charges</w:t>
            </w:r>
          </w:p>
        </w:tc>
        <w:tc>
          <w:tcPr>
            <w:tcW w:w="1021" w:type="dxa"/>
            <w:hideMark/>
          </w:tcPr>
          <w:p w14:paraId="60F49210" w14:textId="77777777" w:rsidR="00814857" w:rsidRDefault="00814857" w:rsidP="00894126">
            <w:pPr>
              <w:pStyle w:val="ARtabletextright"/>
            </w:pPr>
            <w:r>
              <w:rPr>
                <w:noProof/>
              </w:rPr>
              <w:t>number</w:t>
            </w:r>
          </w:p>
        </w:tc>
        <w:tc>
          <w:tcPr>
            <w:tcW w:w="1022" w:type="dxa"/>
            <w:hideMark/>
          </w:tcPr>
          <w:p w14:paraId="21945318" w14:textId="77777777" w:rsidR="00814857" w:rsidRDefault="00814857" w:rsidP="00894126">
            <w:pPr>
              <w:pStyle w:val="ARtabletextright"/>
            </w:pPr>
            <w:r>
              <w:rPr>
                <w:noProof/>
              </w:rPr>
              <w:t>438,565</w:t>
            </w:r>
          </w:p>
        </w:tc>
        <w:tc>
          <w:tcPr>
            <w:tcW w:w="1022" w:type="dxa"/>
            <w:hideMark/>
          </w:tcPr>
          <w:p w14:paraId="52448D0B" w14:textId="77777777" w:rsidR="00814857" w:rsidRDefault="00814857" w:rsidP="00894126">
            <w:pPr>
              <w:pStyle w:val="ARtabletextright"/>
            </w:pPr>
            <w:r>
              <w:rPr>
                <w:noProof/>
              </w:rPr>
              <w:t>435,570</w:t>
            </w:r>
          </w:p>
        </w:tc>
        <w:tc>
          <w:tcPr>
            <w:tcW w:w="1022" w:type="dxa"/>
            <w:hideMark/>
          </w:tcPr>
          <w:p w14:paraId="2AE3CA38" w14:textId="77777777" w:rsidR="00814857" w:rsidRDefault="00814857" w:rsidP="00894126">
            <w:pPr>
              <w:pStyle w:val="ARtabletextright"/>
            </w:pPr>
            <w:r>
              <w:rPr>
                <w:noProof/>
              </w:rPr>
              <w:t>-0.7</w:t>
            </w:r>
          </w:p>
        </w:tc>
        <w:tc>
          <w:tcPr>
            <w:tcW w:w="794" w:type="dxa"/>
            <w:hideMark/>
          </w:tcPr>
          <w:p w14:paraId="7FD19D68" w14:textId="77777777" w:rsidR="00814857" w:rsidRDefault="00814857" w:rsidP="00894126">
            <w:pPr>
              <w:pStyle w:val="ARtabletextright"/>
            </w:pPr>
            <w:r w:rsidRPr="007939DD">
              <w:sym w:font="Wingdings 2" w:char="F099"/>
            </w:r>
          </w:p>
        </w:tc>
      </w:tr>
      <w:tr w:rsidR="00814857" w14:paraId="5B225CE3" w14:textId="77777777" w:rsidTr="00894126">
        <w:trPr>
          <w:cantSplit/>
          <w:trHeight w:val="240"/>
        </w:trPr>
        <w:tc>
          <w:tcPr>
            <w:tcW w:w="9645" w:type="dxa"/>
            <w:gridSpan w:val="6"/>
            <w:tcBorders>
              <w:top w:val="nil"/>
              <w:left w:val="nil"/>
              <w:bottom w:val="single" w:sz="4" w:space="0" w:color="BFBFBF"/>
              <w:right w:val="nil"/>
            </w:tcBorders>
            <w:noWrap/>
            <w:hideMark/>
          </w:tcPr>
          <w:p w14:paraId="7291B6E5" w14:textId="77777777" w:rsidR="00814857" w:rsidRDefault="00814857" w:rsidP="00894126">
            <w:pPr>
              <w:pStyle w:val="ARtablenoteindent"/>
            </w:pPr>
            <w:r>
              <w:rPr>
                <w:color w:val="333333"/>
              </w:rPr>
              <w:t>Preliminary result. Actual end-of-year results will be available late 2019. The preliminary result is lower than the target due to a decrease in eligible households applying for this concession. Eligibility has not changed.</w:t>
            </w:r>
          </w:p>
        </w:tc>
      </w:tr>
      <w:tr w:rsidR="00814857" w14:paraId="6ACFF3E3" w14:textId="77777777" w:rsidTr="00894126">
        <w:trPr>
          <w:cantSplit/>
          <w:trHeight w:val="480"/>
        </w:trPr>
        <w:tc>
          <w:tcPr>
            <w:tcW w:w="4764" w:type="dxa"/>
            <w:hideMark/>
          </w:tcPr>
          <w:p w14:paraId="5052474E" w14:textId="77777777" w:rsidR="00814857" w:rsidRDefault="00814857" w:rsidP="00894126">
            <w:pPr>
              <w:pStyle w:val="ARtabletext"/>
            </w:pPr>
            <w:r>
              <w:rPr>
                <w:noProof/>
              </w:rPr>
              <w:t>Households receiving water and sewerage concessions</w:t>
            </w:r>
          </w:p>
        </w:tc>
        <w:tc>
          <w:tcPr>
            <w:tcW w:w="1021" w:type="dxa"/>
            <w:hideMark/>
          </w:tcPr>
          <w:p w14:paraId="7F86692D" w14:textId="77777777" w:rsidR="00814857" w:rsidRDefault="00814857" w:rsidP="00894126">
            <w:pPr>
              <w:pStyle w:val="ARtabletextright"/>
            </w:pPr>
            <w:r>
              <w:rPr>
                <w:noProof/>
              </w:rPr>
              <w:t>number</w:t>
            </w:r>
          </w:p>
        </w:tc>
        <w:tc>
          <w:tcPr>
            <w:tcW w:w="1022" w:type="dxa"/>
            <w:hideMark/>
          </w:tcPr>
          <w:p w14:paraId="627DEE7D" w14:textId="77777777" w:rsidR="00814857" w:rsidRDefault="00814857" w:rsidP="00894126">
            <w:pPr>
              <w:pStyle w:val="ARtabletextright"/>
            </w:pPr>
            <w:r>
              <w:rPr>
                <w:noProof/>
              </w:rPr>
              <w:t>691,077</w:t>
            </w:r>
          </w:p>
        </w:tc>
        <w:tc>
          <w:tcPr>
            <w:tcW w:w="1022" w:type="dxa"/>
            <w:hideMark/>
          </w:tcPr>
          <w:p w14:paraId="14331717" w14:textId="77777777" w:rsidR="00814857" w:rsidRDefault="00814857" w:rsidP="00894126">
            <w:pPr>
              <w:pStyle w:val="ARtabletextright"/>
            </w:pPr>
            <w:r>
              <w:rPr>
                <w:noProof/>
              </w:rPr>
              <w:t>690,568</w:t>
            </w:r>
          </w:p>
        </w:tc>
        <w:tc>
          <w:tcPr>
            <w:tcW w:w="1022" w:type="dxa"/>
            <w:hideMark/>
          </w:tcPr>
          <w:p w14:paraId="0709937E" w14:textId="77777777" w:rsidR="00814857" w:rsidRDefault="00814857" w:rsidP="00894126">
            <w:pPr>
              <w:pStyle w:val="ARtabletextright"/>
            </w:pPr>
            <w:r>
              <w:rPr>
                <w:noProof/>
              </w:rPr>
              <w:t>-0.1</w:t>
            </w:r>
          </w:p>
        </w:tc>
        <w:tc>
          <w:tcPr>
            <w:tcW w:w="794" w:type="dxa"/>
            <w:hideMark/>
          </w:tcPr>
          <w:p w14:paraId="156BFCDA" w14:textId="77777777" w:rsidR="00814857" w:rsidRDefault="00814857" w:rsidP="00894126">
            <w:pPr>
              <w:pStyle w:val="ARtabletextright"/>
            </w:pPr>
            <w:r w:rsidRPr="007939DD">
              <w:sym w:font="Wingdings 2" w:char="F099"/>
            </w:r>
          </w:p>
        </w:tc>
      </w:tr>
      <w:tr w:rsidR="00814857" w14:paraId="217DAA8D" w14:textId="77777777" w:rsidTr="00894126">
        <w:trPr>
          <w:cantSplit/>
          <w:trHeight w:val="240"/>
        </w:trPr>
        <w:tc>
          <w:tcPr>
            <w:tcW w:w="9645" w:type="dxa"/>
            <w:gridSpan w:val="6"/>
            <w:tcBorders>
              <w:top w:val="nil"/>
              <w:left w:val="nil"/>
              <w:bottom w:val="single" w:sz="4" w:space="0" w:color="BFBFBF"/>
              <w:right w:val="nil"/>
            </w:tcBorders>
            <w:noWrap/>
            <w:hideMark/>
          </w:tcPr>
          <w:p w14:paraId="46CC2A40" w14:textId="77777777" w:rsidR="00814857" w:rsidRDefault="00814857" w:rsidP="00894126">
            <w:pPr>
              <w:pStyle w:val="ARtablenoteindent"/>
            </w:pPr>
            <w:r>
              <w:rPr>
                <w:color w:val="333333"/>
              </w:rPr>
              <w:t>Preliminary result. Actual end-of-year results will be available late 2019. The preliminary result is lower than the target due to a decrease in eligible households applying for this concession. Eligibility has not changed.</w:t>
            </w:r>
          </w:p>
        </w:tc>
      </w:tr>
      <w:tr w:rsidR="00814857" w14:paraId="37A9CD6E" w14:textId="77777777" w:rsidTr="00894126">
        <w:trPr>
          <w:cantSplit/>
          <w:trHeight w:val="480"/>
        </w:trPr>
        <w:tc>
          <w:tcPr>
            <w:tcW w:w="4764" w:type="dxa"/>
            <w:hideMark/>
          </w:tcPr>
          <w:p w14:paraId="6D0499C5" w14:textId="77777777" w:rsidR="00814857" w:rsidRDefault="00814857" w:rsidP="00894126">
            <w:pPr>
              <w:pStyle w:val="ARtabletext"/>
            </w:pPr>
            <w:r>
              <w:rPr>
                <w:noProof/>
              </w:rPr>
              <w:t>Number of clients receiving trustee services</w:t>
            </w:r>
          </w:p>
        </w:tc>
        <w:tc>
          <w:tcPr>
            <w:tcW w:w="1021" w:type="dxa"/>
            <w:hideMark/>
          </w:tcPr>
          <w:p w14:paraId="648BFD65" w14:textId="77777777" w:rsidR="00814857" w:rsidRDefault="00814857" w:rsidP="00894126">
            <w:pPr>
              <w:pStyle w:val="ARtabletextright"/>
            </w:pPr>
            <w:r>
              <w:rPr>
                <w:noProof/>
              </w:rPr>
              <w:t>number</w:t>
            </w:r>
          </w:p>
        </w:tc>
        <w:tc>
          <w:tcPr>
            <w:tcW w:w="1022" w:type="dxa"/>
            <w:hideMark/>
          </w:tcPr>
          <w:p w14:paraId="6984FC02" w14:textId="77777777" w:rsidR="00814857" w:rsidRDefault="00814857" w:rsidP="00894126">
            <w:pPr>
              <w:pStyle w:val="ARtabletextright"/>
            </w:pPr>
            <w:r>
              <w:rPr>
                <w:noProof/>
              </w:rPr>
              <w:t>14,600</w:t>
            </w:r>
          </w:p>
        </w:tc>
        <w:tc>
          <w:tcPr>
            <w:tcW w:w="1022" w:type="dxa"/>
            <w:hideMark/>
          </w:tcPr>
          <w:p w14:paraId="2DC4BD48" w14:textId="77777777" w:rsidR="00814857" w:rsidRDefault="00814857" w:rsidP="00894126">
            <w:pPr>
              <w:pStyle w:val="ARtabletextright"/>
            </w:pPr>
            <w:r>
              <w:rPr>
                <w:noProof/>
              </w:rPr>
              <w:t>14,793</w:t>
            </w:r>
          </w:p>
        </w:tc>
        <w:tc>
          <w:tcPr>
            <w:tcW w:w="1022" w:type="dxa"/>
            <w:hideMark/>
          </w:tcPr>
          <w:p w14:paraId="6F9E43DA" w14:textId="77777777" w:rsidR="00814857" w:rsidRDefault="00814857" w:rsidP="00894126">
            <w:pPr>
              <w:pStyle w:val="ARtabletextright"/>
            </w:pPr>
            <w:r>
              <w:rPr>
                <w:noProof/>
              </w:rPr>
              <w:t>1.3</w:t>
            </w:r>
          </w:p>
        </w:tc>
        <w:tc>
          <w:tcPr>
            <w:tcW w:w="794" w:type="dxa"/>
            <w:hideMark/>
          </w:tcPr>
          <w:p w14:paraId="259DF417" w14:textId="77777777" w:rsidR="00814857" w:rsidRDefault="00814857" w:rsidP="00894126">
            <w:pPr>
              <w:pStyle w:val="ARtabletextright"/>
            </w:pPr>
            <w:r>
              <w:sym w:font="Wingdings" w:char="F0FC"/>
            </w:r>
          </w:p>
        </w:tc>
      </w:tr>
      <w:tr w:rsidR="00814857" w14:paraId="504520DD" w14:textId="77777777" w:rsidTr="00894126">
        <w:trPr>
          <w:cantSplit/>
          <w:trHeight w:val="240"/>
        </w:trPr>
        <w:tc>
          <w:tcPr>
            <w:tcW w:w="9645" w:type="dxa"/>
            <w:gridSpan w:val="6"/>
            <w:tcBorders>
              <w:top w:val="nil"/>
              <w:left w:val="nil"/>
              <w:bottom w:val="single" w:sz="4" w:space="0" w:color="BFBFBF"/>
              <w:right w:val="nil"/>
            </w:tcBorders>
            <w:noWrap/>
            <w:hideMark/>
          </w:tcPr>
          <w:p w14:paraId="083ABBD9" w14:textId="77777777" w:rsidR="00814857" w:rsidRDefault="00814857" w:rsidP="00894126">
            <w:pPr>
              <w:pStyle w:val="ARtablenoteindent"/>
            </w:pPr>
            <w:r>
              <w:rPr>
                <w:noProof/>
              </w:rPr>
              <w:t xml:space="preserve">Preliminary result. Actual end-of-year results will be available late 2019. </w:t>
            </w:r>
          </w:p>
        </w:tc>
      </w:tr>
      <w:tr w:rsidR="00A05EB7" w14:paraId="4C401A64" w14:textId="77777777" w:rsidTr="00A05EB7">
        <w:trPr>
          <w:cantSplit/>
          <w:trHeight w:val="240"/>
        </w:trPr>
        <w:tc>
          <w:tcPr>
            <w:tcW w:w="9645" w:type="dxa"/>
            <w:gridSpan w:val="6"/>
            <w:tcBorders>
              <w:top w:val="single" w:sz="4" w:space="0" w:color="auto"/>
              <w:left w:val="nil"/>
              <w:bottom w:val="nil"/>
              <w:right w:val="nil"/>
            </w:tcBorders>
            <w:hideMark/>
          </w:tcPr>
          <w:p w14:paraId="3999618C" w14:textId="15159C44" w:rsidR="00A05EB7" w:rsidRDefault="00A05EB7" w:rsidP="00E71D4A">
            <w:pPr>
              <w:pStyle w:val="ARtablegreybold"/>
            </w:pPr>
            <w:r w:rsidRPr="00E71D4A">
              <w:t>Quality</w:t>
            </w:r>
          </w:p>
        </w:tc>
      </w:tr>
      <w:tr w:rsidR="00814857" w14:paraId="684244A2" w14:textId="77777777" w:rsidTr="00894126">
        <w:trPr>
          <w:cantSplit/>
          <w:trHeight w:val="480"/>
        </w:trPr>
        <w:tc>
          <w:tcPr>
            <w:tcW w:w="4764" w:type="dxa"/>
            <w:hideMark/>
          </w:tcPr>
          <w:p w14:paraId="524142B2" w14:textId="77777777" w:rsidR="00814857" w:rsidRDefault="00814857" w:rsidP="00894126">
            <w:pPr>
              <w:pStyle w:val="ARtabletext"/>
            </w:pPr>
            <w:r>
              <w:rPr>
                <w:noProof/>
              </w:rPr>
              <w:t>Percentage of Community Service Agreement performance targets that have been achieved by State Trustees</w:t>
            </w:r>
          </w:p>
        </w:tc>
        <w:tc>
          <w:tcPr>
            <w:tcW w:w="1021" w:type="dxa"/>
            <w:hideMark/>
          </w:tcPr>
          <w:p w14:paraId="2CA894BC" w14:textId="77777777" w:rsidR="00814857" w:rsidRDefault="00814857" w:rsidP="00894126">
            <w:pPr>
              <w:pStyle w:val="ARtabletextright"/>
            </w:pPr>
            <w:r>
              <w:rPr>
                <w:noProof/>
              </w:rPr>
              <w:t>per cent</w:t>
            </w:r>
          </w:p>
        </w:tc>
        <w:tc>
          <w:tcPr>
            <w:tcW w:w="1022" w:type="dxa"/>
            <w:hideMark/>
          </w:tcPr>
          <w:p w14:paraId="5A5EC39E" w14:textId="77777777" w:rsidR="00814857" w:rsidRDefault="00814857" w:rsidP="00894126">
            <w:pPr>
              <w:pStyle w:val="ARtabletextright"/>
            </w:pPr>
            <w:r>
              <w:rPr>
                <w:noProof/>
              </w:rPr>
              <w:t>90</w:t>
            </w:r>
          </w:p>
        </w:tc>
        <w:tc>
          <w:tcPr>
            <w:tcW w:w="1022" w:type="dxa"/>
            <w:hideMark/>
          </w:tcPr>
          <w:p w14:paraId="00835DA4" w14:textId="77777777" w:rsidR="00814857" w:rsidRDefault="00814857" w:rsidP="00894126">
            <w:pPr>
              <w:pStyle w:val="ARtabletextright"/>
            </w:pPr>
            <w:r>
              <w:rPr>
                <w:noProof/>
              </w:rPr>
              <w:t>87</w:t>
            </w:r>
          </w:p>
        </w:tc>
        <w:tc>
          <w:tcPr>
            <w:tcW w:w="1022" w:type="dxa"/>
            <w:hideMark/>
          </w:tcPr>
          <w:p w14:paraId="4AAC1CDE" w14:textId="77777777" w:rsidR="00814857" w:rsidRDefault="00814857" w:rsidP="00894126">
            <w:pPr>
              <w:pStyle w:val="ARtabletextright"/>
            </w:pPr>
            <w:r>
              <w:rPr>
                <w:noProof/>
              </w:rPr>
              <w:t>-3.3</w:t>
            </w:r>
          </w:p>
        </w:tc>
        <w:tc>
          <w:tcPr>
            <w:tcW w:w="794" w:type="dxa"/>
            <w:hideMark/>
          </w:tcPr>
          <w:p w14:paraId="47DC44A5" w14:textId="77777777" w:rsidR="00814857" w:rsidRDefault="00814857" w:rsidP="00894126">
            <w:pPr>
              <w:pStyle w:val="ARtabletextright"/>
            </w:pPr>
            <w:r w:rsidRPr="007939DD">
              <w:sym w:font="Wingdings 2" w:char="F099"/>
            </w:r>
          </w:p>
        </w:tc>
      </w:tr>
      <w:tr w:rsidR="00814857" w14:paraId="7F88317E" w14:textId="77777777" w:rsidTr="00894126">
        <w:trPr>
          <w:cantSplit/>
          <w:trHeight w:val="240"/>
        </w:trPr>
        <w:tc>
          <w:tcPr>
            <w:tcW w:w="9645" w:type="dxa"/>
            <w:gridSpan w:val="6"/>
            <w:tcBorders>
              <w:top w:val="nil"/>
              <w:left w:val="nil"/>
              <w:bottom w:val="single" w:sz="4" w:space="0" w:color="BFBFBF"/>
              <w:right w:val="nil"/>
            </w:tcBorders>
            <w:noWrap/>
            <w:hideMark/>
          </w:tcPr>
          <w:p w14:paraId="514FDAC2" w14:textId="77777777" w:rsidR="00814857" w:rsidRDefault="00814857" w:rsidP="00894126">
            <w:pPr>
              <w:pStyle w:val="ARtablenoteindent"/>
            </w:pPr>
            <w:r>
              <w:rPr>
                <w:noProof/>
              </w:rPr>
              <w:t>Preliminary result. Actual end-of-year results will be available late 2019.</w:t>
            </w:r>
          </w:p>
        </w:tc>
      </w:tr>
      <w:tr w:rsidR="00814857" w14:paraId="1A07BBA9" w14:textId="77777777" w:rsidTr="00894126">
        <w:trPr>
          <w:cantSplit/>
          <w:trHeight w:val="480"/>
        </w:trPr>
        <w:tc>
          <w:tcPr>
            <w:tcW w:w="4764" w:type="dxa"/>
            <w:hideMark/>
          </w:tcPr>
          <w:p w14:paraId="26DFB9FE" w14:textId="77777777" w:rsidR="00814857" w:rsidRDefault="00814857" w:rsidP="00894126">
            <w:pPr>
              <w:pStyle w:val="ARtabletext"/>
            </w:pPr>
            <w:r>
              <w:rPr>
                <w:noProof/>
              </w:rPr>
              <w:t>Percentage of customers satisfied with State Trustee Limited services</w:t>
            </w:r>
          </w:p>
        </w:tc>
        <w:tc>
          <w:tcPr>
            <w:tcW w:w="1021" w:type="dxa"/>
            <w:hideMark/>
          </w:tcPr>
          <w:p w14:paraId="6FEF0BA1" w14:textId="77777777" w:rsidR="00814857" w:rsidRDefault="00814857" w:rsidP="00894126">
            <w:pPr>
              <w:pStyle w:val="ARtabletextright"/>
            </w:pPr>
            <w:r>
              <w:rPr>
                <w:noProof/>
              </w:rPr>
              <w:t>per cent</w:t>
            </w:r>
          </w:p>
        </w:tc>
        <w:tc>
          <w:tcPr>
            <w:tcW w:w="1022" w:type="dxa"/>
            <w:hideMark/>
          </w:tcPr>
          <w:p w14:paraId="409E0ED5" w14:textId="77777777" w:rsidR="00814857" w:rsidRDefault="00814857" w:rsidP="00894126">
            <w:pPr>
              <w:pStyle w:val="ARtabletextright"/>
            </w:pPr>
            <w:r>
              <w:rPr>
                <w:noProof/>
              </w:rPr>
              <w:t>75</w:t>
            </w:r>
          </w:p>
        </w:tc>
        <w:tc>
          <w:tcPr>
            <w:tcW w:w="1022" w:type="dxa"/>
            <w:hideMark/>
          </w:tcPr>
          <w:p w14:paraId="0AABD839" w14:textId="77777777" w:rsidR="00814857" w:rsidRDefault="00814857" w:rsidP="00894126">
            <w:pPr>
              <w:pStyle w:val="ARtabletextright"/>
            </w:pPr>
            <w:r>
              <w:rPr>
                <w:noProof/>
              </w:rPr>
              <w:t>75</w:t>
            </w:r>
          </w:p>
        </w:tc>
        <w:tc>
          <w:tcPr>
            <w:tcW w:w="1022" w:type="dxa"/>
            <w:hideMark/>
          </w:tcPr>
          <w:p w14:paraId="7D92CA2F" w14:textId="77777777" w:rsidR="00814857" w:rsidRDefault="00814857" w:rsidP="00894126">
            <w:pPr>
              <w:pStyle w:val="ARtabletextright"/>
            </w:pPr>
            <w:r>
              <w:rPr>
                <w:noProof/>
              </w:rPr>
              <w:t>0.0</w:t>
            </w:r>
          </w:p>
        </w:tc>
        <w:tc>
          <w:tcPr>
            <w:tcW w:w="794" w:type="dxa"/>
            <w:hideMark/>
          </w:tcPr>
          <w:p w14:paraId="03637838" w14:textId="77777777" w:rsidR="00814857" w:rsidRDefault="00814857" w:rsidP="00894126">
            <w:pPr>
              <w:pStyle w:val="ARtabletextright"/>
            </w:pPr>
            <w:r>
              <w:sym w:font="Wingdings" w:char="F0FC"/>
            </w:r>
          </w:p>
        </w:tc>
      </w:tr>
      <w:tr w:rsidR="00814857" w14:paraId="49CEFD7B" w14:textId="77777777" w:rsidTr="00894126">
        <w:trPr>
          <w:cantSplit/>
          <w:trHeight w:val="240"/>
        </w:trPr>
        <w:tc>
          <w:tcPr>
            <w:tcW w:w="9645" w:type="dxa"/>
            <w:gridSpan w:val="6"/>
            <w:tcBorders>
              <w:top w:val="nil"/>
              <w:left w:val="nil"/>
              <w:bottom w:val="single" w:sz="4" w:space="0" w:color="BFBFBF"/>
              <w:right w:val="nil"/>
            </w:tcBorders>
            <w:noWrap/>
            <w:hideMark/>
          </w:tcPr>
          <w:p w14:paraId="35B70887" w14:textId="77777777" w:rsidR="00814857" w:rsidRDefault="00814857" w:rsidP="00894126">
            <w:pPr>
              <w:pStyle w:val="ARtablenoteindent"/>
            </w:pPr>
            <w:r>
              <w:rPr>
                <w:noProof/>
              </w:rPr>
              <w:t>Preliminary result. Actual end-of-year results will be available late 2019.</w:t>
            </w:r>
          </w:p>
        </w:tc>
      </w:tr>
      <w:tr w:rsidR="00814857" w14:paraId="43721154" w14:textId="77777777" w:rsidTr="00894126">
        <w:trPr>
          <w:cantSplit/>
          <w:trHeight w:val="480"/>
        </w:trPr>
        <w:tc>
          <w:tcPr>
            <w:tcW w:w="4764" w:type="dxa"/>
            <w:hideMark/>
          </w:tcPr>
          <w:p w14:paraId="24DF3ABE" w14:textId="77777777" w:rsidR="00814857" w:rsidRDefault="00814857" w:rsidP="00894126">
            <w:pPr>
              <w:pStyle w:val="ARtabletext"/>
            </w:pPr>
            <w:r>
              <w:rPr>
                <w:noProof/>
              </w:rPr>
              <w:t>Percentage of customer requests answered by State Trustees within the timelines set in the Community Service Agreement</w:t>
            </w:r>
          </w:p>
        </w:tc>
        <w:tc>
          <w:tcPr>
            <w:tcW w:w="1021" w:type="dxa"/>
            <w:hideMark/>
          </w:tcPr>
          <w:p w14:paraId="22DD4372" w14:textId="77777777" w:rsidR="00814857" w:rsidRDefault="00814857" w:rsidP="00894126">
            <w:pPr>
              <w:pStyle w:val="ARtabletextright"/>
            </w:pPr>
            <w:r>
              <w:rPr>
                <w:noProof/>
              </w:rPr>
              <w:t>per cent</w:t>
            </w:r>
          </w:p>
        </w:tc>
        <w:tc>
          <w:tcPr>
            <w:tcW w:w="1022" w:type="dxa"/>
            <w:hideMark/>
          </w:tcPr>
          <w:p w14:paraId="1D713DA4" w14:textId="77777777" w:rsidR="00814857" w:rsidRDefault="00814857" w:rsidP="00894126">
            <w:pPr>
              <w:pStyle w:val="ARtabletextright"/>
            </w:pPr>
            <w:r>
              <w:rPr>
                <w:noProof/>
              </w:rPr>
              <w:t>90</w:t>
            </w:r>
          </w:p>
        </w:tc>
        <w:tc>
          <w:tcPr>
            <w:tcW w:w="1022" w:type="dxa"/>
            <w:hideMark/>
          </w:tcPr>
          <w:p w14:paraId="1C566C29" w14:textId="77777777" w:rsidR="00814857" w:rsidRDefault="00814857" w:rsidP="00894126">
            <w:pPr>
              <w:pStyle w:val="ARtabletextright"/>
            </w:pPr>
            <w:r>
              <w:rPr>
                <w:noProof/>
              </w:rPr>
              <w:t>90</w:t>
            </w:r>
          </w:p>
        </w:tc>
        <w:tc>
          <w:tcPr>
            <w:tcW w:w="1022" w:type="dxa"/>
            <w:hideMark/>
          </w:tcPr>
          <w:p w14:paraId="3A80217C" w14:textId="77777777" w:rsidR="00814857" w:rsidRDefault="00814857" w:rsidP="00894126">
            <w:pPr>
              <w:pStyle w:val="ARtabletextright"/>
            </w:pPr>
            <w:r>
              <w:rPr>
                <w:noProof/>
              </w:rPr>
              <w:t>0.0</w:t>
            </w:r>
          </w:p>
        </w:tc>
        <w:tc>
          <w:tcPr>
            <w:tcW w:w="794" w:type="dxa"/>
            <w:hideMark/>
          </w:tcPr>
          <w:p w14:paraId="60915B8D" w14:textId="77777777" w:rsidR="00814857" w:rsidRDefault="00814857" w:rsidP="00894126">
            <w:pPr>
              <w:pStyle w:val="ARtabletextright"/>
            </w:pPr>
            <w:r>
              <w:sym w:font="Wingdings" w:char="F0FC"/>
            </w:r>
          </w:p>
        </w:tc>
      </w:tr>
      <w:tr w:rsidR="00814857" w14:paraId="166A62D5" w14:textId="77777777" w:rsidTr="00894126">
        <w:trPr>
          <w:cantSplit/>
          <w:trHeight w:val="240"/>
        </w:trPr>
        <w:tc>
          <w:tcPr>
            <w:tcW w:w="9645" w:type="dxa"/>
            <w:gridSpan w:val="6"/>
            <w:tcBorders>
              <w:top w:val="nil"/>
              <w:left w:val="nil"/>
              <w:bottom w:val="single" w:sz="4" w:space="0" w:color="BFBFBF"/>
              <w:right w:val="nil"/>
            </w:tcBorders>
            <w:noWrap/>
            <w:hideMark/>
          </w:tcPr>
          <w:p w14:paraId="0A0FACF1" w14:textId="77777777" w:rsidR="00814857" w:rsidRDefault="00814857" w:rsidP="00894126">
            <w:pPr>
              <w:pStyle w:val="ARtablenoteindent"/>
            </w:pPr>
            <w:r>
              <w:rPr>
                <w:noProof/>
              </w:rPr>
              <w:t>Preliminary result. Actual end-of-year results will be available late 2019.</w:t>
            </w:r>
          </w:p>
        </w:tc>
      </w:tr>
      <w:tr w:rsidR="00A05EB7" w14:paraId="73BF389A" w14:textId="77777777" w:rsidTr="00A05EB7">
        <w:trPr>
          <w:cantSplit/>
          <w:trHeight w:val="240"/>
        </w:trPr>
        <w:tc>
          <w:tcPr>
            <w:tcW w:w="9645" w:type="dxa"/>
            <w:gridSpan w:val="6"/>
            <w:tcBorders>
              <w:top w:val="single" w:sz="4" w:space="0" w:color="auto"/>
              <w:left w:val="nil"/>
              <w:bottom w:val="nil"/>
              <w:right w:val="nil"/>
            </w:tcBorders>
            <w:hideMark/>
          </w:tcPr>
          <w:p w14:paraId="3C03AAE0" w14:textId="534F1508" w:rsidR="00A05EB7" w:rsidRDefault="00A05EB7" w:rsidP="00E71D4A">
            <w:pPr>
              <w:pStyle w:val="ARtablegreybold"/>
            </w:pPr>
            <w:r w:rsidRPr="00E71D4A">
              <w:t>Cost</w:t>
            </w:r>
          </w:p>
        </w:tc>
      </w:tr>
      <w:tr w:rsidR="00814857" w14:paraId="642E0E0A" w14:textId="77777777" w:rsidTr="00A05EB7">
        <w:trPr>
          <w:cantSplit/>
          <w:trHeight w:val="480"/>
        </w:trPr>
        <w:tc>
          <w:tcPr>
            <w:tcW w:w="4764" w:type="dxa"/>
            <w:hideMark/>
          </w:tcPr>
          <w:p w14:paraId="09EB5500" w14:textId="77777777" w:rsidR="00814857" w:rsidRPr="004305B0" w:rsidRDefault="00814857" w:rsidP="00894126">
            <w:pPr>
              <w:pStyle w:val="ARtabletext"/>
              <w:rPr>
                <w:b/>
              </w:rPr>
            </w:pPr>
            <w:r w:rsidRPr="004305B0">
              <w:rPr>
                <w:b/>
                <w:noProof/>
              </w:rPr>
              <w:t xml:space="preserve">Total </w:t>
            </w:r>
            <w:r>
              <w:rPr>
                <w:b/>
                <w:noProof/>
              </w:rPr>
              <w:t>o</w:t>
            </w:r>
            <w:r w:rsidRPr="004305B0">
              <w:rPr>
                <w:b/>
                <w:noProof/>
              </w:rPr>
              <w:t xml:space="preserve">utput </w:t>
            </w:r>
            <w:r>
              <w:rPr>
                <w:b/>
                <w:noProof/>
              </w:rPr>
              <w:t>c</w:t>
            </w:r>
            <w:r w:rsidRPr="004305B0">
              <w:rPr>
                <w:b/>
                <w:noProof/>
              </w:rPr>
              <w:t>ost</w:t>
            </w:r>
          </w:p>
        </w:tc>
        <w:tc>
          <w:tcPr>
            <w:tcW w:w="1021" w:type="dxa"/>
            <w:hideMark/>
          </w:tcPr>
          <w:p w14:paraId="24288797" w14:textId="77777777" w:rsidR="00814857" w:rsidRPr="004305B0" w:rsidRDefault="00814857" w:rsidP="00894126">
            <w:pPr>
              <w:pStyle w:val="ARtabletextright"/>
              <w:rPr>
                <w:b/>
              </w:rPr>
            </w:pPr>
            <w:r w:rsidRPr="004305B0">
              <w:rPr>
                <w:b/>
                <w:noProof/>
              </w:rPr>
              <w:t>$ million</w:t>
            </w:r>
          </w:p>
        </w:tc>
        <w:tc>
          <w:tcPr>
            <w:tcW w:w="1022" w:type="dxa"/>
            <w:hideMark/>
          </w:tcPr>
          <w:p w14:paraId="41E6743D" w14:textId="77777777" w:rsidR="00814857" w:rsidRPr="004305B0" w:rsidRDefault="00814857" w:rsidP="00894126">
            <w:pPr>
              <w:pStyle w:val="ARtabletextright"/>
              <w:rPr>
                <w:b/>
              </w:rPr>
            </w:pPr>
            <w:r w:rsidRPr="004305B0">
              <w:rPr>
                <w:b/>
                <w:noProof/>
              </w:rPr>
              <w:t>574.3</w:t>
            </w:r>
          </w:p>
        </w:tc>
        <w:tc>
          <w:tcPr>
            <w:tcW w:w="1022" w:type="dxa"/>
            <w:hideMark/>
          </w:tcPr>
          <w:p w14:paraId="41060D78" w14:textId="77777777" w:rsidR="00814857" w:rsidRPr="004305B0" w:rsidRDefault="00814857" w:rsidP="00894126">
            <w:pPr>
              <w:pStyle w:val="ARtabletextright"/>
              <w:rPr>
                <w:b/>
              </w:rPr>
            </w:pPr>
            <w:r w:rsidRPr="004305B0">
              <w:rPr>
                <w:b/>
                <w:noProof/>
              </w:rPr>
              <w:t>568.4</w:t>
            </w:r>
          </w:p>
        </w:tc>
        <w:tc>
          <w:tcPr>
            <w:tcW w:w="1022" w:type="dxa"/>
            <w:hideMark/>
          </w:tcPr>
          <w:p w14:paraId="203F8F1C" w14:textId="77777777" w:rsidR="00814857" w:rsidRPr="004305B0" w:rsidRDefault="00814857" w:rsidP="00894126">
            <w:pPr>
              <w:pStyle w:val="ARtabletextright"/>
              <w:rPr>
                <w:b/>
              </w:rPr>
            </w:pPr>
            <w:r w:rsidRPr="004305B0">
              <w:rPr>
                <w:b/>
                <w:noProof/>
              </w:rPr>
              <w:t>-1</w:t>
            </w:r>
          </w:p>
        </w:tc>
        <w:tc>
          <w:tcPr>
            <w:tcW w:w="794" w:type="dxa"/>
            <w:hideMark/>
          </w:tcPr>
          <w:p w14:paraId="4161E8D5" w14:textId="77777777" w:rsidR="00814857" w:rsidRPr="004305B0" w:rsidRDefault="00814857" w:rsidP="00894126">
            <w:pPr>
              <w:rPr>
                <w:b/>
              </w:rPr>
            </w:pPr>
          </w:p>
        </w:tc>
      </w:tr>
      <w:tr w:rsidR="00814857" w14:paraId="2F8DD2A4" w14:textId="77777777" w:rsidTr="00A05EB7">
        <w:trPr>
          <w:cantSplit/>
          <w:trHeight w:val="240"/>
        </w:trPr>
        <w:tc>
          <w:tcPr>
            <w:tcW w:w="9645" w:type="dxa"/>
            <w:gridSpan w:val="6"/>
            <w:tcBorders>
              <w:top w:val="nil"/>
              <w:left w:val="nil"/>
              <w:bottom w:val="single" w:sz="4" w:space="0" w:color="auto"/>
              <w:right w:val="nil"/>
            </w:tcBorders>
            <w:noWrap/>
            <w:hideMark/>
          </w:tcPr>
          <w:p w14:paraId="55DD8D98" w14:textId="77777777" w:rsidR="00814857" w:rsidRDefault="00814857" w:rsidP="00894126">
            <w:pPr>
              <w:pStyle w:val="ARtablenoteindent"/>
            </w:pPr>
            <w:r>
              <w:rPr>
                <w:noProof/>
              </w:rPr>
              <w:t>The 2018–19 actual outcome is primarily due to lower costs for utility concessions.</w:t>
            </w:r>
          </w:p>
        </w:tc>
      </w:tr>
    </w:tbl>
    <w:p w14:paraId="605C3BEC" w14:textId="77777777" w:rsidR="00DD67B1" w:rsidRPr="00DD67B1" w:rsidRDefault="00DD67B1" w:rsidP="00DD67B1">
      <w:pPr>
        <w:pStyle w:val="ARbody"/>
      </w:pPr>
      <w:bookmarkStart w:id="89" w:name="_Toc18954486"/>
      <w:bookmarkStart w:id="90" w:name="_Toc18955088"/>
      <w:r w:rsidRPr="00DD67B1">
        <w:br w:type="page"/>
      </w:r>
    </w:p>
    <w:p w14:paraId="6ED6AFEC" w14:textId="0B65EDB0" w:rsidR="00814857" w:rsidRDefault="00814857" w:rsidP="0055734C">
      <w:pPr>
        <w:pStyle w:val="Heading2"/>
      </w:pPr>
      <w:r>
        <w:lastRenderedPageBreak/>
        <w:t>Disability Services</w:t>
      </w:r>
      <w:bookmarkEnd w:id="89"/>
      <w:bookmarkEnd w:id="90"/>
    </w:p>
    <w:p w14:paraId="3D27E27A" w14:textId="77777777" w:rsidR="00814857" w:rsidRPr="00030BBE" w:rsidRDefault="00814857" w:rsidP="003F5C29">
      <w:pPr>
        <w:pStyle w:val="ARbody"/>
      </w:pPr>
      <w:r>
        <w:t>This output, through the provision of continuing care and support services for people with disabilities, their carers and their families, aims to make a positive difference for Victorians experiencing disadvantage and provide excellent community services to meet clients’ needs.</w:t>
      </w:r>
    </w:p>
    <w:tbl>
      <w:tblPr>
        <w:tblW w:w="9645" w:type="dxa"/>
        <w:tblLayout w:type="fixed"/>
        <w:tblCellMar>
          <w:left w:w="0" w:type="dxa"/>
        </w:tblCellMar>
        <w:tblLook w:val="04A0" w:firstRow="1" w:lastRow="0" w:firstColumn="1" w:lastColumn="0" w:noHBand="0" w:noVBand="1"/>
      </w:tblPr>
      <w:tblGrid>
        <w:gridCol w:w="4764"/>
        <w:gridCol w:w="1021"/>
        <w:gridCol w:w="1022"/>
        <w:gridCol w:w="1022"/>
        <w:gridCol w:w="1022"/>
        <w:gridCol w:w="794"/>
      </w:tblGrid>
      <w:tr w:rsidR="00814857" w14:paraId="78E92364" w14:textId="77777777" w:rsidTr="00894126">
        <w:trPr>
          <w:cantSplit/>
          <w:trHeight w:val="480"/>
          <w:tblHeader/>
        </w:trPr>
        <w:tc>
          <w:tcPr>
            <w:tcW w:w="4764" w:type="dxa"/>
            <w:tcBorders>
              <w:top w:val="nil"/>
              <w:left w:val="nil"/>
              <w:bottom w:val="single" w:sz="4" w:space="0" w:color="auto"/>
              <w:right w:val="nil"/>
            </w:tcBorders>
            <w:vAlign w:val="bottom"/>
            <w:hideMark/>
          </w:tcPr>
          <w:p w14:paraId="3E2831F8" w14:textId="77777777" w:rsidR="00814857" w:rsidRDefault="00814857" w:rsidP="00894126">
            <w:pPr>
              <w:pStyle w:val="ARtablecolhead"/>
            </w:pPr>
            <w:r>
              <w:t>Performance measures</w:t>
            </w:r>
          </w:p>
        </w:tc>
        <w:tc>
          <w:tcPr>
            <w:tcW w:w="1021" w:type="dxa"/>
            <w:tcBorders>
              <w:top w:val="nil"/>
              <w:left w:val="nil"/>
              <w:bottom w:val="single" w:sz="4" w:space="0" w:color="auto"/>
              <w:right w:val="nil"/>
            </w:tcBorders>
            <w:vAlign w:val="bottom"/>
            <w:hideMark/>
          </w:tcPr>
          <w:p w14:paraId="2711D428" w14:textId="77777777" w:rsidR="00814857" w:rsidRDefault="00814857" w:rsidP="00894126">
            <w:pPr>
              <w:pStyle w:val="ARtablecolheadright"/>
            </w:pPr>
            <w:r>
              <w:t>Unit of measure</w:t>
            </w:r>
          </w:p>
        </w:tc>
        <w:tc>
          <w:tcPr>
            <w:tcW w:w="1022" w:type="dxa"/>
            <w:tcBorders>
              <w:top w:val="nil"/>
              <w:left w:val="nil"/>
              <w:bottom w:val="single" w:sz="4" w:space="0" w:color="auto"/>
              <w:right w:val="nil"/>
            </w:tcBorders>
            <w:vAlign w:val="bottom"/>
            <w:hideMark/>
          </w:tcPr>
          <w:p w14:paraId="7204CCEF" w14:textId="77777777" w:rsidR="00814857" w:rsidRDefault="00814857" w:rsidP="00894126">
            <w:pPr>
              <w:pStyle w:val="ARtablecolheadright"/>
            </w:pPr>
            <w:r>
              <w:t>2018–19 target</w:t>
            </w:r>
          </w:p>
        </w:tc>
        <w:tc>
          <w:tcPr>
            <w:tcW w:w="1022" w:type="dxa"/>
            <w:tcBorders>
              <w:top w:val="nil"/>
              <w:left w:val="nil"/>
              <w:bottom w:val="single" w:sz="4" w:space="0" w:color="auto"/>
              <w:right w:val="nil"/>
            </w:tcBorders>
            <w:vAlign w:val="bottom"/>
            <w:hideMark/>
          </w:tcPr>
          <w:p w14:paraId="3D36D4D3" w14:textId="77777777" w:rsidR="00814857" w:rsidRDefault="00814857" w:rsidP="00894126">
            <w:pPr>
              <w:pStyle w:val="ARtablecolheadright"/>
            </w:pPr>
            <w:r>
              <w:t>2018–19 actual</w:t>
            </w:r>
          </w:p>
        </w:tc>
        <w:tc>
          <w:tcPr>
            <w:tcW w:w="1022" w:type="dxa"/>
            <w:tcBorders>
              <w:top w:val="nil"/>
              <w:left w:val="nil"/>
              <w:bottom w:val="single" w:sz="4" w:space="0" w:color="auto"/>
              <w:right w:val="nil"/>
            </w:tcBorders>
            <w:vAlign w:val="bottom"/>
            <w:hideMark/>
          </w:tcPr>
          <w:p w14:paraId="7B8F80FC" w14:textId="77777777" w:rsidR="00814857" w:rsidRDefault="00814857" w:rsidP="00894126">
            <w:pPr>
              <w:pStyle w:val="ARtablecolheadright"/>
            </w:pPr>
            <w:r>
              <w:t>Variation (%)</w:t>
            </w:r>
          </w:p>
        </w:tc>
        <w:tc>
          <w:tcPr>
            <w:tcW w:w="794" w:type="dxa"/>
            <w:tcBorders>
              <w:top w:val="nil"/>
              <w:left w:val="nil"/>
              <w:bottom w:val="single" w:sz="4" w:space="0" w:color="auto"/>
              <w:right w:val="nil"/>
            </w:tcBorders>
            <w:vAlign w:val="bottom"/>
            <w:hideMark/>
          </w:tcPr>
          <w:p w14:paraId="4B5437AF" w14:textId="77777777" w:rsidR="00814857" w:rsidRDefault="00814857" w:rsidP="00894126">
            <w:pPr>
              <w:pStyle w:val="ARtablecolheadright"/>
            </w:pPr>
            <w:r>
              <w:t>Result</w:t>
            </w:r>
          </w:p>
        </w:tc>
      </w:tr>
      <w:tr w:rsidR="00773DFC" w14:paraId="0972BA63" w14:textId="77777777" w:rsidTr="000A6AF0">
        <w:trPr>
          <w:cantSplit/>
          <w:trHeight w:val="289"/>
        </w:trPr>
        <w:tc>
          <w:tcPr>
            <w:tcW w:w="9645" w:type="dxa"/>
            <w:gridSpan w:val="6"/>
            <w:tcBorders>
              <w:top w:val="single" w:sz="4" w:space="0" w:color="auto"/>
              <w:left w:val="nil"/>
              <w:bottom w:val="single" w:sz="4" w:space="0" w:color="auto"/>
              <w:right w:val="nil"/>
            </w:tcBorders>
            <w:hideMark/>
          </w:tcPr>
          <w:p w14:paraId="77516A94" w14:textId="1608AB00" w:rsidR="00773DFC" w:rsidRDefault="00773DFC" w:rsidP="003F5C29">
            <w:pPr>
              <w:pStyle w:val="ARtablebluebold"/>
            </w:pPr>
            <w:r>
              <w:t>Disability Services</w:t>
            </w:r>
          </w:p>
        </w:tc>
      </w:tr>
      <w:tr w:rsidR="00773DFC" w14:paraId="61E54376" w14:textId="77777777" w:rsidTr="000A6AF0">
        <w:trPr>
          <w:cantSplit/>
          <w:trHeight w:val="240"/>
        </w:trPr>
        <w:tc>
          <w:tcPr>
            <w:tcW w:w="9645" w:type="dxa"/>
            <w:gridSpan w:val="6"/>
            <w:tcBorders>
              <w:top w:val="single" w:sz="4" w:space="0" w:color="auto"/>
              <w:left w:val="nil"/>
              <w:bottom w:val="nil"/>
              <w:right w:val="nil"/>
            </w:tcBorders>
            <w:hideMark/>
          </w:tcPr>
          <w:p w14:paraId="2631DC83" w14:textId="5DBEC01E" w:rsidR="00773DFC" w:rsidRDefault="00773DFC" w:rsidP="003F5C29">
            <w:pPr>
              <w:pStyle w:val="ARtablegreybold"/>
            </w:pPr>
            <w:r w:rsidRPr="003F5C29">
              <w:t>Quantity</w:t>
            </w:r>
          </w:p>
        </w:tc>
      </w:tr>
      <w:tr w:rsidR="00814857" w14:paraId="4448606A" w14:textId="77777777" w:rsidTr="00894126">
        <w:trPr>
          <w:cantSplit/>
          <w:trHeight w:val="480"/>
        </w:trPr>
        <w:tc>
          <w:tcPr>
            <w:tcW w:w="4764" w:type="dxa"/>
            <w:hideMark/>
          </w:tcPr>
          <w:p w14:paraId="3359F6B6" w14:textId="77777777" w:rsidR="00814857" w:rsidRDefault="00814857" w:rsidP="00894126">
            <w:pPr>
              <w:pStyle w:val="ARtabletext"/>
            </w:pPr>
            <w:r>
              <w:rPr>
                <w:noProof/>
              </w:rPr>
              <w:t>Clients accessing aids and equipment</w:t>
            </w:r>
          </w:p>
        </w:tc>
        <w:tc>
          <w:tcPr>
            <w:tcW w:w="1021" w:type="dxa"/>
            <w:hideMark/>
          </w:tcPr>
          <w:p w14:paraId="1D5A6CBA" w14:textId="77777777" w:rsidR="00814857" w:rsidRDefault="00814857" w:rsidP="00894126">
            <w:pPr>
              <w:pStyle w:val="ARtabletextright"/>
            </w:pPr>
            <w:r>
              <w:rPr>
                <w:noProof/>
              </w:rPr>
              <w:t>number</w:t>
            </w:r>
          </w:p>
        </w:tc>
        <w:tc>
          <w:tcPr>
            <w:tcW w:w="1022" w:type="dxa"/>
            <w:hideMark/>
          </w:tcPr>
          <w:p w14:paraId="3109CF6C" w14:textId="77777777" w:rsidR="00814857" w:rsidRDefault="00814857" w:rsidP="00894126">
            <w:pPr>
              <w:pStyle w:val="ARtabletextright"/>
            </w:pPr>
            <w:r>
              <w:rPr>
                <w:noProof/>
              </w:rPr>
              <w:t>18,628</w:t>
            </w:r>
          </w:p>
        </w:tc>
        <w:tc>
          <w:tcPr>
            <w:tcW w:w="1022" w:type="dxa"/>
            <w:hideMark/>
          </w:tcPr>
          <w:p w14:paraId="60673062" w14:textId="77777777" w:rsidR="00814857" w:rsidRDefault="00814857" w:rsidP="00894126">
            <w:pPr>
              <w:pStyle w:val="ARtabletextright"/>
            </w:pPr>
            <w:r>
              <w:rPr>
                <w:noProof/>
              </w:rPr>
              <w:t>23,469</w:t>
            </w:r>
          </w:p>
        </w:tc>
        <w:tc>
          <w:tcPr>
            <w:tcW w:w="1022" w:type="dxa"/>
            <w:hideMark/>
          </w:tcPr>
          <w:p w14:paraId="71B80ABF" w14:textId="77777777" w:rsidR="00814857" w:rsidRDefault="00814857" w:rsidP="00894126">
            <w:pPr>
              <w:pStyle w:val="ARtabletextright"/>
            </w:pPr>
            <w:r>
              <w:rPr>
                <w:noProof/>
              </w:rPr>
              <w:t>26.0</w:t>
            </w:r>
          </w:p>
        </w:tc>
        <w:tc>
          <w:tcPr>
            <w:tcW w:w="794" w:type="dxa"/>
            <w:hideMark/>
          </w:tcPr>
          <w:p w14:paraId="3C8137D9" w14:textId="77777777" w:rsidR="00814857" w:rsidRDefault="00814857" w:rsidP="00894126">
            <w:pPr>
              <w:pStyle w:val="ARtabletextright"/>
            </w:pPr>
            <w:r>
              <w:sym w:font="Wingdings" w:char="F0FC"/>
            </w:r>
          </w:p>
        </w:tc>
      </w:tr>
      <w:tr w:rsidR="00814857" w14:paraId="64EC2B14" w14:textId="77777777" w:rsidTr="00894126">
        <w:trPr>
          <w:cantSplit/>
          <w:trHeight w:val="240"/>
        </w:trPr>
        <w:tc>
          <w:tcPr>
            <w:tcW w:w="9645" w:type="dxa"/>
            <w:gridSpan w:val="6"/>
            <w:tcBorders>
              <w:top w:val="nil"/>
              <w:left w:val="nil"/>
              <w:bottom w:val="single" w:sz="4" w:space="0" w:color="BFBFBF"/>
              <w:right w:val="nil"/>
            </w:tcBorders>
            <w:noWrap/>
            <w:hideMark/>
          </w:tcPr>
          <w:p w14:paraId="27A7A185" w14:textId="248294E0" w:rsidR="00814857" w:rsidRDefault="00814857" w:rsidP="00894126">
            <w:pPr>
              <w:pStyle w:val="ARtablenoteindent"/>
            </w:pPr>
            <w:r>
              <w:rPr>
                <w:noProof/>
              </w:rPr>
              <w:t xml:space="preserve">The result is higher than the target because more applications were received for low-cost items, more applicants were allocated items from the re-issue equipment pool and additional funding was provided to support clients waiting to transition to the </w:t>
            </w:r>
            <w:r w:rsidR="009D25FB" w:rsidRPr="009D25FB">
              <w:rPr>
                <w:noProof/>
              </w:rPr>
              <w:t xml:space="preserve">National Disability Insurance Scheme </w:t>
            </w:r>
            <w:r w:rsidR="009D25FB">
              <w:rPr>
                <w:noProof/>
              </w:rPr>
              <w:t>(</w:t>
            </w:r>
            <w:r>
              <w:rPr>
                <w:noProof/>
              </w:rPr>
              <w:t>NDIS</w:t>
            </w:r>
            <w:r w:rsidR="009D25FB">
              <w:rPr>
                <w:noProof/>
              </w:rPr>
              <w:t>)</w:t>
            </w:r>
            <w:r>
              <w:rPr>
                <w:noProof/>
              </w:rPr>
              <w:t>. This is a positive result.</w:t>
            </w:r>
          </w:p>
        </w:tc>
      </w:tr>
      <w:tr w:rsidR="00814857" w14:paraId="7D5A2072" w14:textId="77777777" w:rsidTr="00894126">
        <w:trPr>
          <w:cantSplit/>
          <w:trHeight w:val="480"/>
        </w:trPr>
        <w:tc>
          <w:tcPr>
            <w:tcW w:w="4764" w:type="dxa"/>
            <w:hideMark/>
          </w:tcPr>
          <w:p w14:paraId="533D8E35" w14:textId="77777777" w:rsidR="00814857" w:rsidRDefault="00814857" w:rsidP="00894126">
            <w:pPr>
              <w:pStyle w:val="ARtabletext"/>
            </w:pPr>
            <w:r>
              <w:rPr>
                <w:noProof/>
              </w:rPr>
              <w:t>Clients in residential institutions</w:t>
            </w:r>
          </w:p>
        </w:tc>
        <w:tc>
          <w:tcPr>
            <w:tcW w:w="1021" w:type="dxa"/>
            <w:hideMark/>
          </w:tcPr>
          <w:p w14:paraId="7B856F53" w14:textId="77777777" w:rsidR="00814857" w:rsidRDefault="00814857" w:rsidP="00894126">
            <w:pPr>
              <w:pStyle w:val="ARtabletextright"/>
            </w:pPr>
            <w:r>
              <w:rPr>
                <w:noProof/>
              </w:rPr>
              <w:t>number</w:t>
            </w:r>
          </w:p>
        </w:tc>
        <w:tc>
          <w:tcPr>
            <w:tcW w:w="1022" w:type="dxa"/>
            <w:hideMark/>
          </w:tcPr>
          <w:p w14:paraId="490CCED2" w14:textId="77777777" w:rsidR="00814857" w:rsidRDefault="00814857" w:rsidP="00894126">
            <w:pPr>
              <w:pStyle w:val="ARtabletextright"/>
            </w:pPr>
            <w:r>
              <w:rPr>
                <w:noProof/>
              </w:rPr>
              <w:t>0</w:t>
            </w:r>
          </w:p>
        </w:tc>
        <w:tc>
          <w:tcPr>
            <w:tcW w:w="1022" w:type="dxa"/>
            <w:hideMark/>
          </w:tcPr>
          <w:p w14:paraId="0B6717F2" w14:textId="77777777" w:rsidR="00814857" w:rsidRDefault="00814857" w:rsidP="00894126">
            <w:pPr>
              <w:pStyle w:val="ARtabletextright"/>
            </w:pPr>
            <w:r>
              <w:rPr>
                <w:noProof/>
              </w:rPr>
              <w:t>24</w:t>
            </w:r>
          </w:p>
        </w:tc>
        <w:tc>
          <w:tcPr>
            <w:tcW w:w="1022" w:type="dxa"/>
            <w:hideMark/>
          </w:tcPr>
          <w:p w14:paraId="0D0E6799" w14:textId="77777777" w:rsidR="00814857" w:rsidRDefault="00814857" w:rsidP="00894126">
            <w:pPr>
              <w:pStyle w:val="ARtabletextright"/>
            </w:pPr>
            <w:r>
              <w:rPr>
                <w:noProof/>
              </w:rPr>
              <w:t>-</w:t>
            </w:r>
          </w:p>
        </w:tc>
        <w:tc>
          <w:tcPr>
            <w:tcW w:w="794" w:type="dxa"/>
            <w:hideMark/>
          </w:tcPr>
          <w:p w14:paraId="7CA91366" w14:textId="77777777" w:rsidR="00814857" w:rsidRDefault="00814857" w:rsidP="00894126">
            <w:pPr>
              <w:pStyle w:val="ARtabletextright"/>
            </w:pPr>
            <w:r>
              <w:sym w:font="Wingdings" w:char="F0FC"/>
            </w:r>
          </w:p>
        </w:tc>
      </w:tr>
      <w:tr w:rsidR="00814857" w14:paraId="3E79E3D7" w14:textId="77777777" w:rsidTr="00894126">
        <w:trPr>
          <w:cantSplit/>
          <w:trHeight w:val="240"/>
        </w:trPr>
        <w:tc>
          <w:tcPr>
            <w:tcW w:w="9645" w:type="dxa"/>
            <w:gridSpan w:val="6"/>
            <w:tcBorders>
              <w:top w:val="nil"/>
              <w:left w:val="nil"/>
              <w:bottom w:val="single" w:sz="4" w:space="0" w:color="BFBFBF"/>
              <w:right w:val="nil"/>
            </w:tcBorders>
            <w:noWrap/>
            <w:hideMark/>
          </w:tcPr>
          <w:p w14:paraId="059BA0F1" w14:textId="77777777" w:rsidR="00814857" w:rsidRDefault="00814857" w:rsidP="00894126">
            <w:pPr>
              <w:pStyle w:val="ARtablenoteindent"/>
            </w:pPr>
            <w:r>
              <w:t>The 2018–19 outcome is higher than the 2018–19 target due to due to delays in residents moving to their new purpose</w:t>
            </w:r>
            <w:r>
              <w:noBreakHyphen/>
              <w:t>built community homes. This delay was due to additional time required to consult with residents and their families and to locate suitable community locations</w:t>
            </w:r>
          </w:p>
        </w:tc>
      </w:tr>
      <w:tr w:rsidR="00814857" w14:paraId="2310F942" w14:textId="77777777" w:rsidTr="00894126">
        <w:trPr>
          <w:cantSplit/>
          <w:trHeight w:val="480"/>
        </w:trPr>
        <w:tc>
          <w:tcPr>
            <w:tcW w:w="4764" w:type="dxa"/>
            <w:hideMark/>
          </w:tcPr>
          <w:p w14:paraId="652681F9" w14:textId="77777777" w:rsidR="00814857" w:rsidRDefault="00814857" w:rsidP="00894126">
            <w:pPr>
              <w:pStyle w:val="ARtabletext"/>
            </w:pPr>
            <w:r>
              <w:rPr>
                <w:noProof/>
              </w:rPr>
              <w:t>Clients receiving case management services</w:t>
            </w:r>
          </w:p>
        </w:tc>
        <w:tc>
          <w:tcPr>
            <w:tcW w:w="1021" w:type="dxa"/>
            <w:hideMark/>
          </w:tcPr>
          <w:p w14:paraId="1155299E" w14:textId="77777777" w:rsidR="00814857" w:rsidRDefault="00814857" w:rsidP="00894126">
            <w:pPr>
              <w:pStyle w:val="ARtabletextright"/>
            </w:pPr>
            <w:r>
              <w:rPr>
                <w:noProof/>
              </w:rPr>
              <w:t>number</w:t>
            </w:r>
          </w:p>
        </w:tc>
        <w:tc>
          <w:tcPr>
            <w:tcW w:w="1022" w:type="dxa"/>
            <w:hideMark/>
          </w:tcPr>
          <w:p w14:paraId="0B2A450E" w14:textId="77777777" w:rsidR="00814857" w:rsidRDefault="00814857" w:rsidP="00894126">
            <w:pPr>
              <w:pStyle w:val="ARtabletextright"/>
            </w:pPr>
            <w:r>
              <w:rPr>
                <w:noProof/>
              </w:rPr>
              <w:t>566</w:t>
            </w:r>
          </w:p>
        </w:tc>
        <w:tc>
          <w:tcPr>
            <w:tcW w:w="1022" w:type="dxa"/>
            <w:hideMark/>
          </w:tcPr>
          <w:p w14:paraId="6FA7D578" w14:textId="77777777" w:rsidR="00814857" w:rsidRDefault="00814857" w:rsidP="00894126">
            <w:pPr>
              <w:pStyle w:val="ARtabletextright"/>
            </w:pPr>
            <w:r>
              <w:rPr>
                <w:noProof/>
              </w:rPr>
              <w:t>1,213</w:t>
            </w:r>
          </w:p>
        </w:tc>
        <w:tc>
          <w:tcPr>
            <w:tcW w:w="1022" w:type="dxa"/>
            <w:hideMark/>
          </w:tcPr>
          <w:p w14:paraId="14B53CF4" w14:textId="77777777" w:rsidR="00814857" w:rsidRDefault="00814857" w:rsidP="00894126">
            <w:pPr>
              <w:pStyle w:val="ARtabletextright"/>
            </w:pPr>
            <w:r>
              <w:rPr>
                <w:noProof/>
              </w:rPr>
              <w:t>114.3</w:t>
            </w:r>
          </w:p>
        </w:tc>
        <w:tc>
          <w:tcPr>
            <w:tcW w:w="794" w:type="dxa"/>
            <w:hideMark/>
          </w:tcPr>
          <w:p w14:paraId="07F026E6" w14:textId="77777777" w:rsidR="00814857" w:rsidRDefault="00814857" w:rsidP="00894126">
            <w:pPr>
              <w:pStyle w:val="ARtabletextright"/>
            </w:pPr>
            <w:r>
              <w:sym w:font="Wingdings" w:char="F0FC"/>
            </w:r>
          </w:p>
        </w:tc>
      </w:tr>
      <w:tr w:rsidR="00814857" w14:paraId="25CE39D4" w14:textId="77777777" w:rsidTr="00894126">
        <w:trPr>
          <w:cantSplit/>
          <w:trHeight w:val="240"/>
        </w:trPr>
        <w:tc>
          <w:tcPr>
            <w:tcW w:w="9645" w:type="dxa"/>
            <w:gridSpan w:val="6"/>
            <w:tcBorders>
              <w:top w:val="nil"/>
              <w:left w:val="nil"/>
              <w:bottom w:val="single" w:sz="4" w:space="0" w:color="BFBFBF"/>
              <w:right w:val="nil"/>
            </w:tcBorders>
            <w:noWrap/>
            <w:hideMark/>
          </w:tcPr>
          <w:p w14:paraId="5D371930" w14:textId="14734833" w:rsidR="00814857" w:rsidRDefault="00814857" w:rsidP="00894126">
            <w:pPr>
              <w:pStyle w:val="ARtablenoteindent"/>
            </w:pPr>
            <w:r>
              <w:t xml:space="preserve">The 2018–19 outcome is higher than the 2018–19 target due to the slower than forecast transition of clients into the NDIS by the </w:t>
            </w:r>
            <w:r w:rsidR="009D25FB" w:rsidRPr="009D25FB">
              <w:t xml:space="preserve">National Disability Insurance Agency </w:t>
            </w:r>
            <w:r w:rsidR="009D25FB">
              <w:t>(</w:t>
            </w:r>
            <w:r>
              <w:t>NDIA</w:t>
            </w:r>
            <w:r w:rsidR="009D25FB">
              <w:t>)</w:t>
            </w:r>
            <w:r>
              <w:t>.</w:t>
            </w:r>
          </w:p>
        </w:tc>
      </w:tr>
      <w:tr w:rsidR="00814857" w14:paraId="77FE9587" w14:textId="77777777" w:rsidTr="00894126">
        <w:trPr>
          <w:cantSplit/>
          <w:trHeight w:val="480"/>
        </w:trPr>
        <w:tc>
          <w:tcPr>
            <w:tcW w:w="4764" w:type="dxa"/>
            <w:hideMark/>
          </w:tcPr>
          <w:p w14:paraId="738D495D" w14:textId="77777777" w:rsidR="00814857" w:rsidRDefault="00814857" w:rsidP="00894126">
            <w:pPr>
              <w:pStyle w:val="ARtabletext"/>
            </w:pPr>
            <w:r>
              <w:rPr>
                <w:noProof/>
              </w:rPr>
              <w:t>Clients receiving individualised support</w:t>
            </w:r>
          </w:p>
        </w:tc>
        <w:tc>
          <w:tcPr>
            <w:tcW w:w="1021" w:type="dxa"/>
            <w:hideMark/>
          </w:tcPr>
          <w:p w14:paraId="0E445C57" w14:textId="77777777" w:rsidR="00814857" w:rsidRDefault="00814857" w:rsidP="00894126">
            <w:pPr>
              <w:pStyle w:val="ARtabletextright"/>
            </w:pPr>
            <w:r>
              <w:rPr>
                <w:noProof/>
              </w:rPr>
              <w:t>number</w:t>
            </w:r>
          </w:p>
        </w:tc>
        <w:tc>
          <w:tcPr>
            <w:tcW w:w="1022" w:type="dxa"/>
            <w:hideMark/>
          </w:tcPr>
          <w:p w14:paraId="6F972A47" w14:textId="77777777" w:rsidR="00814857" w:rsidRDefault="00814857" w:rsidP="00894126">
            <w:pPr>
              <w:pStyle w:val="ARtabletextright"/>
            </w:pPr>
            <w:r>
              <w:rPr>
                <w:noProof/>
              </w:rPr>
              <w:t>4,626</w:t>
            </w:r>
          </w:p>
        </w:tc>
        <w:tc>
          <w:tcPr>
            <w:tcW w:w="1022" w:type="dxa"/>
            <w:hideMark/>
          </w:tcPr>
          <w:p w14:paraId="153DDA3C" w14:textId="77777777" w:rsidR="00814857" w:rsidRDefault="00814857" w:rsidP="00894126">
            <w:pPr>
              <w:pStyle w:val="ARtabletextright"/>
            </w:pPr>
            <w:r>
              <w:rPr>
                <w:noProof/>
              </w:rPr>
              <w:t>5,970</w:t>
            </w:r>
          </w:p>
        </w:tc>
        <w:tc>
          <w:tcPr>
            <w:tcW w:w="1022" w:type="dxa"/>
            <w:hideMark/>
          </w:tcPr>
          <w:p w14:paraId="00E9EDC4" w14:textId="77777777" w:rsidR="00814857" w:rsidRDefault="00814857" w:rsidP="00894126">
            <w:pPr>
              <w:pStyle w:val="ARtabletextright"/>
            </w:pPr>
            <w:r>
              <w:rPr>
                <w:noProof/>
              </w:rPr>
              <w:t>29.1</w:t>
            </w:r>
          </w:p>
        </w:tc>
        <w:tc>
          <w:tcPr>
            <w:tcW w:w="794" w:type="dxa"/>
            <w:hideMark/>
          </w:tcPr>
          <w:p w14:paraId="295333FF" w14:textId="77777777" w:rsidR="00814857" w:rsidRDefault="00814857" w:rsidP="00894126">
            <w:pPr>
              <w:pStyle w:val="ARtabletextright"/>
            </w:pPr>
            <w:r>
              <w:sym w:font="Wingdings" w:char="F0FC"/>
            </w:r>
          </w:p>
        </w:tc>
      </w:tr>
      <w:tr w:rsidR="00814857" w14:paraId="372708B1" w14:textId="77777777" w:rsidTr="00894126">
        <w:trPr>
          <w:cantSplit/>
          <w:trHeight w:val="240"/>
        </w:trPr>
        <w:tc>
          <w:tcPr>
            <w:tcW w:w="9645" w:type="dxa"/>
            <w:gridSpan w:val="6"/>
            <w:tcBorders>
              <w:top w:val="nil"/>
              <w:left w:val="nil"/>
              <w:bottom w:val="single" w:sz="4" w:space="0" w:color="BFBFBF"/>
              <w:right w:val="nil"/>
            </w:tcBorders>
            <w:noWrap/>
            <w:hideMark/>
          </w:tcPr>
          <w:p w14:paraId="7CBB43DA" w14:textId="77777777" w:rsidR="00814857" w:rsidRDefault="00814857" w:rsidP="00894126">
            <w:pPr>
              <w:pStyle w:val="ARtablenoteindent"/>
            </w:pPr>
            <w:r>
              <w:t>The 2018–19 outcome is higher than the 2018–19 target due to the slower than forecast transition of clients into the NDIS by the NDIA.</w:t>
            </w:r>
          </w:p>
        </w:tc>
      </w:tr>
      <w:tr w:rsidR="00814857" w14:paraId="1C5C0635" w14:textId="77777777" w:rsidTr="00894126">
        <w:trPr>
          <w:cantSplit/>
          <w:trHeight w:val="480"/>
        </w:trPr>
        <w:tc>
          <w:tcPr>
            <w:tcW w:w="4764" w:type="dxa"/>
            <w:hideMark/>
          </w:tcPr>
          <w:p w14:paraId="6F8549EF" w14:textId="77777777" w:rsidR="00814857" w:rsidRDefault="00814857" w:rsidP="00894126">
            <w:pPr>
              <w:pStyle w:val="ARtabletext"/>
            </w:pPr>
            <w:r>
              <w:rPr>
                <w:noProof/>
              </w:rPr>
              <w:t>Hours of community-based respite</w:t>
            </w:r>
          </w:p>
        </w:tc>
        <w:tc>
          <w:tcPr>
            <w:tcW w:w="1021" w:type="dxa"/>
            <w:hideMark/>
          </w:tcPr>
          <w:p w14:paraId="67725BA5" w14:textId="77777777" w:rsidR="00814857" w:rsidRDefault="00814857" w:rsidP="00894126">
            <w:pPr>
              <w:pStyle w:val="ARtabletextright"/>
            </w:pPr>
            <w:r>
              <w:rPr>
                <w:noProof/>
              </w:rPr>
              <w:t>number</w:t>
            </w:r>
          </w:p>
        </w:tc>
        <w:tc>
          <w:tcPr>
            <w:tcW w:w="1022" w:type="dxa"/>
            <w:hideMark/>
          </w:tcPr>
          <w:p w14:paraId="2932B2AB" w14:textId="77777777" w:rsidR="00814857" w:rsidRDefault="00814857" w:rsidP="00894126">
            <w:pPr>
              <w:pStyle w:val="ARtabletextright"/>
            </w:pPr>
            <w:r>
              <w:rPr>
                <w:noProof/>
              </w:rPr>
              <w:t>308,130</w:t>
            </w:r>
          </w:p>
        </w:tc>
        <w:tc>
          <w:tcPr>
            <w:tcW w:w="1022" w:type="dxa"/>
            <w:hideMark/>
          </w:tcPr>
          <w:p w14:paraId="18FD08EA" w14:textId="77777777" w:rsidR="00814857" w:rsidRDefault="00814857" w:rsidP="00894126">
            <w:pPr>
              <w:pStyle w:val="ARtabletextright"/>
            </w:pPr>
            <w:r>
              <w:rPr>
                <w:noProof/>
              </w:rPr>
              <w:t>342,225</w:t>
            </w:r>
          </w:p>
        </w:tc>
        <w:tc>
          <w:tcPr>
            <w:tcW w:w="1022" w:type="dxa"/>
            <w:hideMark/>
          </w:tcPr>
          <w:p w14:paraId="3E4BB4BA" w14:textId="77777777" w:rsidR="00814857" w:rsidRDefault="00814857" w:rsidP="00894126">
            <w:pPr>
              <w:pStyle w:val="ARtabletextright"/>
            </w:pPr>
            <w:r>
              <w:rPr>
                <w:noProof/>
              </w:rPr>
              <w:t>11.1</w:t>
            </w:r>
          </w:p>
        </w:tc>
        <w:tc>
          <w:tcPr>
            <w:tcW w:w="794" w:type="dxa"/>
            <w:hideMark/>
          </w:tcPr>
          <w:p w14:paraId="7961147D" w14:textId="77777777" w:rsidR="00814857" w:rsidRDefault="00814857" w:rsidP="00894126">
            <w:pPr>
              <w:pStyle w:val="ARtabletextright"/>
            </w:pPr>
            <w:r>
              <w:sym w:font="Wingdings" w:char="F0FC"/>
            </w:r>
          </w:p>
        </w:tc>
      </w:tr>
      <w:tr w:rsidR="00814857" w14:paraId="35216E65" w14:textId="77777777" w:rsidTr="00894126">
        <w:trPr>
          <w:cantSplit/>
          <w:trHeight w:val="240"/>
        </w:trPr>
        <w:tc>
          <w:tcPr>
            <w:tcW w:w="9645" w:type="dxa"/>
            <w:gridSpan w:val="6"/>
            <w:tcBorders>
              <w:top w:val="nil"/>
              <w:left w:val="nil"/>
              <w:bottom w:val="single" w:sz="4" w:space="0" w:color="BFBFBF"/>
              <w:right w:val="nil"/>
            </w:tcBorders>
            <w:noWrap/>
            <w:hideMark/>
          </w:tcPr>
          <w:p w14:paraId="1166F068" w14:textId="77777777" w:rsidR="00814857" w:rsidRDefault="00814857" w:rsidP="00894126">
            <w:pPr>
              <w:pStyle w:val="ARtablenoteindent"/>
            </w:pPr>
            <w:r>
              <w:t>The 2018–19 outcome is higher than the 2018–19 target due to the slower than forecast transition of clients into the NDIS by the NDIA.</w:t>
            </w:r>
          </w:p>
        </w:tc>
      </w:tr>
      <w:tr w:rsidR="00814857" w14:paraId="39398BF8" w14:textId="77777777" w:rsidTr="00894126">
        <w:trPr>
          <w:cantSplit/>
          <w:trHeight w:val="480"/>
        </w:trPr>
        <w:tc>
          <w:tcPr>
            <w:tcW w:w="4764" w:type="dxa"/>
            <w:hideMark/>
          </w:tcPr>
          <w:p w14:paraId="5E94DD66" w14:textId="77777777" w:rsidR="00814857" w:rsidRDefault="00814857" w:rsidP="00894126">
            <w:pPr>
              <w:pStyle w:val="ARtabletext"/>
            </w:pPr>
            <w:r>
              <w:rPr>
                <w:noProof/>
              </w:rPr>
              <w:t>Number of respite days</w:t>
            </w:r>
          </w:p>
        </w:tc>
        <w:tc>
          <w:tcPr>
            <w:tcW w:w="1021" w:type="dxa"/>
            <w:hideMark/>
          </w:tcPr>
          <w:p w14:paraId="0FFE818D" w14:textId="77777777" w:rsidR="00814857" w:rsidRDefault="00814857" w:rsidP="00894126">
            <w:pPr>
              <w:pStyle w:val="ARtabletextright"/>
            </w:pPr>
            <w:r>
              <w:rPr>
                <w:noProof/>
              </w:rPr>
              <w:t>number</w:t>
            </w:r>
          </w:p>
        </w:tc>
        <w:tc>
          <w:tcPr>
            <w:tcW w:w="1022" w:type="dxa"/>
            <w:hideMark/>
          </w:tcPr>
          <w:p w14:paraId="31BCBC7D" w14:textId="77777777" w:rsidR="00814857" w:rsidRDefault="00814857" w:rsidP="00894126">
            <w:pPr>
              <w:pStyle w:val="ARtabletextright"/>
            </w:pPr>
            <w:r>
              <w:rPr>
                <w:noProof/>
              </w:rPr>
              <w:t>50,000</w:t>
            </w:r>
          </w:p>
        </w:tc>
        <w:tc>
          <w:tcPr>
            <w:tcW w:w="1022" w:type="dxa"/>
            <w:hideMark/>
          </w:tcPr>
          <w:p w14:paraId="3097DF14" w14:textId="77777777" w:rsidR="00814857" w:rsidRDefault="00814857" w:rsidP="00894126">
            <w:pPr>
              <w:pStyle w:val="ARtabletextright"/>
            </w:pPr>
            <w:r>
              <w:rPr>
                <w:noProof/>
              </w:rPr>
              <w:t>57,395</w:t>
            </w:r>
          </w:p>
        </w:tc>
        <w:tc>
          <w:tcPr>
            <w:tcW w:w="1022" w:type="dxa"/>
            <w:hideMark/>
          </w:tcPr>
          <w:p w14:paraId="4D55C9AC" w14:textId="77777777" w:rsidR="00814857" w:rsidRDefault="00814857" w:rsidP="00894126">
            <w:pPr>
              <w:pStyle w:val="ARtabletextright"/>
            </w:pPr>
            <w:r>
              <w:rPr>
                <w:noProof/>
              </w:rPr>
              <w:t>14.8</w:t>
            </w:r>
          </w:p>
        </w:tc>
        <w:tc>
          <w:tcPr>
            <w:tcW w:w="794" w:type="dxa"/>
            <w:hideMark/>
          </w:tcPr>
          <w:p w14:paraId="6F26A94B" w14:textId="77777777" w:rsidR="00814857" w:rsidRDefault="00814857" w:rsidP="00894126">
            <w:pPr>
              <w:pStyle w:val="ARtabletextright"/>
            </w:pPr>
            <w:r>
              <w:sym w:font="Wingdings" w:char="F0FC"/>
            </w:r>
          </w:p>
        </w:tc>
      </w:tr>
      <w:tr w:rsidR="00814857" w14:paraId="094FC8D8" w14:textId="77777777" w:rsidTr="00894126">
        <w:trPr>
          <w:cantSplit/>
          <w:trHeight w:val="240"/>
        </w:trPr>
        <w:tc>
          <w:tcPr>
            <w:tcW w:w="9645" w:type="dxa"/>
            <w:gridSpan w:val="6"/>
            <w:tcBorders>
              <w:top w:val="nil"/>
              <w:left w:val="nil"/>
              <w:bottom w:val="single" w:sz="4" w:space="0" w:color="BFBFBF"/>
              <w:right w:val="nil"/>
            </w:tcBorders>
            <w:noWrap/>
            <w:hideMark/>
          </w:tcPr>
          <w:p w14:paraId="6FBB8E52" w14:textId="77777777" w:rsidR="00814857" w:rsidRDefault="00814857" w:rsidP="00894126">
            <w:pPr>
              <w:pStyle w:val="ARtablenoteindent"/>
            </w:pPr>
            <w:r>
              <w:t>The 2018–19 outcome is higher than the 2018–19 target due to the slower than forecast transition of clients into the NDIS by the NDIA.</w:t>
            </w:r>
          </w:p>
        </w:tc>
      </w:tr>
      <w:tr w:rsidR="00773DFC" w14:paraId="4CDAB650" w14:textId="77777777" w:rsidTr="000A6AF0">
        <w:trPr>
          <w:cantSplit/>
          <w:trHeight w:val="240"/>
        </w:trPr>
        <w:tc>
          <w:tcPr>
            <w:tcW w:w="9645" w:type="dxa"/>
            <w:gridSpan w:val="6"/>
            <w:tcBorders>
              <w:top w:val="single" w:sz="4" w:space="0" w:color="auto"/>
              <w:left w:val="nil"/>
              <w:bottom w:val="nil"/>
              <w:right w:val="nil"/>
            </w:tcBorders>
            <w:hideMark/>
          </w:tcPr>
          <w:p w14:paraId="4254DE23" w14:textId="55ED3951" w:rsidR="00773DFC" w:rsidRDefault="00773DFC" w:rsidP="003F5C29">
            <w:pPr>
              <w:pStyle w:val="ARtablegreybold"/>
            </w:pPr>
            <w:r w:rsidRPr="003F5C29">
              <w:t>Quality</w:t>
            </w:r>
          </w:p>
        </w:tc>
      </w:tr>
      <w:tr w:rsidR="00814857" w14:paraId="73970AC0" w14:textId="77777777" w:rsidTr="00894126">
        <w:trPr>
          <w:cantSplit/>
          <w:trHeight w:val="480"/>
        </w:trPr>
        <w:tc>
          <w:tcPr>
            <w:tcW w:w="4764" w:type="dxa"/>
            <w:hideMark/>
          </w:tcPr>
          <w:p w14:paraId="7D90ED7B" w14:textId="77777777" w:rsidR="00814857" w:rsidRDefault="00814857" w:rsidP="00894126">
            <w:pPr>
              <w:pStyle w:val="ARtabletext"/>
            </w:pPr>
            <w:r>
              <w:rPr>
                <w:noProof/>
              </w:rPr>
              <w:t>Clients who have had a comprehensive health status review</w:t>
            </w:r>
          </w:p>
        </w:tc>
        <w:tc>
          <w:tcPr>
            <w:tcW w:w="1021" w:type="dxa"/>
            <w:hideMark/>
          </w:tcPr>
          <w:p w14:paraId="3BF38065" w14:textId="77777777" w:rsidR="00814857" w:rsidRDefault="00814857" w:rsidP="00894126">
            <w:pPr>
              <w:pStyle w:val="ARtabletextright"/>
            </w:pPr>
            <w:r>
              <w:rPr>
                <w:noProof/>
              </w:rPr>
              <w:t>per cent</w:t>
            </w:r>
          </w:p>
        </w:tc>
        <w:tc>
          <w:tcPr>
            <w:tcW w:w="1022" w:type="dxa"/>
            <w:hideMark/>
          </w:tcPr>
          <w:p w14:paraId="07916E26" w14:textId="77777777" w:rsidR="00814857" w:rsidRDefault="00814857" w:rsidP="00894126">
            <w:pPr>
              <w:pStyle w:val="ARtabletextright"/>
            </w:pPr>
            <w:r>
              <w:rPr>
                <w:noProof/>
              </w:rPr>
              <w:t>90</w:t>
            </w:r>
          </w:p>
        </w:tc>
        <w:tc>
          <w:tcPr>
            <w:tcW w:w="1022" w:type="dxa"/>
            <w:hideMark/>
          </w:tcPr>
          <w:p w14:paraId="713B57E8" w14:textId="77777777" w:rsidR="00814857" w:rsidRDefault="00814857" w:rsidP="00894126">
            <w:pPr>
              <w:pStyle w:val="ARtabletextright"/>
            </w:pPr>
            <w:r>
              <w:rPr>
                <w:noProof/>
              </w:rPr>
              <w:t>96.4</w:t>
            </w:r>
          </w:p>
        </w:tc>
        <w:tc>
          <w:tcPr>
            <w:tcW w:w="1022" w:type="dxa"/>
            <w:hideMark/>
          </w:tcPr>
          <w:p w14:paraId="0CA850A7" w14:textId="77777777" w:rsidR="00814857" w:rsidRDefault="00814857" w:rsidP="00894126">
            <w:pPr>
              <w:pStyle w:val="ARtabletextright"/>
            </w:pPr>
            <w:r>
              <w:rPr>
                <w:noProof/>
              </w:rPr>
              <w:t>7.1</w:t>
            </w:r>
          </w:p>
        </w:tc>
        <w:tc>
          <w:tcPr>
            <w:tcW w:w="794" w:type="dxa"/>
            <w:hideMark/>
          </w:tcPr>
          <w:p w14:paraId="302AC367" w14:textId="77777777" w:rsidR="00814857" w:rsidRDefault="00814857" w:rsidP="00894126">
            <w:pPr>
              <w:pStyle w:val="ARtabletextright"/>
            </w:pPr>
            <w:r>
              <w:sym w:font="Wingdings" w:char="F0FC"/>
            </w:r>
          </w:p>
        </w:tc>
      </w:tr>
      <w:tr w:rsidR="00814857" w14:paraId="649AE426" w14:textId="77777777" w:rsidTr="00894126">
        <w:trPr>
          <w:cantSplit/>
          <w:trHeight w:val="240"/>
        </w:trPr>
        <w:tc>
          <w:tcPr>
            <w:tcW w:w="9645" w:type="dxa"/>
            <w:gridSpan w:val="6"/>
            <w:tcBorders>
              <w:top w:val="nil"/>
              <w:left w:val="nil"/>
              <w:bottom w:val="single" w:sz="4" w:space="0" w:color="BFBFBF"/>
              <w:right w:val="nil"/>
            </w:tcBorders>
            <w:noWrap/>
            <w:hideMark/>
          </w:tcPr>
          <w:p w14:paraId="04845AC5" w14:textId="77777777" w:rsidR="00814857" w:rsidRDefault="00814857" w:rsidP="00894126">
            <w:pPr>
              <w:pStyle w:val="ARtablenoteindent"/>
            </w:pPr>
            <w:r>
              <w:t>The 2018–19 outcome is higher than the 2018–19 target due to the department’s work in actively monitoring client health status and conducting timely reviews</w:t>
            </w:r>
            <w:r>
              <w:rPr>
                <w:noProof/>
              </w:rPr>
              <w:t xml:space="preserve">. The data collection was discontinued from January 2019 as the NDIS transition progressed. </w:t>
            </w:r>
          </w:p>
        </w:tc>
      </w:tr>
      <w:tr w:rsidR="00814857" w14:paraId="380BB562" w14:textId="77777777" w:rsidTr="00894126">
        <w:trPr>
          <w:cantSplit/>
          <w:trHeight w:val="480"/>
        </w:trPr>
        <w:tc>
          <w:tcPr>
            <w:tcW w:w="4764" w:type="dxa"/>
            <w:hideMark/>
          </w:tcPr>
          <w:p w14:paraId="252F6291" w14:textId="77777777" w:rsidR="00814857" w:rsidRDefault="00814857" w:rsidP="00894126">
            <w:pPr>
              <w:pStyle w:val="ARtabletext"/>
            </w:pPr>
            <w:r>
              <w:rPr>
                <w:noProof/>
              </w:rPr>
              <w:t>Clients satisfied with the aids and equipment services system</w:t>
            </w:r>
          </w:p>
        </w:tc>
        <w:tc>
          <w:tcPr>
            <w:tcW w:w="1021" w:type="dxa"/>
            <w:hideMark/>
          </w:tcPr>
          <w:p w14:paraId="25E52992" w14:textId="77777777" w:rsidR="00814857" w:rsidRDefault="00814857" w:rsidP="00894126">
            <w:pPr>
              <w:pStyle w:val="ARtabletextright"/>
            </w:pPr>
            <w:r>
              <w:rPr>
                <w:noProof/>
              </w:rPr>
              <w:t>per cent</w:t>
            </w:r>
          </w:p>
        </w:tc>
        <w:tc>
          <w:tcPr>
            <w:tcW w:w="1022" w:type="dxa"/>
            <w:hideMark/>
          </w:tcPr>
          <w:p w14:paraId="63789829" w14:textId="77777777" w:rsidR="00814857" w:rsidRDefault="00814857" w:rsidP="00894126">
            <w:pPr>
              <w:pStyle w:val="ARtabletextright"/>
            </w:pPr>
            <w:r>
              <w:rPr>
                <w:noProof/>
              </w:rPr>
              <w:t>85</w:t>
            </w:r>
          </w:p>
        </w:tc>
        <w:tc>
          <w:tcPr>
            <w:tcW w:w="1022" w:type="dxa"/>
            <w:hideMark/>
          </w:tcPr>
          <w:p w14:paraId="247239BC" w14:textId="77777777" w:rsidR="00814857" w:rsidRDefault="00814857" w:rsidP="00894126">
            <w:pPr>
              <w:pStyle w:val="ARtabletextright"/>
            </w:pPr>
            <w:r>
              <w:rPr>
                <w:noProof/>
              </w:rPr>
              <w:t>96</w:t>
            </w:r>
          </w:p>
        </w:tc>
        <w:tc>
          <w:tcPr>
            <w:tcW w:w="1022" w:type="dxa"/>
            <w:hideMark/>
          </w:tcPr>
          <w:p w14:paraId="4D1D96CC" w14:textId="77777777" w:rsidR="00814857" w:rsidRDefault="00814857" w:rsidP="00894126">
            <w:pPr>
              <w:pStyle w:val="ARtabletextright"/>
            </w:pPr>
            <w:r>
              <w:rPr>
                <w:noProof/>
              </w:rPr>
              <w:t>12.9</w:t>
            </w:r>
          </w:p>
        </w:tc>
        <w:tc>
          <w:tcPr>
            <w:tcW w:w="794" w:type="dxa"/>
            <w:hideMark/>
          </w:tcPr>
          <w:p w14:paraId="032EDE1D" w14:textId="77777777" w:rsidR="00814857" w:rsidRDefault="00814857" w:rsidP="00894126">
            <w:pPr>
              <w:pStyle w:val="ARtabletextright"/>
            </w:pPr>
            <w:r>
              <w:sym w:font="Wingdings" w:char="F0FC"/>
            </w:r>
          </w:p>
        </w:tc>
      </w:tr>
      <w:tr w:rsidR="00814857" w14:paraId="3B0D3C50" w14:textId="77777777" w:rsidTr="00894126">
        <w:trPr>
          <w:cantSplit/>
          <w:trHeight w:val="240"/>
        </w:trPr>
        <w:tc>
          <w:tcPr>
            <w:tcW w:w="9645" w:type="dxa"/>
            <w:gridSpan w:val="6"/>
            <w:tcBorders>
              <w:top w:val="nil"/>
              <w:left w:val="nil"/>
              <w:bottom w:val="single" w:sz="4" w:space="0" w:color="BFBFBF"/>
              <w:right w:val="nil"/>
            </w:tcBorders>
            <w:noWrap/>
            <w:hideMark/>
          </w:tcPr>
          <w:p w14:paraId="343A48F2" w14:textId="77777777" w:rsidR="00814857" w:rsidRDefault="00814857" w:rsidP="00894126">
            <w:pPr>
              <w:pStyle w:val="ARtablenoteindent"/>
            </w:pPr>
            <w:r>
              <w:t>The 2018–19 outcome is higher than the 2018–19 target due to timely and responsive service to clients</w:t>
            </w:r>
            <w:r>
              <w:rPr>
                <w:noProof/>
              </w:rPr>
              <w:t>. This is a positive result.</w:t>
            </w:r>
          </w:p>
        </w:tc>
      </w:tr>
      <w:tr w:rsidR="00814857" w14:paraId="225658EE" w14:textId="77777777" w:rsidTr="00894126">
        <w:trPr>
          <w:cantSplit/>
          <w:trHeight w:val="480"/>
        </w:trPr>
        <w:tc>
          <w:tcPr>
            <w:tcW w:w="4764" w:type="dxa"/>
            <w:hideMark/>
          </w:tcPr>
          <w:p w14:paraId="05CF9F16" w14:textId="77777777" w:rsidR="00814857" w:rsidRDefault="00814857" w:rsidP="00894126">
            <w:pPr>
              <w:pStyle w:val="ARtabletext"/>
            </w:pPr>
            <w:r>
              <w:rPr>
                <w:noProof/>
              </w:rPr>
              <w:t>Organisations that have successfully completed a certification review (accommodation supports)</w:t>
            </w:r>
          </w:p>
        </w:tc>
        <w:tc>
          <w:tcPr>
            <w:tcW w:w="1021" w:type="dxa"/>
            <w:hideMark/>
          </w:tcPr>
          <w:p w14:paraId="0916B030" w14:textId="77777777" w:rsidR="00814857" w:rsidRDefault="00814857" w:rsidP="00894126">
            <w:pPr>
              <w:pStyle w:val="ARtabletextright"/>
            </w:pPr>
            <w:r>
              <w:rPr>
                <w:noProof/>
              </w:rPr>
              <w:t>per cent</w:t>
            </w:r>
          </w:p>
        </w:tc>
        <w:tc>
          <w:tcPr>
            <w:tcW w:w="1022" w:type="dxa"/>
            <w:hideMark/>
          </w:tcPr>
          <w:p w14:paraId="4671E6D2" w14:textId="77777777" w:rsidR="00814857" w:rsidRDefault="00814857" w:rsidP="00894126">
            <w:pPr>
              <w:pStyle w:val="ARtabletextright"/>
            </w:pPr>
            <w:r>
              <w:rPr>
                <w:noProof/>
              </w:rPr>
              <w:t>95</w:t>
            </w:r>
          </w:p>
        </w:tc>
        <w:tc>
          <w:tcPr>
            <w:tcW w:w="1022" w:type="dxa"/>
            <w:hideMark/>
          </w:tcPr>
          <w:p w14:paraId="1AB0E7C6" w14:textId="77777777" w:rsidR="00814857" w:rsidRDefault="00814857" w:rsidP="00894126">
            <w:pPr>
              <w:pStyle w:val="ARtabletextright"/>
            </w:pPr>
            <w:r>
              <w:rPr>
                <w:noProof/>
              </w:rPr>
              <w:t>100</w:t>
            </w:r>
          </w:p>
        </w:tc>
        <w:tc>
          <w:tcPr>
            <w:tcW w:w="1022" w:type="dxa"/>
            <w:hideMark/>
          </w:tcPr>
          <w:p w14:paraId="0FB85679" w14:textId="77777777" w:rsidR="00814857" w:rsidRDefault="00814857" w:rsidP="00894126">
            <w:pPr>
              <w:pStyle w:val="ARtabletextright"/>
            </w:pPr>
            <w:r>
              <w:rPr>
                <w:noProof/>
              </w:rPr>
              <w:t>5.3</w:t>
            </w:r>
          </w:p>
        </w:tc>
        <w:tc>
          <w:tcPr>
            <w:tcW w:w="794" w:type="dxa"/>
            <w:hideMark/>
          </w:tcPr>
          <w:p w14:paraId="2DDA14A2" w14:textId="77777777" w:rsidR="00814857" w:rsidRDefault="00814857" w:rsidP="00894126">
            <w:pPr>
              <w:pStyle w:val="ARtabletextright"/>
            </w:pPr>
            <w:r>
              <w:sym w:font="Wingdings" w:char="F0FC"/>
            </w:r>
          </w:p>
        </w:tc>
      </w:tr>
      <w:tr w:rsidR="00814857" w14:paraId="07E05804" w14:textId="77777777" w:rsidTr="00894126">
        <w:trPr>
          <w:cantSplit/>
          <w:trHeight w:val="240"/>
        </w:trPr>
        <w:tc>
          <w:tcPr>
            <w:tcW w:w="9645" w:type="dxa"/>
            <w:gridSpan w:val="6"/>
            <w:tcBorders>
              <w:top w:val="nil"/>
              <w:left w:val="nil"/>
              <w:bottom w:val="single" w:sz="4" w:space="0" w:color="BFBFBF"/>
              <w:right w:val="nil"/>
            </w:tcBorders>
            <w:noWrap/>
            <w:hideMark/>
          </w:tcPr>
          <w:p w14:paraId="659E6046" w14:textId="77777777" w:rsidR="00814857" w:rsidRDefault="00814857" w:rsidP="00894126">
            <w:pPr>
              <w:pStyle w:val="ARtablenoteindent"/>
            </w:pPr>
            <w:r>
              <w:t>The 2018–19 outcome is higher than the 2018–19 target due to eligible funded organisations completing a certification review every three years</w:t>
            </w:r>
            <w:r>
              <w:rPr>
                <w:noProof/>
              </w:rPr>
              <w:t>. This is a positive result.</w:t>
            </w:r>
          </w:p>
        </w:tc>
      </w:tr>
      <w:tr w:rsidR="00814857" w14:paraId="01A5309E" w14:textId="77777777" w:rsidTr="00894126">
        <w:trPr>
          <w:cantSplit/>
          <w:trHeight w:val="480"/>
        </w:trPr>
        <w:tc>
          <w:tcPr>
            <w:tcW w:w="4764" w:type="dxa"/>
            <w:hideMark/>
          </w:tcPr>
          <w:p w14:paraId="449D4B39" w14:textId="77777777" w:rsidR="00814857" w:rsidRDefault="00814857" w:rsidP="00894126">
            <w:pPr>
              <w:pStyle w:val="ARtabletext"/>
            </w:pPr>
            <w:r>
              <w:rPr>
                <w:noProof/>
              </w:rPr>
              <w:t>Organisations that have successfully completed a certification review (client services and capacity)</w:t>
            </w:r>
          </w:p>
        </w:tc>
        <w:tc>
          <w:tcPr>
            <w:tcW w:w="1021" w:type="dxa"/>
            <w:hideMark/>
          </w:tcPr>
          <w:p w14:paraId="615BA545" w14:textId="77777777" w:rsidR="00814857" w:rsidRDefault="00814857" w:rsidP="00894126">
            <w:pPr>
              <w:pStyle w:val="ARtabletextright"/>
            </w:pPr>
            <w:r>
              <w:rPr>
                <w:noProof/>
              </w:rPr>
              <w:t>per cent</w:t>
            </w:r>
          </w:p>
        </w:tc>
        <w:tc>
          <w:tcPr>
            <w:tcW w:w="1022" w:type="dxa"/>
            <w:hideMark/>
          </w:tcPr>
          <w:p w14:paraId="13E0208F" w14:textId="77777777" w:rsidR="00814857" w:rsidRDefault="00814857" w:rsidP="00894126">
            <w:pPr>
              <w:pStyle w:val="ARtabletextright"/>
            </w:pPr>
            <w:r>
              <w:rPr>
                <w:noProof/>
              </w:rPr>
              <w:t>95</w:t>
            </w:r>
          </w:p>
        </w:tc>
        <w:tc>
          <w:tcPr>
            <w:tcW w:w="1022" w:type="dxa"/>
            <w:hideMark/>
          </w:tcPr>
          <w:p w14:paraId="184DD549" w14:textId="77777777" w:rsidR="00814857" w:rsidRDefault="00814857" w:rsidP="00894126">
            <w:pPr>
              <w:pStyle w:val="ARtabletextright"/>
            </w:pPr>
            <w:r>
              <w:rPr>
                <w:noProof/>
              </w:rPr>
              <w:t>100</w:t>
            </w:r>
          </w:p>
        </w:tc>
        <w:tc>
          <w:tcPr>
            <w:tcW w:w="1022" w:type="dxa"/>
            <w:hideMark/>
          </w:tcPr>
          <w:p w14:paraId="7CFC01FF" w14:textId="77777777" w:rsidR="00814857" w:rsidRDefault="00814857" w:rsidP="00894126">
            <w:pPr>
              <w:pStyle w:val="ARtabletextright"/>
            </w:pPr>
            <w:r>
              <w:rPr>
                <w:noProof/>
              </w:rPr>
              <w:t>5.3</w:t>
            </w:r>
          </w:p>
        </w:tc>
        <w:tc>
          <w:tcPr>
            <w:tcW w:w="794" w:type="dxa"/>
            <w:hideMark/>
          </w:tcPr>
          <w:p w14:paraId="6AE5817B" w14:textId="77777777" w:rsidR="00814857" w:rsidRDefault="00814857" w:rsidP="00894126">
            <w:pPr>
              <w:pStyle w:val="ARtabletextright"/>
            </w:pPr>
            <w:r>
              <w:sym w:font="Wingdings" w:char="F0FC"/>
            </w:r>
          </w:p>
        </w:tc>
      </w:tr>
      <w:tr w:rsidR="00814857" w14:paraId="6AE508C6" w14:textId="77777777" w:rsidTr="00773DFC">
        <w:trPr>
          <w:cantSplit/>
          <w:trHeight w:val="238"/>
        </w:trPr>
        <w:tc>
          <w:tcPr>
            <w:tcW w:w="9645" w:type="dxa"/>
            <w:gridSpan w:val="6"/>
            <w:tcBorders>
              <w:top w:val="nil"/>
              <w:left w:val="nil"/>
              <w:bottom w:val="single" w:sz="4" w:space="0" w:color="BFBFBF"/>
              <w:right w:val="nil"/>
            </w:tcBorders>
            <w:noWrap/>
            <w:hideMark/>
          </w:tcPr>
          <w:p w14:paraId="3946C449" w14:textId="77777777" w:rsidR="00814857" w:rsidRDefault="00814857" w:rsidP="00894126">
            <w:pPr>
              <w:pStyle w:val="ARtablenoteindent"/>
            </w:pPr>
            <w:r>
              <w:t>The 2018–19 outcome is higher than the 2018–19 target due to eligible funded organisations completing a certification review every three years.</w:t>
            </w:r>
            <w:r>
              <w:rPr>
                <w:noProof/>
              </w:rPr>
              <w:t xml:space="preserve"> This is a positive result. </w:t>
            </w:r>
          </w:p>
        </w:tc>
      </w:tr>
      <w:tr w:rsidR="00814857" w14:paraId="781B5C02" w14:textId="77777777" w:rsidTr="00894126">
        <w:trPr>
          <w:cantSplit/>
          <w:trHeight w:val="480"/>
        </w:trPr>
        <w:tc>
          <w:tcPr>
            <w:tcW w:w="4764" w:type="dxa"/>
            <w:hideMark/>
          </w:tcPr>
          <w:p w14:paraId="6F8E7A94" w14:textId="77777777" w:rsidR="00814857" w:rsidRDefault="00814857" w:rsidP="00773DFC">
            <w:pPr>
              <w:pStyle w:val="ARtabletext"/>
              <w:keepNext/>
            </w:pPr>
            <w:r>
              <w:rPr>
                <w:noProof/>
              </w:rPr>
              <w:lastRenderedPageBreak/>
              <w:t>Organisations that have successfully completed a certification review (individualised supports)</w:t>
            </w:r>
          </w:p>
        </w:tc>
        <w:tc>
          <w:tcPr>
            <w:tcW w:w="1021" w:type="dxa"/>
            <w:hideMark/>
          </w:tcPr>
          <w:p w14:paraId="48017A46" w14:textId="77777777" w:rsidR="00814857" w:rsidRDefault="00814857" w:rsidP="00894126">
            <w:pPr>
              <w:pStyle w:val="ARtabletextright"/>
            </w:pPr>
            <w:r>
              <w:rPr>
                <w:noProof/>
              </w:rPr>
              <w:t>per cent</w:t>
            </w:r>
          </w:p>
        </w:tc>
        <w:tc>
          <w:tcPr>
            <w:tcW w:w="1022" w:type="dxa"/>
            <w:hideMark/>
          </w:tcPr>
          <w:p w14:paraId="7BBCA8AA" w14:textId="77777777" w:rsidR="00814857" w:rsidRDefault="00814857" w:rsidP="00894126">
            <w:pPr>
              <w:pStyle w:val="ARtabletextright"/>
            </w:pPr>
            <w:r>
              <w:rPr>
                <w:noProof/>
              </w:rPr>
              <w:t>95</w:t>
            </w:r>
          </w:p>
        </w:tc>
        <w:tc>
          <w:tcPr>
            <w:tcW w:w="1022" w:type="dxa"/>
            <w:hideMark/>
          </w:tcPr>
          <w:p w14:paraId="0F9F8EC7" w14:textId="77777777" w:rsidR="00814857" w:rsidRDefault="00814857" w:rsidP="00894126">
            <w:pPr>
              <w:pStyle w:val="ARtabletextright"/>
            </w:pPr>
            <w:r>
              <w:rPr>
                <w:noProof/>
              </w:rPr>
              <w:t>100</w:t>
            </w:r>
          </w:p>
        </w:tc>
        <w:tc>
          <w:tcPr>
            <w:tcW w:w="1022" w:type="dxa"/>
            <w:hideMark/>
          </w:tcPr>
          <w:p w14:paraId="77351612" w14:textId="77777777" w:rsidR="00814857" w:rsidRDefault="00814857" w:rsidP="00894126">
            <w:pPr>
              <w:pStyle w:val="ARtabletextright"/>
            </w:pPr>
            <w:r>
              <w:rPr>
                <w:noProof/>
              </w:rPr>
              <w:t>5.3</w:t>
            </w:r>
          </w:p>
        </w:tc>
        <w:tc>
          <w:tcPr>
            <w:tcW w:w="794" w:type="dxa"/>
            <w:hideMark/>
          </w:tcPr>
          <w:p w14:paraId="4A9CB011" w14:textId="77777777" w:rsidR="00814857" w:rsidRDefault="00814857" w:rsidP="00894126">
            <w:pPr>
              <w:pStyle w:val="ARtabletextright"/>
            </w:pPr>
            <w:r>
              <w:sym w:font="Wingdings" w:char="F0FC"/>
            </w:r>
          </w:p>
        </w:tc>
      </w:tr>
      <w:tr w:rsidR="00814857" w14:paraId="08C9216C" w14:textId="77777777" w:rsidTr="00894126">
        <w:trPr>
          <w:cantSplit/>
          <w:trHeight w:val="240"/>
        </w:trPr>
        <w:tc>
          <w:tcPr>
            <w:tcW w:w="9645" w:type="dxa"/>
            <w:gridSpan w:val="6"/>
            <w:tcBorders>
              <w:top w:val="nil"/>
              <w:left w:val="nil"/>
              <w:bottom w:val="single" w:sz="4" w:space="0" w:color="BFBFBF"/>
              <w:right w:val="nil"/>
            </w:tcBorders>
            <w:noWrap/>
            <w:hideMark/>
          </w:tcPr>
          <w:p w14:paraId="4CA59EC7" w14:textId="77777777" w:rsidR="00814857" w:rsidRDefault="00814857" w:rsidP="00894126">
            <w:pPr>
              <w:pStyle w:val="ARtablenoteindent"/>
            </w:pPr>
            <w:r>
              <w:t>The 2018–19 outcome is higher than the 2018–19 target due to eligible funded organisations completing a certification review every three years</w:t>
            </w:r>
            <w:r>
              <w:rPr>
                <w:noProof/>
              </w:rPr>
              <w:t>. This is a positive result.</w:t>
            </w:r>
          </w:p>
        </w:tc>
      </w:tr>
      <w:tr w:rsidR="00814857" w14:paraId="728502E4" w14:textId="77777777" w:rsidTr="00894126">
        <w:trPr>
          <w:cantSplit/>
          <w:trHeight w:val="480"/>
        </w:trPr>
        <w:tc>
          <w:tcPr>
            <w:tcW w:w="4764" w:type="dxa"/>
            <w:hideMark/>
          </w:tcPr>
          <w:p w14:paraId="2713D9A5" w14:textId="77777777" w:rsidR="00814857" w:rsidRDefault="00814857" w:rsidP="00894126">
            <w:pPr>
              <w:pStyle w:val="ARtabletext"/>
            </w:pPr>
            <w:r>
              <w:rPr>
                <w:noProof/>
              </w:rPr>
              <w:t>Support plans reviewed at least once during each period of three years commencing from when the support plan was first prepared (accommodation supports)</w:t>
            </w:r>
          </w:p>
        </w:tc>
        <w:tc>
          <w:tcPr>
            <w:tcW w:w="1021" w:type="dxa"/>
            <w:hideMark/>
          </w:tcPr>
          <w:p w14:paraId="3F914544" w14:textId="77777777" w:rsidR="00814857" w:rsidRDefault="00814857" w:rsidP="00894126">
            <w:pPr>
              <w:pStyle w:val="ARtabletextright"/>
            </w:pPr>
            <w:r>
              <w:rPr>
                <w:noProof/>
              </w:rPr>
              <w:t>per cent</w:t>
            </w:r>
          </w:p>
        </w:tc>
        <w:tc>
          <w:tcPr>
            <w:tcW w:w="1022" w:type="dxa"/>
            <w:hideMark/>
          </w:tcPr>
          <w:p w14:paraId="431B0FA1" w14:textId="77777777" w:rsidR="00814857" w:rsidRDefault="00814857" w:rsidP="00894126">
            <w:pPr>
              <w:pStyle w:val="ARtabletextright"/>
            </w:pPr>
            <w:r>
              <w:rPr>
                <w:noProof/>
              </w:rPr>
              <w:t>100</w:t>
            </w:r>
          </w:p>
        </w:tc>
        <w:tc>
          <w:tcPr>
            <w:tcW w:w="1022" w:type="dxa"/>
            <w:hideMark/>
          </w:tcPr>
          <w:p w14:paraId="003369BC" w14:textId="77777777" w:rsidR="00814857" w:rsidRDefault="00814857" w:rsidP="00894126">
            <w:pPr>
              <w:pStyle w:val="ARtabletextright"/>
            </w:pPr>
            <w:r>
              <w:rPr>
                <w:noProof/>
              </w:rPr>
              <w:t>97.8</w:t>
            </w:r>
          </w:p>
        </w:tc>
        <w:tc>
          <w:tcPr>
            <w:tcW w:w="1022" w:type="dxa"/>
            <w:hideMark/>
          </w:tcPr>
          <w:p w14:paraId="4F6C0765" w14:textId="77777777" w:rsidR="00814857" w:rsidRDefault="00814857" w:rsidP="00894126">
            <w:pPr>
              <w:pStyle w:val="ARtabletextright"/>
            </w:pPr>
            <w:r>
              <w:rPr>
                <w:noProof/>
              </w:rPr>
              <w:t>-2.2</w:t>
            </w:r>
          </w:p>
        </w:tc>
        <w:tc>
          <w:tcPr>
            <w:tcW w:w="794" w:type="dxa"/>
            <w:hideMark/>
          </w:tcPr>
          <w:p w14:paraId="7E648D13" w14:textId="77777777" w:rsidR="00814857" w:rsidRDefault="00814857" w:rsidP="00894126">
            <w:pPr>
              <w:pStyle w:val="ARtabletextright"/>
            </w:pPr>
            <w:r w:rsidRPr="007939DD">
              <w:sym w:font="Wingdings 2" w:char="F099"/>
            </w:r>
          </w:p>
        </w:tc>
      </w:tr>
      <w:tr w:rsidR="00814857" w14:paraId="15FCBB59" w14:textId="77777777" w:rsidTr="00894126">
        <w:trPr>
          <w:cantSplit/>
          <w:trHeight w:val="240"/>
        </w:trPr>
        <w:tc>
          <w:tcPr>
            <w:tcW w:w="9645" w:type="dxa"/>
            <w:gridSpan w:val="6"/>
            <w:tcBorders>
              <w:top w:val="nil"/>
              <w:left w:val="nil"/>
              <w:bottom w:val="single" w:sz="4" w:space="0" w:color="BFBFBF"/>
              <w:right w:val="nil"/>
            </w:tcBorders>
            <w:noWrap/>
            <w:hideMark/>
          </w:tcPr>
          <w:p w14:paraId="73CCE1BB" w14:textId="77777777" w:rsidR="00814857" w:rsidRDefault="00814857" w:rsidP="00894126">
            <w:pPr>
              <w:pStyle w:val="ARtablenoteindent"/>
            </w:pPr>
            <w:r>
              <w:rPr>
                <w:noProof/>
              </w:rPr>
              <w:t xml:space="preserve">This result is based on 6 months of data from June to December 2018. The data collection was discontinued from January 2019 as the NDIS transition progressed. </w:t>
            </w:r>
          </w:p>
        </w:tc>
      </w:tr>
      <w:tr w:rsidR="00814857" w14:paraId="511A7C94" w14:textId="77777777" w:rsidTr="00894126">
        <w:trPr>
          <w:cantSplit/>
          <w:trHeight w:val="480"/>
        </w:trPr>
        <w:tc>
          <w:tcPr>
            <w:tcW w:w="4764" w:type="dxa"/>
            <w:hideMark/>
          </w:tcPr>
          <w:p w14:paraId="1BABF4EA" w14:textId="77777777" w:rsidR="00814857" w:rsidRDefault="00814857" w:rsidP="00894126">
            <w:pPr>
              <w:pStyle w:val="ARtabletext"/>
            </w:pPr>
            <w:r>
              <w:rPr>
                <w:noProof/>
              </w:rPr>
              <w:t>Support plans reviewed at least once during each period of three years commencing from when the support plans was first prepared (individualised supports)</w:t>
            </w:r>
          </w:p>
        </w:tc>
        <w:tc>
          <w:tcPr>
            <w:tcW w:w="1021" w:type="dxa"/>
            <w:hideMark/>
          </w:tcPr>
          <w:p w14:paraId="2EDF7599" w14:textId="77777777" w:rsidR="00814857" w:rsidRDefault="00814857" w:rsidP="00894126">
            <w:pPr>
              <w:pStyle w:val="ARtabletextright"/>
            </w:pPr>
            <w:r>
              <w:rPr>
                <w:noProof/>
              </w:rPr>
              <w:t>per cent</w:t>
            </w:r>
          </w:p>
        </w:tc>
        <w:tc>
          <w:tcPr>
            <w:tcW w:w="1022" w:type="dxa"/>
            <w:hideMark/>
          </w:tcPr>
          <w:p w14:paraId="4DAF3816" w14:textId="77777777" w:rsidR="00814857" w:rsidRDefault="00814857" w:rsidP="00894126">
            <w:pPr>
              <w:pStyle w:val="ARtabletextright"/>
            </w:pPr>
            <w:r>
              <w:rPr>
                <w:noProof/>
              </w:rPr>
              <w:t>100</w:t>
            </w:r>
          </w:p>
        </w:tc>
        <w:tc>
          <w:tcPr>
            <w:tcW w:w="1022" w:type="dxa"/>
            <w:hideMark/>
          </w:tcPr>
          <w:p w14:paraId="56078519" w14:textId="77777777" w:rsidR="00814857" w:rsidRDefault="00814857" w:rsidP="00894126">
            <w:pPr>
              <w:pStyle w:val="ARtabletextright"/>
            </w:pPr>
            <w:r>
              <w:rPr>
                <w:noProof/>
              </w:rPr>
              <w:t>76.4</w:t>
            </w:r>
          </w:p>
        </w:tc>
        <w:tc>
          <w:tcPr>
            <w:tcW w:w="1022" w:type="dxa"/>
            <w:hideMark/>
          </w:tcPr>
          <w:p w14:paraId="7989F981" w14:textId="77777777" w:rsidR="00814857" w:rsidRDefault="00814857" w:rsidP="00894126">
            <w:pPr>
              <w:pStyle w:val="ARtabletextright"/>
            </w:pPr>
            <w:r>
              <w:rPr>
                <w:noProof/>
              </w:rPr>
              <w:t>-23.6</w:t>
            </w:r>
          </w:p>
        </w:tc>
        <w:tc>
          <w:tcPr>
            <w:tcW w:w="794" w:type="dxa"/>
            <w:hideMark/>
          </w:tcPr>
          <w:p w14:paraId="3D35B982" w14:textId="77777777" w:rsidR="00814857" w:rsidRDefault="00814857" w:rsidP="00894126">
            <w:pPr>
              <w:pStyle w:val="ARtabletextright"/>
            </w:pPr>
            <w:r>
              <w:sym w:font="Wingdings" w:char="F06E"/>
            </w:r>
          </w:p>
        </w:tc>
      </w:tr>
      <w:tr w:rsidR="00814857" w14:paraId="69C60CE6" w14:textId="77777777" w:rsidTr="00894126">
        <w:trPr>
          <w:cantSplit/>
          <w:trHeight w:val="240"/>
        </w:trPr>
        <w:tc>
          <w:tcPr>
            <w:tcW w:w="9645" w:type="dxa"/>
            <w:gridSpan w:val="6"/>
            <w:tcBorders>
              <w:top w:val="nil"/>
              <w:left w:val="nil"/>
              <w:bottom w:val="single" w:sz="4" w:space="0" w:color="BFBFBF"/>
              <w:right w:val="nil"/>
            </w:tcBorders>
            <w:noWrap/>
            <w:hideMark/>
          </w:tcPr>
          <w:p w14:paraId="002A1721" w14:textId="77777777" w:rsidR="00814857" w:rsidRDefault="00814857" w:rsidP="00894126">
            <w:pPr>
              <w:pStyle w:val="ARtablenoteindent"/>
            </w:pPr>
            <w:r>
              <w:t>The 2018–19 outcome is lower than the 2018–19 target due to clients earmarked for NDIS transition not having their individualised supports reviewed since their NDIS planning is imminent</w:t>
            </w:r>
          </w:p>
        </w:tc>
      </w:tr>
      <w:tr w:rsidR="00814857" w14:paraId="6B5016CE" w14:textId="77777777" w:rsidTr="00894126">
        <w:trPr>
          <w:cantSplit/>
          <w:trHeight w:val="480"/>
        </w:trPr>
        <w:tc>
          <w:tcPr>
            <w:tcW w:w="4764" w:type="dxa"/>
            <w:hideMark/>
          </w:tcPr>
          <w:p w14:paraId="6DE9D16F" w14:textId="77777777" w:rsidR="00814857" w:rsidRDefault="00814857" w:rsidP="00894126">
            <w:pPr>
              <w:pStyle w:val="ARtabletext"/>
            </w:pPr>
            <w:r>
              <w:rPr>
                <w:noProof/>
              </w:rPr>
              <w:t>Support plans reviewed every 12 months for persons residing in residential institutions</w:t>
            </w:r>
          </w:p>
        </w:tc>
        <w:tc>
          <w:tcPr>
            <w:tcW w:w="1021" w:type="dxa"/>
            <w:hideMark/>
          </w:tcPr>
          <w:p w14:paraId="3E147D8B" w14:textId="77777777" w:rsidR="00814857" w:rsidRDefault="00814857" w:rsidP="00894126">
            <w:pPr>
              <w:pStyle w:val="ARtabletextright"/>
            </w:pPr>
            <w:r>
              <w:rPr>
                <w:noProof/>
              </w:rPr>
              <w:t>per cent</w:t>
            </w:r>
          </w:p>
        </w:tc>
        <w:tc>
          <w:tcPr>
            <w:tcW w:w="1022" w:type="dxa"/>
            <w:hideMark/>
          </w:tcPr>
          <w:p w14:paraId="33211ED4" w14:textId="77777777" w:rsidR="00814857" w:rsidRDefault="00814857" w:rsidP="00894126">
            <w:pPr>
              <w:pStyle w:val="ARtabletextright"/>
            </w:pPr>
            <w:r>
              <w:rPr>
                <w:noProof/>
              </w:rPr>
              <w:t>100</w:t>
            </w:r>
          </w:p>
        </w:tc>
        <w:tc>
          <w:tcPr>
            <w:tcW w:w="1022" w:type="dxa"/>
            <w:hideMark/>
          </w:tcPr>
          <w:p w14:paraId="18A882FC" w14:textId="77777777" w:rsidR="00814857" w:rsidRDefault="00814857" w:rsidP="00894126">
            <w:pPr>
              <w:pStyle w:val="ARtabletextright"/>
            </w:pPr>
            <w:r>
              <w:rPr>
                <w:noProof/>
              </w:rPr>
              <w:t>100</w:t>
            </w:r>
          </w:p>
        </w:tc>
        <w:tc>
          <w:tcPr>
            <w:tcW w:w="1022" w:type="dxa"/>
            <w:hideMark/>
          </w:tcPr>
          <w:p w14:paraId="13B5BA77" w14:textId="77777777" w:rsidR="00814857" w:rsidRDefault="00814857" w:rsidP="00894126">
            <w:pPr>
              <w:pStyle w:val="ARtabletextright"/>
            </w:pPr>
            <w:r>
              <w:rPr>
                <w:noProof/>
              </w:rPr>
              <w:t>0.0</w:t>
            </w:r>
          </w:p>
        </w:tc>
        <w:tc>
          <w:tcPr>
            <w:tcW w:w="794" w:type="dxa"/>
            <w:hideMark/>
          </w:tcPr>
          <w:p w14:paraId="3DBF348F" w14:textId="77777777" w:rsidR="00814857" w:rsidRDefault="00814857" w:rsidP="00894126">
            <w:pPr>
              <w:pStyle w:val="ARtabletextright"/>
            </w:pPr>
            <w:r>
              <w:sym w:font="Wingdings" w:char="F0FC"/>
            </w:r>
          </w:p>
        </w:tc>
      </w:tr>
      <w:tr w:rsidR="00814857" w14:paraId="48CD3F3D" w14:textId="77777777" w:rsidTr="00894126">
        <w:trPr>
          <w:cantSplit/>
          <w:trHeight w:val="240"/>
        </w:trPr>
        <w:tc>
          <w:tcPr>
            <w:tcW w:w="9645" w:type="dxa"/>
            <w:gridSpan w:val="6"/>
            <w:tcBorders>
              <w:top w:val="nil"/>
              <w:left w:val="nil"/>
              <w:bottom w:val="single" w:sz="4" w:space="0" w:color="BFBFBF"/>
              <w:right w:val="nil"/>
            </w:tcBorders>
            <w:noWrap/>
            <w:hideMark/>
          </w:tcPr>
          <w:p w14:paraId="7A87DA43" w14:textId="77777777" w:rsidR="00814857" w:rsidRDefault="00814857" w:rsidP="00894126">
            <w:pPr>
              <w:pStyle w:val="ARtablenoteindent"/>
            </w:pPr>
            <w:r>
              <w:rPr>
                <w:noProof/>
              </w:rPr>
              <w:t xml:space="preserve">This result is based on 6 months of data from June to December 2018. The data collection was discontinued from January 2019 as the NDIS transition progressed. </w:t>
            </w:r>
          </w:p>
        </w:tc>
      </w:tr>
      <w:tr w:rsidR="00773DFC" w14:paraId="3A40FB11" w14:textId="77777777" w:rsidTr="000A6AF0">
        <w:trPr>
          <w:cantSplit/>
          <w:trHeight w:val="240"/>
        </w:trPr>
        <w:tc>
          <w:tcPr>
            <w:tcW w:w="9645" w:type="dxa"/>
            <w:gridSpan w:val="6"/>
            <w:tcBorders>
              <w:top w:val="single" w:sz="4" w:space="0" w:color="auto"/>
              <w:left w:val="nil"/>
              <w:bottom w:val="nil"/>
              <w:right w:val="nil"/>
            </w:tcBorders>
            <w:hideMark/>
          </w:tcPr>
          <w:p w14:paraId="58972A5C" w14:textId="678FBA50" w:rsidR="00773DFC" w:rsidRDefault="00773DFC" w:rsidP="003F5C29">
            <w:pPr>
              <w:pStyle w:val="ARtablegreybold"/>
            </w:pPr>
            <w:r w:rsidRPr="003F5C29">
              <w:t>Timeliness</w:t>
            </w:r>
          </w:p>
        </w:tc>
      </w:tr>
      <w:tr w:rsidR="00814857" w14:paraId="57543986" w14:textId="77777777" w:rsidTr="00894126">
        <w:trPr>
          <w:cantSplit/>
          <w:trHeight w:val="480"/>
        </w:trPr>
        <w:tc>
          <w:tcPr>
            <w:tcW w:w="4764" w:type="dxa"/>
            <w:hideMark/>
          </w:tcPr>
          <w:p w14:paraId="69EC8760" w14:textId="77777777" w:rsidR="00814857" w:rsidRDefault="00814857" w:rsidP="00894126">
            <w:pPr>
              <w:pStyle w:val="ARtabletext"/>
            </w:pPr>
            <w:r>
              <w:rPr>
                <w:noProof/>
              </w:rPr>
              <w:t>Applications for aids and equipment acknowledged in writing within ten working days</w:t>
            </w:r>
          </w:p>
        </w:tc>
        <w:tc>
          <w:tcPr>
            <w:tcW w:w="1021" w:type="dxa"/>
            <w:hideMark/>
          </w:tcPr>
          <w:p w14:paraId="321263AA" w14:textId="77777777" w:rsidR="00814857" w:rsidRDefault="00814857" w:rsidP="00894126">
            <w:pPr>
              <w:pStyle w:val="ARtabletextright"/>
            </w:pPr>
            <w:r>
              <w:rPr>
                <w:noProof/>
              </w:rPr>
              <w:t>per cent</w:t>
            </w:r>
          </w:p>
        </w:tc>
        <w:tc>
          <w:tcPr>
            <w:tcW w:w="1022" w:type="dxa"/>
            <w:hideMark/>
          </w:tcPr>
          <w:p w14:paraId="068638EB" w14:textId="77777777" w:rsidR="00814857" w:rsidRDefault="00814857" w:rsidP="00894126">
            <w:pPr>
              <w:pStyle w:val="ARtabletextright"/>
            </w:pPr>
            <w:r>
              <w:rPr>
                <w:noProof/>
              </w:rPr>
              <w:t>90</w:t>
            </w:r>
          </w:p>
        </w:tc>
        <w:tc>
          <w:tcPr>
            <w:tcW w:w="1022" w:type="dxa"/>
            <w:hideMark/>
          </w:tcPr>
          <w:p w14:paraId="66423FC6" w14:textId="77777777" w:rsidR="00814857" w:rsidRDefault="00814857" w:rsidP="00894126">
            <w:pPr>
              <w:pStyle w:val="ARtabletextright"/>
            </w:pPr>
            <w:r>
              <w:rPr>
                <w:noProof/>
              </w:rPr>
              <w:t>98</w:t>
            </w:r>
          </w:p>
        </w:tc>
        <w:tc>
          <w:tcPr>
            <w:tcW w:w="1022" w:type="dxa"/>
            <w:hideMark/>
          </w:tcPr>
          <w:p w14:paraId="169575CF" w14:textId="77777777" w:rsidR="00814857" w:rsidRDefault="00814857" w:rsidP="00894126">
            <w:pPr>
              <w:pStyle w:val="ARtabletextright"/>
            </w:pPr>
            <w:r>
              <w:rPr>
                <w:noProof/>
              </w:rPr>
              <w:t>8.9</w:t>
            </w:r>
          </w:p>
        </w:tc>
        <w:tc>
          <w:tcPr>
            <w:tcW w:w="794" w:type="dxa"/>
            <w:hideMark/>
          </w:tcPr>
          <w:p w14:paraId="7ED548BB" w14:textId="77777777" w:rsidR="00814857" w:rsidRDefault="00814857" w:rsidP="00894126">
            <w:pPr>
              <w:pStyle w:val="ARtabletextright"/>
            </w:pPr>
            <w:r>
              <w:sym w:font="Wingdings" w:char="F0FC"/>
            </w:r>
          </w:p>
        </w:tc>
      </w:tr>
      <w:tr w:rsidR="00814857" w14:paraId="21EB5C9C" w14:textId="77777777" w:rsidTr="00894126">
        <w:trPr>
          <w:cantSplit/>
          <w:trHeight w:val="240"/>
        </w:trPr>
        <w:tc>
          <w:tcPr>
            <w:tcW w:w="9645" w:type="dxa"/>
            <w:gridSpan w:val="6"/>
            <w:tcBorders>
              <w:top w:val="nil"/>
              <w:left w:val="nil"/>
              <w:bottom w:val="single" w:sz="4" w:space="0" w:color="BFBFBF"/>
              <w:right w:val="nil"/>
            </w:tcBorders>
            <w:noWrap/>
            <w:hideMark/>
          </w:tcPr>
          <w:p w14:paraId="552FB2CE" w14:textId="77777777" w:rsidR="00814857" w:rsidRDefault="00814857" w:rsidP="00894126">
            <w:pPr>
              <w:pStyle w:val="ARtablenoteindent"/>
            </w:pPr>
            <w:r>
              <w:rPr>
                <w:noProof/>
              </w:rPr>
              <w:t xml:space="preserve">The result is higher than the target due to timely and responsive service provision. </w:t>
            </w:r>
            <w:r w:rsidRPr="002D051E">
              <w:rPr>
                <w:noProof/>
              </w:rPr>
              <w:t>This is a positive result.</w:t>
            </w:r>
          </w:p>
        </w:tc>
      </w:tr>
      <w:tr w:rsidR="00814857" w14:paraId="113CF1D4" w14:textId="77777777" w:rsidTr="00894126">
        <w:trPr>
          <w:cantSplit/>
          <w:trHeight w:val="480"/>
        </w:trPr>
        <w:tc>
          <w:tcPr>
            <w:tcW w:w="4764" w:type="dxa"/>
            <w:hideMark/>
          </w:tcPr>
          <w:p w14:paraId="5D4C82FE" w14:textId="77777777" w:rsidR="00814857" w:rsidRDefault="00814857" w:rsidP="00894126">
            <w:pPr>
              <w:pStyle w:val="ARtabletext"/>
            </w:pPr>
            <w:r>
              <w:rPr>
                <w:noProof/>
              </w:rPr>
              <w:t>Proportion of clients whose support is commenced within departmental timelines</w:t>
            </w:r>
          </w:p>
        </w:tc>
        <w:tc>
          <w:tcPr>
            <w:tcW w:w="1021" w:type="dxa"/>
            <w:hideMark/>
          </w:tcPr>
          <w:p w14:paraId="5B4A3E90" w14:textId="77777777" w:rsidR="00814857" w:rsidRDefault="00814857" w:rsidP="00894126">
            <w:pPr>
              <w:pStyle w:val="ARtabletextright"/>
            </w:pPr>
            <w:r>
              <w:rPr>
                <w:noProof/>
              </w:rPr>
              <w:t>per cent</w:t>
            </w:r>
          </w:p>
        </w:tc>
        <w:tc>
          <w:tcPr>
            <w:tcW w:w="1022" w:type="dxa"/>
            <w:hideMark/>
          </w:tcPr>
          <w:p w14:paraId="4A4EF08E" w14:textId="77777777" w:rsidR="00814857" w:rsidRDefault="00814857" w:rsidP="00894126">
            <w:pPr>
              <w:pStyle w:val="ARtabletextright"/>
            </w:pPr>
            <w:r>
              <w:rPr>
                <w:noProof/>
              </w:rPr>
              <w:t>85</w:t>
            </w:r>
          </w:p>
        </w:tc>
        <w:tc>
          <w:tcPr>
            <w:tcW w:w="1022" w:type="dxa"/>
            <w:hideMark/>
          </w:tcPr>
          <w:p w14:paraId="516F540C" w14:textId="77777777" w:rsidR="00814857" w:rsidRDefault="00814857" w:rsidP="00894126">
            <w:pPr>
              <w:pStyle w:val="ARtabletextright"/>
            </w:pPr>
            <w:r>
              <w:rPr>
                <w:noProof/>
              </w:rPr>
              <w:t>No data available</w:t>
            </w:r>
          </w:p>
        </w:tc>
        <w:tc>
          <w:tcPr>
            <w:tcW w:w="1022" w:type="dxa"/>
            <w:hideMark/>
          </w:tcPr>
          <w:p w14:paraId="36F82FBE" w14:textId="77777777" w:rsidR="00814857" w:rsidRDefault="00814857" w:rsidP="00894126">
            <w:pPr>
              <w:pStyle w:val="ARtabletextright"/>
            </w:pPr>
            <w:r>
              <w:rPr>
                <w:noProof/>
              </w:rPr>
              <w:t>No data available</w:t>
            </w:r>
          </w:p>
        </w:tc>
        <w:tc>
          <w:tcPr>
            <w:tcW w:w="794" w:type="dxa"/>
            <w:hideMark/>
          </w:tcPr>
          <w:p w14:paraId="6A4C6EA0" w14:textId="77777777" w:rsidR="00814857" w:rsidRDefault="00814857" w:rsidP="00894126">
            <w:pPr>
              <w:pStyle w:val="ARtabletextright"/>
            </w:pPr>
            <w:r>
              <w:sym w:font="Wingdings" w:char="F0FC"/>
            </w:r>
          </w:p>
        </w:tc>
      </w:tr>
      <w:tr w:rsidR="00814857" w14:paraId="6C4788A3" w14:textId="77777777" w:rsidTr="0099241F">
        <w:trPr>
          <w:cantSplit/>
          <w:trHeight w:val="240"/>
        </w:trPr>
        <w:tc>
          <w:tcPr>
            <w:tcW w:w="9645" w:type="dxa"/>
            <w:gridSpan w:val="6"/>
            <w:tcBorders>
              <w:top w:val="nil"/>
              <w:left w:val="nil"/>
              <w:bottom w:val="single" w:sz="4" w:space="0" w:color="BFBFBF" w:themeColor="background2" w:themeShade="BF"/>
              <w:right w:val="nil"/>
            </w:tcBorders>
            <w:noWrap/>
            <w:hideMark/>
          </w:tcPr>
          <w:p w14:paraId="6A161599" w14:textId="77777777" w:rsidR="00814857" w:rsidRDefault="00814857" w:rsidP="00894126">
            <w:pPr>
              <w:pStyle w:val="ARtablenoteindent"/>
            </w:pPr>
            <w:r>
              <w:rPr>
                <w:noProof/>
              </w:rPr>
              <w:t xml:space="preserve">No data available. There are no new clients in 2018–19 due to transition to the NDIS. </w:t>
            </w:r>
          </w:p>
        </w:tc>
      </w:tr>
      <w:tr w:rsidR="00814857" w14:paraId="5B598733" w14:textId="77777777" w:rsidTr="0099241F">
        <w:trPr>
          <w:cantSplit/>
          <w:trHeight w:val="480"/>
        </w:trPr>
        <w:tc>
          <w:tcPr>
            <w:tcW w:w="4764" w:type="dxa"/>
            <w:tcBorders>
              <w:top w:val="single" w:sz="4" w:space="0" w:color="BFBFBF" w:themeColor="background2" w:themeShade="BF"/>
            </w:tcBorders>
            <w:hideMark/>
          </w:tcPr>
          <w:p w14:paraId="0F51D14D" w14:textId="77777777" w:rsidR="00814857" w:rsidRDefault="00814857" w:rsidP="00894126">
            <w:pPr>
              <w:pStyle w:val="ARtabletext"/>
            </w:pPr>
            <w:r>
              <w:rPr>
                <w:noProof/>
              </w:rPr>
              <w:t>Support plans prepared within 60 days of the person commencing to regularly access the disability services (accommodation supports)</w:t>
            </w:r>
          </w:p>
        </w:tc>
        <w:tc>
          <w:tcPr>
            <w:tcW w:w="1021" w:type="dxa"/>
            <w:tcBorders>
              <w:top w:val="single" w:sz="4" w:space="0" w:color="BFBFBF" w:themeColor="background2" w:themeShade="BF"/>
            </w:tcBorders>
            <w:hideMark/>
          </w:tcPr>
          <w:p w14:paraId="50D722A8" w14:textId="77777777" w:rsidR="00814857" w:rsidRDefault="00814857" w:rsidP="00894126">
            <w:pPr>
              <w:pStyle w:val="ARtabletextright"/>
            </w:pPr>
            <w:r>
              <w:rPr>
                <w:noProof/>
              </w:rPr>
              <w:t>per cent</w:t>
            </w:r>
          </w:p>
        </w:tc>
        <w:tc>
          <w:tcPr>
            <w:tcW w:w="1022" w:type="dxa"/>
            <w:tcBorders>
              <w:top w:val="single" w:sz="4" w:space="0" w:color="BFBFBF" w:themeColor="background2" w:themeShade="BF"/>
            </w:tcBorders>
            <w:hideMark/>
          </w:tcPr>
          <w:p w14:paraId="68595CE6" w14:textId="77777777" w:rsidR="00814857" w:rsidRDefault="00814857" w:rsidP="00894126">
            <w:pPr>
              <w:pStyle w:val="ARtabletextright"/>
            </w:pPr>
            <w:r>
              <w:rPr>
                <w:noProof/>
              </w:rPr>
              <w:t>100</w:t>
            </w:r>
          </w:p>
        </w:tc>
        <w:tc>
          <w:tcPr>
            <w:tcW w:w="1022" w:type="dxa"/>
            <w:tcBorders>
              <w:top w:val="single" w:sz="4" w:space="0" w:color="BFBFBF" w:themeColor="background2" w:themeShade="BF"/>
            </w:tcBorders>
            <w:hideMark/>
          </w:tcPr>
          <w:p w14:paraId="474DC38A" w14:textId="77777777" w:rsidR="00814857" w:rsidRDefault="00814857" w:rsidP="00894126">
            <w:pPr>
              <w:pStyle w:val="ARtabletextright"/>
            </w:pPr>
            <w:r>
              <w:rPr>
                <w:noProof/>
              </w:rPr>
              <w:t>100</w:t>
            </w:r>
          </w:p>
        </w:tc>
        <w:tc>
          <w:tcPr>
            <w:tcW w:w="1022" w:type="dxa"/>
            <w:tcBorders>
              <w:top w:val="single" w:sz="4" w:space="0" w:color="BFBFBF" w:themeColor="background2" w:themeShade="BF"/>
            </w:tcBorders>
            <w:hideMark/>
          </w:tcPr>
          <w:p w14:paraId="0D5352C3" w14:textId="77777777" w:rsidR="00814857" w:rsidRDefault="00814857" w:rsidP="00894126">
            <w:pPr>
              <w:pStyle w:val="ARtabletextright"/>
            </w:pPr>
            <w:r>
              <w:rPr>
                <w:noProof/>
              </w:rPr>
              <w:t>0.0</w:t>
            </w:r>
          </w:p>
        </w:tc>
        <w:tc>
          <w:tcPr>
            <w:tcW w:w="794" w:type="dxa"/>
            <w:tcBorders>
              <w:top w:val="single" w:sz="4" w:space="0" w:color="BFBFBF" w:themeColor="background2" w:themeShade="BF"/>
            </w:tcBorders>
            <w:hideMark/>
          </w:tcPr>
          <w:p w14:paraId="509ABD35" w14:textId="77777777" w:rsidR="00814857" w:rsidRDefault="00814857" w:rsidP="00894126">
            <w:pPr>
              <w:pStyle w:val="ARtabletextright"/>
            </w:pPr>
            <w:r>
              <w:sym w:font="Wingdings" w:char="F0FC"/>
            </w:r>
          </w:p>
        </w:tc>
      </w:tr>
      <w:tr w:rsidR="00814857" w14:paraId="07D1E5D7" w14:textId="77777777" w:rsidTr="0099241F">
        <w:trPr>
          <w:cantSplit/>
          <w:trHeight w:val="240"/>
        </w:trPr>
        <w:tc>
          <w:tcPr>
            <w:tcW w:w="9645" w:type="dxa"/>
            <w:gridSpan w:val="6"/>
            <w:tcBorders>
              <w:top w:val="nil"/>
              <w:left w:val="nil"/>
              <w:bottom w:val="single" w:sz="4" w:space="0" w:color="BFBFBF" w:themeColor="background2" w:themeShade="BF"/>
              <w:right w:val="nil"/>
            </w:tcBorders>
            <w:noWrap/>
            <w:hideMark/>
          </w:tcPr>
          <w:p w14:paraId="14A48D6A" w14:textId="77777777" w:rsidR="00814857" w:rsidRDefault="00814857" w:rsidP="00894126">
            <w:pPr>
              <w:pStyle w:val="ARtablenoteindent"/>
            </w:pPr>
            <w:r>
              <w:rPr>
                <w:noProof/>
              </w:rPr>
              <w:t xml:space="preserve">This result is based on 6 months of data from June to December 2018. The data collection was discontinued from January 2019 as the NDIS transition progressed. </w:t>
            </w:r>
          </w:p>
        </w:tc>
      </w:tr>
      <w:tr w:rsidR="00814857" w14:paraId="04B2F1A1" w14:textId="77777777" w:rsidTr="0099241F">
        <w:trPr>
          <w:cantSplit/>
          <w:trHeight w:val="480"/>
        </w:trPr>
        <w:tc>
          <w:tcPr>
            <w:tcW w:w="4764" w:type="dxa"/>
            <w:tcBorders>
              <w:top w:val="single" w:sz="4" w:space="0" w:color="BFBFBF" w:themeColor="background2" w:themeShade="BF"/>
            </w:tcBorders>
            <w:hideMark/>
          </w:tcPr>
          <w:p w14:paraId="1A6B23C7" w14:textId="77777777" w:rsidR="00814857" w:rsidRDefault="00814857" w:rsidP="00894126">
            <w:pPr>
              <w:pStyle w:val="ARtabletext"/>
            </w:pPr>
            <w:r>
              <w:rPr>
                <w:noProof/>
              </w:rPr>
              <w:t>Support plans prepared within 60 days of the person commencing to regularly access the disability services (individualised supports)</w:t>
            </w:r>
          </w:p>
        </w:tc>
        <w:tc>
          <w:tcPr>
            <w:tcW w:w="1021" w:type="dxa"/>
            <w:tcBorders>
              <w:top w:val="single" w:sz="4" w:space="0" w:color="BFBFBF" w:themeColor="background2" w:themeShade="BF"/>
            </w:tcBorders>
            <w:hideMark/>
          </w:tcPr>
          <w:p w14:paraId="1B484563" w14:textId="77777777" w:rsidR="00814857" w:rsidRDefault="00814857" w:rsidP="00894126">
            <w:pPr>
              <w:pStyle w:val="ARtabletextright"/>
            </w:pPr>
            <w:r>
              <w:rPr>
                <w:noProof/>
              </w:rPr>
              <w:t>per cent</w:t>
            </w:r>
          </w:p>
        </w:tc>
        <w:tc>
          <w:tcPr>
            <w:tcW w:w="1022" w:type="dxa"/>
            <w:tcBorders>
              <w:top w:val="single" w:sz="4" w:space="0" w:color="BFBFBF" w:themeColor="background2" w:themeShade="BF"/>
            </w:tcBorders>
            <w:hideMark/>
          </w:tcPr>
          <w:p w14:paraId="3E9AB45E" w14:textId="77777777" w:rsidR="00814857" w:rsidRDefault="00814857" w:rsidP="00894126">
            <w:pPr>
              <w:pStyle w:val="ARtabletextright"/>
            </w:pPr>
            <w:r>
              <w:rPr>
                <w:noProof/>
              </w:rPr>
              <w:t>100</w:t>
            </w:r>
          </w:p>
        </w:tc>
        <w:tc>
          <w:tcPr>
            <w:tcW w:w="1022" w:type="dxa"/>
            <w:tcBorders>
              <w:top w:val="single" w:sz="4" w:space="0" w:color="BFBFBF" w:themeColor="background2" w:themeShade="BF"/>
            </w:tcBorders>
            <w:hideMark/>
          </w:tcPr>
          <w:p w14:paraId="500645FA" w14:textId="77777777" w:rsidR="00814857" w:rsidRDefault="00814857" w:rsidP="00894126">
            <w:pPr>
              <w:pStyle w:val="ARtabletextright"/>
            </w:pPr>
            <w:r>
              <w:rPr>
                <w:noProof/>
              </w:rPr>
              <w:t>No data available</w:t>
            </w:r>
          </w:p>
        </w:tc>
        <w:tc>
          <w:tcPr>
            <w:tcW w:w="1022" w:type="dxa"/>
            <w:tcBorders>
              <w:top w:val="single" w:sz="4" w:space="0" w:color="BFBFBF" w:themeColor="background2" w:themeShade="BF"/>
            </w:tcBorders>
            <w:hideMark/>
          </w:tcPr>
          <w:p w14:paraId="1BB75AC5" w14:textId="77777777" w:rsidR="00814857" w:rsidRDefault="00814857" w:rsidP="00894126">
            <w:pPr>
              <w:pStyle w:val="ARtabletextright"/>
            </w:pPr>
            <w:r>
              <w:rPr>
                <w:noProof/>
              </w:rPr>
              <w:t>No data available</w:t>
            </w:r>
          </w:p>
        </w:tc>
        <w:tc>
          <w:tcPr>
            <w:tcW w:w="794" w:type="dxa"/>
            <w:tcBorders>
              <w:top w:val="single" w:sz="4" w:space="0" w:color="BFBFBF" w:themeColor="background2" w:themeShade="BF"/>
            </w:tcBorders>
            <w:hideMark/>
          </w:tcPr>
          <w:p w14:paraId="6421EDF6" w14:textId="77777777" w:rsidR="00814857" w:rsidRDefault="00814857" w:rsidP="00894126">
            <w:pPr>
              <w:pStyle w:val="ARtabletextright"/>
            </w:pPr>
            <w:r>
              <w:sym w:font="Wingdings" w:char="F0FC"/>
            </w:r>
          </w:p>
        </w:tc>
      </w:tr>
      <w:tr w:rsidR="00814857" w14:paraId="0928A2BA" w14:textId="77777777" w:rsidTr="0099241F">
        <w:trPr>
          <w:cantSplit/>
          <w:trHeight w:val="240"/>
        </w:trPr>
        <w:tc>
          <w:tcPr>
            <w:tcW w:w="9645" w:type="dxa"/>
            <w:gridSpan w:val="6"/>
            <w:tcBorders>
              <w:left w:val="nil"/>
              <w:bottom w:val="single" w:sz="4" w:space="0" w:color="BFBFBF" w:themeColor="background2" w:themeShade="BF"/>
              <w:right w:val="nil"/>
            </w:tcBorders>
            <w:noWrap/>
            <w:hideMark/>
          </w:tcPr>
          <w:p w14:paraId="5FEC593F" w14:textId="77777777" w:rsidR="00814857" w:rsidRDefault="00814857" w:rsidP="00894126">
            <w:pPr>
              <w:pStyle w:val="ARtablenoteindent"/>
            </w:pPr>
            <w:r>
              <w:rPr>
                <w:noProof/>
              </w:rPr>
              <w:t xml:space="preserve">No data available. There are no new clients in 2018–19 due to transition to the NDIS. </w:t>
            </w:r>
          </w:p>
        </w:tc>
      </w:tr>
      <w:tr w:rsidR="00814857" w14:paraId="0BA389F6" w14:textId="77777777" w:rsidTr="0099241F">
        <w:trPr>
          <w:cantSplit/>
          <w:trHeight w:val="480"/>
        </w:trPr>
        <w:tc>
          <w:tcPr>
            <w:tcW w:w="4764" w:type="dxa"/>
            <w:tcBorders>
              <w:top w:val="single" w:sz="4" w:space="0" w:color="BFBFBF" w:themeColor="background2" w:themeShade="BF"/>
              <w:bottom w:val="single" w:sz="4" w:space="0" w:color="BFBFBF" w:themeColor="background2" w:themeShade="BF"/>
            </w:tcBorders>
            <w:hideMark/>
          </w:tcPr>
          <w:p w14:paraId="76F76F11" w14:textId="77777777" w:rsidR="00814857" w:rsidRDefault="00814857" w:rsidP="00894126">
            <w:pPr>
              <w:pStyle w:val="ARtabletext"/>
            </w:pPr>
            <w:r>
              <w:rPr>
                <w:noProof/>
              </w:rPr>
              <w:t>Percentage of Supported Independent Living (SIL) services vacancies filled within 60 business days</w:t>
            </w:r>
          </w:p>
        </w:tc>
        <w:tc>
          <w:tcPr>
            <w:tcW w:w="1021" w:type="dxa"/>
            <w:tcBorders>
              <w:top w:val="single" w:sz="4" w:space="0" w:color="BFBFBF" w:themeColor="background2" w:themeShade="BF"/>
              <w:bottom w:val="single" w:sz="4" w:space="0" w:color="BFBFBF" w:themeColor="background2" w:themeShade="BF"/>
            </w:tcBorders>
            <w:hideMark/>
          </w:tcPr>
          <w:p w14:paraId="0D6CD38B" w14:textId="77777777" w:rsidR="00814857" w:rsidRDefault="00814857" w:rsidP="00894126">
            <w:pPr>
              <w:pStyle w:val="ARtabletextright"/>
            </w:pPr>
            <w:r>
              <w:rPr>
                <w:noProof/>
              </w:rPr>
              <w:t>per cent</w:t>
            </w:r>
          </w:p>
        </w:tc>
        <w:tc>
          <w:tcPr>
            <w:tcW w:w="1022" w:type="dxa"/>
            <w:tcBorders>
              <w:top w:val="single" w:sz="4" w:space="0" w:color="BFBFBF" w:themeColor="background2" w:themeShade="BF"/>
              <w:bottom w:val="single" w:sz="4" w:space="0" w:color="BFBFBF" w:themeColor="background2" w:themeShade="BF"/>
            </w:tcBorders>
            <w:hideMark/>
          </w:tcPr>
          <w:p w14:paraId="22FC326C" w14:textId="77777777" w:rsidR="00814857" w:rsidRDefault="00814857" w:rsidP="00894126">
            <w:pPr>
              <w:pStyle w:val="ARtabletextright"/>
            </w:pPr>
            <w:r>
              <w:rPr>
                <w:noProof/>
              </w:rPr>
              <w:t>100</w:t>
            </w:r>
          </w:p>
        </w:tc>
        <w:tc>
          <w:tcPr>
            <w:tcW w:w="1022" w:type="dxa"/>
            <w:tcBorders>
              <w:top w:val="single" w:sz="4" w:space="0" w:color="BFBFBF" w:themeColor="background2" w:themeShade="BF"/>
              <w:bottom w:val="single" w:sz="4" w:space="0" w:color="BFBFBF" w:themeColor="background2" w:themeShade="BF"/>
            </w:tcBorders>
            <w:hideMark/>
          </w:tcPr>
          <w:p w14:paraId="4027122E" w14:textId="77777777" w:rsidR="00814857" w:rsidRDefault="00814857" w:rsidP="00894126">
            <w:pPr>
              <w:pStyle w:val="ARtabletextright"/>
            </w:pPr>
            <w:r>
              <w:rPr>
                <w:noProof/>
              </w:rPr>
              <w:t>100</w:t>
            </w:r>
          </w:p>
        </w:tc>
        <w:tc>
          <w:tcPr>
            <w:tcW w:w="1022" w:type="dxa"/>
            <w:tcBorders>
              <w:top w:val="single" w:sz="4" w:space="0" w:color="BFBFBF" w:themeColor="background2" w:themeShade="BF"/>
              <w:bottom w:val="single" w:sz="4" w:space="0" w:color="BFBFBF" w:themeColor="background2" w:themeShade="BF"/>
            </w:tcBorders>
            <w:hideMark/>
          </w:tcPr>
          <w:p w14:paraId="35F14A59" w14:textId="77777777" w:rsidR="00814857" w:rsidRDefault="00814857" w:rsidP="00894126">
            <w:pPr>
              <w:pStyle w:val="ARtabletextright"/>
            </w:pPr>
            <w:r>
              <w:rPr>
                <w:noProof/>
              </w:rPr>
              <w:t>0.0</w:t>
            </w:r>
          </w:p>
        </w:tc>
        <w:tc>
          <w:tcPr>
            <w:tcW w:w="794" w:type="dxa"/>
            <w:tcBorders>
              <w:top w:val="single" w:sz="4" w:space="0" w:color="BFBFBF" w:themeColor="background2" w:themeShade="BF"/>
              <w:bottom w:val="single" w:sz="4" w:space="0" w:color="BFBFBF" w:themeColor="background2" w:themeShade="BF"/>
            </w:tcBorders>
            <w:hideMark/>
          </w:tcPr>
          <w:p w14:paraId="04BE17CB" w14:textId="77777777" w:rsidR="00814857" w:rsidRDefault="00814857" w:rsidP="00894126">
            <w:pPr>
              <w:pStyle w:val="ARtabletextright"/>
            </w:pPr>
            <w:r>
              <w:sym w:font="Wingdings" w:char="F0FC"/>
            </w:r>
          </w:p>
        </w:tc>
      </w:tr>
      <w:tr w:rsidR="00814857" w14:paraId="18054557" w14:textId="77777777" w:rsidTr="0099241F">
        <w:trPr>
          <w:cantSplit/>
          <w:trHeight w:val="480"/>
        </w:trPr>
        <w:tc>
          <w:tcPr>
            <w:tcW w:w="4764" w:type="dxa"/>
            <w:tcBorders>
              <w:top w:val="single" w:sz="4" w:space="0" w:color="BFBFBF" w:themeColor="background2" w:themeShade="BF"/>
            </w:tcBorders>
            <w:hideMark/>
          </w:tcPr>
          <w:p w14:paraId="1BF05339" w14:textId="77777777" w:rsidR="00814857" w:rsidRDefault="00814857" w:rsidP="00894126">
            <w:pPr>
              <w:pStyle w:val="ARtabletext"/>
            </w:pPr>
            <w:r>
              <w:rPr>
                <w:noProof/>
              </w:rPr>
              <w:t>Percentage of Specialist Disability Accommodation (SDA) services vacancies filled within 60 business days</w:t>
            </w:r>
          </w:p>
        </w:tc>
        <w:tc>
          <w:tcPr>
            <w:tcW w:w="1021" w:type="dxa"/>
            <w:tcBorders>
              <w:top w:val="single" w:sz="4" w:space="0" w:color="BFBFBF" w:themeColor="background2" w:themeShade="BF"/>
            </w:tcBorders>
            <w:hideMark/>
          </w:tcPr>
          <w:p w14:paraId="6DB575AA" w14:textId="77777777" w:rsidR="00814857" w:rsidRDefault="00814857" w:rsidP="00894126">
            <w:pPr>
              <w:pStyle w:val="ARtabletextright"/>
            </w:pPr>
            <w:r>
              <w:rPr>
                <w:noProof/>
              </w:rPr>
              <w:t>per cent</w:t>
            </w:r>
          </w:p>
        </w:tc>
        <w:tc>
          <w:tcPr>
            <w:tcW w:w="1022" w:type="dxa"/>
            <w:tcBorders>
              <w:top w:val="single" w:sz="4" w:space="0" w:color="BFBFBF" w:themeColor="background2" w:themeShade="BF"/>
            </w:tcBorders>
            <w:hideMark/>
          </w:tcPr>
          <w:p w14:paraId="656FF14B" w14:textId="77777777" w:rsidR="00814857" w:rsidRDefault="00814857" w:rsidP="00894126">
            <w:pPr>
              <w:pStyle w:val="ARtabletextright"/>
            </w:pPr>
            <w:r>
              <w:rPr>
                <w:noProof/>
              </w:rPr>
              <w:t>100</w:t>
            </w:r>
          </w:p>
        </w:tc>
        <w:tc>
          <w:tcPr>
            <w:tcW w:w="1022" w:type="dxa"/>
            <w:tcBorders>
              <w:top w:val="single" w:sz="4" w:space="0" w:color="BFBFBF" w:themeColor="background2" w:themeShade="BF"/>
            </w:tcBorders>
            <w:hideMark/>
          </w:tcPr>
          <w:p w14:paraId="1288B1E0" w14:textId="77777777" w:rsidR="00814857" w:rsidRDefault="00814857" w:rsidP="00894126">
            <w:pPr>
              <w:pStyle w:val="ARtabletextright"/>
            </w:pPr>
            <w:r>
              <w:rPr>
                <w:noProof/>
              </w:rPr>
              <w:t>92.3</w:t>
            </w:r>
          </w:p>
        </w:tc>
        <w:tc>
          <w:tcPr>
            <w:tcW w:w="1022" w:type="dxa"/>
            <w:tcBorders>
              <w:top w:val="single" w:sz="4" w:space="0" w:color="BFBFBF" w:themeColor="background2" w:themeShade="BF"/>
            </w:tcBorders>
            <w:hideMark/>
          </w:tcPr>
          <w:p w14:paraId="211C99DF" w14:textId="77777777" w:rsidR="00814857" w:rsidRDefault="00814857" w:rsidP="00894126">
            <w:pPr>
              <w:pStyle w:val="ARtabletextright"/>
            </w:pPr>
            <w:r>
              <w:rPr>
                <w:noProof/>
              </w:rPr>
              <w:t>-7.7</w:t>
            </w:r>
          </w:p>
        </w:tc>
        <w:tc>
          <w:tcPr>
            <w:tcW w:w="794" w:type="dxa"/>
            <w:tcBorders>
              <w:top w:val="single" w:sz="4" w:space="0" w:color="BFBFBF" w:themeColor="background2" w:themeShade="BF"/>
            </w:tcBorders>
            <w:hideMark/>
          </w:tcPr>
          <w:p w14:paraId="6147BC07" w14:textId="77777777" w:rsidR="00814857" w:rsidRDefault="00814857" w:rsidP="00894126">
            <w:pPr>
              <w:pStyle w:val="ARtabletextright"/>
            </w:pPr>
            <w:r>
              <w:sym w:font="Wingdings" w:char="F06E"/>
            </w:r>
          </w:p>
        </w:tc>
      </w:tr>
      <w:tr w:rsidR="00814857" w14:paraId="04D01C29" w14:textId="77777777" w:rsidTr="0099241F">
        <w:trPr>
          <w:cantSplit/>
          <w:trHeight w:val="240"/>
        </w:trPr>
        <w:tc>
          <w:tcPr>
            <w:tcW w:w="9645" w:type="dxa"/>
            <w:gridSpan w:val="6"/>
            <w:tcBorders>
              <w:left w:val="nil"/>
              <w:bottom w:val="single" w:sz="4" w:space="0" w:color="BFBFBF"/>
              <w:right w:val="nil"/>
            </w:tcBorders>
            <w:noWrap/>
            <w:hideMark/>
          </w:tcPr>
          <w:p w14:paraId="1D41EA8E" w14:textId="77777777" w:rsidR="00814857" w:rsidRDefault="00814857" w:rsidP="00894126">
            <w:pPr>
              <w:pStyle w:val="ARtablenoteindent"/>
            </w:pPr>
            <w:r>
              <w:rPr>
                <w:noProof/>
              </w:rPr>
              <w:t>Eleven out of twelve vacancies were filled within 60 business days, with the twelfth vacancy has now being filled. This is a positive result.</w:t>
            </w:r>
          </w:p>
        </w:tc>
      </w:tr>
      <w:tr w:rsidR="00773DFC" w14:paraId="348132CF" w14:textId="77777777" w:rsidTr="000A6AF0">
        <w:trPr>
          <w:cantSplit/>
          <w:trHeight w:val="240"/>
        </w:trPr>
        <w:tc>
          <w:tcPr>
            <w:tcW w:w="9645" w:type="dxa"/>
            <w:gridSpan w:val="6"/>
            <w:tcBorders>
              <w:top w:val="single" w:sz="4" w:space="0" w:color="auto"/>
              <w:left w:val="nil"/>
              <w:bottom w:val="nil"/>
              <w:right w:val="nil"/>
            </w:tcBorders>
            <w:hideMark/>
          </w:tcPr>
          <w:p w14:paraId="61B33EE8" w14:textId="21CDFD36" w:rsidR="00773DFC" w:rsidRDefault="00773DFC" w:rsidP="00DE53AB">
            <w:pPr>
              <w:pStyle w:val="ARtablegreybold"/>
            </w:pPr>
            <w:r w:rsidRPr="00DE53AB">
              <w:t>Cost</w:t>
            </w:r>
          </w:p>
        </w:tc>
      </w:tr>
      <w:tr w:rsidR="00814857" w14:paraId="02E73F07" w14:textId="77777777" w:rsidTr="00773DFC">
        <w:trPr>
          <w:cantSplit/>
          <w:trHeight w:val="480"/>
        </w:trPr>
        <w:tc>
          <w:tcPr>
            <w:tcW w:w="4764" w:type="dxa"/>
            <w:hideMark/>
          </w:tcPr>
          <w:p w14:paraId="5B86F196" w14:textId="77777777" w:rsidR="00814857" w:rsidRPr="004305B0" w:rsidRDefault="00814857" w:rsidP="00894126">
            <w:pPr>
              <w:pStyle w:val="ARtabletext"/>
              <w:rPr>
                <w:b/>
              </w:rPr>
            </w:pPr>
            <w:r w:rsidRPr="004305B0">
              <w:rPr>
                <w:b/>
                <w:noProof/>
              </w:rPr>
              <w:t xml:space="preserve">Total </w:t>
            </w:r>
            <w:r>
              <w:rPr>
                <w:b/>
                <w:noProof/>
              </w:rPr>
              <w:t>o</w:t>
            </w:r>
            <w:r w:rsidRPr="004305B0">
              <w:rPr>
                <w:b/>
                <w:noProof/>
              </w:rPr>
              <w:t xml:space="preserve">utput </w:t>
            </w:r>
            <w:r>
              <w:rPr>
                <w:b/>
                <w:noProof/>
              </w:rPr>
              <w:t>c</w:t>
            </w:r>
            <w:r w:rsidRPr="004305B0">
              <w:rPr>
                <w:b/>
                <w:noProof/>
              </w:rPr>
              <w:t>ost</w:t>
            </w:r>
          </w:p>
        </w:tc>
        <w:tc>
          <w:tcPr>
            <w:tcW w:w="1021" w:type="dxa"/>
            <w:hideMark/>
          </w:tcPr>
          <w:p w14:paraId="62EEDEC8" w14:textId="77777777" w:rsidR="00814857" w:rsidRPr="004305B0" w:rsidRDefault="00814857" w:rsidP="00894126">
            <w:pPr>
              <w:pStyle w:val="ARtabletextright"/>
              <w:rPr>
                <w:b/>
              </w:rPr>
            </w:pPr>
            <w:r w:rsidRPr="004305B0">
              <w:rPr>
                <w:b/>
                <w:noProof/>
              </w:rPr>
              <w:t>$ million</w:t>
            </w:r>
          </w:p>
        </w:tc>
        <w:tc>
          <w:tcPr>
            <w:tcW w:w="1022" w:type="dxa"/>
            <w:hideMark/>
          </w:tcPr>
          <w:p w14:paraId="00E58FF4" w14:textId="77777777" w:rsidR="00814857" w:rsidRPr="004305B0" w:rsidRDefault="00814857" w:rsidP="00894126">
            <w:pPr>
              <w:pStyle w:val="ARtabletextright"/>
              <w:rPr>
                <w:b/>
              </w:rPr>
            </w:pPr>
            <w:r w:rsidRPr="004305B0">
              <w:rPr>
                <w:b/>
                <w:noProof/>
              </w:rPr>
              <w:t>808</w:t>
            </w:r>
          </w:p>
        </w:tc>
        <w:tc>
          <w:tcPr>
            <w:tcW w:w="1022" w:type="dxa"/>
            <w:hideMark/>
          </w:tcPr>
          <w:p w14:paraId="01D02955" w14:textId="77777777" w:rsidR="00814857" w:rsidRPr="004305B0" w:rsidRDefault="00814857" w:rsidP="00894126">
            <w:pPr>
              <w:pStyle w:val="ARtabletextright"/>
              <w:rPr>
                <w:b/>
              </w:rPr>
            </w:pPr>
            <w:r w:rsidRPr="004305B0">
              <w:rPr>
                <w:b/>
                <w:noProof/>
              </w:rPr>
              <w:t>886.7</w:t>
            </w:r>
          </w:p>
        </w:tc>
        <w:tc>
          <w:tcPr>
            <w:tcW w:w="1022" w:type="dxa"/>
            <w:hideMark/>
          </w:tcPr>
          <w:p w14:paraId="29CE635E" w14:textId="77777777" w:rsidR="00814857" w:rsidRPr="004305B0" w:rsidRDefault="00814857" w:rsidP="00894126">
            <w:pPr>
              <w:pStyle w:val="ARtabletextright"/>
              <w:rPr>
                <w:b/>
              </w:rPr>
            </w:pPr>
            <w:r w:rsidRPr="004305B0">
              <w:rPr>
                <w:b/>
                <w:noProof/>
              </w:rPr>
              <w:t>9.7</w:t>
            </w:r>
          </w:p>
        </w:tc>
        <w:tc>
          <w:tcPr>
            <w:tcW w:w="794" w:type="dxa"/>
            <w:hideMark/>
          </w:tcPr>
          <w:p w14:paraId="6DC6E90B" w14:textId="77777777" w:rsidR="00814857" w:rsidRPr="004305B0" w:rsidRDefault="00814857" w:rsidP="00894126">
            <w:pPr>
              <w:rPr>
                <w:b/>
              </w:rPr>
            </w:pPr>
          </w:p>
        </w:tc>
      </w:tr>
      <w:tr w:rsidR="00814857" w14:paraId="7A52577D" w14:textId="77777777" w:rsidTr="00773DFC">
        <w:trPr>
          <w:cantSplit/>
          <w:trHeight w:val="238"/>
        </w:trPr>
        <w:tc>
          <w:tcPr>
            <w:tcW w:w="9645" w:type="dxa"/>
            <w:gridSpan w:val="6"/>
            <w:tcBorders>
              <w:top w:val="nil"/>
              <w:left w:val="nil"/>
              <w:bottom w:val="single" w:sz="4" w:space="0" w:color="auto"/>
              <w:right w:val="nil"/>
            </w:tcBorders>
            <w:noWrap/>
            <w:hideMark/>
          </w:tcPr>
          <w:p w14:paraId="7C699A53" w14:textId="77777777" w:rsidR="00814857" w:rsidRDefault="00814857" w:rsidP="00894126">
            <w:pPr>
              <w:pStyle w:val="ARtablenoteindent"/>
            </w:pPr>
            <w:r>
              <w:rPr>
                <w:noProof/>
              </w:rPr>
              <w:t>The result is due to the release of additional funding by government to support the transfer and transition of specialist disability services into the National Disability Insurance Scheme and the impact of machinery of government changes.</w:t>
            </w:r>
          </w:p>
        </w:tc>
      </w:tr>
      <w:tr w:rsidR="00773DFC" w14:paraId="6908D47F" w14:textId="77777777" w:rsidTr="00773DFC">
        <w:trPr>
          <w:cantSplit/>
          <w:trHeight w:val="289"/>
        </w:trPr>
        <w:tc>
          <w:tcPr>
            <w:tcW w:w="9645" w:type="dxa"/>
            <w:gridSpan w:val="6"/>
            <w:tcBorders>
              <w:top w:val="single" w:sz="4" w:space="0" w:color="auto"/>
              <w:left w:val="nil"/>
              <w:bottom w:val="single" w:sz="4" w:space="0" w:color="auto"/>
              <w:right w:val="nil"/>
            </w:tcBorders>
            <w:hideMark/>
          </w:tcPr>
          <w:p w14:paraId="15F8134B" w14:textId="1B4C38D7" w:rsidR="00773DFC" w:rsidRDefault="00773DFC" w:rsidP="00773DFC">
            <w:pPr>
              <w:pStyle w:val="ARtablebluebold"/>
              <w:keepNext/>
            </w:pPr>
            <w:r>
              <w:lastRenderedPageBreak/>
              <w:t>Victorian Contribution to National Disability Insurance Scheme</w:t>
            </w:r>
          </w:p>
        </w:tc>
      </w:tr>
      <w:tr w:rsidR="00773DFC" w14:paraId="141CCAC3" w14:textId="77777777" w:rsidTr="000A6AF0">
        <w:trPr>
          <w:cantSplit/>
          <w:trHeight w:val="240"/>
        </w:trPr>
        <w:tc>
          <w:tcPr>
            <w:tcW w:w="9645" w:type="dxa"/>
            <w:gridSpan w:val="6"/>
            <w:tcBorders>
              <w:top w:val="single" w:sz="4" w:space="0" w:color="auto"/>
              <w:left w:val="nil"/>
              <w:bottom w:val="nil"/>
              <w:right w:val="nil"/>
            </w:tcBorders>
            <w:hideMark/>
          </w:tcPr>
          <w:p w14:paraId="6F9722BE" w14:textId="25329B75" w:rsidR="00773DFC" w:rsidRDefault="00773DFC" w:rsidP="00773DFC">
            <w:pPr>
              <w:pStyle w:val="ARtablegreybold"/>
              <w:keepNext/>
            </w:pPr>
            <w:r w:rsidRPr="00DE53AB">
              <w:t>Quantity</w:t>
            </w:r>
          </w:p>
        </w:tc>
      </w:tr>
      <w:tr w:rsidR="00814857" w14:paraId="124D4D42" w14:textId="77777777" w:rsidTr="00894126">
        <w:trPr>
          <w:cantSplit/>
          <w:trHeight w:val="480"/>
        </w:trPr>
        <w:tc>
          <w:tcPr>
            <w:tcW w:w="4764" w:type="dxa"/>
            <w:hideMark/>
          </w:tcPr>
          <w:p w14:paraId="2F9B5882" w14:textId="77777777" w:rsidR="00814857" w:rsidRDefault="00814857" w:rsidP="00894126">
            <w:pPr>
              <w:pStyle w:val="ARtabletext"/>
            </w:pPr>
            <w:r>
              <w:rPr>
                <w:noProof/>
              </w:rPr>
              <w:t>National Disability Insurance Scheme participants</w:t>
            </w:r>
          </w:p>
        </w:tc>
        <w:tc>
          <w:tcPr>
            <w:tcW w:w="1021" w:type="dxa"/>
            <w:hideMark/>
          </w:tcPr>
          <w:p w14:paraId="759F3982" w14:textId="77777777" w:rsidR="00814857" w:rsidRDefault="00814857" w:rsidP="00894126">
            <w:pPr>
              <w:pStyle w:val="ARtabletextright"/>
            </w:pPr>
            <w:r>
              <w:rPr>
                <w:noProof/>
              </w:rPr>
              <w:t>number</w:t>
            </w:r>
          </w:p>
        </w:tc>
        <w:tc>
          <w:tcPr>
            <w:tcW w:w="1022" w:type="dxa"/>
            <w:hideMark/>
          </w:tcPr>
          <w:p w14:paraId="786E1899" w14:textId="77777777" w:rsidR="00814857" w:rsidRDefault="00814857" w:rsidP="00894126">
            <w:pPr>
              <w:pStyle w:val="ARtabletextright"/>
            </w:pPr>
            <w:r>
              <w:rPr>
                <w:noProof/>
              </w:rPr>
              <w:t>105,324</w:t>
            </w:r>
          </w:p>
        </w:tc>
        <w:tc>
          <w:tcPr>
            <w:tcW w:w="1022" w:type="dxa"/>
            <w:hideMark/>
          </w:tcPr>
          <w:p w14:paraId="32B2A6D6" w14:textId="77777777" w:rsidR="00814857" w:rsidRDefault="00814857" w:rsidP="00894126">
            <w:pPr>
              <w:pStyle w:val="ARtabletextright"/>
            </w:pPr>
            <w:r>
              <w:rPr>
                <w:noProof/>
              </w:rPr>
              <w:t>71,458</w:t>
            </w:r>
          </w:p>
        </w:tc>
        <w:tc>
          <w:tcPr>
            <w:tcW w:w="1022" w:type="dxa"/>
            <w:hideMark/>
          </w:tcPr>
          <w:p w14:paraId="0AB71FF6" w14:textId="77777777" w:rsidR="00814857" w:rsidRDefault="00814857" w:rsidP="00894126">
            <w:pPr>
              <w:pStyle w:val="ARtabletextright"/>
            </w:pPr>
            <w:r>
              <w:rPr>
                <w:noProof/>
              </w:rPr>
              <w:t>-32.2</w:t>
            </w:r>
          </w:p>
        </w:tc>
        <w:tc>
          <w:tcPr>
            <w:tcW w:w="794" w:type="dxa"/>
            <w:hideMark/>
          </w:tcPr>
          <w:p w14:paraId="2E51C708" w14:textId="77777777" w:rsidR="00814857" w:rsidRDefault="00814857" w:rsidP="00894126">
            <w:pPr>
              <w:pStyle w:val="ARtabletextright"/>
            </w:pPr>
            <w:r>
              <w:sym w:font="Wingdings" w:char="F06E"/>
            </w:r>
          </w:p>
        </w:tc>
      </w:tr>
      <w:tr w:rsidR="00814857" w14:paraId="32558C26" w14:textId="77777777" w:rsidTr="00894126">
        <w:trPr>
          <w:cantSplit/>
          <w:trHeight w:val="240"/>
        </w:trPr>
        <w:tc>
          <w:tcPr>
            <w:tcW w:w="9645" w:type="dxa"/>
            <w:gridSpan w:val="6"/>
            <w:tcBorders>
              <w:top w:val="nil"/>
              <w:left w:val="nil"/>
              <w:bottom w:val="single" w:sz="4" w:space="0" w:color="BFBFBF"/>
              <w:right w:val="nil"/>
            </w:tcBorders>
            <w:noWrap/>
            <w:hideMark/>
          </w:tcPr>
          <w:p w14:paraId="3A999E2A" w14:textId="3FE580E3" w:rsidR="00814857" w:rsidRDefault="00814857" w:rsidP="00652A91">
            <w:pPr>
              <w:pStyle w:val="ARtablenoteindent"/>
              <w:ind w:left="0"/>
            </w:pPr>
            <w:r>
              <w:rPr>
                <w:noProof/>
              </w:rPr>
              <w:t xml:space="preserve">The result is lower than the target due to the slower than forecast transition of clients to the </w:t>
            </w:r>
            <w:r w:rsidR="009D25FB" w:rsidRPr="009D25FB">
              <w:rPr>
                <w:noProof/>
              </w:rPr>
              <w:t xml:space="preserve">National Disability Insurance Scheme </w:t>
            </w:r>
            <w:r>
              <w:rPr>
                <w:noProof/>
              </w:rPr>
              <w:t xml:space="preserve">by the </w:t>
            </w:r>
            <w:r w:rsidRPr="00652A91">
              <w:rPr>
                <w:noProof/>
              </w:rPr>
              <w:t xml:space="preserve">National Disability Insurance Agency </w:t>
            </w:r>
            <w:r>
              <w:rPr>
                <w:noProof/>
              </w:rPr>
              <w:t>(NDIA). Given the NDIA delays, the department has implemented strategies to expedite client transition by increasing the volume of follow-up actions and prioritising clients with complex needs.</w:t>
            </w:r>
          </w:p>
        </w:tc>
      </w:tr>
      <w:tr w:rsidR="00773DFC" w14:paraId="093CC262" w14:textId="77777777" w:rsidTr="00511E26">
        <w:trPr>
          <w:cantSplit/>
          <w:trHeight w:val="240"/>
        </w:trPr>
        <w:tc>
          <w:tcPr>
            <w:tcW w:w="9645" w:type="dxa"/>
            <w:gridSpan w:val="6"/>
            <w:tcBorders>
              <w:top w:val="single" w:sz="4" w:space="0" w:color="auto"/>
              <w:left w:val="nil"/>
              <w:right w:val="nil"/>
            </w:tcBorders>
            <w:hideMark/>
          </w:tcPr>
          <w:p w14:paraId="02516FDA" w14:textId="5E0D230A" w:rsidR="00773DFC" w:rsidRDefault="00773DFC" w:rsidP="00DE53AB">
            <w:pPr>
              <w:pStyle w:val="ARtablegreybold"/>
            </w:pPr>
            <w:r w:rsidRPr="00DE53AB">
              <w:t>Cost</w:t>
            </w:r>
          </w:p>
        </w:tc>
      </w:tr>
      <w:tr w:rsidR="00814857" w14:paraId="292070E3" w14:textId="77777777" w:rsidTr="00511E26">
        <w:trPr>
          <w:cantSplit/>
          <w:trHeight w:val="480"/>
        </w:trPr>
        <w:tc>
          <w:tcPr>
            <w:tcW w:w="4764" w:type="dxa"/>
            <w:tcBorders>
              <w:bottom w:val="single" w:sz="4" w:space="0" w:color="auto"/>
            </w:tcBorders>
            <w:hideMark/>
          </w:tcPr>
          <w:p w14:paraId="7AF9E851" w14:textId="77777777" w:rsidR="00814857" w:rsidRPr="004305B0" w:rsidRDefault="00814857" w:rsidP="00894126">
            <w:pPr>
              <w:pStyle w:val="ARtabletext"/>
              <w:rPr>
                <w:b/>
              </w:rPr>
            </w:pPr>
            <w:r w:rsidRPr="004305B0">
              <w:rPr>
                <w:b/>
                <w:noProof/>
              </w:rPr>
              <w:t xml:space="preserve">Total </w:t>
            </w:r>
            <w:r>
              <w:rPr>
                <w:b/>
                <w:noProof/>
              </w:rPr>
              <w:t>o</w:t>
            </w:r>
            <w:r w:rsidRPr="004305B0">
              <w:rPr>
                <w:b/>
                <w:noProof/>
              </w:rPr>
              <w:t xml:space="preserve">utput </w:t>
            </w:r>
            <w:r>
              <w:rPr>
                <w:b/>
                <w:noProof/>
              </w:rPr>
              <w:t>c</w:t>
            </w:r>
            <w:r w:rsidRPr="004305B0">
              <w:rPr>
                <w:b/>
                <w:noProof/>
              </w:rPr>
              <w:t>ost</w:t>
            </w:r>
          </w:p>
        </w:tc>
        <w:tc>
          <w:tcPr>
            <w:tcW w:w="1021" w:type="dxa"/>
            <w:tcBorders>
              <w:bottom w:val="single" w:sz="4" w:space="0" w:color="auto"/>
            </w:tcBorders>
            <w:hideMark/>
          </w:tcPr>
          <w:p w14:paraId="60525D88" w14:textId="77777777" w:rsidR="00814857" w:rsidRPr="004305B0" w:rsidRDefault="00814857" w:rsidP="00894126">
            <w:pPr>
              <w:pStyle w:val="ARtabletextright"/>
              <w:rPr>
                <w:b/>
              </w:rPr>
            </w:pPr>
            <w:r w:rsidRPr="004305B0">
              <w:rPr>
                <w:b/>
                <w:noProof/>
              </w:rPr>
              <w:t>$ million</w:t>
            </w:r>
          </w:p>
        </w:tc>
        <w:tc>
          <w:tcPr>
            <w:tcW w:w="1022" w:type="dxa"/>
            <w:tcBorders>
              <w:bottom w:val="single" w:sz="4" w:space="0" w:color="auto"/>
            </w:tcBorders>
            <w:hideMark/>
          </w:tcPr>
          <w:p w14:paraId="52DB0D89" w14:textId="77777777" w:rsidR="00814857" w:rsidRPr="004305B0" w:rsidRDefault="00814857" w:rsidP="00894126">
            <w:pPr>
              <w:pStyle w:val="ARtabletextright"/>
              <w:rPr>
                <w:b/>
              </w:rPr>
            </w:pPr>
            <w:r w:rsidRPr="004305B0">
              <w:rPr>
                <w:b/>
                <w:noProof/>
              </w:rPr>
              <w:t>1,420.4</w:t>
            </w:r>
          </w:p>
        </w:tc>
        <w:tc>
          <w:tcPr>
            <w:tcW w:w="1022" w:type="dxa"/>
            <w:tcBorders>
              <w:bottom w:val="single" w:sz="4" w:space="0" w:color="auto"/>
            </w:tcBorders>
            <w:hideMark/>
          </w:tcPr>
          <w:p w14:paraId="38A32686" w14:textId="77777777" w:rsidR="00814857" w:rsidRPr="004305B0" w:rsidRDefault="00814857" w:rsidP="00894126">
            <w:pPr>
              <w:pStyle w:val="ARtabletextright"/>
              <w:rPr>
                <w:b/>
              </w:rPr>
            </w:pPr>
            <w:r w:rsidRPr="004305B0">
              <w:rPr>
                <w:b/>
                <w:noProof/>
              </w:rPr>
              <w:t>1,353.6</w:t>
            </w:r>
          </w:p>
        </w:tc>
        <w:tc>
          <w:tcPr>
            <w:tcW w:w="1022" w:type="dxa"/>
            <w:tcBorders>
              <w:bottom w:val="single" w:sz="4" w:space="0" w:color="auto"/>
            </w:tcBorders>
            <w:hideMark/>
          </w:tcPr>
          <w:p w14:paraId="6609AFC7" w14:textId="77777777" w:rsidR="00814857" w:rsidRPr="004305B0" w:rsidRDefault="00814857" w:rsidP="00894126">
            <w:pPr>
              <w:pStyle w:val="ARtabletextright"/>
              <w:rPr>
                <w:b/>
              </w:rPr>
            </w:pPr>
            <w:r w:rsidRPr="004305B0">
              <w:rPr>
                <w:b/>
                <w:noProof/>
              </w:rPr>
              <w:t>-4.7</w:t>
            </w:r>
          </w:p>
        </w:tc>
        <w:tc>
          <w:tcPr>
            <w:tcW w:w="794" w:type="dxa"/>
            <w:tcBorders>
              <w:bottom w:val="single" w:sz="4" w:space="0" w:color="auto"/>
            </w:tcBorders>
            <w:hideMark/>
          </w:tcPr>
          <w:p w14:paraId="1CA961FA" w14:textId="77777777" w:rsidR="00814857" w:rsidRPr="004305B0" w:rsidRDefault="00814857" w:rsidP="00894126">
            <w:pPr>
              <w:rPr>
                <w:b/>
              </w:rPr>
            </w:pPr>
          </w:p>
        </w:tc>
      </w:tr>
    </w:tbl>
    <w:p w14:paraId="5C978FBA" w14:textId="77777777" w:rsidR="00814857" w:rsidRDefault="00814857" w:rsidP="002909DA">
      <w:pPr>
        <w:pStyle w:val="Heading2"/>
      </w:pPr>
      <w:bookmarkStart w:id="91" w:name="_Toc18954487"/>
      <w:bookmarkStart w:id="92" w:name="_Toc18955089"/>
      <w:bookmarkStart w:id="93" w:name="_Ref21861916"/>
      <w:r>
        <w:t>Empowering Individuals and Communities</w:t>
      </w:r>
      <w:bookmarkEnd w:id="91"/>
      <w:bookmarkEnd w:id="92"/>
      <w:bookmarkEnd w:id="93"/>
    </w:p>
    <w:p w14:paraId="3D71B58D" w14:textId="77777777" w:rsidR="00814857" w:rsidRPr="00030BBE" w:rsidRDefault="00814857" w:rsidP="004A547D">
      <w:pPr>
        <w:pStyle w:val="ARbody"/>
      </w:pPr>
      <w:r>
        <w:t>This output is delivered through funded programs that support community participation including neighbourhood houses, men’s sheds, community support projects and programs for people with a disability. Leadership is delivered for whole-of-government policy disability that will create an environment that encourages equity and improves all aspects of life.</w:t>
      </w:r>
    </w:p>
    <w:tbl>
      <w:tblPr>
        <w:tblW w:w="9645" w:type="dxa"/>
        <w:tblLayout w:type="fixed"/>
        <w:tblCellMar>
          <w:left w:w="0" w:type="dxa"/>
        </w:tblCellMar>
        <w:tblLook w:val="04A0" w:firstRow="1" w:lastRow="0" w:firstColumn="1" w:lastColumn="0" w:noHBand="0" w:noVBand="1"/>
      </w:tblPr>
      <w:tblGrid>
        <w:gridCol w:w="4764"/>
        <w:gridCol w:w="1021"/>
        <w:gridCol w:w="1022"/>
        <w:gridCol w:w="1022"/>
        <w:gridCol w:w="1022"/>
        <w:gridCol w:w="794"/>
      </w:tblGrid>
      <w:tr w:rsidR="00814857" w14:paraId="31B68B88" w14:textId="77777777" w:rsidTr="00894126">
        <w:trPr>
          <w:cantSplit/>
          <w:trHeight w:val="480"/>
          <w:tblHeader/>
        </w:trPr>
        <w:tc>
          <w:tcPr>
            <w:tcW w:w="4764" w:type="dxa"/>
            <w:tcBorders>
              <w:top w:val="nil"/>
              <w:left w:val="nil"/>
              <w:bottom w:val="single" w:sz="4" w:space="0" w:color="auto"/>
              <w:right w:val="nil"/>
            </w:tcBorders>
            <w:vAlign w:val="bottom"/>
            <w:hideMark/>
          </w:tcPr>
          <w:p w14:paraId="4E4EBA0A" w14:textId="77777777" w:rsidR="00814857" w:rsidRDefault="00814857" w:rsidP="00894126">
            <w:pPr>
              <w:pStyle w:val="ARtablecolhead"/>
            </w:pPr>
            <w:r>
              <w:t>Performance measures</w:t>
            </w:r>
          </w:p>
        </w:tc>
        <w:tc>
          <w:tcPr>
            <w:tcW w:w="1021" w:type="dxa"/>
            <w:tcBorders>
              <w:top w:val="nil"/>
              <w:left w:val="nil"/>
              <w:bottom w:val="single" w:sz="4" w:space="0" w:color="auto"/>
              <w:right w:val="nil"/>
            </w:tcBorders>
            <w:vAlign w:val="bottom"/>
            <w:hideMark/>
          </w:tcPr>
          <w:p w14:paraId="3D43E6FA" w14:textId="77777777" w:rsidR="00814857" w:rsidRDefault="00814857" w:rsidP="00894126">
            <w:pPr>
              <w:pStyle w:val="ARtablecolheadright"/>
            </w:pPr>
            <w:r>
              <w:t>Unit of measure</w:t>
            </w:r>
          </w:p>
        </w:tc>
        <w:tc>
          <w:tcPr>
            <w:tcW w:w="1022" w:type="dxa"/>
            <w:tcBorders>
              <w:top w:val="nil"/>
              <w:left w:val="nil"/>
              <w:bottom w:val="single" w:sz="4" w:space="0" w:color="auto"/>
              <w:right w:val="nil"/>
            </w:tcBorders>
            <w:vAlign w:val="bottom"/>
            <w:hideMark/>
          </w:tcPr>
          <w:p w14:paraId="7100DA63" w14:textId="77777777" w:rsidR="00814857" w:rsidRDefault="00814857" w:rsidP="00894126">
            <w:pPr>
              <w:pStyle w:val="ARtablecolheadright"/>
            </w:pPr>
            <w:r>
              <w:t>2018–19 target</w:t>
            </w:r>
          </w:p>
        </w:tc>
        <w:tc>
          <w:tcPr>
            <w:tcW w:w="1022" w:type="dxa"/>
            <w:tcBorders>
              <w:top w:val="nil"/>
              <w:left w:val="nil"/>
              <w:bottom w:val="single" w:sz="4" w:space="0" w:color="auto"/>
              <w:right w:val="nil"/>
            </w:tcBorders>
            <w:vAlign w:val="bottom"/>
            <w:hideMark/>
          </w:tcPr>
          <w:p w14:paraId="48C6F270" w14:textId="77777777" w:rsidR="00814857" w:rsidRDefault="00814857" w:rsidP="00894126">
            <w:pPr>
              <w:pStyle w:val="ARtablecolheadright"/>
            </w:pPr>
            <w:r>
              <w:t>2018–19 actual</w:t>
            </w:r>
          </w:p>
        </w:tc>
        <w:tc>
          <w:tcPr>
            <w:tcW w:w="1022" w:type="dxa"/>
            <w:tcBorders>
              <w:top w:val="nil"/>
              <w:left w:val="nil"/>
              <w:bottom w:val="single" w:sz="4" w:space="0" w:color="auto"/>
              <w:right w:val="nil"/>
            </w:tcBorders>
            <w:vAlign w:val="bottom"/>
            <w:hideMark/>
          </w:tcPr>
          <w:p w14:paraId="134F90E0" w14:textId="77777777" w:rsidR="00814857" w:rsidRDefault="00814857" w:rsidP="00894126">
            <w:pPr>
              <w:pStyle w:val="ARtablecolheadright"/>
            </w:pPr>
            <w:r>
              <w:t>Variation (%)</w:t>
            </w:r>
          </w:p>
        </w:tc>
        <w:tc>
          <w:tcPr>
            <w:tcW w:w="794" w:type="dxa"/>
            <w:tcBorders>
              <w:top w:val="nil"/>
              <w:left w:val="nil"/>
              <w:bottom w:val="single" w:sz="4" w:space="0" w:color="auto"/>
              <w:right w:val="nil"/>
            </w:tcBorders>
            <w:vAlign w:val="bottom"/>
            <w:hideMark/>
          </w:tcPr>
          <w:p w14:paraId="6E75A136" w14:textId="77777777" w:rsidR="00814857" w:rsidRDefault="00814857" w:rsidP="00894126">
            <w:pPr>
              <w:pStyle w:val="ARtablecolheadright"/>
            </w:pPr>
            <w:r>
              <w:t>Result</w:t>
            </w:r>
          </w:p>
        </w:tc>
      </w:tr>
      <w:tr w:rsidR="00773DFC" w14:paraId="70542E52" w14:textId="77777777" w:rsidTr="000A6AF0">
        <w:trPr>
          <w:cantSplit/>
          <w:trHeight w:val="289"/>
        </w:trPr>
        <w:tc>
          <w:tcPr>
            <w:tcW w:w="9645" w:type="dxa"/>
            <w:gridSpan w:val="6"/>
            <w:tcBorders>
              <w:top w:val="single" w:sz="4" w:space="0" w:color="auto"/>
              <w:left w:val="nil"/>
              <w:bottom w:val="single" w:sz="4" w:space="0" w:color="auto"/>
              <w:right w:val="nil"/>
            </w:tcBorders>
            <w:hideMark/>
          </w:tcPr>
          <w:p w14:paraId="33056082" w14:textId="21643BA4" w:rsidR="00773DFC" w:rsidRDefault="00773DFC" w:rsidP="004A547D">
            <w:pPr>
              <w:pStyle w:val="ARtablebluebold"/>
            </w:pPr>
            <w:r>
              <w:t>Community Participation</w:t>
            </w:r>
          </w:p>
        </w:tc>
      </w:tr>
      <w:tr w:rsidR="00773DFC" w14:paraId="6B35FBB8" w14:textId="77777777" w:rsidTr="000A6AF0">
        <w:trPr>
          <w:cantSplit/>
          <w:trHeight w:val="240"/>
        </w:trPr>
        <w:tc>
          <w:tcPr>
            <w:tcW w:w="9645" w:type="dxa"/>
            <w:gridSpan w:val="6"/>
            <w:tcBorders>
              <w:top w:val="single" w:sz="4" w:space="0" w:color="auto"/>
              <w:left w:val="nil"/>
              <w:bottom w:val="nil"/>
              <w:right w:val="nil"/>
            </w:tcBorders>
            <w:hideMark/>
          </w:tcPr>
          <w:p w14:paraId="67B37901" w14:textId="6D843961" w:rsidR="00773DFC" w:rsidRDefault="00773DFC" w:rsidP="004A547D">
            <w:pPr>
              <w:pStyle w:val="ARtablegreybold"/>
            </w:pPr>
            <w:r w:rsidRPr="004A547D">
              <w:t>Quantity</w:t>
            </w:r>
          </w:p>
        </w:tc>
      </w:tr>
      <w:tr w:rsidR="00814857" w14:paraId="04C25DE4" w14:textId="77777777" w:rsidTr="00894126">
        <w:trPr>
          <w:cantSplit/>
          <w:trHeight w:val="480"/>
        </w:trPr>
        <w:tc>
          <w:tcPr>
            <w:tcW w:w="4764" w:type="dxa"/>
            <w:hideMark/>
          </w:tcPr>
          <w:p w14:paraId="1106B250" w14:textId="77777777" w:rsidR="00814857" w:rsidRDefault="00814857" w:rsidP="00894126">
            <w:pPr>
              <w:pStyle w:val="ARtabletext"/>
            </w:pPr>
            <w:r>
              <w:rPr>
                <w:noProof/>
              </w:rPr>
              <w:t>Hours of coordination funding provided to Neighbourhood Houses</w:t>
            </w:r>
          </w:p>
        </w:tc>
        <w:tc>
          <w:tcPr>
            <w:tcW w:w="1021" w:type="dxa"/>
            <w:hideMark/>
          </w:tcPr>
          <w:p w14:paraId="48F37344" w14:textId="77777777" w:rsidR="00814857" w:rsidRDefault="00814857" w:rsidP="00894126">
            <w:pPr>
              <w:pStyle w:val="ARtabletextright"/>
            </w:pPr>
            <w:r>
              <w:rPr>
                <w:noProof/>
              </w:rPr>
              <w:t>number</w:t>
            </w:r>
          </w:p>
        </w:tc>
        <w:tc>
          <w:tcPr>
            <w:tcW w:w="1022" w:type="dxa"/>
            <w:hideMark/>
          </w:tcPr>
          <w:p w14:paraId="3E99C721" w14:textId="77777777" w:rsidR="00814857" w:rsidRDefault="00814857" w:rsidP="00894126">
            <w:pPr>
              <w:pStyle w:val="ARtabletextright"/>
            </w:pPr>
            <w:r>
              <w:rPr>
                <w:noProof/>
              </w:rPr>
              <w:t>556,700</w:t>
            </w:r>
          </w:p>
        </w:tc>
        <w:tc>
          <w:tcPr>
            <w:tcW w:w="1022" w:type="dxa"/>
            <w:hideMark/>
          </w:tcPr>
          <w:p w14:paraId="2C790525" w14:textId="77777777" w:rsidR="00814857" w:rsidRDefault="00814857" w:rsidP="00894126">
            <w:pPr>
              <w:pStyle w:val="ARtabletextright"/>
            </w:pPr>
            <w:r>
              <w:rPr>
                <w:noProof/>
              </w:rPr>
              <w:t>560,586</w:t>
            </w:r>
          </w:p>
        </w:tc>
        <w:tc>
          <w:tcPr>
            <w:tcW w:w="1022" w:type="dxa"/>
            <w:hideMark/>
          </w:tcPr>
          <w:p w14:paraId="39C73336" w14:textId="77777777" w:rsidR="00814857" w:rsidRDefault="00814857" w:rsidP="00894126">
            <w:pPr>
              <w:pStyle w:val="ARtabletextright"/>
            </w:pPr>
            <w:r>
              <w:rPr>
                <w:noProof/>
              </w:rPr>
              <w:t>0.7</w:t>
            </w:r>
          </w:p>
        </w:tc>
        <w:tc>
          <w:tcPr>
            <w:tcW w:w="794" w:type="dxa"/>
            <w:hideMark/>
          </w:tcPr>
          <w:p w14:paraId="2A045F22" w14:textId="77777777" w:rsidR="00814857" w:rsidRDefault="00814857" w:rsidP="00894126">
            <w:pPr>
              <w:pStyle w:val="ARtabletextright"/>
            </w:pPr>
            <w:r>
              <w:sym w:font="Wingdings" w:char="F0FC"/>
            </w:r>
          </w:p>
        </w:tc>
      </w:tr>
      <w:tr w:rsidR="00773DFC" w14:paraId="0182D658" w14:textId="77777777" w:rsidTr="000A6AF0">
        <w:trPr>
          <w:cantSplit/>
          <w:trHeight w:val="240"/>
        </w:trPr>
        <w:tc>
          <w:tcPr>
            <w:tcW w:w="9645" w:type="dxa"/>
            <w:gridSpan w:val="6"/>
            <w:tcBorders>
              <w:top w:val="single" w:sz="4" w:space="0" w:color="auto"/>
              <w:left w:val="nil"/>
              <w:bottom w:val="nil"/>
              <w:right w:val="nil"/>
            </w:tcBorders>
            <w:hideMark/>
          </w:tcPr>
          <w:p w14:paraId="0A47DA00" w14:textId="2640206F" w:rsidR="00773DFC" w:rsidRDefault="00773DFC" w:rsidP="004A547D">
            <w:pPr>
              <w:pStyle w:val="ARtablegreybold"/>
            </w:pPr>
            <w:r w:rsidRPr="004A547D">
              <w:t>Timeliness</w:t>
            </w:r>
          </w:p>
        </w:tc>
      </w:tr>
      <w:tr w:rsidR="00814857" w14:paraId="22EA2EFD" w14:textId="77777777" w:rsidTr="00894126">
        <w:trPr>
          <w:cantSplit/>
          <w:trHeight w:val="480"/>
        </w:trPr>
        <w:tc>
          <w:tcPr>
            <w:tcW w:w="4764" w:type="dxa"/>
            <w:hideMark/>
          </w:tcPr>
          <w:p w14:paraId="1365A51E" w14:textId="77777777" w:rsidR="00814857" w:rsidRDefault="00814857" w:rsidP="00894126">
            <w:pPr>
              <w:pStyle w:val="ARtabletext"/>
            </w:pPr>
            <w:r>
              <w:rPr>
                <w:noProof/>
              </w:rPr>
              <w:t>Grants acquitted within the timeframe specified in the terms and conditions of the funding agreement</w:t>
            </w:r>
          </w:p>
        </w:tc>
        <w:tc>
          <w:tcPr>
            <w:tcW w:w="1021" w:type="dxa"/>
            <w:hideMark/>
          </w:tcPr>
          <w:p w14:paraId="3D7C3DC0" w14:textId="77777777" w:rsidR="00814857" w:rsidRDefault="00814857" w:rsidP="00894126">
            <w:pPr>
              <w:pStyle w:val="ARtabletextright"/>
            </w:pPr>
            <w:r>
              <w:rPr>
                <w:noProof/>
              </w:rPr>
              <w:t>per cent</w:t>
            </w:r>
          </w:p>
        </w:tc>
        <w:tc>
          <w:tcPr>
            <w:tcW w:w="1022" w:type="dxa"/>
            <w:hideMark/>
          </w:tcPr>
          <w:p w14:paraId="6259C986" w14:textId="77777777" w:rsidR="00814857" w:rsidRDefault="00814857" w:rsidP="00894126">
            <w:pPr>
              <w:pStyle w:val="ARtabletextright"/>
            </w:pPr>
            <w:r>
              <w:rPr>
                <w:noProof/>
              </w:rPr>
              <w:t>90</w:t>
            </w:r>
          </w:p>
        </w:tc>
        <w:tc>
          <w:tcPr>
            <w:tcW w:w="1022" w:type="dxa"/>
            <w:hideMark/>
          </w:tcPr>
          <w:p w14:paraId="299508E0" w14:textId="77777777" w:rsidR="00814857" w:rsidRDefault="00814857" w:rsidP="00894126">
            <w:pPr>
              <w:pStyle w:val="ARtabletextright"/>
            </w:pPr>
            <w:r>
              <w:rPr>
                <w:noProof/>
              </w:rPr>
              <w:t>90</w:t>
            </w:r>
          </w:p>
        </w:tc>
        <w:tc>
          <w:tcPr>
            <w:tcW w:w="1022" w:type="dxa"/>
            <w:hideMark/>
          </w:tcPr>
          <w:p w14:paraId="55824221" w14:textId="77777777" w:rsidR="00814857" w:rsidRDefault="00814857" w:rsidP="00894126">
            <w:pPr>
              <w:pStyle w:val="ARtabletextright"/>
            </w:pPr>
            <w:r>
              <w:rPr>
                <w:noProof/>
              </w:rPr>
              <w:t>0.0</w:t>
            </w:r>
          </w:p>
        </w:tc>
        <w:tc>
          <w:tcPr>
            <w:tcW w:w="794" w:type="dxa"/>
            <w:hideMark/>
          </w:tcPr>
          <w:p w14:paraId="012FD425" w14:textId="77777777" w:rsidR="00814857" w:rsidRDefault="00814857" w:rsidP="00894126">
            <w:pPr>
              <w:pStyle w:val="ARtabletextright"/>
            </w:pPr>
            <w:r>
              <w:sym w:font="Wingdings" w:char="F0FC"/>
            </w:r>
          </w:p>
        </w:tc>
      </w:tr>
      <w:tr w:rsidR="00773DFC" w14:paraId="3C78D539" w14:textId="77777777" w:rsidTr="000A6AF0">
        <w:trPr>
          <w:cantSplit/>
          <w:trHeight w:val="240"/>
        </w:trPr>
        <w:tc>
          <w:tcPr>
            <w:tcW w:w="9645" w:type="dxa"/>
            <w:gridSpan w:val="6"/>
            <w:tcBorders>
              <w:top w:val="single" w:sz="4" w:space="0" w:color="auto"/>
              <w:left w:val="nil"/>
              <w:bottom w:val="nil"/>
              <w:right w:val="nil"/>
            </w:tcBorders>
            <w:hideMark/>
          </w:tcPr>
          <w:p w14:paraId="090C6B30" w14:textId="48DEA6EB" w:rsidR="00773DFC" w:rsidRDefault="00773DFC" w:rsidP="004A547D">
            <w:pPr>
              <w:pStyle w:val="ARtablegreybold"/>
            </w:pPr>
            <w:r w:rsidRPr="004A547D">
              <w:t>Cost</w:t>
            </w:r>
          </w:p>
        </w:tc>
      </w:tr>
      <w:tr w:rsidR="00814857" w14:paraId="32F6AD2A" w14:textId="77777777" w:rsidTr="00894126">
        <w:trPr>
          <w:cantSplit/>
          <w:trHeight w:val="480"/>
        </w:trPr>
        <w:tc>
          <w:tcPr>
            <w:tcW w:w="4764" w:type="dxa"/>
            <w:hideMark/>
          </w:tcPr>
          <w:p w14:paraId="0298BBCF" w14:textId="77777777" w:rsidR="00814857" w:rsidRPr="004305B0" w:rsidRDefault="00814857" w:rsidP="00894126">
            <w:pPr>
              <w:pStyle w:val="ARtabletext"/>
              <w:rPr>
                <w:b/>
              </w:rPr>
            </w:pPr>
            <w:r w:rsidRPr="004305B0">
              <w:rPr>
                <w:b/>
                <w:noProof/>
              </w:rPr>
              <w:t>Total Output Cost</w:t>
            </w:r>
          </w:p>
        </w:tc>
        <w:tc>
          <w:tcPr>
            <w:tcW w:w="1021" w:type="dxa"/>
            <w:hideMark/>
          </w:tcPr>
          <w:p w14:paraId="3869AE58" w14:textId="77777777" w:rsidR="00814857" w:rsidRPr="004305B0" w:rsidRDefault="00814857" w:rsidP="00894126">
            <w:pPr>
              <w:pStyle w:val="ARtabletextright"/>
              <w:rPr>
                <w:b/>
              </w:rPr>
            </w:pPr>
            <w:r w:rsidRPr="004305B0">
              <w:rPr>
                <w:b/>
                <w:noProof/>
              </w:rPr>
              <w:t>$ million</w:t>
            </w:r>
          </w:p>
        </w:tc>
        <w:tc>
          <w:tcPr>
            <w:tcW w:w="1022" w:type="dxa"/>
            <w:hideMark/>
          </w:tcPr>
          <w:p w14:paraId="49523E03" w14:textId="77777777" w:rsidR="00814857" w:rsidRPr="004305B0" w:rsidRDefault="00814857" w:rsidP="00894126">
            <w:pPr>
              <w:pStyle w:val="ARtabletextright"/>
              <w:rPr>
                <w:b/>
              </w:rPr>
            </w:pPr>
            <w:r w:rsidRPr="004305B0">
              <w:rPr>
                <w:b/>
                <w:noProof/>
              </w:rPr>
              <w:t>50.6</w:t>
            </w:r>
          </w:p>
        </w:tc>
        <w:tc>
          <w:tcPr>
            <w:tcW w:w="1022" w:type="dxa"/>
            <w:hideMark/>
          </w:tcPr>
          <w:p w14:paraId="7321D3FA" w14:textId="77777777" w:rsidR="00814857" w:rsidRPr="004305B0" w:rsidRDefault="00814857" w:rsidP="00894126">
            <w:pPr>
              <w:pStyle w:val="ARtabletextright"/>
              <w:rPr>
                <w:b/>
              </w:rPr>
            </w:pPr>
            <w:r w:rsidRPr="004305B0">
              <w:rPr>
                <w:b/>
                <w:noProof/>
              </w:rPr>
              <w:t>51</w:t>
            </w:r>
          </w:p>
        </w:tc>
        <w:tc>
          <w:tcPr>
            <w:tcW w:w="1022" w:type="dxa"/>
            <w:hideMark/>
          </w:tcPr>
          <w:p w14:paraId="73CE0452" w14:textId="77777777" w:rsidR="00814857" w:rsidRPr="004305B0" w:rsidRDefault="00814857" w:rsidP="00894126">
            <w:pPr>
              <w:pStyle w:val="ARtabletextright"/>
              <w:rPr>
                <w:b/>
              </w:rPr>
            </w:pPr>
            <w:r w:rsidRPr="004305B0">
              <w:rPr>
                <w:b/>
                <w:noProof/>
              </w:rPr>
              <w:t>0.7</w:t>
            </w:r>
          </w:p>
        </w:tc>
        <w:tc>
          <w:tcPr>
            <w:tcW w:w="794" w:type="dxa"/>
            <w:hideMark/>
          </w:tcPr>
          <w:p w14:paraId="4188AA36" w14:textId="77777777" w:rsidR="00814857" w:rsidRPr="004305B0" w:rsidRDefault="00814857" w:rsidP="00894126">
            <w:pPr>
              <w:rPr>
                <w:b/>
              </w:rPr>
            </w:pPr>
          </w:p>
        </w:tc>
      </w:tr>
      <w:tr w:rsidR="00773DFC" w14:paraId="7FEF0333" w14:textId="77777777" w:rsidTr="000A6AF0">
        <w:trPr>
          <w:cantSplit/>
          <w:trHeight w:val="289"/>
        </w:trPr>
        <w:tc>
          <w:tcPr>
            <w:tcW w:w="9645" w:type="dxa"/>
            <w:gridSpan w:val="6"/>
            <w:tcBorders>
              <w:top w:val="single" w:sz="4" w:space="0" w:color="auto"/>
              <w:left w:val="nil"/>
              <w:bottom w:val="single" w:sz="4" w:space="0" w:color="auto"/>
              <w:right w:val="nil"/>
            </w:tcBorders>
            <w:hideMark/>
          </w:tcPr>
          <w:p w14:paraId="2CB391D9" w14:textId="76DB148D" w:rsidR="00773DFC" w:rsidRDefault="00773DFC" w:rsidP="004A547D">
            <w:pPr>
              <w:pStyle w:val="ARtablebluebold"/>
            </w:pPr>
            <w:bookmarkStart w:id="94" w:name="_Hlk21519447"/>
            <w:r>
              <w:t>Office for Disability</w:t>
            </w:r>
          </w:p>
        </w:tc>
      </w:tr>
      <w:bookmarkEnd w:id="94"/>
      <w:tr w:rsidR="00773DFC" w14:paraId="25A1251E" w14:textId="77777777" w:rsidTr="000A6AF0">
        <w:trPr>
          <w:cantSplit/>
          <w:trHeight w:val="240"/>
        </w:trPr>
        <w:tc>
          <w:tcPr>
            <w:tcW w:w="9645" w:type="dxa"/>
            <w:gridSpan w:val="6"/>
            <w:tcBorders>
              <w:top w:val="single" w:sz="4" w:space="0" w:color="auto"/>
              <w:left w:val="nil"/>
              <w:bottom w:val="nil"/>
              <w:right w:val="nil"/>
            </w:tcBorders>
            <w:hideMark/>
          </w:tcPr>
          <w:p w14:paraId="367AF1F5" w14:textId="0E3D0557" w:rsidR="00773DFC" w:rsidRDefault="00773DFC" w:rsidP="004A547D">
            <w:pPr>
              <w:pStyle w:val="ARtablegreybold"/>
            </w:pPr>
            <w:r w:rsidRPr="004A547D">
              <w:t>Quantity</w:t>
            </w:r>
          </w:p>
        </w:tc>
      </w:tr>
      <w:tr w:rsidR="00814857" w14:paraId="37303D16" w14:textId="77777777" w:rsidTr="00894126">
        <w:trPr>
          <w:cantSplit/>
          <w:trHeight w:val="480"/>
        </w:trPr>
        <w:tc>
          <w:tcPr>
            <w:tcW w:w="4764" w:type="dxa"/>
            <w:hideMark/>
          </w:tcPr>
          <w:p w14:paraId="3219A39A" w14:textId="77777777" w:rsidR="00814857" w:rsidRDefault="00814857" w:rsidP="00894126">
            <w:pPr>
              <w:pStyle w:val="ARtabletext"/>
            </w:pPr>
            <w:r>
              <w:rPr>
                <w:noProof/>
              </w:rPr>
              <w:t>Number of Disability Advocacy clients</w:t>
            </w:r>
          </w:p>
        </w:tc>
        <w:tc>
          <w:tcPr>
            <w:tcW w:w="1021" w:type="dxa"/>
            <w:hideMark/>
          </w:tcPr>
          <w:p w14:paraId="1CA60B29" w14:textId="77777777" w:rsidR="00814857" w:rsidRDefault="00814857" w:rsidP="00894126">
            <w:pPr>
              <w:pStyle w:val="ARtabletextright"/>
            </w:pPr>
            <w:r>
              <w:rPr>
                <w:noProof/>
              </w:rPr>
              <w:t>number</w:t>
            </w:r>
          </w:p>
        </w:tc>
        <w:tc>
          <w:tcPr>
            <w:tcW w:w="1022" w:type="dxa"/>
            <w:hideMark/>
          </w:tcPr>
          <w:p w14:paraId="2906F0EC" w14:textId="77777777" w:rsidR="00814857" w:rsidRDefault="00814857" w:rsidP="00894126">
            <w:pPr>
              <w:pStyle w:val="ARtabletextright"/>
            </w:pPr>
            <w:r>
              <w:rPr>
                <w:noProof/>
              </w:rPr>
              <w:t>2,000</w:t>
            </w:r>
          </w:p>
        </w:tc>
        <w:tc>
          <w:tcPr>
            <w:tcW w:w="1022" w:type="dxa"/>
            <w:hideMark/>
          </w:tcPr>
          <w:p w14:paraId="0A555D16" w14:textId="77777777" w:rsidR="00814857" w:rsidRDefault="00814857" w:rsidP="00894126">
            <w:pPr>
              <w:pStyle w:val="ARtabletextright"/>
            </w:pPr>
            <w:r>
              <w:rPr>
                <w:noProof/>
              </w:rPr>
              <w:t>2,187</w:t>
            </w:r>
          </w:p>
        </w:tc>
        <w:tc>
          <w:tcPr>
            <w:tcW w:w="1022" w:type="dxa"/>
            <w:hideMark/>
          </w:tcPr>
          <w:p w14:paraId="07E0D62F" w14:textId="77777777" w:rsidR="00814857" w:rsidRDefault="00814857" w:rsidP="00894126">
            <w:pPr>
              <w:pStyle w:val="ARtabletextright"/>
            </w:pPr>
            <w:r>
              <w:rPr>
                <w:noProof/>
              </w:rPr>
              <w:t>9.4</w:t>
            </w:r>
          </w:p>
        </w:tc>
        <w:tc>
          <w:tcPr>
            <w:tcW w:w="794" w:type="dxa"/>
            <w:hideMark/>
          </w:tcPr>
          <w:p w14:paraId="57857D99" w14:textId="77777777" w:rsidR="00814857" w:rsidRDefault="00814857" w:rsidP="00894126">
            <w:pPr>
              <w:pStyle w:val="ARtabletextright"/>
            </w:pPr>
            <w:r>
              <w:sym w:font="Wingdings" w:char="F0FC"/>
            </w:r>
          </w:p>
        </w:tc>
      </w:tr>
      <w:tr w:rsidR="00814857" w14:paraId="477A3531" w14:textId="77777777" w:rsidTr="00894126">
        <w:trPr>
          <w:cantSplit/>
          <w:trHeight w:val="240"/>
        </w:trPr>
        <w:tc>
          <w:tcPr>
            <w:tcW w:w="9645" w:type="dxa"/>
            <w:gridSpan w:val="6"/>
            <w:tcBorders>
              <w:top w:val="nil"/>
              <w:left w:val="nil"/>
              <w:bottom w:val="single" w:sz="4" w:space="0" w:color="BFBFBF"/>
              <w:right w:val="nil"/>
            </w:tcBorders>
            <w:noWrap/>
            <w:hideMark/>
          </w:tcPr>
          <w:p w14:paraId="50A43B0D" w14:textId="77777777" w:rsidR="00814857" w:rsidRDefault="00814857" w:rsidP="00894126">
            <w:pPr>
              <w:pStyle w:val="ARtablenoteindent"/>
            </w:pPr>
            <w:r>
              <w:rPr>
                <w:noProof/>
              </w:rPr>
              <w:t xml:space="preserve">This higher than expected result indicates that more people have received support. This is a positive result. </w:t>
            </w:r>
          </w:p>
        </w:tc>
      </w:tr>
      <w:tr w:rsidR="00773DFC" w14:paraId="37B0E989" w14:textId="77777777" w:rsidTr="000A6AF0">
        <w:trPr>
          <w:cantSplit/>
          <w:trHeight w:val="240"/>
        </w:trPr>
        <w:tc>
          <w:tcPr>
            <w:tcW w:w="9645" w:type="dxa"/>
            <w:gridSpan w:val="6"/>
            <w:tcBorders>
              <w:top w:val="single" w:sz="4" w:space="0" w:color="auto"/>
              <w:left w:val="nil"/>
              <w:bottom w:val="nil"/>
              <w:right w:val="nil"/>
            </w:tcBorders>
            <w:hideMark/>
          </w:tcPr>
          <w:p w14:paraId="4B19CBEC" w14:textId="5B0DDE00" w:rsidR="00773DFC" w:rsidRDefault="00773DFC" w:rsidP="004A547D">
            <w:pPr>
              <w:pStyle w:val="ARtablegreybold"/>
            </w:pPr>
            <w:r w:rsidRPr="004A547D">
              <w:t>Timeliness</w:t>
            </w:r>
          </w:p>
        </w:tc>
      </w:tr>
      <w:tr w:rsidR="00814857" w14:paraId="57643BD8" w14:textId="77777777" w:rsidTr="00894126">
        <w:trPr>
          <w:cantSplit/>
          <w:trHeight w:val="480"/>
        </w:trPr>
        <w:tc>
          <w:tcPr>
            <w:tcW w:w="4764" w:type="dxa"/>
            <w:hideMark/>
          </w:tcPr>
          <w:p w14:paraId="18FC0D94" w14:textId="77777777" w:rsidR="00814857" w:rsidRDefault="00814857" w:rsidP="00894126">
            <w:pPr>
              <w:pStyle w:val="ARtabletext"/>
            </w:pPr>
            <w:r>
              <w:rPr>
                <w:noProof/>
              </w:rPr>
              <w:t>Annual reporting against the State disability plan within agreed timeframes</w:t>
            </w:r>
          </w:p>
        </w:tc>
        <w:tc>
          <w:tcPr>
            <w:tcW w:w="1021" w:type="dxa"/>
            <w:hideMark/>
          </w:tcPr>
          <w:p w14:paraId="18A1B452" w14:textId="77777777" w:rsidR="00814857" w:rsidRDefault="00814857" w:rsidP="00894126">
            <w:pPr>
              <w:pStyle w:val="ARtabletextright"/>
            </w:pPr>
            <w:r>
              <w:rPr>
                <w:noProof/>
              </w:rPr>
              <w:t>per cent</w:t>
            </w:r>
          </w:p>
        </w:tc>
        <w:tc>
          <w:tcPr>
            <w:tcW w:w="1022" w:type="dxa"/>
            <w:hideMark/>
          </w:tcPr>
          <w:p w14:paraId="0E8F6131" w14:textId="77777777" w:rsidR="00814857" w:rsidRDefault="00814857" w:rsidP="00894126">
            <w:pPr>
              <w:pStyle w:val="ARtabletextright"/>
            </w:pPr>
            <w:r>
              <w:rPr>
                <w:noProof/>
              </w:rPr>
              <w:t>100</w:t>
            </w:r>
          </w:p>
        </w:tc>
        <w:tc>
          <w:tcPr>
            <w:tcW w:w="1022" w:type="dxa"/>
            <w:hideMark/>
          </w:tcPr>
          <w:p w14:paraId="2D905F81" w14:textId="77777777" w:rsidR="00814857" w:rsidRDefault="00814857" w:rsidP="00894126">
            <w:pPr>
              <w:pStyle w:val="ARtabletextright"/>
            </w:pPr>
            <w:r>
              <w:rPr>
                <w:noProof/>
              </w:rPr>
              <w:t>100</w:t>
            </w:r>
          </w:p>
        </w:tc>
        <w:tc>
          <w:tcPr>
            <w:tcW w:w="1022" w:type="dxa"/>
            <w:hideMark/>
          </w:tcPr>
          <w:p w14:paraId="16ACB560" w14:textId="77777777" w:rsidR="00814857" w:rsidRDefault="00814857" w:rsidP="00894126">
            <w:pPr>
              <w:pStyle w:val="ARtabletextright"/>
            </w:pPr>
            <w:r>
              <w:rPr>
                <w:noProof/>
              </w:rPr>
              <w:t>0.0</w:t>
            </w:r>
          </w:p>
        </w:tc>
        <w:tc>
          <w:tcPr>
            <w:tcW w:w="794" w:type="dxa"/>
            <w:hideMark/>
          </w:tcPr>
          <w:p w14:paraId="7AB6F1B9" w14:textId="77777777" w:rsidR="00814857" w:rsidRDefault="00814857" w:rsidP="00894126">
            <w:pPr>
              <w:pStyle w:val="ARtabletextright"/>
            </w:pPr>
            <w:r>
              <w:sym w:font="Wingdings" w:char="F0FC"/>
            </w:r>
          </w:p>
        </w:tc>
      </w:tr>
      <w:tr w:rsidR="00814857" w14:paraId="541FC779" w14:textId="77777777" w:rsidTr="00894126">
        <w:trPr>
          <w:cantSplit/>
          <w:trHeight w:val="240"/>
        </w:trPr>
        <w:tc>
          <w:tcPr>
            <w:tcW w:w="9645" w:type="dxa"/>
            <w:gridSpan w:val="6"/>
            <w:tcBorders>
              <w:top w:val="nil"/>
              <w:left w:val="nil"/>
              <w:bottom w:val="single" w:sz="4" w:space="0" w:color="BFBFBF"/>
              <w:right w:val="nil"/>
            </w:tcBorders>
            <w:noWrap/>
            <w:hideMark/>
          </w:tcPr>
          <w:p w14:paraId="3B58AE34" w14:textId="77777777" w:rsidR="00814857" w:rsidRDefault="00814857" w:rsidP="00894126">
            <w:pPr>
              <w:pStyle w:val="ARtablenoteindent"/>
            </w:pPr>
            <w:r>
              <w:rPr>
                <w:noProof/>
              </w:rPr>
              <w:t>Preliminary result. This new annual measure commenced reporting from 2018–19. Actual end-of-year results will be available late 2019.</w:t>
            </w:r>
          </w:p>
        </w:tc>
      </w:tr>
      <w:tr w:rsidR="00773DFC" w14:paraId="0AD03A83" w14:textId="77777777" w:rsidTr="000A6AF0">
        <w:trPr>
          <w:cantSplit/>
          <w:trHeight w:val="240"/>
        </w:trPr>
        <w:tc>
          <w:tcPr>
            <w:tcW w:w="9645" w:type="dxa"/>
            <w:gridSpan w:val="6"/>
            <w:tcBorders>
              <w:top w:val="single" w:sz="4" w:space="0" w:color="auto"/>
              <w:left w:val="nil"/>
              <w:bottom w:val="nil"/>
              <w:right w:val="nil"/>
            </w:tcBorders>
            <w:hideMark/>
          </w:tcPr>
          <w:p w14:paraId="5BF96CCF" w14:textId="0E4562D4" w:rsidR="00773DFC" w:rsidRDefault="00773DFC" w:rsidP="004A547D">
            <w:pPr>
              <w:pStyle w:val="ARtablegreybold"/>
            </w:pPr>
            <w:bookmarkStart w:id="95" w:name="_Hlk21519441"/>
            <w:r w:rsidRPr="004A547D">
              <w:t>Cost</w:t>
            </w:r>
          </w:p>
        </w:tc>
      </w:tr>
      <w:tr w:rsidR="00814857" w14:paraId="40B3064C" w14:textId="77777777" w:rsidTr="00773DFC">
        <w:trPr>
          <w:cantSplit/>
          <w:trHeight w:val="480"/>
        </w:trPr>
        <w:tc>
          <w:tcPr>
            <w:tcW w:w="4764" w:type="dxa"/>
            <w:hideMark/>
          </w:tcPr>
          <w:p w14:paraId="716169FC" w14:textId="77777777" w:rsidR="00814857" w:rsidRPr="004305B0" w:rsidRDefault="00814857" w:rsidP="00894126">
            <w:pPr>
              <w:pStyle w:val="ARtabletext"/>
              <w:rPr>
                <w:b/>
              </w:rPr>
            </w:pPr>
            <w:r w:rsidRPr="004305B0">
              <w:rPr>
                <w:b/>
                <w:noProof/>
              </w:rPr>
              <w:t xml:space="preserve">Total </w:t>
            </w:r>
            <w:r>
              <w:rPr>
                <w:b/>
                <w:noProof/>
              </w:rPr>
              <w:t>o</w:t>
            </w:r>
            <w:r w:rsidRPr="004305B0">
              <w:rPr>
                <w:b/>
                <w:noProof/>
              </w:rPr>
              <w:t xml:space="preserve">utput </w:t>
            </w:r>
            <w:r>
              <w:rPr>
                <w:b/>
                <w:noProof/>
              </w:rPr>
              <w:t>c</w:t>
            </w:r>
            <w:r w:rsidRPr="004305B0">
              <w:rPr>
                <w:b/>
                <w:noProof/>
              </w:rPr>
              <w:t>ost</w:t>
            </w:r>
          </w:p>
        </w:tc>
        <w:tc>
          <w:tcPr>
            <w:tcW w:w="1021" w:type="dxa"/>
            <w:hideMark/>
          </w:tcPr>
          <w:p w14:paraId="412BE3CE" w14:textId="77777777" w:rsidR="00814857" w:rsidRPr="004305B0" w:rsidRDefault="00814857" w:rsidP="00894126">
            <w:pPr>
              <w:pStyle w:val="ARtabletextright"/>
              <w:rPr>
                <w:b/>
              </w:rPr>
            </w:pPr>
            <w:r w:rsidRPr="004305B0">
              <w:rPr>
                <w:b/>
                <w:noProof/>
              </w:rPr>
              <w:t>$ million</w:t>
            </w:r>
          </w:p>
        </w:tc>
        <w:tc>
          <w:tcPr>
            <w:tcW w:w="1022" w:type="dxa"/>
            <w:hideMark/>
          </w:tcPr>
          <w:p w14:paraId="4BCF2808" w14:textId="77777777" w:rsidR="00814857" w:rsidRPr="004305B0" w:rsidRDefault="00814857" w:rsidP="00894126">
            <w:pPr>
              <w:pStyle w:val="ARtabletextright"/>
              <w:rPr>
                <w:b/>
              </w:rPr>
            </w:pPr>
            <w:r w:rsidRPr="004305B0">
              <w:rPr>
                <w:b/>
                <w:noProof/>
              </w:rPr>
              <w:t>9.6</w:t>
            </w:r>
          </w:p>
        </w:tc>
        <w:tc>
          <w:tcPr>
            <w:tcW w:w="1022" w:type="dxa"/>
            <w:hideMark/>
          </w:tcPr>
          <w:p w14:paraId="653F9EB5" w14:textId="77777777" w:rsidR="00814857" w:rsidRPr="004305B0" w:rsidRDefault="00814857" w:rsidP="00894126">
            <w:pPr>
              <w:pStyle w:val="ARtabletextright"/>
              <w:rPr>
                <w:b/>
              </w:rPr>
            </w:pPr>
            <w:r w:rsidRPr="004305B0">
              <w:rPr>
                <w:b/>
                <w:noProof/>
              </w:rPr>
              <w:t>11</w:t>
            </w:r>
          </w:p>
        </w:tc>
        <w:tc>
          <w:tcPr>
            <w:tcW w:w="1022" w:type="dxa"/>
            <w:hideMark/>
          </w:tcPr>
          <w:p w14:paraId="54B883DB" w14:textId="77777777" w:rsidR="00814857" w:rsidRPr="004305B0" w:rsidRDefault="00814857" w:rsidP="00894126">
            <w:pPr>
              <w:pStyle w:val="ARtabletextright"/>
              <w:rPr>
                <w:b/>
              </w:rPr>
            </w:pPr>
            <w:r w:rsidRPr="004305B0">
              <w:rPr>
                <w:b/>
                <w:noProof/>
              </w:rPr>
              <w:t>14.7</w:t>
            </w:r>
          </w:p>
        </w:tc>
        <w:tc>
          <w:tcPr>
            <w:tcW w:w="794" w:type="dxa"/>
            <w:hideMark/>
          </w:tcPr>
          <w:p w14:paraId="45A75D4C" w14:textId="77777777" w:rsidR="00814857" w:rsidRPr="004305B0" w:rsidRDefault="00814857" w:rsidP="00894126">
            <w:pPr>
              <w:rPr>
                <w:b/>
              </w:rPr>
            </w:pPr>
          </w:p>
        </w:tc>
      </w:tr>
      <w:tr w:rsidR="00814857" w14:paraId="0067B064" w14:textId="77777777" w:rsidTr="00773DFC">
        <w:trPr>
          <w:cantSplit/>
          <w:trHeight w:val="240"/>
        </w:trPr>
        <w:tc>
          <w:tcPr>
            <w:tcW w:w="9645" w:type="dxa"/>
            <w:gridSpan w:val="6"/>
            <w:tcBorders>
              <w:top w:val="nil"/>
              <w:left w:val="nil"/>
              <w:bottom w:val="single" w:sz="4" w:space="0" w:color="auto"/>
              <w:right w:val="nil"/>
            </w:tcBorders>
            <w:noWrap/>
            <w:hideMark/>
          </w:tcPr>
          <w:p w14:paraId="2F057BB6" w14:textId="77777777" w:rsidR="00814857" w:rsidRDefault="00814857" w:rsidP="00894126">
            <w:pPr>
              <w:pStyle w:val="ARtablenoteindent"/>
            </w:pPr>
            <w:r>
              <w:rPr>
                <w:noProof/>
              </w:rPr>
              <w:t>The 2018–19 actual outcome primarily reflects increase in Victorian Government policy initiatives.</w:t>
            </w:r>
          </w:p>
        </w:tc>
      </w:tr>
      <w:bookmarkEnd w:id="95"/>
    </w:tbl>
    <w:p w14:paraId="24E69371" w14:textId="77777777" w:rsidR="00814857" w:rsidRPr="007939DD" w:rsidRDefault="00814857" w:rsidP="003961A9">
      <w:pPr>
        <w:pStyle w:val="ARbody"/>
      </w:pPr>
    </w:p>
    <w:p w14:paraId="3CB328D9" w14:textId="77777777" w:rsidR="00814857" w:rsidRPr="007939DD" w:rsidRDefault="00814857" w:rsidP="00576B70">
      <w:pPr>
        <w:pStyle w:val="ARbody"/>
        <w:sectPr w:rsidR="00814857" w:rsidRPr="007939DD" w:rsidSect="00150431">
          <w:endnotePr>
            <w:numFmt w:val="decimal"/>
          </w:endnotePr>
          <w:type w:val="continuous"/>
          <w:pgSz w:w="11900" w:h="16840" w:code="9"/>
          <w:pgMar w:top="1985" w:right="851" w:bottom="851" w:left="1418" w:header="510" w:footer="340" w:gutter="0"/>
          <w:cols w:space="454"/>
        </w:sectPr>
      </w:pPr>
    </w:p>
    <w:p w14:paraId="4032EA0B" w14:textId="77777777" w:rsidR="00814857" w:rsidRPr="007939DD" w:rsidRDefault="00814857" w:rsidP="00C35260">
      <w:pPr>
        <w:pStyle w:val="Heading1"/>
        <w:ind w:right="3969"/>
      </w:pPr>
      <w:bookmarkStart w:id="96" w:name="_Toc463776199"/>
      <w:bookmarkStart w:id="97" w:name="_Ref492894493"/>
      <w:bookmarkStart w:id="98" w:name="_Ref492914850"/>
      <w:bookmarkStart w:id="99" w:name="_Ref525047511"/>
      <w:bookmarkStart w:id="100" w:name="_Ref525047523"/>
      <w:bookmarkStart w:id="101" w:name="_Ref525047529"/>
      <w:bookmarkStart w:id="102" w:name="_Ref525047535"/>
      <w:bookmarkStart w:id="103" w:name="_Ref525047537"/>
      <w:bookmarkStart w:id="104" w:name="_Ref525207736"/>
      <w:bookmarkStart w:id="105" w:name="_Toc21682720"/>
      <w:bookmarkStart w:id="106" w:name="_Ref21956322"/>
      <w:r>
        <w:rPr>
          <w:noProof/>
          <w:lang w:eastAsia="en-AU"/>
        </w:rPr>
        <w:lastRenderedPageBreak/>
        <w:drawing>
          <wp:anchor distT="0" distB="0" distL="114300" distR="114300" simplePos="0" relativeHeight="251676672" behindDoc="1" locked="1" layoutInCell="1" allowOverlap="1" wp14:anchorId="4C82F013" wp14:editId="5640D7BA">
            <wp:simplePos x="0" y="0"/>
            <wp:positionH relativeFrom="page">
              <wp:align>right</wp:align>
            </wp:positionH>
            <wp:positionV relativeFrom="page">
              <wp:align>top</wp:align>
            </wp:positionV>
            <wp:extent cx="3133080" cy="2700000"/>
            <wp:effectExtent l="0" t="0" r="0" b="5715"/>
            <wp:wrapNone/>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1907417_DHHS Annual Report Section start 87x75m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3080" cy="2700000"/>
                    </a:xfrm>
                    <a:prstGeom prst="rect">
                      <a:avLst/>
                    </a:prstGeom>
                  </pic:spPr>
                </pic:pic>
              </a:graphicData>
            </a:graphic>
            <wp14:sizeRelH relativeFrom="page">
              <wp14:pctWidth>0</wp14:pctWidth>
            </wp14:sizeRelH>
            <wp14:sizeRelV relativeFrom="page">
              <wp14:pctHeight>0</wp14:pctHeight>
            </wp14:sizeRelV>
          </wp:anchor>
        </w:drawing>
      </w:r>
      <w:r w:rsidRPr="007939DD">
        <w:t>Finance and budgetary performance</w:t>
      </w:r>
      <w:bookmarkEnd w:id="96"/>
      <w:bookmarkEnd w:id="97"/>
      <w:bookmarkEnd w:id="98"/>
      <w:bookmarkEnd w:id="99"/>
      <w:bookmarkEnd w:id="100"/>
      <w:bookmarkEnd w:id="101"/>
      <w:bookmarkEnd w:id="102"/>
      <w:bookmarkEnd w:id="103"/>
      <w:bookmarkEnd w:id="104"/>
      <w:bookmarkEnd w:id="105"/>
      <w:bookmarkEnd w:id="106"/>
    </w:p>
    <w:p w14:paraId="7C498055" w14:textId="77777777" w:rsidR="00814857" w:rsidRDefault="00814857" w:rsidP="005F7104">
      <w:pPr>
        <w:pStyle w:val="Heading2"/>
        <w:sectPr w:rsidR="00814857" w:rsidSect="004B3C07">
          <w:headerReference w:type="first" r:id="rId97"/>
          <w:footerReference w:type="first" r:id="rId98"/>
          <w:endnotePr>
            <w:numFmt w:val="decimal"/>
          </w:endnotePr>
          <w:pgSz w:w="11900" w:h="16840" w:code="9"/>
          <w:pgMar w:top="3232" w:right="851" w:bottom="851" w:left="1418" w:header="510" w:footer="340" w:gutter="0"/>
          <w:cols w:space="454"/>
        </w:sectPr>
      </w:pPr>
      <w:bookmarkStart w:id="107" w:name="_Ref525047570"/>
    </w:p>
    <w:bookmarkEnd w:id="107"/>
    <w:p w14:paraId="2ACD4301" w14:textId="77777777" w:rsidR="00814857" w:rsidRPr="00657E8C" w:rsidRDefault="00814857" w:rsidP="007752D9">
      <w:pPr>
        <w:pStyle w:val="Heading2"/>
        <w:rPr>
          <w:lang w:eastAsia="en-AU"/>
        </w:rPr>
      </w:pPr>
      <w:r w:rsidRPr="00657E8C">
        <w:t>Departmental</w:t>
      </w:r>
      <w:r w:rsidRPr="00657E8C">
        <w:rPr>
          <w:lang w:eastAsia="en-AU"/>
        </w:rPr>
        <w:t xml:space="preserve"> five-year </w:t>
      </w:r>
      <w:r w:rsidRPr="00657E8C">
        <w:t>financial</w:t>
      </w:r>
      <w:r w:rsidRPr="00657E8C">
        <w:rPr>
          <w:lang w:eastAsia="en-AU"/>
        </w:rPr>
        <w:t xml:space="preserve"> summary</w:t>
      </w:r>
    </w:p>
    <w:tbl>
      <w:tblPr>
        <w:tblW w:w="9640" w:type="dxa"/>
        <w:tblInd w:w="4" w:type="dxa"/>
        <w:tblLayout w:type="fixed"/>
        <w:tblCellMar>
          <w:left w:w="0" w:type="dxa"/>
          <w:right w:w="0" w:type="dxa"/>
        </w:tblCellMar>
        <w:tblLook w:val="02A0" w:firstRow="1" w:lastRow="0" w:firstColumn="1" w:lastColumn="0" w:noHBand="1" w:noVBand="0"/>
      </w:tblPr>
      <w:tblGrid>
        <w:gridCol w:w="4883"/>
        <w:gridCol w:w="952"/>
        <w:gridCol w:w="952"/>
        <w:gridCol w:w="952"/>
        <w:gridCol w:w="952"/>
        <w:gridCol w:w="949"/>
      </w:tblGrid>
      <w:tr w:rsidR="00814857" w:rsidRPr="00657E8C" w14:paraId="3D6BD8A4" w14:textId="77777777" w:rsidTr="00F17551">
        <w:trPr>
          <w:cantSplit/>
          <w:trHeight w:val="1"/>
          <w:tblHeader/>
        </w:trPr>
        <w:tc>
          <w:tcPr>
            <w:tcW w:w="4883" w:type="dxa"/>
            <w:tcBorders>
              <w:top w:val="nil"/>
              <w:left w:val="single" w:sz="4" w:space="0" w:color="FFFFFF"/>
              <w:bottom w:val="single" w:sz="4" w:space="0" w:color="auto"/>
            </w:tcBorders>
            <w:vAlign w:val="bottom"/>
          </w:tcPr>
          <w:p w14:paraId="1F90363C" w14:textId="77777777" w:rsidR="00814857" w:rsidRPr="00657E8C" w:rsidRDefault="00814857" w:rsidP="00F17551">
            <w:pPr>
              <w:pStyle w:val="ARtablecolhead"/>
              <w:rPr>
                <w:rFonts w:ascii="Calibri" w:hAnsi="Calibri" w:cs="Calibri"/>
                <w:sz w:val="22"/>
                <w:szCs w:val="22"/>
              </w:rPr>
            </w:pPr>
            <w:r w:rsidRPr="00657E8C">
              <w:t>Five-year financial summary ($ millions)</w:t>
            </w:r>
          </w:p>
        </w:tc>
        <w:tc>
          <w:tcPr>
            <w:tcW w:w="952" w:type="dxa"/>
            <w:tcBorders>
              <w:top w:val="nil"/>
              <w:bottom w:val="single" w:sz="4" w:space="0" w:color="auto"/>
            </w:tcBorders>
            <w:vAlign w:val="bottom"/>
          </w:tcPr>
          <w:p w14:paraId="7A7D7076" w14:textId="77777777" w:rsidR="00814857" w:rsidRPr="00657E8C" w:rsidRDefault="00814857" w:rsidP="00F17551">
            <w:pPr>
              <w:pStyle w:val="ARtablecolheadright"/>
              <w:rPr>
                <w:rFonts w:ascii="Calibri" w:hAnsi="Calibri" w:cs="Calibri"/>
                <w:sz w:val="22"/>
                <w:szCs w:val="22"/>
              </w:rPr>
            </w:pPr>
            <w:r w:rsidRPr="00657E8C">
              <w:t>2019</w:t>
            </w:r>
          </w:p>
        </w:tc>
        <w:tc>
          <w:tcPr>
            <w:tcW w:w="952" w:type="dxa"/>
            <w:tcBorders>
              <w:top w:val="nil"/>
              <w:bottom w:val="single" w:sz="4" w:space="0" w:color="auto"/>
            </w:tcBorders>
            <w:shd w:val="clear" w:color="000000" w:fill="FFFFFF"/>
            <w:vAlign w:val="bottom"/>
          </w:tcPr>
          <w:p w14:paraId="395068D0" w14:textId="77777777" w:rsidR="00814857" w:rsidRPr="00657E8C" w:rsidRDefault="00814857" w:rsidP="00F17551">
            <w:pPr>
              <w:pStyle w:val="ARtablecolheadright"/>
              <w:rPr>
                <w:rFonts w:ascii="Calibri" w:hAnsi="Calibri" w:cs="Calibri"/>
                <w:sz w:val="22"/>
                <w:szCs w:val="22"/>
              </w:rPr>
            </w:pPr>
            <w:r w:rsidRPr="00657E8C">
              <w:t>2018</w:t>
            </w:r>
          </w:p>
        </w:tc>
        <w:tc>
          <w:tcPr>
            <w:tcW w:w="952" w:type="dxa"/>
            <w:tcBorders>
              <w:top w:val="nil"/>
              <w:bottom w:val="single" w:sz="4" w:space="0" w:color="auto"/>
            </w:tcBorders>
            <w:shd w:val="clear" w:color="000000" w:fill="FFFFFF"/>
            <w:vAlign w:val="bottom"/>
          </w:tcPr>
          <w:p w14:paraId="5CD1B679" w14:textId="77777777" w:rsidR="00814857" w:rsidRPr="00657E8C" w:rsidRDefault="00814857" w:rsidP="00F17551">
            <w:pPr>
              <w:pStyle w:val="ARtablecolheadright"/>
              <w:rPr>
                <w:rFonts w:ascii="Calibri" w:hAnsi="Calibri" w:cs="Calibri"/>
                <w:sz w:val="22"/>
                <w:szCs w:val="22"/>
              </w:rPr>
            </w:pPr>
            <w:r w:rsidRPr="00657E8C">
              <w:t>2017</w:t>
            </w:r>
          </w:p>
        </w:tc>
        <w:tc>
          <w:tcPr>
            <w:tcW w:w="952" w:type="dxa"/>
            <w:tcBorders>
              <w:top w:val="nil"/>
              <w:bottom w:val="single" w:sz="4" w:space="0" w:color="auto"/>
            </w:tcBorders>
            <w:shd w:val="clear" w:color="000000" w:fill="FFFFFF"/>
            <w:vAlign w:val="bottom"/>
          </w:tcPr>
          <w:p w14:paraId="745221A9" w14:textId="77777777" w:rsidR="00814857" w:rsidRPr="00657E8C" w:rsidRDefault="00814857" w:rsidP="00F17551">
            <w:pPr>
              <w:pStyle w:val="ARtablecolheadright"/>
              <w:rPr>
                <w:rFonts w:ascii="Calibri" w:hAnsi="Calibri" w:cs="Calibri"/>
                <w:sz w:val="22"/>
                <w:szCs w:val="22"/>
              </w:rPr>
            </w:pPr>
            <w:r w:rsidRPr="00657E8C">
              <w:t>2016</w:t>
            </w:r>
          </w:p>
        </w:tc>
        <w:tc>
          <w:tcPr>
            <w:tcW w:w="949" w:type="dxa"/>
            <w:tcBorders>
              <w:top w:val="nil"/>
              <w:bottom w:val="single" w:sz="4" w:space="0" w:color="auto"/>
              <w:right w:val="single" w:sz="4" w:space="0" w:color="FFFFFF"/>
            </w:tcBorders>
            <w:shd w:val="clear" w:color="000000" w:fill="FFFFFF"/>
            <w:vAlign w:val="bottom"/>
          </w:tcPr>
          <w:p w14:paraId="0DE24B35" w14:textId="77777777" w:rsidR="00814857" w:rsidRPr="00657E8C" w:rsidRDefault="00814857" w:rsidP="00F17551">
            <w:pPr>
              <w:pStyle w:val="ARtablecolheadright"/>
              <w:rPr>
                <w:rFonts w:ascii="Calibri" w:hAnsi="Calibri" w:cs="Calibri"/>
                <w:sz w:val="22"/>
                <w:szCs w:val="22"/>
              </w:rPr>
            </w:pPr>
            <w:r w:rsidRPr="00657E8C">
              <w:t>2015</w:t>
            </w:r>
          </w:p>
        </w:tc>
      </w:tr>
      <w:tr w:rsidR="00814857" w:rsidRPr="00657E8C" w14:paraId="21216F7F" w14:textId="77777777" w:rsidTr="00F17551">
        <w:trPr>
          <w:trHeight w:val="1"/>
        </w:trPr>
        <w:tc>
          <w:tcPr>
            <w:tcW w:w="4883" w:type="dxa"/>
            <w:tcBorders>
              <w:top w:val="single" w:sz="4" w:space="0" w:color="auto"/>
              <w:left w:val="single" w:sz="4" w:space="0" w:color="FFFFFF"/>
              <w:bottom w:val="single" w:sz="4" w:space="0" w:color="auto"/>
            </w:tcBorders>
          </w:tcPr>
          <w:p w14:paraId="6D62E1BE" w14:textId="77777777" w:rsidR="00814857" w:rsidRPr="00657E8C" w:rsidRDefault="00814857" w:rsidP="00F17551">
            <w:pPr>
              <w:pStyle w:val="ARtabletext"/>
              <w:rPr>
                <w:rFonts w:ascii="Calibri" w:hAnsi="Calibri" w:cs="Calibri"/>
                <w:sz w:val="22"/>
                <w:szCs w:val="22"/>
              </w:rPr>
            </w:pPr>
            <w:r w:rsidRPr="00657E8C">
              <w:t>Income from government</w:t>
            </w:r>
          </w:p>
        </w:tc>
        <w:tc>
          <w:tcPr>
            <w:tcW w:w="952" w:type="dxa"/>
            <w:tcBorders>
              <w:top w:val="single" w:sz="4" w:space="0" w:color="auto"/>
              <w:bottom w:val="single" w:sz="4" w:space="0" w:color="auto"/>
            </w:tcBorders>
          </w:tcPr>
          <w:p w14:paraId="057B31E2" w14:textId="77777777" w:rsidR="00814857" w:rsidRPr="00657E8C" w:rsidRDefault="00814857" w:rsidP="00F17551">
            <w:pPr>
              <w:pStyle w:val="ARtabletextright"/>
            </w:pPr>
            <w:r w:rsidRPr="00657E8C">
              <w:rPr>
                <w:lang w:val="en"/>
              </w:rPr>
              <w:t>17,696.3</w:t>
            </w:r>
          </w:p>
        </w:tc>
        <w:tc>
          <w:tcPr>
            <w:tcW w:w="952" w:type="dxa"/>
            <w:tcBorders>
              <w:top w:val="single" w:sz="4" w:space="0" w:color="auto"/>
              <w:bottom w:val="single" w:sz="4" w:space="0" w:color="auto"/>
            </w:tcBorders>
            <w:shd w:val="clear" w:color="000000" w:fill="FFFFFF"/>
          </w:tcPr>
          <w:p w14:paraId="62356851" w14:textId="77777777" w:rsidR="00814857" w:rsidRPr="00657E8C" w:rsidRDefault="00814857" w:rsidP="00F17551">
            <w:pPr>
              <w:pStyle w:val="ARtabletextright"/>
            </w:pPr>
            <w:r w:rsidRPr="00657E8C">
              <w:rPr>
                <w:lang w:val="en"/>
              </w:rPr>
              <w:t>16,373.1</w:t>
            </w:r>
          </w:p>
        </w:tc>
        <w:tc>
          <w:tcPr>
            <w:tcW w:w="952" w:type="dxa"/>
            <w:tcBorders>
              <w:top w:val="single" w:sz="4" w:space="0" w:color="auto"/>
              <w:bottom w:val="single" w:sz="4" w:space="0" w:color="auto"/>
            </w:tcBorders>
            <w:shd w:val="clear" w:color="000000" w:fill="FFFFFF"/>
          </w:tcPr>
          <w:p w14:paraId="35EFD4A0" w14:textId="77777777" w:rsidR="00814857" w:rsidRPr="00657E8C" w:rsidRDefault="00814857" w:rsidP="00F17551">
            <w:pPr>
              <w:pStyle w:val="ARtabletextright"/>
            </w:pPr>
            <w:r w:rsidRPr="00657E8C">
              <w:rPr>
                <w:lang w:val="en"/>
              </w:rPr>
              <w:t>15,089.9</w:t>
            </w:r>
          </w:p>
        </w:tc>
        <w:tc>
          <w:tcPr>
            <w:tcW w:w="952" w:type="dxa"/>
            <w:tcBorders>
              <w:top w:val="single" w:sz="4" w:space="0" w:color="auto"/>
              <w:bottom w:val="single" w:sz="4" w:space="0" w:color="auto"/>
            </w:tcBorders>
            <w:shd w:val="clear" w:color="000000" w:fill="FFFFFF"/>
          </w:tcPr>
          <w:p w14:paraId="4CBCD8DD" w14:textId="77777777" w:rsidR="00814857" w:rsidRPr="00657E8C" w:rsidRDefault="00814857" w:rsidP="00F17551">
            <w:pPr>
              <w:pStyle w:val="ARtabletextright"/>
            </w:pPr>
            <w:r w:rsidRPr="00657E8C">
              <w:rPr>
                <w:lang w:val="en"/>
              </w:rPr>
              <w:t>14,242.9</w:t>
            </w:r>
          </w:p>
        </w:tc>
        <w:tc>
          <w:tcPr>
            <w:tcW w:w="949" w:type="dxa"/>
            <w:tcBorders>
              <w:top w:val="single" w:sz="4" w:space="0" w:color="auto"/>
              <w:bottom w:val="single" w:sz="4" w:space="0" w:color="auto"/>
              <w:right w:val="single" w:sz="4" w:space="0" w:color="FFFFFF"/>
            </w:tcBorders>
            <w:shd w:val="clear" w:color="000000" w:fill="FFFFFF"/>
          </w:tcPr>
          <w:p w14:paraId="03D86EDB" w14:textId="77777777" w:rsidR="00814857" w:rsidRPr="00657E8C" w:rsidRDefault="00814857" w:rsidP="00F17551">
            <w:pPr>
              <w:pStyle w:val="ARtabletextright"/>
            </w:pPr>
            <w:r w:rsidRPr="00657E8C">
              <w:rPr>
                <w:lang w:val="en"/>
              </w:rPr>
              <w:t>11,240.7</w:t>
            </w:r>
          </w:p>
        </w:tc>
      </w:tr>
      <w:tr w:rsidR="00814857" w:rsidRPr="00657E8C" w14:paraId="22FF6FE1" w14:textId="77777777" w:rsidTr="00F17551">
        <w:trPr>
          <w:trHeight w:val="1"/>
        </w:trPr>
        <w:tc>
          <w:tcPr>
            <w:tcW w:w="4883" w:type="dxa"/>
            <w:tcBorders>
              <w:top w:val="single" w:sz="4" w:space="0" w:color="auto"/>
              <w:left w:val="single" w:sz="4" w:space="0" w:color="FFFFFF"/>
              <w:bottom w:val="single" w:sz="4" w:space="0" w:color="auto"/>
            </w:tcBorders>
          </w:tcPr>
          <w:p w14:paraId="1ABF2DDC" w14:textId="77777777" w:rsidR="00814857" w:rsidRPr="00657E8C" w:rsidRDefault="00814857" w:rsidP="00F17551">
            <w:pPr>
              <w:pStyle w:val="ARtabletext"/>
              <w:rPr>
                <w:rFonts w:ascii="Calibri" w:hAnsi="Calibri" w:cs="Calibri"/>
                <w:sz w:val="22"/>
                <w:szCs w:val="22"/>
              </w:rPr>
            </w:pPr>
            <w:r w:rsidRPr="00657E8C">
              <w:t>Total income from transactions</w:t>
            </w:r>
          </w:p>
        </w:tc>
        <w:tc>
          <w:tcPr>
            <w:tcW w:w="952" w:type="dxa"/>
            <w:tcBorders>
              <w:top w:val="single" w:sz="4" w:space="0" w:color="auto"/>
              <w:bottom w:val="single" w:sz="4" w:space="0" w:color="auto"/>
            </w:tcBorders>
          </w:tcPr>
          <w:p w14:paraId="334F18C7" w14:textId="77777777" w:rsidR="00814857" w:rsidRPr="00657E8C" w:rsidRDefault="00814857" w:rsidP="00F17551">
            <w:pPr>
              <w:pStyle w:val="ARtabletextright"/>
            </w:pPr>
            <w:r w:rsidRPr="00657E8C">
              <w:rPr>
                <w:lang w:val="en"/>
              </w:rPr>
              <w:t>19,417.0</w:t>
            </w:r>
          </w:p>
        </w:tc>
        <w:tc>
          <w:tcPr>
            <w:tcW w:w="952" w:type="dxa"/>
            <w:tcBorders>
              <w:top w:val="single" w:sz="4" w:space="0" w:color="auto"/>
              <w:bottom w:val="single" w:sz="4" w:space="0" w:color="auto"/>
            </w:tcBorders>
            <w:shd w:val="clear" w:color="000000" w:fill="FFFFFF"/>
          </w:tcPr>
          <w:p w14:paraId="7C766B8C" w14:textId="77777777" w:rsidR="00814857" w:rsidRPr="00657E8C" w:rsidRDefault="00814857" w:rsidP="00F17551">
            <w:pPr>
              <w:pStyle w:val="ARtabletextright"/>
            </w:pPr>
            <w:r w:rsidRPr="00657E8C">
              <w:rPr>
                <w:lang w:val="en"/>
              </w:rPr>
              <w:t>17,921.1</w:t>
            </w:r>
          </w:p>
        </w:tc>
        <w:tc>
          <w:tcPr>
            <w:tcW w:w="952" w:type="dxa"/>
            <w:tcBorders>
              <w:top w:val="single" w:sz="4" w:space="0" w:color="auto"/>
              <w:bottom w:val="single" w:sz="4" w:space="0" w:color="auto"/>
            </w:tcBorders>
            <w:shd w:val="clear" w:color="000000" w:fill="FFFFFF"/>
          </w:tcPr>
          <w:p w14:paraId="6608D138" w14:textId="77777777" w:rsidR="00814857" w:rsidRPr="00657E8C" w:rsidRDefault="00814857" w:rsidP="00F17551">
            <w:pPr>
              <w:pStyle w:val="ARtabletextright"/>
            </w:pPr>
            <w:r w:rsidRPr="00657E8C">
              <w:rPr>
                <w:lang w:val="en"/>
              </w:rPr>
              <w:t>16,678.6</w:t>
            </w:r>
          </w:p>
        </w:tc>
        <w:tc>
          <w:tcPr>
            <w:tcW w:w="952" w:type="dxa"/>
            <w:tcBorders>
              <w:top w:val="single" w:sz="4" w:space="0" w:color="auto"/>
              <w:bottom w:val="single" w:sz="4" w:space="0" w:color="auto"/>
            </w:tcBorders>
            <w:shd w:val="clear" w:color="000000" w:fill="FFFFFF"/>
          </w:tcPr>
          <w:p w14:paraId="7B4F38D1" w14:textId="77777777" w:rsidR="00814857" w:rsidRPr="00657E8C" w:rsidRDefault="00814857" w:rsidP="00F17551">
            <w:pPr>
              <w:pStyle w:val="ARtabletextright"/>
            </w:pPr>
            <w:r w:rsidRPr="00657E8C">
              <w:rPr>
                <w:lang w:val="en"/>
              </w:rPr>
              <w:t>15,939.8</w:t>
            </w:r>
          </w:p>
        </w:tc>
        <w:tc>
          <w:tcPr>
            <w:tcW w:w="949" w:type="dxa"/>
            <w:tcBorders>
              <w:top w:val="single" w:sz="4" w:space="0" w:color="auto"/>
              <w:bottom w:val="single" w:sz="4" w:space="0" w:color="auto"/>
              <w:right w:val="single" w:sz="4" w:space="0" w:color="FFFFFF"/>
            </w:tcBorders>
            <w:shd w:val="clear" w:color="000000" w:fill="FFFFFF"/>
          </w:tcPr>
          <w:p w14:paraId="2943A436" w14:textId="77777777" w:rsidR="00814857" w:rsidRPr="00657E8C" w:rsidRDefault="00814857" w:rsidP="00F17551">
            <w:pPr>
              <w:pStyle w:val="ARtabletextright"/>
            </w:pPr>
            <w:r w:rsidRPr="00657E8C">
              <w:rPr>
                <w:lang w:val="en"/>
              </w:rPr>
              <w:t>12,215.3</w:t>
            </w:r>
          </w:p>
        </w:tc>
      </w:tr>
      <w:tr w:rsidR="00814857" w:rsidRPr="00657E8C" w14:paraId="073BFAEA" w14:textId="77777777" w:rsidTr="00F17551">
        <w:trPr>
          <w:trHeight w:val="1"/>
        </w:trPr>
        <w:tc>
          <w:tcPr>
            <w:tcW w:w="4883" w:type="dxa"/>
            <w:tcBorders>
              <w:top w:val="single" w:sz="4" w:space="0" w:color="auto"/>
              <w:left w:val="single" w:sz="4" w:space="0" w:color="FFFFFF"/>
              <w:bottom w:val="single" w:sz="4" w:space="0" w:color="auto"/>
            </w:tcBorders>
          </w:tcPr>
          <w:p w14:paraId="3C73D06C" w14:textId="77777777" w:rsidR="00814857" w:rsidRPr="00657E8C" w:rsidRDefault="00814857" w:rsidP="00F17551">
            <w:pPr>
              <w:pStyle w:val="ARtabletext"/>
              <w:rPr>
                <w:rFonts w:ascii="Calibri" w:hAnsi="Calibri" w:cs="Calibri"/>
                <w:sz w:val="22"/>
                <w:szCs w:val="22"/>
              </w:rPr>
            </w:pPr>
            <w:r w:rsidRPr="00657E8C">
              <w:t>Total expenses from transactions</w:t>
            </w:r>
          </w:p>
        </w:tc>
        <w:tc>
          <w:tcPr>
            <w:tcW w:w="952" w:type="dxa"/>
            <w:tcBorders>
              <w:top w:val="single" w:sz="4" w:space="0" w:color="auto"/>
              <w:bottom w:val="single" w:sz="4" w:space="0" w:color="auto"/>
            </w:tcBorders>
          </w:tcPr>
          <w:p w14:paraId="420F963A" w14:textId="77777777" w:rsidR="00814857" w:rsidRPr="00657E8C" w:rsidRDefault="00814857" w:rsidP="00F17551">
            <w:pPr>
              <w:pStyle w:val="ARtabletextright"/>
            </w:pPr>
            <w:r w:rsidRPr="00657E8C">
              <w:rPr>
                <w:lang w:val="en"/>
              </w:rPr>
              <w:t>(19,391.5)</w:t>
            </w:r>
          </w:p>
        </w:tc>
        <w:tc>
          <w:tcPr>
            <w:tcW w:w="952" w:type="dxa"/>
            <w:tcBorders>
              <w:top w:val="single" w:sz="4" w:space="0" w:color="auto"/>
              <w:bottom w:val="single" w:sz="4" w:space="0" w:color="auto"/>
            </w:tcBorders>
            <w:shd w:val="clear" w:color="000000" w:fill="FFFFFF"/>
          </w:tcPr>
          <w:p w14:paraId="6B03047C" w14:textId="77777777" w:rsidR="00814857" w:rsidRPr="00657E8C" w:rsidRDefault="00814857" w:rsidP="00F17551">
            <w:pPr>
              <w:pStyle w:val="ARtabletextright"/>
            </w:pPr>
            <w:r w:rsidRPr="00657E8C">
              <w:rPr>
                <w:lang w:val="en"/>
              </w:rPr>
              <w:t>(17,742.8)</w:t>
            </w:r>
          </w:p>
        </w:tc>
        <w:tc>
          <w:tcPr>
            <w:tcW w:w="952" w:type="dxa"/>
            <w:tcBorders>
              <w:top w:val="single" w:sz="4" w:space="0" w:color="auto"/>
              <w:bottom w:val="single" w:sz="4" w:space="0" w:color="auto"/>
            </w:tcBorders>
            <w:shd w:val="clear" w:color="000000" w:fill="FFFFFF"/>
          </w:tcPr>
          <w:p w14:paraId="6DD00BF2" w14:textId="77777777" w:rsidR="00814857" w:rsidRPr="00657E8C" w:rsidRDefault="00814857" w:rsidP="00F17551">
            <w:pPr>
              <w:pStyle w:val="ARtabletextright"/>
            </w:pPr>
            <w:r w:rsidRPr="00657E8C">
              <w:rPr>
                <w:lang w:val="en"/>
              </w:rPr>
              <w:t>(16,939.7)</w:t>
            </w:r>
          </w:p>
        </w:tc>
        <w:tc>
          <w:tcPr>
            <w:tcW w:w="952" w:type="dxa"/>
            <w:tcBorders>
              <w:top w:val="single" w:sz="4" w:space="0" w:color="auto"/>
              <w:bottom w:val="single" w:sz="4" w:space="0" w:color="auto"/>
            </w:tcBorders>
            <w:shd w:val="clear" w:color="000000" w:fill="FFFFFF"/>
          </w:tcPr>
          <w:p w14:paraId="61672957" w14:textId="77777777" w:rsidR="00814857" w:rsidRPr="00657E8C" w:rsidRDefault="00814857" w:rsidP="00F17551">
            <w:pPr>
              <w:pStyle w:val="ARtabletextright"/>
            </w:pPr>
            <w:r w:rsidRPr="00657E8C">
              <w:rPr>
                <w:lang w:val="en"/>
              </w:rPr>
              <w:t>(15,317.8)</w:t>
            </w:r>
          </w:p>
        </w:tc>
        <w:tc>
          <w:tcPr>
            <w:tcW w:w="949" w:type="dxa"/>
            <w:tcBorders>
              <w:top w:val="single" w:sz="4" w:space="0" w:color="auto"/>
              <w:bottom w:val="single" w:sz="4" w:space="0" w:color="auto"/>
              <w:right w:val="single" w:sz="4" w:space="0" w:color="FFFFFF"/>
            </w:tcBorders>
            <w:shd w:val="clear" w:color="000000" w:fill="FFFFFF"/>
          </w:tcPr>
          <w:p w14:paraId="4DA9D422" w14:textId="77777777" w:rsidR="00814857" w:rsidRPr="00657E8C" w:rsidRDefault="00814857" w:rsidP="00F17551">
            <w:pPr>
              <w:pStyle w:val="ARtabletextright"/>
            </w:pPr>
            <w:r w:rsidRPr="00657E8C">
              <w:rPr>
                <w:lang w:val="en"/>
              </w:rPr>
              <w:t>(12,180.3)</w:t>
            </w:r>
          </w:p>
        </w:tc>
      </w:tr>
      <w:tr w:rsidR="00814857" w:rsidRPr="00657E8C" w14:paraId="5D300C94" w14:textId="77777777" w:rsidTr="00F17551">
        <w:trPr>
          <w:trHeight w:val="1"/>
        </w:trPr>
        <w:tc>
          <w:tcPr>
            <w:tcW w:w="4883" w:type="dxa"/>
            <w:tcBorders>
              <w:top w:val="single" w:sz="4" w:space="0" w:color="auto"/>
              <w:left w:val="single" w:sz="4" w:space="0" w:color="FFFFFF"/>
              <w:bottom w:val="single" w:sz="4" w:space="0" w:color="auto"/>
            </w:tcBorders>
            <w:shd w:val="clear" w:color="auto" w:fill="E7E6E6"/>
          </w:tcPr>
          <w:p w14:paraId="23159F54" w14:textId="77777777" w:rsidR="00814857" w:rsidRPr="00657E8C" w:rsidRDefault="00814857" w:rsidP="00F17551">
            <w:pPr>
              <w:pStyle w:val="ARtabletext"/>
              <w:rPr>
                <w:rFonts w:ascii="Calibri" w:hAnsi="Calibri" w:cs="Calibri"/>
                <w:sz w:val="22"/>
                <w:szCs w:val="22"/>
              </w:rPr>
            </w:pPr>
            <w:r w:rsidRPr="00657E8C">
              <w:t>Net result from transactions</w:t>
            </w:r>
          </w:p>
        </w:tc>
        <w:tc>
          <w:tcPr>
            <w:tcW w:w="952" w:type="dxa"/>
            <w:tcBorders>
              <w:top w:val="single" w:sz="4" w:space="0" w:color="auto"/>
              <w:bottom w:val="single" w:sz="4" w:space="0" w:color="auto"/>
            </w:tcBorders>
            <w:shd w:val="clear" w:color="auto" w:fill="E7E6E6"/>
          </w:tcPr>
          <w:p w14:paraId="0F8E1576" w14:textId="77777777" w:rsidR="00814857" w:rsidRPr="00657E8C" w:rsidRDefault="00814857" w:rsidP="00F17551">
            <w:pPr>
              <w:pStyle w:val="ARtabletextright"/>
            </w:pPr>
            <w:r w:rsidRPr="00657E8C">
              <w:rPr>
                <w:lang w:val="en"/>
              </w:rPr>
              <w:t>25.5</w:t>
            </w:r>
          </w:p>
        </w:tc>
        <w:tc>
          <w:tcPr>
            <w:tcW w:w="952" w:type="dxa"/>
            <w:tcBorders>
              <w:top w:val="single" w:sz="4" w:space="0" w:color="auto"/>
              <w:bottom w:val="single" w:sz="4" w:space="0" w:color="auto"/>
            </w:tcBorders>
            <w:shd w:val="clear" w:color="auto" w:fill="E7E6E6"/>
          </w:tcPr>
          <w:p w14:paraId="58DA0F55" w14:textId="77777777" w:rsidR="00814857" w:rsidRPr="00657E8C" w:rsidRDefault="00814857" w:rsidP="00F17551">
            <w:pPr>
              <w:pStyle w:val="ARtabletextright"/>
            </w:pPr>
            <w:r w:rsidRPr="00657E8C">
              <w:rPr>
                <w:lang w:val="en"/>
              </w:rPr>
              <w:t>178.3</w:t>
            </w:r>
          </w:p>
        </w:tc>
        <w:tc>
          <w:tcPr>
            <w:tcW w:w="952" w:type="dxa"/>
            <w:tcBorders>
              <w:top w:val="single" w:sz="4" w:space="0" w:color="auto"/>
              <w:bottom w:val="single" w:sz="4" w:space="0" w:color="auto"/>
            </w:tcBorders>
            <w:shd w:val="clear" w:color="auto" w:fill="E7E6E6"/>
          </w:tcPr>
          <w:p w14:paraId="408B03F3" w14:textId="77777777" w:rsidR="00814857" w:rsidRPr="00657E8C" w:rsidRDefault="00814857" w:rsidP="00F17551">
            <w:pPr>
              <w:pStyle w:val="ARtabletextright"/>
            </w:pPr>
            <w:r w:rsidRPr="00657E8C">
              <w:rPr>
                <w:lang w:val="en"/>
              </w:rPr>
              <w:t>(261.2)</w:t>
            </w:r>
          </w:p>
        </w:tc>
        <w:tc>
          <w:tcPr>
            <w:tcW w:w="952" w:type="dxa"/>
            <w:tcBorders>
              <w:top w:val="single" w:sz="4" w:space="0" w:color="auto"/>
              <w:bottom w:val="single" w:sz="4" w:space="0" w:color="auto"/>
            </w:tcBorders>
            <w:shd w:val="clear" w:color="auto" w:fill="E7E6E6"/>
          </w:tcPr>
          <w:p w14:paraId="3023537A" w14:textId="77777777" w:rsidR="00814857" w:rsidRPr="00657E8C" w:rsidRDefault="00814857" w:rsidP="00F17551">
            <w:pPr>
              <w:pStyle w:val="ARtabletextright"/>
            </w:pPr>
            <w:r w:rsidRPr="00657E8C">
              <w:rPr>
                <w:lang w:val="en"/>
              </w:rPr>
              <w:t>622.1</w:t>
            </w:r>
          </w:p>
        </w:tc>
        <w:tc>
          <w:tcPr>
            <w:tcW w:w="949" w:type="dxa"/>
            <w:tcBorders>
              <w:top w:val="single" w:sz="4" w:space="0" w:color="auto"/>
              <w:bottom w:val="single" w:sz="4" w:space="0" w:color="auto"/>
              <w:right w:val="single" w:sz="4" w:space="0" w:color="FFFFFF"/>
            </w:tcBorders>
            <w:shd w:val="clear" w:color="auto" w:fill="E7E6E6"/>
          </w:tcPr>
          <w:p w14:paraId="56462CC3" w14:textId="77777777" w:rsidR="00814857" w:rsidRPr="00657E8C" w:rsidRDefault="00814857" w:rsidP="00F17551">
            <w:pPr>
              <w:pStyle w:val="ARtabletextright"/>
            </w:pPr>
            <w:r w:rsidRPr="00657E8C">
              <w:rPr>
                <w:lang w:val="en"/>
              </w:rPr>
              <w:t>35.0</w:t>
            </w:r>
          </w:p>
        </w:tc>
      </w:tr>
      <w:tr w:rsidR="00814857" w:rsidRPr="00657E8C" w14:paraId="52B229D5" w14:textId="77777777" w:rsidTr="00F17551">
        <w:trPr>
          <w:trHeight w:val="1"/>
        </w:trPr>
        <w:tc>
          <w:tcPr>
            <w:tcW w:w="4883" w:type="dxa"/>
            <w:tcBorders>
              <w:top w:val="single" w:sz="4" w:space="0" w:color="auto"/>
              <w:left w:val="single" w:sz="4" w:space="0" w:color="FFFFFF"/>
              <w:bottom w:val="single" w:sz="4" w:space="0" w:color="auto"/>
            </w:tcBorders>
          </w:tcPr>
          <w:p w14:paraId="175F7E82" w14:textId="77777777" w:rsidR="00814857" w:rsidRPr="00657E8C" w:rsidRDefault="00814857" w:rsidP="00F17551">
            <w:pPr>
              <w:pStyle w:val="ARtabletext"/>
              <w:rPr>
                <w:rFonts w:ascii="Calibri" w:hAnsi="Calibri" w:cs="Calibri"/>
                <w:sz w:val="22"/>
                <w:szCs w:val="22"/>
              </w:rPr>
            </w:pPr>
            <w:r w:rsidRPr="00657E8C">
              <w:t>Net result for the period</w:t>
            </w:r>
          </w:p>
        </w:tc>
        <w:tc>
          <w:tcPr>
            <w:tcW w:w="952" w:type="dxa"/>
            <w:tcBorders>
              <w:top w:val="single" w:sz="4" w:space="0" w:color="auto"/>
              <w:bottom w:val="single" w:sz="4" w:space="0" w:color="auto"/>
            </w:tcBorders>
          </w:tcPr>
          <w:p w14:paraId="4584F48D" w14:textId="77777777" w:rsidR="00814857" w:rsidRPr="00657E8C" w:rsidRDefault="00814857" w:rsidP="00F17551">
            <w:pPr>
              <w:pStyle w:val="ARtabletextright"/>
            </w:pPr>
            <w:r w:rsidRPr="00657E8C">
              <w:rPr>
                <w:lang w:val="en"/>
              </w:rPr>
              <w:t>(9.0)</w:t>
            </w:r>
          </w:p>
        </w:tc>
        <w:tc>
          <w:tcPr>
            <w:tcW w:w="952" w:type="dxa"/>
            <w:tcBorders>
              <w:top w:val="single" w:sz="4" w:space="0" w:color="auto"/>
              <w:bottom w:val="single" w:sz="4" w:space="0" w:color="auto"/>
            </w:tcBorders>
            <w:shd w:val="clear" w:color="000000" w:fill="FFFFFF"/>
          </w:tcPr>
          <w:p w14:paraId="18A6AF53" w14:textId="77777777" w:rsidR="00814857" w:rsidRPr="00657E8C" w:rsidRDefault="00814857" w:rsidP="00F17551">
            <w:pPr>
              <w:pStyle w:val="ARtabletextright"/>
            </w:pPr>
            <w:r w:rsidRPr="00657E8C">
              <w:rPr>
                <w:lang w:val="en"/>
              </w:rPr>
              <w:t>181.7</w:t>
            </w:r>
          </w:p>
        </w:tc>
        <w:tc>
          <w:tcPr>
            <w:tcW w:w="952" w:type="dxa"/>
            <w:tcBorders>
              <w:top w:val="single" w:sz="4" w:space="0" w:color="auto"/>
              <w:bottom w:val="single" w:sz="4" w:space="0" w:color="auto"/>
            </w:tcBorders>
            <w:shd w:val="clear" w:color="000000" w:fill="FFFFFF"/>
          </w:tcPr>
          <w:p w14:paraId="4DA0BE6C" w14:textId="77777777" w:rsidR="00814857" w:rsidRPr="00657E8C" w:rsidRDefault="00814857" w:rsidP="00F17551">
            <w:pPr>
              <w:pStyle w:val="ARtabletextright"/>
            </w:pPr>
            <w:r w:rsidRPr="00657E8C">
              <w:rPr>
                <w:lang w:val="en"/>
              </w:rPr>
              <w:t>(266.3)</w:t>
            </w:r>
          </w:p>
        </w:tc>
        <w:tc>
          <w:tcPr>
            <w:tcW w:w="952" w:type="dxa"/>
            <w:tcBorders>
              <w:top w:val="single" w:sz="4" w:space="0" w:color="auto"/>
              <w:bottom w:val="single" w:sz="4" w:space="0" w:color="auto"/>
            </w:tcBorders>
            <w:shd w:val="clear" w:color="000000" w:fill="FFFFFF"/>
          </w:tcPr>
          <w:p w14:paraId="2AB602B6" w14:textId="77777777" w:rsidR="00814857" w:rsidRPr="00657E8C" w:rsidRDefault="00814857" w:rsidP="00F17551">
            <w:pPr>
              <w:pStyle w:val="ARtabletextright"/>
            </w:pPr>
            <w:r w:rsidRPr="00657E8C">
              <w:rPr>
                <w:lang w:val="en"/>
              </w:rPr>
              <w:t>601.5</w:t>
            </w:r>
          </w:p>
        </w:tc>
        <w:tc>
          <w:tcPr>
            <w:tcW w:w="949" w:type="dxa"/>
            <w:tcBorders>
              <w:top w:val="single" w:sz="4" w:space="0" w:color="auto"/>
              <w:bottom w:val="single" w:sz="4" w:space="0" w:color="auto"/>
              <w:right w:val="single" w:sz="4" w:space="0" w:color="FFFFFF"/>
            </w:tcBorders>
            <w:shd w:val="clear" w:color="000000" w:fill="FFFFFF"/>
          </w:tcPr>
          <w:p w14:paraId="2392D2EA" w14:textId="77777777" w:rsidR="00814857" w:rsidRPr="00657E8C" w:rsidRDefault="00814857" w:rsidP="00F17551">
            <w:pPr>
              <w:pStyle w:val="ARtabletextright"/>
            </w:pPr>
            <w:r w:rsidRPr="00657E8C">
              <w:rPr>
                <w:lang w:val="en"/>
              </w:rPr>
              <w:t>3.0</w:t>
            </w:r>
          </w:p>
        </w:tc>
      </w:tr>
      <w:tr w:rsidR="00814857" w:rsidRPr="00657E8C" w14:paraId="37CFA6CF" w14:textId="77777777" w:rsidTr="00F17551">
        <w:trPr>
          <w:trHeight w:val="1"/>
        </w:trPr>
        <w:tc>
          <w:tcPr>
            <w:tcW w:w="4883" w:type="dxa"/>
            <w:tcBorders>
              <w:top w:val="single" w:sz="4" w:space="0" w:color="auto"/>
              <w:left w:val="single" w:sz="4" w:space="0" w:color="FFFFFF"/>
              <w:bottom w:val="single" w:sz="4" w:space="0" w:color="auto"/>
            </w:tcBorders>
          </w:tcPr>
          <w:p w14:paraId="17FBAD84" w14:textId="77777777" w:rsidR="00814857" w:rsidRPr="00657E8C" w:rsidRDefault="00814857" w:rsidP="00F17551">
            <w:pPr>
              <w:pStyle w:val="ARtabletext"/>
              <w:rPr>
                <w:rFonts w:ascii="Calibri" w:hAnsi="Calibri" w:cs="Calibri"/>
                <w:sz w:val="22"/>
                <w:szCs w:val="22"/>
              </w:rPr>
            </w:pPr>
            <w:r w:rsidRPr="00657E8C">
              <w:t>Net cash flow from operating activities</w:t>
            </w:r>
          </w:p>
        </w:tc>
        <w:tc>
          <w:tcPr>
            <w:tcW w:w="952" w:type="dxa"/>
            <w:tcBorders>
              <w:top w:val="single" w:sz="4" w:space="0" w:color="auto"/>
              <w:bottom w:val="single" w:sz="4" w:space="0" w:color="auto"/>
            </w:tcBorders>
          </w:tcPr>
          <w:p w14:paraId="2D3C7254" w14:textId="77777777" w:rsidR="00814857" w:rsidRPr="00657E8C" w:rsidRDefault="00814857" w:rsidP="00F17551">
            <w:pPr>
              <w:pStyle w:val="ARtabletextright"/>
            </w:pPr>
            <w:r w:rsidRPr="00657E8C">
              <w:rPr>
                <w:lang w:val="en"/>
              </w:rPr>
              <w:t>325.9</w:t>
            </w:r>
          </w:p>
        </w:tc>
        <w:tc>
          <w:tcPr>
            <w:tcW w:w="952" w:type="dxa"/>
            <w:tcBorders>
              <w:top w:val="single" w:sz="4" w:space="0" w:color="auto"/>
              <w:bottom w:val="single" w:sz="4" w:space="0" w:color="auto"/>
            </w:tcBorders>
            <w:shd w:val="clear" w:color="000000" w:fill="FFFFFF"/>
          </w:tcPr>
          <w:p w14:paraId="02FABE09" w14:textId="77777777" w:rsidR="00814857" w:rsidRPr="00657E8C" w:rsidRDefault="00814857" w:rsidP="00F17551">
            <w:pPr>
              <w:pStyle w:val="ARtabletextright"/>
            </w:pPr>
            <w:r w:rsidRPr="00657E8C">
              <w:rPr>
                <w:lang w:val="en"/>
              </w:rPr>
              <w:t>361.9</w:t>
            </w:r>
          </w:p>
        </w:tc>
        <w:tc>
          <w:tcPr>
            <w:tcW w:w="952" w:type="dxa"/>
            <w:tcBorders>
              <w:top w:val="single" w:sz="4" w:space="0" w:color="auto"/>
              <w:bottom w:val="single" w:sz="4" w:space="0" w:color="auto"/>
            </w:tcBorders>
            <w:shd w:val="clear" w:color="000000" w:fill="FFFFFF"/>
          </w:tcPr>
          <w:p w14:paraId="6859179D" w14:textId="77777777" w:rsidR="00814857" w:rsidRPr="00657E8C" w:rsidRDefault="00814857" w:rsidP="00F17551">
            <w:pPr>
              <w:pStyle w:val="ARtabletextright"/>
            </w:pPr>
            <w:r w:rsidRPr="00657E8C">
              <w:rPr>
                <w:lang w:val="en"/>
              </w:rPr>
              <w:t>315.1</w:t>
            </w:r>
          </w:p>
        </w:tc>
        <w:tc>
          <w:tcPr>
            <w:tcW w:w="952" w:type="dxa"/>
            <w:tcBorders>
              <w:top w:val="single" w:sz="4" w:space="0" w:color="auto"/>
              <w:bottom w:val="single" w:sz="4" w:space="0" w:color="auto"/>
            </w:tcBorders>
            <w:shd w:val="clear" w:color="000000" w:fill="FFFFFF"/>
          </w:tcPr>
          <w:p w14:paraId="3CEBD2A8" w14:textId="77777777" w:rsidR="00814857" w:rsidRPr="00657E8C" w:rsidRDefault="00814857" w:rsidP="00F17551">
            <w:pPr>
              <w:pStyle w:val="ARtabletextright"/>
            </w:pPr>
            <w:r w:rsidRPr="00657E8C">
              <w:rPr>
                <w:lang w:val="en"/>
              </w:rPr>
              <w:t>255.3</w:t>
            </w:r>
          </w:p>
        </w:tc>
        <w:tc>
          <w:tcPr>
            <w:tcW w:w="949" w:type="dxa"/>
            <w:tcBorders>
              <w:top w:val="single" w:sz="4" w:space="0" w:color="auto"/>
              <w:bottom w:val="single" w:sz="4" w:space="0" w:color="auto"/>
              <w:right w:val="single" w:sz="4" w:space="0" w:color="FFFFFF"/>
            </w:tcBorders>
            <w:shd w:val="clear" w:color="000000" w:fill="FFFFFF"/>
          </w:tcPr>
          <w:p w14:paraId="3DFD41BC" w14:textId="77777777" w:rsidR="00814857" w:rsidRPr="00657E8C" w:rsidRDefault="00814857" w:rsidP="00F17551">
            <w:pPr>
              <w:pStyle w:val="ARtabletextright"/>
            </w:pPr>
            <w:r w:rsidRPr="00657E8C">
              <w:rPr>
                <w:lang w:val="en"/>
              </w:rPr>
              <w:t>74.4</w:t>
            </w:r>
          </w:p>
        </w:tc>
      </w:tr>
      <w:tr w:rsidR="00814857" w:rsidRPr="00657E8C" w14:paraId="0F1CC5B7" w14:textId="77777777" w:rsidTr="00F17551">
        <w:trPr>
          <w:trHeight w:val="1"/>
        </w:trPr>
        <w:tc>
          <w:tcPr>
            <w:tcW w:w="4883" w:type="dxa"/>
            <w:tcBorders>
              <w:top w:val="single" w:sz="4" w:space="0" w:color="auto"/>
              <w:left w:val="single" w:sz="4" w:space="0" w:color="FFFFFF"/>
              <w:bottom w:val="single" w:sz="4" w:space="0" w:color="auto"/>
            </w:tcBorders>
          </w:tcPr>
          <w:p w14:paraId="343F210D" w14:textId="77777777" w:rsidR="00814857" w:rsidRPr="00657E8C" w:rsidRDefault="00814857" w:rsidP="00F17551">
            <w:pPr>
              <w:pStyle w:val="ARtabletext"/>
              <w:rPr>
                <w:rFonts w:ascii="Calibri" w:hAnsi="Calibri" w:cs="Calibri"/>
                <w:sz w:val="22"/>
                <w:szCs w:val="22"/>
              </w:rPr>
            </w:pPr>
            <w:r w:rsidRPr="00657E8C">
              <w:t>Total assets</w:t>
            </w:r>
          </w:p>
        </w:tc>
        <w:tc>
          <w:tcPr>
            <w:tcW w:w="952" w:type="dxa"/>
            <w:tcBorders>
              <w:top w:val="single" w:sz="4" w:space="0" w:color="auto"/>
              <w:bottom w:val="single" w:sz="4" w:space="0" w:color="auto"/>
            </w:tcBorders>
          </w:tcPr>
          <w:p w14:paraId="74E3BEFE" w14:textId="77777777" w:rsidR="00814857" w:rsidRPr="00657E8C" w:rsidRDefault="00814857" w:rsidP="00F17551">
            <w:pPr>
              <w:pStyle w:val="ARtabletextright"/>
            </w:pPr>
            <w:r w:rsidRPr="00657E8C">
              <w:rPr>
                <w:lang w:val="en"/>
              </w:rPr>
              <w:t>33,372.5</w:t>
            </w:r>
          </w:p>
        </w:tc>
        <w:tc>
          <w:tcPr>
            <w:tcW w:w="952" w:type="dxa"/>
            <w:tcBorders>
              <w:top w:val="single" w:sz="4" w:space="0" w:color="auto"/>
              <w:bottom w:val="single" w:sz="4" w:space="0" w:color="auto"/>
            </w:tcBorders>
            <w:shd w:val="clear" w:color="000000" w:fill="FFFFFF"/>
          </w:tcPr>
          <w:p w14:paraId="60231D38" w14:textId="77777777" w:rsidR="00814857" w:rsidRPr="00657E8C" w:rsidRDefault="00814857" w:rsidP="00F17551">
            <w:pPr>
              <w:pStyle w:val="ARtabletextright"/>
            </w:pPr>
            <w:r w:rsidRPr="00657E8C">
              <w:rPr>
                <w:lang w:val="en"/>
              </w:rPr>
              <w:t>34,380.8</w:t>
            </w:r>
          </w:p>
        </w:tc>
        <w:tc>
          <w:tcPr>
            <w:tcW w:w="952" w:type="dxa"/>
            <w:tcBorders>
              <w:top w:val="single" w:sz="4" w:space="0" w:color="auto"/>
              <w:bottom w:val="single" w:sz="4" w:space="0" w:color="auto"/>
            </w:tcBorders>
            <w:shd w:val="clear" w:color="000000" w:fill="FFFFFF"/>
          </w:tcPr>
          <w:p w14:paraId="3E24CC6E" w14:textId="77777777" w:rsidR="00814857" w:rsidRPr="00657E8C" w:rsidRDefault="00814857" w:rsidP="00F17551">
            <w:pPr>
              <w:pStyle w:val="ARtabletextright"/>
            </w:pPr>
            <w:r w:rsidRPr="00657E8C">
              <w:rPr>
                <w:lang w:val="en"/>
              </w:rPr>
              <w:t>29,831.5</w:t>
            </w:r>
          </w:p>
        </w:tc>
        <w:tc>
          <w:tcPr>
            <w:tcW w:w="952" w:type="dxa"/>
            <w:tcBorders>
              <w:top w:val="single" w:sz="4" w:space="0" w:color="auto"/>
              <w:bottom w:val="single" w:sz="4" w:space="0" w:color="auto"/>
            </w:tcBorders>
            <w:shd w:val="clear" w:color="000000" w:fill="FFFFFF"/>
          </w:tcPr>
          <w:p w14:paraId="24C35EB2" w14:textId="77777777" w:rsidR="00814857" w:rsidRPr="00657E8C" w:rsidRDefault="00814857" w:rsidP="00F17551">
            <w:pPr>
              <w:pStyle w:val="ARtabletextright"/>
            </w:pPr>
            <w:r w:rsidRPr="00657E8C">
              <w:rPr>
                <w:lang w:val="en"/>
              </w:rPr>
              <w:t>28,163.2</w:t>
            </w:r>
          </w:p>
        </w:tc>
        <w:tc>
          <w:tcPr>
            <w:tcW w:w="949" w:type="dxa"/>
            <w:tcBorders>
              <w:top w:val="single" w:sz="4" w:space="0" w:color="auto"/>
              <w:bottom w:val="single" w:sz="4" w:space="0" w:color="auto"/>
              <w:right w:val="single" w:sz="4" w:space="0" w:color="FFFFFF"/>
            </w:tcBorders>
            <w:shd w:val="clear" w:color="000000" w:fill="FFFFFF"/>
          </w:tcPr>
          <w:p w14:paraId="7614981F" w14:textId="77777777" w:rsidR="00814857" w:rsidRPr="00657E8C" w:rsidRDefault="00814857" w:rsidP="00F17551">
            <w:pPr>
              <w:pStyle w:val="ARtabletextright"/>
            </w:pPr>
            <w:r w:rsidRPr="00657E8C">
              <w:rPr>
                <w:lang w:val="en"/>
              </w:rPr>
              <w:t>25,138.2</w:t>
            </w:r>
          </w:p>
        </w:tc>
      </w:tr>
      <w:tr w:rsidR="00814857" w:rsidRPr="00657E8C" w14:paraId="4DE950B9" w14:textId="77777777" w:rsidTr="00F17551">
        <w:trPr>
          <w:trHeight w:val="1"/>
        </w:trPr>
        <w:tc>
          <w:tcPr>
            <w:tcW w:w="4883" w:type="dxa"/>
            <w:tcBorders>
              <w:top w:val="single" w:sz="4" w:space="0" w:color="auto"/>
              <w:left w:val="single" w:sz="4" w:space="0" w:color="FFFFFF"/>
              <w:bottom w:val="single" w:sz="4" w:space="0" w:color="auto"/>
            </w:tcBorders>
          </w:tcPr>
          <w:p w14:paraId="5DD9B90C" w14:textId="77777777" w:rsidR="00814857" w:rsidRPr="00657E8C" w:rsidRDefault="00814857" w:rsidP="00F17551">
            <w:pPr>
              <w:pStyle w:val="ARtabletext"/>
              <w:rPr>
                <w:rFonts w:ascii="Calibri" w:hAnsi="Calibri" w:cs="Calibri"/>
                <w:sz w:val="22"/>
                <w:szCs w:val="22"/>
              </w:rPr>
            </w:pPr>
            <w:r w:rsidRPr="00657E8C">
              <w:t>Total liabilities</w:t>
            </w:r>
          </w:p>
        </w:tc>
        <w:tc>
          <w:tcPr>
            <w:tcW w:w="952" w:type="dxa"/>
            <w:tcBorders>
              <w:top w:val="single" w:sz="4" w:space="0" w:color="auto"/>
              <w:bottom w:val="single" w:sz="4" w:space="0" w:color="auto"/>
            </w:tcBorders>
          </w:tcPr>
          <w:p w14:paraId="049CEAB6" w14:textId="77777777" w:rsidR="00814857" w:rsidRPr="00657E8C" w:rsidRDefault="00814857" w:rsidP="00F17551">
            <w:pPr>
              <w:pStyle w:val="ARtabletextright"/>
            </w:pPr>
            <w:r w:rsidRPr="00657E8C">
              <w:rPr>
                <w:lang w:val="en"/>
              </w:rPr>
              <w:t>2,177.4</w:t>
            </w:r>
          </w:p>
        </w:tc>
        <w:tc>
          <w:tcPr>
            <w:tcW w:w="952" w:type="dxa"/>
            <w:tcBorders>
              <w:top w:val="single" w:sz="4" w:space="0" w:color="auto"/>
              <w:bottom w:val="single" w:sz="4" w:space="0" w:color="auto"/>
            </w:tcBorders>
            <w:shd w:val="clear" w:color="000000" w:fill="FFFFFF"/>
          </w:tcPr>
          <w:p w14:paraId="12E50A6F" w14:textId="77777777" w:rsidR="00814857" w:rsidRPr="00657E8C" w:rsidRDefault="00814857" w:rsidP="00F17551">
            <w:pPr>
              <w:pStyle w:val="ARtabletextright"/>
            </w:pPr>
            <w:r w:rsidRPr="00657E8C">
              <w:rPr>
                <w:lang w:val="en"/>
              </w:rPr>
              <w:t>1,968.3</w:t>
            </w:r>
          </w:p>
        </w:tc>
        <w:tc>
          <w:tcPr>
            <w:tcW w:w="952" w:type="dxa"/>
            <w:tcBorders>
              <w:top w:val="single" w:sz="4" w:space="0" w:color="auto"/>
              <w:bottom w:val="single" w:sz="4" w:space="0" w:color="auto"/>
            </w:tcBorders>
            <w:shd w:val="clear" w:color="000000" w:fill="FFFFFF"/>
          </w:tcPr>
          <w:p w14:paraId="77CDEE48" w14:textId="77777777" w:rsidR="00814857" w:rsidRPr="00657E8C" w:rsidRDefault="00814857" w:rsidP="00F17551">
            <w:pPr>
              <w:pStyle w:val="ARtabletextright"/>
            </w:pPr>
            <w:r w:rsidRPr="00657E8C">
              <w:rPr>
                <w:lang w:val="en"/>
              </w:rPr>
              <w:t>1,795.5</w:t>
            </w:r>
          </w:p>
        </w:tc>
        <w:tc>
          <w:tcPr>
            <w:tcW w:w="952" w:type="dxa"/>
            <w:tcBorders>
              <w:top w:val="single" w:sz="4" w:space="0" w:color="auto"/>
              <w:bottom w:val="single" w:sz="4" w:space="0" w:color="auto"/>
            </w:tcBorders>
            <w:shd w:val="clear" w:color="000000" w:fill="FFFFFF"/>
          </w:tcPr>
          <w:p w14:paraId="323B3592" w14:textId="77777777" w:rsidR="00814857" w:rsidRPr="00657E8C" w:rsidRDefault="00814857" w:rsidP="00F17551">
            <w:pPr>
              <w:pStyle w:val="ARtabletextright"/>
            </w:pPr>
            <w:r w:rsidRPr="00657E8C">
              <w:rPr>
                <w:lang w:val="en"/>
              </w:rPr>
              <w:t>1,542.3</w:t>
            </w:r>
          </w:p>
        </w:tc>
        <w:tc>
          <w:tcPr>
            <w:tcW w:w="949" w:type="dxa"/>
            <w:tcBorders>
              <w:top w:val="single" w:sz="4" w:space="0" w:color="auto"/>
              <w:bottom w:val="single" w:sz="4" w:space="0" w:color="auto"/>
              <w:right w:val="single" w:sz="4" w:space="0" w:color="FFFFFF"/>
            </w:tcBorders>
            <w:shd w:val="clear" w:color="000000" w:fill="FFFFFF"/>
          </w:tcPr>
          <w:p w14:paraId="2482EDCB" w14:textId="77777777" w:rsidR="00814857" w:rsidRPr="00657E8C" w:rsidRDefault="00814857" w:rsidP="00F17551">
            <w:pPr>
              <w:pStyle w:val="ARtabletextright"/>
            </w:pPr>
            <w:r w:rsidRPr="00657E8C">
              <w:rPr>
                <w:lang w:val="en"/>
              </w:rPr>
              <w:t>1,602.0</w:t>
            </w:r>
          </w:p>
        </w:tc>
      </w:tr>
    </w:tbl>
    <w:p w14:paraId="0ACAAA18" w14:textId="77777777" w:rsidR="00814857" w:rsidRPr="00657E8C" w:rsidRDefault="00814857" w:rsidP="007752D9">
      <w:pPr>
        <w:pStyle w:val="ARbody"/>
        <w:rPr>
          <w:lang w:eastAsia="en-AU"/>
        </w:rPr>
      </w:pPr>
    </w:p>
    <w:p w14:paraId="1BEC08E1" w14:textId="77777777" w:rsidR="00814857" w:rsidRPr="00657E8C" w:rsidRDefault="00814857" w:rsidP="007752D9">
      <w:pPr>
        <w:pStyle w:val="ARbody"/>
        <w:rPr>
          <w:lang w:eastAsia="en-AU"/>
        </w:rPr>
        <w:sectPr w:rsidR="00814857" w:rsidRPr="00657E8C" w:rsidSect="00C44B80">
          <w:endnotePr>
            <w:numFmt w:val="decimal"/>
          </w:endnotePr>
          <w:type w:val="continuous"/>
          <w:pgSz w:w="11900" w:h="16840" w:code="9"/>
          <w:pgMar w:top="1985" w:right="851" w:bottom="851" w:left="1418" w:header="510" w:footer="340" w:gutter="0"/>
          <w:cols w:space="454"/>
        </w:sectPr>
      </w:pPr>
    </w:p>
    <w:p w14:paraId="491D4F05" w14:textId="77777777" w:rsidR="00814857" w:rsidRPr="00657E8C" w:rsidRDefault="00814857" w:rsidP="007752D9">
      <w:pPr>
        <w:pStyle w:val="ARbody"/>
      </w:pPr>
      <w:r w:rsidRPr="00657E8C">
        <w:t>The Victorian Government considers the net result from transactions to be the appropriate measure of financial management that can be directly attributed to government policy.</w:t>
      </w:r>
    </w:p>
    <w:p w14:paraId="046D3DE6" w14:textId="77777777" w:rsidR="00814857" w:rsidRPr="00657E8C" w:rsidRDefault="00814857" w:rsidP="007752D9">
      <w:pPr>
        <w:pStyle w:val="ARbody"/>
      </w:pPr>
      <w:r w:rsidRPr="00657E8C">
        <w:t>This measure excludes the effects of revaluations (holding gains or losses) arising from changes in market prices and other changes in the volume of assets shown under ‘other economic flows’ on the comprehensive operating statement, which are outside the control of the department.</w:t>
      </w:r>
    </w:p>
    <w:p w14:paraId="6DEC542E" w14:textId="77777777" w:rsidR="00814857" w:rsidRPr="00657E8C" w:rsidRDefault="00814857" w:rsidP="007752D9">
      <w:pPr>
        <w:pStyle w:val="Heading3"/>
      </w:pPr>
      <w:r w:rsidRPr="00657E8C">
        <w:t>Departmental financial arrangements</w:t>
      </w:r>
    </w:p>
    <w:p w14:paraId="1E664852" w14:textId="77777777" w:rsidR="00814857" w:rsidRPr="00657E8C" w:rsidRDefault="00814857" w:rsidP="007752D9">
      <w:pPr>
        <w:pStyle w:val="ARbody"/>
        <w:rPr>
          <w:color w:val="000000"/>
          <w:lang w:val="en" w:eastAsia="en-AU"/>
        </w:rPr>
      </w:pPr>
      <w:r w:rsidRPr="00657E8C">
        <w:rPr>
          <w:color w:val="000000"/>
          <w:lang w:val="en" w:eastAsia="en-AU"/>
        </w:rPr>
        <w:t>The department’s audited financial statements and the five-year summary exclude bodies within the department’s portfolio that are not controlled by the department and are therefore not consolidated in the department’s accounts.</w:t>
      </w:r>
    </w:p>
    <w:p w14:paraId="54F142EF" w14:textId="77777777" w:rsidR="00814857" w:rsidRPr="00566304" w:rsidRDefault="00814857" w:rsidP="00566304">
      <w:pPr>
        <w:pStyle w:val="ARbody"/>
      </w:pPr>
      <w:r w:rsidRPr="00566304">
        <w:t xml:space="preserve">To enable efficient production of financial information for smaller entities related to the department and to recognise the Director of Housing entity operating within the department’s </w:t>
      </w:r>
      <w:r w:rsidRPr="00566304">
        <w:t xml:space="preserve">business structure, pursuant to s. 53(1) (b) of the </w:t>
      </w:r>
      <w:r w:rsidRPr="00CB6863">
        <w:rPr>
          <w:i/>
          <w:iCs/>
        </w:rPr>
        <w:t>Financial Management Act 1994</w:t>
      </w:r>
      <w:r w:rsidRPr="00566304">
        <w:t>, the Minister for Finance has granted approval for the Department of Health and Human Services to prepare financial statements incorporating the following entities which form part of the Department of Health and Human Services reporting entity:</w:t>
      </w:r>
    </w:p>
    <w:p w14:paraId="46A1C029" w14:textId="77777777" w:rsidR="00814857" w:rsidRPr="00657E8C" w:rsidRDefault="00814857" w:rsidP="007752D9">
      <w:pPr>
        <w:pStyle w:val="ARbullet1"/>
        <w:rPr>
          <w:lang w:val="en" w:eastAsia="en-AU"/>
        </w:rPr>
      </w:pPr>
      <w:r w:rsidRPr="00657E8C">
        <w:rPr>
          <w:lang w:val="en" w:eastAsia="en-AU"/>
        </w:rPr>
        <w:t>Respect Victoria</w:t>
      </w:r>
    </w:p>
    <w:p w14:paraId="4655CFF8" w14:textId="77777777" w:rsidR="00814857" w:rsidRPr="00657E8C" w:rsidRDefault="00814857" w:rsidP="007752D9">
      <w:pPr>
        <w:pStyle w:val="ARbullet1"/>
        <w:rPr>
          <w:lang w:val="en" w:eastAsia="en-AU"/>
        </w:rPr>
      </w:pPr>
      <w:r w:rsidRPr="00657E8C">
        <w:rPr>
          <w:lang w:val="en" w:eastAsia="en-AU"/>
        </w:rPr>
        <w:t>Mental Health Tribunal</w:t>
      </w:r>
    </w:p>
    <w:p w14:paraId="65182639" w14:textId="77777777" w:rsidR="00814857" w:rsidRPr="00657E8C" w:rsidRDefault="00814857" w:rsidP="007752D9">
      <w:pPr>
        <w:pStyle w:val="ARbullet1"/>
        <w:rPr>
          <w:lang w:val="en" w:eastAsia="en-AU"/>
        </w:rPr>
      </w:pPr>
      <w:r w:rsidRPr="00657E8C">
        <w:rPr>
          <w:lang w:val="en" w:eastAsia="en-AU"/>
        </w:rPr>
        <w:t>Commission for Children and Young People</w:t>
      </w:r>
    </w:p>
    <w:p w14:paraId="6A7F3D55" w14:textId="77777777" w:rsidR="00814857" w:rsidRPr="00657E8C" w:rsidRDefault="00814857" w:rsidP="007752D9">
      <w:pPr>
        <w:pStyle w:val="ARbullet1"/>
        <w:rPr>
          <w:lang w:val="en" w:eastAsia="en-AU"/>
        </w:rPr>
      </w:pPr>
      <w:r w:rsidRPr="00657E8C">
        <w:rPr>
          <w:lang w:val="en" w:eastAsia="en-AU"/>
        </w:rPr>
        <w:t xml:space="preserve">the </w:t>
      </w:r>
      <w:r w:rsidRPr="00657E8C">
        <w:t>Director</w:t>
      </w:r>
      <w:r w:rsidRPr="00657E8C">
        <w:rPr>
          <w:lang w:val="en" w:eastAsia="en-AU"/>
        </w:rPr>
        <w:t xml:space="preserve"> of Housing.</w:t>
      </w:r>
    </w:p>
    <w:p w14:paraId="2E60E3E9" w14:textId="77777777" w:rsidR="00814857" w:rsidRPr="00657E8C" w:rsidRDefault="00814857" w:rsidP="007752D9">
      <w:pPr>
        <w:pStyle w:val="ARbodyafterbullets"/>
        <w:rPr>
          <w:lang w:val="en" w:eastAsia="en-AU"/>
        </w:rPr>
      </w:pPr>
      <w:r w:rsidRPr="00657E8C">
        <w:rPr>
          <w:lang w:val="en" w:eastAsia="en-AU"/>
        </w:rPr>
        <w:t>As a public non-financial corporation</w:t>
      </w:r>
      <w:r>
        <w:rPr>
          <w:lang w:val="en" w:eastAsia="en-AU"/>
        </w:rPr>
        <w:t>,</w:t>
      </w:r>
      <w:r w:rsidRPr="00657E8C">
        <w:rPr>
          <w:lang w:val="en" w:eastAsia="en-AU"/>
        </w:rPr>
        <w:t xml:space="preserve"> the majority of income for the Director of Housing entity is derived from business operations primarily in the form of public housing rental, along with revenue provided by government through annual appropriation processes.</w:t>
      </w:r>
    </w:p>
    <w:p w14:paraId="353A80B9" w14:textId="77777777" w:rsidR="0093384C" w:rsidRDefault="00814857" w:rsidP="007752D9">
      <w:pPr>
        <w:pStyle w:val="ARbody"/>
        <w:sectPr w:rsidR="0093384C" w:rsidSect="00E31562">
          <w:endnotePr>
            <w:numFmt w:val="decimal"/>
          </w:endnotePr>
          <w:type w:val="continuous"/>
          <w:pgSz w:w="11900" w:h="16840" w:code="9"/>
          <w:pgMar w:top="1985" w:right="851" w:bottom="851" w:left="1418" w:header="510" w:footer="340" w:gutter="0"/>
          <w:cols w:num="2" w:space="454"/>
        </w:sectPr>
      </w:pPr>
      <w:r w:rsidRPr="00657E8C">
        <w:t>Detailed financial results for the Director of Housing are included in the appendices of the annual report, following the department</w:t>
      </w:r>
      <w:r>
        <w:t>’s</w:t>
      </w:r>
      <w:r w:rsidRPr="00657E8C">
        <w:t xml:space="preserve"> audited financial statements.</w:t>
      </w:r>
    </w:p>
    <w:p w14:paraId="5614290D" w14:textId="20690C4E" w:rsidR="0093384C" w:rsidRDefault="0093384C">
      <w:pPr>
        <w:rPr>
          <w:rFonts w:ascii="Arial" w:eastAsia="Times" w:hAnsi="Arial" w:cs="Arial"/>
          <w:szCs w:val="24"/>
          <w:highlight w:val="lightGray"/>
          <w:lang w:eastAsia="en-US"/>
        </w:rPr>
      </w:pPr>
      <w:r>
        <w:rPr>
          <w:highlight w:val="lightGray"/>
        </w:rPr>
        <w:br w:type="page"/>
      </w:r>
    </w:p>
    <w:p w14:paraId="5E77B588" w14:textId="77777777" w:rsidR="00814857" w:rsidRPr="00657E8C" w:rsidRDefault="00814857" w:rsidP="007752D9">
      <w:pPr>
        <w:pStyle w:val="Heading3"/>
      </w:pPr>
      <w:r w:rsidRPr="00657E8C">
        <w:lastRenderedPageBreak/>
        <w:t>Financial performance and business review</w:t>
      </w:r>
    </w:p>
    <w:p w14:paraId="317C0C22" w14:textId="48F327C7" w:rsidR="00814857" w:rsidRPr="00657E8C" w:rsidRDefault="00814857" w:rsidP="007752D9">
      <w:pPr>
        <w:pStyle w:val="ARbody"/>
      </w:pPr>
      <w:r w:rsidRPr="00657E8C">
        <w:t>The details below relate to the department’s consolidated financial statements including the</w:t>
      </w:r>
      <w:r w:rsidR="0056128E">
        <w:t> </w:t>
      </w:r>
      <w:r w:rsidRPr="00657E8C">
        <w:t>entities outlined above.</w:t>
      </w:r>
    </w:p>
    <w:p w14:paraId="7EEA3323" w14:textId="4FB5FFBC" w:rsidR="00814857" w:rsidRPr="00657E8C" w:rsidRDefault="00814857" w:rsidP="007752D9">
      <w:pPr>
        <w:pStyle w:val="ARbody"/>
      </w:pPr>
      <w:r w:rsidRPr="00657E8C">
        <w:t>In 2018–19, the department recorded a net gain from transactions of $25.5 million. This gain primarily relates to $285 million surplus in the department, partly offset by a $259.5 million deficit</w:t>
      </w:r>
      <w:r w:rsidR="0056128E">
        <w:t> </w:t>
      </w:r>
      <w:r w:rsidRPr="00657E8C">
        <w:t>in the Director of Housing entity.</w:t>
      </w:r>
    </w:p>
    <w:p w14:paraId="79B8CE28" w14:textId="08A7B2B4" w:rsidR="00814857" w:rsidRPr="00657E8C" w:rsidRDefault="00814857" w:rsidP="007752D9">
      <w:pPr>
        <w:pStyle w:val="ARbody"/>
      </w:pPr>
      <w:r w:rsidRPr="00657E8C">
        <w:t>The $285 million surplus in the department is mainly a result of the funding mechanism for the capital program in health services. The department is required to book revenue to fully cover the depreciation expense related to assets that reside</w:t>
      </w:r>
      <w:r w:rsidR="0056128E">
        <w:t> </w:t>
      </w:r>
      <w:r w:rsidRPr="00657E8C">
        <w:t>with health services. During the year, the department is only able to access and allocate depreciation equivalent funding to on-pass to health services to deliver the government’s approved capital program. The depreciation-equivalent revenue that is not able to be allocated is booked as a receivable from the Victorian Government for</w:t>
      </w:r>
      <w:r w:rsidR="0056128E">
        <w:t> </w:t>
      </w:r>
      <w:r w:rsidRPr="00657E8C">
        <w:t>application towards future capital program expenditure.</w:t>
      </w:r>
    </w:p>
    <w:p w14:paraId="41C9CBE4" w14:textId="63EEF317" w:rsidR="00814857" w:rsidRPr="00657E8C" w:rsidRDefault="00814857" w:rsidP="007752D9">
      <w:pPr>
        <w:pStyle w:val="ARbody"/>
      </w:pPr>
      <w:r w:rsidRPr="00657E8C">
        <w:t>The $259.5 million deficit in the Director of Housing entity is mainly due to the transfer on 1 July 2018 of the third and final tranche of the staged title transfer of Director of Housing</w:t>
      </w:r>
      <w:r>
        <w:t>–</w:t>
      </w:r>
      <w:r w:rsidRPr="00657E8C">
        <w:t xml:space="preserve">owned properties to Aboriginal Housing Victoria (AHV). The financial effect of the transfer to AHV is a reduction of the </w:t>
      </w:r>
      <w:r w:rsidRPr="00657E8C">
        <w:t xml:space="preserve">Director of Housing’s net assets in the balance sheet and an expense in the comprehensive operating statement of $116.2 million. Also contributing to the Director of Housing deficit is an increase in depreciation of $71.8 million compared </w:t>
      </w:r>
      <w:r>
        <w:t>with the</w:t>
      </w:r>
      <w:r w:rsidRPr="00657E8C">
        <w:t xml:space="preserve"> prior year mainly due to a review of building depreciation in the housing portfolio and a $46.6 million increase in maintenance expenditure largely due to the gas heater replacement regime in</w:t>
      </w:r>
      <w:r w:rsidR="0056128E">
        <w:t> </w:t>
      </w:r>
      <w:r w:rsidRPr="00657E8C">
        <w:t>properties owned by the Director of Housing.</w:t>
      </w:r>
    </w:p>
    <w:p w14:paraId="759FD14D" w14:textId="77777777" w:rsidR="00814857" w:rsidRPr="00657E8C" w:rsidRDefault="00814857" w:rsidP="007752D9">
      <w:pPr>
        <w:pStyle w:val="Heading3"/>
      </w:pPr>
      <w:r w:rsidRPr="00657E8C">
        <w:t>Financial position – balance sheet</w:t>
      </w:r>
    </w:p>
    <w:p w14:paraId="0F2D7142" w14:textId="51AD6E35" w:rsidR="00814857" w:rsidRPr="00657E8C" w:rsidRDefault="00814857" w:rsidP="007752D9">
      <w:pPr>
        <w:pStyle w:val="ARbody"/>
        <w:rPr>
          <w:lang w:val="en" w:eastAsia="en-AU"/>
        </w:rPr>
      </w:pPr>
      <w:bookmarkStart w:id="108" w:name="_Ref492894515"/>
      <w:bookmarkStart w:id="109" w:name="_Ref525048505"/>
      <w:r w:rsidRPr="00657E8C">
        <w:rPr>
          <w:lang w:val="en" w:eastAsia="en-AU"/>
        </w:rPr>
        <w:t xml:space="preserve">Total assets have decreased by $1 billion in </w:t>
      </w:r>
      <w:r w:rsidR="00075B4E">
        <w:rPr>
          <w:lang w:val="en" w:eastAsia="en-AU"/>
        </w:rPr>
        <w:br/>
      </w:r>
      <w:r w:rsidRPr="00657E8C">
        <w:rPr>
          <w:lang w:val="en" w:eastAsia="en-AU"/>
        </w:rPr>
        <w:t xml:space="preserve">2018–19 compared </w:t>
      </w:r>
      <w:r>
        <w:rPr>
          <w:lang w:val="en" w:eastAsia="en-AU"/>
        </w:rPr>
        <w:t>with</w:t>
      </w:r>
      <w:r w:rsidRPr="00657E8C">
        <w:rPr>
          <w:lang w:val="en" w:eastAsia="en-AU"/>
        </w:rPr>
        <w:t xml:space="preserve"> </w:t>
      </w:r>
      <w:r>
        <w:rPr>
          <w:lang w:val="en" w:eastAsia="en-AU"/>
        </w:rPr>
        <w:t xml:space="preserve">the </w:t>
      </w:r>
      <w:r w:rsidRPr="00657E8C">
        <w:rPr>
          <w:lang w:val="en" w:eastAsia="en-AU"/>
        </w:rPr>
        <w:t>prior year, mostly attributed to 2018</w:t>
      </w:r>
      <w:r>
        <w:rPr>
          <w:lang w:val="en" w:eastAsia="en-AU"/>
        </w:rPr>
        <w:t>–</w:t>
      </w:r>
      <w:r w:rsidRPr="00657E8C">
        <w:rPr>
          <w:lang w:val="en" w:eastAsia="en-AU"/>
        </w:rPr>
        <w:t>19 scheduled revaluation of the</w:t>
      </w:r>
      <w:r w:rsidR="00075B4E">
        <w:rPr>
          <w:lang w:val="en" w:eastAsia="en-AU"/>
        </w:rPr>
        <w:t> </w:t>
      </w:r>
      <w:r w:rsidRPr="00657E8C">
        <w:rPr>
          <w:lang w:val="en" w:eastAsia="en-AU"/>
        </w:rPr>
        <w:t>Director of Housing’s land and building</w:t>
      </w:r>
      <w:r>
        <w:rPr>
          <w:lang w:val="en" w:eastAsia="en-AU"/>
        </w:rPr>
        <w:t>s</w:t>
      </w:r>
      <w:r w:rsidRPr="00657E8C">
        <w:rPr>
          <w:lang w:val="en" w:eastAsia="en-AU"/>
        </w:rPr>
        <w:t xml:space="preserve"> by the</w:t>
      </w:r>
      <w:r w:rsidR="00075B4E">
        <w:rPr>
          <w:lang w:val="en" w:eastAsia="en-AU"/>
        </w:rPr>
        <w:t> </w:t>
      </w:r>
      <w:r w:rsidRPr="00657E8C">
        <w:rPr>
          <w:lang w:val="en" w:eastAsia="en-AU"/>
        </w:rPr>
        <w:t>Valuer-General Victoria</w:t>
      </w:r>
      <w:r>
        <w:rPr>
          <w:lang w:val="en" w:eastAsia="en-AU"/>
        </w:rPr>
        <w:t>,</w:t>
      </w:r>
      <w:r w:rsidRPr="00657E8C">
        <w:rPr>
          <w:lang w:val="en" w:eastAsia="en-AU"/>
        </w:rPr>
        <w:t xml:space="preserve"> which resulted in a devaluation within Property, Plant and Equipment.</w:t>
      </w:r>
    </w:p>
    <w:p w14:paraId="5D5EB53C" w14:textId="77777777" w:rsidR="00814857" w:rsidRPr="00657E8C" w:rsidRDefault="00814857" w:rsidP="007752D9">
      <w:pPr>
        <w:pStyle w:val="Heading3"/>
      </w:pPr>
      <w:bookmarkStart w:id="110" w:name="_Ref21956328"/>
      <w:r w:rsidRPr="00657E8C">
        <w:t>Cash flows</w:t>
      </w:r>
      <w:bookmarkEnd w:id="108"/>
      <w:bookmarkEnd w:id="109"/>
      <w:bookmarkEnd w:id="110"/>
    </w:p>
    <w:p w14:paraId="155BAAD9" w14:textId="77777777" w:rsidR="00814857" w:rsidRDefault="00814857" w:rsidP="008E731B">
      <w:pPr>
        <w:pStyle w:val="ARbody"/>
      </w:pPr>
      <w:r w:rsidRPr="00657E8C">
        <w:rPr>
          <w:lang w:val="en"/>
        </w:rPr>
        <w:t xml:space="preserve">The overall cash and term deposits position at the end of the 2018–19 financial year is $899.9 million surplus, which is a decrease of $18 million compared </w:t>
      </w:r>
      <w:r>
        <w:rPr>
          <w:lang w:val="en"/>
        </w:rPr>
        <w:t>with</w:t>
      </w:r>
      <w:r w:rsidRPr="00657E8C">
        <w:rPr>
          <w:lang w:val="en"/>
        </w:rPr>
        <w:t xml:space="preserve"> the beginning of the year. The overall decrease is mainly due to payments for various Director of Housing projects to support ongoing </w:t>
      </w:r>
      <w:r>
        <w:rPr>
          <w:lang w:val="en"/>
        </w:rPr>
        <w:t xml:space="preserve">government </w:t>
      </w:r>
      <w:r w:rsidRPr="00657E8C">
        <w:rPr>
          <w:lang w:val="en"/>
        </w:rPr>
        <w:t>-approved initiatives</w:t>
      </w:r>
      <w:r>
        <w:rPr>
          <w:lang w:val="en"/>
        </w:rPr>
        <w:t>,</w:t>
      </w:r>
      <w:r w:rsidRPr="00657E8C">
        <w:rPr>
          <w:lang w:val="en"/>
        </w:rPr>
        <w:t xml:space="preserve"> including </w:t>
      </w:r>
      <w:r>
        <w:rPr>
          <w:lang w:val="en"/>
        </w:rPr>
        <w:t>h</w:t>
      </w:r>
      <w:r w:rsidRPr="00657E8C">
        <w:rPr>
          <w:lang w:val="en"/>
        </w:rPr>
        <w:t xml:space="preserve">omelessness and </w:t>
      </w:r>
      <w:r>
        <w:rPr>
          <w:lang w:val="en"/>
        </w:rPr>
        <w:t>f</w:t>
      </w:r>
      <w:r w:rsidRPr="00657E8C">
        <w:rPr>
          <w:lang w:val="en"/>
        </w:rPr>
        <w:t xml:space="preserve">amily </w:t>
      </w:r>
      <w:r>
        <w:rPr>
          <w:lang w:val="en"/>
        </w:rPr>
        <w:t>v</w:t>
      </w:r>
      <w:r w:rsidRPr="00657E8C">
        <w:rPr>
          <w:lang w:val="en"/>
        </w:rPr>
        <w:t>iolence initiatives and capital programs such as Community</w:t>
      </w:r>
      <w:r>
        <w:rPr>
          <w:lang w:val="en"/>
        </w:rPr>
        <w:t>-</w:t>
      </w:r>
      <w:r w:rsidRPr="00657E8C">
        <w:rPr>
          <w:lang w:val="en"/>
        </w:rPr>
        <w:t>Owned Rooming Houses and Haven Foundation</w:t>
      </w:r>
      <w:r>
        <w:rPr>
          <w:lang w:val="en"/>
        </w:rPr>
        <w:t>.</w:t>
      </w:r>
    </w:p>
    <w:p w14:paraId="78B5F775" w14:textId="77777777" w:rsidR="00814857" w:rsidRPr="007939DD" w:rsidRDefault="00814857" w:rsidP="008E731B">
      <w:pPr>
        <w:pStyle w:val="ARbody"/>
        <w:sectPr w:rsidR="00814857" w:rsidRPr="007939DD" w:rsidSect="00E31562">
          <w:endnotePr>
            <w:numFmt w:val="decimal"/>
          </w:endnotePr>
          <w:type w:val="continuous"/>
          <w:pgSz w:w="11900" w:h="16840" w:code="9"/>
          <w:pgMar w:top="1985" w:right="851" w:bottom="851" w:left="1418" w:header="510" w:footer="340" w:gutter="0"/>
          <w:cols w:num="2" w:space="454"/>
        </w:sectPr>
      </w:pPr>
    </w:p>
    <w:p w14:paraId="338D9988" w14:textId="4C65EDDF" w:rsidR="0094125C" w:rsidRPr="007939DD" w:rsidRDefault="0094125C" w:rsidP="007752D9">
      <w:pPr>
        <w:pStyle w:val="ARbody"/>
      </w:pPr>
    </w:p>
    <w:p w14:paraId="5A47CBC0" w14:textId="77777777" w:rsidR="0094125C" w:rsidRPr="007939DD" w:rsidRDefault="0094125C" w:rsidP="008E731B">
      <w:pPr>
        <w:pStyle w:val="ARbody"/>
        <w:sectPr w:rsidR="0094125C" w:rsidRPr="007939DD" w:rsidSect="00E31562">
          <w:headerReference w:type="first" r:id="rId99"/>
          <w:footerReference w:type="first" r:id="rId100"/>
          <w:endnotePr>
            <w:numFmt w:val="decimal"/>
          </w:endnotePr>
          <w:type w:val="continuous"/>
          <w:pgSz w:w="11900" w:h="16840" w:code="9"/>
          <w:pgMar w:top="1985" w:right="851" w:bottom="851" w:left="1418" w:header="510" w:footer="340" w:gutter="0"/>
          <w:cols w:num="2" w:space="454"/>
        </w:sectPr>
      </w:pPr>
    </w:p>
    <w:p w14:paraId="0F605A52" w14:textId="77777777" w:rsidR="00C44B80" w:rsidRPr="00657E8C" w:rsidRDefault="00061C16" w:rsidP="00F17551">
      <w:pPr>
        <w:pStyle w:val="Heading1"/>
      </w:pPr>
      <w:bookmarkStart w:id="111" w:name="_Toc463776200"/>
      <w:bookmarkStart w:id="112" w:name="_Ref492894012"/>
      <w:bookmarkStart w:id="113" w:name="_Ref525046967"/>
      <w:bookmarkStart w:id="114" w:name="_Ref525046970"/>
      <w:bookmarkStart w:id="115" w:name="_Toc21682721"/>
      <w:bookmarkStart w:id="116" w:name="_Ref21861531"/>
      <w:r w:rsidRPr="00657E8C">
        <w:rPr>
          <w:noProof/>
          <w:lang w:eastAsia="en-AU"/>
        </w:rPr>
        <w:lastRenderedPageBreak/>
        <w:drawing>
          <wp:anchor distT="0" distB="0" distL="114300" distR="114300" simplePos="0" relativeHeight="251649024" behindDoc="1" locked="1" layoutInCell="1" allowOverlap="1" wp14:anchorId="25F54063" wp14:editId="4CB3D162">
            <wp:simplePos x="0" y="0"/>
            <wp:positionH relativeFrom="page">
              <wp:align>right</wp:align>
            </wp:positionH>
            <wp:positionV relativeFrom="page">
              <wp:align>top</wp:align>
            </wp:positionV>
            <wp:extent cx="3132000" cy="2698920"/>
            <wp:effectExtent l="0" t="0" r="0" b="635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1907417_DHHS Annual Report Section start 87x75m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2000" cy="2698920"/>
                    </a:xfrm>
                    <a:prstGeom prst="rect">
                      <a:avLst/>
                    </a:prstGeom>
                  </pic:spPr>
                </pic:pic>
              </a:graphicData>
            </a:graphic>
            <wp14:sizeRelH relativeFrom="page">
              <wp14:pctWidth>0</wp14:pctWidth>
            </wp14:sizeRelH>
            <wp14:sizeRelV relativeFrom="page">
              <wp14:pctHeight>0</wp14:pctHeight>
            </wp14:sizeRelV>
          </wp:anchor>
        </w:drawing>
      </w:r>
      <w:r w:rsidR="0092299C" w:rsidRPr="00657E8C">
        <w:t>Governance</w:t>
      </w:r>
      <w:bookmarkEnd w:id="111"/>
      <w:bookmarkEnd w:id="112"/>
      <w:bookmarkEnd w:id="113"/>
      <w:bookmarkEnd w:id="114"/>
      <w:bookmarkEnd w:id="115"/>
      <w:bookmarkEnd w:id="116"/>
    </w:p>
    <w:p w14:paraId="7E75BFE5" w14:textId="77777777" w:rsidR="00C44B80" w:rsidRPr="00657E8C" w:rsidRDefault="00C44B80" w:rsidP="00C44B80">
      <w:pPr>
        <w:pStyle w:val="ARbody"/>
        <w:sectPr w:rsidR="00C44B80" w:rsidRPr="00657E8C" w:rsidSect="004B3C07">
          <w:endnotePr>
            <w:numFmt w:val="decimal"/>
          </w:endnotePr>
          <w:pgSz w:w="11900" w:h="16840" w:code="9"/>
          <w:pgMar w:top="3771" w:right="851" w:bottom="851" w:left="1418" w:header="510" w:footer="340" w:gutter="0"/>
          <w:cols w:space="720"/>
        </w:sectPr>
      </w:pPr>
    </w:p>
    <w:p w14:paraId="064FB8AB" w14:textId="77777777" w:rsidR="00F17551" w:rsidRPr="00657E8C" w:rsidRDefault="00F17551" w:rsidP="00F17551">
      <w:pPr>
        <w:pStyle w:val="Heading2"/>
        <w:spacing w:before="800" w:after="320"/>
      </w:pPr>
      <w:r w:rsidRPr="00657E8C">
        <w:t>The department’s senior executives at 30 June 2019</w:t>
      </w:r>
    </w:p>
    <w:p w14:paraId="3B6C30FE" w14:textId="77777777" w:rsidR="00F17551" w:rsidRPr="00657E8C" w:rsidRDefault="00F17551" w:rsidP="00F17551">
      <w:pPr>
        <w:pStyle w:val="Heading2"/>
        <w:sectPr w:rsidR="00F17551" w:rsidRPr="00657E8C" w:rsidSect="00C44B80">
          <w:endnotePr>
            <w:numFmt w:val="decimal"/>
          </w:endnotePr>
          <w:type w:val="continuous"/>
          <w:pgSz w:w="11900" w:h="16840" w:code="9"/>
          <w:pgMar w:top="1985" w:right="851" w:bottom="851" w:left="1418" w:header="510" w:footer="340" w:gutter="0"/>
          <w:cols w:space="720"/>
        </w:sectPr>
      </w:pPr>
    </w:p>
    <w:p w14:paraId="40A054F1" w14:textId="77777777" w:rsidR="002A2135" w:rsidRPr="00657E8C" w:rsidRDefault="002A2135" w:rsidP="002A2135">
      <w:pPr>
        <w:pStyle w:val="Heading3"/>
        <w:spacing w:before="0"/>
      </w:pPr>
      <w:r w:rsidRPr="00657E8C">
        <w:t>Kym Peake</w:t>
      </w:r>
    </w:p>
    <w:p w14:paraId="61E78521" w14:textId="77777777" w:rsidR="002A2135" w:rsidRPr="00657E8C" w:rsidRDefault="002A2135" w:rsidP="002A2135">
      <w:pPr>
        <w:pStyle w:val="Heading4"/>
        <w:rPr>
          <w:lang w:eastAsia="en-AU"/>
        </w:rPr>
      </w:pPr>
      <w:r w:rsidRPr="00657E8C">
        <w:rPr>
          <w:lang w:eastAsia="en-AU"/>
        </w:rPr>
        <w:t>Secretary</w:t>
      </w:r>
    </w:p>
    <w:p w14:paraId="09EB2C31" w14:textId="0C7C8C37" w:rsidR="002A2135" w:rsidRPr="00657E8C" w:rsidRDefault="002A2135" w:rsidP="002A2135">
      <w:pPr>
        <w:pStyle w:val="ARbody"/>
      </w:pPr>
      <w:r w:rsidRPr="00657E8C">
        <w:t>Kym Peake commenced as Secretary of the Victorian Department of Health and Human Services in November 2015. Kym has extensive experience in both state and Commonwealth Government, including as Deputy Secretary, Higher</w:t>
      </w:r>
      <w:r w:rsidR="00127E6F">
        <w:t> </w:t>
      </w:r>
      <w:r w:rsidRPr="00657E8C">
        <w:t>Education and Skills Group at the Victorian Department of Education and Training, Deputy Secretary Governance Policy and Coordination at the Victorian Department of Premier and Cabinet and Executive Director, Productivity and Inclusion at the Department of Prime Minister and Cabinet.</w:t>
      </w:r>
    </w:p>
    <w:p w14:paraId="1E0B082E" w14:textId="40DCC7BD" w:rsidR="002A2135" w:rsidRPr="00657E8C" w:rsidRDefault="002A2135" w:rsidP="002A2135">
      <w:pPr>
        <w:pStyle w:val="ARbody"/>
      </w:pPr>
      <w:r w:rsidRPr="00657E8C">
        <w:t xml:space="preserve">Kym </w:t>
      </w:r>
      <w:r w:rsidR="00932906">
        <w:t>holds</w:t>
      </w:r>
      <w:r w:rsidR="00932906" w:rsidRPr="00657E8C">
        <w:t xml:space="preserve"> </w:t>
      </w:r>
      <w:r w:rsidRPr="00657E8C">
        <w:t>an Executive Master of Public Administration, a Bachelor of Arts (Hons) and a</w:t>
      </w:r>
      <w:r w:rsidR="00127E6F">
        <w:t> </w:t>
      </w:r>
      <w:r w:rsidRPr="00657E8C">
        <w:t>Bachelor of Laws, all from the University of Melbourne.</w:t>
      </w:r>
    </w:p>
    <w:p w14:paraId="28457EEA" w14:textId="7B44D6A4" w:rsidR="002A2135" w:rsidRPr="00657E8C" w:rsidRDefault="002A2135" w:rsidP="002A2135">
      <w:pPr>
        <w:pStyle w:val="ARbody"/>
        <w:rPr>
          <w:bCs/>
        </w:rPr>
      </w:pPr>
      <w:r w:rsidRPr="00657E8C">
        <w:t>Kym is also the President of the Institute of Public</w:t>
      </w:r>
      <w:r w:rsidR="00127E6F">
        <w:t> </w:t>
      </w:r>
      <w:r w:rsidRPr="00657E8C">
        <w:t>Administration Australia (Victoria).</w:t>
      </w:r>
    </w:p>
    <w:p w14:paraId="0D22A550" w14:textId="77777777" w:rsidR="002A2135" w:rsidRPr="00657E8C" w:rsidRDefault="002A2135" w:rsidP="002A2135">
      <w:pPr>
        <w:pStyle w:val="Heading3"/>
      </w:pPr>
      <w:r w:rsidRPr="00657E8C">
        <w:t>Argiri Alisandratos</w:t>
      </w:r>
    </w:p>
    <w:p w14:paraId="052C9A6D" w14:textId="77777777" w:rsidR="002A2135" w:rsidRPr="00657E8C" w:rsidRDefault="002A2135" w:rsidP="002A2135">
      <w:pPr>
        <w:pStyle w:val="Heading4"/>
      </w:pPr>
      <w:r w:rsidRPr="00657E8C">
        <w:t>Deputy Secretary – Children and Families</w:t>
      </w:r>
    </w:p>
    <w:p w14:paraId="1B2CE918" w14:textId="3F12FD79" w:rsidR="002A2135" w:rsidRPr="00657E8C" w:rsidRDefault="002A2135" w:rsidP="002A2135">
      <w:pPr>
        <w:pStyle w:val="ARbody"/>
      </w:pPr>
      <w:r w:rsidRPr="00657E8C">
        <w:t xml:space="preserve">Argiri Alisandratos is the Deputy Secretary, Children and Families </w:t>
      </w:r>
      <w:r w:rsidR="004C44F5">
        <w:t>d</w:t>
      </w:r>
      <w:r w:rsidR="004C44F5" w:rsidRPr="00657E8C">
        <w:t>ivision</w:t>
      </w:r>
      <w:r w:rsidRPr="00657E8C">
        <w:t>. Argiri joined the department more than 25 years ago as a child protection practitioner. Having been in charge of</w:t>
      </w:r>
      <w:r w:rsidR="00127E6F">
        <w:t> </w:t>
      </w:r>
      <w:r w:rsidRPr="00657E8C">
        <w:t>service delivery, performance and quality improvements across south</w:t>
      </w:r>
      <w:r w:rsidR="00932906">
        <w:t>-</w:t>
      </w:r>
      <w:r w:rsidRPr="00657E8C">
        <w:t>eastern Victoria, Argiri</w:t>
      </w:r>
      <w:r w:rsidR="00127E6F">
        <w:t> </w:t>
      </w:r>
      <w:r w:rsidRPr="00657E8C">
        <w:t xml:space="preserve">is now leading the design of legislation, policies, programs and practice advice that support the operations of the child protection program, </w:t>
      </w:r>
      <w:r w:rsidRPr="00657E8C">
        <w:t>family services and care services system. This</w:t>
      </w:r>
      <w:r w:rsidR="00127E6F">
        <w:t> </w:t>
      </w:r>
      <w:r w:rsidRPr="00657E8C">
        <w:t>includes supports for foster, kinship and permanent carers to</w:t>
      </w:r>
      <w:r w:rsidR="00127E6F">
        <w:t> </w:t>
      </w:r>
      <w:r w:rsidRPr="00657E8C">
        <w:t>better enable them to respond</w:t>
      </w:r>
      <w:r w:rsidR="00127E6F">
        <w:t> </w:t>
      </w:r>
      <w:r w:rsidRPr="00657E8C">
        <w:t>to the needs of vulnerable families.</w:t>
      </w:r>
    </w:p>
    <w:p w14:paraId="2EDAA2EF" w14:textId="77777777" w:rsidR="008D124E" w:rsidRDefault="002A2135" w:rsidP="002A2135">
      <w:pPr>
        <w:pStyle w:val="ARbody"/>
      </w:pPr>
      <w:r w:rsidRPr="00657E8C">
        <w:t>Argiri is responsible for monitoring and analysing service-system impact and effectiveness</w:t>
      </w:r>
      <w:r w:rsidR="00090A48">
        <w:t>,</w:t>
      </w:r>
      <w:r w:rsidRPr="00657E8C">
        <w:t xml:space="preserve"> developing policy options and advice for government</w:t>
      </w:r>
      <w:r w:rsidR="00090A48">
        <w:t>,</w:t>
      </w:r>
      <w:r w:rsidR="00090A48" w:rsidRPr="00657E8C">
        <w:t xml:space="preserve"> </w:t>
      </w:r>
      <w:r w:rsidRPr="00657E8C">
        <w:t>and driving improvement in service delivery and system performance.</w:t>
      </w:r>
    </w:p>
    <w:p w14:paraId="31AC7009" w14:textId="598EB83E" w:rsidR="002A2135" w:rsidRPr="00657E8C" w:rsidRDefault="002A2135" w:rsidP="002A2135">
      <w:pPr>
        <w:pStyle w:val="ARbody"/>
      </w:pPr>
      <w:r w:rsidRPr="00657E8C">
        <w:t>Argiri is uniquely placed to drive this agenda, having extensive experience in senior leadership of</w:t>
      </w:r>
      <w:r w:rsidR="00127E6F">
        <w:t> </w:t>
      </w:r>
      <w:r w:rsidRPr="00657E8C">
        <w:t>policy and operations in the children and families portfolio.</w:t>
      </w:r>
    </w:p>
    <w:p w14:paraId="3F52CA4F" w14:textId="77777777" w:rsidR="002A2135" w:rsidRPr="00657E8C" w:rsidRDefault="002A2135" w:rsidP="002A2135">
      <w:pPr>
        <w:pStyle w:val="ARbody"/>
        <w:rPr>
          <w:bCs/>
        </w:rPr>
      </w:pPr>
      <w:r w:rsidRPr="00657E8C">
        <w:t>Argiri has held a number of senior leadership roles within the department including: Deputy Secretary South Division, Chief Operations Transformation Officer, Director of the Southern Melbourne Area, Director of the Inner Gippsland Area, Assistant Director of Placement and Family Services in the Children, Youth and Families Division, and Manager of Community Services in the Loddon Mallee Region.</w:t>
      </w:r>
    </w:p>
    <w:p w14:paraId="662805A6" w14:textId="77777777" w:rsidR="002A2135" w:rsidRPr="00657E8C" w:rsidRDefault="002A2135" w:rsidP="002A2135">
      <w:pPr>
        <w:pStyle w:val="Heading3"/>
      </w:pPr>
      <w:r w:rsidRPr="00657E8C">
        <w:t>Christina Asquini</w:t>
      </w:r>
    </w:p>
    <w:p w14:paraId="286DA00D" w14:textId="77777777" w:rsidR="00BA1B29" w:rsidRPr="00372967" w:rsidRDefault="00BA1B29" w:rsidP="00372967">
      <w:pPr>
        <w:pStyle w:val="Heading4"/>
      </w:pPr>
      <w:r w:rsidRPr="00372967">
        <w:t>Deputy Secretary – Community Services Operations</w:t>
      </w:r>
    </w:p>
    <w:p w14:paraId="10A1D809" w14:textId="77777777" w:rsidR="00BA1B29" w:rsidRPr="00657E8C" w:rsidRDefault="00BA1B29" w:rsidP="0023512C">
      <w:pPr>
        <w:pStyle w:val="ARbody"/>
      </w:pPr>
      <w:r w:rsidRPr="00657E8C">
        <w:t xml:space="preserve">Chris Asquini leads the Community Services Operations </w:t>
      </w:r>
      <w:r w:rsidR="0023512C" w:rsidRPr="00657E8C">
        <w:t>d</w:t>
      </w:r>
      <w:r w:rsidRPr="00657E8C">
        <w:t>ivision.</w:t>
      </w:r>
    </w:p>
    <w:p w14:paraId="436AC0ED" w14:textId="77777777" w:rsidR="008D124E" w:rsidRDefault="00BA1B29" w:rsidP="00BA1B29">
      <w:pPr>
        <w:pStyle w:val="ARbody"/>
      </w:pPr>
      <w:r w:rsidRPr="00657E8C">
        <w:t xml:space="preserve">The division provides a dedicated focus on children, families, disability, and housing services. Working with four </w:t>
      </w:r>
      <w:r w:rsidR="0023512C" w:rsidRPr="00657E8C">
        <w:t>operational deputy secretaries</w:t>
      </w:r>
      <w:r w:rsidRPr="00657E8C">
        <w:t xml:space="preserve">, Chris is responsible for the delivery of services and improved client outcomes across the state. In her </w:t>
      </w:r>
      <w:r w:rsidRPr="00657E8C">
        <w:lastRenderedPageBreak/>
        <w:t>division, policy is translated into operational service delivery, either through directly delivered services or through funded agencies, to enable healthy, safe and strong communities. The division supports the transition and transfer of services to the National Disability Insurance Scheme and works with other divisions within the department to align reform work with policy development, quality improvement and service provision.</w:t>
      </w:r>
    </w:p>
    <w:p w14:paraId="38B043E5" w14:textId="321C70B1" w:rsidR="00BA1B29" w:rsidRPr="00657E8C" w:rsidRDefault="00BA1B29" w:rsidP="00BA1B29">
      <w:pPr>
        <w:pStyle w:val="ARbody"/>
      </w:pPr>
      <w:r w:rsidRPr="00657E8C">
        <w:t>Chris was previously the Deputy Secretary of East</w:t>
      </w:r>
      <w:r w:rsidR="00127E6F">
        <w:t> </w:t>
      </w:r>
      <w:r w:rsidRPr="00657E8C">
        <w:t>Division. She has led major social policy and service delivery reform initiatives, including the design and implementation of the Child Protection Operating Model. Chris has held executive positions in a number of portfolios, including roles as the Executive Director of Children, Youth and Families, and Director of Community and Individual Support in Disability Services.</w:t>
      </w:r>
    </w:p>
    <w:p w14:paraId="5D2982DA" w14:textId="77777777" w:rsidR="00BA1B29" w:rsidRPr="00657E8C" w:rsidRDefault="00BA1B29" w:rsidP="00BA1B29">
      <w:pPr>
        <w:pStyle w:val="ARbody"/>
      </w:pPr>
      <w:r w:rsidRPr="00657E8C">
        <w:t>Chris has a longstanding involvement in this portfolio, having started her career in child protection.</w:t>
      </w:r>
    </w:p>
    <w:p w14:paraId="1C8DDD28" w14:textId="77777777" w:rsidR="002A2135" w:rsidRPr="00657E8C" w:rsidRDefault="002A2135" w:rsidP="00BA1B29">
      <w:pPr>
        <w:pStyle w:val="Heading3"/>
      </w:pPr>
      <w:r w:rsidRPr="00657E8C">
        <w:t>Terry Symonds</w:t>
      </w:r>
    </w:p>
    <w:p w14:paraId="096A19F5" w14:textId="77777777" w:rsidR="002A2135" w:rsidRPr="00657E8C" w:rsidRDefault="002A2135" w:rsidP="002A2135">
      <w:pPr>
        <w:pStyle w:val="Heading4"/>
        <w:rPr>
          <w:lang w:eastAsia="en-AU"/>
        </w:rPr>
      </w:pPr>
      <w:r w:rsidRPr="00657E8C">
        <w:rPr>
          <w:lang w:eastAsia="en-AU"/>
        </w:rPr>
        <w:t>Deputy Secretary – Health and Wellbeing</w:t>
      </w:r>
    </w:p>
    <w:p w14:paraId="467277FD" w14:textId="77777777" w:rsidR="002A2135" w:rsidRPr="00657E8C" w:rsidRDefault="002A2135" w:rsidP="002A2135">
      <w:pPr>
        <w:pStyle w:val="ARbody"/>
        <w:rPr>
          <w:lang w:eastAsia="en-AU"/>
        </w:rPr>
      </w:pPr>
      <w:r w:rsidRPr="00657E8C">
        <w:rPr>
          <w:lang w:eastAsia="en-AU"/>
        </w:rPr>
        <w:t xml:space="preserve">Terry Symonds heads the Health and Wellbeing </w:t>
      </w:r>
      <w:r w:rsidR="004C44F5">
        <w:rPr>
          <w:lang w:eastAsia="en-AU"/>
        </w:rPr>
        <w:t>d</w:t>
      </w:r>
      <w:r w:rsidR="004C44F5" w:rsidRPr="00657E8C">
        <w:rPr>
          <w:lang w:eastAsia="en-AU"/>
        </w:rPr>
        <w:t xml:space="preserve">ivision </w:t>
      </w:r>
      <w:r w:rsidRPr="00657E8C">
        <w:rPr>
          <w:lang w:eastAsia="en-AU"/>
        </w:rPr>
        <w:t>of the Department of Health and Human Services, Victoria.</w:t>
      </w:r>
    </w:p>
    <w:p w14:paraId="3071F04A" w14:textId="77777777" w:rsidR="002A2135" w:rsidRPr="00657E8C" w:rsidRDefault="002A2135" w:rsidP="002A2135">
      <w:pPr>
        <w:pStyle w:val="ARbody"/>
        <w:rPr>
          <w:lang w:eastAsia="en-AU"/>
        </w:rPr>
      </w:pPr>
      <w:r w:rsidRPr="00657E8C">
        <w:rPr>
          <w:lang w:eastAsia="en-AU"/>
        </w:rPr>
        <w:t>The Health and Wellbeing division leads on policy, strategy, funding and performance of Victoria’s hospital and healthcare system, including maternal and child health, early parenting centres, mental health and alcohol and drug services. The division supports innovation and better care through its lead role in digital health, health and medical research and international engagement. Improving health outcomes for Aboriginal people is a key responsibility for the division.</w:t>
      </w:r>
    </w:p>
    <w:p w14:paraId="1E1C1662" w14:textId="35C3FC59" w:rsidR="002A2135" w:rsidRPr="00657E8C" w:rsidRDefault="002A2135" w:rsidP="002A2135">
      <w:pPr>
        <w:pStyle w:val="ARbody"/>
        <w:rPr>
          <w:lang w:eastAsia="en-AU"/>
        </w:rPr>
      </w:pPr>
      <w:r w:rsidRPr="00657E8C">
        <w:rPr>
          <w:lang w:eastAsia="en-AU"/>
        </w:rPr>
        <w:t>The division also advances strategies that focus on</w:t>
      </w:r>
      <w:r w:rsidR="00127E6F">
        <w:rPr>
          <w:lang w:eastAsia="en-AU"/>
        </w:rPr>
        <w:t> </w:t>
      </w:r>
      <w:r w:rsidRPr="00657E8C">
        <w:rPr>
          <w:lang w:eastAsia="en-AU"/>
        </w:rPr>
        <w:t>prevention and population health, including through social and economic participation for older Victorians, asylum seekers, people from culturally and linguistically diverse backgrounds</w:t>
      </w:r>
      <w:r w:rsidR="001B075B">
        <w:rPr>
          <w:lang w:eastAsia="en-AU"/>
        </w:rPr>
        <w:t>,</w:t>
      </w:r>
      <w:r w:rsidRPr="00657E8C">
        <w:rPr>
          <w:lang w:eastAsia="en-AU"/>
        </w:rPr>
        <w:t xml:space="preserve"> and </w:t>
      </w:r>
      <w:r w:rsidR="00FD2744">
        <w:t>lesbian, gay, bisexual, trans, intersex and queer and/or questioning</w:t>
      </w:r>
      <w:r w:rsidR="00FD2744" w:rsidRPr="00657E8C" w:rsidDel="00FD2744">
        <w:rPr>
          <w:lang w:eastAsia="en-AU"/>
        </w:rPr>
        <w:t xml:space="preserve"> </w:t>
      </w:r>
      <w:r w:rsidRPr="00657E8C">
        <w:rPr>
          <w:lang w:eastAsia="en-AU"/>
        </w:rPr>
        <w:t>(LGBTI</w:t>
      </w:r>
      <w:r w:rsidR="00FD2744">
        <w:rPr>
          <w:lang w:eastAsia="en-AU"/>
        </w:rPr>
        <w:t>Q</w:t>
      </w:r>
      <w:r w:rsidRPr="00657E8C">
        <w:rPr>
          <w:lang w:eastAsia="en-AU"/>
        </w:rPr>
        <w:t>) people and communities.</w:t>
      </w:r>
    </w:p>
    <w:p w14:paraId="36937CBA" w14:textId="3AB4B966" w:rsidR="002A2135" w:rsidRPr="00657E8C" w:rsidRDefault="00127E6F" w:rsidP="002A2135">
      <w:pPr>
        <w:pStyle w:val="ARbody"/>
        <w:rPr>
          <w:lang w:eastAsia="en-AU"/>
        </w:rPr>
      </w:pPr>
      <w:r>
        <w:rPr>
          <w:lang w:eastAsia="en-AU"/>
        </w:rPr>
        <w:br w:type="column"/>
      </w:r>
      <w:r w:rsidR="002A2135" w:rsidRPr="00657E8C">
        <w:rPr>
          <w:lang w:eastAsia="en-AU"/>
        </w:rPr>
        <w:t xml:space="preserve">Terry has more than 20 years’ experience in the health and disability sectors in Victoria and Queensland, including in community development, hospital management, research and evaluation, strategy and performance monitoring. Terry holds a Master </w:t>
      </w:r>
      <w:r w:rsidR="001B075B">
        <w:rPr>
          <w:lang w:eastAsia="en-AU"/>
        </w:rPr>
        <w:t>of</w:t>
      </w:r>
      <w:r w:rsidR="002A2135" w:rsidRPr="00657E8C">
        <w:rPr>
          <w:lang w:eastAsia="en-AU"/>
        </w:rPr>
        <w:t xml:space="preserve"> Health Studies from the University of Queensland and postgraduate qualifications in health promotion and prevention.</w:t>
      </w:r>
    </w:p>
    <w:p w14:paraId="5324BE37" w14:textId="77777777" w:rsidR="002A2135" w:rsidRPr="00657E8C" w:rsidRDefault="002A2135" w:rsidP="002A2135">
      <w:pPr>
        <w:pStyle w:val="Heading3"/>
      </w:pPr>
      <w:r w:rsidRPr="00657E8C">
        <w:t>Nick Foa</w:t>
      </w:r>
    </w:p>
    <w:p w14:paraId="43A22B3B" w14:textId="77777777" w:rsidR="002A2135" w:rsidRPr="00657E8C" w:rsidRDefault="002A2135" w:rsidP="002A2135">
      <w:pPr>
        <w:pStyle w:val="Heading4"/>
        <w:rPr>
          <w:lang w:eastAsia="en-AU"/>
        </w:rPr>
      </w:pPr>
      <w:r w:rsidRPr="00657E8C">
        <w:rPr>
          <w:lang w:eastAsia="en-AU"/>
        </w:rPr>
        <w:t>Deputy Secretary – Housing and Infrastructure</w:t>
      </w:r>
    </w:p>
    <w:p w14:paraId="3F615BD0" w14:textId="77777777" w:rsidR="002A2135" w:rsidRPr="00657E8C" w:rsidRDefault="002A2135" w:rsidP="002A2135">
      <w:pPr>
        <w:pStyle w:val="ARbody"/>
      </w:pPr>
      <w:r w:rsidRPr="00657E8C">
        <w:t>Nick Foa heads the Housing and Infrastructure division, which is responsible for the stewardship of the state’s health and human services infrastructure and has program responsibilities in housing and homelessness. In addition</w:t>
      </w:r>
      <w:r w:rsidR="001B075B">
        <w:t>,</w:t>
      </w:r>
      <w:r w:rsidRPr="00657E8C">
        <w:t xml:space="preserve"> the division leads and coordinates the department’s engagement on the precincts agenda.</w:t>
      </w:r>
    </w:p>
    <w:p w14:paraId="150C0B30" w14:textId="77777777" w:rsidR="002A2135" w:rsidRPr="00657E8C" w:rsidRDefault="002A2135" w:rsidP="002A2135">
      <w:pPr>
        <w:pStyle w:val="ARbody"/>
      </w:pPr>
      <w:r w:rsidRPr="00657E8C">
        <w:t>The division leads the department’s infrastructure portfolio encompassing approximately $48 billion in assets under management, through the Victorian Health and Human Services Building Authority and Property and Asset Services branch. Infrastructure services provided include asset management, planning, design, procurement and budgeting in order to deliver world-class health and housing infrastructure to meet today’s demand and longer-term growth.</w:t>
      </w:r>
    </w:p>
    <w:p w14:paraId="270A7E68" w14:textId="77777777" w:rsidR="008D124E" w:rsidRDefault="002A2135" w:rsidP="002A2135">
      <w:pPr>
        <w:pStyle w:val="ARbody"/>
      </w:pPr>
      <w:r w:rsidRPr="00657E8C">
        <w:t>Nick also holds the statutory role of the Director of Housing, which is responsible for the delivery of public housing and funding of housing and homelessness assistance throughout the state.</w:t>
      </w:r>
    </w:p>
    <w:p w14:paraId="0764BC32" w14:textId="717816AA" w:rsidR="002A2135" w:rsidRPr="00657E8C" w:rsidRDefault="002A2135" w:rsidP="002A2135">
      <w:pPr>
        <w:pStyle w:val="ARbody"/>
      </w:pPr>
      <w:r w:rsidRPr="00657E8C">
        <w:t>Nick has held senior positions across local and state government including Visit Victoria, Department of Economic Development, Jobs, Transport and Resources, Places Victoria and Victorian Municipalities Brimbank City Council, Maribyrnong Council and Maroondah Council. Nick has extensive experience in infrastructure delivery and asset management, and has a strong commitment to community engagement, sport and recreation, health and community services infrastructure delivery and homelessness service delivery. He holds a Master of Business Administration from Swinburne University of Technology.</w:t>
      </w:r>
    </w:p>
    <w:p w14:paraId="3E9490AC" w14:textId="77777777" w:rsidR="003F005C" w:rsidRPr="00127E6F" w:rsidRDefault="003F005C" w:rsidP="00127E6F">
      <w:pPr>
        <w:pStyle w:val="ARbody"/>
      </w:pPr>
      <w:r w:rsidRPr="00127E6F">
        <w:br w:type="page"/>
      </w:r>
    </w:p>
    <w:p w14:paraId="647EED66" w14:textId="77777777" w:rsidR="002A2135" w:rsidRPr="00657E8C" w:rsidRDefault="002A2135" w:rsidP="002A2135">
      <w:pPr>
        <w:pStyle w:val="Heading3"/>
      </w:pPr>
      <w:r w:rsidRPr="00657E8C">
        <w:lastRenderedPageBreak/>
        <w:t>Amity Durham</w:t>
      </w:r>
    </w:p>
    <w:p w14:paraId="746656DD" w14:textId="77777777" w:rsidR="0044258B" w:rsidRPr="00657E8C" w:rsidRDefault="0044258B" w:rsidP="0044258B">
      <w:pPr>
        <w:pStyle w:val="Heading4"/>
        <w:rPr>
          <w:lang w:eastAsia="en-AU"/>
        </w:rPr>
      </w:pPr>
      <w:r w:rsidRPr="00657E8C">
        <w:rPr>
          <w:lang w:eastAsia="en-AU"/>
        </w:rPr>
        <w:t>Deputy Secretary – Strategy and Planning</w:t>
      </w:r>
    </w:p>
    <w:p w14:paraId="151F634F" w14:textId="0BD881F8" w:rsidR="0044258B" w:rsidRPr="00657E8C" w:rsidRDefault="0044258B" w:rsidP="0044258B">
      <w:pPr>
        <w:spacing w:line="260" w:lineRule="atLeast"/>
        <w:rPr>
          <w:rFonts w:ascii="Arial" w:hAnsi="Arial" w:cs="Arial"/>
        </w:rPr>
      </w:pPr>
      <w:r w:rsidRPr="00657E8C">
        <w:rPr>
          <w:rFonts w:ascii="Arial" w:hAnsi="Arial" w:cs="Arial"/>
        </w:rPr>
        <w:t>The division develops and drives cross-portfolio strategies and reforms that integrate approaches to</w:t>
      </w:r>
      <w:r w:rsidR="00127E6F">
        <w:rPr>
          <w:rFonts w:ascii="Arial" w:hAnsi="Arial" w:cs="Arial"/>
        </w:rPr>
        <w:t> </w:t>
      </w:r>
      <w:r w:rsidRPr="00657E8C">
        <w:rPr>
          <w:rFonts w:ascii="Arial" w:hAnsi="Arial" w:cs="Arial"/>
        </w:rPr>
        <w:t>health and human services, support evidence-based decision</w:t>
      </w:r>
      <w:r w:rsidR="001B075B">
        <w:rPr>
          <w:rFonts w:ascii="Arial" w:hAnsi="Arial" w:cs="Arial"/>
        </w:rPr>
        <w:t xml:space="preserve"> </w:t>
      </w:r>
      <w:r w:rsidRPr="00657E8C">
        <w:rPr>
          <w:rFonts w:ascii="Arial" w:hAnsi="Arial" w:cs="Arial"/>
        </w:rPr>
        <w:t>making on activities to advance government priorities and make progress towards departmental outcomes. The division is also responsible for functions such as cross</w:t>
      </w:r>
      <w:r w:rsidR="001B075B">
        <w:rPr>
          <w:rFonts w:ascii="Arial" w:hAnsi="Arial" w:cs="Arial"/>
        </w:rPr>
        <w:t>-</w:t>
      </w:r>
      <w:r w:rsidRPr="00657E8C">
        <w:rPr>
          <w:rFonts w:ascii="Arial" w:hAnsi="Arial" w:cs="Arial"/>
        </w:rPr>
        <w:t>portfolio strategy, data analysis and forecasting, evaluation, corporate planning and budget, corporate reporting, intergovernmental relations and communication and media.</w:t>
      </w:r>
      <w:r w:rsidR="008066A4" w:rsidRPr="00657E8C">
        <w:rPr>
          <w:rFonts w:ascii="Arial" w:hAnsi="Arial" w:cs="Arial"/>
        </w:rPr>
        <w:t xml:space="preserve"> </w:t>
      </w:r>
      <w:r w:rsidRPr="00657E8C">
        <w:rPr>
          <w:rFonts w:ascii="Arial" w:hAnsi="Arial" w:cs="Arial"/>
        </w:rPr>
        <w:t>Since joining the department in October 2016</w:t>
      </w:r>
      <w:r w:rsidR="001B075B">
        <w:rPr>
          <w:rFonts w:ascii="Arial" w:hAnsi="Arial" w:cs="Arial"/>
        </w:rPr>
        <w:t>,</w:t>
      </w:r>
      <w:r w:rsidRPr="00657E8C">
        <w:rPr>
          <w:rFonts w:ascii="Arial" w:hAnsi="Arial" w:cs="Arial"/>
        </w:rPr>
        <w:t xml:space="preserve"> Amity has been responsible for delivering Victoria’s first social impact bonds with Sacred Heart Mission and Anglicare, driving the delivery of</w:t>
      </w:r>
      <w:r w:rsidR="00127E6F">
        <w:rPr>
          <w:rFonts w:ascii="Arial" w:hAnsi="Arial" w:cs="Arial"/>
        </w:rPr>
        <w:t> </w:t>
      </w:r>
      <w:r w:rsidRPr="00657E8C">
        <w:rPr>
          <w:rFonts w:ascii="Arial" w:hAnsi="Arial" w:cs="Arial"/>
        </w:rPr>
        <w:t xml:space="preserve">policy and service reform across the </w:t>
      </w:r>
      <w:r w:rsidR="001B075B">
        <w:rPr>
          <w:rFonts w:ascii="Arial" w:hAnsi="Arial" w:cs="Arial"/>
        </w:rPr>
        <w:t>d</w:t>
      </w:r>
      <w:r w:rsidRPr="00657E8C">
        <w:rPr>
          <w:rFonts w:ascii="Arial" w:hAnsi="Arial" w:cs="Arial"/>
        </w:rPr>
        <w:t>epartment and embedding outcomes and evidence into the department’s decision making.</w:t>
      </w:r>
    </w:p>
    <w:p w14:paraId="70318D76" w14:textId="493962D4" w:rsidR="0044258B" w:rsidRPr="00657E8C" w:rsidRDefault="0044258B" w:rsidP="0044258B">
      <w:pPr>
        <w:spacing w:line="260" w:lineRule="atLeast"/>
        <w:rPr>
          <w:rFonts w:ascii="Arial" w:hAnsi="Arial" w:cs="Arial"/>
        </w:rPr>
      </w:pPr>
      <w:r w:rsidRPr="00657E8C">
        <w:rPr>
          <w:rFonts w:ascii="Arial" w:hAnsi="Arial" w:cs="Arial"/>
        </w:rPr>
        <w:t>Prior to this she was an Executive Director, Family and Community Services and Service Innovation in the N</w:t>
      </w:r>
      <w:r w:rsidR="001B075B">
        <w:rPr>
          <w:rFonts w:ascii="Arial" w:hAnsi="Arial" w:cs="Arial"/>
        </w:rPr>
        <w:t xml:space="preserve">ew </w:t>
      </w:r>
      <w:r w:rsidRPr="00657E8C">
        <w:rPr>
          <w:rFonts w:ascii="Arial" w:hAnsi="Arial" w:cs="Arial"/>
        </w:rPr>
        <w:t>S</w:t>
      </w:r>
      <w:r w:rsidR="001B075B">
        <w:rPr>
          <w:rFonts w:ascii="Arial" w:hAnsi="Arial" w:cs="Arial"/>
        </w:rPr>
        <w:t xml:space="preserve">outh </w:t>
      </w:r>
      <w:r w:rsidRPr="00657E8C">
        <w:rPr>
          <w:rFonts w:ascii="Arial" w:hAnsi="Arial" w:cs="Arial"/>
        </w:rPr>
        <w:t>W</w:t>
      </w:r>
      <w:r w:rsidR="001B075B">
        <w:rPr>
          <w:rFonts w:ascii="Arial" w:hAnsi="Arial" w:cs="Arial"/>
        </w:rPr>
        <w:t>ales</w:t>
      </w:r>
      <w:r w:rsidRPr="00657E8C">
        <w:rPr>
          <w:rFonts w:ascii="Arial" w:hAnsi="Arial" w:cs="Arial"/>
        </w:rPr>
        <w:t xml:space="preserve"> Department of Premier and Cabinet. In that role</w:t>
      </w:r>
      <w:r w:rsidR="001B075B">
        <w:rPr>
          <w:rFonts w:ascii="Arial" w:hAnsi="Arial" w:cs="Arial"/>
        </w:rPr>
        <w:t>,</w:t>
      </w:r>
      <w:r w:rsidRPr="00657E8C">
        <w:rPr>
          <w:rFonts w:ascii="Arial" w:hAnsi="Arial" w:cs="Arial"/>
        </w:rPr>
        <w:t xml:space="preserve"> Amity had responsibility for leading reforms across the N</w:t>
      </w:r>
      <w:r w:rsidR="001B075B">
        <w:rPr>
          <w:rFonts w:ascii="Arial" w:hAnsi="Arial" w:cs="Arial"/>
        </w:rPr>
        <w:t xml:space="preserve">ew </w:t>
      </w:r>
      <w:r w:rsidRPr="00657E8C">
        <w:rPr>
          <w:rFonts w:ascii="Arial" w:hAnsi="Arial" w:cs="Arial"/>
        </w:rPr>
        <w:t>S</w:t>
      </w:r>
      <w:r w:rsidR="001B075B">
        <w:rPr>
          <w:rFonts w:ascii="Arial" w:hAnsi="Arial" w:cs="Arial"/>
        </w:rPr>
        <w:t xml:space="preserve">outh </w:t>
      </w:r>
      <w:r w:rsidRPr="00657E8C">
        <w:rPr>
          <w:rFonts w:ascii="Arial" w:hAnsi="Arial" w:cs="Arial"/>
        </w:rPr>
        <w:t>W</w:t>
      </w:r>
      <w:r w:rsidR="001B075B">
        <w:rPr>
          <w:rFonts w:ascii="Arial" w:hAnsi="Arial" w:cs="Arial"/>
        </w:rPr>
        <w:t>ales</w:t>
      </w:r>
      <w:r w:rsidRPr="00657E8C">
        <w:rPr>
          <w:rFonts w:ascii="Arial" w:hAnsi="Arial" w:cs="Arial"/>
        </w:rPr>
        <w:t xml:space="preserve"> Government's social policy agenda, including in social housing, child protection and out-of-home care.</w:t>
      </w:r>
      <w:r w:rsidR="008066A4" w:rsidRPr="00657E8C">
        <w:rPr>
          <w:rFonts w:ascii="Arial" w:hAnsi="Arial" w:cs="Arial"/>
        </w:rPr>
        <w:t xml:space="preserve"> </w:t>
      </w:r>
      <w:r w:rsidRPr="00657E8C">
        <w:rPr>
          <w:rFonts w:ascii="Arial" w:hAnsi="Arial" w:cs="Arial"/>
        </w:rPr>
        <w:t>She also had responsibility for the world-leading N</w:t>
      </w:r>
      <w:r w:rsidR="001B075B">
        <w:rPr>
          <w:rFonts w:ascii="Arial" w:hAnsi="Arial" w:cs="Arial"/>
        </w:rPr>
        <w:t xml:space="preserve">ew </w:t>
      </w:r>
      <w:r w:rsidRPr="00657E8C">
        <w:rPr>
          <w:rFonts w:ascii="Arial" w:hAnsi="Arial" w:cs="Arial"/>
        </w:rPr>
        <w:t>S</w:t>
      </w:r>
      <w:r w:rsidR="001B075B">
        <w:rPr>
          <w:rFonts w:ascii="Arial" w:hAnsi="Arial" w:cs="Arial"/>
        </w:rPr>
        <w:t xml:space="preserve">outh </w:t>
      </w:r>
      <w:r w:rsidRPr="00657E8C">
        <w:rPr>
          <w:rFonts w:ascii="Arial" w:hAnsi="Arial" w:cs="Arial"/>
        </w:rPr>
        <w:t>W</w:t>
      </w:r>
      <w:r w:rsidR="001B075B">
        <w:rPr>
          <w:rFonts w:ascii="Arial" w:hAnsi="Arial" w:cs="Arial"/>
        </w:rPr>
        <w:t>ales</w:t>
      </w:r>
      <w:r w:rsidRPr="00657E8C">
        <w:rPr>
          <w:rFonts w:ascii="Arial" w:hAnsi="Arial" w:cs="Arial"/>
        </w:rPr>
        <w:t xml:space="preserve"> Behavioural Insights Unit</w:t>
      </w:r>
      <w:r w:rsidR="00127E6F">
        <w:rPr>
          <w:rFonts w:ascii="Arial" w:hAnsi="Arial" w:cs="Arial"/>
        </w:rPr>
        <w:t> </w:t>
      </w:r>
      <w:r w:rsidRPr="00657E8C">
        <w:rPr>
          <w:rFonts w:ascii="Arial" w:hAnsi="Arial" w:cs="Arial"/>
        </w:rPr>
        <w:t>and the Office of Social Impact Investment.</w:t>
      </w:r>
    </w:p>
    <w:p w14:paraId="380CD7D0" w14:textId="621C7D30" w:rsidR="0044258B" w:rsidRPr="00657E8C" w:rsidRDefault="0044258B" w:rsidP="0044258B">
      <w:pPr>
        <w:spacing w:line="260" w:lineRule="atLeast"/>
        <w:rPr>
          <w:rFonts w:ascii="Arial" w:hAnsi="Arial" w:cs="Arial"/>
        </w:rPr>
      </w:pPr>
      <w:r w:rsidRPr="00657E8C">
        <w:rPr>
          <w:rFonts w:ascii="Arial" w:hAnsi="Arial" w:cs="Arial"/>
        </w:rPr>
        <w:t>Amity has previously held other senior executive roles in the N</w:t>
      </w:r>
      <w:r w:rsidR="001B075B">
        <w:rPr>
          <w:rFonts w:ascii="Arial" w:hAnsi="Arial" w:cs="Arial"/>
        </w:rPr>
        <w:t xml:space="preserve">ew </w:t>
      </w:r>
      <w:r w:rsidRPr="00657E8C">
        <w:rPr>
          <w:rFonts w:ascii="Arial" w:hAnsi="Arial" w:cs="Arial"/>
        </w:rPr>
        <w:t>S</w:t>
      </w:r>
      <w:r w:rsidR="001B075B">
        <w:rPr>
          <w:rFonts w:ascii="Arial" w:hAnsi="Arial" w:cs="Arial"/>
        </w:rPr>
        <w:t xml:space="preserve">outh </w:t>
      </w:r>
      <w:r w:rsidRPr="00657E8C">
        <w:rPr>
          <w:rFonts w:ascii="Arial" w:hAnsi="Arial" w:cs="Arial"/>
        </w:rPr>
        <w:t>W</w:t>
      </w:r>
      <w:r w:rsidR="001B075B">
        <w:rPr>
          <w:rFonts w:ascii="Arial" w:hAnsi="Arial" w:cs="Arial"/>
        </w:rPr>
        <w:t>ales</w:t>
      </w:r>
      <w:r w:rsidRPr="00657E8C">
        <w:rPr>
          <w:rFonts w:ascii="Arial" w:hAnsi="Arial" w:cs="Arial"/>
        </w:rPr>
        <w:t xml:space="preserve"> </w:t>
      </w:r>
      <w:r w:rsidR="001B075B">
        <w:rPr>
          <w:rFonts w:ascii="Arial" w:hAnsi="Arial" w:cs="Arial"/>
        </w:rPr>
        <w:t>G</w:t>
      </w:r>
      <w:r w:rsidR="001B075B" w:rsidRPr="00657E8C">
        <w:rPr>
          <w:rFonts w:ascii="Arial" w:hAnsi="Arial" w:cs="Arial"/>
        </w:rPr>
        <w:t xml:space="preserve">overnment </w:t>
      </w:r>
      <w:r w:rsidRPr="00657E8C">
        <w:rPr>
          <w:rFonts w:ascii="Arial" w:hAnsi="Arial" w:cs="Arial"/>
        </w:rPr>
        <w:t>within central and line agencies.</w:t>
      </w:r>
      <w:r w:rsidR="008066A4" w:rsidRPr="00657E8C">
        <w:rPr>
          <w:rFonts w:ascii="Arial" w:hAnsi="Arial" w:cs="Arial"/>
        </w:rPr>
        <w:t xml:space="preserve"> </w:t>
      </w:r>
      <w:r w:rsidRPr="00657E8C">
        <w:rPr>
          <w:rFonts w:ascii="Arial" w:hAnsi="Arial" w:cs="Arial"/>
        </w:rPr>
        <w:t xml:space="preserve">She has also held the role of Director in </w:t>
      </w:r>
      <w:r w:rsidR="00E900FF">
        <w:rPr>
          <w:rFonts w:ascii="Arial" w:hAnsi="Arial" w:cs="Arial"/>
        </w:rPr>
        <w:t xml:space="preserve">a </w:t>
      </w:r>
      <w:r w:rsidRPr="00657E8C">
        <w:rPr>
          <w:rFonts w:ascii="Arial" w:hAnsi="Arial" w:cs="Arial"/>
        </w:rPr>
        <w:t>top-tier management consulting firm, where she advised a range of social sector government agencies across Australia.</w:t>
      </w:r>
    </w:p>
    <w:p w14:paraId="5FC0086C" w14:textId="77777777" w:rsidR="0044258B" w:rsidRPr="00657E8C" w:rsidRDefault="0044258B" w:rsidP="0044258B">
      <w:pPr>
        <w:spacing w:line="260" w:lineRule="atLeast"/>
        <w:rPr>
          <w:rFonts w:ascii="Arial" w:hAnsi="Arial" w:cs="Arial"/>
        </w:rPr>
      </w:pPr>
      <w:r w:rsidRPr="00657E8C">
        <w:rPr>
          <w:rFonts w:ascii="Arial" w:hAnsi="Arial" w:cs="Arial"/>
        </w:rPr>
        <w:t xml:space="preserve">Amity has an academic background in social sciences and law, and holds an Executive Master </w:t>
      </w:r>
      <w:r w:rsidR="001B075B">
        <w:rPr>
          <w:rFonts w:ascii="Arial" w:hAnsi="Arial" w:cs="Arial"/>
        </w:rPr>
        <w:t>of</w:t>
      </w:r>
      <w:r w:rsidR="001B075B" w:rsidRPr="00657E8C">
        <w:rPr>
          <w:rFonts w:ascii="Arial" w:hAnsi="Arial" w:cs="Arial"/>
        </w:rPr>
        <w:t xml:space="preserve"> </w:t>
      </w:r>
      <w:r w:rsidRPr="00657E8C">
        <w:rPr>
          <w:rFonts w:ascii="Arial" w:hAnsi="Arial" w:cs="Arial"/>
        </w:rPr>
        <w:t>Public Administration.</w:t>
      </w:r>
    </w:p>
    <w:p w14:paraId="65100A79" w14:textId="77777777" w:rsidR="002A2135" w:rsidRPr="00657E8C" w:rsidRDefault="002A2135" w:rsidP="002A2135">
      <w:pPr>
        <w:pStyle w:val="Heading3"/>
      </w:pPr>
      <w:r w:rsidRPr="00657E8C">
        <w:t>Melissa Skilbeck</w:t>
      </w:r>
    </w:p>
    <w:p w14:paraId="336EABBC" w14:textId="77777777" w:rsidR="002A2135" w:rsidRPr="00657E8C" w:rsidRDefault="002A2135" w:rsidP="002A2135">
      <w:pPr>
        <w:pStyle w:val="Heading4"/>
        <w:rPr>
          <w:lang w:eastAsia="en-AU"/>
        </w:rPr>
      </w:pPr>
      <w:r w:rsidRPr="00657E8C">
        <w:rPr>
          <w:lang w:eastAsia="en-AU"/>
        </w:rPr>
        <w:t xml:space="preserve">Deputy </w:t>
      </w:r>
      <w:r w:rsidRPr="00657E8C">
        <w:t>Secretary –</w:t>
      </w:r>
      <w:r w:rsidRPr="00657E8C">
        <w:rPr>
          <w:lang w:eastAsia="en-AU"/>
        </w:rPr>
        <w:t xml:space="preserve"> Regulation, Health Protection and Emergency Management</w:t>
      </w:r>
    </w:p>
    <w:p w14:paraId="37BF14BA" w14:textId="77777777" w:rsidR="002A2135" w:rsidRPr="00657E8C" w:rsidRDefault="002A2135" w:rsidP="002A2135">
      <w:pPr>
        <w:pStyle w:val="ARbody"/>
      </w:pPr>
      <w:r w:rsidRPr="00657E8C">
        <w:t>The Regulation, Health Protection and Emergency Management division combines professional, technological and epidemiological expertise to protect the Victorian public from avoidable harm.</w:t>
      </w:r>
    </w:p>
    <w:p w14:paraId="388AFDB6" w14:textId="0C6088FA" w:rsidR="002A2135" w:rsidRPr="00657E8C" w:rsidRDefault="00127E6F" w:rsidP="002A2135">
      <w:pPr>
        <w:pStyle w:val="ARbody"/>
      </w:pPr>
      <w:r>
        <w:br w:type="column"/>
      </w:r>
      <w:r w:rsidR="002A2135" w:rsidRPr="00657E8C">
        <w:t>The division advances public health, including monitoring use of medicines, environmental health</w:t>
      </w:r>
      <w:r>
        <w:t> </w:t>
      </w:r>
      <w:r w:rsidR="002A2135" w:rsidRPr="00657E8C">
        <w:t>and communicable disease through the identification of risks and the use of social regulation. It supports continuous improvement in</w:t>
      </w:r>
      <w:r>
        <w:t> </w:t>
      </w:r>
      <w:r w:rsidR="002A2135" w:rsidRPr="00657E8C">
        <w:t xml:space="preserve">health and human services regulatory practice and leads the </w:t>
      </w:r>
      <w:r w:rsidR="004C44F5">
        <w:t>m</w:t>
      </w:r>
      <w:r w:rsidR="004C44F5" w:rsidRPr="00657E8C">
        <w:t xml:space="preserve">inistry’s </w:t>
      </w:r>
      <w:r w:rsidR="002A2135" w:rsidRPr="00657E8C">
        <w:t xml:space="preserve">relationship with our </w:t>
      </w:r>
      <w:r w:rsidR="004C44F5">
        <w:t>c</w:t>
      </w:r>
      <w:r w:rsidR="004C44F5" w:rsidRPr="00657E8C">
        <w:t>ommissioners</w:t>
      </w:r>
      <w:r w:rsidR="002A2135" w:rsidRPr="00657E8C">
        <w:t>.</w:t>
      </w:r>
    </w:p>
    <w:p w14:paraId="4733F64D" w14:textId="77777777" w:rsidR="002A2135" w:rsidRPr="00657E8C" w:rsidRDefault="002A2135" w:rsidP="002A2135">
      <w:pPr>
        <w:pStyle w:val="ARbody"/>
      </w:pPr>
      <w:r w:rsidRPr="00657E8C">
        <w:t>The division also leads the department’s responsibilities in emergency management, contributing to whole-of-government actions to build community resilience and support social recovery in disaster-impacted communities, and coordinates business continuity planning for the department.</w:t>
      </w:r>
    </w:p>
    <w:p w14:paraId="2F7CB0E1" w14:textId="77777777" w:rsidR="002A2135" w:rsidRPr="00657E8C" w:rsidRDefault="002A2135" w:rsidP="002A2135">
      <w:pPr>
        <w:pStyle w:val="ARbody"/>
      </w:pPr>
      <w:r w:rsidRPr="00657E8C">
        <w:t>Melissa Skilbeck was previously Deputy Secretary, Budget and Finance, at the Victorian Department of Treasury and Finance, and head of the Secretariat for the Independent Review of State Finances.</w:t>
      </w:r>
    </w:p>
    <w:p w14:paraId="5D9A7776" w14:textId="77777777" w:rsidR="002A2135" w:rsidRDefault="002A2135" w:rsidP="002A2135">
      <w:pPr>
        <w:pStyle w:val="ARbody"/>
      </w:pPr>
      <w:r w:rsidRPr="00657E8C">
        <w:t>Melissa has consulted to Australian governments, regulators and government businesses on economic and social public policy and public administration as a director of the Allen Consulting Group and a partner in the economics and strategic advisory practice of Deloitte</w:t>
      </w:r>
      <w:r w:rsidR="004C44F5">
        <w:t>.</w:t>
      </w:r>
    </w:p>
    <w:p w14:paraId="09E5CDE6" w14:textId="77777777" w:rsidR="008734F3" w:rsidRPr="00657E8C" w:rsidRDefault="008734F3" w:rsidP="002A2135">
      <w:pPr>
        <w:pStyle w:val="ARbody"/>
        <w:rPr>
          <w:bCs/>
        </w:rPr>
      </w:pPr>
      <w:r w:rsidRPr="008734F3">
        <w:rPr>
          <w:bCs/>
        </w:rPr>
        <w:t>Melissa holds a Bachelor of Commerce (Honours) and is a Victorian Fellow with the Institute of Public Administration Australia (IPAA).</w:t>
      </w:r>
    </w:p>
    <w:p w14:paraId="5018B6D6" w14:textId="77777777" w:rsidR="002A2135" w:rsidRPr="00657E8C" w:rsidRDefault="002A2135" w:rsidP="002A2135">
      <w:pPr>
        <w:pStyle w:val="Heading3"/>
      </w:pPr>
      <w:r w:rsidRPr="00657E8C">
        <w:t>Greg Stenton</w:t>
      </w:r>
    </w:p>
    <w:p w14:paraId="5F2B181E" w14:textId="77777777" w:rsidR="002A2135" w:rsidRPr="00657E8C" w:rsidRDefault="002A2135" w:rsidP="002A2135">
      <w:pPr>
        <w:pStyle w:val="Heading4"/>
        <w:rPr>
          <w:lang w:eastAsia="en-AU"/>
        </w:rPr>
      </w:pPr>
      <w:r w:rsidRPr="00657E8C">
        <w:rPr>
          <w:lang w:eastAsia="en-AU"/>
        </w:rPr>
        <w:t xml:space="preserve">Deputy </w:t>
      </w:r>
      <w:r w:rsidRPr="00657E8C">
        <w:t>Secretary</w:t>
      </w:r>
      <w:r w:rsidRPr="00657E8C">
        <w:rPr>
          <w:lang w:eastAsia="en-AU"/>
        </w:rPr>
        <w:t xml:space="preserve"> – Corporate Services</w:t>
      </w:r>
    </w:p>
    <w:p w14:paraId="134911B7" w14:textId="77777777" w:rsidR="002A2135" w:rsidRPr="00657E8C" w:rsidRDefault="002A2135" w:rsidP="002A2135">
      <w:pPr>
        <w:pStyle w:val="ARbody"/>
      </w:pPr>
      <w:r w:rsidRPr="00657E8C">
        <w:t>The Corporate Services Division provides strategic, specialist advisory and delivery of operational services to support the work of the department and the government in maintaining and improving the health and wellbeing of the Victorian community.</w:t>
      </w:r>
    </w:p>
    <w:p w14:paraId="753952A6" w14:textId="607E9045" w:rsidR="002A2135" w:rsidRPr="00657E8C" w:rsidRDefault="002A2135" w:rsidP="002A2135">
      <w:pPr>
        <w:pStyle w:val="ARbody"/>
      </w:pPr>
      <w:r w:rsidRPr="00657E8C">
        <w:t xml:space="preserve">The division is responsible for a range of internally focused functions including </w:t>
      </w:r>
      <w:r w:rsidR="004C44F5">
        <w:t>f</w:t>
      </w:r>
      <w:r w:rsidR="004C44F5" w:rsidRPr="00657E8C">
        <w:t>inance</w:t>
      </w:r>
      <w:r w:rsidRPr="00657E8C">
        <w:t xml:space="preserve">, </w:t>
      </w:r>
      <w:r w:rsidR="004C44F5">
        <w:t>p</w:t>
      </w:r>
      <w:r w:rsidR="004C44F5" w:rsidRPr="00657E8C">
        <w:t xml:space="preserve">eople </w:t>
      </w:r>
      <w:r w:rsidRPr="00657E8C">
        <w:t xml:space="preserve">and </w:t>
      </w:r>
      <w:r w:rsidR="004C44F5">
        <w:t>c</w:t>
      </w:r>
      <w:r w:rsidR="004C44F5" w:rsidRPr="00657E8C">
        <w:t>ulture</w:t>
      </w:r>
      <w:r w:rsidRPr="00657E8C">
        <w:t xml:space="preserve">, </w:t>
      </w:r>
      <w:r w:rsidR="004C44F5">
        <w:t>i</w:t>
      </w:r>
      <w:r w:rsidR="004C44F5" w:rsidRPr="00657E8C">
        <w:t xml:space="preserve">nformation </w:t>
      </w:r>
      <w:r w:rsidR="004C44F5">
        <w:t>t</w:t>
      </w:r>
      <w:r w:rsidR="004C44F5" w:rsidRPr="00657E8C">
        <w:t>echnology</w:t>
      </w:r>
      <w:r w:rsidRPr="00657E8C">
        <w:t xml:space="preserve">, </w:t>
      </w:r>
      <w:r w:rsidR="004C44F5">
        <w:t>p</w:t>
      </w:r>
      <w:r w:rsidR="004C44F5" w:rsidRPr="00657E8C">
        <w:t>rocurement</w:t>
      </w:r>
      <w:r w:rsidRPr="00657E8C">
        <w:t xml:space="preserve">, </w:t>
      </w:r>
      <w:r w:rsidR="004C44F5">
        <w:t>r</w:t>
      </w:r>
      <w:r w:rsidR="004C44F5" w:rsidRPr="00657E8C">
        <w:t xml:space="preserve">ecords </w:t>
      </w:r>
      <w:r w:rsidR="004C44F5">
        <w:t>m</w:t>
      </w:r>
      <w:r w:rsidR="004C44F5" w:rsidRPr="00657E8C">
        <w:t>anagement</w:t>
      </w:r>
      <w:r w:rsidRPr="00657E8C">
        <w:t xml:space="preserve">, </w:t>
      </w:r>
      <w:r w:rsidR="004C44F5">
        <w:t>c</w:t>
      </w:r>
      <w:r w:rsidR="004C44F5" w:rsidRPr="00657E8C">
        <w:t xml:space="preserve">ustomer </w:t>
      </w:r>
      <w:r w:rsidR="004C44F5">
        <w:t>s</w:t>
      </w:r>
      <w:r w:rsidR="004C44F5" w:rsidRPr="00657E8C">
        <w:t xml:space="preserve">upport </w:t>
      </w:r>
      <w:r w:rsidRPr="00657E8C">
        <w:t xml:space="preserve">and </w:t>
      </w:r>
      <w:r w:rsidR="004C44F5">
        <w:t>p</w:t>
      </w:r>
      <w:r w:rsidR="004C44F5" w:rsidRPr="00657E8C">
        <w:t>ayroll</w:t>
      </w:r>
      <w:r w:rsidR="00127E6F">
        <w:t> </w:t>
      </w:r>
      <w:r w:rsidRPr="00657E8C">
        <w:t xml:space="preserve">along with the delivery of </w:t>
      </w:r>
      <w:r w:rsidR="004C44F5">
        <w:t>h</w:t>
      </w:r>
      <w:r w:rsidR="004C44F5" w:rsidRPr="00657E8C">
        <w:t xml:space="preserve">ealth </w:t>
      </w:r>
      <w:r w:rsidR="004C44F5">
        <w:t>t</w:t>
      </w:r>
      <w:r w:rsidR="004C44F5" w:rsidRPr="00657E8C">
        <w:t xml:space="preserve">echnology </w:t>
      </w:r>
      <w:r w:rsidR="004C44F5">
        <w:t>s</w:t>
      </w:r>
      <w:r w:rsidR="004C44F5" w:rsidRPr="00657E8C">
        <w:t xml:space="preserve">ervices </w:t>
      </w:r>
      <w:r w:rsidRPr="00657E8C">
        <w:t>to hospitals</w:t>
      </w:r>
      <w:r w:rsidR="004C44F5">
        <w:t>.</w:t>
      </w:r>
    </w:p>
    <w:p w14:paraId="33249AD9" w14:textId="07205952" w:rsidR="002A2135" w:rsidRPr="00657E8C" w:rsidRDefault="002A2135" w:rsidP="002A2135">
      <w:pPr>
        <w:pStyle w:val="ARbody"/>
      </w:pPr>
      <w:r w:rsidRPr="00657E8C">
        <w:t xml:space="preserve">Greg Stenton has more than 30 years’ experience in public sector administration, including senior roles in </w:t>
      </w:r>
      <w:r w:rsidR="004C44F5">
        <w:t>f</w:t>
      </w:r>
      <w:r w:rsidR="004C44F5" w:rsidRPr="00657E8C">
        <w:t xml:space="preserve">inance </w:t>
      </w:r>
      <w:r w:rsidRPr="00657E8C">
        <w:t xml:space="preserve">and </w:t>
      </w:r>
      <w:r w:rsidR="004C44F5">
        <w:t>h</w:t>
      </w:r>
      <w:r w:rsidR="004C44F5" w:rsidRPr="00657E8C">
        <w:t xml:space="preserve">uman </w:t>
      </w:r>
      <w:r w:rsidR="004C44F5">
        <w:t>r</w:t>
      </w:r>
      <w:r w:rsidR="004C44F5" w:rsidRPr="00657E8C">
        <w:t>esources</w:t>
      </w:r>
      <w:r w:rsidRPr="00657E8C">
        <w:t xml:space="preserve">, </w:t>
      </w:r>
      <w:r w:rsidR="004C44F5">
        <w:t>s</w:t>
      </w:r>
      <w:r w:rsidR="004C44F5" w:rsidRPr="00657E8C">
        <w:t xml:space="preserve">trategic </w:t>
      </w:r>
      <w:r w:rsidR="004C44F5">
        <w:t>p</w:t>
      </w:r>
      <w:r w:rsidR="004C44F5" w:rsidRPr="00657E8C">
        <w:t xml:space="preserve">lanning </w:t>
      </w:r>
      <w:r w:rsidRPr="00657E8C">
        <w:t xml:space="preserve">and </w:t>
      </w:r>
      <w:r w:rsidR="004C44F5">
        <w:t>b</w:t>
      </w:r>
      <w:r w:rsidR="004C44F5" w:rsidRPr="00657E8C">
        <w:t xml:space="preserve">usiness </w:t>
      </w:r>
      <w:r w:rsidR="006354F5">
        <w:t>im</w:t>
      </w:r>
      <w:r w:rsidR="006354F5" w:rsidRPr="00657E8C">
        <w:t>provement</w:t>
      </w:r>
      <w:r w:rsidRPr="00657E8C">
        <w:t>. Greg holds a</w:t>
      </w:r>
      <w:r w:rsidR="00127E6F">
        <w:t> </w:t>
      </w:r>
      <w:r w:rsidRPr="00657E8C">
        <w:t>Bachelor of Business and is an FCPA.</w:t>
      </w:r>
    </w:p>
    <w:p w14:paraId="1E554A14" w14:textId="77777777" w:rsidR="002A2135" w:rsidRPr="00657E8C" w:rsidRDefault="002A2135" w:rsidP="002A2135">
      <w:pPr>
        <w:pStyle w:val="Heading3"/>
      </w:pPr>
      <w:r w:rsidRPr="00657E8C">
        <w:lastRenderedPageBreak/>
        <w:t>Nick Chiam</w:t>
      </w:r>
    </w:p>
    <w:p w14:paraId="4907B389" w14:textId="77777777" w:rsidR="002A2135" w:rsidRPr="00657E8C" w:rsidRDefault="002A2135" w:rsidP="002A2135">
      <w:pPr>
        <w:pStyle w:val="Heading4"/>
        <w:rPr>
          <w:lang w:eastAsia="en-AU"/>
        </w:rPr>
      </w:pPr>
      <w:r w:rsidRPr="00657E8C">
        <w:rPr>
          <w:lang w:eastAsia="en-AU"/>
        </w:rPr>
        <w:t>Deputy Secretary – Organisational Transformation</w:t>
      </w:r>
    </w:p>
    <w:p w14:paraId="477F798B" w14:textId="77777777" w:rsidR="002A2135" w:rsidRPr="00657E8C" w:rsidRDefault="002A2135" w:rsidP="002A2135">
      <w:pPr>
        <w:pStyle w:val="ARbody"/>
      </w:pPr>
      <w:r w:rsidRPr="00657E8C">
        <w:t>As the Deputy Secretary, Organisational Transformation, Nick Chiam leads the department’s broad program of organisational change, which will position the department to achieve its vision and support the government’s reforms to health and human services in the most effective and efficient way possible.</w:t>
      </w:r>
    </w:p>
    <w:p w14:paraId="00669D1F" w14:textId="77777777" w:rsidR="002A2135" w:rsidRPr="00657E8C" w:rsidRDefault="002A2135" w:rsidP="002A2135">
      <w:pPr>
        <w:pStyle w:val="ARbody"/>
      </w:pPr>
      <w:r w:rsidRPr="00657E8C">
        <w:t xml:space="preserve">The Organisational Transformation division brings together the department's </w:t>
      </w:r>
      <w:r w:rsidR="004C44F5" w:rsidRPr="00657E8C">
        <w:t>transformation</w:t>
      </w:r>
      <w:r w:rsidR="004C44F5">
        <w:t>-</w:t>
      </w:r>
      <w:r w:rsidRPr="00657E8C">
        <w:t>focused teams to help design and deliver its transformation objectives and aspiration to be a learning organisation.</w:t>
      </w:r>
    </w:p>
    <w:p w14:paraId="7BA656A5" w14:textId="77777777" w:rsidR="002A2135" w:rsidRPr="00657E8C" w:rsidRDefault="002A2135" w:rsidP="002A2135">
      <w:pPr>
        <w:pStyle w:val="ARbody"/>
      </w:pPr>
      <w:r w:rsidRPr="00657E8C">
        <w:t>Under Nick’s leadership, the division drives a transformation program that:</w:t>
      </w:r>
    </w:p>
    <w:p w14:paraId="11D1CD7E" w14:textId="77777777" w:rsidR="008D124E" w:rsidRDefault="002A2135" w:rsidP="002A2135">
      <w:pPr>
        <w:pStyle w:val="ARbullet1"/>
      </w:pPr>
      <w:r w:rsidRPr="00657E8C">
        <w:t>plans, develops and oversees the implementation of new ways of managing departmental functions</w:t>
      </w:r>
    </w:p>
    <w:p w14:paraId="7D38E277" w14:textId="77777777" w:rsidR="008D124E" w:rsidRDefault="002A2135" w:rsidP="002A2135">
      <w:pPr>
        <w:pStyle w:val="ARbullet1"/>
      </w:pPr>
      <w:r w:rsidRPr="00657E8C">
        <w:t>embeds ongoing innovation, business process management and change practices to enable staff to work more effectively and efficiently so the department can deliver critical frontline services to the Victorian community.</w:t>
      </w:r>
    </w:p>
    <w:p w14:paraId="41995574" w14:textId="090966FF" w:rsidR="002A2135" w:rsidRPr="00657E8C" w:rsidRDefault="002A2135" w:rsidP="00B905E5">
      <w:pPr>
        <w:pStyle w:val="ARbodyafterbullets"/>
      </w:pPr>
      <w:r w:rsidRPr="00657E8C">
        <w:t>The division works in collaboration with leadership</w:t>
      </w:r>
      <w:r w:rsidR="00127E6F">
        <w:t> </w:t>
      </w:r>
      <w:r w:rsidRPr="00657E8C">
        <w:t>and staff to build on and implement the</w:t>
      </w:r>
      <w:r w:rsidR="00127E6F">
        <w:t> </w:t>
      </w:r>
      <w:r w:rsidRPr="00657E8C">
        <w:t>organisation's collective skills, experience and</w:t>
      </w:r>
      <w:r w:rsidR="00127E6F">
        <w:t> </w:t>
      </w:r>
      <w:r w:rsidRPr="00657E8C">
        <w:t>creativity</w:t>
      </w:r>
      <w:r w:rsidR="004C44F5">
        <w:t>,</w:t>
      </w:r>
      <w:r w:rsidRPr="00657E8C">
        <w:t xml:space="preserve"> and </w:t>
      </w:r>
      <w:r w:rsidR="004C44F5">
        <w:t xml:space="preserve">to </w:t>
      </w:r>
      <w:r w:rsidRPr="00657E8C">
        <w:t xml:space="preserve">give staff the skills and opportunities to innovate and improve what </w:t>
      </w:r>
      <w:r w:rsidR="004C44F5">
        <w:t>they</w:t>
      </w:r>
      <w:r w:rsidR="00127E6F">
        <w:t> </w:t>
      </w:r>
      <w:r w:rsidR="004C44F5">
        <w:t>do</w:t>
      </w:r>
      <w:r w:rsidR="00127E6F">
        <w:t> </w:t>
      </w:r>
      <w:r w:rsidR="004C44F5">
        <w:t>and how they do it</w:t>
      </w:r>
      <w:r w:rsidRPr="00657E8C">
        <w:t>.</w:t>
      </w:r>
    </w:p>
    <w:p w14:paraId="32700D65" w14:textId="77777777" w:rsidR="002A2135" w:rsidRPr="00657E8C" w:rsidRDefault="002A2135" w:rsidP="002A2135">
      <w:pPr>
        <w:pStyle w:val="ARbody"/>
      </w:pPr>
      <w:r w:rsidRPr="00657E8C">
        <w:t>Nick is well</w:t>
      </w:r>
      <w:r w:rsidR="004C44F5">
        <w:t xml:space="preserve"> </w:t>
      </w:r>
      <w:r w:rsidRPr="00657E8C">
        <w:t xml:space="preserve">placed to drive the department’s reform agenda. With extensive experience in the public sector, Nick has worked for over 18 years in the public service in both state and </w:t>
      </w:r>
      <w:r w:rsidR="004C44F5">
        <w:t>C</w:t>
      </w:r>
      <w:r w:rsidRPr="00657E8C">
        <w:t xml:space="preserve">ommonwealth agencies, and holds an ANZOG Master </w:t>
      </w:r>
      <w:r w:rsidR="004C44F5">
        <w:t>of</w:t>
      </w:r>
      <w:r w:rsidRPr="00657E8C">
        <w:t xml:space="preserve"> Public Administration. Prior to joining the Department of Health and Human Services</w:t>
      </w:r>
      <w:r w:rsidR="004C44F5">
        <w:t>,</w:t>
      </w:r>
      <w:r w:rsidRPr="00657E8C">
        <w:t xml:space="preserve"> he held executive roles with the Victorian Department of Education and Training and the National Disability Insurance Agency.</w:t>
      </w:r>
    </w:p>
    <w:p w14:paraId="0FBEB5C2" w14:textId="77777777" w:rsidR="002A2135" w:rsidRPr="00657E8C" w:rsidRDefault="003E2C23" w:rsidP="000B7C6C">
      <w:pPr>
        <w:pStyle w:val="Heading3"/>
        <w:spacing w:before="0"/>
      </w:pPr>
      <w:r>
        <w:br w:type="column"/>
      </w:r>
      <w:r w:rsidR="002A2135" w:rsidRPr="00657E8C">
        <w:t>Jacinda de Witts</w:t>
      </w:r>
    </w:p>
    <w:p w14:paraId="797D6F88" w14:textId="2F85107E" w:rsidR="008D124E" w:rsidRDefault="002A2135" w:rsidP="002A2135">
      <w:pPr>
        <w:pStyle w:val="Heading4"/>
        <w:rPr>
          <w:lang w:eastAsia="en-AU"/>
        </w:rPr>
      </w:pPr>
      <w:r w:rsidRPr="00657E8C">
        <w:rPr>
          <w:lang w:eastAsia="en-AU"/>
        </w:rPr>
        <w:t>Deputy Secretary – Legal and Executive</w:t>
      </w:r>
      <w:r w:rsidR="00127E6F">
        <w:rPr>
          <w:lang w:eastAsia="en-AU"/>
        </w:rPr>
        <w:t> </w:t>
      </w:r>
      <w:r w:rsidRPr="00657E8C">
        <w:rPr>
          <w:lang w:eastAsia="en-AU"/>
        </w:rPr>
        <w:t>Services</w:t>
      </w:r>
    </w:p>
    <w:p w14:paraId="61E1BA53" w14:textId="0A54FD13" w:rsidR="002A2135" w:rsidRPr="00657E8C" w:rsidRDefault="002A2135" w:rsidP="002A2135">
      <w:pPr>
        <w:pStyle w:val="ARbody"/>
      </w:pPr>
      <w:r w:rsidRPr="00657E8C">
        <w:t xml:space="preserve">Jacinda de Witts is both the department’s General Counsel and the Deputy Secretary of the newly formed Legal and Executive Services </w:t>
      </w:r>
      <w:r w:rsidR="004C44F5">
        <w:t>d</w:t>
      </w:r>
      <w:r w:rsidR="004C44F5" w:rsidRPr="00657E8C">
        <w:t>ivision</w:t>
      </w:r>
      <w:r w:rsidRPr="00657E8C">
        <w:t>.</w:t>
      </w:r>
    </w:p>
    <w:p w14:paraId="2BB5F7DE" w14:textId="2DA6C209" w:rsidR="002A2135" w:rsidRPr="00657E8C" w:rsidRDefault="004C44F5" w:rsidP="002A2135">
      <w:pPr>
        <w:pStyle w:val="ARbody"/>
      </w:pPr>
      <w:r>
        <w:t xml:space="preserve">The </w:t>
      </w:r>
      <w:r w:rsidR="002A2135" w:rsidRPr="00657E8C">
        <w:t xml:space="preserve">Legal and Executive Services </w:t>
      </w:r>
      <w:r>
        <w:t>d</w:t>
      </w:r>
      <w:r w:rsidRPr="00657E8C">
        <w:t xml:space="preserve">ivision </w:t>
      </w:r>
      <w:r w:rsidR="002A2135" w:rsidRPr="00657E8C">
        <w:t xml:space="preserve">was formed in January 2019 to establish a specialised division with a focus on providing legal, privacy, conduct and complaints advisory services, support to </w:t>
      </w:r>
      <w:r>
        <w:t>m</w:t>
      </w:r>
      <w:r w:rsidR="002A2135" w:rsidRPr="00657E8C">
        <w:t>inisters and support to the department to meet critical statutory and integrity obligations</w:t>
      </w:r>
      <w:r>
        <w:t>. The d</w:t>
      </w:r>
      <w:r w:rsidR="002A2135" w:rsidRPr="00657E8C">
        <w:t>ivision delivers essential services that ensure both</w:t>
      </w:r>
      <w:r w:rsidR="00127E6F">
        <w:t> </w:t>
      </w:r>
      <w:r w:rsidR="002A2135" w:rsidRPr="00657E8C">
        <w:t xml:space="preserve">the department and the </w:t>
      </w:r>
      <w:r>
        <w:t>g</w:t>
      </w:r>
      <w:r w:rsidR="002A2135" w:rsidRPr="00657E8C">
        <w:t xml:space="preserve">overnment </w:t>
      </w:r>
      <w:r>
        <w:t xml:space="preserve">function </w:t>
      </w:r>
      <w:r w:rsidR="002A2135" w:rsidRPr="00657E8C">
        <w:t>effective</w:t>
      </w:r>
      <w:r>
        <w:t>ly,</w:t>
      </w:r>
      <w:r w:rsidR="002A2135" w:rsidRPr="00657E8C">
        <w:t xml:space="preserve"> and strive</w:t>
      </w:r>
      <w:r>
        <w:t>s</w:t>
      </w:r>
      <w:r w:rsidR="002A2135" w:rsidRPr="00657E8C">
        <w:t xml:space="preserve"> to provide high</w:t>
      </w:r>
      <w:r>
        <w:t>-</w:t>
      </w:r>
      <w:r w:rsidR="002A2135" w:rsidRPr="00657E8C">
        <w:t>quality, strategic services in a responsive and agile manner.</w:t>
      </w:r>
    </w:p>
    <w:p w14:paraId="7EF2C0D5" w14:textId="2386A7F3" w:rsidR="002A2135" w:rsidRPr="00657E8C" w:rsidRDefault="002A2135" w:rsidP="002A2135">
      <w:pPr>
        <w:pStyle w:val="ARbody"/>
      </w:pPr>
      <w:r w:rsidRPr="00657E8C">
        <w:t>The division support</w:t>
      </w:r>
      <w:r w:rsidR="004C44F5">
        <w:t>s</w:t>
      </w:r>
      <w:r w:rsidRPr="00657E8C">
        <w:t xml:space="preserve"> the department to maintain its</w:t>
      </w:r>
      <w:r w:rsidR="00127E6F">
        <w:t> </w:t>
      </w:r>
      <w:r w:rsidRPr="00657E8C">
        <w:t xml:space="preserve">organisational integrity, which underpins the delivery of important policies and programs </w:t>
      </w:r>
      <w:r w:rsidR="004C44F5">
        <w:t>for</w:t>
      </w:r>
      <w:r w:rsidRPr="00657E8C">
        <w:t xml:space="preserve"> the health, wellbeing and safety of Victorians</w:t>
      </w:r>
      <w:r w:rsidR="004C44F5">
        <w:t>, and</w:t>
      </w:r>
      <w:r w:rsidRPr="00657E8C">
        <w:t xml:space="preserve"> so that they can live a life that they value.</w:t>
      </w:r>
    </w:p>
    <w:p w14:paraId="41DCACA1" w14:textId="77777777" w:rsidR="002A2135" w:rsidRPr="00657E8C" w:rsidRDefault="002A2135" w:rsidP="002A2135">
      <w:pPr>
        <w:pStyle w:val="ARbody"/>
      </w:pPr>
      <w:r w:rsidRPr="00657E8C">
        <w:t xml:space="preserve">Jacinda has been General Counsel since July 2018. She brings significant experience from senior legal roles in the private sector, as well as from her service on the Board of Cancer Council Victoria and as Director at the Royal Children’s Hospital. Jacinda holds a Bachelor of Laws (Honours) and Economics and postgraduate qualifications in </w:t>
      </w:r>
      <w:r w:rsidR="004C44F5">
        <w:t>c</w:t>
      </w:r>
      <w:r w:rsidR="004C44F5" w:rsidRPr="00657E8C">
        <w:t xml:space="preserve">orporations </w:t>
      </w:r>
      <w:r w:rsidRPr="00657E8C">
        <w:t xml:space="preserve">and </w:t>
      </w:r>
      <w:r w:rsidR="004C44F5">
        <w:t>s</w:t>
      </w:r>
      <w:r w:rsidR="004C44F5" w:rsidRPr="00657E8C">
        <w:t xml:space="preserve">ecurities </w:t>
      </w:r>
      <w:r w:rsidR="004C44F5">
        <w:t>l</w:t>
      </w:r>
      <w:r w:rsidR="004C44F5" w:rsidRPr="00657E8C">
        <w:t>aw</w:t>
      </w:r>
      <w:r w:rsidR="00B905E5">
        <w:t>.</w:t>
      </w:r>
    </w:p>
    <w:p w14:paraId="49D78311" w14:textId="77777777" w:rsidR="002A2135" w:rsidRPr="00657E8C" w:rsidRDefault="002A2135" w:rsidP="00FE1800">
      <w:pPr>
        <w:pStyle w:val="Heading3"/>
      </w:pPr>
      <w:r w:rsidRPr="00657E8C">
        <w:t>Sue Clifford APM</w:t>
      </w:r>
    </w:p>
    <w:p w14:paraId="6BCBF033" w14:textId="77777777" w:rsidR="002A2135" w:rsidRPr="00657E8C" w:rsidRDefault="002A2135" w:rsidP="00FE1800">
      <w:pPr>
        <w:pStyle w:val="Heading4"/>
      </w:pPr>
      <w:r w:rsidRPr="00657E8C">
        <w:t xml:space="preserve">Chief </w:t>
      </w:r>
      <w:r w:rsidRPr="00657E8C">
        <w:rPr>
          <w:lang w:eastAsia="en-AU"/>
        </w:rPr>
        <w:t>Executive</w:t>
      </w:r>
      <w:r w:rsidRPr="00657E8C">
        <w:t xml:space="preserve"> Officer – Family Safety Victoria</w:t>
      </w:r>
    </w:p>
    <w:p w14:paraId="09CACA3E" w14:textId="21DD6A87" w:rsidR="00FE1800" w:rsidRPr="00657E8C" w:rsidRDefault="00FE1800" w:rsidP="00FE1800">
      <w:pPr>
        <w:pStyle w:val="ARbody"/>
      </w:pPr>
      <w:r w:rsidRPr="00657E8C">
        <w:t>Sue Clifford APM was appointed as the first Chief</w:t>
      </w:r>
      <w:r w:rsidR="00127E6F">
        <w:t> </w:t>
      </w:r>
      <w:r w:rsidRPr="00657E8C">
        <w:t>Executive Officer of Family Safety Victoria in</w:t>
      </w:r>
      <w:r w:rsidR="00127E6F">
        <w:t> </w:t>
      </w:r>
      <w:r w:rsidRPr="00657E8C">
        <w:t>July 2017, tasked with driving and delivering the</w:t>
      </w:r>
      <w:r w:rsidR="00127E6F">
        <w:t> </w:t>
      </w:r>
      <w:r w:rsidRPr="00657E8C">
        <w:t>Victorian Government’s response to family</w:t>
      </w:r>
      <w:r w:rsidR="00127E6F">
        <w:t> </w:t>
      </w:r>
      <w:r w:rsidRPr="00657E8C">
        <w:t>violence.</w:t>
      </w:r>
    </w:p>
    <w:p w14:paraId="43BD6DC9" w14:textId="77777777" w:rsidR="00FE1800" w:rsidRPr="00657E8C" w:rsidRDefault="00FE1800" w:rsidP="00FE1800">
      <w:pPr>
        <w:pStyle w:val="ARbody"/>
      </w:pPr>
      <w:r w:rsidRPr="00657E8C">
        <w:t>Sue has extensive experience working with communities, sectors and government to drive important changes that improve the safety of Victorians. This includes nearly three decades working with Victoria Police, including specialising in the areas of family violence, sexual assault and child abuse.</w:t>
      </w:r>
    </w:p>
    <w:p w14:paraId="3DD1AB02" w14:textId="77777777" w:rsidR="00127E6F" w:rsidRDefault="00127E6F" w:rsidP="00FE1800">
      <w:pPr>
        <w:pStyle w:val="ARbody"/>
      </w:pPr>
      <w:r>
        <w:br w:type="page"/>
      </w:r>
    </w:p>
    <w:p w14:paraId="552999E0" w14:textId="7D998F14" w:rsidR="00FE1800" w:rsidRPr="00657E8C" w:rsidRDefault="00FE1800" w:rsidP="00FE1800">
      <w:pPr>
        <w:pStyle w:val="ARbody"/>
      </w:pPr>
      <w:r w:rsidRPr="00657E8C">
        <w:lastRenderedPageBreak/>
        <w:t>Sue came to Family Safety Victoria from the role of</w:t>
      </w:r>
      <w:r w:rsidR="00127E6F">
        <w:t> </w:t>
      </w:r>
      <w:r w:rsidRPr="00657E8C">
        <w:t>Commander of the Priority Communities Division at Victoria Police, which was established to engage more effectively and purposefully with diverse communities across Victoria.</w:t>
      </w:r>
    </w:p>
    <w:p w14:paraId="380108C2" w14:textId="7E48879D" w:rsidR="00FE1800" w:rsidRPr="00657E8C" w:rsidRDefault="00FE1800" w:rsidP="00FE1800">
      <w:pPr>
        <w:pStyle w:val="ARbody"/>
      </w:pPr>
      <w:r w:rsidRPr="00657E8C">
        <w:t>Prior to this, she was the General Manager of People and Culture at the Australian Football League (AFL), leading core initiatives to effect change in the culture of those who work, play and</w:t>
      </w:r>
      <w:r w:rsidR="00127E6F">
        <w:t> </w:t>
      </w:r>
      <w:r w:rsidRPr="00657E8C">
        <w:t xml:space="preserve">support the AFL. Sue was responsible for the development and management of a number of programs that changed how the AFL community perceived </w:t>
      </w:r>
      <w:r w:rsidR="00250D75">
        <w:t>r</w:t>
      </w:r>
      <w:r w:rsidR="00250D75" w:rsidRPr="00657E8C">
        <w:t xml:space="preserve">espect </w:t>
      </w:r>
      <w:r w:rsidRPr="00657E8C">
        <w:t xml:space="preserve">and </w:t>
      </w:r>
      <w:r w:rsidR="00250D75">
        <w:t>r</w:t>
      </w:r>
      <w:r w:rsidR="00250D75" w:rsidRPr="00657E8C">
        <w:t>esponsibility</w:t>
      </w:r>
      <w:r w:rsidRPr="00657E8C">
        <w:t xml:space="preserve">, </w:t>
      </w:r>
      <w:r w:rsidR="00250D75">
        <w:t>d</w:t>
      </w:r>
      <w:r w:rsidR="00250D75" w:rsidRPr="00657E8C">
        <w:t xml:space="preserve">rugs </w:t>
      </w:r>
      <w:r w:rsidRPr="00657E8C">
        <w:t xml:space="preserve">and </w:t>
      </w:r>
      <w:r w:rsidR="00250D75">
        <w:t>a</w:t>
      </w:r>
      <w:r w:rsidR="00250D75" w:rsidRPr="00657E8C">
        <w:t>nti</w:t>
      </w:r>
      <w:r w:rsidRPr="00657E8C">
        <w:t>-</w:t>
      </w:r>
      <w:r w:rsidR="00250D75">
        <w:t>d</w:t>
      </w:r>
      <w:r w:rsidRPr="00657E8C">
        <w:t xml:space="preserve">oping, </w:t>
      </w:r>
      <w:r w:rsidR="00250D75">
        <w:t>g</w:t>
      </w:r>
      <w:r w:rsidRPr="00657E8C">
        <w:t xml:space="preserve">ambling and </w:t>
      </w:r>
      <w:r w:rsidR="00250D75">
        <w:t>a</w:t>
      </w:r>
      <w:r w:rsidR="00250D75" w:rsidRPr="00657E8C">
        <w:t>lcohol</w:t>
      </w:r>
      <w:r w:rsidRPr="00657E8C">
        <w:t>. She was also Chair of the AFL’s Vilification Committee.</w:t>
      </w:r>
    </w:p>
    <w:p w14:paraId="1AB9C0E9" w14:textId="77777777" w:rsidR="00FE1800" w:rsidRPr="00657E8C" w:rsidRDefault="00FE1800" w:rsidP="00FE1800">
      <w:pPr>
        <w:pStyle w:val="ARbody"/>
      </w:pPr>
      <w:r w:rsidRPr="00657E8C">
        <w:t xml:space="preserve">She has an Executive Master </w:t>
      </w:r>
      <w:r w:rsidR="00250D75">
        <w:t>of</w:t>
      </w:r>
      <w:r w:rsidR="00250D75" w:rsidRPr="00657E8C">
        <w:t xml:space="preserve"> </w:t>
      </w:r>
      <w:r w:rsidRPr="00657E8C">
        <w:t xml:space="preserve">Public Administration from </w:t>
      </w:r>
      <w:r w:rsidR="00250D75">
        <w:t>the</w:t>
      </w:r>
      <w:r w:rsidR="00250D75" w:rsidRPr="00657E8C">
        <w:t xml:space="preserve"> </w:t>
      </w:r>
      <w:r w:rsidRPr="00657E8C">
        <w:t>University</w:t>
      </w:r>
      <w:r w:rsidR="00250D75">
        <w:t xml:space="preserve"> of Melbourne</w:t>
      </w:r>
      <w:r w:rsidRPr="00657E8C">
        <w:t xml:space="preserve"> and has studied at Harvard’s Kennedy School of Government. Sue was awarded the Australian Police Medal in the 2017 Australia Day honours list.</w:t>
      </w:r>
    </w:p>
    <w:p w14:paraId="632A7A97" w14:textId="77777777" w:rsidR="002A2135" w:rsidRPr="00657E8C" w:rsidRDefault="002A2135" w:rsidP="00FE1800">
      <w:pPr>
        <w:pStyle w:val="Heading3"/>
      </w:pPr>
      <w:r w:rsidRPr="00657E8C">
        <w:t>Professor Euan M Wallace AM MBChB MD FRCOG FRANZCOG FAHMS</w:t>
      </w:r>
    </w:p>
    <w:p w14:paraId="6FADEBCA" w14:textId="77777777" w:rsidR="002A2135" w:rsidRPr="00657E8C" w:rsidRDefault="002A2135" w:rsidP="002A2135">
      <w:pPr>
        <w:pStyle w:val="Heading4"/>
      </w:pPr>
      <w:r w:rsidRPr="00657E8C">
        <w:t>Chief Executive Officer – Safer Care Victoria</w:t>
      </w:r>
    </w:p>
    <w:p w14:paraId="7E3B84AA" w14:textId="77777777" w:rsidR="002A2135" w:rsidRPr="00657E8C" w:rsidRDefault="002A2135" w:rsidP="002A2135">
      <w:pPr>
        <w:pStyle w:val="ARbody"/>
      </w:pPr>
      <w:bookmarkStart w:id="117" w:name="_Ref525048930"/>
      <w:r w:rsidRPr="00657E8C">
        <w:t>Professor Euan Wallace AM is the inaugural Chief Executive Officer of Safer Care Victoria, Victoria’s lead agency for quality and safety improvement in health</w:t>
      </w:r>
      <w:r w:rsidR="00250D75">
        <w:t xml:space="preserve"> </w:t>
      </w:r>
      <w:r w:rsidRPr="00657E8C">
        <w:t>care. He is a senior academic clinician with expertise in patient safety, clinical governance and healthcare improvement.</w:t>
      </w:r>
    </w:p>
    <w:p w14:paraId="4C5D5755" w14:textId="77777777" w:rsidR="002A2135" w:rsidRPr="00657E8C" w:rsidRDefault="002A2135" w:rsidP="002A2135">
      <w:pPr>
        <w:pStyle w:val="ARbody"/>
        <w:rPr>
          <w:bCs/>
        </w:rPr>
      </w:pPr>
      <w:r w:rsidRPr="00657E8C">
        <w:t>Euan is also the Carl Wood Professor and Head of Department of Obstetrics and Gynaecology at Monash University where he leads a perinatal medicine research group</w:t>
      </w:r>
      <w:r w:rsidR="00250D75">
        <w:t>.</w:t>
      </w:r>
    </w:p>
    <w:p w14:paraId="33EC2F2C" w14:textId="77777777" w:rsidR="002A2135" w:rsidRPr="00657E8C" w:rsidRDefault="007425FE" w:rsidP="000B7C6C">
      <w:pPr>
        <w:pStyle w:val="Heading3"/>
        <w:spacing w:before="0"/>
      </w:pPr>
      <w:r>
        <w:br w:type="column"/>
      </w:r>
      <w:bookmarkStart w:id="118" w:name="_Ref21861577"/>
      <w:r w:rsidR="002A2135" w:rsidRPr="00657E8C">
        <w:t>Dr Lance Emerson</w:t>
      </w:r>
      <w:bookmarkEnd w:id="117"/>
      <w:bookmarkEnd w:id="118"/>
    </w:p>
    <w:p w14:paraId="06DA75EB" w14:textId="77777777" w:rsidR="002A2135" w:rsidRPr="00657E8C" w:rsidRDefault="002A2135" w:rsidP="002A2135">
      <w:pPr>
        <w:pStyle w:val="Heading4"/>
      </w:pPr>
      <w:r w:rsidRPr="00657E8C">
        <w:t>Chief Executive Officer – Victorian Agency for Health Information</w:t>
      </w:r>
    </w:p>
    <w:p w14:paraId="05EA5E10" w14:textId="77777777" w:rsidR="002A2135" w:rsidRPr="00657E8C" w:rsidRDefault="002A2135" w:rsidP="002A2135">
      <w:pPr>
        <w:pStyle w:val="ARbody"/>
      </w:pPr>
      <w:r w:rsidRPr="00657E8C">
        <w:t>Dr Lance Emerson is the Chief Executive Officer of the Victorian Agency for Health Information (VAHI). Lance works with the VAHI team to drive improvements in safety and quality in Victorian health services through the provision of high-quality health service performance information.</w:t>
      </w:r>
    </w:p>
    <w:p w14:paraId="0B274D4E" w14:textId="77777777" w:rsidR="002A2135" w:rsidRPr="007939DD" w:rsidRDefault="002A2135" w:rsidP="002A2135">
      <w:pPr>
        <w:pStyle w:val="ARbody"/>
      </w:pPr>
      <w:r w:rsidRPr="00657E8C">
        <w:t>Lance has a passion for development and maintenance of information systems to improve consumer care, and has a PhD in the use of clinical indicators to guide better care and improve health outcomes. He has extensive experience in running specialist health organisations, having most recently been CEO of the Pharmaceutical Society of Australia and prior to that, CEO of the Australian Research and Alliance for Children and Youth.</w:t>
      </w:r>
    </w:p>
    <w:p w14:paraId="7DCD535E" w14:textId="77777777" w:rsidR="002519BD" w:rsidRPr="007939DD" w:rsidRDefault="002519BD" w:rsidP="002519BD">
      <w:pPr>
        <w:pStyle w:val="ARbody"/>
      </w:pPr>
    </w:p>
    <w:p w14:paraId="49043987" w14:textId="77777777" w:rsidR="0092299C" w:rsidRPr="007939DD" w:rsidRDefault="0092299C" w:rsidP="0092299C">
      <w:pPr>
        <w:pStyle w:val="ARbody"/>
        <w:sectPr w:rsidR="0092299C" w:rsidRPr="007939DD" w:rsidSect="00E31562">
          <w:endnotePr>
            <w:numFmt w:val="decimal"/>
          </w:endnotePr>
          <w:type w:val="continuous"/>
          <w:pgSz w:w="11900" w:h="16840" w:code="9"/>
          <w:pgMar w:top="1985" w:right="851" w:bottom="851" w:left="1418" w:header="510" w:footer="340" w:gutter="0"/>
          <w:cols w:num="2" w:space="454"/>
        </w:sectPr>
      </w:pPr>
    </w:p>
    <w:p w14:paraId="421FDDF7" w14:textId="20536BCE" w:rsidR="0092299C" w:rsidRPr="007939DD" w:rsidRDefault="0092299C" w:rsidP="00CA7B72">
      <w:pPr>
        <w:pStyle w:val="Heading2"/>
        <w:spacing w:before="0"/>
      </w:pPr>
      <w:bookmarkStart w:id="119" w:name="_Ref492894420"/>
      <w:r w:rsidRPr="007939DD">
        <w:lastRenderedPageBreak/>
        <w:t>Organisation structure</w:t>
      </w:r>
      <w:bookmarkEnd w:id="119"/>
    </w:p>
    <w:p w14:paraId="5B93121D" w14:textId="77777777" w:rsidR="005125FA" w:rsidRDefault="0092299C" w:rsidP="00E7430B">
      <w:pPr>
        <w:pStyle w:val="ARbody"/>
      </w:pPr>
      <w:r w:rsidRPr="007939DD">
        <w:t>As at 30 June 201</w:t>
      </w:r>
      <w:r w:rsidR="002F5F43">
        <w:t>9</w:t>
      </w:r>
    </w:p>
    <w:p w14:paraId="67AEB35A" w14:textId="304E89FA" w:rsidR="00292085" w:rsidRPr="007939DD" w:rsidRDefault="00EA3352" w:rsidP="00F16145">
      <w:pPr>
        <w:pStyle w:val="ARbody"/>
        <w:ind w:right="-1134"/>
      </w:pPr>
      <w:r>
        <w:rPr>
          <w:noProof/>
          <w:lang w:eastAsia="en-AU"/>
        </w:rPr>
        <w:drawing>
          <wp:inline distT="0" distB="0" distL="0" distR="0" wp14:anchorId="29747804" wp14:editId="01D71F2E">
            <wp:extent cx="8878529" cy="5064388"/>
            <wp:effectExtent l="0" t="0" r="0" b="3175"/>
            <wp:docPr id="16" name="Picture 16" descr="To receive organisation structure as as at 30 June 2019 in accessible format please email corporate reporting &lt;corporate.reporting@dhhs.vic.gov.au&gt;. To see the  department’s current structure visit Our organisation &lt;https://www.dhhs.vic.gov.au/our-organisa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nual report org chart_2018-2019.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884350" cy="5067708"/>
                    </a:xfrm>
                    <a:prstGeom prst="rect">
                      <a:avLst/>
                    </a:prstGeom>
                  </pic:spPr>
                </pic:pic>
              </a:graphicData>
            </a:graphic>
          </wp:inline>
        </w:drawing>
      </w:r>
    </w:p>
    <w:p w14:paraId="34238519" w14:textId="77777777" w:rsidR="00E7430B" w:rsidRPr="007939DD" w:rsidRDefault="00E7430B" w:rsidP="00E7430B">
      <w:pPr>
        <w:pStyle w:val="ARbody"/>
        <w:sectPr w:rsidR="00E7430B" w:rsidRPr="007939DD" w:rsidSect="002652A6">
          <w:headerReference w:type="even" r:id="rId102"/>
          <w:headerReference w:type="default" r:id="rId103"/>
          <w:footerReference w:type="even" r:id="rId104"/>
          <w:footerReference w:type="default" r:id="rId105"/>
          <w:endnotePr>
            <w:numFmt w:val="decimal"/>
          </w:endnotePr>
          <w:pgSz w:w="16840" w:h="11900" w:orient="landscape" w:code="9"/>
          <w:pgMar w:top="1418" w:right="1985" w:bottom="1418" w:left="851" w:header="851" w:footer="851" w:gutter="0"/>
          <w:cols w:space="720"/>
          <w:docGrid w:linePitch="272"/>
        </w:sectPr>
      </w:pPr>
    </w:p>
    <w:p w14:paraId="51B5DE28" w14:textId="77777777" w:rsidR="00F17551" w:rsidRPr="00657E8C" w:rsidRDefault="00F17551" w:rsidP="00F17551">
      <w:pPr>
        <w:pStyle w:val="Heading2"/>
        <w:spacing w:before="0"/>
      </w:pPr>
      <w:bookmarkStart w:id="120" w:name="_Ref21960252"/>
      <w:bookmarkStart w:id="121" w:name="_Toc463776201"/>
      <w:bookmarkStart w:id="122" w:name="_Ref492915457"/>
      <w:r w:rsidRPr="00657E8C">
        <w:lastRenderedPageBreak/>
        <w:t>Audit and Risk Management Committee membership and roles</w:t>
      </w:r>
      <w:bookmarkEnd w:id="120"/>
    </w:p>
    <w:bookmarkEnd w:id="121"/>
    <w:bookmarkEnd w:id="122"/>
    <w:p w14:paraId="491888B6" w14:textId="77777777" w:rsidR="00F17551" w:rsidRPr="00657E8C" w:rsidRDefault="00F17551" w:rsidP="00F17551">
      <w:pPr>
        <w:pStyle w:val="ARbody"/>
      </w:pPr>
      <w:r w:rsidRPr="00657E8C">
        <w:t xml:space="preserve">The Audit and Risk Management Committee is an independent committee established in accordance with the </w:t>
      </w:r>
      <w:r w:rsidRPr="00657E8C">
        <w:rPr>
          <w:i/>
        </w:rPr>
        <w:t>Financial Management Act 1994</w:t>
      </w:r>
      <w:r w:rsidRPr="00657E8C">
        <w:t xml:space="preserve"> and the Standing Directions of the Minister for Finance (2016).</w:t>
      </w:r>
    </w:p>
    <w:p w14:paraId="4D418256" w14:textId="77777777" w:rsidR="00F17551" w:rsidRPr="00657E8C" w:rsidRDefault="00F17551" w:rsidP="00F17551">
      <w:pPr>
        <w:pStyle w:val="ARbody"/>
      </w:pPr>
      <w:r w:rsidRPr="00657E8C">
        <w:t>The committee operates under an approved charter and has the following members:</w:t>
      </w:r>
    </w:p>
    <w:p w14:paraId="6531FD60" w14:textId="77777777" w:rsidR="00F17551" w:rsidRPr="00657E8C" w:rsidRDefault="00F17551" w:rsidP="00F17551">
      <w:pPr>
        <w:pStyle w:val="ARbullet1"/>
      </w:pPr>
      <w:r w:rsidRPr="00657E8C">
        <w:t>Helen Thornton, Chair (independent appointee)</w:t>
      </w:r>
    </w:p>
    <w:p w14:paraId="49D22770" w14:textId="77777777" w:rsidR="00F17551" w:rsidRPr="00657E8C" w:rsidRDefault="00F17551" w:rsidP="00F17551">
      <w:pPr>
        <w:pStyle w:val="ARbullet1"/>
      </w:pPr>
      <w:r w:rsidRPr="00657E8C">
        <w:t>Pam White (independent appointee)</w:t>
      </w:r>
    </w:p>
    <w:p w14:paraId="1E3FCC2E" w14:textId="77777777" w:rsidR="00F17551" w:rsidRPr="00657E8C" w:rsidRDefault="00F17551" w:rsidP="00F17551">
      <w:pPr>
        <w:pStyle w:val="ARbullet1"/>
      </w:pPr>
      <w:r w:rsidRPr="00657E8C">
        <w:t>Peter Matthey (independent appointee)</w:t>
      </w:r>
    </w:p>
    <w:p w14:paraId="1088C80C" w14:textId="77777777" w:rsidR="00F17551" w:rsidRPr="00657E8C" w:rsidRDefault="00F17551" w:rsidP="00F17551">
      <w:pPr>
        <w:pStyle w:val="ARbullet1"/>
      </w:pPr>
      <w:r w:rsidRPr="00657E8C">
        <w:t>Deputy Secretary, Housing and Infrastructure</w:t>
      </w:r>
    </w:p>
    <w:p w14:paraId="6A6F24D6" w14:textId="77777777" w:rsidR="00F17551" w:rsidRPr="00657E8C" w:rsidRDefault="00F17551" w:rsidP="00F17551">
      <w:pPr>
        <w:pStyle w:val="ARbullet1"/>
      </w:pPr>
      <w:r w:rsidRPr="00657E8C">
        <w:t>Deputy Secretary, West Division</w:t>
      </w:r>
    </w:p>
    <w:p w14:paraId="44E51396" w14:textId="79FB75EC" w:rsidR="00F17551" w:rsidRPr="00657E8C" w:rsidRDefault="00F17551" w:rsidP="00F17551">
      <w:pPr>
        <w:pStyle w:val="ARbullet1"/>
      </w:pPr>
      <w:r w:rsidRPr="00657E8C">
        <w:t>Deputy Secretary, Strategy and Planning</w:t>
      </w:r>
      <w:r w:rsidR="00E900FF">
        <w:t>.</w:t>
      </w:r>
    </w:p>
    <w:p w14:paraId="232D4646" w14:textId="77777777" w:rsidR="00F17551" w:rsidRPr="00657E8C" w:rsidRDefault="00F17551" w:rsidP="00F17551">
      <w:pPr>
        <w:pStyle w:val="ARbodyafterbullets"/>
      </w:pPr>
      <w:r w:rsidRPr="00657E8C">
        <w:t>The committee is integral to the department’s approach to governance, ensuring that systems and processes for identifying and monitoring risks are operating as intended.</w:t>
      </w:r>
    </w:p>
    <w:p w14:paraId="1AEDAAAC" w14:textId="120501FC" w:rsidR="00F17551" w:rsidRPr="00657E8C" w:rsidRDefault="00F17551" w:rsidP="00F17551">
      <w:pPr>
        <w:pStyle w:val="ARbody"/>
      </w:pPr>
      <w:r w:rsidRPr="00657E8C">
        <w:t>The committee’s responsibilities cover the following</w:t>
      </w:r>
      <w:r w:rsidR="00127E6F">
        <w:t> </w:t>
      </w:r>
      <w:r w:rsidRPr="00657E8C">
        <w:t>areas:</w:t>
      </w:r>
    </w:p>
    <w:p w14:paraId="2AB947A7" w14:textId="77777777" w:rsidR="00F17551" w:rsidRPr="00657E8C" w:rsidRDefault="00F17551" w:rsidP="00F17551">
      <w:pPr>
        <w:pStyle w:val="ARbullet1"/>
      </w:pPr>
      <w:r w:rsidRPr="00657E8C">
        <w:t>annual financial statements</w:t>
      </w:r>
    </w:p>
    <w:p w14:paraId="20FE89DE" w14:textId="77777777" w:rsidR="00F17551" w:rsidRPr="00657E8C" w:rsidRDefault="00F17551" w:rsidP="00F17551">
      <w:pPr>
        <w:pStyle w:val="ARbullet1"/>
      </w:pPr>
      <w:r w:rsidRPr="00657E8C">
        <w:t>risk attestation</w:t>
      </w:r>
    </w:p>
    <w:p w14:paraId="5FFBC5F7" w14:textId="77777777" w:rsidR="00F17551" w:rsidRPr="00657E8C" w:rsidRDefault="00F17551" w:rsidP="00F17551">
      <w:pPr>
        <w:pStyle w:val="ARbullet1"/>
      </w:pPr>
      <w:r w:rsidRPr="00657E8C">
        <w:t>risk management and internal controls</w:t>
      </w:r>
    </w:p>
    <w:p w14:paraId="58E67709" w14:textId="77777777" w:rsidR="00F17551" w:rsidRPr="00657E8C" w:rsidRDefault="00F17551" w:rsidP="00F17551">
      <w:pPr>
        <w:pStyle w:val="ARbullet1"/>
      </w:pPr>
      <w:r w:rsidRPr="00657E8C">
        <w:t>fraud and corruption control</w:t>
      </w:r>
    </w:p>
    <w:p w14:paraId="1C717A19" w14:textId="77777777" w:rsidR="00F17551" w:rsidRPr="00657E8C" w:rsidRDefault="00F17551" w:rsidP="00F17551">
      <w:pPr>
        <w:pStyle w:val="ARbullet1"/>
      </w:pPr>
      <w:r w:rsidRPr="00657E8C">
        <w:t>legislative and policy compliance</w:t>
      </w:r>
    </w:p>
    <w:p w14:paraId="4865E527" w14:textId="77777777" w:rsidR="00F17551" w:rsidRPr="00657E8C" w:rsidRDefault="00F17551" w:rsidP="00F17551">
      <w:pPr>
        <w:pStyle w:val="ARbullet1"/>
      </w:pPr>
      <w:r w:rsidRPr="00657E8C">
        <w:t>internal audit</w:t>
      </w:r>
    </w:p>
    <w:p w14:paraId="0814DB5E" w14:textId="77777777" w:rsidR="00F17551" w:rsidRPr="00657E8C" w:rsidRDefault="00F17551" w:rsidP="00F17551">
      <w:pPr>
        <w:pStyle w:val="ARbullet1"/>
      </w:pPr>
      <w:r w:rsidRPr="00657E8C">
        <w:t>external audit.</w:t>
      </w:r>
    </w:p>
    <w:p w14:paraId="23306297" w14:textId="77777777" w:rsidR="00F17551" w:rsidRDefault="00F17551" w:rsidP="00F17551">
      <w:pPr>
        <w:pStyle w:val="ARbodyafterbullets"/>
      </w:pPr>
      <w:r w:rsidRPr="00657E8C">
        <w:t>The department has contracted PwC to undertake internal audit services in a co-sourced arrangement with the department’s Internal Audit Unit.</w:t>
      </w:r>
    </w:p>
    <w:p w14:paraId="1243129A" w14:textId="77777777" w:rsidR="00F9742F" w:rsidRPr="007939DD" w:rsidRDefault="00F9742F" w:rsidP="00F9742F">
      <w:pPr>
        <w:pStyle w:val="ARbodyafterbullets"/>
      </w:pPr>
    </w:p>
    <w:p w14:paraId="322D45F5" w14:textId="77777777" w:rsidR="00F972ED" w:rsidRPr="007939DD" w:rsidRDefault="00F972ED" w:rsidP="004B3C07">
      <w:pPr>
        <w:pStyle w:val="ARbody"/>
        <w:sectPr w:rsidR="00F972ED" w:rsidRPr="007939DD" w:rsidSect="001719E6">
          <w:headerReference w:type="even" r:id="rId106"/>
          <w:headerReference w:type="default" r:id="rId107"/>
          <w:footerReference w:type="even" r:id="rId108"/>
          <w:footerReference w:type="default" r:id="rId109"/>
          <w:pgSz w:w="11906" w:h="16838" w:code="9"/>
          <w:pgMar w:top="1985" w:right="851" w:bottom="851" w:left="1418" w:header="510" w:footer="340" w:gutter="0"/>
          <w:cols w:num="2" w:space="454"/>
          <w:docGrid w:linePitch="360"/>
        </w:sectPr>
      </w:pPr>
    </w:p>
    <w:p w14:paraId="0DE1A1B2" w14:textId="77777777" w:rsidR="00826414" w:rsidRPr="00F16145" w:rsidRDefault="00826414" w:rsidP="00F16145">
      <w:pPr>
        <w:pStyle w:val="ARbody"/>
      </w:pPr>
      <w:r w:rsidRPr="00F16145">
        <w:rPr>
          <w:noProof/>
        </w:rPr>
        <w:lastRenderedPageBreak/>
        <w:drawing>
          <wp:anchor distT="0" distB="0" distL="114300" distR="114300" simplePos="0" relativeHeight="251673600" behindDoc="1" locked="1" layoutInCell="1" allowOverlap="1" wp14:anchorId="7CCCA84C" wp14:editId="056758D0">
            <wp:simplePos x="0" y="0"/>
            <wp:positionH relativeFrom="page">
              <wp:posOffset>0</wp:posOffset>
            </wp:positionH>
            <wp:positionV relativeFrom="page">
              <wp:posOffset>0</wp:posOffset>
            </wp:positionV>
            <wp:extent cx="7563600" cy="10697400"/>
            <wp:effectExtent l="0" t="0" r="0" b="8890"/>
            <wp:wrapNone/>
            <wp:docPr id="294" name="Picture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1907417_DHHS Annual Report Full page BW.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63600" cy="10697400"/>
                    </a:xfrm>
                    <a:prstGeom prst="rect">
                      <a:avLst/>
                    </a:prstGeom>
                  </pic:spPr>
                </pic:pic>
              </a:graphicData>
            </a:graphic>
            <wp14:sizeRelH relativeFrom="page">
              <wp14:pctWidth>0</wp14:pctWidth>
            </wp14:sizeRelH>
            <wp14:sizeRelV relativeFrom="page">
              <wp14:pctHeight>0</wp14:pctHeight>
            </wp14:sizeRelV>
          </wp:anchor>
        </w:drawing>
      </w:r>
      <w:r w:rsidRPr="00F16145">
        <w:br w:type="page"/>
      </w:r>
    </w:p>
    <w:p w14:paraId="2404ED67" w14:textId="77777777" w:rsidR="00F972ED" w:rsidRPr="00657E8C" w:rsidRDefault="00E2542D" w:rsidP="00E2542D">
      <w:pPr>
        <w:pStyle w:val="Heading1"/>
      </w:pPr>
      <w:bookmarkStart w:id="123" w:name="_Toc21682722"/>
      <w:bookmarkStart w:id="124" w:name="_Ref21862448"/>
      <w:r w:rsidRPr="00657E8C">
        <w:rPr>
          <w:noProof/>
          <w:lang w:eastAsia="en-AU"/>
        </w:rPr>
        <w:lastRenderedPageBreak/>
        <w:drawing>
          <wp:anchor distT="0" distB="0" distL="114300" distR="114300" simplePos="0" relativeHeight="251651072" behindDoc="1" locked="1" layoutInCell="1" allowOverlap="1" wp14:anchorId="7DE7E283" wp14:editId="43E9C84E">
            <wp:simplePos x="0" y="0"/>
            <wp:positionH relativeFrom="page">
              <wp:align>right</wp:align>
            </wp:positionH>
            <wp:positionV relativeFrom="page">
              <wp:align>top</wp:align>
            </wp:positionV>
            <wp:extent cx="3132000" cy="2698920"/>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1907417_DHHS Annual Report Section start 87x75m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2000" cy="2698920"/>
                    </a:xfrm>
                    <a:prstGeom prst="rect">
                      <a:avLst/>
                    </a:prstGeom>
                  </pic:spPr>
                </pic:pic>
              </a:graphicData>
            </a:graphic>
            <wp14:sizeRelH relativeFrom="page">
              <wp14:pctWidth>0</wp14:pctWidth>
            </wp14:sizeRelH>
            <wp14:sizeRelV relativeFrom="page">
              <wp14:pctHeight>0</wp14:pctHeight>
            </wp14:sizeRelV>
          </wp:anchor>
        </w:drawing>
      </w:r>
      <w:r w:rsidR="00F972ED" w:rsidRPr="00657E8C">
        <w:t>People</w:t>
      </w:r>
      <w:bookmarkEnd w:id="123"/>
      <w:bookmarkEnd w:id="124"/>
    </w:p>
    <w:p w14:paraId="6C1443AF" w14:textId="77777777" w:rsidR="00F972ED" w:rsidRPr="00657E8C" w:rsidRDefault="00F972ED" w:rsidP="00E2542D">
      <w:pPr>
        <w:pStyle w:val="Heading1"/>
        <w:sectPr w:rsidR="00F972ED" w:rsidRPr="00657E8C" w:rsidSect="004B3C07">
          <w:pgSz w:w="11906" w:h="16838" w:code="9"/>
          <w:pgMar w:top="3771" w:right="851" w:bottom="851" w:left="1418" w:header="510" w:footer="340" w:gutter="0"/>
          <w:cols w:space="454"/>
          <w:docGrid w:linePitch="360"/>
        </w:sectPr>
      </w:pPr>
    </w:p>
    <w:p w14:paraId="60758469" w14:textId="77777777" w:rsidR="00D01E35" w:rsidRPr="00657E8C" w:rsidRDefault="00D01E35" w:rsidP="00D01E35">
      <w:pPr>
        <w:pStyle w:val="Heading2"/>
      </w:pPr>
      <w:bookmarkStart w:id="125" w:name="_Ref525208139"/>
      <w:r w:rsidRPr="00657E8C">
        <w:t>Public administration and employment principles</w:t>
      </w:r>
      <w:bookmarkEnd w:id="125"/>
    </w:p>
    <w:p w14:paraId="1765A975" w14:textId="77777777" w:rsidR="00D01E35" w:rsidRPr="00657E8C" w:rsidRDefault="00D01E35" w:rsidP="00D01E35">
      <w:pPr>
        <w:pStyle w:val="ARbody"/>
      </w:pPr>
      <w:bookmarkStart w:id="126" w:name="_Ref492894806"/>
      <w:r w:rsidRPr="00657E8C">
        <w:t xml:space="preserve">The department’s values align with public sector values as detailed in the </w:t>
      </w:r>
      <w:r w:rsidRPr="00657E8C">
        <w:rPr>
          <w:i/>
        </w:rPr>
        <w:t>Public Administration Act 2004</w:t>
      </w:r>
      <w:r w:rsidRPr="00657E8C">
        <w:t>,</w:t>
      </w:r>
      <w:r w:rsidRPr="00657E8C">
        <w:rPr>
          <w:i/>
        </w:rPr>
        <w:t xml:space="preserve"> </w:t>
      </w:r>
      <w:r w:rsidRPr="00657E8C">
        <w:t>and it is committed to applying merit and equity principles to all employment policies, programs and resources.</w:t>
      </w:r>
    </w:p>
    <w:p w14:paraId="3222A3E7" w14:textId="77777777" w:rsidR="00D01E35" w:rsidRPr="00657E8C" w:rsidRDefault="00D01E35" w:rsidP="00D01E35">
      <w:pPr>
        <w:pStyle w:val="Heading2"/>
      </w:pPr>
      <w:r w:rsidRPr="00657E8C">
        <w:t>Employment and conduct principles</w:t>
      </w:r>
      <w:bookmarkEnd w:id="126"/>
    </w:p>
    <w:p w14:paraId="75F6A9CF" w14:textId="77777777" w:rsidR="00D01E35" w:rsidRPr="00657E8C" w:rsidRDefault="00D01E35" w:rsidP="00D01E35">
      <w:pPr>
        <w:pStyle w:val="ARbody"/>
      </w:pPr>
      <w:r w:rsidRPr="00657E8C">
        <w:t xml:space="preserve">The department complies with the employment principles of the </w:t>
      </w:r>
      <w:r w:rsidRPr="00657E8C">
        <w:rPr>
          <w:i/>
        </w:rPr>
        <w:t>Public Administration Act 2004</w:t>
      </w:r>
      <w:r w:rsidRPr="00657E8C">
        <w:t xml:space="preserve"> and continually updates policies and procedures to advance these principles.</w:t>
      </w:r>
    </w:p>
    <w:p w14:paraId="12DD62B0" w14:textId="77777777" w:rsidR="00D01E35" w:rsidRPr="00657E8C" w:rsidRDefault="00D01E35" w:rsidP="00D01E35">
      <w:pPr>
        <w:pStyle w:val="ARbody"/>
      </w:pPr>
      <w:r w:rsidRPr="00657E8C">
        <w:t xml:space="preserve">The </w:t>
      </w:r>
      <w:r w:rsidRPr="00657E8C">
        <w:rPr>
          <w:i/>
        </w:rPr>
        <w:t>Public Administration Act 2004</w:t>
      </w:r>
      <w:r w:rsidRPr="00657E8C">
        <w:t xml:space="preserve"> also details a set of values that apply to the broader public sector – the department’s values are aligned with the public sector values and implemented throughout the department in many ways, including performance planning and employee recognition processes.</w:t>
      </w:r>
    </w:p>
    <w:p w14:paraId="521FB069" w14:textId="77777777" w:rsidR="00D01E35" w:rsidRPr="00657E8C" w:rsidRDefault="00D01E35" w:rsidP="00D01E35">
      <w:pPr>
        <w:pStyle w:val="Heading2"/>
      </w:pPr>
      <w:r w:rsidRPr="00657E8C">
        <w:t>Our people</w:t>
      </w:r>
    </w:p>
    <w:p w14:paraId="24BF8802" w14:textId="146C512D" w:rsidR="00D01E35" w:rsidRPr="00657E8C" w:rsidRDefault="00D01E35" w:rsidP="00D01E35">
      <w:pPr>
        <w:pStyle w:val="ARbody"/>
      </w:pPr>
      <w:r w:rsidRPr="00657E8C">
        <w:t>The department’s people work across a range of</w:t>
      </w:r>
      <w:r w:rsidR="00127E6F">
        <w:t> </w:t>
      </w:r>
      <w:r w:rsidRPr="00657E8C">
        <w:t>fields including aged care, mental health, public health and prevention, child protection, disability, and housing support. The corporate and executive support functions play an essential enabling role across human resources, communications, information technology, finance and business services.</w:t>
      </w:r>
    </w:p>
    <w:p w14:paraId="62D182BA" w14:textId="46F472A1" w:rsidR="00D01E35" w:rsidRPr="00657E8C" w:rsidRDefault="00D01E35" w:rsidP="00D01E35">
      <w:pPr>
        <w:pStyle w:val="ARbody"/>
      </w:pPr>
      <w:r w:rsidRPr="00657E8C">
        <w:t>The Department of Health and Human Services</w:t>
      </w:r>
      <w:r w:rsidR="00127E6F">
        <w:t> </w:t>
      </w:r>
      <w:r w:rsidRPr="00657E8C">
        <w:t>strategic plan sets out the directions and priorities for service delivery.</w:t>
      </w:r>
    </w:p>
    <w:p w14:paraId="1A90F6C9" w14:textId="77777777" w:rsidR="00D01E35" w:rsidRPr="00657E8C" w:rsidRDefault="00D01E35" w:rsidP="00D01E35">
      <w:pPr>
        <w:pStyle w:val="Heading3"/>
        <w:spacing w:before="0"/>
      </w:pPr>
      <w:r w:rsidRPr="00657E8C">
        <w:t>People strategy 2020</w:t>
      </w:r>
    </w:p>
    <w:p w14:paraId="46582EFF" w14:textId="6ACC0351" w:rsidR="00D01E35" w:rsidRPr="00657E8C" w:rsidRDefault="00D01E35" w:rsidP="00D01E35">
      <w:pPr>
        <w:pStyle w:val="ARbody"/>
      </w:pPr>
      <w:r w:rsidRPr="00657E8C">
        <w:t xml:space="preserve">The department’s </w:t>
      </w:r>
      <w:r w:rsidRPr="00657E8C">
        <w:rPr>
          <w:i/>
        </w:rPr>
        <w:t xml:space="preserve">People </w:t>
      </w:r>
      <w:r>
        <w:rPr>
          <w:i/>
        </w:rPr>
        <w:t>s</w:t>
      </w:r>
      <w:r w:rsidRPr="00657E8C">
        <w:rPr>
          <w:i/>
        </w:rPr>
        <w:t>trategy 2020</w:t>
      </w:r>
      <w:r w:rsidRPr="00657E8C">
        <w:t xml:space="preserve"> is a key</w:t>
      </w:r>
      <w:r w:rsidR="00127E6F">
        <w:t> </w:t>
      </w:r>
      <w:r w:rsidRPr="00657E8C">
        <w:t>driver to enable the delivery of services we provide to the community. The strategy aims to</w:t>
      </w:r>
      <w:r w:rsidR="00127E6F">
        <w:t> </w:t>
      </w:r>
      <w:r w:rsidRPr="00657E8C">
        <w:t>ensure that the values</w:t>
      </w:r>
      <w:r w:rsidR="00F50EF8">
        <w:t>,</w:t>
      </w:r>
      <w:r w:rsidRPr="00657E8C">
        <w:t xml:space="preserve"> culture and people initiatives of the department are clearly articulated and appropriate for the development</w:t>
      </w:r>
      <w:r w:rsidR="00127E6F">
        <w:t> </w:t>
      </w:r>
      <w:r w:rsidRPr="00657E8C">
        <w:t>of our workforce.</w:t>
      </w:r>
    </w:p>
    <w:p w14:paraId="400FCC65" w14:textId="77777777" w:rsidR="00D01E35" w:rsidRPr="00657E8C" w:rsidRDefault="00D01E35" w:rsidP="00D01E35">
      <w:pPr>
        <w:pStyle w:val="ARbody"/>
      </w:pPr>
      <w:r w:rsidRPr="00657E8C">
        <w:t xml:space="preserve">The </w:t>
      </w:r>
      <w:r w:rsidR="00F50EF8">
        <w:rPr>
          <w:i/>
          <w:iCs/>
        </w:rPr>
        <w:t>P</w:t>
      </w:r>
      <w:r w:rsidR="00F50EF8" w:rsidRPr="00627C92">
        <w:rPr>
          <w:i/>
          <w:iCs/>
        </w:rPr>
        <w:t xml:space="preserve">eople </w:t>
      </w:r>
      <w:r w:rsidRPr="00627C92">
        <w:rPr>
          <w:i/>
          <w:iCs/>
        </w:rPr>
        <w:t>strategy</w:t>
      </w:r>
      <w:r w:rsidRPr="00657E8C">
        <w:t xml:space="preserve"> is a three-year commitment </w:t>
      </w:r>
      <w:r>
        <w:t xml:space="preserve">to </w:t>
      </w:r>
      <w:r w:rsidRPr="00657E8C">
        <w:t>invest in developing and supporting our people</w:t>
      </w:r>
      <w:r>
        <w:t>.</w:t>
      </w:r>
      <w:r w:rsidRPr="00657E8C">
        <w:t xml:space="preserve"> </w:t>
      </w:r>
      <w:r>
        <w:t xml:space="preserve">It </w:t>
      </w:r>
      <w:r w:rsidRPr="00657E8C">
        <w:t>commenced in July 2017 and outlines five core themes:</w:t>
      </w:r>
    </w:p>
    <w:p w14:paraId="39211DC7" w14:textId="77777777" w:rsidR="00D01E35" w:rsidRPr="00657E8C" w:rsidRDefault="00D01E35" w:rsidP="00D01E35">
      <w:pPr>
        <w:pStyle w:val="ARbullet1"/>
        <w:numPr>
          <w:ilvl w:val="0"/>
          <w:numId w:val="1"/>
        </w:numPr>
        <w:ind w:left="360" w:hanging="360"/>
      </w:pPr>
      <w:r w:rsidRPr="00657E8C">
        <w:t>attract a diverse and high-performing workforce</w:t>
      </w:r>
    </w:p>
    <w:p w14:paraId="46802206" w14:textId="77777777" w:rsidR="00D01E35" w:rsidRPr="00657E8C" w:rsidRDefault="00D01E35" w:rsidP="00D01E35">
      <w:pPr>
        <w:pStyle w:val="ARbullet1"/>
        <w:numPr>
          <w:ilvl w:val="0"/>
          <w:numId w:val="1"/>
        </w:numPr>
        <w:ind w:left="360" w:hanging="360"/>
      </w:pPr>
      <w:r w:rsidRPr="00657E8C">
        <w:t>inspire and grow the department’s people</w:t>
      </w:r>
    </w:p>
    <w:p w14:paraId="3CA62C01" w14:textId="77777777" w:rsidR="00D01E35" w:rsidRPr="00657E8C" w:rsidRDefault="00D01E35" w:rsidP="00D01E35">
      <w:pPr>
        <w:pStyle w:val="ARbullet1"/>
        <w:numPr>
          <w:ilvl w:val="0"/>
          <w:numId w:val="1"/>
        </w:numPr>
        <w:ind w:left="360" w:hanging="360"/>
      </w:pPr>
      <w:r w:rsidRPr="00657E8C">
        <w:t>engage and retain the department’s people</w:t>
      </w:r>
    </w:p>
    <w:p w14:paraId="4DF2E473" w14:textId="77777777" w:rsidR="00D01E35" w:rsidRPr="00657E8C" w:rsidRDefault="00D01E35" w:rsidP="00D01E35">
      <w:pPr>
        <w:pStyle w:val="ARbullet1"/>
        <w:numPr>
          <w:ilvl w:val="0"/>
          <w:numId w:val="1"/>
        </w:numPr>
        <w:ind w:left="360" w:hanging="360"/>
      </w:pPr>
      <w:r w:rsidRPr="00657E8C">
        <w:t>purposeful leadership</w:t>
      </w:r>
    </w:p>
    <w:p w14:paraId="7A32F18E" w14:textId="77777777" w:rsidR="00D01E35" w:rsidRPr="00657E8C" w:rsidRDefault="00D01E35" w:rsidP="00D01E35">
      <w:pPr>
        <w:pStyle w:val="ARbullet1"/>
        <w:numPr>
          <w:ilvl w:val="0"/>
          <w:numId w:val="1"/>
        </w:numPr>
        <w:ind w:left="360" w:hanging="360"/>
      </w:pPr>
      <w:r w:rsidRPr="00657E8C">
        <w:t>create a great people experience.</w:t>
      </w:r>
    </w:p>
    <w:p w14:paraId="0F69D65D" w14:textId="77777777" w:rsidR="00D01E35" w:rsidRPr="00657E8C" w:rsidRDefault="00D01E35" w:rsidP="00D01E35">
      <w:pPr>
        <w:pStyle w:val="ARbodyafterbullets"/>
      </w:pPr>
      <w:r>
        <w:t>Highlights from</w:t>
      </w:r>
      <w:r w:rsidRPr="00657E8C">
        <w:t xml:space="preserve"> </w:t>
      </w:r>
      <w:r>
        <w:t>the second year</w:t>
      </w:r>
      <w:r w:rsidRPr="00657E8C">
        <w:t xml:space="preserve"> </w:t>
      </w:r>
      <w:r>
        <w:t>include</w:t>
      </w:r>
      <w:r w:rsidRPr="00657E8C">
        <w:t>:</w:t>
      </w:r>
    </w:p>
    <w:p w14:paraId="6A517856" w14:textId="77777777" w:rsidR="00D01E35" w:rsidRDefault="00D01E35" w:rsidP="00D01E35">
      <w:pPr>
        <w:pStyle w:val="ARbullet1"/>
      </w:pPr>
      <w:r>
        <w:t>d</w:t>
      </w:r>
      <w:r w:rsidRPr="00657E8C">
        <w:t>evelop</w:t>
      </w:r>
      <w:r>
        <w:t>ing</w:t>
      </w:r>
      <w:r w:rsidRPr="00657E8C">
        <w:t xml:space="preserve"> </w:t>
      </w:r>
      <w:r w:rsidRPr="00720524">
        <w:rPr>
          <w:i/>
          <w:iCs/>
        </w:rPr>
        <w:t xml:space="preserve">Gender </w:t>
      </w:r>
      <w:r>
        <w:rPr>
          <w:i/>
          <w:iCs/>
        </w:rPr>
        <w:t>e</w:t>
      </w:r>
      <w:r w:rsidRPr="00720524">
        <w:rPr>
          <w:i/>
          <w:iCs/>
        </w:rPr>
        <w:t xml:space="preserve">quality </w:t>
      </w:r>
      <w:r>
        <w:rPr>
          <w:i/>
          <w:iCs/>
        </w:rPr>
        <w:t>a</w:t>
      </w:r>
      <w:r w:rsidRPr="00720524">
        <w:rPr>
          <w:i/>
          <w:iCs/>
        </w:rPr>
        <w:t xml:space="preserve">ction </w:t>
      </w:r>
      <w:r>
        <w:rPr>
          <w:i/>
          <w:iCs/>
        </w:rPr>
        <w:t>p</w:t>
      </w:r>
      <w:r w:rsidRPr="00720524">
        <w:rPr>
          <w:i/>
          <w:iCs/>
        </w:rPr>
        <w:t>lan</w:t>
      </w:r>
    </w:p>
    <w:p w14:paraId="5282712E" w14:textId="77777777" w:rsidR="00D01E35" w:rsidRPr="00657E8C" w:rsidRDefault="00D01E35" w:rsidP="00D01E35">
      <w:pPr>
        <w:pStyle w:val="ARbullet1"/>
      </w:pPr>
      <w:r w:rsidRPr="00657E8C">
        <w:t>launch</w:t>
      </w:r>
      <w:r>
        <w:t>ing</w:t>
      </w:r>
      <w:r w:rsidRPr="00657E8C">
        <w:t xml:space="preserve"> </w:t>
      </w:r>
      <w:r w:rsidR="00F50EF8">
        <w:t xml:space="preserve">two </w:t>
      </w:r>
      <w:r w:rsidRPr="00657E8C">
        <w:t>diversity and inclusion strategies</w:t>
      </w:r>
      <w:r>
        <w:t xml:space="preserve"> – </w:t>
      </w:r>
      <w:r w:rsidRPr="00720524">
        <w:rPr>
          <w:i/>
          <w:iCs/>
        </w:rPr>
        <w:t xml:space="preserve">Disability </w:t>
      </w:r>
      <w:r>
        <w:rPr>
          <w:i/>
          <w:iCs/>
        </w:rPr>
        <w:t>e</w:t>
      </w:r>
      <w:r w:rsidRPr="00720524">
        <w:rPr>
          <w:i/>
          <w:iCs/>
        </w:rPr>
        <w:t xml:space="preserve">mployment </w:t>
      </w:r>
      <w:r>
        <w:rPr>
          <w:i/>
          <w:iCs/>
        </w:rPr>
        <w:t>s</w:t>
      </w:r>
      <w:r w:rsidRPr="00720524">
        <w:rPr>
          <w:i/>
          <w:iCs/>
        </w:rPr>
        <w:t>trategy</w:t>
      </w:r>
      <w:r w:rsidRPr="00657E8C">
        <w:t xml:space="preserve"> </w:t>
      </w:r>
      <w:r>
        <w:t>and</w:t>
      </w:r>
      <w:r w:rsidRPr="00657E8C">
        <w:t xml:space="preserve"> </w:t>
      </w:r>
      <w:r w:rsidRPr="00B4143F">
        <w:rPr>
          <w:i/>
        </w:rPr>
        <w:t xml:space="preserve">Aboriginal and Torres Strait Islander </w:t>
      </w:r>
      <w:r w:rsidRPr="00720524">
        <w:rPr>
          <w:i/>
          <w:iCs/>
        </w:rPr>
        <w:t xml:space="preserve">Cultural </w:t>
      </w:r>
      <w:r>
        <w:rPr>
          <w:i/>
          <w:iCs/>
        </w:rPr>
        <w:t>S</w:t>
      </w:r>
      <w:r w:rsidRPr="00720524">
        <w:rPr>
          <w:i/>
          <w:iCs/>
        </w:rPr>
        <w:t xml:space="preserve">afety </w:t>
      </w:r>
      <w:r>
        <w:rPr>
          <w:i/>
          <w:iCs/>
        </w:rPr>
        <w:t>F</w:t>
      </w:r>
      <w:r w:rsidRPr="00720524">
        <w:rPr>
          <w:i/>
          <w:iCs/>
        </w:rPr>
        <w:t>ramework</w:t>
      </w:r>
    </w:p>
    <w:p w14:paraId="713CC7CD" w14:textId="77777777" w:rsidR="00D01E35" w:rsidRPr="00657E8C" w:rsidRDefault="00D01E35" w:rsidP="00D01E35">
      <w:pPr>
        <w:pStyle w:val="ARbullet1"/>
      </w:pPr>
      <w:r>
        <w:t>developing c</w:t>
      </w:r>
      <w:r w:rsidRPr="00657E8C">
        <w:t>apability frameworks for child protection, disability and housing staff</w:t>
      </w:r>
    </w:p>
    <w:p w14:paraId="37E90F90" w14:textId="77777777" w:rsidR="008D124E" w:rsidRDefault="00D01E35" w:rsidP="00D01E35">
      <w:pPr>
        <w:pStyle w:val="ARbullet1"/>
      </w:pPr>
      <w:r>
        <w:t>delivering</w:t>
      </w:r>
      <w:r w:rsidRPr="00657E8C">
        <w:t xml:space="preserve"> the Leading with Respect people leader program to enhance leadership capability to create a positive workplace culture. The program has run 357 sessions this year over the five modules</w:t>
      </w:r>
    </w:p>
    <w:p w14:paraId="3649C90C" w14:textId="5C2CA5FF" w:rsidR="00D01E35" w:rsidRPr="00657E8C" w:rsidRDefault="00D01E35" w:rsidP="00D01E35">
      <w:pPr>
        <w:pStyle w:val="ARbullet1"/>
      </w:pPr>
      <w:r>
        <w:t>p</w:t>
      </w:r>
      <w:r w:rsidRPr="00657E8C">
        <w:t>ilot</w:t>
      </w:r>
      <w:r>
        <w:t>ing</w:t>
      </w:r>
      <w:r w:rsidRPr="00657E8C">
        <w:t xml:space="preserve"> a new system, OurPeople,</w:t>
      </w:r>
      <w:r>
        <w:t xml:space="preserve"> with</w:t>
      </w:r>
      <w:r w:rsidRPr="00657E8C">
        <w:t xml:space="preserve"> the first module focused on </w:t>
      </w:r>
      <w:r>
        <w:t>r</w:t>
      </w:r>
      <w:r w:rsidRPr="00657E8C">
        <w:t xml:space="preserve">ecruitment and </w:t>
      </w:r>
      <w:r>
        <w:t>o</w:t>
      </w:r>
      <w:r w:rsidRPr="00657E8C">
        <w:t>nboarding</w:t>
      </w:r>
    </w:p>
    <w:p w14:paraId="47B2B337" w14:textId="616E405F" w:rsidR="00D01E35" w:rsidRPr="00657E8C" w:rsidRDefault="00D01E35" w:rsidP="00D01E35">
      <w:pPr>
        <w:pStyle w:val="ARbullet1"/>
      </w:pPr>
      <w:r>
        <w:t>establishing</w:t>
      </w:r>
      <w:r w:rsidRPr="00657E8C">
        <w:t xml:space="preserve"> CareerPlus and Career Mobility</w:t>
      </w:r>
      <w:r w:rsidR="00127E6F">
        <w:t> </w:t>
      </w:r>
      <w:r w:rsidRPr="00657E8C">
        <w:t>Pool</w:t>
      </w:r>
    </w:p>
    <w:p w14:paraId="2D92275D" w14:textId="77777777" w:rsidR="00D01E35" w:rsidRPr="00657E8C" w:rsidRDefault="00D01E35" w:rsidP="00D01E35">
      <w:pPr>
        <w:pStyle w:val="ARbullet1"/>
      </w:pPr>
      <w:r>
        <w:lastRenderedPageBreak/>
        <w:t>e</w:t>
      </w:r>
      <w:r w:rsidRPr="00657E8C">
        <w:t>xpand</w:t>
      </w:r>
      <w:r>
        <w:t>ing the</w:t>
      </w:r>
      <w:r w:rsidRPr="00657E8C">
        <w:t xml:space="preserve"> suite of advanced leadership development programs to provide more opportunities for VPS</w:t>
      </w:r>
      <w:r w:rsidR="00F50EF8">
        <w:t> </w:t>
      </w:r>
      <w:r w:rsidRPr="00657E8C">
        <w:t>4 to VPS</w:t>
      </w:r>
      <w:r w:rsidR="00F50EF8">
        <w:t> </w:t>
      </w:r>
      <w:r w:rsidRPr="00657E8C">
        <w:t>6 staff.</w:t>
      </w:r>
    </w:p>
    <w:p w14:paraId="5AFCE137" w14:textId="77777777" w:rsidR="00D01E35" w:rsidRPr="00657E8C" w:rsidRDefault="00D01E35" w:rsidP="00D01E35">
      <w:pPr>
        <w:pStyle w:val="Heading3"/>
      </w:pPr>
      <w:r w:rsidRPr="00657E8C">
        <w:t>Recognising our employees</w:t>
      </w:r>
    </w:p>
    <w:p w14:paraId="3258F14B" w14:textId="77777777" w:rsidR="00D01E35" w:rsidRPr="00657E8C" w:rsidRDefault="00D01E35" w:rsidP="00D01E35">
      <w:pPr>
        <w:pStyle w:val="ARbody"/>
      </w:pPr>
      <w:r w:rsidRPr="00657E8C">
        <w:t>The department recognised its employees through its annual staff excellence awards, which acknowledged the achievements and significant work undertaken across the department.</w:t>
      </w:r>
    </w:p>
    <w:p w14:paraId="192D9CD2" w14:textId="77777777" w:rsidR="00D01E35" w:rsidRPr="00657E8C" w:rsidRDefault="00D01E35" w:rsidP="00D01E35">
      <w:pPr>
        <w:pStyle w:val="ARbody"/>
      </w:pPr>
      <w:r w:rsidRPr="00657E8C">
        <w:t>There were 213 nominations received and 36</w:t>
      </w:r>
      <w:r>
        <w:t> </w:t>
      </w:r>
      <w:r w:rsidRPr="00657E8C">
        <w:t>finalists shortlisted across six categories:</w:t>
      </w:r>
    </w:p>
    <w:p w14:paraId="05E5DE36" w14:textId="77777777" w:rsidR="00D01E35" w:rsidRPr="00657E8C" w:rsidRDefault="00D01E35" w:rsidP="00D01E35">
      <w:pPr>
        <w:pStyle w:val="ARbullet1"/>
        <w:numPr>
          <w:ilvl w:val="0"/>
          <w:numId w:val="1"/>
        </w:numPr>
      </w:pPr>
      <w:r w:rsidRPr="00657E8C">
        <w:t>Collaboration Award</w:t>
      </w:r>
    </w:p>
    <w:p w14:paraId="5E8A80C0" w14:textId="77777777" w:rsidR="00D01E35" w:rsidRPr="00657E8C" w:rsidRDefault="00D01E35" w:rsidP="00D01E35">
      <w:pPr>
        <w:pStyle w:val="ARbullet1"/>
        <w:numPr>
          <w:ilvl w:val="0"/>
          <w:numId w:val="1"/>
        </w:numPr>
      </w:pPr>
      <w:r w:rsidRPr="00657E8C">
        <w:t>Diversity and Inclusion Award</w:t>
      </w:r>
    </w:p>
    <w:p w14:paraId="027A3C5E" w14:textId="77777777" w:rsidR="00D01E35" w:rsidRPr="00657E8C" w:rsidRDefault="00D01E35" w:rsidP="00D01E35">
      <w:pPr>
        <w:pStyle w:val="ARbullet1"/>
        <w:numPr>
          <w:ilvl w:val="0"/>
          <w:numId w:val="1"/>
        </w:numPr>
      </w:pPr>
      <w:r w:rsidRPr="00657E8C">
        <w:t>Innovation Award</w:t>
      </w:r>
    </w:p>
    <w:p w14:paraId="266A83DE" w14:textId="77777777" w:rsidR="00D01E35" w:rsidRPr="00657E8C" w:rsidRDefault="00D01E35" w:rsidP="00D01E35">
      <w:pPr>
        <w:pStyle w:val="ARbullet1"/>
        <w:numPr>
          <w:ilvl w:val="0"/>
          <w:numId w:val="1"/>
        </w:numPr>
      </w:pPr>
      <w:r w:rsidRPr="00657E8C">
        <w:t>People Management Award</w:t>
      </w:r>
    </w:p>
    <w:p w14:paraId="5F51AB73" w14:textId="77777777" w:rsidR="00D01E35" w:rsidRPr="00657E8C" w:rsidRDefault="00D01E35" w:rsidP="00D01E35">
      <w:pPr>
        <w:pStyle w:val="ARbullet1"/>
        <w:numPr>
          <w:ilvl w:val="0"/>
          <w:numId w:val="1"/>
        </w:numPr>
      </w:pPr>
      <w:r w:rsidRPr="00657E8C">
        <w:t>Risk Management Award</w:t>
      </w:r>
    </w:p>
    <w:p w14:paraId="5B2B366A" w14:textId="77777777" w:rsidR="00D01E35" w:rsidRPr="00657E8C" w:rsidRDefault="00D01E35" w:rsidP="00D01E35">
      <w:pPr>
        <w:pStyle w:val="ARbullet1"/>
        <w:numPr>
          <w:ilvl w:val="0"/>
          <w:numId w:val="1"/>
        </w:numPr>
      </w:pPr>
      <w:r w:rsidRPr="00657E8C">
        <w:t>Service Excellence Award</w:t>
      </w:r>
    </w:p>
    <w:p w14:paraId="23D35FF8" w14:textId="77777777" w:rsidR="00D01E35" w:rsidRPr="00657E8C" w:rsidRDefault="00D01E35" w:rsidP="00D01E35">
      <w:pPr>
        <w:pStyle w:val="ARbullet1"/>
      </w:pPr>
      <w:r w:rsidRPr="00657E8C">
        <w:t>Young Achiever Award.</w:t>
      </w:r>
    </w:p>
    <w:p w14:paraId="7F15704D" w14:textId="77777777" w:rsidR="00D01E35" w:rsidRPr="00657E8C" w:rsidRDefault="00D01E35" w:rsidP="00D01E35">
      <w:pPr>
        <w:pStyle w:val="Heading3"/>
      </w:pPr>
      <w:r w:rsidRPr="00657E8C">
        <w:t>Building a stronger leadership culture</w:t>
      </w:r>
    </w:p>
    <w:p w14:paraId="7482378D" w14:textId="2AC99AAD" w:rsidR="00D01E35" w:rsidRPr="00657E8C" w:rsidRDefault="00D01E35" w:rsidP="00D01E35">
      <w:pPr>
        <w:pStyle w:val="ARbody"/>
      </w:pPr>
      <w:r w:rsidRPr="00657E8C">
        <w:t>The department continued to strengthen its</w:t>
      </w:r>
      <w:r w:rsidR="003C4A25">
        <w:t> </w:t>
      </w:r>
      <w:r w:rsidRPr="00657E8C">
        <w:t>leadership pipeline by:</w:t>
      </w:r>
    </w:p>
    <w:p w14:paraId="429A068C" w14:textId="09DD2051" w:rsidR="00D01E35" w:rsidRPr="00657E8C" w:rsidRDefault="00D01E35" w:rsidP="00D01E35">
      <w:pPr>
        <w:pStyle w:val="ARbullet1"/>
      </w:pPr>
      <w:r w:rsidRPr="00657E8C">
        <w:t>supporting 162 employees across all leadership levels to attend a broad range of</w:t>
      </w:r>
      <w:r w:rsidR="003C4A25">
        <w:t> </w:t>
      </w:r>
      <w:r w:rsidRPr="00657E8C">
        <w:t>intensive advanced leadership programs. These programs aim to broaden leadership skills</w:t>
      </w:r>
      <w:r>
        <w:t>,</w:t>
      </w:r>
      <w:r w:rsidRPr="00657E8C">
        <w:t xml:space="preserve"> as well as give employees exposure to</w:t>
      </w:r>
      <w:r w:rsidR="00127E6F">
        <w:t> </w:t>
      </w:r>
      <w:r w:rsidRPr="00657E8C">
        <w:t>peers from other organisations</w:t>
      </w:r>
      <w:r>
        <w:t>,</w:t>
      </w:r>
      <w:r w:rsidRPr="00657E8C">
        <w:t xml:space="preserve"> which strengthens networks and career mobility opportunities</w:t>
      </w:r>
    </w:p>
    <w:p w14:paraId="29F9F91C" w14:textId="77777777" w:rsidR="00D01E35" w:rsidRPr="00657E8C" w:rsidRDefault="00D01E35" w:rsidP="00D01E35">
      <w:pPr>
        <w:pStyle w:val="ARbullet1"/>
      </w:pPr>
      <w:r w:rsidRPr="00657E8C">
        <w:t>strengthening peer and experiential learning opportunities through structured mentoring opportunities across all levels of the department</w:t>
      </w:r>
    </w:p>
    <w:p w14:paraId="75D66F40" w14:textId="1C3497C3" w:rsidR="00D01E35" w:rsidRPr="00657E8C" w:rsidRDefault="00D01E35" w:rsidP="00D01E35">
      <w:pPr>
        <w:pStyle w:val="ARbullet1"/>
      </w:pPr>
      <w:r w:rsidRPr="00657E8C">
        <w:t>supporting VPS</w:t>
      </w:r>
      <w:r w:rsidR="00F50EF8">
        <w:t> </w:t>
      </w:r>
      <w:r w:rsidRPr="00657E8C">
        <w:t>6 employees to identify their</w:t>
      </w:r>
      <w:r w:rsidR="00127E6F">
        <w:t> </w:t>
      </w:r>
      <w:r w:rsidRPr="00657E8C">
        <w:t>career aspirations and opportunities for</w:t>
      </w:r>
      <w:r w:rsidR="00127E6F">
        <w:t> </w:t>
      </w:r>
      <w:r w:rsidRPr="00657E8C">
        <w:t>development through self-assessment and diagnostic feedback</w:t>
      </w:r>
    </w:p>
    <w:p w14:paraId="3E76E06A" w14:textId="54B3E501" w:rsidR="00D01E35" w:rsidRPr="00657E8C" w:rsidRDefault="00D01E35" w:rsidP="00D01E35">
      <w:pPr>
        <w:pStyle w:val="ARbullet1"/>
      </w:pPr>
      <w:r w:rsidRPr="00657E8C">
        <w:t>selecting 22 executives to participate in cross</w:t>
      </w:r>
      <w:r w:rsidR="00F50EF8">
        <w:t>-</w:t>
      </w:r>
      <w:r w:rsidRPr="00657E8C">
        <w:t>department leadership programs provided by the Victorian Leadership Academy. These programs are designed to</w:t>
      </w:r>
      <w:r w:rsidR="00127E6F">
        <w:t> </w:t>
      </w:r>
      <w:r w:rsidRPr="00657E8C">
        <w:t>build consistent leadership capability across the executive cohort</w:t>
      </w:r>
    </w:p>
    <w:p w14:paraId="718C0737" w14:textId="14652D0C" w:rsidR="00D01E35" w:rsidRPr="00657E8C" w:rsidRDefault="00127E6F" w:rsidP="00D01E35">
      <w:pPr>
        <w:pStyle w:val="ARbullet1"/>
      </w:pPr>
      <w:r>
        <w:br w:type="column"/>
      </w:r>
      <w:r w:rsidR="00D01E35" w:rsidRPr="00657E8C">
        <w:t>delivering a leadership program to support 24</w:t>
      </w:r>
      <w:r w:rsidR="00D01E35">
        <w:t> </w:t>
      </w:r>
      <w:r w:rsidR="00D01E35" w:rsidRPr="00657E8C">
        <w:t xml:space="preserve">executives </w:t>
      </w:r>
      <w:r w:rsidR="00D01E35">
        <w:t xml:space="preserve">who are new to </w:t>
      </w:r>
      <w:r w:rsidR="00D01E35" w:rsidRPr="00657E8C">
        <w:t>their roles</w:t>
      </w:r>
    </w:p>
    <w:p w14:paraId="23FDB87A" w14:textId="77777777" w:rsidR="00D01E35" w:rsidRPr="00657E8C" w:rsidRDefault="00D01E35" w:rsidP="00D01E35">
      <w:pPr>
        <w:pStyle w:val="ARbullet1"/>
      </w:pPr>
      <w:r w:rsidRPr="00657E8C">
        <w:t>providing networking opportunities for VPS</w:t>
      </w:r>
      <w:r w:rsidR="00F50EF8">
        <w:t> </w:t>
      </w:r>
      <w:r w:rsidRPr="00657E8C">
        <w:t>6 employees though structured meet-ups.</w:t>
      </w:r>
    </w:p>
    <w:p w14:paraId="579ADE96" w14:textId="77777777" w:rsidR="00D01E35" w:rsidRPr="00657E8C" w:rsidRDefault="00D01E35" w:rsidP="009D351A">
      <w:pPr>
        <w:pStyle w:val="Heading3"/>
      </w:pPr>
      <w:r w:rsidRPr="009D351A">
        <w:t>Capability</w:t>
      </w:r>
      <w:r w:rsidRPr="00657E8C">
        <w:t xml:space="preserve"> development</w:t>
      </w:r>
    </w:p>
    <w:p w14:paraId="6B59F828" w14:textId="5C9DCDC1" w:rsidR="00D01E35" w:rsidRPr="00657E8C" w:rsidRDefault="00D01E35" w:rsidP="00D01E35">
      <w:pPr>
        <w:pStyle w:val="ARbody"/>
      </w:pPr>
      <w:r w:rsidRPr="00657E8C">
        <w:t>Technology continues to shape the department’s learning and development approaches, with 18 new online programs added to the Learning Management System. All</w:t>
      </w:r>
      <w:r w:rsidR="00127E6F">
        <w:t> </w:t>
      </w:r>
      <w:r w:rsidRPr="00657E8C">
        <w:t>of these new programs were designed to</w:t>
      </w:r>
      <w:r w:rsidR="00127E6F">
        <w:t> </w:t>
      </w:r>
      <w:r w:rsidRPr="00657E8C">
        <w:t>support compliance and/or client service capability development in staff across the state.</w:t>
      </w:r>
    </w:p>
    <w:p w14:paraId="7592044C" w14:textId="60222DD5" w:rsidR="00D01E35" w:rsidRPr="00657E8C" w:rsidRDefault="00D01E35" w:rsidP="00D01E35">
      <w:pPr>
        <w:pStyle w:val="ARbody"/>
      </w:pPr>
      <w:r w:rsidRPr="00657E8C">
        <w:t>The department’s activities to develop and grow</w:t>
      </w:r>
      <w:r w:rsidR="00127E6F">
        <w:t> </w:t>
      </w:r>
      <w:r w:rsidRPr="00657E8C">
        <w:t>capability were focused on:</w:t>
      </w:r>
    </w:p>
    <w:p w14:paraId="7DBBDBDB" w14:textId="7D618967" w:rsidR="00D01E35" w:rsidRPr="00657E8C" w:rsidRDefault="00D01E35" w:rsidP="00D01E35">
      <w:pPr>
        <w:pStyle w:val="ARbullet1"/>
      </w:pPr>
      <w:r w:rsidRPr="00657E8C">
        <w:t>working with child protection</w:t>
      </w:r>
      <w:r>
        <w:t>,</w:t>
      </w:r>
      <w:r w:rsidRPr="00657E8C">
        <w:t xml:space="preserve"> disability, and</w:t>
      </w:r>
      <w:r w:rsidR="00127E6F">
        <w:t> </w:t>
      </w:r>
      <w:r w:rsidRPr="00657E8C">
        <w:t>housing clients</w:t>
      </w:r>
    </w:p>
    <w:p w14:paraId="2AEE5154" w14:textId="77777777" w:rsidR="00D01E35" w:rsidRPr="00657E8C" w:rsidRDefault="00D01E35" w:rsidP="00D01E35">
      <w:pPr>
        <w:pStyle w:val="ARbullet1"/>
      </w:pPr>
      <w:r w:rsidRPr="00657E8C">
        <w:t>compliance and business applications</w:t>
      </w:r>
    </w:p>
    <w:p w14:paraId="13B2C53B" w14:textId="77777777" w:rsidR="00D01E35" w:rsidRPr="00657E8C" w:rsidRDefault="00D01E35" w:rsidP="00D01E35">
      <w:pPr>
        <w:pStyle w:val="ARbullet1"/>
      </w:pPr>
      <w:r w:rsidRPr="00657E8C">
        <w:t>core ‘working in government’ areas</w:t>
      </w:r>
    </w:p>
    <w:p w14:paraId="4C45275F" w14:textId="77777777" w:rsidR="00D01E35" w:rsidRPr="00657E8C" w:rsidRDefault="00D01E35" w:rsidP="00D01E35">
      <w:pPr>
        <w:pStyle w:val="ARbullet1"/>
      </w:pPr>
      <w:r w:rsidRPr="00657E8C">
        <w:t>leadership and management</w:t>
      </w:r>
    </w:p>
    <w:p w14:paraId="14045788" w14:textId="77777777" w:rsidR="00D01E35" w:rsidRPr="00657E8C" w:rsidRDefault="00D01E35" w:rsidP="00D01E35">
      <w:pPr>
        <w:pStyle w:val="ARbullet1"/>
      </w:pPr>
      <w:r w:rsidRPr="00657E8C">
        <w:t>diversity, including Aboriginal cultural competence.</w:t>
      </w:r>
    </w:p>
    <w:p w14:paraId="059EC517" w14:textId="77777777" w:rsidR="00D01E35" w:rsidRPr="00657E8C" w:rsidRDefault="00D01E35" w:rsidP="00D01E35">
      <w:pPr>
        <w:pStyle w:val="ARbodyafterbullets"/>
      </w:pPr>
      <w:r w:rsidRPr="00657E8C">
        <w:t xml:space="preserve">The department focused </w:t>
      </w:r>
      <w:r>
        <w:t>on</w:t>
      </w:r>
      <w:r w:rsidRPr="00657E8C">
        <w:t xml:space="preserve"> support</w:t>
      </w:r>
      <w:r>
        <w:t>ing</w:t>
      </w:r>
      <w:r w:rsidRPr="00657E8C">
        <w:t xml:space="preserve"> the learning and development of its frontline workforce. This includes:</w:t>
      </w:r>
    </w:p>
    <w:p w14:paraId="36FBBE2D" w14:textId="77CC1A59" w:rsidR="00D01E35" w:rsidRPr="00657E8C" w:rsidRDefault="00D01E35" w:rsidP="00D01E35">
      <w:pPr>
        <w:pStyle w:val="ARbullet1"/>
      </w:pPr>
      <w:r w:rsidRPr="00657E8C">
        <w:t>the implementation work underway for the</w:t>
      </w:r>
      <w:r w:rsidR="00127E6F">
        <w:t> </w:t>
      </w:r>
      <w:r w:rsidRPr="00627C92">
        <w:rPr>
          <w:i/>
          <w:iCs/>
        </w:rPr>
        <w:t xml:space="preserve">Child </w:t>
      </w:r>
      <w:r>
        <w:rPr>
          <w:i/>
          <w:iCs/>
        </w:rPr>
        <w:t>p</w:t>
      </w:r>
      <w:r w:rsidRPr="00627C92">
        <w:rPr>
          <w:i/>
          <w:iCs/>
        </w:rPr>
        <w:t xml:space="preserve">rotection </w:t>
      </w:r>
      <w:r>
        <w:rPr>
          <w:i/>
          <w:iCs/>
        </w:rPr>
        <w:t>w</w:t>
      </w:r>
      <w:r w:rsidRPr="00627C92">
        <w:rPr>
          <w:i/>
          <w:iCs/>
        </w:rPr>
        <w:t xml:space="preserve">orkforce </w:t>
      </w:r>
      <w:r>
        <w:rPr>
          <w:i/>
          <w:iCs/>
        </w:rPr>
        <w:t>s</w:t>
      </w:r>
      <w:r w:rsidRPr="00627C92">
        <w:rPr>
          <w:i/>
          <w:iCs/>
        </w:rPr>
        <w:t>trategy</w:t>
      </w:r>
      <w:r>
        <w:rPr>
          <w:i/>
          <w:iCs/>
        </w:rPr>
        <w:t xml:space="preserve"> </w:t>
      </w:r>
      <w:r w:rsidR="00127E6F">
        <w:rPr>
          <w:i/>
          <w:iCs/>
        </w:rPr>
        <w:br/>
      </w:r>
      <w:r>
        <w:rPr>
          <w:i/>
          <w:iCs/>
        </w:rPr>
        <w:t>2017–2020</w:t>
      </w:r>
    </w:p>
    <w:p w14:paraId="72BB8E60" w14:textId="77777777" w:rsidR="00D01E35" w:rsidRPr="00657E8C" w:rsidRDefault="00D01E35" w:rsidP="00D01E35">
      <w:pPr>
        <w:pStyle w:val="ARbullet1"/>
      </w:pPr>
      <w:r w:rsidRPr="00657E8C">
        <w:t>implementation of the Child Protection Learning and Development Review</w:t>
      </w:r>
    </w:p>
    <w:p w14:paraId="39998B1C" w14:textId="77777777" w:rsidR="008D124E" w:rsidRDefault="00D01E35" w:rsidP="00D01E35">
      <w:pPr>
        <w:pStyle w:val="ARbullet1"/>
      </w:pPr>
      <w:r w:rsidRPr="00657E8C">
        <w:t>learning strategies to support transfer of disability accommodation and transition to the National Disability Insurance Scheme</w:t>
      </w:r>
    </w:p>
    <w:p w14:paraId="00B3E9B6" w14:textId="0306DEAF" w:rsidR="00D01E35" w:rsidRPr="00657E8C" w:rsidRDefault="00D01E35" w:rsidP="00D01E35">
      <w:pPr>
        <w:pStyle w:val="ARbullet1"/>
      </w:pPr>
      <w:r w:rsidRPr="00657E8C">
        <w:t xml:space="preserve">development of the </w:t>
      </w:r>
      <w:r w:rsidRPr="00B0463E">
        <w:rPr>
          <w:i/>
          <w:iCs/>
        </w:rPr>
        <w:t xml:space="preserve">Housing </w:t>
      </w:r>
      <w:r w:rsidR="00F50EF8" w:rsidRPr="00F50EF8">
        <w:rPr>
          <w:i/>
          <w:iCs/>
        </w:rPr>
        <w:t>practice capability framework</w:t>
      </w:r>
      <w:r w:rsidRPr="00657E8C">
        <w:t>.</w:t>
      </w:r>
    </w:p>
    <w:p w14:paraId="111997A1" w14:textId="77777777" w:rsidR="00D01E35" w:rsidRPr="00657E8C" w:rsidRDefault="00D01E35" w:rsidP="00D01E35">
      <w:pPr>
        <w:pStyle w:val="ARbodyafterbullets"/>
      </w:pPr>
      <w:r w:rsidRPr="00657E8C">
        <w:t>This work has strengthened the department’s focus on building capabilities to enable better support for children and families.</w:t>
      </w:r>
    </w:p>
    <w:p w14:paraId="1DDAAAEC" w14:textId="77777777" w:rsidR="00D01E35" w:rsidRPr="00657E8C" w:rsidRDefault="00D01E35" w:rsidP="00D01E35">
      <w:pPr>
        <w:pStyle w:val="ARbody"/>
      </w:pPr>
      <w:r w:rsidRPr="00657E8C">
        <w:t xml:space="preserve">These efforts helped staff and leaders to respond to change arising from the National Disability Insurance Scheme recommendations outlined in the Royal Commission into Family Violence, </w:t>
      </w:r>
      <w:r w:rsidR="00F50EF8">
        <w:t xml:space="preserve">the </w:t>
      </w:r>
      <w:r w:rsidRPr="00657E8C">
        <w:t xml:space="preserve">Royal Commission into Abuse in Institutional Care, </w:t>
      </w:r>
      <w:r w:rsidR="00F50EF8">
        <w:t xml:space="preserve">the </w:t>
      </w:r>
      <w:r w:rsidRPr="00657E8C">
        <w:t>Parliamentary Inquiry into Abuse in Disability Services</w:t>
      </w:r>
      <w:r>
        <w:t xml:space="preserve">, </w:t>
      </w:r>
      <w:r w:rsidRPr="00657E8C">
        <w:t>and other internal and external enquiries.</w:t>
      </w:r>
    </w:p>
    <w:p w14:paraId="68DBDDE3" w14:textId="77777777" w:rsidR="00D01E35" w:rsidRPr="00657E8C" w:rsidRDefault="00D01E35" w:rsidP="00D01E35">
      <w:pPr>
        <w:pStyle w:val="ARbody"/>
      </w:pPr>
      <w:r w:rsidRPr="00657E8C">
        <w:br w:type="page"/>
      </w:r>
    </w:p>
    <w:p w14:paraId="55DC2DDC" w14:textId="5BF4A0E1" w:rsidR="00D01E35" w:rsidRPr="00657E8C" w:rsidRDefault="00D01E35" w:rsidP="00D01E35">
      <w:pPr>
        <w:pStyle w:val="Heading3"/>
      </w:pPr>
      <w:r w:rsidRPr="00657E8C">
        <w:lastRenderedPageBreak/>
        <w:t>Child protection workforce</w:t>
      </w:r>
      <w:r w:rsidR="00127E6F">
        <w:t> </w:t>
      </w:r>
      <w:r w:rsidRPr="00657E8C">
        <w:t>strategy</w:t>
      </w:r>
    </w:p>
    <w:p w14:paraId="7AD831BA" w14:textId="4F73F087" w:rsidR="00D01E35" w:rsidRPr="00657E8C" w:rsidRDefault="00D01E35" w:rsidP="00D01E35">
      <w:pPr>
        <w:pStyle w:val="ARbody"/>
        <w:rPr>
          <w:lang w:eastAsia="en-AU"/>
        </w:rPr>
      </w:pPr>
      <w:r w:rsidRPr="00657E8C">
        <w:rPr>
          <w:lang w:eastAsia="en-AU"/>
        </w:rPr>
        <w:t xml:space="preserve">The </w:t>
      </w:r>
      <w:r w:rsidRPr="00657E8C">
        <w:rPr>
          <w:i/>
          <w:lang w:eastAsia="en-AU"/>
        </w:rPr>
        <w:t xml:space="preserve">Child </w:t>
      </w:r>
      <w:r>
        <w:rPr>
          <w:i/>
          <w:lang w:eastAsia="en-AU"/>
        </w:rPr>
        <w:t>p</w:t>
      </w:r>
      <w:r w:rsidRPr="00657E8C">
        <w:rPr>
          <w:i/>
          <w:lang w:eastAsia="en-AU"/>
        </w:rPr>
        <w:t xml:space="preserve">rotection </w:t>
      </w:r>
      <w:r>
        <w:rPr>
          <w:i/>
          <w:lang w:eastAsia="en-AU"/>
        </w:rPr>
        <w:t>w</w:t>
      </w:r>
      <w:r w:rsidRPr="00657E8C">
        <w:rPr>
          <w:i/>
          <w:lang w:eastAsia="en-AU"/>
        </w:rPr>
        <w:t xml:space="preserve">orkforce </w:t>
      </w:r>
      <w:r>
        <w:rPr>
          <w:i/>
          <w:lang w:eastAsia="en-AU"/>
        </w:rPr>
        <w:t>s</w:t>
      </w:r>
      <w:r w:rsidRPr="00657E8C">
        <w:rPr>
          <w:i/>
          <w:lang w:eastAsia="en-AU"/>
        </w:rPr>
        <w:t xml:space="preserve">trategy </w:t>
      </w:r>
      <w:r w:rsidR="00127E6F">
        <w:rPr>
          <w:i/>
          <w:lang w:eastAsia="en-AU"/>
        </w:rPr>
        <w:br/>
      </w:r>
      <w:r w:rsidRPr="00657E8C">
        <w:rPr>
          <w:i/>
          <w:lang w:eastAsia="en-AU"/>
        </w:rPr>
        <w:t>2017–2020</w:t>
      </w:r>
      <w:r>
        <w:rPr>
          <w:iCs/>
          <w:lang w:eastAsia="en-AU"/>
        </w:rPr>
        <w:t>,</w:t>
      </w:r>
      <w:r w:rsidRPr="00657E8C">
        <w:rPr>
          <w:lang w:eastAsia="en-AU"/>
        </w:rPr>
        <w:t xml:space="preserve"> launched in December 2017, was developed to build and sustain the expertise, wellbeing and professional identity of the child protection workforce to meet the future needs of</w:t>
      </w:r>
      <w:r w:rsidR="00127E6F">
        <w:rPr>
          <w:lang w:eastAsia="en-AU"/>
        </w:rPr>
        <w:t> </w:t>
      </w:r>
      <w:r w:rsidRPr="00657E8C">
        <w:rPr>
          <w:lang w:eastAsia="en-AU"/>
        </w:rPr>
        <w:t xml:space="preserve">the community. The strategy is dynamic and reviewed on an ongoing basis to support the current and future workforce </w:t>
      </w:r>
      <w:r w:rsidRPr="009E4510">
        <w:rPr>
          <w:lang w:eastAsia="en-AU"/>
        </w:rPr>
        <w:t xml:space="preserve">and </w:t>
      </w:r>
      <w:r w:rsidR="00F50EF8" w:rsidRPr="009E4510">
        <w:rPr>
          <w:lang w:eastAsia="en-AU"/>
        </w:rPr>
        <w:t>c</w:t>
      </w:r>
      <w:r w:rsidRPr="009E4510">
        <w:rPr>
          <w:lang w:eastAsia="en-AU"/>
        </w:rPr>
        <w:t xml:space="preserve">hild </w:t>
      </w:r>
      <w:r w:rsidR="00F50EF8" w:rsidRPr="009E4510">
        <w:rPr>
          <w:lang w:eastAsia="en-AU"/>
        </w:rPr>
        <w:t>protection operating model</w:t>
      </w:r>
      <w:r w:rsidRPr="009E4510">
        <w:rPr>
          <w:lang w:eastAsia="en-AU"/>
        </w:rPr>
        <w:t>.</w:t>
      </w:r>
    </w:p>
    <w:p w14:paraId="52F8A07C" w14:textId="77777777" w:rsidR="00D01E35" w:rsidRPr="00657E8C" w:rsidRDefault="00D01E35" w:rsidP="00D01E35">
      <w:pPr>
        <w:pStyle w:val="ARbody"/>
        <w:rPr>
          <w:lang w:eastAsia="en-AU"/>
        </w:rPr>
      </w:pPr>
      <w:r w:rsidRPr="00657E8C">
        <w:rPr>
          <w:lang w:eastAsia="en-AU"/>
        </w:rPr>
        <w:t>The strategy has five major priorities:</w:t>
      </w:r>
    </w:p>
    <w:p w14:paraId="27318EE3" w14:textId="77777777" w:rsidR="00D01E35" w:rsidRPr="00C24D2F" w:rsidRDefault="00D01E35" w:rsidP="00D01E35">
      <w:pPr>
        <w:pStyle w:val="ARbullet1"/>
      </w:pPr>
      <w:r>
        <w:t>a</w:t>
      </w:r>
      <w:r w:rsidRPr="00C24D2F">
        <w:t xml:space="preserve">ttracting and </w:t>
      </w:r>
      <w:r>
        <w:t>r</w:t>
      </w:r>
      <w:r w:rsidRPr="00C24D2F">
        <w:t>ecruiting the best people</w:t>
      </w:r>
    </w:p>
    <w:p w14:paraId="33436C23" w14:textId="77777777" w:rsidR="00D01E35" w:rsidRPr="00C24D2F" w:rsidRDefault="00D01E35" w:rsidP="00D01E35">
      <w:pPr>
        <w:pStyle w:val="ARbullet1"/>
      </w:pPr>
      <w:r>
        <w:t>b</w:t>
      </w:r>
      <w:r w:rsidRPr="00C24D2F">
        <w:t>uilding a professional identity</w:t>
      </w:r>
    </w:p>
    <w:p w14:paraId="3C98541B" w14:textId="77777777" w:rsidR="00D01E35" w:rsidRPr="00C24D2F" w:rsidRDefault="00D01E35" w:rsidP="00D01E35">
      <w:pPr>
        <w:pStyle w:val="ARbullet1"/>
      </w:pPr>
      <w:r>
        <w:t>g</w:t>
      </w:r>
      <w:r w:rsidRPr="00C24D2F">
        <w:t>rowing and development our people</w:t>
      </w:r>
    </w:p>
    <w:p w14:paraId="3ADF5E09" w14:textId="77777777" w:rsidR="00D01E35" w:rsidRPr="00C24D2F" w:rsidRDefault="00D01E35" w:rsidP="00D01E35">
      <w:pPr>
        <w:pStyle w:val="ARbullet1"/>
      </w:pPr>
      <w:r>
        <w:t>e</w:t>
      </w:r>
      <w:r w:rsidRPr="00C24D2F">
        <w:t>ngaging and retaining our people</w:t>
      </w:r>
    </w:p>
    <w:p w14:paraId="26274B06" w14:textId="77777777" w:rsidR="00D01E35" w:rsidRPr="00C24D2F" w:rsidRDefault="00D01E35" w:rsidP="00D01E35">
      <w:pPr>
        <w:pStyle w:val="ARbullet1"/>
      </w:pPr>
      <w:r>
        <w:t>h</w:t>
      </w:r>
      <w:r w:rsidRPr="00C24D2F">
        <w:t xml:space="preserve">ealth, </w:t>
      </w:r>
      <w:r>
        <w:t>s</w:t>
      </w:r>
      <w:r w:rsidRPr="00C24D2F">
        <w:t xml:space="preserve">afety and </w:t>
      </w:r>
      <w:r>
        <w:t>w</w:t>
      </w:r>
      <w:r w:rsidRPr="00C24D2F">
        <w:t>ellbeing</w:t>
      </w:r>
      <w:r w:rsidR="00F50EF8">
        <w:t>.</w:t>
      </w:r>
    </w:p>
    <w:p w14:paraId="4C75F128" w14:textId="77777777" w:rsidR="00D01E35" w:rsidRDefault="00D01E35" w:rsidP="00D01E35">
      <w:pPr>
        <w:pStyle w:val="ARbodyafterbullets"/>
        <w:rPr>
          <w:color w:val="004C97" w:themeColor="accent1"/>
          <w:lang w:eastAsia="en-AU"/>
        </w:rPr>
      </w:pPr>
      <w:r w:rsidRPr="00657E8C">
        <w:rPr>
          <w:lang w:eastAsia="en-AU"/>
        </w:rPr>
        <w:t xml:space="preserve">The </w:t>
      </w:r>
      <w:r>
        <w:rPr>
          <w:lang w:eastAsia="en-AU"/>
        </w:rPr>
        <w:t>s</w:t>
      </w:r>
      <w:r w:rsidRPr="00657E8C">
        <w:rPr>
          <w:lang w:eastAsia="en-AU"/>
        </w:rPr>
        <w:t>trategy provides a consistent vision for</w:t>
      </w:r>
      <w:r w:rsidR="00F50EF8">
        <w:rPr>
          <w:lang w:eastAsia="en-AU"/>
        </w:rPr>
        <w:t xml:space="preserve"> the</w:t>
      </w:r>
      <w:r w:rsidRPr="00657E8C">
        <w:rPr>
          <w:lang w:eastAsia="en-AU"/>
        </w:rPr>
        <w:t xml:space="preserve"> growth and development of the </w:t>
      </w:r>
      <w:r>
        <w:rPr>
          <w:lang w:eastAsia="en-AU"/>
        </w:rPr>
        <w:t>c</w:t>
      </w:r>
      <w:r w:rsidRPr="00657E8C">
        <w:rPr>
          <w:lang w:eastAsia="en-AU"/>
        </w:rPr>
        <w:t xml:space="preserve">hild </w:t>
      </w:r>
      <w:r>
        <w:rPr>
          <w:lang w:eastAsia="en-AU"/>
        </w:rPr>
        <w:t>p</w:t>
      </w:r>
      <w:r w:rsidRPr="00657E8C">
        <w:rPr>
          <w:lang w:eastAsia="en-AU"/>
        </w:rPr>
        <w:t>rotection workforce</w:t>
      </w:r>
      <w:r w:rsidRPr="00657E8C">
        <w:rPr>
          <w:color w:val="004C97" w:themeColor="accent1"/>
          <w:lang w:eastAsia="en-AU"/>
        </w:rPr>
        <w:t>.</w:t>
      </w:r>
    </w:p>
    <w:p w14:paraId="63B16C69" w14:textId="6AFA9168" w:rsidR="00FA4945" w:rsidRDefault="00FA4945" w:rsidP="00FA4945">
      <w:pPr>
        <w:pStyle w:val="Heading3"/>
      </w:pPr>
      <w:r>
        <w:t>Child protection’s attraction and</w:t>
      </w:r>
      <w:r w:rsidR="00127E6F">
        <w:t> </w:t>
      </w:r>
      <w:r>
        <w:t>recruitment campaign</w:t>
      </w:r>
    </w:p>
    <w:p w14:paraId="2898F307" w14:textId="77777777" w:rsidR="00FA4945" w:rsidRDefault="00FA4945" w:rsidP="00FA4945">
      <w:pPr>
        <w:pStyle w:val="ARbodyafterbullets"/>
      </w:pPr>
      <w:r>
        <w:t>While our training and support for child protection practitioners is key, we also focused on attraction and recruitment practices. The department is creating new, innovative entry pathways to the profession and delivering more strategic and targeted attraction initiatives in order to undertake more efficient and effective recruitment of child protection practitioners.</w:t>
      </w:r>
    </w:p>
    <w:p w14:paraId="0EB02930" w14:textId="52CCCF79" w:rsidR="00706A65" w:rsidRPr="00167691" w:rsidRDefault="00706A65" w:rsidP="00706A65">
      <w:pPr>
        <w:pStyle w:val="ARbodyafterbullets"/>
      </w:pPr>
      <w:r>
        <w:t xml:space="preserve">The launch of the new Child Protection Jobs website resulted in 87,000 visits to the website, 152,729 website views and the completion of </w:t>
      </w:r>
      <w:r w:rsidR="00F50EF8">
        <w:t xml:space="preserve">more than </w:t>
      </w:r>
      <w:r>
        <w:t xml:space="preserve">3,230 applications in the first </w:t>
      </w:r>
      <w:r w:rsidR="00F50EF8">
        <w:t xml:space="preserve">six </w:t>
      </w:r>
      <w:r>
        <w:t>months of the launch. This enabled us to ensure that the department has achieved its target FTE</w:t>
      </w:r>
      <w:r w:rsidR="00167691">
        <w:t>, in</w:t>
      </w:r>
      <w:r w:rsidR="00167691" w:rsidRPr="00167691">
        <w:t xml:space="preserve">cluding, recruitment of </w:t>
      </w:r>
      <w:r w:rsidRPr="00167691">
        <w:t xml:space="preserve">611 </w:t>
      </w:r>
      <w:r w:rsidR="00167691" w:rsidRPr="00167691">
        <w:t>CPP</w:t>
      </w:r>
      <w:r w:rsidR="00F50EF8">
        <w:t> </w:t>
      </w:r>
      <w:r w:rsidR="00167691" w:rsidRPr="00167691">
        <w:t>3 and 600</w:t>
      </w:r>
      <w:r w:rsidRPr="00167691">
        <w:t xml:space="preserve"> </w:t>
      </w:r>
      <w:r w:rsidR="00167691" w:rsidRPr="00167691">
        <w:t>CPP</w:t>
      </w:r>
      <w:r w:rsidR="00F50EF8">
        <w:t> </w:t>
      </w:r>
      <w:r w:rsidR="00167691" w:rsidRPr="00167691">
        <w:t xml:space="preserve">4 </w:t>
      </w:r>
      <w:r w:rsidRPr="00167691">
        <w:t>practitioners</w:t>
      </w:r>
      <w:r w:rsidR="00167691" w:rsidRPr="00167691">
        <w:t>.</w:t>
      </w:r>
    </w:p>
    <w:p w14:paraId="3F84D9AD" w14:textId="4FD55465" w:rsidR="008D124E" w:rsidRDefault="00FA4945" w:rsidP="00FA4945">
      <w:pPr>
        <w:pStyle w:val="ARbodyafterbullets"/>
      </w:pPr>
      <w:r>
        <w:t>Turnover rates reduced by 2 percentage points and the median case load for child protection practitioners reduced from 17 in January 2018 to</w:t>
      </w:r>
      <w:r w:rsidR="00127E6F">
        <w:t> </w:t>
      </w:r>
      <w:r>
        <w:t>15 in April 2019.</w:t>
      </w:r>
    </w:p>
    <w:p w14:paraId="16605EF2" w14:textId="5236E278" w:rsidR="00FA4945" w:rsidRDefault="00FA4945" w:rsidP="00FA4945">
      <w:pPr>
        <w:pStyle w:val="ARbodyafterbullets"/>
      </w:pPr>
      <w:r>
        <w:t xml:space="preserve">Importantly, the recruitment initiatives attracted more child protection practitioners who identify as Aboriginal or Torres Strait Islander. As of April 2019, 2.6 per cent of child protection practitioners identify as Aboriginal or Torres </w:t>
      </w:r>
      <w:r>
        <w:t>Strait Islander, exceeding the 2 per cent target</w:t>
      </w:r>
      <w:r w:rsidR="00177F44">
        <w:t> </w:t>
      </w:r>
      <w:r>
        <w:t>outlined in the department’s Aboriginal employment strategy.</w:t>
      </w:r>
    </w:p>
    <w:p w14:paraId="0A27232A" w14:textId="19631C62" w:rsidR="00FA4945" w:rsidRPr="00657E8C" w:rsidRDefault="00FA4945" w:rsidP="00FA4945">
      <w:pPr>
        <w:pStyle w:val="ARbodyafterbullets"/>
      </w:pPr>
      <w:r>
        <w:t>The efficacy of the child protection attraction and recruitment campaign, and associated website also attracted external accolades. The project was awarded both the International Association of Business Communicators (IABC) Gold Quill</w:t>
      </w:r>
      <w:r w:rsidR="00127E6F">
        <w:t> </w:t>
      </w:r>
      <w:r>
        <w:t>Excellence Award in the Government Communication Programs category and the Gold Quill Merit Award in the Communication for</w:t>
      </w:r>
      <w:r w:rsidR="00127E6F">
        <w:t> </w:t>
      </w:r>
      <w:r>
        <w:t>Web category.</w:t>
      </w:r>
    </w:p>
    <w:p w14:paraId="1A7CAD0B" w14:textId="77777777" w:rsidR="00D01E35" w:rsidRPr="00657E8C" w:rsidRDefault="00D01E35" w:rsidP="00D01E35">
      <w:pPr>
        <w:pStyle w:val="Heading3"/>
      </w:pPr>
      <w:r w:rsidRPr="00657E8C">
        <w:t>Workforce inclusion policy</w:t>
      </w:r>
    </w:p>
    <w:p w14:paraId="3C074DF9" w14:textId="77777777" w:rsidR="00D01E35" w:rsidRPr="00657E8C" w:rsidRDefault="00D01E35" w:rsidP="00D01E35">
      <w:pPr>
        <w:pStyle w:val="ARbody"/>
      </w:pPr>
      <w:r w:rsidRPr="00657E8C">
        <w:t>The department continues to attract the most capable people to build an exceptional, diverse and culturally safe workplace.</w:t>
      </w:r>
    </w:p>
    <w:p w14:paraId="7F470E2A" w14:textId="0A448F88" w:rsidR="00D01E35" w:rsidRPr="00657E8C" w:rsidRDefault="00D01E35" w:rsidP="00D01E35">
      <w:pPr>
        <w:pStyle w:val="ARbody"/>
      </w:pPr>
      <w:r w:rsidRPr="00657E8C">
        <w:t>We are developing a workforce that better reflects the communities we serve. We recognise and value the diverse skills and perspectives that people bring to the workplace because of their gender, age, language, cultural background, ethnicity, disability, religious belief, sexual orientation, educational level, socioeconomic background and family responsibilities.</w:t>
      </w:r>
    </w:p>
    <w:p w14:paraId="63F750C0" w14:textId="77777777" w:rsidR="00D01E35" w:rsidRPr="00657E8C" w:rsidRDefault="00D01E35" w:rsidP="00D01E35">
      <w:pPr>
        <w:pStyle w:val="ARbody"/>
      </w:pPr>
      <w:r w:rsidRPr="00657E8C">
        <w:t>The department continued partnering with CareerSeekers to provide mid-career asylum seekers and refugees with internships over 12</w:t>
      </w:r>
      <w:r>
        <w:t> </w:t>
      </w:r>
      <w:r w:rsidRPr="00657E8C">
        <w:t>weeks. The experience enables new arrivals to gain a valuable understanding of Australian workplaces and directly contributes to improved employment outcomes.</w:t>
      </w:r>
    </w:p>
    <w:p w14:paraId="21E1BA61" w14:textId="0E4B3E60" w:rsidR="00D01E35" w:rsidRPr="00657E8C" w:rsidRDefault="00D01E35" w:rsidP="00D01E35">
      <w:pPr>
        <w:pStyle w:val="ARbody"/>
      </w:pPr>
      <w:r w:rsidRPr="00657E8C">
        <w:t xml:space="preserve">The </w:t>
      </w:r>
      <w:r w:rsidRPr="00A1580A">
        <w:rPr>
          <w:i/>
          <w:iCs/>
        </w:rPr>
        <w:t xml:space="preserve">All </w:t>
      </w:r>
      <w:r w:rsidRPr="00D50B96">
        <w:rPr>
          <w:i/>
          <w:iCs/>
        </w:rPr>
        <w:t xml:space="preserve">roles </w:t>
      </w:r>
      <w:r w:rsidRPr="00A1580A">
        <w:rPr>
          <w:i/>
          <w:iCs/>
        </w:rPr>
        <w:t>flex</w:t>
      </w:r>
      <w:r w:rsidRPr="00657E8C">
        <w:t xml:space="preserve"> policy continued to be implemented to support positive outcomes for</w:t>
      </w:r>
      <w:r w:rsidR="009031E7">
        <w:t> </w:t>
      </w:r>
      <w:r w:rsidRPr="00657E8C">
        <w:t>staff wishing to utilise a range of flexible work</w:t>
      </w:r>
      <w:r w:rsidR="009031E7">
        <w:t> </w:t>
      </w:r>
      <w:r w:rsidRPr="00657E8C">
        <w:t>options.</w:t>
      </w:r>
    </w:p>
    <w:p w14:paraId="6BB7F2E7" w14:textId="77777777" w:rsidR="00D01E35" w:rsidRPr="00657E8C" w:rsidRDefault="00D01E35" w:rsidP="00D01E35">
      <w:pPr>
        <w:pStyle w:val="ARbody"/>
      </w:pPr>
      <w:r w:rsidRPr="00657E8C">
        <w:t>The department promotes a diverse calendar of events and significant dates to raise awareness of cultural and religious observances, promotes inclusion and recognises diversity.</w:t>
      </w:r>
    </w:p>
    <w:p w14:paraId="0AEE75B1" w14:textId="0378FE91" w:rsidR="00D01E35" w:rsidRPr="00657E8C" w:rsidRDefault="00D01E35" w:rsidP="00D01E35">
      <w:pPr>
        <w:pStyle w:val="ARbody"/>
      </w:pPr>
      <w:r>
        <w:t>We also</w:t>
      </w:r>
      <w:r w:rsidRPr="00657E8C">
        <w:t xml:space="preserve"> </w:t>
      </w:r>
      <w:r>
        <w:t>started</w:t>
      </w:r>
      <w:r w:rsidRPr="00657E8C">
        <w:t xml:space="preserve"> rolling out face-to-face Aboriginal </w:t>
      </w:r>
      <w:r>
        <w:t>c</w:t>
      </w:r>
      <w:r w:rsidRPr="00657E8C">
        <w:t xml:space="preserve">ultural awareness and </w:t>
      </w:r>
      <w:r>
        <w:t>c</w:t>
      </w:r>
      <w:r w:rsidRPr="00657E8C">
        <w:t xml:space="preserve">ultural </w:t>
      </w:r>
      <w:r>
        <w:t>s</w:t>
      </w:r>
      <w:r w:rsidRPr="00657E8C">
        <w:t>afety</w:t>
      </w:r>
      <w:r w:rsidR="009031E7">
        <w:t> </w:t>
      </w:r>
      <w:r w:rsidRPr="00657E8C">
        <w:t>training programs, as well as sel</w:t>
      </w:r>
      <w:r>
        <w:t>f-</w:t>
      </w:r>
      <w:r w:rsidRPr="00657E8C">
        <w:t xml:space="preserve">directed </w:t>
      </w:r>
      <w:r>
        <w:t>c</w:t>
      </w:r>
      <w:r w:rsidRPr="00657E8C">
        <w:t>ultural safety online learning.</w:t>
      </w:r>
    </w:p>
    <w:p w14:paraId="7925BED2" w14:textId="77777777" w:rsidR="003B0DE2" w:rsidRPr="00127E6F" w:rsidRDefault="003B0DE2" w:rsidP="00127E6F">
      <w:pPr>
        <w:pStyle w:val="ARbody"/>
      </w:pPr>
      <w:r w:rsidRPr="00127E6F">
        <w:br w:type="page"/>
      </w:r>
    </w:p>
    <w:p w14:paraId="38166EFB" w14:textId="77777777" w:rsidR="00D01E35" w:rsidRPr="00657E8C" w:rsidRDefault="00D01E35" w:rsidP="00D01E35">
      <w:pPr>
        <w:pStyle w:val="Heading3"/>
      </w:pPr>
      <w:r w:rsidRPr="00657E8C">
        <w:lastRenderedPageBreak/>
        <w:t>Disability employment strategy</w:t>
      </w:r>
    </w:p>
    <w:p w14:paraId="4FAC7437" w14:textId="6041443C" w:rsidR="00D01E35" w:rsidRPr="00657E8C" w:rsidRDefault="00D01E35" w:rsidP="00D01E35">
      <w:pPr>
        <w:pStyle w:val="ARbody"/>
        <w:rPr>
          <w:lang w:eastAsia="en-AU"/>
        </w:rPr>
      </w:pPr>
      <w:r w:rsidRPr="00657E8C">
        <w:rPr>
          <w:lang w:eastAsia="en-AU"/>
        </w:rPr>
        <w:t xml:space="preserve">The department continued </w:t>
      </w:r>
      <w:r>
        <w:rPr>
          <w:lang w:eastAsia="en-AU"/>
        </w:rPr>
        <w:t xml:space="preserve">to </w:t>
      </w:r>
      <w:r w:rsidRPr="00657E8C">
        <w:rPr>
          <w:lang w:eastAsia="en-AU"/>
        </w:rPr>
        <w:t>delive</w:t>
      </w:r>
      <w:r>
        <w:rPr>
          <w:lang w:eastAsia="en-AU"/>
        </w:rPr>
        <w:t>r</w:t>
      </w:r>
      <w:r w:rsidRPr="00657E8C">
        <w:rPr>
          <w:lang w:eastAsia="en-AU"/>
        </w:rPr>
        <w:t xml:space="preserve"> the </w:t>
      </w:r>
      <w:r w:rsidRPr="00657E8C">
        <w:rPr>
          <w:i/>
          <w:lang w:eastAsia="en-AU"/>
        </w:rPr>
        <w:t xml:space="preserve">Disability </w:t>
      </w:r>
      <w:r>
        <w:rPr>
          <w:i/>
          <w:lang w:eastAsia="en-AU"/>
        </w:rPr>
        <w:t>e</w:t>
      </w:r>
      <w:r w:rsidRPr="00657E8C">
        <w:rPr>
          <w:i/>
          <w:lang w:eastAsia="en-AU"/>
        </w:rPr>
        <w:t xml:space="preserve">mployment </w:t>
      </w:r>
      <w:r>
        <w:rPr>
          <w:i/>
          <w:lang w:eastAsia="en-AU"/>
        </w:rPr>
        <w:t>s</w:t>
      </w:r>
      <w:r w:rsidRPr="00657E8C">
        <w:rPr>
          <w:i/>
          <w:lang w:eastAsia="en-AU"/>
        </w:rPr>
        <w:t>trategy</w:t>
      </w:r>
      <w:r w:rsidRPr="00657E8C">
        <w:rPr>
          <w:lang w:eastAsia="en-AU"/>
        </w:rPr>
        <w:t xml:space="preserve"> </w:t>
      </w:r>
      <w:r w:rsidRPr="00657E8C">
        <w:rPr>
          <w:i/>
          <w:lang w:eastAsia="en-AU"/>
        </w:rPr>
        <w:t xml:space="preserve">2018–2020. </w:t>
      </w:r>
      <w:r w:rsidRPr="00657E8C">
        <w:rPr>
          <w:lang w:eastAsia="en-AU"/>
        </w:rPr>
        <w:t>The</w:t>
      </w:r>
      <w:r w:rsidR="009031E7">
        <w:rPr>
          <w:lang w:eastAsia="en-AU"/>
        </w:rPr>
        <w:t> </w:t>
      </w:r>
      <w:r w:rsidRPr="00657E8C">
        <w:rPr>
          <w:lang w:eastAsia="en-AU"/>
        </w:rPr>
        <w:t>strategy support</w:t>
      </w:r>
      <w:r>
        <w:rPr>
          <w:lang w:eastAsia="en-AU"/>
        </w:rPr>
        <w:t>s</w:t>
      </w:r>
      <w:r w:rsidRPr="00657E8C">
        <w:rPr>
          <w:lang w:eastAsia="en-AU"/>
        </w:rPr>
        <w:t xml:space="preserve"> increased opportunities for people with a disability to work in the department, with targets of </w:t>
      </w:r>
      <w:r>
        <w:rPr>
          <w:lang w:eastAsia="en-AU"/>
        </w:rPr>
        <w:t>6</w:t>
      </w:r>
      <w:r w:rsidRPr="00657E8C">
        <w:rPr>
          <w:lang w:eastAsia="en-AU"/>
        </w:rPr>
        <w:t xml:space="preserve"> per</w:t>
      </w:r>
      <w:r>
        <w:rPr>
          <w:lang w:eastAsia="en-AU"/>
        </w:rPr>
        <w:t xml:space="preserve"> </w:t>
      </w:r>
      <w:r w:rsidRPr="00657E8C">
        <w:rPr>
          <w:lang w:eastAsia="en-AU"/>
        </w:rPr>
        <w:t>cent employment by 2020 and 12 per cent employment by 2025.</w:t>
      </w:r>
    </w:p>
    <w:p w14:paraId="25F34470" w14:textId="32A3CD85" w:rsidR="00D01E35" w:rsidRPr="00657E8C" w:rsidRDefault="00D01E35" w:rsidP="00D01E35">
      <w:pPr>
        <w:pStyle w:val="ARbody"/>
        <w:rPr>
          <w:lang w:eastAsia="en-AU"/>
        </w:rPr>
      </w:pPr>
      <w:r w:rsidRPr="00657E8C">
        <w:rPr>
          <w:lang w:eastAsia="en-AU"/>
        </w:rPr>
        <w:t xml:space="preserve">In addition, the strategy provides </w:t>
      </w:r>
      <w:r>
        <w:rPr>
          <w:lang w:eastAsia="en-AU"/>
        </w:rPr>
        <w:t xml:space="preserve">a </w:t>
      </w:r>
      <w:r w:rsidRPr="00657E8C">
        <w:rPr>
          <w:lang w:eastAsia="en-AU"/>
        </w:rPr>
        <w:t>focus for the</w:t>
      </w:r>
      <w:r w:rsidR="009031E7">
        <w:rPr>
          <w:lang w:eastAsia="en-AU"/>
        </w:rPr>
        <w:t> </w:t>
      </w:r>
      <w:r w:rsidRPr="00657E8C">
        <w:rPr>
          <w:lang w:eastAsia="en-AU"/>
        </w:rPr>
        <w:t>department to ensure staff who identify as having a disability are supported appropriately through adjustments in the recruitment process and in the workplace.</w:t>
      </w:r>
    </w:p>
    <w:p w14:paraId="00954A18" w14:textId="125EF9E9" w:rsidR="00D01E35" w:rsidRPr="00657E8C" w:rsidRDefault="00D01E35" w:rsidP="00D01E35">
      <w:pPr>
        <w:pStyle w:val="ARbody"/>
        <w:rPr>
          <w:lang w:val="en" w:eastAsia="en-AU"/>
        </w:rPr>
      </w:pPr>
      <w:r w:rsidRPr="00657E8C">
        <w:rPr>
          <w:lang w:val="en" w:eastAsia="en-AU"/>
        </w:rPr>
        <w:t>The RISE@DHHS program continued to provide</w:t>
      </w:r>
      <w:r w:rsidR="009031E7">
        <w:rPr>
          <w:lang w:val="en" w:eastAsia="en-AU"/>
        </w:rPr>
        <w:t> </w:t>
      </w:r>
      <w:r w:rsidRPr="00657E8C">
        <w:rPr>
          <w:lang w:val="en" w:eastAsia="en-AU"/>
        </w:rPr>
        <w:t xml:space="preserve">meaningful employment for </w:t>
      </w:r>
      <w:r>
        <w:rPr>
          <w:lang w:val="en" w:eastAsia="en-AU"/>
        </w:rPr>
        <w:t xml:space="preserve">people </w:t>
      </w:r>
      <w:r w:rsidRPr="00657E8C">
        <w:rPr>
          <w:lang w:val="en" w:eastAsia="en-AU"/>
        </w:rPr>
        <w:t>on</w:t>
      </w:r>
      <w:r w:rsidR="009031E7">
        <w:rPr>
          <w:lang w:val="en" w:eastAsia="en-AU"/>
        </w:rPr>
        <w:t> </w:t>
      </w:r>
      <w:r w:rsidRPr="00657E8C">
        <w:rPr>
          <w:lang w:val="en" w:eastAsia="en-AU"/>
        </w:rPr>
        <w:t>the autism spectrum. The program won three</w:t>
      </w:r>
      <w:r w:rsidR="009031E7">
        <w:rPr>
          <w:lang w:val="en" w:eastAsia="en-AU"/>
        </w:rPr>
        <w:t> </w:t>
      </w:r>
      <w:r w:rsidRPr="00657E8C">
        <w:rPr>
          <w:lang w:val="en" w:eastAsia="en-AU"/>
        </w:rPr>
        <w:t>#TechDiversity Awards in 2018.</w:t>
      </w:r>
    </w:p>
    <w:p w14:paraId="7A48202E" w14:textId="77777777" w:rsidR="00D01E35" w:rsidRPr="00657E8C" w:rsidRDefault="00D01E35" w:rsidP="00D01E35">
      <w:pPr>
        <w:pStyle w:val="ARbody"/>
        <w:rPr>
          <w:lang w:eastAsia="en-AU"/>
        </w:rPr>
      </w:pPr>
      <w:r w:rsidRPr="00657E8C">
        <w:rPr>
          <w:lang w:eastAsia="en-AU"/>
        </w:rPr>
        <w:t>The Enablers Network for people with a disability at work continued supporting the needs, interests and concerns of employees with a disability to ensure a voice and fair and equitable outcomes.</w:t>
      </w:r>
    </w:p>
    <w:p w14:paraId="3C077E06" w14:textId="77777777" w:rsidR="00D01E35" w:rsidRPr="00657E8C" w:rsidRDefault="00D01E35" w:rsidP="00D01E35">
      <w:pPr>
        <w:pStyle w:val="ARbody"/>
        <w:rPr>
          <w:lang w:eastAsia="en-AU"/>
        </w:rPr>
      </w:pPr>
      <w:r w:rsidRPr="00657E8C">
        <w:rPr>
          <w:lang w:eastAsia="en-AU"/>
        </w:rPr>
        <w:t>The department continued the Stepping into Internship program for people living with disability. This program provides university students with valuable work experience, confidence, and a chance to bridge the gap between university and graduate opportunities.</w:t>
      </w:r>
    </w:p>
    <w:p w14:paraId="067A6E32" w14:textId="77777777" w:rsidR="00D01E35" w:rsidRPr="00657E8C" w:rsidRDefault="00D01E35" w:rsidP="00D01E35">
      <w:pPr>
        <w:pStyle w:val="ARbody"/>
        <w:rPr>
          <w:lang w:eastAsia="en-AU"/>
        </w:rPr>
      </w:pPr>
      <w:r w:rsidRPr="00657E8C">
        <w:rPr>
          <w:lang w:eastAsia="en-AU"/>
        </w:rPr>
        <w:t>The department piloted a number of new disability employment initiatives:</w:t>
      </w:r>
    </w:p>
    <w:p w14:paraId="21E2289E" w14:textId="6120DC70" w:rsidR="00D01E35" w:rsidRPr="00657E8C" w:rsidRDefault="00D01E35" w:rsidP="00D01E35">
      <w:pPr>
        <w:pStyle w:val="ARbullet1"/>
        <w:rPr>
          <w:lang w:eastAsia="en-AU"/>
        </w:rPr>
      </w:pPr>
      <w:r w:rsidRPr="00657E8C">
        <w:rPr>
          <w:lang w:eastAsia="en-AU"/>
        </w:rPr>
        <w:t>Positive Action towards Career Engagement (PACE) mentoring program connecting jobseekers with a disability to mentors in the</w:t>
      </w:r>
      <w:r w:rsidR="009031E7">
        <w:rPr>
          <w:lang w:eastAsia="en-AU"/>
        </w:rPr>
        <w:t> </w:t>
      </w:r>
      <w:r w:rsidRPr="00657E8C">
        <w:rPr>
          <w:lang w:eastAsia="en-AU"/>
        </w:rPr>
        <w:t>business</w:t>
      </w:r>
    </w:p>
    <w:p w14:paraId="7C3CEE91" w14:textId="77777777" w:rsidR="00D01E35" w:rsidRPr="00657E8C" w:rsidRDefault="00D01E35" w:rsidP="00D01E35">
      <w:pPr>
        <w:pStyle w:val="ARbullet1"/>
        <w:rPr>
          <w:lang w:eastAsia="en-AU"/>
        </w:rPr>
      </w:pPr>
      <w:r w:rsidRPr="00657E8C">
        <w:rPr>
          <w:lang w:eastAsia="en-AU"/>
        </w:rPr>
        <w:t xml:space="preserve">Accessibility </w:t>
      </w:r>
      <w:r>
        <w:rPr>
          <w:lang w:eastAsia="en-AU"/>
        </w:rPr>
        <w:t>D</w:t>
      </w:r>
      <w:r w:rsidRPr="00657E8C">
        <w:rPr>
          <w:lang w:eastAsia="en-AU"/>
        </w:rPr>
        <w:t>ay to host jobseekers with disability for work experience toward employment outcomes</w:t>
      </w:r>
    </w:p>
    <w:p w14:paraId="48992138" w14:textId="77777777" w:rsidR="00D01E35" w:rsidRPr="00657E8C" w:rsidRDefault="00D01E35" w:rsidP="00D01E35">
      <w:pPr>
        <w:pStyle w:val="ARbullet1"/>
        <w:rPr>
          <w:lang w:eastAsia="en-AU"/>
        </w:rPr>
      </w:pPr>
      <w:r>
        <w:rPr>
          <w:lang w:eastAsia="en-AU"/>
        </w:rPr>
        <w:t>t</w:t>
      </w:r>
      <w:r w:rsidRPr="00657E8C">
        <w:rPr>
          <w:lang w:eastAsia="en-AU"/>
        </w:rPr>
        <w:t>he All Ability Graduate Program to support skills and development graduates with the disability alongside the wider VPS Graduate Recruitment Development program.</w:t>
      </w:r>
    </w:p>
    <w:p w14:paraId="359C3497" w14:textId="77777777" w:rsidR="00D01E35" w:rsidRPr="00657E8C" w:rsidRDefault="00D01E35" w:rsidP="00D01E35">
      <w:pPr>
        <w:pStyle w:val="ARbodyafterbullets"/>
        <w:rPr>
          <w:lang w:eastAsia="en-AU"/>
        </w:rPr>
      </w:pPr>
      <w:r w:rsidRPr="00657E8C">
        <w:rPr>
          <w:lang w:eastAsia="en-AU"/>
        </w:rPr>
        <w:t xml:space="preserve">The department also continued to work with the Australian Network on Disability on disability roundtable opportunities and to provide employees with </w:t>
      </w:r>
      <w:r>
        <w:rPr>
          <w:lang w:eastAsia="en-AU"/>
        </w:rPr>
        <w:t>d</w:t>
      </w:r>
      <w:r w:rsidRPr="00657E8C">
        <w:rPr>
          <w:lang w:eastAsia="en-AU"/>
        </w:rPr>
        <w:t>isability confidence training.</w:t>
      </w:r>
    </w:p>
    <w:p w14:paraId="449A5720" w14:textId="7B6BB3FC" w:rsidR="00D01E35" w:rsidRPr="00657E8C" w:rsidRDefault="009031E7" w:rsidP="00D01E35">
      <w:pPr>
        <w:pStyle w:val="ARbody"/>
      </w:pPr>
      <w:r>
        <w:br w:type="column"/>
      </w:r>
      <w:r w:rsidR="00D01E35" w:rsidRPr="00657E8C">
        <w:t>The department continues to offer Get Skilled Access e-learning</w:t>
      </w:r>
      <w:r w:rsidR="00877B86">
        <w:t>,</w:t>
      </w:r>
      <w:r w:rsidR="00D01E35" w:rsidRPr="00657E8C">
        <w:t xml:space="preserve"> and </w:t>
      </w:r>
      <w:r w:rsidR="00877B86">
        <w:t xml:space="preserve">it </w:t>
      </w:r>
      <w:r w:rsidR="00D01E35" w:rsidRPr="00657E8C">
        <w:t>commenced providing regular six-week AUSLAN sign language workshops for work groups.</w:t>
      </w:r>
    </w:p>
    <w:p w14:paraId="700D5165" w14:textId="77777777" w:rsidR="00D01E35" w:rsidRPr="00657E8C" w:rsidRDefault="00D01E35" w:rsidP="00D01E35">
      <w:pPr>
        <w:pStyle w:val="Heading3"/>
      </w:pPr>
      <w:r w:rsidRPr="00657E8C">
        <w:t>Aboriginal employment strategy</w:t>
      </w:r>
    </w:p>
    <w:p w14:paraId="49F889AD" w14:textId="77777777" w:rsidR="00D01E35" w:rsidRPr="00657E8C" w:rsidRDefault="00D01E35" w:rsidP="00D01E35">
      <w:pPr>
        <w:pStyle w:val="ARbody"/>
      </w:pPr>
      <w:r w:rsidRPr="00657E8C">
        <w:t xml:space="preserve">The department continued implementing the </w:t>
      </w:r>
      <w:r w:rsidRPr="00657E8C">
        <w:rPr>
          <w:i/>
        </w:rPr>
        <w:t>Aboriginal employment strategy 2016–21</w:t>
      </w:r>
      <w:r w:rsidRPr="00657E8C">
        <w:t xml:space="preserve"> towards three outcomes by 2021:</w:t>
      </w:r>
    </w:p>
    <w:p w14:paraId="5EC68099" w14:textId="77777777" w:rsidR="00D01E35" w:rsidRPr="00657E8C" w:rsidRDefault="00D01E35" w:rsidP="00D01E35">
      <w:pPr>
        <w:pStyle w:val="ARbullet1"/>
      </w:pPr>
      <w:r w:rsidRPr="00657E8C">
        <w:t xml:space="preserve">a </w:t>
      </w:r>
      <w:r>
        <w:t>2</w:t>
      </w:r>
      <w:r w:rsidRPr="00657E8C">
        <w:t xml:space="preserve"> per cent workforce target</w:t>
      </w:r>
    </w:p>
    <w:p w14:paraId="004043C1" w14:textId="77777777" w:rsidR="00D01E35" w:rsidRPr="00657E8C" w:rsidRDefault="00D01E35" w:rsidP="00D01E35">
      <w:pPr>
        <w:pStyle w:val="ARbullet1"/>
      </w:pPr>
      <w:r>
        <w:t>A</w:t>
      </w:r>
      <w:r w:rsidRPr="00783DD5">
        <w:t>boriginal employees across all classifications</w:t>
      </w:r>
      <w:r>
        <w:t>,</w:t>
      </w:r>
      <w:r w:rsidRPr="00783DD5">
        <w:t xml:space="preserve"> </w:t>
      </w:r>
      <w:r>
        <w:t xml:space="preserve">with a corresponding increase in the </w:t>
      </w:r>
      <w:r w:rsidRPr="00783DD5">
        <w:t>Aboriginal workforce at the senior and executive level</w:t>
      </w:r>
    </w:p>
    <w:p w14:paraId="3C73F23E" w14:textId="29A9C52A" w:rsidR="00D01E35" w:rsidRPr="00657E8C" w:rsidRDefault="00D01E35" w:rsidP="00D01E35">
      <w:pPr>
        <w:pStyle w:val="ARbullet1"/>
      </w:pPr>
      <w:r w:rsidRPr="00657E8C">
        <w:t>progressing the department’s commitment to</w:t>
      </w:r>
      <w:r w:rsidR="009031E7">
        <w:t> </w:t>
      </w:r>
      <w:r w:rsidRPr="00657E8C">
        <w:t>be a diverse, inclusive and culturally safe employer of choice for Aboriginal people.</w:t>
      </w:r>
    </w:p>
    <w:p w14:paraId="47211808" w14:textId="17B7B98D" w:rsidR="00D01E35" w:rsidRDefault="00D01E35" w:rsidP="00D01E35">
      <w:pPr>
        <w:pStyle w:val="ARbodyafterbullets"/>
      </w:pPr>
      <w:r w:rsidRPr="00783DD5">
        <w:t>Increasing Aboriginal employment not only improves health and wellbeing, it is also a key</w:t>
      </w:r>
      <w:r w:rsidR="009031E7">
        <w:t> </w:t>
      </w:r>
      <w:r w:rsidRPr="00783DD5">
        <w:t>driver for improving access to quality and</w:t>
      </w:r>
      <w:r w:rsidR="009031E7">
        <w:t> </w:t>
      </w:r>
      <w:r w:rsidRPr="00783DD5">
        <w:t>culturally appropriate health and human services</w:t>
      </w:r>
      <w:r w:rsidR="009031E7">
        <w:t> </w:t>
      </w:r>
      <w:r w:rsidRPr="00783DD5">
        <w:t xml:space="preserve">for </w:t>
      </w:r>
      <w:r>
        <w:t xml:space="preserve">Victoria’s </w:t>
      </w:r>
      <w:r w:rsidRPr="00783DD5">
        <w:t>Aboriginal community.</w:t>
      </w:r>
    </w:p>
    <w:p w14:paraId="5BA3B529" w14:textId="4A2B76BF" w:rsidR="00D01E35" w:rsidRPr="00657E8C" w:rsidRDefault="00D01E35" w:rsidP="00D01E35">
      <w:pPr>
        <w:pStyle w:val="ARbodyafterbullets"/>
      </w:pPr>
      <w:r w:rsidRPr="00657E8C">
        <w:t xml:space="preserve">Implementation of the strategy continues to track well in its third year, </w:t>
      </w:r>
      <w:r>
        <w:t xml:space="preserve">with </w:t>
      </w:r>
      <w:r w:rsidRPr="00657E8C">
        <w:t>current figures show</w:t>
      </w:r>
      <w:r>
        <w:t>ing</w:t>
      </w:r>
      <w:r w:rsidRPr="00657E8C">
        <w:t xml:space="preserve"> 1.6</w:t>
      </w:r>
      <w:r>
        <w:t> </w:t>
      </w:r>
      <w:r w:rsidRPr="00657E8C">
        <w:t>per cent of our workforce identif</w:t>
      </w:r>
      <w:r>
        <w:t>ies</w:t>
      </w:r>
      <w:r w:rsidRPr="00657E8C">
        <w:t xml:space="preserve"> as </w:t>
      </w:r>
      <w:r>
        <w:t>A</w:t>
      </w:r>
      <w:r w:rsidRPr="00657E8C">
        <w:t>boriginal. A range of initiatives were implemented to support the department as a</w:t>
      </w:r>
      <w:r w:rsidR="009031E7">
        <w:t> </w:t>
      </w:r>
      <w:r w:rsidRPr="00657E8C">
        <w:t>culturally safe employer of choice for Aboriginal people.</w:t>
      </w:r>
      <w:r>
        <w:t xml:space="preserve"> </w:t>
      </w:r>
      <w:r>
        <w:rPr>
          <w:lang w:eastAsia="en-AU"/>
        </w:rPr>
        <w:t>These</w:t>
      </w:r>
      <w:r w:rsidRPr="00657E8C">
        <w:rPr>
          <w:lang w:eastAsia="en-AU"/>
        </w:rPr>
        <w:t xml:space="preserve"> included </w:t>
      </w:r>
      <w:r w:rsidRPr="00657E8C">
        <w:t>allocating scholarships for secondary and tertiary students</w:t>
      </w:r>
      <w:r>
        <w:t>,</w:t>
      </w:r>
      <w:r w:rsidRPr="00657E8C">
        <w:t xml:space="preserve"> CareerTrackers’ 12-week internships in generalist and child protection program streams</w:t>
      </w:r>
      <w:r>
        <w:t>,</w:t>
      </w:r>
      <w:r w:rsidRPr="00657E8C">
        <w:t xml:space="preserve"> Aboriginal graduate program</w:t>
      </w:r>
      <w:r>
        <w:t>,</w:t>
      </w:r>
      <w:r w:rsidRPr="00657E8C">
        <w:t xml:space="preserve"> mentoring and coaching for employees</w:t>
      </w:r>
      <w:r>
        <w:t>,</w:t>
      </w:r>
      <w:r w:rsidRPr="00657E8C">
        <w:t xml:space="preserve"> and strengthening the Aboriginal Staff Network (ASN).</w:t>
      </w:r>
      <w:r>
        <w:t xml:space="preserve"> The department is d</w:t>
      </w:r>
      <w:r w:rsidRPr="00783DD5">
        <w:t>eveloping our executive leaders to champion and take ownership of cultural safety as part of the</w:t>
      </w:r>
      <w:r>
        <w:t>ir</w:t>
      </w:r>
      <w:r w:rsidRPr="00783DD5">
        <w:t xml:space="preserve"> responsibility to ensure </w:t>
      </w:r>
      <w:r>
        <w:t xml:space="preserve">a </w:t>
      </w:r>
      <w:r w:rsidRPr="00783DD5">
        <w:t>culturally safe environment for our Aboriginal workforce and improve polices and services that benefit Aboriginal Victorians.</w:t>
      </w:r>
    </w:p>
    <w:p w14:paraId="3269BFF6" w14:textId="412BAE9C" w:rsidR="00D01E35" w:rsidRPr="00657E8C" w:rsidRDefault="00D01E35" w:rsidP="000B7C6C">
      <w:pPr>
        <w:pStyle w:val="ARbody"/>
        <w:ind w:right="-369"/>
      </w:pPr>
      <w:r w:rsidRPr="00657E8C">
        <w:t xml:space="preserve">The Aboriginal and Torres Strait Islander cultural safety framework was developed to help mainstream Victorian health, human and community services and the department to create culturally safe environments, services and workplaces. The </w:t>
      </w:r>
      <w:r>
        <w:t>f</w:t>
      </w:r>
      <w:r w:rsidRPr="00657E8C">
        <w:t>ramework makes everyone responsible for the</w:t>
      </w:r>
      <w:r w:rsidR="009031E7">
        <w:t> </w:t>
      </w:r>
      <w:r w:rsidRPr="00657E8C">
        <w:t>cultural safety of Aboriginal people in their organisation. Everyone is responsible for how they work with Aboriginal staff, health consumers and clients of community services.</w:t>
      </w:r>
    </w:p>
    <w:p w14:paraId="10D766A2" w14:textId="32D82018" w:rsidR="008D124E" w:rsidRDefault="00D01E35" w:rsidP="00D01E35">
      <w:pPr>
        <w:pStyle w:val="ARbody"/>
      </w:pPr>
      <w:r w:rsidRPr="00657E8C">
        <w:lastRenderedPageBreak/>
        <w:t>Work continued to boost the recruitment and</w:t>
      </w:r>
      <w:r w:rsidR="009031E7">
        <w:t> </w:t>
      </w:r>
      <w:r w:rsidRPr="00657E8C">
        <w:t xml:space="preserve">retention of Aboriginal child protection practitioners. </w:t>
      </w:r>
      <w:r>
        <w:t>This included</w:t>
      </w:r>
      <w:r w:rsidRPr="00657E8C">
        <w:t xml:space="preserve"> a focus on practitioner care</w:t>
      </w:r>
      <w:r>
        <w:t xml:space="preserve">, </w:t>
      </w:r>
      <w:r w:rsidRPr="00657E8C">
        <w:t>and resulted in more than 2</w:t>
      </w:r>
      <w:r w:rsidR="009031E7">
        <w:t> </w:t>
      </w:r>
      <w:r w:rsidRPr="00657E8C">
        <w:t xml:space="preserve">per cent </w:t>
      </w:r>
      <w:r>
        <w:t xml:space="preserve">of the </w:t>
      </w:r>
      <w:r w:rsidRPr="00657E8C">
        <w:t xml:space="preserve">child protection workforce identifying as </w:t>
      </w:r>
      <w:r>
        <w:t>A</w:t>
      </w:r>
      <w:r w:rsidRPr="00657E8C">
        <w:t>boriginal.</w:t>
      </w:r>
    </w:p>
    <w:p w14:paraId="01812129" w14:textId="5FBEF564" w:rsidR="00D01E35" w:rsidRPr="00657E8C" w:rsidRDefault="00D01E35" w:rsidP="00D01E35">
      <w:pPr>
        <w:pStyle w:val="ARbody"/>
      </w:pPr>
      <w:r w:rsidRPr="00657E8C">
        <w:t xml:space="preserve">Aboriginal Yarning Circles </w:t>
      </w:r>
      <w:r>
        <w:t xml:space="preserve">also </w:t>
      </w:r>
      <w:r w:rsidRPr="00657E8C">
        <w:t>continued to</w:t>
      </w:r>
      <w:r w:rsidR="009031E7">
        <w:t> </w:t>
      </w:r>
      <w:r w:rsidRPr="00657E8C">
        <w:t>provide culturally appropriate and safe employee supports for our Aboriginal and Torres</w:t>
      </w:r>
      <w:r w:rsidR="009031E7">
        <w:t> </w:t>
      </w:r>
      <w:r w:rsidRPr="00657E8C">
        <w:t xml:space="preserve">Strait Islander </w:t>
      </w:r>
      <w:r>
        <w:t>c</w:t>
      </w:r>
      <w:r w:rsidRPr="00657E8C">
        <w:t xml:space="preserve">hild </w:t>
      </w:r>
      <w:r>
        <w:t>p</w:t>
      </w:r>
      <w:r w:rsidRPr="00657E8C">
        <w:t>rotection workforce</w:t>
      </w:r>
      <w:r>
        <w:t>.</w:t>
      </w:r>
    </w:p>
    <w:p w14:paraId="51E1CAE1" w14:textId="4D6A962F" w:rsidR="00D01E35" w:rsidRPr="00657E8C" w:rsidRDefault="00D01E35" w:rsidP="00D01E35">
      <w:pPr>
        <w:pStyle w:val="ARbody"/>
      </w:pPr>
      <w:r w:rsidRPr="00657E8C">
        <w:t xml:space="preserve">The department’s </w:t>
      </w:r>
      <w:r w:rsidRPr="00657E8C">
        <w:rPr>
          <w:i/>
        </w:rPr>
        <w:t>Wirrigirri</w:t>
      </w:r>
      <w:r w:rsidRPr="00657E8C">
        <w:t xml:space="preserve"> reconciliation program continues to increase the numbers of</w:t>
      </w:r>
      <w:r w:rsidR="005B7192">
        <w:t> </w:t>
      </w:r>
      <w:r w:rsidRPr="00657E8C">
        <w:t>allies for Aboriginal inclusion, awareness of</w:t>
      </w:r>
      <w:r w:rsidR="005B7192">
        <w:t> </w:t>
      </w:r>
      <w:r w:rsidRPr="00657E8C">
        <w:t>Aboriginal significant dates and events and culturally safe workplaces.</w:t>
      </w:r>
    </w:p>
    <w:p w14:paraId="5E31014A" w14:textId="77777777" w:rsidR="00D01E35" w:rsidRPr="00657E8C" w:rsidRDefault="00D01E35" w:rsidP="00D01E35">
      <w:pPr>
        <w:pStyle w:val="Heading3"/>
      </w:pPr>
      <w:r w:rsidRPr="00657E8C">
        <w:t>Aboriginal Staff Network</w:t>
      </w:r>
    </w:p>
    <w:p w14:paraId="190B5A3D" w14:textId="31BFEE63" w:rsidR="00D01E35" w:rsidRPr="00657E8C" w:rsidRDefault="00D01E35" w:rsidP="00D01E35">
      <w:pPr>
        <w:pStyle w:val="ARbody"/>
        <w:rPr>
          <w:lang w:eastAsia="en-AU"/>
        </w:rPr>
      </w:pPr>
      <w:r w:rsidRPr="00657E8C">
        <w:rPr>
          <w:lang w:eastAsia="en-AU"/>
        </w:rPr>
        <w:t>The Aboriginal Staff Network (ASN) offers access to a supportive culturally safe community of practice. It is a place to share good practice and creative ideas, support each other through issues of concern, access opportunities for personal and professional development and provide input into the department's work, and its</w:t>
      </w:r>
      <w:r w:rsidR="009031E7">
        <w:rPr>
          <w:lang w:eastAsia="en-AU"/>
        </w:rPr>
        <w:t> </w:t>
      </w:r>
      <w:r w:rsidRPr="00657E8C">
        <w:rPr>
          <w:lang w:eastAsia="en-AU"/>
        </w:rPr>
        <w:t>policies and processes to ensure they are inclusive of Aboriginal people.</w:t>
      </w:r>
    </w:p>
    <w:p w14:paraId="63918E48" w14:textId="22AA278F" w:rsidR="00D01E35" w:rsidRPr="00657E8C" w:rsidRDefault="00D01E35" w:rsidP="00D01E35">
      <w:pPr>
        <w:pStyle w:val="ARbody"/>
        <w:rPr>
          <w:lang w:eastAsia="en-AU"/>
        </w:rPr>
      </w:pPr>
      <w:r w:rsidRPr="00657E8C">
        <w:rPr>
          <w:lang w:eastAsia="en-AU"/>
        </w:rPr>
        <w:t xml:space="preserve">The ASN annual conference was held in Creswick on </w:t>
      </w:r>
      <w:r w:rsidRPr="00720524">
        <w:rPr>
          <w:i/>
          <w:lang w:eastAsia="en-AU"/>
        </w:rPr>
        <w:t>Dja Wurrung</w:t>
      </w:r>
      <w:r w:rsidRPr="00657E8C">
        <w:rPr>
          <w:lang w:eastAsia="en-AU"/>
        </w:rPr>
        <w:t xml:space="preserve"> </w:t>
      </w:r>
      <w:r w:rsidR="00CC2F0B">
        <w:rPr>
          <w:lang w:eastAsia="en-AU"/>
        </w:rPr>
        <w:t>C</w:t>
      </w:r>
      <w:r w:rsidRPr="00657E8C">
        <w:rPr>
          <w:lang w:eastAsia="en-AU"/>
        </w:rPr>
        <w:t>ountry</w:t>
      </w:r>
      <w:r>
        <w:rPr>
          <w:lang w:eastAsia="en-AU"/>
        </w:rPr>
        <w:t>. It</w:t>
      </w:r>
      <w:r w:rsidRPr="00657E8C">
        <w:rPr>
          <w:lang w:eastAsia="en-AU"/>
        </w:rPr>
        <w:t xml:space="preserve"> </w:t>
      </w:r>
      <w:r>
        <w:rPr>
          <w:lang w:eastAsia="en-AU"/>
        </w:rPr>
        <w:t xml:space="preserve">brings </w:t>
      </w:r>
      <w:r w:rsidRPr="00657E8C">
        <w:rPr>
          <w:lang w:eastAsia="en-AU"/>
        </w:rPr>
        <w:t>together Aboriginal staff from across the state</w:t>
      </w:r>
      <w:r>
        <w:rPr>
          <w:lang w:eastAsia="en-AU"/>
        </w:rPr>
        <w:t>,</w:t>
      </w:r>
      <w:r w:rsidRPr="00657E8C">
        <w:rPr>
          <w:lang w:eastAsia="en-AU"/>
        </w:rPr>
        <w:t xml:space="preserve"> </w:t>
      </w:r>
      <w:r>
        <w:rPr>
          <w:lang w:eastAsia="en-AU"/>
        </w:rPr>
        <w:t>and</w:t>
      </w:r>
      <w:r w:rsidRPr="00657E8C">
        <w:rPr>
          <w:lang w:eastAsia="en-AU"/>
        </w:rPr>
        <w:t xml:space="preserve"> is a key retention commitment of our </w:t>
      </w:r>
      <w:r w:rsidRPr="00CC2F0B">
        <w:rPr>
          <w:i/>
          <w:iCs/>
          <w:lang w:eastAsia="en-AU"/>
        </w:rPr>
        <w:t>Aboriginal employment strategy 2016–2021</w:t>
      </w:r>
      <w:r w:rsidRPr="00657E8C">
        <w:rPr>
          <w:lang w:eastAsia="en-AU"/>
        </w:rPr>
        <w:t>.</w:t>
      </w:r>
    </w:p>
    <w:p w14:paraId="620C3BDE" w14:textId="60970FCE" w:rsidR="00D01E35" w:rsidRPr="00657E8C" w:rsidRDefault="00D01E35" w:rsidP="00D01E35">
      <w:pPr>
        <w:pStyle w:val="ARbody"/>
        <w:rPr>
          <w:lang w:eastAsia="en-AU"/>
        </w:rPr>
      </w:pPr>
      <w:r w:rsidRPr="00657E8C">
        <w:rPr>
          <w:lang w:eastAsia="en-AU"/>
        </w:rPr>
        <w:t>The department remains committed to self-determination</w:t>
      </w:r>
      <w:r>
        <w:rPr>
          <w:lang w:eastAsia="en-AU"/>
        </w:rPr>
        <w:t>,</w:t>
      </w:r>
      <w:r w:rsidRPr="00657E8C">
        <w:rPr>
          <w:lang w:eastAsia="en-AU"/>
        </w:rPr>
        <w:t xml:space="preserve"> and the ASN is an important channel for amplifying the Aboriginal and Torres</w:t>
      </w:r>
      <w:r w:rsidR="009031E7">
        <w:rPr>
          <w:lang w:eastAsia="en-AU"/>
        </w:rPr>
        <w:t> </w:t>
      </w:r>
      <w:r w:rsidRPr="00657E8C">
        <w:rPr>
          <w:lang w:eastAsia="en-AU"/>
        </w:rPr>
        <w:t>Strait Islander voice.</w:t>
      </w:r>
    </w:p>
    <w:p w14:paraId="0A619A14" w14:textId="77777777" w:rsidR="00D01E35" w:rsidRPr="00657E8C" w:rsidRDefault="00D01E35" w:rsidP="00D01E35">
      <w:pPr>
        <w:pStyle w:val="Heading3"/>
      </w:pPr>
      <w:r w:rsidRPr="00657E8C">
        <w:t>LGBTIQ inclusion</w:t>
      </w:r>
    </w:p>
    <w:p w14:paraId="5D60B05B" w14:textId="77777777" w:rsidR="00D01E35" w:rsidRPr="00657E8C" w:rsidRDefault="00D01E35" w:rsidP="00D01E35">
      <w:pPr>
        <w:pStyle w:val="ARbody"/>
        <w:rPr>
          <w:lang w:eastAsia="en-AU"/>
        </w:rPr>
      </w:pPr>
      <w:r w:rsidRPr="00657E8C">
        <w:rPr>
          <w:lang w:eastAsia="en-AU"/>
        </w:rPr>
        <w:t>The department’s</w:t>
      </w:r>
      <w:r w:rsidR="003E05EC">
        <w:rPr>
          <w:lang w:eastAsia="en-AU"/>
        </w:rPr>
        <w:t xml:space="preserve"> </w:t>
      </w:r>
      <w:r w:rsidR="00FD2744">
        <w:t>lesbian, gay, bisexual, trans, intersex and queer and/or questioning</w:t>
      </w:r>
      <w:r w:rsidRPr="00657E8C">
        <w:rPr>
          <w:lang w:eastAsia="en-AU"/>
        </w:rPr>
        <w:t xml:space="preserve"> </w:t>
      </w:r>
      <w:r w:rsidR="003E05EC">
        <w:rPr>
          <w:lang w:eastAsia="en-AU"/>
        </w:rPr>
        <w:t>(</w:t>
      </w:r>
      <w:r w:rsidRPr="00657E8C">
        <w:rPr>
          <w:lang w:eastAsia="en-AU"/>
        </w:rPr>
        <w:t>LGBTIQ</w:t>
      </w:r>
      <w:r w:rsidR="003E05EC">
        <w:rPr>
          <w:lang w:eastAsia="en-AU"/>
        </w:rPr>
        <w:t>)</w:t>
      </w:r>
      <w:r w:rsidRPr="00657E8C">
        <w:rPr>
          <w:lang w:eastAsia="en-AU"/>
        </w:rPr>
        <w:t xml:space="preserve"> inclusion plan launched in August 2017</w:t>
      </w:r>
      <w:r>
        <w:rPr>
          <w:lang w:eastAsia="en-AU"/>
        </w:rPr>
        <w:t>,</w:t>
      </w:r>
      <w:r w:rsidRPr="00657E8C">
        <w:rPr>
          <w:lang w:eastAsia="en-AU"/>
        </w:rPr>
        <w:t xml:space="preserve"> progress</w:t>
      </w:r>
      <w:r>
        <w:rPr>
          <w:lang w:eastAsia="en-AU"/>
        </w:rPr>
        <w:t>ing</w:t>
      </w:r>
      <w:r w:rsidRPr="00657E8C">
        <w:rPr>
          <w:lang w:eastAsia="en-AU"/>
        </w:rPr>
        <w:t xml:space="preserve"> work towards increasing LGBTIQ visibility and inclusion in the workplace.</w:t>
      </w:r>
      <w:r>
        <w:rPr>
          <w:lang w:eastAsia="en-AU"/>
        </w:rPr>
        <w:t xml:space="preserve"> This included a </w:t>
      </w:r>
      <w:r w:rsidRPr="00657E8C">
        <w:rPr>
          <w:lang w:eastAsia="en-AU"/>
        </w:rPr>
        <w:t xml:space="preserve">policy to guide </w:t>
      </w:r>
      <w:r>
        <w:rPr>
          <w:lang w:eastAsia="en-AU"/>
        </w:rPr>
        <w:t>t</w:t>
      </w:r>
      <w:r w:rsidRPr="00657E8C">
        <w:rPr>
          <w:lang w:eastAsia="en-AU"/>
        </w:rPr>
        <w:t>rans and gender</w:t>
      </w:r>
      <w:r>
        <w:rPr>
          <w:lang w:eastAsia="en-AU"/>
        </w:rPr>
        <w:t>-</w:t>
      </w:r>
      <w:r w:rsidRPr="00657E8C">
        <w:rPr>
          <w:lang w:eastAsia="en-AU"/>
        </w:rPr>
        <w:t>diverse transitioning employees.</w:t>
      </w:r>
    </w:p>
    <w:p w14:paraId="615A6AA6" w14:textId="0795C009" w:rsidR="00D01E35" w:rsidRPr="00657E8C" w:rsidRDefault="00D01E35" w:rsidP="00D01E35">
      <w:pPr>
        <w:pStyle w:val="ARbody"/>
        <w:rPr>
          <w:lang w:eastAsia="en-AU"/>
        </w:rPr>
      </w:pPr>
      <w:r w:rsidRPr="00657E8C">
        <w:rPr>
          <w:lang w:eastAsia="en-AU"/>
        </w:rPr>
        <w:t>The department proudly flew the rainbow flag at</w:t>
      </w:r>
      <w:r w:rsidR="009031E7">
        <w:rPr>
          <w:lang w:eastAsia="en-AU"/>
        </w:rPr>
        <w:t> </w:t>
      </w:r>
      <w:r w:rsidRPr="00657E8C">
        <w:rPr>
          <w:lang w:eastAsia="en-AU"/>
        </w:rPr>
        <w:t xml:space="preserve">the VPS Pride Awards in 2018 with the Secretary, Kym Peake, winning Executive Champion. The Aboriginal LGBTIQ retreat </w:t>
      </w:r>
      <w:r w:rsidRPr="00657E8C">
        <w:rPr>
          <w:i/>
          <w:lang w:eastAsia="en-AU"/>
        </w:rPr>
        <w:t xml:space="preserve">Nanyubak Yapaneyeputi </w:t>
      </w:r>
      <w:r w:rsidRPr="00720524">
        <w:rPr>
          <w:iCs/>
          <w:lang w:eastAsia="en-AU"/>
        </w:rPr>
        <w:t>(‘Dreaming together’</w:t>
      </w:r>
      <w:r w:rsidRPr="00657E8C">
        <w:rPr>
          <w:i/>
          <w:lang w:eastAsia="en-AU"/>
        </w:rPr>
        <w:t xml:space="preserve">) </w:t>
      </w:r>
      <w:r w:rsidRPr="00657E8C">
        <w:rPr>
          <w:lang w:eastAsia="en-AU"/>
        </w:rPr>
        <w:t>won the VPS Pride Aware Initiative of the Year.</w:t>
      </w:r>
    </w:p>
    <w:p w14:paraId="5158AA6C" w14:textId="77777777" w:rsidR="008D124E" w:rsidRDefault="00D01E35" w:rsidP="00D01E35">
      <w:pPr>
        <w:pStyle w:val="ARbody"/>
      </w:pPr>
      <w:r w:rsidRPr="00657E8C">
        <w:t>The Pride Network provides a forum for all departmental staff interested in, and supportive of, creating safe and inclusive workplaces for LGBTIQ employees. Part of a broader whole-of-Victorian-Government Pride Network, it offers a space for staff to promote positive LGBTIQ cultural awareness, sector-wide events, participate in professional development opportunities and contribute to the</w:t>
      </w:r>
      <w:r>
        <w:t xml:space="preserve"> department’s</w:t>
      </w:r>
      <w:r w:rsidRPr="00657E8C">
        <w:t> LGBTIQ diversity work.</w:t>
      </w:r>
    </w:p>
    <w:p w14:paraId="599372BD" w14:textId="3D1F20B3" w:rsidR="00D01E35" w:rsidRPr="00657E8C" w:rsidRDefault="00D01E35" w:rsidP="00D01E35">
      <w:pPr>
        <w:pStyle w:val="Heading3"/>
      </w:pPr>
      <w:r w:rsidRPr="00657E8C">
        <w:t>Youth Employment Scheme and</w:t>
      </w:r>
      <w:r w:rsidR="009031E7">
        <w:t> </w:t>
      </w:r>
      <w:r w:rsidRPr="00657E8C">
        <w:t>Youth Cadetship Scheme</w:t>
      </w:r>
    </w:p>
    <w:p w14:paraId="08A5A603" w14:textId="448E1C81" w:rsidR="00D01E35" w:rsidRPr="00657E8C" w:rsidRDefault="00D01E35" w:rsidP="000B7C6C">
      <w:pPr>
        <w:pStyle w:val="ARbody"/>
        <w:ind w:right="-227"/>
      </w:pPr>
      <w:r w:rsidRPr="00657E8C">
        <w:t>The Department of Health and Human Services</w:t>
      </w:r>
      <w:r w:rsidR="009031E7">
        <w:t> </w:t>
      </w:r>
      <w:r w:rsidRPr="00657E8C">
        <w:t>is</w:t>
      </w:r>
      <w:r w:rsidR="009031E7">
        <w:t> </w:t>
      </w:r>
      <w:r w:rsidRPr="00657E8C">
        <w:t>active in providing job opportunities for</w:t>
      </w:r>
      <w:r w:rsidR="009031E7">
        <w:t> </w:t>
      </w:r>
      <w:r w:rsidRPr="00657E8C">
        <w:t>disadvantaged job seekers through a variety of</w:t>
      </w:r>
      <w:r w:rsidR="009031E7">
        <w:t> </w:t>
      </w:r>
      <w:r w:rsidRPr="00657E8C">
        <w:t>proactive employment programs. The Youth Employment Scheme (YES) and Youth Cadetship Scheme (YCS) initiatives strongly promote opportunities for disadvantaged groups targeting long-term unemployed people, Aboriginal young people and people with a disability, particularly in rural and regional Victoria.</w:t>
      </w:r>
    </w:p>
    <w:p w14:paraId="71A38072" w14:textId="77777777" w:rsidR="008D124E" w:rsidRDefault="00D01E35" w:rsidP="00D01E35">
      <w:pPr>
        <w:pStyle w:val="ARbody"/>
      </w:pPr>
      <w:r w:rsidRPr="00657E8C">
        <w:t>The Youth Employment Scheme (YES) is a Victorian Government initiative that enables unemployed or otherwise disadvantaged young people aged 15 to 24 years old to enter the workforce and build sustainable careers through traineeships while attaining a qualification.</w:t>
      </w:r>
    </w:p>
    <w:p w14:paraId="5A12AB86" w14:textId="040F06D6" w:rsidR="008D124E" w:rsidRDefault="00D01E35" w:rsidP="000B7C6C">
      <w:pPr>
        <w:pStyle w:val="ARbody"/>
        <w:ind w:right="-227"/>
      </w:pPr>
      <w:r w:rsidRPr="00657E8C">
        <w:t>The Youth Cadetship Scheme (YCS) was established in 2017 and is a new pathway established for young people to begin a career in</w:t>
      </w:r>
      <w:r w:rsidR="009031E7">
        <w:t> </w:t>
      </w:r>
      <w:r w:rsidRPr="00657E8C">
        <w:t xml:space="preserve">the public sector after they have graduated from a YES traineeship. Cadets are recruited on a </w:t>
      </w:r>
      <w:r>
        <w:t>two-</w:t>
      </w:r>
      <w:r w:rsidRPr="00657E8C">
        <w:t>year fixed</w:t>
      </w:r>
      <w:r>
        <w:t>-</w:t>
      </w:r>
      <w:r w:rsidRPr="00657E8C">
        <w:t>term contract at VPS-1 classification.</w:t>
      </w:r>
    </w:p>
    <w:p w14:paraId="72E76FBB" w14:textId="77777777" w:rsidR="008D124E" w:rsidRDefault="00D01E35" w:rsidP="00D01E35">
      <w:pPr>
        <w:pStyle w:val="ARbody"/>
      </w:pPr>
      <w:r w:rsidRPr="00657E8C">
        <w:t>During 2018–19, the department engaged a total of 67 young people through these two schemes:</w:t>
      </w:r>
    </w:p>
    <w:p w14:paraId="3B1FD295" w14:textId="194B256C" w:rsidR="00D01E35" w:rsidRPr="00657E8C" w:rsidRDefault="00D01E35" w:rsidP="00D01E35">
      <w:pPr>
        <w:pStyle w:val="ARbullet1"/>
      </w:pPr>
      <w:r w:rsidRPr="00657E8C">
        <w:t>47 trainees</w:t>
      </w:r>
      <w:r>
        <w:t>,</w:t>
      </w:r>
      <w:r w:rsidRPr="00657E8C">
        <w:t xml:space="preserve"> includ</w:t>
      </w:r>
      <w:r>
        <w:t>ing</w:t>
      </w:r>
      <w:r w:rsidRPr="00657E8C">
        <w:t xml:space="preserve"> 21 placements in public hospita</w:t>
      </w:r>
      <w:r>
        <w:t>l and nine</w:t>
      </w:r>
      <w:r w:rsidRPr="00657E8C">
        <w:t xml:space="preserve"> </w:t>
      </w:r>
      <w:r>
        <w:t>Aboriginal</w:t>
      </w:r>
      <w:r w:rsidRPr="00657E8C">
        <w:t xml:space="preserve"> YES trainees</w:t>
      </w:r>
    </w:p>
    <w:p w14:paraId="4EDE6323" w14:textId="77777777" w:rsidR="00D01E35" w:rsidRPr="00657E8C" w:rsidRDefault="00D01E35" w:rsidP="00D01E35">
      <w:pPr>
        <w:pStyle w:val="ARbullet1"/>
      </w:pPr>
      <w:r w:rsidRPr="00657E8C">
        <w:t xml:space="preserve">20 cadets, including </w:t>
      </w:r>
      <w:r>
        <w:t>three</w:t>
      </w:r>
      <w:r w:rsidRPr="00657E8C">
        <w:t xml:space="preserve"> Aboriginal</w:t>
      </w:r>
      <w:r>
        <w:t xml:space="preserve"> cadets.</w:t>
      </w:r>
    </w:p>
    <w:p w14:paraId="448E1AB8" w14:textId="77777777" w:rsidR="00D01E35" w:rsidRPr="00657E8C" w:rsidRDefault="00D01E35" w:rsidP="00D01E35">
      <w:pPr>
        <w:pStyle w:val="ARbodyafterbullets"/>
      </w:pPr>
      <w:r w:rsidRPr="00657E8C">
        <w:t>During 2018–19</w:t>
      </w:r>
      <w:r>
        <w:t>,</w:t>
      </w:r>
      <w:r w:rsidRPr="00657E8C">
        <w:t xml:space="preserve"> the department transitioned 13</w:t>
      </w:r>
      <w:r>
        <w:t> </w:t>
      </w:r>
      <w:r w:rsidRPr="00657E8C">
        <w:t>former trainees or cadets into VPS 2 or above roles.</w:t>
      </w:r>
    </w:p>
    <w:p w14:paraId="1AA3D8FE" w14:textId="77777777" w:rsidR="000B7C6C" w:rsidRPr="009031E7" w:rsidRDefault="000B7C6C" w:rsidP="009031E7">
      <w:pPr>
        <w:pStyle w:val="ARbody"/>
      </w:pPr>
      <w:r w:rsidRPr="009031E7">
        <w:br w:type="page"/>
      </w:r>
    </w:p>
    <w:p w14:paraId="1AC83B14" w14:textId="77777777" w:rsidR="00D01E35" w:rsidRPr="00657E8C" w:rsidRDefault="00D01E35" w:rsidP="00D01E35">
      <w:pPr>
        <w:pStyle w:val="Heading3"/>
      </w:pPr>
      <w:r w:rsidRPr="00657E8C">
        <w:lastRenderedPageBreak/>
        <w:t>Graduate recruitment</w:t>
      </w:r>
    </w:p>
    <w:p w14:paraId="0E8F2797" w14:textId="0B5E404B" w:rsidR="00D01E35" w:rsidRPr="00657E8C" w:rsidRDefault="00D01E35" w:rsidP="00D01E35">
      <w:pPr>
        <w:pStyle w:val="ARbody"/>
        <w:rPr>
          <w:lang w:eastAsia="en-AU"/>
        </w:rPr>
      </w:pPr>
      <w:r w:rsidRPr="00657E8C">
        <w:rPr>
          <w:lang w:eastAsia="en-AU"/>
        </w:rPr>
        <w:t>In 2018–19 the department engaged a total of</w:t>
      </w:r>
      <w:r w:rsidR="009031E7">
        <w:rPr>
          <w:lang w:eastAsia="en-AU"/>
        </w:rPr>
        <w:t> </w:t>
      </w:r>
      <w:r w:rsidRPr="00657E8C">
        <w:rPr>
          <w:lang w:eastAsia="en-AU"/>
        </w:rPr>
        <w:t>10</w:t>
      </w:r>
      <w:r>
        <w:rPr>
          <w:lang w:eastAsia="en-AU"/>
        </w:rPr>
        <w:t> </w:t>
      </w:r>
      <w:r w:rsidRPr="00657E8C">
        <w:rPr>
          <w:lang w:eastAsia="en-AU"/>
        </w:rPr>
        <w:t xml:space="preserve">graduates from diverse academic backgrounds through the Victorian Public Service Graduate Recruitment and Development Scheme (GRADS). </w:t>
      </w:r>
      <w:r>
        <w:rPr>
          <w:lang w:eastAsia="en-AU"/>
        </w:rPr>
        <w:t>The department recruited s</w:t>
      </w:r>
      <w:r w:rsidRPr="00657E8C">
        <w:rPr>
          <w:lang w:eastAsia="en-AU"/>
        </w:rPr>
        <w:t>even Aboriginal graduates</w:t>
      </w:r>
      <w:r>
        <w:rPr>
          <w:lang w:eastAsia="en-AU"/>
        </w:rPr>
        <w:t xml:space="preserve"> </w:t>
      </w:r>
      <w:r w:rsidRPr="00657E8C">
        <w:rPr>
          <w:lang w:eastAsia="en-AU"/>
        </w:rPr>
        <w:t>in 2018–19 through internal recruitment processes.</w:t>
      </w:r>
    </w:p>
    <w:p w14:paraId="24EE7D9C" w14:textId="431CB67B" w:rsidR="00D01E35" w:rsidRDefault="00D01E35" w:rsidP="00D01E35">
      <w:pPr>
        <w:pStyle w:val="ARbody"/>
        <w:rPr>
          <w:lang w:eastAsia="en-AU"/>
        </w:rPr>
      </w:pPr>
      <w:r w:rsidRPr="00657E8C">
        <w:rPr>
          <w:lang w:eastAsia="en-AU"/>
        </w:rPr>
        <w:t>Graduates participating in the 12</w:t>
      </w:r>
      <w:r>
        <w:rPr>
          <w:lang w:eastAsia="en-AU"/>
        </w:rPr>
        <w:t>-</w:t>
      </w:r>
      <w:r w:rsidRPr="00657E8C">
        <w:rPr>
          <w:lang w:eastAsia="en-AU"/>
        </w:rPr>
        <w:t>month GRADS</w:t>
      </w:r>
      <w:r w:rsidR="009031E7">
        <w:rPr>
          <w:lang w:eastAsia="en-AU"/>
        </w:rPr>
        <w:t> </w:t>
      </w:r>
      <w:r w:rsidRPr="00657E8C">
        <w:rPr>
          <w:lang w:eastAsia="en-AU"/>
        </w:rPr>
        <w:t>scheme complete</w:t>
      </w:r>
      <w:r>
        <w:rPr>
          <w:lang w:eastAsia="en-AU"/>
        </w:rPr>
        <w:t>d</w:t>
      </w:r>
      <w:r w:rsidRPr="00657E8C">
        <w:rPr>
          <w:lang w:eastAsia="en-AU"/>
        </w:rPr>
        <w:t xml:space="preserve"> three placements in the VPS to develop core skills and gain a broad experience of working in the government sector. They commence their ongoing roles within the department at the conclusion of the program.</w:t>
      </w:r>
    </w:p>
    <w:p w14:paraId="6C559486" w14:textId="77777777" w:rsidR="00D01E35" w:rsidRPr="00657E8C" w:rsidRDefault="00D01E35" w:rsidP="00D01E35">
      <w:pPr>
        <w:pStyle w:val="Heading3"/>
      </w:pPr>
      <w:r w:rsidRPr="00657E8C">
        <w:t>Student placement program</w:t>
      </w:r>
    </w:p>
    <w:p w14:paraId="2A2FC421" w14:textId="77777777" w:rsidR="00D01E35" w:rsidRPr="00657E8C" w:rsidRDefault="00D01E35" w:rsidP="00D01E35">
      <w:pPr>
        <w:pStyle w:val="ARbody"/>
        <w:rPr>
          <w:lang w:eastAsia="en-AU"/>
        </w:rPr>
      </w:pPr>
      <w:r w:rsidRPr="00657E8C">
        <w:rPr>
          <w:lang w:eastAsia="en-AU"/>
        </w:rPr>
        <w:t>The department offers students undertaking a tertiary qualification the opportunity to complete their fieldwork placement in health and human services as part of their course.</w:t>
      </w:r>
    </w:p>
    <w:p w14:paraId="0583EBC0" w14:textId="2BD4CF18" w:rsidR="00D01E35" w:rsidRPr="00657E8C" w:rsidRDefault="00D01E35" w:rsidP="00D01E35">
      <w:pPr>
        <w:pStyle w:val="ARbody"/>
        <w:rPr>
          <w:lang w:eastAsia="en-AU"/>
        </w:rPr>
      </w:pPr>
      <w:r w:rsidRPr="00657E8C">
        <w:rPr>
          <w:lang w:eastAsia="en-AU"/>
        </w:rPr>
        <w:t>In 2018–19, 356 tertiary student placements were completed across child protection, disability accommodation services, client outcomes and service improvement, disability client services, housing, corporate services, health and secure welfare services. The majority</w:t>
      </w:r>
      <w:r w:rsidR="009031E7">
        <w:rPr>
          <w:lang w:eastAsia="en-AU"/>
        </w:rPr>
        <w:t> </w:t>
      </w:r>
      <w:r w:rsidRPr="00657E8C">
        <w:rPr>
          <w:lang w:eastAsia="en-AU"/>
        </w:rPr>
        <w:t>of placements were completed in child</w:t>
      </w:r>
      <w:r w:rsidR="009031E7">
        <w:rPr>
          <w:lang w:eastAsia="en-AU"/>
        </w:rPr>
        <w:t> </w:t>
      </w:r>
      <w:r w:rsidRPr="00657E8C">
        <w:rPr>
          <w:lang w:eastAsia="en-AU"/>
        </w:rPr>
        <w:t>protection (265 placements).</w:t>
      </w:r>
    </w:p>
    <w:p w14:paraId="30F7DC59" w14:textId="77777777" w:rsidR="00D01E35" w:rsidRPr="00657E8C" w:rsidRDefault="00D01E35" w:rsidP="00D01E35">
      <w:pPr>
        <w:pStyle w:val="Heading3"/>
      </w:pPr>
      <w:r w:rsidRPr="00657E8C">
        <w:t>Child Protection Vacation Employment Program</w:t>
      </w:r>
    </w:p>
    <w:p w14:paraId="2FCD13A1" w14:textId="580B3AF7" w:rsidR="00D01E35" w:rsidRPr="00657E8C" w:rsidRDefault="00D01E35" w:rsidP="00D01E35">
      <w:pPr>
        <w:pStyle w:val="ARbody"/>
        <w:rPr>
          <w:rFonts w:ascii="Helv" w:hAnsi="Helv" w:cs="Helv"/>
          <w:szCs w:val="20"/>
          <w:lang w:eastAsia="en-AU"/>
        </w:rPr>
      </w:pPr>
      <w:r w:rsidRPr="00657E8C">
        <w:rPr>
          <w:rFonts w:ascii="Helv" w:hAnsi="Helv" w:cs="Helv"/>
          <w:szCs w:val="20"/>
          <w:lang w:eastAsia="en-AU"/>
        </w:rPr>
        <w:t>The Child Protection Vacation Employment Program (VAC) offers fixed-term paid employment of 12 weeks or 450 hours to eligible</w:t>
      </w:r>
      <w:r w:rsidR="009031E7">
        <w:rPr>
          <w:rFonts w:ascii="Helv" w:hAnsi="Helv" w:cs="Helv"/>
          <w:szCs w:val="20"/>
          <w:lang w:eastAsia="en-AU"/>
        </w:rPr>
        <w:t> </w:t>
      </w:r>
      <w:r w:rsidRPr="00657E8C">
        <w:rPr>
          <w:rFonts w:ascii="Helv" w:hAnsi="Helv" w:cs="Helv"/>
          <w:szCs w:val="20"/>
          <w:lang w:eastAsia="en-AU"/>
        </w:rPr>
        <w:t>students studying a recognised degree. The 12-week rotation-based program enables VAC participants to receive a structured, quality learning experience while gaining hands-on work experience in child protection.</w:t>
      </w:r>
    </w:p>
    <w:p w14:paraId="6976E466" w14:textId="46EC55E0" w:rsidR="00D01E35" w:rsidRPr="00657E8C" w:rsidRDefault="00D01E35" w:rsidP="00D01E35">
      <w:pPr>
        <w:pStyle w:val="ARbody"/>
        <w:rPr>
          <w:rFonts w:ascii="Helv" w:hAnsi="Helv" w:cs="Helv"/>
          <w:szCs w:val="20"/>
          <w:lang w:eastAsia="en-AU"/>
        </w:rPr>
      </w:pPr>
      <w:r w:rsidRPr="00657E8C">
        <w:rPr>
          <w:rFonts w:ascii="Helv" w:hAnsi="Helv" w:cs="Helv"/>
          <w:szCs w:val="20"/>
          <w:lang w:eastAsia="en-AU"/>
        </w:rPr>
        <w:t>Participants who demonstrate the essential skills and attributes necessary for entry into a child protection practitioner role (CPP) may receive a</w:t>
      </w:r>
      <w:r w:rsidR="009031E7">
        <w:rPr>
          <w:rFonts w:ascii="Helv" w:hAnsi="Helv" w:cs="Helv"/>
          <w:szCs w:val="20"/>
          <w:lang w:eastAsia="en-AU"/>
        </w:rPr>
        <w:t> </w:t>
      </w:r>
      <w:r w:rsidRPr="00657E8C">
        <w:rPr>
          <w:rFonts w:ascii="Helv" w:hAnsi="Helv" w:cs="Helv"/>
          <w:szCs w:val="20"/>
          <w:lang w:eastAsia="en-AU"/>
        </w:rPr>
        <w:t>conditional offer of employment for a CPP</w:t>
      </w:r>
      <w:r w:rsidR="00877B86">
        <w:rPr>
          <w:rFonts w:ascii="Helv" w:hAnsi="Helv" w:cs="Helv"/>
          <w:szCs w:val="20"/>
          <w:lang w:eastAsia="en-AU"/>
        </w:rPr>
        <w:t> </w:t>
      </w:r>
      <w:r w:rsidRPr="00657E8C">
        <w:rPr>
          <w:rFonts w:ascii="Helv" w:hAnsi="Helv" w:cs="Helv"/>
          <w:szCs w:val="20"/>
          <w:lang w:eastAsia="en-AU"/>
        </w:rPr>
        <w:t>3 position subject to the successful completion of</w:t>
      </w:r>
      <w:r w:rsidR="009031E7">
        <w:rPr>
          <w:rFonts w:ascii="Helv" w:hAnsi="Helv" w:cs="Helv"/>
          <w:szCs w:val="20"/>
          <w:lang w:eastAsia="en-AU"/>
        </w:rPr>
        <w:t> </w:t>
      </w:r>
      <w:r w:rsidRPr="00657E8C">
        <w:rPr>
          <w:rFonts w:ascii="Helv" w:hAnsi="Helv" w:cs="Helv"/>
          <w:szCs w:val="20"/>
          <w:lang w:eastAsia="en-AU"/>
        </w:rPr>
        <w:t>their recognised degree.</w:t>
      </w:r>
    </w:p>
    <w:p w14:paraId="1124FFE3" w14:textId="6C5AF1C9" w:rsidR="00D01E35" w:rsidRPr="00657E8C" w:rsidRDefault="009031E7" w:rsidP="00D01E35">
      <w:pPr>
        <w:pStyle w:val="ARbody"/>
        <w:rPr>
          <w:rFonts w:ascii="Helv" w:hAnsi="Helv" w:cs="Helv"/>
          <w:szCs w:val="20"/>
          <w:lang w:eastAsia="en-AU"/>
        </w:rPr>
      </w:pPr>
      <w:r>
        <w:rPr>
          <w:rFonts w:ascii="Helv" w:hAnsi="Helv" w:cs="Helv"/>
          <w:szCs w:val="20"/>
          <w:lang w:eastAsia="en-AU"/>
        </w:rPr>
        <w:br w:type="column"/>
      </w:r>
      <w:r w:rsidR="00D01E35" w:rsidRPr="00657E8C">
        <w:rPr>
          <w:rFonts w:ascii="Helv" w:hAnsi="Helv" w:cs="Helv"/>
          <w:szCs w:val="20"/>
          <w:lang w:eastAsia="en-AU"/>
        </w:rPr>
        <w:t>Based on the success of the 2016–17 VAC</w:t>
      </w:r>
      <w:r>
        <w:rPr>
          <w:rFonts w:ascii="Helv" w:hAnsi="Helv" w:cs="Helv"/>
          <w:szCs w:val="20"/>
          <w:lang w:eastAsia="en-AU"/>
        </w:rPr>
        <w:t> </w:t>
      </w:r>
      <w:r w:rsidR="00D01E35" w:rsidRPr="00657E8C">
        <w:rPr>
          <w:rFonts w:ascii="Helv" w:hAnsi="Helv" w:cs="Helv"/>
          <w:szCs w:val="20"/>
          <w:lang w:eastAsia="en-AU"/>
        </w:rPr>
        <w:t xml:space="preserve">program in boosting the child protection workforce, the program was doubled for 2018 and 2019. Over the </w:t>
      </w:r>
      <w:r w:rsidR="00D01E35">
        <w:rPr>
          <w:rFonts w:ascii="Helv" w:hAnsi="Helv" w:cs="Helv"/>
          <w:szCs w:val="20"/>
          <w:lang w:eastAsia="en-AU"/>
        </w:rPr>
        <w:t>p</w:t>
      </w:r>
      <w:r w:rsidR="00D01E35" w:rsidRPr="00657E8C">
        <w:rPr>
          <w:rFonts w:ascii="Helv" w:hAnsi="Helv" w:cs="Helv"/>
          <w:szCs w:val="20"/>
          <w:lang w:eastAsia="en-AU"/>
        </w:rPr>
        <w:t>ast three years, 85 of the 147 students who have completed the VAC program have subsequently been appointed to</w:t>
      </w:r>
      <w:r>
        <w:rPr>
          <w:rFonts w:ascii="Helv" w:hAnsi="Helv" w:cs="Helv"/>
          <w:szCs w:val="20"/>
          <w:lang w:eastAsia="en-AU"/>
        </w:rPr>
        <w:t> </w:t>
      </w:r>
      <w:r w:rsidR="00D01E35" w:rsidRPr="00657E8C">
        <w:rPr>
          <w:rFonts w:ascii="Helv" w:hAnsi="Helv" w:cs="Helv"/>
          <w:szCs w:val="20"/>
          <w:lang w:eastAsia="en-AU"/>
        </w:rPr>
        <w:t>CPP positions.</w:t>
      </w:r>
    </w:p>
    <w:p w14:paraId="73EB57E1" w14:textId="77777777" w:rsidR="008D124E" w:rsidRDefault="00D01E35" w:rsidP="00D01E35">
      <w:pPr>
        <w:pStyle w:val="Heading3"/>
      </w:pPr>
      <w:r>
        <w:t>Health, safety and wellbeing</w:t>
      </w:r>
    </w:p>
    <w:p w14:paraId="74FE1A8D" w14:textId="532DFEDE" w:rsidR="00D01E35" w:rsidRDefault="00D01E35" w:rsidP="00D01E35">
      <w:pPr>
        <w:pStyle w:val="ARbody"/>
      </w:pPr>
      <w:r>
        <w:t xml:space="preserve">The department makes the wellbeing of its staff a priority. Staff have access to the Employee Wellbeing and Support Program, which provides free, confidential counselling and coaching services to support employees and their immediate family members with work and </w:t>
      </w:r>
      <w:r w:rsidR="009031E7">
        <w:br/>
      </w:r>
      <w:r>
        <w:t>non-work related issues.</w:t>
      </w:r>
    </w:p>
    <w:p w14:paraId="12988471" w14:textId="4A12825B" w:rsidR="008D124E" w:rsidRDefault="00D01E35" w:rsidP="00D01E35">
      <w:pPr>
        <w:pStyle w:val="ARbody"/>
      </w:pPr>
      <w:r>
        <w:t>In June, we launched our new health, safety</w:t>
      </w:r>
      <w:r w:rsidR="009031E7">
        <w:t> </w:t>
      </w:r>
      <w:r>
        <w:t>and</w:t>
      </w:r>
      <w:r w:rsidR="009031E7">
        <w:t> </w:t>
      </w:r>
      <w:r>
        <w:t>wellbeing (HSW) policy and accountabilities, which will be reflected in all</w:t>
      </w:r>
      <w:r w:rsidR="009031E7">
        <w:t> </w:t>
      </w:r>
      <w:r>
        <w:t>staff’s performance and development plans. We have also introduced new HSW training for people managers called Home Safely Every Day</w:t>
      </w:r>
      <w:r w:rsidR="009031E7">
        <w:t> </w:t>
      </w:r>
      <w:r>
        <w:t>– Leading with our values. The training helps managers understand their HSW accountabilities, and provides practical guidance and tools for managers to proactively support themselves and their staff to go home safely every day, both physically and psychologically.</w:t>
      </w:r>
    </w:p>
    <w:p w14:paraId="615CF6EF" w14:textId="269739FE" w:rsidR="00D01E35" w:rsidRDefault="00D01E35" w:rsidP="00D01E35">
      <w:pPr>
        <w:pStyle w:val="Heading3"/>
      </w:pPr>
      <w:r>
        <w:t>Gender equality</w:t>
      </w:r>
    </w:p>
    <w:p w14:paraId="0AD9A292" w14:textId="77777777" w:rsidR="008D124E" w:rsidRDefault="00D01E35" w:rsidP="00D01E35">
      <w:pPr>
        <w:pStyle w:val="ARbody"/>
      </w:pPr>
      <w:r>
        <w:t>The department is committed to gender equality and worked to develop a gender equality action plan. We know that organisations with an equitable gender balance have improved productivity, better organisational performance, and a greater ability to attract and retain talented people.</w:t>
      </w:r>
    </w:p>
    <w:p w14:paraId="53BC4725" w14:textId="32E0A56B" w:rsidR="00D01E35" w:rsidRDefault="00D01E35" w:rsidP="00D01E35">
      <w:pPr>
        <w:pStyle w:val="ARbody"/>
      </w:pPr>
      <w:r>
        <w:t xml:space="preserve">The department provides centralised funding for maternity leave to </w:t>
      </w:r>
      <w:r w:rsidR="009E4510" w:rsidRPr="009E4510">
        <w:t>address potential bias and ensure backfilling</w:t>
      </w:r>
      <w:r w:rsidR="009E4510">
        <w:t xml:space="preserve"> </w:t>
      </w:r>
      <w:r>
        <w:t>maternity leave positions does</w:t>
      </w:r>
      <w:r w:rsidR="009031E7">
        <w:t> </w:t>
      </w:r>
      <w:r>
        <w:t>not cause additional cost and workload pressures. We have also piloted a Grace Papers program that supports staff preparing and returning from parental leave.</w:t>
      </w:r>
    </w:p>
    <w:p w14:paraId="790227F6" w14:textId="226DE0EF" w:rsidR="00D01E35" w:rsidRDefault="00D01E35" w:rsidP="00D01E35">
      <w:pPr>
        <w:pStyle w:val="ARbody"/>
      </w:pPr>
      <w:r>
        <w:t>Staff members who are experiencing violence or</w:t>
      </w:r>
      <w:r w:rsidR="009031E7">
        <w:t> </w:t>
      </w:r>
      <w:r>
        <w:t>abuse in their personal lives can also access paid family violence leave and support through our Employee Wellbeing and Support Program.</w:t>
      </w:r>
    </w:p>
    <w:p w14:paraId="62C3FA2E" w14:textId="77777777" w:rsidR="00C770A0" w:rsidRPr="00657E8C" w:rsidRDefault="00C770A0" w:rsidP="00BD0667">
      <w:pPr>
        <w:pStyle w:val="ARbody"/>
        <w:rPr>
          <w:rFonts w:ascii="Helv" w:hAnsi="Helv" w:cs="Helv"/>
          <w:szCs w:val="20"/>
          <w:lang w:eastAsia="en-AU"/>
        </w:rPr>
      </w:pPr>
    </w:p>
    <w:p w14:paraId="1361B39F" w14:textId="77777777" w:rsidR="00F17551" w:rsidRPr="00657E8C" w:rsidRDefault="00F17551" w:rsidP="00F17551">
      <w:pPr>
        <w:pStyle w:val="ARbody"/>
        <w:sectPr w:rsidR="00F17551" w:rsidRPr="00657E8C" w:rsidSect="000B7C6C">
          <w:type w:val="continuous"/>
          <w:pgSz w:w="11906" w:h="16838" w:code="9"/>
          <w:pgMar w:top="1985" w:right="1416" w:bottom="851" w:left="1418" w:header="510" w:footer="340" w:gutter="0"/>
          <w:cols w:num="2" w:space="454"/>
          <w:docGrid w:linePitch="360"/>
        </w:sectPr>
      </w:pPr>
    </w:p>
    <w:p w14:paraId="2634865F" w14:textId="77777777" w:rsidR="00F17551" w:rsidRPr="00657E8C" w:rsidRDefault="00F17551" w:rsidP="00F17551">
      <w:pPr>
        <w:pStyle w:val="Heading2"/>
        <w:spacing w:before="0"/>
      </w:pPr>
      <w:bookmarkStart w:id="127" w:name="_Ref492905526"/>
      <w:bookmarkStart w:id="128" w:name="_Toc477967497"/>
      <w:r w:rsidRPr="00657E8C">
        <w:lastRenderedPageBreak/>
        <w:t>Comparative workforce data</w:t>
      </w:r>
      <w:bookmarkEnd w:id="127"/>
    </w:p>
    <w:p w14:paraId="4813B969" w14:textId="77777777" w:rsidR="00F17551" w:rsidRPr="00657E8C" w:rsidRDefault="00F17551" w:rsidP="00F17551">
      <w:pPr>
        <w:pStyle w:val="Heading3"/>
      </w:pPr>
      <w:r w:rsidRPr="00657E8C">
        <w:t>Public sector values and employment principles</w:t>
      </w:r>
    </w:p>
    <w:p w14:paraId="29676F64" w14:textId="77777777" w:rsidR="008D124E" w:rsidRDefault="00F17551" w:rsidP="00F17551">
      <w:pPr>
        <w:pStyle w:val="ARbody"/>
      </w:pPr>
      <w:r w:rsidRPr="00657E8C">
        <w:t xml:space="preserve">The </w:t>
      </w:r>
      <w:r w:rsidRPr="00657E8C">
        <w:rPr>
          <w:i/>
        </w:rPr>
        <w:t>Public Administration Act 2004</w:t>
      </w:r>
      <w:r w:rsidRPr="00657E8C">
        <w:t xml:space="preserve"> established the Victorian Public Sector Commission (VPSC). The VPSC’s role is to strengthen public sector efficiency, effectiveness and capability, and advocate for public sector professionalism and integrity.</w:t>
      </w:r>
    </w:p>
    <w:p w14:paraId="624DC580" w14:textId="63B41ACC" w:rsidR="00F17551" w:rsidRPr="00657E8C" w:rsidRDefault="00F17551" w:rsidP="00F17551">
      <w:pPr>
        <w:pStyle w:val="ARbody"/>
      </w:pPr>
      <w:r w:rsidRPr="00657E8C">
        <w:t xml:space="preserve">The </w:t>
      </w:r>
      <w:r w:rsidR="00617EBE">
        <w:t>d</w:t>
      </w:r>
      <w:r w:rsidR="00617EBE" w:rsidRPr="00657E8C">
        <w:t xml:space="preserve">epartment </w:t>
      </w:r>
      <w:r w:rsidRPr="00657E8C">
        <w:t xml:space="preserve">introduced policies and practices that are consistent with the VPSC’s employment standards and provide for fair treatment, career opportunities and the early resolution of workplace issues. The </w:t>
      </w:r>
      <w:r w:rsidR="00617EBE">
        <w:t>d</w:t>
      </w:r>
      <w:r w:rsidRPr="00657E8C">
        <w:t>epartment advised its employees on how to avoid conflicts of interest, how to respond to offers of gifts and</w:t>
      </w:r>
      <w:r w:rsidR="009031E7">
        <w:t> </w:t>
      </w:r>
      <w:r w:rsidRPr="00657E8C">
        <w:t>how it deals with misconduct.</w:t>
      </w:r>
    </w:p>
    <w:p w14:paraId="5C9EA3C1" w14:textId="77777777" w:rsidR="0042338E" w:rsidRPr="00657E8C" w:rsidRDefault="0042338E" w:rsidP="0042338E">
      <w:pPr>
        <w:pStyle w:val="Heading3"/>
      </w:pPr>
      <w:r w:rsidRPr="00657E8C">
        <w:t xml:space="preserve">Full-time equivalent (FTE) staffing trends from 2015 to 2019 </w:t>
      </w:r>
      <w:r w:rsidRPr="00657E8C">
        <w:br/>
        <w:t>(ongoing and fixed term)</w:t>
      </w:r>
    </w:p>
    <w:tbl>
      <w:tblPr>
        <w:tblW w:w="963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1927"/>
        <w:gridCol w:w="1927"/>
        <w:gridCol w:w="1927"/>
        <w:gridCol w:w="1927"/>
        <w:gridCol w:w="1927"/>
      </w:tblGrid>
      <w:tr w:rsidR="0042338E" w:rsidRPr="00657E8C" w14:paraId="665E0736" w14:textId="77777777" w:rsidTr="00E620C7">
        <w:trPr>
          <w:cantSplit/>
        </w:trPr>
        <w:tc>
          <w:tcPr>
            <w:tcW w:w="1927" w:type="dxa"/>
          </w:tcPr>
          <w:p w14:paraId="4CFCFE4D" w14:textId="77777777" w:rsidR="0042338E" w:rsidRPr="00657E8C" w:rsidRDefault="0042338E" w:rsidP="00E620C7">
            <w:pPr>
              <w:pStyle w:val="ARtablecolheadright"/>
            </w:pPr>
            <w:r w:rsidRPr="00657E8C">
              <w:t>June 2019</w:t>
            </w:r>
          </w:p>
        </w:tc>
        <w:tc>
          <w:tcPr>
            <w:tcW w:w="1927" w:type="dxa"/>
          </w:tcPr>
          <w:p w14:paraId="20B4ABFD" w14:textId="77777777" w:rsidR="0042338E" w:rsidRPr="00657E8C" w:rsidRDefault="0042338E" w:rsidP="00E620C7">
            <w:pPr>
              <w:pStyle w:val="ARtablecolheadright"/>
            </w:pPr>
            <w:r w:rsidRPr="00657E8C">
              <w:t>June 2018</w:t>
            </w:r>
          </w:p>
        </w:tc>
        <w:tc>
          <w:tcPr>
            <w:tcW w:w="1927" w:type="dxa"/>
          </w:tcPr>
          <w:p w14:paraId="4E36BE7C" w14:textId="77777777" w:rsidR="0042338E" w:rsidRPr="00657E8C" w:rsidRDefault="0042338E" w:rsidP="00E620C7">
            <w:pPr>
              <w:pStyle w:val="ARtablecolheadright"/>
            </w:pPr>
            <w:r w:rsidRPr="00657E8C">
              <w:t>June 2017</w:t>
            </w:r>
          </w:p>
        </w:tc>
        <w:tc>
          <w:tcPr>
            <w:tcW w:w="1927" w:type="dxa"/>
          </w:tcPr>
          <w:p w14:paraId="25367004" w14:textId="77777777" w:rsidR="0042338E" w:rsidRPr="00657E8C" w:rsidRDefault="0042338E" w:rsidP="00E620C7">
            <w:pPr>
              <w:pStyle w:val="ARtablecolheadright"/>
            </w:pPr>
            <w:r w:rsidRPr="00657E8C">
              <w:t>June 2016</w:t>
            </w:r>
          </w:p>
        </w:tc>
        <w:tc>
          <w:tcPr>
            <w:tcW w:w="1927" w:type="dxa"/>
          </w:tcPr>
          <w:p w14:paraId="3474228B" w14:textId="77777777" w:rsidR="0042338E" w:rsidRPr="00657E8C" w:rsidRDefault="0042338E" w:rsidP="00E620C7">
            <w:pPr>
              <w:pStyle w:val="ARtablecolheadright"/>
            </w:pPr>
            <w:r w:rsidRPr="00657E8C">
              <w:t>June 2015</w:t>
            </w:r>
          </w:p>
        </w:tc>
      </w:tr>
      <w:tr w:rsidR="0042338E" w:rsidRPr="00657E8C" w14:paraId="383E8D55" w14:textId="77777777" w:rsidTr="00E620C7">
        <w:trPr>
          <w:cantSplit/>
        </w:trPr>
        <w:tc>
          <w:tcPr>
            <w:tcW w:w="1927" w:type="dxa"/>
          </w:tcPr>
          <w:p w14:paraId="40477EDB" w14:textId="77777777" w:rsidR="0042338E" w:rsidRPr="00134140" w:rsidRDefault="0042338E" w:rsidP="00E620C7">
            <w:pPr>
              <w:pStyle w:val="ARtabletextright"/>
            </w:pPr>
            <w:r w:rsidRPr="00134140">
              <w:t>10,082</w:t>
            </w:r>
          </w:p>
        </w:tc>
        <w:tc>
          <w:tcPr>
            <w:tcW w:w="1927" w:type="dxa"/>
          </w:tcPr>
          <w:p w14:paraId="11DA620A" w14:textId="77777777" w:rsidR="0042338E" w:rsidRPr="00134140" w:rsidRDefault="0042338E" w:rsidP="00E620C7">
            <w:pPr>
              <w:pStyle w:val="ARtabletextright"/>
            </w:pPr>
            <w:r w:rsidRPr="00134140">
              <w:t>12,101</w:t>
            </w:r>
          </w:p>
        </w:tc>
        <w:tc>
          <w:tcPr>
            <w:tcW w:w="1927" w:type="dxa"/>
          </w:tcPr>
          <w:p w14:paraId="01EFE23E" w14:textId="77777777" w:rsidR="0042338E" w:rsidRPr="00134140" w:rsidRDefault="0042338E" w:rsidP="00E620C7">
            <w:pPr>
              <w:pStyle w:val="ARtabletextright"/>
            </w:pPr>
            <w:r w:rsidRPr="00134140">
              <w:t>11,249</w:t>
            </w:r>
          </w:p>
        </w:tc>
        <w:tc>
          <w:tcPr>
            <w:tcW w:w="1927" w:type="dxa"/>
          </w:tcPr>
          <w:p w14:paraId="6AC7185F" w14:textId="77777777" w:rsidR="0042338E" w:rsidRPr="00134140" w:rsidRDefault="0042338E" w:rsidP="00E620C7">
            <w:pPr>
              <w:pStyle w:val="ARtabletextright"/>
            </w:pPr>
            <w:r w:rsidRPr="00134140">
              <w:t>11,448</w:t>
            </w:r>
          </w:p>
        </w:tc>
        <w:tc>
          <w:tcPr>
            <w:tcW w:w="1927" w:type="dxa"/>
          </w:tcPr>
          <w:p w14:paraId="72FEE906" w14:textId="77777777" w:rsidR="0042338E" w:rsidRPr="00657E8C" w:rsidRDefault="0042338E" w:rsidP="00E620C7">
            <w:pPr>
              <w:pStyle w:val="ARtabletextright"/>
            </w:pPr>
            <w:r w:rsidRPr="00134140">
              <w:t>11,185</w:t>
            </w:r>
          </w:p>
        </w:tc>
      </w:tr>
    </w:tbl>
    <w:p w14:paraId="52C0BCFC" w14:textId="77777777" w:rsidR="00F17551" w:rsidRPr="00657E8C" w:rsidRDefault="00F17551" w:rsidP="00F17551">
      <w:pPr>
        <w:pStyle w:val="Heading3"/>
      </w:pPr>
      <w:r w:rsidRPr="00657E8C">
        <w:t>Summary of employment levels in June of 2018 and 2019</w:t>
      </w:r>
    </w:p>
    <w:tbl>
      <w:tblPr>
        <w:tblW w:w="9634"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1E0" w:firstRow="1" w:lastRow="1" w:firstColumn="1" w:lastColumn="1" w:noHBand="0" w:noVBand="0"/>
      </w:tblPr>
      <w:tblGrid>
        <w:gridCol w:w="1606"/>
        <w:gridCol w:w="1609"/>
        <w:gridCol w:w="1610"/>
        <w:gridCol w:w="1610"/>
        <w:gridCol w:w="1610"/>
        <w:gridCol w:w="1589"/>
      </w:tblGrid>
      <w:tr w:rsidR="00F17551" w:rsidRPr="00657E8C" w14:paraId="5D3E99AB" w14:textId="77777777" w:rsidTr="00F17551">
        <w:trPr>
          <w:cantSplit/>
        </w:trPr>
        <w:tc>
          <w:tcPr>
            <w:tcW w:w="1606" w:type="dxa"/>
            <w:vMerge w:val="restart"/>
            <w:vAlign w:val="bottom"/>
          </w:tcPr>
          <w:p w14:paraId="471EF7D9" w14:textId="77777777" w:rsidR="00F17551" w:rsidRPr="00657E8C" w:rsidRDefault="00F17551" w:rsidP="00F17551">
            <w:pPr>
              <w:jc w:val="right"/>
              <w:rPr>
                <w:rFonts w:cs="Arial"/>
              </w:rPr>
            </w:pPr>
          </w:p>
        </w:tc>
        <w:tc>
          <w:tcPr>
            <w:tcW w:w="6439" w:type="dxa"/>
            <w:gridSpan w:val="4"/>
            <w:vAlign w:val="bottom"/>
          </w:tcPr>
          <w:p w14:paraId="0A1713AE" w14:textId="77777777" w:rsidR="00F17551" w:rsidRPr="00657E8C" w:rsidRDefault="00F17551" w:rsidP="00F17551">
            <w:pPr>
              <w:pStyle w:val="ARtablecolheadcentre"/>
            </w:pPr>
            <w:r w:rsidRPr="00657E8C">
              <w:t>Ongoing employees</w:t>
            </w:r>
          </w:p>
        </w:tc>
        <w:tc>
          <w:tcPr>
            <w:tcW w:w="1589" w:type="dxa"/>
            <w:vAlign w:val="bottom"/>
          </w:tcPr>
          <w:p w14:paraId="325AB781" w14:textId="77777777" w:rsidR="00F17551" w:rsidRPr="00657E8C" w:rsidRDefault="00F17551" w:rsidP="00F17551">
            <w:pPr>
              <w:pStyle w:val="ARtablecolheadcentre"/>
            </w:pPr>
            <w:r w:rsidRPr="00657E8C">
              <w:t>Fixed-term</w:t>
            </w:r>
            <w:r w:rsidRPr="00657E8C">
              <w:br/>
              <w:t xml:space="preserve"> and casual employees</w:t>
            </w:r>
          </w:p>
        </w:tc>
      </w:tr>
      <w:tr w:rsidR="00F17551" w:rsidRPr="00657E8C" w14:paraId="455817A1" w14:textId="77777777" w:rsidTr="00F17551">
        <w:trPr>
          <w:cantSplit/>
        </w:trPr>
        <w:tc>
          <w:tcPr>
            <w:tcW w:w="1606" w:type="dxa"/>
            <w:vMerge/>
          </w:tcPr>
          <w:p w14:paraId="459A0BBD" w14:textId="77777777" w:rsidR="00F17551" w:rsidRPr="00657E8C" w:rsidRDefault="00F17551" w:rsidP="00F17551">
            <w:pPr>
              <w:jc w:val="right"/>
              <w:rPr>
                <w:rFonts w:cs="Arial"/>
              </w:rPr>
            </w:pPr>
          </w:p>
        </w:tc>
        <w:tc>
          <w:tcPr>
            <w:tcW w:w="1609" w:type="dxa"/>
            <w:vAlign w:val="bottom"/>
          </w:tcPr>
          <w:p w14:paraId="41C12A9A" w14:textId="77777777" w:rsidR="00F17551" w:rsidRPr="00657E8C" w:rsidRDefault="00F17551" w:rsidP="00F17551">
            <w:pPr>
              <w:pStyle w:val="ARtablecolheadright"/>
            </w:pPr>
            <w:r w:rsidRPr="00657E8C">
              <w:t>Employees (head count)</w:t>
            </w:r>
          </w:p>
        </w:tc>
        <w:tc>
          <w:tcPr>
            <w:tcW w:w="1610" w:type="dxa"/>
            <w:vAlign w:val="bottom"/>
          </w:tcPr>
          <w:p w14:paraId="2A8C20BA" w14:textId="77777777" w:rsidR="00F17551" w:rsidRPr="00657E8C" w:rsidRDefault="00F17551" w:rsidP="00F17551">
            <w:pPr>
              <w:pStyle w:val="ARtablecolheadright"/>
            </w:pPr>
            <w:r w:rsidRPr="00657E8C">
              <w:t>Full-time (head count)</w:t>
            </w:r>
          </w:p>
        </w:tc>
        <w:tc>
          <w:tcPr>
            <w:tcW w:w="1610" w:type="dxa"/>
            <w:vAlign w:val="bottom"/>
          </w:tcPr>
          <w:p w14:paraId="5CD03DAF" w14:textId="77777777" w:rsidR="00F17551" w:rsidRPr="00657E8C" w:rsidRDefault="00F17551" w:rsidP="00F17551">
            <w:pPr>
              <w:pStyle w:val="ARtablecolheadright"/>
            </w:pPr>
            <w:r w:rsidRPr="00657E8C">
              <w:t>Part-time (head count)</w:t>
            </w:r>
          </w:p>
        </w:tc>
        <w:tc>
          <w:tcPr>
            <w:tcW w:w="1610" w:type="dxa"/>
            <w:vAlign w:val="bottom"/>
          </w:tcPr>
          <w:p w14:paraId="3BDB52AB" w14:textId="77777777" w:rsidR="00F17551" w:rsidRPr="00657E8C" w:rsidRDefault="00F17551" w:rsidP="00F17551">
            <w:pPr>
              <w:pStyle w:val="ARtablecolheadright"/>
            </w:pPr>
            <w:r w:rsidRPr="00657E8C">
              <w:t>Ongoing</w:t>
            </w:r>
            <w:r w:rsidRPr="00657E8C">
              <w:br/>
              <w:t>FTE</w:t>
            </w:r>
          </w:p>
        </w:tc>
        <w:tc>
          <w:tcPr>
            <w:tcW w:w="1589" w:type="dxa"/>
            <w:vAlign w:val="bottom"/>
          </w:tcPr>
          <w:p w14:paraId="67FF39C5" w14:textId="77777777" w:rsidR="00F17551" w:rsidRPr="00657E8C" w:rsidRDefault="00F17551" w:rsidP="00F17551">
            <w:pPr>
              <w:pStyle w:val="ARtablecolheadright"/>
            </w:pPr>
            <w:r w:rsidRPr="00657E8C">
              <w:t>FTE</w:t>
            </w:r>
          </w:p>
        </w:tc>
      </w:tr>
      <w:tr w:rsidR="00F17551" w:rsidRPr="00657E8C" w14:paraId="3017FDA2" w14:textId="77777777" w:rsidTr="00F17551">
        <w:trPr>
          <w:cantSplit/>
        </w:trPr>
        <w:tc>
          <w:tcPr>
            <w:tcW w:w="1606" w:type="dxa"/>
          </w:tcPr>
          <w:p w14:paraId="5F8F45E4" w14:textId="77777777" w:rsidR="00F17551" w:rsidRPr="00657E8C" w:rsidRDefault="00F17551" w:rsidP="00F17551">
            <w:pPr>
              <w:pStyle w:val="ARtabletext"/>
            </w:pPr>
            <w:r w:rsidRPr="00657E8C">
              <w:t>June 2018</w:t>
            </w:r>
          </w:p>
        </w:tc>
        <w:tc>
          <w:tcPr>
            <w:tcW w:w="1609" w:type="dxa"/>
          </w:tcPr>
          <w:p w14:paraId="167923D5" w14:textId="77777777" w:rsidR="00F17551" w:rsidRPr="00657E8C" w:rsidRDefault="00F17551" w:rsidP="00F17551">
            <w:pPr>
              <w:pStyle w:val="ARtabletextright"/>
            </w:pPr>
            <w:r w:rsidRPr="00657E8C">
              <w:t>13</w:t>
            </w:r>
            <w:r w:rsidR="00617EBE">
              <w:t>,</w:t>
            </w:r>
            <w:r w:rsidRPr="00657E8C">
              <w:t>815</w:t>
            </w:r>
          </w:p>
        </w:tc>
        <w:tc>
          <w:tcPr>
            <w:tcW w:w="1610" w:type="dxa"/>
          </w:tcPr>
          <w:p w14:paraId="40605A5A" w14:textId="77777777" w:rsidR="00F17551" w:rsidRPr="00657E8C" w:rsidRDefault="00F17551" w:rsidP="00F17551">
            <w:pPr>
              <w:pStyle w:val="ARtabletextright"/>
            </w:pPr>
            <w:r w:rsidRPr="00657E8C">
              <w:t>6</w:t>
            </w:r>
            <w:r w:rsidR="00617EBE">
              <w:t>,</w:t>
            </w:r>
            <w:r w:rsidRPr="00657E8C">
              <w:t>864</w:t>
            </w:r>
          </w:p>
        </w:tc>
        <w:tc>
          <w:tcPr>
            <w:tcW w:w="1610" w:type="dxa"/>
          </w:tcPr>
          <w:p w14:paraId="4B76FC78" w14:textId="77777777" w:rsidR="00F17551" w:rsidRPr="00657E8C" w:rsidRDefault="00F17551" w:rsidP="00F17551">
            <w:pPr>
              <w:pStyle w:val="ARtabletextright"/>
            </w:pPr>
            <w:r w:rsidRPr="00657E8C">
              <w:t>3</w:t>
            </w:r>
            <w:r w:rsidR="00617EBE">
              <w:t>,</w:t>
            </w:r>
            <w:r w:rsidRPr="00657E8C">
              <w:t>683</w:t>
            </w:r>
          </w:p>
        </w:tc>
        <w:tc>
          <w:tcPr>
            <w:tcW w:w="1610" w:type="dxa"/>
          </w:tcPr>
          <w:p w14:paraId="2EC07644" w14:textId="77777777" w:rsidR="00F17551" w:rsidRPr="00657E8C" w:rsidRDefault="00F17551" w:rsidP="00F17551">
            <w:pPr>
              <w:pStyle w:val="ARtabletextright"/>
            </w:pPr>
            <w:r w:rsidRPr="00657E8C">
              <w:t>9</w:t>
            </w:r>
            <w:r w:rsidR="00617EBE">
              <w:t>,</w:t>
            </w:r>
            <w:r w:rsidRPr="00657E8C">
              <w:t>645.9</w:t>
            </w:r>
          </w:p>
        </w:tc>
        <w:tc>
          <w:tcPr>
            <w:tcW w:w="1589" w:type="dxa"/>
          </w:tcPr>
          <w:p w14:paraId="2885CD0C" w14:textId="77777777" w:rsidR="00F17551" w:rsidRPr="00657E8C" w:rsidRDefault="00F17551" w:rsidP="00F17551">
            <w:pPr>
              <w:pStyle w:val="ARtabletextright"/>
            </w:pPr>
            <w:r w:rsidRPr="00657E8C">
              <w:t>2</w:t>
            </w:r>
            <w:r w:rsidR="00617EBE">
              <w:t>,</w:t>
            </w:r>
            <w:r w:rsidRPr="00657E8C">
              <w:t>454.6</w:t>
            </w:r>
          </w:p>
        </w:tc>
      </w:tr>
      <w:tr w:rsidR="00F17551" w:rsidRPr="00657E8C" w14:paraId="14E345EF" w14:textId="77777777" w:rsidTr="00F17551">
        <w:trPr>
          <w:cantSplit/>
        </w:trPr>
        <w:tc>
          <w:tcPr>
            <w:tcW w:w="1606" w:type="dxa"/>
          </w:tcPr>
          <w:p w14:paraId="2369F324" w14:textId="77777777" w:rsidR="00F17551" w:rsidRPr="00657E8C" w:rsidRDefault="00F17551" w:rsidP="00F17551">
            <w:pPr>
              <w:pStyle w:val="ARtabletext"/>
            </w:pPr>
            <w:r w:rsidRPr="00657E8C">
              <w:t>June 2019</w:t>
            </w:r>
          </w:p>
        </w:tc>
        <w:tc>
          <w:tcPr>
            <w:tcW w:w="1609" w:type="dxa"/>
          </w:tcPr>
          <w:p w14:paraId="32A163E7" w14:textId="77777777" w:rsidR="00F17551" w:rsidRPr="00657E8C" w:rsidRDefault="00F17551" w:rsidP="00F17551">
            <w:pPr>
              <w:pStyle w:val="ARtabletextright"/>
            </w:pPr>
            <w:r w:rsidRPr="00657E8C">
              <w:t>11</w:t>
            </w:r>
            <w:r w:rsidR="00617EBE">
              <w:t>,</w:t>
            </w:r>
            <w:r w:rsidRPr="00657E8C">
              <w:t>241</w:t>
            </w:r>
          </w:p>
        </w:tc>
        <w:tc>
          <w:tcPr>
            <w:tcW w:w="1610" w:type="dxa"/>
          </w:tcPr>
          <w:p w14:paraId="748254C1" w14:textId="77777777" w:rsidR="00F17551" w:rsidRPr="00657E8C" w:rsidRDefault="00F17551" w:rsidP="00F17551">
            <w:pPr>
              <w:pStyle w:val="ARtabletextright"/>
            </w:pPr>
            <w:r w:rsidRPr="00657E8C">
              <w:t>6</w:t>
            </w:r>
            <w:r w:rsidR="00617EBE">
              <w:t>,</w:t>
            </w:r>
            <w:r w:rsidRPr="00657E8C">
              <w:t>125</w:t>
            </w:r>
          </w:p>
        </w:tc>
        <w:tc>
          <w:tcPr>
            <w:tcW w:w="1610" w:type="dxa"/>
          </w:tcPr>
          <w:p w14:paraId="46FA6706" w14:textId="77777777" w:rsidR="00F17551" w:rsidRPr="00657E8C" w:rsidRDefault="00F17551" w:rsidP="00F17551">
            <w:pPr>
              <w:pStyle w:val="ARtabletextright"/>
            </w:pPr>
            <w:r w:rsidRPr="00657E8C">
              <w:t>2</w:t>
            </w:r>
            <w:r w:rsidR="00617EBE">
              <w:t>,</w:t>
            </w:r>
            <w:r w:rsidRPr="00657E8C">
              <w:t>550</w:t>
            </w:r>
          </w:p>
        </w:tc>
        <w:tc>
          <w:tcPr>
            <w:tcW w:w="1610" w:type="dxa"/>
          </w:tcPr>
          <w:p w14:paraId="0F4F3536" w14:textId="77777777" w:rsidR="00F17551" w:rsidRPr="00657E8C" w:rsidRDefault="00F17551" w:rsidP="00F17551">
            <w:pPr>
              <w:pStyle w:val="ARtabletextright"/>
            </w:pPr>
            <w:r w:rsidRPr="00657E8C">
              <w:t>7</w:t>
            </w:r>
            <w:r w:rsidR="00617EBE">
              <w:t>,</w:t>
            </w:r>
            <w:r w:rsidRPr="00657E8C">
              <w:t>997.4</w:t>
            </w:r>
          </w:p>
        </w:tc>
        <w:tc>
          <w:tcPr>
            <w:tcW w:w="1589" w:type="dxa"/>
          </w:tcPr>
          <w:p w14:paraId="6CB91EE6" w14:textId="77777777" w:rsidR="00F17551" w:rsidRPr="00657E8C" w:rsidRDefault="00F17551" w:rsidP="00F17551">
            <w:pPr>
              <w:pStyle w:val="ARtabletextright"/>
            </w:pPr>
            <w:r w:rsidRPr="00657E8C">
              <w:t>2085</w:t>
            </w:r>
          </w:p>
        </w:tc>
      </w:tr>
    </w:tbl>
    <w:p w14:paraId="6DFE9659" w14:textId="11904238" w:rsidR="00F17551" w:rsidRPr="00657E8C" w:rsidRDefault="00F17551" w:rsidP="00F17551">
      <w:pPr>
        <w:pStyle w:val="ARtablefootnote"/>
      </w:pPr>
      <w:bookmarkStart w:id="129" w:name="_Ref492905539"/>
    </w:p>
    <w:p w14:paraId="5ADABAD5" w14:textId="77777777" w:rsidR="00985BCE" w:rsidRPr="00657E8C" w:rsidRDefault="00985BCE" w:rsidP="00F17551">
      <w:pPr>
        <w:pStyle w:val="Heading3"/>
        <w:sectPr w:rsidR="00985BCE" w:rsidRPr="00657E8C" w:rsidSect="001719E6">
          <w:pgSz w:w="11906" w:h="16838" w:code="9"/>
          <w:pgMar w:top="1985" w:right="851" w:bottom="851" w:left="1418" w:header="510" w:footer="340" w:gutter="0"/>
          <w:cols w:space="708"/>
          <w:docGrid w:linePitch="360"/>
        </w:sectPr>
      </w:pPr>
    </w:p>
    <w:p w14:paraId="143E69CE" w14:textId="77777777" w:rsidR="0042338E" w:rsidRDefault="00207BA8" w:rsidP="009031E7">
      <w:pPr>
        <w:pStyle w:val="Heading3"/>
        <w:spacing w:before="0"/>
      </w:pPr>
      <w:bookmarkStart w:id="130" w:name="_Hlk19622676"/>
      <w:r>
        <w:lastRenderedPageBreak/>
        <w:t xml:space="preserve">Department of Health and Human Services </w:t>
      </w:r>
      <w:r w:rsidR="0042338E" w:rsidRPr="00657E8C">
        <w:t>employment levels in June of 2018 and 2019</w:t>
      </w:r>
    </w:p>
    <w:tbl>
      <w:tblPr>
        <w:tblStyle w:val="TableGrid"/>
        <w:tblW w:w="14005" w:type="dxa"/>
        <w:tblInd w:w="-10" w:type="dxa"/>
        <w:tblLook w:val="06A0" w:firstRow="1" w:lastRow="0" w:firstColumn="1" w:lastColumn="0" w:noHBand="1" w:noVBand="1"/>
      </w:tblPr>
      <w:tblGrid>
        <w:gridCol w:w="1696"/>
        <w:gridCol w:w="1058"/>
        <w:gridCol w:w="809"/>
        <w:gridCol w:w="1029"/>
        <w:gridCol w:w="1044"/>
        <w:gridCol w:w="709"/>
        <w:gridCol w:w="789"/>
        <w:gridCol w:w="709"/>
        <w:gridCol w:w="789"/>
        <w:gridCol w:w="809"/>
        <w:gridCol w:w="1029"/>
        <w:gridCol w:w="1044"/>
        <w:gridCol w:w="709"/>
        <w:gridCol w:w="1058"/>
        <w:gridCol w:w="709"/>
        <w:gridCol w:w="15"/>
      </w:tblGrid>
      <w:tr w:rsidR="009031E7" w:rsidRPr="00657E8C" w14:paraId="6B21AEED" w14:textId="77777777" w:rsidTr="00F16145">
        <w:trPr>
          <w:gridAfter w:val="1"/>
          <w:cnfStyle w:val="100000000000" w:firstRow="1" w:lastRow="0" w:firstColumn="0" w:lastColumn="0" w:oddVBand="0" w:evenVBand="0" w:oddHBand="0" w:evenHBand="0" w:firstRowFirstColumn="0" w:firstRowLastColumn="0" w:lastRowFirstColumn="0" w:lastRowLastColumn="0"/>
          <w:wAfter w:w="15" w:type="dxa"/>
          <w:tblHeader/>
        </w:trPr>
        <w:tc>
          <w:tcPr>
            <w:tcW w:w="1696" w:type="dxa"/>
            <w:vMerge w:val="restart"/>
          </w:tcPr>
          <w:p w14:paraId="396DB0F2" w14:textId="77777777" w:rsidR="009031E7" w:rsidRPr="00657E8C" w:rsidRDefault="009031E7" w:rsidP="008F035E">
            <w:pPr>
              <w:spacing w:before="20" w:after="20"/>
              <w:rPr>
                <w:rFonts w:eastAsia="Tahoma" w:cs="Arial"/>
                <w:i/>
                <w:iCs/>
                <w:sz w:val="15"/>
                <w:szCs w:val="15"/>
              </w:rPr>
            </w:pPr>
          </w:p>
        </w:tc>
        <w:tc>
          <w:tcPr>
            <w:tcW w:w="0" w:type="auto"/>
            <w:gridSpan w:val="7"/>
          </w:tcPr>
          <w:p w14:paraId="4029F4BA" w14:textId="77777777" w:rsidR="009031E7" w:rsidRPr="00657E8C" w:rsidRDefault="009031E7" w:rsidP="00E620C7">
            <w:pPr>
              <w:pStyle w:val="ARtablecolheadcentre"/>
            </w:pPr>
            <w:r w:rsidRPr="00657E8C">
              <w:t>June 201</w:t>
            </w:r>
            <w:r>
              <w:t>9</w:t>
            </w:r>
          </w:p>
        </w:tc>
        <w:tc>
          <w:tcPr>
            <w:tcW w:w="0" w:type="auto"/>
            <w:gridSpan w:val="7"/>
          </w:tcPr>
          <w:p w14:paraId="249E61FB" w14:textId="77777777" w:rsidR="009031E7" w:rsidRPr="00657E8C" w:rsidRDefault="009031E7" w:rsidP="00E620C7">
            <w:pPr>
              <w:pStyle w:val="ARtablecolheadcentre"/>
            </w:pPr>
            <w:r w:rsidRPr="00657E8C">
              <w:t>June 201</w:t>
            </w:r>
            <w:r>
              <w:t>8</w:t>
            </w:r>
          </w:p>
        </w:tc>
      </w:tr>
      <w:tr w:rsidR="009031E7" w:rsidRPr="00657E8C" w14:paraId="18F910DE" w14:textId="77777777" w:rsidTr="00F16145">
        <w:trPr>
          <w:gridAfter w:val="1"/>
          <w:cnfStyle w:val="100000000000" w:firstRow="1" w:lastRow="0" w:firstColumn="0" w:lastColumn="0" w:oddVBand="0" w:evenVBand="0" w:oddHBand="0" w:evenHBand="0" w:firstRowFirstColumn="0" w:firstRowLastColumn="0" w:lastRowFirstColumn="0" w:lastRowLastColumn="0"/>
          <w:wAfter w:w="15" w:type="dxa"/>
          <w:tblHeader/>
        </w:trPr>
        <w:tc>
          <w:tcPr>
            <w:tcW w:w="1696" w:type="dxa"/>
            <w:vMerge/>
          </w:tcPr>
          <w:p w14:paraId="0640A4A6" w14:textId="77777777" w:rsidR="009031E7" w:rsidRPr="00657E8C" w:rsidRDefault="009031E7" w:rsidP="00E620C7">
            <w:pPr>
              <w:jc w:val="center"/>
              <w:rPr>
                <w:rFonts w:eastAsia="Tahoma" w:cs="Arial"/>
                <w:i/>
                <w:iCs/>
                <w:sz w:val="15"/>
                <w:szCs w:val="15"/>
              </w:rPr>
            </w:pPr>
          </w:p>
        </w:tc>
        <w:tc>
          <w:tcPr>
            <w:tcW w:w="0" w:type="auto"/>
            <w:gridSpan w:val="2"/>
          </w:tcPr>
          <w:p w14:paraId="78F9332B" w14:textId="77777777" w:rsidR="009031E7" w:rsidRPr="00657E8C" w:rsidRDefault="009031E7" w:rsidP="00E620C7">
            <w:pPr>
              <w:pStyle w:val="ARtablecolheadcentre"/>
            </w:pPr>
            <w:r w:rsidRPr="00657E8C">
              <w:t>All employees</w:t>
            </w:r>
          </w:p>
        </w:tc>
        <w:tc>
          <w:tcPr>
            <w:tcW w:w="0" w:type="auto"/>
            <w:gridSpan w:val="3"/>
          </w:tcPr>
          <w:p w14:paraId="0B2CE1AD" w14:textId="77777777" w:rsidR="009031E7" w:rsidRPr="00657E8C" w:rsidRDefault="009031E7" w:rsidP="00E620C7">
            <w:pPr>
              <w:pStyle w:val="ARtablecolheadcentre"/>
            </w:pPr>
            <w:r w:rsidRPr="00657E8C">
              <w:t>Ongoing</w:t>
            </w:r>
          </w:p>
        </w:tc>
        <w:tc>
          <w:tcPr>
            <w:tcW w:w="0" w:type="auto"/>
            <w:gridSpan w:val="2"/>
          </w:tcPr>
          <w:p w14:paraId="53DA506F" w14:textId="77777777" w:rsidR="009031E7" w:rsidRPr="00657E8C" w:rsidRDefault="009031E7" w:rsidP="00E620C7">
            <w:pPr>
              <w:pStyle w:val="ARtablecolheadcentre"/>
            </w:pPr>
            <w:r w:rsidRPr="00657E8C">
              <w:t xml:space="preserve">Fixed term </w:t>
            </w:r>
            <w:r w:rsidRPr="00657E8C">
              <w:br/>
              <w:t>and casual</w:t>
            </w:r>
          </w:p>
        </w:tc>
        <w:tc>
          <w:tcPr>
            <w:tcW w:w="0" w:type="auto"/>
            <w:gridSpan w:val="2"/>
          </w:tcPr>
          <w:p w14:paraId="794CA111" w14:textId="77777777" w:rsidR="009031E7" w:rsidRPr="00657E8C" w:rsidRDefault="009031E7" w:rsidP="00E620C7">
            <w:pPr>
              <w:pStyle w:val="ARtablecolheadcentre"/>
            </w:pPr>
            <w:r w:rsidRPr="00657E8C">
              <w:t>All employees</w:t>
            </w:r>
          </w:p>
        </w:tc>
        <w:tc>
          <w:tcPr>
            <w:tcW w:w="0" w:type="auto"/>
            <w:gridSpan w:val="3"/>
          </w:tcPr>
          <w:p w14:paraId="0BCBF4DA" w14:textId="77777777" w:rsidR="009031E7" w:rsidRPr="00657E8C" w:rsidRDefault="009031E7" w:rsidP="00E620C7">
            <w:pPr>
              <w:pStyle w:val="ARtablecolheadcentre"/>
            </w:pPr>
            <w:r w:rsidRPr="00657E8C">
              <w:t>Ongoing</w:t>
            </w:r>
          </w:p>
        </w:tc>
        <w:tc>
          <w:tcPr>
            <w:tcW w:w="0" w:type="auto"/>
            <w:gridSpan w:val="2"/>
          </w:tcPr>
          <w:p w14:paraId="2A7D036C" w14:textId="77777777" w:rsidR="009031E7" w:rsidRPr="00657E8C" w:rsidRDefault="009031E7" w:rsidP="00E620C7">
            <w:pPr>
              <w:pStyle w:val="ARtablecolheadcentre"/>
            </w:pPr>
            <w:r w:rsidRPr="00657E8C">
              <w:t xml:space="preserve">Fixed term </w:t>
            </w:r>
            <w:r w:rsidRPr="00657E8C">
              <w:br/>
              <w:t>and casual</w:t>
            </w:r>
          </w:p>
        </w:tc>
      </w:tr>
      <w:tr w:rsidR="009031E7" w:rsidRPr="00657E8C" w14:paraId="0E550E73" w14:textId="77777777" w:rsidTr="00F16145">
        <w:trPr>
          <w:gridAfter w:val="1"/>
          <w:cnfStyle w:val="100000000000" w:firstRow="1" w:lastRow="0" w:firstColumn="0" w:lastColumn="0" w:oddVBand="0" w:evenVBand="0" w:oddHBand="0" w:evenHBand="0" w:firstRowFirstColumn="0" w:firstRowLastColumn="0" w:lastRowFirstColumn="0" w:lastRowLastColumn="0"/>
          <w:wAfter w:w="15" w:type="dxa"/>
          <w:tblHeader/>
        </w:trPr>
        <w:tc>
          <w:tcPr>
            <w:tcW w:w="1696" w:type="dxa"/>
            <w:vMerge/>
          </w:tcPr>
          <w:p w14:paraId="2608C4D4" w14:textId="77777777" w:rsidR="009031E7" w:rsidRPr="00657E8C" w:rsidRDefault="009031E7" w:rsidP="00E620C7">
            <w:pPr>
              <w:jc w:val="right"/>
              <w:rPr>
                <w:rFonts w:eastAsia="Tahoma" w:cs="Arial"/>
                <w:i/>
                <w:iCs/>
                <w:noProof/>
                <w:sz w:val="15"/>
                <w:szCs w:val="15"/>
              </w:rPr>
            </w:pPr>
          </w:p>
        </w:tc>
        <w:tc>
          <w:tcPr>
            <w:tcW w:w="0" w:type="auto"/>
          </w:tcPr>
          <w:p w14:paraId="3973CAFD" w14:textId="77777777" w:rsidR="009031E7" w:rsidRPr="00657E8C" w:rsidRDefault="009031E7" w:rsidP="00E620C7">
            <w:pPr>
              <w:pStyle w:val="ARtablecolheadright"/>
            </w:pPr>
            <w:r w:rsidRPr="00657E8C">
              <w:t>Number (head</w:t>
            </w:r>
            <w:r w:rsidRPr="00657E8C">
              <w:br/>
              <w:t>count)</w:t>
            </w:r>
          </w:p>
        </w:tc>
        <w:tc>
          <w:tcPr>
            <w:tcW w:w="0" w:type="auto"/>
          </w:tcPr>
          <w:p w14:paraId="2A3F1AD0" w14:textId="77777777" w:rsidR="009031E7" w:rsidRPr="00657E8C" w:rsidRDefault="009031E7" w:rsidP="00E620C7">
            <w:pPr>
              <w:pStyle w:val="ARtablecolheadright"/>
            </w:pPr>
            <w:r w:rsidRPr="00657E8C">
              <w:t>FTE</w:t>
            </w:r>
          </w:p>
        </w:tc>
        <w:tc>
          <w:tcPr>
            <w:tcW w:w="0" w:type="auto"/>
          </w:tcPr>
          <w:p w14:paraId="51F45B4D" w14:textId="77777777" w:rsidR="009031E7" w:rsidRPr="00657E8C" w:rsidRDefault="009031E7" w:rsidP="00E620C7">
            <w:pPr>
              <w:pStyle w:val="ARtablecolheadright"/>
            </w:pPr>
            <w:r w:rsidRPr="00657E8C">
              <w:t>Full-time (head</w:t>
            </w:r>
            <w:r w:rsidRPr="00657E8C">
              <w:br/>
              <w:t>count)</w:t>
            </w:r>
          </w:p>
        </w:tc>
        <w:tc>
          <w:tcPr>
            <w:tcW w:w="0" w:type="auto"/>
          </w:tcPr>
          <w:p w14:paraId="265F8C97" w14:textId="77777777" w:rsidR="009031E7" w:rsidRPr="00657E8C" w:rsidRDefault="009031E7" w:rsidP="00E620C7">
            <w:pPr>
              <w:pStyle w:val="ARtablecolheadright"/>
            </w:pPr>
            <w:r w:rsidRPr="00657E8C">
              <w:t>Part-time (head</w:t>
            </w:r>
            <w:r w:rsidRPr="00657E8C">
              <w:br/>
              <w:t>count)</w:t>
            </w:r>
          </w:p>
        </w:tc>
        <w:tc>
          <w:tcPr>
            <w:tcW w:w="0" w:type="auto"/>
          </w:tcPr>
          <w:p w14:paraId="3AA13ABF" w14:textId="77777777" w:rsidR="009031E7" w:rsidRPr="00657E8C" w:rsidRDefault="009031E7" w:rsidP="00E620C7">
            <w:pPr>
              <w:pStyle w:val="ARtablecolheadright"/>
            </w:pPr>
            <w:r w:rsidRPr="00657E8C">
              <w:t>FTE</w:t>
            </w:r>
          </w:p>
        </w:tc>
        <w:tc>
          <w:tcPr>
            <w:tcW w:w="0" w:type="auto"/>
          </w:tcPr>
          <w:p w14:paraId="77B8BF69" w14:textId="45379396" w:rsidR="009031E7" w:rsidRPr="00657E8C" w:rsidRDefault="009031E7" w:rsidP="009031E7">
            <w:pPr>
              <w:pStyle w:val="ARtablecolheadright"/>
            </w:pPr>
            <w:r w:rsidRPr="00657E8C">
              <w:t>Number</w:t>
            </w:r>
            <w:r>
              <w:br/>
            </w:r>
            <w:r w:rsidRPr="00657E8C">
              <w:t>(head</w:t>
            </w:r>
            <w:r w:rsidRPr="00657E8C">
              <w:br/>
              <w:t>count)</w:t>
            </w:r>
          </w:p>
        </w:tc>
        <w:tc>
          <w:tcPr>
            <w:tcW w:w="0" w:type="auto"/>
          </w:tcPr>
          <w:p w14:paraId="05942173" w14:textId="77777777" w:rsidR="009031E7" w:rsidRPr="00657E8C" w:rsidRDefault="009031E7" w:rsidP="00E620C7">
            <w:pPr>
              <w:pStyle w:val="ARtablecolheadright"/>
            </w:pPr>
            <w:r w:rsidRPr="00657E8C">
              <w:t>FTE</w:t>
            </w:r>
          </w:p>
        </w:tc>
        <w:tc>
          <w:tcPr>
            <w:tcW w:w="0" w:type="auto"/>
          </w:tcPr>
          <w:p w14:paraId="42635390" w14:textId="6EA716D3" w:rsidR="009031E7" w:rsidRPr="00657E8C" w:rsidRDefault="009031E7" w:rsidP="009031E7">
            <w:pPr>
              <w:pStyle w:val="ARtablecolheadright"/>
            </w:pPr>
            <w:r w:rsidRPr="00657E8C">
              <w:t>Number</w:t>
            </w:r>
            <w:r>
              <w:br/>
            </w:r>
            <w:r w:rsidRPr="00657E8C">
              <w:t>(head</w:t>
            </w:r>
            <w:r w:rsidRPr="00657E8C">
              <w:br/>
              <w:t>count)</w:t>
            </w:r>
          </w:p>
        </w:tc>
        <w:tc>
          <w:tcPr>
            <w:tcW w:w="0" w:type="auto"/>
          </w:tcPr>
          <w:p w14:paraId="77898FE7" w14:textId="77777777" w:rsidR="009031E7" w:rsidRPr="00657E8C" w:rsidRDefault="009031E7" w:rsidP="00E620C7">
            <w:pPr>
              <w:pStyle w:val="ARtablecolheadright"/>
            </w:pPr>
            <w:r w:rsidRPr="00657E8C">
              <w:t>FTE</w:t>
            </w:r>
          </w:p>
        </w:tc>
        <w:tc>
          <w:tcPr>
            <w:tcW w:w="0" w:type="auto"/>
          </w:tcPr>
          <w:p w14:paraId="736293E4" w14:textId="77777777" w:rsidR="009031E7" w:rsidRPr="00657E8C" w:rsidRDefault="009031E7" w:rsidP="00E620C7">
            <w:pPr>
              <w:pStyle w:val="ARtablecolheadright"/>
            </w:pPr>
            <w:r w:rsidRPr="00657E8C">
              <w:t>Full-time (head</w:t>
            </w:r>
            <w:r w:rsidRPr="00657E8C">
              <w:br/>
              <w:t>count)</w:t>
            </w:r>
          </w:p>
        </w:tc>
        <w:tc>
          <w:tcPr>
            <w:tcW w:w="0" w:type="auto"/>
          </w:tcPr>
          <w:p w14:paraId="27D07F26" w14:textId="77777777" w:rsidR="009031E7" w:rsidRPr="00657E8C" w:rsidRDefault="009031E7" w:rsidP="00E620C7">
            <w:pPr>
              <w:pStyle w:val="ARtablecolheadright"/>
            </w:pPr>
            <w:r w:rsidRPr="00657E8C">
              <w:t>Part-time (head</w:t>
            </w:r>
            <w:r w:rsidRPr="00657E8C">
              <w:br/>
              <w:t>count)</w:t>
            </w:r>
          </w:p>
        </w:tc>
        <w:tc>
          <w:tcPr>
            <w:tcW w:w="0" w:type="auto"/>
          </w:tcPr>
          <w:p w14:paraId="04AAAF3F" w14:textId="77777777" w:rsidR="009031E7" w:rsidRPr="00657E8C" w:rsidRDefault="009031E7" w:rsidP="00E620C7">
            <w:pPr>
              <w:pStyle w:val="ARtablecolheadright"/>
            </w:pPr>
            <w:r w:rsidRPr="00657E8C">
              <w:t>FTE</w:t>
            </w:r>
          </w:p>
        </w:tc>
        <w:tc>
          <w:tcPr>
            <w:tcW w:w="0" w:type="auto"/>
          </w:tcPr>
          <w:p w14:paraId="2311C095" w14:textId="77777777" w:rsidR="009031E7" w:rsidRPr="00657E8C" w:rsidRDefault="009031E7" w:rsidP="00E620C7">
            <w:pPr>
              <w:pStyle w:val="ARtablecolheadright"/>
            </w:pPr>
            <w:r w:rsidRPr="00657E8C">
              <w:t>Number (head</w:t>
            </w:r>
            <w:r w:rsidRPr="00657E8C">
              <w:br/>
              <w:t>count)</w:t>
            </w:r>
          </w:p>
        </w:tc>
        <w:tc>
          <w:tcPr>
            <w:tcW w:w="0" w:type="auto"/>
          </w:tcPr>
          <w:p w14:paraId="7B15CC8C" w14:textId="77777777" w:rsidR="009031E7" w:rsidRPr="00657E8C" w:rsidRDefault="009031E7" w:rsidP="00E620C7">
            <w:pPr>
              <w:pStyle w:val="ARtablecolheadright"/>
            </w:pPr>
            <w:r w:rsidRPr="00657E8C">
              <w:t>FTE</w:t>
            </w:r>
          </w:p>
        </w:tc>
      </w:tr>
      <w:tr w:rsidR="0042338E" w:rsidRPr="00657E8C" w14:paraId="63F8E702" w14:textId="77777777" w:rsidTr="00F16145">
        <w:tc>
          <w:tcPr>
            <w:tcW w:w="14291" w:type="dxa"/>
            <w:gridSpan w:val="16"/>
          </w:tcPr>
          <w:p w14:paraId="7018015B" w14:textId="77777777" w:rsidR="0042338E" w:rsidRPr="00657E8C" w:rsidRDefault="0042338E" w:rsidP="00E620C7">
            <w:pPr>
              <w:pStyle w:val="ARtablebluebold"/>
              <w:rPr>
                <w:rFonts w:eastAsia="Arial" w:cs="Times New Roman"/>
              </w:rPr>
            </w:pPr>
            <w:r w:rsidRPr="00657E8C">
              <w:t>Gender</w:t>
            </w:r>
          </w:p>
        </w:tc>
      </w:tr>
      <w:tr w:rsidR="0042338E" w:rsidRPr="00657E8C" w14:paraId="42F59C07" w14:textId="77777777" w:rsidTr="00F16145">
        <w:trPr>
          <w:gridAfter w:val="1"/>
          <w:wAfter w:w="15" w:type="dxa"/>
        </w:trPr>
        <w:tc>
          <w:tcPr>
            <w:tcW w:w="1696" w:type="dxa"/>
          </w:tcPr>
          <w:p w14:paraId="5EC327BE" w14:textId="77777777" w:rsidR="0042338E" w:rsidRPr="00657E8C" w:rsidRDefault="0042338E" w:rsidP="00E620C7">
            <w:pPr>
              <w:pStyle w:val="ARtabletext"/>
            </w:pPr>
            <w:r w:rsidRPr="00657E8C">
              <w:t xml:space="preserve">Women </w:t>
            </w:r>
          </w:p>
        </w:tc>
        <w:tc>
          <w:tcPr>
            <w:tcW w:w="0" w:type="auto"/>
          </w:tcPr>
          <w:p w14:paraId="7FD89310" w14:textId="77777777" w:rsidR="0042338E" w:rsidRPr="00657E8C" w:rsidRDefault="0042338E" w:rsidP="00E620C7">
            <w:pPr>
              <w:pStyle w:val="ARtabletextright"/>
            </w:pPr>
            <w:r w:rsidRPr="00657E8C">
              <w:t>8</w:t>
            </w:r>
            <w:r>
              <w:t>,</w:t>
            </w:r>
            <w:r w:rsidRPr="00657E8C">
              <w:t>075</w:t>
            </w:r>
          </w:p>
        </w:tc>
        <w:tc>
          <w:tcPr>
            <w:tcW w:w="0" w:type="auto"/>
          </w:tcPr>
          <w:p w14:paraId="328ED45C" w14:textId="77777777" w:rsidR="0042338E" w:rsidRPr="00657E8C" w:rsidRDefault="0042338E" w:rsidP="00E620C7">
            <w:pPr>
              <w:pStyle w:val="ARtabletextright"/>
            </w:pPr>
            <w:r w:rsidRPr="00657E8C">
              <w:t>7</w:t>
            </w:r>
            <w:r>
              <w:t>,</w:t>
            </w:r>
            <w:r w:rsidRPr="00657E8C">
              <w:t>125.3</w:t>
            </w:r>
          </w:p>
        </w:tc>
        <w:tc>
          <w:tcPr>
            <w:tcW w:w="0" w:type="auto"/>
          </w:tcPr>
          <w:p w14:paraId="2C759787" w14:textId="77777777" w:rsidR="0042338E" w:rsidRPr="00657E8C" w:rsidRDefault="0042338E" w:rsidP="00E620C7">
            <w:pPr>
              <w:pStyle w:val="ARtabletextright"/>
            </w:pPr>
            <w:r w:rsidRPr="00657E8C">
              <w:t>4</w:t>
            </w:r>
            <w:r>
              <w:t>,</w:t>
            </w:r>
            <w:r w:rsidRPr="00657E8C">
              <w:t>115</w:t>
            </w:r>
          </w:p>
        </w:tc>
        <w:tc>
          <w:tcPr>
            <w:tcW w:w="0" w:type="auto"/>
          </w:tcPr>
          <w:p w14:paraId="3642E22C" w14:textId="77777777" w:rsidR="0042338E" w:rsidRPr="00657E8C" w:rsidRDefault="0042338E" w:rsidP="00E620C7">
            <w:pPr>
              <w:pStyle w:val="ARtabletextright"/>
            </w:pPr>
            <w:r w:rsidRPr="00657E8C">
              <w:t>2</w:t>
            </w:r>
            <w:r>
              <w:t>,</w:t>
            </w:r>
            <w:r w:rsidRPr="00657E8C">
              <w:t>092</w:t>
            </w:r>
          </w:p>
        </w:tc>
        <w:tc>
          <w:tcPr>
            <w:tcW w:w="0" w:type="auto"/>
          </w:tcPr>
          <w:p w14:paraId="3EEB7A71" w14:textId="77777777" w:rsidR="0042338E" w:rsidRPr="00657E8C" w:rsidRDefault="0042338E" w:rsidP="00E620C7">
            <w:pPr>
              <w:pStyle w:val="ARtabletextright"/>
            </w:pPr>
            <w:r w:rsidRPr="00657E8C">
              <w:t>5</w:t>
            </w:r>
            <w:r>
              <w:t>,</w:t>
            </w:r>
            <w:r w:rsidRPr="00657E8C">
              <w:t>624.2</w:t>
            </w:r>
          </w:p>
        </w:tc>
        <w:tc>
          <w:tcPr>
            <w:tcW w:w="0" w:type="auto"/>
          </w:tcPr>
          <w:p w14:paraId="6AC50D53" w14:textId="77777777" w:rsidR="0042338E" w:rsidRPr="00657E8C" w:rsidRDefault="0042338E" w:rsidP="00E620C7">
            <w:pPr>
              <w:pStyle w:val="ARtabletextright"/>
            </w:pPr>
            <w:r w:rsidRPr="00657E8C">
              <w:t>1</w:t>
            </w:r>
            <w:r>
              <w:t>,</w:t>
            </w:r>
            <w:r w:rsidRPr="00657E8C">
              <w:t>868</w:t>
            </w:r>
          </w:p>
        </w:tc>
        <w:tc>
          <w:tcPr>
            <w:tcW w:w="0" w:type="auto"/>
          </w:tcPr>
          <w:p w14:paraId="249D25E9" w14:textId="77777777" w:rsidR="0042338E" w:rsidRPr="00657E8C" w:rsidRDefault="0042338E" w:rsidP="00E620C7">
            <w:pPr>
              <w:pStyle w:val="ARtabletextright"/>
            </w:pPr>
            <w:r w:rsidRPr="00657E8C">
              <w:t>1</w:t>
            </w:r>
            <w:r>
              <w:t>,</w:t>
            </w:r>
            <w:r w:rsidRPr="00657E8C">
              <w:t>501.1</w:t>
            </w:r>
          </w:p>
        </w:tc>
        <w:tc>
          <w:tcPr>
            <w:tcW w:w="0" w:type="auto"/>
          </w:tcPr>
          <w:p w14:paraId="3BC41FC1" w14:textId="77777777" w:rsidR="0042338E" w:rsidRPr="00657E8C" w:rsidRDefault="0042338E" w:rsidP="00E620C7">
            <w:pPr>
              <w:pStyle w:val="ARtabletextright"/>
            </w:pPr>
            <w:r w:rsidRPr="00657E8C">
              <w:t>9</w:t>
            </w:r>
            <w:r>
              <w:t>,</w:t>
            </w:r>
            <w:r w:rsidRPr="00657E8C">
              <w:t>619</w:t>
            </w:r>
          </w:p>
        </w:tc>
        <w:tc>
          <w:tcPr>
            <w:tcW w:w="0" w:type="auto"/>
          </w:tcPr>
          <w:p w14:paraId="6E030D39" w14:textId="77777777" w:rsidR="0042338E" w:rsidRPr="00657E8C" w:rsidRDefault="0042338E" w:rsidP="00E620C7">
            <w:pPr>
              <w:pStyle w:val="ARtabletextright"/>
            </w:pPr>
            <w:r w:rsidRPr="00657E8C">
              <w:t>8</w:t>
            </w:r>
            <w:r>
              <w:t>,</w:t>
            </w:r>
            <w:r w:rsidRPr="00657E8C">
              <w:t>319</w:t>
            </w:r>
          </w:p>
        </w:tc>
        <w:tc>
          <w:tcPr>
            <w:tcW w:w="0" w:type="auto"/>
          </w:tcPr>
          <w:p w14:paraId="061F22F2" w14:textId="77777777" w:rsidR="0042338E" w:rsidRPr="00657E8C" w:rsidRDefault="0042338E" w:rsidP="00E620C7">
            <w:pPr>
              <w:pStyle w:val="ARtabletextright"/>
            </w:pPr>
            <w:r w:rsidRPr="00657E8C">
              <w:t>4</w:t>
            </w:r>
            <w:r>
              <w:t>,</w:t>
            </w:r>
            <w:r w:rsidRPr="00657E8C">
              <w:t>520</w:t>
            </w:r>
          </w:p>
        </w:tc>
        <w:tc>
          <w:tcPr>
            <w:tcW w:w="0" w:type="auto"/>
          </w:tcPr>
          <w:p w14:paraId="738C4C4B" w14:textId="77777777" w:rsidR="0042338E" w:rsidRPr="00657E8C" w:rsidRDefault="0042338E" w:rsidP="00E620C7">
            <w:pPr>
              <w:pStyle w:val="ARtabletextright"/>
            </w:pPr>
            <w:r w:rsidRPr="00657E8C">
              <w:t>2</w:t>
            </w:r>
            <w:r>
              <w:t>,</w:t>
            </w:r>
            <w:r w:rsidRPr="00657E8C">
              <w:t>865</w:t>
            </w:r>
          </w:p>
        </w:tc>
        <w:tc>
          <w:tcPr>
            <w:tcW w:w="0" w:type="auto"/>
          </w:tcPr>
          <w:p w14:paraId="6857C3CB" w14:textId="77777777" w:rsidR="0042338E" w:rsidRPr="00657E8C" w:rsidRDefault="0042338E" w:rsidP="00E620C7">
            <w:pPr>
              <w:pStyle w:val="ARtabletextright"/>
            </w:pPr>
            <w:r w:rsidRPr="00657E8C">
              <w:t>6</w:t>
            </w:r>
            <w:r>
              <w:t>,</w:t>
            </w:r>
            <w:r w:rsidRPr="00657E8C">
              <w:t>634.6</w:t>
            </w:r>
          </w:p>
        </w:tc>
        <w:tc>
          <w:tcPr>
            <w:tcW w:w="0" w:type="auto"/>
          </w:tcPr>
          <w:p w14:paraId="09FF27FA" w14:textId="77777777" w:rsidR="0042338E" w:rsidRPr="00657E8C" w:rsidRDefault="0042338E" w:rsidP="00E620C7">
            <w:pPr>
              <w:pStyle w:val="ARtabletextright"/>
            </w:pPr>
            <w:r w:rsidRPr="00657E8C">
              <w:t>2</w:t>
            </w:r>
            <w:r>
              <w:t>,</w:t>
            </w:r>
            <w:r w:rsidRPr="00657E8C">
              <w:t>234</w:t>
            </w:r>
          </w:p>
        </w:tc>
        <w:tc>
          <w:tcPr>
            <w:tcW w:w="0" w:type="auto"/>
          </w:tcPr>
          <w:p w14:paraId="1CAD6482" w14:textId="77777777" w:rsidR="0042338E" w:rsidRPr="00657E8C" w:rsidRDefault="0042338E" w:rsidP="00E620C7">
            <w:pPr>
              <w:pStyle w:val="ARtabletextright"/>
            </w:pPr>
            <w:r w:rsidRPr="00657E8C">
              <w:t>1</w:t>
            </w:r>
            <w:r>
              <w:t>,</w:t>
            </w:r>
            <w:r w:rsidRPr="00657E8C">
              <w:t>684.4</w:t>
            </w:r>
          </w:p>
        </w:tc>
      </w:tr>
      <w:tr w:rsidR="0042338E" w:rsidRPr="00657E8C" w14:paraId="1085A83A" w14:textId="77777777" w:rsidTr="00F16145">
        <w:trPr>
          <w:gridAfter w:val="1"/>
          <w:wAfter w:w="15" w:type="dxa"/>
        </w:trPr>
        <w:tc>
          <w:tcPr>
            <w:tcW w:w="1696" w:type="dxa"/>
          </w:tcPr>
          <w:p w14:paraId="636F9959" w14:textId="77777777" w:rsidR="0042338E" w:rsidRPr="00657E8C" w:rsidRDefault="0042338E" w:rsidP="00E620C7">
            <w:pPr>
              <w:pStyle w:val="ARtabletext"/>
            </w:pPr>
            <w:r w:rsidRPr="00657E8C">
              <w:t>Men</w:t>
            </w:r>
          </w:p>
        </w:tc>
        <w:tc>
          <w:tcPr>
            <w:tcW w:w="0" w:type="auto"/>
          </w:tcPr>
          <w:p w14:paraId="4B5ADF3F" w14:textId="77777777" w:rsidR="0042338E" w:rsidRPr="00657E8C" w:rsidRDefault="0042338E" w:rsidP="00E620C7">
            <w:pPr>
              <w:pStyle w:val="ARtabletextright"/>
            </w:pPr>
            <w:r w:rsidRPr="00657E8C">
              <w:t>3</w:t>
            </w:r>
            <w:r>
              <w:t>,</w:t>
            </w:r>
            <w:r w:rsidRPr="00657E8C">
              <w:t>166</w:t>
            </w:r>
          </w:p>
        </w:tc>
        <w:tc>
          <w:tcPr>
            <w:tcW w:w="0" w:type="auto"/>
          </w:tcPr>
          <w:p w14:paraId="78334DA6" w14:textId="77777777" w:rsidR="0042338E" w:rsidRPr="00657E8C" w:rsidRDefault="0042338E" w:rsidP="00E620C7">
            <w:pPr>
              <w:pStyle w:val="ARtabletextright"/>
            </w:pPr>
            <w:r w:rsidRPr="00657E8C">
              <w:t>2</w:t>
            </w:r>
            <w:r>
              <w:t>,</w:t>
            </w:r>
            <w:r w:rsidRPr="00657E8C">
              <w:t>957.2</w:t>
            </w:r>
          </w:p>
        </w:tc>
        <w:tc>
          <w:tcPr>
            <w:tcW w:w="0" w:type="auto"/>
          </w:tcPr>
          <w:p w14:paraId="6336CA5F" w14:textId="77777777" w:rsidR="0042338E" w:rsidRPr="00657E8C" w:rsidRDefault="0042338E" w:rsidP="00E620C7">
            <w:pPr>
              <w:pStyle w:val="ARtabletextright"/>
            </w:pPr>
            <w:r w:rsidRPr="00657E8C">
              <w:t>2</w:t>
            </w:r>
            <w:r>
              <w:t>,</w:t>
            </w:r>
            <w:r w:rsidRPr="00657E8C">
              <w:t>010</w:t>
            </w:r>
          </w:p>
        </w:tc>
        <w:tc>
          <w:tcPr>
            <w:tcW w:w="0" w:type="auto"/>
          </w:tcPr>
          <w:p w14:paraId="47FE7C19" w14:textId="77777777" w:rsidR="0042338E" w:rsidRPr="00657E8C" w:rsidRDefault="0042338E" w:rsidP="00E620C7">
            <w:pPr>
              <w:pStyle w:val="ARtabletextright"/>
            </w:pPr>
            <w:r w:rsidRPr="00657E8C">
              <w:t>458</w:t>
            </w:r>
          </w:p>
        </w:tc>
        <w:tc>
          <w:tcPr>
            <w:tcW w:w="0" w:type="auto"/>
          </w:tcPr>
          <w:p w14:paraId="08EB9FE8" w14:textId="77777777" w:rsidR="0042338E" w:rsidRPr="00657E8C" w:rsidRDefault="0042338E" w:rsidP="00E620C7">
            <w:pPr>
              <w:pStyle w:val="ARtabletextright"/>
            </w:pPr>
            <w:r w:rsidRPr="00657E8C">
              <w:t>2</w:t>
            </w:r>
            <w:r>
              <w:t>,</w:t>
            </w:r>
            <w:r w:rsidRPr="00657E8C">
              <w:t>373.2</w:t>
            </w:r>
          </w:p>
        </w:tc>
        <w:tc>
          <w:tcPr>
            <w:tcW w:w="0" w:type="auto"/>
          </w:tcPr>
          <w:p w14:paraId="52622C12" w14:textId="77777777" w:rsidR="0042338E" w:rsidRPr="00657E8C" w:rsidRDefault="0042338E" w:rsidP="00E620C7">
            <w:pPr>
              <w:pStyle w:val="ARtabletextright"/>
            </w:pPr>
            <w:r w:rsidRPr="00657E8C">
              <w:t>698</w:t>
            </w:r>
          </w:p>
        </w:tc>
        <w:tc>
          <w:tcPr>
            <w:tcW w:w="0" w:type="auto"/>
          </w:tcPr>
          <w:p w14:paraId="1B418F80" w14:textId="77777777" w:rsidR="0042338E" w:rsidRPr="00657E8C" w:rsidRDefault="0042338E" w:rsidP="00E620C7">
            <w:pPr>
              <w:pStyle w:val="ARtabletextright"/>
            </w:pPr>
            <w:r w:rsidRPr="00657E8C">
              <w:t>584</w:t>
            </w:r>
          </w:p>
        </w:tc>
        <w:tc>
          <w:tcPr>
            <w:tcW w:w="0" w:type="auto"/>
          </w:tcPr>
          <w:p w14:paraId="3D2AD6A0" w14:textId="77777777" w:rsidR="0042338E" w:rsidRPr="00657E8C" w:rsidRDefault="0042338E" w:rsidP="00E620C7">
            <w:pPr>
              <w:pStyle w:val="ARtabletextright"/>
            </w:pPr>
            <w:r w:rsidRPr="00657E8C">
              <w:t>4</w:t>
            </w:r>
            <w:r>
              <w:t>,</w:t>
            </w:r>
            <w:r w:rsidRPr="00657E8C">
              <w:t>196</w:t>
            </w:r>
          </w:p>
        </w:tc>
        <w:tc>
          <w:tcPr>
            <w:tcW w:w="0" w:type="auto"/>
          </w:tcPr>
          <w:p w14:paraId="2F7889A6" w14:textId="77777777" w:rsidR="0042338E" w:rsidRPr="00657E8C" w:rsidRDefault="0042338E" w:rsidP="00E620C7">
            <w:pPr>
              <w:pStyle w:val="ARtabletextright"/>
            </w:pPr>
            <w:r w:rsidRPr="00657E8C">
              <w:t>3</w:t>
            </w:r>
            <w:r>
              <w:t>,</w:t>
            </w:r>
            <w:r w:rsidRPr="00657E8C">
              <w:t>781.5</w:t>
            </w:r>
          </w:p>
        </w:tc>
        <w:tc>
          <w:tcPr>
            <w:tcW w:w="0" w:type="auto"/>
          </w:tcPr>
          <w:p w14:paraId="3E4570C2" w14:textId="77777777" w:rsidR="0042338E" w:rsidRPr="00657E8C" w:rsidRDefault="0042338E" w:rsidP="00E620C7">
            <w:pPr>
              <w:pStyle w:val="ARtabletextright"/>
            </w:pPr>
            <w:r w:rsidRPr="00657E8C">
              <w:t>2</w:t>
            </w:r>
            <w:r>
              <w:t>,</w:t>
            </w:r>
            <w:r w:rsidRPr="00657E8C">
              <w:t>344</w:t>
            </w:r>
          </w:p>
        </w:tc>
        <w:tc>
          <w:tcPr>
            <w:tcW w:w="0" w:type="auto"/>
          </w:tcPr>
          <w:p w14:paraId="090398F3" w14:textId="77777777" w:rsidR="0042338E" w:rsidRPr="00657E8C" w:rsidRDefault="0042338E" w:rsidP="00E620C7">
            <w:pPr>
              <w:pStyle w:val="ARtabletextright"/>
            </w:pPr>
            <w:r w:rsidRPr="00657E8C">
              <w:t>818</w:t>
            </w:r>
          </w:p>
        </w:tc>
        <w:tc>
          <w:tcPr>
            <w:tcW w:w="0" w:type="auto"/>
          </w:tcPr>
          <w:p w14:paraId="6A0F46EA" w14:textId="77777777" w:rsidR="0042338E" w:rsidRPr="00657E8C" w:rsidRDefault="0042338E" w:rsidP="00E620C7">
            <w:pPr>
              <w:pStyle w:val="ARtabletextright"/>
            </w:pPr>
            <w:r w:rsidRPr="00657E8C">
              <w:t>3</w:t>
            </w:r>
            <w:r>
              <w:t>,</w:t>
            </w:r>
            <w:r w:rsidRPr="00657E8C">
              <w:t>011.3</w:t>
            </w:r>
          </w:p>
        </w:tc>
        <w:tc>
          <w:tcPr>
            <w:tcW w:w="0" w:type="auto"/>
          </w:tcPr>
          <w:p w14:paraId="67207864" w14:textId="77777777" w:rsidR="0042338E" w:rsidRPr="00657E8C" w:rsidRDefault="0042338E" w:rsidP="00E620C7">
            <w:pPr>
              <w:pStyle w:val="ARtabletextright"/>
            </w:pPr>
            <w:r w:rsidRPr="00657E8C">
              <w:t>1</w:t>
            </w:r>
            <w:r>
              <w:t>,</w:t>
            </w:r>
            <w:r w:rsidRPr="00657E8C">
              <w:t>034</w:t>
            </w:r>
          </w:p>
        </w:tc>
        <w:tc>
          <w:tcPr>
            <w:tcW w:w="0" w:type="auto"/>
          </w:tcPr>
          <w:p w14:paraId="63B7780E" w14:textId="77777777" w:rsidR="0042338E" w:rsidRPr="00657E8C" w:rsidRDefault="0042338E" w:rsidP="00E620C7">
            <w:pPr>
              <w:pStyle w:val="ARtabletextright"/>
            </w:pPr>
            <w:r w:rsidRPr="00657E8C">
              <w:t>770.2</w:t>
            </w:r>
          </w:p>
        </w:tc>
      </w:tr>
      <w:tr w:rsidR="0042338E" w:rsidRPr="00657E8C" w14:paraId="20F63C43" w14:textId="77777777" w:rsidTr="00F16145">
        <w:trPr>
          <w:gridAfter w:val="1"/>
          <w:wAfter w:w="15" w:type="dxa"/>
        </w:trPr>
        <w:tc>
          <w:tcPr>
            <w:tcW w:w="1696" w:type="dxa"/>
          </w:tcPr>
          <w:p w14:paraId="72936533" w14:textId="77777777" w:rsidR="0042338E" w:rsidRPr="00657E8C" w:rsidRDefault="0042338E" w:rsidP="00E620C7">
            <w:pPr>
              <w:pStyle w:val="ARtabletext"/>
            </w:pPr>
            <w:r w:rsidRPr="00657E8C">
              <w:t>Self-described</w:t>
            </w:r>
          </w:p>
        </w:tc>
        <w:tc>
          <w:tcPr>
            <w:tcW w:w="0" w:type="auto"/>
          </w:tcPr>
          <w:p w14:paraId="1B9E5535" w14:textId="19B1ED9D" w:rsidR="0042338E" w:rsidRPr="00657E8C" w:rsidRDefault="0042338E" w:rsidP="00E620C7">
            <w:pPr>
              <w:pStyle w:val="ARtabletextright"/>
            </w:pPr>
            <w:r w:rsidRPr="00657E8C">
              <w:t>n</w:t>
            </w:r>
            <w:r w:rsidR="001673BF">
              <w:t>a</w:t>
            </w:r>
          </w:p>
        </w:tc>
        <w:tc>
          <w:tcPr>
            <w:tcW w:w="0" w:type="auto"/>
          </w:tcPr>
          <w:p w14:paraId="24379983" w14:textId="22232E29" w:rsidR="0042338E" w:rsidRPr="00657E8C" w:rsidRDefault="001673BF" w:rsidP="00E620C7">
            <w:pPr>
              <w:pStyle w:val="ARtabletextright"/>
            </w:pPr>
            <w:r>
              <w:t>na</w:t>
            </w:r>
          </w:p>
        </w:tc>
        <w:tc>
          <w:tcPr>
            <w:tcW w:w="0" w:type="auto"/>
          </w:tcPr>
          <w:p w14:paraId="04090678" w14:textId="048ADC73" w:rsidR="0042338E" w:rsidRPr="00657E8C" w:rsidRDefault="001673BF" w:rsidP="00E620C7">
            <w:pPr>
              <w:pStyle w:val="ARtabletextright"/>
            </w:pPr>
            <w:r>
              <w:t>na</w:t>
            </w:r>
          </w:p>
        </w:tc>
        <w:tc>
          <w:tcPr>
            <w:tcW w:w="0" w:type="auto"/>
          </w:tcPr>
          <w:p w14:paraId="6949CED5" w14:textId="69F5F118" w:rsidR="0042338E" w:rsidRPr="00657E8C" w:rsidRDefault="001673BF" w:rsidP="00E620C7">
            <w:pPr>
              <w:pStyle w:val="ARtabletextright"/>
            </w:pPr>
            <w:r>
              <w:t>na</w:t>
            </w:r>
          </w:p>
        </w:tc>
        <w:tc>
          <w:tcPr>
            <w:tcW w:w="0" w:type="auto"/>
          </w:tcPr>
          <w:p w14:paraId="4F90A5C8" w14:textId="5E37E5AB" w:rsidR="0042338E" w:rsidRPr="00657E8C" w:rsidRDefault="0042338E" w:rsidP="00E620C7">
            <w:pPr>
              <w:pStyle w:val="ARtabletextright"/>
            </w:pPr>
            <w:r w:rsidRPr="00657E8C">
              <w:t>n</w:t>
            </w:r>
            <w:r w:rsidR="001673BF">
              <w:t>a</w:t>
            </w:r>
          </w:p>
        </w:tc>
        <w:tc>
          <w:tcPr>
            <w:tcW w:w="0" w:type="auto"/>
          </w:tcPr>
          <w:p w14:paraId="7B34D2C7" w14:textId="47492EB6" w:rsidR="0042338E" w:rsidRPr="00657E8C" w:rsidRDefault="0042338E" w:rsidP="00E620C7">
            <w:pPr>
              <w:pStyle w:val="ARtabletextright"/>
            </w:pPr>
            <w:r w:rsidRPr="00657E8C">
              <w:t>n</w:t>
            </w:r>
            <w:r w:rsidR="001673BF">
              <w:t>a</w:t>
            </w:r>
          </w:p>
        </w:tc>
        <w:tc>
          <w:tcPr>
            <w:tcW w:w="0" w:type="auto"/>
          </w:tcPr>
          <w:p w14:paraId="3487166D" w14:textId="3F1A660E" w:rsidR="0042338E" w:rsidRPr="00657E8C" w:rsidRDefault="0042338E" w:rsidP="00E620C7">
            <w:pPr>
              <w:pStyle w:val="ARtabletextright"/>
            </w:pPr>
            <w:r w:rsidRPr="00657E8C">
              <w:t>n</w:t>
            </w:r>
            <w:r w:rsidR="001673BF">
              <w:t>a</w:t>
            </w:r>
          </w:p>
        </w:tc>
        <w:tc>
          <w:tcPr>
            <w:tcW w:w="0" w:type="auto"/>
          </w:tcPr>
          <w:p w14:paraId="3D74306F" w14:textId="72CA002C" w:rsidR="0042338E" w:rsidRPr="00657E8C" w:rsidRDefault="0042338E" w:rsidP="00E620C7">
            <w:pPr>
              <w:pStyle w:val="ARtabletextright"/>
            </w:pPr>
            <w:r w:rsidRPr="00657E8C">
              <w:t>n</w:t>
            </w:r>
            <w:r w:rsidR="001673BF">
              <w:t>a</w:t>
            </w:r>
          </w:p>
        </w:tc>
        <w:tc>
          <w:tcPr>
            <w:tcW w:w="0" w:type="auto"/>
          </w:tcPr>
          <w:p w14:paraId="2D72EE30" w14:textId="4A759710" w:rsidR="0042338E" w:rsidRPr="00657E8C" w:rsidRDefault="0042338E" w:rsidP="00E620C7">
            <w:pPr>
              <w:pStyle w:val="ARtabletextright"/>
            </w:pPr>
            <w:r w:rsidRPr="00657E8C">
              <w:t>n</w:t>
            </w:r>
            <w:r w:rsidR="001673BF">
              <w:t>a</w:t>
            </w:r>
          </w:p>
        </w:tc>
        <w:tc>
          <w:tcPr>
            <w:tcW w:w="0" w:type="auto"/>
          </w:tcPr>
          <w:p w14:paraId="2D287570" w14:textId="1C311D0D" w:rsidR="0042338E" w:rsidRPr="00657E8C" w:rsidRDefault="0042338E" w:rsidP="00E620C7">
            <w:pPr>
              <w:pStyle w:val="ARtabletextright"/>
            </w:pPr>
            <w:r w:rsidRPr="00657E8C">
              <w:t>n</w:t>
            </w:r>
            <w:r w:rsidR="001673BF">
              <w:t>a</w:t>
            </w:r>
          </w:p>
        </w:tc>
        <w:tc>
          <w:tcPr>
            <w:tcW w:w="0" w:type="auto"/>
          </w:tcPr>
          <w:p w14:paraId="042E26E7" w14:textId="23344634" w:rsidR="0042338E" w:rsidRPr="00657E8C" w:rsidRDefault="0042338E" w:rsidP="00E620C7">
            <w:pPr>
              <w:pStyle w:val="ARtabletextright"/>
            </w:pPr>
            <w:r w:rsidRPr="00657E8C">
              <w:t>n</w:t>
            </w:r>
            <w:r w:rsidR="001673BF">
              <w:t>a</w:t>
            </w:r>
          </w:p>
        </w:tc>
        <w:tc>
          <w:tcPr>
            <w:tcW w:w="0" w:type="auto"/>
          </w:tcPr>
          <w:p w14:paraId="79971DE4" w14:textId="2776017F" w:rsidR="0042338E" w:rsidRPr="00657E8C" w:rsidRDefault="0042338E" w:rsidP="00E620C7">
            <w:pPr>
              <w:pStyle w:val="ARtabletextright"/>
            </w:pPr>
            <w:r w:rsidRPr="00657E8C">
              <w:t>n</w:t>
            </w:r>
            <w:r w:rsidR="001673BF">
              <w:t>a</w:t>
            </w:r>
          </w:p>
        </w:tc>
        <w:tc>
          <w:tcPr>
            <w:tcW w:w="0" w:type="auto"/>
          </w:tcPr>
          <w:p w14:paraId="3562B9F3" w14:textId="75243F59" w:rsidR="0042338E" w:rsidRPr="00657E8C" w:rsidRDefault="0042338E" w:rsidP="00E620C7">
            <w:pPr>
              <w:pStyle w:val="ARtabletextright"/>
            </w:pPr>
            <w:r w:rsidRPr="00657E8C">
              <w:t>n</w:t>
            </w:r>
            <w:r w:rsidR="001673BF">
              <w:t>a</w:t>
            </w:r>
          </w:p>
        </w:tc>
        <w:tc>
          <w:tcPr>
            <w:tcW w:w="0" w:type="auto"/>
          </w:tcPr>
          <w:p w14:paraId="27847E83" w14:textId="0A9F2DD9" w:rsidR="0042338E" w:rsidRPr="00657E8C" w:rsidRDefault="0042338E" w:rsidP="00E620C7">
            <w:pPr>
              <w:pStyle w:val="ARtabletextright"/>
            </w:pPr>
            <w:r w:rsidRPr="00657E8C">
              <w:t>n</w:t>
            </w:r>
            <w:r w:rsidR="001673BF">
              <w:t>a</w:t>
            </w:r>
          </w:p>
        </w:tc>
      </w:tr>
      <w:tr w:rsidR="0042338E" w:rsidRPr="00657E8C" w14:paraId="439397C9" w14:textId="77777777" w:rsidTr="00F16145">
        <w:tc>
          <w:tcPr>
            <w:tcW w:w="14291" w:type="dxa"/>
            <w:gridSpan w:val="16"/>
          </w:tcPr>
          <w:p w14:paraId="2172938F" w14:textId="77777777" w:rsidR="0042338E" w:rsidRPr="00657E8C" w:rsidRDefault="0042338E" w:rsidP="00E620C7">
            <w:pPr>
              <w:pStyle w:val="ARtablebluebold"/>
            </w:pPr>
            <w:r w:rsidRPr="00657E8C">
              <w:t>Age</w:t>
            </w:r>
          </w:p>
        </w:tc>
      </w:tr>
      <w:tr w:rsidR="0042338E" w:rsidRPr="00657E8C" w14:paraId="25888106" w14:textId="77777777" w:rsidTr="00F16145">
        <w:trPr>
          <w:gridAfter w:val="1"/>
          <w:wAfter w:w="15" w:type="dxa"/>
        </w:trPr>
        <w:tc>
          <w:tcPr>
            <w:tcW w:w="1696" w:type="dxa"/>
          </w:tcPr>
          <w:p w14:paraId="1032D4C3" w14:textId="77777777" w:rsidR="0042338E" w:rsidRPr="00657E8C" w:rsidRDefault="0042338E" w:rsidP="00E620C7">
            <w:pPr>
              <w:pStyle w:val="ARtabletext"/>
            </w:pPr>
            <w:r w:rsidRPr="00657E8C">
              <w:t>15</w:t>
            </w:r>
            <w:r>
              <w:t>–</w:t>
            </w:r>
            <w:r w:rsidRPr="00657E8C">
              <w:t>24</w:t>
            </w:r>
          </w:p>
        </w:tc>
        <w:tc>
          <w:tcPr>
            <w:tcW w:w="0" w:type="auto"/>
          </w:tcPr>
          <w:p w14:paraId="0918EF0C" w14:textId="77777777" w:rsidR="0042338E" w:rsidRPr="00657E8C" w:rsidRDefault="0042338E" w:rsidP="00E620C7">
            <w:pPr>
              <w:pStyle w:val="ARtabletextright"/>
            </w:pPr>
            <w:r w:rsidRPr="00657E8C">
              <w:t>491</w:t>
            </w:r>
          </w:p>
        </w:tc>
        <w:tc>
          <w:tcPr>
            <w:tcW w:w="0" w:type="auto"/>
          </w:tcPr>
          <w:p w14:paraId="1C97474C" w14:textId="77777777" w:rsidR="0042338E" w:rsidRPr="00657E8C" w:rsidRDefault="0042338E" w:rsidP="00E620C7">
            <w:pPr>
              <w:pStyle w:val="ARtabletextright"/>
            </w:pPr>
            <w:r w:rsidRPr="00657E8C">
              <w:t>422.2</w:t>
            </w:r>
          </w:p>
        </w:tc>
        <w:tc>
          <w:tcPr>
            <w:tcW w:w="0" w:type="auto"/>
          </w:tcPr>
          <w:p w14:paraId="72970154" w14:textId="77777777" w:rsidR="0042338E" w:rsidRPr="00657E8C" w:rsidRDefault="0042338E" w:rsidP="00E620C7">
            <w:pPr>
              <w:pStyle w:val="ARtabletextright"/>
            </w:pPr>
            <w:r w:rsidRPr="00657E8C">
              <w:t>185</w:t>
            </w:r>
          </w:p>
        </w:tc>
        <w:tc>
          <w:tcPr>
            <w:tcW w:w="0" w:type="auto"/>
          </w:tcPr>
          <w:p w14:paraId="261AE1BD" w14:textId="77777777" w:rsidR="0042338E" w:rsidRPr="00657E8C" w:rsidRDefault="0042338E" w:rsidP="00E620C7">
            <w:pPr>
              <w:pStyle w:val="ARtabletextright"/>
            </w:pPr>
            <w:r w:rsidRPr="00657E8C">
              <w:t>39</w:t>
            </w:r>
          </w:p>
        </w:tc>
        <w:tc>
          <w:tcPr>
            <w:tcW w:w="0" w:type="auto"/>
          </w:tcPr>
          <w:p w14:paraId="7052CAA0" w14:textId="77777777" w:rsidR="0042338E" w:rsidRPr="00657E8C" w:rsidRDefault="0042338E" w:rsidP="00E620C7">
            <w:pPr>
              <w:pStyle w:val="ARtabletextright"/>
            </w:pPr>
            <w:r w:rsidRPr="00657E8C">
              <w:t>214.4</w:t>
            </w:r>
          </w:p>
        </w:tc>
        <w:tc>
          <w:tcPr>
            <w:tcW w:w="0" w:type="auto"/>
          </w:tcPr>
          <w:p w14:paraId="33345A75" w14:textId="77777777" w:rsidR="0042338E" w:rsidRPr="00657E8C" w:rsidRDefault="0042338E" w:rsidP="00E620C7">
            <w:pPr>
              <w:pStyle w:val="ARtabletextright"/>
            </w:pPr>
            <w:r w:rsidRPr="00657E8C">
              <w:t>267</w:t>
            </w:r>
          </w:p>
        </w:tc>
        <w:tc>
          <w:tcPr>
            <w:tcW w:w="0" w:type="auto"/>
          </w:tcPr>
          <w:p w14:paraId="7A7EF791" w14:textId="77777777" w:rsidR="0042338E" w:rsidRPr="00657E8C" w:rsidRDefault="0042338E" w:rsidP="00E620C7">
            <w:pPr>
              <w:pStyle w:val="ARtabletextright"/>
            </w:pPr>
            <w:r w:rsidRPr="00657E8C">
              <w:t>207.7</w:t>
            </w:r>
          </w:p>
        </w:tc>
        <w:tc>
          <w:tcPr>
            <w:tcW w:w="0" w:type="auto"/>
          </w:tcPr>
          <w:p w14:paraId="73EC774D" w14:textId="77777777" w:rsidR="0042338E" w:rsidRPr="00657E8C" w:rsidRDefault="0042338E" w:rsidP="00E620C7">
            <w:pPr>
              <w:pStyle w:val="ARtabletextright"/>
            </w:pPr>
            <w:r w:rsidRPr="00657E8C">
              <w:t>590</w:t>
            </w:r>
          </w:p>
        </w:tc>
        <w:tc>
          <w:tcPr>
            <w:tcW w:w="0" w:type="auto"/>
          </w:tcPr>
          <w:p w14:paraId="51A9A81A" w14:textId="77777777" w:rsidR="0042338E" w:rsidRPr="00657E8C" w:rsidRDefault="0042338E" w:rsidP="00E620C7">
            <w:pPr>
              <w:pStyle w:val="ARtabletextright"/>
            </w:pPr>
            <w:r w:rsidRPr="00657E8C">
              <w:t>466.8</w:t>
            </w:r>
          </w:p>
        </w:tc>
        <w:tc>
          <w:tcPr>
            <w:tcW w:w="0" w:type="auto"/>
          </w:tcPr>
          <w:p w14:paraId="74A2D345" w14:textId="77777777" w:rsidR="0042338E" w:rsidRPr="00657E8C" w:rsidRDefault="0042338E" w:rsidP="00E620C7">
            <w:pPr>
              <w:pStyle w:val="ARtabletextright"/>
            </w:pPr>
            <w:r w:rsidRPr="00657E8C">
              <w:t>161</w:t>
            </w:r>
          </w:p>
        </w:tc>
        <w:tc>
          <w:tcPr>
            <w:tcW w:w="0" w:type="auto"/>
          </w:tcPr>
          <w:p w14:paraId="258FF880" w14:textId="77777777" w:rsidR="0042338E" w:rsidRPr="00657E8C" w:rsidRDefault="0042338E" w:rsidP="00E620C7">
            <w:pPr>
              <w:pStyle w:val="ARtabletextright"/>
            </w:pPr>
            <w:r w:rsidRPr="00657E8C">
              <w:t>50</w:t>
            </w:r>
          </w:p>
        </w:tc>
        <w:tc>
          <w:tcPr>
            <w:tcW w:w="0" w:type="auto"/>
          </w:tcPr>
          <w:p w14:paraId="1F3D18D9" w14:textId="77777777" w:rsidR="0042338E" w:rsidRPr="00657E8C" w:rsidRDefault="0042338E" w:rsidP="00E620C7">
            <w:pPr>
              <w:pStyle w:val="ARtabletextright"/>
            </w:pPr>
            <w:r w:rsidRPr="00657E8C">
              <w:t>198.5</w:t>
            </w:r>
          </w:p>
        </w:tc>
        <w:tc>
          <w:tcPr>
            <w:tcW w:w="0" w:type="auto"/>
          </w:tcPr>
          <w:p w14:paraId="05EF0837" w14:textId="77777777" w:rsidR="0042338E" w:rsidRPr="00657E8C" w:rsidRDefault="0042338E" w:rsidP="00E620C7">
            <w:pPr>
              <w:pStyle w:val="ARtabletextright"/>
            </w:pPr>
            <w:r w:rsidRPr="00657E8C">
              <w:t>379</w:t>
            </w:r>
          </w:p>
        </w:tc>
        <w:tc>
          <w:tcPr>
            <w:tcW w:w="0" w:type="auto"/>
          </w:tcPr>
          <w:p w14:paraId="3E1ACF1E" w14:textId="77777777" w:rsidR="0042338E" w:rsidRPr="00657E8C" w:rsidRDefault="0042338E" w:rsidP="00E620C7">
            <w:pPr>
              <w:pStyle w:val="ARtabletextright"/>
            </w:pPr>
            <w:r w:rsidRPr="00657E8C">
              <w:t>268.3</w:t>
            </w:r>
          </w:p>
        </w:tc>
      </w:tr>
      <w:tr w:rsidR="0042338E" w:rsidRPr="00657E8C" w14:paraId="10E659E6" w14:textId="77777777" w:rsidTr="00F16145">
        <w:trPr>
          <w:gridAfter w:val="1"/>
          <w:wAfter w:w="15" w:type="dxa"/>
        </w:trPr>
        <w:tc>
          <w:tcPr>
            <w:tcW w:w="1696" w:type="dxa"/>
          </w:tcPr>
          <w:p w14:paraId="00CA95D4" w14:textId="77777777" w:rsidR="0042338E" w:rsidRPr="00657E8C" w:rsidRDefault="0042338E" w:rsidP="00E620C7">
            <w:pPr>
              <w:pStyle w:val="ARtabletext"/>
            </w:pPr>
            <w:r w:rsidRPr="00657E8C">
              <w:t>25</w:t>
            </w:r>
            <w:r>
              <w:t>–</w:t>
            </w:r>
            <w:r w:rsidRPr="00657E8C">
              <w:t>34</w:t>
            </w:r>
          </w:p>
        </w:tc>
        <w:tc>
          <w:tcPr>
            <w:tcW w:w="0" w:type="auto"/>
          </w:tcPr>
          <w:p w14:paraId="76E2A6E7" w14:textId="77777777" w:rsidR="0042338E" w:rsidRPr="00657E8C" w:rsidRDefault="0042338E" w:rsidP="00E620C7">
            <w:pPr>
              <w:pStyle w:val="ARtabletextright"/>
            </w:pPr>
            <w:r w:rsidRPr="00657E8C">
              <w:t>2</w:t>
            </w:r>
            <w:r>
              <w:t>,</w:t>
            </w:r>
            <w:r w:rsidRPr="00657E8C">
              <w:t>234</w:t>
            </w:r>
          </w:p>
        </w:tc>
        <w:tc>
          <w:tcPr>
            <w:tcW w:w="0" w:type="auto"/>
          </w:tcPr>
          <w:p w14:paraId="7029D14B" w14:textId="77777777" w:rsidR="0042338E" w:rsidRPr="00657E8C" w:rsidRDefault="0042338E" w:rsidP="00E620C7">
            <w:pPr>
              <w:pStyle w:val="ARtabletextright"/>
            </w:pPr>
            <w:r w:rsidRPr="00657E8C">
              <w:t>2</w:t>
            </w:r>
            <w:r>
              <w:t>,</w:t>
            </w:r>
            <w:r w:rsidRPr="00657E8C">
              <w:t>044.3</w:t>
            </w:r>
          </w:p>
        </w:tc>
        <w:tc>
          <w:tcPr>
            <w:tcW w:w="0" w:type="auto"/>
          </w:tcPr>
          <w:p w14:paraId="0F4F2CD9" w14:textId="77777777" w:rsidR="0042338E" w:rsidRPr="00657E8C" w:rsidRDefault="0042338E" w:rsidP="00E620C7">
            <w:pPr>
              <w:pStyle w:val="ARtabletextright"/>
            </w:pPr>
            <w:r w:rsidRPr="00657E8C">
              <w:t>1</w:t>
            </w:r>
            <w:r>
              <w:t>,</w:t>
            </w:r>
            <w:r w:rsidRPr="00657E8C">
              <w:t>158</w:t>
            </w:r>
          </w:p>
        </w:tc>
        <w:tc>
          <w:tcPr>
            <w:tcW w:w="0" w:type="auto"/>
          </w:tcPr>
          <w:p w14:paraId="6B784B62" w14:textId="77777777" w:rsidR="0042338E" w:rsidRPr="00657E8C" w:rsidRDefault="0042338E" w:rsidP="00E620C7">
            <w:pPr>
              <w:pStyle w:val="ARtabletextright"/>
            </w:pPr>
            <w:r w:rsidRPr="00657E8C">
              <w:t>329</w:t>
            </w:r>
          </w:p>
        </w:tc>
        <w:tc>
          <w:tcPr>
            <w:tcW w:w="0" w:type="auto"/>
          </w:tcPr>
          <w:p w14:paraId="00F0E48B" w14:textId="77777777" w:rsidR="0042338E" w:rsidRPr="00657E8C" w:rsidRDefault="0042338E" w:rsidP="00E620C7">
            <w:pPr>
              <w:pStyle w:val="ARtabletextright"/>
            </w:pPr>
            <w:r w:rsidRPr="00657E8C">
              <w:t>1</w:t>
            </w:r>
            <w:r>
              <w:t>,</w:t>
            </w:r>
            <w:r w:rsidRPr="00657E8C">
              <w:t>388.3</w:t>
            </w:r>
          </w:p>
        </w:tc>
        <w:tc>
          <w:tcPr>
            <w:tcW w:w="0" w:type="auto"/>
          </w:tcPr>
          <w:p w14:paraId="347C5860" w14:textId="77777777" w:rsidR="0042338E" w:rsidRPr="00657E8C" w:rsidRDefault="0042338E" w:rsidP="00E620C7">
            <w:pPr>
              <w:pStyle w:val="ARtabletextright"/>
            </w:pPr>
            <w:r w:rsidRPr="00657E8C">
              <w:t>747</w:t>
            </w:r>
          </w:p>
        </w:tc>
        <w:tc>
          <w:tcPr>
            <w:tcW w:w="0" w:type="auto"/>
          </w:tcPr>
          <w:p w14:paraId="21573757" w14:textId="77777777" w:rsidR="0042338E" w:rsidRPr="00657E8C" w:rsidRDefault="0042338E" w:rsidP="00E620C7">
            <w:pPr>
              <w:pStyle w:val="ARtabletextright"/>
            </w:pPr>
            <w:r w:rsidRPr="00657E8C">
              <w:t>656.1</w:t>
            </w:r>
          </w:p>
        </w:tc>
        <w:tc>
          <w:tcPr>
            <w:tcW w:w="0" w:type="auto"/>
          </w:tcPr>
          <w:p w14:paraId="29F2C921" w14:textId="77777777" w:rsidR="0042338E" w:rsidRPr="00657E8C" w:rsidRDefault="0042338E" w:rsidP="00E620C7">
            <w:pPr>
              <w:pStyle w:val="ARtabletextright"/>
            </w:pPr>
            <w:r w:rsidRPr="00657E8C">
              <w:t>2</w:t>
            </w:r>
            <w:r>
              <w:t>,</w:t>
            </w:r>
            <w:r w:rsidRPr="00657E8C">
              <w:t>510</w:t>
            </w:r>
          </w:p>
        </w:tc>
        <w:tc>
          <w:tcPr>
            <w:tcW w:w="0" w:type="auto"/>
          </w:tcPr>
          <w:p w14:paraId="621AC1E1" w14:textId="77777777" w:rsidR="0042338E" w:rsidRPr="00657E8C" w:rsidRDefault="0042338E" w:rsidP="00E620C7">
            <w:pPr>
              <w:pStyle w:val="ARtabletextright"/>
            </w:pPr>
            <w:r w:rsidRPr="00657E8C">
              <w:t>2</w:t>
            </w:r>
            <w:r>
              <w:t>,</w:t>
            </w:r>
            <w:r w:rsidRPr="00657E8C">
              <w:t>253.8</w:t>
            </w:r>
          </w:p>
        </w:tc>
        <w:tc>
          <w:tcPr>
            <w:tcW w:w="0" w:type="auto"/>
          </w:tcPr>
          <w:p w14:paraId="378CB07D" w14:textId="77777777" w:rsidR="0042338E" w:rsidRPr="00657E8C" w:rsidRDefault="0042338E" w:rsidP="00E620C7">
            <w:pPr>
              <w:pStyle w:val="ARtabletextright"/>
            </w:pPr>
            <w:r w:rsidRPr="00657E8C">
              <w:t>1</w:t>
            </w:r>
            <w:r>
              <w:t>,</w:t>
            </w:r>
            <w:r w:rsidRPr="00657E8C">
              <w:t>219</w:t>
            </w:r>
          </w:p>
        </w:tc>
        <w:tc>
          <w:tcPr>
            <w:tcW w:w="0" w:type="auto"/>
          </w:tcPr>
          <w:p w14:paraId="2B5B822E" w14:textId="77777777" w:rsidR="0042338E" w:rsidRPr="00657E8C" w:rsidRDefault="0042338E" w:rsidP="00E620C7">
            <w:pPr>
              <w:pStyle w:val="ARtabletextright"/>
            </w:pPr>
            <w:r w:rsidRPr="00657E8C">
              <w:t>451</w:t>
            </w:r>
          </w:p>
        </w:tc>
        <w:tc>
          <w:tcPr>
            <w:tcW w:w="0" w:type="auto"/>
          </w:tcPr>
          <w:p w14:paraId="709DDF39" w14:textId="77777777" w:rsidR="0042338E" w:rsidRPr="00657E8C" w:rsidRDefault="0042338E" w:rsidP="00E620C7">
            <w:pPr>
              <w:pStyle w:val="ARtabletextright"/>
            </w:pPr>
            <w:r w:rsidRPr="00657E8C">
              <w:t>1</w:t>
            </w:r>
            <w:r>
              <w:t>,</w:t>
            </w:r>
            <w:r w:rsidRPr="00657E8C">
              <w:t>556</w:t>
            </w:r>
          </w:p>
        </w:tc>
        <w:tc>
          <w:tcPr>
            <w:tcW w:w="0" w:type="auto"/>
          </w:tcPr>
          <w:p w14:paraId="7389769B" w14:textId="77777777" w:rsidR="0042338E" w:rsidRPr="00657E8C" w:rsidRDefault="0042338E" w:rsidP="00E620C7">
            <w:pPr>
              <w:pStyle w:val="ARtabletextright"/>
            </w:pPr>
            <w:r w:rsidRPr="00657E8C">
              <w:t>840</w:t>
            </w:r>
          </w:p>
        </w:tc>
        <w:tc>
          <w:tcPr>
            <w:tcW w:w="0" w:type="auto"/>
          </w:tcPr>
          <w:p w14:paraId="7B97FD89" w14:textId="77777777" w:rsidR="0042338E" w:rsidRPr="00657E8C" w:rsidRDefault="0042338E" w:rsidP="00E620C7">
            <w:pPr>
              <w:pStyle w:val="ARtabletextright"/>
            </w:pPr>
            <w:r w:rsidRPr="00657E8C">
              <w:t>697.8</w:t>
            </w:r>
          </w:p>
        </w:tc>
      </w:tr>
      <w:tr w:rsidR="0042338E" w:rsidRPr="00657E8C" w14:paraId="3A4C4F0D" w14:textId="77777777" w:rsidTr="00F16145">
        <w:trPr>
          <w:gridAfter w:val="1"/>
          <w:wAfter w:w="15" w:type="dxa"/>
        </w:trPr>
        <w:tc>
          <w:tcPr>
            <w:tcW w:w="1696" w:type="dxa"/>
          </w:tcPr>
          <w:p w14:paraId="70137A09" w14:textId="77777777" w:rsidR="0042338E" w:rsidRPr="00657E8C" w:rsidRDefault="0042338E" w:rsidP="00E620C7">
            <w:pPr>
              <w:pStyle w:val="ARtabletext"/>
            </w:pPr>
            <w:r w:rsidRPr="00657E8C">
              <w:t>35</w:t>
            </w:r>
            <w:r>
              <w:t>–</w:t>
            </w:r>
            <w:r w:rsidRPr="00657E8C">
              <w:t>44</w:t>
            </w:r>
          </w:p>
        </w:tc>
        <w:tc>
          <w:tcPr>
            <w:tcW w:w="0" w:type="auto"/>
          </w:tcPr>
          <w:p w14:paraId="363D8EED" w14:textId="77777777" w:rsidR="0042338E" w:rsidRPr="00657E8C" w:rsidRDefault="0042338E" w:rsidP="00E620C7">
            <w:pPr>
              <w:pStyle w:val="ARtabletextright"/>
            </w:pPr>
            <w:r w:rsidRPr="00657E8C">
              <w:t>2</w:t>
            </w:r>
            <w:r>
              <w:t>,</w:t>
            </w:r>
            <w:r w:rsidRPr="00657E8C">
              <w:t>731</w:t>
            </w:r>
          </w:p>
        </w:tc>
        <w:tc>
          <w:tcPr>
            <w:tcW w:w="0" w:type="auto"/>
          </w:tcPr>
          <w:p w14:paraId="72A0E40D" w14:textId="77777777" w:rsidR="0042338E" w:rsidRPr="00657E8C" w:rsidRDefault="0042338E" w:rsidP="00E620C7">
            <w:pPr>
              <w:pStyle w:val="ARtabletextright"/>
            </w:pPr>
            <w:r w:rsidRPr="00657E8C">
              <w:t>2</w:t>
            </w:r>
            <w:r>
              <w:t>,</w:t>
            </w:r>
            <w:r w:rsidRPr="00657E8C">
              <w:t>433.7</w:t>
            </w:r>
          </w:p>
        </w:tc>
        <w:tc>
          <w:tcPr>
            <w:tcW w:w="0" w:type="auto"/>
          </w:tcPr>
          <w:p w14:paraId="2159AB47" w14:textId="77777777" w:rsidR="0042338E" w:rsidRPr="00657E8C" w:rsidRDefault="0042338E" w:rsidP="00E620C7">
            <w:pPr>
              <w:pStyle w:val="ARtabletextright"/>
            </w:pPr>
            <w:r w:rsidRPr="00657E8C">
              <w:t>1</w:t>
            </w:r>
            <w:r>
              <w:t>,</w:t>
            </w:r>
            <w:r w:rsidRPr="00657E8C">
              <w:t>409</w:t>
            </w:r>
          </w:p>
        </w:tc>
        <w:tc>
          <w:tcPr>
            <w:tcW w:w="0" w:type="auto"/>
          </w:tcPr>
          <w:p w14:paraId="080C93A5" w14:textId="77777777" w:rsidR="0042338E" w:rsidRPr="00657E8C" w:rsidRDefault="0042338E" w:rsidP="00E620C7">
            <w:pPr>
              <w:pStyle w:val="ARtabletextright"/>
            </w:pPr>
            <w:r w:rsidRPr="00657E8C">
              <w:t>692</w:t>
            </w:r>
          </w:p>
        </w:tc>
        <w:tc>
          <w:tcPr>
            <w:tcW w:w="0" w:type="auto"/>
          </w:tcPr>
          <w:p w14:paraId="6588D40A" w14:textId="77777777" w:rsidR="0042338E" w:rsidRPr="00657E8C" w:rsidRDefault="0042338E" w:rsidP="00E620C7">
            <w:pPr>
              <w:pStyle w:val="ARtabletextright"/>
            </w:pPr>
            <w:r w:rsidRPr="00657E8C">
              <w:t>1</w:t>
            </w:r>
            <w:r>
              <w:t>,</w:t>
            </w:r>
            <w:r w:rsidRPr="00657E8C">
              <w:t>906.5</w:t>
            </w:r>
          </w:p>
        </w:tc>
        <w:tc>
          <w:tcPr>
            <w:tcW w:w="0" w:type="auto"/>
          </w:tcPr>
          <w:p w14:paraId="4D3B7F30" w14:textId="77777777" w:rsidR="0042338E" w:rsidRPr="00657E8C" w:rsidRDefault="0042338E" w:rsidP="00E620C7">
            <w:pPr>
              <w:pStyle w:val="ARtabletextright"/>
            </w:pPr>
            <w:r w:rsidRPr="00657E8C">
              <w:t>630</w:t>
            </w:r>
          </w:p>
        </w:tc>
        <w:tc>
          <w:tcPr>
            <w:tcW w:w="0" w:type="auto"/>
          </w:tcPr>
          <w:p w14:paraId="7E8B426E" w14:textId="77777777" w:rsidR="0042338E" w:rsidRPr="00657E8C" w:rsidRDefault="0042338E" w:rsidP="00E620C7">
            <w:pPr>
              <w:pStyle w:val="ARtabletextright"/>
            </w:pPr>
            <w:r w:rsidRPr="00657E8C">
              <w:t>527.6</w:t>
            </w:r>
          </w:p>
        </w:tc>
        <w:tc>
          <w:tcPr>
            <w:tcW w:w="0" w:type="auto"/>
          </w:tcPr>
          <w:p w14:paraId="3F8068AD" w14:textId="77777777" w:rsidR="0042338E" w:rsidRPr="00657E8C" w:rsidRDefault="0042338E" w:rsidP="00E620C7">
            <w:pPr>
              <w:pStyle w:val="ARtabletextright"/>
            </w:pPr>
            <w:r w:rsidRPr="00657E8C">
              <w:t>3</w:t>
            </w:r>
            <w:r>
              <w:t>,</w:t>
            </w:r>
            <w:r w:rsidRPr="00657E8C">
              <w:t>209</w:t>
            </w:r>
          </w:p>
        </w:tc>
        <w:tc>
          <w:tcPr>
            <w:tcW w:w="0" w:type="auto"/>
          </w:tcPr>
          <w:p w14:paraId="3C3C9249" w14:textId="77777777" w:rsidR="0042338E" w:rsidRPr="00657E8C" w:rsidRDefault="0042338E" w:rsidP="00E620C7">
            <w:pPr>
              <w:pStyle w:val="ARtabletextright"/>
            </w:pPr>
            <w:r w:rsidRPr="00657E8C">
              <w:t>2</w:t>
            </w:r>
            <w:r>
              <w:t>,</w:t>
            </w:r>
            <w:r w:rsidRPr="00657E8C">
              <w:t>753.5</w:t>
            </w:r>
          </w:p>
        </w:tc>
        <w:tc>
          <w:tcPr>
            <w:tcW w:w="0" w:type="auto"/>
          </w:tcPr>
          <w:p w14:paraId="7AC4C166" w14:textId="77777777" w:rsidR="0042338E" w:rsidRPr="00657E8C" w:rsidRDefault="0042338E" w:rsidP="00E620C7">
            <w:pPr>
              <w:pStyle w:val="ARtabletextright"/>
            </w:pPr>
            <w:r w:rsidRPr="00657E8C">
              <w:t>1</w:t>
            </w:r>
            <w:r>
              <w:t>,</w:t>
            </w:r>
            <w:r w:rsidRPr="00657E8C">
              <w:t>505</w:t>
            </w:r>
          </w:p>
        </w:tc>
        <w:tc>
          <w:tcPr>
            <w:tcW w:w="0" w:type="auto"/>
          </w:tcPr>
          <w:p w14:paraId="693C5FD0" w14:textId="77777777" w:rsidR="0042338E" w:rsidRPr="00657E8C" w:rsidRDefault="0042338E" w:rsidP="00E620C7">
            <w:pPr>
              <w:pStyle w:val="ARtabletextright"/>
            </w:pPr>
            <w:r w:rsidRPr="00657E8C">
              <w:t>944</w:t>
            </w:r>
          </w:p>
        </w:tc>
        <w:tc>
          <w:tcPr>
            <w:tcW w:w="0" w:type="auto"/>
          </w:tcPr>
          <w:p w14:paraId="4C348ED8" w14:textId="77777777" w:rsidR="0042338E" w:rsidRPr="00657E8C" w:rsidRDefault="0042338E" w:rsidP="00E620C7">
            <w:pPr>
              <w:pStyle w:val="ARtabletextright"/>
            </w:pPr>
            <w:r w:rsidRPr="00657E8C">
              <w:t>2</w:t>
            </w:r>
            <w:r>
              <w:t>,</w:t>
            </w:r>
            <w:r w:rsidRPr="00657E8C">
              <w:t>180.2</w:t>
            </w:r>
          </w:p>
        </w:tc>
        <w:tc>
          <w:tcPr>
            <w:tcW w:w="0" w:type="auto"/>
          </w:tcPr>
          <w:p w14:paraId="1758DDF8" w14:textId="77777777" w:rsidR="0042338E" w:rsidRPr="00657E8C" w:rsidRDefault="0042338E" w:rsidP="00E620C7">
            <w:pPr>
              <w:pStyle w:val="ARtabletextright"/>
            </w:pPr>
            <w:r w:rsidRPr="00657E8C">
              <w:t>760</w:t>
            </w:r>
          </w:p>
        </w:tc>
        <w:tc>
          <w:tcPr>
            <w:tcW w:w="0" w:type="auto"/>
          </w:tcPr>
          <w:p w14:paraId="47484358" w14:textId="77777777" w:rsidR="0042338E" w:rsidRPr="00657E8C" w:rsidRDefault="0042338E" w:rsidP="00E620C7">
            <w:pPr>
              <w:pStyle w:val="ARtabletextright"/>
            </w:pPr>
            <w:r w:rsidRPr="00657E8C">
              <w:t>573.3</w:t>
            </w:r>
          </w:p>
        </w:tc>
      </w:tr>
      <w:tr w:rsidR="0042338E" w:rsidRPr="00657E8C" w14:paraId="533B1460" w14:textId="77777777" w:rsidTr="00F16145">
        <w:trPr>
          <w:gridAfter w:val="1"/>
          <w:wAfter w:w="15" w:type="dxa"/>
        </w:trPr>
        <w:tc>
          <w:tcPr>
            <w:tcW w:w="1696" w:type="dxa"/>
          </w:tcPr>
          <w:p w14:paraId="1C817586" w14:textId="77777777" w:rsidR="0042338E" w:rsidRPr="00657E8C" w:rsidRDefault="0042338E" w:rsidP="00E620C7">
            <w:pPr>
              <w:pStyle w:val="ARtabletext"/>
            </w:pPr>
            <w:r w:rsidRPr="00657E8C">
              <w:t>45</w:t>
            </w:r>
            <w:r>
              <w:t>–</w:t>
            </w:r>
            <w:r w:rsidRPr="00657E8C">
              <w:t>54</w:t>
            </w:r>
          </w:p>
        </w:tc>
        <w:tc>
          <w:tcPr>
            <w:tcW w:w="0" w:type="auto"/>
          </w:tcPr>
          <w:p w14:paraId="2D865A51" w14:textId="77777777" w:rsidR="0042338E" w:rsidRPr="00657E8C" w:rsidRDefault="0042338E" w:rsidP="00E620C7">
            <w:pPr>
              <w:pStyle w:val="ARtabletextright"/>
            </w:pPr>
            <w:r w:rsidRPr="00657E8C">
              <w:t>2</w:t>
            </w:r>
            <w:r>
              <w:t>,</w:t>
            </w:r>
            <w:r w:rsidRPr="00657E8C">
              <w:t>903</w:t>
            </w:r>
          </w:p>
        </w:tc>
        <w:tc>
          <w:tcPr>
            <w:tcW w:w="0" w:type="auto"/>
          </w:tcPr>
          <w:p w14:paraId="16439797" w14:textId="77777777" w:rsidR="0042338E" w:rsidRPr="00657E8C" w:rsidRDefault="0042338E" w:rsidP="00E620C7">
            <w:pPr>
              <w:pStyle w:val="ARtabletextright"/>
            </w:pPr>
            <w:r w:rsidRPr="00657E8C">
              <w:t>2</w:t>
            </w:r>
            <w:r>
              <w:t>,</w:t>
            </w:r>
            <w:r w:rsidRPr="00657E8C">
              <w:t>632.1</w:t>
            </w:r>
          </w:p>
        </w:tc>
        <w:tc>
          <w:tcPr>
            <w:tcW w:w="0" w:type="auto"/>
          </w:tcPr>
          <w:p w14:paraId="3A1B3E3E" w14:textId="77777777" w:rsidR="0042338E" w:rsidRPr="00657E8C" w:rsidRDefault="0042338E" w:rsidP="00E620C7">
            <w:pPr>
              <w:pStyle w:val="ARtabletextright"/>
            </w:pPr>
            <w:r w:rsidRPr="00657E8C">
              <w:t>1</w:t>
            </w:r>
            <w:r>
              <w:t>,</w:t>
            </w:r>
            <w:r w:rsidRPr="00657E8C">
              <w:t>711</w:t>
            </w:r>
          </w:p>
        </w:tc>
        <w:tc>
          <w:tcPr>
            <w:tcW w:w="0" w:type="auto"/>
          </w:tcPr>
          <w:p w14:paraId="422FA7D1" w14:textId="77777777" w:rsidR="0042338E" w:rsidRPr="00657E8C" w:rsidRDefault="0042338E" w:rsidP="00E620C7">
            <w:pPr>
              <w:pStyle w:val="ARtabletextright"/>
            </w:pPr>
            <w:r w:rsidRPr="00657E8C">
              <w:t>697</w:t>
            </w:r>
          </w:p>
        </w:tc>
        <w:tc>
          <w:tcPr>
            <w:tcW w:w="0" w:type="auto"/>
          </w:tcPr>
          <w:p w14:paraId="3945C7DB" w14:textId="77777777" w:rsidR="0042338E" w:rsidRPr="00657E8C" w:rsidRDefault="0042338E" w:rsidP="00E620C7">
            <w:pPr>
              <w:pStyle w:val="ARtabletextright"/>
            </w:pPr>
            <w:r w:rsidRPr="00657E8C">
              <w:t>2</w:t>
            </w:r>
            <w:r>
              <w:t>,</w:t>
            </w:r>
            <w:r w:rsidRPr="00657E8C">
              <w:t>240.2</w:t>
            </w:r>
          </w:p>
        </w:tc>
        <w:tc>
          <w:tcPr>
            <w:tcW w:w="0" w:type="auto"/>
          </w:tcPr>
          <w:p w14:paraId="4510E89C" w14:textId="77777777" w:rsidR="0042338E" w:rsidRPr="00657E8C" w:rsidRDefault="0042338E" w:rsidP="00E620C7">
            <w:pPr>
              <w:pStyle w:val="ARtabletextright"/>
            </w:pPr>
            <w:r w:rsidRPr="00657E8C">
              <w:t>495</w:t>
            </w:r>
          </w:p>
        </w:tc>
        <w:tc>
          <w:tcPr>
            <w:tcW w:w="0" w:type="auto"/>
          </w:tcPr>
          <w:p w14:paraId="34B89086" w14:textId="77777777" w:rsidR="0042338E" w:rsidRPr="00657E8C" w:rsidRDefault="0042338E" w:rsidP="00E620C7">
            <w:pPr>
              <w:pStyle w:val="ARtabletextright"/>
            </w:pPr>
            <w:r w:rsidRPr="00657E8C">
              <w:t>391.9</w:t>
            </w:r>
          </w:p>
        </w:tc>
        <w:tc>
          <w:tcPr>
            <w:tcW w:w="0" w:type="auto"/>
          </w:tcPr>
          <w:p w14:paraId="278D3514" w14:textId="77777777" w:rsidR="0042338E" w:rsidRPr="00657E8C" w:rsidRDefault="0042338E" w:rsidP="00E620C7">
            <w:pPr>
              <w:pStyle w:val="ARtabletextright"/>
            </w:pPr>
            <w:r w:rsidRPr="00657E8C">
              <w:t>3</w:t>
            </w:r>
            <w:r>
              <w:t>,</w:t>
            </w:r>
            <w:r w:rsidRPr="00657E8C">
              <w:t>764</w:t>
            </w:r>
          </w:p>
        </w:tc>
        <w:tc>
          <w:tcPr>
            <w:tcW w:w="0" w:type="auto"/>
          </w:tcPr>
          <w:p w14:paraId="6F3A1648" w14:textId="77777777" w:rsidR="0042338E" w:rsidRPr="00657E8C" w:rsidRDefault="0042338E" w:rsidP="00E620C7">
            <w:pPr>
              <w:pStyle w:val="ARtabletextright"/>
            </w:pPr>
            <w:r w:rsidRPr="00657E8C">
              <w:t>3</w:t>
            </w:r>
            <w:r>
              <w:t>,</w:t>
            </w:r>
            <w:r w:rsidRPr="00657E8C">
              <w:t>357</w:t>
            </w:r>
          </w:p>
        </w:tc>
        <w:tc>
          <w:tcPr>
            <w:tcW w:w="0" w:type="auto"/>
          </w:tcPr>
          <w:p w14:paraId="2275B614" w14:textId="77777777" w:rsidR="0042338E" w:rsidRPr="00657E8C" w:rsidRDefault="0042338E" w:rsidP="00E620C7">
            <w:pPr>
              <w:pStyle w:val="ARtabletextright"/>
            </w:pPr>
            <w:r w:rsidRPr="00657E8C">
              <w:t>2</w:t>
            </w:r>
            <w:r>
              <w:t>,</w:t>
            </w:r>
            <w:r w:rsidRPr="00657E8C">
              <w:t>014</w:t>
            </w:r>
          </w:p>
        </w:tc>
        <w:tc>
          <w:tcPr>
            <w:tcW w:w="0" w:type="auto"/>
          </w:tcPr>
          <w:p w14:paraId="18D6E2BA" w14:textId="77777777" w:rsidR="0042338E" w:rsidRPr="00657E8C" w:rsidRDefault="0042338E" w:rsidP="00E620C7">
            <w:pPr>
              <w:pStyle w:val="ARtabletextright"/>
            </w:pPr>
            <w:r w:rsidRPr="00657E8C">
              <w:t>1</w:t>
            </w:r>
            <w:r>
              <w:t>,</w:t>
            </w:r>
            <w:r w:rsidRPr="00657E8C">
              <w:t>065</w:t>
            </w:r>
          </w:p>
        </w:tc>
        <w:tc>
          <w:tcPr>
            <w:tcW w:w="0" w:type="auto"/>
          </w:tcPr>
          <w:p w14:paraId="06C4BBA9" w14:textId="77777777" w:rsidR="0042338E" w:rsidRPr="00657E8C" w:rsidRDefault="0042338E" w:rsidP="00E620C7">
            <w:pPr>
              <w:pStyle w:val="ARtabletextright"/>
            </w:pPr>
            <w:r w:rsidRPr="00657E8C">
              <w:t>2</w:t>
            </w:r>
            <w:r>
              <w:t>,</w:t>
            </w:r>
            <w:r w:rsidRPr="00657E8C">
              <w:t>838.2</w:t>
            </w:r>
          </w:p>
        </w:tc>
        <w:tc>
          <w:tcPr>
            <w:tcW w:w="0" w:type="auto"/>
          </w:tcPr>
          <w:p w14:paraId="445FFDD0" w14:textId="77777777" w:rsidR="0042338E" w:rsidRPr="00657E8C" w:rsidRDefault="0042338E" w:rsidP="00E620C7">
            <w:pPr>
              <w:pStyle w:val="ARtabletextright"/>
            </w:pPr>
            <w:r w:rsidRPr="00657E8C">
              <w:t>685</w:t>
            </w:r>
          </w:p>
        </w:tc>
        <w:tc>
          <w:tcPr>
            <w:tcW w:w="0" w:type="auto"/>
          </w:tcPr>
          <w:p w14:paraId="3198EFFA" w14:textId="77777777" w:rsidR="0042338E" w:rsidRPr="00657E8C" w:rsidRDefault="0042338E" w:rsidP="00E620C7">
            <w:pPr>
              <w:pStyle w:val="ARtabletextright"/>
            </w:pPr>
            <w:r w:rsidRPr="00657E8C">
              <w:t>518.8</w:t>
            </w:r>
          </w:p>
        </w:tc>
      </w:tr>
      <w:tr w:rsidR="0042338E" w:rsidRPr="00657E8C" w14:paraId="3EB2B260" w14:textId="77777777" w:rsidTr="00F16145">
        <w:trPr>
          <w:gridAfter w:val="1"/>
          <w:wAfter w:w="15" w:type="dxa"/>
        </w:trPr>
        <w:tc>
          <w:tcPr>
            <w:tcW w:w="1696" w:type="dxa"/>
          </w:tcPr>
          <w:p w14:paraId="1C897674" w14:textId="77777777" w:rsidR="0042338E" w:rsidRPr="00657E8C" w:rsidRDefault="0042338E" w:rsidP="00E620C7">
            <w:pPr>
              <w:pStyle w:val="ARtabletext"/>
            </w:pPr>
            <w:r w:rsidRPr="00657E8C">
              <w:t>55</w:t>
            </w:r>
            <w:r>
              <w:t>–</w:t>
            </w:r>
            <w:r w:rsidRPr="00657E8C">
              <w:t>64</w:t>
            </w:r>
          </w:p>
        </w:tc>
        <w:tc>
          <w:tcPr>
            <w:tcW w:w="0" w:type="auto"/>
          </w:tcPr>
          <w:p w14:paraId="6091EFDE" w14:textId="77777777" w:rsidR="0042338E" w:rsidRPr="00657E8C" w:rsidRDefault="0042338E" w:rsidP="00E620C7">
            <w:pPr>
              <w:pStyle w:val="ARtabletextright"/>
            </w:pPr>
            <w:r w:rsidRPr="00657E8C">
              <w:t>2</w:t>
            </w:r>
            <w:r>
              <w:t>,</w:t>
            </w:r>
            <w:r w:rsidRPr="00657E8C">
              <w:t>393</w:t>
            </w:r>
          </w:p>
        </w:tc>
        <w:tc>
          <w:tcPr>
            <w:tcW w:w="0" w:type="auto"/>
          </w:tcPr>
          <w:p w14:paraId="59AC0C89" w14:textId="77777777" w:rsidR="0042338E" w:rsidRPr="00657E8C" w:rsidRDefault="0042338E" w:rsidP="00E620C7">
            <w:pPr>
              <w:pStyle w:val="ARtabletextright"/>
            </w:pPr>
            <w:r w:rsidRPr="00657E8C">
              <w:t>2</w:t>
            </w:r>
            <w:r>
              <w:t>,</w:t>
            </w:r>
            <w:r w:rsidRPr="00657E8C">
              <w:t>139.8</w:t>
            </w:r>
          </w:p>
        </w:tc>
        <w:tc>
          <w:tcPr>
            <w:tcW w:w="0" w:type="auto"/>
          </w:tcPr>
          <w:p w14:paraId="3869CB65" w14:textId="77777777" w:rsidR="0042338E" w:rsidRPr="00657E8C" w:rsidRDefault="0042338E" w:rsidP="00E620C7">
            <w:pPr>
              <w:pStyle w:val="ARtabletextright"/>
            </w:pPr>
            <w:r w:rsidRPr="00657E8C">
              <w:t>1</w:t>
            </w:r>
            <w:r>
              <w:t>,</w:t>
            </w:r>
            <w:r w:rsidRPr="00657E8C">
              <w:t>399</w:t>
            </w:r>
          </w:p>
        </w:tc>
        <w:tc>
          <w:tcPr>
            <w:tcW w:w="0" w:type="auto"/>
          </w:tcPr>
          <w:p w14:paraId="4DACC38C" w14:textId="77777777" w:rsidR="0042338E" w:rsidRPr="00657E8C" w:rsidRDefault="0042338E" w:rsidP="00E620C7">
            <w:pPr>
              <w:pStyle w:val="ARtabletextright"/>
            </w:pPr>
            <w:r w:rsidRPr="00657E8C">
              <w:t>642</w:t>
            </w:r>
          </w:p>
        </w:tc>
        <w:tc>
          <w:tcPr>
            <w:tcW w:w="0" w:type="auto"/>
          </w:tcPr>
          <w:p w14:paraId="77D6B43D" w14:textId="77777777" w:rsidR="0042338E" w:rsidRPr="00657E8C" w:rsidRDefault="0042338E" w:rsidP="00E620C7">
            <w:pPr>
              <w:pStyle w:val="ARtabletextright"/>
            </w:pPr>
            <w:r w:rsidRPr="00657E8C">
              <w:t>1</w:t>
            </w:r>
            <w:r>
              <w:t>,</w:t>
            </w:r>
            <w:r w:rsidRPr="00657E8C">
              <w:t>881.7</w:t>
            </w:r>
          </w:p>
        </w:tc>
        <w:tc>
          <w:tcPr>
            <w:tcW w:w="0" w:type="auto"/>
          </w:tcPr>
          <w:p w14:paraId="02CD74F6" w14:textId="77777777" w:rsidR="0042338E" w:rsidRPr="00657E8C" w:rsidRDefault="0042338E" w:rsidP="00E620C7">
            <w:pPr>
              <w:pStyle w:val="ARtabletextright"/>
            </w:pPr>
            <w:r w:rsidRPr="00657E8C">
              <w:t>352</w:t>
            </w:r>
          </w:p>
        </w:tc>
        <w:tc>
          <w:tcPr>
            <w:tcW w:w="0" w:type="auto"/>
          </w:tcPr>
          <w:p w14:paraId="1F0CAAF4" w14:textId="77777777" w:rsidR="0042338E" w:rsidRPr="00657E8C" w:rsidRDefault="0042338E" w:rsidP="00E620C7">
            <w:pPr>
              <w:pStyle w:val="ARtabletextright"/>
            </w:pPr>
            <w:r w:rsidRPr="00657E8C">
              <w:t>258.1</w:t>
            </w:r>
          </w:p>
        </w:tc>
        <w:tc>
          <w:tcPr>
            <w:tcW w:w="0" w:type="auto"/>
          </w:tcPr>
          <w:p w14:paraId="44072537" w14:textId="77777777" w:rsidR="0042338E" w:rsidRPr="00657E8C" w:rsidRDefault="0042338E" w:rsidP="00E620C7">
            <w:pPr>
              <w:pStyle w:val="ARtabletextright"/>
            </w:pPr>
            <w:r w:rsidRPr="00657E8C">
              <w:t>3</w:t>
            </w:r>
            <w:r>
              <w:t>,</w:t>
            </w:r>
            <w:r w:rsidRPr="00657E8C">
              <w:t>134</w:t>
            </w:r>
          </w:p>
        </w:tc>
        <w:tc>
          <w:tcPr>
            <w:tcW w:w="0" w:type="auto"/>
          </w:tcPr>
          <w:p w14:paraId="612B7FE7" w14:textId="77777777" w:rsidR="0042338E" w:rsidRPr="00657E8C" w:rsidRDefault="0042338E" w:rsidP="00E620C7">
            <w:pPr>
              <w:pStyle w:val="ARtabletextright"/>
            </w:pPr>
            <w:r w:rsidRPr="00657E8C">
              <w:t>2</w:t>
            </w:r>
            <w:r>
              <w:t>,</w:t>
            </w:r>
            <w:r w:rsidRPr="00657E8C">
              <w:t>770.3</w:t>
            </w:r>
          </w:p>
        </w:tc>
        <w:tc>
          <w:tcPr>
            <w:tcW w:w="0" w:type="auto"/>
          </w:tcPr>
          <w:p w14:paraId="5CD6A159" w14:textId="77777777" w:rsidR="0042338E" w:rsidRPr="00657E8C" w:rsidRDefault="0042338E" w:rsidP="00E620C7">
            <w:pPr>
              <w:pStyle w:val="ARtabletextright"/>
            </w:pPr>
            <w:r w:rsidRPr="00657E8C">
              <w:t>1</w:t>
            </w:r>
            <w:r>
              <w:t>,</w:t>
            </w:r>
            <w:r w:rsidRPr="00657E8C">
              <w:t>673</w:t>
            </w:r>
          </w:p>
        </w:tc>
        <w:tc>
          <w:tcPr>
            <w:tcW w:w="0" w:type="auto"/>
          </w:tcPr>
          <w:p w14:paraId="30F8CAC5" w14:textId="77777777" w:rsidR="0042338E" w:rsidRPr="00657E8C" w:rsidRDefault="0042338E" w:rsidP="00E620C7">
            <w:pPr>
              <w:pStyle w:val="ARtabletextright"/>
            </w:pPr>
            <w:r w:rsidRPr="00657E8C">
              <w:t>962</w:t>
            </w:r>
          </w:p>
        </w:tc>
        <w:tc>
          <w:tcPr>
            <w:tcW w:w="0" w:type="auto"/>
          </w:tcPr>
          <w:p w14:paraId="5387AF92" w14:textId="77777777" w:rsidR="0042338E" w:rsidRPr="00657E8C" w:rsidRDefault="0042338E" w:rsidP="00E620C7">
            <w:pPr>
              <w:pStyle w:val="ARtabletextright"/>
            </w:pPr>
            <w:r w:rsidRPr="00657E8C">
              <w:t>2</w:t>
            </w:r>
            <w:r>
              <w:t>,</w:t>
            </w:r>
            <w:r w:rsidRPr="00657E8C">
              <w:t>425.9</w:t>
            </w:r>
          </w:p>
        </w:tc>
        <w:tc>
          <w:tcPr>
            <w:tcW w:w="0" w:type="auto"/>
          </w:tcPr>
          <w:p w14:paraId="1767633C" w14:textId="77777777" w:rsidR="0042338E" w:rsidRPr="00657E8C" w:rsidRDefault="0042338E" w:rsidP="00E620C7">
            <w:pPr>
              <w:pStyle w:val="ARtabletextright"/>
            </w:pPr>
            <w:r w:rsidRPr="00657E8C">
              <w:t>499</w:t>
            </w:r>
          </w:p>
        </w:tc>
        <w:tc>
          <w:tcPr>
            <w:tcW w:w="0" w:type="auto"/>
          </w:tcPr>
          <w:p w14:paraId="7456BD8D" w14:textId="77777777" w:rsidR="0042338E" w:rsidRPr="00657E8C" w:rsidRDefault="0042338E" w:rsidP="00E620C7">
            <w:pPr>
              <w:pStyle w:val="ARtabletextright"/>
            </w:pPr>
            <w:r w:rsidRPr="00657E8C">
              <w:t>344.4</w:t>
            </w:r>
          </w:p>
        </w:tc>
      </w:tr>
      <w:tr w:rsidR="0042338E" w:rsidRPr="00657E8C" w14:paraId="7E05874B" w14:textId="77777777" w:rsidTr="00F16145">
        <w:trPr>
          <w:gridAfter w:val="1"/>
          <w:wAfter w:w="15" w:type="dxa"/>
        </w:trPr>
        <w:tc>
          <w:tcPr>
            <w:tcW w:w="1696" w:type="dxa"/>
          </w:tcPr>
          <w:p w14:paraId="6871D2EE" w14:textId="77777777" w:rsidR="0042338E" w:rsidRPr="00657E8C" w:rsidRDefault="0042338E" w:rsidP="00E620C7">
            <w:pPr>
              <w:pStyle w:val="ARtabletext"/>
            </w:pPr>
            <w:r w:rsidRPr="00657E8C">
              <w:t>64+</w:t>
            </w:r>
          </w:p>
        </w:tc>
        <w:tc>
          <w:tcPr>
            <w:tcW w:w="0" w:type="auto"/>
          </w:tcPr>
          <w:p w14:paraId="71B5EE4B" w14:textId="77777777" w:rsidR="0042338E" w:rsidRPr="00657E8C" w:rsidRDefault="0042338E" w:rsidP="00E620C7">
            <w:pPr>
              <w:pStyle w:val="ARtabletextright"/>
            </w:pPr>
            <w:r w:rsidRPr="00657E8C">
              <w:t>489</w:t>
            </w:r>
          </w:p>
        </w:tc>
        <w:tc>
          <w:tcPr>
            <w:tcW w:w="0" w:type="auto"/>
          </w:tcPr>
          <w:p w14:paraId="6B839A6C" w14:textId="77777777" w:rsidR="0042338E" w:rsidRPr="00657E8C" w:rsidRDefault="0042338E" w:rsidP="00E620C7">
            <w:pPr>
              <w:pStyle w:val="ARtabletextright"/>
            </w:pPr>
            <w:r w:rsidRPr="00657E8C">
              <w:t>410.3</w:t>
            </w:r>
          </w:p>
        </w:tc>
        <w:tc>
          <w:tcPr>
            <w:tcW w:w="0" w:type="auto"/>
          </w:tcPr>
          <w:p w14:paraId="32C7FFB8" w14:textId="77777777" w:rsidR="0042338E" w:rsidRPr="00657E8C" w:rsidRDefault="0042338E" w:rsidP="00E620C7">
            <w:pPr>
              <w:pStyle w:val="ARtabletextright"/>
            </w:pPr>
            <w:r w:rsidRPr="00657E8C">
              <w:t>263</w:t>
            </w:r>
          </w:p>
        </w:tc>
        <w:tc>
          <w:tcPr>
            <w:tcW w:w="0" w:type="auto"/>
          </w:tcPr>
          <w:p w14:paraId="3DAA11A2" w14:textId="77777777" w:rsidR="0042338E" w:rsidRPr="00657E8C" w:rsidRDefault="0042338E" w:rsidP="00E620C7">
            <w:pPr>
              <w:pStyle w:val="ARtabletextright"/>
            </w:pPr>
            <w:r w:rsidRPr="00657E8C">
              <w:t>151</w:t>
            </w:r>
          </w:p>
        </w:tc>
        <w:tc>
          <w:tcPr>
            <w:tcW w:w="0" w:type="auto"/>
          </w:tcPr>
          <w:p w14:paraId="40733AE2" w14:textId="77777777" w:rsidR="0042338E" w:rsidRPr="00657E8C" w:rsidRDefault="0042338E" w:rsidP="00E620C7">
            <w:pPr>
              <w:pStyle w:val="ARtabletextright"/>
            </w:pPr>
            <w:r w:rsidRPr="00657E8C">
              <w:t>366.2</w:t>
            </w:r>
          </w:p>
        </w:tc>
        <w:tc>
          <w:tcPr>
            <w:tcW w:w="0" w:type="auto"/>
          </w:tcPr>
          <w:p w14:paraId="1FA6D170" w14:textId="77777777" w:rsidR="0042338E" w:rsidRPr="00657E8C" w:rsidRDefault="0042338E" w:rsidP="00E620C7">
            <w:pPr>
              <w:pStyle w:val="ARtabletextright"/>
            </w:pPr>
            <w:r w:rsidRPr="00657E8C">
              <w:t>75</w:t>
            </w:r>
          </w:p>
        </w:tc>
        <w:tc>
          <w:tcPr>
            <w:tcW w:w="0" w:type="auto"/>
          </w:tcPr>
          <w:p w14:paraId="5DBD674A" w14:textId="77777777" w:rsidR="0042338E" w:rsidRPr="00657E8C" w:rsidRDefault="0042338E" w:rsidP="00E620C7">
            <w:pPr>
              <w:pStyle w:val="ARtabletextright"/>
            </w:pPr>
            <w:r w:rsidRPr="00657E8C">
              <w:t>44</w:t>
            </w:r>
          </w:p>
        </w:tc>
        <w:tc>
          <w:tcPr>
            <w:tcW w:w="0" w:type="auto"/>
          </w:tcPr>
          <w:p w14:paraId="4630652A" w14:textId="77777777" w:rsidR="0042338E" w:rsidRPr="00657E8C" w:rsidRDefault="0042338E" w:rsidP="00E620C7">
            <w:pPr>
              <w:pStyle w:val="ARtabletextright"/>
            </w:pPr>
            <w:r w:rsidRPr="00657E8C">
              <w:t>608</w:t>
            </w:r>
          </w:p>
        </w:tc>
        <w:tc>
          <w:tcPr>
            <w:tcW w:w="0" w:type="auto"/>
          </w:tcPr>
          <w:p w14:paraId="49A5C995" w14:textId="77777777" w:rsidR="0042338E" w:rsidRPr="00657E8C" w:rsidRDefault="0042338E" w:rsidP="00E620C7">
            <w:pPr>
              <w:pStyle w:val="ARtabletextright"/>
            </w:pPr>
            <w:r w:rsidRPr="00657E8C">
              <w:t>499.1</w:t>
            </w:r>
          </w:p>
        </w:tc>
        <w:tc>
          <w:tcPr>
            <w:tcW w:w="0" w:type="auto"/>
          </w:tcPr>
          <w:p w14:paraId="78334459" w14:textId="77777777" w:rsidR="0042338E" w:rsidRPr="00657E8C" w:rsidRDefault="0042338E" w:rsidP="00E620C7">
            <w:pPr>
              <w:pStyle w:val="ARtabletextright"/>
            </w:pPr>
            <w:r w:rsidRPr="00657E8C">
              <w:t>292</w:t>
            </w:r>
          </w:p>
        </w:tc>
        <w:tc>
          <w:tcPr>
            <w:tcW w:w="0" w:type="auto"/>
          </w:tcPr>
          <w:p w14:paraId="61D207C3" w14:textId="77777777" w:rsidR="0042338E" w:rsidRPr="00657E8C" w:rsidRDefault="0042338E" w:rsidP="00E620C7">
            <w:pPr>
              <w:pStyle w:val="ARtabletextright"/>
            </w:pPr>
            <w:r w:rsidRPr="00657E8C">
              <w:t>211</w:t>
            </w:r>
          </w:p>
        </w:tc>
        <w:tc>
          <w:tcPr>
            <w:tcW w:w="0" w:type="auto"/>
          </w:tcPr>
          <w:p w14:paraId="5180A060" w14:textId="77777777" w:rsidR="0042338E" w:rsidRPr="00657E8C" w:rsidRDefault="0042338E" w:rsidP="00E620C7">
            <w:pPr>
              <w:pStyle w:val="ARtabletextright"/>
            </w:pPr>
            <w:r w:rsidRPr="00657E8C">
              <w:t>447.1</w:t>
            </w:r>
          </w:p>
        </w:tc>
        <w:tc>
          <w:tcPr>
            <w:tcW w:w="0" w:type="auto"/>
          </w:tcPr>
          <w:p w14:paraId="4E95693A" w14:textId="77777777" w:rsidR="0042338E" w:rsidRPr="00657E8C" w:rsidRDefault="0042338E" w:rsidP="00E620C7">
            <w:pPr>
              <w:pStyle w:val="ARtabletextright"/>
            </w:pPr>
            <w:r w:rsidRPr="00657E8C">
              <w:t>105</w:t>
            </w:r>
          </w:p>
        </w:tc>
        <w:tc>
          <w:tcPr>
            <w:tcW w:w="0" w:type="auto"/>
          </w:tcPr>
          <w:p w14:paraId="54F2B48E" w14:textId="77777777" w:rsidR="0042338E" w:rsidRPr="00657E8C" w:rsidRDefault="0042338E" w:rsidP="00E620C7">
            <w:pPr>
              <w:pStyle w:val="ARtabletextright"/>
            </w:pPr>
            <w:r w:rsidRPr="00657E8C">
              <w:t>52</w:t>
            </w:r>
          </w:p>
        </w:tc>
      </w:tr>
      <w:tr w:rsidR="0042338E" w:rsidRPr="00657E8C" w14:paraId="4DDF1FCC" w14:textId="77777777" w:rsidTr="00F16145">
        <w:tc>
          <w:tcPr>
            <w:tcW w:w="14291" w:type="dxa"/>
            <w:gridSpan w:val="16"/>
          </w:tcPr>
          <w:p w14:paraId="3524550A" w14:textId="77777777" w:rsidR="0042338E" w:rsidRPr="00657E8C" w:rsidRDefault="0042338E" w:rsidP="00E620C7">
            <w:pPr>
              <w:pStyle w:val="ARtablebluebold"/>
            </w:pPr>
            <w:r w:rsidRPr="00657E8C">
              <w:t>Classification</w:t>
            </w:r>
          </w:p>
        </w:tc>
      </w:tr>
      <w:tr w:rsidR="0042338E" w:rsidRPr="00657E8C" w14:paraId="788FB58C" w14:textId="77777777" w:rsidTr="00F16145">
        <w:trPr>
          <w:gridAfter w:val="1"/>
          <w:wAfter w:w="15" w:type="dxa"/>
        </w:trPr>
        <w:tc>
          <w:tcPr>
            <w:tcW w:w="1696" w:type="dxa"/>
          </w:tcPr>
          <w:p w14:paraId="03D3B3AC" w14:textId="77777777" w:rsidR="0042338E" w:rsidRPr="00657E8C" w:rsidRDefault="0042338E" w:rsidP="00E620C7">
            <w:pPr>
              <w:pStyle w:val="ARtabletext"/>
            </w:pPr>
            <w:r w:rsidRPr="00657E8C">
              <w:t>VPS 1</w:t>
            </w:r>
          </w:p>
        </w:tc>
        <w:tc>
          <w:tcPr>
            <w:tcW w:w="0" w:type="auto"/>
          </w:tcPr>
          <w:p w14:paraId="6BA089CD" w14:textId="77777777" w:rsidR="0042338E" w:rsidRPr="00657E8C" w:rsidRDefault="0042338E" w:rsidP="00E620C7">
            <w:pPr>
              <w:pStyle w:val="ARtabletextright"/>
            </w:pPr>
            <w:r w:rsidRPr="00657E8C">
              <w:t>24</w:t>
            </w:r>
          </w:p>
        </w:tc>
        <w:tc>
          <w:tcPr>
            <w:tcW w:w="0" w:type="auto"/>
          </w:tcPr>
          <w:p w14:paraId="08D35FC8" w14:textId="77777777" w:rsidR="0042338E" w:rsidRPr="00657E8C" w:rsidRDefault="0042338E" w:rsidP="00E620C7">
            <w:pPr>
              <w:pStyle w:val="ARtabletextright"/>
            </w:pPr>
            <w:r w:rsidRPr="00657E8C">
              <w:t>20.5</w:t>
            </w:r>
          </w:p>
        </w:tc>
        <w:tc>
          <w:tcPr>
            <w:tcW w:w="0" w:type="auto"/>
          </w:tcPr>
          <w:p w14:paraId="300E3B1F" w14:textId="77777777" w:rsidR="0042338E" w:rsidRPr="00657E8C" w:rsidRDefault="0042338E" w:rsidP="00E620C7">
            <w:pPr>
              <w:pStyle w:val="ARtabletextright"/>
            </w:pPr>
            <w:r w:rsidRPr="00657E8C">
              <w:t>0</w:t>
            </w:r>
          </w:p>
        </w:tc>
        <w:tc>
          <w:tcPr>
            <w:tcW w:w="0" w:type="auto"/>
          </w:tcPr>
          <w:p w14:paraId="2CFEE855" w14:textId="77777777" w:rsidR="0042338E" w:rsidRPr="00657E8C" w:rsidRDefault="0042338E" w:rsidP="00E620C7">
            <w:pPr>
              <w:pStyle w:val="ARtabletextright"/>
            </w:pPr>
            <w:r w:rsidRPr="00657E8C">
              <w:t>1</w:t>
            </w:r>
          </w:p>
        </w:tc>
        <w:tc>
          <w:tcPr>
            <w:tcW w:w="0" w:type="auto"/>
          </w:tcPr>
          <w:p w14:paraId="4A23D713" w14:textId="77777777" w:rsidR="0042338E" w:rsidRPr="00657E8C" w:rsidRDefault="0042338E" w:rsidP="00E620C7">
            <w:pPr>
              <w:pStyle w:val="ARtabletextright"/>
            </w:pPr>
            <w:r w:rsidRPr="00657E8C">
              <w:t>0.2</w:t>
            </w:r>
          </w:p>
        </w:tc>
        <w:tc>
          <w:tcPr>
            <w:tcW w:w="0" w:type="auto"/>
          </w:tcPr>
          <w:p w14:paraId="5BFED7B5" w14:textId="77777777" w:rsidR="0042338E" w:rsidRPr="00657E8C" w:rsidRDefault="0042338E" w:rsidP="00E620C7">
            <w:pPr>
              <w:pStyle w:val="ARtabletextright"/>
            </w:pPr>
            <w:r w:rsidRPr="00657E8C">
              <w:t>23</w:t>
            </w:r>
          </w:p>
        </w:tc>
        <w:tc>
          <w:tcPr>
            <w:tcW w:w="0" w:type="auto"/>
          </w:tcPr>
          <w:p w14:paraId="5AA6127E" w14:textId="77777777" w:rsidR="0042338E" w:rsidRPr="00657E8C" w:rsidRDefault="0042338E" w:rsidP="00E620C7">
            <w:pPr>
              <w:pStyle w:val="ARtabletextright"/>
            </w:pPr>
            <w:r w:rsidRPr="00657E8C">
              <w:t>20.3</w:t>
            </w:r>
          </w:p>
        </w:tc>
        <w:tc>
          <w:tcPr>
            <w:tcW w:w="0" w:type="auto"/>
          </w:tcPr>
          <w:p w14:paraId="30206083" w14:textId="77777777" w:rsidR="0042338E" w:rsidRPr="00657E8C" w:rsidRDefault="0042338E" w:rsidP="00E620C7">
            <w:pPr>
              <w:pStyle w:val="ARtabletextright"/>
            </w:pPr>
            <w:r w:rsidRPr="00657E8C">
              <w:t>19</w:t>
            </w:r>
          </w:p>
        </w:tc>
        <w:tc>
          <w:tcPr>
            <w:tcW w:w="0" w:type="auto"/>
          </w:tcPr>
          <w:p w14:paraId="65235B47" w14:textId="77777777" w:rsidR="0042338E" w:rsidRPr="00657E8C" w:rsidRDefault="0042338E" w:rsidP="00E620C7">
            <w:pPr>
              <w:pStyle w:val="ARtabletextright"/>
            </w:pPr>
            <w:r w:rsidRPr="00657E8C">
              <w:t>14.6</w:t>
            </w:r>
          </w:p>
        </w:tc>
        <w:tc>
          <w:tcPr>
            <w:tcW w:w="0" w:type="auto"/>
          </w:tcPr>
          <w:p w14:paraId="18719CE5" w14:textId="77777777" w:rsidR="0042338E" w:rsidRPr="00657E8C" w:rsidRDefault="0042338E" w:rsidP="00E620C7">
            <w:pPr>
              <w:pStyle w:val="ARtabletextright"/>
            </w:pPr>
            <w:r w:rsidRPr="00657E8C">
              <w:t>0</w:t>
            </w:r>
          </w:p>
        </w:tc>
        <w:tc>
          <w:tcPr>
            <w:tcW w:w="0" w:type="auto"/>
          </w:tcPr>
          <w:p w14:paraId="599CB875" w14:textId="77777777" w:rsidR="0042338E" w:rsidRPr="00657E8C" w:rsidRDefault="0042338E" w:rsidP="00E620C7">
            <w:pPr>
              <w:pStyle w:val="ARtabletextright"/>
            </w:pPr>
            <w:r w:rsidRPr="00657E8C">
              <w:t>1</w:t>
            </w:r>
          </w:p>
        </w:tc>
        <w:tc>
          <w:tcPr>
            <w:tcW w:w="0" w:type="auto"/>
          </w:tcPr>
          <w:p w14:paraId="6C5D5457" w14:textId="77777777" w:rsidR="0042338E" w:rsidRPr="00657E8C" w:rsidRDefault="0042338E" w:rsidP="00E620C7">
            <w:pPr>
              <w:pStyle w:val="ARtabletextright"/>
            </w:pPr>
            <w:r w:rsidRPr="00657E8C">
              <w:t>0.2</w:t>
            </w:r>
          </w:p>
        </w:tc>
        <w:tc>
          <w:tcPr>
            <w:tcW w:w="0" w:type="auto"/>
          </w:tcPr>
          <w:p w14:paraId="537986C3" w14:textId="77777777" w:rsidR="0042338E" w:rsidRPr="00657E8C" w:rsidRDefault="0042338E" w:rsidP="00E620C7">
            <w:pPr>
              <w:pStyle w:val="ARtabletextright"/>
            </w:pPr>
            <w:r w:rsidRPr="00657E8C">
              <w:t>18</w:t>
            </w:r>
          </w:p>
        </w:tc>
        <w:tc>
          <w:tcPr>
            <w:tcW w:w="0" w:type="auto"/>
          </w:tcPr>
          <w:p w14:paraId="7833DC19" w14:textId="77777777" w:rsidR="0042338E" w:rsidRPr="00657E8C" w:rsidRDefault="0042338E" w:rsidP="00E620C7">
            <w:pPr>
              <w:pStyle w:val="ARtabletextright"/>
            </w:pPr>
            <w:r w:rsidRPr="00657E8C">
              <w:t>14.4</w:t>
            </w:r>
          </w:p>
        </w:tc>
      </w:tr>
      <w:tr w:rsidR="0042338E" w:rsidRPr="00657E8C" w14:paraId="58293C52" w14:textId="77777777" w:rsidTr="00F16145">
        <w:trPr>
          <w:gridAfter w:val="1"/>
          <w:wAfter w:w="15" w:type="dxa"/>
        </w:trPr>
        <w:tc>
          <w:tcPr>
            <w:tcW w:w="1696" w:type="dxa"/>
          </w:tcPr>
          <w:p w14:paraId="3C34AF79" w14:textId="77777777" w:rsidR="0042338E" w:rsidRPr="00657E8C" w:rsidRDefault="0042338E" w:rsidP="00E620C7">
            <w:pPr>
              <w:pStyle w:val="ARtabletext"/>
            </w:pPr>
            <w:r w:rsidRPr="00657E8C">
              <w:t>VPS 2</w:t>
            </w:r>
          </w:p>
        </w:tc>
        <w:tc>
          <w:tcPr>
            <w:tcW w:w="0" w:type="auto"/>
          </w:tcPr>
          <w:p w14:paraId="4C3C9949" w14:textId="77777777" w:rsidR="0042338E" w:rsidRPr="00657E8C" w:rsidRDefault="0042338E" w:rsidP="00E620C7">
            <w:pPr>
              <w:pStyle w:val="ARtabletextright"/>
            </w:pPr>
            <w:r w:rsidRPr="00657E8C">
              <w:t>458</w:t>
            </w:r>
          </w:p>
        </w:tc>
        <w:tc>
          <w:tcPr>
            <w:tcW w:w="0" w:type="auto"/>
          </w:tcPr>
          <w:p w14:paraId="4BD167AD" w14:textId="77777777" w:rsidR="0042338E" w:rsidRPr="00657E8C" w:rsidRDefault="0042338E" w:rsidP="00E620C7">
            <w:pPr>
              <w:pStyle w:val="ARtabletextright"/>
            </w:pPr>
            <w:r w:rsidRPr="00657E8C">
              <w:t>389.6</w:t>
            </w:r>
          </w:p>
        </w:tc>
        <w:tc>
          <w:tcPr>
            <w:tcW w:w="0" w:type="auto"/>
          </w:tcPr>
          <w:p w14:paraId="3B832FBD" w14:textId="77777777" w:rsidR="0042338E" w:rsidRPr="00657E8C" w:rsidRDefault="0042338E" w:rsidP="00E620C7">
            <w:pPr>
              <w:pStyle w:val="ARtabletextright"/>
            </w:pPr>
            <w:r w:rsidRPr="00657E8C">
              <w:t>196</w:t>
            </w:r>
          </w:p>
        </w:tc>
        <w:tc>
          <w:tcPr>
            <w:tcW w:w="0" w:type="auto"/>
          </w:tcPr>
          <w:p w14:paraId="32CB41F9" w14:textId="77777777" w:rsidR="0042338E" w:rsidRPr="00657E8C" w:rsidRDefault="0042338E" w:rsidP="00E620C7">
            <w:pPr>
              <w:pStyle w:val="ARtabletextright"/>
            </w:pPr>
            <w:r w:rsidRPr="00657E8C">
              <w:t>100</w:t>
            </w:r>
          </w:p>
        </w:tc>
        <w:tc>
          <w:tcPr>
            <w:tcW w:w="0" w:type="auto"/>
          </w:tcPr>
          <w:p w14:paraId="3AAEBEE8" w14:textId="77777777" w:rsidR="0042338E" w:rsidRPr="00657E8C" w:rsidRDefault="0042338E" w:rsidP="00E620C7">
            <w:pPr>
              <w:pStyle w:val="ARtabletextright"/>
            </w:pPr>
            <w:r w:rsidRPr="00657E8C">
              <w:t>261.9</w:t>
            </w:r>
          </w:p>
        </w:tc>
        <w:tc>
          <w:tcPr>
            <w:tcW w:w="0" w:type="auto"/>
          </w:tcPr>
          <w:p w14:paraId="5CDE8EC4" w14:textId="77777777" w:rsidR="0042338E" w:rsidRPr="00657E8C" w:rsidRDefault="0042338E" w:rsidP="00E620C7">
            <w:pPr>
              <w:pStyle w:val="ARtabletextright"/>
            </w:pPr>
            <w:r w:rsidRPr="00657E8C">
              <w:t>162</w:t>
            </w:r>
          </w:p>
        </w:tc>
        <w:tc>
          <w:tcPr>
            <w:tcW w:w="0" w:type="auto"/>
          </w:tcPr>
          <w:p w14:paraId="6117CFCA" w14:textId="77777777" w:rsidR="0042338E" w:rsidRPr="00657E8C" w:rsidRDefault="0042338E" w:rsidP="00E620C7">
            <w:pPr>
              <w:pStyle w:val="ARtabletextright"/>
            </w:pPr>
            <w:r w:rsidRPr="00657E8C">
              <w:t>127.7</w:t>
            </w:r>
          </w:p>
        </w:tc>
        <w:tc>
          <w:tcPr>
            <w:tcW w:w="0" w:type="auto"/>
          </w:tcPr>
          <w:p w14:paraId="698B695F" w14:textId="77777777" w:rsidR="0042338E" w:rsidRPr="00657E8C" w:rsidRDefault="0042338E" w:rsidP="00E620C7">
            <w:pPr>
              <w:pStyle w:val="ARtabletextright"/>
            </w:pPr>
            <w:r w:rsidRPr="00657E8C">
              <w:t>444</w:t>
            </w:r>
          </w:p>
        </w:tc>
        <w:tc>
          <w:tcPr>
            <w:tcW w:w="0" w:type="auto"/>
          </w:tcPr>
          <w:p w14:paraId="24565E6B" w14:textId="77777777" w:rsidR="0042338E" w:rsidRPr="00657E8C" w:rsidRDefault="0042338E" w:rsidP="00E620C7">
            <w:pPr>
              <w:pStyle w:val="ARtabletextright"/>
            </w:pPr>
            <w:r w:rsidRPr="00657E8C">
              <w:t>375</w:t>
            </w:r>
          </w:p>
        </w:tc>
        <w:tc>
          <w:tcPr>
            <w:tcW w:w="0" w:type="auto"/>
          </w:tcPr>
          <w:p w14:paraId="207100D8" w14:textId="77777777" w:rsidR="0042338E" w:rsidRPr="00657E8C" w:rsidRDefault="0042338E" w:rsidP="00E620C7">
            <w:pPr>
              <w:pStyle w:val="ARtabletextright"/>
            </w:pPr>
            <w:r w:rsidRPr="00657E8C">
              <w:t>201</w:t>
            </w:r>
          </w:p>
        </w:tc>
        <w:tc>
          <w:tcPr>
            <w:tcW w:w="0" w:type="auto"/>
          </w:tcPr>
          <w:p w14:paraId="2A3A2D5F" w14:textId="77777777" w:rsidR="0042338E" w:rsidRPr="00657E8C" w:rsidRDefault="0042338E" w:rsidP="00E620C7">
            <w:pPr>
              <w:pStyle w:val="ARtabletextright"/>
            </w:pPr>
            <w:r w:rsidRPr="00657E8C">
              <w:t>107</w:t>
            </w:r>
          </w:p>
        </w:tc>
        <w:tc>
          <w:tcPr>
            <w:tcW w:w="0" w:type="auto"/>
          </w:tcPr>
          <w:p w14:paraId="14EB5341" w14:textId="77777777" w:rsidR="0042338E" w:rsidRPr="00657E8C" w:rsidRDefault="0042338E" w:rsidP="00E620C7">
            <w:pPr>
              <w:pStyle w:val="ARtabletextright"/>
            </w:pPr>
            <w:r w:rsidRPr="00657E8C">
              <w:t>270</w:t>
            </w:r>
          </w:p>
        </w:tc>
        <w:tc>
          <w:tcPr>
            <w:tcW w:w="0" w:type="auto"/>
          </w:tcPr>
          <w:p w14:paraId="22E5B1DE" w14:textId="77777777" w:rsidR="0042338E" w:rsidRPr="00657E8C" w:rsidRDefault="0042338E" w:rsidP="00E620C7">
            <w:pPr>
              <w:pStyle w:val="ARtabletextright"/>
            </w:pPr>
            <w:r w:rsidRPr="00657E8C">
              <w:t>136</w:t>
            </w:r>
          </w:p>
        </w:tc>
        <w:tc>
          <w:tcPr>
            <w:tcW w:w="0" w:type="auto"/>
          </w:tcPr>
          <w:p w14:paraId="60E54F8A" w14:textId="77777777" w:rsidR="0042338E" w:rsidRPr="00657E8C" w:rsidRDefault="0042338E" w:rsidP="00E620C7">
            <w:pPr>
              <w:pStyle w:val="ARtabletextright"/>
            </w:pPr>
            <w:r w:rsidRPr="00657E8C">
              <w:t>105</w:t>
            </w:r>
          </w:p>
        </w:tc>
      </w:tr>
      <w:tr w:rsidR="0042338E" w:rsidRPr="00657E8C" w14:paraId="34C64D07" w14:textId="77777777" w:rsidTr="00F16145">
        <w:trPr>
          <w:gridAfter w:val="1"/>
          <w:wAfter w:w="15" w:type="dxa"/>
        </w:trPr>
        <w:tc>
          <w:tcPr>
            <w:tcW w:w="1696" w:type="dxa"/>
          </w:tcPr>
          <w:p w14:paraId="40FBF1CD" w14:textId="77777777" w:rsidR="0042338E" w:rsidRPr="00657E8C" w:rsidRDefault="0042338E" w:rsidP="00E620C7">
            <w:pPr>
              <w:pStyle w:val="ARtabletext"/>
            </w:pPr>
            <w:r w:rsidRPr="00657E8C">
              <w:t>VPS 3</w:t>
            </w:r>
          </w:p>
        </w:tc>
        <w:tc>
          <w:tcPr>
            <w:tcW w:w="0" w:type="auto"/>
          </w:tcPr>
          <w:p w14:paraId="1C78216A" w14:textId="77777777" w:rsidR="0042338E" w:rsidRPr="00657E8C" w:rsidRDefault="0042338E" w:rsidP="00E620C7">
            <w:pPr>
              <w:pStyle w:val="ARtabletextright"/>
            </w:pPr>
            <w:r w:rsidRPr="00657E8C">
              <w:t>680</w:t>
            </w:r>
          </w:p>
        </w:tc>
        <w:tc>
          <w:tcPr>
            <w:tcW w:w="0" w:type="auto"/>
          </w:tcPr>
          <w:p w14:paraId="47A68E1D" w14:textId="77777777" w:rsidR="0042338E" w:rsidRPr="00657E8C" w:rsidRDefault="0042338E" w:rsidP="00E620C7">
            <w:pPr>
              <w:pStyle w:val="ARtabletextright"/>
            </w:pPr>
            <w:r w:rsidRPr="00657E8C">
              <w:t>643</w:t>
            </w:r>
          </w:p>
        </w:tc>
        <w:tc>
          <w:tcPr>
            <w:tcW w:w="0" w:type="auto"/>
          </w:tcPr>
          <w:p w14:paraId="5BA6C7A0" w14:textId="77777777" w:rsidR="0042338E" w:rsidRPr="00657E8C" w:rsidRDefault="0042338E" w:rsidP="00E620C7">
            <w:pPr>
              <w:pStyle w:val="ARtabletextright"/>
            </w:pPr>
            <w:r w:rsidRPr="00657E8C">
              <w:t>431</w:t>
            </w:r>
          </w:p>
        </w:tc>
        <w:tc>
          <w:tcPr>
            <w:tcW w:w="0" w:type="auto"/>
          </w:tcPr>
          <w:p w14:paraId="28451DD8" w14:textId="77777777" w:rsidR="0042338E" w:rsidRPr="00657E8C" w:rsidRDefault="0042338E" w:rsidP="00E620C7">
            <w:pPr>
              <w:pStyle w:val="ARtabletextright"/>
            </w:pPr>
            <w:r w:rsidRPr="00657E8C">
              <w:t>98</w:t>
            </w:r>
          </w:p>
        </w:tc>
        <w:tc>
          <w:tcPr>
            <w:tcW w:w="0" w:type="auto"/>
          </w:tcPr>
          <w:p w14:paraId="7E969D57" w14:textId="77777777" w:rsidR="0042338E" w:rsidRPr="00657E8C" w:rsidRDefault="0042338E" w:rsidP="00E620C7">
            <w:pPr>
              <w:pStyle w:val="ARtabletextright"/>
            </w:pPr>
            <w:r w:rsidRPr="00657E8C">
              <w:t>497.5</w:t>
            </w:r>
          </w:p>
        </w:tc>
        <w:tc>
          <w:tcPr>
            <w:tcW w:w="0" w:type="auto"/>
          </w:tcPr>
          <w:p w14:paraId="731F0372" w14:textId="77777777" w:rsidR="0042338E" w:rsidRPr="00657E8C" w:rsidRDefault="0042338E" w:rsidP="00E620C7">
            <w:pPr>
              <w:pStyle w:val="ARtabletextright"/>
            </w:pPr>
            <w:r w:rsidRPr="00657E8C">
              <w:t>151</w:t>
            </w:r>
          </w:p>
        </w:tc>
        <w:tc>
          <w:tcPr>
            <w:tcW w:w="0" w:type="auto"/>
          </w:tcPr>
          <w:p w14:paraId="07D41B89" w14:textId="77777777" w:rsidR="0042338E" w:rsidRPr="00657E8C" w:rsidRDefault="0042338E" w:rsidP="00E620C7">
            <w:pPr>
              <w:pStyle w:val="ARtabletextright"/>
            </w:pPr>
            <w:r w:rsidRPr="00657E8C">
              <w:t>145.5</w:t>
            </w:r>
          </w:p>
        </w:tc>
        <w:tc>
          <w:tcPr>
            <w:tcW w:w="0" w:type="auto"/>
          </w:tcPr>
          <w:p w14:paraId="6F3118A1" w14:textId="77777777" w:rsidR="0042338E" w:rsidRPr="00657E8C" w:rsidRDefault="0042338E" w:rsidP="00E620C7">
            <w:pPr>
              <w:pStyle w:val="ARtabletextright"/>
            </w:pPr>
            <w:r w:rsidRPr="00657E8C">
              <w:t>685</w:t>
            </w:r>
          </w:p>
        </w:tc>
        <w:tc>
          <w:tcPr>
            <w:tcW w:w="0" w:type="auto"/>
          </w:tcPr>
          <w:p w14:paraId="498ACBBA" w14:textId="77777777" w:rsidR="0042338E" w:rsidRPr="00657E8C" w:rsidRDefault="0042338E" w:rsidP="00E620C7">
            <w:pPr>
              <w:pStyle w:val="ARtabletextright"/>
            </w:pPr>
            <w:r w:rsidRPr="00657E8C">
              <w:t>647.8</w:t>
            </w:r>
          </w:p>
        </w:tc>
        <w:tc>
          <w:tcPr>
            <w:tcW w:w="0" w:type="auto"/>
          </w:tcPr>
          <w:p w14:paraId="6CB6867E" w14:textId="77777777" w:rsidR="0042338E" w:rsidRPr="00657E8C" w:rsidRDefault="0042338E" w:rsidP="00E620C7">
            <w:pPr>
              <w:pStyle w:val="ARtabletextright"/>
            </w:pPr>
            <w:r w:rsidRPr="00657E8C">
              <w:t>433</w:t>
            </w:r>
          </w:p>
        </w:tc>
        <w:tc>
          <w:tcPr>
            <w:tcW w:w="0" w:type="auto"/>
          </w:tcPr>
          <w:p w14:paraId="31528D81" w14:textId="77777777" w:rsidR="0042338E" w:rsidRPr="00657E8C" w:rsidRDefault="0042338E" w:rsidP="00E620C7">
            <w:pPr>
              <w:pStyle w:val="ARtabletextright"/>
            </w:pPr>
            <w:r w:rsidRPr="00657E8C">
              <w:t>97</w:t>
            </w:r>
          </w:p>
        </w:tc>
        <w:tc>
          <w:tcPr>
            <w:tcW w:w="0" w:type="auto"/>
          </w:tcPr>
          <w:p w14:paraId="470B5FE9" w14:textId="77777777" w:rsidR="0042338E" w:rsidRPr="00657E8C" w:rsidRDefault="0042338E" w:rsidP="00E620C7">
            <w:pPr>
              <w:pStyle w:val="ARtabletextright"/>
            </w:pPr>
            <w:r w:rsidRPr="00657E8C">
              <w:t>498.1</w:t>
            </w:r>
          </w:p>
        </w:tc>
        <w:tc>
          <w:tcPr>
            <w:tcW w:w="0" w:type="auto"/>
          </w:tcPr>
          <w:p w14:paraId="1A6B4384" w14:textId="77777777" w:rsidR="0042338E" w:rsidRPr="00657E8C" w:rsidRDefault="0042338E" w:rsidP="00E620C7">
            <w:pPr>
              <w:pStyle w:val="ARtabletextright"/>
            </w:pPr>
            <w:r w:rsidRPr="00657E8C">
              <w:t>155</w:t>
            </w:r>
          </w:p>
        </w:tc>
        <w:tc>
          <w:tcPr>
            <w:tcW w:w="0" w:type="auto"/>
          </w:tcPr>
          <w:p w14:paraId="2009D893" w14:textId="77777777" w:rsidR="0042338E" w:rsidRPr="00657E8C" w:rsidRDefault="0042338E" w:rsidP="00E620C7">
            <w:pPr>
              <w:pStyle w:val="ARtabletextright"/>
            </w:pPr>
            <w:r w:rsidRPr="00657E8C">
              <w:t>149.7</w:t>
            </w:r>
          </w:p>
        </w:tc>
      </w:tr>
      <w:tr w:rsidR="0042338E" w:rsidRPr="00657E8C" w14:paraId="47FA69ED" w14:textId="77777777" w:rsidTr="00F16145">
        <w:trPr>
          <w:gridAfter w:val="1"/>
          <w:wAfter w:w="15" w:type="dxa"/>
        </w:trPr>
        <w:tc>
          <w:tcPr>
            <w:tcW w:w="1696" w:type="dxa"/>
          </w:tcPr>
          <w:p w14:paraId="3685E647" w14:textId="77777777" w:rsidR="0042338E" w:rsidRPr="00657E8C" w:rsidRDefault="0042338E" w:rsidP="00E620C7">
            <w:pPr>
              <w:pStyle w:val="ARtabletext"/>
            </w:pPr>
            <w:r w:rsidRPr="00657E8C">
              <w:t>VPS 4</w:t>
            </w:r>
          </w:p>
        </w:tc>
        <w:tc>
          <w:tcPr>
            <w:tcW w:w="0" w:type="auto"/>
          </w:tcPr>
          <w:p w14:paraId="49DFF860" w14:textId="77777777" w:rsidR="0042338E" w:rsidRPr="00657E8C" w:rsidRDefault="0042338E" w:rsidP="00E620C7">
            <w:pPr>
              <w:pStyle w:val="ARtabletextright"/>
            </w:pPr>
            <w:r w:rsidRPr="00657E8C">
              <w:t>942</w:t>
            </w:r>
          </w:p>
        </w:tc>
        <w:tc>
          <w:tcPr>
            <w:tcW w:w="0" w:type="auto"/>
          </w:tcPr>
          <w:p w14:paraId="304858C3" w14:textId="77777777" w:rsidR="0042338E" w:rsidRPr="00657E8C" w:rsidRDefault="0042338E" w:rsidP="00E620C7">
            <w:pPr>
              <w:pStyle w:val="ARtabletextright"/>
            </w:pPr>
            <w:r w:rsidRPr="00657E8C">
              <w:t>897</w:t>
            </w:r>
          </w:p>
        </w:tc>
        <w:tc>
          <w:tcPr>
            <w:tcW w:w="0" w:type="auto"/>
          </w:tcPr>
          <w:p w14:paraId="6281FB2B" w14:textId="77777777" w:rsidR="0042338E" w:rsidRPr="00657E8C" w:rsidRDefault="0042338E" w:rsidP="00E620C7">
            <w:pPr>
              <w:pStyle w:val="ARtabletextright"/>
            </w:pPr>
            <w:r w:rsidRPr="00657E8C">
              <w:t>611</w:t>
            </w:r>
          </w:p>
        </w:tc>
        <w:tc>
          <w:tcPr>
            <w:tcW w:w="0" w:type="auto"/>
          </w:tcPr>
          <w:p w14:paraId="2F8D81A8" w14:textId="77777777" w:rsidR="0042338E" w:rsidRPr="00657E8C" w:rsidRDefault="0042338E" w:rsidP="00E620C7">
            <w:pPr>
              <w:pStyle w:val="ARtabletextright"/>
            </w:pPr>
            <w:r w:rsidRPr="00657E8C">
              <w:t>130</w:t>
            </w:r>
          </w:p>
        </w:tc>
        <w:tc>
          <w:tcPr>
            <w:tcW w:w="0" w:type="auto"/>
          </w:tcPr>
          <w:p w14:paraId="62B3C61F" w14:textId="77777777" w:rsidR="0042338E" w:rsidRPr="00657E8C" w:rsidRDefault="0042338E" w:rsidP="00E620C7">
            <w:pPr>
              <w:pStyle w:val="ARtabletextright"/>
            </w:pPr>
            <w:r w:rsidRPr="00657E8C">
              <w:t>702</w:t>
            </w:r>
          </w:p>
        </w:tc>
        <w:tc>
          <w:tcPr>
            <w:tcW w:w="0" w:type="auto"/>
          </w:tcPr>
          <w:p w14:paraId="25C48707" w14:textId="77777777" w:rsidR="0042338E" w:rsidRPr="00657E8C" w:rsidRDefault="0042338E" w:rsidP="00E620C7">
            <w:pPr>
              <w:pStyle w:val="ARtabletextright"/>
            </w:pPr>
            <w:r w:rsidRPr="00657E8C">
              <w:t>201</w:t>
            </w:r>
          </w:p>
        </w:tc>
        <w:tc>
          <w:tcPr>
            <w:tcW w:w="0" w:type="auto"/>
          </w:tcPr>
          <w:p w14:paraId="7F7CE35E" w14:textId="77777777" w:rsidR="0042338E" w:rsidRPr="00657E8C" w:rsidRDefault="0042338E" w:rsidP="00E620C7">
            <w:pPr>
              <w:pStyle w:val="ARtabletextright"/>
            </w:pPr>
            <w:r w:rsidRPr="00657E8C">
              <w:t>195</w:t>
            </w:r>
          </w:p>
        </w:tc>
        <w:tc>
          <w:tcPr>
            <w:tcW w:w="0" w:type="auto"/>
          </w:tcPr>
          <w:p w14:paraId="752B8674" w14:textId="77777777" w:rsidR="0042338E" w:rsidRPr="00657E8C" w:rsidRDefault="0042338E" w:rsidP="00E620C7">
            <w:pPr>
              <w:pStyle w:val="ARtabletextright"/>
            </w:pPr>
            <w:r w:rsidRPr="00657E8C">
              <w:t>967</w:t>
            </w:r>
          </w:p>
        </w:tc>
        <w:tc>
          <w:tcPr>
            <w:tcW w:w="0" w:type="auto"/>
          </w:tcPr>
          <w:p w14:paraId="21D21358" w14:textId="77777777" w:rsidR="0042338E" w:rsidRPr="00657E8C" w:rsidRDefault="0042338E" w:rsidP="00E620C7">
            <w:pPr>
              <w:pStyle w:val="ARtabletextright"/>
            </w:pPr>
            <w:r w:rsidRPr="00657E8C">
              <w:t>912.6</w:t>
            </w:r>
          </w:p>
        </w:tc>
        <w:tc>
          <w:tcPr>
            <w:tcW w:w="0" w:type="auto"/>
          </w:tcPr>
          <w:p w14:paraId="133CCC8C" w14:textId="77777777" w:rsidR="0042338E" w:rsidRPr="00657E8C" w:rsidRDefault="0042338E" w:rsidP="00E620C7">
            <w:pPr>
              <w:pStyle w:val="ARtabletextright"/>
            </w:pPr>
            <w:r w:rsidRPr="00657E8C">
              <w:t>611</w:t>
            </w:r>
          </w:p>
        </w:tc>
        <w:tc>
          <w:tcPr>
            <w:tcW w:w="0" w:type="auto"/>
          </w:tcPr>
          <w:p w14:paraId="1E7FC578" w14:textId="77777777" w:rsidR="0042338E" w:rsidRPr="00657E8C" w:rsidRDefault="0042338E" w:rsidP="00E620C7">
            <w:pPr>
              <w:pStyle w:val="ARtabletextright"/>
            </w:pPr>
            <w:r w:rsidRPr="00657E8C">
              <w:t>153</w:t>
            </w:r>
          </w:p>
        </w:tc>
        <w:tc>
          <w:tcPr>
            <w:tcW w:w="0" w:type="auto"/>
          </w:tcPr>
          <w:p w14:paraId="26C73F52" w14:textId="77777777" w:rsidR="0042338E" w:rsidRPr="00657E8C" w:rsidRDefault="0042338E" w:rsidP="00E620C7">
            <w:pPr>
              <w:pStyle w:val="ARtabletextright"/>
            </w:pPr>
            <w:r w:rsidRPr="00657E8C">
              <w:t>717.3</w:t>
            </w:r>
          </w:p>
        </w:tc>
        <w:tc>
          <w:tcPr>
            <w:tcW w:w="0" w:type="auto"/>
          </w:tcPr>
          <w:p w14:paraId="44D50581" w14:textId="77777777" w:rsidR="0042338E" w:rsidRPr="00657E8C" w:rsidRDefault="0042338E" w:rsidP="00E620C7">
            <w:pPr>
              <w:pStyle w:val="ARtabletextright"/>
            </w:pPr>
            <w:r w:rsidRPr="00657E8C">
              <w:t>203</w:t>
            </w:r>
          </w:p>
        </w:tc>
        <w:tc>
          <w:tcPr>
            <w:tcW w:w="0" w:type="auto"/>
          </w:tcPr>
          <w:p w14:paraId="3B41021A" w14:textId="77777777" w:rsidR="0042338E" w:rsidRPr="00657E8C" w:rsidRDefault="0042338E" w:rsidP="00E620C7">
            <w:pPr>
              <w:pStyle w:val="ARtabletextright"/>
            </w:pPr>
            <w:r w:rsidRPr="00657E8C">
              <w:t>195.3</w:t>
            </w:r>
          </w:p>
        </w:tc>
      </w:tr>
      <w:tr w:rsidR="0042338E" w:rsidRPr="00657E8C" w14:paraId="54A0E47A" w14:textId="77777777" w:rsidTr="00F16145">
        <w:trPr>
          <w:gridAfter w:val="1"/>
          <w:wAfter w:w="15" w:type="dxa"/>
        </w:trPr>
        <w:tc>
          <w:tcPr>
            <w:tcW w:w="1696" w:type="dxa"/>
          </w:tcPr>
          <w:p w14:paraId="6CBE71B3" w14:textId="77777777" w:rsidR="0042338E" w:rsidRPr="00657E8C" w:rsidRDefault="0042338E" w:rsidP="00E620C7">
            <w:pPr>
              <w:pStyle w:val="ARtabletext"/>
            </w:pPr>
            <w:r w:rsidRPr="00657E8C">
              <w:t>VPS 5</w:t>
            </w:r>
          </w:p>
        </w:tc>
        <w:tc>
          <w:tcPr>
            <w:tcW w:w="0" w:type="auto"/>
          </w:tcPr>
          <w:p w14:paraId="611CE09A" w14:textId="77777777" w:rsidR="0042338E" w:rsidRPr="00657E8C" w:rsidRDefault="0042338E" w:rsidP="00E620C7">
            <w:pPr>
              <w:pStyle w:val="ARtabletextright"/>
            </w:pPr>
            <w:r w:rsidRPr="00657E8C">
              <w:t>1</w:t>
            </w:r>
            <w:r>
              <w:t>,</w:t>
            </w:r>
            <w:r w:rsidRPr="00657E8C">
              <w:t>748</w:t>
            </w:r>
          </w:p>
        </w:tc>
        <w:tc>
          <w:tcPr>
            <w:tcW w:w="0" w:type="auto"/>
          </w:tcPr>
          <w:p w14:paraId="2BE16876" w14:textId="77777777" w:rsidR="0042338E" w:rsidRPr="00657E8C" w:rsidRDefault="0042338E" w:rsidP="00E620C7">
            <w:pPr>
              <w:pStyle w:val="ARtabletextright"/>
            </w:pPr>
            <w:r w:rsidRPr="00657E8C">
              <w:t>1</w:t>
            </w:r>
            <w:r>
              <w:t>,</w:t>
            </w:r>
            <w:r w:rsidRPr="00657E8C">
              <w:t>642.7</w:t>
            </w:r>
          </w:p>
        </w:tc>
        <w:tc>
          <w:tcPr>
            <w:tcW w:w="0" w:type="auto"/>
          </w:tcPr>
          <w:p w14:paraId="01713BA8" w14:textId="77777777" w:rsidR="0042338E" w:rsidRPr="00657E8C" w:rsidRDefault="0042338E" w:rsidP="00E620C7">
            <w:pPr>
              <w:pStyle w:val="ARtabletextright"/>
            </w:pPr>
            <w:r w:rsidRPr="00657E8C">
              <w:t>1</w:t>
            </w:r>
            <w:r>
              <w:t>,</w:t>
            </w:r>
            <w:r w:rsidRPr="00657E8C">
              <w:t>048</w:t>
            </w:r>
          </w:p>
        </w:tc>
        <w:tc>
          <w:tcPr>
            <w:tcW w:w="0" w:type="auto"/>
          </w:tcPr>
          <w:p w14:paraId="700A45C4" w14:textId="77777777" w:rsidR="0042338E" w:rsidRPr="00657E8C" w:rsidRDefault="0042338E" w:rsidP="00E620C7">
            <w:pPr>
              <w:pStyle w:val="ARtabletextright"/>
            </w:pPr>
            <w:r w:rsidRPr="00657E8C">
              <w:t>297</w:t>
            </w:r>
          </w:p>
        </w:tc>
        <w:tc>
          <w:tcPr>
            <w:tcW w:w="0" w:type="auto"/>
          </w:tcPr>
          <w:p w14:paraId="552350B6" w14:textId="77777777" w:rsidR="0042338E" w:rsidRPr="00657E8C" w:rsidRDefault="0042338E" w:rsidP="00E620C7">
            <w:pPr>
              <w:pStyle w:val="ARtabletextright"/>
            </w:pPr>
            <w:r w:rsidRPr="00657E8C">
              <w:t>1</w:t>
            </w:r>
            <w:r>
              <w:t>,</w:t>
            </w:r>
            <w:r w:rsidRPr="00657E8C">
              <w:t>265.5</w:t>
            </w:r>
          </w:p>
        </w:tc>
        <w:tc>
          <w:tcPr>
            <w:tcW w:w="0" w:type="auto"/>
          </w:tcPr>
          <w:p w14:paraId="46DC39B2" w14:textId="77777777" w:rsidR="0042338E" w:rsidRPr="00657E8C" w:rsidRDefault="0042338E" w:rsidP="00E620C7">
            <w:pPr>
              <w:pStyle w:val="ARtabletextright"/>
            </w:pPr>
            <w:r w:rsidRPr="00657E8C">
              <w:t>403</w:t>
            </w:r>
          </w:p>
        </w:tc>
        <w:tc>
          <w:tcPr>
            <w:tcW w:w="0" w:type="auto"/>
          </w:tcPr>
          <w:p w14:paraId="099E4ADE" w14:textId="77777777" w:rsidR="0042338E" w:rsidRPr="00657E8C" w:rsidRDefault="0042338E" w:rsidP="00E620C7">
            <w:pPr>
              <w:pStyle w:val="ARtabletextright"/>
            </w:pPr>
            <w:r w:rsidRPr="00657E8C">
              <w:t>377.1</w:t>
            </w:r>
          </w:p>
        </w:tc>
        <w:tc>
          <w:tcPr>
            <w:tcW w:w="0" w:type="auto"/>
          </w:tcPr>
          <w:p w14:paraId="18AADB07" w14:textId="77777777" w:rsidR="0042338E" w:rsidRPr="00657E8C" w:rsidRDefault="0042338E" w:rsidP="00E620C7">
            <w:pPr>
              <w:pStyle w:val="ARtabletextright"/>
            </w:pPr>
            <w:r w:rsidRPr="00657E8C">
              <w:t>1</w:t>
            </w:r>
            <w:r>
              <w:t>,</w:t>
            </w:r>
            <w:r w:rsidRPr="00657E8C">
              <w:t>667</w:t>
            </w:r>
          </w:p>
        </w:tc>
        <w:tc>
          <w:tcPr>
            <w:tcW w:w="0" w:type="auto"/>
          </w:tcPr>
          <w:p w14:paraId="6DA14DBE" w14:textId="77777777" w:rsidR="0042338E" w:rsidRPr="00657E8C" w:rsidRDefault="0042338E" w:rsidP="00E620C7">
            <w:pPr>
              <w:pStyle w:val="ARtabletextright"/>
            </w:pPr>
            <w:r w:rsidRPr="00657E8C">
              <w:t>1</w:t>
            </w:r>
            <w:r>
              <w:t>,</w:t>
            </w:r>
            <w:r w:rsidRPr="00657E8C">
              <w:t>561.2</w:t>
            </w:r>
          </w:p>
        </w:tc>
        <w:tc>
          <w:tcPr>
            <w:tcW w:w="0" w:type="auto"/>
          </w:tcPr>
          <w:p w14:paraId="603066AF" w14:textId="77777777" w:rsidR="0042338E" w:rsidRPr="00657E8C" w:rsidRDefault="0042338E" w:rsidP="00E620C7">
            <w:pPr>
              <w:pStyle w:val="ARtabletextright"/>
            </w:pPr>
            <w:r w:rsidRPr="00657E8C">
              <w:t>1</w:t>
            </w:r>
            <w:r>
              <w:t>,</w:t>
            </w:r>
            <w:r w:rsidRPr="00657E8C">
              <w:t>016</w:t>
            </w:r>
          </w:p>
        </w:tc>
        <w:tc>
          <w:tcPr>
            <w:tcW w:w="0" w:type="auto"/>
          </w:tcPr>
          <w:p w14:paraId="3BE040BC" w14:textId="77777777" w:rsidR="0042338E" w:rsidRPr="00657E8C" w:rsidRDefault="0042338E" w:rsidP="00E620C7">
            <w:pPr>
              <w:pStyle w:val="ARtabletextright"/>
            </w:pPr>
            <w:r w:rsidRPr="00657E8C">
              <w:t>310</w:t>
            </w:r>
          </w:p>
        </w:tc>
        <w:tc>
          <w:tcPr>
            <w:tcW w:w="0" w:type="auto"/>
          </w:tcPr>
          <w:p w14:paraId="25203B20" w14:textId="77777777" w:rsidR="0042338E" w:rsidRPr="00657E8C" w:rsidRDefault="0042338E" w:rsidP="00E620C7">
            <w:pPr>
              <w:pStyle w:val="ARtabletextright"/>
            </w:pPr>
            <w:r w:rsidRPr="00657E8C">
              <w:t>1</w:t>
            </w:r>
            <w:r>
              <w:t>,</w:t>
            </w:r>
            <w:r w:rsidRPr="00657E8C">
              <w:t>240.2</w:t>
            </w:r>
          </w:p>
        </w:tc>
        <w:tc>
          <w:tcPr>
            <w:tcW w:w="0" w:type="auto"/>
          </w:tcPr>
          <w:p w14:paraId="6088F165" w14:textId="77777777" w:rsidR="0042338E" w:rsidRPr="00657E8C" w:rsidRDefault="0042338E" w:rsidP="00E620C7">
            <w:pPr>
              <w:pStyle w:val="ARtabletextright"/>
            </w:pPr>
            <w:r w:rsidRPr="00657E8C">
              <w:t>341</w:t>
            </w:r>
          </w:p>
        </w:tc>
        <w:tc>
          <w:tcPr>
            <w:tcW w:w="0" w:type="auto"/>
          </w:tcPr>
          <w:p w14:paraId="00A1A76E" w14:textId="77777777" w:rsidR="0042338E" w:rsidRPr="00657E8C" w:rsidRDefault="0042338E" w:rsidP="00E620C7">
            <w:pPr>
              <w:pStyle w:val="ARtabletextright"/>
            </w:pPr>
            <w:r w:rsidRPr="00657E8C">
              <w:t>321</w:t>
            </w:r>
          </w:p>
        </w:tc>
      </w:tr>
      <w:tr w:rsidR="0042338E" w:rsidRPr="00657E8C" w14:paraId="1F9B7FA8" w14:textId="77777777" w:rsidTr="00F16145">
        <w:trPr>
          <w:gridAfter w:val="1"/>
          <w:wAfter w:w="15" w:type="dxa"/>
        </w:trPr>
        <w:tc>
          <w:tcPr>
            <w:tcW w:w="1696" w:type="dxa"/>
          </w:tcPr>
          <w:p w14:paraId="3B69FB08" w14:textId="77777777" w:rsidR="0042338E" w:rsidRPr="00657E8C" w:rsidRDefault="0042338E" w:rsidP="00E620C7">
            <w:pPr>
              <w:pStyle w:val="ARtabletext"/>
            </w:pPr>
            <w:r w:rsidRPr="00657E8C">
              <w:t>VPS 6</w:t>
            </w:r>
          </w:p>
        </w:tc>
        <w:tc>
          <w:tcPr>
            <w:tcW w:w="0" w:type="auto"/>
          </w:tcPr>
          <w:p w14:paraId="6BD0379F" w14:textId="77777777" w:rsidR="0042338E" w:rsidRPr="00657E8C" w:rsidRDefault="0042338E" w:rsidP="00E620C7">
            <w:pPr>
              <w:pStyle w:val="ARtabletextright"/>
            </w:pPr>
            <w:r w:rsidRPr="00657E8C">
              <w:t>1</w:t>
            </w:r>
            <w:r>
              <w:t>,</w:t>
            </w:r>
            <w:r w:rsidRPr="00657E8C">
              <w:t>064</w:t>
            </w:r>
          </w:p>
        </w:tc>
        <w:tc>
          <w:tcPr>
            <w:tcW w:w="0" w:type="auto"/>
          </w:tcPr>
          <w:p w14:paraId="2DF2C72C" w14:textId="77777777" w:rsidR="0042338E" w:rsidRPr="00657E8C" w:rsidRDefault="0042338E" w:rsidP="00E620C7">
            <w:pPr>
              <w:pStyle w:val="ARtabletextright"/>
            </w:pPr>
            <w:r w:rsidRPr="00657E8C">
              <w:t>1</w:t>
            </w:r>
            <w:r>
              <w:t>,</w:t>
            </w:r>
            <w:r w:rsidRPr="00657E8C">
              <w:t>023.4</w:t>
            </w:r>
          </w:p>
        </w:tc>
        <w:tc>
          <w:tcPr>
            <w:tcW w:w="0" w:type="auto"/>
          </w:tcPr>
          <w:p w14:paraId="55CFB8ED" w14:textId="77777777" w:rsidR="0042338E" w:rsidRPr="00657E8C" w:rsidRDefault="0042338E" w:rsidP="00E620C7">
            <w:pPr>
              <w:pStyle w:val="ARtabletextright"/>
            </w:pPr>
            <w:r w:rsidRPr="00657E8C">
              <w:t>734</w:t>
            </w:r>
          </w:p>
        </w:tc>
        <w:tc>
          <w:tcPr>
            <w:tcW w:w="0" w:type="auto"/>
          </w:tcPr>
          <w:p w14:paraId="1CF6430D" w14:textId="77777777" w:rsidR="0042338E" w:rsidRPr="00657E8C" w:rsidRDefault="0042338E" w:rsidP="00E620C7">
            <w:pPr>
              <w:pStyle w:val="ARtabletextright"/>
            </w:pPr>
            <w:r w:rsidRPr="00657E8C">
              <w:t>126</w:t>
            </w:r>
          </w:p>
        </w:tc>
        <w:tc>
          <w:tcPr>
            <w:tcW w:w="0" w:type="auto"/>
          </w:tcPr>
          <w:p w14:paraId="2E77133B" w14:textId="77777777" w:rsidR="0042338E" w:rsidRPr="00657E8C" w:rsidRDefault="0042338E" w:rsidP="00E620C7">
            <w:pPr>
              <w:pStyle w:val="ARtabletextright"/>
            </w:pPr>
            <w:r w:rsidRPr="00657E8C">
              <w:t>828.1</w:t>
            </w:r>
          </w:p>
        </w:tc>
        <w:tc>
          <w:tcPr>
            <w:tcW w:w="0" w:type="auto"/>
          </w:tcPr>
          <w:p w14:paraId="2929792E" w14:textId="77777777" w:rsidR="0042338E" w:rsidRPr="00657E8C" w:rsidRDefault="0042338E" w:rsidP="00E620C7">
            <w:pPr>
              <w:pStyle w:val="ARtabletextright"/>
            </w:pPr>
            <w:r w:rsidRPr="00657E8C">
              <w:t>204</w:t>
            </w:r>
          </w:p>
        </w:tc>
        <w:tc>
          <w:tcPr>
            <w:tcW w:w="0" w:type="auto"/>
          </w:tcPr>
          <w:p w14:paraId="371A9CC6" w14:textId="77777777" w:rsidR="0042338E" w:rsidRPr="00657E8C" w:rsidRDefault="0042338E" w:rsidP="00E620C7">
            <w:pPr>
              <w:pStyle w:val="ARtabletextright"/>
            </w:pPr>
            <w:r w:rsidRPr="00657E8C">
              <w:t>195.3</w:t>
            </w:r>
          </w:p>
        </w:tc>
        <w:tc>
          <w:tcPr>
            <w:tcW w:w="0" w:type="auto"/>
          </w:tcPr>
          <w:p w14:paraId="12FD2136" w14:textId="77777777" w:rsidR="0042338E" w:rsidRPr="00657E8C" w:rsidRDefault="0042338E" w:rsidP="00E620C7">
            <w:pPr>
              <w:pStyle w:val="ARtabletextright"/>
            </w:pPr>
            <w:r w:rsidRPr="00657E8C">
              <w:t>1</w:t>
            </w:r>
            <w:r>
              <w:t>,</w:t>
            </w:r>
            <w:r w:rsidRPr="00657E8C">
              <w:t>006</w:t>
            </w:r>
          </w:p>
        </w:tc>
        <w:tc>
          <w:tcPr>
            <w:tcW w:w="0" w:type="auto"/>
          </w:tcPr>
          <w:p w14:paraId="13EFE0D3" w14:textId="77777777" w:rsidR="0042338E" w:rsidRPr="00657E8C" w:rsidRDefault="0042338E" w:rsidP="00E620C7">
            <w:pPr>
              <w:pStyle w:val="ARtabletextright"/>
            </w:pPr>
            <w:r w:rsidRPr="00657E8C">
              <w:t>967.8</w:t>
            </w:r>
          </w:p>
        </w:tc>
        <w:tc>
          <w:tcPr>
            <w:tcW w:w="0" w:type="auto"/>
          </w:tcPr>
          <w:p w14:paraId="7490A7B6" w14:textId="77777777" w:rsidR="0042338E" w:rsidRPr="00657E8C" w:rsidRDefault="0042338E" w:rsidP="00E620C7">
            <w:pPr>
              <w:pStyle w:val="ARtabletextright"/>
            </w:pPr>
            <w:r w:rsidRPr="00657E8C">
              <w:t>735</w:t>
            </w:r>
          </w:p>
        </w:tc>
        <w:tc>
          <w:tcPr>
            <w:tcW w:w="0" w:type="auto"/>
          </w:tcPr>
          <w:p w14:paraId="6C7EDFA2" w14:textId="77777777" w:rsidR="0042338E" w:rsidRPr="00657E8C" w:rsidRDefault="0042338E" w:rsidP="00E620C7">
            <w:pPr>
              <w:pStyle w:val="ARtabletextright"/>
            </w:pPr>
            <w:r w:rsidRPr="00657E8C">
              <w:t>131</w:t>
            </w:r>
          </w:p>
        </w:tc>
        <w:tc>
          <w:tcPr>
            <w:tcW w:w="0" w:type="auto"/>
          </w:tcPr>
          <w:p w14:paraId="5A56470E" w14:textId="77777777" w:rsidR="0042338E" w:rsidRPr="00657E8C" w:rsidRDefault="0042338E" w:rsidP="00E620C7">
            <w:pPr>
              <w:pStyle w:val="ARtabletextright"/>
            </w:pPr>
            <w:r w:rsidRPr="00657E8C">
              <w:t>833</w:t>
            </w:r>
          </w:p>
        </w:tc>
        <w:tc>
          <w:tcPr>
            <w:tcW w:w="0" w:type="auto"/>
          </w:tcPr>
          <w:p w14:paraId="3AF0D202" w14:textId="77777777" w:rsidR="0042338E" w:rsidRPr="00657E8C" w:rsidRDefault="0042338E" w:rsidP="00E620C7">
            <w:pPr>
              <w:pStyle w:val="ARtabletextright"/>
            </w:pPr>
            <w:r w:rsidRPr="00657E8C">
              <w:t>140</w:t>
            </w:r>
          </w:p>
        </w:tc>
        <w:tc>
          <w:tcPr>
            <w:tcW w:w="0" w:type="auto"/>
          </w:tcPr>
          <w:p w14:paraId="43B55C1C" w14:textId="77777777" w:rsidR="0042338E" w:rsidRPr="00657E8C" w:rsidRDefault="0042338E" w:rsidP="00E620C7">
            <w:pPr>
              <w:pStyle w:val="ARtabletextright"/>
            </w:pPr>
            <w:r w:rsidRPr="00657E8C">
              <w:t>134.8</w:t>
            </w:r>
          </w:p>
        </w:tc>
      </w:tr>
      <w:tr w:rsidR="0042338E" w:rsidRPr="00657E8C" w14:paraId="4A01479D" w14:textId="77777777" w:rsidTr="00F16145">
        <w:trPr>
          <w:gridAfter w:val="1"/>
          <w:wAfter w:w="15" w:type="dxa"/>
        </w:trPr>
        <w:tc>
          <w:tcPr>
            <w:tcW w:w="1696" w:type="dxa"/>
          </w:tcPr>
          <w:p w14:paraId="2B7D0F92" w14:textId="77777777" w:rsidR="0042338E" w:rsidRPr="00657E8C" w:rsidRDefault="0042338E" w:rsidP="00E620C7">
            <w:pPr>
              <w:pStyle w:val="ARtabletext"/>
            </w:pPr>
            <w:r w:rsidRPr="00657E8C">
              <w:t>Allied Health</w:t>
            </w:r>
          </w:p>
        </w:tc>
        <w:tc>
          <w:tcPr>
            <w:tcW w:w="0" w:type="auto"/>
          </w:tcPr>
          <w:p w14:paraId="77CB2F13" w14:textId="77777777" w:rsidR="0042338E" w:rsidRPr="00657E8C" w:rsidRDefault="0042338E" w:rsidP="00E620C7">
            <w:pPr>
              <w:pStyle w:val="ARtabletextright"/>
            </w:pPr>
            <w:r w:rsidRPr="00657E8C">
              <w:t>111</w:t>
            </w:r>
          </w:p>
        </w:tc>
        <w:tc>
          <w:tcPr>
            <w:tcW w:w="0" w:type="auto"/>
          </w:tcPr>
          <w:p w14:paraId="48D9E057" w14:textId="77777777" w:rsidR="0042338E" w:rsidRPr="00657E8C" w:rsidRDefault="0042338E" w:rsidP="00E620C7">
            <w:pPr>
              <w:pStyle w:val="ARtabletextright"/>
            </w:pPr>
            <w:r w:rsidRPr="00657E8C">
              <w:t>100.6</w:t>
            </w:r>
          </w:p>
        </w:tc>
        <w:tc>
          <w:tcPr>
            <w:tcW w:w="0" w:type="auto"/>
          </w:tcPr>
          <w:p w14:paraId="69804DEF" w14:textId="77777777" w:rsidR="0042338E" w:rsidRPr="00657E8C" w:rsidRDefault="0042338E" w:rsidP="00E620C7">
            <w:pPr>
              <w:pStyle w:val="ARtabletextright"/>
            </w:pPr>
            <w:r w:rsidRPr="00657E8C">
              <w:t>59</w:t>
            </w:r>
          </w:p>
        </w:tc>
        <w:tc>
          <w:tcPr>
            <w:tcW w:w="0" w:type="auto"/>
          </w:tcPr>
          <w:p w14:paraId="7A3AABFA" w14:textId="77777777" w:rsidR="0042338E" w:rsidRPr="00657E8C" w:rsidRDefault="0042338E" w:rsidP="00E620C7">
            <w:pPr>
              <w:pStyle w:val="ARtabletextright"/>
            </w:pPr>
            <w:r w:rsidRPr="00657E8C">
              <w:t>32</w:t>
            </w:r>
          </w:p>
        </w:tc>
        <w:tc>
          <w:tcPr>
            <w:tcW w:w="0" w:type="auto"/>
          </w:tcPr>
          <w:p w14:paraId="37E49413" w14:textId="77777777" w:rsidR="0042338E" w:rsidRPr="00657E8C" w:rsidRDefault="0042338E" w:rsidP="00E620C7">
            <w:pPr>
              <w:pStyle w:val="ARtabletextright"/>
            </w:pPr>
            <w:r w:rsidRPr="00657E8C">
              <w:t>81.8</w:t>
            </w:r>
          </w:p>
        </w:tc>
        <w:tc>
          <w:tcPr>
            <w:tcW w:w="0" w:type="auto"/>
          </w:tcPr>
          <w:p w14:paraId="5711794A" w14:textId="77777777" w:rsidR="0042338E" w:rsidRPr="00657E8C" w:rsidRDefault="0042338E" w:rsidP="00E620C7">
            <w:pPr>
              <w:pStyle w:val="ARtabletextright"/>
            </w:pPr>
            <w:r w:rsidRPr="00657E8C">
              <w:t>20</w:t>
            </w:r>
          </w:p>
        </w:tc>
        <w:tc>
          <w:tcPr>
            <w:tcW w:w="0" w:type="auto"/>
          </w:tcPr>
          <w:p w14:paraId="5466E44C" w14:textId="77777777" w:rsidR="0042338E" w:rsidRPr="00657E8C" w:rsidRDefault="0042338E" w:rsidP="00E620C7">
            <w:pPr>
              <w:pStyle w:val="ARtabletextright"/>
            </w:pPr>
            <w:r w:rsidRPr="00657E8C">
              <w:t>18.8</w:t>
            </w:r>
          </w:p>
        </w:tc>
        <w:tc>
          <w:tcPr>
            <w:tcW w:w="0" w:type="auto"/>
          </w:tcPr>
          <w:p w14:paraId="0A511E57" w14:textId="77777777" w:rsidR="0042338E" w:rsidRPr="00657E8C" w:rsidRDefault="0042338E" w:rsidP="00E620C7">
            <w:pPr>
              <w:pStyle w:val="ARtabletextright"/>
            </w:pPr>
            <w:r w:rsidRPr="00657E8C">
              <w:t>187</w:t>
            </w:r>
          </w:p>
        </w:tc>
        <w:tc>
          <w:tcPr>
            <w:tcW w:w="0" w:type="auto"/>
          </w:tcPr>
          <w:p w14:paraId="6505A434" w14:textId="77777777" w:rsidR="0042338E" w:rsidRPr="00657E8C" w:rsidRDefault="0042338E" w:rsidP="00E620C7">
            <w:pPr>
              <w:pStyle w:val="ARtabletextright"/>
            </w:pPr>
            <w:r w:rsidRPr="00657E8C">
              <w:t>166.1</w:t>
            </w:r>
          </w:p>
        </w:tc>
        <w:tc>
          <w:tcPr>
            <w:tcW w:w="0" w:type="auto"/>
          </w:tcPr>
          <w:p w14:paraId="24794C5D" w14:textId="77777777" w:rsidR="0042338E" w:rsidRPr="00657E8C" w:rsidRDefault="0042338E" w:rsidP="00E620C7">
            <w:pPr>
              <w:pStyle w:val="ARtabletextright"/>
            </w:pPr>
            <w:r w:rsidRPr="00657E8C">
              <w:t>100</w:t>
            </w:r>
          </w:p>
        </w:tc>
        <w:tc>
          <w:tcPr>
            <w:tcW w:w="0" w:type="auto"/>
          </w:tcPr>
          <w:p w14:paraId="5C734DB8" w14:textId="77777777" w:rsidR="0042338E" w:rsidRPr="00657E8C" w:rsidRDefault="0042338E" w:rsidP="00E620C7">
            <w:pPr>
              <w:pStyle w:val="ARtabletextright"/>
            </w:pPr>
            <w:r w:rsidRPr="00657E8C">
              <w:t>57</w:t>
            </w:r>
          </w:p>
        </w:tc>
        <w:tc>
          <w:tcPr>
            <w:tcW w:w="0" w:type="auto"/>
          </w:tcPr>
          <w:p w14:paraId="4E79860D" w14:textId="77777777" w:rsidR="0042338E" w:rsidRPr="00657E8C" w:rsidRDefault="0042338E" w:rsidP="00E620C7">
            <w:pPr>
              <w:pStyle w:val="ARtabletextright"/>
            </w:pPr>
            <w:r w:rsidRPr="00657E8C">
              <w:t>137.3</w:t>
            </w:r>
          </w:p>
        </w:tc>
        <w:tc>
          <w:tcPr>
            <w:tcW w:w="0" w:type="auto"/>
          </w:tcPr>
          <w:p w14:paraId="27188461" w14:textId="77777777" w:rsidR="0042338E" w:rsidRPr="00657E8C" w:rsidRDefault="0042338E" w:rsidP="00E620C7">
            <w:pPr>
              <w:pStyle w:val="ARtabletextright"/>
            </w:pPr>
            <w:r w:rsidRPr="00657E8C">
              <w:t>30</w:t>
            </w:r>
          </w:p>
        </w:tc>
        <w:tc>
          <w:tcPr>
            <w:tcW w:w="0" w:type="auto"/>
          </w:tcPr>
          <w:p w14:paraId="729B470A" w14:textId="77777777" w:rsidR="0042338E" w:rsidRPr="00657E8C" w:rsidRDefault="0042338E" w:rsidP="00E620C7">
            <w:pPr>
              <w:pStyle w:val="ARtabletextright"/>
            </w:pPr>
            <w:r w:rsidRPr="00657E8C">
              <w:t>28.8</w:t>
            </w:r>
          </w:p>
        </w:tc>
      </w:tr>
      <w:tr w:rsidR="0042338E" w:rsidRPr="00657E8C" w14:paraId="5DD740CC" w14:textId="77777777" w:rsidTr="00F16145">
        <w:trPr>
          <w:gridAfter w:val="1"/>
          <w:wAfter w:w="15" w:type="dxa"/>
        </w:trPr>
        <w:tc>
          <w:tcPr>
            <w:tcW w:w="1696" w:type="dxa"/>
          </w:tcPr>
          <w:p w14:paraId="2E252AFA" w14:textId="77777777" w:rsidR="0042338E" w:rsidRPr="00657E8C" w:rsidRDefault="0042338E" w:rsidP="00E620C7">
            <w:pPr>
              <w:pStyle w:val="ARtabletext"/>
            </w:pPr>
            <w:r w:rsidRPr="00657E8C">
              <w:t>Child Protection</w:t>
            </w:r>
          </w:p>
        </w:tc>
        <w:tc>
          <w:tcPr>
            <w:tcW w:w="0" w:type="auto"/>
          </w:tcPr>
          <w:p w14:paraId="62EE8399" w14:textId="77777777" w:rsidR="0042338E" w:rsidRPr="00657E8C" w:rsidRDefault="0042338E" w:rsidP="00E620C7">
            <w:pPr>
              <w:pStyle w:val="ARtabletextright"/>
            </w:pPr>
            <w:r w:rsidRPr="00657E8C">
              <w:t>2</w:t>
            </w:r>
            <w:r>
              <w:t>,</w:t>
            </w:r>
            <w:r w:rsidRPr="00657E8C">
              <w:t>271</w:t>
            </w:r>
          </w:p>
        </w:tc>
        <w:tc>
          <w:tcPr>
            <w:tcW w:w="0" w:type="auto"/>
          </w:tcPr>
          <w:p w14:paraId="733B690F" w14:textId="77777777" w:rsidR="0042338E" w:rsidRPr="00657E8C" w:rsidRDefault="0042338E" w:rsidP="00E620C7">
            <w:pPr>
              <w:pStyle w:val="ARtabletextright"/>
            </w:pPr>
            <w:r w:rsidRPr="00657E8C">
              <w:t>2</w:t>
            </w:r>
            <w:r>
              <w:t>,</w:t>
            </w:r>
            <w:r w:rsidRPr="00657E8C">
              <w:t>107.2</w:t>
            </w:r>
          </w:p>
        </w:tc>
        <w:tc>
          <w:tcPr>
            <w:tcW w:w="0" w:type="auto"/>
          </w:tcPr>
          <w:p w14:paraId="493A548B" w14:textId="77777777" w:rsidR="0042338E" w:rsidRPr="00657E8C" w:rsidRDefault="0042338E" w:rsidP="00E620C7">
            <w:pPr>
              <w:pStyle w:val="ARtabletextright"/>
            </w:pPr>
            <w:r w:rsidRPr="00657E8C">
              <w:t>1</w:t>
            </w:r>
            <w:r>
              <w:t>,</w:t>
            </w:r>
            <w:r w:rsidRPr="00657E8C">
              <w:t>480</w:t>
            </w:r>
          </w:p>
        </w:tc>
        <w:tc>
          <w:tcPr>
            <w:tcW w:w="0" w:type="auto"/>
          </w:tcPr>
          <w:p w14:paraId="5DCA2825" w14:textId="77777777" w:rsidR="0042338E" w:rsidRPr="00657E8C" w:rsidRDefault="0042338E" w:rsidP="00E620C7">
            <w:pPr>
              <w:pStyle w:val="ARtabletextright"/>
            </w:pPr>
            <w:r w:rsidRPr="00657E8C">
              <w:t>318</w:t>
            </w:r>
          </w:p>
        </w:tc>
        <w:tc>
          <w:tcPr>
            <w:tcW w:w="0" w:type="auto"/>
          </w:tcPr>
          <w:p w14:paraId="2F72F081" w14:textId="77777777" w:rsidR="0042338E" w:rsidRPr="00657E8C" w:rsidRDefault="0042338E" w:rsidP="00E620C7">
            <w:pPr>
              <w:pStyle w:val="ARtabletextright"/>
            </w:pPr>
            <w:r w:rsidRPr="00657E8C">
              <w:t>1</w:t>
            </w:r>
            <w:r>
              <w:t>,</w:t>
            </w:r>
            <w:r w:rsidRPr="00657E8C">
              <w:t>689.6</w:t>
            </w:r>
          </w:p>
        </w:tc>
        <w:tc>
          <w:tcPr>
            <w:tcW w:w="0" w:type="auto"/>
          </w:tcPr>
          <w:p w14:paraId="67814F44" w14:textId="77777777" w:rsidR="0042338E" w:rsidRPr="00657E8C" w:rsidRDefault="0042338E" w:rsidP="00E620C7">
            <w:pPr>
              <w:pStyle w:val="ARtabletextright"/>
            </w:pPr>
            <w:r w:rsidRPr="00657E8C">
              <w:t>473</w:t>
            </w:r>
          </w:p>
        </w:tc>
        <w:tc>
          <w:tcPr>
            <w:tcW w:w="0" w:type="auto"/>
          </w:tcPr>
          <w:p w14:paraId="66CACBB4" w14:textId="77777777" w:rsidR="0042338E" w:rsidRPr="00657E8C" w:rsidRDefault="0042338E" w:rsidP="00E620C7">
            <w:pPr>
              <w:pStyle w:val="ARtabletextright"/>
            </w:pPr>
            <w:r w:rsidRPr="00657E8C">
              <w:t>417.5</w:t>
            </w:r>
          </w:p>
        </w:tc>
        <w:tc>
          <w:tcPr>
            <w:tcW w:w="0" w:type="auto"/>
          </w:tcPr>
          <w:p w14:paraId="0CF596BB" w14:textId="77777777" w:rsidR="0042338E" w:rsidRPr="00657E8C" w:rsidRDefault="0042338E" w:rsidP="00E620C7">
            <w:pPr>
              <w:pStyle w:val="ARtabletextright"/>
            </w:pPr>
            <w:r w:rsidRPr="00657E8C">
              <w:t>2</w:t>
            </w:r>
            <w:r>
              <w:t>,</w:t>
            </w:r>
            <w:r w:rsidRPr="00657E8C">
              <w:t>092</w:t>
            </w:r>
          </w:p>
        </w:tc>
        <w:tc>
          <w:tcPr>
            <w:tcW w:w="0" w:type="auto"/>
          </w:tcPr>
          <w:p w14:paraId="44A42B59" w14:textId="77777777" w:rsidR="0042338E" w:rsidRPr="00657E8C" w:rsidRDefault="0042338E" w:rsidP="00E620C7">
            <w:pPr>
              <w:pStyle w:val="ARtabletextright"/>
            </w:pPr>
            <w:r w:rsidRPr="00657E8C">
              <w:t>1</w:t>
            </w:r>
            <w:r>
              <w:t>,</w:t>
            </w:r>
            <w:r w:rsidRPr="00657E8C">
              <w:t>932.7</w:t>
            </w:r>
          </w:p>
        </w:tc>
        <w:tc>
          <w:tcPr>
            <w:tcW w:w="0" w:type="auto"/>
          </w:tcPr>
          <w:p w14:paraId="691FBDA3" w14:textId="77777777" w:rsidR="0042338E" w:rsidRPr="00657E8C" w:rsidRDefault="0042338E" w:rsidP="00E620C7">
            <w:pPr>
              <w:pStyle w:val="ARtabletextright"/>
            </w:pPr>
            <w:r w:rsidRPr="00657E8C">
              <w:t>1</w:t>
            </w:r>
            <w:r>
              <w:t>,</w:t>
            </w:r>
            <w:r w:rsidRPr="00657E8C">
              <w:t>381</w:t>
            </w:r>
          </w:p>
        </w:tc>
        <w:tc>
          <w:tcPr>
            <w:tcW w:w="0" w:type="auto"/>
          </w:tcPr>
          <w:p w14:paraId="01BAFAEC" w14:textId="77777777" w:rsidR="0042338E" w:rsidRPr="00657E8C" w:rsidRDefault="0042338E" w:rsidP="00E620C7">
            <w:pPr>
              <w:pStyle w:val="ARtabletextright"/>
            </w:pPr>
            <w:r w:rsidRPr="00657E8C">
              <w:t>307</w:t>
            </w:r>
          </w:p>
        </w:tc>
        <w:tc>
          <w:tcPr>
            <w:tcW w:w="0" w:type="auto"/>
          </w:tcPr>
          <w:p w14:paraId="7D38E801" w14:textId="77777777" w:rsidR="0042338E" w:rsidRPr="00657E8C" w:rsidRDefault="0042338E" w:rsidP="00E620C7">
            <w:pPr>
              <w:pStyle w:val="ARtabletextright"/>
            </w:pPr>
            <w:r w:rsidRPr="00657E8C">
              <w:t>1</w:t>
            </w:r>
            <w:r>
              <w:t>,</w:t>
            </w:r>
            <w:r w:rsidRPr="00657E8C">
              <w:t>585.4</w:t>
            </w:r>
          </w:p>
        </w:tc>
        <w:tc>
          <w:tcPr>
            <w:tcW w:w="0" w:type="auto"/>
          </w:tcPr>
          <w:p w14:paraId="0B295805" w14:textId="77777777" w:rsidR="0042338E" w:rsidRPr="00657E8C" w:rsidRDefault="0042338E" w:rsidP="00E620C7">
            <w:pPr>
              <w:pStyle w:val="ARtabletextright"/>
            </w:pPr>
            <w:r w:rsidRPr="00657E8C">
              <w:t>404</w:t>
            </w:r>
          </w:p>
        </w:tc>
        <w:tc>
          <w:tcPr>
            <w:tcW w:w="0" w:type="auto"/>
          </w:tcPr>
          <w:p w14:paraId="4C22605A" w14:textId="77777777" w:rsidR="0042338E" w:rsidRPr="00657E8C" w:rsidRDefault="0042338E" w:rsidP="00E620C7">
            <w:pPr>
              <w:pStyle w:val="ARtabletextright"/>
            </w:pPr>
            <w:r w:rsidRPr="00657E8C">
              <w:t>347.3</w:t>
            </w:r>
          </w:p>
        </w:tc>
      </w:tr>
      <w:tr w:rsidR="0042338E" w:rsidRPr="00657E8C" w14:paraId="722DD2B6" w14:textId="77777777" w:rsidTr="00F16145">
        <w:trPr>
          <w:gridAfter w:val="1"/>
          <w:wAfter w:w="15" w:type="dxa"/>
        </w:trPr>
        <w:tc>
          <w:tcPr>
            <w:tcW w:w="1696" w:type="dxa"/>
          </w:tcPr>
          <w:p w14:paraId="25DDC5BA" w14:textId="77777777" w:rsidR="0042338E" w:rsidRPr="00657E8C" w:rsidRDefault="0042338E" w:rsidP="00E620C7">
            <w:pPr>
              <w:pStyle w:val="ARtabletext"/>
            </w:pPr>
            <w:r w:rsidRPr="00657E8C">
              <w:t>Children, Youth and Families</w:t>
            </w:r>
          </w:p>
        </w:tc>
        <w:tc>
          <w:tcPr>
            <w:tcW w:w="0" w:type="auto"/>
          </w:tcPr>
          <w:p w14:paraId="47F72E76" w14:textId="77777777" w:rsidR="0042338E" w:rsidRPr="00657E8C" w:rsidRDefault="0042338E" w:rsidP="00E620C7">
            <w:pPr>
              <w:pStyle w:val="ARtabletextright"/>
            </w:pPr>
            <w:r w:rsidRPr="00657E8C">
              <w:t>273</w:t>
            </w:r>
          </w:p>
        </w:tc>
        <w:tc>
          <w:tcPr>
            <w:tcW w:w="0" w:type="auto"/>
          </w:tcPr>
          <w:p w14:paraId="70BE400D" w14:textId="77777777" w:rsidR="0042338E" w:rsidRPr="00657E8C" w:rsidRDefault="0042338E" w:rsidP="00E620C7">
            <w:pPr>
              <w:pStyle w:val="ARtabletextright"/>
            </w:pPr>
            <w:r w:rsidRPr="00657E8C">
              <w:t>238.5</w:t>
            </w:r>
          </w:p>
        </w:tc>
        <w:tc>
          <w:tcPr>
            <w:tcW w:w="0" w:type="auto"/>
          </w:tcPr>
          <w:p w14:paraId="4DAC3519" w14:textId="77777777" w:rsidR="0042338E" w:rsidRPr="00657E8C" w:rsidRDefault="0042338E" w:rsidP="00E620C7">
            <w:pPr>
              <w:pStyle w:val="ARtabletextright"/>
            </w:pPr>
            <w:r w:rsidRPr="00657E8C">
              <w:t>137</w:t>
            </w:r>
          </w:p>
        </w:tc>
        <w:tc>
          <w:tcPr>
            <w:tcW w:w="0" w:type="auto"/>
          </w:tcPr>
          <w:p w14:paraId="627DDC04" w14:textId="77777777" w:rsidR="0042338E" w:rsidRPr="00657E8C" w:rsidRDefault="0042338E" w:rsidP="00E620C7">
            <w:pPr>
              <w:pStyle w:val="ARtabletextright"/>
            </w:pPr>
            <w:r w:rsidRPr="00657E8C">
              <w:t>57</w:t>
            </w:r>
          </w:p>
        </w:tc>
        <w:tc>
          <w:tcPr>
            <w:tcW w:w="0" w:type="auto"/>
          </w:tcPr>
          <w:p w14:paraId="116E80CA" w14:textId="77777777" w:rsidR="0042338E" w:rsidRPr="00657E8C" w:rsidRDefault="0042338E" w:rsidP="00E620C7">
            <w:pPr>
              <w:pStyle w:val="ARtabletextright"/>
            </w:pPr>
            <w:r w:rsidRPr="00657E8C">
              <w:t>176.8</w:t>
            </w:r>
          </w:p>
        </w:tc>
        <w:tc>
          <w:tcPr>
            <w:tcW w:w="0" w:type="auto"/>
          </w:tcPr>
          <w:p w14:paraId="574F781C" w14:textId="77777777" w:rsidR="0042338E" w:rsidRPr="00657E8C" w:rsidRDefault="0042338E" w:rsidP="00E620C7">
            <w:pPr>
              <w:pStyle w:val="ARtabletextright"/>
            </w:pPr>
            <w:r w:rsidRPr="00657E8C">
              <w:t>79</w:t>
            </w:r>
          </w:p>
        </w:tc>
        <w:tc>
          <w:tcPr>
            <w:tcW w:w="0" w:type="auto"/>
          </w:tcPr>
          <w:p w14:paraId="1EBFA2E4" w14:textId="77777777" w:rsidR="0042338E" w:rsidRPr="00657E8C" w:rsidRDefault="0042338E" w:rsidP="00E620C7">
            <w:pPr>
              <w:pStyle w:val="ARtabletextright"/>
            </w:pPr>
            <w:r w:rsidRPr="00657E8C">
              <w:t>61.7</w:t>
            </w:r>
          </w:p>
        </w:tc>
        <w:tc>
          <w:tcPr>
            <w:tcW w:w="0" w:type="auto"/>
          </w:tcPr>
          <w:p w14:paraId="38D8BAB4" w14:textId="77777777" w:rsidR="0042338E" w:rsidRPr="00657E8C" w:rsidRDefault="0042338E" w:rsidP="00E620C7">
            <w:pPr>
              <w:pStyle w:val="ARtabletextright"/>
            </w:pPr>
            <w:r w:rsidRPr="00657E8C">
              <w:t>263</w:t>
            </w:r>
          </w:p>
        </w:tc>
        <w:tc>
          <w:tcPr>
            <w:tcW w:w="0" w:type="auto"/>
          </w:tcPr>
          <w:p w14:paraId="6D7F55DE" w14:textId="77777777" w:rsidR="0042338E" w:rsidRPr="00657E8C" w:rsidRDefault="0042338E" w:rsidP="00E620C7">
            <w:pPr>
              <w:pStyle w:val="ARtabletextright"/>
            </w:pPr>
            <w:r w:rsidRPr="00657E8C">
              <w:t>233.2</w:t>
            </w:r>
          </w:p>
        </w:tc>
        <w:tc>
          <w:tcPr>
            <w:tcW w:w="0" w:type="auto"/>
          </w:tcPr>
          <w:p w14:paraId="490E149E" w14:textId="77777777" w:rsidR="0042338E" w:rsidRPr="00657E8C" w:rsidRDefault="0042338E" w:rsidP="00E620C7">
            <w:pPr>
              <w:pStyle w:val="ARtabletextright"/>
            </w:pPr>
            <w:r w:rsidRPr="00657E8C">
              <w:t>127</w:t>
            </w:r>
          </w:p>
        </w:tc>
        <w:tc>
          <w:tcPr>
            <w:tcW w:w="0" w:type="auto"/>
          </w:tcPr>
          <w:p w14:paraId="3C39CBB0" w14:textId="77777777" w:rsidR="0042338E" w:rsidRPr="00657E8C" w:rsidRDefault="0042338E" w:rsidP="00E620C7">
            <w:pPr>
              <w:pStyle w:val="ARtabletextright"/>
            </w:pPr>
            <w:r w:rsidRPr="00657E8C">
              <w:t>61</w:t>
            </w:r>
          </w:p>
        </w:tc>
        <w:tc>
          <w:tcPr>
            <w:tcW w:w="0" w:type="auto"/>
          </w:tcPr>
          <w:p w14:paraId="1047F40F" w14:textId="77777777" w:rsidR="0042338E" w:rsidRPr="00657E8C" w:rsidRDefault="0042338E" w:rsidP="00E620C7">
            <w:pPr>
              <w:pStyle w:val="ARtabletextright"/>
            </w:pPr>
            <w:r w:rsidRPr="00657E8C">
              <w:t>169.3</w:t>
            </w:r>
          </w:p>
        </w:tc>
        <w:tc>
          <w:tcPr>
            <w:tcW w:w="0" w:type="auto"/>
          </w:tcPr>
          <w:p w14:paraId="336AA41D" w14:textId="77777777" w:rsidR="0042338E" w:rsidRPr="00657E8C" w:rsidRDefault="0042338E" w:rsidP="00E620C7">
            <w:pPr>
              <w:pStyle w:val="ARtabletextright"/>
            </w:pPr>
            <w:r w:rsidRPr="00657E8C">
              <w:t>75</w:t>
            </w:r>
          </w:p>
        </w:tc>
        <w:tc>
          <w:tcPr>
            <w:tcW w:w="0" w:type="auto"/>
          </w:tcPr>
          <w:p w14:paraId="1D26BD03" w14:textId="77777777" w:rsidR="0042338E" w:rsidRPr="00657E8C" w:rsidRDefault="0042338E" w:rsidP="00E620C7">
            <w:pPr>
              <w:pStyle w:val="ARtabletextright"/>
            </w:pPr>
            <w:r w:rsidRPr="00657E8C">
              <w:t>63.9</w:t>
            </w:r>
          </w:p>
        </w:tc>
      </w:tr>
      <w:tr w:rsidR="0042338E" w:rsidRPr="00657E8C" w14:paraId="4D5F9DCB" w14:textId="77777777" w:rsidTr="00F16145">
        <w:trPr>
          <w:gridAfter w:val="1"/>
          <w:wAfter w:w="15" w:type="dxa"/>
        </w:trPr>
        <w:tc>
          <w:tcPr>
            <w:tcW w:w="1696" w:type="dxa"/>
          </w:tcPr>
          <w:p w14:paraId="62F979EA" w14:textId="77777777" w:rsidR="0042338E" w:rsidRPr="00657E8C" w:rsidRDefault="0042338E" w:rsidP="00E620C7">
            <w:pPr>
              <w:pStyle w:val="ARtabletext"/>
            </w:pPr>
            <w:r w:rsidRPr="00657E8C">
              <w:t>Disability Development and Support</w:t>
            </w:r>
          </w:p>
        </w:tc>
        <w:tc>
          <w:tcPr>
            <w:tcW w:w="0" w:type="auto"/>
          </w:tcPr>
          <w:p w14:paraId="17C6F222" w14:textId="77777777" w:rsidR="0042338E" w:rsidRPr="00657E8C" w:rsidRDefault="0042338E" w:rsidP="00E620C7">
            <w:pPr>
              <w:pStyle w:val="ARtabletextright"/>
            </w:pPr>
            <w:r w:rsidRPr="00657E8C">
              <w:t>2</w:t>
            </w:r>
            <w:r>
              <w:t>,</w:t>
            </w:r>
            <w:r w:rsidRPr="00657E8C">
              <w:t>675</w:t>
            </w:r>
          </w:p>
        </w:tc>
        <w:tc>
          <w:tcPr>
            <w:tcW w:w="0" w:type="auto"/>
          </w:tcPr>
          <w:p w14:paraId="4643B9F3" w14:textId="77777777" w:rsidR="0042338E" w:rsidRPr="00657E8C" w:rsidRDefault="0042338E" w:rsidP="00E620C7">
            <w:pPr>
              <w:pStyle w:val="ARtabletextright"/>
            </w:pPr>
            <w:r w:rsidRPr="00657E8C">
              <w:t>2</w:t>
            </w:r>
            <w:r>
              <w:t>,</w:t>
            </w:r>
            <w:r w:rsidRPr="00657E8C">
              <w:t>119.4</w:t>
            </w:r>
          </w:p>
        </w:tc>
        <w:tc>
          <w:tcPr>
            <w:tcW w:w="0" w:type="auto"/>
          </w:tcPr>
          <w:p w14:paraId="2F417093" w14:textId="77777777" w:rsidR="0042338E" w:rsidRPr="00657E8C" w:rsidRDefault="0042338E" w:rsidP="00E620C7">
            <w:pPr>
              <w:pStyle w:val="ARtabletextright"/>
            </w:pPr>
            <w:r w:rsidRPr="00657E8C">
              <w:t>804</w:t>
            </w:r>
          </w:p>
        </w:tc>
        <w:tc>
          <w:tcPr>
            <w:tcW w:w="0" w:type="auto"/>
          </w:tcPr>
          <w:p w14:paraId="7C88944F" w14:textId="77777777" w:rsidR="0042338E" w:rsidRPr="00657E8C" w:rsidRDefault="0042338E" w:rsidP="00E620C7">
            <w:pPr>
              <w:pStyle w:val="ARtabletextright"/>
            </w:pPr>
            <w:r w:rsidRPr="00657E8C">
              <w:t>1</w:t>
            </w:r>
            <w:r>
              <w:t>,</w:t>
            </w:r>
            <w:r w:rsidRPr="00657E8C">
              <w:t>185</w:t>
            </w:r>
          </w:p>
        </w:tc>
        <w:tc>
          <w:tcPr>
            <w:tcW w:w="0" w:type="auto"/>
          </w:tcPr>
          <w:p w14:paraId="1EAEA3E5" w14:textId="77777777" w:rsidR="0042338E" w:rsidRPr="00657E8C" w:rsidRDefault="0042338E" w:rsidP="00E620C7">
            <w:pPr>
              <w:pStyle w:val="ARtabletextright"/>
            </w:pPr>
            <w:r w:rsidRPr="00657E8C">
              <w:t>1</w:t>
            </w:r>
            <w:r>
              <w:t>,</w:t>
            </w:r>
            <w:r w:rsidRPr="00657E8C">
              <w:t>736.4</w:t>
            </w:r>
          </w:p>
        </w:tc>
        <w:tc>
          <w:tcPr>
            <w:tcW w:w="0" w:type="auto"/>
          </w:tcPr>
          <w:p w14:paraId="2CD25226" w14:textId="77777777" w:rsidR="0042338E" w:rsidRPr="00657E8C" w:rsidRDefault="0042338E" w:rsidP="00E620C7">
            <w:pPr>
              <w:pStyle w:val="ARtabletextright"/>
            </w:pPr>
            <w:r w:rsidRPr="00657E8C">
              <w:t>686</w:t>
            </w:r>
          </w:p>
        </w:tc>
        <w:tc>
          <w:tcPr>
            <w:tcW w:w="0" w:type="auto"/>
          </w:tcPr>
          <w:p w14:paraId="1BA639FF" w14:textId="77777777" w:rsidR="0042338E" w:rsidRPr="00657E8C" w:rsidRDefault="0042338E" w:rsidP="00E620C7">
            <w:pPr>
              <w:pStyle w:val="ARtabletextright"/>
            </w:pPr>
            <w:r w:rsidRPr="00657E8C">
              <w:t>383</w:t>
            </w:r>
          </w:p>
        </w:tc>
        <w:tc>
          <w:tcPr>
            <w:tcW w:w="0" w:type="auto"/>
          </w:tcPr>
          <w:p w14:paraId="530BBC55" w14:textId="77777777" w:rsidR="0042338E" w:rsidRPr="00657E8C" w:rsidRDefault="0042338E" w:rsidP="00E620C7">
            <w:pPr>
              <w:pStyle w:val="ARtabletextright"/>
            </w:pPr>
            <w:r w:rsidRPr="00657E8C">
              <w:t>5</w:t>
            </w:r>
            <w:r>
              <w:t>,</w:t>
            </w:r>
            <w:r w:rsidRPr="00657E8C">
              <w:t>555</w:t>
            </w:r>
          </w:p>
        </w:tc>
        <w:tc>
          <w:tcPr>
            <w:tcW w:w="0" w:type="auto"/>
          </w:tcPr>
          <w:p w14:paraId="0444FAC6" w14:textId="77777777" w:rsidR="0042338E" w:rsidRPr="00657E8C" w:rsidRDefault="0042338E" w:rsidP="00E620C7">
            <w:pPr>
              <w:pStyle w:val="ARtabletextright"/>
            </w:pPr>
            <w:r w:rsidRPr="00657E8C">
              <w:t>4</w:t>
            </w:r>
            <w:r>
              <w:t>,</w:t>
            </w:r>
            <w:r w:rsidRPr="00657E8C">
              <w:t>418.8</w:t>
            </w:r>
          </w:p>
        </w:tc>
        <w:tc>
          <w:tcPr>
            <w:tcW w:w="0" w:type="auto"/>
          </w:tcPr>
          <w:p w14:paraId="65553500" w14:textId="77777777" w:rsidR="0042338E" w:rsidRPr="00657E8C" w:rsidRDefault="0042338E" w:rsidP="00E620C7">
            <w:pPr>
              <w:pStyle w:val="ARtabletextright"/>
            </w:pPr>
            <w:r w:rsidRPr="00657E8C">
              <w:t>1</w:t>
            </w:r>
            <w:r>
              <w:t>,</w:t>
            </w:r>
            <w:r w:rsidRPr="00657E8C">
              <w:t>641</w:t>
            </w:r>
          </w:p>
        </w:tc>
        <w:tc>
          <w:tcPr>
            <w:tcW w:w="0" w:type="auto"/>
          </w:tcPr>
          <w:p w14:paraId="10DF2E40" w14:textId="77777777" w:rsidR="0042338E" w:rsidRPr="00657E8C" w:rsidRDefault="0042338E" w:rsidP="00E620C7">
            <w:pPr>
              <w:pStyle w:val="ARtabletextright"/>
            </w:pPr>
            <w:r w:rsidRPr="00657E8C">
              <w:t>2</w:t>
            </w:r>
            <w:r>
              <w:t>,</w:t>
            </w:r>
            <w:r w:rsidRPr="00657E8C">
              <w:t>307</w:t>
            </w:r>
          </w:p>
        </w:tc>
        <w:tc>
          <w:tcPr>
            <w:tcW w:w="0" w:type="auto"/>
          </w:tcPr>
          <w:p w14:paraId="5CFDFA48" w14:textId="77777777" w:rsidR="0042338E" w:rsidRPr="00657E8C" w:rsidRDefault="0042338E" w:rsidP="00E620C7">
            <w:pPr>
              <w:pStyle w:val="ARtabletextright"/>
            </w:pPr>
            <w:r w:rsidRPr="00657E8C">
              <w:t>3</w:t>
            </w:r>
            <w:r>
              <w:t>,</w:t>
            </w:r>
            <w:r w:rsidRPr="00657E8C">
              <w:t>476.9</w:t>
            </w:r>
          </w:p>
        </w:tc>
        <w:tc>
          <w:tcPr>
            <w:tcW w:w="0" w:type="auto"/>
          </w:tcPr>
          <w:p w14:paraId="16777C5E" w14:textId="77777777" w:rsidR="0042338E" w:rsidRPr="00657E8C" w:rsidRDefault="0042338E" w:rsidP="00E620C7">
            <w:pPr>
              <w:pStyle w:val="ARtabletextright"/>
            </w:pPr>
            <w:r w:rsidRPr="00657E8C">
              <w:t>1</w:t>
            </w:r>
            <w:r>
              <w:t>,</w:t>
            </w:r>
            <w:r w:rsidRPr="00657E8C">
              <w:t>607</w:t>
            </w:r>
          </w:p>
        </w:tc>
        <w:tc>
          <w:tcPr>
            <w:tcW w:w="0" w:type="auto"/>
          </w:tcPr>
          <w:p w14:paraId="00EADE52" w14:textId="77777777" w:rsidR="0042338E" w:rsidRPr="00657E8C" w:rsidRDefault="0042338E" w:rsidP="00E620C7">
            <w:pPr>
              <w:pStyle w:val="ARtabletextright"/>
            </w:pPr>
            <w:r w:rsidRPr="00657E8C">
              <w:t>941.9</w:t>
            </w:r>
          </w:p>
        </w:tc>
      </w:tr>
      <w:tr w:rsidR="0042338E" w:rsidRPr="00657E8C" w14:paraId="57CB418A" w14:textId="77777777" w:rsidTr="00F16145">
        <w:trPr>
          <w:gridAfter w:val="1"/>
          <w:wAfter w:w="15" w:type="dxa"/>
        </w:trPr>
        <w:tc>
          <w:tcPr>
            <w:tcW w:w="1696" w:type="dxa"/>
          </w:tcPr>
          <w:p w14:paraId="683562D1" w14:textId="77777777" w:rsidR="0042338E" w:rsidRPr="00657E8C" w:rsidRDefault="0042338E" w:rsidP="00E620C7">
            <w:pPr>
              <w:pStyle w:val="ARtabletext"/>
            </w:pPr>
            <w:r w:rsidRPr="00657E8C">
              <w:t>Housing Services</w:t>
            </w:r>
          </w:p>
        </w:tc>
        <w:tc>
          <w:tcPr>
            <w:tcW w:w="0" w:type="auto"/>
          </w:tcPr>
          <w:p w14:paraId="631CCAB5" w14:textId="77777777" w:rsidR="0042338E" w:rsidRPr="00657E8C" w:rsidRDefault="0042338E" w:rsidP="00E620C7">
            <w:pPr>
              <w:pStyle w:val="ARtabletextright"/>
            </w:pPr>
            <w:r w:rsidRPr="00657E8C">
              <w:t>552</w:t>
            </w:r>
          </w:p>
        </w:tc>
        <w:tc>
          <w:tcPr>
            <w:tcW w:w="0" w:type="auto"/>
          </w:tcPr>
          <w:p w14:paraId="62997956" w14:textId="77777777" w:rsidR="0042338E" w:rsidRPr="00657E8C" w:rsidRDefault="0042338E" w:rsidP="00E620C7">
            <w:pPr>
              <w:pStyle w:val="ARtabletextright"/>
            </w:pPr>
            <w:r w:rsidRPr="00657E8C">
              <w:t>503.5</w:t>
            </w:r>
          </w:p>
        </w:tc>
        <w:tc>
          <w:tcPr>
            <w:tcW w:w="0" w:type="auto"/>
          </w:tcPr>
          <w:p w14:paraId="34D0D48D" w14:textId="77777777" w:rsidR="0042338E" w:rsidRPr="00657E8C" w:rsidRDefault="0042338E" w:rsidP="00E620C7">
            <w:pPr>
              <w:pStyle w:val="ARtabletextright"/>
            </w:pPr>
            <w:r w:rsidRPr="00657E8C">
              <w:t>337</w:t>
            </w:r>
          </w:p>
        </w:tc>
        <w:tc>
          <w:tcPr>
            <w:tcW w:w="0" w:type="auto"/>
          </w:tcPr>
          <w:p w14:paraId="4A76E5CF" w14:textId="77777777" w:rsidR="0042338E" w:rsidRPr="00657E8C" w:rsidRDefault="0042338E" w:rsidP="00E620C7">
            <w:pPr>
              <w:pStyle w:val="ARtabletextright"/>
            </w:pPr>
            <w:r w:rsidRPr="00657E8C">
              <w:t>132</w:t>
            </w:r>
          </w:p>
        </w:tc>
        <w:tc>
          <w:tcPr>
            <w:tcW w:w="0" w:type="auto"/>
          </w:tcPr>
          <w:p w14:paraId="4E5B2611" w14:textId="77777777" w:rsidR="0042338E" w:rsidRPr="00657E8C" w:rsidRDefault="0042338E" w:rsidP="00E620C7">
            <w:pPr>
              <w:pStyle w:val="ARtabletextright"/>
            </w:pPr>
            <w:r w:rsidRPr="00657E8C">
              <w:t>425.1</w:t>
            </w:r>
          </w:p>
        </w:tc>
        <w:tc>
          <w:tcPr>
            <w:tcW w:w="0" w:type="auto"/>
          </w:tcPr>
          <w:p w14:paraId="19D03B49" w14:textId="77777777" w:rsidR="0042338E" w:rsidRPr="00657E8C" w:rsidRDefault="0042338E" w:rsidP="00E620C7">
            <w:pPr>
              <w:pStyle w:val="ARtabletextright"/>
            </w:pPr>
            <w:r w:rsidRPr="00657E8C">
              <w:t>83</w:t>
            </w:r>
          </w:p>
        </w:tc>
        <w:tc>
          <w:tcPr>
            <w:tcW w:w="0" w:type="auto"/>
          </w:tcPr>
          <w:p w14:paraId="647F2294" w14:textId="77777777" w:rsidR="0042338E" w:rsidRPr="00657E8C" w:rsidRDefault="0042338E" w:rsidP="00E620C7">
            <w:pPr>
              <w:pStyle w:val="ARtabletextright"/>
            </w:pPr>
            <w:r w:rsidRPr="00657E8C">
              <w:t>78.4</w:t>
            </w:r>
          </w:p>
        </w:tc>
        <w:tc>
          <w:tcPr>
            <w:tcW w:w="0" w:type="auto"/>
          </w:tcPr>
          <w:p w14:paraId="7C5E7768" w14:textId="77777777" w:rsidR="0042338E" w:rsidRPr="00657E8C" w:rsidRDefault="0042338E" w:rsidP="00E620C7">
            <w:pPr>
              <w:pStyle w:val="ARtabletextright"/>
            </w:pPr>
            <w:r w:rsidRPr="00657E8C">
              <w:t>549</w:t>
            </w:r>
          </w:p>
        </w:tc>
        <w:tc>
          <w:tcPr>
            <w:tcW w:w="0" w:type="auto"/>
          </w:tcPr>
          <w:p w14:paraId="4F17C359" w14:textId="77777777" w:rsidR="0042338E" w:rsidRPr="00657E8C" w:rsidRDefault="0042338E" w:rsidP="00E620C7">
            <w:pPr>
              <w:pStyle w:val="ARtabletextright"/>
            </w:pPr>
            <w:r w:rsidRPr="00657E8C">
              <w:t>502.4</w:t>
            </w:r>
          </w:p>
        </w:tc>
        <w:tc>
          <w:tcPr>
            <w:tcW w:w="0" w:type="auto"/>
          </w:tcPr>
          <w:p w14:paraId="5DADFCD4" w14:textId="77777777" w:rsidR="0042338E" w:rsidRPr="00657E8C" w:rsidRDefault="0042338E" w:rsidP="00E620C7">
            <w:pPr>
              <w:pStyle w:val="ARtabletextright"/>
            </w:pPr>
            <w:r w:rsidRPr="00657E8C">
              <w:t>342</w:t>
            </w:r>
          </w:p>
        </w:tc>
        <w:tc>
          <w:tcPr>
            <w:tcW w:w="0" w:type="auto"/>
          </w:tcPr>
          <w:p w14:paraId="76C94680" w14:textId="77777777" w:rsidR="0042338E" w:rsidRPr="00657E8C" w:rsidRDefault="0042338E" w:rsidP="00E620C7">
            <w:pPr>
              <w:pStyle w:val="ARtabletextright"/>
            </w:pPr>
            <w:r w:rsidRPr="00657E8C">
              <w:t>122</w:t>
            </w:r>
          </w:p>
        </w:tc>
        <w:tc>
          <w:tcPr>
            <w:tcW w:w="0" w:type="auto"/>
          </w:tcPr>
          <w:p w14:paraId="22A29583" w14:textId="77777777" w:rsidR="0042338E" w:rsidRPr="00657E8C" w:rsidRDefault="0042338E" w:rsidP="00E620C7">
            <w:pPr>
              <w:pStyle w:val="ARtabletextright"/>
            </w:pPr>
            <w:r w:rsidRPr="00657E8C">
              <w:t>420.9</w:t>
            </w:r>
          </w:p>
        </w:tc>
        <w:tc>
          <w:tcPr>
            <w:tcW w:w="0" w:type="auto"/>
          </w:tcPr>
          <w:p w14:paraId="524E838D" w14:textId="77777777" w:rsidR="0042338E" w:rsidRPr="00657E8C" w:rsidRDefault="0042338E" w:rsidP="00E620C7">
            <w:pPr>
              <w:pStyle w:val="ARtabletextright"/>
            </w:pPr>
            <w:r w:rsidRPr="00657E8C">
              <w:t>85</w:t>
            </w:r>
          </w:p>
        </w:tc>
        <w:tc>
          <w:tcPr>
            <w:tcW w:w="0" w:type="auto"/>
          </w:tcPr>
          <w:p w14:paraId="2919A492" w14:textId="77777777" w:rsidR="0042338E" w:rsidRPr="00657E8C" w:rsidRDefault="0042338E" w:rsidP="00E620C7">
            <w:pPr>
              <w:pStyle w:val="ARtabletextright"/>
            </w:pPr>
            <w:r w:rsidRPr="00657E8C">
              <w:t>81.5</w:t>
            </w:r>
          </w:p>
        </w:tc>
      </w:tr>
      <w:tr w:rsidR="0042338E" w:rsidRPr="00657E8C" w14:paraId="3EDA2039" w14:textId="77777777" w:rsidTr="00F16145">
        <w:trPr>
          <w:gridAfter w:val="1"/>
          <w:wAfter w:w="15" w:type="dxa"/>
        </w:trPr>
        <w:tc>
          <w:tcPr>
            <w:tcW w:w="1696" w:type="dxa"/>
          </w:tcPr>
          <w:p w14:paraId="2B9E366F" w14:textId="77777777" w:rsidR="0042338E" w:rsidRPr="00657E8C" w:rsidRDefault="0042338E" w:rsidP="00E620C7">
            <w:pPr>
              <w:pStyle w:val="ARtabletext"/>
            </w:pPr>
            <w:r w:rsidRPr="00657E8C">
              <w:t>SNTS</w:t>
            </w:r>
          </w:p>
        </w:tc>
        <w:tc>
          <w:tcPr>
            <w:tcW w:w="0" w:type="auto"/>
          </w:tcPr>
          <w:p w14:paraId="6F9AF7FE" w14:textId="77777777" w:rsidR="0042338E" w:rsidRPr="00657E8C" w:rsidRDefault="0042338E" w:rsidP="00E620C7">
            <w:pPr>
              <w:pStyle w:val="ARtabletextright"/>
            </w:pPr>
            <w:r w:rsidRPr="00657E8C">
              <w:t>24</w:t>
            </w:r>
          </w:p>
        </w:tc>
        <w:tc>
          <w:tcPr>
            <w:tcW w:w="0" w:type="auto"/>
          </w:tcPr>
          <w:p w14:paraId="2728C9E7" w14:textId="77777777" w:rsidR="0042338E" w:rsidRPr="00657E8C" w:rsidRDefault="0042338E" w:rsidP="00E620C7">
            <w:pPr>
              <w:pStyle w:val="ARtabletextright"/>
            </w:pPr>
            <w:r w:rsidRPr="00657E8C">
              <w:t>23</w:t>
            </w:r>
          </w:p>
        </w:tc>
        <w:tc>
          <w:tcPr>
            <w:tcW w:w="0" w:type="auto"/>
          </w:tcPr>
          <w:p w14:paraId="62D67BDB" w14:textId="77777777" w:rsidR="0042338E" w:rsidRPr="00657E8C" w:rsidRDefault="0042338E" w:rsidP="00E620C7">
            <w:pPr>
              <w:pStyle w:val="ARtabletextright"/>
            </w:pPr>
            <w:r w:rsidRPr="00657E8C">
              <w:t>9</w:t>
            </w:r>
          </w:p>
        </w:tc>
        <w:tc>
          <w:tcPr>
            <w:tcW w:w="0" w:type="auto"/>
          </w:tcPr>
          <w:p w14:paraId="595A71B3" w14:textId="77777777" w:rsidR="0042338E" w:rsidRPr="00657E8C" w:rsidRDefault="0042338E" w:rsidP="00E620C7">
            <w:pPr>
              <w:pStyle w:val="ARtabletextright"/>
            </w:pPr>
            <w:r w:rsidRPr="00657E8C">
              <w:t>2</w:t>
            </w:r>
          </w:p>
        </w:tc>
        <w:tc>
          <w:tcPr>
            <w:tcW w:w="0" w:type="auto"/>
          </w:tcPr>
          <w:p w14:paraId="7DC8C481" w14:textId="77777777" w:rsidR="0042338E" w:rsidRPr="00657E8C" w:rsidRDefault="0042338E" w:rsidP="00E620C7">
            <w:pPr>
              <w:pStyle w:val="ARtabletextright"/>
            </w:pPr>
            <w:r w:rsidRPr="00657E8C">
              <w:t>10.4</w:t>
            </w:r>
          </w:p>
        </w:tc>
        <w:tc>
          <w:tcPr>
            <w:tcW w:w="0" w:type="auto"/>
          </w:tcPr>
          <w:p w14:paraId="1A2778F5" w14:textId="77777777" w:rsidR="0042338E" w:rsidRPr="00657E8C" w:rsidRDefault="0042338E" w:rsidP="00E620C7">
            <w:pPr>
              <w:pStyle w:val="ARtabletextright"/>
            </w:pPr>
            <w:r w:rsidRPr="00657E8C">
              <w:t>13</w:t>
            </w:r>
          </w:p>
        </w:tc>
        <w:tc>
          <w:tcPr>
            <w:tcW w:w="0" w:type="auto"/>
          </w:tcPr>
          <w:p w14:paraId="77581EA6" w14:textId="77777777" w:rsidR="0042338E" w:rsidRPr="00657E8C" w:rsidRDefault="0042338E" w:rsidP="00E620C7">
            <w:pPr>
              <w:pStyle w:val="ARtabletextright"/>
            </w:pPr>
            <w:r w:rsidRPr="00657E8C">
              <w:t>12.6</w:t>
            </w:r>
          </w:p>
        </w:tc>
        <w:tc>
          <w:tcPr>
            <w:tcW w:w="0" w:type="auto"/>
          </w:tcPr>
          <w:p w14:paraId="0A9CC9BC" w14:textId="77777777" w:rsidR="0042338E" w:rsidRPr="00657E8C" w:rsidRDefault="0042338E" w:rsidP="00E620C7">
            <w:pPr>
              <w:pStyle w:val="ARtabletextright"/>
            </w:pPr>
            <w:r w:rsidRPr="00657E8C">
              <w:t>24</w:t>
            </w:r>
          </w:p>
        </w:tc>
        <w:tc>
          <w:tcPr>
            <w:tcW w:w="0" w:type="auto"/>
          </w:tcPr>
          <w:p w14:paraId="3BF3D57D" w14:textId="77777777" w:rsidR="0042338E" w:rsidRPr="00657E8C" w:rsidRDefault="0042338E" w:rsidP="00E620C7">
            <w:pPr>
              <w:pStyle w:val="ARtabletextright"/>
            </w:pPr>
            <w:r w:rsidRPr="00657E8C">
              <w:t>22.6</w:t>
            </w:r>
          </w:p>
        </w:tc>
        <w:tc>
          <w:tcPr>
            <w:tcW w:w="0" w:type="auto"/>
          </w:tcPr>
          <w:p w14:paraId="1451EBFD" w14:textId="77777777" w:rsidR="0042338E" w:rsidRPr="00657E8C" w:rsidRDefault="0042338E" w:rsidP="00E620C7">
            <w:pPr>
              <w:pStyle w:val="ARtabletextright"/>
            </w:pPr>
            <w:r w:rsidRPr="00657E8C">
              <w:t>13</w:t>
            </w:r>
          </w:p>
        </w:tc>
        <w:tc>
          <w:tcPr>
            <w:tcW w:w="0" w:type="auto"/>
          </w:tcPr>
          <w:p w14:paraId="25D6F8A4" w14:textId="77777777" w:rsidR="0042338E" w:rsidRPr="00657E8C" w:rsidRDefault="0042338E" w:rsidP="00E620C7">
            <w:pPr>
              <w:pStyle w:val="ARtabletextright"/>
            </w:pPr>
            <w:r w:rsidRPr="00657E8C">
              <w:t>1</w:t>
            </w:r>
          </w:p>
        </w:tc>
        <w:tc>
          <w:tcPr>
            <w:tcW w:w="0" w:type="auto"/>
          </w:tcPr>
          <w:p w14:paraId="430D7A1A" w14:textId="77777777" w:rsidR="0042338E" w:rsidRPr="00657E8C" w:rsidRDefault="0042338E" w:rsidP="00E620C7">
            <w:pPr>
              <w:pStyle w:val="ARtabletextright"/>
            </w:pPr>
            <w:r w:rsidRPr="00657E8C">
              <w:t>12.6</w:t>
            </w:r>
          </w:p>
        </w:tc>
        <w:tc>
          <w:tcPr>
            <w:tcW w:w="0" w:type="auto"/>
          </w:tcPr>
          <w:p w14:paraId="77121F11" w14:textId="77777777" w:rsidR="0042338E" w:rsidRPr="00657E8C" w:rsidRDefault="0042338E" w:rsidP="00E620C7">
            <w:pPr>
              <w:pStyle w:val="ARtabletextright"/>
            </w:pPr>
            <w:r w:rsidRPr="00657E8C">
              <w:t>10</w:t>
            </w:r>
          </w:p>
        </w:tc>
        <w:tc>
          <w:tcPr>
            <w:tcW w:w="0" w:type="auto"/>
          </w:tcPr>
          <w:p w14:paraId="0D3ED766" w14:textId="77777777" w:rsidR="0042338E" w:rsidRPr="00657E8C" w:rsidRDefault="0042338E" w:rsidP="00E620C7">
            <w:pPr>
              <w:pStyle w:val="ARtabletextright"/>
            </w:pPr>
            <w:r w:rsidRPr="00657E8C">
              <w:t>10</w:t>
            </w:r>
          </w:p>
        </w:tc>
      </w:tr>
      <w:tr w:rsidR="0042338E" w:rsidRPr="00657E8C" w14:paraId="09C554B6" w14:textId="77777777" w:rsidTr="00F16145">
        <w:trPr>
          <w:gridAfter w:val="1"/>
          <w:wAfter w:w="15" w:type="dxa"/>
        </w:trPr>
        <w:tc>
          <w:tcPr>
            <w:tcW w:w="1696" w:type="dxa"/>
          </w:tcPr>
          <w:p w14:paraId="5112FF13" w14:textId="77777777" w:rsidR="0042338E" w:rsidRPr="00657E8C" w:rsidRDefault="0042338E" w:rsidP="00E620C7">
            <w:pPr>
              <w:pStyle w:val="ARtabletext"/>
            </w:pPr>
            <w:r w:rsidRPr="00657E8C">
              <w:t xml:space="preserve">SMA </w:t>
            </w:r>
          </w:p>
        </w:tc>
        <w:tc>
          <w:tcPr>
            <w:tcW w:w="0" w:type="auto"/>
          </w:tcPr>
          <w:p w14:paraId="60D069F8" w14:textId="77777777" w:rsidR="0042338E" w:rsidRPr="00657E8C" w:rsidRDefault="0042338E" w:rsidP="00E620C7">
            <w:pPr>
              <w:pStyle w:val="ARtabletextright"/>
            </w:pPr>
            <w:r w:rsidRPr="00657E8C">
              <w:t>37</w:t>
            </w:r>
          </w:p>
        </w:tc>
        <w:tc>
          <w:tcPr>
            <w:tcW w:w="0" w:type="auto"/>
          </w:tcPr>
          <w:p w14:paraId="367E48C7" w14:textId="77777777" w:rsidR="0042338E" w:rsidRPr="00657E8C" w:rsidRDefault="0042338E" w:rsidP="00E620C7">
            <w:pPr>
              <w:pStyle w:val="ARtabletextright"/>
            </w:pPr>
            <w:r w:rsidRPr="00657E8C">
              <w:t>35.3</w:t>
            </w:r>
          </w:p>
        </w:tc>
        <w:tc>
          <w:tcPr>
            <w:tcW w:w="0" w:type="auto"/>
          </w:tcPr>
          <w:p w14:paraId="25BAD389" w14:textId="77777777" w:rsidR="0042338E" w:rsidRPr="00657E8C" w:rsidRDefault="0042338E" w:rsidP="00E620C7">
            <w:pPr>
              <w:pStyle w:val="ARtabletextright"/>
            </w:pPr>
            <w:r w:rsidRPr="00657E8C">
              <w:t>17</w:t>
            </w:r>
          </w:p>
        </w:tc>
        <w:tc>
          <w:tcPr>
            <w:tcW w:w="0" w:type="auto"/>
          </w:tcPr>
          <w:p w14:paraId="0B51EF10" w14:textId="77777777" w:rsidR="0042338E" w:rsidRPr="00657E8C" w:rsidRDefault="0042338E" w:rsidP="00E620C7">
            <w:pPr>
              <w:pStyle w:val="ARtabletextright"/>
            </w:pPr>
            <w:r w:rsidRPr="00657E8C">
              <w:t>1</w:t>
            </w:r>
          </w:p>
        </w:tc>
        <w:tc>
          <w:tcPr>
            <w:tcW w:w="0" w:type="auto"/>
          </w:tcPr>
          <w:p w14:paraId="614CE671" w14:textId="77777777" w:rsidR="0042338E" w:rsidRPr="00657E8C" w:rsidRDefault="0042338E" w:rsidP="00E620C7">
            <w:pPr>
              <w:pStyle w:val="ARtabletextright"/>
            </w:pPr>
            <w:r w:rsidRPr="00657E8C">
              <w:t>17.8</w:t>
            </w:r>
          </w:p>
        </w:tc>
        <w:tc>
          <w:tcPr>
            <w:tcW w:w="0" w:type="auto"/>
          </w:tcPr>
          <w:p w14:paraId="5E316EA4" w14:textId="77777777" w:rsidR="0042338E" w:rsidRPr="00657E8C" w:rsidRDefault="0042338E" w:rsidP="00E620C7">
            <w:pPr>
              <w:pStyle w:val="ARtabletextright"/>
            </w:pPr>
            <w:r w:rsidRPr="00657E8C">
              <w:t>19</w:t>
            </w:r>
          </w:p>
        </w:tc>
        <w:tc>
          <w:tcPr>
            <w:tcW w:w="0" w:type="auto"/>
          </w:tcPr>
          <w:p w14:paraId="296E7181" w14:textId="77777777" w:rsidR="0042338E" w:rsidRPr="00657E8C" w:rsidRDefault="0042338E" w:rsidP="00E620C7">
            <w:pPr>
              <w:pStyle w:val="ARtabletextright"/>
            </w:pPr>
            <w:r w:rsidRPr="00657E8C">
              <w:t>17.5</w:t>
            </w:r>
          </w:p>
        </w:tc>
        <w:tc>
          <w:tcPr>
            <w:tcW w:w="0" w:type="auto"/>
          </w:tcPr>
          <w:p w14:paraId="0D05393C" w14:textId="77777777" w:rsidR="0042338E" w:rsidRPr="00657E8C" w:rsidRDefault="0042338E" w:rsidP="00E620C7">
            <w:pPr>
              <w:pStyle w:val="ARtabletextright"/>
            </w:pPr>
            <w:r w:rsidRPr="00657E8C">
              <w:t>45</w:t>
            </w:r>
          </w:p>
        </w:tc>
        <w:tc>
          <w:tcPr>
            <w:tcW w:w="0" w:type="auto"/>
          </w:tcPr>
          <w:p w14:paraId="1C715E55" w14:textId="77777777" w:rsidR="0042338E" w:rsidRPr="00657E8C" w:rsidRDefault="0042338E" w:rsidP="00E620C7">
            <w:pPr>
              <w:pStyle w:val="ARtabletextright"/>
            </w:pPr>
            <w:r w:rsidRPr="00657E8C">
              <w:t>44.4</w:t>
            </w:r>
          </w:p>
        </w:tc>
        <w:tc>
          <w:tcPr>
            <w:tcW w:w="0" w:type="auto"/>
          </w:tcPr>
          <w:p w14:paraId="443CAACF" w14:textId="77777777" w:rsidR="0042338E" w:rsidRPr="00657E8C" w:rsidRDefault="0042338E" w:rsidP="00E620C7">
            <w:pPr>
              <w:pStyle w:val="ARtabletextright"/>
            </w:pPr>
            <w:r w:rsidRPr="00657E8C">
              <w:t>21</w:t>
            </w:r>
          </w:p>
        </w:tc>
        <w:tc>
          <w:tcPr>
            <w:tcW w:w="0" w:type="auto"/>
          </w:tcPr>
          <w:p w14:paraId="6671AF6C" w14:textId="77777777" w:rsidR="0042338E" w:rsidRPr="00657E8C" w:rsidRDefault="0042338E" w:rsidP="00E620C7">
            <w:pPr>
              <w:pStyle w:val="ARtabletextright"/>
            </w:pPr>
            <w:r w:rsidRPr="00657E8C">
              <w:t>1</w:t>
            </w:r>
          </w:p>
        </w:tc>
        <w:tc>
          <w:tcPr>
            <w:tcW w:w="0" w:type="auto"/>
          </w:tcPr>
          <w:p w14:paraId="3263B57A" w14:textId="77777777" w:rsidR="0042338E" w:rsidRPr="00657E8C" w:rsidRDefault="0042338E" w:rsidP="00E620C7">
            <w:pPr>
              <w:pStyle w:val="ARtabletextright"/>
            </w:pPr>
            <w:r w:rsidRPr="00657E8C">
              <w:t>21.8</w:t>
            </w:r>
          </w:p>
        </w:tc>
        <w:tc>
          <w:tcPr>
            <w:tcW w:w="0" w:type="auto"/>
          </w:tcPr>
          <w:p w14:paraId="3635CABC" w14:textId="77777777" w:rsidR="0042338E" w:rsidRPr="00657E8C" w:rsidRDefault="0042338E" w:rsidP="00E620C7">
            <w:pPr>
              <w:pStyle w:val="ARtabletextright"/>
            </w:pPr>
            <w:r w:rsidRPr="00657E8C">
              <w:t>23</w:t>
            </w:r>
          </w:p>
        </w:tc>
        <w:tc>
          <w:tcPr>
            <w:tcW w:w="0" w:type="auto"/>
          </w:tcPr>
          <w:p w14:paraId="48AF57BA" w14:textId="77777777" w:rsidR="0042338E" w:rsidRPr="00657E8C" w:rsidRDefault="0042338E" w:rsidP="00E620C7">
            <w:pPr>
              <w:pStyle w:val="ARtabletextright"/>
            </w:pPr>
            <w:r w:rsidRPr="00657E8C">
              <w:t>22.6</w:t>
            </w:r>
          </w:p>
        </w:tc>
      </w:tr>
      <w:tr w:rsidR="0042338E" w:rsidRPr="00657E8C" w14:paraId="42968E7E" w14:textId="77777777" w:rsidTr="00F16145">
        <w:trPr>
          <w:gridAfter w:val="1"/>
          <w:wAfter w:w="15" w:type="dxa"/>
        </w:trPr>
        <w:tc>
          <w:tcPr>
            <w:tcW w:w="1696" w:type="dxa"/>
          </w:tcPr>
          <w:p w14:paraId="724F914C" w14:textId="77777777" w:rsidR="0042338E" w:rsidRPr="00657E8C" w:rsidRDefault="0042338E" w:rsidP="00E620C7">
            <w:pPr>
              <w:pStyle w:val="ARtabletext"/>
            </w:pPr>
            <w:r w:rsidRPr="00657E8C">
              <w:t>Executives</w:t>
            </w:r>
          </w:p>
        </w:tc>
        <w:tc>
          <w:tcPr>
            <w:tcW w:w="0" w:type="auto"/>
          </w:tcPr>
          <w:p w14:paraId="7185FFE0" w14:textId="77777777" w:rsidR="0042338E" w:rsidRPr="00657E8C" w:rsidRDefault="0042338E" w:rsidP="00E620C7">
            <w:pPr>
              <w:pStyle w:val="ARtabletextright"/>
            </w:pPr>
            <w:r w:rsidRPr="00657E8C">
              <w:t>184</w:t>
            </w:r>
          </w:p>
        </w:tc>
        <w:tc>
          <w:tcPr>
            <w:tcW w:w="0" w:type="auto"/>
          </w:tcPr>
          <w:p w14:paraId="3CB62A8A" w14:textId="77777777" w:rsidR="0042338E" w:rsidRPr="00657E8C" w:rsidRDefault="0042338E" w:rsidP="00E620C7">
            <w:pPr>
              <w:pStyle w:val="ARtabletextright"/>
            </w:pPr>
            <w:r w:rsidRPr="00657E8C">
              <w:t>183</w:t>
            </w:r>
          </w:p>
        </w:tc>
        <w:tc>
          <w:tcPr>
            <w:tcW w:w="0" w:type="auto"/>
          </w:tcPr>
          <w:p w14:paraId="338AB4D8" w14:textId="77777777" w:rsidR="0042338E" w:rsidRPr="00657E8C" w:rsidRDefault="0042338E" w:rsidP="00E620C7">
            <w:pPr>
              <w:pStyle w:val="ARtabletextright"/>
            </w:pPr>
            <w:r w:rsidRPr="00657E8C">
              <w:t>178</w:t>
            </w:r>
          </w:p>
        </w:tc>
        <w:tc>
          <w:tcPr>
            <w:tcW w:w="0" w:type="auto"/>
          </w:tcPr>
          <w:p w14:paraId="6B488B99" w14:textId="77777777" w:rsidR="0042338E" w:rsidRPr="00657E8C" w:rsidRDefault="0042338E" w:rsidP="00E620C7">
            <w:pPr>
              <w:pStyle w:val="ARtabletextright"/>
            </w:pPr>
            <w:r w:rsidRPr="00657E8C">
              <w:t>6</w:t>
            </w:r>
          </w:p>
        </w:tc>
        <w:tc>
          <w:tcPr>
            <w:tcW w:w="0" w:type="auto"/>
          </w:tcPr>
          <w:p w14:paraId="59205136" w14:textId="77777777" w:rsidR="0042338E" w:rsidRPr="00657E8C" w:rsidRDefault="0042338E" w:rsidP="00E620C7">
            <w:pPr>
              <w:pStyle w:val="ARtabletextright"/>
            </w:pPr>
            <w:r w:rsidRPr="00657E8C">
              <w:t>183</w:t>
            </w:r>
          </w:p>
        </w:tc>
        <w:tc>
          <w:tcPr>
            <w:tcW w:w="0" w:type="auto"/>
          </w:tcPr>
          <w:p w14:paraId="47D85C5C" w14:textId="77777777" w:rsidR="0042338E" w:rsidRPr="00657E8C" w:rsidRDefault="0042338E" w:rsidP="00E620C7">
            <w:pPr>
              <w:pStyle w:val="ARtabletextright"/>
            </w:pPr>
            <w:r w:rsidRPr="00657E8C">
              <w:t>0</w:t>
            </w:r>
          </w:p>
        </w:tc>
        <w:tc>
          <w:tcPr>
            <w:tcW w:w="0" w:type="auto"/>
          </w:tcPr>
          <w:p w14:paraId="525C03CC" w14:textId="77777777" w:rsidR="0042338E" w:rsidRPr="00657E8C" w:rsidRDefault="0042338E" w:rsidP="00E620C7">
            <w:pPr>
              <w:pStyle w:val="ARtabletextright"/>
            </w:pPr>
            <w:r w:rsidRPr="00657E8C">
              <w:t>0</w:t>
            </w:r>
          </w:p>
        </w:tc>
        <w:tc>
          <w:tcPr>
            <w:tcW w:w="0" w:type="auto"/>
          </w:tcPr>
          <w:p w14:paraId="2F0A82CD" w14:textId="77777777" w:rsidR="0042338E" w:rsidRPr="00657E8C" w:rsidRDefault="0042338E" w:rsidP="00E620C7">
            <w:pPr>
              <w:pStyle w:val="ARtabletextright"/>
            </w:pPr>
            <w:r w:rsidRPr="00657E8C">
              <w:t>163</w:t>
            </w:r>
          </w:p>
        </w:tc>
        <w:tc>
          <w:tcPr>
            <w:tcW w:w="0" w:type="auto"/>
          </w:tcPr>
          <w:p w14:paraId="4148B635" w14:textId="77777777" w:rsidR="0042338E" w:rsidRPr="00657E8C" w:rsidRDefault="0042338E" w:rsidP="00E620C7">
            <w:pPr>
              <w:pStyle w:val="ARtabletextright"/>
            </w:pPr>
            <w:r w:rsidRPr="00657E8C">
              <w:t>162.7</w:t>
            </w:r>
          </w:p>
        </w:tc>
        <w:tc>
          <w:tcPr>
            <w:tcW w:w="0" w:type="auto"/>
          </w:tcPr>
          <w:p w14:paraId="1D82F0E3" w14:textId="77777777" w:rsidR="0042338E" w:rsidRPr="00657E8C" w:rsidRDefault="0042338E" w:rsidP="00E620C7">
            <w:pPr>
              <w:pStyle w:val="ARtabletextright"/>
            </w:pPr>
            <w:r w:rsidRPr="00657E8C">
              <w:t>161</w:t>
            </w:r>
          </w:p>
        </w:tc>
        <w:tc>
          <w:tcPr>
            <w:tcW w:w="0" w:type="auto"/>
          </w:tcPr>
          <w:p w14:paraId="436001F1" w14:textId="77777777" w:rsidR="0042338E" w:rsidRPr="00657E8C" w:rsidRDefault="0042338E" w:rsidP="00E620C7">
            <w:pPr>
              <w:pStyle w:val="ARtabletextright"/>
            </w:pPr>
            <w:r w:rsidRPr="00657E8C">
              <w:t>2</w:t>
            </w:r>
          </w:p>
        </w:tc>
        <w:tc>
          <w:tcPr>
            <w:tcW w:w="0" w:type="auto"/>
          </w:tcPr>
          <w:p w14:paraId="55374D58" w14:textId="77777777" w:rsidR="0042338E" w:rsidRPr="00657E8C" w:rsidRDefault="0042338E" w:rsidP="00E620C7">
            <w:pPr>
              <w:pStyle w:val="ARtabletextright"/>
            </w:pPr>
            <w:r w:rsidRPr="00657E8C">
              <w:t>162.7</w:t>
            </w:r>
          </w:p>
        </w:tc>
        <w:tc>
          <w:tcPr>
            <w:tcW w:w="0" w:type="auto"/>
          </w:tcPr>
          <w:p w14:paraId="459F1E28" w14:textId="77777777" w:rsidR="0042338E" w:rsidRPr="00657E8C" w:rsidRDefault="0042338E" w:rsidP="00E620C7">
            <w:pPr>
              <w:pStyle w:val="ARtabletextright"/>
            </w:pPr>
            <w:r w:rsidRPr="00657E8C">
              <w:t>0</w:t>
            </w:r>
          </w:p>
        </w:tc>
        <w:tc>
          <w:tcPr>
            <w:tcW w:w="0" w:type="auto"/>
          </w:tcPr>
          <w:p w14:paraId="0454C1AC" w14:textId="77777777" w:rsidR="0042338E" w:rsidRPr="00657E8C" w:rsidRDefault="0042338E" w:rsidP="00E620C7">
            <w:pPr>
              <w:pStyle w:val="ARtabletextright"/>
            </w:pPr>
            <w:r w:rsidRPr="00657E8C">
              <w:t>0</w:t>
            </w:r>
          </w:p>
        </w:tc>
      </w:tr>
      <w:tr w:rsidR="0042338E" w:rsidRPr="00657E8C" w14:paraId="7BB19EB5" w14:textId="77777777" w:rsidTr="00F16145">
        <w:trPr>
          <w:gridAfter w:val="1"/>
          <w:wAfter w:w="15" w:type="dxa"/>
        </w:trPr>
        <w:tc>
          <w:tcPr>
            <w:tcW w:w="1696" w:type="dxa"/>
          </w:tcPr>
          <w:p w14:paraId="24E55BA8" w14:textId="77777777" w:rsidR="0042338E" w:rsidRPr="00657E8C" w:rsidRDefault="0042338E" w:rsidP="00E620C7">
            <w:pPr>
              <w:pStyle w:val="ARtabletext"/>
            </w:pPr>
            <w:r w:rsidRPr="00657E8C">
              <w:t>Other</w:t>
            </w:r>
          </w:p>
        </w:tc>
        <w:tc>
          <w:tcPr>
            <w:tcW w:w="0" w:type="auto"/>
          </w:tcPr>
          <w:p w14:paraId="0DF9F461" w14:textId="77777777" w:rsidR="0042338E" w:rsidRPr="00657E8C" w:rsidRDefault="0042338E" w:rsidP="00E620C7">
            <w:pPr>
              <w:pStyle w:val="ARtabletextright"/>
            </w:pPr>
            <w:r w:rsidRPr="00657E8C">
              <w:t>198</w:t>
            </w:r>
          </w:p>
        </w:tc>
        <w:tc>
          <w:tcPr>
            <w:tcW w:w="0" w:type="auto"/>
          </w:tcPr>
          <w:p w14:paraId="4920F77E" w14:textId="77777777" w:rsidR="0042338E" w:rsidRPr="00657E8C" w:rsidRDefault="0042338E" w:rsidP="00E620C7">
            <w:pPr>
              <w:pStyle w:val="ARtabletextright"/>
            </w:pPr>
            <w:r w:rsidRPr="00657E8C">
              <w:t>155.7</w:t>
            </w:r>
          </w:p>
        </w:tc>
        <w:tc>
          <w:tcPr>
            <w:tcW w:w="0" w:type="auto"/>
          </w:tcPr>
          <w:p w14:paraId="10C376D7" w14:textId="77777777" w:rsidR="0042338E" w:rsidRPr="00657E8C" w:rsidRDefault="0042338E" w:rsidP="00E620C7">
            <w:pPr>
              <w:pStyle w:val="ARtabletextright"/>
            </w:pPr>
            <w:r w:rsidRPr="00657E8C">
              <w:t>84</w:t>
            </w:r>
          </w:p>
        </w:tc>
        <w:tc>
          <w:tcPr>
            <w:tcW w:w="0" w:type="auto"/>
          </w:tcPr>
          <w:p w14:paraId="35B2D652" w14:textId="77777777" w:rsidR="0042338E" w:rsidRPr="00657E8C" w:rsidRDefault="0042338E" w:rsidP="00E620C7">
            <w:pPr>
              <w:pStyle w:val="ARtabletextright"/>
            </w:pPr>
            <w:r w:rsidRPr="00657E8C">
              <w:t>65</w:t>
            </w:r>
          </w:p>
        </w:tc>
        <w:tc>
          <w:tcPr>
            <w:tcW w:w="0" w:type="auto"/>
          </w:tcPr>
          <w:p w14:paraId="28D4D4D1" w14:textId="77777777" w:rsidR="0042338E" w:rsidRPr="00657E8C" w:rsidRDefault="0042338E" w:rsidP="00E620C7">
            <w:pPr>
              <w:pStyle w:val="ARtabletextright"/>
            </w:pPr>
            <w:r w:rsidRPr="00657E8C">
              <w:t>121.1</w:t>
            </w:r>
          </w:p>
        </w:tc>
        <w:tc>
          <w:tcPr>
            <w:tcW w:w="0" w:type="auto"/>
          </w:tcPr>
          <w:p w14:paraId="07F52547" w14:textId="77777777" w:rsidR="0042338E" w:rsidRPr="00657E8C" w:rsidRDefault="0042338E" w:rsidP="00E620C7">
            <w:pPr>
              <w:pStyle w:val="ARtabletextright"/>
            </w:pPr>
            <w:r w:rsidRPr="00657E8C">
              <w:t>49</w:t>
            </w:r>
          </w:p>
        </w:tc>
        <w:tc>
          <w:tcPr>
            <w:tcW w:w="0" w:type="auto"/>
          </w:tcPr>
          <w:p w14:paraId="62A3D5FB" w14:textId="77777777" w:rsidR="0042338E" w:rsidRPr="00657E8C" w:rsidRDefault="0042338E" w:rsidP="00E620C7">
            <w:pPr>
              <w:pStyle w:val="ARtabletextright"/>
            </w:pPr>
            <w:r w:rsidRPr="00657E8C">
              <w:t>34.6</w:t>
            </w:r>
          </w:p>
        </w:tc>
        <w:tc>
          <w:tcPr>
            <w:tcW w:w="0" w:type="auto"/>
          </w:tcPr>
          <w:p w14:paraId="4254D912" w14:textId="77777777" w:rsidR="0042338E" w:rsidRPr="00657E8C" w:rsidRDefault="0042338E" w:rsidP="00E620C7">
            <w:pPr>
              <w:pStyle w:val="ARtabletextright"/>
            </w:pPr>
            <w:r w:rsidRPr="00657E8C">
              <w:t>149</w:t>
            </w:r>
          </w:p>
        </w:tc>
        <w:tc>
          <w:tcPr>
            <w:tcW w:w="0" w:type="auto"/>
          </w:tcPr>
          <w:p w14:paraId="4C186E0A" w14:textId="77777777" w:rsidR="0042338E" w:rsidRPr="00657E8C" w:rsidRDefault="0042338E" w:rsidP="00E620C7">
            <w:pPr>
              <w:pStyle w:val="ARtabletextright"/>
            </w:pPr>
            <w:r w:rsidRPr="00657E8C">
              <w:t>138.6</w:t>
            </w:r>
          </w:p>
        </w:tc>
        <w:tc>
          <w:tcPr>
            <w:tcW w:w="0" w:type="auto"/>
          </w:tcPr>
          <w:p w14:paraId="6042620D" w14:textId="77777777" w:rsidR="0042338E" w:rsidRPr="00657E8C" w:rsidRDefault="0042338E" w:rsidP="00E620C7">
            <w:pPr>
              <w:pStyle w:val="ARtabletextright"/>
            </w:pPr>
            <w:r w:rsidRPr="00657E8C">
              <w:t>82</w:t>
            </w:r>
          </w:p>
        </w:tc>
        <w:tc>
          <w:tcPr>
            <w:tcW w:w="0" w:type="auto"/>
          </w:tcPr>
          <w:p w14:paraId="6DB8868E" w14:textId="77777777" w:rsidR="0042338E" w:rsidRPr="00657E8C" w:rsidRDefault="0042338E" w:rsidP="00E620C7">
            <w:pPr>
              <w:pStyle w:val="ARtabletextright"/>
            </w:pPr>
            <w:r w:rsidRPr="00657E8C">
              <w:t>26</w:t>
            </w:r>
          </w:p>
        </w:tc>
        <w:tc>
          <w:tcPr>
            <w:tcW w:w="0" w:type="auto"/>
          </w:tcPr>
          <w:p w14:paraId="5B0EDCC3" w14:textId="77777777" w:rsidR="0042338E" w:rsidRPr="00657E8C" w:rsidRDefault="0042338E" w:rsidP="00E620C7">
            <w:pPr>
              <w:pStyle w:val="ARtabletextright"/>
            </w:pPr>
            <w:r w:rsidRPr="00657E8C">
              <w:t>100.2</w:t>
            </w:r>
          </w:p>
        </w:tc>
        <w:tc>
          <w:tcPr>
            <w:tcW w:w="0" w:type="auto"/>
          </w:tcPr>
          <w:p w14:paraId="64380353" w14:textId="77777777" w:rsidR="0042338E" w:rsidRPr="00657E8C" w:rsidRDefault="0042338E" w:rsidP="00E620C7">
            <w:pPr>
              <w:pStyle w:val="ARtabletextright"/>
            </w:pPr>
            <w:r w:rsidRPr="00657E8C">
              <w:t>41</w:t>
            </w:r>
          </w:p>
        </w:tc>
        <w:tc>
          <w:tcPr>
            <w:tcW w:w="0" w:type="auto"/>
          </w:tcPr>
          <w:p w14:paraId="53E462DD" w14:textId="77777777" w:rsidR="0042338E" w:rsidRPr="00657E8C" w:rsidRDefault="0042338E" w:rsidP="00E620C7">
            <w:pPr>
              <w:pStyle w:val="ARtabletextright"/>
            </w:pPr>
            <w:r w:rsidRPr="00657E8C">
              <w:t>38.4</w:t>
            </w:r>
          </w:p>
        </w:tc>
      </w:tr>
      <w:tr w:rsidR="0042338E" w:rsidRPr="00657E8C" w14:paraId="6473D984" w14:textId="77777777" w:rsidTr="00F16145">
        <w:trPr>
          <w:gridAfter w:val="1"/>
          <w:wAfter w:w="15" w:type="dxa"/>
        </w:trPr>
        <w:tc>
          <w:tcPr>
            <w:tcW w:w="1696" w:type="dxa"/>
          </w:tcPr>
          <w:p w14:paraId="68229191" w14:textId="77777777" w:rsidR="0042338E" w:rsidRPr="00657E8C" w:rsidRDefault="0042338E" w:rsidP="00E620C7">
            <w:pPr>
              <w:pStyle w:val="ARtabletext"/>
              <w:rPr>
                <w:b/>
              </w:rPr>
            </w:pPr>
            <w:r w:rsidRPr="00657E8C">
              <w:rPr>
                <w:b/>
              </w:rPr>
              <w:t>Total employees</w:t>
            </w:r>
          </w:p>
        </w:tc>
        <w:tc>
          <w:tcPr>
            <w:tcW w:w="0" w:type="auto"/>
          </w:tcPr>
          <w:p w14:paraId="113765C9" w14:textId="77777777" w:rsidR="0042338E" w:rsidRPr="00657E8C" w:rsidRDefault="0042338E" w:rsidP="00E620C7">
            <w:pPr>
              <w:pStyle w:val="ARtabletextrightbold"/>
            </w:pPr>
            <w:r w:rsidRPr="00657E8C">
              <w:t>11</w:t>
            </w:r>
            <w:r>
              <w:t>,</w:t>
            </w:r>
            <w:r w:rsidRPr="00657E8C">
              <w:t>241</w:t>
            </w:r>
          </w:p>
        </w:tc>
        <w:tc>
          <w:tcPr>
            <w:tcW w:w="0" w:type="auto"/>
          </w:tcPr>
          <w:p w14:paraId="15487809" w14:textId="77777777" w:rsidR="0042338E" w:rsidRPr="00657E8C" w:rsidRDefault="0042338E" w:rsidP="00E620C7">
            <w:pPr>
              <w:pStyle w:val="ARtabletextrightbold"/>
            </w:pPr>
            <w:r w:rsidRPr="00657E8C">
              <w:t>10</w:t>
            </w:r>
            <w:r>
              <w:t>,</w:t>
            </w:r>
            <w:r w:rsidRPr="00657E8C">
              <w:t>082.5</w:t>
            </w:r>
          </w:p>
        </w:tc>
        <w:tc>
          <w:tcPr>
            <w:tcW w:w="0" w:type="auto"/>
          </w:tcPr>
          <w:p w14:paraId="1831A499" w14:textId="77777777" w:rsidR="0042338E" w:rsidRPr="00657E8C" w:rsidRDefault="0042338E" w:rsidP="00E620C7">
            <w:pPr>
              <w:pStyle w:val="ARtabletextrightbold"/>
            </w:pPr>
            <w:r w:rsidRPr="00657E8C">
              <w:t>6</w:t>
            </w:r>
            <w:r>
              <w:t>,</w:t>
            </w:r>
            <w:r w:rsidRPr="00657E8C">
              <w:t>125</w:t>
            </w:r>
          </w:p>
        </w:tc>
        <w:tc>
          <w:tcPr>
            <w:tcW w:w="0" w:type="auto"/>
          </w:tcPr>
          <w:p w14:paraId="43844551" w14:textId="77777777" w:rsidR="0042338E" w:rsidRPr="00657E8C" w:rsidRDefault="0042338E" w:rsidP="00E620C7">
            <w:pPr>
              <w:pStyle w:val="ARtabletextrightbold"/>
            </w:pPr>
            <w:r w:rsidRPr="00657E8C">
              <w:t>2</w:t>
            </w:r>
            <w:r>
              <w:t>,</w:t>
            </w:r>
            <w:r w:rsidRPr="00657E8C">
              <w:t>550</w:t>
            </w:r>
          </w:p>
        </w:tc>
        <w:tc>
          <w:tcPr>
            <w:tcW w:w="0" w:type="auto"/>
          </w:tcPr>
          <w:p w14:paraId="4464160F" w14:textId="77777777" w:rsidR="0042338E" w:rsidRPr="00657E8C" w:rsidRDefault="0042338E" w:rsidP="00E620C7">
            <w:pPr>
              <w:pStyle w:val="ARtabletextrightbold"/>
            </w:pPr>
            <w:r w:rsidRPr="00657E8C">
              <w:t>7</w:t>
            </w:r>
            <w:r>
              <w:t>,</w:t>
            </w:r>
            <w:r w:rsidRPr="00657E8C">
              <w:t>997.4</w:t>
            </w:r>
          </w:p>
        </w:tc>
        <w:tc>
          <w:tcPr>
            <w:tcW w:w="0" w:type="auto"/>
          </w:tcPr>
          <w:p w14:paraId="4EAF0AED" w14:textId="77777777" w:rsidR="0042338E" w:rsidRPr="00657E8C" w:rsidRDefault="0042338E" w:rsidP="00E620C7">
            <w:pPr>
              <w:pStyle w:val="ARtabletextrightbold"/>
            </w:pPr>
            <w:r w:rsidRPr="00657E8C">
              <w:t>2</w:t>
            </w:r>
            <w:r>
              <w:t>,</w:t>
            </w:r>
            <w:r w:rsidRPr="00657E8C">
              <w:t>566</w:t>
            </w:r>
          </w:p>
        </w:tc>
        <w:tc>
          <w:tcPr>
            <w:tcW w:w="0" w:type="auto"/>
          </w:tcPr>
          <w:p w14:paraId="2C42F8E5" w14:textId="77777777" w:rsidR="0042338E" w:rsidRPr="00657E8C" w:rsidRDefault="0042338E" w:rsidP="00E620C7">
            <w:pPr>
              <w:pStyle w:val="ARtabletextrightbold"/>
            </w:pPr>
            <w:r w:rsidRPr="00657E8C">
              <w:t>2</w:t>
            </w:r>
            <w:r>
              <w:t>,</w:t>
            </w:r>
            <w:r w:rsidRPr="00657E8C">
              <w:t>085</w:t>
            </w:r>
          </w:p>
        </w:tc>
        <w:tc>
          <w:tcPr>
            <w:tcW w:w="0" w:type="auto"/>
          </w:tcPr>
          <w:p w14:paraId="20533805" w14:textId="77777777" w:rsidR="0042338E" w:rsidRPr="00657E8C" w:rsidRDefault="0042338E" w:rsidP="00E620C7">
            <w:pPr>
              <w:pStyle w:val="ARtabletextrightbold"/>
            </w:pPr>
            <w:r w:rsidRPr="00657E8C">
              <w:t>13</w:t>
            </w:r>
            <w:r>
              <w:t>,</w:t>
            </w:r>
            <w:r w:rsidRPr="00657E8C">
              <w:t>815</w:t>
            </w:r>
          </w:p>
        </w:tc>
        <w:tc>
          <w:tcPr>
            <w:tcW w:w="0" w:type="auto"/>
          </w:tcPr>
          <w:p w14:paraId="3398CE97" w14:textId="77777777" w:rsidR="0042338E" w:rsidRPr="00657E8C" w:rsidRDefault="0042338E" w:rsidP="00E620C7">
            <w:pPr>
              <w:pStyle w:val="ARtabletextrightbold"/>
            </w:pPr>
            <w:r w:rsidRPr="00657E8C">
              <w:t>12</w:t>
            </w:r>
            <w:r>
              <w:t>,</w:t>
            </w:r>
            <w:r w:rsidRPr="00657E8C">
              <w:t>100.5</w:t>
            </w:r>
          </w:p>
        </w:tc>
        <w:tc>
          <w:tcPr>
            <w:tcW w:w="0" w:type="auto"/>
          </w:tcPr>
          <w:p w14:paraId="083A483B" w14:textId="77777777" w:rsidR="0042338E" w:rsidRPr="00657E8C" w:rsidRDefault="0042338E" w:rsidP="00E620C7">
            <w:pPr>
              <w:pStyle w:val="ARtabletextrightbold"/>
            </w:pPr>
            <w:r w:rsidRPr="00657E8C">
              <w:t>6</w:t>
            </w:r>
            <w:r>
              <w:t>,</w:t>
            </w:r>
            <w:r w:rsidRPr="00657E8C">
              <w:t>864</w:t>
            </w:r>
          </w:p>
        </w:tc>
        <w:tc>
          <w:tcPr>
            <w:tcW w:w="0" w:type="auto"/>
          </w:tcPr>
          <w:p w14:paraId="3EF1BCF3" w14:textId="77777777" w:rsidR="0042338E" w:rsidRPr="00657E8C" w:rsidRDefault="0042338E" w:rsidP="00E620C7">
            <w:pPr>
              <w:pStyle w:val="ARtabletextrightbold"/>
            </w:pPr>
            <w:r w:rsidRPr="00657E8C">
              <w:t>3</w:t>
            </w:r>
            <w:r>
              <w:t>,</w:t>
            </w:r>
            <w:r w:rsidRPr="00657E8C">
              <w:t>683</w:t>
            </w:r>
          </w:p>
        </w:tc>
        <w:tc>
          <w:tcPr>
            <w:tcW w:w="0" w:type="auto"/>
          </w:tcPr>
          <w:p w14:paraId="5AEA94FC" w14:textId="77777777" w:rsidR="0042338E" w:rsidRPr="00657E8C" w:rsidRDefault="0042338E" w:rsidP="00E620C7">
            <w:pPr>
              <w:pStyle w:val="ARtabletextrightbold"/>
            </w:pPr>
            <w:r w:rsidRPr="00657E8C">
              <w:t>9</w:t>
            </w:r>
            <w:r>
              <w:t>,</w:t>
            </w:r>
            <w:r w:rsidRPr="00657E8C">
              <w:t>645.9</w:t>
            </w:r>
          </w:p>
        </w:tc>
        <w:tc>
          <w:tcPr>
            <w:tcW w:w="0" w:type="auto"/>
          </w:tcPr>
          <w:p w14:paraId="74627829" w14:textId="77777777" w:rsidR="0042338E" w:rsidRPr="00657E8C" w:rsidRDefault="0042338E" w:rsidP="00E620C7">
            <w:pPr>
              <w:pStyle w:val="ARtabletextrightbold"/>
            </w:pPr>
            <w:r w:rsidRPr="00657E8C">
              <w:t>3</w:t>
            </w:r>
            <w:r>
              <w:t>,</w:t>
            </w:r>
            <w:r w:rsidRPr="00657E8C">
              <w:t>628</w:t>
            </w:r>
          </w:p>
        </w:tc>
        <w:tc>
          <w:tcPr>
            <w:tcW w:w="0" w:type="auto"/>
          </w:tcPr>
          <w:p w14:paraId="00A8BD53" w14:textId="77777777" w:rsidR="0042338E" w:rsidRPr="00657E8C" w:rsidRDefault="0042338E" w:rsidP="00E620C7">
            <w:pPr>
              <w:pStyle w:val="ARtabletextrightbold"/>
            </w:pPr>
            <w:r w:rsidRPr="00657E8C">
              <w:t>2</w:t>
            </w:r>
            <w:r>
              <w:t>,</w:t>
            </w:r>
            <w:r w:rsidRPr="00657E8C">
              <w:t>454.6</w:t>
            </w:r>
          </w:p>
        </w:tc>
      </w:tr>
    </w:tbl>
    <w:p w14:paraId="423D74E9" w14:textId="77777777" w:rsidR="008D124E" w:rsidRDefault="00F17551" w:rsidP="00F17551">
      <w:pPr>
        <w:pStyle w:val="ARtablefootnote"/>
      </w:pPr>
      <w:bookmarkStart w:id="131" w:name="_Ref492894739"/>
      <w:bookmarkEnd w:id="129"/>
      <w:bookmarkEnd w:id="130"/>
      <w:r w:rsidRPr="00657E8C">
        <w:t>Notes:</w:t>
      </w:r>
    </w:p>
    <w:p w14:paraId="21A4375F" w14:textId="5E14FBC9" w:rsidR="001673BF" w:rsidRDefault="001673BF" w:rsidP="00F17551">
      <w:pPr>
        <w:pStyle w:val="ARtablefootnote"/>
      </w:pPr>
      <w:r>
        <w:t>na = not available</w:t>
      </w:r>
    </w:p>
    <w:p w14:paraId="1B4144F2" w14:textId="17AEA2B2" w:rsidR="00F17551" w:rsidRPr="00657E8C" w:rsidRDefault="00F17551" w:rsidP="00F17551">
      <w:pPr>
        <w:pStyle w:val="ARtablefootnote"/>
      </w:pPr>
      <w:r w:rsidRPr="00657E8C">
        <w:t xml:space="preserve">Rounding errors may be present in FTE tables due to data being formatted to </w:t>
      </w:r>
      <w:r w:rsidR="00617EBE">
        <w:t>one</w:t>
      </w:r>
      <w:r w:rsidR="00617EBE" w:rsidRPr="00657E8C">
        <w:t xml:space="preserve"> </w:t>
      </w:r>
      <w:r w:rsidRPr="00657E8C">
        <w:t>decimal place.</w:t>
      </w:r>
    </w:p>
    <w:p w14:paraId="31FEB1D6" w14:textId="77777777" w:rsidR="00F17551" w:rsidRDefault="00F17551" w:rsidP="00F17551">
      <w:pPr>
        <w:pStyle w:val="ARtablefootnote"/>
      </w:pPr>
      <w:r w:rsidRPr="00657E8C">
        <w:t>Commission for Children and Young People and Respect Victoria data included in this table.</w:t>
      </w:r>
    </w:p>
    <w:p w14:paraId="12F921E2" w14:textId="77777777" w:rsidR="005C50EA" w:rsidRPr="00657E8C" w:rsidRDefault="005C50EA" w:rsidP="00F17551">
      <w:pPr>
        <w:pStyle w:val="ARtablefootnote"/>
      </w:pPr>
      <w:r w:rsidRPr="005C50EA">
        <w:t>Victorian Health and Human Services Building Authority data included in this table.</w:t>
      </w:r>
    </w:p>
    <w:p w14:paraId="7A9584FC" w14:textId="77777777" w:rsidR="00F17551" w:rsidRPr="00657E8C" w:rsidRDefault="00F17551" w:rsidP="00F17551">
      <w:pPr>
        <w:pStyle w:val="ARtablefootnote"/>
      </w:pPr>
      <w:r w:rsidRPr="00657E8C">
        <w:t>Approximately 3</w:t>
      </w:r>
      <w:r w:rsidR="00617EBE">
        <w:t>,</w:t>
      </w:r>
      <w:r w:rsidRPr="00657E8C">
        <w:t>100 service delivery staff have been seconded to private providers as part of the National Disability Insurance Scheme.</w:t>
      </w:r>
    </w:p>
    <w:p w14:paraId="551BA5FD" w14:textId="77777777" w:rsidR="00F17551" w:rsidRPr="00207BA8" w:rsidRDefault="00F17551" w:rsidP="00F17551">
      <w:pPr>
        <w:pStyle w:val="ARtablefootnote"/>
      </w:pPr>
      <w:r w:rsidRPr="00657E8C">
        <w:t xml:space="preserve">The secondments for this financial </w:t>
      </w:r>
      <w:r w:rsidRPr="008F035E">
        <w:t>year approximate</w:t>
      </w:r>
      <w:r w:rsidRPr="005620C3">
        <w:t xml:space="preserve"> </w:t>
      </w:r>
      <w:r w:rsidRPr="00207BA8">
        <w:t>2</w:t>
      </w:r>
      <w:r w:rsidR="00617EBE" w:rsidRPr="00207BA8">
        <w:t>,</w:t>
      </w:r>
      <w:r w:rsidRPr="00207BA8">
        <w:t>299.4 FTE (based on actual FTE, net FTE difference between these two financial years).</w:t>
      </w:r>
    </w:p>
    <w:p w14:paraId="20BBD139" w14:textId="77777777" w:rsidR="00F17551" w:rsidRPr="00657E8C" w:rsidRDefault="00F17551" w:rsidP="00F17551">
      <w:pPr>
        <w:pStyle w:val="ARtablefootnote"/>
      </w:pPr>
      <w:r w:rsidRPr="00207BA8">
        <w:t>Secondments will continue during this financial</w:t>
      </w:r>
      <w:r w:rsidRPr="00657E8C">
        <w:t xml:space="preserve"> year.</w:t>
      </w:r>
    </w:p>
    <w:p w14:paraId="60564A47" w14:textId="77777777" w:rsidR="00F17551" w:rsidRPr="00657E8C" w:rsidRDefault="00617EBE" w:rsidP="00F17551">
      <w:pPr>
        <w:pStyle w:val="ARtablefootnote"/>
      </w:pPr>
      <w:r>
        <w:t>‘</w:t>
      </w:r>
      <w:r w:rsidR="00F17551" w:rsidRPr="00657E8C">
        <w:t>Other</w:t>
      </w:r>
      <w:r>
        <w:t>’</w:t>
      </w:r>
      <w:r w:rsidRPr="00657E8C">
        <w:t xml:space="preserve"> </w:t>
      </w:r>
      <w:r w:rsidR="00F17551" w:rsidRPr="00657E8C">
        <w:t xml:space="preserve">classification group may include </w:t>
      </w:r>
      <w:r w:rsidRPr="00657E8C">
        <w:t>solicitors, nurses, trade assistants, scientists, external auditors</w:t>
      </w:r>
      <w:r w:rsidR="00F17551" w:rsidRPr="00657E8C">
        <w:t>.</w:t>
      </w:r>
    </w:p>
    <w:p w14:paraId="696C6613" w14:textId="77777777" w:rsidR="00985BCE" w:rsidRPr="00657E8C" w:rsidRDefault="00985BCE" w:rsidP="00F17551">
      <w:pPr>
        <w:pStyle w:val="Heading3"/>
        <w:sectPr w:rsidR="00985BCE" w:rsidRPr="00657E8C" w:rsidSect="002652A6">
          <w:footerReference w:type="even" r:id="rId110"/>
          <w:footerReference w:type="default" r:id="rId111"/>
          <w:pgSz w:w="16838" w:h="11906" w:orient="landscape" w:code="9"/>
          <w:pgMar w:top="1418" w:right="1985" w:bottom="1418" w:left="851" w:header="851" w:footer="851" w:gutter="0"/>
          <w:cols w:space="708"/>
          <w:docGrid w:linePitch="360"/>
        </w:sectPr>
      </w:pPr>
    </w:p>
    <w:p w14:paraId="7E94D066" w14:textId="30970BF2" w:rsidR="00F17551" w:rsidRPr="00657E8C" w:rsidRDefault="00F17551" w:rsidP="009031E7">
      <w:pPr>
        <w:pStyle w:val="Heading3"/>
        <w:spacing w:before="0"/>
      </w:pPr>
      <w:r w:rsidRPr="00657E8C">
        <w:t>Annualised total salary, by $20</w:t>
      </w:r>
      <w:r w:rsidR="00617EBE">
        <w:t>,</w:t>
      </w:r>
      <w:r w:rsidRPr="00657E8C">
        <w:t>000 bands, for executives and other senior non-executive staff</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699"/>
        <w:gridCol w:w="1418"/>
        <w:gridCol w:w="1134"/>
        <w:gridCol w:w="1134"/>
        <w:gridCol w:w="1134"/>
        <w:gridCol w:w="1134"/>
        <w:gridCol w:w="992"/>
      </w:tblGrid>
      <w:tr w:rsidR="00F17551" w:rsidRPr="00657E8C" w14:paraId="60C561E9" w14:textId="77777777" w:rsidTr="00F17551">
        <w:trPr>
          <w:cantSplit/>
          <w:tblHeader/>
        </w:trPr>
        <w:tc>
          <w:tcPr>
            <w:tcW w:w="1399" w:type="pct"/>
            <w:shd w:val="clear" w:color="auto" w:fill="auto"/>
          </w:tcPr>
          <w:p w14:paraId="2E0BCFAB" w14:textId="77777777" w:rsidR="00F17551" w:rsidRPr="00657E8C" w:rsidRDefault="00F17551" w:rsidP="00F17551">
            <w:pPr>
              <w:pStyle w:val="ARtablecolhead"/>
            </w:pPr>
            <w:r w:rsidRPr="00657E8C">
              <w:t>Income band (salary)</w:t>
            </w:r>
          </w:p>
        </w:tc>
        <w:tc>
          <w:tcPr>
            <w:tcW w:w="735" w:type="pct"/>
            <w:tcBorders>
              <w:top w:val="nil"/>
            </w:tcBorders>
            <w:shd w:val="clear" w:color="auto" w:fill="auto"/>
            <w:vAlign w:val="bottom"/>
          </w:tcPr>
          <w:p w14:paraId="162A9B48" w14:textId="77777777" w:rsidR="00F17551" w:rsidRPr="00657E8C" w:rsidRDefault="00F17551" w:rsidP="00F17551">
            <w:pPr>
              <w:pStyle w:val="ARtablecolheadright"/>
            </w:pPr>
            <w:r w:rsidRPr="00657E8C">
              <w:t>Executives</w:t>
            </w:r>
          </w:p>
        </w:tc>
        <w:tc>
          <w:tcPr>
            <w:tcW w:w="588" w:type="pct"/>
            <w:tcBorders>
              <w:top w:val="nil"/>
            </w:tcBorders>
            <w:shd w:val="clear" w:color="auto" w:fill="auto"/>
            <w:vAlign w:val="bottom"/>
          </w:tcPr>
          <w:p w14:paraId="7B93C98E" w14:textId="77777777" w:rsidR="00F17551" w:rsidRPr="00657E8C" w:rsidRDefault="00F17551" w:rsidP="00F17551">
            <w:pPr>
              <w:pStyle w:val="ARtablecolheadright"/>
            </w:pPr>
            <w:r w:rsidRPr="00657E8C">
              <w:t>STS</w:t>
            </w:r>
          </w:p>
        </w:tc>
        <w:tc>
          <w:tcPr>
            <w:tcW w:w="588" w:type="pct"/>
            <w:tcBorders>
              <w:top w:val="nil"/>
            </w:tcBorders>
            <w:shd w:val="clear" w:color="auto" w:fill="auto"/>
            <w:vAlign w:val="bottom"/>
          </w:tcPr>
          <w:p w14:paraId="6FA859D3" w14:textId="77777777" w:rsidR="00F17551" w:rsidRPr="00657E8C" w:rsidRDefault="00F17551" w:rsidP="00F17551">
            <w:pPr>
              <w:pStyle w:val="ARtablecolheadright"/>
            </w:pPr>
            <w:r w:rsidRPr="00657E8C">
              <w:t>PS</w:t>
            </w:r>
          </w:p>
        </w:tc>
        <w:tc>
          <w:tcPr>
            <w:tcW w:w="588" w:type="pct"/>
            <w:tcBorders>
              <w:top w:val="nil"/>
            </w:tcBorders>
            <w:vAlign w:val="bottom"/>
          </w:tcPr>
          <w:p w14:paraId="288ADCA1" w14:textId="77777777" w:rsidR="00F17551" w:rsidRPr="00657E8C" w:rsidRDefault="00F17551" w:rsidP="00F17551">
            <w:pPr>
              <w:pStyle w:val="ARtablecolheadright"/>
            </w:pPr>
            <w:r w:rsidRPr="00657E8C">
              <w:t>SMA</w:t>
            </w:r>
          </w:p>
        </w:tc>
        <w:tc>
          <w:tcPr>
            <w:tcW w:w="588" w:type="pct"/>
            <w:tcBorders>
              <w:top w:val="nil"/>
            </w:tcBorders>
            <w:vAlign w:val="bottom"/>
          </w:tcPr>
          <w:p w14:paraId="723ED265" w14:textId="77777777" w:rsidR="00F17551" w:rsidRPr="00657E8C" w:rsidRDefault="00F17551" w:rsidP="00F17551">
            <w:pPr>
              <w:pStyle w:val="ARtablecolheadright"/>
            </w:pPr>
            <w:r w:rsidRPr="00657E8C">
              <w:t>SRA</w:t>
            </w:r>
          </w:p>
        </w:tc>
        <w:tc>
          <w:tcPr>
            <w:tcW w:w="514" w:type="pct"/>
            <w:tcBorders>
              <w:top w:val="nil"/>
            </w:tcBorders>
            <w:vAlign w:val="bottom"/>
          </w:tcPr>
          <w:p w14:paraId="6F1A5896" w14:textId="77777777" w:rsidR="00F17551" w:rsidRPr="00657E8C" w:rsidRDefault="00F17551" w:rsidP="00F17551">
            <w:pPr>
              <w:pStyle w:val="ARtablecolheadright"/>
            </w:pPr>
            <w:r w:rsidRPr="00657E8C">
              <w:t>Other</w:t>
            </w:r>
          </w:p>
        </w:tc>
      </w:tr>
      <w:tr w:rsidR="00F17551" w:rsidRPr="00657E8C" w14:paraId="4AA6B094" w14:textId="77777777" w:rsidTr="00F17551">
        <w:trPr>
          <w:cantSplit/>
        </w:trPr>
        <w:tc>
          <w:tcPr>
            <w:tcW w:w="1399" w:type="pct"/>
            <w:tcBorders>
              <w:top w:val="single" w:sz="4" w:space="0" w:color="BFBFBF"/>
              <w:bottom w:val="single" w:sz="4" w:space="0" w:color="BFBFBF"/>
            </w:tcBorders>
            <w:shd w:val="clear" w:color="auto" w:fill="auto"/>
          </w:tcPr>
          <w:p w14:paraId="0F4A0562" w14:textId="77777777" w:rsidR="00F17551" w:rsidRPr="00657E8C" w:rsidRDefault="00F17551" w:rsidP="00F17551">
            <w:pPr>
              <w:pStyle w:val="ARtabletext"/>
            </w:pPr>
            <w:r w:rsidRPr="00657E8C">
              <w:t>&lt; $160,000</w:t>
            </w:r>
          </w:p>
        </w:tc>
        <w:tc>
          <w:tcPr>
            <w:tcW w:w="735" w:type="pct"/>
            <w:tcBorders>
              <w:top w:val="single" w:sz="4" w:space="0" w:color="BFBFBF"/>
              <w:bottom w:val="single" w:sz="4" w:space="0" w:color="BFBFBF"/>
            </w:tcBorders>
            <w:shd w:val="clear" w:color="auto" w:fill="auto"/>
          </w:tcPr>
          <w:p w14:paraId="25BD3CFF"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67D9C58C"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287C6D91"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4884281F"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1103FBF1" w14:textId="77777777" w:rsidR="00F17551" w:rsidRPr="00657E8C" w:rsidRDefault="00F17551" w:rsidP="00F17551">
            <w:pPr>
              <w:pStyle w:val="ARtabletextright"/>
            </w:pPr>
          </w:p>
        </w:tc>
        <w:tc>
          <w:tcPr>
            <w:tcW w:w="514" w:type="pct"/>
            <w:tcBorders>
              <w:top w:val="single" w:sz="4" w:space="0" w:color="BFBFBF"/>
              <w:bottom w:val="single" w:sz="4" w:space="0" w:color="BFBFBF"/>
            </w:tcBorders>
          </w:tcPr>
          <w:p w14:paraId="60E4F563" w14:textId="77777777" w:rsidR="00F17551" w:rsidRPr="00657E8C" w:rsidRDefault="00F17551" w:rsidP="00F17551">
            <w:pPr>
              <w:pStyle w:val="ARtabletextright"/>
            </w:pPr>
          </w:p>
        </w:tc>
      </w:tr>
      <w:tr w:rsidR="00F17551" w:rsidRPr="00657E8C" w14:paraId="37619A79" w14:textId="77777777" w:rsidTr="00F17551">
        <w:trPr>
          <w:cantSplit/>
        </w:trPr>
        <w:tc>
          <w:tcPr>
            <w:tcW w:w="1399" w:type="pct"/>
            <w:tcBorders>
              <w:top w:val="single" w:sz="4" w:space="0" w:color="BFBFBF"/>
              <w:bottom w:val="single" w:sz="4" w:space="0" w:color="BFBFBF"/>
            </w:tcBorders>
            <w:shd w:val="clear" w:color="auto" w:fill="auto"/>
          </w:tcPr>
          <w:p w14:paraId="77D100E5" w14:textId="77777777" w:rsidR="00F17551" w:rsidRPr="00657E8C" w:rsidRDefault="00F17551" w:rsidP="00F17551">
            <w:pPr>
              <w:pStyle w:val="ARtabletext"/>
            </w:pPr>
            <w:r w:rsidRPr="00657E8C">
              <w:t>$160,000–$179,999</w:t>
            </w:r>
          </w:p>
        </w:tc>
        <w:tc>
          <w:tcPr>
            <w:tcW w:w="735" w:type="pct"/>
            <w:tcBorders>
              <w:top w:val="single" w:sz="4" w:space="0" w:color="BFBFBF"/>
              <w:bottom w:val="single" w:sz="4" w:space="0" w:color="BFBFBF"/>
            </w:tcBorders>
            <w:shd w:val="clear" w:color="auto" w:fill="auto"/>
          </w:tcPr>
          <w:p w14:paraId="281C36F2" w14:textId="77777777" w:rsidR="00F17551" w:rsidRPr="00657E8C" w:rsidRDefault="00F17551" w:rsidP="00F17551">
            <w:pPr>
              <w:pStyle w:val="ARtabletextright"/>
            </w:pPr>
            <w:r w:rsidRPr="00657E8C">
              <w:t>58</w:t>
            </w:r>
          </w:p>
        </w:tc>
        <w:tc>
          <w:tcPr>
            <w:tcW w:w="588" w:type="pct"/>
            <w:tcBorders>
              <w:top w:val="single" w:sz="4" w:space="0" w:color="BFBFBF"/>
              <w:bottom w:val="single" w:sz="4" w:space="0" w:color="BFBFBF"/>
            </w:tcBorders>
            <w:shd w:val="clear" w:color="auto" w:fill="auto"/>
          </w:tcPr>
          <w:p w14:paraId="5D74AF2A" w14:textId="77777777" w:rsidR="00F17551" w:rsidRPr="00657E8C" w:rsidRDefault="00F17551" w:rsidP="00F17551">
            <w:pPr>
              <w:pStyle w:val="ARtabletextright"/>
            </w:pPr>
            <w:r w:rsidRPr="00657E8C">
              <w:t>5</w:t>
            </w:r>
          </w:p>
        </w:tc>
        <w:tc>
          <w:tcPr>
            <w:tcW w:w="588" w:type="pct"/>
            <w:tcBorders>
              <w:top w:val="single" w:sz="4" w:space="0" w:color="BFBFBF"/>
              <w:bottom w:val="single" w:sz="4" w:space="0" w:color="BFBFBF"/>
            </w:tcBorders>
            <w:shd w:val="clear" w:color="auto" w:fill="auto"/>
          </w:tcPr>
          <w:p w14:paraId="6070C283"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60E2F6C7" w14:textId="77777777" w:rsidR="00F17551" w:rsidRPr="00657E8C" w:rsidRDefault="00F17551" w:rsidP="00F17551">
            <w:pPr>
              <w:pStyle w:val="ARtabletextright"/>
            </w:pPr>
            <w:r w:rsidRPr="00657E8C">
              <w:t>5</w:t>
            </w:r>
          </w:p>
        </w:tc>
        <w:tc>
          <w:tcPr>
            <w:tcW w:w="588" w:type="pct"/>
            <w:tcBorders>
              <w:top w:val="single" w:sz="4" w:space="0" w:color="BFBFBF"/>
              <w:bottom w:val="single" w:sz="4" w:space="0" w:color="BFBFBF"/>
            </w:tcBorders>
          </w:tcPr>
          <w:p w14:paraId="7E220C4D" w14:textId="77777777" w:rsidR="00F17551" w:rsidRPr="00657E8C" w:rsidRDefault="00F17551" w:rsidP="00F17551">
            <w:pPr>
              <w:pStyle w:val="ARtabletextright"/>
            </w:pPr>
          </w:p>
        </w:tc>
        <w:tc>
          <w:tcPr>
            <w:tcW w:w="514" w:type="pct"/>
            <w:tcBorders>
              <w:top w:val="single" w:sz="4" w:space="0" w:color="BFBFBF"/>
              <w:bottom w:val="single" w:sz="4" w:space="0" w:color="BFBFBF"/>
            </w:tcBorders>
          </w:tcPr>
          <w:p w14:paraId="7B3EE845" w14:textId="77777777" w:rsidR="00F17551" w:rsidRPr="00657E8C" w:rsidRDefault="00F17551" w:rsidP="00F17551">
            <w:pPr>
              <w:pStyle w:val="ARtabletextright"/>
            </w:pPr>
          </w:p>
        </w:tc>
      </w:tr>
      <w:tr w:rsidR="00F17551" w:rsidRPr="00657E8C" w14:paraId="1546380E" w14:textId="77777777" w:rsidTr="00F17551">
        <w:trPr>
          <w:cantSplit/>
        </w:trPr>
        <w:tc>
          <w:tcPr>
            <w:tcW w:w="1399" w:type="pct"/>
            <w:tcBorders>
              <w:top w:val="single" w:sz="4" w:space="0" w:color="BFBFBF"/>
              <w:bottom w:val="single" w:sz="4" w:space="0" w:color="BFBFBF"/>
            </w:tcBorders>
            <w:shd w:val="clear" w:color="auto" w:fill="auto"/>
          </w:tcPr>
          <w:p w14:paraId="366FF417" w14:textId="77777777" w:rsidR="00F17551" w:rsidRPr="00657E8C" w:rsidRDefault="00F17551" w:rsidP="00F17551">
            <w:pPr>
              <w:pStyle w:val="ARtabletext"/>
            </w:pPr>
            <w:r w:rsidRPr="00657E8C">
              <w:t>$180,000–$199,999</w:t>
            </w:r>
          </w:p>
        </w:tc>
        <w:tc>
          <w:tcPr>
            <w:tcW w:w="735" w:type="pct"/>
            <w:tcBorders>
              <w:top w:val="single" w:sz="4" w:space="0" w:color="BFBFBF"/>
              <w:bottom w:val="single" w:sz="4" w:space="0" w:color="BFBFBF"/>
            </w:tcBorders>
            <w:shd w:val="clear" w:color="auto" w:fill="auto"/>
          </w:tcPr>
          <w:p w14:paraId="7FF3F1EA" w14:textId="77777777" w:rsidR="00F17551" w:rsidRPr="00657E8C" w:rsidRDefault="00F17551" w:rsidP="00F17551">
            <w:pPr>
              <w:pStyle w:val="ARtabletextright"/>
            </w:pPr>
            <w:r w:rsidRPr="00657E8C">
              <w:t>39</w:t>
            </w:r>
          </w:p>
        </w:tc>
        <w:tc>
          <w:tcPr>
            <w:tcW w:w="588" w:type="pct"/>
            <w:tcBorders>
              <w:top w:val="single" w:sz="4" w:space="0" w:color="BFBFBF"/>
              <w:bottom w:val="single" w:sz="4" w:space="0" w:color="BFBFBF"/>
            </w:tcBorders>
            <w:shd w:val="clear" w:color="auto" w:fill="auto"/>
          </w:tcPr>
          <w:p w14:paraId="4C949CDC" w14:textId="77777777" w:rsidR="00F17551" w:rsidRPr="00657E8C" w:rsidRDefault="00F17551" w:rsidP="00F17551">
            <w:pPr>
              <w:pStyle w:val="ARtabletextright"/>
            </w:pPr>
            <w:r w:rsidRPr="00657E8C">
              <w:t>8</w:t>
            </w:r>
          </w:p>
        </w:tc>
        <w:tc>
          <w:tcPr>
            <w:tcW w:w="588" w:type="pct"/>
            <w:tcBorders>
              <w:top w:val="single" w:sz="4" w:space="0" w:color="BFBFBF"/>
              <w:bottom w:val="single" w:sz="4" w:space="0" w:color="BFBFBF"/>
            </w:tcBorders>
            <w:shd w:val="clear" w:color="auto" w:fill="auto"/>
          </w:tcPr>
          <w:p w14:paraId="7C5291B0"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06AC111D" w14:textId="77777777" w:rsidR="00F17551" w:rsidRPr="00657E8C" w:rsidRDefault="00F17551" w:rsidP="00F17551">
            <w:pPr>
              <w:pStyle w:val="ARtabletextright"/>
            </w:pPr>
            <w:r w:rsidRPr="00657E8C">
              <w:t>9</w:t>
            </w:r>
          </w:p>
        </w:tc>
        <w:tc>
          <w:tcPr>
            <w:tcW w:w="588" w:type="pct"/>
            <w:tcBorders>
              <w:top w:val="single" w:sz="4" w:space="0" w:color="BFBFBF"/>
              <w:bottom w:val="single" w:sz="4" w:space="0" w:color="BFBFBF"/>
            </w:tcBorders>
          </w:tcPr>
          <w:p w14:paraId="121948E6" w14:textId="77777777" w:rsidR="00F17551" w:rsidRPr="00657E8C" w:rsidRDefault="00F17551" w:rsidP="00F17551">
            <w:pPr>
              <w:pStyle w:val="ARtabletextright"/>
            </w:pPr>
          </w:p>
        </w:tc>
        <w:tc>
          <w:tcPr>
            <w:tcW w:w="514" w:type="pct"/>
            <w:tcBorders>
              <w:top w:val="single" w:sz="4" w:space="0" w:color="BFBFBF"/>
              <w:bottom w:val="single" w:sz="4" w:space="0" w:color="BFBFBF"/>
            </w:tcBorders>
          </w:tcPr>
          <w:p w14:paraId="6F0E5E58" w14:textId="77777777" w:rsidR="00F17551" w:rsidRPr="00657E8C" w:rsidRDefault="00F17551" w:rsidP="00F17551">
            <w:pPr>
              <w:pStyle w:val="ARtabletextright"/>
            </w:pPr>
          </w:p>
        </w:tc>
      </w:tr>
      <w:tr w:rsidR="00F17551" w:rsidRPr="00657E8C" w14:paraId="0117BFAA" w14:textId="77777777" w:rsidTr="00F17551">
        <w:trPr>
          <w:cantSplit/>
        </w:trPr>
        <w:tc>
          <w:tcPr>
            <w:tcW w:w="1399" w:type="pct"/>
            <w:tcBorders>
              <w:top w:val="single" w:sz="4" w:space="0" w:color="BFBFBF"/>
              <w:bottom w:val="single" w:sz="4" w:space="0" w:color="BFBFBF"/>
            </w:tcBorders>
            <w:shd w:val="clear" w:color="auto" w:fill="auto"/>
          </w:tcPr>
          <w:p w14:paraId="41E11BB8" w14:textId="77777777" w:rsidR="00F17551" w:rsidRPr="00657E8C" w:rsidRDefault="00F17551" w:rsidP="00F17551">
            <w:pPr>
              <w:pStyle w:val="ARtabletext"/>
            </w:pPr>
            <w:r w:rsidRPr="00657E8C">
              <w:t>$200,000–$219,999</w:t>
            </w:r>
          </w:p>
        </w:tc>
        <w:tc>
          <w:tcPr>
            <w:tcW w:w="735" w:type="pct"/>
            <w:tcBorders>
              <w:top w:val="single" w:sz="4" w:space="0" w:color="BFBFBF"/>
              <w:bottom w:val="single" w:sz="4" w:space="0" w:color="BFBFBF"/>
            </w:tcBorders>
            <w:shd w:val="clear" w:color="auto" w:fill="auto"/>
          </w:tcPr>
          <w:p w14:paraId="73F1493E" w14:textId="77777777" w:rsidR="00F17551" w:rsidRPr="00657E8C" w:rsidRDefault="00F17551" w:rsidP="00F17551">
            <w:pPr>
              <w:pStyle w:val="ARtabletextright"/>
            </w:pPr>
            <w:r w:rsidRPr="00657E8C">
              <w:t>41</w:t>
            </w:r>
          </w:p>
        </w:tc>
        <w:tc>
          <w:tcPr>
            <w:tcW w:w="588" w:type="pct"/>
            <w:tcBorders>
              <w:top w:val="single" w:sz="4" w:space="0" w:color="BFBFBF"/>
              <w:bottom w:val="single" w:sz="4" w:space="0" w:color="BFBFBF"/>
            </w:tcBorders>
            <w:shd w:val="clear" w:color="auto" w:fill="auto"/>
          </w:tcPr>
          <w:p w14:paraId="0A93C2D7" w14:textId="77777777" w:rsidR="00F17551" w:rsidRPr="00657E8C" w:rsidRDefault="00F17551" w:rsidP="00F17551">
            <w:pPr>
              <w:pStyle w:val="ARtabletextright"/>
            </w:pPr>
            <w:r w:rsidRPr="00657E8C">
              <w:t>11</w:t>
            </w:r>
          </w:p>
        </w:tc>
        <w:tc>
          <w:tcPr>
            <w:tcW w:w="588" w:type="pct"/>
            <w:tcBorders>
              <w:top w:val="single" w:sz="4" w:space="0" w:color="BFBFBF"/>
              <w:bottom w:val="single" w:sz="4" w:space="0" w:color="BFBFBF"/>
            </w:tcBorders>
            <w:shd w:val="clear" w:color="auto" w:fill="auto"/>
          </w:tcPr>
          <w:p w14:paraId="61A67A8F"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4AB8B297" w14:textId="77777777" w:rsidR="00F17551" w:rsidRPr="00657E8C" w:rsidRDefault="00F17551" w:rsidP="00F17551">
            <w:pPr>
              <w:pStyle w:val="ARtabletextright"/>
            </w:pPr>
            <w:r w:rsidRPr="00657E8C">
              <w:t>7</w:t>
            </w:r>
          </w:p>
        </w:tc>
        <w:tc>
          <w:tcPr>
            <w:tcW w:w="588" w:type="pct"/>
            <w:tcBorders>
              <w:top w:val="single" w:sz="4" w:space="0" w:color="BFBFBF"/>
              <w:bottom w:val="single" w:sz="4" w:space="0" w:color="BFBFBF"/>
            </w:tcBorders>
          </w:tcPr>
          <w:p w14:paraId="2AA82140" w14:textId="77777777" w:rsidR="00F17551" w:rsidRPr="00657E8C" w:rsidRDefault="00F17551" w:rsidP="00F17551">
            <w:pPr>
              <w:pStyle w:val="ARtabletextright"/>
            </w:pPr>
          </w:p>
        </w:tc>
        <w:tc>
          <w:tcPr>
            <w:tcW w:w="514" w:type="pct"/>
            <w:tcBorders>
              <w:top w:val="single" w:sz="4" w:space="0" w:color="BFBFBF"/>
              <w:bottom w:val="single" w:sz="4" w:space="0" w:color="BFBFBF"/>
            </w:tcBorders>
          </w:tcPr>
          <w:p w14:paraId="0F10584A" w14:textId="77777777" w:rsidR="00F17551" w:rsidRPr="00657E8C" w:rsidRDefault="00F17551" w:rsidP="00F17551">
            <w:pPr>
              <w:pStyle w:val="ARtabletextright"/>
            </w:pPr>
          </w:p>
        </w:tc>
      </w:tr>
      <w:tr w:rsidR="00F17551" w:rsidRPr="00657E8C" w14:paraId="2128E602" w14:textId="77777777" w:rsidTr="00F17551">
        <w:trPr>
          <w:cantSplit/>
        </w:trPr>
        <w:tc>
          <w:tcPr>
            <w:tcW w:w="1399" w:type="pct"/>
            <w:tcBorders>
              <w:top w:val="single" w:sz="4" w:space="0" w:color="BFBFBF"/>
              <w:bottom w:val="single" w:sz="4" w:space="0" w:color="BFBFBF"/>
            </w:tcBorders>
            <w:shd w:val="clear" w:color="auto" w:fill="auto"/>
          </w:tcPr>
          <w:p w14:paraId="072099C1" w14:textId="77777777" w:rsidR="00F17551" w:rsidRPr="00657E8C" w:rsidRDefault="00F17551" w:rsidP="00F17551">
            <w:pPr>
              <w:pStyle w:val="ARtabletext"/>
            </w:pPr>
            <w:r w:rsidRPr="00657E8C">
              <w:t>$220,000–$239,999</w:t>
            </w:r>
          </w:p>
        </w:tc>
        <w:tc>
          <w:tcPr>
            <w:tcW w:w="735" w:type="pct"/>
            <w:tcBorders>
              <w:top w:val="single" w:sz="4" w:space="0" w:color="BFBFBF"/>
              <w:bottom w:val="single" w:sz="4" w:space="0" w:color="BFBFBF"/>
            </w:tcBorders>
            <w:shd w:val="clear" w:color="auto" w:fill="auto"/>
          </w:tcPr>
          <w:p w14:paraId="08B72F0D" w14:textId="77777777" w:rsidR="00F17551" w:rsidRPr="00657E8C" w:rsidRDefault="00F17551" w:rsidP="00F17551">
            <w:pPr>
              <w:pStyle w:val="ARtabletextright"/>
            </w:pPr>
            <w:r w:rsidRPr="00657E8C">
              <w:t>13</w:t>
            </w:r>
          </w:p>
        </w:tc>
        <w:tc>
          <w:tcPr>
            <w:tcW w:w="588" w:type="pct"/>
            <w:tcBorders>
              <w:top w:val="single" w:sz="4" w:space="0" w:color="BFBFBF"/>
              <w:bottom w:val="single" w:sz="4" w:space="0" w:color="BFBFBF"/>
            </w:tcBorders>
            <w:shd w:val="clear" w:color="auto" w:fill="auto"/>
          </w:tcPr>
          <w:p w14:paraId="7694AB99"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4087F2AC"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3A7589E0" w14:textId="77777777" w:rsidR="00F17551" w:rsidRPr="00657E8C" w:rsidRDefault="00F17551" w:rsidP="00F17551">
            <w:pPr>
              <w:pStyle w:val="ARtabletextright"/>
            </w:pPr>
            <w:r w:rsidRPr="00657E8C">
              <w:t>13</w:t>
            </w:r>
          </w:p>
        </w:tc>
        <w:tc>
          <w:tcPr>
            <w:tcW w:w="588" w:type="pct"/>
            <w:tcBorders>
              <w:top w:val="single" w:sz="4" w:space="0" w:color="BFBFBF"/>
              <w:bottom w:val="single" w:sz="4" w:space="0" w:color="BFBFBF"/>
            </w:tcBorders>
          </w:tcPr>
          <w:p w14:paraId="4A37249A" w14:textId="77777777" w:rsidR="00F17551" w:rsidRPr="00657E8C" w:rsidRDefault="00F17551" w:rsidP="00F17551">
            <w:pPr>
              <w:pStyle w:val="ARtabletextright"/>
            </w:pPr>
          </w:p>
        </w:tc>
        <w:tc>
          <w:tcPr>
            <w:tcW w:w="514" w:type="pct"/>
            <w:tcBorders>
              <w:top w:val="single" w:sz="4" w:space="0" w:color="BFBFBF"/>
              <w:bottom w:val="single" w:sz="4" w:space="0" w:color="BFBFBF"/>
            </w:tcBorders>
          </w:tcPr>
          <w:p w14:paraId="4083F3B3" w14:textId="77777777" w:rsidR="00F17551" w:rsidRPr="00657E8C" w:rsidRDefault="00F17551" w:rsidP="00F17551">
            <w:pPr>
              <w:pStyle w:val="ARtabletextright"/>
            </w:pPr>
          </w:p>
        </w:tc>
      </w:tr>
      <w:tr w:rsidR="00F17551" w:rsidRPr="00657E8C" w14:paraId="1A6ACD74" w14:textId="77777777" w:rsidTr="00F17551">
        <w:trPr>
          <w:cantSplit/>
        </w:trPr>
        <w:tc>
          <w:tcPr>
            <w:tcW w:w="1399" w:type="pct"/>
            <w:tcBorders>
              <w:top w:val="single" w:sz="4" w:space="0" w:color="BFBFBF"/>
              <w:bottom w:val="single" w:sz="4" w:space="0" w:color="BFBFBF"/>
            </w:tcBorders>
            <w:shd w:val="clear" w:color="auto" w:fill="auto"/>
          </w:tcPr>
          <w:p w14:paraId="390C953F" w14:textId="77777777" w:rsidR="00F17551" w:rsidRPr="00657E8C" w:rsidRDefault="00F17551" w:rsidP="00F17551">
            <w:pPr>
              <w:pStyle w:val="ARtabletext"/>
            </w:pPr>
            <w:r w:rsidRPr="00657E8C">
              <w:t>$240,000–$259,999</w:t>
            </w:r>
          </w:p>
        </w:tc>
        <w:tc>
          <w:tcPr>
            <w:tcW w:w="735" w:type="pct"/>
            <w:tcBorders>
              <w:top w:val="single" w:sz="4" w:space="0" w:color="BFBFBF"/>
              <w:bottom w:val="single" w:sz="4" w:space="0" w:color="BFBFBF"/>
            </w:tcBorders>
            <w:shd w:val="clear" w:color="auto" w:fill="auto"/>
          </w:tcPr>
          <w:p w14:paraId="32C66668" w14:textId="77777777" w:rsidR="00F17551" w:rsidRPr="00657E8C" w:rsidRDefault="00F17551" w:rsidP="00F17551">
            <w:pPr>
              <w:pStyle w:val="ARtabletextright"/>
            </w:pPr>
            <w:r w:rsidRPr="00657E8C">
              <w:t>7</w:t>
            </w:r>
          </w:p>
        </w:tc>
        <w:tc>
          <w:tcPr>
            <w:tcW w:w="588" w:type="pct"/>
            <w:tcBorders>
              <w:top w:val="single" w:sz="4" w:space="0" w:color="BFBFBF"/>
              <w:bottom w:val="single" w:sz="4" w:space="0" w:color="BFBFBF"/>
            </w:tcBorders>
            <w:shd w:val="clear" w:color="auto" w:fill="auto"/>
          </w:tcPr>
          <w:p w14:paraId="0053796E"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1D6615AE"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705A67D6"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574E6ABC" w14:textId="77777777" w:rsidR="00F17551" w:rsidRPr="00657E8C" w:rsidRDefault="00F17551" w:rsidP="00F17551">
            <w:pPr>
              <w:pStyle w:val="ARtabletextright"/>
            </w:pPr>
          </w:p>
        </w:tc>
        <w:tc>
          <w:tcPr>
            <w:tcW w:w="514" w:type="pct"/>
            <w:tcBorders>
              <w:top w:val="single" w:sz="4" w:space="0" w:color="BFBFBF"/>
              <w:bottom w:val="single" w:sz="4" w:space="0" w:color="BFBFBF"/>
            </w:tcBorders>
          </w:tcPr>
          <w:p w14:paraId="7661A102" w14:textId="77777777" w:rsidR="00F17551" w:rsidRPr="00657E8C" w:rsidRDefault="00F17551" w:rsidP="00F17551">
            <w:pPr>
              <w:pStyle w:val="ARtabletextright"/>
            </w:pPr>
          </w:p>
        </w:tc>
      </w:tr>
      <w:tr w:rsidR="00F17551" w:rsidRPr="00657E8C" w14:paraId="4120F4D1" w14:textId="77777777" w:rsidTr="00F17551">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0E589B35" w14:textId="77777777" w:rsidR="00F17551" w:rsidRPr="00657E8C" w:rsidRDefault="00F17551" w:rsidP="00F17551">
            <w:pPr>
              <w:pStyle w:val="ARtabletext"/>
            </w:pPr>
            <w:r w:rsidRPr="00657E8C">
              <w:t>$260,000–$279,999</w:t>
            </w:r>
          </w:p>
        </w:tc>
        <w:tc>
          <w:tcPr>
            <w:tcW w:w="735" w:type="pct"/>
            <w:tcBorders>
              <w:top w:val="single" w:sz="4" w:space="0" w:color="BFBFBF"/>
              <w:bottom w:val="single" w:sz="4" w:space="0" w:color="BFBFBF"/>
            </w:tcBorders>
            <w:shd w:val="clear" w:color="auto" w:fill="auto"/>
          </w:tcPr>
          <w:p w14:paraId="7846FF57" w14:textId="77777777" w:rsidR="00F17551" w:rsidRPr="00657E8C" w:rsidRDefault="00F17551" w:rsidP="00F17551">
            <w:pPr>
              <w:pStyle w:val="ARtabletextright"/>
            </w:pPr>
            <w:r w:rsidRPr="00657E8C">
              <w:t>5</w:t>
            </w:r>
          </w:p>
        </w:tc>
        <w:tc>
          <w:tcPr>
            <w:tcW w:w="588" w:type="pct"/>
            <w:tcBorders>
              <w:top w:val="single" w:sz="4" w:space="0" w:color="BFBFBF"/>
              <w:bottom w:val="single" w:sz="4" w:space="0" w:color="BFBFBF"/>
            </w:tcBorders>
            <w:shd w:val="clear" w:color="auto" w:fill="auto"/>
          </w:tcPr>
          <w:p w14:paraId="56BEAA8F"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6BA216D3"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4452858D" w14:textId="77777777" w:rsidR="00F17551" w:rsidRPr="00657E8C" w:rsidRDefault="00F17551" w:rsidP="00F17551">
            <w:pPr>
              <w:pStyle w:val="ARtabletextright"/>
            </w:pPr>
            <w:r w:rsidRPr="00657E8C">
              <w:t>1</w:t>
            </w:r>
          </w:p>
        </w:tc>
        <w:tc>
          <w:tcPr>
            <w:tcW w:w="588" w:type="pct"/>
            <w:tcBorders>
              <w:top w:val="single" w:sz="4" w:space="0" w:color="BFBFBF"/>
              <w:bottom w:val="single" w:sz="4" w:space="0" w:color="BFBFBF"/>
            </w:tcBorders>
          </w:tcPr>
          <w:p w14:paraId="2CDA5774" w14:textId="77777777" w:rsidR="00F17551" w:rsidRPr="00657E8C" w:rsidRDefault="00F17551" w:rsidP="00F17551">
            <w:pPr>
              <w:pStyle w:val="ARtabletextright"/>
            </w:pPr>
          </w:p>
        </w:tc>
        <w:tc>
          <w:tcPr>
            <w:tcW w:w="514" w:type="pct"/>
            <w:tcBorders>
              <w:top w:val="single" w:sz="4" w:space="0" w:color="BFBFBF"/>
              <w:bottom w:val="single" w:sz="4" w:space="0" w:color="BFBFBF"/>
            </w:tcBorders>
          </w:tcPr>
          <w:p w14:paraId="4F59BFD4" w14:textId="77777777" w:rsidR="00F17551" w:rsidRPr="00657E8C" w:rsidRDefault="00F17551" w:rsidP="00F17551">
            <w:pPr>
              <w:pStyle w:val="ARtabletextright"/>
            </w:pPr>
          </w:p>
        </w:tc>
      </w:tr>
      <w:tr w:rsidR="00F17551" w:rsidRPr="00657E8C" w14:paraId="5BA8D689" w14:textId="77777777" w:rsidTr="00F17551">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285CD6BC" w14:textId="77777777" w:rsidR="00F17551" w:rsidRPr="00657E8C" w:rsidRDefault="00F17551" w:rsidP="00F17551">
            <w:pPr>
              <w:pStyle w:val="ARtabletext"/>
            </w:pPr>
            <w:r w:rsidRPr="00657E8C">
              <w:t>$280,000–$299,999</w:t>
            </w:r>
          </w:p>
        </w:tc>
        <w:tc>
          <w:tcPr>
            <w:tcW w:w="735" w:type="pct"/>
            <w:tcBorders>
              <w:top w:val="single" w:sz="4" w:space="0" w:color="BFBFBF"/>
              <w:bottom w:val="single" w:sz="4" w:space="0" w:color="BFBFBF"/>
            </w:tcBorders>
            <w:shd w:val="clear" w:color="auto" w:fill="auto"/>
          </w:tcPr>
          <w:p w14:paraId="0CA6B7DA" w14:textId="77777777" w:rsidR="00F17551" w:rsidRPr="00657E8C" w:rsidRDefault="00F17551" w:rsidP="00F17551">
            <w:pPr>
              <w:pStyle w:val="ARtabletextright"/>
            </w:pPr>
            <w:r w:rsidRPr="00657E8C">
              <w:t>4</w:t>
            </w:r>
          </w:p>
        </w:tc>
        <w:tc>
          <w:tcPr>
            <w:tcW w:w="588" w:type="pct"/>
            <w:tcBorders>
              <w:top w:val="single" w:sz="4" w:space="0" w:color="BFBFBF"/>
              <w:bottom w:val="single" w:sz="4" w:space="0" w:color="BFBFBF"/>
            </w:tcBorders>
            <w:shd w:val="clear" w:color="auto" w:fill="auto"/>
          </w:tcPr>
          <w:p w14:paraId="72E7D998"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43938D49"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0EA0071C" w14:textId="77777777" w:rsidR="00F17551" w:rsidRPr="00657E8C" w:rsidRDefault="00F17551" w:rsidP="00F17551">
            <w:pPr>
              <w:pStyle w:val="ARtabletextright"/>
            </w:pPr>
            <w:r w:rsidRPr="00657E8C">
              <w:t>1</w:t>
            </w:r>
          </w:p>
        </w:tc>
        <w:tc>
          <w:tcPr>
            <w:tcW w:w="588" w:type="pct"/>
            <w:tcBorders>
              <w:top w:val="single" w:sz="4" w:space="0" w:color="BFBFBF"/>
              <w:bottom w:val="single" w:sz="4" w:space="0" w:color="BFBFBF"/>
            </w:tcBorders>
          </w:tcPr>
          <w:p w14:paraId="2C3D6BA1" w14:textId="77777777" w:rsidR="00F17551" w:rsidRPr="00657E8C" w:rsidRDefault="00F17551" w:rsidP="00F17551">
            <w:pPr>
              <w:pStyle w:val="ARtabletextright"/>
            </w:pPr>
          </w:p>
        </w:tc>
        <w:tc>
          <w:tcPr>
            <w:tcW w:w="514" w:type="pct"/>
            <w:tcBorders>
              <w:top w:val="single" w:sz="4" w:space="0" w:color="BFBFBF"/>
              <w:bottom w:val="single" w:sz="4" w:space="0" w:color="BFBFBF"/>
            </w:tcBorders>
          </w:tcPr>
          <w:p w14:paraId="4B56CAA4" w14:textId="77777777" w:rsidR="00F17551" w:rsidRPr="00657E8C" w:rsidRDefault="00F17551" w:rsidP="00F17551">
            <w:pPr>
              <w:pStyle w:val="ARtabletextright"/>
            </w:pPr>
          </w:p>
        </w:tc>
      </w:tr>
      <w:tr w:rsidR="00F17551" w:rsidRPr="00657E8C" w14:paraId="1F9D01C6" w14:textId="77777777" w:rsidTr="00F17551">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773B2141" w14:textId="77777777" w:rsidR="00F17551" w:rsidRPr="00657E8C" w:rsidRDefault="00F17551" w:rsidP="00F17551">
            <w:pPr>
              <w:pStyle w:val="ARtabletext"/>
            </w:pPr>
            <w:r w:rsidRPr="00657E8C">
              <w:t>$300,000–$319,999</w:t>
            </w:r>
          </w:p>
        </w:tc>
        <w:tc>
          <w:tcPr>
            <w:tcW w:w="735" w:type="pct"/>
            <w:tcBorders>
              <w:top w:val="single" w:sz="4" w:space="0" w:color="BFBFBF"/>
              <w:bottom w:val="single" w:sz="4" w:space="0" w:color="BFBFBF"/>
            </w:tcBorders>
            <w:shd w:val="clear" w:color="auto" w:fill="auto"/>
          </w:tcPr>
          <w:p w14:paraId="3277B280" w14:textId="77777777" w:rsidR="00F17551" w:rsidRPr="00657E8C" w:rsidRDefault="00F17551" w:rsidP="00F17551">
            <w:pPr>
              <w:pStyle w:val="ARtabletextright"/>
            </w:pPr>
            <w:r w:rsidRPr="00657E8C">
              <w:t>9</w:t>
            </w:r>
          </w:p>
        </w:tc>
        <w:tc>
          <w:tcPr>
            <w:tcW w:w="588" w:type="pct"/>
            <w:tcBorders>
              <w:top w:val="single" w:sz="4" w:space="0" w:color="BFBFBF"/>
              <w:bottom w:val="single" w:sz="4" w:space="0" w:color="BFBFBF"/>
            </w:tcBorders>
            <w:shd w:val="clear" w:color="auto" w:fill="auto"/>
          </w:tcPr>
          <w:p w14:paraId="3507A3F4"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01299E1D"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34A3632D"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7B20885E" w14:textId="77777777" w:rsidR="00F17551" w:rsidRPr="00657E8C" w:rsidRDefault="00F17551" w:rsidP="00F17551">
            <w:pPr>
              <w:pStyle w:val="ARtabletextright"/>
            </w:pPr>
          </w:p>
        </w:tc>
        <w:tc>
          <w:tcPr>
            <w:tcW w:w="514" w:type="pct"/>
            <w:tcBorders>
              <w:top w:val="single" w:sz="4" w:space="0" w:color="BFBFBF"/>
              <w:bottom w:val="single" w:sz="4" w:space="0" w:color="BFBFBF"/>
            </w:tcBorders>
          </w:tcPr>
          <w:p w14:paraId="2A1C6D62" w14:textId="77777777" w:rsidR="00F17551" w:rsidRPr="00657E8C" w:rsidRDefault="00F17551" w:rsidP="00F17551">
            <w:pPr>
              <w:pStyle w:val="ARtabletextright"/>
            </w:pPr>
          </w:p>
        </w:tc>
      </w:tr>
      <w:tr w:rsidR="00F17551" w:rsidRPr="00657E8C" w14:paraId="6B8B396B" w14:textId="77777777" w:rsidTr="00F17551">
        <w:trPr>
          <w:cantSplit/>
        </w:trPr>
        <w:tc>
          <w:tcPr>
            <w:tcW w:w="1399" w:type="pct"/>
            <w:tcBorders>
              <w:top w:val="single" w:sz="4" w:space="0" w:color="BFBFBF"/>
              <w:bottom w:val="single" w:sz="4" w:space="0" w:color="BFBFBF"/>
            </w:tcBorders>
            <w:shd w:val="clear" w:color="auto" w:fill="auto"/>
          </w:tcPr>
          <w:p w14:paraId="6559D31B" w14:textId="77777777" w:rsidR="00F17551" w:rsidRPr="00657E8C" w:rsidRDefault="00F17551" w:rsidP="00F17551">
            <w:pPr>
              <w:pStyle w:val="ARtabletext"/>
            </w:pPr>
            <w:r w:rsidRPr="00657E8C">
              <w:t>$320,000–$339,999</w:t>
            </w:r>
          </w:p>
        </w:tc>
        <w:tc>
          <w:tcPr>
            <w:tcW w:w="735" w:type="pct"/>
            <w:tcBorders>
              <w:top w:val="single" w:sz="4" w:space="0" w:color="BFBFBF"/>
              <w:bottom w:val="single" w:sz="4" w:space="0" w:color="BFBFBF"/>
            </w:tcBorders>
            <w:shd w:val="clear" w:color="auto" w:fill="auto"/>
          </w:tcPr>
          <w:p w14:paraId="4204AC44" w14:textId="77777777" w:rsidR="00F17551" w:rsidRPr="00657E8C" w:rsidRDefault="00F17551" w:rsidP="00F17551">
            <w:pPr>
              <w:pStyle w:val="ARtabletextright"/>
            </w:pPr>
            <w:r w:rsidRPr="00657E8C">
              <w:t>1</w:t>
            </w:r>
          </w:p>
        </w:tc>
        <w:tc>
          <w:tcPr>
            <w:tcW w:w="588" w:type="pct"/>
            <w:tcBorders>
              <w:top w:val="single" w:sz="4" w:space="0" w:color="BFBFBF"/>
              <w:bottom w:val="single" w:sz="4" w:space="0" w:color="BFBFBF"/>
            </w:tcBorders>
            <w:shd w:val="clear" w:color="auto" w:fill="auto"/>
          </w:tcPr>
          <w:p w14:paraId="48519767"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7D2A1711"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52C3E069" w14:textId="77777777" w:rsidR="00F17551" w:rsidRPr="00657E8C" w:rsidRDefault="00F17551" w:rsidP="00F17551">
            <w:pPr>
              <w:pStyle w:val="ARtabletextright"/>
            </w:pPr>
            <w:r w:rsidRPr="00657E8C">
              <w:t>1</w:t>
            </w:r>
          </w:p>
        </w:tc>
        <w:tc>
          <w:tcPr>
            <w:tcW w:w="588" w:type="pct"/>
            <w:tcBorders>
              <w:top w:val="single" w:sz="4" w:space="0" w:color="BFBFBF"/>
              <w:bottom w:val="single" w:sz="4" w:space="0" w:color="BFBFBF"/>
            </w:tcBorders>
          </w:tcPr>
          <w:p w14:paraId="3F84F216" w14:textId="77777777" w:rsidR="00F17551" w:rsidRPr="00657E8C" w:rsidRDefault="00F17551" w:rsidP="00F17551">
            <w:pPr>
              <w:pStyle w:val="ARtabletextright"/>
            </w:pPr>
          </w:p>
        </w:tc>
        <w:tc>
          <w:tcPr>
            <w:tcW w:w="514" w:type="pct"/>
            <w:tcBorders>
              <w:top w:val="single" w:sz="4" w:space="0" w:color="BFBFBF"/>
              <w:bottom w:val="single" w:sz="4" w:space="0" w:color="BFBFBF"/>
            </w:tcBorders>
          </w:tcPr>
          <w:p w14:paraId="6A481CF1" w14:textId="77777777" w:rsidR="00F17551" w:rsidRPr="00657E8C" w:rsidRDefault="00F17551" w:rsidP="00F17551">
            <w:pPr>
              <w:pStyle w:val="ARtabletextright"/>
            </w:pPr>
          </w:p>
        </w:tc>
      </w:tr>
      <w:tr w:rsidR="00F17551" w:rsidRPr="00657E8C" w14:paraId="681DFD9D" w14:textId="77777777" w:rsidTr="00F17551">
        <w:trPr>
          <w:cantSplit/>
        </w:trPr>
        <w:tc>
          <w:tcPr>
            <w:tcW w:w="1399" w:type="pct"/>
            <w:tcBorders>
              <w:top w:val="single" w:sz="4" w:space="0" w:color="BFBFBF"/>
              <w:bottom w:val="single" w:sz="4" w:space="0" w:color="BFBFBF"/>
            </w:tcBorders>
            <w:shd w:val="clear" w:color="auto" w:fill="auto"/>
          </w:tcPr>
          <w:p w14:paraId="57269EFA" w14:textId="77777777" w:rsidR="00F17551" w:rsidRPr="00657E8C" w:rsidRDefault="00F17551" w:rsidP="00F17551">
            <w:pPr>
              <w:pStyle w:val="ARtabletext"/>
            </w:pPr>
            <w:r w:rsidRPr="00657E8C">
              <w:t>$340,000–$359,999</w:t>
            </w:r>
          </w:p>
        </w:tc>
        <w:tc>
          <w:tcPr>
            <w:tcW w:w="735" w:type="pct"/>
            <w:tcBorders>
              <w:top w:val="single" w:sz="4" w:space="0" w:color="BFBFBF"/>
              <w:bottom w:val="single" w:sz="4" w:space="0" w:color="BFBFBF"/>
            </w:tcBorders>
            <w:shd w:val="clear" w:color="auto" w:fill="auto"/>
          </w:tcPr>
          <w:p w14:paraId="7FADC63E"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489B282B"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0360C5FA"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3297BED2"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02803E35" w14:textId="77777777" w:rsidR="00F17551" w:rsidRPr="00657E8C" w:rsidRDefault="00F17551" w:rsidP="00F17551">
            <w:pPr>
              <w:pStyle w:val="ARtabletextright"/>
            </w:pPr>
          </w:p>
        </w:tc>
        <w:tc>
          <w:tcPr>
            <w:tcW w:w="514" w:type="pct"/>
            <w:tcBorders>
              <w:top w:val="single" w:sz="4" w:space="0" w:color="BFBFBF"/>
              <w:bottom w:val="single" w:sz="4" w:space="0" w:color="BFBFBF"/>
            </w:tcBorders>
          </w:tcPr>
          <w:p w14:paraId="0CDF2869" w14:textId="77777777" w:rsidR="00F17551" w:rsidRPr="00657E8C" w:rsidRDefault="00F17551" w:rsidP="00F17551">
            <w:pPr>
              <w:pStyle w:val="ARtabletextright"/>
            </w:pPr>
          </w:p>
        </w:tc>
      </w:tr>
      <w:tr w:rsidR="00F17551" w:rsidRPr="00657E8C" w14:paraId="426318F7" w14:textId="77777777" w:rsidTr="00F17551">
        <w:trPr>
          <w:cantSplit/>
        </w:trPr>
        <w:tc>
          <w:tcPr>
            <w:tcW w:w="1399" w:type="pct"/>
            <w:tcBorders>
              <w:top w:val="single" w:sz="4" w:space="0" w:color="BFBFBF"/>
              <w:bottom w:val="single" w:sz="4" w:space="0" w:color="BFBFBF"/>
            </w:tcBorders>
            <w:shd w:val="clear" w:color="auto" w:fill="auto"/>
          </w:tcPr>
          <w:p w14:paraId="61976D14" w14:textId="77777777" w:rsidR="00F17551" w:rsidRPr="00657E8C" w:rsidRDefault="00F17551" w:rsidP="00F17551">
            <w:pPr>
              <w:pStyle w:val="ARtabletext"/>
            </w:pPr>
            <w:r w:rsidRPr="00657E8C">
              <w:t>$360,000–$379,999</w:t>
            </w:r>
          </w:p>
        </w:tc>
        <w:tc>
          <w:tcPr>
            <w:tcW w:w="735" w:type="pct"/>
            <w:tcBorders>
              <w:top w:val="single" w:sz="4" w:space="0" w:color="BFBFBF"/>
              <w:bottom w:val="single" w:sz="4" w:space="0" w:color="BFBFBF"/>
            </w:tcBorders>
            <w:shd w:val="clear" w:color="auto" w:fill="auto"/>
          </w:tcPr>
          <w:p w14:paraId="09408F41" w14:textId="77777777" w:rsidR="00F17551" w:rsidRPr="00657E8C" w:rsidRDefault="00F17551" w:rsidP="00F17551">
            <w:pPr>
              <w:pStyle w:val="ARtabletextright"/>
            </w:pPr>
            <w:r w:rsidRPr="00657E8C">
              <w:t>6</w:t>
            </w:r>
          </w:p>
        </w:tc>
        <w:tc>
          <w:tcPr>
            <w:tcW w:w="588" w:type="pct"/>
            <w:tcBorders>
              <w:top w:val="single" w:sz="4" w:space="0" w:color="BFBFBF"/>
              <w:bottom w:val="single" w:sz="4" w:space="0" w:color="BFBFBF"/>
            </w:tcBorders>
            <w:shd w:val="clear" w:color="auto" w:fill="auto"/>
          </w:tcPr>
          <w:p w14:paraId="0CC4752D"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67CFFA8A"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30CB6D01"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07219649" w14:textId="77777777" w:rsidR="00F17551" w:rsidRPr="00657E8C" w:rsidRDefault="00F17551" w:rsidP="00F17551">
            <w:pPr>
              <w:pStyle w:val="ARtabletextright"/>
            </w:pPr>
          </w:p>
        </w:tc>
        <w:tc>
          <w:tcPr>
            <w:tcW w:w="514" w:type="pct"/>
            <w:tcBorders>
              <w:top w:val="single" w:sz="4" w:space="0" w:color="BFBFBF"/>
              <w:bottom w:val="single" w:sz="4" w:space="0" w:color="BFBFBF"/>
            </w:tcBorders>
          </w:tcPr>
          <w:p w14:paraId="2E8F169C" w14:textId="77777777" w:rsidR="00F17551" w:rsidRPr="00657E8C" w:rsidRDefault="00F17551" w:rsidP="00F17551">
            <w:pPr>
              <w:pStyle w:val="ARtabletextright"/>
            </w:pPr>
          </w:p>
        </w:tc>
      </w:tr>
      <w:tr w:rsidR="00F17551" w:rsidRPr="00657E8C" w14:paraId="4CC3F839" w14:textId="77777777" w:rsidTr="00F17551">
        <w:trPr>
          <w:cantSplit/>
        </w:trPr>
        <w:tc>
          <w:tcPr>
            <w:tcW w:w="1399" w:type="pct"/>
            <w:tcBorders>
              <w:top w:val="single" w:sz="4" w:space="0" w:color="BFBFBF"/>
              <w:bottom w:val="single" w:sz="4" w:space="0" w:color="BFBFBF"/>
            </w:tcBorders>
            <w:shd w:val="clear" w:color="auto" w:fill="auto"/>
          </w:tcPr>
          <w:p w14:paraId="6EC1A1B5" w14:textId="77777777" w:rsidR="00F17551" w:rsidRPr="00657E8C" w:rsidRDefault="00F17551" w:rsidP="00F17551">
            <w:pPr>
              <w:pStyle w:val="ARtabletext"/>
            </w:pPr>
            <w:r w:rsidRPr="00657E8C">
              <w:t>$380,000–$399,999</w:t>
            </w:r>
          </w:p>
        </w:tc>
        <w:tc>
          <w:tcPr>
            <w:tcW w:w="735" w:type="pct"/>
            <w:tcBorders>
              <w:top w:val="single" w:sz="4" w:space="0" w:color="BFBFBF"/>
              <w:bottom w:val="single" w:sz="4" w:space="0" w:color="BFBFBF"/>
            </w:tcBorders>
            <w:shd w:val="clear" w:color="auto" w:fill="auto"/>
          </w:tcPr>
          <w:p w14:paraId="15657EC3"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71BCC8CB"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726FF84C"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4C9572D2"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1C62BBD5" w14:textId="77777777" w:rsidR="00F17551" w:rsidRPr="00657E8C" w:rsidRDefault="00F17551" w:rsidP="00F17551">
            <w:pPr>
              <w:pStyle w:val="ARtabletextright"/>
            </w:pPr>
          </w:p>
        </w:tc>
        <w:tc>
          <w:tcPr>
            <w:tcW w:w="514" w:type="pct"/>
            <w:tcBorders>
              <w:top w:val="single" w:sz="4" w:space="0" w:color="BFBFBF"/>
              <w:bottom w:val="single" w:sz="4" w:space="0" w:color="BFBFBF"/>
            </w:tcBorders>
          </w:tcPr>
          <w:p w14:paraId="12CC902E" w14:textId="77777777" w:rsidR="00F17551" w:rsidRPr="00657E8C" w:rsidRDefault="00F17551" w:rsidP="00F17551">
            <w:pPr>
              <w:pStyle w:val="ARtabletextright"/>
            </w:pPr>
          </w:p>
        </w:tc>
      </w:tr>
      <w:tr w:rsidR="00F17551" w:rsidRPr="00657E8C" w14:paraId="67806358" w14:textId="77777777" w:rsidTr="00F17551">
        <w:trPr>
          <w:cantSplit/>
        </w:trPr>
        <w:tc>
          <w:tcPr>
            <w:tcW w:w="1399" w:type="pct"/>
            <w:tcBorders>
              <w:top w:val="single" w:sz="4" w:space="0" w:color="BFBFBF"/>
              <w:bottom w:val="single" w:sz="4" w:space="0" w:color="BFBFBF"/>
            </w:tcBorders>
            <w:shd w:val="clear" w:color="auto" w:fill="auto"/>
          </w:tcPr>
          <w:p w14:paraId="15166F70" w14:textId="77777777" w:rsidR="00F17551" w:rsidRPr="00657E8C" w:rsidRDefault="00F17551" w:rsidP="00F17551">
            <w:pPr>
              <w:pStyle w:val="ARtabletext"/>
            </w:pPr>
            <w:r w:rsidRPr="00657E8C">
              <w:t>$400,000–$419,999</w:t>
            </w:r>
          </w:p>
        </w:tc>
        <w:tc>
          <w:tcPr>
            <w:tcW w:w="735" w:type="pct"/>
            <w:tcBorders>
              <w:top w:val="single" w:sz="4" w:space="0" w:color="BFBFBF"/>
              <w:bottom w:val="single" w:sz="4" w:space="0" w:color="BFBFBF"/>
            </w:tcBorders>
            <w:shd w:val="clear" w:color="auto" w:fill="auto"/>
          </w:tcPr>
          <w:p w14:paraId="18BDCF2A"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44C14FEE"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472436DA"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5359176B"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1BE455FD" w14:textId="77777777" w:rsidR="00F17551" w:rsidRPr="00657E8C" w:rsidRDefault="00F17551" w:rsidP="00F17551">
            <w:pPr>
              <w:pStyle w:val="ARtabletextright"/>
            </w:pPr>
          </w:p>
        </w:tc>
        <w:tc>
          <w:tcPr>
            <w:tcW w:w="514" w:type="pct"/>
            <w:tcBorders>
              <w:top w:val="single" w:sz="4" w:space="0" w:color="BFBFBF"/>
              <w:bottom w:val="single" w:sz="4" w:space="0" w:color="BFBFBF"/>
            </w:tcBorders>
          </w:tcPr>
          <w:p w14:paraId="21C396E4" w14:textId="77777777" w:rsidR="00F17551" w:rsidRPr="00657E8C" w:rsidRDefault="00F17551" w:rsidP="00F17551">
            <w:pPr>
              <w:pStyle w:val="ARtabletextright"/>
            </w:pPr>
          </w:p>
        </w:tc>
      </w:tr>
      <w:tr w:rsidR="00F17551" w:rsidRPr="00657E8C" w14:paraId="4EE10279" w14:textId="77777777" w:rsidTr="00F17551">
        <w:trPr>
          <w:cantSplit/>
        </w:trPr>
        <w:tc>
          <w:tcPr>
            <w:tcW w:w="1399" w:type="pct"/>
            <w:tcBorders>
              <w:top w:val="single" w:sz="4" w:space="0" w:color="BFBFBF"/>
              <w:bottom w:val="single" w:sz="4" w:space="0" w:color="BFBFBF"/>
            </w:tcBorders>
            <w:shd w:val="clear" w:color="auto" w:fill="auto"/>
          </w:tcPr>
          <w:p w14:paraId="437021DA" w14:textId="77777777" w:rsidR="00F17551" w:rsidRPr="00657E8C" w:rsidRDefault="00F17551" w:rsidP="00F17551">
            <w:pPr>
              <w:pStyle w:val="ARtabletext"/>
            </w:pPr>
            <w:r w:rsidRPr="00657E8C">
              <w:t>$420,000–$439,999</w:t>
            </w:r>
          </w:p>
        </w:tc>
        <w:tc>
          <w:tcPr>
            <w:tcW w:w="735" w:type="pct"/>
            <w:tcBorders>
              <w:top w:val="single" w:sz="4" w:space="0" w:color="BFBFBF"/>
              <w:bottom w:val="single" w:sz="4" w:space="0" w:color="BFBFBF"/>
            </w:tcBorders>
            <w:shd w:val="clear" w:color="auto" w:fill="auto"/>
          </w:tcPr>
          <w:p w14:paraId="3FCF7DD7"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161B6C30"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35122110"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138B426D"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607FFA61" w14:textId="77777777" w:rsidR="00F17551" w:rsidRPr="00657E8C" w:rsidRDefault="00F17551" w:rsidP="00F17551">
            <w:pPr>
              <w:pStyle w:val="ARtabletextright"/>
            </w:pPr>
          </w:p>
        </w:tc>
        <w:tc>
          <w:tcPr>
            <w:tcW w:w="514" w:type="pct"/>
            <w:tcBorders>
              <w:top w:val="single" w:sz="4" w:space="0" w:color="BFBFBF"/>
              <w:bottom w:val="single" w:sz="4" w:space="0" w:color="BFBFBF"/>
            </w:tcBorders>
          </w:tcPr>
          <w:p w14:paraId="28B55094" w14:textId="77777777" w:rsidR="00F17551" w:rsidRPr="00657E8C" w:rsidRDefault="00F17551" w:rsidP="00F17551">
            <w:pPr>
              <w:pStyle w:val="ARtabletextright"/>
            </w:pPr>
          </w:p>
        </w:tc>
      </w:tr>
      <w:tr w:rsidR="00F17551" w:rsidRPr="00657E8C" w14:paraId="19134212" w14:textId="77777777" w:rsidTr="00F17551">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2928CB74" w14:textId="77777777" w:rsidR="00F17551" w:rsidRPr="00657E8C" w:rsidRDefault="00F17551" w:rsidP="00F17551">
            <w:pPr>
              <w:pStyle w:val="ARtabletext"/>
            </w:pPr>
            <w:r w:rsidRPr="00657E8C">
              <w:t>$440,000–$459,999</w:t>
            </w:r>
          </w:p>
        </w:tc>
        <w:tc>
          <w:tcPr>
            <w:tcW w:w="735" w:type="pct"/>
            <w:tcBorders>
              <w:top w:val="single" w:sz="4" w:space="0" w:color="BFBFBF"/>
              <w:bottom w:val="single" w:sz="4" w:space="0" w:color="BFBFBF"/>
            </w:tcBorders>
            <w:shd w:val="clear" w:color="auto" w:fill="auto"/>
          </w:tcPr>
          <w:p w14:paraId="1D11DF69"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51B47072"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124AB330"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56C8EFE2"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75A79AD3" w14:textId="77777777" w:rsidR="00F17551" w:rsidRPr="00657E8C" w:rsidRDefault="00F17551" w:rsidP="00F17551">
            <w:pPr>
              <w:pStyle w:val="ARtabletextright"/>
            </w:pPr>
          </w:p>
        </w:tc>
        <w:tc>
          <w:tcPr>
            <w:tcW w:w="514" w:type="pct"/>
            <w:tcBorders>
              <w:top w:val="single" w:sz="4" w:space="0" w:color="BFBFBF"/>
              <w:bottom w:val="single" w:sz="4" w:space="0" w:color="BFBFBF"/>
            </w:tcBorders>
          </w:tcPr>
          <w:p w14:paraId="39EB75CE" w14:textId="77777777" w:rsidR="00F17551" w:rsidRPr="00657E8C" w:rsidRDefault="00F17551" w:rsidP="00F17551">
            <w:pPr>
              <w:pStyle w:val="ARtabletextright"/>
            </w:pPr>
          </w:p>
        </w:tc>
      </w:tr>
      <w:tr w:rsidR="00F17551" w:rsidRPr="00657E8C" w14:paraId="062B258D" w14:textId="77777777" w:rsidTr="00F17551">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12DA650A" w14:textId="77777777" w:rsidR="00F17551" w:rsidRPr="00657E8C" w:rsidRDefault="00F17551" w:rsidP="00F17551">
            <w:pPr>
              <w:pStyle w:val="ARtabletext"/>
            </w:pPr>
            <w:r w:rsidRPr="00657E8C">
              <w:t>$460,000–$479,999</w:t>
            </w:r>
          </w:p>
        </w:tc>
        <w:tc>
          <w:tcPr>
            <w:tcW w:w="735" w:type="pct"/>
            <w:tcBorders>
              <w:top w:val="single" w:sz="4" w:space="0" w:color="BFBFBF"/>
              <w:bottom w:val="single" w:sz="4" w:space="0" w:color="BFBFBF"/>
            </w:tcBorders>
            <w:shd w:val="clear" w:color="auto" w:fill="auto"/>
          </w:tcPr>
          <w:p w14:paraId="5F62E275"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6F969AB0"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7FB93943"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7FD6ABC2"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69882B62" w14:textId="77777777" w:rsidR="00F17551" w:rsidRPr="00657E8C" w:rsidRDefault="00F17551" w:rsidP="00F17551">
            <w:pPr>
              <w:pStyle w:val="ARtabletextright"/>
            </w:pPr>
          </w:p>
        </w:tc>
        <w:tc>
          <w:tcPr>
            <w:tcW w:w="514" w:type="pct"/>
            <w:tcBorders>
              <w:top w:val="single" w:sz="4" w:space="0" w:color="BFBFBF"/>
              <w:bottom w:val="single" w:sz="4" w:space="0" w:color="BFBFBF"/>
            </w:tcBorders>
          </w:tcPr>
          <w:p w14:paraId="27F53CD3" w14:textId="77777777" w:rsidR="00F17551" w:rsidRPr="00657E8C" w:rsidRDefault="00F17551" w:rsidP="00F17551">
            <w:pPr>
              <w:pStyle w:val="ARtabletextright"/>
            </w:pPr>
          </w:p>
        </w:tc>
      </w:tr>
      <w:tr w:rsidR="00F17551" w:rsidRPr="00657E8C" w14:paraId="0340D70F" w14:textId="77777777" w:rsidTr="00F17551">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404C3CDB" w14:textId="77777777" w:rsidR="00F17551" w:rsidRPr="00657E8C" w:rsidRDefault="00F17551" w:rsidP="00F17551">
            <w:pPr>
              <w:pStyle w:val="ARtabletext"/>
            </w:pPr>
            <w:r w:rsidRPr="00657E8C">
              <w:t>$520,000–$539,999</w:t>
            </w:r>
          </w:p>
        </w:tc>
        <w:tc>
          <w:tcPr>
            <w:tcW w:w="735" w:type="pct"/>
            <w:tcBorders>
              <w:top w:val="single" w:sz="4" w:space="0" w:color="BFBFBF"/>
              <w:bottom w:val="single" w:sz="4" w:space="0" w:color="BFBFBF"/>
            </w:tcBorders>
            <w:shd w:val="clear" w:color="auto" w:fill="auto"/>
          </w:tcPr>
          <w:p w14:paraId="47C784F6" w14:textId="77777777" w:rsidR="00F17551" w:rsidRPr="00657E8C" w:rsidRDefault="00F17551" w:rsidP="00F17551">
            <w:pPr>
              <w:pStyle w:val="ARtabletextright"/>
            </w:pPr>
            <w:r w:rsidRPr="00657E8C">
              <w:t>1</w:t>
            </w:r>
          </w:p>
        </w:tc>
        <w:tc>
          <w:tcPr>
            <w:tcW w:w="588" w:type="pct"/>
            <w:tcBorders>
              <w:top w:val="single" w:sz="4" w:space="0" w:color="BFBFBF"/>
              <w:bottom w:val="single" w:sz="4" w:space="0" w:color="BFBFBF"/>
            </w:tcBorders>
            <w:shd w:val="clear" w:color="auto" w:fill="auto"/>
          </w:tcPr>
          <w:p w14:paraId="4C449E51" w14:textId="77777777" w:rsidR="00F17551" w:rsidRPr="00657E8C" w:rsidRDefault="00F17551" w:rsidP="00F17551">
            <w:pPr>
              <w:pStyle w:val="ARtabletextright"/>
            </w:pPr>
          </w:p>
        </w:tc>
        <w:tc>
          <w:tcPr>
            <w:tcW w:w="588" w:type="pct"/>
            <w:tcBorders>
              <w:top w:val="single" w:sz="4" w:space="0" w:color="BFBFBF"/>
              <w:bottom w:val="single" w:sz="4" w:space="0" w:color="BFBFBF"/>
            </w:tcBorders>
            <w:shd w:val="clear" w:color="auto" w:fill="auto"/>
          </w:tcPr>
          <w:p w14:paraId="7F7A782B"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1860F54C" w14:textId="77777777" w:rsidR="00F17551" w:rsidRPr="00657E8C" w:rsidRDefault="00F17551" w:rsidP="00F17551">
            <w:pPr>
              <w:pStyle w:val="ARtabletextright"/>
            </w:pPr>
          </w:p>
        </w:tc>
        <w:tc>
          <w:tcPr>
            <w:tcW w:w="588" w:type="pct"/>
            <w:tcBorders>
              <w:top w:val="single" w:sz="4" w:space="0" w:color="BFBFBF"/>
              <w:bottom w:val="single" w:sz="4" w:space="0" w:color="BFBFBF"/>
            </w:tcBorders>
          </w:tcPr>
          <w:p w14:paraId="5AAF18D5" w14:textId="77777777" w:rsidR="00F17551" w:rsidRPr="00657E8C" w:rsidRDefault="00F17551" w:rsidP="00F17551">
            <w:pPr>
              <w:pStyle w:val="ARtabletextright"/>
            </w:pPr>
          </w:p>
        </w:tc>
        <w:tc>
          <w:tcPr>
            <w:tcW w:w="514" w:type="pct"/>
            <w:tcBorders>
              <w:top w:val="single" w:sz="4" w:space="0" w:color="BFBFBF"/>
              <w:bottom w:val="single" w:sz="4" w:space="0" w:color="BFBFBF"/>
            </w:tcBorders>
          </w:tcPr>
          <w:p w14:paraId="0A589460" w14:textId="77777777" w:rsidR="00F17551" w:rsidRPr="00657E8C" w:rsidRDefault="00F17551" w:rsidP="00F17551">
            <w:pPr>
              <w:pStyle w:val="ARtabletextright"/>
            </w:pPr>
          </w:p>
        </w:tc>
      </w:tr>
      <w:tr w:rsidR="00F17551" w:rsidRPr="00657E8C" w14:paraId="2AA59B92" w14:textId="77777777" w:rsidTr="00F17551">
        <w:tblPrEx>
          <w:tblLook w:val="04A0" w:firstRow="1" w:lastRow="0" w:firstColumn="1" w:lastColumn="0" w:noHBand="0" w:noVBand="1"/>
        </w:tblPrEx>
        <w:trPr>
          <w:cantSplit/>
        </w:trPr>
        <w:tc>
          <w:tcPr>
            <w:tcW w:w="1399" w:type="pct"/>
            <w:tcBorders>
              <w:top w:val="single" w:sz="4" w:space="0" w:color="BFBFBF"/>
            </w:tcBorders>
            <w:shd w:val="clear" w:color="auto" w:fill="auto"/>
          </w:tcPr>
          <w:p w14:paraId="6987060E" w14:textId="77777777" w:rsidR="00F17551" w:rsidRPr="00657E8C" w:rsidRDefault="00F17551" w:rsidP="00F17551">
            <w:pPr>
              <w:pStyle w:val="ARtabletext"/>
            </w:pPr>
            <w:r w:rsidRPr="00657E8C">
              <w:t>Total</w:t>
            </w:r>
          </w:p>
        </w:tc>
        <w:tc>
          <w:tcPr>
            <w:tcW w:w="735" w:type="pct"/>
            <w:tcBorders>
              <w:top w:val="single" w:sz="4" w:space="0" w:color="BFBFBF"/>
            </w:tcBorders>
            <w:shd w:val="clear" w:color="auto" w:fill="auto"/>
          </w:tcPr>
          <w:p w14:paraId="7C003C59" w14:textId="77777777" w:rsidR="00F17551" w:rsidRPr="00657E8C" w:rsidRDefault="00F17551" w:rsidP="00F17551">
            <w:pPr>
              <w:pStyle w:val="ARtabletextright"/>
            </w:pPr>
            <w:r w:rsidRPr="00657E8C">
              <w:t>184</w:t>
            </w:r>
          </w:p>
        </w:tc>
        <w:tc>
          <w:tcPr>
            <w:tcW w:w="588" w:type="pct"/>
            <w:tcBorders>
              <w:top w:val="single" w:sz="4" w:space="0" w:color="BFBFBF"/>
            </w:tcBorders>
            <w:shd w:val="clear" w:color="auto" w:fill="auto"/>
          </w:tcPr>
          <w:p w14:paraId="30181D71" w14:textId="77777777" w:rsidR="00F17551" w:rsidRPr="00657E8C" w:rsidRDefault="00F17551" w:rsidP="00F17551">
            <w:pPr>
              <w:pStyle w:val="ARtabletextright"/>
            </w:pPr>
            <w:r w:rsidRPr="00657E8C">
              <w:t>24</w:t>
            </w:r>
          </w:p>
        </w:tc>
        <w:tc>
          <w:tcPr>
            <w:tcW w:w="588" w:type="pct"/>
            <w:tcBorders>
              <w:top w:val="single" w:sz="4" w:space="0" w:color="BFBFBF"/>
            </w:tcBorders>
            <w:shd w:val="clear" w:color="auto" w:fill="auto"/>
          </w:tcPr>
          <w:p w14:paraId="282E3C50" w14:textId="77777777" w:rsidR="00F17551" w:rsidRPr="00657E8C" w:rsidRDefault="00F17551" w:rsidP="00F17551">
            <w:pPr>
              <w:pStyle w:val="ARtabletextright"/>
            </w:pPr>
          </w:p>
        </w:tc>
        <w:tc>
          <w:tcPr>
            <w:tcW w:w="588" w:type="pct"/>
            <w:tcBorders>
              <w:top w:val="single" w:sz="4" w:space="0" w:color="BFBFBF"/>
            </w:tcBorders>
          </w:tcPr>
          <w:p w14:paraId="10CC8EC0" w14:textId="77777777" w:rsidR="00F17551" w:rsidRPr="00657E8C" w:rsidRDefault="00F17551" w:rsidP="00F17551">
            <w:pPr>
              <w:pStyle w:val="ARtabletextright"/>
            </w:pPr>
            <w:r w:rsidRPr="00657E8C">
              <w:t>37</w:t>
            </w:r>
          </w:p>
        </w:tc>
        <w:tc>
          <w:tcPr>
            <w:tcW w:w="588" w:type="pct"/>
            <w:tcBorders>
              <w:top w:val="single" w:sz="4" w:space="0" w:color="BFBFBF"/>
            </w:tcBorders>
          </w:tcPr>
          <w:p w14:paraId="128D0C62" w14:textId="77777777" w:rsidR="00F17551" w:rsidRPr="00657E8C" w:rsidRDefault="00F17551" w:rsidP="00F17551">
            <w:pPr>
              <w:pStyle w:val="ARtabletextright"/>
            </w:pPr>
          </w:p>
        </w:tc>
        <w:tc>
          <w:tcPr>
            <w:tcW w:w="514" w:type="pct"/>
            <w:tcBorders>
              <w:top w:val="single" w:sz="4" w:space="0" w:color="BFBFBF"/>
            </w:tcBorders>
          </w:tcPr>
          <w:p w14:paraId="4820BAA8" w14:textId="77777777" w:rsidR="00F17551" w:rsidRPr="00657E8C" w:rsidRDefault="00F17551" w:rsidP="00F17551">
            <w:pPr>
              <w:pStyle w:val="ARtabletextright"/>
            </w:pPr>
          </w:p>
        </w:tc>
      </w:tr>
    </w:tbl>
    <w:p w14:paraId="2E4DF007" w14:textId="77777777" w:rsidR="00F17551" w:rsidRPr="00657E8C" w:rsidRDefault="00F17551" w:rsidP="00F17551">
      <w:pPr>
        <w:pStyle w:val="Heading3"/>
      </w:pPr>
      <w:bookmarkStart w:id="132" w:name="_Ref21957203"/>
      <w:r w:rsidRPr="00657E8C">
        <w:t>Family Safety Victoria employment levels</w:t>
      </w:r>
      <w:bookmarkEnd w:id="132"/>
    </w:p>
    <w:p w14:paraId="7EFE1B06" w14:textId="77777777" w:rsidR="00F17551" w:rsidRPr="00657E8C" w:rsidRDefault="00F17551" w:rsidP="00F17551">
      <w:pPr>
        <w:pStyle w:val="Heading4"/>
      </w:pPr>
      <w:r w:rsidRPr="00657E8C">
        <w:t>Summary of employment levels in June of 2019</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1E0" w:firstRow="1" w:lastRow="1" w:firstColumn="1" w:lastColumn="1" w:noHBand="0" w:noVBand="0"/>
      </w:tblPr>
      <w:tblGrid>
        <w:gridCol w:w="1611"/>
        <w:gridCol w:w="1609"/>
        <w:gridCol w:w="1610"/>
        <w:gridCol w:w="1610"/>
        <w:gridCol w:w="1610"/>
        <w:gridCol w:w="1589"/>
      </w:tblGrid>
      <w:tr w:rsidR="00F17551" w:rsidRPr="00657E8C" w14:paraId="50FD0B87" w14:textId="77777777" w:rsidTr="00F17551">
        <w:trPr>
          <w:cantSplit/>
        </w:trPr>
        <w:tc>
          <w:tcPr>
            <w:tcW w:w="1611" w:type="dxa"/>
            <w:vMerge w:val="restart"/>
            <w:shd w:val="clear" w:color="auto" w:fill="auto"/>
            <w:vAlign w:val="bottom"/>
          </w:tcPr>
          <w:p w14:paraId="755FB741" w14:textId="77777777" w:rsidR="00F17551" w:rsidRPr="00657E8C" w:rsidRDefault="00F17551" w:rsidP="00F17551">
            <w:pPr>
              <w:jc w:val="right"/>
              <w:rPr>
                <w:rFonts w:cs="Arial"/>
              </w:rPr>
            </w:pPr>
          </w:p>
        </w:tc>
        <w:tc>
          <w:tcPr>
            <w:tcW w:w="6439" w:type="dxa"/>
            <w:gridSpan w:val="4"/>
            <w:shd w:val="clear" w:color="auto" w:fill="auto"/>
            <w:vAlign w:val="bottom"/>
          </w:tcPr>
          <w:p w14:paraId="74061F0A" w14:textId="77777777" w:rsidR="00F17551" w:rsidRPr="00657E8C" w:rsidRDefault="00F17551" w:rsidP="00F17551">
            <w:pPr>
              <w:pStyle w:val="ARtablecolheadcentre"/>
            </w:pPr>
            <w:r w:rsidRPr="00657E8C">
              <w:t>Ongoing employees</w:t>
            </w:r>
          </w:p>
        </w:tc>
        <w:tc>
          <w:tcPr>
            <w:tcW w:w="1589" w:type="dxa"/>
            <w:shd w:val="clear" w:color="auto" w:fill="auto"/>
            <w:vAlign w:val="bottom"/>
          </w:tcPr>
          <w:p w14:paraId="29E1A82A" w14:textId="77777777" w:rsidR="00F17551" w:rsidRPr="00657E8C" w:rsidRDefault="00F17551" w:rsidP="00F17551">
            <w:pPr>
              <w:pStyle w:val="ARtablecolheadcentre"/>
            </w:pPr>
            <w:r w:rsidRPr="00657E8C">
              <w:t>Fixed-term and casual employees</w:t>
            </w:r>
          </w:p>
        </w:tc>
      </w:tr>
      <w:tr w:rsidR="00F17551" w:rsidRPr="00657E8C" w14:paraId="51B0F9E8" w14:textId="77777777" w:rsidTr="00F17551">
        <w:trPr>
          <w:cantSplit/>
        </w:trPr>
        <w:tc>
          <w:tcPr>
            <w:tcW w:w="1611" w:type="dxa"/>
            <w:vMerge/>
            <w:shd w:val="clear" w:color="auto" w:fill="auto"/>
          </w:tcPr>
          <w:p w14:paraId="16B023B2" w14:textId="77777777" w:rsidR="00F17551" w:rsidRPr="00657E8C" w:rsidRDefault="00F17551" w:rsidP="00F17551">
            <w:pPr>
              <w:jc w:val="right"/>
              <w:rPr>
                <w:rFonts w:cs="Arial"/>
              </w:rPr>
            </w:pPr>
          </w:p>
        </w:tc>
        <w:tc>
          <w:tcPr>
            <w:tcW w:w="1609" w:type="dxa"/>
            <w:shd w:val="clear" w:color="auto" w:fill="auto"/>
            <w:vAlign w:val="bottom"/>
          </w:tcPr>
          <w:p w14:paraId="7E561B7B" w14:textId="77777777" w:rsidR="00F17551" w:rsidRPr="00657E8C" w:rsidRDefault="00F17551" w:rsidP="00F17551">
            <w:pPr>
              <w:pStyle w:val="ARtablecolheadright"/>
            </w:pPr>
            <w:r w:rsidRPr="00657E8C">
              <w:t>Employees</w:t>
            </w:r>
            <w:r w:rsidR="00704412" w:rsidRPr="00657E8C">
              <w:br/>
            </w:r>
            <w:r w:rsidRPr="00657E8C">
              <w:t>(head</w:t>
            </w:r>
            <w:r w:rsidR="00704412" w:rsidRPr="00657E8C">
              <w:t xml:space="preserve"> </w:t>
            </w:r>
            <w:r w:rsidRPr="00657E8C">
              <w:t>count)</w:t>
            </w:r>
          </w:p>
        </w:tc>
        <w:tc>
          <w:tcPr>
            <w:tcW w:w="1610" w:type="dxa"/>
            <w:shd w:val="clear" w:color="auto" w:fill="auto"/>
            <w:vAlign w:val="bottom"/>
          </w:tcPr>
          <w:p w14:paraId="48694A40" w14:textId="77777777" w:rsidR="00F17551" w:rsidRPr="00657E8C" w:rsidRDefault="00F17551" w:rsidP="00F17551">
            <w:pPr>
              <w:pStyle w:val="ARtablecolheadright"/>
            </w:pPr>
            <w:r w:rsidRPr="00657E8C">
              <w:t xml:space="preserve">Full-time </w:t>
            </w:r>
            <w:r w:rsidR="00704412" w:rsidRPr="00657E8C">
              <w:br/>
            </w:r>
            <w:r w:rsidRPr="00657E8C">
              <w:t>(head</w:t>
            </w:r>
            <w:r w:rsidR="00704412" w:rsidRPr="00657E8C">
              <w:t xml:space="preserve"> </w:t>
            </w:r>
            <w:r w:rsidRPr="00657E8C">
              <w:t>count)</w:t>
            </w:r>
          </w:p>
        </w:tc>
        <w:tc>
          <w:tcPr>
            <w:tcW w:w="1610" w:type="dxa"/>
            <w:shd w:val="clear" w:color="auto" w:fill="auto"/>
            <w:vAlign w:val="bottom"/>
          </w:tcPr>
          <w:p w14:paraId="0A5249CD" w14:textId="77777777" w:rsidR="00F17551" w:rsidRPr="00657E8C" w:rsidRDefault="00F17551" w:rsidP="00F17551">
            <w:pPr>
              <w:pStyle w:val="ARtablecolheadright"/>
            </w:pPr>
            <w:r w:rsidRPr="00657E8C">
              <w:t xml:space="preserve">Part-time </w:t>
            </w:r>
            <w:r w:rsidR="00704412" w:rsidRPr="00657E8C">
              <w:br/>
            </w:r>
            <w:r w:rsidRPr="00657E8C">
              <w:t>(head</w:t>
            </w:r>
            <w:r w:rsidR="00704412" w:rsidRPr="00657E8C">
              <w:t xml:space="preserve"> </w:t>
            </w:r>
            <w:r w:rsidRPr="00657E8C">
              <w:t>count)</w:t>
            </w:r>
          </w:p>
        </w:tc>
        <w:tc>
          <w:tcPr>
            <w:tcW w:w="1610" w:type="dxa"/>
            <w:shd w:val="clear" w:color="auto" w:fill="auto"/>
            <w:vAlign w:val="bottom"/>
          </w:tcPr>
          <w:p w14:paraId="11E5FB11" w14:textId="77777777" w:rsidR="00F17551" w:rsidRPr="00657E8C" w:rsidRDefault="00F17551" w:rsidP="00F17551">
            <w:pPr>
              <w:pStyle w:val="ARtablecolheadright"/>
            </w:pPr>
            <w:r w:rsidRPr="00657E8C">
              <w:t>FTE</w:t>
            </w:r>
          </w:p>
        </w:tc>
        <w:tc>
          <w:tcPr>
            <w:tcW w:w="1589" w:type="dxa"/>
            <w:shd w:val="clear" w:color="auto" w:fill="auto"/>
            <w:vAlign w:val="bottom"/>
          </w:tcPr>
          <w:p w14:paraId="3EDD7A7E" w14:textId="77777777" w:rsidR="00F17551" w:rsidRPr="00657E8C" w:rsidRDefault="00F17551" w:rsidP="00F17551">
            <w:pPr>
              <w:pStyle w:val="ARtablecolheadright"/>
            </w:pPr>
            <w:r w:rsidRPr="00657E8C">
              <w:t>FTE</w:t>
            </w:r>
          </w:p>
        </w:tc>
      </w:tr>
      <w:tr w:rsidR="00F17551" w:rsidRPr="00657E8C" w14:paraId="0711F762" w14:textId="77777777" w:rsidTr="00F17551">
        <w:trPr>
          <w:cantSplit/>
        </w:trPr>
        <w:tc>
          <w:tcPr>
            <w:tcW w:w="1611" w:type="dxa"/>
            <w:shd w:val="clear" w:color="auto" w:fill="auto"/>
          </w:tcPr>
          <w:p w14:paraId="0D7013B9" w14:textId="77777777" w:rsidR="00F17551" w:rsidRPr="00657E8C" w:rsidRDefault="00F17551" w:rsidP="00F17551">
            <w:pPr>
              <w:pStyle w:val="ARtabletext"/>
            </w:pPr>
            <w:r w:rsidRPr="00657E8C">
              <w:t>June 2019</w:t>
            </w:r>
          </w:p>
        </w:tc>
        <w:tc>
          <w:tcPr>
            <w:tcW w:w="1609" w:type="dxa"/>
            <w:shd w:val="clear" w:color="auto" w:fill="auto"/>
          </w:tcPr>
          <w:p w14:paraId="1FB15CE7" w14:textId="77777777" w:rsidR="00F17551" w:rsidRPr="00657E8C" w:rsidRDefault="00F17551" w:rsidP="00F17551">
            <w:pPr>
              <w:pStyle w:val="ARtabletextright"/>
            </w:pPr>
            <w:r w:rsidRPr="00657E8C">
              <w:t>310</w:t>
            </w:r>
          </w:p>
        </w:tc>
        <w:tc>
          <w:tcPr>
            <w:tcW w:w="1610" w:type="dxa"/>
            <w:shd w:val="clear" w:color="auto" w:fill="auto"/>
          </w:tcPr>
          <w:p w14:paraId="7245C256" w14:textId="77777777" w:rsidR="00F17551" w:rsidRPr="00657E8C" w:rsidRDefault="00F17551" w:rsidP="00F17551">
            <w:pPr>
              <w:pStyle w:val="ARtabletextright"/>
            </w:pPr>
            <w:r w:rsidRPr="00657E8C">
              <w:t>127</w:t>
            </w:r>
          </w:p>
        </w:tc>
        <w:tc>
          <w:tcPr>
            <w:tcW w:w="1610" w:type="dxa"/>
            <w:shd w:val="clear" w:color="auto" w:fill="auto"/>
          </w:tcPr>
          <w:p w14:paraId="793D54D3" w14:textId="77777777" w:rsidR="00F17551" w:rsidRPr="00657E8C" w:rsidRDefault="00F17551" w:rsidP="00F17551">
            <w:pPr>
              <w:pStyle w:val="ARtabletextright"/>
            </w:pPr>
            <w:r w:rsidRPr="00657E8C">
              <w:t>48</w:t>
            </w:r>
          </w:p>
        </w:tc>
        <w:tc>
          <w:tcPr>
            <w:tcW w:w="1610" w:type="dxa"/>
            <w:shd w:val="clear" w:color="auto" w:fill="auto"/>
          </w:tcPr>
          <w:p w14:paraId="40EC1EF5" w14:textId="77777777" w:rsidR="00F17551" w:rsidRPr="00657E8C" w:rsidRDefault="00F17551" w:rsidP="00F17551">
            <w:pPr>
              <w:pStyle w:val="ARtabletextright"/>
            </w:pPr>
            <w:r w:rsidRPr="00657E8C">
              <w:t>161.4</w:t>
            </w:r>
          </w:p>
        </w:tc>
        <w:tc>
          <w:tcPr>
            <w:tcW w:w="1589" w:type="dxa"/>
            <w:shd w:val="clear" w:color="auto" w:fill="auto"/>
          </w:tcPr>
          <w:p w14:paraId="3D6C8408" w14:textId="77777777" w:rsidR="00F17551" w:rsidRPr="00657E8C" w:rsidRDefault="00F17551" w:rsidP="00F17551">
            <w:pPr>
              <w:pStyle w:val="ARtabletextright"/>
            </w:pPr>
            <w:r w:rsidRPr="00657E8C">
              <w:t>129.5</w:t>
            </w:r>
          </w:p>
        </w:tc>
      </w:tr>
    </w:tbl>
    <w:p w14:paraId="574C2139" w14:textId="77777777" w:rsidR="00704412" w:rsidRPr="00657E8C" w:rsidRDefault="00704412" w:rsidP="00F17551">
      <w:pPr>
        <w:pStyle w:val="Heading4"/>
        <w:sectPr w:rsidR="00704412" w:rsidRPr="00657E8C" w:rsidSect="001719E6">
          <w:footerReference w:type="even" r:id="rId112"/>
          <w:footerReference w:type="default" r:id="rId113"/>
          <w:pgSz w:w="11906" w:h="16838" w:code="9"/>
          <w:pgMar w:top="1985" w:right="851" w:bottom="851" w:left="1418" w:header="510" w:footer="340" w:gutter="0"/>
          <w:cols w:space="708"/>
          <w:docGrid w:linePitch="360"/>
        </w:sectPr>
      </w:pPr>
    </w:p>
    <w:p w14:paraId="1EA37182" w14:textId="77777777" w:rsidR="00D043ED" w:rsidRPr="00657E8C" w:rsidRDefault="00207BA8" w:rsidP="009031E7">
      <w:pPr>
        <w:pStyle w:val="Heading4"/>
        <w:spacing w:before="0"/>
      </w:pPr>
      <w:r>
        <w:t xml:space="preserve">Family Safety Victoria </w:t>
      </w:r>
      <w:r w:rsidR="00D043ED" w:rsidRPr="00657E8C">
        <w:t>employment levels in June of</w:t>
      </w:r>
      <w:r>
        <w:t xml:space="preserve"> 2018 and</w:t>
      </w:r>
      <w:r w:rsidR="00D043ED" w:rsidRPr="00657E8C">
        <w:t xml:space="preserve"> 2019</w:t>
      </w:r>
    </w:p>
    <w:tbl>
      <w:tblPr>
        <w:tblStyle w:val="TableGrid"/>
        <w:tblW w:w="14005" w:type="dxa"/>
        <w:tblInd w:w="-10" w:type="dxa"/>
        <w:tblLook w:val="06A0" w:firstRow="1" w:lastRow="0" w:firstColumn="1" w:lastColumn="0" w:noHBand="1" w:noVBand="1"/>
      </w:tblPr>
      <w:tblGrid>
        <w:gridCol w:w="1040"/>
        <w:gridCol w:w="1175"/>
        <w:gridCol w:w="602"/>
        <w:gridCol w:w="1179"/>
        <w:gridCol w:w="1179"/>
        <w:gridCol w:w="602"/>
        <w:gridCol w:w="1179"/>
        <w:gridCol w:w="560"/>
        <w:gridCol w:w="1179"/>
        <w:gridCol w:w="602"/>
        <w:gridCol w:w="1179"/>
        <w:gridCol w:w="1179"/>
        <w:gridCol w:w="602"/>
        <w:gridCol w:w="1179"/>
        <w:gridCol w:w="569"/>
      </w:tblGrid>
      <w:tr w:rsidR="009031E7" w:rsidRPr="00657E8C" w14:paraId="7B4F3754" w14:textId="77777777" w:rsidTr="003C6B3A">
        <w:trPr>
          <w:cnfStyle w:val="100000000000" w:firstRow="1" w:lastRow="0" w:firstColumn="0" w:lastColumn="0" w:oddVBand="0" w:evenVBand="0" w:oddHBand="0" w:evenHBand="0" w:firstRowFirstColumn="0" w:firstRowLastColumn="0" w:lastRowFirstColumn="0" w:lastRowLastColumn="0"/>
          <w:tblHeader/>
        </w:trPr>
        <w:tc>
          <w:tcPr>
            <w:tcW w:w="371" w:type="pct"/>
            <w:vMerge w:val="restart"/>
          </w:tcPr>
          <w:p w14:paraId="7F464DFB" w14:textId="77777777" w:rsidR="009031E7" w:rsidRPr="00657E8C" w:rsidRDefault="009031E7" w:rsidP="00E620C7">
            <w:pPr>
              <w:pStyle w:val="ARtablecolheadcentre"/>
            </w:pPr>
          </w:p>
        </w:tc>
        <w:tc>
          <w:tcPr>
            <w:tcW w:w="2310" w:type="pct"/>
            <w:gridSpan w:val="7"/>
          </w:tcPr>
          <w:p w14:paraId="472A9A82" w14:textId="77777777" w:rsidR="009031E7" w:rsidRPr="00657E8C" w:rsidRDefault="009031E7" w:rsidP="00E620C7">
            <w:pPr>
              <w:pStyle w:val="ARtablecolheadcentre"/>
            </w:pPr>
            <w:r w:rsidRPr="00657E8C">
              <w:t>June 201</w:t>
            </w:r>
            <w:r>
              <w:t>9</w:t>
            </w:r>
          </w:p>
        </w:tc>
        <w:tc>
          <w:tcPr>
            <w:tcW w:w="2320" w:type="pct"/>
            <w:gridSpan w:val="7"/>
          </w:tcPr>
          <w:p w14:paraId="48763EAC" w14:textId="77777777" w:rsidR="009031E7" w:rsidRPr="00657E8C" w:rsidRDefault="009031E7" w:rsidP="00E620C7">
            <w:pPr>
              <w:pStyle w:val="ARtablecolheadcentre"/>
              <w:rPr>
                <w:i/>
                <w:iCs/>
                <w:sz w:val="20"/>
              </w:rPr>
            </w:pPr>
            <w:r w:rsidRPr="00657E8C">
              <w:t>June 201</w:t>
            </w:r>
            <w:r>
              <w:t>8</w:t>
            </w:r>
          </w:p>
        </w:tc>
      </w:tr>
      <w:tr w:rsidR="009031E7" w:rsidRPr="00657E8C" w14:paraId="3BC97AD4" w14:textId="77777777" w:rsidTr="003C6B3A">
        <w:trPr>
          <w:cnfStyle w:val="100000000000" w:firstRow="1" w:lastRow="0" w:firstColumn="0" w:lastColumn="0" w:oddVBand="0" w:evenVBand="0" w:oddHBand="0" w:evenHBand="0" w:firstRowFirstColumn="0" w:firstRowLastColumn="0" w:lastRowFirstColumn="0" w:lastRowLastColumn="0"/>
          <w:tblHeader/>
        </w:trPr>
        <w:tc>
          <w:tcPr>
            <w:tcW w:w="371" w:type="pct"/>
            <w:vMerge/>
          </w:tcPr>
          <w:p w14:paraId="290A9278" w14:textId="77777777" w:rsidR="009031E7" w:rsidRPr="00657E8C" w:rsidRDefault="009031E7" w:rsidP="00E620C7">
            <w:pPr>
              <w:pStyle w:val="ARtablecolheadcentre"/>
              <w:rPr>
                <w:i/>
                <w:iCs/>
              </w:rPr>
            </w:pPr>
          </w:p>
        </w:tc>
        <w:tc>
          <w:tcPr>
            <w:tcW w:w="633" w:type="pct"/>
            <w:gridSpan w:val="2"/>
          </w:tcPr>
          <w:p w14:paraId="15A1D04D" w14:textId="77777777" w:rsidR="009031E7" w:rsidRPr="00657E8C" w:rsidRDefault="009031E7" w:rsidP="00E620C7">
            <w:pPr>
              <w:pStyle w:val="ARtablecolheadcentre"/>
            </w:pPr>
            <w:r w:rsidRPr="00657E8C">
              <w:t>All employees</w:t>
            </w:r>
          </w:p>
        </w:tc>
        <w:tc>
          <w:tcPr>
            <w:tcW w:w="1056" w:type="pct"/>
            <w:gridSpan w:val="3"/>
          </w:tcPr>
          <w:p w14:paraId="7BC0D11E" w14:textId="77777777" w:rsidR="009031E7" w:rsidRPr="00657E8C" w:rsidRDefault="009031E7" w:rsidP="00E620C7">
            <w:pPr>
              <w:pStyle w:val="ARtablecolheadcentre"/>
            </w:pPr>
            <w:r w:rsidRPr="00657E8C">
              <w:t>Ongoing</w:t>
            </w:r>
          </w:p>
        </w:tc>
        <w:tc>
          <w:tcPr>
            <w:tcW w:w="620" w:type="pct"/>
            <w:gridSpan w:val="2"/>
          </w:tcPr>
          <w:p w14:paraId="2F23601D" w14:textId="77777777" w:rsidR="009031E7" w:rsidRPr="00657E8C" w:rsidRDefault="009031E7" w:rsidP="00E620C7">
            <w:pPr>
              <w:pStyle w:val="ARtablecolheadcentre"/>
            </w:pPr>
            <w:r w:rsidRPr="00657E8C">
              <w:t xml:space="preserve">Fixed term </w:t>
            </w:r>
            <w:r w:rsidRPr="00657E8C">
              <w:br/>
              <w:t>and casual</w:t>
            </w:r>
          </w:p>
        </w:tc>
        <w:tc>
          <w:tcPr>
            <w:tcW w:w="636" w:type="pct"/>
            <w:gridSpan w:val="2"/>
          </w:tcPr>
          <w:p w14:paraId="7B2B07E2" w14:textId="77777777" w:rsidR="009031E7" w:rsidRPr="00657E8C" w:rsidRDefault="009031E7" w:rsidP="00E620C7">
            <w:pPr>
              <w:pStyle w:val="ARtablecolheadcentre"/>
            </w:pPr>
            <w:r w:rsidRPr="00657E8C">
              <w:t>All employees</w:t>
            </w:r>
          </w:p>
        </w:tc>
        <w:tc>
          <w:tcPr>
            <w:tcW w:w="1057" w:type="pct"/>
            <w:gridSpan w:val="3"/>
          </w:tcPr>
          <w:p w14:paraId="3CDA50A7" w14:textId="77777777" w:rsidR="009031E7" w:rsidRPr="00657E8C" w:rsidRDefault="009031E7" w:rsidP="00E620C7">
            <w:pPr>
              <w:pStyle w:val="ARtablecolheadcentre"/>
            </w:pPr>
            <w:r w:rsidRPr="00657E8C">
              <w:t>Ongoing</w:t>
            </w:r>
          </w:p>
        </w:tc>
        <w:tc>
          <w:tcPr>
            <w:tcW w:w="627" w:type="pct"/>
            <w:gridSpan w:val="2"/>
          </w:tcPr>
          <w:p w14:paraId="1E54F1B5" w14:textId="77777777" w:rsidR="009031E7" w:rsidRPr="00657E8C" w:rsidRDefault="009031E7" w:rsidP="00E620C7">
            <w:pPr>
              <w:pStyle w:val="ARtablecolheadcentre"/>
            </w:pPr>
            <w:r w:rsidRPr="00657E8C">
              <w:t xml:space="preserve">Fixed term </w:t>
            </w:r>
            <w:r w:rsidRPr="00657E8C">
              <w:br/>
              <w:t>and casual</w:t>
            </w:r>
          </w:p>
        </w:tc>
      </w:tr>
      <w:tr w:rsidR="009031E7" w:rsidRPr="00657E8C" w14:paraId="73407ADC" w14:textId="77777777" w:rsidTr="003C6B3A">
        <w:trPr>
          <w:cnfStyle w:val="100000000000" w:firstRow="1" w:lastRow="0" w:firstColumn="0" w:lastColumn="0" w:oddVBand="0" w:evenVBand="0" w:oddHBand="0" w:evenHBand="0" w:firstRowFirstColumn="0" w:firstRowLastColumn="0" w:lastRowFirstColumn="0" w:lastRowLastColumn="0"/>
          <w:tblHeader/>
        </w:trPr>
        <w:tc>
          <w:tcPr>
            <w:tcW w:w="371" w:type="pct"/>
            <w:vMerge/>
          </w:tcPr>
          <w:p w14:paraId="3B79FB32" w14:textId="77777777" w:rsidR="009031E7" w:rsidRPr="00657E8C" w:rsidRDefault="009031E7" w:rsidP="00E620C7">
            <w:pPr>
              <w:pStyle w:val="ARbody"/>
              <w:rPr>
                <w:i/>
                <w:iCs/>
              </w:rPr>
            </w:pPr>
          </w:p>
        </w:tc>
        <w:tc>
          <w:tcPr>
            <w:tcW w:w="419" w:type="pct"/>
          </w:tcPr>
          <w:p w14:paraId="7BBE6CBB" w14:textId="1A0660AD" w:rsidR="009031E7" w:rsidRPr="00657E8C" w:rsidRDefault="009031E7" w:rsidP="009031E7">
            <w:pPr>
              <w:pStyle w:val="ARtablecolheadright"/>
            </w:pPr>
            <w:r w:rsidRPr="00657E8C">
              <w:t>Number</w:t>
            </w:r>
            <w:r>
              <w:br/>
            </w:r>
            <w:r w:rsidRPr="00657E8C">
              <w:t>(head count)</w:t>
            </w:r>
          </w:p>
        </w:tc>
        <w:tc>
          <w:tcPr>
            <w:tcW w:w="215" w:type="pct"/>
          </w:tcPr>
          <w:p w14:paraId="535E43DC" w14:textId="77777777" w:rsidR="009031E7" w:rsidRPr="00657E8C" w:rsidRDefault="009031E7" w:rsidP="00E620C7">
            <w:pPr>
              <w:pStyle w:val="ARtablecolheadright"/>
            </w:pPr>
            <w:r w:rsidRPr="00657E8C">
              <w:t>FTE</w:t>
            </w:r>
          </w:p>
        </w:tc>
        <w:tc>
          <w:tcPr>
            <w:tcW w:w="421" w:type="pct"/>
          </w:tcPr>
          <w:p w14:paraId="51209495" w14:textId="034EE7A7" w:rsidR="009031E7" w:rsidRPr="00657E8C" w:rsidRDefault="009031E7" w:rsidP="00F16145">
            <w:pPr>
              <w:pStyle w:val="ARtablecolheadright"/>
            </w:pPr>
            <w:r w:rsidRPr="00657E8C">
              <w:t>Full-time</w:t>
            </w:r>
            <w:r w:rsidR="00F16145">
              <w:br/>
            </w:r>
            <w:r w:rsidRPr="00657E8C">
              <w:t>(head count)</w:t>
            </w:r>
          </w:p>
        </w:tc>
        <w:tc>
          <w:tcPr>
            <w:tcW w:w="421" w:type="pct"/>
          </w:tcPr>
          <w:p w14:paraId="69F0E6BA" w14:textId="77777777" w:rsidR="009031E7" w:rsidRPr="00657E8C" w:rsidRDefault="009031E7" w:rsidP="00E620C7">
            <w:pPr>
              <w:pStyle w:val="ARtablecolheadright"/>
            </w:pPr>
            <w:r w:rsidRPr="00657E8C">
              <w:t>Part-time (head count)</w:t>
            </w:r>
          </w:p>
        </w:tc>
        <w:tc>
          <w:tcPr>
            <w:tcW w:w="215" w:type="pct"/>
          </w:tcPr>
          <w:p w14:paraId="59D05C2A" w14:textId="77777777" w:rsidR="009031E7" w:rsidRPr="00657E8C" w:rsidRDefault="009031E7" w:rsidP="00E620C7">
            <w:pPr>
              <w:pStyle w:val="ARtablecolheadright"/>
            </w:pPr>
            <w:r w:rsidRPr="00657E8C">
              <w:t>FTE</w:t>
            </w:r>
          </w:p>
        </w:tc>
        <w:tc>
          <w:tcPr>
            <w:tcW w:w="421" w:type="pct"/>
          </w:tcPr>
          <w:p w14:paraId="459CB707" w14:textId="4393B19C" w:rsidR="009031E7" w:rsidRPr="00657E8C" w:rsidRDefault="009031E7" w:rsidP="00F16145">
            <w:pPr>
              <w:pStyle w:val="ARtablecolheadright"/>
            </w:pPr>
            <w:r w:rsidRPr="00657E8C">
              <w:t>Number</w:t>
            </w:r>
            <w:r w:rsidR="00F16145">
              <w:br/>
            </w:r>
            <w:r w:rsidRPr="00657E8C">
              <w:t>(head count)</w:t>
            </w:r>
          </w:p>
        </w:tc>
        <w:tc>
          <w:tcPr>
            <w:tcW w:w="200" w:type="pct"/>
          </w:tcPr>
          <w:p w14:paraId="282670D2" w14:textId="77777777" w:rsidR="009031E7" w:rsidRPr="00657E8C" w:rsidRDefault="009031E7" w:rsidP="00E620C7">
            <w:pPr>
              <w:pStyle w:val="ARtablecolheadright"/>
            </w:pPr>
            <w:r w:rsidRPr="00657E8C">
              <w:t>FTE</w:t>
            </w:r>
          </w:p>
        </w:tc>
        <w:tc>
          <w:tcPr>
            <w:tcW w:w="421" w:type="pct"/>
          </w:tcPr>
          <w:p w14:paraId="00A3924D" w14:textId="7C970421" w:rsidR="009031E7" w:rsidRPr="00657E8C" w:rsidRDefault="009031E7" w:rsidP="00F16145">
            <w:pPr>
              <w:pStyle w:val="ARtablecolheadright"/>
            </w:pPr>
            <w:r w:rsidRPr="00657E8C">
              <w:t>Number</w:t>
            </w:r>
            <w:r w:rsidR="00F16145">
              <w:br/>
            </w:r>
            <w:r w:rsidRPr="00657E8C">
              <w:t>(head count)</w:t>
            </w:r>
          </w:p>
        </w:tc>
        <w:tc>
          <w:tcPr>
            <w:tcW w:w="215" w:type="pct"/>
          </w:tcPr>
          <w:p w14:paraId="1E303C49" w14:textId="77777777" w:rsidR="009031E7" w:rsidRPr="00657E8C" w:rsidRDefault="009031E7" w:rsidP="00E620C7">
            <w:pPr>
              <w:pStyle w:val="ARtablecolheadright"/>
            </w:pPr>
            <w:r w:rsidRPr="00657E8C">
              <w:t>FTE</w:t>
            </w:r>
          </w:p>
        </w:tc>
        <w:tc>
          <w:tcPr>
            <w:tcW w:w="421" w:type="pct"/>
          </w:tcPr>
          <w:p w14:paraId="0D4DF6F7" w14:textId="677E325F" w:rsidR="009031E7" w:rsidRPr="00657E8C" w:rsidRDefault="009031E7" w:rsidP="00F16145">
            <w:pPr>
              <w:pStyle w:val="ARtablecolheadright"/>
            </w:pPr>
            <w:r w:rsidRPr="00657E8C">
              <w:t>Full-time</w:t>
            </w:r>
            <w:r w:rsidR="00F16145">
              <w:br/>
            </w:r>
            <w:r w:rsidRPr="00657E8C">
              <w:t>(head count)</w:t>
            </w:r>
          </w:p>
        </w:tc>
        <w:tc>
          <w:tcPr>
            <w:tcW w:w="421" w:type="pct"/>
          </w:tcPr>
          <w:p w14:paraId="65F79CE2" w14:textId="3939748F" w:rsidR="009031E7" w:rsidRPr="00657E8C" w:rsidRDefault="009031E7" w:rsidP="00F16145">
            <w:pPr>
              <w:pStyle w:val="ARtablecolheadright"/>
            </w:pPr>
            <w:r w:rsidRPr="00657E8C">
              <w:t>Part-time</w:t>
            </w:r>
            <w:r w:rsidR="00F16145">
              <w:br/>
            </w:r>
            <w:r w:rsidRPr="00657E8C">
              <w:t>(head count)</w:t>
            </w:r>
          </w:p>
        </w:tc>
        <w:tc>
          <w:tcPr>
            <w:tcW w:w="215" w:type="pct"/>
          </w:tcPr>
          <w:p w14:paraId="674A7F97" w14:textId="77777777" w:rsidR="009031E7" w:rsidRPr="00657E8C" w:rsidRDefault="009031E7" w:rsidP="00E620C7">
            <w:pPr>
              <w:pStyle w:val="ARtablecolheadright"/>
            </w:pPr>
            <w:r w:rsidRPr="00657E8C">
              <w:t>FTE</w:t>
            </w:r>
          </w:p>
        </w:tc>
        <w:tc>
          <w:tcPr>
            <w:tcW w:w="421" w:type="pct"/>
          </w:tcPr>
          <w:p w14:paraId="17C60C0D" w14:textId="71C0B7DD" w:rsidR="009031E7" w:rsidRPr="00657E8C" w:rsidRDefault="009031E7" w:rsidP="00F16145">
            <w:pPr>
              <w:pStyle w:val="ARtablecolheadright"/>
            </w:pPr>
            <w:r w:rsidRPr="00657E8C">
              <w:t>Number</w:t>
            </w:r>
            <w:r w:rsidR="00F16145">
              <w:br/>
            </w:r>
            <w:r w:rsidRPr="00657E8C">
              <w:t>(head count)</w:t>
            </w:r>
          </w:p>
        </w:tc>
        <w:tc>
          <w:tcPr>
            <w:tcW w:w="206" w:type="pct"/>
          </w:tcPr>
          <w:p w14:paraId="23C90E90" w14:textId="77777777" w:rsidR="009031E7" w:rsidRPr="00657E8C" w:rsidRDefault="009031E7" w:rsidP="00E620C7">
            <w:pPr>
              <w:pStyle w:val="ARtablecolheadright"/>
            </w:pPr>
            <w:r w:rsidRPr="00657E8C">
              <w:t>FTE</w:t>
            </w:r>
          </w:p>
        </w:tc>
      </w:tr>
      <w:tr w:rsidR="00D043ED" w:rsidRPr="00657E8C" w14:paraId="670AD033" w14:textId="77777777" w:rsidTr="00F16145">
        <w:tc>
          <w:tcPr>
            <w:tcW w:w="5000" w:type="pct"/>
            <w:gridSpan w:val="15"/>
          </w:tcPr>
          <w:p w14:paraId="0BB62DE1" w14:textId="77777777" w:rsidR="00D043ED" w:rsidRPr="00657E8C" w:rsidRDefault="00D043ED" w:rsidP="00E620C7">
            <w:pPr>
              <w:pStyle w:val="ARtablebluebold"/>
              <w:rPr>
                <w:sz w:val="20"/>
              </w:rPr>
            </w:pPr>
            <w:r w:rsidRPr="00657E8C">
              <w:t>Gender</w:t>
            </w:r>
          </w:p>
        </w:tc>
      </w:tr>
      <w:tr w:rsidR="00D043ED" w:rsidRPr="00657E8C" w14:paraId="61C18380" w14:textId="77777777" w:rsidTr="003C6B3A">
        <w:tc>
          <w:tcPr>
            <w:tcW w:w="371" w:type="pct"/>
          </w:tcPr>
          <w:p w14:paraId="24E22EF6" w14:textId="77777777" w:rsidR="00D043ED" w:rsidRPr="00657E8C" w:rsidRDefault="00D043ED" w:rsidP="00E620C7">
            <w:pPr>
              <w:pStyle w:val="ARtabletext"/>
            </w:pPr>
            <w:r w:rsidRPr="00657E8C">
              <w:t xml:space="preserve">Women </w:t>
            </w:r>
          </w:p>
        </w:tc>
        <w:tc>
          <w:tcPr>
            <w:tcW w:w="419" w:type="pct"/>
          </w:tcPr>
          <w:p w14:paraId="14306591" w14:textId="77777777" w:rsidR="00D043ED" w:rsidRPr="00657E8C" w:rsidRDefault="00D043ED" w:rsidP="00E620C7">
            <w:pPr>
              <w:pStyle w:val="ARtabletextright"/>
            </w:pPr>
            <w:r w:rsidRPr="00657E8C">
              <w:t>262</w:t>
            </w:r>
          </w:p>
        </w:tc>
        <w:tc>
          <w:tcPr>
            <w:tcW w:w="215" w:type="pct"/>
          </w:tcPr>
          <w:p w14:paraId="1FB5291F" w14:textId="77777777" w:rsidR="00D043ED" w:rsidRPr="00657E8C" w:rsidRDefault="00D043ED" w:rsidP="00E620C7">
            <w:pPr>
              <w:pStyle w:val="ARtabletextright"/>
            </w:pPr>
            <w:r w:rsidRPr="00657E8C">
              <w:t>243.7</w:t>
            </w:r>
          </w:p>
        </w:tc>
        <w:tc>
          <w:tcPr>
            <w:tcW w:w="421" w:type="pct"/>
          </w:tcPr>
          <w:p w14:paraId="03F73BA5" w14:textId="77777777" w:rsidR="00D043ED" w:rsidRPr="00657E8C" w:rsidRDefault="00D043ED" w:rsidP="00E620C7">
            <w:pPr>
              <w:pStyle w:val="ARtabletextright"/>
            </w:pPr>
            <w:r w:rsidRPr="00657E8C">
              <w:t>104</w:t>
            </w:r>
          </w:p>
        </w:tc>
        <w:tc>
          <w:tcPr>
            <w:tcW w:w="421" w:type="pct"/>
          </w:tcPr>
          <w:p w14:paraId="3EB7D0F4" w14:textId="77777777" w:rsidR="00D043ED" w:rsidRPr="00657E8C" w:rsidRDefault="00D043ED" w:rsidP="00E620C7">
            <w:pPr>
              <w:pStyle w:val="ARtabletextright"/>
            </w:pPr>
            <w:r w:rsidRPr="00657E8C">
              <w:t>45</w:t>
            </w:r>
          </w:p>
        </w:tc>
        <w:tc>
          <w:tcPr>
            <w:tcW w:w="215" w:type="pct"/>
          </w:tcPr>
          <w:p w14:paraId="2CD7FA55" w14:textId="77777777" w:rsidR="00D043ED" w:rsidRPr="00657E8C" w:rsidRDefault="00D043ED" w:rsidP="00E620C7">
            <w:pPr>
              <w:pStyle w:val="ARtabletextright"/>
            </w:pPr>
            <w:r w:rsidRPr="00657E8C">
              <w:t>135.9</w:t>
            </w:r>
          </w:p>
        </w:tc>
        <w:tc>
          <w:tcPr>
            <w:tcW w:w="421" w:type="pct"/>
          </w:tcPr>
          <w:p w14:paraId="74AB529C" w14:textId="77777777" w:rsidR="00D043ED" w:rsidRPr="00657E8C" w:rsidRDefault="00D043ED" w:rsidP="00E620C7">
            <w:pPr>
              <w:pStyle w:val="ARtabletextright"/>
            </w:pPr>
            <w:r w:rsidRPr="00657E8C">
              <w:t>113</w:t>
            </w:r>
          </w:p>
        </w:tc>
        <w:tc>
          <w:tcPr>
            <w:tcW w:w="200" w:type="pct"/>
          </w:tcPr>
          <w:p w14:paraId="6B8D32AA" w14:textId="77777777" w:rsidR="00D043ED" w:rsidRPr="00657E8C" w:rsidRDefault="00D043ED" w:rsidP="00E620C7">
            <w:pPr>
              <w:pStyle w:val="ARtabletextright"/>
            </w:pPr>
            <w:r w:rsidRPr="00657E8C">
              <w:t>107.9</w:t>
            </w:r>
          </w:p>
        </w:tc>
        <w:tc>
          <w:tcPr>
            <w:tcW w:w="421" w:type="pct"/>
          </w:tcPr>
          <w:p w14:paraId="22DD97AD" w14:textId="77777777" w:rsidR="00D043ED" w:rsidRPr="00657E8C" w:rsidRDefault="00D043ED" w:rsidP="00E620C7">
            <w:pPr>
              <w:pStyle w:val="ARtabletextright"/>
            </w:pPr>
            <w:r w:rsidRPr="00657E8C">
              <w:t>186</w:t>
            </w:r>
          </w:p>
        </w:tc>
        <w:tc>
          <w:tcPr>
            <w:tcW w:w="215" w:type="pct"/>
          </w:tcPr>
          <w:p w14:paraId="2A107B53" w14:textId="77777777" w:rsidR="00D043ED" w:rsidRPr="00657E8C" w:rsidRDefault="00D043ED" w:rsidP="00E620C7">
            <w:pPr>
              <w:pStyle w:val="ARtabletextright"/>
            </w:pPr>
            <w:r w:rsidRPr="00657E8C">
              <w:t>173.1</w:t>
            </w:r>
          </w:p>
        </w:tc>
        <w:tc>
          <w:tcPr>
            <w:tcW w:w="421" w:type="pct"/>
          </w:tcPr>
          <w:p w14:paraId="5557F0D3" w14:textId="77777777" w:rsidR="00D043ED" w:rsidRPr="00657E8C" w:rsidRDefault="00D043ED" w:rsidP="00E620C7">
            <w:pPr>
              <w:pStyle w:val="ARtabletextright"/>
            </w:pPr>
            <w:r w:rsidRPr="00657E8C">
              <w:t>77</w:t>
            </w:r>
          </w:p>
        </w:tc>
        <w:tc>
          <w:tcPr>
            <w:tcW w:w="421" w:type="pct"/>
          </w:tcPr>
          <w:p w14:paraId="29BEA80B" w14:textId="77777777" w:rsidR="00D043ED" w:rsidRPr="00657E8C" w:rsidRDefault="00D043ED" w:rsidP="00E620C7">
            <w:pPr>
              <w:pStyle w:val="ARtabletextright"/>
            </w:pPr>
            <w:r w:rsidRPr="00657E8C">
              <w:t>36</w:t>
            </w:r>
          </w:p>
        </w:tc>
        <w:tc>
          <w:tcPr>
            <w:tcW w:w="215" w:type="pct"/>
          </w:tcPr>
          <w:p w14:paraId="12417C39" w14:textId="77777777" w:rsidR="00D043ED" w:rsidRPr="00657E8C" w:rsidRDefault="00D043ED" w:rsidP="00E620C7">
            <w:pPr>
              <w:pStyle w:val="ARtabletextright"/>
            </w:pPr>
            <w:r w:rsidRPr="00657E8C">
              <w:t>103.9</w:t>
            </w:r>
          </w:p>
        </w:tc>
        <w:tc>
          <w:tcPr>
            <w:tcW w:w="421" w:type="pct"/>
          </w:tcPr>
          <w:p w14:paraId="75476275" w14:textId="77777777" w:rsidR="00D043ED" w:rsidRPr="00657E8C" w:rsidRDefault="00D043ED" w:rsidP="00E620C7">
            <w:pPr>
              <w:pStyle w:val="ARtabletextright"/>
            </w:pPr>
            <w:r w:rsidRPr="00657E8C">
              <w:t>73</w:t>
            </w:r>
          </w:p>
        </w:tc>
        <w:tc>
          <w:tcPr>
            <w:tcW w:w="206" w:type="pct"/>
          </w:tcPr>
          <w:p w14:paraId="4E9914D8" w14:textId="77777777" w:rsidR="00D043ED" w:rsidRPr="00657E8C" w:rsidRDefault="00D043ED" w:rsidP="00E620C7">
            <w:pPr>
              <w:pStyle w:val="ARtabletextright"/>
            </w:pPr>
            <w:r w:rsidRPr="00657E8C">
              <w:t>69.2</w:t>
            </w:r>
          </w:p>
        </w:tc>
      </w:tr>
      <w:tr w:rsidR="00D043ED" w:rsidRPr="00657E8C" w14:paraId="52D65444" w14:textId="77777777" w:rsidTr="003C6B3A">
        <w:tc>
          <w:tcPr>
            <w:tcW w:w="371" w:type="pct"/>
          </w:tcPr>
          <w:p w14:paraId="57DEA7F4" w14:textId="77777777" w:rsidR="00D043ED" w:rsidRPr="00657E8C" w:rsidRDefault="00D043ED" w:rsidP="00E620C7">
            <w:pPr>
              <w:pStyle w:val="ARtabletext"/>
            </w:pPr>
            <w:r w:rsidRPr="00657E8C">
              <w:t>Men</w:t>
            </w:r>
          </w:p>
        </w:tc>
        <w:tc>
          <w:tcPr>
            <w:tcW w:w="419" w:type="pct"/>
          </w:tcPr>
          <w:p w14:paraId="13DE2F68" w14:textId="77777777" w:rsidR="00D043ED" w:rsidRPr="00657E8C" w:rsidRDefault="00D043ED" w:rsidP="00E620C7">
            <w:pPr>
              <w:pStyle w:val="ARtabletextright"/>
            </w:pPr>
            <w:r w:rsidRPr="00657E8C">
              <w:t>48</w:t>
            </w:r>
          </w:p>
        </w:tc>
        <w:tc>
          <w:tcPr>
            <w:tcW w:w="215" w:type="pct"/>
          </w:tcPr>
          <w:p w14:paraId="4DCD749C" w14:textId="77777777" w:rsidR="00D043ED" w:rsidRPr="00657E8C" w:rsidRDefault="00D043ED" w:rsidP="00E620C7">
            <w:pPr>
              <w:pStyle w:val="ARtabletextright"/>
            </w:pPr>
            <w:r w:rsidRPr="00657E8C">
              <w:t>47.1</w:t>
            </w:r>
          </w:p>
        </w:tc>
        <w:tc>
          <w:tcPr>
            <w:tcW w:w="421" w:type="pct"/>
          </w:tcPr>
          <w:p w14:paraId="5DFF579E" w14:textId="77777777" w:rsidR="00D043ED" w:rsidRPr="00657E8C" w:rsidRDefault="00D043ED" w:rsidP="00E620C7">
            <w:pPr>
              <w:pStyle w:val="ARtabletextright"/>
            </w:pPr>
            <w:r w:rsidRPr="00657E8C">
              <w:t>23</w:t>
            </w:r>
          </w:p>
        </w:tc>
        <w:tc>
          <w:tcPr>
            <w:tcW w:w="421" w:type="pct"/>
          </w:tcPr>
          <w:p w14:paraId="27D12529" w14:textId="77777777" w:rsidR="00D043ED" w:rsidRPr="00657E8C" w:rsidRDefault="00D043ED" w:rsidP="00E620C7">
            <w:pPr>
              <w:pStyle w:val="ARtabletextright"/>
            </w:pPr>
            <w:r w:rsidRPr="00657E8C">
              <w:t>3</w:t>
            </w:r>
          </w:p>
        </w:tc>
        <w:tc>
          <w:tcPr>
            <w:tcW w:w="215" w:type="pct"/>
          </w:tcPr>
          <w:p w14:paraId="1D8B6ACA" w14:textId="77777777" w:rsidR="00D043ED" w:rsidRPr="00657E8C" w:rsidRDefault="00D043ED" w:rsidP="00E620C7">
            <w:pPr>
              <w:pStyle w:val="ARtabletextright"/>
            </w:pPr>
            <w:r w:rsidRPr="00657E8C">
              <w:t>25.5</w:t>
            </w:r>
          </w:p>
        </w:tc>
        <w:tc>
          <w:tcPr>
            <w:tcW w:w="421" w:type="pct"/>
          </w:tcPr>
          <w:p w14:paraId="088C9982" w14:textId="77777777" w:rsidR="00D043ED" w:rsidRPr="00657E8C" w:rsidRDefault="00D043ED" w:rsidP="00E620C7">
            <w:pPr>
              <w:pStyle w:val="ARtabletextright"/>
            </w:pPr>
            <w:r w:rsidRPr="00657E8C">
              <w:t>22</w:t>
            </w:r>
          </w:p>
        </w:tc>
        <w:tc>
          <w:tcPr>
            <w:tcW w:w="200" w:type="pct"/>
          </w:tcPr>
          <w:p w14:paraId="14E9C6B4" w14:textId="77777777" w:rsidR="00D043ED" w:rsidRPr="00657E8C" w:rsidRDefault="00D043ED" w:rsidP="00E620C7">
            <w:pPr>
              <w:pStyle w:val="ARtabletextright"/>
            </w:pPr>
            <w:r w:rsidRPr="00657E8C">
              <w:t>21.6</w:t>
            </w:r>
          </w:p>
        </w:tc>
        <w:tc>
          <w:tcPr>
            <w:tcW w:w="421" w:type="pct"/>
          </w:tcPr>
          <w:p w14:paraId="67789CE3" w14:textId="77777777" w:rsidR="00D043ED" w:rsidRPr="00657E8C" w:rsidRDefault="00D043ED" w:rsidP="00E620C7">
            <w:pPr>
              <w:pStyle w:val="ARtabletextright"/>
            </w:pPr>
            <w:r w:rsidRPr="00657E8C">
              <w:t>32</w:t>
            </w:r>
          </w:p>
        </w:tc>
        <w:tc>
          <w:tcPr>
            <w:tcW w:w="215" w:type="pct"/>
          </w:tcPr>
          <w:p w14:paraId="1927A4D5" w14:textId="77777777" w:rsidR="00D043ED" w:rsidRPr="00657E8C" w:rsidRDefault="00D043ED" w:rsidP="00E620C7">
            <w:pPr>
              <w:pStyle w:val="ARtabletextright"/>
            </w:pPr>
            <w:r w:rsidRPr="00657E8C">
              <w:t>30.9</w:t>
            </w:r>
          </w:p>
        </w:tc>
        <w:tc>
          <w:tcPr>
            <w:tcW w:w="421" w:type="pct"/>
          </w:tcPr>
          <w:p w14:paraId="20EB363B" w14:textId="77777777" w:rsidR="00D043ED" w:rsidRPr="00657E8C" w:rsidRDefault="00D043ED" w:rsidP="00E620C7">
            <w:pPr>
              <w:pStyle w:val="ARtabletextright"/>
            </w:pPr>
            <w:r w:rsidRPr="00657E8C">
              <w:t>17</w:t>
            </w:r>
          </w:p>
        </w:tc>
        <w:tc>
          <w:tcPr>
            <w:tcW w:w="421" w:type="pct"/>
          </w:tcPr>
          <w:p w14:paraId="7A8C2768" w14:textId="77777777" w:rsidR="00D043ED" w:rsidRPr="00657E8C" w:rsidRDefault="00D043ED" w:rsidP="00E620C7">
            <w:pPr>
              <w:pStyle w:val="ARtabletextright"/>
            </w:pPr>
            <w:r w:rsidRPr="00657E8C">
              <w:t>3</w:t>
            </w:r>
          </w:p>
        </w:tc>
        <w:tc>
          <w:tcPr>
            <w:tcW w:w="215" w:type="pct"/>
          </w:tcPr>
          <w:p w14:paraId="6DD0C6E7" w14:textId="77777777" w:rsidR="00D043ED" w:rsidRPr="00657E8C" w:rsidRDefault="00D043ED" w:rsidP="00E620C7">
            <w:pPr>
              <w:pStyle w:val="ARtabletextright"/>
            </w:pPr>
            <w:r w:rsidRPr="00657E8C">
              <w:t>19.3</w:t>
            </w:r>
          </w:p>
        </w:tc>
        <w:tc>
          <w:tcPr>
            <w:tcW w:w="421" w:type="pct"/>
          </w:tcPr>
          <w:p w14:paraId="7D6B6B26" w14:textId="77777777" w:rsidR="00D043ED" w:rsidRPr="00657E8C" w:rsidRDefault="00D043ED" w:rsidP="00E620C7">
            <w:pPr>
              <w:pStyle w:val="ARtabletextright"/>
            </w:pPr>
            <w:r w:rsidRPr="00657E8C">
              <w:t>12</w:t>
            </w:r>
          </w:p>
        </w:tc>
        <w:tc>
          <w:tcPr>
            <w:tcW w:w="206" w:type="pct"/>
          </w:tcPr>
          <w:p w14:paraId="1CFA8BEA" w14:textId="77777777" w:rsidR="00D043ED" w:rsidRPr="00657E8C" w:rsidRDefault="00D043ED" w:rsidP="00E620C7">
            <w:pPr>
              <w:pStyle w:val="ARtabletextright"/>
            </w:pPr>
            <w:r w:rsidRPr="00657E8C">
              <w:t>11.6</w:t>
            </w:r>
          </w:p>
        </w:tc>
      </w:tr>
      <w:tr w:rsidR="003C6B3A" w:rsidRPr="00657E8C" w14:paraId="1D883B9F" w14:textId="77777777" w:rsidTr="003C6B3A">
        <w:tc>
          <w:tcPr>
            <w:tcW w:w="371" w:type="pct"/>
          </w:tcPr>
          <w:p w14:paraId="036BA0C1" w14:textId="267D5B76" w:rsidR="003C6B3A" w:rsidRPr="00657E8C" w:rsidRDefault="003C6B3A" w:rsidP="003C6B3A">
            <w:pPr>
              <w:pStyle w:val="ARtabletext"/>
            </w:pPr>
            <w:r w:rsidRPr="00657E8C">
              <w:t>Self-described</w:t>
            </w:r>
          </w:p>
        </w:tc>
        <w:tc>
          <w:tcPr>
            <w:tcW w:w="419" w:type="pct"/>
          </w:tcPr>
          <w:p w14:paraId="5302BCBE" w14:textId="26305642" w:rsidR="003C6B3A" w:rsidRPr="00657E8C" w:rsidRDefault="003C6B3A" w:rsidP="003C6B3A">
            <w:pPr>
              <w:pStyle w:val="ARtabletextright"/>
            </w:pPr>
            <w:r w:rsidRPr="00657E8C">
              <w:t>n</w:t>
            </w:r>
            <w:r>
              <w:t>a</w:t>
            </w:r>
          </w:p>
        </w:tc>
        <w:tc>
          <w:tcPr>
            <w:tcW w:w="215" w:type="pct"/>
          </w:tcPr>
          <w:p w14:paraId="2B0F9A71" w14:textId="230ECABA" w:rsidR="003C6B3A" w:rsidRPr="00657E8C" w:rsidRDefault="003C6B3A" w:rsidP="003C6B3A">
            <w:pPr>
              <w:pStyle w:val="ARtabletextright"/>
            </w:pPr>
            <w:r>
              <w:t>na</w:t>
            </w:r>
          </w:p>
        </w:tc>
        <w:tc>
          <w:tcPr>
            <w:tcW w:w="421" w:type="pct"/>
          </w:tcPr>
          <w:p w14:paraId="10A4BD97" w14:textId="29DD76AF" w:rsidR="003C6B3A" w:rsidRPr="00657E8C" w:rsidRDefault="003C6B3A" w:rsidP="003C6B3A">
            <w:pPr>
              <w:pStyle w:val="ARtabletextright"/>
            </w:pPr>
            <w:r>
              <w:t>na</w:t>
            </w:r>
          </w:p>
        </w:tc>
        <w:tc>
          <w:tcPr>
            <w:tcW w:w="421" w:type="pct"/>
          </w:tcPr>
          <w:p w14:paraId="1B0A09D9" w14:textId="2B182419" w:rsidR="003C6B3A" w:rsidRPr="00657E8C" w:rsidRDefault="003C6B3A" w:rsidP="003C6B3A">
            <w:pPr>
              <w:pStyle w:val="ARtabletextright"/>
            </w:pPr>
            <w:r>
              <w:t>na</w:t>
            </w:r>
          </w:p>
        </w:tc>
        <w:tc>
          <w:tcPr>
            <w:tcW w:w="215" w:type="pct"/>
          </w:tcPr>
          <w:p w14:paraId="6B2881F3" w14:textId="6B442BEC" w:rsidR="003C6B3A" w:rsidRPr="00657E8C" w:rsidRDefault="003C6B3A" w:rsidP="003C6B3A">
            <w:pPr>
              <w:pStyle w:val="ARtabletextright"/>
            </w:pPr>
            <w:r w:rsidRPr="00657E8C">
              <w:t>n</w:t>
            </w:r>
            <w:r>
              <w:t>a</w:t>
            </w:r>
          </w:p>
        </w:tc>
        <w:tc>
          <w:tcPr>
            <w:tcW w:w="421" w:type="pct"/>
          </w:tcPr>
          <w:p w14:paraId="0C0E495B" w14:textId="477CBB79" w:rsidR="003C6B3A" w:rsidRPr="00657E8C" w:rsidRDefault="003C6B3A" w:rsidP="003C6B3A">
            <w:pPr>
              <w:pStyle w:val="ARtabletextright"/>
            </w:pPr>
            <w:r w:rsidRPr="00657E8C">
              <w:t>n</w:t>
            </w:r>
            <w:r>
              <w:t>a</w:t>
            </w:r>
          </w:p>
        </w:tc>
        <w:tc>
          <w:tcPr>
            <w:tcW w:w="200" w:type="pct"/>
          </w:tcPr>
          <w:p w14:paraId="1B20E820" w14:textId="4BB7B9C1" w:rsidR="003C6B3A" w:rsidRPr="00657E8C" w:rsidRDefault="003C6B3A" w:rsidP="003C6B3A">
            <w:pPr>
              <w:pStyle w:val="ARtabletextright"/>
            </w:pPr>
            <w:r w:rsidRPr="00657E8C">
              <w:t>n</w:t>
            </w:r>
            <w:r>
              <w:t>a</w:t>
            </w:r>
          </w:p>
        </w:tc>
        <w:tc>
          <w:tcPr>
            <w:tcW w:w="421" w:type="pct"/>
          </w:tcPr>
          <w:p w14:paraId="5875D2B7" w14:textId="4A6E5471" w:rsidR="003C6B3A" w:rsidRPr="00657E8C" w:rsidRDefault="003C6B3A" w:rsidP="003C6B3A">
            <w:pPr>
              <w:pStyle w:val="ARtabletextright"/>
            </w:pPr>
            <w:r w:rsidRPr="00657E8C">
              <w:t>n</w:t>
            </w:r>
            <w:r>
              <w:t>a</w:t>
            </w:r>
          </w:p>
        </w:tc>
        <w:tc>
          <w:tcPr>
            <w:tcW w:w="215" w:type="pct"/>
          </w:tcPr>
          <w:p w14:paraId="3B218E12" w14:textId="71E17229" w:rsidR="003C6B3A" w:rsidRPr="00657E8C" w:rsidRDefault="003C6B3A" w:rsidP="003C6B3A">
            <w:pPr>
              <w:pStyle w:val="ARtabletextright"/>
            </w:pPr>
            <w:r w:rsidRPr="00657E8C">
              <w:t>n</w:t>
            </w:r>
            <w:r>
              <w:t>a</w:t>
            </w:r>
          </w:p>
        </w:tc>
        <w:tc>
          <w:tcPr>
            <w:tcW w:w="421" w:type="pct"/>
          </w:tcPr>
          <w:p w14:paraId="11542F58" w14:textId="301A3624" w:rsidR="003C6B3A" w:rsidRPr="00657E8C" w:rsidRDefault="003C6B3A" w:rsidP="003C6B3A">
            <w:pPr>
              <w:pStyle w:val="ARtabletextright"/>
            </w:pPr>
            <w:r w:rsidRPr="00657E8C">
              <w:t>n</w:t>
            </w:r>
            <w:r>
              <w:t>a</w:t>
            </w:r>
          </w:p>
        </w:tc>
        <w:tc>
          <w:tcPr>
            <w:tcW w:w="421" w:type="pct"/>
          </w:tcPr>
          <w:p w14:paraId="65A8FE89" w14:textId="0B971627" w:rsidR="003C6B3A" w:rsidRPr="00657E8C" w:rsidRDefault="003C6B3A" w:rsidP="003C6B3A">
            <w:pPr>
              <w:pStyle w:val="ARtabletextright"/>
            </w:pPr>
            <w:r w:rsidRPr="00657E8C">
              <w:t>n</w:t>
            </w:r>
            <w:r>
              <w:t>a</w:t>
            </w:r>
          </w:p>
        </w:tc>
        <w:tc>
          <w:tcPr>
            <w:tcW w:w="215" w:type="pct"/>
          </w:tcPr>
          <w:p w14:paraId="1F39B71F" w14:textId="4336B006" w:rsidR="003C6B3A" w:rsidRPr="00657E8C" w:rsidRDefault="003C6B3A" w:rsidP="003C6B3A">
            <w:pPr>
              <w:pStyle w:val="ARtabletextright"/>
            </w:pPr>
            <w:r w:rsidRPr="00657E8C">
              <w:t>n</w:t>
            </w:r>
            <w:r>
              <w:t>a</w:t>
            </w:r>
          </w:p>
        </w:tc>
        <w:tc>
          <w:tcPr>
            <w:tcW w:w="421" w:type="pct"/>
          </w:tcPr>
          <w:p w14:paraId="0432E294" w14:textId="6EF3C6EB" w:rsidR="003C6B3A" w:rsidRPr="00657E8C" w:rsidRDefault="003C6B3A" w:rsidP="003C6B3A">
            <w:pPr>
              <w:pStyle w:val="ARtabletextright"/>
            </w:pPr>
            <w:r w:rsidRPr="00657E8C">
              <w:t>n</w:t>
            </w:r>
            <w:r>
              <w:t>a</w:t>
            </w:r>
          </w:p>
        </w:tc>
        <w:tc>
          <w:tcPr>
            <w:tcW w:w="206" w:type="pct"/>
          </w:tcPr>
          <w:p w14:paraId="2F2AF1BA" w14:textId="71856B41" w:rsidR="003C6B3A" w:rsidRPr="00657E8C" w:rsidRDefault="003C6B3A" w:rsidP="003C6B3A">
            <w:pPr>
              <w:pStyle w:val="ARtabletextright"/>
            </w:pPr>
            <w:r w:rsidRPr="00657E8C">
              <w:t>n</w:t>
            </w:r>
            <w:r>
              <w:t>a</w:t>
            </w:r>
          </w:p>
        </w:tc>
      </w:tr>
      <w:tr w:rsidR="00D043ED" w:rsidRPr="00657E8C" w14:paraId="2F8ACA10" w14:textId="77777777" w:rsidTr="00F16145">
        <w:tc>
          <w:tcPr>
            <w:tcW w:w="5000" w:type="pct"/>
            <w:gridSpan w:val="15"/>
          </w:tcPr>
          <w:p w14:paraId="0E640E71" w14:textId="77777777" w:rsidR="00D043ED" w:rsidRPr="00657E8C" w:rsidRDefault="00D043ED" w:rsidP="00E620C7">
            <w:pPr>
              <w:pStyle w:val="ARtablebluebold"/>
              <w:rPr>
                <w:i/>
                <w:sz w:val="20"/>
              </w:rPr>
            </w:pPr>
            <w:r w:rsidRPr="00657E8C">
              <w:t>Age</w:t>
            </w:r>
          </w:p>
        </w:tc>
      </w:tr>
      <w:tr w:rsidR="00D043ED" w:rsidRPr="00657E8C" w14:paraId="542CC65A" w14:textId="77777777" w:rsidTr="003C6B3A">
        <w:tc>
          <w:tcPr>
            <w:tcW w:w="371" w:type="pct"/>
          </w:tcPr>
          <w:p w14:paraId="7A768673" w14:textId="77777777" w:rsidR="00D043ED" w:rsidRPr="00657E8C" w:rsidRDefault="00D043ED" w:rsidP="00E620C7">
            <w:pPr>
              <w:pStyle w:val="ARtabletext"/>
            </w:pPr>
            <w:r w:rsidRPr="00657E8C">
              <w:t>15</w:t>
            </w:r>
            <w:r>
              <w:t>–</w:t>
            </w:r>
            <w:r w:rsidRPr="00657E8C">
              <w:t>24</w:t>
            </w:r>
          </w:p>
        </w:tc>
        <w:tc>
          <w:tcPr>
            <w:tcW w:w="419" w:type="pct"/>
          </w:tcPr>
          <w:p w14:paraId="3010E449" w14:textId="77777777" w:rsidR="00D043ED" w:rsidRPr="00657E8C" w:rsidRDefault="00D043ED" w:rsidP="00E620C7">
            <w:pPr>
              <w:pStyle w:val="ARtabletextright"/>
            </w:pPr>
            <w:r w:rsidRPr="00657E8C">
              <w:t>10</w:t>
            </w:r>
          </w:p>
        </w:tc>
        <w:tc>
          <w:tcPr>
            <w:tcW w:w="215" w:type="pct"/>
          </w:tcPr>
          <w:p w14:paraId="13129DC3" w14:textId="77777777" w:rsidR="00D043ED" w:rsidRPr="00657E8C" w:rsidRDefault="00D043ED" w:rsidP="00E620C7">
            <w:pPr>
              <w:pStyle w:val="ARtabletextright"/>
            </w:pPr>
            <w:r w:rsidRPr="00657E8C">
              <w:t>9.4</w:t>
            </w:r>
          </w:p>
        </w:tc>
        <w:tc>
          <w:tcPr>
            <w:tcW w:w="421" w:type="pct"/>
          </w:tcPr>
          <w:p w14:paraId="4C3B0221" w14:textId="77777777" w:rsidR="00D043ED" w:rsidRPr="00657E8C" w:rsidRDefault="00D043ED" w:rsidP="00E620C7">
            <w:pPr>
              <w:pStyle w:val="ARtabletextright"/>
            </w:pPr>
            <w:r w:rsidRPr="00657E8C">
              <w:t>1</w:t>
            </w:r>
          </w:p>
        </w:tc>
        <w:tc>
          <w:tcPr>
            <w:tcW w:w="421" w:type="pct"/>
          </w:tcPr>
          <w:p w14:paraId="0ECD7FFC" w14:textId="77777777" w:rsidR="00D043ED" w:rsidRPr="00657E8C" w:rsidRDefault="00D043ED" w:rsidP="00E620C7">
            <w:pPr>
              <w:pStyle w:val="ARtabletextright"/>
            </w:pPr>
            <w:r w:rsidRPr="00657E8C">
              <w:t>1</w:t>
            </w:r>
          </w:p>
        </w:tc>
        <w:tc>
          <w:tcPr>
            <w:tcW w:w="215" w:type="pct"/>
          </w:tcPr>
          <w:p w14:paraId="7CB3B1C6" w14:textId="77777777" w:rsidR="00D043ED" w:rsidRPr="00657E8C" w:rsidRDefault="00D043ED" w:rsidP="00E620C7">
            <w:pPr>
              <w:pStyle w:val="ARtabletextright"/>
            </w:pPr>
            <w:r w:rsidRPr="00657E8C">
              <w:t>1.6</w:t>
            </w:r>
          </w:p>
        </w:tc>
        <w:tc>
          <w:tcPr>
            <w:tcW w:w="421" w:type="pct"/>
          </w:tcPr>
          <w:p w14:paraId="14B7E0DC" w14:textId="77777777" w:rsidR="00D043ED" w:rsidRPr="00657E8C" w:rsidRDefault="00D043ED" w:rsidP="00E620C7">
            <w:pPr>
              <w:pStyle w:val="ARtabletextright"/>
            </w:pPr>
            <w:r w:rsidRPr="00657E8C">
              <w:t>8</w:t>
            </w:r>
          </w:p>
        </w:tc>
        <w:tc>
          <w:tcPr>
            <w:tcW w:w="200" w:type="pct"/>
          </w:tcPr>
          <w:p w14:paraId="6D3A08FF" w14:textId="77777777" w:rsidR="00D043ED" w:rsidRPr="00657E8C" w:rsidRDefault="00D043ED" w:rsidP="00E620C7">
            <w:pPr>
              <w:pStyle w:val="ARtabletextright"/>
            </w:pPr>
            <w:r w:rsidRPr="00657E8C">
              <w:t>7.8</w:t>
            </w:r>
          </w:p>
        </w:tc>
        <w:tc>
          <w:tcPr>
            <w:tcW w:w="421" w:type="pct"/>
          </w:tcPr>
          <w:p w14:paraId="66781DDD" w14:textId="77777777" w:rsidR="00D043ED" w:rsidRPr="00657E8C" w:rsidRDefault="00D043ED" w:rsidP="00E620C7">
            <w:pPr>
              <w:pStyle w:val="ARtabletextright"/>
            </w:pPr>
            <w:r w:rsidRPr="00657E8C">
              <w:t>6</w:t>
            </w:r>
          </w:p>
        </w:tc>
        <w:tc>
          <w:tcPr>
            <w:tcW w:w="215" w:type="pct"/>
          </w:tcPr>
          <w:p w14:paraId="291E919C" w14:textId="77777777" w:rsidR="00D043ED" w:rsidRPr="00657E8C" w:rsidRDefault="00D043ED" w:rsidP="00E620C7">
            <w:pPr>
              <w:pStyle w:val="ARtabletextright"/>
            </w:pPr>
            <w:r w:rsidRPr="00657E8C">
              <w:t>6</w:t>
            </w:r>
          </w:p>
        </w:tc>
        <w:tc>
          <w:tcPr>
            <w:tcW w:w="421" w:type="pct"/>
          </w:tcPr>
          <w:p w14:paraId="14C4DDD9" w14:textId="77777777" w:rsidR="00D043ED" w:rsidRPr="00657E8C" w:rsidRDefault="00D043ED" w:rsidP="00E620C7">
            <w:pPr>
              <w:pStyle w:val="ARtabletextright"/>
            </w:pPr>
            <w:r w:rsidRPr="00657E8C">
              <w:t>1</w:t>
            </w:r>
          </w:p>
        </w:tc>
        <w:tc>
          <w:tcPr>
            <w:tcW w:w="421" w:type="pct"/>
          </w:tcPr>
          <w:p w14:paraId="5F7F8EF1" w14:textId="77777777" w:rsidR="00D043ED" w:rsidRPr="00657E8C" w:rsidRDefault="00D043ED" w:rsidP="00E620C7">
            <w:pPr>
              <w:pStyle w:val="ARtabletextright"/>
            </w:pPr>
            <w:r w:rsidRPr="00657E8C">
              <w:t>0</w:t>
            </w:r>
          </w:p>
        </w:tc>
        <w:tc>
          <w:tcPr>
            <w:tcW w:w="215" w:type="pct"/>
          </w:tcPr>
          <w:p w14:paraId="3B9BADD6" w14:textId="77777777" w:rsidR="00D043ED" w:rsidRPr="00657E8C" w:rsidRDefault="00D043ED" w:rsidP="00E620C7">
            <w:pPr>
              <w:pStyle w:val="ARtabletextright"/>
            </w:pPr>
            <w:r w:rsidRPr="00657E8C">
              <w:t>1</w:t>
            </w:r>
          </w:p>
        </w:tc>
        <w:tc>
          <w:tcPr>
            <w:tcW w:w="421" w:type="pct"/>
          </w:tcPr>
          <w:p w14:paraId="5E68AF00" w14:textId="77777777" w:rsidR="00D043ED" w:rsidRPr="00657E8C" w:rsidRDefault="00D043ED" w:rsidP="00E620C7">
            <w:pPr>
              <w:pStyle w:val="ARtabletextright"/>
            </w:pPr>
            <w:r w:rsidRPr="00657E8C">
              <w:t>5</w:t>
            </w:r>
          </w:p>
        </w:tc>
        <w:tc>
          <w:tcPr>
            <w:tcW w:w="206" w:type="pct"/>
          </w:tcPr>
          <w:p w14:paraId="710E7F0B" w14:textId="77777777" w:rsidR="00D043ED" w:rsidRPr="00657E8C" w:rsidRDefault="00D043ED" w:rsidP="00E620C7">
            <w:pPr>
              <w:pStyle w:val="ARtabletextright"/>
            </w:pPr>
            <w:r w:rsidRPr="00657E8C">
              <w:t>5</w:t>
            </w:r>
          </w:p>
        </w:tc>
      </w:tr>
      <w:tr w:rsidR="00D043ED" w:rsidRPr="00657E8C" w14:paraId="311700B8" w14:textId="77777777" w:rsidTr="003C6B3A">
        <w:tc>
          <w:tcPr>
            <w:tcW w:w="371" w:type="pct"/>
          </w:tcPr>
          <w:p w14:paraId="54C24030" w14:textId="77777777" w:rsidR="00D043ED" w:rsidRPr="00657E8C" w:rsidRDefault="00D043ED" w:rsidP="00E620C7">
            <w:pPr>
              <w:pStyle w:val="ARtabletext"/>
            </w:pPr>
            <w:r w:rsidRPr="00657E8C">
              <w:t>25</w:t>
            </w:r>
            <w:r>
              <w:t>–</w:t>
            </w:r>
            <w:r w:rsidRPr="00657E8C">
              <w:t>34</w:t>
            </w:r>
          </w:p>
        </w:tc>
        <w:tc>
          <w:tcPr>
            <w:tcW w:w="419" w:type="pct"/>
          </w:tcPr>
          <w:p w14:paraId="3B2554F1" w14:textId="77777777" w:rsidR="00D043ED" w:rsidRPr="00657E8C" w:rsidRDefault="00D043ED" w:rsidP="00E620C7">
            <w:pPr>
              <w:pStyle w:val="ARtabletextright"/>
            </w:pPr>
            <w:r w:rsidRPr="00657E8C">
              <w:t>64</w:t>
            </w:r>
          </w:p>
        </w:tc>
        <w:tc>
          <w:tcPr>
            <w:tcW w:w="215" w:type="pct"/>
          </w:tcPr>
          <w:p w14:paraId="223883C9" w14:textId="77777777" w:rsidR="00D043ED" w:rsidRPr="00657E8C" w:rsidRDefault="00D043ED" w:rsidP="00E620C7">
            <w:pPr>
              <w:pStyle w:val="ARtabletextright"/>
            </w:pPr>
            <w:r w:rsidRPr="00657E8C">
              <w:t>62.1</w:t>
            </w:r>
          </w:p>
        </w:tc>
        <w:tc>
          <w:tcPr>
            <w:tcW w:w="421" w:type="pct"/>
          </w:tcPr>
          <w:p w14:paraId="6D246E83" w14:textId="77777777" w:rsidR="00D043ED" w:rsidRPr="00657E8C" w:rsidRDefault="00D043ED" w:rsidP="00E620C7">
            <w:pPr>
              <w:pStyle w:val="ARtabletextright"/>
            </w:pPr>
            <w:r w:rsidRPr="00657E8C">
              <w:t>23</w:t>
            </w:r>
          </w:p>
        </w:tc>
        <w:tc>
          <w:tcPr>
            <w:tcW w:w="421" w:type="pct"/>
          </w:tcPr>
          <w:p w14:paraId="29B09625" w14:textId="77777777" w:rsidR="00D043ED" w:rsidRPr="00657E8C" w:rsidRDefault="00D043ED" w:rsidP="00E620C7">
            <w:pPr>
              <w:pStyle w:val="ARtabletextright"/>
            </w:pPr>
            <w:r w:rsidRPr="00657E8C">
              <w:t>4</w:t>
            </w:r>
          </w:p>
        </w:tc>
        <w:tc>
          <w:tcPr>
            <w:tcW w:w="215" w:type="pct"/>
          </w:tcPr>
          <w:p w14:paraId="767CDB56" w14:textId="77777777" w:rsidR="00D043ED" w:rsidRPr="00657E8C" w:rsidRDefault="00D043ED" w:rsidP="00E620C7">
            <w:pPr>
              <w:pStyle w:val="ARtabletextright"/>
            </w:pPr>
            <w:r w:rsidRPr="00657E8C">
              <w:t>25.8</w:t>
            </w:r>
          </w:p>
        </w:tc>
        <w:tc>
          <w:tcPr>
            <w:tcW w:w="421" w:type="pct"/>
          </w:tcPr>
          <w:p w14:paraId="2EF7608A" w14:textId="77777777" w:rsidR="00D043ED" w:rsidRPr="00657E8C" w:rsidRDefault="00D043ED" w:rsidP="00E620C7">
            <w:pPr>
              <w:pStyle w:val="ARtabletextright"/>
            </w:pPr>
            <w:r w:rsidRPr="00657E8C">
              <w:t>37</w:t>
            </w:r>
          </w:p>
        </w:tc>
        <w:tc>
          <w:tcPr>
            <w:tcW w:w="200" w:type="pct"/>
          </w:tcPr>
          <w:p w14:paraId="633F4FFE" w14:textId="77777777" w:rsidR="00D043ED" w:rsidRPr="00657E8C" w:rsidRDefault="00D043ED" w:rsidP="00E620C7">
            <w:pPr>
              <w:pStyle w:val="ARtabletextright"/>
            </w:pPr>
            <w:r w:rsidRPr="00657E8C">
              <w:t>36.3</w:t>
            </w:r>
          </w:p>
        </w:tc>
        <w:tc>
          <w:tcPr>
            <w:tcW w:w="421" w:type="pct"/>
          </w:tcPr>
          <w:p w14:paraId="0EECB684" w14:textId="77777777" w:rsidR="00D043ED" w:rsidRPr="00657E8C" w:rsidRDefault="00D043ED" w:rsidP="00E620C7">
            <w:pPr>
              <w:pStyle w:val="ARtabletextright"/>
            </w:pPr>
            <w:r w:rsidRPr="00657E8C">
              <w:t>60</w:t>
            </w:r>
          </w:p>
        </w:tc>
        <w:tc>
          <w:tcPr>
            <w:tcW w:w="215" w:type="pct"/>
          </w:tcPr>
          <w:p w14:paraId="2A22A75E" w14:textId="77777777" w:rsidR="00D043ED" w:rsidRPr="00657E8C" w:rsidRDefault="00D043ED" w:rsidP="00E620C7">
            <w:pPr>
              <w:pStyle w:val="ARtabletextright"/>
            </w:pPr>
            <w:r w:rsidRPr="00657E8C">
              <w:t>57.5</w:t>
            </w:r>
          </w:p>
        </w:tc>
        <w:tc>
          <w:tcPr>
            <w:tcW w:w="421" w:type="pct"/>
          </w:tcPr>
          <w:p w14:paraId="0E7B8A95" w14:textId="77777777" w:rsidR="00D043ED" w:rsidRPr="00657E8C" w:rsidRDefault="00D043ED" w:rsidP="00E620C7">
            <w:pPr>
              <w:pStyle w:val="ARtabletextright"/>
            </w:pPr>
            <w:r w:rsidRPr="00657E8C">
              <w:t>24</w:t>
            </w:r>
          </w:p>
        </w:tc>
        <w:tc>
          <w:tcPr>
            <w:tcW w:w="421" w:type="pct"/>
          </w:tcPr>
          <w:p w14:paraId="348029E8" w14:textId="77777777" w:rsidR="00D043ED" w:rsidRPr="00657E8C" w:rsidRDefault="00D043ED" w:rsidP="00E620C7">
            <w:pPr>
              <w:pStyle w:val="ARtabletextright"/>
            </w:pPr>
            <w:r w:rsidRPr="00657E8C">
              <w:t>6</w:t>
            </w:r>
          </w:p>
        </w:tc>
        <w:tc>
          <w:tcPr>
            <w:tcW w:w="215" w:type="pct"/>
          </w:tcPr>
          <w:p w14:paraId="33D47077" w14:textId="77777777" w:rsidR="00D043ED" w:rsidRPr="00657E8C" w:rsidRDefault="00D043ED" w:rsidP="00E620C7">
            <w:pPr>
              <w:pStyle w:val="ARtabletextright"/>
            </w:pPr>
            <w:r w:rsidRPr="00657E8C">
              <w:t>28.5</w:t>
            </w:r>
          </w:p>
        </w:tc>
        <w:tc>
          <w:tcPr>
            <w:tcW w:w="421" w:type="pct"/>
          </w:tcPr>
          <w:p w14:paraId="77EB4E22" w14:textId="77777777" w:rsidR="00D043ED" w:rsidRPr="00657E8C" w:rsidRDefault="00D043ED" w:rsidP="00E620C7">
            <w:pPr>
              <w:pStyle w:val="ARtabletextright"/>
            </w:pPr>
            <w:r w:rsidRPr="00657E8C">
              <w:t>30</w:t>
            </w:r>
          </w:p>
        </w:tc>
        <w:tc>
          <w:tcPr>
            <w:tcW w:w="206" w:type="pct"/>
          </w:tcPr>
          <w:p w14:paraId="19216471" w14:textId="77777777" w:rsidR="00D043ED" w:rsidRPr="00657E8C" w:rsidRDefault="00D043ED" w:rsidP="00E620C7">
            <w:pPr>
              <w:pStyle w:val="ARtabletextright"/>
            </w:pPr>
            <w:r w:rsidRPr="00657E8C">
              <w:t>29</w:t>
            </w:r>
          </w:p>
        </w:tc>
      </w:tr>
      <w:tr w:rsidR="00D043ED" w:rsidRPr="00657E8C" w14:paraId="29BCF931" w14:textId="77777777" w:rsidTr="003C6B3A">
        <w:tc>
          <w:tcPr>
            <w:tcW w:w="371" w:type="pct"/>
          </w:tcPr>
          <w:p w14:paraId="5A835920" w14:textId="77777777" w:rsidR="00D043ED" w:rsidRPr="00657E8C" w:rsidRDefault="00D043ED" w:rsidP="00E620C7">
            <w:pPr>
              <w:pStyle w:val="ARtabletext"/>
            </w:pPr>
            <w:r w:rsidRPr="00657E8C">
              <w:t>35</w:t>
            </w:r>
            <w:r>
              <w:t>–</w:t>
            </w:r>
            <w:r w:rsidRPr="00657E8C">
              <w:t>44</w:t>
            </w:r>
          </w:p>
        </w:tc>
        <w:tc>
          <w:tcPr>
            <w:tcW w:w="419" w:type="pct"/>
          </w:tcPr>
          <w:p w14:paraId="7BFF08FF" w14:textId="77777777" w:rsidR="00D043ED" w:rsidRPr="00657E8C" w:rsidRDefault="00D043ED" w:rsidP="00E620C7">
            <w:pPr>
              <w:pStyle w:val="ARtabletextright"/>
            </w:pPr>
            <w:r w:rsidRPr="00657E8C">
              <w:t>127</w:t>
            </w:r>
          </w:p>
        </w:tc>
        <w:tc>
          <w:tcPr>
            <w:tcW w:w="215" w:type="pct"/>
          </w:tcPr>
          <w:p w14:paraId="02091FD1" w14:textId="77777777" w:rsidR="00D043ED" w:rsidRPr="00657E8C" w:rsidRDefault="00D043ED" w:rsidP="00E620C7">
            <w:pPr>
              <w:pStyle w:val="ARtabletextright"/>
            </w:pPr>
            <w:r w:rsidRPr="00657E8C">
              <w:t>115.2</w:t>
            </w:r>
          </w:p>
        </w:tc>
        <w:tc>
          <w:tcPr>
            <w:tcW w:w="421" w:type="pct"/>
          </w:tcPr>
          <w:p w14:paraId="33164E19" w14:textId="77777777" w:rsidR="00D043ED" w:rsidRPr="00657E8C" w:rsidRDefault="00D043ED" w:rsidP="00E620C7">
            <w:pPr>
              <w:pStyle w:val="ARtabletextright"/>
            </w:pPr>
            <w:r w:rsidRPr="00657E8C">
              <w:t>43</w:t>
            </w:r>
          </w:p>
        </w:tc>
        <w:tc>
          <w:tcPr>
            <w:tcW w:w="421" w:type="pct"/>
          </w:tcPr>
          <w:p w14:paraId="79BEDF43" w14:textId="77777777" w:rsidR="00D043ED" w:rsidRPr="00657E8C" w:rsidRDefault="00D043ED" w:rsidP="00E620C7">
            <w:pPr>
              <w:pStyle w:val="ARtabletextright"/>
            </w:pPr>
            <w:r w:rsidRPr="00657E8C">
              <w:t>29</w:t>
            </w:r>
          </w:p>
        </w:tc>
        <w:tc>
          <w:tcPr>
            <w:tcW w:w="215" w:type="pct"/>
          </w:tcPr>
          <w:p w14:paraId="2A87F771" w14:textId="77777777" w:rsidR="00D043ED" w:rsidRPr="00657E8C" w:rsidRDefault="00D043ED" w:rsidP="00E620C7">
            <w:pPr>
              <w:pStyle w:val="ARtabletextright"/>
            </w:pPr>
            <w:r w:rsidRPr="00657E8C">
              <w:t>63.5</w:t>
            </w:r>
          </w:p>
        </w:tc>
        <w:tc>
          <w:tcPr>
            <w:tcW w:w="421" w:type="pct"/>
          </w:tcPr>
          <w:p w14:paraId="3D2C6552" w14:textId="77777777" w:rsidR="00D043ED" w:rsidRPr="00657E8C" w:rsidRDefault="00D043ED" w:rsidP="00E620C7">
            <w:pPr>
              <w:pStyle w:val="ARtabletextright"/>
            </w:pPr>
            <w:r w:rsidRPr="00657E8C">
              <w:t>55</w:t>
            </w:r>
          </w:p>
        </w:tc>
        <w:tc>
          <w:tcPr>
            <w:tcW w:w="200" w:type="pct"/>
          </w:tcPr>
          <w:p w14:paraId="6B37C843" w14:textId="77777777" w:rsidR="00D043ED" w:rsidRPr="00657E8C" w:rsidRDefault="00D043ED" w:rsidP="00E620C7">
            <w:pPr>
              <w:pStyle w:val="ARtabletextright"/>
            </w:pPr>
            <w:r w:rsidRPr="00657E8C">
              <w:t>51.8</w:t>
            </w:r>
          </w:p>
        </w:tc>
        <w:tc>
          <w:tcPr>
            <w:tcW w:w="421" w:type="pct"/>
          </w:tcPr>
          <w:p w14:paraId="560AAB7F" w14:textId="77777777" w:rsidR="00D043ED" w:rsidRPr="00657E8C" w:rsidRDefault="00D043ED" w:rsidP="00E620C7">
            <w:pPr>
              <w:pStyle w:val="ARtabletextright"/>
            </w:pPr>
            <w:r w:rsidRPr="00657E8C">
              <w:t>86</w:t>
            </w:r>
          </w:p>
        </w:tc>
        <w:tc>
          <w:tcPr>
            <w:tcW w:w="215" w:type="pct"/>
          </w:tcPr>
          <w:p w14:paraId="72621C66" w14:textId="77777777" w:rsidR="00D043ED" w:rsidRPr="00657E8C" w:rsidRDefault="00D043ED" w:rsidP="00E620C7">
            <w:pPr>
              <w:pStyle w:val="ARtabletextright"/>
            </w:pPr>
            <w:r w:rsidRPr="00657E8C">
              <w:t>77.7</w:t>
            </w:r>
          </w:p>
        </w:tc>
        <w:tc>
          <w:tcPr>
            <w:tcW w:w="421" w:type="pct"/>
          </w:tcPr>
          <w:p w14:paraId="38E85929" w14:textId="77777777" w:rsidR="00D043ED" w:rsidRPr="00657E8C" w:rsidRDefault="00D043ED" w:rsidP="00E620C7">
            <w:pPr>
              <w:pStyle w:val="ARtabletextright"/>
            </w:pPr>
            <w:r w:rsidRPr="00657E8C">
              <w:t>34</w:t>
            </w:r>
          </w:p>
        </w:tc>
        <w:tc>
          <w:tcPr>
            <w:tcW w:w="421" w:type="pct"/>
          </w:tcPr>
          <w:p w14:paraId="44B14725" w14:textId="77777777" w:rsidR="00D043ED" w:rsidRPr="00657E8C" w:rsidRDefault="00D043ED" w:rsidP="00E620C7">
            <w:pPr>
              <w:pStyle w:val="ARtabletextright"/>
            </w:pPr>
            <w:r w:rsidRPr="00657E8C">
              <w:t>22</w:t>
            </w:r>
          </w:p>
        </w:tc>
        <w:tc>
          <w:tcPr>
            <w:tcW w:w="215" w:type="pct"/>
          </w:tcPr>
          <w:p w14:paraId="60033AB2" w14:textId="77777777" w:rsidR="00D043ED" w:rsidRPr="00657E8C" w:rsidRDefault="00D043ED" w:rsidP="00E620C7">
            <w:pPr>
              <w:pStyle w:val="ARtabletextright"/>
            </w:pPr>
            <w:r w:rsidRPr="00657E8C">
              <w:t>49.8</w:t>
            </w:r>
          </w:p>
        </w:tc>
        <w:tc>
          <w:tcPr>
            <w:tcW w:w="421" w:type="pct"/>
          </w:tcPr>
          <w:p w14:paraId="76EF99D9" w14:textId="77777777" w:rsidR="00D043ED" w:rsidRPr="00657E8C" w:rsidRDefault="00D043ED" w:rsidP="00E620C7">
            <w:pPr>
              <w:pStyle w:val="ARtabletextright"/>
            </w:pPr>
            <w:r w:rsidRPr="00657E8C">
              <w:t>30</w:t>
            </w:r>
          </w:p>
        </w:tc>
        <w:tc>
          <w:tcPr>
            <w:tcW w:w="206" w:type="pct"/>
          </w:tcPr>
          <w:p w14:paraId="60EE1C35" w14:textId="77777777" w:rsidR="00D043ED" w:rsidRPr="00657E8C" w:rsidRDefault="00D043ED" w:rsidP="00E620C7">
            <w:pPr>
              <w:pStyle w:val="ARtabletextright"/>
            </w:pPr>
            <w:r w:rsidRPr="00657E8C">
              <w:t>27.9</w:t>
            </w:r>
          </w:p>
        </w:tc>
      </w:tr>
      <w:tr w:rsidR="00D043ED" w:rsidRPr="00657E8C" w14:paraId="5246F70C" w14:textId="77777777" w:rsidTr="003C6B3A">
        <w:tc>
          <w:tcPr>
            <w:tcW w:w="371" w:type="pct"/>
          </w:tcPr>
          <w:p w14:paraId="51B0A1C5" w14:textId="77777777" w:rsidR="00D043ED" w:rsidRPr="00657E8C" w:rsidRDefault="00D043ED" w:rsidP="00E620C7">
            <w:pPr>
              <w:pStyle w:val="ARtabletext"/>
            </w:pPr>
            <w:r w:rsidRPr="00657E8C">
              <w:t>45</w:t>
            </w:r>
            <w:r>
              <w:t>–</w:t>
            </w:r>
            <w:r w:rsidRPr="00657E8C">
              <w:t>54</w:t>
            </w:r>
          </w:p>
        </w:tc>
        <w:tc>
          <w:tcPr>
            <w:tcW w:w="419" w:type="pct"/>
          </w:tcPr>
          <w:p w14:paraId="003ADBA9" w14:textId="77777777" w:rsidR="00D043ED" w:rsidRPr="00657E8C" w:rsidRDefault="00D043ED" w:rsidP="00E620C7">
            <w:pPr>
              <w:pStyle w:val="ARtabletextright"/>
            </w:pPr>
            <w:r w:rsidRPr="00657E8C">
              <w:t>78</w:t>
            </w:r>
          </w:p>
        </w:tc>
        <w:tc>
          <w:tcPr>
            <w:tcW w:w="215" w:type="pct"/>
          </w:tcPr>
          <w:p w14:paraId="6D0994BE" w14:textId="77777777" w:rsidR="00D043ED" w:rsidRPr="00657E8C" w:rsidRDefault="00D043ED" w:rsidP="00E620C7">
            <w:pPr>
              <w:pStyle w:val="ARtabletextright"/>
            </w:pPr>
            <w:r w:rsidRPr="00657E8C">
              <w:t>74.1</w:t>
            </w:r>
          </w:p>
        </w:tc>
        <w:tc>
          <w:tcPr>
            <w:tcW w:w="421" w:type="pct"/>
          </w:tcPr>
          <w:p w14:paraId="239C3FA1" w14:textId="77777777" w:rsidR="00D043ED" w:rsidRPr="00657E8C" w:rsidRDefault="00D043ED" w:rsidP="00E620C7">
            <w:pPr>
              <w:pStyle w:val="ARtabletextright"/>
            </w:pPr>
            <w:r w:rsidRPr="00657E8C">
              <w:t>43</w:t>
            </w:r>
          </w:p>
        </w:tc>
        <w:tc>
          <w:tcPr>
            <w:tcW w:w="421" w:type="pct"/>
          </w:tcPr>
          <w:p w14:paraId="3C41B611" w14:textId="77777777" w:rsidR="00D043ED" w:rsidRPr="00657E8C" w:rsidRDefault="00D043ED" w:rsidP="00E620C7">
            <w:pPr>
              <w:pStyle w:val="ARtabletextright"/>
            </w:pPr>
            <w:r w:rsidRPr="00657E8C">
              <w:t>11</w:t>
            </w:r>
          </w:p>
        </w:tc>
        <w:tc>
          <w:tcPr>
            <w:tcW w:w="215" w:type="pct"/>
          </w:tcPr>
          <w:p w14:paraId="3FF274F4" w14:textId="77777777" w:rsidR="00D043ED" w:rsidRPr="00657E8C" w:rsidRDefault="00D043ED" w:rsidP="00E620C7">
            <w:pPr>
              <w:pStyle w:val="ARtabletextright"/>
            </w:pPr>
            <w:r w:rsidRPr="00657E8C">
              <w:t>51.2</w:t>
            </w:r>
          </w:p>
        </w:tc>
        <w:tc>
          <w:tcPr>
            <w:tcW w:w="421" w:type="pct"/>
          </w:tcPr>
          <w:p w14:paraId="537D991E" w14:textId="77777777" w:rsidR="00D043ED" w:rsidRPr="00657E8C" w:rsidRDefault="00D043ED" w:rsidP="00E620C7">
            <w:pPr>
              <w:pStyle w:val="ARtabletextright"/>
            </w:pPr>
            <w:r w:rsidRPr="00657E8C">
              <w:t>24</w:t>
            </w:r>
          </w:p>
        </w:tc>
        <w:tc>
          <w:tcPr>
            <w:tcW w:w="200" w:type="pct"/>
          </w:tcPr>
          <w:p w14:paraId="146803FF" w14:textId="77777777" w:rsidR="00D043ED" w:rsidRPr="00657E8C" w:rsidRDefault="00D043ED" w:rsidP="00E620C7">
            <w:pPr>
              <w:pStyle w:val="ARtabletextright"/>
            </w:pPr>
            <w:r w:rsidRPr="00657E8C">
              <w:t>22.9</w:t>
            </w:r>
          </w:p>
        </w:tc>
        <w:tc>
          <w:tcPr>
            <w:tcW w:w="421" w:type="pct"/>
          </w:tcPr>
          <w:p w14:paraId="756DF6EB" w14:textId="77777777" w:rsidR="00D043ED" w:rsidRPr="00657E8C" w:rsidRDefault="00D043ED" w:rsidP="00E620C7">
            <w:pPr>
              <w:pStyle w:val="ARtabletextright"/>
            </w:pPr>
            <w:r w:rsidRPr="00657E8C">
              <w:t>49</w:t>
            </w:r>
          </w:p>
        </w:tc>
        <w:tc>
          <w:tcPr>
            <w:tcW w:w="215" w:type="pct"/>
          </w:tcPr>
          <w:p w14:paraId="16A698CC" w14:textId="77777777" w:rsidR="00D043ED" w:rsidRPr="00657E8C" w:rsidRDefault="00D043ED" w:rsidP="00E620C7">
            <w:pPr>
              <w:pStyle w:val="ARtabletextright"/>
            </w:pPr>
            <w:r w:rsidRPr="00657E8C">
              <w:t>46.3</w:t>
            </w:r>
          </w:p>
        </w:tc>
        <w:tc>
          <w:tcPr>
            <w:tcW w:w="421" w:type="pct"/>
          </w:tcPr>
          <w:p w14:paraId="104094AB" w14:textId="77777777" w:rsidR="00D043ED" w:rsidRPr="00657E8C" w:rsidRDefault="00D043ED" w:rsidP="00E620C7">
            <w:pPr>
              <w:pStyle w:val="ARtabletextright"/>
            </w:pPr>
            <w:r w:rsidRPr="00657E8C">
              <w:t>25</w:t>
            </w:r>
          </w:p>
        </w:tc>
        <w:tc>
          <w:tcPr>
            <w:tcW w:w="421" w:type="pct"/>
          </w:tcPr>
          <w:p w14:paraId="18940D56" w14:textId="77777777" w:rsidR="00D043ED" w:rsidRPr="00657E8C" w:rsidRDefault="00D043ED" w:rsidP="00E620C7">
            <w:pPr>
              <w:pStyle w:val="ARtabletextright"/>
            </w:pPr>
            <w:r w:rsidRPr="00657E8C">
              <w:t>9</w:t>
            </w:r>
          </w:p>
        </w:tc>
        <w:tc>
          <w:tcPr>
            <w:tcW w:w="215" w:type="pct"/>
          </w:tcPr>
          <w:p w14:paraId="02D04BFA" w14:textId="77777777" w:rsidR="00D043ED" w:rsidRPr="00657E8C" w:rsidRDefault="00D043ED" w:rsidP="00E620C7">
            <w:pPr>
              <w:pStyle w:val="ARtabletextright"/>
            </w:pPr>
            <w:r w:rsidRPr="00657E8C">
              <w:t>32.2</w:t>
            </w:r>
          </w:p>
        </w:tc>
        <w:tc>
          <w:tcPr>
            <w:tcW w:w="421" w:type="pct"/>
          </w:tcPr>
          <w:p w14:paraId="0BFF5DFC" w14:textId="77777777" w:rsidR="00D043ED" w:rsidRPr="00657E8C" w:rsidRDefault="00D043ED" w:rsidP="00E620C7">
            <w:pPr>
              <w:pStyle w:val="ARtabletextright"/>
            </w:pPr>
            <w:r w:rsidRPr="00657E8C">
              <w:t>15</w:t>
            </w:r>
          </w:p>
        </w:tc>
        <w:tc>
          <w:tcPr>
            <w:tcW w:w="206" w:type="pct"/>
          </w:tcPr>
          <w:p w14:paraId="5EC54DCF" w14:textId="77777777" w:rsidR="00D043ED" w:rsidRPr="00657E8C" w:rsidRDefault="00D043ED" w:rsidP="00E620C7">
            <w:pPr>
              <w:pStyle w:val="ARtabletextright"/>
            </w:pPr>
            <w:r w:rsidRPr="00657E8C">
              <w:t>14.1</w:t>
            </w:r>
          </w:p>
        </w:tc>
      </w:tr>
      <w:tr w:rsidR="00D043ED" w:rsidRPr="00657E8C" w14:paraId="7EB474CE" w14:textId="77777777" w:rsidTr="003C6B3A">
        <w:tc>
          <w:tcPr>
            <w:tcW w:w="371" w:type="pct"/>
          </w:tcPr>
          <w:p w14:paraId="078077C1" w14:textId="77777777" w:rsidR="00D043ED" w:rsidRPr="00657E8C" w:rsidRDefault="00D043ED" w:rsidP="00E620C7">
            <w:pPr>
              <w:pStyle w:val="ARtabletext"/>
            </w:pPr>
            <w:r w:rsidRPr="00657E8C">
              <w:t>55</w:t>
            </w:r>
            <w:r>
              <w:t>–</w:t>
            </w:r>
            <w:r w:rsidRPr="00657E8C">
              <w:t>64</w:t>
            </w:r>
          </w:p>
        </w:tc>
        <w:tc>
          <w:tcPr>
            <w:tcW w:w="419" w:type="pct"/>
          </w:tcPr>
          <w:p w14:paraId="667EEC45" w14:textId="77777777" w:rsidR="00D043ED" w:rsidRPr="00657E8C" w:rsidRDefault="00D043ED" w:rsidP="00E620C7">
            <w:pPr>
              <w:pStyle w:val="ARtabletextright"/>
            </w:pPr>
            <w:r w:rsidRPr="00657E8C">
              <w:t>27</w:t>
            </w:r>
          </w:p>
        </w:tc>
        <w:tc>
          <w:tcPr>
            <w:tcW w:w="215" w:type="pct"/>
          </w:tcPr>
          <w:p w14:paraId="2E3B0602" w14:textId="77777777" w:rsidR="00D043ED" w:rsidRPr="00657E8C" w:rsidRDefault="00D043ED" w:rsidP="00E620C7">
            <w:pPr>
              <w:pStyle w:val="ARtabletextright"/>
            </w:pPr>
            <w:r w:rsidRPr="00657E8C">
              <w:t>26.1</w:t>
            </w:r>
          </w:p>
        </w:tc>
        <w:tc>
          <w:tcPr>
            <w:tcW w:w="421" w:type="pct"/>
          </w:tcPr>
          <w:p w14:paraId="296246A1" w14:textId="77777777" w:rsidR="00D043ED" w:rsidRPr="00657E8C" w:rsidRDefault="00D043ED" w:rsidP="00E620C7">
            <w:pPr>
              <w:pStyle w:val="ARtabletextright"/>
            </w:pPr>
            <w:r w:rsidRPr="00657E8C">
              <w:t>14</w:t>
            </w:r>
          </w:p>
        </w:tc>
        <w:tc>
          <w:tcPr>
            <w:tcW w:w="421" w:type="pct"/>
          </w:tcPr>
          <w:p w14:paraId="3A3C6867" w14:textId="77777777" w:rsidR="00D043ED" w:rsidRPr="00657E8C" w:rsidRDefault="00D043ED" w:rsidP="00E620C7">
            <w:pPr>
              <w:pStyle w:val="ARtabletextright"/>
            </w:pPr>
            <w:r w:rsidRPr="00657E8C">
              <w:t>3</w:t>
            </w:r>
          </w:p>
        </w:tc>
        <w:tc>
          <w:tcPr>
            <w:tcW w:w="215" w:type="pct"/>
          </w:tcPr>
          <w:p w14:paraId="3A7E100F" w14:textId="77777777" w:rsidR="00D043ED" w:rsidRPr="00657E8C" w:rsidRDefault="00D043ED" w:rsidP="00E620C7">
            <w:pPr>
              <w:pStyle w:val="ARtabletextright"/>
            </w:pPr>
            <w:r w:rsidRPr="00657E8C">
              <w:t>16.3</w:t>
            </w:r>
          </w:p>
        </w:tc>
        <w:tc>
          <w:tcPr>
            <w:tcW w:w="421" w:type="pct"/>
          </w:tcPr>
          <w:p w14:paraId="113AE4B9" w14:textId="77777777" w:rsidR="00D043ED" w:rsidRPr="00657E8C" w:rsidRDefault="00D043ED" w:rsidP="00E620C7">
            <w:pPr>
              <w:pStyle w:val="ARtabletextright"/>
            </w:pPr>
            <w:r w:rsidRPr="00657E8C">
              <w:t>10</w:t>
            </w:r>
          </w:p>
        </w:tc>
        <w:tc>
          <w:tcPr>
            <w:tcW w:w="200" w:type="pct"/>
          </w:tcPr>
          <w:p w14:paraId="1B653572" w14:textId="77777777" w:rsidR="00D043ED" w:rsidRPr="00657E8C" w:rsidRDefault="00D043ED" w:rsidP="00E620C7">
            <w:pPr>
              <w:pStyle w:val="ARtabletextright"/>
            </w:pPr>
            <w:r w:rsidRPr="00657E8C">
              <w:t>9.8</w:t>
            </w:r>
          </w:p>
        </w:tc>
        <w:tc>
          <w:tcPr>
            <w:tcW w:w="421" w:type="pct"/>
          </w:tcPr>
          <w:p w14:paraId="14C01EA6" w14:textId="77777777" w:rsidR="00D043ED" w:rsidRPr="00657E8C" w:rsidRDefault="00D043ED" w:rsidP="00E620C7">
            <w:pPr>
              <w:pStyle w:val="ARtabletextright"/>
            </w:pPr>
            <w:r w:rsidRPr="00657E8C">
              <w:t>15</w:t>
            </w:r>
          </w:p>
        </w:tc>
        <w:tc>
          <w:tcPr>
            <w:tcW w:w="215" w:type="pct"/>
          </w:tcPr>
          <w:p w14:paraId="29647DAE" w14:textId="77777777" w:rsidR="00D043ED" w:rsidRPr="00657E8C" w:rsidRDefault="00D043ED" w:rsidP="00E620C7">
            <w:pPr>
              <w:pStyle w:val="ARtabletextright"/>
            </w:pPr>
            <w:r w:rsidRPr="00657E8C">
              <w:t>14.5</w:t>
            </w:r>
          </w:p>
        </w:tc>
        <w:tc>
          <w:tcPr>
            <w:tcW w:w="421" w:type="pct"/>
          </w:tcPr>
          <w:p w14:paraId="0F36389B" w14:textId="77777777" w:rsidR="00D043ED" w:rsidRPr="00657E8C" w:rsidRDefault="00D043ED" w:rsidP="00E620C7">
            <w:pPr>
              <w:pStyle w:val="ARtabletextright"/>
            </w:pPr>
            <w:r w:rsidRPr="00657E8C">
              <w:t>8</w:t>
            </w:r>
          </w:p>
        </w:tc>
        <w:tc>
          <w:tcPr>
            <w:tcW w:w="421" w:type="pct"/>
          </w:tcPr>
          <w:p w14:paraId="2E265539" w14:textId="77777777" w:rsidR="00D043ED" w:rsidRPr="00657E8C" w:rsidRDefault="00D043ED" w:rsidP="00E620C7">
            <w:pPr>
              <w:pStyle w:val="ARtabletextright"/>
            </w:pPr>
            <w:r w:rsidRPr="00657E8C">
              <w:t>2</w:t>
            </w:r>
          </w:p>
        </w:tc>
        <w:tc>
          <w:tcPr>
            <w:tcW w:w="215" w:type="pct"/>
          </w:tcPr>
          <w:p w14:paraId="0FA0270E" w14:textId="77777777" w:rsidR="00D043ED" w:rsidRPr="00657E8C" w:rsidRDefault="00D043ED" w:rsidP="00E620C7">
            <w:pPr>
              <w:pStyle w:val="ARtabletextright"/>
            </w:pPr>
            <w:r w:rsidRPr="00657E8C">
              <w:t>9.7</w:t>
            </w:r>
          </w:p>
        </w:tc>
        <w:tc>
          <w:tcPr>
            <w:tcW w:w="421" w:type="pct"/>
          </w:tcPr>
          <w:p w14:paraId="0E06F22C" w14:textId="77777777" w:rsidR="00D043ED" w:rsidRPr="00657E8C" w:rsidRDefault="00D043ED" w:rsidP="00E620C7">
            <w:pPr>
              <w:pStyle w:val="ARtabletextright"/>
            </w:pPr>
            <w:r w:rsidRPr="00657E8C">
              <w:t>5</w:t>
            </w:r>
          </w:p>
        </w:tc>
        <w:tc>
          <w:tcPr>
            <w:tcW w:w="206" w:type="pct"/>
          </w:tcPr>
          <w:p w14:paraId="3B852A4C" w14:textId="77777777" w:rsidR="00D043ED" w:rsidRPr="00657E8C" w:rsidRDefault="00D043ED" w:rsidP="00E620C7">
            <w:pPr>
              <w:pStyle w:val="ARtabletextright"/>
            </w:pPr>
            <w:r w:rsidRPr="00657E8C">
              <w:t>4.8</w:t>
            </w:r>
          </w:p>
        </w:tc>
      </w:tr>
      <w:tr w:rsidR="00D043ED" w:rsidRPr="00657E8C" w14:paraId="135B5854" w14:textId="77777777" w:rsidTr="003C6B3A">
        <w:tc>
          <w:tcPr>
            <w:tcW w:w="371" w:type="pct"/>
          </w:tcPr>
          <w:p w14:paraId="6BF202D0" w14:textId="77777777" w:rsidR="00D043ED" w:rsidRPr="00657E8C" w:rsidRDefault="00D043ED" w:rsidP="00E620C7">
            <w:pPr>
              <w:pStyle w:val="ARbody"/>
              <w:rPr>
                <w:i/>
              </w:rPr>
            </w:pPr>
            <w:r w:rsidRPr="00657E8C">
              <w:t>64+</w:t>
            </w:r>
          </w:p>
        </w:tc>
        <w:tc>
          <w:tcPr>
            <w:tcW w:w="419" w:type="pct"/>
          </w:tcPr>
          <w:p w14:paraId="3E62C8B1" w14:textId="77777777" w:rsidR="00D043ED" w:rsidRPr="00657E8C" w:rsidRDefault="00D043ED" w:rsidP="00E620C7">
            <w:pPr>
              <w:pStyle w:val="ARtabletextright"/>
            </w:pPr>
            <w:r w:rsidRPr="00657E8C">
              <w:t>4</w:t>
            </w:r>
          </w:p>
        </w:tc>
        <w:tc>
          <w:tcPr>
            <w:tcW w:w="215" w:type="pct"/>
          </w:tcPr>
          <w:p w14:paraId="6EBA1420" w14:textId="77777777" w:rsidR="00D043ED" w:rsidRPr="00657E8C" w:rsidRDefault="00D043ED" w:rsidP="00E620C7">
            <w:pPr>
              <w:pStyle w:val="ARtabletextright"/>
            </w:pPr>
            <w:r w:rsidRPr="00657E8C">
              <w:t>3.9</w:t>
            </w:r>
          </w:p>
        </w:tc>
        <w:tc>
          <w:tcPr>
            <w:tcW w:w="421" w:type="pct"/>
          </w:tcPr>
          <w:p w14:paraId="73A30A0E" w14:textId="77777777" w:rsidR="00D043ED" w:rsidRPr="00657E8C" w:rsidRDefault="00D043ED" w:rsidP="00E620C7">
            <w:pPr>
              <w:pStyle w:val="ARtabletextright"/>
            </w:pPr>
            <w:r w:rsidRPr="00657E8C">
              <w:t>3</w:t>
            </w:r>
          </w:p>
        </w:tc>
        <w:tc>
          <w:tcPr>
            <w:tcW w:w="421" w:type="pct"/>
          </w:tcPr>
          <w:p w14:paraId="50C5B3CB" w14:textId="77777777" w:rsidR="00D043ED" w:rsidRPr="00657E8C" w:rsidRDefault="00D043ED" w:rsidP="00E620C7">
            <w:pPr>
              <w:pStyle w:val="ARtabletextright"/>
            </w:pPr>
            <w:r w:rsidRPr="00657E8C">
              <w:t>0</w:t>
            </w:r>
          </w:p>
        </w:tc>
        <w:tc>
          <w:tcPr>
            <w:tcW w:w="215" w:type="pct"/>
          </w:tcPr>
          <w:p w14:paraId="4B8F6490" w14:textId="77777777" w:rsidR="00D043ED" w:rsidRPr="00657E8C" w:rsidRDefault="00D043ED" w:rsidP="00E620C7">
            <w:pPr>
              <w:pStyle w:val="ARtabletextright"/>
            </w:pPr>
            <w:r w:rsidRPr="00657E8C">
              <w:t>3</w:t>
            </w:r>
          </w:p>
        </w:tc>
        <w:tc>
          <w:tcPr>
            <w:tcW w:w="421" w:type="pct"/>
          </w:tcPr>
          <w:p w14:paraId="5711BEC7" w14:textId="77777777" w:rsidR="00D043ED" w:rsidRPr="00657E8C" w:rsidRDefault="00D043ED" w:rsidP="00E620C7">
            <w:pPr>
              <w:pStyle w:val="ARtabletextright"/>
            </w:pPr>
            <w:r w:rsidRPr="00657E8C">
              <w:t>1</w:t>
            </w:r>
          </w:p>
        </w:tc>
        <w:tc>
          <w:tcPr>
            <w:tcW w:w="200" w:type="pct"/>
          </w:tcPr>
          <w:p w14:paraId="5ED0C9A8" w14:textId="77777777" w:rsidR="00D043ED" w:rsidRPr="00657E8C" w:rsidRDefault="00D043ED" w:rsidP="00E620C7">
            <w:pPr>
              <w:pStyle w:val="ARtabletextright"/>
            </w:pPr>
            <w:r w:rsidRPr="00657E8C">
              <w:t>0.9</w:t>
            </w:r>
          </w:p>
        </w:tc>
        <w:tc>
          <w:tcPr>
            <w:tcW w:w="421" w:type="pct"/>
          </w:tcPr>
          <w:p w14:paraId="0AD52B6B" w14:textId="77777777" w:rsidR="00D043ED" w:rsidRPr="00657E8C" w:rsidRDefault="00D043ED" w:rsidP="00E620C7">
            <w:pPr>
              <w:pStyle w:val="ARtabletextright"/>
            </w:pPr>
            <w:r w:rsidRPr="00657E8C">
              <w:t>2</w:t>
            </w:r>
          </w:p>
        </w:tc>
        <w:tc>
          <w:tcPr>
            <w:tcW w:w="215" w:type="pct"/>
          </w:tcPr>
          <w:p w14:paraId="2EEF653D" w14:textId="77777777" w:rsidR="00D043ED" w:rsidRPr="00657E8C" w:rsidRDefault="00D043ED" w:rsidP="00E620C7">
            <w:pPr>
              <w:pStyle w:val="ARtabletextright"/>
            </w:pPr>
            <w:r w:rsidRPr="00657E8C">
              <w:t>2</w:t>
            </w:r>
          </w:p>
        </w:tc>
        <w:tc>
          <w:tcPr>
            <w:tcW w:w="421" w:type="pct"/>
          </w:tcPr>
          <w:p w14:paraId="310BA5EF" w14:textId="77777777" w:rsidR="00D043ED" w:rsidRPr="00657E8C" w:rsidRDefault="00D043ED" w:rsidP="00E620C7">
            <w:pPr>
              <w:pStyle w:val="ARtabletextright"/>
            </w:pPr>
            <w:r w:rsidRPr="00657E8C">
              <w:t>2</w:t>
            </w:r>
          </w:p>
        </w:tc>
        <w:tc>
          <w:tcPr>
            <w:tcW w:w="421" w:type="pct"/>
          </w:tcPr>
          <w:p w14:paraId="26E99452" w14:textId="77777777" w:rsidR="00D043ED" w:rsidRPr="00657E8C" w:rsidRDefault="00D043ED" w:rsidP="00E620C7">
            <w:pPr>
              <w:pStyle w:val="ARtabletextright"/>
            </w:pPr>
            <w:r w:rsidRPr="00657E8C">
              <w:t>0</w:t>
            </w:r>
          </w:p>
        </w:tc>
        <w:tc>
          <w:tcPr>
            <w:tcW w:w="215" w:type="pct"/>
          </w:tcPr>
          <w:p w14:paraId="69EBE71A" w14:textId="77777777" w:rsidR="00D043ED" w:rsidRPr="00657E8C" w:rsidRDefault="00D043ED" w:rsidP="00E620C7">
            <w:pPr>
              <w:pStyle w:val="ARtabletextright"/>
            </w:pPr>
            <w:r w:rsidRPr="00657E8C">
              <w:t>2</w:t>
            </w:r>
          </w:p>
        </w:tc>
        <w:tc>
          <w:tcPr>
            <w:tcW w:w="421" w:type="pct"/>
          </w:tcPr>
          <w:p w14:paraId="1A0DBE11" w14:textId="77777777" w:rsidR="00D043ED" w:rsidRPr="00657E8C" w:rsidRDefault="00D043ED" w:rsidP="00E620C7">
            <w:pPr>
              <w:pStyle w:val="ARtabletextright"/>
            </w:pPr>
            <w:r w:rsidRPr="00657E8C">
              <w:t>0</w:t>
            </w:r>
          </w:p>
        </w:tc>
        <w:tc>
          <w:tcPr>
            <w:tcW w:w="206" w:type="pct"/>
          </w:tcPr>
          <w:p w14:paraId="1C41620D" w14:textId="77777777" w:rsidR="00D043ED" w:rsidRPr="00657E8C" w:rsidRDefault="00D043ED" w:rsidP="00E620C7">
            <w:pPr>
              <w:pStyle w:val="ARtabletextright"/>
            </w:pPr>
            <w:r w:rsidRPr="00657E8C">
              <w:t>0</w:t>
            </w:r>
          </w:p>
        </w:tc>
      </w:tr>
      <w:tr w:rsidR="00D043ED" w:rsidRPr="00657E8C" w14:paraId="007DCCB7" w14:textId="77777777" w:rsidTr="00F16145">
        <w:tc>
          <w:tcPr>
            <w:tcW w:w="5000" w:type="pct"/>
            <w:gridSpan w:val="15"/>
          </w:tcPr>
          <w:p w14:paraId="32584C8F" w14:textId="77777777" w:rsidR="00D043ED" w:rsidRPr="00657E8C" w:rsidRDefault="00D043ED" w:rsidP="00E620C7">
            <w:pPr>
              <w:pStyle w:val="ARtablebluebold"/>
              <w:rPr>
                <w:sz w:val="20"/>
              </w:rPr>
            </w:pPr>
            <w:r w:rsidRPr="00657E8C">
              <w:t>Classification</w:t>
            </w:r>
          </w:p>
        </w:tc>
      </w:tr>
      <w:tr w:rsidR="00D043ED" w:rsidRPr="00657E8C" w14:paraId="1FAA463F" w14:textId="77777777" w:rsidTr="003C6B3A">
        <w:tc>
          <w:tcPr>
            <w:tcW w:w="371" w:type="pct"/>
          </w:tcPr>
          <w:p w14:paraId="752335E2" w14:textId="77777777" w:rsidR="00D043ED" w:rsidRPr="00657E8C" w:rsidRDefault="00D043ED" w:rsidP="00E620C7">
            <w:pPr>
              <w:pStyle w:val="ARtabletext"/>
            </w:pPr>
            <w:r w:rsidRPr="00657E8C">
              <w:t>VPS 1</w:t>
            </w:r>
          </w:p>
        </w:tc>
        <w:tc>
          <w:tcPr>
            <w:tcW w:w="419" w:type="pct"/>
          </w:tcPr>
          <w:p w14:paraId="62D72227" w14:textId="77777777" w:rsidR="00D043ED" w:rsidRPr="00657E8C" w:rsidRDefault="00D043ED" w:rsidP="00E620C7">
            <w:pPr>
              <w:pStyle w:val="ARtabletextright"/>
            </w:pPr>
            <w:r w:rsidRPr="00657E8C">
              <w:t>1</w:t>
            </w:r>
          </w:p>
        </w:tc>
        <w:tc>
          <w:tcPr>
            <w:tcW w:w="215" w:type="pct"/>
          </w:tcPr>
          <w:p w14:paraId="72460BB4" w14:textId="77777777" w:rsidR="00D043ED" w:rsidRPr="00657E8C" w:rsidRDefault="00D043ED" w:rsidP="00E620C7">
            <w:pPr>
              <w:pStyle w:val="ARtabletextright"/>
            </w:pPr>
            <w:r w:rsidRPr="00657E8C">
              <w:t>1</w:t>
            </w:r>
          </w:p>
        </w:tc>
        <w:tc>
          <w:tcPr>
            <w:tcW w:w="421" w:type="pct"/>
          </w:tcPr>
          <w:p w14:paraId="043BFAEB" w14:textId="77777777" w:rsidR="00D043ED" w:rsidRPr="00657E8C" w:rsidRDefault="00D043ED" w:rsidP="00E620C7">
            <w:pPr>
              <w:pStyle w:val="ARtabletextright"/>
            </w:pPr>
            <w:r w:rsidRPr="00657E8C">
              <w:t>0</w:t>
            </w:r>
          </w:p>
        </w:tc>
        <w:tc>
          <w:tcPr>
            <w:tcW w:w="421" w:type="pct"/>
          </w:tcPr>
          <w:p w14:paraId="0C15CD09" w14:textId="77777777" w:rsidR="00D043ED" w:rsidRPr="00657E8C" w:rsidRDefault="00D043ED" w:rsidP="00E620C7">
            <w:pPr>
              <w:pStyle w:val="ARtabletextright"/>
            </w:pPr>
            <w:r w:rsidRPr="00657E8C">
              <w:t>0</w:t>
            </w:r>
          </w:p>
        </w:tc>
        <w:tc>
          <w:tcPr>
            <w:tcW w:w="215" w:type="pct"/>
          </w:tcPr>
          <w:p w14:paraId="3B678692" w14:textId="77777777" w:rsidR="00D043ED" w:rsidRPr="00657E8C" w:rsidRDefault="00D043ED" w:rsidP="00E620C7">
            <w:pPr>
              <w:pStyle w:val="ARtabletextright"/>
            </w:pPr>
            <w:r w:rsidRPr="00657E8C">
              <w:t>0</w:t>
            </w:r>
          </w:p>
        </w:tc>
        <w:tc>
          <w:tcPr>
            <w:tcW w:w="421" w:type="pct"/>
          </w:tcPr>
          <w:p w14:paraId="0DA260A4" w14:textId="77777777" w:rsidR="00D043ED" w:rsidRPr="00657E8C" w:rsidRDefault="00D043ED" w:rsidP="00E620C7">
            <w:pPr>
              <w:pStyle w:val="ARtabletextright"/>
            </w:pPr>
            <w:r w:rsidRPr="00657E8C">
              <w:t>1</w:t>
            </w:r>
          </w:p>
        </w:tc>
        <w:tc>
          <w:tcPr>
            <w:tcW w:w="200" w:type="pct"/>
          </w:tcPr>
          <w:p w14:paraId="29621FA3" w14:textId="77777777" w:rsidR="00D043ED" w:rsidRPr="00657E8C" w:rsidRDefault="00D043ED" w:rsidP="00E620C7">
            <w:pPr>
              <w:pStyle w:val="ARtabletextright"/>
            </w:pPr>
            <w:r w:rsidRPr="00657E8C">
              <w:t>1</w:t>
            </w:r>
          </w:p>
        </w:tc>
        <w:tc>
          <w:tcPr>
            <w:tcW w:w="421" w:type="pct"/>
          </w:tcPr>
          <w:p w14:paraId="34648290" w14:textId="77777777" w:rsidR="00D043ED" w:rsidRPr="00657E8C" w:rsidRDefault="00D043ED" w:rsidP="00E620C7">
            <w:pPr>
              <w:pStyle w:val="ARtabletextright"/>
            </w:pPr>
            <w:r w:rsidRPr="00657E8C">
              <w:t>0</w:t>
            </w:r>
          </w:p>
        </w:tc>
        <w:tc>
          <w:tcPr>
            <w:tcW w:w="215" w:type="pct"/>
          </w:tcPr>
          <w:p w14:paraId="0EF199B2" w14:textId="77777777" w:rsidR="00D043ED" w:rsidRPr="00657E8C" w:rsidRDefault="00D043ED" w:rsidP="00E620C7">
            <w:pPr>
              <w:pStyle w:val="ARtabletextright"/>
            </w:pPr>
            <w:r w:rsidRPr="00657E8C">
              <w:t>0</w:t>
            </w:r>
          </w:p>
        </w:tc>
        <w:tc>
          <w:tcPr>
            <w:tcW w:w="421" w:type="pct"/>
          </w:tcPr>
          <w:p w14:paraId="65A1EACC" w14:textId="77777777" w:rsidR="00D043ED" w:rsidRPr="00657E8C" w:rsidRDefault="00D043ED" w:rsidP="00E620C7">
            <w:pPr>
              <w:pStyle w:val="ARtabletextright"/>
            </w:pPr>
            <w:r w:rsidRPr="00657E8C">
              <w:t>0</w:t>
            </w:r>
          </w:p>
        </w:tc>
        <w:tc>
          <w:tcPr>
            <w:tcW w:w="421" w:type="pct"/>
          </w:tcPr>
          <w:p w14:paraId="0FB9899A" w14:textId="77777777" w:rsidR="00D043ED" w:rsidRPr="00657E8C" w:rsidRDefault="00D043ED" w:rsidP="00E620C7">
            <w:pPr>
              <w:pStyle w:val="ARtabletextright"/>
            </w:pPr>
            <w:r w:rsidRPr="00657E8C">
              <w:t>0</w:t>
            </w:r>
          </w:p>
        </w:tc>
        <w:tc>
          <w:tcPr>
            <w:tcW w:w="215" w:type="pct"/>
          </w:tcPr>
          <w:p w14:paraId="5BE0853A" w14:textId="77777777" w:rsidR="00D043ED" w:rsidRPr="00657E8C" w:rsidRDefault="00D043ED" w:rsidP="00E620C7">
            <w:pPr>
              <w:pStyle w:val="ARtabletextright"/>
            </w:pPr>
            <w:r w:rsidRPr="00657E8C">
              <w:t>0</w:t>
            </w:r>
          </w:p>
        </w:tc>
        <w:tc>
          <w:tcPr>
            <w:tcW w:w="421" w:type="pct"/>
          </w:tcPr>
          <w:p w14:paraId="4F63E952" w14:textId="77777777" w:rsidR="00D043ED" w:rsidRPr="00657E8C" w:rsidRDefault="00D043ED" w:rsidP="00E620C7">
            <w:pPr>
              <w:pStyle w:val="ARtabletextright"/>
            </w:pPr>
            <w:r w:rsidRPr="00657E8C">
              <w:t>0</w:t>
            </w:r>
          </w:p>
        </w:tc>
        <w:tc>
          <w:tcPr>
            <w:tcW w:w="206" w:type="pct"/>
          </w:tcPr>
          <w:p w14:paraId="46FAD42B" w14:textId="77777777" w:rsidR="00D043ED" w:rsidRPr="00657E8C" w:rsidRDefault="00D043ED" w:rsidP="00E620C7">
            <w:pPr>
              <w:pStyle w:val="ARtabletextright"/>
            </w:pPr>
            <w:r w:rsidRPr="00657E8C">
              <w:t>0</w:t>
            </w:r>
          </w:p>
        </w:tc>
      </w:tr>
      <w:tr w:rsidR="00D043ED" w:rsidRPr="00657E8C" w14:paraId="295E576D" w14:textId="77777777" w:rsidTr="003C6B3A">
        <w:tc>
          <w:tcPr>
            <w:tcW w:w="371" w:type="pct"/>
          </w:tcPr>
          <w:p w14:paraId="6255A372" w14:textId="77777777" w:rsidR="00D043ED" w:rsidRPr="00657E8C" w:rsidRDefault="00D043ED" w:rsidP="00E620C7">
            <w:pPr>
              <w:pStyle w:val="ARtabletext"/>
            </w:pPr>
            <w:r w:rsidRPr="00657E8C">
              <w:t>VPS 2</w:t>
            </w:r>
          </w:p>
        </w:tc>
        <w:tc>
          <w:tcPr>
            <w:tcW w:w="419" w:type="pct"/>
          </w:tcPr>
          <w:p w14:paraId="0A6C2DF9" w14:textId="77777777" w:rsidR="00D043ED" w:rsidRPr="00657E8C" w:rsidRDefault="00D043ED" w:rsidP="00E620C7">
            <w:pPr>
              <w:pStyle w:val="ARtabletextright"/>
            </w:pPr>
            <w:r w:rsidRPr="00657E8C">
              <w:t>6</w:t>
            </w:r>
          </w:p>
        </w:tc>
        <w:tc>
          <w:tcPr>
            <w:tcW w:w="215" w:type="pct"/>
          </w:tcPr>
          <w:p w14:paraId="732C6FF6" w14:textId="77777777" w:rsidR="00D043ED" w:rsidRPr="00657E8C" w:rsidRDefault="00D043ED" w:rsidP="00E620C7">
            <w:pPr>
              <w:pStyle w:val="ARtabletextright"/>
            </w:pPr>
            <w:r w:rsidRPr="00657E8C">
              <w:t>6</w:t>
            </w:r>
          </w:p>
        </w:tc>
        <w:tc>
          <w:tcPr>
            <w:tcW w:w="421" w:type="pct"/>
          </w:tcPr>
          <w:p w14:paraId="0AD02DA7" w14:textId="77777777" w:rsidR="00D043ED" w:rsidRPr="00657E8C" w:rsidRDefault="00D043ED" w:rsidP="00E620C7">
            <w:pPr>
              <w:pStyle w:val="ARtabletextright"/>
            </w:pPr>
            <w:r w:rsidRPr="00657E8C">
              <w:t>4</w:t>
            </w:r>
          </w:p>
        </w:tc>
        <w:tc>
          <w:tcPr>
            <w:tcW w:w="421" w:type="pct"/>
          </w:tcPr>
          <w:p w14:paraId="6F7407C1" w14:textId="77777777" w:rsidR="00D043ED" w:rsidRPr="00657E8C" w:rsidRDefault="00D043ED" w:rsidP="00E620C7">
            <w:pPr>
              <w:pStyle w:val="ARtabletextright"/>
            </w:pPr>
            <w:r w:rsidRPr="00657E8C">
              <w:t>0</w:t>
            </w:r>
          </w:p>
        </w:tc>
        <w:tc>
          <w:tcPr>
            <w:tcW w:w="215" w:type="pct"/>
          </w:tcPr>
          <w:p w14:paraId="515A57C5" w14:textId="77777777" w:rsidR="00D043ED" w:rsidRPr="00657E8C" w:rsidRDefault="00D043ED" w:rsidP="00E620C7">
            <w:pPr>
              <w:pStyle w:val="ARtabletextright"/>
            </w:pPr>
            <w:r w:rsidRPr="00657E8C">
              <w:t>4</w:t>
            </w:r>
          </w:p>
        </w:tc>
        <w:tc>
          <w:tcPr>
            <w:tcW w:w="421" w:type="pct"/>
          </w:tcPr>
          <w:p w14:paraId="11E606B2" w14:textId="77777777" w:rsidR="00D043ED" w:rsidRPr="00657E8C" w:rsidRDefault="00D043ED" w:rsidP="00E620C7">
            <w:pPr>
              <w:pStyle w:val="ARtabletextright"/>
            </w:pPr>
            <w:r w:rsidRPr="00657E8C">
              <w:t>2</w:t>
            </w:r>
          </w:p>
        </w:tc>
        <w:tc>
          <w:tcPr>
            <w:tcW w:w="200" w:type="pct"/>
          </w:tcPr>
          <w:p w14:paraId="409BA43E" w14:textId="77777777" w:rsidR="00D043ED" w:rsidRPr="00657E8C" w:rsidRDefault="00D043ED" w:rsidP="00E620C7">
            <w:pPr>
              <w:pStyle w:val="ARtabletextright"/>
            </w:pPr>
            <w:r w:rsidRPr="00657E8C">
              <w:t>2</w:t>
            </w:r>
          </w:p>
        </w:tc>
        <w:tc>
          <w:tcPr>
            <w:tcW w:w="421" w:type="pct"/>
          </w:tcPr>
          <w:p w14:paraId="2DF8C69A" w14:textId="77777777" w:rsidR="00D043ED" w:rsidRPr="00657E8C" w:rsidRDefault="00D043ED" w:rsidP="00E620C7">
            <w:pPr>
              <w:pStyle w:val="ARtabletextright"/>
            </w:pPr>
            <w:r w:rsidRPr="00657E8C">
              <w:t>3</w:t>
            </w:r>
          </w:p>
        </w:tc>
        <w:tc>
          <w:tcPr>
            <w:tcW w:w="215" w:type="pct"/>
          </w:tcPr>
          <w:p w14:paraId="3BE7C0E3" w14:textId="77777777" w:rsidR="00D043ED" w:rsidRPr="00657E8C" w:rsidRDefault="00D043ED" w:rsidP="00E620C7">
            <w:pPr>
              <w:pStyle w:val="ARtabletextright"/>
            </w:pPr>
            <w:r w:rsidRPr="00657E8C">
              <w:t>3</w:t>
            </w:r>
          </w:p>
        </w:tc>
        <w:tc>
          <w:tcPr>
            <w:tcW w:w="421" w:type="pct"/>
          </w:tcPr>
          <w:p w14:paraId="44DF8E1F" w14:textId="77777777" w:rsidR="00D043ED" w:rsidRPr="00657E8C" w:rsidRDefault="00D043ED" w:rsidP="00E620C7">
            <w:pPr>
              <w:pStyle w:val="ARtabletextright"/>
            </w:pPr>
            <w:r w:rsidRPr="00657E8C">
              <w:t>2</w:t>
            </w:r>
          </w:p>
        </w:tc>
        <w:tc>
          <w:tcPr>
            <w:tcW w:w="421" w:type="pct"/>
          </w:tcPr>
          <w:p w14:paraId="4F5C03F1" w14:textId="77777777" w:rsidR="00D043ED" w:rsidRPr="00657E8C" w:rsidRDefault="00D043ED" w:rsidP="00E620C7">
            <w:pPr>
              <w:pStyle w:val="ARtabletextright"/>
            </w:pPr>
            <w:r w:rsidRPr="00657E8C">
              <w:t>0</w:t>
            </w:r>
          </w:p>
        </w:tc>
        <w:tc>
          <w:tcPr>
            <w:tcW w:w="215" w:type="pct"/>
          </w:tcPr>
          <w:p w14:paraId="181015BC" w14:textId="77777777" w:rsidR="00D043ED" w:rsidRPr="00657E8C" w:rsidRDefault="00D043ED" w:rsidP="00E620C7">
            <w:pPr>
              <w:pStyle w:val="ARtabletextright"/>
            </w:pPr>
            <w:r w:rsidRPr="00657E8C">
              <w:t>2</w:t>
            </w:r>
          </w:p>
        </w:tc>
        <w:tc>
          <w:tcPr>
            <w:tcW w:w="421" w:type="pct"/>
          </w:tcPr>
          <w:p w14:paraId="3C1E9754" w14:textId="77777777" w:rsidR="00D043ED" w:rsidRPr="00657E8C" w:rsidRDefault="00D043ED" w:rsidP="00E620C7">
            <w:pPr>
              <w:pStyle w:val="ARtabletextright"/>
            </w:pPr>
            <w:r w:rsidRPr="00657E8C">
              <w:t>1</w:t>
            </w:r>
          </w:p>
        </w:tc>
        <w:tc>
          <w:tcPr>
            <w:tcW w:w="206" w:type="pct"/>
          </w:tcPr>
          <w:p w14:paraId="7CA036AC" w14:textId="77777777" w:rsidR="00D043ED" w:rsidRPr="00657E8C" w:rsidRDefault="00D043ED" w:rsidP="00E620C7">
            <w:pPr>
              <w:pStyle w:val="ARtabletextright"/>
            </w:pPr>
            <w:r w:rsidRPr="00657E8C">
              <w:t>1</w:t>
            </w:r>
          </w:p>
        </w:tc>
      </w:tr>
      <w:tr w:rsidR="00D043ED" w:rsidRPr="00657E8C" w14:paraId="2BB75C1A" w14:textId="77777777" w:rsidTr="003C6B3A">
        <w:tc>
          <w:tcPr>
            <w:tcW w:w="371" w:type="pct"/>
          </w:tcPr>
          <w:p w14:paraId="234CBCA7" w14:textId="77777777" w:rsidR="00D043ED" w:rsidRPr="00657E8C" w:rsidRDefault="00D043ED" w:rsidP="00E620C7">
            <w:pPr>
              <w:pStyle w:val="ARtabletext"/>
            </w:pPr>
            <w:r w:rsidRPr="00657E8C">
              <w:t>VPS 3</w:t>
            </w:r>
          </w:p>
        </w:tc>
        <w:tc>
          <w:tcPr>
            <w:tcW w:w="419" w:type="pct"/>
          </w:tcPr>
          <w:p w14:paraId="51EE1428" w14:textId="77777777" w:rsidR="00D043ED" w:rsidRPr="00657E8C" w:rsidRDefault="00D043ED" w:rsidP="00E620C7">
            <w:pPr>
              <w:pStyle w:val="ARtabletextright"/>
            </w:pPr>
            <w:r w:rsidRPr="00657E8C">
              <w:t>31</w:t>
            </w:r>
          </w:p>
        </w:tc>
        <w:tc>
          <w:tcPr>
            <w:tcW w:w="215" w:type="pct"/>
          </w:tcPr>
          <w:p w14:paraId="358812EE" w14:textId="77777777" w:rsidR="00D043ED" w:rsidRPr="00657E8C" w:rsidRDefault="00D043ED" w:rsidP="00E620C7">
            <w:pPr>
              <w:pStyle w:val="ARtabletextright"/>
            </w:pPr>
            <w:r w:rsidRPr="00657E8C">
              <w:t>27.4</w:t>
            </w:r>
          </w:p>
        </w:tc>
        <w:tc>
          <w:tcPr>
            <w:tcW w:w="421" w:type="pct"/>
          </w:tcPr>
          <w:p w14:paraId="404B0A7B" w14:textId="77777777" w:rsidR="00D043ED" w:rsidRPr="00657E8C" w:rsidRDefault="00D043ED" w:rsidP="00E620C7">
            <w:pPr>
              <w:pStyle w:val="ARtabletextright"/>
            </w:pPr>
            <w:r w:rsidRPr="00657E8C">
              <w:t>10</w:t>
            </w:r>
          </w:p>
        </w:tc>
        <w:tc>
          <w:tcPr>
            <w:tcW w:w="421" w:type="pct"/>
          </w:tcPr>
          <w:p w14:paraId="19DDD83E" w14:textId="77777777" w:rsidR="00D043ED" w:rsidRPr="00657E8C" w:rsidRDefault="00D043ED" w:rsidP="00E620C7">
            <w:pPr>
              <w:pStyle w:val="ARtabletextright"/>
            </w:pPr>
            <w:r w:rsidRPr="00657E8C">
              <w:t>8</w:t>
            </w:r>
          </w:p>
        </w:tc>
        <w:tc>
          <w:tcPr>
            <w:tcW w:w="215" w:type="pct"/>
          </w:tcPr>
          <w:p w14:paraId="6EBD87E8" w14:textId="77777777" w:rsidR="00D043ED" w:rsidRPr="00657E8C" w:rsidRDefault="00D043ED" w:rsidP="00E620C7">
            <w:pPr>
              <w:pStyle w:val="ARtabletextright"/>
            </w:pPr>
            <w:r w:rsidRPr="00657E8C">
              <w:t>14.7</w:t>
            </w:r>
          </w:p>
        </w:tc>
        <w:tc>
          <w:tcPr>
            <w:tcW w:w="421" w:type="pct"/>
          </w:tcPr>
          <w:p w14:paraId="7813B0C3" w14:textId="77777777" w:rsidR="00D043ED" w:rsidRPr="00657E8C" w:rsidRDefault="00D043ED" w:rsidP="00E620C7">
            <w:pPr>
              <w:pStyle w:val="ARtabletextright"/>
            </w:pPr>
            <w:r w:rsidRPr="00657E8C">
              <w:t>13</w:t>
            </w:r>
          </w:p>
        </w:tc>
        <w:tc>
          <w:tcPr>
            <w:tcW w:w="200" w:type="pct"/>
          </w:tcPr>
          <w:p w14:paraId="26710ED2" w14:textId="77777777" w:rsidR="00D043ED" w:rsidRPr="00657E8C" w:rsidRDefault="00D043ED" w:rsidP="00E620C7">
            <w:pPr>
              <w:pStyle w:val="ARtabletextright"/>
            </w:pPr>
            <w:r w:rsidRPr="00657E8C">
              <w:t>12.7</w:t>
            </w:r>
          </w:p>
        </w:tc>
        <w:tc>
          <w:tcPr>
            <w:tcW w:w="421" w:type="pct"/>
          </w:tcPr>
          <w:p w14:paraId="5A524A01" w14:textId="77777777" w:rsidR="00D043ED" w:rsidRPr="00657E8C" w:rsidRDefault="00D043ED" w:rsidP="00E620C7">
            <w:pPr>
              <w:pStyle w:val="ARtabletextright"/>
            </w:pPr>
            <w:r w:rsidRPr="00657E8C">
              <w:t>26</w:t>
            </w:r>
          </w:p>
        </w:tc>
        <w:tc>
          <w:tcPr>
            <w:tcW w:w="215" w:type="pct"/>
          </w:tcPr>
          <w:p w14:paraId="21EDFFA7" w14:textId="77777777" w:rsidR="00D043ED" w:rsidRPr="00657E8C" w:rsidRDefault="00D043ED" w:rsidP="00E620C7">
            <w:pPr>
              <w:pStyle w:val="ARtabletextright"/>
            </w:pPr>
            <w:r w:rsidRPr="00657E8C">
              <w:t>24.2</w:t>
            </w:r>
          </w:p>
        </w:tc>
        <w:tc>
          <w:tcPr>
            <w:tcW w:w="421" w:type="pct"/>
          </w:tcPr>
          <w:p w14:paraId="427563BD" w14:textId="77777777" w:rsidR="00D043ED" w:rsidRPr="00657E8C" w:rsidRDefault="00D043ED" w:rsidP="00E620C7">
            <w:pPr>
              <w:pStyle w:val="ARtabletextright"/>
            </w:pPr>
            <w:r w:rsidRPr="00657E8C">
              <w:t>7</w:t>
            </w:r>
          </w:p>
        </w:tc>
        <w:tc>
          <w:tcPr>
            <w:tcW w:w="421" w:type="pct"/>
          </w:tcPr>
          <w:p w14:paraId="2C801ABC" w14:textId="77777777" w:rsidR="00D043ED" w:rsidRPr="00657E8C" w:rsidRDefault="00D043ED" w:rsidP="00E620C7">
            <w:pPr>
              <w:pStyle w:val="ARtabletextright"/>
            </w:pPr>
            <w:r w:rsidRPr="00657E8C">
              <w:t>6</w:t>
            </w:r>
          </w:p>
        </w:tc>
        <w:tc>
          <w:tcPr>
            <w:tcW w:w="215" w:type="pct"/>
          </w:tcPr>
          <w:p w14:paraId="498E664D" w14:textId="77777777" w:rsidR="00D043ED" w:rsidRPr="00657E8C" w:rsidRDefault="00D043ED" w:rsidP="00E620C7">
            <w:pPr>
              <w:pStyle w:val="ARtabletextright"/>
            </w:pPr>
            <w:r w:rsidRPr="00657E8C">
              <w:t>11.6</w:t>
            </w:r>
          </w:p>
        </w:tc>
        <w:tc>
          <w:tcPr>
            <w:tcW w:w="421" w:type="pct"/>
          </w:tcPr>
          <w:p w14:paraId="76F7872A" w14:textId="77777777" w:rsidR="00D043ED" w:rsidRPr="00657E8C" w:rsidRDefault="00D043ED" w:rsidP="00E620C7">
            <w:pPr>
              <w:pStyle w:val="ARtabletextright"/>
            </w:pPr>
            <w:r w:rsidRPr="00657E8C">
              <w:t>13</w:t>
            </w:r>
          </w:p>
        </w:tc>
        <w:tc>
          <w:tcPr>
            <w:tcW w:w="206" w:type="pct"/>
          </w:tcPr>
          <w:p w14:paraId="11094561" w14:textId="77777777" w:rsidR="00D043ED" w:rsidRPr="00657E8C" w:rsidRDefault="00D043ED" w:rsidP="00E620C7">
            <w:pPr>
              <w:pStyle w:val="ARtabletextright"/>
            </w:pPr>
            <w:r w:rsidRPr="00657E8C">
              <w:t>12.6</w:t>
            </w:r>
          </w:p>
        </w:tc>
      </w:tr>
      <w:tr w:rsidR="00D043ED" w:rsidRPr="00657E8C" w14:paraId="6AFDE7B9" w14:textId="77777777" w:rsidTr="003C6B3A">
        <w:tc>
          <w:tcPr>
            <w:tcW w:w="371" w:type="pct"/>
          </w:tcPr>
          <w:p w14:paraId="34551E53" w14:textId="77777777" w:rsidR="00D043ED" w:rsidRPr="00657E8C" w:rsidRDefault="00D043ED" w:rsidP="00E620C7">
            <w:pPr>
              <w:pStyle w:val="ARtabletext"/>
            </w:pPr>
            <w:r w:rsidRPr="00657E8C">
              <w:t>VPS 4</w:t>
            </w:r>
          </w:p>
        </w:tc>
        <w:tc>
          <w:tcPr>
            <w:tcW w:w="419" w:type="pct"/>
          </w:tcPr>
          <w:p w14:paraId="40791791" w14:textId="77777777" w:rsidR="00D043ED" w:rsidRPr="00657E8C" w:rsidRDefault="00D043ED" w:rsidP="00E620C7">
            <w:pPr>
              <w:pStyle w:val="ARtabletextright"/>
            </w:pPr>
            <w:r w:rsidRPr="00657E8C">
              <w:t>37</w:t>
            </w:r>
          </w:p>
        </w:tc>
        <w:tc>
          <w:tcPr>
            <w:tcW w:w="215" w:type="pct"/>
          </w:tcPr>
          <w:p w14:paraId="0089DF1C" w14:textId="77777777" w:rsidR="00D043ED" w:rsidRPr="00657E8C" w:rsidRDefault="00D043ED" w:rsidP="00E620C7">
            <w:pPr>
              <w:pStyle w:val="ARtabletextright"/>
            </w:pPr>
            <w:r w:rsidRPr="00657E8C">
              <w:t>35.7</w:t>
            </w:r>
          </w:p>
        </w:tc>
        <w:tc>
          <w:tcPr>
            <w:tcW w:w="421" w:type="pct"/>
          </w:tcPr>
          <w:p w14:paraId="4440E8F3" w14:textId="77777777" w:rsidR="00D043ED" w:rsidRPr="00657E8C" w:rsidRDefault="00D043ED" w:rsidP="00E620C7">
            <w:pPr>
              <w:pStyle w:val="ARtabletextright"/>
            </w:pPr>
            <w:r w:rsidRPr="00657E8C">
              <w:t>10</w:t>
            </w:r>
          </w:p>
        </w:tc>
        <w:tc>
          <w:tcPr>
            <w:tcW w:w="421" w:type="pct"/>
          </w:tcPr>
          <w:p w14:paraId="09357977" w14:textId="77777777" w:rsidR="00D043ED" w:rsidRPr="00657E8C" w:rsidRDefault="00D043ED" w:rsidP="00E620C7">
            <w:pPr>
              <w:pStyle w:val="ARtabletextright"/>
            </w:pPr>
            <w:r w:rsidRPr="00657E8C">
              <w:t>3</w:t>
            </w:r>
          </w:p>
        </w:tc>
        <w:tc>
          <w:tcPr>
            <w:tcW w:w="215" w:type="pct"/>
          </w:tcPr>
          <w:p w14:paraId="6381783C" w14:textId="77777777" w:rsidR="00D043ED" w:rsidRPr="00657E8C" w:rsidRDefault="00D043ED" w:rsidP="00E620C7">
            <w:pPr>
              <w:pStyle w:val="ARtabletextright"/>
            </w:pPr>
            <w:r w:rsidRPr="00657E8C">
              <w:t>12.2</w:t>
            </w:r>
          </w:p>
        </w:tc>
        <w:tc>
          <w:tcPr>
            <w:tcW w:w="421" w:type="pct"/>
          </w:tcPr>
          <w:p w14:paraId="78EE83DD" w14:textId="77777777" w:rsidR="00D043ED" w:rsidRPr="00657E8C" w:rsidRDefault="00D043ED" w:rsidP="00E620C7">
            <w:pPr>
              <w:pStyle w:val="ARtabletextright"/>
            </w:pPr>
            <w:r w:rsidRPr="00657E8C">
              <w:t>24</w:t>
            </w:r>
          </w:p>
        </w:tc>
        <w:tc>
          <w:tcPr>
            <w:tcW w:w="200" w:type="pct"/>
          </w:tcPr>
          <w:p w14:paraId="7145AEF7" w14:textId="77777777" w:rsidR="00D043ED" w:rsidRPr="00657E8C" w:rsidRDefault="00D043ED" w:rsidP="00E620C7">
            <w:pPr>
              <w:pStyle w:val="ARtabletextright"/>
            </w:pPr>
            <w:r w:rsidRPr="00657E8C">
              <w:t>23.5</w:t>
            </w:r>
          </w:p>
        </w:tc>
        <w:tc>
          <w:tcPr>
            <w:tcW w:w="421" w:type="pct"/>
          </w:tcPr>
          <w:p w14:paraId="19563956" w14:textId="77777777" w:rsidR="00D043ED" w:rsidRPr="00657E8C" w:rsidRDefault="00D043ED" w:rsidP="00E620C7">
            <w:pPr>
              <w:pStyle w:val="ARtabletextright"/>
            </w:pPr>
            <w:r w:rsidRPr="00657E8C">
              <w:t>27</w:t>
            </w:r>
          </w:p>
        </w:tc>
        <w:tc>
          <w:tcPr>
            <w:tcW w:w="215" w:type="pct"/>
          </w:tcPr>
          <w:p w14:paraId="1BE2589C" w14:textId="77777777" w:rsidR="00D043ED" w:rsidRPr="00657E8C" w:rsidRDefault="00D043ED" w:rsidP="00E620C7">
            <w:pPr>
              <w:pStyle w:val="ARtabletextright"/>
            </w:pPr>
            <w:r w:rsidRPr="00657E8C">
              <w:t>26.3</w:t>
            </w:r>
          </w:p>
        </w:tc>
        <w:tc>
          <w:tcPr>
            <w:tcW w:w="421" w:type="pct"/>
          </w:tcPr>
          <w:p w14:paraId="556E0D45" w14:textId="77777777" w:rsidR="00D043ED" w:rsidRPr="00657E8C" w:rsidRDefault="00D043ED" w:rsidP="00E620C7">
            <w:pPr>
              <w:pStyle w:val="ARtabletextright"/>
            </w:pPr>
            <w:r w:rsidRPr="00657E8C">
              <w:t>11</w:t>
            </w:r>
          </w:p>
        </w:tc>
        <w:tc>
          <w:tcPr>
            <w:tcW w:w="421" w:type="pct"/>
          </w:tcPr>
          <w:p w14:paraId="79FFFD89" w14:textId="77777777" w:rsidR="00D043ED" w:rsidRPr="00657E8C" w:rsidRDefault="00D043ED" w:rsidP="00E620C7">
            <w:pPr>
              <w:pStyle w:val="ARtabletextright"/>
            </w:pPr>
            <w:r w:rsidRPr="00657E8C">
              <w:t>2</w:t>
            </w:r>
          </w:p>
        </w:tc>
        <w:tc>
          <w:tcPr>
            <w:tcW w:w="215" w:type="pct"/>
          </w:tcPr>
          <w:p w14:paraId="6CAE5911" w14:textId="77777777" w:rsidR="00D043ED" w:rsidRPr="00657E8C" w:rsidRDefault="00D043ED" w:rsidP="00E620C7">
            <w:pPr>
              <w:pStyle w:val="ARtabletextright"/>
            </w:pPr>
            <w:r w:rsidRPr="00657E8C">
              <w:t>12.4</w:t>
            </w:r>
          </w:p>
        </w:tc>
        <w:tc>
          <w:tcPr>
            <w:tcW w:w="421" w:type="pct"/>
          </w:tcPr>
          <w:p w14:paraId="779BDB61" w14:textId="77777777" w:rsidR="00D043ED" w:rsidRPr="00657E8C" w:rsidRDefault="00D043ED" w:rsidP="00E620C7">
            <w:pPr>
              <w:pStyle w:val="ARtabletextright"/>
            </w:pPr>
            <w:r w:rsidRPr="00657E8C">
              <w:t>14</w:t>
            </w:r>
          </w:p>
        </w:tc>
        <w:tc>
          <w:tcPr>
            <w:tcW w:w="206" w:type="pct"/>
          </w:tcPr>
          <w:p w14:paraId="313C2255" w14:textId="77777777" w:rsidR="00D043ED" w:rsidRPr="00657E8C" w:rsidRDefault="00D043ED" w:rsidP="00E620C7">
            <w:pPr>
              <w:pStyle w:val="ARtabletextright"/>
            </w:pPr>
            <w:r w:rsidRPr="00657E8C">
              <w:t>13.9</w:t>
            </w:r>
          </w:p>
        </w:tc>
      </w:tr>
      <w:tr w:rsidR="00D043ED" w:rsidRPr="00657E8C" w14:paraId="395AEB41" w14:textId="77777777" w:rsidTr="003C6B3A">
        <w:tc>
          <w:tcPr>
            <w:tcW w:w="371" w:type="pct"/>
          </w:tcPr>
          <w:p w14:paraId="29AFA409" w14:textId="77777777" w:rsidR="00D043ED" w:rsidRPr="00657E8C" w:rsidRDefault="00D043ED" w:rsidP="00E620C7">
            <w:pPr>
              <w:pStyle w:val="ARtabletext"/>
            </w:pPr>
            <w:r w:rsidRPr="00657E8C">
              <w:t>VPS 5</w:t>
            </w:r>
          </w:p>
        </w:tc>
        <w:tc>
          <w:tcPr>
            <w:tcW w:w="419" w:type="pct"/>
          </w:tcPr>
          <w:p w14:paraId="5234C29D" w14:textId="77777777" w:rsidR="00D043ED" w:rsidRPr="00657E8C" w:rsidRDefault="00D043ED" w:rsidP="00E620C7">
            <w:pPr>
              <w:pStyle w:val="ARtabletextright"/>
            </w:pPr>
            <w:r w:rsidRPr="00657E8C">
              <w:t>113</w:t>
            </w:r>
          </w:p>
        </w:tc>
        <w:tc>
          <w:tcPr>
            <w:tcW w:w="215" w:type="pct"/>
          </w:tcPr>
          <w:p w14:paraId="4D1AD69A" w14:textId="77777777" w:rsidR="00D043ED" w:rsidRPr="00657E8C" w:rsidRDefault="00D043ED" w:rsidP="00E620C7">
            <w:pPr>
              <w:pStyle w:val="ARtabletextright"/>
            </w:pPr>
            <w:r w:rsidRPr="00657E8C">
              <w:t>105.8</w:t>
            </w:r>
          </w:p>
        </w:tc>
        <w:tc>
          <w:tcPr>
            <w:tcW w:w="421" w:type="pct"/>
          </w:tcPr>
          <w:p w14:paraId="19A7BC6C" w14:textId="77777777" w:rsidR="00D043ED" w:rsidRPr="00657E8C" w:rsidRDefault="00D043ED" w:rsidP="00E620C7">
            <w:pPr>
              <w:pStyle w:val="ARtabletextright"/>
            </w:pPr>
            <w:r w:rsidRPr="00657E8C">
              <w:t>36</w:t>
            </w:r>
          </w:p>
        </w:tc>
        <w:tc>
          <w:tcPr>
            <w:tcW w:w="421" w:type="pct"/>
          </w:tcPr>
          <w:p w14:paraId="52F432FB" w14:textId="77777777" w:rsidR="00D043ED" w:rsidRPr="00657E8C" w:rsidRDefault="00D043ED" w:rsidP="00E620C7">
            <w:pPr>
              <w:pStyle w:val="ARtabletextright"/>
            </w:pPr>
            <w:r w:rsidRPr="00657E8C">
              <w:t>18</w:t>
            </w:r>
          </w:p>
        </w:tc>
        <w:tc>
          <w:tcPr>
            <w:tcW w:w="215" w:type="pct"/>
          </w:tcPr>
          <w:p w14:paraId="7D54A66A" w14:textId="77777777" w:rsidR="00D043ED" w:rsidRPr="00657E8C" w:rsidRDefault="00D043ED" w:rsidP="00E620C7">
            <w:pPr>
              <w:pStyle w:val="ARtabletextright"/>
            </w:pPr>
            <w:r w:rsidRPr="00657E8C">
              <w:t>49.5</w:t>
            </w:r>
          </w:p>
        </w:tc>
        <w:tc>
          <w:tcPr>
            <w:tcW w:w="421" w:type="pct"/>
          </w:tcPr>
          <w:p w14:paraId="33812B8B" w14:textId="77777777" w:rsidR="00D043ED" w:rsidRPr="00657E8C" w:rsidRDefault="00D043ED" w:rsidP="00E620C7">
            <w:pPr>
              <w:pStyle w:val="ARtabletextright"/>
            </w:pPr>
            <w:r w:rsidRPr="00657E8C">
              <w:t>59</w:t>
            </w:r>
          </w:p>
        </w:tc>
        <w:tc>
          <w:tcPr>
            <w:tcW w:w="200" w:type="pct"/>
          </w:tcPr>
          <w:p w14:paraId="7D7030DC" w14:textId="77777777" w:rsidR="00D043ED" w:rsidRPr="00657E8C" w:rsidRDefault="00D043ED" w:rsidP="00E620C7">
            <w:pPr>
              <w:pStyle w:val="ARtabletextright"/>
            </w:pPr>
            <w:r w:rsidRPr="00657E8C">
              <w:t>56.3</w:t>
            </w:r>
          </w:p>
        </w:tc>
        <w:tc>
          <w:tcPr>
            <w:tcW w:w="421" w:type="pct"/>
          </w:tcPr>
          <w:p w14:paraId="540F5F0F" w14:textId="77777777" w:rsidR="00D043ED" w:rsidRPr="00657E8C" w:rsidRDefault="00D043ED" w:rsidP="00E620C7">
            <w:pPr>
              <w:pStyle w:val="ARtabletextright"/>
            </w:pPr>
            <w:r w:rsidRPr="00657E8C">
              <w:t>71</w:t>
            </w:r>
          </w:p>
        </w:tc>
        <w:tc>
          <w:tcPr>
            <w:tcW w:w="215" w:type="pct"/>
          </w:tcPr>
          <w:p w14:paraId="6CBE9518" w14:textId="77777777" w:rsidR="00D043ED" w:rsidRPr="00657E8C" w:rsidRDefault="00D043ED" w:rsidP="00E620C7">
            <w:pPr>
              <w:pStyle w:val="ARtabletextright"/>
            </w:pPr>
            <w:r w:rsidRPr="00657E8C">
              <w:t>64.6</w:t>
            </w:r>
          </w:p>
        </w:tc>
        <w:tc>
          <w:tcPr>
            <w:tcW w:w="421" w:type="pct"/>
          </w:tcPr>
          <w:p w14:paraId="666AA0F8" w14:textId="77777777" w:rsidR="00D043ED" w:rsidRPr="00657E8C" w:rsidRDefault="00D043ED" w:rsidP="00E620C7">
            <w:pPr>
              <w:pStyle w:val="ARtabletextright"/>
            </w:pPr>
            <w:r w:rsidRPr="00657E8C">
              <w:t>22</w:t>
            </w:r>
          </w:p>
        </w:tc>
        <w:tc>
          <w:tcPr>
            <w:tcW w:w="421" w:type="pct"/>
          </w:tcPr>
          <w:p w14:paraId="23AE2FA0" w14:textId="77777777" w:rsidR="00D043ED" w:rsidRPr="00657E8C" w:rsidRDefault="00D043ED" w:rsidP="00E620C7">
            <w:pPr>
              <w:pStyle w:val="ARtabletextright"/>
            </w:pPr>
            <w:r w:rsidRPr="00657E8C">
              <w:t>14</w:t>
            </w:r>
          </w:p>
        </w:tc>
        <w:tc>
          <w:tcPr>
            <w:tcW w:w="215" w:type="pct"/>
          </w:tcPr>
          <w:p w14:paraId="6C65C552" w14:textId="77777777" w:rsidR="00D043ED" w:rsidRPr="00657E8C" w:rsidRDefault="00D043ED" w:rsidP="00E620C7">
            <w:pPr>
              <w:pStyle w:val="ARtabletextright"/>
            </w:pPr>
            <w:r w:rsidRPr="00657E8C">
              <w:t>32.3</w:t>
            </w:r>
          </w:p>
        </w:tc>
        <w:tc>
          <w:tcPr>
            <w:tcW w:w="421" w:type="pct"/>
          </w:tcPr>
          <w:p w14:paraId="174FBD79" w14:textId="77777777" w:rsidR="00D043ED" w:rsidRPr="00657E8C" w:rsidRDefault="00D043ED" w:rsidP="00E620C7">
            <w:pPr>
              <w:pStyle w:val="ARtabletextright"/>
            </w:pPr>
            <w:r w:rsidRPr="00657E8C">
              <w:t>35</w:t>
            </w:r>
          </w:p>
        </w:tc>
        <w:tc>
          <w:tcPr>
            <w:tcW w:w="206" w:type="pct"/>
          </w:tcPr>
          <w:p w14:paraId="692486F9" w14:textId="77777777" w:rsidR="00D043ED" w:rsidRPr="00657E8C" w:rsidRDefault="00D043ED" w:rsidP="00E620C7">
            <w:pPr>
              <w:pStyle w:val="ARtabletextright"/>
            </w:pPr>
            <w:r w:rsidRPr="00657E8C">
              <w:t>32.3</w:t>
            </w:r>
          </w:p>
        </w:tc>
      </w:tr>
      <w:tr w:rsidR="00D043ED" w:rsidRPr="00657E8C" w14:paraId="7D5D7AA9" w14:textId="77777777" w:rsidTr="003C6B3A">
        <w:tc>
          <w:tcPr>
            <w:tcW w:w="371" w:type="pct"/>
          </w:tcPr>
          <w:p w14:paraId="6FFFEC8F" w14:textId="77777777" w:rsidR="00D043ED" w:rsidRPr="00657E8C" w:rsidRDefault="00D043ED" w:rsidP="00E620C7">
            <w:pPr>
              <w:pStyle w:val="ARtabletext"/>
            </w:pPr>
            <w:r w:rsidRPr="00657E8C">
              <w:t>VPS 6</w:t>
            </w:r>
          </w:p>
        </w:tc>
        <w:tc>
          <w:tcPr>
            <w:tcW w:w="419" w:type="pct"/>
          </w:tcPr>
          <w:p w14:paraId="482322E2" w14:textId="77777777" w:rsidR="00D043ED" w:rsidRPr="00657E8C" w:rsidRDefault="00D043ED" w:rsidP="00E620C7">
            <w:pPr>
              <w:pStyle w:val="ARtabletextright"/>
            </w:pPr>
            <w:r w:rsidRPr="00657E8C">
              <w:t>82</w:t>
            </w:r>
          </w:p>
        </w:tc>
        <w:tc>
          <w:tcPr>
            <w:tcW w:w="215" w:type="pct"/>
          </w:tcPr>
          <w:p w14:paraId="06FE188A" w14:textId="77777777" w:rsidR="00D043ED" w:rsidRPr="00657E8C" w:rsidRDefault="00D043ED" w:rsidP="00E620C7">
            <w:pPr>
              <w:pStyle w:val="ARtabletextright"/>
            </w:pPr>
            <w:r w:rsidRPr="00657E8C">
              <w:t>77.3</w:t>
            </w:r>
          </w:p>
        </w:tc>
        <w:tc>
          <w:tcPr>
            <w:tcW w:w="421" w:type="pct"/>
          </w:tcPr>
          <w:p w14:paraId="5D0010D7" w14:textId="77777777" w:rsidR="00D043ED" w:rsidRPr="00657E8C" w:rsidRDefault="00D043ED" w:rsidP="00E620C7">
            <w:pPr>
              <w:pStyle w:val="ARtabletextright"/>
            </w:pPr>
            <w:r w:rsidRPr="00657E8C">
              <w:t>38</w:t>
            </w:r>
          </w:p>
        </w:tc>
        <w:tc>
          <w:tcPr>
            <w:tcW w:w="421" w:type="pct"/>
          </w:tcPr>
          <w:p w14:paraId="6692F679" w14:textId="77777777" w:rsidR="00D043ED" w:rsidRPr="00657E8C" w:rsidRDefault="00D043ED" w:rsidP="00E620C7">
            <w:pPr>
              <w:pStyle w:val="ARtabletextright"/>
            </w:pPr>
            <w:r w:rsidRPr="00657E8C">
              <w:t>13</w:t>
            </w:r>
          </w:p>
        </w:tc>
        <w:tc>
          <w:tcPr>
            <w:tcW w:w="215" w:type="pct"/>
          </w:tcPr>
          <w:p w14:paraId="2F066F27" w14:textId="77777777" w:rsidR="00D043ED" w:rsidRPr="00657E8C" w:rsidRDefault="00D043ED" w:rsidP="00E620C7">
            <w:pPr>
              <w:pStyle w:val="ARtabletextright"/>
            </w:pPr>
            <w:r w:rsidRPr="00657E8C">
              <w:t>48.3</w:t>
            </w:r>
          </w:p>
        </w:tc>
        <w:tc>
          <w:tcPr>
            <w:tcW w:w="421" w:type="pct"/>
          </w:tcPr>
          <w:p w14:paraId="24E2F3ED" w14:textId="77777777" w:rsidR="00D043ED" w:rsidRPr="00657E8C" w:rsidRDefault="00D043ED" w:rsidP="00E620C7">
            <w:pPr>
              <w:pStyle w:val="ARtabletextright"/>
            </w:pPr>
            <w:r w:rsidRPr="00657E8C">
              <w:t>31</w:t>
            </w:r>
          </w:p>
        </w:tc>
        <w:tc>
          <w:tcPr>
            <w:tcW w:w="200" w:type="pct"/>
          </w:tcPr>
          <w:p w14:paraId="31B48CE3" w14:textId="77777777" w:rsidR="00D043ED" w:rsidRPr="00657E8C" w:rsidRDefault="00D043ED" w:rsidP="00E620C7">
            <w:pPr>
              <w:pStyle w:val="ARtabletextright"/>
            </w:pPr>
            <w:r w:rsidRPr="00657E8C">
              <w:t>29</w:t>
            </w:r>
          </w:p>
        </w:tc>
        <w:tc>
          <w:tcPr>
            <w:tcW w:w="421" w:type="pct"/>
          </w:tcPr>
          <w:p w14:paraId="768DA65F" w14:textId="77777777" w:rsidR="00D043ED" w:rsidRPr="00657E8C" w:rsidRDefault="00D043ED" w:rsidP="00E620C7">
            <w:pPr>
              <w:pStyle w:val="ARtabletextright"/>
            </w:pPr>
            <w:r w:rsidRPr="00657E8C">
              <w:t>50</w:t>
            </w:r>
          </w:p>
        </w:tc>
        <w:tc>
          <w:tcPr>
            <w:tcW w:w="215" w:type="pct"/>
          </w:tcPr>
          <w:p w14:paraId="33347669" w14:textId="77777777" w:rsidR="00D043ED" w:rsidRPr="00657E8C" w:rsidRDefault="00D043ED" w:rsidP="00E620C7">
            <w:pPr>
              <w:pStyle w:val="ARtabletextright"/>
            </w:pPr>
            <w:r w:rsidRPr="00657E8C">
              <w:t>47.5</w:t>
            </w:r>
          </w:p>
        </w:tc>
        <w:tc>
          <w:tcPr>
            <w:tcW w:w="421" w:type="pct"/>
          </w:tcPr>
          <w:p w14:paraId="7EAF6332" w14:textId="77777777" w:rsidR="00D043ED" w:rsidRPr="00657E8C" w:rsidRDefault="00D043ED" w:rsidP="00E620C7">
            <w:pPr>
              <w:pStyle w:val="ARtabletextright"/>
            </w:pPr>
            <w:r w:rsidRPr="00657E8C">
              <w:t>24</w:t>
            </w:r>
          </w:p>
        </w:tc>
        <w:tc>
          <w:tcPr>
            <w:tcW w:w="421" w:type="pct"/>
          </w:tcPr>
          <w:p w14:paraId="297D7930" w14:textId="77777777" w:rsidR="00D043ED" w:rsidRPr="00657E8C" w:rsidRDefault="00D043ED" w:rsidP="00E620C7">
            <w:pPr>
              <w:pStyle w:val="ARtabletextright"/>
            </w:pPr>
            <w:r w:rsidRPr="00657E8C">
              <w:t>7</w:t>
            </w:r>
          </w:p>
        </w:tc>
        <w:tc>
          <w:tcPr>
            <w:tcW w:w="215" w:type="pct"/>
          </w:tcPr>
          <w:p w14:paraId="4D9F0260" w14:textId="77777777" w:rsidR="00D043ED" w:rsidRPr="00657E8C" w:rsidRDefault="00D043ED" w:rsidP="00E620C7">
            <w:pPr>
              <w:pStyle w:val="ARtabletextright"/>
            </w:pPr>
            <w:r w:rsidRPr="00657E8C">
              <w:t>29.5</w:t>
            </w:r>
          </w:p>
        </w:tc>
        <w:tc>
          <w:tcPr>
            <w:tcW w:w="421" w:type="pct"/>
          </w:tcPr>
          <w:p w14:paraId="682AF1D7" w14:textId="77777777" w:rsidR="00D043ED" w:rsidRPr="00657E8C" w:rsidRDefault="00D043ED" w:rsidP="00E620C7">
            <w:pPr>
              <w:pStyle w:val="ARtabletextright"/>
            </w:pPr>
            <w:r w:rsidRPr="00657E8C">
              <w:t>19</w:t>
            </w:r>
          </w:p>
        </w:tc>
        <w:tc>
          <w:tcPr>
            <w:tcW w:w="206" w:type="pct"/>
          </w:tcPr>
          <w:p w14:paraId="528CC48F" w14:textId="77777777" w:rsidR="00D043ED" w:rsidRPr="00657E8C" w:rsidRDefault="00D043ED" w:rsidP="00E620C7">
            <w:pPr>
              <w:pStyle w:val="ARtabletextright"/>
            </w:pPr>
            <w:r w:rsidRPr="00657E8C">
              <w:t>18</w:t>
            </w:r>
          </w:p>
        </w:tc>
      </w:tr>
      <w:tr w:rsidR="00D043ED" w:rsidRPr="00657E8C" w14:paraId="73A7FFAC" w14:textId="77777777" w:rsidTr="003C6B3A">
        <w:tc>
          <w:tcPr>
            <w:tcW w:w="371" w:type="pct"/>
          </w:tcPr>
          <w:p w14:paraId="0637A800" w14:textId="77777777" w:rsidR="00D043ED" w:rsidRPr="00657E8C" w:rsidRDefault="00D043ED" w:rsidP="00E620C7">
            <w:pPr>
              <w:pStyle w:val="ARtabletext"/>
            </w:pPr>
            <w:r w:rsidRPr="00657E8C">
              <w:t>Child Protection</w:t>
            </w:r>
          </w:p>
        </w:tc>
        <w:tc>
          <w:tcPr>
            <w:tcW w:w="419" w:type="pct"/>
          </w:tcPr>
          <w:p w14:paraId="2034AC31" w14:textId="77777777" w:rsidR="00D043ED" w:rsidRPr="00657E8C" w:rsidRDefault="00D043ED" w:rsidP="00E620C7">
            <w:pPr>
              <w:pStyle w:val="ARtabletextright"/>
            </w:pPr>
            <w:r w:rsidRPr="00657E8C">
              <w:t>14</w:t>
            </w:r>
          </w:p>
        </w:tc>
        <w:tc>
          <w:tcPr>
            <w:tcW w:w="215" w:type="pct"/>
          </w:tcPr>
          <w:p w14:paraId="1FBEA360" w14:textId="77777777" w:rsidR="00D043ED" w:rsidRPr="00657E8C" w:rsidRDefault="00D043ED" w:rsidP="00E620C7">
            <w:pPr>
              <w:pStyle w:val="ARtabletextright"/>
            </w:pPr>
            <w:r w:rsidRPr="00657E8C">
              <w:t>11.9</w:t>
            </w:r>
          </w:p>
        </w:tc>
        <w:tc>
          <w:tcPr>
            <w:tcW w:w="421" w:type="pct"/>
          </w:tcPr>
          <w:p w14:paraId="6F8E6FF7" w14:textId="77777777" w:rsidR="00D043ED" w:rsidRPr="00657E8C" w:rsidRDefault="00D043ED" w:rsidP="00E620C7">
            <w:pPr>
              <w:pStyle w:val="ARtabletextright"/>
            </w:pPr>
            <w:r w:rsidRPr="00657E8C">
              <w:t>9</w:t>
            </w:r>
          </w:p>
        </w:tc>
        <w:tc>
          <w:tcPr>
            <w:tcW w:w="421" w:type="pct"/>
          </w:tcPr>
          <w:p w14:paraId="466A4B9E" w14:textId="77777777" w:rsidR="00D043ED" w:rsidRPr="00657E8C" w:rsidRDefault="00D043ED" w:rsidP="00E620C7">
            <w:pPr>
              <w:pStyle w:val="ARtabletextright"/>
            </w:pPr>
            <w:r w:rsidRPr="00657E8C">
              <w:t>5</w:t>
            </w:r>
          </w:p>
        </w:tc>
        <w:tc>
          <w:tcPr>
            <w:tcW w:w="215" w:type="pct"/>
          </w:tcPr>
          <w:p w14:paraId="76E3D405" w14:textId="77777777" w:rsidR="00D043ED" w:rsidRPr="00657E8C" w:rsidRDefault="00D043ED" w:rsidP="00E620C7">
            <w:pPr>
              <w:pStyle w:val="ARtabletextright"/>
            </w:pPr>
            <w:r w:rsidRPr="00657E8C">
              <w:t>11.9</w:t>
            </w:r>
          </w:p>
        </w:tc>
        <w:tc>
          <w:tcPr>
            <w:tcW w:w="421" w:type="pct"/>
          </w:tcPr>
          <w:p w14:paraId="1D49CC0A" w14:textId="77777777" w:rsidR="00D043ED" w:rsidRPr="00657E8C" w:rsidRDefault="00D043ED" w:rsidP="00E620C7">
            <w:pPr>
              <w:pStyle w:val="ARtabletextright"/>
            </w:pPr>
            <w:r w:rsidRPr="00657E8C">
              <w:t>0</w:t>
            </w:r>
          </w:p>
        </w:tc>
        <w:tc>
          <w:tcPr>
            <w:tcW w:w="200" w:type="pct"/>
          </w:tcPr>
          <w:p w14:paraId="332557CD" w14:textId="77777777" w:rsidR="00D043ED" w:rsidRPr="00657E8C" w:rsidRDefault="00D043ED" w:rsidP="00E620C7">
            <w:pPr>
              <w:pStyle w:val="ARtabletextright"/>
            </w:pPr>
            <w:r w:rsidRPr="00657E8C">
              <w:t>0</w:t>
            </w:r>
          </w:p>
        </w:tc>
        <w:tc>
          <w:tcPr>
            <w:tcW w:w="421" w:type="pct"/>
          </w:tcPr>
          <w:p w14:paraId="3AA627D8" w14:textId="77777777" w:rsidR="00D043ED" w:rsidRPr="00657E8C" w:rsidRDefault="00D043ED" w:rsidP="00E620C7">
            <w:pPr>
              <w:pStyle w:val="ARtabletextright"/>
            </w:pPr>
            <w:r w:rsidRPr="00657E8C">
              <w:t>16</w:t>
            </w:r>
          </w:p>
        </w:tc>
        <w:tc>
          <w:tcPr>
            <w:tcW w:w="215" w:type="pct"/>
          </w:tcPr>
          <w:p w14:paraId="1353512E" w14:textId="77777777" w:rsidR="00D043ED" w:rsidRPr="00657E8C" w:rsidRDefault="00D043ED" w:rsidP="00E620C7">
            <w:pPr>
              <w:pStyle w:val="ARtabletextright"/>
            </w:pPr>
            <w:r w:rsidRPr="00657E8C">
              <w:t>14.3</w:t>
            </w:r>
          </w:p>
        </w:tc>
        <w:tc>
          <w:tcPr>
            <w:tcW w:w="421" w:type="pct"/>
          </w:tcPr>
          <w:p w14:paraId="7E5DFEAA" w14:textId="77777777" w:rsidR="00D043ED" w:rsidRPr="00657E8C" w:rsidRDefault="00D043ED" w:rsidP="00E620C7">
            <w:pPr>
              <w:pStyle w:val="ARtabletextright"/>
            </w:pPr>
            <w:r w:rsidRPr="00657E8C">
              <w:t>11</w:t>
            </w:r>
          </w:p>
        </w:tc>
        <w:tc>
          <w:tcPr>
            <w:tcW w:w="421" w:type="pct"/>
          </w:tcPr>
          <w:p w14:paraId="76FFBF5C" w14:textId="77777777" w:rsidR="00D043ED" w:rsidRPr="00657E8C" w:rsidRDefault="00D043ED" w:rsidP="00E620C7">
            <w:pPr>
              <w:pStyle w:val="ARtabletextright"/>
            </w:pPr>
            <w:r w:rsidRPr="00657E8C">
              <w:t>5</w:t>
            </w:r>
          </w:p>
        </w:tc>
        <w:tc>
          <w:tcPr>
            <w:tcW w:w="215" w:type="pct"/>
          </w:tcPr>
          <w:p w14:paraId="4C5D1326" w14:textId="77777777" w:rsidR="00D043ED" w:rsidRPr="00657E8C" w:rsidRDefault="00D043ED" w:rsidP="00E620C7">
            <w:pPr>
              <w:pStyle w:val="ARtabletextright"/>
            </w:pPr>
            <w:r w:rsidRPr="00657E8C">
              <w:t>14.3</w:t>
            </w:r>
          </w:p>
        </w:tc>
        <w:tc>
          <w:tcPr>
            <w:tcW w:w="421" w:type="pct"/>
          </w:tcPr>
          <w:p w14:paraId="29B473D8" w14:textId="77777777" w:rsidR="00D043ED" w:rsidRPr="00657E8C" w:rsidRDefault="00D043ED" w:rsidP="00E620C7">
            <w:pPr>
              <w:pStyle w:val="ARtabletextright"/>
            </w:pPr>
            <w:r w:rsidRPr="00657E8C">
              <w:t>0</w:t>
            </w:r>
          </w:p>
        </w:tc>
        <w:tc>
          <w:tcPr>
            <w:tcW w:w="206" w:type="pct"/>
          </w:tcPr>
          <w:p w14:paraId="0ACCF38C" w14:textId="77777777" w:rsidR="00D043ED" w:rsidRPr="00657E8C" w:rsidRDefault="00D043ED" w:rsidP="00E620C7">
            <w:pPr>
              <w:pStyle w:val="ARtabletextright"/>
            </w:pPr>
            <w:r w:rsidRPr="00657E8C">
              <w:t>0</w:t>
            </w:r>
          </w:p>
        </w:tc>
      </w:tr>
      <w:tr w:rsidR="00D043ED" w:rsidRPr="00657E8C" w14:paraId="0435DA25" w14:textId="77777777" w:rsidTr="003C6B3A">
        <w:tc>
          <w:tcPr>
            <w:tcW w:w="371" w:type="pct"/>
          </w:tcPr>
          <w:p w14:paraId="0F086412" w14:textId="77777777" w:rsidR="00D043ED" w:rsidRPr="00657E8C" w:rsidRDefault="00D043ED" w:rsidP="00E620C7">
            <w:pPr>
              <w:pStyle w:val="ARtabletext"/>
            </w:pPr>
            <w:r w:rsidRPr="00657E8C">
              <w:t>SNTS</w:t>
            </w:r>
          </w:p>
        </w:tc>
        <w:tc>
          <w:tcPr>
            <w:tcW w:w="419" w:type="pct"/>
          </w:tcPr>
          <w:p w14:paraId="4FF3C04F" w14:textId="77777777" w:rsidR="00D043ED" w:rsidRPr="00657E8C" w:rsidRDefault="00D043ED" w:rsidP="00E620C7">
            <w:pPr>
              <w:pStyle w:val="ARtabletextright"/>
            </w:pPr>
            <w:r w:rsidRPr="00657E8C">
              <w:t>6</w:t>
            </w:r>
          </w:p>
        </w:tc>
        <w:tc>
          <w:tcPr>
            <w:tcW w:w="215" w:type="pct"/>
          </w:tcPr>
          <w:p w14:paraId="55257243" w14:textId="77777777" w:rsidR="00D043ED" w:rsidRPr="00657E8C" w:rsidRDefault="00D043ED" w:rsidP="00E620C7">
            <w:pPr>
              <w:pStyle w:val="ARtabletextright"/>
            </w:pPr>
            <w:r w:rsidRPr="00657E8C">
              <w:t>6</w:t>
            </w:r>
          </w:p>
        </w:tc>
        <w:tc>
          <w:tcPr>
            <w:tcW w:w="421" w:type="pct"/>
          </w:tcPr>
          <w:p w14:paraId="189D4CD5" w14:textId="77777777" w:rsidR="00D043ED" w:rsidRPr="00657E8C" w:rsidRDefault="00D043ED" w:rsidP="00E620C7">
            <w:pPr>
              <w:pStyle w:val="ARtabletextright"/>
            </w:pPr>
            <w:r w:rsidRPr="00657E8C">
              <w:t>2</w:t>
            </w:r>
          </w:p>
        </w:tc>
        <w:tc>
          <w:tcPr>
            <w:tcW w:w="421" w:type="pct"/>
          </w:tcPr>
          <w:p w14:paraId="65994EB5" w14:textId="77777777" w:rsidR="00D043ED" w:rsidRPr="00657E8C" w:rsidRDefault="00D043ED" w:rsidP="00E620C7">
            <w:pPr>
              <w:pStyle w:val="ARtabletextright"/>
            </w:pPr>
            <w:r w:rsidRPr="00657E8C">
              <w:t>0</w:t>
            </w:r>
          </w:p>
        </w:tc>
        <w:tc>
          <w:tcPr>
            <w:tcW w:w="215" w:type="pct"/>
          </w:tcPr>
          <w:p w14:paraId="456D72F6" w14:textId="77777777" w:rsidR="00D043ED" w:rsidRPr="00657E8C" w:rsidRDefault="00D043ED" w:rsidP="00E620C7">
            <w:pPr>
              <w:pStyle w:val="ARtabletextright"/>
            </w:pPr>
            <w:r w:rsidRPr="00657E8C">
              <w:t>2</w:t>
            </w:r>
          </w:p>
        </w:tc>
        <w:tc>
          <w:tcPr>
            <w:tcW w:w="421" w:type="pct"/>
          </w:tcPr>
          <w:p w14:paraId="12E00EDA" w14:textId="77777777" w:rsidR="00D043ED" w:rsidRPr="00657E8C" w:rsidRDefault="00D043ED" w:rsidP="00E620C7">
            <w:pPr>
              <w:pStyle w:val="ARtabletextright"/>
            </w:pPr>
            <w:r w:rsidRPr="00657E8C">
              <w:t>4</w:t>
            </w:r>
          </w:p>
        </w:tc>
        <w:tc>
          <w:tcPr>
            <w:tcW w:w="200" w:type="pct"/>
          </w:tcPr>
          <w:p w14:paraId="38A67F9D" w14:textId="77777777" w:rsidR="00D043ED" w:rsidRPr="00657E8C" w:rsidRDefault="00D043ED" w:rsidP="00E620C7">
            <w:pPr>
              <w:pStyle w:val="ARtabletextright"/>
            </w:pPr>
            <w:r w:rsidRPr="00657E8C">
              <w:t>4</w:t>
            </w:r>
          </w:p>
        </w:tc>
        <w:tc>
          <w:tcPr>
            <w:tcW w:w="421" w:type="pct"/>
          </w:tcPr>
          <w:p w14:paraId="667A6946" w14:textId="77777777" w:rsidR="00D043ED" w:rsidRPr="00657E8C" w:rsidRDefault="00D043ED" w:rsidP="00E620C7">
            <w:pPr>
              <w:pStyle w:val="ARtabletextright"/>
            </w:pPr>
            <w:r w:rsidRPr="00657E8C">
              <w:t>5</w:t>
            </w:r>
          </w:p>
        </w:tc>
        <w:tc>
          <w:tcPr>
            <w:tcW w:w="215" w:type="pct"/>
          </w:tcPr>
          <w:p w14:paraId="012587F6" w14:textId="77777777" w:rsidR="00D043ED" w:rsidRPr="00657E8C" w:rsidRDefault="00D043ED" w:rsidP="00E620C7">
            <w:pPr>
              <w:pStyle w:val="ARtabletextright"/>
            </w:pPr>
            <w:r w:rsidRPr="00657E8C">
              <w:t>5</w:t>
            </w:r>
          </w:p>
        </w:tc>
        <w:tc>
          <w:tcPr>
            <w:tcW w:w="421" w:type="pct"/>
          </w:tcPr>
          <w:p w14:paraId="17DDA091" w14:textId="77777777" w:rsidR="00D043ED" w:rsidRPr="00657E8C" w:rsidRDefault="00D043ED" w:rsidP="00E620C7">
            <w:pPr>
              <w:pStyle w:val="ARtabletextright"/>
            </w:pPr>
            <w:r w:rsidRPr="00657E8C">
              <w:t>2</w:t>
            </w:r>
          </w:p>
        </w:tc>
        <w:tc>
          <w:tcPr>
            <w:tcW w:w="421" w:type="pct"/>
          </w:tcPr>
          <w:p w14:paraId="2C6596FF" w14:textId="77777777" w:rsidR="00D043ED" w:rsidRPr="00657E8C" w:rsidRDefault="00D043ED" w:rsidP="00E620C7">
            <w:pPr>
              <w:pStyle w:val="ARtabletextright"/>
            </w:pPr>
            <w:r w:rsidRPr="00657E8C">
              <w:t>0</w:t>
            </w:r>
          </w:p>
        </w:tc>
        <w:tc>
          <w:tcPr>
            <w:tcW w:w="215" w:type="pct"/>
          </w:tcPr>
          <w:p w14:paraId="505E7C15" w14:textId="77777777" w:rsidR="00D043ED" w:rsidRPr="00657E8C" w:rsidRDefault="00D043ED" w:rsidP="00E620C7">
            <w:pPr>
              <w:pStyle w:val="ARtabletextright"/>
            </w:pPr>
            <w:r w:rsidRPr="00657E8C">
              <w:t>2</w:t>
            </w:r>
          </w:p>
        </w:tc>
        <w:tc>
          <w:tcPr>
            <w:tcW w:w="421" w:type="pct"/>
          </w:tcPr>
          <w:p w14:paraId="53CAFFBE" w14:textId="77777777" w:rsidR="00D043ED" w:rsidRPr="00657E8C" w:rsidRDefault="00D043ED" w:rsidP="00E620C7">
            <w:pPr>
              <w:pStyle w:val="ARtabletextright"/>
            </w:pPr>
            <w:r w:rsidRPr="00657E8C">
              <w:t>3</w:t>
            </w:r>
          </w:p>
        </w:tc>
        <w:tc>
          <w:tcPr>
            <w:tcW w:w="206" w:type="pct"/>
          </w:tcPr>
          <w:p w14:paraId="2DC1F08B" w14:textId="77777777" w:rsidR="00D043ED" w:rsidRPr="00657E8C" w:rsidRDefault="00D043ED" w:rsidP="00E620C7">
            <w:pPr>
              <w:pStyle w:val="ARtabletextright"/>
            </w:pPr>
            <w:r w:rsidRPr="00657E8C">
              <w:t>3</w:t>
            </w:r>
          </w:p>
        </w:tc>
      </w:tr>
      <w:tr w:rsidR="00D043ED" w:rsidRPr="00657E8C" w14:paraId="5F7B615F" w14:textId="77777777" w:rsidTr="003C6B3A">
        <w:tc>
          <w:tcPr>
            <w:tcW w:w="371" w:type="pct"/>
          </w:tcPr>
          <w:p w14:paraId="20FE6229" w14:textId="77777777" w:rsidR="00D043ED" w:rsidRPr="00657E8C" w:rsidRDefault="00D043ED" w:rsidP="00E620C7">
            <w:pPr>
              <w:pStyle w:val="ARtabletext"/>
            </w:pPr>
            <w:r w:rsidRPr="00657E8C">
              <w:t>SMA</w:t>
            </w:r>
          </w:p>
        </w:tc>
        <w:tc>
          <w:tcPr>
            <w:tcW w:w="419" w:type="pct"/>
          </w:tcPr>
          <w:p w14:paraId="5A087285" w14:textId="77777777" w:rsidR="00D043ED" w:rsidRPr="00657E8C" w:rsidRDefault="00D043ED" w:rsidP="00E620C7">
            <w:pPr>
              <w:pStyle w:val="ARtabletextright"/>
            </w:pPr>
            <w:r w:rsidRPr="00657E8C">
              <w:t>1</w:t>
            </w:r>
          </w:p>
        </w:tc>
        <w:tc>
          <w:tcPr>
            <w:tcW w:w="215" w:type="pct"/>
          </w:tcPr>
          <w:p w14:paraId="111E37EE" w14:textId="77777777" w:rsidR="00D043ED" w:rsidRPr="00657E8C" w:rsidRDefault="00D043ED" w:rsidP="00E620C7">
            <w:pPr>
              <w:pStyle w:val="ARtabletextright"/>
            </w:pPr>
            <w:r w:rsidRPr="00657E8C">
              <w:t>1</w:t>
            </w:r>
          </w:p>
        </w:tc>
        <w:tc>
          <w:tcPr>
            <w:tcW w:w="421" w:type="pct"/>
          </w:tcPr>
          <w:p w14:paraId="4F54503F" w14:textId="77777777" w:rsidR="00D043ED" w:rsidRPr="00657E8C" w:rsidRDefault="00D043ED" w:rsidP="00E620C7">
            <w:pPr>
              <w:pStyle w:val="ARtabletextright"/>
            </w:pPr>
            <w:r w:rsidRPr="00657E8C">
              <w:t>0</w:t>
            </w:r>
          </w:p>
        </w:tc>
        <w:tc>
          <w:tcPr>
            <w:tcW w:w="421" w:type="pct"/>
          </w:tcPr>
          <w:p w14:paraId="70974FDC" w14:textId="77777777" w:rsidR="00D043ED" w:rsidRPr="00657E8C" w:rsidRDefault="00D043ED" w:rsidP="00E620C7">
            <w:pPr>
              <w:pStyle w:val="ARtabletextright"/>
            </w:pPr>
            <w:r w:rsidRPr="00657E8C">
              <w:t>0</w:t>
            </w:r>
          </w:p>
        </w:tc>
        <w:tc>
          <w:tcPr>
            <w:tcW w:w="215" w:type="pct"/>
          </w:tcPr>
          <w:p w14:paraId="77DF95FE" w14:textId="77777777" w:rsidR="00D043ED" w:rsidRPr="00657E8C" w:rsidRDefault="00D043ED" w:rsidP="00E620C7">
            <w:pPr>
              <w:pStyle w:val="ARtabletextright"/>
            </w:pPr>
            <w:r w:rsidRPr="00657E8C">
              <w:t>0</w:t>
            </w:r>
          </w:p>
        </w:tc>
        <w:tc>
          <w:tcPr>
            <w:tcW w:w="421" w:type="pct"/>
          </w:tcPr>
          <w:p w14:paraId="578A20D7" w14:textId="77777777" w:rsidR="00D043ED" w:rsidRPr="00657E8C" w:rsidRDefault="00D043ED" w:rsidP="00E620C7">
            <w:pPr>
              <w:pStyle w:val="ARtabletextright"/>
            </w:pPr>
            <w:r w:rsidRPr="00657E8C">
              <w:t>1</w:t>
            </w:r>
          </w:p>
        </w:tc>
        <w:tc>
          <w:tcPr>
            <w:tcW w:w="200" w:type="pct"/>
          </w:tcPr>
          <w:p w14:paraId="691AC3C6" w14:textId="77777777" w:rsidR="00D043ED" w:rsidRPr="00657E8C" w:rsidRDefault="00D043ED" w:rsidP="00E620C7">
            <w:pPr>
              <w:pStyle w:val="ARtabletextright"/>
            </w:pPr>
            <w:r w:rsidRPr="00657E8C">
              <w:t>1</w:t>
            </w:r>
          </w:p>
        </w:tc>
        <w:tc>
          <w:tcPr>
            <w:tcW w:w="421" w:type="pct"/>
          </w:tcPr>
          <w:p w14:paraId="42D583CE" w14:textId="77777777" w:rsidR="00D043ED" w:rsidRPr="00657E8C" w:rsidRDefault="00D043ED" w:rsidP="00E620C7">
            <w:pPr>
              <w:pStyle w:val="ARtabletextright"/>
            </w:pPr>
            <w:r w:rsidRPr="00657E8C">
              <w:t>0</w:t>
            </w:r>
          </w:p>
        </w:tc>
        <w:tc>
          <w:tcPr>
            <w:tcW w:w="215" w:type="pct"/>
          </w:tcPr>
          <w:p w14:paraId="142E5FDD" w14:textId="77777777" w:rsidR="00D043ED" w:rsidRPr="00657E8C" w:rsidRDefault="00D043ED" w:rsidP="00E620C7">
            <w:pPr>
              <w:pStyle w:val="ARtabletextright"/>
            </w:pPr>
            <w:r w:rsidRPr="00657E8C">
              <w:t>0</w:t>
            </w:r>
          </w:p>
        </w:tc>
        <w:tc>
          <w:tcPr>
            <w:tcW w:w="421" w:type="pct"/>
          </w:tcPr>
          <w:p w14:paraId="52205596" w14:textId="77777777" w:rsidR="00D043ED" w:rsidRPr="00657E8C" w:rsidRDefault="00D043ED" w:rsidP="00E620C7">
            <w:pPr>
              <w:pStyle w:val="ARtabletextright"/>
            </w:pPr>
            <w:r w:rsidRPr="00657E8C">
              <w:t>0</w:t>
            </w:r>
          </w:p>
        </w:tc>
        <w:tc>
          <w:tcPr>
            <w:tcW w:w="421" w:type="pct"/>
          </w:tcPr>
          <w:p w14:paraId="3D802D17" w14:textId="77777777" w:rsidR="00D043ED" w:rsidRPr="00657E8C" w:rsidRDefault="00D043ED" w:rsidP="00E620C7">
            <w:pPr>
              <w:pStyle w:val="ARtabletextright"/>
            </w:pPr>
            <w:r w:rsidRPr="00657E8C">
              <w:t>0</w:t>
            </w:r>
          </w:p>
        </w:tc>
        <w:tc>
          <w:tcPr>
            <w:tcW w:w="215" w:type="pct"/>
          </w:tcPr>
          <w:p w14:paraId="794E9DC6" w14:textId="77777777" w:rsidR="00D043ED" w:rsidRPr="00657E8C" w:rsidRDefault="00D043ED" w:rsidP="00E620C7">
            <w:pPr>
              <w:pStyle w:val="ARtabletextright"/>
            </w:pPr>
            <w:r w:rsidRPr="00657E8C">
              <w:t>0</w:t>
            </w:r>
          </w:p>
        </w:tc>
        <w:tc>
          <w:tcPr>
            <w:tcW w:w="421" w:type="pct"/>
          </w:tcPr>
          <w:p w14:paraId="5807ADA3" w14:textId="77777777" w:rsidR="00D043ED" w:rsidRPr="00657E8C" w:rsidRDefault="00D043ED" w:rsidP="00E620C7">
            <w:pPr>
              <w:pStyle w:val="ARtabletextright"/>
            </w:pPr>
            <w:r w:rsidRPr="00657E8C">
              <w:t>0</w:t>
            </w:r>
          </w:p>
        </w:tc>
        <w:tc>
          <w:tcPr>
            <w:tcW w:w="206" w:type="pct"/>
          </w:tcPr>
          <w:p w14:paraId="399D3808" w14:textId="77777777" w:rsidR="00D043ED" w:rsidRPr="00657E8C" w:rsidRDefault="00D043ED" w:rsidP="00E620C7">
            <w:pPr>
              <w:pStyle w:val="ARtabletextright"/>
            </w:pPr>
            <w:r w:rsidRPr="00657E8C">
              <w:t>0</w:t>
            </w:r>
          </w:p>
        </w:tc>
      </w:tr>
      <w:tr w:rsidR="00D043ED" w:rsidRPr="00657E8C" w14:paraId="7A602D4E" w14:textId="77777777" w:rsidTr="003C6B3A">
        <w:tc>
          <w:tcPr>
            <w:tcW w:w="371" w:type="pct"/>
          </w:tcPr>
          <w:p w14:paraId="1B536AE1" w14:textId="77777777" w:rsidR="00D043ED" w:rsidRPr="00657E8C" w:rsidRDefault="00D043ED" w:rsidP="00E620C7">
            <w:pPr>
              <w:pStyle w:val="ARtabletext"/>
            </w:pPr>
            <w:r w:rsidRPr="00657E8C">
              <w:t>Executives</w:t>
            </w:r>
          </w:p>
        </w:tc>
        <w:tc>
          <w:tcPr>
            <w:tcW w:w="419" w:type="pct"/>
          </w:tcPr>
          <w:p w14:paraId="6A380CC2" w14:textId="77777777" w:rsidR="00D043ED" w:rsidRPr="00657E8C" w:rsidRDefault="00D043ED" w:rsidP="00E620C7">
            <w:pPr>
              <w:pStyle w:val="ARtabletextright"/>
            </w:pPr>
            <w:r w:rsidRPr="00657E8C">
              <w:t>19</w:t>
            </w:r>
          </w:p>
        </w:tc>
        <w:tc>
          <w:tcPr>
            <w:tcW w:w="215" w:type="pct"/>
          </w:tcPr>
          <w:p w14:paraId="034E5236" w14:textId="77777777" w:rsidR="00D043ED" w:rsidRPr="00657E8C" w:rsidRDefault="00D043ED" w:rsidP="00E620C7">
            <w:pPr>
              <w:pStyle w:val="ARtabletextright"/>
            </w:pPr>
            <w:r w:rsidRPr="00657E8C">
              <w:t>18.8</w:t>
            </w:r>
          </w:p>
        </w:tc>
        <w:tc>
          <w:tcPr>
            <w:tcW w:w="421" w:type="pct"/>
          </w:tcPr>
          <w:p w14:paraId="6EB48C06" w14:textId="77777777" w:rsidR="00D043ED" w:rsidRPr="00657E8C" w:rsidRDefault="00D043ED" w:rsidP="00E620C7">
            <w:pPr>
              <w:pStyle w:val="ARtabletextright"/>
            </w:pPr>
            <w:r w:rsidRPr="00657E8C">
              <w:t>18</w:t>
            </w:r>
          </w:p>
        </w:tc>
        <w:tc>
          <w:tcPr>
            <w:tcW w:w="421" w:type="pct"/>
          </w:tcPr>
          <w:p w14:paraId="1F6CBB0B" w14:textId="77777777" w:rsidR="00D043ED" w:rsidRPr="00657E8C" w:rsidRDefault="00D043ED" w:rsidP="00E620C7">
            <w:pPr>
              <w:pStyle w:val="ARtabletextright"/>
            </w:pPr>
            <w:r w:rsidRPr="00657E8C">
              <w:t>1</w:t>
            </w:r>
          </w:p>
        </w:tc>
        <w:tc>
          <w:tcPr>
            <w:tcW w:w="215" w:type="pct"/>
          </w:tcPr>
          <w:p w14:paraId="29505EF4" w14:textId="77777777" w:rsidR="00D043ED" w:rsidRPr="00657E8C" w:rsidRDefault="00D043ED" w:rsidP="00E620C7">
            <w:pPr>
              <w:pStyle w:val="ARtabletextright"/>
            </w:pPr>
            <w:r w:rsidRPr="00657E8C">
              <w:t>18.8</w:t>
            </w:r>
          </w:p>
        </w:tc>
        <w:tc>
          <w:tcPr>
            <w:tcW w:w="421" w:type="pct"/>
          </w:tcPr>
          <w:p w14:paraId="0B5774D6" w14:textId="77777777" w:rsidR="00D043ED" w:rsidRPr="00657E8C" w:rsidRDefault="00D043ED" w:rsidP="00E620C7">
            <w:pPr>
              <w:pStyle w:val="ARtabletextright"/>
            </w:pPr>
            <w:r w:rsidRPr="00657E8C">
              <w:t>0</w:t>
            </w:r>
          </w:p>
        </w:tc>
        <w:tc>
          <w:tcPr>
            <w:tcW w:w="200" w:type="pct"/>
          </w:tcPr>
          <w:p w14:paraId="3529E014" w14:textId="77777777" w:rsidR="00D043ED" w:rsidRPr="00657E8C" w:rsidRDefault="00D043ED" w:rsidP="00E620C7">
            <w:pPr>
              <w:pStyle w:val="ARtabletextright"/>
            </w:pPr>
            <w:r w:rsidRPr="00657E8C">
              <w:t>0</w:t>
            </w:r>
          </w:p>
        </w:tc>
        <w:tc>
          <w:tcPr>
            <w:tcW w:w="421" w:type="pct"/>
          </w:tcPr>
          <w:p w14:paraId="22862ACC" w14:textId="77777777" w:rsidR="00D043ED" w:rsidRPr="00657E8C" w:rsidRDefault="00D043ED" w:rsidP="00E620C7">
            <w:pPr>
              <w:pStyle w:val="ARtabletextright"/>
            </w:pPr>
            <w:r w:rsidRPr="00657E8C">
              <w:t>19</w:t>
            </w:r>
          </w:p>
        </w:tc>
        <w:tc>
          <w:tcPr>
            <w:tcW w:w="215" w:type="pct"/>
          </w:tcPr>
          <w:p w14:paraId="10248B2F" w14:textId="77777777" w:rsidR="00D043ED" w:rsidRPr="00657E8C" w:rsidRDefault="00D043ED" w:rsidP="00E620C7">
            <w:pPr>
              <w:pStyle w:val="ARtabletextright"/>
            </w:pPr>
            <w:r w:rsidRPr="00657E8C">
              <w:t>18.1</w:t>
            </w:r>
          </w:p>
        </w:tc>
        <w:tc>
          <w:tcPr>
            <w:tcW w:w="421" w:type="pct"/>
          </w:tcPr>
          <w:p w14:paraId="64FC50F4" w14:textId="77777777" w:rsidR="00D043ED" w:rsidRPr="00657E8C" w:rsidRDefault="00D043ED" w:rsidP="00E620C7">
            <w:pPr>
              <w:pStyle w:val="ARtabletextright"/>
            </w:pPr>
            <w:r w:rsidRPr="00657E8C">
              <w:t>14</w:t>
            </w:r>
          </w:p>
        </w:tc>
        <w:tc>
          <w:tcPr>
            <w:tcW w:w="421" w:type="pct"/>
          </w:tcPr>
          <w:p w14:paraId="3EBA9A66" w14:textId="77777777" w:rsidR="00D043ED" w:rsidRPr="00657E8C" w:rsidRDefault="00D043ED" w:rsidP="00E620C7">
            <w:pPr>
              <w:pStyle w:val="ARtabletextright"/>
            </w:pPr>
            <w:r w:rsidRPr="00657E8C">
              <w:t>5</w:t>
            </w:r>
          </w:p>
        </w:tc>
        <w:tc>
          <w:tcPr>
            <w:tcW w:w="215" w:type="pct"/>
          </w:tcPr>
          <w:p w14:paraId="17C21B44" w14:textId="77777777" w:rsidR="00D043ED" w:rsidRPr="00657E8C" w:rsidRDefault="00D043ED" w:rsidP="00E620C7">
            <w:pPr>
              <w:pStyle w:val="ARtabletextright"/>
            </w:pPr>
            <w:r w:rsidRPr="00657E8C">
              <w:t>18.1</w:t>
            </w:r>
          </w:p>
        </w:tc>
        <w:tc>
          <w:tcPr>
            <w:tcW w:w="421" w:type="pct"/>
          </w:tcPr>
          <w:p w14:paraId="0C9CBBE0" w14:textId="77777777" w:rsidR="00D043ED" w:rsidRPr="00657E8C" w:rsidRDefault="00D043ED" w:rsidP="00E620C7">
            <w:pPr>
              <w:pStyle w:val="ARtabletextright"/>
            </w:pPr>
            <w:r w:rsidRPr="00657E8C">
              <w:t>0</w:t>
            </w:r>
          </w:p>
        </w:tc>
        <w:tc>
          <w:tcPr>
            <w:tcW w:w="206" w:type="pct"/>
          </w:tcPr>
          <w:p w14:paraId="73E02E61" w14:textId="77777777" w:rsidR="00D043ED" w:rsidRPr="00657E8C" w:rsidRDefault="00D043ED" w:rsidP="00E620C7">
            <w:pPr>
              <w:pStyle w:val="ARtabletextright"/>
            </w:pPr>
            <w:r w:rsidRPr="00657E8C">
              <w:t>0</w:t>
            </w:r>
          </w:p>
        </w:tc>
      </w:tr>
      <w:tr w:rsidR="00D043ED" w:rsidRPr="00657E8C" w14:paraId="25E27430" w14:textId="77777777" w:rsidTr="003C6B3A">
        <w:tc>
          <w:tcPr>
            <w:tcW w:w="371" w:type="pct"/>
          </w:tcPr>
          <w:p w14:paraId="56B70318" w14:textId="77777777" w:rsidR="00D043ED" w:rsidRPr="00657E8C" w:rsidRDefault="00D043ED" w:rsidP="00E620C7">
            <w:pPr>
              <w:pStyle w:val="ARtabletext"/>
            </w:pPr>
            <w:r w:rsidRPr="00657E8C">
              <w:t>Other</w:t>
            </w:r>
          </w:p>
        </w:tc>
        <w:tc>
          <w:tcPr>
            <w:tcW w:w="419" w:type="pct"/>
          </w:tcPr>
          <w:p w14:paraId="45FE9000" w14:textId="77777777" w:rsidR="00D043ED" w:rsidRPr="00657E8C" w:rsidRDefault="00D043ED" w:rsidP="00E620C7">
            <w:pPr>
              <w:pStyle w:val="ARtabletextright"/>
            </w:pPr>
            <w:r w:rsidRPr="00657E8C">
              <w:t>0</w:t>
            </w:r>
          </w:p>
        </w:tc>
        <w:tc>
          <w:tcPr>
            <w:tcW w:w="215" w:type="pct"/>
          </w:tcPr>
          <w:p w14:paraId="51E73980" w14:textId="77777777" w:rsidR="00D043ED" w:rsidRPr="00657E8C" w:rsidRDefault="00D043ED" w:rsidP="00E620C7">
            <w:pPr>
              <w:pStyle w:val="ARtabletextright"/>
            </w:pPr>
            <w:r w:rsidRPr="00657E8C">
              <w:t>0</w:t>
            </w:r>
          </w:p>
        </w:tc>
        <w:tc>
          <w:tcPr>
            <w:tcW w:w="421" w:type="pct"/>
          </w:tcPr>
          <w:p w14:paraId="2E95B3C0" w14:textId="77777777" w:rsidR="00D043ED" w:rsidRPr="00657E8C" w:rsidRDefault="00D043ED" w:rsidP="00E620C7">
            <w:pPr>
              <w:pStyle w:val="ARtabletextright"/>
            </w:pPr>
            <w:r w:rsidRPr="00657E8C">
              <w:t>0</w:t>
            </w:r>
          </w:p>
        </w:tc>
        <w:tc>
          <w:tcPr>
            <w:tcW w:w="421" w:type="pct"/>
          </w:tcPr>
          <w:p w14:paraId="401D94D5" w14:textId="77777777" w:rsidR="00D043ED" w:rsidRPr="00657E8C" w:rsidRDefault="00D043ED" w:rsidP="00E620C7">
            <w:pPr>
              <w:pStyle w:val="ARtabletextright"/>
            </w:pPr>
            <w:r w:rsidRPr="00657E8C">
              <w:t>0</w:t>
            </w:r>
          </w:p>
        </w:tc>
        <w:tc>
          <w:tcPr>
            <w:tcW w:w="215" w:type="pct"/>
          </w:tcPr>
          <w:p w14:paraId="49E37F2D" w14:textId="77777777" w:rsidR="00D043ED" w:rsidRPr="00657E8C" w:rsidRDefault="00D043ED" w:rsidP="00E620C7">
            <w:pPr>
              <w:pStyle w:val="ARtabletextright"/>
            </w:pPr>
            <w:r w:rsidRPr="00657E8C">
              <w:t>0</w:t>
            </w:r>
          </w:p>
        </w:tc>
        <w:tc>
          <w:tcPr>
            <w:tcW w:w="421" w:type="pct"/>
          </w:tcPr>
          <w:p w14:paraId="3792CC59" w14:textId="77777777" w:rsidR="00D043ED" w:rsidRPr="00657E8C" w:rsidRDefault="00D043ED" w:rsidP="00E620C7">
            <w:pPr>
              <w:pStyle w:val="ARtabletextright"/>
            </w:pPr>
            <w:r w:rsidRPr="00657E8C">
              <w:t>0</w:t>
            </w:r>
          </w:p>
        </w:tc>
        <w:tc>
          <w:tcPr>
            <w:tcW w:w="200" w:type="pct"/>
          </w:tcPr>
          <w:p w14:paraId="15B6347F" w14:textId="77777777" w:rsidR="00D043ED" w:rsidRPr="00657E8C" w:rsidRDefault="00D043ED" w:rsidP="00E620C7">
            <w:pPr>
              <w:pStyle w:val="ARtabletextright"/>
            </w:pPr>
            <w:r w:rsidRPr="00657E8C">
              <w:t>0</w:t>
            </w:r>
          </w:p>
        </w:tc>
        <w:tc>
          <w:tcPr>
            <w:tcW w:w="421" w:type="pct"/>
          </w:tcPr>
          <w:p w14:paraId="0A08AE87" w14:textId="77777777" w:rsidR="00D043ED" w:rsidRPr="00657E8C" w:rsidRDefault="00D043ED" w:rsidP="00E620C7">
            <w:pPr>
              <w:pStyle w:val="ARtabletextright"/>
            </w:pPr>
            <w:r w:rsidRPr="00657E8C">
              <w:t>1</w:t>
            </w:r>
          </w:p>
        </w:tc>
        <w:tc>
          <w:tcPr>
            <w:tcW w:w="215" w:type="pct"/>
          </w:tcPr>
          <w:p w14:paraId="0A1C21FA" w14:textId="77777777" w:rsidR="00D043ED" w:rsidRPr="00657E8C" w:rsidRDefault="00D043ED" w:rsidP="00E620C7">
            <w:pPr>
              <w:pStyle w:val="ARtabletextright"/>
            </w:pPr>
            <w:r w:rsidRPr="00657E8C">
              <w:t>1</w:t>
            </w:r>
          </w:p>
        </w:tc>
        <w:tc>
          <w:tcPr>
            <w:tcW w:w="421" w:type="pct"/>
          </w:tcPr>
          <w:p w14:paraId="74501862" w14:textId="77777777" w:rsidR="00D043ED" w:rsidRPr="00657E8C" w:rsidRDefault="00D043ED" w:rsidP="00E620C7">
            <w:pPr>
              <w:pStyle w:val="ARtabletextright"/>
            </w:pPr>
            <w:r w:rsidRPr="00657E8C">
              <w:t>1</w:t>
            </w:r>
          </w:p>
        </w:tc>
        <w:tc>
          <w:tcPr>
            <w:tcW w:w="421" w:type="pct"/>
          </w:tcPr>
          <w:p w14:paraId="3FC45A04" w14:textId="77777777" w:rsidR="00D043ED" w:rsidRPr="00657E8C" w:rsidRDefault="00D043ED" w:rsidP="00E620C7">
            <w:pPr>
              <w:pStyle w:val="ARtabletextright"/>
            </w:pPr>
            <w:r w:rsidRPr="00657E8C">
              <w:t>0</w:t>
            </w:r>
          </w:p>
        </w:tc>
        <w:tc>
          <w:tcPr>
            <w:tcW w:w="215" w:type="pct"/>
          </w:tcPr>
          <w:p w14:paraId="6ABE3360" w14:textId="77777777" w:rsidR="00D043ED" w:rsidRPr="00657E8C" w:rsidRDefault="00D043ED" w:rsidP="00E620C7">
            <w:pPr>
              <w:pStyle w:val="ARtabletextright"/>
            </w:pPr>
            <w:r w:rsidRPr="00657E8C">
              <w:t>1</w:t>
            </w:r>
          </w:p>
        </w:tc>
        <w:tc>
          <w:tcPr>
            <w:tcW w:w="421" w:type="pct"/>
          </w:tcPr>
          <w:p w14:paraId="1DC5E79B" w14:textId="77777777" w:rsidR="00D043ED" w:rsidRPr="00657E8C" w:rsidRDefault="00D043ED" w:rsidP="00E620C7">
            <w:pPr>
              <w:pStyle w:val="ARtabletextright"/>
            </w:pPr>
            <w:r w:rsidRPr="00657E8C">
              <w:t>0</w:t>
            </w:r>
          </w:p>
        </w:tc>
        <w:tc>
          <w:tcPr>
            <w:tcW w:w="206" w:type="pct"/>
          </w:tcPr>
          <w:p w14:paraId="4C52F734" w14:textId="77777777" w:rsidR="00D043ED" w:rsidRPr="00657E8C" w:rsidRDefault="00D043ED" w:rsidP="00E620C7">
            <w:pPr>
              <w:pStyle w:val="ARtabletextright"/>
            </w:pPr>
            <w:r w:rsidRPr="00657E8C">
              <w:t>0</w:t>
            </w:r>
          </w:p>
        </w:tc>
      </w:tr>
      <w:tr w:rsidR="00D043ED" w:rsidRPr="00657E8C" w14:paraId="6952968B" w14:textId="77777777" w:rsidTr="003C6B3A">
        <w:tc>
          <w:tcPr>
            <w:tcW w:w="371" w:type="pct"/>
          </w:tcPr>
          <w:p w14:paraId="7B90174C" w14:textId="77777777" w:rsidR="00D043ED" w:rsidRPr="00657E8C" w:rsidRDefault="00D043ED" w:rsidP="00E620C7">
            <w:pPr>
              <w:pStyle w:val="ARtabletext"/>
              <w:rPr>
                <w:b/>
              </w:rPr>
            </w:pPr>
            <w:r w:rsidRPr="00657E8C">
              <w:rPr>
                <w:b/>
              </w:rPr>
              <w:t>Total employees</w:t>
            </w:r>
          </w:p>
        </w:tc>
        <w:tc>
          <w:tcPr>
            <w:tcW w:w="419" w:type="pct"/>
          </w:tcPr>
          <w:p w14:paraId="61DAB1D9" w14:textId="77777777" w:rsidR="00D043ED" w:rsidRPr="00657E8C" w:rsidRDefault="00D043ED" w:rsidP="00E620C7">
            <w:pPr>
              <w:pStyle w:val="ARtabletextrightbold"/>
            </w:pPr>
            <w:r w:rsidRPr="00657E8C">
              <w:t>310</w:t>
            </w:r>
          </w:p>
        </w:tc>
        <w:tc>
          <w:tcPr>
            <w:tcW w:w="215" w:type="pct"/>
          </w:tcPr>
          <w:p w14:paraId="1DE5B9C3" w14:textId="77777777" w:rsidR="00D043ED" w:rsidRPr="00657E8C" w:rsidRDefault="00D043ED" w:rsidP="00E620C7">
            <w:pPr>
              <w:pStyle w:val="ARtabletextrightbold"/>
            </w:pPr>
            <w:r w:rsidRPr="00657E8C">
              <w:t>290.8</w:t>
            </w:r>
          </w:p>
        </w:tc>
        <w:tc>
          <w:tcPr>
            <w:tcW w:w="421" w:type="pct"/>
          </w:tcPr>
          <w:p w14:paraId="11141ED9" w14:textId="77777777" w:rsidR="00D043ED" w:rsidRPr="00657E8C" w:rsidRDefault="00D043ED" w:rsidP="00E620C7">
            <w:pPr>
              <w:pStyle w:val="ARtabletextrightbold"/>
            </w:pPr>
            <w:r w:rsidRPr="00657E8C">
              <w:t>127</w:t>
            </w:r>
          </w:p>
        </w:tc>
        <w:tc>
          <w:tcPr>
            <w:tcW w:w="421" w:type="pct"/>
          </w:tcPr>
          <w:p w14:paraId="4BF0165D" w14:textId="77777777" w:rsidR="00D043ED" w:rsidRPr="00657E8C" w:rsidRDefault="00D043ED" w:rsidP="00E620C7">
            <w:pPr>
              <w:pStyle w:val="ARtabletextrightbold"/>
            </w:pPr>
            <w:r w:rsidRPr="00657E8C">
              <w:t>48</w:t>
            </w:r>
          </w:p>
        </w:tc>
        <w:tc>
          <w:tcPr>
            <w:tcW w:w="215" w:type="pct"/>
          </w:tcPr>
          <w:p w14:paraId="5496DC14" w14:textId="77777777" w:rsidR="00D043ED" w:rsidRPr="00657E8C" w:rsidRDefault="00D043ED" w:rsidP="00E620C7">
            <w:pPr>
              <w:pStyle w:val="ARtabletextrightbold"/>
            </w:pPr>
            <w:r w:rsidRPr="00657E8C">
              <w:t>161.4</w:t>
            </w:r>
          </w:p>
        </w:tc>
        <w:tc>
          <w:tcPr>
            <w:tcW w:w="421" w:type="pct"/>
          </w:tcPr>
          <w:p w14:paraId="3A85D37E" w14:textId="77777777" w:rsidR="00D043ED" w:rsidRPr="00657E8C" w:rsidRDefault="00D043ED" w:rsidP="00E620C7">
            <w:pPr>
              <w:pStyle w:val="ARtabletextrightbold"/>
            </w:pPr>
            <w:r w:rsidRPr="00657E8C">
              <w:t>135</w:t>
            </w:r>
          </w:p>
        </w:tc>
        <w:tc>
          <w:tcPr>
            <w:tcW w:w="200" w:type="pct"/>
          </w:tcPr>
          <w:p w14:paraId="3B0F55A7" w14:textId="77777777" w:rsidR="00D043ED" w:rsidRPr="00657E8C" w:rsidRDefault="00D043ED" w:rsidP="00E620C7">
            <w:pPr>
              <w:pStyle w:val="ARtabletextrightbold"/>
            </w:pPr>
            <w:r w:rsidRPr="00657E8C">
              <w:t>129.5</w:t>
            </w:r>
          </w:p>
        </w:tc>
        <w:tc>
          <w:tcPr>
            <w:tcW w:w="421" w:type="pct"/>
          </w:tcPr>
          <w:p w14:paraId="5655A914" w14:textId="77777777" w:rsidR="00D043ED" w:rsidRPr="00657E8C" w:rsidRDefault="00D043ED" w:rsidP="00E620C7">
            <w:pPr>
              <w:pStyle w:val="ARtabletextrightbold"/>
            </w:pPr>
            <w:r w:rsidRPr="00657E8C">
              <w:t>218</w:t>
            </w:r>
          </w:p>
        </w:tc>
        <w:tc>
          <w:tcPr>
            <w:tcW w:w="215" w:type="pct"/>
          </w:tcPr>
          <w:p w14:paraId="2F44540F" w14:textId="77777777" w:rsidR="00D043ED" w:rsidRPr="00657E8C" w:rsidRDefault="00D043ED" w:rsidP="00E620C7">
            <w:pPr>
              <w:pStyle w:val="ARtabletextrightbold"/>
            </w:pPr>
            <w:r w:rsidRPr="00657E8C">
              <w:t>204</w:t>
            </w:r>
          </w:p>
        </w:tc>
        <w:tc>
          <w:tcPr>
            <w:tcW w:w="421" w:type="pct"/>
          </w:tcPr>
          <w:p w14:paraId="6B599D96" w14:textId="77777777" w:rsidR="00D043ED" w:rsidRPr="00657E8C" w:rsidRDefault="00D043ED" w:rsidP="00E620C7">
            <w:pPr>
              <w:pStyle w:val="ARtabletextrightbold"/>
            </w:pPr>
            <w:r w:rsidRPr="00657E8C">
              <w:t>94</w:t>
            </w:r>
          </w:p>
        </w:tc>
        <w:tc>
          <w:tcPr>
            <w:tcW w:w="421" w:type="pct"/>
          </w:tcPr>
          <w:p w14:paraId="67FF7109" w14:textId="77777777" w:rsidR="00D043ED" w:rsidRPr="00657E8C" w:rsidRDefault="00D043ED" w:rsidP="00E620C7">
            <w:pPr>
              <w:pStyle w:val="ARtabletextrightbold"/>
            </w:pPr>
            <w:r w:rsidRPr="00657E8C">
              <w:t>39</w:t>
            </w:r>
          </w:p>
        </w:tc>
        <w:tc>
          <w:tcPr>
            <w:tcW w:w="215" w:type="pct"/>
          </w:tcPr>
          <w:p w14:paraId="4DA055B0" w14:textId="77777777" w:rsidR="00D043ED" w:rsidRPr="00657E8C" w:rsidRDefault="00D043ED" w:rsidP="00E620C7">
            <w:pPr>
              <w:pStyle w:val="ARtabletextrightbold"/>
            </w:pPr>
            <w:r w:rsidRPr="00657E8C">
              <w:t>123.2</w:t>
            </w:r>
          </w:p>
        </w:tc>
        <w:tc>
          <w:tcPr>
            <w:tcW w:w="421" w:type="pct"/>
          </w:tcPr>
          <w:p w14:paraId="1B041E9A" w14:textId="77777777" w:rsidR="00D043ED" w:rsidRPr="00657E8C" w:rsidRDefault="00D043ED" w:rsidP="00E620C7">
            <w:pPr>
              <w:pStyle w:val="ARtabletextrightbold"/>
            </w:pPr>
            <w:r w:rsidRPr="00657E8C">
              <w:t>85</w:t>
            </w:r>
          </w:p>
        </w:tc>
        <w:tc>
          <w:tcPr>
            <w:tcW w:w="206" w:type="pct"/>
          </w:tcPr>
          <w:p w14:paraId="0816AF5F" w14:textId="77777777" w:rsidR="00D043ED" w:rsidRPr="00657E8C" w:rsidRDefault="00D043ED" w:rsidP="00E620C7">
            <w:pPr>
              <w:pStyle w:val="ARtabletextrightbold"/>
            </w:pPr>
            <w:r w:rsidRPr="00657E8C">
              <w:t>80.8</w:t>
            </w:r>
          </w:p>
        </w:tc>
      </w:tr>
    </w:tbl>
    <w:p w14:paraId="7FBD99DE" w14:textId="77777777" w:rsidR="008D124E" w:rsidRDefault="00F17551" w:rsidP="00F17551">
      <w:pPr>
        <w:pStyle w:val="ARtablefootnote"/>
        <w:rPr>
          <w:rFonts w:eastAsia="Times"/>
        </w:rPr>
      </w:pPr>
      <w:r w:rsidRPr="00657E8C">
        <w:rPr>
          <w:rFonts w:eastAsia="Times"/>
        </w:rPr>
        <w:t>Notes:</w:t>
      </w:r>
    </w:p>
    <w:p w14:paraId="703FC63B" w14:textId="77777777" w:rsidR="00CA5D44" w:rsidRDefault="00CA5D44" w:rsidP="00CA5D44">
      <w:pPr>
        <w:pStyle w:val="ARtablefootnote"/>
      </w:pPr>
      <w:r>
        <w:t>na = not available</w:t>
      </w:r>
    </w:p>
    <w:p w14:paraId="0BDF23FC" w14:textId="4ABAEA5C" w:rsidR="00F17551" w:rsidRPr="00657E8C" w:rsidRDefault="00F17551" w:rsidP="00F17551">
      <w:pPr>
        <w:pStyle w:val="ARtablefootnote"/>
        <w:rPr>
          <w:rFonts w:eastAsia="Times"/>
        </w:rPr>
      </w:pPr>
      <w:r w:rsidRPr="00657E8C">
        <w:rPr>
          <w:rFonts w:eastAsia="Times"/>
        </w:rPr>
        <w:t xml:space="preserve">Rounding errors may be present in FTE tables due to data being formatted to </w:t>
      </w:r>
      <w:r w:rsidR="00617EBE">
        <w:rPr>
          <w:rFonts w:eastAsia="Times"/>
        </w:rPr>
        <w:t>one</w:t>
      </w:r>
      <w:r w:rsidR="00617EBE" w:rsidRPr="00657E8C">
        <w:rPr>
          <w:rFonts w:eastAsia="Times"/>
        </w:rPr>
        <w:t xml:space="preserve"> </w:t>
      </w:r>
      <w:r w:rsidRPr="00657E8C">
        <w:rPr>
          <w:rFonts w:eastAsia="Times"/>
        </w:rPr>
        <w:t>decimal place.</w:t>
      </w:r>
    </w:p>
    <w:p w14:paraId="0A743778" w14:textId="77777777" w:rsidR="00F17551" w:rsidRPr="00657E8C" w:rsidRDefault="00617EBE" w:rsidP="00F17551">
      <w:pPr>
        <w:pStyle w:val="ARtablefootnote"/>
        <w:rPr>
          <w:rFonts w:eastAsia="Times"/>
        </w:rPr>
      </w:pPr>
      <w:r>
        <w:rPr>
          <w:rFonts w:eastAsia="Times"/>
        </w:rPr>
        <w:t>‘</w:t>
      </w:r>
      <w:r w:rsidR="00F17551" w:rsidRPr="00657E8C">
        <w:rPr>
          <w:rFonts w:eastAsia="Times"/>
        </w:rPr>
        <w:t>Other</w:t>
      </w:r>
      <w:r>
        <w:rPr>
          <w:rFonts w:eastAsia="Times"/>
        </w:rPr>
        <w:t>’</w:t>
      </w:r>
      <w:r w:rsidR="00F17551" w:rsidRPr="00657E8C">
        <w:rPr>
          <w:rFonts w:eastAsia="Times"/>
        </w:rPr>
        <w:t xml:space="preserve"> classification group may include </w:t>
      </w:r>
      <w:r w:rsidRPr="00657E8C">
        <w:rPr>
          <w:rFonts w:eastAsia="Times"/>
        </w:rPr>
        <w:t>solicitors, nurses, trade assistants, scientists, external auditors</w:t>
      </w:r>
      <w:r w:rsidR="00F17551" w:rsidRPr="00657E8C">
        <w:rPr>
          <w:rFonts w:eastAsia="Times"/>
        </w:rPr>
        <w:t>.</w:t>
      </w:r>
    </w:p>
    <w:p w14:paraId="27809D8F" w14:textId="77777777" w:rsidR="00F17551" w:rsidRPr="00657E8C" w:rsidRDefault="00F17551" w:rsidP="00F17551">
      <w:pPr>
        <w:pStyle w:val="ARtablefootnote"/>
      </w:pPr>
      <w:r w:rsidRPr="00657E8C">
        <w:rPr>
          <w:rFonts w:cs="Arial"/>
          <w:color w:val="000000"/>
        </w:rPr>
        <w:t>Data as at 30 June 2019.</w:t>
      </w:r>
    </w:p>
    <w:p w14:paraId="0C293BD0" w14:textId="77777777" w:rsidR="00704412" w:rsidRPr="00657E8C" w:rsidRDefault="00704412" w:rsidP="00F17551">
      <w:pPr>
        <w:pStyle w:val="Heading4"/>
        <w:sectPr w:rsidR="00704412" w:rsidRPr="00657E8C" w:rsidSect="00E43D68">
          <w:footerReference w:type="even" r:id="rId114"/>
          <w:footerReference w:type="default" r:id="rId115"/>
          <w:pgSz w:w="16838" w:h="11906" w:orient="landscape" w:code="9"/>
          <w:pgMar w:top="1418" w:right="1985" w:bottom="1418" w:left="851" w:header="851" w:footer="851" w:gutter="0"/>
          <w:cols w:space="708"/>
          <w:docGrid w:linePitch="360"/>
        </w:sectPr>
      </w:pPr>
    </w:p>
    <w:p w14:paraId="24E84B45" w14:textId="17D45EEB" w:rsidR="00F17551" w:rsidRPr="00657E8C" w:rsidRDefault="00F17551" w:rsidP="009031E7">
      <w:pPr>
        <w:pStyle w:val="Heading4"/>
        <w:spacing w:before="0"/>
      </w:pPr>
      <w:r w:rsidRPr="00657E8C">
        <w:t>Annualised total salary, by $20</w:t>
      </w:r>
      <w:r w:rsidR="00617EBE">
        <w:t>,</w:t>
      </w:r>
      <w:r w:rsidRPr="00657E8C">
        <w:t>000 bands, for executives and other senior non-executive staff</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699"/>
        <w:gridCol w:w="1418"/>
        <w:gridCol w:w="1134"/>
        <w:gridCol w:w="1134"/>
        <w:gridCol w:w="1134"/>
        <w:gridCol w:w="1134"/>
        <w:gridCol w:w="992"/>
      </w:tblGrid>
      <w:tr w:rsidR="00F17551" w:rsidRPr="00657E8C" w14:paraId="664F7C15" w14:textId="77777777" w:rsidTr="00D458B9">
        <w:trPr>
          <w:cantSplit/>
          <w:tblHeader/>
        </w:trPr>
        <w:tc>
          <w:tcPr>
            <w:tcW w:w="1399" w:type="pct"/>
            <w:tcBorders>
              <w:bottom w:val="single" w:sz="4" w:space="0" w:color="auto"/>
            </w:tcBorders>
            <w:shd w:val="clear" w:color="auto" w:fill="auto"/>
          </w:tcPr>
          <w:p w14:paraId="7E9C4C16" w14:textId="77777777" w:rsidR="00F17551" w:rsidRPr="00657E8C" w:rsidRDefault="00F17551" w:rsidP="00F17551">
            <w:pPr>
              <w:pStyle w:val="ARtablecolhead"/>
            </w:pPr>
            <w:r w:rsidRPr="00657E8C">
              <w:t>Income band (salary)</w:t>
            </w:r>
          </w:p>
        </w:tc>
        <w:tc>
          <w:tcPr>
            <w:tcW w:w="735" w:type="pct"/>
            <w:tcBorders>
              <w:top w:val="nil"/>
              <w:bottom w:val="single" w:sz="4" w:space="0" w:color="auto"/>
            </w:tcBorders>
            <w:shd w:val="clear" w:color="auto" w:fill="auto"/>
            <w:vAlign w:val="bottom"/>
          </w:tcPr>
          <w:p w14:paraId="4D1FE6C5" w14:textId="77777777" w:rsidR="00F17551" w:rsidRPr="00657E8C" w:rsidRDefault="00F17551" w:rsidP="00FE6A7C">
            <w:pPr>
              <w:pStyle w:val="ARtablecolheadright"/>
            </w:pPr>
            <w:r w:rsidRPr="00657E8C">
              <w:t>Executives</w:t>
            </w:r>
          </w:p>
        </w:tc>
        <w:tc>
          <w:tcPr>
            <w:tcW w:w="588" w:type="pct"/>
            <w:tcBorders>
              <w:top w:val="nil"/>
              <w:bottom w:val="single" w:sz="4" w:space="0" w:color="auto"/>
            </w:tcBorders>
            <w:shd w:val="clear" w:color="auto" w:fill="auto"/>
            <w:vAlign w:val="bottom"/>
          </w:tcPr>
          <w:p w14:paraId="5BE4FA4B" w14:textId="77777777" w:rsidR="00F17551" w:rsidRPr="00657E8C" w:rsidRDefault="00F17551" w:rsidP="00FE6A7C">
            <w:pPr>
              <w:pStyle w:val="ARtablecolheadright"/>
            </w:pPr>
            <w:r w:rsidRPr="00657E8C">
              <w:t>STS</w:t>
            </w:r>
          </w:p>
        </w:tc>
        <w:tc>
          <w:tcPr>
            <w:tcW w:w="588" w:type="pct"/>
            <w:tcBorders>
              <w:top w:val="nil"/>
              <w:bottom w:val="single" w:sz="4" w:space="0" w:color="auto"/>
            </w:tcBorders>
            <w:shd w:val="clear" w:color="auto" w:fill="auto"/>
            <w:vAlign w:val="bottom"/>
          </w:tcPr>
          <w:p w14:paraId="7A62EA35" w14:textId="77777777" w:rsidR="00F17551" w:rsidRPr="00657E8C" w:rsidRDefault="00F17551" w:rsidP="00FE6A7C">
            <w:pPr>
              <w:pStyle w:val="ARtablecolheadright"/>
            </w:pPr>
            <w:r w:rsidRPr="00657E8C">
              <w:t>PS</w:t>
            </w:r>
          </w:p>
        </w:tc>
        <w:tc>
          <w:tcPr>
            <w:tcW w:w="588" w:type="pct"/>
            <w:tcBorders>
              <w:top w:val="nil"/>
              <w:bottom w:val="single" w:sz="4" w:space="0" w:color="auto"/>
            </w:tcBorders>
            <w:vAlign w:val="bottom"/>
          </w:tcPr>
          <w:p w14:paraId="3FBFE0B9" w14:textId="77777777" w:rsidR="00F17551" w:rsidRPr="00657E8C" w:rsidRDefault="00F17551" w:rsidP="00FE6A7C">
            <w:pPr>
              <w:pStyle w:val="ARtablecolheadright"/>
            </w:pPr>
            <w:r w:rsidRPr="00657E8C">
              <w:t>SMA</w:t>
            </w:r>
          </w:p>
        </w:tc>
        <w:tc>
          <w:tcPr>
            <w:tcW w:w="588" w:type="pct"/>
            <w:tcBorders>
              <w:top w:val="nil"/>
              <w:bottom w:val="single" w:sz="4" w:space="0" w:color="auto"/>
            </w:tcBorders>
            <w:vAlign w:val="bottom"/>
          </w:tcPr>
          <w:p w14:paraId="3F1D0195" w14:textId="77777777" w:rsidR="00F17551" w:rsidRPr="00657E8C" w:rsidRDefault="00F17551" w:rsidP="00FE6A7C">
            <w:pPr>
              <w:pStyle w:val="ARtablecolheadright"/>
            </w:pPr>
            <w:r w:rsidRPr="00657E8C">
              <w:t>SRA</w:t>
            </w:r>
          </w:p>
        </w:tc>
        <w:tc>
          <w:tcPr>
            <w:tcW w:w="514" w:type="pct"/>
            <w:tcBorders>
              <w:top w:val="nil"/>
              <w:bottom w:val="single" w:sz="4" w:space="0" w:color="auto"/>
            </w:tcBorders>
            <w:vAlign w:val="bottom"/>
          </w:tcPr>
          <w:p w14:paraId="56D28BF1" w14:textId="77777777" w:rsidR="00F17551" w:rsidRPr="00657E8C" w:rsidRDefault="00F17551" w:rsidP="00FE6A7C">
            <w:pPr>
              <w:pStyle w:val="ARtablecolheadright"/>
            </w:pPr>
            <w:r w:rsidRPr="00657E8C">
              <w:t>Other</w:t>
            </w:r>
          </w:p>
        </w:tc>
      </w:tr>
      <w:tr w:rsidR="00F17551" w:rsidRPr="00657E8C" w14:paraId="2ECDA5E2" w14:textId="77777777" w:rsidTr="00D458B9">
        <w:trPr>
          <w:cantSplit/>
        </w:trPr>
        <w:tc>
          <w:tcPr>
            <w:tcW w:w="1399" w:type="pct"/>
            <w:tcBorders>
              <w:top w:val="single" w:sz="4" w:space="0" w:color="auto"/>
              <w:bottom w:val="single" w:sz="4" w:space="0" w:color="auto"/>
            </w:tcBorders>
            <w:shd w:val="clear" w:color="auto" w:fill="auto"/>
          </w:tcPr>
          <w:p w14:paraId="1258222D" w14:textId="77777777" w:rsidR="00F17551" w:rsidRPr="00657E8C" w:rsidRDefault="00F17551" w:rsidP="00F17551">
            <w:pPr>
              <w:pStyle w:val="ARtabletext"/>
            </w:pPr>
            <w:r w:rsidRPr="00657E8C">
              <w:t>&lt; $160,000</w:t>
            </w:r>
          </w:p>
        </w:tc>
        <w:tc>
          <w:tcPr>
            <w:tcW w:w="735" w:type="pct"/>
            <w:tcBorders>
              <w:top w:val="single" w:sz="4" w:space="0" w:color="auto"/>
              <w:bottom w:val="single" w:sz="4" w:space="0" w:color="auto"/>
            </w:tcBorders>
            <w:shd w:val="clear" w:color="auto" w:fill="auto"/>
          </w:tcPr>
          <w:p w14:paraId="5A23C514"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294C7AF7"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76162261"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4A31DC79"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75E3E3E6"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42AAD582" w14:textId="77777777" w:rsidR="00F17551" w:rsidRPr="00657E8C" w:rsidRDefault="00F17551" w:rsidP="00F17551">
            <w:pPr>
              <w:pStyle w:val="ARtabletextright"/>
            </w:pPr>
          </w:p>
        </w:tc>
      </w:tr>
      <w:tr w:rsidR="00F17551" w:rsidRPr="00657E8C" w14:paraId="3B8FB8C9" w14:textId="77777777" w:rsidTr="00D458B9">
        <w:trPr>
          <w:cantSplit/>
        </w:trPr>
        <w:tc>
          <w:tcPr>
            <w:tcW w:w="1399" w:type="pct"/>
            <w:tcBorders>
              <w:top w:val="single" w:sz="4" w:space="0" w:color="auto"/>
              <w:bottom w:val="single" w:sz="4" w:space="0" w:color="auto"/>
            </w:tcBorders>
            <w:shd w:val="clear" w:color="auto" w:fill="auto"/>
          </w:tcPr>
          <w:p w14:paraId="226197C9" w14:textId="77777777" w:rsidR="00F17551" w:rsidRPr="00657E8C" w:rsidRDefault="00F17551" w:rsidP="00F17551">
            <w:pPr>
              <w:pStyle w:val="ARtabletext"/>
            </w:pPr>
            <w:r w:rsidRPr="00657E8C">
              <w:t>$160,000–$179,999</w:t>
            </w:r>
          </w:p>
        </w:tc>
        <w:tc>
          <w:tcPr>
            <w:tcW w:w="735" w:type="pct"/>
            <w:tcBorders>
              <w:top w:val="single" w:sz="4" w:space="0" w:color="auto"/>
              <w:bottom w:val="single" w:sz="4" w:space="0" w:color="auto"/>
            </w:tcBorders>
            <w:shd w:val="clear" w:color="auto" w:fill="auto"/>
          </w:tcPr>
          <w:p w14:paraId="1508B4D7" w14:textId="77777777" w:rsidR="00F17551" w:rsidRPr="00657E8C" w:rsidRDefault="00F17551" w:rsidP="00F17551">
            <w:pPr>
              <w:pStyle w:val="ARtabletextright"/>
            </w:pPr>
            <w:r w:rsidRPr="00657E8C">
              <w:t>5</w:t>
            </w:r>
          </w:p>
        </w:tc>
        <w:tc>
          <w:tcPr>
            <w:tcW w:w="588" w:type="pct"/>
            <w:tcBorders>
              <w:top w:val="single" w:sz="4" w:space="0" w:color="auto"/>
              <w:bottom w:val="single" w:sz="4" w:space="0" w:color="auto"/>
            </w:tcBorders>
            <w:shd w:val="clear" w:color="auto" w:fill="auto"/>
          </w:tcPr>
          <w:p w14:paraId="0A0E6623" w14:textId="77777777" w:rsidR="00F17551" w:rsidRPr="00657E8C" w:rsidRDefault="00F17551" w:rsidP="00F17551">
            <w:pPr>
              <w:pStyle w:val="ARtabletextright"/>
            </w:pPr>
            <w:r w:rsidRPr="00657E8C">
              <w:t>5</w:t>
            </w:r>
          </w:p>
        </w:tc>
        <w:tc>
          <w:tcPr>
            <w:tcW w:w="588" w:type="pct"/>
            <w:tcBorders>
              <w:top w:val="single" w:sz="4" w:space="0" w:color="auto"/>
              <w:bottom w:val="single" w:sz="4" w:space="0" w:color="auto"/>
            </w:tcBorders>
            <w:shd w:val="clear" w:color="auto" w:fill="auto"/>
          </w:tcPr>
          <w:p w14:paraId="657111DF"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3DC78AF4"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2B2A7E8B"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1845746A" w14:textId="77777777" w:rsidR="00F17551" w:rsidRPr="00657E8C" w:rsidRDefault="00F17551" w:rsidP="00F17551">
            <w:pPr>
              <w:pStyle w:val="ARtabletextright"/>
            </w:pPr>
          </w:p>
        </w:tc>
      </w:tr>
      <w:tr w:rsidR="00F17551" w:rsidRPr="00657E8C" w14:paraId="096F6614" w14:textId="77777777" w:rsidTr="00D458B9">
        <w:trPr>
          <w:cantSplit/>
        </w:trPr>
        <w:tc>
          <w:tcPr>
            <w:tcW w:w="1399" w:type="pct"/>
            <w:tcBorders>
              <w:top w:val="single" w:sz="4" w:space="0" w:color="auto"/>
              <w:bottom w:val="single" w:sz="4" w:space="0" w:color="auto"/>
            </w:tcBorders>
            <w:shd w:val="clear" w:color="auto" w:fill="auto"/>
          </w:tcPr>
          <w:p w14:paraId="13B0CC4A" w14:textId="77777777" w:rsidR="00F17551" w:rsidRPr="00657E8C" w:rsidRDefault="00F17551" w:rsidP="00F17551">
            <w:pPr>
              <w:pStyle w:val="ARtabletext"/>
            </w:pPr>
            <w:r w:rsidRPr="00657E8C">
              <w:t>$180,000–$199,999</w:t>
            </w:r>
          </w:p>
        </w:tc>
        <w:tc>
          <w:tcPr>
            <w:tcW w:w="735" w:type="pct"/>
            <w:tcBorders>
              <w:top w:val="single" w:sz="4" w:space="0" w:color="auto"/>
              <w:bottom w:val="single" w:sz="4" w:space="0" w:color="auto"/>
            </w:tcBorders>
            <w:shd w:val="clear" w:color="auto" w:fill="auto"/>
          </w:tcPr>
          <w:p w14:paraId="009A017D" w14:textId="77777777" w:rsidR="00F17551" w:rsidRPr="00657E8C" w:rsidRDefault="00F17551" w:rsidP="00F17551">
            <w:pPr>
              <w:pStyle w:val="ARtabletextright"/>
            </w:pPr>
            <w:r w:rsidRPr="00657E8C">
              <w:t>6</w:t>
            </w:r>
          </w:p>
        </w:tc>
        <w:tc>
          <w:tcPr>
            <w:tcW w:w="588" w:type="pct"/>
            <w:tcBorders>
              <w:top w:val="single" w:sz="4" w:space="0" w:color="auto"/>
              <w:bottom w:val="single" w:sz="4" w:space="0" w:color="auto"/>
            </w:tcBorders>
            <w:shd w:val="clear" w:color="auto" w:fill="auto"/>
          </w:tcPr>
          <w:p w14:paraId="2F37BA47"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07F21388"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6CE4104C" w14:textId="77777777" w:rsidR="00F17551" w:rsidRPr="00657E8C" w:rsidRDefault="00F17551" w:rsidP="00F17551">
            <w:pPr>
              <w:pStyle w:val="ARtabletextright"/>
            </w:pPr>
            <w:r w:rsidRPr="00657E8C">
              <w:t>1</w:t>
            </w:r>
          </w:p>
        </w:tc>
        <w:tc>
          <w:tcPr>
            <w:tcW w:w="588" w:type="pct"/>
            <w:tcBorders>
              <w:top w:val="single" w:sz="4" w:space="0" w:color="auto"/>
              <w:bottom w:val="single" w:sz="4" w:space="0" w:color="auto"/>
            </w:tcBorders>
          </w:tcPr>
          <w:p w14:paraId="04522B89"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5F5CE2A3" w14:textId="77777777" w:rsidR="00F17551" w:rsidRPr="00657E8C" w:rsidRDefault="00F17551" w:rsidP="00F17551">
            <w:pPr>
              <w:pStyle w:val="ARtabletextright"/>
            </w:pPr>
          </w:p>
        </w:tc>
      </w:tr>
      <w:tr w:rsidR="00F17551" w:rsidRPr="00657E8C" w14:paraId="2728C2AF" w14:textId="77777777" w:rsidTr="00D458B9">
        <w:trPr>
          <w:cantSplit/>
        </w:trPr>
        <w:tc>
          <w:tcPr>
            <w:tcW w:w="1399" w:type="pct"/>
            <w:tcBorders>
              <w:top w:val="single" w:sz="4" w:space="0" w:color="auto"/>
              <w:bottom w:val="single" w:sz="4" w:space="0" w:color="auto"/>
            </w:tcBorders>
            <w:shd w:val="clear" w:color="auto" w:fill="auto"/>
          </w:tcPr>
          <w:p w14:paraId="11ABBF19" w14:textId="77777777" w:rsidR="00F17551" w:rsidRPr="00657E8C" w:rsidRDefault="00F17551" w:rsidP="00F17551">
            <w:pPr>
              <w:pStyle w:val="ARtabletext"/>
            </w:pPr>
            <w:r w:rsidRPr="00657E8C">
              <w:t>$200,000–$219,999</w:t>
            </w:r>
          </w:p>
        </w:tc>
        <w:tc>
          <w:tcPr>
            <w:tcW w:w="735" w:type="pct"/>
            <w:tcBorders>
              <w:top w:val="single" w:sz="4" w:space="0" w:color="auto"/>
              <w:bottom w:val="single" w:sz="4" w:space="0" w:color="auto"/>
            </w:tcBorders>
            <w:shd w:val="clear" w:color="auto" w:fill="auto"/>
          </w:tcPr>
          <w:p w14:paraId="04CECD8B" w14:textId="77777777" w:rsidR="00F17551" w:rsidRPr="00657E8C" w:rsidRDefault="00F17551" w:rsidP="00F17551">
            <w:pPr>
              <w:pStyle w:val="ARtabletextright"/>
            </w:pPr>
            <w:r w:rsidRPr="00657E8C">
              <w:t>3</w:t>
            </w:r>
          </w:p>
        </w:tc>
        <w:tc>
          <w:tcPr>
            <w:tcW w:w="588" w:type="pct"/>
            <w:tcBorders>
              <w:top w:val="single" w:sz="4" w:space="0" w:color="auto"/>
              <w:bottom w:val="single" w:sz="4" w:space="0" w:color="auto"/>
            </w:tcBorders>
            <w:shd w:val="clear" w:color="auto" w:fill="auto"/>
          </w:tcPr>
          <w:p w14:paraId="0CB00E76" w14:textId="77777777" w:rsidR="00F17551" w:rsidRPr="00657E8C" w:rsidRDefault="00F17551" w:rsidP="00F17551">
            <w:pPr>
              <w:pStyle w:val="ARtabletextright"/>
            </w:pPr>
            <w:r w:rsidRPr="00657E8C">
              <w:t>1</w:t>
            </w:r>
          </w:p>
        </w:tc>
        <w:tc>
          <w:tcPr>
            <w:tcW w:w="588" w:type="pct"/>
            <w:tcBorders>
              <w:top w:val="single" w:sz="4" w:space="0" w:color="auto"/>
              <w:bottom w:val="single" w:sz="4" w:space="0" w:color="auto"/>
            </w:tcBorders>
            <w:shd w:val="clear" w:color="auto" w:fill="auto"/>
          </w:tcPr>
          <w:p w14:paraId="59278AD9"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5D0699B2"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61432CF6"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6920B766" w14:textId="77777777" w:rsidR="00F17551" w:rsidRPr="00657E8C" w:rsidRDefault="00F17551" w:rsidP="00F17551">
            <w:pPr>
              <w:pStyle w:val="ARtabletextright"/>
            </w:pPr>
          </w:p>
        </w:tc>
      </w:tr>
      <w:tr w:rsidR="00F17551" w:rsidRPr="00657E8C" w14:paraId="2D99082E" w14:textId="77777777" w:rsidTr="00D458B9">
        <w:trPr>
          <w:cantSplit/>
        </w:trPr>
        <w:tc>
          <w:tcPr>
            <w:tcW w:w="1399" w:type="pct"/>
            <w:tcBorders>
              <w:top w:val="single" w:sz="4" w:space="0" w:color="auto"/>
              <w:bottom w:val="single" w:sz="4" w:space="0" w:color="auto"/>
            </w:tcBorders>
            <w:shd w:val="clear" w:color="auto" w:fill="auto"/>
          </w:tcPr>
          <w:p w14:paraId="61C18C5D" w14:textId="77777777" w:rsidR="00F17551" w:rsidRPr="00657E8C" w:rsidRDefault="00F17551" w:rsidP="00F17551">
            <w:pPr>
              <w:pStyle w:val="ARtabletext"/>
            </w:pPr>
            <w:r w:rsidRPr="00657E8C">
              <w:t>$220,000–$239,999</w:t>
            </w:r>
          </w:p>
        </w:tc>
        <w:tc>
          <w:tcPr>
            <w:tcW w:w="735" w:type="pct"/>
            <w:tcBorders>
              <w:top w:val="single" w:sz="4" w:space="0" w:color="auto"/>
              <w:bottom w:val="single" w:sz="4" w:space="0" w:color="auto"/>
            </w:tcBorders>
            <w:shd w:val="clear" w:color="auto" w:fill="auto"/>
          </w:tcPr>
          <w:p w14:paraId="5932AEFD" w14:textId="77777777" w:rsidR="00F17551" w:rsidRPr="00657E8C" w:rsidRDefault="00F17551" w:rsidP="00F17551">
            <w:pPr>
              <w:pStyle w:val="ARtabletextright"/>
            </w:pPr>
            <w:r w:rsidRPr="00657E8C">
              <w:t>1</w:t>
            </w:r>
          </w:p>
        </w:tc>
        <w:tc>
          <w:tcPr>
            <w:tcW w:w="588" w:type="pct"/>
            <w:tcBorders>
              <w:top w:val="single" w:sz="4" w:space="0" w:color="auto"/>
              <w:bottom w:val="single" w:sz="4" w:space="0" w:color="auto"/>
            </w:tcBorders>
            <w:shd w:val="clear" w:color="auto" w:fill="auto"/>
          </w:tcPr>
          <w:p w14:paraId="08700CA3"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4DA16BD5"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44B2A112"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13DA0F73"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2F8F7570" w14:textId="77777777" w:rsidR="00F17551" w:rsidRPr="00657E8C" w:rsidRDefault="00F17551" w:rsidP="00F17551">
            <w:pPr>
              <w:pStyle w:val="ARtabletextright"/>
            </w:pPr>
          </w:p>
        </w:tc>
      </w:tr>
      <w:tr w:rsidR="00F17551" w:rsidRPr="00657E8C" w14:paraId="47CF601E" w14:textId="77777777" w:rsidTr="00D458B9">
        <w:trPr>
          <w:cantSplit/>
        </w:trPr>
        <w:tc>
          <w:tcPr>
            <w:tcW w:w="1399" w:type="pct"/>
            <w:tcBorders>
              <w:top w:val="single" w:sz="4" w:space="0" w:color="auto"/>
              <w:bottom w:val="single" w:sz="4" w:space="0" w:color="auto"/>
            </w:tcBorders>
            <w:shd w:val="clear" w:color="auto" w:fill="auto"/>
          </w:tcPr>
          <w:p w14:paraId="62DB92EB" w14:textId="77777777" w:rsidR="00F17551" w:rsidRPr="00657E8C" w:rsidRDefault="00F17551" w:rsidP="00F17551">
            <w:pPr>
              <w:pStyle w:val="ARtabletext"/>
            </w:pPr>
            <w:r w:rsidRPr="00657E8C">
              <w:t>$240,000–$259,999</w:t>
            </w:r>
          </w:p>
        </w:tc>
        <w:tc>
          <w:tcPr>
            <w:tcW w:w="735" w:type="pct"/>
            <w:tcBorders>
              <w:top w:val="single" w:sz="4" w:space="0" w:color="auto"/>
              <w:bottom w:val="single" w:sz="4" w:space="0" w:color="auto"/>
            </w:tcBorders>
            <w:shd w:val="clear" w:color="auto" w:fill="auto"/>
          </w:tcPr>
          <w:p w14:paraId="1CA022C8" w14:textId="77777777" w:rsidR="00F17551" w:rsidRPr="00657E8C" w:rsidRDefault="00F17551" w:rsidP="00F17551">
            <w:pPr>
              <w:pStyle w:val="ARtabletextright"/>
            </w:pPr>
            <w:r w:rsidRPr="00657E8C">
              <w:t>1</w:t>
            </w:r>
          </w:p>
        </w:tc>
        <w:tc>
          <w:tcPr>
            <w:tcW w:w="588" w:type="pct"/>
            <w:tcBorders>
              <w:top w:val="single" w:sz="4" w:space="0" w:color="auto"/>
              <w:bottom w:val="single" w:sz="4" w:space="0" w:color="auto"/>
            </w:tcBorders>
            <w:shd w:val="clear" w:color="auto" w:fill="auto"/>
          </w:tcPr>
          <w:p w14:paraId="46630B3A"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60B28F3A"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3D2D9822"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1932380E"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369D338C" w14:textId="77777777" w:rsidR="00F17551" w:rsidRPr="00657E8C" w:rsidRDefault="00F17551" w:rsidP="00F17551">
            <w:pPr>
              <w:pStyle w:val="ARtabletextright"/>
            </w:pPr>
          </w:p>
        </w:tc>
      </w:tr>
      <w:tr w:rsidR="00F17551" w:rsidRPr="00657E8C" w14:paraId="3F0F0E7A" w14:textId="77777777" w:rsidTr="00D458B9">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79A74C11" w14:textId="77777777" w:rsidR="00F17551" w:rsidRPr="00657E8C" w:rsidRDefault="00F17551" w:rsidP="00F17551">
            <w:pPr>
              <w:pStyle w:val="ARtabletext"/>
            </w:pPr>
            <w:r w:rsidRPr="00657E8C">
              <w:t>$260,000–$279,999</w:t>
            </w:r>
          </w:p>
        </w:tc>
        <w:tc>
          <w:tcPr>
            <w:tcW w:w="735" w:type="pct"/>
            <w:tcBorders>
              <w:top w:val="single" w:sz="4" w:space="0" w:color="auto"/>
              <w:bottom w:val="single" w:sz="4" w:space="0" w:color="auto"/>
            </w:tcBorders>
            <w:shd w:val="clear" w:color="auto" w:fill="auto"/>
          </w:tcPr>
          <w:p w14:paraId="221E1AF8" w14:textId="77777777" w:rsidR="00F17551" w:rsidRPr="00657E8C" w:rsidRDefault="00F17551" w:rsidP="00F17551">
            <w:pPr>
              <w:pStyle w:val="ARtabletextright"/>
            </w:pPr>
            <w:r w:rsidRPr="00657E8C">
              <w:t>1</w:t>
            </w:r>
          </w:p>
        </w:tc>
        <w:tc>
          <w:tcPr>
            <w:tcW w:w="588" w:type="pct"/>
            <w:tcBorders>
              <w:top w:val="single" w:sz="4" w:space="0" w:color="auto"/>
              <w:bottom w:val="single" w:sz="4" w:space="0" w:color="auto"/>
            </w:tcBorders>
            <w:shd w:val="clear" w:color="auto" w:fill="auto"/>
          </w:tcPr>
          <w:p w14:paraId="77FD5A0E"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4D74D39B"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15E6B95A"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4F617594"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68E89E55" w14:textId="77777777" w:rsidR="00F17551" w:rsidRPr="00657E8C" w:rsidRDefault="00F17551" w:rsidP="00F17551">
            <w:pPr>
              <w:pStyle w:val="ARtabletextright"/>
            </w:pPr>
          </w:p>
        </w:tc>
      </w:tr>
      <w:tr w:rsidR="00F17551" w:rsidRPr="00657E8C" w14:paraId="5BF21C1E" w14:textId="77777777" w:rsidTr="00D458B9">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3FAB31DE" w14:textId="77777777" w:rsidR="00F17551" w:rsidRPr="00657E8C" w:rsidRDefault="00F17551" w:rsidP="00F17551">
            <w:pPr>
              <w:pStyle w:val="ARtabletext"/>
            </w:pPr>
            <w:r w:rsidRPr="00657E8C">
              <w:t>$280,000–$299,999</w:t>
            </w:r>
          </w:p>
        </w:tc>
        <w:tc>
          <w:tcPr>
            <w:tcW w:w="735" w:type="pct"/>
            <w:tcBorders>
              <w:top w:val="single" w:sz="4" w:space="0" w:color="auto"/>
              <w:bottom w:val="single" w:sz="4" w:space="0" w:color="auto"/>
            </w:tcBorders>
            <w:shd w:val="clear" w:color="auto" w:fill="auto"/>
          </w:tcPr>
          <w:p w14:paraId="25A4D96F" w14:textId="77777777" w:rsidR="00F17551" w:rsidRPr="00657E8C" w:rsidRDefault="00F17551" w:rsidP="00F17551">
            <w:pPr>
              <w:pStyle w:val="ARtabletextright"/>
            </w:pPr>
            <w:r w:rsidRPr="00657E8C">
              <w:t>2</w:t>
            </w:r>
          </w:p>
        </w:tc>
        <w:tc>
          <w:tcPr>
            <w:tcW w:w="588" w:type="pct"/>
            <w:tcBorders>
              <w:top w:val="single" w:sz="4" w:space="0" w:color="auto"/>
              <w:bottom w:val="single" w:sz="4" w:space="0" w:color="auto"/>
            </w:tcBorders>
            <w:shd w:val="clear" w:color="auto" w:fill="auto"/>
          </w:tcPr>
          <w:p w14:paraId="40362B40"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79260B5E"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438EFC2D"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5F6D1AE5"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77ADA725" w14:textId="77777777" w:rsidR="00F17551" w:rsidRPr="00657E8C" w:rsidRDefault="00F17551" w:rsidP="00F17551">
            <w:pPr>
              <w:pStyle w:val="ARtabletextright"/>
            </w:pPr>
          </w:p>
        </w:tc>
      </w:tr>
      <w:tr w:rsidR="00F17551" w:rsidRPr="00657E8C" w14:paraId="53A850F7" w14:textId="77777777" w:rsidTr="00D458B9">
        <w:tblPrEx>
          <w:tblLook w:val="04A0" w:firstRow="1" w:lastRow="0" w:firstColumn="1" w:lastColumn="0" w:noHBand="0" w:noVBand="1"/>
        </w:tblPrEx>
        <w:trPr>
          <w:cantSplit/>
        </w:trPr>
        <w:tc>
          <w:tcPr>
            <w:tcW w:w="1399" w:type="pct"/>
            <w:tcBorders>
              <w:top w:val="single" w:sz="4" w:space="0" w:color="auto"/>
            </w:tcBorders>
            <w:shd w:val="clear" w:color="auto" w:fill="auto"/>
          </w:tcPr>
          <w:p w14:paraId="722D9777" w14:textId="77777777" w:rsidR="00F17551" w:rsidRPr="00657E8C" w:rsidRDefault="00F17551" w:rsidP="00F17551">
            <w:pPr>
              <w:pStyle w:val="ARtabletextbold"/>
            </w:pPr>
            <w:r w:rsidRPr="00657E8C">
              <w:t>Total</w:t>
            </w:r>
          </w:p>
        </w:tc>
        <w:tc>
          <w:tcPr>
            <w:tcW w:w="735" w:type="pct"/>
            <w:tcBorders>
              <w:top w:val="single" w:sz="4" w:space="0" w:color="auto"/>
            </w:tcBorders>
            <w:shd w:val="clear" w:color="auto" w:fill="auto"/>
          </w:tcPr>
          <w:p w14:paraId="5A18B800" w14:textId="77777777" w:rsidR="00F17551" w:rsidRPr="00657E8C" w:rsidRDefault="00F17551" w:rsidP="00F17551">
            <w:pPr>
              <w:pStyle w:val="ARtabletextrightbold"/>
            </w:pPr>
            <w:r w:rsidRPr="00657E8C">
              <w:t>19</w:t>
            </w:r>
          </w:p>
        </w:tc>
        <w:tc>
          <w:tcPr>
            <w:tcW w:w="588" w:type="pct"/>
            <w:tcBorders>
              <w:top w:val="single" w:sz="4" w:space="0" w:color="auto"/>
            </w:tcBorders>
            <w:shd w:val="clear" w:color="auto" w:fill="auto"/>
          </w:tcPr>
          <w:p w14:paraId="0157B6F0" w14:textId="77777777" w:rsidR="00F17551" w:rsidRPr="00657E8C" w:rsidRDefault="00F17551" w:rsidP="00F17551">
            <w:pPr>
              <w:pStyle w:val="ARtabletextrightbold"/>
            </w:pPr>
            <w:r w:rsidRPr="00657E8C">
              <w:t>6</w:t>
            </w:r>
          </w:p>
        </w:tc>
        <w:tc>
          <w:tcPr>
            <w:tcW w:w="588" w:type="pct"/>
            <w:tcBorders>
              <w:top w:val="single" w:sz="4" w:space="0" w:color="auto"/>
            </w:tcBorders>
            <w:shd w:val="clear" w:color="auto" w:fill="auto"/>
          </w:tcPr>
          <w:p w14:paraId="1D11CDFC" w14:textId="77777777" w:rsidR="00F17551" w:rsidRPr="00657E8C" w:rsidRDefault="00F17551" w:rsidP="00F17551">
            <w:pPr>
              <w:pStyle w:val="ARtabletextrightbold"/>
            </w:pPr>
          </w:p>
        </w:tc>
        <w:tc>
          <w:tcPr>
            <w:tcW w:w="588" w:type="pct"/>
            <w:tcBorders>
              <w:top w:val="single" w:sz="4" w:space="0" w:color="auto"/>
            </w:tcBorders>
          </w:tcPr>
          <w:p w14:paraId="4F180A40" w14:textId="77777777" w:rsidR="00F17551" w:rsidRPr="00657E8C" w:rsidRDefault="00F17551" w:rsidP="00F17551">
            <w:pPr>
              <w:pStyle w:val="ARtabletextrightbold"/>
            </w:pPr>
            <w:r w:rsidRPr="00657E8C">
              <w:t>1</w:t>
            </w:r>
          </w:p>
        </w:tc>
        <w:tc>
          <w:tcPr>
            <w:tcW w:w="588" w:type="pct"/>
            <w:tcBorders>
              <w:top w:val="single" w:sz="4" w:space="0" w:color="auto"/>
            </w:tcBorders>
          </w:tcPr>
          <w:p w14:paraId="684E0616" w14:textId="77777777" w:rsidR="00F17551" w:rsidRPr="00657E8C" w:rsidRDefault="00F17551" w:rsidP="00F17551">
            <w:pPr>
              <w:pStyle w:val="ARtabletextrightbold"/>
            </w:pPr>
          </w:p>
        </w:tc>
        <w:tc>
          <w:tcPr>
            <w:tcW w:w="514" w:type="pct"/>
            <w:tcBorders>
              <w:top w:val="single" w:sz="4" w:space="0" w:color="auto"/>
            </w:tcBorders>
          </w:tcPr>
          <w:p w14:paraId="144C716E" w14:textId="77777777" w:rsidR="00F17551" w:rsidRPr="00657E8C" w:rsidRDefault="00F17551" w:rsidP="00F17551">
            <w:pPr>
              <w:pStyle w:val="ARtabletextrightbold"/>
            </w:pPr>
          </w:p>
        </w:tc>
      </w:tr>
    </w:tbl>
    <w:p w14:paraId="7B3702EC" w14:textId="77777777" w:rsidR="00F17551" w:rsidRPr="00657E8C" w:rsidRDefault="00F17551" w:rsidP="00F17551">
      <w:pPr>
        <w:pStyle w:val="Heading3"/>
      </w:pPr>
      <w:r w:rsidRPr="00657E8C">
        <w:t>Safer Care Victoria employment levels</w:t>
      </w:r>
    </w:p>
    <w:p w14:paraId="087806DB" w14:textId="77777777" w:rsidR="00F17551" w:rsidRPr="00657E8C" w:rsidRDefault="00F17551" w:rsidP="00F17551">
      <w:pPr>
        <w:pStyle w:val="Heading4"/>
      </w:pPr>
      <w:r w:rsidRPr="00657E8C">
        <w:t>Summary of employment levels in June of 2019</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1E0" w:firstRow="1" w:lastRow="1" w:firstColumn="1" w:lastColumn="1" w:noHBand="0" w:noVBand="0"/>
      </w:tblPr>
      <w:tblGrid>
        <w:gridCol w:w="1611"/>
        <w:gridCol w:w="1609"/>
        <w:gridCol w:w="1610"/>
        <w:gridCol w:w="1610"/>
        <w:gridCol w:w="1610"/>
        <w:gridCol w:w="1589"/>
      </w:tblGrid>
      <w:tr w:rsidR="00F17551" w:rsidRPr="00657E8C" w14:paraId="6E13A985" w14:textId="77777777" w:rsidTr="00F17551">
        <w:trPr>
          <w:cantSplit/>
        </w:trPr>
        <w:tc>
          <w:tcPr>
            <w:tcW w:w="1611" w:type="dxa"/>
            <w:vMerge w:val="restart"/>
            <w:shd w:val="clear" w:color="auto" w:fill="auto"/>
            <w:vAlign w:val="bottom"/>
          </w:tcPr>
          <w:p w14:paraId="7FABC16B" w14:textId="77777777" w:rsidR="00F17551" w:rsidRPr="00657E8C" w:rsidRDefault="00F17551" w:rsidP="00F17551">
            <w:pPr>
              <w:jc w:val="right"/>
              <w:rPr>
                <w:rFonts w:cs="Arial"/>
              </w:rPr>
            </w:pPr>
          </w:p>
        </w:tc>
        <w:tc>
          <w:tcPr>
            <w:tcW w:w="6439" w:type="dxa"/>
            <w:gridSpan w:val="4"/>
            <w:shd w:val="clear" w:color="auto" w:fill="auto"/>
            <w:vAlign w:val="bottom"/>
          </w:tcPr>
          <w:p w14:paraId="7B28191C" w14:textId="77777777" w:rsidR="00F17551" w:rsidRPr="00657E8C" w:rsidRDefault="00F17551" w:rsidP="00FE6A7C">
            <w:pPr>
              <w:pStyle w:val="ARtablecolheadcentre"/>
            </w:pPr>
            <w:r w:rsidRPr="00657E8C">
              <w:t>Ongoing employees</w:t>
            </w:r>
          </w:p>
        </w:tc>
        <w:tc>
          <w:tcPr>
            <w:tcW w:w="1589" w:type="dxa"/>
            <w:shd w:val="clear" w:color="auto" w:fill="auto"/>
            <w:vAlign w:val="bottom"/>
          </w:tcPr>
          <w:p w14:paraId="4C582F19" w14:textId="77777777" w:rsidR="00F17551" w:rsidRPr="00657E8C" w:rsidRDefault="00F17551" w:rsidP="00FE6A7C">
            <w:pPr>
              <w:pStyle w:val="ARtablecolheadcentre"/>
            </w:pPr>
            <w:r w:rsidRPr="00657E8C">
              <w:t>Fixed-term and casual employees</w:t>
            </w:r>
          </w:p>
        </w:tc>
      </w:tr>
      <w:tr w:rsidR="00F17551" w:rsidRPr="00657E8C" w14:paraId="6472041D" w14:textId="77777777" w:rsidTr="00F17551">
        <w:trPr>
          <w:cantSplit/>
        </w:trPr>
        <w:tc>
          <w:tcPr>
            <w:tcW w:w="1611" w:type="dxa"/>
            <w:vMerge/>
            <w:shd w:val="clear" w:color="auto" w:fill="auto"/>
          </w:tcPr>
          <w:p w14:paraId="035B528C" w14:textId="77777777" w:rsidR="00F17551" w:rsidRPr="00657E8C" w:rsidRDefault="00F17551" w:rsidP="00F17551">
            <w:pPr>
              <w:jc w:val="right"/>
              <w:rPr>
                <w:rFonts w:cs="Arial"/>
              </w:rPr>
            </w:pPr>
          </w:p>
        </w:tc>
        <w:tc>
          <w:tcPr>
            <w:tcW w:w="1609" w:type="dxa"/>
            <w:shd w:val="clear" w:color="auto" w:fill="auto"/>
            <w:vAlign w:val="bottom"/>
          </w:tcPr>
          <w:p w14:paraId="617A88D1" w14:textId="77777777" w:rsidR="00F17551" w:rsidRPr="00657E8C" w:rsidRDefault="00F17551" w:rsidP="00FE6A7C">
            <w:pPr>
              <w:pStyle w:val="ARtablecolheadright"/>
            </w:pPr>
            <w:r w:rsidRPr="00657E8C">
              <w:t>Employees (headcount)</w:t>
            </w:r>
          </w:p>
        </w:tc>
        <w:tc>
          <w:tcPr>
            <w:tcW w:w="1610" w:type="dxa"/>
            <w:shd w:val="clear" w:color="auto" w:fill="auto"/>
            <w:vAlign w:val="bottom"/>
          </w:tcPr>
          <w:p w14:paraId="34DFB077" w14:textId="77777777" w:rsidR="00F17551" w:rsidRPr="00657E8C" w:rsidRDefault="00F17551" w:rsidP="00FE6A7C">
            <w:pPr>
              <w:pStyle w:val="ARtablecolheadright"/>
            </w:pPr>
            <w:r w:rsidRPr="00657E8C">
              <w:t>Full-time (headcount)</w:t>
            </w:r>
          </w:p>
        </w:tc>
        <w:tc>
          <w:tcPr>
            <w:tcW w:w="1610" w:type="dxa"/>
            <w:shd w:val="clear" w:color="auto" w:fill="auto"/>
            <w:vAlign w:val="bottom"/>
          </w:tcPr>
          <w:p w14:paraId="04818659" w14:textId="77777777" w:rsidR="00F17551" w:rsidRPr="00657E8C" w:rsidRDefault="00F17551" w:rsidP="00FE6A7C">
            <w:pPr>
              <w:pStyle w:val="ARtablecolheadright"/>
            </w:pPr>
            <w:r w:rsidRPr="00657E8C">
              <w:t>Part-time (headcount)</w:t>
            </w:r>
          </w:p>
        </w:tc>
        <w:tc>
          <w:tcPr>
            <w:tcW w:w="1610" w:type="dxa"/>
            <w:shd w:val="clear" w:color="auto" w:fill="auto"/>
            <w:vAlign w:val="bottom"/>
          </w:tcPr>
          <w:p w14:paraId="780BB1E3" w14:textId="77777777" w:rsidR="00F17551" w:rsidRPr="00657E8C" w:rsidRDefault="00F17551" w:rsidP="00FE6A7C">
            <w:pPr>
              <w:pStyle w:val="ARtablecolheadright"/>
            </w:pPr>
            <w:r w:rsidRPr="00657E8C">
              <w:t>FTE</w:t>
            </w:r>
          </w:p>
        </w:tc>
        <w:tc>
          <w:tcPr>
            <w:tcW w:w="1589" w:type="dxa"/>
            <w:shd w:val="clear" w:color="auto" w:fill="auto"/>
            <w:vAlign w:val="bottom"/>
          </w:tcPr>
          <w:p w14:paraId="73B43C16" w14:textId="77777777" w:rsidR="00F17551" w:rsidRPr="00657E8C" w:rsidRDefault="00F17551" w:rsidP="00FE6A7C">
            <w:pPr>
              <w:pStyle w:val="ARtablecolheadright"/>
            </w:pPr>
            <w:r w:rsidRPr="00657E8C">
              <w:t>FTE</w:t>
            </w:r>
          </w:p>
        </w:tc>
      </w:tr>
      <w:tr w:rsidR="00F17551" w:rsidRPr="00657E8C" w14:paraId="4E723024" w14:textId="77777777" w:rsidTr="00F17551">
        <w:trPr>
          <w:cantSplit/>
        </w:trPr>
        <w:tc>
          <w:tcPr>
            <w:tcW w:w="1611" w:type="dxa"/>
            <w:shd w:val="clear" w:color="auto" w:fill="auto"/>
          </w:tcPr>
          <w:p w14:paraId="0514AA93" w14:textId="77777777" w:rsidR="00F17551" w:rsidRPr="00657E8C" w:rsidRDefault="00F17551" w:rsidP="00F17551">
            <w:pPr>
              <w:pStyle w:val="ARtabletext"/>
            </w:pPr>
            <w:r w:rsidRPr="00657E8C">
              <w:t>June 2019</w:t>
            </w:r>
          </w:p>
        </w:tc>
        <w:tc>
          <w:tcPr>
            <w:tcW w:w="1609" w:type="dxa"/>
            <w:shd w:val="clear" w:color="auto" w:fill="auto"/>
          </w:tcPr>
          <w:p w14:paraId="04E07B4F" w14:textId="77777777" w:rsidR="00F17551" w:rsidRPr="00657E8C" w:rsidRDefault="00F17551" w:rsidP="00F17551">
            <w:pPr>
              <w:pStyle w:val="ARtabletextright"/>
            </w:pPr>
            <w:r w:rsidRPr="00657E8C">
              <w:t>131</w:t>
            </w:r>
          </w:p>
        </w:tc>
        <w:tc>
          <w:tcPr>
            <w:tcW w:w="1610" w:type="dxa"/>
            <w:shd w:val="clear" w:color="auto" w:fill="auto"/>
          </w:tcPr>
          <w:p w14:paraId="32E73821" w14:textId="77777777" w:rsidR="00F17551" w:rsidRPr="00657E8C" w:rsidRDefault="00F17551" w:rsidP="00F17551">
            <w:pPr>
              <w:pStyle w:val="ARtabletextright"/>
            </w:pPr>
            <w:r w:rsidRPr="00657E8C">
              <w:t>64</w:t>
            </w:r>
          </w:p>
        </w:tc>
        <w:tc>
          <w:tcPr>
            <w:tcW w:w="1610" w:type="dxa"/>
            <w:shd w:val="clear" w:color="auto" w:fill="auto"/>
          </w:tcPr>
          <w:p w14:paraId="6B6106D4" w14:textId="77777777" w:rsidR="00F17551" w:rsidRPr="00657E8C" w:rsidRDefault="00F17551" w:rsidP="00F17551">
            <w:pPr>
              <w:pStyle w:val="ARtabletextright"/>
            </w:pPr>
            <w:r w:rsidRPr="00657E8C">
              <w:t>28</w:t>
            </w:r>
          </w:p>
        </w:tc>
        <w:tc>
          <w:tcPr>
            <w:tcW w:w="1610" w:type="dxa"/>
            <w:shd w:val="clear" w:color="auto" w:fill="auto"/>
          </w:tcPr>
          <w:p w14:paraId="044FDFBE" w14:textId="77777777" w:rsidR="00F17551" w:rsidRPr="00657E8C" w:rsidRDefault="00F17551" w:rsidP="00F17551">
            <w:pPr>
              <w:pStyle w:val="ARtabletextright"/>
            </w:pPr>
            <w:r w:rsidRPr="00657E8C">
              <w:t>83.8</w:t>
            </w:r>
          </w:p>
        </w:tc>
        <w:tc>
          <w:tcPr>
            <w:tcW w:w="1589" w:type="dxa"/>
            <w:shd w:val="clear" w:color="auto" w:fill="auto"/>
          </w:tcPr>
          <w:p w14:paraId="07471EB8" w14:textId="77777777" w:rsidR="00F17551" w:rsidRPr="00657E8C" w:rsidRDefault="00F17551" w:rsidP="00F17551">
            <w:pPr>
              <w:pStyle w:val="ARtabletextright"/>
            </w:pPr>
            <w:r w:rsidRPr="00657E8C">
              <w:t>36.5</w:t>
            </w:r>
          </w:p>
        </w:tc>
      </w:tr>
    </w:tbl>
    <w:p w14:paraId="0DADB0DE" w14:textId="77777777" w:rsidR="00704412" w:rsidRPr="00657E8C" w:rsidRDefault="00704412" w:rsidP="00F17551">
      <w:pPr>
        <w:pStyle w:val="Heading4"/>
        <w:sectPr w:rsidR="00704412" w:rsidRPr="00657E8C" w:rsidSect="001719E6">
          <w:footerReference w:type="even" r:id="rId116"/>
          <w:footerReference w:type="default" r:id="rId117"/>
          <w:pgSz w:w="11906" w:h="16838" w:code="9"/>
          <w:pgMar w:top="1985" w:right="851" w:bottom="851" w:left="1418" w:header="510" w:footer="340" w:gutter="0"/>
          <w:cols w:space="708"/>
          <w:docGrid w:linePitch="360"/>
        </w:sectPr>
      </w:pPr>
    </w:p>
    <w:p w14:paraId="5B66FBAE" w14:textId="77777777" w:rsidR="00D043ED" w:rsidRPr="00657E8C" w:rsidRDefault="00207BA8" w:rsidP="008C254A">
      <w:pPr>
        <w:pStyle w:val="Heading4"/>
        <w:spacing w:before="0"/>
      </w:pPr>
      <w:bookmarkStart w:id="133" w:name="_Hlk19622611"/>
      <w:r>
        <w:t xml:space="preserve">Safer Care Victoria </w:t>
      </w:r>
      <w:r w:rsidRPr="00657E8C">
        <w:t>employment levels in June of</w:t>
      </w:r>
      <w:r>
        <w:t xml:space="preserve"> 2018 and</w:t>
      </w:r>
      <w:r w:rsidRPr="00657E8C">
        <w:t xml:space="preserve"> 2019</w:t>
      </w:r>
    </w:p>
    <w:tbl>
      <w:tblPr>
        <w:tblStyle w:val="TableGrid"/>
        <w:tblW w:w="14005" w:type="dxa"/>
        <w:tblInd w:w="-10" w:type="dxa"/>
        <w:tblLook w:val="06A0" w:firstRow="1" w:lastRow="0" w:firstColumn="1" w:lastColumn="0" w:noHBand="1" w:noVBand="1"/>
      </w:tblPr>
      <w:tblGrid>
        <w:gridCol w:w="1071"/>
        <w:gridCol w:w="1166"/>
        <w:gridCol w:w="560"/>
        <w:gridCol w:w="1165"/>
        <w:gridCol w:w="1165"/>
        <w:gridCol w:w="501"/>
        <w:gridCol w:w="1165"/>
        <w:gridCol w:w="958"/>
        <w:gridCol w:w="1165"/>
        <w:gridCol w:w="599"/>
        <w:gridCol w:w="1168"/>
        <w:gridCol w:w="1168"/>
        <w:gridCol w:w="499"/>
        <w:gridCol w:w="1168"/>
        <w:gridCol w:w="487"/>
      </w:tblGrid>
      <w:tr w:rsidR="00F16145" w:rsidRPr="00657E8C" w14:paraId="7CB84421" w14:textId="77777777" w:rsidTr="00CA5D44">
        <w:trPr>
          <w:cnfStyle w:val="100000000000" w:firstRow="1" w:lastRow="0" w:firstColumn="0" w:lastColumn="0" w:oddVBand="0" w:evenVBand="0" w:oddHBand="0" w:evenHBand="0" w:firstRowFirstColumn="0" w:firstRowLastColumn="0" w:lastRowFirstColumn="0" w:lastRowLastColumn="0"/>
          <w:tblHeader/>
        </w:trPr>
        <w:tc>
          <w:tcPr>
            <w:tcW w:w="382" w:type="pct"/>
            <w:vMerge w:val="restart"/>
          </w:tcPr>
          <w:p w14:paraId="18D2238C" w14:textId="77777777" w:rsidR="00F16145" w:rsidRPr="00657E8C" w:rsidRDefault="00F16145" w:rsidP="00E620C7">
            <w:pPr>
              <w:pStyle w:val="ARtablecolheadcentre"/>
            </w:pPr>
          </w:p>
        </w:tc>
        <w:tc>
          <w:tcPr>
            <w:tcW w:w="2385" w:type="pct"/>
            <w:gridSpan w:val="7"/>
          </w:tcPr>
          <w:p w14:paraId="50AA6376" w14:textId="77777777" w:rsidR="00F16145" w:rsidRPr="00657E8C" w:rsidRDefault="00F16145" w:rsidP="00E620C7">
            <w:pPr>
              <w:pStyle w:val="ARtablecolheadcentre"/>
            </w:pPr>
            <w:r w:rsidRPr="00657E8C">
              <w:t>June 201</w:t>
            </w:r>
            <w:r>
              <w:t>9</w:t>
            </w:r>
          </w:p>
        </w:tc>
        <w:tc>
          <w:tcPr>
            <w:tcW w:w="2233" w:type="pct"/>
            <w:gridSpan w:val="7"/>
          </w:tcPr>
          <w:p w14:paraId="33B68926" w14:textId="77777777" w:rsidR="00F16145" w:rsidRPr="00657E8C" w:rsidRDefault="00F16145" w:rsidP="00E620C7">
            <w:pPr>
              <w:pStyle w:val="ARtablecolheadcentre"/>
            </w:pPr>
            <w:r w:rsidRPr="00657E8C">
              <w:t>June 201</w:t>
            </w:r>
            <w:r>
              <w:t>8</w:t>
            </w:r>
          </w:p>
        </w:tc>
      </w:tr>
      <w:tr w:rsidR="00F16145" w:rsidRPr="00657E8C" w14:paraId="7CD88C1C" w14:textId="77777777" w:rsidTr="00CA5D44">
        <w:trPr>
          <w:cnfStyle w:val="100000000000" w:firstRow="1" w:lastRow="0" w:firstColumn="0" w:lastColumn="0" w:oddVBand="0" w:evenVBand="0" w:oddHBand="0" w:evenHBand="0" w:firstRowFirstColumn="0" w:firstRowLastColumn="0" w:lastRowFirstColumn="0" w:lastRowLastColumn="0"/>
          <w:tblHeader/>
        </w:trPr>
        <w:tc>
          <w:tcPr>
            <w:tcW w:w="382" w:type="pct"/>
            <w:vMerge/>
          </w:tcPr>
          <w:p w14:paraId="441A9136" w14:textId="77777777" w:rsidR="00F16145" w:rsidRPr="00657E8C" w:rsidRDefault="00F16145" w:rsidP="00E620C7">
            <w:pPr>
              <w:pStyle w:val="ARtablecolheadcentre"/>
            </w:pPr>
          </w:p>
        </w:tc>
        <w:tc>
          <w:tcPr>
            <w:tcW w:w="616" w:type="pct"/>
            <w:gridSpan w:val="2"/>
          </w:tcPr>
          <w:p w14:paraId="4A419BC2" w14:textId="77777777" w:rsidR="00F16145" w:rsidRPr="00657E8C" w:rsidRDefault="00F16145" w:rsidP="00E620C7">
            <w:pPr>
              <w:pStyle w:val="ARtablecolheadcentre"/>
            </w:pPr>
            <w:r w:rsidRPr="00657E8C">
              <w:t>All employees</w:t>
            </w:r>
          </w:p>
        </w:tc>
        <w:tc>
          <w:tcPr>
            <w:tcW w:w="1011" w:type="pct"/>
            <w:gridSpan w:val="3"/>
          </w:tcPr>
          <w:p w14:paraId="520144D5" w14:textId="77777777" w:rsidR="00F16145" w:rsidRPr="00657E8C" w:rsidRDefault="00F16145" w:rsidP="00E620C7">
            <w:pPr>
              <w:pStyle w:val="ARtablecolheadcentre"/>
            </w:pPr>
            <w:r w:rsidRPr="00657E8C">
              <w:t>Ongoing</w:t>
            </w:r>
          </w:p>
        </w:tc>
        <w:tc>
          <w:tcPr>
            <w:tcW w:w="758" w:type="pct"/>
            <w:gridSpan w:val="2"/>
          </w:tcPr>
          <w:p w14:paraId="15BA73AD" w14:textId="77777777" w:rsidR="00F16145" w:rsidRPr="00657E8C" w:rsidRDefault="00F16145" w:rsidP="00E620C7">
            <w:pPr>
              <w:pStyle w:val="ARtablecolheadcentre"/>
            </w:pPr>
            <w:r w:rsidRPr="00657E8C">
              <w:t>Fixed term and casual</w:t>
            </w:r>
          </w:p>
        </w:tc>
        <w:tc>
          <w:tcPr>
            <w:tcW w:w="630" w:type="pct"/>
            <w:gridSpan w:val="2"/>
          </w:tcPr>
          <w:p w14:paraId="2CF47496" w14:textId="77777777" w:rsidR="00F16145" w:rsidRPr="00657E8C" w:rsidRDefault="00F16145" w:rsidP="00E620C7">
            <w:pPr>
              <w:pStyle w:val="ARtablecolheadcentre"/>
            </w:pPr>
            <w:r w:rsidRPr="00657E8C">
              <w:t>All employees</w:t>
            </w:r>
          </w:p>
        </w:tc>
        <w:tc>
          <w:tcPr>
            <w:tcW w:w="1012" w:type="pct"/>
            <w:gridSpan w:val="3"/>
          </w:tcPr>
          <w:p w14:paraId="392975EF" w14:textId="77777777" w:rsidR="00F16145" w:rsidRPr="00657E8C" w:rsidRDefault="00F16145" w:rsidP="00E620C7">
            <w:pPr>
              <w:pStyle w:val="ARtablecolheadcentre"/>
            </w:pPr>
            <w:r w:rsidRPr="00657E8C">
              <w:t>Ongoing</w:t>
            </w:r>
          </w:p>
        </w:tc>
        <w:tc>
          <w:tcPr>
            <w:tcW w:w="591" w:type="pct"/>
            <w:gridSpan w:val="2"/>
          </w:tcPr>
          <w:p w14:paraId="069E2AB1" w14:textId="77777777" w:rsidR="00F16145" w:rsidRPr="00657E8C" w:rsidRDefault="00F16145" w:rsidP="00E620C7">
            <w:pPr>
              <w:pStyle w:val="ARtablecolheadcentre"/>
            </w:pPr>
            <w:r w:rsidRPr="00657E8C">
              <w:t>Fixed term and casual</w:t>
            </w:r>
          </w:p>
        </w:tc>
      </w:tr>
      <w:tr w:rsidR="00F16145" w:rsidRPr="00657E8C" w14:paraId="0569406B" w14:textId="77777777" w:rsidTr="00CA5D44">
        <w:trPr>
          <w:cnfStyle w:val="100000000000" w:firstRow="1" w:lastRow="0" w:firstColumn="0" w:lastColumn="0" w:oddVBand="0" w:evenVBand="0" w:oddHBand="0" w:evenHBand="0" w:firstRowFirstColumn="0" w:firstRowLastColumn="0" w:lastRowFirstColumn="0" w:lastRowLastColumn="0"/>
          <w:tblHeader/>
        </w:trPr>
        <w:tc>
          <w:tcPr>
            <w:tcW w:w="382" w:type="pct"/>
            <w:vMerge/>
          </w:tcPr>
          <w:p w14:paraId="1A83F6C6" w14:textId="77777777" w:rsidR="00F16145" w:rsidRPr="00657E8C" w:rsidRDefault="00F16145" w:rsidP="00E620C7">
            <w:pPr>
              <w:pStyle w:val="ARtablecolheadright"/>
            </w:pPr>
          </w:p>
        </w:tc>
        <w:tc>
          <w:tcPr>
            <w:tcW w:w="416" w:type="pct"/>
          </w:tcPr>
          <w:p w14:paraId="0F1C6AB1" w14:textId="3FA7D85D" w:rsidR="00F16145" w:rsidRPr="00657E8C" w:rsidRDefault="00F16145" w:rsidP="00F16145">
            <w:pPr>
              <w:pStyle w:val="ARtablecolheadright"/>
            </w:pPr>
            <w:r w:rsidRPr="00657E8C">
              <w:t>Number</w:t>
            </w:r>
            <w:r>
              <w:br/>
            </w:r>
            <w:r w:rsidRPr="00657E8C">
              <w:t>(head count)</w:t>
            </w:r>
          </w:p>
        </w:tc>
        <w:tc>
          <w:tcPr>
            <w:tcW w:w="200" w:type="pct"/>
          </w:tcPr>
          <w:p w14:paraId="5035D39A" w14:textId="77777777" w:rsidR="00F16145" w:rsidRPr="00657E8C" w:rsidRDefault="00F16145" w:rsidP="00E620C7">
            <w:pPr>
              <w:pStyle w:val="ARtablecolheadright"/>
            </w:pPr>
            <w:r w:rsidRPr="00657E8C">
              <w:t>FTE</w:t>
            </w:r>
          </w:p>
        </w:tc>
        <w:tc>
          <w:tcPr>
            <w:tcW w:w="416" w:type="pct"/>
          </w:tcPr>
          <w:p w14:paraId="73977059" w14:textId="7A3B9133" w:rsidR="00F16145" w:rsidRPr="00657E8C" w:rsidRDefault="00F16145" w:rsidP="00F16145">
            <w:pPr>
              <w:pStyle w:val="ARtablecolheadright"/>
            </w:pPr>
            <w:r w:rsidRPr="00657E8C">
              <w:t>Full-time</w:t>
            </w:r>
            <w:r>
              <w:br/>
            </w:r>
            <w:r w:rsidRPr="00657E8C">
              <w:t>(head count)</w:t>
            </w:r>
          </w:p>
        </w:tc>
        <w:tc>
          <w:tcPr>
            <w:tcW w:w="416" w:type="pct"/>
          </w:tcPr>
          <w:p w14:paraId="13BDFEF8" w14:textId="77777777" w:rsidR="00F16145" w:rsidRPr="00657E8C" w:rsidRDefault="00F16145" w:rsidP="00E620C7">
            <w:pPr>
              <w:pStyle w:val="ARtablecolheadright"/>
            </w:pPr>
            <w:r w:rsidRPr="00657E8C">
              <w:t>Part-time (head count)</w:t>
            </w:r>
          </w:p>
        </w:tc>
        <w:tc>
          <w:tcPr>
            <w:tcW w:w="179" w:type="pct"/>
          </w:tcPr>
          <w:p w14:paraId="7AEB34A6" w14:textId="77777777" w:rsidR="00F16145" w:rsidRPr="00657E8C" w:rsidRDefault="00F16145" w:rsidP="00E620C7">
            <w:pPr>
              <w:pStyle w:val="ARtablecolheadright"/>
            </w:pPr>
            <w:r w:rsidRPr="00657E8C">
              <w:t>FTE</w:t>
            </w:r>
          </w:p>
        </w:tc>
        <w:tc>
          <w:tcPr>
            <w:tcW w:w="416" w:type="pct"/>
          </w:tcPr>
          <w:p w14:paraId="0C5A93BB" w14:textId="38E73936" w:rsidR="00F16145" w:rsidRPr="00657E8C" w:rsidRDefault="00F16145" w:rsidP="00F16145">
            <w:pPr>
              <w:pStyle w:val="ARtablecolheadright"/>
            </w:pPr>
            <w:r w:rsidRPr="00657E8C">
              <w:t>Number</w:t>
            </w:r>
            <w:r>
              <w:br/>
            </w:r>
            <w:r w:rsidRPr="00657E8C">
              <w:t>(head count)</w:t>
            </w:r>
          </w:p>
        </w:tc>
        <w:tc>
          <w:tcPr>
            <w:tcW w:w="342" w:type="pct"/>
          </w:tcPr>
          <w:p w14:paraId="09E22B6D" w14:textId="77777777" w:rsidR="00F16145" w:rsidRPr="00657E8C" w:rsidRDefault="00F16145" w:rsidP="00E620C7">
            <w:pPr>
              <w:pStyle w:val="ARtablecolheadright"/>
            </w:pPr>
            <w:r w:rsidRPr="00657E8C">
              <w:t>FTE</w:t>
            </w:r>
          </w:p>
        </w:tc>
        <w:tc>
          <w:tcPr>
            <w:tcW w:w="416" w:type="pct"/>
          </w:tcPr>
          <w:p w14:paraId="1813523F" w14:textId="66DA750C" w:rsidR="00F16145" w:rsidRPr="00657E8C" w:rsidRDefault="00F16145" w:rsidP="00F16145">
            <w:pPr>
              <w:pStyle w:val="ARtablecolheadright"/>
            </w:pPr>
            <w:r w:rsidRPr="00657E8C">
              <w:t>Number</w:t>
            </w:r>
            <w:r>
              <w:br/>
            </w:r>
            <w:r w:rsidRPr="00657E8C">
              <w:t>(head count)</w:t>
            </w:r>
          </w:p>
        </w:tc>
        <w:tc>
          <w:tcPr>
            <w:tcW w:w="214" w:type="pct"/>
          </w:tcPr>
          <w:p w14:paraId="3846F375" w14:textId="77777777" w:rsidR="00F16145" w:rsidRPr="00657E8C" w:rsidRDefault="00F16145" w:rsidP="00E620C7">
            <w:pPr>
              <w:pStyle w:val="ARtablecolheadright"/>
            </w:pPr>
            <w:r w:rsidRPr="00657E8C">
              <w:t>FTE</w:t>
            </w:r>
          </w:p>
        </w:tc>
        <w:tc>
          <w:tcPr>
            <w:tcW w:w="417" w:type="pct"/>
          </w:tcPr>
          <w:p w14:paraId="56977D75" w14:textId="74081DA2" w:rsidR="00F16145" w:rsidRPr="00657E8C" w:rsidRDefault="00F16145" w:rsidP="00F16145">
            <w:pPr>
              <w:pStyle w:val="ARtablecolheadright"/>
            </w:pPr>
            <w:r w:rsidRPr="00657E8C">
              <w:t>Full-time</w:t>
            </w:r>
            <w:r>
              <w:br/>
            </w:r>
            <w:r w:rsidRPr="00657E8C">
              <w:t>(head count)</w:t>
            </w:r>
          </w:p>
        </w:tc>
        <w:tc>
          <w:tcPr>
            <w:tcW w:w="417" w:type="pct"/>
          </w:tcPr>
          <w:p w14:paraId="10FD88B8" w14:textId="37BDFF5C" w:rsidR="00F16145" w:rsidRPr="00657E8C" w:rsidRDefault="00F16145" w:rsidP="00F16145">
            <w:pPr>
              <w:pStyle w:val="ARtablecolheadright"/>
            </w:pPr>
            <w:r w:rsidRPr="00657E8C">
              <w:t>Part-time</w:t>
            </w:r>
            <w:r>
              <w:br/>
            </w:r>
            <w:r w:rsidRPr="00657E8C">
              <w:t>(head count)</w:t>
            </w:r>
          </w:p>
        </w:tc>
        <w:tc>
          <w:tcPr>
            <w:tcW w:w="178" w:type="pct"/>
          </w:tcPr>
          <w:p w14:paraId="6972B2BD" w14:textId="77777777" w:rsidR="00F16145" w:rsidRPr="00657E8C" w:rsidRDefault="00F16145" w:rsidP="00E620C7">
            <w:pPr>
              <w:pStyle w:val="ARtablecolheadright"/>
            </w:pPr>
            <w:r w:rsidRPr="00657E8C">
              <w:t>FTE</w:t>
            </w:r>
          </w:p>
        </w:tc>
        <w:tc>
          <w:tcPr>
            <w:tcW w:w="417" w:type="pct"/>
          </w:tcPr>
          <w:p w14:paraId="5EFA5CCE" w14:textId="302C33A6" w:rsidR="00F16145" w:rsidRPr="00657E8C" w:rsidRDefault="00F16145" w:rsidP="00F16145">
            <w:pPr>
              <w:pStyle w:val="ARtablecolheadright"/>
            </w:pPr>
            <w:r w:rsidRPr="00657E8C">
              <w:t>Number</w:t>
            </w:r>
            <w:r>
              <w:br/>
            </w:r>
            <w:r w:rsidRPr="00657E8C">
              <w:t>(head count)</w:t>
            </w:r>
          </w:p>
        </w:tc>
        <w:tc>
          <w:tcPr>
            <w:tcW w:w="174" w:type="pct"/>
          </w:tcPr>
          <w:p w14:paraId="45C72F2A" w14:textId="77777777" w:rsidR="00F16145" w:rsidRPr="00657E8C" w:rsidRDefault="00F16145" w:rsidP="00E620C7">
            <w:pPr>
              <w:pStyle w:val="ARtablecolheadright"/>
            </w:pPr>
            <w:r w:rsidRPr="00657E8C">
              <w:t>FTE</w:t>
            </w:r>
          </w:p>
        </w:tc>
      </w:tr>
      <w:tr w:rsidR="00D043ED" w:rsidRPr="00657E8C" w14:paraId="6C0AF75D" w14:textId="77777777" w:rsidTr="00F16145">
        <w:tc>
          <w:tcPr>
            <w:tcW w:w="5000" w:type="pct"/>
            <w:gridSpan w:val="15"/>
          </w:tcPr>
          <w:p w14:paraId="31D8FA66" w14:textId="77777777" w:rsidR="00D043ED" w:rsidRPr="00657E8C" w:rsidRDefault="00D043ED" w:rsidP="00E620C7">
            <w:pPr>
              <w:pStyle w:val="ARtablebluebold"/>
              <w:rPr>
                <w:sz w:val="20"/>
              </w:rPr>
            </w:pPr>
            <w:r w:rsidRPr="00657E8C">
              <w:t>Gender</w:t>
            </w:r>
          </w:p>
        </w:tc>
      </w:tr>
      <w:tr w:rsidR="00F16145" w:rsidRPr="00657E8C" w14:paraId="2BFE087D" w14:textId="77777777" w:rsidTr="00CA5D44">
        <w:tc>
          <w:tcPr>
            <w:tcW w:w="382" w:type="pct"/>
          </w:tcPr>
          <w:p w14:paraId="7BC0A298" w14:textId="77777777" w:rsidR="00D043ED" w:rsidRPr="00657E8C" w:rsidRDefault="00D043ED" w:rsidP="00E620C7">
            <w:pPr>
              <w:pStyle w:val="ARtabletext"/>
            </w:pPr>
            <w:r w:rsidRPr="00657E8C">
              <w:t xml:space="preserve">Women </w:t>
            </w:r>
          </w:p>
        </w:tc>
        <w:tc>
          <w:tcPr>
            <w:tcW w:w="416" w:type="pct"/>
          </w:tcPr>
          <w:p w14:paraId="282A8C25" w14:textId="77777777" w:rsidR="00D043ED" w:rsidRPr="00657E8C" w:rsidRDefault="00D043ED" w:rsidP="00E620C7">
            <w:pPr>
              <w:pStyle w:val="ARtabletextright"/>
            </w:pPr>
            <w:r w:rsidRPr="00657E8C">
              <w:t>113</w:t>
            </w:r>
          </w:p>
        </w:tc>
        <w:tc>
          <w:tcPr>
            <w:tcW w:w="200" w:type="pct"/>
          </w:tcPr>
          <w:p w14:paraId="034F22B7" w14:textId="77777777" w:rsidR="00D043ED" w:rsidRPr="00657E8C" w:rsidRDefault="00D043ED" w:rsidP="00E620C7">
            <w:pPr>
              <w:pStyle w:val="ARtabletextright"/>
            </w:pPr>
            <w:r w:rsidRPr="00657E8C">
              <w:t>103.2</w:t>
            </w:r>
          </w:p>
        </w:tc>
        <w:tc>
          <w:tcPr>
            <w:tcW w:w="416" w:type="pct"/>
          </w:tcPr>
          <w:p w14:paraId="0DF36D99" w14:textId="77777777" w:rsidR="00D043ED" w:rsidRPr="00657E8C" w:rsidRDefault="00D043ED" w:rsidP="00E620C7">
            <w:pPr>
              <w:pStyle w:val="ARtabletextright"/>
            </w:pPr>
            <w:r w:rsidRPr="00657E8C">
              <w:t>58</w:t>
            </w:r>
          </w:p>
        </w:tc>
        <w:tc>
          <w:tcPr>
            <w:tcW w:w="416" w:type="pct"/>
          </w:tcPr>
          <w:p w14:paraId="4EC03304" w14:textId="77777777" w:rsidR="00D043ED" w:rsidRPr="00657E8C" w:rsidRDefault="00D043ED" w:rsidP="00E620C7">
            <w:pPr>
              <w:pStyle w:val="ARtabletextright"/>
            </w:pPr>
            <w:r w:rsidRPr="00657E8C">
              <w:t>26</w:t>
            </w:r>
          </w:p>
        </w:tc>
        <w:tc>
          <w:tcPr>
            <w:tcW w:w="179" w:type="pct"/>
          </w:tcPr>
          <w:p w14:paraId="3E720648" w14:textId="77777777" w:rsidR="00D043ED" w:rsidRPr="00657E8C" w:rsidRDefault="00D043ED" w:rsidP="00E620C7">
            <w:pPr>
              <w:pStyle w:val="ARtabletextright"/>
            </w:pPr>
            <w:r w:rsidRPr="00657E8C">
              <w:t>76.2</w:t>
            </w:r>
          </w:p>
        </w:tc>
        <w:tc>
          <w:tcPr>
            <w:tcW w:w="416" w:type="pct"/>
          </w:tcPr>
          <w:p w14:paraId="3767CC3A" w14:textId="77777777" w:rsidR="00D043ED" w:rsidRPr="00657E8C" w:rsidRDefault="00D043ED" w:rsidP="00E620C7">
            <w:pPr>
              <w:pStyle w:val="ARtabletextright"/>
            </w:pPr>
            <w:r w:rsidRPr="00657E8C">
              <w:t>29</w:t>
            </w:r>
          </w:p>
        </w:tc>
        <w:tc>
          <w:tcPr>
            <w:tcW w:w="342" w:type="pct"/>
          </w:tcPr>
          <w:p w14:paraId="24129F45" w14:textId="77777777" w:rsidR="00D043ED" w:rsidRPr="00657E8C" w:rsidRDefault="00D043ED" w:rsidP="00E620C7">
            <w:pPr>
              <w:pStyle w:val="ARtabletextright"/>
            </w:pPr>
            <w:r w:rsidRPr="00657E8C">
              <w:t>27</w:t>
            </w:r>
          </w:p>
        </w:tc>
        <w:tc>
          <w:tcPr>
            <w:tcW w:w="416" w:type="pct"/>
          </w:tcPr>
          <w:p w14:paraId="7974D781" w14:textId="77777777" w:rsidR="00D043ED" w:rsidRPr="00657E8C" w:rsidRDefault="00D043ED" w:rsidP="00E620C7">
            <w:pPr>
              <w:pStyle w:val="ARtabletextright"/>
            </w:pPr>
            <w:r w:rsidRPr="00657E8C">
              <w:t>84</w:t>
            </w:r>
          </w:p>
        </w:tc>
        <w:tc>
          <w:tcPr>
            <w:tcW w:w="214" w:type="pct"/>
          </w:tcPr>
          <w:p w14:paraId="127C6DF9" w14:textId="77777777" w:rsidR="00D043ED" w:rsidRPr="00657E8C" w:rsidRDefault="00D043ED" w:rsidP="00E620C7">
            <w:pPr>
              <w:pStyle w:val="ARtabletextright"/>
            </w:pPr>
            <w:r w:rsidRPr="00657E8C">
              <w:t>74.5</w:t>
            </w:r>
          </w:p>
        </w:tc>
        <w:tc>
          <w:tcPr>
            <w:tcW w:w="417" w:type="pct"/>
          </w:tcPr>
          <w:p w14:paraId="4A93918B" w14:textId="77777777" w:rsidR="00D043ED" w:rsidRPr="00657E8C" w:rsidRDefault="00D043ED" w:rsidP="00E620C7">
            <w:pPr>
              <w:pStyle w:val="ARtabletextright"/>
            </w:pPr>
            <w:r w:rsidRPr="00657E8C">
              <w:t>43</w:t>
            </w:r>
          </w:p>
        </w:tc>
        <w:tc>
          <w:tcPr>
            <w:tcW w:w="417" w:type="pct"/>
          </w:tcPr>
          <w:p w14:paraId="1A436228" w14:textId="77777777" w:rsidR="00D043ED" w:rsidRPr="00657E8C" w:rsidRDefault="00D043ED" w:rsidP="00E620C7">
            <w:pPr>
              <w:pStyle w:val="ARtabletextright"/>
            </w:pPr>
            <w:r w:rsidRPr="00657E8C">
              <w:t>23</w:t>
            </w:r>
          </w:p>
        </w:tc>
        <w:tc>
          <w:tcPr>
            <w:tcW w:w="178" w:type="pct"/>
          </w:tcPr>
          <w:p w14:paraId="26195826" w14:textId="77777777" w:rsidR="00D043ED" w:rsidRPr="00657E8C" w:rsidRDefault="00D043ED" w:rsidP="00E620C7">
            <w:pPr>
              <w:pStyle w:val="ARtabletextright"/>
            </w:pPr>
            <w:r w:rsidRPr="00657E8C">
              <w:t>57.4</w:t>
            </w:r>
          </w:p>
        </w:tc>
        <w:tc>
          <w:tcPr>
            <w:tcW w:w="417" w:type="pct"/>
          </w:tcPr>
          <w:p w14:paraId="35576573" w14:textId="77777777" w:rsidR="00D043ED" w:rsidRPr="00657E8C" w:rsidRDefault="00D043ED" w:rsidP="00E620C7">
            <w:pPr>
              <w:pStyle w:val="ARtabletextright"/>
            </w:pPr>
            <w:r w:rsidRPr="00657E8C">
              <w:t>18</w:t>
            </w:r>
          </w:p>
        </w:tc>
        <w:tc>
          <w:tcPr>
            <w:tcW w:w="174" w:type="pct"/>
          </w:tcPr>
          <w:p w14:paraId="74DBB6BB" w14:textId="77777777" w:rsidR="00D043ED" w:rsidRPr="00657E8C" w:rsidRDefault="00D043ED" w:rsidP="00E620C7">
            <w:pPr>
              <w:pStyle w:val="ARtabletextright"/>
            </w:pPr>
            <w:r w:rsidRPr="00657E8C">
              <w:t>17.1</w:t>
            </w:r>
          </w:p>
        </w:tc>
      </w:tr>
      <w:tr w:rsidR="00F16145" w:rsidRPr="00657E8C" w14:paraId="6007974E" w14:textId="77777777" w:rsidTr="00CA5D44">
        <w:tc>
          <w:tcPr>
            <w:tcW w:w="382" w:type="pct"/>
          </w:tcPr>
          <w:p w14:paraId="4B987442" w14:textId="77777777" w:rsidR="00D043ED" w:rsidRPr="00657E8C" w:rsidRDefault="00D043ED" w:rsidP="00E620C7">
            <w:pPr>
              <w:pStyle w:val="ARtabletext"/>
            </w:pPr>
            <w:r w:rsidRPr="00657E8C">
              <w:t>Men</w:t>
            </w:r>
          </w:p>
        </w:tc>
        <w:tc>
          <w:tcPr>
            <w:tcW w:w="416" w:type="pct"/>
          </w:tcPr>
          <w:p w14:paraId="32B0E171" w14:textId="77777777" w:rsidR="00D043ED" w:rsidRPr="00657E8C" w:rsidRDefault="00D043ED" w:rsidP="00E620C7">
            <w:pPr>
              <w:pStyle w:val="ARtabletextright"/>
            </w:pPr>
            <w:r w:rsidRPr="00657E8C">
              <w:t>18</w:t>
            </w:r>
          </w:p>
        </w:tc>
        <w:tc>
          <w:tcPr>
            <w:tcW w:w="200" w:type="pct"/>
          </w:tcPr>
          <w:p w14:paraId="46C5813F" w14:textId="77777777" w:rsidR="00D043ED" w:rsidRPr="00657E8C" w:rsidRDefault="00D043ED" w:rsidP="00E620C7">
            <w:pPr>
              <w:pStyle w:val="ARtabletextright"/>
            </w:pPr>
            <w:r w:rsidRPr="00657E8C">
              <w:t>17.1</w:t>
            </w:r>
          </w:p>
        </w:tc>
        <w:tc>
          <w:tcPr>
            <w:tcW w:w="416" w:type="pct"/>
          </w:tcPr>
          <w:p w14:paraId="21FC1585" w14:textId="77777777" w:rsidR="00D043ED" w:rsidRPr="00657E8C" w:rsidRDefault="00D043ED" w:rsidP="00E620C7">
            <w:pPr>
              <w:pStyle w:val="ARtabletextright"/>
            </w:pPr>
            <w:r w:rsidRPr="00657E8C">
              <w:t>6</w:t>
            </w:r>
          </w:p>
        </w:tc>
        <w:tc>
          <w:tcPr>
            <w:tcW w:w="416" w:type="pct"/>
          </w:tcPr>
          <w:p w14:paraId="5ED25BAB" w14:textId="77777777" w:rsidR="00D043ED" w:rsidRPr="00657E8C" w:rsidRDefault="00D043ED" w:rsidP="00E620C7">
            <w:pPr>
              <w:pStyle w:val="ARtabletextright"/>
            </w:pPr>
            <w:r w:rsidRPr="00657E8C">
              <w:t>2</w:t>
            </w:r>
          </w:p>
        </w:tc>
        <w:tc>
          <w:tcPr>
            <w:tcW w:w="179" w:type="pct"/>
          </w:tcPr>
          <w:p w14:paraId="47138C7B" w14:textId="77777777" w:rsidR="00D043ED" w:rsidRPr="00657E8C" w:rsidRDefault="00D043ED" w:rsidP="00E620C7">
            <w:pPr>
              <w:pStyle w:val="ARtabletextright"/>
            </w:pPr>
            <w:r w:rsidRPr="00657E8C">
              <w:t>7.6</w:t>
            </w:r>
          </w:p>
        </w:tc>
        <w:tc>
          <w:tcPr>
            <w:tcW w:w="416" w:type="pct"/>
          </w:tcPr>
          <w:p w14:paraId="540130F6" w14:textId="77777777" w:rsidR="00D043ED" w:rsidRPr="00657E8C" w:rsidRDefault="00D043ED" w:rsidP="00E620C7">
            <w:pPr>
              <w:pStyle w:val="ARtabletextright"/>
            </w:pPr>
            <w:r w:rsidRPr="00657E8C">
              <w:t>10</w:t>
            </w:r>
          </w:p>
        </w:tc>
        <w:tc>
          <w:tcPr>
            <w:tcW w:w="342" w:type="pct"/>
          </w:tcPr>
          <w:p w14:paraId="4CC024E2" w14:textId="77777777" w:rsidR="00D043ED" w:rsidRPr="00657E8C" w:rsidRDefault="00D043ED" w:rsidP="00E620C7">
            <w:pPr>
              <w:pStyle w:val="ARtabletextright"/>
            </w:pPr>
            <w:r w:rsidRPr="00657E8C">
              <w:t>9.5</w:t>
            </w:r>
          </w:p>
        </w:tc>
        <w:tc>
          <w:tcPr>
            <w:tcW w:w="416" w:type="pct"/>
          </w:tcPr>
          <w:p w14:paraId="0253D1F0" w14:textId="77777777" w:rsidR="00D043ED" w:rsidRPr="00657E8C" w:rsidRDefault="00D043ED" w:rsidP="00E620C7">
            <w:pPr>
              <w:pStyle w:val="ARtabletextright"/>
            </w:pPr>
            <w:r w:rsidRPr="00657E8C">
              <w:t>17</w:t>
            </w:r>
          </w:p>
        </w:tc>
        <w:tc>
          <w:tcPr>
            <w:tcW w:w="214" w:type="pct"/>
          </w:tcPr>
          <w:p w14:paraId="64A9A3E0" w14:textId="77777777" w:rsidR="00D043ED" w:rsidRPr="00657E8C" w:rsidRDefault="00D043ED" w:rsidP="00E620C7">
            <w:pPr>
              <w:pStyle w:val="ARtabletextright"/>
            </w:pPr>
            <w:r w:rsidRPr="00657E8C">
              <w:t>15.8</w:t>
            </w:r>
          </w:p>
        </w:tc>
        <w:tc>
          <w:tcPr>
            <w:tcW w:w="417" w:type="pct"/>
          </w:tcPr>
          <w:p w14:paraId="5B00B15A" w14:textId="77777777" w:rsidR="00D043ED" w:rsidRPr="00657E8C" w:rsidRDefault="00D043ED" w:rsidP="00E620C7">
            <w:pPr>
              <w:pStyle w:val="ARtabletextright"/>
            </w:pPr>
            <w:r w:rsidRPr="00657E8C">
              <w:t>7</w:t>
            </w:r>
          </w:p>
        </w:tc>
        <w:tc>
          <w:tcPr>
            <w:tcW w:w="417" w:type="pct"/>
          </w:tcPr>
          <w:p w14:paraId="44A0A688" w14:textId="77777777" w:rsidR="00D043ED" w:rsidRPr="00657E8C" w:rsidRDefault="00D043ED" w:rsidP="00E620C7">
            <w:pPr>
              <w:pStyle w:val="ARtabletextright"/>
            </w:pPr>
            <w:r w:rsidRPr="00657E8C">
              <w:t>2</w:t>
            </w:r>
          </w:p>
        </w:tc>
        <w:tc>
          <w:tcPr>
            <w:tcW w:w="178" w:type="pct"/>
          </w:tcPr>
          <w:p w14:paraId="62218B44" w14:textId="77777777" w:rsidR="00D043ED" w:rsidRPr="00657E8C" w:rsidRDefault="00D043ED" w:rsidP="00E620C7">
            <w:pPr>
              <w:pStyle w:val="ARtabletextright"/>
            </w:pPr>
            <w:r w:rsidRPr="00657E8C">
              <w:t>8.3</w:t>
            </w:r>
          </w:p>
        </w:tc>
        <w:tc>
          <w:tcPr>
            <w:tcW w:w="417" w:type="pct"/>
          </w:tcPr>
          <w:p w14:paraId="3BE8A411" w14:textId="77777777" w:rsidR="00D043ED" w:rsidRPr="00657E8C" w:rsidRDefault="00D043ED" w:rsidP="00E620C7">
            <w:pPr>
              <w:pStyle w:val="ARtabletextright"/>
            </w:pPr>
            <w:r w:rsidRPr="00657E8C">
              <w:t>8</w:t>
            </w:r>
          </w:p>
        </w:tc>
        <w:tc>
          <w:tcPr>
            <w:tcW w:w="174" w:type="pct"/>
          </w:tcPr>
          <w:p w14:paraId="66EAFD62" w14:textId="77777777" w:rsidR="00D043ED" w:rsidRPr="00657E8C" w:rsidRDefault="00D043ED" w:rsidP="00E620C7">
            <w:pPr>
              <w:pStyle w:val="ARtabletextright"/>
            </w:pPr>
            <w:r w:rsidRPr="00657E8C">
              <w:t>7.5</w:t>
            </w:r>
          </w:p>
        </w:tc>
      </w:tr>
      <w:tr w:rsidR="00CA5D44" w:rsidRPr="00657E8C" w14:paraId="17AC79AC" w14:textId="77777777" w:rsidTr="00CA5D44">
        <w:tc>
          <w:tcPr>
            <w:tcW w:w="382" w:type="pct"/>
          </w:tcPr>
          <w:p w14:paraId="1E446B19" w14:textId="426942CF" w:rsidR="00CA5D44" w:rsidRPr="00657E8C" w:rsidRDefault="00CA5D44" w:rsidP="00CA5D44">
            <w:pPr>
              <w:pStyle w:val="ARtabletext"/>
            </w:pPr>
            <w:r w:rsidRPr="00657E8C">
              <w:t>Self-described</w:t>
            </w:r>
          </w:p>
        </w:tc>
        <w:tc>
          <w:tcPr>
            <w:tcW w:w="416" w:type="pct"/>
          </w:tcPr>
          <w:p w14:paraId="41CD56CE" w14:textId="17AD6CD5" w:rsidR="00CA5D44" w:rsidRPr="00657E8C" w:rsidRDefault="00CA5D44" w:rsidP="00CA5D44">
            <w:pPr>
              <w:pStyle w:val="ARtabletextright"/>
            </w:pPr>
            <w:r w:rsidRPr="00657E8C">
              <w:t>n</w:t>
            </w:r>
            <w:r>
              <w:t>a</w:t>
            </w:r>
          </w:p>
        </w:tc>
        <w:tc>
          <w:tcPr>
            <w:tcW w:w="200" w:type="pct"/>
          </w:tcPr>
          <w:p w14:paraId="7D87E391" w14:textId="4CBD00BD" w:rsidR="00CA5D44" w:rsidRPr="00657E8C" w:rsidRDefault="00CA5D44" w:rsidP="00CA5D44">
            <w:pPr>
              <w:pStyle w:val="ARtabletextright"/>
            </w:pPr>
            <w:r>
              <w:t>na</w:t>
            </w:r>
          </w:p>
        </w:tc>
        <w:tc>
          <w:tcPr>
            <w:tcW w:w="416" w:type="pct"/>
          </w:tcPr>
          <w:p w14:paraId="61321D7F" w14:textId="622C97B3" w:rsidR="00CA5D44" w:rsidRPr="00657E8C" w:rsidRDefault="00CA5D44" w:rsidP="00CA5D44">
            <w:pPr>
              <w:pStyle w:val="ARtabletextright"/>
            </w:pPr>
            <w:r>
              <w:t>na</w:t>
            </w:r>
          </w:p>
        </w:tc>
        <w:tc>
          <w:tcPr>
            <w:tcW w:w="416" w:type="pct"/>
          </w:tcPr>
          <w:p w14:paraId="5AA279A9" w14:textId="099C7349" w:rsidR="00CA5D44" w:rsidRPr="00657E8C" w:rsidRDefault="00CA5D44" w:rsidP="00CA5D44">
            <w:pPr>
              <w:pStyle w:val="ARtabletextright"/>
            </w:pPr>
            <w:r>
              <w:t>na</w:t>
            </w:r>
          </w:p>
        </w:tc>
        <w:tc>
          <w:tcPr>
            <w:tcW w:w="179" w:type="pct"/>
          </w:tcPr>
          <w:p w14:paraId="26223125" w14:textId="4D42DB1F" w:rsidR="00CA5D44" w:rsidRPr="00657E8C" w:rsidRDefault="00CA5D44" w:rsidP="00CA5D44">
            <w:pPr>
              <w:pStyle w:val="ARtabletextright"/>
            </w:pPr>
            <w:r w:rsidRPr="00657E8C">
              <w:t>n</w:t>
            </w:r>
            <w:r>
              <w:t>a</w:t>
            </w:r>
          </w:p>
        </w:tc>
        <w:tc>
          <w:tcPr>
            <w:tcW w:w="416" w:type="pct"/>
          </w:tcPr>
          <w:p w14:paraId="08C42FBD" w14:textId="732DD038" w:rsidR="00CA5D44" w:rsidRPr="00657E8C" w:rsidRDefault="00CA5D44" w:rsidP="00CA5D44">
            <w:pPr>
              <w:pStyle w:val="ARtabletextright"/>
            </w:pPr>
            <w:r w:rsidRPr="00657E8C">
              <w:t>n</w:t>
            </w:r>
            <w:r>
              <w:t>a</w:t>
            </w:r>
          </w:p>
        </w:tc>
        <w:tc>
          <w:tcPr>
            <w:tcW w:w="342" w:type="pct"/>
          </w:tcPr>
          <w:p w14:paraId="69680A39" w14:textId="0DC94D52" w:rsidR="00CA5D44" w:rsidRPr="00657E8C" w:rsidRDefault="00CA5D44" w:rsidP="00CA5D44">
            <w:pPr>
              <w:pStyle w:val="ARtabletextright"/>
            </w:pPr>
            <w:r w:rsidRPr="00657E8C">
              <w:t>n</w:t>
            </w:r>
            <w:r>
              <w:t>a</w:t>
            </w:r>
          </w:p>
        </w:tc>
        <w:tc>
          <w:tcPr>
            <w:tcW w:w="416" w:type="pct"/>
          </w:tcPr>
          <w:p w14:paraId="575D1F1F" w14:textId="0CB93F37" w:rsidR="00CA5D44" w:rsidRPr="00657E8C" w:rsidRDefault="00CA5D44" w:rsidP="00CA5D44">
            <w:pPr>
              <w:pStyle w:val="ARtabletextright"/>
            </w:pPr>
            <w:r w:rsidRPr="00657E8C">
              <w:t>n</w:t>
            </w:r>
            <w:r>
              <w:t>a</w:t>
            </w:r>
          </w:p>
        </w:tc>
        <w:tc>
          <w:tcPr>
            <w:tcW w:w="214" w:type="pct"/>
          </w:tcPr>
          <w:p w14:paraId="2A7FD01D" w14:textId="4F97DCA0" w:rsidR="00CA5D44" w:rsidRPr="00657E8C" w:rsidRDefault="00CA5D44" w:rsidP="00CA5D44">
            <w:pPr>
              <w:pStyle w:val="ARtabletextright"/>
            </w:pPr>
            <w:r w:rsidRPr="00657E8C">
              <w:t>n</w:t>
            </w:r>
            <w:r>
              <w:t>a</w:t>
            </w:r>
          </w:p>
        </w:tc>
        <w:tc>
          <w:tcPr>
            <w:tcW w:w="417" w:type="pct"/>
          </w:tcPr>
          <w:p w14:paraId="045FB8F0" w14:textId="2CD18C52" w:rsidR="00CA5D44" w:rsidRPr="00657E8C" w:rsidRDefault="00CA5D44" w:rsidP="00CA5D44">
            <w:pPr>
              <w:pStyle w:val="ARtabletextright"/>
            </w:pPr>
            <w:r w:rsidRPr="00657E8C">
              <w:t>n</w:t>
            </w:r>
            <w:r>
              <w:t>a</w:t>
            </w:r>
          </w:p>
        </w:tc>
        <w:tc>
          <w:tcPr>
            <w:tcW w:w="417" w:type="pct"/>
          </w:tcPr>
          <w:p w14:paraId="67467ED7" w14:textId="04A9B434" w:rsidR="00CA5D44" w:rsidRPr="00657E8C" w:rsidRDefault="00CA5D44" w:rsidP="00CA5D44">
            <w:pPr>
              <w:pStyle w:val="ARtabletextright"/>
            </w:pPr>
            <w:r w:rsidRPr="00657E8C">
              <w:t>n</w:t>
            </w:r>
            <w:r>
              <w:t>a</w:t>
            </w:r>
          </w:p>
        </w:tc>
        <w:tc>
          <w:tcPr>
            <w:tcW w:w="178" w:type="pct"/>
          </w:tcPr>
          <w:p w14:paraId="167CEC07" w14:textId="3A1590D3" w:rsidR="00CA5D44" w:rsidRPr="00657E8C" w:rsidRDefault="00CA5D44" w:rsidP="00CA5D44">
            <w:pPr>
              <w:pStyle w:val="ARtabletextright"/>
            </w:pPr>
            <w:r w:rsidRPr="00657E8C">
              <w:t>n</w:t>
            </w:r>
            <w:r>
              <w:t>a</w:t>
            </w:r>
          </w:p>
        </w:tc>
        <w:tc>
          <w:tcPr>
            <w:tcW w:w="417" w:type="pct"/>
          </w:tcPr>
          <w:p w14:paraId="51778DED" w14:textId="07307FA9" w:rsidR="00CA5D44" w:rsidRPr="00657E8C" w:rsidRDefault="00CA5D44" w:rsidP="00CA5D44">
            <w:pPr>
              <w:pStyle w:val="ARtabletextright"/>
            </w:pPr>
            <w:r w:rsidRPr="00657E8C">
              <w:t>n</w:t>
            </w:r>
            <w:r>
              <w:t>a</w:t>
            </w:r>
          </w:p>
        </w:tc>
        <w:tc>
          <w:tcPr>
            <w:tcW w:w="174" w:type="pct"/>
          </w:tcPr>
          <w:p w14:paraId="728C9E94" w14:textId="511ADD49" w:rsidR="00CA5D44" w:rsidRPr="00657E8C" w:rsidRDefault="00CA5D44" w:rsidP="00CA5D44">
            <w:pPr>
              <w:pStyle w:val="ARtabletextright"/>
            </w:pPr>
            <w:r w:rsidRPr="00657E8C">
              <w:t>n</w:t>
            </w:r>
            <w:r>
              <w:t>a</w:t>
            </w:r>
          </w:p>
        </w:tc>
      </w:tr>
      <w:tr w:rsidR="00D043ED" w:rsidRPr="00657E8C" w14:paraId="610FA2F8" w14:textId="77777777" w:rsidTr="00F16145">
        <w:tc>
          <w:tcPr>
            <w:tcW w:w="5000" w:type="pct"/>
            <w:gridSpan w:val="15"/>
          </w:tcPr>
          <w:p w14:paraId="4EC47029" w14:textId="77777777" w:rsidR="00D043ED" w:rsidRPr="00657E8C" w:rsidRDefault="00D043ED" w:rsidP="00E620C7">
            <w:pPr>
              <w:pStyle w:val="ARtablebluebold"/>
              <w:rPr>
                <w:i/>
                <w:sz w:val="20"/>
              </w:rPr>
            </w:pPr>
            <w:r w:rsidRPr="00657E8C">
              <w:t>Age</w:t>
            </w:r>
          </w:p>
        </w:tc>
      </w:tr>
      <w:tr w:rsidR="00F16145" w:rsidRPr="00657E8C" w14:paraId="77EC3D03" w14:textId="77777777" w:rsidTr="00CA5D44">
        <w:tc>
          <w:tcPr>
            <w:tcW w:w="382" w:type="pct"/>
          </w:tcPr>
          <w:p w14:paraId="2FEBE846" w14:textId="77777777" w:rsidR="00D043ED" w:rsidRPr="00657E8C" w:rsidRDefault="00D043ED" w:rsidP="00E620C7">
            <w:pPr>
              <w:pStyle w:val="ARtabletext"/>
            </w:pPr>
            <w:r w:rsidRPr="00657E8C">
              <w:t>15</w:t>
            </w:r>
            <w:r>
              <w:t>–</w:t>
            </w:r>
            <w:r w:rsidRPr="00657E8C">
              <w:t>24</w:t>
            </w:r>
          </w:p>
        </w:tc>
        <w:tc>
          <w:tcPr>
            <w:tcW w:w="416" w:type="pct"/>
          </w:tcPr>
          <w:p w14:paraId="083A99A7" w14:textId="77777777" w:rsidR="00D043ED" w:rsidRPr="00657E8C" w:rsidRDefault="00D043ED" w:rsidP="00E620C7">
            <w:pPr>
              <w:pStyle w:val="ARtabletextright"/>
            </w:pPr>
            <w:r w:rsidRPr="00657E8C">
              <w:t>2</w:t>
            </w:r>
          </w:p>
        </w:tc>
        <w:tc>
          <w:tcPr>
            <w:tcW w:w="200" w:type="pct"/>
          </w:tcPr>
          <w:p w14:paraId="4B255570" w14:textId="77777777" w:rsidR="00D043ED" w:rsidRPr="00657E8C" w:rsidRDefault="00D043ED" w:rsidP="00E620C7">
            <w:pPr>
              <w:pStyle w:val="ARtabletextright"/>
            </w:pPr>
            <w:r w:rsidRPr="00657E8C">
              <w:t>2</w:t>
            </w:r>
          </w:p>
        </w:tc>
        <w:tc>
          <w:tcPr>
            <w:tcW w:w="416" w:type="pct"/>
          </w:tcPr>
          <w:p w14:paraId="724B853F" w14:textId="77777777" w:rsidR="00D043ED" w:rsidRPr="00657E8C" w:rsidRDefault="00D043ED" w:rsidP="00E620C7">
            <w:pPr>
              <w:pStyle w:val="ARtabletextright"/>
            </w:pPr>
            <w:r w:rsidRPr="00657E8C">
              <w:t>2</w:t>
            </w:r>
          </w:p>
        </w:tc>
        <w:tc>
          <w:tcPr>
            <w:tcW w:w="416" w:type="pct"/>
          </w:tcPr>
          <w:p w14:paraId="5643C0BD" w14:textId="77777777" w:rsidR="00D043ED" w:rsidRPr="00657E8C" w:rsidRDefault="00D043ED" w:rsidP="00E620C7">
            <w:pPr>
              <w:pStyle w:val="ARtabletextright"/>
            </w:pPr>
            <w:r w:rsidRPr="00657E8C">
              <w:t>0</w:t>
            </w:r>
          </w:p>
        </w:tc>
        <w:tc>
          <w:tcPr>
            <w:tcW w:w="179" w:type="pct"/>
          </w:tcPr>
          <w:p w14:paraId="0046006F" w14:textId="77777777" w:rsidR="00D043ED" w:rsidRPr="00657E8C" w:rsidRDefault="00D043ED" w:rsidP="00E620C7">
            <w:pPr>
              <w:pStyle w:val="ARtabletextright"/>
            </w:pPr>
            <w:r w:rsidRPr="00657E8C">
              <w:t>2</w:t>
            </w:r>
          </w:p>
        </w:tc>
        <w:tc>
          <w:tcPr>
            <w:tcW w:w="416" w:type="pct"/>
          </w:tcPr>
          <w:p w14:paraId="188B59C6" w14:textId="77777777" w:rsidR="00D043ED" w:rsidRPr="00657E8C" w:rsidRDefault="00D043ED" w:rsidP="00E620C7">
            <w:pPr>
              <w:pStyle w:val="ARtabletextright"/>
            </w:pPr>
            <w:r w:rsidRPr="00657E8C">
              <w:t>0</w:t>
            </w:r>
          </w:p>
        </w:tc>
        <w:tc>
          <w:tcPr>
            <w:tcW w:w="342" w:type="pct"/>
          </w:tcPr>
          <w:p w14:paraId="34FFC44B" w14:textId="77777777" w:rsidR="00D043ED" w:rsidRPr="00657E8C" w:rsidRDefault="00D043ED" w:rsidP="00E620C7">
            <w:pPr>
              <w:pStyle w:val="ARtabletextright"/>
            </w:pPr>
            <w:r w:rsidRPr="00657E8C">
              <w:t>0</w:t>
            </w:r>
          </w:p>
        </w:tc>
        <w:tc>
          <w:tcPr>
            <w:tcW w:w="416" w:type="pct"/>
          </w:tcPr>
          <w:p w14:paraId="531A3E67" w14:textId="77777777" w:rsidR="00D043ED" w:rsidRPr="00657E8C" w:rsidRDefault="00D043ED" w:rsidP="00E620C7">
            <w:pPr>
              <w:pStyle w:val="ARtabletextright"/>
            </w:pPr>
            <w:r w:rsidRPr="00657E8C">
              <w:t>4</w:t>
            </w:r>
          </w:p>
        </w:tc>
        <w:tc>
          <w:tcPr>
            <w:tcW w:w="214" w:type="pct"/>
          </w:tcPr>
          <w:p w14:paraId="30D8DA93" w14:textId="77777777" w:rsidR="00D043ED" w:rsidRPr="00657E8C" w:rsidRDefault="00D043ED" w:rsidP="00E620C7">
            <w:pPr>
              <w:pStyle w:val="ARtabletextright"/>
            </w:pPr>
            <w:r w:rsidRPr="00657E8C">
              <w:t>4</w:t>
            </w:r>
          </w:p>
        </w:tc>
        <w:tc>
          <w:tcPr>
            <w:tcW w:w="417" w:type="pct"/>
          </w:tcPr>
          <w:p w14:paraId="0A45F520" w14:textId="77777777" w:rsidR="00D043ED" w:rsidRPr="00657E8C" w:rsidRDefault="00D043ED" w:rsidP="00E620C7">
            <w:pPr>
              <w:pStyle w:val="ARtabletextright"/>
            </w:pPr>
            <w:r w:rsidRPr="00657E8C">
              <w:t>2</w:t>
            </w:r>
          </w:p>
        </w:tc>
        <w:tc>
          <w:tcPr>
            <w:tcW w:w="417" w:type="pct"/>
          </w:tcPr>
          <w:p w14:paraId="38D9772F" w14:textId="77777777" w:rsidR="00D043ED" w:rsidRPr="00657E8C" w:rsidRDefault="00D043ED" w:rsidP="00E620C7">
            <w:pPr>
              <w:pStyle w:val="ARtabletextright"/>
            </w:pPr>
            <w:r w:rsidRPr="00657E8C">
              <w:t>0</w:t>
            </w:r>
          </w:p>
        </w:tc>
        <w:tc>
          <w:tcPr>
            <w:tcW w:w="178" w:type="pct"/>
          </w:tcPr>
          <w:p w14:paraId="09BE2683" w14:textId="77777777" w:rsidR="00D043ED" w:rsidRPr="00657E8C" w:rsidRDefault="00D043ED" w:rsidP="00E620C7">
            <w:pPr>
              <w:pStyle w:val="ARtabletextright"/>
            </w:pPr>
            <w:r w:rsidRPr="00657E8C">
              <w:t>2</w:t>
            </w:r>
          </w:p>
        </w:tc>
        <w:tc>
          <w:tcPr>
            <w:tcW w:w="417" w:type="pct"/>
          </w:tcPr>
          <w:p w14:paraId="5ED81A4C" w14:textId="77777777" w:rsidR="00D043ED" w:rsidRPr="00657E8C" w:rsidRDefault="00D043ED" w:rsidP="00E620C7">
            <w:pPr>
              <w:pStyle w:val="ARtabletextright"/>
            </w:pPr>
            <w:r w:rsidRPr="00657E8C">
              <w:t>2</w:t>
            </w:r>
          </w:p>
        </w:tc>
        <w:tc>
          <w:tcPr>
            <w:tcW w:w="174" w:type="pct"/>
          </w:tcPr>
          <w:p w14:paraId="2375C3FB" w14:textId="77777777" w:rsidR="00D043ED" w:rsidRPr="00657E8C" w:rsidRDefault="00D043ED" w:rsidP="00E620C7">
            <w:pPr>
              <w:pStyle w:val="ARtabletextright"/>
            </w:pPr>
            <w:r w:rsidRPr="00657E8C">
              <w:t>2</w:t>
            </w:r>
          </w:p>
        </w:tc>
      </w:tr>
      <w:tr w:rsidR="00F16145" w:rsidRPr="00657E8C" w14:paraId="2FD5AFAB" w14:textId="77777777" w:rsidTr="00CA5D44">
        <w:tc>
          <w:tcPr>
            <w:tcW w:w="382" w:type="pct"/>
          </w:tcPr>
          <w:p w14:paraId="3CED8B36" w14:textId="77777777" w:rsidR="00D043ED" w:rsidRPr="00657E8C" w:rsidRDefault="00D043ED" w:rsidP="00E620C7">
            <w:pPr>
              <w:pStyle w:val="ARtabletext"/>
            </w:pPr>
            <w:r w:rsidRPr="00657E8C">
              <w:t>25</w:t>
            </w:r>
            <w:r>
              <w:t>–</w:t>
            </w:r>
            <w:r w:rsidRPr="00657E8C">
              <w:t>34</w:t>
            </w:r>
          </w:p>
        </w:tc>
        <w:tc>
          <w:tcPr>
            <w:tcW w:w="416" w:type="pct"/>
          </w:tcPr>
          <w:p w14:paraId="0002587C" w14:textId="77777777" w:rsidR="00D043ED" w:rsidRPr="00657E8C" w:rsidRDefault="00D043ED" w:rsidP="00E620C7">
            <w:pPr>
              <w:pStyle w:val="ARtabletextright"/>
            </w:pPr>
            <w:r w:rsidRPr="00657E8C">
              <w:t>34</w:t>
            </w:r>
          </w:p>
        </w:tc>
        <w:tc>
          <w:tcPr>
            <w:tcW w:w="200" w:type="pct"/>
          </w:tcPr>
          <w:p w14:paraId="7509338F" w14:textId="77777777" w:rsidR="00D043ED" w:rsidRPr="00657E8C" w:rsidRDefault="00D043ED" w:rsidP="00E620C7">
            <w:pPr>
              <w:pStyle w:val="ARtabletextright"/>
            </w:pPr>
            <w:r w:rsidRPr="00657E8C">
              <w:t>33</w:t>
            </w:r>
          </w:p>
        </w:tc>
        <w:tc>
          <w:tcPr>
            <w:tcW w:w="416" w:type="pct"/>
          </w:tcPr>
          <w:p w14:paraId="7D0BDCB9" w14:textId="77777777" w:rsidR="00D043ED" w:rsidRPr="00657E8C" w:rsidRDefault="00D043ED" w:rsidP="00E620C7">
            <w:pPr>
              <w:pStyle w:val="ARtabletextright"/>
            </w:pPr>
            <w:r w:rsidRPr="00657E8C">
              <w:t>21</w:t>
            </w:r>
          </w:p>
        </w:tc>
        <w:tc>
          <w:tcPr>
            <w:tcW w:w="416" w:type="pct"/>
          </w:tcPr>
          <w:p w14:paraId="4B1FA2DD" w14:textId="77777777" w:rsidR="00D043ED" w:rsidRPr="00657E8C" w:rsidRDefault="00D043ED" w:rsidP="00E620C7">
            <w:pPr>
              <w:pStyle w:val="ARtabletextright"/>
            </w:pPr>
            <w:r w:rsidRPr="00657E8C">
              <w:t>2</w:t>
            </w:r>
          </w:p>
        </w:tc>
        <w:tc>
          <w:tcPr>
            <w:tcW w:w="179" w:type="pct"/>
          </w:tcPr>
          <w:p w14:paraId="17B7C34B" w14:textId="77777777" w:rsidR="00D043ED" w:rsidRPr="00657E8C" w:rsidRDefault="00D043ED" w:rsidP="00E620C7">
            <w:pPr>
              <w:pStyle w:val="ARtabletextright"/>
            </w:pPr>
            <w:r w:rsidRPr="00657E8C">
              <w:t>22.2</w:t>
            </w:r>
          </w:p>
        </w:tc>
        <w:tc>
          <w:tcPr>
            <w:tcW w:w="416" w:type="pct"/>
          </w:tcPr>
          <w:p w14:paraId="7FCBC0E6" w14:textId="77777777" w:rsidR="00D043ED" w:rsidRPr="00657E8C" w:rsidRDefault="00D043ED" w:rsidP="00E620C7">
            <w:pPr>
              <w:pStyle w:val="ARtabletextright"/>
            </w:pPr>
            <w:r w:rsidRPr="00657E8C">
              <w:t>11</w:t>
            </w:r>
          </w:p>
        </w:tc>
        <w:tc>
          <w:tcPr>
            <w:tcW w:w="342" w:type="pct"/>
          </w:tcPr>
          <w:p w14:paraId="46B441A6" w14:textId="77777777" w:rsidR="00D043ED" w:rsidRPr="00657E8C" w:rsidRDefault="00D043ED" w:rsidP="00E620C7">
            <w:pPr>
              <w:pStyle w:val="ARtabletextright"/>
            </w:pPr>
            <w:r w:rsidRPr="00657E8C">
              <w:t>10.8</w:t>
            </w:r>
          </w:p>
        </w:tc>
        <w:tc>
          <w:tcPr>
            <w:tcW w:w="416" w:type="pct"/>
          </w:tcPr>
          <w:p w14:paraId="0C474E28" w14:textId="77777777" w:rsidR="00D043ED" w:rsidRPr="00657E8C" w:rsidRDefault="00D043ED" w:rsidP="00E620C7">
            <w:pPr>
              <w:pStyle w:val="ARtabletextright"/>
            </w:pPr>
            <w:r w:rsidRPr="00657E8C">
              <w:t>34</w:t>
            </w:r>
          </w:p>
        </w:tc>
        <w:tc>
          <w:tcPr>
            <w:tcW w:w="214" w:type="pct"/>
          </w:tcPr>
          <w:p w14:paraId="268E07A2" w14:textId="77777777" w:rsidR="00D043ED" w:rsidRPr="00657E8C" w:rsidRDefault="00D043ED" w:rsidP="00E620C7">
            <w:pPr>
              <w:pStyle w:val="ARtabletextright"/>
            </w:pPr>
            <w:r w:rsidRPr="00657E8C">
              <w:t>32.6</w:t>
            </w:r>
          </w:p>
        </w:tc>
        <w:tc>
          <w:tcPr>
            <w:tcW w:w="417" w:type="pct"/>
          </w:tcPr>
          <w:p w14:paraId="31C7A70C" w14:textId="77777777" w:rsidR="00D043ED" w:rsidRPr="00657E8C" w:rsidRDefault="00D043ED" w:rsidP="00E620C7">
            <w:pPr>
              <w:pStyle w:val="ARtabletextright"/>
            </w:pPr>
            <w:r w:rsidRPr="00657E8C">
              <w:t>20</w:t>
            </w:r>
          </w:p>
        </w:tc>
        <w:tc>
          <w:tcPr>
            <w:tcW w:w="417" w:type="pct"/>
          </w:tcPr>
          <w:p w14:paraId="53603EFD" w14:textId="77777777" w:rsidR="00D043ED" w:rsidRPr="00657E8C" w:rsidRDefault="00D043ED" w:rsidP="00E620C7">
            <w:pPr>
              <w:pStyle w:val="ARtabletextright"/>
            </w:pPr>
            <w:r w:rsidRPr="00657E8C">
              <w:t>3</w:t>
            </w:r>
          </w:p>
        </w:tc>
        <w:tc>
          <w:tcPr>
            <w:tcW w:w="178" w:type="pct"/>
          </w:tcPr>
          <w:p w14:paraId="2E5D62A0" w14:textId="77777777" w:rsidR="00D043ED" w:rsidRPr="00657E8C" w:rsidRDefault="00D043ED" w:rsidP="00E620C7">
            <w:pPr>
              <w:pStyle w:val="ARtabletextright"/>
            </w:pPr>
            <w:r w:rsidRPr="00657E8C">
              <w:t>21.8</w:t>
            </w:r>
          </w:p>
        </w:tc>
        <w:tc>
          <w:tcPr>
            <w:tcW w:w="417" w:type="pct"/>
          </w:tcPr>
          <w:p w14:paraId="4F9D717C" w14:textId="77777777" w:rsidR="00D043ED" w:rsidRPr="00657E8C" w:rsidRDefault="00D043ED" w:rsidP="00E620C7">
            <w:pPr>
              <w:pStyle w:val="ARtabletextright"/>
            </w:pPr>
            <w:r w:rsidRPr="00657E8C">
              <w:t>11</w:t>
            </w:r>
          </w:p>
        </w:tc>
        <w:tc>
          <w:tcPr>
            <w:tcW w:w="174" w:type="pct"/>
          </w:tcPr>
          <w:p w14:paraId="66178852" w14:textId="77777777" w:rsidR="00D043ED" w:rsidRPr="00657E8C" w:rsidRDefault="00D043ED" w:rsidP="00E620C7">
            <w:pPr>
              <w:pStyle w:val="ARtabletextright"/>
            </w:pPr>
            <w:r w:rsidRPr="00657E8C">
              <w:t>10.8</w:t>
            </w:r>
          </w:p>
        </w:tc>
      </w:tr>
      <w:tr w:rsidR="00F16145" w:rsidRPr="00657E8C" w14:paraId="4FC67C28" w14:textId="77777777" w:rsidTr="00CA5D44">
        <w:tc>
          <w:tcPr>
            <w:tcW w:w="382" w:type="pct"/>
          </w:tcPr>
          <w:p w14:paraId="33C112F5" w14:textId="77777777" w:rsidR="00D043ED" w:rsidRPr="00657E8C" w:rsidRDefault="00D043ED" w:rsidP="00E620C7">
            <w:pPr>
              <w:pStyle w:val="ARtabletext"/>
            </w:pPr>
            <w:r w:rsidRPr="00657E8C">
              <w:t>35</w:t>
            </w:r>
            <w:r>
              <w:t>–</w:t>
            </w:r>
            <w:r w:rsidRPr="00657E8C">
              <w:t>44</w:t>
            </w:r>
          </w:p>
        </w:tc>
        <w:tc>
          <w:tcPr>
            <w:tcW w:w="416" w:type="pct"/>
          </w:tcPr>
          <w:p w14:paraId="110100B2" w14:textId="77777777" w:rsidR="00D043ED" w:rsidRPr="00657E8C" w:rsidRDefault="00D043ED" w:rsidP="00E620C7">
            <w:pPr>
              <w:pStyle w:val="ARtabletextright"/>
            </w:pPr>
            <w:r w:rsidRPr="00657E8C">
              <w:t>47</w:t>
            </w:r>
          </w:p>
        </w:tc>
        <w:tc>
          <w:tcPr>
            <w:tcW w:w="200" w:type="pct"/>
          </w:tcPr>
          <w:p w14:paraId="6E846F46" w14:textId="77777777" w:rsidR="00D043ED" w:rsidRPr="00657E8C" w:rsidRDefault="00D043ED" w:rsidP="00E620C7">
            <w:pPr>
              <w:pStyle w:val="ARtabletextright"/>
            </w:pPr>
            <w:r w:rsidRPr="00657E8C">
              <w:t>42.4</w:t>
            </w:r>
          </w:p>
        </w:tc>
        <w:tc>
          <w:tcPr>
            <w:tcW w:w="416" w:type="pct"/>
          </w:tcPr>
          <w:p w14:paraId="69ADBCA0" w14:textId="77777777" w:rsidR="00D043ED" w:rsidRPr="00657E8C" w:rsidRDefault="00D043ED" w:rsidP="00E620C7">
            <w:pPr>
              <w:pStyle w:val="ARtabletextright"/>
            </w:pPr>
            <w:r w:rsidRPr="00657E8C">
              <w:t>20</w:t>
            </w:r>
          </w:p>
        </w:tc>
        <w:tc>
          <w:tcPr>
            <w:tcW w:w="416" w:type="pct"/>
          </w:tcPr>
          <w:p w14:paraId="492A2B0E" w14:textId="77777777" w:rsidR="00D043ED" w:rsidRPr="00657E8C" w:rsidRDefault="00D043ED" w:rsidP="00E620C7">
            <w:pPr>
              <w:pStyle w:val="ARtabletextright"/>
            </w:pPr>
            <w:r w:rsidRPr="00657E8C">
              <w:t>12</w:t>
            </w:r>
          </w:p>
        </w:tc>
        <w:tc>
          <w:tcPr>
            <w:tcW w:w="179" w:type="pct"/>
          </w:tcPr>
          <w:p w14:paraId="71C28542" w14:textId="77777777" w:rsidR="00D043ED" w:rsidRPr="00657E8C" w:rsidRDefault="00D043ED" w:rsidP="00E620C7">
            <w:pPr>
              <w:pStyle w:val="ARtabletextright"/>
            </w:pPr>
            <w:r w:rsidRPr="00657E8C">
              <w:t>29.2</w:t>
            </w:r>
          </w:p>
        </w:tc>
        <w:tc>
          <w:tcPr>
            <w:tcW w:w="416" w:type="pct"/>
          </w:tcPr>
          <w:p w14:paraId="4E7F38A0" w14:textId="77777777" w:rsidR="00D043ED" w:rsidRPr="00657E8C" w:rsidRDefault="00D043ED" w:rsidP="00E620C7">
            <w:pPr>
              <w:pStyle w:val="ARtabletextright"/>
            </w:pPr>
            <w:r w:rsidRPr="00657E8C">
              <w:t>15</w:t>
            </w:r>
          </w:p>
        </w:tc>
        <w:tc>
          <w:tcPr>
            <w:tcW w:w="342" w:type="pct"/>
          </w:tcPr>
          <w:p w14:paraId="01AC3183" w14:textId="77777777" w:rsidR="00D043ED" w:rsidRPr="00657E8C" w:rsidRDefault="00D043ED" w:rsidP="00E620C7">
            <w:pPr>
              <w:pStyle w:val="ARtabletextright"/>
            </w:pPr>
            <w:r w:rsidRPr="00657E8C">
              <w:t>13.2</w:t>
            </w:r>
          </w:p>
        </w:tc>
        <w:tc>
          <w:tcPr>
            <w:tcW w:w="416" w:type="pct"/>
          </w:tcPr>
          <w:p w14:paraId="45F42AD5" w14:textId="77777777" w:rsidR="00D043ED" w:rsidRPr="00657E8C" w:rsidRDefault="00D043ED" w:rsidP="00E620C7">
            <w:pPr>
              <w:pStyle w:val="ARtabletextright"/>
            </w:pPr>
            <w:r w:rsidRPr="00657E8C">
              <w:t>29</w:t>
            </w:r>
          </w:p>
        </w:tc>
        <w:tc>
          <w:tcPr>
            <w:tcW w:w="214" w:type="pct"/>
          </w:tcPr>
          <w:p w14:paraId="431C08B8" w14:textId="77777777" w:rsidR="00D043ED" w:rsidRPr="00657E8C" w:rsidRDefault="00D043ED" w:rsidP="00E620C7">
            <w:pPr>
              <w:pStyle w:val="ARtabletextright"/>
            </w:pPr>
            <w:r w:rsidRPr="00657E8C">
              <w:t>25.2</w:t>
            </w:r>
          </w:p>
        </w:tc>
        <w:tc>
          <w:tcPr>
            <w:tcW w:w="417" w:type="pct"/>
          </w:tcPr>
          <w:p w14:paraId="2587556F" w14:textId="77777777" w:rsidR="00D043ED" w:rsidRPr="00657E8C" w:rsidRDefault="00D043ED" w:rsidP="00E620C7">
            <w:pPr>
              <w:pStyle w:val="ARtabletextright"/>
            </w:pPr>
            <w:r w:rsidRPr="00657E8C">
              <w:t>14</w:t>
            </w:r>
          </w:p>
        </w:tc>
        <w:tc>
          <w:tcPr>
            <w:tcW w:w="417" w:type="pct"/>
          </w:tcPr>
          <w:p w14:paraId="53E54DF4" w14:textId="77777777" w:rsidR="00D043ED" w:rsidRPr="00657E8C" w:rsidRDefault="00D043ED" w:rsidP="00E620C7">
            <w:pPr>
              <w:pStyle w:val="ARtabletextright"/>
            </w:pPr>
            <w:r w:rsidRPr="00657E8C">
              <w:t>9</w:t>
            </w:r>
          </w:p>
        </w:tc>
        <w:tc>
          <w:tcPr>
            <w:tcW w:w="178" w:type="pct"/>
          </w:tcPr>
          <w:p w14:paraId="1EEC602F" w14:textId="77777777" w:rsidR="00D043ED" w:rsidRPr="00657E8C" w:rsidRDefault="00D043ED" w:rsidP="00E620C7">
            <w:pPr>
              <w:pStyle w:val="ARtabletextright"/>
            </w:pPr>
            <w:r w:rsidRPr="00657E8C">
              <w:t>19.5</w:t>
            </w:r>
          </w:p>
        </w:tc>
        <w:tc>
          <w:tcPr>
            <w:tcW w:w="417" w:type="pct"/>
          </w:tcPr>
          <w:p w14:paraId="6D32BD0B" w14:textId="77777777" w:rsidR="00D043ED" w:rsidRPr="00657E8C" w:rsidRDefault="00D043ED" w:rsidP="00E620C7">
            <w:pPr>
              <w:pStyle w:val="ARtabletextright"/>
            </w:pPr>
            <w:r w:rsidRPr="00657E8C">
              <w:t>6</w:t>
            </w:r>
          </w:p>
        </w:tc>
        <w:tc>
          <w:tcPr>
            <w:tcW w:w="174" w:type="pct"/>
          </w:tcPr>
          <w:p w14:paraId="4E8B4442" w14:textId="77777777" w:rsidR="00D043ED" w:rsidRPr="00657E8C" w:rsidRDefault="00D043ED" w:rsidP="00E620C7">
            <w:pPr>
              <w:pStyle w:val="ARtabletextright"/>
            </w:pPr>
            <w:r w:rsidRPr="00657E8C">
              <w:t>5.7</w:t>
            </w:r>
          </w:p>
        </w:tc>
      </w:tr>
      <w:tr w:rsidR="00F16145" w:rsidRPr="00657E8C" w14:paraId="6E9F671B" w14:textId="77777777" w:rsidTr="00CA5D44">
        <w:tc>
          <w:tcPr>
            <w:tcW w:w="382" w:type="pct"/>
          </w:tcPr>
          <w:p w14:paraId="0C95DEC1" w14:textId="77777777" w:rsidR="00D043ED" w:rsidRPr="00657E8C" w:rsidRDefault="00D043ED" w:rsidP="00E620C7">
            <w:pPr>
              <w:pStyle w:val="ARtabletext"/>
            </w:pPr>
            <w:r w:rsidRPr="00657E8C">
              <w:t>45</w:t>
            </w:r>
            <w:r>
              <w:t>–</w:t>
            </w:r>
            <w:r w:rsidRPr="00657E8C">
              <w:t>54</w:t>
            </w:r>
          </w:p>
        </w:tc>
        <w:tc>
          <w:tcPr>
            <w:tcW w:w="416" w:type="pct"/>
          </w:tcPr>
          <w:p w14:paraId="6C8F4BE1" w14:textId="77777777" w:rsidR="00D043ED" w:rsidRPr="00657E8C" w:rsidRDefault="00D043ED" w:rsidP="00E620C7">
            <w:pPr>
              <w:pStyle w:val="ARtabletextright"/>
            </w:pPr>
            <w:r w:rsidRPr="00657E8C">
              <w:t>32</w:t>
            </w:r>
          </w:p>
        </w:tc>
        <w:tc>
          <w:tcPr>
            <w:tcW w:w="200" w:type="pct"/>
          </w:tcPr>
          <w:p w14:paraId="505EF8AA" w14:textId="77777777" w:rsidR="00D043ED" w:rsidRPr="00657E8C" w:rsidRDefault="00D043ED" w:rsidP="00E620C7">
            <w:pPr>
              <w:pStyle w:val="ARtabletextright"/>
            </w:pPr>
            <w:r w:rsidRPr="00657E8C">
              <w:t>29.3</w:t>
            </w:r>
          </w:p>
        </w:tc>
        <w:tc>
          <w:tcPr>
            <w:tcW w:w="416" w:type="pct"/>
          </w:tcPr>
          <w:p w14:paraId="66766A65" w14:textId="77777777" w:rsidR="00D043ED" w:rsidRPr="00657E8C" w:rsidRDefault="00D043ED" w:rsidP="00E620C7">
            <w:pPr>
              <w:pStyle w:val="ARtabletextright"/>
            </w:pPr>
            <w:r w:rsidRPr="00657E8C">
              <w:t>16</w:t>
            </w:r>
          </w:p>
        </w:tc>
        <w:tc>
          <w:tcPr>
            <w:tcW w:w="416" w:type="pct"/>
          </w:tcPr>
          <w:p w14:paraId="67DCA052" w14:textId="77777777" w:rsidR="00D043ED" w:rsidRPr="00657E8C" w:rsidRDefault="00D043ED" w:rsidP="00E620C7">
            <w:pPr>
              <w:pStyle w:val="ARtabletextright"/>
            </w:pPr>
            <w:r w:rsidRPr="00657E8C">
              <w:t>7</w:t>
            </w:r>
          </w:p>
        </w:tc>
        <w:tc>
          <w:tcPr>
            <w:tcW w:w="179" w:type="pct"/>
          </w:tcPr>
          <w:p w14:paraId="15FF5EC1" w14:textId="77777777" w:rsidR="00D043ED" w:rsidRPr="00657E8C" w:rsidRDefault="00D043ED" w:rsidP="00E620C7">
            <w:pPr>
              <w:pStyle w:val="ARtabletextright"/>
            </w:pPr>
            <w:r w:rsidRPr="00657E8C">
              <w:t>20.8</w:t>
            </w:r>
          </w:p>
        </w:tc>
        <w:tc>
          <w:tcPr>
            <w:tcW w:w="416" w:type="pct"/>
          </w:tcPr>
          <w:p w14:paraId="00E2DA59" w14:textId="77777777" w:rsidR="00D043ED" w:rsidRPr="00657E8C" w:rsidRDefault="00D043ED" w:rsidP="00E620C7">
            <w:pPr>
              <w:pStyle w:val="ARtabletextright"/>
            </w:pPr>
            <w:r w:rsidRPr="00657E8C">
              <w:t>9</w:t>
            </w:r>
          </w:p>
        </w:tc>
        <w:tc>
          <w:tcPr>
            <w:tcW w:w="342" w:type="pct"/>
          </w:tcPr>
          <w:p w14:paraId="19DF3FB5" w14:textId="77777777" w:rsidR="00D043ED" w:rsidRPr="00657E8C" w:rsidRDefault="00D043ED" w:rsidP="00E620C7">
            <w:pPr>
              <w:pStyle w:val="ARtabletextright"/>
            </w:pPr>
            <w:r w:rsidRPr="00657E8C">
              <w:t>8.5</w:t>
            </w:r>
          </w:p>
        </w:tc>
        <w:tc>
          <w:tcPr>
            <w:tcW w:w="416" w:type="pct"/>
          </w:tcPr>
          <w:p w14:paraId="249BBF26" w14:textId="77777777" w:rsidR="00D043ED" w:rsidRPr="00657E8C" w:rsidRDefault="00D043ED" w:rsidP="00E620C7">
            <w:pPr>
              <w:pStyle w:val="ARtabletextright"/>
            </w:pPr>
            <w:r w:rsidRPr="00657E8C">
              <w:t>22</w:t>
            </w:r>
          </w:p>
        </w:tc>
        <w:tc>
          <w:tcPr>
            <w:tcW w:w="214" w:type="pct"/>
          </w:tcPr>
          <w:p w14:paraId="0600E339" w14:textId="77777777" w:rsidR="00D043ED" w:rsidRPr="00657E8C" w:rsidRDefault="00D043ED" w:rsidP="00E620C7">
            <w:pPr>
              <w:pStyle w:val="ARtabletextright"/>
            </w:pPr>
            <w:r w:rsidRPr="00657E8C">
              <w:t>18.6</w:t>
            </w:r>
          </w:p>
        </w:tc>
        <w:tc>
          <w:tcPr>
            <w:tcW w:w="417" w:type="pct"/>
          </w:tcPr>
          <w:p w14:paraId="6B19A555" w14:textId="77777777" w:rsidR="00D043ED" w:rsidRPr="00657E8C" w:rsidRDefault="00D043ED" w:rsidP="00E620C7">
            <w:pPr>
              <w:pStyle w:val="ARtabletextright"/>
            </w:pPr>
            <w:r w:rsidRPr="00657E8C">
              <w:t>9</w:t>
            </w:r>
          </w:p>
        </w:tc>
        <w:tc>
          <w:tcPr>
            <w:tcW w:w="417" w:type="pct"/>
          </w:tcPr>
          <w:p w14:paraId="51E8A919" w14:textId="77777777" w:rsidR="00D043ED" w:rsidRPr="00657E8C" w:rsidRDefault="00D043ED" w:rsidP="00E620C7">
            <w:pPr>
              <w:pStyle w:val="ARtabletextright"/>
            </w:pPr>
            <w:r w:rsidRPr="00657E8C">
              <w:t>6</w:t>
            </w:r>
          </w:p>
        </w:tc>
        <w:tc>
          <w:tcPr>
            <w:tcW w:w="178" w:type="pct"/>
          </w:tcPr>
          <w:p w14:paraId="65AC0603" w14:textId="77777777" w:rsidR="00D043ED" w:rsidRPr="00657E8C" w:rsidRDefault="00D043ED" w:rsidP="00E620C7">
            <w:pPr>
              <w:pStyle w:val="ARtabletextright"/>
            </w:pPr>
            <w:r w:rsidRPr="00657E8C">
              <w:t>12.5</w:t>
            </w:r>
          </w:p>
        </w:tc>
        <w:tc>
          <w:tcPr>
            <w:tcW w:w="417" w:type="pct"/>
          </w:tcPr>
          <w:p w14:paraId="136F8A71" w14:textId="77777777" w:rsidR="00D043ED" w:rsidRPr="00657E8C" w:rsidRDefault="00D043ED" w:rsidP="00E620C7">
            <w:pPr>
              <w:pStyle w:val="ARtabletextright"/>
            </w:pPr>
            <w:r w:rsidRPr="00657E8C">
              <w:t>7</w:t>
            </w:r>
          </w:p>
        </w:tc>
        <w:tc>
          <w:tcPr>
            <w:tcW w:w="174" w:type="pct"/>
          </w:tcPr>
          <w:p w14:paraId="391ED35D" w14:textId="77777777" w:rsidR="00D043ED" w:rsidRPr="00657E8C" w:rsidRDefault="00D043ED" w:rsidP="00E620C7">
            <w:pPr>
              <w:pStyle w:val="ARtabletextright"/>
            </w:pPr>
            <w:r w:rsidRPr="00657E8C">
              <w:t>6.1</w:t>
            </w:r>
          </w:p>
        </w:tc>
      </w:tr>
      <w:tr w:rsidR="00F16145" w:rsidRPr="00657E8C" w14:paraId="69533C00" w14:textId="77777777" w:rsidTr="00CA5D44">
        <w:tc>
          <w:tcPr>
            <w:tcW w:w="382" w:type="pct"/>
          </w:tcPr>
          <w:p w14:paraId="74436C38" w14:textId="77777777" w:rsidR="00D043ED" w:rsidRPr="00657E8C" w:rsidRDefault="00D043ED" w:rsidP="00E620C7">
            <w:pPr>
              <w:pStyle w:val="ARtabletext"/>
            </w:pPr>
            <w:r w:rsidRPr="00657E8C">
              <w:t>55</w:t>
            </w:r>
            <w:r>
              <w:t>–</w:t>
            </w:r>
            <w:r w:rsidRPr="00657E8C">
              <w:t>64</w:t>
            </w:r>
          </w:p>
        </w:tc>
        <w:tc>
          <w:tcPr>
            <w:tcW w:w="416" w:type="pct"/>
          </w:tcPr>
          <w:p w14:paraId="599B9275" w14:textId="77777777" w:rsidR="00D043ED" w:rsidRPr="00657E8C" w:rsidRDefault="00D043ED" w:rsidP="00E620C7">
            <w:pPr>
              <w:pStyle w:val="ARtabletextright"/>
            </w:pPr>
            <w:r w:rsidRPr="00657E8C">
              <w:t>14</w:t>
            </w:r>
          </w:p>
        </w:tc>
        <w:tc>
          <w:tcPr>
            <w:tcW w:w="200" w:type="pct"/>
          </w:tcPr>
          <w:p w14:paraId="404E84EB" w14:textId="77777777" w:rsidR="00D043ED" w:rsidRPr="00657E8C" w:rsidRDefault="00D043ED" w:rsidP="00E620C7">
            <w:pPr>
              <w:pStyle w:val="ARtabletextright"/>
            </w:pPr>
            <w:r w:rsidRPr="00657E8C">
              <w:t>11.9</w:t>
            </w:r>
          </w:p>
        </w:tc>
        <w:tc>
          <w:tcPr>
            <w:tcW w:w="416" w:type="pct"/>
          </w:tcPr>
          <w:p w14:paraId="1F4E1339" w14:textId="77777777" w:rsidR="00D043ED" w:rsidRPr="00657E8C" w:rsidRDefault="00D043ED" w:rsidP="00E620C7">
            <w:pPr>
              <w:pStyle w:val="ARtabletextright"/>
            </w:pPr>
            <w:r w:rsidRPr="00657E8C">
              <w:t>4</w:t>
            </w:r>
          </w:p>
        </w:tc>
        <w:tc>
          <w:tcPr>
            <w:tcW w:w="416" w:type="pct"/>
          </w:tcPr>
          <w:p w14:paraId="1144421C" w14:textId="77777777" w:rsidR="00D043ED" w:rsidRPr="00657E8C" w:rsidRDefault="00D043ED" w:rsidP="00E620C7">
            <w:pPr>
              <w:pStyle w:val="ARtabletextright"/>
            </w:pPr>
            <w:r w:rsidRPr="00657E8C">
              <w:t>6</w:t>
            </w:r>
          </w:p>
        </w:tc>
        <w:tc>
          <w:tcPr>
            <w:tcW w:w="179" w:type="pct"/>
          </w:tcPr>
          <w:p w14:paraId="02A8DBD5" w14:textId="77777777" w:rsidR="00D043ED" w:rsidRPr="00657E8C" w:rsidRDefault="00D043ED" w:rsidP="00E620C7">
            <w:pPr>
              <w:pStyle w:val="ARtabletextright"/>
            </w:pPr>
            <w:r w:rsidRPr="00657E8C">
              <w:t>7.9</w:t>
            </w:r>
          </w:p>
        </w:tc>
        <w:tc>
          <w:tcPr>
            <w:tcW w:w="416" w:type="pct"/>
          </w:tcPr>
          <w:p w14:paraId="23061B93" w14:textId="77777777" w:rsidR="00D043ED" w:rsidRPr="00657E8C" w:rsidRDefault="00D043ED" w:rsidP="00E620C7">
            <w:pPr>
              <w:pStyle w:val="ARtabletextright"/>
            </w:pPr>
            <w:r w:rsidRPr="00657E8C">
              <w:t>4</w:t>
            </w:r>
          </w:p>
        </w:tc>
        <w:tc>
          <w:tcPr>
            <w:tcW w:w="342" w:type="pct"/>
          </w:tcPr>
          <w:p w14:paraId="3C5C9BCA" w14:textId="77777777" w:rsidR="00D043ED" w:rsidRPr="00657E8C" w:rsidRDefault="00D043ED" w:rsidP="00E620C7">
            <w:pPr>
              <w:pStyle w:val="ARtabletextright"/>
            </w:pPr>
            <w:r w:rsidRPr="00657E8C">
              <w:t>4</w:t>
            </w:r>
          </w:p>
        </w:tc>
        <w:tc>
          <w:tcPr>
            <w:tcW w:w="416" w:type="pct"/>
          </w:tcPr>
          <w:p w14:paraId="47D16681" w14:textId="77777777" w:rsidR="00D043ED" w:rsidRPr="00657E8C" w:rsidRDefault="00D043ED" w:rsidP="00E620C7">
            <w:pPr>
              <w:pStyle w:val="ARtabletextright"/>
            </w:pPr>
            <w:r w:rsidRPr="00657E8C">
              <w:t>12</w:t>
            </w:r>
          </w:p>
        </w:tc>
        <w:tc>
          <w:tcPr>
            <w:tcW w:w="214" w:type="pct"/>
          </w:tcPr>
          <w:p w14:paraId="47563FB3" w14:textId="77777777" w:rsidR="00D043ED" w:rsidRPr="00657E8C" w:rsidRDefault="00D043ED" w:rsidP="00E620C7">
            <w:pPr>
              <w:pStyle w:val="ARtabletextright"/>
            </w:pPr>
            <w:r w:rsidRPr="00657E8C">
              <w:t>9.9</w:t>
            </w:r>
          </w:p>
        </w:tc>
        <w:tc>
          <w:tcPr>
            <w:tcW w:w="417" w:type="pct"/>
          </w:tcPr>
          <w:p w14:paraId="52D691E3" w14:textId="77777777" w:rsidR="00D043ED" w:rsidRPr="00657E8C" w:rsidRDefault="00D043ED" w:rsidP="00E620C7">
            <w:pPr>
              <w:pStyle w:val="ARtabletextright"/>
            </w:pPr>
            <w:r w:rsidRPr="00657E8C">
              <w:t>5</w:t>
            </w:r>
          </w:p>
        </w:tc>
        <w:tc>
          <w:tcPr>
            <w:tcW w:w="417" w:type="pct"/>
          </w:tcPr>
          <w:p w14:paraId="0CA7A5D5" w14:textId="77777777" w:rsidR="00D043ED" w:rsidRPr="00657E8C" w:rsidRDefault="00D043ED" w:rsidP="00E620C7">
            <w:pPr>
              <w:pStyle w:val="ARtabletextright"/>
            </w:pPr>
            <w:r w:rsidRPr="00657E8C">
              <w:t>7</w:t>
            </w:r>
          </w:p>
        </w:tc>
        <w:tc>
          <w:tcPr>
            <w:tcW w:w="178" w:type="pct"/>
          </w:tcPr>
          <w:p w14:paraId="1691933B" w14:textId="77777777" w:rsidR="00D043ED" w:rsidRPr="00657E8C" w:rsidRDefault="00D043ED" w:rsidP="00E620C7">
            <w:pPr>
              <w:pStyle w:val="ARtabletextright"/>
            </w:pPr>
            <w:r w:rsidRPr="00657E8C">
              <w:t>9.9</w:t>
            </w:r>
          </w:p>
        </w:tc>
        <w:tc>
          <w:tcPr>
            <w:tcW w:w="417" w:type="pct"/>
          </w:tcPr>
          <w:p w14:paraId="69C9F069" w14:textId="77777777" w:rsidR="00D043ED" w:rsidRPr="00657E8C" w:rsidRDefault="00D043ED" w:rsidP="00E620C7">
            <w:pPr>
              <w:pStyle w:val="ARtabletextright"/>
            </w:pPr>
            <w:r w:rsidRPr="00657E8C">
              <w:t>0</w:t>
            </w:r>
          </w:p>
        </w:tc>
        <w:tc>
          <w:tcPr>
            <w:tcW w:w="174" w:type="pct"/>
          </w:tcPr>
          <w:p w14:paraId="0318CBE8" w14:textId="77777777" w:rsidR="00D043ED" w:rsidRPr="00657E8C" w:rsidRDefault="00D043ED" w:rsidP="00E620C7">
            <w:pPr>
              <w:pStyle w:val="ARtabletextright"/>
            </w:pPr>
            <w:r w:rsidRPr="00657E8C">
              <w:t>0</w:t>
            </w:r>
          </w:p>
        </w:tc>
      </w:tr>
      <w:tr w:rsidR="00F16145" w:rsidRPr="00657E8C" w14:paraId="51F18CD5" w14:textId="77777777" w:rsidTr="00CA5D44">
        <w:tc>
          <w:tcPr>
            <w:tcW w:w="382" w:type="pct"/>
          </w:tcPr>
          <w:p w14:paraId="3931B919" w14:textId="77777777" w:rsidR="00D043ED" w:rsidRPr="00657E8C" w:rsidRDefault="00D043ED" w:rsidP="00E620C7">
            <w:pPr>
              <w:pStyle w:val="ARtabletext"/>
            </w:pPr>
            <w:r w:rsidRPr="00657E8C">
              <w:t>64+</w:t>
            </w:r>
          </w:p>
        </w:tc>
        <w:tc>
          <w:tcPr>
            <w:tcW w:w="416" w:type="pct"/>
          </w:tcPr>
          <w:p w14:paraId="4396D08B" w14:textId="77777777" w:rsidR="00D043ED" w:rsidRPr="00657E8C" w:rsidRDefault="00D043ED" w:rsidP="00E620C7">
            <w:pPr>
              <w:pStyle w:val="ARtabletextright"/>
            </w:pPr>
            <w:r w:rsidRPr="00657E8C">
              <w:t>2</w:t>
            </w:r>
          </w:p>
        </w:tc>
        <w:tc>
          <w:tcPr>
            <w:tcW w:w="200" w:type="pct"/>
          </w:tcPr>
          <w:p w14:paraId="0BCB43E2" w14:textId="77777777" w:rsidR="00D043ED" w:rsidRPr="00657E8C" w:rsidRDefault="00D043ED" w:rsidP="00E620C7">
            <w:pPr>
              <w:pStyle w:val="ARtabletextright"/>
            </w:pPr>
            <w:r w:rsidRPr="00657E8C">
              <w:t>1.7</w:t>
            </w:r>
          </w:p>
        </w:tc>
        <w:tc>
          <w:tcPr>
            <w:tcW w:w="416" w:type="pct"/>
          </w:tcPr>
          <w:p w14:paraId="0FF7F159" w14:textId="77777777" w:rsidR="00D043ED" w:rsidRPr="00657E8C" w:rsidRDefault="00D043ED" w:rsidP="00E620C7">
            <w:pPr>
              <w:pStyle w:val="ARtabletextright"/>
            </w:pPr>
            <w:r w:rsidRPr="00657E8C">
              <w:t>1</w:t>
            </w:r>
          </w:p>
        </w:tc>
        <w:tc>
          <w:tcPr>
            <w:tcW w:w="416" w:type="pct"/>
          </w:tcPr>
          <w:p w14:paraId="35F2984F" w14:textId="77777777" w:rsidR="00D043ED" w:rsidRPr="00657E8C" w:rsidRDefault="00D043ED" w:rsidP="00E620C7">
            <w:pPr>
              <w:pStyle w:val="ARtabletextright"/>
            </w:pPr>
            <w:r w:rsidRPr="00657E8C">
              <w:t>1</w:t>
            </w:r>
          </w:p>
        </w:tc>
        <w:tc>
          <w:tcPr>
            <w:tcW w:w="179" w:type="pct"/>
          </w:tcPr>
          <w:p w14:paraId="36C9D249" w14:textId="77777777" w:rsidR="00D043ED" w:rsidRPr="00657E8C" w:rsidRDefault="00D043ED" w:rsidP="00E620C7">
            <w:pPr>
              <w:pStyle w:val="ARtabletextright"/>
            </w:pPr>
            <w:r w:rsidRPr="00657E8C">
              <w:t>1.7</w:t>
            </w:r>
          </w:p>
        </w:tc>
        <w:tc>
          <w:tcPr>
            <w:tcW w:w="416" w:type="pct"/>
          </w:tcPr>
          <w:p w14:paraId="77950E36" w14:textId="77777777" w:rsidR="00D043ED" w:rsidRPr="00657E8C" w:rsidRDefault="00D043ED" w:rsidP="00E620C7">
            <w:pPr>
              <w:pStyle w:val="ARtabletextright"/>
            </w:pPr>
            <w:r w:rsidRPr="00657E8C">
              <w:t>0</w:t>
            </w:r>
          </w:p>
        </w:tc>
        <w:tc>
          <w:tcPr>
            <w:tcW w:w="342" w:type="pct"/>
          </w:tcPr>
          <w:p w14:paraId="2C4F29B3" w14:textId="77777777" w:rsidR="00D043ED" w:rsidRPr="00657E8C" w:rsidRDefault="00D043ED" w:rsidP="00E620C7">
            <w:pPr>
              <w:pStyle w:val="ARtabletextright"/>
            </w:pPr>
            <w:r w:rsidRPr="00657E8C">
              <w:t>0</w:t>
            </w:r>
          </w:p>
        </w:tc>
        <w:tc>
          <w:tcPr>
            <w:tcW w:w="416" w:type="pct"/>
          </w:tcPr>
          <w:p w14:paraId="73FF8A12" w14:textId="77777777" w:rsidR="00D043ED" w:rsidRPr="00657E8C" w:rsidRDefault="00D043ED" w:rsidP="00E620C7">
            <w:pPr>
              <w:pStyle w:val="ARtabletextright"/>
            </w:pPr>
            <w:r w:rsidRPr="00657E8C">
              <w:t>0</w:t>
            </w:r>
          </w:p>
        </w:tc>
        <w:tc>
          <w:tcPr>
            <w:tcW w:w="214" w:type="pct"/>
          </w:tcPr>
          <w:p w14:paraId="2D60D0C6" w14:textId="77777777" w:rsidR="00D043ED" w:rsidRPr="00657E8C" w:rsidRDefault="00D043ED" w:rsidP="00E620C7">
            <w:pPr>
              <w:pStyle w:val="ARtabletextright"/>
            </w:pPr>
            <w:r w:rsidRPr="00657E8C">
              <w:t>0</w:t>
            </w:r>
          </w:p>
        </w:tc>
        <w:tc>
          <w:tcPr>
            <w:tcW w:w="417" w:type="pct"/>
          </w:tcPr>
          <w:p w14:paraId="7635F5B2" w14:textId="77777777" w:rsidR="00D043ED" w:rsidRPr="00657E8C" w:rsidRDefault="00D043ED" w:rsidP="00E620C7">
            <w:pPr>
              <w:pStyle w:val="ARtabletextright"/>
            </w:pPr>
            <w:r w:rsidRPr="00657E8C">
              <w:t>0</w:t>
            </w:r>
          </w:p>
        </w:tc>
        <w:tc>
          <w:tcPr>
            <w:tcW w:w="417" w:type="pct"/>
          </w:tcPr>
          <w:p w14:paraId="0F1FAF98" w14:textId="77777777" w:rsidR="00D043ED" w:rsidRPr="00657E8C" w:rsidRDefault="00D043ED" w:rsidP="00E620C7">
            <w:pPr>
              <w:pStyle w:val="ARtabletextright"/>
            </w:pPr>
            <w:r w:rsidRPr="00657E8C">
              <w:t>0</w:t>
            </w:r>
          </w:p>
        </w:tc>
        <w:tc>
          <w:tcPr>
            <w:tcW w:w="178" w:type="pct"/>
          </w:tcPr>
          <w:p w14:paraId="4DA00C7F" w14:textId="77777777" w:rsidR="00D043ED" w:rsidRPr="00657E8C" w:rsidRDefault="00D043ED" w:rsidP="00E620C7">
            <w:pPr>
              <w:pStyle w:val="ARtabletextright"/>
            </w:pPr>
            <w:r w:rsidRPr="00657E8C">
              <w:t>0</w:t>
            </w:r>
          </w:p>
        </w:tc>
        <w:tc>
          <w:tcPr>
            <w:tcW w:w="417" w:type="pct"/>
          </w:tcPr>
          <w:p w14:paraId="100C3969" w14:textId="77777777" w:rsidR="00D043ED" w:rsidRPr="00657E8C" w:rsidRDefault="00D043ED" w:rsidP="00E620C7">
            <w:pPr>
              <w:pStyle w:val="ARtabletextright"/>
            </w:pPr>
            <w:r w:rsidRPr="00657E8C">
              <w:t>0</w:t>
            </w:r>
          </w:p>
        </w:tc>
        <w:tc>
          <w:tcPr>
            <w:tcW w:w="174" w:type="pct"/>
          </w:tcPr>
          <w:p w14:paraId="40031962" w14:textId="77777777" w:rsidR="00D043ED" w:rsidRPr="00657E8C" w:rsidRDefault="00D043ED" w:rsidP="00E620C7">
            <w:pPr>
              <w:pStyle w:val="ARtabletextright"/>
            </w:pPr>
            <w:r w:rsidRPr="00657E8C">
              <w:t>0</w:t>
            </w:r>
          </w:p>
        </w:tc>
      </w:tr>
      <w:tr w:rsidR="00D043ED" w:rsidRPr="00657E8C" w14:paraId="3F2F2C4B" w14:textId="77777777" w:rsidTr="00F16145">
        <w:tc>
          <w:tcPr>
            <w:tcW w:w="5000" w:type="pct"/>
            <w:gridSpan w:val="15"/>
          </w:tcPr>
          <w:p w14:paraId="3AB4A51D" w14:textId="77777777" w:rsidR="00D043ED" w:rsidRPr="00657E8C" w:rsidRDefault="00D043ED" w:rsidP="00E620C7">
            <w:pPr>
              <w:pStyle w:val="ARtablebluebold"/>
              <w:rPr>
                <w:sz w:val="20"/>
              </w:rPr>
            </w:pPr>
            <w:r w:rsidRPr="00657E8C">
              <w:t>Classification</w:t>
            </w:r>
          </w:p>
        </w:tc>
      </w:tr>
      <w:tr w:rsidR="00F16145" w:rsidRPr="00657E8C" w14:paraId="37B24CAF" w14:textId="77777777" w:rsidTr="00CA5D44">
        <w:tc>
          <w:tcPr>
            <w:tcW w:w="382" w:type="pct"/>
          </w:tcPr>
          <w:p w14:paraId="0FC2FC29" w14:textId="77777777" w:rsidR="00D043ED" w:rsidRPr="00657E8C" w:rsidRDefault="00D043ED" w:rsidP="00E620C7">
            <w:pPr>
              <w:pStyle w:val="ARtabletext"/>
            </w:pPr>
            <w:r w:rsidRPr="00657E8C">
              <w:t>VPS 2</w:t>
            </w:r>
          </w:p>
        </w:tc>
        <w:tc>
          <w:tcPr>
            <w:tcW w:w="416" w:type="pct"/>
          </w:tcPr>
          <w:p w14:paraId="46506C3D" w14:textId="77777777" w:rsidR="00D043ED" w:rsidRPr="00657E8C" w:rsidRDefault="00D043ED" w:rsidP="00E620C7">
            <w:pPr>
              <w:pStyle w:val="ARtabletextright"/>
            </w:pPr>
            <w:r w:rsidRPr="00657E8C">
              <w:t>1</w:t>
            </w:r>
          </w:p>
        </w:tc>
        <w:tc>
          <w:tcPr>
            <w:tcW w:w="200" w:type="pct"/>
          </w:tcPr>
          <w:p w14:paraId="1655349B" w14:textId="77777777" w:rsidR="00D043ED" w:rsidRPr="00657E8C" w:rsidRDefault="00D043ED" w:rsidP="00E620C7">
            <w:pPr>
              <w:pStyle w:val="ARtabletextright"/>
            </w:pPr>
            <w:r w:rsidRPr="00657E8C">
              <w:t>1</w:t>
            </w:r>
          </w:p>
        </w:tc>
        <w:tc>
          <w:tcPr>
            <w:tcW w:w="416" w:type="pct"/>
          </w:tcPr>
          <w:p w14:paraId="5DCFECFB" w14:textId="77777777" w:rsidR="00D043ED" w:rsidRPr="00657E8C" w:rsidRDefault="00D043ED" w:rsidP="00E620C7">
            <w:pPr>
              <w:pStyle w:val="ARtabletextright"/>
            </w:pPr>
            <w:r w:rsidRPr="00657E8C">
              <w:t>1</w:t>
            </w:r>
          </w:p>
        </w:tc>
        <w:tc>
          <w:tcPr>
            <w:tcW w:w="416" w:type="pct"/>
          </w:tcPr>
          <w:p w14:paraId="0CC34EC0" w14:textId="77777777" w:rsidR="00D043ED" w:rsidRPr="00657E8C" w:rsidRDefault="00D043ED" w:rsidP="00E620C7">
            <w:pPr>
              <w:pStyle w:val="ARtabletextright"/>
            </w:pPr>
            <w:r w:rsidRPr="00657E8C">
              <w:t>0</w:t>
            </w:r>
          </w:p>
        </w:tc>
        <w:tc>
          <w:tcPr>
            <w:tcW w:w="179" w:type="pct"/>
          </w:tcPr>
          <w:p w14:paraId="3BB0CF00" w14:textId="77777777" w:rsidR="00D043ED" w:rsidRPr="00657E8C" w:rsidRDefault="00D043ED" w:rsidP="00E620C7">
            <w:pPr>
              <w:pStyle w:val="ARtabletextright"/>
            </w:pPr>
            <w:r w:rsidRPr="00657E8C">
              <w:t>1</w:t>
            </w:r>
          </w:p>
        </w:tc>
        <w:tc>
          <w:tcPr>
            <w:tcW w:w="416" w:type="pct"/>
          </w:tcPr>
          <w:p w14:paraId="09021622" w14:textId="77777777" w:rsidR="00D043ED" w:rsidRPr="00657E8C" w:rsidRDefault="00D043ED" w:rsidP="00E620C7">
            <w:pPr>
              <w:pStyle w:val="ARtabletextright"/>
            </w:pPr>
            <w:r w:rsidRPr="00657E8C">
              <w:t>0</w:t>
            </w:r>
          </w:p>
        </w:tc>
        <w:tc>
          <w:tcPr>
            <w:tcW w:w="342" w:type="pct"/>
          </w:tcPr>
          <w:p w14:paraId="3017D5BE" w14:textId="77777777" w:rsidR="00D043ED" w:rsidRPr="00657E8C" w:rsidRDefault="00D043ED" w:rsidP="00E620C7">
            <w:pPr>
              <w:pStyle w:val="ARtabletextright"/>
            </w:pPr>
            <w:r w:rsidRPr="00657E8C">
              <w:t>0</w:t>
            </w:r>
          </w:p>
        </w:tc>
        <w:tc>
          <w:tcPr>
            <w:tcW w:w="416" w:type="pct"/>
          </w:tcPr>
          <w:p w14:paraId="1D6FA721" w14:textId="77777777" w:rsidR="00D043ED" w:rsidRPr="00657E8C" w:rsidRDefault="00D043ED" w:rsidP="00E620C7">
            <w:pPr>
              <w:pStyle w:val="ARtabletextright"/>
            </w:pPr>
            <w:r w:rsidRPr="00657E8C">
              <w:t>2</w:t>
            </w:r>
          </w:p>
        </w:tc>
        <w:tc>
          <w:tcPr>
            <w:tcW w:w="214" w:type="pct"/>
          </w:tcPr>
          <w:p w14:paraId="5F6B4CF1" w14:textId="77777777" w:rsidR="00D043ED" w:rsidRPr="00657E8C" w:rsidRDefault="00D043ED" w:rsidP="00E620C7">
            <w:pPr>
              <w:pStyle w:val="ARtabletextright"/>
            </w:pPr>
            <w:r w:rsidRPr="00657E8C">
              <w:t>2</w:t>
            </w:r>
          </w:p>
        </w:tc>
        <w:tc>
          <w:tcPr>
            <w:tcW w:w="417" w:type="pct"/>
          </w:tcPr>
          <w:p w14:paraId="32739CFB" w14:textId="77777777" w:rsidR="00D043ED" w:rsidRPr="00657E8C" w:rsidRDefault="00D043ED" w:rsidP="00E620C7">
            <w:pPr>
              <w:pStyle w:val="ARtabletextright"/>
            </w:pPr>
            <w:r w:rsidRPr="00657E8C">
              <w:t>1</w:t>
            </w:r>
          </w:p>
        </w:tc>
        <w:tc>
          <w:tcPr>
            <w:tcW w:w="417" w:type="pct"/>
          </w:tcPr>
          <w:p w14:paraId="185A2473" w14:textId="77777777" w:rsidR="00D043ED" w:rsidRPr="00657E8C" w:rsidRDefault="00D043ED" w:rsidP="00E620C7">
            <w:pPr>
              <w:pStyle w:val="ARtabletextright"/>
            </w:pPr>
            <w:r w:rsidRPr="00657E8C">
              <w:t>0</w:t>
            </w:r>
          </w:p>
        </w:tc>
        <w:tc>
          <w:tcPr>
            <w:tcW w:w="178" w:type="pct"/>
          </w:tcPr>
          <w:p w14:paraId="55350C65" w14:textId="77777777" w:rsidR="00D043ED" w:rsidRPr="00657E8C" w:rsidRDefault="00D043ED" w:rsidP="00E620C7">
            <w:pPr>
              <w:pStyle w:val="ARtabletextright"/>
            </w:pPr>
            <w:r w:rsidRPr="00657E8C">
              <w:t>1</w:t>
            </w:r>
          </w:p>
        </w:tc>
        <w:tc>
          <w:tcPr>
            <w:tcW w:w="417" w:type="pct"/>
          </w:tcPr>
          <w:p w14:paraId="6F295681" w14:textId="77777777" w:rsidR="00D043ED" w:rsidRPr="00657E8C" w:rsidRDefault="00D043ED" w:rsidP="00E620C7">
            <w:pPr>
              <w:pStyle w:val="ARtabletextright"/>
            </w:pPr>
            <w:r w:rsidRPr="00657E8C">
              <w:t>1</w:t>
            </w:r>
          </w:p>
        </w:tc>
        <w:tc>
          <w:tcPr>
            <w:tcW w:w="174" w:type="pct"/>
          </w:tcPr>
          <w:p w14:paraId="1FE88E92" w14:textId="77777777" w:rsidR="00D043ED" w:rsidRPr="00657E8C" w:rsidRDefault="00D043ED" w:rsidP="00E620C7">
            <w:pPr>
              <w:pStyle w:val="ARtabletextright"/>
            </w:pPr>
            <w:r w:rsidRPr="00657E8C">
              <w:t>1</w:t>
            </w:r>
          </w:p>
        </w:tc>
      </w:tr>
      <w:tr w:rsidR="00F16145" w:rsidRPr="00657E8C" w14:paraId="248FE350" w14:textId="77777777" w:rsidTr="00CA5D44">
        <w:tc>
          <w:tcPr>
            <w:tcW w:w="382" w:type="pct"/>
          </w:tcPr>
          <w:p w14:paraId="4E34A0A7" w14:textId="77777777" w:rsidR="00D043ED" w:rsidRPr="00657E8C" w:rsidRDefault="00D043ED" w:rsidP="00E620C7">
            <w:pPr>
              <w:pStyle w:val="ARtabletext"/>
            </w:pPr>
            <w:r w:rsidRPr="00657E8C">
              <w:t>VPS 3</w:t>
            </w:r>
          </w:p>
        </w:tc>
        <w:tc>
          <w:tcPr>
            <w:tcW w:w="416" w:type="pct"/>
          </w:tcPr>
          <w:p w14:paraId="540400A8" w14:textId="77777777" w:rsidR="00D043ED" w:rsidRPr="00657E8C" w:rsidRDefault="00D043ED" w:rsidP="00E620C7">
            <w:pPr>
              <w:pStyle w:val="ARtabletextright"/>
            </w:pPr>
            <w:r w:rsidRPr="00657E8C">
              <w:t>9</w:t>
            </w:r>
          </w:p>
        </w:tc>
        <w:tc>
          <w:tcPr>
            <w:tcW w:w="200" w:type="pct"/>
          </w:tcPr>
          <w:p w14:paraId="389A0CA4" w14:textId="77777777" w:rsidR="00D043ED" w:rsidRPr="00657E8C" w:rsidRDefault="00D043ED" w:rsidP="00E620C7">
            <w:pPr>
              <w:pStyle w:val="ARtabletextright"/>
            </w:pPr>
            <w:r w:rsidRPr="00657E8C">
              <w:t>8.6</w:t>
            </w:r>
          </w:p>
        </w:tc>
        <w:tc>
          <w:tcPr>
            <w:tcW w:w="416" w:type="pct"/>
          </w:tcPr>
          <w:p w14:paraId="08E3C0BB" w14:textId="77777777" w:rsidR="00D043ED" w:rsidRPr="00657E8C" w:rsidRDefault="00D043ED" w:rsidP="00E620C7">
            <w:pPr>
              <w:pStyle w:val="ARtabletextright"/>
            </w:pPr>
            <w:r w:rsidRPr="00657E8C">
              <w:t>5</w:t>
            </w:r>
          </w:p>
        </w:tc>
        <w:tc>
          <w:tcPr>
            <w:tcW w:w="416" w:type="pct"/>
          </w:tcPr>
          <w:p w14:paraId="24656E8C" w14:textId="77777777" w:rsidR="00D043ED" w:rsidRPr="00657E8C" w:rsidRDefault="00D043ED" w:rsidP="00E620C7">
            <w:pPr>
              <w:pStyle w:val="ARtabletextright"/>
            </w:pPr>
            <w:r w:rsidRPr="00657E8C">
              <w:t>1</w:t>
            </w:r>
          </w:p>
        </w:tc>
        <w:tc>
          <w:tcPr>
            <w:tcW w:w="179" w:type="pct"/>
          </w:tcPr>
          <w:p w14:paraId="624EB591" w14:textId="77777777" w:rsidR="00D043ED" w:rsidRPr="00657E8C" w:rsidRDefault="00D043ED" w:rsidP="00E620C7">
            <w:pPr>
              <w:pStyle w:val="ARtabletextright"/>
            </w:pPr>
            <w:r w:rsidRPr="00657E8C">
              <w:t>5.6</w:t>
            </w:r>
          </w:p>
        </w:tc>
        <w:tc>
          <w:tcPr>
            <w:tcW w:w="416" w:type="pct"/>
          </w:tcPr>
          <w:p w14:paraId="00986B2C" w14:textId="77777777" w:rsidR="00D043ED" w:rsidRPr="00657E8C" w:rsidRDefault="00D043ED" w:rsidP="00E620C7">
            <w:pPr>
              <w:pStyle w:val="ARtabletextright"/>
            </w:pPr>
            <w:r w:rsidRPr="00657E8C">
              <w:t>3</w:t>
            </w:r>
          </w:p>
        </w:tc>
        <w:tc>
          <w:tcPr>
            <w:tcW w:w="342" w:type="pct"/>
          </w:tcPr>
          <w:p w14:paraId="7254353F" w14:textId="77777777" w:rsidR="00D043ED" w:rsidRPr="00657E8C" w:rsidRDefault="00D043ED" w:rsidP="00E620C7">
            <w:pPr>
              <w:pStyle w:val="ARtabletextright"/>
            </w:pPr>
            <w:r w:rsidRPr="00657E8C">
              <w:t>3</w:t>
            </w:r>
          </w:p>
        </w:tc>
        <w:tc>
          <w:tcPr>
            <w:tcW w:w="416" w:type="pct"/>
          </w:tcPr>
          <w:p w14:paraId="238BAFEB" w14:textId="77777777" w:rsidR="00D043ED" w:rsidRPr="00657E8C" w:rsidRDefault="00D043ED" w:rsidP="00E620C7">
            <w:pPr>
              <w:pStyle w:val="ARtabletextright"/>
            </w:pPr>
            <w:r w:rsidRPr="00657E8C">
              <w:t>6</w:t>
            </w:r>
          </w:p>
        </w:tc>
        <w:tc>
          <w:tcPr>
            <w:tcW w:w="214" w:type="pct"/>
          </w:tcPr>
          <w:p w14:paraId="40E89D51" w14:textId="77777777" w:rsidR="00D043ED" w:rsidRPr="00657E8C" w:rsidRDefault="00D043ED" w:rsidP="00E620C7">
            <w:pPr>
              <w:pStyle w:val="ARtabletextright"/>
            </w:pPr>
            <w:r w:rsidRPr="00657E8C">
              <w:t>5.4</w:t>
            </w:r>
          </w:p>
        </w:tc>
        <w:tc>
          <w:tcPr>
            <w:tcW w:w="417" w:type="pct"/>
          </w:tcPr>
          <w:p w14:paraId="36E80930" w14:textId="77777777" w:rsidR="00D043ED" w:rsidRPr="00657E8C" w:rsidRDefault="00D043ED" w:rsidP="00E620C7">
            <w:pPr>
              <w:pStyle w:val="ARtabletextright"/>
            </w:pPr>
            <w:r w:rsidRPr="00657E8C">
              <w:t>4</w:t>
            </w:r>
          </w:p>
        </w:tc>
        <w:tc>
          <w:tcPr>
            <w:tcW w:w="417" w:type="pct"/>
          </w:tcPr>
          <w:p w14:paraId="7EB54B54" w14:textId="77777777" w:rsidR="00D043ED" w:rsidRPr="00657E8C" w:rsidRDefault="00D043ED" w:rsidP="00E620C7">
            <w:pPr>
              <w:pStyle w:val="ARtabletextright"/>
            </w:pPr>
            <w:r w:rsidRPr="00657E8C">
              <w:t>1</w:t>
            </w:r>
          </w:p>
        </w:tc>
        <w:tc>
          <w:tcPr>
            <w:tcW w:w="178" w:type="pct"/>
          </w:tcPr>
          <w:p w14:paraId="0C17CE01" w14:textId="77777777" w:rsidR="00D043ED" w:rsidRPr="00657E8C" w:rsidRDefault="00D043ED" w:rsidP="00E620C7">
            <w:pPr>
              <w:pStyle w:val="ARtabletextright"/>
            </w:pPr>
            <w:r w:rsidRPr="00657E8C">
              <w:t>4.6</w:t>
            </w:r>
          </w:p>
        </w:tc>
        <w:tc>
          <w:tcPr>
            <w:tcW w:w="417" w:type="pct"/>
          </w:tcPr>
          <w:p w14:paraId="0846B2D7" w14:textId="77777777" w:rsidR="00D043ED" w:rsidRPr="00657E8C" w:rsidRDefault="00D043ED" w:rsidP="00E620C7">
            <w:pPr>
              <w:pStyle w:val="ARtabletextright"/>
            </w:pPr>
            <w:r w:rsidRPr="00657E8C">
              <w:t>1</w:t>
            </w:r>
          </w:p>
        </w:tc>
        <w:tc>
          <w:tcPr>
            <w:tcW w:w="174" w:type="pct"/>
          </w:tcPr>
          <w:p w14:paraId="1B47979B" w14:textId="77777777" w:rsidR="00D043ED" w:rsidRPr="00657E8C" w:rsidRDefault="00D043ED" w:rsidP="00E620C7">
            <w:pPr>
              <w:pStyle w:val="ARtabletextright"/>
            </w:pPr>
            <w:r w:rsidRPr="00657E8C">
              <w:t>0.8</w:t>
            </w:r>
          </w:p>
        </w:tc>
      </w:tr>
      <w:tr w:rsidR="00F16145" w:rsidRPr="00657E8C" w14:paraId="06BB8A0B" w14:textId="77777777" w:rsidTr="00CA5D44">
        <w:tc>
          <w:tcPr>
            <w:tcW w:w="382" w:type="pct"/>
          </w:tcPr>
          <w:p w14:paraId="3F102AE9" w14:textId="77777777" w:rsidR="00D043ED" w:rsidRPr="00657E8C" w:rsidRDefault="00D043ED" w:rsidP="00E620C7">
            <w:pPr>
              <w:pStyle w:val="ARtabletext"/>
            </w:pPr>
            <w:r w:rsidRPr="00657E8C">
              <w:t>VPS 4</w:t>
            </w:r>
          </w:p>
        </w:tc>
        <w:tc>
          <w:tcPr>
            <w:tcW w:w="416" w:type="pct"/>
          </w:tcPr>
          <w:p w14:paraId="6A4B04FC" w14:textId="77777777" w:rsidR="00D043ED" w:rsidRPr="00657E8C" w:rsidRDefault="00D043ED" w:rsidP="00E620C7">
            <w:pPr>
              <w:pStyle w:val="ARtabletextright"/>
            </w:pPr>
            <w:r w:rsidRPr="00657E8C">
              <w:t>24</w:t>
            </w:r>
          </w:p>
        </w:tc>
        <w:tc>
          <w:tcPr>
            <w:tcW w:w="200" w:type="pct"/>
          </w:tcPr>
          <w:p w14:paraId="5B0B174E" w14:textId="77777777" w:rsidR="00D043ED" w:rsidRPr="00657E8C" w:rsidRDefault="00D043ED" w:rsidP="00E620C7">
            <w:pPr>
              <w:pStyle w:val="ARtabletextright"/>
            </w:pPr>
            <w:r w:rsidRPr="00657E8C">
              <w:t>22.3</w:t>
            </w:r>
          </w:p>
        </w:tc>
        <w:tc>
          <w:tcPr>
            <w:tcW w:w="416" w:type="pct"/>
          </w:tcPr>
          <w:p w14:paraId="5389EA6B" w14:textId="77777777" w:rsidR="00D043ED" w:rsidRPr="00657E8C" w:rsidRDefault="00D043ED" w:rsidP="00E620C7">
            <w:pPr>
              <w:pStyle w:val="ARtabletextright"/>
            </w:pPr>
            <w:r w:rsidRPr="00657E8C">
              <w:t>12</w:t>
            </w:r>
          </w:p>
        </w:tc>
        <w:tc>
          <w:tcPr>
            <w:tcW w:w="416" w:type="pct"/>
          </w:tcPr>
          <w:p w14:paraId="6CF2F7F7" w14:textId="77777777" w:rsidR="00D043ED" w:rsidRPr="00657E8C" w:rsidRDefault="00D043ED" w:rsidP="00E620C7">
            <w:pPr>
              <w:pStyle w:val="ARtabletextright"/>
            </w:pPr>
            <w:r w:rsidRPr="00657E8C">
              <w:t>5</w:t>
            </w:r>
          </w:p>
        </w:tc>
        <w:tc>
          <w:tcPr>
            <w:tcW w:w="179" w:type="pct"/>
          </w:tcPr>
          <w:p w14:paraId="401FAA8D" w14:textId="77777777" w:rsidR="00D043ED" w:rsidRPr="00657E8C" w:rsidRDefault="00D043ED" w:rsidP="00E620C7">
            <w:pPr>
              <w:pStyle w:val="ARtabletextright"/>
            </w:pPr>
            <w:r w:rsidRPr="00657E8C">
              <w:t>15.5</w:t>
            </w:r>
          </w:p>
        </w:tc>
        <w:tc>
          <w:tcPr>
            <w:tcW w:w="416" w:type="pct"/>
          </w:tcPr>
          <w:p w14:paraId="19DECBC0" w14:textId="77777777" w:rsidR="00D043ED" w:rsidRPr="00657E8C" w:rsidRDefault="00D043ED" w:rsidP="00E620C7">
            <w:pPr>
              <w:pStyle w:val="ARtabletextright"/>
            </w:pPr>
            <w:r w:rsidRPr="00657E8C">
              <w:t>7</w:t>
            </w:r>
          </w:p>
        </w:tc>
        <w:tc>
          <w:tcPr>
            <w:tcW w:w="342" w:type="pct"/>
          </w:tcPr>
          <w:p w14:paraId="133B4724" w14:textId="77777777" w:rsidR="00D043ED" w:rsidRPr="00657E8C" w:rsidRDefault="00D043ED" w:rsidP="00E620C7">
            <w:pPr>
              <w:pStyle w:val="ARtabletextright"/>
            </w:pPr>
            <w:r w:rsidRPr="00657E8C">
              <w:t>6.8</w:t>
            </w:r>
          </w:p>
        </w:tc>
        <w:tc>
          <w:tcPr>
            <w:tcW w:w="416" w:type="pct"/>
          </w:tcPr>
          <w:p w14:paraId="6424E101" w14:textId="77777777" w:rsidR="00D043ED" w:rsidRPr="00657E8C" w:rsidRDefault="00D043ED" w:rsidP="00E620C7">
            <w:pPr>
              <w:pStyle w:val="ARtabletextright"/>
            </w:pPr>
            <w:r w:rsidRPr="00657E8C">
              <w:t>19</w:t>
            </w:r>
          </w:p>
        </w:tc>
        <w:tc>
          <w:tcPr>
            <w:tcW w:w="214" w:type="pct"/>
          </w:tcPr>
          <w:p w14:paraId="75D8D4A7" w14:textId="77777777" w:rsidR="00D043ED" w:rsidRPr="00657E8C" w:rsidRDefault="00D043ED" w:rsidP="00E620C7">
            <w:pPr>
              <w:pStyle w:val="ARtabletextright"/>
            </w:pPr>
            <w:r w:rsidRPr="00657E8C">
              <w:t>17</w:t>
            </w:r>
          </w:p>
        </w:tc>
        <w:tc>
          <w:tcPr>
            <w:tcW w:w="417" w:type="pct"/>
          </w:tcPr>
          <w:p w14:paraId="1A62FD16" w14:textId="77777777" w:rsidR="00D043ED" w:rsidRPr="00657E8C" w:rsidRDefault="00D043ED" w:rsidP="00E620C7">
            <w:pPr>
              <w:pStyle w:val="ARtabletextright"/>
            </w:pPr>
            <w:r w:rsidRPr="00657E8C">
              <w:t>10</w:t>
            </w:r>
          </w:p>
        </w:tc>
        <w:tc>
          <w:tcPr>
            <w:tcW w:w="417" w:type="pct"/>
          </w:tcPr>
          <w:p w14:paraId="6293F68D" w14:textId="77777777" w:rsidR="00D043ED" w:rsidRPr="00657E8C" w:rsidRDefault="00D043ED" w:rsidP="00E620C7">
            <w:pPr>
              <w:pStyle w:val="ARtabletextright"/>
            </w:pPr>
            <w:r w:rsidRPr="00657E8C">
              <w:t>5</w:t>
            </w:r>
          </w:p>
        </w:tc>
        <w:tc>
          <w:tcPr>
            <w:tcW w:w="178" w:type="pct"/>
          </w:tcPr>
          <w:p w14:paraId="61667CF3" w14:textId="77777777" w:rsidR="00D043ED" w:rsidRPr="00657E8C" w:rsidRDefault="00D043ED" w:rsidP="00E620C7">
            <w:pPr>
              <w:pStyle w:val="ARtabletextright"/>
            </w:pPr>
            <w:r w:rsidRPr="00657E8C">
              <w:t>13</w:t>
            </w:r>
          </w:p>
        </w:tc>
        <w:tc>
          <w:tcPr>
            <w:tcW w:w="417" w:type="pct"/>
          </w:tcPr>
          <w:p w14:paraId="33D46E8A" w14:textId="77777777" w:rsidR="00D043ED" w:rsidRPr="00657E8C" w:rsidRDefault="00D043ED" w:rsidP="00E620C7">
            <w:pPr>
              <w:pStyle w:val="ARtabletextright"/>
            </w:pPr>
            <w:r w:rsidRPr="00657E8C">
              <w:t>4</w:t>
            </w:r>
          </w:p>
        </w:tc>
        <w:tc>
          <w:tcPr>
            <w:tcW w:w="174" w:type="pct"/>
          </w:tcPr>
          <w:p w14:paraId="77A16C10" w14:textId="77777777" w:rsidR="00D043ED" w:rsidRPr="00657E8C" w:rsidRDefault="00D043ED" w:rsidP="00E620C7">
            <w:pPr>
              <w:pStyle w:val="ARtabletextright"/>
            </w:pPr>
            <w:r w:rsidRPr="00657E8C">
              <w:t>4</w:t>
            </w:r>
          </w:p>
        </w:tc>
      </w:tr>
      <w:tr w:rsidR="00F16145" w:rsidRPr="00657E8C" w14:paraId="080A186A" w14:textId="77777777" w:rsidTr="00CA5D44">
        <w:tc>
          <w:tcPr>
            <w:tcW w:w="382" w:type="pct"/>
          </w:tcPr>
          <w:p w14:paraId="63AB6E95" w14:textId="77777777" w:rsidR="00D043ED" w:rsidRPr="00657E8C" w:rsidRDefault="00D043ED" w:rsidP="00E620C7">
            <w:pPr>
              <w:pStyle w:val="ARtabletext"/>
            </w:pPr>
            <w:r w:rsidRPr="00657E8C">
              <w:t>VPS 5</w:t>
            </w:r>
          </w:p>
        </w:tc>
        <w:tc>
          <w:tcPr>
            <w:tcW w:w="416" w:type="pct"/>
          </w:tcPr>
          <w:p w14:paraId="42BE38E0" w14:textId="77777777" w:rsidR="00D043ED" w:rsidRPr="00657E8C" w:rsidRDefault="00D043ED" w:rsidP="00E620C7">
            <w:pPr>
              <w:pStyle w:val="ARtabletextright"/>
            </w:pPr>
            <w:r w:rsidRPr="00657E8C">
              <w:t>59</w:t>
            </w:r>
          </w:p>
        </w:tc>
        <w:tc>
          <w:tcPr>
            <w:tcW w:w="200" w:type="pct"/>
          </w:tcPr>
          <w:p w14:paraId="1698AEB0" w14:textId="77777777" w:rsidR="00D043ED" w:rsidRPr="00657E8C" w:rsidRDefault="00D043ED" w:rsidP="00E620C7">
            <w:pPr>
              <w:pStyle w:val="ARtabletextright"/>
            </w:pPr>
            <w:r w:rsidRPr="00657E8C">
              <w:t>53.8</w:t>
            </w:r>
          </w:p>
        </w:tc>
        <w:tc>
          <w:tcPr>
            <w:tcW w:w="416" w:type="pct"/>
          </w:tcPr>
          <w:p w14:paraId="7A724A16" w14:textId="77777777" w:rsidR="00D043ED" w:rsidRPr="00657E8C" w:rsidRDefault="00D043ED" w:rsidP="00E620C7">
            <w:pPr>
              <w:pStyle w:val="ARtabletextright"/>
            </w:pPr>
            <w:r w:rsidRPr="00657E8C">
              <w:t>25</w:t>
            </w:r>
          </w:p>
        </w:tc>
        <w:tc>
          <w:tcPr>
            <w:tcW w:w="416" w:type="pct"/>
          </w:tcPr>
          <w:p w14:paraId="0D911805" w14:textId="77777777" w:rsidR="00D043ED" w:rsidRPr="00657E8C" w:rsidRDefault="00D043ED" w:rsidP="00E620C7">
            <w:pPr>
              <w:pStyle w:val="ARtabletextright"/>
            </w:pPr>
            <w:r w:rsidRPr="00657E8C">
              <w:t>16</w:t>
            </w:r>
          </w:p>
        </w:tc>
        <w:tc>
          <w:tcPr>
            <w:tcW w:w="179" w:type="pct"/>
          </w:tcPr>
          <w:p w14:paraId="12532C32" w14:textId="77777777" w:rsidR="00D043ED" w:rsidRPr="00657E8C" w:rsidRDefault="00D043ED" w:rsidP="00E620C7">
            <w:pPr>
              <w:pStyle w:val="ARtabletextright"/>
            </w:pPr>
            <w:r w:rsidRPr="00657E8C">
              <w:t>36.6</w:t>
            </w:r>
          </w:p>
        </w:tc>
        <w:tc>
          <w:tcPr>
            <w:tcW w:w="416" w:type="pct"/>
          </w:tcPr>
          <w:p w14:paraId="1BD32C5E" w14:textId="77777777" w:rsidR="00D043ED" w:rsidRPr="00657E8C" w:rsidRDefault="00D043ED" w:rsidP="00E620C7">
            <w:pPr>
              <w:pStyle w:val="ARtabletextright"/>
            </w:pPr>
            <w:r w:rsidRPr="00657E8C">
              <w:t>18</w:t>
            </w:r>
          </w:p>
        </w:tc>
        <w:tc>
          <w:tcPr>
            <w:tcW w:w="342" w:type="pct"/>
          </w:tcPr>
          <w:p w14:paraId="0F59E074" w14:textId="77777777" w:rsidR="00D043ED" w:rsidRPr="00657E8C" w:rsidRDefault="00D043ED" w:rsidP="00E620C7">
            <w:pPr>
              <w:pStyle w:val="ARtabletextright"/>
            </w:pPr>
            <w:r w:rsidRPr="00657E8C">
              <w:t>17.2</w:t>
            </w:r>
          </w:p>
        </w:tc>
        <w:tc>
          <w:tcPr>
            <w:tcW w:w="416" w:type="pct"/>
          </w:tcPr>
          <w:p w14:paraId="06046E81" w14:textId="77777777" w:rsidR="00D043ED" w:rsidRPr="00657E8C" w:rsidRDefault="00D043ED" w:rsidP="00E620C7">
            <w:pPr>
              <w:pStyle w:val="ARtabletextright"/>
            </w:pPr>
            <w:r w:rsidRPr="00657E8C">
              <w:t>45</w:t>
            </w:r>
          </w:p>
        </w:tc>
        <w:tc>
          <w:tcPr>
            <w:tcW w:w="214" w:type="pct"/>
          </w:tcPr>
          <w:p w14:paraId="730FEC5A" w14:textId="77777777" w:rsidR="00D043ED" w:rsidRPr="00657E8C" w:rsidRDefault="00D043ED" w:rsidP="00E620C7">
            <w:pPr>
              <w:pStyle w:val="ARtabletextright"/>
            </w:pPr>
            <w:r w:rsidRPr="00657E8C">
              <w:t>40.1</w:t>
            </w:r>
          </w:p>
        </w:tc>
        <w:tc>
          <w:tcPr>
            <w:tcW w:w="417" w:type="pct"/>
          </w:tcPr>
          <w:p w14:paraId="44EB4051" w14:textId="77777777" w:rsidR="00D043ED" w:rsidRPr="00657E8C" w:rsidRDefault="00D043ED" w:rsidP="00E620C7">
            <w:pPr>
              <w:pStyle w:val="ARtabletextright"/>
            </w:pPr>
            <w:r w:rsidRPr="00657E8C">
              <w:t>18</w:t>
            </w:r>
          </w:p>
        </w:tc>
        <w:tc>
          <w:tcPr>
            <w:tcW w:w="417" w:type="pct"/>
          </w:tcPr>
          <w:p w14:paraId="100F3494" w14:textId="77777777" w:rsidR="00D043ED" w:rsidRPr="00657E8C" w:rsidRDefault="00D043ED" w:rsidP="00E620C7">
            <w:pPr>
              <w:pStyle w:val="ARtabletextright"/>
            </w:pPr>
            <w:r w:rsidRPr="00657E8C">
              <w:t>13</w:t>
            </w:r>
          </w:p>
        </w:tc>
        <w:tc>
          <w:tcPr>
            <w:tcW w:w="178" w:type="pct"/>
          </w:tcPr>
          <w:p w14:paraId="3260BA61" w14:textId="77777777" w:rsidR="00D043ED" w:rsidRPr="00657E8C" w:rsidRDefault="00D043ED" w:rsidP="00E620C7">
            <w:pPr>
              <w:pStyle w:val="ARtabletextright"/>
            </w:pPr>
            <w:r w:rsidRPr="00657E8C">
              <w:t>26.5</w:t>
            </w:r>
          </w:p>
        </w:tc>
        <w:tc>
          <w:tcPr>
            <w:tcW w:w="417" w:type="pct"/>
          </w:tcPr>
          <w:p w14:paraId="43DADFF3" w14:textId="77777777" w:rsidR="00D043ED" w:rsidRPr="00657E8C" w:rsidRDefault="00D043ED" w:rsidP="00E620C7">
            <w:pPr>
              <w:pStyle w:val="ARtabletextright"/>
            </w:pPr>
            <w:r w:rsidRPr="00657E8C">
              <w:t>14</w:t>
            </w:r>
          </w:p>
        </w:tc>
        <w:tc>
          <w:tcPr>
            <w:tcW w:w="174" w:type="pct"/>
          </w:tcPr>
          <w:p w14:paraId="3ECE3668" w14:textId="77777777" w:rsidR="00D043ED" w:rsidRPr="00657E8C" w:rsidRDefault="00D043ED" w:rsidP="00E620C7">
            <w:pPr>
              <w:pStyle w:val="ARtabletextright"/>
            </w:pPr>
            <w:r w:rsidRPr="00657E8C">
              <w:t>13.6</w:t>
            </w:r>
          </w:p>
        </w:tc>
      </w:tr>
      <w:tr w:rsidR="00F16145" w:rsidRPr="00657E8C" w14:paraId="030CF0E0" w14:textId="77777777" w:rsidTr="00CA5D44">
        <w:tc>
          <w:tcPr>
            <w:tcW w:w="382" w:type="pct"/>
          </w:tcPr>
          <w:p w14:paraId="06574BD1" w14:textId="77777777" w:rsidR="00D043ED" w:rsidRPr="00657E8C" w:rsidRDefault="00D043ED" w:rsidP="00E620C7">
            <w:pPr>
              <w:pStyle w:val="ARtabletext"/>
            </w:pPr>
            <w:r w:rsidRPr="00657E8C">
              <w:t>VPS 6</w:t>
            </w:r>
          </w:p>
        </w:tc>
        <w:tc>
          <w:tcPr>
            <w:tcW w:w="416" w:type="pct"/>
          </w:tcPr>
          <w:p w14:paraId="5E0431F8" w14:textId="77777777" w:rsidR="00D043ED" w:rsidRPr="00657E8C" w:rsidRDefault="00D043ED" w:rsidP="00E620C7">
            <w:pPr>
              <w:pStyle w:val="ARtabletextright"/>
            </w:pPr>
            <w:r w:rsidRPr="00657E8C">
              <w:t>31</w:t>
            </w:r>
          </w:p>
        </w:tc>
        <w:tc>
          <w:tcPr>
            <w:tcW w:w="200" w:type="pct"/>
          </w:tcPr>
          <w:p w14:paraId="61FDD4E7" w14:textId="77777777" w:rsidR="00D043ED" w:rsidRPr="00657E8C" w:rsidRDefault="00D043ED" w:rsidP="00E620C7">
            <w:pPr>
              <w:pStyle w:val="ARtabletextright"/>
            </w:pPr>
            <w:r w:rsidRPr="00657E8C">
              <w:t>28.8</w:t>
            </w:r>
          </w:p>
        </w:tc>
        <w:tc>
          <w:tcPr>
            <w:tcW w:w="416" w:type="pct"/>
          </w:tcPr>
          <w:p w14:paraId="61DD8BA4" w14:textId="77777777" w:rsidR="00D043ED" w:rsidRPr="00657E8C" w:rsidRDefault="00D043ED" w:rsidP="00E620C7">
            <w:pPr>
              <w:pStyle w:val="ARtabletextright"/>
            </w:pPr>
            <w:r w:rsidRPr="00657E8C">
              <w:t>17</w:t>
            </w:r>
          </w:p>
        </w:tc>
        <w:tc>
          <w:tcPr>
            <w:tcW w:w="416" w:type="pct"/>
          </w:tcPr>
          <w:p w14:paraId="0B42F7BC" w14:textId="77777777" w:rsidR="00D043ED" w:rsidRPr="00657E8C" w:rsidRDefault="00D043ED" w:rsidP="00E620C7">
            <w:pPr>
              <w:pStyle w:val="ARtabletextright"/>
            </w:pPr>
            <w:r w:rsidRPr="00657E8C">
              <w:t>5</w:t>
            </w:r>
          </w:p>
        </w:tc>
        <w:tc>
          <w:tcPr>
            <w:tcW w:w="179" w:type="pct"/>
          </w:tcPr>
          <w:p w14:paraId="2326A304" w14:textId="77777777" w:rsidR="00D043ED" w:rsidRPr="00657E8C" w:rsidRDefault="00D043ED" w:rsidP="00E620C7">
            <w:pPr>
              <w:pStyle w:val="ARtabletextright"/>
            </w:pPr>
            <w:r w:rsidRPr="00657E8C">
              <w:t>20.3</w:t>
            </w:r>
          </w:p>
        </w:tc>
        <w:tc>
          <w:tcPr>
            <w:tcW w:w="416" w:type="pct"/>
          </w:tcPr>
          <w:p w14:paraId="1C48A161" w14:textId="77777777" w:rsidR="00D043ED" w:rsidRPr="00657E8C" w:rsidRDefault="00D043ED" w:rsidP="00E620C7">
            <w:pPr>
              <w:pStyle w:val="ARtabletextright"/>
            </w:pPr>
            <w:r w:rsidRPr="00657E8C">
              <w:t>9</w:t>
            </w:r>
          </w:p>
        </w:tc>
        <w:tc>
          <w:tcPr>
            <w:tcW w:w="342" w:type="pct"/>
          </w:tcPr>
          <w:p w14:paraId="2963C04F" w14:textId="77777777" w:rsidR="00D043ED" w:rsidRPr="00657E8C" w:rsidRDefault="00D043ED" w:rsidP="00E620C7">
            <w:pPr>
              <w:pStyle w:val="ARtabletextright"/>
            </w:pPr>
            <w:r w:rsidRPr="00657E8C">
              <w:t>8.5</w:t>
            </w:r>
          </w:p>
        </w:tc>
        <w:tc>
          <w:tcPr>
            <w:tcW w:w="416" w:type="pct"/>
          </w:tcPr>
          <w:p w14:paraId="72D567C5" w14:textId="77777777" w:rsidR="00D043ED" w:rsidRPr="00657E8C" w:rsidRDefault="00D043ED" w:rsidP="00E620C7">
            <w:pPr>
              <w:pStyle w:val="ARtabletextright"/>
            </w:pPr>
            <w:r w:rsidRPr="00657E8C">
              <w:t>21</w:t>
            </w:r>
          </w:p>
        </w:tc>
        <w:tc>
          <w:tcPr>
            <w:tcW w:w="214" w:type="pct"/>
          </w:tcPr>
          <w:p w14:paraId="7FFADEEF" w14:textId="77777777" w:rsidR="00D043ED" w:rsidRPr="00657E8C" w:rsidRDefault="00D043ED" w:rsidP="00E620C7">
            <w:pPr>
              <w:pStyle w:val="ARtabletextright"/>
            </w:pPr>
            <w:r w:rsidRPr="00657E8C">
              <w:t>18.9</w:t>
            </w:r>
          </w:p>
        </w:tc>
        <w:tc>
          <w:tcPr>
            <w:tcW w:w="417" w:type="pct"/>
          </w:tcPr>
          <w:p w14:paraId="56476617" w14:textId="77777777" w:rsidR="00D043ED" w:rsidRPr="00657E8C" w:rsidRDefault="00D043ED" w:rsidP="00E620C7">
            <w:pPr>
              <w:pStyle w:val="ARtabletextright"/>
            </w:pPr>
            <w:r w:rsidRPr="00657E8C">
              <w:t>13</w:t>
            </w:r>
          </w:p>
        </w:tc>
        <w:tc>
          <w:tcPr>
            <w:tcW w:w="417" w:type="pct"/>
          </w:tcPr>
          <w:p w14:paraId="0C247685" w14:textId="77777777" w:rsidR="00D043ED" w:rsidRPr="00657E8C" w:rsidRDefault="00D043ED" w:rsidP="00E620C7">
            <w:pPr>
              <w:pStyle w:val="ARtabletextright"/>
            </w:pPr>
            <w:r w:rsidRPr="00657E8C">
              <w:t>4</w:t>
            </w:r>
          </w:p>
        </w:tc>
        <w:tc>
          <w:tcPr>
            <w:tcW w:w="178" w:type="pct"/>
          </w:tcPr>
          <w:p w14:paraId="6DE390F3" w14:textId="77777777" w:rsidR="00D043ED" w:rsidRPr="00657E8C" w:rsidRDefault="00D043ED" w:rsidP="00E620C7">
            <w:pPr>
              <w:pStyle w:val="ARtabletextright"/>
            </w:pPr>
            <w:r w:rsidRPr="00657E8C">
              <w:t>15.2</w:t>
            </w:r>
          </w:p>
        </w:tc>
        <w:tc>
          <w:tcPr>
            <w:tcW w:w="417" w:type="pct"/>
          </w:tcPr>
          <w:p w14:paraId="4E3CA2CD" w14:textId="77777777" w:rsidR="00D043ED" w:rsidRPr="00657E8C" w:rsidRDefault="00D043ED" w:rsidP="00E620C7">
            <w:pPr>
              <w:pStyle w:val="ARtabletextright"/>
            </w:pPr>
            <w:r w:rsidRPr="00657E8C">
              <w:t>4</w:t>
            </w:r>
          </w:p>
        </w:tc>
        <w:tc>
          <w:tcPr>
            <w:tcW w:w="174" w:type="pct"/>
          </w:tcPr>
          <w:p w14:paraId="073E7B4D" w14:textId="77777777" w:rsidR="00D043ED" w:rsidRPr="00657E8C" w:rsidRDefault="00D043ED" w:rsidP="00E620C7">
            <w:pPr>
              <w:pStyle w:val="ARtabletextright"/>
            </w:pPr>
            <w:r w:rsidRPr="00657E8C">
              <w:t>3.7</w:t>
            </w:r>
          </w:p>
        </w:tc>
      </w:tr>
      <w:tr w:rsidR="00F16145" w:rsidRPr="00657E8C" w14:paraId="078C9733" w14:textId="77777777" w:rsidTr="00CA5D44">
        <w:tc>
          <w:tcPr>
            <w:tcW w:w="382" w:type="pct"/>
          </w:tcPr>
          <w:p w14:paraId="228161D2" w14:textId="77777777" w:rsidR="00D043ED" w:rsidRPr="00657E8C" w:rsidRDefault="00D043ED" w:rsidP="00E620C7">
            <w:pPr>
              <w:pStyle w:val="ARtabletext"/>
            </w:pPr>
            <w:r w:rsidRPr="00657E8C">
              <w:t>SNTS</w:t>
            </w:r>
          </w:p>
        </w:tc>
        <w:tc>
          <w:tcPr>
            <w:tcW w:w="416" w:type="pct"/>
          </w:tcPr>
          <w:p w14:paraId="589281B8" w14:textId="77777777" w:rsidR="00D043ED" w:rsidRPr="00657E8C" w:rsidRDefault="00D043ED" w:rsidP="00E620C7">
            <w:pPr>
              <w:pStyle w:val="ARtabletextright"/>
            </w:pPr>
            <w:r w:rsidRPr="00657E8C">
              <w:t>1</w:t>
            </w:r>
          </w:p>
        </w:tc>
        <w:tc>
          <w:tcPr>
            <w:tcW w:w="200" w:type="pct"/>
          </w:tcPr>
          <w:p w14:paraId="078744D1" w14:textId="77777777" w:rsidR="00D043ED" w:rsidRPr="00657E8C" w:rsidRDefault="00D043ED" w:rsidP="00E620C7">
            <w:pPr>
              <w:pStyle w:val="ARtabletextright"/>
            </w:pPr>
            <w:r w:rsidRPr="00657E8C">
              <w:t>0.5</w:t>
            </w:r>
          </w:p>
        </w:tc>
        <w:tc>
          <w:tcPr>
            <w:tcW w:w="416" w:type="pct"/>
          </w:tcPr>
          <w:p w14:paraId="6B67B8A6" w14:textId="77777777" w:rsidR="00D043ED" w:rsidRPr="00657E8C" w:rsidRDefault="00D043ED" w:rsidP="00E620C7">
            <w:pPr>
              <w:pStyle w:val="ARtabletextright"/>
            </w:pPr>
            <w:r w:rsidRPr="00657E8C">
              <w:t>0</w:t>
            </w:r>
          </w:p>
        </w:tc>
        <w:tc>
          <w:tcPr>
            <w:tcW w:w="416" w:type="pct"/>
          </w:tcPr>
          <w:p w14:paraId="0523B763" w14:textId="77777777" w:rsidR="00D043ED" w:rsidRPr="00657E8C" w:rsidRDefault="00D043ED" w:rsidP="00E620C7">
            <w:pPr>
              <w:pStyle w:val="ARtabletextright"/>
            </w:pPr>
            <w:r w:rsidRPr="00657E8C">
              <w:t>0</w:t>
            </w:r>
          </w:p>
        </w:tc>
        <w:tc>
          <w:tcPr>
            <w:tcW w:w="179" w:type="pct"/>
          </w:tcPr>
          <w:p w14:paraId="463F06D7" w14:textId="77777777" w:rsidR="00D043ED" w:rsidRPr="00657E8C" w:rsidRDefault="00D043ED" w:rsidP="00E620C7">
            <w:pPr>
              <w:pStyle w:val="ARtabletextright"/>
            </w:pPr>
            <w:r w:rsidRPr="00657E8C">
              <w:t>0</w:t>
            </w:r>
          </w:p>
        </w:tc>
        <w:tc>
          <w:tcPr>
            <w:tcW w:w="416" w:type="pct"/>
          </w:tcPr>
          <w:p w14:paraId="7AF63095" w14:textId="77777777" w:rsidR="00D043ED" w:rsidRPr="00657E8C" w:rsidRDefault="00D043ED" w:rsidP="00E620C7">
            <w:pPr>
              <w:pStyle w:val="ARtabletextright"/>
            </w:pPr>
            <w:r w:rsidRPr="00657E8C">
              <w:t>1</w:t>
            </w:r>
          </w:p>
        </w:tc>
        <w:tc>
          <w:tcPr>
            <w:tcW w:w="342" w:type="pct"/>
          </w:tcPr>
          <w:p w14:paraId="51B2B319" w14:textId="77777777" w:rsidR="00D043ED" w:rsidRPr="00657E8C" w:rsidRDefault="00D043ED" w:rsidP="00E620C7">
            <w:pPr>
              <w:pStyle w:val="ARtabletextright"/>
            </w:pPr>
            <w:r w:rsidRPr="00657E8C">
              <w:t>0.5</w:t>
            </w:r>
          </w:p>
        </w:tc>
        <w:tc>
          <w:tcPr>
            <w:tcW w:w="416" w:type="pct"/>
          </w:tcPr>
          <w:p w14:paraId="4F8DA05F" w14:textId="77777777" w:rsidR="00D043ED" w:rsidRPr="00657E8C" w:rsidRDefault="00D043ED" w:rsidP="00E620C7">
            <w:pPr>
              <w:pStyle w:val="ARtabletextright"/>
            </w:pPr>
            <w:r w:rsidRPr="00657E8C">
              <w:t>0</w:t>
            </w:r>
          </w:p>
        </w:tc>
        <w:tc>
          <w:tcPr>
            <w:tcW w:w="214" w:type="pct"/>
          </w:tcPr>
          <w:p w14:paraId="074E31A2" w14:textId="77777777" w:rsidR="00D043ED" w:rsidRPr="00657E8C" w:rsidRDefault="00D043ED" w:rsidP="00E620C7">
            <w:pPr>
              <w:pStyle w:val="ARtabletextright"/>
            </w:pPr>
            <w:r w:rsidRPr="00657E8C">
              <w:t>0</w:t>
            </w:r>
          </w:p>
        </w:tc>
        <w:tc>
          <w:tcPr>
            <w:tcW w:w="417" w:type="pct"/>
          </w:tcPr>
          <w:p w14:paraId="5DD2D483" w14:textId="77777777" w:rsidR="00D043ED" w:rsidRPr="00657E8C" w:rsidRDefault="00D043ED" w:rsidP="00E620C7">
            <w:pPr>
              <w:pStyle w:val="ARtabletextright"/>
            </w:pPr>
            <w:r w:rsidRPr="00657E8C">
              <w:t>0</w:t>
            </w:r>
          </w:p>
        </w:tc>
        <w:tc>
          <w:tcPr>
            <w:tcW w:w="417" w:type="pct"/>
          </w:tcPr>
          <w:p w14:paraId="7C2F9C6C" w14:textId="77777777" w:rsidR="00D043ED" w:rsidRPr="00657E8C" w:rsidRDefault="00D043ED" w:rsidP="00E620C7">
            <w:pPr>
              <w:pStyle w:val="ARtabletextright"/>
            </w:pPr>
            <w:r w:rsidRPr="00657E8C">
              <w:t>0</w:t>
            </w:r>
          </w:p>
        </w:tc>
        <w:tc>
          <w:tcPr>
            <w:tcW w:w="178" w:type="pct"/>
          </w:tcPr>
          <w:p w14:paraId="4990DE95" w14:textId="77777777" w:rsidR="00D043ED" w:rsidRPr="00657E8C" w:rsidRDefault="00D043ED" w:rsidP="00E620C7">
            <w:pPr>
              <w:pStyle w:val="ARtabletextright"/>
            </w:pPr>
            <w:r w:rsidRPr="00657E8C">
              <w:t>0</w:t>
            </w:r>
          </w:p>
        </w:tc>
        <w:tc>
          <w:tcPr>
            <w:tcW w:w="417" w:type="pct"/>
          </w:tcPr>
          <w:p w14:paraId="55B7E400" w14:textId="77777777" w:rsidR="00D043ED" w:rsidRPr="00657E8C" w:rsidRDefault="00D043ED" w:rsidP="00E620C7">
            <w:pPr>
              <w:pStyle w:val="ARtabletextright"/>
            </w:pPr>
            <w:r w:rsidRPr="00657E8C">
              <w:t>0</w:t>
            </w:r>
          </w:p>
        </w:tc>
        <w:tc>
          <w:tcPr>
            <w:tcW w:w="174" w:type="pct"/>
          </w:tcPr>
          <w:p w14:paraId="0AB2C718" w14:textId="77777777" w:rsidR="00D043ED" w:rsidRPr="00657E8C" w:rsidRDefault="00D043ED" w:rsidP="00E620C7">
            <w:pPr>
              <w:pStyle w:val="ARtabletextright"/>
            </w:pPr>
            <w:r w:rsidRPr="00657E8C">
              <w:t>0</w:t>
            </w:r>
          </w:p>
        </w:tc>
      </w:tr>
      <w:tr w:rsidR="00F16145" w:rsidRPr="00657E8C" w14:paraId="200120FB" w14:textId="77777777" w:rsidTr="00CA5D44">
        <w:tc>
          <w:tcPr>
            <w:tcW w:w="382" w:type="pct"/>
          </w:tcPr>
          <w:p w14:paraId="37912AD6" w14:textId="77777777" w:rsidR="00D043ED" w:rsidRPr="00657E8C" w:rsidRDefault="00D043ED" w:rsidP="00E620C7">
            <w:pPr>
              <w:pStyle w:val="ARtabletext"/>
            </w:pPr>
            <w:r w:rsidRPr="00657E8C">
              <w:t>SMA</w:t>
            </w:r>
          </w:p>
        </w:tc>
        <w:tc>
          <w:tcPr>
            <w:tcW w:w="416" w:type="pct"/>
          </w:tcPr>
          <w:p w14:paraId="57252D21" w14:textId="77777777" w:rsidR="00D043ED" w:rsidRPr="00657E8C" w:rsidRDefault="00D043ED" w:rsidP="00E620C7">
            <w:pPr>
              <w:pStyle w:val="ARtabletextright"/>
            </w:pPr>
            <w:r w:rsidRPr="00657E8C">
              <w:t>1</w:t>
            </w:r>
          </w:p>
        </w:tc>
        <w:tc>
          <w:tcPr>
            <w:tcW w:w="200" w:type="pct"/>
          </w:tcPr>
          <w:p w14:paraId="48413F94" w14:textId="77777777" w:rsidR="00D043ED" w:rsidRPr="00657E8C" w:rsidRDefault="00D043ED" w:rsidP="00E620C7">
            <w:pPr>
              <w:pStyle w:val="ARtabletextright"/>
            </w:pPr>
            <w:r w:rsidRPr="00657E8C">
              <w:t>0.5</w:t>
            </w:r>
          </w:p>
        </w:tc>
        <w:tc>
          <w:tcPr>
            <w:tcW w:w="416" w:type="pct"/>
          </w:tcPr>
          <w:p w14:paraId="0A30DC86" w14:textId="77777777" w:rsidR="00D043ED" w:rsidRPr="00657E8C" w:rsidRDefault="00D043ED" w:rsidP="00E620C7">
            <w:pPr>
              <w:pStyle w:val="ARtabletextright"/>
            </w:pPr>
            <w:r w:rsidRPr="00657E8C">
              <w:t>0</w:t>
            </w:r>
          </w:p>
        </w:tc>
        <w:tc>
          <w:tcPr>
            <w:tcW w:w="416" w:type="pct"/>
          </w:tcPr>
          <w:p w14:paraId="0F88A64C" w14:textId="77777777" w:rsidR="00D043ED" w:rsidRPr="00657E8C" w:rsidRDefault="00D043ED" w:rsidP="00E620C7">
            <w:pPr>
              <w:pStyle w:val="ARtabletextright"/>
            </w:pPr>
            <w:r w:rsidRPr="00657E8C">
              <w:t>0</w:t>
            </w:r>
          </w:p>
        </w:tc>
        <w:tc>
          <w:tcPr>
            <w:tcW w:w="179" w:type="pct"/>
          </w:tcPr>
          <w:p w14:paraId="08606C22" w14:textId="77777777" w:rsidR="00D043ED" w:rsidRPr="00657E8C" w:rsidRDefault="00D043ED" w:rsidP="00E620C7">
            <w:pPr>
              <w:pStyle w:val="ARtabletextright"/>
            </w:pPr>
            <w:r w:rsidRPr="00657E8C">
              <w:t>0</w:t>
            </w:r>
          </w:p>
        </w:tc>
        <w:tc>
          <w:tcPr>
            <w:tcW w:w="416" w:type="pct"/>
          </w:tcPr>
          <w:p w14:paraId="76210281" w14:textId="77777777" w:rsidR="00D043ED" w:rsidRPr="00657E8C" w:rsidRDefault="00D043ED" w:rsidP="00E620C7">
            <w:pPr>
              <w:pStyle w:val="ARtabletextright"/>
            </w:pPr>
            <w:r w:rsidRPr="00657E8C">
              <w:t>1</w:t>
            </w:r>
          </w:p>
        </w:tc>
        <w:tc>
          <w:tcPr>
            <w:tcW w:w="342" w:type="pct"/>
          </w:tcPr>
          <w:p w14:paraId="6B6A0ADE" w14:textId="77777777" w:rsidR="00D043ED" w:rsidRPr="00657E8C" w:rsidRDefault="00D043ED" w:rsidP="00E620C7">
            <w:pPr>
              <w:pStyle w:val="ARtabletextright"/>
            </w:pPr>
            <w:r w:rsidRPr="00657E8C">
              <w:t>0.5</w:t>
            </w:r>
          </w:p>
        </w:tc>
        <w:tc>
          <w:tcPr>
            <w:tcW w:w="416" w:type="pct"/>
          </w:tcPr>
          <w:p w14:paraId="5E2FD82A" w14:textId="77777777" w:rsidR="00D043ED" w:rsidRPr="00657E8C" w:rsidRDefault="00D043ED" w:rsidP="00E620C7">
            <w:pPr>
              <w:pStyle w:val="ARtabletextright"/>
            </w:pPr>
            <w:r w:rsidRPr="00657E8C">
              <w:t>2</w:t>
            </w:r>
          </w:p>
        </w:tc>
        <w:tc>
          <w:tcPr>
            <w:tcW w:w="214" w:type="pct"/>
          </w:tcPr>
          <w:p w14:paraId="6C84A44A" w14:textId="77777777" w:rsidR="00D043ED" w:rsidRPr="00657E8C" w:rsidRDefault="00D043ED" w:rsidP="00E620C7">
            <w:pPr>
              <w:pStyle w:val="ARtabletextright"/>
            </w:pPr>
            <w:r w:rsidRPr="00657E8C">
              <w:t>1.5</w:t>
            </w:r>
          </w:p>
        </w:tc>
        <w:tc>
          <w:tcPr>
            <w:tcW w:w="417" w:type="pct"/>
          </w:tcPr>
          <w:p w14:paraId="379F8D57" w14:textId="77777777" w:rsidR="00D043ED" w:rsidRPr="00657E8C" w:rsidRDefault="00D043ED" w:rsidP="00E620C7">
            <w:pPr>
              <w:pStyle w:val="ARtabletextright"/>
            </w:pPr>
            <w:r w:rsidRPr="00657E8C">
              <w:t>0</w:t>
            </w:r>
          </w:p>
        </w:tc>
        <w:tc>
          <w:tcPr>
            <w:tcW w:w="417" w:type="pct"/>
          </w:tcPr>
          <w:p w14:paraId="7EFE1027" w14:textId="77777777" w:rsidR="00D043ED" w:rsidRPr="00657E8C" w:rsidRDefault="00D043ED" w:rsidP="00E620C7">
            <w:pPr>
              <w:pStyle w:val="ARtabletextright"/>
            </w:pPr>
            <w:r w:rsidRPr="00657E8C">
              <w:t>0</w:t>
            </w:r>
          </w:p>
        </w:tc>
        <w:tc>
          <w:tcPr>
            <w:tcW w:w="178" w:type="pct"/>
          </w:tcPr>
          <w:p w14:paraId="73BEA84B" w14:textId="77777777" w:rsidR="00D043ED" w:rsidRPr="00657E8C" w:rsidRDefault="00D043ED" w:rsidP="00E620C7">
            <w:pPr>
              <w:pStyle w:val="ARtabletextright"/>
            </w:pPr>
            <w:r w:rsidRPr="00657E8C">
              <w:t>0</w:t>
            </w:r>
          </w:p>
        </w:tc>
        <w:tc>
          <w:tcPr>
            <w:tcW w:w="417" w:type="pct"/>
          </w:tcPr>
          <w:p w14:paraId="744B3676" w14:textId="77777777" w:rsidR="00D043ED" w:rsidRPr="00657E8C" w:rsidRDefault="00D043ED" w:rsidP="00E620C7">
            <w:pPr>
              <w:pStyle w:val="ARtabletextright"/>
            </w:pPr>
            <w:r w:rsidRPr="00657E8C">
              <w:t>2</w:t>
            </w:r>
          </w:p>
        </w:tc>
        <w:tc>
          <w:tcPr>
            <w:tcW w:w="174" w:type="pct"/>
          </w:tcPr>
          <w:p w14:paraId="04753865" w14:textId="77777777" w:rsidR="00D043ED" w:rsidRPr="00657E8C" w:rsidRDefault="00D043ED" w:rsidP="00E620C7">
            <w:pPr>
              <w:pStyle w:val="ARtabletextright"/>
            </w:pPr>
            <w:r w:rsidRPr="00657E8C">
              <w:t>1.5</w:t>
            </w:r>
          </w:p>
        </w:tc>
      </w:tr>
      <w:tr w:rsidR="00F16145" w:rsidRPr="00657E8C" w14:paraId="526BDB23" w14:textId="77777777" w:rsidTr="00CA5D44">
        <w:tc>
          <w:tcPr>
            <w:tcW w:w="382" w:type="pct"/>
          </w:tcPr>
          <w:p w14:paraId="665B100D" w14:textId="77777777" w:rsidR="00D043ED" w:rsidRPr="00657E8C" w:rsidRDefault="00D043ED" w:rsidP="00E620C7">
            <w:pPr>
              <w:pStyle w:val="ARtabletext"/>
            </w:pPr>
            <w:r w:rsidRPr="00657E8C">
              <w:t>Executives</w:t>
            </w:r>
          </w:p>
        </w:tc>
        <w:tc>
          <w:tcPr>
            <w:tcW w:w="416" w:type="pct"/>
          </w:tcPr>
          <w:p w14:paraId="4E83BEE1" w14:textId="77777777" w:rsidR="00D043ED" w:rsidRPr="00657E8C" w:rsidRDefault="00D043ED" w:rsidP="00E620C7">
            <w:pPr>
              <w:pStyle w:val="ARtabletextright"/>
            </w:pPr>
            <w:r w:rsidRPr="00657E8C">
              <w:t>5</w:t>
            </w:r>
          </w:p>
        </w:tc>
        <w:tc>
          <w:tcPr>
            <w:tcW w:w="200" w:type="pct"/>
          </w:tcPr>
          <w:p w14:paraId="2F3E96C1" w14:textId="77777777" w:rsidR="00D043ED" w:rsidRPr="00657E8C" w:rsidRDefault="00D043ED" w:rsidP="00E620C7">
            <w:pPr>
              <w:pStyle w:val="ARtabletextright"/>
            </w:pPr>
            <w:r w:rsidRPr="00657E8C">
              <w:t>4.8</w:t>
            </w:r>
          </w:p>
        </w:tc>
        <w:tc>
          <w:tcPr>
            <w:tcW w:w="416" w:type="pct"/>
          </w:tcPr>
          <w:p w14:paraId="0F2A3BDD" w14:textId="77777777" w:rsidR="00D043ED" w:rsidRPr="00657E8C" w:rsidRDefault="00D043ED" w:rsidP="00E620C7">
            <w:pPr>
              <w:pStyle w:val="ARtabletextright"/>
            </w:pPr>
            <w:r w:rsidRPr="00657E8C">
              <w:t>4</w:t>
            </w:r>
          </w:p>
        </w:tc>
        <w:tc>
          <w:tcPr>
            <w:tcW w:w="416" w:type="pct"/>
          </w:tcPr>
          <w:p w14:paraId="62474747" w14:textId="77777777" w:rsidR="00D043ED" w:rsidRPr="00657E8C" w:rsidRDefault="00D043ED" w:rsidP="00E620C7">
            <w:pPr>
              <w:pStyle w:val="ARtabletextright"/>
            </w:pPr>
            <w:r w:rsidRPr="00657E8C">
              <w:t>1</w:t>
            </w:r>
          </w:p>
        </w:tc>
        <w:tc>
          <w:tcPr>
            <w:tcW w:w="179" w:type="pct"/>
          </w:tcPr>
          <w:p w14:paraId="63865F42" w14:textId="77777777" w:rsidR="00D043ED" w:rsidRPr="00657E8C" w:rsidRDefault="00D043ED" w:rsidP="00E620C7">
            <w:pPr>
              <w:pStyle w:val="ARtabletextright"/>
            </w:pPr>
            <w:r w:rsidRPr="00657E8C">
              <w:t>4.8</w:t>
            </w:r>
          </w:p>
        </w:tc>
        <w:tc>
          <w:tcPr>
            <w:tcW w:w="416" w:type="pct"/>
          </w:tcPr>
          <w:p w14:paraId="35015978" w14:textId="77777777" w:rsidR="00D043ED" w:rsidRPr="00657E8C" w:rsidRDefault="00D043ED" w:rsidP="00E620C7">
            <w:pPr>
              <w:pStyle w:val="ARtabletextright"/>
            </w:pPr>
            <w:r w:rsidRPr="00657E8C">
              <w:t>0</w:t>
            </w:r>
          </w:p>
        </w:tc>
        <w:tc>
          <w:tcPr>
            <w:tcW w:w="342" w:type="pct"/>
          </w:tcPr>
          <w:p w14:paraId="0FD2190D" w14:textId="77777777" w:rsidR="00D043ED" w:rsidRPr="00657E8C" w:rsidRDefault="00D043ED" w:rsidP="00E620C7">
            <w:pPr>
              <w:pStyle w:val="ARtabletextright"/>
            </w:pPr>
            <w:r w:rsidRPr="00657E8C">
              <w:t>0</w:t>
            </w:r>
          </w:p>
        </w:tc>
        <w:tc>
          <w:tcPr>
            <w:tcW w:w="416" w:type="pct"/>
          </w:tcPr>
          <w:p w14:paraId="0A17D401" w14:textId="77777777" w:rsidR="00D043ED" w:rsidRPr="00657E8C" w:rsidRDefault="00D043ED" w:rsidP="00E620C7">
            <w:pPr>
              <w:pStyle w:val="ARtabletextright"/>
            </w:pPr>
            <w:r w:rsidRPr="00657E8C">
              <w:t>5</w:t>
            </w:r>
          </w:p>
        </w:tc>
        <w:tc>
          <w:tcPr>
            <w:tcW w:w="214" w:type="pct"/>
          </w:tcPr>
          <w:p w14:paraId="4F2CDA64" w14:textId="77777777" w:rsidR="00D043ED" w:rsidRPr="00657E8C" w:rsidRDefault="00D043ED" w:rsidP="00E620C7">
            <w:pPr>
              <w:pStyle w:val="ARtabletextright"/>
            </w:pPr>
            <w:r w:rsidRPr="00657E8C">
              <w:t>4.4</w:t>
            </w:r>
          </w:p>
        </w:tc>
        <w:tc>
          <w:tcPr>
            <w:tcW w:w="417" w:type="pct"/>
          </w:tcPr>
          <w:p w14:paraId="06C318BB" w14:textId="77777777" w:rsidR="00D043ED" w:rsidRPr="00657E8C" w:rsidRDefault="00D043ED" w:rsidP="00E620C7">
            <w:pPr>
              <w:pStyle w:val="ARtabletextright"/>
            </w:pPr>
            <w:r w:rsidRPr="00657E8C">
              <w:t>3</w:t>
            </w:r>
          </w:p>
        </w:tc>
        <w:tc>
          <w:tcPr>
            <w:tcW w:w="417" w:type="pct"/>
          </w:tcPr>
          <w:p w14:paraId="05986EB7" w14:textId="77777777" w:rsidR="00D043ED" w:rsidRPr="00657E8C" w:rsidRDefault="00D043ED" w:rsidP="00E620C7">
            <w:pPr>
              <w:pStyle w:val="ARtabletextright"/>
            </w:pPr>
            <w:r w:rsidRPr="00657E8C">
              <w:t>2</w:t>
            </w:r>
          </w:p>
        </w:tc>
        <w:tc>
          <w:tcPr>
            <w:tcW w:w="178" w:type="pct"/>
          </w:tcPr>
          <w:p w14:paraId="43DC1F79" w14:textId="77777777" w:rsidR="00D043ED" w:rsidRPr="00657E8C" w:rsidRDefault="00D043ED" w:rsidP="00E620C7">
            <w:pPr>
              <w:pStyle w:val="ARtabletextright"/>
            </w:pPr>
            <w:r w:rsidRPr="00657E8C">
              <w:t>4.4</w:t>
            </w:r>
          </w:p>
        </w:tc>
        <w:tc>
          <w:tcPr>
            <w:tcW w:w="417" w:type="pct"/>
          </w:tcPr>
          <w:p w14:paraId="6EB03940" w14:textId="77777777" w:rsidR="00D043ED" w:rsidRPr="00657E8C" w:rsidRDefault="00D043ED" w:rsidP="00E620C7">
            <w:pPr>
              <w:pStyle w:val="ARtabletextright"/>
            </w:pPr>
            <w:r w:rsidRPr="00657E8C">
              <w:t>0</w:t>
            </w:r>
          </w:p>
        </w:tc>
        <w:tc>
          <w:tcPr>
            <w:tcW w:w="174" w:type="pct"/>
          </w:tcPr>
          <w:p w14:paraId="79913359" w14:textId="77777777" w:rsidR="00D043ED" w:rsidRPr="00657E8C" w:rsidRDefault="00D043ED" w:rsidP="00E620C7">
            <w:pPr>
              <w:pStyle w:val="ARtabletextright"/>
            </w:pPr>
            <w:r w:rsidRPr="00657E8C">
              <w:t>0</w:t>
            </w:r>
          </w:p>
        </w:tc>
      </w:tr>
      <w:tr w:rsidR="00F16145" w:rsidRPr="00657E8C" w14:paraId="42175BA8" w14:textId="77777777" w:rsidTr="00CA5D44">
        <w:tc>
          <w:tcPr>
            <w:tcW w:w="382" w:type="pct"/>
          </w:tcPr>
          <w:p w14:paraId="0EC2A6A8" w14:textId="77777777" w:rsidR="00D043ED" w:rsidRPr="00657E8C" w:rsidRDefault="00D043ED" w:rsidP="00E620C7">
            <w:pPr>
              <w:pStyle w:val="ARtabletext"/>
            </w:pPr>
            <w:r w:rsidRPr="00657E8C">
              <w:t>Other</w:t>
            </w:r>
          </w:p>
        </w:tc>
        <w:tc>
          <w:tcPr>
            <w:tcW w:w="416" w:type="pct"/>
          </w:tcPr>
          <w:p w14:paraId="5C8045CF" w14:textId="77777777" w:rsidR="00D043ED" w:rsidRPr="00657E8C" w:rsidRDefault="00D043ED" w:rsidP="00E620C7">
            <w:pPr>
              <w:pStyle w:val="ARtabletextright"/>
            </w:pPr>
            <w:r w:rsidRPr="00657E8C">
              <w:t>0</w:t>
            </w:r>
          </w:p>
        </w:tc>
        <w:tc>
          <w:tcPr>
            <w:tcW w:w="200" w:type="pct"/>
          </w:tcPr>
          <w:p w14:paraId="4002FAAE" w14:textId="77777777" w:rsidR="00D043ED" w:rsidRPr="00657E8C" w:rsidRDefault="00D043ED" w:rsidP="00E620C7">
            <w:pPr>
              <w:pStyle w:val="ARtabletextright"/>
            </w:pPr>
            <w:r w:rsidRPr="00657E8C">
              <w:t>0</w:t>
            </w:r>
          </w:p>
        </w:tc>
        <w:tc>
          <w:tcPr>
            <w:tcW w:w="416" w:type="pct"/>
          </w:tcPr>
          <w:p w14:paraId="4D57AEF1" w14:textId="77777777" w:rsidR="00D043ED" w:rsidRPr="00657E8C" w:rsidRDefault="00D043ED" w:rsidP="00E620C7">
            <w:pPr>
              <w:pStyle w:val="ARtabletextright"/>
            </w:pPr>
            <w:r w:rsidRPr="00657E8C">
              <w:t>0</w:t>
            </w:r>
          </w:p>
        </w:tc>
        <w:tc>
          <w:tcPr>
            <w:tcW w:w="416" w:type="pct"/>
          </w:tcPr>
          <w:p w14:paraId="37DF2333" w14:textId="77777777" w:rsidR="00D043ED" w:rsidRPr="00657E8C" w:rsidRDefault="00D043ED" w:rsidP="00E620C7">
            <w:pPr>
              <w:pStyle w:val="ARtabletextright"/>
            </w:pPr>
            <w:r w:rsidRPr="00657E8C">
              <w:t>0</w:t>
            </w:r>
          </w:p>
        </w:tc>
        <w:tc>
          <w:tcPr>
            <w:tcW w:w="179" w:type="pct"/>
          </w:tcPr>
          <w:p w14:paraId="06563898" w14:textId="77777777" w:rsidR="00D043ED" w:rsidRPr="00657E8C" w:rsidRDefault="00D043ED" w:rsidP="00E620C7">
            <w:pPr>
              <w:pStyle w:val="ARtabletextright"/>
            </w:pPr>
            <w:r w:rsidRPr="00657E8C">
              <w:t>0</w:t>
            </w:r>
          </w:p>
        </w:tc>
        <w:tc>
          <w:tcPr>
            <w:tcW w:w="416" w:type="pct"/>
          </w:tcPr>
          <w:p w14:paraId="34C5C343" w14:textId="77777777" w:rsidR="00D043ED" w:rsidRPr="00657E8C" w:rsidRDefault="00D043ED" w:rsidP="00E620C7">
            <w:pPr>
              <w:pStyle w:val="ARtabletextright"/>
            </w:pPr>
            <w:r w:rsidRPr="00657E8C">
              <w:t>0</w:t>
            </w:r>
          </w:p>
        </w:tc>
        <w:tc>
          <w:tcPr>
            <w:tcW w:w="342" w:type="pct"/>
          </w:tcPr>
          <w:p w14:paraId="21E0A2FB" w14:textId="77777777" w:rsidR="00D043ED" w:rsidRPr="00657E8C" w:rsidRDefault="00D043ED" w:rsidP="00E620C7">
            <w:pPr>
              <w:pStyle w:val="ARtabletextright"/>
            </w:pPr>
            <w:r w:rsidRPr="00657E8C">
              <w:t>0</w:t>
            </w:r>
          </w:p>
        </w:tc>
        <w:tc>
          <w:tcPr>
            <w:tcW w:w="416" w:type="pct"/>
          </w:tcPr>
          <w:p w14:paraId="41D92F28" w14:textId="77777777" w:rsidR="00D043ED" w:rsidRPr="00657E8C" w:rsidRDefault="00D043ED" w:rsidP="00E620C7">
            <w:pPr>
              <w:pStyle w:val="ARtabletextright"/>
            </w:pPr>
            <w:r w:rsidRPr="00657E8C">
              <w:t>1</w:t>
            </w:r>
          </w:p>
        </w:tc>
        <w:tc>
          <w:tcPr>
            <w:tcW w:w="214" w:type="pct"/>
          </w:tcPr>
          <w:p w14:paraId="43F2DF4F" w14:textId="77777777" w:rsidR="00D043ED" w:rsidRPr="00657E8C" w:rsidRDefault="00D043ED" w:rsidP="00E620C7">
            <w:pPr>
              <w:pStyle w:val="ARtabletextright"/>
            </w:pPr>
            <w:r w:rsidRPr="00657E8C">
              <w:t>1</w:t>
            </w:r>
          </w:p>
        </w:tc>
        <w:tc>
          <w:tcPr>
            <w:tcW w:w="417" w:type="pct"/>
          </w:tcPr>
          <w:p w14:paraId="576DA201" w14:textId="77777777" w:rsidR="00D043ED" w:rsidRPr="00657E8C" w:rsidRDefault="00D043ED" w:rsidP="00E620C7">
            <w:pPr>
              <w:pStyle w:val="ARtabletextright"/>
            </w:pPr>
            <w:r w:rsidRPr="00657E8C">
              <w:t>1</w:t>
            </w:r>
          </w:p>
        </w:tc>
        <w:tc>
          <w:tcPr>
            <w:tcW w:w="417" w:type="pct"/>
          </w:tcPr>
          <w:p w14:paraId="23ECE512" w14:textId="77777777" w:rsidR="00D043ED" w:rsidRPr="00657E8C" w:rsidRDefault="00D043ED" w:rsidP="00E620C7">
            <w:pPr>
              <w:pStyle w:val="ARtabletextright"/>
            </w:pPr>
            <w:r w:rsidRPr="00657E8C">
              <w:t>0</w:t>
            </w:r>
          </w:p>
        </w:tc>
        <w:tc>
          <w:tcPr>
            <w:tcW w:w="178" w:type="pct"/>
          </w:tcPr>
          <w:p w14:paraId="521C9BCF" w14:textId="77777777" w:rsidR="00D043ED" w:rsidRPr="00657E8C" w:rsidRDefault="00D043ED" w:rsidP="00E620C7">
            <w:pPr>
              <w:pStyle w:val="ARtabletextright"/>
            </w:pPr>
            <w:r w:rsidRPr="00657E8C">
              <w:t>1</w:t>
            </w:r>
          </w:p>
        </w:tc>
        <w:tc>
          <w:tcPr>
            <w:tcW w:w="417" w:type="pct"/>
          </w:tcPr>
          <w:p w14:paraId="2E923DD9" w14:textId="77777777" w:rsidR="00D043ED" w:rsidRPr="00657E8C" w:rsidRDefault="00D043ED" w:rsidP="00E620C7">
            <w:pPr>
              <w:pStyle w:val="ARtabletextright"/>
            </w:pPr>
            <w:r w:rsidRPr="00657E8C">
              <w:t>0</w:t>
            </w:r>
          </w:p>
        </w:tc>
        <w:tc>
          <w:tcPr>
            <w:tcW w:w="174" w:type="pct"/>
          </w:tcPr>
          <w:p w14:paraId="3B5B8C04" w14:textId="77777777" w:rsidR="00D043ED" w:rsidRPr="00657E8C" w:rsidRDefault="00D043ED" w:rsidP="00E620C7">
            <w:pPr>
              <w:pStyle w:val="ARtabletextright"/>
            </w:pPr>
            <w:r w:rsidRPr="00657E8C">
              <w:t>0</w:t>
            </w:r>
          </w:p>
        </w:tc>
      </w:tr>
      <w:tr w:rsidR="00F16145" w:rsidRPr="00657E8C" w14:paraId="4AB15275" w14:textId="77777777" w:rsidTr="00CA5D44">
        <w:tc>
          <w:tcPr>
            <w:tcW w:w="382" w:type="pct"/>
          </w:tcPr>
          <w:p w14:paraId="15240C95" w14:textId="77777777" w:rsidR="00D043ED" w:rsidRPr="00657E8C" w:rsidRDefault="00D043ED" w:rsidP="00E620C7">
            <w:pPr>
              <w:pStyle w:val="ARtabletext"/>
              <w:rPr>
                <w:b/>
              </w:rPr>
            </w:pPr>
            <w:r w:rsidRPr="00657E8C">
              <w:rPr>
                <w:b/>
              </w:rPr>
              <w:t>Total employees</w:t>
            </w:r>
          </w:p>
        </w:tc>
        <w:tc>
          <w:tcPr>
            <w:tcW w:w="416" w:type="pct"/>
          </w:tcPr>
          <w:p w14:paraId="23036DB9" w14:textId="77777777" w:rsidR="00D043ED" w:rsidRPr="00657E8C" w:rsidRDefault="00D043ED" w:rsidP="00E620C7">
            <w:pPr>
              <w:pStyle w:val="ARtabletextrightbold"/>
            </w:pPr>
            <w:r w:rsidRPr="00657E8C">
              <w:t>131</w:t>
            </w:r>
          </w:p>
        </w:tc>
        <w:tc>
          <w:tcPr>
            <w:tcW w:w="200" w:type="pct"/>
          </w:tcPr>
          <w:p w14:paraId="55951185" w14:textId="77777777" w:rsidR="00D043ED" w:rsidRPr="00657E8C" w:rsidRDefault="00D043ED" w:rsidP="00E620C7">
            <w:pPr>
              <w:pStyle w:val="ARtabletextrightbold"/>
            </w:pPr>
            <w:r w:rsidRPr="00657E8C">
              <w:t>120.3</w:t>
            </w:r>
          </w:p>
        </w:tc>
        <w:tc>
          <w:tcPr>
            <w:tcW w:w="416" w:type="pct"/>
          </w:tcPr>
          <w:p w14:paraId="52CE07D0" w14:textId="77777777" w:rsidR="00D043ED" w:rsidRPr="00657E8C" w:rsidRDefault="00D043ED" w:rsidP="00E620C7">
            <w:pPr>
              <w:pStyle w:val="ARtabletextrightbold"/>
            </w:pPr>
            <w:r w:rsidRPr="00657E8C">
              <w:t>64</w:t>
            </w:r>
          </w:p>
        </w:tc>
        <w:tc>
          <w:tcPr>
            <w:tcW w:w="416" w:type="pct"/>
          </w:tcPr>
          <w:p w14:paraId="450E9100" w14:textId="77777777" w:rsidR="00D043ED" w:rsidRPr="00657E8C" w:rsidRDefault="00D043ED" w:rsidP="00E620C7">
            <w:pPr>
              <w:pStyle w:val="ARtabletextrightbold"/>
            </w:pPr>
            <w:r w:rsidRPr="00657E8C">
              <w:t>28</w:t>
            </w:r>
          </w:p>
        </w:tc>
        <w:tc>
          <w:tcPr>
            <w:tcW w:w="179" w:type="pct"/>
          </w:tcPr>
          <w:p w14:paraId="5ADD900E" w14:textId="77777777" w:rsidR="00D043ED" w:rsidRPr="00657E8C" w:rsidRDefault="00D043ED" w:rsidP="00E620C7">
            <w:pPr>
              <w:pStyle w:val="ARtabletextrightbold"/>
            </w:pPr>
            <w:r w:rsidRPr="00657E8C">
              <w:t>83.8</w:t>
            </w:r>
          </w:p>
        </w:tc>
        <w:tc>
          <w:tcPr>
            <w:tcW w:w="416" w:type="pct"/>
          </w:tcPr>
          <w:p w14:paraId="00EC47E0" w14:textId="77777777" w:rsidR="00D043ED" w:rsidRPr="00657E8C" w:rsidRDefault="00D043ED" w:rsidP="00E620C7">
            <w:pPr>
              <w:pStyle w:val="ARtabletextrightbold"/>
            </w:pPr>
            <w:r w:rsidRPr="00657E8C">
              <w:t>39</w:t>
            </w:r>
          </w:p>
        </w:tc>
        <w:tc>
          <w:tcPr>
            <w:tcW w:w="342" w:type="pct"/>
          </w:tcPr>
          <w:p w14:paraId="038E073D" w14:textId="77777777" w:rsidR="00D043ED" w:rsidRPr="00657E8C" w:rsidRDefault="00D043ED" w:rsidP="00E620C7">
            <w:pPr>
              <w:pStyle w:val="ARtabletextrightbold"/>
            </w:pPr>
            <w:r w:rsidRPr="00657E8C">
              <w:t>36.5</w:t>
            </w:r>
          </w:p>
        </w:tc>
        <w:tc>
          <w:tcPr>
            <w:tcW w:w="416" w:type="pct"/>
          </w:tcPr>
          <w:p w14:paraId="7AB85EBD" w14:textId="77777777" w:rsidR="00D043ED" w:rsidRPr="00657E8C" w:rsidRDefault="00D043ED" w:rsidP="00E620C7">
            <w:pPr>
              <w:pStyle w:val="ARtabletextrightbold"/>
            </w:pPr>
            <w:r w:rsidRPr="00657E8C">
              <w:t>101</w:t>
            </w:r>
          </w:p>
        </w:tc>
        <w:tc>
          <w:tcPr>
            <w:tcW w:w="214" w:type="pct"/>
          </w:tcPr>
          <w:p w14:paraId="0E176B1D" w14:textId="77777777" w:rsidR="00D043ED" w:rsidRPr="00657E8C" w:rsidRDefault="00D043ED" w:rsidP="00E620C7">
            <w:pPr>
              <w:pStyle w:val="ARtabletextrightbold"/>
            </w:pPr>
            <w:r w:rsidRPr="00657E8C">
              <w:t>90.3</w:t>
            </w:r>
          </w:p>
        </w:tc>
        <w:tc>
          <w:tcPr>
            <w:tcW w:w="417" w:type="pct"/>
          </w:tcPr>
          <w:p w14:paraId="3374E1B9" w14:textId="77777777" w:rsidR="00D043ED" w:rsidRPr="00657E8C" w:rsidRDefault="00D043ED" w:rsidP="00E620C7">
            <w:pPr>
              <w:pStyle w:val="ARtabletextrightbold"/>
            </w:pPr>
            <w:r w:rsidRPr="00657E8C">
              <w:t>50</w:t>
            </w:r>
          </w:p>
        </w:tc>
        <w:tc>
          <w:tcPr>
            <w:tcW w:w="417" w:type="pct"/>
          </w:tcPr>
          <w:p w14:paraId="260433CD" w14:textId="77777777" w:rsidR="00D043ED" w:rsidRPr="00657E8C" w:rsidRDefault="00D043ED" w:rsidP="00E620C7">
            <w:pPr>
              <w:pStyle w:val="ARtabletextrightbold"/>
            </w:pPr>
            <w:r w:rsidRPr="00657E8C">
              <w:t>25</w:t>
            </w:r>
          </w:p>
        </w:tc>
        <w:tc>
          <w:tcPr>
            <w:tcW w:w="178" w:type="pct"/>
          </w:tcPr>
          <w:p w14:paraId="0A43FECA" w14:textId="77777777" w:rsidR="00D043ED" w:rsidRPr="00657E8C" w:rsidRDefault="00D043ED" w:rsidP="00E620C7">
            <w:pPr>
              <w:pStyle w:val="ARtabletextrightbold"/>
            </w:pPr>
            <w:r w:rsidRPr="00657E8C">
              <w:t>65.7</w:t>
            </w:r>
          </w:p>
        </w:tc>
        <w:tc>
          <w:tcPr>
            <w:tcW w:w="417" w:type="pct"/>
          </w:tcPr>
          <w:p w14:paraId="6D925183" w14:textId="77777777" w:rsidR="00D043ED" w:rsidRPr="00657E8C" w:rsidRDefault="00D043ED" w:rsidP="00E620C7">
            <w:pPr>
              <w:pStyle w:val="ARtabletextrightbold"/>
            </w:pPr>
            <w:r w:rsidRPr="00657E8C">
              <w:t>26</w:t>
            </w:r>
          </w:p>
        </w:tc>
        <w:tc>
          <w:tcPr>
            <w:tcW w:w="174" w:type="pct"/>
          </w:tcPr>
          <w:p w14:paraId="214E0F65" w14:textId="77777777" w:rsidR="00D043ED" w:rsidRPr="00657E8C" w:rsidRDefault="00D043ED" w:rsidP="00E620C7">
            <w:pPr>
              <w:pStyle w:val="ARtabletextrightbold"/>
            </w:pPr>
            <w:r w:rsidRPr="00657E8C">
              <w:t>24.6</w:t>
            </w:r>
          </w:p>
        </w:tc>
      </w:tr>
    </w:tbl>
    <w:bookmarkEnd w:id="133"/>
    <w:p w14:paraId="46EBE640" w14:textId="77777777" w:rsidR="008D124E" w:rsidRDefault="00F17551" w:rsidP="00F17551">
      <w:pPr>
        <w:pStyle w:val="ARtablefootnote"/>
        <w:rPr>
          <w:rFonts w:eastAsia="Times"/>
        </w:rPr>
      </w:pPr>
      <w:r w:rsidRPr="00657E8C">
        <w:rPr>
          <w:rFonts w:eastAsia="Times"/>
        </w:rPr>
        <w:t>Notes:</w:t>
      </w:r>
    </w:p>
    <w:p w14:paraId="59A4C962" w14:textId="77777777" w:rsidR="00CA5D44" w:rsidRDefault="00CA5D44" w:rsidP="00CA5D44">
      <w:pPr>
        <w:pStyle w:val="ARtablefootnote"/>
      </w:pPr>
      <w:r>
        <w:t>na = not available</w:t>
      </w:r>
    </w:p>
    <w:p w14:paraId="363C0914" w14:textId="27C4E0AC" w:rsidR="00F17551" w:rsidRPr="00657E8C" w:rsidRDefault="00F17551" w:rsidP="00F17551">
      <w:pPr>
        <w:pStyle w:val="ARtablefootnote"/>
        <w:rPr>
          <w:rFonts w:eastAsia="Times"/>
        </w:rPr>
      </w:pPr>
      <w:r w:rsidRPr="00657E8C">
        <w:rPr>
          <w:rFonts w:eastAsia="Times"/>
        </w:rPr>
        <w:t xml:space="preserve">Rounding errors may be present in FTE tables due to data being formatted to </w:t>
      </w:r>
      <w:r w:rsidR="001548FF">
        <w:rPr>
          <w:rFonts w:eastAsia="Times"/>
        </w:rPr>
        <w:t>one</w:t>
      </w:r>
      <w:r w:rsidR="001548FF" w:rsidRPr="00657E8C">
        <w:rPr>
          <w:rFonts w:eastAsia="Times"/>
        </w:rPr>
        <w:t xml:space="preserve"> </w:t>
      </w:r>
      <w:r w:rsidRPr="00657E8C">
        <w:rPr>
          <w:rFonts w:eastAsia="Times"/>
        </w:rPr>
        <w:t>decimal place.</w:t>
      </w:r>
    </w:p>
    <w:p w14:paraId="38351A95" w14:textId="77777777" w:rsidR="00F17551" w:rsidRPr="00657E8C" w:rsidRDefault="001548FF" w:rsidP="00F17551">
      <w:pPr>
        <w:pStyle w:val="ARtablefootnote"/>
        <w:rPr>
          <w:rFonts w:eastAsia="Times"/>
        </w:rPr>
      </w:pPr>
      <w:r>
        <w:rPr>
          <w:rFonts w:eastAsia="Times"/>
        </w:rPr>
        <w:t>‘</w:t>
      </w:r>
      <w:r w:rsidR="00F17551" w:rsidRPr="00657E8C">
        <w:rPr>
          <w:rFonts w:eastAsia="Times"/>
        </w:rPr>
        <w:t>Other</w:t>
      </w:r>
      <w:r>
        <w:rPr>
          <w:rFonts w:eastAsia="Times"/>
        </w:rPr>
        <w:t>’</w:t>
      </w:r>
      <w:r w:rsidRPr="00657E8C">
        <w:rPr>
          <w:rFonts w:eastAsia="Times"/>
        </w:rPr>
        <w:t xml:space="preserve"> </w:t>
      </w:r>
      <w:r w:rsidR="00F17551" w:rsidRPr="00657E8C">
        <w:rPr>
          <w:rFonts w:eastAsia="Times"/>
        </w:rPr>
        <w:t xml:space="preserve">classification group may include </w:t>
      </w:r>
      <w:r w:rsidRPr="00657E8C">
        <w:rPr>
          <w:rFonts w:eastAsia="Times"/>
        </w:rPr>
        <w:t>solicitors, nurses, trade assistants, scientists, external auditors</w:t>
      </w:r>
      <w:r w:rsidR="00F17551" w:rsidRPr="00657E8C">
        <w:rPr>
          <w:rFonts w:eastAsia="Times"/>
        </w:rPr>
        <w:t>.</w:t>
      </w:r>
    </w:p>
    <w:p w14:paraId="6849A98E" w14:textId="77777777" w:rsidR="00704412" w:rsidRPr="00657E8C" w:rsidRDefault="00704412" w:rsidP="00F17551">
      <w:pPr>
        <w:pStyle w:val="Heading4"/>
        <w:sectPr w:rsidR="00704412" w:rsidRPr="00657E8C" w:rsidSect="00E43D68">
          <w:footerReference w:type="even" r:id="rId118"/>
          <w:footerReference w:type="default" r:id="rId119"/>
          <w:pgSz w:w="16838" w:h="11906" w:orient="landscape" w:code="9"/>
          <w:pgMar w:top="1418" w:right="1985" w:bottom="1418" w:left="851" w:header="851" w:footer="851" w:gutter="0"/>
          <w:cols w:space="708"/>
          <w:docGrid w:linePitch="360"/>
        </w:sectPr>
      </w:pPr>
    </w:p>
    <w:p w14:paraId="6CFAAE36" w14:textId="5FF34109" w:rsidR="00F17551" w:rsidRPr="00657E8C" w:rsidRDefault="00F17551" w:rsidP="008C254A">
      <w:pPr>
        <w:pStyle w:val="Heading4"/>
        <w:spacing w:before="0"/>
      </w:pPr>
      <w:r w:rsidRPr="00657E8C">
        <w:t>Annualised total salary, by $20</w:t>
      </w:r>
      <w:r w:rsidR="001548FF">
        <w:t>,</w:t>
      </w:r>
      <w:r w:rsidRPr="00657E8C">
        <w:t xml:space="preserve">000 bands, for executives and other senior </w:t>
      </w:r>
      <w:r w:rsidRPr="00657E8C">
        <w:br/>
        <w:t>non-executive staff</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699"/>
        <w:gridCol w:w="1418"/>
        <w:gridCol w:w="1134"/>
        <w:gridCol w:w="1134"/>
        <w:gridCol w:w="1134"/>
        <w:gridCol w:w="1134"/>
        <w:gridCol w:w="992"/>
      </w:tblGrid>
      <w:tr w:rsidR="00F17551" w:rsidRPr="00657E8C" w14:paraId="4F01BDB8" w14:textId="77777777" w:rsidTr="00D458B9">
        <w:trPr>
          <w:cantSplit/>
          <w:tblHeader/>
        </w:trPr>
        <w:tc>
          <w:tcPr>
            <w:tcW w:w="1399" w:type="pct"/>
            <w:tcBorders>
              <w:top w:val="nil"/>
              <w:bottom w:val="single" w:sz="4" w:space="0" w:color="auto"/>
            </w:tcBorders>
            <w:shd w:val="clear" w:color="auto" w:fill="auto"/>
          </w:tcPr>
          <w:p w14:paraId="67FA3098" w14:textId="77777777" w:rsidR="00F17551" w:rsidRPr="00657E8C" w:rsidRDefault="00F17551" w:rsidP="00F17551">
            <w:pPr>
              <w:pStyle w:val="ARtablecolhead"/>
            </w:pPr>
            <w:r w:rsidRPr="00657E8C">
              <w:t>Income band (salary)</w:t>
            </w:r>
          </w:p>
        </w:tc>
        <w:tc>
          <w:tcPr>
            <w:tcW w:w="735" w:type="pct"/>
            <w:tcBorders>
              <w:top w:val="nil"/>
              <w:bottom w:val="single" w:sz="4" w:space="0" w:color="auto"/>
            </w:tcBorders>
            <w:shd w:val="clear" w:color="auto" w:fill="auto"/>
            <w:vAlign w:val="bottom"/>
          </w:tcPr>
          <w:p w14:paraId="0427357A" w14:textId="77777777" w:rsidR="00F17551" w:rsidRPr="00657E8C" w:rsidRDefault="00F17551" w:rsidP="00F17551">
            <w:pPr>
              <w:pStyle w:val="ARtablecolheadright"/>
            </w:pPr>
            <w:r w:rsidRPr="00657E8C">
              <w:t>Executives</w:t>
            </w:r>
          </w:p>
        </w:tc>
        <w:tc>
          <w:tcPr>
            <w:tcW w:w="588" w:type="pct"/>
            <w:tcBorders>
              <w:top w:val="nil"/>
              <w:bottom w:val="single" w:sz="4" w:space="0" w:color="auto"/>
            </w:tcBorders>
            <w:shd w:val="clear" w:color="auto" w:fill="auto"/>
            <w:vAlign w:val="bottom"/>
          </w:tcPr>
          <w:p w14:paraId="6F3B3F44" w14:textId="77777777" w:rsidR="00F17551" w:rsidRPr="00657E8C" w:rsidRDefault="00F17551" w:rsidP="00F17551">
            <w:pPr>
              <w:pStyle w:val="ARtablecolheadright"/>
            </w:pPr>
            <w:r w:rsidRPr="00657E8C">
              <w:t>STS</w:t>
            </w:r>
          </w:p>
        </w:tc>
        <w:tc>
          <w:tcPr>
            <w:tcW w:w="588" w:type="pct"/>
            <w:tcBorders>
              <w:top w:val="nil"/>
              <w:bottom w:val="single" w:sz="4" w:space="0" w:color="auto"/>
            </w:tcBorders>
            <w:shd w:val="clear" w:color="auto" w:fill="auto"/>
            <w:vAlign w:val="bottom"/>
          </w:tcPr>
          <w:p w14:paraId="4EF70B83" w14:textId="77777777" w:rsidR="00F17551" w:rsidRPr="00657E8C" w:rsidRDefault="00F17551" w:rsidP="00F17551">
            <w:pPr>
              <w:pStyle w:val="ARtablecolheadright"/>
            </w:pPr>
            <w:r w:rsidRPr="00657E8C">
              <w:t>PS</w:t>
            </w:r>
          </w:p>
        </w:tc>
        <w:tc>
          <w:tcPr>
            <w:tcW w:w="588" w:type="pct"/>
            <w:tcBorders>
              <w:top w:val="nil"/>
              <w:bottom w:val="single" w:sz="4" w:space="0" w:color="auto"/>
            </w:tcBorders>
            <w:vAlign w:val="bottom"/>
          </w:tcPr>
          <w:p w14:paraId="76818B82" w14:textId="77777777" w:rsidR="00F17551" w:rsidRPr="00657E8C" w:rsidRDefault="00F17551" w:rsidP="00F17551">
            <w:pPr>
              <w:pStyle w:val="ARtablecolheadright"/>
            </w:pPr>
            <w:r w:rsidRPr="00657E8C">
              <w:t>SMA</w:t>
            </w:r>
          </w:p>
        </w:tc>
        <w:tc>
          <w:tcPr>
            <w:tcW w:w="588" w:type="pct"/>
            <w:tcBorders>
              <w:top w:val="nil"/>
              <w:bottom w:val="single" w:sz="4" w:space="0" w:color="auto"/>
            </w:tcBorders>
            <w:vAlign w:val="bottom"/>
          </w:tcPr>
          <w:p w14:paraId="62D20225" w14:textId="77777777" w:rsidR="00F17551" w:rsidRPr="00657E8C" w:rsidRDefault="00F17551" w:rsidP="00F17551">
            <w:pPr>
              <w:pStyle w:val="ARtablecolheadright"/>
            </w:pPr>
            <w:r w:rsidRPr="00657E8C">
              <w:t>SRA</w:t>
            </w:r>
          </w:p>
        </w:tc>
        <w:tc>
          <w:tcPr>
            <w:tcW w:w="514" w:type="pct"/>
            <w:tcBorders>
              <w:top w:val="nil"/>
              <w:bottom w:val="single" w:sz="4" w:space="0" w:color="auto"/>
            </w:tcBorders>
            <w:vAlign w:val="bottom"/>
          </w:tcPr>
          <w:p w14:paraId="2DA93277" w14:textId="77777777" w:rsidR="00F17551" w:rsidRPr="00657E8C" w:rsidRDefault="00F17551" w:rsidP="00F17551">
            <w:pPr>
              <w:pStyle w:val="ARtablecolheadright"/>
            </w:pPr>
            <w:r w:rsidRPr="00657E8C">
              <w:t>Other</w:t>
            </w:r>
          </w:p>
        </w:tc>
      </w:tr>
      <w:tr w:rsidR="00F17551" w:rsidRPr="00657E8C" w14:paraId="1629D48A" w14:textId="77777777" w:rsidTr="00D458B9">
        <w:trPr>
          <w:cantSplit/>
        </w:trPr>
        <w:tc>
          <w:tcPr>
            <w:tcW w:w="1399" w:type="pct"/>
            <w:tcBorders>
              <w:top w:val="single" w:sz="4" w:space="0" w:color="auto"/>
              <w:bottom w:val="single" w:sz="4" w:space="0" w:color="auto"/>
            </w:tcBorders>
            <w:shd w:val="clear" w:color="auto" w:fill="auto"/>
          </w:tcPr>
          <w:p w14:paraId="10D8286B" w14:textId="77777777" w:rsidR="00F17551" w:rsidRPr="00657E8C" w:rsidRDefault="00F17551" w:rsidP="00F17551">
            <w:pPr>
              <w:pStyle w:val="ARtabletext"/>
            </w:pPr>
            <w:r w:rsidRPr="00657E8C">
              <w:t>&lt; $160,000</w:t>
            </w:r>
          </w:p>
        </w:tc>
        <w:tc>
          <w:tcPr>
            <w:tcW w:w="735" w:type="pct"/>
            <w:tcBorders>
              <w:top w:val="single" w:sz="4" w:space="0" w:color="auto"/>
              <w:bottom w:val="single" w:sz="4" w:space="0" w:color="auto"/>
            </w:tcBorders>
            <w:shd w:val="clear" w:color="auto" w:fill="auto"/>
          </w:tcPr>
          <w:p w14:paraId="4F934BEA"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60D42EF1"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4719B2B6"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3FE9BDD1"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0523E2A1"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4CB9FCF3" w14:textId="77777777" w:rsidR="00F17551" w:rsidRPr="00657E8C" w:rsidRDefault="00F17551" w:rsidP="00F17551">
            <w:pPr>
              <w:pStyle w:val="ARtabletextright"/>
            </w:pPr>
          </w:p>
        </w:tc>
      </w:tr>
      <w:tr w:rsidR="00F17551" w:rsidRPr="00657E8C" w14:paraId="2E0D5741" w14:textId="77777777" w:rsidTr="00D458B9">
        <w:trPr>
          <w:cantSplit/>
        </w:trPr>
        <w:tc>
          <w:tcPr>
            <w:tcW w:w="1399" w:type="pct"/>
            <w:tcBorders>
              <w:top w:val="single" w:sz="4" w:space="0" w:color="auto"/>
              <w:bottom w:val="single" w:sz="4" w:space="0" w:color="auto"/>
            </w:tcBorders>
            <w:shd w:val="clear" w:color="auto" w:fill="auto"/>
          </w:tcPr>
          <w:p w14:paraId="5DCB78F0" w14:textId="77777777" w:rsidR="00F17551" w:rsidRPr="00657E8C" w:rsidRDefault="00F17551" w:rsidP="00F17551">
            <w:pPr>
              <w:pStyle w:val="ARtabletext"/>
            </w:pPr>
            <w:r w:rsidRPr="00657E8C">
              <w:t>$160,000–$179,999</w:t>
            </w:r>
          </w:p>
        </w:tc>
        <w:tc>
          <w:tcPr>
            <w:tcW w:w="735" w:type="pct"/>
            <w:tcBorders>
              <w:top w:val="single" w:sz="4" w:space="0" w:color="auto"/>
              <w:bottom w:val="single" w:sz="4" w:space="0" w:color="auto"/>
            </w:tcBorders>
            <w:shd w:val="clear" w:color="auto" w:fill="auto"/>
          </w:tcPr>
          <w:p w14:paraId="61EB81FA" w14:textId="77777777" w:rsidR="00F17551" w:rsidRPr="00657E8C" w:rsidRDefault="00F17551" w:rsidP="00F17551">
            <w:pPr>
              <w:pStyle w:val="ARtabletextright"/>
            </w:pPr>
            <w:r w:rsidRPr="00657E8C">
              <w:t>2</w:t>
            </w:r>
          </w:p>
        </w:tc>
        <w:tc>
          <w:tcPr>
            <w:tcW w:w="588" w:type="pct"/>
            <w:tcBorders>
              <w:top w:val="single" w:sz="4" w:space="0" w:color="auto"/>
              <w:bottom w:val="single" w:sz="4" w:space="0" w:color="auto"/>
            </w:tcBorders>
            <w:shd w:val="clear" w:color="auto" w:fill="auto"/>
          </w:tcPr>
          <w:p w14:paraId="22E63827" w14:textId="77777777" w:rsidR="00F17551" w:rsidRPr="00657E8C" w:rsidRDefault="00F17551" w:rsidP="00F17551">
            <w:pPr>
              <w:pStyle w:val="ARtabletextright"/>
            </w:pPr>
            <w:r w:rsidRPr="00657E8C">
              <w:t>1</w:t>
            </w:r>
          </w:p>
        </w:tc>
        <w:tc>
          <w:tcPr>
            <w:tcW w:w="588" w:type="pct"/>
            <w:tcBorders>
              <w:top w:val="single" w:sz="4" w:space="0" w:color="auto"/>
              <w:bottom w:val="single" w:sz="4" w:space="0" w:color="auto"/>
            </w:tcBorders>
            <w:shd w:val="clear" w:color="auto" w:fill="auto"/>
          </w:tcPr>
          <w:p w14:paraId="7504EBF5"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58DD1442"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345F045D"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3C373C33" w14:textId="77777777" w:rsidR="00F17551" w:rsidRPr="00657E8C" w:rsidRDefault="00F17551" w:rsidP="00F17551">
            <w:pPr>
              <w:pStyle w:val="ARtabletextright"/>
            </w:pPr>
          </w:p>
        </w:tc>
      </w:tr>
      <w:tr w:rsidR="00F17551" w:rsidRPr="00657E8C" w14:paraId="363E3EC5" w14:textId="77777777" w:rsidTr="00D458B9">
        <w:trPr>
          <w:cantSplit/>
        </w:trPr>
        <w:tc>
          <w:tcPr>
            <w:tcW w:w="1399" w:type="pct"/>
            <w:tcBorders>
              <w:top w:val="single" w:sz="4" w:space="0" w:color="auto"/>
              <w:bottom w:val="single" w:sz="4" w:space="0" w:color="auto"/>
            </w:tcBorders>
            <w:shd w:val="clear" w:color="auto" w:fill="auto"/>
          </w:tcPr>
          <w:p w14:paraId="50D93393" w14:textId="77777777" w:rsidR="00F17551" w:rsidRPr="00657E8C" w:rsidRDefault="00F17551" w:rsidP="00F17551">
            <w:pPr>
              <w:pStyle w:val="ARtabletext"/>
            </w:pPr>
            <w:r w:rsidRPr="00657E8C">
              <w:t>$180,000–$199,999</w:t>
            </w:r>
          </w:p>
        </w:tc>
        <w:tc>
          <w:tcPr>
            <w:tcW w:w="735" w:type="pct"/>
            <w:tcBorders>
              <w:top w:val="single" w:sz="4" w:space="0" w:color="auto"/>
              <w:bottom w:val="single" w:sz="4" w:space="0" w:color="auto"/>
            </w:tcBorders>
            <w:shd w:val="clear" w:color="auto" w:fill="auto"/>
          </w:tcPr>
          <w:p w14:paraId="379C7BE0" w14:textId="77777777" w:rsidR="00F17551" w:rsidRPr="00657E8C" w:rsidRDefault="00F17551" w:rsidP="00F17551">
            <w:pPr>
              <w:pStyle w:val="ARtabletextright"/>
            </w:pPr>
            <w:r w:rsidRPr="00657E8C">
              <w:t>1</w:t>
            </w:r>
          </w:p>
        </w:tc>
        <w:tc>
          <w:tcPr>
            <w:tcW w:w="588" w:type="pct"/>
            <w:tcBorders>
              <w:top w:val="single" w:sz="4" w:space="0" w:color="auto"/>
              <w:bottom w:val="single" w:sz="4" w:space="0" w:color="auto"/>
            </w:tcBorders>
            <w:shd w:val="clear" w:color="auto" w:fill="auto"/>
          </w:tcPr>
          <w:p w14:paraId="09490251"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50EA8AE8"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50DFC9EF"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3452C5FE"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668277E3" w14:textId="77777777" w:rsidR="00F17551" w:rsidRPr="00657E8C" w:rsidRDefault="00F17551" w:rsidP="00F17551">
            <w:pPr>
              <w:pStyle w:val="ARtabletextright"/>
            </w:pPr>
          </w:p>
        </w:tc>
      </w:tr>
      <w:tr w:rsidR="00F17551" w:rsidRPr="00657E8C" w14:paraId="208E252D" w14:textId="77777777" w:rsidTr="00D458B9">
        <w:trPr>
          <w:cantSplit/>
        </w:trPr>
        <w:tc>
          <w:tcPr>
            <w:tcW w:w="1399" w:type="pct"/>
            <w:tcBorders>
              <w:top w:val="single" w:sz="4" w:space="0" w:color="auto"/>
              <w:bottom w:val="single" w:sz="4" w:space="0" w:color="auto"/>
            </w:tcBorders>
            <w:shd w:val="clear" w:color="auto" w:fill="auto"/>
          </w:tcPr>
          <w:p w14:paraId="0CFAD659" w14:textId="77777777" w:rsidR="00F17551" w:rsidRPr="00657E8C" w:rsidRDefault="00F17551" w:rsidP="00F17551">
            <w:pPr>
              <w:pStyle w:val="ARtabletext"/>
            </w:pPr>
            <w:r w:rsidRPr="00657E8C">
              <w:t>$200,000–$219,999</w:t>
            </w:r>
          </w:p>
        </w:tc>
        <w:tc>
          <w:tcPr>
            <w:tcW w:w="735" w:type="pct"/>
            <w:tcBorders>
              <w:top w:val="single" w:sz="4" w:space="0" w:color="auto"/>
              <w:bottom w:val="single" w:sz="4" w:space="0" w:color="auto"/>
            </w:tcBorders>
            <w:shd w:val="clear" w:color="auto" w:fill="auto"/>
          </w:tcPr>
          <w:p w14:paraId="0DFDD273" w14:textId="77777777" w:rsidR="00F17551" w:rsidRPr="00657E8C" w:rsidRDefault="00F17551" w:rsidP="00F17551">
            <w:pPr>
              <w:pStyle w:val="ARtabletextright"/>
            </w:pPr>
            <w:r w:rsidRPr="00657E8C">
              <w:t>1</w:t>
            </w:r>
          </w:p>
        </w:tc>
        <w:tc>
          <w:tcPr>
            <w:tcW w:w="588" w:type="pct"/>
            <w:tcBorders>
              <w:top w:val="single" w:sz="4" w:space="0" w:color="auto"/>
              <w:bottom w:val="single" w:sz="4" w:space="0" w:color="auto"/>
            </w:tcBorders>
            <w:shd w:val="clear" w:color="auto" w:fill="auto"/>
          </w:tcPr>
          <w:p w14:paraId="5D7F4F81"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7819FDDF"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182D5770"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1E802E3E"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367AD019" w14:textId="77777777" w:rsidR="00F17551" w:rsidRPr="00657E8C" w:rsidRDefault="00F17551" w:rsidP="00F17551">
            <w:pPr>
              <w:pStyle w:val="ARtabletextright"/>
            </w:pPr>
          </w:p>
        </w:tc>
      </w:tr>
      <w:tr w:rsidR="00F17551" w:rsidRPr="00657E8C" w14:paraId="73254D90" w14:textId="77777777" w:rsidTr="00D458B9">
        <w:trPr>
          <w:cantSplit/>
        </w:trPr>
        <w:tc>
          <w:tcPr>
            <w:tcW w:w="1399" w:type="pct"/>
            <w:tcBorders>
              <w:top w:val="single" w:sz="4" w:space="0" w:color="auto"/>
              <w:bottom w:val="single" w:sz="4" w:space="0" w:color="auto"/>
            </w:tcBorders>
            <w:shd w:val="clear" w:color="auto" w:fill="auto"/>
          </w:tcPr>
          <w:p w14:paraId="0834FDE0" w14:textId="77777777" w:rsidR="00F17551" w:rsidRPr="00657E8C" w:rsidRDefault="00F17551" w:rsidP="00F17551">
            <w:pPr>
              <w:pStyle w:val="ARtabletext"/>
            </w:pPr>
            <w:r w:rsidRPr="00657E8C">
              <w:t>$220,000–$239,999</w:t>
            </w:r>
          </w:p>
        </w:tc>
        <w:tc>
          <w:tcPr>
            <w:tcW w:w="735" w:type="pct"/>
            <w:tcBorders>
              <w:top w:val="single" w:sz="4" w:space="0" w:color="auto"/>
              <w:bottom w:val="single" w:sz="4" w:space="0" w:color="auto"/>
            </w:tcBorders>
            <w:shd w:val="clear" w:color="auto" w:fill="auto"/>
          </w:tcPr>
          <w:p w14:paraId="73FC3BA2"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2E88BE13"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4EF09B12"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7F79D5E8"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0010135B"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03C33718" w14:textId="77777777" w:rsidR="00F17551" w:rsidRPr="00657E8C" w:rsidRDefault="00F17551" w:rsidP="00F17551">
            <w:pPr>
              <w:pStyle w:val="ARtabletextright"/>
            </w:pPr>
          </w:p>
        </w:tc>
      </w:tr>
      <w:tr w:rsidR="00F17551" w:rsidRPr="00657E8C" w14:paraId="281D4D9E" w14:textId="77777777" w:rsidTr="00D458B9">
        <w:trPr>
          <w:cantSplit/>
        </w:trPr>
        <w:tc>
          <w:tcPr>
            <w:tcW w:w="1399" w:type="pct"/>
            <w:tcBorders>
              <w:top w:val="single" w:sz="4" w:space="0" w:color="auto"/>
              <w:bottom w:val="single" w:sz="4" w:space="0" w:color="auto"/>
            </w:tcBorders>
            <w:shd w:val="clear" w:color="auto" w:fill="auto"/>
          </w:tcPr>
          <w:p w14:paraId="791D7D7F" w14:textId="77777777" w:rsidR="00F17551" w:rsidRPr="00657E8C" w:rsidRDefault="00F17551" w:rsidP="00F17551">
            <w:pPr>
              <w:pStyle w:val="ARtabletext"/>
            </w:pPr>
            <w:r w:rsidRPr="00657E8C">
              <w:t>$240,000–$259,999</w:t>
            </w:r>
          </w:p>
        </w:tc>
        <w:tc>
          <w:tcPr>
            <w:tcW w:w="735" w:type="pct"/>
            <w:tcBorders>
              <w:top w:val="single" w:sz="4" w:space="0" w:color="auto"/>
              <w:bottom w:val="single" w:sz="4" w:space="0" w:color="auto"/>
            </w:tcBorders>
            <w:shd w:val="clear" w:color="auto" w:fill="auto"/>
          </w:tcPr>
          <w:p w14:paraId="7B646665"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55B93B3C"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3E224117"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4327F675"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6F26BDF1"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3C51C5C8" w14:textId="77777777" w:rsidR="00F17551" w:rsidRPr="00657E8C" w:rsidRDefault="00F17551" w:rsidP="00F17551">
            <w:pPr>
              <w:pStyle w:val="ARtabletextright"/>
            </w:pPr>
          </w:p>
        </w:tc>
      </w:tr>
      <w:tr w:rsidR="00F17551" w:rsidRPr="00657E8C" w14:paraId="22AA6255" w14:textId="77777777" w:rsidTr="00D458B9">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07377693" w14:textId="77777777" w:rsidR="00F17551" w:rsidRPr="00657E8C" w:rsidRDefault="00F17551" w:rsidP="00F17551">
            <w:pPr>
              <w:pStyle w:val="ARtabletext"/>
            </w:pPr>
            <w:r w:rsidRPr="00657E8C">
              <w:t>$260,000–$279,999</w:t>
            </w:r>
          </w:p>
        </w:tc>
        <w:tc>
          <w:tcPr>
            <w:tcW w:w="735" w:type="pct"/>
            <w:tcBorders>
              <w:top w:val="single" w:sz="4" w:space="0" w:color="auto"/>
              <w:bottom w:val="single" w:sz="4" w:space="0" w:color="auto"/>
            </w:tcBorders>
            <w:shd w:val="clear" w:color="auto" w:fill="auto"/>
          </w:tcPr>
          <w:p w14:paraId="75CCA683"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471CE9DF"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3B44FAA3"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605004E6"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78D8C28B"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2EAC4A47" w14:textId="77777777" w:rsidR="00F17551" w:rsidRPr="00657E8C" w:rsidRDefault="00F17551" w:rsidP="00F17551">
            <w:pPr>
              <w:pStyle w:val="ARtabletextright"/>
            </w:pPr>
          </w:p>
        </w:tc>
      </w:tr>
      <w:tr w:rsidR="00F17551" w:rsidRPr="00657E8C" w14:paraId="0EAA2CF0" w14:textId="77777777" w:rsidTr="00D458B9">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7D8B16DD" w14:textId="77777777" w:rsidR="00F17551" w:rsidRPr="00657E8C" w:rsidRDefault="00F17551" w:rsidP="00F17551">
            <w:pPr>
              <w:pStyle w:val="ARtabletext"/>
            </w:pPr>
            <w:r w:rsidRPr="00657E8C">
              <w:t>$280,000–$299,999</w:t>
            </w:r>
          </w:p>
        </w:tc>
        <w:tc>
          <w:tcPr>
            <w:tcW w:w="735" w:type="pct"/>
            <w:tcBorders>
              <w:top w:val="single" w:sz="4" w:space="0" w:color="auto"/>
              <w:bottom w:val="single" w:sz="4" w:space="0" w:color="auto"/>
            </w:tcBorders>
            <w:shd w:val="clear" w:color="auto" w:fill="auto"/>
          </w:tcPr>
          <w:p w14:paraId="5BF92122"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7F78F123"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5DC7B91C"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52154881"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158B54D5"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1D422C4C" w14:textId="77777777" w:rsidR="00F17551" w:rsidRPr="00657E8C" w:rsidRDefault="00F17551" w:rsidP="00F17551">
            <w:pPr>
              <w:pStyle w:val="ARtabletextright"/>
            </w:pPr>
          </w:p>
        </w:tc>
      </w:tr>
      <w:tr w:rsidR="00F17551" w:rsidRPr="00657E8C" w14:paraId="373C4F46" w14:textId="77777777" w:rsidTr="00D458B9">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318AB80C" w14:textId="77777777" w:rsidR="00F17551" w:rsidRPr="00657E8C" w:rsidRDefault="00F17551" w:rsidP="00F17551">
            <w:pPr>
              <w:pStyle w:val="ARtabletext"/>
            </w:pPr>
            <w:r w:rsidRPr="00657E8C">
              <w:t>$300,000–$319,999</w:t>
            </w:r>
          </w:p>
        </w:tc>
        <w:tc>
          <w:tcPr>
            <w:tcW w:w="735" w:type="pct"/>
            <w:tcBorders>
              <w:top w:val="single" w:sz="4" w:space="0" w:color="auto"/>
              <w:bottom w:val="single" w:sz="4" w:space="0" w:color="auto"/>
            </w:tcBorders>
            <w:shd w:val="clear" w:color="auto" w:fill="auto"/>
          </w:tcPr>
          <w:p w14:paraId="31C37B6D"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3362E0FC"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735DFBF6"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7797F317"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1B55BAC2"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42EA72A0" w14:textId="77777777" w:rsidR="00F17551" w:rsidRPr="00657E8C" w:rsidRDefault="00F17551" w:rsidP="00F17551">
            <w:pPr>
              <w:pStyle w:val="ARtabletextright"/>
            </w:pPr>
          </w:p>
        </w:tc>
      </w:tr>
      <w:tr w:rsidR="00F17551" w:rsidRPr="00657E8C" w14:paraId="6EE8800F" w14:textId="77777777" w:rsidTr="00D458B9">
        <w:trPr>
          <w:cantSplit/>
        </w:trPr>
        <w:tc>
          <w:tcPr>
            <w:tcW w:w="1399" w:type="pct"/>
            <w:tcBorders>
              <w:top w:val="single" w:sz="4" w:space="0" w:color="auto"/>
              <w:bottom w:val="single" w:sz="4" w:space="0" w:color="auto"/>
            </w:tcBorders>
            <w:shd w:val="clear" w:color="auto" w:fill="auto"/>
          </w:tcPr>
          <w:p w14:paraId="1FBA0088" w14:textId="77777777" w:rsidR="00F17551" w:rsidRPr="00657E8C" w:rsidRDefault="00F17551" w:rsidP="00F17551">
            <w:pPr>
              <w:pStyle w:val="ARtabletext"/>
            </w:pPr>
            <w:r w:rsidRPr="00657E8C">
              <w:t>$320,000–$339,999</w:t>
            </w:r>
          </w:p>
        </w:tc>
        <w:tc>
          <w:tcPr>
            <w:tcW w:w="735" w:type="pct"/>
            <w:tcBorders>
              <w:top w:val="single" w:sz="4" w:space="0" w:color="auto"/>
              <w:bottom w:val="single" w:sz="4" w:space="0" w:color="auto"/>
            </w:tcBorders>
            <w:shd w:val="clear" w:color="auto" w:fill="auto"/>
          </w:tcPr>
          <w:p w14:paraId="3DB31B8D"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1B34C844"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52F39C96"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66CB160F"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181A290D"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3EA584E8" w14:textId="77777777" w:rsidR="00F17551" w:rsidRPr="00657E8C" w:rsidRDefault="00F17551" w:rsidP="00F17551">
            <w:pPr>
              <w:pStyle w:val="ARtabletextright"/>
            </w:pPr>
          </w:p>
        </w:tc>
      </w:tr>
      <w:tr w:rsidR="00F17551" w:rsidRPr="00657E8C" w14:paraId="064C8D01" w14:textId="77777777" w:rsidTr="00D458B9">
        <w:trPr>
          <w:cantSplit/>
        </w:trPr>
        <w:tc>
          <w:tcPr>
            <w:tcW w:w="1399" w:type="pct"/>
            <w:tcBorders>
              <w:top w:val="single" w:sz="4" w:space="0" w:color="auto"/>
              <w:bottom w:val="single" w:sz="4" w:space="0" w:color="auto"/>
            </w:tcBorders>
            <w:shd w:val="clear" w:color="auto" w:fill="auto"/>
          </w:tcPr>
          <w:p w14:paraId="6885C019" w14:textId="77777777" w:rsidR="00F17551" w:rsidRPr="00657E8C" w:rsidRDefault="00F17551" w:rsidP="00F17551">
            <w:pPr>
              <w:pStyle w:val="ARtabletext"/>
            </w:pPr>
            <w:r w:rsidRPr="00657E8C">
              <w:t>$340,000–$359,999</w:t>
            </w:r>
          </w:p>
        </w:tc>
        <w:tc>
          <w:tcPr>
            <w:tcW w:w="735" w:type="pct"/>
            <w:tcBorders>
              <w:top w:val="single" w:sz="4" w:space="0" w:color="auto"/>
              <w:bottom w:val="single" w:sz="4" w:space="0" w:color="auto"/>
            </w:tcBorders>
            <w:shd w:val="clear" w:color="auto" w:fill="auto"/>
          </w:tcPr>
          <w:p w14:paraId="6E277AA3"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7B98AD35"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2B39BCF9"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61135387"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3D784F4A"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4B869D47" w14:textId="77777777" w:rsidR="00F17551" w:rsidRPr="00657E8C" w:rsidRDefault="00F17551" w:rsidP="00F17551">
            <w:pPr>
              <w:pStyle w:val="ARtabletextright"/>
            </w:pPr>
          </w:p>
        </w:tc>
      </w:tr>
      <w:tr w:rsidR="00F17551" w:rsidRPr="00657E8C" w14:paraId="718A5C25" w14:textId="77777777" w:rsidTr="00D458B9">
        <w:trPr>
          <w:cantSplit/>
        </w:trPr>
        <w:tc>
          <w:tcPr>
            <w:tcW w:w="1399" w:type="pct"/>
            <w:tcBorders>
              <w:top w:val="single" w:sz="4" w:space="0" w:color="auto"/>
              <w:bottom w:val="single" w:sz="4" w:space="0" w:color="auto"/>
            </w:tcBorders>
            <w:shd w:val="clear" w:color="auto" w:fill="auto"/>
          </w:tcPr>
          <w:p w14:paraId="41CA1B88" w14:textId="77777777" w:rsidR="00F17551" w:rsidRPr="00657E8C" w:rsidRDefault="00F17551" w:rsidP="00F17551">
            <w:pPr>
              <w:pStyle w:val="ARtabletext"/>
            </w:pPr>
            <w:r w:rsidRPr="00657E8C">
              <w:t>$360,000–$379,999</w:t>
            </w:r>
          </w:p>
        </w:tc>
        <w:tc>
          <w:tcPr>
            <w:tcW w:w="735" w:type="pct"/>
            <w:tcBorders>
              <w:top w:val="single" w:sz="4" w:space="0" w:color="auto"/>
              <w:bottom w:val="single" w:sz="4" w:space="0" w:color="auto"/>
            </w:tcBorders>
            <w:shd w:val="clear" w:color="auto" w:fill="auto"/>
          </w:tcPr>
          <w:p w14:paraId="018F04C8"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66B70DFF"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17A0E953"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1323D37F"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60756768"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130CEA6F" w14:textId="77777777" w:rsidR="00F17551" w:rsidRPr="00657E8C" w:rsidRDefault="00F17551" w:rsidP="00F17551">
            <w:pPr>
              <w:pStyle w:val="ARtabletextright"/>
            </w:pPr>
          </w:p>
        </w:tc>
      </w:tr>
      <w:tr w:rsidR="00F17551" w:rsidRPr="00657E8C" w14:paraId="6E72049F" w14:textId="77777777" w:rsidTr="00D458B9">
        <w:trPr>
          <w:cantSplit/>
        </w:trPr>
        <w:tc>
          <w:tcPr>
            <w:tcW w:w="1399" w:type="pct"/>
            <w:tcBorders>
              <w:top w:val="single" w:sz="4" w:space="0" w:color="auto"/>
              <w:bottom w:val="single" w:sz="4" w:space="0" w:color="auto"/>
            </w:tcBorders>
            <w:shd w:val="clear" w:color="auto" w:fill="auto"/>
          </w:tcPr>
          <w:p w14:paraId="63FDDDA4" w14:textId="77777777" w:rsidR="00F17551" w:rsidRPr="00657E8C" w:rsidRDefault="00F17551" w:rsidP="00F17551">
            <w:pPr>
              <w:pStyle w:val="ARtabletext"/>
            </w:pPr>
            <w:r w:rsidRPr="00657E8C">
              <w:t>$380,000–$399,999</w:t>
            </w:r>
          </w:p>
        </w:tc>
        <w:tc>
          <w:tcPr>
            <w:tcW w:w="735" w:type="pct"/>
            <w:tcBorders>
              <w:top w:val="single" w:sz="4" w:space="0" w:color="auto"/>
              <w:bottom w:val="single" w:sz="4" w:space="0" w:color="auto"/>
            </w:tcBorders>
            <w:shd w:val="clear" w:color="auto" w:fill="auto"/>
          </w:tcPr>
          <w:p w14:paraId="1D2CD37E"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5BBA465D"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142A4377"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346AF25D"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05E0B43A"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186ED1C4" w14:textId="77777777" w:rsidR="00F17551" w:rsidRPr="00657E8C" w:rsidRDefault="00F17551" w:rsidP="00F17551">
            <w:pPr>
              <w:pStyle w:val="ARtabletextright"/>
            </w:pPr>
          </w:p>
        </w:tc>
      </w:tr>
      <w:tr w:rsidR="00F17551" w:rsidRPr="00657E8C" w14:paraId="50EB7F61" w14:textId="77777777" w:rsidTr="00D458B9">
        <w:trPr>
          <w:cantSplit/>
        </w:trPr>
        <w:tc>
          <w:tcPr>
            <w:tcW w:w="1399" w:type="pct"/>
            <w:tcBorders>
              <w:top w:val="single" w:sz="4" w:space="0" w:color="auto"/>
              <w:bottom w:val="single" w:sz="4" w:space="0" w:color="auto"/>
            </w:tcBorders>
            <w:shd w:val="clear" w:color="auto" w:fill="auto"/>
          </w:tcPr>
          <w:p w14:paraId="27283F59" w14:textId="77777777" w:rsidR="00F17551" w:rsidRPr="00657E8C" w:rsidRDefault="00F17551" w:rsidP="00F17551">
            <w:pPr>
              <w:pStyle w:val="ARtabletext"/>
            </w:pPr>
            <w:r w:rsidRPr="00657E8C">
              <w:t>$400,000–$419,999</w:t>
            </w:r>
          </w:p>
        </w:tc>
        <w:tc>
          <w:tcPr>
            <w:tcW w:w="735" w:type="pct"/>
            <w:tcBorders>
              <w:top w:val="single" w:sz="4" w:space="0" w:color="auto"/>
              <w:bottom w:val="single" w:sz="4" w:space="0" w:color="auto"/>
            </w:tcBorders>
            <w:shd w:val="clear" w:color="auto" w:fill="auto"/>
          </w:tcPr>
          <w:p w14:paraId="4E130F46"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4C3DD761"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7B7C941A"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754AB0EA" w14:textId="77777777" w:rsidR="00F17551" w:rsidRPr="00657E8C" w:rsidRDefault="00F17551" w:rsidP="00F17551">
            <w:pPr>
              <w:pStyle w:val="ARtabletextright"/>
            </w:pPr>
            <w:r w:rsidRPr="00657E8C">
              <w:t>1</w:t>
            </w:r>
          </w:p>
        </w:tc>
        <w:tc>
          <w:tcPr>
            <w:tcW w:w="588" w:type="pct"/>
            <w:tcBorders>
              <w:top w:val="single" w:sz="4" w:space="0" w:color="auto"/>
              <w:bottom w:val="single" w:sz="4" w:space="0" w:color="auto"/>
            </w:tcBorders>
          </w:tcPr>
          <w:p w14:paraId="4D71EA6E"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263B6DAE" w14:textId="77777777" w:rsidR="00F17551" w:rsidRPr="00657E8C" w:rsidRDefault="00F17551" w:rsidP="00F17551">
            <w:pPr>
              <w:pStyle w:val="ARtabletextright"/>
            </w:pPr>
          </w:p>
        </w:tc>
      </w:tr>
      <w:tr w:rsidR="00F17551" w:rsidRPr="00657E8C" w14:paraId="407E2698" w14:textId="77777777" w:rsidTr="00D458B9">
        <w:trPr>
          <w:cantSplit/>
        </w:trPr>
        <w:tc>
          <w:tcPr>
            <w:tcW w:w="1399" w:type="pct"/>
            <w:tcBorders>
              <w:top w:val="single" w:sz="4" w:space="0" w:color="auto"/>
              <w:bottom w:val="single" w:sz="4" w:space="0" w:color="auto"/>
            </w:tcBorders>
            <w:shd w:val="clear" w:color="auto" w:fill="auto"/>
          </w:tcPr>
          <w:p w14:paraId="75829DE7" w14:textId="77777777" w:rsidR="00F17551" w:rsidRPr="00657E8C" w:rsidRDefault="00F17551" w:rsidP="00F17551">
            <w:pPr>
              <w:pStyle w:val="ARtabletext"/>
            </w:pPr>
            <w:r w:rsidRPr="00657E8C">
              <w:t>$420,000–$439,999</w:t>
            </w:r>
          </w:p>
        </w:tc>
        <w:tc>
          <w:tcPr>
            <w:tcW w:w="735" w:type="pct"/>
            <w:tcBorders>
              <w:top w:val="single" w:sz="4" w:space="0" w:color="auto"/>
              <w:bottom w:val="single" w:sz="4" w:space="0" w:color="auto"/>
            </w:tcBorders>
            <w:shd w:val="clear" w:color="auto" w:fill="auto"/>
          </w:tcPr>
          <w:p w14:paraId="2EF095D0"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5EB01FCE"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25C11A79"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7C21585D"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2647E1C5"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2EAD1151" w14:textId="77777777" w:rsidR="00F17551" w:rsidRPr="00657E8C" w:rsidRDefault="00F17551" w:rsidP="00F17551">
            <w:pPr>
              <w:pStyle w:val="ARtabletextright"/>
            </w:pPr>
          </w:p>
        </w:tc>
      </w:tr>
      <w:tr w:rsidR="00F17551" w:rsidRPr="00657E8C" w14:paraId="34E8BD19" w14:textId="77777777" w:rsidTr="00D458B9">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429B6AB6" w14:textId="77777777" w:rsidR="00F17551" w:rsidRPr="00657E8C" w:rsidRDefault="00F17551" w:rsidP="00F17551">
            <w:pPr>
              <w:pStyle w:val="ARtabletext"/>
            </w:pPr>
            <w:r w:rsidRPr="00657E8C">
              <w:t>$440,000–$459,999</w:t>
            </w:r>
          </w:p>
        </w:tc>
        <w:tc>
          <w:tcPr>
            <w:tcW w:w="735" w:type="pct"/>
            <w:tcBorders>
              <w:top w:val="single" w:sz="4" w:space="0" w:color="auto"/>
              <w:bottom w:val="single" w:sz="4" w:space="0" w:color="auto"/>
            </w:tcBorders>
            <w:shd w:val="clear" w:color="auto" w:fill="auto"/>
          </w:tcPr>
          <w:p w14:paraId="5F59AB9F"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0E19D4FF"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100CF323"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5BD8378A"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10D7A152"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3B5487C1" w14:textId="77777777" w:rsidR="00F17551" w:rsidRPr="00657E8C" w:rsidRDefault="00F17551" w:rsidP="00F17551">
            <w:pPr>
              <w:pStyle w:val="ARtabletextright"/>
            </w:pPr>
          </w:p>
        </w:tc>
      </w:tr>
      <w:tr w:rsidR="00F17551" w:rsidRPr="00657E8C" w14:paraId="3CA53BBC" w14:textId="77777777" w:rsidTr="00D458B9">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5FAB3495" w14:textId="77777777" w:rsidR="00F17551" w:rsidRPr="00657E8C" w:rsidRDefault="00F17551" w:rsidP="00F17551">
            <w:pPr>
              <w:pStyle w:val="ARtabletext"/>
            </w:pPr>
            <w:r w:rsidRPr="00657E8C">
              <w:t>$460,000–$479,999</w:t>
            </w:r>
          </w:p>
        </w:tc>
        <w:tc>
          <w:tcPr>
            <w:tcW w:w="735" w:type="pct"/>
            <w:tcBorders>
              <w:top w:val="single" w:sz="4" w:space="0" w:color="auto"/>
              <w:bottom w:val="single" w:sz="4" w:space="0" w:color="auto"/>
            </w:tcBorders>
            <w:shd w:val="clear" w:color="auto" w:fill="auto"/>
          </w:tcPr>
          <w:p w14:paraId="460D236D"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0114EAA3"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1A7A211F"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5A5554B0"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169ED2A6"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6603D8E8" w14:textId="77777777" w:rsidR="00F17551" w:rsidRPr="00657E8C" w:rsidRDefault="00F17551" w:rsidP="00F17551">
            <w:pPr>
              <w:pStyle w:val="ARtabletextright"/>
            </w:pPr>
          </w:p>
        </w:tc>
      </w:tr>
      <w:tr w:rsidR="00F17551" w:rsidRPr="00657E8C" w14:paraId="1479746F" w14:textId="77777777" w:rsidTr="00D458B9">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29F17403" w14:textId="77777777" w:rsidR="00F17551" w:rsidRPr="00657E8C" w:rsidRDefault="00F17551" w:rsidP="00F17551">
            <w:pPr>
              <w:pStyle w:val="ARtabletext"/>
            </w:pPr>
            <w:r w:rsidRPr="00657E8C">
              <w:t>$520,000–$539,999</w:t>
            </w:r>
          </w:p>
        </w:tc>
        <w:tc>
          <w:tcPr>
            <w:tcW w:w="735" w:type="pct"/>
            <w:tcBorders>
              <w:top w:val="single" w:sz="4" w:space="0" w:color="auto"/>
              <w:bottom w:val="single" w:sz="4" w:space="0" w:color="auto"/>
            </w:tcBorders>
            <w:shd w:val="clear" w:color="auto" w:fill="auto"/>
          </w:tcPr>
          <w:p w14:paraId="2EFC7354"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25E127FF"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49C82A3E"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1F0966BD"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46B72ECF"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7C8BA658" w14:textId="77777777" w:rsidR="00F17551" w:rsidRPr="00657E8C" w:rsidRDefault="00F17551" w:rsidP="00F17551">
            <w:pPr>
              <w:pStyle w:val="ARtabletextright"/>
            </w:pPr>
          </w:p>
        </w:tc>
      </w:tr>
      <w:tr w:rsidR="00F17551" w:rsidRPr="00657E8C" w14:paraId="74AFD9B4" w14:textId="77777777" w:rsidTr="00D458B9">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1274808C" w14:textId="77777777" w:rsidR="00F17551" w:rsidRPr="00657E8C" w:rsidRDefault="00F17551" w:rsidP="00F17551">
            <w:pPr>
              <w:pStyle w:val="ARtabletext"/>
            </w:pPr>
            <w:r w:rsidRPr="00657E8C">
              <w:t>$540,000–$559,999</w:t>
            </w:r>
          </w:p>
        </w:tc>
        <w:tc>
          <w:tcPr>
            <w:tcW w:w="735" w:type="pct"/>
            <w:tcBorders>
              <w:top w:val="single" w:sz="4" w:space="0" w:color="auto"/>
              <w:bottom w:val="single" w:sz="4" w:space="0" w:color="auto"/>
            </w:tcBorders>
            <w:shd w:val="clear" w:color="auto" w:fill="auto"/>
          </w:tcPr>
          <w:p w14:paraId="1A743382" w14:textId="77777777" w:rsidR="00F17551" w:rsidRPr="00657E8C" w:rsidRDefault="00F17551" w:rsidP="00F17551">
            <w:pPr>
              <w:pStyle w:val="ARtabletextright"/>
            </w:pPr>
            <w:r w:rsidRPr="00657E8C">
              <w:t>1</w:t>
            </w:r>
          </w:p>
        </w:tc>
        <w:tc>
          <w:tcPr>
            <w:tcW w:w="588" w:type="pct"/>
            <w:tcBorders>
              <w:top w:val="single" w:sz="4" w:space="0" w:color="auto"/>
              <w:bottom w:val="single" w:sz="4" w:space="0" w:color="auto"/>
            </w:tcBorders>
            <w:shd w:val="clear" w:color="auto" w:fill="auto"/>
          </w:tcPr>
          <w:p w14:paraId="76E8C1FD"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5A66F6DA"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3B18F16C"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46F2891C"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6182DEF2" w14:textId="77777777" w:rsidR="00F17551" w:rsidRPr="00657E8C" w:rsidRDefault="00F17551" w:rsidP="00F17551">
            <w:pPr>
              <w:pStyle w:val="ARtabletextright"/>
            </w:pPr>
          </w:p>
        </w:tc>
      </w:tr>
      <w:tr w:rsidR="00F17551" w:rsidRPr="00657E8C" w14:paraId="68407BB8" w14:textId="77777777" w:rsidTr="00D458B9">
        <w:tblPrEx>
          <w:tblLook w:val="04A0" w:firstRow="1" w:lastRow="0" w:firstColumn="1" w:lastColumn="0" w:noHBand="0" w:noVBand="1"/>
        </w:tblPrEx>
        <w:trPr>
          <w:cantSplit/>
        </w:trPr>
        <w:tc>
          <w:tcPr>
            <w:tcW w:w="1399" w:type="pct"/>
            <w:tcBorders>
              <w:top w:val="single" w:sz="4" w:space="0" w:color="auto"/>
            </w:tcBorders>
            <w:shd w:val="clear" w:color="auto" w:fill="auto"/>
          </w:tcPr>
          <w:p w14:paraId="193FCEE5" w14:textId="77777777" w:rsidR="00F17551" w:rsidRPr="00657E8C" w:rsidRDefault="00F17551" w:rsidP="00F17551">
            <w:pPr>
              <w:pStyle w:val="ARtabletextbold"/>
            </w:pPr>
            <w:r w:rsidRPr="00657E8C">
              <w:t>Total</w:t>
            </w:r>
          </w:p>
        </w:tc>
        <w:tc>
          <w:tcPr>
            <w:tcW w:w="735" w:type="pct"/>
            <w:tcBorders>
              <w:top w:val="single" w:sz="4" w:space="0" w:color="auto"/>
            </w:tcBorders>
            <w:shd w:val="clear" w:color="auto" w:fill="auto"/>
          </w:tcPr>
          <w:p w14:paraId="3FF0EE73" w14:textId="77777777" w:rsidR="00F17551" w:rsidRPr="00657E8C" w:rsidRDefault="00F17551" w:rsidP="00F17551">
            <w:pPr>
              <w:pStyle w:val="ARtabletextrightbold"/>
            </w:pPr>
            <w:r w:rsidRPr="00657E8C">
              <w:t>5</w:t>
            </w:r>
          </w:p>
        </w:tc>
        <w:tc>
          <w:tcPr>
            <w:tcW w:w="588" w:type="pct"/>
            <w:tcBorders>
              <w:top w:val="single" w:sz="4" w:space="0" w:color="auto"/>
            </w:tcBorders>
            <w:shd w:val="clear" w:color="auto" w:fill="auto"/>
          </w:tcPr>
          <w:p w14:paraId="18F881A7" w14:textId="77777777" w:rsidR="00F17551" w:rsidRPr="00657E8C" w:rsidRDefault="00F17551" w:rsidP="00F17551">
            <w:pPr>
              <w:pStyle w:val="ARtabletextrightbold"/>
            </w:pPr>
            <w:r w:rsidRPr="00657E8C">
              <w:t>1</w:t>
            </w:r>
          </w:p>
        </w:tc>
        <w:tc>
          <w:tcPr>
            <w:tcW w:w="588" w:type="pct"/>
            <w:tcBorders>
              <w:top w:val="single" w:sz="4" w:space="0" w:color="auto"/>
            </w:tcBorders>
            <w:shd w:val="clear" w:color="auto" w:fill="auto"/>
          </w:tcPr>
          <w:p w14:paraId="1092AF46" w14:textId="77777777" w:rsidR="00F17551" w:rsidRPr="00657E8C" w:rsidRDefault="00F17551" w:rsidP="00F17551">
            <w:pPr>
              <w:pStyle w:val="ARtabletextrightbold"/>
            </w:pPr>
          </w:p>
        </w:tc>
        <w:tc>
          <w:tcPr>
            <w:tcW w:w="588" w:type="pct"/>
            <w:tcBorders>
              <w:top w:val="single" w:sz="4" w:space="0" w:color="auto"/>
            </w:tcBorders>
          </w:tcPr>
          <w:p w14:paraId="665ACE78" w14:textId="77777777" w:rsidR="00F17551" w:rsidRPr="00657E8C" w:rsidRDefault="00F17551" w:rsidP="00F17551">
            <w:pPr>
              <w:pStyle w:val="ARtabletextrightbold"/>
            </w:pPr>
            <w:r w:rsidRPr="00657E8C">
              <w:t>1</w:t>
            </w:r>
          </w:p>
        </w:tc>
        <w:tc>
          <w:tcPr>
            <w:tcW w:w="588" w:type="pct"/>
            <w:tcBorders>
              <w:top w:val="single" w:sz="4" w:space="0" w:color="auto"/>
            </w:tcBorders>
          </w:tcPr>
          <w:p w14:paraId="44AFBAB8" w14:textId="77777777" w:rsidR="00F17551" w:rsidRPr="00657E8C" w:rsidRDefault="00F17551" w:rsidP="00F17551">
            <w:pPr>
              <w:pStyle w:val="ARtabletextrightbold"/>
            </w:pPr>
          </w:p>
        </w:tc>
        <w:tc>
          <w:tcPr>
            <w:tcW w:w="514" w:type="pct"/>
            <w:tcBorders>
              <w:top w:val="single" w:sz="4" w:space="0" w:color="auto"/>
            </w:tcBorders>
          </w:tcPr>
          <w:p w14:paraId="249AF89E" w14:textId="77777777" w:rsidR="00F17551" w:rsidRPr="00657E8C" w:rsidRDefault="00F17551" w:rsidP="00F17551">
            <w:pPr>
              <w:pStyle w:val="ARtabletextrightbold"/>
            </w:pPr>
          </w:p>
        </w:tc>
      </w:tr>
    </w:tbl>
    <w:p w14:paraId="0CD73623" w14:textId="77777777" w:rsidR="000413BA" w:rsidRPr="00657E8C" w:rsidRDefault="000413BA" w:rsidP="000413BA">
      <w:pPr>
        <w:pStyle w:val="Heading3"/>
      </w:pPr>
      <w:r w:rsidRPr="00657E8C">
        <w:t>Victorian Agency for Health Information employment levels</w:t>
      </w:r>
    </w:p>
    <w:p w14:paraId="37448C98" w14:textId="77777777" w:rsidR="000413BA" w:rsidRPr="00657E8C" w:rsidRDefault="00207BA8" w:rsidP="000413BA">
      <w:pPr>
        <w:pStyle w:val="Heading4"/>
      </w:pPr>
      <w:r>
        <w:t>S</w:t>
      </w:r>
      <w:r w:rsidR="000413BA" w:rsidRPr="00657E8C">
        <w:t>ummary of employment levels in June of 2019</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1E0" w:firstRow="1" w:lastRow="1" w:firstColumn="1" w:lastColumn="1" w:noHBand="0" w:noVBand="0"/>
      </w:tblPr>
      <w:tblGrid>
        <w:gridCol w:w="1611"/>
        <w:gridCol w:w="1609"/>
        <w:gridCol w:w="1610"/>
        <w:gridCol w:w="1610"/>
        <w:gridCol w:w="1610"/>
        <w:gridCol w:w="1589"/>
      </w:tblGrid>
      <w:tr w:rsidR="000413BA" w:rsidRPr="00657E8C" w14:paraId="4DC95BFD" w14:textId="77777777" w:rsidTr="002D3A00">
        <w:trPr>
          <w:cantSplit/>
        </w:trPr>
        <w:tc>
          <w:tcPr>
            <w:tcW w:w="1611" w:type="dxa"/>
            <w:vMerge w:val="restart"/>
            <w:shd w:val="clear" w:color="auto" w:fill="auto"/>
            <w:vAlign w:val="bottom"/>
          </w:tcPr>
          <w:p w14:paraId="5BD27FAE" w14:textId="77777777" w:rsidR="000413BA" w:rsidRPr="00657E8C" w:rsidRDefault="000413BA" w:rsidP="002D3A00">
            <w:pPr>
              <w:jc w:val="right"/>
              <w:rPr>
                <w:rFonts w:cs="Arial"/>
              </w:rPr>
            </w:pPr>
          </w:p>
        </w:tc>
        <w:tc>
          <w:tcPr>
            <w:tcW w:w="6439" w:type="dxa"/>
            <w:gridSpan w:val="4"/>
            <w:shd w:val="clear" w:color="auto" w:fill="auto"/>
            <w:vAlign w:val="bottom"/>
          </w:tcPr>
          <w:p w14:paraId="35791598" w14:textId="77777777" w:rsidR="000413BA" w:rsidRPr="00657E8C" w:rsidRDefault="000413BA" w:rsidP="002D3A00">
            <w:pPr>
              <w:pStyle w:val="ARtablecolhead"/>
              <w:jc w:val="center"/>
            </w:pPr>
            <w:r w:rsidRPr="00657E8C">
              <w:t>Ongoing employees</w:t>
            </w:r>
          </w:p>
        </w:tc>
        <w:tc>
          <w:tcPr>
            <w:tcW w:w="1589" w:type="dxa"/>
            <w:shd w:val="clear" w:color="auto" w:fill="auto"/>
            <w:vAlign w:val="bottom"/>
          </w:tcPr>
          <w:p w14:paraId="013E4AD4" w14:textId="77777777" w:rsidR="000413BA" w:rsidRPr="00657E8C" w:rsidRDefault="000413BA" w:rsidP="002D3A00">
            <w:pPr>
              <w:pStyle w:val="ARtablecolhead"/>
              <w:jc w:val="right"/>
            </w:pPr>
            <w:r w:rsidRPr="00657E8C">
              <w:t>Fixed-term and casual employees</w:t>
            </w:r>
          </w:p>
        </w:tc>
      </w:tr>
      <w:tr w:rsidR="000413BA" w:rsidRPr="00657E8C" w14:paraId="6DBBDAC2" w14:textId="77777777" w:rsidTr="002D3A00">
        <w:trPr>
          <w:cantSplit/>
        </w:trPr>
        <w:tc>
          <w:tcPr>
            <w:tcW w:w="1611" w:type="dxa"/>
            <w:vMerge/>
            <w:shd w:val="clear" w:color="auto" w:fill="auto"/>
          </w:tcPr>
          <w:p w14:paraId="40DAE2DC" w14:textId="77777777" w:rsidR="000413BA" w:rsidRPr="00657E8C" w:rsidRDefault="000413BA" w:rsidP="002D3A00">
            <w:pPr>
              <w:jc w:val="right"/>
              <w:rPr>
                <w:rFonts w:cs="Arial"/>
              </w:rPr>
            </w:pPr>
          </w:p>
        </w:tc>
        <w:tc>
          <w:tcPr>
            <w:tcW w:w="1609" w:type="dxa"/>
            <w:shd w:val="clear" w:color="auto" w:fill="auto"/>
            <w:vAlign w:val="bottom"/>
          </w:tcPr>
          <w:p w14:paraId="283DF115" w14:textId="77777777" w:rsidR="000413BA" w:rsidRPr="00657E8C" w:rsidRDefault="000413BA" w:rsidP="002D3A00">
            <w:pPr>
              <w:pStyle w:val="ARtablecolheadright"/>
            </w:pPr>
            <w:r w:rsidRPr="00657E8C">
              <w:t>Employees (headcount)</w:t>
            </w:r>
          </w:p>
        </w:tc>
        <w:tc>
          <w:tcPr>
            <w:tcW w:w="1610" w:type="dxa"/>
            <w:shd w:val="clear" w:color="auto" w:fill="auto"/>
            <w:vAlign w:val="bottom"/>
          </w:tcPr>
          <w:p w14:paraId="6B568054" w14:textId="77777777" w:rsidR="000413BA" w:rsidRPr="00657E8C" w:rsidRDefault="000413BA" w:rsidP="002D3A00">
            <w:pPr>
              <w:pStyle w:val="ARtablecolheadright"/>
            </w:pPr>
            <w:r w:rsidRPr="00657E8C">
              <w:t>Full-time (headcount)</w:t>
            </w:r>
          </w:p>
        </w:tc>
        <w:tc>
          <w:tcPr>
            <w:tcW w:w="1610" w:type="dxa"/>
            <w:shd w:val="clear" w:color="auto" w:fill="auto"/>
            <w:vAlign w:val="bottom"/>
          </w:tcPr>
          <w:p w14:paraId="7085FE37" w14:textId="77777777" w:rsidR="000413BA" w:rsidRPr="00657E8C" w:rsidRDefault="000413BA" w:rsidP="002D3A00">
            <w:pPr>
              <w:pStyle w:val="ARtablecolheadright"/>
            </w:pPr>
            <w:r w:rsidRPr="00657E8C">
              <w:t>Part-time (headcount)</w:t>
            </w:r>
          </w:p>
        </w:tc>
        <w:tc>
          <w:tcPr>
            <w:tcW w:w="1610" w:type="dxa"/>
            <w:shd w:val="clear" w:color="auto" w:fill="auto"/>
            <w:vAlign w:val="bottom"/>
          </w:tcPr>
          <w:p w14:paraId="5F766CCE" w14:textId="77777777" w:rsidR="000413BA" w:rsidRPr="00657E8C" w:rsidRDefault="000413BA" w:rsidP="002D3A00">
            <w:pPr>
              <w:pStyle w:val="ARtablecolheadright"/>
            </w:pPr>
            <w:r w:rsidRPr="00657E8C">
              <w:t>FTE</w:t>
            </w:r>
          </w:p>
        </w:tc>
        <w:tc>
          <w:tcPr>
            <w:tcW w:w="1589" w:type="dxa"/>
            <w:shd w:val="clear" w:color="auto" w:fill="auto"/>
            <w:vAlign w:val="bottom"/>
          </w:tcPr>
          <w:p w14:paraId="5D38F92B" w14:textId="77777777" w:rsidR="000413BA" w:rsidRPr="00657E8C" w:rsidRDefault="000413BA" w:rsidP="002D3A00">
            <w:pPr>
              <w:pStyle w:val="ARtablecolheadright"/>
            </w:pPr>
            <w:r w:rsidRPr="00657E8C">
              <w:t>FTE</w:t>
            </w:r>
          </w:p>
        </w:tc>
      </w:tr>
      <w:tr w:rsidR="000413BA" w:rsidRPr="00657E8C" w14:paraId="1E9FBC01" w14:textId="77777777" w:rsidTr="002D3A00">
        <w:trPr>
          <w:cantSplit/>
        </w:trPr>
        <w:tc>
          <w:tcPr>
            <w:tcW w:w="1611" w:type="dxa"/>
            <w:shd w:val="clear" w:color="auto" w:fill="auto"/>
          </w:tcPr>
          <w:p w14:paraId="5AC43325" w14:textId="77777777" w:rsidR="000413BA" w:rsidRPr="00657E8C" w:rsidRDefault="000413BA" w:rsidP="002D3A00">
            <w:pPr>
              <w:pStyle w:val="ARtabletext"/>
            </w:pPr>
            <w:r w:rsidRPr="00657E8C">
              <w:t>June 2019</w:t>
            </w:r>
          </w:p>
        </w:tc>
        <w:tc>
          <w:tcPr>
            <w:tcW w:w="1609" w:type="dxa"/>
            <w:shd w:val="clear" w:color="auto" w:fill="auto"/>
          </w:tcPr>
          <w:p w14:paraId="33EAF739" w14:textId="77777777" w:rsidR="000413BA" w:rsidRPr="00657E8C" w:rsidRDefault="000413BA" w:rsidP="002D3A00">
            <w:pPr>
              <w:pStyle w:val="ARtabletextright"/>
            </w:pPr>
            <w:r w:rsidRPr="00657E8C">
              <w:t>75</w:t>
            </w:r>
          </w:p>
        </w:tc>
        <w:tc>
          <w:tcPr>
            <w:tcW w:w="1610" w:type="dxa"/>
            <w:shd w:val="clear" w:color="auto" w:fill="auto"/>
          </w:tcPr>
          <w:p w14:paraId="581B04F2" w14:textId="77777777" w:rsidR="000413BA" w:rsidRPr="00657E8C" w:rsidRDefault="000413BA" w:rsidP="002D3A00">
            <w:pPr>
              <w:pStyle w:val="ARtabletextright"/>
            </w:pPr>
            <w:r w:rsidRPr="00657E8C">
              <w:t>57</w:t>
            </w:r>
          </w:p>
        </w:tc>
        <w:tc>
          <w:tcPr>
            <w:tcW w:w="1610" w:type="dxa"/>
            <w:shd w:val="clear" w:color="auto" w:fill="auto"/>
          </w:tcPr>
          <w:p w14:paraId="1F999D72" w14:textId="77777777" w:rsidR="000413BA" w:rsidRPr="00657E8C" w:rsidRDefault="000413BA" w:rsidP="002D3A00">
            <w:pPr>
              <w:pStyle w:val="ARtabletextright"/>
            </w:pPr>
            <w:r w:rsidRPr="00657E8C">
              <w:t>7</w:t>
            </w:r>
          </w:p>
        </w:tc>
        <w:tc>
          <w:tcPr>
            <w:tcW w:w="1610" w:type="dxa"/>
            <w:shd w:val="clear" w:color="auto" w:fill="auto"/>
          </w:tcPr>
          <w:p w14:paraId="6339D69C" w14:textId="77777777" w:rsidR="000413BA" w:rsidRPr="00657E8C" w:rsidRDefault="000413BA" w:rsidP="002D3A00">
            <w:pPr>
              <w:pStyle w:val="ARtabletextright"/>
            </w:pPr>
            <w:r w:rsidRPr="00657E8C">
              <w:t>61.8</w:t>
            </w:r>
          </w:p>
        </w:tc>
        <w:tc>
          <w:tcPr>
            <w:tcW w:w="1589" w:type="dxa"/>
            <w:shd w:val="clear" w:color="auto" w:fill="auto"/>
          </w:tcPr>
          <w:p w14:paraId="3CEB015A" w14:textId="77777777" w:rsidR="000413BA" w:rsidRPr="00657E8C" w:rsidRDefault="000413BA" w:rsidP="002D3A00">
            <w:pPr>
              <w:pStyle w:val="ARtabletextright"/>
            </w:pPr>
            <w:r w:rsidRPr="00657E8C">
              <w:t>10.4</w:t>
            </w:r>
          </w:p>
        </w:tc>
      </w:tr>
    </w:tbl>
    <w:p w14:paraId="70FC31D3" w14:textId="77777777" w:rsidR="00F17551" w:rsidRPr="00F16145" w:rsidRDefault="00F17551" w:rsidP="00F16145">
      <w:pPr>
        <w:pStyle w:val="ARbody"/>
      </w:pPr>
    </w:p>
    <w:p w14:paraId="16106617" w14:textId="77777777" w:rsidR="00F17551" w:rsidRPr="00F16145" w:rsidRDefault="00F17551" w:rsidP="00F16145">
      <w:pPr>
        <w:pStyle w:val="ARbody"/>
        <w:sectPr w:rsidR="00F17551" w:rsidRPr="00F16145" w:rsidSect="001719E6">
          <w:footerReference w:type="even" r:id="rId120"/>
          <w:footerReference w:type="default" r:id="rId121"/>
          <w:pgSz w:w="11906" w:h="16838" w:code="9"/>
          <w:pgMar w:top="1985" w:right="851" w:bottom="851" w:left="1418" w:header="510" w:footer="340" w:gutter="0"/>
          <w:cols w:space="708"/>
          <w:docGrid w:linePitch="360"/>
        </w:sectPr>
      </w:pPr>
    </w:p>
    <w:p w14:paraId="0E292C57" w14:textId="385FD9C7" w:rsidR="00BD15C0" w:rsidRPr="00657E8C" w:rsidRDefault="00207BA8" w:rsidP="008C254A">
      <w:pPr>
        <w:pStyle w:val="Heading4"/>
        <w:spacing w:before="0"/>
      </w:pPr>
      <w:r w:rsidRPr="00657E8C">
        <w:t xml:space="preserve">Victorian Agency for Health Information </w:t>
      </w:r>
      <w:r>
        <w:t>employment levels in June of 2018 and 2019</w:t>
      </w:r>
    </w:p>
    <w:tbl>
      <w:tblPr>
        <w:tblStyle w:val="TableGrid"/>
        <w:tblW w:w="14005" w:type="dxa"/>
        <w:tblInd w:w="-10" w:type="dxa"/>
        <w:tblLook w:val="06A0" w:firstRow="1" w:lastRow="0" w:firstColumn="1" w:lastColumn="0" w:noHBand="1" w:noVBand="1"/>
      </w:tblPr>
      <w:tblGrid>
        <w:gridCol w:w="1563"/>
        <w:gridCol w:w="790"/>
        <w:gridCol w:w="549"/>
        <w:gridCol w:w="1154"/>
        <w:gridCol w:w="1154"/>
        <w:gridCol w:w="490"/>
        <w:gridCol w:w="1154"/>
        <w:gridCol w:w="955"/>
        <w:gridCol w:w="1154"/>
        <w:gridCol w:w="591"/>
        <w:gridCol w:w="1157"/>
        <w:gridCol w:w="1157"/>
        <w:gridCol w:w="493"/>
        <w:gridCol w:w="1157"/>
        <w:gridCol w:w="487"/>
      </w:tblGrid>
      <w:tr w:rsidR="00037A58" w:rsidRPr="00BC6D6E" w14:paraId="44B9AF80" w14:textId="77777777" w:rsidTr="00CA5D44">
        <w:trPr>
          <w:cnfStyle w:val="100000000000" w:firstRow="1" w:lastRow="0" w:firstColumn="0" w:lastColumn="0" w:oddVBand="0" w:evenVBand="0" w:oddHBand="0" w:evenHBand="0" w:firstRowFirstColumn="0" w:firstRowLastColumn="0" w:lastRowFirstColumn="0" w:lastRowLastColumn="0"/>
          <w:tblHeader/>
        </w:trPr>
        <w:tc>
          <w:tcPr>
            <w:tcW w:w="558" w:type="pct"/>
            <w:vMerge w:val="restart"/>
          </w:tcPr>
          <w:p w14:paraId="4EAA2D9B" w14:textId="77777777" w:rsidR="00037A58" w:rsidRPr="00BC6D6E" w:rsidRDefault="00037A58" w:rsidP="00CA5D44">
            <w:pPr>
              <w:pStyle w:val="ARtabletext"/>
              <w:spacing w:before="60" w:after="40"/>
            </w:pPr>
          </w:p>
        </w:tc>
        <w:tc>
          <w:tcPr>
            <w:tcW w:w="2230" w:type="pct"/>
            <w:gridSpan w:val="7"/>
          </w:tcPr>
          <w:p w14:paraId="7003B3E8" w14:textId="056668A1" w:rsidR="00037A58" w:rsidRPr="00657E8C" w:rsidRDefault="00037A58" w:rsidP="00CA5D44">
            <w:pPr>
              <w:pStyle w:val="ARtablecolheadcentre"/>
              <w:spacing w:before="60" w:after="40"/>
            </w:pPr>
            <w:r w:rsidRPr="00657E8C">
              <w:t>June 201</w:t>
            </w:r>
            <w:r>
              <w:t>9</w:t>
            </w:r>
          </w:p>
        </w:tc>
        <w:tc>
          <w:tcPr>
            <w:tcW w:w="2212" w:type="pct"/>
            <w:gridSpan w:val="7"/>
          </w:tcPr>
          <w:p w14:paraId="56F65F7A" w14:textId="38E84C94" w:rsidR="00037A58" w:rsidRPr="00657E8C" w:rsidRDefault="00037A58" w:rsidP="00CA5D44">
            <w:pPr>
              <w:pStyle w:val="ARtablecolheadcentre"/>
              <w:spacing w:before="60" w:after="40"/>
            </w:pPr>
            <w:r w:rsidRPr="00657E8C">
              <w:t>June 201</w:t>
            </w:r>
            <w:r>
              <w:t>8</w:t>
            </w:r>
          </w:p>
        </w:tc>
      </w:tr>
      <w:tr w:rsidR="00037A58" w:rsidRPr="00BC6D6E" w14:paraId="561FFA57" w14:textId="77777777" w:rsidTr="00CA5D44">
        <w:trPr>
          <w:cnfStyle w:val="100000000000" w:firstRow="1" w:lastRow="0" w:firstColumn="0" w:lastColumn="0" w:oddVBand="0" w:evenVBand="0" w:oddHBand="0" w:evenHBand="0" w:firstRowFirstColumn="0" w:firstRowLastColumn="0" w:lastRowFirstColumn="0" w:lastRowLastColumn="0"/>
          <w:tblHeader/>
        </w:trPr>
        <w:tc>
          <w:tcPr>
            <w:tcW w:w="558" w:type="pct"/>
            <w:vMerge/>
          </w:tcPr>
          <w:p w14:paraId="61FCD256" w14:textId="77777777" w:rsidR="00037A58" w:rsidRPr="00BC6D6E" w:rsidRDefault="00037A58" w:rsidP="00CA5D44">
            <w:pPr>
              <w:pStyle w:val="ARtabletext"/>
              <w:spacing w:before="60" w:after="40"/>
            </w:pPr>
          </w:p>
        </w:tc>
        <w:tc>
          <w:tcPr>
            <w:tcW w:w="478" w:type="pct"/>
            <w:gridSpan w:val="2"/>
          </w:tcPr>
          <w:p w14:paraId="0DA8B846" w14:textId="109FF5C0" w:rsidR="00037A58" w:rsidRPr="00657E8C" w:rsidRDefault="00037A58" w:rsidP="00CA5D44">
            <w:pPr>
              <w:pStyle w:val="ARtablecolheadcentre"/>
              <w:spacing w:before="60" w:after="40"/>
            </w:pPr>
            <w:r w:rsidRPr="00657E8C">
              <w:t>All employees</w:t>
            </w:r>
          </w:p>
        </w:tc>
        <w:tc>
          <w:tcPr>
            <w:tcW w:w="999" w:type="pct"/>
            <w:gridSpan w:val="3"/>
          </w:tcPr>
          <w:p w14:paraId="4802F4C4" w14:textId="270E9534" w:rsidR="00037A58" w:rsidRPr="00657E8C" w:rsidRDefault="00037A58" w:rsidP="00CA5D44">
            <w:pPr>
              <w:pStyle w:val="ARtablecolheadcentre"/>
              <w:spacing w:before="60" w:after="40"/>
            </w:pPr>
            <w:r w:rsidRPr="00657E8C">
              <w:t>Ongoing</w:t>
            </w:r>
          </w:p>
        </w:tc>
        <w:tc>
          <w:tcPr>
            <w:tcW w:w="753" w:type="pct"/>
            <w:gridSpan w:val="2"/>
          </w:tcPr>
          <w:p w14:paraId="02C3BB80" w14:textId="546168A0" w:rsidR="00037A58" w:rsidRPr="00657E8C" w:rsidRDefault="00037A58" w:rsidP="00CA5D44">
            <w:pPr>
              <w:pStyle w:val="ARtablecolheadcentre"/>
              <w:spacing w:before="60" w:after="40"/>
            </w:pPr>
            <w:r w:rsidRPr="00657E8C">
              <w:t>Fixed term and casual</w:t>
            </w:r>
          </w:p>
        </w:tc>
        <w:tc>
          <w:tcPr>
            <w:tcW w:w="623" w:type="pct"/>
            <w:gridSpan w:val="2"/>
          </w:tcPr>
          <w:p w14:paraId="6123ACED" w14:textId="04D807E3" w:rsidR="00037A58" w:rsidRPr="00657E8C" w:rsidRDefault="00037A58" w:rsidP="00CA5D44">
            <w:pPr>
              <w:pStyle w:val="ARtablecolheadcentre"/>
              <w:spacing w:before="60" w:after="40"/>
            </w:pPr>
            <w:r w:rsidRPr="00657E8C">
              <w:t>All employees</w:t>
            </w:r>
          </w:p>
        </w:tc>
        <w:tc>
          <w:tcPr>
            <w:tcW w:w="1002" w:type="pct"/>
            <w:gridSpan w:val="3"/>
          </w:tcPr>
          <w:p w14:paraId="533B90EE" w14:textId="43DB0B70" w:rsidR="00037A58" w:rsidRPr="00657E8C" w:rsidRDefault="00037A58" w:rsidP="00CA5D44">
            <w:pPr>
              <w:pStyle w:val="ARtablecolheadcentre"/>
              <w:spacing w:before="60" w:after="40"/>
            </w:pPr>
            <w:r w:rsidRPr="00657E8C">
              <w:t>Ongoing</w:t>
            </w:r>
          </w:p>
        </w:tc>
        <w:tc>
          <w:tcPr>
            <w:tcW w:w="588" w:type="pct"/>
            <w:gridSpan w:val="2"/>
          </w:tcPr>
          <w:p w14:paraId="75443E89" w14:textId="36632B70" w:rsidR="00037A58" w:rsidRPr="00657E8C" w:rsidRDefault="00037A58" w:rsidP="00CA5D44">
            <w:pPr>
              <w:pStyle w:val="ARtablecolheadcentre"/>
              <w:spacing w:before="60" w:after="40"/>
            </w:pPr>
            <w:r w:rsidRPr="00657E8C">
              <w:t>Fixed term and casual</w:t>
            </w:r>
          </w:p>
        </w:tc>
      </w:tr>
      <w:tr w:rsidR="00037A58" w:rsidRPr="00BC6D6E" w14:paraId="073A7A48" w14:textId="77777777" w:rsidTr="00CA5D44">
        <w:trPr>
          <w:cnfStyle w:val="100000000000" w:firstRow="1" w:lastRow="0" w:firstColumn="0" w:lastColumn="0" w:oddVBand="0" w:evenVBand="0" w:oddHBand="0" w:evenHBand="0" w:firstRowFirstColumn="0" w:firstRowLastColumn="0" w:lastRowFirstColumn="0" w:lastRowLastColumn="0"/>
          <w:tblHeader/>
        </w:trPr>
        <w:tc>
          <w:tcPr>
            <w:tcW w:w="558" w:type="pct"/>
            <w:vMerge/>
          </w:tcPr>
          <w:p w14:paraId="7A37E391" w14:textId="77777777" w:rsidR="00037A58" w:rsidRPr="00BC6D6E" w:rsidRDefault="00037A58" w:rsidP="00CA5D44">
            <w:pPr>
              <w:pStyle w:val="ARtabletext"/>
              <w:spacing w:before="60" w:after="40"/>
            </w:pPr>
          </w:p>
        </w:tc>
        <w:tc>
          <w:tcPr>
            <w:tcW w:w="282" w:type="pct"/>
          </w:tcPr>
          <w:p w14:paraId="4D222CC8" w14:textId="2F3D56C0" w:rsidR="00037A58" w:rsidRPr="00BC6D6E" w:rsidRDefault="00037A58" w:rsidP="00CA5D44">
            <w:pPr>
              <w:pStyle w:val="ARtablecolheadright"/>
              <w:spacing w:before="60" w:after="40"/>
            </w:pPr>
            <w:r w:rsidRPr="00657E8C">
              <w:t>Number (head count)</w:t>
            </w:r>
          </w:p>
        </w:tc>
        <w:tc>
          <w:tcPr>
            <w:tcW w:w="196" w:type="pct"/>
          </w:tcPr>
          <w:p w14:paraId="331CDF48" w14:textId="5F35E1DC" w:rsidR="00037A58" w:rsidRPr="00BC6D6E" w:rsidRDefault="00037A58" w:rsidP="00CA5D44">
            <w:pPr>
              <w:pStyle w:val="ARtablecolheadright"/>
              <w:spacing w:before="60" w:after="40"/>
            </w:pPr>
            <w:r w:rsidRPr="00657E8C">
              <w:t>FTE</w:t>
            </w:r>
          </w:p>
        </w:tc>
        <w:tc>
          <w:tcPr>
            <w:tcW w:w="412" w:type="pct"/>
          </w:tcPr>
          <w:p w14:paraId="75AE92D6" w14:textId="31269428" w:rsidR="00037A58" w:rsidRPr="00BC6D6E" w:rsidRDefault="00037A58" w:rsidP="00CA5D44">
            <w:pPr>
              <w:pStyle w:val="ARtablecolheadright"/>
              <w:spacing w:before="60" w:after="40"/>
            </w:pPr>
            <w:r w:rsidRPr="00657E8C">
              <w:t>Full-time (head count)</w:t>
            </w:r>
          </w:p>
        </w:tc>
        <w:tc>
          <w:tcPr>
            <w:tcW w:w="412" w:type="pct"/>
          </w:tcPr>
          <w:p w14:paraId="45441919" w14:textId="300E9734" w:rsidR="00037A58" w:rsidRPr="00BC6D6E" w:rsidRDefault="00037A58" w:rsidP="00CA5D44">
            <w:pPr>
              <w:pStyle w:val="ARtablecolheadright"/>
              <w:spacing w:before="60" w:after="40"/>
            </w:pPr>
            <w:r w:rsidRPr="00657E8C">
              <w:t>Part-time (head count)</w:t>
            </w:r>
          </w:p>
        </w:tc>
        <w:tc>
          <w:tcPr>
            <w:tcW w:w="175" w:type="pct"/>
          </w:tcPr>
          <w:p w14:paraId="6083A993" w14:textId="3ACB631C" w:rsidR="00037A58" w:rsidRPr="00BC6D6E" w:rsidRDefault="00037A58" w:rsidP="00CA5D44">
            <w:pPr>
              <w:pStyle w:val="ARtablecolheadright"/>
              <w:spacing w:before="60" w:after="40"/>
            </w:pPr>
            <w:r w:rsidRPr="00657E8C">
              <w:t>FTE</w:t>
            </w:r>
          </w:p>
        </w:tc>
        <w:tc>
          <w:tcPr>
            <w:tcW w:w="412" w:type="pct"/>
          </w:tcPr>
          <w:p w14:paraId="360D4FE8" w14:textId="27A5EC02" w:rsidR="00037A58" w:rsidRPr="00BC6D6E" w:rsidRDefault="00037A58" w:rsidP="00CA5D44">
            <w:pPr>
              <w:pStyle w:val="ARtablecolheadright"/>
              <w:spacing w:before="60" w:after="40"/>
            </w:pPr>
            <w:r w:rsidRPr="00657E8C">
              <w:t>Number (head count)</w:t>
            </w:r>
          </w:p>
        </w:tc>
        <w:tc>
          <w:tcPr>
            <w:tcW w:w="340" w:type="pct"/>
          </w:tcPr>
          <w:p w14:paraId="37BF5983" w14:textId="235BE378" w:rsidR="00037A58" w:rsidRPr="00BC6D6E" w:rsidRDefault="00037A58" w:rsidP="00CA5D44">
            <w:pPr>
              <w:pStyle w:val="ARtablecolheadright"/>
              <w:spacing w:before="60" w:after="40"/>
            </w:pPr>
            <w:r w:rsidRPr="00657E8C">
              <w:t>FTE</w:t>
            </w:r>
          </w:p>
        </w:tc>
        <w:tc>
          <w:tcPr>
            <w:tcW w:w="412" w:type="pct"/>
          </w:tcPr>
          <w:p w14:paraId="42D9D573" w14:textId="173224CC" w:rsidR="00037A58" w:rsidRPr="00BC6D6E" w:rsidRDefault="00037A58" w:rsidP="00CA5D44">
            <w:pPr>
              <w:pStyle w:val="ARtablecolheadright"/>
              <w:spacing w:before="60" w:after="40"/>
            </w:pPr>
            <w:r w:rsidRPr="00657E8C">
              <w:t>Number (head count)</w:t>
            </w:r>
          </w:p>
        </w:tc>
        <w:tc>
          <w:tcPr>
            <w:tcW w:w="210" w:type="pct"/>
          </w:tcPr>
          <w:p w14:paraId="39DE74F8" w14:textId="79BA7468" w:rsidR="00037A58" w:rsidRPr="00BC6D6E" w:rsidRDefault="00037A58" w:rsidP="00CA5D44">
            <w:pPr>
              <w:pStyle w:val="ARtablecolheadright"/>
              <w:spacing w:before="60" w:after="40"/>
            </w:pPr>
            <w:r w:rsidRPr="00657E8C">
              <w:t>FTE</w:t>
            </w:r>
          </w:p>
        </w:tc>
        <w:tc>
          <w:tcPr>
            <w:tcW w:w="413" w:type="pct"/>
          </w:tcPr>
          <w:p w14:paraId="263A1FEB" w14:textId="0110B2DF" w:rsidR="00037A58" w:rsidRPr="00BC6D6E" w:rsidRDefault="00037A58" w:rsidP="00CA5D44">
            <w:pPr>
              <w:pStyle w:val="ARtablecolheadright"/>
              <w:spacing w:before="60" w:after="40"/>
            </w:pPr>
            <w:r w:rsidRPr="00657E8C">
              <w:t>Full-time (head count)</w:t>
            </w:r>
          </w:p>
        </w:tc>
        <w:tc>
          <w:tcPr>
            <w:tcW w:w="413" w:type="pct"/>
          </w:tcPr>
          <w:p w14:paraId="1EE73B56" w14:textId="78AAB680" w:rsidR="00037A58" w:rsidRPr="00BC6D6E" w:rsidRDefault="00037A58" w:rsidP="00CA5D44">
            <w:pPr>
              <w:pStyle w:val="ARtablecolheadright"/>
              <w:spacing w:before="60" w:after="40"/>
            </w:pPr>
            <w:r w:rsidRPr="00657E8C">
              <w:t>Part-time (head count)</w:t>
            </w:r>
          </w:p>
        </w:tc>
        <w:tc>
          <w:tcPr>
            <w:tcW w:w="175" w:type="pct"/>
          </w:tcPr>
          <w:p w14:paraId="27DC183A" w14:textId="4828541F" w:rsidR="00037A58" w:rsidRPr="00BC6D6E" w:rsidRDefault="00037A58" w:rsidP="00CA5D44">
            <w:pPr>
              <w:pStyle w:val="ARtablecolheadright"/>
              <w:spacing w:before="60" w:after="40"/>
            </w:pPr>
            <w:r w:rsidRPr="00657E8C">
              <w:t>FTE</w:t>
            </w:r>
          </w:p>
        </w:tc>
        <w:tc>
          <w:tcPr>
            <w:tcW w:w="413" w:type="pct"/>
          </w:tcPr>
          <w:p w14:paraId="419A3593" w14:textId="4E3005CC" w:rsidR="00037A58" w:rsidRPr="00BC6D6E" w:rsidRDefault="00037A58" w:rsidP="00CA5D44">
            <w:pPr>
              <w:pStyle w:val="ARtablecolheadright"/>
              <w:spacing w:before="60" w:after="40"/>
            </w:pPr>
            <w:r w:rsidRPr="00657E8C">
              <w:t>Number (head count)</w:t>
            </w:r>
          </w:p>
        </w:tc>
        <w:tc>
          <w:tcPr>
            <w:tcW w:w="174" w:type="pct"/>
          </w:tcPr>
          <w:p w14:paraId="54060D56" w14:textId="235B4977" w:rsidR="00037A58" w:rsidRPr="00BC6D6E" w:rsidRDefault="00037A58" w:rsidP="00CA5D44">
            <w:pPr>
              <w:pStyle w:val="ARtablecolheadright"/>
              <w:spacing w:before="60" w:after="40"/>
            </w:pPr>
            <w:r w:rsidRPr="00657E8C">
              <w:t>FTE</w:t>
            </w:r>
          </w:p>
        </w:tc>
      </w:tr>
      <w:tr w:rsidR="00BC6D6E" w:rsidRPr="00BC6D6E" w14:paraId="53102F68" w14:textId="77777777" w:rsidTr="00BC6D6E">
        <w:tc>
          <w:tcPr>
            <w:tcW w:w="5000" w:type="pct"/>
            <w:gridSpan w:val="15"/>
          </w:tcPr>
          <w:p w14:paraId="7B003C24" w14:textId="385968D7" w:rsidR="00BC6D6E" w:rsidRPr="00BC6D6E" w:rsidRDefault="00BC6D6E" w:rsidP="00CA5D44">
            <w:pPr>
              <w:pStyle w:val="ARtablebluebold"/>
              <w:spacing w:before="60" w:after="40" w:line="240" w:lineRule="auto"/>
            </w:pPr>
            <w:r w:rsidRPr="00657E8C">
              <w:t>Gender</w:t>
            </w:r>
          </w:p>
        </w:tc>
      </w:tr>
      <w:tr w:rsidR="00BC6D6E" w:rsidRPr="00BC6D6E" w14:paraId="6BFFF334" w14:textId="77777777" w:rsidTr="00CA5D44">
        <w:tc>
          <w:tcPr>
            <w:tcW w:w="558" w:type="pct"/>
          </w:tcPr>
          <w:p w14:paraId="46410EB5" w14:textId="1CB2E269" w:rsidR="00BC6D6E" w:rsidRPr="00BC6D6E" w:rsidRDefault="00BC6D6E" w:rsidP="00CA5D44">
            <w:pPr>
              <w:pStyle w:val="ARtabletext"/>
              <w:spacing w:before="60" w:after="40" w:line="240" w:lineRule="auto"/>
            </w:pPr>
            <w:r w:rsidRPr="00657E8C">
              <w:t>Women</w:t>
            </w:r>
          </w:p>
        </w:tc>
        <w:tc>
          <w:tcPr>
            <w:tcW w:w="282" w:type="pct"/>
          </w:tcPr>
          <w:p w14:paraId="48DE130A" w14:textId="15A49636" w:rsidR="00BC6D6E" w:rsidRPr="00BC6D6E" w:rsidRDefault="00BC6D6E" w:rsidP="00CA5D44">
            <w:pPr>
              <w:pStyle w:val="ARtabletextright"/>
              <w:spacing w:before="60" w:after="40" w:line="240" w:lineRule="auto"/>
            </w:pPr>
            <w:r w:rsidRPr="00657E8C">
              <w:t>42</w:t>
            </w:r>
          </w:p>
        </w:tc>
        <w:tc>
          <w:tcPr>
            <w:tcW w:w="196" w:type="pct"/>
          </w:tcPr>
          <w:p w14:paraId="0A8D45F2" w14:textId="66236317" w:rsidR="00BC6D6E" w:rsidRPr="00BC6D6E" w:rsidRDefault="00BC6D6E" w:rsidP="00CA5D44">
            <w:pPr>
              <w:pStyle w:val="ARtabletextright"/>
              <w:spacing w:before="60" w:after="40" w:line="240" w:lineRule="auto"/>
            </w:pPr>
            <w:r w:rsidRPr="00657E8C">
              <w:t>40</w:t>
            </w:r>
          </w:p>
        </w:tc>
        <w:tc>
          <w:tcPr>
            <w:tcW w:w="412" w:type="pct"/>
          </w:tcPr>
          <w:p w14:paraId="68C10A30" w14:textId="769D6283" w:rsidR="00BC6D6E" w:rsidRPr="00BC6D6E" w:rsidRDefault="00BC6D6E" w:rsidP="00CA5D44">
            <w:pPr>
              <w:pStyle w:val="ARtabletextright"/>
              <w:spacing w:before="60" w:after="40" w:line="240" w:lineRule="auto"/>
            </w:pPr>
            <w:r w:rsidRPr="00657E8C">
              <w:t>30</w:t>
            </w:r>
          </w:p>
        </w:tc>
        <w:tc>
          <w:tcPr>
            <w:tcW w:w="412" w:type="pct"/>
          </w:tcPr>
          <w:p w14:paraId="50B0B2E5" w14:textId="0ED930C8" w:rsidR="00BC6D6E" w:rsidRPr="00BC6D6E" w:rsidRDefault="00BC6D6E" w:rsidP="00CA5D44">
            <w:pPr>
              <w:pStyle w:val="ARtabletextright"/>
              <w:spacing w:before="60" w:after="40" w:line="240" w:lineRule="auto"/>
            </w:pPr>
            <w:r w:rsidRPr="00657E8C">
              <w:t>5</w:t>
            </w:r>
          </w:p>
        </w:tc>
        <w:tc>
          <w:tcPr>
            <w:tcW w:w="175" w:type="pct"/>
          </w:tcPr>
          <w:p w14:paraId="25CBE4C4" w14:textId="3D311F6E" w:rsidR="00BC6D6E" w:rsidRPr="00BC6D6E" w:rsidRDefault="00BC6D6E" w:rsidP="00CA5D44">
            <w:pPr>
              <w:pStyle w:val="ARtabletextright"/>
              <w:spacing w:before="60" w:after="40" w:line="240" w:lineRule="auto"/>
            </w:pPr>
            <w:r w:rsidRPr="00657E8C">
              <w:t>33.6</w:t>
            </w:r>
          </w:p>
        </w:tc>
        <w:tc>
          <w:tcPr>
            <w:tcW w:w="412" w:type="pct"/>
          </w:tcPr>
          <w:p w14:paraId="1A140A6C" w14:textId="208F9056" w:rsidR="00BC6D6E" w:rsidRPr="00BC6D6E" w:rsidRDefault="00BC6D6E" w:rsidP="00CA5D44">
            <w:pPr>
              <w:pStyle w:val="ARtabletextright"/>
              <w:spacing w:before="60" w:after="40" w:line="240" w:lineRule="auto"/>
            </w:pPr>
            <w:r w:rsidRPr="00657E8C">
              <w:t>7</w:t>
            </w:r>
          </w:p>
        </w:tc>
        <w:tc>
          <w:tcPr>
            <w:tcW w:w="340" w:type="pct"/>
          </w:tcPr>
          <w:p w14:paraId="0DE09533" w14:textId="3EA0F0C2" w:rsidR="00BC6D6E" w:rsidRPr="00BC6D6E" w:rsidRDefault="00BC6D6E" w:rsidP="00CA5D44">
            <w:pPr>
              <w:pStyle w:val="ARtabletextright"/>
              <w:spacing w:before="60" w:after="40" w:line="240" w:lineRule="auto"/>
            </w:pPr>
            <w:r w:rsidRPr="00657E8C">
              <w:t>6.4</w:t>
            </w:r>
          </w:p>
        </w:tc>
        <w:tc>
          <w:tcPr>
            <w:tcW w:w="412" w:type="pct"/>
          </w:tcPr>
          <w:p w14:paraId="7BC86F56" w14:textId="3F412130" w:rsidR="00BC6D6E" w:rsidRPr="00BC6D6E" w:rsidRDefault="00BC6D6E" w:rsidP="00CA5D44">
            <w:pPr>
              <w:pStyle w:val="ARtabletextright"/>
              <w:spacing w:before="60" w:after="40" w:line="240" w:lineRule="auto"/>
            </w:pPr>
            <w:r w:rsidRPr="00657E8C">
              <w:t>38</w:t>
            </w:r>
          </w:p>
        </w:tc>
        <w:tc>
          <w:tcPr>
            <w:tcW w:w="210" w:type="pct"/>
          </w:tcPr>
          <w:p w14:paraId="53641DB8" w14:textId="40A2F8B1" w:rsidR="00BC6D6E" w:rsidRPr="00BC6D6E" w:rsidRDefault="00BC6D6E" w:rsidP="00CA5D44">
            <w:pPr>
              <w:pStyle w:val="ARtabletextright"/>
              <w:spacing w:before="60" w:after="40" w:line="240" w:lineRule="auto"/>
            </w:pPr>
            <w:r w:rsidRPr="00657E8C">
              <w:t>35.9</w:t>
            </w:r>
          </w:p>
        </w:tc>
        <w:tc>
          <w:tcPr>
            <w:tcW w:w="413" w:type="pct"/>
          </w:tcPr>
          <w:p w14:paraId="42D4EFD7" w14:textId="472B785D" w:rsidR="00BC6D6E" w:rsidRPr="00BC6D6E" w:rsidRDefault="00BC6D6E" w:rsidP="00CA5D44">
            <w:pPr>
              <w:pStyle w:val="ARtabletextright"/>
              <w:spacing w:before="60" w:after="40" w:line="240" w:lineRule="auto"/>
            </w:pPr>
            <w:r w:rsidRPr="00657E8C">
              <w:t>26</w:t>
            </w:r>
          </w:p>
        </w:tc>
        <w:tc>
          <w:tcPr>
            <w:tcW w:w="413" w:type="pct"/>
          </w:tcPr>
          <w:p w14:paraId="7E01D654" w14:textId="69B56E5C" w:rsidR="00BC6D6E" w:rsidRPr="00BC6D6E" w:rsidRDefault="00BC6D6E" w:rsidP="00CA5D44">
            <w:pPr>
              <w:pStyle w:val="ARtabletextright"/>
              <w:spacing w:before="60" w:after="40" w:line="240" w:lineRule="auto"/>
            </w:pPr>
            <w:r w:rsidRPr="00657E8C">
              <w:t>5</w:t>
            </w:r>
          </w:p>
        </w:tc>
        <w:tc>
          <w:tcPr>
            <w:tcW w:w="175" w:type="pct"/>
          </w:tcPr>
          <w:p w14:paraId="278862CE" w14:textId="7057B2CF" w:rsidR="00BC6D6E" w:rsidRPr="00BC6D6E" w:rsidRDefault="00BC6D6E" w:rsidP="00CA5D44">
            <w:pPr>
              <w:pStyle w:val="ARtabletextright"/>
              <w:spacing w:before="60" w:after="40" w:line="240" w:lineRule="auto"/>
            </w:pPr>
            <w:r w:rsidRPr="00657E8C">
              <w:t>29.3</w:t>
            </w:r>
          </w:p>
        </w:tc>
        <w:tc>
          <w:tcPr>
            <w:tcW w:w="413" w:type="pct"/>
          </w:tcPr>
          <w:p w14:paraId="36435047" w14:textId="6F73A4E9" w:rsidR="00BC6D6E" w:rsidRPr="00BC6D6E" w:rsidRDefault="00BC6D6E" w:rsidP="00CA5D44">
            <w:pPr>
              <w:pStyle w:val="ARtabletextright"/>
              <w:spacing w:before="60" w:after="40" w:line="240" w:lineRule="auto"/>
            </w:pPr>
            <w:r w:rsidRPr="00657E8C">
              <w:t>7</w:t>
            </w:r>
          </w:p>
        </w:tc>
        <w:tc>
          <w:tcPr>
            <w:tcW w:w="174" w:type="pct"/>
          </w:tcPr>
          <w:p w14:paraId="4F6B8CA8" w14:textId="428A6645" w:rsidR="00BC6D6E" w:rsidRPr="00BC6D6E" w:rsidRDefault="00BC6D6E" w:rsidP="00CA5D44">
            <w:pPr>
              <w:pStyle w:val="ARtabletextright"/>
              <w:spacing w:before="60" w:after="40" w:line="240" w:lineRule="auto"/>
            </w:pPr>
            <w:r w:rsidRPr="00657E8C">
              <w:t>6.6</w:t>
            </w:r>
          </w:p>
        </w:tc>
      </w:tr>
      <w:tr w:rsidR="00BC6D6E" w:rsidRPr="00BC6D6E" w14:paraId="61319B2C" w14:textId="77777777" w:rsidTr="00CA5D44">
        <w:tc>
          <w:tcPr>
            <w:tcW w:w="558" w:type="pct"/>
          </w:tcPr>
          <w:p w14:paraId="44F33BEE" w14:textId="528246FF" w:rsidR="00BC6D6E" w:rsidRPr="00BC6D6E" w:rsidRDefault="00BC6D6E" w:rsidP="00CA5D44">
            <w:pPr>
              <w:pStyle w:val="ARtabletext"/>
              <w:spacing w:before="60" w:after="40" w:line="240" w:lineRule="auto"/>
            </w:pPr>
            <w:r w:rsidRPr="00657E8C">
              <w:t>Men</w:t>
            </w:r>
          </w:p>
        </w:tc>
        <w:tc>
          <w:tcPr>
            <w:tcW w:w="282" w:type="pct"/>
          </w:tcPr>
          <w:p w14:paraId="424EE43D" w14:textId="6AEA8DFC" w:rsidR="00BC6D6E" w:rsidRPr="00BC6D6E" w:rsidRDefault="00BC6D6E" w:rsidP="00CA5D44">
            <w:pPr>
              <w:pStyle w:val="ARtabletextright"/>
              <w:spacing w:before="60" w:after="40" w:line="240" w:lineRule="auto"/>
            </w:pPr>
            <w:r w:rsidRPr="00657E8C">
              <w:t>33</w:t>
            </w:r>
          </w:p>
        </w:tc>
        <w:tc>
          <w:tcPr>
            <w:tcW w:w="196" w:type="pct"/>
          </w:tcPr>
          <w:p w14:paraId="6796DCA3" w14:textId="4355E539" w:rsidR="00BC6D6E" w:rsidRPr="00BC6D6E" w:rsidRDefault="00BC6D6E" w:rsidP="00CA5D44">
            <w:pPr>
              <w:pStyle w:val="ARtabletextright"/>
              <w:spacing w:before="60" w:after="40" w:line="240" w:lineRule="auto"/>
            </w:pPr>
            <w:r w:rsidRPr="00657E8C">
              <w:t>32.2</w:t>
            </w:r>
          </w:p>
        </w:tc>
        <w:tc>
          <w:tcPr>
            <w:tcW w:w="412" w:type="pct"/>
          </w:tcPr>
          <w:p w14:paraId="219B494F" w14:textId="51478C1B" w:rsidR="00BC6D6E" w:rsidRPr="00BC6D6E" w:rsidRDefault="00BC6D6E" w:rsidP="00CA5D44">
            <w:pPr>
              <w:pStyle w:val="ARtabletextright"/>
              <w:spacing w:before="60" w:after="40" w:line="240" w:lineRule="auto"/>
            </w:pPr>
            <w:r w:rsidRPr="00657E8C">
              <w:t>27</w:t>
            </w:r>
          </w:p>
        </w:tc>
        <w:tc>
          <w:tcPr>
            <w:tcW w:w="412" w:type="pct"/>
          </w:tcPr>
          <w:p w14:paraId="5D582B59" w14:textId="40D6BDD4" w:rsidR="00BC6D6E" w:rsidRPr="00BC6D6E" w:rsidRDefault="00BC6D6E" w:rsidP="00CA5D44">
            <w:pPr>
              <w:pStyle w:val="ARtabletextright"/>
              <w:spacing w:before="60" w:after="40" w:line="240" w:lineRule="auto"/>
            </w:pPr>
            <w:r w:rsidRPr="00657E8C">
              <w:t>2</w:t>
            </w:r>
          </w:p>
        </w:tc>
        <w:tc>
          <w:tcPr>
            <w:tcW w:w="175" w:type="pct"/>
          </w:tcPr>
          <w:p w14:paraId="1A83D265" w14:textId="093D3593" w:rsidR="00BC6D6E" w:rsidRPr="00BC6D6E" w:rsidRDefault="00BC6D6E" w:rsidP="00CA5D44">
            <w:pPr>
              <w:pStyle w:val="ARtabletextright"/>
              <w:spacing w:before="60" w:after="40" w:line="240" w:lineRule="auto"/>
            </w:pPr>
            <w:r w:rsidRPr="00657E8C">
              <w:t>28.2</w:t>
            </w:r>
          </w:p>
        </w:tc>
        <w:tc>
          <w:tcPr>
            <w:tcW w:w="412" w:type="pct"/>
          </w:tcPr>
          <w:p w14:paraId="4E2B3718" w14:textId="0C3D0DCA" w:rsidR="00BC6D6E" w:rsidRPr="00BC6D6E" w:rsidRDefault="00BC6D6E" w:rsidP="00CA5D44">
            <w:pPr>
              <w:pStyle w:val="ARtabletextright"/>
              <w:spacing w:before="60" w:after="40" w:line="240" w:lineRule="auto"/>
            </w:pPr>
            <w:r w:rsidRPr="00657E8C">
              <w:t>4</w:t>
            </w:r>
          </w:p>
        </w:tc>
        <w:tc>
          <w:tcPr>
            <w:tcW w:w="340" w:type="pct"/>
          </w:tcPr>
          <w:p w14:paraId="6AED7BB8" w14:textId="1D46B981" w:rsidR="00BC6D6E" w:rsidRPr="00BC6D6E" w:rsidRDefault="00BC6D6E" w:rsidP="00CA5D44">
            <w:pPr>
              <w:pStyle w:val="ARtabletextright"/>
              <w:spacing w:before="60" w:after="40" w:line="240" w:lineRule="auto"/>
            </w:pPr>
            <w:r w:rsidRPr="00657E8C">
              <w:t>4</w:t>
            </w:r>
          </w:p>
        </w:tc>
        <w:tc>
          <w:tcPr>
            <w:tcW w:w="412" w:type="pct"/>
          </w:tcPr>
          <w:p w14:paraId="33B0202E" w14:textId="3D474967" w:rsidR="00BC6D6E" w:rsidRPr="00BC6D6E" w:rsidRDefault="00BC6D6E" w:rsidP="00CA5D44">
            <w:pPr>
              <w:pStyle w:val="ARtabletextright"/>
              <w:spacing w:before="60" w:after="40" w:line="240" w:lineRule="auto"/>
            </w:pPr>
            <w:r w:rsidRPr="00657E8C">
              <w:t>26</w:t>
            </w:r>
          </w:p>
        </w:tc>
        <w:tc>
          <w:tcPr>
            <w:tcW w:w="210" w:type="pct"/>
          </w:tcPr>
          <w:p w14:paraId="06CF5291" w14:textId="72D7CF74" w:rsidR="00BC6D6E" w:rsidRPr="00BC6D6E" w:rsidRDefault="00BC6D6E" w:rsidP="00CA5D44">
            <w:pPr>
              <w:pStyle w:val="ARtabletextright"/>
              <w:spacing w:before="60" w:after="40" w:line="240" w:lineRule="auto"/>
            </w:pPr>
            <w:r w:rsidRPr="00657E8C">
              <w:t>25.2</w:t>
            </w:r>
          </w:p>
        </w:tc>
        <w:tc>
          <w:tcPr>
            <w:tcW w:w="413" w:type="pct"/>
          </w:tcPr>
          <w:p w14:paraId="5A9F2D96" w14:textId="5C3E8994" w:rsidR="00BC6D6E" w:rsidRPr="00BC6D6E" w:rsidRDefault="00BC6D6E" w:rsidP="00CA5D44">
            <w:pPr>
              <w:pStyle w:val="ARtabletextright"/>
              <w:spacing w:before="60" w:after="40" w:line="240" w:lineRule="auto"/>
            </w:pPr>
            <w:r w:rsidRPr="00657E8C">
              <w:t>20</w:t>
            </w:r>
          </w:p>
        </w:tc>
        <w:tc>
          <w:tcPr>
            <w:tcW w:w="413" w:type="pct"/>
          </w:tcPr>
          <w:p w14:paraId="27A4B414" w14:textId="6630D718" w:rsidR="00BC6D6E" w:rsidRPr="00BC6D6E" w:rsidRDefault="00BC6D6E" w:rsidP="00CA5D44">
            <w:pPr>
              <w:pStyle w:val="ARtabletextright"/>
              <w:spacing w:before="60" w:after="40" w:line="240" w:lineRule="auto"/>
            </w:pPr>
            <w:r w:rsidRPr="00657E8C">
              <w:t>3</w:t>
            </w:r>
          </w:p>
        </w:tc>
        <w:tc>
          <w:tcPr>
            <w:tcW w:w="175" w:type="pct"/>
          </w:tcPr>
          <w:p w14:paraId="749D1BE9" w14:textId="7AB895DF" w:rsidR="00BC6D6E" w:rsidRPr="00BC6D6E" w:rsidRDefault="00BC6D6E" w:rsidP="00CA5D44">
            <w:pPr>
              <w:pStyle w:val="ARtabletextright"/>
              <w:spacing w:before="60" w:after="40" w:line="240" w:lineRule="auto"/>
            </w:pPr>
            <w:r w:rsidRPr="00657E8C">
              <w:t>22.2</w:t>
            </w:r>
          </w:p>
        </w:tc>
        <w:tc>
          <w:tcPr>
            <w:tcW w:w="413" w:type="pct"/>
          </w:tcPr>
          <w:p w14:paraId="4A449FC6" w14:textId="165A8A45" w:rsidR="00BC6D6E" w:rsidRPr="00BC6D6E" w:rsidRDefault="00BC6D6E" w:rsidP="00CA5D44">
            <w:pPr>
              <w:pStyle w:val="ARtabletextright"/>
              <w:spacing w:before="60" w:after="40" w:line="240" w:lineRule="auto"/>
            </w:pPr>
            <w:r w:rsidRPr="00657E8C">
              <w:t>3</w:t>
            </w:r>
          </w:p>
        </w:tc>
        <w:tc>
          <w:tcPr>
            <w:tcW w:w="174" w:type="pct"/>
          </w:tcPr>
          <w:p w14:paraId="45B23896" w14:textId="2A772F17" w:rsidR="00BC6D6E" w:rsidRPr="00BC6D6E" w:rsidRDefault="00BC6D6E" w:rsidP="00CA5D44">
            <w:pPr>
              <w:pStyle w:val="ARtabletextright"/>
              <w:spacing w:before="60" w:after="40" w:line="240" w:lineRule="auto"/>
            </w:pPr>
            <w:r w:rsidRPr="00657E8C">
              <w:t>3</w:t>
            </w:r>
          </w:p>
        </w:tc>
      </w:tr>
      <w:tr w:rsidR="00CA5D44" w:rsidRPr="00BC6D6E" w14:paraId="6B42500E" w14:textId="77777777" w:rsidTr="00CA5D44">
        <w:tc>
          <w:tcPr>
            <w:tcW w:w="558" w:type="pct"/>
          </w:tcPr>
          <w:p w14:paraId="09B10D83" w14:textId="443B56BA" w:rsidR="00CA5D44" w:rsidRPr="00BC6D6E" w:rsidRDefault="00CA5D44" w:rsidP="00CA5D44">
            <w:pPr>
              <w:pStyle w:val="ARtabletext"/>
              <w:spacing w:before="60" w:after="40" w:line="240" w:lineRule="auto"/>
            </w:pPr>
            <w:r w:rsidRPr="00657E8C">
              <w:t>Self-described</w:t>
            </w:r>
          </w:p>
        </w:tc>
        <w:tc>
          <w:tcPr>
            <w:tcW w:w="282" w:type="pct"/>
          </w:tcPr>
          <w:p w14:paraId="68600393" w14:textId="0F4FCA5F" w:rsidR="00CA5D44" w:rsidRPr="00BC6D6E" w:rsidRDefault="00CA5D44" w:rsidP="00CA5D44">
            <w:pPr>
              <w:pStyle w:val="ARtabletextright"/>
              <w:spacing w:before="60" w:after="40" w:line="240" w:lineRule="auto"/>
            </w:pPr>
            <w:r w:rsidRPr="00657E8C">
              <w:t>n</w:t>
            </w:r>
            <w:r>
              <w:t>a</w:t>
            </w:r>
          </w:p>
        </w:tc>
        <w:tc>
          <w:tcPr>
            <w:tcW w:w="196" w:type="pct"/>
          </w:tcPr>
          <w:p w14:paraId="467605F4" w14:textId="18D55638" w:rsidR="00CA5D44" w:rsidRPr="00BC6D6E" w:rsidRDefault="00CA5D44" w:rsidP="00CA5D44">
            <w:pPr>
              <w:pStyle w:val="ARtabletextright"/>
              <w:spacing w:before="60" w:after="40" w:line="240" w:lineRule="auto"/>
            </w:pPr>
            <w:r>
              <w:t>na</w:t>
            </w:r>
          </w:p>
        </w:tc>
        <w:tc>
          <w:tcPr>
            <w:tcW w:w="412" w:type="pct"/>
          </w:tcPr>
          <w:p w14:paraId="38CF3C88" w14:textId="41771156" w:rsidR="00CA5D44" w:rsidRPr="00BC6D6E" w:rsidRDefault="00CA5D44" w:rsidP="00CA5D44">
            <w:pPr>
              <w:pStyle w:val="ARtabletextright"/>
              <w:spacing w:before="60" w:after="40" w:line="240" w:lineRule="auto"/>
            </w:pPr>
            <w:r>
              <w:t>na</w:t>
            </w:r>
          </w:p>
        </w:tc>
        <w:tc>
          <w:tcPr>
            <w:tcW w:w="412" w:type="pct"/>
          </w:tcPr>
          <w:p w14:paraId="0151ED8D" w14:textId="4494C160" w:rsidR="00CA5D44" w:rsidRPr="00BC6D6E" w:rsidRDefault="00CA5D44" w:rsidP="00CA5D44">
            <w:pPr>
              <w:pStyle w:val="ARtabletextright"/>
              <w:spacing w:before="60" w:after="40" w:line="240" w:lineRule="auto"/>
            </w:pPr>
            <w:r>
              <w:t>na</w:t>
            </w:r>
          </w:p>
        </w:tc>
        <w:tc>
          <w:tcPr>
            <w:tcW w:w="175" w:type="pct"/>
          </w:tcPr>
          <w:p w14:paraId="3F12D9EB" w14:textId="29E72B86" w:rsidR="00CA5D44" w:rsidRPr="00BC6D6E" w:rsidRDefault="00CA5D44" w:rsidP="00CA5D44">
            <w:pPr>
              <w:pStyle w:val="ARtabletextright"/>
              <w:spacing w:before="60" w:after="40" w:line="240" w:lineRule="auto"/>
            </w:pPr>
            <w:r w:rsidRPr="00657E8C">
              <w:t>n</w:t>
            </w:r>
            <w:r>
              <w:t>a</w:t>
            </w:r>
          </w:p>
        </w:tc>
        <w:tc>
          <w:tcPr>
            <w:tcW w:w="412" w:type="pct"/>
          </w:tcPr>
          <w:p w14:paraId="513EDFD7" w14:textId="7DA87022" w:rsidR="00CA5D44" w:rsidRPr="00BC6D6E" w:rsidRDefault="00CA5D44" w:rsidP="00CA5D44">
            <w:pPr>
              <w:pStyle w:val="ARtabletextright"/>
              <w:spacing w:before="60" w:after="40" w:line="240" w:lineRule="auto"/>
            </w:pPr>
            <w:r w:rsidRPr="00657E8C">
              <w:t>n</w:t>
            </w:r>
            <w:r>
              <w:t>a</w:t>
            </w:r>
          </w:p>
        </w:tc>
        <w:tc>
          <w:tcPr>
            <w:tcW w:w="340" w:type="pct"/>
          </w:tcPr>
          <w:p w14:paraId="741E2DBE" w14:textId="3573D30E" w:rsidR="00CA5D44" w:rsidRPr="00BC6D6E" w:rsidRDefault="00CA5D44" w:rsidP="00CA5D44">
            <w:pPr>
              <w:pStyle w:val="ARtabletextright"/>
              <w:spacing w:before="60" w:after="40" w:line="240" w:lineRule="auto"/>
            </w:pPr>
            <w:r w:rsidRPr="00657E8C">
              <w:t>n</w:t>
            </w:r>
            <w:r>
              <w:t>a</w:t>
            </w:r>
          </w:p>
        </w:tc>
        <w:tc>
          <w:tcPr>
            <w:tcW w:w="412" w:type="pct"/>
          </w:tcPr>
          <w:p w14:paraId="44CDCEC7" w14:textId="0BF7B0AA" w:rsidR="00CA5D44" w:rsidRPr="00BC6D6E" w:rsidRDefault="00CA5D44" w:rsidP="00CA5D44">
            <w:pPr>
              <w:pStyle w:val="ARtabletextright"/>
              <w:spacing w:before="60" w:after="40" w:line="240" w:lineRule="auto"/>
            </w:pPr>
            <w:r w:rsidRPr="00657E8C">
              <w:t>n</w:t>
            </w:r>
            <w:r>
              <w:t>a</w:t>
            </w:r>
          </w:p>
        </w:tc>
        <w:tc>
          <w:tcPr>
            <w:tcW w:w="210" w:type="pct"/>
          </w:tcPr>
          <w:p w14:paraId="268292C5" w14:textId="37B499D2" w:rsidR="00CA5D44" w:rsidRPr="00BC6D6E" w:rsidRDefault="00CA5D44" w:rsidP="00CA5D44">
            <w:pPr>
              <w:pStyle w:val="ARtabletextright"/>
              <w:spacing w:before="60" w:after="40" w:line="240" w:lineRule="auto"/>
            </w:pPr>
            <w:r w:rsidRPr="00657E8C">
              <w:t>n</w:t>
            </w:r>
            <w:r>
              <w:t>a</w:t>
            </w:r>
          </w:p>
        </w:tc>
        <w:tc>
          <w:tcPr>
            <w:tcW w:w="413" w:type="pct"/>
          </w:tcPr>
          <w:p w14:paraId="7A45474F" w14:textId="4463EDD4" w:rsidR="00CA5D44" w:rsidRPr="00BC6D6E" w:rsidRDefault="00CA5D44" w:rsidP="00CA5D44">
            <w:pPr>
              <w:pStyle w:val="ARtabletextright"/>
              <w:spacing w:before="60" w:after="40" w:line="240" w:lineRule="auto"/>
            </w:pPr>
            <w:r w:rsidRPr="00657E8C">
              <w:t>n</w:t>
            </w:r>
            <w:r>
              <w:t>a</w:t>
            </w:r>
          </w:p>
        </w:tc>
        <w:tc>
          <w:tcPr>
            <w:tcW w:w="413" w:type="pct"/>
          </w:tcPr>
          <w:p w14:paraId="4ECDA74C" w14:textId="64900660" w:rsidR="00CA5D44" w:rsidRPr="00BC6D6E" w:rsidRDefault="00CA5D44" w:rsidP="00CA5D44">
            <w:pPr>
              <w:pStyle w:val="ARtabletextright"/>
              <w:spacing w:before="60" w:after="40" w:line="240" w:lineRule="auto"/>
            </w:pPr>
            <w:r w:rsidRPr="00657E8C">
              <w:t>n</w:t>
            </w:r>
            <w:r>
              <w:t>a</w:t>
            </w:r>
          </w:p>
        </w:tc>
        <w:tc>
          <w:tcPr>
            <w:tcW w:w="175" w:type="pct"/>
          </w:tcPr>
          <w:p w14:paraId="4297E35A" w14:textId="46D02E1A" w:rsidR="00CA5D44" w:rsidRPr="00BC6D6E" w:rsidRDefault="00CA5D44" w:rsidP="00CA5D44">
            <w:pPr>
              <w:pStyle w:val="ARtabletextright"/>
              <w:spacing w:before="60" w:after="40" w:line="240" w:lineRule="auto"/>
            </w:pPr>
            <w:r w:rsidRPr="00657E8C">
              <w:t>n</w:t>
            </w:r>
            <w:r>
              <w:t>a</w:t>
            </w:r>
          </w:p>
        </w:tc>
        <w:tc>
          <w:tcPr>
            <w:tcW w:w="413" w:type="pct"/>
          </w:tcPr>
          <w:p w14:paraId="57F9DE3E" w14:textId="0C5587A6" w:rsidR="00CA5D44" w:rsidRPr="00BC6D6E" w:rsidRDefault="00CA5D44" w:rsidP="00CA5D44">
            <w:pPr>
              <w:pStyle w:val="ARtabletextright"/>
              <w:spacing w:before="60" w:after="40" w:line="240" w:lineRule="auto"/>
            </w:pPr>
            <w:r w:rsidRPr="00657E8C">
              <w:t>n</w:t>
            </w:r>
            <w:r>
              <w:t>a</w:t>
            </w:r>
          </w:p>
        </w:tc>
        <w:tc>
          <w:tcPr>
            <w:tcW w:w="174" w:type="pct"/>
          </w:tcPr>
          <w:p w14:paraId="27CFD59A" w14:textId="19134938" w:rsidR="00CA5D44" w:rsidRPr="00BC6D6E" w:rsidRDefault="00CA5D44" w:rsidP="00CA5D44">
            <w:pPr>
              <w:pStyle w:val="ARtabletextright"/>
              <w:spacing w:before="60" w:after="40" w:line="240" w:lineRule="auto"/>
            </w:pPr>
            <w:r w:rsidRPr="00657E8C">
              <w:t>n</w:t>
            </w:r>
            <w:r>
              <w:t>a</w:t>
            </w:r>
          </w:p>
        </w:tc>
      </w:tr>
      <w:tr w:rsidR="00BC6D6E" w:rsidRPr="00BC6D6E" w14:paraId="3ABDD558" w14:textId="77777777" w:rsidTr="00BC6D6E">
        <w:tc>
          <w:tcPr>
            <w:tcW w:w="5000" w:type="pct"/>
            <w:gridSpan w:val="15"/>
          </w:tcPr>
          <w:p w14:paraId="7E812037" w14:textId="3A6AF93D" w:rsidR="00BC6D6E" w:rsidRPr="00BC6D6E" w:rsidRDefault="00BC6D6E" w:rsidP="00CA5D44">
            <w:pPr>
              <w:pStyle w:val="ARtablebluebold"/>
              <w:spacing w:before="60" w:after="40" w:line="240" w:lineRule="auto"/>
            </w:pPr>
            <w:r w:rsidRPr="00657E8C">
              <w:t>Age</w:t>
            </w:r>
          </w:p>
        </w:tc>
      </w:tr>
      <w:tr w:rsidR="00BC6D6E" w:rsidRPr="00BC6D6E" w14:paraId="24323DA3" w14:textId="77777777" w:rsidTr="00CA5D44">
        <w:tc>
          <w:tcPr>
            <w:tcW w:w="558" w:type="pct"/>
          </w:tcPr>
          <w:p w14:paraId="493409CE" w14:textId="2E4FD202" w:rsidR="00BC6D6E" w:rsidRPr="00BC6D6E" w:rsidRDefault="00BC6D6E" w:rsidP="00CA5D44">
            <w:pPr>
              <w:pStyle w:val="ARtabletext"/>
              <w:spacing w:before="60" w:after="40" w:line="240" w:lineRule="auto"/>
            </w:pPr>
            <w:r w:rsidRPr="00657E8C">
              <w:t>15</w:t>
            </w:r>
            <w:r>
              <w:t>–</w:t>
            </w:r>
            <w:r w:rsidRPr="00657E8C">
              <w:t>24</w:t>
            </w:r>
          </w:p>
        </w:tc>
        <w:tc>
          <w:tcPr>
            <w:tcW w:w="282" w:type="pct"/>
          </w:tcPr>
          <w:p w14:paraId="6C68FA4D" w14:textId="473856B7" w:rsidR="00BC6D6E" w:rsidRPr="00BC6D6E" w:rsidRDefault="00BC6D6E" w:rsidP="00CA5D44">
            <w:pPr>
              <w:pStyle w:val="ARtabletextright"/>
              <w:spacing w:before="60" w:after="40" w:line="240" w:lineRule="auto"/>
            </w:pPr>
            <w:r w:rsidRPr="00657E8C">
              <w:t>3</w:t>
            </w:r>
          </w:p>
        </w:tc>
        <w:tc>
          <w:tcPr>
            <w:tcW w:w="196" w:type="pct"/>
          </w:tcPr>
          <w:p w14:paraId="12574D58" w14:textId="576388F7" w:rsidR="00BC6D6E" w:rsidRPr="00BC6D6E" w:rsidRDefault="00BC6D6E" w:rsidP="00CA5D44">
            <w:pPr>
              <w:pStyle w:val="ARtabletextright"/>
              <w:spacing w:before="60" w:after="40" w:line="240" w:lineRule="auto"/>
            </w:pPr>
            <w:r w:rsidRPr="00657E8C">
              <w:t>3</w:t>
            </w:r>
          </w:p>
        </w:tc>
        <w:tc>
          <w:tcPr>
            <w:tcW w:w="412" w:type="pct"/>
          </w:tcPr>
          <w:p w14:paraId="3A3ED5B4" w14:textId="208A4772" w:rsidR="00BC6D6E" w:rsidRPr="00BC6D6E" w:rsidRDefault="00BC6D6E" w:rsidP="00CA5D44">
            <w:pPr>
              <w:pStyle w:val="ARtabletextright"/>
              <w:spacing w:before="60" w:after="40" w:line="240" w:lineRule="auto"/>
            </w:pPr>
            <w:r w:rsidRPr="00657E8C">
              <w:t>2</w:t>
            </w:r>
          </w:p>
        </w:tc>
        <w:tc>
          <w:tcPr>
            <w:tcW w:w="412" w:type="pct"/>
          </w:tcPr>
          <w:p w14:paraId="17991EBA" w14:textId="73E3A07A" w:rsidR="00BC6D6E" w:rsidRPr="00BC6D6E" w:rsidRDefault="00BC6D6E" w:rsidP="00CA5D44">
            <w:pPr>
              <w:pStyle w:val="ARtabletextright"/>
              <w:spacing w:before="60" w:after="40" w:line="240" w:lineRule="auto"/>
            </w:pPr>
            <w:r w:rsidRPr="00657E8C">
              <w:t>0</w:t>
            </w:r>
          </w:p>
        </w:tc>
        <w:tc>
          <w:tcPr>
            <w:tcW w:w="175" w:type="pct"/>
          </w:tcPr>
          <w:p w14:paraId="683C9238" w14:textId="7E904DC5" w:rsidR="00BC6D6E" w:rsidRPr="00BC6D6E" w:rsidRDefault="00BC6D6E" w:rsidP="00CA5D44">
            <w:pPr>
              <w:pStyle w:val="ARtabletextright"/>
              <w:spacing w:before="60" w:after="40" w:line="240" w:lineRule="auto"/>
            </w:pPr>
            <w:r w:rsidRPr="00657E8C">
              <w:t>2</w:t>
            </w:r>
          </w:p>
        </w:tc>
        <w:tc>
          <w:tcPr>
            <w:tcW w:w="412" w:type="pct"/>
          </w:tcPr>
          <w:p w14:paraId="76C26793" w14:textId="01047CAD" w:rsidR="00BC6D6E" w:rsidRPr="00BC6D6E" w:rsidRDefault="00BC6D6E" w:rsidP="00CA5D44">
            <w:pPr>
              <w:pStyle w:val="ARtabletextright"/>
              <w:spacing w:before="60" w:after="40" w:line="240" w:lineRule="auto"/>
            </w:pPr>
            <w:r w:rsidRPr="00657E8C">
              <w:t>1</w:t>
            </w:r>
          </w:p>
        </w:tc>
        <w:tc>
          <w:tcPr>
            <w:tcW w:w="340" w:type="pct"/>
          </w:tcPr>
          <w:p w14:paraId="1B0C6E90" w14:textId="242FA0F0" w:rsidR="00BC6D6E" w:rsidRPr="00BC6D6E" w:rsidRDefault="00BC6D6E" w:rsidP="00CA5D44">
            <w:pPr>
              <w:pStyle w:val="ARtabletextright"/>
              <w:spacing w:before="60" w:after="40" w:line="240" w:lineRule="auto"/>
            </w:pPr>
            <w:r w:rsidRPr="00657E8C">
              <w:t>1</w:t>
            </w:r>
          </w:p>
        </w:tc>
        <w:tc>
          <w:tcPr>
            <w:tcW w:w="412" w:type="pct"/>
          </w:tcPr>
          <w:p w14:paraId="46FA3D0A" w14:textId="523DD17B" w:rsidR="00BC6D6E" w:rsidRPr="00BC6D6E" w:rsidRDefault="00BC6D6E" w:rsidP="00CA5D44">
            <w:pPr>
              <w:pStyle w:val="ARtabletextright"/>
              <w:spacing w:before="60" w:after="40" w:line="240" w:lineRule="auto"/>
            </w:pPr>
            <w:r w:rsidRPr="00657E8C">
              <w:t>0</w:t>
            </w:r>
          </w:p>
        </w:tc>
        <w:tc>
          <w:tcPr>
            <w:tcW w:w="210" w:type="pct"/>
          </w:tcPr>
          <w:p w14:paraId="0904815A" w14:textId="289A4D2A" w:rsidR="00BC6D6E" w:rsidRPr="00BC6D6E" w:rsidRDefault="00BC6D6E" w:rsidP="00CA5D44">
            <w:pPr>
              <w:pStyle w:val="ARtabletextright"/>
              <w:spacing w:before="60" w:after="40" w:line="240" w:lineRule="auto"/>
            </w:pPr>
            <w:r w:rsidRPr="00657E8C">
              <w:t>0</w:t>
            </w:r>
          </w:p>
        </w:tc>
        <w:tc>
          <w:tcPr>
            <w:tcW w:w="413" w:type="pct"/>
          </w:tcPr>
          <w:p w14:paraId="0CE30F92" w14:textId="428F0E96" w:rsidR="00BC6D6E" w:rsidRPr="00BC6D6E" w:rsidRDefault="00BC6D6E" w:rsidP="00CA5D44">
            <w:pPr>
              <w:pStyle w:val="ARtabletextright"/>
              <w:spacing w:before="60" w:after="40" w:line="240" w:lineRule="auto"/>
            </w:pPr>
            <w:r w:rsidRPr="00657E8C">
              <w:t>0</w:t>
            </w:r>
          </w:p>
        </w:tc>
        <w:tc>
          <w:tcPr>
            <w:tcW w:w="413" w:type="pct"/>
          </w:tcPr>
          <w:p w14:paraId="7DD91E84" w14:textId="052F7187" w:rsidR="00BC6D6E" w:rsidRPr="00BC6D6E" w:rsidRDefault="00BC6D6E" w:rsidP="00CA5D44">
            <w:pPr>
              <w:pStyle w:val="ARtabletextright"/>
              <w:spacing w:before="60" w:after="40" w:line="240" w:lineRule="auto"/>
            </w:pPr>
            <w:r w:rsidRPr="00657E8C">
              <w:t>0</w:t>
            </w:r>
          </w:p>
        </w:tc>
        <w:tc>
          <w:tcPr>
            <w:tcW w:w="175" w:type="pct"/>
          </w:tcPr>
          <w:p w14:paraId="0D749CED" w14:textId="08230424" w:rsidR="00BC6D6E" w:rsidRPr="00BC6D6E" w:rsidRDefault="00BC6D6E" w:rsidP="00CA5D44">
            <w:pPr>
              <w:pStyle w:val="ARtabletextright"/>
              <w:spacing w:before="60" w:after="40" w:line="240" w:lineRule="auto"/>
            </w:pPr>
            <w:r w:rsidRPr="00657E8C">
              <w:t>0</w:t>
            </w:r>
          </w:p>
        </w:tc>
        <w:tc>
          <w:tcPr>
            <w:tcW w:w="413" w:type="pct"/>
          </w:tcPr>
          <w:p w14:paraId="4DB4E406" w14:textId="4262801E" w:rsidR="00BC6D6E" w:rsidRPr="00BC6D6E" w:rsidRDefault="00BC6D6E" w:rsidP="00CA5D44">
            <w:pPr>
              <w:pStyle w:val="ARtabletextright"/>
              <w:spacing w:before="60" w:after="40" w:line="240" w:lineRule="auto"/>
            </w:pPr>
            <w:r w:rsidRPr="00657E8C">
              <w:t>0</w:t>
            </w:r>
          </w:p>
        </w:tc>
        <w:tc>
          <w:tcPr>
            <w:tcW w:w="174" w:type="pct"/>
          </w:tcPr>
          <w:p w14:paraId="2F9C8F4D" w14:textId="57D9CABA" w:rsidR="00BC6D6E" w:rsidRPr="00BC6D6E" w:rsidRDefault="00BC6D6E" w:rsidP="00CA5D44">
            <w:pPr>
              <w:pStyle w:val="ARtabletextright"/>
              <w:spacing w:before="60" w:after="40" w:line="240" w:lineRule="auto"/>
            </w:pPr>
            <w:r w:rsidRPr="00657E8C">
              <w:t>0</w:t>
            </w:r>
          </w:p>
        </w:tc>
      </w:tr>
      <w:tr w:rsidR="00BC6D6E" w:rsidRPr="00BC6D6E" w14:paraId="3625BA66" w14:textId="77777777" w:rsidTr="00CA5D44">
        <w:tc>
          <w:tcPr>
            <w:tcW w:w="558" w:type="pct"/>
          </w:tcPr>
          <w:p w14:paraId="2EA07A7A" w14:textId="59431484" w:rsidR="00BC6D6E" w:rsidRPr="00BC6D6E" w:rsidRDefault="00BC6D6E" w:rsidP="00CA5D44">
            <w:pPr>
              <w:pStyle w:val="ARtabletext"/>
              <w:spacing w:before="60" w:after="40" w:line="240" w:lineRule="auto"/>
            </w:pPr>
            <w:r w:rsidRPr="00657E8C">
              <w:t>25</w:t>
            </w:r>
            <w:r>
              <w:t>–</w:t>
            </w:r>
            <w:r w:rsidRPr="00657E8C">
              <w:t>34</w:t>
            </w:r>
          </w:p>
        </w:tc>
        <w:tc>
          <w:tcPr>
            <w:tcW w:w="282" w:type="pct"/>
          </w:tcPr>
          <w:p w14:paraId="5D877655" w14:textId="7D76E8B6" w:rsidR="00BC6D6E" w:rsidRPr="00BC6D6E" w:rsidRDefault="00BC6D6E" w:rsidP="00CA5D44">
            <w:pPr>
              <w:pStyle w:val="ARtabletextright"/>
              <w:spacing w:before="60" w:after="40" w:line="240" w:lineRule="auto"/>
            </w:pPr>
            <w:r w:rsidRPr="00657E8C">
              <w:t>16</w:t>
            </w:r>
          </w:p>
        </w:tc>
        <w:tc>
          <w:tcPr>
            <w:tcW w:w="196" w:type="pct"/>
          </w:tcPr>
          <w:p w14:paraId="30D376D1" w14:textId="55CA8960" w:rsidR="00BC6D6E" w:rsidRPr="00BC6D6E" w:rsidRDefault="00BC6D6E" w:rsidP="00CA5D44">
            <w:pPr>
              <w:pStyle w:val="ARtabletextright"/>
              <w:spacing w:before="60" w:after="40" w:line="240" w:lineRule="auto"/>
            </w:pPr>
            <w:r w:rsidRPr="00657E8C">
              <w:t>15.5</w:t>
            </w:r>
          </w:p>
        </w:tc>
        <w:tc>
          <w:tcPr>
            <w:tcW w:w="412" w:type="pct"/>
          </w:tcPr>
          <w:p w14:paraId="3B8204E5" w14:textId="5604FA12" w:rsidR="00BC6D6E" w:rsidRPr="00BC6D6E" w:rsidRDefault="00BC6D6E" w:rsidP="00CA5D44">
            <w:pPr>
              <w:pStyle w:val="ARtabletextright"/>
              <w:spacing w:before="60" w:after="40" w:line="240" w:lineRule="auto"/>
            </w:pPr>
            <w:r w:rsidRPr="00657E8C">
              <w:t>12</w:t>
            </w:r>
          </w:p>
        </w:tc>
        <w:tc>
          <w:tcPr>
            <w:tcW w:w="412" w:type="pct"/>
          </w:tcPr>
          <w:p w14:paraId="06029E49" w14:textId="17FA6859" w:rsidR="00BC6D6E" w:rsidRPr="00BC6D6E" w:rsidRDefault="00BC6D6E" w:rsidP="00CA5D44">
            <w:pPr>
              <w:pStyle w:val="ARtabletextright"/>
              <w:spacing w:before="60" w:after="40" w:line="240" w:lineRule="auto"/>
            </w:pPr>
            <w:r w:rsidRPr="00657E8C">
              <w:t>2</w:t>
            </w:r>
          </w:p>
        </w:tc>
        <w:tc>
          <w:tcPr>
            <w:tcW w:w="175" w:type="pct"/>
          </w:tcPr>
          <w:p w14:paraId="2D7F08DF" w14:textId="7C81CFB5" w:rsidR="00BC6D6E" w:rsidRPr="00BC6D6E" w:rsidRDefault="00BC6D6E" w:rsidP="00CA5D44">
            <w:pPr>
              <w:pStyle w:val="ARtabletextright"/>
              <w:spacing w:before="60" w:after="40" w:line="240" w:lineRule="auto"/>
            </w:pPr>
            <w:r w:rsidRPr="00657E8C">
              <w:t>13.5</w:t>
            </w:r>
          </w:p>
        </w:tc>
        <w:tc>
          <w:tcPr>
            <w:tcW w:w="412" w:type="pct"/>
          </w:tcPr>
          <w:p w14:paraId="7D842F3F" w14:textId="1B0A477F" w:rsidR="00BC6D6E" w:rsidRPr="00BC6D6E" w:rsidRDefault="00BC6D6E" w:rsidP="00CA5D44">
            <w:pPr>
              <w:pStyle w:val="ARtabletextright"/>
              <w:spacing w:before="60" w:after="40" w:line="240" w:lineRule="auto"/>
            </w:pPr>
            <w:r w:rsidRPr="00657E8C">
              <w:t>2</w:t>
            </w:r>
          </w:p>
        </w:tc>
        <w:tc>
          <w:tcPr>
            <w:tcW w:w="340" w:type="pct"/>
          </w:tcPr>
          <w:p w14:paraId="531574BA" w14:textId="7465869C" w:rsidR="00BC6D6E" w:rsidRPr="00BC6D6E" w:rsidRDefault="00BC6D6E" w:rsidP="00CA5D44">
            <w:pPr>
              <w:pStyle w:val="ARtabletextright"/>
              <w:spacing w:before="60" w:after="40" w:line="240" w:lineRule="auto"/>
            </w:pPr>
            <w:r w:rsidRPr="00657E8C">
              <w:t>2</w:t>
            </w:r>
          </w:p>
        </w:tc>
        <w:tc>
          <w:tcPr>
            <w:tcW w:w="412" w:type="pct"/>
          </w:tcPr>
          <w:p w14:paraId="792BF2B0" w14:textId="75EA06B4" w:rsidR="00BC6D6E" w:rsidRPr="00BC6D6E" w:rsidRDefault="00BC6D6E" w:rsidP="00CA5D44">
            <w:pPr>
              <w:pStyle w:val="ARtabletextright"/>
              <w:spacing w:before="60" w:after="40" w:line="240" w:lineRule="auto"/>
            </w:pPr>
            <w:r w:rsidRPr="00657E8C">
              <w:t>14</w:t>
            </w:r>
          </w:p>
        </w:tc>
        <w:tc>
          <w:tcPr>
            <w:tcW w:w="210" w:type="pct"/>
          </w:tcPr>
          <w:p w14:paraId="260A3217" w14:textId="2E10274B" w:rsidR="00BC6D6E" w:rsidRPr="00BC6D6E" w:rsidRDefault="00BC6D6E" w:rsidP="00CA5D44">
            <w:pPr>
              <w:pStyle w:val="ARtabletextright"/>
              <w:spacing w:before="60" w:after="40" w:line="240" w:lineRule="auto"/>
            </w:pPr>
            <w:r w:rsidRPr="00657E8C">
              <w:t>13.6</w:t>
            </w:r>
          </w:p>
        </w:tc>
        <w:tc>
          <w:tcPr>
            <w:tcW w:w="413" w:type="pct"/>
          </w:tcPr>
          <w:p w14:paraId="70306269" w14:textId="3CC0447C" w:rsidR="00BC6D6E" w:rsidRPr="00BC6D6E" w:rsidRDefault="00BC6D6E" w:rsidP="00CA5D44">
            <w:pPr>
              <w:pStyle w:val="ARtabletextright"/>
              <w:spacing w:before="60" w:after="40" w:line="240" w:lineRule="auto"/>
            </w:pPr>
            <w:r w:rsidRPr="00657E8C">
              <w:t>12</w:t>
            </w:r>
          </w:p>
        </w:tc>
        <w:tc>
          <w:tcPr>
            <w:tcW w:w="413" w:type="pct"/>
          </w:tcPr>
          <w:p w14:paraId="0B3C4FFB" w14:textId="37101387" w:rsidR="00BC6D6E" w:rsidRPr="00BC6D6E" w:rsidRDefault="00BC6D6E" w:rsidP="00CA5D44">
            <w:pPr>
              <w:pStyle w:val="ARtabletextright"/>
              <w:spacing w:before="60" w:after="40" w:line="240" w:lineRule="auto"/>
            </w:pPr>
            <w:r w:rsidRPr="00657E8C">
              <w:t>1</w:t>
            </w:r>
          </w:p>
        </w:tc>
        <w:tc>
          <w:tcPr>
            <w:tcW w:w="175" w:type="pct"/>
          </w:tcPr>
          <w:p w14:paraId="23D51126" w14:textId="7EC9EAA5" w:rsidR="00BC6D6E" w:rsidRPr="00BC6D6E" w:rsidRDefault="00BC6D6E" w:rsidP="00CA5D44">
            <w:pPr>
              <w:pStyle w:val="ARtabletextright"/>
              <w:spacing w:before="60" w:after="40" w:line="240" w:lineRule="auto"/>
            </w:pPr>
            <w:r w:rsidRPr="00657E8C">
              <w:t>12.6</w:t>
            </w:r>
          </w:p>
        </w:tc>
        <w:tc>
          <w:tcPr>
            <w:tcW w:w="413" w:type="pct"/>
          </w:tcPr>
          <w:p w14:paraId="3FFFA4CA" w14:textId="233BBC85" w:rsidR="00BC6D6E" w:rsidRPr="00BC6D6E" w:rsidRDefault="00BC6D6E" w:rsidP="00CA5D44">
            <w:pPr>
              <w:pStyle w:val="ARtabletextright"/>
              <w:spacing w:before="60" w:after="40" w:line="240" w:lineRule="auto"/>
            </w:pPr>
            <w:r w:rsidRPr="00657E8C">
              <w:t>1</w:t>
            </w:r>
          </w:p>
        </w:tc>
        <w:tc>
          <w:tcPr>
            <w:tcW w:w="174" w:type="pct"/>
          </w:tcPr>
          <w:p w14:paraId="4D61A5E2" w14:textId="45BC0877" w:rsidR="00BC6D6E" w:rsidRPr="00BC6D6E" w:rsidRDefault="00BC6D6E" w:rsidP="00CA5D44">
            <w:pPr>
              <w:pStyle w:val="ARtabletextright"/>
              <w:spacing w:before="60" w:after="40" w:line="240" w:lineRule="auto"/>
            </w:pPr>
            <w:r w:rsidRPr="00657E8C">
              <w:t>1</w:t>
            </w:r>
          </w:p>
        </w:tc>
      </w:tr>
      <w:tr w:rsidR="00BC6D6E" w:rsidRPr="00BC6D6E" w14:paraId="7B064B00" w14:textId="77777777" w:rsidTr="00CA5D44">
        <w:tc>
          <w:tcPr>
            <w:tcW w:w="558" w:type="pct"/>
          </w:tcPr>
          <w:p w14:paraId="6332517D" w14:textId="599DA860" w:rsidR="00BC6D6E" w:rsidRPr="00BC6D6E" w:rsidRDefault="00BC6D6E" w:rsidP="00CA5D44">
            <w:pPr>
              <w:pStyle w:val="ARtabletext"/>
              <w:spacing w:before="60" w:after="40" w:line="240" w:lineRule="auto"/>
            </w:pPr>
            <w:r w:rsidRPr="00657E8C">
              <w:t>35</w:t>
            </w:r>
            <w:r>
              <w:t>–</w:t>
            </w:r>
            <w:r w:rsidRPr="00657E8C">
              <w:t>44</w:t>
            </w:r>
          </w:p>
        </w:tc>
        <w:tc>
          <w:tcPr>
            <w:tcW w:w="282" w:type="pct"/>
          </w:tcPr>
          <w:p w14:paraId="1C6D113D" w14:textId="10516157" w:rsidR="00BC6D6E" w:rsidRPr="00BC6D6E" w:rsidRDefault="00BC6D6E" w:rsidP="00CA5D44">
            <w:pPr>
              <w:pStyle w:val="ARtabletextright"/>
              <w:spacing w:before="60" w:after="40" w:line="240" w:lineRule="auto"/>
            </w:pPr>
            <w:r w:rsidRPr="00657E8C">
              <w:t>25</w:t>
            </w:r>
          </w:p>
        </w:tc>
        <w:tc>
          <w:tcPr>
            <w:tcW w:w="196" w:type="pct"/>
          </w:tcPr>
          <w:p w14:paraId="1F3B090F" w14:textId="1D1000C1" w:rsidR="00BC6D6E" w:rsidRPr="00BC6D6E" w:rsidRDefault="00BC6D6E" w:rsidP="00CA5D44">
            <w:pPr>
              <w:pStyle w:val="ARtabletextright"/>
              <w:spacing w:before="60" w:after="40" w:line="240" w:lineRule="auto"/>
            </w:pPr>
            <w:r w:rsidRPr="00657E8C">
              <w:t>24.8</w:t>
            </w:r>
          </w:p>
        </w:tc>
        <w:tc>
          <w:tcPr>
            <w:tcW w:w="412" w:type="pct"/>
          </w:tcPr>
          <w:p w14:paraId="36D74B42" w14:textId="09F99DCB" w:rsidR="00BC6D6E" w:rsidRPr="00BC6D6E" w:rsidRDefault="00BC6D6E" w:rsidP="00CA5D44">
            <w:pPr>
              <w:pStyle w:val="ARtabletextright"/>
              <w:spacing w:before="60" w:after="40" w:line="240" w:lineRule="auto"/>
            </w:pPr>
            <w:r w:rsidRPr="00657E8C">
              <w:t>22</w:t>
            </w:r>
          </w:p>
        </w:tc>
        <w:tc>
          <w:tcPr>
            <w:tcW w:w="412" w:type="pct"/>
          </w:tcPr>
          <w:p w14:paraId="7C6EEF66" w14:textId="482738A2" w:rsidR="00BC6D6E" w:rsidRPr="00BC6D6E" w:rsidRDefault="00BC6D6E" w:rsidP="00CA5D44">
            <w:pPr>
              <w:pStyle w:val="ARtabletextright"/>
              <w:spacing w:before="60" w:after="40" w:line="240" w:lineRule="auto"/>
            </w:pPr>
            <w:r w:rsidRPr="00657E8C">
              <w:t>1</w:t>
            </w:r>
          </w:p>
        </w:tc>
        <w:tc>
          <w:tcPr>
            <w:tcW w:w="175" w:type="pct"/>
          </w:tcPr>
          <w:p w14:paraId="46E326BF" w14:textId="23B4680F" w:rsidR="00BC6D6E" w:rsidRPr="00BC6D6E" w:rsidRDefault="00BC6D6E" w:rsidP="00CA5D44">
            <w:pPr>
              <w:pStyle w:val="ARtabletextright"/>
              <w:spacing w:before="60" w:after="40" w:line="240" w:lineRule="auto"/>
            </w:pPr>
            <w:r w:rsidRPr="00657E8C">
              <w:t>22.8</w:t>
            </w:r>
          </w:p>
        </w:tc>
        <w:tc>
          <w:tcPr>
            <w:tcW w:w="412" w:type="pct"/>
          </w:tcPr>
          <w:p w14:paraId="13524F9F" w14:textId="5B08CCAE" w:rsidR="00BC6D6E" w:rsidRPr="00BC6D6E" w:rsidRDefault="00BC6D6E" w:rsidP="00CA5D44">
            <w:pPr>
              <w:pStyle w:val="ARtabletextright"/>
              <w:spacing w:before="60" w:after="40" w:line="240" w:lineRule="auto"/>
            </w:pPr>
            <w:r w:rsidRPr="00657E8C">
              <w:t>2</w:t>
            </w:r>
          </w:p>
        </w:tc>
        <w:tc>
          <w:tcPr>
            <w:tcW w:w="340" w:type="pct"/>
          </w:tcPr>
          <w:p w14:paraId="57C53F42" w14:textId="7BA1291E" w:rsidR="00BC6D6E" w:rsidRPr="00BC6D6E" w:rsidRDefault="00BC6D6E" w:rsidP="00CA5D44">
            <w:pPr>
              <w:pStyle w:val="ARtabletextright"/>
              <w:spacing w:before="60" w:after="40" w:line="240" w:lineRule="auto"/>
            </w:pPr>
            <w:r w:rsidRPr="00657E8C">
              <w:t>2</w:t>
            </w:r>
          </w:p>
        </w:tc>
        <w:tc>
          <w:tcPr>
            <w:tcW w:w="412" w:type="pct"/>
          </w:tcPr>
          <w:p w14:paraId="45189F2B" w14:textId="70B3520A" w:rsidR="00BC6D6E" w:rsidRPr="00BC6D6E" w:rsidRDefault="00BC6D6E" w:rsidP="00CA5D44">
            <w:pPr>
              <w:pStyle w:val="ARtabletextright"/>
              <w:spacing w:before="60" w:after="40" w:line="240" w:lineRule="auto"/>
            </w:pPr>
            <w:r w:rsidRPr="00657E8C">
              <w:t>20</w:t>
            </w:r>
          </w:p>
        </w:tc>
        <w:tc>
          <w:tcPr>
            <w:tcW w:w="210" w:type="pct"/>
          </w:tcPr>
          <w:p w14:paraId="5C9F0671" w14:textId="2A5F4A70" w:rsidR="00BC6D6E" w:rsidRPr="00BC6D6E" w:rsidRDefault="00BC6D6E" w:rsidP="00CA5D44">
            <w:pPr>
              <w:pStyle w:val="ARtabletextright"/>
              <w:spacing w:before="60" w:after="40" w:line="240" w:lineRule="auto"/>
            </w:pPr>
            <w:r w:rsidRPr="00657E8C">
              <w:t>19.3</w:t>
            </w:r>
          </w:p>
        </w:tc>
        <w:tc>
          <w:tcPr>
            <w:tcW w:w="413" w:type="pct"/>
          </w:tcPr>
          <w:p w14:paraId="5BC70460" w14:textId="24B76775" w:rsidR="00BC6D6E" w:rsidRPr="00BC6D6E" w:rsidRDefault="00BC6D6E" w:rsidP="00CA5D44">
            <w:pPr>
              <w:pStyle w:val="ARtabletextright"/>
              <w:spacing w:before="60" w:after="40" w:line="240" w:lineRule="auto"/>
            </w:pPr>
            <w:r w:rsidRPr="00657E8C">
              <w:t>13</w:t>
            </w:r>
          </w:p>
        </w:tc>
        <w:tc>
          <w:tcPr>
            <w:tcW w:w="413" w:type="pct"/>
          </w:tcPr>
          <w:p w14:paraId="7CFFC338" w14:textId="2B08B2E5" w:rsidR="00BC6D6E" w:rsidRPr="00BC6D6E" w:rsidRDefault="00BC6D6E" w:rsidP="00CA5D44">
            <w:pPr>
              <w:pStyle w:val="ARtabletextright"/>
              <w:spacing w:before="60" w:after="40" w:line="240" w:lineRule="auto"/>
            </w:pPr>
            <w:r w:rsidRPr="00657E8C">
              <w:t>3</w:t>
            </w:r>
          </w:p>
        </w:tc>
        <w:tc>
          <w:tcPr>
            <w:tcW w:w="175" w:type="pct"/>
          </w:tcPr>
          <w:p w14:paraId="7AF12E35" w14:textId="07C3C84C" w:rsidR="00BC6D6E" w:rsidRPr="00BC6D6E" w:rsidRDefault="00BC6D6E" w:rsidP="00CA5D44">
            <w:pPr>
              <w:pStyle w:val="ARtabletextright"/>
              <w:spacing w:before="60" w:after="40" w:line="240" w:lineRule="auto"/>
            </w:pPr>
            <w:r w:rsidRPr="00657E8C">
              <w:t>15.3</w:t>
            </w:r>
          </w:p>
        </w:tc>
        <w:tc>
          <w:tcPr>
            <w:tcW w:w="413" w:type="pct"/>
          </w:tcPr>
          <w:p w14:paraId="118692A1" w14:textId="7CE7BB8F" w:rsidR="00BC6D6E" w:rsidRPr="00BC6D6E" w:rsidRDefault="00BC6D6E" w:rsidP="00CA5D44">
            <w:pPr>
              <w:pStyle w:val="ARtabletextright"/>
              <w:spacing w:before="60" w:after="40" w:line="240" w:lineRule="auto"/>
            </w:pPr>
            <w:r w:rsidRPr="00657E8C">
              <w:t>4</w:t>
            </w:r>
          </w:p>
        </w:tc>
        <w:tc>
          <w:tcPr>
            <w:tcW w:w="174" w:type="pct"/>
          </w:tcPr>
          <w:p w14:paraId="72B3E933" w14:textId="611366BE" w:rsidR="00BC6D6E" w:rsidRPr="00BC6D6E" w:rsidRDefault="00BC6D6E" w:rsidP="00CA5D44">
            <w:pPr>
              <w:pStyle w:val="ARtabletextright"/>
              <w:spacing w:before="60" w:after="40" w:line="240" w:lineRule="auto"/>
            </w:pPr>
            <w:r w:rsidRPr="00657E8C">
              <w:t>4</w:t>
            </w:r>
          </w:p>
        </w:tc>
      </w:tr>
      <w:tr w:rsidR="00BC6D6E" w:rsidRPr="00BC6D6E" w14:paraId="132FBFAF" w14:textId="77777777" w:rsidTr="00CA5D44">
        <w:tc>
          <w:tcPr>
            <w:tcW w:w="558" w:type="pct"/>
          </w:tcPr>
          <w:p w14:paraId="51E58C2B" w14:textId="4059625D" w:rsidR="00BC6D6E" w:rsidRPr="00BC6D6E" w:rsidRDefault="00BC6D6E" w:rsidP="00CA5D44">
            <w:pPr>
              <w:pStyle w:val="ARtabletext"/>
              <w:spacing w:before="60" w:after="40" w:line="240" w:lineRule="auto"/>
            </w:pPr>
            <w:r w:rsidRPr="00657E8C">
              <w:t>45</w:t>
            </w:r>
            <w:r>
              <w:t>–</w:t>
            </w:r>
            <w:r w:rsidRPr="00657E8C">
              <w:t>54</w:t>
            </w:r>
          </w:p>
        </w:tc>
        <w:tc>
          <w:tcPr>
            <w:tcW w:w="282" w:type="pct"/>
          </w:tcPr>
          <w:p w14:paraId="6E3F2BE1" w14:textId="401F4D5F" w:rsidR="00BC6D6E" w:rsidRPr="00BC6D6E" w:rsidRDefault="00BC6D6E" w:rsidP="00CA5D44">
            <w:pPr>
              <w:pStyle w:val="ARtabletextright"/>
              <w:spacing w:before="60" w:after="40" w:line="240" w:lineRule="auto"/>
            </w:pPr>
            <w:r w:rsidRPr="00657E8C">
              <w:t>17</w:t>
            </w:r>
          </w:p>
        </w:tc>
        <w:tc>
          <w:tcPr>
            <w:tcW w:w="196" w:type="pct"/>
          </w:tcPr>
          <w:p w14:paraId="088343EA" w14:textId="0BE80936" w:rsidR="00BC6D6E" w:rsidRPr="00BC6D6E" w:rsidRDefault="00BC6D6E" w:rsidP="00CA5D44">
            <w:pPr>
              <w:pStyle w:val="ARtabletextright"/>
              <w:spacing w:before="60" w:after="40" w:line="240" w:lineRule="auto"/>
            </w:pPr>
            <w:r w:rsidRPr="00657E8C">
              <w:t>15.9</w:t>
            </w:r>
          </w:p>
        </w:tc>
        <w:tc>
          <w:tcPr>
            <w:tcW w:w="412" w:type="pct"/>
          </w:tcPr>
          <w:p w14:paraId="2ED10E26" w14:textId="5FB60BF8" w:rsidR="00BC6D6E" w:rsidRPr="00BC6D6E" w:rsidRDefault="00BC6D6E" w:rsidP="00CA5D44">
            <w:pPr>
              <w:pStyle w:val="ARtabletextright"/>
              <w:spacing w:before="60" w:after="40" w:line="240" w:lineRule="auto"/>
            </w:pPr>
            <w:r w:rsidRPr="00657E8C">
              <w:t>13</w:t>
            </w:r>
          </w:p>
        </w:tc>
        <w:tc>
          <w:tcPr>
            <w:tcW w:w="412" w:type="pct"/>
          </w:tcPr>
          <w:p w14:paraId="25188CBE" w14:textId="65F62180" w:rsidR="00BC6D6E" w:rsidRPr="00BC6D6E" w:rsidRDefault="00BC6D6E" w:rsidP="00CA5D44">
            <w:pPr>
              <w:pStyle w:val="ARtabletextright"/>
              <w:spacing w:before="60" w:after="40" w:line="240" w:lineRule="auto"/>
            </w:pPr>
            <w:r w:rsidRPr="00657E8C">
              <w:t>1</w:t>
            </w:r>
          </w:p>
        </w:tc>
        <w:tc>
          <w:tcPr>
            <w:tcW w:w="175" w:type="pct"/>
          </w:tcPr>
          <w:p w14:paraId="39DC0CB2" w14:textId="2E7027BC" w:rsidR="00BC6D6E" w:rsidRPr="00BC6D6E" w:rsidRDefault="00BC6D6E" w:rsidP="00CA5D44">
            <w:pPr>
              <w:pStyle w:val="ARtabletextright"/>
              <w:spacing w:before="60" w:after="40" w:line="240" w:lineRule="auto"/>
            </w:pPr>
            <w:r w:rsidRPr="00657E8C">
              <w:t>13.5</w:t>
            </w:r>
          </w:p>
        </w:tc>
        <w:tc>
          <w:tcPr>
            <w:tcW w:w="412" w:type="pct"/>
          </w:tcPr>
          <w:p w14:paraId="49DFE0EE" w14:textId="1FB110EB" w:rsidR="00BC6D6E" w:rsidRPr="00BC6D6E" w:rsidRDefault="00BC6D6E" w:rsidP="00CA5D44">
            <w:pPr>
              <w:pStyle w:val="ARtabletextright"/>
              <w:spacing w:before="60" w:after="40" w:line="240" w:lineRule="auto"/>
            </w:pPr>
            <w:r w:rsidRPr="00657E8C">
              <w:t>3</w:t>
            </w:r>
          </w:p>
        </w:tc>
        <w:tc>
          <w:tcPr>
            <w:tcW w:w="340" w:type="pct"/>
          </w:tcPr>
          <w:p w14:paraId="2CC4E341" w14:textId="66E2D4FF" w:rsidR="00BC6D6E" w:rsidRPr="00BC6D6E" w:rsidRDefault="00BC6D6E" w:rsidP="00CA5D44">
            <w:pPr>
              <w:pStyle w:val="ARtabletextright"/>
              <w:spacing w:before="60" w:after="40" w:line="240" w:lineRule="auto"/>
            </w:pPr>
            <w:r w:rsidRPr="00657E8C">
              <w:t>2.4</w:t>
            </w:r>
          </w:p>
        </w:tc>
        <w:tc>
          <w:tcPr>
            <w:tcW w:w="412" w:type="pct"/>
          </w:tcPr>
          <w:p w14:paraId="184EF175" w14:textId="27121B5F" w:rsidR="00BC6D6E" w:rsidRPr="00BC6D6E" w:rsidRDefault="00BC6D6E" w:rsidP="00CA5D44">
            <w:pPr>
              <w:pStyle w:val="ARtabletextright"/>
              <w:spacing w:before="60" w:after="40" w:line="240" w:lineRule="auto"/>
            </w:pPr>
            <w:r w:rsidRPr="00657E8C">
              <w:t>21</w:t>
            </w:r>
          </w:p>
        </w:tc>
        <w:tc>
          <w:tcPr>
            <w:tcW w:w="210" w:type="pct"/>
          </w:tcPr>
          <w:p w14:paraId="2791DBDD" w14:textId="7CB0D217" w:rsidR="00BC6D6E" w:rsidRPr="00BC6D6E" w:rsidRDefault="00BC6D6E" w:rsidP="00CA5D44">
            <w:pPr>
              <w:pStyle w:val="ARtabletextright"/>
              <w:spacing w:before="60" w:after="40" w:line="240" w:lineRule="auto"/>
            </w:pPr>
            <w:r w:rsidRPr="00657E8C">
              <w:t>20.4</w:t>
            </w:r>
          </w:p>
        </w:tc>
        <w:tc>
          <w:tcPr>
            <w:tcW w:w="413" w:type="pct"/>
          </w:tcPr>
          <w:p w14:paraId="21AC7644" w14:textId="2678C09B" w:rsidR="00BC6D6E" w:rsidRPr="00BC6D6E" w:rsidRDefault="00BC6D6E" w:rsidP="00CA5D44">
            <w:pPr>
              <w:pStyle w:val="ARtabletextright"/>
              <w:spacing w:before="60" w:after="40" w:line="240" w:lineRule="auto"/>
            </w:pPr>
            <w:r w:rsidRPr="00657E8C">
              <w:t>17</w:t>
            </w:r>
          </w:p>
        </w:tc>
        <w:tc>
          <w:tcPr>
            <w:tcW w:w="413" w:type="pct"/>
          </w:tcPr>
          <w:p w14:paraId="7041E564" w14:textId="0181C4B7" w:rsidR="00BC6D6E" w:rsidRPr="00BC6D6E" w:rsidRDefault="00BC6D6E" w:rsidP="00CA5D44">
            <w:pPr>
              <w:pStyle w:val="ARtabletextright"/>
              <w:spacing w:before="60" w:after="40" w:line="240" w:lineRule="auto"/>
            </w:pPr>
            <w:r w:rsidRPr="00657E8C">
              <w:t>1</w:t>
            </w:r>
          </w:p>
        </w:tc>
        <w:tc>
          <w:tcPr>
            <w:tcW w:w="175" w:type="pct"/>
          </w:tcPr>
          <w:p w14:paraId="2B0A339A" w14:textId="6A64621E" w:rsidR="00BC6D6E" w:rsidRPr="00BC6D6E" w:rsidRDefault="00BC6D6E" w:rsidP="00CA5D44">
            <w:pPr>
              <w:pStyle w:val="ARtabletextright"/>
              <w:spacing w:before="60" w:after="40" w:line="240" w:lineRule="auto"/>
            </w:pPr>
            <w:r w:rsidRPr="00657E8C">
              <w:t>17.8</w:t>
            </w:r>
          </w:p>
        </w:tc>
        <w:tc>
          <w:tcPr>
            <w:tcW w:w="413" w:type="pct"/>
          </w:tcPr>
          <w:p w14:paraId="416A619A" w14:textId="2814F73C" w:rsidR="00BC6D6E" w:rsidRPr="00BC6D6E" w:rsidRDefault="00BC6D6E" w:rsidP="00CA5D44">
            <w:pPr>
              <w:pStyle w:val="ARtabletextright"/>
              <w:spacing w:before="60" w:after="40" w:line="240" w:lineRule="auto"/>
            </w:pPr>
            <w:r w:rsidRPr="00657E8C">
              <w:t>3</w:t>
            </w:r>
          </w:p>
        </w:tc>
        <w:tc>
          <w:tcPr>
            <w:tcW w:w="174" w:type="pct"/>
          </w:tcPr>
          <w:p w14:paraId="292F35CD" w14:textId="475D9209" w:rsidR="00BC6D6E" w:rsidRPr="00BC6D6E" w:rsidRDefault="00BC6D6E" w:rsidP="00CA5D44">
            <w:pPr>
              <w:pStyle w:val="ARtabletextright"/>
              <w:spacing w:before="60" w:after="40" w:line="240" w:lineRule="auto"/>
            </w:pPr>
            <w:r w:rsidRPr="00657E8C">
              <w:t>2.6</w:t>
            </w:r>
          </w:p>
        </w:tc>
      </w:tr>
      <w:tr w:rsidR="00BC6D6E" w:rsidRPr="00BC6D6E" w14:paraId="224896DE" w14:textId="77777777" w:rsidTr="00CA5D44">
        <w:tc>
          <w:tcPr>
            <w:tcW w:w="558" w:type="pct"/>
          </w:tcPr>
          <w:p w14:paraId="59778B1B" w14:textId="6BB849EB" w:rsidR="00BC6D6E" w:rsidRPr="00BC6D6E" w:rsidRDefault="00BC6D6E" w:rsidP="00CA5D44">
            <w:pPr>
              <w:pStyle w:val="ARtabletext"/>
              <w:spacing w:before="60" w:after="40" w:line="240" w:lineRule="auto"/>
            </w:pPr>
            <w:r w:rsidRPr="00657E8C">
              <w:t>55</w:t>
            </w:r>
            <w:r>
              <w:t>–</w:t>
            </w:r>
            <w:r w:rsidRPr="00657E8C">
              <w:t>64</w:t>
            </w:r>
          </w:p>
        </w:tc>
        <w:tc>
          <w:tcPr>
            <w:tcW w:w="282" w:type="pct"/>
          </w:tcPr>
          <w:p w14:paraId="5A20640C" w14:textId="17F8B6BB" w:rsidR="00BC6D6E" w:rsidRPr="00BC6D6E" w:rsidRDefault="00BC6D6E" w:rsidP="00CA5D44">
            <w:pPr>
              <w:pStyle w:val="ARtabletextright"/>
              <w:spacing w:before="60" w:after="40" w:line="240" w:lineRule="auto"/>
            </w:pPr>
            <w:r w:rsidRPr="00657E8C">
              <w:t>12</w:t>
            </w:r>
          </w:p>
        </w:tc>
        <w:tc>
          <w:tcPr>
            <w:tcW w:w="196" w:type="pct"/>
          </w:tcPr>
          <w:p w14:paraId="27AB0703" w14:textId="3B86EF3D" w:rsidR="00BC6D6E" w:rsidRPr="00BC6D6E" w:rsidRDefault="00BC6D6E" w:rsidP="00CA5D44">
            <w:pPr>
              <w:pStyle w:val="ARtabletextright"/>
              <w:spacing w:before="60" w:after="40" w:line="240" w:lineRule="auto"/>
            </w:pPr>
            <w:r w:rsidRPr="00657E8C">
              <w:t>11.4</w:t>
            </w:r>
          </w:p>
        </w:tc>
        <w:tc>
          <w:tcPr>
            <w:tcW w:w="412" w:type="pct"/>
          </w:tcPr>
          <w:p w14:paraId="6738D215" w14:textId="4294BFB1" w:rsidR="00BC6D6E" w:rsidRPr="00BC6D6E" w:rsidRDefault="00BC6D6E" w:rsidP="00CA5D44">
            <w:pPr>
              <w:pStyle w:val="ARtabletextright"/>
              <w:spacing w:before="60" w:after="40" w:line="240" w:lineRule="auto"/>
            </w:pPr>
            <w:r w:rsidRPr="00657E8C">
              <w:t>7</w:t>
            </w:r>
          </w:p>
        </w:tc>
        <w:tc>
          <w:tcPr>
            <w:tcW w:w="412" w:type="pct"/>
          </w:tcPr>
          <w:p w14:paraId="09E06139" w14:textId="5F8ABC8B" w:rsidR="00BC6D6E" w:rsidRPr="00BC6D6E" w:rsidRDefault="00BC6D6E" w:rsidP="00CA5D44">
            <w:pPr>
              <w:pStyle w:val="ARtabletextright"/>
              <w:spacing w:before="60" w:after="40" w:line="240" w:lineRule="auto"/>
            </w:pPr>
            <w:r w:rsidRPr="00657E8C">
              <w:t>2</w:t>
            </w:r>
          </w:p>
        </w:tc>
        <w:tc>
          <w:tcPr>
            <w:tcW w:w="175" w:type="pct"/>
          </w:tcPr>
          <w:p w14:paraId="7FFE8944" w14:textId="68701921" w:rsidR="00BC6D6E" w:rsidRPr="00BC6D6E" w:rsidRDefault="00BC6D6E" w:rsidP="00CA5D44">
            <w:pPr>
              <w:pStyle w:val="ARtabletextright"/>
              <w:spacing w:before="60" w:after="40" w:line="240" w:lineRule="auto"/>
            </w:pPr>
            <w:r w:rsidRPr="00657E8C">
              <w:t>8.4</w:t>
            </w:r>
          </w:p>
        </w:tc>
        <w:tc>
          <w:tcPr>
            <w:tcW w:w="412" w:type="pct"/>
          </w:tcPr>
          <w:p w14:paraId="62E4F36E" w14:textId="2F80F1C3" w:rsidR="00BC6D6E" w:rsidRPr="00BC6D6E" w:rsidRDefault="00BC6D6E" w:rsidP="00CA5D44">
            <w:pPr>
              <w:pStyle w:val="ARtabletextright"/>
              <w:spacing w:before="60" w:after="40" w:line="240" w:lineRule="auto"/>
            </w:pPr>
            <w:r w:rsidRPr="00657E8C">
              <w:t>3</w:t>
            </w:r>
          </w:p>
        </w:tc>
        <w:tc>
          <w:tcPr>
            <w:tcW w:w="340" w:type="pct"/>
          </w:tcPr>
          <w:p w14:paraId="045BBB60" w14:textId="00C79977" w:rsidR="00BC6D6E" w:rsidRPr="00BC6D6E" w:rsidRDefault="00BC6D6E" w:rsidP="00CA5D44">
            <w:pPr>
              <w:pStyle w:val="ARtabletextright"/>
              <w:spacing w:before="60" w:after="40" w:line="240" w:lineRule="auto"/>
            </w:pPr>
            <w:r w:rsidRPr="00657E8C">
              <w:t>3</w:t>
            </w:r>
          </w:p>
        </w:tc>
        <w:tc>
          <w:tcPr>
            <w:tcW w:w="412" w:type="pct"/>
          </w:tcPr>
          <w:p w14:paraId="4E300161" w14:textId="0457129F" w:rsidR="00BC6D6E" w:rsidRPr="00BC6D6E" w:rsidRDefault="00BC6D6E" w:rsidP="00CA5D44">
            <w:pPr>
              <w:pStyle w:val="ARtabletextright"/>
              <w:spacing w:before="60" w:after="40" w:line="240" w:lineRule="auto"/>
            </w:pPr>
            <w:r w:rsidRPr="00657E8C">
              <w:t>7</w:t>
            </w:r>
          </w:p>
        </w:tc>
        <w:tc>
          <w:tcPr>
            <w:tcW w:w="210" w:type="pct"/>
          </w:tcPr>
          <w:p w14:paraId="22B1C639" w14:textId="1B720D92" w:rsidR="00BC6D6E" w:rsidRPr="00BC6D6E" w:rsidRDefault="00BC6D6E" w:rsidP="00CA5D44">
            <w:pPr>
              <w:pStyle w:val="ARtabletextright"/>
              <w:spacing w:before="60" w:after="40" w:line="240" w:lineRule="auto"/>
            </w:pPr>
            <w:r w:rsidRPr="00657E8C">
              <w:t>6.2</w:t>
            </w:r>
          </w:p>
        </w:tc>
        <w:tc>
          <w:tcPr>
            <w:tcW w:w="413" w:type="pct"/>
          </w:tcPr>
          <w:p w14:paraId="190E4656" w14:textId="017F54AB" w:rsidR="00BC6D6E" w:rsidRPr="00BC6D6E" w:rsidRDefault="00BC6D6E" w:rsidP="00CA5D44">
            <w:pPr>
              <w:pStyle w:val="ARtabletextright"/>
              <w:spacing w:before="60" w:after="40" w:line="240" w:lineRule="auto"/>
            </w:pPr>
            <w:r w:rsidRPr="00657E8C">
              <w:t>3</w:t>
            </w:r>
          </w:p>
        </w:tc>
        <w:tc>
          <w:tcPr>
            <w:tcW w:w="413" w:type="pct"/>
          </w:tcPr>
          <w:p w14:paraId="53AD0B9C" w14:textId="0CDFE846" w:rsidR="00BC6D6E" w:rsidRPr="00BC6D6E" w:rsidRDefault="00BC6D6E" w:rsidP="00CA5D44">
            <w:pPr>
              <w:pStyle w:val="ARtabletextright"/>
              <w:spacing w:before="60" w:after="40" w:line="240" w:lineRule="auto"/>
            </w:pPr>
            <w:r w:rsidRPr="00657E8C">
              <w:t>2</w:t>
            </w:r>
          </w:p>
        </w:tc>
        <w:tc>
          <w:tcPr>
            <w:tcW w:w="175" w:type="pct"/>
          </w:tcPr>
          <w:p w14:paraId="30A34C9E" w14:textId="04DE6D7C" w:rsidR="00BC6D6E" w:rsidRPr="00BC6D6E" w:rsidRDefault="00BC6D6E" w:rsidP="00CA5D44">
            <w:pPr>
              <w:pStyle w:val="ARtabletextright"/>
              <w:spacing w:before="60" w:after="40" w:line="240" w:lineRule="auto"/>
            </w:pPr>
            <w:r w:rsidRPr="00657E8C">
              <w:t>4.2</w:t>
            </w:r>
          </w:p>
        </w:tc>
        <w:tc>
          <w:tcPr>
            <w:tcW w:w="413" w:type="pct"/>
          </w:tcPr>
          <w:p w14:paraId="03BF274A" w14:textId="641ADD2D" w:rsidR="00BC6D6E" w:rsidRPr="00BC6D6E" w:rsidRDefault="00BC6D6E" w:rsidP="00CA5D44">
            <w:pPr>
              <w:pStyle w:val="ARtabletextright"/>
              <w:spacing w:before="60" w:after="40" w:line="240" w:lineRule="auto"/>
            </w:pPr>
            <w:r w:rsidRPr="00657E8C">
              <w:t>2</w:t>
            </w:r>
          </w:p>
        </w:tc>
        <w:tc>
          <w:tcPr>
            <w:tcW w:w="174" w:type="pct"/>
          </w:tcPr>
          <w:p w14:paraId="5752E5D9" w14:textId="75A3EAD9" w:rsidR="00BC6D6E" w:rsidRPr="00BC6D6E" w:rsidRDefault="00BC6D6E" w:rsidP="00CA5D44">
            <w:pPr>
              <w:pStyle w:val="ARtabletextright"/>
              <w:spacing w:before="60" w:after="40" w:line="240" w:lineRule="auto"/>
            </w:pPr>
            <w:r w:rsidRPr="00657E8C">
              <w:t>2</w:t>
            </w:r>
          </w:p>
        </w:tc>
      </w:tr>
      <w:tr w:rsidR="00BC6D6E" w:rsidRPr="00BC6D6E" w14:paraId="74911814" w14:textId="77777777" w:rsidTr="00CA5D44">
        <w:tc>
          <w:tcPr>
            <w:tcW w:w="558" w:type="pct"/>
          </w:tcPr>
          <w:p w14:paraId="28AFFFF0" w14:textId="2C758F6E" w:rsidR="00BC6D6E" w:rsidRPr="00BC6D6E" w:rsidRDefault="00BC6D6E" w:rsidP="00CA5D44">
            <w:pPr>
              <w:pStyle w:val="ARtabletext"/>
              <w:spacing w:before="60" w:after="40" w:line="240" w:lineRule="auto"/>
            </w:pPr>
            <w:r w:rsidRPr="00657E8C">
              <w:t>64+</w:t>
            </w:r>
          </w:p>
        </w:tc>
        <w:tc>
          <w:tcPr>
            <w:tcW w:w="282" w:type="pct"/>
          </w:tcPr>
          <w:p w14:paraId="02FA5D07" w14:textId="350C2788" w:rsidR="00BC6D6E" w:rsidRPr="00BC6D6E" w:rsidRDefault="00BC6D6E" w:rsidP="00CA5D44">
            <w:pPr>
              <w:pStyle w:val="ARtabletextright"/>
              <w:spacing w:before="60" w:after="40" w:line="240" w:lineRule="auto"/>
            </w:pPr>
            <w:r w:rsidRPr="00657E8C">
              <w:t>2</w:t>
            </w:r>
          </w:p>
        </w:tc>
        <w:tc>
          <w:tcPr>
            <w:tcW w:w="196" w:type="pct"/>
          </w:tcPr>
          <w:p w14:paraId="59CF89EB" w14:textId="2E556B91" w:rsidR="00BC6D6E" w:rsidRPr="00BC6D6E" w:rsidRDefault="00BC6D6E" w:rsidP="00CA5D44">
            <w:pPr>
              <w:pStyle w:val="ARtabletextright"/>
              <w:spacing w:before="60" w:after="40" w:line="240" w:lineRule="auto"/>
            </w:pPr>
            <w:r w:rsidRPr="00657E8C">
              <w:t>1.6</w:t>
            </w:r>
          </w:p>
        </w:tc>
        <w:tc>
          <w:tcPr>
            <w:tcW w:w="412" w:type="pct"/>
          </w:tcPr>
          <w:p w14:paraId="09EAD4F1" w14:textId="1E0C6761" w:rsidR="00BC6D6E" w:rsidRPr="00BC6D6E" w:rsidRDefault="00BC6D6E" w:rsidP="00CA5D44">
            <w:pPr>
              <w:pStyle w:val="ARtabletextright"/>
              <w:spacing w:before="60" w:after="40" w:line="240" w:lineRule="auto"/>
            </w:pPr>
            <w:r w:rsidRPr="00657E8C">
              <w:t>1</w:t>
            </w:r>
          </w:p>
        </w:tc>
        <w:tc>
          <w:tcPr>
            <w:tcW w:w="412" w:type="pct"/>
          </w:tcPr>
          <w:p w14:paraId="10F7E07E" w14:textId="5CE6B593" w:rsidR="00BC6D6E" w:rsidRPr="00BC6D6E" w:rsidRDefault="00BC6D6E" w:rsidP="00CA5D44">
            <w:pPr>
              <w:pStyle w:val="ARtabletextright"/>
              <w:spacing w:before="60" w:after="40" w:line="240" w:lineRule="auto"/>
            </w:pPr>
            <w:r w:rsidRPr="00657E8C">
              <w:t>1</w:t>
            </w:r>
          </w:p>
        </w:tc>
        <w:tc>
          <w:tcPr>
            <w:tcW w:w="175" w:type="pct"/>
          </w:tcPr>
          <w:p w14:paraId="106C0B6E" w14:textId="19D0B13B" w:rsidR="00BC6D6E" w:rsidRPr="00BC6D6E" w:rsidRDefault="00BC6D6E" w:rsidP="00CA5D44">
            <w:pPr>
              <w:pStyle w:val="ARtabletextright"/>
              <w:spacing w:before="60" w:after="40" w:line="240" w:lineRule="auto"/>
            </w:pPr>
            <w:r w:rsidRPr="00657E8C">
              <w:t>1.6</w:t>
            </w:r>
          </w:p>
        </w:tc>
        <w:tc>
          <w:tcPr>
            <w:tcW w:w="412" w:type="pct"/>
          </w:tcPr>
          <w:p w14:paraId="1BFF43A5" w14:textId="762BDC54" w:rsidR="00BC6D6E" w:rsidRPr="00BC6D6E" w:rsidRDefault="00BC6D6E" w:rsidP="00CA5D44">
            <w:pPr>
              <w:pStyle w:val="ARtabletextright"/>
              <w:spacing w:before="60" w:after="40" w:line="240" w:lineRule="auto"/>
            </w:pPr>
            <w:r w:rsidRPr="00657E8C">
              <w:t>0</w:t>
            </w:r>
          </w:p>
        </w:tc>
        <w:tc>
          <w:tcPr>
            <w:tcW w:w="340" w:type="pct"/>
          </w:tcPr>
          <w:p w14:paraId="2AD2CBC3" w14:textId="0BB06FB1" w:rsidR="00BC6D6E" w:rsidRPr="00BC6D6E" w:rsidRDefault="00BC6D6E" w:rsidP="00CA5D44">
            <w:pPr>
              <w:pStyle w:val="ARtabletextright"/>
              <w:spacing w:before="60" w:after="40" w:line="240" w:lineRule="auto"/>
            </w:pPr>
            <w:r w:rsidRPr="00657E8C">
              <w:t>0</w:t>
            </w:r>
          </w:p>
        </w:tc>
        <w:tc>
          <w:tcPr>
            <w:tcW w:w="412" w:type="pct"/>
          </w:tcPr>
          <w:p w14:paraId="73DFC1DE" w14:textId="0AB97F71" w:rsidR="00BC6D6E" w:rsidRPr="00BC6D6E" w:rsidRDefault="00BC6D6E" w:rsidP="00CA5D44">
            <w:pPr>
              <w:pStyle w:val="ARtabletextright"/>
              <w:spacing w:before="60" w:after="40" w:line="240" w:lineRule="auto"/>
            </w:pPr>
            <w:r w:rsidRPr="00657E8C">
              <w:t>2</w:t>
            </w:r>
          </w:p>
        </w:tc>
        <w:tc>
          <w:tcPr>
            <w:tcW w:w="210" w:type="pct"/>
          </w:tcPr>
          <w:p w14:paraId="6A1D4D2B" w14:textId="095AD6FD" w:rsidR="00BC6D6E" w:rsidRPr="00BC6D6E" w:rsidRDefault="00BC6D6E" w:rsidP="00CA5D44">
            <w:pPr>
              <w:pStyle w:val="ARtabletextright"/>
              <w:spacing w:before="60" w:after="40" w:line="240" w:lineRule="auto"/>
            </w:pPr>
            <w:r w:rsidRPr="00657E8C">
              <w:t>1.6</w:t>
            </w:r>
          </w:p>
        </w:tc>
        <w:tc>
          <w:tcPr>
            <w:tcW w:w="413" w:type="pct"/>
          </w:tcPr>
          <w:p w14:paraId="01265DA4" w14:textId="7CF65F94" w:rsidR="00BC6D6E" w:rsidRPr="00BC6D6E" w:rsidRDefault="00BC6D6E" w:rsidP="00CA5D44">
            <w:pPr>
              <w:pStyle w:val="ARtabletextright"/>
              <w:spacing w:before="60" w:after="40" w:line="240" w:lineRule="auto"/>
            </w:pPr>
            <w:r w:rsidRPr="00657E8C">
              <w:t>1</w:t>
            </w:r>
          </w:p>
        </w:tc>
        <w:tc>
          <w:tcPr>
            <w:tcW w:w="413" w:type="pct"/>
          </w:tcPr>
          <w:p w14:paraId="37E30916" w14:textId="12BDAF66" w:rsidR="00BC6D6E" w:rsidRPr="00BC6D6E" w:rsidRDefault="00BC6D6E" w:rsidP="00CA5D44">
            <w:pPr>
              <w:pStyle w:val="ARtabletextright"/>
              <w:spacing w:before="60" w:after="40" w:line="240" w:lineRule="auto"/>
            </w:pPr>
            <w:r w:rsidRPr="00657E8C">
              <w:t>1</w:t>
            </w:r>
          </w:p>
        </w:tc>
        <w:tc>
          <w:tcPr>
            <w:tcW w:w="175" w:type="pct"/>
          </w:tcPr>
          <w:p w14:paraId="1BE066CA" w14:textId="11FE8EA2" w:rsidR="00BC6D6E" w:rsidRPr="00BC6D6E" w:rsidRDefault="00BC6D6E" w:rsidP="00CA5D44">
            <w:pPr>
              <w:pStyle w:val="ARtabletextright"/>
              <w:spacing w:before="60" w:after="40" w:line="240" w:lineRule="auto"/>
            </w:pPr>
            <w:r w:rsidRPr="00657E8C">
              <w:t>1.6</w:t>
            </w:r>
          </w:p>
        </w:tc>
        <w:tc>
          <w:tcPr>
            <w:tcW w:w="413" w:type="pct"/>
          </w:tcPr>
          <w:p w14:paraId="0AD41180" w14:textId="6DB2A7A1" w:rsidR="00BC6D6E" w:rsidRPr="00BC6D6E" w:rsidRDefault="00BC6D6E" w:rsidP="00CA5D44">
            <w:pPr>
              <w:pStyle w:val="ARtabletextright"/>
              <w:spacing w:before="60" w:after="40" w:line="240" w:lineRule="auto"/>
            </w:pPr>
            <w:r w:rsidRPr="00657E8C">
              <w:t>0</w:t>
            </w:r>
          </w:p>
        </w:tc>
        <w:tc>
          <w:tcPr>
            <w:tcW w:w="174" w:type="pct"/>
          </w:tcPr>
          <w:p w14:paraId="04B0253C" w14:textId="79D5AFF7" w:rsidR="00BC6D6E" w:rsidRPr="00BC6D6E" w:rsidRDefault="00BC6D6E" w:rsidP="00CA5D44">
            <w:pPr>
              <w:pStyle w:val="ARtabletextright"/>
              <w:spacing w:before="60" w:after="40" w:line="240" w:lineRule="auto"/>
            </w:pPr>
            <w:r w:rsidRPr="00657E8C">
              <w:t>0</w:t>
            </w:r>
          </w:p>
        </w:tc>
      </w:tr>
      <w:tr w:rsidR="00BC6D6E" w:rsidRPr="00BC6D6E" w14:paraId="40B25C64" w14:textId="77777777" w:rsidTr="00BC6D6E">
        <w:tc>
          <w:tcPr>
            <w:tcW w:w="5000" w:type="pct"/>
            <w:gridSpan w:val="15"/>
          </w:tcPr>
          <w:p w14:paraId="3274AA34" w14:textId="42AF45A5" w:rsidR="00BC6D6E" w:rsidRPr="00BC6D6E" w:rsidRDefault="00BC6D6E" w:rsidP="00CA5D44">
            <w:pPr>
              <w:pStyle w:val="ARtablebluebold"/>
              <w:spacing w:before="60" w:after="40" w:line="240" w:lineRule="auto"/>
            </w:pPr>
            <w:r w:rsidRPr="00657E8C">
              <w:t>Classification</w:t>
            </w:r>
          </w:p>
        </w:tc>
      </w:tr>
      <w:tr w:rsidR="00BC6D6E" w:rsidRPr="00BC6D6E" w14:paraId="2DD3BE1A" w14:textId="77777777" w:rsidTr="00CA5D44">
        <w:tc>
          <w:tcPr>
            <w:tcW w:w="558" w:type="pct"/>
          </w:tcPr>
          <w:p w14:paraId="152A283A" w14:textId="625FFC3F" w:rsidR="00BC6D6E" w:rsidRPr="00BC6D6E" w:rsidRDefault="00BC6D6E" w:rsidP="00CA5D44">
            <w:pPr>
              <w:pStyle w:val="ARtabletext"/>
              <w:spacing w:before="60" w:after="40" w:line="240" w:lineRule="auto"/>
            </w:pPr>
            <w:r w:rsidRPr="00657E8C">
              <w:t>VPS 2</w:t>
            </w:r>
          </w:p>
        </w:tc>
        <w:tc>
          <w:tcPr>
            <w:tcW w:w="282" w:type="pct"/>
          </w:tcPr>
          <w:p w14:paraId="0D55F2D8" w14:textId="175CDCCC" w:rsidR="00BC6D6E" w:rsidRPr="00BC6D6E" w:rsidRDefault="00BC6D6E" w:rsidP="00CA5D44">
            <w:pPr>
              <w:pStyle w:val="ARtabletextright"/>
              <w:spacing w:before="60" w:after="40" w:line="240" w:lineRule="auto"/>
            </w:pPr>
            <w:r w:rsidRPr="00657E8C">
              <w:t>2</w:t>
            </w:r>
          </w:p>
        </w:tc>
        <w:tc>
          <w:tcPr>
            <w:tcW w:w="196" w:type="pct"/>
          </w:tcPr>
          <w:p w14:paraId="3551FDAB" w14:textId="608F44C4" w:rsidR="00BC6D6E" w:rsidRPr="00BC6D6E" w:rsidRDefault="00BC6D6E" w:rsidP="00CA5D44">
            <w:pPr>
              <w:pStyle w:val="ARtabletextright"/>
              <w:spacing w:before="60" w:after="40" w:line="240" w:lineRule="auto"/>
            </w:pPr>
            <w:r w:rsidRPr="00657E8C">
              <w:t>2</w:t>
            </w:r>
          </w:p>
        </w:tc>
        <w:tc>
          <w:tcPr>
            <w:tcW w:w="412" w:type="pct"/>
          </w:tcPr>
          <w:p w14:paraId="257D619D" w14:textId="734DF80E" w:rsidR="00BC6D6E" w:rsidRPr="00BC6D6E" w:rsidRDefault="00BC6D6E" w:rsidP="00CA5D44">
            <w:pPr>
              <w:pStyle w:val="ARtabletextright"/>
              <w:spacing w:before="60" w:after="40" w:line="240" w:lineRule="auto"/>
            </w:pPr>
            <w:r w:rsidRPr="00657E8C">
              <w:t>1</w:t>
            </w:r>
          </w:p>
        </w:tc>
        <w:tc>
          <w:tcPr>
            <w:tcW w:w="412" w:type="pct"/>
          </w:tcPr>
          <w:p w14:paraId="56168B5E" w14:textId="11321DA9" w:rsidR="00BC6D6E" w:rsidRPr="00BC6D6E" w:rsidRDefault="00BC6D6E" w:rsidP="00CA5D44">
            <w:pPr>
              <w:pStyle w:val="ARtabletextright"/>
              <w:spacing w:before="60" w:after="40" w:line="240" w:lineRule="auto"/>
            </w:pPr>
            <w:r w:rsidRPr="00657E8C">
              <w:t>0</w:t>
            </w:r>
          </w:p>
        </w:tc>
        <w:tc>
          <w:tcPr>
            <w:tcW w:w="175" w:type="pct"/>
          </w:tcPr>
          <w:p w14:paraId="39ED6BFE" w14:textId="4AA89783" w:rsidR="00BC6D6E" w:rsidRPr="00BC6D6E" w:rsidRDefault="00BC6D6E" w:rsidP="00CA5D44">
            <w:pPr>
              <w:pStyle w:val="ARtabletextright"/>
              <w:spacing w:before="60" w:after="40" w:line="240" w:lineRule="auto"/>
            </w:pPr>
            <w:r w:rsidRPr="00657E8C">
              <w:t>1</w:t>
            </w:r>
          </w:p>
        </w:tc>
        <w:tc>
          <w:tcPr>
            <w:tcW w:w="412" w:type="pct"/>
          </w:tcPr>
          <w:p w14:paraId="6454B6C1" w14:textId="40C9627E" w:rsidR="00BC6D6E" w:rsidRPr="00BC6D6E" w:rsidRDefault="00BC6D6E" w:rsidP="00CA5D44">
            <w:pPr>
              <w:pStyle w:val="ARtabletextright"/>
              <w:spacing w:before="60" w:after="40" w:line="240" w:lineRule="auto"/>
            </w:pPr>
            <w:r w:rsidRPr="00657E8C">
              <w:t>1</w:t>
            </w:r>
          </w:p>
        </w:tc>
        <w:tc>
          <w:tcPr>
            <w:tcW w:w="340" w:type="pct"/>
          </w:tcPr>
          <w:p w14:paraId="20F3EEE5" w14:textId="08D456D1" w:rsidR="00BC6D6E" w:rsidRPr="00BC6D6E" w:rsidRDefault="00BC6D6E" w:rsidP="00CA5D44">
            <w:pPr>
              <w:pStyle w:val="ARtabletextright"/>
              <w:spacing w:before="60" w:after="40" w:line="240" w:lineRule="auto"/>
            </w:pPr>
            <w:r w:rsidRPr="00657E8C">
              <w:t>1</w:t>
            </w:r>
          </w:p>
        </w:tc>
        <w:tc>
          <w:tcPr>
            <w:tcW w:w="412" w:type="pct"/>
          </w:tcPr>
          <w:p w14:paraId="4920866E" w14:textId="551337A3" w:rsidR="00BC6D6E" w:rsidRPr="00BC6D6E" w:rsidRDefault="00BC6D6E" w:rsidP="00CA5D44">
            <w:pPr>
              <w:pStyle w:val="ARtabletextright"/>
              <w:spacing w:before="60" w:after="40" w:line="240" w:lineRule="auto"/>
            </w:pPr>
            <w:r w:rsidRPr="00657E8C">
              <w:t>1</w:t>
            </w:r>
          </w:p>
        </w:tc>
        <w:tc>
          <w:tcPr>
            <w:tcW w:w="210" w:type="pct"/>
          </w:tcPr>
          <w:p w14:paraId="7FD20F7C" w14:textId="5D4A4C64" w:rsidR="00BC6D6E" w:rsidRPr="00BC6D6E" w:rsidRDefault="00BC6D6E" w:rsidP="00CA5D44">
            <w:pPr>
              <w:pStyle w:val="ARtabletextright"/>
              <w:spacing w:before="60" w:after="40" w:line="240" w:lineRule="auto"/>
            </w:pPr>
            <w:r w:rsidRPr="00657E8C">
              <w:t>1</w:t>
            </w:r>
          </w:p>
        </w:tc>
        <w:tc>
          <w:tcPr>
            <w:tcW w:w="413" w:type="pct"/>
          </w:tcPr>
          <w:p w14:paraId="38A90CF8" w14:textId="066192EA" w:rsidR="00BC6D6E" w:rsidRPr="00BC6D6E" w:rsidRDefault="00BC6D6E" w:rsidP="00CA5D44">
            <w:pPr>
              <w:pStyle w:val="ARtabletextright"/>
              <w:spacing w:before="60" w:after="40" w:line="240" w:lineRule="auto"/>
            </w:pPr>
            <w:r w:rsidRPr="00657E8C">
              <w:t>1</w:t>
            </w:r>
          </w:p>
        </w:tc>
        <w:tc>
          <w:tcPr>
            <w:tcW w:w="413" w:type="pct"/>
          </w:tcPr>
          <w:p w14:paraId="486368ED" w14:textId="684DD4C7" w:rsidR="00BC6D6E" w:rsidRPr="00BC6D6E" w:rsidRDefault="00BC6D6E" w:rsidP="00CA5D44">
            <w:pPr>
              <w:pStyle w:val="ARtabletextright"/>
              <w:spacing w:before="60" w:after="40" w:line="240" w:lineRule="auto"/>
            </w:pPr>
            <w:r w:rsidRPr="00657E8C">
              <w:t>0</w:t>
            </w:r>
          </w:p>
        </w:tc>
        <w:tc>
          <w:tcPr>
            <w:tcW w:w="175" w:type="pct"/>
          </w:tcPr>
          <w:p w14:paraId="28BD15FB" w14:textId="0CE8B1DC" w:rsidR="00BC6D6E" w:rsidRPr="00BC6D6E" w:rsidRDefault="00BC6D6E" w:rsidP="00CA5D44">
            <w:pPr>
              <w:pStyle w:val="ARtabletextright"/>
              <w:spacing w:before="60" w:after="40" w:line="240" w:lineRule="auto"/>
            </w:pPr>
            <w:r w:rsidRPr="00657E8C">
              <w:t>1</w:t>
            </w:r>
          </w:p>
        </w:tc>
        <w:tc>
          <w:tcPr>
            <w:tcW w:w="413" w:type="pct"/>
          </w:tcPr>
          <w:p w14:paraId="7900F567" w14:textId="55FBF70C" w:rsidR="00BC6D6E" w:rsidRPr="00BC6D6E" w:rsidRDefault="00BC6D6E" w:rsidP="00CA5D44">
            <w:pPr>
              <w:pStyle w:val="ARtabletextright"/>
              <w:spacing w:before="60" w:after="40" w:line="240" w:lineRule="auto"/>
            </w:pPr>
            <w:r w:rsidRPr="00657E8C">
              <w:t>0</w:t>
            </w:r>
          </w:p>
        </w:tc>
        <w:tc>
          <w:tcPr>
            <w:tcW w:w="174" w:type="pct"/>
          </w:tcPr>
          <w:p w14:paraId="34D36B9A" w14:textId="3E41750E" w:rsidR="00BC6D6E" w:rsidRPr="00BC6D6E" w:rsidRDefault="00BC6D6E" w:rsidP="00CA5D44">
            <w:pPr>
              <w:pStyle w:val="ARtabletextright"/>
              <w:spacing w:before="60" w:after="40" w:line="240" w:lineRule="auto"/>
            </w:pPr>
            <w:r w:rsidRPr="00657E8C">
              <w:t>0</w:t>
            </w:r>
          </w:p>
        </w:tc>
      </w:tr>
      <w:tr w:rsidR="00BC6D6E" w:rsidRPr="00BC6D6E" w14:paraId="79144782" w14:textId="77777777" w:rsidTr="00CA5D44">
        <w:tc>
          <w:tcPr>
            <w:tcW w:w="558" w:type="pct"/>
          </w:tcPr>
          <w:p w14:paraId="78C1509B" w14:textId="703470ED" w:rsidR="00BC6D6E" w:rsidRPr="00BC6D6E" w:rsidRDefault="00BC6D6E" w:rsidP="00CA5D44">
            <w:pPr>
              <w:pStyle w:val="ARtabletext"/>
              <w:spacing w:before="60" w:after="40" w:line="240" w:lineRule="auto"/>
            </w:pPr>
            <w:r w:rsidRPr="00657E8C">
              <w:t>VPS 3</w:t>
            </w:r>
          </w:p>
        </w:tc>
        <w:tc>
          <w:tcPr>
            <w:tcW w:w="282" w:type="pct"/>
          </w:tcPr>
          <w:p w14:paraId="2B3E3C20" w14:textId="26DD21F2" w:rsidR="00BC6D6E" w:rsidRPr="00BC6D6E" w:rsidRDefault="00BC6D6E" w:rsidP="00CA5D44">
            <w:pPr>
              <w:pStyle w:val="ARtabletextright"/>
              <w:spacing w:before="60" w:after="40" w:line="240" w:lineRule="auto"/>
            </w:pPr>
            <w:r w:rsidRPr="00657E8C">
              <w:t>4</w:t>
            </w:r>
          </w:p>
        </w:tc>
        <w:tc>
          <w:tcPr>
            <w:tcW w:w="196" w:type="pct"/>
          </w:tcPr>
          <w:p w14:paraId="0D956E2C" w14:textId="0C6BFF7C" w:rsidR="00BC6D6E" w:rsidRPr="00BC6D6E" w:rsidRDefault="00BC6D6E" w:rsidP="00CA5D44">
            <w:pPr>
              <w:pStyle w:val="ARtabletextright"/>
              <w:spacing w:before="60" w:after="40" w:line="240" w:lineRule="auto"/>
            </w:pPr>
            <w:r w:rsidRPr="00657E8C">
              <w:t>4</w:t>
            </w:r>
          </w:p>
        </w:tc>
        <w:tc>
          <w:tcPr>
            <w:tcW w:w="412" w:type="pct"/>
          </w:tcPr>
          <w:p w14:paraId="38B03998" w14:textId="2634DEDD" w:rsidR="00BC6D6E" w:rsidRPr="00BC6D6E" w:rsidRDefault="00BC6D6E" w:rsidP="00CA5D44">
            <w:pPr>
              <w:pStyle w:val="ARtabletextright"/>
              <w:spacing w:before="60" w:after="40" w:line="240" w:lineRule="auto"/>
            </w:pPr>
            <w:r w:rsidRPr="00657E8C">
              <w:t>2</w:t>
            </w:r>
          </w:p>
        </w:tc>
        <w:tc>
          <w:tcPr>
            <w:tcW w:w="412" w:type="pct"/>
          </w:tcPr>
          <w:p w14:paraId="5B9E4B1E" w14:textId="55567B35" w:rsidR="00BC6D6E" w:rsidRPr="00BC6D6E" w:rsidRDefault="00BC6D6E" w:rsidP="00CA5D44">
            <w:pPr>
              <w:pStyle w:val="ARtabletextright"/>
              <w:spacing w:before="60" w:after="40" w:line="240" w:lineRule="auto"/>
            </w:pPr>
            <w:r w:rsidRPr="00657E8C">
              <w:t>0</w:t>
            </w:r>
          </w:p>
        </w:tc>
        <w:tc>
          <w:tcPr>
            <w:tcW w:w="175" w:type="pct"/>
          </w:tcPr>
          <w:p w14:paraId="62B4A200" w14:textId="71C17F8F" w:rsidR="00BC6D6E" w:rsidRPr="00BC6D6E" w:rsidRDefault="00BC6D6E" w:rsidP="00CA5D44">
            <w:pPr>
              <w:pStyle w:val="ARtabletextright"/>
              <w:spacing w:before="60" w:after="40" w:line="240" w:lineRule="auto"/>
            </w:pPr>
            <w:r w:rsidRPr="00657E8C">
              <w:t>2</w:t>
            </w:r>
          </w:p>
        </w:tc>
        <w:tc>
          <w:tcPr>
            <w:tcW w:w="412" w:type="pct"/>
          </w:tcPr>
          <w:p w14:paraId="46B7CD9D" w14:textId="274792F4" w:rsidR="00BC6D6E" w:rsidRPr="00BC6D6E" w:rsidRDefault="00BC6D6E" w:rsidP="00CA5D44">
            <w:pPr>
              <w:pStyle w:val="ARtabletextright"/>
              <w:spacing w:before="60" w:after="40" w:line="240" w:lineRule="auto"/>
            </w:pPr>
            <w:r w:rsidRPr="00657E8C">
              <w:t>2</w:t>
            </w:r>
          </w:p>
        </w:tc>
        <w:tc>
          <w:tcPr>
            <w:tcW w:w="340" w:type="pct"/>
          </w:tcPr>
          <w:p w14:paraId="1457E44B" w14:textId="7FDD53CF" w:rsidR="00BC6D6E" w:rsidRPr="00BC6D6E" w:rsidRDefault="00BC6D6E" w:rsidP="00CA5D44">
            <w:pPr>
              <w:pStyle w:val="ARtabletextright"/>
              <w:spacing w:before="60" w:after="40" w:line="240" w:lineRule="auto"/>
            </w:pPr>
            <w:r w:rsidRPr="00657E8C">
              <w:t>2</w:t>
            </w:r>
          </w:p>
        </w:tc>
        <w:tc>
          <w:tcPr>
            <w:tcW w:w="412" w:type="pct"/>
          </w:tcPr>
          <w:p w14:paraId="0ADDC613" w14:textId="68E51CBD" w:rsidR="00BC6D6E" w:rsidRPr="00BC6D6E" w:rsidRDefault="00BC6D6E" w:rsidP="00CA5D44">
            <w:pPr>
              <w:pStyle w:val="ARtabletextright"/>
              <w:spacing w:before="60" w:after="40" w:line="240" w:lineRule="auto"/>
            </w:pPr>
            <w:r w:rsidRPr="00657E8C">
              <w:t>3</w:t>
            </w:r>
          </w:p>
        </w:tc>
        <w:tc>
          <w:tcPr>
            <w:tcW w:w="210" w:type="pct"/>
          </w:tcPr>
          <w:p w14:paraId="79047C8C" w14:textId="388C7845" w:rsidR="00BC6D6E" w:rsidRPr="00BC6D6E" w:rsidRDefault="00BC6D6E" w:rsidP="00CA5D44">
            <w:pPr>
              <w:pStyle w:val="ARtabletextright"/>
              <w:spacing w:before="60" w:after="40" w:line="240" w:lineRule="auto"/>
            </w:pPr>
            <w:r w:rsidRPr="00657E8C">
              <w:t>3</w:t>
            </w:r>
          </w:p>
        </w:tc>
        <w:tc>
          <w:tcPr>
            <w:tcW w:w="413" w:type="pct"/>
          </w:tcPr>
          <w:p w14:paraId="3C2B0929" w14:textId="7FEEC156" w:rsidR="00BC6D6E" w:rsidRPr="00BC6D6E" w:rsidRDefault="00BC6D6E" w:rsidP="00CA5D44">
            <w:pPr>
              <w:pStyle w:val="ARtabletextright"/>
              <w:spacing w:before="60" w:after="40" w:line="240" w:lineRule="auto"/>
            </w:pPr>
            <w:r w:rsidRPr="00657E8C">
              <w:t>3</w:t>
            </w:r>
          </w:p>
        </w:tc>
        <w:tc>
          <w:tcPr>
            <w:tcW w:w="413" w:type="pct"/>
          </w:tcPr>
          <w:p w14:paraId="5A0B3EF0" w14:textId="057BEB05" w:rsidR="00BC6D6E" w:rsidRPr="00BC6D6E" w:rsidRDefault="00BC6D6E" w:rsidP="00CA5D44">
            <w:pPr>
              <w:pStyle w:val="ARtabletextright"/>
              <w:spacing w:before="60" w:after="40" w:line="240" w:lineRule="auto"/>
            </w:pPr>
            <w:r w:rsidRPr="00657E8C">
              <w:t>0</w:t>
            </w:r>
          </w:p>
        </w:tc>
        <w:tc>
          <w:tcPr>
            <w:tcW w:w="175" w:type="pct"/>
          </w:tcPr>
          <w:p w14:paraId="7C7A5D3E" w14:textId="7DF3CC25" w:rsidR="00BC6D6E" w:rsidRPr="00BC6D6E" w:rsidRDefault="00BC6D6E" w:rsidP="00CA5D44">
            <w:pPr>
              <w:pStyle w:val="ARtabletextright"/>
              <w:spacing w:before="60" w:after="40" w:line="240" w:lineRule="auto"/>
            </w:pPr>
            <w:r w:rsidRPr="00657E8C">
              <w:t>3</w:t>
            </w:r>
          </w:p>
        </w:tc>
        <w:tc>
          <w:tcPr>
            <w:tcW w:w="413" w:type="pct"/>
          </w:tcPr>
          <w:p w14:paraId="7D580E7A" w14:textId="0CEBA387" w:rsidR="00BC6D6E" w:rsidRPr="00BC6D6E" w:rsidRDefault="00BC6D6E" w:rsidP="00CA5D44">
            <w:pPr>
              <w:pStyle w:val="ARtabletextright"/>
              <w:spacing w:before="60" w:after="40" w:line="240" w:lineRule="auto"/>
            </w:pPr>
            <w:r w:rsidRPr="00657E8C">
              <w:t>0</w:t>
            </w:r>
          </w:p>
        </w:tc>
        <w:tc>
          <w:tcPr>
            <w:tcW w:w="174" w:type="pct"/>
          </w:tcPr>
          <w:p w14:paraId="3630615F" w14:textId="46ED1DBA" w:rsidR="00BC6D6E" w:rsidRPr="00BC6D6E" w:rsidRDefault="00BC6D6E" w:rsidP="00CA5D44">
            <w:pPr>
              <w:pStyle w:val="ARtabletextright"/>
              <w:spacing w:before="60" w:after="40" w:line="240" w:lineRule="auto"/>
            </w:pPr>
            <w:r w:rsidRPr="00657E8C">
              <w:t>0</w:t>
            </w:r>
          </w:p>
        </w:tc>
      </w:tr>
      <w:tr w:rsidR="00BC6D6E" w:rsidRPr="00BC6D6E" w14:paraId="35D0EB42" w14:textId="77777777" w:rsidTr="00CA5D44">
        <w:tc>
          <w:tcPr>
            <w:tcW w:w="558" w:type="pct"/>
          </w:tcPr>
          <w:p w14:paraId="245A2CB7" w14:textId="119A3E71" w:rsidR="00BC6D6E" w:rsidRPr="00BC6D6E" w:rsidRDefault="00BC6D6E" w:rsidP="00CA5D44">
            <w:pPr>
              <w:pStyle w:val="ARtabletext"/>
              <w:spacing w:before="60" w:after="40" w:line="240" w:lineRule="auto"/>
            </w:pPr>
            <w:r w:rsidRPr="00657E8C">
              <w:t>VPS 4</w:t>
            </w:r>
          </w:p>
        </w:tc>
        <w:tc>
          <w:tcPr>
            <w:tcW w:w="282" w:type="pct"/>
          </w:tcPr>
          <w:p w14:paraId="32723762" w14:textId="655A2EAB" w:rsidR="00BC6D6E" w:rsidRPr="00BC6D6E" w:rsidRDefault="00BC6D6E" w:rsidP="00CA5D44">
            <w:pPr>
              <w:pStyle w:val="ARtabletextright"/>
              <w:spacing w:before="60" w:after="40" w:line="240" w:lineRule="auto"/>
            </w:pPr>
            <w:r w:rsidRPr="00657E8C">
              <w:t>8</w:t>
            </w:r>
          </w:p>
        </w:tc>
        <w:tc>
          <w:tcPr>
            <w:tcW w:w="196" w:type="pct"/>
          </w:tcPr>
          <w:p w14:paraId="62C36857" w14:textId="4FBD4A1C" w:rsidR="00BC6D6E" w:rsidRPr="00BC6D6E" w:rsidRDefault="00BC6D6E" w:rsidP="00CA5D44">
            <w:pPr>
              <w:pStyle w:val="ARtabletextright"/>
              <w:spacing w:before="60" w:after="40" w:line="240" w:lineRule="auto"/>
            </w:pPr>
            <w:r w:rsidRPr="00657E8C">
              <w:t>7.4</w:t>
            </w:r>
          </w:p>
        </w:tc>
        <w:tc>
          <w:tcPr>
            <w:tcW w:w="412" w:type="pct"/>
          </w:tcPr>
          <w:p w14:paraId="7D86C537" w14:textId="2BD0F4E8" w:rsidR="00BC6D6E" w:rsidRPr="00BC6D6E" w:rsidRDefault="00BC6D6E" w:rsidP="00CA5D44">
            <w:pPr>
              <w:pStyle w:val="ARtabletextright"/>
              <w:spacing w:before="60" w:after="40" w:line="240" w:lineRule="auto"/>
            </w:pPr>
            <w:r w:rsidRPr="00657E8C">
              <w:t>6</w:t>
            </w:r>
          </w:p>
        </w:tc>
        <w:tc>
          <w:tcPr>
            <w:tcW w:w="412" w:type="pct"/>
          </w:tcPr>
          <w:p w14:paraId="3648D999" w14:textId="0A502EDE" w:rsidR="00BC6D6E" w:rsidRPr="00BC6D6E" w:rsidRDefault="00BC6D6E" w:rsidP="00CA5D44">
            <w:pPr>
              <w:pStyle w:val="ARtabletextright"/>
              <w:spacing w:before="60" w:after="40" w:line="240" w:lineRule="auto"/>
            </w:pPr>
            <w:r w:rsidRPr="00657E8C">
              <w:t>2</w:t>
            </w:r>
          </w:p>
        </w:tc>
        <w:tc>
          <w:tcPr>
            <w:tcW w:w="175" w:type="pct"/>
          </w:tcPr>
          <w:p w14:paraId="23D09DEC" w14:textId="4122B22C" w:rsidR="00BC6D6E" w:rsidRPr="00BC6D6E" w:rsidRDefault="00BC6D6E" w:rsidP="00CA5D44">
            <w:pPr>
              <w:pStyle w:val="ARtabletextright"/>
              <w:spacing w:before="60" w:after="40" w:line="240" w:lineRule="auto"/>
            </w:pPr>
            <w:r w:rsidRPr="00657E8C">
              <w:t>7.4</w:t>
            </w:r>
          </w:p>
        </w:tc>
        <w:tc>
          <w:tcPr>
            <w:tcW w:w="412" w:type="pct"/>
          </w:tcPr>
          <w:p w14:paraId="15472A53" w14:textId="6B1A0C50" w:rsidR="00BC6D6E" w:rsidRPr="00BC6D6E" w:rsidRDefault="00BC6D6E" w:rsidP="00CA5D44">
            <w:pPr>
              <w:pStyle w:val="ARtabletextright"/>
              <w:spacing w:before="60" w:after="40" w:line="240" w:lineRule="auto"/>
            </w:pPr>
            <w:r w:rsidRPr="00657E8C">
              <w:t>0</w:t>
            </w:r>
          </w:p>
        </w:tc>
        <w:tc>
          <w:tcPr>
            <w:tcW w:w="340" w:type="pct"/>
          </w:tcPr>
          <w:p w14:paraId="662F5F7B" w14:textId="61573A18" w:rsidR="00BC6D6E" w:rsidRPr="00BC6D6E" w:rsidRDefault="00BC6D6E" w:rsidP="00CA5D44">
            <w:pPr>
              <w:pStyle w:val="ARtabletextright"/>
              <w:spacing w:before="60" w:after="40" w:line="240" w:lineRule="auto"/>
            </w:pPr>
            <w:r w:rsidRPr="00657E8C">
              <w:t>0</w:t>
            </w:r>
          </w:p>
        </w:tc>
        <w:tc>
          <w:tcPr>
            <w:tcW w:w="412" w:type="pct"/>
          </w:tcPr>
          <w:p w14:paraId="426EEDC4" w14:textId="6A5C8D3F" w:rsidR="00BC6D6E" w:rsidRPr="00BC6D6E" w:rsidRDefault="00BC6D6E" w:rsidP="00CA5D44">
            <w:pPr>
              <w:pStyle w:val="ARtabletextright"/>
              <w:spacing w:before="60" w:after="40" w:line="240" w:lineRule="auto"/>
            </w:pPr>
            <w:r w:rsidRPr="00657E8C">
              <w:t>5</w:t>
            </w:r>
          </w:p>
        </w:tc>
        <w:tc>
          <w:tcPr>
            <w:tcW w:w="210" w:type="pct"/>
          </w:tcPr>
          <w:p w14:paraId="34A44A40" w14:textId="7BA3A49E" w:rsidR="00BC6D6E" w:rsidRPr="00BC6D6E" w:rsidRDefault="00BC6D6E" w:rsidP="00CA5D44">
            <w:pPr>
              <w:pStyle w:val="ARtabletextright"/>
              <w:spacing w:before="60" w:after="40" w:line="240" w:lineRule="auto"/>
            </w:pPr>
            <w:r w:rsidRPr="00657E8C">
              <w:t>4.5</w:t>
            </w:r>
          </w:p>
        </w:tc>
        <w:tc>
          <w:tcPr>
            <w:tcW w:w="413" w:type="pct"/>
          </w:tcPr>
          <w:p w14:paraId="1DC14F1F" w14:textId="4FEF2F78" w:rsidR="00BC6D6E" w:rsidRPr="00BC6D6E" w:rsidRDefault="00BC6D6E" w:rsidP="00CA5D44">
            <w:pPr>
              <w:pStyle w:val="ARtabletextright"/>
              <w:spacing w:before="60" w:after="40" w:line="240" w:lineRule="auto"/>
            </w:pPr>
            <w:r w:rsidRPr="00657E8C">
              <w:t>4</w:t>
            </w:r>
          </w:p>
        </w:tc>
        <w:tc>
          <w:tcPr>
            <w:tcW w:w="413" w:type="pct"/>
          </w:tcPr>
          <w:p w14:paraId="1C0511E2" w14:textId="25FCE1FE" w:rsidR="00BC6D6E" w:rsidRPr="00BC6D6E" w:rsidRDefault="00BC6D6E" w:rsidP="00CA5D44">
            <w:pPr>
              <w:pStyle w:val="ARtabletextright"/>
              <w:spacing w:before="60" w:after="40" w:line="240" w:lineRule="auto"/>
            </w:pPr>
            <w:r w:rsidRPr="00657E8C">
              <w:t>1</w:t>
            </w:r>
          </w:p>
        </w:tc>
        <w:tc>
          <w:tcPr>
            <w:tcW w:w="175" w:type="pct"/>
          </w:tcPr>
          <w:p w14:paraId="098BD8BB" w14:textId="7176871E" w:rsidR="00BC6D6E" w:rsidRPr="00BC6D6E" w:rsidRDefault="00BC6D6E" w:rsidP="00CA5D44">
            <w:pPr>
              <w:pStyle w:val="ARtabletextright"/>
              <w:spacing w:before="60" w:after="40" w:line="240" w:lineRule="auto"/>
            </w:pPr>
            <w:r w:rsidRPr="00657E8C">
              <w:t>4.5</w:t>
            </w:r>
          </w:p>
        </w:tc>
        <w:tc>
          <w:tcPr>
            <w:tcW w:w="413" w:type="pct"/>
          </w:tcPr>
          <w:p w14:paraId="5506384D" w14:textId="6B2A6C6D" w:rsidR="00BC6D6E" w:rsidRPr="00BC6D6E" w:rsidRDefault="00BC6D6E" w:rsidP="00CA5D44">
            <w:pPr>
              <w:pStyle w:val="ARtabletextright"/>
              <w:spacing w:before="60" w:after="40" w:line="240" w:lineRule="auto"/>
            </w:pPr>
            <w:r w:rsidRPr="00657E8C">
              <w:t>0</w:t>
            </w:r>
          </w:p>
        </w:tc>
        <w:tc>
          <w:tcPr>
            <w:tcW w:w="174" w:type="pct"/>
          </w:tcPr>
          <w:p w14:paraId="6AAACEEB" w14:textId="558E8C67" w:rsidR="00BC6D6E" w:rsidRPr="00BC6D6E" w:rsidRDefault="00BC6D6E" w:rsidP="00CA5D44">
            <w:pPr>
              <w:pStyle w:val="ARtabletextright"/>
              <w:spacing w:before="60" w:after="40" w:line="240" w:lineRule="auto"/>
            </w:pPr>
            <w:r w:rsidRPr="00657E8C">
              <w:t>0</w:t>
            </w:r>
          </w:p>
        </w:tc>
      </w:tr>
      <w:tr w:rsidR="00BC6D6E" w:rsidRPr="00BC6D6E" w14:paraId="37E465FE" w14:textId="77777777" w:rsidTr="00CA5D44">
        <w:tc>
          <w:tcPr>
            <w:tcW w:w="558" w:type="pct"/>
          </w:tcPr>
          <w:p w14:paraId="437E9657" w14:textId="58AD4088" w:rsidR="00BC6D6E" w:rsidRPr="00BC6D6E" w:rsidRDefault="00BC6D6E" w:rsidP="00CA5D44">
            <w:pPr>
              <w:pStyle w:val="ARtabletext"/>
              <w:spacing w:before="60" w:after="40" w:line="240" w:lineRule="auto"/>
            </w:pPr>
            <w:r w:rsidRPr="00657E8C">
              <w:t>VPS 5</w:t>
            </w:r>
          </w:p>
        </w:tc>
        <w:tc>
          <w:tcPr>
            <w:tcW w:w="282" w:type="pct"/>
          </w:tcPr>
          <w:p w14:paraId="6A5A505C" w14:textId="09917794" w:rsidR="00BC6D6E" w:rsidRPr="00BC6D6E" w:rsidRDefault="00BC6D6E" w:rsidP="00CA5D44">
            <w:pPr>
              <w:pStyle w:val="ARtabletextright"/>
              <w:spacing w:before="60" w:after="40" w:line="240" w:lineRule="auto"/>
            </w:pPr>
            <w:r w:rsidRPr="00657E8C">
              <w:t>30</w:t>
            </w:r>
          </w:p>
        </w:tc>
        <w:tc>
          <w:tcPr>
            <w:tcW w:w="196" w:type="pct"/>
          </w:tcPr>
          <w:p w14:paraId="25C9C193" w14:textId="2CA517E6" w:rsidR="00BC6D6E" w:rsidRPr="00BC6D6E" w:rsidRDefault="00BC6D6E" w:rsidP="00CA5D44">
            <w:pPr>
              <w:pStyle w:val="ARtabletextright"/>
              <w:spacing w:before="60" w:after="40" w:line="240" w:lineRule="auto"/>
            </w:pPr>
            <w:r w:rsidRPr="00657E8C">
              <w:t>28.3</w:t>
            </w:r>
          </w:p>
        </w:tc>
        <w:tc>
          <w:tcPr>
            <w:tcW w:w="412" w:type="pct"/>
          </w:tcPr>
          <w:p w14:paraId="4813EA4F" w14:textId="54928FB2" w:rsidR="00BC6D6E" w:rsidRPr="00BC6D6E" w:rsidRDefault="00BC6D6E" w:rsidP="00CA5D44">
            <w:pPr>
              <w:pStyle w:val="ARtabletextright"/>
              <w:spacing w:before="60" w:after="40" w:line="240" w:lineRule="auto"/>
            </w:pPr>
            <w:r w:rsidRPr="00657E8C">
              <w:t>23</w:t>
            </w:r>
          </w:p>
        </w:tc>
        <w:tc>
          <w:tcPr>
            <w:tcW w:w="412" w:type="pct"/>
          </w:tcPr>
          <w:p w14:paraId="3F10C499" w14:textId="159F81E6" w:rsidR="00BC6D6E" w:rsidRPr="00BC6D6E" w:rsidRDefault="00BC6D6E" w:rsidP="00CA5D44">
            <w:pPr>
              <w:pStyle w:val="ARtabletextright"/>
              <w:spacing w:before="60" w:after="40" w:line="240" w:lineRule="auto"/>
            </w:pPr>
            <w:r w:rsidRPr="00657E8C">
              <w:t>3</w:t>
            </w:r>
          </w:p>
        </w:tc>
        <w:tc>
          <w:tcPr>
            <w:tcW w:w="175" w:type="pct"/>
          </w:tcPr>
          <w:p w14:paraId="0152EAA4" w14:textId="23470D0D" w:rsidR="00BC6D6E" w:rsidRPr="00BC6D6E" w:rsidRDefault="00BC6D6E" w:rsidP="00CA5D44">
            <w:pPr>
              <w:pStyle w:val="ARtabletextright"/>
              <w:spacing w:before="60" w:after="40" w:line="240" w:lineRule="auto"/>
            </w:pPr>
            <w:r w:rsidRPr="00657E8C">
              <w:t>24.9</w:t>
            </w:r>
          </w:p>
        </w:tc>
        <w:tc>
          <w:tcPr>
            <w:tcW w:w="412" w:type="pct"/>
          </w:tcPr>
          <w:p w14:paraId="65004CE0" w14:textId="77CC83E9" w:rsidR="00BC6D6E" w:rsidRPr="00BC6D6E" w:rsidRDefault="00BC6D6E" w:rsidP="00CA5D44">
            <w:pPr>
              <w:pStyle w:val="ARtabletextright"/>
              <w:spacing w:before="60" w:after="40" w:line="240" w:lineRule="auto"/>
            </w:pPr>
            <w:r w:rsidRPr="00657E8C">
              <w:t>4</w:t>
            </w:r>
          </w:p>
        </w:tc>
        <w:tc>
          <w:tcPr>
            <w:tcW w:w="340" w:type="pct"/>
          </w:tcPr>
          <w:p w14:paraId="5792092A" w14:textId="7BED79D4" w:rsidR="00BC6D6E" w:rsidRPr="00BC6D6E" w:rsidRDefault="00BC6D6E" w:rsidP="00CA5D44">
            <w:pPr>
              <w:pStyle w:val="ARtabletextright"/>
              <w:spacing w:before="60" w:after="40" w:line="240" w:lineRule="auto"/>
            </w:pPr>
            <w:r w:rsidRPr="00657E8C">
              <w:t>3.4</w:t>
            </w:r>
          </w:p>
        </w:tc>
        <w:tc>
          <w:tcPr>
            <w:tcW w:w="412" w:type="pct"/>
          </w:tcPr>
          <w:p w14:paraId="187662C2" w14:textId="6067A157" w:rsidR="00BC6D6E" w:rsidRPr="00BC6D6E" w:rsidRDefault="00BC6D6E" w:rsidP="00CA5D44">
            <w:pPr>
              <w:pStyle w:val="ARtabletextright"/>
              <w:spacing w:before="60" w:after="40" w:line="240" w:lineRule="auto"/>
            </w:pPr>
            <w:r w:rsidRPr="00657E8C">
              <w:t>29</w:t>
            </w:r>
          </w:p>
        </w:tc>
        <w:tc>
          <w:tcPr>
            <w:tcW w:w="210" w:type="pct"/>
          </w:tcPr>
          <w:p w14:paraId="10B75F6E" w14:textId="02A57308" w:rsidR="00BC6D6E" w:rsidRPr="00BC6D6E" w:rsidRDefault="00BC6D6E" w:rsidP="00CA5D44">
            <w:pPr>
              <w:pStyle w:val="ARtabletextright"/>
              <w:spacing w:before="60" w:after="40" w:line="240" w:lineRule="auto"/>
            </w:pPr>
            <w:r w:rsidRPr="00657E8C">
              <w:t>27</w:t>
            </w:r>
          </w:p>
        </w:tc>
        <w:tc>
          <w:tcPr>
            <w:tcW w:w="413" w:type="pct"/>
          </w:tcPr>
          <w:p w14:paraId="65D4C637" w14:textId="203AA704" w:rsidR="00BC6D6E" w:rsidRPr="00BC6D6E" w:rsidRDefault="00BC6D6E" w:rsidP="00CA5D44">
            <w:pPr>
              <w:pStyle w:val="ARtabletextright"/>
              <w:spacing w:before="60" w:after="40" w:line="240" w:lineRule="auto"/>
            </w:pPr>
            <w:r w:rsidRPr="00657E8C">
              <w:t>18</w:t>
            </w:r>
          </w:p>
        </w:tc>
        <w:tc>
          <w:tcPr>
            <w:tcW w:w="413" w:type="pct"/>
          </w:tcPr>
          <w:p w14:paraId="2EC52238" w14:textId="05260546" w:rsidR="00BC6D6E" w:rsidRPr="00BC6D6E" w:rsidRDefault="00BC6D6E" w:rsidP="00CA5D44">
            <w:pPr>
              <w:pStyle w:val="ARtabletextright"/>
              <w:spacing w:before="60" w:after="40" w:line="240" w:lineRule="auto"/>
            </w:pPr>
            <w:r w:rsidRPr="00657E8C">
              <w:t>5</w:t>
            </w:r>
          </w:p>
        </w:tc>
        <w:tc>
          <w:tcPr>
            <w:tcW w:w="175" w:type="pct"/>
          </w:tcPr>
          <w:p w14:paraId="5BBE89F2" w14:textId="1EA4F71E" w:rsidR="00BC6D6E" w:rsidRPr="00BC6D6E" w:rsidRDefault="00BC6D6E" w:rsidP="00CA5D44">
            <w:pPr>
              <w:pStyle w:val="ARtabletextright"/>
              <w:spacing w:before="60" w:after="40" w:line="240" w:lineRule="auto"/>
            </w:pPr>
            <w:r w:rsidRPr="00657E8C">
              <w:t>21.4</w:t>
            </w:r>
          </w:p>
        </w:tc>
        <w:tc>
          <w:tcPr>
            <w:tcW w:w="413" w:type="pct"/>
          </w:tcPr>
          <w:p w14:paraId="37BEED52" w14:textId="39A90594" w:rsidR="00BC6D6E" w:rsidRPr="00BC6D6E" w:rsidRDefault="00BC6D6E" w:rsidP="00CA5D44">
            <w:pPr>
              <w:pStyle w:val="ARtabletextright"/>
              <w:spacing w:before="60" w:after="40" w:line="240" w:lineRule="auto"/>
            </w:pPr>
            <w:r w:rsidRPr="00657E8C">
              <w:t>6</w:t>
            </w:r>
          </w:p>
        </w:tc>
        <w:tc>
          <w:tcPr>
            <w:tcW w:w="174" w:type="pct"/>
          </w:tcPr>
          <w:p w14:paraId="32A3258D" w14:textId="2447C3C7" w:rsidR="00BC6D6E" w:rsidRPr="00BC6D6E" w:rsidRDefault="00BC6D6E" w:rsidP="00CA5D44">
            <w:pPr>
              <w:pStyle w:val="ARtabletextright"/>
              <w:spacing w:before="60" w:after="40" w:line="240" w:lineRule="auto"/>
            </w:pPr>
            <w:r w:rsidRPr="00657E8C">
              <w:t>5.6</w:t>
            </w:r>
          </w:p>
        </w:tc>
      </w:tr>
      <w:tr w:rsidR="00BC6D6E" w:rsidRPr="00BC6D6E" w14:paraId="4161081A" w14:textId="77777777" w:rsidTr="00CA5D44">
        <w:tc>
          <w:tcPr>
            <w:tcW w:w="558" w:type="pct"/>
          </w:tcPr>
          <w:p w14:paraId="1E00BFCC" w14:textId="702E67EE" w:rsidR="00BC6D6E" w:rsidRPr="00BC6D6E" w:rsidRDefault="00BC6D6E" w:rsidP="00CA5D44">
            <w:pPr>
              <w:pStyle w:val="ARtabletext"/>
              <w:spacing w:before="60" w:after="40" w:line="240" w:lineRule="auto"/>
            </w:pPr>
            <w:r w:rsidRPr="00657E8C">
              <w:t>VPS 6</w:t>
            </w:r>
          </w:p>
        </w:tc>
        <w:tc>
          <w:tcPr>
            <w:tcW w:w="282" w:type="pct"/>
          </w:tcPr>
          <w:p w14:paraId="1DCAA5E4" w14:textId="3F560FF8" w:rsidR="00BC6D6E" w:rsidRPr="00BC6D6E" w:rsidRDefault="00BC6D6E" w:rsidP="00CA5D44">
            <w:pPr>
              <w:pStyle w:val="ARtabletextright"/>
              <w:spacing w:before="60" w:after="40" w:line="240" w:lineRule="auto"/>
            </w:pPr>
            <w:r w:rsidRPr="00657E8C">
              <w:t>23</w:t>
            </w:r>
          </w:p>
        </w:tc>
        <w:tc>
          <w:tcPr>
            <w:tcW w:w="196" w:type="pct"/>
          </w:tcPr>
          <w:p w14:paraId="024AD8D3" w14:textId="63AF7655" w:rsidR="00BC6D6E" w:rsidRPr="00BC6D6E" w:rsidRDefault="00BC6D6E" w:rsidP="00CA5D44">
            <w:pPr>
              <w:pStyle w:val="ARtabletextright"/>
              <w:spacing w:before="60" w:after="40" w:line="240" w:lineRule="auto"/>
            </w:pPr>
            <w:r w:rsidRPr="00657E8C">
              <w:t>22.5</w:t>
            </w:r>
          </w:p>
        </w:tc>
        <w:tc>
          <w:tcPr>
            <w:tcW w:w="412" w:type="pct"/>
          </w:tcPr>
          <w:p w14:paraId="0C6CC496" w14:textId="5D5B8187" w:rsidR="00BC6D6E" w:rsidRPr="00BC6D6E" w:rsidRDefault="00BC6D6E" w:rsidP="00CA5D44">
            <w:pPr>
              <w:pStyle w:val="ARtabletextright"/>
              <w:spacing w:before="60" w:after="40" w:line="240" w:lineRule="auto"/>
            </w:pPr>
            <w:r w:rsidRPr="00657E8C">
              <w:t>17</w:t>
            </w:r>
          </w:p>
        </w:tc>
        <w:tc>
          <w:tcPr>
            <w:tcW w:w="412" w:type="pct"/>
          </w:tcPr>
          <w:p w14:paraId="43BE6F3C" w14:textId="1A851267" w:rsidR="00BC6D6E" w:rsidRPr="00BC6D6E" w:rsidRDefault="00BC6D6E" w:rsidP="00CA5D44">
            <w:pPr>
              <w:pStyle w:val="ARtabletextright"/>
              <w:spacing w:before="60" w:after="40" w:line="240" w:lineRule="auto"/>
            </w:pPr>
            <w:r w:rsidRPr="00657E8C">
              <w:t>2</w:t>
            </w:r>
          </w:p>
        </w:tc>
        <w:tc>
          <w:tcPr>
            <w:tcW w:w="175" w:type="pct"/>
          </w:tcPr>
          <w:p w14:paraId="7BBE18DD" w14:textId="7E1FC4A4" w:rsidR="00BC6D6E" w:rsidRPr="00BC6D6E" w:rsidRDefault="00BC6D6E" w:rsidP="00CA5D44">
            <w:pPr>
              <w:pStyle w:val="ARtabletextright"/>
              <w:spacing w:before="60" w:after="40" w:line="240" w:lineRule="auto"/>
            </w:pPr>
            <w:r w:rsidRPr="00657E8C">
              <w:t>18.5</w:t>
            </w:r>
          </w:p>
        </w:tc>
        <w:tc>
          <w:tcPr>
            <w:tcW w:w="412" w:type="pct"/>
          </w:tcPr>
          <w:p w14:paraId="46CCE386" w14:textId="23C7D5DE" w:rsidR="00BC6D6E" w:rsidRPr="00BC6D6E" w:rsidRDefault="00BC6D6E" w:rsidP="00CA5D44">
            <w:pPr>
              <w:pStyle w:val="ARtabletextright"/>
              <w:spacing w:before="60" w:after="40" w:line="240" w:lineRule="auto"/>
            </w:pPr>
            <w:r w:rsidRPr="00657E8C">
              <w:t>4</w:t>
            </w:r>
          </w:p>
        </w:tc>
        <w:tc>
          <w:tcPr>
            <w:tcW w:w="340" w:type="pct"/>
          </w:tcPr>
          <w:p w14:paraId="3D4174A8" w14:textId="44647D17" w:rsidR="00BC6D6E" w:rsidRPr="00BC6D6E" w:rsidRDefault="00BC6D6E" w:rsidP="00CA5D44">
            <w:pPr>
              <w:pStyle w:val="ARtabletextright"/>
              <w:spacing w:before="60" w:after="40" w:line="240" w:lineRule="auto"/>
            </w:pPr>
            <w:r w:rsidRPr="00657E8C">
              <w:t>4</w:t>
            </w:r>
          </w:p>
        </w:tc>
        <w:tc>
          <w:tcPr>
            <w:tcW w:w="412" w:type="pct"/>
          </w:tcPr>
          <w:p w14:paraId="132516DE" w14:textId="5E1FB438" w:rsidR="00BC6D6E" w:rsidRPr="00BC6D6E" w:rsidRDefault="00BC6D6E" w:rsidP="00CA5D44">
            <w:pPr>
              <w:pStyle w:val="ARtabletextright"/>
              <w:spacing w:before="60" w:after="40" w:line="240" w:lineRule="auto"/>
            </w:pPr>
            <w:r w:rsidRPr="00657E8C">
              <w:t>19</w:t>
            </w:r>
          </w:p>
        </w:tc>
        <w:tc>
          <w:tcPr>
            <w:tcW w:w="210" w:type="pct"/>
          </w:tcPr>
          <w:p w14:paraId="10EB0137" w14:textId="0151B285" w:rsidR="00BC6D6E" w:rsidRPr="00BC6D6E" w:rsidRDefault="00BC6D6E" w:rsidP="00CA5D44">
            <w:pPr>
              <w:pStyle w:val="ARtabletextright"/>
              <w:spacing w:before="60" w:after="40" w:line="240" w:lineRule="auto"/>
            </w:pPr>
            <w:r w:rsidRPr="00657E8C">
              <w:t>18.6</w:t>
            </w:r>
          </w:p>
        </w:tc>
        <w:tc>
          <w:tcPr>
            <w:tcW w:w="413" w:type="pct"/>
          </w:tcPr>
          <w:p w14:paraId="229A6829" w14:textId="363A5A8E" w:rsidR="00BC6D6E" w:rsidRPr="00BC6D6E" w:rsidRDefault="00BC6D6E" w:rsidP="00CA5D44">
            <w:pPr>
              <w:pStyle w:val="ARtabletextright"/>
              <w:spacing w:before="60" w:after="40" w:line="240" w:lineRule="auto"/>
            </w:pPr>
            <w:r w:rsidRPr="00657E8C">
              <w:t>13</w:t>
            </w:r>
          </w:p>
        </w:tc>
        <w:tc>
          <w:tcPr>
            <w:tcW w:w="413" w:type="pct"/>
          </w:tcPr>
          <w:p w14:paraId="189AA3D2" w14:textId="77B0C2F0" w:rsidR="00BC6D6E" w:rsidRPr="00BC6D6E" w:rsidRDefault="00BC6D6E" w:rsidP="00CA5D44">
            <w:pPr>
              <w:pStyle w:val="ARtabletextright"/>
              <w:spacing w:before="60" w:after="40" w:line="240" w:lineRule="auto"/>
            </w:pPr>
            <w:r w:rsidRPr="00657E8C">
              <w:t>2</w:t>
            </w:r>
          </w:p>
        </w:tc>
        <w:tc>
          <w:tcPr>
            <w:tcW w:w="175" w:type="pct"/>
          </w:tcPr>
          <w:p w14:paraId="7F8B683B" w14:textId="5333762F" w:rsidR="00BC6D6E" w:rsidRPr="00BC6D6E" w:rsidRDefault="00BC6D6E" w:rsidP="00CA5D44">
            <w:pPr>
              <w:pStyle w:val="ARtabletextright"/>
              <w:spacing w:before="60" w:after="40" w:line="240" w:lineRule="auto"/>
            </w:pPr>
            <w:r w:rsidRPr="00657E8C">
              <w:t>14.6</w:t>
            </w:r>
          </w:p>
        </w:tc>
        <w:tc>
          <w:tcPr>
            <w:tcW w:w="413" w:type="pct"/>
          </w:tcPr>
          <w:p w14:paraId="222AA170" w14:textId="7849D2CC" w:rsidR="00BC6D6E" w:rsidRPr="00BC6D6E" w:rsidRDefault="00BC6D6E" w:rsidP="00CA5D44">
            <w:pPr>
              <w:pStyle w:val="ARtabletextright"/>
              <w:spacing w:before="60" w:after="40" w:line="240" w:lineRule="auto"/>
            </w:pPr>
            <w:r w:rsidRPr="00657E8C">
              <w:t>4</w:t>
            </w:r>
          </w:p>
        </w:tc>
        <w:tc>
          <w:tcPr>
            <w:tcW w:w="174" w:type="pct"/>
          </w:tcPr>
          <w:p w14:paraId="587FFEDB" w14:textId="4328C143" w:rsidR="00BC6D6E" w:rsidRPr="00BC6D6E" w:rsidRDefault="00BC6D6E" w:rsidP="00CA5D44">
            <w:pPr>
              <w:pStyle w:val="ARtabletextright"/>
              <w:spacing w:before="60" w:after="40" w:line="240" w:lineRule="auto"/>
            </w:pPr>
            <w:r w:rsidRPr="00657E8C">
              <w:t>4</w:t>
            </w:r>
          </w:p>
        </w:tc>
      </w:tr>
      <w:tr w:rsidR="00BC6D6E" w:rsidRPr="00BC6D6E" w14:paraId="1F792DA8" w14:textId="77777777" w:rsidTr="00CA5D44">
        <w:tc>
          <w:tcPr>
            <w:tcW w:w="558" w:type="pct"/>
          </w:tcPr>
          <w:p w14:paraId="6A3A3F3F" w14:textId="0D8B0993" w:rsidR="00BC6D6E" w:rsidRPr="00BC6D6E" w:rsidRDefault="00BC6D6E" w:rsidP="00CA5D44">
            <w:pPr>
              <w:pStyle w:val="ARtabletext"/>
              <w:spacing w:before="60" w:after="40" w:line="240" w:lineRule="auto"/>
            </w:pPr>
            <w:r w:rsidRPr="00657E8C">
              <w:t>SNTS</w:t>
            </w:r>
          </w:p>
        </w:tc>
        <w:tc>
          <w:tcPr>
            <w:tcW w:w="282" w:type="pct"/>
          </w:tcPr>
          <w:p w14:paraId="57995463" w14:textId="29FB04E6" w:rsidR="00BC6D6E" w:rsidRPr="00BC6D6E" w:rsidRDefault="00BC6D6E" w:rsidP="00CA5D44">
            <w:pPr>
              <w:pStyle w:val="ARtabletextright"/>
              <w:spacing w:before="60" w:after="40" w:line="240" w:lineRule="auto"/>
            </w:pPr>
            <w:r w:rsidRPr="00657E8C">
              <w:t>2</w:t>
            </w:r>
          </w:p>
        </w:tc>
        <w:tc>
          <w:tcPr>
            <w:tcW w:w="196" w:type="pct"/>
          </w:tcPr>
          <w:p w14:paraId="30474783" w14:textId="1DF7C3BF" w:rsidR="00BC6D6E" w:rsidRPr="00BC6D6E" w:rsidRDefault="00BC6D6E" w:rsidP="00CA5D44">
            <w:pPr>
              <w:pStyle w:val="ARtabletextright"/>
              <w:spacing w:before="60" w:after="40" w:line="240" w:lineRule="auto"/>
            </w:pPr>
            <w:r w:rsidRPr="00657E8C">
              <w:t>2</w:t>
            </w:r>
          </w:p>
        </w:tc>
        <w:tc>
          <w:tcPr>
            <w:tcW w:w="412" w:type="pct"/>
          </w:tcPr>
          <w:p w14:paraId="398F357F" w14:textId="451D4835" w:rsidR="00BC6D6E" w:rsidRPr="00BC6D6E" w:rsidRDefault="00BC6D6E" w:rsidP="00CA5D44">
            <w:pPr>
              <w:pStyle w:val="ARtabletextright"/>
              <w:spacing w:before="60" w:after="40" w:line="240" w:lineRule="auto"/>
            </w:pPr>
            <w:r w:rsidRPr="00657E8C">
              <w:t>2</w:t>
            </w:r>
          </w:p>
        </w:tc>
        <w:tc>
          <w:tcPr>
            <w:tcW w:w="412" w:type="pct"/>
          </w:tcPr>
          <w:p w14:paraId="460418DC" w14:textId="0F680095" w:rsidR="00BC6D6E" w:rsidRPr="00BC6D6E" w:rsidRDefault="00BC6D6E" w:rsidP="00CA5D44">
            <w:pPr>
              <w:pStyle w:val="ARtabletextright"/>
              <w:spacing w:before="60" w:after="40" w:line="240" w:lineRule="auto"/>
            </w:pPr>
            <w:r w:rsidRPr="00657E8C">
              <w:t>0</w:t>
            </w:r>
          </w:p>
        </w:tc>
        <w:tc>
          <w:tcPr>
            <w:tcW w:w="175" w:type="pct"/>
          </w:tcPr>
          <w:p w14:paraId="263A93F4" w14:textId="23EB1A1D" w:rsidR="00BC6D6E" w:rsidRPr="00BC6D6E" w:rsidRDefault="00BC6D6E" w:rsidP="00CA5D44">
            <w:pPr>
              <w:pStyle w:val="ARtabletextright"/>
              <w:spacing w:before="60" w:after="40" w:line="240" w:lineRule="auto"/>
            </w:pPr>
            <w:r w:rsidRPr="00657E8C">
              <w:t>2</w:t>
            </w:r>
          </w:p>
        </w:tc>
        <w:tc>
          <w:tcPr>
            <w:tcW w:w="412" w:type="pct"/>
          </w:tcPr>
          <w:p w14:paraId="304ABDED" w14:textId="0D55970A" w:rsidR="00BC6D6E" w:rsidRPr="00BC6D6E" w:rsidRDefault="00BC6D6E" w:rsidP="00CA5D44">
            <w:pPr>
              <w:pStyle w:val="ARtabletextright"/>
              <w:spacing w:before="60" w:after="40" w:line="240" w:lineRule="auto"/>
            </w:pPr>
            <w:r w:rsidRPr="00657E8C">
              <w:t>0</w:t>
            </w:r>
          </w:p>
        </w:tc>
        <w:tc>
          <w:tcPr>
            <w:tcW w:w="340" w:type="pct"/>
          </w:tcPr>
          <w:p w14:paraId="3E64EF1C" w14:textId="27901F92" w:rsidR="00BC6D6E" w:rsidRPr="00BC6D6E" w:rsidRDefault="00BC6D6E" w:rsidP="00CA5D44">
            <w:pPr>
              <w:pStyle w:val="ARtabletextright"/>
              <w:spacing w:before="60" w:after="40" w:line="240" w:lineRule="auto"/>
            </w:pPr>
            <w:r w:rsidRPr="00657E8C">
              <w:t>0</w:t>
            </w:r>
          </w:p>
        </w:tc>
        <w:tc>
          <w:tcPr>
            <w:tcW w:w="412" w:type="pct"/>
          </w:tcPr>
          <w:p w14:paraId="4135DFFC" w14:textId="5F17DBB6" w:rsidR="00BC6D6E" w:rsidRPr="00BC6D6E" w:rsidRDefault="00BC6D6E" w:rsidP="00CA5D44">
            <w:pPr>
              <w:pStyle w:val="ARtabletextright"/>
              <w:spacing w:before="60" w:after="40" w:line="240" w:lineRule="auto"/>
            </w:pPr>
            <w:r w:rsidRPr="00657E8C">
              <w:t>1</w:t>
            </w:r>
          </w:p>
        </w:tc>
        <w:tc>
          <w:tcPr>
            <w:tcW w:w="210" w:type="pct"/>
          </w:tcPr>
          <w:p w14:paraId="4ADEA615" w14:textId="3154AD62" w:rsidR="00BC6D6E" w:rsidRPr="00BC6D6E" w:rsidRDefault="00BC6D6E" w:rsidP="00CA5D44">
            <w:pPr>
              <w:pStyle w:val="ARtabletextright"/>
              <w:spacing w:before="60" w:after="40" w:line="240" w:lineRule="auto"/>
            </w:pPr>
            <w:r w:rsidRPr="00657E8C">
              <w:t>1</w:t>
            </w:r>
          </w:p>
        </w:tc>
        <w:tc>
          <w:tcPr>
            <w:tcW w:w="413" w:type="pct"/>
          </w:tcPr>
          <w:p w14:paraId="5A963DCE" w14:textId="188C6165" w:rsidR="00BC6D6E" w:rsidRPr="00BC6D6E" w:rsidRDefault="00BC6D6E" w:rsidP="00CA5D44">
            <w:pPr>
              <w:pStyle w:val="ARtabletextright"/>
              <w:spacing w:before="60" w:after="40" w:line="240" w:lineRule="auto"/>
            </w:pPr>
            <w:r w:rsidRPr="00657E8C">
              <w:t>1</w:t>
            </w:r>
          </w:p>
        </w:tc>
        <w:tc>
          <w:tcPr>
            <w:tcW w:w="413" w:type="pct"/>
          </w:tcPr>
          <w:p w14:paraId="50CE014B" w14:textId="5C811C88" w:rsidR="00BC6D6E" w:rsidRPr="00BC6D6E" w:rsidRDefault="00BC6D6E" w:rsidP="00CA5D44">
            <w:pPr>
              <w:pStyle w:val="ARtabletextright"/>
              <w:spacing w:before="60" w:after="40" w:line="240" w:lineRule="auto"/>
            </w:pPr>
            <w:r w:rsidRPr="00657E8C">
              <w:t>0</w:t>
            </w:r>
          </w:p>
        </w:tc>
        <w:tc>
          <w:tcPr>
            <w:tcW w:w="175" w:type="pct"/>
          </w:tcPr>
          <w:p w14:paraId="0A1484F3" w14:textId="60307A20" w:rsidR="00BC6D6E" w:rsidRPr="00BC6D6E" w:rsidRDefault="00BC6D6E" w:rsidP="00CA5D44">
            <w:pPr>
              <w:pStyle w:val="ARtabletextright"/>
              <w:spacing w:before="60" w:after="40" w:line="240" w:lineRule="auto"/>
            </w:pPr>
            <w:r w:rsidRPr="00657E8C">
              <w:t>1</w:t>
            </w:r>
          </w:p>
        </w:tc>
        <w:tc>
          <w:tcPr>
            <w:tcW w:w="413" w:type="pct"/>
          </w:tcPr>
          <w:p w14:paraId="503D0491" w14:textId="3ECA0CF8" w:rsidR="00BC6D6E" w:rsidRPr="00BC6D6E" w:rsidRDefault="00BC6D6E" w:rsidP="00CA5D44">
            <w:pPr>
              <w:pStyle w:val="ARtabletextright"/>
              <w:spacing w:before="60" w:after="40" w:line="240" w:lineRule="auto"/>
            </w:pPr>
            <w:r w:rsidRPr="00657E8C">
              <w:t>0</w:t>
            </w:r>
          </w:p>
        </w:tc>
        <w:tc>
          <w:tcPr>
            <w:tcW w:w="174" w:type="pct"/>
          </w:tcPr>
          <w:p w14:paraId="4FE5018C" w14:textId="68605CC9" w:rsidR="00BC6D6E" w:rsidRPr="00BC6D6E" w:rsidRDefault="00BC6D6E" w:rsidP="00CA5D44">
            <w:pPr>
              <w:pStyle w:val="ARtabletextright"/>
              <w:spacing w:before="60" w:after="40" w:line="240" w:lineRule="auto"/>
            </w:pPr>
            <w:r w:rsidRPr="00657E8C">
              <w:t>0</w:t>
            </w:r>
          </w:p>
        </w:tc>
      </w:tr>
      <w:tr w:rsidR="00BC6D6E" w:rsidRPr="00BC6D6E" w14:paraId="3D4D9527" w14:textId="77777777" w:rsidTr="00CA5D44">
        <w:tc>
          <w:tcPr>
            <w:tcW w:w="558" w:type="pct"/>
          </w:tcPr>
          <w:p w14:paraId="7DCC90AF" w14:textId="53D46AED" w:rsidR="00BC6D6E" w:rsidRPr="00BC6D6E" w:rsidRDefault="00BC6D6E" w:rsidP="00CA5D44">
            <w:pPr>
              <w:pStyle w:val="ARtabletext"/>
              <w:spacing w:before="60" w:after="40" w:line="240" w:lineRule="auto"/>
            </w:pPr>
            <w:r w:rsidRPr="00657E8C">
              <w:t>Executives</w:t>
            </w:r>
          </w:p>
        </w:tc>
        <w:tc>
          <w:tcPr>
            <w:tcW w:w="282" w:type="pct"/>
          </w:tcPr>
          <w:p w14:paraId="2BD78D3A" w14:textId="1716F31F" w:rsidR="00BC6D6E" w:rsidRPr="00BC6D6E" w:rsidRDefault="00BC6D6E" w:rsidP="00CA5D44">
            <w:pPr>
              <w:pStyle w:val="ARtabletextright"/>
              <w:spacing w:before="60" w:after="40" w:line="240" w:lineRule="auto"/>
            </w:pPr>
            <w:r w:rsidRPr="00657E8C">
              <w:t>6</w:t>
            </w:r>
          </w:p>
        </w:tc>
        <w:tc>
          <w:tcPr>
            <w:tcW w:w="196" w:type="pct"/>
          </w:tcPr>
          <w:p w14:paraId="0751A318" w14:textId="6679AAC0" w:rsidR="00BC6D6E" w:rsidRPr="00BC6D6E" w:rsidRDefault="00BC6D6E" w:rsidP="00CA5D44">
            <w:pPr>
              <w:pStyle w:val="ARtabletextright"/>
              <w:spacing w:before="60" w:after="40" w:line="240" w:lineRule="auto"/>
            </w:pPr>
            <w:r w:rsidRPr="00657E8C">
              <w:t>6</w:t>
            </w:r>
          </w:p>
        </w:tc>
        <w:tc>
          <w:tcPr>
            <w:tcW w:w="412" w:type="pct"/>
          </w:tcPr>
          <w:p w14:paraId="61EA8BF6" w14:textId="64987452" w:rsidR="00BC6D6E" w:rsidRPr="00BC6D6E" w:rsidRDefault="00BC6D6E" w:rsidP="00CA5D44">
            <w:pPr>
              <w:pStyle w:val="ARtabletextright"/>
              <w:spacing w:before="60" w:after="40" w:line="240" w:lineRule="auto"/>
            </w:pPr>
            <w:r w:rsidRPr="00657E8C">
              <w:t>6</w:t>
            </w:r>
          </w:p>
        </w:tc>
        <w:tc>
          <w:tcPr>
            <w:tcW w:w="412" w:type="pct"/>
          </w:tcPr>
          <w:p w14:paraId="7E0837B4" w14:textId="47B34F32" w:rsidR="00BC6D6E" w:rsidRPr="00BC6D6E" w:rsidRDefault="00BC6D6E" w:rsidP="00CA5D44">
            <w:pPr>
              <w:pStyle w:val="ARtabletextright"/>
              <w:spacing w:before="60" w:after="40" w:line="240" w:lineRule="auto"/>
            </w:pPr>
            <w:r w:rsidRPr="00657E8C">
              <w:t>0</w:t>
            </w:r>
          </w:p>
        </w:tc>
        <w:tc>
          <w:tcPr>
            <w:tcW w:w="175" w:type="pct"/>
          </w:tcPr>
          <w:p w14:paraId="1C4DDE57" w14:textId="44F21019" w:rsidR="00BC6D6E" w:rsidRPr="00BC6D6E" w:rsidRDefault="00BC6D6E" w:rsidP="00CA5D44">
            <w:pPr>
              <w:pStyle w:val="ARtabletextright"/>
              <w:spacing w:before="60" w:after="40" w:line="240" w:lineRule="auto"/>
            </w:pPr>
            <w:r w:rsidRPr="00657E8C">
              <w:t>6</w:t>
            </w:r>
          </w:p>
        </w:tc>
        <w:tc>
          <w:tcPr>
            <w:tcW w:w="412" w:type="pct"/>
          </w:tcPr>
          <w:p w14:paraId="72578373" w14:textId="15606E3E" w:rsidR="00BC6D6E" w:rsidRPr="00BC6D6E" w:rsidRDefault="00BC6D6E" w:rsidP="00CA5D44">
            <w:pPr>
              <w:pStyle w:val="ARtabletextright"/>
              <w:spacing w:before="60" w:after="40" w:line="240" w:lineRule="auto"/>
            </w:pPr>
            <w:r w:rsidRPr="00657E8C">
              <w:t>0</w:t>
            </w:r>
          </w:p>
        </w:tc>
        <w:tc>
          <w:tcPr>
            <w:tcW w:w="340" w:type="pct"/>
          </w:tcPr>
          <w:p w14:paraId="225AB66F" w14:textId="2F720E3A" w:rsidR="00BC6D6E" w:rsidRPr="00BC6D6E" w:rsidRDefault="00BC6D6E" w:rsidP="00CA5D44">
            <w:pPr>
              <w:pStyle w:val="ARtabletextright"/>
              <w:spacing w:before="60" w:after="40" w:line="240" w:lineRule="auto"/>
            </w:pPr>
            <w:r w:rsidRPr="00657E8C">
              <w:t>0</w:t>
            </w:r>
          </w:p>
        </w:tc>
        <w:tc>
          <w:tcPr>
            <w:tcW w:w="412" w:type="pct"/>
          </w:tcPr>
          <w:p w14:paraId="0D158A48" w14:textId="45988868" w:rsidR="00BC6D6E" w:rsidRPr="00BC6D6E" w:rsidRDefault="00BC6D6E" w:rsidP="00CA5D44">
            <w:pPr>
              <w:pStyle w:val="ARtabletextright"/>
              <w:spacing w:before="60" w:after="40" w:line="240" w:lineRule="auto"/>
            </w:pPr>
            <w:r w:rsidRPr="00657E8C">
              <w:t>6</w:t>
            </w:r>
          </w:p>
        </w:tc>
        <w:tc>
          <w:tcPr>
            <w:tcW w:w="210" w:type="pct"/>
          </w:tcPr>
          <w:p w14:paraId="0E66AA5A" w14:textId="07B5E69C" w:rsidR="00BC6D6E" w:rsidRPr="00BC6D6E" w:rsidRDefault="00BC6D6E" w:rsidP="00CA5D44">
            <w:pPr>
              <w:pStyle w:val="ARtabletextright"/>
              <w:spacing w:before="60" w:after="40" w:line="240" w:lineRule="auto"/>
            </w:pPr>
            <w:r w:rsidRPr="00657E8C">
              <w:t>6</w:t>
            </w:r>
          </w:p>
        </w:tc>
        <w:tc>
          <w:tcPr>
            <w:tcW w:w="413" w:type="pct"/>
          </w:tcPr>
          <w:p w14:paraId="13A1E908" w14:textId="685CA691" w:rsidR="00BC6D6E" w:rsidRPr="00BC6D6E" w:rsidRDefault="00BC6D6E" w:rsidP="00CA5D44">
            <w:pPr>
              <w:pStyle w:val="ARtabletextright"/>
              <w:spacing w:before="60" w:after="40" w:line="240" w:lineRule="auto"/>
            </w:pPr>
            <w:r w:rsidRPr="00657E8C">
              <w:t>6</w:t>
            </w:r>
          </w:p>
        </w:tc>
        <w:tc>
          <w:tcPr>
            <w:tcW w:w="413" w:type="pct"/>
          </w:tcPr>
          <w:p w14:paraId="4575A36F" w14:textId="456EF5D9" w:rsidR="00BC6D6E" w:rsidRPr="00BC6D6E" w:rsidRDefault="00BC6D6E" w:rsidP="00CA5D44">
            <w:pPr>
              <w:pStyle w:val="ARtabletextright"/>
              <w:spacing w:before="60" w:after="40" w:line="240" w:lineRule="auto"/>
            </w:pPr>
            <w:r w:rsidRPr="00657E8C">
              <w:t>0</w:t>
            </w:r>
          </w:p>
        </w:tc>
        <w:tc>
          <w:tcPr>
            <w:tcW w:w="175" w:type="pct"/>
          </w:tcPr>
          <w:p w14:paraId="4D0BB6C2" w14:textId="4CDA5242" w:rsidR="00BC6D6E" w:rsidRPr="00BC6D6E" w:rsidRDefault="00BC6D6E" w:rsidP="00CA5D44">
            <w:pPr>
              <w:pStyle w:val="ARtabletextright"/>
              <w:spacing w:before="60" w:after="40" w:line="240" w:lineRule="auto"/>
            </w:pPr>
            <w:r w:rsidRPr="00657E8C">
              <w:t>6</w:t>
            </w:r>
          </w:p>
        </w:tc>
        <w:tc>
          <w:tcPr>
            <w:tcW w:w="413" w:type="pct"/>
          </w:tcPr>
          <w:p w14:paraId="556F1DB9" w14:textId="6E92924E" w:rsidR="00BC6D6E" w:rsidRPr="00BC6D6E" w:rsidRDefault="00BC6D6E" w:rsidP="00CA5D44">
            <w:pPr>
              <w:pStyle w:val="ARtabletextright"/>
              <w:spacing w:before="60" w:after="40" w:line="240" w:lineRule="auto"/>
            </w:pPr>
            <w:r w:rsidRPr="00657E8C">
              <w:t>0</w:t>
            </w:r>
          </w:p>
        </w:tc>
        <w:tc>
          <w:tcPr>
            <w:tcW w:w="174" w:type="pct"/>
          </w:tcPr>
          <w:p w14:paraId="22D4159B" w14:textId="08039C7F" w:rsidR="00BC6D6E" w:rsidRPr="00BC6D6E" w:rsidRDefault="00BC6D6E" w:rsidP="00CA5D44">
            <w:pPr>
              <w:pStyle w:val="ARtabletextright"/>
              <w:spacing w:before="60" w:after="40" w:line="240" w:lineRule="auto"/>
            </w:pPr>
            <w:r w:rsidRPr="00657E8C">
              <w:t>0</w:t>
            </w:r>
          </w:p>
        </w:tc>
      </w:tr>
      <w:tr w:rsidR="00BC6D6E" w:rsidRPr="00BC6D6E" w14:paraId="6321A838" w14:textId="77777777" w:rsidTr="00CA5D44">
        <w:tc>
          <w:tcPr>
            <w:tcW w:w="558" w:type="pct"/>
          </w:tcPr>
          <w:p w14:paraId="06638058" w14:textId="0D9765D1" w:rsidR="00BC6D6E" w:rsidRPr="00BC6D6E" w:rsidRDefault="00BC6D6E" w:rsidP="00CA5D44">
            <w:pPr>
              <w:pStyle w:val="ARtabletextbold"/>
              <w:spacing w:before="60" w:after="40" w:line="240" w:lineRule="auto"/>
            </w:pPr>
            <w:r w:rsidRPr="00BC6D6E">
              <w:t>Total employees</w:t>
            </w:r>
          </w:p>
        </w:tc>
        <w:tc>
          <w:tcPr>
            <w:tcW w:w="282" w:type="pct"/>
          </w:tcPr>
          <w:p w14:paraId="323F7521" w14:textId="0429C6D1" w:rsidR="00BC6D6E" w:rsidRPr="00BC6D6E" w:rsidRDefault="00BC6D6E" w:rsidP="00CA5D44">
            <w:pPr>
              <w:pStyle w:val="ARtabletextrightbold"/>
              <w:spacing w:before="60" w:after="40" w:line="240" w:lineRule="auto"/>
            </w:pPr>
            <w:r w:rsidRPr="00BC6D6E">
              <w:t>75</w:t>
            </w:r>
          </w:p>
        </w:tc>
        <w:tc>
          <w:tcPr>
            <w:tcW w:w="196" w:type="pct"/>
          </w:tcPr>
          <w:p w14:paraId="477D3F91" w14:textId="51BCE2C4" w:rsidR="00BC6D6E" w:rsidRPr="00BC6D6E" w:rsidRDefault="00BC6D6E" w:rsidP="00CA5D44">
            <w:pPr>
              <w:pStyle w:val="ARtabletextrightbold"/>
              <w:spacing w:before="60" w:after="40" w:line="240" w:lineRule="auto"/>
            </w:pPr>
            <w:r w:rsidRPr="00BC6D6E">
              <w:t>72.2</w:t>
            </w:r>
          </w:p>
        </w:tc>
        <w:tc>
          <w:tcPr>
            <w:tcW w:w="412" w:type="pct"/>
          </w:tcPr>
          <w:p w14:paraId="2AFC6994" w14:textId="565464CD" w:rsidR="00BC6D6E" w:rsidRPr="00BC6D6E" w:rsidRDefault="00BC6D6E" w:rsidP="00CA5D44">
            <w:pPr>
              <w:pStyle w:val="ARtabletextrightbold"/>
              <w:spacing w:before="60" w:after="40" w:line="240" w:lineRule="auto"/>
            </w:pPr>
            <w:r w:rsidRPr="00BC6D6E">
              <w:t>57</w:t>
            </w:r>
          </w:p>
        </w:tc>
        <w:tc>
          <w:tcPr>
            <w:tcW w:w="412" w:type="pct"/>
          </w:tcPr>
          <w:p w14:paraId="306B2CAE" w14:textId="7EABE004" w:rsidR="00BC6D6E" w:rsidRPr="00BC6D6E" w:rsidRDefault="00BC6D6E" w:rsidP="00CA5D44">
            <w:pPr>
              <w:pStyle w:val="ARtabletextrightbold"/>
              <w:spacing w:before="60" w:after="40" w:line="240" w:lineRule="auto"/>
            </w:pPr>
            <w:r w:rsidRPr="00BC6D6E">
              <w:t>7</w:t>
            </w:r>
          </w:p>
        </w:tc>
        <w:tc>
          <w:tcPr>
            <w:tcW w:w="175" w:type="pct"/>
          </w:tcPr>
          <w:p w14:paraId="1A9DE7DB" w14:textId="22BDE79A" w:rsidR="00BC6D6E" w:rsidRPr="00BC6D6E" w:rsidRDefault="00BC6D6E" w:rsidP="00CA5D44">
            <w:pPr>
              <w:pStyle w:val="ARtabletextrightbold"/>
              <w:spacing w:before="60" w:after="40" w:line="240" w:lineRule="auto"/>
            </w:pPr>
            <w:r w:rsidRPr="00BC6D6E">
              <w:t>61.8</w:t>
            </w:r>
          </w:p>
        </w:tc>
        <w:tc>
          <w:tcPr>
            <w:tcW w:w="412" w:type="pct"/>
          </w:tcPr>
          <w:p w14:paraId="36D46B77" w14:textId="6A6AB305" w:rsidR="00BC6D6E" w:rsidRPr="00BC6D6E" w:rsidRDefault="00BC6D6E" w:rsidP="00CA5D44">
            <w:pPr>
              <w:pStyle w:val="ARtabletextrightbold"/>
              <w:spacing w:before="60" w:after="40" w:line="240" w:lineRule="auto"/>
            </w:pPr>
            <w:r w:rsidRPr="00BC6D6E">
              <w:t>11</w:t>
            </w:r>
          </w:p>
        </w:tc>
        <w:tc>
          <w:tcPr>
            <w:tcW w:w="340" w:type="pct"/>
          </w:tcPr>
          <w:p w14:paraId="0E2B82D5" w14:textId="1A62A9E0" w:rsidR="00BC6D6E" w:rsidRPr="00BC6D6E" w:rsidRDefault="00BC6D6E" w:rsidP="00CA5D44">
            <w:pPr>
              <w:pStyle w:val="ARtabletextrightbold"/>
              <w:spacing w:before="60" w:after="40" w:line="240" w:lineRule="auto"/>
            </w:pPr>
            <w:r w:rsidRPr="00BC6D6E">
              <w:t>10.4</w:t>
            </w:r>
          </w:p>
        </w:tc>
        <w:tc>
          <w:tcPr>
            <w:tcW w:w="412" w:type="pct"/>
          </w:tcPr>
          <w:p w14:paraId="3646ED9C" w14:textId="561BAECC" w:rsidR="00BC6D6E" w:rsidRPr="00BC6D6E" w:rsidRDefault="00BC6D6E" w:rsidP="00CA5D44">
            <w:pPr>
              <w:pStyle w:val="ARtabletextrightbold"/>
              <w:spacing w:before="60" w:after="40" w:line="240" w:lineRule="auto"/>
            </w:pPr>
            <w:r w:rsidRPr="00BC6D6E">
              <w:t>64</w:t>
            </w:r>
          </w:p>
        </w:tc>
        <w:tc>
          <w:tcPr>
            <w:tcW w:w="210" w:type="pct"/>
          </w:tcPr>
          <w:p w14:paraId="5A165768" w14:textId="7F0D9954" w:rsidR="00BC6D6E" w:rsidRPr="00BC6D6E" w:rsidRDefault="00BC6D6E" w:rsidP="00CA5D44">
            <w:pPr>
              <w:pStyle w:val="ARtabletextrightbold"/>
              <w:spacing w:before="60" w:after="40" w:line="240" w:lineRule="auto"/>
            </w:pPr>
            <w:r w:rsidRPr="00BC6D6E">
              <w:t>61.1</w:t>
            </w:r>
          </w:p>
        </w:tc>
        <w:tc>
          <w:tcPr>
            <w:tcW w:w="413" w:type="pct"/>
          </w:tcPr>
          <w:p w14:paraId="2624138A" w14:textId="47C027D2" w:rsidR="00BC6D6E" w:rsidRPr="00BC6D6E" w:rsidRDefault="00BC6D6E" w:rsidP="00CA5D44">
            <w:pPr>
              <w:pStyle w:val="ARtabletextrightbold"/>
              <w:spacing w:before="60" w:after="40" w:line="240" w:lineRule="auto"/>
            </w:pPr>
            <w:r w:rsidRPr="00BC6D6E">
              <w:t>46</w:t>
            </w:r>
          </w:p>
        </w:tc>
        <w:tc>
          <w:tcPr>
            <w:tcW w:w="413" w:type="pct"/>
          </w:tcPr>
          <w:p w14:paraId="510E580B" w14:textId="31C48A51" w:rsidR="00BC6D6E" w:rsidRPr="00BC6D6E" w:rsidRDefault="00BC6D6E" w:rsidP="00CA5D44">
            <w:pPr>
              <w:pStyle w:val="ARtabletextrightbold"/>
              <w:spacing w:before="60" w:after="40" w:line="240" w:lineRule="auto"/>
            </w:pPr>
            <w:r w:rsidRPr="00BC6D6E">
              <w:t>8</w:t>
            </w:r>
          </w:p>
        </w:tc>
        <w:tc>
          <w:tcPr>
            <w:tcW w:w="175" w:type="pct"/>
          </w:tcPr>
          <w:p w14:paraId="2E547FB4" w14:textId="5BFB15E6" w:rsidR="00BC6D6E" w:rsidRPr="00BC6D6E" w:rsidRDefault="00BC6D6E" w:rsidP="00CA5D44">
            <w:pPr>
              <w:pStyle w:val="ARtabletextrightbold"/>
              <w:spacing w:before="60" w:after="40" w:line="240" w:lineRule="auto"/>
            </w:pPr>
            <w:r w:rsidRPr="00BC6D6E">
              <w:t>51.5</w:t>
            </w:r>
          </w:p>
        </w:tc>
        <w:tc>
          <w:tcPr>
            <w:tcW w:w="413" w:type="pct"/>
          </w:tcPr>
          <w:p w14:paraId="7AB3F0D5" w14:textId="4A83F58A" w:rsidR="00BC6D6E" w:rsidRPr="00BC6D6E" w:rsidRDefault="00BC6D6E" w:rsidP="00CA5D44">
            <w:pPr>
              <w:pStyle w:val="ARtabletextrightbold"/>
              <w:spacing w:before="60" w:after="40" w:line="240" w:lineRule="auto"/>
            </w:pPr>
            <w:r w:rsidRPr="00BC6D6E">
              <w:t>10</w:t>
            </w:r>
          </w:p>
        </w:tc>
        <w:tc>
          <w:tcPr>
            <w:tcW w:w="174" w:type="pct"/>
          </w:tcPr>
          <w:p w14:paraId="642B106A" w14:textId="436F98EF" w:rsidR="00BC6D6E" w:rsidRPr="00BC6D6E" w:rsidRDefault="00BC6D6E" w:rsidP="00CA5D44">
            <w:pPr>
              <w:pStyle w:val="ARtabletextrightbold"/>
              <w:spacing w:before="60" w:after="40" w:line="240" w:lineRule="auto"/>
            </w:pPr>
            <w:r w:rsidRPr="00BC6D6E">
              <w:t>9.6</w:t>
            </w:r>
          </w:p>
        </w:tc>
      </w:tr>
    </w:tbl>
    <w:p w14:paraId="6D5383CF" w14:textId="37F49E6D" w:rsidR="00CA5D44" w:rsidRDefault="00F17551" w:rsidP="00F17551">
      <w:pPr>
        <w:pStyle w:val="ARtablefootnote"/>
        <w:rPr>
          <w:rFonts w:eastAsia="Times"/>
        </w:rPr>
      </w:pPr>
      <w:bookmarkStart w:id="134" w:name="_Ref525048438"/>
      <w:r w:rsidRPr="00657E8C">
        <w:rPr>
          <w:rFonts w:eastAsia="Times"/>
        </w:rPr>
        <w:t>Notes:</w:t>
      </w:r>
    </w:p>
    <w:p w14:paraId="31A74F89" w14:textId="77777777" w:rsidR="00CA5D44" w:rsidRDefault="00CA5D44" w:rsidP="00CA5D44">
      <w:pPr>
        <w:pStyle w:val="ARtablefootnote"/>
      </w:pPr>
      <w:r>
        <w:t>na = not available</w:t>
      </w:r>
    </w:p>
    <w:p w14:paraId="39685648" w14:textId="0B7D9F43" w:rsidR="00F17551" w:rsidRPr="00657E8C" w:rsidRDefault="00F17551" w:rsidP="00F17551">
      <w:pPr>
        <w:pStyle w:val="ARtablefootnote"/>
        <w:rPr>
          <w:rFonts w:eastAsia="Times"/>
        </w:rPr>
      </w:pPr>
      <w:r w:rsidRPr="00657E8C">
        <w:rPr>
          <w:rFonts w:eastAsia="Times"/>
        </w:rPr>
        <w:t xml:space="preserve">Rounding errors may be present in FTE tables due to data being formatted to </w:t>
      </w:r>
      <w:r w:rsidR="001548FF">
        <w:rPr>
          <w:rFonts w:eastAsia="Times"/>
        </w:rPr>
        <w:t>one</w:t>
      </w:r>
      <w:r w:rsidR="001548FF" w:rsidRPr="00657E8C">
        <w:rPr>
          <w:rFonts w:eastAsia="Times"/>
        </w:rPr>
        <w:t xml:space="preserve"> </w:t>
      </w:r>
      <w:r w:rsidRPr="00657E8C">
        <w:rPr>
          <w:rFonts w:eastAsia="Times"/>
        </w:rPr>
        <w:t>decimal place.</w:t>
      </w:r>
    </w:p>
    <w:p w14:paraId="72C2ED3B" w14:textId="77777777" w:rsidR="00F17551" w:rsidRPr="00657E8C" w:rsidRDefault="00F17551" w:rsidP="00F17551">
      <w:pPr>
        <w:pStyle w:val="Heading4"/>
        <w:sectPr w:rsidR="00F17551" w:rsidRPr="00657E8C" w:rsidSect="00CE36CB">
          <w:footerReference w:type="even" r:id="rId122"/>
          <w:footerReference w:type="default" r:id="rId123"/>
          <w:pgSz w:w="16838" w:h="11906" w:orient="landscape" w:code="9"/>
          <w:pgMar w:top="1418" w:right="1985" w:bottom="1418" w:left="851" w:header="851" w:footer="851" w:gutter="0"/>
          <w:cols w:space="708"/>
          <w:docGrid w:linePitch="360"/>
        </w:sectPr>
      </w:pPr>
    </w:p>
    <w:p w14:paraId="3B13F1E9" w14:textId="77777777" w:rsidR="00F17551" w:rsidRPr="00657E8C" w:rsidRDefault="00F17551" w:rsidP="008C254A">
      <w:pPr>
        <w:pStyle w:val="Heading4"/>
        <w:spacing w:before="0"/>
      </w:pPr>
      <w:r w:rsidRPr="00657E8C">
        <w:t>Annualised total salary, by $20</w:t>
      </w:r>
      <w:r w:rsidR="001548FF">
        <w:t>,</w:t>
      </w:r>
      <w:r w:rsidRPr="00657E8C">
        <w:t xml:space="preserve">000 bands, for executives and other senior </w:t>
      </w:r>
      <w:r w:rsidRPr="00657E8C">
        <w:br/>
        <w:t>non-executive staff</w:t>
      </w:r>
      <w:bookmarkEnd w:id="134"/>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699"/>
        <w:gridCol w:w="1418"/>
        <w:gridCol w:w="1134"/>
        <w:gridCol w:w="1134"/>
        <w:gridCol w:w="1134"/>
        <w:gridCol w:w="1134"/>
        <w:gridCol w:w="992"/>
      </w:tblGrid>
      <w:tr w:rsidR="00F17551" w:rsidRPr="00657E8C" w14:paraId="73189CBC" w14:textId="77777777" w:rsidTr="00D458B9">
        <w:trPr>
          <w:cantSplit/>
          <w:tblHeader/>
        </w:trPr>
        <w:tc>
          <w:tcPr>
            <w:tcW w:w="1399" w:type="pct"/>
            <w:tcBorders>
              <w:bottom w:val="single" w:sz="4" w:space="0" w:color="auto"/>
            </w:tcBorders>
            <w:shd w:val="clear" w:color="auto" w:fill="auto"/>
          </w:tcPr>
          <w:p w14:paraId="07344CB1" w14:textId="77777777" w:rsidR="00F17551" w:rsidRPr="00657E8C" w:rsidRDefault="00F17551" w:rsidP="00F17551">
            <w:pPr>
              <w:pStyle w:val="ARtablecolhead"/>
            </w:pPr>
            <w:r w:rsidRPr="00657E8C">
              <w:t>Income band (salary)</w:t>
            </w:r>
          </w:p>
        </w:tc>
        <w:tc>
          <w:tcPr>
            <w:tcW w:w="735" w:type="pct"/>
            <w:tcBorders>
              <w:top w:val="nil"/>
              <w:bottom w:val="single" w:sz="4" w:space="0" w:color="auto"/>
            </w:tcBorders>
            <w:shd w:val="clear" w:color="auto" w:fill="auto"/>
            <w:vAlign w:val="bottom"/>
          </w:tcPr>
          <w:p w14:paraId="7C6EDBFE" w14:textId="77777777" w:rsidR="00F17551" w:rsidRPr="00657E8C" w:rsidRDefault="00F17551" w:rsidP="00F17551">
            <w:pPr>
              <w:pStyle w:val="ARtablecolheadright"/>
            </w:pPr>
            <w:r w:rsidRPr="00657E8C">
              <w:t>Executives</w:t>
            </w:r>
          </w:p>
        </w:tc>
        <w:tc>
          <w:tcPr>
            <w:tcW w:w="588" w:type="pct"/>
            <w:tcBorders>
              <w:top w:val="nil"/>
              <w:bottom w:val="single" w:sz="4" w:space="0" w:color="auto"/>
            </w:tcBorders>
            <w:shd w:val="clear" w:color="auto" w:fill="auto"/>
            <w:vAlign w:val="bottom"/>
          </w:tcPr>
          <w:p w14:paraId="43FA9A3B" w14:textId="77777777" w:rsidR="00F17551" w:rsidRPr="00657E8C" w:rsidRDefault="00F17551" w:rsidP="00F17551">
            <w:pPr>
              <w:pStyle w:val="ARtablecolheadright"/>
            </w:pPr>
            <w:r w:rsidRPr="00657E8C">
              <w:t>STS</w:t>
            </w:r>
          </w:p>
        </w:tc>
        <w:tc>
          <w:tcPr>
            <w:tcW w:w="588" w:type="pct"/>
            <w:tcBorders>
              <w:top w:val="nil"/>
              <w:bottom w:val="single" w:sz="4" w:space="0" w:color="auto"/>
            </w:tcBorders>
            <w:shd w:val="clear" w:color="auto" w:fill="auto"/>
            <w:vAlign w:val="bottom"/>
          </w:tcPr>
          <w:p w14:paraId="7FFBA61E" w14:textId="77777777" w:rsidR="00F17551" w:rsidRPr="00657E8C" w:rsidRDefault="00F17551" w:rsidP="00F17551">
            <w:pPr>
              <w:pStyle w:val="ARtablecolheadright"/>
            </w:pPr>
            <w:r w:rsidRPr="00657E8C">
              <w:t>PS</w:t>
            </w:r>
          </w:p>
        </w:tc>
        <w:tc>
          <w:tcPr>
            <w:tcW w:w="588" w:type="pct"/>
            <w:tcBorders>
              <w:top w:val="nil"/>
              <w:bottom w:val="single" w:sz="4" w:space="0" w:color="auto"/>
            </w:tcBorders>
            <w:vAlign w:val="bottom"/>
          </w:tcPr>
          <w:p w14:paraId="7420C12F" w14:textId="77777777" w:rsidR="00F17551" w:rsidRPr="00657E8C" w:rsidRDefault="00F17551" w:rsidP="00F17551">
            <w:pPr>
              <w:pStyle w:val="ARtablecolheadright"/>
            </w:pPr>
            <w:r w:rsidRPr="00657E8C">
              <w:t>SMA</w:t>
            </w:r>
          </w:p>
        </w:tc>
        <w:tc>
          <w:tcPr>
            <w:tcW w:w="588" w:type="pct"/>
            <w:tcBorders>
              <w:top w:val="nil"/>
              <w:bottom w:val="single" w:sz="4" w:space="0" w:color="auto"/>
            </w:tcBorders>
            <w:vAlign w:val="bottom"/>
          </w:tcPr>
          <w:p w14:paraId="27A024AF" w14:textId="77777777" w:rsidR="00F17551" w:rsidRPr="00657E8C" w:rsidRDefault="00F17551" w:rsidP="00F17551">
            <w:pPr>
              <w:pStyle w:val="ARtablecolheadright"/>
            </w:pPr>
            <w:r w:rsidRPr="00657E8C">
              <w:t>SRA</w:t>
            </w:r>
          </w:p>
        </w:tc>
        <w:tc>
          <w:tcPr>
            <w:tcW w:w="514" w:type="pct"/>
            <w:tcBorders>
              <w:top w:val="nil"/>
              <w:bottom w:val="single" w:sz="4" w:space="0" w:color="auto"/>
            </w:tcBorders>
            <w:vAlign w:val="bottom"/>
          </w:tcPr>
          <w:p w14:paraId="45AC03BF" w14:textId="77777777" w:rsidR="00F17551" w:rsidRPr="00657E8C" w:rsidRDefault="00F17551" w:rsidP="00F17551">
            <w:pPr>
              <w:pStyle w:val="ARtablecolheadright"/>
            </w:pPr>
            <w:r w:rsidRPr="00657E8C">
              <w:t>Other</w:t>
            </w:r>
          </w:p>
        </w:tc>
      </w:tr>
      <w:tr w:rsidR="00F17551" w:rsidRPr="00657E8C" w14:paraId="1409F12B" w14:textId="77777777" w:rsidTr="00D458B9">
        <w:trPr>
          <w:cantSplit/>
        </w:trPr>
        <w:tc>
          <w:tcPr>
            <w:tcW w:w="1399" w:type="pct"/>
            <w:tcBorders>
              <w:top w:val="single" w:sz="4" w:space="0" w:color="auto"/>
              <w:bottom w:val="single" w:sz="4" w:space="0" w:color="auto"/>
            </w:tcBorders>
            <w:shd w:val="clear" w:color="auto" w:fill="auto"/>
          </w:tcPr>
          <w:p w14:paraId="1241DD26" w14:textId="77777777" w:rsidR="00F17551" w:rsidRPr="00657E8C" w:rsidRDefault="00F17551" w:rsidP="00F17551">
            <w:pPr>
              <w:pStyle w:val="ARtabletext"/>
            </w:pPr>
            <w:r w:rsidRPr="00657E8C">
              <w:t>&lt; $160,000</w:t>
            </w:r>
          </w:p>
        </w:tc>
        <w:tc>
          <w:tcPr>
            <w:tcW w:w="735" w:type="pct"/>
            <w:tcBorders>
              <w:top w:val="single" w:sz="4" w:space="0" w:color="auto"/>
              <w:bottom w:val="single" w:sz="4" w:space="0" w:color="auto"/>
            </w:tcBorders>
            <w:shd w:val="clear" w:color="auto" w:fill="auto"/>
          </w:tcPr>
          <w:p w14:paraId="03CDB03C"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04EE8E78"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4EDC4C90"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74720847"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55B46F12"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0615F94F" w14:textId="77777777" w:rsidR="00F17551" w:rsidRPr="00657E8C" w:rsidRDefault="00F17551" w:rsidP="00F17551">
            <w:pPr>
              <w:pStyle w:val="ARtabletextright"/>
            </w:pPr>
          </w:p>
        </w:tc>
      </w:tr>
      <w:tr w:rsidR="00F17551" w:rsidRPr="00657E8C" w14:paraId="556B5B88" w14:textId="77777777" w:rsidTr="00D458B9">
        <w:trPr>
          <w:cantSplit/>
        </w:trPr>
        <w:tc>
          <w:tcPr>
            <w:tcW w:w="1399" w:type="pct"/>
            <w:tcBorders>
              <w:top w:val="single" w:sz="4" w:space="0" w:color="auto"/>
              <w:bottom w:val="single" w:sz="4" w:space="0" w:color="auto"/>
            </w:tcBorders>
            <w:shd w:val="clear" w:color="auto" w:fill="auto"/>
          </w:tcPr>
          <w:p w14:paraId="5C75AB34" w14:textId="77777777" w:rsidR="00F17551" w:rsidRPr="00657E8C" w:rsidRDefault="00F17551" w:rsidP="00F17551">
            <w:pPr>
              <w:pStyle w:val="ARtabletext"/>
            </w:pPr>
            <w:r w:rsidRPr="00657E8C">
              <w:t>$160,000–$179,999</w:t>
            </w:r>
          </w:p>
        </w:tc>
        <w:tc>
          <w:tcPr>
            <w:tcW w:w="735" w:type="pct"/>
            <w:tcBorders>
              <w:top w:val="single" w:sz="4" w:space="0" w:color="auto"/>
              <w:bottom w:val="single" w:sz="4" w:space="0" w:color="auto"/>
            </w:tcBorders>
            <w:shd w:val="clear" w:color="auto" w:fill="auto"/>
          </w:tcPr>
          <w:p w14:paraId="2935C6A7" w14:textId="77777777" w:rsidR="00F17551" w:rsidRPr="00657E8C" w:rsidRDefault="00F17551" w:rsidP="00F17551">
            <w:pPr>
              <w:pStyle w:val="ARtabletextright"/>
            </w:pPr>
            <w:r w:rsidRPr="00657E8C">
              <w:t>2</w:t>
            </w:r>
          </w:p>
        </w:tc>
        <w:tc>
          <w:tcPr>
            <w:tcW w:w="588" w:type="pct"/>
            <w:tcBorders>
              <w:top w:val="single" w:sz="4" w:space="0" w:color="auto"/>
              <w:bottom w:val="single" w:sz="4" w:space="0" w:color="auto"/>
            </w:tcBorders>
            <w:shd w:val="clear" w:color="auto" w:fill="auto"/>
          </w:tcPr>
          <w:p w14:paraId="0F12C991" w14:textId="77777777" w:rsidR="00F17551" w:rsidRPr="00657E8C" w:rsidRDefault="00F17551" w:rsidP="00F17551">
            <w:pPr>
              <w:pStyle w:val="ARtabletextright"/>
            </w:pPr>
            <w:r w:rsidRPr="00657E8C">
              <w:t>1</w:t>
            </w:r>
          </w:p>
        </w:tc>
        <w:tc>
          <w:tcPr>
            <w:tcW w:w="588" w:type="pct"/>
            <w:tcBorders>
              <w:top w:val="single" w:sz="4" w:space="0" w:color="auto"/>
              <w:bottom w:val="single" w:sz="4" w:space="0" w:color="auto"/>
            </w:tcBorders>
            <w:shd w:val="clear" w:color="auto" w:fill="auto"/>
          </w:tcPr>
          <w:p w14:paraId="5ECB6B6F"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3CE55E29"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465A26C2"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0B8DAE7B" w14:textId="77777777" w:rsidR="00F17551" w:rsidRPr="00657E8C" w:rsidRDefault="00F17551" w:rsidP="00F17551">
            <w:pPr>
              <w:pStyle w:val="ARtabletextright"/>
            </w:pPr>
          </w:p>
        </w:tc>
      </w:tr>
      <w:tr w:rsidR="00F17551" w:rsidRPr="00657E8C" w14:paraId="1E85331D" w14:textId="77777777" w:rsidTr="00D458B9">
        <w:trPr>
          <w:cantSplit/>
        </w:trPr>
        <w:tc>
          <w:tcPr>
            <w:tcW w:w="1399" w:type="pct"/>
            <w:tcBorders>
              <w:top w:val="single" w:sz="4" w:space="0" w:color="auto"/>
              <w:bottom w:val="single" w:sz="4" w:space="0" w:color="auto"/>
            </w:tcBorders>
            <w:shd w:val="clear" w:color="auto" w:fill="auto"/>
          </w:tcPr>
          <w:p w14:paraId="12A348C0" w14:textId="77777777" w:rsidR="00F17551" w:rsidRPr="00657E8C" w:rsidRDefault="00F17551" w:rsidP="00F17551">
            <w:pPr>
              <w:pStyle w:val="ARtabletext"/>
            </w:pPr>
            <w:r w:rsidRPr="00657E8C">
              <w:t>$180,000–$199,999</w:t>
            </w:r>
          </w:p>
        </w:tc>
        <w:tc>
          <w:tcPr>
            <w:tcW w:w="735" w:type="pct"/>
            <w:tcBorders>
              <w:top w:val="single" w:sz="4" w:space="0" w:color="auto"/>
              <w:bottom w:val="single" w:sz="4" w:space="0" w:color="auto"/>
            </w:tcBorders>
            <w:shd w:val="clear" w:color="auto" w:fill="auto"/>
          </w:tcPr>
          <w:p w14:paraId="1D2AA726"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085B1587" w14:textId="77777777" w:rsidR="00F17551" w:rsidRPr="00657E8C" w:rsidRDefault="00F17551" w:rsidP="00F17551">
            <w:pPr>
              <w:pStyle w:val="ARtabletextright"/>
            </w:pPr>
            <w:r w:rsidRPr="00657E8C">
              <w:t>1</w:t>
            </w:r>
          </w:p>
        </w:tc>
        <w:tc>
          <w:tcPr>
            <w:tcW w:w="588" w:type="pct"/>
            <w:tcBorders>
              <w:top w:val="single" w:sz="4" w:space="0" w:color="auto"/>
              <w:bottom w:val="single" w:sz="4" w:space="0" w:color="auto"/>
            </w:tcBorders>
            <w:shd w:val="clear" w:color="auto" w:fill="auto"/>
          </w:tcPr>
          <w:p w14:paraId="2955A2C7"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555271C0"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56E2BB33"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5334754F" w14:textId="77777777" w:rsidR="00F17551" w:rsidRPr="00657E8C" w:rsidRDefault="00F17551" w:rsidP="00F17551">
            <w:pPr>
              <w:pStyle w:val="ARtabletextright"/>
            </w:pPr>
          </w:p>
        </w:tc>
      </w:tr>
      <w:tr w:rsidR="00F17551" w:rsidRPr="00657E8C" w14:paraId="0100BBC9" w14:textId="77777777" w:rsidTr="00D458B9">
        <w:trPr>
          <w:cantSplit/>
        </w:trPr>
        <w:tc>
          <w:tcPr>
            <w:tcW w:w="1399" w:type="pct"/>
            <w:tcBorders>
              <w:top w:val="single" w:sz="4" w:space="0" w:color="auto"/>
              <w:bottom w:val="single" w:sz="4" w:space="0" w:color="auto"/>
            </w:tcBorders>
            <w:shd w:val="clear" w:color="auto" w:fill="auto"/>
          </w:tcPr>
          <w:p w14:paraId="7706AA16" w14:textId="77777777" w:rsidR="00F17551" w:rsidRPr="00657E8C" w:rsidRDefault="00F17551" w:rsidP="00F17551">
            <w:pPr>
              <w:pStyle w:val="ARtabletext"/>
            </w:pPr>
            <w:r w:rsidRPr="00657E8C">
              <w:t>$200,000–$219,999</w:t>
            </w:r>
          </w:p>
        </w:tc>
        <w:tc>
          <w:tcPr>
            <w:tcW w:w="735" w:type="pct"/>
            <w:tcBorders>
              <w:top w:val="single" w:sz="4" w:space="0" w:color="auto"/>
              <w:bottom w:val="single" w:sz="4" w:space="0" w:color="auto"/>
            </w:tcBorders>
            <w:shd w:val="clear" w:color="auto" w:fill="auto"/>
          </w:tcPr>
          <w:p w14:paraId="55B803EE" w14:textId="77777777" w:rsidR="00F17551" w:rsidRPr="00657E8C" w:rsidRDefault="00F17551" w:rsidP="00F17551">
            <w:pPr>
              <w:pStyle w:val="ARtabletextright"/>
            </w:pPr>
            <w:r w:rsidRPr="00657E8C">
              <w:t>2</w:t>
            </w:r>
          </w:p>
        </w:tc>
        <w:tc>
          <w:tcPr>
            <w:tcW w:w="588" w:type="pct"/>
            <w:tcBorders>
              <w:top w:val="single" w:sz="4" w:space="0" w:color="auto"/>
              <w:bottom w:val="single" w:sz="4" w:space="0" w:color="auto"/>
            </w:tcBorders>
            <w:shd w:val="clear" w:color="auto" w:fill="auto"/>
          </w:tcPr>
          <w:p w14:paraId="0F7B97B5"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1377B0DB"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71C87A94"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3313625F"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09B1B1DA" w14:textId="77777777" w:rsidR="00F17551" w:rsidRPr="00657E8C" w:rsidRDefault="00F17551" w:rsidP="00F17551">
            <w:pPr>
              <w:pStyle w:val="ARtabletextright"/>
            </w:pPr>
          </w:p>
        </w:tc>
      </w:tr>
      <w:tr w:rsidR="00F17551" w:rsidRPr="00657E8C" w14:paraId="0271F846" w14:textId="77777777" w:rsidTr="00D458B9">
        <w:trPr>
          <w:cantSplit/>
        </w:trPr>
        <w:tc>
          <w:tcPr>
            <w:tcW w:w="1399" w:type="pct"/>
            <w:tcBorders>
              <w:top w:val="single" w:sz="4" w:space="0" w:color="auto"/>
              <w:bottom w:val="single" w:sz="4" w:space="0" w:color="auto"/>
            </w:tcBorders>
            <w:shd w:val="clear" w:color="auto" w:fill="auto"/>
          </w:tcPr>
          <w:p w14:paraId="1430BB5B" w14:textId="77777777" w:rsidR="00F17551" w:rsidRPr="00657E8C" w:rsidRDefault="00F17551" w:rsidP="00F17551">
            <w:pPr>
              <w:pStyle w:val="ARtabletext"/>
            </w:pPr>
            <w:r w:rsidRPr="00657E8C">
              <w:t>$220,000–$239,999</w:t>
            </w:r>
          </w:p>
        </w:tc>
        <w:tc>
          <w:tcPr>
            <w:tcW w:w="735" w:type="pct"/>
            <w:tcBorders>
              <w:top w:val="single" w:sz="4" w:space="0" w:color="auto"/>
              <w:bottom w:val="single" w:sz="4" w:space="0" w:color="auto"/>
            </w:tcBorders>
            <w:shd w:val="clear" w:color="auto" w:fill="auto"/>
          </w:tcPr>
          <w:p w14:paraId="2C90416A" w14:textId="77777777" w:rsidR="00F17551" w:rsidRPr="00657E8C" w:rsidRDefault="00F17551" w:rsidP="00F17551">
            <w:pPr>
              <w:pStyle w:val="ARtabletextright"/>
            </w:pPr>
            <w:r w:rsidRPr="00657E8C">
              <w:t>1</w:t>
            </w:r>
          </w:p>
        </w:tc>
        <w:tc>
          <w:tcPr>
            <w:tcW w:w="588" w:type="pct"/>
            <w:tcBorders>
              <w:top w:val="single" w:sz="4" w:space="0" w:color="auto"/>
              <w:bottom w:val="single" w:sz="4" w:space="0" w:color="auto"/>
            </w:tcBorders>
            <w:shd w:val="clear" w:color="auto" w:fill="auto"/>
          </w:tcPr>
          <w:p w14:paraId="352A5D0F"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3540C69A"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110FE258"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296B0461"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0993B420" w14:textId="77777777" w:rsidR="00F17551" w:rsidRPr="00657E8C" w:rsidRDefault="00F17551" w:rsidP="00F17551">
            <w:pPr>
              <w:pStyle w:val="ARtabletextright"/>
            </w:pPr>
          </w:p>
        </w:tc>
      </w:tr>
      <w:tr w:rsidR="00F17551" w:rsidRPr="00657E8C" w14:paraId="40E60FDB" w14:textId="77777777" w:rsidTr="00D458B9">
        <w:trPr>
          <w:cantSplit/>
        </w:trPr>
        <w:tc>
          <w:tcPr>
            <w:tcW w:w="1399" w:type="pct"/>
            <w:tcBorders>
              <w:top w:val="single" w:sz="4" w:space="0" w:color="auto"/>
              <w:bottom w:val="single" w:sz="4" w:space="0" w:color="auto"/>
            </w:tcBorders>
            <w:shd w:val="clear" w:color="auto" w:fill="auto"/>
          </w:tcPr>
          <w:p w14:paraId="694E3995" w14:textId="77777777" w:rsidR="00F17551" w:rsidRPr="00657E8C" w:rsidRDefault="00F17551" w:rsidP="00F17551">
            <w:pPr>
              <w:pStyle w:val="ARtabletext"/>
            </w:pPr>
            <w:r w:rsidRPr="00657E8C">
              <w:t>$240,000–$259,999</w:t>
            </w:r>
          </w:p>
        </w:tc>
        <w:tc>
          <w:tcPr>
            <w:tcW w:w="735" w:type="pct"/>
            <w:tcBorders>
              <w:top w:val="single" w:sz="4" w:space="0" w:color="auto"/>
              <w:bottom w:val="single" w:sz="4" w:space="0" w:color="auto"/>
            </w:tcBorders>
            <w:shd w:val="clear" w:color="auto" w:fill="auto"/>
          </w:tcPr>
          <w:p w14:paraId="7903E866"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25F7935B"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25DCDF1B"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2567C881"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1983D176"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7107521D" w14:textId="77777777" w:rsidR="00F17551" w:rsidRPr="00657E8C" w:rsidRDefault="00F17551" w:rsidP="00F17551">
            <w:pPr>
              <w:pStyle w:val="ARtabletextright"/>
            </w:pPr>
          </w:p>
        </w:tc>
      </w:tr>
      <w:tr w:rsidR="00F17551" w:rsidRPr="00657E8C" w14:paraId="32688D29" w14:textId="77777777" w:rsidTr="00D458B9">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54FB1EFF" w14:textId="77777777" w:rsidR="00F17551" w:rsidRPr="00657E8C" w:rsidRDefault="00F17551" w:rsidP="00F17551">
            <w:pPr>
              <w:pStyle w:val="ARtabletext"/>
            </w:pPr>
            <w:r w:rsidRPr="00657E8C">
              <w:t>$260,000–$279,999</w:t>
            </w:r>
          </w:p>
        </w:tc>
        <w:tc>
          <w:tcPr>
            <w:tcW w:w="735" w:type="pct"/>
            <w:tcBorders>
              <w:top w:val="single" w:sz="4" w:space="0" w:color="auto"/>
              <w:bottom w:val="single" w:sz="4" w:space="0" w:color="auto"/>
            </w:tcBorders>
            <w:shd w:val="clear" w:color="auto" w:fill="auto"/>
          </w:tcPr>
          <w:p w14:paraId="40E0FFB1"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12BE0817"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1F490537"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4F59E4EC"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46B018B0"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6CAFE171" w14:textId="77777777" w:rsidR="00F17551" w:rsidRPr="00657E8C" w:rsidRDefault="00F17551" w:rsidP="00F17551">
            <w:pPr>
              <w:pStyle w:val="ARtabletextright"/>
            </w:pPr>
          </w:p>
        </w:tc>
      </w:tr>
      <w:tr w:rsidR="00F17551" w:rsidRPr="00657E8C" w14:paraId="4702F118" w14:textId="77777777" w:rsidTr="00D458B9">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6FFC20F4" w14:textId="77777777" w:rsidR="00F17551" w:rsidRPr="00657E8C" w:rsidRDefault="00F17551" w:rsidP="00F17551">
            <w:pPr>
              <w:pStyle w:val="ARtabletext"/>
            </w:pPr>
            <w:r w:rsidRPr="00657E8C">
              <w:t>$280,000–$299,999</w:t>
            </w:r>
          </w:p>
        </w:tc>
        <w:tc>
          <w:tcPr>
            <w:tcW w:w="735" w:type="pct"/>
            <w:tcBorders>
              <w:top w:val="single" w:sz="4" w:space="0" w:color="auto"/>
              <w:bottom w:val="single" w:sz="4" w:space="0" w:color="auto"/>
            </w:tcBorders>
            <w:shd w:val="clear" w:color="auto" w:fill="auto"/>
          </w:tcPr>
          <w:p w14:paraId="36892049"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45A85CDF"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66FFB45F"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7AB786C9"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6DBACAE6"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3206B964" w14:textId="77777777" w:rsidR="00F17551" w:rsidRPr="00657E8C" w:rsidRDefault="00F17551" w:rsidP="00F17551">
            <w:pPr>
              <w:pStyle w:val="ARtabletextright"/>
            </w:pPr>
          </w:p>
        </w:tc>
      </w:tr>
      <w:tr w:rsidR="00F17551" w:rsidRPr="00657E8C" w14:paraId="210E90B2" w14:textId="77777777" w:rsidTr="00D458B9">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56E7EF4C" w14:textId="77777777" w:rsidR="00F17551" w:rsidRPr="00657E8C" w:rsidRDefault="00F17551" w:rsidP="00F17551">
            <w:pPr>
              <w:pStyle w:val="ARtabletext"/>
            </w:pPr>
            <w:r w:rsidRPr="00657E8C">
              <w:t>$300,000–$319,999</w:t>
            </w:r>
          </w:p>
        </w:tc>
        <w:tc>
          <w:tcPr>
            <w:tcW w:w="735" w:type="pct"/>
            <w:tcBorders>
              <w:top w:val="single" w:sz="4" w:space="0" w:color="auto"/>
              <w:bottom w:val="single" w:sz="4" w:space="0" w:color="auto"/>
            </w:tcBorders>
            <w:shd w:val="clear" w:color="auto" w:fill="auto"/>
          </w:tcPr>
          <w:p w14:paraId="1AD41EB0"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56AA04E0"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5389F564"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6E97EC5F"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5553D9B1"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0CD34BC6" w14:textId="77777777" w:rsidR="00F17551" w:rsidRPr="00657E8C" w:rsidRDefault="00F17551" w:rsidP="00F17551">
            <w:pPr>
              <w:pStyle w:val="ARtabletextright"/>
            </w:pPr>
          </w:p>
        </w:tc>
      </w:tr>
      <w:tr w:rsidR="00F17551" w:rsidRPr="00657E8C" w14:paraId="5B0322AF" w14:textId="77777777" w:rsidTr="00D458B9">
        <w:trPr>
          <w:cantSplit/>
        </w:trPr>
        <w:tc>
          <w:tcPr>
            <w:tcW w:w="1399" w:type="pct"/>
            <w:tcBorders>
              <w:top w:val="single" w:sz="4" w:space="0" w:color="auto"/>
              <w:bottom w:val="single" w:sz="4" w:space="0" w:color="auto"/>
            </w:tcBorders>
            <w:shd w:val="clear" w:color="auto" w:fill="auto"/>
          </w:tcPr>
          <w:p w14:paraId="46D1C51F" w14:textId="77777777" w:rsidR="00F17551" w:rsidRPr="00657E8C" w:rsidRDefault="00F17551" w:rsidP="00F17551">
            <w:pPr>
              <w:pStyle w:val="ARtabletext"/>
            </w:pPr>
            <w:r w:rsidRPr="00657E8C">
              <w:t>$320,000–$339,999</w:t>
            </w:r>
          </w:p>
        </w:tc>
        <w:tc>
          <w:tcPr>
            <w:tcW w:w="735" w:type="pct"/>
            <w:tcBorders>
              <w:top w:val="single" w:sz="4" w:space="0" w:color="auto"/>
              <w:bottom w:val="single" w:sz="4" w:space="0" w:color="auto"/>
            </w:tcBorders>
            <w:shd w:val="clear" w:color="auto" w:fill="auto"/>
          </w:tcPr>
          <w:p w14:paraId="78840289"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7B623E86"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03058528"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05D2075B"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6570EDE6"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38637819" w14:textId="77777777" w:rsidR="00F17551" w:rsidRPr="00657E8C" w:rsidRDefault="00F17551" w:rsidP="00F17551">
            <w:pPr>
              <w:pStyle w:val="ARtabletextright"/>
            </w:pPr>
          </w:p>
        </w:tc>
      </w:tr>
      <w:tr w:rsidR="00F17551" w:rsidRPr="00657E8C" w14:paraId="5D6D1B42" w14:textId="77777777" w:rsidTr="00D458B9">
        <w:trPr>
          <w:cantSplit/>
        </w:trPr>
        <w:tc>
          <w:tcPr>
            <w:tcW w:w="1399" w:type="pct"/>
            <w:tcBorders>
              <w:top w:val="single" w:sz="4" w:space="0" w:color="auto"/>
              <w:bottom w:val="single" w:sz="4" w:space="0" w:color="auto"/>
            </w:tcBorders>
            <w:shd w:val="clear" w:color="auto" w:fill="auto"/>
          </w:tcPr>
          <w:p w14:paraId="225677FB" w14:textId="77777777" w:rsidR="00F17551" w:rsidRPr="00657E8C" w:rsidRDefault="00F17551" w:rsidP="00F17551">
            <w:pPr>
              <w:pStyle w:val="ARtabletext"/>
            </w:pPr>
            <w:r w:rsidRPr="00657E8C">
              <w:t>$340,000–$359,999</w:t>
            </w:r>
          </w:p>
        </w:tc>
        <w:tc>
          <w:tcPr>
            <w:tcW w:w="735" w:type="pct"/>
            <w:tcBorders>
              <w:top w:val="single" w:sz="4" w:space="0" w:color="auto"/>
              <w:bottom w:val="single" w:sz="4" w:space="0" w:color="auto"/>
            </w:tcBorders>
            <w:shd w:val="clear" w:color="auto" w:fill="auto"/>
          </w:tcPr>
          <w:p w14:paraId="6A459AF1"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0B5609B0"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7EBE5B42"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67BFE743"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4817F1F2"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59A9AD60" w14:textId="77777777" w:rsidR="00F17551" w:rsidRPr="00657E8C" w:rsidRDefault="00F17551" w:rsidP="00F17551">
            <w:pPr>
              <w:pStyle w:val="ARtabletextright"/>
            </w:pPr>
          </w:p>
        </w:tc>
      </w:tr>
      <w:tr w:rsidR="00F17551" w:rsidRPr="00657E8C" w14:paraId="7A71418D" w14:textId="77777777" w:rsidTr="00D458B9">
        <w:trPr>
          <w:cantSplit/>
        </w:trPr>
        <w:tc>
          <w:tcPr>
            <w:tcW w:w="1399" w:type="pct"/>
            <w:tcBorders>
              <w:top w:val="single" w:sz="4" w:space="0" w:color="auto"/>
              <w:bottom w:val="single" w:sz="4" w:space="0" w:color="auto"/>
            </w:tcBorders>
            <w:shd w:val="clear" w:color="auto" w:fill="auto"/>
          </w:tcPr>
          <w:p w14:paraId="3DBB9595" w14:textId="77777777" w:rsidR="00F17551" w:rsidRPr="00657E8C" w:rsidRDefault="00F17551" w:rsidP="00F17551">
            <w:pPr>
              <w:pStyle w:val="ARtabletext"/>
            </w:pPr>
            <w:r w:rsidRPr="00657E8C">
              <w:t>$360,000–$379,999</w:t>
            </w:r>
          </w:p>
        </w:tc>
        <w:tc>
          <w:tcPr>
            <w:tcW w:w="735" w:type="pct"/>
            <w:tcBorders>
              <w:top w:val="single" w:sz="4" w:space="0" w:color="auto"/>
              <w:bottom w:val="single" w:sz="4" w:space="0" w:color="auto"/>
            </w:tcBorders>
            <w:shd w:val="clear" w:color="auto" w:fill="auto"/>
          </w:tcPr>
          <w:p w14:paraId="60665077"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5029CF2E"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6EFDEB67"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1E3CCA80"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1D31628D"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0A9E6ABB" w14:textId="77777777" w:rsidR="00F17551" w:rsidRPr="00657E8C" w:rsidRDefault="00F17551" w:rsidP="00F17551">
            <w:pPr>
              <w:pStyle w:val="ARtabletextright"/>
            </w:pPr>
          </w:p>
        </w:tc>
      </w:tr>
      <w:tr w:rsidR="00F17551" w:rsidRPr="00657E8C" w14:paraId="25A454E2" w14:textId="77777777" w:rsidTr="00D458B9">
        <w:trPr>
          <w:cantSplit/>
        </w:trPr>
        <w:tc>
          <w:tcPr>
            <w:tcW w:w="1399" w:type="pct"/>
            <w:tcBorders>
              <w:top w:val="single" w:sz="4" w:space="0" w:color="auto"/>
              <w:bottom w:val="single" w:sz="4" w:space="0" w:color="auto"/>
            </w:tcBorders>
            <w:shd w:val="clear" w:color="auto" w:fill="auto"/>
          </w:tcPr>
          <w:p w14:paraId="65ECB236" w14:textId="77777777" w:rsidR="00F17551" w:rsidRPr="00657E8C" w:rsidRDefault="00F17551" w:rsidP="00F17551">
            <w:pPr>
              <w:pStyle w:val="ARtabletext"/>
            </w:pPr>
            <w:r w:rsidRPr="00657E8C">
              <w:t>$380,000–$399,999</w:t>
            </w:r>
          </w:p>
        </w:tc>
        <w:tc>
          <w:tcPr>
            <w:tcW w:w="735" w:type="pct"/>
            <w:tcBorders>
              <w:top w:val="single" w:sz="4" w:space="0" w:color="auto"/>
              <w:bottom w:val="single" w:sz="4" w:space="0" w:color="auto"/>
            </w:tcBorders>
            <w:shd w:val="clear" w:color="auto" w:fill="auto"/>
          </w:tcPr>
          <w:p w14:paraId="447DA25A" w14:textId="77777777" w:rsidR="00F17551" w:rsidRPr="00657E8C" w:rsidRDefault="00F17551" w:rsidP="00F17551">
            <w:pPr>
              <w:pStyle w:val="ARtabletextright"/>
            </w:pPr>
            <w:r w:rsidRPr="00657E8C">
              <w:t>1</w:t>
            </w:r>
          </w:p>
        </w:tc>
        <w:tc>
          <w:tcPr>
            <w:tcW w:w="588" w:type="pct"/>
            <w:tcBorders>
              <w:top w:val="single" w:sz="4" w:space="0" w:color="auto"/>
              <w:bottom w:val="single" w:sz="4" w:space="0" w:color="auto"/>
            </w:tcBorders>
            <w:shd w:val="clear" w:color="auto" w:fill="auto"/>
          </w:tcPr>
          <w:p w14:paraId="22CA1D48" w14:textId="77777777" w:rsidR="00F17551" w:rsidRPr="00657E8C" w:rsidRDefault="00F17551" w:rsidP="00F17551">
            <w:pPr>
              <w:pStyle w:val="ARtabletextright"/>
            </w:pPr>
          </w:p>
        </w:tc>
        <w:tc>
          <w:tcPr>
            <w:tcW w:w="588" w:type="pct"/>
            <w:tcBorders>
              <w:top w:val="single" w:sz="4" w:space="0" w:color="auto"/>
              <w:bottom w:val="single" w:sz="4" w:space="0" w:color="auto"/>
            </w:tcBorders>
            <w:shd w:val="clear" w:color="auto" w:fill="auto"/>
          </w:tcPr>
          <w:p w14:paraId="3ED20AAE"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1AF07F8B" w14:textId="77777777" w:rsidR="00F17551" w:rsidRPr="00657E8C" w:rsidRDefault="00F17551" w:rsidP="00F17551">
            <w:pPr>
              <w:pStyle w:val="ARtabletextright"/>
            </w:pPr>
          </w:p>
        </w:tc>
        <w:tc>
          <w:tcPr>
            <w:tcW w:w="588" w:type="pct"/>
            <w:tcBorders>
              <w:top w:val="single" w:sz="4" w:space="0" w:color="auto"/>
              <w:bottom w:val="single" w:sz="4" w:space="0" w:color="auto"/>
            </w:tcBorders>
          </w:tcPr>
          <w:p w14:paraId="1759B22B" w14:textId="77777777" w:rsidR="00F17551" w:rsidRPr="00657E8C" w:rsidRDefault="00F17551" w:rsidP="00F17551">
            <w:pPr>
              <w:pStyle w:val="ARtabletextright"/>
            </w:pPr>
          </w:p>
        </w:tc>
        <w:tc>
          <w:tcPr>
            <w:tcW w:w="514" w:type="pct"/>
            <w:tcBorders>
              <w:top w:val="single" w:sz="4" w:space="0" w:color="auto"/>
              <w:bottom w:val="single" w:sz="4" w:space="0" w:color="auto"/>
            </w:tcBorders>
          </w:tcPr>
          <w:p w14:paraId="6714D7B6" w14:textId="77777777" w:rsidR="00F17551" w:rsidRPr="00657E8C" w:rsidRDefault="00F17551" w:rsidP="00F17551">
            <w:pPr>
              <w:pStyle w:val="ARtabletextright"/>
            </w:pPr>
          </w:p>
        </w:tc>
      </w:tr>
      <w:tr w:rsidR="00F17551" w:rsidRPr="00657E8C" w14:paraId="5112B52A" w14:textId="77777777" w:rsidTr="00D458B9">
        <w:tblPrEx>
          <w:tblLook w:val="04A0" w:firstRow="1" w:lastRow="0" w:firstColumn="1" w:lastColumn="0" w:noHBand="0" w:noVBand="1"/>
        </w:tblPrEx>
        <w:trPr>
          <w:cantSplit/>
        </w:trPr>
        <w:tc>
          <w:tcPr>
            <w:tcW w:w="1399" w:type="pct"/>
            <w:tcBorders>
              <w:top w:val="single" w:sz="4" w:space="0" w:color="auto"/>
            </w:tcBorders>
            <w:shd w:val="clear" w:color="auto" w:fill="auto"/>
          </w:tcPr>
          <w:p w14:paraId="2C592DEE" w14:textId="77777777" w:rsidR="00F17551" w:rsidRPr="00657E8C" w:rsidRDefault="00F17551" w:rsidP="00F17551">
            <w:pPr>
              <w:pStyle w:val="ARtabletextbold"/>
            </w:pPr>
            <w:r w:rsidRPr="00657E8C">
              <w:t>Total</w:t>
            </w:r>
          </w:p>
        </w:tc>
        <w:tc>
          <w:tcPr>
            <w:tcW w:w="735" w:type="pct"/>
            <w:tcBorders>
              <w:top w:val="single" w:sz="4" w:space="0" w:color="auto"/>
            </w:tcBorders>
            <w:shd w:val="clear" w:color="auto" w:fill="auto"/>
          </w:tcPr>
          <w:p w14:paraId="7443D667" w14:textId="77777777" w:rsidR="00F17551" w:rsidRPr="00657E8C" w:rsidRDefault="00F17551" w:rsidP="00F17551">
            <w:pPr>
              <w:pStyle w:val="ARtabletextrightbold"/>
            </w:pPr>
            <w:r w:rsidRPr="00657E8C">
              <w:t>6</w:t>
            </w:r>
          </w:p>
        </w:tc>
        <w:tc>
          <w:tcPr>
            <w:tcW w:w="588" w:type="pct"/>
            <w:tcBorders>
              <w:top w:val="single" w:sz="4" w:space="0" w:color="auto"/>
            </w:tcBorders>
            <w:shd w:val="clear" w:color="auto" w:fill="auto"/>
          </w:tcPr>
          <w:p w14:paraId="6985308A" w14:textId="77777777" w:rsidR="00F17551" w:rsidRPr="00657E8C" w:rsidRDefault="00F17551" w:rsidP="00F17551">
            <w:pPr>
              <w:pStyle w:val="ARtabletextrightbold"/>
            </w:pPr>
            <w:r w:rsidRPr="00657E8C">
              <w:t>2</w:t>
            </w:r>
          </w:p>
        </w:tc>
        <w:tc>
          <w:tcPr>
            <w:tcW w:w="588" w:type="pct"/>
            <w:tcBorders>
              <w:top w:val="single" w:sz="4" w:space="0" w:color="auto"/>
            </w:tcBorders>
            <w:shd w:val="clear" w:color="auto" w:fill="auto"/>
          </w:tcPr>
          <w:p w14:paraId="35A4198A" w14:textId="77777777" w:rsidR="00F17551" w:rsidRPr="00657E8C" w:rsidRDefault="00F17551" w:rsidP="00F17551">
            <w:pPr>
              <w:pStyle w:val="ARtabletextrightbold"/>
            </w:pPr>
          </w:p>
        </w:tc>
        <w:tc>
          <w:tcPr>
            <w:tcW w:w="588" w:type="pct"/>
            <w:tcBorders>
              <w:top w:val="single" w:sz="4" w:space="0" w:color="auto"/>
            </w:tcBorders>
          </w:tcPr>
          <w:p w14:paraId="7374A330" w14:textId="77777777" w:rsidR="00F17551" w:rsidRPr="00657E8C" w:rsidRDefault="00F17551" w:rsidP="00F17551">
            <w:pPr>
              <w:pStyle w:val="ARtabletextrightbold"/>
            </w:pPr>
          </w:p>
        </w:tc>
        <w:tc>
          <w:tcPr>
            <w:tcW w:w="588" w:type="pct"/>
            <w:tcBorders>
              <w:top w:val="single" w:sz="4" w:space="0" w:color="auto"/>
            </w:tcBorders>
          </w:tcPr>
          <w:p w14:paraId="5CA56365" w14:textId="77777777" w:rsidR="00F17551" w:rsidRPr="00657E8C" w:rsidRDefault="00F17551" w:rsidP="00F17551">
            <w:pPr>
              <w:pStyle w:val="ARtabletextrightbold"/>
            </w:pPr>
          </w:p>
        </w:tc>
        <w:tc>
          <w:tcPr>
            <w:tcW w:w="514" w:type="pct"/>
            <w:tcBorders>
              <w:top w:val="single" w:sz="4" w:space="0" w:color="auto"/>
            </w:tcBorders>
          </w:tcPr>
          <w:p w14:paraId="4FE2F661" w14:textId="77777777" w:rsidR="00F17551" w:rsidRPr="00657E8C" w:rsidRDefault="00F17551" w:rsidP="00F17551">
            <w:pPr>
              <w:pStyle w:val="ARtabletextrightbold"/>
            </w:pPr>
          </w:p>
        </w:tc>
      </w:tr>
    </w:tbl>
    <w:p w14:paraId="4A4A24F6" w14:textId="77777777" w:rsidR="00F91E72" w:rsidRPr="008C254A" w:rsidRDefault="00F91E72" w:rsidP="008C254A">
      <w:pPr>
        <w:pStyle w:val="ARbody"/>
      </w:pPr>
      <w:bookmarkStart w:id="135" w:name="_Ref525047436"/>
      <w:r w:rsidRPr="008C254A">
        <w:br w:type="page"/>
      </w:r>
    </w:p>
    <w:p w14:paraId="1978D0C1" w14:textId="77777777" w:rsidR="00F17551" w:rsidRPr="00657E8C" w:rsidRDefault="00F17551" w:rsidP="00F17551">
      <w:pPr>
        <w:pStyle w:val="Heading3"/>
      </w:pPr>
      <w:bookmarkStart w:id="136" w:name="_Ref21960664"/>
      <w:r w:rsidRPr="00657E8C">
        <w:t>Executive officer data</w:t>
      </w:r>
      <w:bookmarkEnd w:id="128"/>
      <w:bookmarkEnd w:id="131"/>
      <w:bookmarkEnd w:id="135"/>
      <w:bookmarkEnd w:id="136"/>
    </w:p>
    <w:p w14:paraId="4AED385B" w14:textId="57F636D7" w:rsidR="00F17551" w:rsidRPr="00657E8C" w:rsidRDefault="00F17551" w:rsidP="00F17551">
      <w:pPr>
        <w:pStyle w:val="ARbody"/>
      </w:pPr>
      <w:r w:rsidRPr="00657E8C">
        <w:t>For a department, an executive officer (EO) is defined as a person employed as an executive under Part 3 of</w:t>
      </w:r>
      <w:r w:rsidR="006E277C">
        <w:t> </w:t>
      </w:r>
      <w:r w:rsidRPr="00657E8C">
        <w:t xml:space="preserve">the </w:t>
      </w:r>
      <w:r w:rsidRPr="00657E8C">
        <w:rPr>
          <w:i/>
        </w:rPr>
        <w:t xml:space="preserve">Public Administration Act 2004 </w:t>
      </w:r>
      <w:r w:rsidRPr="00657E8C">
        <w:t>(PAA). For a public body, an EO is defined as an executive under Part</w:t>
      </w:r>
      <w:r w:rsidR="006E277C">
        <w:t> </w:t>
      </w:r>
      <w:r w:rsidRPr="00657E8C">
        <w:t xml:space="preserve">3 of the PAA or a person to whom the Victorian Government’s </w:t>
      </w:r>
      <w:r w:rsidRPr="00657E8C">
        <w:rPr>
          <w:i/>
        </w:rPr>
        <w:t>Policy on executive remuneration in public</w:t>
      </w:r>
      <w:r w:rsidRPr="00657E8C">
        <w:t xml:space="preserve"> entities applies. All figures reflect employment levels at the last full pay period in June of the current and corresponding previous reporting year.</w:t>
      </w:r>
    </w:p>
    <w:p w14:paraId="0997D666" w14:textId="77777777" w:rsidR="00F17551" w:rsidRPr="00657E8C" w:rsidRDefault="00F17551" w:rsidP="00F17551">
      <w:pPr>
        <w:pStyle w:val="ARbody"/>
      </w:pPr>
      <w:r w:rsidRPr="00657E8C">
        <w:t>The definition of an EO does not include a statutory office holder or an Accountable Officer.</w:t>
      </w:r>
    </w:p>
    <w:p w14:paraId="2108CAA4" w14:textId="77777777" w:rsidR="00F17551" w:rsidRPr="00657E8C" w:rsidRDefault="00F17551" w:rsidP="00F17551">
      <w:pPr>
        <w:pStyle w:val="ARbody"/>
      </w:pPr>
      <w:r w:rsidRPr="00657E8C">
        <w:t>The following tables disclose the EOs of the department, its administrative offices and its portfolio agencies for 30 June 2019:</w:t>
      </w:r>
    </w:p>
    <w:p w14:paraId="6952C945" w14:textId="77777777" w:rsidR="00F17551" w:rsidRPr="00657E8C" w:rsidRDefault="00F17551" w:rsidP="00F17551">
      <w:pPr>
        <w:pStyle w:val="ARbullet1"/>
      </w:pPr>
      <w:r w:rsidRPr="00657E8C">
        <w:t>Table 1 discloses the total numbers of EOs, broken down by gender</w:t>
      </w:r>
    </w:p>
    <w:p w14:paraId="28005826" w14:textId="77777777" w:rsidR="00F17551" w:rsidRPr="00657E8C" w:rsidRDefault="00F17551" w:rsidP="005C50EA">
      <w:pPr>
        <w:pStyle w:val="ARbullet1"/>
      </w:pPr>
      <w:r w:rsidRPr="00657E8C">
        <w:t>Table 2 provides a reconciliation of executive numbers presented between the report of operations and Note 9.7 ‘Remuneration of executives’ in the financial statements</w:t>
      </w:r>
      <w:r w:rsidR="005C50EA">
        <w:t xml:space="preserve">, </w:t>
      </w:r>
      <w:r w:rsidR="005C50EA" w:rsidRPr="005C50EA">
        <w:t>which includes remuneration paid to executives at any time throughout the reporting period.</w:t>
      </w:r>
    </w:p>
    <w:p w14:paraId="30427BDA" w14:textId="77777777" w:rsidR="00F17551" w:rsidRPr="00657E8C" w:rsidRDefault="00F17551" w:rsidP="00F17551">
      <w:pPr>
        <w:pStyle w:val="ARbullet1"/>
      </w:pPr>
      <w:r w:rsidRPr="00657E8C">
        <w:t>Table 3 provides the total executive numbers for all of the department’s portfolio agencies.</w:t>
      </w:r>
    </w:p>
    <w:p w14:paraId="01963011" w14:textId="4BC602C4" w:rsidR="00F17551" w:rsidRPr="00657E8C" w:rsidRDefault="00F17551" w:rsidP="00F17551">
      <w:pPr>
        <w:pStyle w:val="ARbullet1"/>
      </w:pPr>
      <w:r w:rsidRPr="00657E8C">
        <w:t>Tables 1 to 3 also disclose the variations, denoted by ‘var’, between the current and previous reporting</w:t>
      </w:r>
      <w:r w:rsidR="006E277C">
        <w:t> </w:t>
      </w:r>
      <w:r w:rsidRPr="00657E8C">
        <w:t>periods.</w:t>
      </w:r>
    </w:p>
    <w:p w14:paraId="79BEB5CB" w14:textId="77777777" w:rsidR="00F17551" w:rsidRPr="00657E8C" w:rsidRDefault="00F17551" w:rsidP="002909DA">
      <w:pPr>
        <w:pStyle w:val="Heading4"/>
      </w:pPr>
      <w:r w:rsidRPr="00657E8C">
        <w:t>Table 1: Total number of EOs for the department, broken down by gender</w:t>
      </w:r>
    </w:p>
    <w:tbl>
      <w:tblPr>
        <w:tblW w:w="9640"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702"/>
        <w:gridCol w:w="284"/>
        <w:gridCol w:w="709"/>
        <w:gridCol w:w="992"/>
        <w:gridCol w:w="283"/>
        <w:gridCol w:w="851"/>
        <w:gridCol w:w="850"/>
        <w:gridCol w:w="284"/>
        <w:gridCol w:w="709"/>
        <w:gridCol w:w="992"/>
        <w:gridCol w:w="283"/>
        <w:gridCol w:w="709"/>
        <w:gridCol w:w="992"/>
      </w:tblGrid>
      <w:tr w:rsidR="00F17551" w:rsidRPr="00657E8C" w14:paraId="3D53FB0C" w14:textId="77777777" w:rsidTr="00F17551">
        <w:trPr>
          <w:cantSplit/>
          <w:tblHeader/>
        </w:trPr>
        <w:tc>
          <w:tcPr>
            <w:tcW w:w="1986" w:type="dxa"/>
            <w:gridSpan w:val="2"/>
            <w:shd w:val="clear" w:color="auto" w:fill="auto"/>
            <w:vAlign w:val="bottom"/>
          </w:tcPr>
          <w:p w14:paraId="245120BD" w14:textId="77777777" w:rsidR="00F17551" w:rsidRPr="00657E8C" w:rsidRDefault="00F17551" w:rsidP="006E277C">
            <w:pPr>
              <w:pStyle w:val="ARfintablecolheadcentre"/>
              <w:jc w:val="left"/>
            </w:pPr>
          </w:p>
        </w:tc>
        <w:tc>
          <w:tcPr>
            <w:tcW w:w="1984" w:type="dxa"/>
            <w:gridSpan w:val="3"/>
            <w:shd w:val="clear" w:color="auto" w:fill="auto"/>
            <w:vAlign w:val="bottom"/>
          </w:tcPr>
          <w:p w14:paraId="5761B891" w14:textId="77777777" w:rsidR="00F17551" w:rsidRPr="00657E8C" w:rsidRDefault="00F17551" w:rsidP="00F17551">
            <w:pPr>
              <w:pStyle w:val="ARtablecolheadcentre"/>
            </w:pPr>
            <w:r w:rsidRPr="00657E8C">
              <w:t>All</w:t>
            </w:r>
          </w:p>
        </w:tc>
        <w:tc>
          <w:tcPr>
            <w:tcW w:w="1985" w:type="dxa"/>
            <w:gridSpan w:val="3"/>
            <w:shd w:val="clear" w:color="auto" w:fill="auto"/>
            <w:vAlign w:val="bottom"/>
          </w:tcPr>
          <w:p w14:paraId="5AF27E92" w14:textId="77777777" w:rsidR="00F17551" w:rsidRPr="00657E8C" w:rsidRDefault="00F17551" w:rsidP="00F17551">
            <w:pPr>
              <w:pStyle w:val="ARtablecolheadcentre"/>
            </w:pPr>
            <w:r w:rsidRPr="00657E8C">
              <w:t>Women</w:t>
            </w:r>
          </w:p>
        </w:tc>
        <w:tc>
          <w:tcPr>
            <w:tcW w:w="1984" w:type="dxa"/>
            <w:gridSpan w:val="3"/>
            <w:shd w:val="clear" w:color="auto" w:fill="auto"/>
            <w:vAlign w:val="bottom"/>
          </w:tcPr>
          <w:p w14:paraId="23EE9676" w14:textId="77777777" w:rsidR="00F17551" w:rsidRPr="00657E8C" w:rsidRDefault="00F17551" w:rsidP="00F17551">
            <w:pPr>
              <w:pStyle w:val="ARtablecolheadcentre"/>
            </w:pPr>
            <w:r w:rsidRPr="00657E8C">
              <w:t>Men</w:t>
            </w:r>
          </w:p>
        </w:tc>
        <w:tc>
          <w:tcPr>
            <w:tcW w:w="1701" w:type="dxa"/>
            <w:gridSpan w:val="2"/>
            <w:shd w:val="clear" w:color="auto" w:fill="auto"/>
            <w:vAlign w:val="bottom"/>
          </w:tcPr>
          <w:p w14:paraId="130EE42B" w14:textId="77777777" w:rsidR="00F17551" w:rsidRPr="00657E8C" w:rsidRDefault="00F17551" w:rsidP="00F17551">
            <w:pPr>
              <w:pStyle w:val="ARtablecolheadcentre"/>
            </w:pPr>
            <w:r w:rsidRPr="00657E8C">
              <w:t>Self-described</w:t>
            </w:r>
          </w:p>
        </w:tc>
      </w:tr>
      <w:tr w:rsidR="00F17551" w:rsidRPr="00657E8C" w14:paraId="42FC7E3B" w14:textId="77777777" w:rsidTr="00F17551">
        <w:trPr>
          <w:cantSplit/>
          <w:tblHeader/>
        </w:trPr>
        <w:tc>
          <w:tcPr>
            <w:tcW w:w="1702" w:type="dxa"/>
            <w:shd w:val="clear" w:color="auto" w:fill="auto"/>
            <w:vAlign w:val="bottom"/>
          </w:tcPr>
          <w:p w14:paraId="59D2C264" w14:textId="77777777" w:rsidR="00F17551" w:rsidRPr="00657E8C" w:rsidRDefault="00F17551" w:rsidP="00F17551">
            <w:pPr>
              <w:pStyle w:val="ARtablecolhead"/>
            </w:pPr>
            <w:r w:rsidRPr="00657E8C">
              <w:t>Class</w:t>
            </w:r>
          </w:p>
        </w:tc>
        <w:tc>
          <w:tcPr>
            <w:tcW w:w="993" w:type="dxa"/>
            <w:gridSpan w:val="2"/>
            <w:shd w:val="clear" w:color="auto" w:fill="auto"/>
            <w:vAlign w:val="bottom"/>
          </w:tcPr>
          <w:p w14:paraId="057857AA" w14:textId="77777777" w:rsidR="00F17551" w:rsidRPr="00657E8C" w:rsidRDefault="00F17551" w:rsidP="00F17551">
            <w:pPr>
              <w:pStyle w:val="ARtablecolheadright"/>
            </w:pPr>
            <w:r w:rsidRPr="00657E8C">
              <w:t>No.</w:t>
            </w:r>
          </w:p>
        </w:tc>
        <w:tc>
          <w:tcPr>
            <w:tcW w:w="992" w:type="dxa"/>
            <w:shd w:val="clear" w:color="auto" w:fill="auto"/>
            <w:vAlign w:val="bottom"/>
          </w:tcPr>
          <w:p w14:paraId="74C7C65C" w14:textId="77777777" w:rsidR="00F17551" w:rsidRPr="00657E8C" w:rsidRDefault="00F17551" w:rsidP="00F17551">
            <w:pPr>
              <w:pStyle w:val="ARtablecolheadright"/>
            </w:pPr>
            <w:r w:rsidRPr="00657E8C">
              <w:t>Var.</w:t>
            </w:r>
          </w:p>
        </w:tc>
        <w:tc>
          <w:tcPr>
            <w:tcW w:w="1134" w:type="dxa"/>
            <w:gridSpan w:val="2"/>
            <w:shd w:val="clear" w:color="auto" w:fill="auto"/>
            <w:vAlign w:val="bottom"/>
          </w:tcPr>
          <w:p w14:paraId="2F119AB4" w14:textId="77777777" w:rsidR="00F17551" w:rsidRPr="00657E8C" w:rsidRDefault="00F17551" w:rsidP="00F17551">
            <w:pPr>
              <w:pStyle w:val="ARtablecolheadright"/>
            </w:pPr>
            <w:r w:rsidRPr="00657E8C">
              <w:t>No.</w:t>
            </w:r>
          </w:p>
        </w:tc>
        <w:tc>
          <w:tcPr>
            <w:tcW w:w="850" w:type="dxa"/>
            <w:shd w:val="clear" w:color="auto" w:fill="auto"/>
            <w:vAlign w:val="bottom"/>
          </w:tcPr>
          <w:p w14:paraId="5168B8CA" w14:textId="77777777" w:rsidR="00F17551" w:rsidRPr="00657E8C" w:rsidRDefault="00F17551" w:rsidP="00F17551">
            <w:pPr>
              <w:pStyle w:val="ARtablecolheadright"/>
            </w:pPr>
            <w:r w:rsidRPr="00657E8C">
              <w:t>Var.</w:t>
            </w:r>
          </w:p>
        </w:tc>
        <w:tc>
          <w:tcPr>
            <w:tcW w:w="993" w:type="dxa"/>
            <w:gridSpan w:val="2"/>
            <w:shd w:val="clear" w:color="auto" w:fill="auto"/>
            <w:vAlign w:val="bottom"/>
          </w:tcPr>
          <w:p w14:paraId="39860F93" w14:textId="77777777" w:rsidR="00F17551" w:rsidRPr="00657E8C" w:rsidRDefault="00F17551" w:rsidP="00F17551">
            <w:pPr>
              <w:pStyle w:val="ARtablecolheadright"/>
            </w:pPr>
            <w:r w:rsidRPr="00657E8C">
              <w:t>No.</w:t>
            </w:r>
          </w:p>
        </w:tc>
        <w:tc>
          <w:tcPr>
            <w:tcW w:w="992" w:type="dxa"/>
            <w:shd w:val="clear" w:color="auto" w:fill="auto"/>
            <w:vAlign w:val="bottom"/>
          </w:tcPr>
          <w:p w14:paraId="67104D59" w14:textId="77777777" w:rsidR="00F17551" w:rsidRPr="00657E8C" w:rsidRDefault="00F17551" w:rsidP="00F17551">
            <w:pPr>
              <w:pStyle w:val="ARtablecolheadright"/>
            </w:pPr>
            <w:r w:rsidRPr="00657E8C">
              <w:t>Var.</w:t>
            </w:r>
          </w:p>
        </w:tc>
        <w:tc>
          <w:tcPr>
            <w:tcW w:w="992" w:type="dxa"/>
            <w:gridSpan w:val="2"/>
            <w:shd w:val="clear" w:color="auto" w:fill="auto"/>
            <w:vAlign w:val="bottom"/>
          </w:tcPr>
          <w:p w14:paraId="77742C17" w14:textId="77777777" w:rsidR="00F17551" w:rsidRPr="00657E8C" w:rsidRDefault="00F17551" w:rsidP="00F17551">
            <w:pPr>
              <w:pStyle w:val="ARtablecolheadright"/>
            </w:pPr>
            <w:r w:rsidRPr="00657E8C">
              <w:t>No.</w:t>
            </w:r>
          </w:p>
        </w:tc>
        <w:tc>
          <w:tcPr>
            <w:tcW w:w="992" w:type="dxa"/>
            <w:shd w:val="clear" w:color="auto" w:fill="auto"/>
          </w:tcPr>
          <w:p w14:paraId="3ECC699D" w14:textId="77777777" w:rsidR="00F17551" w:rsidRPr="00657E8C" w:rsidRDefault="00F17551" w:rsidP="00F17551">
            <w:pPr>
              <w:pStyle w:val="ARtablecolheadright"/>
            </w:pPr>
            <w:r w:rsidRPr="00657E8C">
              <w:t>Var.</w:t>
            </w:r>
          </w:p>
        </w:tc>
      </w:tr>
      <w:tr w:rsidR="00F17551" w:rsidRPr="00657E8C" w14:paraId="6A516730" w14:textId="77777777" w:rsidTr="00F17551">
        <w:trPr>
          <w:cantSplit/>
          <w:trHeight w:hRule="exact" w:val="340"/>
        </w:trPr>
        <w:tc>
          <w:tcPr>
            <w:tcW w:w="1702" w:type="dxa"/>
            <w:shd w:val="clear" w:color="auto" w:fill="auto"/>
          </w:tcPr>
          <w:p w14:paraId="6B83813C" w14:textId="77777777" w:rsidR="00F17551" w:rsidRPr="00657E8C" w:rsidRDefault="00F17551" w:rsidP="00F17551">
            <w:pPr>
              <w:pStyle w:val="ARtabletext"/>
            </w:pPr>
            <w:r w:rsidRPr="00657E8C">
              <w:t>Secretary</w:t>
            </w:r>
          </w:p>
        </w:tc>
        <w:tc>
          <w:tcPr>
            <w:tcW w:w="993" w:type="dxa"/>
            <w:gridSpan w:val="2"/>
            <w:shd w:val="clear" w:color="auto" w:fill="auto"/>
          </w:tcPr>
          <w:p w14:paraId="2F01D8E7" w14:textId="77777777" w:rsidR="00F17551" w:rsidRPr="00657E8C" w:rsidRDefault="00F17551" w:rsidP="00F17551">
            <w:pPr>
              <w:pStyle w:val="ARtabletextright"/>
            </w:pPr>
            <w:r w:rsidRPr="00657E8C">
              <w:t>1</w:t>
            </w:r>
          </w:p>
        </w:tc>
        <w:tc>
          <w:tcPr>
            <w:tcW w:w="992" w:type="dxa"/>
            <w:shd w:val="clear" w:color="auto" w:fill="auto"/>
          </w:tcPr>
          <w:p w14:paraId="74EAE45D" w14:textId="77777777" w:rsidR="00F17551" w:rsidRPr="00657E8C" w:rsidRDefault="00F17551" w:rsidP="00F17551">
            <w:pPr>
              <w:pStyle w:val="ARtabletextright"/>
            </w:pPr>
            <w:r w:rsidRPr="00657E8C">
              <w:t>0</w:t>
            </w:r>
          </w:p>
        </w:tc>
        <w:tc>
          <w:tcPr>
            <w:tcW w:w="1134" w:type="dxa"/>
            <w:gridSpan w:val="2"/>
            <w:shd w:val="clear" w:color="auto" w:fill="auto"/>
          </w:tcPr>
          <w:p w14:paraId="7247CACE" w14:textId="77777777" w:rsidR="00F17551" w:rsidRPr="00657E8C" w:rsidRDefault="00F17551" w:rsidP="00F17551">
            <w:pPr>
              <w:pStyle w:val="ARtabletextright"/>
            </w:pPr>
            <w:r w:rsidRPr="00657E8C">
              <w:t>1</w:t>
            </w:r>
          </w:p>
        </w:tc>
        <w:tc>
          <w:tcPr>
            <w:tcW w:w="850" w:type="dxa"/>
            <w:shd w:val="clear" w:color="auto" w:fill="auto"/>
          </w:tcPr>
          <w:p w14:paraId="473C26F7" w14:textId="77777777" w:rsidR="00F17551" w:rsidRPr="00657E8C" w:rsidRDefault="00F17551" w:rsidP="00F17551">
            <w:pPr>
              <w:pStyle w:val="ARtabletextright"/>
            </w:pPr>
            <w:r w:rsidRPr="00657E8C">
              <w:t>0</w:t>
            </w:r>
          </w:p>
        </w:tc>
        <w:tc>
          <w:tcPr>
            <w:tcW w:w="993" w:type="dxa"/>
            <w:gridSpan w:val="2"/>
            <w:shd w:val="clear" w:color="auto" w:fill="auto"/>
          </w:tcPr>
          <w:p w14:paraId="69AF9B62" w14:textId="77777777" w:rsidR="00F17551" w:rsidRPr="00657E8C" w:rsidRDefault="00F17551" w:rsidP="00F17551">
            <w:pPr>
              <w:pStyle w:val="ARtabletextright"/>
            </w:pPr>
            <w:r w:rsidRPr="00657E8C">
              <w:t>0</w:t>
            </w:r>
          </w:p>
        </w:tc>
        <w:tc>
          <w:tcPr>
            <w:tcW w:w="992" w:type="dxa"/>
            <w:shd w:val="clear" w:color="auto" w:fill="auto"/>
          </w:tcPr>
          <w:p w14:paraId="10E8EDA6" w14:textId="77777777" w:rsidR="00F17551" w:rsidRPr="00657E8C" w:rsidRDefault="00F17551" w:rsidP="00F17551">
            <w:pPr>
              <w:pStyle w:val="ARtabletextright"/>
            </w:pPr>
            <w:r w:rsidRPr="00657E8C">
              <w:t>0</w:t>
            </w:r>
          </w:p>
        </w:tc>
        <w:tc>
          <w:tcPr>
            <w:tcW w:w="992" w:type="dxa"/>
            <w:gridSpan w:val="2"/>
            <w:shd w:val="clear" w:color="auto" w:fill="auto"/>
          </w:tcPr>
          <w:p w14:paraId="52F1B41F" w14:textId="77777777" w:rsidR="00F17551" w:rsidRPr="00657E8C" w:rsidRDefault="00F17551" w:rsidP="00F17551">
            <w:pPr>
              <w:pStyle w:val="ARtabletextright"/>
            </w:pPr>
            <w:r w:rsidRPr="00657E8C">
              <w:t>0</w:t>
            </w:r>
          </w:p>
        </w:tc>
        <w:tc>
          <w:tcPr>
            <w:tcW w:w="992" w:type="dxa"/>
            <w:shd w:val="clear" w:color="auto" w:fill="auto"/>
          </w:tcPr>
          <w:p w14:paraId="1D97F9A8" w14:textId="77777777" w:rsidR="00F17551" w:rsidRPr="00657E8C" w:rsidRDefault="00F17551" w:rsidP="00F17551">
            <w:pPr>
              <w:pStyle w:val="ARtabletextright"/>
            </w:pPr>
            <w:r w:rsidRPr="00657E8C">
              <w:t>0</w:t>
            </w:r>
          </w:p>
        </w:tc>
      </w:tr>
      <w:tr w:rsidR="00F17551" w:rsidRPr="00657E8C" w14:paraId="02B2B07B" w14:textId="77777777" w:rsidTr="00F17551">
        <w:trPr>
          <w:cantSplit/>
          <w:trHeight w:hRule="exact" w:val="340"/>
        </w:trPr>
        <w:tc>
          <w:tcPr>
            <w:tcW w:w="1702" w:type="dxa"/>
            <w:shd w:val="clear" w:color="auto" w:fill="auto"/>
          </w:tcPr>
          <w:p w14:paraId="4FF08F60" w14:textId="77777777" w:rsidR="00F17551" w:rsidRPr="00657E8C" w:rsidRDefault="00F17551" w:rsidP="00F17551">
            <w:pPr>
              <w:pStyle w:val="ARtabletext"/>
            </w:pPr>
            <w:r w:rsidRPr="00657E8C">
              <w:t>EO-1</w:t>
            </w:r>
          </w:p>
        </w:tc>
        <w:tc>
          <w:tcPr>
            <w:tcW w:w="993" w:type="dxa"/>
            <w:gridSpan w:val="2"/>
            <w:shd w:val="clear" w:color="auto" w:fill="auto"/>
          </w:tcPr>
          <w:p w14:paraId="5AB94824" w14:textId="77777777" w:rsidR="00F17551" w:rsidRPr="00657E8C" w:rsidRDefault="00F17551" w:rsidP="00F17551">
            <w:pPr>
              <w:pStyle w:val="ARtabletextright"/>
            </w:pPr>
            <w:r w:rsidRPr="00657E8C">
              <w:t>3</w:t>
            </w:r>
          </w:p>
        </w:tc>
        <w:tc>
          <w:tcPr>
            <w:tcW w:w="992" w:type="dxa"/>
            <w:shd w:val="clear" w:color="auto" w:fill="auto"/>
          </w:tcPr>
          <w:p w14:paraId="111166FF" w14:textId="77777777" w:rsidR="00F17551" w:rsidRPr="00657E8C" w:rsidRDefault="00F17551" w:rsidP="00F17551">
            <w:pPr>
              <w:pStyle w:val="ARtabletextright"/>
            </w:pPr>
            <w:r w:rsidRPr="00657E8C">
              <w:t>(1)</w:t>
            </w:r>
          </w:p>
        </w:tc>
        <w:tc>
          <w:tcPr>
            <w:tcW w:w="1134" w:type="dxa"/>
            <w:gridSpan w:val="2"/>
            <w:shd w:val="clear" w:color="auto" w:fill="auto"/>
          </w:tcPr>
          <w:p w14:paraId="63A8F6E9" w14:textId="77777777" w:rsidR="00F17551" w:rsidRPr="00657E8C" w:rsidRDefault="00F17551" w:rsidP="00F17551">
            <w:pPr>
              <w:pStyle w:val="ARtabletextright"/>
            </w:pPr>
            <w:r w:rsidRPr="00657E8C">
              <w:t>1</w:t>
            </w:r>
          </w:p>
        </w:tc>
        <w:tc>
          <w:tcPr>
            <w:tcW w:w="850" w:type="dxa"/>
            <w:shd w:val="clear" w:color="auto" w:fill="auto"/>
          </w:tcPr>
          <w:p w14:paraId="64154446" w14:textId="77777777" w:rsidR="00F17551" w:rsidRPr="00657E8C" w:rsidRDefault="00F17551" w:rsidP="00F17551">
            <w:pPr>
              <w:pStyle w:val="ARtabletextright"/>
            </w:pPr>
            <w:r w:rsidRPr="00657E8C">
              <w:t>(1)</w:t>
            </w:r>
          </w:p>
        </w:tc>
        <w:tc>
          <w:tcPr>
            <w:tcW w:w="993" w:type="dxa"/>
            <w:gridSpan w:val="2"/>
            <w:shd w:val="clear" w:color="auto" w:fill="auto"/>
          </w:tcPr>
          <w:p w14:paraId="1EE92665" w14:textId="77777777" w:rsidR="00F17551" w:rsidRPr="00657E8C" w:rsidRDefault="00F17551" w:rsidP="00F17551">
            <w:pPr>
              <w:pStyle w:val="ARtabletextright"/>
            </w:pPr>
            <w:r w:rsidRPr="00657E8C">
              <w:t>2</w:t>
            </w:r>
          </w:p>
        </w:tc>
        <w:tc>
          <w:tcPr>
            <w:tcW w:w="992" w:type="dxa"/>
            <w:shd w:val="clear" w:color="auto" w:fill="auto"/>
          </w:tcPr>
          <w:p w14:paraId="7172B8EB" w14:textId="77777777" w:rsidR="00F17551" w:rsidRPr="00657E8C" w:rsidRDefault="00F17551" w:rsidP="00F17551">
            <w:pPr>
              <w:pStyle w:val="ARtabletextright"/>
            </w:pPr>
            <w:r w:rsidRPr="00657E8C">
              <w:t>0</w:t>
            </w:r>
          </w:p>
        </w:tc>
        <w:tc>
          <w:tcPr>
            <w:tcW w:w="992" w:type="dxa"/>
            <w:gridSpan w:val="2"/>
            <w:shd w:val="clear" w:color="auto" w:fill="auto"/>
          </w:tcPr>
          <w:p w14:paraId="592D1378" w14:textId="77777777" w:rsidR="00F17551" w:rsidRPr="00657E8C" w:rsidRDefault="00F17551" w:rsidP="00F17551">
            <w:pPr>
              <w:pStyle w:val="ARtabletextright"/>
            </w:pPr>
            <w:r w:rsidRPr="00657E8C">
              <w:t>0</w:t>
            </w:r>
          </w:p>
        </w:tc>
        <w:tc>
          <w:tcPr>
            <w:tcW w:w="992" w:type="dxa"/>
            <w:shd w:val="clear" w:color="auto" w:fill="auto"/>
          </w:tcPr>
          <w:p w14:paraId="3150C56D" w14:textId="77777777" w:rsidR="00F17551" w:rsidRPr="00657E8C" w:rsidRDefault="00F17551" w:rsidP="00F17551">
            <w:pPr>
              <w:pStyle w:val="ARtabletextright"/>
            </w:pPr>
            <w:r w:rsidRPr="00657E8C">
              <w:t>0</w:t>
            </w:r>
          </w:p>
        </w:tc>
      </w:tr>
      <w:tr w:rsidR="00F17551" w:rsidRPr="00657E8C" w14:paraId="535B5A2B" w14:textId="77777777" w:rsidTr="00F17551">
        <w:trPr>
          <w:cantSplit/>
          <w:trHeight w:hRule="exact" w:val="340"/>
        </w:trPr>
        <w:tc>
          <w:tcPr>
            <w:tcW w:w="1702" w:type="dxa"/>
            <w:shd w:val="clear" w:color="auto" w:fill="auto"/>
          </w:tcPr>
          <w:p w14:paraId="1C2915E9" w14:textId="77777777" w:rsidR="00F17551" w:rsidRPr="00657E8C" w:rsidRDefault="00F17551" w:rsidP="00F17551">
            <w:pPr>
              <w:pStyle w:val="ARtabletext"/>
            </w:pPr>
            <w:r w:rsidRPr="00657E8C">
              <w:t>EO-2</w:t>
            </w:r>
          </w:p>
        </w:tc>
        <w:tc>
          <w:tcPr>
            <w:tcW w:w="993" w:type="dxa"/>
            <w:gridSpan w:val="2"/>
            <w:shd w:val="clear" w:color="auto" w:fill="auto"/>
          </w:tcPr>
          <w:p w14:paraId="6F3A3A1A" w14:textId="77777777" w:rsidR="00F17551" w:rsidRPr="00657E8C" w:rsidRDefault="00F17551" w:rsidP="00F17551">
            <w:pPr>
              <w:pStyle w:val="ARtabletextright"/>
            </w:pPr>
            <w:r w:rsidRPr="00657E8C">
              <w:t>64</w:t>
            </w:r>
          </w:p>
        </w:tc>
        <w:tc>
          <w:tcPr>
            <w:tcW w:w="992" w:type="dxa"/>
            <w:shd w:val="clear" w:color="auto" w:fill="auto"/>
          </w:tcPr>
          <w:p w14:paraId="27D3D99A" w14:textId="77777777" w:rsidR="00F17551" w:rsidRPr="00657E8C" w:rsidRDefault="00F17551" w:rsidP="00F17551">
            <w:pPr>
              <w:pStyle w:val="ARtabletextright"/>
            </w:pPr>
            <w:r w:rsidRPr="00657E8C">
              <w:t>2</w:t>
            </w:r>
          </w:p>
        </w:tc>
        <w:tc>
          <w:tcPr>
            <w:tcW w:w="1134" w:type="dxa"/>
            <w:gridSpan w:val="2"/>
            <w:shd w:val="clear" w:color="auto" w:fill="auto"/>
          </w:tcPr>
          <w:p w14:paraId="054FC0FD" w14:textId="77777777" w:rsidR="00F17551" w:rsidRPr="00657E8C" w:rsidRDefault="00F17551" w:rsidP="00F17551">
            <w:pPr>
              <w:pStyle w:val="ARtabletextright"/>
            </w:pPr>
            <w:r w:rsidRPr="00657E8C">
              <w:t>36</w:t>
            </w:r>
          </w:p>
        </w:tc>
        <w:tc>
          <w:tcPr>
            <w:tcW w:w="850" w:type="dxa"/>
            <w:shd w:val="clear" w:color="auto" w:fill="auto"/>
          </w:tcPr>
          <w:p w14:paraId="5FAB6DCB" w14:textId="77777777" w:rsidR="00F17551" w:rsidRPr="00657E8C" w:rsidRDefault="00F17551" w:rsidP="00F17551">
            <w:pPr>
              <w:pStyle w:val="ARtabletextright"/>
            </w:pPr>
            <w:r w:rsidRPr="00657E8C">
              <w:t>1</w:t>
            </w:r>
          </w:p>
        </w:tc>
        <w:tc>
          <w:tcPr>
            <w:tcW w:w="993" w:type="dxa"/>
            <w:gridSpan w:val="2"/>
            <w:shd w:val="clear" w:color="auto" w:fill="auto"/>
          </w:tcPr>
          <w:p w14:paraId="4E9FF450" w14:textId="77777777" w:rsidR="00F17551" w:rsidRPr="00657E8C" w:rsidRDefault="00F17551" w:rsidP="00F17551">
            <w:pPr>
              <w:pStyle w:val="ARtabletextright"/>
            </w:pPr>
            <w:r w:rsidRPr="00657E8C">
              <w:t>28</w:t>
            </w:r>
          </w:p>
        </w:tc>
        <w:tc>
          <w:tcPr>
            <w:tcW w:w="992" w:type="dxa"/>
            <w:shd w:val="clear" w:color="auto" w:fill="auto"/>
          </w:tcPr>
          <w:p w14:paraId="696C8CA8" w14:textId="77777777" w:rsidR="00F17551" w:rsidRPr="00657E8C" w:rsidRDefault="00F17551" w:rsidP="00F17551">
            <w:pPr>
              <w:pStyle w:val="ARtabletextright"/>
            </w:pPr>
            <w:r w:rsidRPr="00657E8C">
              <w:t>1</w:t>
            </w:r>
          </w:p>
        </w:tc>
        <w:tc>
          <w:tcPr>
            <w:tcW w:w="992" w:type="dxa"/>
            <w:gridSpan w:val="2"/>
            <w:shd w:val="clear" w:color="auto" w:fill="auto"/>
          </w:tcPr>
          <w:p w14:paraId="045D02F2" w14:textId="77777777" w:rsidR="00F17551" w:rsidRPr="00657E8C" w:rsidRDefault="00F17551" w:rsidP="00F17551">
            <w:pPr>
              <w:pStyle w:val="ARtabletextright"/>
            </w:pPr>
            <w:r w:rsidRPr="00657E8C">
              <w:t>0</w:t>
            </w:r>
          </w:p>
        </w:tc>
        <w:tc>
          <w:tcPr>
            <w:tcW w:w="992" w:type="dxa"/>
            <w:shd w:val="clear" w:color="auto" w:fill="auto"/>
          </w:tcPr>
          <w:p w14:paraId="7F469F54" w14:textId="77777777" w:rsidR="00F17551" w:rsidRPr="00657E8C" w:rsidRDefault="00F17551" w:rsidP="00F17551">
            <w:pPr>
              <w:pStyle w:val="ARtabletextright"/>
            </w:pPr>
            <w:r w:rsidRPr="00657E8C">
              <w:t>0</w:t>
            </w:r>
          </w:p>
        </w:tc>
      </w:tr>
      <w:tr w:rsidR="00F17551" w:rsidRPr="00657E8C" w14:paraId="2638590F" w14:textId="77777777" w:rsidTr="00F17551">
        <w:trPr>
          <w:cantSplit/>
          <w:trHeight w:hRule="exact" w:val="340"/>
        </w:trPr>
        <w:tc>
          <w:tcPr>
            <w:tcW w:w="1702" w:type="dxa"/>
            <w:shd w:val="clear" w:color="auto" w:fill="auto"/>
          </w:tcPr>
          <w:p w14:paraId="729EF8D0" w14:textId="77777777" w:rsidR="00F17551" w:rsidRPr="00657E8C" w:rsidRDefault="00F17551" w:rsidP="00F17551">
            <w:pPr>
              <w:pStyle w:val="ARtabletext"/>
            </w:pPr>
            <w:r w:rsidRPr="00657E8C">
              <w:t>EO-3</w:t>
            </w:r>
          </w:p>
        </w:tc>
        <w:tc>
          <w:tcPr>
            <w:tcW w:w="993" w:type="dxa"/>
            <w:gridSpan w:val="2"/>
            <w:shd w:val="clear" w:color="auto" w:fill="auto"/>
          </w:tcPr>
          <w:p w14:paraId="57BC318E" w14:textId="77777777" w:rsidR="00F17551" w:rsidRPr="00657E8C" w:rsidRDefault="00F17551" w:rsidP="00F17551">
            <w:pPr>
              <w:pStyle w:val="ARtabletextright"/>
            </w:pPr>
            <w:r w:rsidRPr="00657E8C">
              <w:t>116</w:t>
            </w:r>
          </w:p>
        </w:tc>
        <w:tc>
          <w:tcPr>
            <w:tcW w:w="992" w:type="dxa"/>
            <w:shd w:val="clear" w:color="auto" w:fill="auto"/>
          </w:tcPr>
          <w:p w14:paraId="69C6074D" w14:textId="77777777" w:rsidR="00F17551" w:rsidRPr="00657E8C" w:rsidRDefault="00F17551" w:rsidP="00F17551">
            <w:pPr>
              <w:pStyle w:val="ARtabletextright"/>
            </w:pPr>
            <w:r w:rsidRPr="00657E8C">
              <w:t>20</w:t>
            </w:r>
          </w:p>
        </w:tc>
        <w:tc>
          <w:tcPr>
            <w:tcW w:w="1134" w:type="dxa"/>
            <w:gridSpan w:val="2"/>
            <w:shd w:val="clear" w:color="auto" w:fill="auto"/>
          </w:tcPr>
          <w:p w14:paraId="6D12F255" w14:textId="77777777" w:rsidR="00F17551" w:rsidRPr="00657E8C" w:rsidRDefault="00F17551" w:rsidP="00F17551">
            <w:pPr>
              <w:pStyle w:val="ARtabletextright"/>
            </w:pPr>
            <w:r w:rsidRPr="00657E8C">
              <w:t>77</w:t>
            </w:r>
          </w:p>
        </w:tc>
        <w:tc>
          <w:tcPr>
            <w:tcW w:w="850" w:type="dxa"/>
            <w:shd w:val="clear" w:color="auto" w:fill="auto"/>
          </w:tcPr>
          <w:p w14:paraId="0AE78D29" w14:textId="77777777" w:rsidR="00F17551" w:rsidRPr="00657E8C" w:rsidRDefault="00F17551" w:rsidP="00F17551">
            <w:pPr>
              <w:pStyle w:val="ARtabletextright"/>
            </w:pPr>
            <w:r w:rsidRPr="00657E8C">
              <w:t>12</w:t>
            </w:r>
          </w:p>
        </w:tc>
        <w:tc>
          <w:tcPr>
            <w:tcW w:w="993" w:type="dxa"/>
            <w:gridSpan w:val="2"/>
            <w:shd w:val="clear" w:color="auto" w:fill="auto"/>
          </w:tcPr>
          <w:p w14:paraId="701F0F1F" w14:textId="77777777" w:rsidR="00F17551" w:rsidRPr="00657E8C" w:rsidRDefault="00F17551" w:rsidP="00F17551">
            <w:pPr>
              <w:pStyle w:val="ARtabletextright"/>
            </w:pPr>
            <w:r w:rsidRPr="00657E8C">
              <w:t>39</w:t>
            </w:r>
          </w:p>
        </w:tc>
        <w:tc>
          <w:tcPr>
            <w:tcW w:w="992" w:type="dxa"/>
            <w:shd w:val="clear" w:color="auto" w:fill="auto"/>
          </w:tcPr>
          <w:p w14:paraId="7293FF10" w14:textId="77777777" w:rsidR="00F17551" w:rsidRPr="00657E8C" w:rsidRDefault="00F17551" w:rsidP="00F17551">
            <w:pPr>
              <w:pStyle w:val="ARtabletextright"/>
            </w:pPr>
            <w:r w:rsidRPr="00657E8C">
              <w:t>8</w:t>
            </w:r>
          </w:p>
        </w:tc>
        <w:tc>
          <w:tcPr>
            <w:tcW w:w="992" w:type="dxa"/>
            <w:gridSpan w:val="2"/>
            <w:shd w:val="clear" w:color="auto" w:fill="auto"/>
          </w:tcPr>
          <w:p w14:paraId="32ACEABF" w14:textId="77777777" w:rsidR="00F17551" w:rsidRPr="00657E8C" w:rsidRDefault="00F17551" w:rsidP="00F17551">
            <w:pPr>
              <w:pStyle w:val="ARtabletextright"/>
            </w:pPr>
            <w:r w:rsidRPr="00657E8C">
              <w:t>0</w:t>
            </w:r>
          </w:p>
        </w:tc>
        <w:tc>
          <w:tcPr>
            <w:tcW w:w="992" w:type="dxa"/>
            <w:shd w:val="clear" w:color="auto" w:fill="auto"/>
          </w:tcPr>
          <w:p w14:paraId="2EB66473" w14:textId="77777777" w:rsidR="00F17551" w:rsidRPr="00657E8C" w:rsidRDefault="00F17551" w:rsidP="00F17551">
            <w:pPr>
              <w:pStyle w:val="ARtabletextright"/>
            </w:pPr>
            <w:r w:rsidRPr="00657E8C">
              <w:t>0</w:t>
            </w:r>
          </w:p>
        </w:tc>
      </w:tr>
      <w:tr w:rsidR="00F17551" w:rsidRPr="00657E8C" w14:paraId="6683C048" w14:textId="77777777" w:rsidTr="00F17551">
        <w:trPr>
          <w:cantSplit/>
          <w:trHeight w:hRule="exact" w:val="340"/>
        </w:trPr>
        <w:tc>
          <w:tcPr>
            <w:tcW w:w="1702" w:type="dxa"/>
            <w:shd w:val="clear" w:color="auto" w:fill="auto"/>
          </w:tcPr>
          <w:p w14:paraId="5ABD60A6" w14:textId="77777777" w:rsidR="00F17551" w:rsidRPr="00657E8C" w:rsidRDefault="00F17551" w:rsidP="00F17551">
            <w:pPr>
              <w:pStyle w:val="ARtabletextbold"/>
            </w:pPr>
            <w:r w:rsidRPr="00657E8C">
              <w:t>Total</w:t>
            </w:r>
          </w:p>
        </w:tc>
        <w:tc>
          <w:tcPr>
            <w:tcW w:w="993" w:type="dxa"/>
            <w:gridSpan w:val="2"/>
            <w:shd w:val="clear" w:color="auto" w:fill="auto"/>
          </w:tcPr>
          <w:p w14:paraId="2E31B618" w14:textId="77777777" w:rsidR="00F17551" w:rsidRPr="00657E8C" w:rsidRDefault="00F17551" w:rsidP="00F17551">
            <w:pPr>
              <w:pStyle w:val="ARtabletextrightbold"/>
            </w:pPr>
            <w:r w:rsidRPr="00657E8C">
              <w:t>184</w:t>
            </w:r>
          </w:p>
        </w:tc>
        <w:tc>
          <w:tcPr>
            <w:tcW w:w="992" w:type="dxa"/>
            <w:shd w:val="clear" w:color="auto" w:fill="auto"/>
          </w:tcPr>
          <w:p w14:paraId="44237EE0" w14:textId="77777777" w:rsidR="00F17551" w:rsidRPr="00657E8C" w:rsidRDefault="00F17551" w:rsidP="00F17551">
            <w:pPr>
              <w:pStyle w:val="ARtabletextrightbold"/>
            </w:pPr>
            <w:r w:rsidRPr="00657E8C">
              <w:t>21</w:t>
            </w:r>
          </w:p>
        </w:tc>
        <w:tc>
          <w:tcPr>
            <w:tcW w:w="1134" w:type="dxa"/>
            <w:gridSpan w:val="2"/>
            <w:shd w:val="clear" w:color="auto" w:fill="auto"/>
          </w:tcPr>
          <w:p w14:paraId="20C72E25" w14:textId="77777777" w:rsidR="00F17551" w:rsidRPr="00657E8C" w:rsidRDefault="00F17551" w:rsidP="00F17551">
            <w:pPr>
              <w:pStyle w:val="ARtabletextrightbold"/>
            </w:pPr>
            <w:r w:rsidRPr="00657E8C">
              <w:t>115</w:t>
            </w:r>
          </w:p>
        </w:tc>
        <w:tc>
          <w:tcPr>
            <w:tcW w:w="850" w:type="dxa"/>
            <w:shd w:val="clear" w:color="auto" w:fill="auto"/>
          </w:tcPr>
          <w:p w14:paraId="144201F5" w14:textId="77777777" w:rsidR="00F17551" w:rsidRPr="00657E8C" w:rsidRDefault="00F17551" w:rsidP="00F17551">
            <w:pPr>
              <w:pStyle w:val="ARtabletextrightbold"/>
            </w:pPr>
            <w:r w:rsidRPr="00657E8C">
              <w:t>12</w:t>
            </w:r>
          </w:p>
        </w:tc>
        <w:tc>
          <w:tcPr>
            <w:tcW w:w="993" w:type="dxa"/>
            <w:gridSpan w:val="2"/>
            <w:shd w:val="clear" w:color="auto" w:fill="auto"/>
          </w:tcPr>
          <w:p w14:paraId="4351D68A" w14:textId="77777777" w:rsidR="00F17551" w:rsidRPr="00657E8C" w:rsidRDefault="00F17551" w:rsidP="00F17551">
            <w:pPr>
              <w:pStyle w:val="ARtabletextrightbold"/>
            </w:pPr>
            <w:r w:rsidRPr="00657E8C">
              <w:t>69</w:t>
            </w:r>
          </w:p>
        </w:tc>
        <w:tc>
          <w:tcPr>
            <w:tcW w:w="992" w:type="dxa"/>
            <w:shd w:val="clear" w:color="auto" w:fill="auto"/>
          </w:tcPr>
          <w:p w14:paraId="35A0515D" w14:textId="77777777" w:rsidR="00F17551" w:rsidRPr="00657E8C" w:rsidRDefault="00F17551" w:rsidP="00F17551">
            <w:pPr>
              <w:pStyle w:val="ARtabletextrightbold"/>
            </w:pPr>
            <w:r w:rsidRPr="00657E8C">
              <w:t>9</w:t>
            </w:r>
          </w:p>
        </w:tc>
        <w:tc>
          <w:tcPr>
            <w:tcW w:w="992" w:type="dxa"/>
            <w:gridSpan w:val="2"/>
            <w:shd w:val="clear" w:color="auto" w:fill="auto"/>
          </w:tcPr>
          <w:p w14:paraId="625E1F78" w14:textId="77777777" w:rsidR="00F17551" w:rsidRPr="00657E8C" w:rsidRDefault="00F17551" w:rsidP="00F17551">
            <w:pPr>
              <w:pStyle w:val="ARtabletextrightbold"/>
            </w:pPr>
            <w:r w:rsidRPr="00657E8C">
              <w:t>0</w:t>
            </w:r>
          </w:p>
        </w:tc>
        <w:tc>
          <w:tcPr>
            <w:tcW w:w="992" w:type="dxa"/>
            <w:shd w:val="clear" w:color="auto" w:fill="auto"/>
          </w:tcPr>
          <w:p w14:paraId="4FEA31C2" w14:textId="77777777" w:rsidR="00F17551" w:rsidRPr="00657E8C" w:rsidRDefault="00F17551" w:rsidP="00F17551">
            <w:pPr>
              <w:pStyle w:val="ARtabletextrightbold"/>
            </w:pPr>
            <w:r w:rsidRPr="00657E8C">
              <w:t>0</w:t>
            </w:r>
          </w:p>
        </w:tc>
      </w:tr>
    </w:tbl>
    <w:p w14:paraId="67747E11" w14:textId="15D7135C" w:rsidR="00537F2C" w:rsidRDefault="00537F2C" w:rsidP="000B7C6C">
      <w:pPr>
        <w:pStyle w:val="ARbodyaftertable"/>
        <w:spacing w:before="120"/>
      </w:pPr>
      <w:r>
        <w:t>The increase in the number of executives is due to the commencement and departure of executives throughout the reporting cycle and filling of vacant positions. This includes filling of roles in operational Child</w:t>
      </w:r>
      <w:r w:rsidR="006E277C">
        <w:t> </w:t>
      </w:r>
      <w:r>
        <w:t xml:space="preserve">Protection, Disability Accommodation, Royal Commission into </w:t>
      </w:r>
      <w:r w:rsidR="0070384F">
        <w:t xml:space="preserve">Victoria’s </w:t>
      </w:r>
      <w:r>
        <w:t>Mental Health</w:t>
      </w:r>
      <w:r w:rsidR="0070384F">
        <w:t xml:space="preserve"> System,</w:t>
      </w:r>
      <w:r>
        <w:t xml:space="preserve"> and Organisational Transformation, as well as six executive roles in the Victorian Health and Human Services Building Authority (VHHSBA).</w:t>
      </w:r>
    </w:p>
    <w:p w14:paraId="7B15524D" w14:textId="019C17E2" w:rsidR="00537F2C" w:rsidRDefault="00537F2C" w:rsidP="000B7C6C">
      <w:pPr>
        <w:pStyle w:val="ARbody"/>
      </w:pPr>
      <w:r>
        <w:t>VHHSBA manages a portfolio of over $23 billion of health and human services assets and a multibillion-dollar program of investment infrastructure, including planning and building of new hospitals, aged care and</w:t>
      </w:r>
      <w:r w:rsidR="006E277C">
        <w:t> </w:t>
      </w:r>
      <w:r>
        <w:t>mental health facilities, upgrading and renewing ambulance branches, replacing or upgrading medical equipment to world-class standards and investing in more public housing.</w:t>
      </w:r>
    </w:p>
    <w:p w14:paraId="7C034509" w14:textId="0B1A5E1A" w:rsidR="00F17551" w:rsidRPr="00657E8C" w:rsidRDefault="00F17551" w:rsidP="000B7C6C">
      <w:pPr>
        <w:pStyle w:val="ARbody"/>
      </w:pPr>
      <w:r w:rsidRPr="00657E8C">
        <w:t>The number of executives in the report of operations is based on the number of executive positions that are occupied at the end of the financial year. Note 9.7 in the financial statements lists the actual number of EOs and the total remuneration paid to EOs over the course of the reporting period. The financial statements note</w:t>
      </w:r>
      <w:r w:rsidR="006E277C">
        <w:t> </w:t>
      </w:r>
      <w:r w:rsidRPr="00657E8C">
        <w:t xml:space="preserve">does not include the Accountable Officer, nor does it distinguish between executive levels or disclose separations. Separations are executives who have left the </w:t>
      </w:r>
      <w:r w:rsidR="00F9296C">
        <w:t>d</w:t>
      </w:r>
      <w:r w:rsidRPr="00657E8C">
        <w:t>epartment during the relevant reporting period.</w:t>
      </w:r>
      <w:r w:rsidR="008066A4" w:rsidRPr="00657E8C">
        <w:t xml:space="preserve"> </w:t>
      </w:r>
      <w:r w:rsidRPr="00657E8C">
        <w:t>To assist readers, these two disclosures are reconciled below.</w:t>
      </w:r>
    </w:p>
    <w:p w14:paraId="247C6E38" w14:textId="77777777" w:rsidR="00F91E72" w:rsidRPr="00B34C15" w:rsidRDefault="00F91E72" w:rsidP="00B34C15">
      <w:pPr>
        <w:pStyle w:val="ARbody"/>
      </w:pPr>
      <w:bookmarkStart w:id="137" w:name="_Hlk19622283"/>
      <w:r w:rsidRPr="00B34C15">
        <w:br w:type="page"/>
      </w:r>
    </w:p>
    <w:p w14:paraId="549D2F3D" w14:textId="77777777" w:rsidR="00F17551" w:rsidRPr="00657E8C" w:rsidRDefault="00F17551" w:rsidP="00F17551">
      <w:pPr>
        <w:pStyle w:val="Heading4"/>
      </w:pPr>
      <w:r w:rsidRPr="00657E8C">
        <w:t>Table 2: Reconciliation of executive numbers for the department</w:t>
      </w:r>
    </w:p>
    <w:bookmarkEnd w:id="137"/>
    <w:tbl>
      <w:tblPr>
        <w:tblStyle w:val="TableGrid"/>
        <w:tblW w:w="0" w:type="auto"/>
        <w:tblLook w:val="06A0" w:firstRow="1" w:lastRow="0" w:firstColumn="1" w:lastColumn="0" w:noHBand="1" w:noVBand="1"/>
      </w:tblPr>
      <w:tblGrid>
        <w:gridCol w:w="6231"/>
        <w:gridCol w:w="1698"/>
        <w:gridCol w:w="1698"/>
      </w:tblGrid>
      <w:tr w:rsidR="00F17551" w:rsidRPr="00657E8C" w14:paraId="44934BB7" w14:textId="77777777" w:rsidTr="00F17551">
        <w:trPr>
          <w:cnfStyle w:val="100000000000" w:firstRow="1" w:lastRow="0" w:firstColumn="0" w:lastColumn="0" w:oddVBand="0" w:evenVBand="0" w:oddHBand="0" w:evenHBand="0" w:firstRowFirstColumn="0" w:firstRowLastColumn="0" w:lastRowFirstColumn="0" w:lastRowLastColumn="0"/>
          <w:tblHeader/>
        </w:trPr>
        <w:tc>
          <w:tcPr>
            <w:tcW w:w="6231" w:type="dxa"/>
            <w:tcBorders>
              <w:top w:val="nil"/>
            </w:tcBorders>
          </w:tcPr>
          <w:p w14:paraId="2D2A0948" w14:textId="77777777" w:rsidR="00F17551" w:rsidRPr="00657E8C" w:rsidRDefault="00F17551" w:rsidP="00F17551">
            <w:pPr>
              <w:pStyle w:val="ARtabletext"/>
            </w:pPr>
          </w:p>
        </w:tc>
        <w:tc>
          <w:tcPr>
            <w:tcW w:w="1698" w:type="dxa"/>
            <w:tcBorders>
              <w:top w:val="nil"/>
            </w:tcBorders>
          </w:tcPr>
          <w:p w14:paraId="40B2EBFE" w14:textId="77777777" w:rsidR="00F17551" w:rsidRPr="00657E8C" w:rsidRDefault="00F17551" w:rsidP="00F17551">
            <w:pPr>
              <w:pStyle w:val="ARtablecolheadright"/>
            </w:pPr>
            <w:r w:rsidRPr="00657E8C">
              <w:t>2019</w:t>
            </w:r>
          </w:p>
        </w:tc>
        <w:tc>
          <w:tcPr>
            <w:tcW w:w="1698" w:type="dxa"/>
            <w:tcBorders>
              <w:top w:val="nil"/>
            </w:tcBorders>
          </w:tcPr>
          <w:p w14:paraId="2B144B23" w14:textId="77777777" w:rsidR="00F17551" w:rsidRPr="00657E8C" w:rsidRDefault="00F17551" w:rsidP="00F17551">
            <w:pPr>
              <w:pStyle w:val="ARtablecolheadright"/>
            </w:pPr>
            <w:r w:rsidRPr="00657E8C">
              <w:t>2018</w:t>
            </w:r>
          </w:p>
        </w:tc>
      </w:tr>
      <w:tr w:rsidR="00F17551" w:rsidRPr="00657E8C" w14:paraId="5653FF7A" w14:textId="77777777" w:rsidTr="00F17551">
        <w:tc>
          <w:tcPr>
            <w:tcW w:w="6231" w:type="dxa"/>
            <w:tcBorders>
              <w:top w:val="single" w:sz="4" w:space="0" w:color="000000" w:themeColor="text1"/>
            </w:tcBorders>
          </w:tcPr>
          <w:p w14:paraId="61CC88B1" w14:textId="77777777" w:rsidR="00F17551" w:rsidRPr="00657E8C" w:rsidRDefault="00F17551" w:rsidP="00F17551">
            <w:pPr>
              <w:pStyle w:val="ARtabletext"/>
            </w:pPr>
            <w:r w:rsidRPr="00657E8C">
              <w:t>Executives</w:t>
            </w:r>
          </w:p>
        </w:tc>
        <w:tc>
          <w:tcPr>
            <w:tcW w:w="1698" w:type="dxa"/>
            <w:tcBorders>
              <w:top w:val="single" w:sz="4" w:space="0" w:color="000000" w:themeColor="text1"/>
            </w:tcBorders>
          </w:tcPr>
          <w:p w14:paraId="7EA4C6A3" w14:textId="77777777" w:rsidR="00F17551" w:rsidRPr="00657E8C" w:rsidRDefault="00F17551" w:rsidP="00F17551">
            <w:pPr>
              <w:pStyle w:val="ARtabletextright"/>
            </w:pPr>
            <w:r w:rsidRPr="00657E8C">
              <w:t>216</w:t>
            </w:r>
          </w:p>
        </w:tc>
        <w:tc>
          <w:tcPr>
            <w:tcW w:w="1698" w:type="dxa"/>
            <w:tcBorders>
              <w:top w:val="single" w:sz="4" w:space="0" w:color="000000" w:themeColor="text1"/>
            </w:tcBorders>
          </w:tcPr>
          <w:p w14:paraId="12656157" w14:textId="77777777" w:rsidR="00F17551" w:rsidRPr="00657E8C" w:rsidRDefault="00F17551" w:rsidP="00F17551">
            <w:pPr>
              <w:pStyle w:val="ARtabletextright"/>
            </w:pPr>
            <w:r w:rsidRPr="00657E8C">
              <w:t>188</w:t>
            </w:r>
          </w:p>
        </w:tc>
      </w:tr>
      <w:tr w:rsidR="00F17551" w:rsidRPr="00657E8C" w14:paraId="06E15F49" w14:textId="77777777" w:rsidTr="00F17551">
        <w:tc>
          <w:tcPr>
            <w:tcW w:w="6231" w:type="dxa"/>
          </w:tcPr>
          <w:p w14:paraId="6F7CBFFD" w14:textId="77777777" w:rsidR="00F17551" w:rsidRPr="00657E8C" w:rsidRDefault="00F17551" w:rsidP="00F17551">
            <w:pPr>
              <w:pStyle w:val="ARtabletext"/>
            </w:pPr>
            <w:r w:rsidRPr="00657E8C">
              <w:t>Accountable Officer (Secretary)</w:t>
            </w:r>
          </w:p>
        </w:tc>
        <w:tc>
          <w:tcPr>
            <w:tcW w:w="1698" w:type="dxa"/>
          </w:tcPr>
          <w:p w14:paraId="1FDE307E" w14:textId="77777777" w:rsidR="00F17551" w:rsidRPr="00657E8C" w:rsidRDefault="00F17551" w:rsidP="00F17551">
            <w:pPr>
              <w:pStyle w:val="ARtabletextright"/>
            </w:pPr>
            <w:r w:rsidRPr="00657E8C">
              <w:t>1</w:t>
            </w:r>
          </w:p>
        </w:tc>
        <w:tc>
          <w:tcPr>
            <w:tcW w:w="1698" w:type="dxa"/>
          </w:tcPr>
          <w:p w14:paraId="29F714B0" w14:textId="77777777" w:rsidR="00F17551" w:rsidRPr="00657E8C" w:rsidRDefault="00F17551" w:rsidP="00F17551">
            <w:pPr>
              <w:pStyle w:val="ARtabletextright"/>
            </w:pPr>
            <w:r w:rsidRPr="00657E8C">
              <w:t>1</w:t>
            </w:r>
          </w:p>
        </w:tc>
      </w:tr>
      <w:tr w:rsidR="00F17551" w:rsidRPr="00657E8C" w14:paraId="32B0A7FC" w14:textId="77777777" w:rsidTr="00F17551">
        <w:tc>
          <w:tcPr>
            <w:tcW w:w="6231" w:type="dxa"/>
          </w:tcPr>
          <w:p w14:paraId="0F11219B" w14:textId="77777777" w:rsidR="00F17551" w:rsidRPr="00657E8C" w:rsidRDefault="00F17551" w:rsidP="00F17551">
            <w:pPr>
              <w:pStyle w:val="ARtabletext"/>
            </w:pPr>
            <w:r w:rsidRPr="00657E8C">
              <w:t>Accountable Officer (Director of Housing)</w:t>
            </w:r>
          </w:p>
        </w:tc>
        <w:tc>
          <w:tcPr>
            <w:tcW w:w="1698" w:type="dxa"/>
          </w:tcPr>
          <w:p w14:paraId="1F42DF9F" w14:textId="77777777" w:rsidR="00F17551" w:rsidRPr="00657E8C" w:rsidRDefault="00F17551" w:rsidP="00F17551">
            <w:pPr>
              <w:pStyle w:val="ARtabletextright"/>
            </w:pPr>
            <w:r w:rsidRPr="00657E8C">
              <w:t>1</w:t>
            </w:r>
          </w:p>
        </w:tc>
        <w:tc>
          <w:tcPr>
            <w:tcW w:w="1698" w:type="dxa"/>
          </w:tcPr>
          <w:p w14:paraId="6389A5F6" w14:textId="77777777" w:rsidR="00F17551" w:rsidRPr="00657E8C" w:rsidRDefault="00F17551" w:rsidP="00F17551">
            <w:pPr>
              <w:pStyle w:val="ARtabletextright"/>
            </w:pPr>
            <w:r w:rsidRPr="00657E8C">
              <w:t>1</w:t>
            </w:r>
          </w:p>
        </w:tc>
      </w:tr>
      <w:tr w:rsidR="00F17551" w:rsidRPr="00657E8C" w14:paraId="1B786EDD" w14:textId="77777777" w:rsidTr="00F17551">
        <w:tc>
          <w:tcPr>
            <w:tcW w:w="6231" w:type="dxa"/>
          </w:tcPr>
          <w:p w14:paraId="3E292B50" w14:textId="77777777" w:rsidR="00F17551" w:rsidRPr="00657E8C" w:rsidRDefault="00F17551" w:rsidP="00F17551">
            <w:pPr>
              <w:pStyle w:val="ARtabletext"/>
            </w:pPr>
            <w:r w:rsidRPr="00657E8C">
              <w:t>Accountable Officer (Chief Executive Officer, Respect Victoria)</w:t>
            </w:r>
          </w:p>
        </w:tc>
        <w:tc>
          <w:tcPr>
            <w:tcW w:w="1698" w:type="dxa"/>
          </w:tcPr>
          <w:p w14:paraId="4C6F81D1" w14:textId="77777777" w:rsidR="00F17551" w:rsidRPr="00657E8C" w:rsidRDefault="00F17551" w:rsidP="00F17551">
            <w:pPr>
              <w:pStyle w:val="ARtabletextright"/>
            </w:pPr>
            <w:r w:rsidRPr="00657E8C">
              <w:t>1</w:t>
            </w:r>
          </w:p>
        </w:tc>
        <w:tc>
          <w:tcPr>
            <w:tcW w:w="1698" w:type="dxa"/>
          </w:tcPr>
          <w:p w14:paraId="6CD3FC06" w14:textId="77777777" w:rsidR="00F17551" w:rsidRPr="00657E8C" w:rsidRDefault="00F17551" w:rsidP="00F17551">
            <w:pPr>
              <w:pStyle w:val="ARtabletextright"/>
            </w:pPr>
            <w:r w:rsidRPr="00657E8C">
              <w:t>0</w:t>
            </w:r>
          </w:p>
        </w:tc>
      </w:tr>
      <w:tr w:rsidR="00F17551" w:rsidRPr="00657E8C" w14:paraId="796D541A" w14:textId="77777777" w:rsidTr="00F17551">
        <w:tc>
          <w:tcPr>
            <w:tcW w:w="6231" w:type="dxa"/>
          </w:tcPr>
          <w:p w14:paraId="7641D159" w14:textId="77777777" w:rsidR="00F17551" w:rsidRPr="00657E8C" w:rsidRDefault="00F17551" w:rsidP="00F17551">
            <w:pPr>
              <w:pStyle w:val="ARtabletext"/>
            </w:pPr>
            <w:r w:rsidRPr="00657E8C">
              <w:t>Less separations</w:t>
            </w:r>
          </w:p>
        </w:tc>
        <w:tc>
          <w:tcPr>
            <w:tcW w:w="1698" w:type="dxa"/>
          </w:tcPr>
          <w:p w14:paraId="560944F5" w14:textId="77777777" w:rsidR="00F17551" w:rsidRPr="00657E8C" w:rsidRDefault="00F17551" w:rsidP="00F17551">
            <w:pPr>
              <w:pStyle w:val="ARtabletextright"/>
            </w:pPr>
            <w:r w:rsidRPr="00657E8C">
              <w:t>(33)</w:t>
            </w:r>
          </w:p>
        </w:tc>
        <w:tc>
          <w:tcPr>
            <w:tcW w:w="1698" w:type="dxa"/>
          </w:tcPr>
          <w:p w14:paraId="3CA74E22" w14:textId="77777777" w:rsidR="00F17551" w:rsidRPr="00657E8C" w:rsidRDefault="00F17551" w:rsidP="00F17551">
            <w:pPr>
              <w:pStyle w:val="ARtabletextright"/>
            </w:pPr>
            <w:r w:rsidRPr="00657E8C">
              <w:t>(26)</w:t>
            </w:r>
          </w:p>
        </w:tc>
      </w:tr>
      <w:tr w:rsidR="00F17551" w:rsidRPr="00657E8C" w14:paraId="7D670321" w14:textId="77777777" w:rsidTr="00F17551">
        <w:tc>
          <w:tcPr>
            <w:tcW w:w="6231" w:type="dxa"/>
          </w:tcPr>
          <w:p w14:paraId="72405CE8" w14:textId="77777777" w:rsidR="00F17551" w:rsidRPr="00657E8C" w:rsidRDefault="00F17551" w:rsidP="00F17551">
            <w:pPr>
              <w:pStyle w:val="ARtabletext"/>
            </w:pPr>
            <w:r w:rsidRPr="00657E8C">
              <w:t>Leave without pay</w:t>
            </w:r>
          </w:p>
        </w:tc>
        <w:tc>
          <w:tcPr>
            <w:tcW w:w="1698" w:type="dxa"/>
          </w:tcPr>
          <w:p w14:paraId="2A392D0A" w14:textId="77777777" w:rsidR="00F17551" w:rsidRPr="00657E8C" w:rsidRDefault="00F17551" w:rsidP="00F17551">
            <w:pPr>
              <w:pStyle w:val="ARtabletextright"/>
            </w:pPr>
            <w:r w:rsidRPr="00657E8C">
              <w:t>(2)</w:t>
            </w:r>
          </w:p>
        </w:tc>
        <w:tc>
          <w:tcPr>
            <w:tcW w:w="1698" w:type="dxa"/>
          </w:tcPr>
          <w:p w14:paraId="6E819CBD" w14:textId="77777777" w:rsidR="00F17551" w:rsidRPr="00657E8C" w:rsidRDefault="00F17551" w:rsidP="00F17551">
            <w:pPr>
              <w:pStyle w:val="ARtabletextright"/>
            </w:pPr>
            <w:r w:rsidRPr="00657E8C">
              <w:t>(1)</w:t>
            </w:r>
          </w:p>
        </w:tc>
      </w:tr>
      <w:tr w:rsidR="00F17551" w:rsidRPr="00657E8C" w14:paraId="5C2E89EB" w14:textId="77777777" w:rsidTr="00F17551">
        <w:tc>
          <w:tcPr>
            <w:tcW w:w="6231" w:type="dxa"/>
          </w:tcPr>
          <w:p w14:paraId="73F00E95" w14:textId="77777777" w:rsidR="00F17551" w:rsidRPr="00657E8C" w:rsidRDefault="00F17551" w:rsidP="00F17551">
            <w:pPr>
              <w:pStyle w:val="ARtabletextbold"/>
            </w:pPr>
            <w:r w:rsidRPr="00657E8C">
              <w:t>Total executive numbers at 30 June 2018</w:t>
            </w:r>
          </w:p>
        </w:tc>
        <w:tc>
          <w:tcPr>
            <w:tcW w:w="1698" w:type="dxa"/>
          </w:tcPr>
          <w:p w14:paraId="5B6C653C" w14:textId="77777777" w:rsidR="00F17551" w:rsidRPr="00657E8C" w:rsidRDefault="00F17551" w:rsidP="00F17551">
            <w:pPr>
              <w:pStyle w:val="ARtabletextrightbold"/>
            </w:pPr>
            <w:r w:rsidRPr="00657E8C">
              <w:t>184</w:t>
            </w:r>
          </w:p>
        </w:tc>
        <w:tc>
          <w:tcPr>
            <w:tcW w:w="1698" w:type="dxa"/>
          </w:tcPr>
          <w:p w14:paraId="6874996B" w14:textId="77777777" w:rsidR="00F17551" w:rsidRPr="00657E8C" w:rsidRDefault="00F17551" w:rsidP="00F17551">
            <w:pPr>
              <w:pStyle w:val="ARtabletextrightbold"/>
            </w:pPr>
            <w:r w:rsidRPr="00657E8C">
              <w:t>163</w:t>
            </w:r>
          </w:p>
        </w:tc>
      </w:tr>
    </w:tbl>
    <w:p w14:paraId="006DD35E" w14:textId="77777777" w:rsidR="00F17551" w:rsidRPr="00657E8C" w:rsidRDefault="00F17551" w:rsidP="00F17551">
      <w:pPr>
        <w:pStyle w:val="Heading4"/>
      </w:pPr>
      <w:r w:rsidRPr="00657E8C">
        <w:t>Table 3: Total number of EOs for Family Safety Victoria, broken down by gender</w:t>
      </w:r>
    </w:p>
    <w:tbl>
      <w:tblPr>
        <w:tblW w:w="9640"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702"/>
        <w:gridCol w:w="284"/>
        <w:gridCol w:w="709"/>
        <w:gridCol w:w="992"/>
        <w:gridCol w:w="283"/>
        <w:gridCol w:w="851"/>
        <w:gridCol w:w="850"/>
        <w:gridCol w:w="284"/>
        <w:gridCol w:w="709"/>
        <w:gridCol w:w="992"/>
        <w:gridCol w:w="283"/>
        <w:gridCol w:w="709"/>
        <w:gridCol w:w="992"/>
      </w:tblGrid>
      <w:tr w:rsidR="00F17551" w:rsidRPr="00657E8C" w14:paraId="04B12FD5" w14:textId="77777777" w:rsidTr="00F17551">
        <w:trPr>
          <w:cantSplit/>
          <w:tblHeader/>
        </w:trPr>
        <w:tc>
          <w:tcPr>
            <w:tcW w:w="1986" w:type="dxa"/>
            <w:gridSpan w:val="2"/>
            <w:shd w:val="clear" w:color="auto" w:fill="auto"/>
            <w:vAlign w:val="bottom"/>
          </w:tcPr>
          <w:p w14:paraId="10526C35" w14:textId="77777777" w:rsidR="00F17551" w:rsidRPr="00657E8C" w:rsidRDefault="00F17551" w:rsidP="00F17551">
            <w:pPr>
              <w:pStyle w:val="ARfintablecolheadcentre"/>
            </w:pPr>
          </w:p>
        </w:tc>
        <w:tc>
          <w:tcPr>
            <w:tcW w:w="1984" w:type="dxa"/>
            <w:gridSpan w:val="3"/>
            <w:shd w:val="clear" w:color="auto" w:fill="auto"/>
            <w:vAlign w:val="bottom"/>
          </w:tcPr>
          <w:p w14:paraId="450DE36E" w14:textId="77777777" w:rsidR="00F17551" w:rsidRPr="00657E8C" w:rsidRDefault="00F17551" w:rsidP="00F17551">
            <w:pPr>
              <w:pStyle w:val="ARtablecolheadcentre"/>
            </w:pPr>
            <w:r w:rsidRPr="00657E8C">
              <w:t>All</w:t>
            </w:r>
          </w:p>
        </w:tc>
        <w:tc>
          <w:tcPr>
            <w:tcW w:w="1985" w:type="dxa"/>
            <w:gridSpan w:val="3"/>
            <w:shd w:val="clear" w:color="auto" w:fill="auto"/>
            <w:vAlign w:val="bottom"/>
          </w:tcPr>
          <w:p w14:paraId="40DABE74" w14:textId="77777777" w:rsidR="00F17551" w:rsidRPr="00657E8C" w:rsidRDefault="00F17551" w:rsidP="00F17551">
            <w:pPr>
              <w:pStyle w:val="ARtablecolheadcentre"/>
            </w:pPr>
            <w:r w:rsidRPr="00657E8C">
              <w:t>Women</w:t>
            </w:r>
          </w:p>
        </w:tc>
        <w:tc>
          <w:tcPr>
            <w:tcW w:w="1984" w:type="dxa"/>
            <w:gridSpan w:val="3"/>
            <w:shd w:val="clear" w:color="auto" w:fill="auto"/>
            <w:vAlign w:val="bottom"/>
          </w:tcPr>
          <w:p w14:paraId="22C92EE0" w14:textId="77777777" w:rsidR="00F17551" w:rsidRPr="00657E8C" w:rsidRDefault="00F17551" w:rsidP="00F17551">
            <w:pPr>
              <w:pStyle w:val="ARtablecolheadcentre"/>
            </w:pPr>
            <w:r w:rsidRPr="00657E8C">
              <w:t>Men</w:t>
            </w:r>
          </w:p>
        </w:tc>
        <w:tc>
          <w:tcPr>
            <w:tcW w:w="1701" w:type="dxa"/>
            <w:gridSpan w:val="2"/>
            <w:shd w:val="clear" w:color="auto" w:fill="auto"/>
            <w:vAlign w:val="bottom"/>
          </w:tcPr>
          <w:p w14:paraId="1B180CD6" w14:textId="77777777" w:rsidR="00F17551" w:rsidRPr="00657E8C" w:rsidRDefault="00F17551" w:rsidP="00F17551">
            <w:pPr>
              <w:pStyle w:val="ARtablecolheadcentre"/>
            </w:pPr>
            <w:r w:rsidRPr="00657E8C">
              <w:t>Self-described</w:t>
            </w:r>
          </w:p>
        </w:tc>
      </w:tr>
      <w:tr w:rsidR="00F17551" w:rsidRPr="00657E8C" w14:paraId="092EDF02" w14:textId="77777777" w:rsidTr="00F17551">
        <w:trPr>
          <w:cantSplit/>
          <w:tblHeader/>
        </w:trPr>
        <w:tc>
          <w:tcPr>
            <w:tcW w:w="1702" w:type="dxa"/>
            <w:shd w:val="clear" w:color="auto" w:fill="auto"/>
            <w:vAlign w:val="bottom"/>
          </w:tcPr>
          <w:p w14:paraId="1C84B9CD" w14:textId="77777777" w:rsidR="00F17551" w:rsidRPr="00657E8C" w:rsidRDefault="00F17551" w:rsidP="00F17551">
            <w:pPr>
              <w:pStyle w:val="ARtablecolhead"/>
            </w:pPr>
            <w:r w:rsidRPr="00657E8C">
              <w:t>Class</w:t>
            </w:r>
          </w:p>
        </w:tc>
        <w:tc>
          <w:tcPr>
            <w:tcW w:w="993" w:type="dxa"/>
            <w:gridSpan w:val="2"/>
            <w:shd w:val="clear" w:color="auto" w:fill="auto"/>
            <w:vAlign w:val="bottom"/>
          </w:tcPr>
          <w:p w14:paraId="2AD8A286" w14:textId="77777777" w:rsidR="00F17551" w:rsidRPr="00657E8C" w:rsidRDefault="00F17551" w:rsidP="00F17551">
            <w:pPr>
              <w:pStyle w:val="ARtablecolheadright"/>
            </w:pPr>
            <w:r w:rsidRPr="00657E8C">
              <w:t>No.</w:t>
            </w:r>
          </w:p>
        </w:tc>
        <w:tc>
          <w:tcPr>
            <w:tcW w:w="992" w:type="dxa"/>
            <w:shd w:val="clear" w:color="auto" w:fill="auto"/>
            <w:vAlign w:val="bottom"/>
          </w:tcPr>
          <w:p w14:paraId="53DFB93C" w14:textId="77777777" w:rsidR="00F17551" w:rsidRPr="00657E8C" w:rsidRDefault="00F17551" w:rsidP="00F17551">
            <w:pPr>
              <w:pStyle w:val="ARtablecolheadright"/>
            </w:pPr>
            <w:r w:rsidRPr="00657E8C">
              <w:t>Var.</w:t>
            </w:r>
          </w:p>
        </w:tc>
        <w:tc>
          <w:tcPr>
            <w:tcW w:w="1134" w:type="dxa"/>
            <w:gridSpan w:val="2"/>
            <w:shd w:val="clear" w:color="auto" w:fill="auto"/>
            <w:vAlign w:val="bottom"/>
          </w:tcPr>
          <w:p w14:paraId="48D2025F" w14:textId="77777777" w:rsidR="00F17551" w:rsidRPr="00657E8C" w:rsidRDefault="00F17551" w:rsidP="00F17551">
            <w:pPr>
              <w:pStyle w:val="ARtablecolheadright"/>
            </w:pPr>
            <w:r w:rsidRPr="00657E8C">
              <w:t>No.</w:t>
            </w:r>
          </w:p>
        </w:tc>
        <w:tc>
          <w:tcPr>
            <w:tcW w:w="850" w:type="dxa"/>
            <w:shd w:val="clear" w:color="auto" w:fill="auto"/>
            <w:vAlign w:val="bottom"/>
          </w:tcPr>
          <w:p w14:paraId="3BB1CC9B" w14:textId="77777777" w:rsidR="00F17551" w:rsidRPr="00657E8C" w:rsidRDefault="00F17551" w:rsidP="00F17551">
            <w:pPr>
              <w:pStyle w:val="ARtablecolheadright"/>
            </w:pPr>
            <w:r w:rsidRPr="00657E8C">
              <w:t>Var.</w:t>
            </w:r>
          </w:p>
        </w:tc>
        <w:tc>
          <w:tcPr>
            <w:tcW w:w="993" w:type="dxa"/>
            <w:gridSpan w:val="2"/>
            <w:shd w:val="clear" w:color="auto" w:fill="auto"/>
            <w:vAlign w:val="bottom"/>
          </w:tcPr>
          <w:p w14:paraId="2F0324D6" w14:textId="77777777" w:rsidR="00F17551" w:rsidRPr="00657E8C" w:rsidRDefault="00F17551" w:rsidP="00F17551">
            <w:pPr>
              <w:pStyle w:val="ARtablecolheadright"/>
            </w:pPr>
            <w:r w:rsidRPr="00657E8C">
              <w:t>No.</w:t>
            </w:r>
          </w:p>
        </w:tc>
        <w:tc>
          <w:tcPr>
            <w:tcW w:w="992" w:type="dxa"/>
            <w:shd w:val="clear" w:color="auto" w:fill="auto"/>
            <w:vAlign w:val="bottom"/>
          </w:tcPr>
          <w:p w14:paraId="26A8E702" w14:textId="77777777" w:rsidR="00F17551" w:rsidRPr="00657E8C" w:rsidRDefault="00F17551" w:rsidP="00F17551">
            <w:pPr>
              <w:pStyle w:val="ARtablecolheadright"/>
            </w:pPr>
            <w:r w:rsidRPr="00657E8C">
              <w:t>Var.</w:t>
            </w:r>
          </w:p>
        </w:tc>
        <w:tc>
          <w:tcPr>
            <w:tcW w:w="992" w:type="dxa"/>
            <w:gridSpan w:val="2"/>
            <w:shd w:val="clear" w:color="auto" w:fill="auto"/>
            <w:vAlign w:val="bottom"/>
          </w:tcPr>
          <w:p w14:paraId="38B2F338" w14:textId="77777777" w:rsidR="00F17551" w:rsidRPr="00657E8C" w:rsidRDefault="00F17551" w:rsidP="00F17551">
            <w:pPr>
              <w:pStyle w:val="ARtablecolheadright"/>
            </w:pPr>
            <w:r w:rsidRPr="00657E8C">
              <w:t>No.</w:t>
            </w:r>
          </w:p>
        </w:tc>
        <w:tc>
          <w:tcPr>
            <w:tcW w:w="992" w:type="dxa"/>
            <w:shd w:val="clear" w:color="auto" w:fill="auto"/>
          </w:tcPr>
          <w:p w14:paraId="44298DBA" w14:textId="77777777" w:rsidR="00F17551" w:rsidRPr="00657E8C" w:rsidRDefault="00F17551" w:rsidP="00F17551">
            <w:pPr>
              <w:pStyle w:val="ARtablecolheadright"/>
            </w:pPr>
            <w:r w:rsidRPr="00657E8C">
              <w:t>Var.</w:t>
            </w:r>
          </w:p>
        </w:tc>
      </w:tr>
      <w:tr w:rsidR="00F17551" w:rsidRPr="00657E8C" w14:paraId="05635651" w14:textId="77777777" w:rsidTr="00F17551">
        <w:trPr>
          <w:cantSplit/>
          <w:trHeight w:hRule="exact" w:val="340"/>
        </w:trPr>
        <w:tc>
          <w:tcPr>
            <w:tcW w:w="1702" w:type="dxa"/>
            <w:shd w:val="clear" w:color="auto" w:fill="auto"/>
          </w:tcPr>
          <w:p w14:paraId="662DF94F" w14:textId="77777777" w:rsidR="00F17551" w:rsidRPr="00657E8C" w:rsidRDefault="00F17551" w:rsidP="00F17551">
            <w:pPr>
              <w:pStyle w:val="ARtabletext"/>
            </w:pPr>
            <w:r w:rsidRPr="00657E8C">
              <w:t>EO-2</w:t>
            </w:r>
          </w:p>
        </w:tc>
        <w:tc>
          <w:tcPr>
            <w:tcW w:w="993" w:type="dxa"/>
            <w:gridSpan w:val="2"/>
            <w:shd w:val="clear" w:color="auto" w:fill="auto"/>
          </w:tcPr>
          <w:p w14:paraId="0CC244A3" w14:textId="77777777" w:rsidR="00F17551" w:rsidRPr="00657E8C" w:rsidRDefault="00F17551" w:rsidP="00F17551">
            <w:pPr>
              <w:pStyle w:val="ARtabletextright"/>
            </w:pPr>
            <w:r w:rsidRPr="00657E8C">
              <w:t>6</w:t>
            </w:r>
          </w:p>
        </w:tc>
        <w:tc>
          <w:tcPr>
            <w:tcW w:w="992" w:type="dxa"/>
            <w:shd w:val="clear" w:color="auto" w:fill="auto"/>
          </w:tcPr>
          <w:p w14:paraId="13CFDB23" w14:textId="77777777" w:rsidR="00F17551" w:rsidRPr="00657E8C" w:rsidRDefault="00F17551" w:rsidP="00F17551">
            <w:pPr>
              <w:pStyle w:val="ARtabletextright"/>
            </w:pPr>
            <w:r w:rsidRPr="00657E8C">
              <w:t>0</w:t>
            </w:r>
          </w:p>
        </w:tc>
        <w:tc>
          <w:tcPr>
            <w:tcW w:w="1134" w:type="dxa"/>
            <w:gridSpan w:val="2"/>
            <w:shd w:val="clear" w:color="auto" w:fill="auto"/>
          </w:tcPr>
          <w:p w14:paraId="281690DA" w14:textId="77777777" w:rsidR="00F17551" w:rsidRPr="00657E8C" w:rsidRDefault="00F17551" w:rsidP="00F17551">
            <w:pPr>
              <w:pStyle w:val="ARtabletextright"/>
            </w:pPr>
            <w:r w:rsidRPr="00657E8C">
              <w:t>5</w:t>
            </w:r>
          </w:p>
        </w:tc>
        <w:tc>
          <w:tcPr>
            <w:tcW w:w="850" w:type="dxa"/>
            <w:shd w:val="clear" w:color="auto" w:fill="auto"/>
          </w:tcPr>
          <w:p w14:paraId="04BFCB73" w14:textId="77777777" w:rsidR="00F17551" w:rsidRPr="00657E8C" w:rsidRDefault="00F17551" w:rsidP="00F17551">
            <w:pPr>
              <w:pStyle w:val="ARtabletextright"/>
            </w:pPr>
            <w:r w:rsidRPr="00657E8C">
              <w:t>0</w:t>
            </w:r>
          </w:p>
        </w:tc>
        <w:tc>
          <w:tcPr>
            <w:tcW w:w="993" w:type="dxa"/>
            <w:gridSpan w:val="2"/>
            <w:shd w:val="clear" w:color="auto" w:fill="auto"/>
          </w:tcPr>
          <w:p w14:paraId="4CEC9C7F" w14:textId="77777777" w:rsidR="00F17551" w:rsidRPr="00657E8C" w:rsidRDefault="00F17551" w:rsidP="00F17551">
            <w:pPr>
              <w:pStyle w:val="ARtabletextright"/>
            </w:pPr>
            <w:r w:rsidRPr="00657E8C">
              <w:t>1</w:t>
            </w:r>
          </w:p>
        </w:tc>
        <w:tc>
          <w:tcPr>
            <w:tcW w:w="992" w:type="dxa"/>
            <w:shd w:val="clear" w:color="auto" w:fill="auto"/>
          </w:tcPr>
          <w:p w14:paraId="2C3C83F0" w14:textId="77777777" w:rsidR="00F17551" w:rsidRPr="00657E8C" w:rsidRDefault="00F17551" w:rsidP="00F17551">
            <w:pPr>
              <w:pStyle w:val="ARtabletextright"/>
            </w:pPr>
            <w:r w:rsidRPr="00657E8C">
              <w:t>0</w:t>
            </w:r>
          </w:p>
        </w:tc>
        <w:tc>
          <w:tcPr>
            <w:tcW w:w="992" w:type="dxa"/>
            <w:gridSpan w:val="2"/>
            <w:shd w:val="clear" w:color="auto" w:fill="auto"/>
          </w:tcPr>
          <w:p w14:paraId="289E52D3" w14:textId="77777777" w:rsidR="00F17551" w:rsidRPr="00657E8C" w:rsidRDefault="00F17551" w:rsidP="00F17551">
            <w:pPr>
              <w:pStyle w:val="ARtabletextright"/>
            </w:pPr>
            <w:r w:rsidRPr="00657E8C">
              <w:t>0</w:t>
            </w:r>
          </w:p>
        </w:tc>
        <w:tc>
          <w:tcPr>
            <w:tcW w:w="992" w:type="dxa"/>
            <w:shd w:val="clear" w:color="auto" w:fill="auto"/>
          </w:tcPr>
          <w:p w14:paraId="5CDC2AD0" w14:textId="77777777" w:rsidR="00F17551" w:rsidRPr="00657E8C" w:rsidRDefault="00F17551" w:rsidP="00F17551">
            <w:pPr>
              <w:pStyle w:val="ARtabletextright"/>
            </w:pPr>
            <w:r w:rsidRPr="00657E8C">
              <w:t>0</w:t>
            </w:r>
          </w:p>
        </w:tc>
      </w:tr>
      <w:tr w:rsidR="00F17551" w:rsidRPr="00657E8C" w14:paraId="4E3A490C" w14:textId="77777777" w:rsidTr="00F17551">
        <w:trPr>
          <w:cantSplit/>
          <w:trHeight w:hRule="exact" w:val="340"/>
        </w:trPr>
        <w:tc>
          <w:tcPr>
            <w:tcW w:w="1702" w:type="dxa"/>
            <w:shd w:val="clear" w:color="auto" w:fill="auto"/>
          </w:tcPr>
          <w:p w14:paraId="4EF3125A" w14:textId="77777777" w:rsidR="00F17551" w:rsidRPr="00657E8C" w:rsidRDefault="00F17551" w:rsidP="00F17551">
            <w:pPr>
              <w:pStyle w:val="ARtabletext"/>
            </w:pPr>
            <w:r w:rsidRPr="00657E8C">
              <w:t>EO-3</w:t>
            </w:r>
          </w:p>
        </w:tc>
        <w:tc>
          <w:tcPr>
            <w:tcW w:w="993" w:type="dxa"/>
            <w:gridSpan w:val="2"/>
            <w:shd w:val="clear" w:color="auto" w:fill="auto"/>
          </w:tcPr>
          <w:p w14:paraId="5E13F7FC" w14:textId="77777777" w:rsidR="00F17551" w:rsidRPr="00657E8C" w:rsidRDefault="00F17551" w:rsidP="00F17551">
            <w:pPr>
              <w:pStyle w:val="ARtabletextright"/>
            </w:pPr>
            <w:r w:rsidRPr="00657E8C">
              <w:t>13</w:t>
            </w:r>
          </w:p>
        </w:tc>
        <w:tc>
          <w:tcPr>
            <w:tcW w:w="992" w:type="dxa"/>
            <w:shd w:val="clear" w:color="auto" w:fill="auto"/>
          </w:tcPr>
          <w:p w14:paraId="3F1D70F6" w14:textId="77777777" w:rsidR="00F17551" w:rsidRPr="00657E8C" w:rsidRDefault="00F17551" w:rsidP="00F17551">
            <w:pPr>
              <w:pStyle w:val="ARtabletextright"/>
            </w:pPr>
            <w:r w:rsidRPr="00657E8C">
              <w:t>0</w:t>
            </w:r>
          </w:p>
        </w:tc>
        <w:tc>
          <w:tcPr>
            <w:tcW w:w="1134" w:type="dxa"/>
            <w:gridSpan w:val="2"/>
            <w:shd w:val="clear" w:color="auto" w:fill="auto"/>
          </w:tcPr>
          <w:p w14:paraId="67837537" w14:textId="77777777" w:rsidR="00F17551" w:rsidRPr="00657E8C" w:rsidRDefault="00F17551" w:rsidP="00F17551">
            <w:pPr>
              <w:pStyle w:val="ARtabletextright"/>
            </w:pPr>
            <w:r w:rsidRPr="00657E8C">
              <w:t>13</w:t>
            </w:r>
          </w:p>
        </w:tc>
        <w:tc>
          <w:tcPr>
            <w:tcW w:w="850" w:type="dxa"/>
            <w:shd w:val="clear" w:color="auto" w:fill="auto"/>
          </w:tcPr>
          <w:p w14:paraId="3934B5BE" w14:textId="77777777" w:rsidR="00F17551" w:rsidRPr="00657E8C" w:rsidRDefault="00F17551" w:rsidP="00F17551">
            <w:pPr>
              <w:pStyle w:val="ARtabletextright"/>
            </w:pPr>
            <w:r w:rsidRPr="00657E8C">
              <w:t>0</w:t>
            </w:r>
          </w:p>
        </w:tc>
        <w:tc>
          <w:tcPr>
            <w:tcW w:w="993" w:type="dxa"/>
            <w:gridSpan w:val="2"/>
            <w:shd w:val="clear" w:color="auto" w:fill="auto"/>
          </w:tcPr>
          <w:p w14:paraId="362D100B" w14:textId="77777777" w:rsidR="00F17551" w:rsidRPr="00657E8C" w:rsidRDefault="00F17551" w:rsidP="00F17551">
            <w:pPr>
              <w:pStyle w:val="ARtabletextright"/>
            </w:pPr>
            <w:r w:rsidRPr="00657E8C">
              <w:t>0</w:t>
            </w:r>
          </w:p>
        </w:tc>
        <w:tc>
          <w:tcPr>
            <w:tcW w:w="992" w:type="dxa"/>
            <w:shd w:val="clear" w:color="auto" w:fill="auto"/>
          </w:tcPr>
          <w:p w14:paraId="79CD3D8D" w14:textId="77777777" w:rsidR="00F17551" w:rsidRPr="00657E8C" w:rsidRDefault="00F17551" w:rsidP="00F17551">
            <w:pPr>
              <w:pStyle w:val="ARtabletextright"/>
            </w:pPr>
            <w:r w:rsidRPr="00657E8C">
              <w:t>0</w:t>
            </w:r>
          </w:p>
        </w:tc>
        <w:tc>
          <w:tcPr>
            <w:tcW w:w="992" w:type="dxa"/>
            <w:gridSpan w:val="2"/>
            <w:shd w:val="clear" w:color="auto" w:fill="auto"/>
          </w:tcPr>
          <w:p w14:paraId="51BF35F8" w14:textId="77777777" w:rsidR="00F17551" w:rsidRPr="00657E8C" w:rsidRDefault="00F17551" w:rsidP="00F17551">
            <w:pPr>
              <w:pStyle w:val="ARtabletextright"/>
            </w:pPr>
            <w:r w:rsidRPr="00657E8C">
              <w:t>0</w:t>
            </w:r>
          </w:p>
        </w:tc>
        <w:tc>
          <w:tcPr>
            <w:tcW w:w="992" w:type="dxa"/>
            <w:shd w:val="clear" w:color="auto" w:fill="auto"/>
          </w:tcPr>
          <w:p w14:paraId="2F864CBA" w14:textId="77777777" w:rsidR="00F17551" w:rsidRPr="00657E8C" w:rsidRDefault="00F17551" w:rsidP="00F17551">
            <w:pPr>
              <w:pStyle w:val="ARtabletextright"/>
            </w:pPr>
            <w:r w:rsidRPr="00657E8C">
              <w:t>0</w:t>
            </w:r>
          </w:p>
        </w:tc>
      </w:tr>
      <w:tr w:rsidR="00F17551" w:rsidRPr="00657E8C" w14:paraId="412909C8" w14:textId="77777777" w:rsidTr="00F17551">
        <w:trPr>
          <w:cantSplit/>
          <w:trHeight w:hRule="exact" w:val="340"/>
        </w:trPr>
        <w:tc>
          <w:tcPr>
            <w:tcW w:w="1702" w:type="dxa"/>
            <w:shd w:val="clear" w:color="auto" w:fill="auto"/>
          </w:tcPr>
          <w:p w14:paraId="2D112428" w14:textId="77777777" w:rsidR="00F17551" w:rsidRPr="00657E8C" w:rsidRDefault="00F17551" w:rsidP="00F17551">
            <w:pPr>
              <w:pStyle w:val="ARtabletextbold"/>
            </w:pPr>
            <w:r w:rsidRPr="00657E8C">
              <w:t>Total</w:t>
            </w:r>
          </w:p>
        </w:tc>
        <w:tc>
          <w:tcPr>
            <w:tcW w:w="993" w:type="dxa"/>
            <w:gridSpan w:val="2"/>
            <w:shd w:val="clear" w:color="auto" w:fill="auto"/>
          </w:tcPr>
          <w:p w14:paraId="05A4E15C" w14:textId="77777777" w:rsidR="00F17551" w:rsidRPr="00657E8C" w:rsidRDefault="00F17551" w:rsidP="00F17551">
            <w:pPr>
              <w:pStyle w:val="ARtabletextrightbold"/>
            </w:pPr>
            <w:r w:rsidRPr="00657E8C">
              <w:t>19</w:t>
            </w:r>
          </w:p>
        </w:tc>
        <w:tc>
          <w:tcPr>
            <w:tcW w:w="992" w:type="dxa"/>
            <w:shd w:val="clear" w:color="auto" w:fill="auto"/>
          </w:tcPr>
          <w:p w14:paraId="21663D32" w14:textId="77777777" w:rsidR="00F17551" w:rsidRPr="00657E8C" w:rsidRDefault="00F17551" w:rsidP="00F17551">
            <w:pPr>
              <w:pStyle w:val="ARtabletextrightbold"/>
            </w:pPr>
            <w:r w:rsidRPr="00657E8C">
              <w:t>0</w:t>
            </w:r>
          </w:p>
        </w:tc>
        <w:tc>
          <w:tcPr>
            <w:tcW w:w="1134" w:type="dxa"/>
            <w:gridSpan w:val="2"/>
            <w:shd w:val="clear" w:color="auto" w:fill="auto"/>
          </w:tcPr>
          <w:p w14:paraId="6A467889" w14:textId="77777777" w:rsidR="00F17551" w:rsidRPr="00657E8C" w:rsidRDefault="00F17551" w:rsidP="00F17551">
            <w:pPr>
              <w:pStyle w:val="ARtabletextrightbold"/>
            </w:pPr>
            <w:r w:rsidRPr="00657E8C">
              <w:t>18</w:t>
            </w:r>
          </w:p>
        </w:tc>
        <w:tc>
          <w:tcPr>
            <w:tcW w:w="850" w:type="dxa"/>
            <w:shd w:val="clear" w:color="auto" w:fill="auto"/>
          </w:tcPr>
          <w:p w14:paraId="2C8B03A7" w14:textId="77777777" w:rsidR="00F17551" w:rsidRPr="00657E8C" w:rsidRDefault="00F17551" w:rsidP="00F17551">
            <w:pPr>
              <w:pStyle w:val="ARtabletextrightbold"/>
            </w:pPr>
          </w:p>
        </w:tc>
        <w:tc>
          <w:tcPr>
            <w:tcW w:w="993" w:type="dxa"/>
            <w:gridSpan w:val="2"/>
            <w:shd w:val="clear" w:color="auto" w:fill="auto"/>
          </w:tcPr>
          <w:p w14:paraId="6C17D603" w14:textId="77777777" w:rsidR="00F17551" w:rsidRPr="00657E8C" w:rsidRDefault="00F17551" w:rsidP="00F17551">
            <w:pPr>
              <w:pStyle w:val="ARtabletextrightbold"/>
            </w:pPr>
            <w:r w:rsidRPr="00657E8C">
              <w:t>1</w:t>
            </w:r>
          </w:p>
        </w:tc>
        <w:tc>
          <w:tcPr>
            <w:tcW w:w="992" w:type="dxa"/>
            <w:shd w:val="clear" w:color="auto" w:fill="auto"/>
          </w:tcPr>
          <w:p w14:paraId="697A21B4" w14:textId="77777777" w:rsidR="00F17551" w:rsidRPr="00657E8C" w:rsidRDefault="00F17551" w:rsidP="00F17551">
            <w:pPr>
              <w:pStyle w:val="ARtabletextrightbold"/>
            </w:pPr>
            <w:r w:rsidRPr="00657E8C">
              <w:t>0</w:t>
            </w:r>
          </w:p>
        </w:tc>
        <w:tc>
          <w:tcPr>
            <w:tcW w:w="992" w:type="dxa"/>
            <w:gridSpan w:val="2"/>
            <w:shd w:val="clear" w:color="auto" w:fill="auto"/>
          </w:tcPr>
          <w:p w14:paraId="0D6BF6E5" w14:textId="77777777" w:rsidR="00F17551" w:rsidRPr="00657E8C" w:rsidRDefault="00F17551" w:rsidP="00F17551">
            <w:pPr>
              <w:pStyle w:val="ARtabletextrightbold"/>
            </w:pPr>
            <w:r w:rsidRPr="00657E8C">
              <w:t>0</w:t>
            </w:r>
          </w:p>
        </w:tc>
        <w:tc>
          <w:tcPr>
            <w:tcW w:w="992" w:type="dxa"/>
            <w:shd w:val="clear" w:color="auto" w:fill="auto"/>
          </w:tcPr>
          <w:p w14:paraId="01EB7661" w14:textId="77777777" w:rsidR="00F17551" w:rsidRPr="00657E8C" w:rsidRDefault="00F17551" w:rsidP="00F17551">
            <w:pPr>
              <w:pStyle w:val="ARtabletextrightbold"/>
            </w:pPr>
            <w:r w:rsidRPr="00657E8C">
              <w:t>0</w:t>
            </w:r>
          </w:p>
        </w:tc>
      </w:tr>
    </w:tbl>
    <w:p w14:paraId="5E690D61" w14:textId="3851505D" w:rsidR="00F17551" w:rsidRPr="00657E8C" w:rsidRDefault="00F17551" w:rsidP="000B7C6C">
      <w:pPr>
        <w:pStyle w:val="ARbodyaftertable"/>
        <w:spacing w:before="120"/>
      </w:pPr>
      <w:r w:rsidRPr="00657E8C">
        <w:t>The number of executives in the report of operations is based on the number of executive positions that are occupied at the end of the financial year.</w:t>
      </w:r>
      <w:r w:rsidR="008066A4" w:rsidRPr="00657E8C">
        <w:t xml:space="preserve"> </w:t>
      </w:r>
      <w:r w:rsidRPr="00657E8C">
        <w:t>Note 9.7 in the financial statements lists the actual number of EOs and the total remuneration paid to EOs over the course of the reporting period. The financial statements note</w:t>
      </w:r>
      <w:r w:rsidR="006E277C">
        <w:t> </w:t>
      </w:r>
      <w:r w:rsidRPr="00657E8C">
        <w:t>does not include the Accountable Officer, nor does it distinguish between executive levels or disclose separations.</w:t>
      </w:r>
      <w:r w:rsidR="008066A4" w:rsidRPr="00657E8C">
        <w:t xml:space="preserve"> </w:t>
      </w:r>
      <w:r w:rsidRPr="00657E8C">
        <w:t xml:space="preserve">Separations are executives who have left the </w:t>
      </w:r>
      <w:r w:rsidR="006354F5">
        <w:t>de</w:t>
      </w:r>
      <w:r w:rsidR="006354F5" w:rsidRPr="00657E8C">
        <w:t>partment</w:t>
      </w:r>
      <w:r w:rsidR="00F9296C" w:rsidRPr="00657E8C">
        <w:t xml:space="preserve"> </w:t>
      </w:r>
      <w:r w:rsidRPr="00657E8C">
        <w:t>during the relevant reporting period.</w:t>
      </w:r>
      <w:r w:rsidR="008066A4" w:rsidRPr="00657E8C">
        <w:t xml:space="preserve"> </w:t>
      </w:r>
      <w:r w:rsidRPr="00657E8C">
        <w:t>To assist readers, these two disclosures are reconciled below.</w:t>
      </w:r>
    </w:p>
    <w:p w14:paraId="7F333D44" w14:textId="77777777" w:rsidR="00F17551" w:rsidRPr="00657E8C" w:rsidRDefault="00F17551" w:rsidP="00F17551">
      <w:pPr>
        <w:pStyle w:val="Heading4"/>
      </w:pPr>
      <w:bookmarkStart w:id="138" w:name="_Hlk19622298"/>
      <w:r w:rsidRPr="00657E8C">
        <w:t>Table 4: Reconciliation of executive numbers for Family Safety Victoria</w:t>
      </w:r>
    </w:p>
    <w:bookmarkEnd w:id="138"/>
    <w:tbl>
      <w:tblPr>
        <w:tblStyle w:val="TableGrid"/>
        <w:tblW w:w="0" w:type="auto"/>
        <w:tblLook w:val="06A0" w:firstRow="1" w:lastRow="0" w:firstColumn="1" w:lastColumn="0" w:noHBand="1" w:noVBand="1"/>
      </w:tblPr>
      <w:tblGrid>
        <w:gridCol w:w="6231"/>
        <w:gridCol w:w="1698"/>
        <w:gridCol w:w="1698"/>
      </w:tblGrid>
      <w:tr w:rsidR="00F17551" w:rsidRPr="00657E8C" w14:paraId="5C784140" w14:textId="77777777" w:rsidTr="00F17551">
        <w:trPr>
          <w:cnfStyle w:val="100000000000" w:firstRow="1" w:lastRow="0" w:firstColumn="0" w:lastColumn="0" w:oddVBand="0" w:evenVBand="0" w:oddHBand="0" w:evenHBand="0" w:firstRowFirstColumn="0" w:firstRowLastColumn="0" w:lastRowFirstColumn="0" w:lastRowLastColumn="0"/>
          <w:tblHeader/>
        </w:trPr>
        <w:tc>
          <w:tcPr>
            <w:tcW w:w="6231" w:type="dxa"/>
            <w:tcBorders>
              <w:top w:val="nil"/>
            </w:tcBorders>
          </w:tcPr>
          <w:p w14:paraId="6BC263A5" w14:textId="77777777" w:rsidR="00F17551" w:rsidRPr="00657E8C" w:rsidRDefault="00F17551" w:rsidP="00F17551">
            <w:pPr>
              <w:pStyle w:val="ARtabletext"/>
            </w:pPr>
          </w:p>
        </w:tc>
        <w:tc>
          <w:tcPr>
            <w:tcW w:w="1698" w:type="dxa"/>
            <w:tcBorders>
              <w:top w:val="nil"/>
            </w:tcBorders>
          </w:tcPr>
          <w:p w14:paraId="1B759A38" w14:textId="77777777" w:rsidR="00F17551" w:rsidRPr="00657E8C" w:rsidRDefault="00F17551" w:rsidP="00F17551">
            <w:pPr>
              <w:pStyle w:val="ARtablecolheadright"/>
            </w:pPr>
            <w:r w:rsidRPr="00657E8C">
              <w:t>2019</w:t>
            </w:r>
          </w:p>
        </w:tc>
        <w:tc>
          <w:tcPr>
            <w:tcW w:w="1698" w:type="dxa"/>
            <w:tcBorders>
              <w:top w:val="nil"/>
            </w:tcBorders>
          </w:tcPr>
          <w:p w14:paraId="09AA11C4" w14:textId="77777777" w:rsidR="00F17551" w:rsidRPr="00657E8C" w:rsidRDefault="00F17551" w:rsidP="00F17551">
            <w:pPr>
              <w:pStyle w:val="ARtablecolheadright"/>
            </w:pPr>
            <w:r w:rsidRPr="00657E8C">
              <w:t>2018</w:t>
            </w:r>
          </w:p>
        </w:tc>
      </w:tr>
      <w:tr w:rsidR="00F17551" w:rsidRPr="00657E8C" w14:paraId="2810F881" w14:textId="77777777" w:rsidTr="00F17551">
        <w:tc>
          <w:tcPr>
            <w:tcW w:w="6231" w:type="dxa"/>
            <w:tcBorders>
              <w:top w:val="single" w:sz="4" w:space="0" w:color="000000" w:themeColor="text1"/>
            </w:tcBorders>
          </w:tcPr>
          <w:p w14:paraId="0C6C252C" w14:textId="77777777" w:rsidR="00F17551" w:rsidRPr="00657E8C" w:rsidRDefault="00F17551" w:rsidP="00F17551">
            <w:pPr>
              <w:pStyle w:val="ARtabletext"/>
            </w:pPr>
            <w:r w:rsidRPr="00657E8C">
              <w:t>Executives</w:t>
            </w:r>
          </w:p>
        </w:tc>
        <w:tc>
          <w:tcPr>
            <w:tcW w:w="1698" w:type="dxa"/>
            <w:tcBorders>
              <w:top w:val="single" w:sz="4" w:space="0" w:color="000000" w:themeColor="text1"/>
            </w:tcBorders>
          </w:tcPr>
          <w:p w14:paraId="2BDAB232" w14:textId="77777777" w:rsidR="00F17551" w:rsidRPr="00657E8C" w:rsidRDefault="00F17551" w:rsidP="00F17551">
            <w:pPr>
              <w:pStyle w:val="ARtabletextright"/>
            </w:pPr>
            <w:r w:rsidRPr="00657E8C">
              <w:t>22</w:t>
            </w:r>
          </w:p>
        </w:tc>
        <w:tc>
          <w:tcPr>
            <w:tcW w:w="1698" w:type="dxa"/>
            <w:tcBorders>
              <w:top w:val="single" w:sz="4" w:space="0" w:color="000000" w:themeColor="text1"/>
            </w:tcBorders>
          </w:tcPr>
          <w:p w14:paraId="7FF2FE41" w14:textId="77777777" w:rsidR="00F17551" w:rsidRPr="00657E8C" w:rsidRDefault="00F17551" w:rsidP="00F17551">
            <w:pPr>
              <w:pStyle w:val="ARtabletextright"/>
            </w:pPr>
            <w:r w:rsidRPr="00657E8C">
              <w:t>18</w:t>
            </w:r>
          </w:p>
        </w:tc>
      </w:tr>
      <w:tr w:rsidR="00F17551" w:rsidRPr="00657E8C" w14:paraId="40827A9C" w14:textId="77777777" w:rsidTr="00F17551">
        <w:tc>
          <w:tcPr>
            <w:tcW w:w="6231" w:type="dxa"/>
          </w:tcPr>
          <w:p w14:paraId="2E1A2E21" w14:textId="77777777" w:rsidR="00F17551" w:rsidRPr="00657E8C" w:rsidRDefault="00F17551" w:rsidP="00F17551">
            <w:pPr>
              <w:pStyle w:val="ARtabletext"/>
            </w:pPr>
            <w:r w:rsidRPr="00657E8C">
              <w:t>Accountable Officer (Chief Executive Officer)</w:t>
            </w:r>
          </w:p>
        </w:tc>
        <w:tc>
          <w:tcPr>
            <w:tcW w:w="1698" w:type="dxa"/>
          </w:tcPr>
          <w:p w14:paraId="3D68637B" w14:textId="77777777" w:rsidR="00F17551" w:rsidRPr="00657E8C" w:rsidRDefault="00F17551" w:rsidP="00F17551">
            <w:pPr>
              <w:pStyle w:val="ARtabletextright"/>
            </w:pPr>
            <w:r w:rsidRPr="00657E8C">
              <w:t>1</w:t>
            </w:r>
          </w:p>
        </w:tc>
        <w:tc>
          <w:tcPr>
            <w:tcW w:w="1698" w:type="dxa"/>
          </w:tcPr>
          <w:p w14:paraId="68BD4810" w14:textId="77777777" w:rsidR="00F17551" w:rsidRPr="00657E8C" w:rsidRDefault="00F17551" w:rsidP="00F17551">
            <w:pPr>
              <w:pStyle w:val="ARtabletextright"/>
            </w:pPr>
            <w:r w:rsidRPr="00657E8C">
              <w:t>1</w:t>
            </w:r>
          </w:p>
        </w:tc>
      </w:tr>
      <w:tr w:rsidR="00F17551" w:rsidRPr="00657E8C" w14:paraId="3FD3F765" w14:textId="77777777" w:rsidTr="00F17551">
        <w:tc>
          <w:tcPr>
            <w:tcW w:w="6231" w:type="dxa"/>
          </w:tcPr>
          <w:p w14:paraId="68A6829E" w14:textId="77777777" w:rsidR="00F17551" w:rsidRPr="00657E8C" w:rsidRDefault="00F17551" w:rsidP="00F17551">
            <w:pPr>
              <w:pStyle w:val="ARtabletext"/>
            </w:pPr>
            <w:r w:rsidRPr="00657E8C">
              <w:t>Less separations</w:t>
            </w:r>
          </w:p>
        </w:tc>
        <w:tc>
          <w:tcPr>
            <w:tcW w:w="1698" w:type="dxa"/>
          </w:tcPr>
          <w:p w14:paraId="56EDE055" w14:textId="77777777" w:rsidR="00F17551" w:rsidRPr="00657E8C" w:rsidRDefault="00F17551" w:rsidP="00F17551">
            <w:pPr>
              <w:pStyle w:val="ARtabletextright"/>
            </w:pPr>
            <w:r w:rsidRPr="00657E8C">
              <w:t>(3)</w:t>
            </w:r>
          </w:p>
        </w:tc>
        <w:tc>
          <w:tcPr>
            <w:tcW w:w="1698" w:type="dxa"/>
          </w:tcPr>
          <w:p w14:paraId="7EC3FD29" w14:textId="77777777" w:rsidR="00F17551" w:rsidRPr="00657E8C" w:rsidRDefault="00F17551" w:rsidP="00F17551">
            <w:pPr>
              <w:pStyle w:val="ARtabletextright"/>
            </w:pPr>
            <w:r w:rsidRPr="00657E8C">
              <w:t>0</w:t>
            </w:r>
          </w:p>
        </w:tc>
      </w:tr>
      <w:tr w:rsidR="00F17551" w:rsidRPr="00657E8C" w14:paraId="5D60F760" w14:textId="77777777" w:rsidTr="00F17551">
        <w:tc>
          <w:tcPr>
            <w:tcW w:w="6231" w:type="dxa"/>
          </w:tcPr>
          <w:p w14:paraId="41C6ADF1" w14:textId="77777777" w:rsidR="00F17551" w:rsidRPr="00657E8C" w:rsidRDefault="00F17551" w:rsidP="00F17551">
            <w:pPr>
              <w:pStyle w:val="ARtabletext"/>
            </w:pPr>
            <w:r w:rsidRPr="00657E8C">
              <w:t>Leave without pay</w:t>
            </w:r>
          </w:p>
        </w:tc>
        <w:tc>
          <w:tcPr>
            <w:tcW w:w="1698" w:type="dxa"/>
          </w:tcPr>
          <w:p w14:paraId="7E0BBEA1" w14:textId="77777777" w:rsidR="00F17551" w:rsidRPr="00657E8C" w:rsidRDefault="00F17551" w:rsidP="00F17551">
            <w:pPr>
              <w:pStyle w:val="ARtabletextright"/>
            </w:pPr>
            <w:r w:rsidRPr="00657E8C">
              <w:t>(1)</w:t>
            </w:r>
          </w:p>
        </w:tc>
        <w:tc>
          <w:tcPr>
            <w:tcW w:w="1698" w:type="dxa"/>
          </w:tcPr>
          <w:p w14:paraId="239D1CA7" w14:textId="77777777" w:rsidR="00F17551" w:rsidRPr="00657E8C" w:rsidRDefault="00F17551" w:rsidP="00F17551">
            <w:pPr>
              <w:pStyle w:val="ARtabletextright"/>
            </w:pPr>
            <w:r w:rsidRPr="00657E8C">
              <w:t>0</w:t>
            </w:r>
          </w:p>
        </w:tc>
      </w:tr>
      <w:tr w:rsidR="00F17551" w:rsidRPr="00657E8C" w14:paraId="1CAD74A6" w14:textId="77777777" w:rsidTr="00F17551">
        <w:tc>
          <w:tcPr>
            <w:tcW w:w="6231" w:type="dxa"/>
          </w:tcPr>
          <w:p w14:paraId="6BFF0D5E" w14:textId="77777777" w:rsidR="00F17551" w:rsidRPr="00657E8C" w:rsidRDefault="00F17551" w:rsidP="00F17551">
            <w:pPr>
              <w:pStyle w:val="ARtabletextbold"/>
            </w:pPr>
            <w:r w:rsidRPr="00657E8C">
              <w:t>Total executive numbers at 30 June 2018</w:t>
            </w:r>
          </w:p>
        </w:tc>
        <w:tc>
          <w:tcPr>
            <w:tcW w:w="1698" w:type="dxa"/>
          </w:tcPr>
          <w:p w14:paraId="32B0B3C7" w14:textId="77777777" w:rsidR="00F17551" w:rsidRPr="00657E8C" w:rsidRDefault="00F17551" w:rsidP="00F17551">
            <w:pPr>
              <w:pStyle w:val="ARtabletextrightbold"/>
            </w:pPr>
            <w:r w:rsidRPr="00657E8C">
              <w:t>19</w:t>
            </w:r>
          </w:p>
        </w:tc>
        <w:tc>
          <w:tcPr>
            <w:tcW w:w="1698" w:type="dxa"/>
          </w:tcPr>
          <w:p w14:paraId="3FEDB109" w14:textId="77777777" w:rsidR="00F17551" w:rsidRPr="00657E8C" w:rsidRDefault="00F17551" w:rsidP="00F17551">
            <w:pPr>
              <w:pStyle w:val="ARtabletextrightbold"/>
            </w:pPr>
            <w:r w:rsidRPr="00657E8C">
              <w:t>19</w:t>
            </w:r>
          </w:p>
        </w:tc>
      </w:tr>
    </w:tbl>
    <w:p w14:paraId="4560B7A1" w14:textId="77777777" w:rsidR="00F17551" w:rsidRPr="00657E8C" w:rsidRDefault="00F17551" w:rsidP="00F17551">
      <w:pPr>
        <w:pStyle w:val="Heading4"/>
      </w:pPr>
      <w:r w:rsidRPr="00657E8C">
        <w:t>Table 5: Total number of EOs for Safer Care Victoria, broken down by gender</w:t>
      </w:r>
    </w:p>
    <w:tbl>
      <w:tblPr>
        <w:tblW w:w="9640"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702"/>
        <w:gridCol w:w="284"/>
        <w:gridCol w:w="709"/>
        <w:gridCol w:w="992"/>
        <w:gridCol w:w="283"/>
        <w:gridCol w:w="851"/>
        <w:gridCol w:w="850"/>
        <w:gridCol w:w="284"/>
        <w:gridCol w:w="709"/>
        <w:gridCol w:w="992"/>
        <w:gridCol w:w="283"/>
        <w:gridCol w:w="709"/>
        <w:gridCol w:w="992"/>
      </w:tblGrid>
      <w:tr w:rsidR="00F17551" w:rsidRPr="00657E8C" w14:paraId="6C55FA77" w14:textId="77777777" w:rsidTr="00F17551">
        <w:trPr>
          <w:cantSplit/>
          <w:tblHeader/>
        </w:trPr>
        <w:tc>
          <w:tcPr>
            <w:tcW w:w="1986" w:type="dxa"/>
            <w:gridSpan w:val="2"/>
            <w:shd w:val="clear" w:color="auto" w:fill="auto"/>
            <w:vAlign w:val="bottom"/>
          </w:tcPr>
          <w:p w14:paraId="2A718597" w14:textId="77777777" w:rsidR="00F17551" w:rsidRPr="00657E8C" w:rsidRDefault="00F17551" w:rsidP="00F17551">
            <w:pPr>
              <w:pStyle w:val="ARfintablecolheadcentre"/>
            </w:pPr>
          </w:p>
        </w:tc>
        <w:tc>
          <w:tcPr>
            <w:tcW w:w="1984" w:type="dxa"/>
            <w:gridSpan w:val="3"/>
            <w:shd w:val="clear" w:color="auto" w:fill="auto"/>
            <w:vAlign w:val="bottom"/>
          </w:tcPr>
          <w:p w14:paraId="601EAD1F" w14:textId="77777777" w:rsidR="00F17551" w:rsidRPr="00657E8C" w:rsidRDefault="00F17551" w:rsidP="00F17551">
            <w:pPr>
              <w:pStyle w:val="ARtablecolheadcentre"/>
            </w:pPr>
            <w:r w:rsidRPr="00657E8C">
              <w:t>All</w:t>
            </w:r>
          </w:p>
        </w:tc>
        <w:tc>
          <w:tcPr>
            <w:tcW w:w="1985" w:type="dxa"/>
            <w:gridSpan w:val="3"/>
            <w:shd w:val="clear" w:color="auto" w:fill="auto"/>
            <w:vAlign w:val="bottom"/>
          </w:tcPr>
          <w:p w14:paraId="13E4721B" w14:textId="77777777" w:rsidR="00F17551" w:rsidRPr="00657E8C" w:rsidRDefault="00F17551" w:rsidP="00F17551">
            <w:pPr>
              <w:pStyle w:val="ARtablecolheadcentre"/>
            </w:pPr>
            <w:r w:rsidRPr="00657E8C">
              <w:t>Women</w:t>
            </w:r>
          </w:p>
        </w:tc>
        <w:tc>
          <w:tcPr>
            <w:tcW w:w="1984" w:type="dxa"/>
            <w:gridSpan w:val="3"/>
            <w:shd w:val="clear" w:color="auto" w:fill="auto"/>
            <w:vAlign w:val="bottom"/>
          </w:tcPr>
          <w:p w14:paraId="3DFA223E" w14:textId="77777777" w:rsidR="00F17551" w:rsidRPr="00657E8C" w:rsidRDefault="00F17551" w:rsidP="00F17551">
            <w:pPr>
              <w:pStyle w:val="ARtablecolheadcentre"/>
            </w:pPr>
            <w:r w:rsidRPr="00657E8C">
              <w:t>Men</w:t>
            </w:r>
          </w:p>
        </w:tc>
        <w:tc>
          <w:tcPr>
            <w:tcW w:w="1701" w:type="dxa"/>
            <w:gridSpan w:val="2"/>
            <w:shd w:val="clear" w:color="auto" w:fill="auto"/>
            <w:vAlign w:val="bottom"/>
          </w:tcPr>
          <w:p w14:paraId="40007359" w14:textId="77777777" w:rsidR="00F17551" w:rsidRPr="00657E8C" w:rsidRDefault="00F17551" w:rsidP="00F17551">
            <w:pPr>
              <w:pStyle w:val="ARtablecolheadcentre"/>
            </w:pPr>
            <w:r w:rsidRPr="00657E8C">
              <w:t>Self-described</w:t>
            </w:r>
          </w:p>
        </w:tc>
      </w:tr>
      <w:tr w:rsidR="00F17551" w:rsidRPr="00657E8C" w14:paraId="5197CAA8" w14:textId="77777777" w:rsidTr="00F17551">
        <w:trPr>
          <w:cantSplit/>
          <w:tblHeader/>
        </w:trPr>
        <w:tc>
          <w:tcPr>
            <w:tcW w:w="1702" w:type="dxa"/>
            <w:shd w:val="clear" w:color="auto" w:fill="auto"/>
            <w:vAlign w:val="bottom"/>
          </w:tcPr>
          <w:p w14:paraId="39769EF7" w14:textId="77777777" w:rsidR="00F17551" w:rsidRPr="00657E8C" w:rsidRDefault="00F17551" w:rsidP="00F17551">
            <w:pPr>
              <w:pStyle w:val="ARtablecolhead"/>
            </w:pPr>
            <w:r w:rsidRPr="00657E8C">
              <w:t>Class</w:t>
            </w:r>
          </w:p>
        </w:tc>
        <w:tc>
          <w:tcPr>
            <w:tcW w:w="993" w:type="dxa"/>
            <w:gridSpan w:val="2"/>
            <w:shd w:val="clear" w:color="auto" w:fill="auto"/>
            <w:vAlign w:val="bottom"/>
          </w:tcPr>
          <w:p w14:paraId="16BD4DC3" w14:textId="77777777" w:rsidR="00F17551" w:rsidRPr="00657E8C" w:rsidRDefault="00F17551" w:rsidP="00F17551">
            <w:pPr>
              <w:pStyle w:val="ARtablecolheadright"/>
            </w:pPr>
            <w:r w:rsidRPr="00657E8C">
              <w:t>No.</w:t>
            </w:r>
          </w:p>
        </w:tc>
        <w:tc>
          <w:tcPr>
            <w:tcW w:w="992" w:type="dxa"/>
            <w:shd w:val="clear" w:color="auto" w:fill="auto"/>
            <w:vAlign w:val="bottom"/>
          </w:tcPr>
          <w:p w14:paraId="775CF81F" w14:textId="77777777" w:rsidR="00F17551" w:rsidRPr="00657E8C" w:rsidRDefault="00F17551" w:rsidP="00F17551">
            <w:pPr>
              <w:pStyle w:val="ARtablecolheadright"/>
            </w:pPr>
            <w:r w:rsidRPr="00657E8C">
              <w:t>Var.</w:t>
            </w:r>
          </w:p>
        </w:tc>
        <w:tc>
          <w:tcPr>
            <w:tcW w:w="1134" w:type="dxa"/>
            <w:gridSpan w:val="2"/>
            <w:shd w:val="clear" w:color="auto" w:fill="auto"/>
            <w:vAlign w:val="bottom"/>
          </w:tcPr>
          <w:p w14:paraId="44A7A5A3" w14:textId="77777777" w:rsidR="00F17551" w:rsidRPr="00657E8C" w:rsidRDefault="00F17551" w:rsidP="00F17551">
            <w:pPr>
              <w:pStyle w:val="ARtablecolheadright"/>
            </w:pPr>
            <w:r w:rsidRPr="00657E8C">
              <w:t>No.</w:t>
            </w:r>
          </w:p>
        </w:tc>
        <w:tc>
          <w:tcPr>
            <w:tcW w:w="850" w:type="dxa"/>
            <w:shd w:val="clear" w:color="auto" w:fill="auto"/>
            <w:vAlign w:val="bottom"/>
          </w:tcPr>
          <w:p w14:paraId="6E8A391A" w14:textId="77777777" w:rsidR="00F17551" w:rsidRPr="00657E8C" w:rsidRDefault="00F17551" w:rsidP="00F17551">
            <w:pPr>
              <w:pStyle w:val="ARtablecolheadright"/>
            </w:pPr>
            <w:r w:rsidRPr="00657E8C">
              <w:t>Var.</w:t>
            </w:r>
          </w:p>
        </w:tc>
        <w:tc>
          <w:tcPr>
            <w:tcW w:w="993" w:type="dxa"/>
            <w:gridSpan w:val="2"/>
            <w:shd w:val="clear" w:color="auto" w:fill="auto"/>
            <w:vAlign w:val="bottom"/>
          </w:tcPr>
          <w:p w14:paraId="47BD80F2" w14:textId="77777777" w:rsidR="00F17551" w:rsidRPr="00657E8C" w:rsidRDefault="00F17551" w:rsidP="00F17551">
            <w:pPr>
              <w:pStyle w:val="ARtablecolheadright"/>
            </w:pPr>
            <w:r w:rsidRPr="00657E8C">
              <w:t>No.</w:t>
            </w:r>
          </w:p>
        </w:tc>
        <w:tc>
          <w:tcPr>
            <w:tcW w:w="992" w:type="dxa"/>
            <w:shd w:val="clear" w:color="auto" w:fill="auto"/>
            <w:vAlign w:val="bottom"/>
          </w:tcPr>
          <w:p w14:paraId="4C08B056" w14:textId="77777777" w:rsidR="00F17551" w:rsidRPr="00657E8C" w:rsidRDefault="00F17551" w:rsidP="00F17551">
            <w:pPr>
              <w:pStyle w:val="ARtablecolheadright"/>
            </w:pPr>
            <w:r w:rsidRPr="00657E8C">
              <w:t>Var.</w:t>
            </w:r>
          </w:p>
        </w:tc>
        <w:tc>
          <w:tcPr>
            <w:tcW w:w="992" w:type="dxa"/>
            <w:gridSpan w:val="2"/>
            <w:shd w:val="clear" w:color="auto" w:fill="auto"/>
            <w:vAlign w:val="bottom"/>
          </w:tcPr>
          <w:p w14:paraId="0461A6B7" w14:textId="77777777" w:rsidR="00F17551" w:rsidRPr="00657E8C" w:rsidRDefault="00F17551" w:rsidP="00F17551">
            <w:pPr>
              <w:pStyle w:val="ARtablecolheadright"/>
            </w:pPr>
            <w:r w:rsidRPr="00657E8C">
              <w:t>No.</w:t>
            </w:r>
          </w:p>
        </w:tc>
        <w:tc>
          <w:tcPr>
            <w:tcW w:w="992" w:type="dxa"/>
            <w:shd w:val="clear" w:color="auto" w:fill="auto"/>
          </w:tcPr>
          <w:p w14:paraId="31457B4B" w14:textId="77777777" w:rsidR="00F17551" w:rsidRPr="00657E8C" w:rsidRDefault="00F17551" w:rsidP="00F17551">
            <w:pPr>
              <w:pStyle w:val="ARtablecolheadright"/>
            </w:pPr>
            <w:r w:rsidRPr="00657E8C">
              <w:t>Var.</w:t>
            </w:r>
          </w:p>
        </w:tc>
      </w:tr>
      <w:tr w:rsidR="00F17551" w:rsidRPr="00657E8C" w14:paraId="0E4B6164" w14:textId="77777777" w:rsidTr="00F17551">
        <w:trPr>
          <w:cantSplit/>
          <w:trHeight w:hRule="exact" w:val="340"/>
        </w:trPr>
        <w:tc>
          <w:tcPr>
            <w:tcW w:w="1702" w:type="dxa"/>
            <w:shd w:val="clear" w:color="auto" w:fill="auto"/>
          </w:tcPr>
          <w:p w14:paraId="474663C6" w14:textId="77777777" w:rsidR="00F17551" w:rsidRPr="00657E8C" w:rsidRDefault="00F17551" w:rsidP="00F17551">
            <w:pPr>
              <w:pStyle w:val="ARtabletext"/>
            </w:pPr>
            <w:r w:rsidRPr="00657E8C">
              <w:t>EO-1</w:t>
            </w:r>
          </w:p>
        </w:tc>
        <w:tc>
          <w:tcPr>
            <w:tcW w:w="993" w:type="dxa"/>
            <w:gridSpan w:val="2"/>
            <w:shd w:val="clear" w:color="auto" w:fill="auto"/>
          </w:tcPr>
          <w:p w14:paraId="726E8D7A" w14:textId="77777777" w:rsidR="00F17551" w:rsidRPr="00657E8C" w:rsidRDefault="00F17551" w:rsidP="00F17551">
            <w:pPr>
              <w:pStyle w:val="ARtabletextright"/>
            </w:pPr>
            <w:r w:rsidRPr="00657E8C">
              <w:t>1</w:t>
            </w:r>
          </w:p>
        </w:tc>
        <w:tc>
          <w:tcPr>
            <w:tcW w:w="992" w:type="dxa"/>
            <w:shd w:val="clear" w:color="auto" w:fill="auto"/>
          </w:tcPr>
          <w:p w14:paraId="16366667" w14:textId="77777777" w:rsidR="00F17551" w:rsidRPr="00657E8C" w:rsidRDefault="00F17551" w:rsidP="00F17551">
            <w:pPr>
              <w:pStyle w:val="ARtabletextright"/>
            </w:pPr>
            <w:r w:rsidRPr="00657E8C">
              <w:t>0</w:t>
            </w:r>
          </w:p>
        </w:tc>
        <w:tc>
          <w:tcPr>
            <w:tcW w:w="1134" w:type="dxa"/>
            <w:gridSpan w:val="2"/>
            <w:shd w:val="clear" w:color="auto" w:fill="auto"/>
          </w:tcPr>
          <w:p w14:paraId="4003323E" w14:textId="77777777" w:rsidR="00F17551" w:rsidRPr="00657E8C" w:rsidRDefault="00F17551" w:rsidP="00F17551">
            <w:pPr>
              <w:pStyle w:val="ARtabletextright"/>
            </w:pPr>
            <w:r w:rsidRPr="00657E8C">
              <w:t>0</w:t>
            </w:r>
          </w:p>
        </w:tc>
        <w:tc>
          <w:tcPr>
            <w:tcW w:w="850" w:type="dxa"/>
            <w:shd w:val="clear" w:color="auto" w:fill="auto"/>
          </w:tcPr>
          <w:p w14:paraId="55AB5089" w14:textId="77777777" w:rsidR="00F17551" w:rsidRPr="00657E8C" w:rsidRDefault="00F17551" w:rsidP="00F17551">
            <w:pPr>
              <w:pStyle w:val="ARtabletextright"/>
            </w:pPr>
            <w:r w:rsidRPr="00657E8C">
              <w:t>0</w:t>
            </w:r>
          </w:p>
        </w:tc>
        <w:tc>
          <w:tcPr>
            <w:tcW w:w="993" w:type="dxa"/>
            <w:gridSpan w:val="2"/>
            <w:shd w:val="clear" w:color="auto" w:fill="auto"/>
          </w:tcPr>
          <w:p w14:paraId="283D73B5" w14:textId="77777777" w:rsidR="00F17551" w:rsidRPr="00657E8C" w:rsidRDefault="00F17551" w:rsidP="00F17551">
            <w:pPr>
              <w:pStyle w:val="ARtabletextright"/>
            </w:pPr>
            <w:r w:rsidRPr="00657E8C">
              <w:t>1</w:t>
            </w:r>
          </w:p>
        </w:tc>
        <w:tc>
          <w:tcPr>
            <w:tcW w:w="992" w:type="dxa"/>
            <w:shd w:val="clear" w:color="auto" w:fill="auto"/>
          </w:tcPr>
          <w:p w14:paraId="588CBBB9" w14:textId="77777777" w:rsidR="00F17551" w:rsidRPr="00657E8C" w:rsidRDefault="00F17551" w:rsidP="00F17551">
            <w:pPr>
              <w:pStyle w:val="ARtabletextright"/>
            </w:pPr>
            <w:r w:rsidRPr="00657E8C">
              <w:t>0</w:t>
            </w:r>
          </w:p>
        </w:tc>
        <w:tc>
          <w:tcPr>
            <w:tcW w:w="992" w:type="dxa"/>
            <w:gridSpan w:val="2"/>
            <w:shd w:val="clear" w:color="auto" w:fill="auto"/>
          </w:tcPr>
          <w:p w14:paraId="2A0A814C" w14:textId="77777777" w:rsidR="00F17551" w:rsidRPr="00657E8C" w:rsidRDefault="00F17551" w:rsidP="00F17551">
            <w:pPr>
              <w:pStyle w:val="ARtabletextright"/>
            </w:pPr>
            <w:r w:rsidRPr="00657E8C">
              <w:t>0</w:t>
            </w:r>
          </w:p>
        </w:tc>
        <w:tc>
          <w:tcPr>
            <w:tcW w:w="992" w:type="dxa"/>
            <w:shd w:val="clear" w:color="auto" w:fill="auto"/>
          </w:tcPr>
          <w:p w14:paraId="700F1952" w14:textId="77777777" w:rsidR="00F17551" w:rsidRPr="00657E8C" w:rsidRDefault="00F17551" w:rsidP="00F17551">
            <w:pPr>
              <w:pStyle w:val="ARtabletextright"/>
            </w:pPr>
            <w:r w:rsidRPr="00657E8C">
              <w:t>0</w:t>
            </w:r>
          </w:p>
        </w:tc>
      </w:tr>
      <w:tr w:rsidR="00F17551" w:rsidRPr="00657E8C" w14:paraId="5DEEA188" w14:textId="77777777" w:rsidTr="00F17551">
        <w:trPr>
          <w:cantSplit/>
          <w:trHeight w:hRule="exact" w:val="340"/>
        </w:trPr>
        <w:tc>
          <w:tcPr>
            <w:tcW w:w="1702" w:type="dxa"/>
            <w:shd w:val="clear" w:color="auto" w:fill="auto"/>
          </w:tcPr>
          <w:p w14:paraId="7CE403E1" w14:textId="77777777" w:rsidR="00F17551" w:rsidRPr="00657E8C" w:rsidRDefault="00F17551" w:rsidP="00F17551">
            <w:pPr>
              <w:pStyle w:val="ARtabletext"/>
            </w:pPr>
            <w:r w:rsidRPr="00657E8C">
              <w:t>EO-3</w:t>
            </w:r>
          </w:p>
        </w:tc>
        <w:tc>
          <w:tcPr>
            <w:tcW w:w="993" w:type="dxa"/>
            <w:gridSpan w:val="2"/>
            <w:shd w:val="clear" w:color="auto" w:fill="auto"/>
          </w:tcPr>
          <w:p w14:paraId="5275C4AD" w14:textId="77777777" w:rsidR="00F17551" w:rsidRPr="00657E8C" w:rsidRDefault="00F17551" w:rsidP="00F17551">
            <w:pPr>
              <w:pStyle w:val="ARtabletextright"/>
            </w:pPr>
            <w:r w:rsidRPr="00657E8C">
              <w:t>4</w:t>
            </w:r>
          </w:p>
        </w:tc>
        <w:tc>
          <w:tcPr>
            <w:tcW w:w="992" w:type="dxa"/>
            <w:shd w:val="clear" w:color="auto" w:fill="auto"/>
          </w:tcPr>
          <w:p w14:paraId="0B06F718" w14:textId="77777777" w:rsidR="00F17551" w:rsidRPr="00657E8C" w:rsidRDefault="00F17551" w:rsidP="00F17551">
            <w:pPr>
              <w:pStyle w:val="ARtabletextright"/>
            </w:pPr>
            <w:r w:rsidRPr="00657E8C">
              <w:t>0</w:t>
            </w:r>
          </w:p>
        </w:tc>
        <w:tc>
          <w:tcPr>
            <w:tcW w:w="1134" w:type="dxa"/>
            <w:gridSpan w:val="2"/>
            <w:shd w:val="clear" w:color="auto" w:fill="auto"/>
          </w:tcPr>
          <w:p w14:paraId="254209D2" w14:textId="77777777" w:rsidR="00F17551" w:rsidRPr="00657E8C" w:rsidRDefault="00F17551" w:rsidP="00F17551">
            <w:pPr>
              <w:pStyle w:val="ARtabletextright"/>
            </w:pPr>
            <w:r w:rsidRPr="00657E8C">
              <w:t>4</w:t>
            </w:r>
          </w:p>
        </w:tc>
        <w:tc>
          <w:tcPr>
            <w:tcW w:w="850" w:type="dxa"/>
            <w:shd w:val="clear" w:color="auto" w:fill="auto"/>
          </w:tcPr>
          <w:p w14:paraId="717F764F" w14:textId="77777777" w:rsidR="00F17551" w:rsidRPr="00657E8C" w:rsidRDefault="00F17551" w:rsidP="00F17551">
            <w:pPr>
              <w:pStyle w:val="ARtabletextright"/>
            </w:pPr>
            <w:r w:rsidRPr="00657E8C">
              <w:t>0</w:t>
            </w:r>
          </w:p>
        </w:tc>
        <w:tc>
          <w:tcPr>
            <w:tcW w:w="993" w:type="dxa"/>
            <w:gridSpan w:val="2"/>
            <w:shd w:val="clear" w:color="auto" w:fill="auto"/>
          </w:tcPr>
          <w:p w14:paraId="41EA974E" w14:textId="77777777" w:rsidR="00F17551" w:rsidRPr="00657E8C" w:rsidRDefault="00F17551" w:rsidP="00F17551">
            <w:pPr>
              <w:pStyle w:val="ARtabletextright"/>
            </w:pPr>
            <w:r w:rsidRPr="00657E8C">
              <w:t>0</w:t>
            </w:r>
          </w:p>
        </w:tc>
        <w:tc>
          <w:tcPr>
            <w:tcW w:w="992" w:type="dxa"/>
            <w:shd w:val="clear" w:color="auto" w:fill="auto"/>
          </w:tcPr>
          <w:p w14:paraId="5FBB66AC" w14:textId="77777777" w:rsidR="00F17551" w:rsidRPr="00657E8C" w:rsidRDefault="00F17551" w:rsidP="00F17551">
            <w:pPr>
              <w:pStyle w:val="ARtabletextright"/>
            </w:pPr>
            <w:r w:rsidRPr="00657E8C">
              <w:t>0</w:t>
            </w:r>
          </w:p>
        </w:tc>
        <w:tc>
          <w:tcPr>
            <w:tcW w:w="992" w:type="dxa"/>
            <w:gridSpan w:val="2"/>
            <w:shd w:val="clear" w:color="auto" w:fill="auto"/>
          </w:tcPr>
          <w:p w14:paraId="335EBE6F" w14:textId="77777777" w:rsidR="00F17551" w:rsidRPr="00657E8C" w:rsidRDefault="00F17551" w:rsidP="00F17551">
            <w:pPr>
              <w:pStyle w:val="ARtabletextright"/>
            </w:pPr>
            <w:r w:rsidRPr="00657E8C">
              <w:t>0</w:t>
            </w:r>
          </w:p>
        </w:tc>
        <w:tc>
          <w:tcPr>
            <w:tcW w:w="992" w:type="dxa"/>
            <w:shd w:val="clear" w:color="auto" w:fill="auto"/>
          </w:tcPr>
          <w:p w14:paraId="54BC7C05" w14:textId="77777777" w:rsidR="00F17551" w:rsidRPr="00657E8C" w:rsidRDefault="00F17551" w:rsidP="00F17551">
            <w:pPr>
              <w:pStyle w:val="ARtabletextright"/>
            </w:pPr>
            <w:r w:rsidRPr="00657E8C">
              <w:t>0</w:t>
            </w:r>
          </w:p>
        </w:tc>
      </w:tr>
      <w:tr w:rsidR="00F17551" w:rsidRPr="00657E8C" w14:paraId="6D90558F" w14:textId="77777777" w:rsidTr="00F17551">
        <w:trPr>
          <w:cantSplit/>
          <w:trHeight w:hRule="exact" w:val="340"/>
        </w:trPr>
        <w:tc>
          <w:tcPr>
            <w:tcW w:w="1702" w:type="dxa"/>
            <w:shd w:val="clear" w:color="auto" w:fill="auto"/>
          </w:tcPr>
          <w:p w14:paraId="26B7D6D1" w14:textId="77777777" w:rsidR="00F17551" w:rsidRPr="00657E8C" w:rsidRDefault="00F17551" w:rsidP="00F17551">
            <w:pPr>
              <w:pStyle w:val="ARtabletextbold"/>
            </w:pPr>
            <w:r w:rsidRPr="00657E8C">
              <w:t>Total</w:t>
            </w:r>
          </w:p>
        </w:tc>
        <w:tc>
          <w:tcPr>
            <w:tcW w:w="993" w:type="dxa"/>
            <w:gridSpan w:val="2"/>
            <w:shd w:val="clear" w:color="auto" w:fill="auto"/>
          </w:tcPr>
          <w:p w14:paraId="75B8E5CA" w14:textId="77777777" w:rsidR="00F17551" w:rsidRPr="00657E8C" w:rsidRDefault="00F17551" w:rsidP="00F17551">
            <w:pPr>
              <w:pStyle w:val="ARtabletextrightbold"/>
            </w:pPr>
            <w:r w:rsidRPr="00657E8C">
              <w:t>5</w:t>
            </w:r>
          </w:p>
        </w:tc>
        <w:tc>
          <w:tcPr>
            <w:tcW w:w="992" w:type="dxa"/>
            <w:shd w:val="clear" w:color="auto" w:fill="auto"/>
          </w:tcPr>
          <w:p w14:paraId="51547CBA" w14:textId="77777777" w:rsidR="00F17551" w:rsidRPr="00657E8C" w:rsidRDefault="00F17551" w:rsidP="00F17551">
            <w:pPr>
              <w:pStyle w:val="ARtabletextrightbold"/>
            </w:pPr>
            <w:r w:rsidRPr="00657E8C">
              <w:t>0</w:t>
            </w:r>
          </w:p>
        </w:tc>
        <w:tc>
          <w:tcPr>
            <w:tcW w:w="1134" w:type="dxa"/>
            <w:gridSpan w:val="2"/>
            <w:shd w:val="clear" w:color="auto" w:fill="auto"/>
          </w:tcPr>
          <w:p w14:paraId="3141DFA3" w14:textId="77777777" w:rsidR="00F17551" w:rsidRPr="00657E8C" w:rsidRDefault="00F17551" w:rsidP="00F17551">
            <w:pPr>
              <w:pStyle w:val="ARtabletextrightbold"/>
            </w:pPr>
            <w:r w:rsidRPr="00657E8C">
              <w:t>4</w:t>
            </w:r>
          </w:p>
        </w:tc>
        <w:tc>
          <w:tcPr>
            <w:tcW w:w="850" w:type="dxa"/>
            <w:shd w:val="clear" w:color="auto" w:fill="auto"/>
          </w:tcPr>
          <w:p w14:paraId="472D318D" w14:textId="77777777" w:rsidR="00F17551" w:rsidRPr="00657E8C" w:rsidRDefault="00F17551" w:rsidP="00F17551">
            <w:pPr>
              <w:pStyle w:val="ARtabletextrightbold"/>
            </w:pPr>
            <w:r w:rsidRPr="00657E8C">
              <w:t>0</w:t>
            </w:r>
          </w:p>
        </w:tc>
        <w:tc>
          <w:tcPr>
            <w:tcW w:w="993" w:type="dxa"/>
            <w:gridSpan w:val="2"/>
            <w:shd w:val="clear" w:color="auto" w:fill="auto"/>
          </w:tcPr>
          <w:p w14:paraId="2BD2D70D" w14:textId="77777777" w:rsidR="00F17551" w:rsidRPr="00657E8C" w:rsidRDefault="00F17551" w:rsidP="00F17551">
            <w:pPr>
              <w:pStyle w:val="ARtabletextrightbold"/>
            </w:pPr>
            <w:r w:rsidRPr="00657E8C">
              <w:t>1</w:t>
            </w:r>
          </w:p>
        </w:tc>
        <w:tc>
          <w:tcPr>
            <w:tcW w:w="992" w:type="dxa"/>
            <w:shd w:val="clear" w:color="auto" w:fill="auto"/>
          </w:tcPr>
          <w:p w14:paraId="5290C59E" w14:textId="77777777" w:rsidR="00F17551" w:rsidRPr="00657E8C" w:rsidRDefault="00F17551" w:rsidP="00F17551">
            <w:pPr>
              <w:pStyle w:val="ARtabletextrightbold"/>
            </w:pPr>
            <w:r w:rsidRPr="00657E8C">
              <w:t>0</w:t>
            </w:r>
          </w:p>
        </w:tc>
        <w:tc>
          <w:tcPr>
            <w:tcW w:w="992" w:type="dxa"/>
            <w:gridSpan w:val="2"/>
            <w:shd w:val="clear" w:color="auto" w:fill="auto"/>
          </w:tcPr>
          <w:p w14:paraId="16FA2B92" w14:textId="77777777" w:rsidR="00F17551" w:rsidRPr="00657E8C" w:rsidRDefault="00F17551" w:rsidP="00F17551">
            <w:pPr>
              <w:pStyle w:val="ARtabletextrightbold"/>
            </w:pPr>
            <w:r w:rsidRPr="00657E8C">
              <w:t>0</w:t>
            </w:r>
          </w:p>
        </w:tc>
        <w:tc>
          <w:tcPr>
            <w:tcW w:w="992" w:type="dxa"/>
            <w:shd w:val="clear" w:color="auto" w:fill="auto"/>
          </w:tcPr>
          <w:p w14:paraId="16664C78" w14:textId="77777777" w:rsidR="00F17551" w:rsidRPr="00657E8C" w:rsidRDefault="00F17551" w:rsidP="00F17551">
            <w:pPr>
              <w:pStyle w:val="ARtabletextrightbold"/>
            </w:pPr>
            <w:r w:rsidRPr="00657E8C">
              <w:t>0</w:t>
            </w:r>
          </w:p>
        </w:tc>
      </w:tr>
    </w:tbl>
    <w:p w14:paraId="349F342A" w14:textId="77777777" w:rsidR="00CA5D44" w:rsidRPr="00CA5D44" w:rsidRDefault="00CA5D44" w:rsidP="00CA5D44">
      <w:pPr>
        <w:pStyle w:val="ARbody"/>
      </w:pPr>
      <w:r w:rsidRPr="00CA5D44">
        <w:br w:type="page"/>
      </w:r>
    </w:p>
    <w:p w14:paraId="552F311B" w14:textId="7A7FFFEB" w:rsidR="00F17551" w:rsidRPr="00657E8C" w:rsidRDefault="00F17551" w:rsidP="000B7C6C">
      <w:pPr>
        <w:pStyle w:val="ARbodyaftertable"/>
        <w:spacing w:before="120"/>
      </w:pPr>
      <w:r w:rsidRPr="00657E8C">
        <w:t>The number of executives in the report of operations is based on the number of executive positions that are</w:t>
      </w:r>
      <w:r w:rsidR="005732E7">
        <w:t> </w:t>
      </w:r>
      <w:r w:rsidRPr="00657E8C">
        <w:t>occupied at the end of the financial year. Note 9.7 in the financial statements lists the actual number of EOs and the total remuneration paid to EOs over the course of the reporting period.</w:t>
      </w:r>
      <w:r w:rsidR="008066A4" w:rsidRPr="00657E8C">
        <w:t xml:space="preserve"> </w:t>
      </w:r>
      <w:r w:rsidRPr="00657E8C">
        <w:t>The financial statements note does not include the Accountable Officer, nor does it distinguish between executive levels or disclose separations.</w:t>
      </w:r>
      <w:r w:rsidR="008066A4" w:rsidRPr="00657E8C">
        <w:t xml:space="preserve"> </w:t>
      </w:r>
      <w:r w:rsidRPr="00657E8C">
        <w:t xml:space="preserve">Separations are executives who have left the </w:t>
      </w:r>
      <w:r w:rsidR="00F9296C">
        <w:t>d</w:t>
      </w:r>
      <w:r w:rsidR="00F9296C" w:rsidRPr="00657E8C">
        <w:t xml:space="preserve">epartment </w:t>
      </w:r>
      <w:r w:rsidRPr="00657E8C">
        <w:t>during the relevant reporting period. To assist readers, these two disclosures are reconciled below.</w:t>
      </w:r>
    </w:p>
    <w:p w14:paraId="0E7BB0DA" w14:textId="77777777" w:rsidR="00F17551" w:rsidRPr="00657E8C" w:rsidRDefault="00F17551" w:rsidP="00F17551">
      <w:pPr>
        <w:pStyle w:val="Heading4"/>
      </w:pPr>
      <w:bookmarkStart w:id="139" w:name="_Hlk19622316"/>
      <w:r w:rsidRPr="00657E8C">
        <w:t>Table 6: Reconciliation of executive numbers for Safer Care Victoria</w:t>
      </w:r>
    </w:p>
    <w:bookmarkEnd w:id="139"/>
    <w:tbl>
      <w:tblPr>
        <w:tblStyle w:val="TableGrid"/>
        <w:tblW w:w="0" w:type="auto"/>
        <w:tblLook w:val="06A0" w:firstRow="1" w:lastRow="0" w:firstColumn="1" w:lastColumn="0" w:noHBand="1" w:noVBand="1"/>
      </w:tblPr>
      <w:tblGrid>
        <w:gridCol w:w="6231"/>
        <w:gridCol w:w="1698"/>
        <w:gridCol w:w="1698"/>
      </w:tblGrid>
      <w:tr w:rsidR="00F17551" w:rsidRPr="00657E8C" w14:paraId="50DDC15D" w14:textId="77777777" w:rsidTr="00F17551">
        <w:trPr>
          <w:cnfStyle w:val="100000000000" w:firstRow="1" w:lastRow="0" w:firstColumn="0" w:lastColumn="0" w:oddVBand="0" w:evenVBand="0" w:oddHBand="0" w:evenHBand="0" w:firstRowFirstColumn="0" w:firstRowLastColumn="0" w:lastRowFirstColumn="0" w:lastRowLastColumn="0"/>
          <w:tblHeader/>
        </w:trPr>
        <w:tc>
          <w:tcPr>
            <w:tcW w:w="6231" w:type="dxa"/>
            <w:tcBorders>
              <w:top w:val="nil"/>
            </w:tcBorders>
          </w:tcPr>
          <w:p w14:paraId="3A3C5F15" w14:textId="77777777" w:rsidR="00F17551" w:rsidRPr="00657E8C" w:rsidRDefault="00F17551" w:rsidP="00F17551">
            <w:pPr>
              <w:pStyle w:val="ARtabletext"/>
            </w:pPr>
          </w:p>
        </w:tc>
        <w:tc>
          <w:tcPr>
            <w:tcW w:w="1698" w:type="dxa"/>
            <w:tcBorders>
              <w:top w:val="nil"/>
            </w:tcBorders>
          </w:tcPr>
          <w:p w14:paraId="391871D6" w14:textId="77777777" w:rsidR="00F17551" w:rsidRPr="00657E8C" w:rsidRDefault="00F17551" w:rsidP="00F17551">
            <w:pPr>
              <w:pStyle w:val="ARtablecolheadright"/>
            </w:pPr>
            <w:r w:rsidRPr="00657E8C">
              <w:t>2019</w:t>
            </w:r>
          </w:p>
        </w:tc>
        <w:tc>
          <w:tcPr>
            <w:tcW w:w="1698" w:type="dxa"/>
            <w:tcBorders>
              <w:top w:val="nil"/>
            </w:tcBorders>
          </w:tcPr>
          <w:p w14:paraId="79D3E3F9" w14:textId="77777777" w:rsidR="00F17551" w:rsidRPr="00657E8C" w:rsidRDefault="00F17551" w:rsidP="00F17551">
            <w:pPr>
              <w:pStyle w:val="ARtablecolheadright"/>
            </w:pPr>
            <w:r w:rsidRPr="00657E8C">
              <w:t>2018</w:t>
            </w:r>
          </w:p>
        </w:tc>
      </w:tr>
      <w:tr w:rsidR="00F17551" w:rsidRPr="00657E8C" w14:paraId="58DEF3E0" w14:textId="77777777" w:rsidTr="00F17551">
        <w:tc>
          <w:tcPr>
            <w:tcW w:w="6231" w:type="dxa"/>
            <w:tcBorders>
              <w:top w:val="single" w:sz="4" w:space="0" w:color="000000" w:themeColor="text1"/>
            </w:tcBorders>
          </w:tcPr>
          <w:p w14:paraId="664FFB01" w14:textId="77777777" w:rsidR="00F17551" w:rsidRPr="00657E8C" w:rsidRDefault="00F17551" w:rsidP="00F17551">
            <w:pPr>
              <w:pStyle w:val="ARtabletext"/>
            </w:pPr>
            <w:r w:rsidRPr="00657E8C">
              <w:t>Executives</w:t>
            </w:r>
          </w:p>
        </w:tc>
        <w:tc>
          <w:tcPr>
            <w:tcW w:w="1698" w:type="dxa"/>
            <w:tcBorders>
              <w:top w:val="single" w:sz="4" w:space="0" w:color="000000" w:themeColor="text1"/>
            </w:tcBorders>
          </w:tcPr>
          <w:p w14:paraId="255D369F" w14:textId="77777777" w:rsidR="00F17551" w:rsidRPr="00657E8C" w:rsidRDefault="00F17551" w:rsidP="00F17551">
            <w:pPr>
              <w:pStyle w:val="ARtabletextright"/>
            </w:pPr>
            <w:r w:rsidRPr="00657E8C">
              <w:t>4</w:t>
            </w:r>
          </w:p>
        </w:tc>
        <w:tc>
          <w:tcPr>
            <w:tcW w:w="1698" w:type="dxa"/>
            <w:tcBorders>
              <w:top w:val="single" w:sz="4" w:space="0" w:color="000000" w:themeColor="text1"/>
            </w:tcBorders>
          </w:tcPr>
          <w:p w14:paraId="040542C3" w14:textId="77777777" w:rsidR="00F17551" w:rsidRPr="00657E8C" w:rsidRDefault="00F17551" w:rsidP="00F17551">
            <w:pPr>
              <w:pStyle w:val="ARtabletextright"/>
            </w:pPr>
            <w:r w:rsidRPr="00657E8C">
              <w:t>5</w:t>
            </w:r>
          </w:p>
        </w:tc>
      </w:tr>
      <w:tr w:rsidR="00F17551" w:rsidRPr="00657E8C" w14:paraId="1756F35C" w14:textId="77777777" w:rsidTr="00F17551">
        <w:tc>
          <w:tcPr>
            <w:tcW w:w="6231" w:type="dxa"/>
          </w:tcPr>
          <w:p w14:paraId="7C3ECBB0" w14:textId="77777777" w:rsidR="00F17551" w:rsidRPr="00657E8C" w:rsidRDefault="00F17551" w:rsidP="00F17551">
            <w:pPr>
              <w:pStyle w:val="ARtabletext"/>
            </w:pPr>
            <w:r w:rsidRPr="00657E8C">
              <w:t>Accountable Officer (Chief Executive Officer)</w:t>
            </w:r>
          </w:p>
        </w:tc>
        <w:tc>
          <w:tcPr>
            <w:tcW w:w="1698" w:type="dxa"/>
          </w:tcPr>
          <w:p w14:paraId="10190DAF" w14:textId="77777777" w:rsidR="00F17551" w:rsidRPr="00657E8C" w:rsidRDefault="00F17551" w:rsidP="00F17551">
            <w:pPr>
              <w:pStyle w:val="ARtabletextright"/>
            </w:pPr>
            <w:r w:rsidRPr="00657E8C">
              <w:t>1</w:t>
            </w:r>
          </w:p>
        </w:tc>
        <w:tc>
          <w:tcPr>
            <w:tcW w:w="1698" w:type="dxa"/>
          </w:tcPr>
          <w:p w14:paraId="2C2EB809" w14:textId="77777777" w:rsidR="00F17551" w:rsidRPr="00657E8C" w:rsidRDefault="00F17551" w:rsidP="00F17551">
            <w:pPr>
              <w:pStyle w:val="ARtabletextright"/>
            </w:pPr>
            <w:r w:rsidRPr="00657E8C">
              <w:t>1</w:t>
            </w:r>
          </w:p>
        </w:tc>
      </w:tr>
      <w:tr w:rsidR="00F17551" w:rsidRPr="00657E8C" w14:paraId="1031F497" w14:textId="77777777" w:rsidTr="00F17551">
        <w:tc>
          <w:tcPr>
            <w:tcW w:w="6231" w:type="dxa"/>
          </w:tcPr>
          <w:p w14:paraId="7DC2CBD6" w14:textId="77777777" w:rsidR="00F17551" w:rsidRPr="00657E8C" w:rsidRDefault="00F17551" w:rsidP="00F17551">
            <w:pPr>
              <w:pStyle w:val="ARtabletext"/>
            </w:pPr>
            <w:r w:rsidRPr="00657E8C">
              <w:t>Less separations</w:t>
            </w:r>
          </w:p>
        </w:tc>
        <w:tc>
          <w:tcPr>
            <w:tcW w:w="1698" w:type="dxa"/>
          </w:tcPr>
          <w:p w14:paraId="3512D285" w14:textId="77777777" w:rsidR="00F17551" w:rsidRPr="00657E8C" w:rsidRDefault="00F17551" w:rsidP="00F17551">
            <w:pPr>
              <w:pStyle w:val="ARtabletextright"/>
            </w:pPr>
            <w:r w:rsidRPr="00657E8C">
              <w:t>0</w:t>
            </w:r>
          </w:p>
        </w:tc>
        <w:tc>
          <w:tcPr>
            <w:tcW w:w="1698" w:type="dxa"/>
          </w:tcPr>
          <w:p w14:paraId="2E2302DF" w14:textId="77777777" w:rsidR="00F17551" w:rsidRPr="00657E8C" w:rsidRDefault="00F17551" w:rsidP="00F17551">
            <w:pPr>
              <w:pStyle w:val="ARtabletextright"/>
            </w:pPr>
            <w:r w:rsidRPr="00657E8C">
              <w:t>(1)</w:t>
            </w:r>
          </w:p>
        </w:tc>
      </w:tr>
      <w:tr w:rsidR="00F17551" w:rsidRPr="00657E8C" w14:paraId="22DBD320" w14:textId="77777777" w:rsidTr="00F17551">
        <w:tc>
          <w:tcPr>
            <w:tcW w:w="6231" w:type="dxa"/>
          </w:tcPr>
          <w:p w14:paraId="6780F495" w14:textId="77777777" w:rsidR="00F17551" w:rsidRPr="00657E8C" w:rsidRDefault="00F17551" w:rsidP="00F17551">
            <w:pPr>
              <w:pStyle w:val="ARtabletextbold"/>
            </w:pPr>
            <w:r w:rsidRPr="00657E8C">
              <w:t>Total executive numbers at 30 June 2018</w:t>
            </w:r>
          </w:p>
        </w:tc>
        <w:tc>
          <w:tcPr>
            <w:tcW w:w="1698" w:type="dxa"/>
          </w:tcPr>
          <w:p w14:paraId="5933ED04" w14:textId="77777777" w:rsidR="00F17551" w:rsidRPr="00657E8C" w:rsidRDefault="00F17551" w:rsidP="00F17551">
            <w:pPr>
              <w:pStyle w:val="ARtabletextrightbold"/>
            </w:pPr>
            <w:r w:rsidRPr="00657E8C">
              <w:t>5</w:t>
            </w:r>
          </w:p>
        </w:tc>
        <w:tc>
          <w:tcPr>
            <w:tcW w:w="1698" w:type="dxa"/>
          </w:tcPr>
          <w:p w14:paraId="38189A14" w14:textId="77777777" w:rsidR="00F17551" w:rsidRPr="00657E8C" w:rsidRDefault="00F17551" w:rsidP="00F17551">
            <w:pPr>
              <w:pStyle w:val="ARtabletextrightbold"/>
            </w:pPr>
            <w:r w:rsidRPr="00657E8C">
              <w:t>5</w:t>
            </w:r>
          </w:p>
        </w:tc>
      </w:tr>
    </w:tbl>
    <w:p w14:paraId="663F2EA4" w14:textId="77777777" w:rsidR="00F17551" w:rsidRPr="00657E8C" w:rsidRDefault="00F17551" w:rsidP="00F17551">
      <w:pPr>
        <w:pStyle w:val="Heading4"/>
      </w:pPr>
      <w:r w:rsidRPr="00657E8C">
        <w:t>Table 7: Total number of EOs for Victorian Agency for Health Information, broken down by gender</w:t>
      </w:r>
    </w:p>
    <w:tbl>
      <w:tblPr>
        <w:tblW w:w="9640"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702"/>
        <w:gridCol w:w="284"/>
        <w:gridCol w:w="709"/>
        <w:gridCol w:w="992"/>
        <w:gridCol w:w="283"/>
        <w:gridCol w:w="851"/>
        <w:gridCol w:w="850"/>
        <w:gridCol w:w="284"/>
        <w:gridCol w:w="709"/>
        <w:gridCol w:w="992"/>
        <w:gridCol w:w="283"/>
        <w:gridCol w:w="709"/>
        <w:gridCol w:w="992"/>
      </w:tblGrid>
      <w:tr w:rsidR="00F17551" w:rsidRPr="00657E8C" w14:paraId="49B27264" w14:textId="77777777" w:rsidTr="00F17551">
        <w:trPr>
          <w:cantSplit/>
          <w:tblHeader/>
        </w:trPr>
        <w:tc>
          <w:tcPr>
            <w:tcW w:w="1986" w:type="dxa"/>
            <w:gridSpan w:val="2"/>
            <w:shd w:val="clear" w:color="auto" w:fill="auto"/>
            <w:vAlign w:val="bottom"/>
          </w:tcPr>
          <w:p w14:paraId="20ED3660" w14:textId="77777777" w:rsidR="00F17551" w:rsidRPr="00657E8C" w:rsidRDefault="00F17551" w:rsidP="00F17551">
            <w:pPr>
              <w:pStyle w:val="ARfintablecolheadcentre"/>
            </w:pPr>
          </w:p>
        </w:tc>
        <w:tc>
          <w:tcPr>
            <w:tcW w:w="1984" w:type="dxa"/>
            <w:gridSpan w:val="3"/>
            <w:shd w:val="clear" w:color="auto" w:fill="auto"/>
            <w:vAlign w:val="bottom"/>
          </w:tcPr>
          <w:p w14:paraId="474BD0D3" w14:textId="77777777" w:rsidR="00F17551" w:rsidRPr="00657E8C" w:rsidRDefault="00F17551" w:rsidP="00F17551">
            <w:pPr>
              <w:pStyle w:val="ARtablecolheadcentre"/>
            </w:pPr>
            <w:r w:rsidRPr="00657E8C">
              <w:t>All</w:t>
            </w:r>
          </w:p>
        </w:tc>
        <w:tc>
          <w:tcPr>
            <w:tcW w:w="1985" w:type="dxa"/>
            <w:gridSpan w:val="3"/>
            <w:shd w:val="clear" w:color="auto" w:fill="auto"/>
            <w:vAlign w:val="bottom"/>
          </w:tcPr>
          <w:p w14:paraId="42970139" w14:textId="77777777" w:rsidR="00F17551" w:rsidRPr="00657E8C" w:rsidRDefault="00F17551" w:rsidP="00F17551">
            <w:pPr>
              <w:pStyle w:val="ARtablecolheadcentre"/>
            </w:pPr>
            <w:r w:rsidRPr="00657E8C">
              <w:t>Women</w:t>
            </w:r>
          </w:p>
        </w:tc>
        <w:tc>
          <w:tcPr>
            <w:tcW w:w="1984" w:type="dxa"/>
            <w:gridSpan w:val="3"/>
            <w:shd w:val="clear" w:color="auto" w:fill="auto"/>
            <w:vAlign w:val="bottom"/>
          </w:tcPr>
          <w:p w14:paraId="3616C7FE" w14:textId="77777777" w:rsidR="00F17551" w:rsidRPr="00657E8C" w:rsidRDefault="00F17551" w:rsidP="00F17551">
            <w:pPr>
              <w:pStyle w:val="ARtablecolheadcentre"/>
            </w:pPr>
            <w:r w:rsidRPr="00657E8C">
              <w:t>Men</w:t>
            </w:r>
          </w:p>
        </w:tc>
        <w:tc>
          <w:tcPr>
            <w:tcW w:w="1701" w:type="dxa"/>
            <w:gridSpan w:val="2"/>
            <w:shd w:val="clear" w:color="auto" w:fill="auto"/>
            <w:vAlign w:val="bottom"/>
          </w:tcPr>
          <w:p w14:paraId="23031E69" w14:textId="77777777" w:rsidR="00F17551" w:rsidRPr="00657E8C" w:rsidRDefault="00F17551" w:rsidP="00F17551">
            <w:pPr>
              <w:pStyle w:val="ARtablecolheadcentre"/>
            </w:pPr>
            <w:r w:rsidRPr="00657E8C">
              <w:t>Self-described</w:t>
            </w:r>
          </w:p>
        </w:tc>
      </w:tr>
      <w:tr w:rsidR="00F17551" w:rsidRPr="00657E8C" w14:paraId="2A7BD869" w14:textId="77777777" w:rsidTr="00F17551">
        <w:trPr>
          <w:cantSplit/>
          <w:tblHeader/>
        </w:trPr>
        <w:tc>
          <w:tcPr>
            <w:tcW w:w="1702" w:type="dxa"/>
            <w:shd w:val="clear" w:color="auto" w:fill="auto"/>
            <w:vAlign w:val="bottom"/>
          </w:tcPr>
          <w:p w14:paraId="5DDB54C5" w14:textId="77777777" w:rsidR="00F17551" w:rsidRPr="00657E8C" w:rsidRDefault="00F17551" w:rsidP="00F17551">
            <w:pPr>
              <w:pStyle w:val="ARtablecolhead"/>
            </w:pPr>
            <w:r w:rsidRPr="00657E8C">
              <w:t>Class</w:t>
            </w:r>
          </w:p>
        </w:tc>
        <w:tc>
          <w:tcPr>
            <w:tcW w:w="993" w:type="dxa"/>
            <w:gridSpan w:val="2"/>
            <w:shd w:val="clear" w:color="auto" w:fill="auto"/>
            <w:vAlign w:val="bottom"/>
          </w:tcPr>
          <w:p w14:paraId="424FFFBA" w14:textId="77777777" w:rsidR="00F17551" w:rsidRPr="00657E8C" w:rsidRDefault="00F17551" w:rsidP="00F17551">
            <w:pPr>
              <w:pStyle w:val="ARtablecolheadright"/>
            </w:pPr>
            <w:r w:rsidRPr="00657E8C">
              <w:t>No.</w:t>
            </w:r>
          </w:p>
        </w:tc>
        <w:tc>
          <w:tcPr>
            <w:tcW w:w="992" w:type="dxa"/>
            <w:shd w:val="clear" w:color="auto" w:fill="auto"/>
            <w:vAlign w:val="bottom"/>
          </w:tcPr>
          <w:p w14:paraId="12126D92" w14:textId="77777777" w:rsidR="00F17551" w:rsidRPr="00657E8C" w:rsidRDefault="00F17551" w:rsidP="00F17551">
            <w:pPr>
              <w:pStyle w:val="ARtablecolheadright"/>
            </w:pPr>
            <w:r w:rsidRPr="00657E8C">
              <w:t>Var.</w:t>
            </w:r>
          </w:p>
        </w:tc>
        <w:tc>
          <w:tcPr>
            <w:tcW w:w="1134" w:type="dxa"/>
            <w:gridSpan w:val="2"/>
            <w:shd w:val="clear" w:color="auto" w:fill="auto"/>
            <w:vAlign w:val="bottom"/>
          </w:tcPr>
          <w:p w14:paraId="68023C33" w14:textId="77777777" w:rsidR="00F17551" w:rsidRPr="00657E8C" w:rsidRDefault="00F17551" w:rsidP="00F17551">
            <w:pPr>
              <w:pStyle w:val="ARtablecolheadright"/>
            </w:pPr>
            <w:r w:rsidRPr="00657E8C">
              <w:t>No.</w:t>
            </w:r>
          </w:p>
        </w:tc>
        <w:tc>
          <w:tcPr>
            <w:tcW w:w="850" w:type="dxa"/>
            <w:shd w:val="clear" w:color="auto" w:fill="auto"/>
            <w:vAlign w:val="bottom"/>
          </w:tcPr>
          <w:p w14:paraId="38CC5947" w14:textId="77777777" w:rsidR="00F17551" w:rsidRPr="00657E8C" w:rsidRDefault="00F17551" w:rsidP="00F17551">
            <w:pPr>
              <w:pStyle w:val="ARtablecolheadright"/>
            </w:pPr>
            <w:r w:rsidRPr="00657E8C">
              <w:t>Var.</w:t>
            </w:r>
          </w:p>
        </w:tc>
        <w:tc>
          <w:tcPr>
            <w:tcW w:w="993" w:type="dxa"/>
            <w:gridSpan w:val="2"/>
            <w:shd w:val="clear" w:color="auto" w:fill="auto"/>
            <w:vAlign w:val="bottom"/>
          </w:tcPr>
          <w:p w14:paraId="1289D016" w14:textId="77777777" w:rsidR="00F17551" w:rsidRPr="00657E8C" w:rsidRDefault="00F17551" w:rsidP="00F17551">
            <w:pPr>
              <w:pStyle w:val="ARtablecolheadright"/>
            </w:pPr>
            <w:r w:rsidRPr="00657E8C">
              <w:t>No.</w:t>
            </w:r>
          </w:p>
        </w:tc>
        <w:tc>
          <w:tcPr>
            <w:tcW w:w="992" w:type="dxa"/>
            <w:shd w:val="clear" w:color="auto" w:fill="auto"/>
            <w:vAlign w:val="bottom"/>
          </w:tcPr>
          <w:p w14:paraId="4C00A6EC" w14:textId="77777777" w:rsidR="00F17551" w:rsidRPr="00657E8C" w:rsidRDefault="00F17551" w:rsidP="00F17551">
            <w:pPr>
              <w:pStyle w:val="ARtablecolheadright"/>
            </w:pPr>
            <w:r w:rsidRPr="00657E8C">
              <w:t>Var.</w:t>
            </w:r>
          </w:p>
        </w:tc>
        <w:tc>
          <w:tcPr>
            <w:tcW w:w="992" w:type="dxa"/>
            <w:gridSpan w:val="2"/>
            <w:shd w:val="clear" w:color="auto" w:fill="auto"/>
            <w:vAlign w:val="bottom"/>
          </w:tcPr>
          <w:p w14:paraId="501077C9" w14:textId="77777777" w:rsidR="00F17551" w:rsidRPr="00657E8C" w:rsidRDefault="00F17551" w:rsidP="00F17551">
            <w:pPr>
              <w:pStyle w:val="ARtablecolheadright"/>
            </w:pPr>
            <w:r w:rsidRPr="00657E8C">
              <w:t>No.</w:t>
            </w:r>
          </w:p>
        </w:tc>
        <w:tc>
          <w:tcPr>
            <w:tcW w:w="992" w:type="dxa"/>
            <w:shd w:val="clear" w:color="auto" w:fill="auto"/>
          </w:tcPr>
          <w:p w14:paraId="22D041DF" w14:textId="77777777" w:rsidR="00F17551" w:rsidRPr="00657E8C" w:rsidRDefault="00F17551" w:rsidP="00F17551">
            <w:pPr>
              <w:pStyle w:val="ARtablecolheadright"/>
            </w:pPr>
            <w:r w:rsidRPr="00657E8C">
              <w:t>Var.</w:t>
            </w:r>
          </w:p>
        </w:tc>
      </w:tr>
      <w:tr w:rsidR="00F17551" w:rsidRPr="00657E8C" w14:paraId="56B270A3" w14:textId="77777777" w:rsidTr="00F17551">
        <w:trPr>
          <w:cantSplit/>
          <w:trHeight w:hRule="exact" w:val="340"/>
        </w:trPr>
        <w:tc>
          <w:tcPr>
            <w:tcW w:w="1702" w:type="dxa"/>
            <w:shd w:val="clear" w:color="auto" w:fill="auto"/>
          </w:tcPr>
          <w:p w14:paraId="6C2A0A29" w14:textId="77777777" w:rsidR="00F17551" w:rsidRPr="00657E8C" w:rsidRDefault="00F17551" w:rsidP="00F17551">
            <w:pPr>
              <w:pStyle w:val="ARtabletext"/>
            </w:pPr>
            <w:r w:rsidRPr="00657E8C">
              <w:t>EO-1</w:t>
            </w:r>
          </w:p>
        </w:tc>
        <w:tc>
          <w:tcPr>
            <w:tcW w:w="993" w:type="dxa"/>
            <w:gridSpan w:val="2"/>
            <w:shd w:val="clear" w:color="auto" w:fill="auto"/>
          </w:tcPr>
          <w:p w14:paraId="23D4B4D1" w14:textId="77777777" w:rsidR="00F17551" w:rsidRPr="00657E8C" w:rsidRDefault="00F17551" w:rsidP="00F17551">
            <w:pPr>
              <w:pStyle w:val="ARtabletextright"/>
            </w:pPr>
            <w:r w:rsidRPr="00657E8C">
              <w:t>1</w:t>
            </w:r>
          </w:p>
        </w:tc>
        <w:tc>
          <w:tcPr>
            <w:tcW w:w="992" w:type="dxa"/>
            <w:shd w:val="clear" w:color="auto" w:fill="auto"/>
          </w:tcPr>
          <w:p w14:paraId="32297B63" w14:textId="77777777" w:rsidR="00F17551" w:rsidRPr="00657E8C" w:rsidRDefault="00F17551" w:rsidP="00F17551">
            <w:pPr>
              <w:pStyle w:val="ARtabletextright"/>
            </w:pPr>
            <w:r w:rsidRPr="00657E8C">
              <w:t>0</w:t>
            </w:r>
          </w:p>
        </w:tc>
        <w:tc>
          <w:tcPr>
            <w:tcW w:w="1134" w:type="dxa"/>
            <w:gridSpan w:val="2"/>
            <w:shd w:val="clear" w:color="auto" w:fill="auto"/>
          </w:tcPr>
          <w:p w14:paraId="7C6F470C" w14:textId="77777777" w:rsidR="00F17551" w:rsidRPr="00657E8C" w:rsidRDefault="00F17551" w:rsidP="00F17551">
            <w:pPr>
              <w:pStyle w:val="ARtabletextright"/>
            </w:pPr>
            <w:r w:rsidRPr="00657E8C">
              <w:t>0</w:t>
            </w:r>
          </w:p>
        </w:tc>
        <w:tc>
          <w:tcPr>
            <w:tcW w:w="850" w:type="dxa"/>
            <w:shd w:val="clear" w:color="auto" w:fill="auto"/>
          </w:tcPr>
          <w:p w14:paraId="54059F81" w14:textId="77777777" w:rsidR="00F17551" w:rsidRPr="00657E8C" w:rsidRDefault="00F17551" w:rsidP="00F17551">
            <w:pPr>
              <w:pStyle w:val="ARtabletextright"/>
            </w:pPr>
            <w:r w:rsidRPr="00657E8C">
              <w:t>0</w:t>
            </w:r>
          </w:p>
        </w:tc>
        <w:tc>
          <w:tcPr>
            <w:tcW w:w="993" w:type="dxa"/>
            <w:gridSpan w:val="2"/>
            <w:shd w:val="clear" w:color="auto" w:fill="auto"/>
          </w:tcPr>
          <w:p w14:paraId="76C4F359" w14:textId="77777777" w:rsidR="00F17551" w:rsidRPr="00657E8C" w:rsidRDefault="00F17551" w:rsidP="00F17551">
            <w:pPr>
              <w:pStyle w:val="ARtabletextright"/>
            </w:pPr>
            <w:r w:rsidRPr="00657E8C">
              <w:t>1</w:t>
            </w:r>
          </w:p>
        </w:tc>
        <w:tc>
          <w:tcPr>
            <w:tcW w:w="992" w:type="dxa"/>
            <w:shd w:val="clear" w:color="auto" w:fill="auto"/>
          </w:tcPr>
          <w:p w14:paraId="7CB89537" w14:textId="77777777" w:rsidR="00F17551" w:rsidRPr="00657E8C" w:rsidRDefault="00F17551" w:rsidP="00F17551">
            <w:pPr>
              <w:pStyle w:val="ARtabletextright"/>
            </w:pPr>
            <w:r w:rsidRPr="00657E8C">
              <w:t>0</w:t>
            </w:r>
          </w:p>
        </w:tc>
        <w:tc>
          <w:tcPr>
            <w:tcW w:w="992" w:type="dxa"/>
            <w:gridSpan w:val="2"/>
            <w:shd w:val="clear" w:color="auto" w:fill="auto"/>
          </w:tcPr>
          <w:p w14:paraId="504150CC" w14:textId="77777777" w:rsidR="00F17551" w:rsidRPr="00657E8C" w:rsidRDefault="00F17551" w:rsidP="00F17551">
            <w:pPr>
              <w:pStyle w:val="ARtabletextright"/>
            </w:pPr>
            <w:r w:rsidRPr="00657E8C">
              <w:t>0</w:t>
            </w:r>
          </w:p>
        </w:tc>
        <w:tc>
          <w:tcPr>
            <w:tcW w:w="992" w:type="dxa"/>
            <w:shd w:val="clear" w:color="auto" w:fill="auto"/>
          </w:tcPr>
          <w:p w14:paraId="74C578A6" w14:textId="77777777" w:rsidR="00F17551" w:rsidRPr="00657E8C" w:rsidRDefault="00F17551" w:rsidP="00F17551">
            <w:pPr>
              <w:pStyle w:val="ARtabletextright"/>
            </w:pPr>
            <w:r w:rsidRPr="00657E8C">
              <w:t>0</w:t>
            </w:r>
          </w:p>
        </w:tc>
      </w:tr>
      <w:tr w:rsidR="00F17551" w:rsidRPr="00657E8C" w14:paraId="77F13FC2" w14:textId="77777777" w:rsidTr="00F17551">
        <w:trPr>
          <w:cantSplit/>
          <w:trHeight w:hRule="exact" w:val="340"/>
        </w:trPr>
        <w:tc>
          <w:tcPr>
            <w:tcW w:w="1702" w:type="dxa"/>
            <w:shd w:val="clear" w:color="auto" w:fill="auto"/>
          </w:tcPr>
          <w:p w14:paraId="169812A1" w14:textId="77777777" w:rsidR="00F17551" w:rsidRPr="00657E8C" w:rsidRDefault="00F17551" w:rsidP="00F17551">
            <w:pPr>
              <w:pStyle w:val="ARtabletext"/>
            </w:pPr>
            <w:r w:rsidRPr="00657E8C">
              <w:t>EO-2</w:t>
            </w:r>
          </w:p>
        </w:tc>
        <w:tc>
          <w:tcPr>
            <w:tcW w:w="993" w:type="dxa"/>
            <w:gridSpan w:val="2"/>
            <w:shd w:val="clear" w:color="auto" w:fill="auto"/>
          </w:tcPr>
          <w:p w14:paraId="630F762A" w14:textId="77777777" w:rsidR="00F17551" w:rsidRPr="00657E8C" w:rsidRDefault="00F17551" w:rsidP="00F17551">
            <w:pPr>
              <w:pStyle w:val="ARtabletextright"/>
            </w:pPr>
            <w:r w:rsidRPr="00657E8C">
              <w:t>1</w:t>
            </w:r>
          </w:p>
        </w:tc>
        <w:tc>
          <w:tcPr>
            <w:tcW w:w="992" w:type="dxa"/>
            <w:shd w:val="clear" w:color="auto" w:fill="auto"/>
          </w:tcPr>
          <w:p w14:paraId="633514A1" w14:textId="77777777" w:rsidR="00F17551" w:rsidRPr="00657E8C" w:rsidRDefault="00F17551" w:rsidP="00F17551">
            <w:pPr>
              <w:pStyle w:val="ARtabletextright"/>
            </w:pPr>
            <w:r w:rsidRPr="00657E8C">
              <w:t>0</w:t>
            </w:r>
          </w:p>
        </w:tc>
        <w:tc>
          <w:tcPr>
            <w:tcW w:w="1134" w:type="dxa"/>
            <w:gridSpan w:val="2"/>
            <w:shd w:val="clear" w:color="auto" w:fill="auto"/>
          </w:tcPr>
          <w:p w14:paraId="0665497F" w14:textId="77777777" w:rsidR="00F17551" w:rsidRPr="00657E8C" w:rsidRDefault="00F17551" w:rsidP="00F17551">
            <w:pPr>
              <w:pStyle w:val="ARtabletextright"/>
            </w:pPr>
            <w:r w:rsidRPr="00657E8C">
              <w:t>1</w:t>
            </w:r>
          </w:p>
        </w:tc>
        <w:tc>
          <w:tcPr>
            <w:tcW w:w="850" w:type="dxa"/>
            <w:shd w:val="clear" w:color="auto" w:fill="auto"/>
          </w:tcPr>
          <w:p w14:paraId="76C13AEA" w14:textId="77777777" w:rsidR="00F17551" w:rsidRPr="00657E8C" w:rsidRDefault="00F17551" w:rsidP="00F17551">
            <w:pPr>
              <w:pStyle w:val="ARtabletextright"/>
            </w:pPr>
            <w:r w:rsidRPr="00657E8C">
              <w:t>0</w:t>
            </w:r>
          </w:p>
        </w:tc>
        <w:tc>
          <w:tcPr>
            <w:tcW w:w="993" w:type="dxa"/>
            <w:gridSpan w:val="2"/>
            <w:shd w:val="clear" w:color="auto" w:fill="auto"/>
          </w:tcPr>
          <w:p w14:paraId="6DFE2289" w14:textId="77777777" w:rsidR="00F17551" w:rsidRPr="00657E8C" w:rsidRDefault="00F17551" w:rsidP="00F17551">
            <w:pPr>
              <w:pStyle w:val="ARtabletextright"/>
            </w:pPr>
            <w:r w:rsidRPr="00657E8C">
              <w:t>0</w:t>
            </w:r>
          </w:p>
        </w:tc>
        <w:tc>
          <w:tcPr>
            <w:tcW w:w="992" w:type="dxa"/>
            <w:shd w:val="clear" w:color="auto" w:fill="auto"/>
          </w:tcPr>
          <w:p w14:paraId="497FC19A" w14:textId="77777777" w:rsidR="00F17551" w:rsidRPr="00657E8C" w:rsidRDefault="00F17551" w:rsidP="00F17551">
            <w:pPr>
              <w:pStyle w:val="ARtabletextright"/>
            </w:pPr>
            <w:r w:rsidRPr="00657E8C">
              <w:t>0</w:t>
            </w:r>
          </w:p>
        </w:tc>
        <w:tc>
          <w:tcPr>
            <w:tcW w:w="992" w:type="dxa"/>
            <w:gridSpan w:val="2"/>
            <w:shd w:val="clear" w:color="auto" w:fill="auto"/>
          </w:tcPr>
          <w:p w14:paraId="45331713" w14:textId="77777777" w:rsidR="00F17551" w:rsidRPr="00657E8C" w:rsidRDefault="00F17551" w:rsidP="00F17551">
            <w:pPr>
              <w:pStyle w:val="ARtabletextright"/>
            </w:pPr>
            <w:r w:rsidRPr="00657E8C">
              <w:t>0</w:t>
            </w:r>
          </w:p>
        </w:tc>
        <w:tc>
          <w:tcPr>
            <w:tcW w:w="992" w:type="dxa"/>
            <w:shd w:val="clear" w:color="auto" w:fill="auto"/>
          </w:tcPr>
          <w:p w14:paraId="5408FD7B" w14:textId="77777777" w:rsidR="00F17551" w:rsidRPr="00657E8C" w:rsidRDefault="00F17551" w:rsidP="00F17551">
            <w:pPr>
              <w:pStyle w:val="ARtabletextright"/>
            </w:pPr>
            <w:r w:rsidRPr="00657E8C">
              <w:t>0</w:t>
            </w:r>
          </w:p>
        </w:tc>
      </w:tr>
      <w:tr w:rsidR="00F17551" w:rsidRPr="00657E8C" w14:paraId="1063490C" w14:textId="77777777" w:rsidTr="00F17551">
        <w:trPr>
          <w:cantSplit/>
          <w:trHeight w:hRule="exact" w:val="340"/>
        </w:trPr>
        <w:tc>
          <w:tcPr>
            <w:tcW w:w="1702" w:type="dxa"/>
            <w:shd w:val="clear" w:color="auto" w:fill="auto"/>
          </w:tcPr>
          <w:p w14:paraId="7D27DAC7" w14:textId="77777777" w:rsidR="00F17551" w:rsidRPr="00657E8C" w:rsidRDefault="00F17551" w:rsidP="00F17551">
            <w:pPr>
              <w:pStyle w:val="ARtabletext"/>
            </w:pPr>
            <w:r w:rsidRPr="00657E8C">
              <w:t>EO-3</w:t>
            </w:r>
          </w:p>
        </w:tc>
        <w:tc>
          <w:tcPr>
            <w:tcW w:w="993" w:type="dxa"/>
            <w:gridSpan w:val="2"/>
            <w:shd w:val="clear" w:color="auto" w:fill="auto"/>
          </w:tcPr>
          <w:p w14:paraId="7D00F44F" w14:textId="77777777" w:rsidR="00F17551" w:rsidRPr="00657E8C" w:rsidRDefault="00F17551" w:rsidP="00F17551">
            <w:pPr>
              <w:pStyle w:val="ARtabletextright"/>
            </w:pPr>
            <w:r w:rsidRPr="00657E8C">
              <w:t>4</w:t>
            </w:r>
          </w:p>
        </w:tc>
        <w:tc>
          <w:tcPr>
            <w:tcW w:w="992" w:type="dxa"/>
            <w:shd w:val="clear" w:color="auto" w:fill="auto"/>
          </w:tcPr>
          <w:p w14:paraId="28A969D2" w14:textId="77777777" w:rsidR="00F17551" w:rsidRPr="00657E8C" w:rsidRDefault="00F17551" w:rsidP="00F17551">
            <w:pPr>
              <w:pStyle w:val="ARtabletextright"/>
            </w:pPr>
            <w:r w:rsidRPr="00657E8C">
              <w:t>0</w:t>
            </w:r>
          </w:p>
        </w:tc>
        <w:tc>
          <w:tcPr>
            <w:tcW w:w="1134" w:type="dxa"/>
            <w:gridSpan w:val="2"/>
            <w:shd w:val="clear" w:color="auto" w:fill="auto"/>
          </w:tcPr>
          <w:p w14:paraId="064D5F28" w14:textId="77777777" w:rsidR="00F17551" w:rsidRPr="00657E8C" w:rsidRDefault="00F17551" w:rsidP="00F17551">
            <w:pPr>
              <w:pStyle w:val="ARtabletextright"/>
            </w:pPr>
            <w:r w:rsidRPr="00657E8C">
              <w:t>2</w:t>
            </w:r>
          </w:p>
        </w:tc>
        <w:tc>
          <w:tcPr>
            <w:tcW w:w="850" w:type="dxa"/>
            <w:shd w:val="clear" w:color="auto" w:fill="auto"/>
          </w:tcPr>
          <w:p w14:paraId="6148280B" w14:textId="77777777" w:rsidR="00F17551" w:rsidRPr="00657E8C" w:rsidRDefault="00F17551" w:rsidP="00F17551">
            <w:pPr>
              <w:pStyle w:val="ARtabletextright"/>
            </w:pPr>
            <w:r w:rsidRPr="00657E8C">
              <w:t>1</w:t>
            </w:r>
          </w:p>
        </w:tc>
        <w:tc>
          <w:tcPr>
            <w:tcW w:w="993" w:type="dxa"/>
            <w:gridSpan w:val="2"/>
            <w:shd w:val="clear" w:color="auto" w:fill="auto"/>
          </w:tcPr>
          <w:p w14:paraId="283515C6" w14:textId="77777777" w:rsidR="00F17551" w:rsidRPr="00657E8C" w:rsidRDefault="00F17551" w:rsidP="00F17551">
            <w:pPr>
              <w:pStyle w:val="ARtabletextright"/>
            </w:pPr>
            <w:r w:rsidRPr="00657E8C">
              <w:t>2</w:t>
            </w:r>
          </w:p>
        </w:tc>
        <w:tc>
          <w:tcPr>
            <w:tcW w:w="992" w:type="dxa"/>
            <w:shd w:val="clear" w:color="auto" w:fill="auto"/>
          </w:tcPr>
          <w:p w14:paraId="1791165D" w14:textId="77777777" w:rsidR="00F17551" w:rsidRPr="00657E8C" w:rsidRDefault="00F17551" w:rsidP="00F17551">
            <w:pPr>
              <w:pStyle w:val="ARtabletextright"/>
            </w:pPr>
            <w:r w:rsidRPr="00657E8C">
              <w:t>(1)</w:t>
            </w:r>
          </w:p>
        </w:tc>
        <w:tc>
          <w:tcPr>
            <w:tcW w:w="992" w:type="dxa"/>
            <w:gridSpan w:val="2"/>
            <w:shd w:val="clear" w:color="auto" w:fill="auto"/>
          </w:tcPr>
          <w:p w14:paraId="3413A190" w14:textId="77777777" w:rsidR="00F17551" w:rsidRPr="00657E8C" w:rsidRDefault="00F17551" w:rsidP="00F17551">
            <w:pPr>
              <w:pStyle w:val="ARtabletextright"/>
            </w:pPr>
            <w:r w:rsidRPr="00657E8C">
              <w:t>0</w:t>
            </w:r>
          </w:p>
        </w:tc>
        <w:tc>
          <w:tcPr>
            <w:tcW w:w="992" w:type="dxa"/>
            <w:shd w:val="clear" w:color="auto" w:fill="auto"/>
          </w:tcPr>
          <w:p w14:paraId="7029D87E" w14:textId="77777777" w:rsidR="00F17551" w:rsidRPr="00657E8C" w:rsidRDefault="00F17551" w:rsidP="00F17551">
            <w:pPr>
              <w:pStyle w:val="ARtabletextright"/>
            </w:pPr>
            <w:r w:rsidRPr="00657E8C">
              <w:t>0</w:t>
            </w:r>
          </w:p>
        </w:tc>
      </w:tr>
      <w:tr w:rsidR="00F17551" w:rsidRPr="00657E8C" w14:paraId="0EC2B977" w14:textId="77777777" w:rsidTr="00F17551">
        <w:trPr>
          <w:cantSplit/>
          <w:trHeight w:hRule="exact" w:val="340"/>
        </w:trPr>
        <w:tc>
          <w:tcPr>
            <w:tcW w:w="1702" w:type="dxa"/>
            <w:shd w:val="clear" w:color="auto" w:fill="auto"/>
          </w:tcPr>
          <w:p w14:paraId="4BF5FACB" w14:textId="77777777" w:rsidR="00F17551" w:rsidRPr="00657E8C" w:rsidRDefault="00F17551" w:rsidP="00F17551">
            <w:pPr>
              <w:pStyle w:val="ARtabletextbold"/>
            </w:pPr>
            <w:r w:rsidRPr="00657E8C">
              <w:t>Total</w:t>
            </w:r>
          </w:p>
        </w:tc>
        <w:tc>
          <w:tcPr>
            <w:tcW w:w="993" w:type="dxa"/>
            <w:gridSpan w:val="2"/>
            <w:shd w:val="clear" w:color="auto" w:fill="auto"/>
          </w:tcPr>
          <w:p w14:paraId="36A328BF" w14:textId="77777777" w:rsidR="00F17551" w:rsidRPr="00657E8C" w:rsidRDefault="00F17551" w:rsidP="00F17551">
            <w:pPr>
              <w:pStyle w:val="ARtabletextrightbold"/>
            </w:pPr>
            <w:r w:rsidRPr="00657E8C">
              <w:t>6</w:t>
            </w:r>
          </w:p>
        </w:tc>
        <w:tc>
          <w:tcPr>
            <w:tcW w:w="992" w:type="dxa"/>
            <w:shd w:val="clear" w:color="auto" w:fill="auto"/>
          </w:tcPr>
          <w:p w14:paraId="2C5EE98D" w14:textId="77777777" w:rsidR="00F17551" w:rsidRPr="00657E8C" w:rsidRDefault="00F17551" w:rsidP="00F17551">
            <w:pPr>
              <w:pStyle w:val="ARtabletextrightbold"/>
            </w:pPr>
            <w:r w:rsidRPr="00657E8C">
              <w:t>0</w:t>
            </w:r>
          </w:p>
        </w:tc>
        <w:tc>
          <w:tcPr>
            <w:tcW w:w="1134" w:type="dxa"/>
            <w:gridSpan w:val="2"/>
            <w:shd w:val="clear" w:color="auto" w:fill="auto"/>
          </w:tcPr>
          <w:p w14:paraId="5032889C" w14:textId="77777777" w:rsidR="00F17551" w:rsidRPr="00657E8C" w:rsidRDefault="00F17551" w:rsidP="00F17551">
            <w:pPr>
              <w:pStyle w:val="ARtabletextrightbold"/>
            </w:pPr>
            <w:r w:rsidRPr="00657E8C">
              <w:t>3</w:t>
            </w:r>
          </w:p>
        </w:tc>
        <w:tc>
          <w:tcPr>
            <w:tcW w:w="850" w:type="dxa"/>
            <w:shd w:val="clear" w:color="auto" w:fill="auto"/>
          </w:tcPr>
          <w:p w14:paraId="3DAF9FF7" w14:textId="77777777" w:rsidR="00F17551" w:rsidRPr="00657E8C" w:rsidRDefault="00F17551" w:rsidP="00F17551">
            <w:pPr>
              <w:pStyle w:val="ARtabletextrightbold"/>
            </w:pPr>
            <w:r w:rsidRPr="00657E8C">
              <w:t>1</w:t>
            </w:r>
          </w:p>
        </w:tc>
        <w:tc>
          <w:tcPr>
            <w:tcW w:w="993" w:type="dxa"/>
            <w:gridSpan w:val="2"/>
            <w:shd w:val="clear" w:color="auto" w:fill="auto"/>
          </w:tcPr>
          <w:p w14:paraId="159891A9" w14:textId="77777777" w:rsidR="00F17551" w:rsidRPr="00657E8C" w:rsidRDefault="00F17551" w:rsidP="00F17551">
            <w:pPr>
              <w:pStyle w:val="ARtabletextrightbold"/>
            </w:pPr>
            <w:r w:rsidRPr="00657E8C">
              <w:t>3</w:t>
            </w:r>
          </w:p>
        </w:tc>
        <w:tc>
          <w:tcPr>
            <w:tcW w:w="992" w:type="dxa"/>
            <w:shd w:val="clear" w:color="auto" w:fill="auto"/>
          </w:tcPr>
          <w:p w14:paraId="1918CC73" w14:textId="77777777" w:rsidR="00F17551" w:rsidRPr="00657E8C" w:rsidRDefault="00F17551" w:rsidP="00F17551">
            <w:pPr>
              <w:pStyle w:val="ARtabletextrightbold"/>
            </w:pPr>
            <w:r w:rsidRPr="00657E8C">
              <w:t>(1)</w:t>
            </w:r>
          </w:p>
        </w:tc>
        <w:tc>
          <w:tcPr>
            <w:tcW w:w="992" w:type="dxa"/>
            <w:gridSpan w:val="2"/>
            <w:shd w:val="clear" w:color="auto" w:fill="auto"/>
          </w:tcPr>
          <w:p w14:paraId="67681943" w14:textId="77777777" w:rsidR="00F17551" w:rsidRPr="00657E8C" w:rsidRDefault="00F17551" w:rsidP="00F17551">
            <w:pPr>
              <w:pStyle w:val="ARtabletextrightbold"/>
            </w:pPr>
            <w:r w:rsidRPr="00657E8C">
              <w:t>0</w:t>
            </w:r>
          </w:p>
        </w:tc>
        <w:tc>
          <w:tcPr>
            <w:tcW w:w="992" w:type="dxa"/>
            <w:shd w:val="clear" w:color="auto" w:fill="auto"/>
          </w:tcPr>
          <w:p w14:paraId="1F9E161A" w14:textId="77777777" w:rsidR="00F17551" w:rsidRPr="00657E8C" w:rsidRDefault="00F17551" w:rsidP="00F17551">
            <w:pPr>
              <w:pStyle w:val="ARtabletextrightbold"/>
            </w:pPr>
            <w:r w:rsidRPr="00657E8C">
              <w:t>0</w:t>
            </w:r>
          </w:p>
        </w:tc>
      </w:tr>
    </w:tbl>
    <w:p w14:paraId="5F51D1C9" w14:textId="77777777" w:rsidR="00F17551" w:rsidRPr="00657E8C" w:rsidRDefault="00F17551" w:rsidP="000B7C6C">
      <w:pPr>
        <w:pStyle w:val="ARbodyaftertable"/>
        <w:spacing w:before="120"/>
      </w:pPr>
      <w:r w:rsidRPr="00657E8C">
        <w:t>The number of executives in the report of operations is based on the number of executive positions that are occupied at the end of the financial year.</w:t>
      </w:r>
      <w:r w:rsidR="008066A4" w:rsidRPr="00657E8C">
        <w:t xml:space="preserve"> </w:t>
      </w:r>
      <w:r w:rsidRPr="00657E8C">
        <w:t>Note 9.7 in the financial statements lists the actual number of EOs and the total remuneration paid to EOs over the course of the reporting period.</w:t>
      </w:r>
      <w:r w:rsidR="008066A4" w:rsidRPr="00657E8C">
        <w:t xml:space="preserve"> </w:t>
      </w:r>
      <w:r w:rsidRPr="00657E8C">
        <w:t xml:space="preserve">The financial statements note does not include the Accountable Officer, nor does it distinguish between executive levels or disclose separations. Separations are executives who have left the </w:t>
      </w:r>
      <w:r w:rsidR="00F9296C">
        <w:t>d</w:t>
      </w:r>
      <w:r w:rsidRPr="00657E8C">
        <w:t>epartment during the relevant reporting period.</w:t>
      </w:r>
      <w:r w:rsidR="008066A4" w:rsidRPr="00657E8C">
        <w:t xml:space="preserve"> </w:t>
      </w:r>
      <w:r w:rsidRPr="00657E8C">
        <w:t>To assist readers, these two disclosures are reconciled below.</w:t>
      </w:r>
    </w:p>
    <w:p w14:paraId="60E9F7C4" w14:textId="77777777" w:rsidR="00F17551" w:rsidRPr="00657E8C" w:rsidRDefault="00F17551" w:rsidP="00F17551">
      <w:pPr>
        <w:pStyle w:val="Heading4"/>
      </w:pPr>
      <w:bookmarkStart w:id="140" w:name="_Hlk19622333"/>
      <w:r w:rsidRPr="00657E8C">
        <w:t>Table 8: Reconciliation of executive numbers for Victorian Agency for Health Information</w:t>
      </w:r>
    </w:p>
    <w:bookmarkEnd w:id="140"/>
    <w:tbl>
      <w:tblPr>
        <w:tblStyle w:val="TableGrid"/>
        <w:tblW w:w="0" w:type="auto"/>
        <w:tblLook w:val="06A0" w:firstRow="1" w:lastRow="0" w:firstColumn="1" w:lastColumn="0" w:noHBand="1" w:noVBand="1"/>
      </w:tblPr>
      <w:tblGrid>
        <w:gridCol w:w="6231"/>
        <w:gridCol w:w="1698"/>
        <w:gridCol w:w="1698"/>
      </w:tblGrid>
      <w:tr w:rsidR="00F17551" w:rsidRPr="00657E8C" w14:paraId="546D8C7F" w14:textId="77777777" w:rsidTr="00F17551">
        <w:trPr>
          <w:cnfStyle w:val="100000000000" w:firstRow="1" w:lastRow="0" w:firstColumn="0" w:lastColumn="0" w:oddVBand="0" w:evenVBand="0" w:oddHBand="0" w:evenHBand="0" w:firstRowFirstColumn="0" w:firstRowLastColumn="0" w:lastRowFirstColumn="0" w:lastRowLastColumn="0"/>
          <w:tblHeader/>
        </w:trPr>
        <w:tc>
          <w:tcPr>
            <w:tcW w:w="6231" w:type="dxa"/>
            <w:tcBorders>
              <w:top w:val="nil"/>
            </w:tcBorders>
          </w:tcPr>
          <w:p w14:paraId="0AD2FBB0" w14:textId="77777777" w:rsidR="00F17551" w:rsidRPr="00657E8C" w:rsidRDefault="00F17551" w:rsidP="00F17551">
            <w:pPr>
              <w:pStyle w:val="ARtabletext"/>
            </w:pPr>
          </w:p>
        </w:tc>
        <w:tc>
          <w:tcPr>
            <w:tcW w:w="1698" w:type="dxa"/>
            <w:tcBorders>
              <w:top w:val="nil"/>
            </w:tcBorders>
          </w:tcPr>
          <w:p w14:paraId="5B0E4E7A" w14:textId="77777777" w:rsidR="00F17551" w:rsidRPr="00657E8C" w:rsidRDefault="00F17551" w:rsidP="00F17551">
            <w:pPr>
              <w:pStyle w:val="ARtablecolheadright"/>
            </w:pPr>
            <w:r w:rsidRPr="00657E8C">
              <w:t>2019</w:t>
            </w:r>
          </w:p>
        </w:tc>
        <w:tc>
          <w:tcPr>
            <w:tcW w:w="1698" w:type="dxa"/>
            <w:tcBorders>
              <w:top w:val="nil"/>
            </w:tcBorders>
          </w:tcPr>
          <w:p w14:paraId="4EE5795C" w14:textId="77777777" w:rsidR="00F17551" w:rsidRPr="00657E8C" w:rsidRDefault="00F17551" w:rsidP="00F17551">
            <w:pPr>
              <w:pStyle w:val="ARtablecolheadright"/>
            </w:pPr>
            <w:r w:rsidRPr="00657E8C">
              <w:t>2018</w:t>
            </w:r>
          </w:p>
        </w:tc>
      </w:tr>
      <w:tr w:rsidR="00F17551" w:rsidRPr="00657E8C" w14:paraId="074C7D78" w14:textId="77777777" w:rsidTr="00F17551">
        <w:tc>
          <w:tcPr>
            <w:tcW w:w="6231" w:type="dxa"/>
            <w:tcBorders>
              <w:top w:val="single" w:sz="4" w:space="0" w:color="000000" w:themeColor="text1"/>
            </w:tcBorders>
          </w:tcPr>
          <w:p w14:paraId="09B3C852" w14:textId="77777777" w:rsidR="00F17551" w:rsidRPr="00657E8C" w:rsidRDefault="00F17551" w:rsidP="00F17551">
            <w:pPr>
              <w:pStyle w:val="ARtabletext"/>
            </w:pPr>
            <w:r w:rsidRPr="00657E8C">
              <w:t>Executives</w:t>
            </w:r>
          </w:p>
        </w:tc>
        <w:tc>
          <w:tcPr>
            <w:tcW w:w="1698" w:type="dxa"/>
            <w:tcBorders>
              <w:top w:val="single" w:sz="4" w:space="0" w:color="000000" w:themeColor="text1"/>
            </w:tcBorders>
          </w:tcPr>
          <w:p w14:paraId="51189FA5" w14:textId="77777777" w:rsidR="00F17551" w:rsidRPr="00657E8C" w:rsidRDefault="00F17551" w:rsidP="00F17551">
            <w:pPr>
              <w:pStyle w:val="ARtabletextright"/>
            </w:pPr>
            <w:r w:rsidRPr="00657E8C">
              <w:t>6</w:t>
            </w:r>
          </w:p>
        </w:tc>
        <w:tc>
          <w:tcPr>
            <w:tcW w:w="1698" w:type="dxa"/>
            <w:tcBorders>
              <w:top w:val="single" w:sz="4" w:space="0" w:color="000000" w:themeColor="text1"/>
            </w:tcBorders>
          </w:tcPr>
          <w:p w14:paraId="38B15D13" w14:textId="77777777" w:rsidR="00F17551" w:rsidRPr="00657E8C" w:rsidRDefault="00F17551" w:rsidP="00F17551">
            <w:pPr>
              <w:pStyle w:val="ARtabletextright"/>
            </w:pPr>
            <w:r w:rsidRPr="00657E8C">
              <w:t>9</w:t>
            </w:r>
          </w:p>
        </w:tc>
      </w:tr>
      <w:tr w:rsidR="00F17551" w:rsidRPr="00657E8C" w14:paraId="1AC22061" w14:textId="77777777" w:rsidTr="00F17551">
        <w:tc>
          <w:tcPr>
            <w:tcW w:w="6231" w:type="dxa"/>
          </w:tcPr>
          <w:p w14:paraId="1C7616B9" w14:textId="77777777" w:rsidR="00F17551" w:rsidRPr="00657E8C" w:rsidRDefault="00F17551" w:rsidP="00F17551">
            <w:pPr>
              <w:pStyle w:val="ARtabletext"/>
            </w:pPr>
            <w:r w:rsidRPr="00657E8C">
              <w:t>Accountable Officer (Chief Executive Officer)</w:t>
            </w:r>
          </w:p>
        </w:tc>
        <w:tc>
          <w:tcPr>
            <w:tcW w:w="1698" w:type="dxa"/>
          </w:tcPr>
          <w:p w14:paraId="79527E89" w14:textId="77777777" w:rsidR="00F17551" w:rsidRPr="00657E8C" w:rsidRDefault="00F17551" w:rsidP="00F17551">
            <w:pPr>
              <w:pStyle w:val="ARtabletextright"/>
            </w:pPr>
            <w:r w:rsidRPr="00657E8C">
              <w:t>1</w:t>
            </w:r>
          </w:p>
        </w:tc>
        <w:tc>
          <w:tcPr>
            <w:tcW w:w="1698" w:type="dxa"/>
          </w:tcPr>
          <w:p w14:paraId="6CCD4AF9" w14:textId="77777777" w:rsidR="00F17551" w:rsidRPr="00657E8C" w:rsidRDefault="00F17551" w:rsidP="00F17551">
            <w:pPr>
              <w:pStyle w:val="ARtabletextright"/>
            </w:pPr>
            <w:r w:rsidRPr="00657E8C">
              <w:t>1</w:t>
            </w:r>
          </w:p>
        </w:tc>
      </w:tr>
      <w:tr w:rsidR="00F17551" w:rsidRPr="00657E8C" w14:paraId="4EE0B3D6" w14:textId="77777777" w:rsidTr="00F17551">
        <w:tc>
          <w:tcPr>
            <w:tcW w:w="6231" w:type="dxa"/>
          </w:tcPr>
          <w:p w14:paraId="2460EEB3" w14:textId="77777777" w:rsidR="00F17551" w:rsidRPr="00657E8C" w:rsidRDefault="00F17551" w:rsidP="00F17551">
            <w:pPr>
              <w:pStyle w:val="ARtabletext"/>
            </w:pPr>
            <w:r w:rsidRPr="00657E8C">
              <w:t>Less separations</w:t>
            </w:r>
          </w:p>
        </w:tc>
        <w:tc>
          <w:tcPr>
            <w:tcW w:w="1698" w:type="dxa"/>
          </w:tcPr>
          <w:p w14:paraId="35B20B1D" w14:textId="77777777" w:rsidR="00F17551" w:rsidRPr="00657E8C" w:rsidRDefault="00F17551" w:rsidP="00F17551">
            <w:pPr>
              <w:pStyle w:val="ARtabletextright"/>
            </w:pPr>
            <w:r w:rsidRPr="00657E8C">
              <w:t>(1)</w:t>
            </w:r>
          </w:p>
        </w:tc>
        <w:tc>
          <w:tcPr>
            <w:tcW w:w="1698" w:type="dxa"/>
          </w:tcPr>
          <w:p w14:paraId="0A613952" w14:textId="77777777" w:rsidR="00F17551" w:rsidRPr="00657E8C" w:rsidRDefault="00F17551" w:rsidP="00F17551">
            <w:pPr>
              <w:pStyle w:val="ARtabletextright"/>
            </w:pPr>
            <w:r w:rsidRPr="00657E8C">
              <w:t>(4)</w:t>
            </w:r>
          </w:p>
        </w:tc>
      </w:tr>
      <w:tr w:rsidR="00F17551" w:rsidRPr="007939DD" w14:paraId="4330DEF6" w14:textId="77777777" w:rsidTr="00F17551">
        <w:tc>
          <w:tcPr>
            <w:tcW w:w="6231" w:type="dxa"/>
          </w:tcPr>
          <w:p w14:paraId="1D6009A9" w14:textId="77777777" w:rsidR="00F17551" w:rsidRPr="00657E8C" w:rsidRDefault="00F17551" w:rsidP="00F17551">
            <w:pPr>
              <w:pStyle w:val="ARtabletextbold"/>
            </w:pPr>
            <w:r w:rsidRPr="00657E8C">
              <w:t>Total executive numbers at 30 June 2018</w:t>
            </w:r>
          </w:p>
        </w:tc>
        <w:tc>
          <w:tcPr>
            <w:tcW w:w="1698" w:type="dxa"/>
          </w:tcPr>
          <w:p w14:paraId="085F67F9" w14:textId="77777777" w:rsidR="00F17551" w:rsidRPr="00657E8C" w:rsidRDefault="00F17551" w:rsidP="00F17551">
            <w:pPr>
              <w:pStyle w:val="ARtabletextrightbold"/>
            </w:pPr>
            <w:r w:rsidRPr="00657E8C">
              <w:t>6</w:t>
            </w:r>
          </w:p>
        </w:tc>
        <w:tc>
          <w:tcPr>
            <w:tcW w:w="1698" w:type="dxa"/>
          </w:tcPr>
          <w:p w14:paraId="4F246B30" w14:textId="77777777" w:rsidR="00F17551" w:rsidRPr="007939DD" w:rsidRDefault="00F17551" w:rsidP="00F17551">
            <w:pPr>
              <w:pStyle w:val="ARtabletextrightbold"/>
            </w:pPr>
            <w:r w:rsidRPr="00657E8C">
              <w:t>6</w:t>
            </w:r>
          </w:p>
        </w:tc>
      </w:tr>
    </w:tbl>
    <w:p w14:paraId="44E66AFE" w14:textId="77777777" w:rsidR="00F17551" w:rsidRPr="007939DD" w:rsidRDefault="00F17551" w:rsidP="00F17551">
      <w:pPr>
        <w:pStyle w:val="ARtablefootnote"/>
      </w:pPr>
    </w:p>
    <w:p w14:paraId="56A37421" w14:textId="77777777" w:rsidR="00F17551" w:rsidRPr="007939DD" w:rsidRDefault="00F17551" w:rsidP="00F17551">
      <w:pPr>
        <w:pStyle w:val="Heading4"/>
        <w:sectPr w:rsidR="00F17551" w:rsidRPr="007939DD" w:rsidSect="001719E6">
          <w:footerReference w:type="even" r:id="rId124"/>
          <w:footerReference w:type="default" r:id="rId125"/>
          <w:pgSz w:w="11906" w:h="16838" w:code="9"/>
          <w:pgMar w:top="1985" w:right="851" w:bottom="851" w:left="1418" w:header="510" w:footer="340" w:gutter="0"/>
          <w:cols w:space="708"/>
          <w:docGrid w:linePitch="360"/>
        </w:sectPr>
      </w:pPr>
    </w:p>
    <w:p w14:paraId="4A55AB2D" w14:textId="77777777" w:rsidR="00C67339" w:rsidRDefault="00C67339" w:rsidP="00C67339">
      <w:pPr>
        <w:pStyle w:val="Heading4"/>
        <w:spacing w:before="0"/>
      </w:pPr>
      <w:bookmarkStart w:id="141" w:name="Executive_officer_disclosures_start"/>
      <w:r w:rsidRPr="007939DD">
        <w:t>Table 9: Number of executive officers for the department</w:t>
      </w:r>
      <w:r>
        <w:t>’</w:t>
      </w:r>
      <w:r w:rsidRPr="007939DD">
        <w:t>s portfolio agencies</w:t>
      </w:r>
    </w:p>
    <w:tbl>
      <w:tblPr>
        <w:tblW w:w="14005" w:type="dxa"/>
        <w:tblInd w:w="4"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2948"/>
        <w:gridCol w:w="882"/>
        <w:gridCol w:w="885"/>
        <w:gridCol w:w="1034"/>
        <w:gridCol w:w="891"/>
        <w:gridCol w:w="885"/>
        <w:gridCol w:w="885"/>
        <w:gridCol w:w="1031"/>
        <w:gridCol w:w="891"/>
        <w:gridCol w:w="880"/>
        <w:gridCol w:w="885"/>
        <w:gridCol w:w="1031"/>
        <w:gridCol w:w="877"/>
      </w:tblGrid>
      <w:tr w:rsidR="00C67339" w:rsidRPr="007939DD" w14:paraId="5277F89C" w14:textId="77777777" w:rsidTr="005732E7">
        <w:trPr>
          <w:cantSplit/>
          <w:tblHeader/>
        </w:trPr>
        <w:tc>
          <w:tcPr>
            <w:tcW w:w="1052" w:type="pct"/>
            <w:vMerge w:val="restart"/>
            <w:shd w:val="clear" w:color="auto" w:fill="auto"/>
            <w:noWrap/>
            <w:vAlign w:val="bottom"/>
          </w:tcPr>
          <w:bookmarkEnd w:id="141"/>
          <w:p w14:paraId="5394C041" w14:textId="77777777" w:rsidR="00C67339" w:rsidRPr="0076703D" w:rsidRDefault="00C67339" w:rsidP="001D5CB4">
            <w:pPr>
              <w:pStyle w:val="ARtablecolhead"/>
              <w:spacing w:before="60" w:after="50"/>
            </w:pPr>
            <w:r w:rsidRPr="0076703D">
              <w:t>Organisation</w:t>
            </w:r>
          </w:p>
        </w:tc>
        <w:tc>
          <w:tcPr>
            <w:tcW w:w="1318" w:type="pct"/>
            <w:gridSpan w:val="4"/>
            <w:vAlign w:val="bottom"/>
          </w:tcPr>
          <w:p w14:paraId="0CA04E77" w14:textId="77777777" w:rsidR="00C67339" w:rsidRPr="0076703D" w:rsidRDefault="00C67339" w:rsidP="001D5CB4">
            <w:pPr>
              <w:pStyle w:val="ARtablecolhead"/>
              <w:spacing w:before="60" w:after="50"/>
              <w:jc w:val="center"/>
            </w:pPr>
            <w:r w:rsidRPr="0076703D">
              <w:t>2019</w:t>
            </w:r>
          </w:p>
        </w:tc>
        <w:tc>
          <w:tcPr>
            <w:tcW w:w="1318" w:type="pct"/>
            <w:gridSpan w:val="4"/>
            <w:tcBorders>
              <w:bottom w:val="single" w:sz="4" w:space="0" w:color="auto"/>
            </w:tcBorders>
            <w:shd w:val="clear" w:color="auto" w:fill="E7E6E6"/>
            <w:vAlign w:val="bottom"/>
          </w:tcPr>
          <w:p w14:paraId="7CEEDE54" w14:textId="77777777" w:rsidR="00C67339" w:rsidRPr="0076703D" w:rsidRDefault="00C67339" w:rsidP="001D5CB4">
            <w:pPr>
              <w:pStyle w:val="ARtablecolhead"/>
              <w:spacing w:before="60" w:after="50"/>
              <w:jc w:val="center"/>
            </w:pPr>
            <w:r w:rsidRPr="0076703D">
              <w:t>2018</w:t>
            </w:r>
          </w:p>
        </w:tc>
        <w:tc>
          <w:tcPr>
            <w:tcW w:w="1311" w:type="pct"/>
            <w:gridSpan w:val="4"/>
            <w:tcBorders>
              <w:top w:val="nil"/>
            </w:tcBorders>
            <w:shd w:val="clear" w:color="auto" w:fill="auto"/>
            <w:vAlign w:val="bottom"/>
          </w:tcPr>
          <w:p w14:paraId="72D43812" w14:textId="77777777" w:rsidR="00C67339" w:rsidRPr="0076703D" w:rsidRDefault="00C67339" w:rsidP="001D5CB4">
            <w:pPr>
              <w:pStyle w:val="ARtablecolhead"/>
              <w:spacing w:before="60" w:after="50"/>
              <w:jc w:val="center"/>
            </w:pPr>
            <w:r w:rsidRPr="0076703D">
              <w:t>Annual change</w:t>
            </w:r>
          </w:p>
        </w:tc>
      </w:tr>
      <w:tr w:rsidR="00C67339" w:rsidRPr="007939DD" w14:paraId="37A1EA4D" w14:textId="77777777" w:rsidTr="005732E7">
        <w:trPr>
          <w:cantSplit/>
          <w:tblHeader/>
        </w:trPr>
        <w:tc>
          <w:tcPr>
            <w:tcW w:w="1052" w:type="pct"/>
            <w:vMerge/>
            <w:shd w:val="clear" w:color="auto" w:fill="auto"/>
            <w:noWrap/>
            <w:vAlign w:val="bottom"/>
          </w:tcPr>
          <w:p w14:paraId="5F894C11" w14:textId="77777777" w:rsidR="00C67339" w:rsidRPr="0076703D" w:rsidRDefault="00C67339" w:rsidP="001D5CB4">
            <w:pPr>
              <w:pStyle w:val="ARtabletext"/>
              <w:spacing w:before="60" w:after="50"/>
            </w:pPr>
          </w:p>
        </w:tc>
        <w:tc>
          <w:tcPr>
            <w:tcW w:w="315" w:type="pct"/>
            <w:vAlign w:val="bottom"/>
          </w:tcPr>
          <w:p w14:paraId="31380863" w14:textId="77777777" w:rsidR="00C67339" w:rsidRPr="0076703D" w:rsidRDefault="00C67339" w:rsidP="001D5CB4">
            <w:pPr>
              <w:pStyle w:val="ARtablecolheadright"/>
              <w:spacing w:before="60" w:after="50"/>
            </w:pPr>
            <w:r w:rsidRPr="0076703D">
              <w:t>Female</w:t>
            </w:r>
          </w:p>
        </w:tc>
        <w:tc>
          <w:tcPr>
            <w:tcW w:w="316" w:type="pct"/>
            <w:vAlign w:val="bottom"/>
          </w:tcPr>
          <w:p w14:paraId="4DA67A22" w14:textId="77777777" w:rsidR="00C67339" w:rsidRPr="0076703D" w:rsidRDefault="00C67339" w:rsidP="001D5CB4">
            <w:pPr>
              <w:pStyle w:val="ARtablecolheadright"/>
              <w:spacing w:before="60" w:after="50"/>
            </w:pPr>
            <w:r w:rsidRPr="0076703D">
              <w:t>Male</w:t>
            </w:r>
          </w:p>
        </w:tc>
        <w:tc>
          <w:tcPr>
            <w:tcW w:w="369" w:type="pct"/>
            <w:vAlign w:val="bottom"/>
          </w:tcPr>
          <w:p w14:paraId="06A83EBA" w14:textId="77777777" w:rsidR="00C67339" w:rsidRPr="0076703D" w:rsidRDefault="00C67339" w:rsidP="001D5CB4">
            <w:pPr>
              <w:pStyle w:val="ARtablecolheadright"/>
              <w:spacing w:before="60" w:after="50"/>
            </w:pPr>
            <w:r w:rsidRPr="0076703D">
              <w:t>Self-described</w:t>
            </w:r>
          </w:p>
        </w:tc>
        <w:tc>
          <w:tcPr>
            <w:tcW w:w="318" w:type="pct"/>
            <w:shd w:val="clear" w:color="auto" w:fill="auto"/>
            <w:noWrap/>
            <w:vAlign w:val="bottom"/>
          </w:tcPr>
          <w:p w14:paraId="7F7B06E9" w14:textId="77777777" w:rsidR="00C67339" w:rsidRPr="0076703D" w:rsidRDefault="00C67339" w:rsidP="001D5CB4">
            <w:pPr>
              <w:pStyle w:val="ARtablecolheadright"/>
              <w:spacing w:before="60" w:after="50"/>
            </w:pPr>
            <w:r w:rsidRPr="0076703D">
              <w:t>Total</w:t>
            </w:r>
          </w:p>
        </w:tc>
        <w:tc>
          <w:tcPr>
            <w:tcW w:w="316" w:type="pct"/>
            <w:tcBorders>
              <w:top w:val="single" w:sz="4" w:space="0" w:color="auto"/>
              <w:right w:val="nil"/>
            </w:tcBorders>
            <w:shd w:val="clear" w:color="auto" w:fill="E7E6E6"/>
            <w:noWrap/>
            <w:vAlign w:val="bottom"/>
          </w:tcPr>
          <w:p w14:paraId="2DC51254" w14:textId="77777777" w:rsidR="00C67339" w:rsidRPr="0076703D" w:rsidRDefault="00C67339" w:rsidP="001D5CB4">
            <w:pPr>
              <w:pStyle w:val="ARtablecolheadright"/>
              <w:spacing w:before="60" w:after="50"/>
            </w:pPr>
            <w:r w:rsidRPr="0076703D">
              <w:t>Female</w:t>
            </w:r>
          </w:p>
        </w:tc>
        <w:tc>
          <w:tcPr>
            <w:tcW w:w="316" w:type="pct"/>
            <w:tcBorders>
              <w:top w:val="single" w:sz="4" w:space="0" w:color="auto"/>
              <w:left w:val="nil"/>
              <w:right w:val="nil"/>
            </w:tcBorders>
            <w:shd w:val="clear" w:color="auto" w:fill="E7E6E6"/>
            <w:noWrap/>
            <w:vAlign w:val="bottom"/>
          </w:tcPr>
          <w:p w14:paraId="7C5CF9C0" w14:textId="77777777" w:rsidR="00C67339" w:rsidRPr="0076703D" w:rsidRDefault="00C67339" w:rsidP="001D5CB4">
            <w:pPr>
              <w:pStyle w:val="ARtablecolheadright"/>
              <w:spacing w:before="60" w:after="50"/>
            </w:pPr>
            <w:r w:rsidRPr="0076703D">
              <w:t>Male</w:t>
            </w:r>
          </w:p>
        </w:tc>
        <w:tc>
          <w:tcPr>
            <w:tcW w:w="368" w:type="pct"/>
            <w:tcBorders>
              <w:top w:val="single" w:sz="4" w:space="0" w:color="auto"/>
              <w:left w:val="nil"/>
              <w:right w:val="nil"/>
            </w:tcBorders>
            <w:shd w:val="clear" w:color="auto" w:fill="E7E6E6"/>
            <w:noWrap/>
            <w:vAlign w:val="bottom"/>
          </w:tcPr>
          <w:p w14:paraId="15E647C5" w14:textId="77777777" w:rsidR="00C67339" w:rsidRPr="0076703D" w:rsidRDefault="00C67339" w:rsidP="001D5CB4">
            <w:pPr>
              <w:pStyle w:val="ARtablecolheadright"/>
              <w:spacing w:before="60" w:after="50"/>
            </w:pPr>
            <w:r w:rsidRPr="0076703D">
              <w:t>Self-described</w:t>
            </w:r>
          </w:p>
        </w:tc>
        <w:tc>
          <w:tcPr>
            <w:tcW w:w="318" w:type="pct"/>
            <w:tcBorders>
              <w:top w:val="single" w:sz="4" w:space="0" w:color="auto"/>
              <w:left w:val="nil"/>
              <w:right w:val="nil"/>
            </w:tcBorders>
            <w:shd w:val="clear" w:color="auto" w:fill="E7E6E6"/>
            <w:noWrap/>
            <w:vAlign w:val="bottom"/>
          </w:tcPr>
          <w:p w14:paraId="3E5BFE59" w14:textId="77777777" w:rsidR="00C67339" w:rsidRPr="0076703D" w:rsidRDefault="00C67339" w:rsidP="001D5CB4">
            <w:pPr>
              <w:pStyle w:val="ARtablecolheadright"/>
              <w:spacing w:before="60" w:after="50"/>
            </w:pPr>
            <w:r w:rsidRPr="0076703D">
              <w:t>Total</w:t>
            </w:r>
          </w:p>
        </w:tc>
        <w:tc>
          <w:tcPr>
            <w:tcW w:w="314" w:type="pct"/>
            <w:tcBorders>
              <w:top w:val="single" w:sz="4" w:space="0" w:color="auto"/>
              <w:left w:val="nil"/>
            </w:tcBorders>
            <w:shd w:val="clear" w:color="auto" w:fill="auto"/>
            <w:noWrap/>
            <w:vAlign w:val="bottom"/>
          </w:tcPr>
          <w:p w14:paraId="6A39757F" w14:textId="77777777" w:rsidR="00C67339" w:rsidRPr="0076703D" w:rsidRDefault="00C67339" w:rsidP="001D5CB4">
            <w:pPr>
              <w:pStyle w:val="ARtablecolheadright"/>
              <w:spacing w:before="60" w:after="50"/>
            </w:pPr>
            <w:r w:rsidRPr="0076703D">
              <w:t>Female</w:t>
            </w:r>
          </w:p>
        </w:tc>
        <w:tc>
          <w:tcPr>
            <w:tcW w:w="316" w:type="pct"/>
            <w:shd w:val="clear" w:color="auto" w:fill="auto"/>
            <w:noWrap/>
            <w:vAlign w:val="bottom"/>
          </w:tcPr>
          <w:p w14:paraId="395D68D2" w14:textId="77777777" w:rsidR="00C67339" w:rsidRPr="0076703D" w:rsidRDefault="00C67339" w:rsidP="001D5CB4">
            <w:pPr>
              <w:pStyle w:val="ARtablecolheadright"/>
              <w:spacing w:before="60" w:after="50"/>
            </w:pPr>
            <w:r w:rsidRPr="0076703D">
              <w:t>Male</w:t>
            </w:r>
          </w:p>
        </w:tc>
        <w:tc>
          <w:tcPr>
            <w:tcW w:w="368" w:type="pct"/>
            <w:shd w:val="clear" w:color="auto" w:fill="auto"/>
            <w:noWrap/>
            <w:vAlign w:val="bottom"/>
          </w:tcPr>
          <w:p w14:paraId="4F8B1867" w14:textId="77777777" w:rsidR="00C67339" w:rsidRPr="0076703D" w:rsidRDefault="00C67339" w:rsidP="001D5CB4">
            <w:pPr>
              <w:pStyle w:val="ARtablecolheadright"/>
              <w:spacing w:before="60" w:after="50"/>
            </w:pPr>
            <w:r w:rsidRPr="0076703D">
              <w:t>Self-described</w:t>
            </w:r>
          </w:p>
        </w:tc>
        <w:tc>
          <w:tcPr>
            <w:tcW w:w="313" w:type="pct"/>
            <w:shd w:val="clear" w:color="auto" w:fill="auto"/>
            <w:noWrap/>
            <w:vAlign w:val="bottom"/>
          </w:tcPr>
          <w:p w14:paraId="263418A3" w14:textId="77777777" w:rsidR="00C67339" w:rsidRPr="0076703D" w:rsidRDefault="00C67339" w:rsidP="001D5CB4">
            <w:pPr>
              <w:pStyle w:val="ARtablecolheadright"/>
              <w:spacing w:before="60" w:after="50"/>
            </w:pPr>
            <w:r w:rsidRPr="0076703D">
              <w:t>Total</w:t>
            </w:r>
          </w:p>
        </w:tc>
      </w:tr>
      <w:tr w:rsidR="00C67339" w:rsidRPr="007939DD" w14:paraId="619B3F13" w14:textId="77777777" w:rsidTr="005732E7">
        <w:tblPrEx>
          <w:tblLook w:val="0000" w:firstRow="0" w:lastRow="0" w:firstColumn="0" w:lastColumn="0" w:noHBand="0" w:noVBand="0"/>
        </w:tblPrEx>
        <w:trPr>
          <w:cantSplit/>
        </w:trPr>
        <w:tc>
          <w:tcPr>
            <w:tcW w:w="1052" w:type="pct"/>
            <w:noWrap/>
          </w:tcPr>
          <w:p w14:paraId="59A65194" w14:textId="77777777" w:rsidR="00C67339" w:rsidRPr="0076703D" w:rsidRDefault="00C67339" w:rsidP="001D5CB4">
            <w:pPr>
              <w:pStyle w:val="ARtabletext"/>
              <w:spacing w:before="60" w:after="50"/>
            </w:pPr>
            <w:r w:rsidRPr="0076703D">
              <w:rPr>
                <w:color w:val="000000"/>
              </w:rPr>
              <w:t>Albury Wodonga Health</w:t>
            </w:r>
          </w:p>
        </w:tc>
        <w:tc>
          <w:tcPr>
            <w:tcW w:w="315" w:type="pct"/>
          </w:tcPr>
          <w:p w14:paraId="5C949127" w14:textId="77777777" w:rsidR="00C67339" w:rsidRPr="0076703D" w:rsidRDefault="00C67339" w:rsidP="001D5CB4">
            <w:pPr>
              <w:pStyle w:val="ARtabletextright"/>
              <w:spacing w:before="60" w:after="50"/>
            </w:pPr>
            <w:r w:rsidRPr="0076703D">
              <w:rPr>
                <w:color w:val="000000"/>
              </w:rPr>
              <w:t>4</w:t>
            </w:r>
          </w:p>
        </w:tc>
        <w:tc>
          <w:tcPr>
            <w:tcW w:w="316" w:type="pct"/>
          </w:tcPr>
          <w:p w14:paraId="4A915EB5" w14:textId="77777777" w:rsidR="00C67339" w:rsidRPr="0076703D" w:rsidRDefault="00C67339" w:rsidP="001D5CB4">
            <w:pPr>
              <w:pStyle w:val="ARtabletextright"/>
              <w:spacing w:before="60" w:after="50"/>
            </w:pPr>
            <w:r w:rsidRPr="0076703D">
              <w:rPr>
                <w:color w:val="000000"/>
              </w:rPr>
              <w:t>2</w:t>
            </w:r>
          </w:p>
        </w:tc>
        <w:tc>
          <w:tcPr>
            <w:tcW w:w="369" w:type="pct"/>
          </w:tcPr>
          <w:p w14:paraId="45EB21EA" w14:textId="77777777" w:rsidR="00C67339" w:rsidRPr="0076703D" w:rsidRDefault="00C67339" w:rsidP="001D5CB4">
            <w:pPr>
              <w:pStyle w:val="ARtabletextright"/>
              <w:spacing w:before="60" w:after="50"/>
            </w:pPr>
            <w:r w:rsidRPr="0076703D">
              <w:rPr>
                <w:color w:val="000000"/>
              </w:rPr>
              <w:t>0</w:t>
            </w:r>
          </w:p>
        </w:tc>
        <w:tc>
          <w:tcPr>
            <w:tcW w:w="318" w:type="pct"/>
            <w:noWrap/>
          </w:tcPr>
          <w:p w14:paraId="6880F7E1" w14:textId="77777777" w:rsidR="00C67339" w:rsidRPr="0076703D" w:rsidRDefault="00C67339" w:rsidP="001D5CB4">
            <w:pPr>
              <w:pStyle w:val="ARtabletextrightbold"/>
              <w:spacing w:before="60" w:after="50"/>
            </w:pPr>
            <w:r w:rsidRPr="0076703D">
              <w:rPr>
                <w:color w:val="000000"/>
              </w:rPr>
              <w:t>6</w:t>
            </w:r>
          </w:p>
        </w:tc>
        <w:tc>
          <w:tcPr>
            <w:tcW w:w="316" w:type="pct"/>
            <w:tcBorders>
              <w:top w:val="single" w:sz="4" w:space="0" w:color="auto"/>
              <w:right w:val="nil"/>
            </w:tcBorders>
            <w:shd w:val="clear" w:color="auto" w:fill="E7E6E6"/>
            <w:noWrap/>
          </w:tcPr>
          <w:p w14:paraId="36B265D4" w14:textId="77777777" w:rsidR="00C67339" w:rsidRPr="0076703D" w:rsidRDefault="00C67339" w:rsidP="001D5CB4">
            <w:pPr>
              <w:pStyle w:val="ARtabletextright"/>
              <w:spacing w:before="60" w:after="50"/>
            </w:pPr>
            <w:r w:rsidRPr="0076703D">
              <w:rPr>
                <w:color w:val="000000"/>
              </w:rPr>
              <w:t>3</w:t>
            </w:r>
          </w:p>
        </w:tc>
        <w:tc>
          <w:tcPr>
            <w:tcW w:w="316" w:type="pct"/>
            <w:tcBorders>
              <w:top w:val="single" w:sz="4" w:space="0" w:color="auto"/>
              <w:left w:val="nil"/>
              <w:right w:val="nil"/>
            </w:tcBorders>
            <w:shd w:val="clear" w:color="auto" w:fill="E7E6E6"/>
            <w:noWrap/>
          </w:tcPr>
          <w:p w14:paraId="74F94FDA" w14:textId="77777777" w:rsidR="00C67339" w:rsidRPr="0076703D" w:rsidRDefault="00C67339" w:rsidP="001D5CB4">
            <w:pPr>
              <w:pStyle w:val="ARtabletextright"/>
              <w:spacing w:before="60" w:after="50"/>
            </w:pPr>
            <w:r w:rsidRPr="0076703D">
              <w:rPr>
                <w:color w:val="000000"/>
              </w:rPr>
              <w:t>2</w:t>
            </w:r>
          </w:p>
        </w:tc>
        <w:tc>
          <w:tcPr>
            <w:tcW w:w="368" w:type="pct"/>
            <w:tcBorders>
              <w:top w:val="single" w:sz="4" w:space="0" w:color="auto"/>
              <w:left w:val="nil"/>
              <w:right w:val="nil"/>
            </w:tcBorders>
            <w:shd w:val="clear" w:color="auto" w:fill="E7E6E6"/>
            <w:noWrap/>
          </w:tcPr>
          <w:p w14:paraId="1B79563C"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18EDEEFA" w14:textId="77777777" w:rsidR="00C67339" w:rsidRPr="0076703D" w:rsidRDefault="00C67339" w:rsidP="001D5CB4">
            <w:pPr>
              <w:pStyle w:val="ARtabletextrightbold"/>
              <w:spacing w:before="60" w:after="50"/>
            </w:pPr>
            <w:r w:rsidRPr="0076703D">
              <w:rPr>
                <w:color w:val="000000"/>
              </w:rPr>
              <w:t>5</w:t>
            </w:r>
          </w:p>
        </w:tc>
        <w:tc>
          <w:tcPr>
            <w:tcW w:w="314" w:type="pct"/>
            <w:tcBorders>
              <w:left w:val="nil"/>
            </w:tcBorders>
            <w:shd w:val="clear" w:color="auto" w:fill="auto"/>
            <w:noWrap/>
          </w:tcPr>
          <w:p w14:paraId="7AF5A29E" w14:textId="77777777" w:rsidR="00C67339" w:rsidRPr="0076703D" w:rsidRDefault="00C67339" w:rsidP="001D5CB4">
            <w:pPr>
              <w:pStyle w:val="ARtabletextright"/>
              <w:spacing w:before="60" w:after="50"/>
            </w:pPr>
            <w:r w:rsidRPr="0076703D">
              <w:rPr>
                <w:color w:val="000000"/>
              </w:rPr>
              <w:t>1</w:t>
            </w:r>
          </w:p>
        </w:tc>
        <w:tc>
          <w:tcPr>
            <w:tcW w:w="316" w:type="pct"/>
            <w:noWrap/>
          </w:tcPr>
          <w:p w14:paraId="3C6C7146" w14:textId="77777777" w:rsidR="00C67339" w:rsidRPr="0076703D" w:rsidRDefault="00C67339" w:rsidP="001D5CB4">
            <w:pPr>
              <w:pStyle w:val="ARtabletextright"/>
              <w:spacing w:before="60" w:after="50"/>
            </w:pPr>
            <w:r w:rsidRPr="0076703D">
              <w:rPr>
                <w:color w:val="000000"/>
              </w:rPr>
              <w:t>0</w:t>
            </w:r>
          </w:p>
        </w:tc>
        <w:tc>
          <w:tcPr>
            <w:tcW w:w="368" w:type="pct"/>
            <w:noWrap/>
          </w:tcPr>
          <w:p w14:paraId="2742573C" w14:textId="77777777" w:rsidR="00C67339" w:rsidRPr="0076703D" w:rsidRDefault="00C67339" w:rsidP="001D5CB4">
            <w:pPr>
              <w:pStyle w:val="ARtabletextright"/>
              <w:spacing w:before="60" w:after="50"/>
            </w:pPr>
            <w:r w:rsidRPr="0076703D">
              <w:rPr>
                <w:color w:val="000000"/>
              </w:rPr>
              <w:t>0</w:t>
            </w:r>
          </w:p>
        </w:tc>
        <w:tc>
          <w:tcPr>
            <w:tcW w:w="313" w:type="pct"/>
            <w:noWrap/>
          </w:tcPr>
          <w:p w14:paraId="3719533E" w14:textId="77777777" w:rsidR="00C67339" w:rsidRPr="0076703D" w:rsidRDefault="00C67339" w:rsidP="001D5CB4">
            <w:pPr>
              <w:pStyle w:val="ARtabletextrightbold"/>
              <w:spacing w:before="60" w:after="50"/>
            </w:pPr>
            <w:r w:rsidRPr="0076703D">
              <w:rPr>
                <w:color w:val="000000"/>
              </w:rPr>
              <w:t>1</w:t>
            </w:r>
          </w:p>
        </w:tc>
      </w:tr>
      <w:tr w:rsidR="00C67339" w:rsidRPr="007939DD" w14:paraId="21C2AF96" w14:textId="77777777" w:rsidTr="005732E7">
        <w:tblPrEx>
          <w:tblLook w:val="0000" w:firstRow="0" w:lastRow="0" w:firstColumn="0" w:lastColumn="0" w:noHBand="0" w:noVBand="0"/>
        </w:tblPrEx>
        <w:trPr>
          <w:cantSplit/>
        </w:trPr>
        <w:tc>
          <w:tcPr>
            <w:tcW w:w="1052" w:type="pct"/>
            <w:noWrap/>
          </w:tcPr>
          <w:p w14:paraId="1BCF95AB" w14:textId="77777777" w:rsidR="00C67339" w:rsidRPr="0076703D" w:rsidRDefault="00C67339" w:rsidP="001D5CB4">
            <w:pPr>
              <w:pStyle w:val="ARtabletext"/>
              <w:spacing w:before="60" w:after="50"/>
            </w:pPr>
            <w:r w:rsidRPr="0076703D">
              <w:rPr>
                <w:color w:val="000000"/>
              </w:rPr>
              <w:t>Alexandra District Health</w:t>
            </w:r>
          </w:p>
        </w:tc>
        <w:tc>
          <w:tcPr>
            <w:tcW w:w="315" w:type="pct"/>
          </w:tcPr>
          <w:p w14:paraId="05AD8BD4" w14:textId="77777777" w:rsidR="00C67339" w:rsidRPr="0076703D" w:rsidRDefault="00C67339" w:rsidP="001D5CB4">
            <w:pPr>
              <w:pStyle w:val="ARtabletextright"/>
              <w:spacing w:before="60" w:after="50"/>
            </w:pPr>
            <w:r w:rsidRPr="0076703D">
              <w:rPr>
                <w:color w:val="000000"/>
              </w:rPr>
              <w:t>1</w:t>
            </w:r>
          </w:p>
        </w:tc>
        <w:tc>
          <w:tcPr>
            <w:tcW w:w="316" w:type="pct"/>
          </w:tcPr>
          <w:p w14:paraId="6DD9FB29" w14:textId="77777777" w:rsidR="00C67339" w:rsidRPr="0076703D" w:rsidRDefault="00C67339" w:rsidP="001D5CB4">
            <w:pPr>
              <w:pStyle w:val="ARtabletextright"/>
              <w:spacing w:before="60" w:after="50"/>
            </w:pPr>
            <w:r w:rsidRPr="0076703D">
              <w:rPr>
                <w:color w:val="000000"/>
              </w:rPr>
              <w:t>0</w:t>
            </w:r>
          </w:p>
        </w:tc>
        <w:tc>
          <w:tcPr>
            <w:tcW w:w="369" w:type="pct"/>
          </w:tcPr>
          <w:p w14:paraId="5E85481B" w14:textId="77777777" w:rsidR="00C67339" w:rsidRPr="0076703D" w:rsidRDefault="00C67339" w:rsidP="001D5CB4">
            <w:pPr>
              <w:pStyle w:val="ARtabletextright"/>
              <w:spacing w:before="60" w:after="50"/>
            </w:pPr>
            <w:r w:rsidRPr="0076703D">
              <w:rPr>
                <w:color w:val="000000"/>
              </w:rPr>
              <w:t>0</w:t>
            </w:r>
          </w:p>
        </w:tc>
        <w:tc>
          <w:tcPr>
            <w:tcW w:w="318" w:type="pct"/>
            <w:noWrap/>
          </w:tcPr>
          <w:p w14:paraId="3A2C2986"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4B41BADE"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33AAB18A"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3669BB46"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1142327E" w14:textId="77777777" w:rsidR="00C67339" w:rsidRPr="0076703D" w:rsidRDefault="00C67339" w:rsidP="001D5CB4">
            <w:pPr>
              <w:pStyle w:val="ARtabletextrightbold"/>
              <w:spacing w:before="60" w:after="50"/>
            </w:pPr>
            <w:r w:rsidRPr="0076703D">
              <w:rPr>
                <w:color w:val="000000"/>
              </w:rPr>
              <w:t>1</w:t>
            </w:r>
          </w:p>
        </w:tc>
        <w:tc>
          <w:tcPr>
            <w:tcW w:w="314" w:type="pct"/>
            <w:tcBorders>
              <w:left w:val="nil"/>
            </w:tcBorders>
            <w:shd w:val="clear" w:color="auto" w:fill="auto"/>
            <w:noWrap/>
          </w:tcPr>
          <w:p w14:paraId="3397B8E2" w14:textId="77777777" w:rsidR="00C67339" w:rsidRPr="0076703D" w:rsidRDefault="00C67339" w:rsidP="001D5CB4">
            <w:pPr>
              <w:pStyle w:val="ARtabletextright"/>
              <w:spacing w:before="60" w:after="50"/>
            </w:pPr>
            <w:r w:rsidRPr="0076703D">
              <w:rPr>
                <w:color w:val="000000"/>
              </w:rPr>
              <w:t>0</w:t>
            </w:r>
          </w:p>
        </w:tc>
        <w:tc>
          <w:tcPr>
            <w:tcW w:w="316" w:type="pct"/>
            <w:noWrap/>
          </w:tcPr>
          <w:p w14:paraId="5E9C76EA" w14:textId="77777777" w:rsidR="00C67339" w:rsidRPr="0076703D" w:rsidRDefault="00C67339" w:rsidP="001D5CB4">
            <w:pPr>
              <w:pStyle w:val="ARtabletextright"/>
              <w:spacing w:before="60" w:after="50"/>
            </w:pPr>
            <w:r w:rsidRPr="0076703D">
              <w:rPr>
                <w:color w:val="000000"/>
              </w:rPr>
              <w:t>0</w:t>
            </w:r>
          </w:p>
        </w:tc>
        <w:tc>
          <w:tcPr>
            <w:tcW w:w="368" w:type="pct"/>
            <w:noWrap/>
          </w:tcPr>
          <w:p w14:paraId="338ACD6B" w14:textId="77777777" w:rsidR="00C67339" w:rsidRPr="0076703D" w:rsidRDefault="00C67339" w:rsidP="001D5CB4">
            <w:pPr>
              <w:pStyle w:val="ARtabletextright"/>
              <w:spacing w:before="60" w:after="50"/>
            </w:pPr>
            <w:r w:rsidRPr="0076703D">
              <w:rPr>
                <w:color w:val="000000"/>
              </w:rPr>
              <w:t>0</w:t>
            </w:r>
          </w:p>
        </w:tc>
        <w:tc>
          <w:tcPr>
            <w:tcW w:w="313" w:type="pct"/>
            <w:noWrap/>
          </w:tcPr>
          <w:p w14:paraId="6EF7569D" w14:textId="77777777" w:rsidR="00C67339" w:rsidRPr="0076703D" w:rsidRDefault="00C67339" w:rsidP="001D5CB4">
            <w:pPr>
              <w:pStyle w:val="ARtabletextrightbold"/>
              <w:spacing w:before="60" w:after="50"/>
            </w:pPr>
            <w:r w:rsidRPr="0076703D">
              <w:rPr>
                <w:color w:val="000000"/>
              </w:rPr>
              <w:t>0</w:t>
            </w:r>
          </w:p>
        </w:tc>
      </w:tr>
      <w:tr w:rsidR="00C67339" w:rsidRPr="007939DD" w14:paraId="3D2A5496" w14:textId="77777777" w:rsidTr="005732E7">
        <w:tblPrEx>
          <w:tblLook w:val="0000" w:firstRow="0" w:lastRow="0" w:firstColumn="0" w:lastColumn="0" w:noHBand="0" w:noVBand="0"/>
        </w:tblPrEx>
        <w:trPr>
          <w:cantSplit/>
        </w:trPr>
        <w:tc>
          <w:tcPr>
            <w:tcW w:w="1052" w:type="pct"/>
            <w:noWrap/>
          </w:tcPr>
          <w:p w14:paraId="44D6CC5B" w14:textId="77777777" w:rsidR="00C67339" w:rsidRPr="0076703D" w:rsidRDefault="00C67339" w:rsidP="001D5CB4">
            <w:pPr>
              <w:pStyle w:val="ARtabletext"/>
              <w:spacing w:before="60" w:after="50"/>
            </w:pPr>
            <w:r w:rsidRPr="0076703D">
              <w:rPr>
                <w:color w:val="000000"/>
              </w:rPr>
              <w:t>Alfred Health</w:t>
            </w:r>
          </w:p>
        </w:tc>
        <w:tc>
          <w:tcPr>
            <w:tcW w:w="315" w:type="pct"/>
          </w:tcPr>
          <w:p w14:paraId="7F6AA81B" w14:textId="77777777" w:rsidR="00C67339" w:rsidRPr="0076703D" w:rsidRDefault="00C67339" w:rsidP="001D5CB4">
            <w:pPr>
              <w:pStyle w:val="ARtabletextright"/>
              <w:spacing w:before="60" w:after="50"/>
            </w:pPr>
            <w:r w:rsidRPr="0076703D">
              <w:rPr>
                <w:color w:val="000000"/>
              </w:rPr>
              <w:t>5</w:t>
            </w:r>
          </w:p>
        </w:tc>
        <w:tc>
          <w:tcPr>
            <w:tcW w:w="316" w:type="pct"/>
          </w:tcPr>
          <w:p w14:paraId="39C006F9" w14:textId="77777777" w:rsidR="00C67339" w:rsidRPr="0076703D" w:rsidRDefault="00C67339" w:rsidP="001D5CB4">
            <w:pPr>
              <w:pStyle w:val="ARtabletextright"/>
              <w:spacing w:before="60" w:after="50"/>
            </w:pPr>
            <w:r w:rsidRPr="0076703D">
              <w:rPr>
                <w:color w:val="000000"/>
              </w:rPr>
              <w:t>3</w:t>
            </w:r>
          </w:p>
        </w:tc>
        <w:tc>
          <w:tcPr>
            <w:tcW w:w="369" w:type="pct"/>
          </w:tcPr>
          <w:p w14:paraId="16D85F58" w14:textId="77777777" w:rsidR="00C67339" w:rsidRPr="0076703D" w:rsidRDefault="00C67339" w:rsidP="001D5CB4">
            <w:pPr>
              <w:pStyle w:val="ARtabletextright"/>
              <w:spacing w:before="60" w:after="50"/>
            </w:pPr>
            <w:r w:rsidRPr="0076703D">
              <w:rPr>
                <w:color w:val="000000"/>
              </w:rPr>
              <w:t>0</w:t>
            </w:r>
          </w:p>
        </w:tc>
        <w:tc>
          <w:tcPr>
            <w:tcW w:w="318" w:type="pct"/>
            <w:noWrap/>
          </w:tcPr>
          <w:p w14:paraId="05CE6121" w14:textId="77777777" w:rsidR="00C67339" w:rsidRPr="0076703D" w:rsidRDefault="00C67339" w:rsidP="001D5CB4">
            <w:pPr>
              <w:pStyle w:val="ARtabletextrightbold"/>
              <w:spacing w:before="60" w:after="50"/>
            </w:pPr>
            <w:r w:rsidRPr="0076703D">
              <w:rPr>
                <w:color w:val="000000"/>
              </w:rPr>
              <w:t>8</w:t>
            </w:r>
          </w:p>
        </w:tc>
        <w:tc>
          <w:tcPr>
            <w:tcW w:w="316" w:type="pct"/>
            <w:tcBorders>
              <w:top w:val="single" w:sz="4" w:space="0" w:color="auto"/>
              <w:right w:val="nil"/>
            </w:tcBorders>
            <w:shd w:val="clear" w:color="auto" w:fill="E7E6E6"/>
            <w:noWrap/>
          </w:tcPr>
          <w:p w14:paraId="5970DE44" w14:textId="77777777" w:rsidR="00C67339" w:rsidRPr="0076703D" w:rsidRDefault="00C67339" w:rsidP="001D5CB4">
            <w:pPr>
              <w:pStyle w:val="ARtabletextright"/>
              <w:spacing w:before="60" w:after="50"/>
            </w:pPr>
            <w:r w:rsidRPr="0076703D">
              <w:rPr>
                <w:color w:val="000000"/>
              </w:rPr>
              <w:t>5</w:t>
            </w:r>
          </w:p>
        </w:tc>
        <w:tc>
          <w:tcPr>
            <w:tcW w:w="316" w:type="pct"/>
            <w:tcBorders>
              <w:top w:val="single" w:sz="4" w:space="0" w:color="auto"/>
              <w:left w:val="nil"/>
              <w:right w:val="nil"/>
            </w:tcBorders>
            <w:shd w:val="clear" w:color="auto" w:fill="E7E6E6"/>
            <w:noWrap/>
          </w:tcPr>
          <w:p w14:paraId="5A0BC825" w14:textId="77777777" w:rsidR="00C67339" w:rsidRPr="0076703D" w:rsidRDefault="00C67339" w:rsidP="001D5CB4">
            <w:pPr>
              <w:pStyle w:val="ARtabletextright"/>
              <w:spacing w:before="60" w:after="50"/>
            </w:pPr>
            <w:r w:rsidRPr="0076703D">
              <w:rPr>
                <w:color w:val="000000"/>
              </w:rPr>
              <w:t>3</w:t>
            </w:r>
          </w:p>
        </w:tc>
        <w:tc>
          <w:tcPr>
            <w:tcW w:w="368" w:type="pct"/>
            <w:tcBorders>
              <w:top w:val="single" w:sz="4" w:space="0" w:color="auto"/>
              <w:left w:val="nil"/>
              <w:right w:val="nil"/>
            </w:tcBorders>
            <w:shd w:val="clear" w:color="auto" w:fill="E7E6E6"/>
            <w:noWrap/>
          </w:tcPr>
          <w:p w14:paraId="110A0D6F"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49B21492" w14:textId="77777777" w:rsidR="00C67339" w:rsidRPr="0076703D" w:rsidRDefault="00C67339" w:rsidP="001D5CB4">
            <w:pPr>
              <w:pStyle w:val="ARtabletextrightbold"/>
              <w:spacing w:before="60" w:after="50"/>
            </w:pPr>
            <w:r w:rsidRPr="0076703D">
              <w:rPr>
                <w:color w:val="000000"/>
              </w:rPr>
              <w:t>8</w:t>
            </w:r>
          </w:p>
        </w:tc>
        <w:tc>
          <w:tcPr>
            <w:tcW w:w="314" w:type="pct"/>
            <w:tcBorders>
              <w:left w:val="nil"/>
            </w:tcBorders>
            <w:shd w:val="clear" w:color="auto" w:fill="auto"/>
            <w:noWrap/>
          </w:tcPr>
          <w:p w14:paraId="4FCBF630" w14:textId="77777777" w:rsidR="00C67339" w:rsidRPr="0076703D" w:rsidRDefault="00C67339" w:rsidP="001D5CB4">
            <w:pPr>
              <w:pStyle w:val="ARtabletextright"/>
              <w:spacing w:before="60" w:after="50"/>
            </w:pPr>
            <w:r w:rsidRPr="0076703D">
              <w:rPr>
                <w:color w:val="000000"/>
              </w:rPr>
              <w:t>0</w:t>
            </w:r>
          </w:p>
        </w:tc>
        <w:tc>
          <w:tcPr>
            <w:tcW w:w="316" w:type="pct"/>
            <w:noWrap/>
          </w:tcPr>
          <w:p w14:paraId="5EB05E69" w14:textId="77777777" w:rsidR="00C67339" w:rsidRPr="0076703D" w:rsidRDefault="00C67339" w:rsidP="001D5CB4">
            <w:pPr>
              <w:pStyle w:val="ARtabletextright"/>
              <w:spacing w:before="60" w:after="50"/>
            </w:pPr>
            <w:r w:rsidRPr="0076703D">
              <w:rPr>
                <w:color w:val="000000"/>
              </w:rPr>
              <w:t>0</w:t>
            </w:r>
          </w:p>
        </w:tc>
        <w:tc>
          <w:tcPr>
            <w:tcW w:w="368" w:type="pct"/>
            <w:noWrap/>
          </w:tcPr>
          <w:p w14:paraId="2F22CD38" w14:textId="77777777" w:rsidR="00C67339" w:rsidRPr="0076703D" w:rsidRDefault="00C67339" w:rsidP="001D5CB4">
            <w:pPr>
              <w:pStyle w:val="ARtabletextright"/>
              <w:spacing w:before="60" w:after="50"/>
            </w:pPr>
            <w:r w:rsidRPr="0076703D">
              <w:rPr>
                <w:color w:val="000000"/>
              </w:rPr>
              <w:t>0</w:t>
            </w:r>
          </w:p>
        </w:tc>
        <w:tc>
          <w:tcPr>
            <w:tcW w:w="313" w:type="pct"/>
            <w:noWrap/>
          </w:tcPr>
          <w:p w14:paraId="6527A679" w14:textId="77777777" w:rsidR="00C67339" w:rsidRPr="0076703D" w:rsidRDefault="00C67339" w:rsidP="001D5CB4">
            <w:pPr>
              <w:pStyle w:val="ARtabletextrightbold"/>
              <w:spacing w:before="60" w:after="50"/>
            </w:pPr>
            <w:r w:rsidRPr="0076703D">
              <w:rPr>
                <w:color w:val="000000"/>
              </w:rPr>
              <w:t>0</w:t>
            </w:r>
          </w:p>
        </w:tc>
      </w:tr>
      <w:tr w:rsidR="00C67339" w:rsidRPr="007939DD" w14:paraId="152DD03B" w14:textId="77777777" w:rsidTr="005732E7">
        <w:tblPrEx>
          <w:tblLook w:val="0000" w:firstRow="0" w:lastRow="0" w:firstColumn="0" w:lastColumn="0" w:noHBand="0" w:noVBand="0"/>
        </w:tblPrEx>
        <w:trPr>
          <w:cantSplit/>
        </w:trPr>
        <w:tc>
          <w:tcPr>
            <w:tcW w:w="1052" w:type="pct"/>
            <w:noWrap/>
          </w:tcPr>
          <w:p w14:paraId="1BFBD629" w14:textId="77777777" w:rsidR="00C67339" w:rsidRPr="0076703D" w:rsidRDefault="00C67339" w:rsidP="001D5CB4">
            <w:pPr>
              <w:pStyle w:val="ARtabletext"/>
              <w:spacing w:before="60" w:after="50"/>
            </w:pPr>
            <w:r w:rsidRPr="0076703D">
              <w:rPr>
                <w:color w:val="000000"/>
              </w:rPr>
              <w:t>Alpine Health</w:t>
            </w:r>
          </w:p>
        </w:tc>
        <w:tc>
          <w:tcPr>
            <w:tcW w:w="315" w:type="pct"/>
          </w:tcPr>
          <w:p w14:paraId="2753AA4E" w14:textId="77777777" w:rsidR="00C67339" w:rsidRPr="0076703D" w:rsidRDefault="00C67339" w:rsidP="001D5CB4">
            <w:pPr>
              <w:pStyle w:val="ARtabletextright"/>
              <w:spacing w:before="60" w:after="50"/>
            </w:pPr>
            <w:r w:rsidRPr="0076703D">
              <w:rPr>
                <w:color w:val="000000"/>
              </w:rPr>
              <w:t>0</w:t>
            </w:r>
          </w:p>
        </w:tc>
        <w:tc>
          <w:tcPr>
            <w:tcW w:w="316" w:type="pct"/>
          </w:tcPr>
          <w:p w14:paraId="4FB929C8" w14:textId="77777777" w:rsidR="00C67339" w:rsidRPr="0076703D" w:rsidRDefault="00C67339" w:rsidP="001D5CB4">
            <w:pPr>
              <w:pStyle w:val="ARtabletextright"/>
              <w:spacing w:before="60" w:after="50"/>
            </w:pPr>
            <w:r w:rsidRPr="0076703D">
              <w:rPr>
                <w:color w:val="000000"/>
              </w:rPr>
              <w:t>1</w:t>
            </w:r>
          </w:p>
        </w:tc>
        <w:tc>
          <w:tcPr>
            <w:tcW w:w="369" w:type="pct"/>
          </w:tcPr>
          <w:p w14:paraId="0D84C762" w14:textId="77777777" w:rsidR="00C67339" w:rsidRPr="0076703D" w:rsidRDefault="00C67339" w:rsidP="001D5CB4">
            <w:pPr>
              <w:pStyle w:val="ARtabletextright"/>
              <w:spacing w:before="60" w:after="50"/>
            </w:pPr>
            <w:r w:rsidRPr="0076703D">
              <w:rPr>
                <w:color w:val="000000"/>
              </w:rPr>
              <w:t>0</w:t>
            </w:r>
          </w:p>
        </w:tc>
        <w:tc>
          <w:tcPr>
            <w:tcW w:w="318" w:type="pct"/>
            <w:noWrap/>
          </w:tcPr>
          <w:p w14:paraId="39E1B964"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23921369"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35FF7411"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2414909C"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43FC81BF" w14:textId="77777777" w:rsidR="00C67339" w:rsidRPr="0076703D" w:rsidRDefault="00C67339" w:rsidP="001D5CB4">
            <w:pPr>
              <w:pStyle w:val="ARtabletextrightbold"/>
              <w:spacing w:before="60" w:after="50"/>
            </w:pPr>
            <w:r w:rsidRPr="0076703D">
              <w:rPr>
                <w:color w:val="000000"/>
              </w:rPr>
              <w:t>1</w:t>
            </w:r>
          </w:p>
        </w:tc>
        <w:tc>
          <w:tcPr>
            <w:tcW w:w="314" w:type="pct"/>
            <w:tcBorders>
              <w:left w:val="nil"/>
            </w:tcBorders>
            <w:shd w:val="clear" w:color="auto" w:fill="auto"/>
            <w:noWrap/>
          </w:tcPr>
          <w:p w14:paraId="490A4465" w14:textId="77777777" w:rsidR="00C67339" w:rsidRPr="0076703D" w:rsidRDefault="00C67339" w:rsidP="001D5CB4">
            <w:pPr>
              <w:pStyle w:val="ARtabletextright"/>
              <w:spacing w:before="60" w:after="50"/>
            </w:pPr>
            <w:r w:rsidRPr="0076703D">
              <w:rPr>
                <w:color w:val="000000"/>
              </w:rPr>
              <w:t>0</w:t>
            </w:r>
          </w:p>
        </w:tc>
        <w:tc>
          <w:tcPr>
            <w:tcW w:w="316" w:type="pct"/>
            <w:noWrap/>
          </w:tcPr>
          <w:p w14:paraId="29EE9F86" w14:textId="77777777" w:rsidR="00C67339" w:rsidRPr="0076703D" w:rsidRDefault="00C67339" w:rsidP="001D5CB4">
            <w:pPr>
              <w:pStyle w:val="ARtabletextright"/>
              <w:spacing w:before="60" w:after="50"/>
            </w:pPr>
            <w:r w:rsidRPr="0076703D">
              <w:rPr>
                <w:color w:val="000000"/>
              </w:rPr>
              <w:t>0</w:t>
            </w:r>
          </w:p>
        </w:tc>
        <w:tc>
          <w:tcPr>
            <w:tcW w:w="368" w:type="pct"/>
            <w:noWrap/>
          </w:tcPr>
          <w:p w14:paraId="426AA06F" w14:textId="77777777" w:rsidR="00C67339" w:rsidRPr="0076703D" w:rsidRDefault="00C67339" w:rsidP="001D5CB4">
            <w:pPr>
              <w:pStyle w:val="ARtabletextright"/>
              <w:spacing w:before="60" w:after="50"/>
            </w:pPr>
            <w:r w:rsidRPr="0076703D">
              <w:rPr>
                <w:color w:val="000000"/>
              </w:rPr>
              <w:t>0</w:t>
            </w:r>
          </w:p>
        </w:tc>
        <w:tc>
          <w:tcPr>
            <w:tcW w:w="313" w:type="pct"/>
            <w:noWrap/>
          </w:tcPr>
          <w:p w14:paraId="0F99AA7A" w14:textId="77777777" w:rsidR="00C67339" w:rsidRPr="0076703D" w:rsidRDefault="00C67339" w:rsidP="001D5CB4">
            <w:pPr>
              <w:pStyle w:val="ARtabletextrightbold"/>
              <w:spacing w:before="60" w:after="50"/>
            </w:pPr>
            <w:r w:rsidRPr="0076703D">
              <w:rPr>
                <w:color w:val="000000"/>
              </w:rPr>
              <w:t>0</w:t>
            </w:r>
          </w:p>
        </w:tc>
      </w:tr>
      <w:tr w:rsidR="00C67339" w:rsidRPr="007939DD" w14:paraId="74D937DF" w14:textId="77777777" w:rsidTr="005732E7">
        <w:tblPrEx>
          <w:tblLook w:val="0000" w:firstRow="0" w:lastRow="0" w:firstColumn="0" w:lastColumn="0" w:noHBand="0" w:noVBand="0"/>
        </w:tblPrEx>
        <w:trPr>
          <w:cantSplit/>
        </w:trPr>
        <w:tc>
          <w:tcPr>
            <w:tcW w:w="1052" w:type="pct"/>
            <w:noWrap/>
          </w:tcPr>
          <w:p w14:paraId="199A2CF8" w14:textId="77777777" w:rsidR="00C67339" w:rsidRPr="0076703D" w:rsidRDefault="00C67339" w:rsidP="001D5CB4">
            <w:pPr>
              <w:pStyle w:val="ARtabletext"/>
              <w:spacing w:before="60" w:after="50"/>
            </w:pPr>
            <w:r w:rsidRPr="0076703D">
              <w:rPr>
                <w:color w:val="000000"/>
              </w:rPr>
              <w:t>Ambulance Victoria</w:t>
            </w:r>
          </w:p>
        </w:tc>
        <w:tc>
          <w:tcPr>
            <w:tcW w:w="315" w:type="pct"/>
          </w:tcPr>
          <w:p w14:paraId="4ABBEF26" w14:textId="77777777" w:rsidR="00C67339" w:rsidRPr="0076703D" w:rsidRDefault="00C67339" w:rsidP="001D5CB4">
            <w:pPr>
              <w:pStyle w:val="ARtabletextright"/>
              <w:spacing w:before="60" w:after="50"/>
            </w:pPr>
            <w:r w:rsidRPr="0076703D">
              <w:rPr>
                <w:color w:val="000000"/>
              </w:rPr>
              <w:t>6</w:t>
            </w:r>
          </w:p>
        </w:tc>
        <w:tc>
          <w:tcPr>
            <w:tcW w:w="316" w:type="pct"/>
          </w:tcPr>
          <w:p w14:paraId="26D26278" w14:textId="77777777" w:rsidR="00C67339" w:rsidRPr="0076703D" w:rsidRDefault="00C67339" w:rsidP="001D5CB4">
            <w:pPr>
              <w:pStyle w:val="ARtabletextright"/>
              <w:spacing w:before="60" w:after="50"/>
            </w:pPr>
            <w:r w:rsidRPr="0076703D">
              <w:rPr>
                <w:color w:val="000000"/>
              </w:rPr>
              <w:t>15</w:t>
            </w:r>
          </w:p>
        </w:tc>
        <w:tc>
          <w:tcPr>
            <w:tcW w:w="369" w:type="pct"/>
          </w:tcPr>
          <w:p w14:paraId="70184B04" w14:textId="77777777" w:rsidR="00C67339" w:rsidRPr="0076703D" w:rsidRDefault="00C67339" w:rsidP="001D5CB4">
            <w:pPr>
              <w:pStyle w:val="ARtabletextright"/>
              <w:spacing w:before="60" w:after="50"/>
            </w:pPr>
            <w:r w:rsidRPr="0076703D">
              <w:rPr>
                <w:color w:val="000000"/>
              </w:rPr>
              <w:t>0</w:t>
            </w:r>
          </w:p>
        </w:tc>
        <w:tc>
          <w:tcPr>
            <w:tcW w:w="318" w:type="pct"/>
            <w:noWrap/>
          </w:tcPr>
          <w:p w14:paraId="6F02C5D9" w14:textId="77777777" w:rsidR="00C67339" w:rsidRPr="0076703D" w:rsidRDefault="00C67339" w:rsidP="001D5CB4">
            <w:pPr>
              <w:pStyle w:val="ARtabletextrightbold"/>
              <w:spacing w:before="60" w:after="50"/>
            </w:pPr>
            <w:r w:rsidRPr="0076703D">
              <w:rPr>
                <w:color w:val="000000"/>
              </w:rPr>
              <w:t>21</w:t>
            </w:r>
          </w:p>
        </w:tc>
        <w:tc>
          <w:tcPr>
            <w:tcW w:w="316" w:type="pct"/>
            <w:tcBorders>
              <w:top w:val="single" w:sz="4" w:space="0" w:color="auto"/>
              <w:right w:val="nil"/>
            </w:tcBorders>
            <w:shd w:val="clear" w:color="auto" w:fill="E7E6E6"/>
            <w:noWrap/>
          </w:tcPr>
          <w:p w14:paraId="586CF72A" w14:textId="77777777" w:rsidR="00C67339" w:rsidRPr="0076703D" w:rsidRDefault="00C67339" w:rsidP="001D5CB4">
            <w:pPr>
              <w:pStyle w:val="ARtabletextright"/>
              <w:spacing w:before="60" w:after="50"/>
            </w:pPr>
            <w:r w:rsidRPr="0076703D">
              <w:rPr>
                <w:color w:val="000000"/>
              </w:rPr>
              <w:t>4</w:t>
            </w:r>
          </w:p>
        </w:tc>
        <w:tc>
          <w:tcPr>
            <w:tcW w:w="316" w:type="pct"/>
            <w:tcBorders>
              <w:top w:val="single" w:sz="4" w:space="0" w:color="auto"/>
              <w:left w:val="nil"/>
              <w:right w:val="nil"/>
            </w:tcBorders>
            <w:shd w:val="clear" w:color="auto" w:fill="E7E6E6"/>
            <w:noWrap/>
          </w:tcPr>
          <w:p w14:paraId="6752DE4C" w14:textId="77777777" w:rsidR="00C67339" w:rsidRPr="0076703D" w:rsidRDefault="00C67339" w:rsidP="001D5CB4">
            <w:pPr>
              <w:pStyle w:val="ARtabletextright"/>
              <w:spacing w:before="60" w:after="50"/>
            </w:pPr>
            <w:r w:rsidRPr="0076703D">
              <w:rPr>
                <w:color w:val="000000"/>
              </w:rPr>
              <w:t>12</w:t>
            </w:r>
          </w:p>
        </w:tc>
        <w:tc>
          <w:tcPr>
            <w:tcW w:w="368" w:type="pct"/>
            <w:tcBorders>
              <w:top w:val="single" w:sz="4" w:space="0" w:color="auto"/>
              <w:left w:val="nil"/>
              <w:right w:val="nil"/>
            </w:tcBorders>
            <w:shd w:val="clear" w:color="auto" w:fill="E7E6E6"/>
            <w:noWrap/>
          </w:tcPr>
          <w:p w14:paraId="7126F3DB"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7E660820" w14:textId="77777777" w:rsidR="00C67339" w:rsidRPr="0076703D" w:rsidRDefault="00C67339" w:rsidP="001D5CB4">
            <w:pPr>
              <w:pStyle w:val="ARtabletextrightbold"/>
              <w:spacing w:before="60" w:after="50"/>
            </w:pPr>
            <w:r w:rsidRPr="0076703D">
              <w:rPr>
                <w:color w:val="000000"/>
              </w:rPr>
              <w:t>16</w:t>
            </w:r>
          </w:p>
        </w:tc>
        <w:tc>
          <w:tcPr>
            <w:tcW w:w="314" w:type="pct"/>
            <w:tcBorders>
              <w:left w:val="nil"/>
            </w:tcBorders>
            <w:shd w:val="clear" w:color="auto" w:fill="auto"/>
            <w:noWrap/>
          </w:tcPr>
          <w:p w14:paraId="2B529F4C" w14:textId="77777777" w:rsidR="00C67339" w:rsidRPr="0076703D" w:rsidRDefault="00C67339" w:rsidP="001D5CB4">
            <w:pPr>
              <w:pStyle w:val="ARtabletextright"/>
              <w:spacing w:before="60" w:after="50"/>
            </w:pPr>
            <w:r w:rsidRPr="0076703D">
              <w:rPr>
                <w:color w:val="000000"/>
              </w:rPr>
              <w:t>2</w:t>
            </w:r>
          </w:p>
        </w:tc>
        <w:tc>
          <w:tcPr>
            <w:tcW w:w="316" w:type="pct"/>
            <w:noWrap/>
          </w:tcPr>
          <w:p w14:paraId="1BB60133" w14:textId="77777777" w:rsidR="00C67339" w:rsidRPr="0076703D" w:rsidRDefault="00C67339" w:rsidP="001D5CB4">
            <w:pPr>
              <w:pStyle w:val="ARtabletextright"/>
              <w:spacing w:before="60" w:after="50"/>
            </w:pPr>
            <w:r w:rsidRPr="0076703D">
              <w:rPr>
                <w:color w:val="000000"/>
              </w:rPr>
              <w:t>3</w:t>
            </w:r>
          </w:p>
        </w:tc>
        <w:tc>
          <w:tcPr>
            <w:tcW w:w="368" w:type="pct"/>
            <w:noWrap/>
          </w:tcPr>
          <w:p w14:paraId="3058CC28" w14:textId="77777777" w:rsidR="00C67339" w:rsidRPr="0076703D" w:rsidRDefault="00C67339" w:rsidP="001D5CB4">
            <w:pPr>
              <w:pStyle w:val="ARtabletextright"/>
              <w:spacing w:before="60" w:after="50"/>
            </w:pPr>
            <w:r w:rsidRPr="0076703D">
              <w:rPr>
                <w:color w:val="000000"/>
              </w:rPr>
              <w:t>0</w:t>
            </w:r>
          </w:p>
        </w:tc>
        <w:tc>
          <w:tcPr>
            <w:tcW w:w="313" w:type="pct"/>
            <w:noWrap/>
          </w:tcPr>
          <w:p w14:paraId="599CF112" w14:textId="77777777" w:rsidR="00C67339" w:rsidRPr="0076703D" w:rsidRDefault="00C67339" w:rsidP="001D5CB4">
            <w:pPr>
              <w:pStyle w:val="ARtabletextrightbold"/>
              <w:spacing w:before="60" w:after="50"/>
            </w:pPr>
            <w:r w:rsidRPr="0076703D">
              <w:rPr>
                <w:color w:val="000000"/>
              </w:rPr>
              <w:t>5</w:t>
            </w:r>
          </w:p>
        </w:tc>
      </w:tr>
      <w:tr w:rsidR="00C67339" w:rsidRPr="007939DD" w14:paraId="46145CBD" w14:textId="77777777" w:rsidTr="005732E7">
        <w:tblPrEx>
          <w:tblLook w:val="0000" w:firstRow="0" w:lastRow="0" w:firstColumn="0" w:lastColumn="0" w:noHBand="0" w:noVBand="0"/>
        </w:tblPrEx>
        <w:trPr>
          <w:cantSplit/>
        </w:trPr>
        <w:tc>
          <w:tcPr>
            <w:tcW w:w="1052" w:type="pct"/>
            <w:noWrap/>
          </w:tcPr>
          <w:p w14:paraId="4C415B46" w14:textId="77777777" w:rsidR="00C67339" w:rsidRPr="0076703D" w:rsidRDefault="00C67339" w:rsidP="001D5CB4">
            <w:pPr>
              <w:pStyle w:val="ARtabletext"/>
              <w:spacing w:before="60" w:after="50"/>
            </w:pPr>
            <w:r w:rsidRPr="0076703D">
              <w:rPr>
                <w:color w:val="000000"/>
              </w:rPr>
              <w:t>Austin Health</w:t>
            </w:r>
          </w:p>
        </w:tc>
        <w:tc>
          <w:tcPr>
            <w:tcW w:w="315" w:type="pct"/>
          </w:tcPr>
          <w:p w14:paraId="0257709D" w14:textId="77777777" w:rsidR="00C67339" w:rsidRPr="0076703D" w:rsidRDefault="00C67339" w:rsidP="001D5CB4">
            <w:pPr>
              <w:pStyle w:val="ARtabletextright"/>
              <w:spacing w:before="60" w:after="50"/>
            </w:pPr>
            <w:r w:rsidRPr="0076703D">
              <w:rPr>
                <w:color w:val="000000"/>
              </w:rPr>
              <w:t>5</w:t>
            </w:r>
          </w:p>
        </w:tc>
        <w:tc>
          <w:tcPr>
            <w:tcW w:w="316" w:type="pct"/>
          </w:tcPr>
          <w:p w14:paraId="6F87E4E4" w14:textId="77777777" w:rsidR="00C67339" w:rsidRPr="0076703D" w:rsidRDefault="00C67339" w:rsidP="001D5CB4">
            <w:pPr>
              <w:pStyle w:val="ARtabletextright"/>
              <w:spacing w:before="60" w:after="50"/>
            </w:pPr>
            <w:r w:rsidRPr="0076703D">
              <w:rPr>
                <w:color w:val="000000"/>
              </w:rPr>
              <w:t>2</w:t>
            </w:r>
          </w:p>
        </w:tc>
        <w:tc>
          <w:tcPr>
            <w:tcW w:w="369" w:type="pct"/>
          </w:tcPr>
          <w:p w14:paraId="4B64DEF7" w14:textId="77777777" w:rsidR="00C67339" w:rsidRPr="0076703D" w:rsidRDefault="00C67339" w:rsidP="001D5CB4">
            <w:pPr>
              <w:pStyle w:val="ARtabletextright"/>
              <w:spacing w:before="60" w:after="50"/>
            </w:pPr>
            <w:r w:rsidRPr="0076703D">
              <w:rPr>
                <w:color w:val="000000"/>
              </w:rPr>
              <w:t>0</w:t>
            </w:r>
          </w:p>
        </w:tc>
        <w:tc>
          <w:tcPr>
            <w:tcW w:w="318" w:type="pct"/>
            <w:noWrap/>
          </w:tcPr>
          <w:p w14:paraId="77CA75EE" w14:textId="77777777" w:rsidR="00C67339" w:rsidRPr="0076703D" w:rsidRDefault="00C67339" w:rsidP="001D5CB4">
            <w:pPr>
              <w:pStyle w:val="ARtabletextrightbold"/>
              <w:spacing w:before="60" w:after="50"/>
            </w:pPr>
            <w:r w:rsidRPr="0076703D">
              <w:rPr>
                <w:color w:val="000000"/>
              </w:rPr>
              <w:t>7</w:t>
            </w:r>
          </w:p>
        </w:tc>
        <w:tc>
          <w:tcPr>
            <w:tcW w:w="316" w:type="pct"/>
            <w:tcBorders>
              <w:top w:val="single" w:sz="4" w:space="0" w:color="auto"/>
              <w:right w:val="nil"/>
            </w:tcBorders>
            <w:shd w:val="clear" w:color="auto" w:fill="E7E6E6"/>
            <w:noWrap/>
          </w:tcPr>
          <w:p w14:paraId="2D1B2140" w14:textId="77777777" w:rsidR="00C67339" w:rsidRPr="0076703D" w:rsidRDefault="00C67339" w:rsidP="001D5CB4">
            <w:pPr>
              <w:pStyle w:val="ARtabletextright"/>
              <w:spacing w:before="60" w:after="50"/>
            </w:pPr>
            <w:r w:rsidRPr="0076703D">
              <w:rPr>
                <w:color w:val="000000"/>
              </w:rPr>
              <w:t>5</w:t>
            </w:r>
          </w:p>
        </w:tc>
        <w:tc>
          <w:tcPr>
            <w:tcW w:w="316" w:type="pct"/>
            <w:tcBorders>
              <w:top w:val="single" w:sz="4" w:space="0" w:color="auto"/>
              <w:left w:val="nil"/>
              <w:right w:val="nil"/>
            </w:tcBorders>
            <w:shd w:val="clear" w:color="auto" w:fill="E7E6E6"/>
            <w:noWrap/>
          </w:tcPr>
          <w:p w14:paraId="04D75C69" w14:textId="77777777" w:rsidR="00C67339" w:rsidRPr="0076703D" w:rsidRDefault="00C67339" w:rsidP="001D5CB4">
            <w:pPr>
              <w:pStyle w:val="ARtabletextright"/>
              <w:spacing w:before="60" w:after="50"/>
            </w:pPr>
            <w:r w:rsidRPr="0076703D">
              <w:rPr>
                <w:color w:val="000000"/>
              </w:rPr>
              <w:t>3</w:t>
            </w:r>
          </w:p>
        </w:tc>
        <w:tc>
          <w:tcPr>
            <w:tcW w:w="368" w:type="pct"/>
            <w:tcBorders>
              <w:top w:val="single" w:sz="4" w:space="0" w:color="auto"/>
              <w:left w:val="nil"/>
              <w:right w:val="nil"/>
            </w:tcBorders>
            <w:shd w:val="clear" w:color="auto" w:fill="E7E6E6"/>
            <w:noWrap/>
          </w:tcPr>
          <w:p w14:paraId="5500D88C"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1C8059BD" w14:textId="77777777" w:rsidR="00C67339" w:rsidRPr="0076703D" w:rsidRDefault="00C67339" w:rsidP="001D5CB4">
            <w:pPr>
              <w:pStyle w:val="ARtabletextrightbold"/>
              <w:spacing w:before="60" w:after="50"/>
            </w:pPr>
            <w:r w:rsidRPr="0076703D">
              <w:rPr>
                <w:color w:val="000000"/>
              </w:rPr>
              <w:t>8</w:t>
            </w:r>
          </w:p>
        </w:tc>
        <w:tc>
          <w:tcPr>
            <w:tcW w:w="314" w:type="pct"/>
            <w:tcBorders>
              <w:left w:val="nil"/>
            </w:tcBorders>
            <w:shd w:val="clear" w:color="auto" w:fill="auto"/>
            <w:noWrap/>
          </w:tcPr>
          <w:p w14:paraId="02FF6A33" w14:textId="77777777" w:rsidR="00C67339" w:rsidRPr="0076703D" w:rsidRDefault="00C67339" w:rsidP="001D5CB4">
            <w:pPr>
              <w:pStyle w:val="ARtabletextright"/>
              <w:spacing w:before="60" w:after="50"/>
            </w:pPr>
            <w:r w:rsidRPr="0076703D">
              <w:rPr>
                <w:color w:val="000000"/>
              </w:rPr>
              <w:t>0</w:t>
            </w:r>
          </w:p>
        </w:tc>
        <w:tc>
          <w:tcPr>
            <w:tcW w:w="316" w:type="pct"/>
            <w:noWrap/>
          </w:tcPr>
          <w:p w14:paraId="1B99E565" w14:textId="77777777" w:rsidR="00C67339" w:rsidRPr="0076703D" w:rsidRDefault="00C67339" w:rsidP="001D5CB4">
            <w:pPr>
              <w:pStyle w:val="ARtabletextright"/>
              <w:spacing w:before="60" w:after="50"/>
            </w:pPr>
            <w:r w:rsidRPr="0076703D">
              <w:rPr>
                <w:color w:val="000000"/>
              </w:rPr>
              <w:t>-1</w:t>
            </w:r>
          </w:p>
        </w:tc>
        <w:tc>
          <w:tcPr>
            <w:tcW w:w="368" w:type="pct"/>
            <w:noWrap/>
          </w:tcPr>
          <w:p w14:paraId="7A021660" w14:textId="77777777" w:rsidR="00C67339" w:rsidRPr="0076703D" w:rsidRDefault="00C67339" w:rsidP="001D5CB4">
            <w:pPr>
              <w:pStyle w:val="ARtabletextright"/>
              <w:spacing w:before="60" w:after="50"/>
            </w:pPr>
            <w:r w:rsidRPr="0076703D">
              <w:rPr>
                <w:color w:val="000000"/>
              </w:rPr>
              <w:t>0</w:t>
            </w:r>
          </w:p>
        </w:tc>
        <w:tc>
          <w:tcPr>
            <w:tcW w:w="313" w:type="pct"/>
            <w:noWrap/>
          </w:tcPr>
          <w:p w14:paraId="3D216B0B" w14:textId="77777777" w:rsidR="00C67339" w:rsidRPr="0076703D" w:rsidRDefault="00C67339" w:rsidP="001D5CB4">
            <w:pPr>
              <w:pStyle w:val="ARtabletextrightbold"/>
              <w:spacing w:before="60" w:after="50"/>
            </w:pPr>
            <w:r w:rsidRPr="0076703D">
              <w:rPr>
                <w:color w:val="000000"/>
              </w:rPr>
              <w:t>-1</w:t>
            </w:r>
          </w:p>
        </w:tc>
      </w:tr>
      <w:tr w:rsidR="00C67339" w:rsidRPr="007939DD" w14:paraId="3182A777" w14:textId="77777777" w:rsidTr="005732E7">
        <w:tblPrEx>
          <w:tblLook w:val="0000" w:firstRow="0" w:lastRow="0" w:firstColumn="0" w:lastColumn="0" w:noHBand="0" w:noVBand="0"/>
        </w:tblPrEx>
        <w:trPr>
          <w:cantSplit/>
        </w:trPr>
        <w:tc>
          <w:tcPr>
            <w:tcW w:w="1052" w:type="pct"/>
            <w:noWrap/>
          </w:tcPr>
          <w:p w14:paraId="16368D0A" w14:textId="77777777" w:rsidR="00C67339" w:rsidRPr="0076703D" w:rsidRDefault="00C67339" w:rsidP="001D5CB4">
            <w:pPr>
              <w:pStyle w:val="ARtabletext"/>
              <w:spacing w:before="60" w:after="50"/>
            </w:pPr>
            <w:r w:rsidRPr="0076703D">
              <w:rPr>
                <w:color w:val="000000"/>
              </w:rPr>
              <w:t>Bairnsdale Regional Health Service</w:t>
            </w:r>
          </w:p>
        </w:tc>
        <w:tc>
          <w:tcPr>
            <w:tcW w:w="315" w:type="pct"/>
          </w:tcPr>
          <w:p w14:paraId="45CD6BF5" w14:textId="77777777" w:rsidR="00C67339" w:rsidRPr="0076703D" w:rsidRDefault="00C67339" w:rsidP="001D5CB4">
            <w:pPr>
              <w:pStyle w:val="ARtabletextright"/>
              <w:spacing w:before="60" w:after="50"/>
            </w:pPr>
            <w:r w:rsidRPr="0076703D">
              <w:rPr>
                <w:color w:val="000000"/>
              </w:rPr>
              <w:t>2</w:t>
            </w:r>
          </w:p>
        </w:tc>
        <w:tc>
          <w:tcPr>
            <w:tcW w:w="316" w:type="pct"/>
          </w:tcPr>
          <w:p w14:paraId="74B38019" w14:textId="77777777" w:rsidR="00C67339" w:rsidRPr="0076703D" w:rsidRDefault="00C67339" w:rsidP="001D5CB4">
            <w:pPr>
              <w:pStyle w:val="ARtabletextright"/>
              <w:spacing w:before="60" w:after="50"/>
            </w:pPr>
            <w:r w:rsidRPr="0076703D">
              <w:rPr>
                <w:color w:val="000000"/>
              </w:rPr>
              <w:t>1</w:t>
            </w:r>
          </w:p>
        </w:tc>
        <w:tc>
          <w:tcPr>
            <w:tcW w:w="369" w:type="pct"/>
          </w:tcPr>
          <w:p w14:paraId="25464714" w14:textId="77777777" w:rsidR="00C67339" w:rsidRPr="0076703D" w:rsidRDefault="00C67339" w:rsidP="001D5CB4">
            <w:pPr>
              <w:pStyle w:val="ARtabletextright"/>
              <w:spacing w:before="60" w:after="50"/>
            </w:pPr>
            <w:r w:rsidRPr="0076703D">
              <w:rPr>
                <w:color w:val="000000"/>
              </w:rPr>
              <w:t>0</w:t>
            </w:r>
          </w:p>
        </w:tc>
        <w:tc>
          <w:tcPr>
            <w:tcW w:w="318" w:type="pct"/>
            <w:noWrap/>
          </w:tcPr>
          <w:p w14:paraId="142197D2" w14:textId="77777777" w:rsidR="00C67339" w:rsidRPr="0076703D" w:rsidRDefault="00C67339" w:rsidP="001D5CB4">
            <w:pPr>
              <w:pStyle w:val="ARtabletextrightbold"/>
              <w:spacing w:before="60" w:after="50"/>
            </w:pPr>
            <w:r w:rsidRPr="0076703D">
              <w:rPr>
                <w:color w:val="000000"/>
              </w:rPr>
              <w:t>3</w:t>
            </w:r>
          </w:p>
        </w:tc>
        <w:tc>
          <w:tcPr>
            <w:tcW w:w="316" w:type="pct"/>
            <w:tcBorders>
              <w:top w:val="single" w:sz="4" w:space="0" w:color="auto"/>
              <w:right w:val="nil"/>
            </w:tcBorders>
            <w:shd w:val="clear" w:color="auto" w:fill="E7E6E6"/>
            <w:noWrap/>
          </w:tcPr>
          <w:p w14:paraId="67CA06B0" w14:textId="77777777" w:rsidR="00C67339" w:rsidRPr="0076703D" w:rsidRDefault="00C67339" w:rsidP="001D5CB4">
            <w:pPr>
              <w:pStyle w:val="ARtabletextright"/>
              <w:spacing w:before="60" w:after="50"/>
            </w:pPr>
            <w:r w:rsidRPr="0076703D">
              <w:rPr>
                <w:color w:val="000000"/>
              </w:rPr>
              <w:t>6</w:t>
            </w:r>
          </w:p>
        </w:tc>
        <w:tc>
          <w:tcPr>
            <w:tcW w:w="316" w:type="pct"/>
            <w:tcBorders>
              <w:top w:val="single" w:sz="4" w:space="0" w:color="auto"/>
              <w:left w:val="nil"/>
              <w:right w:val="nil"/>
            </w:tcBorders>
            <w:shd w:val="clear" w:color="auto" w:fill="E7E6E6"/>
            <w:noWrap/>
          </w:tcPr>
          <w:p w14:paraId="4C6F7F01"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6C6826DF"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72A82D39" w14:textId="77777777" w:rsidR="00C67339" w:rsidRPr="0076703D" w:rsidRDefault="00C67339" w:rsidP="001D5CB4">
            <w:pPr>
              <w:pStyle w:val="ARtabletextrightbold"/>
              <w:spacing w:before="60" w:after="50"/>
            </w:pPr>
            <w:r w:rsidRPr="0076703D">
              <w:rPr>
                <w:color w:val="000000"/>
              </w:rPr>
              <w:t>6</w:t>
            </w:r>
          </w:p>
        </w:tc>
        <w:tc>
          <w:tcPr>
            <w:tcW w:w="314" w:type="pct"/>
            <w:tcBorders>
              <w:left w:val="nil"/>
            </w:tcBorders>
            <w:shd w:val="clear" w:color="auto" w:fill="auto"/>
            <w:noWrap/>
          </w:tcPr>
          <w:p w14:paraId="38DBD96C" w14:textId="77777777" w:rsidR="00C67339" w:rsidRPr="0076703D" w:rsidRDefault="00C67339" w:rsidP="001D5CB4">
            <w:pPr>
              <w:pStyle w:val="ARtabletextright"/>
              <w:spacing w:before="60" w:after="50"/>
            </w:pPr>
            <w:r w:rsidRPr="0076703D">
              <w:rPr>
                <w:color w:val="000000"/>
              </w:rPr>
              <w:t>-4</w:t>
            </w:r>
          </w:p>
        </w:tc>
        <w:tc>
          <w:tcPr>
            <w:tcW w:w="316" w:type="pct"/>
            <w:noWrap/>
          </w:tcPr>
          <w:p w14:paraId="6530C57F" w14:textId="77777777" w:rsidR="00C67339" w:rsidRPr="0076703D" w:rsidRDefault="00C67339" w:rsidP="001D5CB4">
            <w:pPr>
              <w:pStyle w:val="ARtabletextright"/>
              <w:spacing w:before="60" w:after="50"/>
            </w:pPr>
            <w:r w:rsidRPr="0076703D">
              <w:rPr>
                <w:color w:val="000000"/>
              </w:rPr>
              <w:t>1</w:t>
            </w:r>
          </w:p>
        </w:tc>
        <w:tc>
          <w:tcPr>
            <w:tcW w:w="368" w:type="pct"/>
            <w:noWrap/>
          </w:tcPr>
          <w:p w14:paraId="1B157AFF" w14:textId="77777777" w:rsidR="00C67339" w:rsidRPr="0076703D" w:rsidRDefault="00C67339" w:rsidP="001D5CB4">
            <w:pPr>
              <w:pStyle w:val="ARtabletextright"/>
              <w:spacing w:before="60" w:after="50"/>
            </w:pPr>
            <w:r w:rsidRPr="0076703D">
              <w:rPr>
                <w:color w:val="000000"/>
              </w:rPr>
              <w:t>0</w:t>
            </w:r>
          </w:p>
        </w:tc>
        <w:tc>
          <w:tcPr>
            <w:tcW w:w="313" w:type="pct"/>
            <w:noWrap/>
          </w:tcPr>
          <w:p w14:paraId="221C44A8" w14:textId="77777777" w:rsidR="00C67339" w:rsidRPr="0076703D" w:rsidRDefault="00C67339" w:rsidP="001D5CB4">
            <w:pPr>
              <w:pStyle w:val="ARtabletextrightbold"/>
              <w:spacing w:before="60" w:after="50"/>
            </w:pPr>
            <w:r w:rsidRPr="0076703D">
              <w:rPr>
                <w:color w:val="000000"/>
              </w:rPr>
              <w:t>-3</w:t>
            </w:r>
          </w:p>
        </w:tc>
      </w:tr>
      <w:tr w:rsidR="00C67339" w:rsidRPr="007939DD" w14:paraId="3A56E8FE" w14:textId="77777777" w:rsidTr="005732E7">
        <w:tblPrEx>
          <w:tblLook w:val="0000" w:firstRow="0" w:lastRow="0" w:firstColumn="0" w:lastColumn="0" w:noHBand="0" w:noVBand="0"/>
        </w:tblPrEx>
        <w:trPr>
          <w:cantSplit/>
        </w:trPr>
        <w:tc>
          <w:tcPr>
            <w:tcW w:w="1052" w:type="pct"/>
            <w:noWrap/>
          </w:tcPr>
          <w:p w14:paraId="7C5F502D" w14:textId="77777777" w:rsidR="00C67339" w:rsidRPr="0076703D" w:rsidRDefault="00C67339" w:rsidP="001D5CB4">
            <w:pPr>
              <w:pStyle w:val="ARtabletext"/>
              <w:spacing w:before="60" w:after="50"/>
            </w:pPr>
            <w:r w:rsidRPr="0076703D">
              <w:rPr>
                <w:color w:val="000000"/>
              </w:rPr>
              <w:t>Ballarat General Cemeteries Trust</w:t>
            </w:r>
          </w:p>
        </w:tc>
        <w:tc>
          <w:tcPr>
            <w:tcW w:w="315" w:type="pct"/>
          </w:tcPr>
          <w:p w14:paraId="6F93C748" w14:textId="77777777" w:rsidR="00C67339" w:rsidRPr="0076703D" w:rsidRDefault="00C67339" w:rsidP="001D5CB4">
            <w:pPr>
              <w:pStyle w:val="ARtabletextright"/>
              <w:spacing w:before="60" w:after="50"/>
            </w:pPr>
            <w:r w:rsidRPr="0076703D">
              <w:rPr>
                <w:color w:val="000000"/>
              </w:rPr>
              <w:t>1</w:t>
            </w:r>
          </w:p>
        </w:tc>
        <w:tc>
          <w:tcPr>
            <w:tcW w:w="316" w:type="pct"/>
          </w:tcPr>
          <w:p w14:paraId="1350F598" w14:textId="77777777" w:rsidR="00C67339" w:rsidRPr="0076703D" w:rsidRDefault="00C67339" w:rsidP="001D5CB4">
            <w:pPr>
              <w:pStyle w:val="ARtabletextright"/>
              <w:spacing w:before="60" w:after="50"/>
            </w:pPr>
            <w:r w:rsidRPr="0076703D">
              <w:rPr>
                <w:color w:val="000000"/>
              </w:rPr>
              <w:t>0</w:t>
            </w:r>
          </w:p>
        </w:tc>
        <w:tc>
          <w:tcPr>
            <w:tcW w:w="369" w:type="pct"/>
          </w:tcPr>
          <w:p w14:paraId="23EA7301" w14:textId="77777777" w:rsidR="00C67339" w:rsidRPr="0076703D" w:rsidRDefault="00C67339" w:rsidP="001D5CB4">
            <w:pPr>
              <w:pStyle w:val="ARtabletextright"/>
              <w:spacing w:before="60" w:after="50"/>
            </w:pPr>
            <w:r w:rsidRPr="0076703D">
              <w:rPr>
                <w:color w:val="000000"/>
              </w:rPr>
              <w:t>0</w:t>
            </w:r>
          </w:p>
        </w:tc>
        <w:tc>
          <w:tcPr>
            <w:tcW w:w="318" w:type="pct"/>
            <w:noWrap/>
          </w:tcPr>
          <w:p w14:paraId="744ABC56"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72281A50"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07865EA2"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48E93229"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35362969" w14:textId="77777777" w:rsidR="00C67339" w:rsidRPr="0076703D" w:rsidRDefault="00C67339" w:rsidP="001D5CB4">
            <w:pPr>
              <w:pStyle w:val="ARtabletextrightbold"/>
              <w:spacing w:before="60" w:after="50"/>
            </w:pPr>
            <w:r w:rsidRPr="0076703D">
              <w:rPr>
                <w:color w:val="000000"/>
              </w:rPr>
              <w:t>1</w:t>
            </w:r>
          </w:p>
        </w:tc>
        <w:tc>
          <w:tcPr>
            <w:tcW w:w="314" w:type="pct"/>
            <w:tcBorders>
              <w:left w:val="nil"/>
            </w:tcBorders>
            <w:shd w:val="clear" w:color="auto" w:fill="auto"/>
            <w:noWrap/>
          </w:tcPr>
          <w:p w14:paraId="79DF64CD" w14:textId="77777777" w:rsidR="00C67339" w:rsidRPr="0076703D" w:rsidRDefault="00C67339" w:rsidP="001D5CB4">
            <w:pPr>
              <w:pStyle w:val="ARtabletextright"/>
              <w:spacing w:before="60" w:after="50"/>
            </w:pPr>
            <w:r w:rsidRPr="0076703D">
              <w:rPr>
                <w:color w:val="000000"/>
              </w:rPr>
              <w:t>0</w:t>
            </w:r>
          </w:p>
        </w:tc>
        <w:tc>
          <w:tcPr>
            <w:tcW w:w="316" w:type="pct"/>
            <w:noWrap/>
          </w:tcPr>
          <w:p w14:paraId="0A2B0D81" w14:textId="77777777" w:rsidR="00C67339" w:rsidRPr="0076703D" w:rsidRDefault="00C67339" w:rsidP="001D5CB4">
            <w:pPr>
              <w:pStyle w:val="ARtabletextright"/>
              <w:spacing w:before="60" w:after="50"/>
            </w:pPr>
            <w:r w:rsidRPr="0076703D">
              <w:rPr>
                <w:color w:val="000000"/>
              </w:rPr>
              <w:t>0</w:t>
            </w:r>
          </w:p>
        </w:tc>
        <w:tc>
          <w:tcPr>
            <w:tcW w:w="368" w:type="pct"/>
            <w:noWrap/>
          </w:tcPr>
          <w:p w14:paraId="30B1B93F" w14:textId="77777777" w:rsidR="00C67339" w:rsidRPr="0076703D" w:rsidRDefault="00C67339" w:rsidP="001D5CB4">
            <w:pPr>
              <w:pStyle w:val="ARtabletextright"/>
              <w:spacing w:before="60" w:after="50"/>
            </w:pPr>
            <w:r w:rsidRPr="0076703D">
              <w:rPr>
                <w:color w:val="000000"/>
              </w:rPr>
              <w:t>0</w:t>
            </w:r>
          </w:p>
        </w:tc>
        <w:tc>
          <w:tcPr>
            <w:tcW w:w="313" w:type="pct"/>
            <w:noWrap/>
          </w:tcPr>
          <w:p w14:paraId="2D1C863F" w14:textId="77777777" w:rsidR="00C67339" w:rsidRPr="0076703D" w:rsidRDefault="00C67339" w:rsidP="001D5CB4">
            <w:pPr>
              <w:pStyle w:val="ARtabletextrightbold"/>
              <w:spacing w:before="60" w:after="50"/>
            </w:pPr>
            <w:r w:rsidRPr="0076703D">
              <w:rPr>
                <w:color w:val="000000"/>
              </w:rPr>
              <w:t>0</w:t>
            </w:r>
          </w:p>
        </w:tc>
      </w:tr>
      <w:tr w:rsidR="00C67339" w:rsidRPr="007939DD" w14:paraId="5C2B5F46" w14:textId="77777777" w:rsidTr="005732E7">
        <w:tblPrEx>
          <w:tblLook w:val="0000" w:firstRow="0" w:lastRow="0" w:firstColumn="0" w:lastColumn="0" w:noHBand="0" w:noVBand="0"/>
        </w:tblPrEx>
        <w:trPr>
          <w:cantSplit/>
        </w:trPr>
        <w:tc>
          <w:tcPr>
            <w:tcW w:w="1052" w:type="pct"/>
            <w:noWrap/>
          </w:tcPr>
          <w:p w14:paraId="33352467" w14:textId="77777777" w:rsidR="00C67339" w:rsidRPr="0076703D" w:rsidRDefault="00C67339" w:rsidP="001D5CB4">
            <w:pPr>
              <w:pStyle w:val="ARtabletext"/>
              <w:spacing w:before="60" w:after="50"/>
            </w:pPr>
            <w:r w:rsidRPr="0076703D">
              <w:rPr>
                <w:color w:val="000000"/>
              </w:rPr>
              <w:t>Ballarat Health Services</w:t>
            </w:r>
          </w:p>
        </w:tc>
        <w:tc>
          <w:tcPr>
            <w:tcW w:w="315" w:type="pct"/>
          </w:tcPr>
          <w:p w14:paraId="18C24BE0" w14:textId="77777777" w:rsidR="00C67339" w:rsidRPr="0076703D" w:rsidRDefault="00C67339" w:rsidP="001D5CB4">
            <w:pPr>
              <w:pStyle w:val="ARtabletextright"/>
              <w:spacing w:before="60" w:after="50"/>
            </w:pPr>
            <w:r w:rsidRPr="0076703D">
              <w:rPr>
                <w:color w:val="000000"/>
              </w:rPr>
              <w:t>3</w:t>
            </w:r>
          </w:p>
        </w:tc>
        <w:tc>
          <w:tcPr>
            <w:tcW w:w="316" w:type="pct"/>
          </w:tcPr>
          <w:p w14:paraId="70E59CA6" w14:textId="77777777" w:rsidR="00C67339" w:rsidRPr="0076703D" w:rsidRDefault="00C67339" w:rsidP="001D5CB4">
            <w:pPr>
              <w:pStyle w:val="ARtabletextright"/>
              <w:spacing w:before="60" w:after="50"/>
            </w:pPr>
            <w:r w:rsidRPr="0076703D">
              <w:rPr>
                <w:color w:val="000000"/>
              </w:rPr>
              <w:t>4</w:t>
            </w:r>
          </w:p>
        </w:tc>
        <w:tc>
          <w:tcPr>
            <w:tcW w:w="369" w:type="pct"/>
          </w:tcPr>
          <w:p w14:paraId="33B78910" w14:textId="77777777" w:rsidR="00C67339" w:rsidRPr="0076703D" w:rsidRDefault="00C67339" w:rsidP="001D5CB4">
            <w:pPr>
              <w:pStyle w:val="ARtabletextright"/>
              <w:spacing w:before="60" w:after="50"/>
            </w:pPr>
            <w:r w:rsidRPr="0076703D">
              <w:rPr>
                <w:color w:val="000000"/>
              </w:rPr>
              <w:t>0</w:t>
            </w:r>
          </w:p>
        </w:tc>
        <w:tc>
          <w:tcPr>
            <w:tcW w:w="318" w:type="pct"/>
            <w:noWrap/>
          </w:tcPr>
          <w:p w14:paraId="2311EEED" w14:textId="77777777" w:rsidR="00C67339" w:rsidRPr="0076703D" w:rsidRDefault="00C67339" w:rsidP="001D5CB4">
            <w:pPr>
              <w:pStyle w:val="ARtabletextrightbold"/>
              <w:spacing w:before="60" w:after="50"/>
            </w:pPr>
            <w:r w:rsidRPr="0076703D">
              <w:rPr>
                <w:color w:val="000000"/>
              </w:rPr>
              <w:t>7</w:t>
            </w:r>
          </w:p>
        </w:tc>
        <w:tc>
          <w:tcPr>
            <w:tcW w:w="316" w:type="pct"/>
            <w:tcBorders>
              <w:top w:val="single" w:sz="4" w:space="0" w:color="auto"/>
              <w:right w:val="nil"/>
            </w:tcBorders>
            <w:shd w:val="clear" w:color="auto" w:fill="E7E6E6"/>
            <w:noWrap/>
          </w:tcPr>
          <w:p w14:paraId="0207B1D9" w14:textId="77777777" w:rsidR="00C67339" w:rsidRPr="0076703D" w:rsidRDefault="00C67339" w:rsidP="001D5CB4">
            <w:pPr>
              <w:pStyle w:val="ARtabletextright"/>
              <w:spacing w:before="60" w:after="50"/>
            </w:pPr>
            <w:r w:rsidRPr="0076703D">
              <w:rPr>
                <w:color w:val="000000"/>
              </w:rPr>
              <w:t>4</w:t>
            </w:r>
          </w:p>
        </w:tc>
        <w:tc>
          <w:tcPr>
            <w:tcW w:w="316" w:type="pct"/>
            <w:tcBorders>
              <w:top w:val="single" w:sz="4" w:space="0" w:color="auto"/>
              <w:left w:val="nil"/>
              <w:right w:val="nil"/>
            </w:tcBorders>
            <w:shd w:val="clear" w:color="auto" w:fill="E7E6E6"/>
            <w:noWrap/>
          </w:tcPr>
          <w:p w14:paraId="7C3E8AB3" w14:textId="77777777" w:rsidR="00C67339" w:rsidRPr="0076703D" w:rsidRDefault="00C67339" w:rsidP="001D5CB4">
            <w:pPr>
              <w:pStyle w:val="ARtabletextright"/>
              <w:spacing w:before="60" w:after="50"/>
            </w:pPr>
            <w:r w:rsidRPr="0076703D">
              <w:rPr>
                <w:color w:val="000000"/>
              </w:rPr>
              <w:t>4</w:t>
            </w:r>
          </w:p>
        </w:tc>
        <w:tc>
          <w:tcPr>
            <w:tcW w:w="368" w:type="pct"/>
            <w:tcBorders>
              <w:top w:val="single" w:sz="4" w:space="0" w:color="auto"/>
              <w:left w:val="nil"/>
              <w:right w:val="nil"/>
            </w:tcBorders>
            <w:shd w:val="clear" w:color="auto" w:fill="E7E6E6"/>
            <w:noWrap/>
          </w:tcPr>
          <w:p w14:paraId="065BF011"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10156A1C" w14:textId="77777777" w:rsidR="00C67339" w:rsidRPr="0076703D" w:rsidRDefault="00C67339" w:rsidP="001D5CB4">
            <w:pPr>
              <w:pStyle w:val="ARtabletextrightbold"/>
              <w:spacing w:before="60" w:after="50"/>
            </w:pPr>
            <w:r w:rsidRPr="0076703D">
              <w:rPr>
                <w:color w:val="000000"/>
              </w:rPr>
              <w:t>8</w:t>
            </w:r>
          </w:p>
        </w:tc>
        <w:tc>
          <w:tcPr>
            <w:tcW w:w="314" w:type="pct"/>
            <w:tcBorders>
              <w:left w:val="nil"/>
            </w:tcBorders>
            <w:shd w:val="clear" w:color="auto" w:fill="auto"/>
            <w:noWrap/>
          </w:tcPr>
          <w:p w14:paraId="209474EA" w14:textId="77777777" w:rsidR="00C67339" w:rsidRPr="0076703D" w:rsidRDefault="00C67339" w:rsidP="001D5CB4">
            <w:pPr>
              <w:pStyle w:val="ARtabletextright"/>
              <w:spacing w:before="60" w:after="50"/>
            </w:pPr>
            <w:r w:rsidRPr="0076703D">
              <w:rPr>
                <w:color w:val="000000"/>
              </w:rPr>
              <w:t>-1</w:t>
            </w:r>
          </w:p>
        </w:tc>
        <w:tc>
          <w:tcPr>
            <w:tcW w:w="316" w:type="pct"/>
            <w:noWrap/>
          </w:tcPr>
          <w:p w14:paraId="7A55E615" w14:textId="77777777" w:rsidR="00C67339" w:rsidRPr="0076703D" w:rsidRDefault="00C67339" w:rsidP="001D5CB4">
            <w:pPr>
              <w:pStyle w:val="ARtabletextright"/>
              <w:spacing w:before="60" w:after="50"/>
            </w:pPr>
            <w:r w:rsidRPr="0076703D">
              <w:rPr>
                <w:color w:val="000000"/>
              </w:rPr>
              <w:t>0</w:t>
            </w:r>
          </w:p>
        </w:tc>
        <w:tc>
          <w:tcPr>
            <w:tcW w:w="368" w:type="pct"/>
            <w:noWrap/>
          </w:tcPr>
          <w:p w14:paraId="4C68B2DB" w14:textId="77777777" w:rsidR="00C67339" w:rsidRPr="0076703D" w:rsidRDefault="00C67339" w:rsidP="001D5CB4">
            <w:pPr>
              <w:pStyle w:val="ARtabletextright"/>
              <w:spacing w:before="60" w:after="50"/>
            </w:pPr>
            <w:r w:rsidRPr="0076703D">
              <w:rPr>
                <w:color w:val="000000"/>
              </w:rPr>
              <w:t>0</w:t>
            </w:r>
          </w:p>
        </w:tc>
        <w:tc>
          <w:tcPr>
            <w:tcW w:w="313" w:type="pct"/>
            <w:noWrap/>
          </w:tcPr>
          <w:p w14:paraId="67A265E1" w14:textId="77777777" w:rsidR="00C67339" w:rsidRPr="0076703D" w:rsidRDefault="00C67339" w:rsidP="001D5CB4">
            <w:pPr>
              <w:pStyle w:val="ARtabletextrightbold"/>
              <w:spacing w:before="60" w:after="50"/>
            </w:pPr>
            <w:r w:rsidRPr="0076703D">
              <w:rPr>
                <w:color w:val="000000"/>
              </w:rPr>
              <w:t>-1</w:t>
            </w:r>
          </w:p>
        </w:tc>
      </w:tr>
      <w:tr w:rsidR="00C67339" w:rsidRPr="007939DD" w14:paraId="4C22EB29" w14:textId="77777777" w:rsidTr="005732E7">
        <w:tblPrEx>
          <w:tblLook w:val="0000" w:firstRow="0" w:lastRow="0" w:firstColumn="0" w:lastColumn="0" w:noHBand="0" w:noVBand="0"/>
        </w:tblPrEx>
        <w:trPr>
          <w:cantSplit/>
        </w:trPr>
        <w:tc>
          <w:tcPr>
            <w:tcW w:w="1052" w:type="pct"/>
            <w:noWrap/>
          </w:tcPr>
          <w:p w14:paraId="06F2E7E9" w14:textId="77777777" w:rsidR="00C67339" w:rsidRPr="0076703D" w:rsidRDefault="00C67339" w:rsidP="001D5CB4">
            <w:pPr>
              <w:pStyle w:val="ARtabletext"/>
              <w:spacing w:before="60" w:after="50"/>
            </w:pPr>
            <w:r w:rsidRPr="0076703D">
              <w:rPr>
                <w:color w:val="000000"/>
              </w:rPr>
              <w:t>Barwon Health</w:t>
            </w:r>
          </w:p>
        </w:tc>
        <w:tc>
          <w:tcPr>
            <w:tcW w:w="315" w:type="pct"/>
          </w:tcPr>
          <w:p w14:paraId="2FB78334" w14:textId="77777777" w:rsidR="00C67339" w:rsidRPr="0076703D" w:rsidRDefault="00C67339" w:rsidP="001D5CB4">
            <w:pPr>
              <w:pStyle w:val="ARtabletextright"/>
              <w:spacing w:before="60" w:after="50"/>
            </w:pPr>
            <w:r w:rsidRPr="0076703D">
              <w:rPr>
                <w:color w:val="000000"/>
              </w:rPr>
              <w:t>5</w:t>
            </w:r>
          </w:p>
        </w:tc>
        <w:tc>
          <w:tcPr>
            <w:tcW w:w="316" w:type="pct"/>
          </w:tcPr>
          <w:p w14:paraId="2E312627" w14:textId="77777777" w:rsidR="00C67339" w:rsidRPr="0076703D" w:rsidRDefault="00C67339" w:rsidP="001D5CB4">
            <w:pPr>
              <w:pStyle w:val="ARtabletextright"/>
              <w:spacing w:before="60" w:after="50"/>
            </w:pPr>
            <w:r w:rsidRPr="0076703D">
              <w:rPr>
                <w:color w:val="000000"/>
              </w:rPr>
              <w:t>5</w:t>
            </w:r>
          </w:p>
        </w:tc>
        <w:tc>
          <w:tcPr>
            <w:tcW w:w="369" w:type="pct"/>
          </w:tcPr>
          <w:p w14:paraId="2E916BDA" w14:textId="77777777" w:rsidR="00C67339" w:rsidRPr="0076703D" w:rsidRDefault="00C67339" w:rsidP="001D5CB4">
            <w:pPr>
              <w:pStyle w:val="ARtabletextright"/>
              <w:spacing w:before="60" w:after="50"/>
            </w:pPr>
            <w:r w:rsidRPr="0076703D">
              <w:rPr>
                <w:color w:val="000000"/>
              </w:rPr>
              <w:t>0</w:t>
            </w:r>
          </w:p>
        </w:tc>
        <w:tc>
          <w:tcPr>
            <w:tcW w:w="318" w:type="pct"/>
            <w:noWrap/>
          </w:tcPr>
          <w:p w14:paraId="1BE36131" w14:textId="77777777" w:rsidR="00C67339" w:rsidRPr="0076703D" w:rsidRDefault="00C67339" w:rsidP="001D5CB4">
            <w:pPr>
              <w:pStyle w:val="ARtabletextrightbold"/>
              <w:spacing w:before="60" w:after="50"/>
            </w:pPr>
            <w:r w:rsidRPr="0076703D">
              <w:rPr>
                <w:color w:val="000000"/>
              </w:rPr>
              <w:t>10</w:t>
            </w:r>
          </w:p>
        </w:tc>
        <w:tc>
          <w:tcPr>
            <w:tcW w:w="316" w:type="pct"/>
            <w:tcBorders>
              <w:top w:val="single" w:sz="4" w:space="0" w:color="auto"/>
              <w:right w:val="nil"/>
            </w:tcBorders>
            <w:shd w:val="clear" w:color="auto" w:fill="E7E6E6"/>
            <w:noWrap/>
          </w:tcPr>
          <w:p w14:paraId="7D1443DA" w14:textId="77777777" w:rsidR="00C67339" w:rsidRPr="0076703D" w:rsidRDefault="00C67339" w:rsidP="001D5CB4">
            <w:pPr>
              <w:pStyle w:val="ARtabletextright"/>
              <w:spacing w:before="60" w:after="50"/>
            </w:pPr>
            <w:r w:rsidRPr="0076703D">
              <w:rPr>
                <w:color w:val="000000"/>
              </w:rPr>
              <w:t>6</w:t>
            </w:r>
          </w:p>
        </w:tc>
        <w:tc>
          <w:tcPr>
            <w:tcW w:w="316" w:type="pct"/>
            <w:tcBorders>
              <w:top w:val="single" w:sz="4" w:space="0" w:color="auto"/>
              <w:left w:val="nil"/>
              <w:right w:val="nil"/>
            </w:tcBorders>
            <w:shd w:val="clear" w:color="auto" w:fill="E7E6E6"/>
            <w:noWrap/>
          </w:tcPr>
          <w:p w14:paraId="0D7C0519" w14:textId="77777777" w:rsidR="00C67339" w:rsidRPr="0076703D" w:rsidRDefault="00C67339" w:rsidP="001D5CB4">
            <w:pPr>
              <w:pStyle w:val="ARtabletextright"/>
              <w:spacing w:before="60" w:after="50"/>
            </w:pPr>
            <w:r w:rsidRPr="0076703D">
              <w:rPr>
                <w:color w:val="000000"/>
              </w:rPr>
              <w:t>2</w:t>
            </w:r>
          </w:p>
        </w:tc>
        <w:tc>
          <w:tcPr>
            <w:tcW w:w="368" w:type="pct"/>
            <w:tcBorders>
              <w:top w:val="single" w:sz="4" w:space="0" w:color="auto"/>
              <w:left w:val="nil"/>
              <w:right w:val="nil"/>
            </w:tcBorders>
            <w:shd w:val="clear" w:color="auto" w:fill="E7E6E6"/>
            <w:noWrap/>
          </w:tcPr>
          <w:p w14:paraId="69DC5025"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43FB80E5" w14:textId="77777777" w:rsidR="00C67339" w:rsidRPr="0076703D" w:rsidRDefault="00C67339" w:rsidP="001D5CB4">
            <w:pPr>
              <w:pStyle w:val="ARtabletextrightbold"/>
              <w:spacing w:before="60" w:after="50"/>
            </w:pPr>
            <w:r w:rsidRPr="0076703D">
              <w:rPr>
                <w:color w:val="000000"/>
              </w:rPr>
              <w:t>8</w:t>
            </w:r>
          </w:p>
        </w:tc>
        <w:tc>
          <w:tcPr>
            <w:tcW w:w="314" w:type="pct"/>
            <w:tcBorders>
              <w:left w:val="nil"/>
            </w:tcBorders>
            <w:shd w:val="clear" w:color="auto" w:fill="auto"/>
            <w:noWrap/>
          </w:tcPr>
          <w:p w14:paraId="228CA8C9" w14:textId="77777777" w:rsidR="00C67339" w:rsidRPr="0076703D" w:rsidRDefault="00C67339" w:rsidP="001D5CB4">
            <w:pPr>
              <w:pStyle w:val="ARtabletextright"/>
              <w:spacing w:before="60" w:after="50"/>
            </w:pPr>
            <w:r w:rsidRPr="0076703D">
              <w:rPr>
                <w:color w:val="000000"/>
              </w:rPr>
              <w:t>-1</w:t>
            </w:r>
          </w:p>
        </w:tc>
        <w:tc>
          <w:tcPr>
            <w:tcW w:w="316" w:type="pct"/>
            <w:noWrap/>
          </w:tcPr>
          <w:p w14:paraId="0933E776" w14:textId="77777777" w:rsidR="00C67339" w:rsidRPr="0076703D" w:rsidRDefault="00C67339" w:rsidP="001D5CB4">
            <w:pPr>
              <w:pStyle w:val="ARtabletextright"/>
              <w:spacing w:before="60" w:after="50"/>
            </w:pPr>
            <w:r w:rsidRPr="0076703D">
              <w:rPr>
                <w:color w:val="000000"/>
              </w:rPr>
              <w:t>3</w:t>
            </w:r>
          </w:p>
        </w:tc>
        <w:tc>
          <w:tcPr>
            <w:tcW w:w="368" w:type="pct"/>
            <w:noWrap/>
          </w:tcPr>
          <w:p w14:paraId="27435570" w14:textId="77777777" w:rsidR="00C67339" w:rsidRPr="0076703D" w:rsidRDefault="00C67339" w:rsidP="001D5CB4">
            <w:pPr>
              <w:pStyle w:val="ARtabletextright"/>
              <w:spacing w:before="60" w:after="50"/>
            </w:pPr>
            <w:r w:rsidRPr="0076703D">
              <w:rPr>
                <w:color w:val="000000"/>
              </w:rPr>
              <w:t>0</w:t>
            </w:r>
          </w:p>
        </w:tc>
        <w:tc>
          <w:tcPr>
            <w:tcW w:w="313" w:type="pct"/>
            <w:noWrap/>
          </w:tcPr>
          <w:p w14:paraId="5D316CAC" w14:textId="77777777" w:rsidR="00C67339" w:rsidRPr="0076703D" w:rsidRDefault="00C67339" w:rsidP="001D5CB4">
            <w:pPr>
              <w:pStyle w:val="ARtabletextrightbold"/>
              <w:spacing w:before="60" w:after="50"/>
            </w:pPr>
            <w:r w:rsidRPr="0076703D">
              <w:rPr>
                <w:color w:val="000000"/>
              </w:rPr>
              <w:t>2</w:t>
            </w:r>
          </w:p>
        </w:tc>
      </w:tr>
      <w:tr w:rsidR="00C67339" w:rsidRPr="007939DD" w14:paraId="7A744923" w14:textId="77777777" w:rsidTr="005732E7">
        <w:tblPrEx>
          <w:tblLook w:val="0000" w:firstRow="0" w:lastRow="0" w:firstColumn="0" w:lastColumn="0" w:noHBand="0" w:noVBand="0"/>
        </w:tblPrEx>
        <w:trPr>
          <w:cantSplit/>
        </w:trPr>
        <w:tc>
          <w:tcPr>
            <w:tcW w:w="1052" w:type="pct"/>
            <w:noWrap/>
          </w:tcPr>
          <w:p w14:paraId="72A45437" w14:textId="77777777" w:rsidR="00C67339" w:rsidRPr="0076703D" w:rsidRDefault="00C67339" w:rsidP="001D5CB4">
            <w:pPr>
              <w:pStyle w:val="ARtabletext"/>
              <w:spacing w:before="60" w:after="50"/>
            </w:pPr>
            <w:r w:rsidRPr="0076703D">
              <w:rPr>
                <w:color w:val="000000"/>
              </w:rPr>
              <w:t>Bass Coast Health</w:t>
            </w:r>
          </w:p>
        </w:tc>
        <w:tc>
          <w:tcPr>
            <w:tcW w:w="315" w:type="pct"/>
          </w:tcPr>
          <w:p w14:paraId="253FB765" w14:textId="77777777" w:rsidR="00C67339" w:rsidRPr="0076703D" w:rsidRDefault="00C67339" w:rsidP="001D5CB4">
            <w:pPr>
              <w:pStyle w:val="ARtabletextright"/>
              <w:spacing w:before="60" w:after="50"/>
            </w:pPr>
            <w:r w:rsidRPr="0076703D">
              <w:rPr>
                <w:color w:val="000000"/>
              </w:rPr>
              <w:t>2</w:t>
            </w:r>
          </w:p>
        </w:tc>
        <w:tc>
          <w:tcPr>
            <w:tcW w:w="316" w:type="pct"/>
          </w:tcPr>
          <w:p w14:paraId="186B6972" w14:textId="77777777" w:rsidR="00C67339" w:rsidRPr="0076703D" w:rsidRDefault="00C67339" w:rsidP="001D5CB4">
            <w:pPr>
              <w:pStyle w:val="ARtabletextright"/>
              <w:spacing w:before="60" w:after="50"/>
            </w:pPr>
            <w:r w:rsidRPr="0076703D">
              <w:rPr>
                <w:color w:val="000000"/>
              </w:rPr>
              <w:t>1</w:t>
            </w:r>
          </w:p>
        </w:tc>
        <w:tc>
          <w:tcPr>
            <w:tcW w:w="369" w:type="pct"/>
          </w:tcPr>
          <w:p w14:paraId="6BB90664" w14:textId="77777777" w:rsidR="00C67339" w:rsidRPr="0076703D" w:rsidRDefault="00C67339" w:rsidP="001D5CB4">
            <w:pPr>
              <w:pStyle w:val="ARtabletextright"/>
              <w:spacing w:before="60" w:after="50"/>
            </w:pPr>
            <w:r w:rsidRPr="0076703D">
              <w:rPr>
                <w:color w:val="000000"/>
              </w:rPr>
              <w:t>0</w:t>
            </w:r>
          </w:p>
        </w:tc>
        <w:tc>
          <w:tcPr>
            <w:tcW w:w="318" w:type="pct"/>
            <w:noWrap/>
          </w:tcPr>
          <w:p w14:paraId="34370B36" w14:textId="77777777" w:rsidR="00C67339" w:rsidRPr="0076703D" w:rsidRDefault="00C67339" w:rsidP="001D5CB4">
            <w:pPr>
              <w:pStyle w:val="ARtabletextrightbold"/>
              <w:spacing w:before="60" w:after="50"/>
            </w:pPr>
            <w:r w:rsidRPr="0076703D">
              <w:rPr>
                <w:color w:val="000000"/>
              </w:rPr>
              <w:t>3</w:t>
            </w:r>
          </w:p>
        </w:tc>
        <w:tc>
          <w:tcPr>
            <w:tcW w:w="316" w:type="pct"/>
            <w:tcBorders>
              <w:top w:val="single" w:sz="4" w:space="0" w:color="auto"/>
              <w:right w:val="nil"/>
            </w:tcBorders>
            <w:shd w:val="clear" w:color="auto" w:fill="E7E6E6"/>
            <w:noWrap/>
          </w:tcPr>
          <w:p w14:paraId="3EB5EB36" w14:textId="77777777" w:rsidR="00C67339" w:rsidRPr="0076703D" w:rsidRDefault="00C67339" w:rsidP="001D5CB4">
            <w:pPr>
              <w:pStyle w:val="ARtabletextright"/>
              <w:spacing w:before="60" w:after="50"/>
            </w:pPr>
            <w:r w:rsidRPr="0076703D">
              <w:rPr>
                <w:color w:val="000000"/>
              </w:rPr>
              <w:t>3</w:t>
            </w:r>
          </w:p>
        </w:tc>
        <w:tc>
          <w:tcPr>
            <w:tcW w:w="316" w:type="pct"/>
            <w:tcBorders>
              <w:top w:val="single" w:sz="4" w:space="0" w:color="auto"/>
              <w:left w:val="nil"/>
              <w:right w:val="nil"/>
            </w:tcBorders>
            <w:shd w:val="clear" w:color="auto" w:fill="E7E6E6"/>
            <w:noWrap/>
          </w:tcPr>
          <w:p w14:paraId="640D533A" w14:textId="77777777" w:rsidR="00C67339" w:rsidRPr="0076703D" w:rsidRDefault="00C67339" w:rsidP="001D5CB4">
            <w:pPr>
              <w:pStyle w:val="ARtabletextright"/>
              <w:spacing w:before="60" w:after="50"/>
            </w:pPr>
            <w:r w:rsidRPr="0076703D">
              <w:rPr>
                <w:color w:val="000000"/>
              </w:rPr>
              <w:t>3</w:t>
            </w:r>
          </w:p>
        </w:tc>
        <w:tc>
          <w:tcPr>
            <w:tcW w:w="368" w:type="pct"/>
            <w:tcBorders>
              <w:top w:val="single" w:sz="4" w:space="0" w:color="auto"/>
              <w:left w:val="nil"/>
              <w:right w:val="nil"/>
            </w:tcBorders>
            <w:shd w:val="clear" w:color="auto" w:fill="E7E6E6"/>
            <w:noWrap/>
          </w:tcPr>
          <w:p w14:paraId="6E3EC563"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792767B0" w14:textId="77777777" w:rsidR="00C67339" w:rsidRPr="0076703D" w:rsidRDefault="00C67339" w:rsidP="001D5CB4">
            <w:pPr>
              <w:pStyle w:val="ARtabletextrightbold"/>
              <w:spacing w:before="60" w:after="50"/>
            </w:pPr>
            <w:r w:rsidRPr="0076703D">
              <w:rPr>
                <w:color w:val="000000"/>
              </w:rPr>
              <w:t>6</w:t>
            </w:r>
          </w:p>
        </w:tc>
        <w:tc>
          <w:tcPr>
            <w:tcW w:w="314" w:type="pct"/>
            <w:tcBorders>
              <w:left w:val="nil"/>
            </w:tcBorders>
            <w:shd w:val="clear" w:color="auto" w:fill="auto"/>
            <w:noWrap/>
          </w:tcPr>
          <w:p w14:paraId="77C1CD89" w14:textId="77777777" w:rsidR="00C67339" w:rsidRPr="0076703D" w:rsidRDefault="00C67339" w:rsidP="001D5CB4">
            <w:pPr>
              <w:pStyle w:val="ARtabletextright"/>
              <w:spacing w:before="60" w:after="50"/>
            </w:pPr>
            <w:r w:rsidRPr="0076703D">
              <w:rPr>
                <w:color w:val="000000"/>
              </w:rPr>
              <w:t>-1</w:t>
            </w:r>
          </w:p>
        </w:tc>
        <w:tc>
          <w:tcPr>
            <w:tcW w:w="316" w:type="pct"/>
            <w:noWrap/>
          </w:tcPr>
          <w:p w14:paraId="60F6F1AF" w14:textId="77777777" w:rsidR="00C67339" w:rsidRPr="0076703D" w:rsidRDefault="00C67339" w:rsidP="001D5CB4">
            <w:pPr>
              <w:pStyle w:val="ARtabletextright"/>
              <w:spacing w:before="60" w:after="50"/>
            </w:pPr>
            <w:r w:rsidRPr="0076703D">
              <w:rPr>
                <w:color w:val="000000"/>
              </w:rPr>
              <w:t>-2</w:t>
            </w:r>
          </w:p>
        </w:tc>
        <w:tc>
          <w:tcPr>
            <w:tcW w:w="368" w:type="pct"/>
            <w:noWrap/>
          </w:tcPr>
          <w:p w14:paraId="7CA2BC95" w14:textId="77777777" w:rsidR="00C67339" w:rsidRPr="0076703D" w:rsidRDefault="00C67339" w:rsidP="001D5CB4">
            <w:pPr>
              <w:pStyle w:val="ARtabletextright"/>
              <w:spacing w:before="60" w:after="50"/>
            </w:pPr>
            <w:r w:rsidRPr="0076703D">
              <w:rPr>
                <w:color w:val="000000"/>
              </w:rPr>
              <w:t>0</w:t>
            </w:r>
          </w:p>
        </w:tc>
        <w:tc>
          <w:tcPr>
            <w:tcW w:w="313" w:type="pct"/>
            <w:noWrap/>
          </w:tcPr>
          <w:p w14:paraId="0A29A38F" w14:textId="77777777" w:rsidR="00C67339" w:rsidRPr="0076703D" w:rsidRDefault="00C67339" w:rsidP="001D5CB4">
            <w:pPr>
              <w:pStyle w:val="ARtabletextrightbold"/>
              <w:spacing w:before="60" w:after="50"/>
            </w:pPr>
            <w:r w:rsidRPr="0076703D">
              <w:rPr>
                <w:color w:val="000000"/>
              </w:rPr>
              <w:t>-3</w:t>
            </w:r>
          </w:p>
        </w:tc>
      </w:tr>
      <w:tr w:rsidR="00C67339" w:rsidRPr="007939DD" w14:paraId="01DE0EDB" w14:textId="77777777" w:rsidTr="005732E7">
        <w:tblPrEx>
          <w:tblLook w:val="0000" w:firstRow="0" w:lastRow="0" w:firstColumn="0" w:lastColumn="0" w:noHBand="0" w:noVBand="0"/>
        </w:tblPrEx>
        <w:trPr>
          <w:cantSplit/>
        </w:trPr>
        <w:tc>
          <w:tcPr>
            <w:tcW w:w="1052" w:type="pct"/>
            <w:noWrap/>
          </w:tcPr>
          <w:p w14:paraId="5A26B9A7" w14:textId="77777777" w:rsidR="00C67339" w:rsidRPr="0076703D" w:rsidRDefault="00C67339" w:rsidP="001D5CB4">
            <w:pPr>
              <w:pStyle w:val="ARtabletext"/>
              <w:spacing w:before="60" w:after="50"/>
            </w:pPr>
            <w:r w:rsidRPr="0076703D">
              <w:rPr>
                <w:color w:val="000000"/>
              </w:rPr>
              <w:t>Beaufort and Skipton Health Service</w:t>
            </w:r>
          </w:p>
        </w:tc>
        <w:tc>
          <w:tcPr>
            <w:tcW w:w="315" w:type="pct"/>
          </w:tcPr>
          <w:p w14:paraId="1AAD11EA" w14:textId="77777777" w:rsidR="00C67339" w:rsidRPr="0076703D" w:rsidRDefault="00C67339" w:rsidP="001D5CB4">
            <w:pPr>
              <w:pStyle w:val="ARtabletextright"/>
              <w:spacing w:before="60" w:after="50"/>
            </w:pPr>
            <w:r w:rsidRPr="0076703D">
              <w:rPr>
                <w:color w:val="000000"/>
              </w:rPr>
              <w:t>1</w:t>
            </w:r>
          </w:p>
        </w:tc>
        <w:tc>
          <w:tcPr>
            <w:tcW w:w="316" w:type="pct"/>
          </w:tcPr>
          <w:p w14:paraId="7C94F41A" w14:textId="77777777" w:rsidR="00C67339" w:rsidRPr="0076703D" w:rsidRDefault="00C67339" w:rsidP="001D5CB4">
            <w:pPr>
              <w:pStyle w:val="ARtabletextright"/>
              <w:spacing w:before="60" w:after="50"/>
            </w:pPr>
            <w:r w:rsidRPr="0076703D">
              <w:rPr>
                <w:color w:val="000000"/>
              </w:rPr>
              <w:t>0</w:t>
            </w:r>
          </w:p>
        </w:tc>
        <w:tc>
          <w:tcPr>
            <w:tcW w:w="369" w:type="pct"/>
          </w:tcPr>
          <w:p w14:paraId="79658F30" w14:textId="77777777" w:rsidR="00C67339" w:rsidRPr="0076703D" w:rsidRDefault="00C67339" w:rsidP="001D5CB4">
            <w:pPr>
              <w:pStyle w:val="ARtabletextright"/>
              <w:spacing w:before="60" w:after="50"/>
            </w:pPr>
            <w:r w:rsidRPr="0076703D">
              <w:rPr>
                <w:color w:val="000000"/>
              </w:rPr>
              <w:t>0</w:t>
            </w:r>
          </w:p>
        </w:tc>
        <w:tc>
          <w:tcPr>
            <w:tcW w:w="318" w:type="pct"/>
            <w:noWrap/>
          </w:tcPr>
          <w:p w14:paraId="48332D7B"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6E64AA10"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26DD149C"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0A6C74A0" w14:textId="77777777" w:rsidR="00C67339" w:rsidRPr="0076703D" w:rsidRDefault="00C67339" w:rsidP="001D5CB4">
            <w:pPr>
              <w:pStyle w:val="ARtabletextright"/>
              <w:spacing w:before="60" w:after="50"/>
            </w:pPr>
            <w:r w:rsidRPr="0076703D">
              <w:rPr>
                <w:color w:val="000000"/>
              </w:rPr>
              <w:t>1</w:t>
            </w:r>
          </w:p>
        </w:tc>
        <w:tc>
          <w:tcPr>
            <w:tcW w:w="318" w:type="pct"/>
            <w:tcBorders>
              <w:top w:val="single" w:sz="4" w:space="0" w:color="auto"/>
              <w:left w:val="nil"/>
              <w:right w:val="nil"/>
            </w:tcBorders>
            <w:shd w:val="clear" w:color="auto" w:fill="E7E6E6"/>
            <w:noWrap/>
          </w:tcPr>
          <w:p w14:paraId="7DC2CA54" w14:textId="77777777" w:rsidR="00C67339" w:rsidRPr="0076703D" w:rsidRDefault="00C67339" w:rsidP="001D5CB4">
            <w:pPr>
              <w:pStyle w:val="ARtabletextrightbold"/>
              <w:spacing w:before="60" w:after="50"/>
            </w:pPr>
            <w:r w:rsidRPr="0076703D">
              <w:rPr>
                <w:color w:val="000000"/>
              </w:rPr>
              <w:t>2</w:t>
            </w:r>
          </w:p>
        </w:tc>
        <w:tc>
          <w:tcPr>
            <w:tcW w:w="314" w:type="pct"/>
            <w:tcBorders>
              <w:left w:val="nil"/>
            </w:tcBorders>
            <w:shd w:val="clear" w:color="auto" w:fill="auto"/>
            <w:noWrap/>
          </w:tcPr>
          <w:p w14:paraId="34D8FF2A" w14:textId="77777777" w:rsidR="00C67339" w:rsidRPr="0076703D" w:rsidRDefault="00C67339" w:rsidP="001D5CB4">
            <w:pPr>
              <w:pStyle w:val="ARtabletextright"/>
              <w:spacing w:before="60" w:after="50"/>
            </w:pPr>
            <w:r w:rsidRPr="0076703D">
              <w:rPr>
                <w:color w:val="000000"/>
              </w:rPr>
              <w:t>0</w:t>
            </w:r>
          </w:p>
        </w:tc>
        <w:tc>
          <w:tcPr>
            <w:tcW w:w="316" w:type="pct"/>
            <w:noWrap/>
          </w:tcPr>
          <w:p w14:paraId="03C1B179" w14:textId="77777777" w:rsidR="00C67339" w:rsidRPr="0076703D" w:rsidRDefault="00C67339" w:rsidP="001D5CB4">
            <w:pPr>
              <w:pStyle w:val="ARtabletextright"/>
              <w:spacing w:before="60" w:after="50"/>
            </w:pPr>
            <w:r w:rsidRPr="0076703D">
              <w:rPr>
                <w:color w:val="000000"/>
              </w:rPr>
              <w:t>0</w:t>
            </w:r>
          </w:p>
        </w:tc>
        <w:tc>
          <w:tcPr>
            <w:tcW w:w="368" w:type="pct"/>
            <w:noWrap/>
          </w:tcPr>
          <w:p w14:paraId="38C21FD0" w14:textId="77777777" w:rsidR="00C67339" w:rsidRPr="0076703D" w:rsidRDefault="00C67339" w:rsidP="001D5CB4">
            <w:pPr>
              <w:pStyle w:val="ARtabletextright"/>
              <w:spacing w:before="60" w:after="50"/>
            </w:pPr>
            <w:r w:rsidRPr="0076703D">
              <w:rPr>
                <w:color w:val="000000"/>
              </w:rPr>
              <w:t>-1</w:t>
            </w:r>
          </w:p>
        </w:tc>
        <w:tc>
          <w:tcPr>
            <w:tcW w:w="313" w:type="pct"/>
            <w:noWrap/>
          </w:tcPr>
          <w:p w14:paraId="0A4B3287" w14:textId="77777777" w:rsidR="00C67339" w:rsidRPr="0076703D" w:rsidRDefault="00C67339" w:rsidP="001D5CB4">
            <w:pPr>
              <w:pStyle w:val="ARtabletextrightbold"/>
              <w:spacing w:before="60" w:after="50"/>
            </w:pPr>
            <w:r w:rsidRPr="0076703D">
              <w:rPr>
                <w:color w:val="000000"/>
              </w:rPr>
              <w:t>-1</w:t>
            </w:r>
          </w:p>
        </w:tc>
      </w:tr>
      <w:tr w:rsidR="00C67339" w:rsidRPr="007939DD" w14:paraId="18799DAC" w14:textId="77777777" w:rsidTr="005732E7">
        <w:tblPrEx>
          <w:tblLook w:val="0000" w:firstRow="0" w:lastRow="0" w:firstColumn="0" w:lastColumn="0" w:noHBand="0" w:noVBand="0"/>
        </w:tblPrEx>
        <w:trPr>
          <w:cantSplit/>
        </w:trPr>
        <w:tc>
          <w:tcPr>
            <w:tcW w:w="1052" w:type="pct"/>
            <w:noWrap/>
          </w:tcPr>
          <w:p w14:paraId="3EECA8AC" w14:textId="77777777" w:rsidR="00C67339" w:rsidRPr="0076703D" w:rsidRDefault="00C67339" w:rsidP="001D5CB4">
            <w:pPr>
              <w:pStyle w:val="ARtabletext"/>
              <w:spacing w:before="60" w:after="50"/>
            </w:pPr>
            <w:r w:rsidRPr="0076703D">
              <w:rPr>
                <w:color w:val="000000"/>
              </w:rPr>
              <w:t>Beechworth Health Service</w:t>
            </w:r>
          </w:p>
        </w:tc>
        <w:tc>
          <w:tcPr>
            <w:tcW w:w="315" w:type="pct"/>
          </w:tcPr>
          <w:p w14:paraId="180FA269" w14:textId="77777777" w:rsidR="00C67339" w:rsidRPr="0076703D" w:rsidRDefault="00C67339" w:rsidP="001D5CB4">
            <w:pPr>
              <w:pStyle w:val="ARtabletextright"/>
              <w:spacing w:before="60" w:after="50"/>
            </w:pPr>
            <w:r w:rsidRPr="0076703D">
              <w:rPr>
                <w:color w:val="000000"/>
              </w:rPr>
              <w:t>0</w:t>
            </w:r>
          </w:p>
        </w:tc>
        <w:tc>
          <w:tcPr>
            <w:tcW w:w="316" w:type="pct"/>
          </w:tcPr>
          <w:p w14:paraId="2AD64B0C" w14:textId="77777777" w:rsidR="00C67339" w:rsidRPr="0076703D" w:rsidRDefault="00C67339" w:rsidP="001D5CB4">
            <w:pPr>
              <w:pStyle w:val="ARtabletextright"/>
              <w:spacing w:before="60" w:after="50"/>
            </w:pPr>
            <w:r w:rsidRPr="0076703D">
              <w:rPr>
                <w:color w:val="000000"/>
              </w:rPr>
              <w:t>1</w:t>
            </w:r>
          </w:p>
        </w:tc>
        <w:tc>
          <w:tcPr>
            <w:tcW w:w="369" w:type="pct"/>
          </w:tcPr>
          <w:p w14:paraId="7A09C7F9" w14:textId="77777777" w:rsidR="00C67339" w:rsidRPr="0076703D" w:rsidRDefault="00C67339" w:rsidP="001D5CB4">
            <w:pPr>
              <w:pStyle w:val="ARtabletextright"/>
              <w:spacing w:before="60" w:after="50"/>
            </w:pPr>
            <w:r w:rsidRPr="0076703D">
              <w:rPr>
                <w:color w:val="000000"/>
              </w:rPr>
              <w:t>0</w:t>
            </w:r>
          </w:p>
        </w:tc>
        <w:tc>
          <w:tcPr>
            <w:tcW w:w="318" w:type="pct"/>
            <w:noWrap/>
          </w:tcPr>
          <w:p w14:paraId="644999A2"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7697D78E"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3A355E85"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2C77D894"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0CBC6B74" w14:textId="77777777" w:rsidR="00C67339" w:rsidRPr="0076703D" w:rsidRDefault="00C67339" w:rsidP="001D5CB4">
            <w:pPr>
              <w:pStyle w:val="ARtabletextrightbold"/>
              <w:spacing w:before="60" w:after="50"/>
            </w:pPr>
            <w:r w:rsidRPr="0076703D">
              <w:rPr>
                <w:color w:val="000000"/>
              </w:rPr>
              <w:t>1</w:t>
            </w:r>
          </w:p>
        </w:tc>
        <w:tc>
          <w:tcPr>
            <w:tcW w:w="314" w:type="pct"/>
            <w:tcBorders>
              <w:left w:val="nil"/>
            </w:tcBorders>
            <w:shd w:val="clear" w:color="auto" w:fill="auto"/>
            <w:noWrap/>
          </w:tcPr>
          <w:p w14:paraId="3372F1C5" w14:textId="77777777" w:rsidR="00C67339" w:rsidRPr="0076703D" w:rsidRDefault="00C67339" w:rsidP="001D5CB4">
            <w:pPr>
              <w:pStyle w:val="ARtabletextright"/>
              <w:spacing w:before="60" w:after="50"/>
            </w:pPr>
            <w:r w:rsidRPr="0076703D">
              <w:rPr>
                <w:color w:val="000000"/>
              </w:rPr>
              <w:t>0</w:t>
            </w:r>
          </w:p>
        </w:tc>
        <w:tc>
          <w:tcPr>
            <w:tcW w:w="316" w:type="pct"/>
            <w:noWrap/>
          </w:tcPr>
          <w:p w14:paraId="5BB1E7FC" w14:textId="77777777" w:rsidR="00C67339" w:rsidRPr="0076703D" w:rsidRDefault="00C67339" w:rsidP="001D5CB4">
            <w:pPr>
              <w:pStyle w:val="ARtabletextright"/>
              <w:spacing w:before="60" w:after="50"/>
            </w:pPr>
            <w:r w:rsidRPr="0076703D">
              <w:rPr>
                <w:color w:val="000000"/>
              </w:rPr>
              <w:t>0</w:t>
            </w:r>
          </w:p>
        </w:tc>
        <w:tc>
          <w:tcPr>
            <w:tcW w:w="368" w:type="pct"/>
            <w:noWrap/>
          </w:tcPr>
          <w:p w14:paraId="531D8B15" w14:textId="77777777" w:rsidR="00C67339" w:rsidRPr="0076703D" w:rsidRDefault="00C67339" w:rsidP="001D5CB4">
            <w:pPr>
              <w:pStyle w:val="ARtabletextright"/>
              <w:spacing w:before="60" w:after="50"/>
            </w:pPr>
            <w:r w:rsidRPr="0076703D">
              <w:rPr>
                <w:color w:val="000000"/>
              </w:rPr>
              <w:t>0</w:t>
            </w:r>
          </w:p>
        </w:tc>
        <w:tc>
          <w:tcPr>
            <w:tcW w:w="313" w:type="pct"/>
            <w:noWrap/>
          </w:tcPr>
          <w:p w14:paraId="2F6D8AFB" w14:textId="77777777" w:rsidR="00C67339" w:rsidRPr="0076703D" w:rsidRDefault="00C67339" w:rsidP="001D5CB4">
            <w:pPr>
              <w:pStyle w:val="ARtabletextrightbold"/>
              <w:spacing w:before="60" w:after="50"/>
            </w:pPr>
            <w:r w:rsidRPr="0076703D">
              <w:rPr>
                <w:color w:val="000000"/>
              </w:rPr>
              <w:t>0</w:t>
            </w:r>
          </w:p>
        </w:tc>
      </w:tr>
      <w:tr w:rsidR="00C67339" w:rsidRPr="007939DD" w14:paraId="157FFCFE" w14:textId="77777777" w:rsidTr="005732E7">
        <w:tblPrEx>
          <w:tblLook w:val="0000" w:firstRow="0" w:lastRow="0" w:firstColumn="0" w:lastColumn="0" w:noHBand="0" w:noVBand="0"/>
        </w:tblPrEx>
        <w:trPr>
          <w:cantSplit/>
        </w:trPr>
        <w:tc>
          <w:tcPr>
            <w:tcW w:w="1052" w:type="pct"/>
            <w:noWrap/>
          </w:tcPr>
          <w:p w14:paraId="0CA284D6" w14:textId="77777777" w:rsidR="00C67339" w:rsidRPr="0076703D" w:rsidRDefault="00C67339" w:rsidP="001D5CB4">
            <w:pPr>
              <w:pStyle w:val="ARtabletext"/>
              <w:spacing w:before="60" w:after="50"/>
            </w:pPr>
            <w:r w:rsidRPr="0076703D">
              <w:rPr>
                <w:color w:val="000000"/>
              </w:rPr>
              <w:t>Benalla Health</w:t>
            </w:r>
          </w:p>
        </w:tc>
        <w:tc>
          <w:tcPr>
            <w:tcW w:w="315" w:type="pct"/>
          </w:tcPr>
          <w:p w14:paraId="51CEC5CE" w14:textId="77777777" w:rsidR="00C67339" w:rsidRPr="0076703D" w:rsidRDefault="00C67339" w:rsidP="001D5CB4">
            <w:pPr>
              <w:pStyle w:val="ARtabletextright"/>
              <w:spacing w:before="60" w:after="50"/>
            </w:pPr>
            <w:r w:rsidRPr="0076703D">
              <w:rPr>
                <w:color w:val="000000"/>
              </w:rPr>
              <w:t>1</w:t>
            </w:r>
          </w:p>
        </w:tc>
        <w:tc>
          <w:tcPr>
            <w:tcW w:w="316" w:type="pct"/>
          </w:tcPr>
          <w:p w14:paraId="0487554B" w14:textId="77777777" w:rsidR="00C67339" w:rsidRPr="0076703D" w:rsidRDefault="00C67339" w:rsidP="001D5CB4">
            <w:pPr>
              <w:pStyle w:val="ARtabletextright"/>
              <w:spacing w:before="60" w:after="50"/>
            </w:pPr>
            <w:r w:rsidRPr="0076703D">
              <w:rPr>
                <w:color w:val="000000"/>
              </w:rPr>
              <w:t>0</w:t>
            </w:r>
          </w:p>
        </w:tc>
        <w:tc>
          <w:tcPr>
            <w:tcW w:w="369" w:type="pct"/>
          </w:tcPr>
          <w:p w14:paraId="56DFCF79" w14:textId="77777777" w:rsidR="00C67339" w:rsidRPr="0076703D" w:rsidRDefault="00C67339" w:rsidP="001D5CB4">
            <w:pPr>
              <w:pStyle w:val="ARtabletextright"/>
              <w:spacing w:before="60" w:after="50"/>
            </w:pPr>
            <w:r w:rsidRPr="0076703D">
              <w:rPr>
                <w:color w:val="000000"/>
              </w:rPr>
              <w:t>0</w:t>
            </w:r>
          </w:p>
        </w:tc>
        <w:tc>
          <w:tcPr>
            <w:tcW w:w="318" w:type="pct"/>
            <w:noWrap/>
          </w:tcPr>
          <w:p w14:paraId="63273BC2"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732C6368"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08EE7622"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3F36B8D0"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315CE1D3" w14:textId="77777777" w:rsidR="00C67339" w:rsidRPr="0076703D" w:rsidRDefault="00C67339" w:rsidP="001D5CB4">
            <w:pPr>
              <w:pStyle w:val="ARtabletextrightbold"/>
              <w:spacing w:before="60" w:after="50"/>
            </w:pPr>
            <w:r w:rsidRPr="0076703D">
              <w:rPr>
                <w:color w:val="000000"/>
              </w:rPr>
              <w:t>1</w:t>
            </w:r>
          </w:p>
        </w:tc>
        <w:tc>
          <w:tcPr>
            <w:tcW w:w="314" w:type="pct"/>
            <w:tcBorders>
              <w:left w:val="nil"/>
            </w:tcBorders>
            <w:shd w:val="clear" w:color="auto" w:fill="auto"/>
            <w:noWrap/>
          </w:tcPr>
          <w:p w14:paraId="53502275" w14:textId="77777777" w:rsidR="00C67339" w:rsidRPr="0076703D" w:rsidRDefault="00C67339" w:rsidP="001D5CB4">
            <w:pPr>
              <w:pStyle w:val="ARtabletextright"/>
              <w:spacing w:before="60" w:after="50"/>
            </w:pPr>
            <w:r w:rsidRPr="0076703D">
              <w:rPr>
                <w:color w:val="000000"/>
              </w:rPr>
              <w:t>0</w:t>
            </w:r>
          </w:p>
        </w:tc>
        <w:tc>
          <w:tcPr>
            <w:tcW w:w="316" w:type="pct"/>
            <w:noWrap/>
          </w:tcPr>
          <w:p w14:paraId="4446D54B" w14:textId="77777777" w:rsidR="00C67339" w:rsidRPr="0076703D" w:rsidRDefault="00C67339" w:rsidP="001D5CB4">
            <w:pPr>
              <w:pStyle w:val="ARtabletextright"/>
              <w:spacing w:before="60" w:after="50"/>
            </w:pPr>
            <w:r w:rsidRPr="0076703D">
              <w:rPr>
                <w:color w:val="000000"/>
              </w:rPr>
              <w:t>0</w:t>
            </w:r>
          </w:p>
        </w:tc>
        <w:tc>
          <w:tcPr>
            <w:tcW w:w="368" w:type="pct"/>
            <w:noWrap/>
          </w:tcPr>
          <w:p w14:paraId="6C718293" w14:textId="77777777" w:rsidR="00C67339" w:rsidRPr="0076703D" w:rsidRDefault="00C67339" w:rsidP="001D5CB4">
            <w:pPr>
              <w:pStyle w:val="ARtabletextright"/>
              <w:spacing w:before="60" w:after="50"/>
            </w:pPr>
            <w:r w:rsidRPr="0076703D">
              <w:rPr>
                <w:color w:val="000000"/>
              </w:rPr>
              <w:t>0</w:t>
            </w:r>
          </w:p>
        </w:tc>
        <w:tc>
          <w:tcPr>
            <w:tcW w:w="313" w:type="pct"/>
            <w:noWrap/>
          </w:tcPr>
          <w:p w14:paraId="59AB238F" w14:textId="77777777" w:rsidR="00C67339" w:rsidRPr="0076703D" w:rsidRDefault="00C67339" w:rsidP="001D5CB4">
            <w:pPr>
              <w:pStyle w:val="ARtabletextrightbold"/>
              <w:spacing w:before="60" w:after="50"/>
            </w:pPr>
            <w:r w:rsidRPr="0076703D">
              <w:rPr>
                <w:color w:val="000000"/>
              </w:rPr>
              <w:t>0</w:t>
            </w:r>
          </w:p>
        </w:tc>
      </w:tr>
      <w:tr w:rsidR="00C67339" w:rsidRPr="007939DD" w14:paraId="7493D493" w14:textId="77777777" w:rsidTr="005732E7">
        <w:trPr>
          <w:cantSplit/>
        </w:trPr>
        <w:tc>
          <w:tcPr>
            <w:tcW w:w="1052" w:type="pct"/>
            <w:shd w:val="clear" w:color="auto" w:fill="auto"/>
            <w:noWrap/>
          </w:tcPr>
          <w:p w14:paraId="6A196028" w14:textId="77777777" w:rsidR="00C67339" w:rsidRPr="0076703D" w:rsidRDefault="00C67339" w:rsidP="001D5CB4">
            <w:pPr>
              <w:pStyle w:val="ARtabletext"/>
              <w:spacing w:before="60" w:after="50"/>
            </w:pPr>
            <w:r w:rsidRPr="0076703D">
              <w:rPr>
                <w:color w:val="000000"/>
              </w:rPr>
              <w:t>Bendigo Health Care Group</w:t>
            </w:r>
          </w:p>
        </w:tc>
        <w:tc>
          <w:tcPr>
            <w:tcW w:w="315" w:type="pct"/>
          </w:tcPr>
          <w:p w14:paraId="6A8ACE19" w14:textId="77777777" w:rsidR="00C67339" w:rsidRPr="0076703D" w:rsidRDefault="00C67339" w:rsidP="001D5CB4">
            <w:pPr>
              <w:pStyle w:val="ARtabletextright"/>
              <w:spacing w:before="60" w:after="50"/>
            </w:pPr>
            <w:r w:rsidRPr="0076703D">
              <w:rPr>
                <w:color w:val="000000"/>
              </w:rPr>
              <w:t>4</w:t>
            </w:r>
          </w:p>
        </w:tc>
        <w:tc>
          <w:tcPr>
            <w:tcW w:w="316" w:type="pct"/>
          </w:tcPr>
          <w:p w14:paraId="6A1180AD" w14:textId="77777777" w:rsidR="00C67339" w:rsidRPr="0076703D" w:rsidRDefault="00C67339" w:rsidP="001D5CB4">
            <w:pPr>
              <w:pStyle w:val="ARtabletextright"/>
              <w:spacing w:before="60" w:after="50"/>
            </w:pPr>
            <w:r w:rsidRPr="0076703D">
              <w:rPr>
                <w:color w:val="000000"/>
              </w:rPr>
              <w:t>4</w:t>
            </w:r>
          </w:p>
        </w:tc>
        <w:tc>
          <w:tcPr>
            <w:tcW w:w="369" w:type="pct"/>
          </w:tcPr>
          <w:p w14:paraId="3C8266C2"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71ACE841" w14:textId="77777777" w:rsidR="00C67339" w:rsidRPr="0076703D" w:rsidRDefault="00C67339" w:rsidP="001D5CB4">
            <w:pPr>
              <w:pStyle w:val="ARtabletextrightbold"/>
              <w:spacing w:before="60" w:after="50"/>
            </w:pPr>
            <w:r w:rsidRPr="0076703D">
              <w:rPr>
                <w:color w:val="000000"/>
              </w:rPr>
              <w:t>8</w:t>
            </w:r>
          </w:p>
        </w:tc>
        <w:tc>
          <w:tcPr>
            <w:tcW w:w="316" w:type="pct"/>
            <w:tcBorders>
              <w:top w:val="single" w:sz="4" w:space="0" w:color="auto"/>
              <w:right w:val="nil"/>
            </w:tcBorders>
            <w:shd w:val="clear" w:color="auto" w:fill="E7E6E6"/>
            <w:noWrap/>
          </w:tcPr>
          <w:p w14:paraId="11570645" w14:textId="77777777" w:rsidR="00C67339" w:rsidRPr="0076703D" w:rsidRDefault="00C67339" w:rsidP="001D5CB4">
            <w:pPr>
              <w:pStyle w:val="ARtabletextright"/>
              <w:spacing w:before="60" w:after="50"/>
            </w:pPr>
            <w:r w:rsidRPr="0076703D">
              <w:rPr>
                <w:color w:val="000000"/>
              </w:rPr>
              <w:t>4</w:t>
            </w:r>
          </w:p>
        </w:tc>
        <w:tc>
          <w:tcPr>
            <w:tcW w:w="316" w:type="pct"/>
            <w:tcBorders>
              <w:top w:val="single" w:sz="4" w:space="0" w:color="auto"/>
              <w:left w:val="nil"/>
              <w:right w:val="nil"/>
            </w:tcBorders>
            <w:shd w:val="clear" w:color="auto" w:fill="E7E6E6"/>
            <w:noWrap/>
          </w:tcPr>
          <w:p w14:paraId="529833E5" w14:textId="77777777" w:rsidR="00C67339" w:rsidRPr="0076703D" w:rsidRDefault="00C67339" w:rsidP="001D5CB4">
            <w:pPr>
              <w:pStyle w:val="ARtabletextright"/>
              <w:spacing w:before="60" w:after="50"/>
            </w:pPr>
            <w:r w:rsidRPr="0076703D">
              <w:rPr>
                <w:color w:val="000000"/>
              </w:rPr>
              <w:t>2</w:t>
            </w:r>
          </w:p>
        </w:tc>
        <w:tc>
          <w:tcPr>
            <w:tcW w:w="368" w:type="pct"/>
            <w:tcBorders>
              <w:top w:val="single" w:sz="4" w:space="0" w:color="auto"/>
              <w:left w:val="nil"/>
              <w:right w:val="nil"/>
            </w:tcBorders>
            <w:shd w:val="clear" w:color="auto" w:fill="E7E6E6"/>
            <w:noWrap/>
          </w:tcPr>
          <w:p w14:paraId="340BC630"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42BEEBCA" w14:textId="77777777" w:rsidR="00C67339" w:rsidRPr="0076703D" w:rsidRDefault="00C67339" w:rsidP="001D5CB4">
            <w:pPr>
              <w:pStyle w:val="ARtabletextrightbold"/>
              <w:spacing w:before="60" w:after="50"/>
            </w:pPr>
            <w:r w:rsidRPr="0076703D">
              <w:rPr>
                <w:color w:val="000000"/>
              </w:rPr>
              <w:t>6</w:t>
            </w:r>
          </w:p>
        </w:tc>
        <w:tc>
          <w:tcPr>
            <w:tcW w:w="314" w:type="pct"/>
            <w:tcBorders>
              <w:top w:val="single" w:sz="4" w:space="0" w:color="auto"/>
              <w:left w:val="nil"/>
            </w:tcBorders>
            <w:shd w:val="clear" w:color="auto" w:fill="auto"/>
            <w:noWrap/>
          </w:tcPr>
          <w:p w14:paraId="316881BF"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11463C4E" w14:textId="77777777" w:rsidR="00C67339" w:rsidRPr="0076703D" w:rsidRDefault="00C67339" w:rsidP="001D5CB4">
            <w:pPr>
              <w:pStyle w:val="ARtabletextright"/>
              <w:spacing w:before="60" w:after="50"/>
            </w:pPr>
            <w:r w:rsidRPr="0076703D">
              <w:rPr>
                <w:color w:val="000000"/>
              </w:rPr>
              <w:t>2</w:t>
            </w:r>
          </w:p>
        </w:tc>
        <w:tc>
          <w:tcPr>
            <w:tcW w:w="368" w:type="pct"/>
            <w:shd w:val="clear" w:color="auto" w:fill="auto"/>
            <w:noWrap/>
          </w:tcPr>
          <w:p w14:paraId="4E842D7D"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3FD1F43E" w14:textId="77777777" w:rsidR="00C67339" w:rsidRPr="0076703D" w:rsidRDefault="00C67339" w:rsidP="001D5CB4">
            <w:pPr>
              <w:pStyle w:val="ARtabletextrightbold"/>
              <w:spacing w:before="60" w:after="50"/>
            </w:pPr>
            <w:r w:rsidRPr="0076703D">
              <w:rPr>
                <w:color w:val="000000"/>
              </w:rPr>
              <w:t>2</w:t>
            </w:r>
          </w:p>
        </w:tc>
      </w:tr>
      <w:tr w:rsidR="00C67339" w:rsidRPr="007939DD" w14:paraId="499B5F38" w14:textId="77777777" w:rsidTr="005732E7">
        <w:trPr>
          <w:cantSplit/>
        </w:trPr>
        <w:tc>
          <w:tcPr>
            <w:tcW w:w="1052" w:type="pct"/>
            <w:shd w:val="clear" w:color="auto" w:fill="auto"/>
            <w:noWrap/>
          </w:tcPr>
          <w:p w14:paraId="664EF460" w14:textId="77777777" w:rsidR="00C67339" w:rsidRPr="0076703D" w:rsidRDefault="00C67339" w:rsidP="001D5CB4">
            <w:pPr>
              <w:pStyle w:val="ARtabletext"/>
              <w:spacing w:before="60" w:after="50"/>
            </w:pPr>
            <w:r w:rsidRPr="0076703D">
              <w:rPr>
                <w:color w:val="000000"/>
              </w:rPr>
              <w:t>Boort District Health</w:t>
            </w:r>
          </w:p>
        </w:tc>
        <w:tc>
          <w:tcPr>
            <w:tcW w:w="315" w:type="pct"/>
          </w:tcPr>
          <w:p w14:paraId="7E01F325" w14:textId="77777777" w:rsidR="00C67339" w:rsidRPr="0076703D" w:rsidRDefault="00C67339" w:rsidP="001D5CB4">
            <w:pPr>
              <w:pStyle w:val="ARtabletextright"/>
              <w:spacing w:before="60" w:after="50"/>
            </w:pPr>
            <w:r w:rsidRPr="0076703D">
              <w:rPr>
                <w:color w:val="000000"/>
              </w:rPr>
              <w:t>0</w:t>
            </w:r>
          </w:p>
        </w:tc>
        <w:tc>
          <w:tcPr>
            <w:tcW w:w="316" w:type="pct"/>
          </w:tcPr>
          <w:p w14:paraId="2BD9BE57" w14:textId="77777777" w:rsidR="00C67339" w:rsidRPr="0076703D" w:rsidRDefault="00C67339" w:rsidP="001D5CB4">
            <w:pPr>
              <w:pStyle w:val="ARtabletextright"/>
              <w:spacing w:before="60" w:after="50"/>
            </w:pPr>
            <w:r w:rsidRPr="0076703D">
              <w:rPr>
                <w:color w:val="000000"/>
              </w:rPr>
              <w:t>1</w:t>
            </w:r>
          </w:p>
        </w:tc>
        <w:tc>
          <w:tcPr>
            <w:tcW w:w="369" w:type="pct"/>
          </w:tcPr>
          <w:p w14:paraId="5B67D8A9"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39EFA90E"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3A3559E0"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2BC5AD69"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599A501D"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10004081"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74B751C7"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37C932FC"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3CB5B268"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218A16DA" w14:textId="77777777" w:rsidR="00C67339" w:rsidRPr="0076703D" w:rsidRDefault="00C67339" w:rsidP="001D5CB4">
            <w:pPr>
              <w:pStyle w:val="ARtabletextrightbold"/>
              <w:spacing w:before="60" w:after="50"/>
            </w:pPr>
            <w:r w:rsidRPr="0076703D">
              <w:rPr>
                <w:color w:val="000000"/>
              </w:rPr>
              <w:t>0</w:t>
            </w:r>
          </w:p>
        </w:tc>
      </w:tr>
      <w:tr w:rsidR="00C67339" w:rsidRPr="007939DD" w14:paraId="79A8E16C" w14:textId="77777777" w:rsidTr="005732E7">
        <w:trPr>
          <w:cantSplit/>
        </w:trPr>
        <w:tc>
          <w:tcPr>
            <w:tcW w:w="1052" w:type="pct"/>
            <w:shd w:val="clear" w:color="auto" w:fill="auto"/>
            <w:noWrap/>
          </w:tcPr>
          <w:p w14:paraId="68A0BFC2" w14:textId="77777777" w:rsidR="00C67339" w:rsidRPr="0076703D" w:rsidRDefault="00C67339" w:rsidP="001D5CB4">
            <w:pPr>
              <w:pStyle w:val="ARtabletext"/>
              <w:spacing w:before="60" w:after="50"/>
            </w:pPr>
            <w:r w:rsidRPr="0076703D">
              <w:rPr>
                <w:color w:val="000000"/>
              </w:rPr>
              <w:t>BreastScreen Victoria</w:t>
            </w:r>
          </w:p>
        </w:tc>
        <w:tc>
          <w:tcPr>
            <w:tcW w:w="315" w:type="pct"/>
          </w:tcPr>
          <w:p w14:paraId="79E95C33" w14:textId="77777777" w:rsidR="00C67339" w:rsidRPr="0076703D" w:rsidRDefault="00C67339" w:rsidP="001D5CB4">
            <w:pPr>
              <w:pStyle w:val="ARtabletextright"/>
              <w:spacing w:before="60" w:after="50"/>
            </w:pPr>
            <w:r w:rsidRPr="0076703D">
              <w:rPr>
                <w:color w:val="000000"/>
              </w:rPr>
              <w:t>2</w:t>
            </w:r>
          </w:p>
        </w:tc>
        <w:tc>
          <w:tcPr>
            <w:tcW w:w="316" w:type="pct"/>
          </w:tcPr>
          <w:p w14:paraId="088311DB" w14:textId="77777777" w:rsidR="00C67339" w:rsidRPr="0076703D" w:rsidRDefault="00C67339" w:rsidP="001D5CB4">
            <w:pPr>
              <w:pStyle w:val="ARtabletextright"/>
              <w:spacing w:before="60" w:after="50"/>
            </w:pPr>
            <w:r w:rsidRPr="0076703D">
              <w:rPr>
                <w:color w:val="000000"/>
              </w:rPr>
              <w:t>0</w:t>
            </w:r>
          </w:p>
        </w:tc>
        <w:tc>
          <w:tcPr>
            <w:tcW w:w="369" w:type="pct"/>
          </w:tcPr>
          <w:p w14:paraId="2750C5D1"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60C1B2CC" w14:textId="77777777" w:rsidR="00C67339" w:rsidRPr="0076703D" w:rsidRDefault="00C67339" w:rsidP="001D5CB4">
            <w:pPr>
              <w:pStyle w:val="ARtabletextrightbold"/>
              <w:spacing w:before="60" w:after="50"/>
            </w:pPr>
            <w:r w:rsidRPr="0076703D">
              <w:rPr>
                <w:color w:val="000000"/>
              </w:rPr>
              <w:t>2</w:t>
            </w:r>
          </w:p>
        </w:tc>
        <w:tc>
          <w:tcPr>
            <w:tcW w:w="316" w:type="pct"/>
            <w:tcBorders>
              <w:top w:val="single" w:sz="4" w:space="0" w:color="auto"/>
              <w:right w:val="nil"/>
            </w:tcBorders>
            <w:shd w:val="clear" w:color="auto" w:fill="E7E6E6"/>
            <w:noWrap/>
          </w:tcPr>
          <w:p w14:paraId="01F52E14" w14:textId="77777777" w:rsidR="00C67339" w:rsidRPr="0076703D" w:rsidRDefault="00C67339" w:rsidP="001D5CB4">
            <w:pPr>
              <w:pStyle w:val="ARtabletextright"/>
              <w:spacing w:before="60" w:after="50"/>
            </w:pPr>
            <w:r w:rsidRPr="0076703D">
              <w:rPr>
                <w:color w:val="000000"/>
              </w:rPr>
              <w:t>4</w:t>
            </w:r>
          </w:p>
        </w:tc>
        <w:tc>
          <w:tcPr>
            <w:tcW w:w="316" w:type="pct"/>
            <w:tcBorders>
              <w:top w:val="single" w:sz="4" w:space="0" w:color="auto"/>
              <w:left w:val="nil"/>
              <w:right w:val="nil"/>
            </w:tcBorders>
            <w:shd w:val="clear" w:color="auto" w:fill="E7E6E6"/>
            <w:noWrap/>
          </w:tcPr>
          <w:p w14:paraId="35F5734F"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24556077"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7A6279A3" w14:textId="77777777" w:rsidR="00C67339" w:rsidRPr="0076703D" w:rsidRDefault="00C67339" w:rsidP="001D5CB4">
            <w:pPr>
              <w:pStyle w:val="ARtabletextrightbold"/>
              <w:spacing w:before="60" w:after="50"/>
            </w:pPr>
            <w:r w:rsidRPr="0076703D">
              <w:rPr>
                <w:color w:val="000000"/>
              </w:rPr>
              <w:t>5</w:t>
            </w:r>
          </w:p>
        </w:tc>
        <w:tc>
          <w:tcPr>
            <w:tcW w:w="314" w:type="pct"/>
            <w:tcBorders>
              <w:top w:val="single" w:sz="4" w:space="0" w:color="auto"/>
              <w:left w:val="nil"/>
            </w:tcBorders>
            <w:shd w:val="clear" w:color="auto" w:fill="auto"/>
            <w:noWrap/>
          </w:tcPr>
          <w:p w14:paraId="2EE15C33" w14:textId="77777777" w:rsidR="00C67339" w:rsidRPr="0076703D" w:rsidRDefault="00C67339" w:rsidP="001D5CB4">
            <w:pPr>
              <w:pStyle w:val="ARtabletextright"/>
              <w:spacing w:before="60" w:after="50"/>
            </w:pPr>
            <w:r w:rsidRPr="0076703D">
              <w:rPr>
                <w:color w:val="000000"/>
              </w:rPr>
              <w:t>-2</w:t>
            </w:r>
          </w:p>
        </w:tc>
        <w:tc>
          <w:tcPr>
            <w:tcW w:w="316" w:type="pct"/>
            <w:shd w:val="clear" w:color="auto" w:fill="auto"/>
            <w:noWrap/>
          </w:tcPr>
          <w:p w14:paraId="169ADF48" w14:textId="77777777" w:rsidR="00C67339" w:rsidRPr="0076703D" w:rsidRDefault="00C67339" w:rsidP="001D5CB4">
            <w:pPr>
              <w:pStyle w:val="ARtabletextright"/>
              <w:spacing w:before="60" w:after="50"/>
            </w:pPr>
            <w:r w:rsidRPr="0076703D">
              <w:rPr>
                <w:color w:val="000000"/>
              </w:rPr>
              <w:t>-1</w:t>
            </w:r>
          </w:p>
        </w:tc>
        <w:tc>
          <w:tcPr>
            <w:tcW w:w="368" w:type="pct"/>
            <w:shd w:val="clear" w:color="auto" w:fill="auto"/>
            <w:noWrap/>
          </w:tcPr>
          <w:p w14:paraId="4E747CF6"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65EABEDC" w14:textId="77777777" w:rsidR="00C67339" w:rsidRPr="0076703D" w:rsidRDefault="00C67339" w:rsidP="001D5CB4">
            <w:pPr>
              <w:pStyle w:val="ARtabletextrightbold"/>
              <w:spacing w:before="60" w:after="50"/>
            </w:pPr>
            <w:r w:rsidRPr="0076703D">
              <w:rPr>
                <w:color w:val="000000"/>
              </w:rPr>
              <w:t>-3</w:t>
            </w:r>
          </w:p>
        </w:tc>
      </w:tr>
      <w:tr w:rsidR="00C67339" w:rsidRPr="007939DD" w14:paraId="785BAA36" w14:textId="77777777" w:rsidTr="005732E7">
        <w:trPr>
          <w:cantSplit/>
        </w:trPr>
        <w:tc>
          <w:tcPr>
            <w:tcW w:w="1052" w:type="pct"/>
            <w:shd w:val="clear" w:color="auto" w:fill="auto"/>
            <w:noWrap/>
          </w:tcPr>
          <w:p w14:paraId="5EDCF4D4" w14:textId="77777777" w:rsidR="00C67339" w:rsidRPr="0076703D" w:rsidRDefault="00C67339" w:rsidP="001D5CB4">
            <w:pPr>
              <w:pStyle w:val="ARtabletext"/>
              <w:spacing w:before="60" w:after="50"/>
            </w:pPr>
            <w:r w:rsidRPr="0076703D">
              <w:rPr>
                <w:color w:val="000000"/>
              </w:rPr>
              <w:t>Casterton Memorial Hospital</w:t>
            </w:r>
          </w:p>
        </w:tc>
        <w:tc>
          <w:tcPr>
            <w:tcW w:w="315" w:type="pct"/>
          </w:tcPr>
          <w:p w14:paraId="5DA947F3" w14:textId="77777777" w:rsidR="00C67339" w:rsidRPr="0076703D" w:rsidRDefault="00C67339" w:rsidP="001D5CB4">
            <w:pPr>
              <w:pStyle w:val="ARtabletextright"/>
              <w:spacing w:before="60" w:after="50"/>
            </w:pPr>
            <w:r w:rsidRPr="0076703D">
              <w:rPr>
                <w:color w:val="000000"/>
              </w:rPr>
              <w:t>0</w:t>
            </w:r>
          </w:p>
        </w:tc>
        <w:tc>
          <w:tcPr>
            <w:tcW w:w="316" w:type="pct"/>
          </w:tcPr>
          <w:p w14:paraId="423A1470" w14:textId="77777777" w:rsidR="00C67339" w:rsidRPr="0076703D" w:rsidRDefault="00C67339" w:rsidP="001D5CB4">
            <w:pPr>
              <w:pStyle w:val="ARtabletextright"/>
              <w:spacing w:before="60" w:after="50"/>
            </w:pPr>
            <w:r w:rsidRPr="0076703D">
              <w:rPr>
                <w:color w:val="000000"/>
              </w:rPr>
              <w:t>1</w:t>
            </w:r>
          </w:p>
        </w:tc>
        <w:tc>
          <w:tcPr>
            <w:tcW w:w="369" w:type="pct"/>
          </w:tcPr>
          <w:p w14:paraId="492EDA63"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257CEFAB"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45033595"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272B7364"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48F68A23"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351E2D25"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61B6A268"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368151F0"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1A313C15"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6DDAA793" w14:textId="77777777" w:rsidR="00C67339" w:rsidRPr="0076703D" w:rsidRDefault="00C67339" w:rsidP="001D5CB4">
            <w:pPr>
              <w:pStyle w:val="ARtabletextrightbold"/>
              <w:spacing w:before="60" w:after="50"/>
            </w:pPr>
            <w:r w:rsidRPr="0076703D">
              <w:rPr>
                <w:color w:val="000000"/>
              </w:rPr>
              <w:t>0</w:t>
            </w:r>
          </w:p>
        </w:tc>
      </w:tr>
      <w:tr w:rsidR="00C67339" w:rsidRPr="007939DD" w14:paraId="5389F393" w14:textId="77777777" w:rsidTr="005732E7">
        <w:trPr>
          <w:cantSplit/>
        </w:trPr>
        <w:tc>
          <w:tcPr>
            <w:tcW w:w="1052" w:type="pct"/>
            <w:shd w:val="clear" w:color="auto" w:fill="auto"/>
            <w:noWrap/>
          </w:tcPr>
          <w:p w14:paraId="6F9DC48A" w14:textId="77777777" w:rsidR="00C67339" w:rsidRPr="0076703D" w:rsidRDefault="00C67339" w:rsidP="001D5CB4">
            <w:pPr>
              <w:pStyle w:val="ARtabletext"/>
              <w:spacing w:before="60" w:after="50"/>
            </w:pPr>
            <w:r w:rsidRPr="0076703D">
              <w:rPr>
                <w:color w:val="000000"/>
              </w:rPr>
              <w:t>Castlemaine Health</w:t>
            </w:r>
          </w:p>
        </w:tc>
        <w:tc>
          <w:tcPr>
            <w:tcW w:w="315" w:type="pct"/>
          </w:tcPr>
          <w:p w14:paraId="1289C3C4" w14:textId="77777777" w:rsidR="00C67339" w:rsidRPr="0076703D" w:rsidRDefault="00C67339" w:rsidP="001D5CB4">
            <w:pPr>
              <w:pStyle w:val="ARtabletextright"/>
              <w:spacing w:before="60" w:after="50"/>
            </w:pPr>
            <w:r w:rsidRPr="0076703D">
              <w:rPr>
                <w:color w:val="000000"/>
              </w:rPr>
              <w:t>0</w:t>
            </w:r>
          </w:p>
        </w:tc>
        <w:tc>
          <w:tcPr>
            <w:tcW w:w="316" w:type="pct"/>
          </w:tcPr>
          <w:p w14:paraId="4A2803C1" w14:textId="77777777" w:rsidR="00C67339" w:rsidRPr="0076703D" w:rsidRDefault="00C67339" w:rsidP="001D5CB4">
            <w:pPr>
              <w:pStyle w:val="ARtabletextright"/>
              <w:spacing w:before="60" w:after="50"/>
            </w:pPr>
            <w:r w:rsidRPr="0076703D">
              <w:rPr>
                <w:color w:val="000000"/>
              </w:rPr>
              <w:t>1</w:t>
            </w:r>
          </w:p>
        </w:tc>
        <w:tc>
          <w:tcPr>
            <w:tcW w:w="369" w:type="pct"/>
          </w:tcPr>
          <w:p w14:paraId="7C24DCE0"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2D3A6E71"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35ABC2A3"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1956BC09"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2F78706D"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3A7DC031" w14:textId="77777777" w:rsidR="00C67339" w:rsidRPr="0076703D" w:rsidRDefault="00C67339" w:rsidP="001D5CB4">
            <w:pPr>
              <w:pStyle w:val="ARtabletextrightbold"/>
              <w:spacing w:before="60" w:after="50"/>
            </w:pPr>
            <w:r w:rsidRPr="0076703D">
              <w:rPr>
                <w:color w:val="000000"/>
              </w:rPr>
              <w:t>2</w:t>
            </w:r>
          </w:p>
        </w:tc>
        <w:tc>
          <w:tcPr>
            <w:tcW w:w="314" w:type="pct"/>
            <w:tcBorders>
              <w:top w:val="single" w:sz="4" w:space="0" w:color="auto"/>
              <w:left w:val="nil"/>
            </w:tcBorders>
            <w:shd w:val="clear" w:color="auto" w:fill="auto"/>
            <w:noWrap/>
          </w:tcPr>
          <w:p w14:paraId="0542F34B" w14:textId="77777777" w:rsidR="00C67339" w:rsidRPr="0076703D" w:rsidRDefault="00C67339" w:rsidP="001D5CB4">
            <w:pPr>
              <w:pStyle w:val="ARtabletextright"/>
              <w:spacing w:before="60" w:after="50"/>
            </w:pPr>
            <w:r w:rsidRPr="0076703D">
              <w:rPr>
                <w:color w:val="000000"/>
              </w:rPr>
              <w:t>-1</w:t>
            </w:r>
          </w:p>
        </w:tc>
        <w:tc>
          <w:tcPr>
            <w:tcW w:w="316" w:type="pct"/>
            <w:shd w:val="clear" w:color="auto" w:fill="auto"/>
            <w:noWrap/>
          </w:tcPr>
          <w:p w14:paraId="747C2F67"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5B33743C"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5FFEF856" w14:textId="77777777" w:rsidR="00C67339" w:rsidRPr="0076703D" w:rsidRDefault="00C67339" w:rsidP="001D5CB4">
            <w:pPr>
              <w:pStyle w:val="ARtabletextrightbold"/>
              <w:spacing w:before="60" w:after="50"/>
            </w:pPr>
            <w:r w:rsidRPr="0076703D">
              <w:rPr>
                <w:color w:val="000000"/>
              </w:rPr>
              <w:t>-1</w:t>
            </w:r>
          </w:p>
        </w:tc>
      </w:tr>
      <w:tr w:rsidR="00C67339" w:rsidRPr="007939DD" w14:paraId="71D9AD08" w14:textId="77777777" w:rsidTr="005732E7">
        <w:trPr>
          <w:cantSplit/>
        </w:trPr>
        <w:tc>
          <w:tcPr>
            <w:tcW w:w="1052" w:type="pct"/>
            <w:shd w:val="clear" w:color="auto" w:fill="auto"/>
            <w:noWrap/>
          </w:tcPr>
          <w:p w14:paraId="6E5243AA" w14:textId="77777777" w:rsidR="00C67339" w:rsidRPr="0076703D" w:rsidRDefault="00C67339" w:rsidP="001D5CB4">
            <w:pPr>
              <w:pStyle w:val="ARtabletext"/>
              <w:spacing w:before="60" w:after="50"/>
            </w:pPr>
            <w:r w:rsidRPr="0076703D">
              <w:rPr>
                <w:color w:val="000000"/>
              </w:rPr>
              <w:t>Central Gippsland Health Service</w:t>
            </w:r>
          </w:p>
        </w:tc>
        <w:tc>
          <w:tcPr>
            <w:tcW w:w="315" w:type="pct"/>
          </w:tcPr>
          <w:p w14:paraId="64FAB4DC" w14:textId="77777777" w:rsidR="00C67339" w:rsidRPr="0076703D" w:rsidRDefault="00C67339" w:rsidP="001D5CB4">
            <w:pPr>
              <w:pStyle w:val="ARtabletextright"/>
              <w:spacing w:before="60" w:after="50"/>
            </w:pPr>
            <w:r w:rsidRPr="0076703D">
              <w:rPr>
                <w:color w:val="000000"/>
              </w:rPr>
              <w:t>2</w:t>
            </w:r>
          </w:p>
        </w:tc>
        <w:tc>
          <w:tcPr>
            <w:tcW w:w="316" w:type="pct"/>
          </w:tcPr>
          <w:p w14:paraId="00F94F8A" w14:textId="77777777" w:rsidR="00C67339" w:rsidRPr="0076703D" w:rsidRDefault="00C67339" w:rsidP="001D5CB4">
            <w:pPr>
              <w:pStyle w:val="ARtabletextright"/>
              <w:spacing w:before="60" w:after="50"/>
            </w:pPr>
            <w:r w:rsidRPr="0076703D">
              <w:rPr>
                <w:color w:val="000000"/>
              </w:rPr>
              <w:t>2</w:t>
            </w:r>
          </w:p>
        </w:tc>
        <w:tc>
          <w:tcPr>
            <w:tcW w:w="369" w:type="pct"/>
          </w:tcPr>
          <w:p w14:paraId="776D1F05"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304C045F" w14:textId="77777777" w:rsidR="00C67339" w:rsidRPr="0076703D" w:rsidRDefault="00C67339" w:rsidP="001D5CB4">
            <w:pPr>
              <w:pStyle w:val="ARtabletextrightbold"/>
              <w:spacing w:before="60" w:after="50"/>
            </w:pPr>
            <w:r w:rsidRPr="0076703D">
              <w:rPr>
                <w:color w:val="000000"/>
              </w:rPr>
              <w:t>4</w:t>
            </w:r>
          </w:p>
        </w:tc>
        <w:tc>
          <w:tcPr>
            <w:tcW w:w="316" w:type="pct"/>
            <w:tcBorders>
              <w:top w:val="single" w:sz="4" w:space="0" w:color="auto"/>
              <w:right w:val="nil"/>
            </w:tcBorders>
            <w:shd w:val="clear" w:color="auto" w:fill="E7E6E6"/>
            <w:noWrap/>
          </w:tcPr>
          <w:p w14:paraId="6F5071C6" w14:textId="77777777" w:rsidR="00C67339" w:rsidRPr="0076703D" w:rsidRDefault="00C67339" w:rsidP="001D5CB4">
            <w:pPr>
              <w:pStyle w:val="ARtabletextright"/>
              <w:spacing w:before="60" w:after="50"/>
            </w:pPr>
            <w:r w:rsidRPr="0076703D">
              <w:rPr>
                <w:color w:val="000000"/>
              </w:rPr>
              <w:t>3</w:t>
            </w:r>
          </w:p>
        </w:tc>
        <w:tc>
          <w:tcPr>
            <w:tcW w:w="316" w:type="pct"/>
            <w:tcBorders>
              <w:top w:val="single" w:sz="4" w:space="0" w:color="auto"/>
              <w:left w:val="nil"/>
              <w:right w:val="nil"/>
            </w:tcBorders>
            <w:shd w:val="clear" w:color="auto" w:fill="E7E6E6"/>
            <w:noWrap/>
          </w:tcPr>
          <w:p w14:paraId="7C299AC8" w14:textId="77777777" w:rsidR="00C67339" w:rsidRPr="0076703D" w:rsidRDefault="00C67339" w:rsidP="001D5CB4">
            <w:pPr>
              <w:pStyle w:val="ARtabletextright"/>
              <w:spacing w:before="60" w:after="50"/>
            </w:pPr>
            <w:r w:rsidRPr="0076703D">
              <w:rPr>
                <w:color w:val="000000"/>
              </w:rPr>
              <w:t>3</w:t>
            </w:r>
          </w:p>
        </w:tc>
        <w:tc>
          <w:tcPr>
            <w:tcW w:w="368" w:type="pct"/>
            <w:tcBorders>
              <w:top w:val="single" w:sz="4" w:space="0" w:color="auto"/>
              <w:left w:val="nil"/>
              <w:right w:val="nil"/>
            </w:tcBorders>
            <w:shd w:val="clear" w:color="auto" w:fill="E7E6E6"/>
            <w:noWrap/>
          </w:tcPr>
          <w:p w14:paraId="6323F38C"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75433CAA" w14:textId="77777777" w:rsidR="00C67339" w:rsidRPr="0076703D" w:rsidRDefault="00C67339" w:rsidP="001D5CB4">
            <w:pPr>
              <w:pStyle w:val="ARtabletextrightbold"/>
              <w:spacing w:before="60" w:after="50"/>
            </w:pPr>
            <w:r w:rsidRPr="0076703D">
              <w:rPr>
                <w:color w:val="000000"/>
              </w:rPr>
              <w:t>6</w:t>
            </w:r>
          </w:p>
        </w:tc>
        <w:tc>
          <w:tcPr>
            <w:tcW w:w="314" w:type="pct"/>
            <w:tcBorders>
              <w:top w:val="single" w:sz="4" w:space="0" w:color="auto"/>
              <w:left w:val="nil"/>
            </w:tcBorders>
            <w:shd w:val="clear" w:color="auto" w:fill="auto"/>
            <w:noWrap/>
          </w:tcPr>
          <w:p w14:paraId="2F7B3ACC" w14:textId="77777777" w:rsidR="00C67339" w:rsidRPr="0076703D" w:rsidRDefault="00C67339" w:rsidP="001D5CB4">
            <w:pPr>
              <w:pStyle w:val="ARtabletextright"/>
              <w:spacing w:before="60" w:after="50"/>
            </w:pPr>
            <w:r w:rsidRPr="0076703D">
              <w:rPr>
                <w:color w:val="000000"/>
              </w:rPr>
              <w:t>-1</w:t>
            </w:r>
          </w:p>
        </w:tc>
        <w:tc>
          <w:tcPr>
            <w:tcW w:w="316" w:type="pct"/>
            <w:shd w:val="clear" w:color="auto" w:fill="auto"/>
            <w:noWrap/>
          </w:tcPr>
          <w:p w14:paraId="258B7376" w14:textId="77777777" w:rsidR="00C67339" w:rsidRPr="0076703D" w:rsidRDefault="00C67339" w:rsidP="001D5CB4">
            <w:pPr>
              <w:pStyle w:val="ARtabletextright"/>
              <w:spacing w:before="60" w:after="50"/>
            </w:pPr>
            <w:r w:rsidRPr="0076703D">
              <w:rPr>
                <w:color w:val="000000"/>
              </w:rPr>
              <w:t>-1</w:t>
            </w:r>
          </w:p>
        </w:tc>
        <w:tc>
          <w:tcPr>
            <w:tcW w:w="368" w:type="pct"/>
            <w:shd w:val="clear" w:color="auto" w:fill="auto"/>
            <w:noWrap/>
          </w:tcPr>
          <w:p w14:paraId="71D9370D"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3521EEFA" w14:textId="77777777" w:rsidR="00C67339" w:rsidRPr="0076703D" w:rsidRDefault="00C67339" w:rsidP="001D5CB4">
            <w:pPr>
              <w:pStyle w:val="ARtabletextrightbold"/>
              <w:spacing w:before="60" w:after="50"/>
            </w:pPr>
            <w:r w:rsidRPr="0076703D">
              <w:rPr>
                <w:color w:val="000000"/>
              </w:rPr>
              <w:t>-2</w:t>
            </w:r>
          </w:p>
        </w:tc>
      </w:tr>
      <w:tr w:rsidR="00C67339" w:rsidRPr="007939DD" w14:paraId="6DF1ECCE" w14:textId="77777777" w:rsidTr="005732E7">
        <w:trPr>
          <w:cantSplit/>
        </w:trPr>
        <w:tc>
          <w:tcPr>
            <w:tcW w:w="1052" w:type="pct"/>
            <w:shd w:val="clear" w:color="auto" w:fill="auto"/>
            <w:noWrap/>
          </w:tcPr>
          <w:p w14:paraId="46CFFF4C" w14:textId="77777777" w:rsidR="00C67339" w:rsidRPr="0076703D" w:rsidRDefault="00C67339" w:rsidP="001D5CB4">
            <w:pPr>
              <w:pStyle w:val="ARtabletext"/>
              <w:spacing w:before="60" w:after="50"/>
            </w:pPr>
            <w:r w:rsidRPr="0076703D">
              <w:rPr>
                <w:color w:val="000000"/>
              </w:rPr>
              <w:t>Cobram District Hospital</w:t>
            </w:r>
          </w:p>
        </w:tc>
        <w:tc>
          <w:tcPr>
            <w:tcW w:w="315" w:type="pct"/>
          </w:tcPr>
          <w:p w14:paraId="3481D5F6" w14:textId="77777777" w:rsidR="00C67339" w:rsidRPr="0076703D" w:rsidRDefault="00C67339" w:rsidP="001D5CB4">
            <w:pPr>
              <w:pStyle w:val="ARtabletextright"/>
              <w:spacing w:before="60" w:after="50"/>
            </w:pPr>
            <w:r w:rsidRPr="0076703D">
              <w:rPr>
                <w:color w:val="000000"/>
              </w:rPr>
              <w:t>0</w:t>
            </w:r>
          </w:p>
        </w:tc>
        <w:tc>
          <w:tcPr>
            <w:tcW w:w="316" w:type="pct"/>
          </w:tcPr>
          <w:p w14:paraId="73F9FF8D" w14:textId="77777777" w:rsidR="00C67339" w:rsidRPr="0076703D" w:rsidRDefault="00C67339" w:rsidP="001D5CB4">
            <w:pPr>
              <w:pStyle w:val="ARtabletextright"/>
              <w:spacing w:before="60" w:after="50"/>
            </w:pPr>
            <w:r w:rsidRPr="0076703D">
              <w:rPr>
                <w:color w:val="000000"/>
              </w:rPr>
              <w:t>0</w:t>
            </w:r>
          </w:p>
        </w:tc>
        <w:tc>
          <w:tcPr>
            <w:tcW w:w="369" w:type="pct"/>
          </w:tcPr>
          <w:p w14:paraId="58CDC579"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691D9988" w14:textId="77777777" w:rsidR="00C67339" w:rsidRPr="0076703D" w:rsidRDefault="00C67339" w:rsidP="001D5CB4">
            <w:pPr>
              <w:pStyle w:val="ARtabletextrightbold"/>
              <w:spacing w:before="60" w:after="50"/>
            </w:pPr>
            <w:r w:rsidRPr="0076703D">
              <w:rPr>
                <w:color w:val="000000"/>
              </w:rPr>
              <w:t>0</w:t>
            </w:r>
          </w:p>
        </w:tc>
        <w:tc>
          <w:tcPr>
            <w:tcW w:w="316" w:type="pct"/>
            <w:tcBorders>
              <w:top w:val="single" w:sz="4" w:space="0" w:color="auto"/>
              <w:right w:val="nil"/>
            </w:tcBorders>
            <w:shd w:val="clear" w:color="auto" w:fill="E7E6E6"/>
            <w:noWrap/>
          </w:tcPr>
          <w:p w14:paraId="2F97E9CC"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71F10675"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46919E0E"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5B695A1F" w14:textId="77777777" w:rsidR="00C67339" w:rsidRPr="0076703D" w:rsidRDefault="00C67339" w:rsidP="001D5CB4">
            <w:pPr>
              <w:pStyle w:val="ARtabletextrightbold"/>
              <w:spacing w:before="60" w:after="50"/>
            </w:pPr>
            <w:r w:rsidRPr="0076703D">
              <w:rPr>
                <w:color w:val="000000"/>
              </w:rPr>
              <w:t>0</w:t>
            </w:r>
          </w:p>
        </w:tc>
        <w:tc>
          <w:tcPr>
            <w:tcW w:w="314" w:type="pct"/>
            <w:tcBorders>
              <w:top w:val="single" w:sz="4" w:space="0" w:color="auto"/>
              <w:left w:val="nil"/>
            </w:tcBorders>
            <w:shd w:val="clear" w:color="auto" w:fill="auto"/>
            <w:noWrap/>
          </w:tcPr>
          <w:p w14:paraId="73B34BB3"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406BF635"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08D1238D"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5A4D98F6" w14:textId="77777777" w:rsidR="00C67339" w:rsidRPr="0076703D" w:rsidRDefault="00C67339" w:rsidP="001D5CB4">
            <w:pPr>
              <w:pStyle w:val="ARtabletextrightbold"/>
              <w:spacing w:before="60" w:after="50"/>
            </w:pPr>
            <w:r w:rsidRPr="0076703D">
              <w:rPr>
                <w:color w:val="000000"/>
              </w:rPr>
              <w:t>0</w:t>
            </w:r>
          </w:p>
        </w:tc>
      </w:tr>
      <w:tr w:rsidR="00C67339" w:rsidRPr="007939DD" w14:paraId="607F0A84" w14:textId="77777777" w:rsidTr="005732E7">
        <w:trPr>
          <w:cantSplit/>
        </w:trPr>
        <w:tc>
          <w:tcPr>
            <w:tcW w:w="1052" w:type="pct"/>
            <w:shd w:val="clear" w:color="auto" w:fill="auto"/>
            <w:noWrap/>
          </w:tcPr>
          <w:p w14:paraId="75169A10" w14:textId="77777777" w:rsidR="00C67339" w:rsidRPr="0076703D" w:rsidRDefault="00C67339" w:rsidP="001D5CB4">
            <w:pPr>
              <w:pStyle w:val="ARtabletext"/>
              <w:spacing w:before="60" w:after="50"/>
            </w:pPr>
            <w:r w:rsidRPr="0076703D">
              <w:rPr>
                <w:color w:val="000000"/>
              </w:rPr>
              <w:t>Cohuna District Hospital</w:t>
            </w:r>
          </w:p>
        </w:tc>
        <w:tc>
          <w:tcPr>
            <w:tcW w:w="315" w:type="pct"/>
          </w:tcPr>
          <w:p w14:paraId="7F214222" w14:textId="77777777" w:rsidR="00C67339" w:rsidRPr="0076703D" w:rsidRDefault="00C67339" w:rsidP="001D5CB4">
            <w:pPr>
              <w:pStyle w:val="ARtabletextright"/>
              <w:spacing w:before="60" w:after="50"/>
            </w:pPr>
            <w:r w:rsidRPr="0076703D">
              <w:rPr>
                <w:color w:val="000000"/>
              </w:rPr>
              <w:t>0</w:t>
            </w:r>
          </w:p>
        </w:tc>
        <w:tc>
          <w:tcPr>
            <w:tcW w:w="316" w:type="pct"/>
          </w:tcPr>
          <w:p w14:paraId="39F308F7" w14:textId="77777777" w:rsidR="00C67339" w:rsidRPr="0076703D" w:rsidRDefault="00C67339" w:rsidP="001D5CB4">
            <w:pPr>
              <w:pStyle w:val="ARtabletextright"/>
              <w:spacing w:before="60" w:after="50"/>
            </w:pPr>
            <w:r w:rsidRPr="0076703D">
              <w:rPr>
                <w:color w:val="000000"/>
              </w:rPr>
              <w:t>1</w:t>
            </w:r>
          </w:p>
        </w:tc>
        <w:tc>
          <w:tcPr>
            <w:tcW w:w="369" w:type="pct"/>
          </w:tcPr>
          <w:p w14:paraId="3BABB3E3"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4520E23B"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1993D850"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57DE3799"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0307CDD0"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5D6F673F" w14:textId="77777777" w:rsidR="00C67339" w:rsidRPr="0076703D" w:rsidRDefault="00C67339" w:rsidP="001D5CB4">
            <w:pPr>
              <w:pStyle w:val="ARtabletextrightbold"/>
              <w:spacing w:before="60" w:after="50"/>
            </w:pPr>
            <w:r w:rsidRPr="0076703D">
              <w:rPr>
                <w:color w:val="000000"/>
              </w:rPr>
              <w:t>0</w:t>
            </w:r>
          </w:p>
        </w:tc>
        <w:tc>
          <w:tcPr>
            <w:tcW w:w="314" w:type="pct"/>
            <w:tcBorders>
              <w:top w:val="single" w:sz="4" w:space="0" w:color="auto"/>
              <w:left w:val="nil"/>
            </w:tcBorders>
            <w:shd w:val="clear" w:color="auto" w:fill="auto"/>
            <w:noWrap/>
          </w:tcPr>
          <w:p w14:paraId="15D8CF0F"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398C1D89" w14:textId="77777777" w:rsidR="00C67339" w:rsidRPr="0076703D" w:rsidRDefault="00C67339" w:rsidP="001D5CB4">
            <w:pPr>
              <w:pStyle w:val="ARtabletextright"/>
              <w:spacing w:before="60" w:after="50"/>
            </w:pPr>
            <w:r w:rsidRPr="0076703D">
              <w:rPr>
                <w:color w:val="000000"/>
              </w:rPr>
              <w:t>1</w:t>
            </w:r>
          </w:p>
        </w:tc>
        <w:tc>
          <w:tcPr>
            <w:tcW w:w="368" w:type="pct"/>
            <w:shd w:val="clear" w:color="auto" w:fill="auto"/>
            <w:noWrap/>
          </w:tcPr>
          <w:p w14:paraId="4F55D541"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2AE2F934" w14:textId="77777777" w:rsidR="00C67339" w:rsidRPr="0076703D" w:rsidRDefault="00C67339" w:rsidP="001D5CB4">
            <w:pPr>
              <w:pStyle w:val="ARtabletextrightbold"/>
              <w:spacing w:before="60" w:after="50"/>
            </w:pPr>
            <w:r w:rsidRPr="0076703D">
              <w:rPr>
                <w:color w:val="000000"/>
              </w:rPr>
              <w:t>1</w:t>
            </w:r>
          </w:p>
        </w:tc>
      </w:tr>
      <w:tr w:rsidR="00C67339" w:rsidRPr="007939DD" w14:paraId="67B09413" w14:textId="77777777" w:rsidTr="005732E7">
        <w:trPr>
          <w:cantSplit/>
        </w:trPr>
        <w:tc>
          <w:tcPr>
            <w:tcW w:w="1052" w:type="pct"/>
            <w:shd w:val="clear" w:color="auto" w:fill="auto"/>
            <w:noWrap/>
          </w:tcPr>
          <w:p w14:paraId="04C366DD" w14:textId="77777777" w:rsidR="00C67339" w:rsidRPr="0076703D" w:rsidRDefault="00C67339" w:rsidP="001D5CB4">
            <w:pPr>
              <w:pStyle w:val="ARtabletext"/>
              <w:spacing w:before="60" w:after="50"/>
            </w:pPr>
            <w:r w:rsidRPr="0076703D">
              <w:rPr>
                <w:color w:val="000000"/>
              </w:rPr>
              <w:t>Colac Area Health</w:t>
            </w:r>
          </w:p>
        </w:tc>
        <w:tc>
          <w:tcPr>
            <w:tcW w:w="315" w:type="pct"/>
          </w:tcPr>
          <w:p w14:paraId="574DD7E4" w14:textId="77777777" w:rsidR="00C67339" w:rsidRPr="0076703D" w:rsidRDefault="00C67339" w:rsidP="001D5CB4">
            <w:pPr>
              <w:pStyle w:val="ARtabletextright"/>
              <w:spacing w:before="60" w:after="50"/>
            </w:pPr>
            <w:r w:rsidRPr="0076703D">
              <w:rPr>
                <w:color w:val="000000"/>
              </w:rPr>
              <w:t>3</w:t>
            </w:r>
          </w:p>
        </w:tc>
        <w:tc>
          <w:tcPr>
            <w:tcW w:w="316" w:type="pct"/>
          </w:tcPr>
          <w:p w14:paraId="60603B17" w14:textId="77777777" w:rsidR="00C67339" w:rsidRPr="0076703D" w:rsidRDefault="00C67339" w:rsidP="001D5CB4">
            <w:pPr>
              <w:pStyle w:val="ARtabletextright"/>
              <w:spacing w:before="60" w:after="50"/>
            </w:pPr>
            <w:r w:rsidRPr="0076703D">
              <w:rPr>
                <w:color w:val="000000"/>
              </w:rPr>
              <w:t>2</w:t>
            </w:r>
          </w:p>
        </w:tc>
        <w:tc>
          <w:tcPr>
            <w:tcW w:w="369" w:type="pct"/>
          </w:tcPr>
          <w:p w14:paraId="66C7C575"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18EF0D1F" w14:textId="77777777" w:rsidR="00C67339" w:rsidRPr="0076703D" w:rsidRDefault="00C67339" w:rsidP="001D5CB4">
            <w:pPr>
              <w:pStyle w:val="ARtabletextrightbold"/>
              <w:spacing w:before="60" w:after="50"/>
            </w:pPr>
            <w:r w:rsidRPr="0076703D">
              <w:rPr>
                <w:color w:val="000000"/>
              </w:rPr>
              <w:t>5</w:t>
            </w:r>
          </w:p>
        </w:tc>
        <w:tc>
          <w:tcPr>
            <w:tcW w:w="316" w:type="pct"/>
            <w:tcBorders>
              <w:top w:val="single" w:sz="4" w:space="0" w:color="auto"/>
              <w:right w:val="nil"/>
            </w:tcBorders>
            <w:shd w:val="clear" w:color="auto" w:fill="E7E6E6"/>
            <w:noWrap/>
          </w:tcPr>
          <w:p w14:paraId="25D71C28" w14:textId="77777777" w:rsidR="00C67339" w:rsidRPr="0076703D" w:rsidRDefault="00C67339" w:rsidP="001D5CB4">
            <w:pPr>
              <w:pStyle w:val="ARtabletextright"/>
              <w:spacing w:before="60" w:after="50"/>
            </w:pPr>
            <w:r w:rsidRPr="0076703D">
              <w:rPr>
                <w:color w:val="000000"/>
              </w:rPr>
              <w:t>3</w:t>
            </w:r>
          </w:p>
        </w:tc>
        <w:tc>
          <w:tcPr>
            <w:tcW w:w="316" w:type="pct"/>
            <w:tcBorders>
              <w:top w:val="single" w:sz="4" w:space="0" w:color="auto"/>
              <w:left w:val="nil"/>
              <w:right w:val="nil"/>
            </w:tcBorders>
            <w:shd w:val="clear" w:color="auto" w:fill="E7E6E6"/>
            <w:noWrap/>
          </w:tcPr>
          <w:p w14:paraId="485FDF5B" w14:textId="77777777" w:rsidR="00C67339" w:rsidRPr="0076703D" w:rsidRDefault="00C67339" w:rsidP="001D5CB4">
            <w:pPr>
              <w:pStyle w:val="ARtabletextright"/>
              <w:spacing w:before="60" w:after="50"/>
            </w:pPr>
            <w:r w:rsidRPr="0076703D">
              <w:rPr>
                <w:color w:val="000000"/>
              </w:rPr>
              <w:t>2</w:t>
            </w:r>
          </w:p>
        </w:tc>
        <w:tc>
          <w:tcPr>
            <w:tcW w:w="368" w:type="pct"/>
            <w:tcBorders>
              <w:top w:val="single" w:sz="4" w:space="0" w:color="auto"/>
              <w:left w:val="nil"/>
              <w:right w:val="nil"/>
            </w:tcBorders>
            <w:shd w:val="clear" w:color="auto" w:fill="E7E6E6"/>
            <w:noWrap/>
          </w:tcPr>
          <w:p w14:paraId="21088213"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5E72C879" w14:textId="77777777" w:rsidR="00C67339" w:rsidRPr="0076703D" w:rsidRDefault="00C67339" w:rsidP="001D5CB4">
            <w:pPr>
              <w:pStyle w:val="ARtabletextrightbold"/>
              <w:spacing w:before="60" w:after="50"/>
            </w:pPr>
            <w:r w:rsidRPr="0076703D">
              <w:rPr>
                <w:color w:val="000000"/>
              </w:rPr>
              <w:t>5</w:t>
            </w:r>
          </w:p>
        </w:tc>
        <w:tc>
          <w:tcPr>
            <w:tcW w:w="314" w:type="pct"/>
            <w:tcBorders>
              <w:top w:val="single" w:sz="4" w:space="0" w:color="auto"/>
              <w:left w:val="nil"/>
            </w:tcBorders>
            <w:shd w:val="clear" w:color="auto" w:fill="auto"/>
            <w:noWrap/>
          </w:tcPr>
          <w:p w14:paraId="7481C549"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317A80F9"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43B2A93F"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3813B918" w14:textId="77777777" w:rsidR="00C67339" w:rsidRPr="0076703D" w:rsidRDefault="00C67339" w:rsidP="001D5CB4">
            <w:pPr>
              <w:pStyle w:val="ARtabletextrightbold"/>
              <w:spacing w:before="60" w:after="50"/>
            </w:pPr>
            <w:r w:rsidRPr="0076703D">
              <w:rPr>
                <w:color w:val="000000"/>
              </w:rPr>
              <w:t>0</w:t>
            </w:r>
          </w:p>
        </w:tc>
      </w:tr>
      <w:tr w:rsidR="00C67339" w:rsidRPr="007939DD" w14:paraId="1F9315C7" w14:textId="77777777" w:rsidTr="005732E7">
        <w:trPr>
          <w:cantSplit/>
        </w:trPr>
        <w:tc>
          <w:tcPr>
            <w:tcW w:w="1052" w:type="pct"/>
            <w:shd w:val="clear" w:color="auto" w:fill="auto"/>
            <w:noWrap/>
          </w:tcPr>
          <w:p w14:paraId="7C2D8C3E" w14:textId="77777777" w:rsidR="00C67339" w:rsidRPr="0076703D" w:rsidRDefault="00C67339" w:rsidP="001D5CB4">
            <w:pPr>
              <w:pStyle w:val="ARtabletext"/>
              <w:spacing w:before="60" w:after="50"/>
            </w:pPr>
            <w:r w:rsidRPr="0076703D">
              <w:rPr>
                <w:color w:val="000000"/>
              </w:rPr>
              <w:t>Corryong Health</w:t>
            </w:r>
          </w:p>
        </w:tc>
        <w:tc>
          <w:tcPr>
            <w:tcW w:w="315" w:type="pct"/>
          </w:tcPr>
          <w:p w14:paraId="7A6A2393" w14:textId="77777777" w:rsidR="00C67339" w:rsidRPr="0076703D" w:rsidRDefault="00C67339" w:rsidP="001D5CB4">
            <w:pPr>
              <w:pStyle w:val="ARtabletextright"/>
              <w:spacing w:before="60" w:after="50"/>
            </w:pPr>
            <w:r w:rsidRPr="0076703D">
              <w:rPr>
                <w:color w:val="000000"/>
              </w:rPr>
              <w:t>1</w:t>
            </w:r>
          </w:p>
        </w:tc>
        <w:tc>
          <w:tcPr>
            <w:tcW w:w="316" w:type="pct"/>
          </w:tcPr>
          <w:p w14:paraId="54E3C4BF" w14:textId="77777777" w:rsidR="00C67339" w:rsidRPr="0076703D" w:rsidRDefault="00C67339" w:rsidP="001D5CB4">
            <w:pPr>
              <w:pStyle w:val="ARtabletextright"/>
              <w:spacing w:before="60" w:after="50"/>
            </w:pPr>
            <w:r w:rsidRPr="0076703D">
              <w:rPr>
                <w:color w:val="000000"/>
              </w:rPr>
              <w:t>1</w:t>
            </w:r>
          </w:p>
        </w:tc>
        <w:tc>
          <w:tcPr>
            <w:tcW w:w="369" w:type="pct"/>
          </w:tcPr>
          <w:p w14:paraId="40FFC773"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2F936E7B" w14:textId="77777777" w:rsidR="00C67339" w:rsidRPr="0076703D" w:rsidRDefault="00C67339" w:rsidP="001D5CB4">
            <w:pPr>
              <w:pStyle w:val="ARtabletextrightbold"/>
              <w:spacing w:before="60" w:after="50"/>
            </w:pPr>
            <w:r w:rsidRPr="0076703D">
              <w:rPr>
                <w:color w:val="000000"/>
              </w:rPr>
              <w:t>2</w:t>
            </w:r>
          </w:p>
        </w:tc>
        <w:tc>
          <w:tcPr>
            <w:tcW w:w="316" w:type="pct"/>
            <w:tcBorders>
              <w:top w:val="single" w:sz="4" w:space="0" w:color="auto"/>
              <w:right w:val="nil"/>
            </w:tcBorders>
            <w:shd w:val="clear" w:color="auto" w:fill="E7E6E6"/>
            <w:noWrap/>
          </w:tcPr>
          <w:p w14:paraId="46022725"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5BA494B3"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53E98432"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408164F4"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3F0AC8F8"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1BCCB441" w14:textId="77777777" w:rsidR="00C67339" w:rsidRPr="0076703D" w:rsidRDefault="00C67339" w:rsidP="001D5CB4">
            <w:pPr>
              <w:pStyle w:val="ARtabletextright"/>
              <w:spacing w:before="60" w:after="50"/>
            </w:pPr>
            <w:r w:rsidRPr="0076703D">
              <w:rPr>
                <w:color w:val="000000"/>
              </w:rPr>
              <w:t>1</w:t>
            </w:r>
          </w:p>
        </w:tc>
        <w:tc>
          <w:tcPr>
            <w:tcW w:w="368" w:type="pct"/>
            <w:shd w:val="clear" w:color="auto" w:fill="auto"/>
            <w:noWrap/>
          </w:tcPr>
          <w:p w14:paraId="172BD325"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074FE865" w14:textId="77777777" w:rsidR="00C67339" w:rsidRPr="0076703D" w:rsidRDefault="00C67339" w:rsidP="001D5CB4">
            <w:pPr>
              <w:pStyle w:val="ARtabletextrightbold"/>
              <w:spacing w:before="60" w:after="50"/>
            </w:pPr>
            <w:r w:rsidRPr="0076703D">
              <w:rPr>
                <w:color w:val="000000"/>
              </w:rPr>
              <w:t>1</w:t>
            </w:r>
          </w:p>
        </w:tc>
      </w:tr>
      <w:tr w:rsidR="00C67339" w:rsidRPr="007939DD" w14:paraId="7601A5D5" w14:textId="77777777" w:rsidTr="005732E7">
        <w:trPr>
          <w:cantSplit/>
        </w:trPr>
        <w:tc>
          <w:tcPr>
            <w:tcW w:w="1052" w:type="pct"/>
            <w:shd w:val="clear" w:color="auto" w:fill="auto"/>
            <w:noWrap/>
          </w:tcPr>
          <w:p w14:paraId="68B737C6" w14:textId="77777777" w:rsidR="00C67339" w:rsidRPr="0076703D" w:rsidRDefault="00C67339" w:rsidP="001D5CB4">
            <w:pPr>
              <w:pStyle w:val="ARtabletext"/>
              <w:spacing w:before="60" w:after="50"/>
            </w:pPr>
            <w:r w:rsidRPr="0076703D">
              <w:rPr>
                <w:color w:val="000000"/>
              </w:rPr>
              <w:t>Dental Health Services Victoria</w:t>
            </w:r>
          </w:p>
        </w:tc>
        <w:tc>
          <w:tcPr>
            <w:tcW w:w="315" w:type="pct"/>
          </w:tcPr>
          <w:p w14:paraId="57E3A7E1" w14:textId="77777777" w:rsidR="00C67339" w:rsidRPr="0076703D" w:rsidRDefault="00C67339" w:rsidP="001D5CB4">
            <w:pPr>
              <w:pStyle w:val="ARtabletextright"/>
              <w:spacing w:before="60" w:after="50"/>
            </w:pPr>
            <w:r w:rsidRPr="0076703D">
              <w:rPr>
                <w:color w:val="000000"/>
              </w:rPr>
              <w:t>3</w:t>
            </w:r>
          </w:p>
        </w:tc>
        <w:tc>
          <w:tcPr>
            <w:tcW w:w="316" w:type="pct"/>
          </w:tcPr>
          <w:p w14:paraId="53AC53BB" w14:textId="77777777" w:rsidR="00C67339" w:rsidRPr="0076703D" w:rsidRDefault="00C67339" w:rsidP="001D5CB4">
            <w:pPr>
              <w:pStyle w:val="ARtabletextright"/>
              <w:spacing w:before="60" w:after="50"/>
            </w:pPr>
            <w:r w:rsidRPr="0076703D">
              <w:rPr>
                <w:color w:val="000000"/>
              </w:rPr>
              <w:t>3</w:t>
            </w:r>
          </w:p>
        </w:tc>
        <w:tc>
          <w:tcPr>
            <w:tcW w:w="369" w:type="pct"/>
          </w:tcPr>
          <w:p w14:paraId="1515037B"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6233314A" w14:textId="77777777" w:rsidR="00C67339" w:rsidRPr="0076703D" w:rsidRDefault="00C67339" w:rsidP="001D5CB4">
            <w:pPr>
              <w:pStyle w:val="ARtabletextrightbold"/>
              <w:spacing w:before="60" w:after="50"/>
            </w:pPr>
            <w:r w:rsidRPr="0076703D">
              <w:rPr>
                <w:color w:val="000000"/>
              </w:rPr>
              <w:t>6</w:t>
            </w:r>
          </w:p>
        </w:tc>
        <w:tc>
          <w:tcPr>
            <w:tcW w:w="316" w:type="pct"/>
            <w:tcBorders>
              <w:top w:val="single" w:sz="4" w:space="0" w:color="auto"/>
              <w:right w:val="nil"/>
            </w:tcBorders>
            <w:shd w:val="clear" w:color="auto" w:fill="E7E6E6"/>
            <w:noWrap/>
          </w:tcPr>
          <w:p w14:paraId="60F6D925" w14:textId="77777777" w:rsidR="00C67339" w:rsidRPr="0076703D" w:rsidRDefault="00C67339" w:rsidP="001D5CB4">
            <w:pPr>
              <w:pStyle w:val="ARtabletextright"/>
              <w:spacing w:before="60" w:after="50"/>
            </w:pPr>
            <w:r w:rsidRPr="0076703D">
              <w:rPr>
                <w:color w:val="000000"/>
              </w:rPr>
              <w:t>3</w:t>
            </w:r>
          </w:p>
        </w:tc>
        <w:tc>
          <w:tcPr>
            <w:tcW w:w="316" w:type="pct"/>
            <w:tcBorders>
              <w:top w:val="single" w:sz="4" w:space="0" w:color="auto"/>
              <w:left w:val="nil"/>
              <w:right w:val="nil"/>
            </w:tcBorders>
            <w:shd w:val="clear" w:color="auto" w:fill="E7E6E6"/>
            <w:noWrap/>
          </w:tcPr>
          <w:p w14:paraId="78F5448B" w14:textId="77777777" w:rsidR="00C67339" w:rsidRPr="0076703D" w:rsidRDefault="00C67339" w:rsidP="001D5CB4">
            <w:pPr>
              <w:pStyle w:val="ARtabletextright"/>
              <w:spacing w:before="60" w:after="50"/>
            </w:pPr>
            <w:r w:rsidRPr="0076703D">
              <w:rPr>
                <w:color w:val="000000"/>
              </w:rPr>
              <w:t>3</w:t>
            </w:r>
          </w:p>
        </w:tc>
        <w:tc>
          <w:tcPr>
            <w:tcW w:w="368" w:type="pct"/>
            <w:tcBorders>
              <w:top w:val="single" w:sz="4" w:space="0" w:color="auto"/>
              <w:left w:val="nil"/>
              <w:right w:val="nil"/>
            </w:tcBorders>
            <w:shd w:val="clear" w:color="auto" w:fill="E7E6E6"/>
            <w:noWrap/>
          </w:tcPr>
          <w:p w14:paraId="74537C1C"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41CD2280" w14:textId="77777777" w:rsidR="00C67339" w:rsidRPr="0076703D" w:rsidRDefault="00C67339" w:rsidP="001D5CB4">
            <w:pPr>
              <w:pStyle w:val="ARtabletextrightbold"/>
              <w:spacing w:before="60" w:after="50"/>
            </w:pPr>
            <w:r w:rsidRPr="0076703D">
              <w:rPr>
                <w:color w:val="000000"/>
              </w:rPr>
              <w:t>6</w:t>
            </w:r>
          </w:p>
        </w:tc>
        <w:tc>
          <w:tcPr>
            <w:tcW w:w="314" w:type="pct"/>
            <w:tcBorders>
              <w:top w:val="single" w:sz="4" w:space="0" w:color="auto"/>
              <w:left w:val="nil"/>
            </w:tcBorders>
            <w:shd w:val="clear" w:color="auto" w:fill="auto"/>
            <w:noWrap/>
          </w:tcPr>
          <w:p w14:paraId="75B16ABA"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325866CB"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046C5217"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4A95F5C0" w14:textId="77777777" w:rsidR="00C67339" w:rsidRPr="0076703D" w:rsidRDefault="00C67339" w:rsidP="001D5CB4">
            <w:pPr>
              <w:pStyle w:val="ARtabletextrightbold"/>
              <w:spacing w:before="60" w:after="50"/>
            </w:pPr>
            <w:r w:rsidRPr="0076703D">
              <w:rPr>
                <w:color w:val="000000"/>
              </w:rPr>
              <w:t>0</w:t>
            </w:r>
          </w:p>
        </w:tc>
      </w:tr>
      <w:tr w:rsidR="00C67339" w:rsidRPr="007939DD" w14:paraId="416E3D71" w14:textId="77777777" w:rsidTr="005732E7">
        <w:trPr>
          <w:cantSplit/>
        </w:trPr>
        <w:tc>
          <w:tcPr>
            <w:tcW w:w="1052" w:type="pct"/>
            <w:shd w:val="clear" w:color="auto" w:fill="auto"/>
            <w:noWrap/>
          </w:tcPr>
          <w:p w14:paraId="3843C97A" w14:textId="77777777" w:rsidR="00C67339" w:rsidRPr="0076703D" w:rsidRDefault="00C67339" w:rsidP="001D5CB4">
            <w:pPr>
              <w:pStyle w:val="ARtabletext"/>
              <w:spacing w:before="60" w:after="50"/>
            </w:pPr>
            <w:r w:rsidRPr="0076703D">
              <w:rPr>
                <w:color w:val="000000"/>
              </w:rPr>
              <w:t>Djerriwarrh Health Services</w:t>
            </w:r>
          </w:p>
        </w:tc>
        <w:tc>
          <w:tcPr>
            <w:tcW w:w="315" w:type="pct"/>
          </w:tcPr>
          <w:p w14:paraId="1B9512C8" w14:textId="77777777" w:rsidR="00C67339" w:rsidRPr="0076703D" w:rsidRDefault="00C67339" w:rsidP="001D5CB4">
            <w:pPr>
              <w:pStyle w:val="ARtabletextright"/>
              <w:spacing w:before="60" w:after="50"/>
            </w:pPr>
            <w:r w:rsidRPr="0076703D">
              <w:rPr>
                <w:color w:val="000000"/>
              </w:rPr>
              <w:t>1</w:t>
            </w:r>
          </w:p>
        </w:tc>
        <w:tc>
          <w:tcPr>
            <w:tcW w:w="316" w:type="pct"/>
          </w:tcPr>
          <w:p w14:paraId="40FE44BE" w14:textId="77777777" w:rsidR="00C67339" w:rsidRPr="0076703D" w:rsidRDefault="00C67339" w:rsidP="001D5CB4">
            <w:pPr>
              <w:pStyle w:val="ARtabletextright"/>
              <w:spacing w:before="60" w:after="50"/>
            </w:pPr>
            <w:r w:rsidRPr="0076703D">
              <w:rPr>
                <w:color w:val="000000"/>
              </w:rPr>
              <w:t>0</w:t>
            </w:r>
          </w:p>
        </w:tc>
        <w:tc>
          <w:tcPr>
            <w:tcW w:w="369" w:type="pct"/>
          </w:tcPr>
          <w:p w14:paraId="75A00ECD"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1864D040"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6E95F1CD" w14:textId="77777777" w:rsidR="00C67339" w:rsidRPr="0076703D" w:rsidRDefault="00C67339" w:rsidP="001D5CB4">
            <w:pPr>
              <w:pStyle w:val="ARtabletextright"/>
              <w:spacing w:before="60" w:after="50"/>
            </w:pPr>
            <w:r w:rsidRPr="0076703D">
              <w:rPr>
                <w:color w:val="000000"/>
              </w:rPr>
              <w:t>5</w:t>
            </w:r>
          </w:p>
        </w:tc>
        <w:tc>
          <w:tcPr>
            <w:tcW w:w="316" w:type="pct"/>
            <w:tcBorders>
              <w:top w:val="single" w:sz="4" w:space="0" w:color="auto"/>
              <w:left w:val="nil"/>
              <w:right w:val="nil"/>
            </w:tcBorders>
            <w:shd w:val="clear" w:color="auto" w:fill="E7E6E6"/>
            <w:noWrap/>
          </w:tcPr>
          <w:p w14:paraId="096A3B6A"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4B760163"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09200F6E" w14:textId="77777777" w:rsidR="00C67339" w:rsidRPr="0076703D" w:rsidRDefault="00C67339" w:rsidP="001D5CB4">
            <w:pPr>
              <w:pStyle w:val="ARtabletextrightbold"/>
              <w:spacing w:before="60" w:after="50"/>
            </w:pPr>
            <w:r w:rsidRPr="0076703D">
              <w:rPr>
                <w:color w:val="000000"/>
              </w:rPr>
              <w:t>6</w:t>
            </w:r>
          </w:p>
        </w:tc>
        <w:tc>
          <w:tcPr>
            <w:tcW w:w="314" w:type="pct"/>
            <w:tcBorders>
              <w:top w:val="single" w:sz="4" w:space="0" w:color="auto"/>
              <w:left w:val="nil"/>
            </w:tcBorders>
            <w:shd w:val="clear" w:color="auto" w:fill="auto"/>
            <w:noWrap/>
          </w:tcPr>
          <w:p w14:paraId="2DFCA7FC" w14:textId="77777777" w:rsidR="00C67339" w:rsidRPr="0076703D" w:rsidRDefault="00C67339" w:rsidP="001D5CB4">
            <w:pPr>
              <w:pStyle w:val="ARtabletextright"/>
              <w:spacing w:before="60" w:after="50"/>
            </w:pPr>
            <w:r w:rsidRPr="0076703D">
              <w:rPr>
                <w:color w:val="000000"/>
              </w:rPr>
              <w:t>-4</w:t>
            </w:r>
          </w:p>
        </w:tc>
        <w:tc>
          <w:tcPr>
            <w:tcW w:w="316" w:type="pct"/>
            <w:shd w:val="clear" w:color="auto" w:fill="auto"/>
            <w:noWrap/>
          </w:tcPr>
          <w:p w14:paraId="50C52ACA" w14:textId="77777777" w:rsidR="00C67339" w:rsidRPr="0076703D" w:rsidRDefault="00C67339" w:rsidP="001D5CB4">
            <w:pPr>
              <w:pStyle w:val="ARtabletextright"/>
              <w:spacing w:before="60" w:after="50"/>
            </w:pPr>
            <w:r w:rsidRPr="0076703D">
              <w:rPr>
                <w:color w:val="000000"/>
              </w:rPr>
              <w:t>-1</w:t>
            </w:r>
          </w:p>
        </w:tc>
        <w:tc>
          <w:tcPr>
            <w:tcW w:w="368" w:type="pct"/>
            <w:shd w:val="clear" w:color="auto" w:fill="auto"/>
            <w:noWrap/>
          </w:tcPr>
          <w:p w14:paraId="370762B9"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316316CB" w14:textId="77777777" w:rsidR="00C67339" w:rsidRPr="0076703D" w:rsidRDefault="00C67339" w:rsidP="001D5CB4">
            <w:pPr>
              <w:pStyle w:val="ARtabletextrightbold"/>
              <w:spacing w:before="60" w:after="50"/>
            </w:pPr>
            <w:r w:rsidRPr="0076703D">
              <w:rPr>
                <w:color w:val="000000"/>
              </w:rPr>
              <w:t>-5</w:t>
            </w:r>
          </w:p>
        </w:tc>
      </w:tr>
      <w:tr w:rsidR="00C67339" w:rsidRPr="007939DD" w14:paraId="0B40CB5A" w14:textId="77777777" w:rsidTr="005732E7">
        <w:trPr>
          <w:cantSplit/>
        </w:trPr>
        <w:tc>
          <w:tcPr>
            <w:tcW w:w="1052" w:type="pct"/>
            <w:shd w:val="clear" w:color="auto" w:fill="auto"/>
            <w:noWrap/>
          </w:tcPr>
          <w:p w14:paraId="3D37EDC5" w14:textId="77777777" w:rsidR="00C67339" w:rsidRPr="0076703D" w:rsidRDefault="00C67339" w:rsidP="001D5CB4">
            <w:pPr>
              <w:pStyle w:val="ARtabletext"/>
              <w:spacing w:before="60" w:after="50"/>
            </w:pPr>
            <w:r w:rsidRPr="0076703D">
              <w:rPr>
                <w:color w:val="000000"/>
              </w:rPr>
              <w:t>East Grampians Health Service</w:t>
            </w:r>
          </w:p>
        </w:tc>
        <w:tc>
          <w:tcPr>
            <w:tcW w:w="315" w:type="pct"/>
          </w:tcPr>
          <w:p w14:paraId="25A9709D" w14:textId="77777777" w:rsidR="00C67339" w:rsidRPr="0076703D" w:rsidRDefault="00C67339" w:rsidP="001D5CB4">
            <w:pPr>
              <w:pStyle w:val="ARtabletextright"/>
              <w:spacing w:before="60" w:after="50"/>
            </w:pPr>
            <w:r w:rsidRPr="0076703D">
              <w:rPr>
                <w:color w:val="000000"/>
              </w:rPr>
              <w:t>0</w:t>
            </w:r>
          </w:p>
        </w:tc>
        <w:tc>
          <w:tcPr>
            <w:tcW w:w="316" w:type="pct"/>
          </w:tcPr>
          <w:p w14:paraId="70520CE6" w14:textId="77777777" w:rsidR="00C67339" w:rsidRPr="0076703D" w:rsidRDefault="00C67339" w:rsidP="001D5CB4">
            <w:pPr>
              <w:pStyle w:val="ARtabletextright"/>
              <w:spacing w:before="60" w:after="50"/>
            </w:pPr>
            <w:r w:rsidRPr="0076703D">
              <w:rPr>
                <w:color w:val="000000"/>
              </w:rPr>
              <w:t>1</w:t>
            </w:r>
          </w:p>
        </w:tc>
        <w:tc>
          <w:tcPr>
            <w:tcW w:w="369" w:type="pct"/>
          </w:tcPr>
          <w:p w14:paraId="16C5D9E7"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3F45409E"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5ECCD519"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731808E7" w14:textId="77777777" w:rsidR="00C67339" w:rsidRPr="0076703D" w:rsidRDefault="00C67339" w:rsidP="001D5CB4">
            <w:pPr>
              <w:pStyle w:val="ARtabletextright"/>
              <w:spacing w:before="60" w:after="50"/>
            </w:pPr>
            <w:r w:rsidRPr="0076703D">
              <w:rPr>
                <w:color w:val="000000"/>
              </w:rPr>
              <w:t>2</w:t>
            </w:r>
          </w:p>
        </w:tc>
        <w:tc>
          <w:tcPr>
            <w:tcW w:w="368" w:type="pct"/>
            <w:tcBorders>
              <w:top w:val="single" w:sz="4" w:space="0" w:color="auto"/>
              <w:left w:val="nil"/>
              <w:right w:val="nil"/>
            </w:tcBorders>
            <w:shd w:val="clear" w:color="auto" w:fill="E7E6E6"/>
            <w:noWrap/>
          </w:tcPr>
          <w:p w14:paraId="7C1A8A8A"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2141BD75" w14:textId="77777777" w:rsidR="00C67339" w:rsidRPr="0076703D" w:rsidRDefault="00C67339" w:rsidP="001D5CB4">
            <w:pPr>
              <w:pStyle w:val="ARtabletextrightbold"/>
              <w:spacing w:before="60" w:after="50"/>
            </w:pPr>
            <w:r w:rsidRPr="0076703D">
              <w:rPr>
                <w:color w:val="000000"/>
              </w:rPr>
              <w:t>2</w:t>
            </w:r>
          </w:p>
        </w:tc>
        <w:tc>
          <w:tcPr>
            <w:tcW w:w="314" w:type="pct"/>
            <w:tcBorders>
              <w:top w:val="single" w:sz="4" w:space="0" w:color="auto"/>
              <w:left w:val="nil"/>
            </w:tcBorders>
            <w:shd w:val="clear" w:color="auto" w:fill="auto"/>
            <w:noWrap/>
          </w:tcPr>
          <w:p w14:paraId="720DE594"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1A2D41D3" w14:textId="77777777" w:rsidR="00C67339" w:rsidRPr="0076703D" w:rsidRDefault="00C67339" w:rsidP="001D5CB4">
            <w:pPr>
              <w:pStyle w:val="ARtabletextright"/>
              <w:spacing w:before="60" w:after="50"/>
            </w:pPr>
            <w:r w:rsidRPr="0076703D">
              <w:rPr>
                <w:color w:val="000000"/>
              </w:rPr>
              <w:t>-1</w:t>
            </w:r>
          </w:p>
        </w:tc>
        <w:tc>
          <w:tcPr>
            <w:tcW w:w="368" w:type="pct"/>
            <w:shd w:val="clear" w:color="auto" w:fill="auto"/>
            <w:noWrap/>
          </w:tcPr>
          <w:p w14:paraId="5542F439"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04A00DDF" w14:textId="77777777" w:rsidR="00C67339" w:rsidRPr="0076703D" w:rsidRDefault="00C67339" w:rsidP="001D5CB4">
            <w:pPr>
              <w:pStyle w:val="ARtabletextrightbold"/>
              <w:spacing w:before="60" w:after="50"/>
            </w:pPr>
            <w:r w:rsidRPr="0076703D">
              <w:rPr>
                <w:color w:val="000000"/>
              </w:rPr>
              <w:t>-1</w:t>
            </w:r>
          </w:p>
        </w:tc>
      </w:tr>
      <w:tr w:rsidR="00C67339" w:rsidRPr="007939DD" w14:paraId="7A2870D8" w14:textId="77777777" w:rsidTr="005732E7">
        <w:trPr>
          <w:cantSplit/>
        </w:trPr>
        <w:tc>
          <w:tcPr>
            <w:tcW w:w="1052" w:type="pct"/>
            <w:shd w:val="clear" w:color="auto" w:fill="auto"/>
            <w:noWrap/>
          </w:tcPr>
          <w:p w14:paraId="4FC5FD08" w14:textId="77777777" w:rsidR="00C67339" w:rsidRPr="0076703D" w:rsidRDefault="00C67339" w:rsidP="001D5CB4">
            <w:pPr>
              <w:pStyle w:val="ARtabletext"/>
              <w:spacing w:before="60" w:after="50"/>
            </w:pPr>
            <w:r w:rsidRPr="0076703D">
              <w:rPr>
                <w:color w:val="000000"/>
              </w:rPr>
              <w:t>East Wimmera Health Service</w:t>
            </w:r>
          </w:p>
        </w:tc>
        <w:tc>
          <w:tcPr>
            <w:tcW w:w="315" w:type="pct"/>
          </w:tcPr>
          <w:p w14:paraId="798904BA" w14:textId="77777777" w:rsidR="00C67339" w:rsidRPr="0076703D" w:rsidRDefault="00C67339" w:rsidP="001D5CB4">
            <w:pPr>
              <w:pStyle w:val="ARtabletextright"/>
              <w:spacing w:before="60" w:after="50"/>
            </w:pPr>
            <w:r w:rsidRPr="0076703D">
              <w:rPr>
                <w:color w:val="000000"/>
              </w:rPr>
              <w:t>0</w:t>
            </w:r>
          </w:p>
        </w:tc>
        <w:tc>
          <w:tcPr>
            <w:tcW w:w="316" w:type="pct"/>
          </w:tcPr>
          <w:p w14:paraId="18875832" w14:textId="77777777" w:rsidR="00C67339" w:rsidRPr="0076703D" w:rsidRDefault="00C67339" w:rsidP="001D5CB4">
            <w:pPr>
              <w:pStyle w:val="ARtabletextright"/>
              <w:spacing w:before="60" w:after="50"/>
            </w:pPr>
            <w:r w:rsidRPr="0076703D">
              <w:rPr>
                <w:color w:val="000000"/>
              </w:rPr>
              <w:t>1</w:t>
            </w:r>
          </w:p>
        </w:tc>
        <w:tc>
          <w:tcPr>
            <w:tcW w:w="369" w:type="pct"/>
          </w:tcPr>
          <w:p w14:paraId="1B4F3D20"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49E8A8A0"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7D99DE35"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12EEA087"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67910586"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418DE582"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7BAA816B"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5733D3DD"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7A53B7FF"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78C6B55C" w14:textId="77777777" w:rsidR="00C67339" w:rsidRPr="0076703D" w:rsidRDefault="00C67339" w:rsidP="001D5CB4">
            <w:pPr>
              <w:pStyle w:val="ARtabletextrightbold"/>
              <w:spacing w:before="60" w:after="50"/>
            </w:pPr>
            <w:r w:rsidRPr="0076703D">
              <w:rPr>
                <w:color w:val="000000"/>
              </w:rPr>
              <w:t>0</w:t>
            </w:r>
          </w:p>
        </w:tc>
      </w:tr>
      <w:tr w:rsidR="00C67339" w:rsidRPr="007939DD" w14:paraId="42BD4805" w14:textId="77777777" w:rsidTr="005732E7">
        <w:trPr>
          <w:cantSplit/>
        </w:trPr>
        <w:tc>
          <w:tcPr>
            <w:tcW w:w="1052" w:type="pct"/>
            <w:shd w:val="clear" w:color="auto" w:fill="auto"/>
            <w:noWrap/>
          </w:tcPr>
          <w:p w14:paraId="7C7E1A5B" w14:textId="77777777" w:rsidR="00C67339" w:rsidRPr="0076703D" w:rsidRDefault="00C67339" w:rsidP="001D5CB4">
            <w:pPr>
              <w:pStyle w:val="ARtabletext"/>
              <w:spacing w:before="60" w:after="50"/>
            </w:pPr>
            <w:r w:rsidRPr="0076703D">
              <w:rPr>
                <w:color w:val="000000"/>
              </w:rPr>
              <w:t>Eastern Health</w:t>
            </w:r>
          </w:p>
        </w:tc>
        <w:tc>
          <w:tcPr>
            <w:tcW w:w="315" w:type="pct"/>
          </w:tcPr>
          <w:p w14:paraId="0CC61A0F" w14:textId="77777777" w:rsidR="00C67339" w:rsidRPr="0076703D" w:rsidRDefault="00C67339" w:rsidP="001D5CB4">
            <w:pPr>
              <w:pStyle w:val="ARtabletextright"/>
              <w:spacing w:before="60" w:after="50"/>
            </w:pPr>
            <w:r w:rsidRPr="0076703D">
              <w:rPr>
                <w:color w:val="000000"/>
              </w:rPr>
              <w:t>5</w:t>
            </w:r>
          </w:p>
        </w:tc>
        <w:tc>
          <w:tcPr>
            <w:tcW w:w="316" w:type="pct"/>
          </w:tcPr>
          <w:p w14:paraId="26E274D0" w14:textId="77777777" w:rsidR="00C67339" w:rsidRPr="0076703D" w:rsidRDefault="00C67339" w:rsidP="001D5CB4">
            <w:pPr>
              <w:pStyle w:val="ARtabletextright"/>
              <w:spacing w:before="60" w:after="50"/>
            </w:pPr>
            <w:r w:rsidRPr="0076703D">
              <w:rPr>
                <w:color w:val="000000"/>
              </w:rPr>
              <w:t>3</w:t>
            </w:r>
          </w:p>
        </w:tc>
        <w:tc>
          <w:tcPr>
            <w:tcW w:w="369" w:type="pct"/>
          </w:tcPr>
          <w:p w14:paraId="58A80E5A"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423B74C7" w14:textId="77777777" w:rsidR="00C67339" w:rsidRPr="0076703D" w:rsidRDefault="00C67339" w:rsidP="001D5CB4">
            <w:pPr>
              <w:pStyle w:val="ARtabletextrightbold"/>
              <w:spacing w:before="60" w:after="50"/>
            </w:pPr>
            <w:r w:rsidRPr="0076703D">
              <w:rPr>
                <w:color w:val="000000"/>
              </w:rPr>
              <w:t>8</w:t>
            </w:r>
          </w:p>
        </w:tc>
        <w:tc>
          <w:tcPr>
            <w:tcW w:w="316" w:type="pct"/>
            <w:tcBorders>
              <w:top w:val="single" w:sz="4" w:space="0" w:color="auto"/>
              <w:right w:val="nil"/>
            </w:tcBorders>
            <w:shd w:val="clear" w:color="auto" w:fill="E7E6E6"/>
            <w:noWrap/>
          </w:tcPr>
          <w:p w14:paraId="7DFBC736" w14:textId="77777777" w:rsidR="00C67339" w:rsidRPr="0076703D" w:rsidRDefault="00C67339" w:rsidP="001D5CB4">
            <w:pPr>
              <w:pStyle w:val="ARtabletextright"/>
              <w:spacing w:before="60" w:after="50"/>
            </w:pPr>
            <w:r w:rsidRPr="0076703D">
              <w:rPr>
                <w:color w:val="000000"/>
              </w:rPr>
              <w:t>4</w:t>
            </w:r>
          </w:p>
        </w:tc>
        <w:tc>
          <w:tcPr>
            <w:tcW w:w="316" w:type="pct"/>
            <w:tcBorders>
              <w:top w:val="single" w:sz="4" w:space="0" w:color="auto"/>
              <w:left w:val="nil"/>
              <w:right w:val="nil"/>
            </w:tcBorders>
            <w:shd w:val="clear" w:color="auto" w:fill="E7E6E6"/>
            <w:noWrap/>
          </w:tcPr>
          <w:p w14:paraId="3F16696A" w14:textId="77777777" w:rsidR="00C67339" w:rsidRPr="0076703D" w:rsidRDefault="00C67339" w:rsidP="001D5CB4">
            <w:pPr>
              <w:pStyle w:val="ARtabletextright"/>
              <w:spacing w:before="60" w:after="50"/>
            </w:pPr>
            <w:r w:rsidRPr="0076703D">
              <w:rPr>
                <w:color w:val="000000"/>
              </w:rPr>
              <w:t>5</w:t>
            </w:r>
          </w:p>
        </w:tc>
        <w:tc>
          <w:tcPr>
            <w:tcW w:w="368" w:type="pct"/>
            <w:tcBorders>
              <w:top w:val="single" w:sz="4" w:space="0" w:color="auto"/>
              <w:left w:val="nil"/>
              <w:right w:val="nil"/>
            </w:tcBorders>
            <w:shd w:val="clear" w:color="auto" w:fill="E7E6E6"/>
            <w:noWrap/>
          </w:tcPr>
          <w:p w14:paraId="59D6D8A7"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22427402" w14:textId="77777777" w:rsidR="00C67339" w:rsidRPr="0076703D" w:rsidRDefault="00C67339" w:rsidP="001D5CB4">
            <w:pPr>
              <w:pStyle w:val="ARtabletextrightbold"/>
              <w:spacing w:before="60" w:after="50"/>
            </w:pPr>
            <w:r w:rsidRPr="0076703D">
              <w:rPr>
                <w:color w:val="000000"/>
              </w:rPr>
              <w:t>9</w:t>
            </w:r>
          </w:p>
        </w:tc>
        <w:tc>
          <w:tcPr>
            <w:tcW w:w="314" w:type="pct"/>
            <w:tcBorders>
              <w:top w:val="single" w:sz="4" w:space="0" w:color="auto"/>
              <w:left w:val="nil"/>
            </w:tcBorders>
            <w:shd w:val="clear" w:color="auto" w:fill="auto"/>
            <w:noWrap/>
          </w:tcPr>
          <w:p w14:paraId="6A69356F" w14:textId="77777777" w:rsidR="00C67339" w:rsidRPr="0076703D" w:rsidRDefault="00C67339" w:rsidP="001D5CB4">
            <w:pPr>
              <w:pStyle w:val="ARtabletextright"/>
              <w:spacing w:before="60" w:after="50"/>
            </w:pPr>
            <w:r w:rsidRPr="0076703D">
              <w:rPr>
                <w:color w:val="000000"/>
              </w:rPr>
              <w:t>1</w:t>
            </w:r>
          </w:p>
        </w:tc>
        <w:tc>
          <w:tcPr>
            <w:tcW w:w="316" w:type="pct"/>
            <w:shd w:val="clear" w:color="auto" w:fill="auto"/>
            <w:noWrap/>
          </w:tcPr>
          <w:p w14:paraId="6133D2D1" w14:textId="77777777" w:rsidR="00C67339" w:rsidRPr="0076703D" w:rsidRDefault="00C67339" w:rsidP="001D5CB4">
            <w:pPr>
              <w:pStyle w:val="ARtabletextright"/>
              <w:spacing w:before="60" w:after="50"/>
            </w:pPr>
            <w:r w:rsidRPr="0076703D">
              <w:rPr>
                <w:color w:val="000000"/>
              </w:rPr>
              <w:t>-2</w:t>
            </w:r>
          </w:p>
        </w:tc>
        <w:tc>
          <w:tcPr>
            <w:tcW w:w="368" w:type="pct"/>
            <w:shd w:val="clear" w:color="auto" w:fill="auto"/>
            <w:noWrap/>
          </w:tcPr>
          <w:p w14:paraId="1C2B808F"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4BEF9F40" w14:textId="77777777" w:rsidR="00C67339" w:rsidRPr="0076703D" w:rsidRDefault="00C67339" w:rsidP="001D5CB4">
            <w:pPr>
              <w:pStyle w:val="ARtabletextrightbold"/>
              <w:spacing w:before="60" w:after="50"/>
            </w:pPr>
            <w:r w:rsidRPr="0076703D">
              <w:rPr>
                <w:color w:val="000000"/>
              </w:rPr>
              <w:t>-1</w:t>
            </w:r>
          </w:p>
        </w:tc>
      </w:tr>
      <w:tr w:rsidR="00C67339" w:rsidRPr="007939DD" w14:paraId="1E3D8840" w14:textId="77777777" w:rsidTr="005732E7">
        <w:trPr>
          <w:cantSplit/>
        </w:trPr>
        <w:tc>
          <w:tcPr>
            <w:tcW w:w="1052" w:type="pct"/>
            <w:shd w:val="clear" w:color="auto" w:fill="auto"/>
            <w:noWrap/>
          </w:tcPr>
          <w:p w14:paraId="7280C5A0" w14:textId="77777777" w:rsidR="00C67339" w:rsidRPr="0076703D" w:rsidRDefault="00C67339" w:rsidP="001D5CB4">
            <w:pPr>
              <w:pStyle w:val="ARtabletext"/>
              <w:spacing w:before="60" w:after="50"/>
            </w:pPr>
            <w:r w:rsidRPr="0076703D">
              <w:rPr>
                <w:color w:val="000000"/>
              </w:rPr>
              <w:t>Echuca Regional Health</w:t>
            </w:r>
          </w:p>
        </w:tc>
        <w:tc>
          <w:tcPr>
            <w:tcW w:w="315" w:type="pct"/>
          </w:tcPr>
          <w:p w14:paraId="512A74D9" w14:textId="77777777" w:rsidR="00C67339" w:rsidRPr="0076703D" w:rsidRDefault="00C67339" w:rsidP="001D5CB4">
            <w:pPr>
              <w:pStyle w:val="ARtabletextright"/>
              <w:spacing w:before="60" w:after="50"/>
            </w:pPr>
            <w:r w:rsidRPr="0076703D">
              <w:rPr>
                <w:color w:val="000000"/>
              </w:rPr>
              <w:t>1</w:t>
            </w:r>
          </w:p>
        </w:tc>
        <w:tc>
          <w:tcPr>
            <w:tcW w:w="316" w:type="pct"/>
          </w:tcPr>
          <w:p w14:paraId="64D18E0F" w14:textId="77777777" w:rsidR="00C67339" w:rsidRPr="0076703D" w:rsidRDefault="00C67339" w:rsidP="001D5CB4">
            <w:pPr>
              <w:pStyle w:val="ARtabletextright"/>
              <w:spacing w:before="60" w:after="50"/>
            </w:pPr>
            <w:r w:rsidRPr="0076703D">
              <w:rPr>
                <w:color w:val="000000"/>
              </w:rPr>
              <w:t>1</w:t>
            </w:r>
          </w:p>
        </w:tc>
        <w:tc>
          <w:tcPr>
            <w:tcW w:w="369" w:type="pct"/>
          </w:tcPr>
          <w:p w14:paraId="5643BE7F"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7FF0014C" w14:textId="77777777" w:rsidR="00C67339" w:rsidRPr="0076703D" w:rsidRDefault="00C67339" w:rsidP="001D5CB4">
            <w:pPr>
              <w:pStyle w:val="ARtabletextrightbold"/>
              <w:spacing w:before="60" w:after="50"/>
            </w:pPr>
            <w:r w:rsidRPr="0076703D">
              <w:rPr>
                <w:color w:val="000000"/>
              </w:rPr>
              <w:t>2</w:t>
            </w:r>
          </w:p>
        </w:tc>
        <w:tc>
          <w:tcPr>
            <w:tcW w:w="316" w:type="pct"/>
            <w:tcBorders>
              <w:top w:val="single" w:sz="4" w:space="0" w:color="auto"/>
              <w:right w:val="nil"/>
            </w:tcBorders>
            <w:shd w:val="clear" w:color="auto" w:fill="E7E6E6"/>
            <w:noWrap/>
          </w:tcPr>
          <w:p w14:paraId="356EC7C8" w14:textId="77777777" w:rsidR="00C67339" w:rsidRPr="0076703D" w:rsidRDefault="00C67339" w:rsidP="001D5CB4">
            <w:pPr>
              <w:pStyle w:val="ARtabletextright"/>
              <w:spacing w:before="60" w:after="50"/>
            </w:pPr>
            <w:r w:rsidRPr="0076703D">
              <w:rPr>
                <w:color w:val="000000"/>
              </w:rPr>
              <w:t>3</w:t>
            </w:r>
          </w:p>
        </w:tc>
        <w:tc>
          <w:tcPr>
            <w:tcW w:w="316" w:type="pct"/>
            <w:tcBorders>
              <w:top w:val="single" w:sz="4" w:space="0" w:color="auto"/>
              <w:left w:val="nil"/>
              <w:right w:val="nil"/>
            </w:tcBorders>
            <w:shd w:val="clear" w:color="auto" w:fill="E7E6E6"/>
            <w:noWrap/>
          </w:tcPr>
          <w:p w14:paraId="75F31134"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08E7F806"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4622A2AB" w14:textId="77777777" w:rsidR="00C67339" w:rsidRPr="0076703D" w:rsidRDefault="00C67339" w:rsidP="001D5CB4">
            <w:pPr>
              <w:pStyle w:val="ARtabletextrightbold"/>
              <w:spacing w:before="60" w:after="50"/>
            </w:pPr>
            <w:r w:rsidRPr="0076703D">
              <w:rPr>
                <w:color w:val="000000"/>
              </w:rPr>
              <w:t>4</w:t>
            </w:r>
          </w:p>
        </w:tc>
        <w:tc>
          <w:tcPr>
            <w:tcW w:w="314" w:type="pct"/>
            <w:tcBorders>
              <w:top w:val="single" w:sz="4" w:space="0" w:color="auto"/>
              <w:left w:val="nil"/>
            </w:tcBorders>
            <w:shd w:val="clear" w:color="auto" w:fill="auto"/>
            <w:noWrap/>
          </w:tcPr>
          <w:p w14:paraId="39C76592" w14:textId="77777777" w:rsidR="00C67339" w:rsidRPr="0076703D" w:rsidRDefault="00C67339" w:rsidP="001D5CB4">
            <w:pPr>
              <w:pStyle w:val="ARtabletextright"/>
              <w:spacing w:before="60" w:after="50"/>
            </w:pPr>
            <w:r w:rsidRPr="0076703D">
              <w:rPr>
                <w:color w:val="000000"/>
              </w:rPr>
              <w:t>-2</w:t>
            </w:r>
          </w:p>
        </w:tc>
        <w:tc>
          <w:tcPr>
            <w:tcW w:w="316" w:type="pct"/>
            <w:shd w:val="clear" w:color="auto" w:fill="auto"/>
            <w:noWrap/>
          </w:tcPr>
          <w:p w14:paraId="319057A6"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097F4B55"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7379AF0D" w14:textId="77777777" w:rsidR="00C67339" w:rsidRPr="0076703D" w:rsidRDefault="00C67339" w:rsidP="001D5CB4">
            <w:pPr>
              <w:pStyle w:val="ARtabletextrightbold"/>
              <w:spacing w:before="60" w:after="50"/>
            </w:pPr>
            <w:r w:rsidRPr="0076703D">
              <w:rPr>
                <w:color w:val="000000"/>
              </w:rPr>
              <w:t>-2</w:t>
            </w:r>
          </w:p>
        </w:tc>
      </w:tr>
      <w:tr w:rsidR="00C67339" w:rsidRPr="007939DD" w14:paraId="3BB1F3E1" w14:textId="77777777" w:rsidTr="005732E7">
        <w:trPr>
          <w:cantSplit/>
        </w:trPr>
        <w:tc>
          <w:tcPr>
            <w:tcW w:w="1052" w:type="pct"/>
            <w:shd w:val="clear" w:color="auto" w:fill="auto"/>
            <w:noWrap/>
          </w:tcPr>
          <w:p w14:paraId="39A0C2E9" w14:textId="77777777" w:rsidR="00C67339" w:rsidRPr="0076703D" w:rsidRDefault="00C67339" w:rsidP="001D5CB4">
            <w:pPr>
              <w:pStyle w:val="ARtabletext"/>
              <w:spacing w:before="60" w:after="50"/>
            </w:pPr>
            <w:r w:rsidRPr="0076703D">
              <w:rPr>
                <w:color w:val="000000"/>
              </w:rPr>
              <w:t>Edenhope and District Memorial Hospital</w:t>
            </w:r>
          </w:p>
        </w:tc>
        <w:tc>
          <w:tcPr>
            <w:tcW w:w="315" w:type="pct"/>
          </w:tcPr>
          <w:p w14:paraId="67623F4E" w14:textId="77777777" w:rsidR="00C67339" w:rsidRPr="0076703D" w:rsidRDefault="00C67339" w:rsidP="001D5CB4">
            <w:pPr>
              <w:pStyle w:val="ARtabletextright"/>
              <w:spacing w:before="60" w:after="50"/>
            </w:pPr>
            <w:r w:rsidRPr="0076703D">
              <w:rPr>
                <w:color w:val="000000"/>
              </w:rPr>
              <w:t>0</w:t>
            </w:r>
          </w:p>
        </w:tc>
        <w:tc>
          <w:tcPr>
            <w:tcW w:w="316" w:type="pct"/>
          </w:tcPr>
          <w:p w14:paraId="3F238B4C" w14:textId="77777777" w:rsidR="00C67339" w:rsidRPr="0076703D" w:rsidRDefault="00C67339" w:rsidP="001D5CB4">
            <w:pPr>
              <w:pStyle w:val="ARtabletextright"/>
              <w:spacing w:before="60" w:after="50"/>
            </w:pPr>
            <w:r w:rsidRPr="0076703D">
              <w:rPr>
                <w:color w:val="000000"/>
              </w:rPr>
              <w:t>1</w:t>
            </w:r>
          </w:p>
        </w:tc>
        <w:tc>
          <w:tcPr>
            <w:tcW w:w="369" w:type="pct"/>
          </w:tcPr>
          <w:p w14:paraId="51A3B508"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1064C641"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051676FF"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49DFBDC6"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2780240E"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79F3FFBB"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20A69030"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30F6409A"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72193281"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4BB3618B" w14:textId="77777777" w:rsidR="00C67339" w:rsidRPr="0076703D" w:rsidRDefault="00C67339" w:rsidP="001D5CB4">
            <w:pPr>
              <w:pStyle w:val="ARtabletextrightbold"/>
              <w:spacing w:before="60" w:after="50"/>
            </w:pPr>
            <w:r w:rsidRPr="0076703D">
              <w:rPr>
                <w:color w:val="000000"/>
              </w:rPr>
              <w:t>0</w:t>
            </w:r>
          </w:p>
        </w:tc>
      </w:tr>
      <w:tr w:rsidR="00C67339" w:rsidRPr="007939DD" w14:paraId="5D1C62B5" w14:textId="77777777" w:rsidTr="005732E7">
        <w:trPr>
          <w:cantSplit/>
        </w:trPr>
        <w:tc>
          <w:tcPr>
            <w:tcW w:w="1052" w:type="pct"/>
            <w:shd w:val="clear" w:color="auto" w:fill="auto"/>
            <w:noWrap/>
          </w:tcPr>
          <w:p w14:paraId="34E5C52C" w14:textId="77777777" w:rsidR="00C67339" w:rsidRPr="0076703D" w:rsidRDefault="00C67339" w:rsidP="001D5CB4">
            <w:pPr>
              <w:pStyle w:val="ARtabletext"/>
              <w:spacing w:before="60" w:after="50"/>
            </w:pPr>
            <w:r w:rsidRPr="0076703D">
              <w:rPr>
                <w:color w:val="000000"/>
              </w:rPr>
              <w:t>Geelong Cemeteries Trust</w:t>
            </w:r>
          </w:p>
        </w:tc>
        <w:tc>
          <w:tcPr>
            <w:tcW w:w="315" w:type="pct"/>
          </w:tcPr>
          <w:p w14:paraId="6DC9F8EE" w14:textId="77777777" w:rsidR="00C67339" w:rsidRPr="0076703D" w:rsidRDefault="00C67339" w:rsidP="001D5CB4">
            <w:pPr>
              <w:pStyle w:val="ARtabletextright"/>
              <w:spacing w:before="60" w:after="50"/>
            </w:pPr>
            <w:r w:rsidRPr="0076703D">
              <w:rPr>
                <w:color w:val="000000"/>
              </w:rPr>
              <w:t>0</w:t>
            </w:r>
          </w:p>
        </w:tc>
        <w:tc>
          <w:tcPr>
            <w:tcW w:w="316" w:type="pct"/>
          </w:tcPr>
          <w:p w14:paraId="785FBB64" w14:textId="77777777" w:rsidR="00C67339" w:rsidRPr="0076703D" w:rsidRDefault="00C67339" w:rsidP="001D5CB4">
            <w:pPr>
              <w:pStyle w:val="ARtabletextright"/>
              <w:spacing w:before="60" w:after="50"/>
            </w:pPr>
            <w:r w:rsidRPr="0076703D">
              <w:rPr>
                <w:color w:val="000000"/>
              </w:rPr>
              <w:t>1</w:t>
            </w:r>
          </w:p>
        </w:tc>
        <w:tc>
          <w:tcPr>
            <w:tcW w:w="369" w:type="pct"/>
          </w:tcPr>
          <w:p w14:paraId="0BA4F221"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51E986C6"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06E428E8"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7A0210FD"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3C52A967"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4A39B90C"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237CD907"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079EA8F4"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6CC45016"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424145B7" w14:textId="77777777" w:rsidR="00C67339" w:rsidRPr="0076703D" w:rsidRDefault="00C67339" w:rsidP="001D5CB4">
            <w:pPr>
              <w:pStyle w:val="ARtabletextrightbold"/>
              <w:spacing w:before="60" w:after="50"/>
            </w:pPr>
            <w:r w:rsidRPr="0076703D">
              <w:rPr>
                <w:color w:val="000000"/>
              </w:rPr>
              <w:t>0</w:t>
            </w:r>
          </w:p>
        </w:tc>
      </w:tr>
      <w:tr w:rsidR="00C67339" w:rsidRPr="007939DD" w14:paraId="27CAC1E2" w14:textId="77777777" w:rsidTr="005732E7">
        <w:trPr>
          <w:cantSplit/>
        </w:trPr>
        <w:tc>
          <w:tcPr>
            <w:tcW w:w="1052" w:type="pct"/>
            <w:shd w:val="clear" w:color="auto" w:fill="auto"/>
            <w:noWrap/>
          </w:tcPr>
          <w:p w14:paraId="2503A2CE" w14:textId="77777777" w:rsidR="00C67339" w:rsidRPr="0076703D" w:rsidRDefault="00C67339" w:rsidP="001D5CB4">
            <w:pPr>
              <w:pStyle w:val="ARtabletext"/>
              <w:spacing w:before="60" w:after="50"/>
            </w:pPr>
            <w:r w:rsidRPr="0076703D">
              <w:rPr>
                <w:color w:val="000000"/>
              </w:rPr>
              <w:t>Gippsland Southern Health Service</w:t>
            </w:r>
          </w:p>
        </w:tc>
        <w:tc>
          <w:tcPr>
            <w:tcW w:w="315" w:type="pct"/>
          </w:tcPr>
          <w:p w14:paraId="178985A4" w14:textId="77777777" w:rsidR="00C67339" w:rsidRPr="0076703D" w:rsidRDefault="00C67339" w:rsidP="001D5CB4">
            <w:pPr>
              <w:pStyle w:val="ARtabletextright"/>
              <w:spacing w:before="60" w:after="50"/>
            </w:pPr>
            <w:r w:rsidRPr="0076703D">
              <w:rPr>
                <w:color w:val="000000"/>
              </w:rPr>
              <w:t>0</w:t>
            </w:r>
          </w:p>
        </w:tc>
        <w:tc>
          <w:tcPr>
            <w:tcW w:w="316" w:type="pct"/>
          </w:tcPr>
          <w:p w14:paraId="11D89F06" w14:textId="77777777" w:rsidR="00C67339" w:rsidRPr="0076703D" w:rsidRDefault="00C67339" w:rsidP="001D5CB4">
            <w:pPr>
              <w:pStyle w:val="ARtabletextright"/>
              <w:spacing w:before="60" w:after="50"/>
            </w:pPr>
            <w:r w:rsidRPr="0076703D">
              <w:rPr>
                <w:color w:val="000000"/>
              </w:rPr>
              <w:t>1</w:t>
            </w:r>
          </w:p>
        </w:tc>
        <w:tc>
          <w:tcPr>
            <w:tcW w:w="369" w:type="pct"/>
          </w:tcPr>
          <w:p w14:paraId="3E5976BB"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092CBDB4"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147646BC"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18845172" w14:textId="77777777" w:rsidR="00C67339" w:rsidRPr="0076703D" w:rsidRDefault="00C67339" w:rsidP="001D5CB4">
            <w:pPr>
              <w:pStyle w:val="ARtabletextright"/>
              <w:spacing w:before="60" w:after="50"/>
            </w:pPr>
            <w:r w:rsidRPr="0076703D">
              <w:rPr>
                <w:color w:val="000000"/>
              </w:rPr>
              <w:t>2</w:t>
            </w:r>
          </w:p>
        </w:tc>
        <w:tc>
          <w:tcPr>
            <w:tcW w:w="368" w:type="pct"/>
            <w:tcBorders>
              <w:top w:val="single" w:sz="4" w:space="0" w:color="auto"/>
              <w:left w:val="nil"/>
              <w:right w:val="nil"/>
            </w:tcBorders>
            <w:shd w:val="clear" w:color="auto" w:fill="E7E6E6"/>
            <w:noWrap/>
          </w:tcPr>
          <w:p w14:paraId="27355044"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43550FFA" w14:textId="77777777" w:rsidR="00C67339" w:rsidRPr="0076703D" w:rsidRDefault="00C67339" w:rsidP="001D5CB4">
            <w:pPr>
              <w:pStyle w:val="ARtabletextrightbold"/>
              <w:spacing w:before="60" w:after="50"/>
            </w:pPr>
            <w:r w:rsidRPr="0076703D">
              <w:rPr>
                <w:color w:val="000000"/>
              </w:rPr>
              <w:t>2</w:t>
            </w:r>
          </w:p>
        </w:tc>
        <w:tc>
          <w:tcPr>
            <w:tcW w:w="314" w:type="pct"/>
            <w:tcBorders>
              <w:top w:val="single" w:sz="4" w:space="0" w:color="auto"/>
              <w:left w:val="nil"/>
            </w:tcBorders>
            <w:shd w:val="clear" w:color="auto" w:fill="auto"/>
            <w:noWrap/>
          </w:tcPr>
          <w:p w14:paraId="3152CA67"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502BB06D" w14:textId="77777777" w:rsidR="00C67339" w:rsidRPr="0076703D" w:rsidRDefault="00C67339" w:rsidP="001D5CB4">
            <w:pPr>
              <w:pStyle w:val="ARtabletextright"/>
              <w:spacing w:before="60" w:after="50"/>
            </w:pPr>
            <w:r w:rsidRPr="0076703D">
              <w:rPr>
                <w:color w:val="000000"/>
              </w:rPr>
              <w:t>-1</w:t>
            </w:r>
          </w:p>
        </w:tc>
        <w:tc>
          <w:tcPr>
            <w:tcW w:w="368" w:type="pct"/>
            <w:shd w:val="clear" w:color="auto" w:fill="auto"/>
            <w:noWrap/>
          </w:tcPr>
          <w:p w14:paraId="371C2BBA"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4EC64826" w14:textId="77777777" w:rsidR="00C67339" w:rsidRPr="0076703D" w:rsidRDefault="00C67339" w:rsidP="001D5CB4">
            <w:pPr>
              <w:pStyle w:val="ARtabletextrightbold"/>
              <w:spacing w:before="60" w:after="50"/>
            </w:pPr>
            <w:r w:rsidRPr="0076703D">
              <w:rPr>
                <w:color w:val="000000"/>
              </w:rPr>
              <w:t>-1</w:t>
            </w:r>
          </w:p>
        </w:tc>
      </w:tr>
      <w:tr w:rsidR="00C67339" w:rsidRPr="007939DD" w14:paraId="12FF666B" w14:textId="77777777" w:rsidTr="005732E7">
        <w:trPr>
          <w:cantSplit/>
        </w:trPr>
        <w:tc>
          <w:tcPr>
            <w:tcW w:w="1052" w:type="pct"/>
            <w:shd w:val="clear" w:color="auto" w:fill="auto"/>
            <w:noWrap/>
          </w:tcPr>
          <w:p w14:paraId="287CBA0B" w14:textId="77777777" w:rsidR="00C67339" w:rsidRPr="0076703D" w:rsidRDefault="00C67339" w:rsidP="001D5CB4">
            <w:pPr>
              <w:pStyle w:val="ARtabletext"/>
              <w:spacing w:before="60" w:after="50"/>
            </w:pPr>
            <w:r w:rsidRPr="0076703D">
              <w:rPr>
                <w:color w:val="000000"/>
              </w:rPr>
              <w:t>Goulburn Valley Health Services</w:t>
            </w:r>
          </w:p>
        </w:tc>
        <w:tc>
          <w:tcPr>
            <w:tcW w:w="315" w:type="pct"/>
          </w:tcPr>
          <w:p w14:paraId="53FA01A6" w14:textId="77777777" w:rsidR="00C67339" w:rsidRPr="0076703D" w:rsidRDefault="00C67339" w:rsidP="001D5CB4">
            <w:pPr>
              <w:pStyle w:val="ARtabletextright"/>
              <w:spacing w:before="60" w:after="50"/>
            </w:pPr>
            <w:r w:rsidRPr="0076703D">
              <w:rPr>
                <w:color w:val="000000"/>
              </w:rPr>
              <w:t>2</w:t>
            </w:r>
          </w:p>
        </w:tc>
        <w:tc>
          <w:tcPr>
            <w:tcW w:w="316" w:type="pct"/>
          </w:tcPr>
          <w:p w14:paraId="391E2C59" w14:textId="77777777" w:rsidR="00C67339" w:rsidRPr="0076703D" w:rsidRDefault="00C67339" w:rsidP="001D5CB4">
            <w:pPr>
              <w:pStyle w:val="ARtabletextright"/>
              <w:spacing w:before="60" w:after="50"/>
            </w:pPr>
            <w:r w:rsidRPr="0076703D">
              <w:rPr>
                <w:color w:val="000000"/>
              </w:rPr>
              <w:t>3</w:t>
            </w:r>
          </w:p>
        </w:tc>
        <w:tc>
          <w:tcPr>
            <w:tcW w:w="369" w:type="pct"/>
          </w:tcPr>
          <w:p w14:paraId="55983383"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4AFD18FB" w14:textId="77777777" w:rsidR="00C67339" w:rsidRPr="0076703D" w:rsidRDefault="00C67339" w:rsidP="001D5CB4">
            <w:pPr>
              <w:pStyle w:val="ARtabletextrightbold"/>
              <w:spacing w:before="60" w:after="50"/>
            </w:pPr>
            <w:r w:rsidRPr="0076703D">
              <w:rPr>
                <w:color w:val="000000"/>
              </w:rPr>
              <w:t>5</w:t>
            </w:r>
          </w:p>
        </w:tc>
        <w:tc>
          <w:tcPr>
            <w:tcW w:w="316" w:type="pct"/>
            <w:tcBorders>
              <w:top w:val="single" w:sz="4" w:space="0" w:color="auto"/>
              <w:right w:val="nil"/>
            </w:tcBorders>
            <w:shd w:val="clear" w:color="auto" w:fill="E7E6E6"/>
            <w:noWrap/>
          </w:tcPr>
          <w:p w14:paraId="6AB440B4" w14:textId="77777777" w:rsidR="00C67339" w:rsidRPr="0076703D" w:rsidRDefault="00C67339" w:rsidP="001D5CB4">
            <w:pPr>
              <w:pStyle w:val="ARtabletextright"/>
              <w:spacing w:before="60" w:after="50"/>
            </w:pPr>
            <w:r w:rsidRPr="0076703D">
              <w:rPr>
                <w:color w:val="000000"/>
              </w:rPr>
              <w:t>3</w:t>
            </w:r>
          </w:p>
        </w:tc>
        <w:tc>
          <w:tcPr>
            <w:tcW w:w="316" w:type="pct"/>
            <w:tcBorders>
              <w:top w:val="single" w:sz="4" w:space="0" w:color="auto"/>
              <w:left w:val="nil"/>
              <w:right w:val="nil"/>
            </w:tcBorders>
            <w:shd w:val="clear" w:color="auto" w:fill="E7E6E6"/>
            <w:noWrap/>
          </w:tcPr>
          <w:p w14:paraId="20232C55" w14:textId="77777777" w:rsidR="00C67339" w:rsidRPr="0076703D" w:rsidRDefault="00C67339" w:rsidP="001D5CB4">
            <w:pPr>
              <w:pStyle w:val="ARtabletextright"/>
              <w:spacing w:before="60" w:after="50"/>
            </w:pPr>
            <w:r w:rsidRPr="0076703D">
              <w:rPr>
                <w:color w:val="000000"/>
              </w:rPr>
              <w:t>3</w:t>
            </w:r>
          </w:p>
        </w:tc>
        <w:tc>
          <w:tcPr>
            <w:tcW w:w="368" w:type="pct"/>
            <w:tcBorders>
              <w:top w:val="single" w:sz="4" w:space="0" w:color="auto"/>
              <w:left w:val="nil"/>
              <w:right w:val="nil"/>
            </w:tcBorders>
            <w:shd w:val="clear" w:color="auto" w:fill="E7E6E6"/>
            <w:noWrap/>
          </w:tcPr>
          <w:p w14:paraId="006884C9"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44BAC692" w14:textId="77777777" w:rsidR="00C67339" w:rsidRPr="0076703D" w:rsidRDefault="00C67339" w:rsidP="001D5CB4">
            <w:pPr>
              <w:pStyle w:val="ARtabletextrightbold"/>
              <w:spacing w:before="60" w:after="50"/>
            </w:pPr>
            <w:r w:rsidRPr="0076703D">
              <w:rPr>
                <w:color w:val="000000"/>
              </w:rPr>
              <w:t>6</w:t>
            </w:r>
          </w:p>
        </w:tc>
        <w:tc>
          <w:tcPr>
            <w:tcW w:w="314" w:type="pct"/>
            <w:tcBorders>
              <w:top w:val="single" w:sz="4" w:space="0" w:color="auto"/>
              <w:left w:val="nil"/>
            </w:tcBorders>
            <w:shd w:val="clear" w:color="auto" w:fill="auto"/>
            <w:noWrap/>
          </w:tcPr>
          <w:p w14:paraId="4C60A7AE" w14:textId="77777777" w:rsidR="00C67339" w:rsidRPr="0076703D" w:rsidRDefault="00C67339" w:rsidP="001D5CB4">
            <w:pPr>
              <w:pStyle w:val="ARtabletextright"/>
              <w:spacing w:before="60" w:after="50"/>
            </w:pPr>
            <w:r w:rsidRPr="0076703D">
              <w:rPr>
                <w:color w:val="000000"/>
              </w:rPr>
              <w:t>-1</w:t>
            </w:r>
          </w:p>
        </w:tc>
        <w:tc>
          <w:tcPr>
            <w:tcW w:w="316" w:type="pct"/>
            <w:shd w:val="clear" w:color="auto" w:fill="auto"/>
            <w:noWrap/>
          </w:tcPr>
          <w:p w14:paraId="330DA1DE"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2D078B74"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157DB7C3" w14:textId="77777777" w:rsidR="00C67339" w:rsidRPr="0076703D" w:rsidRDefault="00C67339" w:rsidP="001D5CB4">
            <w:pPr>
              <w:pStyle w:val="ARtabletextrightbold"/>
              <w:spacing w:before="60" w:after="50"/>
            </w:pPr>
            <w:r w:rsidRPr="0076703D">
              <w:rPr>
                <w:color w:val="000000"/>
              </w:rPr>
              <w:t>-1</w:t>
            </w:r>
          </w:p>
        </w:tc>
      </w:tr>
      <w:tr w:rsidR="00C67339" w:rsidRPr="007939DD" w14:paraId="32CE1288" w14:textId="77777777" w:rsidTr="005732E7">
        <w:trPr>
          <w:cantSplit/>
        </w:trPr>
        <w:tc>
          <w:tcPr>
            <w:tcW w:w="1052" w:type="pct"/>
            <w:shd w:val="clear" w:color="auto" w:fill="auto"/>
            <w:noWrap/>
          </w:tcPr>
          <w:p w14:paraId="6B08E1A6" w14:textId="77777777" w:rsidR="00C67339" w:rsidRPr="0076703D" w:rsidRDefault="00C67339" w:rsidP="001D5CB4">
            <w:pPr>
              <w:pStyle w:val="ARtabletext"/>
              <w:spacing w:before="60" w:after="50"/>
            </w:pPr>
            <w:r w:rsidRPr="0076703D">
              <w:rPr>
                <w:color w:val="000000"/>
              </w:rPr>
              <w:t>Greater Metropolitan Cemeteries Trust</w:t>
            </w:r>
          </w:p>
        </w:tc>
        <w:tc>
          <w:tcPr>
            <w:tcW w:w="315" w:type="pct"/>
          </w:tcPr>
          <w:p w14:paraId="4EC581C8" w14:textId="77777777" w:rsidR="00C67339" w:rsidRPr="0076703D" w:rsidRDefault="00C67339" w:rsidP="001D5CB4">
            <w:pPr>
              <w:pStyle w:val="ARtabletextright"/>
              <w:spacing w:before="60" w:after="50"/>
            </w:pPr>
            <w:r w:rsidRPr="0076703D">
              <w:rPr>
                <w:color w:val="000000"/>
              </w:rPr>
              <w:t>3</w:t>
            </w:r>
          </w:p>
        </w:tc>
        <w:tc>
          <w:tcPr>
            <w:tcW w:w="316" w:type="pct"/>
          </w:tcPr>
          <w:p w14:paraId="0A10C5D4" w14:textId="77777777" w:rsidR="00C67339" w:rsidRPr="0076703D" w:rsidRDefault="00C67339" w:rsidP="001D5CB4">
            <w:pPr>
              <w:pStyle w:val="ARtabletextright"/>
              <w:spacing w:before="60" w:after="50"/>
            </w:pPr>
            <w:r w:rsidRPr="0076703D">
              <w:rPr>
                <w:color w:val="000000"/>
              </w:rPr>
              <w:t>3</w:t>
            </w:r>
          </w:p>
        </w:tc>
        <w:tc>
          <w:tcPr>
            <w:tcW w:w="369" w:type="pct"/>
          </w:tcPr>
          <w:p w14:paraId="40820645"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57375E01" w14:textId="77777777" w:rsidR="00C67339" w:rsidRPr="0076703D" w:rsidRDefault="00C67339" w:rsidP="001D5CB4">
            <w:pPr>
              <w:pStyle w:val="ARtabletextrightbold"/>
              <w:spacing w:before="60" w:after="50"/>
            </w:pPr>
            <w:r w:rsidRPr="0076703D">
              <w:rPr>
                <w:color w:val="000000"/>
              </w:rPr>
              <w:t>6</w:t>
            </w:r>
          </w:p>
        </w:tc>
        <w:tc>
          <w:tcPr>
            <w:tcW w:w="316" w:type="pct"/>
            <w:tcBorders>
              <w:top w:val="single" w:sz="4" w:space="0" w:color="auto"/>
              <w:right w:val="nil"/>
            </w:tcBorders>
            <w:shd w:val="clear" w:color="auto" w:fill="E7E6E6"/>
            <w:noWrap/>
          </w:tcPr>
          <w:p w14:paraId="021E3D82" w14:textId="77777777" w:rsidR="00C67339" w:rsidRPr="0076703D" w:rsidRDefault="00C67339" w:rsidP="001D5CB4">
            <w:pPr>
              <w:pStyle w:val="ARtabletextright"/>
              <w:spacing w:before="60" w:after="50"/>
            </w:pPr>
            <w:r w:rsidRPr="0076703D">
              <w:rPr>
                <w:color w:val="000000"/>
              </w:rPr>
              <w:t>4</w:t>
            </w:r>
          </w:p>
        </w:tc>
        <w:tc>
          <w:tcPr>
            <w:tcW w:w="316" w:type="pct"/>
            <w:tcBorders>
              <w:top w:val="single" w:sz="4" w:space="0" w:color="auto"/>
              <w:left w:val="nil"/>
              <w:right w:val="nil"/>
            </w:tcBorders>
            <w:shd w:val="clear" w:color="auto" w:fill="E7E6E6"/>
            <w:noWrap/>
          </w:tcPr>
          <w:p w14:paraId="5D2A6257" w14:textId="77777777" w:rsidR="00C67339" w:rsidRPr="0076703D" w:rsidRDefault="00C67339" w:rsidP="001D5CB4">
            <w:pPr>
              <w:pStyle w:val="ARtabletextright"/>
              <w:spacing w:before="60" w:after="50"/>
            </w:pPr>
            <w:r w:rsidRPr="0076703D">
              <w:rPr>
                <w:color w:val="000000"/>
              </w:rPr>
              <w:t>3</w:t>
            </w:r>
          </w:p>
        </w:tc>
        <w:tc>
          <w:tcPr>
            <w:tcW w:w="368" w:type="pct"/>
            <w:tcBorders>
              <w:top w:val="single" w:sz="4" w:space="0" w:color="auto"/>
              <w:left w:val="nil"/>
              <w:right w:val="nil"/>
            </w:tcBorders>
            <w:shd w:val="clear" w:color="auto" w:fill="E7E6E6"/>
            <w:noWrap/>
          </w:tcPr>
          <w:p w14:paraId="3E0B93B3"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5D2E20AD" w14:textId="77777777" w:rsidR="00C67339" w:rsidRPr="0076703D" w:rsidRDefault="00C67339" w:rsidP="001D5CB4">
            <w:pPr>
              <w:pStyle w:val="ARtabletextrightbold"/>
              <w:spacing w:before="60" w:after="50"/>
            </w:pPr>
            <w:r w:rsidRPr="0076703D">
              <w:rPr>
                <w:color w:val="000000"/>
              </w:rPr>
              <w:t>7</w:t>
            </w:r>
          </w:p>
        </w:tc>
        <w:tc>
          <w:tcPr>
            <w:tcW w:w="314" w:type="pct"/>
            <w:tcBorders>
              <w:top w:val="single" w:sz="4" w:space="0" w:color="auto"/>
              <w:left w:val="nil"/>
            </w:tcBorders>
            <w:shd w:val="clear" w:color="auto" w:fill="auto"/>
            <w:noWrap/>
          </w:tcPr>
          <w:p w14:paraId="4DA88734" w14:textId="77777777" w:rsidR="00C67339" w:rsidRPr="0076703D" w:rsidRDefault="00C67339" w:rsidP="001D5CB4">
            <w:pPr>
              <w:pStyle w:val="ARtabletextright"/>
              <w:spacing w:before="60" w:after="50"/>
            </w:pPr>
            <w:r w:rsidRPr="0076703D">
              <w:rPr>
                <w:color w:val="000000"/>
              </w:rPr>
              <w:t>-1</w:t>
            </w:r>
          </w:p>
        </w:tc>
        <w:tc>
          <w:tcPr>
            <w:tcW w:w="316" w:type="pct"/>
            <w:shd w:val="clear" w:color="auto" w:fill="auto"/>
            <w:noWrap/>
          </w:tcPr>
          <w:p w14:paraId="5557C77B"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238CA19C"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6520B509" w14:textId="77777777" w:rsidR="00C67339" w:rsidRPr="0076703D" w:rsidRDefault="00C67339" w:rsidP="001D5CB4">
            <w:pPr>
              <w:pStyle w:val="ARtabletextrightbold"/>
              <w:spacing w:before="60" w:after="50"/>
            </w:pPr>
            <w:r w:rsidRPr="0076703D">
              <w:rPr>
                <w:color w:val="000000"/>
              </w:rPr>
              <w:t>-1</w:t>
            </w:r>
          </w:p>
        </w:tc>
      </w:tr>
      <w:tr w:rsidR="00C67339" w:rsidRPr="007939DD" w14:paraId="00C04410" w14:textId="77777777" w:rsidTr="005732E7">
        <w:trPr>
          <w:cantSplit/>
        </w:trPr>
        <w:tc>
          <w:tcPr>
            <w:tcW w:w="1052" w:type="pct"/>
            <w:shd w:val="clear" w:color="auto" w:fill="auto"/>
            <w:noWrap/>
          </w:tcPr>
          <w:p w14:paraId="26A9B357" w14:textId="77777777" w:rsidR="00C67339" w:rsidRPr="0076703D" w:rsidRDefault="00C67339" w:rsidP="001D5CB4">
            <w:pPr>
              <w:pStyle w:val="ARtabletext"/>
              <w:spacing w:before="60" w:after="50"/>
            </w:pPr>
            <w:r w:rsidRPr="0076703D">
              <w:rPr>
                <w:color w:val="000000"/>
              </w:rPr>
              <w:t>Health Purchasing Victoria</w:t>
            </w:r>
          </w:p>
        </w:tc>
        <w:tc>
          <w:tcPr>
            <w:tcW w:w="315" w:type="pct"/>
          </w:tcPr>
          <w:p w14:paraId="5751D277" w14:textId="77777777" w:rsidR="00C67339" w:rsidRPr="0076703D" w:rsidRDefault="00C67339" w:rsidP="001D5CB4">
            <w:pPr>
              <w:pStyle w:val="ARtabletextright"/>
              <w:spacing w:before="60" w:after="50"/>
            </w:pPr>
            <w:r w:rsidRPr="0076703D">
              <w:rPr>
                <w:color w:val="000000"/>
              </w:rPr>
              <w:t>2</w:t>
            </w:r>
          </w:p>
        </w:tc>
        <w:tc>
          <w:tcPr>
            <w:tcW w:w="316" w:type="pct"/>
          </w:tcPr>
          <w:p w14:paraId="79041278" w14:textId="77777777" w:rsidR="00C67339" w:rsidRPr="0076703D" w:rsidRDefault="00C67339" w:rsidP="001D5CB4">
            <w:pPr>
              <w:pStyle w:val="ARtabletextright"/>
              <w:spacing w:before="60" w:after="50"/>
            </w:pPr>
            <w:r w:rsidRPr="0076703D">
              <w:rPr>
                <w:color w:val="000000"/>
              </w:rPr>
              <w:t>4</w:t>
            </w:r>
          </w:p>
        </w:tc>
        <w:tc>
          <w:tcPr>
            <w:tcW w:w="369" w:type="pct"/>
          </w:tcPr>
          <w:p w14:paraId="2C456D5F"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7E819F03" w14:textId="77777777" w:rsidR="00C67339" w:rsidRPr="0076703D" w:rsidRDefault="00C67339" w:rsidP="001D5CB4">
            <w:pPr>
              <w:pStyle w:val="ARtabletextrightbold"/>
              <w:spacing w:before="60" w:after="50"/>
            </w:pPr>
            <w:r w:rsidRPr="0076703D">
              <w:rPr>
                <w:color w:val="000000"/>
              </w:rPr>
              <w:t>6</w:t>
            </w:r>
          </w:p>
        </w:tc>
        <w:tc>
          <w:tcPr>
            <w:tcW w:w="316" w:type="pct"/>
            <w:tcBorders>
              <w:top w:val="single" w:sz="4" w:space="0" w:color="auto"/>
              <w:right w:val="nil"/>
            </w:tcBorders>
            <w:shd w:val="clear" w:color="auto" w:fill="E7E6E6"/>
            <w:noWrap/>
          </w:tcPr>
          <w:p w14:paraId="4DBE3D8F" w14:textId="77777777" w:rsidR="00C67339" w:rsidRPr="0076703D" w:rsidRDefault="00C67339" w:rsidP="001D5CB4">
            <w:pPr>
              <w:pStyle w:val="ARtabletextright"/>
              <w:spacing w:before="60" w:after="50"/>
            </w:pPr>
            <w:r w:rsidRPr="0076703D">
              <w:rPr>
                <w:color w:val="000000"/>
              </w:rPr>
              <w:t>2</w:t>
            </w:r>
          </w:p>
        </w:tc>
        <w:tc>
          <w:tcPr>
            <w:tcW w:w="316" w:type="pct"/>
            <w:tcBorders>
              <w:top w:val="single" w:sz="4" w:space="0" w:color="auto"/>
              <w:left w:val="nil"/>
              <w:right w:val="nil"/>
            </w:tcBorders>
            <w:shd w:val="clear" w:color="auto" w:fill="E7E6E6"/>
            <w:noWrap/>
          </w:tcPr>
          <w:p w14:paraId="164C8060" w14:textId="77777777" w:rsidR="00C67339" w:rsidRPr="0076703D" w:rsidRDefault="00C67339" w:rsidP="001D5CB4">
            <w:pPr>
              <w:pStyle w:val="ARtabletextright"/>
              <w:spacing w:before="60" w:after="50"/>
            </w:pPr>
            <w:r w:rsidRPr="0076703D">
              <w:rPr>
                <w:color w:val="000000"/>
              </w:rPr>
              <w:t>4</w:t>
            </w:r>
          </w:p>
        </w:tc>
        <w:tc>
          <w:tcPr>
            <w:tcW w:w="368" w:type="pct"/>
            <w:tcBorders>
              <w:top w:val="single" w:sz="4" w:space="0" w:color="auto"/>
              <w:left w:val="nil"/>
              <w:right w:val="nil"/>
            </w:tcBorders>
            <w:shd w:val="clear" w:color="auto" w:fill="E7E6E6"/>
            <w:noWrap/>
          </w:tcPr>
          <w:p w14:paraId="0FE5AC28"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790A46BB" w14:textId="77777777" w:rsidR="00C67339" w:rsidRPr="0076703D" w:rsidRDefault="00C67339" w:rsidP="001D5CB4">
            <w:pPr>
              <w:pStyle w:val="ARtabletextrightbold"/>
              <w:spacing w:before="60" w:after="50"/>
            </w:pPr>
            <w:r w:rsidRPr="0076703D">
              <w:rPr>
                <w:color w:val="000000"/>
              </w:rPr>
              <w:t>6</w:t>
            </w:r>
          </w:p>
        </w:tc>
        <w:tc>
          <w:tcPr>
            <w:tcW w:w="314" w:type="pct"/>
            <w:tcBorders>
              <w:top w:val="single" w:sz="4" w:space="0" w:color="auto"/>
              <w:left w:val="nil"/>
            </w:tcBorders>
            <w:shd w:val="clear" w:color="auto" w:fill="auto"/>
            <w:noWrap/>
          </w:tcPr>
          <w:p w14:paraId="1A4869B9"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670CA65C"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6B57148D"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06BC4C1A" w14:textId="77777777" w:rsidR="00C67339" w:rsidRPr="0076703D" w:rsidRDefault="00C67339" w:rsidP="001D5CB4">
            <w:pPr>
              <w:pStyle w:val="ARtabletextrightbold"/>
              <w:spacing w:before="60" w:after="50"/>
            </w:pPr>
            <w:r w:rsidRPr="0076703D">
              <w:rPr>
                <w:color w:val="000000"/>
              </w:rPr>
              <w:t>0</w:t>
            </w:r>
          </w:p>
        </w:tc>
      </w:tr>
      <w:tr w:rsidR="00C67339" w:rsidRPr="007939DD" w14:paraId="2CAD342B" w14:textId="77777777" w:rsidTr="005732E7">
        <w:trPr>
          <w:cantSplit/>
        </w:trPr>
        <w:tc>
          <w:tcPr>
            <w:tcW w:w="1052" w:type="pct"/>
            <w:shd w:val="clear" w:color="auto" w:fill="auto"/>
            <w:noWrap/>
          </w:tcPr>
          <w:p w14:paraId="6AFFB948" w14:textId="77777777" w:rsidR="00C67339" w:rsidRPr="0076703D" w:rsidRDefault="00C67339" w:rsidP="001D5CB4">
            <w:pPr>
              <w:pStyle w:val="ARtabletext"/>
              <w:spacing w:before="60" w:after="50"/>
            </w:pPr>
            <w:r w:rsidRPr="0076703D">
              <w:t>Heathcote Health</w:t>
            </w:r>
          </w:p>
        </w:tc>
        <w:tc>
          <w:tcPr>
            <w:tcW w:w="315" w:type="pct"/>
          </w:tcPr>
          <w:p w14:paraId="6F73E415" w14:textId="77777777" w:rsidR="00C67339" w:rsidRPr="0076703D" w:rsidRDefault="00C67339" w:rsidP="001D5CB4">
            <w:pPr>
              <w:pStyle w:val="ARtabletextright"/>
              <w:spacing w:before="60" w:after="50"/>
            </w:pPr>
            <w:r w:rsidRPr="0076703D">
              <w:rPr>
                <w:color w:val="000000"/>
              </w:rPr>
              <w:t>0</w:t>
            </w:r>
          </w:p>
        </w:tc>
        <w:tc>
          <w:tcPr>
            <w:tcW w:w="316" w:type="pct"/>
          </w:tcPr>
          <w:p w14:paraId="4C01F8C8" w14:textId="77777777" w:rsidR="00C67339" w:rsidRPr="0076703D" w:rsidRDefault="00C67339" w:rsidP="001D5CB4">
            <w:pPr>
              <w:pStyle w:val="ARtabletextright"/>
              <w:spacing w:before="60" w:after="50"/>
            </w:pPr>
            <w:r w:rsidRPr="0076703D">
              <w:rPr>
                <w:color w:val="000000"/>
              </w:rPr>
              <w:t>1</w:t>
            </w:r>
          </w:p>
        </w:tc>
        <w:tc>
          <w:tcPr>
            <w:tcW w:w="369" w:type="pct"/>
          </w:tcPr>
          <w:p w14:paraId="02B1F3F1" w14:textId="77777777" w:rsidR="00C67339" w:rsidRPr="0076703D" w:rsidRDefault="00C67339" w:rsidP="001D5CB4">
            <w:pPr>
              <w:pStyle w:val="ARtabletextright"/>
              <w:spacing w:before="60" w:after="50"/>
            </w:pPr>
            <w:r w:rsidRPr="0076703D">
              <w:t>0</w:t>
            </w:r>
          </w:p>
        </w:tc>
        <w:tc>
          <w:tcPr>
            <w:tcW w:w="318" w:type="pct"/>
            <w:shd w:val="clear" w:color="auto" w:fill="auto"/>
            <w:noWrap/>
          </w:tcPr>
          <w:p w14:paraId="7FE80B83"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040E8BD2" w14:textId="77777777" w:rsidR="00C67339" w:rsidRPr="0076703D" w:rsidRDefault="00C67339" w:rsidP="001D5CB4">
            <w:pPr>
              <w:pStyle w:val="ARtabletextright"/>
              <w:spacing w:before="60" w:after="50"/>
            </w:pPr>
            <w:r w:rsidRPr="0076703D">
              <w:t>0</w:t>
            </w:r>
          </w:p>
        </w:tc>
        <w:tc>
          <w:tcPr>
            <w:tcW w:w="316" w:type="pct"/>
            <w:tcBorders>
              <w:top w:val="single" w:sz="4" w:space="0" w:color="auto"/>
              <w:left w:val="nil"/>
              <w:right w:val="nil"/>
            </w:tcBorders>
            <w:shd w:val="clear" w:color="auto" w:fill="E7E6E6"/>
            <w:noWrap/>
          </w:tcPr>
          <w:p w14:paraId="3D1698A2" w14:textId="77777777" w:rsidR="00C67339" w:rsidRPr="0076703D" w:rsidRDefault="00C67339" w:rsidP="001D5CB4">
            <w:pPr>
              <w:pStyle w:val="ARtabletextright"/>
              <w:spacing w:before="60" w:after="50"/>
            </w:pPr>
            <w:r w:rsidRPr="0076703D">
              <w:t>1</w:t>
            </w:r>
          </w:p>
        </w:tc>
        <w:tc>
          <w:tcPr>
            <w:tcW w:w="368" w:type="pct"/>
            <w:tcBorders>
              <w:top w:val="single" w:sz="4" w:space="0" w:color="auto"/>
              <w:left w:val="nil"/>
              <w:right w:val="nil"/>
            </w:tcBorders>
            <w:shd w:val="clear" w:color="auto" w:fill="E7E6E6"/>
            <w:noWrap/>
          </w:tcPr>
          <w:p w14:paraId="26EA522C" w14:textId="77777777" w:rsidR="00C67339" w:rsidRPr="0076703D" w:rsidRDefault="00C67339" w:rsidP="001D5CB4">
            <w:pPr>
              <w:pStyle w:val="ARtabletextright"/>
              <w:spacing w:before="60" w:after="50"/>
            </w:pPr>
            <w:r w:rsidRPr="0076703D">
              <w:t>0</w:t>
            </w:r>
          </w:p>
        </w:tc>
        <w:tc>
          <w:tcPr>
            <w:tcW w:w="318" w:type="pct"/>
            <w:tcBorders>
              <w:top w:val="single" w:sz="4" w:space="0" w:color="auto"/>
              <w:left w:val="nil"/>
              <w:right w:val="nil"/>
            </w:tcBorders>
            <w:shd w:val="clear" w:color="auto" w:fill="E7E6E6"/>
            <w:noWrap/>
          </w:tcPr>
          <w:p w14:paraId="065F3B3A" w14:textId="77777777" w:rsidR="00C67339" w:rsidRPr="0076703D" w:rsidRDefault="00C67339" w:rsidP="001D5CB4">
            <w:pPr>
              <w:pStyle w:val="ARtabletextrightbold"/>
              <w:spacing w:before="60" w:after="50"/>
            </w:pPr>
            <w:r w:rsidRPr="0076703D">
              <w:t>1</w:t>
            </w:r>
          </w:p>
        </w:tc>
        <w:tc>
          <w:tcPr>
            <w:tcW w:w="314" w:type="pct"/>
            <w:tcBorders>
              <w:top w:val="single" w:sz="4" w:space="0" w:color="auto"/>
              <w:left w:val="nil"/>
            </w:tcBorders>
            <w:shd w:val="clear" w:color="auto" w:fill="auto"/>
            <w:noWrap/>
          </w:tcPr>
          <w:p w14:paraId="0E6FE05D"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74FEFD6A"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754CBD19"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1BFF5003" w14:textId="77777777" w:rsidR="00C67339" w:rsidRPr="0076703D" w:rsidRDefault="00C67339" w:rsidP="001D5CB4">
            <w:pPr>
              <w:pStyle w:val="ARtabletextrightbold"/>
              <w:spacing w:before="60" w:after="50"/>
            </w:pPr>
            <w:r w:rsidRPr="0076703D">
              <w:rPr>
                <w:color w:val="000000"/>
              </w:rPr>
              <w:t>0</w:t>
            </w:r>
          </w:p>
        </w:tc>
      </w:tr>
      <w:tr w:rsidR="00C67339" w:rsidRPr="007939DD" w14:paraId="152695A6" w14:textId="77777777" w:rsidTr="005732E7">
        <w:trPr>
          <w:cantSplit/>
        </w:trPr>
        <w:tc>
          <w:tcPr>
            <w:tcW w:w="1052" w:type="pct"/>
            <w:shd w:val="clear" w:color="auto" w:fill="auto"/>
            <w:noWrap/>
          </w:tcPr>
          <w:p w14:paraId="0BB72E7D" w14:textId="77777777" w:rsidR="00C67339" w:rsidRPr="0076703D" w:rsidRDefault="00C67339" w:rsidP="001D5CB4">
            <w:pPr>
              <w:pStyle w:val="ARtabletext"/>
              <w:spacing w:before="60" w:after="50"/>
            </w:pPr>
            <w:r w:rsidRPr="0076703D">
              <w:rPr>
                <w:color w:val="000000"/>
              </w:rPr>
              <w:t>Hepburn Health Service</w:t>
            </w:r>
          </w:p>
        </w:tc>
        <w:tc>
          <w:tcPr>
            <w:tcW w:w="315" w:type="pct"/>
          </w:tcPr>
          <w:p w14:paraId="0D7F3539" w14:textId="77777777" w:rsidR="00C67339" w:rsidRPr="0076703D" w:rsidRDefault="00C67339" w:rsidP="001D5CB4">
            <w:pPr>
              <w:pStyle w:val="ARtabletextright"/>
              <w:spacing w:before="60" w:after="50"/>
            </w:pPr>
            <w:r w:rsidRPr="0076703D">
              <w:rPr>
                <w:color w:val="000000"/>
              </w:rPr>
              <w:t>0</w:t>
            </w:r>
          </w:p>
        </w:tc>
        <w:tc>
          <w:tcPr>
            <w:tcW w:w="316" w:type="pct"/>
          </w:tcPr>
          <w:p w14:paraId="64298DF1" w14:textId="77777777" w:rsidR="00C67339" w:rsidRPr="0076703D" w:rsidRDefault="00C67339" w:rsidP="001D5CB4">
            <w:pPr>
              <w:pStyle w:val="ARtabletextright"/>
              <w:spacing w:before="60" w:after="50"/>
            </w:pPr>
            <w:r w:rsidRPr="0076703D">
              <w:rPr>
                <w:color w:val="000000"/>
              </w:rPr>
              <w:t>0</w:t>
            </w:r>
          </w:p>
        </w:tc>
        <w:tc>
          <w:tcPr>
            <w:tcW w:w="369" w:type="pct"/>
          </w:tcPr>
          <w:p w14:paraId="29374645"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488F983D" w14:textId="77777777" w:rsidR="00C67339" w:rsidRPr="0076703D" w:rsidRDefault="00C67339" w:rsidP="001D5CB4">
            <w:pPr>
              <w:pStyle w:val="ARtabletextrightbold"/>
              <w:spacing w:before="60" w:after="50"/>
            </w:pPr>
            <w:r w:rsidRPr="0076703D">
              <w:rPr>
                <w:color w:val="000000"/>
              </w:rPr>
              <w:t>0</w:t>
            </w:r>
          </w:p>
        </w:tc>
        <w:tc>
          <w:tcPr>
            <w:tcW w:w="316" w:type="pct"/>
            <w:tcBorders>
              <w:top w:val="single" w:sz="4" w:space="0" w:color="auto"/>
              <w:right w:val="nil"/>
            </w:tcBorders>
            <w:shd w:val="clear" w:color="auto" w:fill="E7E6E6"/>
            <w:noWrap/>
          </w:tcPr>
          <w:p w14:paraId="47D02777" w14:textId="77777777" w:rsidR="00C67339" w:rsidRPr="0076703D" w:rsidRDefault="00C67339" w:rsidP="001D5CB4">
            <w:pPr>
              <w:pStyle w:val="ARtabletextright"/>
              <w:spacing w:before="60" w:after="50"/>
            </w:pPr>
            <w:r w:rsidRPr="0076703D">
              <w:rPr>
                <w:color w:val="000000"/>
              </w:rPr>
              <w:t>2</w:t>
            </w:r>
          </w:p>
        </w:tc>
        <w:tc>
          <w:tcPr>
            <w:tcW w:w="316" w:type="pct"/>
            <w:tcBorders>
              <w:top w:val="single" w:sz="4" w:space="0" w:color="auto"/>
              <w:left w:val="nil"/>
              <w:right w:val="nil"/>
            </w:tcBorders>
            <w:shd w:val="clear" w:color="auto" w:fill="E7E6E6"/>
            <w:noWrap/>
          </w:tcPr>
          <w:p w14:paraId="1786C8C4"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28D0B416"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69998243" w14:textId="77777777" w:rsidR="00C67339" w:rsidRPr="0076703D" w:rsidRDefault="00C67339" w:rsidP="001D5CB4">
            <w:pPr>
              <w:pStyle w:val="ARtabletextrightbold"/>
              <w:spacing w:before="60" w:after="50"/>
            </w:pPr>
            <w:r w:rsidRPr="0076703D">
              <w:rPr>
                <w:color w:val="000000"/>
              </w:rPr>
              <w:t>2</w:t>
            </w:r>
          </w:p>
        </w:tc>
        <w:tc>
          <w:tcPr>
            <w:tcW w:w="314" w:type="pct"/>
            <w:tcBorders>
              <w:top w:val="single" w:sz="4" w:space="0" w:color="auto"/>
              <w:left w:val="nil"/>
            </w:tcBorders>
            <w:shd w:val="clear" w:color="auto" w:fill="auto"/>
            <w:noWrap/>
          </w:tcPr>
          <w:p w14:paraId="41272F1D" w14:textId="77777777" w:rsidR="00C67339" w:rsidRPr="0076703D" w:rsidRDefault="00C67339" w:rsidP="001D5CB4">
            <w:pPr>
              <w:pStyle w:val="ARtabletextright"/>
              <w:spacing w:before="60" w:after="50"/>
            </w:pPr>
            <w:r w:rsidRPr="0076703D">
              <w:rPr>
                <w:color w:val="000000"/>
              </w:rPr>
              <w:t>-2</w:t>
            </w:r>
          </w:p>
        </w:tc>
        <w:tc>
          <w:tcPr>
            <w:tcW w:w="316" w:type="pct"/>
            <w:shd w:val="clear" w:color="auto" w:fill="auto"/>
            <w:noWrap/>
          </w:tcPr>
          <w:p w14:paraId="17473F28"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234EB048"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1CCD9054" w14:textId="77777777" w:rsidR="00C67339" w:rsidRPr="0076703D" w:rsidRDefault="00C67339" w:rsidP="001D5CB4">
            <w:pPr>
              <w:pStyle w:val="ARtabletextrightbold"/>
              <w:spacing w:before="60" w:after="50"/>
            </w:pPr>
            <w:r w:rsidRPr="0076703D">
              <w:rPr>
                <w:color w:val="000000"/>
              </w:rPr>
              <w:t>-2</w:t>
            </w:r>
          </w:p>
        </w:tc>
      </w:tr>
      <w:tr w:rsidR="00C67339" w:rsidRPr="007939DD" w14:paraId="3CB60239" w14:textId="77777777" w:rsidTr="005732E7">
        <w:trPr>
          <w:cantSplit/>
        </w:trPr>
        <w:tc>
          <w:tcPr>
            <w:tcW w:w="1052" w:type="pct"/>
            <w:shd w:val="clear" w:color="auto" w:fill="auto"/>
            <w:noWrap/>
          </w:tcPr>
          <w:p w14:paraId="0447BE73" w14:textId="77777777" w:rsidR="00C67339" w:rsidRPr="0076703D" w:rsidRDefault="00C67339" w:rsidP="001D5CB4">
            <w:pPr>
              <w:pStyle w:val="ARtabletext"/>
              <w:spacing w:before="60" w:after="50"/>
            </w:pPr>
            <w:r w:rsidRPr="0076703D">
              <w:rPr>
                <w:color w:val="000000"/>
              </w:rPr>
              <w:t>Hesse Rural Health Service</w:t>
            </w:r>
          </w:p>
        </w:tc>
        <w:tc>
          <w:tcPr>
            <w:tcW w:w="315" w:type="pct"/>
          </w:tcPr>
          <w:p w14:paraId="4F61FDA5" w14:textId="77777777" w:rsidR="00C67339" w:rsidRPr="0076703D" w:rsidRDefault="00C67339" w:rsidP="001D5CB4">
            <w:pPr>
              <w:pStyle w:val="ARtabletextright"/>
              <w:spacing w:before="60" w:after="50"/>
            </w:pPr>
            <w:r w:rsidRPr="0076703D">
              <w:rPr>
                <w:color w:val="000000"/>
              </w:rPr>
              <w:t>0</w:t>
            </w:r>
          </w:p>
        </w:tc>
        <w:tc>
          <w:tcPr>
            <w:tcW w:w="316" w:type="pct"/>
          </w:tcPr>
          <w:p w14:paraId="7D4C81CC" w14:textId="77777777" w:rsidR="00C67339" w:rsidRPr="0076703D" w:rsidRDefault="00C67339" w:rsidP="001D5CB4">
            <w:pPr>
              <w:pStyle w:val="ARtabletextright"/>
              <w:spacing w:before="60" w:after="50"/>
            </w:pPr>
            <w:r w:rsidRPr="0076703D">
              <w:rPr>
                <w:color w:val="000000"/>
              </w:rPr>
              <w:t>1</w:t>
            </w:r>
          </w:p>
        </w:tc>
        <w:tc>
          <w:tcPr>
            <w:tcW w:w="369" w:type="pct"/>
          </w:tcPr>
          <w:p w14:paraId="7B1C6DA9"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0CA7E4A8"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1FFBC90A"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195C4D77"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051496FD"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01F129B4"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1BD97DF0"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01C125BA"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69D10A43"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1383A74D" w14:textId="77777777" w:rsidR="00C67339" w:rsidRPr="0076703D" w:rsidRDefault="00C67339" w:rsidP="001D5CB4">
            <w:pPr>
              <w:pStyle w:val="ARtabletextrightbold"/>
              <w:spacing w:before="60" w:after="50"/>
            </w:pPr>
            <w:r w:rsidRPr="0076703D">
              <w:rPr>
                <w:color w:val="000000"/>
              </w:rPr>
              <w:t>0</w:t>
            </w:r>
          </w:p>
        </w:tc>
      </w:tr>
      <w:tr w:rsidR="00C67339" w:rsidRPr="007939DD" w14:paraId="4FFC889E" w14:textId="77777777" w:rsidTr="005732E7">
        <w:trPr>
          <w:cantSplit/>
        </w:trPr>
        <w:tc>
          <w:tcPr>
            <w:tcW w:w="1052" w:type="pct"/>
            <w:shd w:val="clear" w:color="auto" w:fill="auto"/>
            <w:noWrap/>
          </w:tcPr>
          <w:p w14:paraId="2D8028F6" w14:textId="77777777" w:rsidR="00C67339" w:rsidRPr="0076703D" w:rsidRDefault="00C67339" w:rsidP="001D5CB4">
            <w:pPr>
              <w:pStyle w:val="ARtabletext"/>
              <w:spacing w:before="60" w:after="50"/>
            </w:pPr>
            <w:r w:rsidRPr="0076703D">
              <w:rPr>
                <w:color w:val="000000"/>
              </w:rPr>
              <w:t>Heywood Rural Health</w:t>
            </w:r>
          </w:p>
        </w:tc>
        <w:tc>
          <w:tcPr>
            <w:tcW w:w="315" w:type="pct"/>
          </w:tcPr>
          <w:p w14:paraId="28B0408F" w14:textId="77777777" w:rsidR="00C67339" w:rsidRPr="0076703D" w:rsidRDefault="00C67339" w:rsidP="001D5CB4">
            <w:pPr>
              <w:pStyle w:val="ARtabletextright"/>
              <w:spacing w:before="60" w:after="50"/>
            </w:pPr>
            <w:r w:rsidRPr="0076703D">
              <w:rPr>
                <w:color w:val="000000"/>
              </w:rPr>
              <w:t>1</w:t>
            </w:r>
          </w:p>
        </w:tc>
        <w:tc>
          <w:tcPr>
            <w:tcW w:w="316" w:type="pct"/>
          </w:tcPr>
          <w:p w14:paraId="0CA9639A" w14:textId="77777777" w:rsidR="00C67339" w:rsidRPr="0076703D" w:rsidRDefault="00C67339" w:rsidP="001D5CB4">
            <w:pPr>
              <w:pStyle w:val="ARtabletextright"/>
              <w:spacing w:before="60" w:after="50"/>
            </w:pPr>
            <w:r w:rsidRPr="0076703D">
              <w:rPr>
                <w:color w:val="000000"/>
              </w:rPr>
              <w:t>0</w:t>
            </w:r>
          </w:p>
        </w:tc>
        <w:tc>
          <w:tcPr>
            <w:tcW w:w="369" w:type="pct"/>
          </w:tcPr>
          <w:p w14:paraId="595EC085"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230C834A"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3215609C"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79281962"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1262C734"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7280E071"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552F44FD"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11767428"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0852D8A2"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6D4D77DF" w14:textId="77777777" w:rsidR="00C67339" w:rsidRPr="0076703D" w:rsidRDefault="00C67339" w:rsidP="001D5CB4">
            <w:pPr>
              <w:pStyle w:val="ARtabletextrightbold"/>
              <w:spacing w:before="60" w:after="50"/>
            </w:pPr>
            <w:r w:rsidRPr="0076703D">
              <w:rPr>
                <w:color w:val="000000"/>
              </w:rPr>
              <w:t>0</w:t>
            </w:r>
          </w:p>
        </w:tc>
      </w:tr>
      <w:tr w:rsidR="00C67339" w:rsidRPr="007939DD" w14:paraId="666240EB" w14:textId="77777777" w:rsidTr="005732E7">
        <w:trPr>
          <w:cantSplit/>
        </w:trPr>
        <w:tc>
          <w:tcPr>
            <w:tcW w:w="1052" w:type="pct"/>
            <w:shd w:val="clear" w:color="auto" w:fill="auto"/>
            <w:noWrap/>
          </w:tcPr>
          <w:p w14:paraId="2611F0BD" w14:textId="77777777" w:rsidR="00C67339" w:rsidRPr="0076703D" w:rsidRDefault="00C67339" w:rsidP="001D5CB4">
            <w:pPr>
              <w:pStyle w:val="ARtabletext"/>
              <w:spacing w:before="60" w:after="50"/>
            </w:pPr>
            <w:r w:rsidRPr="0076703D">
              <w:rPr>
                <w:color w:val="000000"/>
              </w:rPr>
              <w:t>Inglewood and Districts Health Service</w:t>
            </w:r>
          </w:p>
        </w:tc>
        <w:tc>
          <w:tcPr>
            <w:tcW w:w="315" w:type="pct"/>
          </w:tcPr>
          <w:p w14:paraId="194D4640" w14:textId="77777777" w:rsidR="00C67339" w:rsidRPr="0076703D" w:rsidRDefault="00C67339" w:rsidP="001D5CB4">
            <w:pPr>
              <w:pStyle w:val="ARtabletextright"/>
              <w:spacing w:before="60" w:after="50"/>
            </w:pPr>
            <w:r w:rsidRPr="0076703D">
              <w:rPr>
                <w:color w:val="000000"/>
              </w:rPr>
              <w:t>1</w:t>
            </w:r>
          </w:p>
        </w:tc>
        <w:tc>
          <w:tcPr>
            <w:tcW w:w="316" w:type="pct"/>
          </w:tcPr>
          <w:p w14:paraId="448CB295" w14:textId="77777777" w:rsidR="00C67339" w:rsidRPr="0076703D" w:rsidRDefault="00C67339" w:rsidP="001D5CB4">
            <w:pPr>
              <w:pStyle w:val="ARtabletextright"/>
              <w:spacing w:before="60" w:after="50"/>
            </w:pPr>
            <w:r w:rsidRPr="0076703D">
              <w:rPr>
                <w:color w:val="000000"/>
              </w:rPr>
              <w:t>0</w:t>
            </w:r>
          </w:p>
        </w:tc>
        <w:tc>
          <w:tcPr>
            <w:tcW w:w="369" w:type="pct"/>
          </w:tcPr>
          <w:p w14:paraId="64ABD3D8"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2EEAFDE1"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081A769C"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7A44F84A"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42F622DF"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77A4A5BE"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027756F9"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37504621"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1D9F3842"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003E0569" w14:textId="77777777" w:rsidR="00C67339" w:rsidRPr="0076703D" w:rsidRDefault="00C67339" w:rsidP="001D5CB4">
            <w:pPr>
              <w:pStyle w:val="ARtabletextrightbold"/>
              <w:spacing w:before="60" w:after="50"/>
            </w:pPr>
            <w:r w:rsidRPr="0076703D">
              <w:rPr>
                <w:color w:val="000000"/>
              </w:rPr>
              <w:t>0</w:t>
            </w:r>
          </w:p>
        </w:tc>
      </w:tr>
      <w:tr w:rsidR="00C67339" w:rsidRPr="007939DD" w14:paraId="55568A82" w14:textId="77777777" w:rsidTr="005732E7">
        <w:trPr>
          <w:cantSplit/>
        </w:trPr>
        <w:tc>
          <w:tcPr>
            <w:tcW w:w="1052" w:type="pct"/>
            <w:shd w:val="clear" w:color="auto" w:fill="auto"/>
            <w:noWrap/>
          </w:tcPr>
          <w:p w14:paraId="626164EA" w14:textId="77777777" w:rsidR="00C67339" w:rsidRPr="0076703D" w:rsidRDefault="00C67339" w:rsidP="001D5CB4">
            <w:pPr>
              <w:pStyle w:val="ARtabletext"/>
              <w:spacing w:before="60" w:after="50"/>
            </w:pPr>
            <w:r w:rsidRPr="0076703D">
              <w:rPr>
                <w:color w:val="000000"/>
              </w:rPr>
              <w:t>Kerang District Health</w:t>
            </w:r>
          </w:p>
        </w:tc>
        <w:tc>
          <w:tcPr>
            <w:tcW w:w="315" w:type="pct"/>
          </w:tcPr>
          <w:p w14:paraId="4D6962A9" w14:textId="77777777" w:rsidR="00C67339" w:rsidRPr="0076703D" w:rsidRDefault="00C67339" w:rsidP="001D5CB4">
            <w:pPr>
              <w:pStyle w:val="ARtabletextright"/>
              <w:spacing w:before="60" w:after="50"/>
            </w:pPr>
            <w:r w:rsidRPr="0076703D">
              <w:rPr>
                <w:color w:val="000000"/>
              </w:rPr>
              <w:t>0</w:t>
            </w:r>
          </w:p>
        </w:tc>
        <w:tc>
          <w:tcPr>
            <w:tcW w:w="316" w:type="pct"/>
          </w:tcPr>
          <w:p w14:paraId="5EFADEAF" w14:textId="77777777" w:rsidR="00C67339" w:rsidRPr="0076703D" w:rsidRDefault="00C67339" w:rsidP="001D5CB4">
            <w:pPr>
              <w:pStyle w:val="ARtabletextright"/>
              <w:spacing w:before="60" w:after="50"/>
            </w:pPr>
            <w:r w:rsidRPr="0076703D">
              <w:rPr>
                <w:color w:val="000000"/>
              </w:rPr>
              <w:t>1</w:t>
            </w:r>
          </w:p>
        </w:tc>
        <w:tc>
          <w:tcPr>
            <w:tcW w:w="369" w:type="pct"/>
          </w:tcPr>
          <w:p w14:paraId="593DD1FD"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33ADBEC3"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2B7C0F3D"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51616D2D"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21A64545"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02BC2D74"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08287643"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134DA7E2"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252E54C6"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7D76E5B0" w14:textId="77777777" w:rsidR="00C67339" w:rsidRPr="0076703D" w:rsidRDefault="00C67339" w:rsidP="001D5CB4">
            <w:pPr>
              <w:pStyle w:val="ARtabletextrightbold"/>
              <w:spacing w:before="60" w:after="50"/>
            </w:pPr>
            <w:r w:rsidRPr="0076703D">
              <w:rPr>
                <w:color w:val="000000"/>
              </w:rPr>
              <w:t>0</w:t>
            </w:r>
          </w:p>
        </w:tc>
      </w:tr>
      <w:tr w:rsidR="00C67339" w:rsidRPr="007939DD" w14:paraId="28C45C58" w14:textId="77777777" w:rsidTr="005732E7">
        <w:trPr>
          <w:cantSplit/>
        </w:trPr>
        <w:tc>
          <w:tcPr>
            <w:tcW w:w="1052" w:type="pct"/>
            <w:shd w:val="clear" w:color="auto" w:fill="auto"/>
            <w:noWrap/>
          </w:tcPr>
          <w:p w14:paraId="740C7F4E" w14:textId="77777777" w:rsidR="00C67339" w:rsidRPr="0076703D" w:rsidRDefault="00C67339" w:rsidP="001D5CB4">
            <w:pPr>
              <w:pStyle w:val="ARtabletext"/>
              <w:spacing w:before="60" w:after="50"/>
            </w:pPr>
            <w:r w:rsidRPr="0076703D">
              <w:rPr>
                <w:color w:val="000000"/>
              </w:rPr>
              <w:t>Kilmore and District Hospital</w:t>
            </w:r>
          </w:p>
        </w:tc>
        <w:tc>
          <w:tcPr>
            <w:tcW w:w="315" w:type="pct"/>
          </w:tcPr>
          <w:p w14:paraId="1E7CCAA0" w14:textId="77777777" w:rsidR="00C67339" w:rsidRPr="0076703D" w:rsidRDefault="00C67339" w:rsidP="001D5CB4">
            <w:pPr>
              <w:pStyle w:val="ARtabletextright"/>
              <w:spacing w:before="60" w:after="50"/>
            </w:pPr>
            <w:r w:rsidRPr="0076703D">
              <w:rPr>
                <w:color w:val="000000"/>
              </w:rPr>
              <w:t>1</w:t>
            </w:r>
          </w:p>
        </w:tc>
        <w:tc>
          <w:tcPr>
            <w:tcW w:w="316" w:type="pct"/>
          </w:tcPr>
          <w:p w14:paraId="34761632" w14:textId="77777777" w:rsidR="00C67339" w:rsidRPr="0076703D" w:rsidRDefault="00C67339" w:rsidP="001D5CB4">
            <w:pPr>
              <w:pStyle w:val="ARtabletextright"/>
              <w:spacing w:before="60" w:after="50"/>
            </w:pPr>
            <w:r w:rsidRPr="0076703D">
              <w:rPr>
                <w:color w:val="000000"/>
              </w:rPr>
              <w:t>0</w:t>
            </w:r>
          </w:p>
        </w:tc>
        <w:tc>
          <w:tcPr>
            <w:tcW w:w="369" w:type="pct"/>
          </w:tcPr>
          <w:p w14:paraId="313E4D3D"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3E25E52B"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4ED56B73"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6C8809E5"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39F07E58"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5A2BBC07"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5AD92C03"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587A5644"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684C4D1C"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52372647" w14:textId="77777777" w:rsidR="00C67339" w:rsidRPr="0076703D" w:rsidRDefault="00C67339" w:rsidP="001D5CB4">
            <w:pPr>
              <w:pStyle w:val="ARtabletextrightbold"/>
              <w:spacing w:before="60" w:after="50"/>
            </w:pPr>
            <w:r w:rsidRPr="0076703D">
              <w:rPr>
                <w:color w:val="000000"/>
              </w:rPr>
              <w:t>0</w:t>
            </w:r>
          </w:p>
        </w:tc>
      </w:tr>
      <w:tr w:rsidR="00C67339" w:rsidRPr="007939DD" w14:paraId="50282FB8" w14:textId="77777777" w:rsidTr="005732E7">
        <w:trPr>
          <w:cantSplit/>
        </w:trPr>
        <w:tc>
          <w:tcPr>
            <w:tcW w:w="1052" w:type="pct"/>
            <w:shd w:val="clear" w:color="auto" w:fill="auto"/>
            <w:noWrap/>
          </w:tcPr>
          <w:p w14:paraId="10175AB0" w14:textId="77777777" w:rsidR="00C67339" w:rsidRPr="0076703D" w:rsidRDefault="00C67339" w:rsidP="001D5CB4">
            <w:pPr>
              <w:pStyle w:val="ARtabletext"/>
              <w:spacing w:before="60" w:after="50"/>
            </w:pPr>
            <w:r w:rsidRPr="0076703D">
              <w:rPr>
                <w:color w:val="000000"/>
              </w:rPr>
              <w:t>Kooweerup Regional Health Service</w:t>
            </w:r>
          </w:p>
        </w:tc>
        <w:tc>
          <w:tcPr>
            <w:tcW w:w="315" w:type="pct"/>
          </w:tcPr>
          <w:p w14:paraId="6AFEC6AF" w14:textId="77777777" w:rsidR="00C67339" w:rsidRPr="0076703D" w:rsidRDefault="00C67339" w:rsidP="001D5CB4">
            <w:pPr>
              <w:pStyle w:val="ARtabletextright"/>
              <w:spacing w:before="60" w:after="50"/>
            </w:pPr>
            <w:r w:rsidRPr="0076703D">
              <w:rPr>
                <w:color w:val="000000"/>
              </w:rPr>
              <w:t>0</w:t>
            </w:r>
          </w:p>
        </w:tc>
        <w:tc>
          <w:tcPr>
            <w:tcW w:w="316" w:type="pct"/>
          </w:tcPr>
          <w:p w14:paraId="4B1922FB" w14:textId="77777777" w:rsidR="00C67339" w:rsidRPr="0076703D" w:rsidRDefault="00C67339" w:rsidP="001D5CB4">
            <w:pPr>
              <w:pStyle w:val="ARtabletextright"/>
              <w:spacing w:before="60" w:after="50"/>
            </w:pPr>
            <w:r w:rsidRPr="0076703D">
              <w:rPr>
                <w:color w:val="000000"/>
              </w:rPr>
              <w:t>1</w:t>
            </w:r>
          </w:p>
        </w:tc>
        <w:tc>
          <w:tcPr>
            <w:tcW w:w="369" w:type="pct"/>
          </w:tcPr>
          <w:p w14:paraId="1E5FD752"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5DD419FD"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2CF5D767"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6E5551BF"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5A2E0997"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3332D3C7"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3FF33EAD"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71B85454"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4788006B"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4784E3E9" w14:textId="77777777" w:rsidR="00C67339" w:rsidRPr="0076703D" w:rsidRDefault="00C67339" w:rsidP="001D5CB4">
            <w:pPr>
              <w:pStyle w:val="ARtabletextrightbold"/>
              <w:spacing w:before="60" w:after="50"/>
            </w:pPr>
            <w:r w:rsidRPr="0076703D">
              <w:rPr>
                <w:color w:val="000000"/>
              </w:rPr>
              <w:t>0</w:t>
            </w:r>
          </w:p>
        </w:tc>
      </w:tr>
      <w:tr w:rsidR="00C67339" w:rsidRPr="007939DD" w14:paraId="1494E912" w14:textId="77777777" w:rsidTr="005732E7">
        <w:trPr>
          <w:cantSplit/>
        </w:trPr>
        <w:tc>
          <w:tcPr>
            <w:tcW w:w="1052" w:type="pct"/>
            <w:shd w:val="clear" w:color="auto" w:fill="auto"/>
            <w:noWrap/>
          </w:tcPr>
          <w:p w14:paraId="30BB8A06" w14:textId="77777777" w:rsidR="00C67339" w:rsidRPr="0076703D" w:rsidRDefault="00C67339" w:rsidP="001D5CB4">
            <w:pPr>
              <w:pStyle w:val="ARtabletext"/>
              <w:spacing w:before="60" w:after="50"/>
            </w:pPr>
            <w:r w:rsidRPr="0076703D">
              <w:rPr>
                <w:color w:val="000000"/>
              </w:rPr>
              <w:t>Kyabram and District Health Services</w:t>
            </w:r>
          </w:p>
        </w:tc>
        <w:tc>
          <w:tcPr>
            <w:tcW w:w="315" w:type="pct"/>
          </w:tcPr>
          <w:p w14:paraId="25AADC67" w14:textId="77777777" w:rsidR="00C67339" w:rsidRPr="0076703D" w:rsidRDefault="00C67339" w:rsidP="001D5CB4">
            <w:pPr>
              <w:pStyle w:val="ARtabletextright"/>
              <w:spacing w:before="60" w:after="50"/>
            </w:pPr>
            <w:r w:rsidRPr="0076703D">
              <w:rPr>
                <w:color w:val="000000"/>
              </w:rPr>
              <w:t>0</w:t>
            </w:r>
          </w:p>
        </w:tc>
        <w:tc>
          <w:tcPr>
            <w:tcW w:w="316" w:type="pct"/>
          </w:tcPr>
          <w:p w14:paraId="26D61531" w14:textId="77777777" w:rsidR="00C67339" w:rsidRPr="0076703D" w:rsidRDefault="00C67339" w:rsidP="001D5CB4">
            <w:pPr>
              <w:pStyle w:val="ARtabletextright"/>
              <w:spacing w:before="60" w:after="50"/>
            </w:pPr>
            <w:r w:rsidRPr="0076703D">
              <w:rPr>
                <w:color w:val="000000"/>
              </w:rPr>
              <w:t>0</w:t>
            </w:r>
          </w:p>
        </w:tc>
        <w:tc>
          <w:tcPr>
            <w:tcW w:w="369" w:type="pct"/>
          </w:tcPr>
          <w:p w14:paraId="7DF7ADFF"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21DB0E7E" w14:textId="77777777" w:rsidR="00C67339" w:rsidRPr="0076703D" w:rsidRDefault="00C67339" w:rsidP="001D5CB4">
            <w:pPr>
              <w:pStyle w:val="ARtabletextrightbold"/>
              <w:spacing w:before="60" w:after="50"/>
            </w:pPr>
            <w:r w:rsidRPr="0076703D">
              <w:rPr>
                <w:color w:val="000000"/>
              </w:rPr>
              <w:t>0</w:t>
            </w:r>
          </w:p>
        </w:tc>
        <w:tc>
          <w:tcPr>
            <w:tcW w:w="316" w:type="pct"/>
            <w:tcBorders>
              <w:top w:val="single" w:sz="4" w:space="0" w:color="auto"/>
              <w:right w:val="nil"/>
            </w:tcBorders>
            <w:shd w:val="clear" w:color="auto" w:fill="E7E6E6"/>
            <w:noWrap/>
          </w:tcPr>
          <w:p w14:paraId="6BC7BF2E"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68FE2585"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78F24909"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01E8E9CA"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5F5DA640"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26BFC41D" w14:textId="77777777" w:rsidR="00C67339" w:rsidRPr="0076703D" w:rsidRDefault="00C67339" w:rsidP="001D5CB4">
            <w:pPr>
              <w:pStyle w:val="ARtabletextright"/>
              <w:spacing w:before="60" w:after="50"/>
            </w:pPr>
            <w:r w:rsidRPr="0076703D">
              <w:rPr>
                <w:color w:val="000000"/>
              </w:rPr>
              <w:t>-1</w:t>
            </w:r>
          </w:p>
        </w:tc>
        <w:tc>
          <w:tcPr>
            <w:tcW w:w="368" w:type="pct"/>
            <w:shd w:val="clear" w:color="auto" w:fill="auto"/>
            <w:noWrap/>
          </w:tcPr>
          <w:p w14:paraId="25D3555E"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377EBFE8" w14:textId="77777777" w:rsidR="00C67339" w:rsidRPr="0076703D" w:rsidRDefault="00C67339" w:rsidP="001D5CB4">
            <w:pPr>
              <w:pStyle w:val="ARtabletextrightbold"/>
              <w:spacing w:before="60" w:after="50"/>
            </w:pPr>
            <w:r w:rsidRPr="0076703D">
              <w:rPr>
                <w:color w:val="000000"/>
              </w:rPr>
              <w:t>-1</w:t>
            </w:r>
          </w:p>
        </w:tc>
      </w:tr>
      <w:tr w:rsidR="00C67339" w:rsidRPr="007939DD" w14:paraId="4F6EE07B" w14:textId="77777777" w:rsidTr="005732E7">
        <w:trPr>
          <w:cantSplit/>
        </w:trPr>
        <w:tc>
          <w:tcPr>
            <w:tcW w:w="1052" w:type="pct"/>
            <w:shd w:val="clear" w:color="auto" w:fill="auto"/>
            <w:noWrap/>
          </w:tcPr>
          <w:p w14:paraId="2FBE1D73" w14:textId="77777777" w:rsidR="00C67339" w:rsidRPr="0076703D" w:rsidRDefault="00C67339" w:rsidP="001D5CB4">
            <w:pPr>
              <w:pStyle w:val="ARtabletext"/>
              <w:spacing w:before="60" w:after="50"/>
            </w:pPr>
            <w:r w:rsidRPr="0076703D">
              <w:rPr>
                <w:color w:val="000000"/>
              </w:rPr>
              <w:t>Kyneton District Health Service</w:t>
            </w:r>
          </w:p>
        </w:tc>
        <w:tc>
          <w:tcPr>
            <w:tcW w:w="315" w:type="pct"/>
          </w:tcPr>
          <w:p w14:paraId="2B7C8A50" w14:textId="77777777" w:rsidR="00C67339" w:rsidRPr="0076703D" w:rsidRDefault="00C67339" w:rsidP="001D5CB4">
            <w:pPr>
              <w:pStyle w:val="ARtabletextright"/>
              <w:spacing w:before="60" w:after="50"/>
            </w:pPr>
            <w:r w:rsidRPr="0076703D">
              <w:rPr>
                <w:color w:val="000000"/>
              </w:rPr>
              <w:t>1</w:t>
            </w:r>
          </w:p>
        </w:tc>
        <w:tc>
          <w:tcPr>
            <w:tcW w:w="316" w:type="pct"/>
          </w:tcPr>
          <w:p w14:paraId="63D2E81E" w14:textId="77777777" w:rsidR="00C67339" w:rsidRPr="0076703D" w:rsidRDefault="00C67339" w:rsidP="001D5CB4">
            <w:pPr>
              <w:pStyle w:val="ARtabletextright"/>
              <w:spacing w:before="60" w:after="50"/>
            </w:pPr>
            <w:r w:rsidRPr="0076703D">
              <w:rPr>
                <w:color w:val="000000"/>
              </w:rPr>
              <w:t>0</w:t>
            </w:r>
          </w:p>
        </w:tc>
        <w:tc>
          <w:tcPr>
            <w:tcW w:w="369" w:type="pct"/>
          </w:tcPr>
          <w:p w14:paraId="2D1FA48F"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31F8DDBD"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335F62B1"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6D5A01A1"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30FD7BD2"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0783E45C"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69DC5252"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444EF6C5"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245DBB62"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3AEA73F2" w14:textId="77777777" w:rsidR="00C67339" w:rsidRPr="0076703D" w:rsidRDefault="00C67339" w:rsidP="001D5CB4">
            <w:pPr>
              <w:pStyle w:val="ARtabletextrightbold"/>
              <w:spacing w:before="60" w:after="50"/>
            </w:pPr>
            <w:r w:rsidRPr="0076703D">
              <w:rPr>
                <w:color w:val="000000"/>
              </w:rPr>
              <w:t>0</w:t>
            </w:r>
          </w:p>
        </w:tc>
      </w:tr>
      <w:tr w:rsidR="00C67339" w:rsidRPr="007939DD" w14:paraId="4AE79C9B" w14:textId="77777777" w:rsidTr="005732E7">
        <w:trPr>
          <w:cantSplit/>
        </w:trPr>
        <w:tc>
          <w:tcPr>
            <w:tcW w:w="1052" w:type="pct"/>
            <w:tcBorders>
              <w:bottom w:val="single" w:sz="4" w:space="0" w:color="auto"/>
            </w:tcBorders>
            <w:shd w:val="clear" w:color="auto" w:fill="auto"/>
            <w:noWrap/>
          </w:tcPr>
          <w:p w14:paraId="6BA6B928" w14:textId="77777777" w:rsidR="00C67339" w:rsidRPr="0076703D" w:rsidRDefault="00C67339" w:rsidP="001D5CB4">
            <w:pPr>
              <w:pStyle w:val="ARtabletext"/>
              <w:spacing w:before="60" w:after="50"/>
            </w:pPr>
            <w:r w:rsidRPr="0076703D">
              <w:rPr>
                <w:color w:val="000000"/>
              </w:rPr>
              <w:t>Latrobe Regional Hospital</w:t>
            </w:r>
          </w:p>
        </w:tc>
        <w:tc>
          <w:tcPr>
            <w:tcW w:w="315" w:type="pct"/>
            <w:tcBorders>
              <w:bottom w:val="single" w:sz="4" w:space="0" w:color="auto"/>
            </w:tcBorders>
          </w:tcPr>
          <w:p w14:paraId="761A11A3" w14:textId="77777777" w:rsidR="00C67339" w:rsidRPr="0076703D" w:rsidRDefault="00C67339" w:rsidP="001D5CB4">
            <w:pPr>
              <w:pStyle w:val="ARtabletextright"/>
              <w:spacing w:before="60" w:after="50"/>
            </w:pPr>
            <w:r w:rsidRPr="0076703D">
              <w:rPr>
                <w:color w:val="000000"/>
              </w:rPr>
              <w:t>2</w:t>
            </w:r>
          </w:p>
        </w:tc>
        <w:tc>
          <w:tcPr>
            <w:tcW w:w="316" w:type="pct"/>
            <w:tcBorders>
              <w:bottom w:val="single" w:sz="4" w:space="0" w:color="auto"/>
            </w:tcBorders>
          </w:tcPr>
          <w:p w14:paraId="61239FCF" w14:textId="77777777" w:rsidR="00C67339" w:rsidRPr="0076703D" w:rsidRDefault="00C67339" w:rsidP="001D5CB4">
            <w:pPr>
              <w:pStyle w:val="ARtabletextright"/>
              <w:spacing w:before="60" w:after="50"/>
            </w:pPr>
            <w:r w:rsidRPr="0076703D">
              <w:rPr>
                <w:color w:val="000000"/>
              </w:rPr>
              <w:t>5</w:t>
            </w:r>
          </w:p>
        </w:tc>
        <w:tc>
          <w:tcPr>
            <w:tcW w:w="369" w:type="pct"/>
            <w:tcBorders>
              <w:bottom w:val="single" w:sz="4" w:space="0" w:color="auto"/>
            </w:tcBorders>
          </w:tcPr>
          <w:p w14:paraId="2EB6C34F" w14:textId="77777777" w:rsidR="00C67339" w:rsidRPr="0076703D" w:rsidRDefault="00C67339" w:rsidP="001D5CB4">
            <w:pPr>
              <w:pStyle w:val="ARtabletextright"/>
              <w:spacing w:before="60" w:after="50"/>
            </w:pPr>
            <w:r w:rsidRPr="0076703D">
              <w:rPr>
                <w:color w:val="000000"/>
              </w:rPr>
              <w:t>0</w:t>
            </w:r>
          </w:p>
        </w:tc>
        <w:tc>
          <w:tcPr>
            <w:tcW w:w="318" w:type="pct"/>
            <w:tcBorders>
              <w:bottom w:val="single" w:sz="4" w:space="0" w:color="auto"/>
            </w:tcBorders>
            <w:shd w:val="clear" w:color="auto" w:fill="auto"/>
            <w:noWrap/>
          </w:tcPr>
          <w:p w14:paraId="346F71E3" w14:textId="77777777" w:rsidR="00C67339" w:rsidRPr="0076703D" w:rsidRDefault="00C67339" w:rsidP="001D5CB4">
            <w:pPr>
              <w:pStyle w:val="ARtabletextrightbold"/>
              <w:spacing w:before="60" w:after="50"/>
            </w:pPr>
            <w:r w:rsidRPr="0076703D">
              <w:rPr>
                <w:color w:val="000000"/>
              </w:rPr>
              <w:t>7</w:t>
            </w:r>
          </w:p>
        </w:tc>
        <w:tc>
          <w:tcPr>
            <w:tcW w:w="316" w:type="pct"/>
            <w:tcBorders>
              <w:top w:val="single" w:sz="4" w:space="0" w:color="auto"/>
              <w:bottom w:val="single" w:sz="4" w:space="0" w:color="auto"/>
              <w:right w:val="nil"/>
            </w:tcBorders>
            <w:shd w:val="clear" w:color="auto" w:fill="E7E6E6"/>
            <w:noWrap/>
          </w:tcPr>
          <w:p w14:paraId="3270D02E" w14:textId="77777777" w:rsidR="00C67339" w:rsidRPr="0076703D" w:rsidRDefault="00C67339" w:rsidP="001D5CB4">
            <w:pPr>
              <w:pStyle w:val="ARtabletextright"/>
              <w:spacing w:before="60" w:after="50"/>
            </w:pPr>
            <w:r w:rsidRPr="0076703D">
              <w:rPr>
                <w:color w:val="000000"/>
              </w:rPr>
              <w:t>2</w:t>
            </w:r>
          </w:p>
        </w:tc>
        <w:tc>
          <w:tcPr>
            <w:tcW w:w="316" w:type="pct"/>
            <w:tcBorders>
              <w:top w:val="single" w:sz="4" w:space="0" w:color="auto"/>
              <w:left w:val="nil"/>
              <w:bottom w:val="single" w:sz="4" w:space="0" w:color="auto"/>
              <w:right w:val="nil"/>
            </w:tcBorders>
            <w:shd w:val="clear" w:color="auto" w:fill="E7E6E6"/>
            <w:noWrap/>
          </w:tcPr>
          <w:p w14:paraId="2CEF4FD3" w14:textId="77777777" w:rsidR="00C67339" w:rsidRPr="0076703D" w:rsidRDefault="00C67339" w:rsidP="001D5CB4">
            <w:pPr>
              <w:pStyle w:val="ARtabletextright"/>
              <w:spacing w:before="60" w:after="50"/>
            </w:pPr>
            <w:r w:rsidRPr="0076703D">
              <w:rPr>
                <w:color w:val="000000"/>
              </w:rPr>
              <w:t>4</w:t>
            </w:r>
          </w:p>
        </w:tc>
        <w:tc>
          <w:tcPr>
            <w:tcW w:w="368" w:type="pct"/>
            <w:tcBorders>
              <w:top w:val="single" w:sz="4" w:space="0" w:color="auto"/>
              <w:left w:val="nil"/>
              <w:bottom w:val="single" w:sz="4" w:space="0" w:color="auto"/>
              <w:right w:val="nil"/>
            </w:tcBorders>
            <w:shd w:val="clear" w:color="auto" w:fill="E7E6E6"/>
            <w:noWrap/>
          </w:tcPr>
          <w:p w14:paraId="73D626B1"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bottom w:val="single" w:sz="4" w:space="0" w:color="auto"/>
              <w:right w:val="nil"/>
            </w:tcBorders>
            <w:shd w:val="clear" w:color="auto" w:fill="E7E6E6"/>
            <w:noWrap/>
          </w:tcPr>
          <w:p w14:paraId="79975AB8" w14:textId="77777777" w:rsidR="00C67339" w:rsidRPr="0076703D" w:rsidRDefault="00C67339" w:rsidP="001D5CB4">
            <w:pPr>
              <w:pStyle w:val="ARtabletextrightbold"/>
              <w:spacing w:before="60" w:after="50"/>
            </w:pPr>
            <w:r w:rsidRPr="0076703D">
              <w:rPr>
                <w:color w:val="000000"/>
              </w:rPr>
              <w:t>6</w:t>
            </w:r>
          </w:p>
        </w:tc>
        <w:tc>
          <w:tcPr>
            <w:tcW w:w="314" w:type="pct"/>
            <w:tcBorders>
              <w:top w:val="single" w:sz="4" w:space="0" w:color="auto"/>
              <w:left w:val="nil"/>
              <w:bottom w:val="single" w:sz="4" w:space="0" w:color="auto"/>
            </w:tcBorders>
            <w:shd w:val="clear" w:color="auto" w:fill="auto"/>
            <w:noWrap/>
          </w:tcPr>
          <w:p w14:paraId="3E803FF4" w14:textId="77777777" w:rsidR="00C67339" w:rsidRPr="0076703D" w:rsidRDefault="00C67339" w:rsidP="001D5CB4">
            <w:pPr>
              <w:pStyle w:val="ARtabletextright"/>
              <w:spacing w:before="60" w:after="50"/>
            </w:pPr>
            <w:r w:rsidRPr="0076703D">
              <w:rPr>
                <w:color w:val="000000"/>
              </w:rPr>
              <w:t>0</w:t>
            </w:r>
          </w:p>
        </w:tc>
        <w:tc>
          <w:tcPr>
            <w:tcW w:w="316" w:type="pct"/>
            <w:tcBorders>
              <w:bottom w:val="single" w:sz="4" w:space="0" w:color="auto"/>
            </w:tcBorders>
            <w:shd w:val="clear" w:color="auto" w:fill="auto"/>
            <w:noWrap/>
          </w:tcPr>
          <w:p w14:paraId="592237E6" w14:textId="77777777" w:rsidR="00C67339" w:rsidRPr="0076703D" w:rsidRDefault="00C67339" w:rsidP="001D5CB4">
            <w:pPr>
              <w:pStyle w:val="ARtabletextright"/>
              <w:spacing w:before="60" w:after="50"/>
            </w:pPr>
            <w:r w:rsidRPr="0076703D">
              <w:rPr>
                <w:color w:val="000000"/>
              </w:rPr>
              <w:t>1</w:t>
            </w:r>
          </w:p>
        </w:tc>
        <w:tc>
          <w:tcPr>
            <w:tcW w:w="368" w:type="pct"/>
            <w:tcBorders>
              <w:bottom w:val="single" w:sz="4" w:space="0" w:color="auto"/>
            </w:tcBorders>
            <w:shd w:val="clear" w:color="auto" w:fill="auto"/>
            <w:noWrap/>
          </w:tcPr>
          <w:p w14:paraId="10C75E9B" w14:textId="77777777" w:rsidR="00C67339" w:rsidRPr="0076703D" w:rsidRDefault="00C67339" w:rsidP="001D5CB4">
            <w:pPr>
              <w:pStyle w:val="ARtabletextright"/>
              <w:spacing w:before="60" w:after="50"/>
            </w:pPr>
            <w:r w:rsidRPr="0076703D">
              <w:rPr>
                <w:color w:val="000000"/>
              </w:rPr>
              <w:t>0</w:t>
            </w:r>
          </w:p>
        </w:tc>
        <w:tc>
          <w:tcPr>
            <w:tcW w:w="313" w:type="pct"/>
            <w:tcBorders>
              <w:bottom w:val="single" w:sz="4" w:space="0" w:color="auto"/>
            </w:tcBorders>
            <w:shd w:val="clear" w:color="auto" w:fill="auto"/>
            <w:noWrap/>
          </w:tcPr>
          <w:p w14:paraId="4B8510F0" w14:textId="77777777" w:rsidR="00C67339" w:rsidRPr="0076703D" w:rsidRDefault="00C67339" w:rsidP="001D5CB4">
            <w:pPr>
              <w:pStyle w:val="ARtabletextrightbold"/>
              <w:spacing w:before="60" w:after="50"/>
            </w:pPr>
            <w:r w:rsidRPr="0076703D">
              <w:rPr>
                <w:color w:val="000000"/>
              </w:rPr>
              <w:t>1</w:t>
            </w:r>
          </w:p>
        </w:tc>
      </w:tr>
      <w:tr w:rsidR="00C67339" w:rsidRPr="007939DD" w14:paraId="4D7624CA" w14:textId="77777777" w:rsidTr="005732E7">
        <w:trPr>
          <w:cantSplit/>
        </w:trPr>
        <w:tc>
          <w:tcPr>
            <w:tcW w:w="1052" w:type="pct"/>
            <w:tcBorders>
              <w:top w:val="single" w:sz="4" w:space="0" w:color="auto"/>
              <w:bottom w:val="single" w:sz="4" w:space="0" w:color="auto"/>
            </w:tcBorders>
            <w:shd w:val="clear" w:color="auto" w:fill="auto"/>
            <w:noWrap/>
          </w:tcPr>
          <w:p w14:paraId="326FC2D9" w14:textId="77777777" w:rsidR="00C67339" w:rsidRPr="0076703D" w:rsidRDefault="00C67339" w:rsidP="001D5CB4">
            <w:pPr>
              <w:pStyle w:val="ARtabletext"/>
              <w:spacing w:before="60" w:after="50"/>
            </w:pPr>
            <w:r w:rsidRPr="0076703D">
              <w:rPr>
                <w:color w:val="000000"/>
              </w:rPr>
              <w:t>Lorne Community Hospital</w:t>
            </w:r>
          </w:p>
        </w:tc>
        <w:tc>
          <w:tcPr>
            <w:tcW w:w="315" w:type="pct"/>
            <w:tcBorders>
              <w:top w:val="single" w:sz="4" w:space="0" w:color="auto"/>
              <w:bottom w:val="single" w:sz="4" w:space="0" w:color="auto"/>
            </w:tcBorders>
          </w:tcPr>
          <w:p w14:paraId="0492BED3"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bottom w:val="single" w:sz="4" w:space="0" w:color="auto"/>
            </w:tcBorders>
          </w:tcPr>
          <w:p w14:paraId="0CAF5CC7" w14:textId="77777777" w:rsidR="00C67339" w:rsidRPr="0076703D" w:rsidRDefault="00C67339" w:rsidP="001D5CB4">
            <w:pPr>
              <w:pStyle w:val="ARtabletextright"/>
              <w:spacing w:before="60" w:after="50"/>
            </w:pPr>
            <w:r w:rsidRPr="0076703D">
              <w:rPr>
                <w:color w:val="000000"/>
              </w:rPr>
              <w:t>0</w:t>
            </w:r>
          </w:p>
        </w:tc>
        <w:tc>
          <w:tcPr>
            <w:tcW w:w="369" w:type="pct"/>
            <w:tcBorders>
              <w:top w:val="single" w:sz="4" w:space="0" w:color="auto"/>
              <w:bottom w:val="single" w:sz="4" w:space="0" w:color="auto"/>
            </w:tcBorders>
          </w:tcPr>
          <w:p w14:paraId="3E86F3A4"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bottom w:val="single" w:sz="4" w:space="0" w:color="auto"/>
            </w:tcBorders>
            <w:shd w:val="clear" w:color="auto" w:fill="auto"/>
            <w:noWrap/>
          </w:tcPr>
          <w:p w14:paraId="5A3DC101"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bottom w:val="single" w:sz="4" w:space="0" w:color="auto"/>
              <w:right w:val="nil"/>
            </w:tcBorders>
            <w:shd w:val="clear" w:color="auto" w:fill="E7E6E6"/>
            <w:noWrap/>
          </w:tcPr>
          <w:p w14:paraId="0E2228D2"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bottom w:val="single" w:sz="4" w:space="0" w:color="auto"/>
              <w:right w:val="nil"/>
            </w:tcBorders>
            <w:shd w:val="clear" w:color="auto" w:fill="E7E6E6"/>
            <w:noWrap/>
          </w:tcPr>
          <w:p w14:paraId="4F84B184"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bottom w:val="single" w:sz="4" w:space="0" w:color="auto"/>
              <w:right w:val="nil"/>
            </w:tcBorders>
            <w:shd w:val="clear" w:color="auto" w:fill="E7E6E6"/>
            <w:noWrap/>
          </w:tcPr>
          <w:p w14:paraId="309AFBC2"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bottom w:val="single" w:sz="4" w:space="0" w:color="auto"/>
              <w:right w:val="nil"/>
            </w:tcBorders>
            <w:shd w:val="clear" w:color="auto" w:fill="E7E6E6"/>
            <w:noWrap/>
          </w:tcPr>
          <w:p w14:paraId="44B8FD0B"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bottom w:val="single" w:sz="4" w:space="0" w:color="auto"/>
            </w:tcBorders>
            <w:shd w:val="clear" w:color="auto" w:fill="auto"/>
            <w:noWrap/>
          </w:tcPr>
          <w:p w14:paraId="07D07859"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bottom w:val="single" w:sz="4" w:space="0" w:color="auto"/>
            </w:tcBorders>
            <w:shd w:val="clear" w:color="auto" w:fill="auto"/>
            <w:noWrap/>
          </w:tcPr>
          <w:p w14:paraId="63A5B0A4"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bottom w:val="single" w:sz="4" w:space="0" w:color="auto"/>
            </w:tcBorders>
            <w:shd w:val="clear" w:color="auto" w:fill="auto"/>
            <w:noWrap/>
          </w:tcPr>
          <w:p w14:paraId="66767A43" w14:textId="77777777" w:rsidR="00C67339" w:rsidRPr="0076703D" w:rsidRDefault="00C67339" w:rsidP="001D5CB4">
            <w:pPr>
              <w:pStyle w:val="ARtabletextright"/>
              <w:spacing w:before="60" w:after="50"/>
            </w:pPr>
            <w:r w:rsidRPr="0076703D">
              <w:rPr>
                <w:color w:val="000000"/>
              </w:rPr>
              <w:t>0</w:t>
            </w:r>
          </w:p>
        </w:tc>
        <w:tc>
          <w:tcPr>
            <w:tcW w:w="313" w:type="pct"/>
            <w:tcBorders>
              <w:top w:val="single" w:sz="4" w:space="0" w:color="auto"/>
              <w:bottom w:val="single" w:sz="4" w:space="0" w:color="auto"/>
            </w:tcBorders>
            <w:shd w:val="clear" w:color="auto" w:fill="auto"/>
            <w:noWrap/>
          </w:tcPr>
          <w:p w14:paraId="6A3D51C0" w14:textId="77777777" w:rsidR="00C67339" w:rsidRPr="0076703D" w:rsidRDefault="00C67339" w:rsidP="001D5CB4">
            <w:pPr>
              <w:pStyle w:val="ARtabletextrightbold"/>
              <w:spacing w:before="60" w:after="50"/>
            </w:pPr>
            <w:r w:rsidRPr="0076703D">
              <w:rPr>
                <w:color w:val="000000"/>
              </w:rPr>
              <w:t>0</w:t>
            </w:r>
          </w:p>
        </w:tc>
      </w:tr>
      <w:tr w:rsidR="00C67339" w:rsidRPr="007939DD" w14:paraId="075E6EA2" w14:textId="77777777" w:rsidTr="005732E7">
        <w:trPr>
          <w:cantSplit/>
        </w:trPr>
        <w:tc>
          <w:tcPr>
            <w:tcW w:w="1052" w:type="pct"/>
            <w:tcBorders>
              <w:top w:val="single" w:sz="4" w:space="0" w:color="auto"/>
            </w:tcBorders>
            <w:shd w:val="clear" w:color="auto" w:fill="auto"/>
            <w:noWrap/>
          </w:tcPr>
          <w:p w14:paraId="486E44C1" w14:textId="77777777" w:rsidR="00C67339" w:rsidRPr="0076703D" w:rsidRDefault="00C67339" w:rsidP="001D5CB4">
            <w:pPr>
              <w:pStyle w:val="ARtabletext"/>
              <w:spacing w:before="60" w:after="50"/>
            </w:pPr>
            <w:r w:rsidRPr="0076703D">
              <w:rPr>
                <w:color w:val="000000"/>
              </w:rPr>
              <w:t>Maldon Hospital</w:t>
            </w:r>
          </w:p>
        </w:tc>
        <w:tc>
          <w:tcPr>
            <w:tcW w:w="315" w:type="pct"/>
            <w:tcBorders>
              <w:top w:val="single" w:sz="4" w:space="0" w:color="auto"/>
            </w:tcBorders>
          </w:tcPr>
          <w:p w14:paraId="4950851E"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tcBorders>
          </w:tcPr>
          <w:p w14:paraId="310FA40B" w14:textId="77777777" w:rsidR="00C67339" w:rsidRPr="0076703D" w:rsidRDefault="00C67339" w:rsidP="001D5CB4">
            <w:pPr>
              <w:pStyle w:val="ARtabletextright"/>
              <w:spacing w:before="60" w:after="50"/>
            </w:pPr>
            <w:r w:rsidRPr="0076703D">
              <w:rPr>
                <w:color w:val="000000"/>
              </w:rPr>
              <w:t>0</w:t>
            </w:r>
          </w:p>
        </w:tc>
        <w:tc>
          <w:tcPr>
            <w:tcW w:w="369" w:type="pct"/>
            <w:tcBorders>
              <w:top w:val="single" w:sz="4" w:space="0" w:color="auto"/>
            </w:tcBorders>
          </w:tcPr>
          <w:p w14:paraId="40151329"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tcBorders>
            <w:shd w:val="clear" w:color="auto" w:fill="auto"/>
            <w:noWrap/>
          </w:tcPr>
          <w:p w14:paraId="038CEB95" w14:textId="77777777" w:rsidR="00C67339" w:rsidRPr="0076703D" w:rsidRDefault="00C67339" w:rsidP="001D5CB4">
            <w:pPr>
              <w:pStyle w:val="ARtabletextrightbold"/>
              <w:spacing w:before="60" w:after="50"/>
            </w:pPr>
            <w:r w:rsidRPr="0076703D">
              <w:rPr>
                <w:color w:val="000000"/>
              </w:rPr>
              <w:t>0</w:t>
            </w:r>
          </w:p>
        </w:tc>
        <w:tc>
          <w:tcPr>
            <w:tcW w:w="316" w:type="pct"/>
            <w:tcBorders>
              <w:top w:val="single" w:sz="4" w:space="0" w:color="auto"/>
              <w:right w:val="nil"/>
            </w:tcBorders>
            <w:shd w:val="clear" w:color="auto" w:fill="E7E6E6"/>
            <w:noWrap/>
          </w:tcPr>
          <w:p w14:paraId="503664E1"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51C8FCF4"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269D0817"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714C1FF6" w14:textId="77777777" w:rsidR="00C67339" w:rsidRPr="0076703D" w:rsidRDefault="00C67339" w:rsidP="001D5CB4">
            <w:pPr>
              <w:pStyle w:val="ARtabletextrightbold"/>
              <w:spacing w:before="60" w:after="50"/>
            </w:pPr>
            <w:r w:rsidRPr="0076703D">
              <w:rPr>
                <w:color w:val="000000"/>
              </w:rPr>
              <w:t>0</w:t>
            </w:r>
          </w:p>
        </w:tc>
        <w:tc>
          <w:tcPr>
            <w:tcW w:w="314" w:type="pct"/>
            <w:tcBorders>
              <w:top w:val="single" w:sz="4" w:space="0" w:color="auto"/>
              <w:left w:val="nil"/>
            </w:tcBorders>
            <w:shd w:val="clear" w:color="auto" w:fill="auto"/>
            <w:noWrap/>
          </w:tcPr>
          <w:p w14:paraId="107316C2"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tcBorders>
            <w:shd w:val="clear" w:color="auto" w:fill="auto"/>
            <w:noWrap/>
          </w:tcPr>
          <w:p w14:paraId="2A3CC3A7"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tcBorders>
            <w:shd w:val="clear" w:color="auto" w:fill="auto"/>
            <w:noWrap/>
          </w:tcPr>
          <w:p w14:paraId="782AB9D4" w14:textId="77777777" w:rsidR="00C67339" w:rsidRPr="0076703D" w:rsidRDefault="00C67339" w:rsidP="001D5CB4">
            <w:pPr>
              <w:pStyle w:val="ARtabletextright"/>
              <w:spacing w:before="60" w:after="50"/>
            </w:pPr>
            <w:r w:rsidRPr="0076703D">
              <w:rPr>
                <w:color w:val="000000"/>
              </w:rPr>
              <w:t>0</w:t>
            </w:r>
          </w:p>
        </w:tc>
        <w:tc>
          <w:tcPr>
            <w:tcW w:w="313" w:type="pct"/>
            <w:tcBorders>
              <w:top w:val="single" w:sz="4" w:space="0" w:color="auto"/>
            </w:tcBorders>
            <w:shd w:val="clear" w:color="auto" w:fill="auto"/>
            <w:noWrap/>
          </w:tcPr>
          <w:p w14:paraId="1A27E3E4" w14:textId="77777777" w:rsidR="00C67339" w:rsidRPr="0076703D" w:rsidRDefault="00C67339" w:rsidP="001D5CB4">
            <w:pPr>
              <w:pStyle w:val="ARtabletextrightbold"/>
              <w:spacing w:before="60" w:after="50"/>
            </w:pPr>
            <w:r w:rsidRPr="0076703D">
              <w:rPr>
                <w:color w:val="000000"/>
              </w:rPr>
              <w:t>0</w:t>
            </w:r>
          </w:p>
        </w:tc>
      </w:tr>
      <w:tr w:rsidR="00C67339" w:rsidRPr="007939DD" w14:paraId="3405055A" w14:textId="77777777" w:rsidTr="005732E7">
        <w:trPr>
          <w:cantSplit/>
        </w:trPr>
        <w:tc>
          <w:tcPr>
            <w:tcW w:w="1052" w:type="pct"/>
            <w:shd w:val="clear" w:color="auto" w:fill="auto"/>
            <w:noWrap/>
          </w:tcPr>
          <w:p w14:paraId="4CC6F74C" w14:textId="77777777" w:rsidR="00C67339" w:rsidRPr="0076703D" w:rsidRDefault="00C67339" w:rsidP="001D5CB4">
            <w:pPr>
              <w:pStyle w:val="ARtabletext"/>
              <w:spacing w:before="60" w:after="50"/>
            </w:pPr>
            <w:r w:rsidRPr="0076703D">
              <w:rPr>
                <w:color w:val="000000"/>
              </w:rPr>
              <w:t>Mallee Track Health and Community Service</w:t>
            </w:r>
          </w:p>
        </w:tc>
        <w:tc>
          <w:tcPr>
            <w:tcW w:w="315" w:type="pct"/>
          </w:tcPr>
          <w:p w14:paraId="0809EC2A" w14:textId="77777777" w:rsidR="00C67339" w:rsidRPr="0076703D" w:rsidRDefault="00C67339" w:rsidP="001D5CB4">
            <w:pPr>
              <w:pStyle w:val="ARtabletextright"/>
              <w:spacing w:before="60" w:after="50"/>
            </w:pPr>
            <w:r w:rsidRPr="0076703D">
              <w:rPr>
                <w:color w:val="000000"/>
              </w:rPr>
              <w:t>1</w:t>
            </w:r>
          </w:p>
        </w:tc>
        <w:tc>
          <w:tcPr>
            <w:tcW w:w="316" w:type="pct"/>
          </w:tcPr>
          <w:p w14:paraId="7FB5BAA8" w14:textId="77777777" w:rsidR="00C67339" w:rsidRPr="0076703D" w:rsidRDefault="00C67339" w:rsidP="001D5CB4">
            <w:pPr>
              <w:pStyle w:val="ARtabletextright"/>
              <w:spacing w:before="60" w:after="50"/>
            </w:pPr>
            <w:r w:rsidRPr="0076703D">
              <w:rPr>
                <w:color w:val="000000"/>
              </w:rPr>
              <w:t>0</w:t>
            </w:r>
          </w:p>
        </w:tc>
        <w:tc>
          <w:tcPr>
            <w:tcW w:w="369" w:type="pct"/>
          </w:tcPr>
          <w:p w14:paraId="79C6B018"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565E8CAB"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04475105"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3EFBD893"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5EB05C3D"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2ECF6C06"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666FF02E"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6F5DF1EB"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0216C314"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3E468FBC" w14:textId="77777777" w:rsidR="00C67339" w:rsidRPr="0076703D" w:rsidRDefault="00C67339" w:rsidP="001D5CB4">
            <w:pPr>
              <w:pStyle w:val="ARtabletextrightbold"/>
              <w:spacing w:before="60" w:after="50"/>
            </w:pPr>
            <w:r w:rsidRPr="0076703D">
              <w:rPr>
                <w:color w:val="000000"/>
              </w:rPr>
              <w:t>0</w:t>
            </w:r>
          </w:p>
        </w:tc>
      </w:tr>
      <w:tr w:rsidR="00C67339" w:rsidRPr="007939DD" w14:paraId="6308EC72" w14:textId="77777777" w:rsidTr="005732E7">
        <w:trPr>
          <w:cantSplit/>
        </w:trPr>
        <w:tc>
          <w:tcPr>
            <w:tcW w:w="1052" w:type="pct"/>
            <w:shd w:val="clear" w:color="auto" w:fill="auto"/>
            <w:noWrap/>
          </w:tcPr>
          <w:p w14:paraId="3FAB274F" w14:textId="77777777" w:rsidR="00C67339" w:rsidRPr="0076703D" w:rsidRDefault="00C67339" w:rsidP="001D5CB4">
            <w:pPr>
              <w:pStyle w:val="ARtabletext"/>
              <w:spacing w:before="60" w:after="50"/>
            </w:pPr>
            <w:r w:rsidRPr="0076703D">
              <w:rPr>
                <w:color w:val="000000"/>
              </w:rPr>
              <w:t>Mansfield District Hospital</w:t>
            </w:r>
          </w:p>
        </w:tc>
        <w:tc>
          <w:tcPr>
            <w:tcW w:w="315" w:type="pct"/>
          </w:tcPr>
          <w:p w14:paraId="240FE4D5" w14:textId="77777777" w:rsidR="00C67339" w:rsidRPr="0076703D" w:rsidRDefault="00C67339" w:rsidP="001D5CB4">
            <w:pPr>
              <w:pStyle w:val="ARtabletextright"/>
              <w:spacing w:before="60" w:after="50"/>
            </w:pPr>
            <w:r w:rsidRPr="0076703D">
              <w:rPr>
                <w:color w:val="000000"/>
              </w:rPr>
              <w:t>0</w:t>
            </w:r>
          </w:p>
        </w:tc>
        <w:tc>
          <w:tcPr>
            <w:tcW w:w="316" w:type="pct"/>
          </w:tcPr>
          <w:p w14:paraId="10CA7EC5" w14:textId="77777777" w:rsidR="00C67339" w:rsidRPr="0076703D" w:rsidRDefault="00C67339" w:rsidP="001D5CB4">
            <w:pPr>
              <w:pStyle w:val="ARtabletextright"/>
              <w:spacing w:before="60" w:after="50"/>
            </w:pPr>
            <w:r w:rsidRPr="0076703D">
              <w:rPr>
                <w:color w:val="000000"/>
              </w:rPr>
              <w:t>1</w:t>
            </w:r>
          </w:p>
        </w:tc>
        <w:tc>
          <w:tcPr>
            <w:tcW w:w="369" w:type="pct"/>
          </w:tcPr>
          <w:p w14:paraId="436E18AB"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71B52E70"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4EC3621E"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3897F43D"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38818BBF"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5CDAF215"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5685E559"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69BC5960"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79BDB41A"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7DB34FCA" w14:textId="77777777" w:rsidR="00C67339" w:rsidRPr="0076703D" w:rsidRDefault="00C67339" w:rsidP="001D5CB4">
            <w:pPr>
              <w:pStyle w:val="ARtabletextrightbold"/>
              <w:spacing w:before="60" w:after="50"/>
            </w:pPr>
            <w:r w:rsidRPr="0076703D">
              <w:rPr>
                <w:color w:val="000000"/>
              </w:rPr>
              <w:t>0</w:t>
            </w:r>
          </w:p>
        </w:tc>
      </w:tr>
      <w:tr w:rsidR="00C67339" w:rsidRPr="007939DD" w14:paraId="59E97FBC" w14:textId="77777777" w:rsidTr="005732E7">
        <w:trPr>
          <w:cantSplit/>
        </w:trPr>
        <w:tc>
          <w:tcPr>
            <w:tcW w:w="1052" w:type="pct"/>
            <w:shd w:val="clear" w:color="auto" w:fill="auto"/>
            <w:noWrap/>
          </w:tcPr>
          <w:p w14:paraId="6863B930" w14:textId="77777777" w:rsidR="00C67339" w:rsidRPr="0076703D" w:rsidRDefault="00C67339" w:rsidP="001D5CB4">
            <w:pPr>
              <w:pStyle w:val="ARtabletext"/>
              <w:spacing w:before="60" w:after="50"/>
            </w:pPr>
            <w:r w:rsidRPr="0076703D">
              <w:rPr>
                <w:color w:val="000000"/>
              </w:rPr>
              <w:t>Maryborough District Health Service</w:t>
            </w:r>
          </w:p>
        </w:tc>
        <w:tc>
          <w:tcPr>
            <w:tcW w:w="315" w:type="pct"/>
          </w:tcPr>
          <w:p w14:paraId="54C4563B" w14:textId="77777777" w:rsidR="00C67339" w:rsidRPr="0076703D" w:rsidRDefault="00C67339" w:rsidP="001D5CB4">
            <w:pPr>
              <w:pStyle w:val="ARtabletextright"/>
              <w:spacing w:before="60" w:after="50"/>
            </w:pPr>
            <w:r w:rsidRPr="0076703D">
              <w:rPr>
                <w:color w:val="000000"/>
              </w:rPr>
              <w:t>0</w:t>
            </w:r>
          </w:p>
        </w:tc>
        <w:tc>
          <w:tcPr>
            <w:tcW w:w="316" w:type="pct"/>
          </w:tcPr>
          <w:p w14:paraId="0B2CEF93" w14:textId="77777777" w:rsidR="00C67339" w:rsidRPr="0076703D" w:rsidRDefault="00C67339" w:rsidP="001D5CB4">
            <w:pPr>
              <w:pStyle w:val="ARtabletextright"/>
              <w:spacing w:before="60" w:after="50"/>
            </w:pPr>
            <w:r w:rsidRPr="0076703D">
              <w:rPr>
                <w:color w:val="000000"/>
              </w:rPr>
              <w:t>1</w:t>
            </w:r>
          </w:p>
        </w:tc>
        <w:tc>
          <w:tcPr>
            <w:tcW w:w="369" w:type="pct"/>
          </w:tcPr>
          <w:p w14:paraId="55EFA195"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6516C065"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34DFD8C8"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0A8C2E53"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3ED9EC6F"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495046B3" w14:textId="77777777" w:rsidR="00C67339" w:rsidRPr="0076703D" w:rsidRDefault="00C67339" w:rsidP="001D5CB4">
            <w:pPr>
              <w:pStyle w:val="ARtabletextrightbold"/>
              <w:spacing w:before="60" w:after="50"/>
            </w:pPr>
            <w:r w:rsidRPr="0076703D">
              <w:rPr>
                <w:color w:val="000000"/>
              </w:rPr>
              <w:t>2</w:t>
            </w:r>
          </w:p>
        </w:tc>
        <w:tc>
          <w:tcPr>
            <w:tcW w:w="314" w:type="pct"/>
            <w:tcBorders>
              <w:top w:val="single" w:sz="4" w:space="0" w:color="auto"/>
              <w:left w:val="nil"/>
            </w:tcBorders>
            <w:shd w:val="clear" w:color="auto" w:fill="auto"/>
            <w:noWrap/>
          </w:tcPr>
          <w:p w14:paraId="27B51BD8" w14:textId="77777777" w:rsidR="00C67339" w:rsidRPr="0076703D" w:rsidRDefault="00C67339" w:rsidP="001D5CB4">
            <w:pPr>
              <w:pStyle w:val="ARtabletextright"/>
              <w:spacing w:before="60" w:after="50"/>
            </w:pPr>
            <w:r w:rsidRPr="0076703D">
              <w:rPr>
                <w:color w:val="000000"/>
              </w:rPr>
              <w:t>-1</w:t>
            </w:r>
          </w:p>
        </w:tc>
        <w:tc>
          <w:tcPr>
            <w:tcW w:w="316" w:type="pct"/>
            <w:shd w:val="clear" w:color="auto" w:fill="auto"/>
            <w:noWrap/>
          </w:tcPr>
          <w:p w14:paraId="69F9E6A3"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3311EBC2"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518E4492" w14:textId="77777777" w:rsidR="00C67339" w:rsidRPr="0076703D" w:rsidRDefault="00C67339" w:rsidP="001D5CB4">
            <w:pPr>
              <w:pStyle w:val="ARtabletextrightbold"/>
              <w:spacing w:before="60" w:after="50"/>
            </w:pPr>
            <w:r w:rsidRPr="0076703D">
              <w:rPr>
                <w:color w:val="000000"/>
              </w:rPr>
              <w:t>-1</w:t>
            </w:r>
          </w:p>
        </w:tc>
      </w:tr>
      <w:tr w:rsidR="00C67339" w:rsidRPr="007939DD" w14:paraId="1F5AB06D" w14:textId="77777777" w:rsidTr="005732E7">
        <w:trPr>
          <w:cantSplit/>
        </w:trPr>
        <w:tc>
          <w:tcPr>
            <w:tcW w:w="1052" w:type="pct"/>
            <w:shd w:val="clear" w:color="auto" w:fill="auto"/>
            <w:noWrap/>
          </w:tcPr>
          <w:p w14:paraId="6DD6424F" w14:textId="77777777" w:rsidR="00C67339" w:rsidRPr="0076703D" w:rsidRDefault="00C67339" w:rsidP="001D5CB4">
            <w:pPr>
              <w:pStyle w:val="ARtabletext"/>
              <w:spacing w:before="60" w:after="50"/>
            </w:pPr>
            <w:r w:rsidRPr="0076703D">
              <w:rPr>
                <w:color w:val="000000"/>
              </w:rPr>
              <w:t>Melbourne Health</w:t>
            </w:r>
          </w:p>
        </w:tc>
        <w:tc>
          <w:tcPr>
            <w:tcW w:w="315" w:type="pct"/>
          </w:tcPr>
          <w:p w14:paraId="4FBAC9EF" w14:textId="77777777" w:rsidR="00C67339" w:rsidRPr="0076703D" w:rsidRDefault="00C67339" w:rsidP="001D5CB4">
            <w:pPr>
              <w:pStyle w:val="ARtabletextright"/>
              <w:spacing w:before="60" w:after="50"/>
            </w:pPr>
            <w:r w:rsidRPr="0076703D">
              <w:rPr>
                <w:color w:val="000000"/>
              </w:rPr>
              <w:t>4</w:t>
            </w:r>
          </w:p>
        </w:tc>
        <w:tc>
          <w:tcPr>
            <w:tcW w:w="316" w:type="pct"/>
          </w:tcPr>
          <w:p w14:paraId="4BE1ABC4" w14:textId="77777777" w:rsidR="00C67339" w:rsidRPr="0076703D" w:rsidRDefault="00C67339" w:rsidP="001D5CB4">
            <w:pPr>
              <w:pStyle w:val="ARtabletextright"/>
              <w:spacing w:before="60" w:after="50"/>
            </w:pPr>
            <w:r w:rsidRPr="0076703D">
              <w:rPr>
                <w:color w:val="000000"/>
              </w:rPr>
              <w:t>3</w:t>
            </w:r>
          </w:p>
        </w:tc>
        <w:tc>
          <w:tcPr>
            <w:tcW w:w="369" w:type="pct"/>
          </w:tcPr>
          <w:p w14:paraId="2B876528"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0440790A" w14:textId="77777777" w:rsidR="00C67339" w:rsidRPr="0076703D" w:rsidRDefault="00C67339" w:rsidP="001D5CB4">
            <w:pPr>
              <w:pStyle w:val="ARtabletextrightbold"/>
              <w:spacing w:before="60" w:after="50"/>
            </w:pPr>
            <w:r w:rsidRPr="0076703D">
              <w:rPr>
                <w:color w:val="000000"/>
              </w:rPr>
              <w:t>7</w:t>
            </w:r>
          </w:p>
        </w:tc>
        <w:tc>
          <w:tcPr>
            <w:tcW w:w="316" w:type="pct"/>
            <w:tcBorders>
              <w:top w:val="single" w:sz="4" w:space="0" w:color="auto"/>
              <w:right w:val="nil"/>
            </w:tcBorders>
            <w:shd w:val="clear" w:color="auto" w:fill="E7E6E6"/>
            <w:noWrap/>
          </w:tcPr>
          <w:p w14:paraId="38702F61" w14:textId="77777777" w:rsidR="00C67339" w:rsidRPr="0076703D" w:rsidRDefault="00C67339" w:rsidP="001D5CB4">
            <w:pPr>
              <w:pStyle w:val="ARtabletextright"/>
              <w:spacing w:before="60" w:after="50"/>
            </w:pPr>
            <w:r w:rsidRPr="0076703D">
              <w:rPr>
                <w:color w:val="000000"/>
              </w:rPr>
              <w:t>4</w:t>
            </w:r>
          </w:p>
        </w:tc>
        <w:tc>
          <w:tcPr>
            <w:tcW w:w="316" w:type="pct"/>
            <w:tcBorders>
              <w:top w:val="single" w:sz="4" w:space="0" w:color="auto"/>
              <w:left w:val="nil"/>
              <w:right w:val="nil"/>
            </w:tcBorders>
            <w:shd w:val="clear" w:color="auto" w:fill="E7E6E6"/>
            <w:noWrap/>
          </w:tcPr>
          <w:p w14:paraId="42D65F4D" w14:textId="77777777" w:rsidR="00C67339" w:rsidRPr="0076703D" w:rsidRDefault="00C67339" w:rsidP="001D5CB4">
            <w:pPr>
              <w:pStyle w:val="ARtabletextright"/>
              <w:spacing w:before="60" w:after="50"/>
            </w:pPr>
            <w:r w:rsidRPr="0076703D">
              <w:rPr>
                <w:color w:val="000000"/>
              </w:rPr>
              <w:t>3</w:t>
            </w:r>
          </w:p>
        </w:tc>
        <w:tc>
          <w:tcPr>
            <w:tcW w:w="368" w:type="pct"/>
            <w:tcBorders>
              <w:top w:val="single" w:sz="4" w:space="0" w:color="auto"/>
              <w:left w:val="nil"/>
              <w:right w:val="nil"/>
            </w:tcBorders>
            <w:shd w:val="clear" w:color="auto" w:fill="E7E6E6"/>
            <w:noWrap/>
          </w:tcPr>
          <w:p w14:paraId="3512D641"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2EB247D1" w14:textId="77777777" w:rsidR="00C67339" w:rsidRPr="0076703D" w:rsidRDefault="00C67339" w:rsidP="001D5CB4">
            <w:pPr>
              <w:pStyle w:val="ARtabletextrightbold"/>
              <w:spacing w:before="60" w:after="50"/>
            </w:pPr>
            <w:r w:rsidRPr="0076703D">
              <w:rPr>
                <w:color w:val="000000"/>
              </w:rPr>
              <w:t>7</w:t>
            </w:r>
          </w:p>
        </w:tc>
        <w:tc>
          <w:tcPr>
            <w:tcW w:w="314" w:type="pct"/>
            <w:tcBorders>
              <w:top w:val="single" w:sz="4" w:space="0" w:color="auto"/>
              <w:left w:val="nil"/>
            </w:tcBorders>
            <w:shd w:val="clear" w:color="auto" w:fill="auto"/>
            <w:noWrap/>
          </w:tcPr>
          <w:p w14:paraId="0879EC5A"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486D00DA"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18C681F7"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1274A13F" w14:textId="77777777" w:rsidR="00C67339" w:rsidRPr="0076703D" w:rsidRDefault="00C67339" w:rsidP="001D5CB4">
            <w:pPr>
              <w:pStyle w:val="ARtabletextrightbold"/>
              <w:spacing w:before="60" w:after="50"/>
            </w:pPr>
            <w:r w:rsidRPr="0076703D">
              <w:rPr>
                <w:color w:val="000000"/>
              </w:rPr>
              <w:t>0</w:t>
            </w:r>
          </w:p>
        </w:tc>
      </w:tr>
      <w:tr w:rsidR="00C67339" w:rsidRPr="007939DD" w14:paraId="3ECCC071" w14:textId="77777777" w:rsidTr="005732E7">
        <w:trPr>
          <w:cantSplit/>
        </w:trPr>
        <w:tc>
          <w:tcPr>
            <w:tcW w:w="1052" w:type="pct"/>
            <w:shd w:val="clear" w:color="auto" w:fill="auto"/>
            <w:noWrap/>
          </w:tcPr>
          <w:p w14:paraId="752F0476" w14:textId="77777777" w:rsidR="00C67339" w:rsidRPr="0076703D" w:rsidRDefault="00C67339" w:rsidP="001D5CB4">
            <w:pPr>
              <w:pStyle w:val="ARtabletext"/>
              <w:spacing w:before="60" w:after="50"/>
            </w:pPr>
            <w:r w:rsidRPr="0076703D">
              <w:rPr>
                <w:color w:val="000000"/>
              </w:rPr>
              <w:t>Monash Health</w:t>
            </w:r>
          </w:p>
        </w:tc>
        <w:tc>
          <w:tcPr>
            <w:tcW w:w="315" w:type="pct"/>
          </w:tcPr>
          <w:p w14:paraId="27CB0BEB" w14:textId="77777777" w:rsidR="00C67339" w:rsidRPr="0076703D" w:rsidRDefault="00C67339" w:rsidP="001D5CB4">
            <w:pPr>
              <w:pStyle w:val="ARtabletextright"/>
              <w:spacing w:before="60" w:after="50"/>
            </w:pPr>
            <w:r w:rsidRPr="0076703D">
              <w:rPr>
                <w:color w:val="000000"/>
              </w:rPr>
              <w:t>16</w:t>
            </w:r>
          </w:p>
        </w:tc>
        <w:tc>
          <w:tcPr>
            <w:tcW w:w="316" w:type="pct"/>
          </w:tcPr>
          <w:p w14:paraId="33950353" w14:textId="77777777" w:rsidR="00C67339" w:rsidRPr="0076703D" w:rsidRDefault="00C67339" w:rsidP="001D5CB4">
            <w:pPr>
              <w:pStyle w:val="ARtabletextright"/>
              <w:spacing w:before="60" w:after="50"/>
            </w:pPr>
            <w:r w:rsidRPr="0076703D">
              <w:rPr>
                <w:color w:val="000000"/>
              </w:rPr>
              <w:t>18</w:t>
            </w:r>
          </w:p>
        </w:tc>
        <w:tc>
          <w:tcPr>
            <w:tcW w:w="369" w:type="pct"/>
          </w:tcPr>
          <w:p w14:paraId="76AD4F88"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71D10013" w14:textId="77777777" w:rsidR="00C67339" w:rsidRPr="0076703D" w:rsidRDefault="00C67339" w:rsidP="001D5CB4">
            <w:pPr>
              <w:pStyle w:val="ARtabletextrightbold"/>
              <w:spacing w:before="60" w:after="50"/>
            </w:pPr>
            <w:r w:rsidRPr="0076703D">
              <w:rPr>
                <w:color w:val="000000"/>
              </w:rPr>
              <w:t>34</w:t>
            </w:r>
          </w:p>
        </w:tc>
        <w:tc>
          <w:tcPr>
            <w:tcW w:w="316" w:type="pct"/>
            <w:tcBorders>
              <w:top w:val="single" w:sz="4" w:space="0" w:color="auto"/>
              <w:right w:val="nil"/>
            </w:tcBorders>
            <w:shd w:val="clear" w:color="auto" w:fill="E7E6E6"/>
            <w:noWrap/>
          </w:tcPr>
          <w:p w14:paraId="79FCD9DA" w14:textId="77777777" w:rsidR="00C67339" w:rsidRPr="0076703D" w:rsidRDefault="00C67339" w:rsidP="001D5CB4">
            <w:pPr>
              <w:pStyle w:val="ARtabletextright"/>
              <w:spacing w:before="60" w:after="50"/>
            </w:pPr>
            <w:r w:rsidRPr="0076703D">
              <w:rPr>
                <w:color w:val="000000"/>
              </w:rPr>
              <w:t>4</w:t>
            </w:r>
          </w:p>
        </w:tc>
        <w:tc>
          <w:tcPr>
            <w:tcW w:w="316" w:type="pct"/>
            <w:tcBorders>
              <w:top w:val="single" w:sz="4" w:space="0" w:color="auto"/>
              <w:left w:val="nil"/>
              <w:right w:val="nil"/>
            </w:tcBorders>
            <w:shd w:val="clear" w:color="auto" w:fill="E7E6E6"/>
            <w:noWrap/>
          </w:tcPr>
          <w:p w14:paraId="743E7142" w14:textId="77777777" w:rsidR="00C67339" w:rsidRPr="0076703D" w:rsidRDefault="00C67339" w:rsidP="001D5CB4">
            <w:pPr>
              <w:pStyle w:val="ARtabletextright"/>
              <w:spacing w:before="60" w:after="50"/>
            </w:pPr>
            <w:r w:rsidRPr="0076703D">
              <w:rPr>
                <w:color w:val="000000"/>
              </w:rPr>
              <w:t>7</w:t>
            </w:r>
          </w:p>
        </w:tc>
        <w:tc>
          <w:tcPr>
            <w:tcW w:w="368" w:type="pct"/>
            <w:tcBorders>
              <w:top w:val="single" w:sz="4" w:space="0" w:color="auto"/>
              <w:left w:val="nil"/>
              <w:right w:val="nil"/>
            </w:tcBorders>
            <w:shd w:val="clear" w:color="auto" w:fill="E7E6E6"/>
            <w:noWrap/>
          </w:tcPr>
          <w:p w14:paraId="1A8BF4EE"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063FFCFF" w14:textId="77777777" w:rsidR="00C67339" w:rsidRPr="0076703D" w:rsidRDefault="00C67339" w:rsidP="001D5CB4">
            <w:pPr>
              <w:pStyle w:val="ARtabletextrightbold"/>
              <w:spacing w:before="60" w:after="50"/>
            </w:pPr>
            <w:r w:rsidRPr="0076703D">
              <w:rPr>
                <w:color w:val="000000"/>
              </w:rPr>
              <w:t>11</w:t>
            </w:r>
          </w:p>
        </w:tc>
        <w:tc>
          <w:tcPr>
            <w:tcW w:w="314" w:type="pct"/>
            <w:tcBorders>
              <w:top w:val="single" w:sz="4" w:space="0" w:color="auto"/>
              <w:left w:val="nil"/>
            </w:tcBorders>
            <w:shd w:val="clear" w:color="auto" w:fill="auto"/>
            <w:noWrap/>
          </w:tcPr>
          <w:p w14:paraId="5FD96E65" w14:textId="77777777" w:rsidR="00C67339" w:rsidRPr="0076703D" w:rsidRDefault="00C67339" w:rsidP="001D5CB4">
            <w:pPr>
              <w:pStyle w:val="ARtabletextright"/>
              <w:spacing w:before="60" w:after="50"/>
            </w:pPr>
            <w:r w:rsidRPr="0076703D">
              <w:rPr>
                <w:color w:val="000000"/>
              </w:rPr>
              <w:t>12</w:t>
            </w:r>
          </w:p>
        </w:tc>
        <w:tc>
          <w:tcPr>
            <w:tcW w:w="316" w:type="pct"/>
            <w:shd w:val="clear" w:color="auto" w:fill="auto"/>
            <w:noWrap/>
          </w:tcPr>
          <w:p w14:paraId="336CF587" w14:textId="77777777" w:rsidR="00C67339" w:rsidRPr="0076703D" w:rsidRDefault="00C67339" w:rsidP="001D5CB4">
            <w:pPr>
              <w:pStyle w:val="ARtabletextright"/>
              <w:spacing w:before="60" w:after="50"/>
            </w:pPr>
            <w:r w:rsidRPr="0076703D">
              <w:rPr>
                <w:color w:val="000000"/>
              </w:rPr>
              <w:t>11</w:t>
            </w:r>
          </w:p>
        </w:tc>
        <w:tc>
          <w:tcPr>
            <w:tcW w:w="368" w:type="pct"/>
            <w:shd w:val="clear" w:color="auto" w:fill="auto"/>
            <w:noWrap/>
          </w:tcPr>
          <w:p w14:paraId="761417E7"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7BE5ED47" w14:textId="77777777" w:rsidR="00C67339" w:rsidRPr="0076703D" w:rsidRDefault="00C67339" w:rsidP="001D5CB4">
            <w:pPr>
              <w:pStyle w:val="ARtabletextrightbold"/>
              <w:spacing w:before="60" w:after="50"/>
            </w:pPr>
            <w:r w:rsidRPr="0076703D">
              <w:rPr>
                <w:color w:val="000000"/>
              </w:rPr>
              <w:t>23</w:t>
            </w:r>
          </w:p>
        </w:tc>
      </w:tr>
      <w:tr w:rsidR="00C67339" w:rsidRPr="007939DD" w14:paraId="4778266A" w14:textId="77777777" w:rsidTr="005732E7">
        <w:trPr>
          <w:cantSplit/>
        </w:trPr>
        <w:tc>
          <w:tcPr>
            <w:tcW w:w="1052" w:type="pct"/>
            <w:shd w:val="clear" w:color="auto" w:fill="auto"/>
            <w:noWrap/>
          </w:tcPr>
          <w:p w14:paraId="4FFF8E6F" w14:textId="77777777" w:rsidR="00C67339" w:rsidRPr="0076703D" w:rsidRDefault="00C67339" w:rsidP="001D5CB4">
            <w:pPr>
              <w:pStyle w:val="ARtabletext"/>
              <w:spacing w:before="60" w:after="50"/>
            </w:pPr>
            <w:r w:rsidRPr="0076703D">
              <w:rPr>
                <w:color w:val="000000"/>
              </w:rPr>
              <w:t>Moyne Health Services</w:t>
            </w:r>
          </w:p>
        </w:tc>
        <w:tc>
          <w:tcPr>
            <w:tcW w:w="315" w:type="pct"/>
          </w:tcPr>
          <w:p w14:paraId="1A081AEF" w14:textId="77777777" w:rsidR="00C67339" w:rsidRPr="0076703D" w:rsidRDefault="00C67339" w:rsidP="001D5CB4">
            <w:pPr>
              <w:pStyle w:val="ARtabletextright"/>
              <w:spacing w:before="60" w:after="50"/>
            </w:pPr>
            <w:r w:rsidRPr="0076703D">
              <w:rPr>
                <w:color w:val="000000"/>
              </w:rPr>
              <w:t>1</w:t>
            </w:r>
          </w:p>
        </w:tc>
        <w:tc>
          <w:tcPr>
            <w:tcW w:w="316" w:type="pct"/>
          </w:tcPr>
          <w:p w14:paraId="43FDF7CC" w14:textId="77777777" w:rsidR="00C67339" w:rsidRPr="0076703D" w:rsidRDefault="00C67339" w:rsidP="001D5CB4">
            <w:pPr>
              <w:pStyle w:val="ARtabletextright"/>
              <w:spacing w:before="60" w:after="50"/>
            </w:pPr>
            <w:r w:rsidRPr="0076703D">
              <w:rPr>
                <w:color w:val="000000"/>
              </w:rPr>
              <w:t>1</w:t>
            </w:r>
          </w:p>
        </w:tc>
        <w:tc>
          <w:tcPr>
            <w:tcW w:w="369" w:type="pct"/>
          </w:tcPr>
          <w:p w14:paraId="01183710"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19050E26" w14:textId="77777777" w:rsidR="00C67339" w:rsidRPr="0076703D" w:rsidRDefault="00C67339" w:rsidP="001D5CB4">
            <w:pPr>
              <w:pStyle w:val="ARtabletextrightbold"/>
              <w:spacing w:before="60" w:after="50"/>
            </w:pPr>
            <w:r w:rsidRPr="0076703D">
              <w:rPr>
                <w:color w:val="000000"/>
              </w:rPr>
              <w:t>2</w:t>
            </w:r>
          </w:p>
        </w:tc>
        <w:tc>
          <w:tcPr>
            <w:tcW w:w="316" w:type="pct"/>
            <w:tcBorders>
              <w:top w:val="single" w:sz="4" w:space="0" w:color="auto"/>
              <w:right w:val="nil"/>
            </w:tcBorders>
            <w:shd w:val="clear" w:color="auto" w:fill="E7E6E6"/>
            <w:noWrap/>
          </w:tcPr>
          <w:p w14:paraId="71FC7728" w14:textId="77777777" w:rsidR="00C67339" w:rsidRPr="0076703D" w:rsidRDefault="00C67339" w:rsidP="001D5CB4">
            <w:pPr>
              <w:pStyle w:val="ARtabletextright"/>
              <w:spacing w:before="60" w:after="50"/>
            </w:pPr>
            <w:r w:rsidRPr="0076703D">
              <w:rPr>
                <w:color w:val="000000"/>
              </w:rPr>
              <w:t>4</w:t>
            </w:r>
          </w:p>
        </w:tc>
        <w:tc>
          <w:tcPr>
            <w:tcW w:w="316" w:type="pct"/>
            <w:tcBorders>
              <w:top w:val="single" w:sz="4" w:space="0" w:color="auto"/>
              <w:left w:val="nil"/>
              <w:right w:val="nil"/>
            </w:tcBorders>
            <w:shd w:val="clear" w:color="auto" w:fill="E7E6E6"/>
            <w:noWrap/>
          </w:tcPr>
          <w:p w14:paraId="7D743D70"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6F65FCAD"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369B76F4" w14:textId="77777777" w:rsidR="00C67339" w:rsidRPr="0076703D" w:rsidRDefault="00C67339" w:rsidP="001D5CB4">
            <w:pPr>
              <w:pStyle w:val="ARtabletextrightbold"/>
              <w:spacing w:before="60" w:after="50"/>
            </w:pPr>
            <w:r w:rsidRPr="0076703D">
              <w:rPr>
                <w:color w:val="000000"/>
              </w:rPr>
              <w:t>5</w:t>
            </w:r>
          </w:p>
        </w:tc>
        <w:tc>
          <w:tcPr>
            <w:tcW w:w="314" w:type="pct"/>
            <w:tcBorders>
              <w:top w:val="single" w:sz="4" w:space="0" w:color="auto"/>
              <w:left w:val="nil"/>
            </w:tcBorders>
            <w:shd w:val="clear" w:color="auto" w:fill="auto"/>
            <w:noWrap/>
          </w:tcPr>
          <w:p w14:paraId="052F3D18" w14:textId="77777777" w:rsidR="00C67339" w:rsidRPr="0076703D" w:rsidRDefault="00C67339" w:rsidP="001D5CB4">
            <w:pPr>
              <w:pStyle w:val="ARtabletextright"/>
              <w:spacing w:before="60" w:after="50"/>
            </w:pPr>
            <w:r w:rsidRPr="0076703D">
              <w:rPr>
                <w:color w:val="000000"/>
              </w:rPr>
              <w:t>-3</w:t>
            </w:r>
          </w:p>
        </w:tc>
        <w:tc>
          <w:tcPr>
            <w:tcW w:w="316" w:type="pct"/>
            <w:shd w:val="clear" w:color="auto" w:fill="auto"/>
            <w:noWrap/>
          </w:tcPr>
          <w:p w14:paraId="00477C04"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516D6511"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6CCB1F2E" w14:textId="77777777" w:rsidR="00C67339" w:rsidRPr="0076703D" w:rsidRDefault="00C67339" w:rsidP="001D5CB4">
            <w:pPr>
              <w:pStyle w:val="ARtabletextrightbold"/>
              <w:spacing w:before="60" w:after="50"/>
            </w:pPr>
            <w:r w:rsidRPr="0076703D">
              <w:rPr>
                <w:color w:val="000000"/>
              </w:rPr>
              <w:t>-3</w:t>
            </w:r>
          </w:p>
        </w:tc>
      </w:tr>
      <w:tr w:rsidR="00C67339" w:rsidRPr="007939DD" w14:paraId="417F8813" w14:textId="77777777" w:rsidTr="005732E7">
        <w:trPr>
          <w:cantSplit/>
        </w:trPr>
        <w:tc>
          <w:tcPr>
            <w:tcW w:w="1052" w:type="pct"/>
            <w:shd w:val="clear" w:color="auto" w:fill="auto"/>
            <w:noWrap/>
          </w:tcPr>
          <w:p w14:paraId="67669057" w14:textId="77777777" w:rsidR="00C67339" w:rsidRPr="0076703D" w:rsidRDefault="00C67339" w:rsidP="001D5CB4">
            <w:pPr>
              <w:pStyle w:val="ARtabletext"/>
              <w:spacing w:before="60" w:after="50"/>
            </w:pPr>
            <w:r w:rsidRPr="0076703D">
              <w:rPr>
                <w:color w:val="000000"/>
              </w:rPr>
              <w:t>Nathalia District Hospital</w:t>
            </w:r>
          </w:p>
        </w:tc>
        <w:tc>
          <w:tcPr>
            <w:tcW w:w="315" w:type="pct"/>
          </w:tcPr>
          <w:p w14:paraId="64BC3FA8" w14:textId="77777777" w:rsidR="00C67339" w:rsidRPr="0076703D" w:rsidRDefault="00C67339" w:rsidP="001D5CB4">
            <w:pPr>
              <w:pStyle w:val="ARtabletextright"/>
              <w:spacing w:before="60" w:after="50"/>
            </w:pPr>
            <w:r w:rsidRPr="0076703D">
              <w:rPr>
                <w:color w:val="000000"/>
              </w:rPr>
              <w:t>0</w:t>
            </w:r>
          </w:p>
        </w:tc>
        <w:tc>
          <w:tcPr>
            <w:tcW w:w="316" w:type="pct"/>
          </w:tcPr>
          <w:p w14:paraId="24E2F902" w14:textId="77777777" w:rsidR="00C67339" w:rsidRPr="0076703D" w:rsidRDefault="00C67339" w:rsidP="001D5CB4">
            <w:pPr>
              <w:pStyle w:val="ARtabletextright"/>
              <w:spacing w:before="60" w:after="50"/>
            </w:pPr>
            <w:r w:rsidRPr="0076703D">
              <w:rPr>
                <w:color w:val="000000"/>
              </w:rPr>
              <w:t>0</w:t>
            </w:r>
          </w:p>
        </w:tc>
        <w:tc>
          <w:tcPr>
            <w:tcW w:w="369" w:type="pct"/>
          </w:tcPr>
          <w:p w14:paraId="32778790"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2E985DE1" w14:textId="77777777" w:rsidR="00C67339" w:rsidRPr="0076703D" w:rsidRDefault="00C67339" w:rsidP="001D5CB4">
            <w:pPr>
              <w:pStyle w:val="ARtabletextrightbold"/>
              <w:spacing w:before="60" w:after="50"/>
            </w:pPr>
            <w:r w:rsidRPr="0076703D">
              <w:rPr>
                <w:color w:val="000000"/>
              </w:rPr>
              <w:t>0</w:t>
            </w:r>
          </w:p>
        </w:tc>
        <w:tc>
          <w:tcPr>
            <w:tcW w:w="316" w:type="pct"/>
            <w:tcBorders>
              <w:top w:val="single" w:sz="4" w:space="0" w:color="auto"/>
              <w:right w:val="nil"/>
            </w:tcBorders>
            <w:shd w:val="clear" w:color="auto" w:fill="E7E6E6"/>
            <w:noWrap/>
          </w:tcPr>
          <w:p w14:paraId="26564DEB"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57F7E74B"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5C71078E"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773BAE38" w14:textId="77777777" w:rsidR="00C67339" w:rsidRPr="0076703D" w:rsidRDefault="00C67339" w:rsidP="001D5CB4">
            <w:pPr>
              <w:pStyle w:val="ARtabletextrightbold"/>
              <w:spacing w:before="60" w:after="50"/>
            </w:pPr>
            <w:r w:rsidRPr="0076703D">
              <w:rPr>
                <w:color w:val="000000"/>
              </w:rPr>
              <w:t>0</w:t>
            </w:r>
          </w:p>
        </w:tc>
        <w:tc>
          <w:tcPr>
            <w:tcW w:w="314" w:type="pct"/>
            <w:tcBorders>
              <w:top w:val="single" w:sz="4" w:space="0" w:color="auto"/>
              <w:left w:val="nil"/>
            </w:tcBorders>
            <w:shd w:val="clear" w:color="auto" w:fill="auto"/>
            <w:noWrap/>
          </w:tcPr>
          <w:p w14:paraId="4797A02A"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1EE854FC"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52110656"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722CF352" w14:textId="77777777" w:rsidR="00C67339" w:rsidRPr="0076703D" w:rsidRDefault="00C67339" w:rsidP="001D5CB4">
            <w:pPr>
              <w:pStyle w:val="ARtabletextrightbold"/>
              <w:spacing w:before="60" w:after="50"/>
            </w:pPr>
            <w:r w:rsidRPr="0076703D">
              <w:rPr>
                <w:color w:val="000000"/>
              </w:rPr>
              <w:t>0</w:t>
            </w:r>
          </w:p>
        </w:tc>
      </w:tr>
      <w:tr w:rsidR="00C67339" w:rsidRPr="007939DD" w14:paraId="1D0941AC" w14:textId="77777777" w:rsidTr="005732E7">
        <w:trPr>
          <w:cantSplit/>
        </w:trPr>
        <w:tc>
          <w:tcPr>
            <w:tcW w:w="1052" w:type="pct"/>
            <w:shd w:val="clear" w:color="auto" w:fill="auto"/>
            <w:noWrap/>
          </w:tcPr>
          <w:p w14:paraId="54942156" w14:textId="77777777" w:rsidR="00C67339" w:rsidRPr="0076703D" w:rsidRDefault="00C67339" w:rsidP="001D5CB4">
            <w:pPr>
              <w:pStyle w:val="ARtabletext"/>
              <w:spacing w:before="60" w:after="50"/>
            </w:pPr>
            <w:r w:rsidRPr="0076703D">
              <w:rPr>
                <w:color w:val="000000"/>
              </w:rPr>
              <w:t>Northeast Health Wangaratta</w:t>
            </w:r>
          </w:p>
        </w:tc>
        <w:tc>
          <w:tcPr>
            <w:tcW w:w="315" w:type="pct"/>
          </w:tcPr>
          <w:p w14:paraId="51CFB150" w14:textId="77777777" w:rsidR="00C67339" w:rsidRPr="0076703D" w:rsidRDefault="00C67339" w:rsidP="001D5CB4">
            <w:pPr>
              <w:pStyle w:val="ARtabletextright"/>
              <w:spacing w:before="60" w:after="50"/>
            </w:pPr>
            <w:r w:rsidRPr="0076703D">
              <w:rPr>
                <w:color w:val="000000"/>
              </w:rPr>
              <w:t>2</w:t>
            </w:r>
          </w:p>
        </w:tc>
        <w:tc>
          <w:tcPr>
            <w:tcW w:w="316" w:type="pct"/>
          </w:tcPr>
          <w:p w14:paraId="27D2386F" w14:textId="77777777" w:rsidR="00C67339" w:rsidRPr="0076703D" w:rsidRDefault="00C67339" w:rsidP="001D5CB4">
            <w:pPr>
              <w:pStyle w:val="ARtabletextright"/>
              <w:spacing w:before="60" w:after="50"/>
            </w:pPr>
            <w:r w:rsidRPr="0076703D">
              <w:rPr>
                <w:color w:val="000000"/>
              </w:rPr>
              <w:t>2</w:t>
            </w:r>
          </w:p>
        </w:tc>
        <w:tc>
          <w:tcPr>
            <w:tcW w:w="369" w:type="pct"/>
          </w:tcPr>
          <w:p w14:paraId="46CBC328"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120A9E4A" w14:textId="77777777" w:rsidR="00C67339" w:rsidRPr="0076703D" w:rsidRDefault="00C67339" w:rsidP="001D5CB4">
            <w:pPr>
              <w:pStyle w:val="ARtabletextrightbold"/>
              <w:spacing w:before="60" w:after="50"/>
            </w:pPr>
            <w:r w:rsidRPr="0076703D">
              <w:rPr>
                <w:color w:val="000000"/>
              </w:rPr>
              <w:t>4</w:t>
            </w:r>
          </w:p>
        </w:tc>
        <w:tc>
          <w:tcPr>
            <w:tcW w:w="316" w:type="pct"/>
            <w:tcBorders>
              <w:top w:val="single" w:sz="4" w:space="0" w:color="auto"/>
              <w:right w:val="nil"/>
            </w:tcBorders>
            <w:shd w:val="clear" w:color="auto" w:fill="E7E6E6"/>
            <w:noWrap/>
          </w:tcPr>
          <w:p w14:paraId="3C673EAC" w14:textId="77777777" w:rsidR="00C67339" w:rsidRPr="0076703D" w:rsidRDefault="00C67339" w:rsidP="001D5CB4">
            <w:pPr>
              <w:pStyle w:val="ARtabletextright"/>
              <w:spacing w:before="60" w:after="50"/>
            </w:pPr>
            <w:r w:rsidRPr="0076703D">
              <w:rPr>
                <w:color w:val="000000"/>
              </w:rPr>
              <w:t>2</w:t>
            </w:r>
          </w:p>
        </w:tc>
        <w:tc>
          <w:tcPr>
            <w:tcW w:w="316" w:type="pct"/>
            <w:tcBorders>
              <w:top w:val="single" w:sz="4" w:space="0" w:color="auto"/>
              <w:left w:val="nil"/>
              <w:right w:val="nil"/>
            </w:tcBorders>
            <w:shd w:val="clear" w:color="auto" w:fill="E7E6E6"/>
            <w:noWrap/>
          </w:tcPr>
          <w:p w14:paraId="5FDC1264" w14:textId="77777777" w:rsidR="00C67339" w:rsidRPr="0076703D" w:rsidRDefault="00C67339" w:rsidP="001D5CB4">
            <w:pPr>
              <w:pStyle w:val="ARtabletextright"/>
              <w:spacing w:before="60" w:after="50"/>
            </w:pPr>
            <w:r w:rsidRPr="0076703D">
              <w:rPr>
                <w:color w:val="000000"/>
              </w:rPr>
              <w:t>2</w:t>
            </w:r>
          </w:p>
        </w:tc>
        <w:tc>
          <w:tcPr>
            <w:tcW w:w="368" w:type="pct"/>
            <w:tcBorders>
              <w:top w:val="single" w:sz="4" w:space="0" w:color="auto"/>
              <w:left w:val="nil"/>
              <w:right w:val="nil"/>
            </w:tcBorders>
            <w:shd w:val="clear" w:color="auto" w:fill="E7E6E6"/>
            <w:noWrap/>
          </w:tcPr>
          <w:p w14:paraId="18BA723A"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43BCE420" w14:textId="77777777" w:rsidR="00C67339" w:rsidRPr="0076703D" w:rsidRDefault="00C67339" w:rsidP="001D5CB4">
            <w:pPr>
              <w:pStyle w:val="ARtabletextrightbold"/>
              <w:spacing w:before="60" w:after="50"/>
            </w:pPr>
            <w:r w:rsidRPr="0076703D">
              <w:rPr>
                <w:color w:val="000000"/>
              </w:rPr>
              <w:t>4</w:t>
            </w:r>
          </w:p>
        </w:tc>
        <w:tc>
          <w:tcPr>
            <w:tcW w:w="314" w:type="pct"/>
            <w:tcBorders>
              <w:top w:val="single" w:sz="4" w:space="0" w:color="auto"/>
              <w:left w:val="nil"/>
            </w:tcBorders>
            <w:shd w:val="clear" w:color="auto" w:fill="auto"/>
            <w:noWrap/>
          </w:tcPr>
          <w:p w14:paraId="40887D49"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4F3B354E"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2D78DEBC"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11058D45" w14:textId="77777777" w:rsidR="00C67339" w:rsidRPr="0076703D" w:rsidRDefault="00C67339" w:rsidP="001D5CB4">
            <w:pPr>
              <w:pStyle w:val="ARtabletextrightbold"/>
              <w:spacing w:before="60" w:after="50"/>
            </w:pPr>
            <w:r w:rsidRPr="0076703D">
              <w:rPr>
                <w:color w:val="000000"/>
              </w:rPr>
              <w:t>0</w:t>
            </w:r>
          </w:p>
        </w:tc>
      </w:tr>
      <w:tr w:rsidR="00C67339" w:rsidRPr="007939DD" w14:paraId="2AC55BF2" w14:textId="77777777" w:rsidTr="005732E7">
        <w:trPr>
          <w:cantSplit/>
        </w:trPr>
        <w:tc>
          <w:tcPr>
            <w:tcW w:w="1052" w:type="pct"/>
            <w:shd w:val="clear" w:color="auto" w:fill="auto"/>
            <w:noWrap/>
          </w:tcPr>
          <w:p w14:paraId="07292068" w14:textId="77777777" w:rsidR="00C67339" w:rsidRPr="0076703D" w:rsidRDefault="00C67339" w:rsidP="001D5CB4">
            <w:pPr>
              <w:pStyle w:val="ARtabletext"/>
              <w:spacing w:before="60" w:after="50"/>
            </w:pPr>
            <w:r w:rsidRPr="0076703D">
              <w:rPr>
                <w:color w:val="000000"/>
              </w:rPr>
              <w:t>Northern Health</w:t>
            </w:r>
          </w:p>
        </w:tc>
        <w:tc>
          <w:tcPr>
            <w:tcW w:w="315" w:type="pct"/>
          </w:tcPr>
          <w:p w14:paraId="4FCCDCBE" w14:textId="77777777" w:rsidR="00C67339" w:rsidRPr="0076703D" w:rsidRDefault="00C67339" w:rsidP="001D5CB4">
            <w:pPr>
              <w:pStyle w:val="ARtabletextright"/>
              <w:spacing w:before="60" w:after="50"/>
            </w:pPr>
            <w:r w:rsidRPr="0076703D">
              <w:rPr>
                <w:color w:val="000000"/>
              </w:rPr>
              <w:t>9</w:t>
            </w:r>
          </w:p>
        </w:tc>
        <w:tc>
          <w:tcPr>
            <w:tcW w:w="316" w:type="pct"/>
          </w:tcPr>
          <w:p w14:paraId="013D5040" w14:textId="77777777" w:rsidR="00C67339" w:rsidRPr="0076703D" w:rsidRDefault="00C67339" w:rsidP="001D5CB4">
            <w:pPr>
              <w:pStyle w:val="ARtabletextright"/>
              <w:spacing w:before="60" w:after="50"/>
            </w:pPr>
            <w:r w:rsidRPr="0076703D">
              <w:rPr>
                <w:color w:val="000000"/>
              </w:rPr>
              <w:t>6</w:t>
            </w:r>
          </w:p>
        </w:tc>
        <w:tc>
          <w:tcPr>
            <w:tcW w:w="369" w:type="pct"/>
          </w:tcPr>
          <w:p w14:paraId="283C57F5"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2E070808" w14:textId="77777777" w:rsidR="00C67339" w:rsidRPr="0076703D" w:rsidRDefault="00C67339" w:rsidP="001D5CB4">
            <w:pPr>
              <w:pStyle w:val="ARtabletextrightbold"/>
              <w:spacing w:before="60" w:after="50"/>
            </w:pPr>
            <w:r w:rsidRPr="0076703D">
              <w:rPr>
                <w:color w:val="000000"/>
              </w:rPr>
              <w:t>15</w:t>
            </w:r>
          </w:p>
        </w:tc>
        <w:tc>
          <w:tcPr>
            <w:tcW w:w="316" w:type="pct"/>
            <w:tcBorders>
              <w:top w:val="single" w:sz="4" w:space="0" w:color="auto"/>
              <w:right w:val="nil"/>
            </w:tcBorders>
            <w:shd w:val="clear" w:color="auto" w:fill="E7E6E6"/>
            <w:noWrap/>
          </w:tcPr>
          <w:p w14:paraId="5ECBD875" w14:textId="77777777" w:rsidR="00C67339" w:rsidRPr="0076703D" w:rsidRDefault="00C67339" w:rsidP="001D5CB4">
            <w:pPr>
              <w:pStyle w:val="ARtabletextright"/>
              <w:spacing w:before="60" w:after="50"/>
            </w:pPr>
            <w:r w:rsidRPr="0076703D">
              <w:rPr>
                <w:color w:val="000000"/>
              </w:rPr>
              <w:t>8</w:t>
            </w:r>
          </w:p>
        </w:tc>
        <w:tc>
          <w:tcPr>
            <w:tcW w:w="316" w:type="pct"/>
            <w:tcBorders>
              <w:top w:val="single" w:sz="4" w:space="0" w:color="auto"/>
              <w:left w:val="nil"/>
              <w:right w:val="nil"/>
            </w:tcBorders>
            <w:shd w:val="clear" w:color="auto" w:fill="E7E6E6"/>
            <w:noWrap/>
          </w:tcPr>
          <w:p w14:paraId="4D3BF5E1" w14:textId="77777777" w:rsidR="00C67339" w:rsidRPr="0076703D" w:rsidRDefault="00C67339" w:rsidP="001D5CB4">
            <w:pPr>
              <w:pStyle w:val="ARtabletextright"/>
              <w:spacing w:before="60" w:after="50"/>
            </w:pPr>
            <w:r w:rsidRPr="0076703D">
              <w:rPr>
                <w:color w:val="000000"/>
              </w:rPr>
              <w:t>8</w:t>
            </w:r>
          </w:p>
        </w:tc>
        <w:tc>
          <w:tcPr>
            <w:tcW w:w="368" w:type="pct"/>
            <w:tcBorders>
              <w:top w:val="single" w:sz="4" w:space="0" w:color="auto"/>
              <w:left w:val="nil"/>
              <w:right w:val="nil"/>
            </w:tcBorders>
            <w:shd w:val="clear" w:color="auto" w:fill="E7E6E6"/>
            <w:noWrap/>
          </w:tcPr>
          <w:p w14:paraId="10549427"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17C466B9" w14:textId="77777777" w:rsidR="00C67339" w:rsidRPr="0076703D" w:rsidRDefault="00C67339" w:rsidP="001D5CB4">
            <w:pPr>
              <w:pStyle w:val="ARtabletextrightbold"/>
              <w:spacing w:before="60" w:after="50"/>
            </w:pPr>
            <w:r w:rsidRPr="0076703D">
              <w:rPr>
                <w:color w:val="000000"/>
              </w:rPr>
              <w:t>16</w:t>
            </w:r>
          </w:p>
        </w:tc>
        <w:tc>
          <w:tcPr>
            <w:tcW w:w="314" w:type="pct"/>
            <w:tcBorders>
              <w:top w:val="single" w:sz="4" w:space="0" w:color="auto"/>
              <w:left w:val="nil"/>
            </w:tcBorders>
            <w:shd w:val="clear" w:color="auto" w:fill="auto"/>
            <w:noWrap/>
          </w:tcPr>
          <w:p w14:paraId="64A596C7" w14:textId="77777777" w:rsidR="00C67339" w:rsidRPr="0076703D" w:rsidRDefault="00C67339" w:rsidP="001D5CB4">
            <w:pPr>
              <w:pStyle w:val="ARtabletextright"/>
              <w:spacing w:before="60" w:after="50"/>
            </w:pPr>
            <w:r w:rsidRPr="0076703D">
              <w:rPr>
                <w:color w:val="000000"/>
              </w:rPr>
              <w:t>1</w:t>
            </w:r>
          </w:p>
        </w:tc>
        <w:tc>
          <w:tcPr>
            <w:tcW w:w="316" w:type="pct"/>
            <w:shd w:val="clear" w:color="auto" w:fill="auto"/>
            <w:noWrap/>
          </w:tcPr>
          <w:p w14:paraId="3F964CC0" w14:textId="77777777" w:rsidR="00C67339" w:rsidRPr="0076703D" w:rsidRDefault="00C67339" w:rsidP="001D5CB4">
            <w:pPr>
              <w:pStyle w:val="ARtabletextright"/>
              <w:spacing w:before="60" w:after="50"/>
            </w:pPr>
            <w:r w:rsidRPr="0076703D">
              <w:rPr>
                <w:color w:val="000000"/>
              </w:rPr>
              <w:t>-2</w:t>
            </w:r>
          </w:p>
        </w:tc>
        <w:tc>
          <w:tcPr>
            <w:tcW w:w="368" w:type="pct"/>
            <w:shd w:val="clear" w:color="auto" w:fill="auto"/>
            <w:noWrap/>
          </w:tcPr>
          <w:p w14:paraId="040B3047"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3C47D50E" w14:textId="77777777" w:rsidR="00C67339" w:rsidRPr="0076703D" w:rsidRDefault="00C67339" w:rsidP="001D5CB4">
            <w:pPr>
              <w:pStyle w:val="ARtabletextrightbold"/>
              <w:spacing w:before="60" w:after="50"/>
            </w:pPr>
            <w:r w:rsidRPr="0076703D">
              <w:rPr>
                <w:color w:val="000000"/>
              </w:rPr>
              <w:t>-1</w:t>
            </w:r>
          </w:p>
        </w:tc>
      </w:tr>
      <w:tr w:rsidR="00C67339" w:rsidRPr="007939DD" w14:paraId="67E12187" w14:textId="77777777" w:rsidTr="005732E7">
        <w:trPr>
          <w:cantSplit/>
        </w:trPr>
        <w:tc>
          <w:tcPr>
            <w:tcW w:w="1052" w:type="pct"/>
            <w:shd w:val="clear" w:color="auto" w:fill="auto"/>
            <w:noWrap/>
          </w:tcPr>
          <w:p w14:paraId="70650EEE" w14:textId="77777777" w:rsidR="00C67339" w:rsidRPr="0076703D" w:rsidRDefault="00C67339" w:rsidP="001D5CB4">
            <w:pPr>
              <w:pStyle w:val="ARtabletext"/>
              <w:spacing w:before="60" w:after="50"/>
            </w:pPr>
            <w:r w:rsidRPr="0076703D">
              <w:rPr>
                <w:color w:val="000000"/>
              </w:rPr>
              <w:t>Numurkah District Health Service</w:t>
            </w:r>
          </w:p>
        </w:tc>
        <w:tc>
          <w:tcPr>
            <w:tcW w:w="315" w:type="pct"/>
          </w:tcPr>
          <w:p w14:paraId="6FFAAD41" w14:textId="77777777" w:rsidR="00C67339" w:rsidRPr="0076703D" w:rsidRDefault="00C67339" w:rsidP="001D5CB4">
            <w:pPr>
              <w:pStyle w:val="ARtabletextright"/>
              <w:spacing w:before="60" w:after="50"/>
            </w:pPr>
            <w:r w:rsidRPr="0076703D">
              <w:rPr>
                <w:color w:val="000000"/>
              </w:rPr>
              <w:t>1</w:t>
            </w:r>
          </w:p>
        </w:tc>
        <w:tc>
          <w:tcPr>
            <w:tcW w:w="316" w:type="pct"/>
          </w:tcPr>
          <w:p w14:paraId="7ED58CEC" w14:textId="77777777" w:rsidR="00C67339" w:rsidRPr="0076703D" w:rsidRDefault="00C67339" w:rsidP="001D5CB4">
            <w:pPr>
              <w:pStyle w:val="ARtabletextright"/>
              <w:spacing w:before="60" w:after="50"/>
            </w:pPr>
            <w:r w:rsidRPr="0076703D">
              <w:rPr>
                <w:color w:val="000000"/>
              </w:rPr>
              <w:t>0</w:t>
            </w:r>
          </w:p>
        </w:tc>
        <w:tc>
          <w:tcPr>
            <w:tcW w:w="369" w:type="pct"/>
          </w:tcPr>
          <w:p w14:paraId="618C32BE"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5A838A59"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035F64AF"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7DA633B6"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6C1AB86A"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5821988B"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1BE5E4D7"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5D88C580"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630D9E95"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1C89A73A" w14:textId="77777777" w:rsidR="00C67339" w:rsidRPr="0076703D" w:rsidRDefault="00C67339" w:rsidP="001D5CB4">
            <w:pPr>
              <w:pStyle w:val="ARtabletextrightbold"/>
              <w:spacing w:before="60" w:after="50"/>
            </w:pPr>
            <w:r w:rsidRPr="0076703D">
              <w:rPr>
                <w:color w:val="000000"/>
              </w:rPr>
              <w:t>0</w:t>
            </w:r>
          </w:p>
        </w:tc>
      </w:tr>
      <w:tr w:rsidR="00C67339" w:rsidRPr="007939DD" w14:paraId="01E18DC5" w14:textId="77777777" w:rsidTr="005732E7">
        <w:trPr>
          <w:cantSplit/>
        </w:trPr>
        <w:tc>
          <w:tcPr>
            <w:tcW w:w="1052" w:type="pct"/>
            <w:shd w:val="clear" w:color="auto" w:fill="auto"/>
            <w:noWrap/>
          </w:tcPr>
          <w:p w14:paraId="42D0207E" w14:textId="77777777" w:rsidR="00C67339" w:rsidRPr="0076703D" w:rsidRDefault="00C67339" w:rsidP="001D5CB4">
            <w:pPr>
              <w:pStyle w:val="ARtabletext"/>
              <w:spacing w:before="60" w:after="50"/>
            </w:pPr>
            <w:r w:rsidRPr="0076703D">
              <w:rPr>
                <w:color w:val="000000"/>
              </w:rPr>
              <w:t>Omeo District Health</w:t>
            </w:r>
          </w:p>
        </w:tc>
        <w:tc>
          <w:tcPr>
            <w:tcW w:w="315" w:type="pct"/>
          </w:tcPr>
          <w:p w14:paraId="457B638E" w14:textId="77777777" w:rsidR="00C67339" w:rsidRPr="0076703D" w:rsidRDefault="00C67339" w:rsidP="001D5CB4">
            <w:pPr>
              <w:pStyle w:val="ARtabletextright"/>
              <w:spacing w:before="60" w:after="50"/>
            </w:pPr>
            <w:r w:rsidRPr="0076703D">
              <w:rPr>
                <w:color w:val="000000"/>
              </w:rPr>
              <w:t>0</w:t>
            </w:r>
          </w:p>
        </w:tc>
        <w:tc>
          <w:tcPr>
            <w:tcW w:w="316" w:type="pct"/>
          </w:tcPr>
          <w:p w14:paraId="29A71A00" w14:textId="77777777" w:rsidR="00C67339" w:rsidRPr="0076703D" w:rsidRDefault="00C67339" w:rsidP="001D5CB4">
            <w:pPr>
              <w:pStyle w:val="ARtabletextright"/>
              <w:spacing w:before="60" w:after="50"/>
            </w:pPr>
            <w:r w:rsidRPr="0076703D">
              <w:rPr>
                <w:color w:val="000000"/>
              </w:rPr>
              <w:t>1</w:t>
            </w:r>
          </w:p>
        </w:tc>
        <w:tc>
          <w:tcPr>
            <w:tcW w:w="369" w:type="pct"/>
          </w:tcPr>
          <w:p w14:paraId="0A9D3C8F"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4D28E329"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349F71FD"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63E4C56F"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5A771AF3"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2651BE23"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28F800BC"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4D40F2BB"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4FACBFE2"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314A13AC" w14:textId="77777777" w:rsidR="00C67339" w:rsidRPr="0076703D" w:rsidRDefault="00C67339" w:rsidP="001D5CB4">
            <w:pPr>
              <w:pStyle w:val="ARtabletextrightbold"/>
              <w:spacing w:before="60" w:after="50"/>
            </w:pPr>
            <w:r w:rsidRPr="0076703D">
              <w:rPr>
                <w:color w:val="000000"/>
              </w:rPr>
              <w:t>0</w:t>
            </w:r>
          </w:p>
        </w:tc>
      </w:tr>
      <w:tr w:rsidR="00C67339" w:rsidRPr="007939DD" w14:paraId="28E2418C" w14:textId="77777777" w:rsidTr="005732E7">
        <w:trPr>
          <w:cantSplit/>
        </w:trPr>
        <w:tc>
          <w:tcPr>
            <w:tcW w:w="1052" w:type="pct"/>
            <w:shd w:val="clear" w:color="auto" w:fill="auto"/>
            <w:noWrap/>
          </w:tcPr>
          <w:p w14:paraId="450881B4" w14:textId="77777777" w:rsidR="00C67339" w:rsidRPr="0076703D" w:rsidRDefault="00C67339" w:rsidP="001D5CB4">
            <w:pPr>
              <w:pStyle w:val="ARtabletext"/>
              <w:spacing w:before="60" w:after="50"/>
            </w:pPr>
            <w:r w:rsidRPr="0076703D">
              <w:rPr>
                <w:color w:val="000000"/>
              </w:rPr>
              <w:t>Orbost Regional Health</w:t>
            </w:r>
          </w:p>
        </w:tc>
        <w:tc>
          <w:tcPr>
            <w:tcW w:w="315" w:type="pct"/>
          </w:tcPr>
          <w:p w14:paraId="7264A6A3" w14:textId="77777777" w:rsidR="00C67339" w:rsidRPr="0076703D" w:rsidRDefault="00C67339" w:rsidP="001D5CB4">
            <w:pPr>
              <w:pStyle w:val="ARtabletextright"/>
              <w:spacing w:before="60" w:after="50"/>
            </w:pPr>
            <w:r w:rsidRPr="0076703D">
              <w:rPr>
                <w:color w:val="000000"/>
              </w:rPr>
              <w:t>1</w:t>
            </w:r>
          </w:p>
        </w:tc>
        <w:tc>
          <w:tcPr>
            <w:tcW w:w="316" w:type="pct"/>
          </w:tcPr>
          <w:p w14:paraId="1A59C0AA" w14:textId="77777777" w:rsidR="00C67339" w:rsidRPr="0076703D" w:rsidRDefault="00C67339" w:rsidP="001D5CB4">
            <w:pPr>
              <w:pStyle w:val="ARtabletextright"/>
              <w:spacing w:before="60" w:after="50"/>
            </w:pPr>
            <w:r w:rsidRPr="0076703D">
              <w:rPr>
                <w:color w:val="000000"/>
              </w:rPr>
              <w:t>0</w:t>
            </w:r>
          </w:p>
        </w:tc>
        <w:tc>
          <w:tcPr>
            <w:tcW w:w="369" w:type="pct"/>
          </w:tcPr>
          <w:p w14:paraId="00410092"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58BF871A"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46AED4C7"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3C25A079"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0A8A150E"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6E567E6B"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073CC1E4"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40E6F469"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773B3CE7"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369C652D" w14:textId="77777777" w:rsidR="00C67339" w:rsidRPr="0076703D" w:rsidRDefault="00C67339" w:rsidP="001D5CB4">
            <w:pPr>
              <w:pStyle w:val="ARtabletextrightbold"/>
              <w:spacing w:before="60" w:after="50"/>
            </w:pPr>
            <w:r w:rsidRPr="0076703D">
              <w:rPr>
                <w:color w:val="000000"/>
              </w:rPr>
              <w:t>0</w:t>
            </w:r>
          </w:p>
        </w:tc>
      </w:tr>
      <w:tr w:rsidR="00C67339" w:rsidRPr="007939DD" w14:paraId="1D52E896" w14:textId="77777777" w:rsidTr="005732E7">
        <w:trPr>
          <w:cantSplit/>
        </w:trPr>
        <w:tc>
          <w:tcPr>
            <w:tcW w:w="1052" w:type="pct"/>
            <w:shd w:val="clear" w:color="auto" w:fill="auto"/>
            <w:noWrap/>
          </w:tcPr>
          <w:p w14:paraId="0AF9554E" w14:textId="77777777" w:rsidR="00C67339" w:rsidRPr="0076703D" w:rsidRDefault="00C67339" w:rsidP="001D5CB4">
            <w:pPr>
              <w:pStyle w:val="ARtabletext"/>
              <w:spacing w:before="60" w:after="50"/>
            </w:pPr>
            <w:r w:rsidRPr="0076703D">
              <w:t>Otway Health &amp; Community Services</w:t>
            </w:r>
          </w:p>
        </w:tc>
        <w:tc>
          <w:tcPr>
            <w:tcW w:w="315" w:type="pct"/>
          </w:tcPr>
          <w:p w14:paraId="1A4A42B7" w14:textId="77777777" w:rsidR="00C67339" w:rsidRPr="0076703D" w:rsidRDefault="00C67339" w:rsidP="001D5CB4">
            <w:pPr>
              <w:pStyle w:val="ARtabletextright"/>
              <w:spacing w:before="60" w:after="50"/>
            </w:pPr>
            <w:r w:rsidRPr="0076703D">
              <w:rPr>
                <w:color w:val="000000"/>
              </w:rPr>
              <w:t>0</w:t>
            </w:r>
          </w:p>
        </w:tc>
        <w:tc>
          <w:tcPr>
            <w:tcW w:w="316" w:type="pct"/>
          </w:tcPr>
          <w:p w14:paraId="2DEE34DB" w14:textId="77777777" w:rsidR="00C67339" w:rsidRPr="0076703D" w:rsidRDefault="00C67339" w:rsidP="001D5CB4">
            <w:pPr>
              <w:pStyle w:val="ARtabletextright"/>
              <w:spacing w:before="60" w:after="50"/>
            </w:pPr>
            <w:r w:rsidRPr="0076703D">
              <w:rPr>
                <w:color w:val="000000"/>
              </w:rPr>
              <w:t>0</w:t>
            </w:r>
          </w:p>
        </w:tc>
        <w:tc>
          <w:tcPr>
            <w:tcW w:w="369" w:type="pct"/>
          </w:tcPr>
          <w:p w14:paraId="266E8F40" w14:textId="77777777" w:rsidR="00C67339" w:rsidRPr="0076703D" w:rsidRDefault="00C67339" w:rsidP="001D5CB4">
            <w:pPr>
              <w:pStyle w:val="ARtabletextright"/>
              <w:spacing w:before="60" w:after="50"/>
            </w:pPr>
            <w:r w:rsidRPr="0076703D">
              <w:t>0</w:t>
            </w:r>
          </w:p>
        </w:tc>
        <w:tc>
          <w:tcPr>
            <w:tcW w:w="318" w:type="pct"/>
            <w:shd w:val="clear" w:color="auto" w:fill="auto"/>
            <w:noWrap/>
          </w:tcPr>
          <w:p w14:paraId="7A7A4DFB" w14:textId="77777777" w:rsidR="00C67339" w:rsidRPr="0076703D" w:rsidRDefault="00C67339" w:rsidP="001D5CB4">
            <w:pPr>
              <w:pStyle w:val="ARtabletextrightbold"/>
              <w:spacing w:before="60" w:after="50"/>
            </w:pPr>
            <w:r w:rsidRPr="0076703D">
              <w:rPr>
                <w:color w:val="000000"/>
              </w:rPr>
              <w:t>0</w:t>
            </w:r>
          </w:p>
        </w:tc>
        <w:tc>
          <w:tcPr>
            <w:tcW w:w="316" w:type="pct"/>
            <w:tcBorders>
              <w:top w:val="single" w:sz="4" w:space="0" w:color="auto"/>
              <w:right w:val="nil"/>
            </w:tcBorders>
            <w:shd w:val="clear" w:color="auto" w:fill="E7E6E6"/>
            <w:noWrap/>
          </w:tcPr>
          <w:p w14:paraId="410E9E2E" w14:textId="77777777" w:rsidR="00C67339" w:rsidRPr="0076703D" w:rsidRDefault="00C67339" w:rsidP="001D5CB4">
            <w:pPr>
              <w:pStyle w:val="ARtabletextright"/>
              <w:spacing w:before="60" w:after="50"/>
            </w:pPr>
            <w:r w:rsidRPr="0076703D">
              <w:t>0</w:t>
            </w:r>
          </w:p>
        </w:tc>
        <w:tc>
          <w:tcPr>
            <w:tcW w:w="316" w:type="pct"/>
            <w:tcBorders>
              <w:top w:val="single" w:sz="4" w:space="0" w:color="auto"/>
              <w:left w:val="nil"/>
              <w:right w:val="nil"/>
            </w:tcBorders>
            <w:shd w:val="clear" w:color="auto" w:fill="E7E6E6"/>
            <w:noWrap/>
          </w:tcPr>
          <w:p w14:paraId="68D71842" w14:textId="77777777" w:rsidR="00C67339" w:rsidRPr="0076703D" w:rsidRDefault="00C67339" w:rsidP="001D5CB4">
            <w:pPr>
              <w:pStyle w:val="ARtabletextright"/>
              <w:spacing w:before="60" w:after="50"/>
            </w:pPr>
            <w:r w:rsidRPr="0076703D">
              <w:t>0</w:t>
            </w:r>
          </w:p>
        </w:tc>
        <w:tc>
          <w:tcPr>
            <w:tcW w:w="368" w:type="pct"/>
            <w:tcBorders>
              <w:top w:val="single" w:sz="4" w:space="0" w:color="auto"/>
              <w:left w:val="nil"/>
              <w:right w:val="nil"/>
            </w:tcBorders>
            <w:shd w:val="clear" w:color="auto" w:fill="E7E6E6"/>
            <w:noWrap/>
          </w:tcPr>
          <w:p w14:paraId="1ECA9C1B" w14:textId="77777777" w:rsidR="00C67339" w:rsidRPr="0076703D" w:rsidRDefault="00C67339" w:rsidP="001D5CB4">
            <w:pPr>
              <w:pStyle w:val="ARtabletextright"/>
              <w:spacing w:before="60" w:after="50"/>
            </w:pPr>
            <w:r w:rsidRPr="0076703D">
              <w:t>0</w:t>
            </w:r>
          </w:p>
        </w:tc>
        <w:tc>
          <w:tcPr>
            <w:tcW w:w="318" w:type="pct"/>
            <w:tcBorders>
              <w:top w:val="single" w:sz="4" w:space="0" w:color="auto"/>
              <w:left w:val="nil"/>
              <w:right w:val="nil"/>
            </w:tcBorders>
            <w:shd w:val="clear" w:color="auto" w:fill="E7E6E6"/>
            <w:noWrap/>
          </w:tcPr>
          <w:p w14:paraId="5DD38283" w14:textId="77777777" w:rsidR="00C67339" w:rsidRPr="0076703D" w:rsidRDefault="00C67339" w:rsidP="001D5CB4">
            <w:pPr>
              <w:pStyle w:val="ARtabletextrightbold"/>
              <w:spacing w:before="60" w:after="50"/>
            </w:pPr>
            <w:r w:rsidRPr="0076703D">
              <w:t>0</w:t>
            </w:r>
          </w:p>
        </w:tc>
        <w:tc>
          <w:tcPr>
            <w:tcW w:w="314" w:type="pct"/>
            <w:tcBorders>
              <w:top w:val="single" w:sz="4" w:space="0" w:color="auto"/>
              <w:left w:val="nil"/>
            </w:tcBorders>
            <w:shd w:val="clear" w:color="auto" w:fill="auto"/>
            <w:noWrap/>
          </w:tcPr>
          <w:p w14:paraId="1642B91A"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18C3E84C"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2EB37AE3"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367E10AF" w14:textId="77777777" w:rsidR="00C67339" w:rsidRPr="0076703D" w:rsidRDefault="00C67339" w:rsidP="001D5CB4">
            <w:pPr>
              <w:pStyle w:val="ARtabletextrightbold"/>
              <w:spacing w:before="60" w:after="50"/>
            </w:pPr>
            <w:r w:rsidRPr="0076703D">
              <w:rPr>
                <w:color w:val="000000"/>
              </w:rPr>
              <w:t>0</w:t>
            </w:r>
          </w:p>
        </w:tc>
      </w:tr>
      <w:tr w:rsidR="00C67339" w:rsidRPr="007939DD" w14:paraId="3AE22A47" w14:textId="77777777" w:rsidTr="005732E7">
        <w:trPr>
          <w:cantSplit/>
        </w:trPr>
        <w:tc>
          <w:tcPr>
            <w:tcW w:w="1052" w:type="pct"/>
            <w:shd w:val="clear" w:color="auto" w:fill="auto"/>
            <w:noWrap/>
          </w:tcPr>
          <w:p w14:paraId="10B18242" w14:textId="77777777" w:rsidR="00C67339" w:rsidRPr="0076703D" w:rsidRDefault="00C67339" w:rsidP="001D5CB4">
            <w:pPr>
              <w:pStyle w:val="ARtabletext"/>
              <w:spacing w:before="60" w:after="50"/>
            </w:pPr>
            <w:r w:rsidRPr="0076703D">
              <w:t>Peninsula Health</w:t>
            </w:r>
          </w:p>
        </w:tc>
        <w:tc>
          <w:tcPr>
            <w:tcW w:w="315" w:type="pct"/>
          </w:tcPr>
          <w:p w14:paraId="04DEE78F" w14:textId="77777777" w:rsidR="00C67339" w:rsidRPr="0076703D" w:rsidRDefault="00C67339" w:rsidP="001D5CB4">
            <w:pPr>
              <w:pStyle w:val="ARtabletextright"/>
              <w:spacing w:before="60" w:after="50"/>
            </w:pPr>
            <w:r w:rsidRPr="0076703D">
              <w:rPr>
                <w:color w:val="000000"/>
              </w:rPr>
              <w:t>5</w:t>
            </w:r>
          </w:p>
        </w:tc>
        <w:tc>
          <w:tcPr>
            <w:tcW w:w="316" w:type="pct"/>
          </w:tcPr>
          <w:p w14:paraId="76661AA9" w14:textId="77777777" w:rsidR="00C67339" w:rsidRPr="0076703D" w:rsidRDefault="00C67339" w:rsidP="001D5CB4">
            <w:pPr>
              <w:pStyle w:val="ARtabletextright"/>
              <w:spacing w:before="60" w:after="50"/>
            </w:pPr>
            <w:r w:rsidRPr="0076703D">
              <w:rPr>
                <w:color w:val="000000"/>
              </w:rPr>
              <w:t>4</w:t>
            </w:r>
          </w:p>
        </w:tc>
        <w:tc>
          <w:tcPr>
            <w:tcW w:w="369" w:type="pct"/>
          </w:tcPr>
          <w:p w14:paraId="4619AAB3" w14:textId="77777777" w:rsidR="00C67339" w:rsidRPr="0076703D" w:rsidRDefault="00C67339" w:rsidP="001D5CB4">
            <w:pPr>
              <w:pStyle w:val="ARtabletextright"/>
              <w:spacing w:before="60" w:after="50"/>
            </w:pPr>
            <w:r w:rsidRPr="0076703D">
              <w:t>0</w:t>
            </w:r>
          </w:p>
        </w:tc>
        <w:tc>
          <w:tcPr>
            <w:tcW w:w="318" w:type="pct"/>
            <w:shd w:val="clear" w:color="auto" w:fill="auto"/>
            <w:noWrap/>
          </w:tcPr>
          <w:p w14:paraId="61B65EAE" w14:textId="77777777" w:rsidR="00C67339" w:rsidRPr="0076703D" w:rsidRDefault="00C67339" w:rsidP="001D5CB4">
            <w:pPr>
              <w:pStyle w:val="ARtabletextrightbold"/>
              <w:spacing w:before="60" w:after="50"/>
            </w:pPr>
            <w:r w:rsidRPr="0076703D">
              <w:rPr>
                <w:color w:val="000000"/>
              </w:rPr>
              <w:t>9</w:t>
            </w:r>
          </w:p>
        </w:tc>
        <w:tc>
          <w:tcPr>
            <w:tcW w:w="316" w:type="pct"/>
            <w:tcBorders>
              <w:top w:val="single" w:sz="4" w:space="0" w:color="auto"/>
              <w:right w:val="nil"/>
            </w:tcBorders>
            <w:shd w:val="clear" w:color="auto" w:fill="E7E6E6"/>
            <w:noWrap/>
          </w:tcPr>
          <w:p w14:paraId="2C5B2842" w14:textId="77777777" w:rsidR="00C67339" w:rsidRPr="0076703D" w:rsidRDefault="00C67339" w:rsidP="001D5CB4">
            <w:pPr>
              <w:pStyle w:val="ARtabletextright"/>
              <w:spacing w:before="60" w:after="50"/>
            </w:pPr>
            <w:r w:rsidRPr="0076703D">
              <w:t>3</w:t>
            </w:r>
          </w:p>
        </w:tc>
        <w:tc>
          <w:tcPr>
            <w:tcW w:w="316" w:type="pct"/>
            <w:tcBorders>
              <w:top w:val="single" w:sz="4" w:space="0" w:color="auto"/>
              <w:left w:val="nil"/>
              <w:right w:val="nil"/>
            </w:tcBorders>
            <w:shd w:val="clear" w:color="auto" w:fill="E7E6E6"/>
            <w:noWrap/>
          </w:tcPr>
          <w:p w14:paraId="402426CC" w14:textId="77777777" w:rsidR="00C67339" w:rsidRPr="0076703D" w:rsidRDefault="00C67339" w:rsidP="001D5CB4">
            <w:pPr>
              <w:pStyle w:val="ARtabletextright"/>
              <w:spacing w:before="60" w:after="50"/>
            </w:pPr>
            <w:r w:rsidRPr="0076703D">
              <w:t>4</w:t>
            </w:r>
          </w:p>
        </w:tc>
        <w:tc>
          <w:tcPr>
            <w:tcW w:w="368" w:type="pct"/>
            <w:tcBorders>
              <w:top w:val="single" w:sz="4" w:space="0" w:color="auto"/>
              <w:left w:val="nil"/>
              <w:right w:val="nil"/>
            </w:tcBorders>
            <w:shd w:val="clear" w:color="auto" w:fill="E7E6E6"/>
            <w:noWrap/>
          </w:tcPr>
          <w:p w14:paraId="45F12A23" w14:textId="77777777" w:rsidR="00C67339" w:rsidRPr="0076703D" w:rsidRDefault="00C67339" w:rsidP="001D5CB4">
            <w:pPr>
              <w:pStyle w:val="ARtabletextright"/>
              <w:spacing w:before="60" w:after="50"/>
            </w:pPr>
            <w:r w:rsidRPr="0076703D">
              <w:t>0</w:t>
            </w:r>
          </w:p>
        </w:tc>
        <w:tc>
          <w:tcPr>
            <w:tcW w:w="318" w:type="pct"/>
            <w:tcBorders>
              <w:top w:val="single" w:sz="4" w:space="0" w:color="auto"/>
              <w:left w:val="nil"/>
              <w:right w:val="nil"/>
            </w:tcBorders>
            <w:shd w:val="clear" w:color="auto" w:fill="E7E6E6"/>
            <w:noWrap/>
          </w:tcPr>
          <w:p w14:paraId="4FEA6C3C" w14:textId="77777777" w:rsidR="00C67339" w:rsidRPr="0076703D" w:rsidRDefault="00C67339" w:rsidP="001D5CB4">
            <w:pPr>
              <w:pStyle w:val="ARtabletextrightbold"/>
              <w:spacing w:before="60" w:after="50"/>
            </w:pPr>
            <w:r w:rsidRPr="0076703D">
              <w:t>7</w:t>
            </w:r>
          </w:p>
        </w:tc>
        <w:tc>
          <w:tcPr>
            <w:tcW w:w="314" w:type="pct"/>
            <w:tcBorders>
              <w:top w:val="single" w:sz="4" w:space="0" w:color="auto"/>
              <w:left w:val="nil"/>
            </w:tcBorders>
            <w:shd w:val="clear" w:color="auto" w:fill="auto"/>
            <w:noWrap/>
          </w:tcPr>
          <w:p w14:paraId="6F472CBC" w14:textId="77777777" w:rsidR="00C67339" w:rsidRPr="0076703D" w:rsidRDefault="00C67339" w:rsidP="001D5CB4">
            <w:pPr>
              <w:pStyle w:val="ARtabletextright"/>
              <w:spacing w:before="60" w:after="50"/>
            </w:pPr>
            <w:r w:rsidRPr="0076703D">
              <w:rPr>
                <w:color w:val="000000"/>
              </w:rPr>
              <w:t>2</w:t>
            </w:r>
          </w:p>
        </w:tc>
        <w:tc>
          <w:tcPr>
            <w:tcW w:w="316" w:type="pct"/>
            <w:shd w:val="clear" w:color="auto" w:fill="auto"/>
            <w:noWrap/>
          </w:tcPr>
          <w:p w14:paraId="188C1A91"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51E3E04D"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2E20C995" w14:textId="77777777" w:rsidR="00C67339" w:rsidRPr="0076703D" w:rsidRDefault="00C67339" w:rsidP="001D5CB4">
            <w:pPr>
              <w:pStyle w:val="ARtabletextrightbold"/>
              <w:spacing w:before="60" w:after="50"/>
            </w:pPr>
            <w:r w:rsidRPr="0076703D">
              <w:rPr>
                <w:color w:val="000000"/>
              </w:rPr>
              <w:t>2</w:t>
            </w:r>
          </w:p>
        </w:tc>
      </w:tr>
      <w:tr w:rsidR="00C67339" w:rsidRPr="007939DD" w14:paraId="0A959250" w14:textId="77777777" w:rsidTr="005732E7">
        <w:trPr>
          <w:cantSplit/>
        </w:trPr>
        <w:tc>
          <w:tcPr>
            <w:tcW w:w="1052" w:type="pct"/>
            <w:shd w:val="clear" w:color="auto" w:fill="auto"/>
            <w:noWrap/>
          </w:tcPr>
          <w:p w14:paraId="117CB4C5" w14:textId="77777777" w:rsidR="00C67339" w:rsidRPr="0076703D" w:rsidRDefault="00C67339" w:rsidP="001D5CB4">
            <w:pPr>
              <w:pStyle w:val="ARtabletext"/>
              <w:spacing w:before="60" w:after="50"/>
            </w:pPr>
            <w:r w:rsidRPr="0076703D">
              <w:rPr>
                <w:color w:val="000000"/>
              </w:rPr>
              <w:t>Peter MacCallum Cancer Centre</w:t>
            </w:r>
          </w:p>
        </w:tc>
        <w:tc>
          <w:tcPr>
            <w:tcW w:w="315" w:type="pct"/>
          </w:tcPr>
          <w:p w14:paraId="782FAE46" w14:textId="77777777" w:rsidR="00C67339" w:rsidRPr="0076703D" w:rsidRDefault="00C67339" w:rsidP="001D5CB4">
            <w:pPr>
              <w:pStyle w:val="ARtabletextright"/>
              <w:spacing w:before="60" w:after="50"/>
            </w:pPr>
            <w:r w:rsidRPr="0076703D">
              <w:rPr>
                <w:color w:val="000000"/>
              </w:rPr>
              <w:t>7</w:t>
            </w:r>
          </w:p>
        </w:tc>
        <w:tc>
          <w:tcPr>
            <w:tcW w:w="316" w:type="pct"/>
          </w:tcPr>
          <w:p w14:paraId="583DA2EC" w14:textId="77777777" w:rsidR="00C67339" w:rsidRPr="0076703D" w:rsidRDefault="00C67339" w:rsidP="001D5CB4">
            <w:pPr>
              <w:pStyle w:val="ARtabletextright"/>
              <w:spacing w:before="60" w:after="50"/>
            </w:pPr>
            <w:r w:rsidRPr="0076703D">
              <w:rPr>
                <w:color w:val="000000"/>
              </w:rPr>
              <w:t>2</w:t>
            </w:r>
          </w:p>
        </w:tc>
        <w:tc>
          <w:tcPr>
            <w:tcW w:w="369" w:type="pct"/>
          </w:tcPr>
          <w:p w14:paraId="4FA01C5D"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4C6CF373" w14:textId="77777777" w:rsidR="00C67339" w:rsidRPr="0076703D" w:rsidRDefault="00C67339" w:rsidP="001D5CB4">
            <w:pPr>
              <w:pStyle w:val="ARtabletextrightbold"/>
              <w:spacing w:before="60" w:after="50"/>
            </w:pPr>
            <w:r w:rsidRPr="0076703D">
              <w:rPr>
                <w:color w:val="000000"/>
              </w:rPr>
              <w:t>9</w:t>
            </w:r>
          </w:p>
        </w:tc>
        <w:tc>
          <w:tcPr>
            <w:tcW w:w="316" w:type="pct"/>
            <w:tcBorders>
              <w:top w:val="single" w:sz="4" w:space="0" w:color="auto"/>
              <w:right w:val="nil"/>
            </w:tcBorders>
            <w:shd w:val="clear" w:color="auto" w:fill="E7E6E6"/>
            <w:noWrap/>
          </w:tcPr>
          <w:p w14:paraId="0AC4708D" w14:textId="77777777" w:rsidR="00C67339" w:rsidRPr="0076703D" w:rsidRDefault="00C67339" w:rsidP="001D5CB4">
            <w:pPr>
              <w:pStyle w:val="ARtabletextright"/>
              <w:spacing w:before="60" w:after="50"/>
            </w:pPr>
            <w:r w:rsidRPr="0076703D">
              <w:rPr>
                <w:color w:val="000000"/>
              </w:rPr>
              <w:t>7</w:t>
            </w:r>
          </w:p>
        </w:tc>
        <w:tc>
          <w:tcPr>
            <w:tcW w:w="316" w:type="pct"/>
            <w:tcBorders>
              <w:top w:val="single" w:sz="4" w:space="0" w:color="auto"/>
              <w:left w:val="nil"/>
              <w:right w:val="nil"/>
            </w:tcBorders>
            <w:shd w:val="clear" w:color="auto" w:fill="E7E6E6"/>
            <w:noWrap/>
          </w:tcPr>
          <w:p w14:paraId="2D1E88AC" w14:textId="77777777" w:rsidR="00C67339" w:rsidRPr="0076703D" w:rsidRDefault="00C67339" w:rsidP="001D5CB4">
            <w:pPr>
              <w:pStyle w:val="ARtabletextright"/>
              <w:spacing w:before="60" w:after="50"/>
            </w:pPr>
            <w:r w:rsidRPr="0076703D">
              <w:rPr>
                <w:color w:val="000000"/>
              </w:rPr>
              <w:t>2</w:t>
            </w:r>
          </w:p>
        </w:tc>
        <w:tc>
          <w:tcPr>
            <w:tcW w:w="368" w:type="pct"/>
            <w:tcBorders>
              <w:top w:val="single" w:sz="4" w:space="0" w:color="auto"/>
              <w:left w:val="nil"/>
              <w:right w:val="nil"/>
            </w:tcBorders>
            <w:shd w:val="clear" w:color="auto" w:fill="E7E6E6"/>
            <w:noWrap/>
          </w:tcPr>
          <w:p w14:paraId="076DF1D9"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1FE3D0A0" w14:textId="77777777" w:rsidR="00C67339" w:rsidRPr="0076703D" w:rsidRDefault="00C67339" w:rsidP="001D5CB4">
            <w:pPr>
              <w:pStyle w:val="ARtabletextrightbold"/>
              <w:spacing w:before="60" w:after="50"/>
            </w:pPr>
            <w:r w:rsidRPr="0076703D">
              <w:rPr>
                <w:color w:val="000000"/>
              </w:rPr>
              <w:t>9</w:t>
            </w:r>
          </w:p>
        </w:tc>
        <w:tc>
          <w:tcPr>
            <w:tcW w:w="314" w:type="pct"/>
            <w:tcBorders>
              <w:top w:val="single" w:sz="4" w:space="0" w:color="auto"/>
              <w:left w:val="nil"/>
            </w:tcBorders>
            <w:shd w:val="clear" w:color="auto" w:fill="auto"/>
            <w:noWrap/>
          </w:tcPr>
          <w:p w14:paraId="01C745D9"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54CF4064"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2DE61CC4"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6FEA4CEA" w14:textId="77777777" w:rsidR="00C67339" w:rsidRPr="0076703D" w:rsidRDefault="00C67339" w:rsidP="001D5CB4">
            <w:pPr>
              <w:pStyle w:val="ARtabletextrightbold"/>
              <w:spacing w:before="60" w:after="50"/>
            </w:pPr>
            <w:r w:rsidRPr="0076703D">
              <w:rPr>
                <w:color w:val="000000"/>
              </w:rPr>
              <w:t>0</w:t>
            </w:r>
          </w:p>
        </w:tc>
      </w:tr>
      <w:tr w:rsidR="00C67339" w:rsidRPr="007939DD" w14:paraId="442768E2" w14:textId="77777777" w:rsidTr="005732E7">
        <w:trPr>
          <w:cantSplit/>
        </w:trPr>
        <w:tc>
          <w:tcPr>
            <w:tcW w:w="1052" w:type="pct"/>
            <w:shd w:val="clear" w:color="auto" w:fill="auto"/>
            <w:noWrap/>
          </w:tcPr>
          <w:p w14:paraId="271AD0B8" w14:textId="77777777" w:rsidR="00C67339" w:rsidRPr="0076703D" w:rsidRDefault="00C67339" w:rsidP="001D5CB4">
            <w:pPr>
              <w:pStyle w:val="ARtabletext"/>
              <w:spacing w:before="60" w:after="50"/>
            </w:pPr>
            <w:r w:rsidRPr="0076703D">
              <w:rPr>
                <w:color w:val="000000"/>
              </w:rPr>
              <w:t>Portland District Health</w:t>
            </w:r>
          </w:p>
        </w:tc>
        <w:tc>
          <w:tcPr>
            <w:tcW w:w="315" w:type="pct"/>
          </w:tcPr>
          <w:p w14:paraId="4AC5EB86" w14:textId="77777777" w:rsidR="00C67339" w:rsidRPr="0076703D" w:rsidRDefault="00C67339" w:rsidP="001D5CB4">
            <w:pPr>
              <w:pStyle w:val="ARtabletextright"/>
              <w:spacing w:before="60" w:after="50"/>
            </w:pPr>
            <w:r w:rsidRPr="0076703D">
              <w:rPr>
                <w:color w:val="000000"/>
              </w:rPr>
              <w:t>1</w:t>
            </w:r>
          </w:p>
        </w:tc>
        <w:tc>
          <w:tcPr>
            <w:tcW w:w="316" w:type="pct"/>
          </w:tcPr>
          <w:p w14:paraId="25E954DD" w14:textId="77777777" w:rsidR="00C67339" w:rsidRPr="0076703D" w:rsidRDefault="00C67339" w:rsidP="001D5CB4">
            <w:pPr>
              <w:pStyle w:val="ARtabletextright"/>
              <w:spacing w:before="60" w:after="50"/>
            </w:pPr>
            <w:r w:rsidRPr="0076703D">
              <w:rPr>
                <w:color w:val="000000"/>
              </w:rPr>
              <w:t>1</w:t>
            </w:r>
          </w:p>
        </w:tc>
        <w:tc>
          <w:tcPr>
            <w:tcW w:w="369" w:type="pct"/>
          </w:tcPr>
          <w:p w14:paraId="03696C51"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7E6D2495" w14:textId="77777777" w:rsidR="00C67339" w:rsidRPr="0076703D" w:rsidRDefault="00C67339" w:rsidP="001D5CB4">
            <w:pPr>
              <w:pStyle w:val="ARtabletextrightbold"/>
              <w:spacing w:before="60" w:after="50"/>
            </w:pPr>
            <w:r w:rsidRPr="0076703D">
              <w:rPr>
                <w:color w:val="000000"/>
              </w:rPr>
              <w:t>2</w:t>
            </w:r>
          </w:p>
        </w:tc>
        <w:tc>
          <w:tcPr>
            <w:tcW w:w="316" w:type="pct"/>
            <w:tcBorders>
              <w:top w:val="single" w:sz="4" w:space="0" w:color="auto"/>
              <w:right w:val="nil"/>
            </w:tcBorders>
            <w:shd w:val="clear" w:color="auto" w:fill="E7E6E6"/>
            <w:noWrap/>
          </w:tcPr>
          <w:p w14:paraId="3C215B12" w14:textId="77777777" w:rsidR="00C67339" w:rsidRPr="0076703D" w:rsidRDefault="00C67339" w:rsidP="001D5CB4">
            <w:pPr>
              <w:pStyle w:val="ARtabletextright"/>
              <w:spacing w:before="60" w:after="50"/>
            </w:pPr>
            <w:r w:rsidRPr="0076703D">
              <w:rPr>
                <w:color w:val="000000"/>
              </w:rPr>
              <w:t>2</w:t>
            </w:r>
          </w:p>
        </w:tc>
        <w:tc>
          <w:tcPr>
            <w:tcW w:w="316" w:type="pct"/>
            <w:tcBorders>
              <w:top w:val="single" w:sz="4" w:space="0" w:color="auto"/>
              <w:left w:val="nil"/>
              <w:right w:val="nil"/>
            </w:tcBorders>
            <w:shd w:val="clear" w:color="auto" w:fill="E7E6E6"/>
            <w:noWrap/>
          </w:tcPr>
          <w:p w14:paraId="66AF8D97"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77D7C1B4"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2B2F0D27" w14:textId="77777777" w:rsidR="00C67339" w:rsidRPr="0076703D" w:rsidRDefault="00C67339" w:rsidP="001D5CB4">
            <w:pPr>
              <w:pStyle w:val="ARtabletextrightbold"/>
              <w:spacing w:before="60" w:after="50"/>
            </w:pPr>
            <w:r w:rsidRPr="0076703D">
              <w:rPr>
                <w:color w:val="000000"/>
              </w:rPr>
              <w:t>3</w:t>
            </w:r>
          </w:p>
        </w:tc>
        <w:tc>
          <w:tcPr>
            <w:tcW w:w="314" w:type="pct"/>
            <w:tcBorders>
              <w:top w:val="single" w:sz="4" w:space="0" w:color="auto"/>
              <w:left w:val="nil"/>
            </w:tcBorders>
            <w:shd w:val="clear" w:color="auto" w:fill="auto"/>
            <w:noWrap/>
          </w:tcPr>
          <w:p w14:paraId="47186743" w14:textId="77777777" w:rsidR="00C67339" w:rsidRPr="0076703D" w:rsidRDefault="00C67339" w:rsidP="001D5CB4">
            <w:pPr>
              <w:pStyle w:val="ARtabletextright"/>
              <w:spacing w:before="60" w:after="50"/>
            </w:pPr>
            <w:r w:rsidRPr="0076703D">
              <w:rPr>
                <w:color w:val="000000"/>
              </w:rPr>
              <w:t>-1</w:t>
            </w:r>
          </w:p>
        </w:tc>
        <w:tc>
          <w:tcPr>
            <w:tcW w:w="316" w:type="pct"/>
            <w:shd w:val="clear" w:color="auto" w:fill="auto"/>
            <w:noWrap/>
          </w:tcPr>
          <w:p w14:paraId="0E3E43DE"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05BE5CEA"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72FF3880" w14:textId="77777777" w:rsidR="00C67339" w:rsidRPr="0076703D" w:rsidRDefault="00C67339" w:rsidP="001D5CB4">
            <w:pPr>
              <w:pStyle w:val="ARtabletextrightbold"/>
              <w:spacing w:before="60" w:after="50"/>
            </w:pPr>
            <w:r w:rsidRPr="0076703D">
              <w:rPr>
                <w:color w:val="000000"/>
              </w:rPr>
              <w:t>-1</w:t>
            </w:r>
          </w:p>
        </w:tc>
      </w:tr>
      <w:tr w:rsidR="00C67339" w:rsidRPr="007939DD" w14:paraId="2C5D05A7" w14:textId="77777777" w:rsidTr="005732E7">
        <w:trPr>
          <w:cantSplit/>
        </w:trPr>
        <w:tc>
          <w:tcPr>
            <w:tcW w:w="1052" w:type="pct"/>
            <w:shd w:val="clear" w:color="auto" w:fill="auto"/>
            <w:noWrap/>
          </w:tcPr>
          <w:p w14:paraId="36EF6C9C" w14:textId="77777777" w:rsidR="00C67339" w:rsidRPr="0076703D" w:rsidRDefault="00C67339" w:rsidP="001D5CB4">
            <w:pPr>
              <w:pStyle w:val="ARtabletext"/>
              <w:spacing w:before="60" w:after="50"/>
            </w:pPr>
            <w:r w:rsidRPr="0076703D">
              <w:rPr>
                <w:color w:val="000000"/>
              </w:rPr>
              <w:t>Remembrance Parks Central Victoria</w:t>
            </w:r>
          </w:p>
        </w:tc>
        <w:tc>
          <w:tcPr>
            <w:tcW w:w="315" w:type="pct"/>
          </w:tcPr>
          <w:p w14:paraId="1A267397" w14:textId="77777777" w:rsidR="00C67339" w:rsidRPr="0076703D" w:rsidRDefault="00C67339" w:rsidP="001D5CB4">
            <w:pPr>
              <w:pStyle w:val="ARtabletextright"/>
              <w:spacing w:before="60" w:after="50"/>
            </w:pPr>
            <w:r w:rsidRPr="0076703D">
              <w:rPr>
                <w:color w:val="000000"/>
              </w:rPr>
              <w:t>0</w:t>
            </w:r>
          </w:p>
        </w:tc>
        <w:tc>
          <w:tcPr>
            <w:tcW w:w="316" w:type="pct"/>
          </w:tcPr>
          <w:p w14:paraId="502D364E" w14:textId="77777777" w:rsidR="00C67339" w:rsidRPr="0076703D" w:rsidRDefault="00C67339" w:rsidP="001D5CB4">
            <w:pPr>
              <w:pStyle w:val="ARtabletextright"/>
              <w:spacing w:before="60" w:after="50"/>
            </w:pPr>
            <w:r w:rsidRPr="0076703D">
              <w:rPr>
                <w:color w:val="000000"/>
              </w:rPr>
              <w:t>1</w:t>
            </w:r>
          </w:p>
        </w:tc>
        <w:tc>
          <w:tcPr>
            <w:tcW w:w="369" w:type="pct"/>
          </w:tcPr>
          <w:p w14:paraId="71892EFE"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36DCAC40"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4AC8F555"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1A788ECE"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1E0B2EE8"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2E134B5B"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353EAA11"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400F1702"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1DF2707C"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78D206D5" w14:textId="77777777" w:rsidR="00C67339" w:rsidRPr="0076703D" w:rsidRDefault="00C67339" w:rsidP="001D5CB4">
            <w:pPr>
              <w:pStyle w:val="ARtabletextrightbold"/>
              <w:spacing w:before="60" w:after="50"/>
            </w:pPr>
            <w:r w:rsidRPr="0076703D">
              <w:rPr>
                <w:color w:val="000000"/>
              </w:rPr>
              <w:t>0</w:t>
            </w:r>
          </w:p>
        </w:tc>
      </w:tr>
      <w:tr w:rsidR="00C67339" w:rsidRPr="007939DD" w14:paraId="34695120" w14:textId="77777777" w:rsidTr="005732E7">
        <w:trPr>
          <w:cantSplit/>
        </w:trPr>
        <w:tc>
          <w:tcPr>
            <w:tcW w:w="1052" w:type="pct"/>
            <w:shd w:val="clear" w:color="auto" w:fill="auto"/>
            <w:noWrap/>
          </w:tcPr>
          <w:p w14:paraId="07AE9D48" w14:textId="77777777" w:rsidR="00C67339" w:rsidRPr="0076703D" w:rsidRDefault="00C67339" w:rsidP="001D5CB4">
            <w:pPr>
              <w:pStyle w:val="ARtabletext"/>
              <w:spacing w:before="60" w:after="50"/>
            </w:pPr>
            <w:r w:rsidRPr="0076703D">
              <w:rPr>
                <w:color w:val="000000"/>
              </w:rPr>
              <w:t>Robinvale District Health Services</w:t>
            </w:r>
          </w:p>
        </w:tc>
        <w:tc>
          <w:tcPr>
            <w:tcW w:w="315" w:type="pct"/>
          </w:tcPr>
          <w:p w14:paraId="50D47CD1" w14:textId="77777777" w:rsidR="00C67339" w:rsidRPr="0076703D" w:rsidRDefault="00C67339" w:rsidP="001D5CB4">
            <w:pPr>
              <w:pStyle w:val="ARtabletextright"/>
              <w:spacing w:before="60" w:after="50"/>
            </w:pPr>
            <w:r w:rsidRPr="0076703D">
              <w:rPr>
                <w:color w:val="000000"/>
              </w:rPr>
              <w:t>1</w:t>
            </w:r>
          </w:p>
        </w:tc>
        <w:tc>
          <w:tcPr>
            <w:tcW w:w="316" w:type="pct"/>
          </w:tcPr>
          <w:p w14:paraId="02C53778" w14:textId="77777777" w:rsidR="00C67339" w:rsidRPr="0076703D" w:rsidRDefault="00C67339" w:rsidP="001D5CB4">
            <w:pPr>
              <w:pStyle w:val="ARtabletextright"/>
              <w:spacing w:before="60" w:after="50"/>
            </w:pPr>
            <w:r w:rsidRPr="0076703D">
              <w:rPr>
                <w:color w:val="000000"/>
              </w:rPr>
              <w:t>0</w:t>
            </w:r>
          </w:p>
        </w:tc>
        <w:tc>
          <w:tcPr>
            <w:tcW w:w="369" w:type="pct"/>
          </w:tcPr>
          <w:p w14:paraId="62EDAC64"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52FB6234"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10F348A0"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6035CC88"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0AF47645"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5F69E804"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7CF6CF12"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2372DBC7"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08662D0D"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52DAF156" w14:textId="77777777" w:rsidR="00C67339" w:rsidRPr="0076703D" w:rsidRDefault="00C67339" w:rsidP="001D5CB4">
            <w:pPr>
              <w:pStyle w:val="ARtabletextrightbold"/>
              <w:spacing w:before="60" w:after="50"/>
            </w:pPr>
            <w:r w:rsidRPr="0076703D">
              <w:rPr>
                <w:color w:val="000000"/>
              </w:rPr>
              <w:t>0</w:t>
            </w:r>
          </w:p>
        </w:tc>
      </w:tr>
      <w:tr w:rsidR="00C67339" w:rsidRPr="007939DD" w14:paraId="67D1F4ED" w14:textId="77777777" w:rsidTr="005732E7">
        <w:trPr>
          <w:cantSplit/>
        </w:trPr>
        <w:tc>
          <w:tcPr>
            <w:tcW w:w="1052" w:type="pct"/>
            <w:shd w:val="clear" w:color="auto" w:fill="auto"/>
            <w:noWrap/>
          </w:tcPr>
          <w:p w14:paraId="475A0D25" w14:textId="77777777" w:rsidR="00C67339" w:rsidRPr="0076703D" w:rsidRDefault="00C67339" w:rsidP="001D5CB4">
            <w:pPr>
              <w:pStyle w:val="ARtabletext"/>
              <w:spacing w:before="60" w:after="50"/>
            </w:pPr>
            <w:r w:rsidRPr="0076703D">
              <w:rPr>
                <w:color w:val="000000"/>
              </w:rPr>
              <w:t>Rochester and Elmore District Health Service</w:t>
            </w:r>
          </w:p>
        </w:tc>
        <w:tc>
          <w:tcPr>
            <w:tcW w:w="315" w:type="pct"/>
          </w:tcPr>
          <w:p w14:paraId="64B71A15" w14:textId="77777777" w:rsidR="00C67339" w:rsidRPr="0076703D" w:rsidRDefault="00C67339" w:rsidP="001D5CB4">
            <w:pPr>
              <w:pStyle w:val="ARtabletextright"/>
              <w:spacing w:before="60" w:after="50"/>
            </w:pPr>
            <w:r w:rsidRPr="0076703D">
              <w:rPr>
                <w:color w:val="000000"/>
              </w:rPr>
              <w:t>1</w:t>
            </w:r>
          </w:p>
        </w:tc>
        <w:tc>
          <w:tcPr>
            <w:tcW w:w="316" w:type="pct"/>
          </w:tcPr>
          <w:p w14:paraId="5F708912" w14:textId="77777777" w:rsidR="00C67339" w:rsidRPr="0076703D" w:rsidRDefault="00C67339" w:rsidP="001D5CB4">
            <w:pPr>
              <w:pStyle w:val="ARtabletextright"/>
              <w:spacing w:before="60" w:after="50"/>
            </w:pPr>
            <w:r w:rsidRPr="0076703D">
              <w:rPr>
                <w:color w:val="000000"/>
              </w:rPr>
              <w:t>0</w:t>
            </w:r>
          </w:p>
        </w:tc>
        <w:tc>
          <w:tcPr>
            <w:tcW w:w="369" w:type="pct"/>
          </w:tcPr>
          <w:p w14:paraId="7B475186"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7A0F87A6"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40D3E2D1"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1BB13AFA"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7930547F"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4E267782"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34C39B4E"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4F29DA73"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13AE42D3"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1F465259" w14:textId="77777777" w:rsidR="00C67339" w:rsidRPr="0076703D" w:rsidRDefault="00C67339" w:rsidP="001D5CB4">
            <w:pPr>
              <w:pStyle w:val="ARtabletextrightbold"/>
              <w:spacing w:before="60" w:after="50"/>
            </w:pPr>
            <w:r w:rsidRPr="0076703D">
              <w:rPr>
                <w:color w:val="000000"/>
              </w:rPr>
              <w:t>0</w:t>
            </w:r>
          </w:p>
        </w:tc>
      </w:tr>
      <w:tr w:rsidR="00C67339" w:rsidRPr="007939DD" w14:paraId="43C25E5A" w14:textId="77777777" w:rsidTr="005732E7">
        <w:trPr>
          <w:cantSplit/>
        </w:trPr>
        <w:tc>
          <w:tcPr>
            <w:tcW w:w="1052" w:type="pct"/>
            <w:shd w:val="clear" w:color="auto" w:fill="auto"/>
            <w:noWrap/>
          </w:tcPr>
          <w:p w14:paraId="7CAE04B5" w14:textId="77777777" w:rsidR="00C67339" w:rsidRPr="0076703D" w:rsidRDefault="00C67339" w:rsidP="001D5CB4">
            <w:pPr>
              <w:pStyle w:val="ARtabletext"/>
              <w:spacing w:before="60" w:after="50"/>
            </w:pPr>
            <w:r w:rsidRPr="0076703D">
              <w:rPr>
                <w:color w:val="000000"/>
              </w:rPr>
              <w:t>Royal Children's Hospital</w:t>
            </w:r>
          </w:p>
        </w:tc>
        <w:tc>
          <w:tcPr>
            <w:tcW w:w="315" w:type="pct"/>
          </w:tcPr>
          <w:p w14:paraId="3AF78113" w14:textId="77777777" w:rsidR="00C67339" w:rsidRPr="0076703D" w:rsidRDefault="00C67339" w:rsidP="001D5CB4">
            <w:pPr>
              <w:pStyle w:val="ARtabletextright"/>
              <w:spacing w:before="60" w:after="50"/>
            </w:pPr>
            <w:r w:rsidRPr="0076703D">
              <w:rPr>
                <w:color w:val="000000"/>
              </w:rPr>
              <w:t>5</w:t>
            </w:r>
          </w:p>
        </w:tc>
        <w:tc>
          <w:tcPr>
            <w:tcW w:w="316" w:type="pct"/>
          </w:tcPr>
          <w:p w14:paraId="441F9057" w14:textId="77777777" w:rsidR="00C67339" w:rsidRPr="0076703D" w:rsidRDefault="00C67339" w:rsidP="001D5CB4">
            <w:pPr>
              <w:pStyle w:val="ARtabletextright"/>
              <w:spacing w:before="60" w:after="50"/>
            </w:pPr>
            <w:r w:rsidRPr="0076703D">
              <w:rPr>
                <w:color w:val="000000"/>
              </w:rPr>
              <w:t>3</w:t>
            </w:r>
          </w:p>
        </w:tc>
        <w:tc>
          <w:tcPr>
            <w:tcW w:w="369" w:type="pct"/>
          </w:tcPr>
          <w:p w14:paraId="09F13CAA"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06B0FE2F" w14:textId="77777777" w:rsidR="00C67339" w:rsidRPr="0076703D" w:rsidRDefault="00C67339" w:rsidP="001D5CB4">
            <w:pPr>
              <w:pStyle w:val="ARtabletextrightbold"/>
              <w:spacing w:before="60" w:after="50"/>
            </w:pPr>
            <w:r w:rsidRPr="0076703D">
              <w:rPr>
                <w:color w:val="000000"/>
              </w:rPr>
              <w:t>8</w:t>
            </w:r>
          </w:p>
        </w:tc>
        <w:tc>
          <w:tcPr>
            <w:tcW w:w="316" w:type="pct"/>
            <w:tcBorders>
              <w:top w:val="single" w:sz="4" w:space="0" w:color="auto"/>
              <w:right w:val="nil"/>
            </w:tcBorders>
            <w:shd w:val="clear" w:color="auto" w:fill="E7E6E6"/>
            <w:noWrap/>
          </w:tcPr>
          <w:p w14:paraId="4F13FBEF" w14:textId="77777777" w:rsidR="00C67339" w:rsidRPr="0076703D" w:rsidRDefault="00C67339" w:rsidP="001D5CB4">
            <w:pPr>
              <w:pStyle w:val="ARtabletextright"/>
              <w:spacing w:before="60" w:after="50"/>
            </w:pPr>
            <w:r w:rsidRPr="0076703D">
              <w:rPr>
                <w:color w:val="000000"/>
              </w:rPr>
              <w:t>3</w:t>
            </w:r>
          </w:p>
        </w:tc>
        <w:tc>
          <w:tcPr>
            <w:tcW w:w="316" w:type="pct"/>
            <w:tcBorders>
              <w:top w:val="single" w:sz="4" w:space="0" w:color="auto"/>
              <w:left w:val="nil"/>
              <w:right w:val="nil"/>
            </w:tcBorders>
            <w:shd w:val="clear" w:color="auto" w:fill="E7E6E6"/>
            <w:noWrap/>
          </w:tcPr>
          <w:p w14:paraId="4CB4D5C4" w14:textId="77777777" w:rsidR="00C67339" w:rsidRPr="0076703D" w:rsidRDefault="00C67339" w:rsidP="001D5CB4">
            <w:pPr>
              <w:pStyle w:val="ARtabletextright"/>
              <w:spacing w:before="60" w:after="50"/>
            </w:pPr>
            <w:r w:rsidRPr="0076703D">
              <w:rPr>
                <w:color w:val="000000"/>
              </w:rPr>
              <w:t>3</w:t>
            </w:r>
          </w:p>
        </w:tc>
        <w:tc>
          <w:tcPr>
            <w:tcW w:w="368" w:type="pct"/>
            <w:tcBorders>
              <w:top w:val="single" w:sz="4" w:space="0" w:color="auto"/>
              <w:left w:val="nil"/>
              <w:right w:val="nil"/>
            </w:tcBorders>
            <w:shd w:val="clear" w:color="auto" w:fill="E7E6E6"/>
            <w:noWrap/>
          </w:tcPr>
          <w:p w14:paraId="5079A727"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660E7309" w14:textId="77777777" w:rsidR="00C67339" w:rsidRPr="0076703D" w:rsidRDefault="00C67339" w:rsidP="001D5CB4">
            <w:pPr>
              <w:pStyle w:val="ARtabletextrightbold"/>
              <w:spacing w:before="60" w:after="50"/>
            </w:pPr>
            <w:r w:rsidRPr="0076703D">
              <w:rPr>
                <w:color w:val="000000"/>
              </w:rPr>
              <w:t>6</w:t>
            </w:r>
          </w:p>
        </w:tc>
        <w:tc>
          <w:tcPr>
            <w:tcW w:w="314" w:type="pct"/>
            <w:tcBorders>
              <w:top w:val="single" w:sz="4" w:space="0" w:color="auto"/>
              <w:left w:val="nil"/>
            </w:tcBorders>
            <w:shd w:val="clear" w:color="auto" w:fill="auto"/>
            <w:noWrap/>
          </w:tcPr>
          <w:p w14:paraId="53600160" w14:textId="77777777" w:rsidR="00C67339" w:rsidRPr="0076703D" w:rsidRDefault="00C67339" w:rsidP="001D5CB4">
            <w:pPr>
              <w:pStyle w:val="ARtabletextright"/>
              <w:spacing w:before="60" w:after="50"/>
            </w:pPr>
            <w:r w:rsidRPr="0076703D">
              <w:rPr>
                <w:color w:val="000000"/>
              </w:rPr>
              <w:t>2</w:t>
            </w:r>
          </w:p>
        </w:tc>
        <w:tc>
          <w:tcPr>
            <w:tcW w:w="316" w:type="pct"/>
            <w:shd w:val="clear" w:color="auto" w:fill="auto"/>
            <w:noWrap/>
          </w:tcPr>
          <w:p w14:paraId="2521A94D"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1768B841"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277161D1" w14:textId="77777777" w:rsidR="00C67339" w:rsidRPr="0076703D" w:rsidRDefault="00C67339" w:rsidP="001D5CB4">
            <w:pPr>
              <w:pStyle w:val="ARtabletextrightbold"/>
              <w:spacing w:before="60" w:after="50"/>
            </w:pPr>
            <w:r w:rsidRPr="0076703D">
              <w:rPr>
                <w:color w:val="000000"/>
              </w:rPr>
              <w:t>2</w:t>
            </w:r>
          </w:p>
        </w:tc>
      </w:tr>
      <w:tr w:rsidR="00C67339" w:rsidRPr="007939DD" w14:paraId="038C557F" w14:textId="77777777" w:rsidTr="005732E7">
        <w:trPr>
          <w:cantSplit/>
        </w:trPr>
        <w:tc>
          <w:tcPr>
            <w:tcW w:w="1052" w:type="pct"/>
            <w:shd w:val="clear" w:color="auto" w:fill="auto"/>
            <w:noWrap/>
          </w:tcPr>
          <w:p w14:paraId="12AA6ADB" w14:textId="77777777" w:rsidR="00C67339" w:rsidRPr="0076703D" w:rsidRDefault="00C67339" w:rsidP="001D5CB4">
            <w:pPr>
              <w:pStyle w:val="ARtabletext"/>
              <w:spacing w:before="60" w:after="50"/>
            </w:pPr>
            <w:r w:rsidRPr="0076703D">
              <w:rPr>
                <w:color w:val="000000"/>
              </w:rPr>
              <w:t>Royal Victorian Eye and Ear Hospital</w:t>
            </w:r>
          </w:p>
        </w:tc>
        <w:tc>
          <w:tcPr>
            <w:tcW w:w="315" w:type="pct"/>
          </w:tcPr>
          <w:p w14:paraId="2ED203F7" w14:textId="77777777" w:rsidR="00C67339" w:rsidRPr="0076703D" w:rsidRDefault="00C67339" w:rsidP="001D5CB4">
            <w:pPr>
              <w:pStyle w:val="ARtabletextright"/>
              <w:spacing w:before="60" w:after="50"/>
            </w:pPr>
            <w:r w:rsidRPr="0076703D">
              <w:rPr>
                <w:color w:val="000000"/>
              </w:rPr>
              <w:t>1</w:t>
            </w:r>
          </w:p>
        </w:tc>
        <w:tc>
          <w:tcPr>
            <w:tcW w:w="316" w:type="pct"/>
          </w:tcPr>
          <w:p w14:paraId="49EEDB3E" w14:textId="77777777" w:rsidR="00C67339" w:rsidRPr="0076703D" w:rsidRDefault="00C67339" w:rsidP="001D5CB4">
            <w:pPr>
              <w:pStyle w:val="ARtabletextright"/>
              <w:spacing w:before="60" w:after="50"/>
            </w:pPr>
            <w:r w:rsidRPr="0076703D">
              <w:rPr>
                <w:color w:val="000000"/>
              </w:rPr>
              <w:t>4</w:t>
            </w:r>
          </w:p>
        </w:tc>
        <w:tc>
          <w:tcPr>
            <w:tcW w:w="369" w:type="pct"/>
          </w:tcPr>
          <w:p w14:paraId="6B5DC26C"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06F88E77" w14:textId="77777777" w:rsidR="00C67339" w:rsidRPr="0076703D" w:rsidRDefault="00C67339" w:rsidP="001D5CB4">
            <w:pPr>
              <w:pStyle w:val="ARtabletextrightbold"/>
              <w:spacing w:before="60" w:after="50"/>
            </w:pPr>
            <w:r w:rsidRPr="0076703D">
              <w:rPr>
                <w:color w:val="000000"/>
              </w:rPr>
              <w:t>5</w:t>
            </w:r>
          </w:p>
        </w:tc>
        <w:tc>
          <w:tcPr>
            <w:tcW w:w="316" w:type="pct"/>
            <w:tcBorders>
              <w:top w:val="single" w:sz="4" w:space="0" w:color="auto"/>
              <w:right w:val="nil"/>
            </w:tcBorders>
            <w:shd w:val="clear" w:color="auto" w:fill="E7E6E6"/>
            <w:noWrap/>
          </w:tcPr>
          <w:p w14:paraId="087E2DFF" w14:textId="77777777" w:rsidR="00C67339" w:rsidRPr="0076703D" w:rsidRDefault="00C67339" w:rsidP="001D5CB4">
            <w:pPr>
              <w:pStyle w:val="ARtabletextright"/>
              <w:spacing w:before="60" w:after="50"/>
            </w:pPr>
            <w:r w:rsidRPr="0076703D">
              <w:rPr>
                <w:color w:val="000000"/>
              </w:rPr>
              <w:t>3</w:t>
            </w:r>
          </w:p>
        </w:tc>
        <w:tc>
          <w:tcPr>
            <w:tcW w:w="316" w:type="pct"/>
            <w:tcBorders>
              <w:top w:val="single" w:sz="4" w:space="0" w:color="auto"/>
              <w:left w:val="nil"/>
              <w:right w:val="nil"/>
            </w:tcBorders>
            <w:shd w:val="clear" w:color="auto" w:fill="E7E6E6"/>
            <w:noWrap/>
          </w:tcPr>
          <w:p w14:paraId="6BB73D0A" w14:textId="77777777" w:rsidR="00C67339" w:rsidRPr="0076703D" w:rsidRDefault="00C67339" w:rsidP="001D5CB4">
            <w:pPr>
              <w:pStyle w:val="ARtabletextright"/>
              <w:spacing w:before="60" w:after="50"/>
            </w:pPr>
            <w:r w:rsidRPr="0076703D">
              <w:rPr>
                <w:color w:val="000000"/>
              </w:rPr>
              <w:t>3</w:t>
            </w:r>
          </w:p>
        </w:tc>
        <w:tc>
          <w:tcPr>
            <w:tcW w:w="368" w:type="pct"/>
            <w:tcBorders>
              <w:top w:val="single" w:sz="4" w:space="0" w:color="auto"/>
              <w:left w:val="nil"/>
              <w:right w:val="nil"/>
            </w:tcBorders>
            <w:shd w:val="clear" w:color="auto" w:fill="E7E6E6"/>
            <w:noWrap/>
          </w:tcPr>
          <w:p w14:paraId="6FADABAE"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74A02692" w14:textId="77777777" w:rsidR="00C67339" w:rsidRPr="0076703D" w:rsidRDefault="00C67339" w:rsidP="001D5CB4">
            <w:pPr>
              <w:pStyle w:val="ARtabletextrightbold"/>
              <w:spacing w:before="60" w:after="50"/>
            </w:pPr>
            <w:r w:rsidRPr="0076703D">
              <w:rPr>
                <w:color w:val="000000"/>
              </w:rPr>
              <w:t>6</w:t>
            </w:r>
          </w:p>
        </w:tc>
        <w:tc>
          <w:tcPr>
            <w:tcW w:w="314" w:type="pct"/>
            <w:tcBorders>
              <w:top w:val="single" w:sz="4" w:space="0" w:color="auto"/>
              <w:left w:val="nil"/>
            </w:tcBorders>
            <w:shd w:val="clear" w:color="auto" w:fill="auto"/>
            <w:noWrap/>
          </w:tcPr>
          <w:p w14:paraId="3EF4B2B0" w14:textId="77777777" w:rsidR="00C67339" w:rsidRPr="0076703D" w:rsidRDefault="00C67339" w:rsidP="001D5CB4">
            <w:pPr>
              <w:pStyle w:val="ARtabletextright"/>
              <w:spacing w:before="60" w:after="50"/>
            </w:pPr>
            <w:r w:rsidRPr="0076703D">
              <w:rPr>
                <w:color w:val="000000"/>
              </w:rPr>
              <w:t>-2</w:t>
            </w:r>
          </w:p>
        </w:tc>
        <w:tc>
          <w:tcPr>
            <w:tcW w:w="316" w:type="pct"/>
            <w:shd w:val="clear" w:color="auto" w:fill="auto"/>
            <w:noWrap/>
          </w:tcPr>
          <w:p w14:paraId="4C77E952" w14:textId="77777777" w:rsidR="00C67339" w:rsidRPr="0076703D" w:rsidRDefault="00C67339" w:rsidP="001D5CB4">
            <w:pPr>
              <w:pStyle w:val="ARtabletextright"/>
              <w:spacing w:before="60" w:after="50"/>
            </w:pPr>
            <w:r w:rsidRPr="0076703D">
              <w:rPr>
                <w:color w:val="000000"/>
              </w:rPr>
              <w:t>1</w:t>
            </w:r>
          </w:p>
        </w:tc>
        <w:tc>
          <w:tcPr>
            <w:tcW w:w="368" w:type="pct"/>
            <w:shd w:val="clear" w:color="auto" w:fill="auto"/>
            <w:noWrap/>
          </w:tcPr>
          <w:p w14:paraId="2F3ED165"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17F3EB08" w14:textId="77777777" w:rsidR="00C67339" w:rsidRPr="0076703D" w:rsidRDefault="00C67339" w:rsidP="001D5CB4">
            <w:pPr>
              <w:pStyle w:val="ARtabletextrightbold"/>
              <w:spacing w:before="60" w:after="50"/>
            </w:pPr>
            <w:r w:rsidRPr="0076703D">
              <w:rPr>
                <w:color w:val="000000"/>
              </w:rPr>
              <w:t>-1</w:t>
            </w:r>
          </w:p>
        </w:tc>
      </w:tr>
      <w:tr w:rsidR="00C67339" w:rsidRPr="007939DD" w14:paraId="0AEBF544" w14:textId="77777777" w:rsidTr="005732E7">
        <w:trPr>
          <w:cantSplit/>
        </w:trPr>
        <w:tc>
          <w:tcPr>
            <w:tcW w:w="1052" w:type="pct"/>
            <w:shd w:val="clear" w:color="auto" w:fill="auto"/>
            <w:noWrap/>
          </w:tcPr>
          <w:p w14:paraId="39B89678" w14:textId="77777777" w:rsidR="00C67339" w:rsidRPr="0076703D" w:rsidRDefault="00C67339" w:rsidP="001D5CB4">
            <w:pPr>
              <w:pStyle w:val="ARtabletext"/>
              <w:spacing w:before="60" w:after="50"/>
            </w:pPr>
            <w:r w:rsidRPr="0076703D">
              <w:rPr>
                <w:color w:val="000000"/>
              </w:rPr>
              <w:t>Royal Women's Hospital</w:t>
            </w:r>
          </w:p>
        </w:tc>
        <w:tc>
          <w:tcPr>
            <w:tcW w:w="315" w:type="pct"/>
          </w:tcPr>
          <w:p w14:paraId="79714F4F" w14:textId="77777777" w:rsidR="00C67339" w:rsidRPr="0076703D" w:rsidRDefault="00C67339" w:rsidP="001D5CB4">
            <w:pPr>
              <w:pStyle w:val="ARtabletextright"/>
              <w:spacing w:before="60" w:after="50"/>
            </w:pPr>
            <w:r w:rsidRPr="0076703D">
              <w:rPr>
                <w:color w:val="000000"/>
              </w:rPr>
              <w:t>6</w:t>
            </w:r>
          </w:p>
        </w:tc>
        <w:tc>
          <w:tcPr>
            <w:tcW w:w="316" w:type="pct"/>
          </w:tcPr>
          <w:p w14:paraId="0AFC821D" w14:textId="77777777" w:rsidR="00C67339" w:rsidRPr="0076703D" w:rsidRDefault="00C67339" w:rsidP="001D5CB4">
            <w:pPr>
              <w:pStyle w:val="ARtabletextright"/>
              <w:spacing w:before="60" w:after="50"/>
            </w:pPr>
            <w:r w:rsidRPr="0076703D">
              <w:rPr>
                <w:color w:val="000000"/>
              </w:rPr>
              <w:t>2</w:t>
            </w:r>
          </w:p>
        </w:tc>
        <w:tc>
          <w:tcPr>
            <w:tcW w:w="369" w:type="pct"/>
          </w:tcPr>
          <w:p w14:paraId="1418421E"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01AD397E" w14:textId="77777777" w:rsidR="00C67339" w:rsidRPr="0076703D" w:rsidRDefault="00C67339" w:rsidP="001D5CB4">
            <w:pPr>
              <w:pStyle w:val="ARtabletextrightbold"/>
              <w:spacing w:before="60" w:after="50"/>
            </w:pPr>
            <w:r w:rsidRPr="0076703D">
              <w:rPr>
                <w:color w:val="000000"/>
              </w:rPr>
              <w:t>8</w:t>
            </w:r>
          </w:p>
        </w:tc>
        <w:tc>
          <w:tcPr>
            <w:tcW w:w="316" w:type="pct"/>
            <w:tcBorders>
              <w:top w:val="single" w:sz="4" w:space="0" w:color="auto"/>
              <w:right w:val="nil"/>
            </w:tcBorders>
            <w:shd w:val="clear" w:color="auto" w:fill="E7E6E6"/>
            <w:noWrap/>
          </w:tcPr>
          <w:p w14:paraId="6D8339EA" w14:textId="77777777" w:rsidR="00C67339" w:rsidRPr="0076703D" w:rsidRDefault="00C67339" w:rsidP="001D5CB4">
            <w:pPr>
              <w:pStyle w:val="ARtabletextright"/>
              <w:spacing w:before="60" w:after="50"/>
            </w:pPr>
            <w:r w:rsidRPr="0076703D">
              <w:rPr>
                <w:color w:val="000000"/>
              </w:rPr>
              <w:t>5</w:t>
            </w:r>
          </w:p>
        </w:tc>
        <w:tc>
          <w:tcPr>
            <w:tcW w:w="316" w:type="pct"/>
            <w:tcBorders>
              <w:top w:val="single" w:sz="4" w:space="0" w:color="auto"/>
              <w:left w:val="nil"/>
              <w:right w:val="nil"/>
            </w:tcBorders>
            <w:shd w:val="clear" w:color="auto" w:fill="E7E6E6"/>
            <w:noWrap/>
          </w:tcPr>
          <w:p w14:paraId="5E51A71E" w14:textId="77777777" w:rsidR="00C67339" w:rsidRPr="0076703D" w:rsidRDefault="00C67339" w:rsidP="001D5CB4">
            <w:pPr>
              <w:pStyle w:val="ARtabletextright"/>
              <w:spacing w:before="60" w:after="50"/>
            </w:pPr>
            <w:r w:rsidRPr="0076703D">
              <w:rPr>
                <w:color w:val="000000"/>
              </w:rPr>
              <w:t>2</w:t>
            </w:r>
          </w:p>
        </w:tc>
        <w:tc>
          <w:tcPr>
            <w:tcW w:w="368" w:type="pct"/>
            <w:tcBorders>
              <w:top w:val="single" w:sz="4" w:space="0" w:color="auto"/>
              <w:left w:val="nil"/>
              <w:right w:val="nil"/>
            </w:tcBorders>
            <w:shd w:val="clear" w:color="auto" w:fill="E7E6E6"/>
            <w:noWrap/>
          </w:tcPr>
          <w:p w14:paraId="7D850409"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72F8BAD0" w14:textId="77777777" w:rsidR="00C67339" w:rsidRPr="0076703D" w:rsidRDefault="00C67339" w:rsidP="001D5CB4">
            <w:pPr>
              <w:pStyle w:val="ARtabletextrightbold"/>
              <w:spacing w:before="60" w:after="50"/>
            </w:pPr>
            <w:r w:rsidRPr="0076703D">
              <w:rPr>
                <w:color w:val="000000"/>
              </w:rPr>
              <w:t>7</w:t>
            </w:r>
          </w:p>
        </w:tc>
        <w:tc>
          <w:tcPr>
            <w:tcW w:w="314" w:type="pct"/>
            <w:tcBorders>
              <w:top w:val="single" w:sz="4" w:space="0" w:color="auto"/>
              <w:left w:val="nil"/>
            </w:tcBorders>
            <w:shd w:val="clear" w:color="auto" w:fill="auto"/>
            <w:noWrap/>
          </w:tcPr>
          <w:p w14:paraId="4B23ACFB" w14:textId="77777777" w:rsidR="00C67339" w:rsidRPr="0076703D" w:rsidRDefault="00C67339" w:rsidP="001D5CB4">
            <w:pPr>
              <w:pStyle w:val="ARtabletextright"/>
              <w:spacing w:before="60" w:after="50"/>
            </w:pPr>
            <w:r w:rsidRPr="0076703D">
              <w:rPr>
                <w:color w:val="000000"/>
              </w:rPr>
              <w:t>1</w:t>
            </w:r>
          </w:p>
        </w:tc>
        <w:tc>
          <w:tcPr>
            <w:tcW w:w="316" w:type="pct"/>
            <w:shd w:val="clear" w:color="auto" w:fill="auto"/>
            <w:noWrap/>
          </w:tcPr>
          <w:p w14:paraId="32AFF6EC"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23A07821"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5E2D4CE6" w14:textId="77777777" w:rsidR="00C67339" w:rsidRPr="0076703D" w:rsidRDefault="00C67339" w:rsidP="001D5CB4">
            <w:pPr>
              <w:pStyle w:val="ARtabletextrightbold"/>
              <w:spacing w:before="60" w:after="50"/>
            </w:pPr>
            <w:r w:rsidRPr="0076703D">
              <w:rPr>
                <w:color w:val="000000"/>
              </w:rPr>
              <w:t>1</w:t>
            </w:r>
          </w:p>
        </w:tc>
      </w:tr>
      <w:tr w:rsidR="00C67339" w:rsidRPr="007939DD" w14:paraId="34FA75CA" w14:textId="77777777" w:rsidTr="005732E7">
        <w:trPr>
          <w:cantSplit/>
        </w:trPr>
        <w:tc>
          <w:tcPr>
            <w:tcW w:w="1052" w:type="pct"/>
            <w:shd w:val="clear" w:color="auto" w:fill="auto"/>
            <w:noWrap/>
          </w:tcPr>
          <w:p w14:paraId="192CDFC9" w14:textId="77777777" w:rsidR="00C67339" w:rsidRPr="0076703D" w:rsidRDefault="00C67339" w:rsidP="001D5CB4">
            <w:pPr>
              <w:pStyle w:val="ARtabletext"/>
              <w:spacing w:before="60" w:after="50"/>
            </w:pPr>
            <w:r w:rsidRPr="0076703D">
              <w:rPr>
                <w:color w:val="000000"/>
              </w:rPr>
              <w:t>Rural Northwest Health</w:t>
            </w:r>
          </w:p>
        </w:tc>
        <w:tc>
          <w:tcPr>
            <w:tcW w:w="315" w:type="pct"/>
          </w:tcPr>
          <w:p w14:paraId="6991F0B1" w14:textId="77777777" w:rsidR="00C67339" w:rsidRPr="0076703D" w:rsidRDefault="00C67339" w:rsidP="001D5CB4">
            <w:pPr>
              <w:pStyle w:val="ARtabletextright"/>
              <w:spacing w:before="60" w:after="50"/>
            </w:pPr>
            <w:r w:rsidRPr="0076703D">
              <w:rPr>
                <w:color w:val="000000"/>
              </w:rPr>
              <w:t>0</w:t>
            </w:r>
          </w:p>
        </w:tc>
        <w:tc>
          <w:tcPr>
            <w:tcW w:w="316" w:type="pct"/>
          </w:tcPr>
          <w:p w14:paraId="1ECBABDE" w14:textId="77777777" w:rsidR="00C67339" w:rsidRPr="0076703D" w:rsidRDefault="00C67339" w:rsidP="001D5CB4">
            <w:pPr>
              <w:pStyle w:val="ARtabletextright"/>
              <w:spacing w:before="60" w:after="50"/>
            </w:pPr>
            <w:r w:rsidRPr="0076703D">
              <w:rPr>
                <w:color w:val="000000"/>
              </w:rPr>
              <w:t>1</w:t>
            </w:r>
          </w:p>
        </w:tc>
        <w:tc>
          <w:tcPr>
            <w:tcW w:w="369" w:type="pct"/>
          </w:tcPr>
          <w:p w14:paraId="068D16E7"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6DB458AF"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3ABB1754"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367ABEC5"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1DF54976"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660FE8B1"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0B5EAA51"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49B89B00"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4A1F23F8"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27B3BA2F" w14:textId="77777777" w:rsidR="00C67339" w:rsidRPr="0076703D" w:rsidRDefault="00C67339" w:rsidP="001D5CB4">
            <w:pPr>
              <w:pStyle w:val="ARtabletextrightbold"/>
              <w:spacing w:before="60" w:after="50"/>
            </w:pPr>
            <w:r w:rsidRPr="0076703D">
              <w:rPr>
                <w:color w:val="000000"/>
              </w:rPr>
              <w:t>0</w:t>
            </w:r>
          </w:p>
        </w:tc>
      </w:tr>
      <w:tr w:rsidR="00C67339" w:rsidRPr="007939DD" w14:paraId="751BFEB5" w14:textId="77777777" w:rsidTr="005732E7">
        <w:trPr>
          <w:cantSplit/>
        </w:trPr>
        <w:tc>
          <w:tcPr>
            <w:tcW w:w="1052" w:type="pct"/>
            <w:shd w:val="clear" w:color="auto" w:fill="auto"/>
            <w:noWrap/>
          </w:tcPr>
          <w:p w14:paraId="0785A2A0" w14:textId="77777777" w:rsidR="00C67339" w:rsidRPr="0076703D" w:rsidRDefault="00C67339" w:rsidP="001D5CB4">
            <w:pPr>
              <w:pStyle w:val="ARtabletext"/>
              <w:spacing w:before="60" w:after="50"/>
            </w:pPr>
            <w:r w:rsidRPr="0076703D">
              <w:rPr>
                <w:color w:val="000000"/>
              </w:rPr>
              <w:t>Seymour Health</w:t>
            </w:r>
          </w:p>
        </w:tc>
        <w:tc>
          <w:tcPr>
            <w:tcW w:w="315" w:type="pct"/>
          </w:tcPr>
          <w:p w14:paraId="2CBC783E" w14:textId="77777777" w:rsidR="00C67339" w:rsidRPr="0076703D" w:rsidRDefault="00C67339" w:rsidP="001D5CB4">
            <w:pPr>
              <w:pStyle w:val="ARtabletextright"/>
              <w:spacing w:before="60" w:after="50"/>
            </w:pPr>
            <w:r w:rsidRPr="0076703D">
              <w:rPr>
                <w:color w:val="000000"/>
              </w:rPr>
              <w:t>0</w:t>
            </w:r>
          </w:p>
        </w:tc>
        <w:tc>
          <w:tcPr>
            <w:tcW w:w="316" w:type="pct"/>
          </w:tcPr>
          <w:p w14:paraId="555DAB21" w14:textId="77777777" w:rsidR="00C67339" w:rsidRPr="0076703D" w:rsidRDefault="00C67339" w:rsidP="001D5CB4">
            <w:pPr>
              <w:pStyle w:val="ARtabletextright"/>
              <w:spacing w:before="60" w:after="50"/>
            </w:pPr>
            <w:r w:rsidRPr="0076703D">
              <w:rPr>
                <w:color w:val="000000"/>
              </w:rPr>
              <w:t>1</w:t>
            </w:r>
          </w:p>
        </w:tc>
        <w:tc>
          <w:tcPr>
            <w:tcW w:w="369" w:type="pct"/>
          </w:tcPr>
          <w:p w14:paraId="057AEB35"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579DF80A"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624182C7"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064302C2"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53CD869F"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0EB259CE"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6B2BF7B8"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10CB3D6A"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5FFFD0D1"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73FABC70" w14:textId="77777777" w:rsidR="00C67339" w:rsidRPr="0076703D" w:rsidRDefault="00C67339" w:rsidP="001D5CB4">
            <w:pPr>
              <w:pStyle w:val="ARtabletextrightbold"/>
              <w:spacing w:before="60" w:after="50"/>
            </w:pPr>
            <w:r w:rsidRPr="0076703D">
              <w:rPr>
                <w:color w:val="000000"/>
              </w:rPr>
              <w:t>0</w:t>
            </w:r>
          </w:p>
        </w:tc>
      </w:tr>
      <w:tr w:rsidR="00C67339" w:rsidRPr="007939DD" w14:paraId="11D8490C" w14:textId="77777777" w:rsidTr="005732E7">
        <w:trPr>
          <w:cantSplit/>
        </w:trPr>
        <w:tc>
          <w:tcPr>
            <w:tcW w:w="1052" w:type="pct"/>
            <w:shd w:val="clear" w:color="auto" w:fill="auto"/>
            <w:noWrap/>
          </w:tcPr>
          <w:p w14:paraId="4E0766DB" w14:textId="77777777" w:rsidR="00C67339" w:rsidRPr="0076703D" w:rsidRDefault="00C67339" w:rsidP="001D5CB4">
            <w:pPr>
              <w:pStyle w:val="ARtabletext"/>
              <w:spacing w:before="60" w:after="50"/>
            </w:pPr>
            <w:r w:rsidRPr="0076703D">
              <w:rPr>
                <w:color w:val="000000"/>
              </w:rPr>
              <w:t>South Gippsland Hospital</w:t>
            </w:r>
          </w:p>
        </w:tc>
        <w:tc>
          <w:tcPr>
            <w:tcW w:w="315" w:type="pct"/>
          </w:tcPr>
          <w:p w14:paraId="0D01B834" w14:textId="77777777" w:rsidR="00C67339" w:rsidRPr="0076703D" w:rsidRDefault="00C67339" w:rsidP="001D5CB4">
            <w:pPr>
              <w:pStyle w:val="ARtabletextright"/>
              <w:spacing w:before="60" w:after="50"/>
            </w:pPr>
            <w:r w:rsidRPr="0076703D">
              <w:rPr>
                <w:color w:val="000000"/>
              </w:rPr>
              <w:t>1</w:t>
            </w:r>
          </w:p>
        </w:tc>
        <w:tc>
          <w:tcPr>
            <w:tcW w:w="316" w:type="pct"/>
          </w:tcPr>
          <w:p w14:paraId="160451CC" w14:textId="77777777" w:rsidR="00C67339" w:rsidRPr="0076703D" w:rsidRDefault="00C67339" w:rsidP="001D5CB4">
            <w:pPr>
              <w:pStyle w:val="ARtabletextright"/>
              <w:spacing w:before="60" w:after="50"/>
            </w:pPr>
            <w:r w:rsidRPr="0076703D">
              <w:rPr>
                <w:color w:val="000000"/>
              </w:rPr>
              <w:t>0</w:t>
            </w:r>
          </w:p>
        </w:tc>
        <w:tc>
          <w:tcPr>
            <w:tcW w:w="369" w:type="pct"/>
          </w:tcPr>
          <w:p w14:paraId="3EC2CDB6"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525A8759"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76073F10"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0F0B51EF"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405300E3"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4B55CDBF"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35C2E497"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10C84448"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6DF0464F"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35C641D5" w14:textId="77777777" w:rsidR="00C67339" w:rsidRPr="0076703D" w:rsidRDefault="00C67339" w:rsidP="001D5CB4">
            <w:pPr>
              <w:pStyle w:val="ARtabletextrightbold"/>
              <w:spacing w:before="60" w:after="50"/>
            </w:pPr>
            <w:r w:rsidRPr="0076703D">
              <w:rPr>
                <w:color w:val="000000"/>
              </w:rPr>
              <w:t>0</w:t>
            </w:r>
          </w:p>
        </w:tc>
      </w:tr>
      <w:tr w:rsidR="00C67339" w:rsidRPr="007939DD" w14:paraId="6F0889CE" w14:textId="77777777" w:rsidTr="005732E7">
        <w:trPr>
          <w:cantSplit/>
        </w:trPr>
        <w:tc>
          <w:tcPr>
            <w:tcW w:w="1052" w:type="pct"/>
            <w:shd w:val="clear" w:color="auto" w:fill="auto"/>
            <w:noWrap/>
          </w:tcPr>
          <w:p w14:paraId="3176FB78" w14:textId="77777777" w:rsidR="00C67339" w:rsidRPr="0076703D" w:rsidRDefault="00C67339" w:rsidP="001D5CB4">
            <w:pPr>
              <w:pStyle w:val="ARtabletext"/>
              <w:spacing w:before="60" w:after="50"/>
            </w:pPr>
            <w:r w:rsidRPr="0076703D">
              <w:rPr>
                <w:color w:val="000000"/>
              </w:rPr>
              <w:t>South West Healthcare</w:t>
            </w:r>
          </w:p>
        </w:tc>
        <w:tc>
          <w:tcPr>
            <w:tcW w:w="315" w:type="pct"/>
          </w:tcPr>
          <w:p w14:paraId="3C9A0795" w14:textId="77777777" w:rsidR="00C67339" w:rsidRPr="0076703D" w:rsidRDefault="00C67339" w:rsidP="001D5CB4">
            <w:pPr>
              <w:pStyle w:val="ARtabletextright"/>
              <w:spacing w:before="60" w:after="50"/>
            </w:pPr>
            <w:r w:rsidRPr="0076703D">
              <w:rPr>
                <w:color w:val="000000"/>
              </w:rPr>
              <w:t>0</w:t>
            </w:r>
          </w:p>
        </w:tc>
        <w:tc>
          <w:tcPr>
            <w:tcW w:w="316" w:type="pct"/>
          </w:tcPr>
          <w:p w14:paraId="7C21A290" w14:textId="77777777" w:rsidR="00C67339" w:rsidRPr="0076703D" w:rsidRDefault="00C67339" w:rsidP="001D5CB4">
            <w:pPr>
              <w:pStyle w:val="ARtabletextright"/>
              <w:spacing w:before="60" w:after="50"/>
            </w:pPr>
            <w:r w:rsidRPr="0076703D">
              <w:rPr>
                <w:color w:val="000000"/>
              </w:rPr>
              <w:t>3</w:t>
            </w:r>
          </w:p>
        </w:tc>
        <w:tc>
          <w:tcPr>
            <w:tcW w:w="369" w:type="pct"/>
          </w:tcPr>
          <w:p w14:paraId="31665A6F"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3EA8325C" w14:textId="77777777" w:rsidR="00C67339" w:rsidRPr="0076703D" w:rsidRDefault="00C67339" w:rsidP="001D5CB4">
            <w:pPr>
              <w:pStyle w:val="ARtabletextrightbold"/>
              <w:spacing w:before="60" w:after="50"/>
            </w:pPr>
            <w:r w:rsidRPr="0076703D">
              <w:rPr>
                <w:color w:val="000000"/>
              </w:rPr>
              <w:t>3</w:t>
            </w:r>
          </w:p>
        </w:tc>
        <w:tc>
          <w:tcPr>
            <w:tcW w:w="316" w:type="pct"/>
            <w:tcBorders>
              <w:top w:val="single" w:sz="4" w:space="0" w:color="auto"/>
              <w:right w:val="nil"/>
            </w:tcBorders>
            <w:shd w:val="clear" w:color="auto" w:fill="E7E6E6"/>
            <w:noWrap/>
          </w:tcPr>
          <w:p w14:paraId="55A0CBB0" w14:textId="77777777" w:rsidR="00C67339" w:rsidRPr="0076703D" w:rsidRDefault="00C67339" w:rsidP="001D5CB4">
            <w:pPr>
              <w:pStyle w:val="ARtabletextright"/>
              <w:spacing w:before="60" w:after="50"/>
            </w:pPr>
            <w:r w:rsidRPr="0076703D">
              <w:rPr>
                <w:color w:val="000000"/>
              </w:rPr>
              <w:t>3</w:t>
            </w:r>
          </w:p>
        </w:tc>
        <w:tc>
          <w:tcPr>
            <w:tcW w:w="316" w:type="pct"/>
            <w:tcBorders>
              <w:top w:val="single" w:sz="4" w:space="0" w:color="auto"/>
              <w:left w:val="nil"/>
              <w:right w:val="nil"/>
            </w:tcBorders>
            <w:shd w:val="clear" w:color="auto" w:fill="E7E6E6"/>
            <w:noWrap/>
          </w:tcPr>
          <w:p w14:paraId="14B2F7BB" w14:textId="77777777" w:rsidR="00C67339" w:rsidRPr="0076703D" w:rsidRDefault="00C67339" w:rsidP="001D5CB4">
            <w:pPr>
              <w:pStyle w:val="ARtabletextright"/>
              <w:spacing w:before="60" w:after="50"/>
            </w:pPr>
            <w:r w:rsidRPr="0076703D">
              <w:rPr>
                <w:color w:val="000000"/>
              </w:rPr>
              <w:t>4</w:t>
            </w:r>
          </w:p>
        </w:tc>
        <w:tc>
          <w:tcPr>
            <w:tcW w:w="368" w:type="pct"/>
            <w:tcBorders>
              <w:top w:val="single" w:sz="4" w:space="0" w:color="auto"/>
              <w:left w:val="nil"/>
              <w:right w:val="nil"/>
            </w:tcBorders>
            <w:shd w:val="clear" w:color="auto" w:fill="E7E6E6"/>
            <w:noWrap/>
          </w:tcPr>
          <w:p w14:paraId="30D67DC7"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2FA401A7" w14:textId="77777777" w:rsidR="00C67339" w:rsidRPr="0076703D" w:rsidRDefault="00C67339" w:rsidP="001D5CB4">
            <w:pPr>
              <w:pStyle w:val="ARtabletextrightbold"/>
              <w:spacing w:before="60" w:after="50"/>
            </w:pPr>
            <w:r w:rsidRPr="0076703D">
              <w:rPr>
                <w:color w:val="000000"/>
              </w:rPr>
              <w:t>7</w:t>
            </w:r>
          </w:p>
        </w:tc>
        <w:tc>
          <w:tcPr>
            <w:tcW w:w="314" w:type="pct"/>
            <w:tcBorders>
              <w:top w:val="single" w:sz="4" w:space="0" w:color="auto"/>
              <w:left w:val="nil"/>
            </w:tcBorders>
            <w:shd w:val="clear" w:color="auto" w:fill="auto"/>
            <w:noWrap/>
          </w:tcPr>
          <w:p w14:paraId="41E02CA6" w14:textId="77777777" w:rsidR="00C67339" w:rsidRPr="0076703D" w:rsidRDefault="00C67339" w:rsidP="001D5CB4">
            <w:pPr>
              <w:pStyle w:val="ARtabletextright"/>
              <w:spacing w:before="60" w:after="50"/>
            </w:pPr>
            <w:r w:rsidRPr="0076703D">
              <w:rPr>
                <w:color w:val="000000"/>
              </w:rPr>
              <w:t>-3</w:t>
            </w:r>
          </w:p>
        </w:tc>
        <w:tc>
          <w:tcPr>
            <w:tcW w:w="316" w:type="pct"/>
            <w:shd w:val="clear" w:color="auto" w:fill="auto"/>
            <w:noWrap/>
          </w:tcPr>
          <w:p w14:paraId="501DB2FF" w14:textId="77777777" w:rsidR="00C67339" w:rsidRPr="0076703D" w:rsidRDefault="00C67339" w:rsidP="001D5CB4">
            <w:pPr>
              <w:pStyle w:val="ARtabletextright"/>
              <w:spacing w:before="60" w:after="50"/>
            </w:pPr>
            <w:r w:rsidRPr="0076703D">
              <w:rPr>
                <w:color w:val="000000"/>
              </w:rPr>
              <w:t>-1</w:t>
            </w:r>
          </w:p>
        </w:tc>
        <w:tc>
          <w:tcPr>
            <w:tcW w:w="368" w:type="pct"/>
            <w:shd w:val="clear" w:color="auto" w:fill="auto"/>
            <w:noWrap/>
          </w:tcPr>
          <w:p w14:paraId="1E68C08C"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33AF8185" w14:textId="77777777" w:rsidR="00C67339" w:rsidRPr="0076703D" w:rsidRDefault="00C67339" w:rsidP="001D5CB4">
            <w:pPr>
              <w:pStyle w:val="ARtabletextrightbold"/>
              <w:spacing w:before="60" w:after="50"/>
            </w:pPr>
            <w:r w:rsidRPr="0076703D">
              <w:rPr>
                <w:color w:val="000000"/>
              </w:rPr>
              <w:t>-4</w:t>
            </w:r>
          </w:p>
        </w:tc>
      </w:tr>
      <w:tr w:rsidR="00C67339" w:rsidRPr="007939DD" w14:paraId="479F9314" w14:textId="77777777" w:rsidTr="005732E7">
        <w:trPr>
          <w:cantSplit/>
        </w:trPr>
        <w:tc>
          <w:tcPr>
            <w:tcW w:w="1052" w:type="pct"/>
            <w:shd w:val="clear" w:color="auto" w:fill="auto"/>
            <w:noWrap/>
          </w:tcPr>
          <w:p w14:paraId="359B9068" w14:textId="77777777" w:rsidR="00C67339" w:rsidRPr="0076703D" w:rsidRDefault="00C67339" w:rsidP="001D5CB4">
            <w:pPr>
              <w:pStyle w:val="ARtabletext"/>
              <w:spacing w:before="60" w:after="50"/>
            </w:pPr>
            <w:r w:rsidRPr="0076703D">
              <w:rPr>
                <w:color w:val="000000"/>
              </w:rPr>
              <w:t>Southern Metropolitan Cemeteries Trust</w:t>
            </w:r>
          </w:p>
        </w:tc>
        <w:tc>
          <w:tcPr>
            <w:tcW w:w="315" w:type="pct"/>
          </w:tcPr>
          <w:p w14:paraId="2BFFC744" w14:textId="77777777" w:rsidR="00C67339" w:rsidRPr="0076703D" w:rsidRDefault="00C67339" w:rsidP="001D5CB4">
            <w:pPr>
              <w:pStyle w:val="ARtabletextright"/>
              <w:spacing w:before="60" w:after="50"/>
            </w:pPr>
            <w:r w:rsidRPr="0076703D">
              <w:rPr>
                <w:color w:val="000000"/>
              </w:rPr>
              <w:t>4</w:t>
            </w:r>
          </w:p>
        </w:tc>
        <w:tc>
          <w:tcPr>
            <w:tcW w:w="316" w:type="pct"/>
          </w:tcPr>
          <w:p w14:paraId="0E8C3B3F" w14:textId="77777777" w:rsidR="00C67339" w:rsidRPr="0076703D" w:rsidRDefault="00C67339" w:rsidP="001D5CB4">
            <w:pPr>
              <w:pStyle w:val="ARtabletextright"/>
              <w:spacing w:before="60" w:after="50"/>
            </w:pPr>
            <w:r w:rsidRPr="0076703D">
              <w:rPr>
                <w:color w:val="000000"/>
              </w:rPr>
              <w:t>2</w:t>
            </w:r>
          </w:p>
        </w:tc>
        <w:tc>
          <w:tcPr>
            <w:tcW w:w="369" w:type="pct"/>
          </w:tcPr>
          <w:p w14:paraId="34C99490"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34552664" w14:textId="77777777" w:rsidR="00C67339" w:rsidRPr="0076703D" w:rsidRDefault="00C67339" w:rsidP="001D5CB4">
            <w:pPr>
              <w:pStyle w:val="ARtabletextrightbold"/>
              <w:spacing w:before="60" w:after="50"/>
            </w:pPr>
            <w:r w:rsidRPr="0076703D">
              <w:rPr>
                <w:color w:val="000000"/>
              </w:rPr>
              <w:t>6</w:t>
            </w:r>
          </w:p>
        </w:tc>
        <w:tc>
          <w:tcPr>
            <w:tcW w:w="316" w:type="pct"/>
            <w:tcBorders>
              <w:top w:val="single" w:sz="4" w:space="0" w:color="auto"/>
              <w:right w:val="nil"/>
            </w:tcBorders>
            <w:shd w:val="clear" w:color="auto" w:fill="E7E6E6"/>
            <w:noWrap/>
          </w:tcPr>
          <w:p w14:paraId="41AE8825" w14:textId="77777777" w:rsidR="00C67339" w:rsidRPr="0076703D" w:rsidRDefault="00C67339" w:rsidP="001D5CB4">
            <w:pPr>
              <w:pStyle w:val="ARtabletextright"/>
              <w:spacing w:before="60" w:after="50"/>
            </w:pPr>
            <w:r w:rsidRPr="0076703D">
              <w:rPr>
                <w:color w:val="000000"/>
              </w:rPr>
              <w:t>4</w:t>
            </w:r>
          </w:p>
        </w:tc>
        <w:tc>
          <w:tcPr>
            <w:tcW w:w="316" w:type="pct"/>
            <w:tcBorders>
              <w:top w:val="single" w:sz="4" w:space="0" w:color="auto"/>
              <w:left w:val="nil"/>
              <w:right w:val="nil"/>
            </w:tcBorders>
            <w:shd w:val="clear" w:color="auto" w:fill="E7E6E6"/>
            <w:noWrap/>
          </w:tcPr>
          <w:p w14:paraId="5FA9C7A9" w14:textId="77777777" w:rsidR="00C67339" w:rsidRPr="0076703D" w:rsidRDefault="00C67339" w:rsidP="001D5CB4">
            <w:pPr>
              <w:pStyle w:val="ARtabletextright"/>
              <w:spacing w:before="60" w:after="50"/>
            </w:pPr>
            <w:r w:rsidRPr="0076703D">
              <w:rPr>
                <w:color w:val="000000"/>
              </w:rPr>
              <w:t>2</w:t>
            </w:r>
          </w:p>
        </w:tc>
        <w:tc>
          <w:tcPr>
            <w:tcW w:w="368" w:type="pct"/>
            <w:tcBorders>
              <w:top w:val="single" w:sz="4" w:space="0" w:color="auto"/>
              <w:left w:val="nil"/>
              <w:right w:val="nil"/>
            </w:tcBorders>
            <w:shd w:val="clear" w:color="auto" w:fill="E7E6E6"/>
            <w:noWrap/>
          </w:tcPr>
          <w:p w14:paraId="0F5D7E88"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10CBDC9C" w14:textId="77777777" w:rsidR="00C67339" w:rsidRPr="0076703D" w:rsidRDefault="00C67339" w:rsidP="001D5CB4">
            <w:pPr>
              <w:pStyle w:val="ARtabletextrightbold"/>
              <w:spacing w:before="60" w:after="50"/>
            </w:pPr>
            <w:r w:rsidRPr="0076703D">
              <w:rPr>
                <w:color w:val="000000"/>
              </w:rPr>
              <w:t>6</w:t>
            </w:r>
          </w:p>
        </w:tc>
        <w:tc>
          <w:tcPr>
            <w:tcW w:w="314" w:type="pct"/>
            <w:tcBorders>
              <w:top w:val="single" w:sz="4" w:space="0" w:color="auto"/>
              <w:left w:val="nil"/>
            </w:tcBorders>
            <w:shd w:val="clear" w:color="auto" w:fill="auto"/>
            <w:noWrap/>
          </w:tcPr>
          <w:p w14:paraId="77DAFECC"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276DC5CE"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394A46AE"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718648B1" w14:textId="77777777" w:rsidR="00C67339" w:rsidRPr="0076703D" w:rsidRDefault="00C67339" w:rsidP="001D5CB4">
            <w:pPr>
              <w:pStyle w:val="ARtabletextrightbold"/>
              <w:spacing w:before="60" w:after="50"/>
            </w:pPr>
            <w:r w:rsidRPr="0076703D">
              <w:rPr>
                <w:color w:val="000000"/>
              </w:rPr>
              <w:t>0</w:t>
            </w:r>
          </w:p>
        </w:tc>
      </w:tr>
      <w:tr w:rsidR="00C67339" w:rsidRPr="007939DD" w14:paraId="0E810CA2" w14:textId="77777777" w:rsidTr="005732E7">
        <w:trPr>
          <w:cantSplit/>
        </w:trPr>
        <w:tc>
          <w:tcPr>
            <w:tcW w:w="1052" w:type="pct"/>
            <w:shd w:val="clear" w:color="auto" w:fill="auto"/>
            <w:noWrap/>
          </w:tcPr>
          <w:p w14:paraId="4FDA4BF1" w14:textId="77777777" w:rsidR="00C67339" w:rsidRPr="0076703D" w:rsidRDefault="00C67339" w:rsidP="001D5CB4">
            <w:pPr>
              <w:pStyle w:val="ARtabletext"/>
              <w:spacing w:before="60" w:after="50"/>
            </w:pPr>
            <w:r w:rsidRPr="0076703D">
              <w:rPr>
                <w:color w:val="000000"/>
              </w:rPr>
              <w:t>Stawell Regional Health</w:t>
            </w:r>
          </w:p>
        </w:tc>
        <w:tc>
          <w:tcPr>
            <w:tcW w:w="315" w:type="pct"/>
          </w:tcPr>
          <w:p w14:paraId="04A0490D" w14:textId="77777777" w:rsidR="00C67339" w:rsidRPr="0076703D" w:rsidRDefault="00C67339" w:rsidP="001D5CB4">
            <w:pPr>
              <w:pStyle w:val="ARtabletextright"/>
              <w:spacing w:before="60" w:after="50"/>
            </w:pPr>
            <w:r w:rsidRPr="0076703D">
              <w:rPr>
                <w:color w:val="000000"/>
              </w:rPr>
              <w:t>1</w:t>
            </w:r>
          </w:p>
        </w:tc>
        <w:tc>
          <w:tcPr>
            <w:tcW w:w="316" w:type="pct"/>
          </w:tcPr>
          <w:p w14:paraId="141F2BCD" w14:textId="77777777" w:rsidR="00C67339" w:rsidRPr="0076703D" w:rsidRDefault="00C67339" w:rsidP="001D5CB4">
            <w:pPr>
              <w:pStyle w:val="ARtabletextright"/>
              <w:spacing w:before="60" w:after="50"/>
            </w:pPr>
            <w:r w:rsidRPr="0076703D">
              <w:rPr>
                <w:color w:val="000000"/>
              </w:rPr>
              <w:t>0</w:t>
            </w:r>
          </w:p>
        </w:tc>
        <w:tc>
          <w:tcPr>
            <w:tcW w:w="369" w:type="pct"/>
          </w:tcPr>
          <w:p w14:paraId="0AE0142B"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51726E0B"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2DF46D38"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150ED34A"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74CC7E78"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641CB176" w14:textId="77777777" w:rsidR="00C67339" w:rsidRPr="0076703D" w:rsidRDefault="00C67339" w:rsidP="001D5CB4">
            <w:pPr>
              <w:pStyle w:val="ARtabletextrightbold"/>
              <w:spacing w:before="60" w:after="50"/>
            </w:pPr>
            <w:r w:rsidRPr="0076703D">
              <w:rPr>
                <w:color w:val="000000"/>
              </w:rPr>
              <w:t>0</w:t>
            </w:r>
          </w:p>
        </w:tc>
        <w:tc>
          <w:tcPr>
            <w:tcW w:w="314" w:type="pct"/>
            <w:tcBorders>
              <w:top w:val="single" w:sz="4" w:space="0" w:color="auto"/>
              <w:left w:val="nil"/>
            </w:tcBorders>
            <w:shd w:val="clear" w:color="auto" w:fill="auto"/>
            <w:noWrap/>
          </w:tcPr>
          <w:p w14:paraId="3BD0DD0D" w14:textId="77777777" w:rsidR="00C67339" w:rsidRPr="0076703D" w:rsidRDefault="00C67339" w:rsidP="001D5CB4">
            <w:pPr>
              <w:pStyle w:val="ARtabletextright"/>
              <w:spacing w:before="60" w:after="50"/>
            </w:pPr>
            <w:r w:rsidRPr="0076703D">
              <w:rPr>
                <w:color w:val="000000"/>
              </w:rPr>
              <w:t>1</w:t>
            </w:r>
          </w:p>
        </w:tc>
        <w:tc>
          <w:tcPr>
            <w:tcW w:w="316" w:type="pct"/>
            <w:shd w:val="clear" w:color="auto" w:fill="auto"/>
            <w:noWrap/>
          </w:tcPr>
          <w:p w14:paraId="56BD05C0"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2C928246"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0B9C8403" w14:textId="77777777" w:rsidR="00C67339" w:rsidRPr="0076703D" w:rsidRDefault="00C67339" w:rsidP="001D5CB4">
            <w:pPr>
              <w:pStyle w:val="ARtabletextrightbold"/>
              <w:spacing w:before="60" w:after="50"/>
            </w:pPr>
            <w:r w:rsidRPr="0076703D">
              <w:rPr>
                <w:color w:val="000000"/>
              </w:rPr>
              <w:t>1</w:t>
            </w:r>
          </w:p>
        </w:tc>
      </w:tr>
      <w:tr w:rsidR="00C67339" w:rsidRPr="007939DD" w14:paraId="50A9DEB1" w14:textId="77777777" w:rsidTr="005732E7">
        <w:trPr>
          <w:cantSplit/>
        </w:trPr>
        <w:tc>
          <w:tcPr>
            <w:tcW w:w="1052" w:type="pct"/>
            <w:shd w:val="clear" w:color="auto" w:fill="auto"/>
            <w:noWrap/>
          </w:tcPr>
          <w:p w14:paraId="07CE5668" w14:textId="77777777" w:rsidR="00C67339" w:rsidRPr="0076703D" w:rsidRDefault="00C67339" w:rsidP="001D5CB4">
            <w:pPr>
              <w:pStyle w:val="ARtabletext"/>
              <w:spacing w:before="60" w:after="50"/>
            </w:pPr>
            <w:r w:rsidRPr="0076703D">
              <w:rPr>
                <w:color w:val="000000"/>
              </w:rPr>
              <w:t>Swan Hill District Health</w:t>
            </w:r>
          </w:p>
        </w:tc>
        <w:tc>
          <w:tcPr>
            <w:tcW w:w="315" w:type="pct"/>
          </w:tcPr>
          <w:p w14:paraId="11D58610" w14:textId="77777777" w:rsidR="00C67339" w:rsidRPr="0076703D" w:rsidRDefault="00C67339" w:rsidP="001D5CB4">
            <w:pPr>
              <w:pStyle w:val="ARtabletextright"/>
              <w:spacing w:before="60" w:after="50"/>
            </w:pPr>
            <w:r w:rsidRPr="0076703D">
              <w:rPr>
                <w:color w:val="000000"/>
              </w:rPr>
              <w:t>1</w:t>
            </w:r>
          </w:p>
        </w:tc>
        <w:tc>
          <w:tcPr>
            <w:tcW w:w="316" w:type="pct"/>
          </w:tcPr>
          <w:p w14:paraId="4784C2B8" w14:textId="77777777" w:rsidR="00C67339" w:rsidRPr="0076703D" w:rsidRDefault="00C67339" w:rsidP="001D5CB4">
            <w:pPr>
              <w:pStyle w:val="ARtabletextright"/>
              <w:spacing w:before="60" w:after="50"/>
            </w:pPr>
            <w:r w:rsidRPr="0076703D">
              <w:rPr>
                <w:color w:val="000000"/>
              </w:rPr>
              <w:t>4</w:t>
            </w:r>
          </w:p>
        </w:tc>
        <w:tc>
          <w:tcPr>
            <w:tcW w:w="369" w:type="pct"/>
          </w:tcPr>
          <w:p w14:paraId="4B2EDB71"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5FA56CA5" w14:textId="77777777" w:rsidR="00C67339" w:rsidRPr="0076703D" w:rsidRDefault="00C67339" w:rsidP="001D5CB4">
            <w:pPr>
              <w:pStyle w:val="ARtabletextrightbold"/>
              <w:spacing w:before="60" w:after="50"/>
            </w:pPr>
            <w:r w:rsidRPr="0076703D">
              <w:rPr>
                <w:color w:val="000000"/>
              </w:rPr>
              <w:t>5</w:t>
            </w:r>
          </w:p>
        </w:tc>
        <w:tc>
          <w:tcPr>
            <w:tcW w:w="316" w:type="pct"/>
            <w:tcBorders>
              <w:top w:val="single" w:sz="4" w:space="0" w:color="auto"/>
              <w:right w:val="nil"/>
            </w:tcBorders>
            <w:shd w:val="clear" w:color="auto" w:fill="E7E6E6"/>
            <w:noWrap/>
          </w:tcPr>
          <w:p w14:paraId="6845D3AD"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59D6769A" w14:textId="77777777" w:rsidR="00C67339" w:rsidRPr="0076703D" w:rsidRDefault="00C67339" w:rsidP="001D5CB4">
            <w:pPr>
              <w:pStyle w:val="ARtabletextright"/>
              <w:spacing w:before="60" w:after="50"/>
            </w:pPr>
            <w:r w:rsidRPr="0076703D">
              <w:rPr>
                <w:color w:val="000000"/>
              </w:rPr>
              <w:t>3</w:t>
            </w:r>
          </w:p>
        </w:tc>
        <w:tc>
          <w:tcPr>
            <w:tcW w:w="368" w:type="pct"/>
            <w:tcBorders>
              <w:top w:val="single" w:sz="4" w:space="0" w:color="auto"/>
              <w:left w:val="nil"/>
              <w:right w:val="nil"/>
            </w:tcBorders>
            <w:shd w:val="clear" w:color="auto" w:fill="E7E6E6"/>
            <w:noWrap/>
          </w:tcPr>
          <w:p w14:paraId="1390DB39"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3736D50D" w14:textId="77777777" w:rsidR="00C67339" w:rsidRPr="0076703D" w:rsidRDefault="00C67339" w:rsidP="001D5CB4">
            <w:pPr>
              <w:pStyle w:val="ARtabletextrightbold"/>
              <w:spacing w:before="60" w:after="50"/>
            </w:pPr>
            <w:r w:rsidRPr="0076703D">
              <w:rPr>
                <w:color w:val="000000"/>
              </w:rPr>
              <w:t>4</w:t>
            </w:r>
          </w:p>
        </w:tc>
        <w:tc>
          <w:tcPr>
            <w:tcW w:w="314" w:type="pct"/>
            <w:tcBorders>
              <w:top w:val="single" w:sz="4" w:space="0" w:color="auto"/>
              <w:left w:val="nil"/>
            </w:tcBorders>
            <w:shd w:val="clear" w:color="auto" w:fill="auto"/>
            <w:noWrap/>
          </w:tcPr>
          <w:p w14:paraId="4D98282B"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6149C84B" w14:textId="77777777" w:rsidR="00C67339" w:rsidRPr="0076703D" w:rsidRDefault="00C67339" w:rsidP="001D5CB4">
            <w:pPr>
              <w:pStyle w:val="ARtabletextright"/>
              <w:spacing w:before="60" w:after="50"/>
            </w:pPr>
            <w:r w:rsidRPr="0076703D">
              <w:rPr>
                <w:color w:val="000000"/>
              </w:rPr>
              <w:t>1</w:t>
            </w:r>
          </w:p>
        </w:tc>
        <w:tc>
          <w:tcPr>
            <w:tcW w:w="368" w:type="pct"/>
            <w:shd w:val="clear" w:color="auto" w:fill="auto"/>
            <w:noWrap/>
          </w:tcPr>
          <w:p w14:paraId="6695DACE"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1DF810D1" w14:textId="77777777" w:rsidR="00C67339" w:rsidRPr="0076703D" w:rsidRDefault="00C67339" w:rsidP="001D5CB4">
            <w:pPr>
              <w:pStyle w:val="ARtabletextrightbold"/>
              <w:spacing w:before="60" w:after="50"/>
            </w:pPr>
            <w:r w:rsidRPr="0076703D">
              <w:rPr>
                <w:color w:val="000000"/>
              </w:rPr>
              <w:t>1</w:t>
            </w:r>
          </w:p>
        </w:tc>
      </w:tr>
      <w:tr w:rsidR="00C67339" w:rsidRPr="007939DD" w14:paraId="1CAEBFF1" w14:textId="77777777" w:rsidTr="005732E7">
        <w:trPr>
          <w:cantSplit/>
        </w:trPr>
        <w:tc>
          <w:tcPr>
            <w:tcW w:w="1052" w:type="pct"/>
            <w:shd w:val="clear" w:color="auto" w:fill="auto"/>
            <w:noWrap/>
          </w:tcPr>
          <w:p w14:paraId="1FD1120E" w14:textId="77777777" w:rsidR="00C67339" w:rsidRPr="0076703D" w:rsidRDefault="00C67339" w:rsidP="001D5CB4">
            <w:pPr>
              <w:pStyle w:val="ARtabletext"/>
              <w:spacing w:before="60" w:after="50"/>
            </w:pPr>
            <w:r w:rsidRPr="0076703D">
              <w:rPr>
                <w:color w:val="000000"/>
              </w:rPr>
              <w:t>Tallangatta Health Service</w:t>
            </w:r>
          </w:p>
        </w:tc>
        <w:tc>
          <w:tcPr>
            <w:tcW w:w="315" w:type="pct"/>
          </w:tcPr>
          <w:p w14:paraId="32AE7030" w14:textId="77777777" w:rsidR="00C67339" w:rsidRPr="0076703D" w:rsidRDefault="00C67339" w:rsidP="001D5CB4">
            <w:pPr>
              <w:pStyle w:val="ARtabletextright"/>
              <w:spacing w:before="60" w:after="50"/>
            </w:pPr>
            <w:r w:rsidRPr="0076703D">
              <w:rPr>
                <w:color w:val="000000"/>
              </w:rPr>
              <w:t>1</w:t>
            </w:r>
          </w:p>
        </w:tc>
        <w:tc>
          <w:tcPr>
            <w:tcW w:w="316" w:type="pct"/>
          </w:tcPr>
          <w:p w14:paraId="6912B7C1" w14:textId="77777777" w:rsidR="00C67339" w:rsidRPr="0076703D" w:rsidRDefault="00C67339" w:rsidP="001D5CB4">
            <w:pPr>
              <w:pStyle w:val="ARtabletextright"/>
              <w:spacing w:before="60" w:after="50"/>
            </w:pPr>
            <w:r w:rsidRPr="0076703D">
              <w:rPr>
                <w:color w:val="000000"/>
              </w:rPr>
              <w:t>0</w:t>
            </w:r>
          </w:p>
        </w:tc>
        <w:tc>
          <w:tcPr>
            <w:tcW w:w="369" w:type="pct"/>
          </w:tcPr>
          <w:p w14:paraId="0E204A8C"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07D891C3"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1A5CA276"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6ED13A51"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6BB73121"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6DE4BAFE"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7AE693C9"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7AC08D69"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47FDFE0A"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76079A13" w14:textId="77777777" w:rsidR="00C67339" w:rsidRPr="0076703D" w:rsidRDefault="00C67339" w:rsidP="001D5CB4">
            <w:pPr>
              <w:pStyle w:val="ARtabletextrightbold"/>
              <w:spacing w:before="60" w:after="50"/>
            </w:pPr>
            <w:r w:rsidRPr="0076703D">
              <w:rPr>
                <w:color w:val="000000"/>
              </w:rPr>
              <w:t>0</w:t>
            </w:r>
          </w:p>
        </w:tc>
      </w:tr>
      <w:tr w:rsidR="00C67339" w:rsidRPr="007939DD" w14:paraId="3E7F1A18" w14:textId="77777777" w:rsidTr="005732E7">
        <w:trPr>
          <w:cantSplit/>
        </w:trPr>
        <w:tc>
          <w:tcPr>
            <w:tcW w:w="1052" w:type="pct"/>
            <w:shd w:val="clear" w:color="auto" w:fill="auto"/>
            <w:noWrap/>
          </w:tcPr>
          <w:p w14:paraId="77064FE6" w14:textId="77777777" w:rsidR="00C67339" w:rsidRPr="0076703D" w:rsidRDefault="00C67339" w:rsidP="001D5CB4">
            <w:pPr>
              <w:pStyle w:val="ARtabletext"/>
              <w:spacing w:before="60" w:after="50"/>
            </w:pPr>
            <w:r w:rsidRPr="0076703D">
              <w:rPr>
                <w:color w:val="000000"/>
              </w:rPr>
              <w:t>Terang and Mortlake Health Service</w:t>
            </w:r>
          </w:p>
        </w:tc>
        <w:tc>
          <w:tcPr>
            <w:tcW w:w="315" w:type="pct"/>
          </w:tcPr>
          <w:p w14:paraId="4834121B" w14:textId="77777777" w:rsidR="00C67339" w:rsidRPr="0076703D" w:rsidRDefault="00C67339" w:rsidP="001D5CB4">
            <w:pPr>
              <w:pStyle w:val="ARtabletextright"/>
              <w:spacing w:before="60" w:after="50"/>
            </w:pPr>
            <w:r w:rsidRPr="0076703D">
              <w:rPr>
                <w:color w:val="000000"/>
              </w:rPr>
              <w:t>1</w:t>
            </w:r>
          </w:p>
        </w:tc>
        <w:tc>
          <w:tcPr>
            <w:tcW w:w="316" w:type="pct"/>
          </w:tcPr>
          <w:p w14:paraId="10A770DA" w14:textId="77777777" w:rsidR="00C67339" w:rsidRPr="0076703D" w:rsidRDefault="00C67339" w:rsidP="001D5CB4">
            <w:pPr>
              <w:pStyle w:val="ARtabletextright"/>
              <w:spacing w:before="60" w:after="50"/>
            </w:pPr>
            <w:r w:rsidRPr="0076703D">
              <w:rPr>
                <w:color w:val="000000"/>
              </w:rPr>
              <w:t>0</w:t>
            </w:r>
          </w:p>
        </w:tc>
        <w:tc>
          <w:tcPr>
            <w:tcW w:w="369" w:type="pct"/>
          </w:tcPr>
          <w:p w14:paraId="02A102E9"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75F96275"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7B431D16"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58BFCC34"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5109C06E"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7E28181F"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63324722"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1ADFD685"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183566C3"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53B41464" w14:textId="77777777" w:rsidR="00C67339" w:rsidRPr="0076703D" w:rsidRDefault="00C67339" w:rsidP="001D5CB4">
            <w:pPr>
              <w:pStyle w:val="ARtabletextrightbold"/>
              <w:spacing w:before="60" w:after="50"/>
            </w:pPr>
            <w:r w:rsidRPr="0076703D">
              <w:rPr>
                <w:color w:val="000000"/>
              </w:rPr>
              <w:t>0</w:t>
            </w:r>
          </w:p>
        </w:tc>
      </w:tr>
      <w:tr w:rsidR="00C67339" w:rsidRPr="007939DD" w14:paraId="1D941AED" w14:textId="77777777" w:rsidTr="005732E7">
        <w:trPr>
          <w:cantSplit/>
        </w:trPr>
        <w:tc>
          <w:tcPr>
            <w:tcW w:w="1052" w:type="pct"/>
            <w:shd w:val="clear" w:color="auto" w:fill="auto"/>
            <w:noWrap/>
          </w:tcPr>
          <w:p w14:paraId="2D18D56C" w14:textId="77777777" w:rsidR="00C67339" w:rsidRPr="0076703D" w:rsidRDefault="00C67339" w:rsidP="001D5CB4">
            <w:pPr>
              <w:pStyle w:val="ARtabletext"/>
              <w:spacing w:before="60" w:after="50"/>
            </w:pPr>
            <w:r w:rsidRPr="0076703D">
              <w:rPr>
                <w:color w:val="000000"/>
              </w:rPr>
              <w:t>The Queen Elizabeth Centre</w:t>
            </w:r>
          </w:p>
        </w:tc>
        <w:tc>
          <w:tcPr>
            <w:tcW w:w="315" w:type="pct"/>
          </w:tcPr>
          <w:p w14:paraId="2CC06DBF" w14:textId="77777777" w:rsidR="00C67339" w:rsidRPr="0076703D" w:rsidRDefault="00C67339" w:rsidP="001D5CB4">
            <w:pPr>
              <w:pStyle w:val="ARtabletextright"/>
              <w:spacing w:before="60" w:after="50"/>
            </w:pPr>
            <w:r w:rsidRPr="0076703D">
              <w:rPr>
                <w:color w:val="000000"/>
              </w:rPr>
              <w:t>1</w:t>
            </w:r>
          </w:p>
        </w:tc>
        <w:tc>
          <w:tcPr>
            <w:tcW w:w="316" w:type="pct"/>
          </w:tcPr>
          <w:p w14:paraId="6D3F063C" w14:textId="77777777" w:rsidR="00C67339" w:rsidRPr="0076703D" w:rsidRDefault="00C67339" w:rsidP="001D5CB4">
            <w:pPr>
              <w:pStyle w:val="ARtabletextright"/>
              <w:spacing w:before="60" w:after="50"/>
            </w:pPr>
            <w:r w:rsidRPr="0076703D">
              <w:rPr>
                <w:color w:val="000000"/>
              </w:rPr>
              <w:t>0</w:t>
            </w:r>
          </w:p>
        </w:tc>
        <w:tc>
          <w:tcPr>
            <w:tcW w:w="369" w:type="pct"/>
          </w:tcPr>
          <w:p w14:paraId="25DF2170"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7C12800E"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6CC78607"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3D6DBEF1"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3642FBE4"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42C63996"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499C0E93"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02E80A81"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1AE795F6"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4170C075" w14:textId="77777777" w:rsidR="00C67339" w:rsidRPr="0076703D" w:rsidRDefault="00C67339" w:rsidP="001D5CB4">
            <w:pPr>
              <w:pStyle w:val="ARtabletextrightbold"/>
              <w:spacing w:before="60" w:after="50"/>
            </w:pPr>
            <w:r w:rsidRPr="0076703D">
              <w:rPr>
                <w:color w:val="000000"/>
              </w:rPr>
              <w:t>0</w:t>
            </w:r>
          </w:p>
        </w:tc>
      </w:tr>
      <w:tr w:rsidR="00C67339" w:rsidRPr="007939DD" w14:paraId="476F563F" w14:textId="77777777" w:rsidTr="005732E7">
        <w:trPr>
          <w:cantSplit/>
        </w:trPr>
        <w:tc>
          <w:tcPr>
            <w:tcW w:w="1052" w:type="pct"/>
            <w:shd w:val="clear" w:color="auto" w:fill="auto"/>
            <w:noWrap/>
          </w:tcPr>
          <w:p w14:paraId="55D9C871" w14:textId="77777777" w:rsidR="00C67339" w:rsidRPr="0076703D" w:rsidRDefault="00C67339" w:rsidP="001D5CB4">
            <w:pPr>
              <w:pStyle w:val="ARtabletext"/>
              <w:spacing w:before="60" w:after="50"/>
            </w:pPr>
            <w:r w:rsidRPr="0076703D">
              <w:rPr>
                <w:color w:val="000000"/>
              </w:rPr>
              <w:t>Timboon and District Healthcare Service</w:t>
            </w:r>
          </w:p>
        </w:tc>
        <w:tc>
          <w:tcPr>
            <w:tcW w:w="315" w:type="pct"/>
          </w:tcPr>
          <w:p w14:paraId="1EEB88CB" w14:textId="77777777" w:rsidR="00C67339" w:rsidRPr="0076703D" w:rsidRDefault="00C67339" w:rsidP="001D5CB4">
            <w:pPr>
              <w:pStyle w:val="ARtabletextright"/>
              <w:spacing w:before="60" w:after="50"/>
            </w:pPr>
            <w:r w:rsidRPr="0076703D">
              <w:rPr>
                <w:color w:val="000000"/>
              </w:rPr>
              <w:t>0</w:t>
            </w:r>
          </w:p>
        </w:tc>
        <w:tc>
          <w:tcPr>
            <w:tcW w:w="316" w:type="pct"/>
          </w:tcPr>
          <w:p w14:paraId="4CEBA33F" w14:textId="77777777" w:rsidR="00C67339" w:rsidRPr="0076703D" w:rsidRDefault="00C67339" w:rsidP="001D5CB4">
            <w:pPr>
              <w:pStyle w:val="ARtabletextright"/>
              <w:spacing w:before="60" w:after="50"/>
            </w:pPr>
            <w:r w:rsidRPr="0076703D">
              <w:rPr>
                <w:color w:val="000000"/>
              </w:rPr>
              <w:t>0</w:t>
            </w:r>
          </w:p>
        </w:tc>
        <w:tc>
          <w:tcPr>
            <w:tcW w:w="369" w:type="pct"/>
          </w:tcPr>
          <w:p w14:paraId="06E27704"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38FC80BD" w14:textId="77777777" w:rsidR="00C67339" w:rsidRPr="0076703D" w:rsidRDefault="00C67339" w:rsidP="001D5CB4">
            <w:pPr>
              <w:pStyle w:val="ARtabletextrightbold"/>
              <w:spacing w:before="60" w:after="50"/>
            </w:pPr>
            <w:r w:rsidRPr="0076703D">
              <w:rPr>
                <w:color w:val="000000"/>
              </w:rPr>
              <w:t>0</w:t>
            </w:r>
          </w:p>
        </w:tc>
        <w:tc>
          <w:tcPr>
            <w:tcW w:w="316" w:type="pct"/>
            <w:tcBorders>
              <w:top w:val="single" w:sz="4" w:space="0" w:color="auto"/>
              <w:right w:val="nil"/>
            </w:tcBorders>
            <w:shd w:val="clear" w:color="auto" w:fill="E7E6E6"/>
            <w:noWrap/>
          </w:tcPr>
          <w:p w14:paraId="49E3938C"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3AA0473D"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31D9BFC9"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099F4695"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3E637D53"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09CB9FAA" w14:textId="77777777" w:rsidR="00C67339" w:rsidRPr="0076703D" w:rsidRDefault="00C67339" w:rsidP="001D5CB4">
            <w:pPr>
              <w:pStyle w:val="ARtabletextright"/>
              <w:spacing w:before="60" w:after="50"/>
            </w:pPr>
            <w:r w:rsidRPr="0076703D">
              <w:rPr>
                <w:color w:val="000000"/>
              </w:rPr>
              <w:t>-1</w:t>
            </w:r>
          </w:p>
        </w:tc>
        <w:tc>
          <w:tcPr>
            <w:tcW w:w="368" w:type="pct"/>
            <w:shd w:val="clear" w:color="auto" w:fill="auto"/>
            <w:noWrap/>
          </w:tcPr>
          <w:p w14:paraId="63B8ED4F"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4874E483" w14:textId="77777777" w:rsidR="00C67339" w:rsidRPr="0076703D" w:rsidRDefault="00C67339" w:rsidP="001D5CB4">
            <w:pPr>
              <w:pStyle w:val="ARtabletextrightbold"/>
              <w:spacing w:before="60" w:after="50"/>
            </w:pPr>
            <w:r w:rsidRPr="0076703D">
              <w:rPr>
                <w:color w:val="000000"/>
              </w:rPr>
              <w:t>-1</w:t>
            </w:r>
          </w:p>
        </w:tc>
      </w:tr>
      <w:tr w:rsidR="00C67339" w:rsidRPr="007939DD" w14:paraId="0EC0D1A1" w14:textId="77777777" w:rsidTr="005732E7">
        <w:trPr>
          <w:cantSplit/>
        </w:trPr>
        <w:tc>
          <w:tcPr>
            <w:tcW w:w="1052" w:type="pct"/>
            <w:shd w:val="clear" w:color="auto" w:fill="auto"/>
            <w:noWrap/>
          </w:tcPr>
          <w:p w14:paraId="154C94DE" w14:textId="77777777" w:rsidR="00C67339" w:rsidRPr="0076703D" w:rsidRDefault="00C67339" w:rsidP="001D5CB4">
            <w:pPr>
              <w:pStyle w:val="ARtabletext"/>
              <w:spacing w:before="60" w:after="50"/>
            </w:pPr>
            <w:r w:rsidRPr="0076703D">
              <w:rPr>
                <w:color w:val="000000"/>
              </w:rPr>
              <w:t>Tweddle Child and Family Health Service</w:t>
            </w:r>
          </w:p>
        </w:tc>
        <w:tc>
          <w:tcPr>
            <w:tcW w:w="315" w:type="pct"/>
          </w:tcPr>
          <w:p w14:paraId="35F7C44B" w14:textId="77777777" w:rsidR="00C67339" w:rsidRPr="0076703D" w:rsidRDefault="00C67339" w:rsidP="001D5CB4">
            <w:pPr>
              <w:pStyle w:val="ARtabletextright"/>
              <w:spacing w:before="60" w:after="50"/>
            </w:pPr>
            <w:r w:rsidRPr="0076703D">
              <w:rPr>
                <w:color w:val="000000"/>
              </w:rPr>
              <w:t>1</w:t>
            </w:r>
          </w:p>
        </w:tc>
        <w:tc>
          <w:tcPr>
            <w:tcW w:w="316" w:type="pct"/>
          </w:tcPr>
          <w:p w14:paraId="7D323B32" w14:textId="77777777" w:rsidR="00C67339" w:rsidRPr="0076703D" w:rsidRDefault="00C67339" w:rsidP="001D5CB4">
            <w:pPr>
              <w:pStyle w:val="ARtabletextright"/>
              <w:spacing w:before="60" w:after="50"/>
            </w:pPr>
            <w:r w:rsidRPr="0076703D">
              <w:rPr>
                <w:color w:val="000000"/>
              </w:rPr>
              <w:t>0</w:t>
            </w:r>
          </w:p>
        </w:tc>
        <w:tc>
          <w:tcPr>
            <w:tcW w:w="369" w:type="pct"/>
          </w:tcPr>
          <w:p w14:paraId="0B15F816"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64DB0E7A"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42C737C9"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6FB3EF36"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64ECD89C"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6D3ECB62"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1D0D7254"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27E7C095"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00D3D339"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595AE2EF" w14:textId="77777777" w:rsidR="00C67339" w:rsidRPr="0076703D" w:rsidRDefault="00C67339" w:rsidP="001D5CB4">
            <w:pPr>
              <w:pStyle w:val="ARtabletextrightbold"/>
              <w:spacing w:before="60" w:after="50"/>
            </w:pPr>
            <w:r w:rsidRPr="0076703D">
              <w:rPr>
                <w:color w:val="000000"/>
              </w:rPr>
              <w:t>0</w:t>
            </w:r>
          </w:p>
        </w:tc>
      </w:tr>
      <w:tr w:rsidR="00C67339" w:rsidRPr="007939DD" w14:paraId="16C5E83F" w14:textId="77777777" w:rsidTr="005732E7">
        <w:trPr>
          <w:cantSplit/>
        </w:trPr>
        <w:tc>
          <w:tcPr>
            <w:tcW w:w="1052" w:type="pct"/>
            <w:shd w:val="clear" w:color="auto" w:fill="auto"/>
            <w:noWrap/>
          </w:tcPr>
          <w:p w14:paraId="1636D486" w14:textId="77777777" w:rsidR="00C67339" w:rsidRPr="0076703D" w:rsidRDefault="00C67339" w:rsidP="001D5CB4">
            <w:pPr>
              <w:pStyle w:val="ARtabletext"/>
              <w:spacing w:before="60" w:after="50"/>
            </w:pPr>
            <w:r w:rsidRPr="0076703D">
              <w:rPr>
                <w:color w:val="000000"/>
              </w:rPr>
              <w:t>Victorian Assisted Reproductive Treatment Authority</w:t>
            </w:r>
          </w:p>
        </w:tc>
        <w:tc>
          <w:tcPr>
            <w:tcW w:w="315" w:type="pct"/>
          </w:tcPr>
          <w:p w14:paraId="5083D3A6" w14:textId="77777777" w:rsidR="00C67339" w:rsidRPr="0076703D" w:rsidRDefault="00C67339" w:rsidP="001D5CB4">
            <w:pPr>
              <w:pStyle w:val="ARtabletextright"/>
              <w:spacing w:before="60" w:after="50"/>
            </w:pPr>
            <w:r w:rsidRPr="0076703D">
              <w:rPr>
                <w:color w:val="000000"/>
              </w:rPr>
              <w:t>1</w:t>
            </w:r>
          </w:p>
        </w:tc>
        <w:tc>
          <w:tcPr>
            <w:tcW w:w="316" w:type="pct"/>
          </w:tcPr>
          <w:p w14:paraId="6C5B5F45" w14:textId="77777777" w:rsidR="00C67339" w:rsidRPr="0076703D" w:rsidRDefault="00C67339" w:rsidP="001D5CB4">
            <w:pPr>
              <w:pStyle w:val="ARtabletextright"/>
              <w:spacing w:before="60" w:after="50"/>
            </w:pPr>
            <w:r w:rsidRPr="0076703D">
              <w:rPr>
                <w:color w:val="000000"/>
              </w:rPr>
              <w:t>0</w:t>
            </w:r>
          </w:p>
        </w:tc>
        <w:tc>
          <w:tcPr>
            <w:tcW w:w="369" w:type="pct"/>
          </w:tcPr>
          <w:p w14:paraId="0862BD5A"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4F06CCBB"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52E91420"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52B5E292"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26C1D7CD"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7580A85D"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63C7F045"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085963E8"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685A70C7"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70A576A7" w14:textId="77777777" w:rsidR="00C67339" w:rsidRPr="0076703D" w:rsidRDefault="00C67339" w:rsidP="001D5CB4">
            <w:pPr>
              <w:pStyle w:val="ARtabletextrightbold"/>
              <w:spacing w:before="60" w:after="50"/>
            </w:pPr>
            <w:r w:rsidRPr="0076703D">
              <w:rPr>
                <w:color w:val="000000"/>
              </w:rPr>
              <w:t>0</w:t>
            </w:r>
          </w:p>
        </w:tc>
      </w:tr>
      <w:tr w:rsidR="00C67339" w:rsidRPr="007939DD" w14:paraId="6B369FD8" w14:textId="77777777" w:rsidTr="005732E7">
        <w:trPr>
          <w:cantSplit/>
        </w:trPr>
        <w:tc>
          <w:tcPr>
            <w:tcW w:w="1052" w:type="pct"/>
            <w:shd w:val="clear" w:color="auto" w:fill="auto"/>
            <w:noWrap/>
          </w:tcPr>
          <w:p w14:paraId="416B6ADD" w14:textId="77777777" w:rsidR="00C67339" w:rsidRPr="0076703D" w:rsidRDefault="00C67339" w:rsidP="001D5CB4">
            <w:pPr>
              <w:pStyle w:val="ARtabletext"/>
              <w:spacing w:before="60" w:after="50"/>
            </w:pPr>
            <w:r w:rsidRPr="0076703D">
              <w:rPr>
                <w:color w:val="000000"/>
              </w:rPr>
              <w:t>Victorian Health Promotion Foundation</w:t>
            </w:r>
          </w:p>
        </w:tc>
        <w:tc>
          <w:tcPr>
            <w:tcW w:w="315" w:type="pct"/>
          </w:tcPr>
          <w:p w14:paraId="50EF800B" w14:textId="77777777" w:rsidR="00C67339" w:rsidRPr="0076703D" w:rsidRDefault="00C67339" w:rsidP="001D5CB4">
            <w:pPr>
              <w:pStyle w:val="ARtabletextright"/>
              <w:spacing w:before="60" w:after="50"/>
            </w:pPr>
            <w:r w:rsidRPr="0076703D">
              <w:rPr>
                <w:color w:val="000000"/>
              </w:rPr>
              <w:t>1</w:t>
            </w:r>
          </w:p>
        </w:tc>
        <w:tc>
          <w:tcPr>
            <w:tcW w:w="316" w:type="pct"/>
          </w:tcPr>
          <w:p w14:paraId="0F100515" w14:textId="77777777" w:rsidR="00C67339" w:rsidRPr="0076703D" w:rsidRDefault="00C67339" w:rsidP="001D5CB4">
            <w:pPr>
              <w:pStyle w:val="ARtabletextright"/>
              <w:spacing w:before="60" w:after="50"/>
            </w:pPr>
            <w:r w:rsidRPr="0076703D">
              <w:rPr>
                <w:color w:val="000000"/>
              </w:rPr>
              <w:t>1</w:t>
            </w:r>
          </w:p>
        </w:tc>
        <w:tc>
          <w:tcPr>
            <w:tcW w:w="369" w:type="pct"/>
          </w:tcPr>
          <w:p w14:paraId="749FBD5C"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2F305E3F" w14:textId="77777777" w:rsidR="00C67339" w:rsidRPr="0076703D" w:rsidRDefault="00C67339" w:rsidP="001D5CB4">
            <w:pPr>
              <w:pStyle w:val="ARtabletextrightbold"/>
              <w:spacing w:before="60" w:after="50"/>
            </w:pPr>
            <w:r w:rsidRPr="0076703D">
              <w:rPr>
                <w:color w:val="000000"/>
              </w:rPr>
              <w:t>2</w:t>
            </w:r>
          </w:p>
        </w:tc>
        <w:tc>
          <w:tcPr>
            <w:tcW w:w="316" w:type="pct"/>
            <w:tcBorders>
              <w:top w:val="single" w:sz="4" w:space="0" w:color="auto"/>
              <w:right w:val="nil"/>
            </w:tcBorders>
            <w:shd w:val="clear" w:color="auto" w:fill="E7E6E6"/>
            <w:noWrap/>
          </w:tcPr>
          <w:p w14:paraId="6D9C590C" w14:textId="77777777" w:rsidR="00C67339" w:rsidRPr="0076703D" w:rsidRDefault="00C67339" w:rsidP="001D5CB4">
            <w:pPr>
              <w:pStyle w:val="ARtabletextright"/>
              <w:spacing w:before="60" w:after="50"/>
            </w:pPr>
            <w:r w:rsidRPr="0076703D">
              <w:rPr>
                <w:color w:val="000000"/>
              </w:rPr>
              <w:t>4</w:t>
            </w:r>
          </w:p>
        </w:tc>
        <w:tc>
          <w:tcPr>
            <w:tcW w:w="316" w:type="pct"/>
            <w:tcBorders>
              <w:top w:val="single" w:sz="4" w:space="0" w:color="auto"/>
              <w:left w:val="nil"/>
              <w:right w:val="nil"/>
            </w:tcBorders>
            <w:shd w:val="clear" w:color="auto" w:fill="E7E6E6"/>
            <w:noWrap/>
          </w:tcPr>
          <w:p w14:paraId="22110A1C" w14:textId="77777777" w:rsidR="00C67339" w:rsidRPr="0076703D" w:rsidRDefault="00C67339" w:rsidP="001D5CB4">
            <w:pPr>
              <w:pStyle w:val="ARtabletextright"/>
              <w:spacing w:before="60" w:after="50"/>
            </w:pPr>
            <w:r w:rsidRPr="0076703D">
              <w:rPr>
                <w:color w:val="000000"/>
              </w:rPr>
              <w:t>2</w:t>
            </w:r>
          </w:p>
        </w:tc>
        <w:tc>
          <w:tcPr>
            <w:tcW w:w="368" w:type="pct"/>
            <w:tcBorders>
              <w:top w:val="single" w:sz="4" w:space="0" w:color="auto"/>
              <w:left w:val="nil"/>
              <w:right w:val="nil"/>
            </w:tcBorders>
            <w:shd w:val="clear" w:color="auto" w:fill="E7E6E6"/>
            <w:noWrap/>
          </w:tcPr>
          <w:p w14:paraId="02BDAB9E"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416D7EE6" w14:textId="77777777" w:rsidR="00C67339" w:rsidRPr="0076703D" w:rsidRDefault="00C67339" w:rsidP="001D5CB4">
            <w:pPr>
              <w:pStyle w:val="ARtabletextrightbold"/>
              <w:spacing w:before="60" w:after="50"/>
            </w:pPr>
            <w:r w:rsidRPr="0076703D">
              <w:rPr>
                <w:color w:val="000000"/>
              </w:rPr>
              <w:t>6</w:t>
            </w:r>
          </w:p>
        </w:tc>
        <w:tc>
          <w:tcPr>
            <w:tcW w:w="314" w:type="pct"/>
            <w:tcBorders>
              <w:top w:val="single" w:sz="4" w:space="0" w:color="auto"/>
              <w:left w:val="nil"/>
            </w:tcBorders>
            <w:shd w:val="clear" w:color="auto" w:fill="auto"/>
            <w:noWrap/>
          </w:tcPr>
          <w:p w14:paraId="20AA27BC" w14:textId="77777777" w:rsidR="00C67339" w:rsidRPr="0076703D" w:rsidRDefault="00C67339" w:rsidP="001D5CB4">
            <w:pPr>
              <w:pStyle w:val="ARtabletextright"/>
              <w:spacing w:before="60" w:after="50"/>
            </w:pPr>
            <w:r w:rsidRPr="0076703D">
              <w:rPr>
                <w:color w:val="000000"/>
              </w:rPr>
              <w:t>-3</w:t>
            </w:r>
          </w:p>
        </w:tc>
        <w:tc>
          <w:tcPr>
            <w:tcW w:w="316" w:type="pct"/>
            <w:shd w:val="clear" w:color="auto" w:fill="auto"/>
            <w:noWrap/>
          </w:tcPr>
          <w:p w14:paraId="3AC30A2D" w14:textId="77777777" w:rsidR="00C67339" w:rsidRPr="0076703D" w:rsidRDefault="00C67339" w:rsidP="001D5CB4">
            <w:pPr>
              <w:pStyle w:val="ARtabletextright"/>
              <w:spacing w:before="60" w:after="50"/>
            </w:pPr>
            <w:r w:rsidRPr="0076703D">
              <w:rPr>
                <w:color w:val="000000"/>
              </w:rPr>
              <w:t>-1</w:t>
            </w:r>
          </w:p>
        </w:tc>
        <w:tc>
          <w:tcPr>
            <w:tcW w:w="368" w:type="pct"/>
            <w:shd w:val="clear" w:color="auto" w:fill="auto"/>
            <w:noWrap/>
          </w:tcPr>
          <w:p w14:paraId="676A20A2"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6D72E135" w14:textId="77777777" w:rsidR="00C67339" w:rsidRPr="0076703D" w:rsidRDefault="00C67339" w:rsidP="001D5CB4">
            <w:pPr>
              <w:pStyle w:val="ARtabletextrightbold"/>
              <w:spacing w:before="60" w:after="50"/>
            </w:pPr>
            <w:r w:rsidRPr="0076703D">
              <w:rPr>
                <w:color w:val="000000"/>
              </w:rPr>
              <w:t>-4</w:t>
            </w:r>
          </w:p>
        </w:tc>
      </w:tr>
      <w:tr w:rsidR="00C67339" w:rsidRPr="007939DD" w14:paraId="328241F9" w14:textId="77777777" w:rsidTr="005732E7">
        <w:trPr>
          <w:cantSplit/>
        </w:trPr>
        <w:tc>
          <w:tcPr>
            <w:tcW w:w="1052" w:type="pct"/>
            <w:shd w:val="clear" w:color="auto" w:fill="auto"/>
            <w:noWrap/>
          </w:tcPr>
          <w:p w14:paraId="299F0965" w14:textId="77777777" w:rsidR="00C67339" w:rsidRPr="0076703D" w:rsidRDefault="00C67339" w:rsidP="001D5CB4">
            <w:pPr>
              <w:pStyle w:val="ARtabletext"/>
              <w:spacing w:before="60" w:after="50"/>
            </w:pPr>
            <w:r w:rsidRPr="0076703D">
              <w:rPr>
                <w:color w:val="000000"/>
              </w:rPr>
              <w:t>Victorian Institute of Forensic Mental Health</w:t>
            </w:r>
          </w:p>
        </w:tc>
        <w:tc>
          <w:tcPr>
            <w:tcW w:w="315" w:type="pct"/>
          </w:tcPr>
          <w:p w14:paraId="55383F22" w14:textId="77777777" w:rsidR="00C67339" w:rsidRPr="0076703D" w:rsidRDefault="00C67339" w:rsidP="001D5CB4">
            <w:pPr>
              <w:pStyle w:val="ARtabletextright"/>
              <w:spacing w:before="60" w:after="50"/>
            </w:pPr>
            <w:r w:rsidRPr="0076703D">
              <w:rPr>
                <w:color w:val="000000"/>
              </w:rPr>
              <w:t>1</w:t>
            </w:r>
          </w:p>
        </w:tc>
        <w:tc>
          <w:tcPr>
            <w:tcW w:w="316" w:type="pct"/>
          </w:tcPr>
          <w:p w14:paraId="69DAD437" w14:textId="77777777" w:rsidR="00C67339" w:rsidRPr="0076703D" w:rsidRDefault="00C67339" w:rsidP="001D5CB4">
            <w:pPr>
              <w:pStyle w:val="ARtabletextright"/>
              <w:spacing w:before="60" w:after="50"/>
            </w:pPr>
            <w:r w:rsidRPr="0076703D">
              <w:rPr>
                <w:color w:val="000000"/>
              </w:rPr>
              <w:t>3</w:t>
            </w:r>
          </w:p>
        </w:tc>
        <w:tc>
          <w:tcPr>
            <w:tcW w:w="369" w:type="pct"/>
          </w:tcPr>
          <w:p w14:paraId="0B0C2C28"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6D06BCC4" w14:textId="77777777" w:rsidR="00C67339" w:rsidRPr="0076703D" w:rsidRDefault="00C67339" w:rsidP="001D5CB4">
            <w:pPr>
              <w:pStyle w:val="ARtabletextrightbold"/>
              <w:spacing w:before="60" w:after="50"/>
            </w:pPr>
            <w:r w:rsidRPr="0076703D">
              <w:rPr>
                <w:color w:val="000000"/>
              </w:rPr>
              <w:t>4</w:t>
            </w:r>
          </w:p>
        </w:tc>
        <w:tc>
          <w:tcPr>
            <w:tcW w:w="316" w:type="pct"/>
            <w:tcBorders>
              <w:top w:val="single" w:sz="4" w:space="0" w:color="auto"/>
              <w:right w:val="nil"/>
            </w:tcBorders>
            <w:shd w:val="clear" w:color="auto" w:fill="E7E6E6"/>
            <w:noWrap/>
          </w:tcPr>
          <w:p w14:paraId="36849AEC"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183822FC" w14:textId="77777777" w:rsidR="00C67339" w:rsidRPr="0076703D" w:rsidRDefault="00C67339" w:rsidP="001D5CB4">
            <w:pPr>
              <w:pStyle w:val="ARtabletextright"/>
              <w:spacing w:before="60" w:after="50"/>
            </w:pPr>
            <w:r w:rsidRPr="0076703D">
              <w:rPr>
                <w:color w:val="000000"/>
              </w:rPr>
              <w:t>5</w:t>
            </w:r>
          </w:p>
        </w:tc>
        <w:tc>
          <w:tcPr>
            <w:tcW w:w="368" w:type="pct"/>
            <w:tcBorders>
              <w:top w:val="single" w:sz="4" w:space="0" w:color="auto"/>
              <w:left w:val="nil"/>
              <w:right w:val="nil"/>
            </w:tcBorders>
            <w:shd w:val="clear" w:color="auto" w:fill="E7E6E6"/>
            <w:noWrap/>
          </w:tcPr>
          <w:p w14:paraId="3CA2C975"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4C1751EA" w14:textId="77777777" w:rsidR="00C67339" w:rsidRPr="0076703D" w:rsidRDefault="00C67339" w:rsidP="001D5CB4">
            <w:pPr>
              <w:pStyle w:val="ARtabletextrightbold"/>
              <w:spacing w:before="60" w:after="50"/>
            </w:pPr>
            <w:r w:rsidRPr="0076703D">
              <w:rPr>
                <w:color w:val="000000"/>
              </w:rPr>
              <w:t>5</w:t>
            </w:r>
          </w:p>
        </w:tc>
        <w:tc>
          <w:tcPr>
            <w:tcW w:w="314" w:type="pct"/>
            <w:tcBorders>
              <w:top w:val="single" w:sz="4" w:space="0" w:color="auto"/>
              <w:left w:val="nil"/>
            </w:tcBorders>
            <w:shd w:val="clear" w:color="auto" w:fill="auto"/>
            <w:noWrap/>
          </w:tcPr>
          <w:p w14:paraId="35AE51A1" w14:textId="77777777" w:rsidR="00C67339" w:rsidRPr="0076703D" w:rsidRDefault="00C67339" w:rsidP="001D5CB4">
            <w:pPr>
              <w:pStyle w:val="ARtabletextright"/>
              <w:spacing w:before="60" w:after="50"/>
            </w:pPr>
            <w:r w:rsidRPr="0076703D">
              <w:rPr>
                <w:color w:val="000000"/>
              </w:rPr>
              <w:t>1</w:t>
            </w:r>
          </w:p>
        </w:tc>
        <w:tc>
          <w:tcPr>
            <w:tcW w:w="316" w:type="pct"/>
            <w:shd w:val="clear" w:color="auto" w:fill="auto"/>
            <w:noWrap/>
          </w:tcPr>
          <w:p w14:paraId="7B7E5C3C" w14:textId="77777777" w:rsidR="00C67339" w:rsidRPr="0076703D" w:rsidRDefault="00C67339" w:rsidP="001D5CB4">
            <w:pPr>
              <w:pStyle w:val="ARtabletextright"/>
              <w:spacing w:before="60" w:after="50"/>
            </w:pPr>
            <w:r w:rsidRPr="0076703D">
              <w:rPr>
                <w:color w:val="000000"/>
              </w:rPr>
              <w:t>-2</w:t>
            </w:r>
          </w:p>
        </w:tc>
        <w:tc>
          <w:tcPr>
            <w:tcW w:w="368" w:type="pct"/>
            <w:shd w:val="clear" w:color="auto" w:fill="auto"/>
            <w:noWrap/>
          </w:tcPr>
          <w:p w14:paraId="39A56654"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19537A29" w14:textId="77777777" w:rsidR="00C67339" w:rsidRPr="0076703D" w:rsidRDefault="00C67339" w:rsidP="001D5CB4">
            <w:pPr>
              <w:pStyle w:val="ARtabletextrightbold"/>
              <w:spacing w:before="60" w:after="50"/>
            </w:pPr>
            <w:r w:rsidRPr="0076703D">
              <w:rPr>
                <w:color w:val="000000"/>
              </w:rPr>
              <w:t>-1</w:t>
            </w:r>
          </w:p>
        </w:tc>
      </w:tr>
      <w:tr w:rsidR="00C67339" w:rsidRPr="007939DD" w14:paraId="67DC6F6F" w14:textId="77777777" w:rsidTr="005732E7">
        <w:trPr>
          <w:cantSplit/>
        </w:trPr>
        <w:tc>
          <w:tcPr>
            <w:tcW w:w="1052" w:type="pct"/>
            <w:shd w:val="clear" w:color="auto" w:fill="auto"/>
            <w:noWrap/>
          </w:tcPr>
          <w:p w14:paraId="4A29C772" w14:textId="77777777" w:rsidR="00C67339" w:rsidRPr="0076703D" w:rsidRDefault="00C67339" w:rsidP="001D5CB4">
            <w:pPr>
              <w:pStyle w:val="ARtabletext"/>
              <w:spacing w:before="60" w:after="50"/>
            </w:pPr>
            <w:r w:rsidRPr="0076703D">
              <w:rPr>
                <w:color w:val="000000"/>
              </w:rPr>
              <w:t>Victorian Pharmacy Authority</w:t>
            </w:r>
          </w:p>
        </w:tc>
        <w:tc>
          <w:tcPr>
            <w:tcW w:w="315" w:type="pct"/>
          </w:tcPr>
          <w:p w14:paraId="3FD54006" w14:textId="77777777" w:rsidR="00C67339" w:rsidRPr="0076703D" w:rsidRDefault="00C67339" w:rsidP="001D5CB4">
            <w:pPr>
              <w:pStyle w:val="ARtabletextright"/>
              <w:spacing w:before="60" w:after="50"/>
            </w:pPr>
            <w:r w:rsidRPr="0076703D">
              <w:rPr>
                <w:color w:val="000000"/>
              </w:rPr>
              <w:t>0</w:t>
            </w:r>
          </w:p>
        </w:tc>
        <w:tc>
          <w:tcPr>
            <w:tcW w:w="316" w:type="pct"/>
          </w:tcPr>
          <w:p w14:paraId="7305F753" w14:textId="77777777" w:rsidR="00C67339" w:rsidRPr="0076703D" w:rsidRDefault="00C67339" w:rsidP="001D5CB4">
            <w:pPr>
              <w:pStyle w:val="ARtabletextright"/>
              <w:spacing w:before="60" w:after="50"/>
            </w:pPr>
            <w:r w:rsidRPr="0076703D">
              <w:rPr>
                <w:color w:val="000000"/>
              </w:rPr>
              <w:t>1</w:t>
            </w:r>
          </w:p>
        </w:tc>
        <w:tc>
          <w:tcPr>
            <w:tcW w:w="369" w:type="pct"/>
          </w:tcPr>
          <w:p w14:paraId="46EE207D"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386146A2"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06DF8BEC"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490792C2" w14:textId="77777777" w:rsidR="00C67339" w:rsidRPr="0076703D" w:rsidRDefault="00C67339" w:rsidP="001D5CB4">
            <w:pPr>
              <w:pStyle w:val="ARtabletextright"/>
              <w:spacing w:before="60" w:after="50"/>
            </w:pPr>
            <w:r w:rsidRPr="0076703D">
              <w:rPr>
                <w:color w:val="000000"/>
              </w:rPr>
              <w:t>1</w:t>
            </w:r>
          </w:p>
        </w:tc>
        <w:tc>
          <w:tcPr>
            <w:tcW w:w="368" w:type="pct"/>
            <w:tcBorders>
              <w:top w:val="single" w:sz="4" w:space="0" w:color="auto"/>
              <w:left w:val="nil"/>
              <w:right w:val="nil"/>
            </w:tcBorders>
            <w:shd w:val="clear" w:color="auto" w:fill="E7E6E6"/>
            <w:noWrap/>
          </w:tcPr>
          <w:p w14:paraId="4295F4E4"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0DE0B58F"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00A1E38E"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5DA35F54"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5F8D01D1"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3F8B8E3C" w14:textId="77777777" w:rsidR="00C67339" w:rsidRPr="0076703D" w:rsidRDefault="00C67339" w:rsidP="001D5CB4">
            <w:pPr>
              <w:pStyle w:val="ARtabletextrightbold"/>
              <w:spacing w:before="60" w:after="50"/>
            </w:pPr>
            <w:r w:rsidRPr="0076703D">
              <w:rPr>
                <w:color w:val="000000"/>
              </w:rPr>
              <w:t>0</w:t>
            </w:r>
          </w:p>
        </w:tc>
      </w:tr>
      <w:tr w:rsidR="00C67339" w:rsidRPr="007939DD" w14:paraId="0034CC3D" w14:textId="77777777" w:rsidTr="005732E7">
        <w:trPr>
          <w:cantSplit/>
        </w:trPr>
        <w:tc>
          <w:tcPr>
            <w:tcW w:w="1052" w:type="pct"/>
            <w:shd w:val="clear" w:color="auto" w:fill="auto"/>
            <w:noWrap/>
          </w:tcPr>
          <w:p w14:paraId="0EABD4C9" w14:textId="77777777" w:rsidR="00C67339" w:rsidRPr="0076703D" w:rsidRDefault="00C67339" w:rsidP="001D5CB4">
            <w:pPr>
              <w:pStyle w:val="ARtabletext"/>
              <w:spacing w:before="60" w:after="50"/>
            </w:pPr>
            <w:r w:rsidRPr="0076703D">
              <w:rPr>
                <w:color w:val="000000"/>
              </w:rPr>
              <w:t>West Gippsland Healthcare Group</w:t>
            </w:r>
          </w:p>
        </w:tc>
        <w:tc>
          <w:tcPr>
            <w:tcW w:w="315" w:type="pct"/>
          </w:tcPr>
          <w:p w14:paraId="710EE63A" w14:textId="77777777" w:rsidR="00C67339" w:rsidRPr="0076703D" w:rsidRDefault="00C67339" w:rsidP="001D5CB4">
            <w:pPr>
              <w:pStyle w:val="ARtabletextright"/>
              <w:spacing w:before="60" w:after="50"/>
            </w:pPr>
            <w:r w:rsidRPr="0076703D">
              <w:rPr>
                <w:color w:val="000000"/>
              </w:rPr>
              <w:t>1</w:t>
            </w:r>
          </w:p>
        </w:tc>
        <w:tc>
          <w:tcPr>
            <w:tcW w:w="316" w:type="pct"/>
          </w:tcPr>
          <w:p w14:paraId="63A33CA6" w14:textId="77777777" w:rsidR="00C67339" w:rsidRPr="0076703D" w:rsidRDefault="00C67339" w:rsidP="001D5CB4">
            <w:pPr>
              <w:pStyle w:val="ARtabletextright"/>
              <w:spacing w:before="60" w:after="50"/>
            </w:pPr>
            <w:r w:rsidRPr="0076703D">
              <w:rPr>
                <w:color w:val="000000"/>
              </w:rPr>
              <w:t>2</w:t>
            </w:r>
          </w:p>
        </w:tc>
        <w:tc>
          <w:tcPr>
            <w:tcW w:w="369" w:type="pct"/>
          </w:tcPr>
          <w:p w14:paraId="085A96A2"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16516EAA" w14:textId="77777777" w:rsidR="00C67339" w:rsidRPr="0076703D" w:rsidRDefault="00C67339" w:rsidP="001D5CB4">
            <w:pPr>
              <w:pStyle w:val="ARtabletextrightbold"/>
              <w:spacing w:before="60" w:after="50"/>
            </w:pPr>
            <w:r w:rsidRPr="0076703D">
              <w:rPr>
                <w:color w:val="000000"/>
              </w:rPr>
              <w:t>3</w:t>
            </w:r>
          </w:p>
        </w:tc>
        <w:tc>
          <w:tcPr>
            <w:tcW w:w="316" w:type="pct"/>
            <w:tcBorders>
              <w:top w:val="single" w:sz="4" w:space="0" w:color="auto"/>
              <w:right w:val="nil"/>
            </w:tcBorders>
            <w:shd w:val="clear" w:color="auto" w:fill="E7E6E6"/>
            <w:noWrap/>
          </w:tcPr>
          <w:p w14:paraId="4D0F30DF"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5AD2AEEE" w14:textId="77777777" w:rsidR="00C67339" w:rsidRPr="0076703D" w:rsidRDefault="00C67339" w:rsidP="001D5CB4">
            <w:pPr>
              <w:pStyle w:val="ARtabletextright"/>
              <w:spacing w:before="60" w:after="50"/>
            </w:pPr>
            <w:r w:rsidRPr="0076703D">
              <w:rPr>
                <w:color w:val="000000"/>
              </w:rPr>
              <w:t>2</w:t>
            </w:r>
          </w:p>
        </w:tc>
        <w:tc>
          <w:tcPr>
            <w:tcW w:w="368" w:type="pct"/>
            <w:tcBorders>
              <w:top w:val="single" w:sz="4" w:space="0" w:color="auto"/>
              <w:left w:val="nil"/>
              <w:right w:val="nil"/>
            </w:tcBorders>
            <w:shd w:val="clear" w:color="auto" w:fill="E7E6E6"/>
            <w:noWrap/>
          </w:tcPr>
          <w:p w14:paraId="5F8DCB15"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5DB4D0AD" w14:textId="77777777" w:rsidR="00C67339" w:rsidRPr="0076703D" w:rsidRDefault="00C67339" w:rsidP="001D5CB4">
            <w:pPr>
              <w:pStyle w:val="ARtabletextrightbold"/>
              <w:spacing w:before="60" w:after="50"/>
            </w:pPr>
            <w:r w:rsidRPr="0076703D">
              <w:rPr>
                <w:color w:val="000000"/>
              </w:rPr>
              <w:t>3</w:t>
            </w:r>
          </w:p>
        </w:tc>
        <w:tc>
          <w:tcPr>
            <w:tcW w:w="314" w:type="pct"/>
            <w:tcBorders>
              <w:top w:val="single" w:sz="4" w:space="0" w:color="auto"/>
              <w:left w:val="nil"/>
            </w:tcBorders>
            <w:shd w:val="clear" w:color="auto" w:fill="auto"/>
            <w:noWrap/>
          </w:tcPr>
          <w:p w14:paraId="7CB653D6"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79BB3485"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1DDAD538"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6F328568" w14:textId="77777777" w:rsidR="00C67339" w:rsidRPr="0076703D" w:rsidRDefault="00C67339" w:rsidP="001D5CB4">
            <w:pPr>
              <w:pStyle w:val="ARtabletextrightbold"/>
              <w:spacing w:before="60" w:after="50"/>
            </w:pPr>
            <w:r w:rsidRPr="0076703D">
              <w:rPr>
                <w:color w:val="000000"/>
              </w:rPr>
              <w:t>0</w:t>
            </w:r>
          </w:p>
        </w:tc>
      </w:tr>
      <w:tr w:rsidR="00C67339" w:rsidRPr="007939DD" w14:paraId="69395B45" w14:textId="77777777" w:rsidTr="005732E7">
        <w:trPr>
          <w:cantSplit/>
        </w:trPr>
        <w:tc>
          <w:tcPr>
            <w:tcW w:w="1052" w:type="pct"/>
            <w:shd w:val="clear" w:color="auto" w:fill="auto"/>
            <w:noWrap/>
          </w:tcPr>
          <w:p w14:paraId="048BF18B" w14:textId="77777777" w:rsidR="00C67339" w:rsidRPr="0076703D" w:rsidRDefault="00C67339" w:rsidP="001D5CB4">
            <w:pPr>
              <w:pStyle w:val="ARtabletext"/>
              <w:spacing w:before="60" w:after="50"/>
            </w:pPr>
            <w:r w:rsidRPr="0076703D">
              <w:rPr>
                <w:color w:val="000000"/>
              </w:rPr>
              <w:t>West Wimmera Health Service</w:t>
            </w:r>
          </w:p>
        </w:tc>
        <w:tc>
          <w:tcPr>
            <w:tcW w:w="315" w:type="pct"/>
          </w:tcPr>
          <w:p w14:paraId="07BE0983" w14:textId="77777777" w:rsidR="00C67339" w:rsidRPr="0076703D" w:rsidRDefault="00C67339" w:rsidP="001D5CB4">
            <w:pPr>
              <w:pStyle w:val="ARtabletextright"/>
              <w:spacing w:before="60" w:after="50"/>
            </w:pPr>
            <w:r w:rsidRPr="0076703D">
              <w:rPr>
                <w:color w:val="000000"/>
              </w:rPr>
              <w:t>1</w:t>
            </w:r>
          </w:p>
        </w:tc>
        <w:tc>
          <w:tcPr>
            <w:tcW w:w="316" w:type="pct"/>
          </w:tcPr>
          <w:p w14:paraId="207FA84A" w14:textId="77777777" w:rsidR="00C67339" w:rsidRPr="0076703D" w:rsidRDefault="00C67339" w:rsidP="001D5CB4">
            <w:pPr>
              <w:pStyle w:val="ARtabletextright"/>
              <w:spacing w:before="60" w:after="50"/>
            </w:pPr>
            <w:r w:rsidRPr="0076703D">
              <w:rPr>
                <w:color w:val="000000"/>
              </w:rPr>
              <w:t>2</w:t>
            </w:r>
          </w:p>
        </w:tc>
        <w:tc>
          <w:tcPr>
            <w:tcW w:w="369" w:type="pct"/>
          </w:tcPr>
          <w:p w14:paraId="5C67ED4B"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1A07469B" w14:textId="77777777" w:rsidR="00C67339" w:rsidRPr="0076703D" w:rsidRDefault="00C67339" w:rsidP="001D5CB4">
            <w:pPr>
              <w:pStyle w:val="ARtabletextrightbold"/>
              <w:spacing w:before="60" w:after="50"/>
            </w:pPr>
            <w:r w:rsidRPr="0076703D">
              <w:rPr>
                <w:color w:val="000000"/>
              </w:rPr>
              <w:t>3</w:t>
            </w:r>
          </w:p>
        </w:tc>
        <w:tc>
          <w:tcPr>
            <w:tcW w:w="316" w:type="pct"/>
            <w:tcBorders>
              <w:top w:val="single" w:sz="4" w:space="0" w:color="auto"/>
              <w:right w:val="nil"/>
            </w:tcBorders>
            <w:shd w:val="clear" w:color="auto" w:fill="E7E6E6"/>
            <w:noWrap/>
          </w:tcPr>
          <w:p w14:paraId="242C56C4" w14:textId="77777777" w:rsidR="00C67339" w:rsidRPr="0076703D" w:rsidRDefault="00C67339" w:rsidP="001D5CB4">
            <w:pPr>
              <w:pStyle w:val="ARtabletextright"/>
              <w:spacing w:before="60" w:after="50"/>
            </w:pPr>
            <w:r w:rsidRPr="0076703D">
              <w:rPr>
                <w:color w:val="000000"/>
              </w:rPr>
              <w:t>2</w:t>
            </w:r>
          </w:p>
        </w:tc>
        <w:tc>
          <w:tcPr>
            <w:tcW w:w="316" w:type="pct"/>
            <w:tcBorders>
              <w:top w:val="single" w:sz="4" w:space="0" w:color="auto"/>
              <w:left w:val="nil"/>
              <w:right w:val="nil"/>
            </w:tcBorders>
            <w:shd w:val="clear" w:color="auto" w:fill="E7E6E6"/>
            <w:noWrap/>
          </w:tcPr>
          <w:p w14:paraId="5409685B" w14:textId="77777777" w:rsidR="00C67339" w:rsidRPr="0076703D" w:rsidRDefault="00C67339" w:rsidP="001D5CB4">
            <w:pPr>
              <w:pStyle w:val="ARtabletextright"/>
              <w:spacing w:before="60" w:after="50"/>
            </w:pPr>
            <w:r w:rsidRPr="0076703D">
              <w:rPr>
                <w:color w:val="000000"/>
              </w:rPr>
              <w:t>3</w:t>
            </w:r>
          </w:p>
        </w:tc>
        <w:tc>
          <w:tcPr>
            <w:tcW w:w="368" w:type="pct"/>
            <w:tcBorders>
              <w:top w:val="single" w:sz="4" w:space="0" w:color="auto"/>
              <w:left w:val="nil"/>
              <w:right w:val="nil"/>
            </w:tcBorders>
            <w:shd w:val="clear" w:color="auto" w:fill="E7E6E6"/>
            <w:noWrap/>
          </w:tcPr>
          <w:p w14:paraId="07F54C05"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687210F0" w14:textId="77777777" w:rsidR="00C67339" w:rsidRPr="0076703D" w:rsidRDefault="00C67339" w:rsidP="001D5CB4">
            <w:pPr>
              <w:pStyle w:val="ARtabletextrightbold"/>
              <w:spacing w:before="60" w:after="50"/>
            </w:pPr>
            <w:r w:rsidRPr="0076703D">
              <w:rPr>
                <w:color w:val="000000"/>
              </w:rPr>
              <w:t>5</w:t>
            </w:r>
          </w:p>
        </w:tc>
        <w:tc>
          <w:tcPr>
            <w:tcW w:w="314" w:type="pct"/>
            <w:tcBorders>
              <w:top w:val="single" w:sz="4" w:space="0" w:color="auto"/>
              <w:left w:val="nil"/>
            </w:tcBorders>
            <w:shd w:val="clear" w:color="auto" w:fill="auto"/>
            <w:noWrap/>
          </w:tcPr>
          <w:p w14:paraId="7B00BF12" w14:textId="77777777" w:rsidR="00C67339" w:rsidRPr="0076703D" w:rsidRDefault="00C67339" w:rsidP="001D5CB4">
            <w:pPr>
              <w:pStyle w:val="ARtabletextright"/>
              <w:spacing w:before="60" w:after="50"/>
            </w:pPr>
            <w:r w:rsidRPr="0076703D">
              <w:rPr>
                <w:color w:val="000000"/>
              </w:rPr>
              <w:t>-1</w:t>
            </w:r>
          </w:p>
        </w:tc>
        <w:tc>
          <w:tcPr>
            <w:tcW w:w="316" w:type="pct"/>
            <w:shd w:val="clear" w:color="auto" w:fill="auto"/>
            <w:noWrap/>
          </w:tcPr>
          <w:p w14:paraId="66AF075A" w14:textId="77777777" w:rsidR="00C67339" w:rsidRPr="0076703D" w:rsidRDefault="00C67339" w:rsidP="001D5CB4">
            <w:pPr>
              <w:pStyle w:val="ARtabletextright"/>
              <w:spacing w:before="60" w:after="50"/>
            </w:pPr>
            <w:r w:rsidRPr="0076703D">
              <w:rPr>
                <w:color w:val="000000"/>
              </w:rPr>
              <w:t>-1</w:t>
            </w:r>
          </w:p>
        </w:tc>
        <w:tc>
          <w:tcPr>
            <w:tcW w:w="368" w:type="pct"/>
            <w:shd w:val="clear" w:color="auto" w:fill="auto"/>
            <w:noWrap/>
          </w:tcPr>
          <w:p w14:paraId="63BA0499"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724F59EA" w14:textId="77777777" w:rsidR="00C67339" w:rsidRPr="0076703D" w:rsidRDefault="00C67339" w:rsidP="001D5CB4">
            <w:pPr>
              <w:pStyle w:val="ARtabletextrightbold"/>
              <w:spacing w:before="60" w:after="50"/>
            </w:pPr>
            <w:r w:rsidRPr="0076703D">
              <w:rPr>
                <w:color w:val="000000"/>
              </w:rPr>
              <w:t>-2</w:t>
            </w:r>
          </w:p>
        </w:tc>
      </w:tr>
      <w:tr w:rsidR="00C67339" w:rsidRPr="007939DD" w14:paraId="19800A3F" w14:textId="77777777" w:rsidTr="005732E7">
        <w:trPr>
          <w:cantSplit/>
        </w:trPr>
        <w:tc>
          <w:tcPr>
            <w:tcW w:w="1052" w:type="pct"/>
            <w:shd w:val="clear" w:color="auto" w:fill="auto"/>
            <w:noWrap/>
          </w:tcPr>
          <w:p w14:paraId="586F4A3F" w14:textId="77777777" w:rsidR="00C67339" w:rsidRPr="0076703D" w:rsidRDefault="00C67339" w:rsidP="001D5CB4">
            <w:pPr>
              <w:pStyle w:val="ARtabletext"/>
              <w:spacing w:before="60" w:after="50"/>
            </w:pPr>
            <w:r w:rsidRPr="0076703D">
              <w:rPr>
                <w:color w:val="000000"/>
              </w:rPr>
              <w:t>Western District Health Service</w:t>
            </w:r>
          </w:p>
        </w:tc>
        <w:tc>
          <w:tcPr>
            <w:tcW w:w="315" w:type="pct"/>
          </w:tcPr>
          <w:p w14:paraId="4080271B" w14:textId="77777777" w:rsidR="00C67339" w:rsidRPr="0076703D" w:rsidRDefault="00C67339" w:rsidP="001D5CB4">
            <w:pPr>
              <w:pStyle w:val="ARtabletextright"/>
              <w:spacing w:before="60" w:after="50"/>
            </w:pPr>
            <w:r w:rsidRPr="0076703D">
              <w:rPr>
                <w:color w:val="000000"/>
              </w:rPr>
              <w:t>0</w:t>
            </w:r>
          </w:p>
        </w:tc>
        <w:tc>
          <w:tcPr>
            <w:tcW w:w="316" w:type="pct"/>
          </w:tcPr>
          <w:p w14:paraId="0F6916F2" w14:textId="77777777" w:rsidR="00C67339" w:rsidRPr="0076703D" w:rsidRDefault="00C67339" w:rsidP="001D5CB4">
            <w:pPr>
              <w:pStyle w:val="ARtabletextright"/>
              <w:spacing w:before="60" w:after="50"/>
            </w:pPr>
            <w:r w:rsidRPr="0076703D">
              <w:rPr>
                <w:color w:val="000000"/>
              </w:rPr>
              <w:t>1</w:t>
            </w:r>
          </w:p>
        </w:tc>
        <w:tc>
          <w:tcPr>
            <w:tcW w:w="369" w:type="pct"/>
          </w:tcPr>
          <w:p w14:paraId="4DA1F71D"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5991EC06"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4E188FE0"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1F545B38" w14:textId="77777777" w:rsidR="00C67339" w:rsidRPr="0076703D" w:rsidRDefault="00C67339" w:rsidP="001D5CB4">
            <w:pPr>
              <w:pStyle w:val="ARtabletextright"/>
              <w:spacing w:before="60" w:after="50"/>
            </w:pPr>
            <w:r w:rsidRPr="0076703D">
              <w:rPr>
                <w:color w:val="000000"/>
              </w:rPr>
              <w:t>2</w:t>
            </w:r>
          </w:p>
        </w:tc>
        <w:tc>
          <w:tcPr>
            <w:tcW w:w="368" w:type="pct"/>
            <w:tcBorders>
              <w:top w:val="single" w:sz="4" w:space="0" w:color="auto"/>
              <w:left w:val="nil"/>
              <w:right w:val="nil"/>
            </w:tcBorders>
            <w:shd w:val="clear" w:color="auto" w:fill="E7E6E6"/>
            <w:noWrap/>
          </w:tcPr>
          <w:p w14:paraId="023C3AD4"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5BA9956E" w14:textId="77777777" w:rsidR="00C67339" w:rsidRPr="0076703D" w:rsidRDefault="00C67339" w:rsidP="001D5CB4">
            <w:pPr>
              <w:pStyle w:val="ARtabletextrightbold"/>
              <w:spacing w:before="60" w:after="50"/>
            </w:pPr>
            <w:r w:rsidRPr="0076703D">
              <w:rPr>
                <w:color w:val="000000"/>
              </w:rPr>
              <w:t>3</w:t>
            </w:r>
          </w:p>
        </w:tc>
        <w:tc>
          <w:tcPr>
            <w:tcW w:w="314" w:type="pct"/>
            <w:tcBorders>
              <w:top w:val="single" w:sz="4" w:space="0" w:color="auto"/>
              <w:left w:val="nil"/>
            </w:tcBorders>
            <w:shd w:val="clear" w:color="auto" w:fill="auto"/>
            <w:noWrap/>
          </w:tcPr>
          <w:p w14:paraId="13D68292" w14:textId="77777777" w:rsidR="00C67339" w:rsidRPr="0076703D" w:rsidRDefault="00C67339" w:rsidP="001D5CB4">
            <w:pPr>
              <w:pStyle w:val="ARtabletextright"/>
              <w:spacing w:before="60" w:after="50"/>
            </w:pPr>
            <w:r w:rsidRPr="0076703D">
              <w:rPr>
                <w:color w:val="000000"/>
              </w:rPr>
              <w:t>-1</w:t>
            </w:r>
          </w:p>
        </w:tc>
        <w:tc>
          <w:tcPr>
            <w:tcW w:w="316" w:type="pct"/>
            <w:shd w:val="clear" w:color="auto" w:fill="auto"/>
            <w:noWrap/>
          </w:tcPr>
          <w:p w14:paraId="275BCAD8" w14:textId="77777777" w:rsidR="00C67339" w:rsidRPr="0076703D" w:rsidRDefault="00C67339" w:rsidP="001D5CB4">
            <w:pPr>
              <w:pStyle w:val="ARtabletextright"/>
              <w:spacing w:before="60" w:after="50"/>
            </w:pPr>
            <w:r w:rsidRPr="0076703D">
              <w:rPr>
                <w:color w:val="000000"/>
              </w:rPr>
              <w:t>-1</w:t>
            </w:r>
          </w:p>
        </w:tc>
        <w:tc>
          <w:tcPr>
            <w:tcW w:w="368" w:type="pct"/>
            <w:shd w:val="clear" w:color="auto" w:fill="auto"/>
            <w:noWrap/>
          </w:tcPr>
          <w:p w14:paraId="078195F7"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1162E1E0" w14:textId="77777777" w:rsidR="00C67339" w:rsidRPr="0076703D" w:rsidRDefault="00C67339" w:rsidP="001D5CB4">
            <w:pPr>
              <w:pStyle w:val="ARtabletextrightbold"/>
              <w:spacing w:before="60" w:after="50"/>
            </w:pPr>
            <w:r w:rsidRPr="0076703D">
              <w:rPr>
                <w:color w:val="000000"/>
              </w:rPr>
              <w:t>-2</w:t>
            </w:r>
          </w:p>
        </w:tc>
      </w:tr>
      <w:tr w:rsidR="00C67339" w:rsidRPr="007939DD" w14:paraId="7A966C75" w14:textId="77777777" w:rsidTr="005732E7">
        <w:trPr>
          <w:cantSplit/>
        </w:trPr>
        <w:tc>
          <w:tcPr>
            <w:tcW w:w="1052" w:type="pct"/>
            <w:shd w:val="clear" w:color="auto" w:fill="auto"/>
            <w:noWrap/>
          </w:tcPr>
          <w:p w14:paraId="6015CB62" w14:textId="77777777" w:rsidR="00C67339" w:rsidRPr="0076703D" w:rsidRDefault="00C67339" w:rsidP="001D5CB4">
            <w:pPr>
              <w:pStyle w:val="ARtabletext"/>
              <w:spacing w:before="60" w:after="50"/>
            </w:pPr>
            <w:r w:rsidRPr="0076703D">
              <w:rPr>
                <w:color w:val="000000"/>
              </w:rPr>
              <w:t>Western Health</w:t>
            </w:r>
          </w:p>
        </w:tc>
        <w:tc>
          <w:tcPr>
            <w:tcW w:w="315" w:type="pct"/>
          </w:tcPr>
          <w:p w14:paraId="3F2846CB" w14:textId="77777777" w:rsidR="00C67339" w:rsidRPr="0076703D" w:rsidRDefault="00C67339" w:rsidP="001D5CB4">
            <w:pPr>
              <w:pStyle w:val="ARtabletextright"/>
              <w:spacing w:before="60" w:after="50"/>
            </w:pPr>
            <w:r w:rsidRPr="0076703D">
              <w:rPr>
                <w:color w:val="000000"/>
              </w:rPr>
              <w:t>14</w:t>
            </w:r>
          </w:p>
        </w:tc>
        <w:tc>
          <w:tcPr>
            <w:tcW w:w="316" w:type="pct"/>
          </w:tcPr>
          <w:p w14:paraId="0730AB92" w14:textId="77777777" w:rsidR="00C67339" w:rsidRPr="0076703D" w:rsidRDefault="00C67339" w:rsidP="001D5CB4">
            <w:pPr>
              <w:pStyle w:val="ARtabletextright"/>
              <w:spacing w:before="60" w:after="50"/>
            </w:pPr>
            <w:r w:rsidRPr="0076703D">
              <w:rPr>
                <w:color w:val="000000"/>
              </w:rPr>
              <w:t>9</w:t>
            </w:r>
          </w:p>
        </w:tc>
        <w:tc>
          <w:tcPr>
            <w:tcW w:w="369" w:type="pct"/>
          </w:tcPr>
          <w:p w14:paraId="7132C100"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43230959" w14:textId="77777777" w:rsidR="00C67339" w:rsidRPr="0076703D" w:rsidRDefault="00C67339" w:rsidP="001D5CB4">
            <w:pPr>
              <w:pStyle w:val="ARtabletextrightbold"/>
              <w:spacing w:before="60" w:after="50"/>
            </w:pPr>
            <w:r w:rsidRPr="0076703D">
              <w:rPr>
                <w:color w:val="000000"/>
              </w:rPr>
              <w:t>23</w:t>
            </w:r>
          </w:p>
        </w:tc>
        <w:tc>
          <w:tcPr>
            <w:tcW w:w="316" w:type="pct"/>
            <w:tcBorders>
              <w:top w:val="single" w:sz="4" w:space="0" w:color="auto"/>
              <w:right w:val="nil"/>
            </w:tcBorders>
            <w:shd w:val="clear" w:color="auto" w:fill="E7E6E6"/>
            <w:noWrap/>
          </w:tcPr>
          <w:p w14:paraId="322A67FC" w14:textId="77777777" w:rsidR="00C67339" w:rsidRPr="0076703D" w:rsidRDefault="00C67339" w:rsidP="001D5CB4">
            <w:pPr>
              <w:pStyle w:val="ARtabletextright"/>
              <w:spacing w:before="60" w:after="50"/>
            </w:pPr>
            <w:r w:rsidRPr="0076703D">
              <w:rPr>
                <w:color w:val="000000"/>
              </w:rPr>
              <w:t>16</w:t>
            </w:r>
          </w:p>
        </w:tc>
        <w:tc>
          <w:tcPr>
            <w:tcW w:w="316" w:type="pct"/>
            <w:tcBorders>
              <w:top w:val="single" w:sz="4" w:space="0" w:color="auto"/>
              <w:left w:val="nil"/>
              <w:right w:val="nil"/>
            </w:tcBorders>
            <w:shd w:val="clear" w:color="auto" w:fill="E7E6E6"/>
            <w:noWrap/>
          </w:tcPr>
          <w:p w14:paraId="1FE4016B" w14:textId="77777777" w:rsidR="00C67339" w:rsidRPr="0076703D" w:rsidRDefault="00C67339" w:rsidP="001D5CB4">
            <w:pPr>
              <w:pStyle w:val="ARtabletextright"/>
              <w:spacing w:before="60" w:after="50"/>
            </w:pPr>
            <w:r w:rsidRPr="0076703D">
              <w:rPr>
                <w:color w:val="000000"/>
              </w:rPr>
              <w:t>8</w:t>
            </w:r>
          </w:p>
        </w:tc>
        <w:tc>
          <w:tcPr>
            <w:tcW w:w="368" w:type="pct"/>
            <w:tcBorders>
              <w:top w:val="single" w:sz="4" w:space="0" w:color="auto"/>
              <w:left w:val="nil"/>
              <w:right w:val="nil"/>
            </w:tcBorders>
            <w:shd w:val="clear" w:color="auto" w:fill="E7E6E6"/>
            <w:noWrap/>
          </w:tcPr>
          <w:p w14:paraId="09173BAB"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5B58C1C5" w14:textId="77777777" w:rsidR="00C67339" w:rsidRPr="0076703D" w:rsidRDefault="00C67339" w:rsidP="001D5CB4">
            <w:pPr>
              <w:pStyle w:val="ARtabletextrightbold"/>
              <w:spacing w:before="60" w:after="50"/>
            </w:pPr>
            <w:r w:rsidRPr="0076703D">
              <w:rPr>
                <w:color w:val="000000"/>
              </w:rPr>
              <w:t>24</w:t>
            </w:r>
          </w:p>
        </w:tc>
        <w:tc>
          <w:tcPr>
            <w:tcW w:w="314" w:type="pct"/>
            <w:tcBorders>
              <w:top w:val="single" w:sz="4" w:space="0" w:color="auto"/>
              <w:left w:val="nil"/>
            </w:tcBorders>
            <w:shd w:val="clear" w:color="auto" w:fill="auto"/>
            <w:noWrap/>
          </w:tcPr>
          <w:p w14:paraId="770E9AAC" w14:textId="77777777" w:rsidR="00C67339" w:rsidRPr="0076703D" w:rsidRDefault="00C67339" w:rsidP="001D5CB4">
            <w:pPr>
              <w:pStyle w:val="ARtabletextright"/>
              <w:spacing w:before="60" w:after="50"/>
            </w:pPr>
            <w:r w:rsidRPr="0076703D">
              <w:rPr>
                <w:color w:val="000000"/>
              </w:rPr>
              <w:t>-2</w:t>
            </w:r>
          </w:p>
        </w:tc>
        <w:tc>
          <w:tcPr>
            <w:tcW w:w="316" w:type="pct"/>
            <w:shd w:val="clear" w:color="auto" w:fill="auto"/>
            <w:noWrap/>
          </w:tcPr>
          <w:p w14:paraId="0650BF36" w14:textId="77777777" w:rsidR="00C67339" w:rsidRPr="0076703D" w:rsidRDefault="00C67339" w:rsidP="001D5CB4">
            <w:pPr>
              <w:pStyle w:val="ARtabletextright"/>
              <w:spacing w:before="60" w:after="50"/>
            </w:pPr>
            <w:r w:rsidRPr="0076703D">
              <w:rPr>
                <w:color w:val="000000"/>
              </w:rPr>
              <w:t>1</w:t>
            </w:r>
          </w:p>
        </w:tc>
        <w:tc>
          <w:tcPr>
            <w:tcW w:w="368" w:type="pct"/>
            <w:shd w:val="clear" w:color="auto" w:fill="auto"/>
            <w:noWrap/>
          </w:tcPr>
          <w:p w14:paraId="62C41E82"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18D33B4B" w14:textId="77777777" w:rsidR="00C67339" w:rsidRPr="0076703D" w:rsidRDefault="00C67339" w:rsidP="001D5CB4">
            <w:pPr>
              <w:pStyle w:val="ARtabletextrightbold"/>
              <w:spacing w:before="60" w:after="50"/>
            </w:pPr>
            <w:r w:rsidRPr="0076703D">
              <w:rPr>
                <w:color w:val="000000"/>
              </w:rPr>
              <w:t>-1</w:t>
            </w:r>
          </w:p>
        </w:tc>
      </w:tr>
      <w:tr w:rsidR="00C67339" w:rsidRPr="007939DD" w14:paraId="3919DBAB" w14:textId="77777777" w:rsidTr="005732E7">
        <w:trPr>
          <w:cantSplit/>
        </w:trPr>
        <w:tc>
          <w:tcPr>
            <w:tcW w:w="1052" w:type="pct"/>
            <w:shd w:val="clear" w:color="auto" w:fill="auto"/>
            <w:noWrap/>
          </w:tcPr>
          <w:p w14:paraId="77CBB7E4" w14:textId="77777777" w:rsidR="00C67339" w:rsidRPr="0076703D" w:rsidRDefault="00C67339" w:rsidP="001D5CB4">
            <w:pPr>
              <w:pStyle w:val="ARtabletext"/>
              <w:spacing w:before="60" w:after="50"/>
            </w:pPr>
            <w:r w:rsidRPr="0076703D">
              <w:rPr>
                <w:color w:val="000000"/>
              </w:rPr>
              <w:t>Wimmera Health Care Group</w:t>
            </w:r>
          </w:p>
        </w:tc>
        <w:tc>
          <w:tcPr>
            <w:tcW w:w="315" w:type="pct"/>
          </w:tcPr>
          <w:p w14:paraId="5D5A9B8A" w14:textId="77777777" w:rsidR="00C67339" w:rsidRPr="0076703D" w:rsidRDefault="00C67339" w:rsidP="001D5CB4">
            <w:pPr>
              <w:pStyle w:val="ARtabletextright"/>
              <w:spacing w:before="60" w:after="50"/>
            </w:pPr>
            <w:r w:rsidRPr="0076703D">
              <w:rPr>
                <w:color w:val="000000"/>
              </w:rPr>
              <w:t>2</w:t>
            </w:r>
          </w:p>
        </w:tc>
        <w:tc>
          <w:tcPr>
            <w:tcW w:w="316" w:type="pct"/>
          </w:tcPr>
          <w:p w14:paraId="780DE4C1" w14:textId="77777777" w:rsidR="00C67339" w:rsidRPr="0076703D" w:rsidRDefault="00C67339" w:rsidP="001D5CB4">
            <w:pPr>
              <w:pStyle w:val="ARtabletextright"/>
              <w:spacing w:before="60" w:after="50"/>
            </w:pPr>
            <w:r w:rsidRPr="0076703D">
              <w:rPr>
                <w:color w:val="000000"/>
              </w:rPr>
              <w:t>2</w:t>
            </w:r>
          </w:p>
        </w:tc>
        <w:tc>
          <w:tcPr>
            <w:tcW w:w="369" w:type="pct"/>
          </w:tcPr>
          <w:p w14:paraId="480DC855"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53CB4769" w14:textId="77777777" w:rsidR="00C67339" w:rsidRPr="0076703D" w:rsidRDefault="00C67339" w:rsidP="001D5CB4">
            <w:pPr>
              <w:pStyle w:val="ARtabletextrightbold"/>
              <w:spacing w:before="60" w:after="50"/>
            </w:pPr>
            <w:r w:rsidRPr="0076703D">
              <w:rPr>
                <w:color w:val="000000"/>
              </w:rPr>
              <w:t>4</w:t>
            </w:r>
          </w:p>
        </w:tc>
        <w:tc>
          <w:tcPr>
            <w:tcW w:w="316" w:type="pct"/>
            <w:tcBorders>
              <w:top w:val="single" w:sz="4" w:space="0" w:color="auto"/>
              <w:right w:val="nil"/>
            </w:tcBorders>
            <w:shd w:val="clear" w:color="auto" w:fill="E7E6E6"/>
            <w:noWrap/>
          </w:tcPr>
          <w:p w14:paraId="387F5B84" w14:textId="77777777" w:rsidR="00C67339" w:rsidRPr="0076703D" w:rsidRDefault="00C67339" w:rsidP="001D5CB4">
            <w:pPr>
              <w:pStyle w:val="ARtabletextright"/>
              <w:spacing w:before="60" w:after="50"/>
            </w:pPr>
            <w:r w:rsidRPr="0076703D">
              <w:rPr>
                <w:color w:val="000000"/>
              </w:rPr>
              <w:t>2</w:t>
            </w:r>
          </w:p>
        </w:tc>
        <w:tc>
          <w:tcPr>
            <w:tcW w:w="316" w:type="pct"/>
            <w:tcBorders>
              <w:top w:val="single" w:sz="4" w:space="0" w:color="auto"/>
              <w:left w:val="nil"/>
              <w:right w:val="nil"/>
            </w:tcBorders>
            <w:shd w:val="clear" w:color="auto" w:fill="E7E6E6"/>
            <w:noWrap/>
          </w:tcPr>
          <w:p w14:paraId="08E69EAA" w14:textId="77777777" w:rsidR="00C67339" w:rsidRPr="0076703D" w:rsidRDefault="00C67339" w:rsidP="001D5CB4">
            <w:pPr>
              <w:pStyle w:val="ARtabletextright"/>
              <w:spacing w:before="60" w:after="50"/>
            </w:pPr>
            <w:r w:rsidRPr="0076703D">
              <w:rPr>
                <w:color w:val="000000"/>
              </w:rPr>
              <w:t>4</w:t>
            </w:r>
          </w:p>
        </w:tc>
        <w:tc>
          <w:tcPr>
            <w:tcW w:w="368" w:type="pct"/>
            <w:tcBorders>
              <w:top w:val="single" w:sz="4" w:space="0" w:color="auto"/>
              <w:left w:val="nil"/>
              <w:right w:val="nil"/>
            </w:tcBorders>
            <w:shd w:val="clear" w:color="auto" w:fill="E7E6E6"/>
            <w:noWrap/>
          </w:tcPr>
          <w:p w14:paraId="12618CB8"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436021B8" w14:textId="77777777" w:rsidR="00C67339" w:rsidRPr="0076703D" w:rsidRDefault="00C67339" w:rsidP="001D5CB4">
            <w:pPr>
              <w:pStyle w:val="ARtabletextrightbold"/>
              <w:spacing w:before="60" w:after="50"/>
            </w:pPr>
            <w:r w:rsidRPr="0076703D">
              <w:rPr>
                <w:color w:val="000000"/>
              </w:rPr>
              <w:t>6</w:t>
            </w:r>
          </w:p>
        </w:tc>
        <w:tc>
          <w:tcPr>
            <w:tcW w:w="314" w:type="pct"/>
            <w:tcBorders>
              <w:top w:val="single" w:sz="4" w:space="0" w:color="auto"/>
              <w:left w:val="nil"/>
            </w:tcBorders>
            <w:shd w:val="clear" w:color="auto" w:fill="auto"/>
            <w:noWrap/>
          </w:tcPr>
          <w:p w14:paraId="59FA767F"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78A0BA21" w14:textId="77777777" w:rsidR="00C67339" w:rsidRPr="0076703D" w:rsidRDefault="00C67339" w:rsidP="001D5CB4">
            <w:pPr>
              <w:pStyle w:val="ARtabletextright"/>
              <w:spacing w:before="60" w:after="50"/>
            </w:pPr>
            <w:r w:rsidRPr="0076703D">
              <w:rPr>
                <w:color w:val="000000"/>
              </w:rPr>
              <w:t>-2</w:t>
            </w:r>
          </w:p>
        </w:tc>
        <w:tc>
          <w:tcPr>
            <w:tcW w:w="368" w:type="pct"/>
            <w:shd w:val="clear" w:color="auto" w:fill="auto"/>
            <w:noWrap/>
          </w:tcPr>
          <w:p w14:paraId="49117594"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3DD896B1" w14:textId="77777777" w:rsidR="00C67339" w:rsidRPr="0076703D" w:rsidRDefault="00C67339" w:rsidP="001D5CB4">
            <w:pPr>
              <w:pStyle w:val="ARtabletextrightbold"/>
              <w:spacing w:before="60" w:after="50"/>
            </w:pPr>
            <w:r w:rsidRPr="0076703D">
              <w:rPr>
                <w:color w:val="000000"/>
              </w:rPr>
              <w:t>-2</w:t>
            </w:r>
          </w:p>
        </w:tc>
      </w:tr>
      <w:tr w:rsidR="00C67339" w:rsidRPr="007939DD" w14:paraId="7D15B2BA" w14:textId="77777777" w:rsidTr="005732E7">
        <w:trPr>
          <w:cantSplit/>
        </w:trPr>
        <w:tc>
          <w:tcPr>
            <w:tcW w:w="1052" w:type="pct"/>
            <w:shd w:val="clear" w:color="auto" w:fill="auto"/>
            <w:noWrap/>
          </w:tcPr>
          <w:p w14:paraId="300D0105" w14:textId="77777777" w:rsidR="00C67339" w:rsidRPr="0076703D" w:rsidRDefault="00C67339" w:rsidP="001D5CB4">
            <w:pPr>
              <w:pStyle w:val="ARtabletext"/>
              <w:spacing w:before="60" w:after="50"/>
            </w:pPr>
            <w:r w:rsidRPr="0076703D">
              <w:rPr>
                <w:color w:val="000000"/>
              </w:rPr>
              <w:t>Yarram and District Health Service</w:t>
            </w:r>
          </w:p>
        </w:tc>
        <w:tc>
          <w:tcPr>
            <w:tcW w:w="315" w:type="pct"/>
          </w:tcPr>
          <w:p w14:paraId="7DECE4BE" w14:textId="77777777" w:rsidR="00C67339" w:rsidRPr="0076703D" w:rsidRDefault="00C67339" w:rsidP="001D5CB4">
            <w:pPr>
              <w:pStyle w:val="ARtabletextright"/>
              <w:spacing w:before="60" w:after="50"/>
            </w:pPr>
            <w:r w:rsidRPr="0076703D">
              <w:rPr>
                <w:color w:val="000000"/>
              </w:rPr>
              <w:t>1</w:t>
            </w:r>
          </w:p>
        </w:tc>
        <w:tc>
          <w:tcPr>
            <w:tcW w:w="316" w:type="pct"/>
          </w:tcPr>
          <w:p w14:paraId="04105B9E" w14:textId="77777777" w:rsidR="00C67339" w:rsidRPr="0076703D" w:rsidRDefault="00C67339" w:rsidP="001D5CB4">
            <w:pPr>
              <w:pStyle w:val="ARtabletextright"/>
              <w:spacing w:before="60" w:after="50"/>
            </w:pPr>
            <w:r w:rsidRPr="0076703D">
              <w:rPr>
                <w:color w:val="000000"/>
              </w:rPr>
              <w:t>0</w:t>
            </w:r>
          </w:p>
        </w:tc>
        <w:tc>
          <w:tcPr>
            <w:tcW w:w="369" w:type="pct"/>
          </w:tcPr>
          <w:p w14:paraId="029762FE"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04BD4C4B"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6D249E8E"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30E39F18"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275B2D78"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6FEC0E96"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4DF880F6"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51782992"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09DF9577"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6175BE62" w14:textId="77777777" w:rsidR="00C67339" w:rsidRPr="0076703D" w:rsidRDefault="00C67339" w:rsidP="001D5CB4">
            <w:pPr>
              <w:pStyle w:val="ARtabletextrightbold"/>
              <w:spacing w:before="60" w:after="50"/>
            </w:pPr>
            <w:r w:rsidRPr="0076703D">
              <w:rPr>
                <w:color w:val="000000"/>
              </w:rPr>
              <w:t>0</w:t>
            </w:r>
          </w:p>
        </w:tc>
      </w:tr>
      <w:tr w:rsidR="00C67339" w:rsidRPr="007939DD" w14:paraId="3593C17C" w14:textId="77777777" w:rsidTr="005732E7">
        <w:trPr>
          <w:cantSplit/>
        </w:trPr>
        <w:tc>
          <w:tcPr>
            <w:tcW w:w="1052" w:type="pct"/>
            <w:shd w:val="clear" w:color="auto" w:fill="auto"/>
            <w:noWrap/>
          </w:tcPr>
          <w:p w14:paraId="447696CF" w14:textId="77777777" w:rsidR="00C67339" w:rsidRPr="0076703D" w:rsidRDefault="00C67339" w:rsidP="001D5CB4">
            <w:pPr>
              <w:pStyle w:val="ARtabletext"/>
              <w:spacing w:before="60" w:after="50"/>
            </w:pPr>
            <w:r w:rsidRPr="0076703D">
              <w:rPr>
                <w:color w:val="000000"/>
              </w:rPr>
              <w:t>Yarrawonga Health</w:t>
            </w:r>
          </w:p>
        </w:tc>
        <w:tc>
          <w:tcPr>
            <w:tcW w:w="315" w:type="pct"/>
          </w:tcPr>
          <w:p w14:paraId="14846C2D" w14:textId="77777777" w:rsidR="00C67339" w:rsidRPr="0076703D" w:rsidRDefault="00C67339" w:rsidP="001D5CB4">
            <w:pPr>
              <w:pStyle w:val="ARtabletextright"/>
              <w:spacing w:before="60" w:after="50"/>
            </w:pPr>
            <w:r w:rsidRPr="0076703D">
              <w:rPr>
                <w:color w:val="000000"/>
              </w:rPr>
              <w:t>1</w:t>
            </w:r>
          </w:p>
        </w:tc>
        <w:tc>
          <w:tcPr>
            <w:tcW w:w="316" w:type="pct"/>
          </w:tcPr>
          <w:p w14:paraId="3736C02F" w14:textId="77777777" w:rsidR="00C67339" w:rsidRPr="0076703D" w:rsidRDefault="00C67339" w:rsidP="001D5CB4">
            <w:pPr>
              <w:pStyle w:val="ARtabletextright"/>
              <w:spacing w:before="60" w:after="50"/>
            </w:pPr>
            <w:r w:rsidRPr="0076703D">
              <w:rPr>
                <w:color w:val="000000"/>
              </w:rPr>
              <w:t>0</w:t>
            </w:r>
          </w:p>
        </w:tc>
        <w:tc>
          <w:tcPr>
            <w:tcW w:w="369" w:type="pct"/>
          </w:tcPr>
          <w:p w14:paraId="4A7789A4"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66E825C1" w14:textId="77777777" w:rsidR="00C67339" w:rsidRPr="0076703D" w:rsidRDefault="00C67339" w:rsidP="001D5CB4">
            <w:pPr>
              <w:pStyle w:val="ARtabletextrightbold"/>
              <w:spacing w:before="60" w:after="50"/>
            </w:pPr>
            <w:r w:rsidRPr="0076703D">
              <w:rPr>
                <w:color w:val="000000"/>
              </w:rPr>
              <w:t>1</w:t>
            </w:r>
          </w:p>
        </w:tc>
        <w:tc>
          <w:tcPr>
            <w:tcW w:w="316" w:type="pct"/>
            <w:tcBorders>
              <w:top w:val="single" w:sz="4" w:space="0" w:color="auto"/>
              <w:right w:val="nil"/>
            </w:tcBorders>
            <w:shd w:val="clear" w:color="auto" w:fill="E7E6E6"/>
            <w:noWrap/>
          </w:tcPr>
          <w:p w14:paraId="72FD3A65" w14:textId="77777777" w:rsidR="00C67339" w:rsidRPr="0076703D" w:rsidRDefault="00C67339" w:rsidP="001D5CB4">
            <w:pPr>
              <w:pStyle w:val="ARtabletextright"/>
              <w:spacing w:before="60" w:after="50"/>
            </w:pPr>
            <w:r w:rsidRPr="0076703D">
              <w:rPr>
                <w:color w:val="000000"/>
              </w:rPr>
              <w:t>1</w:t>
            </w:r>
          </w:p>
        </w:tc>
        <w:tc>
          <w:tcPr>
            <w:tcW w:w="316" w:type="pct"/>
            <w:tcBorders>
              <w:top w:val="single" w:sz="4" w:space="0" w:color="auto"/>
              <w:left w:val="nil"/>
              <w:right w:val="nil"/>
            </w:tcBorders>
            <w:shd w:val="clear" w:color="auto" w:fill="E7E6E6"/>
            <w:noWrap/>
          </w:tcPr>
          <w:p w14:paraId="77B63A5C"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24E9DD6D"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3AE057C5" w14:textId="77777777" w:rsidR="00C67339" w:rsidRPr="0076703D" w:rsidRDefault="00C67339" w:rsidP="001D5CB4">
            <w:pPr>
              <w:pStyle w:val="ARtabletextrightbold"/>
              <w:spacing w:before="60" w:after="50"/>
            </w:pPr>
            <w:r w:rsidRPr="0076703D">
              <w:rPr>
                <w:color w:val="000000"/>
              </w:rPr>
              <w:t>1</w:t>
            </w:r>
          </w:p>
        </w:tc>
        <w:tc>
          <w:tcPr>
            <w:tcW w:w="314" w:type="pct"/>
            <w:tcBorders>
              <w:top w:val="single" w:sz="4" w:space="0" w:color="auto"/>
              <w:left w:val="nil"/>
            </w:tcBorders>
            <w:shd w:val="clear" w:color="auto" w:fill="auto"/>
            <w:noWrap/>
          </w:tcPr>
          <w:p w14:paraId="4B93EABF"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04A1747C"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40FE7D62"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7E1CE540" w14:textId="77777777" w:rsidR="00C67339" w:rsidRPr="0076703D" w:rsidRDefault="00C67339" w:rsidP="001D5CB4">
            <w:pPr>
              <w:pStyle w:val="ARtabletextrightbold"/>
              <w:spacing w:before="60" w:after="50"/>
            </w:pPr>
            <w:r w:rsidRPr="0076703D">
              <w:rPr>
                <w:color w:val="000000"/>
              </w:rPr>
              <w:t>0</w:t>
            </w:r>
          </w:p>
        </w:tc>
      </w:tr>
      <w:tr w:rsidR="00C67339" w:rsidRPr="007939DD" w14:paraId="7337DAAC" w14:textId="77777777" w:rsidTr="005732E7">
        <w:trPr>
          <w:cantSplit/>
        </w:trPr>
        <w:tc>
          <w:tcPr>
            <w:tcW w:w="1052" w:type="pct"/>
            <w:shd w:val="clear" w:color="auto" w:fill="auto"/>
            <w:noWrap/>
          </w:tcPr>
          <w:p w14:paraId="007287FE" w14:textId="77777777" w:rsidR="00C67339" w:rsidRPr="0076703D" w:rsidRDefault="00C67339" w:rsidP="001D5CB4">
            <w:pPr>
              <w:pStyle w:val="ARtabletext"/>
              <w:spacing w:before="60" w:after="50"/>
            </w:pPr>
            <w:r w:rsidRPr="0076703D">
              <w:rPr>
                <w:color w:val="000000"/>
              </w:rPr>
              <w:t>Yea and District Memorial Hospital</w:t>
            </w:r>
          </w:p>
        </w:tc>
        <w:tc>
          <w:tcPr>
            <w:tcW w:w="315" w:type="pct"/>
          </w:tcPr>
          <w:p w14:paraId="44D7DBDD" w14:textId="77777777" w:rsidR="00C67339" w:rsidRPr="0076703D" w:rsidRDefault="00C67339" w:rsidP="001D5CB4">
            <w:pPr>
              <w:pStyle w:val="ARtabletextright"/>
              <w:spacing w:before="60" w:after="50"/>
            </w:pPr>
            <w:r w:rsidRPr="0076703D">
              <w:rPr>
                <w:color w:val="000000"/>
              </w:rPr>
              <w:t>0</w:t>
            </w:r>
          </w:p>
        </w:tc>
        <w:tc>
          <w:tcPr>
            <w:tcW w:w="316" w:type="pct"/>
          </w:tcPr>
          <w:p w14:paraId="281A76CB" w14:textId="77777777" w:rsidR="00C67339" w:rsidRPr="0076703D" w:rsidRDefault="00C67339" w:rsidP="001D5CB4">
            <w:pPr>
              <w:pStyle w:val="ARtabletextright"/>
              <w:spacing w:before="60" w:after="50"/>
            </w:pPr>
            <w:r w:rsidRPr="0076703D">
              <w:rPr>
                <w:color w:val="000000"/>
              </w:rPr>
              <w:t>0</w:t>
            </w:r>
          </w:p>
        </w:tc>
        <w:tc>
          <w:tcPr>
            <w:tcW w:w="369" w:type="pct"/>
          </w:tcPr>
          <w:p w14:paraId="1A4C0FF5" w14:textId="77777777" w:rsidR="00C67339" w:rsidRPr="0076703D" w:rsidRDefault="00C67339" w:rsidP="001D5CB4">
            <w:pPr>
              <w:pStyle w:val="ARtabletextright"/>
              <w:spacing w:before="60" w:after="50"/>
            </w:pPr>
            <w:r w:rsidRPr="0076703D">
              <w:rPr>
                <w:color w:val="000000"/>
              </w:rPr>
              <w:t>0</w:t>
            </w:r>
          </w:p>
        </w:tc>
        <w:tc>
          <w:tcPr>
            <w:tcW w:w="318" w:type="pct"/>
            <w:shd w:val="clear" w:color="auto" w:fill="auto"/>
            <w:noWrap/>
          </w:tcPr>
          <w:p w14:paraId="730CE50B" w14:textId="77777777" w:rsidR="00C67339" w:rsidRPr="0076703D" w:rsidRDefault="00C67339" w:rsidP="001D5CB4">
            <w:pPr>
              <w:pStyle w:val="ARtabletextrightbold"/>
              <w:spacing w:before="60" w:after="50"/>
            </w:pPr>
            <w:r w:rsidRPr="0076703D">
              <w:rPr>
                <w:color w:val="000000"/>
              </w:rPr>
              <w:t>0</w:t>
            </w:r>
          </w:p>
        </w:tc>
        <w:tc>
          <w:tcPr>
            <w:tcW w:w="316" w:type="pct"/>
            <w:tcBorders>
              <w:top w:val="single" w:sz="4" w:space="0" w:color="auto"/>
              <w:right w:val="nil"/>
            </w:tcBorders>
            <w:shd w:val="clear" w:color="auto" w:fill="E7E6E6"/>
            <w:noWrap/>
          </w:tcPr>
          <w:p w14:paraId="50BBDC4B" w14:textId="77777777" w:rsidR="00C67339" w:rsidRPr="0076703D" w:rsidRDefault="00C67339" w:rsidP="001D5CB4">
            <w:pPr>
              <w:pStyle w:val="ARtabletextright"/>
              <w:spacing w:before="60" w:after="50"/>
            </w:pPr>
            <w:r w:rsidRPr="0076703D">
              <w:rPr>
                <w:color w:val="000000"/>
              </w:rPr>
              <w:t>0</w:t>
            </w:r>
          </w:p>
        </w:tc>
        <w:tc>
          <w:tcPr>
            <w:tcW w:w="316" w:type="pct"/>
            <w:tcBorders>
              <w:top w:val="single" w:sz="4" w:space="0" w:color="auto"/>
              <w:left w:val="nil"/>
              <w:right w:val="nil"/>
            </w:tcBorders>
            <w:shd w:val="clear" w:color="auto" w:fill="E7E6E6"/>
            <w:noWrap/>
          </w:tcPr>
          <w:p w14:paraId="51FF087B" w14:textId="77777777" w:rsidR="00C67339" w:rsidRPr="0076703D" w:rsidRDefault="00C67339" w:rsidP="001D5CB4">
            <w:pPr>
              <w:pStyle w:val="ARtabletextright"/>
              <w:spacing w:before="60" w:after="50"/>
            </w:pPr>
            <w:r w:rsidRPr="0076703D">
              <w:rPr>
                <w:color w:val="000000"/>
              </w:rPr>
              <w:t>0</w:t>
            </w:r>
          </w:p>
        </w:tc>
        <w:tc>
          <w:tcPr>
            <w:tcW w:w="368" w:type="pct"/>
            <w:tcBorders>
              <w:top w:val="single" w:sz="4" w:space="0" w:color="auto"/>
              <w:left w:val="nil"/>
              <w:right w:val="nil"/>
            </w:tcBorders>
            <w:shd w:val="clear" w:color="auto" w:fill="E7E6E6"/>
            <w:noWrap/>
          </w:tcPr>
          <w:p w14:paraId="3FF52B5A" w14:textId="77777777" w:rsidR="00C67339" w:rsidRPr="0076703D" w:rsidRDefault="00C67339" w:rsidP="001D5CB4">
            <w:pPr>
              <w:pStyle w:val="ARtabletextright"/>
              <w:spacing w:before="60" w:after="50"/>
            </w:pPr>
            <w:r w:rsidRPr="0076703D">
              <w:rPr>
                <w:color w:val="000000"/>
              </w:rPr>
              <w:t>0</w:t>
            </w:r>
          </w:p>
        </w:tc>
        <w:tc>
          <w:tcPr>
            <w:tcW w:w="318" w:type="pct"/>
            <w:tcBorders>
              <w:top w:val="single" w:sz="4" w:space="0" w:color="auto"/>
              <w:left w:val="nil"/>
              <w:right w:val="nil"/>
            </w:tcBorders>
            <w:shd w:val="clear" w:color="auto" w:fill="E7E6E6"/>
            <w:noWrap/>
          </w:tcPr>
          <w:p w14:paraId="3B8CFF47" w14:textId="77777777" w:rsidR="00C67339" w:rsidRPr="0076703D" w:rsidRDefault="00C67339" w:rsidP="001D5CB4">
            <w:pPr>
              <w:pStyle w:val="ARtabletextrightbold"/>
              <w:spacing w:before="60" w:after="50"/>
            </w:pPr>
            <w:r w:rsidRPr="0076703D">
              <w:rPr>
                <w:color w:val="000000"/>
              </w:rPr>
              <w:t>0</w:t>
            </w:r>
          </w:p>
        </w:tc>
        <w:tc>
          <w:tcPr>
            <w:tcW w:w="314" w:type="pct"/>
            <w:tcBorders>
              <w:top w:val="single" w:sz="4" w:space="0" w:color="auto"/>
              <w:left w:val="nil"/>
            </w:tcBorders>
            <w:shd w:val="clear" w:color="auto" w:fill="auto"/>
            <w:noWrap/>
          </w:tcPr>
          <w:p w14:paraId="2B2A09A1" w14:textId="77777777" w:rsidR="00C67339" w:rsidRPr="0076703D" w:rsidRDefault="00C67339" w:rsidP="001D5CB4">
            <w:pPr>
              <w:pStyle w:val="ARtabletextright"/>
              <w:spacing w:before="60" w:after="50"/>
            </w:pPr>
            <w:r w:rsidRPr="0076703D">
              <w:rPr>
                <w:color w:val="000000"/>
              </w:rPr>
              <w:t>0</w:t>
            </w:r>
          </w:p>
        </w:tc>
        <w:tc>
          <w:tcPr>
            <w:tcW w:w="316" w:type="pct"/>
            <w:shd w:val="clear" w:color="auto" w:fill="auto"/>
            <w:noWrap/>
          </w:tcPr>
          <w:p w14:paraId="06C0403B" w14:textId="77777777" w:rsidR="00C67339" w:rsidRPr="0076703D" w:rsidRDefault="00C67339" w:rsidP="001D5CB4">
            <w:pPr>
              <w:pStyle w:val="ARtabletextright"/>
              <w:spacing w:before="60" w:after="50"/>
            </w:pPr>
            <w:r w:rsidRPr="0076703D">
              <w:rPr>
                <w:color w:val="000000"/>
              </w:rPr>
              <w:t>0</w:t>
            </w:r>
          </w:p>
        </w:tc>
        <w:tc>
          <w:tcPr>
            <w:tcW w:w="368" w:type="pct"/>
            <w:shd w:val="clear" w:color="auto" w:fill="auto"/>
            <w:noWrap/>
          </w:tcPr>
          <w:p w14:paraId="186CC9A3" w14:textId="77777777" w:rsidR="00C67339" w:rsidRPr="0076703D" w:rsidRDefault="00C67339" w:rsidP="001D5CB4">
            <w:pPr>
              <w:pStyle w:val="ARtabletextright"/>
              <w:spacing w:before="60" w:after="50"/>
            </w:pPr>
            <w:r w:rsidRPr="0076703D">
              <w:rPr>
                <w:color w:val="000000"/>
              </w:rPr>
              <w:t>0</w:t>
            </w:r>
          </w:p>
        </w:tc>
        <w:tc>
          <w:tcPr>
            <w:tcW w:w="313" w:type="pct"/>
            <w:shd w:val="clear" w:color="auto" w:fill="auto"/>
            <w:noWrap/>
          </w:tcPr>
          <w:p w14:paraId="20804084" w14:textId="77777777" w:rsidR="00C67339" w:rsidRPr="0076703D" w:rsidRDefault="00C67339" w:rsidP="001D5CB4">
            <w:pPr>
              <w:pStyle w:val="ARtabletextrightbold"/>
              <w:spacing w:before="60" w:after="50"/>
            </w:pPr>
            <w:r w:rsidRPr="0076703D">
              <w:rPr>
                <w:color w:val="000000"/>
              </w:rPr>
              <w:t>0</w:t>
            </w:r>
          </w:p>
        </w:tc>
      </w:tr>
      <w:tr w:rsidR="00C67339" w:rsidRPr="007939DD" w14:paraId="344EEF28" w14:textId="77777777" w:rsidTr="005732E7">
        <w:trPr>
          <w:cantSplit/>
        </w:trPr>
        <w:tc>
          <w:tcPr>
            <w:tcW w:w="1052" w:type="pct"/>
            <w:shd w:val="clear" w:color="auto" w:fill="auto"/>
            <w:noWrap/>
          </w:tcPr>
          <w:p w14:paraId="40CCE6B4" w14:textId="77777777" w:rsidR="00C67339" w:rsidRPr="0076703D" w:rsidRDefault="00C67339" w:rsidP="001D5CB4">
            <w:pPr>
              <w:pStyle w:val="ARtabletext"/>
              <w:spacing w:before="60" w:after="50"/>
              <w:rPr>
                <w:b/>
                <w:bCs/>
              </w:rPr>
            </w:pPr>
            <w:r w:rsidRPr="0076703D">
              <w:rPr>
                <w:b/>
                <w:bCs/>
                <w:color w:val="000000"/>
              </w:rPr>
              <w:t>Total</w:t>
            </w:r>
          </w:p>
        </w:tc>
        <w:tc>
          <w:tcPr>
            <w:tcW w:w="315" w:type="pct"/>
          </w:tcPr>
          <w:p w14:paraId="0FBB68BA" w14:textId="77777777" w:rsidR="00C67339" w:rsidRPr="0076703D" w:rsidRDefault="00C67339" w:rsidP="001D5CB4">
            <w:pPr>
              <w:pStyle w:val="ARtabletextright"/>
              <w:spacing w:before="60" w:after="50"/>
              <w:rPr>
                <w:b/>
                <w:bCs/>
              </w:rPr>
            </w:pPr>
            <w:r w:rsidRPr="0076703D">
              <w:rPr>
                <w:b/>
                <w:bCs/>
                <w:color w:val="000000"/>
              </w:rPr>
              <w:t>168</w:t>
            </w:r>
          </w:p>
        </w:tc>
        <w:tc>
          <w:tcPr>
            <w:tcW w:w="316" w:type="pct"/>
          </w:tcPr>
          <w:p w14:paraId="23AD592D" w14:textId="77777777" w:rsidR="00C67339" w:rsidRPr="0076703D" w:rsidRDefault="00C67339" w:rsidP="001D5CB4">
            <w:pPr>
              <w:pStyle w:val="ARtabletextright"/>
              <w:spacing w:before="60" w:after="50"/>
              <w:rPr>
                <w:b/>
                <w:bCs/>
              </w:rPr>
            </w:pPr>
            <w:r w:rsidRPr="0076703D">
              <w:rPr>
                <w:b/>
                <w:bCs/>
                <w:color w:val="000000"/>
              </w:rPr>
              <w:t>161</w:t>
            </w:r>
          </w:p>
        </w:tc>
        <w:tc>
          <w:tcPr>
            <w:tcW w:w="369" w:type="pct"/>
          </w:tcPr>
          <w:p w14:paraId="4C42D044" w14:textId="77777777" w:rsidR="00C67339" w:rsidRPr="0076703D" w:rsidRDefault="00C67339" w:rsidP="001D5CB4">
            <w:pPr>
              <w:pStyle w:val="ARtabletextright"/>
              <w:spacing w:before="60" w:after="50"/>
              <w:rPr>
                <w:b/>
                <w:bCs/>
              </w:rPr>
            </w:pPr>
            <w:r w:rsidRPr="0076703D">
              <w:rPr>
                <w:b/>
                <w:bCs/>
                <w:color w:val="000000"/>
              </w:rPr>
              <w:t>0</w:t>
            </w:r>
          </w:p>
        </w:tc>
        <w:tc>
          <w:tcPr>
            <w:tcW w:w="318" w:type="pct"/>
            <w:shd w:val="clear" w:color="auto" w:fill="auto"/>
            <w:noWrap/>
          </w:tcPr>
          <w:p w14:paraId="3A3C8E08" w14:textId="77777777" w:rsidR="00C67339" w:rsidRPr="0076703D" w:rsidRDefault="00C67339" w:rsidP="001D5CB4">
            <w:pPr>
              <w:pStyle w:val="ARtabletextrightbold"/>
              <w:spacing w:before="60" w:after="50"/>
              <w:rPr>
                <w:bCs/>
              </w:rPr>
            </w:pPr>
            <w:r w:rsidRPr="0076703D">
              <w:rPr>
                <w:bCs/>
                <w:color w:val="000000"/>
              </w:rPr>
              <w:t>329</w:t>
            </w:r>
          </w:p>
        </w:tc>
        <w:tc>
          <w:tcPr>
            <w:tcW w:w="316" w:type="pct"/>
            <w:tcBorders>
              <w:top w:val="single" w:sz="4" w:space="0" w:color="auto"/>
              <w:right w:val="nil"/>
            </w:tcBorders>
            <w:shd w:val="clear" w:color="auto" w:fill="E7E6E6"/>
            <w:noWrap/>
          </w:tcPr>
          <w:p w14:paraId="40218DC4" w14:textId="77777777" w:rsidR="00C67339" w:rsidRPr="0076703D" w:rsidRDefault="00C67339" w:rsidP="001D5CB4">
            <w:pPr>
              <w:pStyle w:val="ARtabletextright"/>
              <w:spacing w:before="60" w:after="50"/>
              <w:rPr>
                <w:b/>
                <w:bCs/>
              </w:rPr>
            </w:pPr>
            <w:r w:rsidRPr="0076703D">
              <w:rPr>
                <w:b/>
                <w:bCs/>
                <w:color w:val="000000"/>
              </w:rPr>
              <w:t>182</w:t>
            </w:r>
          </w:p>
        </w:tc>
        <w:tc>
          <w:tcPr>
            <w:tcW w:w="316" w:type="pct"/>
            <w:tcBorders>
              <w:top w:val="single" w:sz="4" w:space="0" w:color="auto"/>
              <w:left w:val="nil"/>
              <w:right w:val="nil"/>
            </w:tcBorders>
            <w:shd w:val="clear" w:color="auto" w:fill="E7E6E6"/>
            <w:noWrap/>
          </w:tcPr>
          <w:p w14:paraId="62486F45" w14:textId="77777777" w:rsidR="00C67339" w:rsidRPr="0076703D" w:rsidRDefault="00C67339" w:rsidP="001D5CB4">
            <w:pPr>
              <w:pStyle w:val="ARtabletextright"/>
              <w:spacing w:before="60" w:after="50"/>
              <w:rPr>
                <w:b/>
                <w:bCs/>
              </w:rPr>
            </w:pPr>
            <w:r w:rsidRPr="0076703D">
              <w:rPr>
                <w:b/>
                <w:bCs/>
                <w:color w:val="000000"/>
              </w:rPr>
              <w:t>157</w:t>
            </w:r>
          </w:p>
        </w:tc>
        <w:tc>
          <w:tcPr>
            <w:tcW w:w="368" w:type="pct"/>
            <w:tcBorders>
              <w:top w:val="single" w:sz="4" w:space="0" w:color="auto"/>
              <w:left w:val="nil"/>
              <w:right w:val="nil"/>
            </w:tcBorders>
            <w:shd w:val="clear" w:color="auto" w:fill="E7E6E6"/>
            <w:noWrap/>
          </w:tcPr>
          <w:p w14:paraId="0FE18675" w14:textId="77777777" w:rsidR="00C67339" w:rsidRPr="0076703D" w:rsidRDefault="00C67339" w:rsidP="001D5CB4">
            <w:pPr>
              <w:pStyle w:val="ARtabletextright"/>
              <w:spacing w:before="60" w:after="50"/>
              <w:rPr>
                <w:b/>
                <w:bCs/>
              </w:rPr>
            </w:pPr>
            <w:r w:rsidRPr="0076703D">
              <w:rPr>
                <w:b/>
                <w:bCs/>
                <w:color w:val="000000"/>
              </w:rPr>
              <w:t>1</w:t>
            </w:r>
          </w:p>
        </w:tc>
        <w:tc>
          <w:tcPr>
            <w:tcW w:w="318" w:type="pct"/>
            <w:tcBorders>
              <w:top w:val="single" w:sz="4" w:space="0" w:color="auto"/>
              <w:left w:val="nil"/>
              <w:right w:val="nil"/>
            </w:tcBorders>
            <w:shd w:val="clear" w:color="auto" w:fill="E7E6E6"/>
            <w:noWrap/>
          </w:tcPr>
          <w:p w14:paraId="59EFE88E" w14:textId="77777777" w:rsidR="00C67339" w:rsidRPr="0076703D" w:rsidRDefault="00C67339" w:rsidP="001D5CB4">
            <w:pPr>
              <w:pStyle w:val="ARtabletextrightbold"/>
              <w:spacing w:before="60" w:after="50"/>
              <w:rPr>
                <w:bCs/>
              </w:rPr>
            </w:pPr>
            <w:r w:rsidRPr="0076703D">
              <w:rPr>
                <w:bCs/>
                <w:color w:val="000000"/>
              </w:rPr>
              <w:t>340</w:t>
            </w:r>
          </w:p>
        </w:tc>
        <w:tc>
          <w:tcPr>
            <w:tcW w:w="314" w:type="pct"/>
            <w:tcBorders>
              <w:top w:val="single" w:sz="4" w:space="0" w:color="auto"/>
              <w:left w:val="nil"/>
            </w:tcBorders>
            <w:shd w:val="clear" w:color="auto" w:fill="auto"/>
            <w:noWrap/>
          </w:tcPr>
          <w:p w14:paraId="63B97650" w14:textId="77777777" w:rsidR="00C67339" w:rsidRPr="0076703D" w:rsidRDefault="00C67339" w:rsidP="001D5CB4">
            <w:pPr>
              <w:pStyle w:val="ARtabletextright"/>
              <w:spacing w:before="60" w:after="50"/>
              <w:rPr>
                <w:b/>
                <w:bCs/>
              </w:rPr>
            </w:pPr>
            <w:r w:rsidRPr="0076703D">
              <w:rPr>
                <w:b/>
                <w:bCs/>
                <w:color w:val="000000"/>
              </w:rPr>
              <w:t>-14</w:t>
            </w:r>
          </w:p>
        </w:tc>
        <w:tc>
          <w:tcPr>
            <w:tcW w:w="316" w:type="pct"/>
            <w:shd w:val="clear" w:color="auto" w:fill="auto"/>
            <w:noWrap/>
          </w:tcPr>
          <w:p w14:paraId="5CFCB606" w14:textId="77777777" w:rsidR="00C67339" w:rsidRPr="0076703D" w:rsidRDefault="00C67339" w:rsidP="001D5CB4">
            <w:pPr>
              <w:pStyle w:val="ARtabletextright"/>
              <w:spacing w:before="60" w:after="50"/>
              <w:rPr>
                <w:b/>
                <w:bCs/>
              </w:rPr>
            </w:pPr>
            <w:r w:rsidRPr="0076703D">
              <w:rPr>
                <w:b/>
                <w:bCs/>
                <w:color w:val="000000"/>
              </w:rPr>
              <w:t>4</w:t>
            </w:r>
          </w:p>
        </w:tc>
        <w:tc>
          <w:tcPr>
            <w:tcW w:w="368" w:type="pct"/>
            <w:shd w:val="clear" w:color="auto" w:fill="auto"/>
            <w:noWrap/>
          </w:tcPr>
          <w:p w14:paraId="65DFF1A6" w14:textId="77777777" w:rsidR="00C67339" w:rsidRPr="0076703D" w:rsidRDefault="00C67339" w:rsidP="001D5CB4">
            <w:pPr>
              <w:pStyle w:val="ARtabletextright"/>
              <w:spacing w:before="60" w:after="50"/>
              <w:rPr>
                <w:b/>
                <w:bCs/>
              </w:rPr>
            </w:pPr>
            <w:r w:rsidRPr="0076703D">
              <w:rPr>
                <w:b/>
                <w:bCs/>
                <w:color w:val="000000"/>
              </w:rPr>
              <w:t>-1</w:t>
            </w:r>
          </w:p>
        </w:tc>
        <w:tc>
          <w:tcPr>
            <w:tcW w:w="313" w:type="pct"/>
            <w:shd w:val="clear" w:color="auto" w:fill="auto"/>
            <w:noWrap/>
          </w:tcPr>
          <w:p w14:paraId="5B46559B" w14:textId="77777777" w:rsidR="00C67339" w:rsidRPr="0076703D" w:rsidRDefault="00C67339" w:rsidP="001D5CB4">
            <w:pPr>
              <w:pStyle w:val="ARtabletextrightbold"/>
              <w:spacing w:before="60" w:after="50"/>
              <w:rPr>
                <w:bCs/>
              </w:rPr>
            </w:pPr>
            <w:r w:rsidRPr="0076703D">
              <w:rPr>
                <w:bCs/>
                <w:color w:val="000000"/>
              </w:rPr>
              <w:t>-11</w:t>
            </w:r>
          </w:p>
        </w:tc>
      </w:tr>
    </w:tbl>
    <w:p w14:paraId="53398ED2" w14:textId="5DF46FA4" w:rsidR="00C67339" w:rsidRPr="001D5CB4" w:rsidRDefault="00C67339" w:rsidP="001D5CB4">
      <w:pPr>
        <w:pStyle w:val="ARtablefootnote"/>
      </w:pPr>
      <w:bookmarkStart w:id="142" w:name="Executive_officer_disclosures_end"/>
      <w:r w:rsidRPr="0076703D">
        <w:t>For the purpose of this ta</w:t>
      </w:r>
      <w:r w:rsidRPr="001D5CB4">
        <w:t xml:space="preserve">ble, </w:t>
      </w:r>
      <w:bookmarkStart w:id="143" w:name="_Hlk21627169"/>
      <w:r w:rsidRPr="001D5CB4">
        <w:t xml:space="preserve">executive officers </w:t>
      </w:r>
      <w:bookmarkEnd w:id="143"/>
      <w:r w:rsidRPr="001D5CB4">
        <w:t xml:space="preserve">are defined as employees who have significant management responsibility AND receive a </w:t>
      </w:r>
      <w:r w:rsidR="00C27CD0" w:rsidRPr="00C27CD0">
        <w:t>total remuneration package</w:t>
      </w:r>
      <w:r w:rsidR="00C27CD0">
        <w:t xml:space="preserve"> </w:t>
      </w:r>
      <w:r w:rsidRPr="001D5CB4">
        <w:t>of $182,070 or more.</w:t>
      </w:r>
    </w:p>
    <w:bookmarkEnd w:id="142"/>
    <w:p w14:paraId="6228FE74" w14:textId="77777777" w:rsidR="00C67339" w:rsidRPr="001D5CB4" w:rsidRDefault="00C67339" w:rsidP="001D5CB4">
      <w:pPr>
        <w:pStyle w:val="ARtablefootnote"/>
      </w:pPr>
      <w:r w:rsidRPr="001D5CB4">
        <w:t>All figures reflect employment levels as at last pay in June 2019 unless otherwise stated.</w:t>
      </w:r>
    </w:p>
    <w:p w14:paraId="59B6A51F" w14:textId="77777777" w:rsidR="00C67339" w:rsidRPr="001D5CB4" w:rsidRDefault="00C67339" w:rsidP="001D5CB4">
      <w:pPr>
        <w:pStyle w:val="ARtablefootnote"/>
      </w:pPr>
      <w:r w:rsidRPr="001D5CB4">
        <w:t>Excluded are those on leave without pay or absent on secondment, external contractors / consultants and temporary staff employed by employment agencies.</w:t>
      </w:r>
    </w:p>
    <w:p w14:paraId="4EE96F33" w14:textId="39062A13" w:rsidR="00C67339" w:rsidRDefault="00C67339" w:rsidP="001D5CB4">
      <w:pPr>
        <w:pStyle w:val="ARtablefootnote"/>
      </w:pPr>
      <w:r w:rsidRPr="001D5CB4">
        <w:t>Castlemaine Health and Maldon Hospital share the same chief executive officer.</w:t>
      </w:r>
    </w:p>
    <w:p w14:paraId="3C88DD5E" w14:textId="2AD475BB" w:rsidR="000C21EC" w:rsidRPr="001D5CB4" w:rsidRDefault="000C21EC" w:rsidP="001D5CB4">
      <w:pPr>
        <w:pStyle w:val="ARtablefootnote"/>
      </w:pPr>
      <w:r w:rsidRPr="000C21EC">
        <w:t>Otway Health and Lorne Community Hospital share the same chief executive officer.</w:t>
      </w:r>
    </w:p>
    <w:p w14:paraId="6C5BE8AB" w14:textId="77777777" w:rsidR="00C67339" w:rsidRPr="001D5CB4" w:rsidRDefault="00C67339" w:rsidP="001D5CB4">
      <w:pPr>
        <w:pStyle w:val="ARtablefootnote"/>
      </w:pPr>
      <w:r w:rsidRPr="001D5CB4">
        <w:t>Goulburn Valley Health Services executives are shared among Nathalia District Hospital and Yea and District Memorial Hospital.</w:t>
      </w:r>
    </w:p>
    <w:p w14:paraId="1CF9CC9A" w14:textId="5BF73948" w:rsidR="00C67339" w:rsidRPr="001D5CB4" w:rsidRDefault="00C67339" w:rsidP="001D5CB4">
      <w:pPr>
        <w:pStyle w:val="ARtablefootnote"/>
      </w:pPr>
      <w:r w:rsidRPr="001D5CB4">
        <w:t>Kardin</w:t>
      </w:r>
      <w:r w:rsidR="00566304">
        <w:t>i</w:t>
      </w:r>
      <w:r w:rsidRPr="001D5CB4">
        <w:t>a Park Stadium, Melbourne Olympic Parks Trust, State Sports Trust Centre and Victorian Institute of Sport transferred to Department of Jobs, Precincts and Regions during the reporting</w:t>
      </w:r>
      <w:r w:rsidR="001D5CB4">
        <w:t> </w:t>
      </w:r>
      <w:r w:rsidRPr="001D5CB4">
        <w:t>period.</w:t>
      </w:r>
    </w:p>
    <w:p w14:paraId="4AFDDE5A" w14:textId="2F966B1A" w:rsidR="00F17551" w:rsidRPr="007939DD" w:rsidRDefault="00C67339" w:rsidP="001D5CB4">
      <w:pPr>
        <w:pStyle w:val="ARtablefootnote"/>
      </w:pPr>
      <w:r w:rsidRPr="001D5CB4">
        <w:t>Queen Victorian Women's Centre Trus</w:t>
      </w:r>
      <w:r w:rsidRPr="0076703D">
        <w:t>t transferred to Department of Premier and Cabinet during the reporting period.</w:t>
      </w:r>
    </w:p>
    <w:p w14:paraId="0847F02D" w14:textId="77777777" w:rsidR="00F17551" w:rsidRPr="007939DD" w:rsidRDefault="00F17551" w:rsidP="00F17551">
      <w:pPr>
        <w:pStyle w:val="Heading2"/>
        <w:sectPr w:rsidR="00F17551" w:rsidRPr="007939DD" w:rsidSect="00F53BA6">
          <w:headerReference w:type="even" r:id="rId126"/>
          <w:headerReference w:type="default" r:id="rId127"/>
          <w:footerReference w:type="even" r:id="rId128"/>
          <w:footerReference w:type="default" r:id="rId129"/>
          <w:pgSz w:w="16838" w:h="11906" w:orient="landscape" w:code="9"/>
          <w:pgMar w:top="1418" w:right="1985" w:bottom="1418" w:left="851" w:header="851" w:footer="851" w:gutter="0"/>
          <w:cols w:space="708"/>
          <w:docGrid w:linePitch="360"/>
        </w:sectPr>
      </w:pPr>
      <w:bookmarkStart w:id="144" w:name="_Ref492894777"/>
    </w:p>
    <w:bookmarkEnd w:id="144"/>
    <w:p w14:paraId="4AD59AC8" w14:textId="77777777" w:rsidR="00F17551" w:rsidRPr="00657E8C" w:rsidRDefault="00F17551" w:rsidP="00F17551">
      <w:pPr>
        <w:pStyle w:val="Heading2"/>
        <w:spacing w:before="0"/>
      </w:pPr>
      <w:r w:rsidRPr="00657E8C">
        <w:t>Health, safety and wellbeing</w:t>
      </w:r>
    </w:p>
    <w:p w14:paraId="7F9FB97A" w14:textId="38EE42CC" w:rsidR="00F17551" w:rsidRPr="00657E8C" w:rsidRDefault="00F17551" w:rsidP="00F17551">
      <w:pPr>
        <w:pStyle w:val="ARbody"/>
      </w:pPr>
      <w:r w:rsidRPr="00657E8C">
        <w:t>The department’s commitment to health, safety and</w:t>
      </w:r>
      <w:r w:rsidR="006E277C">
        <w:t> </w:t>
      </w:r>
      <w:r w:rsidRPr="00657E8C">
        <w:t xml:space="preserve">wellbeing is reflected in its </w:t>
      </w:r>
      <w:r w:rsidRPr="00657E8C">
        <w:rPr>
          <w:i/>
        </w:rPr>
        <w:t>Health, safety and wellbeing strategy 2016–2020</w:t>
      </w:r>
      <w:r w:rsidRPr="00657E8C">
        <w:t>. The strategy articulates the vision and plan for progressively improving leadership and management of health, safety and wellbeing in the department.</w:t>
      </w:r>
    </w:p>
    <w:p w14:paraId="2D9B80D2" w14:textId="77777777" w:rsidR="00F17551" w:rsidRPr="00657E8C" w:rsidRDefault="00F17551" w:rsidP="00F17551">
      <w:pPr>
        <w:pStyle w:val="Heading3"/>
      </w:pPr>
      <w:r w:rsidRPr="00657E8C">
        <w:t>Improvement measures in 2018–19</w:t>
      </w:r>
    </w:p>
    <w:p w14:paraId="41A9C9BD" w14:textId="77777777" w:rsidR="00F17551" w:rsidRPr="00657E8C" w:rsidRDefault="00F17551" w:rsidP="00F17551">
      <w:pPr>
        <w:pStyle w:val="ARbody"/>
      </w:pPr>
      <w:r w:rsidRPr="00657E8C">
        <w:t>In 2018</w:t>
      </w:r>
      <w:r w:rsidR="00F9296C">
        <w:t>–</w:t>
      </w:r>
      <w:r w:rsidRPr="00657E8C">
        <w:t>19, the department implemented and/or developed the following improvement measures:</w:t>
      </w:r>
    </w:p>
    <w:p w14:paraId="29AD1C25" w14:textId="443A6639" w:rsidR="00F17551" w:rsidRPr="00657E8C" w:rsidRDefault="00F9296C" w:rsidP="00F17551">
      <w:pPr>
        <w:pStyle w:val="ARbullet1"/>
      </w:pPr>
      <w:r>
        <w:t>a</w:t>
      </w:r>
      <w:r w:rsidRPr="00657E8C">
        <w:t xml:space="preserve"> </w:t>
      </w:r>
      <w:r w:rsidR="00F17551" w:rsidRPr="00657E8C">
        <w:t xml:space="preserve">new </w:t>
      </w:r>
      <w:r>
        <w:t>h</w:t>
      </w:r>
      <w:r w:rsidRPr="00657E8C">
        <w:t>ealth</w:t>
      </w:r>
      <w:r w:rsidR="00F17551" w:rsidRPr="00657E8C">
        <w:t>, safety and wellbeing policy and</w:t>
      </w:r>
      <w:r w:rsidR="006E277C">
        <w:t> </w:t>
      </w:r>
      <w:r w:rsidR="00F17551" w:rsidRPr="00657E8C">
        <w:t>accountabilities</w:t>
      </w:r>
      <w:r>
        <w:t xml:space="preserve"> which</w:t>
      </w:r>
      <w:r w:rsidR="00F17551" w:rsidRPr="00657E8C">
        <w:t xml:space="preserve"> apply to all levels within the department and will be included in performance development plans for VPS and executive employees from 2019</w:t>
      </w:r>
      <w:r>
        <w:t>–</w:t>
      </w:r>
      <w:r w:rsidR="00F17551" w:rsidRPr="00657E8C">
        <w:t>20</w:t>
      </w:r>
    </w:p>
    <w:p w14:paraId="711D9207" w14:textId="6A375BE3" w:rsidR="00F17551" w:rsidRPr="00657E8C" w:rsidRDefault="00F9296C" w:rsidP="00F17551">
      <w:pPr>
        <w:pStyle w:val="ARbullet1"/>
      </w:pPr>
      <w:r>
        <w:t>c</w:t>
      </w:r>
      <w:r w:rsidR="00F17551" w:rsidRPr="00657E8C">
        <w:t>ontinued development of the department’s health and safety management system including</w:t>
      </w:r>
      <w:r w:rsidR="006E277C">
        <w:t> </w:t>
      </w:r>
      <w:r>
        <w:t>h</w:t>
      </w:r>
      <w:r w:rsidR="00F17551" w:rsidRPr="00657E8C">
        <w:t xml:space="preserve">ealth and safety consultation and communication procedure; </w:t>
      </w:r>
      <w:r>
        <w:t>h</w:t>
      </w:r>
      <w:r w:rsidRPr="00657E8C">
        <w:t xml:space="preserve">ealth </w:t>
      </w:r>
      <w:r w:rsidR="00F17551" w:rsidRPr="00657E8C">
        <w:t xml:space="preserve">and safety issue resolution guide; </w:t>
      </w:r>
      <w:r>
        <w:t>m</w:t>
      </w:r>
      <w:r w:rsidRPr="00657E8C">
        <w:t>anual</w:t>
      </w:r>
      <w:r w:rsidR="001D69BF">
        <w:t>-</w:t>
      </w:r>
      <w:r w:rsidR="00F17551" w:rsidRPr="00657E8C">
        <w:t xml:space="preserve">handling risk management procedure; </w:t>
      </w:r>
      <w:r>
        <w:t>h</w:t>
      </w:r>
      <w:r w:rsidRPr="00657E8C">
        <w:t xml:space="preserve">ealth </w:t>
      </w:r>
      <w:r w:rsidR="00F17551" w:rsidRPr="00657E8C">
        <w:t xml:space="preserve">and safety incident reporting and investigation procedure; </w:t>
      </w:r>
      <w:r>
        <w:t>o</w:t>
      </w:r>
      <w:r w:rsidRPr="00657E8C">
        <w:t xml:space="preserve">ccupational </w:t>
      </w:r>
      <w:r>
        <w:t>v</w:t>
      </w:r>
      <w:r w:rsidR="00F17551" w:rsidRPr="00657E8C">
        <w:t xml:space="preserve">iolence </w:t>
      </w:r>
      <w:r>
        <w:t>r</w:t>
      </w:r>
      <w:r w:rsidRPr="00657E8C">
        <w:t xml:space="preserve">isk </w:t>
      </w:r>
      <w:r>
        <w:t>m</w:t>
      </w:r>
      <w:r w:rsidRPr="00657E8C">
        <w:t xml:space="preserve">anagement </w:t>
      </w:r>
      <w:r>
        <w:t>p</w:t>
      </w:r>
      <w:r w:rsidRPr="00657E8C">
        <w:t xml:space="preserve">rocedure </w:t>
      </w:r>
      <w:r w:rsidR="00F17551" w:rsidRPr="00657E8C">
        <w:t xml:space="preserve">and </w:t>
      </w:r>
      <w:r>
        <w:t>f</w:t>
      </w:r>
      <w:r w:rsidRPr="00657E8C">
        <w:t xml:space="preserve">atigue </w:t>
      </w:r>
      <w:r w:rsidR="00F17551" w:rsidRPr="00657E8C">
        <w:t>management guide</w:t>
      </w:r>
    </w:p>
    <w:p w14:paraId="1678078A" w14:textId="1DA9621B" w:rsidR="00F17551" w:rsidRPr="00657E8C" w:rsidRDefault="00F9296C" w:rsidP="00F17551">
      <w:pPr>
        <w:pStyle w:val="ARbullet1"/>
      </w:pPr>
      <w:r>
        <w:t>d</w:t>
      </w:r>
      <w:r w:rsidRPr="00657E8C">
        <w:t xml:space="preserve">eployment </w:t>
      </w:r>
      <w:r w:rsidR="00F17551" w:rsidRPr="00657E8C">
        <w:t>of a new electronic employee health</w:t>
      </w:r>
      <w:r w:rsidR="006E277C">
        <w:t> </w:t>
      </w:r>
      <w:r w:rsidR="00F17551" w:rsidRPr="00657E8C">
        <w:t xml:space="preserve">and safety incident reporting system, </w:t>
      </w:r>
      <w:r w:rsidR="00F17551" w:rsidRPr="00C33120">
        <w:rPr>
          <w:iCs/>
        </w:rPr>
        <w:t>eDINMAR</w:t>
      </w:r>
      <w:r w:rsidR="00F17551" w:rsidRPr="00657E8C">
        <w:t>, in all department locations. This system is driving increased reporting, greater accountability and timel</w:t>
      </w:r>
      <w:r w:rsidR="001D69BF">
        <w:t>ier</w:t>
      </w:r>
      <w:r w:rsidR="00F17551" w:rsidRPr="00657E8C">
        <w:t xml:space="preserve"> </w:t>
      </w:r>
      <w:r w:rsidRPr="00657E8C">
        <w:t>follow</w:t>
      </w:r>
      <w:r>
        <w:t>-</w:t>
      </w:r>
      <w:r w:rsidR="00F17551" w:rsidRPr="00657E8C">
        <w:t>up and resolution of reported hazards and risks</w:t>
      </w:r>
    </w:p>
    <w:p w14:paraId="15C5E951" w14:textId="77777777" w:rsidR="00F17551" w:rsidRPr="00657E8C" w:rsidRDefault="00F9296C" w:rsidP="00F17551">
      <w:pPr>
        <w:pStyle w:val="ARbullet1"/>
      </w:pPr>
      <w:r>
        <w:t>i</w:t>
      </w:r>
      <w:r w:rsidR="00F17551" w:rsidRPr="00657E8C">
        <w:t xml:space="preserve">mplementation of an </w:t>
      </w:r>
      <w:r w:rsidRPr="00657E8C">
        <w:t>evidence</w:t>
      </w:r>
      <w:r>
        <w:t>-</w:t>
      </w:r>
      <w:r w:rsidR="00F17551" w:rsidRPr="00657E8C">
        <w:t xml:space="preserve">based, best practice model for responding to critical incidents and trauma, supported by the delivery of </w:t>
      </w:r>
      <w:r>
        <w:t>p</w:t>
      </w:r>
      <w:r w:rsidRPr="00657E8C">
        <w:t xml:space="preserve">sychological </w:t>
      </w:r>
      <w:r>
        <w:t>f</w:t>
      </w:r>
      <w:r w:rsidRPr="00657E8C">
        <w:t>irst</w:t>
      </w:r>
      <w:r>
        <w:t>-a</w:t>
      </w:r>
      <w:r w:rsidR="00F17551" w:rsidRPr="00657E8C">
        <w:t>id training across the organisation</w:t>
      </w:r>
    </w:p>
    <w:p w14:paraId="64947408" w14:textId="3EE7D69F" w:rsidR="00F17551" w:rsidRPr="00657E8C" w:rsidRDefault="00F9296C" w:rsidP="00F17551">
      <w:pPr>
        <w:pStyle w:val="ARbullet1"/>
      </w:pPr>
      <w:r>
        <w:t>d</w:t>
      </w:r>
      <w:r w:rsidRPr="00657E8C">
        <w:t xml:space="preserve">evelopment </w:t>
      </w:r>
      <w:r w:rsidR="00F17551" w:rsidRPr="00657E8C">
        <w:t>and implementation of best practice, evidence</w:t>
      </w:r>
      <w:r>
        <w:t>-</w:t>
      </w:r>
      <w:r w:rsidR="00F17551" w:rsidRPr="00657E8C">
        <w:t>based vicarious trauma training across the organisation. Vicarious trauma training develops an increased awareness of the reality and occurrence of</w:t>
      </w:r>
      <w:r w:rsidR="006E277C">
        <w:t> </w:t>
      </w:r>
      <w:r w:rsidR="00F17551" w:rsidRPr="00657E8C">
        <w:t>traumatic events and provide</w:t>
      </w:r>
      <w:r w:rsidR="00E900FF">
        <w:t>s</w:t>
      </w:r>
      <w:r w:rsidR="00F17551" w:rsidRPr="00657E8C">
        <w:t xml:space="preserve"> tools and strategies to recognise and manage workplace trauma.</w:t>
      </w:r>
      <w:r w:rsidR="008066A4" w:rsidRPr="00657E8C">
        <w:t xml:space="preserve"> </w:t>
      </w:r>
      <w:r w:rsidR="00F17551" w:rsidRPr="00657E8C">
        <w:t>The training is complementary to new and existing initiatives</w:t>
      </w:r>
    </w:p>
    <w:p w14:paraId="2E344C2C" w14:textId="77777777" w:rsidR="00F17551" w:rsidRPr="00657E8C" w:rsidRDefault="00F9296C" w:rsidP="00F17551">
      <w:pPr>
        <w:pStyle w:val="ARbullet1"/>
      </w:pPr>
      <w:r>
        <w:t>g</w:t>
      </w:r>
      <w:r w:rsidRPr="00657E8C">
        <w:t xml:space="preserve">rowth </w:t>
      </w:r>
      <w:r w:rsidR="00F17551" w:rsidRPr="00657E8C">
        <w:t>of the Peer Support Network</w:t>
      </w:r>
      <w:r>
        <w:t>,</w:t>
      </w:r>
      <w:r w:rsidR="00F17551" w:rsidRPr="00657E8C">
        <w:t xml:space="preserve"> increasing access to and availability of support across the state.</w:t>
      </w:r>
      <w:r w:rsidR="008066A4" w:rsidRPr="00657E8C">
        <w:t xml:space="preserve"> </w:t>
      </w:r>
      <w:r w:rsidR="00F17551" w:rsidRPr="00657E8C">
        <w:t>This includes considering and developing new and innovative ways to support and maintain the network</w:t>
      </w:r>
    </w:p>
    <w:p w14:paraId="275AF1BA" w14:textId="5FAD07DA" w:rsidR="00F17551" w:rsidRPr="00657E8C" w:rsidRDefault="00F9296C" w:rsidP="00F17551">
      <w:pPr>
        <w:pStyle w:val="ARbullet1"/>
      </w:pPr>
      <w:r>
        <w:t>d</w:t>
      </w:r>
      <w:r w:rsidRPr="00657E8C">
        <w:t xml:space="preserve">evelopment </w:t>
      </w:r>
      <w:r w:rsidR="00F17551" w:rsidRPr="00657E8C">
        <w:t>and implementation of a holistic, proactive employee wellbeing and support program (formerly Employee Assistance Program).</w:t>
      </w:r>
      <w:r w:rsidR="008066A4" w:rsidRPr="00657E8C">
        <w:t xml:space="preserve"> </w:t>
      </w:r>
      <w:r w:rsidR="00F17551" w:rsidRPr="00657E8C">
        <w:t>The program caters to the needs of</w:t>
      </w:r>
      <w:r w:rsidR="006E277C">
        <w:t> </w:t>
      </w:r>
      <w:r w:rsidR="00F17551" w:rsidRPr="00657E8C">
        <w:t>the department</w:t>
      </w:r>
      <w:r>
        <w:t>’</w:t>
      </w:r>
      <w:r w:rsidR="00F17551" w:rsidRPr="00657E8C">
        <w:t>s diverse workforce by incorporating a range of support services and dedicated specialist helplines.</w:t>
      </w:r>
      <w:r w:rsidR="008066A4" w:rsidRPr="00657E8C">
        <w:t xml:space="preserve"> </w:t>
      </w:r>
      <w:r w:rsidR="00F17551" w:rsidRPr="00657E8C">
        <w:t>Implementation of</w:t>
      </w:r>
      <w:r w:rsidR="006E277C">
        <w:t> </w:t>
      </w:r>
      <w:r w:rsidR="00F17551" w:rsidRPr="00657E8C">
        <w:t>this new model has had a positive response, demonstrated by the increased utilisation of all services</w:t>
      </w:r>
    </w:p>
    <w:p w14:paraId="66F839D2" w14:textId="77777777" w:rsidR="00F17551" w:rsidRPr="00657E8C" w:rsidRDefault="00F17551" w:rsidP="00F17551">
      <w:pPr>
        <w:pStyle w:val="ARbullet1"/>
      </w:pPr>
      <w:r w:rsidRPr="00657E8C">
        <w:t>participation in the whole-of-government OHS improvement initiative led by WorkSafe, in partnership with unions and state government departments, to improve OHS performance in the public sector</w:t>
      </w:r>
    </w:p>
    <w:p w14:paraId="5BCF118B" w14:textId="575461A6" w:rsidR="00F17551" w:rsidRPr="00657E8C" w:rsidRDefault="00F17551" w:rsidP="00F17551">
      <w:pPr>
        <w:pStyle w:val="ARbody"/>
        <w:numPr>
          <w:ilvl w:val="0"/>
          <w:numId w:val="1"/>
        </w:numPr>
      </w:pPr>
      <w:r w:rsidRPr="00657E8C">
        <w:t>leading the prevention of occupational violence working group under the whole</w:t>
      </w:r>
      <w:r w:rsidR="00F9296C">
        <w:t>-</w:t>
      </w:r>
      <w:r w:rsidRPr="00657E8C">
        <w:t>of</w:t>
      </w:r>
      <w:r w:rsidR="00F9296C">
        <w:t>-</w:t>
      </w:r>
      <w:r w:rsidRPr="00657E8C">
        <w:t>government OHS improvement initiative, which produced the</w:t>
      </w:r>
      <w:r w:rsidR="006E277C">
        <w:t> </w:t>
      </w:r>
      <w:r w:rsidRPr="00657E8C">
        <w:t>following outputs that were endorsed for implementation in all departments:</w:t>
      </w:r>
    </w:p>
    <w:p w14:paraId="31E0DCAF" w14:textId="4F8D5D9A" w:rsidR="00F17551" w:rsidRPr="00657E8C" w:rsidRDefault="006A6C31" w:rsidP="00F17551">
      <w:pPr>
        <w:pStyle w:val="ARbullet2"/>
      </w:pPr>
      <w:r>
        <w:rPr>
          <w:i/>
          <w:iCs/>
        </w:rPr>
        <w:t>O</w:t>
      </w:r>
      <w:r w:rsidRPr="00C33120">
        <w:rPr>
          <w:i/>
          <w:iCs/>
        </w:rPr>
        <w:t xml:space="preserve">ccupational </w:t>
      </w:r>
      <w:r w:rsidR="00F17551" w:rsidRPr="00C33120">
        <w:rPr>
          <w:i/>
          <w:iCs/>
        </w:rPr>
        <w:t>violence and aggression guide</w:t>
      </w:r>
      <w:r w:rsidR="006E277C">
        <w:rPr>
          <w:i/>
          <w:iCs/>
        </w:rPr>
        <w:t> </w:t>
      </w:r>
      <w:r w:rsidR="00F17551" w:rsidRPr="00C33120">
        <w:rPr>
          <w:i/>
          <w:iCs/>
        </w:rPr>
        <w:t xml:space="preserve">for the Victorian </w:t>
      </w:r>
      <w:r>
        <w:rPr>
          <w:i/>
          <w:iCs/>
        </w:rPr>
        <w:t>p</w:t>
      </w:r>
      <w:r w:rsidR="00F17551" w:rsidRPr="00C33120">
        <w:rPr>
          <w:i/>
          <w:iCs/>
        </w:rPr>
        <w:t xml:space="preserve">ublic </w:t>
      </w:r>
      <w:r>
        <w:rPr>
          <w:i/>
          <w:iCs/>
        </w:rPr>
        <w:t>s</w:t>
      </w:r>
      <w:r w:rsidRPr="00C33120">
        <w:rPr>
          <w:i/>
          <w:iCs/>
        </w:rPr>
        <w:t>ervice</w:t>
      </w:r>
    </w:p>
    <w:p w14:paraId="1A7F0197" w14:textId="77777777" w:rsidR="00F17551" w:rsidRPr="00657E8C" w:rsidRDefault="00F17551" w:rsidP="00F17551">
      <w:pPr>
        <w:pStyle w:val="ARbullet2"/>
      </w:pPr>
      <w:r w:rsidRPr="00C33120">
        <w:rPr>
          <w:i/>
          <w:iCs/>
        </w:rPr>
        <w:t>Mitigating occupational violence and aggression through the built environment</w:t>
      </w:r>
      <w:r w:rsidR="006A6C31">
        <w:rPr>
          <w:i/>
          <w:iCs/>
        </w:rPr>
        <w:t>:</w:t>
      </w:r>
      <w:r w:rsidRPr="00C33120">
        <w:rPr>
          <w:i/>
          <w:iCs/>
        </w:rPr>
        <w:t xml:space="preserve"> a resource guide for architects and designers</w:t>
      </w:r>
    </w:p>
    <w:p w14:paraId="156CB36F" w14:textId="77777777" w:rsidR="00F17551" w:rsidRPr="00657E8C" w:rsidRDefault="006A6C31" w:rsidP="00F17551">
      <w:pPr>
        <w:pStyle w:val="ARbullet1"/>
      </w:pPr>
      <w:r>
        <w:t>d</w:t>
      </w:r>
      <w:r w:rsidR="00F17551" w:rsidRPr="00657E8C">
        <w:t xml:space="preserve">elivering mental health and wellbeing training to executives, people managers and disability accommodation services staff as part of our commitment to support implementation of the Victorian public sector </w:t>
      </w:r>
      <w:r w:rsidR="00F17551" w:rsidRPr="00657E8C">
        <w:rPr>
          <w:i/>
        </w:rPr>
        <w:t>Mental health and wellbeing charter</w:t>
      </w:r>
    </w:p>
    <w:p w14:paraId="033E611E" w14:textId="02DC30E5" w:rsidR="008D124E" w:rsidRDefault="0035134C" w:rsidP="00F17551">
      <w:pPr>
        <w:pStyle w:val="ARbullet1"/>
      </w:pPr>
      <w:r>
        <w:t>i</w:t>
      </w:r>
      <w:r w:rsidR="00F17551" w:rsidRPr="00657E8C">
        <w:t>mplementation of recommendations from an audit by the Victorian Auditor-General’s office into maintaining the mental health of child protection practitioners. The key actions completed include consolidation of child protection mental health data to better identify trends and issues</w:t>
      </w:r>
      <w:r>
        <w:t>;</w:t>
      </w:r>
      <w:r w:rsidRPr="00657E8C">
        <w:t xml:space="preserve"> </w:t>
      </w:r>
      <w:r w:rsidR="00F17551" w:rsidRPr="00657E8C">
        <w:t>the implementation of specialist mental health support for child protection practitioners</w:t>
      </w:r>
      <w:r>
        <w:t>;</w:t>
      </w:r>
      <w:r w:rsidR="00F17551" w:rsidRPr="00657E8C">
        <w:t xml:space="preserve"> and measur</w:t>
      </w:r>
      <w:r>
        <w:t>ing</w:t>
      </w:r>
      <w:r w:rsidR="00F17551" w:rsidRPr="00657E8C">
        <w:t xml:space="preserve"> awareness, usage and effectiveness of existing</w:t>
      </w:r>
      <w:r w:rsidR="006E277C">
        <w:t> </w:t>
      </w:r>
      <w:r w:rsidR="00F17551" w:rsidRPr="00657E8C">
        <w:t>wellbeing support.</w:t>
      </w:r>
    </w:p>
    <w:p w14:paraId="6E361E8C" w14:textId="4D885C01" w:rsidR="00F17551" w:rsidRPr="00657E8C" w:rsidRDefault="00F17551" w:rsidP="00F17551">
      <w:pPr>
        <w:pStyle w:val="ARbody"/>
      </w:pPr>
    </w:p>
    <w:p w14:paraId="2D3EDFF0" w14:textId="77777777" w:rsidR="00F17551" w:rsidRPr="00657E8C" w:rsidRDefault="00F17551" w:rsidP="00F17551">
      <w:pPr>
        <w:pStyle w:val="Heading3"/>
        <w:spacing w:before="400"/>
        <w:sectPr w:rsidR="00F17551" w:rsidRPr="00657E8C" w:rsidSect="00D9619A">
          <w:headerReference w:type="even" r:id="rId130"/>
          <w:headerReference w:type="default" r:id="rId131"/>
          <w:footerReference w:type="even" r:id="rId132"/>
          <w:footerReference w:type="default" r:id="rId133"/>
          <w:endnotePr>
            <w:numFmt w:val="decimal"/>
          </w:endnotePr>
          <w:pgSz w:w="11900" w:h="16840" w:code="9"/>
          <w:pgMar w:top="1985" w:right="851" w:bottom="851" w:left="1418" w:header="510" w:footer="340" w:gutter="0"/>
          <w:cols w:num="2" w:space="454"/>
          <w:docGrid w:linePitch="272"/>
        </w:sectPr>
      </w:pPr>
    </w:p>
    <w:p w14:paraId="6021D66C" w14:textId="77777777" w:rsidR="00432848" w:rsidRPr="00657E8C" w:rsidRDefault="00432848" w:rsidP="00432848">
      <w:pPr>
        <w:pStyle w:val="Heading3"/>
        <w:spacing w:before="0"/>
      </w:pPr>
      <w:bookmarkStart w:id="145" w:name="_Ref21955871"/>
      <w:bookmarkStart w:id="146" w:name="_Ref525047492"/>
      <w:r w:rsidRPr="00657E8C">
        <w:t>The department’s performance against occupational health and safety management measures</w:t>
      </w:r>
      <w:bookmarkEnd w:id="145"/>
    </w:p>
    <w:tbl>
      <w:tblPr>
        <w:tblW w:w="964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10"/>
        <w:gridCol w:w="2256"/>
        <w:gridCol w:w="10"/>
        <w:gridCol w:w="3148"/>
        <w:gridCol w:w="10"/>
        <w:gridCol w:w="1400"/>
        <w:gridCol w:w="10"/>
        <w:gridCol w:w="1385"/>
        <w:gridCol w:w="16"/>
        <w:gridCol w:w="1394"/>
        <w:gridCol w:w="10"/>
      </w:tblGrid>
      <w:tr w:rsidR="00432848" w:rsidRPr="00657E8C" w14:paraId="29A171E0" w14:textId="77777777" w:rsidTr="00537F5C">
        <w:trPr>
          <w:gridAfter w:val="1"/>
          <w:wAfter w:w="10" w:type="dxa"/>
          <w:cantSplit/>
          <w:tblHeader/>
        </w:trPr>
        <w:tc>
          <w:tcPr>
            <w:tcW w:w="2266" w:type="dxa"/>
            <w:gridSpan w:val="2"/>
            <w:vAlign w:val="bottom"/>
          </w:tcPr>
          <w:p w14:paraId="0D2BDE14" w14:textId="77777777" w:rsidR="00432848" w:rsidRPr="00657E8C" w:rsidRDefault="00432848" w:rsidP="00537F5C">
            <w:pPr>
              <w:pStyle w:val="ARtablecolhead"/>
              <w:rPr>
                <w:lang w:eastAsia="en-AU"/>
              </w:rPr>
            </w:pPr>
            <w:r w:rsidRPr="00657E8C">
              <w:rPr>
                <w:lang w:eastAsia="en-AU"/>
              </w:rPr>
              <w:t>Measure</w:t>
            </w:r>
          </w:p>
        </w:tc>
        <w:tc>
          <w:tcPr>
            <w:tcW w:w="3158" w:type="dxa"/>
            <w:gridSpan w:val="2"/>
            <w:vAlign w:val="bottom"/>
          </w:tcPr>
          <w:p w14:paraId="66F36DDE" w14:textId="77777777" w:rsidR="00432848" w:rsidRPr="00657E8C" w:rsidRDefault="00432848" w:rsidP="00537F5C">
            <w:pPr>
              <w:pStyle w:val="ARtablecolhead"/>
              <w:rPr>
                <w:lang w:eastAsia="en-AU"/>
              </w:rPr>
            </w:pPr>
            <w:r w:rsidRPr="00657E8C">
              <w:rPr>
                <w:lang w:eastAsia="en-AU"/>
              </w:rPr>
              <w:t>KPI</w:t>
            </w:r>
          </w:p>
        </w:tc>
        <w:tc>
          <w:tcPr>
            <w:tcW w:w="1410" w:type="dxa"/>
            <w:gridSpan w:val="2"/>
          </w:tcPr>
          <w:p w14:paraId="23CADE3A" w14:textId="77777777" w:rsidR="00432848" w:rsidRPr="00657E8C" w:rsidRDefault="00432848" w:rsidP="00537F5C">
            <w:pPr>
              <w:pStyle w:val="ARtablecolhead"/>
              <w:jc w:val="right"/>
              <w:rPr>
                <w:lang w:eastAsia="en-AU"/>
              </w:rPr>
            </w:pPr>
            <w:r>
              <w:rPr>
                <w:lang w:eastAsia="en-AU"/>
              </w:rPr>
              <w:t>2016</w:t>
            </w:r>
            <w:r w:rsidR="009D351A">
              <w:rPr>
                <w:lang w:eastAsia="en-AU"/>
              </w:rPr>
              <w:t>–</w:t>
            </w:r>
            <w:r>
              <w:rPr>
                <w:lang w:eastAsia="en-AU"/>
              </w:rPr>
              <w:t>17</w:t>
            </w:r>
          </w:p>
        </w:tc>
        <w:tc>
          <w:tcPr>
            <w:tcW w:w="1395" w:type="dxa"/>
            <w:gridSpan w:val="2"/>
          </w:tcPr>
          <w:p w14:paraId="38BC2539" w14:textId="77777777" w:rsidR="00432848" w:rsidRPr="00657E8C" w:rsidRDefault="00432848" w:rsidP="00537F5C">
            <w:pPr>
              <w:pStyle w:val="ARtablecolhead"/>
              <w:jc w:val="right"/>
              <w:rPr>
                <w:lang w:eastAsia="en-AU"/>
              </w:rPr>
            </w:pPr>
            <w:r w:rsidRPr="00657E8C">
              <w:rPr>
                <w:lang w:eastAsia="en-AU"/>
              </w:rPr>
              <w:t>2017</w:t>
            </w:r>
            <w:r>
              <w:rPr>
                <w:lang w:eastAsia="en-AU"/>
              </w:rPr>
              <w:t>–</w:t>
            </w:r>
            <w:r w:rsidRPr="00657E8C">
              <w:rPr>
                <w:lang w:eastAsia="en-AU"/>
              </w:rPr>
              <w:t>18</w:t>
            </w:r>
          </w:p>
        </w:tc>
        <w:tc>
          <w:tcPr>
            <w:tcW w:w="1410" w:type="dxa"/>
            <w:gridSpan w:val="2"/>
          </w:tcPr>
          <w:p w14:paraId="24ECC07E" w14:textId="77777777" w:rsidR="00432848" w:rsidRPr="00657E8C" w:rsidRDefault="00432848" w:rsidP="00537F5C">
            <w:pPr>
              <w:pStyle w:val="ARtablecolhead"/>
              <w:jc w:val="right"/>
              <w:rPr>
                <w:lang w:eastAsia="en-AU"/>
              </w:rPr>
            </w:pPr>
            <w:r>
              <w:rPr>
                <w:lang w:eastAsia="en-AU"/>
              </w:rPr>
              <w:t>2018</w:t>
            </w:r>
            <w:r w:rsidR="002909DA">
              <w:rPr>
                <w:lang w:eastAsia="en-AU"/>
              </w:rPr>
              <w:t>–</w:t>
            </w:r>
            <w:r>
              <w:rPr>
                <w:lang w:eastAsia="en-AU"/>
              </w:rPr>
              <w:t>19</w:t>
            </w:r>
          </w:p>
        </w:tc>
      </w:tr>
      <w:tr w:rsidR="00432848" w:rsidRPr="00657E8C" w14:paraId="450F1680" w14:textId="77777777" w:rsidTr="00537F5C">
        <w:trPr>
          <w:gridAfter w:val="1"/>
          <w:wAfter w:w="10" w:type="dxa"/>
          <w:cantSplit/>
        </w:trPr>
        <w:tc>
          <w:tcPr>
            <w:tcW w:w="2266" w:type="dxa"/>
            <w:gridSpan w:val="2"/>
            <w:vMerge w:val="restart"/>
          </w:tcPr>
          <w:p w14:paraId="319A5885" w14:textId="77777777" w:rsidR="00432848" w:rsidRPr="00657E8C" w:rsidRDefault="00432848" w:rsidP="00537F5C">
            <w:pPr>
              <w:pStyle w:val="ARtabletext"/>
              <w:rPr>
                <w:sz w:val="20"/>
              </w:rPr>
            </w:pPr>
            <w:r w:rsidRPr="00657E8C">
              <w:t>Hazards</w:t>
            </w:r>
          </w:p>
        </w:tc>
        <w:tc>
          <w:tcPr>
            <w:tcW w:w="3158" w:type="dxa"/>
            <w:gridSpan w:val="2"/>
          </w:tcPr>
          <w:p w14:paraId="0942BE5C" w14:textId="77777777" w:rsidR="00432848" w:rsidRPr="00657E8C" w:rsidRDefault="00432848" w:rsidP="00537F5C">
            <w:pPr>
              <w:pStyle w:val="ARtabletext"/>
            </w:pPr>
            <w:r w:rsidRPr="00657E8C">
              <w:t>No. of hazards</w:t>
            </w:r>
            <w:r w:rsidRPr="00657E8C">
              <w:rPr>
                <w:vertAlign w:val="superscript"/>
              </w:rPr>
              <w:t>1</w:t>
            </w:r>
          </w:p>
        </w:tc>
        <w:tc>
          <w:tcPr>
            <w:tcW w:w="1410" w:type="dxa"/>
            <w:gridSpan w:val="2"/>
          </w:tcPr>
          <w:p w14:paraId="608D934E" w14:textId="77777777" w:rsidR="00432848" w:rsidRPr="00657E8C" w:rsidRDefault="00432848" w:rsidP="00537F5C">
            <w:pPr>
              <w:pStyle w:val="ARtabletextright"/>
            </w:pPr>
            <w:r w:rsidRPr="00657E8C">
              <w:t>N/A</w:t>
            </w:r>
          </w:p>
        </w:tc>
        <w:tc>
          <w:tcPr>
            <w:tcW w:w="1395" w:type="dxa"/>
            <w:gridSpan w:val="2"/>
          </w:tcPr>
          <w:p w14:paraId="325906E8" w14:textId="77777777" w:rsidR="00432848" w:rsidRPr="00657E8C" w:rsidRDefault="00432848" w:rsidP="00537F5C">
            <w:pPr>
              <w:pStyle w:val="ARtabletextright"/>
            </w:pPr>
            <w:r w:rsidRPr="00657E8C">
              <w:t>N/A</w:t>
            </w:r>
          </w:p>
        </w:tc>
        <w:tc>
          <w:tcPr>
            <w:tcW w:w="1410" w:type="dxa"/>
            <w:gridSpan w:val="2"/>
          </w:tcPr>
          <w:p w14:paraId="1C6AB784" w14:textId="77777777" w:rsidR="00432848" w:rsidRPr="00657E8C" w:rsidRDefault="00432848" w:rsidP="00537F5C">
            <w:pPr>
              <w:pStyle w:val="ARtabletextright"/>
            </w:pPr>
            <w:r w:rsidRPr="00657E8C">
              <w:t>786</w:t>
            </w:r>
          </w:p>
        </w:tc>
      </w:tr>
      <w:tr w:rsidR="00432848" w:rsidRPr="00657E8C" w14:paraId="79EC7530" w14:textId="77777777" w:rsidTr="00537F5C">
        <w:trPr>
          <w:gridAfter w:val="1"/>
          <w:wAfter w:w="10" w:type="dxa"/>
          <w:cantSplit/>
        </w:trPr>
        <w:tc>
          <w:tcPr>
            <w:tcW w:w="2266" w:type="dxa"/>
            <w:gridSpan w:val="2"/>
            <w:vMerge/>
          </w:tcPr>
          <w:p w14:paraId="6EDEF447" w14:textId="77777777" w:rsidR="00432848" w:rsidRPr="00657E8C" w:rsidRDefault="00432848" w:rsidP="00537F5C">
            <w:pPr>
              <w:pStyle w:val="ARbody"/>
              <w:rPr>
                <w:lang w:eastAsia="en-AU"/>
              </w:rPr>
            </w:pPr>
          </w:p>
        </w:tc>
        <w:tc>
          <w:tcPr>
            <w:tcW w:w="3158" w:type="dxa"/>
            <w:gridSpan w:val="2"/>
          </w:tcPr>
          <w:p w14:paraId="7A4E4871" w14:textId="77777777" w:rsidR="00432848" w:rsidRPr="00657E8C" w:rsidRDefault="00432848" w:rsidP="00537F5C">
            <w:pPr>
              <w:pStyle w:val="ARtabletext"/>
            </w:pPr>
            <w:r w:rsidRPr="00657E8C">
              <w:t>Rate per 100 FTE</w:t>
            </w:r>
          </w:p>
        </w:tc>
        <w:tc>
          <w:tcPr>
            <w:tcW w:w="1410" w:type="dxa"/>
            <w:gridSpan w:val="2"/>
          </w:tcPr>
          <w:p w14:paraId="283E129C" w14:textId="77777777" w:rsidR="00432848" w:rsidRPr="00657E8C" w:rsidRDefault="00432848" w:rsidP="00537F5C">
            <w:pPr>
              <w:pStyle w:val="ARtabletextright"/>
            </w:pPr>
            <w:r w:rsidRPr="00657E8C">
              <w:t>N/A</w:t>
            </w:r>
          </w:p>
        </w:tc>
        <w:tc>
          <w:tcPr>
            <w:tcW w:w="1395" w:type="dxa"/>
            <w:gridSpan w:val="2"/>
          </w:tcPr>
          <w:p w14:paraId="705CB260" w14:textId="77777777" w:rsidR="00432848" w:rsidRPr="00657E8C" w:rsidRDefault="00432848" w:rsidP="00537F5C">
            <w:pPr>
              <w:pStyle w:val="ARtabletextright"/>
            </w:pPr>
            <w:r w:rsidRPr="00657E8C">
              <w:t>N/A</w:t>
            </w:r>
          </w:p>
        </w:tc>
        <w:tc>
          <w:tcPr>
            <w:tcW w:w="1410" w:type="dxa"/>
            <w:gridSpan w:val="2"/>
          </w:tcPr>
          <w:p w14:paraId="2F34068F" w14:textId="77777777" w:rsidR="00432848" w:rsidRPr="00657E8C" w:rsidRDefault="00432848" w:rsidP="00537F5C">
            <w:pPr>
              <w:pStyle w:val="ARtabletextright"/>
            </w:pPr>
            <w:r w:rsidRPr="00657E8C">
              <w:t>7.40</w:t>
            </w:r>
          </w:p>
        </w:tc>
      </w:tr>
      <w:tr w:rsidR="006D2AEB" w:rsidRPr="00657E8C" w14:paraId="1578A6AE" w14:textId="77777777" w:rsidTr="00537F5C">
        <w:trPr>
          <w:gridBefore w:val="1"/>
          <w:wBefore w:w="10" w:type="dxa"/>
          <w:cantSplit/>
        </w:trPr>
        <w:tc>
          <w:tcPr>
            <w:tcW w:w="2266" w:type="dxa"/>
            <w:gridSpan w:val="2"/>
            <w:vMerge w:val="restart"/>
            <w:tcBorders>
              <w:top w:val="nil"/>
            </w:tcBorders>
          </w:tcPr>
          <w:p w14:paraId="7F589916" w14:textId="77777777" w:rsidR="006D2AEB" w:rsidRPr="00657E8C" w:rsidRDefault="006D2AEB" w:rsidP="00537F5C">
            <w:pPr>
              <w:pStyle w:val="ARtabletext"/>
              <w:rPr>
                <w:sz w:val="20"/>
              </w:rPr>
            </w:pPr>
            <w:r w:rsidRPr="00657E8C">
              <w:t>Incidents</w:t>
            </w:r>
          </w:p>
        </w:tc>
        <w:tc>
          <w:tcPr>
            <w:tcW w:w="3158" w:type="dxa"/>
            <w:gridSpan w:val="2"/>
          </w:tcPr>
          <w:p w14:paraId="04F5DB81" w14:textId="77777777" w:rsidR="006D2AEB" w:rsidRPr="00657E8C" w:rsidRDefault="006D2AEB" w:rsidP="00537F5C">
            <w:pPr>
              <w:pStyle w:val="ARbody"/>
              <w:rPr>
                <w:lang w:eastAsia="en-AU"/>
              </w:rPr>
            </w:pPr>
            <w:r w:rsidRPr="00657E8C">
              <w:rPr>
                <w:sz w:val="18"/>
                <w:szCs w:val="18"/>
                <w:lang w:eastAsia="en-AU"/>
              </w:rPr>
              <w:t>No. of incidents</w:t>
            </w:r>
            <w:r w:rsidRPr="00657E8C">
              <w:rPr>
                <w:vertAlign w:val="superscript"/>
                <w:lang w:eastAsia="en-AU"/>
              </w:rPr>
              <w:t>1</w:t>
            </w:r>
          </w:p>
        </w:tc>
        <w:tc>
          <w:tcPr>
            <w:tcW w:w="1410" w:type="dxa"/>
            <w:gridSpan w:val="2"/>
          </w:tcPr>
          <w:p w14:paraId="66F296BD" w14:textId="77777777" w:rsidR="006D2AEB" w:rsidRPr="00657E8C" w:rsidRDefault="006D2AEB" w:rsidP="00537F5C">
            <w:pPr>
              <w:pStyle w:val="ARtabletextright"/>
            </w:pPr>
            <w:r w:rsidRPr="00657E8C">
              <w:t>7</w:t>
            </w:r>
            <w:r>
              <w:t>,</w:t>
            </w:r>
            <w:r w:rsidRPr="00657E8C">
              <w:t>581</w:t>
            </w:r>
          </w:p>
        </w:tc>
        <w:tc>
          <w:tcPr>
            <w:tcW w:w="1401" w:type="dxa"/>
            <w:gridSpan w:val="2"/>
          </w:tcPr>
          <w:p w14:paraId="038DB751" w14:textId="77777777" w:rsidR="006D2AEB" w:rsidRPr="00657E8C" w:rsidRDefault="006D2AEB" w:rsidP="00537F5C">
            <w:pPr>
              <w:pStyle w:val="ARtabletextright"/>
            </w:pPr>
            <w:r w:rsidRPr="00657E8C">
              <w:t>6</w:t>
            </w:r>
            <w:r>
              <w:t>,</w:t>
            </w:r>
            <w:r w:rsidRPr="00657E8C">
              <w:t>086</w:t>
            </w:r>
          </w:p>
        </w:tc>
        <w:tc>
          <w:tcPr>
            <w:tcW w:w="1404" w:type="dxa"/>
            <w:gridSpan w:val="2"/>
          </w:tcPr>
          <w:p w14:paraId="6EBE4C0E" w14:textId="77777777" w:rsidR="006D2AEB" w:rsidRPr="00657E8C" w:rsidRDefault="006D2AEB" w:rsidP="00537F5C">
            <w:pPr>
              <w:pStyle w:val="ARtabletextright"/>
            </w:pPr>
            <w:r>
              <w:t>4,271</w:t>
            </w:r>
          </w:p>
        </w:tc>
      </w:tr>
      <w:tr w:rsidR="006D2AEB" w:rsidRPr="00657E8C" w14:paraId="3E8C7E5A" w14:textId="77777777" w:rsidTr="006D2AEB">
        <w:trPr>
          <w:gridBefore w:val="1"/>
          <w:wBefore w:w="10" w:type="dxa"/>
          <w:cantSplit/>
        </w:trPr>
        <w:tc>
          <w:tcPr>
            <w:tcW w:w="2266" w:type="dxa"/>
            <w:gridSpan w:val="2"/>
            <w:vMerge/>
          </w:tcPr>
          <w:p w14:paraId="509F22C6" w14:textId="77777777" w:rsidR="006D2AEB" w:rsidRPr="00657E8C" w:rsidRDefault="006D2AEB" w:rsidP="00537F5C">
            <w:pPr>
              <w:pStyle w:val="ARbody"/>
              <w:rPr>
                <w:lang w:eastAsia="en-AU"/>
              </w:rPr>
            </w:pPr>
          </w:p>
        </w:tc>
        <w:tc>
          <w:tcPr>
            <w:tcW w:w="3158" w:type="dxa"/>
            <w:gridSpan w:val="2"/>
          </w:tcPr>
          <w:p w14:paraId="0405DD4D" w14:textId="77777777" w:rsidR="006D2AEB" w:rsidRPr="00657E8C" w:rsidRDefault="006D2AEB" w:rsidP="00537F5C">
            <w:pPr>
              <w:pStyle w:val="ARtabletext"/>
              <w:rPr>
                <w:sz w:val="20"/>
              </w:rPr>
            </w:pPr>
            <w:r w:rsidRPr="00657E8C">
              <w:t>Rate per 100 FTE</w:t>
            </w:r>
          </w:p>
        </w:tc>
        <w:tc>
          <w:tcPr>
            <w:tcW w:w="1410" w:type="dxa"/>
            <w:gridSpan w:val="2"/>
          </w:tcPr>
          <w:p w14:paraId="70077E81" w14:textId="77777777" w:rsidR="006D2AEB" w:rsidRPr="00657E8C" w:rsidRDefault="006D2AEB" w:rsidP="00537F5C">
            <w:pPr>
              <w:pStyle w:val="ARtabletextright"/>
            </w:pPr>
            <w:r w:rsidRPr="00657E8C">
              <w:t>67.4</w:t>
            </w:r>
          </w:p>
        </w:tc>
        <w:tc>
          <w:tcPr>
            <w:tcW w:w="1401" w:type="dxa"/>
            <w:gridSpan w:val="2"/>
          </w:tcPr>
          <w:p w14:paraId="6A8D0928" w14:textId="77777777" w:rsidR="006D2AEB" w:rsidRPr="00657E8C" w:rsidRDefault="006D2AEB" w:rsidP="00537F5C">
            <w:pPr>
              <w:pStyle w:val="ARtabletextright"/>
            </w:pPr>
            <w:r w:rsidRPr="00657E8C">
              <w:t>48.9</w:t>
            </w:r>
          </w:p>
        </w:tc>
        <w:tc>
          <w:tcPr>
            <w:tcW w:w="1404" w:type="dxa"/>
            <w:gridSpan w:val="2"/>
          </w:tcPr>
          <w:p w14:paraId="3FA52BC2" w14:textId="77777777" w:rsidR="006D2AEB" w:rsidRPr="00657E8C" w:rsidRDefault="006D2AEB" w:rsidP="00537F5C">
            <w:pPr>
              <w:pStyle w:val="ARtabletextright"/>
            </w:pPr>
            <w:r>
              <w:t>40.02</w:t>
            </w:r>
          </w:p>
        </w:tc>
      </w:tr>
      <w:tr w:rsidR="006D2AEB" w:rsidRPr="00657E8C" w14:paraId="42609E39" w14:textId="77777777" w:rsidTr="006D2AEB">
        <w:trPr>
          <w:gridBefore w:val="1"/>
          <w:wBefore w:w="10" w:type="dxa"/>
          <w:cantSplit/>
        </w:trPr>
        <w:tc>
          <w:tcPr>
            <w:tcW w:w="2266" w:type="dxa"/>
            <w:gridSpan w:val="2"/>
            <w:vMerge/>
            <w:tcBorders>
              <w:bottom w:val="nil"/>
            </w:tcBorders>
          </w:tcPr>
          <w:p w14:paraId="2ED82A79" w14:textId="77777777" w:rsidR="006D2AEB" w:rsidRPr="00657E8C" w:rsidRDefault="006D2AEB" w:rsidP="00537F5C">
            <w:pPr>
              <w:pStyle w:val="ARbody"/>
              <w:rPr>
                <w:lang w:eastAsia="en-AU"/>
              </w:rPr>
            </w:pPr>
          </w:p>
        </w:tc>
        <w:tc>
          <w:tcPr>
            <w:tcW w:w="3158" w:type="dxa"/>
            <w:gridSpan w:val="2"/>
          </w:tcPr>
          <w:p w14:paraId="40F4091B" w14:textId="6010E32D" w:rsidR="006D2AEB" w:rsidRPr="00326F42" w:rsidRDefault="006D2AEB" w:rsidP="00537F5C">
            <w:pPr>
              <w:pStyle w:val="ARbody"/>
              <w:rPr>
                <w:vertAlign w:val="superscript"/>
                <w:lang w:eastAsia="en-AU"/>
              </w:rPr>
            </w:pPr>
            <w:r w:rsidRPr="00657E8C">
              <w:rPr>
                <w:sz w:val="18"/>
                <w:szCs w:val="18"/>
                <w:lang w:eastAsia="en-AU"/>
              </w:rPr>
              <w:t>No. of incidents requiring first aid</w:t>
            </w:r>
            <w:r>
              <w:rPr>
                <w:vertAlign w:val="superscript"/>
                <w:lang w:eastAsia="en-AU"/>
              </w:rPr>
              <w:t xml:space="preserve">8 </w:t>
            </w:r>
            <w:r w:rsidRPr="00657E8C">
              <w:rPr>
                <w:sz w:val="18"/>
                <w:szCs w:val="18"/>
                <w:lang w:eastAsia="en-AU"/>
              </w:rPr>
              <w:t>and/or further medical treatment</w:t>
            </w:r>
          </w:p>
        </w:tc>
        <w:tc>
          <w:tcPr>
            <w:tcW w:w="1410" w:type="dxa"/>
            <w:gridSpan w:val="2"/>
          </w:tcPr>
          <w:p w14:paraId="6D0E17FD" w14:textId="77777777" w:rsidR="006D2AEB" w:rsidRPr="00657E8C" w:rsidRDefault="006D2AEB" w:rsidP="00537F5C">
            <w:pPr>
              <w:pStyle w:val="ARtabletextright"/>
            </w:pPr>
            <w:r>
              <w:t>N/A</w:t>
            </w:r>
          </w:p>
        </w:tc>
        <w:tc>
          <w:tcPr>
            <w:tcW w:w="1401" w:type="dxa"/>
            <w:gridSpan w:val="2"/>
          </w:tcPr>
          <w:p w14:paraId="50BB342E" w14:textId="77777777" w:rsidR="006D2AEB" w:rsidRPr="00657E8C" w:rsidRDefault="006D2AEB" w:rsidP="00537F5C">
            <w:pPr>
              <w:pStyle w:val="ARtabletextright"/>
            </w:pPr>
            <w:r w:rsidRPr="00657E8C">
              <w:t>N/A</w:t>
            </w:r>
          </w:p>
        </w:tc>
        <w:tc>
          <w:tcPr>
            <w:tcW w:w="1404" w:type="dxa"/>
            <w:gridSpan w:val="2"/>
          </w:tcPr>
          <w:p w14:paraId="38CD9883" w14:textId="77777777" w:rsidR="006D2AEB" w:rsidRPr="00657E8C" w:rsidRDefault="006D2AEB" w:rsidP="00537F5C">
            <w:pPr>
              <w:pStyle w:val="ARtabletextright"/>
            </w:pPr>
            <w:r>
              <w:t>864</w:t>
            </w:r>
          </w:p>
        </w:tc>
      </w:tr>
      <w:tr w:rsidR="00432848" w:rsidRPr="00657E8C" w14:paraId="7789EC2A" w14:textId="77777777" w:rsidTr="00537F5C">
        <w:trPr>
          <w:gridAfter w:val="1"/>
          <w:wAfter w:w="10" w:type="dxa"/>
          <w:cantSplit/>
        </w:trPr>
        <w:tc>
          <w:tcPr>
            <w:tcW w:w="2266" w:type="dxa"/>
            <w:gridSpan w:val="2"/>
            <w:vMerge w:val="restart"/>
          </w:tcPr>
          <w:p w14:paraId="0FA2D93C" w14:textId="77777777" w:rsidR="00432848" w:rsidRPr="00657E8C" w:rsidRDefault="00432848" w:rsidP="00537F5C">
            <w:pPr>
              <w:pStyle w:val="ARtabletext"/>
            </w:pPr>
            <w:r w:rsidRPr="00657E8C">
              <w:t>Claims</w:t>
            </w:r>
          </w:p>
        </w:tc>
        <w:tc>
          <w:tcPr>
            <w:tcW w:w="3158" w:type="dxa"/>
            <w:gridSpan w:val="2"/>
          </w:tcPr>
          <w:p w14:paraId="7574952E" w14:textId="77777777" w:rsidR="00432848" w:rsidRPr="00657E8C" w:rsidRDefault="00432848" w:rsidP="00537F5C">
            <w:pPr>
              <w:pStyle w:val="ARbody"/>
              <w:rPr>
                <w:lang w:eastAsia="en-AU"/>
              </w:rPr>
            </w:pPr>
            <w:r w:rsidRPr="00657E8C">
              <w:rPr>
                <w:sz w:val="18"/>
                <w:szCs w:val="18"/>
                <w:lang w:eastAsia="en-AU"/>
              </w:rPr>
              <w:t>No. of standard claims</w:t>
            </w:r>
            <w:r w:rsidRPr="00657E8C">
              <w:rPr>
                <w:vertAlign w:val="superscript"/>
                <w:lang w:eastAsia="en-AU"/>
              </w:rPr>
              <w:t>2</w:t>
            </w:r>
          </w:p>
        </w:tc>
        <w:tc>
          <w:tcPr>
            <w:tcW w:w="1410" w:type="dxa"/>
            <w:gridSpan w:val="2"/>
          </w:tcPr>
          <w:p w14:paraId="148C035E" w14:textId="77777777" w:rsidR="00432848" w:rsidRPr="00657E8C" w:rsidRDefault="00432848" w:rsidP="00537F5C">
            <w:pPr>
              <w:pStyle w:val="ARtabletextright"/>
            </w:pPr>
            <w:r>
              <w:t>273</w:t>
            </w:r>
          </w:p>
        </w:tc>
        <w:tc>
          <w:tcPr>
            <w:tcW w:w="1395" w:type="dxa"/>
            <w:gridSpan w:val="2"/>
          </w:tcPr>
          <w:p w14:paraId="5A69F826" w14:textId="77777777" w:rsidR="00432848" w:rsidRPr="00657E8C" w:rsidRDefault="00432848" w:rsidP="00537F5C">
            <w:pPr>
              <w:pStyle w:val="ARtabletextright"/>
            </w:pPr>
            <w:r w:rsidRPr="00657E8C">
              <w:t>273</w:t>
            </w:r>
            <w:r w:rsidRPr="00657E8C">
              <w:rPr>
                <w:vertAlign w:val="superscript"/>
              </w:rPr>
              <w:t>3</w:t>
            </w:r>
          </w:p>
        </w:tc>
        <w:tc>
          <w:tcPr>
            <w:tcW w:w="1410" w:type="dxa"/>
            <w:gridSpan w:val="2"/>
          </w:tcPr>
          <w:p w14:paraId="2E61C331" w14:textId="77777777" w:rsidR="00432848" w:rsidRPr="00657E8C" w:rsidRDefault="00432848" w:rsidP="00537F5C">
            <w:pPr>
              <w:pStyle w:val="ARtabletextright"/>
              <w:rPr>
                <w:sz w:val="20"/>
              </w:rPr>
            </w:pPr>
            <w:r>
              <w:t>259</w:t>
            </w:r>
            <w:r w:rsidRPr="00657E8C">
              <w:rPr>
                <w:vertAlign w:val="superscript"/>
              </w:rPr>
              <w:t>3</w:t>
            </w:r>
          </w:p>
        </w:tc>
      </w:tr>
      <w:tr w:rsidR="00432848" w:rsidRPr="00657E8C" w14:paraId="26386255" w14:textId="77777777" w:rsidTr="00537F5C">
        <w:trPr>
          <w:gridAfter w:val="1"/>
          <w:wAfter w:w="10" w:type="dxa"/>
          <w:cantSplit/>
        </w:trPr>
        <w:tc>
          <w:tcPr>
            <w:tcW w:w="2266" w:type="dxa"/>
            <w:gridSpan w:val="2"/>
            <w:vMerge/>
          </w:tcPr>
          <w:p w14:paraId="0135FE66" w14:textId="77777777" w:rsidR="00432848" w:rsidRPr="00657E8C" w:rsidRDefault="00432848" w:rsidP="00537F5C">
            <w:pPr>
              <w:pStyle w:val="ARtabletext"/>
            </w:pPr>
          </w:p>
        </w:tc>
        <w:tc>
          <w:tcPr>
            <w:tcW w:w="3158" w:type="dxa"/>
            <w:gridSpan w:val="2"/>
          </w:tcPr>
          <w:p w14:paraId="0F6D3B57" w14:textId="77777777" w:rsidR="00432848" w:rsidRPr="00657E8C" w:rsidRDefault="00432848" w:rsidP="00537F5C">
            <w:pPr>
              <w:pStyle w:val="ARbody"/>
              <w:rPr>
                <w:sz w:val="18"/>
                <w:szCs w:val="18"/>
                <w:lang w:eastAsia="en-AU"/>
              </w:rPr>
            </w:pPr>
            <w:r w:rsidRPr="00657E8C">
              <w:rPr>
                <w:sz w:val="18"/>
                <w:szCs w:val="18"/>
                <w:lang w:eastAsia="en-AU"/>
              </w:rPr>
              <w:t>Rate per 100 FTE</w:t>
            </w:r>
          </w:p>
        </w:tc>
        <w:tc>
          <w:tcPr>
            <w:tcW w:w="1410" w:type="dxa"/>
            <w:gridSpan w:val="2"/>
          </w:tcPr>
          <w:p w14:paraId="6C8A397E" w14:textId="77777777" w:rsidR="00432848" w:rsidRPr="00657E8C" w:rsidRDefault="00432848" w:rsidP="00537F5C">
            <w:pPr>
              <w:pStyle w:val="ARtabletextright"/>
            </w:pPr>
            <w:r w:rsidRPr="00657E8C">
              <w:t>2.4</w:t>
            </w:r>
            <w:r>
              <w:t>3</w:t>
            </w:r>
          </w:p>
        </w:tc>
        <w:tc>
          <w:tcPr>
            <w:tcW w:w="1395" w:type="dxa"/>
            <w:gridSpan w:val="2"/>
          </w:tcPr>
          <w:p w14:paraId="0DCC87A8" w14:textId="77777777" w:rsidR="00432848" w:rsidRPr="00657E8C" w:rsidRDefault="00432848" w:rsidP="00537F5C">
            <w:pPr>
              <w:pStyle w:val="ARtabletextright"/>
            </w:pPr>
            <w:r w:rsidRPr="00657E8C">
              <w:t>2.19</w:t>
            </w:r>
          </w:p>
        </w:tc>
        <w:tc>
          <w:tcPr>
            <w:tcW w:w="1410" w:type="dxa"/>
            <w:gridSpan w:val="2"/>
          </w:tcPr>
          <w:p w14:paraId="7A7CF10C" w14:textId="77777777" w:rsidR="00432848" w:rsidRPr="00657E8C" w:rsidRDefault="00432848" w:rsidP="00537F5C">
            <w:pPr>
              <w:pStyle w:val="ARtabletextright"/>
            </w:pPr>
            <w:r w:rsidRPr="00657E8C">
              <w:t>2.4</w:t>
            </w:r>
            <w:r>
              <w:t>4</w:t>
            </w:r>
          </w:p>
        </w:tc>
      </w:tr>
      <w:tr w:rsidR="00432848" w:rsidRPr="00657E8C" w14:paraId="26AB0346" w14:textId="77777777" w:rsidTr="00537F5C">
        <w:trPr>
          <w:gridAfter w:val="1"/>
          <w:wAfter w:w="10" w:type="dxa"/>
          <w:cantSplit/>
        </w:trPr>
        <w:tc>
          <w:tcPr>
            <w:tcW w:w="2266" w:type="dxa"/>
            <w:gridSpan w:val="2"/>
            <w:vMerge/>
          </w:tcPr>
          <w:p w14:paraId="5C210BDA" w14:textId="77777777" w:rsidR="00432848" w:rsidRPr="00657E8C" w:rsidRDefault="00432848" w:rsidP="00537F5C">
            <w:pPr>
              <w:pStyle w:val="ARtabletext"/>
            </w:pPr>
          </w:p>
        </w:tc>
        <w:tc>
          <w:tcPr>
            <w:tcW w:w="3158" w:type="dxa"/>
            <w:gridSpan w:val="2"/>
          </w:tcPr>
          <w:p w14:paraId="7AD09424" w14:textId="77777777" w:rsidR="00432848" w:rsidRPr="00657E8C" w:rsidRDefault="00432848" w:rsidP="00537F5C">
            <w:pPr>
              <w:pStyle w:val="ARbody"/>
              <w:rPr>
                <w:sz w:val="18"/>
                <w:szCs w:val="18"/>
                <w:lang w:eastAsia="en-AU"/>
              </w:rPr>
            </w:pPr>
            <w:r w:rsidRPr="00657E8C">
              <w:rPr>
                <w:sz w:val="18"/>
                <w:szCs w:val="18"/>
                <w:lang w:eastAsia="en-AU"/>
              </w:rPr>
              <w:t>No. of lost time claims</w:t>
            </w:r>
          </w:p>
        </w:tc>
        <w:tc>
          <w:tcPr>
            <w:tcW w:w="1410" w:type="dxa"/>
            <w:gridSpan w:val="2"/>
          </w:tcPr>
          <w:p w14:paraId="2ED02323" w14:textId="77777777" w:rsidR="00432848" w:rsidRPr="00657E8C" w:rsidRDefault="00432848" w:rsidP="00537F5C">
            <w:pPr>
              <w:pStyle w:val="ARtabletextright"/>
            </w:pPr>
            <w:r w:rsidRPr="00657E8C">
              <w:t>1</w:t>
            </w:r>
            <w:r>
              <w:t>49</w:t>
            </w:r>
          </w:p>
        </w:tc>
        <w:tc>
          <w:tcPr>
            <w:tcW w:w="1395" w:type="dxa"/>
            <w:gridSpan w:val="2"/>
          </w:tcPr>
          <w:p w14:paraId="01E0CB83" w14:textId="77777777" w:rsidR="00432848" w:rsidRPr="00657E8C" w:rsidRDefault="00432848" w:rsidP="00537F5C">
            <w:pPr>
              <w:pStyle w:val="ARtabletextright"/>
            </w:pPr>
            <w:r w:rsidRPr="00657E8C">
              <w:t>157</w:t>
            </w:r>
          </w:p>
        </w:tc>
        <w:tc>
          <w:tcPr>
            <w:tcW w:w="1410" w:type="dxa"/>
            <w:gridSpan w:val="2"/>
          </w:tcPr>
          <w:p w14:paraId="27EC133E" w14:textId="77777777" w:rsidR="00432848" w:rsidRPr="00657E8C" w:rsidRDefault="00432848" w:rsidP="00537F5C">
            <w:pPr>
              <w:pStyle w:val="ARtabletextright"/>
            </w:pPr>
            <w:r w:rsidRPr="00657E8C">
              <w:t>1</w:t>
            </w:r>
            <w:r>
              <w:t>30</w:t>
            </w:r>
          </w:p>
        </w:tc>
      </w:tr>
      <w:tr w:rsidR="00432848" w:rsidRPr="00657E8C" w14:paraId="54F4DFFF" w14:textId="77777777" w:rsidTr="00537F5C">
        <w:trPr>
          <w:gridAfter w:val="1"/>
          <w:wAfter w:w="10" w:type="dxa"/>
          <w:cantSplit/>
        </w:trPr>
        <w:tc>
          <w:tcPr>
            <w:tcW w:w="2266" w:type="dxa"/>
            <w:gridSpan w:val="2"/>
            <w:vMerge/>
          </w:tcPr>
          <w:p w14:paraId="09A9656E" w14:textId="77777777" w:rsidR="00432848" w:rsidRPr="00657E8C" w:rsidRDefault="00432848" w:rsidP="00537F5C">
            <w:pPr>
              <w:pStyle w:val="ARtabletext"/>
            </w:pPr>
          </w:p>
        </w:tc>
        <w:tc>
          <w:tcPr>
            <w:tcW w:w="3158" w:type="dxa"/>
            <w:gridSpan w:val="2"/>
          </w:tcPr>
          <w:p w14:paraId="42A4EE00" w14:textId="77777777" w:rsidR="00432848" w:rsidRPr="00657E8C" w:rsidRDefault="00432848" w:rsidP="00537F5C">
            <w:pPr>
              <w:pStyle w:val="ARbody"/>
              <w:rPr>
                <w:sz w:val="18"/>
                <w:szCs w:val="18"/>
                <w:lang w:eastAsia="en-AU"/>
              </w:rPr>
            </w:pPr>
            <w:r w:rsidRPr="00657E8C">
              <w:rPr>
                <w:sz w:val="18"/>
                <w:szCs w:val="18"/>
                <w:lang w:eastAsia="en-AU"/>
              </w:rPr>
              <w:t>Rate per 100 FTE</w:t>
            </w:r>
          </w:p>
        </w:tc>
        <w:tc>
          <w:tcPr>
            <w:tcW w:w="1410" w:type="dxa"/>
            <w:gridSpan w:val="2"/>
          </w:tcPr>
          <w:p w14:paraId="4C4B42F3" w14:textId="77777777" w:rsidR="00432848" w:rsidRPr="00657E8C" w:rsidRDefault="00432848" w:rsidP="00537F5C">
            <w:pPr>
              <w:pStyle w:val="ARtabletextright"/>
            </w:pPr>
            <w:r w:rsidRPr="00657E8C">
              <w:t>1.</w:t>
            </w:r>
            <w:r>
              <w:t>32</w:t>
            </w:r>
          </w:p>
        </w:tc>
        <w:tc>
          <w:tcPr>
            <w:tcW w:w="1395" w:type="dxa"/>
            <w:gridSpan w:val="2"/>
          </w:tcPr>
          <w:p w14:paraId="7E545305" w14:textId="77777777" w:rsidR="00432848" w:rsidRPr="00657E8C" w:rsidRDefault="00432848" w:rsidP="00537F5C">
            <w:pPr>
              <w:pStyle w:val="ARtabletextright"/>
            </w:pPr>
            <w:r w:rsidRPr="00657E8C">
              <w:t>1.270</w:t>
            </w:r>
          </w:p>
        </w:tc>
        <w:tc>
          <w:tcPr>
            <w:tcW w:w="1410" w:type="dxa"/>
            <w:gridSpan w:val="2"/>
          </w:tcPr>
          <w:p w14:paraId="0401D27E" w14:textId="77777777" w:rsidR="00432848" w:rsidRPr="00657E8C" w:rsidRDefault="00432848" w:rsidP="00537F5C">
            <w:pPr>
              <w:pStyle w:val="ARtabletextright"/>
            </w:pPr>
            <w:r w:rsidRPr="00657E8C">
              <w:t>1.</w:t>
            </w:r>
            <w:r>
              <w:t>223</w:t>
            </w:r>
          </w:p>
        </w:tc>
      </w:tr>
      <w:tr w:rsidR="00432848" w:rsidRPr="00657E8C" w14:paraId="14C00AB2" w14:textId="77777777" w:rsidTr="00537F5C">
        <w:trPr>
          <w:gridAfter w:val="1"/>
          <w:wAfter w:w="10" w:type="dxa"/>
          <w:cantSplit/>
        </w:trPr>
        <w:tc>
          <w:tcPr>
            <w:tcW w:w="2266" w:type="dxa"/>
            <w:gridSpan w:val="2"/>
            <w:vMerge/>
          </w:tcPr>
          <w:p w14:paraId="51422AA1" w14:textId="77777777" w:rsidR="00432848" w:rsidRPr="00657E8C" w:rsidRDefault="00432848" w:rsidP="00537F5C">
            <w:pPr>
              <w:pStyle w:val="ARtabletext"/>
            </w:pPr>
          </w:p>
        </w:tc>
        <w:tc>
          <w:tcPr>
            <w:tcW w:w="3158" w:type="dxa"/>
            <w:gridSpan w:val="2"/>
          </w:tcPr>
          <w:p w14:paraId="726A3907" w14:textId="77777777" w:rsidR="00432848" w:rsidRPr="00657E8C" w:rsidRDefault="00432848" w:rsidP="00537F5C">
            <w:pPr>
              <w:pStyle w:val="ARtabletext"/>
            </w:pPr>
            <w:r w:rsidRPr="00657E8C">
              <w:t>No. of claims exceeding 13 weeks</w:t>
            </w:r>
            <w:r w:rsidRPr="00657E8C">
              <w:rPr>
                <w:vertAlign w:val="superscript"/>
              </w:rPr>
              <w:t>4</w:t>
            </w:r>
          </w:p>
        </w:tc>
        <w:tc>
          <w:tcPr>
            <w:tcW w:w="1410" w:type="dxa"/>
            <w:gridSpan w:val="2"/>
          </w:tcPr>
          <w:p w14:paraId="701AB9E0" w14:textId="77777777" w:rsidR="00432848" w:rsidRPr="00657E8C" w:rsidRDefault="00432848" w:rsidP="00537F5C">
            <w:pPr>
              <w:pStyle w:val="ARtabletextright"/>
            </w:pPr>
            <w:r>
              <w:t>56</w:t>
            </w:r>
          </w:p>
        </w:tc>
        <w:tc>
          <w:tcPr>
            <w:tcW w:w="1395" w:type="dxa"/>
            <w:gridSpan w:val="2"/>
          </w:tcPr>
          <w:p w14:paraId="4C59BBCA" w14:textId="77777777" w:rsidR="00432848" w:rsidRPr="00657E8C" w:rsidRDefault="00432848" w:rsidP="00537F5C">
            <w:pPr>
              <w:pStyle w:val="ARtabletextright"/>
            </w:pPr>
            <w:r w:rsidRPr="00657E8C">
              <w:t>85</w:t>
            </w:r>
          </w:p>
        </w:tc>
        <w:tc>
          <w:tcPr>
            <w:tcW w:w="1410" w:type="dxa"/>
            <w:gridSpan w:val="2"/>
          </w:tcPr>
          <w:p w14:paraId="29860023" w14:textId="77777777" w:rsidR="00432848" w:rsidRPr="00657E8C" w:rsidRDefault="00432848" w:rsidP="00537F5C">
            <w:pPr>
              <w:pStyle w:val="ARtabletextright"/>
            </w:pPr>
            <w:r>
              <w:t>69</w:t>
            </w:r>
          </w:p>
        </w:tc>
      </w:tr>
      <w:tr w:rsidR="00432848" w:rsidRPr="00657E8C" w14:paraId="3E4FF18A" w14:textId="77777777" w:rsidTr="00537F5C">
        <w:trPr>
          <w:gridAfter w:val="1"/>
          <w:wAfter w:w="10" w:type="dxa"/>
          <w:cantSplit/>
        </w:trPr>
        <w:tc>
          <w:tcPr>
            <w:tcW w:w="2266" w:type="dxa"/>
            <w:gridSpan w:val="2"/>
            <w:vMerge/>
            <w:tcBorders>
              <w:bottom w:val="single" w:sz="4" w:space="0" w:color="auto"/>
            </w:tcBorders>
          </w:tcPr>
          <w:p w14:paraId="2667092F" w14:textId="77777777" w:rsidR="00432848" w:rsidRPr="00657E8C" w:rsidRDefault="00432848" w:rsidP="00537F5C">
            <w:pPr>
              <w:pStyle w:val="ARtabletext"/>
            </w:pPr>
          </w:p>
        </w:tc>
        <w:tc>
          <w:tcPr>
            <w:tcW w:w="3158" w:type="dxa"/>
            <w:gridSpan w:val="2"/>
          </w:tcPr>
          <w:p w14:paraId="59D82498" w14:textId="77777777" w:rsidR="00432848" w:rsidRPr="00657E8C" w:rsidRDefault="00432848" w:rsidP="00537F5C">
            <w:pPr>
              <w:pStyle w:val="ARbody"/>
              <w:rPr>
                <w:sz w:val="18"/>
                <w:szCs w:val="18"/>
                <w:lang w:eastAsia="en-AU"/>
              </w:rPr>
            </w:pPr>
            <w:r w:rsidRPr="00657E8C">
              <w:rPr>
                <w:sz w:val="18"/>
                <w:szCs w:val="18"/>
                <w:lang w:eastAsia="en-AU"/>
              </w:rPr>
              <w:t>Rate per 100 FTE</w:t>
            </w:r>
          </w:p>
        </w:tc>
        <w:tc>
          <w:tcPr>
            <w:tcW w:w="1410" w:type="dxa"/>
            <w:gridSpan w:val="2"/>
          </w:tcPr>
          <w:p w14:paraId="5400B0DC" w14:textId="77777777" w:rsidR="00432848" w:rsidRPr="00657E8C" w:rsidRDefault="00432848" w:rsidP="00537F5C">
            <w:pPr>
              <w:pStyle w:val="ARtabletextright"/>
            </w:pPr>
            <w:r w:rsidRPr="00657E8C">
              <w:t>0.497</w:t>
            </w:r>
          </w:p>
        </w:tc>
        <w:tc>
          <w:tcPr>
            <w:tcW w:w="1395" w:type="dxa"/>
            <w:gridSpan w:val="2"/>
          </w:tcPr>
          <w:p w14:paraId="398DD95D" w14:textId="77777777" w:rsidR="00432848" w:rsidRPr="00657E8C" w:rsidRDefault="00432848" w:rsidP="00537F5C">
            <w:pPr>
              <w:pStyle w:val="ARtabletextright"/>
            </w:pPr>
            <w:r w:rsidRPr="00657E8C">
              <w:t>0.682</w:t>
            </w:r>
          </w:p>
        </w:tc>
        <w:tc>
          <w:tcPr>
            <w:tcW w:w="1410" w:type="dxa"/>
            <w:gridSpan w:val="2"/>
          </w:tcPr>
          <w:p w14:paraId="11D89EC7" w14:textId="77777777" w:rsidR="00432848" w:rsidRPr="00657E8C" w:rsidRDefault="00432848" w:rsidP="00537F5C">
            <w:pPr>
              <w:pStyle w:val="ARtabletextright"/>
            </w:pPr>
            <w:r w:rsidRPr="00657E8C">
              <w:t>0.</w:t>
            </w:r>
            <w:r>
              <w:t>649</w:t>
            </w:r>
          </w:p>
        </w:tc>
      </w:tr>
      <w:tr w:rsidR="006D2AEB" w:rsidRPr="00657E8C" w14:paraId="2FC7EA74" w14:textId="77777777" w:rsidTr="006D2AEB">
        <w:trPr>
          <w:gridAfter w:val="1"/>
          <w:wAfter w:w="10" w:type="dxa"/>
          <w:cantSplit/>
        </w:trPr>
        <w:tc>
          <w:tcPr>
            <w:tcW w:w="2266" w:type="dxa"/>
            <w:gridSpan w:val="2"/>
            <w:vMerge w:val="restart"/>
            <w:tcBorders>
              <w:top w:val="single" w:sz="4" w:space="0" w:color="auto"/>
            </w:tcBorders>
          </w:tcPr>
          <w:p w14:paraId="1BF20C48" w14:textId="77777777" w:rsidR="006D2AEB" w:rsidRPr="00657E8C" w:rsidRDefault="006D2AEB" w:rsidP="00537F5C">
            <w:pPr>
              <w:pStyle w:val="ARtabletext"/>
            </w:pPr>
            <w:r w:rsidRPr="00657E8C">
              <w:t>Absenteeism</w:t>
            </w:r>
          </w:p>
        </w:tc>
        <w:tc>
          <w:tcPr>
            <w:tcW w:w="3158" w:type="dxa"/>
            <w:gridSpan w:val="2"/>
          </w:tcPr>
          <w:p w14:paraId="2FCDF522" w14:textId="77777777" w:rsidR="006D2AEB" w:rsidRPr="00657E8C" w:rsidRDefault="006D2AEB" w:rsidP="00537F5C">
            <w:pPr>
              <w:pStyle w:val="ARbody"/>
              <w:rPr>
                <w:sz w:val="18"/>
                <w:szCs w:val="18"/>
                <w:lang w:eastAsia="en-AU"/>
              </w:rPr>
            </w:pPr>
            <w:r w:rsidRPr="00657E8C">
              <w:rPr>
                <w:sz w:val="18"/>
                <w:szCs w:val="18"/>
                <w:lang w:eastAsia="en-AU"/>
              </w:rPr>
              <w:t>Total number of days absence due to injury or illness</w:t>
            </w:r>
          </w:p>
        </w:tc>
        <w:tc>
          <w:tcPr>
            <w:tcW w:w="1410" w:type="dxa"/>
            <w:gridSpan w:val="2"/>
          </w:tcPr>
          <w:p w14:paraId="0B41DE10" w14:textId="77777777" w:rsidR="006D2AEB" w:rsidRPr="00657E8C" w:rsidDel="00FA770C" w:rsidRDefault="006D2AEB" w:rsidP="00537F5C">
            <w:pPr>
              <w:pStyle w:val="ARtabletextright"/>
            </w:pPr>
            <w:r w:rsidRPr="00657E8C">
              <w:t>112</w:t>
            </w:r>
            <w:r>
              <w:t>,</w:t>
            </w:r>
            <w:r w:rsidRPr="00657E8C">
              <w:t>426</w:t>
            </w:r>
          </w:p>
        </w:tc>
        <w:tc>
          <w:tcPr>
            <w:tcW w:w="1395" w:type="dxa"/>
            <w:gridSpan w:val="2"/>
          </w:tcPr>
          <w:p w14:paraId="78F0D4F0" w14:textId="77777777" w:rsidR="006D2AEB" w:rsidRPr="00657E8C" w:rsidDel="00FA770C" w:rsidRDefault="006D2AEB" w:rsidP="00537F5C">
            <w:pPr>
              <w:pStyle w:val="ARtabletextright"/>
            </w:pPr>
            <w:r w:rsidRPr="00657E8C">
              <w:t>114</w:t>
            </w:r>
            <w:r>
              <w:t>,</w:t>
            </w:r>
            <w:r w:rsidRPr="00657E8C">
              <w:t>654</w:t>
            </w:r>
          </w:p>
        </w:tc>
        <w:tc>
          <w:tcPr>
            <w:tcW w:w="1410" w:type="dxa"/>
            <w:gridSpan w:val="2"/>
          </w:tcPr>
          <w:p w14:paraId="4A26062E" w14:textId="77777777" w:rsidR="006D2AEB" w:rsidRPr="00657E8C" w:rsidDel="00FA770C" w:rsidRDefault="006D2AEB" w:rsidP="00537F5C">
            <w:pPr>
              <w:pStyle w:val="ARtabletextright"/>
            </w:pPr>
            <w:r>
              <w:t>98,835</w:t>
            </w:r>
          </w:p>
        </w:tc>
      </w:tr>
      <w:tr w:rsidR="006D2AEB" w:rsidRPr="00657E8C" w14:paraId="1187ADB2" w14:textId="77777777" w:rsidTr="006D2AEB">
        <w:trPr>
          <w:gridAfter w:val="1"/>
          <w:wAfter w:w="10" w:type="dxa"/>
          <w:cantSplit/>
        </w:trPr>
        <w:tc>
          <w:tcPr>
            <w:tcW w:w="2266" w:type="dxa"/>
            <w:gridSpan w:val="2"/>
            <w:vMerge/>
          </w:tcPr>
          <w:p w14:paraId="237A3285" w14:textId="77777777" w:rsidR="006D2AEB" w:rsidRPr="00657E8C" w:rsidRDefault="006D2AEB" w:rsidP="00537F5C">
            <w:pPr>
              <w:pStyle w:val="ARtabletext"/>
            </w:pPr>
          </w:p>
        </w:tc>
        <w:tc>
          <w:tcPr>
            <w:tcW w:w="3158" w:type="dxa"/>
            <w:gridSpan w:val="2"/>
          </w:tcPr>
          <w:p w14:paraId="21F0CBA5" w14:textId="77777777" w:rsidR="006D2AEB" w:rsidRPr="00657E8C" w:rsidRDefault="006D2AEB" w:rsidP="00537F5C">
            <w:pPr>
              <w:pStyle w:val="ARbody"/>
              <w:rPr>
                <w:sz w:val="18"/>
                <w:szCs w:val="18"/>
                <w:lang w:eastAsia="en-AU"/>
              </w:rPr>
            </w:pPr>
            <w:r w:rsidRPr="00657E8C">
              <w:rPr>
                <w:sz w:val="18"/>
                <w:szCs w:val="18"/>
                <w:lang w:eastAsia="en-AU"/>
              </w:rPr>
              <w:t>Rate per 100 FTE</w:t>
            </w:r>
          </w:p>
        </w:tc>
        <w:tc>
          <w:tcPr>
            <w:tcW w:w="1410" w:type="dxa"/>
            <w:gridSpan w:val="2"/>
          </w:tcPr>
          <w:p w14:paraId="2DC13CAE" w14:textId="77777777" w:rsidR="006D2AEB" w:rsidRPr="00657E8C" w:rsidDel="00FA770C" w:rsidRDefault="006D2AEB" w:rsidP="00537F5C">
            <w:pPr>
              <w:pStyle w:val="ARtabletextright"/>
            </w:pPr>
            <w:r>
              <w:t>1,000</w:t>
            </w:r>
          </w:p>
        </w:tc>
        <w:tc>
          <w:tcPr>
            <w:tcW w:w="1395" w:type="dxa"/>
            <w:gridSpan w:val="2"/>
          </w:tcPr>
          <w:p w14:paraId="69419A7A" w14:textId="77777777" w:rsidR="006D2AEB" w:rsidRPr="00657E8C" w:rsidDel="00FA770C" w:rsidRDefault="006D2AEB" w:rsidP="00537F5C">
            <w:pPr>
              <w:pStyle w:val="ARtabletextright"/>
            </w:pPr>
            <w:r w:rsidRPr="00657E8C">
              <w:t>920</w:t>
            </w:r>
          </w:p>
        </w:tc>
        <w:tc>
          <w:tcPr>
            <w:tcW w:w="1410" w:type="dxa"/>
            <w:gridSpan w:val="2"/>
          </w:tcPr>
          <w:p w14:paraId="14D02E2A" w14:textId="77777777" w:rsidR="006D2AEB" w:rsidRPr="00657E8C" w:rsidDel="00FA770C" w:rsidRDefault="006D2AEB" w:rsidP="00537F5C">
            <w:pPr>
              <w:pStyle w:val="ARtabletextright"/>
            </w:pPr>
            <w:r>
              <w:t>930</w:t>
            </w:r>
          </w:p>
        </w:tc>
      </w:tr>
      <w:tr w:rsidR="00432848" w:rsidRPr="00657E8C" w14:paraId="28F9E016" w14:textId="77777777" w:rsidTr="00537F5C">
        <w:trPr>
          <w:gridAfter w:val="1"/>
          <w:wAfter w:w="10" w:type="dxa"/>
          <w:cantSplit/>
        </w:trPr>
        <w:tc>
          <w:tcPr>
            <w:tcW w:w="2266" w:type="dxa"/>
            <w:gridSpan w:val="2"/>
          </w:tcPr>
          <w:p w14:paraId="1D1F2E21" w14:textId="77777777" w:rsidR="00432848" w:rsidRPr="00657E8C" w:rsidRDefault="00432848" w:rsidP="00537F5C">
            <w:pPr>
              <w:pStyle w:val="ARtabletext"/>
            </w:pPr>
            <w:r w:rsidRPr="00657E8C">
              <w:t>Fatalities</w:t>
            </w:r>
          </w:p>
        </w:tc>
        <w:tc>
          <w:tcPr>
            <w:tcW w:w="3158" w:type="dxa"/>
            <w:gridSpan w:val="2"/>
          </w:tcPr>
          <w:p w14:paraId="50395EC3" w14:textId="77777777" w:rsidR="00432848" w:rsidRPr="00657E8C" w:rsidRDefault="00432848" w:rsidP="00537F5C">
            <w:pPr>
              <w:pStyle w:val="ARbody"/>
              <w:rPr>
                <w:sz w:val="18"/>
                <w:szCs w:val="18"/>
                <w:lang w:eastAsia="en-AU"/>
              </w:rPr>
            </w:pPr>
            <w:r w:rsidRPr="00657E8C">
              <w:rPr>
                <w:sz w:val="18"/>
                <w:szCs w:val="18"/>
                <w:lang w:eastAsia="en-AU"/>
              </w:rPr>
              <w:t>No. of fatalities</w:t>
            </w:r>
          </w:p>
        </w:tc>
        <w:tc>
          <w:tcPr>
            <w:tcW w:w="1410" w:type="dxa"/>
            <w:gridSpan w:val="2"/>
          </w:tcPr>
          <w:p w14:paraId="43F53036" w14:textId="77777777" w:rsidR="00432848" w:rsidRPr="00657E8C" w:rsidRDefault="00432848" w:rsidP="00537F5C">
            <w:pPr>
              <w:pStyle w:val="ARtabletextright"/>
            </w:pPr>
            <w:r w:rsidRPr="00657E8C">
              <w:t>0</w:t>
            </w:r>
          </w:p>
        </w:tc>
        <w:tc>
          <w:tcPr>
            <w:tcW w:w="1395" w:type="dxa"/>
            <w:gridSpan w:val="2"/>
          </w:tcPr>
          <w:p w14:paraId="30476B7F" w14:textId="77777777" w:rsidR="00432848" w:rsidRPr="00657E8C" w:rsidRDefault="00432848" w:rsidP="00537F5C">
            <w:pPr>
              <w:pStyle w:val="ARtabletextright"/>
            </w:pPr>
            <w:r w:rsidRPr="00657E8C">
              <w:t>0</w:t>
            </w:r>
          </w:p>
        </w:tc>
        <w:tc>
          <w:tcPr>
            <w:tcW w:w="1410" w:type="dxa"/>
            <w:gridSpan w:val="2"/>
          </w:tcPr>
          <w:p w14:paraId="3EF3C5D9" w14:textId="77777777" w:rsidR="00432848" w:rsidRPr="00657E8C" w:rsidRDefault="00432848" w:rsidP="00537F5C">
            <w:pPr>
              <w:pStyle w:val="ARtabletextright"/>
            </w:pPr>
            <w:r w:rsidRPr="00657E8C">
              <w:t>0</w:t>
            </w:r>
          </w:p>
        </w:tc>
      </w:tr>
      <w:tr w:rsidR="00432848" w:rsidRPr="00657E8C" w14:paraId="52770FEA" w14:textId="77777777" w:rsidTr="00537F5C">
        <w:trPr>
          <w:gridAfter w:val="1"/>
          <w:wAfter w:w="10" w:type="dxa"/>
          <w:cantSplit/>
        </w:trPr>
        <w:tc>
          <w:tcPr>
            <w:tcW w:w="2266" w:type="dxa"/>
            <w:gridSpan w:val="2"/>
          </w:tcPr>
          <w:p w14:paraId="1516860F" w14:textId="77777777" w:rsidR="00432848" w:rsidRPr="00657E8C" w:rsidRDefault="00432848" w:rsidP="00537F5C">
            <w:pPr>
              <w:pStyle w:val="ARtabletext"/>
            </w:pPr>
            <w:r w:rsidRPr="00657E8C">
              <w:t>Prosecutions</w:t>
            </w:r>
          </w:p>
        </w:tc>
        <w:tc>
          <w:tcPr>
            <w:tcW w:w="3158" w:type="dxa"/>
            <w:gridSpan w:val="2"/>
          </w:tcPr>
          <w:p w14:paraId="1C21ADAA" w14:textId="77777777" w:rsidR="00432848" w:rsidRPr="00657E8C" w:rsidRDefault="00432848" w:rsidP="00537F5C">
            <w:pPr>
              <w:pStyle w:val="ARtabletext"/>
            </w:pPr>
            <w:r w:rsidRPr="00657E8C">
              <w:t>Total number of prosecutions</w:t>
            </w:r>
            <w:r w:rsidRPr="00657E8C">
              <w:rPr>
                <w:vertAlign w:val="superscript"/>
              </w:rPr>
              <w:t>5</w:t>
            </w:r>
          </w:p>
        </w:tc>
        <w:tc>
          <w:tcPr>
            <w:tcW w:w="1410" w:type="dxa"/>
            <w:gridSpan w:val="2"/>
          </w:tcPr>
          <w:p w14:paraId="53101FC9" w14:textId="77777777" w:rsidR="00432848" w:rsidRPr="00657E8C" w:rsidDel="00FA770C" w:rsidRDefault="00432848" w:rsidP="00537F5C">
            <w:pPr>
              <w:pStyle w:val="ARtabletextright"/>
            </w:pPr>
            <w:r w:rsidRPr="00657E8C">
              <w:t>0</w:t>
            </w:r>
          </w:p>
        </w:tc>
        <w:tc>
          <w:tcPr>
            <w:tcW w:w="1395" w:type="dxa"/>
            <w:gridSpan w:val="2"/>
          </w:tcPr>
          <w:p w14:paraId="2CA0315F" w14:textId="77777777" w:rsidR="00432848" w:rsidRPr="00657E8C" w:rsidDel="00FA770C" w:rsidRDefault="00432848" w:rsidP="00537F5C">
            <w:pPr>
              <w:pStyle w:val="ARtabletextright"/>
            </w:pPr>
            <w:r w:rsidRPr="00657E8C">
              <w:t>1</w:t>
            </w:r>
          </w:p>
        </w:tc>
        <w:tc>
          <w:tcPr>
            <w:tcW w:w="1410" w:type="dxa"/>
            <w:gridSpan w:val="2"/>
          </w:tcPr>
          <w:p w14:paraId="1892CAB4" w14:textId="77777777" w:rsidR="00432848" w:rsidRPr="00657E8C" w:rsidDel="00FA770C" w:rsidRDefault="00432848" w:rsidP="00537F5C">
            <w:pPr>
              <w:pStyle w:val="ARtabletextright"/>
            </w:pPr>
            <w:r w:rsidRPr="00657E8C">
              <w:t>0</w:t>
            </w:r>
          </w:p>
        </w:tc>
      </w:tr>
      <w:tr w:rsidR="00432848" w:rsidRPr="00657E8C" w14:paraId="2E8D31DF" w14:textId="77777777" w:rsidTr="00537F5C">
        <w:trPr>
          <w:gridAfter w:val="1"/>
          <w:wAfter w:w="10" w:type="dxa"/>
          <w:cantSplit/>
        </w:trPr>
        <w:tc>
          <w:tcPr>
            <w:tcW w:w="2266" w:type="dxa"/>
            <w:gridSpan w:val="2"/>
          </w:tcPr>
          <w:p w14:paraId="3CAA6A83" w14:textId="77777777" w:rsidR="00432848" w:rsidRPr="00657E8C" w:rsidRDefault="00432848" w:rsidP="00537F5C">
            <w:pPr>
              <w:pStyle w:val="ARtabletext"/>
            </w:pPr>
            <w:r w:rsidRPr="00657E8C">
              <w:t>Claims costs</w:t>
            </w:r>
            <w:r w:rsidRPr="00657E8C">
              <w:rPr>
                <w:vertAlign w:val="superscript"/>
              </w:rPr>
              <w:t>6</w:t>
            </w:r>
          </w:p>
        </w:tc>
        <w:tc>
          <w:tcPr>
            <w:tcW w:w="3158" w:type="dxa"/>
            <w:gridSpan w:val="2"/>
          </w:tcPr>
          <w:p w14:paraId="70C4E9A5" w14:textId="77777777" w:rsidR="00432848" w:rsidRPr="00657E8C" w:rsidRDefault="00432848" w:rsidP="00537F5C">
            <w:pPr>
              <w:pStyle w:val="ARbody"/>
              <w:rPr>
                <w:lang w:eastAsia="en-AU"/>
              </w:rPr>
            </w:pPr>
            <w:r w:rsidRPr="00657E8C">
              <w:rPr>
                <w:sz w:val="18"/>
                <w:szCs w:val="18"/>
                <w:lang w:eastAsia="en-AU"/>
              </w:rPr>
              <w:t>Average cost per standard claim</w:t>
            </w:r>
            <w:r w:rsidRPr="00657E8C">
              <w:rPr>
                <w:vertAlign w:val="superscript"/>
                <w:lang w:eastAsia="en-AU"/>
              </w:rPr>
              <w:t>7</w:t>
            </w:r>
          </w:p>
        </w:tc>
        <w:tc>
          <w:tcPr>
            <w:tcW w:w="1410" w:type="dxa"/>
            <w:gridSpan w:val="2"/>
          </w:tcPr>
          <w:p w14:paraId="4D4458C6" w14:textId="77777777" w:rsidR="00432848" w:rsidRPr="00657E8C" w:rsidRDefault="00432848" w:rsidP="00537F5C">
            <w:pPr>
              <w:pStyle w:val="ARtabletextright"/>
            </w:pPr>
            <w:r w:rsidRPr="00657E8C">
              <w:t>$64,966</w:t>
            </w:r>
          </w:p>
        </w:tc>
        <w:tc>
          <w:tcPr>
            <w:tcW w:w="1395" w:type="dxa"/>
            <w:gridSpan w:val="2"/>
          </w:tcPr>
          <w:p w14:paraId="520E8B41" w14:textId="77777777" w:rsidR="00432848" w:rsidRPr="00657E8C" w:rsidRDefault="00432848" w:rsidP="00537F5C">
            <w:pPr>
              <w:pStyle w:val="ARtabletextright"/>
            </w:pPr>
            <w:r w:rsidRPr="00657E8C">
              <w:t>$79,341</w:t>
            </w:r>
          </w:p>
        </w:tc>
        <w:tc>
          <w:tcPr>
            <w:tcW w:w="1410" w:type="dxa"/>
            <w:gridSpan w:val="2"/>
          </w:tcPr>
          <w:p w14:paraId="130128F6" w14:textId="77777777" w:rsidR="00432848" w:rsidRPr="00657E8C" w:rsidRDefault="00432848" w:rsidP="00537F5C">
            <w:pPr>
              <w:pStyle w:val="ARtabletextright"/>
            </w:pPr>
            <w:r w:rsidRPr="00657E8C">
              <w:t>$</w:t>
            </w:r>
            <w:r>
              <w:t>75,135</w:t>
            </w:r>
          </w:p>
        </w:tc>
      </w:tr>
    </w:tbl>
    <w:bookmarkEnd w:id="146"/>
    <w:p w14:paraId="79BEFCF1" w14:textId="77777777" w:rsidR="00F17551" w:rsidRPr="00657E8C" w:rsidRDefault="00F17551" w:rsidP="00F17551">
      <w:pPr>
        <w:pStyle w:val="ARtablefootnote"/>
      </w:pPr>
      <w:r w:rsidRPr="00657E8C">
        <w:t>FTE: full-time equivalent; OHS: occupational health and safety.</w:t>
      </w:r>
    </w:p>
    <w:p w14:paraId="2EFAADF3" w14:textId="77777777" w:rsidR="00F17551" w:rsidRPr="00657E8C" w:rsidRDefault="00F17551" w:rsidP="00F17551">
      <w:pPr>
        <w:pStyle w:val="ARtablefootnote"/>
        <w:numPr>
          <w:ilvl w:val="0"/>
          <w:numId w:val="10"/>
        </w:numPr>
        <w:spacing w:line="240" w:lineRule="auto"/>
      </w:pPr>
      <w:r w:rsidRPr="00657E8C">
        <w:t>Figures for 2016</w:t>
      </w:r>
      <w:r w:rsidR="0035134C">
        <w:t>–</w:t>
      </w:r>
      <w:r w:rsidRPr="00657E8C">
        <w:t>17 and 2017</w:t>
      </w:r>
      <w:r w:rsidR="0035134C">
        <w:t>–</w:t>
      </w:r>
      <w:r w:rsidRPr="00657E8C">
        <w:t>18 are total number of recorded hazards and incidents as at June 2019 and figures for incidents include incidents and hazards combined.</w:t>
      </w:r>
    </w:p>
    <w:p w14:paraId="61F01B9E" w14:textId="77777777" w:rsidR="00F17551" w:rsidRPr="00657E8C" w:rsidRDefault="00F17551" w:rsidP="00F17551">
      <w:pPr>
        <w:pStyle w:val="ARtablefootnote"/>
        <w:numPr>
          <w:ilvl w:val="0"/>
          <w:numId w:val="10"/>
        </w:numPr>
        <w:spacing w:line="240" w:lineRule="auto"/>
      </w:pPr>
      <w:r w:rsidRPr="00657E8C">
        <w:t>Includes accepted, pending and rejected claims that met the standard claims threshold.</w:t>
      </w:r>
    </w:p>
    <w:p w14:paraId="53605C28" w14:textId="77777777" w:rsidR="00F17551" w:rsidRPr="00657E8C" w:rsidRDefault="00F17551" w:rsidP="00F17551">
      <w:pPr>
        <w:pStyle w:val="ARtablefootnote"/>
        <w:numPr>
          <w:ilvl w:val="0"/>
          <w:numId w:val="10"/>
        </w:numPr>
        <w:spacing w:line="240" w:lineRule="auto"/>
      </w:pPr>
      <w:r w:rsidRPr="00657E8C">
        <w:t>Number and rate per 100 FTE for 2016–17 and 2017–18 excludes Youth Justice claims which were transferred to Department of Justice and Community Safety.</w:t>
      </w:r>
    </w:p>
    <w:p w14:paraId="32BC499E" w14:textId="77777777" w:rsidR="00F17551" w:rsidRPr="00657E8C" w:rsidRDefault="00F17551" w:rsidP="00F17551">
      <w:pPr>
        <w:pStyle w:val="ARtablefootnote"/>
        <w:numPr>
          <w:ilvl w:val="0"/>
          <w:numId w:val="10"/>
        </w:numPr>
        <w:spacing w:line="240" w:lineRule="auto"/>
      </w:pPr>
      <w:r w:rsidRPr="00657E8C">
        <w:t>Data extracted with a six-month lag to allow for claims to reach 13 weeks compensation.</w:t>
      </w:r>
    </w:p>
    <w:p w14:paraId="7C60F921" w14:textId="77777777" w:rsidR="00F17551" w:rsidRPr="00657E8C" w:rsidRDefault="00F17551" w:rsidP="00F17551">
      <w:pPr>
        <w:pStyle w:val="ARtablefootnote"/>
        <w:numPr>
          <w:ilvl w:val="0"/>
          <w:numId w:val="10"/>
        </w:numPr>
        <w:spacing w:line="240" w:lineRule="auto"/>
      </w:pPr>
      <w:r w:rsidRPr="00657E8C">
        <w:t>Refers to all health safety and wellbeing prosecutions.</w:t>
      </w:r>
    </w:p>
    <w:p w14:paraId="2F4252D0" w14:textId="77777777" w:rsidR="00F17551" w:rsidRPr="00657E8C" w:rsidRDefault="00F17551" w:rsidP="00F17551">
      <w:pPr>
        <w:pStyle w:val="ARtablefootnote"/>
        <w:numPr>
          <w:ilvl w:val="0"/>
          <w:numId w:val="10"/>
        </w:numPr>
        <w:spacing w:line="240" w:lineRule="auto"/>
      </w:pPr>
      <w:r w:rsidRPr="00657E8C">
        <w:t>Includes payments and estimated future costs.</w:t>
      </w:r>
    </w:p>
    <w:p w14:paraId="1E6FB7BA" w14:textId="77777777" w:rsidR="00F17551" w:rsidRPr="00657E8C" w:rsidRDefault="00F17551" w:rsidP="00F17551">
      <w:pPr>
        <w:pStyle w:val="ARtablefootnote"/>
        <w:numPr>
          <w:ilvl w:val="0"/>
          <w:numId w:val="10"/>
        </w:numPr>
        <w:spacing w:line="240" w:lineRule="auto"/>
      </w:pPr>
      <w:r w:rsidRPr="00657E8C">
        <w:t>Data extracted with a three-month lag to allow for the claims estimate to develop to give an accurate picture of associated costs. Figures for 2016</w:t>
      </w:r>
      <w:r w:rsidR="0035134C">
        <w:t>–</w:t>
      </w:r>
      <w:r w:rsidRPr="00657E8C">
        <w:t>17 and 2017</w:t>
      </w:r>
      <w:r w:rsidR="0035134C">
        <w:t>–</w:t>
      </w:r>
      <w:r w:rsidRPr="00657E8C">
        <w:t>18 are recorded incidents as at June 2019.</w:t>
      </w:r>
    </w:p>
    <w:p w14:paraId="3EE81CF5" w14:textId="3448A1AE" w:rsidR="00F17551" w:rsidRDefault="00F17551" w:rsidP="00F17551">
      <w:pPr>
        <w:pStyle w:val="ARtablefootnote"/>
        <w:numPr>
          <w:ilvl w:val="0"/>
          <w:numId w:val="10"/>
        </w:numPr>
        <w:spacing w:line="240" w:lineRule="auto"/>
      </w:pPr>
      <w:r w:rsidRPr="00657E8C">
        <w:t>Figures for</w:t>
      </w:r>
      <w:r w:rsidR="00D95752">
        <w:t xml:space="preserve"> number </w:t>
      </w:r>
      <w:r w:rsidRPr="00657E8C">
        <w:t>of incidents requiring first aid and/or further medical treatment derived from eDINMAR where available.</w:t>
      </w:r>
    </w:p>
    <w:p w14:paraId="0BA8E434" w14:textId="77777777" w:rsidR="00326F42" w:rsidRDefault="00326F42">
      <w:pPr>
        <w:rPr>
          <w:sz w:val="16"/>
          <w:szCs w:val="16"/>
          <w:lang w:eastAsia="en-US"/>
        </w:rPr>
      </w:pPr>
      <w:r>
        <w:br w:type="page"/>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1372"/>
        <w:gridCol w:w="2451"/>
        <w:gridCol w:w="5816"/>
      </w:tblGrid>
      <w:tr w:rsidR="00F17551" w:rsidRPr="00657E8C" w14:paraId="67F604FF" w14:textId="77777777" w:rsidTr="00F17551">
        <w:trPr>
          <w:cantSplit/>
          <w:tblHeader/>
        </w:trPr>
        <w:tc>
          <w:tcPr>
            <w:tcW w:w="1372" w:type="dxa"/>
            <w:vAlign w:val="bottom"/>
          </w:tcPr>
          <w:p w14:paraId="69ABBA4B" w14:textId="77777777" w:rsidR="00F17551" w:rsidRPr="00657E8C" w:rsidRDefault="00F17551" w:rsidP="00F17551">
            <w:pPr>
              <w:pStyle w:val="ARtablecolhead"/>
            </w:pPr>
            <w:r w:rsidRPr="00657E8C">
              <w:t>Measure</w:t>
            </w:r>
          </w:p>
        </w:tc>
        <w:tc>
          <w:tcPr>
            <w:tcW w:w="2451" w:type="dxa"/>
            <w:vAlign w:val="bottom"/>
          </w:tcPr>
          <w:p w14:paraId="7C16C089" w14:textId="77777777" w:rsidR="00F17551" w:rsidRPr="00657E8C" w:rsidRDefault="00F17551" w:rsidP="00F17551">
            <w:pPr>
              <w:pStyle w:val="ARtablecolhead"/>
            </w:pPr>
            <w:r w:rsidRPr="00657E8C">
              <w:t>KPI</w:t>
            </w:r>
          </w:p>
        </w:tc>
        <w:tc>
          <w:tcPr>
            <w:tcW w:w="5816" w:type="dxa"/>
            <w:vAlign w:val="bottom"/>
          </w:tcPr>
          <w:p w14:paraId="0FE53A30" w14:textId="77777777" w:rsidR="00F17551" w:rsidRPr="00657E8C" w:rsidRDefault="00F17551" w:rsidP="00F17551">
            <w:pPr>
              <w:pStyle w:val="ARtablecolhead"/>
            </w:pPr>
            <w:r w:rsidRPr="00657E8C">
              <w:t>Performance</w:t>
            </w:r>
          </w:p>
        </w:tc>
      </w:tr>
      <w:tr w:rsidR="00F17551" w:rsidRPr="00657E8C" w14:paraId="6CEF8FC8" w14:textId="77777777" w:rsidTr="00F17551">
        <w:trPr>
          <w:cantSplit/>
          <w:trHeight w:val="220"/>
        </w:trPr>
        <w:tc>
          <w:tcPr>
            <w:tcW w:w="1372" w:type="dxa"/>
          </w:tcPr>
          <w:p w14:paraId="642AA85D" w14:textId="77777777" w:rsidR="00F17551" w:rsidRPr="00657E8C" w:rsidRDefault="00F17551" w:rsidP="00F17551">
            <w:pPr>
              <w:pStyle w:val="ARtabletext"/>
            </w:pPr>
            <w:r w:rsidRPr="00657E8C">
              <w:t>Management commitment</w:t>
            </w:r>
          </w:p>
        </w:tc>
        <w:tc>
          <w:tcPr>
            <w:tcW w:w="2451" w:type="dxa"/>
          </w:tcPr>
          <w:p w14:paraId="5389F00B" w14:textId="77777777" w:rsidR="00F17551" w:rsidRPr="00657E8C" w:rsidRDefault="00F17551" w:rsidP="00F17551">
            <w:pPr>
              <w:pStyle w:val="ARtabletext"/>
            </w:pPr>
            <w:r w:rsidRPr="00657E8C">
              <w:t>OHS policy statement and OHS criteria</w:t>
            </w:r>
          </w:p>
        </w:tc>
        <w:tc>
          <w:tcPr>
            <w:tcW w:w="5816" w:type="dxa"/>
          </w:tcPr>
          <w:p w14:paraId="6DCAC44A" w14:textId="77777777" w:rsidR="00F17551" w:rsidRPr="00657E8C" w:rsidRDefault="00F17551" w:rsidP="00F17551">
            <w:pPr>
              <w:pStyle w:val="ARtabletext"/>
              <w:rPr>
                <w:i/>
              </w:rPr>
            </w:pPr>
            <w:r w:rsidRPr="00657E8C">
              <w:t xml:space="preserve">The department released a new </w:t>
            </w:r>
            <w:r w:rsidRPr="00657E8C">
              <w:rPr>
                <w:i/>
              </w:rPr>
              <w:t xml:space="preserve">Health safety and wellbeing policy </w:t>
            </w:r>
            <w:r w:rsidRPr="00657E8C">
              <w:t xml:space="preserve">in June 2019 </w:t>
            </w:r>
            <w:r w:rsidR="00782DAE">
              <w:t>that</w:t>
            </w:r>
            <w:r w:rsidR="00782DAE" w:rsidRPr="00657E8C">
              <w:t xml:space="preserve"> </w:t>
            </w:r>
            <w:r w:rsidRPr="00657E8C">
              <w:t>outlines the department’s commitment to employee health, safety and wellbeing.</w:t>
            </w:r>
            <w:r w:rsidR="008066A4" w:rsidRPr="00657E8C">
              <w:t xml:space="preserve"> </w:t>
            </w:r>
            <w:r w:rsidRPr="00657E8C">
              <w:t xml:space="preserve">Health, safety and wellbeing accountabilities were included in all </w:t>
            </w:r>
            <w:r w:rsidR="0035134C">
              <w:t>e</w:t>
            </w:r>
            <w:r w:rsidR="0035134C" w:rsidRPr="00657E8C">
              <w:t xml:space="preserve">xecutive </w:t>
            </w:r>
            <w:r w:rsidRPr="00657E8C">
              <w:t>performance plans and will be incorporated into the performance and development plans for all employees from 2019–20.</w:t>
            </w:r>
          </w:p>
          <w:p w14:paraId="16D9331C" w14:textId="77777777" w:rsidR="00F17551" w:rsidRPr="00657E8C" w:rsidRDefault="00F17551" w:rsidP="00F17551">
            <w:pPr>
              <w:pStyle w:val="ARtabletext"/>
            </w:pPr>
            <w:r w:rsidRPr="00657E8C">
              <w:t>In 2018</w:t>
            </w:r>
            <w:r w:rsidR="0035134C">
              <w:t>–</w:t>
            </w:r>
            <w:r w:rsidRPr="00657E8C">
              <w:t>19</w:t>
            </w:r>
            <w:r w:rsidR="0035134C">
              <w:t>,</w:t>
            </w:r>
            <w:r w:rsidRPr="00657E8C">
              <w:t xml:space="preserve"> the department supported and participated in the whole-of-government OHS committee structure, established in partnership with unions and WorkSafe, to lead and improve OHS performance in the public sector. The department’s contribution included leading and providing resources to the working group established under this initiative on prevention of occupational violence in public sector workplaces.</w:t>
            </w:r>
          </w:p>
          <w:p w14:paraId="258A8620" w14:textId="77777777" w:rsidR="00F17551" w:rsidRPr="00657E8C" w:rsidRDefault="00F17551" w:rsidP="00F17551">
            <w:pPr>
              <w:pStyle w:val="ARtabletext"/>
            </w:pPr>
            <w:r w:rsidRPr="00657E8C">
              <w:t>The department’s OHS Governance and Consultation Committees continued to lead proactive and preventive activity to protect and improve the mental and physical health, safety and wellbeing of staff.</w:t>
            </w:r>
          </w:p>
          <w:p w14:paraId="4E484201" w14:textId="77777777" w:rsidR="00F17551" w:rsidRPr="00657E8C" w:rsidRDefault="00F17551" w:rsidP="00F17551">
            <w:pPr>
              <w:pStyle w:val="ARtabletext"/>
            </w:pPr>
            <w:r w:rsidRPr="00657E8C">
              <w:t>Review and development of the department’s health and safety management system content incorporates consultation with department employees, health and safety representatives and senior management.</w:t>
            </w:r>
          </w:p>
          <w:p w14:paraId="45190C09" w14:textId="77777777" w:rsidR="00F17551" w:rsidRPr="00657E8C" w:rsidRDefault="00F17551" w:rsidP="00F17551">
            <w:pPr>
              <w:pStyle w:val="ARtabletext"/>
            </w:pPr>
            <w:r w:rsidRPr="00657E8C">
              <w:t>Workers compensation performance reports are provided to senior leaders on a monthly basis. Middle and senior managers have desktop access to health and safety performance reports through the department’s corporate reporting tool.</w:t>
            </w:r>
          </w:p>
        </w:tc>
      </w:tr>
      <w:tr w:rsidR="00F17551" w:rsidRPr="00657E8C" w14:paraId="53F33A05" w14:textId="77777777" w:rsidTr="00F17551">
        <w:trPr>
          <w:cantSplit/>
          <w:trHeight w:val="130"/>
        </w:trPr>
        <w:tc>
          <w:tcPr>
            <w:tcW w:w="1372" w:type="dxa"/>
          </w:tcPr>
          <w:p w14:paraId="3D6BD5AE" w14:textId="77777777" w:rsidR="00F17551" w:rsidRPr="00657E8C" w:rsidRDefault="00F17551" w:rsidP="00F17551">
            <w:pPr>
              <w:pStyle w:val="ARtabletext"/>
            </w:pPr>
            <w:r w:rsidRPr="00657E8C">
              <w:t>Consultation and participation</w:t>
            </w:r>
          </w:p>
        </w:tc>
        <w:tc>
          <w:tcPr>
            <w:tcW w:w="2451" w:type="dxa"/>
          </w:tcPr>
          <w:p w14:paraId="6CF14EF2" w14:textId="77777777" w:rsidR="00F17551" w:rsidRPr="00657E8C" w:rsidRDefault="00F17551" w:rsidP="00F17551">
            <w:pPr>
              <w:pStyle w:val="ARtabletext"/>
            </w:pPr>
            <w:r w:rsidRPr="00657E8C">
              <w:t>Designated work group structures and issue resolution procedures</w:t>
            </w:r>
          </w:p>
        </w:tc>
        <w:tc>
          <w:tcPr>
            <w:tcW w:w="5816" w:type="dxa"/>
          </w:tcPr>
          <w:p w14:paraId="006E98D9" w14:textId="77777777" w:rsidR="00F17551" w:rsidRPr="00657E8C" w:rsidRDefault="00F17551" w:rsidP="00F17551">
            <w:pPr>
              <w:pStyle w:val="ARtabletext"/>
            </w:pPr>
            <w:r w:rsidRPr="00657E8C">
              <w:t>The department has in place a comprehensive cascading health and safety consultation structure comprising committees at the area, divisional and statewide level which all meet quarterly. Committee meetings are chaired by relevant Deputy Secretaries and Directors and follow a coordinated schedule to ensure timely escalation and resolution of any identified issues.</w:t>
            </w:r>
          </w:p>
          <w:p w14:paraId="2DEA64EC" w14:textId="77777777" w:rsidR="00F17551" w:rsidRPr="00657E8C" w:rsidRDefault="00F17551" w:rsidP="00F17551">
            <w:pPr>
              <w:pStyle w:val="ARtabletext"/>
            </w:pPr>
            <w:r w:rsidRPr="00657E8C">
              <w:t xml:space="preserve">The department continues to maintain an extensive network of </w:t>
            </w:r>
            <w:r w:rsidR="00DD35F7" w:rsidRPr="00657E8C">
              <w:t>498</w:t>
            </w:r>
            <w:r w:rsidR="00DD35F7">
              <w:t> </w:t>
            </w:r>
            <w:r w:rsidRPr="00657E8C">
              <w:t>designated work groups with 404 health and safety representatives and 138 designated management representatives.</w:t>
            </w:r>
          </w:p>
          <w:p w14:paraId="142E6C08" w14:textId="77777777" w:rsidR="00F17551" w:rsidRPr="00657E8C" w:rsidRDefault="00F17551" w:rsidP="00F17551">
            <w:pPr>
              <w:pStyle w:val="ARtabletext"/>
            </w:pPr>
            <w:r w:rsidRPr="00657E8C">
              <w:t>The department has a model procedure for managers and employees to follow in resolving health and safety issues identified in department workplaces.</w:t>
            </w:r>
          </w:p>
        </w:tc>
      </w:tr>
      <w:tr w:rsidR="00F17551" w:rsidRPr="00657E8C" w14:paraId="0C2D68DE" w14:textId="77777777" w:rsidTr="00F17551">
        <w:trPr>
          <w:cantSplit/>
          <w:trHeight w:val="340"/>
        </w:trPr>
        <w:tc>
          <w:tcPr>
            <w:tcW w:w="1372" w:type="dxa"/>
          </w:tcPr>
          <w:p w14:paraId="3505C279" w14:textId="77777777" w:rsidR="00F17551" w:rsidRPr="00657E8C" w:rsidRDefault="00F17551" w:rsidP="00F17551">
            <w:pPr>
              <w:pStyle w:val="ARtabletext"/>
            </w:pPr>
            <w:r w:rsidRPr="00657E8C">
              <w:t>Risk management</w:t>
            </w:r>
          </w:p>
        </w:tc>
        <w:tc>
          <w:tcPr>
            <w:tcW w:w="2451" w:type="dxa"/>
          </w:tcPr>
          <w:p w14:paraId="39026649" w14:textId="77777777" w:rsidR="00F17551" w:rsidRPr="00657E8C" w:rsidRDefault="00F17551" w:rsidP="00F17551">
            <w:pPr>
              <w:pStyle w:val="ARtabletext"/>
            </w:pPr>
            <w:r w:rsidRPr="00657E8C">
              <w:t>Regular internal audits conducted and issues identified and actioned</w:t>
            </w:r>
          </w:p>
        </w:tc>
        <w:tc>
          <w:tcPr>
            <w:tcW w:w="5816" w:type="dxa"/>
          </w:tcPr>
          <w:p w14:paraId="75D0ADE2" w14:textId="77777777" w:rsidR="008D124E" w:rsidRDefault="00F17551" w:rsidP="00F17551">
            <w:pPr>
              <w:pStyle w:val="ARtabletext"/>
            </w:pPr>
            <w:r w:rsidRPr="00657E8C">
              <w:t xml:space="preserve">The department implemented a new electronic employee health and safety incident reporting system (eDINMAR) in all locations. This system has resulted in increased rates of reporting, greater accountability and </w:t>
            </w:r>
            <w:r w:rsidR="0060678B">
              <w:t>timelier</w:t>
            </w:r>
            <w:r w:rsidRPr="00657E8C">
              <w:t xml:space="preserve"> follow</w:t>
            </w:r>
            <w:r w:rsidR="0060678B">
              <w:t>-</w:t>
            </w:r>
            <w:r w:rsidRPr="00657E8C">
              <w:t>up and resolution of reported hazards and risks.</w:t>
            </w:r>
          </w:p>
          <w:p w14:paraId="1DFF06AE" w14:textId="0B206BB5" w:rsidR="00F17551" w:rsidRPr="00657E8C" w:rsidRDefault="00F17551" w:rsidP="00F17551">
            <w:pPr>
              <w:pStyle w:val="ARtabletext"/>
            </w:pPr>
            <w:r w:rsidRPr="00657E8C">
              <w:t>The department has comprehensive procedures and tools for assessing and managing key risks and for undertaking regular workplace inspections.</w:t>
            </w:r>
          </w:p>
          <w:p w14:paraId="5BB00E9C" w14:textId="77777777" w:rsidR="00F17551" w:rsidRPr="00657E8C" w:rsidRDefault="00F17551" w:rsidP="00F17551">
            <w:pPr>
              <w:pStyle w:val="ARtabletext"/>
            </w:pPr>
            <w:r w:rsidRPr="00657E8C">
              <w:t xml:space="preserve">WorkSafe made 290 visits to department workplaces and issued </w:t>
            </w:r>
            <w:r w:rsidR="00DD35F7" w:rsidRPr="00657E8C">
              <w:t>25</w:t>
            </w:r>
            <w:r w:rsidR="00DD35F7">
              <w:t> </w:t>
            </w:r>
            <w:r w:rsidR="0035134C">
              <w:t>i</w:t>
            </w:r>
            <w:r w:rsidRPr="00657E8C">
              <w:t xml:space="preserve">mprovement </w:t>
            </w:r>
            <w:r w:rsidR="0035134C">
              <w:t>n</w:t>
            </w:r>
            <w:r w:rsidRPr="00657E8C">
              <w:t xml:space="preserve">otices. There was </w:t>
            </w:r>
            <w:r w:rsidR="0035134C">
              <w:t>one</w:t>
            </w:r>
            <w:r w:rsidR="0035134C" w:rsidRPr="00657E8C">
              <w:t xml:space="preserve"> </w:t>
            </w:r>
            <w:r w:rsidR="0035134C">
              <w:t>p</w:t>
            </w:r>
            <w:r w:rsidRPr="00657E8C">
              <w:t xml:space="preserve">rovisional </w:t>
            </w:r>
            <w:r w:rsidR="0035134C">
              <w:t>i</w:t>
            </w:r>
            <w:r w:rsidRPr="00657E8C">
              <w:t xml:space="preserve">mprovement </w:t>
            </w:r>
            <w:r w:rsidR="0035134C">
              <w:t>n</w:t>
            </w:r>
            <w:r w:rsidRPr="00657E8C">
              <w:t>otice issued by health and safety representatives.</w:t>
            </w:r>
          </w:p>
        </w:tc>
      </w:tr>
      <w:tr w:rsidR="00F17551" w:rsidRPr="00657E8C" w14:paraId="5BB9DD51" w14:textId="77777777" w:rsidTr="00F17551">
        <w:trPr>
          <w:cantSplit/>
          <w:trHeight w:val="402"/>
        </w:trPr>
        <w:tc>
          <w:tcPr>
            <w:tcW w:w="1372" w:type="dxa"/>
          </w:tcPr>
          <w:p w14:paraId="451CB93B" w14:textId="77777777" w:rsidR="00F17551" w:rsidRPr="00657E8C" w:rsidRDefault="00F17551" w:rsidP="00F17551">
            <w:pPr>
              <w:pStyle w:val="ARtabletext"/>
            </w:pPr>
            <w:r w:rsidRPr="00657E8C">
              <w:t>Training</w:t>
            </w:r>
          </w:p>
        </w:tc>
        <w:tc>
          <w:tcPr>
            <w:tcW w:w="2451" w:type="dxa"/>
          </w:tcPr>
          <w:p w14:paraId="79FAE931" w14:textId="77777777" w:rsidR="00F17551" w:rsidRPr="00657E8C" w:rsidRDefault="00F17551" w:rsidP="00F17551">
            <w:pPr>
              <w:pStyle w:val="ARtabletext"/>
            </w:pPr>
            <w:r w:rsidRPr="00657E8C">
              <w:t xml:space="preserve">Managers, health and safety representatives and other staff trained </w:t>
            </w:r>
          </w:p>
        </w:tc>
        <w:tc>
          <w:tcPr>
            <w:tcW w:w="5816" w:type="dxa"/>
          </w:tcPr>
          <w:p w14:paraId="29D0F80F" w14:textId="77777777" w:rsidR="00F17551" w:rsidRPr="00657E8C" w:rsidRDefault="00F17551" w:rsidP="00F17551">
            <w:pPr>
              <w:pStyle w:val="ARtabletext"/>
            </w:pPr>
            <w:r w:rsidRPr="00657E8C">
              <w:t xml:space="preserve">The department delivered </w:t>
            </w:r>
            <w:r w:rsidRPr="00C33120">
              <w:rPr>
                <w:iCs/>
              </w:rPr>
              <w:t>Leading with Respect</w:t>
            </w:r>
            <w:r w:rsidR="0035134C">
              <w:rPr>
                <w:iCs/>
              </w:rPr>
              <w:t>:</w:t>
            </w:r>
            <w:r w:rsidRPr="0035134C">
              <w:rPr>
                <w:iCs/>
              </w:rPr>
              <w:t xml:space="preserve"> </w:t>
            </w:r>
            <w:r w:rsidRPr="00C33120">
              <w:rPr>
                <w:iCs/>
              </w:rPr>
              <w:t>Managing for team wellbeing</w:t>
            </w:r>
            <w:r w:rsidRPr="00657E8C">
              <w:t xml:space="preserve"> programs to support ongoing implementation of the Mental Health and Wellbeing Charter</w:t>
            </w:r>
            <w:r w:rsidR="0060678B">
              <w:t>,</w:t>
            </w:r>
            <w:r w:rsidRPr="00657E8C">
              <w:t xml:space="preserve"> with half of all people managers having completed the program.</w:t>
            </w:r>
          </w:p>
          <w:p w14:paraId="50C929A5" w14:textId="77777777" w:rsidR="00F17551" w:rsidRPr="00657E8C" w:rsidRDefault="00F17551" w:rsidP="00F17551">
            <w:pPr>
              <w:pStyle w:val="ARtabletext"/>
            </w:pPr>
            <w:r w:rsidRPr="00657E8C">
              <w:t>To further support implementation of the Charter, mental health and wellbeing training was delivered to 100</w:t>
            </w:r>
            <w:r w:rsidR="009E5469">
              <w:t xml:space="preserve"> </w:t>
            </w:r>
            <w:r w:rsidR="0035134C">
              <w:t>per cent</w:t>
            </w:r>
            <w:r w:rsidR="0035134C" w:rsidRPr="00657E8C">
              <w:t xml:space="preserve"> </w:t>
            </w:r>
            <w:r w:rsidRPr="00657E8C">
              <w:t>of operational executives and over 90</w:t>
            </w:r>
            <w:r w:rsidR="009E5469">
              <w:t xml:space="preserve"> </w:t>
            </w:r>
            <w:r w:rsidR="0035134C">
              <w:t>per cent</w:t>
            </w:r>
            <w:r w:rsidR="0035134C" w:rsidRPr="00657E8C">
              <w:t xml:space="preserve"> </w:t>
            </w:r>
            <w:r w:rsidRPr="00657E8C">
              <w:t>of executives in central office precinct.</w:t>
            </w:r>
          </w:p>
          <w:p w14:paraId="504F82BF" w14:textId="77777777" w:rsidR="00F17551" w:rsidRPr="00657E8C" w:rsidRDefault="00F17551" w:rsidP="00F17551">
            <w:pPr>
              <w:pStyle w:val="ARtabletext"/>
            </w:pPr>
            <w:r w:rsidRPr="00657E8C">
              <w:t>Mental health and wellbeing training was made available to disability accommodation services staff prior to their transition to the non-government sector.</w:t>
            </w:r>
          </w:p>
          <w:p w14:paraId="1557B121" w14:textId="77777777" w:rsidR="00F17551" w:rsidRPr="00657E8C" w:rsidRDefault="00F17551" w:rsidP="00F17551">
            <w:pPr>
              <w:pStyle w:val="ARtabletext"/>
            </w:pPr>
            <w:r w:rsidRPr="00657E8C">
              <w:t xml:space="preserve">The department conducted an in-depth review and redesign of the primary prevention and management of occupational violence and aggression training program, </w:t>
            </w:r>
            <w:r w:rsidRPr="00C33120">
              <w:rPr>
                <w:iCs/>
              </w:rPr>
              <w:t xml:space="preserve">Planning for </w:t>
            </w:r>
            <w:r w:rsidR="0035134C">
              <w:rPr>
                <w:iCs/>
              </w:rPr>
              <w:t>Y</w:t>
            </w:r>
            <w:r w:rsidRPr="00C33120">
              <w:rPr>
                <w:iCs/>
              </w:rPr>
              <w:t>our Safety</w:t>
            </w:r>
            <w:r w:rsidRPr="00657E8C">
              <w:t>.</w:t>
            </w:r>
          </w:p>
          <w:p w14:paraId="60330D5D" w14:textId="77777777" w:rsidR="00F17551" w:rsidRPr="00657E8C" w:rsidRDefault="00F17551" w:rsidP="00F17551">
            <w:pPr>
              <w:pStyle w:val="ARtabletext"/>
            </w:pPr>
            <w:r w:rsidRPr="00657E8C">
              <w:t>All health and safety representatives elected in 2018</w:t>
            </w:r>
            <w:r w:rsidR="0035134C">
              <w:t>–</w:t>
            </w:r>
            <w:r w:rsidRPr="00657E8C">
              <w:t>19 were encouraged and supported by the department to undertake the five-day health and safety representative training program.</w:t>
            </w:r>
          </w:p>
          <w:p w14:paraId="2194827A" w14:textId="77777777" w:rsidR="00F17551" w:rsidRPr="00657E8C" w:rsidRDefault="00F17551" w:rsidP="00F17551">
            <w:pPr>
              <w:pStyle w:val="ARtabletext"/>
            </w:pPr>
            <w:r w:rsidRPr="00657E8C">
              <w:t xml:space="preserve">The department conducts an annual health and safety representative forum each year as a key activity to support and recognise our elected </w:t>
            </w:r>
            <w:r w:rsidR="0035134C" w:rsidRPr="00657E8C">
              <w:t>health and safety representatives</w:t>
            </w:r>
            <w:r w:rsidRPr="00657E8C">
              <w:t>. There were approximately 130 participants at the 2018 forum.</w:t>
            </w:r>
          </w:p>
          <w:p w14:paraId="595E460E" w14:textId="77777777" w:rsidR="00F17551" w:rsidRPr="00657E8C" w:rsidRDefault="00F17551" w:rsidP="00F17551">
            <w:pPr>
              <w:pStyle w:val="ARtabletext"/>
            </w:pPr>
            <w:r w:rsidRPr="00657E8C">
              <w:t>There were four Peer Support Network training sessions delivered over the 2018</w:t>
            </w:r>
            <w:r w:rsidR="0035134C">
              <w:t>–</w:t>
            </w:r>
            <w:r w:rsidRPr="00657E8C">
              <w:t xml:space="preserve">19 year, training a total of 34 employees to be </w:t>
            </w:r>
            <w:r w:rsidR="0035134C">
              <w:t>p</w:t>
            </w:r>
            <w:r w:rsidRPr="00657E8C">
              <w:t>eers.</w:t>
            </w:r>
          </w:p>
          <w:p w14:paraId="12C92AE7" w14:textId="77777777" w:rsidR="008D124E" w:rsidRDefault="00F17551" w:rsidP="00F17551">
            <w:pPr>
              <w:pStyle w:val="ARtabletext"/>
            </w:pPr>
            <w:r w:rsidRPr="00657E8C">
              <w:t xml:space="preserve">Psychological </w:t>
            </w:r>
            <w:r w:rsidR="0035134C">
              <w:t>f</w:t>
            </w:r>
            <w:r w:rsidR="0035134C" w:rsidRPr="00657E8C">
              <w:t>irst</w:t>
            </w:r>
            <w:r w:rsidR="0035134C">
              <w:t>-a</w:t>
            </w:r>
            <w:r w:rsidRPr="00657E8C">
              <w:t>id training was delivered centrally and in all operational divisions.</w:t>
            </w:r>
            <w:r w:rsidR="008066A4" w:rsidRPr="00657E8C">
              <w:t xml:space="preserve"> </w:t>
            </w:r>
            <w:r w:rsidRPr="00657E8C">
              <w:t>A total of 79 sessions were facilitated, training 990 employees.</w:t>
            </w:r>
          </w:p>
          <w:p w14:paraId="27682852" w14:textId="61ABB199" w:rsidR="00F17551" w:rsidRPr="00657E8C" w:rsidRDefault="00F17551" w:rsidP="00F17551">
            <w:pPr>
              <w:pStyle w:val="ARtabletext"/>
            </w:pPr>
            <w:r w:rsidRPr="00657E8C">
              <w:t>Vicarious trauma workshops, managed by local Learning and Organisational Development, were conducted centrally and in operational divisions as requested or required to support managers and staff to minimise the impact of trauma on their wellbeing.</w:t>
            </w:r>
          </w:p>
          <w:p w14:paraId="61DFA495" w14:textId="77777777" w:rsidR="00F17551" w:rsidRPr="00657E8C" w:rsidRDefault="00F17551" w:rsidP="00F17551">
            <w:pPr>
              <w:pStyle w:val="ARtabletext"/>
            </w:pPr>
            <w:r w:rsidRPr="00657E8C">
              <w:t xml:space="preserve">Quarterly forums were conducted for internal health and safety and workers compensation professional staff </w:t>
            </w:r>
            <w:r w:rsidR="0035134C" w:rsidRPr="00657E8C">
              <w:t>including health and safety advisors, injury management coordinators and claims administrators</w:t>
            </w:r>
            <w:r w:rsidRPr="00657E8C">
              <w:t>.</w:t>
            </w:r>
          </w:p>
        </w:tc>
      </w:tr>
    </w:tbl>
    <w:p w14:paraId="046C4991" w14:textId="77777777" w:rsidR="00F17551" w:rsidRPr="00657E8C" w:rsidRDefault="00F17551" w:rsidP="00F17551">
      <w:pPr>
        <w:pStyle w:val="ARtablefootnote"/>
      </w:pPr>
      <w:bookmarkStart w:id="147" w:name="Environmental_performance_end"/>
      <w:r w:rsidRPr="00657E8C">
        <w:t>Standard claims are those that have exceeded the employer excess (days or dollars) or are open claims that have been received but have no payments at the time of extraction and may be rejected.</w:t>
      </w:r>
    </w:p>
    <w:bookmarkEnd w:id="147"/>
    <w:p w14:paraId="494EEAAF" w14:textId="77777777" w:rsidR="00F17551" w:rsidRPr="00657E8C" w:rsidRDefault="00F17551" w:rsidP="00F17551">
      <w:pPr>
        <w:pStyle w:val="ARtablefootnote"/>
      </w:pPr>
      <w:r w:rsidRPr="00657E8C">
        <w:t>A time-lost claim is one with one or more days compensation paid by the Victorian WorkCover Authority (that is, once the employer has paid the 10-day excess) at the time of extraction.</w:t>
      </w:r>
    </w:p>
    <w:p w14:paraId="738E1F73" w14:textId="77777777" w:rsidR="00F17551" w:rsidRPr="00800B3F" w:rsidRDefault="00F17551" w:rsidP="00F17551">
      <w:pPr>
        <w:pStyle w:val="ARtablefootnote"/>
      </w:pPr>
      <w:r w:rsidRPr="00657E8C">
        <w:t>Thirteen-week claims are claims that involve 13 weeks or more of weekly benefits paid. The 13-week measure begins at day one (that is, employer excess and Victorian WorkCover Authority payments).</w:t>
      </w:r>
    </w:p>
    <w:p w14:paraId="2E5983DA" w14:textId="5CB89B6A" w:rsidR="001D07FB" w:rsidRPr="006E277C" w:rsidRDefault="001D07FB" w:rsidP="006E277C">
      <w:pPr>
        <w:pStyle w:val="ARbody"/>
      </w:pPr>
    </w:p>
    <w:p w14:paraId="131661F4" w14:textId="77777777" w:rsidR="006E277C" w:rsidRDefault="006E277C" w:rsidP="00186E42">
      <w:pPr>
        <w:pStyle w:val="Heading1"/>
        <w:sectPr w:rsidR="006E277C" w:rsidSect="006E277C">
          <w:headerReference w:type="even" r:id="rId134"/>
          <w:headerReference w:type="default" r:id="rId135"/>
          <w:footerReference w:type="even" r:id="rId136"/>
          <w:footerReference w:type="default" r:id="rId137"/>
          <w:pgSz w:w="11906" w:h="16838" w:code="9"/>
          <w:pgMar w:top="1985" w:right="851" w:bottom="851" w:left="1418" w:header="510" w:footer="340" w:gutter="0"/>
          <w:cols w:space="454"/>
          <w:docGrid w:linePitch="360"/>
        </w:sectPr>
      </w:pPr>
    </w:p>
    <w:p w14:paraId="3B240C73" w14:textId="544C6D9F" w:rsidR="0092299C" w:rsidRPr="00657E8C" w:rsidRDefault="00E2542D" w:rsidP="00186E42">
      <w:pPr>
        <w:pStyle w:val="Heading1"/>
      </w:pPr>
      <w:bookmarkStart w:id="148" w:name="_Toc21682723"/>
      <w:r w:rsidRPr="00657E8C">
        <w:rPr>
          <w:noProof/>
          <w:lang w:eastAsia="en-AU"/>
        </w:rPr>
        <w:drawing>
          <wp:anchor distT="0" distB="0" distL="114300" distR="114300" simplePos="0" relativeHeight="251652096" behindDoc="1" locked="1" layoutInCell="1" allowOverlap="1" wp14:anchorId="7AB636F8" wp14:editId="3B67B1BE">
            <wp:simplePos x="0" y="0"/>
            <wp:positionH relativeFrom="page">
              <wp:align>right</wp:align>
            </wp:positionH>
            <wp:positionV relativeFrom="page">
              <wp:align>top</wp:align>
            </wp:positionV>
            <wp:extent cx="3132000" cy="2698920"/>
            <wp:effectExtent l="0" t="0" r="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1907417_DHHS Annual Report Section start 87x75m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2000" cy="2698920"/>
                    </a:xfrm>
                    <a:prstGeom prst="rect">
                      <a:avLst/>
                    </a:prstGeom>
                  </pic:spPr>
                </pic:pic>
              </a:graphicData>
            </a:graphic>
            <wp14:sizeRelH relativeFrom="page">
              <wp14:pctWidth>0</wp14:pctWidth>
            </wp14:sizeRelH>
            <wp14:sizeRelV relativeFrom="page">
              <wp14:pctHeight>0</wp14:pctHeight>
            </wp14:sizeRelV>
          </wp:anchor>
        </w:drawing>
      </w:r>
      <w:r w:rsidR="0092299C" w:rsidRPr="00657E8C">
        <w:t>Disclosures</w:t>
      </w:r>
      <w:bookmarkEnd w:id="148"/>
    </w:p>
    <w:p w14:paraId="70FE71D7" w14:textId="77777777" w:rsidR="00EC4A67" w:rsidRPr="00657E8C" w:rsidRDefault="00EC4A67" w:rsidP="00186E42">
      <w:pPr>
        <w:pStyle w:val="Heading1"/>
        <w:sectPr w:rsidR="00EC4A67" w:rsidRPr="00657E8C" w:rsidSect="004B3C07">
          <w:pgSz w:w="11906" w:h="16838" w:code="9"/>
          <w:pgMar w:top="3771" w:right="851" w:bottom="851" w:left="1418" w:header="510" w:footer="340" w:gutter="0"/>
          <w:cols w:space="454"/>
          <w:docGrid w:linePitch="360"/>
        </w:sectPr>
      </w:pPr>
      <w:bookmarkStart w:id="149" w:name="_Ref492905492"/>
    </w:p>
    <w:p w14:paraId="6C622BAE" w14:textId="77777777" w:rsidR="0023512C" w:rsidRPr="00657E8C" w:rsidRDefault="0023512C" w:rsidP="0023512C">
      <w:pPr>
        <w:pStyle w:val="Heading2"/>
      </w:pPr>
      <w:bookmarkStart w:id="150" w:name="_Ref525048385"/>
      <w:bookmarkStart w:id="151" w:name="_Ref492915509"/>
      <w:bookmarkEnd w:id="149"/>
      <w:r w:rsidRPr="00657E8C">
        <w:t>Local Jobs First – Victorian Industry Participation Policy</w:t>
      </w:r>
      <w:bookmarkEnd w:id="150"/>
    </w:p>
    <w:p w14:paraId="0D32A5AE" w14:textId="77777777" w:rsidR="0023512C" w:rsidRPr="00657E8C" w:rsidRDefault="0023512C" w:rsidP="0023512C">
      <w:pPr>
        <w:pStyle w:val="ARbody"/>
      </w:pPr>
      <w:r w:rsidRPr="00657E8C">
        <w:t xml:space="preserve">The </w:t>
      </w:r>
      <w:r w:rsidRPr="00657E8C">
        <w:rPr>
          <w:i/>
        </w:rPr>
        <w:t>Victorian Industry Participation Policy Act 2003</w:t>
      </w:r>
      <w:r w:rsidRPr="00657E8C">
        <w:t> requires departments and public sector bodies to report on the implementation of the Local Jobs First – Victorian Industry Participation Policy (Local Jobs First – VIPP). Departments and public sector bodies are required to apply the Local Jobs First – VIPP in all procurement activities valued at $3 million or more in metropolitan Melbourne and for statewide projects, or $1 million or more for procurement activities in regional Victoria.</w:t>
      </w:r>
    </w:p>
    <w:p w14:paraId="6B0AB43D" w14:textId="77777777" w:rsidR="0023512C" w:rsidRPr="00657E8C" w:rsidRDefault="0023512C" w:rsidP="0023512C">
      <w:pPr>
        <w:pStyle w:val="ARbody"/>
      </w:pPr>
      <w:r w:rsidRPr="00657E8C">
        <w:t xml:space="preserve">During 2018–19, the department commenced 46 Local Jobs First – VIPP applicable procurements totalling $219.45 million. Of those projects, 12 were located in regional Victoria with a commitment of 91 per cent of local content, 16 in metropolitan Melbourne with an average commitment of 80 per cent local content, and </w:t>
      </w:r>
      <w:r w:rsidR="00516327">
        <w:t>18 </w:t>
      </w:r>
      <w:r w:rsidR="00AB0D68">
        <w:t>were statewide projects</w:t>
      </w:r>
      <w:r w:rsidRPr="00657E8C">
        <w:t xml:space="preserve"> with an average</w:t>
      </w:r>
      <w:r w:rsidRPr="00657E8C">
        <w:rPr>
          <w:b/>
        </w:rPr>
        <w:t xml:space="preserve"> </w:t>
      </w:r>
      <w:r w:rsidRPr="00657E8C">
        <w:t>commitment of 94 per cent.</w:t>
      </w:r>
    </w:p>
    <w:p w14:paraId="14B17290" w14:textId="77F2430C" w:rsidR="0023512C" w:rsidRPr="00657E8C" w:rsidRDefault="0023512C" w:rsidP="0023512C">
      <w:pPr>
        <w:pStyle w:val="ARbody"/>
      </w:pPr>
      <w:r w:rsidRPr="00657E8C">
        <w:t xml:space="preserve">The outcomes expected from the implementation of the Local Jobs First – VIPP </w:t>
      </w:r>
      <w:r w:rsidR="00AB0D68">
        <w:t xml:space="preserve">in relation </w:t>
      </w:r>
      <w:r w:rsidRPr="00657E8C">
        <w:t xml:space="preserve">to these projects </w:t>
      </w:r>
      <w:r w:rsidR="00AB0D68">
        <w:t>(</w:t>
      </w:r>
      <w:r w:rsidRPr="00657E8C">
        <w:t>where information was provided</w:t>
      </w:r>
      <w:r w:rsidR="00AB0D68">
        <w:t>)</w:t>
      </w:r>
      <w:r w:rsidRPr="00657E8C">
        <w:t xml:space="preserve"> are as</w:t>
      </w:r>
      <w:r w:rsidR="006E277C">
        <w:t> </w:t>
      </w:r>
      <w:r w:rsidRPr="00657E8C">
        <w:t>follows:</w:t>
      </w:r>
    </w:p>
    <w:p w14:paraId="7684AF16" w14:textId="48994FC8" w:rsidR="0023512C" w:rsidRPr="00657E8C" w:rsidRDefault="00E900FF" w:rsidP="0023512C">
      <w:pPr>
        <w:pStyle w:val="ARbullet1"/>
      </w:pPr>
      <w:r>
        <w:t>a</w:t>
      </w:r>
      <w:r w:rsidR="0023512C" w:rsidRPr="00657E8C">
        <w:t>n average of 87 per cent of local content commitment was made</w:t>
      </w:r>
    </w:p>
    <w:p w14:paraId="5B3DE8B6" w14:textId="6A4B7C89" w:rsidR="0023512C" w:rsidRPr="00657E8C" w:rsidRDefault="00E900FF" w:rsidP="0023512C">
      <w:pPr>
        <w:pStyle w:val="ARbullet1"/>
      </w:pPr>
      <w:r>
        <w:t>a</w:t>
      </w:r>
      <w:r w:rsidR="00AB0D68" w:rsidRPr="00657E8C">
        <w:t xml:space="preserve"> </w:t>
      </w:r>
      <w:r w:rsidR="0023512C" w:rsidRPr="00657E8C">
        <w:t>total of 1,045 jobs (annualised employee equivalent (AEE)) were committed, including the</w:t>
      </w:r>
      <w:r w:rsidR="006E277C">
        <w:t> </w:t>
      </w:r>
      <w:r w:rsidR="0023512C" w:rsidRPr="00657E8C">
        <w:t>creation of 121 new jobs and the retention of</w:t>
      </w:r>
      <w:r w:rsidR="006E277C">
        <w:t> </w:t>
      </w:r>
      <w:r w:rsidR="0023512C" w:rsidRPr="00657E8C">
        <w:t>924 existing jobs (AEE)</w:t>
      </w:r>
    </w:p>
    <w:p w14:paraId="7115628F" w14:textId="2326958C" w:rsidR="0023512C" w:rsidRPr="00657E8C" w:rsidRDefault="00E900FF" w:rsidP="0023512C">
      <w:pPr>
        <w:pStyle w:val="ARbullet1"/>
      </w:pPr>
      <w:r>
        <w:t>a</w:t>
      </w:r>
      <w:r w:rsidR="00AB0D68" w:rsidRPr="00657E8C">
        <w:t xml:space="preserve"> </w:t>
      </w:r>
      <w:r w:rsidR="0023512C" w:rsidRPr="00657E8C">
        <w:t xml:space="preserve">total of 227 positions for apprentices/trainees were committed, including the creation of </w:t>
      </w:r>
      <w:r w:rsidR="00AB0D68" w:rsidRPr="00657E8C">
        <w:t>76</w:t>
      </w:r>
      <w:r w:rsidR="00AB0D68">
        <w:t> </w:t>
      </w:r>
      <w:r w:rsidR="0023512C" w:rsidRPr="00657E8C">
        <w:t>new apprenticeships/traineeships, and the retention of the remaining 151 existing apprenticeships/traineeships.</w:t>
      </w:r>
    </w:p>
    <w:p w14:paraId="5C72FCFC" w14:textId="2FB56F15" w:rsidR="0023512C" w:rsidRPr="00657E8C" w:rsidRDefault="006E277C" w:rsidP="00F94CEE">
      <w:pPr>
        <w:pStyle w:val="ARbodyafterbullets"/>
      </w:pPr>
      <w:r>
        <w:br w:type="column"/>
      </w:r>
      <w:r w:rsidR="0023512C" w:rsidRPr="00657E8C">
        <w:t xml:space="preserve">During 2018–19, the department completed </w:t>
      </w:r>
      <w:r w:rsidR="00AB0D68" w:rsidRPr="00657E8C">
        <w:t>15</w:t>
      </w:r>
      <w:r w:rsidR="00AB0D68">
        <w:t> </w:t>
      </w:r>
      <w:r w:rsidR="0023512C" w:rsidRPr="00657E8C">
        <w:t>Local Jobs First – VIPP applicable projects, collectively valued at about $223.</w:t>
      </w:r>
      <w:r w:rsidR="00AB0D68" w:rsidRPr="00657E8C">
        <w:t>33</w:t>
      </w:r>
      <w:r w:rsidR="00AB0D68">
        <w:t> </w:t>
      </w:r>
      <w:r w:rsidR="0023512C" w:rsidRPr="00657E8C">
        <w:t xml:space="preserve">million. Of these projects, six were located in regional Victoria with an average commitment of 90 per cent local content, and </w:t>
      </w:r>
      <w:r w:rsidR="00345BD9">
        <w:t>seven</w:t>
      </w:r>
      <w:r w:rsidR="00345BD9" w:rsidRPr="00657E8C">
        <w:t xml:space="preserve"> </w:t>
      </w:r>
      <w:r w:rsidR="0023512C" w:rsidRPr="00657E8C">
        <w:t>in metropolitan Melbourne</w:t>
      </w:r>
      <w:r w:rsidR="00345BD9">
        <w:t>,</w:t>
      </w:r>
      <w:r w:rsidR="0023512C" w:rsidRPr="00657E8C">
        <w:t xml:space="preserve"> representing 88 per cent of estimated local content. Two projects occurred statewide with an average commitment of 90 per cent local content.</w:t>
      </w:r>
    </w:p>
    <w:p w14:paraId="42604542" w14:textId="77777777" w:rsidR="0023512C" w:rsidRPr="00657E8C" w:rsidRDefault="0023512C" w:rsidP="0023512C">
      <w:pPr>
        <w:pStyle w:val="ARbody"/>
      </w:pPr>
      <w:r w:rsidRPr="00657E8C">
        <w:t xml:space="preserve">The outcomes reported from the implementation of the policy </w:t>
      </w:r>
      <w:r w:rsidR="00AB0D68">
        <w:t>(</w:t>
      </w:r>
      <w:r w:rsidRPr="00657E8C">
        <w:t>where information was provided</w:t>
      </w:r>
      <w:r w:rsidR="00AB0D68">
        <w:t>)</w:t>
      </w:r>
      <w:r w:rsidRPr="00657E8C">
        <w:t xml:space="preserve"> were as follows:</w:t>
      </w:r>
    </w:p>
    <w:p w14:paraId="024DDC88" w14:textId="09DF6B7A" w:rsidR="0023512C" w:rsidRPr="00657E8C" w:rsidRDefault="00E900FF" w:rsidP="0023512C">
      <w:pPr>
        <w:pStyle w:val="ARbullet1"/>
      </w:pPr>
      <w:r>
        <w:t>a</w:t>
      </w:r>
      <w:r w:rsidR="00AB0D68" w:rsidRPr="00657E8C">
        <w:t xml:space="preserve">n </w:t>
      </w:r>
      <w:r w:rsidR="0023512C" w:rsidRPr="00657E8C">
        <w:t>average of 88 per cent of local content outcome was recorded</w:t>
      </w:r>
    </w:p>
    <w:p w14:paraId="001201EF" w14:textId="41DE57E9" w:rsidR="0023512C" w:rsidRPr="00657E8C" w:rsidRDefault="00E900FF" w:rsidP="0023512C">
      <w:pPr>
        <w:pStyle w:val="ARbullet1"/>
      </w:pPr>
      <w:r>
        <w:t>a</w:t>
      </w:r>
      <w:r w:rsidR="00AB0D68" w:rsidRPr="00657E8C">
        <w:t xml:space="preserve"> </w:t>
      </w:r>
      <w:r w:rsidR="0023512C" w:rsidRPr="00657E8C">
        <w:t>total of 58 (AEE) positions were created</w:t>
      </w:r>
      <w:r w:rsidR="006E277C">
        <w:t xml:space="preserve"> </w:t>
      </w:r>
      <w:r w:rsidR="0023512C" w:rsidRPr="00657E8C">
        <w:t>and</w:t>
      </w:r>
      <w:r w:rsidR="006E277C">
        <w:t> </w:t>
      </w:r>
      <w:r w:rsidR="0023512C" w:rsidRPr="00657E8C">
        <w:t>1</w:t>
      </w:r>
      <w:r w:rsidR="00AB0D68">
        <w:t>,</w:t>
      </w:r>
      <w:r w:rsidR="0023512C" w:rsidRPr="00657E8C">
        <w:t>084 positions were retained</w:t>
      </w:r>
      <w:r w:rsidR="00AB0D68">
        <w:t>.</w:t>
      </w:r>
    </w:p>
    <w:p w14:paraId="4DE0EDF7" w14:textId="789C3411" w:rsidR="0023512C" w:rsidRPr="00657E8C" w:rsidRDefault="0023512C" w:rsidP="0023512C">
      <w:pPr>
        <w:pStyle w:val="ARbullet1"/>
      </w:pPr>
      <w:r w:rsidRPr="00657E8C">
        <w:t>39 new apprenticeships/traineeships were created, and 93 existing apprenticeships/traineeships retained.</w:t>
      </w:r>
    </w:p>
    <w:p w14:paraId="4915F9C9" w14:textId="77777777" w:rsidR="0023512C" w:rsidRPr="00657E8C" w:rsidRDefault="0023512C" w:rsidP="00F94CEE">
      <w:pPr>
        <w:pStyle w:val="ARbodyafterbullets"/>
      </w:pPr>
      <w:r w:rsidRPr="00657E8C">
        <w:t>During 2018–19, 19 projects had the minimum formal weighting of 10 per cent applied for local content in the tender evaluation of the VIPP Plan or </w:t>
      </w:r>
      <w:r w:rsidR="005620C3" w:rsidRPr="005620C3">
        <w:t xml:space="preserve">Local Industry Development Plans </w:t>
      </w:r>
      <w:r w:rsidR="005620C3">
        <w:t>(</w:t>
      </w:r>
      <w:r w:rsidRPr="00657E8C">
        <w:t>LIDP</w:t>
      </w:r>
      <w:r w:rsidR="005620C3">
        <w:t>)</w:t>
      </w:r>
      <w:r w:rsidRPr="00657E8C">
        <w:t>.</w:t>
      </w:r>
    </w:p>
    <w:p w14:paraId="6B1C73DA" w14:textId="77777777" w:rsidR="0023512C" w:rsidRPr="00657E8C" w:rsidRDefault="0023512C" w:rsidP="0023512C">
      <w:pPr>
        <w:pStyle w:val="ARbody"/>
      </w:pPr>
      <w:r w:rsidRPr="00657E8C">
        <w:t xml:space="preserve">The department commenced </w:t>
      </w:r>
      <w:r w:rsidR="00345BD9">
        <w:t>nine</w:t>
      </w:r>
      <w:r w:rsidR="00345BD9" w:rsidRPr="00657E8C">
        <w:t xml:space="preserve"> </w:t>
      </w:r>
      <w:r w:rsidRPr="00657E8C">
        <w:t>contracts with a total of 100 per cent estimated to be of local content</w:t>
      </w:r>
      <w:r w:rsidR="00AB0D68">
        <w:t>,</w:t>
      </w:r>
      <w:r w:rsidRPr="00657E8C">
        <w:t xml:space="preserve"> for which a VIPP </w:t>
      </w:r>
      <w:r w:rsidR="00AB0D68">
        <w:t>p</w:t>
      </w:r>
      <w:r w:rsidRPr="00657E8C">
        <w:t>lan or LIDP was not required, as the procurement activity was local by nature.</w:t>
      </w:r>
    </w:p>
    <w:p w14:paraId="3D955840" w14:textId="77777777" w:rsidR="0092299C" w:rsidRPr="00657E8C" w:rsidRDefault="0092299C" w:rsidP="00982027">
      <w:pPr>
        <w:pStyle w:val="Heading2"/>
      </w:pPr>
      <w:r w:rsidRPr="00657E8C">
        <w:t>Department of Health and Human</w:t>
      </w:r>
      <w:r w:rsidR="00E164EC" w:rsidRPr="00657E8C">
        <w:t xml:space="preserve"> Services compliance with </w:t>
      </w:r>
      <w:r w:rsidRPr="00657E8C">
        <w:t>DataVic access policy</w:t>
      </w:r>
      <w:bookmarkEnd w:id="151"/>
    </w:p>
    <w:p w14:paraId="25675203" w14:textId="7D71A925" w:rsidR="009979A1" w:rsidRPr="00657E8C" w:rsidRDefault="009979A1" w:rsidP="009979A1">
      <w:pPr>
        <w:pStyle w:val="ARbody"/>
      </w:pPr>
      <w:r w:rsidRPr="00657E8C">
        <w:t xml:space="preserve">Consistent with the </w:t>
      </w:r>
      <w:r w:rsidRPr="00657E8C">
        <w:rPr>
          <w:i/>
        </w:rPr>
        <w:t>DataVic access policy</w:t>
      </w:r>
      <w:r w:rsidRPr="00657E8C">
        <w:t xml:space="preserve"> issued by the Victorian Government in 2012, the information included in this annual report will be available in machine readable format at </w:t>
      </w:r>
      <w:hyperlink r:id="rId138" w:history="1">
        <w:r w:rsidRPr="00657E8C">
          <w:rPr>
            <w:rStyle w:val="Hyperlink"/>
          </w:rPr>
          <w:t>Data Vic</w:t>
        </w:r>
      </w:hyperlink>
      <w:r w:rsidRPr="00657E8C">
        <w:t xml:space="preserve"> &lt;http://www.data.vic.gov.au&gt;.</w:t>
      </w:r>
    </w:p>
    <w:p w14:paraId="07C210DD" w14:textId="1AE09DC5" w:rsidR="009979A1" w:rsidRPr="00657E8C" w:rsidRDefault="009979A1" w:rsidP="009979A1">
      <w:pPr>
        <w:pStyle w:val="ARbody"/>
      </w:pPr>
      <w:r w:rsidRPr="00657E8C">
        <w:t>At the end of 2018–19</w:t>
      </w:r>
      <w:r w:rsidR="00345BD9">
        <w:t>,</w:t>
      </w:r>
      <w:r w:rsidRPr="00657E8C">
        <w:t xml:space="preserve"> the department had </w:t>
      </w:r>
      <w:r w:rsidR="00345BD9">
        <w:t>more than</w:t>
      </w:r>
      <w:r w:rsidR="00345BD9" w:rsidRPr="00657E8C">
        <w:t xml:space="preserve"> </w:t>
      </w:r>
      <w:r w:rsidRPr="00657E8C">
        <w:t>1,300 datasets available on the Victorian Government Data Directory</w:t>
      </w:r>
      <w:r w:rsidR="008B7191">
        <w:t>.</w:t>
      </w:r>
      <w:r w:rsidRPr="00657E8C">
        <w:t xml:space="preserve"> </w:t>
      </w:r>
      <w:r w:rsidR="008B7191">
        <w:t>S</w:t>
      </w:r>
      <w:r w:rsidR="008B7191" w:rsidRPr="00657E8C">
        <w:t xml:space="preserve">ome </w:t>
      </w:r>
      <w:r w:rsidRPr="00657E8C">
        <w:t xml:space="preserve">of </w:t>
      </w:r>
      <w:r w:rsidR="008B7191">
        <w:t xml:space="preserve">these </w:t>
      </w:r>
      <w:r w:rsidRPr="00657E8C">
        <w:t>are new, and others</w:t>
      </w:r>
      <w:r w:rsidR="00AB0D68">
        <w:t xml:space="preserve"> </w:t>
      </w:r>
      <w:r w:rsidRPr="00657E8C">
        <w:t>have been amended during the</w:t>
      </w:r>
      <w:r w:rsidR="006E277C">
        <w:t> </w:t>
      </w:r>
      <w:r w:rsidRPr="00657E8C">
        <w:t>year.</w:t>
      </w:r>
    </w:p>
    <w:p w14:paraId="3B0DA49C" w14:textId="0C72E808" w:rsidR="009979A1" w:rsidRPr="00657E8C" w:rsidRDefault="009979A1" w:rsidP="009979A1">
      <w:pPr>
        <w:pStyle w:val="ARbody"/>
      </w:pPr>
      <w:r w:rsidRPr="00657E8C">
        <w:t xml:space="preserve">An extract of the department’s information asset register is published on the </w:t>
      </w:r>
      <w:hyperlink r:id="rId139" w:history="1">
        <w:r w:rsidR="00FD1371" w:rsidRPr="00657E8C">
          <w:rPr>
            <w:rStyle w:val="Hyperlink"/>
          </w:rPr>
          <w:t>d</w:t>
        </w:r>
        <w:r w:rsidRPr="00657E8C">
          <w:rPr>
            <w:rStyle w:val="Hyperlink"/>
          </w:rPr>
          <w:t>epartment’s website</w:t>
        </w:r>
      </w:hyperlink>
      <w:r w:rsidRPr="00657E8C">
        <w:t xml:space="preserve"> </w:t>
      </w:r>
      <w:r w:rsidR="00FD1371" w:rsidRPr="00657E8C">
        <w:t>&lt;</w:t>
      </w:r>
      <w:r w:rsidRPr="00657E8C">
        <w:t>https://www.dhhs.vic.gov.au/department-health-and-human-services-information-asset-register-public</w:t>
      </w:r>
      <w:r w:rsidR="00FD1371" w:rsidRPr="00657E8C">
        <w:t>&gt;</w:t>
      </w:r>
      <w:r w:rsidRPr="00657E8C">
        <w:t xml:space="preserve"> and contact details for requesting data are</w:t>
      </w:r>
      <w:r w:rsidR="006E277C">
        <w:t> </w:t>
      </w:r>
      <w:r w:rsidRPr="00657E8C">
        <w:t>included against the assets.</w:t>
      </w:r>
    </w:p>
    <w:p w14:paraId="1570C29A" w14:textId="20B312E9" w:rsidR="009979A1" w:rsidRPr="00657E8C" w:rsidRDefault="009979A1" w:rsidP="009979A1">
      <w:pPr>
        <w:pStyle w:val="ARbody"/>
      </w:pPr>
      <w:r w:rsidRPr="00657E8C">
        <w:t xml:space="preserve">Summarised data published by the </w:t>
      </w:r>
      <w:r w:rsidR="00FD1371" w:rsidRPr="00657E8C">
        <w:t>d</w:t>
      </w:r>
      <w:r w:rsidRPr="00657E8C">
        <w:t xml:space="preserve">epartment </w:t>
      </w:r>
      <w:r w:rsidR="00345BD9">
        <w:t>is</w:t>
      </w:r>
      <w:r w:rsidR="00345BD9" w:rsidRPr="00657E8C">
        <w:t xml:space="preserve"> </w:t>
      </w:r>
      <w:r w:rsidRPr="00657E8C">
        <w:t xml:space="preserve">available on numerous pages on the </w:t>
      </w:r>
      <w:r w:rsidR="00FD1371" w:rsidRPr="00657E8C">
        <w:t>d</w:t>
      </w:r>
      <w:r w:rsidRPr="00657E8C">
        <w:t>epartment’s website. A significant amount of information is accessible via:</w:t>
      </w:r>
    </w:p>
    <w:p w14:paraId="1CE168DF" w14:textId="2F3C2A7D" w:rsidR="008D124E" w:rsidRDefault="00FD1371" w:rsidP="00FD1371">
      <w:pPr>
        <w:pStyle w:val="ARbullet1"/>
      </w:pPr>
      <w:r w:rsidRPr="00657E8C">
        <w:t xml:space="preserve">the </w:t>
      </w:r>
      <w:hyperlink r:id="rId140" w:history="1">
        <w:r w:rsidRPr="00657E8C">
          <w:rPr>
            <w:rStyle w:val="Hyperlink"/>
          </w:rPr>
          <w:t xml:space="preserve">Victorian Agency for Health Information – </w:t>
        </w:r>
        <w:r w:rsidR="009979A1" w:rsidRPr="00657E8C">
          <w:rPr>
            <w:rStyle w:val="Hyperlink"/>
          </w:rPr>
          <w:t>Victorian Health Services Performance</w:t>
        </w:r>
      </w:hyperlink>
      <w:r w:rsidR="009979A1" w:rsidRPr="00657E8C">
        <w:t xml:space="preserve"> </w:t>
      </w:r>
      <w:r w:rsidRPr="00657E8C">
        <w:t>&lt;</w:t>
      </w:r>
      <w:r w:rsidR="009979A1" w:rsidRPr="00657E8C">
        <w:t>http://performance.health.vic.gov.au&gt;</w:t>
      </w:r>
    </w:p>
    <w:p w14:paraId="18DEA41E" w14:textId="3236BE00" w:rsidR="00FD1371" w:rsidRPr="00657E8C" w:rsidRDefault="00DE204B" w:rsidP="00126D91">
      <w:pPr>
        <w:pStyle w:val="ARbullet1"/>
      </w:pPr>
      <w:hyperlink r:id="rId141" w:history="1">
        <w:r w:rsidR="00FD1371" w:rsidRPr="00657E8C">
          <w:rPr>
            <w:rStyle w:val="Hyperlink"/>
          </w:rPr>
          <w:t xml:space="preserve">health.vic – </w:t>
        </w:r>
        <w:r w:rsidR="009979A1" w:rsidRPr="00657E8C">
          <w:rPr>
            <w:rStyle w:val="Hyperlink"/>
          </w:rPr>
          <w:t xml:space="preserve">Reporting, </w:t>
        </w:r>
        <w:r w:rsidR="00FD1371" w:rsidRPr="00657E8C">
          <w:rPr>
            <w:rStyle w:val="Hyperlink"/>
          </w:rPr>
          <w:t>p</w:t>
        </w:r>
        <w:r w:rsidR="009979A1" w:rsidRPr="00657E8C">
          <w:rPr>
            <w:rStyle w:val="Hyperlink"/>
          </w:rPr>
          <w:t xml:space="preserve">lanning and </w:t>
        </w:r>
        <w:r w:rsidR="00FD1371" w:rsidRPr="00657E8C">
          <w:rPr>
            <w:rStyle w:val="Hyperlink"/>
          </w:rPr>
          <w:t>d</w:t>
        </w:r>
        <w:r w:rsidR="009979A1" w:rsidRPr="00657E8C">
          <w:rPr>
            <w:rStyle w:val="Hyperlink"/>
          </w:rPr>
          <w:t>ata</w:t>
        </w:r>
      </w:hyperlink>
      <w:r w:rsidR="009979A1" w:rsidRPr="00657E8C">
        <w:t xml:space="preserve"> </w:t>
      </w:r>
      <w:r w:rsidR="00FD1371" w:rsidRPr="00657E8C">
        <w:t>&lt;</w:t>
      </w:r>
      <w:r w:rsidR="009979A1" w:rsidRPr="00657E8C">
        <w:t>https://www2.health.vic.gov.au/about/reporting-planning-data</w:t>
      </w:r>
      <w:r w:rsidR="00FD1371" w:rsidRPr="00657E8C">
        <w:t>&gt;</w:t>
      </w:r>
    </w:p>
    <w:p w14:paraId="304ACBEC" w14:textId="7923CF80" w:rsidR="009979A1" w:rsidRPr="00657E8C" w:rsidRDefault="00DE204B" w:rsidP="00126D91">
      <w:pPr>
        <w:pStyle w:val="ARbullet1"/>
      </w:pPr>
      <w:hyperlink r:id="rId142" w:history="1">
        <w:r w:rsidR="00345BD9">
          <w:rPr>
            <w:rStyle w:val="Hyperlink"/>
          </w:rPr>
          <w:t>h</w:t>
        </w:r>
        <w:r w:rsidR="00FD1371" w:rsidRPr="00657E8C">
          <w:rPr>
            <w:rStyle w:val="Hyperlink"/>
          </w:rPr>
          <w:t xml:space="preserve">ealth.vic – </w:t>
        </w:r>
        <w:r w:rsidR="009979A1" w:rsidRPr="00657E8C">
          <w:rPr>
            <w:rStyle w:val="Hyperlink"/>
          </w:rPr>
          <w:t>Public health</w:t>
        </w:r>
      </w:hyperlink>
      <w:r w:rsidR="009979A1" w:rsidRPr="00657E8C">
        <w:t xml:space="preserve"> </w:t>
      </w:r>
      <w:r w:rsidR="00FD1371" w:rsidRPr="00657E8C">
        <w:t>&lt;</w:t>
      </w:r>
      <w:r w:rsidR="009979A1" w:rsidRPr="00657E8C">
        <w:t>https://www2.health.vic.gov.au/public-health</w:t>
      </w:r>
      <w:r w:rsidR="00FD1371" w:rsidRPr="00657E8C">
        <w:t>&gt;</w:t>
      </w:r>
    </w:p>
    <w:p w14:paraId="407DD8FA" w14:textId="6DDC68F8" w:rsidR="009979A1" w:rsidRPr="00657E8C" w:rsidRDefault="00DE204B" w:rsidP="00FD1371">
      <w:pPr>
        <w:pStyle w:val="ARbullet1"/>
      </w:pPr>
      <w:hyperlink r:id="rId143" w:history="1">
        <w:r w:rsidR="00FD1371" w:rsidRPr="00657E8C">
          <w:rPr>
            <w:rStyle w:val="Hyperlink"/>
          </w:rPr>
          <w:t xml:space="preserve">Health and Human Services – </w:t>
        </w:r>
        <w:r w:rsidR="009979A1" w:rsidRPr="00657E8C">
          <w:rPr>
            <w:rStyle w:val="Hyperlink"/>
          </w:rPr>
          <w:t xml:space="preserve">Reports, </w:t>
        </w:r>
        <w:r w:rsidR="00345BD9">
          <w:rPr>
            <w:rStyle w:val="Hyperlink"/>
          </w:rPr>
          <w:t>r</w:t>
        </w:r>
        <w:r w:rsidR="009979A1" w:rsidRPr="00657E8C">
          <w:rPr>
            <w:rStyle w:val="Hyperlink"/>
          </w:rPr>
          <w:t xml:space="preserve">eviews </w:t>
        </w:r>
        <w:r w:rsidR="00345BD9">
          <w:rPr>
            <w:rStyle w:val="Hyperlink"/>
          </w:rPr>
          <w:t>and</w:t>
        </w:r>
        <w:r w:rsidR="00345BD9" w:rsidRPr="00657E8C">
          <w:rPr>
            <w:rStyle w:val="Hyperlink"/>
          </w:rPr>
          <w:t xml:space="preserve"> </w:t>
        </w:r>
        <w:r w:rsidR="009979A1" w:rsidRPr="00657E8C">
          <w:rPr>
            <w:rStyle w:val="Hyperlink"/>
          </w:rPr>
          <w:t>Data</w:t>
        </w:r>
      </w:hyperlink>
      <w:r w:rsidR="009979A1" w:rsidRPr="00657E8C">
        <w:t xml:space="preserve"> </w:t>
      </w:r>
      <w:r w:rsidR="00FD1371" w:rsidRPr="00657E8C">
        <w:t>&lt;</w:t>
      </w:r>
      <w:r w:rsidR="009979A1" w:rsidRPr="00657E8C">
        <w:t>https://dhhs.vic.gov.au/publications/reports-reviews-data</w:t>
      </w:r>
      <w:r w:rsidR="00FD1371" w:rsidRPr="00657E8C">
        <w:t>&gt;</w:t>
      </w:r>
      <w:r w:rsidR="009979A1" w:rsidRPr="00657E8C">
        <w:t xml:space="preserve"> for corporate and human services information</w:t>
      </w:r>
      <w:r w:rsidR="00FD1371" w:rsidRPr="00657E8C">
        <w:t>.</w:t>
      </w:r>
    </w:p>
    <w:p w14:paraId="36F9CA29" w14:textId="77777777" w:rsidR="009979A1" w:rsidRPr="00657E8C" w:rsidRDefault="009979A1" w:rsidP="00C33120">
      <w:pPr>
        <w:pStyle w:val="ARbodyafterbullets"/>
      </w:pPr>
      <w:r w:rsidRPr="00657E8C">
        <w:t xml:space="preserve">The websites above </w:t>
      </w:r>
      <w:r w:rsidRPr="00345BD9">
        <w:t>include</w:t>
      </w:r>
      <w:r w:rsidRPr="00657E8C">
        <w:t xml:space="preserve"> information about:</w:t>
      </w:r>
    </w:p>
    <w:p w14:paraId="27CD4A7B" w14:textId="77777777" w:rsidR="009979A1" w:rsidRPr="00657E8C" w:rsidRDefault="009979A1" w:rsidP="00FD1371">
      <w:pPr>
        <w:pStyle w:val="ARbullet1"/>
      </w:pPr>
      <w:r w:rsidRPr="00657E8C">
        <w:t>service provision (including health service performance)</w:t>
      </w:r>
    </w:p>
    <w:p w14:paraId="09AF2462" w14:textId="77777777" w:rsidR="009979A1" w:rsidRPr="00657E8C" w:rsidRDefault="009979A1" w:rsidP="00FD1371">
      <w:pPr>
        <w:pStyle w:val="ARbullet1"/>
      </w:pPr>
      <w:r w:rsidRPr="00657E8C">
        <w:t>public health indicators</w:t>
      </w:r>
    </w:p>
    <w:p w14:paraId="1F1372F5" w14:textId="77777777" w:rsidR="009979A1" w:rsidRPr="00657E8C" w:rsidRDefault="009979A1" w:rsidP="00FD1371">
      <w:pPr>
        <w:pStyle w:val="ARbullet1"/>
      </w:pPr>
      <w:r w:rsidRPr="00657E8C">
        <w:t>infectious disease surveillance</w:t>
      </w:r>
    </w:p>
    <w:p w14:paraId="482DF30D" w14:textId="77777777" w:rsidR="009979A1" w:rsidRPr="00657E8C" w:rsidRDefault="009979A1" w:rsidP="00FD1371">
      <w:pPr>
        <w:pStyle w:val="ARbullet1"/>
      </w:pPr>
      <w:r w:rsidRPr="00657E8C">
        <w:t>birth and birth defects</w:t>
      </w:r>
    </w:p>
    <w:p w14:paraId="25D20F98" w14:textId="77777777" w:rsidR="009979A1" w:rsidRPr="00657E8C" w:rsidRDefault="009979A1" w:rsidP="00FD1371">
      <w:pPr>
        <w:pStyle w:val="ARbullet1"/>
      </w:pPr>
      <w:r w:rsidRPr="00657E8C">
        <w:t>alcohol and drug services</w:t>
      </w:r>
    </w:p>
    <w:p w14:paraId="06ACF3D8" w14:textId="77777777" w:rsidR="009979A1" w:rsidRPr="00657E8C" w:rsidRDefault="009979A1" w:rsidP="00FD1371">
      <w:pPr>
        <w:pStyle w:val="ARbullet1"/>
      </w:pPr>
      <w:r w:rsidRPr="00657E8C">
        <w:t>housing</w:t>
      </w:r>
    </w:p>
    <w:p w14:paraId="34134CBB" w14:textId="77777777" w:rsidR="009979A1" w:rsidRPr="00657E8C" w:rsidRDefault="009979A1" w:rsidP="00FD1371">
      <w:pPr>
        <w:pStyle w:val="ARbullet1"/>
      </w:pPr>
      <w:r w:rsidRPr="00657E8C">
        <w:t>vulnerable children</w:t>
      </w:r>
    </w:p>
    <w:p w14:paraId="637382AA" w14:textId="77777777" w:rsidR="009979A1" w:rsidRPr="00657E8C" w:rsidRDefault="009979A1" w:rsidP="00FD1371">
      <w:pPr>
        <w:pStyle w:val="ARbullet1"/>
      </w:pPr>
      <w:r w:rsidRPr="00657E8C">
        <w:t>disability.</w:t>
      </w:r>
    </w:p>
    <w:p w14:paraId="05B1D193" w14:textId="6960FDFC" w:rsidR="008D124E" w:rsidRDefault="009979A1" w:rsidP="00FD1371">
      <w:pPr>
        <w:pStyle w:val="ARbodyafterbullets"/>
      </w:pPr>
      <w:r w:rsidRPr="00657E8C">
        <w:t xml:space="preserve">As well as summarised data, the </w:t>
      </w:r>
      <w:r w:rsidR="00FD1371" w:rsidRPr="00657E8C">
        <w:t>d</w:t>
      </w:r>
      <w:r w:rsidRPr="00657E8C">
        <w:t>epartment maintains a number of de-identified datasets that researchers can access. These detailed datasets contain a wealth of information to support better understanding of Victorian’s health and human services. Extracts can be requested through procedures that ensure that data are shared to the</w:t>
      </w:r>
      <w:r w:rsidR="006E277C">
        <w:t> </w:t>
      </w:r>
      <w:r w:rsidRPr="00657E8C">
        <w:t>maximum extent while protecting the privacy of</w:t>
      </w:r>
      <w:r w:rsidR="006E277C">
        <w:t> </w:t>
      </w:r>
      <w:r w:rsidRPr="00657E8C">
        <w:t>individuals.</w:t>
      </w:r>
    </w:p>
    <w:p w14:paraId="05E9F748" w14:textId="0E80FE8B" w:rsidR="009979A1" w:rsidRPr="00657E8C" w:rsidRDefault="009979A1" w:rsidP="00C33120">
      <w:pPr>
        <w:pStyle w:val="ARbody"/>
        <w:keepNext/>
        <w:keepLines/>
      </w:pPr>
      <w:bookmarkStart w:id="152" w:name="Public_health_and_wellbeing_act"/>
      <w:r w:rsidRPr="00657E8C">
        <w:t>They include the:</w:t>
      </w:r>
    </w:p>
    <w:bookmarkEnd w:id="152"/>
    <w:p w14:paraId="7BC0291E" w14:textId="77777777" w:rsidR="009979A1" w:rsidRPr="00657E8C" w:rsidRDefault="009979A1" w:rsidP="00FD1371">
      <w:pPr>
        <w:pStyle w:val="ARbullet1"/>
      </w:pPr>
      <w:r w:rsidRPr="00657E8C">
        <w:t>Victorian Admitted Episodes Dataset (VAED)</w:t>
      </w:r>
      <w:r w:rsidR="008C5CC7" w:rsidRPr="00657E8C">
        <w:t>,</w:t>
      </w:r>
      <w:r w:rsidRPr="00657E8C">
        <w:t xml:space="preserve"> which contains information about all patients admitted to Victorian hospitals</w:t>
      </w:r>
    </w:p>
    <w:p w14:paraId="4A7AF521" w14:textId="77777777" w:rsidR="008D124E" w:rsidRDefault="009979A1" w:rsidP="00FD1371">
      <w:pPr>
        <w:pStyle w:val="ARbullet1"/>
      </w:pPr>
      <w:r w:rsidRPr="00657E8C">
        <w:t>Victorian Emergency Minimum Dataset (VEMD)</w:t>
      </w:r>
      <w:r w:rsidR="008C5CC7" w:rsidRPr="00657E8C">
        <w:t>,</w:t>
      </w:r>
      <w:r w:rsidRPr="00657E8C">
        <w:t xml:space="preserve"> which contains information about emergency presentations at Victorian public hospitals</w:t>
      </w:r>
    </w:p>
    <w:p w14:paraId="297EFEC7" w14:textId="11C194ED" w:rsidR="009979A1" w:rsidRPr="00657E8C" w:rsidRDefault="009979A1" w:rsidP="00FD1371">
      <w:pPr>
        <w:pStyle w:val="ARbullet1"/>
      </w:pPr>
      <w:r w:rsidRPr="00657E8C">
        <w:t>Elective Surgery Information System (ESIS)</w:t>
      </w:r>
      <w:r w:rsidR="008C5CC7" w:rsidRPr="00657E8C">
        <w:t xml:space="preserve">, </w:t>
      </w:r>
      <w:r w:rsidRPr="00657E8C">
        <w:t>which contains information about elective surgery waiting lists from the major Victorian metropolitan and rural public hospitals</w:t>
      </w:r>
    </w:p>
    <w:p w14:paraId="0800ECAA" w14:textId="77777777" w:rsidR="009979A1" w:rsidRPr="00657E8C" w:rsidRDefault="009979A1" w:rsidP="00FD1371">
      <w:pPr>
        <w:pStyle w:val="ARbullet1"/>
      </w:pPr>
      <w:r w:rsidRPr="00657E8C">
        <w:t>Victorian Perinatal Data Collection</w:t>
      </w:r>
      <w:r w:rsidR="008C5CC7" w:rsidRPr="00657E8C">
        <w:t>,</w:t>
      </w:r>
      <w:r w:rsidRPr="00657E8C">
        <w:t xml:space="preserve"> which contains information about mothers and babies born in Victoria</w:t>
      </w:r>
    </w:p>
    <w:p w14:paraId="2683FD77" w14:textId="77777777" w:rsidR="009979A1" w:rsidRPr="00657E8C" w:rsidRDefault="009979A1" w:rsidP="00FD1371">
      <w:pPr>
        <w:pStyle w:val="ARbullet1"/>
      </w:pPr>
      <w:r w:rsidRPr="00657E8C">
        <w:t>Victorian Alcohol and Drug data collection</w:t>
      </w:r>
      <w:r w:rsidR="008C5CC7" w:rsidRPr="00657E8C">
        <w:t>,</w:t>
      </w:r>
      <w:r w:rsidRPr="00657E8C">
        <w:t xml:space="preserve"> which contains information about the clients and activities of government funded alcohol and drug treatment services</w:t>
      </w:r>
    </w:p>
    <w:p w14:paraId="222507B2" w14:textId="77777777" w:rsidR="008D124E" w:rsidRDefault="009979A1" w:rsidP="00FD1371">
      <w:pPr>
        <w:pStyle w:val="ARbullet1"/>
      </w:pPr>
      <w:r w:rsidRPr="00657E8C">
        <w:t>Victorian Mental Health Data Collection</w:t>
      </w:r>
      <w:r w:rsidR="008C5CC7" w:rsidRPr="00657E8C">
        <w:t>,</w:t>
      </w:r>
      <w:r w:rsidRPr="00657E8C">
        <w:t xml:space="preserve"> which contains information about inpatient, residential, and ambulatory community care provided by gazetted mental health facilities, and associated legal, diagnostic and outcome measurement information</w:t>
      </w:r>
    </w:p>
    <w:p w14:paraId="749FA776" w14:textId="6A1AD332" w:rsidR="009979A1" w:rsidRPr="00657E8C" w:rsidRDefault="009979A1" w:rsidP="00FD1371">
      <w:pPr>
        <w:pStyle w:val="ARbullet1"/>
      </w:pPr>
      <w:r w:rsidRPr="00657E8C">
        <w:t>Victorian Integrated Non-Admitted Health (VINAH) dataset</w:t>
      </w:r>
      <w:r w:rsidR="008C5CC7" w:rsidRPr="00657E8C">
        <w:t>,</w:t>
      </w:r>
      <w:r w:rsidRPr="00657E8C">
        <w:t xml:space="preserve"> which contains information about a range of non-admitted services provided by health services, including </w:t>
      </w:r>
      <w:r w:rsidR="008C5CC7" w:rsidRPr="00657E8C">
        <w:t xml:space="preserve">specialist clinics (outpatients), health independence programs, community palliative care, </w:t>
      </w:r>
      <w:r w:rsidRPr="00657E8C">
        <w:t>and others</w:t>
      </w:r>
    </w:p>
    <w:p w14:paraId="2BE84085" w14:textId="77777777" w:rsidR="009979A1" w:rsidRPr="00657E8C" w:rsidRDefault="009979A1" w:rsidP="00FD1371">
      <w:pPr>
        <w:pStyle w:val="ARbullet1"/>
      </w:pPr>
      <w:r w:rsidRPr="00657E8C">
        <w:t>Community Health Minimum Dataset</w:t>
      </w:r>
      <w:r w:rsidR="008C5CC7" w:rsidRPr="00657E8C">
        <w:t>,</w:t>
      </w:r>
      <w:r w:rsidRPr="00657E8C">
        <w:t xml:space="preserve"> which contains information about clients receiving government funded community health services</w:t>
      </w:r>
    </w:p>
    <w:p w14:paraId="08000277" w14:textId="77777777" w:rsidR="009979A1" w:rsidRPr="00657E8C" w:rsidRDefault="009979A1" w:rsidP="00FD1371">
      <w:pPr>
        <w:pStyle w:val="ARbullet1"/>
      </w:pPr>
      <w:r w:rsidRPr="00657E8C">
        <w:t>Dental Health Program Dataset</w:t>
      </w:r>
      <w:r w:rsidR="008C5CC7" w:rsidRPr="00657E8C">
        <w:t>,</w:t>
      </w:r>
      <w:r w:rsidRPr="00657E8C">
        <w:t xml:space="preserve"> which contains information about services provided by public dental agencies, including about clients, treatments, referrals, and waiting lists</w:t>
      </w:r>
    </w:p>
    <w:p w14:paraId="036B4209" w14:textId="77777777" w:rsidR="009979A1" w:rsidRPr="00657E8C" w:rsidRDefault="009979A1" w:rsidP="00FD1371">
      <w:pPr>
        <w:pStyle w:val="ARbullet1"/>
      </w:pPr>
      <w:r w:rsidRPr="00657E8C">
        <w:t xml:space="preserve">Notifiable Infectious Diseases Data on conditions that must be reported to the </w:t>
      </w:r>
      <w:r w:rsidR="008C5CC7" w:rsidRPr="00657E8C">
        <w:t>d</w:t>
      </w:r>
      <w:r w:rsidRPr="00657E8C">
        <w:t xml:space="preserve">epartment under the </w:t>
      </w:r>
      <w:r w:rsidRPr="00657E8C">
        <w:rPr>
          <w:i/>
        </w:rPr>
        <w:t>Public Health and Wellbeing Act 2008</w:t>
      </w:r>
      <w:r w:rsidRPr="00657E8C">
        <w:t>.</w:t>
      </w:r>
    </w:p>
    <w:p w14:paraId="44D10C97" w14:textId="77777777" w:rsidR="008C5CC7" w:rsidRPr="00657E8C" w:rsidRDefault="008C5CC7">
      <w:pPr>
        <w:rPr>
          <w:rFonts w:ascii="Arial" w:eastAsia="Times" w:hAnsi="Arial" w:cs="Arial"/>
          <w:szCs w:val="24"/>
          <w:lang w:eastAsia="en-US"/>
        </w:rPr>
      </w:pPr>
      <w:r w:rsidRPr="00657E8C">
        <w:br w:type="page"/>
      </w:r>
    </w:p>
    <w:p w14:paraId="22DCD4F9" w14:textId="77777777" w:rsidR="009979A1" w:rsidRPr="00657E8C" w:rsidRDefault="009979A1" w:rsidP="008C5CC7">
      <w:pPr>
        <w:pStyle w:val="ARbody"/>
      </w:pPr>
      <w:r w:rsidRPr="00657E8C">
        <w:t>Researchers can request access to data via:</w:t>
      </w:r>
    </w:p>
    <w:p w14:paraId="33CB7CFA" w14:textId="3BB3DB85" w:rsidR="008D124E" w:rsidRDefault="008C5CC7" w:rsidP="00FD1371">
      <w:pPr>
        <w:pStyle w:val="ARbullet1"/>
      </w:pPr>
      <w:r w:rsidRPr="00657E8C">
        <w:t>t</w:t>
      </w:r>
      <w:r w:rsidR="009979A1" w:rsidRPr="00657E8C">
        <w:t xml:space="preserve">he </w:t>
      </w:r>
      <w:hyperlink r:id="rId144" w:history="1">
        <w:r w:rsidR="009979A1" w:rsidRPr="00657E8C">
          <w:rPr>
            <w:rStyle w:val="Hyperlink"/>
          </w:rPr>
          <w:t>VAHI Data Request Hub</w:t>
        </w:r>
      </w:hyperlink>
      <w:r w:rsidR="009979A1" w:rsidRPr="00657E8C">
        <w:t xml:space="preserve"> </w:t>
      </w:r>
      <w:r w:rsidRPr="00657E8C">
        <w:t>&lt;</w:t>
      </w:r>
      <w:r w:rsidR="009979A1" w:rsidRPr="00657E8C">
        <w:t>https://vahi.freshdesk.com/support/home</w:t>
      </w:r>
      <w:r w:rsidRPr="00657E8C">
        <w:t>&gt;</w:t>
      </w:r>
    </w:p>
    <w:p w14:paraId="00350527" w14:textId="7DF946AB" w:rsidR="009979A1" w:rsidRPr="00657E8C" w:rsidRDefault="008C5CC7" w:rsidP="00FD1371">
      <w:pPr>
        <w:pStyle w:val="ARbullet1"/>
      </w:pPr>
      <w:r w:rsidRPr="00657E8C">
        <w:t>t</w:t>
      </w:r>
      <w:r w:rsidR="009979A1" w:rsidRPr="00657E8C">
        <w:t xml:space="preserve">he </w:t>
      </w:r>
      <w:hyperlink r:id="rId145" w:history="1">
        <w:r w:rsidR="009979A1" w:rsidRPr="00657E8C">
          <w:rPr>
            <w:rStyle w:val="Hyperlink"/>
          </w:rPr>
          <w:t>Centre for Victorian Data Linkages (linked data only)</w:t>
        </w:r>
      </w:hyperlink>
      <w:r w:rsidRPr="00657E8C">
        <w:t xml:space="preserve"> &lt;</w:t>
      </w:r>
      <w:r w:rsidR="009979A1" w:rsidRPr="00657E8C">
        <w:t>https://www2.health.vic.gov.au/about/reporting-planning-data/the-centre-for-victorian-data-linkage/for-researchers</w:t>
      </w:r>
      <w:r w:rsidRPr="00657E8C">
        <w:t>&gt;</w:t>
      </w:r>
    </w:p>
    <w:p w14:paraId="0D13486B" w14:textId="5F1907A7" w:rsidR="009979A1" w:rsidRPr="00657E8C" w:rsidRDefault="008C5CC7" w:rsidP="00FD1371">
      <w:pPr>
        <w:pStyle w:val="ARbullet1"/>
      </w:pPr>
      <w:r w:rsidRPr="00657E8C">
        <w:t>t</w:t>
      </w:r>
      <w:r w:rsidR="009979A1" w:rsidRPr="00657E8C">
        <w:t xml:space="preserve">he </w:t>
      </w:r>
      <w:hyperlink r:id="rId146" w:history="1">
        <w:r w:rsidR="009979A1" w:rsidRPr="00657E8C">
          <w:rPr>
            <w:rStyle w:val="Hyperlink"/>
          </w:rPr>
          <w:t>Centre for Evaluation and Research (</w:t>
        </w:r>
        <w:r w:rsidRPr="00657E8C">
          <w:rPr>
            <w:rStyle w:val="Hyperlink"/>
          </w:rPr>
          <w:t>h</w:t>
        </w:r>
        <w:r w:rsidR="009979A1" w:rsidRPr="00657E8C">
          <w:rPr>
            <w:rStyle w:val="Hyperlink"/>
          </w:rPr>
          <w:t>uman</w:t>
        </w:r>
        <w:r w:rsidR="006E277C">
          <w:rPr>
            <w:rStyle w:val="Hyperlink"/>
          </w:rPr>
          <w:t> </w:t>
        </w:r>
        <w:r w:rsidRPr="00657E8C">
          <w:rPr>
            <w:rStyle w:val="Hyperlink"/>
          </w:rPr>
          <w:t>s</w:t>
        </w:r>
        <w:r w:rsidR="009979A1" w:rsidRPr="00657E8C">
          <w:rPr>
            <w:rStyle w:val="Hyperlink"/>
          </w:rPr>
          <w:t>ervices data)</w:t>
        </w:r>
      </w:hyperlink>
      <w:r w:rsidRPr="00657E8C">
        <w:t xml:space="preserve"> &lt;</w:t>
      </w:r>
      <w:r w:rsidR="009979A1" w:rsidRPr="00657E8C">
        <w:t>https://www.dhhs.vic.gov.au/research-applications-external-organisations-and-individuals</w:t>
      </w:r>
      <w:r w:rsidRPr="00657E8C">
        <w:t>&gt;</w:t>
      </w:r>
    </w:p>
    <w:p w14:paraId="37CDDA89" w14:textId="67DE0503" w:rsidR="009979A1" w:rsidRPr="00657E8C" w:rsidRDefault="008C5CC7" w:rsidP="00FD1371">
      <w:pPr>
        <w:pStyle w:val="ARbullet1"/>
      </w:pPr>
      <w:r w:rsidRPr="00657E8C">
        <w:t>c</w:t>
      </w:r>
      <w:r w:rsidR="009979A1" w:rsidRPr="00657E8C">
        <w:t xml:space="preserve">ontacting the </w:t>
      </w:r>
      <w:r w:rsidRPr="00657E8C">
        <w:t>k</w:t>
      </w:r>
      <w:r w:rsidR="009979A1" w:rsidRPr="00657E8C">
        <w:t xml:space="preserve">ey </w:t>
      </w:r>
      <w:r w:rsidRPr="00657E8C">
        <w:t>c</w:t>
      </w:r>
      <w:r w:rsidR="009979A1" w:rsidRPr="00657E8C">
        <w:t xml:space="preserve">ontact or </w:t>
      </w:r>
      <w:r w:rsidRPr="00657E8C">
        <w:t>i</w:t>
      </w:r>
      <w:r w:rsidR="009979A1" w:rsidRPr="00657E8C">
        <w:t xml:space="preserve">nformation </w:t>
      </w:r>
      <w:r w:rsidRPr="00657E8C">
        <w:t>a</w:t>
      </w:r>
      <w:r w:rsidR="009979A1" w:rsidRPr="00657E8C">
        <w:t>dministrator recorded against the dataset in</w:t>
      </w:r>
      <w:r w:rsidR="006E277C">
        <w:t> </w:t>
      </w:r>
      <w:r w:rsidR="009979A1" w:rsidRPr="00657E8C">
        <w:t>the</w:t>
      </w:r>
      <w:r w:rsidR="006E277C">
        <w:t> </w:t>
      </w:r>
      <w:r w:rsidR="009979A1" w:rsidRPr="00657E8C">
        <w:t>Information Asset Register.</w:t>
      </w:r>
    </w:p>
    <w:p w14:paraId="6F457B52" w14:textId="77777777" w:rsidR="009979A1" w:rsidRPr="00657E8C" w:rsidRDefault="009979A1" w:rsidP="008C5CC7">
      <w:pPr>
        <w:pStyle w:val="ARbodyafterbullets"/>
      </w:pPr>
      <w:r w:rsidRPr="00657E8C">
        <w:t xml:space="preserve">Victorian health and human services data </w:t>
      </w:r>
      <w:r w:rsidR="00AB0D68">
        <w:t>is</w:t>
      </w:r>
      <w:r w:rsidR="00AB0D68" w:rsidRPr="00657E8C">
        <w:t xml:space="preserve"> </w:t>
      </w:r>
      <w:r w:rsidRPr="00657E8C">
        <w:t>also made available by other agencies, such as:</w:t>
      </w:r>
    </w:p>
    <w:p w14:paraId="5798E73B" w14:textId="5E47837C" w:rsidR="009979A1" w:rsidRPr="00657E8C" w:rsidRDefault="00DE204B" w:rsidP="008C5CC7">
      <w:pPr>
        <w:pStyle w:val="ARbullet1"/>
      </w:pPr>
      <w:hyperlink r:id="rId147" w:history="1">
        <w:r w:rsidR="009979A1" w:rsidRPr="00657E8C">
          <w:rPr>
            <w:rStyle w:val="Hyperlink"/>
          </w:rPr>
          <w:t>Cancer Council Victoria</w:t>
        </w:r>
      </w:hyperlink>
      <w:r w:rsidR="009979A1" w:rsidRPr="00657E8C">
        <w:t xml:space="preserve"> </w:t>
      </w:r>
      <w:r w:rsidR="008C5CC7" w:rsidRPr="00657E8C">
        <w:t>&lt;</w:t>
      </w:r>
      <w:r w:rsidR="009979A1" w:rsidRPr="00657E8C">
        <w:t>http://www.cancervic.org.au/research/</w:t>
      </w:r>
      <w:r w:rsidR="006E277C">
        <w:br/>
      </w:r>
      <w:r w:rsidR="009979A1" w:rsidRPr="00657E8C">
        <w:t>registry-statistics/statistics-data</w:t>
      </w:r>
      <w:r w:rsidR="008C5CC7" w:rsidRPr="00657E8C">
        <w:t>&gt;</w:t>
      </w:r>
    </w:p>
    <w:p w14:paraId="1FEBB8BF" w14:textId="2E494CF5" w:rsidR="009979A1" w:rsidRPr="00657E8C" w:rsidRDefault="00DE204B" w:rsidP="008C5CC7">
      <w:pPr>
        <w:pStyle w:val="ARbullet1"/>
      </w:pPr>
      <w:hyperlink r:id="rId148" w:history="1">
        <w:r w:rsidR="009979A1" w:rsidRPr="00657E8C">
          <w:rPr>
            <w:rStyle w:val="Hyperlink"/>
          </w:rPr>
          <w:t>Australian Institute of Health and Welfare</w:t>
        </w:r>
      </w:hyperlink>
      <w:r w:rsidR="009979A1" w:rsidRPr="00657E8C">
        <w:t xml:space="preserve"> </w:t>
      </w:r>
      <w:r w:rsidR="008C5CC7" w:rsidRPr="00657E8C">
        <w:t>&lt;</w:t>
      </w:r>
      <w:r w:rsidR="009979A1" w:rsidRPr="00657E8C">
        <w:t>http://www.aihw.gov.au/data</w:t>
      </w:r>
      <w:r w:rsidR="008C5CC7" w:rsidRPr="00657E8C">
        <w:t>&gt;</w:t>
      </w:r>
      <w:r w:rsidR="009979A1" w:rsidRPr="00657E8C">
        <w:t xml:space="preserve"> and </w:t>
      </w:r>
      <w:hyperlink r:id="rId149" w:history="1">
        <w:r w:rsidR="009979A1" w:rsidRPr="00657E8C">
          <w:rPr>
            <w:rStyle w:val="Hyperlink"/>
          </w:rPr>
          <w:t>MyHospitals</w:t>
        </w:r>
      </w:hyperlink>
      <w:r w:rsidR="009979A1" w:rsidRPr="00657E8C">
        <w:t xml:space="preserve"> </w:t>
      </w:r>
      <w:r w:rsidR="008C5CC7" w:rsidRPr="00657E8C">
        <w:t>&lt;</w:t>
      </w:r>
      <w:r w:rsidR="009979A1" w:rsidRPr="00657E8C">
        <w:t>http://www.myhospitals.gov.au</w:t>
      </w:r>
      <w:r w:rsidR="008C5CC7" w:rsidRPr="00657E8C">
        <w:t>&gt;</w:t>
      </w:r>
      <w:r w:rsidR="00AB0D68">
        <w:t>.</w:t>
      </w:r>
    </w:p>
    <w:p w14:paraId="311B49F5" w14:textId="77777777" w:rsidR="006E4F16" w:rsidRDefault="006E4F16" w:rsidP="006E4F16">
      <w:pPr>
        <w:pStyle w:val="Heading2"/>
      </w:pPr>
      <w:bookmarkStart w:id="153" w:name="_Hlk18488485"/>
      <w:bookmarkStart w:id="154" w:name="_Ref492895200"/>
      <w:r w:rsidRPr="006E4F16">
        <w:t>Data Governance and Information Technology subcommittee</w:t>
      </w:r>
    </w:p>
    <w:p w14:paraId="7EF11C49" w14:textId="632459F7" w:rsidR="00EB7B51" w:rsidRPr="00657E8C" w:rsidRDefault="00EB7B51" w:rsidP="00EB7B51">
      <w:pPr>
        <w:pStyle w:val="ARbody"/>
      </w:pPr>
      <w:r w:rsidRPr="00657E8C">
        <w:t>(previously known as Business Technology and</w:t>
      </w:r>
      <w:r w:rsidR="006E277C">
        <w:t> </w:t>
      </w:r>
      <w:r w:rsidRPr="00657E8C">
        <w:t>Information Management Subcommittee)</w:t>
      </w:r>
    </w:p>
    <w:p w14:paraId="02D70606" w14:textId="77777777" w:rsidR="00EB7B51" w:rsidRPr="00657E8C" w:rsidRDefault="00EB7B51" w:rsidP="00EB7B51">
      <w:pPr>
        <w:pStyle w:val="ARbody"/>
      </w:pPr>
      <w:r w:rsidRPr="00657E8C">
        <w:t xml:space="preserve">The Data Governance and Information Technology (DGIT) subcommittee provides stewardship of the department’s business technology and information </w:t>
      </w:r>
      <w:r w:rsidR="00AB0D68" w:rsidRPr="00657E8C">
        <w:t>management</w:t>
      </w:r>
      <w:r w:rsidR="00AB0D68">
        <w:t>–</w:t>
      </w:r>
      <w:r w:rsidRPr="00657E8C">
        <w:t>related matters, and oversees the coordinated, outcome-focused approach to strategy and policy, prioritisation and assurance across business technology and information management for the department.</w:t>
      </w:r>
    </w:p>
    <w:p w14:paraId="0E0EBE11" w14:textId="77777777" w:rsidR="00EB7B51" w:rsidRPr="00657E8C" w:rsidRDefault="00EB7B51" w:rsidP="00EB7B51">
      <w:pPr>
        <w:pStyle w:val="ARbody"/>
      </w:pPr>
      <w:r w:rsidRPr="00657E8C">
        <w:t>The DGIT subcommittee’s role includes:</w:t>
      </w:r>
    </w:p>
    <w:p w14:paraId="669E5A42" w14:textId="049C47C7" w:rsidR="00EB7B51" w:rsidRPr="00657E8C" w:rsidRDefault="0091422B" w:rsidP="00EB7B51">
      <w:pPr>
        <w:pStyle w:val="ARbullet1"/>
      </w:pPr>
      <w:r w:rsidRPr="00657E8C">
        <w:t>o</w:t>
      </w:r>
      <w:r w:rsidR="00EB7B51" w:rsidRPr="00657E8C">
        <w:t xml:space="preserve">verseeing and directing the department’s overarching </w:t>
      </w:r>
      <w:r w:rsidR="00415710">
        <w:t>b</w:t>
      </w:r>
      <w:r w:rsidR="006E4F16" w:rsidRPr="00415710">
        <w:t xml:space="preserve">usiness technology strategy </w:t>
      </w:r>
      <w:r w:rsidR="006E277C">
        <w:br/>
      </w:r>
      <w:r w:rsidR="006E4F16" w:rsidRPr="00415710">
        <w:t xml:space="preserve">2018–2020 and </w:t>
      </w:r>
      <w:r w:rsidR="00415710">
        <w:t>i</w:t>
      </w:r>
      <w:r w:rsidR="006E4F16" w:rsidRPr="00415710">
        <w:t>nformation management strategy 2018–2021</w:t>
      </w:r>
      <w:r w:rsidR="00EB7B51" w:rsidRPr="00415710">
        <w:t>,</w:t>
      </w:r>
      <w:r w:rsidR="00EB7B51" w:rsidRPr="00657E8C">
        <w:t xml:space="preserve"> and other associated strategies and frameworks, including managing information and data governance, digital, business intelligence, data access and release, data integrity, enterprise architecture, and information/data security</w:t>
      </w:r>
    </w:p>
    <w:p w14:paraId="63F97CC7" w14:textId="77777777" w:rsidR="00EB7B51" w:rsidRPr="00657E8C" w:rsidRDefault="0091422B" w:rsidP="00EB7B51">
      <w:pPr>
        <w:pStyle w:val="ARbullet1"/>
      </w:pPr>
      <w:r w:rsidRPr="00657E8C">
        <w:t>a</w:t>
      </w:r>
      <w:r w:rsidR="00EB7B51" w:rsidRPr="00657E8C">
        <w:t>uthorising operational business technology and information management policies and standards to support the department’s policy and program objectives and to ensure compliance, including with:</w:t>
      </w:r>
    </w:p>
    <w:p w14:paraId="7534C039" w14:textId="42931A91" w:rsidR="00EB7B51" w:rsidRPr="00657E8C" w:rsidRDefault="00EB7B51" w:rsidP="00EB7B51">
      <w:pPr>
        <w:pStyle w:val="ARbullet2"/>
      </w:pPr>
      <w:r w:rsidRPr="00657E8C">
        <w:t>the Victorian Protective Data Security Framework and Secretary attestation under</w:t>
      </w:r>
      <w:r w:rsidR="006E277C">
        <w:t> </w:t>
      </w:r>
      <w:r w:rsidRPr="00657E8C">
        <w:t xml:space="preserve">the </w:t>
      </w:r>
      <w:r w:rsidR="0091422B" w:rsidRPr="00657E8C">
        <w:t>f</w:t>
      </w:r>
      <w:r w:rsidRPr="00657E8C">
        <w:t>ramework</w:t>
      </w:r>
    </w:p>
    <w:p w14:paraId="03BF340F" w14:textId="77777777" w:rsidR="00EB7B51" w:rsidRPr="00657E8C" w:rsidRDefault="00415710" w:rsidP="00EB7B51">
      <w:pPr>
        <w:pStyle w:val="ARbullet2"/>
      </w:pPr>
      <w:r>
        <w:t>c</w:t>
      </w:r>
      <w:r w:rsidR="00EB7B51" w:rsidRPr="00657E8C">
        <w:t xml:space="preserve">yber </w:t>
      </w:r>
      <w:r>
        <w:t>s</w:t>
      </w:r>
      <w:r w:rsidR="00EB7B51" w:rsidRPr="00657E8C">
        <w:t>ecurity standards and requirements</w:t>
      </w:r>
    </w:p>
    <w:p w14:paraId="593CE5E9" w14:textId="77777777" w:rsidR="00EB7B51" w:rsidRPr="00657E8C" w:rsidRDefault="00345BD9" w:rsidP="00EB7B51">
      <w:pPr>
        <w:pStyle w:val="ARbullet1"/>
      </w:pPr>
      <w:r>
        <w:t>p</w:t>
      </w:r>
      <w:r w:rsidR="00EB7B51" w:rsidRPr="00657E8C">
        <w:t>roviding advice and recommendations to the Executive Board regarding prioritisation and authorisation of:</w:t>
      </w:r>
    </w:p>
    <w:p w14:paraId="5CA387D1" w14:textId="7CCF4E70" w:rsidR="008D124E" w:rsidRDefault="00EB7B51" w:rsidP="00EB7B51">
      <w:pPr>
        <w:pStyle w:val="ARbullet2"/>
      </w:pPr>
      <w:r w:rsidRPr="00657E8C">
        <w:t>business technology and information management investments supporting key functions of health and human services and the department’s strategic plan, including investments referred to this committee by</w:t>
      </w:r>
      <w:r w:rsidR="006E277C">
        <w:t> </w:t>
      </w:r>
      <w:r w:rsidRPr="00657E8C">
        <w:t>the</w:t>
      </w:r>
      <w:r w:rsidR="006E277C">
        <w:t> </w:t>
      </w:r>
      <w:r w:rsidRPr="00657E8C">
        <w:t>Organisational Transformation Subcommittee of the Executive Board</w:t>
      </w:r>
    </w:p>
    <w:p w14:paraId="741C0016" w14:textId="380115C0" w:rsidR="00EB7B51" w:rsidRPr="00657E8C" w:rsidRDefault="0091422B" w:rsidP="00EB7B51">
      <w:pPr>
        <w:pStyle w:val="ARbullet2"/>
      </w:pPr>
      <w:r w:rsidRPr="00657E8C">
        <w:t>b</w:t>
      </w:r>
      <w:r w:rsidR="00EB7B51" w:rsidRPr="00657E8C">
        <w:t>usiness technology and information management investments that form part of significant capital (infrastructure) projects referred to this committee by the Capital Subcommittee of the Executive Board</w:t>
      </w:r>
    </w:p>
    <w:p w14:paraId="713C3EC8" w14:textId="77777777" w:rsidR="00EB7B51" w:rsidRPr="00657E8C" w:rsidRDefault="00EB7B51" w:rsidP="00EB7B51">
      <w:pPr>
        <w:pStyle w:val="ARbullet2"/>
      </w:pPr>
      <w:r w:rsidRPr="00657E8C">
        <w:t>deviation of the program of work from the endorsed strateg</w:t>
      </w:r>
      <w:r w:rsidR="00583887">
        <w:t>ies</w:t>
      </w:r>
    </w:p>
    <w:p w14:paraId="2F4162FD" w14:textId="77777777" w:rsidR="00EB7B51" w:rsidRPr="00657E8C" w:rsidRDefault="00EB7B51" w:rsidP="00EB7B51">
      <w:pPr>
        <w:pStyle w:val="ARbullet2"/>
      </w:pPr>
      <w:r w:rsidRPr="00657E8C">
        <w:t>work to mitigate identified emerging key risks and issues related to business technology and information management, including findings and recommendations by internal auditors and the Victorian Auditor-General</w:t>
      </w:r>
    </w:p>
    <w:p w14:paraId="7A7F3FC6" w14:textId="0DFB4D40" w:rsidR="00EB7B51" w:rsidRPr="00657E8C" w:rsidRDefault="00E900FF" w:rsidP="00EB7B51">
      <w:pPr>
        <w:pStyle w:val="ARbullet1"/>
      </w:pPr>
      <w:bookmarkStart w:id="155" w:name="_Hlk18488413"/>
      <w:r>
        <w:t>m</w:t>
      </w:r>
      <w:r w:rsidR="00EB7B51" w:rsidRPr="00657E8C">
        <w:t xml:space="preserve">onitoring the delivery of the </w:t>
      </w:r>
      <w:r w:rsidR="0091422B" w:rsidRPr="00657E8C">
        <w:t>s</w:t>
      </w:r>
      <w:r w:rsidR="00EB7B51" w:rsidRPr="00657E8C">
        <w:t>trateg</w:t>
      </w:r>
      <w:r w:rsidR="00583887">
        <w:t>ies</w:t>
      </w:r>
      <w:r w:rsidR="00EB7B51" w:rsidRPr="00657E8C">
        <w:t xml:space="preserve"> and</w:t>
      </w:r>
      <w:r w:rsidR="006E277C">
        <w:t> </w:t>
      </w:r>
      <w:r w:rsidR="00EB7B51" w:rsidRPr="00657E8C">
        <w:t>assure continuous improvement in the effectiveness and efficiency.</w:t>
      </w:r>
    </w:p>
    <w:bookmarkEnd w:id="155"/>
    <w:p w14:paraId="7EBE9426" w14:textId="77777777" w:rsidR="00EB7B51" w:rsidRPr="00657E8C" w:rsidRDefault="00EB7B51" w:rsidP="0091422B">
      <w:pPr>
        <w:pStyle w:val="ARbodyafterbullets"/>
      </w:pPr>
      <w:r w:rsidRPr="00657E8C">
        <w:t xml:space="preserve">The subcommittee </w:t>
      </w:r>
      <w:r w:rsidR="0091422B" w:rsidRPr="00657E8C">
        <w:t>has</w:t>
      </w:r>
      <w:r w:rsidRPr="00657E8C">
        <w:t xml:space="preserve"> 14 members:</w:t>
      </w:r>
    </w:p>
    <w:p w14:paraId="70467481" w14:textId="77777777" w:rsidR="00EB7B51" w:rsidRPr="00657E8C" w:rsidRDefault="00EB7B51" w:rsidP="00EB7B51">
      <w:pPr>
        <w:pStyle w:val="ARbullet1"/>
      </w:pPr>
      <w:r w:rsidRPr="00657E8C">
        <w:t>Deputy Secretary, Regulation, Health Protection and Emergency Management (Chair)</w:t>
      </w:r>
    </w:p>
    <w:p w14:paraId="59F07F0F" w14:textId="5D5ED2C4" w:rsidR="00EB7B51" w:rsidRPr="00657E8C" w:rsidRDefault="00EB7B51" w:rsidP="00EB7B51">
      <w:pPr>
        <w:pStyle w:val="ARbullet1"/>
      </w:pPr>
      <w:r w:rsidRPr="00657E8C">
        <w:t>Director, Operational Performance and Quality,</w:t>
      </w:r>
      <w:r w:rsidR="006E277C">
        <w:t> </w:t>
      </w:r>
      <w:r w:rsidRPr="00657E8C">
        <w:t>Community Services Operations</w:t>
      </w:r>
    </w:p>
    <w:p w14:paraId="7A474893" w14:textId="3E187A7E" w:rsidR="00EB7B51" w:rsidRPr="00657E8C" w:rsidRDefault="00EB7B51" w:rsidP="00EB7B51">
      <w:pPr>
        <w:pStyle w:val="ARbullet1"/>
      </w:pPr>
      <w:r w:rsidRPr="00657E8C">
        <w:t>Chief Officer, Medicines and Poisons Regulation, Regulation, Health Protection and</w:t>
      </w:r>
      <w:r w:rsidR="006E277C">
        <w:t> </w:t>
      </w:r>
      <w:r w:rsidRPr="00657E8C">
        <w:t>Emergency Management</w:t>
      </w:r>
    </w:p>
    <w:p w14:paraId="1BB81F59" w14:textId="060A4273" w:rsidR="00EB7B51" w:rsidRPr="00657E8C" w:rsidRDefault="00EB7B51" w:rsidP="00EB7B51">
      <w:pPr>
        <w:pStyle w:val="ARbullet1"/>
      </w:pPr>
      <w:r w:rsidRPr="00657E8C">
        <w:t>Executive Director, People, Performance and</w:t>
      </w:r>
      <w:r w:rsidR="006E277C">
        <w:t> </w:t>
      </w:r>
      <w:r w:rsidRPr="00657E8C">
        <w:t>Systems, Family Safety Victoria</w:t>
      </w:r>
    </w:p>
    <w:p w14:paraId="01975B33" w14:textId="77777777" w:rsidR="00EB7B51" w:rsidRPr="00657E8C" w:rsidRDefault="00EB7B51" w:rsidP="00EB7B51">
      <w:pPr>
        <w:pStyle w:val="ARbullet1"/>
      </w:pPr>
      <w:r w:rsidRPr="00657E8C">
        <w:t>Deputy Secretary, Corporate Services</w:t>
      </w:r>
    </w:p>
    <w:p w14:paraId="26925A0B" w14:textId="77777777" w:rsidR="00EB7B51" w:rsidRPr="00657E8C" w:rsidRDefault="00EB7B51" w:rsidP="00EB7B51">
      <w:pPr>
        <w:pStyle w:val="ARbullet1"/>
      </w:pPr>
      <w:r w:rsidRPr="00657E8C">
        <w:t>Director, Systems Intelligence and Analytics, Strategy and Planning</w:t>
      </w:r>
    </w:p>
    <w:p w14:paraId="57951969" w14:textId="77777777" w:rsidR="00EB7B51" w:rsidRPr="00657E8C" w:rsidRDefault="00EB7B51" w:rsidP="00EB7B51">
      <w:pPr>
        <w:pStyle w:val="ARbullet1"/>
      </w:pPr>
      <w:r w:rsidRPr="00657E8C">
        <w:t>Director, Child Protection, West Division, Community Services Operations</w:t>
      </w:r>
    </w:p>
    <w:p w14:paraId="0DFCA614" w14:textId="77777777" w:rsidR="00EB7B51" w:rsidRPr="00657E8C" w:rsidRDefault="00EB7B51" w:rsidP="00EB7B51">
      <w:pPr>
        <w:pStyle w:val="ARbullet1"/>
      </w:pPr>
      <w:r w:rsidRPr="00657E8C">
        <w:t>Director, Customer Support Branch, Corporate Services</w:t>
      </w:r>
    </w:p>
    <w:p w14:paraId="307C0FA7" w14:textId="77777777" w:rsidR="00EB7B51" w:rsidRPr="00657E8C" w:rsidRDefault="00EB7B51" w:rsidP="00EB7B51">
      <w:pPr>
        <w:pStyle w:val="ARbullet1"/>
      </w:pPr>
      <w:r w:rsidRPr="00657E8C">
        <w:t>Director, Corporate Services, East Division, Community Services Operations</w:t>
      </w:r>
    </w:p>
    <w:p w14:paraId="3CC54F71" w14:textId="77777777" w:rsidR="008D124E" w:rsidRDefault="00EB7B51" w:rsidP="00EB7B51">
      <w:pPr>
        <w:pStyle w:val="ARbullet1"/>
      </w:pPr>
      <w:r w:rsidRPr="00657E8C">
        <w:t>Chief Digital Health Officer, Health and Wellbeing</w:t>
      </w:r>
    </w:p>
    <w:p w14:paraId="703BB84B" w14:textId="089E523B" w:rsidR="00EB7B51" w:rsidRPr="00657E8C" w:rsidRDefault="00EB7B51" w:rsidP="00EB7B51">
      <w:pPr>
        <w:pStyle w:val="ARbullet1"/>
      </w:pPr>
      <w:r w:rsidRPr="00657E8C">
        <w:t>Deputy Secretary, Organisational Transformation</w:t>
      </w:r>
    </w:p>
    <w:p w14:paraId="3E1A07A9" w14:textId="77041F97" w:rsidR="00EB7B51" w:rsidRPr="00657E8C" w:rsidRDefault="006E277C" w:rsidP="00EB7B51">
      <w:pPr>
        <w:pStyle w:val="ARbullet1"/>
      </w:pPr>
      <w:r>
        <w:br w:type="column"/>
      </w:r>
      <w:r w:rsidR="00EB7B51" w:rsidRPr="00657E8C">
        <w:t>Deputy Secretary, Housing and Infrastructure</w:t>
      </w:r>
    </w:p>
    <w:p w14:paraId="07A4C653" w14:textId="77777777" w:rsidR="00EB7B51" w:rsidRPr="00657E8C" w:rsidRDefault="00EB7B51" w:rsidP="00EB7B51">
      <w:pPr>
        <w:pStyle w:val="ARbullet1"/>
      </w:pPr>
      <w:r w:rsidRPr="00657E8C">
        <w:t>Director, Information Infrastructure, Management and Standards, Victorian Agency for Health Information</w:t>
      </w:r>
    </w:p>
    <w:p w14:paraId="57590F28" w14:textId="77777777" w:rsidR="00EB7B51" w:rsidRPr="00657E8C" w:rsidRDefault="00EB7B51" w:rsidP="00EB7B51">
      <w:pPr>
        <w:pStyle w:val="ARbullet1"/>
      </w:pPr>
      <w:r w:rsidRPr="00657E8C">
        <w:t>Chief Information Officer, Corporate Services</w:t>
      </w:r>
      <w:r w:rsidR="0091422B" w:rsidRPr="00657E8C">
        <w:t>.</w:t>
      </w:r>
    </w:p>
    <w:bookmarkEnd w:id="153"/>
    <w:p w14:paraId="0EA7436E" w14:textId="52A3F53E" w:rsidR="0091422B" w:rsidRPr="00657E8C" w:rsidRDefault="0091422B" w:rsidP="0091422B">
      <w:pPr>
        <w:pStyle w:val="ARbody"/>
        <w:sectPr w:rsidR="0091422B" w:rsidRPr="00657E8C" w:rsidSect="00E31562">
          <w:type w:val="continuous"/>
          <w:pgSz w:w="11906" w:h="16838" w:code="9"/>
          <w:pgMar w:top="1985" w:right="851" w:bottom="851" w:left="1418" w:header="510" w:footer="340" w:gutter="0"/>
          <w:cols w:num="2" w:space="454"/>
          <w:docGrid w:linePitch="360"/>
        </w:sectPr>
      </w:pPr>
    </w:p>
    <w:p w14:paraId="41D29AE4" w14:textId="77777777" w:rsidR="00E8518D" w:rsidRPr="00657E8C" w:rsidRDefault="00E8518D" w:rsidP="00E8518D">
      <w:pPr>
        <w:pStyle w:val="Heading3"/>
      </w:pPr>
      <w:bookmarkStart w:id="156" w:name="_Ref21956847"/>
      <w:r w:rsidRPr="00657E8C">
        <w:t>Details of information and communication technology (ICT) expenditure</w:t>
      </w:r>
      <w:bookmarkEnd w:id="156"/>
    </w:p>
    <w:p w14:paraId="478D050E" w14:textId="77777777" w:rsidR="00E8518D" w:rsidRPr="00657E8C" w:rsidRDefault="00E8518D" w:rsidP="008E2133">
      <w:pPr>
        <w:pStyle w:val="ARbody"/>
      </w:pPr>
      <w:r w:rsidRPr="00657E8C">
        <w:t>For the 2018–19 reporting period, the department had a total ICT expenditure of $331,561,025</w:t>
      </w:r>
      <w:r w:rsidR="008E2133" w:rsidRPr="00657E8C">
        <w:t>. Th</w:t>
      </w:r>
      <w:r w:rsidRPr="00657E8C">
        <w:t>e details</w:t>
      </w:r>
      <w:r w:rsidR="008E2133" w:rsidRPr="00657E8C">
        <w:t xml:space="preserve"> are</w:t>
      </w:r>
      <w:r w:rsidRPr="00657E8C">
        <w:t xml:space="preserve"> shown below.</w:t>
      </w:r>
    </w:p>
    <w:tbl>
      <w:tblPr>
        <w:tblW w:w="967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2474"/>
        <w:gridCol w:w="2450"/>
        <w:gridCol w:w="2449"/>
        <w:gridCol w:w="2306"/>
      </w:tblGrid>
      <w:tr w:rsidR="0091422B" w:rsidRPr="00657E8C" w14:paraId="28D0CBDF" w14:textId="77777777" w:rsidTr="0091422B">
        <w:trPr>
          <w:cantSplit/>
          <w:tblHeader/>
        </w:trPr>
        <w:tc>
          <w:tcPr>
            <w:tcW w:w="2474" w:type="dxa"/>
            <w:shd w:val="clear" w:color="auto" w:fill="FFFFFF" w:themeFill="background1"/>
            <w:noWrap/>
            <w:vAlign w:val="bottom"/>
          </w:tcPr>
          <w:p w14:paraId="0807B6F7" w14:textId="77777777" w:rsidR="0091422B" w:rsidRPr="00657E8C" w:rsidRDefault="0091422B" w:rsidP="00126D91">
            <w:pPr>
              <w:pStyle w:val="ARtablecolhead"/>
              <w:rPr>
                <w:i/>
                <w:color w:val="FFFFFF" w:themeColor="background1"/>
                <w:lang w:eastAsia="en-AU"/>
              </w:rPr>
            </w:pPr>
          </w:p>
        </w:tc>
        <w:tc>
          <w:tcPr>
            <w:tcW w:w="7205" w:type="dxa"/>
            <w:gridSpan w:val="3"/>
            <w:shd w:val="clear" w:color="auto" w:fill="FFFFFF" w:themeFill="background1"/>
            <w:noWrap/>
            <w:vAlign w:val="bottom"/>
          </w:tcPr>
          <w:p w14:paraId="2B02E325" w14:textId="77777777" w:rsidR="0091422B" w:rsidRPr="00657E8C" w:rsidRDefault="0091422B" w:rsidP="00126D91">
            <w:pPr>
              <w:pStyle w:val="ARtablecolhead"/>
              <w:jc w:val="right"/>
              <w:rPr>
                <w:lang w:eastAsia="en-AU"/>
              </w:rPr>
            </w:pPr>
            <w:r w:rsidRPr="00657E8C">
              <w:rPr>
                <w:lang w:eastAsia="en-AU"/>
              </w:rPr>
              <w:t>($’000)</w:t>
            </w:r>
          </w:p>
        </w:tc>
      </w:tr>
      <w:tr w:rsidR="0091422B" w:rsidRPr="00657E8C" w14:paraId="6B692CC0" w14:textId="77777777" w:rsidTr="0091422B">
        <w:trPr>
          <w:cantSplit/>
          <w:tblHeader/>
        </w:trPr>
        <w:tc>
          <w:tcPr>
            <w:tcW w:w="2474" w:type="dxa"/>
            <w:shd w:val="clear" w:color="auto" w:fill="FFFFFF" w:themeFill="background1"/>
            <w:noWrap/>
            <w:vAlign w:val="bottom"/>
          </w:tcPr>
          <w:p w14:paraId="6D2A0426" w14:textId="77777777" w:rsidR="0091422B" w:rsidRPr="00657E8C" w:rsidRDefault="0091422B" w:rsidP="00126D91">
            <w:pPr>
              <w:pStyle w:val="ARtablecolhead"/>
            </w:pPr>
            <w:r w:rsidRPr="00657E8C">
              <w:t>All operational ICT expenditure</w:t>
            </w:r>
          </w:p>
        </w:tc>
        <w:tc>
          <w:tcPr>
            <w:tcW w:w="7205" w:type="dxa"/>
            <w:gridSpan w:val="3"/>
            <w:shd w:val="clear" w:color="auto" w:fill="FFFFFF" w:themeFill="background1"/>
            <w:noWrap/>
            <w:vAlign w:val="bottom"/>
          </w:tcPr>
          <w:p w14:paraId="7FEE1359" w14:textId="77777777" w:rsidR="0091422B" w:rsidRPr="00657E8C" w:rsidRDefault="0091422B" w:rsidP="00126D91">
            <w:pPr>
              <w:pStyle w:val="ARtablecolheadright"/>
            </w:pPr>
            <w:r w:rsidRPr="00657E8C">
              <w:t>ICT expenditure related to projects to create or enhance ICT capabilities</w:t>
            </w:r>
          </w:p>
        </w:tc>
      </w:tr>
      <w:tr w:rsidR="0091422B" w:rsidRPr="00657E8C" w14:paraId="6390E51B" w14:textId="77777777" w:rsidTr="0091422B">
        <w:trPr>
          <w:cantSplit/>
          <w:tblHeader/>
        </w:trPr>
        <w:tc>
          <w:tcPr>
            <w:tcW w:w="2474" w:type="dxa"/>
            <w:shd w:val="clear" w:color="auto" w:fill="FFFFFF" w:themeFill="background1"/>
            <w:noWrap/>
            <w:vAlign w:val="bottom"/>
          </w:tcPr>
          <w:p w14:paraId="3CE69F7C" w14:textId="77777777" w:rsidR="0091422B" w:rsidRPr="00657E8C" w:rsidRDefault="0091422B" w:rsidP="00126D91">
            <w:pPr>
              <w:pStyle w:val="ARtablecolhead"/>
            </w:pPr>
            <w:r w:rsidRPr="00657E8C">
              <w:t>Business as usual (BAU) ICT expenditure</w:t>
            </w:r>
          </w:p>
        </w:tc>
        <w:tc>
          <w:tcPr>
            <w:tcW w:w="2450" w:type="dxa"/>
            <w:shd w:val="clear" w:color="auto" w:fill="FFFFFF" w:themeFill="background1"/>
            <w:noWrap/>
            <w:vAlign w:val="bottom"/>
          </w:tcPr>
          <w:p w14:paraId="76813AE0" w14:textId="77777777" w:rsidR="0091422B" w:rsidRPr="00657E8C" w:rsidRDefault="0091422B" w:rsidP="00126D91">
            <w:pPr>
              <w:pStyle w:val="ARtablecolheadright"/>
            </w:pPr>
            <w:r w:rsidRPr="00657E8C">
              <w:t>Non-business as usual (BAU) ICT expenditure</w:t>
            </w:r>
          </w:p>
        </w:tc>
        <w:tc>
          <w:tcPr>
            <w:tcW w:w="2449" w:type="dxa"/>
            <w:shd w:val="clear" w:color="auto" w:fill="FFFFFF" w:themeFill="background1"/>
            <w:noWrap/>
            <w:vAlign w:val="bottom"/>
          </w:tcPr>
          <w:p w14:paraId="56BC939E" w14:textId="77777777" w:rsidR="0091422B" w:rsidRPr="00657E8C" w:rsidRDefault="0091422B" w:rsidP="00126D91">
            <w:pPr>
              <w:pStyle w:val="ARtablecolheadright"/>
            </w:pPr>
            <w:r w:rsidRPr="00657E8C">
              <w:t xml:space="preserve">Operational </w:t>
            </w:r>
            <w:r w:rsidRPr="00657E8C">
              <w:br/>
              <w:t>expenditure</w:t>
            </w:r>
          </w:p>
        </w:tc>
        <w:tc>
          <w:tcPr>
            <w:tcW w:w="2306" w:type="dxa"/>
            <w:shd w:val="clear" w:color="auto" w:fill="FFFFFF" w:themeFill="background1"/>
            <w:noWrap/>
            <w:vAlign w:val="bottom"/>
          </w:tcPr>
          <w:p w14:paraId="1B77F223" w14:textId="77777777" w:rsidR="0091422B" w:rsidRPr="00657E8C" w:rsidRDefault="0091422B" w:rsidP="00126D91">
            <w:pPr>
              <w:pStyle w:val="ARtablecolheadright"/>
            </w:pPr>
            <w:r w:rsidRPr="00657E8C">
              <w:t xml:space="preserve">Capital </w:t>
            </w:r>
            <w:r w:rsidRPr="00657E8C">
              <w:br/>
              <w:t>expenditure</w:t>
            </w:r>
          </w:p>
        </w:tc>
      </w:tr>
      <w:tr w:rsidR="0091422B" w:rsidRPr="00657E8C" w14:paraId="2E05C41B" w14:textId="77777777" w:rsidTr="0091422B">
        <w:trPr>
          <w:cantSplit/>
          <w:tblHeader/>
        </w:trPr>
        <w:tc>
          <w:tcPr>
            <w:tcW w:w="2474" w:type="dxa"/>
            <w:shd w:val="clear" w:color="auto" w:fill="auto"/>
            <w:noWrap/>
            <w:vAlign w:val="bottom"/>
            <w:hideMark/>
          </w:tcPr>
          <w:p w14:paraId="48B22615" w14:textId="77777777" w:rsidR="0091422B" w:rsidRPr="00657E8C" w:rsidRDefault="0091422B" w:rsidP="00126D91">
            <w:pPr>
              <w:pStyle w:val="ARtabletextright"/>
            </w:pPr>
            <w:r w:rsidRPr="00657E8C">
              <w:t>(Total)</w:t>
            </w:r>
          </w:p>
        </w:tc>
        <w:tc>
          <w:tcPr>
            <w:tcW w:w="2450" w:type="dxa"/>
            <w:shd w:val="clear" w:color="auto" w:fill="auto"/>
            <w:noWrap/>
            <w:vAlign w:val="bottom"/>
            <w:hideMark/>
          </w:tcPr>
          <w:p w14:paraId="756BD555" w14:textId="77777777" w:rsidR="0091422B" w:rsidRPr="00657E8C" w:rsidRDefault="0091422B" w:rsidP="00126D91">
            <w:pPr>
              <w:pStyle w:val="ARtabletextright"/>
            </w:pPr>
            <w:r w:rsidRPr="00657E8C">
              <w:t>(Total = operational expenditure and capital expenditure)</w:t>
            </w:r>
          </w:p>
        </w:tc>
        <w:tc>
          <w:tcPr>
            <w:tcW w:w="2449" w:type="dxa"/>
            <w:shd w:val="clear" w:color="auto" w:fill="auto"/>
            <w:noWrap/>
            <w:vAlign w:val="bottom"/>
            <w:hideMark/>
          </w:tcPr>
          <w:p w14:paraId="44E418B0" w14:textId="77777777" w:rsidR="0091422B" w:rsidRPr="00657E8C" w:rsidRDefault="0091422B" w:rsidP="00126D91">
            <w:pPr>
              <w:pStyle w:val="ARtabletextright"/>
              <w:rPr>
                <w:b/>
              </w:rPr>
            </w:pPr>
          </w:p>
        </w:tc>
        <w:tc>
          <w:tcPr>
            <w:tcW w:w="2306" w:type="dxa"/>
            <w:shd w:val="clear" w:color="auto" w:fill="auto"/>
            <w:noWrap/>
            <w:vAlign w:val="bottom"/>
            <w:hideMark/>
          </w:tcPr>
          <w:p w14:paraId="7D93E6AF" w14:textId="77777777" w:rsidR="0091422B" w:rsidRPr="00657E8C" w:rsidRDefault="0091422B" w:rsidP="00126D91">
            <w:pPr>
              <w:pStyle w:val="ARtabletextright"/>
              <w:rPr>
                <w:b/>
              </w:rPr>
            </w:pPr>
          </w:p>
        </w:tc>
      </w:tr>
      <w:tr w:rsidR="0091422B" w:rsidRPr="00657E8C" w14:paraId="395CEC8F" w14:textId="77777777" w:rsidTr="0091422B">
        <w:trPr>
          <w:cantSplit/>
          <w:trHeight w:val="300"/>
        </w:trPr>
        <w:tc>
          <w:tcPr>
            <w:tcW w:w="2474" w:type="dxa"/>
            <w:shd w:val="clear" w:color="auto" w:fill="auto"/>
            <w:noWrap/>
            <w:hideMark/>
          </w:tcPr>
          <w:p w14:paraId="2E411574" w14:textId="77777777" w:rsidR="0091422B" w:rsidRPr="00657E8C" w:rsidRDefault="0091422B" w:rsidP="00126D91">
            <w:pPr>
              <w:pStyle w:val="ARtabletextright"/>
            </w:pPr>
            <w:r w:rsidRPr="00657E8C">
              <w:t>$186,341</w:t>
            </w:r>
          </w:p>
        </w:tc>
        <w:tc>
          <w:tcPr>
            <w:tcW w:w="2450" w:type="dxa"/>
            <w:shd w:val="clear" w:color="auto" w:fill="auto"/>
            <w:noWrap/>
            <w:hideMark/>
          </w:tcPr>
          <w:p w14:paraId="11E0CE39" w14:textId="77777777" w:rsidR="0091422B" w:rsidRPr="00657E8C" w:rsidRDefault="0091422B" w:rsidP="00126D91">
            <w:pPr>
              <w:pStyle w:val="ARtabletextright"/>
            </w:pPr>
            <w:r w:rsidRPr="00657E8C">
              <w:t>$145,220</w:t>
            </w:r>
          </w:p>
        </w:tc>
        <w:tc>
          <w:tcPr>
            <w:tcW w:w="2449" w:type="dxa"/>
            <w:shd w:val="clear" w:color="auto" w:fill="auto"/>
            <w:noWrap/>
            <w:hideMark/>
          </w:tcPr>
          <w:p w14:paraId="78541454" w14:textId="77777777" w:rsidR="0091422B" w:rsidRPr="00657E8C" w:rsidRDefault="0091422B" w:rsidP="00126D91">
            <w:pPr>
              <w:pStyle w:val="ARtabletextright"/>
            </w:pPr>
            <w:r w:rsidRPr="00657E8C">
              <w:t>$107,211</w:t>
            </w:r>
          </w:p>
        </w:tc>
        <w:tc>
          <w:tcPr>
            <w:tcW w:w="2306" w:type="dxa"/>
            <w:shd w:val="clear" w:color="auto" w:fill="auto"/>
            <w:noWrap/>
            <w:hideMark/>
          </w:tcPr>
          <w:p w14:paraId="4C9CE07D" w14:textId="77777777" w:rsidR="0091422B" w:rsidRPr="00657E8C" w:rsidRDefault="0091422B" w:rsidP="00126D91">
            <w:pPr>
              <w:pStyle w:val="ARtabletextright"/>
            </w:pPr>
            <w:r w:rsidRPr="00657E8C">
              <w:t>$38,009</w:t>
            </w:r>
          </w:p>
        </w:tc>
      </w:tr>
    </w:tbl>
    <w:p w14:paraId="3CEBF8ED" w14:textId="77777777" w:rsidR="0091422B" w:rsidRPr="00657E8C" w:rsidRDefault="0091422B" w:rsidP="0091422B">
      <w:pPr>
        <w:pStyle w:val="ARtablefootnote"/>
      </w:pPr>
      <w:r w:rsidRPr="00657E8C">
        <w:t>ICT expenditure refers to the department’s costs in providing business-enabling ICT services within the current reporting period. It comprises business as usual (BAU) ICT expenditure and non-business as usual (</w:t>
      </w:r>
      <w:r w:rsidR="00DD35F7">
        <w:t>n</w:t>
      </w:r>
      <w:r w:rsidRPr="00657E8C">
        <w:t>on-BAU) ICT expenditure.</w:t>
      </w:r>
    </w:p>
    <w:p w14:paraId="43B960CF" w14:textId="77777777" w:rsidR="0091422B" w:rsidRPr="00657E8C" w:rsidRDefault="0091422B" w:rsidP="0091422B">
      <w:pPr>
        <w:pStyle w:val="ARtablefootnote"/>
      </w:pPr>
      <w:r w:rsidRPr="00657E8C">
        <w:t>Non-BAU ICT expenditure relates to extending or enhancing the department’s current ICT capabilities.</w:t>
      </w:r>
    </w:p>
    <w:p w14:paraId="39C3AE54" w14:textId="77777777" w:rsidR="0091422B" w:rsidRDefault="0091422B" w:rsidP="0091422B">
      <w:pPr>
        <w:pStyle w:val="ARtablefootnote"/>
      </w:pPr>
      <w:r w:rsidRPr="008154CE">
        <w:t>BAU ICT expenditure is all remaining ICT expenditure, which primarily relates to ongoing activities to operate and maintain the current ICT capability</w:t>
      </w:r>
      <w:r w:rsidR="00C87429" w:rsidRPr="008154CE">
        <w:t>.</w:t>
      </w:r>
    </w:p>
    <w:p w14:paraId="2303B125" w14:textId="77777777" w:rsidR="0091422B" w:rsidRDefault="0091422B" w:rsidP="0091422B">
      <w:pPr>
        <w:pStyle w:val="ARbody"/>
        <w:rPr>
          <w:lang w:eastAsia="en-AU"/>
        </w:rPr>
      </w:pPr>
    </w:p>
    <w:p w14:paraId="5FAFB01B" w14:textId="77777777" w:rsidR="0091422B" w:rsidRDefault="0091422B" w:rsidP="0091422B">
      <w:pPr>
        <w:pStyle w:val="ARbody"/>
        <w:rPr>
          <w:lang w:eastAsia="en-AU"/>
        </w:rPr>
        <w:sectPr w:rsidR="0091422B" w:rsidSect="0091422B">
          <w:type w:val="continuous"/>
          <w:pgSz w:w="11906" w:h="16838" w:code="9"/>
          <w:pgMar w:top="1985" w:right="851" w:bottom="851" w:left="1418" w:header="510" w:footer="340" w:gutter="0"/>
          <w:cols w:space="454"/>
          <w:docGrid w:linePitch="360"/>
        </w:sectPr>
      </w:pPr>
    </w:p>
    <w:p w14:paraId="31370ACC" w14:textId="77777777" w:rsidR="008D124E" w:rsidRDefault="00C87429" w:rsidP="00F57B55">
      <w:pPr>
        <w:pStyle w:val="Heading2"/>
        <w:spacing w:before="0"/>
      </w:pPr>
      <w:bookmarkStart w:id="157" w:name="_Ref21956761"/>
      <w:bookmarkStart w:id="158" w:name="_Ref492895162"/>
      <w:bookmarkEnd w:id="154"/>
      <w:r w:rsidRPr="006663D5">
        <w:t>Compliance with the Protected Disclosure Act 2012</w:t>
      </w:r>
      <w:bookmarkEnd w:id="157"/>
    </w:p>
    <w:p w14:paraId="1B24B094" w14:textId="5DE0B263" w:rsidR="00C87429" w:rsidRPr="006663D5" w:rsidRDefault="00C87429" w:rsidP="00C87429">
      <w:pPr>
        <w:pStyle w:val="ARbody"/>
      </w:pPr>
      <w:r w:rsidRPr="006663D5">
        <w:t xml:space="preserve">The </w:t>
      </w:r>
      <w:r w:rsidRPr="006663D5">
        <w:rPr>
          <w:i/>
        </w:rPr>
        <w:t>Protected Disclosure Act 2012</w:t>
      </w:r>
      <w:r w:rsidRPr="006663D5">
        <w:t xml:space="preserve"> encourages and assists people in making disclosures of improper conduct by public officers and public bodies. The</w:t>
      </w:r>
      <w:r w:rsidR="006E277C">
        <w:t> </w:t>
      </w:r>
      <w:r w:rsidRPr="006663D5">
        <w:t>Act provides protection to people who make disclosures in accordance with the Act and establishes a system for the matters disclosed to be investigated and rectifying action to be taken.</w:t>
      </w:r>
    </w:p>
    <w:p w14:paraId="6996E120" w14:textId="77C7BCF8" w:rsidR="00C87429" w:rsidRPr="006663D5" w:rsidRDefault="00C87429" w:rsidP="00C87429">
      <w:pPr>
        <w:pStyle w:val="ARbody"/>
      </w:pPr>
      <w:r w:rsidRPr="006663D5">
        <w:t xml:space="preserve">The </w:t>
      </w:r>
      <w:r w:rsidR="00566B25" w:rsidRPr="006663D5">
        <w:t>d</w:t>
      </w:r>
      <w:r w:rsidRPr="006663D5">
        <w:t>epartment does not tolerate improper conduct by employees, nor the taking of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w:t>
      </w:r>
      <w:r w:rsidR="006E277C">
        <w:t> </w:t>
      </w:r>
      <w:r w:rsidRPr="006663D5">
        <w:t>conduct involving a substantial risk to public health and safety or the environment.</w:t>
      </w:r>
    </w:p>
    <w:p w14:paraId="5C476DC7" w14:textId="77777777" w:rsidR="00C87429" w:rsidRPr="006663D5" w:rsidRDefault="00C87429" w:rsidP="00C87429">
      <w:pPr>
        <w:pStyle w:val="ARbody"/>
      </w:pPr>
      <w:r w:rsidRPr="006663D5">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3B4B4D60" w14:textId="77777777" w:rsidR="00C87429" w:rsidRPr="006663D5" w:rsidRDefault="00C87429" w:rsidP="00566B25">
      <w:pPr>
        <w:pStyle w:val="Heading3"/>
      </w:pPr>
      <w:r w:rsidRPr="006663D5">
        <w:t>Reporting procedures</w:t>
      </w:r>
    </w:p>
    <w:p w14:paraId="52E42CCC" w14:textId="77777777" w:rsidR="00C87429" w:rsidRPr="006663D5" w:rsidRDefault="00C87429" w:rsidP="00C87429">
      <w:pPr>
        <w:pStyle w:val="ARbody"/>
      </w:pPr>
      <w:r w:rsidRPr="006663D5">
        <w:t>Disclosures of improper conduct or detrimental action by the department or any of its employees may be made to any of the following department personnel:</w:t>
      </w:r>
    </w:p>
    <w:p w14:paraId="16976E8C" w14:textId="77777777" w:rsidR="00C87429" w:rsidRPr="006663D5" w:rsidRDefault="00C87429" w:rsidP="00C87429">
      <w:pPr>
        <w:pStyle w:val="ARbullet1"/>
      </w:pPr>
      <w:r w:rsidRPr="006663D5">
        <w:t>Secretary of the department</w:t>
      </w:r>
    </w:p>
    <w:p w14:paraId="4A789B91" w14:textId="77777777" w:rsidR="00C87429" w:rsidRPr="006663D5" w:rsidRDefault="00566B25" w:rsidP="00C87429">
      <w:pPr>
        <w:pStyle w:val="ARbullet1"/>
      </w:pPr>
      <w:r w:rsidRPr="006663D5">
        <w:t>protected disclosure coordinators</w:t>
      </w:r>
    </w:p>
    <w:p w14:paraId="0FF4F80C" w14:textId="77777777" w:rsidR="00C87429" w:rsidRPr="006663D5" w:rsidRDefault="00C87429" w:rsidP="00C87429">
      <w:pPr>
        <w:pStyle w:val="ARbullet1"/>
      </w:pPr>
      <w:r w:rsidRPr="006663D5">
        <w:t>manager or supervisor of the discloser</w:t>
      </w:r>
    </w:p>
    <w:p w14:paraId="285AF5FC" w14:textId="65520A6E" w:rsidR="008D124E" w:rsidRDefault="00C87429" w:rsidP="00C87429">
      <w:pPr>
        <w:pStyle w:val="ARbullet1"/>
      </w:pPr>
      <w:r w:rsidRPr="006663D5">
        <w:t>manager or supervisor of the person who is</w:t>
      </w:r>
      <w:r w:rsidR="006E277C">
        <w:t> </w:t>
      </w:r>
      <w:r w:rsidRPr="006663D5">
        <w:t>the</w:t>
      </w:r>
      <w:r w:rsidR="006E277C">
        <w:t> </w:t>
      </w:r>
      <w:r w:rsidRPr="006663D5">
        <w:t>subject of the disclosure.</w:t>
      </w:r>
    </w:p>
    <w:p w14:paraId="03ECF98F" w14:textId="5E28908A" w:rsidR="00C87429" w:rsidRPr="006663D5" w:rsidRDefault="00C87429" w:rsidP="00C87429">
      <w:pPr>
        <w:pStyle w:val="ARbodyafterbullets"/>
      </w:pPr>
      <w:r w:rsidRPr="006663D5">
        <w:t>Alternatively, disclosures may also be made directly</w:t>
      </w:r>
      <w:r w:rsidR="006E277C">
        <w:t> </w:t>
      </w:r>
      <w:r w:rsidRPr="006663D5">
        <w:t>to the Independent Broad</w:t>
      </w:r>
      <w:r w:rsidR="00566B25" w:rsidRPr="006663D5">
        <w:t>-</w:t>
      </w:r>
      <w:r w:rsidRPr="006663D5">
        <w:t xml:space="preserve">based </w:t>
      </w:r>
      <w:r w:rsidR="006E277C">
        <w:br/>
      </w:r>
      <w:r w:rsidRPr="006663D5">
        <w:t>Anti</w:t>
      </w:r>
      <w:r w:rsidR="00566B25" w:rsidRPr="006663D5">
        <w:t>-</w:t>
      </w:r>
      <w:r w:rsidRPr="006663D5">
        <w:t>corruption Commission</w:t>
      </w:r>
      <w:r w:rsidR="00566B25" w:rsidRPr="006663D5">
        <w:t xml:space="preserve"> (IBAC)</w:t>
      </w:r>
      <w:r w:rsidRPr="006663D5">
        <w:t>:</w:t>
      </w:r>
    </w:p>
    <w:p w14:paraId="352EA4BD" w14:textId="7F3477C7" w:rsidR="00C87429" w:rsidRPr="006663D5" w:rsidRDefault="00C87429" w:rsidP="00C87429">
      <w:pPr>
        <w:pStyle w:val="ARbody"/>
      </w:pPr>
      <w:r w:rsidRPr="006663D5">
        <w:t>Level 1, North Tower, 459 Collins Street</w:t>
      </w:r>
      <w:r w:rsidR="00566B25" w:rsidRPr="006663D5">
        <w:br/>
      </w:r>
      <w:r w:rsidRPr="006663D5">
        <w:t>Melbourne VIC 3000</w:t>
      </w:r>
      <w:r w:rsidR="00566B25" w:rsidRPr="006663D5">
        <w:br/>
      </w:r>
      <w:r w:rsidRPr="006663D5">
        <w:t>Phone: 1300 735 135</w:t>
      </w:r>
      <w:r w:rsidR="00566B25" w:rsidRPr="006663D5">
        <w:br/>
      </w:r>
      <w:r w:rsidRPr="006663D5">
        <w:t>Internet:</w:t>
      </w:r>
      <w:r w:rsidR="00566B25" w:rsidRPr="006663D5">
        <w:t xml:space="preserve"> </w:t>
      </w:r>
      <w:hyperlink r:id="rId150" w:history="1">
        <w:r w:rsidR="00566B25" w:rsidRPr="006663D5">
          <w:rPr>
            <w:rStyle w:val="Hyperlink"/>
          </w:rPr>
          <w:t>Broad-based Anti-corruption Commission</w:t>
        </w:r>
      </w:hyperlink>
      <w:r w:rsidR="005B7192">
        <w:t> </w:t>
      </w:r>
      <w:r w:rsidR="00566B25" w:rsidRPr="006663D5">
        <w:t>&lt;https://www.ibac.vic.gov.au/&gt;</w:t>
      </w:r>
      <w:r w:rsidR="00566B25" w:rsidRPr="006663D5">
        <w:br/>
      </w:r>
      <w:hyperlink r:id="rId151" w:history="1">
        <w:r w:rsidRPr="006663D5">
          <w:rPr>
            <w:rStyle w:val="Hyperlink"/>
          </w:rPr>
          <w:t>Email</w:t>
        </w:r>
        <w:r w:rsidR="00566B25" w:rsidRPr="006663D5">
          <w:rPr>
            <w:rStyle w:val="Hyperlink"/>
          </w:rPr>
          <w:t xml:space="preserve"> IBAC</w:t>
        </w:r>
      </w:hyperlink>
      <w:r w:rsidR="00566B25" w:rsidRPr="006663D5">
        <w:t xml:space="preserve"> &lt;</w:t>
      </w:r>
      <w:r w:rsidRPr="006663D5">
        <w:t>submit@ibac.vic.gov.au</w:t>
      </w:r>
      <w:r w:rsidR="00566B25" w:rsidRPr="006663D5">
        <w:t>&gt;.</w:t>
      </w:r>
    </w:p>
    <w:p w14:paraId="5972AC91" w14:textId="77777777" w:rsidR="00C87429" w:rsidRPr="006663D5" w:rsidRDefault="00C87429" w:rsidP="00C87429">
      <w:pPr>
        <w:pStyle w:val="Heading3"/>
      </w:pPr>
      <w:r w:rsidRPr="006663D5">
        <w:t>Further information</w:t>
      </w:r>
    </w:p>
    <w:p w14:paraId="1F532293" w14:textId="77777777" w:rsidR="00566B25" w:rsidRPr="006663D5" w:rsidRDefault="00C87429" w:rsidP="00C87429">
      <w:pPr>
        <w:pStyle w:val="ARbody"/>
      </w:pPr>
      <w:r w:rsidRPr="006663D5">
        <w:t xml:space="preserve">The </w:t>
      </w:r>
      <w:r w:rsidR="00566B25" w:rsidRPr="006663D5">
        <w:t>protected disclosure policy and procedures</w:t>
      </w:r>
      <w:r w:rsidRPr="006663D5">
        <w:t xml:space="preserve">, which outline the system for reporting disclosures of improper conduct or detrimental action by the </w:t>
      </w:r>
      <w:r w:rsidR="00566B25" w:rsidRPr="006663D5">
        <w:t>d</w:t>
      </w:r>
      <w:r w:rsidRPr="006663D5">
        <w:t>epartment or any of its employees and/or officers, are available</w:t>
      </w:r>
      <w:r w:rsidR="00566B25" w:rsidRPr="006663D5">
        <w:t>:</w:t>
      </w:r>
    </w:p>
    <w:p w14:paraId="2037D7BA" w14:textId="1AE4004F" w:rsidR="008D124E" w:rsidRDefault="00C87429" w:rsidP="000B7427">
      <w:pPr>
        <w:pStyle w:val="ARbullet1"/>
        <w:ind w:right="-229"/>
      </w:pPr>
      <w:r w:rsidRPr="006663D5">
        <w:t xml:space="preserve">on the </w:t>
      </w:r>
      <w:r w:rsidR="00566B25" w:rsidRPr="006663D5">
        <w:t>d</w:t>
      </w:r>
      <w:r w:rsidRPr="006663D5">
        <w:t xml:space="preserve">epartment’s </w:t>
      </w:r>
      <w:hyperlink r:id="rId152" w:history="1">
        <w:r w:rsidR="00566B25" w:rsidRPr="006663D5">
          <w:rPr>
            <w:rStyle w:val="Hyperlink"/>
          </w:rPr>
          <w:t>Protected disclosure web page</w:t>
        </w:r>
      </w:hyperlink>
      <w:r w:rsidR="00566B25" w:rsidRPr="006663D5">
        <w:t xml:space="preserve"> &lt;https://providers.dhhs.vic.gov.au/protected-disclosure&gt;</w:t>
      </w:r>
    </w:p>
    <w:p w14:paraId="7803A829" w14:textId="37ECA9A5" w:rsidR="00A5052F" w:rsidRPr="006663D5" w:rsidRDefault="00566B25" w:rsidP="006E277C">
      <w:pPr>
        <w:pStyle w:val="ARbullet1"/>
        <w:spacing w:after="240"/>
        <w:rPr>
          <w:lang w:eastAsia="en-AU"/>
        </w:rPr>
      </w:pPr>
      <w:r w:rsidRPr="006663D5">
        <w:t xml:space="preserve">by </w:t>
      </w:r>
      <w:hyperlink r:id="rId153" w:history="1">
        <w:r w:rsidRPr="006663D5">
          <w:rPr>
            <w:rStyle w:val="Hyperlink"/>
          </w:rPr>
          <w:t>emailing the protected disclosure coordinator</w:t>
        </w:r>
      </w:hyperlink>
      <w:r w:rsidRPr="006663D5">
        <w:t xml:space="preserve"> &lt;</w:t>
      </w:r>
      <w:r w:rsidR="00C87429" w:rsidRPr="006663D5">
        <w:t>protected.disclosure@dhhs.vic.gov.au</w:t>
      </w:r>
      <w:r w:rsidRPr="006663D5">
        <w:t>&gt;.</w:t>
      </w:r>
    </w:p>
    <w:tbl>
      <w:tblPr>
        <w:tblW w:w="4593"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20" w:firstRow="1" w:lastRow="0" w:firstColumn="0" w:lastColumn="0" w:noHBand="0" w:noVBand="0"/>
      </w:tblPr>
      <w:tblGrid>
        <w:gridCol w:w="2891"/>
        <w:gridCol w:w="851"/>
        <w:gridCol w:w="851"/>
      </w:tblGrid>
      <w:tr w:rsidR="00A5052F" w:rsidRPr="006663D5" w14:paraId="49BE3440" w14:textId="77777777" w:rsidTr="00044777">
        <w:trPr>
          <w:cantSplit/>
          <w:tblHeader/>
        </w:trPr>
        <w:tc>
          <w:tcPr>
            <w:tcW w:w="2891" w:type="dxa"/>
            <w:shd w:val="clear" w:color="auto" w:fill="auto"/>
            <w:vAlign w:val="bottom"/>
          </w:tcPr>
          <w:p w14:paraId="3F572F0C" w14:textId="77777777" w:rsidR="00A5052F" w:rsidRPr="006663D5" w:rsidRDefault="00A5052F" w:rsidP="00044777">
            <w:pPr>
              <w:pStyle w:val="ARtablecolhead"/>
            </w:pPr>
            <w:r w:rsidRPr="006663D5">
              <w:t xml:space="preserve">Disclosures under the </w:t>
            </w:r>
            <w:r w:rsidRPr="006663D5">
              <w:rPr>
                <w:i/>
              </w:rPr>
              <w:t>Protected Disclosure Act 2012</w:t>
            </w:r>
          </w:p>
        </w:tc>
        <w:tc>
          <w:tcPr>
            <w:tcW w:w="851" w:type="dxa"/>
            <w:shd w:val="clear" w:color="auto" w:fill="auto"/>
            <w:vAlign w:val="bottom"/>
          </w:tcPr>
          <w:p w14:paraId="0EB4A678" w14:textId="77777777" w:rsidR="00A5052F" w:rsidRPr="006663D5" w:rsidRDefault="00A5052F" w:rsidP="005245B0">
            <w:pPr>
              <w:pStyle w:val="ARtablecolheadright"/>
            </w:pPr>
            <w:r w:rsidRPr="006663D5">
              <w:t>201</w:t>
            </w:r>
            <w:r w:rsidR="008C4B50">
              <w:t>8</w:t>
            </w:r>
            <w:r w:rsidRPr="006663D5">
              <w:t>–1</w:t>
            </w:r>
            <w:r w:rsidR="008C4B50">
              <w:t>9</w:t>
            </w:r>
            <w:r w:rsidRPr="006663D5">
              <w:t xml:space="preserve"> number</w:t>
            </w:r>
          </w:p>
        </w:tc>
        <w:tc>
          <w:tcPr>
            <w:tcW w:w="851" w:type="dxa"/>
            <w:shd w:val="clear" w:color="auto" w:fill="auto"/>
            <w:vAlign w:val="bottom"/>
          </w:tcPr>
          <w:p w14:paraId="43630B88" w14:textId="77777777" w:rsidR="00A5052F" w:rsidRPr="006663D5" w:rsidRDefault="00A5052F" w:rsidP="005245B0">
            <w:pPr>
              <w:pStyle w:val="ARtablecolheadright"/>
            </w:pPr>
            <w:r w:rsidRPr="006663D5">
              <w:t>201</w:t>
            </w:r>
            <w:r w:rsidR="008C4B50">
              <w:t>7</w:t>
            </w:r>
            <w:r w:rsidRPr="006663D5">
              <w:t>–1</w:t>
            </w:r>
            <w:r w:rsidR="008C4B50">
              <w:t>8</w:t>
            </w:r>
            <w:r w:rsidRPr="006663D5">
              <w:t xml:space="preserve"> number</w:t>
            </w:r>
          </w:p>
        </w:tc>
      </w:tr>
      <w:tr w:rsidR="00A5052F" w:rsidRPr="006663D5" w14:paraId="1B2DE79D" w14:textId="77777777" w:rsidTr="00044777">
        <w:trPr>
          <w:cantSplit/>
        </w:trPr>
        <w:tc>
          <w:tcPr>
            <w:tcW w:w="2891" w:type="dxa"/>
            <w:shd w:val="clear" w:color="auto" w:fill="auto"/>
          </w:tcPr>
          <w:p w14:paraId="20E75EE8" w14:textId="77777777" w:rsidR="00A5052F" w:rsidRPr="006663D5" w:rsidRDefault="00C87429" w:rsidP="005245B0">
            <w:pPr>
              <w:pStyle w:val="ARtabletext"/>
            </w:pPr>
            <w:r w:rsidRPr="006663D5">
              <w:t xml:space="preserve">The number of disclosures made by an individual to the </w:t>
            </w:r>
            <w:r w:rsidR="00345BD9">
              <w:t>d</w:t>
            </w:r>
            <w:r w:rsidR="00345BD9" w:rsidRPr="006663D5">
              <w:t xml:space="preserve">epartment </w:t>
            </w:r>
            <w:r w:rsidRPr="006663D5">
              <w:t>and notified to the Independent Broad</w:t>
            </w:r>
            <w:r w:rsidR="00345BD9">
              <w:t>-</w:t>
            </w:r>
            <w:r w:rsidRPr="006663D5">
              <w:t xml:space="preserve">based </w:t>
            </w:r>
            <w:r w:rsidR="006354F5" w:rsidRPr="006663D5">
              <w:t>Anti-corruption</w:t>
            </w:r>
            <w:r w:rsidRPr="006663D5">
              <w:t xml:space="preserve"> Commission</w:t>
            </w:r>
          </w:p>
        </w:tc>
        <w:tc>
          <w:tcPr>
            <w:tcW w:w="851" w:type="dxa"/>
            <w:shd w:val="clear" w:color="auto" w:fill="auto"/>
          </w:tcPr>
          <w:p w14:paraId="6730B415" w14:textId="77777777" w:rsidR="00A5052F" w:rsidRPr="006663D5" w:rsidRDefault="008C4B50" w:rsidP="00C87429">
            <w:pPr>
              <w:pStyle w:val="ARtabletextright"/>
            </w:pPr>
            <w:r>
              <w:t>1</w:t>
            </w:r>
          </w:p>
        </w:tc>
        <w:tc>
          <w:tcPr>
            <w:tcW w:w="851" w:type="dxa"/>
            <w:shd w:val="clear" w:color="auto" w:fill="auto"/>
          </w:tcPr>
          <w:p w14:paraId="5279869C" w14:textId="77777777" w:rsidR="00A5052F" w:rsidRPr="006663D5" w:rsidRDefault="008C4B50" w:rsidP="00C87429">
            <w:pPr>
              <w:pStyle w:val="ARtabletextright"/>
            </w:pPr>
            <w:r>
              <w:t>7</w:t>
            </w:r>
          </w:p>
        </w:tc>
      </w:tr>
    </w:tbl>
    <w:p w14:paraId="24DB4768" w14:textId="77777777" w:rsidR="00FE1800" w:rsidRPr="006663D5" w:rsidRDefault="00FE1800" w:rsidP="00FE1800">
      <w:pPr>
        <w:pStyle w:val="Heading2"/>
      </w:pPr>
      <w:bookmarkStart w:id="159" w:name="_Ref21956605"/>
      <w:bookmarkStart w:id="160" w:name="_Ref492895235"/>
      <w:bookmarkEnd w:id="158"/>
      <w:r w:rsidRPr="006663D5">
        <w:t>Building Act 1993</w:t>
      </w:r>
      <w:bookmarkEnd w:id="159"/>
    </w:p>
    <w:p w14:paraId="0B4F2B30" w14:textId="77777777" w:rsidR="00FE1800" w:rsidRPr="006663D5" w:rsidRDefault="00FE1800" w:rsidP="00FE1800">
      <w:pPr>
        <w:pStyle w:val="ARbody"/>
      </w:pPr>
      <w:r w:rsidRPr="006663D5">
        <w:t xml:space="preserve">The department requires that appropriately qualified consultants and contractors are engaged for all proposed works on land controlled by the department or a health service agency, and that their work and services comply with current building standards. All such consultants and contractors are expected to have appropriate mechanisms in place to ensure compliance with the building and maintenance provisions of the </w:t>
      </w:r>
      <w:r w:rsidRPr="00C33120">
        <w:rPr>
          <w:i/>
          <w:iCs/>
        </w:rPr>
        <w:t>Building Act 1993</w:t>
      </w:r>
      <w:r w:rsidRPr="006663D5">
        <w:t>.</w:t>
      </w:r>
    </w:p>
    <w:p w14:paraId="77389212" w14:textId="33B17B48" w:rsidR="00FE1800" w:rsidRPr="006663D5" w:rsidRDefault="00FE1800" w:rsidP="00FE1800">
      <w:pPr>
        <w:pStyle w:val="ARbody"/>
      </w:pPr>
      <w:r w:rsidRPr="006663D5">
        <w:t>In relation to existing buildings, the department is</w:t>
      </w:r>
      <w:r w:rsidR="006E277C">
        <w:t> </w:t>
      </w:r>
      <w:r w:rsidRPr="006663D5">
        <w:t xml:space="preserve">responsible for the mandatory testing of all </w:t>
      </w:r>
      <w:r w:rsidR="00345BD9" w:rsidRPr="006663D5">
        <w:t xml:space="preserve">essential safety measures </w:t>
      </w:r>
      <w:r w:rsidRPr="006663D5">
        <w:t xml:space="preserve">on a monthly, quarterly, bi-annual and </w:t>
      </w:r>
      <w:r w:rsidR="00345BD9">
        <w:t>five-</w:t>
      </w:r>
      <w:r w:rsidRPr="006663D5">
        <w:t>yearly basis to comply with the requirements of Australian Standard 1851. Testing of emergency and exit lights, sprinklers, detection and other essential safety measures form part of this routine preventative maintenance with responsive works actioned through existing maintenance contracts.</w:t>
      </w:r>
    </w:p>
    <w:p w14:paraId="6F4D3BB7" w14:textId="77777777" w:rsidR="008D124E" w:rsidRDefault="00FE1800" w:rsidP="00FE1800">
      <w:pPr>
        <w:pStyle w:val="ARbody"/>
      </w:pPr>
      <w:r w:rsidRPr="006663D5">
        <w:t xml:space="preserve">The department continues to liaise and contribute to the progress and outcomes of the Victorian Cladding Taskforce, and the handover of functions to the Victorian Building Authority. Relevant buildings owned by the department have been audited against the risk framework developed by the </w:t>
      </w:r>
      <w:r w:rsidR="00345BD9">
        <w:t>t</w:t>
      </w:r>
      <w:r w:rsidR="00345BD9" w:rsidRPr="006663D5">
        <w:t>askforce</w:t>
      </w:r>
      <w:r w:rsidRPr="006663D5">
        <w:t>, and where non-compliant cladding has been discovered, assessed against that framework to derive one of the four risk categories.</w:t>
      </w:r>
    </w:p>
    <w:p w14:paraId="122A0F04" w14:textId="195BBC23" w:rsidR="00FE1800" w:rsidRPr="006663D5" w:rsidRDefault="00FE1800" w:rsidP="00FE1800">
      <w:pPr>
        <w:pStyle w:val="ARbody"/>
      </w:pPr>
      <w:r w:rsidRPr="006663D5">
        <w:t>These buildings are now being progressively rectified and/or remediated in accordance with that risk ranking and as resources and funding allows.</w:t>
      </w:r>
    </w:p>
    <w:p w14:paraId="728EB55C" w14:textId="77777777" w:rsidR="00FE1800" w:rsidRPr="006663D5" w:rsidRDefault="00FE1800" w:rsidP="00FE1800">
      <w:pPr>
        <w:pStyle w:val="ARbody"/>
      </w:pPr>
      <w:r w:rsidRPr="006663D5">
        <w:t>The department undertook 379 major works projects in 2018–19, secured 171 building permits and 216 certificates of occupancy.</w:t>
      </w:r>
    </w:p>
    <w:p w14:paraId="67D0915E" w14:textId="04D4101C" w:rsidR="0092299C" w:rsidRPr="006663D5" w:rsidRDefault="0092299C" w:rsidP="005F7104">
      <w:pPr>
        <w:pStyle w:val="Heading2"/>
      </w:pPr>
      <w:bookmarkStart w:id="161" w:name="_Ref21956652"/>
      <w:r w:rsidRPr="006663D5">
        <w:t>Compliance with the Carers Recognition Act 2012</w:t>
      </w:r>
      <w:bookmarkEnd w:id="160"/>
      <w:bookmarkEnd w:id="161"/>
    </w:p>
    <w:p w14:paraId="4765A23B" w14:textId="2782BE4E" w:rsidR="000B7427" w:rsidRPr="006663D5" w:rsidRDefault="000B7427" w:rsidP="000B7427">
      <w:pPr>
        <w:pStyle w:val="ARbody"/>
      </w:pPr>
      <w:bookmarkStart w:id="162" w:name="_Ref492895171"/>
      <w:bookmarkStart w:id="163" w:name="_Ref525048051"/>
      <w:r w:rsidRPr="006663D5">
        <w:t>The department has taken all practical measures to</w:t>
      </w:r>
      <w:r w:rsidR="006E277C">
        <w:t> </w:t>
      </w:r>
      <w:r w:rsidRPr="006663D5">
        <w:t>comply with its obligations under the Act. These</w:t>
      </w:r>
      <w:r w:rsidR="006E277C">
        <w:t> </w:t>
      </w:r>
      <w:r w:rsidRPr="006663D5">
        <w:t>include:</w:t>
      </w:r>
    </w:p>
    <w:p w14:paraId="210D9E88" w14:textId="6452EC6F" w:rsidR="000B7427" w:rsidRPr="006663D5" w:rsidRDefault="000B7427" w:rsidP="000B7427">
      <w:pPr>
        <w:pStyle w:val="ARbullet1"/>
      </w:pPr>
      <w:r w:rsidRPr="006663D5">
        <w:t>providing online and written information on the</w:t>
      </w:r>
      <w:r w:rsidR="006E277C">
        <w:t> </w:t>
      </w:r>
      <w:r w:rsidRPr="006663D5">
        <w:t>principles of the Act and their application</w:t>
      </w:r>
    </w:p>
    <w:p w14:paraId="22878CDE" w14:textId="77777777" w:rsidR="000B7427" w:rsidRPr="006663D5" w:rsidRDefault="000B7427" w:rsidP="000B7427">
      <w:pPr>
        <w:pStyle w:val="ARbullet1"/>
      </w:pPr>
      <w:r w:rsidRPr="006663D5">
        <w:t>promoting the principles of the Act to people in care relationships who receive the department’s services and to the wider community, such as:</w:t>
      </w:r>
    </w:p>
    <w:p w14:paraId="4533E2BC" w14:textId="68432103" w:rsidR="000B7427" w:rsidRPr="006663D5" w:rsidRDefault="000B7427" w:rsidP="000B7427">
      <w:pPr>
        <w:pStyle w:val="ARbullet2"/>
      </w:pPr>
      <w:r w:rsidRPr="006663D5">
        <w:t>distributing printed material about the Act at</w:t>
      </w:r>
      <w:r w:rsidR="006E277C">
        <w:t> </w:t>
      </w:r>
      <w:r w:rsidRPr="006663D5">
        <w:t>community events or service points</w:t>
      </w:r>
    </w:p>
    <w:p w14:paraId="728E2813" w14:textId="77777777" w:rsidR="000B7427" w:rsidRPr="006663D5" w:rsidRDefault="000B7427" w:rsidP="000B7427">
      <w:pPr>
        <w:pStyle w:val="ARbullet2"/>
      </w:pPr>
      <w:r w:rsidRPr="006663D5">
        <w:t>providing links to state government resource materials on the department’s website</w:t>
      </w:r>
    </w:p>
    <w:p w14:paraId="52A462AD" w14:textId="265C967A" w:rsidR="000B7427" w:rsidRPr="006663D5" w:rsidRDefault="000B7427" w:rsidP="000B7427">
      <w:pPr>
        <w:pStyle w:val="ARbullet2"/>
      </w:pPr>
      <w:r w:rsidRPr="006663D5">
        <w:t>and providing digital and/or printed information about the Act to the department’s</w:t>
      </w:r>
      <w:r w:rsidR="00713A1F">
        <w:t> </w:t>
      </w:r>
      <w:r w:rsidRPr="006663D5">
        <w:t>partner organisations</w:t>
      </w:r>
    </w:p>
    <w:p w14:paraId="076A77C5" w14:textId="77777777" w:rsidR="000B7427" w:rsidRPr="006663D5" w:rsidRDefault="000B7427" w:rsidP="000B7427">
      <w:pPr>
        <w:pStyle w:val="ARbullet1"/>
      </w:pPr>
      <w:r w:rsidRPr="006663D5">
        <w:t>supporting application of the Act</w:t>
      </w:r>
      <w:r w:rsidR="00345BD9">
        <w:t>’s</w:t>
      </w:r>
      <w:r w:rsidRPr="006663D5">
        <w:t xml:space="preserve"> principles through Victorian Support for Carers Program service providers, ensuring carers have an awareness and understanding of the care relationship principles set out in the Act and what they mean for carers</w:t>
      </w:r>
      <w:r w:rsidR="00345BD9">
        <w:t>, and that</w:t>
      </w:r>
      <w:r w:rsidRPr="006663D5">
        <w:t xml:space="preserve"> carers provide input on improving processes, systems and services to better support them</w:t>
      </w:r>
    </w:p>
    <w:p w14:paraId="1A8169C8" w14:textId="02C5CB4D" w:rsidR="000B7427" w:rsidRPr="006663D5" w:rsidRDefault="000B7427" w:rsidP="000B7427">
      <w:pPr>
        <w:pStyle w:val="ARbullet1"/>
      </w:pPr>
      <w:r w:rsidRPr="006663D5">
        <w:t>considering the care relationship principles set</w:t>
      </w:r>
      <w:r w:rsidR="006E277C">
        <w:t> </w:t>
      </w:r>
      <w:r w:rsidRPr="006663D5">
        <w:t>out in the Act when setting policies and providing services. This is done by reviewing employment policies such as flexible working arrangements and leave provisions to ensure that these comply with the statement of principles in the Act</w:t>
      </w:r>
      <w:r w:rsidR="00345BD9">
        <w:t>, a</w:t>
      </w:r>
      <w:r w:rsidR="00117960">
        <w:t>nd</w:t>
      </w:r>
      <w:r w:rsidRPr="006663D5">
        <w:t xml:space="preserve"> developing a satisfaction survey for distribution at assessment</w:t>
      </w:r>
      <w:r w:rsidR="006E277C">
        <w:t> </w:t>
      </w:r>
      <w:r w:rsidRPr="006663D5">
        <w:t>and review meetings between workers, carers and those receiving care</w:t>
      </w:r>
    </w:p>
    <w:p w14:paraId="60BAB1F1" w14:textId="3200D9A6" w:rsidR="008D124E" w:rsidRDefault="006E277C" w:rsidP="000B7427">
      <w:pPr>
        <w:pStyle w:val="ARbullet1"/>
      </w:pPr>
      <w:r>
        <w:br w:type="column"/>
      </w:r>
      <w:r w:rsidR="000B7427" w:rsidRPr="006663D5">
        <w:t xml:space="preserve">launching </w:t>
      </w:r>
      <w:r w:rsidR="000B7427" w:rsidRPr="006663D5">
        <w:rPr>
          <w:i/>
        </w:rPr>
        <w:t>Recognising and supporting Victoria’s carers: Victorian carer strategy 2018–22</w:t>
      </w:r>
      <w:r w:rsidR="000B7427" w:rsidRPr="006663D5">
        <w:t xml:space="preserve"> in July 2018. In line with the Act, priority 5: carers are recognised, acknowledged and respected, focuses on:</w:t>
      </w:r>
    </w:p>
    <w:p w14:paraId="7FAB1D7C" w14:textId="333FCF4F" w:rsidR="000B7427" w:rsidRPr="006663D5" w:rsidRDefault="000B7427" w:rsidP="000B7427">
      <w:pPr>
        <w:pStyle w:val="ARbullet2"/>
      </w:pPr>
      <w:r w:rsidRPr="006663D5">
        <w:t>acknowledgement and recognition of carers</w:t>
      </w:r>
      <w:r w:rsidR="006E277C">
        <w:t> </w:t>
      </w:r>
      <w:r w:rsidRPr="006663D5">
        <w:t>across Victorian communities</w:t>
      </w:r>
    </w:p>
    <w:p w14:paraId="62972C09" w14:textId="77777777" w:rsidR="000B7427" w:rsidRPr="006663D5" w:rsidRDefault="000B7427" w:rsidP="000B7427">
      <w:pPr>
        <w:pStyle w:val="ARbullet2"/>
      </w:pPr>
      <w:r w:rsidRPr="006663D5">
        <w:t>hidden carers better able to access support and services that meet their needs</w:t>
      </w:r>
    </w:p>
    <w:p w14:paraId="5C813733" w14:textId="77777777" w:rsidR="000B7427" w:rsidRPr="006663D5" w:rsidRDefault="000B7427" w:rsidP="000B7427">
      <w:pPr>
        <w:pStyle w:val="ARbullet2"/>
      </w:pPr>
      <w:r w:rsidRPr="006663D5">
        <w:t>better involvement of carers in decision making about services and programs for the people for whom they care.</w:t>
      </w:r>
    </w:p>
    <w:p w14:paraId="642F88E0" w14:textId="77777777" w:rsidR="004A41A9" w:rsidRPr="006663D5" w:rsidRDefault="004A41A9" w:rsidP="005F7104">
      <w:pPr>
        <w:pStyle w:val="Heading2"/>
      </w:pPr>
      <w:bookmarkStart w:id="164" w:name="_Ref21956612"/>
      <w:r w:rsidRPr="006663D5">
        <w:t>National Competition Policy</w:t>
      </w:r>
      <w:bookmarkEnd w:id="162"/>
      <w:bookmarkEnd w:id="163"/>
      <w:bookmarkEnd w:id="164"/>
    </w:p>
    <w:p w14:paraId="0EA2E20E" w14:textId="77777777" w:rsidR="008E2133" w:rsidRPr="006663D5" w:rsidRDefault="008E2133" w:rsidP="008E2133">
      <w:pPr>
        <w:pStyle w:val="ARbody"/>
      </w:pPr>
      <w:r w:rsidRPr="006663D5">
        <w:t>Competitive neutrality requires government businesses to ensure where services compete, or potentially compete</w:t>
      </w:r>
      <w:r w:rsidR="00117960">
        <w:t>,</w:t>
      </w:r>
      <w:r w:rsidRPr="006663D5">
        <w:t xml:space="preserve"> with the private sector, any advantage arising solely from their government ownership be removed if it is not in the public interest.</w:t>
      </w:r>
    </w:p>
    <w:p w14:paraId="19C6DD0C" w14:textId="7EC84C55" w:rsidR="008E2133" w:rsidRPr="006663D5" w:rsidRDefault="008E2133" w:rsidP="008E2133">
      <w:pPr>
        <w:pStyle w:val="ARbody"/>
      </w:pPr>
      <w:r w:rsidRPr="006663D5">
        <w:t>Government businesses are required to cost and</w:t>
      </w:r>
      <w:r w:rsidR="006E277C">
        <w:t> </w:t>
      </w:r>
      <w:r w:rsidRPr="006663D5">
        <w:t>price these services as if they were privately owned. Competitive neutrality policy supports fair competition between public and private businesses and provides government businesses with a tool to</w:t>
      </w:r>
      <w:r w:rsidR="006E277C">
        <w:t> </w:t>
      </w:r>
      <w:r w:rsidRPr="006663D5">
        <w:t>enhance decisions on resource allocation. This policy does not override other policy objectives of</w:t>
      </w:r>
      <w:r w:rsidR="006E277C">
        <w:t> </w:t>
      </w:r>
      <w:r w:rsidRPr="006663D5">
        <w:t>government and focuses on efficiency in the provision of service.</w:t>
      </w:r>
    </w:p>
    <w:p w14:paraId="7D1AE468" w14:textId="28318C3A" w:rsidR="008E2133" w:rsidRDefault="008E2133" w:rsidP="008E2133">
      <w:pPr>
        <w:pStyle w:val="ARbody"/>
      </w:pPr>
      <w:r w:rsidRPr="006663D5">
        <w:t>The department is working to ensure Victoria fulfils</w:t>
      </w:r>
      <w:r w:rsidR="006E277C">
        <w:t> </w:t>
      </w:r>
      <w:r w:rsidRPr="006663D5">
        <w:t>its requirements on competitive neutrality reporting for technological based businesses against the enhanced principles as required under</w:t>
      </w:r>
      <w:r w:rsidR="006E277C">
        <w:t> </w:t>
      </w:r>
      <w:r w:rsidRPr="006663D5">
        <w:t xml:space="preserve">the </w:t>
      </w:r>
      <w:r w:rsidRPr="008154CE">
        <w:rPr>
          <w:iCs/>
        </w:rPr>
        <w:t>Competition Principles Agreement</w:t>
      </w:r>
      <w:r w:rsidRPr="00117960">
        <w:rPr>
          <w:iCs/>
        </w:rPr>
        <w:t xml:space="preserve"> and </w:t>
      </w:r>
      <w:r w:rsidRPr="008154CE">
        <w:rPr>
          <w:iCs/>
        </w:rPr>
        <w:t>Competition and Infrastructure Reform Agreement</w:t>
      </w:r>
      <w:r w:rsidRPr="00117960">
        <w:rPr>
          <w:iCs/>
        </w:rPr>
        <w:t>.</w:t>
      </w:r>
    </w:p>
    <w:p w14:paraId="0BB95BD3" w14:textId="77777777" w:rsidR="005751B0" w:rsidRDefault="005751B0">
      <w:pPr>
        <w:rPr>
          <w:rFonts w:ascii="Arial" w:eastAsia="MS Gothic" w:hAnsi="Arial" w:cs="Times New Roman"/>
          <w:bCs/>
          <w:iCs/>
          <w:color w:val="53565A" w:themeColor="accent2"/>
          <w:sz w:val="32"/>
          <w:szCs w:val="30"/>
          <w:lang w:eastAsia="en-US"/>
        </w:rPr>
      </w:pPr>
      <w:bookmarkStart w:id="165" w:name="_Ref492895256"/>
      <w:bookmarkStart w:id="166" w:name="_Ref492904920"/>
      <w:bookmarkStart w:id="167" w:name="_Ref492895394"/>
      <w:r>
        <w:br w:type="page"/>
      </w:r>
    </w:p>
    <w:p w14:paraId="610472CF" w14:textId="77777777" w:rsidR="00E32913" w:rsidRPr="005751B0" w:rsidRDefault="00E32913" w:rsidP="00E32913">
      <w:pPr>
        <w:pStyle w:val="Heading2"/>
      </w:pPr>
      <w:bookmarkStart w:id="168" w:name="_Ref21862226"/>
      <w:r w:rsidRPr="005751B0">
        <w:t>Details of consultancies</w:t>
      </w:r>
      <w:bookmarkEnd w:id="168"/>
    </w:p>
    <w:bookmarkEnd w:id="165"/>
    <w:p w14:paraId="1696D3EE" w14:textId="3AB39679" w:rsidR="008D124E" w:rsidRDefault="00587582" w:rsidP="00DE3117">
      <w:pPr>
        <w:pStyle w:val="ARbody"/>
        <w:rPr>
          <w:rStyle w:val="Heading3Char"/>
          <w:rFonts w:eastAsia="Times" w:cs="Arial"/>
          <w:bCs w:val="0"/>
          <w:color w:val="auto"/>
          <w:sz w:val="20"/>
        </w:rPr>
      </w:pPr>
      <w:r w:rsidRPr="00DE3117">
        <w:rPr>
          <w:rStyle w:val="Heading3Char"/>
          <w:rFonts w:eastAsia="Times" w:cs="Arial"/>
          <w:bCs w:val="0"/>
          <w:color w:val="auto"/>
          <w:sz w:val="20"/>
        </w:rPr>
        <w:t>In 2018–19, there were 139 consultancies where the total fees payable to the consultants were $10</w:t>
      </w:r>
      <w:r w:rsidR="003F52E6">
        <w:rPr>
          <w:rStyle w:val="Heading3Char"/>
          <w:rFonts w:eastAsia="Times" w:cs="Arial"/>
          <w:bCs w:val="0"/>
          <w:color w:val="auto"/>
          <w:sz w:val="20"/>
        </w:rPr>
        <w:t>,</w:t>
      </w:r>
      <w:r w:rsidRPr="00DE3117">
        <w:rPr>
          <w:rStyle w:val="Heading3Char"/>
          <w:rFonts w:eastAsia="Times" w:cs="Arial"/>
          <w:bCs w:val="0"/>
          <w:color w:val="auto"/>
          <w:sz w:val="20"/>
        </w:rPr>
        <w:t>000 or greater. The total expenditure incurred during 2018–19 in relation to these consultancies is</w:t>
      </w:r>
      <w:r w:rsidR="006E277C">
        <w:rPr>
          <w:rStyle w:val="Heading3Char"/>
          <w:rFonts w:eastAsia="Times" w:cs="Arial"/>
          <w:bCs w:val="0"/>
          <w:color w:val="auto"/>
          <w:sz w:val="20"/>
        </w:rPr>
        <w:t> </w:t>
      </w:r>
      <w:r w:rsidRPr="00DE3117">
        <w:rPr>
          <w:rStyle w:val="Heading3Char"/>
          <w:rFonts w:eastAsia="Times" w:cs="Arial"/>
          <w:bCs w:val="0"/>
          <w:color w:val="auto"/>
          <w:sz w:val="20"/>
        </w:rPr>
        <w:t>$34,234,828 (excluding GST).</w:t>
      </w:r>
    </w:p>
    <w:p w14:paraId="0382CAFC" w14:textId="36960AE1" w:rsidR="00587582" w:rsidRPr="00DE3117" w:rsidRDefault="00587582" w:rsidP="00DE3117">
      <w:pPr>
        <w:pStyle w:val="ARbody"/>
        <w:rPr>
          <w:rStyle w:val="Heading3Char"/>
          <w:rFonts w:eastAsia="Times" w:cs="Arial"/>
          <w:bCs w:val="0"/>
          <w:color w:val="auto"/>
          <w:sz w:val="20"/>
        </w:rPr>
      </w:pPr>
      <w:r w:rsidRPr="00DE3117">
        <w:rPr>
          <w:rStyle w:val="Heading3Char"/>
          <w:rFonts w:eastAsia="Times" w:cs="Arial"/>
          <w:bCs w:val="0"/>
          <w:color w:val="auto"/>
          <w:sz w:val="20"/>
        </w:rPr>
        <w:t>In order to increase transparency, the department has presented the information under six categories:</w:t>
      </w:r>
    </w:p>
    <w:p w14:paraId="4BB1D919" w14:textId="15148B1A" w:rsidR="00587582" w:rsidRPr="00587582" w:rsidRDefault="00E900FF" w:rsidP="00587582">
      <w:pPr>
        <w:pStyle w:val="ARbullet1"/>
        <w:rPr>
          <w:rStyle w:val="Heading3Char"/>
          <w:rFonts w:eastAsia="Times" w:cs="Arial"/>
          <w:bCs w:val="0"/>
          <w:color w:val="auto"/>
          <w:sz w:val="20"/>
        </w:rPr>
      </w:pPr>
      <w:r>
        <w:rPr>
          <w:rStyle w:val="Heading3Char"/>
          <w:rFonts w:eastAsia="Times" w:cs="Arial"/>
          <w:bCs w:val="0"/>
          <w:color w:val="auto"/>
          <w:sz w:val="20"/>
        </w:rPr>
        <w:t>c</w:t>
      </w:r>
      <w:r w:rsidR="00587582" w:rsidRPr="00587582">
        <w:rPr>
          <w:rStyle w:val="Heading3Char"/>
          <w:rFonts w:eastAsia="Times" w:cs="Arial"/>
          <w:bCs w:val="0"/>
          <w:color w:val="auto"/>
          <w:sz w:val="20"/>
        </w:rPr>
        <w:t xml:space="preserve">apital, business </w:t>
      </w:r>
      <w:r w:rsidR="00587582">
        <w:rPr>
          <w:rStyle w:val="Heading3Char"/>
          <w:rFonts w:eastAsia="Times" w:cs="Arial"/>
          <w:bCs w:val="0"/>
          <w:color w:val="auto"/>
          <w:sz w:val="20"/>
        </w:rPr>
        <w:t>and</w:t>
      </w:r>
      <w:r w:rsidR="00587582" w:rsidRPr="00587582">
        <w:rPr>
          <w:rStyle w:val="Heading3Char"/>
          <w:rFonts w:eastAsia="Times" w:cs="Arial"/>
          <w:bCs w:val="0"/>
          <w:color w:val="auto"/>
          <w:sz w:val="20"/>
        </w:rPr>
        <w:t xml:space="preserve"> planning</w:t>
      </w:r>
    </w:p>
    <w:p w14:paraId="00E283B8" w14:textId="55D1F006" w:rsidR="00587582" w:rsidRPr="00587582" w:rsidRDefault="00E900FF" w:rsidP="00587582">
      <w:pPr>
        <w:pStyle w:val="ARbullet1"/>
        <w:rPr>
          <w:rStyle w:val="Heading3Char"/>
          <w:rFonts w:eastAsia="Times" w:cs="Arial"/>
          <w:bCs w:val="0"/>
          <w:color w:val="auto"/>
          <w:sz w:val="20"/>
        </w:rPr>
      </w:pPr>
      <w:r>
        <w:rPr>
          <w:rStyle w:val="Heading3Char"/>
          <w:rFonts w:eastAsia="Times" w:cs="Arial"/>
          <w:bCs w:val="0"/>
          <w:color w:val="auto"/>
          <w:sz w:val="20"/>
        </w:rPr>
        <w:t>i</w:t>
      </w:r>
      <w:r w:rsidR="00587582" w:rsidRPr="00587582">
        <w:rPr>
          <w:rStyle w:val="Heading3Char"/>
          <w:rFonts w:eastAsia="Times" w:cs="Arial"/>
          <w:bCs w:val="0"/>
          <w:color w:val="auto"/>
          <w:sz w:val="20"/>
        </w:rPr>
        <w:t xml:space="preserve">nformation, data </w:t>
      </w:r>
      <w:r w:rsidR="00587582">
        <w:rPr>
          <w:rStyle w:val="Heading3Char"/>
          <w:rFonts w:eastAsia="Times" w:cs="Arial"/>
          <w:bCs w:val="0"/>
          <w:color w:val="auto"/>
          <w:sz w:val="20"/>
        </w:rPr>
        <w:t>and</w:t>
      </w:r>
      <w:r w:rsidR="00587582" w:rsidRPr="00587582">
        <w:rPr>
          <w:rStyle w:val="Heading3Char"/>
          <w:rFonts w:eastAsia="Times" w:cs="Arial"/>
          <w:bCs w:val="0"/>
          <w:color w:val="auto"/>
          <w:sz w:val="20"/>
        </w:rPr>
        <w:t xml:space="preserve"> technology</w:t>
      </w:r>
    </w:p>
    <w:p w14:paraId="0CE3E6C4" w14:textId="69FEFC92" w:rsidR="00587582" w:rsidRPr="00587582" w:rsidRDefault="00E900FF" w:rsidP="00587582">
      <w:pPr>
        <w:pStyle w:val="ARbullet1"/>
        <w:rPr>
          <w:rStyle w:val="Heading3Char"/>
          <w:rFonts w:eastAsia="Times" w:cs="Arial"/>
          <w:bCs w:val="0"/>
          <w:color w:val="auto"/>
          <w:sz w:val="20"/>
        </w:rPr>
      </w:pPr>
      <w:r>
        <w:rPr>
          <w:rStyle w:val="Heading3Char"/>
          <w:rFonts w:eastAsia="Times" w:cs="Arial"/>
          <w:bCs w:val="0"/>
          <w:color w:val="auto"/>
          <w:sz w:val="20"/>
        </w:rPr>
        <w:t>p</w:t>
      </w:r>
      <w:r w:rsidR="00587582" w:rsidRPr="00587582">
        <w:rPr>
          <w:rStyle w:val="Heading3Char"/>
          <w:rFonts w:eastAsia="Times" w:cs="Arial"/>
          <w:bCs w:val="0"/>
          <w:color w:val="auto"/>
          <w:sz w:val="20"/>
        </w:rPr>
        <w:t xml:space="preserve">olicy/program advice </w:t>
      </w:r>
      <w:r w:rsidR="00587582">
        <w:rPr>
          <w:rStyle w:val="Heading3Char"/>
          <w:rFonts w:eastAsia="Times" w:cs="Arial"/>
          <w:bCs w:val="0"/>
          <w:color w:val="auto"/>
          <w:sz w:val="20"/>
        </w:rPr>
        <w:t>and</w:t>
      </w:r>
      <w:r w:rsidR="00587582" w:rsidRPr="00587582">
        <w:rPr>
          <w:rStyle w:val="Heading3Char"/>
          <w:rFonts w:eastAsia="Times" w:cs="Arial"/>
          <w:bCs w:val="0"/>
          <w:color w:val="auto"/>
          <w:sz w:val="20"/>
        </w:rPr>
        <w:t xml:space="preserve"> delivery</w:t>
      </w:r>
    </w:p>
    <w:p w14:paraId="1E18942B" w14:textId="20DDBB68" w:rsidR="00587582" w:rsidRPr="00587582" w:rsidRDefault="00E900FF" w:rsidP="00587582">
      <w:pPr>
        <w:pStyle w:val="ARbullet1"/>
        <w:rPr>
          <w:rStyle w:val="Heading3Char"/>
          <w:rFonts w:eastAsia="Times" w:cs="Arial"/>
          <w:bCs w:val="0"/>
          <w:color w:val="auto"/>
          <w:sz w:val="20"/>
        </w:rPr>
      </w:pPr>
      <w:r>
        <w:rPr>
          <w:rStyle w:val="Heading3Char"/>
          <w:rFonts w:eastAsia="Times" w:cs="Arial"/>
          <w:bCs w:val="0"/>
          <w:color w:val="auto"/>
          <w:sz w:val="20"/>
        </w:rPr>
        <w:t>p</w:t>
      </w:r>
      <w:r w:rsidR="00587582" w:rsidRPr="00587582">
        <w:rPr>
          <w:rStyle w:val="Heading3Char"/>
          <w:rFonts w:eastAsia="Times" w:cs="Arial"/>
          <w:bCs w:val="0"/>
          <w:color w:val="auto"/>
          <w:sz w:val="20"/>
        </w:rPr>
        <w:t xml:space="preserve">robity, data integrity </w:t>
      </w:r>
      <w:r w:rsidR="00587582">
        <w:rPr>
          <w:rStyle w:val="Heading3Char"/>
          <w:rFonts w:eastAsia="Times" w:cs="Arial"/>
          <w:bCs w:val="0"/>
          <w:color w:val="auto"/>
          <w:sz w:val="20"/>
        </w:rPr>
        <w:t>and</w:t>
      </w:r>
      <w:r w:rsidR="00587582" w:rsidRPr="00587582">
        <w:rPr>
          <w:rStyle w:val="Heading3Char"/>
          <w:rFonts w:eastAsia="Times" w:cs="Arial"/>
          <w:bCs w:val="0"/>
          <w:color w:val="auto"/>
          <w:sz w:val="20"/>
        </w:rPr>
        <w:t xml:space="preserve"> audit</w:t>
      </w:r>
    </w:p>
    <w:p w14:paraId="2FF905FC" w14:textId="2E3483D2" w:rsidR="00587582" w:rsidRDefault="00E900FF" w:rsidP="00587582">
      <w:pPr>
        <w:pStyle w:val="ARbullet1"/>
        <w:rPr>
          <w:rStyle w:val="Heading3Char"/>
          <w:rFonts w:eastAsia="Times" w:cs="Arial"/>
          <w:bCs w:val="0"/>
          <w:color w:val="auto"/>
          <w:sz w:val="20"/>
        </w:rPr>
      </w:pPr>
      <w:r>
        <w:rPr>
          <w:rStyle w:val="Heading3Char"/>
          <w:rFonts w:eastAsia="Times" w:cs="Arial"/>
          <w:bCs w:val="0"/>
          <w:color w:val="auto"/>
          <w:sz w:val="20"/>
        </w:rPr>
        <w:t>p</w:t>
      </w:r>
      <w:r w:rsidR="00587582" w:rsidRPr="00587582">
        <w:rPr>
          <w:rStyle w:val="Heading3Char"/>
          <w:rFonts w:eastAsia="Times" w:cs="Arial"/>
          <w:bCs w:val="0"/>
          <w:color w:val="auto"/>
          <w:sz w:val="20"/>
        </w:rPr>
        <w:t xml:space="preserve">rogram assessment </w:t>
      </w:r>
      <w:r w:rsidR="00587582">
        <w:rPr>
          <w:rStyle w:val="Heading3Char"/>
          <w:rFonts w:eastAsia="Times" w:cs="Arial"/>
          <w:bCs w:val="0"/>
          <w:color w:val="auto"/>
          <w:sz w:val="20"/>
        </w:rPr>
        <w:t>and</w:t>
      </w:r>
      <w:r w:rsidR="00587582" w:rsidRPr="00587582">
        <w:rPr>
          <w:rStyle w:val="Heading3Char"/>
          <w:rFonts w:eastAsia="Times" w:cs="Arial"/>
          <w:bCs w:val="0"/>
          <w:color w:val="auto"/>
          <w:sz w:val="20"/>
        </w:rPr>
        <w:t xml:space="preserve"> evaluation</w:t>
      </w:r>
    </w:p>
    <w:p w14:paraId="7F6753E5" w14:textId="7CA08EDF" w:rsidR="00587582" w:rsidRPr="00587582" w:rsidRDefault="00E900FF" w:rsidP="00587582">
      <w:pPr>
        <w:pStyle w:val="ARbullet1"/>
        <w:rPr>
          <w:rStyle w:val="Heading3Char"/>
          <w:rFonts w:eastAsia="Times" w:cs="Arial"/>
          <w:bCs w:val="0"/>
          <w:color w:val="auto"/>
          <w:sz w:val="20"/>
        </w:rPr>
      </w:pPr>
      <w:r>
        <w:rPr>
          <w:rStyle w:val="Heading3Char"/>
          <w:rFonts w:eastAsia="Times" w:cs="Arial"/>
          <w:bCs w:val="0"/>
          <w:color w:val="auto"/>
          <w:sz w:val="20"/>
        </w:rPr>
        <w:t>w</w:t>
      </w:r>
      <w:r w:rsidR="00587582" w:rsidRPr="00587582">
        <w:rPr>
          <w:rStyle w:val="Heading3Char"/>
          <w:rFonts w:eastAsia="Times" w:cs="Arial"/>
          <w:bCs w:val="0"/>
          <w:color w:val="auto"/>
          <w:sz w:val="20"/>
        </w:rPr>
        <w:t xml:space="preserve">orkforce </w:t>
      </w:r>
      <w:r w:rsidR="00587582">
        <w:rPr>
          <w:rStyle w:val="Heading3Char"/>
          <w:rFonts w:eastAsia="Times" w:cs="Arial"/>
          <w:bCs w:val="0"/>
          <w:color w:val="auto"/>
          <w:sz w:val="20"/>
        </w:rPr>
        <w:t>s</w:t>
      </w:r>
      <w:r w:rsidR="00587582" w:rsidRPr="00587582">
        <w:rPr>
          <w:rStyle w:val="Heading3Char"/>
          <w:rFonts w:eastAsia="Times" w:cs="Arial"/>
          <w:bCs w:val="0"/>
          <w:color w:val="auto"/>
          <w:sz w:val="20"/>
        </w:rPr>
        <w:t>upport</w:t>
      </w:r>
      <w:r>
        <w:rPr>
          <w:rStyle w:val="Heading3Char"/>
          <w:rFonts w:eastAsia="Times" w:cs="Arial"/>
          <w:bCs w:val="0"/>
          <w:color w:val="auto"/>
          <w:sz w:val="20"/>
        </w:rPr>
        <w:t>.</w:t>
      </w:r>
    </w:p>
    <w:p w14:paraId="3A0A7B5B" w14:textId="77777777" w:rsidR="00587582" w:rsidRPr="00587582" w:rsidRDefault="00587582" w:rsidP="00587582">
      <w:pPr>
        <w:pStyle w:val="Heading3"/>
        <w:rPr>
          <w:rStyle w:val="Heading3Char"/>
          <w:bCs/>
        </w:rPr>
      </w:pPr>
      <w:bookmarkStart w:id="169" w:name="_Ref21956782"/>
      <w:r w:rsidRPr="00587582">
        <w:rPr>
          <w:rStyle w:val="Heading3Char"/>
          <w:bCs/>
        </w:rPr>
        <w:t>Details of consultancies under $10,000</w:t>
      </w:r>
      <w:bookmarkEnd w:id="169"/>
    </w:p>
    <w:p w14:paraId="2F38C08A" w14:textId="25EBD318" w:rsidR="008D124E" w:rsidRDefault="00587582" w:rsidP="00DE3117">
      <w:pPr>
        <w:pStyle w:val="ARbody"/>
        <w:rPr>
          <w:rStyle w:val="Heading3Char"/>
          <w:rFonts w:eastAsia="Times" w:cs="Arial"/>
          <w:bCs w:val="0"/>
          <w:color w:val="auto"/>
          <w:sz w:val="20"/>
        </w:rPr>
      </w:pPr>
      <w:r w:rsidRPr="00DE3117">
        <w:rPr>
          <w:rStyle w:val="Heading3Char"/>
          <w:rFonts w:eastAsia="Times" w:cs="Arial"/>
          <w:bCs w:val="0"/>
          <w:color w:val="auto"/>
          <w:sz w:val="20"/>
        </w:rPr>
        <w:t>In 2018</w:t>
      </w:r>
      <w:r w:rsidR="005751B0">
        <w:rPr>
          <w:rStyle w:val="Heading3Char"/>
          <w:rFonts w:eastAsia="Times" w:cs="Arial"/>
          <w:bCs w:val="0"/>
          <w:color w:val="auto"/>
          <w:sz w:val="20"/>
        </w:rPr>
        <w:t>–</w:t>
      </w:r>
      <w:r w:rsidRPr="00DE3117">
        <w:rPr>
          <w:rStyle w:val="Heading3Char"/>
          <w:rFonts w:eastAsia="Times" w:cs="Arial"/>
          <w:bCs w:val="0"/>
          <w:color w:val="auto"/>
          <w:sz w:val="20"/>
        </w:rPr>
        <w:t xml:space="preserve">19, there were 18 consultancies engaged during the year, where the total fees payable to the individual consultancies </w:t>
      </w:r>
      <w:r w:rsidR="003F52E6">
        <w:rPr>
          <w:rStyle w:val="Heading3Char"/>
          <w:rFonts w:eastAsia="Times" w:cs="Arial"/>
          <w:bCs w:val="0"/>
          <w:color w:val="auto"/>
          <w:sz w:val="20"/>
        </w:rPr>
        <w:t>were</w:t>
      </w:r>
      <w:r w:rsidR="003F52E6" w:rsidRPr="00DE3117">
        <w:rPr>
          <w:rStyle w:val="Heading3Char"/>
          <w:rFonts w:eastAsia="Times" w:cs="Arial"/>
          <w:bCs w:val="0"/>
          <w:color w:val="auto"/>
          <w:sz w:val="20"/>
        </w:rPr>
        <w:t xml:space="preserve"> </w:t>
      </w:r>
      <w:r w:rsidRPr="00DE3117">
        <w:rPr>
          <w:rStyle w:val="Heading3Char"/>
          <w:rFonts w:eastAsia="Times" w:cs="Arial"/>
          <w:bCs w:val="0"/>
          <w:color w:val="auto"/>
          <w:sz w:val="20"/>
        </w:rPr>
        <w:t>less than $10,000. The total expenditure incurred during 2018</w:t>
      </w:r>
      <w:r w:rsidR="003F52E6">
        <w:rPr>
          <w:rStyle w:val="Heading3Char"/>
          <w:rFonts w:eastAsia="Times" w:cs="Arial"/>
          <w:bCs w:val="0"/>
          <w:color w:val="auto"/>
          <w:sz w:val="20"/>
        </w:rPr>
        <w:t>–</w:t>
      </w:r>
      <w:r w:rsidRPr="00DE3117">
        <w:rPr>
          <w:rStyle w:val="Heading3Char"/>
          <w:rFonts w:eastAsia="Times" w:cs="Arial"/>
          <w:bCs w:val="0"/>
          <w:color w:val="auto"/>
          <w:sz w:val="20"/>
        </w:rPr>
        <w:t>19 in</w:t>
      </w:r>
      <w:r w:rsidR="006E277C">
        <w:rPr>
          <w:rStyle w:val="Heading3Char"/>
          <w:rFonts w:eastAsia="Times" w:cs="Arial"/>
          <w:bCs w:val="0"/>
          <w:color w:val="auto"/>
          <w:sz w:val="20"/>
        </w:rPr>
        <w:t> </w:t>
      </w:r>
      <w:r w:rsidRPr="00DE3117">
        <w:rPr>
          <w:rStyle w:val="Heading3Char"/>
          <w:rFonts w:eastAsia="Times" w:cs="Arial"/>
          <w:bCs w:val="0"/>
          <w:color w:val="auto"/>
          <w:sz w:val="20"/>
        </w:rPr>
        <w:t>relation to these consultancies was $87,795</w:t>
      </w:r>
      <w:r w:rsidR="00C800EC">
        <w:rPr>
          <w:rStyle w:val="Heading3Char"/>
          <w:rFonts w:eastAsia="Times" w:cs="Arial"/>
          <w:bCs w:val="0"/>
          <w:color w:val="auto"/>
          <w:sz w:val="20"/>
        </w:rPr>
        <w:t xml:space="preserve"> </w:t>
      </w:r>
      <w:r w:rsidRPr="00DE3117">
        <w:rPr>
          <w:rStyle w:val="Heading3Char"/>
          <w:rFonts w:eastAsia="Times" w:cs="Arial"/>
          <w:bCs w:val="0"/>
          <w:color w:val="auto"/>
          <w:sz w:val="20"/>
        </w:rPr>
        <w:t>(excl</w:t>
      </w:r>
      <w:r w:rsidR="00EA7F11">
        <w:rPr>
          <w:rStyle w:val="Heading3Char"/>
          <w:rFonts w:eastAsia="Times" w:cs="Arial"/>
          <w:bCs w:val="0"/>
          <w:color w:val="auto"/>
          <w:sz w:val="20"/>
        </w:rPr>
        <w:t>uding</w:t>
      </w:r>
      <w:r w:rsidRPr="00DE3117">
        <w:rPr>
          <w:rStyle w:val="Heading3Char"/>
          <w:rFonts w:eastAsia="Times" w:cs="Arial"/>
          <w:bCs w:val="0"/>
          <w:color w:val="auto"/>
          <w:sz w:val="20"/>
        </w:rPr>
        <w:t xml:space="preserve"> GST).</w:t>
      </w:r>
    </w:p>
    <w:p w14:paraId="732C4BA9" w14:textId="334D1559" w:rsidR="00B94BFB" w:rsidRPr="00B94BFB" w:rsidRDefault="00B94BFB" w:rsidP="00B94BFB">
      <w:pPr>
        <w:pStyle w:val="Heading3"/>
        <w:rPr>
          <w:rStyle w:val="Heading3Char"/>
          <w:bCs/>
        </w:rPr>
      </w:pPr>
      <w:bookmarkStart w:id="170" w:name="_Ref21956787"/>
      <w:r w:rsidRPr="00B94BFB">
        <w:rPr>
          <w:rStyle w:val="Heading3Char"/>
          <w:bCs/>
        </w:rPr>
        <w:t>Disclosure of major contracts</w:t>
      </w:r>
      <w:bookmarkEnd w:id="170"/>
    </w:p>
    <w:p w14:paraId="055F7C6C" w14:textId="2045F74F" w:rsidR="00B94BFB" w:rsidRPr="00B94BFB" w:rsidRDefault="00B94BFB" w:rsidP="00B94BFB">
      <w:pPr>
        <w:pStyle w:val="ARbody"/>
        <w:rPr>
          <w:rStyle w:val="Heading3Char"/>
          <w:rFonts w:eastAsia="Times" w:cs="Arial"/>
          <w:bCs w:val="0"/>
          <w:color w:val="auto"/>
          <w:sz w:val="20"/>
        </w:rPr>
      </w:pPr>
      <w:r w:rsidRPr="00B94BFB">
        <w:rPr>
          <w:rStyle w:val="Heading3Char"/>
          <w:rFonts w:eastAsia="Times" w:cs="Arial"/>
          <w:bCs w:val="0"/>
          <w:color w:val="auto"/>
          <w:sz w:val="20"/>
        </w:rPr>
        <w:t xml:space="preserve">The </w:t>
      </w:r>
      <w:r>
        <w:rPr>
          <w:rStyle w:val="Heading3Char"/>
          <w:rFonts w:eastAsia="Times" w:cs="Arial"/>
          <w:bCs w:val="0"/>
          <w:color w:val="auto"/>
          <w:sz w:val="20"/>
        </w:rPr>
        <w:t>d</w:t>
      </w:r>
      <w:r w:rsidRPr="00B94BFB">
        <w:rPr>
          <w:rStyle w:val="Heading3Char"/>
          <w:rFonts w:eastAsia="Times" w:cs="Arial"/>
          <w:bCs w:val="0"/>
          <w:color w:val="auto"/>
          <w:sz w:val="20"/>
        </w:rPr>
        <w:t>epartment has disclosed, in accordance with</w:t>
      </w:r>
      <w:r w:rsidR="006E277C">
        <w:rPr>
          <w:rStyle w:val="Heading3Char"/>
          <w:rFonts w:eastAsia="Times" w:cs="Arial"/>
          <w:bCs w:val="0"/>
          <w:color w:val="auto"/>
          <w:sz w:val="20"/>
        </w:rPr>
        <w:t> </w:t>
      </w:r>
      <w:r w:rsidRPr="00B94BFB">
        <w:rPr>
          <w:rStyle w:val="Heading3Char"/>
          <w:rFonts w:eastAsia="Times" w:cs="Arial"/>
          <w:bCs w:val="0"/>
          <w:color w:val="auto"/>
          <w:sz w:val="20"/>
        </w:rPr>
        <w:t>the requirements of government policy and accompanying guidelines, all contracts greater than</w:t>
      </w:r>
      <w:r w:rsidR="006E277C">
        <w:rPr>
          <w:rStyle w:val="Heading3Char"/>
          <w:rFonts w:eastAsia="Times" w:cs="Arial"/>
          <w:bCs w:val="0"/>
          <w:color w:val="auto"/>
          <w:sz w:val="20"/>
        </w:rPr>
        <w:t> </w:t>
      </w:r>
      <w:r w:rsidRPr="00B94BFB">
        <w:rPr>
          <w:rStyle w:val="Heading3Char"/>
          <w:rFonts w:eastAsia="Times" w:cs="Arial"/>
          <w:bCs w:val="0"/>
          <w:color w:val="auto"/>
          <w:sz w:val="20"/>
        </w:rPr>
        <w:t>$10 million in value entered into during the year ended 30 June 2019. Details of contracts that have been disclosed in the Victorian Government contracts publishing system can be viewed at</w:t>
      </w:r>
      <w:r>
        <w:rPr>
          <w:rStyle w:val="Heading3Char"/>
          <w:rFonts w:eastAsia="Times" w:cs="Arial"/>
          <w:bCs w:val="0"/>
          <w:color w:val="auto"/>
          <w:sz w:val="20"/>
        </w:rPr>
        <w:t xml:space="preserve"> </w:t>
      </w:r>
      <w:bookmarkStart w:id="171" w:name="_Hlk19629936"/>
      <w:r>
        <w:rPr>
          <w:rStyle w:val="Heading3Char"/>
          <w:rFonts w:eastAsia="Times" w:cs="Arial"/>
          <w:bCs w:val="0"/>
          <w:color w:val="auto"/>
          <w:sz w:val="20"/>
        </w:rPr>
        <w:fldChar w:fldCharType="begin"/>
      </w:r>
      <w:r>
        <w:rPr>
          <w:rStyle w:val="Heading3Char"/>
          <w:rFonts w:eastAsia="Times" w:cs="Arial"/>
          <w:bCs w:val="0"/>
          <w:color w:val="auto"/>
          <w:sz w:val="20"/>
        </w:rPr>
        <w:instrText xml:space="preserve"> HYPERLINK "http://www.procurement.vic.gov.au" </w:instrText>
      </w:r>
      <w:r>
        <w:rPr>
          <w:rStyle w:val="Heading3Char"/>
          <w:rFonts w:eastAsia="Times" w:cs="Arial"/>
          <w:bCs w:val="0"/>
          <w:color w:val="auto"/>
          <w:sz w:val="20"/>
        </w:rPr>
        <w:fldChar w:fldCharType="separate"/>
      </w:r>
      <w:r w:rsidRPr="00B94BFB">
        <w:rPr>
          <w:rStyle w:val="Hyperlink"/>
        </w:rPr>
        <w:t>Victorian Government Purchasing Board</w:t>
      </w:r>
      <w:r>
        <w:rPr>
          <w:rStyle w:val="Heading3Char"/>
          <w:rFonts w:eastAsia="Times" w:cs="Arial"/>
          <w:bCs w:val="0"/>
          <w:color w:val="auto"/>
          <w:sz w:val="20"/>
        </w:rPr>
        <w:fldChar w:fldCharType="end"/>
      </w:r>
      <w:r w:rsidRPr="00B94BFB">
        <w:rPr>
          <w:rStyle w:val="Heading3Char"/>
          <w:rFonts w:eastAsia="Times" w:cs="Arial"/>
          <w:bCs w:val="0"/>
          <w:color w:val="auto"/>
          <w:sz w:val="20"/>
        </w:rPr>
        <w:t xml:space="preserve"> </w:t>
      </w:r>
      <w:bookmarkEnd w:id="171"/>
      <w:r>
        <w:rPr>
          <w:rStyle w:val="Heading3Char"/>
          <w:rFonts w:eastAsia="Times" w:cs="Arial"/>
          <w:bCs w:val="0"/>
          <w:color w:val="auto"/>
          <w:sz w:val="20"/>
        </w:rPr>
        <w:t>&lt;</w:t>
      </w:r>
      <w:r w:rsidRPr="00B94BFB">
        <w:rPr>
          <w:rStyle w:val="Heading3Char"/>
          <w:rFonts w:eastAsia="Times" w:cs="Arial"/>
          <w:bCs w:val="0"/>
          <w:color w:val="auto"/>
          <w:sz w:val="20"/>
        </w:rPr>
        <w:t>www.procurement.vic.gov.au</w:t>
      </w:r>
      <w:r>
        <w:rPr>
          <w:rStyle w:val="Heading3Char"/>
          <w:rFonts w:eastAsia="Times" w:cs="Arial"/>
          <w:bCs w:val="0"/>
          <w:color w:val="auto"/>
          <w:sz w:val="20"/>
        </w:rPr>
        <w:t>&gt;.</w:t>
      </w:r>
    </w:p>
    <w:p w14:paraId="3B34EF9C" w14:textId="3361D7C2" w:rsidR="00B94BFB" w:rsidRPr="00DE3117" w:rsidRDefault="00B94BFB" w:rsidP="00B94BFB">
      <w:pPr>
        <w:pStyle w:val="ARbody"/>
        <w:rPr>
          <w:rStyle w:val="Heading3Char"/>
          <w:rFonts w:eastAsia="Times" w:cs="Arial"/>
          <w:bCs w:val="0"/>
          <w:color w:val="auto"/>
          <w:sz w:val="20"/>
        </w:rPr>
      </w:pPr>
      <w:r w:rsidRPr="00B94BFB">
        <w:rPr>
          <w:rStyle w:val="Heading3Char"/>
          <w:rFonts w:eastAsia="Times" w:cs="Arial"/>
          <w:bCs w:val="0"/>
          <w:color w:val="auto"/>
          <w:sz w:val="20"/>
        </w:rPr>
        <w:t>Contractual details have not been disclosed for contracts where disclosure is exempted under the</w:t>
      </w:r>
      <w:r w:rsidR="006E277C">
        <w:rPr>
          <w:rStyle w:val="Heading3Char"/>
          <w:rFonts w:eastAsia="Times" w:cs="Arial"/>
          <w:bCs w:val="0"/>
          <w:color w:val="auto"/>
          <w:sz w:val="20"/>
        </w:rPr>
        <w:t> </w:t>
      </w:r>
      <w:r w:rsidRPr="00B94BFB">
        <w:rPr>
          <w:rStyle w:val="Heading3Char"/>
          <w:rFonts w:eastAsia="Times" w:cs="Arial"/>
          <w:bCs w:val="0"/>
          <w:i/>
          <w:color w:val="auto"/>
          <w:sz w:val="20"/>
        </w:rPr>
        <w:t>Freedom of Information Act 1982</w:t>
      </w:r>
      <w:r w:rsidRPr="00B94BFB">
        <w:rPr>
          <w:rStyle w:val="Heading3Char"/>
          <w:rFonts w:eastAsia="Times" w:cs="Arial"/>
          <w:bCs w:val="0"/>
          <w:color w:val="auto"/>
          <w:sz w:val="20"/>
        </w:rPr>
        <w:t xml:space="preserve"> and/or government guidelines.</w:t>
      </w:r>
    </w:p>
    <w:p w14:paraId="78D90C3C" w14:textId="77777777" w:rsidR="00587582" w:rsidRPr="00DE3117" w:rsidRDefault="00B94BFB" w:rsidP="008F035E">
      <w:pPr>
        <w:pStyle w:val="Heading3"/>
        <w:spacing w:before="0"/>
        <w:rPr>
          <w:rStyle w:val="Heading3Char"/>
          <w:bCs/>
          <w:lang w:eastAsia="en-US"/>
        </w:rPr>
      </w:pPr>
      <w:r>
        <w:rPr>
          <w:rStyle w:val="Heading3Char"/>
          <w:bCs/>
        </w:rPr>
        <w:br w:type="column"/>
      </w:r>
      <w:r w:rsidR="00587582" w:rsidRPr="00DE3117">
        <w:rPr>
          <w:rStyle w:val="Heading3Char"/>
          <w:bCs/>
        </w:rPr>
        <w:t>Improving procurement practice</w:t>
      </w:r>
    </w:p>
    <w:p w14:paraId="39B74E76" w14:textId="77777777" w:rsidR="00587582" w:rsidRPr="00DE3117" w:rsidRDefault="00587582" w:rsidP="00DE3117">
      <w:pPr>
        <w:pStyle w:val="ARbody"/>
        <w:rPr>
          <w:rStyle w:val="Heading3Char"/>
          <w:rFonts w:eastAsia="Times" w:cs="Arial"/>
          <w:bCs w:val="0"/>
          <w:color w:val="auto"/>
          <w:sz w:val="20"/>
        </w:rPr>
      </w:pPr>
      <w:r w:rsidRPr="00DE3117">
        <w:rPr>
          <w:rStyle w:val="Heading3Char"/>
          <w:rFonts w:eastAsia="Times" w:cs="Arial"/>
          <w:bCs w:val="0"/>
          <w:color w:val="auto"/>
          <w:sz w:val="20"/>
        </w:rPr>
        <w:t>The department is undertaking a number of activities to reduce reliance on consultancies, including building internal capabilities and improvements to procurement processes.</w:t>
      </w:r>
    </w:p>
    <w:p w14:paraId="4849D7AA" w14:textId="77777777" w:rsidR="00587582" w:rsidRPr="00DE3117" w:rsidRDefault="00587582" w:rsidP="00DE3117">
      <w:pPr>
        <w:pStyle w:val="ARbody"/>
        <w:rPr>
          <w:rStyle w:val="Heading3Char"/>
          <w:rFonts w:eastAsia="Times" w:cs="Arial"/>
          <w:bCs w:val="0"/>
          <w:color w:val="auto"/>
          <w:sz w:val="20"/>
        </w:rPr>
      </w:pPr>
      <w:r w:rsidRPr="00DE3117">
        <w:rPr>
          <w:rStyle w:val="Heading3Char"/>
          <w:rFonts w:eastAsia="Times" w:cs="Arial"/>
          <w:bCs w:val="0"/>
          <w:color w:val="auto"/>
          <w:sz w:val="20"/>
        </w:rPr>
        <w:t>During 2018–19</w:t>
      </w:r>
      <w:r w:rsidR="003F52E6">
        <w:rPr>
          <w:rStyle w:val="Heading3Char"/>
          <w:rFonts w:eastAsia="Times" w:cs="Arial"/>
          <w:bCs w:val="0"/>
          <w:color w:val="auto"/>
          <w:sz w:val="20"/>
        </w:rPr>
        <w:t>,</w:t>
      </w:r>
      <w:r w:rsidRPr="00DE3117">
        <w:rPr>
          <w:rStyle w:val="Heading3Char"/>
          <w:rFonts w:eastAsia="Times" w:cs="Arial"/>
          <w:bCs w:val="0"/>
          <w:color w:val="auto"/>
          <w:sz w:val="20"/>
        </w:rPr>
        <w:t xml:space="preserve"> the department:</w:t>
      </w:r>
    </w:p>
    <w:p w14:paraId="53E36395" w14:textId="1B16A018" w:rsidR="005751B0" w:rsidRDefault="00587582" w:rsidP="005751B0">
      <w:pPr>
        <w:pStyle w:val="ARbullet1"/>
        <w:rPr>
          <w:rStyle w:val="Heading3Char"/>
          <w:rFonts w:eastAsia="Times" w:cs="Arial"/>
          <w:bCs w:val="0"/>
          <w:color w:val="auto"/>
          <w:sz w:val="20"/>
        </w:rPr>
      </w:pPr>
      <w:r w:rsidRPr="005751B0">
        <w:rPr>
          <w:rStyle w:val="Heading3Char"/>
          <w:rFonts w:eastAsia="Times" w:cs="Arial"/>
          <w:bCs w:val="0"/>
          <w:color w:val="auto"/>
          <w:sz w:val="20"/>
        </w:rPr>
        <w:t xml:space="preserve">established three </w:t>
      </w:r>
      <w:r w:rsidR="003F52E6">
        <w:rPr>
          <w:rStyle w:val="Heading3Char"/>
          <w:rFonts w:eastAsia="Times" w:cs="Arial"/>
          <w:bCs w:val="0"/>
          <w:color w:val="auto"/>
          <w:sz w:val="20"/>
        </w:rPr>
        <w:t>s</w:t>
      </w:r>
      <w:r w:rsidR="003F52E6" w:rsidRPr="005751B0">
        <w:rPr>
          <w:rStyle w:val="Heading3Char"/>
          <w:rFonts w:eastAsia="Times" w:cs="Arial"/>
          <w:bCs w:val="0"/>
          <w:color w:val="auto"/>
          <w:sz w:val="20"/>
        </w:rPr>
        <w:t xml:space="preserve">trategic </w:t>
      </w:r>
      <w:r w:rsidR="003F52E6">
        <w:rPr>
          <w:rStyle w:val="Heading3Char"/>
          <w:rFonts w:eastAsia="Times" w:cs="Arial"/>
          <w:bCs w:val="0"/>
          <w:color w:val="auto"/>
          <w:sz w:val="20"/>
        </w:rPr>
        <w:t>a</w:t>
      </w:r>
      <w:r w:rsidR="003F52E6" w:rsidRPr="005751B0">
        <w:rPr>
          <w:rStyle w:val="Heading3Char"/>
          <w:rFonts w:eastAsia="Times" w:cs="Arial"/>
          <w:bCs w:val="0"/>
          <w:color w:val="auto"/>
          <w:sz w:val="20"/>
        </w:rPr>
        <w:t xml:space="preserve">lliances </w:t>
      </w:r>
      <w:r w:rsidRPr="005751B0">
        <w:rPr>
          <w:rStyle w:val="Heading3Char"/>
          <w:rFonts w:eastAsia="Times" w:cs="Arial"/>
          <w:bCs w:val="0"/>
          <w:color w:val="auto"/>
          <w:sz w:val="20"/>
        </w:rPr>
        <w:t>with five</w:t>
      </w:r>
      <w:r w:rsidR="006E277C">
        <w:rPr>
          <w:rStyle w:val="Heading3Char"/>
          <w:rFonts w:eastAsia="Times" w:cs="Arial"/>
          <w:bCs w:val="0"/>
          <w:color w:val="auto"/>
          <w:sz w:val="20"/>
        </w:rPr>
        <w:t> </w:t>
      </w:r>
      <w:r w:rsidRPr="005751B0">
        <w:rPr>
          <w:rStyle w:val="Heading3Char"/>
          <w:rFonts w:eastAsia="Times" w:cs="Arial"/>
          <w:bCs w:val="0"/>
          <w:color w:val="auto"/>
          <w:sz w:val="20"/>
        </w:rPr>
        <w:t>third</w:t>
      </w:r>
      <w:r w:rsidR="003F52E6">
        <w:rPr>
          <w:rStyle w:val="Heading3Char"/>
          <w:rFonts w:eastAsia="Times" w:cs="Arial"/>
          <w:bCs w:val="0"/>
          <w:color w:val="auto"/>
          <w:sz w:val="20"/>
        </w:rPr>
        <w:t>-</w:t>
      </w:r>
      <w:r w:rsidRPr="005751B0">
        <w:rPr>
          <w:rStyle w:val="Heading3Char"/>
          <w:rFonts w:eastAsia="Times" w:cs="Arial"/>
          <w:bCs w:val="0"/>
          <w:color w:val="auto"/>
          <w:sz w:val="20"/>
        </w:rPr>
        <w:t>party providers across the health, community services and organisational improvement domains. This was intended to</w:t>
      </w:r>
      <w:r w:rsidR="006E277C">
        <w:rPr>
          <w:rStyle w:val="Heading3Char"/>
          <w:rFonts w:eastAsia="Times" w:cs="Arial"/>
          <w:bCs w:val="0"/>
          <w:color w:val="auto"/>
          <w:sz w:val="20"/>
        </w:rPr>
        <w:t> </w:t>
      </w:r>
      <w:r w:rsidRPr="005751B0">
        <w:rPr>
          <w:rStyle w:val="Heading3Char"/>
          <w:rFonts w:eastAsia="Times" w:cs="Arial"/>
          <w:bCs w:val="0"/>
          <w:color w:val="auto"/>
          <w:sz w:val="20"/>
        </w:rPr>
        <w:t>leverage strategic consultancy relationships to support capability uplift of our people and transformational change of the department and our services, as well as to improve the quality of</w:t>
      </w:r>
      <w:r w:rsidR="006E277C">
        <w:rPr>
          <w:rStyle w:val="Heading3Char"/>
          <w:rFonts w:eastAsia="Times" w:cs="Arial"/>
          <w:bCs w:val="0"/>
          <w:color w:val="auto"/>
          <w:sz w:val="20"/>
        </w:rPr>
        <w:t> </w:t>
      </w:r>
      <w:r w:rsidRPr="005751B0">
        <w:rPr>
          <w:rStyle w:val="Heading3Char"/>
          <w:rFonts w:eastAsia="Times" w:cs="Arial"/>
          <w:bCs w:val="0"/>
          <w:color w:val="auto"/>
          <w:sz w:val="20"/>
        </w:rPr>
        <w:t>the strategic advice we receive</w:t>
      </w:r>
    </w:p>
    <w:p w14:paraId="55702844" w14:textId="362B34D1" w:rsidR="00587582" w:rsidRPr="005751B0" w:rsidRDefault="00587582" w:rsidP="005751B0">
      <w:pPr>
        <w:pStyle w:val="ARbullet1"/>
        <w:rPr>
          <w:rStyle w:val="Heading3Char"/>
          <w:rFonts w:eastAsia="Times" w:cs="Arial"/>
          <w:bCs w:val="0"/>
          <w:color w:val="auto"/>
          <w:sz w:val="20"/>
        </w:rPr>
      </w:pPr>
      <w:r w:rsidRPr="005751B0">
        <w:rPr>
          <w:rStyle w:val="Heading3Char"/>
          <w:rFonts w:eastAsia="Times" w:cs="Arial"/>
          <w:bCs w:val="0"/>
          <w:color w:val="auto"/>
          <w:sz w:val="20"/>
        </w:rPr>
        <w:t xml:space="preserve">established a number of ‘free agent’ positions </w:t>
      </w:r>
      <w:r w:rsidR="003F52E6">
        <w:rPr>
          <w:rStyle w:val="Heading3Char"/>
          <w:rFonts w:eastAsia="Times" w:cs="Arial"/>
          <w:bCs w:val="0"/>
          <w:color w:val="auto"/>
          <w:sz w:val="20"/>
        </w:rPr>
        <w:t>that</w:t>
      </w:r>
      <w:r w:rsidR="003F52E6" w:rsidRPr="005751B0">
        <w:rPr>
          <w:rStyle w:val="Heading3Char"/>
          <w:rFonts w:eastAsia="Times" w:cs="Arial"/>
          <w:bCs w:val="0"/>
          <w:color w:val="auto"/>
          <w:sz w:val="20"/>
        </w:rPr>
        <w:t xml:space="preserve"> </w:t>
      </w:r>
      <w:r w:rsidRPr="005751B0">
        <w:rPr>
          <w:rStyle w:val="Heading3Char"/>
          <w:rFonts w:eastAsia="Times" w:cs="Arial"/>
          <w:bCs w:val="0"/>
          <w:color w:val="auto"/>
          <w:sz w:val="20"/>
        </w:rPr>
        <w:t>can be deployed to support a range of projects, initiatives or priority programs as</w:t>
      </w:r>
      <w:r w:rsidR="006E277C">
        <w:rPr>
          <w:rStyle w:val="Heading3Char"/>
          <w:rFonts w:eastAsia="Times" w:cs="Arial"/>
          <w:bCs w:val="0"/>
          <w:color w:val="auto"/>
          <w:sz w:val="20"/>
        </w:rPr>
        <w:t> </w:t>
      </w:r>
      <w:r w:rsidRPr="005751B0">
        <w:rPr>
          <w:rStyle w:val="Heading3Char"/>
          <w:rFonts w:eastAsia="Times" w:cs="Arial"/>
          <w:bCs w:val="0"/>
          <w:color w:val="auto"/>
          <w:sz w:val="20"/>
        </w:rPr>
        <w:t>needed</w:t>
      </w:r>
    </w:p>
    <w:p w14:paraId="4AC58A13" w14:textId="77777777" w:rsidR="00587582" w:rsidRPr="00587582" w:rsidRDefault="00587582" w:rsidP="00DE3117">
      <w:pPr>
        <w:pStyle w:val="ARbullet1"/>
        <w:rPr>
          <w:rStyle w:val="Heading3Char"/>
          <w:rFonts w:eastAsia="Times" w:cs="Arial"/>
          <w:bCs w:val="0"/>
          <w:color w:val="auto"/>
          <w:sz w:val="20"/>
        </w:rPr>
      </w:pPr>
      <w:r w:rsidRPr="00587582">
        <w:rPr>
          <w:rStyle w:val="Heading3Char"/>
          <w:rFonts w:eastAsia="Times" w:cs="Arial"/>
          <w:bCs w:val="0"/>
          <w:color w:val="auto"/>
          <w:sz w:val="20"/>
        </w:rPr>
        <w:t>developed internal capability through internal consulting, advisory and project-based programs to improve policy and program delivery</w:t>
      </w:r>
    </w:p>
    <w:p w14:paraId="174EDEC9" w14:textId="77777777" w:rsidR="00587582" w:rsidRPr="00587582" w:rsidRDefault="00587582" w:rsidP="00DE3117">
      <w:pPr>
        <w:pStyle w:val="ARbullet1"/>
        <w:rPr>
          <w:rStyle w:val="Heading3Char"/>
          <w:rFonts w:eastAsia="Times" w:cs="Arial"/>
          <w:bCs w:val="0"/>
          <w:color w:val="auto"/>
          <w:sz w:val="20"/>
        </w:rPr>
      </w:pPr>
      <w:r w:rsidRPr="00587582">
        <w:rPr>
          <w:rStyle w:val="Heading3Char"/>
          <w:rFonts w:eastAsia="Times" w:cs="Arial"/>
          <w:bCs w:val="0"/>
          <w:color w:val="auto"/>
          <w:sz w:val="20"/>
        </w:rPr>
        <w:t>continued arrangements to ensure that all consultant engagements are considered and approved by the Secretary.</w:t>
      </w:r>
    </w:p>
    <w:p w14:paraId="47C57D5E" w14:textId="1BE329D0" w:rsidR="00587582" w:rsidRPr="00587582" w:rsidRDefault="00587582" w:rsidP="00DE3117">
      <w:pPr>
        <w:pStyle w:val="ARbodyafterbullets"/>
        <w:rPr>
          <w:rStyle w:val="Heading3Char"/>
          <w:rFonts w:eastAsia="Times" w:cs="Arial"/>
          <w:bCs w:val="0"/>
          <w:color w:val="auto"/>
          <w:sz w:val="20"/>
        </w:rPr>
      </w:pPr>
      <w:r w:rsidRPr="00587582">
        <w:rPr>
          <w:rStyle w:val="Heading3Char"/>
          <w:rFonts w:eastAsia="Times" w:cs="Arial"/>
          <w:bCs w:val="0"/>
          <w:color w:val="auto"/>
          <w:sz w:val="20"/>
        </w:rPr>
        <w:t>Improvements to procurement processes are designed to ensure contracted solutions are competitive, use government and department panel</w:t>
      </w:r>
      <w:r w:rsidR="006E277C">
        <w:rPr>
          <w:rStyle w:val="Heading3Char"/>
          <w:rFonts w:eastAsia="Times" w:cs="Arial"/>
          <w:bCs w:val="0"/>
          <w:color w:val="auto"/>
          <w:sz w:val="20"/>
        </w:rPr>
        <w:t> </w:t>
      </w:r>
      <w:r w:rsidRPr="00587582">
        <w:rPr>
          <w:rStyle w:val="Heading3Char"/>
          <w:rFonts w:eastAsia="Times" w:cs="Arial"/>
          <w:bCs w:val="0"/>
          <w:color w:val="auto"/>
          <w:sz w:val="20"/>
        </w:rPr>
        <w:t>contracts where appropriate, and undertake meaningful contract review processes to inform decisions on future engagements.</w:t>
      </w:r>
    </w:p>
    <w:p w14:paraId="7E674966" w14:textId="77777777" w:rsidR="00587582" w:rsidRPr="00587582" w:rsidRDefault="00587582" w:rsidP="00587582">
      <w:pPr>
        <w:pStyle w:val="ARbody"/>
        <w:rPr>
          <w:rStyle w:val="Heading3Char"/>
          <w:rFonts w:eastAsia="Times" w:cs="Arial"/>
          <w:bCs w:val="0"/>
          <w:color w:val="auto"/>
          <w:sz w:val="20"/>
        </w:rPr>
        <w:sectPr w:rsidR="00587582" w:rsidRPr="00587582" w:rsidSect="000D4545">
          <w:pgSz w:w="11906" w:h="16838" w:code="9"/>
          <w:pgMar w:top="1985" w:right="851" w:bottom="851" w:left="1418" w:header="510" w:footer="340" w:gutter="0"/>
          <w:cols w:num="2" w:space="454"/>
          <w:docGrid w:linePitch="360"/>
        </w:sectPr>
      </w:pPr>
      <w:r w:rsidRPr="00DE3117">
        <w:t>All of these improvements are driving value for money, with a focus on ensuring the department uses consultants and contracts appropriately and effectively</w:t>
      </w:r>
      <w:r w:rsidRPr="00587582">
        <w:rPr>
          <w:rStyle w:val="Heading3Char"/>
          <w:rFonts w:eastAsia="Times" w:cs="Arial"/>
          <w:bCs w:val="0"/>
          <w:color w:val="auto"/>
          <w:sz w:val="20"/>
        </w:rPr>
        <w:t>.</w:t>
      </w:r>
    </w:p>
    <w:p w14:paraId="5B77CE7B" w14:textId="77777777" w:rsidR="000D4545" w:rsidRPr="006663D5" w:rsidRDefault="000D4545" w:rsidP="000D4545">
      <w:pPr>
        <w:pStyle w:val="Heading3"/>
        <w:spacing w:before="0"/>
      </w:pPr>
      <w:bookmarkStart w:id="172" w:name="_Ref492895249"/>
      <w:r w:rsidRPr="006663D5">
        <w:t>Consultancies (valued at $10,000 or greater)</w:t>
      </w:r>
      <w:bookmarkEnd w:id="172"/>
    </w:p>
    <w:tbl>
      <w:tblPr>
        <w:tblStyle w:val="TableGrid"/>
        <w:tblW w:w="4931" w:type="pct"/>
        <w:tblLayout w:type="fixed"/>
        <w:tblLook w:val="04A0" w:firstRow="1" w:lastRow="0" w:firstColumn="1" w:lastColumn="0" w:noHBand="0" w:noVBand="1"/>
      </w:tblPr>
      <w:tblGrid>
        <w:gridCol w:w="1582"/>
        <w:gridCol w:w="1582"/>
        <w:gridCol w:w="1581"/>
        <w:gridCol w:w="1581"/>
        <w:gridCol w:w="1581"/>
        <w:gridCol w:w="1581"/>
      </w:tblGrid>
      <w:tr w:rsidR="000D4545" w:rsidRPr="006663D5" w14:paraId="5DC2FDE6" w14:textId="77777777" w:rsidTr="00E34BA4">
        <w:trPr>
          <w:cnfStyle w:val="100000000000" w:firstRow="1" w:lastRow="0" w:firstColumn="0" w:lastColumn="0" w:oddVBand="0" w:evenVBand="0" w:oddHBand="0" w:evenHBand="0" w:firstRowFirstColumn="0" w:firstRowLastColumn="0" w:lastRowFirstColumn="0" w:lastRowLastColumn="0"/>
          <w:trHeight w:val="747"/>
          <w:tblHeader/>
        </w:trPr>
        <w:tc>
          <w:tcPr>
            <w:tcW w:w="0" w:type="pct"/>
            <w:hideMark/>
          </w:tcPr>
          <w:p w14:paraId="1E392B6A" w14:textId="77777777" w:rsidR="000D4545" w:rsidRPr="006663D5" w:rsidRDefault="000D4545" w:rsidP="001D06FF">
            <w:pPr>
              <w:pStyle w:val="ARtablecolhead"/>
            </w:pPr>
            <w:r w:rsidRPr="006663D5">
              <w:t>Category</w:t>
            </w:r>
          </w:p>
        </w:tc>
        <w:tc>
          <w:tcPr>
            <w:tcW w:w="0" w:type="pct"/>
            <w:hideMark/>
          </w:tcPr>
          <w:p w14:paraId="1243361C" w14:textId="77777777" w:rsidR="000D4545" w:rsidRPr="006663D5" w:rsidRDefault="000D4545" w:rsidP="001D06FF">
            <w:pPr>
              <w:pStyle w:val="ARtablecolhead"/>
            </w:pPr>
            <w:r w:rsidRPr="006663D5">
              <w:t>Consultant</w:t>
            </w:r>
          </w:p>
        </w:tc>
        <w:tc>
          <w:tcPr>
            <w:tcW w:w="0" w:type="pct"/>
            <w:hideMark/>
          </w:tcPr>
          <w:p w14:paraId="377F9748" w14:textId="77777777" w:rsidR="000D4545" w:rsidRPr="006663D5" w:rsidRDefault="000D4545" w:rsidP="001D06FF">
            <w:pPr>
              <w:pStyle w:val="ARtablecolhead"/>
            </w:pPr>
            <w:r w:rsidRPr="006663D5">
              <w:t xml:space="preserve">Purpose of </w:t>
            </w:r>
            <w:r w:rsidR="00E13BC9">
              <w:t>c</w:t>
            </w:r>
            <w:r w:rsidRPr="006663D5">
              <w:t>onsultancy</w:t>
            </w:r>
          </w:p>
        </w:tc>
        <w:tc>
          <w:tcPr>
            <w:tcW w:w="0" w:type="pct"/>
            <w:hideMark/>
          </w:tcPr>
          <w:p w14:paraId="34DB6718" w14:textId="77777777" w:rsidR="000D4545" w:rsidRPr="006663D5" w:rsidRDefault="000D4545" w:rsidP="001D06FF">
            <w:pPr>
              <w:pStyle w:val="ARtablecolheadright"/>
            </w:pPr>
            <w:r w:rsidRPr="006663D5">
              <w:t>Total approved project fee excl</w:t>
            </w:r>
            <w:r w:rsidR="00E13BC9">
              <w:t>.</w:t>
            </w:r>
            <w:r w:rsidRPr="006663D5">
              <w:t xml:space="preserve"> GST</w:t>
            </w:r>
          </w:p>
        </w:tc>
        <w:tc>
          <w:tcPr>
            <w:tcW w:w="0" w:type="pct"/>
            <w:hideMark/>
          </w:tcPr>
          <w:p w14:paraId="600ED790" w14:textId="77777777" w:rsidR="000D4545" w:rsidRPr="006663D5" w:rsidRDefault="000D4545" w:rsidP="001D06FF">
            <w:pPr>
              <w:pStyle w:val="ARtablecolheadright"/>
            </w:pPr>
            <w:r w:rsidRPr="006663D5">
              <w:t>Expenditure 2018</w:t>
            </w:r>
            <w:r w:rsidR="00E13BC9">
              <w:t>–</w:t>
            </w:r>
            <w:r w:rsidRPr="006663D5">
              <w:t>19 excl</w:t>
            </w:r>
            <w:r w:rsidR="00E13BC9">
              <w:t>.</w:t>
            </w:r>
            <w:r w:rsidRPr="006663D5">
              <w:t xml:space="preserve"> GST</w:t>
            </w:r>
          </w:p>
        </w:tc>
        <w:tc>
          <w:tcPr>
            <w:tcW w:w="0" w:type="pct"/>
            <w:hideMark/>
          </w:tcPr>
          <w:p w14:paraId="347092F8" w14:textId="77777777" w:rsidR="000D4545" w:rsidRPr="006663D5" w:rsidRDefault="000D4545" w:rsidP="001D06FF">
            <w:pPr>
              <w:pStyle w:val="ARtablecolheadright"/>
            </w:pPr>
            <w:r w:rsidRPr="006663D5">
              <w:t xml:space="preserve">Future </w:t>
            </w:r>
            <w:r w:rsidR="00E13BC9">
              <w:t>e</w:t>
            </w:r>
            <w:r w:rsidRPr="006663D5">
              <w:t>xpenditure excl</w:t>
            </w:r>
            <w:r w:rsidR="00E13BC9">
              <w:t>.</w:t>
            </w:r>
            <w:r w:rsidRPr="006663D5">
              <w:t xml:space="preserve"> GST</w:t>
            </w:r>
          </w:p>
        </w:tc>
      </w:tr>
      <w:tr w:rsidR="007066A0" w:rsidRPr="006663D5" w14:paraId="29E8EF5C" w14:textId="77777777" w:rsidTr="00F94CEE">
        <w:trPr>
          <w:trHeight w:val="300"/>
        </w:trPr>
        <w:tc>
          <w:tcPr>
            <w:tcW w:w="0" w:type="pct"/>
            <w:noWrap/>
          </w:tcPr>
          <w:p w14:paraId="1C93372D" w14:textId="77777777" w:rsidR="007066A0" w:rsidRPr="006663D5" w:rsidRDefault="007066A0" w:rsidP="007066A0">
            <w:pPr>
              <w:pStyle w:val="ARtabletext"/>
            </w:pPr>
            <w:r w:rsidRPr="000A30CD">
              <w:rPr>
                <w:rFonts w:eastAsia="Times New Roman"/>
                <w:color w:val="000000"/>
                <w:sz w:val="16"/>
                <w:szCs w:val="16"/>
              </w:rPr>
              <w:t xml:space="preserve">Capital, </w:t>
            </w:r>
            <w:r>
              <w:rPr>
                <w:rFonts w:eastAsia="Times New Roman"/>
                <w:color w:val="000000"/>
                <w:sz w:val="16"/>
                <w:szCs w:val="16"/>
              </w:rPr>
              <w:t>b</w:t>
            </w:r>
            <w:r w:rsidRPr="000A30CD">
              <w:rPr>
                <w:rFonts w:eastAsia="Times New Roman"/>
                <w:color w:val="000000"/>
                <w:sz w:val="16"/>
                <w:szCs w:val="16"/>
              </w:rPr>
              <w:t xml:space="preserve">usiness </w:t>
            </w:r>
            <w:r>
              <w:rPr>
                <w:rFonts w:eastAsia="Times New Roman"/>
                <w:color w:val="000000"/>
                <w:sz w:val="16"/>
                <w:szCs w:val="16"/>
              </w:rPr>
              <w:t>c</w:t>
            </w:r>
            <w:r w:rsidRPr="000A30CD">
              <w:rPr>
                <w:rFonts w:eastAsia="Times New Roman"/>
                <w:color w:val="000000"/>
                <w:sz w:val="16"/>
                <w:szCs w:val="16"/>
              </w:rPr>
              <w:t xml:space="preserve">ase </w:t>
            </w:r>
            <w:r>
              <w:rPr>
                <w:rFonts w:eastAsia="Times New Roman"/>
                <w:color w:val="000000"/>
                <w:sz w:val="16"/>
                <w:szCs w:val="16"/>
              </w:rPr>
              <w:t>and p</w:t>
            </w:r>
            <w:r w:rsidRPr="000A30CD">
              <w:rPr>
                <w:rFonts w:eastAsia="Times New Roman"/>
                <w:color w:val="000000"/>
                <w:sz w:val="16"/>
                <w:szCs w:val="16"/>
              </w:rPr>
              <w:t>lanning</w:t>
            </w:r>
          </w:p>
        </w:tc>
        <w:tc>
          <w:tcPr>
            <w:tcW w:w="0" w:type="pct"/>
            <w:noWrap/>
          </w:tcPr>
          <w:p w14:paraId="56B86BEC" w14:textId="77777777" w:rsidR="007066A0" w:rsidRPr="006663D5" w:rsidRDefault="003F52E6" w:rsidP="007066A0">
            <w:pPr>
              <w:pStyle w:val="ARtabletext"/>
            </w:pPr>
            <w:r w:rsidRPr="000A30CD">
              <w:rPr>
                <w:rFonts w:eastAsia="Times New Roman"/>
                <w:color w:val="000000"/>
                <w:sz w:val="16"/>
                <w:szCs w:val="16"/>
              </w:rPr>
              <w:t>Psych Health Australia Pty Ltd</w:t>
            </w:r>
          </w:p>
        </w:tc>
        <w:tc>
          <w:tcPr>
            <w:tcW w:w="0" w:type="pct"/>
            <w:noWrap/>
          </w:tcPr>
          <w:p w14:paraId="7C112DDF" w14:textId="77777777" w:rsidR="007066A0" w:rsidRPr="006663D5" w:rsidRDefault="007066A0" w:rsidP="007066A0">
            <w:pPr>
              <w:pStyle w:val="ARtabletext"/>
            </w:pPr>
            <w:r w:rsidRPr="000A30CD">
              <w:rPr>
                <w:rFonts w:eastAsia="Times New Roman"/>
                <w:color w:val="000000"/>
                <w:sz w:val="16"/>
                <w:szCs w:val="16"/>
              </w:rPr>
              <w:t xml:space="preserve">Program </w:t>
            </w:r>
            <w:r w:rsidR="003F52E6">
              <w:rPr>
                <w:rFonts w:eastAsia="Times New Roman"/>
                <w:color w:val="000000"/>
                <w:sz w:val="16"/>
                <w:szCs w:val="16"/>
              </w:rPr>
              <w:t>s</w:t>
            </w:r>
            <w:r w:rsidRPr="000A30CD">
              <w:rPr>
                <w:rFonts w:eastAsia="Times New Roman"/>
                <w:color w:val="000000"/>
                <w:sz w:val="16"/>
                <w:szCs w:val="16"/>
              </w:rPr>
              <w:t>ervices</w:t>
            </w:r>
            <w:r w:rsidR="000F7743">
              <w:rPr>
                <w:rFonts w:eastAsia="Times New Roman"/>
                <w:color w:val="000000"/>
                <w:sz w:val="16"/>
                <w:szCs w:val="16"/>
              </w:rPr>
              <w:t>:</w:t>
            </w:r>
            <w:r w:rsidRPr="000A30CD">
              <w:rPr>
                <w:rFonts w:eastAsia="Times New Roman"/>
                <w:color w:val="000000"/>
                <w:sz w:val="16"/>
                <w:szCs w:val="16"/>
              </w:rPr>
              <w:t xml:space="preserve"> multidiagnosis disability learning</w:t>
            </w:r>
          </w:p>
        </w:tc>
        <w:tc>
          <w:tcPr>
            <w:tcW w:w="0" w:type="pct"/>
            <w:noWrap/>
          </w:tcPr>
          <w:p w14:paraId="3A19CEDB" w14:textId="77777777" w:rsidR="007066A0" w:rsidRPr="006663D5" w:rsidRDefault="007066A0" w:rsidP="007066A0">
            <w:pPr>
              <w:pStyle w:val="ARtabletextright"/>
            </w:pPr>
            <w:r w:rsidRPr="000A30CD">
              <w:rPr>
                <w:rFonts w:eastAsia="Times New Roman"/>
                <w:color w:val="000000"/>
                <w:sz w:val="16"/>
                <w:szCs w:val="16"/>
              </w:rPr>
              <w:t>273,219.00</w:t>
            </w:r>
          </w:p>
        </w:tc>
        <w:tc>
          <w:tcPr>
            <w:tcW w:w="0" w:type="pct"/>
            <w:noWrap/>
          </w:tcPr>
          <w:p w14:paraId="0B21715E" w14:textId="77777777" w:rsidR="007066A0" w:rsidRPr="006663D5" w:rsidRDefault="007066A0" w:rsidP="007066A0">
            <w:pPr>
              <w:pStyle w:val="ARtabletextright"/>
            </w:pPr>
            <w:r w:rsidRPr="000A30CD">
              <w:rPr>
                <w:rFonts w:eastAsia="Times New Roman"/>
                <w:color w:val="000000"/>
                <w:sz w:val="16"/>
                <w:szCs w:val="16"/>
              </w:rPr>
              <w:t>51,727.00</w:t>
            </w:r>
          </w:p>
        </w:tc>
        <w:tc>
          <w:tcPr>
            <w:tcW w:w="0" w:type="pct"/>
            <w:noWrap/>
          </w:tcPr>
          <w:p w14:paraId="1D06D368" w14:textId="77777777" w:rsidR="007066A0" w:rsidRPr="006663D5" w:rsidRDefault="007066A0" w:rsidP="007066A0">
            <w:pPr>
              <w:pStyle w:val="ARtabletextright"/>
            </w:pPr>
            <w:r w:rsidRPr="000A30CD">
              <w:rPr>
                <w:rFonts w:eastAsia="Times New Roman"/>
                <w:color w:val="000000"/>
                <w:sz w:val="16"/>
                <w:szCs w:val="16"/>
              </w:rPr>
              <w:t>62,590.00</w:t>
            </w:r>
          </w:p>
        </w:tc>
      </w:tr>
      <w:tr w:rsidR="007066A0" w:rsidRPr="006663D5" w14:paraId="5A7425BE" w14:textId="77777777" w:rsidTr="00F94CEE">
        <w:trPr>
          <w:trHeight w:val="300"/>
        </w:trPr>
        <w:tc>
          <w:tcPr>
            <w:tcW w:w="0" w:type="pct"/>
            <w:noWrap/>
          </w:tcPr>
          <w:p w14:paraId="68336733" w14:textId="77777777" w:rsidR="007066A0" w:rsidRPr="006663D5" w:rsidRDefault="007066A0" w:rsidP="007066A0">
            <w:pPr>
              <w:pStyle w:val="ARtabletext"/>
            </w:pPr>
            <w:r w:rsidRPr="00821F13">
              <w:rPr>
                <w:rFonts w:eastAsia="Times New Roman"/>
                <w:color w:val="000000"/>
                <w:sz w:val="16"/>
                <w:szCs w:val="16"/>
              </w:rPr>
              <w:t>Capital, business case and planning</w:t>
            </w:r>
          </w:p>
        </w:tc>
        <w:tc>
          <w:tcPr>
            <w:tcW w:w="0" w:type="pct"/>
            <w:noWrap/>
          </w:tcPr>
          <w:p w14:paraId="170AF402" w14:textId="77777777" w:rsidR="007066A0" w:rsidRPr="006663D5" w:rsidRDefault="003F52E6" w:rsidP="007066A0">
            <w:pPr>
              <w:pStyle w:val="ARtabletext"/>
            </w:pPr>
            <w:r w:rsidRPr="000A30CD">
              <w:rPr>
                <w:rFonts w:eastAsia="Times New Roman"/>
                <w:color w:val="000000"/>
                <w:sz w:val="16"/>
                <w:szCs w:val="16"/>
              </w:rPr>
              <w:t>Advisian Pty Ltd</w:t>
            </w:r>
          </w:p>
        </w:tc>
        <w:tc>
          <w:tcPr>
            <w:tcW w:w="0" w:type="pct"/>
            <w:noWrap/>
          </w:tcPr>
          <w:p w14:paraId="1A3FBA75" w14:textId="77777777" w:rsidR="007066A0" w:rsidRPr="006663D5" w:rsidRDefault="007066A0" w:rsidP="007066A0">
            <w:pPr>
              <w:pStyle w:val="ARtabletext"/>
            </w:pPr>
            <w:r w:rsidRPr="000A30CD">
              <w:rPr>
                <w:rFonts w:eastAsia="Times New Roman"/>
                <w:color w:val="000000"/>
                <w:sz w:val="16"/>
                <w:szCs w:val="16"/>
              </w:rPr>
              <w:t xml:space="preserve">Austin Health </w:t>
            </w:r>
            <w:r w:rsidR="003F52E6" w:rsidRPr="000A30CD">
              <w:rPr>
                <w:rFonts w:eastAsia="Times New Roman"/>
                <w:color w:val="000000"/>
                <w:sz w:val="16"/>
                <w:szCs w:val="16"/>
              </w:rPr>
              <w:t>critical infrastructure works</w:t>
            </w:r>
          </w:p>
        </w:tc>
        <w:tc>
          <w:tcPr>
            <w:tcW w:w="0" w:type="pct"/>
            <w:noWrap/>
          </w:tcPr>
          <w:p w14:paraId="19E0EA28" w14:textId="77777777" w:rsidR="007066A0" w:rsidRPr="006663D5" w:rsidRDefault="007066A0" w:rsidP="007066A0">
            <w:pPr>
              <w:pStyle w:val="ARtabletextright"/>
            </w:pPr>
            <w:r w:rsidRPr="000A30CD">
              <w:rPr>
                <w:rFonts w:eastAsia="Times New Roman"/>
                <w:color w:val="000000"/>
                <w:sz w:val="16"/>
                <w:szCs w:val="16"/>
              </w:rPr>
              <w:t>117,846.00</w:t>
            </w:r>
          </w:p>
        </w:tc>
        <w:tc>
          <w:tcPr>
            <w:tcW w:w="0" w:type="pct"/>
            <w:noWrap/>
          </w:tcPr>
          <w:p w14:paraId="6483B73A" w14:textId="77777777" w:rsidR="007066A0" w:rsidRPr="006663D5" w:rsidRDefault="007066A0" w:rsidP="007066A0">
            <w:pPr>
              <w:pStyle w:val="ARtabletextright"/>
            </w:pPr>
            <w:r w:rsidRPr="000A30CD">
              <w:rPr>
                <w:rFonts w:eastAsia="Times New Roman"/>
                <w:color w:val="000000"/>
                <w:sz w:val="16"/>
                <w:szCs w:val="16"/>
              </w:rPr>
              <w:t>117,846.00</w:t>
            </w:r>
          </w:p>
        </w:tc>
        <w:tc>
          <w:tcPr>
            <w:tcW w:w="0" w:type="pct"/>
            <w:noWrap/>
          </w:tcPr>
          <w:p w14:paraId="2C191CD7" w14:textId="77777777" w:rsidR="007066A0" w:rsidRPr="006663D5" w:rsidRDefault="007066A0" w:rsidP="007066A0">
            <w:pPr>
              <w:pStyle w:val="ARtabletextright"/>
            </w:pPr>
            <w:r w:rsidRPr="000A30CD">
              <w:rPr>
                <w:rFonts w:eastAsia="Times New Roman"/>
                <w:color w:val="000000"/>
                <w:sz w:val="16"/>
                <w:szCs w:val="16"/>
              </w:rPr>
              <w:t>Nil</w:t>
            </w:r>
          </w:p>
        </w:tc>
      </w:tr>
      <w:tr w:rsidR="007066A0" w:rsidRPr="006663D5" w14:paraId="2E1C124D" w14:textId="77777777" w:rsidTr="00F94CEE">
        <w:trPr>
          <w:trHeight w:val="300"/>
        </w:trPr>
        <w:tc>
          <w:tcPr>
            <w:tcW w:w="0" w:type="pct"/>
            <w:noWrap/>
          </w:tcPr>
          <w:p w14:paraId="34D8C85C" w14:textId="77777777" w:rsidR="007066A0" w:rsidRPr="006663D5" w:rsidRDefault="007066A0" w:rsidP="007066A0">
            <w:pPr>
              <w:pStyle w:val="ARtabletext"/>
            </w:pPr>
            <w:r w:rsidRPr="00821F13">
              <w:rPr>
                <w:rFonts w:eastAsia="Times New Roman"/>
                <w:color w:val="000000"/>
                <w:sz w:val="16"/>
                <w:szCs w:val="16"/>
              </w:rPr>
              <w:t>Capital, business case and planning</w:t>
            </w:r>
          </w:p>
        </w:tc>
        <w:tc>
          <w:tcPr>
            <w:tcW w:w="0" w:type="pct"/>
            <w:noWrap/>
          </w:tcPr>
          <w:p w14:paraId="7B8B3F32" w14:textId="77777777" w:rsidR="007066A0" w:rsidRPr="006663D5" w:rsidRDefault="007066A0" w:rsidP="007066A0">
            <w:pPr>
              <w:pStyle w:val="ARtabletext"/>
            </w:pPr>
            <w:r w:rsidRPr="000A30CD">
              <w:rPr>
                <w:rFonts w:eastAsia="Times New Roman"/>
                <w:color w:val="000000"/>
                <w:sz w:val="16"/>
                <w:szCs w:val="16"/>
              </w:rPr>
              <w:t xml:space="preserve">AECOM </w:t>
            </w:r>
            <w:r w:rsidR="003F52E6" w:rsidRPr="000A30CD">
              <w:rPr>
                <w:rFonts w:eastAsia="Times New Roman"/>
                <w:color w:val="000000"/>
                <w:sz w:val="16"/>
                <w:szCs w:val="16"/>
              </w:rPr>
              <w:t>Australia Pty Ltd</w:t>
            </w:r>
          </w:p>
        </w:tc>
        <w:tc>
          <w:tcPr>
            <w:tcW w:w="0" w:type="pct"/>
            <w:noWrap/>
          </w:tcPr>
          <w:p w14:paraId="28044FD6" w14:textId="77777777" w:rsidR="007066A0" w:rsidRPr="006663D5" w:rsidRDefault="007066A0" w:rsidP="007066A0">
            <w:pPr>
              <w:pStyle w:val="ARtabletext"/>
            </w:pPr>
            <w:r w:rsidRPr="000A30CD">
              <w:rPr>
                <w:rFonts w:eastAsia="Times New Roman"/>
                <w:color w:val="000000"/>
                <w:sz w:val="16"/>
                <w:szCs w:val="16"/>
              </w:rPr>
              <w:t xml:space="preserve">Business </w:t>
            </w:r>
            <w:r w:rsidR="003F52E6">
              <w:rPr>
                <w:rFonts w:eastAsia="Times New Roman"/>
                <w:color w:val="000000"/>
                <w:sz w:val="16"/>
                <w:szCs w:val="16"/>
              </w:rPr>
              <w:t>c</w:t>
            </w:r>
            <w:r w:rsidRPr="000A30CD">
              <w:rPr>
                <w:rFonts w:eastAsia="Times New Roman"/>
                <w:color w:val="000000"/>
                <w:sz w:val="16"/>
                <w:szCs w:val="16"/>
              </w:rPr>
              <w:t>ase</w:t>
            </w:r>
            <w:r w:rsidR="000F7743">
              <w:rPr>
                <w:rFonts w:eastAsia="Times New Roman"/>
                <w:color w:val="000000"/>
                <w:sz w:val="16"/>
                <w:szCs w:val="16"/>
              </w:rPr>
              <w:t>:</w:t>
            </w:r>
            <w:r w:rsidRPr="000A30CD">
              <w:rPr>
                <w:rFonts w:eastAsia="Times New Roman"/>
                <w:color w:val="000000"/>
                <w:sz w:val="16"/>
                <w:szCs w:val="16"/>
              </w:rPr>
              <w:t xml:space="preserve"> </w:t>
            </w:r>
            <w:r w:rsidR="003F52E6">
              <w:rPr>
                <w:rFonts w:eastAsia="Times New Roman"/>
                <w:color w:val="000000"/>
                <w:sz w:val="16"/>
                <w:szCs w:val="16"/>
              </w:rPr>
              <w:t>e</w:t>
            </w:r>
            <w:r w:rsidR="003F52E6" w:rsidRPr="000A30CD">
              <w:rPr>
                <w:rFonts w:eastAsia="Times New Roman"/>
                <w:color w:val="000000"/>
                <w:sz w:val="16"/>
                <w:szCs w:val="16"/>
              </w:rPr>
              <w:t xml:space="preserve">ngineering </w:t>
            </w:r>
            <w:r w:rsidR="003F52E6">
              <w:rPr>
                <w:rFonts w:eastAsia="Times New Roman"/>
                <w:color w:val="000000"/>
                <w:sz w:val="16"/>
                <w:szCs w:val="16"/>
              </w:rPr>
              <w:t>i</w:t>
            </w:r>
            <w:r w:rsidR="003F52E6" w:rsidRPr="000A30CD">
              <w:rPr>
                <w:rFonts w:eastAsia="Times New Roman"/>
                <w:color w:val="000000"/>
                <w:sz w:val="16"/>
                <w:szCs w:val="16"/>
              </w:rPr>
              <w:t>nfrastructure</w:t>
            </w:r>
          </w:p>
        </w:tc>
        <w:tc>
          <w:tcPr>
            <w:tcW w:w="0" w:type="pct"/>
            <w:noWrap/>
          </w:tcPr>
          <w:p w14:paraId="48778328" w14:textId="77777777" w:rsidR="007066A0" w:rsidRPr="006663D5" w:rsidRDefault="007066A0" w:rsidP="007066A0">
            <w:pPr>
              <w:pStyle w:val="ARtabletextright"/>
            </w:pPr>
            <w:r w:rsidRPr="000A30CD">
              <w:rPr>
                <w:rFonts w:eastAsia="Times New Roman"/>
                <w:color w:val="000000"/>
                <w:sz w:val="16"/>
                <w:szCs w:val="16"/>
              </w:rPr>
              <w:t>109,680.00</w:t>
            </w:r>
          </w:p>
        </w:tc>
        <w:tc>
          <w:tcPr>
            <w:tcW w:w="0" w:type="pct"/>
            <w:noWrap/>
          </w:tcPr>
          <w:p w14:paraId="2BEF7B23" w14:textId="77777777" w:rsidR="007066A0" w:rsidRPr="006663D5" w:rsidRDefault="007066A0" w:rsidP="007066A0">
            <w:pPr>
              <w:pStyle w:val="ARtabletextright"/>
            </w:pPr>
            <w:r w:rsidRPr="000A30CD">
              <w:rPr>
                <w:rFonts w:eastAsia="Times New Roman"/>
                <w:color w:val="000000"/>
                <w:sz w:val="16"/>
                <w:szCs w:val="16"/>
              </w:rPr>
              <w:t>27,420.00</w:t>
            </w:r>
          </w:p>
        </w:tc>
        <w:tc>
          <w:tcPr>
            <w:tcW w:w="0" w:type="pct"/>
            <w:noWrap/>
          </w:tcPr>
          <w:p w14:paraId="1D53ACE2" w14:textId="77777777" w:rsidR="007066A0" w:rsidRPr="006663D5" w:rsidRDefault="007066A0" w:rsidP="007066A0">
            <w:pPr>
              <w:pStyle w:val="ARtabletextright"/>
            </w:pPr>
            <w:r w:rsidRPr="000A30CD">
              <w:rPr>
                <w:rFonts w:eastAsia="Times New Roman"/>
                <w:color w:val="000000"/>
                <w:sz w:val="16"/>
                <w:szCs w:val="16"/>
              </w:rPr>
              <w:t>82,260.00</w:t>
            </w:r>
          </w:p>
        </w:tc>
      </w:tr>
      <w:tr w:rsidR="007066A0" w:rsidRPr="006663D5" w14:paraId="414984B4" w14:textId="77777777" w:rsidTr="00F94CEE">
        <w:trPr>
          <w:trHeight w:val="300"/>
        </w:trPr>
        <w:tc>
          <w:tcPr>
            <w:tcW w:w="0" w:type="pct"/>
            <w:noWrap/>
          </w:tcPr>
          <w:p w14:paraId="05F6D04B" w14:textId="77777777" w:rsidR="007066A0" w:rsidRPr="006663D5" w:rsidRDefault="007066A0" w:rsidP="007066A0">
            <w:pPr>
              <w:pStyle w:val="ARtabletext"/>
            </w:pPr>
            <w:r w:rsidRPr="00821F13">
              <w:rPr>
                <w:rFonts w:eastAsia="Times New Roman"/>
                <w:color w:val="000000"/>
                <w:sz w:val="16"/>
                <w:szCs w:val="16"/>
              </w:rPr>
              <w:t>Capital, business case and planning</w:t>
            </w:r>
          </w:p>
        </w:tc>
        <w:tc>
          <w:tcPr>
            <w:tcW w:w="0" w:type="pct"/>
            <w:noWrap/>
          </w:tcPr>
          <w:p w14:paraId="68A18930" w14:textId="77777777" w:rsidR="007066A0" w:rsidRPr="006663D5" w:rsidRDefault="003F52E6" w:rsidP="007066A0">
            <w:pPr>
              <w:pStyle w:val="ARtabletext"/>
            </w:pPr>
            <w:r w:rsidRPr="000A30CD">
              <w:rPr>
                <w:rFonts w:eastAsia="Times New Roman"/>
                <w:color w:val="000000"/>
                <w:sz w:val="16"/>
                <w:szCs w:val="16"/>
              </w:rPr>
              <w:t>Ernst &amp; Young</w:t>
            </w:r>
          </w:p>
        </w:tc>
        <w:tc>
          <w:tcPr>
            <w:tcW w:w="0" w:type="pct"/>
            <w:noWrap/>
          </w:tcPr>
          <w:p w14:paraId="1818DC45" w14:textId="77777777" w:rsidR="007066A0" w:rsidRPr="006663D5" w:rsidRDefault="007066A0" w:rsidP="007066A0">
            <w:pPr>
              <w:pStyle w:val="ARtabletext"/>
            </w:pPr>
            <w:r w:rsidRPr="000A30CD">
              <w:rPr>
                <w:rFonts w:eastAsia="Times New Roman"/>
                <w:color w:val="000000"/>
                <w:sz w:val="16"/>
                <w:szCs w:val="16"/>
              </w:rPr>
              <w:t xml:space="preserve">Alfred Hospital </w:t>
            </w:r>
            <w:r w:rsidR="003F52E6">
              <w:rPr>
                <w:rFonts w:eastAsia="Times New Roman"/>
                <w:color w:val="000000"/>
                <w:sz w:val="16"/>
                <w:szCs w:val="16"/>
              </w:rPr>
              <w:t>r</w:t>
            </w:r>
            <w:r w:rsidRPr="000A30CD">
              <w:rPr>
                <w:rFonts w:eastAsia="Times New Roman"/>
                <w:color w:val="000000"/>
                <w:sz w:val="16"/>
                <w:szCs w:val="16"/>
              </w:rPr>
              <w:t xml:space="preserve">edevelopment </w:t>
            </w:r>
            <w:r w:rsidR="003F52E6">
              <w:rPr>
                <w:rFonts w:eastAsia="Times New Roman"/>
                <w:color w:val="000000"/>
                <w:sz w:val="16"/>
                <w:szCs w:val="16"/>
              </w:rPr>
              <w:t>p</w:t>
            </w:r>
            <w:r w:rsidRPr="000A30CD">
              <w:rPr>
                <w:rFonts w:eastAsia="Times New Roman"/>
                <w:color w:val="000000"/>
                <w:sz w:val="16"/>
                <w:szCs w:val="16"/>
              </w:rPr>
              <w:t>roject</w:t>
            </w:r>
          </w:p>
        </w:tc>
        <w:tc>
          <w:tcPr>
            <w:tcW w:w="0" w:type="pct"/>
            <w:noWrap/>
          </w:tcPr>
          <w:p w14:paraId="0CC6F0C7" w14:textId="77777777" w:rsidR="007066A0" w:rsidRPr="006663D5" w:rsidRDefault="007066A0" w:rsidP="007066A0">
            <w:pPr>
              <w:pStyle w:val="ARtabletextright"/>
            </w:pPr>
            <w:r w:rsidRPr="000A30CD">
              <w:rPr>
                <w:rFonts w:eastAsia="Times New Roman"/>
                <w:color w:val="000000"/>
                <w:sz w:val="16"/>
                <w:szCs w:val="16"/>
              </w:rPr>
              <w:t>390,909.00</w:t>
            </w:r>
          </w:p>
        </w:tc>
        <w:tc>
          <w:tcPr>
            <w:tcW w:w="0" w:type="pct"/>
            <w:noWrap/>
          </w:tcPr>
          <w:p w14:paraId="470FAE20" w14:textId="77777777" w:rsidR="007066A0" w:rsidRPr="006663D5" w:rsidRDefault="007066A0" w:rsidP="007066A0">
            <w:pPr>
              <w:pStyle w:val="ARtabletextright"/>
            </w:pPr>
            <w:r w:rsidRPr="000A30CD">
              <w:rPr>
                <w:rFonts w:eastAsia="Times New Roman"/>
                <w:color w:val="000000"/>
                <w:sz w:val="16"/>
                <w:szCs w:val="16"/>
              </w:rPr>
              <w:t>390,682.00</w:t>
            </w:r>
          </w:p>
        </w:tc>
        <w:tc>
          <w:tcPr>
            <w:tcW w:w="0" w:type="pct"/>
            <w:noWrap/>
          </w:tcPr>
          <w:p w14:paraId="3F97E56E" w14:textId="77777777" w:rsidR="007066A0" w:rsidRPr="006663D5" w:rsidRDefault="007066A0" w:rsidP="007066A0">
            <w:pPr>
              <w:pStyle w:val="ARtabletextright"/>
            </w:pPr>
            <w:r w:rsidRPr="000A30CD">
              <w:rPr>
                <w:rFonts w:eastAsia="Times New Roman"/>
                <w:color w:val="000000"/>
                <w:sz w:val="16"/>
                <w:szCs w:val="16"/>
              </w:rPr>
              <w:t>Nil</w:t>
            </w:r>
          </w:p>
        </w:tc>
      </w:tr>
      <w:tr w:rsidR="007066A0" w:rsidRPr="006663D5" w14:paraId="6B5A955F" w14:textId="77777777" w:rsidTr="00F94CEE">
        <w:trPr>
          <w:trHeight w:val="300"/>
        </w:trPr>
        <w:tc>
          <w:tcPr>
            <w:tcW w:w="0" w:type="pct"/>
            <w:noWrap/>
          </w:tcPr>
          <w:p w14:paraId="3C74BBC4" w14:textId="77777777" w:rsidR="007066A0" w:rsidRPr="006663D5" w:rsidRDefault="007066A0" w:rsidP="007066A0">
            <w:pPr>
              <w:pStyle w:val="ARtabletext"/>
            </w:pPr>
            <w:r w:rsidRPr="00821F13">
              <w:rPr>
                <w:rFonts w:eastAsia="Times New Roman"/>
                <w:color w:val="000000"/>
                <w:sz w:val="16"/>
                <w:szCs w:val="16"/>
              </w:rPr>
              <w:t>Capital, business case and planning</w:t>
            </w:r>
          </w:p>
        </w:tc>
        <w:tc>
          <w:tcPr>
            <w:tcW w:w="0" w:type="pct"/>
            <w:noWrap/>
          </w:tcPr>
          <w:p w14:paraId="655427E4" w14:textId="77777777" w:rsidR="007066A0" w:rsidRPr="006663D5" w:rsidRDefault="003F52E6" w:rsidP="007066A0">
            <w:pPr>
              <w:pStyle w:val="ARtabletext"/>
            </w:pPr>
            <w:r w:rsidRPr="000A30CD">
              <w:rPr>
                <w:rFonts w:eastAsia="Times New Roman"/>
                <w:color w:val="000000"/>
                <w:sz w:val="16"/>
                <w:szCs w:val="16"/>
              </w:rPr>
              <w:t>Ernst &amp; Young</w:t>
            </w:r>
          </w:p>
        </w:tc>
        <w:tc>
          <w:tcPr>
            <w:tcW w:w="0" w:type="pct"/>
            <w:noWrap/>
          </w:tcPr>
          <w:p w14:paraId="688B3FED" w14:textId="77777777" w:rsidR="007066A0" w:rsidRPr="006663D5" w:rsidRDefault="007066A0" w:rsidP="007066A0">
            <w:pPr>
              <w:pStyle w:val="ARtabletext"/>
            </w:pPr>
            <w:r w:rsidRPr="000A30CD">
              <w:rPr>
                <w:rFonts w:eastAsia="Times New Roman"/>
                <w:color w:val="000000"/>
                <w:sz w:val="16"/>
                <w:szCs w:val="16"/>
              </w:rPr>
              <w:t xml:space="preserve">Business </w:t>
            </w:r>
            <w:r w:rsidR="003F52E6">
              <w:rPr>
                <w:rFonts w:eastAsia="Times New Roman"/>
                <w:color w:val="000000"/>
                <w:sz w:val="16"/>
                <w:szCs w:val="16"/>
              </w:rPr>
              <w:t>c</w:t>
            </w:r>
            <w:r w:rsidRPr="000A30CD">
              <w:rPr>
                <w:rFonts w:eastAsia="Times New Roman"/>
                <w:color w:val="000000"/>
                <w:sz w:val="16"/>
                <w:szCs w:val="16"/>
              </w:rPr>
              <w:t xml:space="preserve">ase: </w:t>
            </w:r>
            <w:r w:rsidR="003F52E6">
              <w:rPr>
                <w:rFonts w:eastAsia="Times New Roman"/>
                <w:color w:val="000000"/>
                <w:sz w:val="16"/>
                <w:szCs w:val="16"/>
              </w:rPr>
              <w:t>s</w:t>
            </w:r>
            <w:r w:rsidRPr="000A30CD">
              <w:rPr>
                <w:rFonts w:eastAsia="Times New Roman"/>
                <w:color w:val="000000"/>
                <w:sz w:val="16"/>
                <w:szCs w:val="16"/>
              </w:rPr>
              <w:t xml:space="preserve">ustainable </w:t>
            </w:r>
            <w:r w:rsidR="003F52E6">
              <w:rPr>
                <w:rFonts w:eastAsia="Times New Roman"/>
                <w:color w:val="000000"/>
                <w:sz w:val="16"/>
                <w:szCs w:val="16"/>
              </w:rPr>
              <w:t>c</w:t>
            </w:r>
            <w:r w:rsidRPr="000A30CD">
              <w:rPr>
                <w:rFonts w:eastAsia="Times New Roman"/>
                <w:color w:val="000000"/>
                <w:sz w:val="16"/>
                <w:szCs w:val="16"/>
              </w:rPr>
              <w:t xml:space="preserve">entral </w:t>
            </w:r>
            <w:r w:rsidR="003F52E6">
              <w:rPr>
                <w:rFonts w:eastAsia="Times New Roman"/>
                <w:color w:val="000000"/>
                <w:sz w:val="16"/>
                <w:szCs w:val="16"/>
              </w:rPr>
              <w:t>i</w:t>
            </w:r>
            <w:r w:rsidRPr="000A30CD">
              <w:rPr>
                <w:rFonts w:eastAsia="Times New Roman"/>
                <w:color w:val="000000"/>
                <w:sz w:val="16"/>
                <w:szCs w:val="16"/>
              </w:rPr>
              <w:t xml:space="preserve">nformation </w:t>
            </w:r>
            <w:r w:rsidR="003F52E6">
              <w:rPr>
                <w:rFonts w:eastAsia="Times New Roman"/>
                <w:color w:val="000000"/>
                <w:sz w:val="16"/>
                <w:szCs w:val="16"/>
              </w:rPr>
              <w:t>p</w:t>
            </w:r>
            <w:r w:rsidRPr="000A30CD">
              <w:rPr>
                <w:rFonts w:eastAsia="Times New Roman"/>
                <w:color w:val="000000"/>
                <w:sz w:val="16"/>
                <w:szCs w:val="16"/>
              </w:rPr>
              <w:t>oint (CIP)</w:t>
            </w:r>
          </w:p>
        </w:tc>
        <w:tc>
          <w:tcPr>
            <w:tcW w:w="0" w:type="pct"/>
            <w:noWrap/>
          </w:tcPr>
          <w:p w14:paraId="412048BB" w14:textId="77777777" w:rsidR="007066A0" w:rsidRPr="006663D5" w:rsidRDefault="007066A0" w:rsidP="007066A0">
            <w:pPr>
              <w:pStyle w:val="ARtabletextright"/>
            </w:pPr>
            <w:r w:rsidRPr="000A30CD">
              <w:rPr>
                <w:rFonts w:eastAsia="Times New Roman"/>
                <w:color w:val="000000"/>
                <w:sz w:val="16"/>
                <w:szCs w:val="16"/>
              </w:rPr>
              <w:t>1,641,100.00</w:t>
            </w:r>
          </w:p>
        </w:tc>
        <w:tc>
          <w:tcPr>
            <w:tcW w:w="0" w:type="pct"/>
            <w:noWrap/>
          </w:tcPr>
          <w:p w14:paraId="0E92FB6A" w14:textId="77777777" w:rsidR="007066A0" w:rsidRPr="006663D5" w:rsidRDefault="007066A0" w:rsidP="007066A0">
            <w:pPr>
              <w:pStyle w:val="ARtabletextright"/>
            </w:pPr>
            <w:r w:rsidRPr="000A30CD">
              <w:rPr>
                <w:rFonts w:eastAsia="Times New Roman"/>
                <w:color w:val="000000"/>
                <w:sz w:val="16"/>
                <w:szCs w:val="16"/>
              </w:rPr>
              <w:t>82,055.00</w:t>
            </w:r>
          </w:p>
        </w:tc>
        <w:tc>
          <w:tcPr>
            <w:tcW w:w="0" w:type="pct"/>
            <w:noWrap/>
          </w:tcPr>
          <w:p w14:paraId="37C3BDF1" w14:textId="77777777" w:rsidR="007066A0" w:rsidRPr="006663D5" w:rsidRDefault="007066A0" w:rsidP="007066A0">
            <w:pPr>
              <w:pStyle w:val="ARtabletextright"/>
            </w:pPr>
            <w:r w:rsidRPr="000A30CD">
              <w:rPr>
                <w:rFonts w:eastAsia="Times New Roman"/>
                <w:color w:val="000000"/>
                <w:sz w:val="16"/>
                <w:szCs w:val="16"/>
              </w:rPr>
              <w:t>1,559,045.00</w:t>
            </w:r>
          </w:p>
        </w:tc>
      </w:tr>
      <w:tr w:rsidR="007066A0" w:rsidRPr="006663D5" w14:paraId="044428D3" w14:textId="77777777" w:rsidTr="00F94CEE">
        <w:trPr>
          <w:trHeight w:val="300"/>
        </w:trPr>
        <w:tc>
          <w:tcPr>
            <w:tcW w:w="0" w:type="pct"/>
            <w:noWrap/>
          </w:tcPr>
          <w:p w14:paraId="0D216104" w14:textId="77777777" w:rsidR="007066A0" w:rsidRPr="006663D5" w:rsidRDefault="007066A0" w:rsidP="007066A0">
            <w:pPr>
              <w:pStyle w:val="ARtabletext"/>
            </w:pPr>
            <w:r w:rsidRPr="00821F13">
              <w:rPr>
                <w:rFonts w:eastAsia="Times New Roman"/>
                <w:color w:val="000000"/>
                <w:sz w:val="16"/>
                <w:szCs w:val="16"/>
              </w:rPr>
              <w:t>Capital, business case and planning</w:t>
            </w:r>
          </w:p>
        </w:tc>
        <w:tc>
          <w:tcPr>
            <w:tcW w:w="0" w:type="pct"/>
            <w:noWrap/>
          </w:tcPr>
          <w:p w14:paraId="54938189" w14:textId="77777777" w:rsidR="007066A0" w:rsidRPr="006663D5" w:rsidRDefault="003F52E6" w:rsidP="007066A0">
            <w:pPr>
              <w:pStyle w:val="ARtabletext"/>
            </w:pPr>
            <w:r w:rsidRPr="000A30CD">
              <w:rPr>
                <w:rFonts w:eastAsia="Times New Roman"/>
                <w:color w:val="000000"/>
                <w:sz w:val="16"/>
                <w:szCs w:val="16"/>
              </w:rPr>
              <w:t>Ernst &amp; Young</w:t>
            </w:r>
          </w:p>
        </w:tc>
        <w:tc>
          <w:tcPr>
            <w:tcW w:w="0" w:type="pct"/>
            <w:noWrap/>
          </w:tcPr>
          <w:p w14:paraId="39DD4F9E" w14:textId="77777777" w:rsidR="007066A0" w:rsidRPr="006663D5" w:rsidRDefault="007066A0" w:rsidP="007066A0">
            <w:pPr>
              <w:pStyle w:val="ARtabletext"/>
            </w:pPr>
            <w:r w:rsidRPr="000A30CD">
              <w:rPr>
                <w:rFonts w:eastAsia="Times New Roman"/>
                <w:color w:val="000000"/>
                <w:sz w:val="16"/>
                <w:szCs w:val="16"/>
              </w:rPr>
              <w:t xml:space="preserve">Business </w:t>
            </w:r>
            <w:r w:rsidR="003F52E6">
              <w:rPr>
                <w:rFonts w:eastAsia="Times New Roman"/>
                <w:color w:val="000000"/>
                <w:sz w:val="16"/>
                <w:szCs w:val="16"/>
              </w:rPr>
              <w:t>c</w:t>
            </w:r>
            <w:r w:rsidRPr="000A30CD">
              <w:rPr>
                <w:rFonts w:eastAsia="Times New Roman"/>
                <w:color w:val="000000"/>
                <w:sz w:val="16"/>
                <w:szCs w:val="16"/>
              </w:rPr>
              <w:t>ase</w:t>
            </w:r>
            <w:r w:rsidR="000F7743">
              <w:rPr>
                <w:rFonts w:eastAsia="Times New Roman"/>
                <w:color w:val="000000"/>
                <w:sz w:val="16"/>
                <w:szCs w:val="16"/>
              </w:rPr>
              <w:t>:</w:t>
            </w:r>
            <w:r w:rsidRPr="000A30CD">
              <w:rPr>
                <w:rFonts w:eastAsia="Times New Roman"/>
                <w:color w:val="000000"/>
                <w:sz w:val="16"/>
                <w:szCs w:val="16"/>
              </w:rPr>
              <w:t xml:space="preserve"> </w:t>
            </w:r>
            <w:r w:rsidR="003F52E6">
              <w:rPr>
                <w:rFonts w:eastAsia="Times New Roman"/>
                <w:color w:val="000000"/>
                <w:sz w:val="16"/>
                <w:szCs w:val="16"/>
              </w:rPr>
              <w:t>i</w:t>
            </w:r>
            <w:r w:rsidRPr="000A30CD">
              <w:rPr>
                <w:rFonts w:eastAsia="Times New Roman"/>
                <w:color w:val="000000"/>
                <w:sz w:val="16"/>
                <w:szCs w:val="16"/>
              </w:rPr>
              <w:t xml:space="preserve">nfrastructure </w:t>
            </w:r>
            <w:r w:rsidR="003F52E6">
              <w:rPr>
                <w:rFonts w:eastAsia="Times New Roman"/>
                <w:color w:val="000000"/>
                <w:sz w:val="16"/>
                <w:szCs w:val="16"/>
              </w:rPr>
              <w:t>r</w:t>
            </w:r>
            <w:r w:rsidRPr="000A30CD">
              <w:rPr>
                <w:rFonts w:eastAsia="Times New Roman"/>
                <w:color w:val="000000"/>
                <w:sz w:val="16"/>
                <w:szCs w:val="16"/>
              </w:rPr>
              <w:t xml:space="preserve">enewal </w:t>
            </w:r>
            <w:r w:rsidR="003F52E6">
              <w:rPr>
                <w:rFonts w:eastAsia="Times New Roman"/>
                <w:color w:val="000000"/>
                <w:sz w:val="16"/>
                <w:szCs w:val="16"/>
              </w:rPr>
              <w:t>p</w:t>
            </w:r>
            <w:r w:rsidRPr="000A30CD">
              <w:rPr>
                <w:rFonts w:eastAsia="Times New Roman"/>
                <w:color w:val="000000"/>
                <w:sz w:val="16"/>
                <w:szCs w:val="16"/>
              </w:rPr>
              <w:t xml:space="preserve">rograms </w:t>
            </w:r>
          </w:p>
        </w:tc>
        <w:tc>
          <w:tcPr>
            <w:tcW w:w="0" w:type="pct"/>
            <w:noWrap/>
          </w:tcPr>
          <w:p w14:paraId="7A443AFC" w14:textId="77777777" w:rsidR="007066A0" w:rsidRPr="006663D5" w:rsidRDefault="007066A0" w:rsidP="007066A0">
            <w:pPr>
              <w:pStyle w:val="ARtabletextright"/>
            </w:pPr>
            <w:r w:rsidRPr="000A30CD">
              <w:rPr>
                <w:rFonts w:eastAsia="Times New Roman"/>
                <w:color w:val="000000"/>
                <w:sz w:val="16"/>
                <w:szCs w:val="16"/>
              </w:rPr>
              <w:t>135,940.00</w:t>
            </w:r>
          </w:p>
        </w:tc>
        <w:tc>
          <w:tcPr>
            <w:tcW w:w="0" w:type="pct"/>
            <w:noWrap/>
          </w:tcPr>
          <w:p w14:paraId="2697C68A" w14:textId="77777777" w:rsidR="007066A0" w:rsidRPr="006663D5" w:rsidRDefault="007066A0" w:rsidP="007066A0">
            <w:pPr>
              <w:pStyle w:val="ARtabletextright"/>
            </w:pPr>
            <w:r w:rsidRPr="000A30CD">
              <w:rPr>
                <w:rFonts w:eastAsia="Times New Roman"/>
                <w:color w:val="000000"/>
                <w:sz w:val="16"/>
                <w:szCs w:val="16"/>
              </w:rPr>
              <w:t>27,188.00</w:t>
            </w:r>
          </w:p>
        </w:tc>
        <w:tc>
          <w:tcPr>
            <w:tcW w:w="0" w:type="pct"/>
            <w:noWrap/>
          </w:tcPr>
          <w:p w14:paraId="27A872AD" w14:textId="77777777" w:rsidR="007066A0" w:rsidRPr="006663D5" w:rsidRDefault="007066A0" w:rsidP="007066A0">
            <w:pPr>
              <w:pStyle w:val="ARtabletextright"/>
            </w:pPr>
            <w:r w:rsidRPr="000A30CD">
              <w:rPr>
                <w:rFonts w:eastAsia="Times New Roman"/>
                <w:color w:val="000000"/>
                <w:sz w:val="16"/>
                <w:szCs w:val="16"/>
              </w:rPr>
              <w:t>108,752.00</w:t>
            </w:r>
          </w:p>
        </w:tc>
      </w:tr>
      <w:tr w:rsidR="007066A0" w:rsidRPr="006663D5" w14:paraId="7D208EEA" w14:textId="77777777" w:rsidTr="00F94CEE">
        <w:trPr>
          <w:trHeight w:val="300"/>
        </w:trPr>
        <w:tc>
          <w:tcPr>
            <w:tcW w:w="0" w:type="pct"/>
            <w:noWrap/>
          </w:tcPr>
          <w:p w14:paraId="45DECF30" w14:textId="77777777" w:rsidR="007066A0" w:rsidRPr="006663D5" w:rsidRDefault="007066A0" w:rsidP="007066A0">
            <w:pPr>
              <w:pStyle w:val="ARtabletext"/>
            </w:pPr>
            <w:r w:rsidRPr="00821F13">
              <w:rPr>
                <w:rFonts w:eastAsia="Times New Roman"/>
                <w:color w:val="000000"/>
                <w:sz w:val="16"/>
                <w:szCs w:val="16"/>
              </w:rPr>
              <w:t>Capital, business case and planning</w:t>
            </w:r>
          </w:p>
        </w:tc>
        <w:tc>
          <w:tcPr>
            <w:tcW w:w="0" w:type="pct"/>
            <w:noWrap/>
          </w:tcPr>
          <w:p w14:paraId="0FBF488C" w14:textId="77777777" w:rsidR="007066A0" w:rsidRPr="006663D5" w:rsidRDefault="003F52E6" w:rsidP="007066A0">
            <w:pPr>
              <w:pStyle w:val="ARtabletext"/>
            </w:pPr>
            <w:r w:rsidRPr="000A30CD">
              <w:rPr>
                <w:rFonts w:eastAsia="Times New Roman"/>
                <w:color w:val="000000"/>
                <w:sz w:val="16"/>
                <w:szCs w:val="16"/>
              </w:rPr>
              <w:t>Deloitte Touche Tohmatsu</w:t>
            </w:r>
          </w:p>
        </w:tc>
        <w:tc>
          <w:tcPr>
            <w:tcW w:w="0" w:type="pct"/>
            <w:noWrap/>
          </w:tcPr>
          <w:p w14:paraId="384EC9BF" w14:textId="77777777" w:rsidR="007066A0" w:rsidRPr="006663D5" w:rsidRDefault="007066A0" w:rsidP="007066A0">
            <w:pPr>
              <w:pStyle w:val="ARtabletext"/>
            </w:pPr>
            <w:r w:rsidRPr="000A30CD">
              <w:rPr>
                <w:rFonts w:eastAsia="Times New Roman"/>
                <w:color w:val="000000"/>
                <w:sz w:val="16"/>
                <w:szCs w:val="16"/>
              </w:rPr>
              <w:t xml:space="preserve">Business </w:t>
            </w:r>
            <w:r w:rsidR="003F52E6">
              <w:rPr>
                <w:rFonts w:eastAsia="Times New Roman"/>
                <w:color w:val="000000"/>
                <w:sz w:val="16"/>
                <w:szCs w:val="16"/>
              </w:rPr>
              <w:t>c</w:t>
            </w:r>
            <w:r w:rsidRPr="000A30CD">
              <w:rPr>
                <w:rFonts w:eastAsia="Times New Roman"/>
                <w:color w:val="000000"/>
                <w:sz w:val="16"/>
                <w:szCs w:val="16"/>
              </w:rPr>
              <w:t>ase</w:t>
            </w:r>
            <w:r w:rsidR="000F7743">
              <w:rPr>
                <w:rFonts w:eastAsia="Times New Roman"/>
                <w:color w:val="000000"/>
                <w:sz w:val="16"/>
                <w:szCs w:val="16"/>
              </w:rPr>
              <w:t>:</w:t>
            </w:r>
            <w:r w:rsidRPr="000A30CD">
              <w:rPr>
                <w:rFonts w:eastAsia="Times New Roman"/>
                <w:color w:val="000000"/>
                <w:sz w:val="16"/>
                <w:szCs w:val="16"/>
              </w:rPr>
              <w:t xml:space="preserve"> Frankston Hospital </w:t>
            </w:r>
            <w:r w:rsidR="003F52E6">
              <w:rPr>
                <w:rFonts w:eastAsia="Times New Roman"/>
                <w:color w:val="000000"/>
                <w:sz w:val="16"/>
                <w:szCs w:val="16"/>
              </w:rPr>
              <w:t>r</w:t>
            </w:r>
            <w:r w:rsidRPr="000A30CD">
              <w:rPr>
                <w:rFonts w:eastAsia="Times New Roman"/>
                <w:color w:val="000000"/>
                <w:sz w:val="16"/>
                <w:szCs w:val="16"/>
              </w:rPr>
              <w:t xml:space="preserve">edevelopment </w:t>
            </w:r>
            <w:r w:rsidR="003F52E6">
              <w:rPr>
                <w:rFonts w:eastAsia="Times New Roman"/>
                <w:color w:val="000000"/>
                <w:sz w:val="16"/>
                <w:szCs w:val="16"/>
              </w:rPr>
              <w:t>p</w:t>
            </w:r>
            <w:r w:rsidRPr="000A30CD">
              <w:rPr>
                <w:rFonts w:eastAsia="Times New Roman"/>
                <w:color w:val="000000"/>
                <w:sz w:val="16"/>
                <w:szCs w:val="16"/>
              </w:rPr>
              <w:t>roject</w:t>
            </w:r>
          </w:p>
        </w:tc>
        <w:tc>
          <w:tcPr>
            <w:tcW w:w="0" w:type="pct"/>
            <w:noWrap/>
          </w:tcPr>
          <w:p w14:paraId="419E88A4" w14:textId="77777777" w:rsidR="007066A0" w:rsidRPr="006663D5" w:rsidRDefault="007066A0" w:rsidP="007066A0">
            <w:pPr>
              <w:pStyle w:val="ARtabletextright"/>
            </w:pPr>
            <w:r w:rsidRPr="000A30CD">
              <w:rPr>
                <w:rFonts w:eastAsia="Times New Roman"/>
                <w:color w:val="000000"/>
                <w:sz w:val="16"/>
                <w:szCs w:val="16"/>
              </w:rPr>
              <w:t>171,580.00</w:t>
            </w:r>
          </w:p>
        </w:tc>
        <w:tc>
          <w:tcPr>
            <w:tcW w:w="0" w:type="pct"/>
            <w:noWrap/>
          </w:tcPr>
          <w:p w14:paraId="79ECD6C3" w14:textId="77777777" w:rsidR="007066A0" w:rsidRPr="006663D5" w:rsidRDefault="007066A0" w:rsidP="007066A0">
            <w:pPr>
              <w:pStyle w:val="ARtabletextright"/>
            </w:pPr>
            <w:r w:rsidRPr="000A30CD">
              <w:rPr>
                <w:rFonts w:eastAsia="Times New Roman"/>
                <w:color w:val="000000"/>
                <w:sz w:val="16"/>
                <w:szCs w:val="16"/>
              </w:rPr>
              <w:t>171,580.00</w:t>
            </w:r>
          </w:p>
        </w:tc>
        <w:tc>
          <w:tcPr>
            <w:tcW w:w="0" w:type="pct"/>
            <w:noWrap/>
          </w:tcPr>
          <w:p w14:paraId="0DF7F938" w14:textId="77777777" w:rsidR="007066A0" w:rsidRPr="006663D5" w:rsidRDefault="007066A0" w:rsidP="007066A0">
            <w:pPr>
              <w:pStyle w:val="ARtabletextright"/>
            </w:pPr>
            <w:r w:rsidRPr="000A30CD">
              <w:rPr>
                <w:rFonts w:eastAsia="Times New Roman"/>
                <w:color w:val="000000"/>
                <w:sz w:val="16"/>
                <w:szCs w:val="16"/>
              </w:rPr>
              <w:t>Nil</w:t>
            </w:r>
          </w:p>
        </w:tc>
      </w:tr>
      <w:tr w:rsidR="007066A0" w:rsidRPr="006663D5" w14:paraId="68DA622E" w14:textId="77777777" w:rsidTr="00F94CEE">
        <w:trPr>
          <w:trHeight w:val="300"/>
        </w:trPr>
        <w:tc>
          <w:tcPr>
            <w:tcW w:w="0" w:type="pct"/>
            <w:noWrap/>
          </w:tcPr>
          <w:p w14:paraId="6517A256" w14:textId="77777777" w:rsidR="007066A0" w:rsidRPr="006663D5" w:rsidRDefault="007066A0" w:rsidP="007066A0">
            <w:pPr>
              <w:pStyle w:val="ARtabletext"/>
            </w:pPr>
            <w:r w:rsidRPr="00821F13">
              <w:rPr>
                <w:rFonts w:eastAsia="Times New Roman"/>
                <w:color w:val="000000"/>
                <w:sz w:val="16"/>
                <w:szCs w:val="16"/>
              </w:rPr>
              <w:t>Capital, business case and planning</w:t>
            </w:r>
          </w:p>
        </w:tc>
        <w:tc>
          <w:tcPr>
            <w:tcW w:w="0" w:type="pct"/>
            <w:noWrap/>
          </w:tcPr>
          <w:p w14:paraId="56BBBCD8" w14:textId="77777777" w:rsidR="007066A0" w:rsidRPr="006663D5" w:rsidRDefault="007066A0" w:rsidP="007066A0">
            <w:pPr>
              <w:pStyle w:val="ARtabletext"/>
            </w:pPr>
            <w:r w:rsidRPr="000A30CD">
              <w:rPr>
                <w:rFonts w:eastAsia="Times New Roman"/>
                <w:color w:val="000000"/>
                <w:sz w:val="16"/>
                <w:szCs w:val="16"/>
              </w:rPr>
              <w:t>KPMG</w:t>
            </w:r>
          </w:p>
        </w:tc>
        <w:tc>
          <w:tcPr>
            <w:tcW w:w="0" w:type="pct"/>
            <w:noWrap/>
          </w:tcPr>
          <w:p w14:paraId="7B48911E" w14:textId="77777777" w:rsidR="007066A0" w:rsidRPr="006663D5" w:rsidRDefault="007066A0" w:rsidP="007066A0">
            <w:pPr>
              <w:pStyle w:val="ARtabletext"/>
            </w:pPr>
            <w:r w:rsidRPr="000A30CD">
              <w:rPr>
                <w:rFonts w:eastAsia="Times New Roman"/>
                <w:color w:val="000000"/>
                <w:sz w:val="16"/>
                <w:szCs w:val="16"/>
              </w:rPr>
              <w:t xml:space="preserve">Business </w:t>
            </w:r>
            <w:r w:rsidR="003F52E6">
              <w:rPr>
                <w:rFonts w:eastAsia="Times New Roman"/>
                <w:color w:val="000000"/>
                <w:sz w:val="16"/>
                <w:szCs w:val="16"/>
              </w:rPr>
              <w:t>c</w:t>
            </w:r>
            <w:r w:rsidRPr="000A30CD">
              <w:rPr>
                <w:rFonts w:eastAsia="Times New Roman"/>
                <w:color w:val="000000"/>
                <w:sz w:val="16"/>
                <w:szCs w:val="16"/>
              </w:rPr>
              <w:t>ase</w:t>
            </w:r>
            <w:r w:rsidR="000F7743">
              <w:rPr>
                <w:rFonts w:eastAsia="Times New Roman"/>
                <w:color w:val="000000"/>
                <w:sz w:val="16"/>
                <w:szCs w:val="16"/>
              </w:rPr>
              <w:t>:</w:t>
            </w:r>
            <w:r w:rsidRPr="000A30CD">
              <w:rPr>
                <w:rFonts w:eastAsia="Times New Roman"/>
                <w:color w:val="000000"/>
                <w:sz w:val="16"/>
                <w:szCs w:val="16"/>
              </w:rPr>
              <w:t xml:space="preserve"> Footscray Hospital redevelopment project</w:t>
            </w:r>
          </w:p>
        </w:tc>
        <w:tc>
          <w:tcPr>
            <w:tcW w:w="0" w:type="pct"/>
            <w:noWrap/>
          </w:tcPr>
          <w:p w14:paraId="29F42642" w14:textId="77777777" w:rsidR="007066A0" w:rsidRPr="006663D5" w:rsidRDefault="007066A0" w:rsidP="007066A0">
            <w:pPr>
              <w:pStyle w:val="ARtabletextright"/>
            </w:pPr>
            <w:r w:rsidRPr="000A30CD">
              <w:rPr>
                <w:rFonts w:eastAsia="Times New Roman"/>
                <w:color w:val="000000"/>
                <w:sz w:val="16"/>
                <w:szCs w:val="16"/>
              </w:rPr>
              <w:t>433,636.00</w:t>
            </w:r>
          </w:p>
        </w:tc>
        <w:tc>
          <w:tcPr>
            <w:tcW w:w="0" w:type="pct"/>
            <w:noWrap/>
          </w:tcPr>
          <w:p w14:paraId="166C7D48" w14:textId="77777777" w:rsidR="007066A0" w:rsidRPr="006663D5" w:rsidRDefault="007066A0" w:rsidP="007066A0">
            <w:pPr>
              <w:pStyle w:val="ARtabletextright"/>
            </w:pPr>
            <w:r w:rsidRPr="000A30CD">
              <w:rPr>
                <w:rFonts w:eastAsia="Times New Roman"/>
                <w:color w:val="000000"/>
                <w:sz w:val="16"/>
                <w:szCs w:val="16"/>
              </w:rPr>
              <w:t>181,818.00</w:t>
            </w:r>
          </w:p>
        </w:tc>
        <w:tc>
          <w:tcPr>
            <w:tcW w:w="0" w:type="pct"/>
            <w:noWrap/>
          </w:tcPr>
          <w:p w14:paraId="5B0EFBAF" w14:textId="77777777" w:rsidR="007066A0" w:rsidRPr="006663D5" w:rsidRDefault="007066A0" w:rsidP="007066A0">
            <w:pPr>
              <w:pStyle w:val="ARtabletextright"/>
            </w:pPr>
            <w:r w:rsidRPr="000A30CD">
              <w:rPr>
                <w:rFonts w:eastAsia="Times New Roman"/>
                <w:color w:val="000000"/>
                <w:sz w:val="16"/>
                <w:szCs w:val="16"/>
              </w:rPr>
              <w:t>Nil</w:t>
            </w:r>
          </w:p>
        </w:tc>
      </w:tr>
      <w:tr w:rsidR="007066A0" w:rsidRPr="006663D5" w14:paraId="4F527D3D" w14:textId="77777777" w:rsidTr="00E34BA4">
        <w:trPr>
          <w:trHeight w:val="300"/>
        </w:trPr>
        <w:tc>
          <w:tcPr>
            <w:tcW w:w="0" w:type="pct"/>
            <w:noWrap/>
          </w:tcPr>
          <w:p w14:paraId="1CF57759" w14:textId="77777777" w:rsidR="007066A0" w:rsidRPr="006663D5" w:rsidRDefault="007066A0" w:rsidP="007066A0">
            <w:pPr>
              <w:pStyle w:val="ARtabletext"/>
            </w:pPr>
            <w:r w:rsidRPr="00821F13">
              <w:rPr>
                <w:rFonts w:eastAsia="Times New Roman"/>
                <w:color w:val="000000"/>
                <w:sz w:val="16"/>
                <w:szCs w:val="16"/>
              </w:rPr>
              <w:t>Capital, business case and planning</w:t>
            </w:r>
          </w:p>
        </w:tc>
        <w:tc>
          <w:tcPr>
            <w:tcW w:w="0" w:type="pct"/>
            <w:noWrap/>
          </w:tcPr>
          <w:p w14:paraId="0FF055BF" w14:textId="77777777" w:rsidR="007066A0" w:rsidRPr="006663D5" w:rsidRDefault="003F52E6" w:rsidP="007066A0">
            <w:pPr>
              <w:pStyle w:val="ARtabletext"/>
            </w:pPr>
            <w:r w:rsidRPr="000A30CD">
              <w:rPr>
                <w:rFonts w:eastAsia="Times New Roman"/>
                <w:color w:val="000000"/>
                <w:sz w:val="16"/>
                <w:szCs w:val="16"/>
              </w:rPr>
              <w:t>Johnstaff Projects</w:t>
            </w:r>
          </w:p>
        </w:tc>
        <w:tc>
          <w:tcPr>
            <w:tcW w:w="0" w:type="pct"/>
            <w:noWrap/>
          </w:tcPr>
          <w:p w14:paraId="12162DA6" w14:textId="77777777" w:rsidR="007066A0" w:rsidRPr="006663D5" w:rsidRDefault="000F7743" w:rsidP="007066A0">
            <w:pPr>
              <w:pStyle w:val="ARtabletext"/>
            </w:pPr>
            <w:r>
              <w:rPr>
                <w:rFonts w:eastAsia="Times New Roman"/>
                <w:color w:val="000000"/>
                <w:sz w:val="16"/>
                <w:szCs w:val="16"/>
              </w:rPr>
              <w:t>C</w:t>
            </w:r>
            <w:r w:rsidRPr="000A30CD">
              <w:rPr>
                <w:rFonts w:eastAsia="Times New Roman"/>
                <w:color w:val="000000"/>
                <w:sz w:val="16"/>
                <w:szCs w:val="16"/>
              </w:rPr>
              <w:t xml:space="preserve">linical </w:t>
            </w:r>
            <w:r>
              <w:rPr>
                <w:rFonts w:eastAsia="Times New Roman"/>
                <w:color w:val="000000"/>
                <w:sz w:val="16"/>
                <w:szCs w:val="16"/>
              </w:rPr>
              <w:t>s</w:t>
            </w:r>
            <w:r w:rsidRPr="000A30CD">
              <w:rPr>
                <w:rFonts w:eastAsia="Times New Roman"/>
                <w:color w:val="000000"/>
                <w:sz w:val="16"/>
                <w:szCs w:val="16"/>
              </w:rPr>
              <w:t xml:space="preserve">ervices </w:t>
            </w:r>
            <w:r>
              <w:rPr>
                <w:rFonts w:eastAsia="Times New Roman"/>
                <w:color w:val="000000"/>
                <w:sz w:val="16"/>
                <w:szCs w:val="16"/>
              </w:rPr>
              <w:t>p</w:t>
            </w:r>
            <w:r w:rsidRPr="000A30CD">
              <w:rPr>
                <w:rFonts w:eastAsia="Times New Roman"/>
                <w:color w:val="000000"/>
                <w:sz w:val="16"/>
                <w:szCs w:val="16"/>
              </w:rPr>
              <w:t>lan</w:t>
            </w:r>
            <w:r>
              <w:rPr>
                <w:rFonts w:eastAsia="Times New Roman"/>
                <w:color w:val="000000"/>
                <w:sz w:val="16"/>
                <w:szCs w:val="16"/>
              </w:rPr>
              <w:t>:</w:t>
            </w:r>
            <w:r w:rsidRPr="000A30CD">
              <w:rPr>
                <w:rFonts w:eastAsia="Times New Roman"/>
                <w:color w:val="000000"/>
                <w:sz w:val="16"/>
                <w:szCs w:val="16"/>
              </w:rPr>
              <w:t xml:space="preserve"> </w:t>
            </w:r>
            <w:r w:rsidR="007066A0" w:rsidRPr="000A30CD">
              <w:rPr>
                <w:rFonts w:eastAsia="Times New Roman"/>
                <w:color w:val="000000"/>
                <w:sz w:val="16"/>
                <w:szCs w:val="16"/>
              </w:rPr>
              <w:t>Latrobe Regional Hospital</w:t>
            </w:r>
          </w:p>
        </w:tc>
        <w:tc>
          <w:tcPr>
            <w:tcW w:w="0" w:type="pct"/>
            <w:noWrap/>
          </w:tcPr>
          <w:p w14:paraId="77E1E1B0" w14:textId="77777777" w:rsidR="007066A0" w:rsidRPr="006663D5" w:rsidRDefault="007066A0" w:rsidP="007066A0">
            <w:pPr>
              <w:pStyle w:val="ARtabletextright"/>
            </w:pPr>
            <w:r w:rsidRPr="000A30CD">
              <w:rPr>
                <w:rFonts w:eastAsia="Times New Roman"/>
                <w:color w:val="000000"/>
                <w:sz w:val="16"/>
                <w:szCs w:val="16"/>
              </w:rPr>
              <w:t>117,464.00</w:t>
            </w:r>
          </w:p>
        </w:tc>
        <w:tc>
          <w:tcPr>
            <w:tcW w:w="0" w:type="pct"/>
            <w:noWrap/>
          </w:tcPr>
          <w:p w14:paraId="2F9C1978" w14:textId="77777777" w:rsidR="007066A0" w:rsidRPr="006663D5" w:rsidRDefault="007066A0" w:rsidP="007066A0">
            <w:pPr>
              <w:pStyle w:val="ARtabletextright"/>
            </w:pPr>
            <w:r w:rsidRPr="000A30CD">
              <w:rPr>
                <w:rFonts w:eastAsia="Times New Roman"/>
                <w:color w:val="000000"/>
                <w:sz w:val="16"/>
                <w:szCs w:val="16"/>
              </w:rPr>
              <w:t>117,464.00</w:t>
            </w:r>
          </w:p>
        </w:tc>
        <w:tc>
          <w:tcPr>
            <w:tcW w:w="0" w:type="pct"/>
            <w:noWrap/>
          </w:tcPr>
          <w:p w14:paraId="1289E63D" w14:textId="77777777" w:rsidR="007066A0" w:rsidRPr="006663D5" w:rsidRDefault="007066A0" w:rsidP="007066A0">
            <w:pPr>
              <w:pStyle w:val="ARtabletextright"/>
            </w:pPr>
            <w:r w:rsidRPr="000A30CD">
              <w:rPr>
                <w:rFonts w:eastAsia="Times New Roman"/>
                <w:color w:val="000000"/>
                <w:sz w:val="16"/>
                <w:szCs w:val="16"/>
              </w:rPr>
              <w:t>Nil</w:t>
            </w:r>
          </w:p>
        </w:tc>
      </w:tr>
      <w:tr w:rsidR="007066A0" w:rsidRPr="006663D5" w14:paraId="11DC776E" w14:textId="77777777" w:rsidTr="00F94CEE">
        <w:trPr>
          <w:trHeight w:val="300"/>
        </w:trPr>
        <w:tc>
          <w:tcPr>
            <w:tcW w:w="0" w:type="pct"/>
            <w:noWrap/>
          </w:tcPr>
          <w:p w14:paraId="2A9B6727" w14:textId="77777777" w:rsidR="007066A0" w:rsidRPr="006663D5" w:rsidRDefault="007066A0" w:rsidP="007066A0">
            <w:pPr>
              <w:pStyle w:val="ARtabletext"/>
            </w:pPr>
            <w:r w:rsidRPr="00821F13">
              <w:rPr>
                <w:rFonts w:eastAsia="Times New Roman"/>
                <w:color w:val="000000"/>
                <w:sz w:val="16"/>
                <w:szCs w:val="16"/>
              </w:rPr>
              <w:t>Capital, business case and planning</w:t>
            </w:r>
          </w:p>
        </w:tc>
        <w:tc>
          <w:tcPr>
            <w:tcW w:w="0" w:type="pct"/>
            <w:noWrap/>
          </w:tcPr>
          <w:p w14:paraId="26D0FC6A" w14:textId="77777777" w:rsidR="007066A0" w:rsidRPr="006663D5" w:rsidRDefault="003F52E6" w:rsidP="007066A0">
            <w:pPr>
              <w:pStyle w:val="ARtabletext"/>
            </w:pPr>
            <w:r w:rsidRPr="000A30CD">
              <w:rPr>
                <w:rFonts w:eastAsia="Times New Roman"/>
                <w:color w:val="000000"/>
                <w:sz w:val="16"/>
                <w:szCs w:val="16"/>
              </w:rPr>
              <w:t>Aspex Consulting Pty Ltd</w:t>
            </w:r>
          </w:p>
        </w:tc>
        <w:tc>
          <w:tcPr>
            <w:tcW w:w="0" w:type="pct"/>
            <w:noWrap/>
          </w:tcPr>
          <w:p w14:paraId="3A703FA8" w14:textId="77777777" w:rsidR="007066A0" w:rsidRPr="006663D5" w:rsidRDefault="000F7743" w:rsidP="007066A0">
            <w:pPr>
              <w:pStyle w:val="ARtabletext"/>
            </w:pPr>
            <w:r>
              <w:rPr>
                <w:rFonts w:eastAsia="Times New Roman"/>
                <w:color w:val="000000"/>
                <w:sz w:val="16"/>
                <w:szCs w:val="16"/>
              </w:rPr>
              <w:t>H</w:t>
            </w:r>
            <w:r w:rsidRPr="000A30CD">
              <w:rPr>
                <w:rFonts w:eastAsia="Times New Roman"/>
                <w:color w:val="000000"/>
                <w:sz w:val="16"/>
                <w:szCs w:val="16"/>
              </w:rPr>
              <w:t xml:space="preserve">ealth </w:t>
            </w:r>
            <w:r>
              <w:rPr>
                <w:rFonts w:eastAsia="Times New Roman"/>
                <w:color w:val="000000"/>
                <w:sz w:val="16"/>
                <w:szCs w:val="16"/>
              </w:rPr>
              <w:t>s</w:t>
            </w:r>
            <w:r w:rsidRPr="000A30CD">
              <w:rPr>
                <w:rFonts w:eastAsia="Times New Roman"/>
                <w:color w:val="000000"/>
                <w:sz w:val="16"/>
                <w:szCs w:val="16"/>
              </w:rPr>
              <w:t xml:space="preserve">ervices </w:t>
            </w:r>
            <w:r>
              <w:rPr>
                <w:rFonts w:eastAsia="Times New Roman"/>
                <w:color w:val="000000"/>
                <w:sz w:val="16"/>
                <w:szCs w:val="16"/>
              </w:rPr>
              <w:t>p</w:t>
            </w:r>
            <w:r w:rsidRPr="000A30CD">
              <w:rPr>
                <w:rFonts w:eastAsia="Times New Roman"/>
                <w:color w:val="000000"/>
                <w:sz w:val="16"/>
                <w:szCs w:val="16"/>
              </w:rPr>
              <w:t>lan</w:t>
            </w:r>
            <w:r>
              <w:rPr>
                <w:rFonts w:eastAsia="Times New Roman"/>
                <w:color w:val="000000"/>
                <w:sz w:val="16"/>
                <w:szCs w:val="16"/>
              </w:rPr>
              <w:t>:</w:t>
            </w:r>
            <w:r w:rsidRPr="000A30CD">
              <w:rPr>
                <w:rFonts w:eastAsia="Times New Roman"/>
                <w:color w:val="000000"/>
                <w:sz w:val="16"/>
                <w:szCs w:val="16"/>
              </w:rPr>
              <w:t xml:space="preserve"> </w:t>
            </w:r>
            <w:r w:rsidR="003F52E6" w:rsidRPr="000A30CD">
              <w:rPr>
                <w:rFonts w:eastAsia="Times New Roman"/>
                <w:color w:val="000000"/>
                <w:sz w:val="16"/>
                <w:szCs w:val="16"/>
              </w:rPr>
              <w:t>Heywood Rural Health</w:t>
            </w:r>
          </w:p>
        </w:tc>
        <w:tc>
          <w:tcPr>
            <w:tcW w:w="0" w:type="pct"/>
            <w:noWrap/>
          </w:tcPr>
          <w:p w14:paraId="7F46DF01" w14:textId="77777777" w:rsidR="007066A0" w:rsidRPr="006663D5" w:rsidRDefault="007066A0" w:rsidP="007066A0">
            <w:pPr>
              <w:pStyle w:val="ARtabletextright"/>
            </w:pPr>
            <w:r w:rsidRPr="000A30CD">
              <w:rPr>
                <w:rFonts w:eastAsia="Times New Roman"/>
                <w:color w:val="000000"/>
                <w:sz w:val="16"/>
                <w:szCs w:val="16"/>
              </w:rPr>
              <w:t>71,635.00</w:t>
            </w:r>
          </w:p>
        </w:tc>
        <w:tc>
          <w:tcPr>
            <w:tcW w:w="0" w:type="pct"/>
            <w:noWrap/>
          </w:tcPr>
          <w:p w14:paraId="5CE6146F" w14:textId="77777777" w:rsidR="007066A0" w:rsidRPr="006663D5" w:rsidRDefault="007066A0" w:rsidP="007066A0">
            <w:pPr>
              <w:pStyle w:val="ARtabletextright"/>
            </w:pPr>
            <w:r w:rsidRPr="000A30CD">
              <w:rPr>
                <w:rFonts w:eastAsia="Times New Roman"/>
                <w:color w:val="000000"/>
                <w:sz w:val="16"/>
                <w:szCs w:val="16"/>
              </w:rPr>
              <w:t>71,635.00</w:t>
            </w:r>
          </w:p>
        </w:tc>
        <w:tc>
          <w:tcPr>
            <w:tcW w:w="0" w:type="pct"/>
            <w:noWrap/>
          </w:tcPr>
          <w:p w14:paraId="01AAD5E6" w14:textId="77777777" w:rsidR="007066A0" w:rsidRPr="006663D5" w:rsidRDefault="007066A0" w:rsidP="007066A0">
            <w:pPr>
              <w:pStyle w:val="ARtabletextright"/>
            </w:pPr>
            <w:r w:rsidRPr="000A30CD">
              <w:rPr>
                <w:rFonts w:eastAsia="Times New Roman"/>
                <w:color w:val="000000"/>
                <w:sz w:val="16"/>
                <w:szCs w:val="16"/>
              </w:rPr>
              <w:t>Nil</w:t>
            </w:r>
          </w:p>
        </w:tc>
      </w:tr>
      <w:tr w:rsidR="007066A0" w:rsidRPr="006663D5" w14:paraId="5D099C7C" w14:textId="77777777" w:rsidTr="00F94CEE">
        <w:trPr>
          <w:trHeight w:val="300"/>
        </w:trPr>
        <w:tc>
          <w:tcPr>
            <w:tcW w:w="0" w:type="pct"/>
            <w:noWrap/>
          </w:tcPr>
          <w:p w14:paraId="51DE6425" w14:textId="77777777" w:rsidR="007066A0" w:rsidRPr="006663D5" w:rsidRDefault="007066A0" w:rsidP="007066A0">
            <w:pPr>
              <w:pStyle w:val="ARtabletext"/>
            </w:pPr>
            <w:r w:rsidRPr="00821F13">
              <w:rPr>
                <w:rFonts w:eastAsia="Times New Roman"/>
                <w:color w:val="000000"/>
                <w:sz w:val="16"/>
                <w:szCs w:val="16"/>
              </w:rPr>
              <w:t>Capital, business case and planning</w:t>
            </w:r>
          </w:p>
        </w:tc>
        <w:tc>
          <w:tcPr>
            <w:tcW w:w="0" w:type="pct"/>
            <w:noWrap/>
          </w:tcPr>
          <w:p w14:paraId="5BB4BE39" w14:textId="77777777" w:rsidR="007066A0" w:rsidRPr="006663D5" w:rsidRDefault="003F52E6" w:rsidP="007066A0">
            <w:pPr>
              <w:pStyle w:val="ARtabletext"/>
            </w:pPr>
            <w:r w:rsidRPr="000A30CD">
              <w:rPr>
                <w:rFonts w:eastAsia="Times New Roman"/>
                <w:color w:val="000000"/>
                <w:sz w:val="16"/>
                <w:szCs w:val="16"/>
              </w:rPr>
              <w:t>Deloitte Touche Tohmatsu</w:t>
            </w:r>
          </w:p>
        </w:tc>
        <w:tc>
          <w:tcPr>
            <w:tcW w:w="0" w:type="pct"/>
            <w:noWrap/>
          </w:tcPr>
          <w:p w14:paraId="3FF2884B" w14:textId="77777777" w:rsidR="007066A0" w:rsidRPr="006663D5" w:rsidRDefault="007066A0" w:rsidP="007066A0">
            <w:pPr>
              <w:pStyle w:val="ARtabletext"/>
            </w:pPr>
            <w:r w:rsidRPr="000A30CD">
              <w:rPr>
                <w:rFonts w:eastAsia="Times New Roman"/>
                <w:color w:val="000000"/>
                <w:sz w:val="16"/>
                <w:szCs w:val="16"/>
              </w:rPr>
              <w:t>Financial and operating models</w:t>
            </w:r>
            <w:r w:rsidR="000F7743">
              <w:rPr>
                <w:rFonts w:eastAsia="Times New Roman"/>
                <w:color w:val="000000"/>
                <w:sz w:val="16"/>
                <w:szCs w:val="16"/>
              </w:rPr>
              <w:t>:</w:t>
            </w:r>
            <w:r w:rsidRPr="000A30CD">
              <w:rPr>
                <w:rFonts w:eastAsia="Times New Roman"/>
                <w:color w:val="000000"/>
                <w:sz w:val="16"/>
                <w:szCs w:val="16"/>
              </w:rPr>
              <w:t xml:space="preserve"> </w:t>
            </w:r>
            <w:r w:rsidR="003F52E6">
              <w:rPr>
                <w:rFonts w:eastAsia="Times New Roman"/>
                <w:color w:val="000000"/>
                <w:sz w:val="16"/>
                <w:szCs w:val="16"/>
              </w:rPr>
              <w:t>N</w:t>
            </w:r>
            <w:r w:rsidRPr="000A30CD">
              <w:rPr>
                <w:rFonts w:eastAsia="Times New Roman"/>
                <w:color w:val="000000"/>
                <w:sz w:val="16"/>
                <w:szCs w:val="16"/>
              </w:rPr>
              <w:t xml:space="preserve">ational </w:t>
            </w:r>
            <w:r w:rsidR="003F52E6">
              <w:rPr>
                <w:rFonts w:eastAsia="Times New Roman"/>
                <w:color w:val="000000"/>
                <w:sz w:val="16"/>
                <w:szCs w:val="16"/>
              </w:rPr>
              <w:t>D</w:t>
            </w:r>
            <w:r w:rsidRPr="000A30CD">
              <w:rPr>
                <w:rFonts w:eastAsia="Times New Roman"/>
                <w:color w:val="000000"/>
                <w:sz w:val="16"/>
                <w:szCs w:val="16"/>
              </w:rPr>
              <w:t xml:space="preserve">isability </w:t>
            </w:r>
            <w:r w:rsidR="003F52E6">
              <w:rPr>
                <w:rFonts w:eastAsia="Times New Roman"/>
                <w:color w:val="000000"/>
                <w:sz w:val="16"/>
                <w:szCs w:val="16"/>
              </w:rPr>
              <w:t>I</w:t>
            </w:r>
            <w:r w:rsidR="003F52E6" w:rsidRPr="000A30CD">
              <w:rPr>
                <w:rFonts w:eastAsia="Times New Roman"/>
                <w:color w:val="000000"/>
                <w:sz w:val="16"/>
                <w:szCs w:val="16"/>
              </w:rPr>
              <w:t xml:space="preserve">nsurance </w:t>
            </w:r>
            <w:r w:rsidR="003F52E6">
              <w:rPr>
                <w:rFonts w:eastAsia="Times New Roman"/>
                <w:color w:val="000000"/>
                <w:sz w:val="16"/>
                <w:szCs w:val="16"/>
              </w:rPr>
              <w:t>S</w:t>
            </w:r>
            <w:r w:rsidR="003F52E6" w:rsidRPr="000A30CD">
              <w:rPr>
                <w:rFonts w:eastAsia="Times New Roman"/>
                <w:color w:val="000000"/>
                <w:sz w:val="16"/>
                <w:szCs w:val="16"/>
              </w:rPr>
              <w:t>cheme</w:t>
            </w:r>
          </w:p>
        </w:tc>
        <w:tc>
          <w:tcPr>
            <w:tcW w:w="0" w:type="pct"/>
            <w:noWrap/>
          </w:tcPr>
          <w:p w14:paraId="56637B30" w14:textId="77777777" w:rsidR="007066A0" w:rsidRPr="006663D5" w:rsidRDefault="007066A0" w:rsidP="007066A0">
            <w:pPr>
              <w:pStyle w:val="ARtabletextright"/>
            </w:pPr>
            <w:r w:rsidRPr="000A30CD">
              <w:rPr>
                <w:rFonts w:eastAsia="Times New Roman"/>
                <w:color w:val="000000"/>
                <w:sz w:val="16"/>
                <w:szCs w:val="16"/>
              </w:rPr>
              <w:t>4,738,508.00</w:t>
            </w:r>
          </w:p>
        </w:tc>
        <w:tc>
          <w:tcPr>
            <w:tcW w:w="0" w:type="pct"/>
            <w:noWrap/>
          </w:tcPr>
          <w:p w14:paraId="4179C764" w14:textId="77777777" w:rsidR="007066A0" w:rsidRPr="006663D5" w:rsidRDefault="007066A0" w:rsidP="007066A0">
            <w:pPr>
              <w:pStyle w:val="ARtabletextright"/>
            </w:pPr>
            <w:r w:rsidRPr="000A30CD">
              <w:rPr>
                <w:rFonts w:eastAsia="Times New Roman"/>
                <w:color w:val="000000"/>
                <w:sz w:val="16"/>
                <w:szCs w:val="16"/>
              </w:rPr>
              <w:t>1,619,325.00</w:t>
            </w:r>
          </w:p>
        </w:tc>
        <w:tc>
          <w:tcPr>
            <w:tcW w:w="0" w:type="pct"/>
            <w:noWrap/>
          </w:tcPr>
          <w:p w14:paraId="77E310D4" w14:textId="77777777" w:rsidR="007066A0" w:rsidRPr="006663D5" w:rsidRDefault="007066A0" w:rsidP="007066A0">
            <w:pPr>
              <w:pStyle w:val="ARtabletextright"/>
            </w:pPr>
            <w:r w:rsidRPr="000A30CD">
              <w:rPr>
                <w:rFonts w:eastAsia="Times New Roman"/>
                <w:color w:val="000000"/>
                <w:sz w:val="16"/>
                <w:szCs w:val="16"/>
              </w:rPr>
              <w:t>576,528.00</w:t>
            </w:r>
          </w:p>
        </w:tc>
      </w:tr>
      <w:tr w:rsidR="007066A0" w:rsidRPr="006663D5" w14:paraId="7773C47E" w14:textId="77777777" w:rsidTr="00F94CEE">
        <w:trPr>
          <w:trHeight w:val="300"/>
        </w:trPr>
        <w:tc>
          <w:tcPr>
            <w:tcW w:w="0" w:type="pct"/>
            <w:noWrap/>
          </w:tcPr>
          <w:p w14:paraId="54C52A78" w14:textId="77777777" w:rsidR="007066A0" w:rsidRPr="006663D5" w:rsidRDefault="007066A0" w:rsidP="007066A0">
            <w:pPr>
              <w:pStyle w:val="ARtabletext"/>
            </w:pPr>
            <w:r w:rsidRPr="00821F13">
              <w:rPr>
                <w:rFonts w:eastAsia="Times New Roman"/>
                <w:color w:val="000000"/>
                <w:sz w:val="16"/>
                <w:szCs w:val="16"/>
              </w:rPr>
              <w:t>Capital, business case and planning</w:t>
            </w:r>
          </w:p>
        </w:tc>
        <w:tc>
          <w:tcPr>
            <w:tcW w:w="0" w:type="pct"/>
            <w:noWrap/>
          </w:tcPr>
          <w:p w14:paraId="2AFB2D3D" w14:textId="77777777" w:rsidR="007066A0" w:rsidRPr="006663D5" w:rsidRDefault="003F52E6" w:rsidP="007066A0">
            <w:pPr>
              <w:pStyle w:val="ARtabletext"/>
            </w:pPr>
            <w:r w:rsidRPr="000A30CD">
              <w:rPr>
                <w:rFonts w:eastAsia="Times New Roman"/>
                <w:color w:val="000000"/>
                <w:sz w:val="16"/>
                <w:szCs w:val="16"/>
              </w:rPr>
              <w:t>Deloitte Touche Tohmatsu</w:t>
            </w:r>
          </w:p>
        </w:tc>
        <w:tc>
          <w:tcPr>
            <w:tcW w:w="0" w:type="pct"/>
            <w:noWrap/>
          </w:tcPr>
          <w:p w14:paraId="0103495E" w14:textId="77777777" w:rsidR="007066A0" w:rsidRPr="006663D5" w:rsidRDefault="007066A0" w:rsidP="007066A0">
            <w:pPr>
              <w:pStyle w:val="ARtabletext"/>
            </w:pPr>
            <w:r w:rsidRPr="000A30CD">
              <w:rPr>
                <w:rFonts w:eastAsia="Times New Roman"/>
                <w:color w:val="000000"/>
                <w:sz w:val="16"/>
                <w:szCs w:val="16"/>
              </w:rPr>
              <w:t xml:space="preserve">Service </w:t>
            </w:r>
            <w:r w:rsidR="003F52E6">
              <w:rPr>
                <w:rFonts w:eastAsia="Times New Roman"/>
                <w:color w:val="000000"/>
                <w:sz w:val="16"/>
                <w:szCs w:val="16"/>
              </w:rPr>
              <w:t>p</w:t>
            </w:r>
            <w:r w:rsidRPr="000A30CD">
              <w:rPr>
                <w:rFonts w:eastAsia="Times New Roman"/>
                <w:color w:val="000000"/>
                <w:sz w:val="16"/>
                <w:szCs w:val="16"/>
              </w:rPr>
              <w:t>lan</w:t>
            </w:r>
            <w:r w:rsidR="000F7743">
              <w:rPr>
                <w:rFonts w:eastAsia="Times New Roman"/>
                <w:color w:val="000000"/>
                <w:sz w:val="16"/>
                <w:szCs w:val="16"/>
              </w:rPr>
              <w:t>:</w:t>
            </w:r>
            <w:r w:rsidR="003F52E6">
              <w:rPr>
                <w:rFonts w:eastAsia="Times New Roman"/>
                <w:color w:val="000000"/>
                <w:sz w:val="16"/>
                <w:szCs w:val="16"/>
              </w:rPr>
              <w:t xml:space="preserve"> </w:t>
            </w:r>
            <w:r w:rsidRPr="000A30CD">
              <w:rPr>
                <w:rFonts w:eastAsia="Times New Roman"/>
                <w:color w:val="000000"/>
                <w:sz w:val="16"/>
                <w:szCs w:val="16"/>
              </w:rPr>
              <w:t xml:space="preserve">Victorian </w:t>
            </w:r>
            <w:r w:rsidR="000F7743">
              <w:rPr>
                <w:rFonts w:eastAsia="Times New Roman"/>
                <w:color w:val="000000"/>
                <w:sz w:val="16"/>
                <w:szCs w:val="16"/>
              </w:rPr>
              <w:t>e</w:t>
            </w:r>
            <w:r w:rsidR="000F7743" w:rsidRPr="000A30CD">
              <w:rPr>
                <w:rFonts w:eastAsia="Times New Roman"/>
                <w:color w:val="000000"/>
                <w:sz w:val="16"/>
                <w:szCs w:val="16"/>
              </w:rPr>
              <w:t xml:space="preserve">arly </w:t>
            </w:r>
            <w:r w:rsidR="000F7743">
              <w:rPr>
                <w:rFonts w:eastAsia="Times New Roman"/>
                <w:color w:val="000000"/>
                <w:sz w:val="16"/>
                <w:szCs w:val="16"/>
              </w:rPr>
              <w:t>p</w:t>
            </w:r>
            <w:r w:rsidRPr="000A30CD">
              <w:rPr>
                <w:rFonts w:eastAsia="Times New Roman"/>
                <w:color w:val="000000"/>
                <w:sz w:val="16"/>
                <w:szCs w:val="16"/>
              </w:rPr>
              <w:t xml:space="preserve">arenting </w:t>
            </w:r>
            <w:r w:rsidR="000F7743">
              <w:rPr>
                <w:rFonts w:eastAsia="Times New Roman"/>
                <w:color w:val="000000"/>
                <w:sz w:val="16"/>
                <w:szCs w:val="16"/>
              </w:rPr>
              <w:t>c</w:t>
            </w:r>
            <w:r w:rsidRPr="000A30CD">
              <w:rPr>
                <w:rFonts w:eastAsia="Times New Roman"/>
                <w:color w:val="000000"/>
                <w:sz w:val="16"/>
                <w:szCs w:val="16"/>
              </w:rPr>
              <w:t>entres</w:t>
            </w:r>
          </w:p>
        </w:tc>
        <w:tc>
          <w:tcPr>
            <w:tcW w:w="0" w:type="pct"/>
            <w:noWrap/>
          </w:tcPr>
          <w:p w14:paraId="76224435" w14:textId="77777777" w:rsidR="007066A0" w:rsidRPr="006663D5" w:rsidRDefault="007066A0" w:rsidP="007066A0">
            <w:pPr>
              <w:pStyle w:val="ARtabletextright"/>
            </w:pPr>
            <w:r w:rsidRPr="000A30CD">
              <w:rPr>
                <w:rFonts w:eastAsia="Times New Roman"/>
                <w:color w:val="000000"/>
                <w:sz w:val="16"/>
                <w:szCs w:val="16"/>
              </w:rPr>
              <w:t>184,828.00</w:t>
            </w:r>
          </w:p>
        </w:tc>
        <w:tc>
          <w:tcPr>
            <w:tcW w:w="0" w:type="pct"/>
            <w:noWrap/>
          </w:tcPr>
          <w:p w14:paraId="1B9F93C7" w14:textId="77777777" w:rsidR="007066A0" w:rsidRPr="006663D5" w:rsidRDefault="007066A0" w:rsidP="007066A0">
            <w:pPr>
              <w:pStyle w:val="ARtabletextright"/>
            </w:pPr>
            <w:r w:rsidRPr="000A30CD">
              <w:rPr>
                <w:rFonts w:eastAsia="Times New Roman"/>
                <w:color w:val="000000"/>
                <w:sz w:val="16"/>
                <w:szCs w:val="16"/>
              </w:rPr>
              <w:t>184,828.00</w:t>
            </w:r>
          </w:p>
        </w:tc>
        <w:tc>
          <w:tcPr>
            <w:tcW w:w="0" w:type="pct"/>
            <w:noWrap/>
          </w:tcPr>
          <w:p w14:paraId="53F4F54F" w14:textId="77777777" w:rsidR="007066A0" w:rsidRPr="006663D5" w:rsidRDefault="007066A0" w:rsidP="007066A0">
            <w:pPr>
              <w:pStyle w:val="ARtabletextright"/>
            </w:pPr>
            <w:r w:rsidRPr="000A30CD">
              <w:rPr>
                <w:rFonts w:eastAsia="Times New Roman"/>
                <w:color w:val="000000"/>
                <w:sz w:val="16"/>
                <w:szCs w:val="16"/>
              </w:rPr>
              <w:t>Nil</w:t>
            </w:r>
          </w:p>
        </w:tc>
      </w:tr>
      <w:tr w:rsidR="007066A0" w:rsidRPr="006663D5" w14:paraId="301B7C2E" w14:textId="77777777" w:rsidTr="00E34BA4">
        <w:trPr>
          <w:trHeight w:val="300"/>
        </w:trPr>
        <w:tc>
          <w:tcPr>
            <w:tcW w:w="0" w:type="pct"/>
            <w:noWrap/>
          </w:tcPr>
          <w:p w14:paraId="2F460C16" w14:textId="77777777" w:rsidR="007066A0" w:rsidRPr="006663D5" w:rsidRDefault="007066A0" w:rsidP="007066A0">
            <w:pPr>
              <w:pStyle w:val="ARtabletext"/>
            </w:pPr>
            <w:r w:rsidRPr="00821F13">
              <w:rPr>
                <w:rFonts w:eastAsia="Times New Roman"/>
                <w:color w:val="000000"/>
                <w:sz w:val="16"/>
                <w:szCs w:val="16"/>
              </w:rPr>
              <w:t>Capital, business case and planning</w:t>
            </w:r>
          </w:p>
        </w:tc>
        <w:tc>
          <w:tcPr>
            <w:tcW w:w="0" w:type="pct"/>
            <w:noWrap/>
          </w:tcPr>
          <w:p w14:paraId="2D4A7AA4" w14:textId="77777777" w:rsidR="007066A0" w:rsidRPr="006663D5" w:rsidRDefault="003F52E6" w:rsidP="007066A0">
            <w:pPr>
              <w:pStyle w:val="ARtabletext"/>
            </w:pPr>
            <w:r w:rsidRPr="000A30CD">
              <w:rPr>
                <w:rFonts w:eastAsia="Times New Roman"/>
                <w:color w:val="000000"/>
                <w:sz w:val="16"/>
                <w:szCs w:val="16"/>
              </w:rPr>
              <w:t>Deloitte Touche Tohmatsu</w:t>
            </w:r>
          </w:p>
        </w:tc>
        <w:tc>
          <w:tcPr>
            <w:tcW w:w="0" w:type="pct"/>
            <w:noWrap/>
          </w:tcPr>
          <w:p w14:paraId="1D4FA678" w14:textId="77777777" w:rsidR="007066A0" w:rsidRPr="006663D5" w:rsidRDefault="000F7743" w:rsidP="007066A0">
            <w:pPr>
              <w:pStyle w:val="ARtabletext"/>
            </w:pPr>
            <w:r>
              <w:rPr>
                <w:rFonts w:eastAsia="Times New Roman"/>
                <w:color w:val="000000"/>
                <w:sz w:val="16"/>
                <w:szCs w:val="16"/>
              </w:rPr>
              <w:t>C</w:t>
            </w:r>
            <w:r w:rsidR="007066A0" w:rsidRPr="000A30CD">
              <w:rPr>
                <w:rFonts w:eastAsia="Times New Roman"/>
                <w:color w:val="000000"/>
                <w:sz w:val="16"/>
                <w:szCs w:val="16"/>
              </w:rPr>
              <w:t xml:space="preserve">apital </w:t>
            </w:r>
            <w:r w:rsidR="003F52E6">
              <w:rPr>
                <w:rFonts w:eastAsia="Times New Roman"/>
                <w:color w:val="000000"/>
                <w:sz w:val="16"/>
                <w:szCs w:val="16"/>
              </w:rPr>
              <w:t>p</w:t>
            </w:r>
            <w:r w:rsidR="007066A0" w:rsidRPr="000A30CD">
              <w:rPr>
                <w:rFonts w:eastAsia="Times New Roman"/>
                <w:color w:val="000000"/>
                <w:sz w:val="16"/>
                <w:szCs w:val="16"/>
              </w:rPr>
              <w:t>lanning</w:t>
            </w:r>
            <w:r>
              <w:rPr>
                <w:rFonts w:eastAsia="Times New Roman"/>
                <w:color w:val="000000"/>
                <w:sz w:val="16"/>
                <w:szCs w:val="16"/>
              </w:rPr>
              <w:t>:</w:t>
            </w:r>
            <w:r w:rsidRPr="000A30CD">
              <w:rPr>
                <w:rFonts w:eastAsia="Times New Roman"/>
                <w:color w:val="000000"/>
                <w:sz w:val="16"/>
                <w:szCs w:val="16"/>
              </w:rPr>
              <w:t xml:space="preserve"> VHHSBA</w:t>
            </w:r>
          </w:p>
        </w:tc>
        <w:tc>
          <w:tcPr>
            <w:tcW w:w="0" w:type="pct"/>
            <w:noWrap/>
          </w:tcPr>
          <w:p w14:paraId="13B2089D" w14:textId="77777777" w:rsidR="007066A0" w:rsidRPr="006663D5" w:rsidRDefault="007066A0" w:rsidP="007066A0">
            <w:pPr>
              <w:pStyle w:val="ARtabletextright"/>
            </w:pPr>
            <w:r w:rsidRPr="000A30CD">
              <w:rPr>
                <w:rFonts w:eastAsia="Times New Roman"/>
                <w:color w:val="000000"/>
                <w:sz w:val="16"/>
                <w:szCs w:val="16"/>
              </w:rPr>
              <w:t>209,261.00</w:t>
            </w:r>
          </w:p>
        </w:tc>
        <w:tc>
          <w:tcPr>
            <w:tcW w:w="0" w:type="pct"/>
            <w:noWrap/>
          </w:tcPr>
          <w:p w14:paraId="3001194C" w14:textId="77777777" w:rsidR="007066A0" w:rsidRPr="006663D5" w:rsidRDefault="007066A0" w:rsidP="007066A0">
            <w:pPr>
              <w:pStyle w:val="ARtabletextright"/>
            </w:pPr>
            <w:r w:rsidRPr="000A30CD">
              <w:rPr>
                <w:rFonts w:eastAsia="Times New Roman"/>
                <w:color w:val="000000"/>
                <w:sz w:val="16"/>
                <w:szCs w:val="16"/>
              </w:rPr>
              <w:t>176,981.00</w:t>
            </w:r>
          </w:p>
        </w:tc>
        <w:tc>
          <w:tcPr>
            <w:tcW w:w="0" w:type="pct"/>
            <w:noWrap/>
          </w:tcPr>
          <w:p w14:paraId="35343D2B" w14:textId="77777777" w:rsidR="007066A0" w:rsidRPr="006663D5" w:rsidRDefault="007066A0" w:rsidP="007066A0">
            <w:pPr>
              <w:pStyle w:val="ARtabletextright"/>
            </w:pPr>
            <w:r w:rsidRPr="000A30CD">
              <w:rPr>
                <w:rFonts w:eastAsia="Times New Roman"/>
                <w:color w:val="000000"/>
                <w:sz w:val="16"/>
                <w:szCs w:val="16"/>
              </w:rPr>
              <w:t>Nil</w:t>
            </w:r>
          </w:p>
        </w:tc>
      </w:tr>
      <w:tr w:rsidR="007066A0" w:rsidRPr="006663D5" w14:paraId="1CC1C81D" w14:textId="77777777" w:rsidTr="00F94CEE">
        <w:trPr>
          <w:trHeight w:val="300"/>
        </w:trPr>
        <w:tc>
          <w:tcPr>
            <w:tcW w:w="0" w:type="pct"/>
            <w:noWrap/>
          </w:tcPr>
          <w:p w14:paraId="2977B738" w14:textId="77777777" w:rsidR="007066A0" w:rsidRPr="006663D5" w:rsidRDefault="007066A0" w:rsidP="007066A0">
            <w:pPr>
              <w:pStyle w:val="ARtabletext"/>
            </w:pPr>
            <w:r w:rsidRPr="00821F13">
              <w:rPr>
                <w:rFonts w:eastAsia="Times New Roman"/>
                <w:color w:val="000000"/>
                <w:sz w:val="16"/>
                <w:szCs w:val="16"/>
              </w:rPr>
              <w:t>Capital, business case and planning</w:t>
            </w:r>
          </w:p>
        </w:tc>
        <w:tc>
          <w:tcPr>
            <w:tcW w:w="0" w:type="pct"/>
            <w:noWrap/>
          </w:tcPr>
          <w:p w14:paraId="70BCB642" w14:textId="77777777" w:rsidR="007066A0" w:rsidRPr="006663D5" w:rsidRDefault="007066A0" w:rsidP="007066A0">
            <w:pPr>
              <w:pStyle w:val="ARtabletext"/>
            </w:pPr>
            <w:r w:rsidRPr="000A30CD">
              <w:rPr>
                <w:rFonts w:eastAsia="Times New Roman"/>
                <w:color w:val="000000"/>
                <w:sz w:val="16"/>
                <w:szCs w:val="16"/>
              </w:rPr>
              <w:t>KPMG</w:t>
            </w:r>
          </w:p>
        </w:tc>
        <w:tc>
          <w:tcPr>
            <w:tcW w:w="0" w:type="pct"/>
            <w:noWrap/>
          </w:tcPr>
          <w:p w14:paraId="12A8F6CB" w14:textId="77777777" w:rsidR="007066A0" w:rsidRPr="006663D5" w:rsidRDefault="007066A0" w:rsidP="007066A0">
            <w:pPr>
              <w:pStyle w:val="ARtabletext"/>
            </w:pPr>
            <w:r w:rsidRPr="000A30CD">
              <w:rPr>
                <w:rFonts w:eastAsia="Times New Roman"/>
                <w:color w:val="000000"/>
                <w:sz w:val="16"/>
                <w:szCs w:val="16"/>
              </w:rPr>
              <w:t xml:space="preserve">Services </w:t>
            </w:r>
            <w:r w:rsidR="003F52E6">
              <w:rPr>
                <w:rFonts w:eastAsia="Times New Roman"/>
                <w:color w:val="000000"/>
                <w:sz w:val="16"/>
                <w:szCs w:val="16"/>
              </w:rPr>
              <w:t>p</w:t>
            </w:r>
            <w:r w:rsidRPr="000A30CD">
              <w:rPr>
                <w:rFonts w:eastAsia="Times New Roman"/>
                <w:color w:val="000000"/>
                <w:sz w:val="16"/>
                <w:szCs w:val="16"/>
              </w:rPr>
              <w:t>lanning</w:t>
            </w:r>
            <w:r w:rsidR="000F7743">
              <w:rPr>
                <w:rFonts w:eastAsia="Times New Roman"/>
                <w:color w:val="000000"/>
                <w:sz w:val="16"/>
                <w:szCs w:val="16"/>
              </w:rPr>
              <w:t>:</w:t>
            </w:r>
            <w:r w:rsidRPr="000A30CD">
              <w:rPr>
                <w:rFonts w:eastAsia="Times New Roman"/>
                <w:color w:val="000000"/>
                <w:sz w:val="16"/>
                <w:szCs w:val="16"/>
              </w:rPr>
              <w:t xml:space="preserve"> Disability Forensics Assessment and Treatment Service (DFATS)</w:t>
            </w:r>
          </w:p>
        </w:tc>
        <w:tc>
          <w:tcPr>
            <w:tcW w:w="0" w:type="pct"/>
            <w:noWrap/>
          </w:tcPr>
          <w:p w14:paraId="7710841D" w14:textId="77777777" w:rsidR="007066A0" w:rsidRPr="006663D5" w:rsidRDefault="007066A0" w:rsidP="007066A0">
            <w:pPr>
              <w:pStyle w:val="ARtabletextright"/>
            </w:pPr>
            <w:r w:rsidRPr="000A30CD">
              <w:rPr>
                <w:rFonts w:eastAsia="Times New Roman"/>
                <w:color w:val="000000"/>
                <w:sz w:val="16"/>
                <w:szCs w:val="16"/>
              </w:rPr>
              <w:t>296,364.00</w:t>
            </w:r>
          </w:p>
        </w:tc>
        <w:tc>
          <w:tcPr>
            <w:tcW w:w="0" w:type="pct"/>
            <w:noWrap/>
          </w:tcPr>
          <w:p w14:paraId="4FA9397B" w14:textId="77777777" w:rsidR="007066A0" w:rsidRPr="006663D5" w:rsidRDefault="007066A0" w:rsidP="007066A0">
            <w:pPr>
              <w:pStyle w:val="ARtabletextright"/>
            </w:pPr>
            <w:r w:rsidRPr="000A30CD">
              <w:rPr>
                <w:rFonts w:eastAsia="Times New Roman"/>
                <w:color w:val="000000"/>
                <w:sz w:val="16"/>
                <w:szCs w:val="16"/>
              </w:rPr>
              <w:t>296,364.00</w:t>
            </w:r>
          </w:p>
        </w:tc>
        <w:tc>
          <w:tcPr>
            <w:tcW w:w="0" w:type="pct"/>
            <w:noWrap/>
          </w:tcPr>
          <w:p w14:paraId="2A0F01B8" w14:textId="77777777" w:rsidR="007066A0" w:rsidRPr="006663D5" w:rsidRDefault="007066A0" w:rsidP="007066A0">
            <w:pPr>
              <w:pStyle w:val="ARtabletextright"/>
            </w:pPr>
            <w:r w:rsidRPr="000A30CD">
              <w:rPr>
                <w:rFonts w:eastAsia="Times New Roman"/>
                <w:color w:val="000000"/>
                <w:sz w:val="16"/>
                <w:szCs w:val="16"/>
              </w:rPr>
              <w:t>Nil</w:t>
            </w:r>
          </w:p>
        </w:tc>
      </w:tr>
      <w:tr w:rsidR="007066A0" w:rsidRPr="006663D5" w14:paraId="15D93E08" w14:textId="77777777" w:rsidTr="00F94CEE">
        <w:trPr>
          <w:trHeight w:val="300"/>
        </w:trPr>
        <w:tc>
          <w:tcPr>
            <w:tcW w:w="0" w:type="pct"/>
            <w:noWrap/>
          </w:tcPr>
          <w:p w14:paraId="5126B2F6" w14:textId="77777777" w:rsidR="007066A0" w:rsidRPr="006663D5" w:rsidRDefault="007066A0" w:rsidP="007066A0">
            <w:pPr>
              <w:pStyle w:val="ARtabletext"/>
            </w:pPr>
            <w:r w:rsidRPr="00821F13">
              <w:rPr>
                <w:rFonts w:eastAsia="Times New Roman"/>
                <w:color w:val="000000"/>
                <w:sz w:val="16"/>
                <w:szCs w:val="16"/>
              </w:rPr>
              <w:t>Capital, business case and planning</w:t>
            </w:r>
          </w:p>
        </w:tc>
        <w:tc>
          <w:tcPr>
            <w:tcW w:w="0" w:type="pct"/>
            <w:noWrap/>
          </w:tcPr>
          <w:p w14:paraId="54AC6A92" w14:textId="77777777" w:rsidR="007066A0" w:rsidRPr="006663D5" w:rsidRDefault="007066A0" w:rsidP="007066A0">
            <w:pPr>
              <w:pStyle w:val="ARtabletext"/>
            </w:pPr>
            <w:r w:rsidRPr="000A30CD">
              <w:rPr>
                <w:rFonts w:eastAsia="Times New Roman"/>
                <w:color w:val="000000"/>
                <w:sz w:val="16"/>
                <w:szCs w:val="16"/>
              </w:rPr>
              <w:t>KPMG</w:t>
            </w:r>
          </w:p>
        </w:tc>
        <w:tc>
          <w:tcPr>
            <w:tcW w:w="0" w:type="pct"/>
            <w:noWrap/>
          </w:tcPr>
          <w:p w14:paraId="75814FC2" w14:textId="77777777" w:rsidR="007066A0" w:rsidRPr="006663D5" w:rsidRDefault="007066A0" w:rsidP="007066A0">
            <w:pPr>
              <w:pStyle w:val="ARtabletext"/>
            </w:pPr>
            <w:r w:rsidRPr="000A30CD">
              <w:rPr>
                <w:rFonts w:eastAsia="Times New Roman"/>
                <w:color w:val="000000"/>
                <w:sz w:val="16"/>
                <w:szCs w:val="16"/>
              </w:rPr>
              <w:t xml:space="preserve">Strategic </w:t>
            </w:r>
            <w:r w:rsidR="003F52E6" w:rsidRPr="000A30CD">
              <w:rPr>
                <w:rFonts w:eastAsia="Times New Roman"/>
                <w:color w:val="000000"/>
                <w:sz w:val="16"/>
                <w:szCs w:val="16"/>
              </w:rPr>
              <w:t>plan and evaluation framework</w:t>
            </w:r>
            <w:r w:rsidR="000F7743">
              <w:rPr>
                <w:rFonts w:eastAsia="Times New Roman"/>
                <w:color w:val="000000"/>
                <w:sz w:val="16"/>
                <w:szCs w:val="16"/>
              </w:rPr>
              <w:t>:</w:t>
            </w:r>
            <w:r w:rsidR="003F52E6" w:rsidRPr="000A30CD">
              <w:rPr>
                <w:rFonts w:eastAsia="Times New Roman"/>
                <w:color w:val="000000"/>
                <w:sz w:val="16"/>
                <w:szCs w:val="16"/>
              </w:rPr>
              <w:t xml:space="preserve"> cemetery services</w:t>
            </w:r>
          </w:p>
        </w:tc>
        <w:tc>
          <w:tcPr>
            <w:tcW w:w="0" w:type="pct"/>
            <w:noWrap/>
          </w:tcPr>
          <w:p w14:paraId="7CDDB4D1" w14:textId="77777777" w:rsidR="007066A0" w:rsidRPr="006663D5" w:rsidRDefault="007066A0" w:rsidP="007066A0">
            <w:pPr>
              <w:pStyle w:val="ARtabletextright"/>
            </w:pPr>
            <w:r w:rsidRPr="000A30CD">
              <w:rPr>
                <w:rFonts w:eastAsia="Times New Roman"/>
                <w:color w:val="000000"/>
                <w:sz w:val="16"/>
                <w:szCs w:val="16"/>
              </w:rPr>
              <w:t>563,328.00</w:t>
            </w:r>
          </w:p>
        </w:tc>
        <w:tc>
          <w:tcPr>
            <w:tcW w:w="0" w:type="pct"/>
            <w:noWrap/>
          </w:tcPr>
          <w:p w14:paraId="606EB321" w14:textId="77777777" w:rsidR="007066A0" w:rsidRPr="006663D5" w:rsidRDefault="007066A0" w:rsidP="007066A0">
            <w:pPr>
              <w:pStyle w:val="ARtabletextright"/>
            </w:pPr>
            <w:r w:rsidRPr="000A30CD">
              <w:rPr>
                <w:rFonts w:eastAsia="Times New Roman"/>
                <w:color w:val="000000"/>
                <w:sz w:val="16"/>
                <w:szCs w:val="16"/>
              </w:rPr>
              <w:t>126,363.00</w:t>
            </w:r>
          </w:p>
        </w:tc>
        <w:tc>
          <w:tcPr>
            <w:tcW w:w="0" w:type="pct"/>
            <w:noWrap/>
          </w:tcPr>
          <w:p w14:paraId="11DAE6E9" w14:textId="77777777" w:rsidR="007066A0" w:rsidRPr="006663D5" w:rsidRDefault="007066A0" w:rsidP="007066A0">
            <w:pPr>
              <w:pStyle w:val="ARtabletextright"/>
            </w:pPr>
            <w:r w:rsidRPr="000A30CD">
              <w:rPr>
                <w:rFonts w:eastAsia="Times New Roman"/>
                <w:color w:val="000000"/>
                <w:sz w:val="16"/>
                <w:szCs w:val="16"/>
              </w:rPr>
              <w:t>133,849.00</w:t>
            </w:r>
          </w:p>
        </w:tc>
      </w:tr>
      <w:tr w:rsidR="007066A0" w:rsidRPr="006663D5" w14:paraId="4380E490" w14:textId="77777777" w:rsidTr="00F94CEE">
        <w:trPr>
          <w:trHeight w:val="300"/>
        </w:trPr>
        <w:tc>
          <w:tcPr>
            <w:tcW w:w="0" w:type="pct"/>
            <w:noWrap/>
          </w:tcPr>
          <w:p w14:paraId="4A2D7406" w14:textId="77777777" w:rsidR="007066A0" w:rsidRPr="006663D5" w:rsidRDefault="007066A0" w:rsidP="007066A0">
            <w:pPr>
              <w:pStyle w:val="ARtabletext"/>
            </w:pPr>
            <w:r w:rsidRPr="00821F13">
              <w:rPr>
                <w:rFonts w:eastAsia="Times New Roman"/>
                <w:color w:val="000000"/>
                <w:sz w:val="16"/>
                <w:szCs w:val="16"/>
              </w:rPr>
              <w:t>Capital, business case and planning</w:t>
            </w:r>
          </w:p>
        </w:tc>
        <w:tc>
          <w:tcPr>
            <w:tcW w:w="0" w:type="pct"/>
            <w:noWrap/>
          </w:tcPr>
          <w:p w14:paraId="4CC8F015" w14:textId="77777777" w:rsidR="007066A0" w:rsidRPr="006663D5" w:rsidRDefault="007066A0" w:rsidP="007066A0">
            <w:pPr>
              <w:pStyle w:val="ARtabletext"/>
            </w:pPr>
            <w:r w:rsidRPr="000A30CD">
              <w:rPr>
                <w:rFonts w:eastAsia="Times New Roman"/>
                <w:color w:val="000000"/>
                <w:sz w:val="16"/>
                <w:szCs w:val="16"/>
              </w:rPr>
              <w:t>KPMG</w:t>
            </w:r>
          </w:p>
        </w:tc>
        <w:tc>
          <w:tcPr>
            <w:tcW w:w="0" w:type="pct"/>
            <w:noWrap/>
          </w:tcPr>
          <w:p w14:paraId="53AF30AA" w14:textId="77777777" w:rsidR="007066A0" w:rsidRPr="006663D5" w:rsidRDefault="007066A0" w:rsidP="007066A0">
            <w:pPr>
              <w:pStyle w:val="ARtabletext"/>
            </w:pPr>
            <w:r w:rsidRPr="000A30CD">
              <w:rPr>
                <w:rFonts w:eastAsia="Times New Roman"/>
                <w:color w:val="000000"/>
                <w:sz w:val="16"/>
                <w:szCs w:val="16"/>
              </w:rPr>
              <w:t xml:space="preserve">Health </w:t>
            </w:r>
            <w:r w:rsidR="000F7743">
              <w:rPr>
                <w:rFonts w:eastAsia="Times New Roman"/>
                <w:color w:val="000000"/>
                <w:sz w:val="16"/>
                <w:szCs w:val="16"/>
              </w:rPr>
              <w:t>s</w:t>
            </w:r>
            <w:r w:rsidRPr="000A30CD">
              <w:rPr>
                <w:rFonts w:eastAsia="Times New Roman"/>
                <w:color w:val="000000"/>
                <w:sz w:val="16"/>
                <w:szCs w:val="16"/>
              </w:rPr>
              <w:t xml:space="preserve">ervices </w:t>
            </w:r>
            <w:r w:rsidR="000F7743">
              <w:rPr>
                <w:rFonts w:eastAsia="Times New Roman"/>
                <w:color w:val="000000"/>
                <w:sz w:val="16"/>
                <w:szCs w:val="16"/>
              </w:rPr>
              <w:t>p</w:t>
            </w:r>
            <w:r w:rsidRPr="000A30CD">
              <w:rPr>
                <w:rFonts w:eastAsia="Times New Roman"/>
                <w:color w:val="000000"/>
                <w:sz w:val="16"/>
                <w:szCs w:val="16"/>
              </w:rPr>
              <w:t>lan: East Wimmera Health Services</w:t>
            </w:r>
          </w:p>
        </w:tc>
        <w:tc>
          <w:tcPr>
            <w:tcW w:w="0" w:type="pct"/>
            <w:noWrap/>
          </w:tcPr>
          <w:p w14:paraId="02EADE33" w14:textId="77777777" w:rsidR="007066A0" w:rsidRPr="006663D5" w:rsidRDefault="007066A0" w:rsidP="007066A0">
            <w:pPr>
              <w:pStyle w:val="ARtabletextright"/>
            </w:pPr>
            <w:r w:rsidRPr="000A30CD">
              <w:rPr>
                <w:rFonts w:eastAsia="Times New Roman"/>
                <w:color w:val="000000"/>
                <w:sz w:val="16"/>
                <w:szCs w:val="16"/>
              </w:rPr>
              <w:t>122,268.00</w:t>
            </w:r>
          </w:p>
        </w:tc>
        <w:tc>
          <w:tcPr>
            <w:tcW w:w="0" w:type="pct"/>
            <w:noWrap/>
          </w:tcPr>
          <w:p w14:paraId="075B0859" w14:textId="77777777" w:rsidR="007066A0" w:rsidRPr="006663D5" w:rsidRDefault="007066A0" w:rsidP="007066A0">
            <w:pPr>
              <w:pStyle w:val="ARtabletextright"/>
            </w:pPr>
            <w:r w:rsidRPr="000A30CD">
              <w:rPr>
                <w:rFonts w:eastAsia="Times New Roman"/>
                <w:color w:val="000000"/>
                <w:sz w:val="16"/>
                <w:szCs w:val="16"/>
              </w:rPr>
              <w:t>122,268.00</w:t>
            </w:r>
          </w:p>
        </w:tc>
        <w:tc>
          <w:tcPr>
            <w:tcW w:w="0" w:type="pct"/>
            <w:noWrap/>
          </w:tcPr>
          <w:p w14:paraId="4A5BEC31" w14:textId="77777777" w:rsidR="007066A0" w:rsidRPr="006663D5" w:rsidRDefault="007066A0" w:rsidP="007066A0">
            <w:pPr>
              <w:pStyle w:val="ARtabletextright"/>
            </w:pPr>
            <w:r w:rsidRPr="000A30CD">
              <w:rPr>
                <w:rFonts w:eastAsia="Times New Roman"/>
                <w:color w:val="000000"/>
                <w:sz w:val="16"/>
                <w:szCs w:val="16"/>
              </w:rPr>
              <w:t>Nil</w:t>
            </w:r>
          </w:p>
        </w:tc>
      </w:tr>
      <w:tr w:rsidR="007066A0" w:rsidRPr="006663D5" w14:paraId="60E6CE7D" w14:textId="77777777" w:rsidTr="00F94CEE">
        <w:trPr>
          <w:trHeight w:val="300"/>
        </w:trPr>
        <w:tc>
          <w:tcPr>
            <w:tcW w:w="0" w:type="pct"/>
            <w:noWrap/>
          </w:tcPr>
          <w:p w14:paraId="42CD51E3" w14:textId="77777777" w:rsidR="007066A0" w:rsidRPr="006663D5" w:rsidRDefault="007066A0" w:rsidP="007066A0">
            <w:pPr>
              <w:pStyle w:val="ARtabletext"/>
            </w:pPr>
            <w:r w:rsidRPr="00442ABC">
              <w:rPr>
                <w:rFonts w:eastAsia="Times New Roman"/>
                <w:color w:val="000000"/>
                <w:sz w:val="16"/>
                <w:szCs w:val="16"/>
              </w:rPr>
              <w:t>Capital, business case and planning</w:t>
            </w:r>
          </w:p>
        </w:tc>
        <w:tc>
          <w:tcPr>
            <w:tcW w:w="0" w:type="pct"/>
            <w:noWrap/>
          </w:tcPr>
          <w:p w14:paraId="59CB48AE" w14:textId="77777777" w:rsidR="007066A0" w:rsidRPr="006663D5" w:rsidRDefault="003F52E6" w:rsidP="007066A0">
            <w:pPr>
              <w:pStyle w:val="ARtabletext"/>
            </w:pPr>
            <w:r w:rsidRPr="000A30CD">
              <w:rPr>
                <w:rFonts w:eastAsia="Times New Roman"/>
                <w:color w:val="000000"/>
                <w:sz w:val="16"/>
                <w:szCs w:val="16"/>
              </w:rPr>
              <w:t>Illumify Pty Ltd</w:t>
            </w:r>
          </w:p>
        </w:tc>
        <w:tc>
          <w:tcPr>
            <w:tcW w:w="0" w:type="pct"/>
            <w:noWrap/>
          </w:tcPr>
          <w:p w14:paraId="66B02588" w14:textId="77777777" w:rsidR="007066A0" w:rsidRPr="006663D5" w:rsidRDefault="007066A0" w:rsidP="007066A0">
            <w:pPr>
              <w:pStyle w:val="ARtabletext"/>
            </w:pPr>
            <w:r w:rsidRPr="000A30CD">
              <w:rPr>
                <w:rFonts w:eastAsia="Times New Roman"/>
                <w:color w:val="000000"/>
                <w:sz w:val="16"/>
                <w:szCs w:val="16"/>
              </w:rPr>
              <w:t xml:space="preserve">Housing </w:t>
            </w:r>
            <w:r w:rsidR="003F52E6">
              <w:rPr>
                <w:rFonts w:eastAsia="Times New Roman"/>
                <w:color w:val="000000"/>
                <w:sz w:val="16"/>
                <w:szCs w:val="16"/>
              </w:rPr>
              <w:t>l</w:t>
            </w:r>
            <w:r w:rsidRPr="000A30CD">
              <w:rPr>
                <w:rFonts w:eastAsia="Times New Roman"/>
                <w:color w:val="000000"/>
                <w:sz w:val="16"/>
                <w:szCs w:val="16"/>
              </w:rPr>
              <w:t>ong</w:t>
            </w:r>
            <w:r w:rsidR="003F52E6">
              <w:rPr>
                <w:rFonts w:eastAsia="Times New Roman"/>
                <w:color w:val="000000"/>
                <w:sz w:val="16"/>
                <w:szCs w:val="16"/>
              </w:rPr>
              <w:t>-t</w:t>
            </w:r>
            <w:r w:rsidRPr="000A30CD">
              <w:rPr>
                <w:rFonts w:eastAsia="Times New Roman"/>
                <w:color w:val="000000"/>
                <w:sz w:val="16"/>
                <w:szCs w:val="16"/>
              </w:rPr>
              <w:t xml:space="preserve">erm </w:t>
            </w:r>
            <w:r w:rsidR="003F52E6">
              <w:rPr>
                <w:rFonts w:eastAsia="Times New Roman"/>
                <w:color w:val="000000"/>
                <w:sz w:val="16"/>
                <w:szCs w:val="16"/>
              </w:rPr>
              <w:t>s</w:t>
            </w:r>
            <w:r w:rsidRPr="000A30CD">
              <w:rPr>
                <w:rFonts w:eastAsia="Times New Roman"/>
                <w:color w:val="000000"/>
                <w:sz w:val="16"/>
                <w:szCs w:val="16"/>
              </w:rPr>
              <w:t>trategy</w:t>
            </w:r>
          </w:p>
        </w:tc>
        <w:tc>
          <w:tcPr>
            <w:tcW w:w="0" w:type="pct"/>
            <w:noWrap/>
          </w:tcPr>
          <w:p w14:paraId="0E9CC8F2" w14:textId="77777777" w:rsidR="007066A0" w:rsidRPr="006663D5" w:rsidRDefault="007066A0" w:rsidP="007066A0">
            <w:pPr>
              <w:pStyle w:val="ARtabletextright"/>
            </w:pPr>
            <w:r w:rsidRPr="000A30CD">
              <w:rPr>
                <w:rFonts w:eastAsia="Times New Roman"/>
                <w:color w:val="000000"/>
                <w:sz w:val="16"/>
                <w:szCs w:val="16"/>
              </w:rPr>
              <w:t>26,400.00</w:t>
            </w:r>
          </w:p>
        </w:tc>
        <w:tc>
          <w:tcPr>
            <w:tcW w:w="0" w:type="pct"/>
            <w:noWrap/>
          </w:tcPr>
          <w:p w14:paraId="2FD5AD07" w14:textId="77777777" w:rsidR="007066A0" w:rsidRPr="006663D5" w:rsidRDefault="007066A0" w:rsidP="007066A0">
            <w:pPr>
              <w:pStyle w:val="ARtabletextright"/>
            </w:pPr>
            <w:r w:rsidRPr="000A30CD">
              <w:rPr>
                <w:rFonts w:eastAsia="Times New Roman"/>
                <w:color w:val="000000"/>
                <w:sz w:val="16"/>
                <w:szCs w:val="16"/>
              </w:rPr>
              <w:t>26,400.00</w:t>
            </w:r>
          </w:p>
        </w:tc>
        <w:tc>
          <w:tcPr>
            <w:tcW w:w="0" w:type="pct"/>
            <w:noWrap/>
          </w:tcPr>
          <w:p w14:paraId="335BB977" w14:textId="77777777" w:rsidR="007066A0" w:rsidRPr="006663D5" w:rsidRDefault="007066A0" w:rsidP="007066A0">
            <w:pPr>
              <w:pStyle w:val="ARtabletextright"/>
            </w:pPr>
            <w:r w:rsidRPr="000A30CD">
              <w:rPr>
                <w:rFonts w:eastAsia="Times New Roman"/>
                <w:color w:val="000000"/>
                <w:sz w:val="16"/>
                <w:szCs w:val="16"/>
              </w:rPr>
              <w:t>Nil</w:t>
            </w:r>
          </w:p>
        </w:tc>
      </w:tr>
      <w:tr w:rsidR="007066A0" w:rsidRPr="006663D5" w14:paraId="069FE708" w14:textId="77777777" w:rsidTr="00E34BA4">
        <w:trPr>
          <w:trHeight w:val="300"/>
        </w:trPr>
        <w:tc>
          <w:tcPr>
            <w:tcW w:w="0" w:type="pct"/>
            <w:noWrap/>
          </w:tcPr>
          <w:p w14:paraId="118C7D76" w14:textId="77777777" w:rsidR="007066A0" w:rsidRPr="006663D5" w:rsidRDefault="007066A0" w:rsidP="007066A0">
            <w:pPr>
              <w:pStyle w:val="ARtabletext"/>
            </w:pPr>
            <w:r w:rsidRPr="00442ABC">
              <w:rPr>
                <w:rFonts w:eastAsia="Times New Roman"/>
                <w:color w:val="000000"/>
                <w:sz w:val="16"/>
                <w:szCs w:val="16"/>
              </w:rPr>
              <w:t>Capital, business case and planning</w:t>
            </w:r>
          </w:p>
        </w:tc>
        <w:tc>
          <w:tcPr>
            <w:tcW w:w="0" w:type="pct"/>
            <w:noWrap/>
          </w:tcPr>
          <w:p w14:paraId="55B5C87F" w14:textId="77777777" w:rsidR="007066A0" w:rsidRPr="006663D5" w:rsidRDefault="003F52E6" w:rsidP="007066A0">
            <w:pPr>
              <w:pStyle w:val="ARtabletext"/>
            </w:pPr>
            <w:r w:rsidRPr="000A30CD">
              <w:rPr>
                <w:rFonts w:eastAsia="Times New Roman"/>
                <w:color w:val="000000"/>
                <w:sz w:val="16"/>
                <w:szCs w:val="16"/>
              </w:rPr>
              <w:t>Advisian Pty Ltd</w:t>
            </w:r>
          </w:p>
        </w:tc>
        <w:tc>
          <w:tcPr>
            <w:tcW w:w="0" w:type="pct"/>
            <w:noWrap/>
          </w:tcPr>
          <w:p w14:paraId="39D9858E" w14:textId="77777777" w:rsidR="007066A0" w:rsidRPr="006663D5" w:rsidRDefault="007066A0" w:rsidP="007066A0">
            <w:pPr>
              <w:pStyle w:val="ARtabletext"/>
            </w:pPr>
            <w:r w:rsidRPr="000A30CD">
              <w:rPr>
                <w:rFonts w:eastAsia="Times New Roman"/>
                <w:color w:val="000000"/>
                <w:sz w:val="16"/>
                <w:szCs w:val="16"/>
              </w:rPr>
              <w:t xml:space="preserve">Renewal </w:t>
            </w:r>
            <w:r w:rsidR="003F52E6" w:rsidRPr="000A30CD">
              <w:rPr>
                <w:rFonts w:eastAsia="Times New Roman"/>
                <w:color w:val="000000"/>
                <w:sz w:val="16"/>
                <w:szCs w:val="16"/>
              </w:rPr>
              <w:t>strategies for medical equipment assets</w:t>
            </w:r>
          </w:p>
        </w:tc>
        <w:tc>
          <w:tcPr>
            <w:tcW w:w="0" w:type="pct"/>
            <w:noWrap/>
          </w:tcPr>
          <w:p w14:paraId="68E5751F" w14:textId="77777777" w:rsidR="007066A0" w:rsidRPr="006663D5" w:rsidRDefault="007066A0" w:rsidP="007066A0">
            <w:pPr>
              <w:pStyle w:val="ARtabletextright"/>
            </w:pPr>
            <w:r w:rsidRPr="000A30CD">
              <w:rPr>
                <w:rFonts w:eastAsia="Times New Roman"/>
                <w:color w:val="000000"/>
                <w:sz w:val="16"/>
                <w:szCs w:val="16"/>
              </w:rPr>
              <w:t>118,091.00</w:t>
            </w:r>
          </w:p>
        </w:tc>
        <w:tc>
          <w:tcPr>
            <w:tcW w:w="0" w:type="pct"/>
            <w:noWrap/>
          </w:tcPr>
          <w:p w14:paraId="45CB0C9D" w14:textId="77777777" w:rsidR="007066A0" w:rsidRPr="006663D5" w:rsidRDefault="007066A0" w:rsidP="007066A0">
            <w:pPr>
              <w:pStyle w:val="ARtabletextright"/>
            </w:pPr>
            <w:r w:rsidRPr="000A30CD">
              <w:rPr>
                <w:rFonts w:eastAsia="Times New Roman"/>
                <w:color w:val="000000"/>
                <w:sz w:val="16"/>
                <w:szCs w:val="16"/>
              </w:rPr>
              <w:t>11,420.00</w:t>
            </w:r>
          </w:p>
        </w:tc>
        <w:tc>
          <w:tcPr>
            <w:tcW w:w="0" w:type="pct"/>
            <w:noWrap/>
          </w:tcPr>
          <w:p w14:paraId="19AFC186" w14:textId="77777777" w:rsidR="007066A0" w:rsidRPr="006663D5" w:rsidRDefault="007066A0" w:rsidP="007066A0">
            <w:pPr>
              <w:pStyle w:val="ARtabletextright"/>
            </w:pPr>
            <w:r w:rsidRPr="000A30CD">
              <w:rPr>
                <w:rFonts w:eastAsia="Times New Roman"/>
                <w:color w:val="000000"/>
                <w:sz w:val="16"/>
                <w:szCs w:val="16"/>
              </w:rPr>
              <w:t>106,671.00</w:t>
            </w:r>
          </w:p>
        </w:tc>
      </w:tr>
      <w:tr w:rsidR="007066A0" w:rsidRPr="006663D5" w14:paraId="0D5014A4" w14:textId="77777777" w:rsidTr="00E34BA4">
        <w:trPr>
          <w:trHeight w:val="300"/>
        </w:trPr>
        <w:tc>
          <w:tcPr>
            <w:tcW w:w="0" w:type="pct"/>
            <w:noWrap/>
          </w:tcPr>
          <w:p w14:paraId="3F6EDDF8" w14:textId="77777777" w:rsidR="007066A0" w:rsidRPr="006663D5" w:rsidRDefault="007066A0" w:rsidP="007066A0">
            <w:pPr>
              <w:pStyle w:val="ARtabletext"/>
            </w:pPr>
            <w:r w:rsidRPr="00442ABC">
              <w:rPr>
                <w:rFonts w:eastAsia="Times New Roman"/>
                <w:color w:val="000000"/>
                <w:sz w:val="16"/>
                <w:szCs w:val="16"/>
              </w:rPr>
              <w:t>Capital, business case and planning</w:t>
            </w:r>
          </w:p>
        </w:tc>
        <w:tc>
          <w:tcPr>
            <w:tcW w:w="0" w:type="pct"/>
            <w:noWrap/>
          </w:tcPr>
          <w:p w14:paraId="1B46588D" w14:textId="77777777" w:rsidR="007066A0" w:rsidRPr="006663D5" w:rsidRDefault="003F52E6" w:rsidP="007066A0">
            <w:pPr>
              <w:pStyle w:val="ARtabletext"/>
            </w:pPr>
            <w:r w:rsidRPr="000A30CD">
              <w:rPr>
                <w:rFonts w:eastAsia="Times New Roman"/>
                <w:color w:val="000000"/>
                <w:sz w:val="16"/>
                <w:szCs w:val="16"/>
              </w:rPr>
              <w:t>Ernst &amp; Young</w:t>
            </w:r>
          </w:p>
        </w:tc>
        <w:tc>
          <w:tcPr>
            <w:tcW w:w="0" w:type="pct"/>
            <w:noWrap/>
          </w:tcPr>
          <w:p w14:paraId="74BFCA73" w14:textId="77777777" w:rsidR="007066A0" w:rsidRPr="006663D5" w:rsidRDefault="007066A0" w:rsidP="007066A0">
            <w:pPr>
              <w:pStyle w:val="ARtabletext"/>
            </w:pPr>
            <w:r w:rsidRPr="000A30CD">
              <w:rPr>
                <w:rFonts w:eastAsia="Times New Roman"/>
                <w:color w:val="000000"/>
                <w:sz w:val="16"/>
                <w:szCs w:val="16"/>
              </w:rPr>
              <w:t xml:space="preserve">Stadium </w:t>
            </w:r>
            <w:r w:rsidR="003F52E6" w:rsidRPr="000A30CD">
              <w:rPr>
                <w:rFonts w:eastAsia="Times New Roman"/>
                <w:color w:val="000000"/>
                <w:sz w:val="16"/>
                <w:szCs w:val="16"/>
              </w:rPr>
              <w:t>development strategy</w:t>
            </w:r>
          </w:p>
        </w:tc>
        <w:tc>
          <w:tcPr>
            <w:tcW w:w="0" w:type="pct"/>
            <w:noWrap/>
          </w:tcPr>
          <w:p w14:paraId="7CC68493" w14:textId="77777777" w:rsidR="007066A0" w:rsidRPr="006663D5" w:rsidRDefault="007066A0" w:rsidP="007066A0">
            <w:pPr>
              <w:pStyle w:val="ARtabletextright"/>
            </w:pPr>
            <w:r w:rsidRPr="000A30CD">
              <w:rPr>
                <w:rFonts w:eastAsia="Times New Roman"/>
                <w:color w:val="000000"/>
                <w:sz w:val="16"/>
                <w:szCs w:val="16"/>
              </w:rPr>
              <w:t>496,005.00</w:t>
            </w:r>
          </w:p>
        </w:tc>
        <w:tc>
          <w:tcPr>
            <w:tcW w:w="0" w:type="pct"/>
            <w:noWrap/>
          </w:tcPr>
          <w:p w14:paraId="66D903B2" w14:textId="77777777" w:rsidR="007066A0" w:rsidRPr="006663D5" w:rsidRDefault="007066A0" w:rsidP="007066A0">
            <w:pPr>
              <w:pStyle w:val="ARtabletextright"/>
            </w:pPr>
            <w:r w:rsidRPr="000A30CD">
              <w:rPr>
                <w:rFonts w:eastAsia="Times New Roman"/>
                <w:color w:val="000000"/>
                <w:sz w:val="16"/>
                <w:szCs w:val="16"/>
              </w:rPr>
              <w:t>496,005.00</w:t>
            </w:r>
          </w:p>
        </w:tc>
        <w:tc>
          <w:tcPr>
            <w:tcW w:w="0" w:type="pct"/>
            <w:noWrap/>
          </w:tcPr>
          <w:p w14:paraId="2E6FAD17" w14:textId="77777777" w:rsidR="007066A0" w:rsidRPr="006663D5" w:rsidRDefault="007066A0" w:rsidP="007066A0">
            <w:pPr>
              <w:pStyle w:val="ARtabletextright"/>
            </w:pPr>
            <w:r w:rsidRPr="000A30CD">
              <w:rPr>
                <w:rFonts w:eastAsia="Times New Roman"/>
                <w:color w:val="000000"/>
                <w:sz w:val="16"/>
                <w:szCs w:val="16"/>
              </w:rPr>
              <w:t>Nil</w:t>
            </w:r>
          </w:p>
        </w:tc>
      </w:tr>
      <w:tr w:rsidR="007066A0" w:rsidRPr="006663D5" w14:paraId="7EC77071" w14:textId="77777777" w:rsidTr="00E34BA4">
        <w:trPr>
          <w:trHeight w:val="300"/>
        </w:trPr>
        <w:tc>
          <w:tcPr>
            <w:tcW w:w="0" w:type="pct"/>
            <w:noWrap/>
          </w:tcPr>
          <w:p w14:paraId="54347D6A" w14:textId="77777777" w:rsidR="007066A0" w:rsidRPr="006663D5" w:rsidRDefault="007066A0" w:rsidP="007066A0">
            <w:pPr>
              <w:pStyle w:val="ARtabletext"/>
            </w:pPr>
            <w:r w:rsidRPr="00442ABC">
              <w:rPr>
                <w:rFonts w:eastAsia="Times New Roman"/>
                <w:color w:val="000000"/>
                <w:sz w:val="16"/>
                <w:szCs w:val="16"/>
              </w:rPr>
              <w:t>Capital, business case and planning</w:t>
            </w:r>
          </w:p>
        </w:tc>
        <w:tc>
          <w:tcPr>
            <w:tcW w:w="0" w:type="pct"/>
            <w:noWrap/>
          </w:tcPr>
          <w:p w14:paraId="7CBC414B" w14:textId="77777777" w:rsidR="007066A0" w:rsidRPr="006663D5" w:rsidRDefault="007066A0" w:rsidP="007066A0">
            <w:pPr>
              <w:pStyle w:val="ARtabletext"/>
            </w:pPr>
            <w:r w:rsidRPr="000A30CD">
              <w:rPr>
                <w:rFonts w:eastAsia="Times New Roman"/>
                <w:color w:val="000000"/>
                <w:sz w:val="16"/>
                <w:szCs w:val="16"/>
              </w:rPr>
              <w:t>KPMG</w:t>
            </w:r>
          </w:p>
        </w:tc>
        <w:tc>
          <w:tcPr>
            <w:tcW w:w="0" w:type="pct"/>
            <w:noWrap/>
          </w:tcPr>
          <w:p w14:paraId="5D21C8C4" w14:textId="77777777" w:rsidR="007066A0" w:rsidRPr="006663D5" w:rsidRDefault="007066A0" w:rsidP="007066A0">
            <w:pPr>
              <w:pStyle w:val="ARtabletext"/>
            </w:pPr>
            <w:r w:rsidRPr="000A30CD">
              <w:rPr>
                <w:rFonts w:eastAsia="Times New Roman"/>
                <w:color w:val="000000"/>
                <w:sz w:val="16"/>
                <w:szCs w:val="16"/>
              </w:rPr>
              <w:t xml:space="preserve">Housing </w:t>
            </w:r>
            <w:r w:rsidR="003F52E6" w:rsidRPr="000A30CD">
              <w:rPr>
                <w:rFonts w:eastAsia="Times New Roman"/>
                <w:color w:val="000000"/>
                <w:sz w:val="16"/>
                <w:szCs w:val="16"/>
              </w:rPr>
              <w:t>services systems and business strategy</w:t>
            </w:r>
          </w:p>
        </w:tc>
        <w:tc>
          <w:tcPr>
            <w:tcW w:w="0" w:type="pct"/>
            <w:noWrap/>
          </w:tcPr>
          <w:p w14:paraId="741FDE0B" w14:textId="77777777" w:rsidR="007066A0" w:rsidRPr="006663D5" w:rsidRDefault="007066A0" w:rsidP="007066A0">
            <w:pPr>
              <w:pStyle w:val="ARtabletextright"/>
            </w:pPr>
            <w:r w:rsidRPr="000A30CD">
              <w:rPr>
                <w:rFonts w:eastAsia="Times New Roman"/>
                <w:color w:val="000000"/>
                <w:sz w:val="16"/>
                <w:szCs w:val="16"/>
              </w:rPr>
              <w:t>318,000.00</w:t>
            </w:r>
          </w:p>
        </w:tc>
        <w:tc>
          <w:tcPr>
            <w:tcW w:w="0" w:type="pct"/>
            <w:noWrap/>
          </w:tcPr>
          <w:p w14:paraId="059639D8" w14:textId="77777777" w:rsidR="007066A0" w:rsidRPr="006663D5" w:rsidRDefault="007066A0" w:rsidP="007066A0">
            <w:pPr>
              <w:pStyle w:val="ARtabletextright"/>
            </w:pPr>
            <w:r w:rsidRPr="000A30CD">
              <w:rPr>
                <w:rFonts w:eastAsia="Times New Roman"/>
                <w:color w:val="000000"/>
                <w:sz w:val="16"/>
                <w:szCs w:val="16"/>
              </w:rPr>
              <w:t>347,167.00</w:t>
            </w:r>
          </w:p>
        </w:tc>
        <w:tc>
          <w:tcPr>
            <w:tcW w:w="0" w:type="pct"/>
            <w:noWrap/>
          </w:tcPr>
          <w:p w14:paraId="6F35D208" w14:textId="77777777" w:rsidR="007066A0" w:rsidRPr="006663D5" w:rsidRDefault="007066A0" w:rsidP="007066A0">
            <w:pPr>
              <w:pStyle w:val="ARtabletextright"/>
            </w:pPr>
            <w:r w:rsidRPr="000A30CD">
              <w:rPr>
                <w:rFonts w:eastAsia="Times New Roman"/>
                <w:color w:val="000000"/>
                <w:sz w:val="16"/>
                <w:szCs w:val="16"/>
              </w:rPr>
              <w:t>Nil</w:t>
            </w:r>
          </w:p>
        </w:tc>
      </w:tr>
      <w:tr w:rsidR="007066A0" w:rsidRPr="006663D5" w14:paraId="0B1FAFEB" w14:textId="77777777" w:rsidTr="00E34BA4">
        <w:trPr>
          <w:trHeight w:val="300"/>
        </w:trPr>
        <w:tc>
          <w:tcPr>
            <w:tcW w:w="0" w:type="pct"/>
            <w:noWrap/>
          </w:tcPr>
          <w:p w14:paraId="4431A2DA" w14:textId="77777777" w:rsidR="007066A0" w:rsidRPr="006663D5" w:rsidRDefault="007066A0" w:rsidP="007066A0">
            <w:pPr>
              <w:pStyle w:val="ARtabletext"/>
            </w:pPr>
            <w:r w:rsidRPr="00442ABC">
              <w:rPr>
                <w:rFonts w:eastAsia="Times New Roman"/>
                <w:color w:val="000000"/>
                <w:sz w:val="16"/>
                <w:szCs w:val="16"/>
              </w:rPr>
              <w:t>Capital, business case and planning</w:t>
            </w:r>
          </w:p>
        </w:tc>
        <w:tc>
          <w:tcPr>
            <w:tcW w:w="0" w:type="pct"/>
            <w:noWrap/>
          </w:tcPr>
          <w:p w14:paraId="3F414C27" w14:textId="77777777" w:rsidR="007066A0" w:rsidRPr="006663D5" w:rsidRDefault="008132C9" w:rsidP="007066A0">
            <w:pPr>
              <w:pStyle w:val="ARtabletext"/>
            </w:pPr>
            <w:r w:rsidRPr="000A30CD">
              <w:rPr>
                <w:rFonts w:eastAsia="Times New Roman"/>
                <w:color w:val="000000"/>
                <w:sz w:val="16"/>
                <w:szCs w:val="16"/>
              </w:rPr>
              <w:t>Solomon Advisory</w:t>
            </w:r>
          </w:p>
        </w:tc>
        <w:tc>
          <w:tcPr>
            <w:tcW w:w="0" w:type="pct"/>
            <w:noWrap/>
          </w:tcPr>
          <w:p w14:paraId="47134E88" w14:textId="77777777" w:rsidR="007066A0" w:rsidRPr="006663D5" w:rsidRDefault="000F7743" w:rsidP="007066A0">
            <w:pPr>
              <w:pStyle w:val="ARtabletext"/>
            </w:pPr>
            <w:r>
              <w:rPr>
                <w:rFonts w:eastAsia="Times New Roman"/>
                <w:color w:val="000000"/>
                <w:sz w:val="16"/>
                <w:szCs w:val="16"/>
              </w:rPr>
              <w:t>F</w:t>
            </w:r>
            <w:r w:rsidRPr="000A30CD">
              <w:rPr>
                <w:rFonts w:eastAsia="Times New Roman"/>
                <w:color w:val="000000"/>
                <w:sz w:val="16"/>
                <w:szCs w:val="16"/>
              </w:rPr>
              <w:t xml:space="preserve">unding </w:t>
            </w:r>
            <w:r>
              <w:rPr>
                <w:rFonts w:eastAsia="Times New Roman"/>
                <w:color w:val="000000"/>
                <w:sz w:val="16"/>
                <w:szCs w:val="16"/>
              </w:rPr>
              <w:t>r</w:t>
            </w:r>
            <w:r w:rsidRPr="000A30CD">
              <w:rPr>
                <w:rFonts w:eastAsia="Times New Roman"/>
                <w:color w:val="000000"/>
                <w:sz w:val="16"/>
                <w:szCs w:val="16"/>
              </w:rPr>
              <w:t>eform</w:t>
            </w:r>
            <w:r>
              <w:rPr>
                <w:rFonts w:eastAsia="Times New Roman"/>
                <w:color w:val="000000"/>
                <w:sz w:val="16"/>
                <w:szCs w:val="16"/>
              </w:rPr>
              <w:t xml:space="preserve">: </w:t>
            </w:r>
            <w:r w:rsidR="007066A0" w:rsidRPr="00E34BA4">
              <w:rPr>
                <w:rFonts w:eastAsia="Times New Roman"/>
                <w:i/>
                <w:iCs/>
                <w:color w:val="000000"/>
                <w:sz w:val="16"/>
                <w:szCs w:val="16"/>
              </w:rPr>
              <w:t xml:space="preserve">Mental </w:t>
            </w:r>
            <w:r w:rsidR="008132C9" w:rsidRPr="00E34BA4">
              <w:rPr>
                <w:rFonts w:eastAsia="Times New Roman"/>
                <w:i/>
                <w:iCs/>
                <w:color w:val="000000"/>
                <w:sz w:val="16"/>
                <w:szCs w:val="16"/>
              </w:rPr>
              <w:t>h</w:t>
            </w:r>
            <w:r w:rsidR="007066A0" w:rsidRPr="00E34BA4">
              <w:rPr>
                <w:rFonts w:eastAsia="Times New Roman"/>
                <w:i/>
                <w:iCs/>
                <w:color w:val="000000"/>
                <w:sz w:val="16"/>
                <w:szCs w:val="16"/>
              </w:rPr>
              <w:t xml:space="preserve">ealth </w:t>
            </w:r>
            <w:r w:rsidR="008132C9" w:rsidRPr="00E34BA4">
              <w:rPr>
                <w:rFonts w:eastAsia="Times New Roman"/>
                <w:i/>
                <w:iCs/>
                <w:color w:val="000000"/>
                <w:sz w:val="16"/>
                <w:szCs w:val="16"/>
              </w:rPr>
              <w:t>s</w:t>
            </w:r>
            <w:r w:rsidR="007066A0" w:rsidRPr="00E34BA4">
              <w:rPr>
                <w:rFonts w:eastAsia="Times New Roman"/>
                <w:i/>
                <w:iCs/>
                <w:color w:val="000000"/>
                <w:sz w:val="16"/>
                <w:szCs w:val="16"/>
              </w:rPr>
              <w:t xml:space="preserve">ervices </w:t>
            </w:r>
            <w:r w:rsidR="008132C9" w:rsidRPr="00E34BA4">
              <w:rPr>
                <w:rFonts w:eastAsia="Times New Roman"/>
                <w:i/>
                <w:iCs/>
                <w:color w:val="000000"/>
                <w:sz w:val="16"/>
                <w:szCs w:val="16"/>
              </w:rPr>
              <w:t>s</w:t>
            </w:r>
            <w:r w:rsidR="007066A0" w:rsidRPr="00E34BA4">
              <w:rPr>
                <w:rFonts w:eastAsia="Times New Roman"/>
                <w:i/>
                <w:iCs/>
                <w:color w:val="000000"/>
                <w:sz w:val="16"/>
                <w:szCs w:val="16"/>
              </w:rPr>
              <w:t>trategy 2018</w:t>
            </w:r>
            <w:r w:rsidR="008132C9" w:rsidRPr="00E34BA4">
              <w:rPr>
                <w:rFonts w:eastAsia="Times New Roman"/>
                <w:i/>
                <w:iCs/>
                <w:color w:val="000000"/>
                <w:sz w:val="16"/>
                <w:szCs w:val="16"/>
              </w:rPr>
              <w:t>–</w:t>
            </w:r>
            <w:r w:rsidR="007066A0" w:rsidRPr="00E34BA4">
              <w:rPr>
                <w:rFonts w:eastAsia="Times New Roman"/>
                <w:i/>
                <w:iCs/>
                <w:color w:val="000000"/>
                <w:sz w:val="16"/>
                <w:szCs w:val="16"/>
              </w:rPr>
              <w:t>23</w:t>
            </w:r>
            <w:r w:rsidR="008132C9">
              <w:rPr>
                <w:rFonts w:eastAsia="Times New Roman"/>
                <w:color w:val="000000"/>
                <w:sz w:val="16"/>
                <w:szCs w:val="16"/>
              </w:rPr>
              <w:t xml:space="preserve"> </w:t>
            </w:r>
          </w:p>
        </w:tc>
        <w:tc>
          <w:tcPr>
            <w:tcW w:w="0" w:type="pct"/>
            <w:noWrap/>
          </w:tcPr>
          <w:p w14:paraId="4AB8937E" w14:textId="77777777" w:rsidR="007066A0" w:rsidRPr="006663D5" w:rsidRDefault="007066A0" w:rsidP="007066A0">
            <w:pPr>
              <w:pStyle w:val="ARtabletextright"/>
            </w:pPr>
            <w:r w:rsidRPr="000A30CD">
              <w:rPr>
                <w:rFonts w:eastAsia="Times New Roman"/>
                <w:color w:val="000000"/>
                <w:sz w:val="16"/>
                <w:szCs w:val="16"/>
              </w:rPr>
              <w:t>228,760.00</w:t>
            </w:r>
          </w:p>
        </w:tc>
        <w:tc>
          <w:tcPr>
            <w:tcW w:w="0" w:type="pct"/>
            <w:noWrap/>
          </w:tcPr>
          <w:p w14:paraId="25FF2BAE" w14:textId="77777777" w:rsidR="007066A0" w:rsidRPr="006663D5" w:rsidRDefault="007066A0" w:rsidP="007066A0">
            <w:pPr>
              <w:pStyle w:val="ARtabletextright"/>
            </w:pPr>
            <w:r w:rsidRPr="000A30CD">
              <w:rPr>
                <w:rFonts w:eastAsia="Times New Roman"/>
                <w:color w:val="000000"/>
                <w:sz w:val="16"/>
                <w:szCs w:val="16"/>
              </w:rPr>
              <w:t>99,876.00</w:t>
            </w:r>
          </w:p>
        </w:tc>
        <w:tc>
          <w:tcPr>
            <w:tcW w:w="0" w:type="pct"/>
            <w:noWrap/>
          </w:tcPr>
          <w:p w14:paraId="493B830F" w14:textId="77777777" w:rsidR="007066A0" w:rsidRPr="006663D5" w:rsidRDefault="007066A0" w:rsidP="007066A0">
            <w:pPr>
              <w:pStyle w:val="ARtabletextright"/>
            </w:pPr>
            <w:r w:rsidRPr="000A30CD">
              <w:rPr>
                <w:rFonts w:eastAsia="Times New Roman"/>
                <w:color w:val="000000"/>
                <w:sz w:val="16"/>
                <w:szCs w:val="16"/>
              </w:rPr>
              <w:t>128,884.00</w:t>
            </w:r>
          </w:p>
        </w:tc>
      </w:tr>
      <w:tr w:rsidR="007066A0" w:rsidRPr="006663D5" w14:paraId="12A4F8BC" w14:textId="77777777" w:rsidTr="00F94CEE">
        <w:trPr>
          <w:trHeight w:val="300"/>
        </w:trPr>
        <w:tc>
          <w:tcPr>
            <w:tcW w:w="0" w:type="pct"/>
            <w:noWrap/>
          </w:tcPr>
          <w:p w14:paraId="59AC7933" w14:textId="77777777" w:rsidR="007066A0" w:rsidRPr="006663D5" w:rsidRDefault="00F273E7" w:rsidP="007066A0">
            <w:pPr>
              <w:pStyle w:val="ARtabletext"/>
            </w:pPr>
            <w:r w:rsidRPr="005427F6">
              <w:rPr>
                <w:rFonts w:eastAsia="Times New Roman"/>
                <w:color w:val="000000"/>
                <w:sz w:val="16"/>
                <w:szCs w:val="16"/>
              </w:rPr>
              <w:t xml:space="preserve">Information, data </w:t>
            </w:r>
            <w:r>
              <w:rPr>
                <w:rFonts w:eastAsia="Times New Roman"/>
                <w:color w:val="000000"/>
                <w:sz w:val="16"/>
                <w:szCs w:val="16"/>
              </w:rPr>
              <w:br/>
            </w:r>
            <w:r w:rsidRPr="005427F6">
              <w:rPr>
                <w:rFonts w:eastAsia="Times New Roman"/>
                <w:color w:val="000000"/>
                <w:sz w:val="16"/>
                <w:szCs w:val="16"/>
              </w:rPr>
              <w:t>and technology</w:t>
            </w:r>
          </w:p>
        </w:tc>
        <w:tc>
          <w:tcPr>
            <w:tcW w:w="0" w:type="pct"/>
            <w:noWrap/>
          </w:tcPr>
          <w:p w14:paraId="48B28786" w14:textId="77777777" w:rsidR="007066A0" w:rsidRPr="006663D5" w:rsidRDefault="007066A0" w:rsidP="007066A0">
            <w:pPr>
              <w:pStyle w:val="ARtabletext"/>
            </w:pPr>
            <w:r w:rsidRPr="000A30CD">
              <w:rPr>
                <w:rFonts w:eastAsia="Times New Roman"/>
                <w:color w:val="000000"/>
                <w:sz w:val="16"/>
                <w:szCs w:val="16"/>
              </w:rPr>
              <w:t xml:space="preserve">VCS </w:t>
            </w:r>
            <w:r w:rsidR="008132C9" w:rsidRPr="000A30CD">
              <w:rPr>
                <w:rFonts w:eastAsia="Times New Roman"/>
                <w:color w:val="000000"/>
                <w:sz w:val="16"/>
                <w:szCs w:val="16"/>
              </w:rPr>
              <w:t>Foundation Ltd</w:t>
            </w:r>
          </w:p>
        </w:tc>
        <w:tc>
          <w:tcPr>
            <w:tcW w:w="0" w:type="pct"/>
            <w:noWrap/>
          </w:tcPr>
          <w:p w14:paraId="0405EC09" w14:textId="77777777" w:rsidR="007066A0" w:rsidRPr="006663D5" w:rsidRDefault="007066A0" w:rsidP="007066A0">
            <w:pPr>
              <w:pStyle w:val="ARtabletext"/>
            </w:pPr>
            <w:r w:rsidRPr="000A30CD">
              <w:rPr>
                <w:rFonts w:eastAsia="Times New Roman"/>
                <w:color w:val="000000"/>
                <w:sz w:val="16"/>
                <w:szCs w:val="16"/>
              </w:rPr>
              <w:t>Technical advice</w:t>
            </w:r>
            <w:r w:rsidR="000F7743">
              <w:rPr>
                <w:rFonts w:eastAsia="Times New Roman"/>
                <w:color w:val="000000"/>
                <w:sz w:val="16"/>
                <w:szCs w:val="16"/>
              </w:rPr>
              <w:t>:</w:t>
            </w:r>
            <w:r w:rsidRPr="000A30CD">
              <w:rPr>
                <w:rFonts w:eastAsia="Times New Roman"/>
                <w:color w:val="000000"/>
                <w:sz w:val="16"/>
                <w:szCs w:val="16"/>
              </w:rPr>
              <w:t xml:space="preserve"> electronic laboratory reporting</w:t>
            </w:r>
          </w:p>
        </w:tc>
        <w:tc>
          <w:tcPr>
            <w:tcW w:w="0" w:type="pct"/>
            <w:noWrap/>
          </w:tcPr>
          <w:p w14:paraId="723CCC44" w14:textId="77777777" w:rsidR="007066A0" w:rsidRPr="006663D5" w:rsidRDefault="007066A0" w:rsidP="007066A0">
            <w:pPr>
              <w:pStyle w:val="ARtabletextright"/>
            </w:pPr>
            <w:r w:rsidRPr="000A30CD">
              <w:rPr>
                <w:rFonts w:eastAsia="Times New Roman"/>
                <w:color w:val="000000"/>
                <w:sz w:val="16"/>
                <w:szCs w:val="16"/>
              </w:rPr>
              <w:t>100,000.00</w:t>
            </w:r>
          </w:p>
        </w:tc>
        <w:tc>
          <w:tcPr>
            <w:tcW w:w="0" w:type="pct"/>
            <w:noWrap/>
          </w:tcPr>
          <w:p w14:paraId="217532FC" w14:textId="77777777" w:rsidR="007066A0" w:rsidRPr="006663D5" w:rsidRDefault="007066A0" w:rsidP="007066A0">
            <w:pPr>
              <w:pStyle w:val="ARtabletextright"/>
            </w:pPr>
            <w:r w:rsidRPr="000A30CD">
              <w:rPr>
                <w:rFonts w:eastAsia="Times New Roman"/>
                <w:color w:val="000000"/>
                <w:sz w:val="16"/>
                <w:szCs w:val="16"/>
              </w:rPr>
              <w:t>60,351.00</w:t>
            </w:r>
          </w:p>
        </w:tc>
        <w:tc>
          <w:tcPr>
            <w:tcW w:w="0" w:type="pct"/>
            <w:noWrap/>
          </w:tcPr>
          <w:p w14:paraId="28319EC7" w14:textId="77777777" w:rsidR="007066A0" w:rsidRPr="006663D5" w:rsidRDefault="007066A0" w:rsidP="007066A0">
            <w:pPr>
              <w:pStyle w:val="ARtabletextright"/>
            </w:pPr>
            <w:r w:rsidRPr="000A30CD">
              <w:rPr>
                <w:rFonts w:eastAsia="Times New Roman"/>
                <w:color w:val="000000"/>
                <w:sz w:val="16"/>
                <w:szCs w:val="16"/>
              </w:rPr>
              <w:t>25,023.00</w:t>
            </w:r>
          </w:p>
        </w:tc>
      </w:tr>
      <w:tr w:rsidR="00F273E7" w:rsidRPr="006663D5" w14:paraId="2DC23350" w14:textId="77777777" w:rsidTr="00F94CEE">
        <w:trPr>
          <w:trHeight w:val="300"/>
        </w:trPr>
        <w:tc>
          <w:tcPr>
            <w:tcW w:w="0" w:type="pct"/>
            <w:noWrap/>
          </w:tcPr>
          <w:p w14:paraId="5DE6FFDD" w14:textId="77777777" w:rsidR="00F273E7" w:rsidRPr="006663D5" w:rsidRDefault="00F273E7" w:rsidP="00F273E7">
            <w:pPr>
              <w:pStyle w:val="ARtabletext"/>
            </w:pPr>
            <w:r w:rsidRPr="00446D2F">
              <w:rPr>
                <w:rFonts w:eastAsia="Times New Roman"/>
                <w:color w:val="000000"/>
                <w:sz w:val="16"/>
                <w:szCs w:val="16"/>
              </w:rPr>
              <w:t xml:space="preserve">Information, data </w:t>
            </w:r>
            <w:r w:rsidRPr="00446D2F">
              <w:rPr>
                <w:rFonts w:eastAsia="Times New Roman"/>
                <w:color w:val="000000"/>
                <w:sz w:val="16"/>
                <w:szCs w:val="16"/>
              </w:rPr>
              <w:br/>
              <w:t>and technology</w:t>
            </w:r>
          </w:p>
        </w:tc>
        <w:tc>
          <w:tcPr>
            <w:tcW w:w="0" w:type="pct"/>
            <w:noWrap/>
          </w:tcPr>
          <w:p w14:paraId="01F2AAA3" w14:textId="77777777" w:rsidR="00F273E7" w:rsidRPr="006663D5" w:rsidRDefault="008132C9" w:rsidP="00F273E7">
            <w:pPr>
              <w:pStyle w:val="ARtabletext"/>
            </w:pPr>
            <w:r w:rsidRPr="000A30CD">
              <w:rPr>
                <w:rFonts w:eastAsia="Times New Roman"/>
                <w:color w:val="000000"/>
                <w:sz w:val="16"/>
                <w:szCs w:val="16"/>
              </w:rPr>
              <w:t>Ernst &amp; Young</w:t>
            </w:r>
          </w:p>
        </w:tc>
        <w:tc>
          <w:tcPr>
            <w:tcW w:w="0" w:type="pct"/>
            <w:noWrap/>
          </w:tcPr>
          <w:p w14:paraId="5588F187" w14:textId="77777777" w:rsidR="00F273E7" w:rsidRPr="006663D5" w:rsidRDefault="00F273E7" w:rsidP="00F273E7">
            <w:pPr>
              <w:pStyle w:val="ARtabletext"/>
            </w:pPr>
            <w:r w:rsidRPr="000A30CD">
              <w:rPr>
                <w:rFonts w:eastAsia="Times New Roman"/>
                <w:color w:val="000000"/>
                <w:sz w:val="16"/>
                <w:szCs w:val="16"/>
              </w:rPr>
              <w:t xml:space="preserve">IT </w:t>
            </w:r>
            <w:r w:rsidR="008132C9">
              <w:rPr>
                <w:rFonts w:eastAsia="Times New Roman"/>
                <w:color w:val="000000"/>
                <w:sz w:val="16"/>
                <w:szCs w:val="16"/>
              </w:rPr>
              <w:t>r</w:t>
            </w:r>
            <w:r w:rsidRPr="000A30CD">
              <w:rPr>
                <w:rFonts w:eastAsia="Times New Roman"/>
                <w:color w:val="000000"/>
                <w:sz w:val="16"/>
                <w:szCs w:val="16"/>
              </w:rPr>
              <w:t>esilienc</w:t>
            </w:r>
            <w:r w:rsidR="000F7743">
              <w:rPr>
                <w:rFonts w:eastAsia="Times New Roman"/>
                <w:color w:val="000000"/>
                <w:sz w:val="16"/>
                <w:szCs w:val="16"/>
              </w:rPr>
              <w:t>e:</w:t>
            </w:r>
            <w:r w:rsidR="008132C9">
              <w:rPr>
                <w:rFonts w:eastAsia="Times New Roman"/>
                <w:color w:val="000000"/>
                <w:sz w:val="16"/>
                <w:szCs w:val="16"/>
              </w:rPr>
              <w:t xml:space="preserve"> </w:t>
            </w:r>
            <w:r w:rsidRPr="000A30CD">
              <w:rPr>
                <w:rFonts w:eastAsia="Times New Roman"/>
                <w:color w:val="000000"/>
                <w:sz w:val="16"/>
                <w:szCs w:val="16"/>
              </w:rPr>
              <w:t xml:space="preserve">HTS </w:t>
            </w:r>
            <w:r w:rsidR="008132C9" w:rsidRPr="000A30CD">
              <w:rPr>
                <w:rFonts w:eastAsia="Times New Roman"/>
                <w:color w:val="000000"/>
                <w:sz w:val="16"/>
                <w:szCs w:val="16"/>
              </w:rPr>
              <w:t>business process review</w:t>
            </w:r>
          </w:p>
        </w:tc>
        <w:tc>
          <w:tcPr>
            <w:tcW w:w="0" w:type="pct"/>
            <w:noWrap/>
          </w:tcPr>
          <w:p w14:paraId="01A6985F" w14:textId="77777777" w:rsidR="00F273E7" w:rsidRPr="006663D5" w:rsidRDefault="00F273E7" w:rsidP="00F273E7">
            <w:pPr>
              <w:pStyle w:val="ARtabletextright"/>
            </w:pPr>
            <w:r w:rsidRPr="000A30CD">
              <w:rPr>
                <w:rFonts w:eastAsia="Times New Roman"/>
                <w:color w:val="000000"/>
                <w:sz w:val="16"/>
                <w:szCs w:val="16"/>
              </w:rPr>
              <w:t>63,909.00</w:t>
            </w:r>
          </w:p>
        </w:tc>
        <w:tc>
          <w:tcPr>
            <w:tcW w:w="0" w:type="pct"/>
            <w:noWrap/>
          </w:tcPr>
          <w:p w14:paraId="6F303433" w14:textId="77777777" w:rsidR="00F273E7" w:rsidRPr="006663D5" w:rsidRDefault="00F273E7" w:rsidP="00F273E7">
            <w:pPr>
              <w:pStyle w:val="ARtabletextright"/>
            </w:pPr>
            <w:r w:rsidRPr="000A30CD">
              <w:rPr>
                <w:rFonts w:eastAsia="Times New Roman"/>
                <w:color w:val="000000"/>
                <w:sz w:val="16"/>
                <w:szCs w:val="16"/>
              </w:rPr>
              <w:t>63,909.00</w:t>
            </w:r>
          </w:p>
        </w:tc>
        <w:tc>
          <w:tcPr>
            <w:tcW w:w="0" w:type="pct"/>
            <w:noWrap/>
          </w:tcPr>
          <w:p w14:paraId="274F7181"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6275B799" w14:textId="77777777" w:rsidTr="00F94CEE">
        <w:trPr>
          <w:trHeight w:val="300"/>
        </w:trPr>
        <w:tc>
          <w:tcPr>
            <w:tcW w:w="0" w:type="pct"/>
            <w:noWrap/>
          </w:tcPr>
          <w:p w14:paraId="0E37488D" w14:textId="77777777" w:rsidR="00F273E7" w:rsidRPr="006663D5" w:rsidRDefault="00F273E7" w:rsidP="00F273E7">
            <w:pPr>
              <w:pStyle w:val="ARtabletext"/>
            </w:pPr>
            <w:r w:rsidRPr="00446D2F">
              <w:rPr>
                <w:rFonts w:eastAsia="Times New Roman"/>
                <w:color w:val="000000"/>
                <w:sz w:val="16"/>
                <w:szCs w:val="16"/>
              </w:rPr>
              <w:t xml:space="preserve">Information, data </w:t>
            </w:r>
            <w:r w:rsidRPr="00446D2F">
              <w:rPr>
                <w:rFonts w:eastAsia="Times New Roman"/>
                <w:color w:val="000000"/>
                <w:sz w:val="16"/>
                <w:szCs w:val="16"/>
              </w:rPr>
              <w:br/>
              <w:t>and technology</w:t>
            </w:r>
          </w:p>
        </w:tc>
        <w:tc>
          <w:tcPr>
            <w:tcW w:w="0" w:type="pct"/>
            <w:noWrap/>
          </w:tcPr>
          <w:p w14:paraId="79E6FD72" w14:textId="77777777" w:rsidR="00F273E7" w:rsidRPr="006663D5" w:rsidRDefault="008132C9" w:rsidP="00F273E7">
            <w:pPr>
              <w:pStyle w:val="ARtabletext"/>
            </w:pPr>
            <w:r w:rsidRPr="000A30CD">
              <w:rPr>
                <w:rFonts w:eastAsia="Times New Roman"/>
                <w:color w:val="000000"/>
                <w:sz w:val="16"/>
                <w:szCs w:val="16"/>
              </w:rPr>
              <w:t>Cherub Consulting Group Pty Ltd</w:t>
            </w:r>
          </w:p>
        </w:tc>
        <w:tc>
          <w:tcPr>
            <w:tcW w:w="0" w:type="pct"/>
            <w:noWrap/>
          </w:tcPr>
          <w:p w14:paraId="2D95EF68" w14:textId="77777777" w:rsidR="00F273E7" w:rsidRPr="006663D5" w:rsidRDefault="00F273E7" w:rsidP="00F273E7">
            <w:pPr>
              <w:pStyle w:val="ARtabletext"/>
            </w:pPr>
            <w:r w:rsidRPr="000A30CD">
              <w:rPr>
                <w:rFonts w:eastAsia="Times New Roman"/>
                <w:color w:val="000000"/>
                <w:sz w:val="16"/>
                <w:szCs w:val="16"/>
              </w:rPr>
              <w:t>Transition services</w:t>
            </w:r>
            <w:r w:rsidR="000F7743">
              <w:rPr>
                <w:rFonts w:eastAsia="Times New Roman"/>
                <w:color w:val="000000"/>
                <w:sz w:val="16"/>
                <w:szCs w:val="16"/>
              </w:rPr>
              <w:t>:</w:t>
            </w:r>
            <w:r w:rsidRPr="000A30CD">
              <w:rPr>
                <w:rFonts w:eastAsia="Times New Roman"/>
                <w:color w:val="000000"/>
                <w:sz w:val="16"/>
                <w:szCs w:val="16"/>
              </w:rPr>
              <w:t xml:space="preserve"> </w:t>
            </w:r>
            <w:r w:rsidR="008132C9">
              <w:rPr>
                <w:rFonts w:eastAsia="Times New Roman"/>
                <w:color w:val="000000"/>
                <w:sz w:val="16"/>
                <w:szCs w:val="16"/>
              </w:rPr>
              <w:t>h</w:t>
            </w:r>
            <w:r w:rsidRPr="000A30CD">
              <w:rPr>
                <w:rFonts w:eastAsia="Times New Roman"/>
                <w:color w:val="000000"/>
                <w:sz w:val="16"/>
                <w:szCs w:val="16"/>
              </w:rPr>
              <w:t>ealth technology solutions</w:t>
            </w:r>
          </w:p>
        </w:tc>
        <w:tc>
          <w:tcPr>
            <w:tcW w:w="0" w:type="pct"/>
            <w:noWrap/>
          </w:tcPr>
          <w:p w14:paraId="6C0E3F52" w14:textId="77777777" w:rsidR="00F273E7" w:rsidRPr="006663D5" w:rsidRDefault="00F273E7" w:rsidP="00F273E7">
            <w:pPr>
              <w:pStyle w:val="ARtabletextright"/>
            </w:pPr>
            <w:r w:rsidRPr="000A30CD">
              <w:rPr>
                <w:rFonts w:eastAsia="Times New Roman"/>
                <w:color w:val="000000"/>
                <w:sz w:val="16"/>
                <w:szCs w:val="16"/>
              </w:rPr>
              <w:t>346,545.00</w:t>
            </w:r>
          </w:p>
        </w:tc>
        <w:tc>
          <w:tcPr>
            <w:tcW w:w="0" w:type="pct"/>
            <w:noWrap/>
          </w:tcPr>
          <w:p w14:paraId="79A0251F" w14:textId="77777777" w:rsidR="00F273E7" w:rsidRPr="006663D5" w:rsidRDefault="00F273E7" w:rsidP="00F273E7">
            <w:pPr>
              <w:pStyle w:val="ARtabletextright"/>
            </w:pPr>
            <w:r w:rsidRPr="000A30CD">
              <w:rPr>
                <w:rFonts w:eastAsia="Times New Roman"/>
                <w:color w:val="000000"/>
                <w:sz w:val="16"/>
                <w:szCs w:val="16"/>
              </w:rPr>
              <w:t>244,200.00</w:t>
            </w:r>
          </w:p>
        </w:tc>
        <w:tc>
          <w:tcPr>
            <w:tcW w:w="0" w:type="pct"/>
            <w:noWrap/>
          </w:tcPr>
          <w:p w14:paraId="0FBD0BAD"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2E17B74D" w14:textId="77777777" w:rsidTr="00F94CEE">
        <w:trPr>
          <w:trHeight w:val="300"/>
        </w:trPr>
        <w:tc>
          <w:tcPr>
            <w:tcW w:w="0" w:type="pct"/>
            <w:noWrap/>
          </w:tcPr>
          <w:p w14:paraId="59115AEC" w14:textId="77777777" w:rsidR="00F273E7" w:rsidRPr="006663D5" w:rsidRDefault="00F273E7" w:rsidP="00F273E7">
            <w:pPr>
              <w:pStyle w:val="ARtabletext"/>
            </w:pPr>
            <w:r w:rsidRPr="00446D2F">
              <w:rPr>
                <w:rFonts w:eastAsia="Times New Roman"/>
                <w:color w:val="000000"/>
                <w:sz w:val="16"/>
                <w:szCs w:val="16"/>
              </w:rPr>
              <w:t xml:space="preserve">Information, data </w:t>
            </w:r>
            <w:r w:rsidRPr="00446D2F">
              <w:rPr>
                <w:rFonts w:eastAsia="Times New Roman"/>
                <w:color w:val="000000"/>
                <w:sz w:val="16"/>
                <w:szCs w:val="16"/>
              </w:rPr>
              <w:br/>
              <w:t>and technology</w:t>
            </w:r>
          </w:p>
        </w:tc>
        <w:tc>
          <w:tcPr>
            <w:tcW w:w="0" w:type="pct"/>
            <w:noWrap/>
          </w:tcPr>
          <w:p w14:paraId="09D9F09F" w14:textId="77777777" w:rsidR="00F273E7" w:rsidRPr="006663D5" w:rsidRDefault="008132C9" w:rsidP="00F273E7">
            <w:pPr>
              <w:pStyle w:val="ARtabletext"/>
            </w:pPr>
            <w:r w:rsidRPr="000A30CD">
              <w:rPr>
                <w:rFonts w:eastAsia="Times New Roman"/>
                <w:color w:val="000000"/>
                <w:sz w:val="16"/>
                <w:szCs w:val="16"/>
              </w:rPr>
              <w:t>Security Colony</w:t>
            </w:r>
          </w:p>
        </w:tc>
        <w:tc>
          <w:tcPr>
            <w:tcW w:w="0" w:type="pct"/>
            <w:noWrap/>
          </w:tcPr>
          <w:p w14:paraId="08F0B1EC" w14:textId="77777777" w:rsidR="00F273E7" w:rsidRPr="006663D5" w:rsidRDefault="00F273E7" w:rsidP="00F273E7">
            <w:pPr>
              <w:pStyle w:val="ARtabletext"/>
            </w:pPr>
            <w:r w:rsidRPr="000A30CD">
              <w:rPr>
                <w:rFonts w:eastAsia="Times New Roman"/>
                <w:color w:val="000000"/>
                <w:sz w:val="16"/>
                <w:szCs w:val="16"/>
              </w:rPr>
              <w:t>Support</w:t>
            </w:r>
            <w:r w:rsidR="000E4DCD">
              <w:rPr>
                <w:rFonts w:eastAsia="Times New Roman"/>
                <w:color w:val="000000"/>
                <w:sz w:val="16"/>
                <w:szCs w:val="16"/>
              </w:rPr>
              <w:t>:</w:t>
            </w:r>
            <w:r w:rsidRPr="000A30CD">
              <w:rPr>
                <w:rFonts w:eastAsia="Times New Roman"/>
                <w:color w:val="000000"/>
                <w:sz w:val="16"/>
                <w:szCs w:val="16"/>
              </w:rPr>
              <w:t xml:space="preserve"> implementation, protective data security standards</w:t>
            </w:r>
          </w:p>
        </w:tc>
        <w:tc>
          <w:tcPr>
            <w:tcW w:w="0" w:type="pct"/>
            <w:noWrap/>
          </w:tcPr>
          <w:p w14:paraId="14E65A04" w14:textId="77777777" w:rsidR="00F273E7" w:rsidRPr="006663D5" w:rsidRDefault="00F273E7" w:rsidP="00F273E7">
            <w:pPr>
              <w:pStyle w:val="ARtabletextright"/>
            </w:pPr>
            <w:r w:rsidRPr="000A30CD">
              <w:rPr>
                <w:rFonts w:eastAsia="Times New Roman"/>
                <w:color w:val="000000"/>
                <w:sz w:val="16"/>
                <w:szCs w:val="16"/>
              </w:rPr>
              <w:t>232,300.00</w:t>
            </w:r>
          </w:p>
        </w:tc>
        <w:tc>
          <w:tcPr>
            <w:tcW w:w="0" w:type="pct"/>
            <w:noWrap/>
          </w:tcPr>
          <w:p w14:paraId="64181688" w14:textId="77777777" w:rsidR="00F273E7" w:rsidRPr="006663D5" w:rsidRDefault="00F273E7" w:rsidP="00F273E7">
            <w:pPr>
              <w:pStyle w:val="ARtabletextright"/>
            </w:pPr>
            <w:r w:rsidRPr="000A30CD">
              <w:rPr>
                <w:rFonts w:eastAsia="Times New Roman"/>
                <w:color w:val="000000"/>
                <w:sz w:val="16"/>
                <w:szCs w:val="16"/>
              </w:rPr>
              <w:t>138,308.00</w:t>
            </w:r>
          </w:p>
        </w:tc>
        <w:tc>
          <w:tcPr>
            <w:tcW w:w="0" w:type="pct"/>
            <w:noWrap/>
          </w:tcPr>
          <w:p w14:paraId="0B253966"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11649884" w14:textId="77777777" w:rsidTr="00F94CEE">
        <w:trPr>
          <w:trHeight w:val="300"/>
        </w:trPr>
        <w:tc>
          <w:tcPr>
            <w:tcW w:w="0" w:type="pct"/>
            <w:noWrap/>
          </w:tcPr>
          <w:p w14:paraId="5EDFD61E" w14:textId="77777777" w:rsidR="00F273E7" w:rsidRPr="006663D5" w:rsidRDefault="00F273E7" w:rsidP="00F273E7">
            <w:pPr>
              <w:pStyle w:val="ARtabletext"/>
            </w:pPr>
            <w:r w:rsidRPr="00446D2F">
              <w:rPr>
                <w:rFonts w:eastAsia="Times New Roman"/>
                <w:color w:val="000000"/>
                <w:sz w:val="16"/>
                <w:szCs w:val="16"/>
              </w:rPr>
              <w:t xml:space="preserve">Information, data </w:t>
            </w:r>
            <w:r w:rsidRPr="00446D2F">
              <w:rPr>
                <w:rFonts w:eastAsia="Times New Roman"/>
                <w:color w:val="000000"/>
                <w:sz w:val="16"/>
                <w:szCs w:val="16"/>
              </w:rPr>
              <w:br/>
              <w:t>and technology</w:t>
            </w:r>
          </w:p>
        </w:tc>
        <w:tc>
          <w:tcPr>
            <w:tcW w:w="0" w:type="pct"/>
            <w:noWrap/>
          </w:tcPr>
          <w:p w14:paraId="4C26323C" w14:textId="77777777" w:rsidR="00F273E7" w:rsidRPr="006663D5" w:rsidRDefault="008132C9" w:rsidP="00F273E7">
            <w:pPr>
              <w:pStyle w:val="ARtabletext"/>
            </w:pPr>
            <w:r w:rsidRPr="000A30CD">
              <w:rPr>
                <w:rFonts w:eastAsia="Times New Roman"/>
                <w:color w:val="000000"/>
                <w:sz w:val="16"/>
                <w:szCs w:val="16"/>
              </w:rPr>
              <w:t>Oakton Services Pty Ltd</w:t>
            </w:r>
          </w:p>
        </w:tc>
        <w:tc>
          <w:tcPr>
            <w:tcW w:w="0" w:type="pct"/>
            <w:noWrap/>
          </w:tcPr>
          <w:p w14:paraId="706212DE" w14:textId="77777777" w:rsidR="00F273E7" w:rsidRPr="006663D5" w:rsidRDefault="00F273E7" w:rsidP="00F273E7">
            <w:pPr>
              <w:pStyle w:val="ARtabletext"/>
            </w:pPr>
            <w:r w:rsidRPr="000A30CD">
              <w:rPr>
                <w:rFonts w:eastAsia="Times New Roman"/>
                <w:color w:val="000000"/>
                <w:sz w:val="16"/>
                <w:szCs w:val="16"/>
              </w:rPr>
              <w:t xml:space="preserve">Testing </w:t>
            </w:r>
            <w:r w:rsidR="008132C9">
              <w:rPr>
                <w:rFonts w:eastAsia="Times New Roman"/>
                <w:color w:val="000000"/>
                <w:sz w:val="16"/>
                <w:szCs w:val="16"/>
              </w:rPr>
              <w:t>s</w:t>
            </w:r>
            <w:r w:rsidRPr="000A30CD">
              <w:rPr>
                <w:rFonts w:eastAsia="Times New Roman"/>
                <w:color w:val="000000"/>
                <w:sz w:val="16"/>
                <w:szCs w:val="16"/>
              </w:rPr>
              <w:t xml:space="preserve">ervices: VIME (VAHI </w:t>
            </w:r>
            <w:r w:rsidR="008132C9">
              <w:rPr>
                <w:rFonts w:eastAsia="Times New Roman"/>
                <w:color w:val="000000"/>
                <w:sz w:val="16"/>
                <w:szCs w:val="16"/>
              </w:rPr>
              <w:t>p</w:t>
            </w:r>
            <w:r w:rsidRPr="000A30CD">
              <w:rPr>
                <w:rFonts w:eastAsia="Times New Roman"/>
                <w:color w:val="000000"/>
                <w:sz w:val="16"/>
                <w:szCs w:val="16"/>
              </w:rPr>
              <w:t xml:space="preserve">ortal </w:t>
            </w:r>
            <w:r w:rsidR="008132C9">
              <w:rPr>
                <w:rFonts w:eastAsia="Times New Roman"/>
                <w:color w:val="000000"/>
                <w:sz w:val="16"/>
                <w:szCs w:val="16"/>
              </w:rPr>
              <w:t>f</w:t>
            </w:r>
            <w:r w:rsidRPr="000A30CD">
              <w:rPr>
                <w:rFonts w:eastAsia="Times New Roman"/>
                <w:color w:val="000000"/>
                <w:sz w:val="16"/>
                <w:szCs w:val="16"/>
              </w:rPr>
              <w:t>unctions)</w:t>
            </w:r>
          </w:p>
        </w:tc>
        <w:tc>
          <w:tcPr>
            <w:tcW w:w="0" w:type="pct"/>
            <w:noWrap/>
          </w:tcPr>
          <w:p w14:paraId="7D7ABE23" w14:textId="77777777" w:rsidR="00F273E7" w:rsidRPr="006663D5" w:rsidRDefault="00F273E7" w:rsidP="00F273E7">
            <w:pPr>
              <w:pStyle w:val="ARtabletextright"/>
            </w:pPr>
            <w:r w:rsidRPr="000A30CD">
              <w:rPr>
                <w:rFonts w:eastAsia="Times New Roman"/>
                <w:color w:val="000000"/>
                <w:sz w:val="16"/>
                <w:szCs w:val="16"/>
              </w:rPr>
              <w:t>103,636.00</w:t>
            </w:r>
          </w:p>
        </w:tc>
        <w:tc>
          <w:tcPr>
            <w:tcW w:w="0" w:type="pct"/>
            <w:noWrap/>
          </w:tcPr>
          <w:p w14:paraId="68DD4FB4" w14:textId="77777777" w:rsidR="00F273E7" w:rsidRPr="006663D5" w:rsidRDefault="00F273E7" w:rsidP="00F273E7">
            <w:pPr>
              <w:pStyle w:val="ARtabletextright"/>
            </w:pPr>
            <w:r w:rsidRPr="000A30CD">
              <w:rPr>
                <w:rFonts w:eastAsia="Times New Roman"/>
                <w:color w:val="000000"/>
                <w:sz w:val="16"/>
                <w:szCs w:val="16"/>
              </w:rPr>
              <w:t>101,920.00</w:t>
            </w:r>
          </w:p>
        </w:tc>
        <w:tc>
          <w:tcPr>
            <w:tcW w:w="0" w:type="pct"/>
            <w:noWrap/>
          </w:tcPr>
          <w:p w14:paraId="0D47AA80" w14:textId="77777777" w:rsidR="00F273E7" w:rsidRPr="006663D5" w:rsidRDefault="00F273E7" w:rsidP="00F273E7">
            <w:pPr>
              <w:pStyle w:val="ARtabletextright"/>
            </w:pPr>
            <w:r w:rsidRPr="000A30CD">
              <w:rPr>
                <w:rFonts w:eastAsia="Times New Roman"/>
                <w:color w:val="000000"/>
                <w:sz w:val="16"/>
                <w:szCs w:val="16"/>
              </w:rPr>
              <w:t>1,716.00</w:t>
            </w:r>
          </w:p>
        </w:tc>
      </w:tr>
      <w:tr w:rsidR="00F273E7" w:rsidRPr="006663D5" w14:paraId="006D6DAF" w14:textId="77777777" w:rsidTr="00E34BA4">
        <w:trPr>
          <w:trHeight w:val="300"/>
        </w:trPr>
        <w:tc>
          <w:tcPr>
            <w:tcW w:w="0" w:type="pct"/>
            <w:noWrap/>
          </w:tcPr>
          <w:p w14:paraId="5B3BB347" w14:textId="77777777" w:rsidR="00F273E7" w:rsidRPr="006663D5" w:rsidRDefault="00F273E7" w:rsidP="00F273E7">
            <w:pPr>
              <w:pStyle w:val="ARtabletext"/>
            </w:pPr>
            <w:r w:rsidRPr="00446D2F">
              <w:rPr>
                <w:rFonts w:eastAsia="Times New Roman"/>
                <w:color w:val="000000"/>
                <w:sz w:val="16"/>
                <w:szCs w:val="16"/>
              </w:rPr>
              <w:t xml:space="preserve">Information, data </w:t>
            </w:r>
            <w:r w:rsidRPr="00446D2F">
              <w:rPr>
                <w:rFonts w:eastAsia="Times New Roman"/>
                <w:color w:val="000000"/>
                <w:sz w:val="16"/>
                <w:szCs w:val="16"/>
              </w:rPr>
              <w:br/>
              <w:t>and technology</w:t>
            </w:r>
          </w:p>
        </w:tc>
        <w:tc>
          <w:tcPr>
            <w:tcW w:w="0" w:type="pct"/>
            <w:noWrap/>
          </w:tcPr>
          <w:p w14:paraId="1C5994E5" w14:textId="77777777" w:rsidR="00F273E7" w:rsidRPr="006663D5" w:rsidRDefault="008132C9" w:rsidP="00F273E7">
            <w:pPr>
              <w:pStyle w:val="ARtabletext"/>
            </w:pPr>
            <w:r w:rsidRPr="000A30CD">
              <w:rPr>
                <w:rFonts w:eastAsia="Times New Roman"/>
                <w:color w:val="000000"/>
                <w:sz w:val="16"/>
                <w:szCs w:val="16"/>
              </w:rPr>
              <w:t>Sustainable Health System Solutions Pty Ltd</w:t>
            </w:r>
          </w:p>
        </w:tc>
        <w:tc>
          <w:tcPr>
            <w:tcW w:w="0" w:type="pct"/>
            <w:noWrap/>
          </w:tcPr>
          <w:p w14:paraId="33B1D076" w14:textId="77777777" w:rsidR="00F273E7" w:rsidRPr="006663D5" w:rsidRDefault="00F273E7" w:rsidP="00F273E7">
            <w:pPr>
              <w:pStyle w:val="ARtabletext"/>
            </w:pPr>
            <w:r w:rsidRPr="000A30CD">
              <w:rPr>
                <w:rFonts w:eastAsia="Times New Roman"/>
                <w:color w:val="000000"/>
                <w:sz w:val="16"/>
                <w:szCs w:val="16"/>
              </w:rPr>
              <w:t xml:space="preserve">Low </w:t>
            </w:r>
            <w:r w:rsidR="008132C9" w:rsidRPr="000A30CD">
              <w:rPr>
                <w:rFonts w:eastAsia="Times New Roman"/>
                <w:color w:val="000000"/>
                <w:sz w:val="16"/>
                <w:szCs w:val="16"/>
              </w:rPr>
              <w:t>value care data analytics</w:t>
            </w:r>
          </w:p>
        </w:tc>
        <w:tc>
          <w:tcPr>
            <w:tcW w:w="0" w:type="pct"/>
            <w:noWrap/>
          </w:tcPr>
          <w:p w14:paraId="47970C58" w14:textId="77777777" w:rsidR="00F273E7" w:rsidRPr="006663D5" w:rsidRDefault="00F273E7" w:rsidP="00F273E7">
            <w:pPr>
              <w:pStyle w:val="ARtabletextright"/>
            </w:pPr>
            <w:r w:rsidRPr="000A30CD">
              <w:rPr>
                <w:rFonts w:eastAsia="Times New Roman"/>
                <w:color w:val="000000"/>
                <w:sz w:val="16"/>
                <w:szCs w:val="16"/>
              </w:rPr>
              <w:t>80,827.00</w:t>
            </w:r>
          </w:p>
        </w:tc>
        <w:tc>
          <w:tcPr>
            <w:tcW w:w="0" w:type="pct"/>
            <w:noWrap/>
          </w:tcPr>
          <w:p w14:paraId="08C15EC5" w14:textId="77777777" w:rsidR="00F273E7" w:rsidRPr="006663D5" w:rsidRDefault="00F273E7" w:rsidP="00F273E7">
            <w:pPr>
              <w:pStyle w:val="ARtabletextright"/>
            </w:pPr>
            <w:r w:rsidRPr="000A30CD">
              <w:rPr>
                <w:rFonts w:eastAsia="Times New Roman"/>
                <w:color w:val="000000"/>
                <w:sz w:val="16"/>
                <w:szCs w:val="16"/>
              </w:rPr>
              <w:t>49,227.00</w:t>
            </w:r>
          </w:p>
        </w:tc>
        <w:tc>
          <w:tcPr>
            <w:tcW w:w="0" w:type="pct"/>
            <w:noWrap/>
          </w:tcPr>
          <w:p w14:paraId="7D5D5406"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7070232B" w14:textId="77777777" w:rsidTr="00F94CEE">
        <w:trPr>
          <w:trHeight w:val="300"/>
        </w:trPr>
        <w:tc>
          <w:tcPr>
            <w:tcW w:w="0" w:type="pct"/>
            <w:noWrap/>
          </w:tcPr>
          <w:p w14:paraId="01157DAA" w14:textId="77777777" w:rsidR="00F273E7" w:rsidRPr="006663D5" w:rsidRDefault="00F273E7" w:rsidP="00F273E7">
            <w:pPr>
              <w:pStyle w:val="ARtabletext"/>
            </w:pPr>
            <w:r w:rsidRPr="00446D2F">
              <w:rPr>
                <w:rFonts w:eastAsia="Times New Roman"/>
                <w:color w:val="000000"/>
                <w:sz w:val="16"/>
                <w:szCs w:val="16"/>
              </w:rPr>
              <w:t xml:space="preserve">Information, data </w:t>
            </w:r>
            <w:r w:rsidRPr="00446D2F">
              <w:rPr>
                <w:rFonts w:eastAsia="Times New Roman"/>
                <w:color w:val="000000"/>
                <w:sz w:val="16"/>
                <w:szCs w:val="16"/>
              </w:rPr>
              <w:br/>
              <w:t>and technology</w:t>
            </w:r>
          </w:p>
        </w:tc>
        <w:tc>
          <w:tcPr>
            <w:tcW w:w="0" w:type="pct"/>
            <w:noWrap/>
          </w:tcPr>
          <w:p w14:paraId="308280E2" w14:textId="77777777" w:rsidR="00F273E7" w:rsidRPr="006663D5" w:rsidRDefault="00F273E7" w:rsidP="00F273E7">
            <w:pPr>
              <w:pStyle w:val="ARtabletext"/>
            </w:pPr>
            <w:r w:rsidRPr="000A30CD">
              <w:rPr>
                <w:rFonts w:eastAsia="Times New Roman"/>
                <w:color w:val="000000"/>
                <w:sz w:val="16"/>
                <w:szCs w:val="16"/>
              </w:rPr>
              <w:t>N</w:t>
            </w:r>
            <w:r w:rsidR="000F7743" w:rsidRPr="000A30CD">
              <w:rPr>
                <w:rFonts w:eastAsia="Times New Roman"/>
                <w:color w:val="000000"/>
                <w:sz w:val="16"/>
                <w:szCs w:val="16"/>
              </w:rPr>
              <w:t>ous Group Pty Ltd</w:t>
            </w:r>
          </w:p>
        </w:tc>
        <w:tc>
          <w:tcPr>
            <w:tcW w:w="0" w:type="pct"/>
            <w:noWrap/>
          </w:tcPr>
          <w:p w14:paraId="19971DD4" w14:textId="77777777" w:rsidR="00F273E7" w:rsidRPr="006663D5" w:rsidRDefault="00F273E7" w:rsidP="00F273E7">
            <w:pPr>
              <w:pStyle w:val="ARtabletext"/>
            </w:pPr>
            <w:r w:rsidRPr="000A30CD">
              <w:rPr>
                <w:rFonts w:eastAsia="Times New Roman"/>
                <w:color w:val="000000"/>
                <w:sz w:val="16"/>
                <w:szCs w:val="16"/>
              </w:rPr>
              <w:t>Analysis</w:t>
            </w:r>
            <w:r w:rsidR="000E4DCD">
              <w:rPr>
                <w:rFonts w:eastAsia="Times New Roman"/>
                <w:color w:val="000000"/>
                <w:sz w:val="16"/>
                <w:szCs w:val="16"/>
              </w:rPr>
              <w:t>:</w:t>
            </w:r>
            <w:r w:rsidR="006E3969">
              <w:rPr>
                <w:rFonts w:eastAsia="Times New Roman"/>
                <w:color w:val="000000"/>
                <w:sz w:val="16"/>
                <w:szCs w:val="16"/>
              </w:rPr>
              <w:t xml:space="preserve"> </w:t>
            </w:r>
            <w:r w:rsidRPr="000A30CD">
              <w:rPr>
                <w:rFonts w:eastAsia="Times New Roman"/>
                <w:color w:val="000000"/>
                <w:sz w:val="16"/>
                <w:szCs w:val="16"/>
              </w:rPr>
              <w:t xml:space="preserve">VAHI </w:t>
            </w:r>
            <w:r w:rsidR="000F7743">
              <w:rPr>
                <w:rFonts w:eastAsia="Times New Roman"/>
                <w:color w:val="000000"/>
                <w:sz w:val="16"/>
                <w:szCs w:val="16"/>
              </w:rPr>
              <w:t>p</w:t>
            </w:r>
            <w:r w:rsidRPr="000A30CD">
              <w:rPr>
                <w:rFonts w:eastAsia="Times New Roman"/>
                <w:color w:val="000000"/>
                <w:sz w:val="16"/>
                <w:szCs w:val="16"/>
              </w:rPr>
              <w:t>ortal and VIME projects</w:t>
            </w:r>
            <w:r w:rsidR="000F7743">
              <w:rPr>
                <w:rFonts w:eastAsia="Times New Roman"/>
                <w:color w:val="000000"/>
                <w:sz w:val="16"/>
                <w:szCs w:val="16"/>
              </w:rPr>
              <w:t>:</w:t>
            </w:r>
            <w:r w:rsidRPr="000A30CD">
              <w:rPr>
                <w:rFonts w:eastAsia="Times New Roman"/>
                <w:color w:val="000000"/>
                <w:sz w:val="16"/>
                <w:szCs w:val="16"/>
              </w:rPr>
              <w:t xml:space="preserve"> </w:t>
            </w:r>
            <w:r w:rsidR="000F7743">
              <w:rPr>
                <w:rFonts w:eastAsia="Times New Roman"/>
                <w:color w:val="000000"/>
                <w:sz w:val="16"/>
                <w:szCs w:val="16"/>
              </w:rPr>
              <w:t>b</w:t>
            </w:r>
            <w:r w:rsidR="000F7743" w:rsidRPr="000A30CD">
              <w:rPr>
                <w:rFonts w:eastAsia="Times New Roman"/>
                <w:color w:val="000000"/>
                <w:sz w:val="16"/>
                <w:szCs w:val="16"/>
              </w:rPr>
              <w:t xml:space="preserve">est </w:t>
            </w:r>
            <w:r w:rsidR="000F7743">
              <w:rPr>
                <w:rFonts w:eastAsia="Times New Roman"/>
                <w:color w:val="000000"/>
                <w:sz w:val="16"/>
                <w:szCs w:val="16"/>
              </w:rPr>
              <w:t>p</w:t>
            </w:r>
            <w:r w:rsidR="000F7743" w:rsidRPr="000A30CD">
              <w:rPr>
                <w:rFonts w:eastAsia="Times New Roman"/>
                <w:color w:val="000000"/>
                <w:sz w:val="16"/>
                <w:szCs w:val="16"/>
              </w:rPr>
              <w:t xml:space="preserve">ractice </w:t>
            </w:r>
            <w:r w:rsidR="000F7743">
              <w:rPr>
                <w:rFonts w:eastAsia="Times New Roman"/>
                <w:color w:val="000000"/>
                <w:sz w:val="16"/>
                <w:szCs w:val="16"/>
              </w:rPr>
              <w:t>f</w:t>
            </w:r>
            <w:r w:rsidRPr="000A30CD">
              <w:rPr>
                <w:rFonts w:eastAsia="Times New Roman"/>
                <w:color w:val="000000"/>
                <w:sz w:val="16"/>
                <w:szCs w:val="16"/>
              </w:rPr>
              <w:t xml:space="preserve">unctional </w:t>
            </w:r>
            <w:r w:rsidR="000F7743">
              <w:rPr>
                <w:rFonts w:eastAsia="Times New Roman"/>
                <w:color w:val="000000"/>
                <w:sz w:val="16"/>
                <w:szCs w:val="16"/>
              </w:rPr>
              <w:t>r</w:t>
            </w:r>
            <w:r w:rsidRPr="000A30CD">
              <w:rPr>
                <w:rFonts w:eastAsia="Times New Roman"/>
                <w:color w:val="000000"/>
                <w:sz w:val="16"/>
                <w:szCs w:val="16"/>
              </w:rPr>
              <w:t>equirements</w:t>
            </w:r>
          </w:p>
        </w:tc>
        <w:tc>
          <w:tcPr>
            <w:tcW w:w="0" w:type="pct"/>
            <w:noWrap/>
          </w:tcPr>
          <w:p w14:paraId="5560104A" w14:textId="77777777" w:rsidR="00F273E7" w:rsidRPr="006663D5" w:rsidRDefault="00F273E7" w:rsidP="00F273E7">
            <w:pPr>
              <w:pStyle w:val="ARtabletextright"/>
            </w:pPr>
            <w:r w:rsidRPr="000A30CD">
              <w:rPr>
                <w:rFonts w:eastAsia="Times New Roman"/>
                <w:color w:val="000000"/>
                <w:sz w:val="16"/>
                <w:szCs w:val="16"/>
              </w:rPr>
              <w:t>66,773.00</w:t>
            </w:r>
          </w:p>
        </w:tc>
        <w:tc>
          <w:tcPr>
            <w:tcW w:w="0" w:type="pct"/>
            <w:noWrap/>
          </w:tcPr>
          <w:p w14:paraId="615DC6E7" w14:textId="77777777" w:rsidR="00F273E7" w:rsidRPr="006663D5" w:rsidRDefault="00F273E7" w:rsidP="00F273E7">
            <w:pPr>
              <w:pStyle w:val="ARtabletextright"/>
            </w:pPr>
            <w:r w:rsidRPr="000A30CD">
              <w:rPr>
                <w:rFonts w:eastAsia="Times New Roman"/>
                <w:color w:val="000000"/>
                <w:sz w:val="16"/>
                <w:szCs w:val="16"/>
              </w:rPr>
              <w:t>62,493.00</w:t>
            </w:r>
          </w:p>
        </w:tc>
        <w:tc>
          <w:tcPr>
            <w:tcW w:w="0" w:type="pct"/>
            <w:noWrap/>
          </w:tcPr>
          <w:p w14:paraId="65A4702C"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67A115B5" w14:textId="77777777" w:rsidTr="00F94CEE">
        <w:trPr>
          <w:trHeight w:val="300"/>
        </w:trPr>
        <w:tc>
          <w:tcPr>
            <w:tcW w:w="0" w:type="pct"/>
            <w:noWrap/>
          </w:tcPr>
          <w:p w14:paraId="19022B00" w14:textId="77777777" w:rsidR="00F273E7" w:rsidRPr="006663D5" w:rsidRDefault="00F273E7" w:rsidP="00F273E7">
            <w:pPr>
              <w:pStyle w:val="ARtabletext"/>
            </w:pPr>
            <w:r w:rsidRPr="00446D2F">
              <w:rPr>
                <w:rFonts w:eastAsia="Times New Roman"/>
                <w:color w:val="000000"/>
                <w:sz w:val="16"/>
                <w:szCs w:val="16"/>
              </w:rPr>
              <w:t xml:space="preserve">Information, data </w:t>
            </w:r>
            <w:r w:rsidRPr="00446D2F">
              <w:rPr>
                <w:rFonts w:eastAsia="Times New Roman"/>
                <w:color w:val="000000"/>
                <w:sz w:val="16"/>
                <w:szCs w:val="16"/>
              </w:rPr>
              <w:br/>
              <w:t>and technology</w:t>
            </w:r>
          </w:p>
        </w:tc>
        <w:tc>
          <w:tcPr>
            <w:tcW w:w="0" w:type="pct"/>
            <w:noWrap/>
          </w:tcPr>
          <w:p w14:paraId="03385494" w14:textId="77777777" w:rsidR="00F273E7" w:rsidRPr="006663D5" w:rsidRDefault="000F7743" w:rsidP="00F273E7">
            <w:pPr>
              <w:pStyle w:val="ARtabletext"/>
            </w:pPr>
            <w:r w:rsidRPr="000A30CD">
              <w:rPr>
                <w:rFonts w:eastAsia="Times New Roman"/>
                <w:color w:val="000000"/>
                <w:sz w:val="16"/>
                <w:szCs w:val="16"/>
              </w:rPr>
              <w:t>Xavier Pacific Health</w:t>
            </w:r>
          </w:p>
        </w:tc>
        <w:tc>
          <w:tcPr>
            <w:tcW w:w="0" w:type="pct"/>
            <w:noWrap/>
          </w:tcPr>
          <w:p w14:paraId="23116060" w14:textId="77777777" w:rsidR="00F273E7" w:rsidRPr="006663D5" w:rsidRDefault="00F273E7" w:rsidP="00F273E7">
            <w:pPr>
              <w:pStyle w:val="ARtabletext"/>
            </w:pPr>
            <w:r w:rsidRPr="000A30CD">
              <w:rPr>
                <w:rFonts w:eastAsia="Times New Roman"/>
                <w:color w:val="000000"/>
                <w:sz w:val="16"/>
                <w:szCs w:val="16"/>
              </w:rPr>
              <w:t>Develop</w:t>
            </w:r>
            <w:r w:rsidR="000E4DCD">
              <w:rPr>
                <w:rFonts w:eastAsia="Times New Roman"/>
                <w:color w:val="000000"/>
                <w:sz w:val="16"/>
                <w:szCs w:val="16"/>
              </w:rPr>
              <w:t>:</w:t>
            </w:r>
            <w:r w:rsidRPr="000A30CD">
              <w:rPr>
                <w:rFonts w:eastAsia="Times New Roman"/>
                <w:color w:val="000000"/>
                <w:sz w:val="16"/>
                <w:szCs w:val="16"/>
              </w:rPr>
              <w:t xml:space="preserve"> data liberalisation strategic approach</w:t>
            </w:r>
          </w:p>
        </w:tc>
        <w:tc>
          <w:tcPr>
            <w:tcW w:w="0" w:type="pct"/>
            <w:noWrap/>
          </w:tcPr>
          <w:p w14:paraId="6CAAF59A" w14:textId="77777777" w:rsidR="00F273E7" w:rsidRPr="006663D5" w:rsidRDefault="00F273E7" w:rsidP="00F273E7">
            <w:pPr>
              <w:pStyle w:val="ARtabletextright"/>
            </w:pPr>
            <w:r w:rsidRPr="000A30CD">
              <w:rPr>
                <w:rFonts w:eastAsia="Times New Roman"/>
                <w:color w:val="000000"/>
                <w:sz w:val="16"/>
                <w:szCs w:val="16"/>
              </w:rPr>
              <w:t>145,455.00</w:t>
            </w:r>
          </w:p>
        </w:tc>
        <w:tc>
          <w:tcPr>
            <w:tcW w:w="0" w:type="pct"/>
            <w:noWrap/>
          </w:tcPr>
          <w:p w14:paraId="759D04A9" w14:textId="77777777" w:rsidR="00F273E7" w:rsidRPr="006663D5" w:rsidRDefault="00F273E7" w:rsidP="00F273E7">
            <w:pPr>
              <w:pStyle w:val="ARtabletextright"/>
            </w:pPr>
            <w:r w:rsidRPr="000A30CD">
              <w:rPr>
                <w:rFonts w:eastAsia="Times New Roman"/>
                <w:color w:val="000000"/>
                <w:sz w:val="16"/>
                <w:szCs w:val="16"/>
              </w:rPr>
              <w:t>19,600.00</w:t>
            </w:r>
          </w:p>
        </w:tc>
        <w:tc>
          <w:tcPr>
            <w:tcW w:w="0" w:type="pct"/>
            <w:noWrap/>
          </w:tcPr>
          <w:p w14:paraId="23C8C101"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1C517C41" w14:textId="77777777" w:rsidTr="00F94CEE">
        <w:trPr>
          <w:trHeight w:val="300"/>
        </w:trPr>
        <w:tc>
          <w:tcPr>
            <w:tcW w:w="0" w:type="pct"/>
            <w:noWrap/>
          </w:tcPr>
          <w:p w14:paraId="29CAB27F" w14:textId="77777777" w:rsidR="00F273E7" w:rsidRPr="006663D5" w:rsidRDefault="00F273E7" w:rsidP="00F273E7">
            <w:pPr>
              <w:pStyle w:val="ARtabletext"/>
            </w:pPr>
            <w:r w:rsidRPr="00446D2F">
              <w:rPr>
                <w:rFonts w:eastAsia="Times New Roman"/>
                <w:color w:val="000000"/>
                <w:sz w:val="16"/>
                <w:szCs w:val="16"/>
              </w:rPr>
              <w:t xml:space="preserve">Information, data </w:t>
            </w:r>
            <w:r w:rsidRPr="00446D2F">
              <w:rPr>
                <w:rFonts w:eastAsia="Times New Roman"/>
                <w:color w:val="000000"/>
                <w:sz w:val="16"/>
                <w:szCs w:val="16"/>
              </w:rPr>
              <w:br/>
              <w:t>and technology</w:t>
            </w:r>
          </w:p>
        </w:tc>
        <w:tc>
          <w:tcPr>
            <w:tcW w:w="0" w:type="pct"/>
            <w:noWrap/>
          </w:tcPr>
          <w:p w14:paraId="602E81A2" w14:textId="77777777" w:rsidR="00F273E7" w:rsidRPr="006663D5" w:rsidRDefault="000F7743" w:rsidP="00F273E7">
            <w:pPr>
              <w:pStyle w:val="ARtabletext"/>
            </w:pPr>
            <w:r w:rsidRPr="000A30CD">
              <w:rPr>
                <w:rFonts w:eastAsia="Times New Roman"/>
                <w:color w:val="000000"/>
                <w:sz w:val="16"/>
                <w:szCs w:val="16"/>
              </w:rPr>
              <w:t>Oakton Services Pty Ltd</w:t>
            </w:r>
          </w:p>
        </w:tc>
        <w:tc>
          <w:tcPr>
            <w:tcW w:w="0" w:type="pct"/>
            <w:noWrap/>
          </w:tcPr>
          <w:p w14:paraId="73301956" w14:textId="77777777" w:rsidR="00F273E7" w:rsidRPr="006663D5" w:rsidRDefault="00F273E7" w:rsidP="00F273E7">
            <w:pPr>
              <w:pStyle w:val="ARtabletext"/>
            </w:pPr>
            <w:r w:rsidRPr="000A30CD">
              <w:rPr>
                <w:rFonts w:eastAsia="Times New Roman"/>
                <w:color w:val="000000"/>
                <w:sz w:val="16"/>
                <w:szCs w:val="16"/>
              </w:rPr>
              <w:t xml:space="preserve">Software </w:t>
            </w:r>
            <w:r w:rsidR="000F7743">
              <w:rPr>
                <w:rFonts w:eastAsia="Times New Roman"/>
                <w:color w:val="000000"/>
                <w:sz w:val="16"/>
                <w:szCs w:val="16"/>
              </w:rPr>
              <w:t>d</w:t>
            </w:r>
            <w:r w:rsidRPr="000A30CD">
              <w:rPr>
                <w:rFonts w:eastAsia="Times New Roman"/>
                <w:color w:val="000000"/>
                <w:sz w:val="16"/>
                <w:szCs w:val="16"/>
              </w:rPr>
              <w:t>evelopmen</w:t>
            </w:r>
            <w:r w:rsidR="000F7743">
              <w:rPr>
                <w:rFonts w:eastAsia="Times New Roman"/>
                <w:color w:val="000000"/>
                <w:sz w:val="16"/>
                <w:szCs w:val="16"/>
              </w:rPr>
              <w:t>t</w:t>
            </w:r>
            <w:r w:rsidR="000E4DCD">
              <w:rPr>
                <w:rFonts w:eastAsia="Times New Roman"/>
                <w:color w:val="000000"/>
                <w:sz w:val="16"/>
                <w:szCs w:val="16"/>
              </w:rPr>
              <w:t>:</w:t>
            </w:r>
            <w:r w:rsidRPr="000A30CD">
              <w:rPr>
                <w:rFonts w:eastAsia="Times New Roman"/>
                <w:color w:val="000000"/>
                <w:sz w:val="16"/>
                <w:szCs w:val="16"/>
              </w:rPr>
              <w:t xml:space="preserve"> UX </w:t>
            </w:r>
            <w:r w:rsidR="000F7743">
              <w:rPr>
                <w:rFonts w:eastAsia="Times New Roman"/>
                <w:color w:val="000000"/>
                <w:sz w:val="16"/>
                <w:szCs w:val="16"/>
              </w:rPr>
              <w:t>d</w:t>
            </w:r>
            <w:r w:rsidRPr="000A30CD">
              <w:rPr>
                <w:rFonts w:eastAsia="Times New Roman"/>
                <w:color w:val="000000"/>
                <w:sz w:val="16"/>
                <w:szCs w:val="16"/>
              </w:rPr>
              <w:t>evelopment services</w:t>
            </w:r>
          </w:p>
        </w:tc>
        <w:tc>
          <w:tcPr>
            <w:tcW w:w="0" w:type="pct"/>
            <w:noWrap/>
          </w:tcPr>
          <w:p w14:paraId="1748F141" w14:textId="77777777" w:rsidR="00F273E7" w:rsidRPr="006663D5" w:rsidRDefault="00F273E7" w:rsidP="00F273E7">
            <w:pPr>
              <w:pStyle w:val="ARtabletextright"/>
            </w:pPr>
            <w:r w:rsidRPr="000A30CD">
              <w:rPr>
                <w:rFonts w:eastAsia="Times New Roman"/>
                <w:color w:val="000000"/>
                <w:sz w:val="16"/>
                <w:szCs w:val="16"/>
              </w:rPr>
              <w:t>125,009.00</w:t>
            </w:r>
          </w:p>
        </w:tc>
        <w:tc>
          <w:tcPr>
            <w:tcW w:w="0" w:type="pct"/>
            <w:noWrap/>
          </w:tcPr>
          <w:p w14:paraId="645C0B93" w14:textId="77777777" w:rsidR="00F273E7" w:rsidRPr="006663D5" w:rsidRDefault="00F273E7" w:rsidP="00F273E7">
            <w:pPr>
              <w:pStyle w:val="ARtabletextright"/>
            </w:pPr>
            <w:r w:rsidRPr="000A30CD">
              <w:rPr>
                <w:rFonts w:eastAsia="Times New Roman"/>
                <w:color w:val="000000"/>
                <w:sz w:val="16"/>
                <w:szCs w:val="16"/>
              </w:rPr>
              <w:t>111,050.00</w:t>
            </w:r>
          </w:p>
        </w:tc>
        <w:tc>
          <w:tcPr>
            <w:tcW w:w="0" w:type="pct"/>
            <w:noWrap/>
          </w:tcPr>
          <w:p w14:paraId="3A34F2C0"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2650AADA" w14:textId="77777777" w:rsidTr="00F94CEE">
        <w:trPr>
          <w:trHeight w:val="300"/>
        </w:trPr>
        <w:tc>
          <w:tcPr>
            <w:tcW w:w="0" w:type="pct"/>
            <w:noWrap/>
          </w:tcPr>
          <w:p w14:paraId="7D188E8B" w14:textId="77777777" w:rsidR="00F273E7" w:rsidRPr="006663D5" w:rsidRDefault="00F273E7" w:rsidP="00F273E7">
            <w:pPr>
              <w:pStyle w:val="ARtabletext"/>
            </w:pPr>
            <w:r w:rsidRPr="00446D2F">
              <w:rPr>
                <w:rFonts w:eastAsia="Times New Roman"/>
                <w:color w:val="000000"/>
                <w:sz w:val="16"/>
                <w:szCs w:val="16"/>
              </w:rPr>
              <w:t xml:space="preserve">Information, data </w:t>
            </w:r>
            <w:r w:rsidRPr="00446D2F">
              <w:rPr>
                <w:rFonts w:eastAsia="Times New Roman"/>
                <w:color w:val="000000"/>
                <w:sz w:val="16"/>
                <w:szCs w:val="16"/>
              </w:rPr>
              <w:br/>
              <w:t>and technology</w:t>
            </w:r>
          </w:p>
        </w:tc>
        <w:tc>
          <w:tcPr>
            <w:tcW w:w="0" w:type="pct"/>
            <w:noWrap/>
          </w:tcPr>
          <w:p w14:paraId="32216EE5" w14:textId="77777777" w:rsidR="00F273E7" w:rsidRPr="006663D5" w:rsidRDefault="000F7743" w:rsidP="00F273E7">
            <w:pPr>
              <w:pStyle w:val="ARtabletext"/>
            </w:pPr>
            <w:r w:rsidRPr="000A30CD">
              <w:rPr>
                <w:rFonts w:eastAsia="Times New Roman"/>
                <w:color w:val="000000"/>
                <w:sz w:val="16"/>
                <w:szCs w:val="16"/>
              </w:rPr>
              <w:t>Nous Group Pty Ltd</w:t>
            </w:r>
          </w:p>
        </w:tc>
        <w:tc>
          <w:tcPr>
            <w:tcW w:w="0" w:type="pct"/>
            <w:noWrap/>
          </w:tcPr>
          <w:p w14:paraId="47A81F88" w14:textId="77777777" w:rsidR="00F273E7" w:rsidRPr="006663D5" w:rsidRDefault="00F273E7" w:rsidP="00F273E7">
            <w:pPr>
              <w:pStyle w:val="ARtabletext"/>
            </w:pPr>
            <w:r w:rsidRPr="000A30CD">
              <w:rPr>
                <w:rFonts w:eastAsia="Times New Roman"/>
                <w:color w:val="000000"/>
                <w:sz w:val="16"/>
                <w:szCs w:val="16"/>
              </w:rPr>
              <w:t xml:space="preserve">Mapping of </w:t>
            </w:r>
            <w:r w:rsidR="000F7743">
              <w:rPr>
                <w:rFonts w:eastAsia="Times New Roman"/>
                <w:color w:val="000000"/>
                <w:sz w:val="16"/>
                <w:szCs w:val="16"/>
              </w:rPr>
              <w:t>r</w:t>
            </w:r>
            <w:r w:rsidR="000F7743" w:rsidRPr="000A30CD">
              <w:rPr>
                <w:rFonts w:eastAsia="Times New Roman"/>
                <w:color w:val="000000"/>
                <w:sz w:val="16"/>
                <w:szCs w:val="16"/>
              </w:rPr>
              <w:t xml:space="preserve">oles </w:t>
            </w:r>
            <w:r w:rsidRPr="000A30CD">
              <w:rPr>
                <w:rFonts w:eastAsia="Times New Roman"/>
                <w:color w:val="000000"/>
                <w:sz w:val="16"/>
                <w:szCs w:val="16"/>
              </w:rPr>
              <w:t xml:space="preserve">and </w:t>
            </w:r>
            <w:r w:rsidR="000F7743">
              <w:rPr>
                <w:rFonts w:eastAsia="Times New Roman"/>
                <w:color w:val="000000"/>
                <w:sz w:val="16"/>
                <w:szCs w:val="16"/>
              </w:rPr>
              <w:t>i</w:t>
            </w:r>
            <w:r w:rsidRPr="000A30CD">
              <w:rPr>
                <w:rFonts w:eastAsia="Times New Roman"/>
                <w:color w:val="000000"/>
                <w:sz w:val="16"/>
                <w:szCs w:val="16"/>
              </w:rPr>
              <w:t>nterdependencies (VAHI)</w:t>
            </w:r>
          </w:p>
        </w:tc>
        <w:tc>
          <w:tcPr>
            <w:tcW w:w="0" w:type="pct"/>
            <w:noWrap/>
          </w:tcPr>
          <w:p w14:paraId="17CE842B" w14:textId="77777777" w:rsidR="00F273E7" w:rsidRPr="006663D5" w:rsidRDefault="00F273E7" w:rsidP="00F273E7">
            <w:pPr>
              <w:pStyle w:val="ARtabletextright"/>
            </w:pPr>
            <w:r w:rsidRPr="000A30CD">
              <w:rPr>
                <w:rFonts w:eastAsia="Times New Roman"/>
                <w:color w:val="000000"/>
                <w:sz w:val="16"/>
                <w:szCs w:val="16"/>
              </w:rPr>
              <w:t>134,255.00</w:t>
            </w:r>
          </w:p>
        </w:tc>
        <w:tc>
          <w:tcPr>
            <w:tcW w:w="0" w:type="pct"/>
            <w:noWrap/>
          </w:tcPr>
          <w:p w14:paraId="68B11E57" w14:textId="77777777" w:rsidR="00F273E7" w:rsidRPr="006663D5" w:rsidRDefault="00F273E7" w:rsidP="00F273E7">
            <w:pPr>
              <w:pStyle w:val="ARtabletextright"/>
            </w:pPr>
            <w:r w:rsidRPr="000A30CD">
              <w:rPr>
                <w:rFonts w:eastAsia="Times New Roman"/>
                <w:color w:val="000000"/>
                <w:sz w:val="16"/>
                <w:szCs w:val="16"/>
              </w:rPr>
              <w:t>133,800.00</w:t>
            </w:r>
          </w:p>
        </w:tc>
        <w:tc>
          <w:tcPr>
            <w:tcW w:w="0" w:type="pct"/>
            <w:noWrap/>
          </w:tcPr>
          <w:p w14:paraId="6DE5DCB3"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1E4E99D6" w14:textId="77777777" w:rsidTr="00F94CEE">
        <w:trPr>
          <w:trHeight w:val="300"/>
        </w:trPr>
        <w:tc>
          <w:tcPr>
            <w:tcW w:w="0" w:type="pct"/>
            <w:noWrap/>
          </w:tcPr>
          <w:p w14:paraId="7FB72F5A" w14:textId="77777777" w:rsidR="00F273E7" w:rsidRPr="006663D5" w:rsidRDefault="00F273E7" w:rsidP="00F273E7">
            <w:pPr>
              <w:pStyle w:val="ARtabletext"/>
            </w:pPr>
            <w:r w:rsidRPr="00446D2F">
              <w:rPr>
                <w:rFonts w:eastAsia="Times New Roman"/>
                <w:color w:val="000000"/>
                <w:sz w:val="16"/>
                <w:szCs w:val="16"/>
              </w:rPr>
              <w:t xml:space="preserve">Information, data </w:t>
            </w:r>
            <w:r w:rsidRPr="00446D2F">
              <w:rPr>
                <w:rFonts w:eastAsia="Times New Roman"/>
                <w:color w:val="000000"/>
                <w:sz w:val="16"/>
                <w:szCs w:val="16"/>
              </w:rPr>
              <w:br/>
              <w:t>and technology</w:t>
            </w:r>
          </w:p>
        </w:tc>
        <w:tc>
          <w:tcPr>
            <w:tcW w:w="0" w:type="pct"/>
            <w:noWrap/>
          </w:tcPr>
          <w:p w14:paraId="31A09ECF" w14:textId="77777777" w:rsidR="00F273E7" w:rsidRPr="006663D5" w:rsidRDefault="000F7743" w:rsidP="00F273E7">
            <w:pPr>
              <w:pStyle w:val="ARtabletext"/>
            </w:pPr>
            <w:r w:rsidRPr="000A30CD">
              <w:rPr>
                <w:rFonts w:eastAsia="Times New Roman"/>
                <w:color w:val="000000"/>
                <w:sz w:val="16"/>
                <w:szCs w:val="16"/>
              </w:rPr>
              <w:t>Oakton Services Pty Ltd</w:t>
            </w:r>
          </w:p>
        </w:tc>
        <w:tc>
          <w:tcPr>
            <w:tcW w:w="0" w:type="pct"/>
            <w:noWrap/>
          </w:tcPr>
          <w:p w14:paraId="79F942A3" w14:textId="77777777" w:rsidR="00F273E7" w:rsidRPr="006663D5" w:rsidRDefault="00F273E7" w:rsidP="00F273E7">
            <w:pPr>
              <w:pStyle w:val="ARtabletext"/>
            </w:pPr>
            <w:r w:rsidRPr="000A30CD">
              <w:rPr>
                <w:rFonts w:eastAsia="Times New Roman"/>
                <w:color w:val="000000"/>
                <w:sz w:val="16"/>
                <w:szCs w:val="16"/>
              </w:rPr>
              <w:t xml:space="preserve">ICCMS </w:t>
            </w:r>
            <w:r w:rsidR="000F7743">
              <w:rPr>
                <w:rFonts w:eastAsia="Times New Roman"/>
                <w:color w:val="000000"/>
                <w:sz w:val="16"/>
                <w:szCs w:val="16"/>
              </w:rPr>
              <w:t>f</w:t>
            </w:r>
            <w:r w:rsidRPr="000A30CD">
              <w:rPr>
                <w:rFonts w:eastAsia="Times New Roman"/>
                <w:color w:val="000000"/>
                <w:sz w:val="16"/>
                <w:szCs w:val="16"/>
              </w:rPr>
              <w:t xml:space="preserve">uture </w:t>
            </w:r>
            <w:r w:rsidR="000F7743">
              <w:rPr>
                <w:rFonts w:eastAsia="Times New Roman"/>
                <w:color w:val="000000"/>
                <w:sz w:val="16"/>
                <w:szCs w:val="16"/>
              </w:rPr>
              <w:t>s</w:t>
            </w:r>
            <w:r w:rsidRPr="000A30CD">
              <w:rPr>
                <w:rFonts w:eastAsia="Times New Roman"/>
                <w:color w:val="000000"/>
                <w:sz w:val="16"/>
                <w:szCs w:val="16"/>
              </w:rPr>
              <w:t>trategy</w:t>
            </w:r>
          </w:p>
        </w:tc>
        <w:tc>
          <w:tcPr>
            <w:tcW w:w="0" w:type="pct"/>
            <w:noWrap/>
          </w:tcPr>
          <w:p w14:paraId="6A7E6671" w14:textId="77777777" w:rsidR="00F273E7" w:rsidRPr="006663D5" w:rsidRDefault="00F273E7" w:rsidP="00F273E7">
            <w:pPr>
              <w:pStyle w:val="ARtabletextright"/>
            </w:pPr>
            <w:r w:rsidRPr="000A30CD">
              <w:rPr>
                <w:rFonts w:eastAsia="Times New Roman"/>
                <w:color w:val="000000"/>
                <w:sz w:val="16"/>
                <w:szCs w:val="16"/>
              </w:rPr>
              <w:t>266,658.00</w:t>
            </w:r>
          </w:p>
        </w:tc>
        <w:tc>
          <w:tcPr>
            <w:tcW w:w="0" w:type="pct"/>
            <w:noWrap/>
          </w:tcPr>
          <w:p w14:paraId="0E2CE761" w14:textId="77777777" w:rsidR="00F273E7" w:rsidRPr="006663D5" w:rsidRDefault="00F273E7" w:rsidP="00F273E7">
            <w:pPr>
              <w:pStyle w:val="ARtabletextright"/>
            </w:pPr>
            <w:r w:rsidRPr="000A30CD">
              <w:rPr>
                <w:rFonts w:eastAsia="Times New Roman"/>
                <w:color w:val="000000"/>
                <w:sz w:val="16"/>
                <w:szCs w:val="16"/>
              </w:rPr>
              <w:t>160,144.00</w:t>
            </w:r>
          </w:p>
        </w:tc>
        <w:tc>
          <w:tcPr>
            <w:tcW w:w="0" w:type="pct"/>
            <w:noWrap/>
          </w:tcPr>
          <w:p w14:paraId="6BB51E0C" w14:textId="77777777" w:rsidR="00F273E7" w:rsidRPr="006663D5" w:rsidRDefault="00F273E7" w:rsidP="00F273E7">
            <w:pPr>
              <w:pStyle w:val="ARtabletextright"/>
            </w:pPr>
            <w:r w:rsidRPr="000A30CD">
              <w:rPr>
                <w:rFonts w:eastAsia="Times New Roman"/>
                <w:color w:val="000000"/>
                <w:sz w:val="16"/>
                <w:szCs w:val="16"/>
              </w:rPr>
              <w:t>Nil</w:t>
            </w:r>
          </w:p>
        </w:tc>
      </w:tr>
      <w:tr w:rsidR="007066A0" w:rsidRPr="006663D5" w14:paraId="305F1AC0" w14:textId="77777777" w:rsidTr="00F94CEE">
        <w:trPr>
          <w:trHeight w:val="300"/>
        </w:trPr>
        <w:tc>
          <w:tcPr>
            <w:tcW w:w="0" w:type="pct"/>
            <w:noWrap/>
          </w:tcPr>
          <w:p w14:paraId="48707ABD" w14:textId="77777777" w:rsidR="007066A0" w:rsidRPr="006663D5" w:rsidRDefault="007066A0" w:rsidP="007066A0">
            <w:pPr>
              <w:pStyle w:val="ARtabletext"/>
            </w:pPr>
            <w:r w:rsidRPr="005427F6">
              <w:rPr>
                <w:rFonts w:eastAsia="Times New Roman"/>
                <w:color w:val="000000"/>
                <w:sz w:val="16"/>
                <w:szCs w:val="16"/>
              </w:rPr>
              <w:t xml:space="preserve">Information, data </w:t>
            </w:r>
            <w:r w:rsidR="00F273E7">
              <w:rPr>
                <w:rFonts w:eastAsia="Times New Roman"/>
                <w:color w:val="000000"/>
                <w:sz w:val="16"/>
                <w:szCs w:val="16"/>
              </w:rPr>
              <w:br/>
            </w:r>
            <w:r w:rsidRPr="005427F6">
              <w:rPr>
                <w:rFonts w:eastAsia="Times New Roman"/>
                <w:color w:val="000000"/>
                <w:sz w:val="16"/>
                <w:szCs w:val="16"/>
              </w:rPr>
              <w:t>and technology</w:t>
            </w:r>
          </w:p>
        </w:tc>
        <w:tc>
          <w:tcPr>
            <w:tcW w:w="0" w:type="pct"/>
            <w:noWrap/>
          </w:tcPr>
          <w:p w14:paraId="1E216FE4" w14:textId="77777777" w:rsidR="007066A0" w:rsidRPr="006663D5" w:rsidRDefault="000F7743" w:rsidP="007066A0">
            <w:pPr>
              <w:pStyle w:val="ARtabletext"/>
            </w:pPr>
            <w:r w:rsidRPr="000A30CD">
              <w:rPr>
                <w:rFonts w:eastAsia="Times New Roman"/>
                <w:color w:val="000000"/>
                <w:sz w:val="16"/>
                <w:szCs w:val="16"/>
              </w:rPr>
              <w:t>Deloitte Consulting Pty Ltd</w:t>
            </w:r>
          </w:p>
        </w:tc>
        <w:tc>
          <w:tcPr>
            <w:tcW w:w="0" w:type="pct"/>
            <w:noWrap/>
          </w:tcPr>
          <w:p w14:paraId="03CE3F65" w14:textId="77777777" w:rsidR="007066A0" w:rsidRPr="006663D5" w:rsidRDefault="007066A0" w:rsidP="007066A0">
            <w:pPr>
              <w:pStyle w:val="ARtabletext"/>
            </w:pPr>
            <w:r w:rsidRPr="000A30CD">
              <w:rPr>
                <w:rFonts w:eastAsia="Times New Roman"/>
                <w:color w:val="000000"/>
                <w:sz w:val="16"/>
                <w:szCs w:val="16"/>
              </w:rPr>
              <w:t>Strategy</w:t>
            </w:r>
            <w:r w:rsidR="000E4DCD">
              <w:rPr>
                <w:rFonts w:eastAsia="Times New Roman"/>
                <w:color w:val="000000"/>
                <w:sz w:val="16"/>
                <w:szCs w:val="16"/>
              </w:rPr>
              <w:t>:</w:t>
            </w:r>
            <w:r w:rsidRPr="000A30CD">
              <w:rPr>
                <w:rFonts w:eastAsia="Times New Roman"/>
                <w:color w:val="000000"/>
                <w:sz w:val="16"/>
                <w:szCs w:val="16"/>
              </w:rPr>
              <w:t xml:space="preserve"> </w:t>
            </w:r>
            <w:r w:rsidR="000F7743">
              <w:rPr>
                <w:rFonts w:eastAsia="Times New Roman"/>
                <w:color w:val="000000"/>
                <w:sz w:val="16"/>
                <w:szCs w:val="16"/>
              </w:rPr>
              <w:t>d</w:t>
            </w:r>
            <w:r w:rsidRPr="000A30CD">
              <w:rPr>
                <w:rFonts w:eastAsia="Times New Roman"/>
                <w:color w:val="000000"/>
                <w:sz w:val="16"/>
                <w:szCs w:val="16"/>
              </w:rPr>
              <w:t xml:space="preserve">evelopment of ICT </w:t>
            </w:r>
            <w:r w:rsidR="000F7743" w:rsidRPr="000A30CD">
              <w:rPr>
                <w:rFonts w:eastAsia="Times New Roman"/>
                <w:color w:val="000000"/>
                <w:sz w:val="16"/>
                <w:szCs w:val="16"/>
              </w:rPr>
              <w:t>asset management strategy and framework</w:t>
            </w:r>
          </w:p>
        </w:tc>
        <w:tc>
          <w:tcPr>
            <w:tcW w:w="0" w:type="pct"/>
            <w:noWrap/>
          </w:tcPr>
          <w:p w14:paraId="1A62B6B2" w14:textId="77777777" w:rsidR="007066A0" w:rsidRPr="006663D5" w:rsidRDefault="007066A0" w:rsidP="007066A0">
            <w:pPr>
              <w:pStyle w:val="ARtabletextright"/>
            </w:pPr>
            <w:r w:rsidRPr="000A30CD">
              <w:rPr>
                <w:rFonts w:eastAsia="Times New Roman"/>
                <w:color w:val="000000"/>
                <w:sz w:val="16"/>
                <w:szCs w:val="16"/>
              </w:rPr>
              <w:t>227,193.00</w:t>
            </w:r>
          </w:p>
        </w:tc>
        <w:tc>
          <w:tcPr>
            <w:tcW w:w="0" w:type="pct"/>
            <w:noWrap/>
          </w:tcPr>
          <w:p w14:paraId="58079C8F" w14:textId="77777777" w:rsidR="007066A0" w:rsidRPr="006663D5" w:rsidRDefault="007066A0" w:rsidP="007066A0">
            <w:pPr>
              <w:pStyle w:val="ARtabletextright"/>
            </w:pPr>
            <w:r w:rsidRPr="000A30CD">
              <w:rPr>
                <w:rFonts w:eastAsia="Times New Roman"/>
                <w:color w:val="000000"/>
                <w:sz w:val="16"/>
                <w:szCs w:val="16"/>
              </w:rPr>
              <w:t>227,192.00</w:t>
            </w:r>
          </w:p>
        </w:tc>
        <w:tc>
          <w:tcPr>
            <w:tcW w:w="0" w:type="pct"/>
            <w:noWrap/>
          </w:tcPr>
          <w:p w14:paraId="370E083F" w14:textId="77777777" w:rsidR="007066A0" w:rsidRPr="006663D5" w:rsidRDefault="007066A0" w:rsidP="007066A0">
            <w:pPr>
              <w:pStyle w:val="ARtabletextright"/>
            </w:pPr>
            <w:r w:rsidRPr="000A30CD">
              <w:rPr>
                <w:rFonts w:eastAsia="Times New Roman"/>
                <w:color w:val="000000"/>
                <w:sz w:val="16"/>
                <w:szCs w:val="16"/>
              </w:rPr>
              <w:t>Nil</w:t>
            </w:r>
          </w:p>
        </w:tc>
      </w:tr>
      <w:tr w:rsidR="00F273E7" w:rsidRPr="006663D5" w14:paraId="05CE9546" w14:textId="77777777" w:rsidTr="00F94CEE">
        <w:trPr>
          <w:trHeight w:val="300"/>
        </w:trPr>
        <w:tc>
          <w:tcPr>
            <w:tcW w:w="0" w:type="pct"/>
            <w:noWrap/>
          </w:tcPr>
          <w:p w14:paraId="4B9204A0" w14:textId="77777777" w:rsidR="00F273E7" w:rsidRPr="006663D5" w:rsidRDefault="00F273E7" w:rsidP="00F273E7">
            <w:pPr>
              <w:pStyle w:val="ARtabletext"/>
            </w:pPr>
            <w:r w:rsidRPr="00EA6B63">
              <w:rPr>
                <w:rFonts w:eastAsia="Times New Roman"/>
                <w:color w:val="000000"/>
                <w:sz w:val="16"/>
                <w:szCs w:val="16"/>
              </w:rPr>
              <w:t xml:space="preserve">Policy/program </w:t>
            </w:r>
            <w:r w:rsidRPr="00EA6B63">
              <w:rPr>
                <w:rFonts w:eastAsia="Times New Roman"/>
                <w:color w:val="000000"/>
                <w:sz w:val="16"/>
                <w:szCs w:val="16"/>
              </w:rPr>
              <w:br/>
              <w:t>advice and delivery</w:t>
            </w:r>
          </w:p>
        </w:tc>
        <w:tc>
          <w:tcPr>
            <w:tcW w:w="0" w:type="pct"/>
            <w:noWrap/>
          </w:tcPr>
          <w:p w14:paraId="3BC855E7" w14:textId="77777777" w:rsidR="00F273E7" w:rsidRPr="006663D5" w:rsidRDefault="00F273E7" w:rsidP="00F273E7">
            <w:pPr>
              <w:pStyle w:val="ARtabletext"/>
            </w:pPr>
            <w:r w:rsidRPr="000A30CD">
              <w:rPr>
                <w:rFonts w:eastAsia="Times New Roman"/>
                <w:color w:val="000000"/>
                <w:sz w:val="16"/>
                <w:szCs w:val="16"/>
              </w:rPr>
              <w:t>KPMG</w:t>
            </w:r>
          </w:p>
        </w:tc>
        <w:tc>
          <w:tcPr>
            <w:tcW w:w="0" w:type="pct"/>
            <w:noWrap/>
          </w:tcPr>
          <w:p w14:paraId="0F94485A" w14:textId="77777777" w:rsidR="00F273E7" w:rsidRPr="006663D5" w:rsidRDefault="00F273E7" w:rsidP="00F273E7">
            <w:pPr>
              <w:pStyle w:val="ARtabletext"/>
            </w:pPr>
            <w:r w:rsidRPr="000A30CD">
              <w:rPr>
                <w:rFonts w:eastAsia="Times New Roman"/>
                <w:color w:val="000000"/>
                <w:sz w:val="16"/>
                <w:szCs w:val="16"/>
              </w:rPr>
              <w:t>Project</w:t>
            </w:r>
            <w:r w:rsidR="000E4DCD">
              <w:rPr>
                <w:rFonts w:eastAsia="Times New Roman"/>
                <w:color w:val="000000"/>
                <w:sz w:val="16"/>
                <w:szCs w:val="16"/>
              </w:rPr>
              <w:t>:</w:t>
            </w:r>
            <w:r w:rsidRPr="000A30CD">
              <w:rPr>
                <w:rFonts w:eastAsia="Times New Roman"/>
                <w:color w:val="000000"/>
                <w:sz w:val="16"/>
                <w:szCs w:val="16"/>
              </w:rPr>
              <w:t xml:space="preserve"> coordination of clinical trial management units</w:t>
            </w:r>
          </w:p>
        </w:tc>
        <w:tc>
          <w:tcPr>
            <w:tcW w:w="0" w:type="pct"/>
            <w:noWrap/>
          </w:tcPr>
          <w:p w14:paraId="46A85878" w14:textId="77777777" w:rsidR="00F273E7" w:rsidRPr="006663D5" w:rsidRDefault="00F273E7" w:rsidP="00F273E7">
            <w:pPr>
              <w:pStyle w:val="ARtabletextright"/>
            </w:pPr>
            <w:r w:rsidRPr="000A30CD">
              <w:rPr>
                <w:rFonts w:eastAsia="Times New Roman"/>
                <w:color w:val="000000"/>
                <w:sz w:val="16"/>
                <w:szCs w:val="16"/>
              </w:rPr>
              <w:t>362,132.00</w:t>
            </w:r>
          </w:p>
        </w:tc>
        <w:tc>
          <w:tcPr>
            <w:tcW w:w="0" w:type="pct"/>
            <w:noWrap/>
          </w:tcPr>
          <w:p w14:paraId="4356E124" w14:textId="77777777" w:rsidR="00F273E7" w:rsidRPr="006663D5" w:rsidRDefault="00F273E7" w:rsidP="00F273E7">
            <w:pPr>
              <w:pStyle w:val="ARtabletextright"/>
            </w:pPr>
            <w:r w:rsidRPr="000A30CD">
              <w:rPr>
                <w:rFonts w:eastAsia="Times New Roman"/>
                <w:color w:val="000000"/>
                <w:sz w:val="16"/>
                <w:szCs w:val="16"/>
              </w:rPr>
              <w:t>271,599.00</w:t>
            </w:r>
          </w:p>
        </w:tc>
        <w:tc>
          <w:tcPr>
            <w:tcW w:w="0" w:type="pct"/>
            <w:noWrap/>
          </w:tcPr>
          <w:p w14:paraId="7707EAFB"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0E4E9CE9" w14:textId="77777777" w:rsidTr="00F94CEE">
        <w:trPr>
          <w:trHeight w:val="300"/>
        </w:trPr>
        <w:tc>
          <w:tcPr>
            <w:tcW w:w="0" w:type="pct"/>
            <w:noWrap/>
          </w:tcPr>
          <w:p w14:paraId="61415C18" w14:textId="77777777" w:rsidR="00F273E7" w:rsidRPr="006663D5" w:rsidRDefault="00F273E7" w:rsidP="00F273E7">
            <w:pPr>
              <w:pStyle w:val="ARtabletext"/>
            </w:pPr>
            <w:r w:rsidRPr="00EA6B63">
              <w:rPr>
                <w:rFonts w:eastAsia="Times New Roman"/>
                <w:color w:val="000000"/>
                <w:sz w:val="16"/>
                <w:szCs w:val="16"/>
              </w:rPr>
              <w:t xml:space="preserve">Policy/program </w:t>
            </w:r>
            <w:r w:rsidRPr="00EA6B63">
              <w:rPr>
                <w:rFonts w:eastAsia="Times New Roman"/>
                <w:color w:val="000000"/>
                <w:sz w:val="16"/>
                <w:szCs w:val="16"/>
              </w:rPr>
              <w:br/>
              <w:t>advice and delivery</w:t>
            </w:r>
          </w:p>
        </w:tc>
        <w:tc>
          <w:tcPr>
            <w:tcW w:w="0" w:type="pct"/>
            <w:noWrap/>
          </w:tcPr>
          <w:p w14:paraId="2376F15E" w14:textId="77777777" w:rsidR="00F273E7" w:rsidRPr="006663D5" w:rsidRDefault="000E4DCD" w:rsidP="00F273E7">
            <w:pPr>
              <w:pStyle w:val="ARtabletext"/>
            </w:pPr>
            <w:r w:rsidRPr="000A30CD">
              <w:rPr>
                <w:rFonts w:eastAsia="Times New Roman"/>
                <w:color w:val="000000"/>
                <w:sz w:val="16"/>
                <w:szCs w:val="16"/>
              </w:rPr>
              <w:t>Eastern Health</w:t>
            </w:r>
          </w:p>
        </w:tc>
        <w:tc>
          <w:tcPr>
            <w:tcW w:w="0" w:type="pct"/>
            <w:noWrap/>
          </w:tcPr>
          <w:p w14:paraId="2516652A" w14:textId="77777777" w:rsidR="00F273E7" w:rsidRPr="006663D5" w:rsidRDefault="00F273E7" w:rsidP="00F273E7">
            <w:pPr>
              <w:pStyle w:val="ARtabletext"/>
            </w:pPr>
            <w:r w:rsidRPr="000A30CD">
              <w:rPr>
                <w:rFonts w:eastAsia="Times New Roman"/>
                <w:color w:val="000000"/>
                <w:sz w:val="16"/>
                <w:szCs w:val="16"/>
              </w:rPr>
              <w:t>Education</w:t>
            </w:r>
            <w:r w:rsidR="000E4DCD">
              <w:rPr>
                <w:rFonts w:eastAsia="Times New Roman"/>
                <w:color w:val="000000"/>
                <w:sz w:val="16"/>
                <w:szCs w:val="16"/>
              </w:rPr>
              <w:t>:</w:t>
            </w:r>
            <w:r w:rsidRPr="000A30CD">
              <w:rPr>
                <w:rFonts w:eastAsia="Times New Roman"/>
                <w:color w:val="000000"/>
                <w:sz w:val="16"/>
                <w:szCs w:val="16"/>
              </w:rPr>
              <w:t xml:space="preserve"> family and community ice training</w:t>
            </w:r>
          </w:p>
        </w:tc>
        <w:tc>
          <w:tcPr>
            <w:tcW w:w="0" w:type="pct"/>
            <w:noWrap/>
          </w:tcPr>
          <w:p w14:paraId="6733B0B5" w14:textId="77777777" w:rsidR="00F273E7" w:rsidRPr="006663D5" w:rsidRDefault="00F273E7" w:rsidP="00F273E7">
            <w:pPr>
              <w:pStyle w:val="ARtabletextright"/>
            </w:pPr>
            <w:r w:rsidRPr="000A30CD">
              <w:rPr>
                <w:rFonts w:eastAsia="Times New Roman"/>
                <w:color w:val="000000"/>
                <w:sz w:val="16"/>
                <w:szCs w:val="16"/>
              </w:rPr>
              <w:t>1,354,223.00</w:t>
            </w:r>
          </w:p>
        </w:tc>
        <w:tc>
          <w:tcPr>
            <w:tcW w:w="0" w:type="pct"/>
            <w:noWrap/>
          </w:tcPr>
          <w:p w14:paraId="450EEF4A" w14:textId="77777777" w:rsidR="00F273E7" w:rsidRPr="006663D5" w:rsidRDefault="00F273E7" w:rsidP="00F273E7">
            <w:pPr>
              <w:pStyle w:val="ARtabletextright"/>
            </w:pPr>
            <w:r w:rsidRPr="000A30CD">
              <w:rPr>
                <w:rFonts w:eastAsia="Times New Roman"/>
                <w:color w:val="000000"/>
                <w:sz w:val="16"/>
                <w:szCs w:val="16"/>
              </w:rPr>
              <w:t>368,058.00</w:t>
            </w:r>
          </w:p>
        </w:tc>
        <w:tc>
          <w:tcPr>
            <w:tcW w:w="0" w:type="pct"/>
            <w:noWrap/>
          </w:tcPr>
          <w:p w14:paraId="68FEB40F" w14:textId="77777777" w:rsidR="00F273E7" w:rsidRPr="006663D5" w:rsidRDefault="00F273E7" w:rsidP="00F273E7">
            <w:pPr>
              <w:pStyle w:val="ARtabletextright"/>
            </w:pPr>
            <w:r w:rsidRPr="000A30CD">
              <w:rPr>
                <w:rFonts w:eastAsia="Times New Roman"/>
                <w:color w:val="000000"/>
                <w:sz w:val="16"/>
                <w:szCs w:val="16"/>
              </w:rPr>
              <w:t>18,160.00</w:t>
            </w:r>
          </w:p>
        </w:tc>
      </w:tr>
      <w:tr w:rsidR="00F273E7" w:rsidRPr="006663D5" w14:paraId="00822F66" w14:textId="77777777" w:rsidTr="00F94CEE">
        <w:trPr>
          <w:trHeight w:val="300"/>
        </w:trPr>
        <w:tc>
          <w:tcPr>
            <w:tcW w:w="0" w:type="pct"/>
            <w:noWrap/>
          </w:tcPr>
          <w:p w14:paraId="78E65AFA" w14:textId="77777777" w:rsidR="00F273E7" w:rsidRPr="006663D5" w:rsidRDefault="00F273E7" w:rsidP="00F273E7">
            <w:pPr>
              <w:pStyle w:val="ARtabletext"/>
            </w:pPr>
            <w:r w:rsidRPr="00EA6B63">
              <w:rPr>
                <w:rFonts w:eastAsia="Times New Roman"/>
                <w:color w:val="000000"/>
                <w:sz w:val="16"/>
                <w:szCs w:val="16"/>
              </w:rPr>
              <w:t xml:space="preserve">Policy/program </w:t>
            </w:r>
            <w:r w:rsidRPr="00EA6B63">
              <w:rPr>
                <w:rFonts w:eastAsia="Times New Roman"/>
                <w:color w:val="000000"/>
                <w:sz w:val="16"/>
                <w:szCs w:val="16"/>
              </w:rPr>
              <w:br/>
              <w:t>advice and delivery</w:t>
            </w:r>
          </w:p>
        </w:tc>
        <w:tc>
          <w:tcPr>
            <w:tcW w:w="0" w:type="pct"/>
            <w:noWrap/>
          </w:tcPr>
          <w:p w14:paraId="383D1BD6" w14:textId="77777777" w:rsidR="00F273E7" w:rsidRPr="006663D5" w:rsidRDefault="000E4DCD" w:rsidP="00F273E7">
            <w:pPr>
              <w:pStyle w:val="ARtabletext"/>
            </w:pPr>
            <w:r w:rsidRPr="000A30CD">
              <w:rPr>
                <w:rFonts w:eastAsia="Times New Roman"/>
                <w:color w:val="000000"/>
                <w:sz w:val="16"/>
                <w:szCs w:val="16"/>
              </w:rPr>
              <w:t>Third Horizon Consulting Pty Ltd</w:t>
            </w:r>
          </w:p>
        </w:tc>
        <w:tc>
          <w:tcPr>
            <w:tcW w:w="0" w:type="pct"/>
            <w:noWrap/>
          </w:tcPr>
          <w:p w14:paraId="1B61B3B1" w14:textId="77777777" w:rsidR="00F273E7" w:rsidRPr="006663D5" w:rsidRDefault="001967BB" w:rsidP="00F273E7">
            <w:pPr>
              <w:pStyle w:val="ARtabletext"/>
            </w:pPr>
            <w:r>
              <w:rPr>
                <w:rFonts w:eastAsia="Times New Roman"/>
                <w:color w:val="000000"/>
                <w:sz w:val="16"/>
                <w:szCs w:val="16"/>
              </w:rPr>
              <w:t>S</w:t>
            </w:r>
            <w:r w:rsidR="000E4DCD" w:rsidRPr="000A30CD">
              <w:rPr>
                <w:rFonts w:eastAsia="Times New Roman"/>
                <w:color w:val="000000"/>
                <w:sz w:val="16"/>
                <w:szCs w:val="16"/>
              </w:rPr>
              <w:t>trategic alliance professional services</w:t>
            </w:r>
            <w:r>
              <w:rPr>
                <w:rFonts w:eastAsia="Times New Roman"/>
                <w:color w:val="000000"/>
                <w:sz w:val="16"/>
                <w:szCs w:val="16"/>
              </w:rPr>
              <w:t>: o</w:t>
            </w:r>
            <w:r w:rsidR="00F273E7" w:rsidRPr="000A30CD">
              <w:rPr>
                <w:rFonts w:eastAsia="Times New Roman"/>
                <w:color w:val="000000"/>
                <w:sz w:val="16"/>
                <w:szCs w:val="16"/>
              </w:rPr>
              <w:t>rganisational Improvement</w:t>
            </w:r>
          </w:p>
        </w:tc>
        <w:tc>
          <w:tcPr>
            <w:tcW w:w="0" w:type="pct"/>
            <w:noWrap/>
          </w:tcPr>
          <w:p w14:paraId="0E3743B4" w14:textId="77777777" w:rsidR="00F273E7" w:rsidRPr="006663D5" w:rsidRDefault="00F273E7" w:rsidP="00F273E7">
            <w:pPr>
              <w:pStyle w:val="ARtabletextright"/>
            </w:pPr>
            <w:r w:rsidRPr="000A30CD">
              <w:rPr>
                <w:rFonts w:eastAsia="Times New Roman"/>
                <w:color w:val="000000"/>
                <w:sz w:val="16"/>
                <w:szCs w:val="16"/>
              </w:rPr>
              <w:t>9,090,909.00</w:t>
            </w:r>
          </w:p>
        </w:tc>
        <w:tc>
          <w:tcPr>
            <w:tcW w:w="0" w:type="pct"/>
            <w:noWrap/>
          </w:tcPr>
          <w:p w14:paraId="792CFEEB" w14:textId="77777777" w:rsidR="00F273E7" w:rsidRPr="006663D5" w:rsidRDefault="00F273E7" w:rsidP="00F273E7">
            <w:pPr>
              <w:pStyle w:val="ARtabletextright"/>
            </w:pPr>
            <w:r w:rsidRPr="000A30CD">
              <w:rPr>
                <w:rFonts w:eastAsia="Times New Roman"/>
                <w:color w:val="000000"/>
                <w:sz w:val="16"/>
                <w:szCs w:val="16"/>
              </w:rPr>
              <w:t>3,143,621.00</w:t>
            </w:r>
          </w:p>
        </w:tc>
        <w:tc>
          <w:tcPr>
            <w:tcW w:w="0" w:type="pct"/>
            <w:noWrap/>
          </w:tcPr>
          <w:p w14:paraId="4E3C75DB" w14:textId="77777777" w:rsidR="00F273E7" w:rsidRPr="006663D5" w:rsidRDefault="00F273E7" w:rsidP="00F273E7">
            <w:pPr>
              <w:pStyle w:val="ARtabletextright"/>
            </w:pPr>
            <w:r w:rsidRPr="000A30CD">
              <w:rPr>
                <w:rFonts w:eastAsia="Times New Roman"/>
                <w:color w:val="000000"/>
                <w:sz w:val="16"/>
                <w:szCs w:val="16"/>
              </w:rPr>
              <w:t>5,947,288.00</w:t>
            </w:r>
          </w:p>
        </w:tc>
      </w:tr>
      <w:tr w:rsidR="00F273E7" w:rsidRPr="006663D5" w14:paraId="729F12AC" w14:textId="77777777" w:rsidTr="00F94CEE">
        <w:trPr>
          <w:trHeight w:val="300"/>
        </w:trPr>
        <w:tc>
          <w:tcPr>
            <w:tcW w:w="0" w:type="pct"/>
            <w:noWrap/>
          </w:tcPr>
          <w:p w14:paraId="1D61118E" w14:textId="77777777" w:rsidR="00F273E7" w:rsidRPr="006663D5" w:rsidRDefault="00F273E7" w:rsidP="00F273E7">
            <w:pPr>
              <w:pStyle w:val="ARtabletext"/>
            </w:pPr>
            <w:r w:rsidRPr="00EA6B63">
              <w:rPr>
                <w:rFonts w:eastAsia="Times New Roman"/>
                <w:color w:val="000000"/>
                <w:sz w:val="16"/>
                <w:szCs w:val="16"/>
              </w:rPr>
              <w:t xml:space="preserve">Policy/program </w:t>
            </w:r>
            <w:r w:rsidRPr="00EA6B63">
              <w:rPr>
                <w:rFonts w:eastAsia="Times New Roman"/>
                <w:color w:val="000000"/>
                <w:sz w:val="16"/>
                <w:szCs w:val="16"/>
              </w:rPr>
              <w:br/>
              <w:t>advice and delivery</w:t>
            </w:r>
          </w:p>
        </w:tc>
        <w:tc>
          <w:tcPr>
            <w:tcW w:w="0" w:type="pct"/>
            <w:noWrap/>
          </w:tcPr>
          <w:p w14:paraId="2FEB4297" w14:textId="77777777" w:rsidR="00F273E7" w:rsidRPr="006663D5" w:rsidRDefault="000E4DCD" w:rsidP="00F273E7">
            <w:pPr>
              <w:pStyle w:val="ARtabletext"/>
            </w:pPr>
            <w:r w:rsidRPr="000A30CD">
              <w:rPr>
                <w:rFonts w:eastAsia="Times New Roman"/>
                <w:color w:val="000000"/>
                <w:sz w:val="16"/>
                <w:szCs w:val="16"/>
              </w:rPr>
              <w:t>Nous Group Pty Ltd</w:t>
            </w:r>
          </w:p>
        </w:tc>
        <w:tc>
          <w:tcPr>
            <w:tcW w:w="0" w:type="pct"/>
            <w:noWrap/>
          </w:tcPr>
          <w:p w14:paraId="6F665D34" w14:textId="77777777" w:rsidR="00F273E7" w:rsidRPr="006663D5" w:rsidRDefault="001967BB" w:rsidP="00F273E7">
            <w:pPr>
              <w:pStyle w:val="ARtabletext"/>
            </w:pPr>
            <w:r>
              <w:rPr>
                <w:rFonts w:eastAsia="Times New Roman"/>
                <w:color w:val="000000"/>
                <w:sz w:val="16"/>
                <w:szCs w:val="16"/>
              </w:rPr>
              <w:t>S</w:t>
            </w:r>
            <w:r w:rsidR="000E4DCD" w:rsidRPr="000A30CD">
              <w:rPr>
                <w:rFonts w:eastAsia="Times New Roman"/>
                <w:color w:val="000000"/>
                <w:sz w:val="16"/>
                <w:szCs w:val="16"/>
              </w:rPr>
              <w:t>trategic alliance professional services</w:t>
            </w:r>
            <w:r>
              <w:rPr>
                <w:rFonts w:eastAsia="Times New Roman"/>
                <w:color w:val="000000"/>
                <w:sz w:val="16"/>
                <w:szCs w:val="16"/>
              </w:rPr>
              <w:t>: community services</w:t>
            </w:r>
          </w:p>
        </w:tc>
        <w:tc>
          <w:tcPr>
            <w:tcW w:w="0" w:type="pct"/>
            <w:noWrap/>
          </w:tcPr>
          <w:p w14:paraId="45127AE1" w14:textId="77777777" w:rsidR="00F273E7" w:rsidRPr="006663D5" w:rsidRDefault="00F273E7" w:rsidP="00F273E7">
            <w:pPr>
              <w:pStyle w:val="ARtabletextright"/>
            </w:pPr>
            <w:r w:rsidRPr="000A30CD">
              <w:rPr>
                <w:rFonts w:eastAsia="Times New Roman"/>
                <w:color w:val="000000"/>
                <w:sz w:val="16"/>
                <w:szCs w:val="16"/>
              </w:rPr>
              <w:t>2,727,273.00</w:t>
            </w:r>
          </w:p>
        </w:tc>
        <w:tc>
          <w:tcPr>
            <w:tcW w:w="0" w:type="pct"/>
            <w:noWrap/>
          </w:tcPr>
          <w:p w14:paraId="7100EA05" w14:textId="77777777" w:rsidR="00F273E7" w:rsidRPr="006663D5" w:rsidRDefault="00F273E7" w:rsidP="00F273E7">
            <w:pPr>
              <w:pStyle w:val="ARtabletextright"/>
            </w:pPr>
            <w:r w:rsidRPr="000A30CD">
              <w:rPr>
                <w:rFonts w:eastAsia="Times New Roman"/>
                <w:color w:val="000000"/>
                <w:sz w:val="16"/>
                <w:szCs w:val="16"/>
              </w:rPr>
              <w:t>947,848.00</w:t>
            </w:r>
          </w:p>
        </w:tc>
        <w:tc>
          <w:tcPr>
            <w:tcW w:w="0" w:type="pct"/>
            <w:noWrap/>
          </w:tcPr>
          <w:p w14:paraId="4B1EAB51" w14:textId="77777777" w:rsidR="00F273E7" w:rsidRPr="006663D5" w:rsidRDefault="00F273E7" w:rsidP="00F273E7">
            <w:pPr>
              <w:pStyle w:val="ARtabletextright"/>
            </w:pPr>
            <w:r w:rsidRPr="000A30CD">
              <w:rPr>
                <w:rFonts w:eastAsia="Times New Roman"/>
                <w:color w:val="000000"/>
                <w:sz w:val="16"/>
                <w:szCs w:val="16"/>
              </w:rPr>
              <w:t>1,779,424.00</w:t>
            </w:r>
          </w:p>
        </w:tc>
      </w:tr>
      <w:tr w:rsidR="00F273E7" w:rsidRPr="006663D5" w14:paraId="69AC8AA3" w14:textId="77777777" w:rsidTr="00F94CEE">
        <w:trPr>
          <w:trHeight w:val="300"/>
        </w:trPr>
        <w:tc>
          <w:tcPr>
            <w:tcW w:w="0" w:type="pct"/>
            <w:noWrap/>
          </w:tcPr>
          <w:p w14:paraId="5B9C3EED" w14:textId="77777777" w:rsidR="00F273E7" w:rsidRPr="006663D5" w:rsidRDefault="00F273E7" w:rsidP="00F273E7">
            <w:pPr>
              <w:pStyle w:val="ARtabletext"/>
            </w:pPr>
            <w:r w:rsidRPr="00EA6B63">
              <w:rPr>
                <w:rFonts w:eastAsia="Times New Roman"/>
                <w:color w:val="000000"/>
                <w:sz w:val="16"/>
                <w:szCs w:val="16"/>
              </w:rPr>
              <w:t xml:space="preserve">Policy/program </w:t>
            </w:r>
            <w:r w:rsidRPr="00EA6B63">
              <w:rPr>
                <w:rFonts w:eastAsia="Times New Roman"/>
                <w:color w:val="000000"/>
                <w:sz w:val="16"/>
                <w:szCs w:val="16"/>
              </w:rPr>
              <w:br/>
              <w:t>advice and delivery</w:t>
            </w:r>
          </w:p>
        </w:tc>
        <w:tc>
          <w:tcPr>
            <w:tcW w:w="0" w:type="pct"/>
            <w:noWrap/>
          </w:tcPr>
          <w:p w14:paraId="1427006A" w14:textId="77777777" w:rsidR="00F273E7" w:rsidRPr="006663D5" w:rsidRDefault="000E4DCD" w:rsidP="00F273E7">
            <w:pPr>
              <w:pStyle w:val="ARtabletext"/>
            </w:pPr>
            <w:r w:rsidRPr="000A30CD">
              <w:rPr>
                <w:rFonts w:eastAsia="Times New Roman"/>
                <w:color w:val="000000"/>
                <w:sz w:val="16"/>
                <w:szCs w:val="16"/>
              </w:rPr>
              <w:t>Nous Group Pty Ltd</w:t>
            </w:r>
          </w:p>
        </w:tc>
        <w:tc>
          <w:tcPr>
            <w:tcW w:w="0" w:type="pct"/>
            <w:noWrap/>
          </w:tcPr>
          <w:p w14:paraId="37478EB7" w14:textId="77777777" w:rsidR="00F273E7" w:rsidRPr="006663D5" w:rsidRDefault="00F273E7" w:rsidP="000E4DCD">
            <w:pPr>
              <w:pStyle w:val="ARtabletext"/>
            </w:pPr>
            <w:r w:rsidRPr="000A30CD">
              <w:rPr>
                <w:rFonts w:eastAsia="Times New Roman"/>
                <w:color w:val="000000"/>
                <w:sz w:val="16"/>
                <w:szCs w:val="16"/>
              </w:rPr>
              <w:t xml:space="preserve">Marketing and </w:t>
            </w:r>
            <w:r w:rsidR="000E4DCD">
              <w:rPr>
                <w:rFonts w:eastAsia="Times New Roman"/>
                <w:color w:val="000000"/>
                <w:sz w:val="16"/>
                <w:szCs w:val="16"/>
              </w:rPr>
              <w:t>c</w:t>
            </w:r>
            <w:r w:rsidRPr="000A30CD">
              <w:rPr>
                <w:rFonts w:eastAsia="Times New Roman"/>
                <w:color w:val="000000"/>
                <w:sz w:val="16"/>
                <w:szCs w:val="16"/>
              </w:rPr>
              <w:t>ommunications</w:t>
            </w:r>
            <w:r w:rsidR="000E4DCD">
              <w:rPr>
                <w:rFonts w:eastAsia="Times New Roman"/>
                <w:color w:val="000000"/>
                <w:sz w:val="16"/>
                <w:szCs w:val="16"/>
              </w:rPr>
              <w:t>:</w:t>
            </w:r>
            <w:r w:rsidRPr="000A30CD">
              <w:rPr>
                <w:rFonts w:eastAsia="Times New Roman"/>
                <w:color w:val="000000"/>
                <w:sz w:val="16"/>
                <w:szCs w:val="16"/>
              </w:rPr>
              <w:t xml:space="preserve"> children and families reform </w:t>
            </w:r>
          </w:p>
        </w:tc>
        <w:tc>
          <w:tcPr>
            <w:tcW w:w="0" w:type="pct"/>
            <w:noWrap/>
          </w:tcPr>
          <w:p w14:paraId="4F3AE2C3" w14:textId="77777777" w:rsidR="00F273E7" w:rsidRPr="006663D5" w:rsidRDefault="00F273E7" w:rsidP="00F273E7">
            <w:pPr>
              <w:pStyle w:val="ARtabletextright"/>
            </w:pPr>
            <w:r w:rsidRPr="000A30CD">
              <w:rPr>
                <w:rFonts w:eastAsia="Times New Roman"/>
                <w:color w:val="000000"/>
                <w:sz w:val="16"/>
                <w:szCs w:val="16"/>
              </w:rPr>
              <w:t>90,909.00</w:t>
            </w:r>
          </w:p>
        </w:tc>
        <w:tc>
          <w:tcPr>
            <w:tcW w:w="0" w:type="pct"/>
            <w:noWrap/>
          </w:tcPr>
          <w:p w14:paraId="211A3C57" w14:textId="77777777" w:rsidR="00F273E7" w:rsidRPr="006663D5" w:rsidRDefault="00F273E7" w:rsidP="00F273E7">
            <w:pPr>
              <w:pStyle w:val="ARtabletextright"/>
            </w:pPr>
            <w:r w:rsidRPr="000A30CD">
              <w:rPr>
                <w:rFonts w:eastAsia="Times New Roman"/>
                <w:color w:val="000000"/>
                <w:sz w:val="16"/>
                <w:szCs w:val="16"/>
              </w:rPr>
              <w:t>14,114.00</w:t>
            </w:r>
          </w:p>
        </w:tc>
        <w:tc>
          <w:tcPr>
            <w:tcW w:w="0" w:type="pct"/>
            <w:noWrap/>
          </w:tcPr>
          <w:p w14:paraId="0689A5DC"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54D964FF" w14:textId="77777777" w:rsidTr="00F94CEE">
        <w:trPr>
          <w:trHeight w:val="300"/>
        </w:trPr>
        <w:tc>
          <w:tcPr>
            <w:tcW w:w="0" w:type="pct"/>
            <w:noWrap/>
          </w:tcPr>
          <w:p w14:paraId="1B4F8561" w14:textId="77777777" w:rsidR="00F273E7" w:rsidRPr="006663D5" w:rsidRDefault="00F273E7" w:rsidP="00F273E7">
            <w:pPr>
              <w:pStyle w:val="ARtabletext"/>
            </w:pPr>
            <w:r w:rsidRPr="00EA6B63">
              <w:rPr>
                <w:rFonts w:eastAsia="Times New Roman"/>
                <w:color w:val="000000"/>
                <w:sz w:val="16"/>
                <w:szCs w:val="16"/>
              </w:rPr>
              <w:t xml:space="preserve">Policy/program </w:t>
            </w:r>
            <w:r w:rsidRPr="00EA6B63">
              <w:rPr>
                <w:rFonts w:eastAsia="Times New Roman"/>
                <w:color w:val="000000"/>
                <w:sz w:val="16"/>
                <w:szCs w:val="16"/>
              </w:rPr>
              <w:br/>
              <w:t>advice and delivery</w:t>
            </w:r>
          </w:p>
        </w:tc>
        <w:tc>
          <w:tcPr>
            <w:tcW w:w="0" w:type="pct"/>
            <w:noWrap/>
          </w:tcPr>
          <w:p w14:paraId="54BC9EDF" w14:textId="77777777" w:rsidR="00F273E7" w:rsidRPr="006663D5" w:rsidRDefault="000E4DCD" w:rsidP="00F273E7">
            <w:pPr>
              <w:pStyle w:val="ARtabletext"/>
            </w:pPr>
            <w:r w:rsidRPr="000A30CD">
              <w:rPr>
                <w:rFonts w:eastAsia="Times New Roman"/>
                <w:color w:val="000000"/>
                <w:sz w:val="16"/>
                <w:szCs w:val="16"/>
              </w:rPr>
              <w:t>Ernst &amp; Young</w:t>
            </w:r>
          </w:p>
        </w:tc>
        <w:tc>
          <w:tcPr>
            <w:tcW w:w="0" w:type="pct"/>
            <w:noWrap/>
          </w:tcPr>
          <w:p w14:paraId="6327B989" w14:textId="77777777" w:rsidR="00F273E7" w:rsidRPr="006663D5" w:rsidRDefault="001967BB" w:rsidP="00F273E7">
            <w:pPr>
              <w:pStyle w:val="ARtabletext"/>
            </w:pPr>
            <w:r>
              <w:rPr>
                <w:rFonts w:eastAsia="Times New Roman"/>
                <w:color w:val="000000"/>
                <w:sz w:val="16"/>
                <w:szCs w:val="16"/>
              </w:rPr>
              <w:t>S</w:t>
            </w:r>
            <w:r w:rsidR="000E4DCD" w:rsidRPr="000A30CD">
              <w:rPr>
                <w:rFonts w:eastAsia="Times New Roman"/>
                <w:color w:val="000000"/>
                <w:sz w:val="16"/>
                <w:szCs w:val="16"/>
              </w:rPr>
              <w:t>trategic alliance professional service</w:t>
            </w:r>
            <w:r>
              <w:rPr>
                <w:rFonts w:eastAsia="Times New Roman"/>
                <w:color w:val="000000"/>
                <w:sz w:val="16"/>
                <w:szCs w:val="16"/>
              </w:rPr>
              <w:t>s: community services</w:t>
            </w:r>
          </w:p>
        </w:tc>
        <w:tc>
          <w:tcPr>
            <w:tcW w:w="0" w:type="pct"/>
            <w:noWrap/>
          </w:tcPr>
          <w:p w14:paraId="0605A586" w14:textId="77777777" w:rsidR="00F273E7" w:rsidRPr="006663D5" w:rsidRDefault="00F273E7" w:rsidP="00F273E7">
            <w:pPr>
              <w:pStyle w:val="ARtabletextright"/>
            </w:pPr>
            <w:r w:rsidRPr="000A30CD">
              <w:rPr>
                <w:rFonts w:eastAsia="Times New Roman"/>
                <w:color w:val="000000"/>
                <w:sz w:val="16"/>
                <w:szCs w:val="16"/>
              </w:rPr>
              <w:t>8,181,818.00</w:t>
            </w:r>
          </w:p>
        </w:tc>
        <w:tc>
          <w:tcPr>
            <w:tcW w:w="0" w:type="pct"/>
            <w:noWrap/>
          </w:tcPr>
          <w:p w14:paraId="21ABB69C" w14:textId="77777777" w:rsidR="00F273E7" w:rsidRPr="006663D5" w:rsidRDefault="00F273E7" w:rsidP="00F273E7">
            <w:pPr>
              <w:pStyle w:val="ARtabletextright"/>
            </w:pPr>
            <w:r w:rsidRPr="000A30CD">
              <w:rPr>
                <w:rFonts w:eastAsia="Times New Roman"/>
                <w:color w:val="000000"/>
                <w:sz w:val="16"/>
                <w:szCs w:val="16"/>
              </w:rPr>
              <w:t>2,183,666.00</w:t>
            </w:r>
          </w:p>
        </w:tc>
        <w:tc>
          <w:tcPr>
            <w:tcW w:w="0" w:type="pct"/>
            <w:noWrap/>
          </w:tcPr>
          <w:p w14:paraId="53894999" w14:textId="77777777" w:rsidR="00F273E7" w:rsidRPr="006663D5" w:rsidRDefault="00F273E7" w:rsidP="00F273E7">
            <w:pPr>
              <w:pStyle w:val="ARtabletextright"/>
            </w:pPr>
            <w:r w:rsidRPr="000A30CD">
              <w:rPr>
                <w:rFonts w:eastAsia="Times New Roman"/>
                <w:color w:val="000000"/>
                <w:sz w:val="16"/>
                <w:szCs w:val="16"/>
              </w:rPr>
              <w:t>5,998,152.00</w:t>
            </w:r>
          </w:p>
        </w:tc>
      </w:tr>
      <w:tr w:rsidR="00F273E7" w:rsidRPr="006663D5" w14:paraId="0C6E550C" w14:textId="77777777" w:rsidTr="00F94CEE">
        <w:trPr>
          <w:trHeight w:val="300"/>
        </w:trPr>
        <w:tc>
          <w:tcPr>
            <w:tcW w:w="0" w:type="pct"/>
            <w:noWrap/>
          </w:tcPr>
          <w:p w14:paraId="3304727D" w14:textId="77777777" w:rsidR="00F273E7" w:rsidRPr="006663D5" w:rsidRDefault="00F273E7" w:rsidP="00F273E7">
            <w:pPr>
              <w:pStyle w:val="ARtabletext"/>
            </w:pPr>
            <w:r w:rsidRPr="00EA6B63">
              <w:rPr>
                <w:rFonts w:eastAsia="Times New Roman"/>
                <w:color w:val="000000"/>
                <w:sz w:val="16"/>
                <w:szCs w:val="16"/>
              </w:rPr>
              <w:t xml:space="preserve">Policy/program </w:t>
            </w:r>
            <w:r w:rsidRPr="00EA6B63">
              <w:rPr>
                <w:rFonts w:eastAsia="Times New Roman"/>
                <w:color w:val="000000"/>
                <w:sz w:val="16"/>
                <w:szCs w:val="16"/>
              </w:rPr>
              <w:br/>
              <w:t>advice and delivery</w:t>
            </w:r>
          </w:p>
        </w:tc>
        <w:tc>
          <w:tcPr>
            <w:tcW w:w="0" w:type="pct"/>
            <w:noWrap/>
          </w:tcPr>
          <w:p w14:paraId="4CA8F5CF" w14:textId="77777777" w:rsidR="00F273E7" w:rsidRPr="006663D5" w:rsidRDefault="000E4DCD" w:rsidP="00F273E7">
            <w:pPr>
              <w:pStyle w:val="ARtabletext"/>
            </w:pPr>
            <w:r w:rsidRPr="000A30CD">
              <w:rPr>
                <w:rFonts w:eastAsia="Times New Roman"/>
                <w:color w:val="000000"/>
                <w:sz w:val="16"/>
                <w:szCs w:val="16"/>
              </w:rPr>
              <w:t>Ernst &amp; Young</w:t>
            </w:r>
          </w:p>
        </w:tc>
        <w:tc>
          <w:tcPr>
            <w:tcW w:w="0" w:type="pct"/>
            <w:noWrap/>
          </w:tcPr>
          <w:p w14:paraId="08EADC38" w14:textId="77777777" w:rsidR="00F273E7" w:rsidRPr="006663D5" w:rsidRDefault="00F273E7" w:rsidP="00F273E7">
            <w:pPr>
              <w:pStyle w:val="ARtabletext"/>
            </w:pPr>
            <w:r w:rsidRPr="000A30CD">
              <w:rPr>
                <w:rFonts w:eastAsia="Times New Roman"/>
                <w:color w:val="000000"/>
                <w:sz w:val="16"/>
                <w:szCs w:val="16"/>
              </w:rPr>
              <w:t xml:space="preserve">Advice: </w:t>
            </w:r>
            <w:r w:rsidR="000E4DCD" w:rsidRPr="000A30CD">
              <w:rPr>
                <w:rFonts w:eastAsia="Times New Roman"/>
                <w:color w:val="000000"/>
                <w:sz w:val="16"/>
                <w:szCs w:val="16"/>
              </w:rPr>
              <w:t>development of specialist disability accommodation (</w:t>
            </w:r>
            <w:r w:rsidR="006C17CB">
              <w:rPr>
                <w:rFonts w:eastAsia="Times New Roman"/>
                <w:color w:val="000000"/>
                <w:sz w:val="16"/>
                <w:szCs w:val="16"/>
              </w:rPr>
              <w:t>SDA</w:t>
            </w:r>
            <w:r w:rsidR="000E4DCD" w:rsidRPr="000A30CD">
              <w:rPr>
                <w:rFonts w:eastAsia="Times New Roman"/>
                <w:color w:val="000000"/>
                <w:sz w:val="16"/>
                <w:szCs w:val="16"/>
              </w:rPr>
              <w:t>) plan</w:t>
            </w:r>
          </w:p>
        </w:tc>
        <w:tc>
          <w:tcPr>
            <w:tcW w:w="0" w:type="pct"/>
            <w:noWrap/>
          </w:tcPr>
          <w:p w14:paraId="350F17E7" w14:textId="77777777" w:rsidR="00F273E7" w:rsidRPr="006663D5" w:rsidRDefault="00F273E7" w:rsidP="00F273E7">
            <w:pPr>
              <w:pStyle w:val="ARtabletextright"/>
            </w:pPr>
            <w:r w:rsidRPr="000A30CD">
              <w:rPr>
                <w:rFonts w:eastAsia="Times New Roman"/>
                <w:color w:val="000000"/>
                <w:sz w:val="16"/>
                <w:szCs w:val="16"/>
              </w:rPr>
              <w:t>117,714.00</w:t>
            </w:r>
          </w:p>
        </w:tc>
        <w:tc>
          <w:tcPr>
            <w:tcW w:w="0" w:type="pct"/>
            <w:noWrap/>
          </w:tcPr>
          <w:p w14:paraId="1F14BE4E" w14:textId="77777777" w:rsidR="00F273E7" w:rsidRPr="006663D5" w:rsidRDefault="00F273E7" w:rsidP="00F273E7">
            <w:pPr>
              <w:pStyle w:val="ARtabletextright"/>
            </w:pPr>
            <w:r w:rsidRPr="000A30CD">
              <w:rPr>
                <w:rFonts w:eastAsia="Times New Roman"/>
                <w:color w:val="000000"/>
                <w:sz w:val="16"/>
                <w:szCs w:val="16"/>
              </w:rPr>
              <w:t>128,411.00</w:t>
            </w:r>
          </w:p>
        </w:tc>
        <w:tc>
          <w:tcPr>
            <w:tcW w:w="0" w:type="pct"/>
            <w:noWrap/>
          </w:tcPr>
          <w:p w14:paraId="79D57173"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5A21EE39" w14:textId="77777777" w:rsidTr="00F94CEE">
        <w:trPr>
          <w:trHeight w:val="300"/>
        </w:trPr>
        <w:tc>
          <w:tcPr>
            <w:tcW w:w="0" w:type="pct"/>
            <w:noWrap/>
          </w:tcPr>
          <w:p w14:paraId="7FC16208" w14:textId="77777777" w:rsidR="00F273E7" w:rsidRPr="006663D5" w:rsidRDefault="00F273E7" w:rsidP="00F273E7">
            <w:pPr>
              <w:pStyle w:val="ARtabletext"/>
            </w:pPr>
            <w:r w:rsidRPr="00EA6B63">
              <w:rPr>
                <w:rFonts w:eastAsia="Times New Roman"/>
                <w:color w:val="000000"/>
                <w:sz w:val="16"/>
                <w:szCs w:val="16"/>
              </w:rPr>
              <w:t xml:space="preserve">Policy/program </w:t>
            </w:r>
            <w:r w:rsidRPr="00EA6B63">
              <w:rPr>
                <w:rFonts w:eastAsia="Times New Roman"/>
                <w:color w:val="000000"/>
                <w:sz w:val="16"/>
                <w:szCs w:val="16"/>
              </w:rPr>
              <w:br/>
              <w:t>advice and delivery</w:t>
            </w:r>
          </w:p>
        </w:tc>
        <w:tc>
          <w:tcPr>
            <w:tcW w:w="0" w:type="pct"/>
            <w:noWrap/>
          </w:tcPr>
          <w:p w14:paraId="38DAC158" w14:textId="77777777" w:rsidR="00F273E7" w:rsidRPr="006663D5" w:rsidRDefault="00F273E7" w:rsidP="00F273E7">
            <w:pPr>
              <w:pStyle w:val="ARtabletext"/>
            </w:pPr>
            <w:r w:rsidRPr="000A30CD">
              <w:rPr>
                <w:rFonts w:eastAsia="Times New Roman"/>
                <w:color w:val="000000"/>
                <w:sz w:val="16"/>
                <w:szCs w:val="16"/>
              </w:rPr>
              <w:t>KPMG</w:t>
            </w:r>
          </w:p>
        </w:tc>
        <w:tc>
          <w:tcPr>
            <w:tcW w:w="0" w:type="pct"/>
            <w:noWrap/>
          </w:tcPr>
          <w:p w14:paraId="3B38314C" w14:textId="77777777" w:rsidR="00F273E7" w:rsidRPr="006663D5" w:rsidRDefault="001967BB" w:rsidP="00F273E7">
            <w:pPr>
              <w:pStyle w:val="ARtabletext"/>
            </w:pPr>
            <w:r>
              <w:rPr>
                <w:rFonts w:eastAsia="Times New Roman"/>
                <w:color w:val="000000"/>
                <w:sz w:val="16"/>
                <w:szCs w:val="16"/>
              </w:rPr>
              <w:t>S</w:t>
            </w:r>
            <w:r w:rsidR="000E4DCD" w:rsidRPr="000A30CD">
              <w:rPr>
                <w:rFonts w:eastAsia="Times New Roman"/>
                <w:color w:val="000000"/>
                <w:sz w:val="16"/>
                <w:szCs w:val="16"/>
              </w:rPr>
              <w:t>trategic alliance professional services</w:t>
            </w:r>
            <w:r>
              <w:rPr>
                <w:rFonts w:eastAsia="Times New Roman"/>
                <w:color w:val="000000"/>
                <w:sz w:val="16"/>
                <w:szCs w:val="16"/>
              </w:rPr>
              <w:t>: health</w:t>
            </w:r>
          </w:p>
        </w:tc>
        <w:tc>
          <w:tcPr>
            <w:tcW w:w="0" w:type="pct"/>
            <w:noWrap/>
          </w:tcPr>
          <w:p w14:paraId="75C812C3" w14:textId="77777777" w:rsidR="00F273E7" w:rsidRPr="006663D5" w:rsidRDefault="00F273E7" w:rsidP="00F273E7">
            <w:pPr>
              <w:pStyle w:val="ARtabletextright"/>
            </w:pPr>
            <w:r w:rsidRPr="000A30CD">
              <w:rPr>
                <w:rFonts w:eastAsia="Times New Roman"/>
                <w:color w:val="000000"/>
                <w:sz w:val="16"/>
                <w:szCs w:val="16"/>
              </w:rPr>
              <w:t>9,090,909.00</w:t>
            </w:r>
          </w:p>
        </w:tc>
        <w:tc>
          <w:tcPr>
            <w:tcW w:w="0" w:type="pct"/>
            <w:noWrap/>
          </w:tcPr>
          <w:p w14:paraId="1784C119" w14:textId="77777777" w:rsidR="00F273E7" w:rsidRPr="006663D5" w:rsidRDefault="00F273E7" w:rsidP="00F273E7">
            <w:pPr>
              <w:pStyle w:val="ARtabletextright"/>
            </w:pPr>
            <w:r w:rsidRPr="000A30CD">
              <w:rPr>
                <w:rFonts w:eastAsia="Times New Roman"/>
                <w:color w:val="000000"/>
                <w:sz w:val="16"/>
                <w:szCs w:val="16"/>
              </w:rPr>
              <w:t>1,276,656.00</w:t>
            </w:r>
          </w:p>
        </w:tc>
        <w:tc>
          <w:tcPr>
            <w:tcW w:w="0" w:type="pct"/>
            <w:noWrap/>
          </w:tcPr>
          <w:p w14:paraId="5AF0921B" w14:textId="77777777" w:rsidR="00F273E7" w:rsidRPr="006663D5" w:rsidRDefault="00F273E7" w:rsidP="00F273E7">
            <w:pPr>
              <w:pStyle w:val="ARtabletextright"/>
            </w:pPr>
            <w:r w:rsidRPr="000A30CD">
              <w:rPr>
                <w:rFonts w:eastAsia="Times New Roman"/>
                <w:color w:val="000000"/>
                <w:sz w:val="16"/>
                <w:szCs w:val="16"/>
              </w:rPr>
              <w:t>7,814,253.00</w:t>
            </w:r>
          </w:p>
        </w:tc>
      </w:tr>
      <w:tr w:rsidR="00F273E7" w:rsidRPr="006663D5" w14:paraId="0E833A7D" w14:textId="77777777" w:rsidTr="00F94CEE">
        <w:trPr>
          <w:trHeight w:val="300"/>
        </w:trPr>
        <w:tc>
          <w:tcPr>
            <w:tcW w:w="0" w:type="pct"/>
            <w:noWrap/>
          </w:tcPr>
          <w:p w14:paraId="62BCE76F" w14:textId="77777777" w:rsidR="00F273E7" w:rsidRPr="006663D5" w:rsidRDefault="00F273E7" w:rsidP="00F273E7">
            <w:pPr>
              <w:pStyle w:val="ARtabletext"/>
            </w:pPr>
            <w:r w:rsidRPr="00EA6B63">
              <w:rPr>
                <w:rFonts w:eastAsia="Times New Roman"/>
                <w:color w:val="000000"/>
                <w:sz w:val="16"/>
                <w:szCs w:val="16"/>
              </w:rPr>
              <w:t xml:space="preserve">Policy/program </w:t>
            </w:r>
            <w:r w:rsidRPr="00EA6B63">
              <w:rPr>
                <w:rFonts w:eastAsia="Times New Roman"/>
                <w:color w:val="000000"/>
                <w:sz w:val="16"/>
                <w:szCs w:val="16"/>
              </w:rPr>
              <w:br/>
              <w:t>advice and delivery</w:t>
            </w:r>
          </w:p>
        </w:tc>
        <w:tc>
          <w:tcPr>
            <w:tcW w:w="0" w:type="pct"/>
            <w:noWrap/>
          </w:tcPr>
          <w:p w14:paraId="0407684B" w14:textId="77777777" w:rsidR="00F273E7" w:rsidRPr="006663D5" w:rsidRDefault="000E4DCD" w:rsidP="00F273E7">
            <w:pPr>
              <w:pStyle w:val="ARtabletext"/>
            </w:pPr>
            <w:r w:rsidRPr="000A30CD">
              <w:rPr>
                <w:rFonts w:eastAsia="Times New Roman"/>
                <w:color w:val="000000"/>
                <w:sz w:val="16"/>
                <w:szCs w:val="16"/>
              </w:rPr>
              <w:t>Boston Consulting Group</w:t>
            </w:r>
          </w:p>
        </w:tc>
        <w:tc>
          <w:tcPr>
            <w:tcW w:w="0" w:type="pct"/>
            <w:noWrap/>
          </w:tcPr>
          <w:p w14:paraId="2B38A5FE" w14:textId="77777777" w:rsidR="00F273E7" w:rsidRPr="006663D5" w:rsidRDefault="001967BB" w:rsidP="00F273E7">
            <w:pPr>
              <w:pStyle w:val="ARtabletext"/>
            </w:pPr>
            <w:r>
              <w:rPr>
                <w:rFonts w:eastAsia="Times New Roman"/>
                <w:color w:val="000000"/>
                <w:sz w:val="16"/>
                <w:szCs w:val="16"/>
              </w:rPr>
              <w:t>S</w:t>
            </w:r>
            <w:r w:rsidR="000E4DCD" w:rsidRPr="000A30CD">
              <w:rPr>
                <w:rFonts w:eastAsia="Times New Roman"/>
                <w:color w:val="000000"/>
                <w:sz w:val="16"/>
                <w:szCs w:val="16"/>
              </w:rPr>
              <w:t>trategic alliance professional services</w:t>
            </w:r>
            <w:r>
              <w:rPr>
                <w:rFonts w:eastAsia="Times New Roman"/>
                <w:color w:val="000000"/>
                <w:sz w:val="16"/>
                <w:szCs w:val="16"/>
              </w:rPr>
              <w:t>: health</w:t>
            </w:r>
          </w:p>
        </w:tc>
        <w:tc>
          <w:tcPr>
            <w:tcW w:w="0" w:type="pct"/>
            <w:noWrap/>
          </w:tcPr>
          <w:p w14:paraId="3744C336" w14:textId="77777777" w:rsidR="00F273E7" w:rsidRPr="006663D5" w:rsidRDefault="00F273E7" w:rsidP="00F273E7">
            <w:pPr>
              <w:pStyle w:val="ARtabletextright"/>
            </w:pPr>
            <w:r w:rsidRPr="000A30CD">
              <w:rPr>
                <w:rFonts w:eastAsia="Times New Roman"/>
                <w:color w:val="000000"/>
                <w:sz w:val="16"/>
                <w:szCs w:val="16"/>
              </w:rPr>
              <w:t>9,090,909.00</w:t>
            </w:r>
          </w:p>
        </w:tc>
        <w:tc>
          <w:tcPr>
            <w:tcW w:w="0" w:type="pct"/>
            <w:noWrap/>
          </w:tcPr>
          <w:p w14:paraId="6401C276" w14:textId="77777777" w:rsidR="00F273E7" w:rsidRPr="006663D5" w:rsidRDefault="00F273E7" w:rsidP="00F273E7">
            <w:pPr>
              <w:pStyle w:val="ARtabletextright"/>
            </w:pPr>
            <w:r w:rsidRPr="000A30CD">
              <w:rPr>
                <w:rFonts w:eastAsia="Times New Roman"/>
                <w:color w:val="000000"/>
                <w:sz w:val="16"/>
                <w:szCs w:val="16"/>
              </w:rPr>
              <w:t>2,279,163.00</w:t>
            </w:r>
          </w:p>
        </w:tc>
        <w:tc>
          <w:tcPr>
            <w:tcW w:w="0" w:type="pct"/>
            <w:noWrap/>
          </w:tcPr>
          <w:p w14:paraId="328E0C86" w14:textId="77777777" w:rsidR="00F273E7" w:rsidRPr="006663D5" w:rsidRDefault="00F273E7" w:rsidP="00F273E7">
            <w:pPr>
              <w:pStyle w:val="ARtabletextright"/>
            </w:pPr>
            <w:r w:rsidRPr="000A30CD">
              <w:rPr>
                <w:rFonts w:eastAsia="Times New Roman"/>
                <w:color w:val="000000"/>
                <w:sz w:val="16"/>
                <w:szCs w:val="16"/>
              </w:rPr>
              <w:t>6,811,746.00</w:t>
            </w:r>
          </w:p>
        </w:tc>
      </w:tr>
      <w:tr w:rsidR="00F273E7" w:rsidRPr="006663D5" w14:paraId="5F19C7C5" w14:textId="77777777" w:rsidTr="00F94CEE">
        <w:trPr>
          <w:trHeight w:val="300"/>
        </w:trPr>
        <w:tc>
          <w:tcPr>
            <w:tcW w:w="0" w:type="pct"/>
            <w:noWrap/>
          </w:tcPr>
          <w:p w14:paraId="5B677DAA" w14:textId="77777777" w:rsidR="00F273E7" w:rsidRPr="006663D5" w:rsidRDefault="00F273E7" w:rsidP="00F273E7">
            <w:pPr>
              <w:pStyle w:val="ARtabletext"/>
            </w:pPr>
            <w:r w:rsidRPr="00EA6B63">
              <w:rPr>
                <w:rFonts w:eastAsia="Times New Roman"/>
                <w:color w:val="000000"/>
                <w:sz w:val="16"/>
                <w:szCs w:val="16"/>
              </w:rPr>
              <w:t xml:space="preserve">Policy/program </w:t>
            </w:r>
            <w:r w:rsidRPr="00EA6B63">
              <w:rPr>
                <w:rFonts w:eastAsia="Times New Roman"/>
                <w:color w:val="000000"/>
                <w:sz w:val="16"/>
                <w:szCs w:val="16"/>
              </w:rPr>
              <w:br/>
              <w:t>advice and delivery</w:t>
            </w:r>
          </w:p>
        </w:tc>
        <w:tc>
          <w:tcPr>
            <w:tcW w:w="0" w:type="pct"/>
            <w:noWrap/>
          </w:tcPr>
          <w:p w14:paraId="2C4CBBB3" w14:textId="77777777" w:rsidR="00F273E7" w:rsidRPr="006663D5" w:rsidRDefault="000E4DCD" w:rsidP="00F273E7">
            <w:pPr>
              <w:pStyle w:val="ARtabletext"/>
            </w:pPr>
            <w:r w:rsidRPr="000A30CD">
              <w:rPr>
                <w:rFonts w:eastAsia="Times New Roman"/>
                <w:color w:val="000000"/>
                <w:sz w:val="16"/>
                <w:szCs w:val="16"/>
              </w:rPr>
              <w:t>Protiviti Pty Ltd</w:t>
            </w:r>
          </w:p>
        </w:tc>
        <w:tc>
          <w:tcPr>
            <w:tcW w:w="0" w:type="pct"/>
            <w:noWrap/>
          </w:tcPr>
          <w:p w14:paraId="16C98CCF" w14:textId="77777777" w:rsidR="00F273E7" w:rsidRPr="006663D5" w:rsidRDefault="00F273E7" w:rsidP="00F273E7">
            <w:pPr>
              <w:pStyle w:val="ARtabletext"/>
            </w:pPr>
            <w:r w:rsidRPr="000A30CD">
              <w:rPr>
                <w:rFonts w:eastAsia="Times New Roman"/>
                <w:color w:val="000000"/>
                <w:sz w:val="16"/>
                <w:szCs w:val="16"/>
              </w:rPr>
              <w:t>Advisor</w:t>
            </w:r>
            <w:r w:rsidR="000E4DCD">
              <w:rPr>
                <w:rFonts w:eastAsia="Times New Roman"/>
                <w:color w:val="000000"/>
                <w:sz w:val="16"/>
                <w:szCs w:val="16"/>
              </w:rPr>
              <w:t>:</w:t>
            </w:r>
            <w:r w:rsidRPr="000A30CD">
              <w:rPr>
                <w:rFonts w:eastAsia="Times New Roman"/>
                <w:color w:val="000000"/>
                <w:sz w:val="16"/>
                <w:szCs w:val="16"/>
              </w:rPr>
              <w:t xml:space="preserve"> </w:t>
            </w:r>
            <w:r w:rsidR="000E4DCD">
              <w:rPr>
                <w:rFonts w:eastAsia="Times New Roman"/>
                <w:color w:val="000000"/>
                <w:sz w:val="16"/>
                <w:szCs w:val="16"/>
              </w:rPr>
              <w:t>c</w:t>
            </w:r>
            <w:r w:rsidRPr="000A30CD">
              <w:rPr>
                <w:rFonts w:eastAsia="Times New Roman"/>
                <w:color w:val="000000"/>
                <w:sz w:val="16"/>
                <w:szCs w:val="16"/>
              </w:rPr>
              <w:t>oncessions audit program</w:t>
            </w:r>
          </w:p>
        </w:tc>
        <w:tc>
          <w:tcPr>
            <w:tcW w:w="0" w:type="pct"/>
            <w:noWrap/>
          </w:tcPr>
          <w:p w14:paraId="4D2B9F50" w14:textId="77777777" w:rsidR="00F273E7" w:rsidRPr="006663D5" w:rsidRDefault="00F273E7" w:rsidP="00F273E7">
            <w:pPr>
              <w:pStyle w:val="ARtabletextright"/>
            </w:pPr>
            <w:r w:rsidRPr="000A30CD">
              <w:rPr>
                <w:rFonts w:eastAsia="Times New Roman"/>
                <w:color w:val="000000"/>
                <w:sz w:val="16"/>
                <w:szCs w:val="16"/>
              </w:rPr>
              <w:t>282,182.00</w:t>
            </w:r>
          </w:p>
        </w:tc>
        <w:tc>
          <w:tcPr>
            <w:tcW w:w="0" w:type="pct"/>
            <w:noWrap/>
          </w:tcPr>
          <w:p w14:paraId="1D8BB028" w14:textId="77777777" w:rsidR="00F273E7" w:rsidRPr="006663D5" w:rsidRDefault="00F273E7" w:rsidP="00F273E7">
            <w:pPr>
              <w:pStyle w:val="ARtabletextright"/>
            </w:pPr>
            <w:r w:rsidRPr="000A30CD">
              <w:rPr>
                <w:rFonts w:eastAsia="Times New Roman"/>
                <w:color w:val="000000"/>
                <w:sz w:val="16"/>
                <w:szCs w:val="16"/>
              </w:rPr>
              <w:t>74,537.00</w:t>
            </w:r>
          </w:p>
        </w:tc>
        <w:tc>
          <w:tcPr>
            <w:tcW w:w="0" w:type="pct"/>
            <w:noWrap/>
          </w:tcPr>
          <w:p w14:paraId="12F1BE2F" w14:textId="77777777" w:rsidR="00F273E7" w:rsidRPr="006663D5" w:rsidRDefault="00F273E7" w:rsidP="00F273E7">
            <w:pPr>
              <w:pStyle w:val="ARtabletextright"/>
            </w:pPr>
            <w:r w:rsidRPr="000A30CD">
              <w:rPr>
                <w:rFonts w:eastAsia="Times New Roman"/>
                <w:color w:val="000000"/>
                <w:sz w:val="16"/>
                <w:szCs w:val="16"/>
              </w:rPr>
              <w:t>45,978.00</w:t>
            </w:r>
          </w:p>
        </w:tc>
      </w:tr>
      <w:tr w:rsidR="00F273E7" w:rsidRPr="006663D5" w14:paraId="036995C3" w14:textId="77777777" w:rsidTr="00F94CEE">
        <w:trPr>
          <w:trHeight w:val="300"/>
        </w:trPr>
        <w:tc>
          <w:tcPr>
            <w:tcW w:w="0" w:type="pct"/>
            <w:noWrap/>
          </w:tcPr>
          <w:p w14:paraId="7B11C155" w14:textId="77777777" w:rsidR="00F273E7" w:rsidRPr="006663D5" w:rsidRDefault="00F273E7" w:rsidP="00F273E7">
            <w:pPr>
              <w:pStyle w:val="ARtabletext"/>
            </w:pPr>
            <w:r w:rsidRPr="00EA6B63">
              <w:rPr>
                <w:rFonts w:eastAsia="Times New Roman"/>
                <w:color w:val="000000"/>
                <w:sz w:val="16"/>
                <w:szCs w:val="16"/>
              </w:rPr>
              <w:t xml:space="preserve">Policy/program </w:t>
            </w:r>
            <w:r w:rsidRPr="00EA6B63">
              <w:rPr>
                <w:rFonts w:eastAsia="Times New Roman"/>
                <w:color w:val="000000"/>
                <w:sz w:val="16"/>
                <w:szCs w:val="16"/>
              </w:rPr>
              <w:br/>
              <w:t>advice and delivery</w:t>
            </w:r>
          </w:p>
        </w:tc>
        <w:tc>
          <w:tcPr>
            <w:tcW w:w="0" w:type="pct"/>
            <w:noWrap/>
          </w:tcPr>
          <w:p w14:paraId="7332C1E0" w14:textId="77777777" w:rsidR="00F273E7" w:rsidRPr="006663D5" w:rsidRDefault="000E4DCD" w:rsidP="00F273E7">
            <w:pPr>
              <w:pStyle w:val="ARtabletext"/>
            </w:pPr>
            <w:r w:rsidRPr="000A30CD">
              <w:rPr>
                <w:rFonts w:eastAsia="Times New Roman"/>
                <w:color w:val="000000"/>
                <w:sz w:val="16"/>
                <w:szCs w:val="16"/>
              </w:rPr>
              <w:t>Christopher William Brook</w:t>
            </w:r>
          </w:p>
        </w:tc>
        <w:tc>
          <w:tcPr>
            <w:tcW w:w="0" w:type="pct"/>
            <w:noWrap/>
          </w:tcPr>
          <w:p w14:paraId="7D44B312" w14:textId="77777777" w:rsidR="00F273E7" w:rsidRPr="006663D5" w:rsidRDefault="00F273E7" w:rsidP="00F273E7">
            <w:pPr>
              <w:pStyle w:val="ARtabletext"/>
            </w:pPr>
            <w:r w:rsidRPr="000A30CD">
              <w:rPr>
                <w:rFonts w:eastAsia="Times New Roman"/>
                <w:color w:val="000000"/>
                <w:sz w:val="16"/>
                <w:szCs w:val="16"/>
              </w:rPr>
              <w:t>Advisory services</w:t>
            </w:r>
            <w:r w:rsidR="000E4DCD">
              <w:rPr>
                <w:rFonts w:eastAsia="Times New Roman"/>
                <w:color w:val="000000"/>
                <w:sz w:val="16"/>
                <w:szCs w:val="16"/>
              </w:rPr>
              <w:t>:</w:t>
            </w:r>
            <w:r w:rsidRPr="000A30CD">
              <w:rPr>
                <w:rFonts w:eastAsia="Times New Roman"/>
                <w:color w:val="000000"/>
                <w:sz w:val="16"/>
                <w:szCs w:val="16"/>
              </w:rPr>
              <w:t xml:space="preserve"> health systems</w:t>
            </w:r>
          </w:p>
        </w:tc>
        <w:tc>
          <w:tcPr>
            <w:tcW w:w="0" w:type="pct"/>
            <w:noWrap/>
          </w:tcPr>
          <w:p w14:paraId="4F96ADC1" w14:textId="77777777" w:rsidR="00F273E7" w:rsidRPr="006663D5" w:rsidRDefault="00F273E7" w:rsidP="00F273E7">
            <w:pPr>
              <w:pStyle w:val="ARtabletextright"/>
            </w:pPr>
            <w:r w:rsidRPr="000A30CD">
              <w:rPr>
                <w:rFonts w:eastAsia="Times New Roman"/>
                <w:color w:val="000000"/>
                <w:sz w:val="16"/>
                <w:szCs w:val="16"/>
              </w:rPr>
              <w:t>160,255.00</w:t>
            </w:r>
          </w:p>
        </w:tc>
        <w:tc>
          <w:tcPr>
            <w:tcW w:w="0" w:type="pct"/>
            <w:noWrap/>
          </w:tcPr>
          <w:p w14:paraId="62949476" w14:textId="77777777" w:rsidR="00F273E7" w:rsidRPr="006663D5" w:rsidRDefault="00F273E7" w:rsidP="00F273E7">
            <w:pPr>
              <w:pStyle w:val="ARtabletextright"/>
            </w:pPr>
            <w:r w:rsidRPr="000A30CD">
              <w:rPr>
                <w:rFonts w:eastAsia="Times New Roman"/>
                <w:color w:val="000000"/>
                <w:sz w:val="16"/>
                <w:szCs w:val="16"/>
              </w:rPr>
              <w:t>38,523.00</w:t>
            </w:r>
          </w:p>
        </w:tc>
        <w:tc>
          <w:tcPr>
            <w:tcW w:w="0" w:type="pct"/>
            <w:noWrap/>
          </w:tcPr>
          <w:p w14:paraId="79105A6A" w14:textId="77777777" w:rsidR="00F273E7" w:rsidRPr="006663D5" w:rsidRDefault="00F273E7" w:rsidP="00F273E7">
            <w:pPr>
              <w:pStyle w:val="ARtabletextright"/>
            </w:pPr>
            <w:r w:rsidRPr="000A30CD">
              <w:rPr>
                <w:rFonts w:eastAsia="Times New Roman"/>
                <w:color w:val="000000"/>
                <w:sz w:val="16"/>
                <w:szCs w:val="16"/>
              </w:rPr>
              <w:t>93,995.00</w:t>
            </w:r>
          </w:p>
        </w:tc>
      </w:tr>
      <w:tr w:rsidR="00F273E7" w:rsidRPr="006663D5" w14:paraId="66AC47EA" w14:textId="77777777" w:rsidTr="00E34BA4">
        <w:trPr>
          <w:trHeight w:val="300"/>
        </w:trPr>
        <w:tc>
          <w:tcPr>
            <w:tcW w:w="0" w:type="pct"/>
            <w:noWrap/>
          </w:tcPr>
          <w:p w14:paraId="04A31A0F" w14:textId="77777777" w:rsidR="00F273E7" w:rsidRPr="006663D5" w:rsidRDefault="00F273E7" w:rsidP="00F273E7">
            <w:pPr>
              <w:pStyle w:val="ARtabletext"/>
            </w:pPr>
            <w:r w:rsidRPr="00EA6B63">
              <w:rPr>
                <w:rFonts w:eastAsia="Times New Roman"/>
                <w:color w:val="000000"/>
                <w:sz w:val="16"/>
                <w:szCs w:val="16"/>
              </w:rPr>
              <w:t xml:space="preserve">Policy/program </w:t>
            </w:r>
            <w:r w:rsidRPr="00EA6B63">
              <w:rPr>
                <w:rFonts w:eastAsia="Times New Roman"/>
                <w:color w:val="000000"/>
                <w:sz w:val="16"/>
                <w:szCs w:val="16"/>
              </w:rPr>
              <w:br/>
              <w:t>advice and delivery</w:t>
            </w:r>
          </w:p>
        </w:tc>
        <w:tc>
          <w:tcPr>
            <w:tcW w:w="0" w:type="pct"/>
            <w:noWrap/>
          </w:tcPr>
          <w:p w14:paraId="002B581E" w14:textId="77777777" w:rsidR="00F273E7" w:rsidRPr="006663D5" w:rsidRDefault="00F273E7" w:rsidP="00F273E7">
            <w:pPr>
              <w:pStyle w:val="ARtabletext"/>
            </w:pPr>
            <w:r w:rsidRPr="000A30CD">
              <w:rPr>
                <w:rFonts w:eastAsia="Times New Roman"/>
                <w:color w:val="000000"/>
                <w:sz w:val="16"/>
                <w:szCs w:val="16"/>
              </w:rPr>
              <w:t xml:space="preserve">LW </w:t>
            </w:r>
            <w:r w:rsidR="000E4DCD" w:rsidRPr="000A30CD">
              <w:rPr>
                <w:rFonts w:eastAsia="Times New Roman"/>
                <w:color w:val="000000"/>
                <w:sz w:val="16"/>
                <w:szCs w:val="16"/>
              </w:rPr>
              <w:t>Corporate Services</w:t>
            </w:r>
          </w:p>
        </w:tc>
        <w:tc>
          <w:tcPr>
            <w:tcW w:w="0" w:type="pct"/>
            <w:noWrap/>
          </w:tcPr>
          <w:p w14:paraId="19E01FE3" w14:textId="77777777" w:rsidR="00F273E7" w:rsidRPr="006663D5" w:rsidRDefault="00F273E7" w:rsidP="00F273E7">
            <w:pPr>
              <w:pStyle w:val="ARtabletext"/>
            </w:pPr>
            <w:r w:rsidRPr="000A30CD">
              <w:rPr>
                <w:rFonts w:eastAsia="Times New Roman"/>
                <w:color w:val="000000"/>
                <w:sz w:val="16"/>
                <w:szCs w:val="16"/>
              </w:rPr>
              <w:t xml:space="preserve">Advice: </w:t>
            </w:r>
            <w:r w:rsidR="000E4DCD" w:rsidRPr="000A30CD">
              <w:rPr>
                <w:rFonts w:eastAsia="Times New Roman"/>
                <w:color w:val="000000"/>
                <w:sz w:val="16"/>
                <w:szCs w:val="16"/>
              </w:rPr>
              <w:t>financial management and employment cost-related matters</w:t>
            </w:r>
          </w:p>
        </w:tc>
        <w:tc>
          <w:tcPr>
            <w:tcW w:w="0" w:type="pct"/>
            <w:noWrap/>
          </w:tcPr>
          <w:p w14:paraId="463408A7" w14:textId="77777777" w:rsidR="00F273E7" w:rsidRPr="006663D5" w:rsidRDefault="00F273E7" w:rsidP="00F273E7">
            <w:pPr>
              <w:pStyle w:val="ARtabletextright"/>
            </w:pPr>
            <w:r w:rsidRPr="000A30CD">
              <w:rPr>
                <w:rFonts w:eastAsia="Times New Roman"/>
                <w:color w:val="000000"/>
                <w:sz w:val="16"/>
                <w:szCs w:val="16"/>
              </w:rPr>
              <w:t>42,000.00</w:t>
            </w:r>
          </w:p>
        </w:tc>
        <w:tc>
          <w:tcPr>
            <w:tcW w:w="0" w:type="pct"/>
            <w:noWrap/>
          </w:tcPr>
          <w:p w14:paraId="553CD7EC" w14:textId="77777777" w:rsidR="00F273E7" w:rsidRPr="006663D5" w:rsidRDefault="00F273E7" w:rsidP="00F273E7">
            <w:pPr>
              <w:pStyle w:val="ARtabletextright"/>
            </w:pPr>
            <w:r w:rsidRPr="000A30CD">
              <w:rPr>
                <w:rFonts w:eastAsia="Times New Roman"/>
                <w:color w:val="000000"/>
                <w:sz w:val="16"/>
                <w:szCs w:val="16"/>
              </w:rPr>
              <w:t>23,254.00</w:t>
            </w:r>
          </w:p>
        </w:tc>
        <w:tc>
          <w:tcPr>
            <w:tcW w:w="0" w:type="pct"/>
            <w:noWrap/>
          </w:tcPr>
          <w:p w14:paraId="1A346250"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1A2FEB28" w14:textId="77777777" w:rsidTr="00F94CEE">
        <w:trPr>
          <w:trHeight w:val="300"/>
        </w:trPr>
        <w:tc>
          <w:tcPr>
            <w:tcW w:w="0" w:type="pct"/>
            <w:noWrap/>
          </w:tcPr>
          <w:p w14:paraId="7A4FC654"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61787B0D" w14:textId="77777777" w:rsidR="00F273E7" w:rsidRPr="006663D5" w:rsidRDefault="000E4DCD" w:rsidP="00F273E7">
            <w:pPr>
              <w:pStyle w:val="ARtabletext"/>
            </w:pPr>
            <w:r w:rsidRPr="000A30CD">
              <w:rPr>
                <w:rFonts w:eastAsia="Times New Roman"/>
                <w:color w:val="000000"/>
                <w:sz w:val="16"/>
                <w:szCs w:val="16"/>
              </w:rPr>
              <w:t>Nielsen Sports Pty Ltd</w:t>
            </w:r>
          </w:p>
        </w:tc>
        <w:tc>
          <w:tcPr>
            <w:tcW w:w="0" w:type="pct"/>
            <w:noWrap/>
          </w:tcPr>
          <w:p w14:paraId="66158959" w14:textId="77777777" w:rsidR="00F273E7" w:rsidRPr="006663D5" w:rsidRDefault="00F273E7" w:rsidP="00F273E7">
            <w:pPr>
              <w:pStyle w:val="ARtabletext"/>
            </w:pPr>
            <w:r w:rsidRPr="000A30CD">
              <w:rPr>
                <w:rFonts w:eastAsia="Times New Roman"/>
                <w:color w:val="000000"/>
                <w:sz w:val="16"/>
                <w:szCs w:val="16"/>
              </w:rPr>
              <w:t xml:space="preserve">Strategic </w:t>
            </w:r>
            <w:r w:rsidR="000E4DCD">
              <w:rPr>
                <w:rFonts w:eastAsia="Times New Roman"/>
                <w:color w:val="000000"/>
                <w:sz w:val="16"/>
                <w:szCs w:val="16"/>
              </w:rPr>
              <w:t>a</w:t>
            </w:r>
            <w:r w:rsidRPr="000A30CD">
              <w:rPr>
                <w:rFonts w:eastAsia="Times New Roman"/>
                <w:color w:val="000000"/>
                <w:sz w:val="16"/>
                <w:szCs w:val="16"/>
              </w:rPr>
              <w:t>nalysis</w:t>
            </w:r>
            <w:r w:rsidR="000E4DCD">
              <w:rPr>
                <w:rFonts w:eastAsia="Times New Roman"/>
                <w:color w:val="000000"/>
                <w:sz w:val="16"/>
                <w:szCs w:val="16"/>
              </w:rPr>
              <w:t>:</w:t>
            </w:r>
            <w:r w:rsidRPr="000A30CD">
              <w:rPr>
                <w:rFonts w:eastAsia="Times New Roman"/>
                <w:color w:val="000000"/>
                <w:sz w:val="16"/>
                <w:szCs w:val="16"/>
              </w:rPr>
              <w:t xml:space="preserve"> Premier's Active April</w:t>
            </w:r>
          </w:p>
        </w:tc>
        <w:tc>
          <w:tcPr>
            <w:tcW w:w="0" w:type="pct"/>
            <w:noWrap/>
          </w:tcPr>
          <w:p w14:paraId="6342FD30" w14:textId="77777777" w:rsidR="00F273E7" w:rsidRPr="006663D5" w:rsidRDefault="00F273E7" w:rsidP="00F273E7">
            <w:pPr>
              <w:pStyle w:val="ARtabletextright"/>
            </w:pPr>
            <w:r w:rsidRPr="000A30CD">
              <w:rPr>
                <w:rFonts w:eastAsia="Times New Roman"/>
                <w:color w:val="000000"/>
                <w:sz w:val="16"/>
                <w:szCs w:val="16"/>
              </w:rPr>
              <w:t>109,500.00</w:t>
            </w:r>
          </w:p>
        </w:tc>
        <w:tc>
          <w:tcPr>
            <w:tcW w:w="0" w:type="pct"/>
            <w:noWrap/>
          </w:tcPr>
          <w:p w14:paraId="1BF7FCD2" w14:textId="77777777" w:rsidR="00F273E7" w:rsidRPr="006663D5" w:rsidRDefault="00F273E7" w:rsidP="00F273E7">
            <w:pPr>
              <w:pStyle w:val="ARtabletextright"/>
            </w:pPr>
            <w:r w:rsidRPr="000A30CD">
              <w:rPr>
                <w:rFonts w:eastAsia="Times New Roman"/>
                <w:color w:val="000000"/>
                <w:sz w:val="16"/>
                <w:szCs w:val="16"/>
              </w:rPr>
              <w:t>104,000.00</w:t>
            </w:r>
          </w:p>
        </w:tc>
        <w:tc>
          <w:tcPr>
            <w:tcW w:w="0" w:type="pct"/>
            <w:noWrap/>
          </w:tcPr>
          <w:p w14:paraId="13AACABA"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29A14FC2" w14:textId="77777777" w:rsidTr="00E34BA4">
        <w:trPr>
          <w:trHeight w:val="300"/>
        </w:trPr>
        <w:tc>
          <w:tcPr>
            <w:tcW w:w="0" w:type="pct"/>
            <w:noWrap/>
          </w:tcPr>
          <w:p w14:paraId="3B5D301A"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010B35BB" w14:textId="77777777" w:rsidR="00F273E7" w:rsidRPr="006663D5" w:rsidRDefault="000E4DCD" w:rsidP="00F273E7">
            <w:pPr>
              <w:pStyle w:val="ARtabletext"/>
            </w:pPr>
            <w:r w:rsidRPr="000A30CD">
              <w:rPr>
                <w:rFonts w:eastAsia="Times New Roman"/>
                <w:color w:val="000000"/>
                <w:sz w:val="16"/>
                <w:szCs w:val="16"/>
              </w:rPr>
              <w:t>Aspex Consulting Pty Ltd</w:t>
            </w:r>
          </w:p>
        </w:tc>
        <w:tc>
          <w:tcPr>
            <w:tcW w:w="0" w:type="pct"/>
            <w:noWrap/>
          </w:tcPr>
          <w:p w14:paraId="26190A12" w14:textId="77777777" w:rsidR="00F273E7" w:rsidRPr="006663D5" w:rsidRDefault="00F273E7" w:rsidP="00F273E7">
            <w:pPr>
              <w:pStyle w:val="ARtabletext"/>
            </w:pPr>
            <w:r w:rsidRPr="000A30CD">
              <w:rPr>
                <w:rFonts w:eastAsia="Times New Roman"/>
                <w:color w:val="000000"/>
                <w:sz w:val="16"/>
                <w:szCs w:val="16"/>
              </w:rPr>
              <w:t>Gap analysis, end</w:t>
            </w:r>
            <w:r w:rsidR="000E4DCD">
              <w:rPr>
                <w:rFonts w:eastAsia="Times New Roman"/>
                <w:color w:val="000000"/>
                <w:sz w:val="16"/>
                <w:szCs w:val="16"/>
              </w:rPr>
              <w:t>-</w:t>
            </w:r>
            <w:r w:rsidRPr="000A30CD">
              <w:rPr>
                <w:rFonts w:eastAsia="Times New Roman"/>
                <w:color w:val="000000"/>
                <w:sz w:val="16"/>
                <w:szCs w:val="16"/>
              </w:rPr>
              <w:t>of</w:t>
            </w:r>
            <w:r w:rsidR="000E4DCD">
              <w:rPr>
                <w:rFonts w:eastAsia="Times New Roman"/>
                <w:color w:val="000000"/>
                <w:sz w:val="16"/>
                <w:szCs w:val="16"/>
              </w:rPr>
              <w:t>-</w:t>
            </w:r>
            <w:r w:rsidRPr="000A30CD">
              <w:rPr>
                <w:rFonts w:eastAsia="Times New Roman"/>
                <w:color w:val="000000"/>
                <w:sz w:val="16"/>
                <w:szCs w:val="16"/>
              </w:rPr>
              <w:t>life care</w:t>
            </w:r>
          </w:p>
        </w:tc>
        <w:tc>
          <w:tcPr>
            <w:tcW w:w="0" w:type="pct"/>
            <w:noWrap/>
          </w:tcPr>
          <w:p w14:paraId="29A424CA" w14:textId="77777777" w:rsidR="00F273E7" w:rsidRPr="006663D5" w:rsidRDefault="00F273E7" w:rsidP="00F273E7">
            <w:pPr>
              <w:pStyle w:val="ARtabletextright"/>
            </w:pPr>
            <w:r w:rsidRPr="000A30CD">
              <w:rPr>
                <w:rFonts w:eastAsia="Times New Roman"/>
                <w:color w:val="000000"/>
                <w:sz w:val="16"/>
                <w:szCs w:val="16"/>
              </w:rPr>
              <w:t>66,896.00</w:t>
            </w:r>
          </w:p>
        </w:tc>
        <w:tc>
          <w:tcPr>
            <w:tcW w:w="0" w:type="pct"/>
            <w:noWrap/>
          </w:tcPr>
          <w:p w14:paraId="19242CF8" w14:textId="77777777" w:rsidR="00F273E7" w:rsidRPr="006663D5" w:rsidRDefault="00F273E7" w:rsidP="00F273E7">
            <w:pPr>
              <w:pStyle w:val="ARtabletextright"/>
            </w:pPr>
            <w:r w:rsidRPr="000A30CD">
              <w:rPr>
                <w:rFonts w:eastAsia="Times New Roman"/>
                <w:color w:val="000000"/>
                <w:sz w:val="16"/>
                <w:szCs w:val="16"/>
              </w:rPr>
              <w:t>61,316.00</w:t>
            </w:r>
          </w:p>
        </w:tc>
        <w:tc>
          <w:tcPr>
            <w:tcW w:w="0" w:type="pct"/>
            <w:noWrap/>
          </w:tcPr>
          <w:p w14:paraId="1BDDDE2E"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11E005C9" w14:textId="77777777" w:rsidTr="00E34BA4">
        <w:trPr>
          <w:trHeight w:val="300"/>
        </w:trPr>
        <w:tc>
          <w:tcPr>
            <w:tcW w:w="0" w:type="pct"/>
            <w:noWrap/>
          </w:tcPr>
          <w:p w14:paraId="2C7D9AC9"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69A7CFEB" w14:textId="77777777" w:rsidR="00F273E7" w:rsidRPr="006663D5" w:rsidRDefault="000E4DCD" w:rsidP="00F273E7">
            <w:pPr>
              <w:pStyle w:val="ARtabletext"/>
            </w:pPr>
            <w:r w:rsidRPr="000A30CD">
              <w:rPr>
                <w:rFonts w:eastAsia="Times New Roman"/>
                <w:color w:val="000000"/>
                <w:sz w:val="16"/>
                <w:szCs w:val="16"/>
              </w:rPr>
              <w:t>Price Waterhouse Coopers</w:t>
            </w:r>
          </w:p>
        </w:tc>
        <w:tc>
          <w:tcPr>
            <w:tcW w:w="0" w:type="pct"/>
            <w:noWrap/>
          </w:tcPr>
          <w:p w14:paraId="65E06A16" w14:textId="77777777" w:rsidR="00F273E7" w:rsidRPr="006663D5" w:rsidRDefault="00F273E7" w:rsidP="00F273E7">
            <w:pPr>
              <w:pStyle w:val="ARtabletext"/>
            </w:pPr>
            <w:r w:rsidRPr="000A30CD">
              <w:rPr>
                <w:rFonts w:eastAsia="Times New Roman"/>
                <w:color w:val="000000"/>
                <w:sz w:val="16"/>
                <w:szCs w:val="16"/>
              </w:rPr>
              <w:t xml:space="preserve">Gender </w:t>
            </w:r>
            <w:r w:rsidR="000E4DCD" w:rsidRPr="000A30CD">
              <w:rPr>
                <w:rFonts w:eastAsia="Times New Roman"/>
                <w:color w:val="000000"/>
                <w:sz w:val="16"/>
                <w:szCs w:val="16"/>
              </w:rPr>
              <w:t>impact analysis</w:t>
            </w:r>
          </w:p>
        </w:tc>
        <w:tc>
          <w:tcPr>
            <w:tcW w:w="0" w:type="pct"/>
            <w:noWrap/>
          </w:tcPr>
          <w:p w14:paraId="6D52ABF3" w14:textId="77777777" w:rsidR="00F273E7" w:rsidRPr="006663D5" w:rsidRDefault="00F273E7" w:rsidP="00F273E7">
            <w:pPr>
              <w:pStyle w:val="ARtabletextright"/>
            </w:pPr>
            <w:r w:rsidRPr="000A30CD">
              <w:rPr>
                <w:rFonts w:eastAsia="Times New Roman"/>
                <w:color w:val="000000"/>
                <w:sz w:val="16"/>
                <w:szCs w:val="16"/>
              </w:rPr>
              <w:t>412,932.00</w:t>
            </w:r>
          </w:p>
        </w:tc>
        <w:tc>
          <w:tcPr>
            <w:tcW w:w="0" w:type="pct"/>
            <w:noWrap/>
          </w:tcPr>
          <w:p w14:paraId="179B80F1" w14:textId="77777777" w:rsidR="00F273E7" w:rsidRPr="006663D5" w:rsidRDefault="00F273E7" w:rsidP="00F273E7">
            <w:pPr>
              <w:pStyle w:val="ARtabletextright"/>
            </w:pPr>
            <w:r w:rsidRPr="000A30CD">
              <w:rPr>
                <w:rFonts w:eastAsia="Times New Roman"/>
                <w:color w:val="000000"/>
                <w:sz w:val="16"/>
                <w:szCs w:val="16"/>
              </w:rPr>
              <w:t>412,932.00</w:t>
            </w:r>
          </w:p>
        </w:tc>
        <w:tc>
          <w:tcPr>
            <w:tcW w:w="0" w:type="pct"/>
            <w:noWrap/>
          </w:tcPr>
          <w:p w14:paraId="43AE542C"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1A02A58A" w14:textId="77777777" w:rsidTr="00E34BA4">
        <w:trPr>
          <w:trHeight w:val="300"/>
        </w:trPr>
        <w:tc>
          <w:tcPr>
            <w:tcW w:w="0" w:type="pct"/>
            <w:noWrap/>
          </w:tcPr>
          <w:p w14:paraId="5A4AB5C7"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7F2C7140" w14:textId="77777777" w:rsidR="00F273E7" w:rsidRPr="006663D5" w:rsidRDefault="000E4DCD" w:rsidP="00F273E7">
            <w:pPr>
              <w:pStyle w:val="ARtabletext"/>
            </w:pPr>
            <w:r w:rsidRPr="000A30CD">
              <w:rPr>
                <w:rFonts w:eastAsia="Times New Roman"/>
                <w:color w:val="000000"/>
                <w:sz w:val="16"/>
                <w:szCs w:val="16"/>
              </w:rPr>
              <w:t>Oakton Services Pty Ltd</w:t>
            </w:r>
          </w:p>
        </w:tc>
        <w:tc>
          <w:tcPr>
            <w:tcW w:w="0" w:type="pct"/>
            <w:noWrap/>
          </w:tcPr>
          <w:p w14:paraId="67019BE9" w14:textId="77777777" w:rsidR="00F273E7" w:rsidRPr="006663D5" w:rsidRDefault="00F273E7" w:rsidP="00F273E7">
            <w:pPr>
              <w:pStyle w:val="ARtabletext"/>
            </w:pPr>
            <w:r w:rsidRPr="000A30CD">
              <w:rPr>
                <w:rFonts w:eastAsia="Times New Roman"/>
                <w:color w:val="000000"/>
                <w:sz w:val="16"/>
                <w:szCs w:val="16"/>
              </w:rPr>
              <w:t xml:space="preserve">VCDC </w:t>
            </w:r>
            <w:r w:rsidR="000E4DCD" w:rsidRPr="000A30CD">
              <w:rPr>
                <w:rFonts w:eastAsia="Times New Roman"/>
                <w:color w:val="000000"/>
                <w:sz w:val="16"/>
                <w:szCs w:val="16"/>
              </w:rPr>
              <w:t>strategy project</w:t>
            </w:r>
          </w:p>
        </w:tc>
        <w:tc>
          <w:tcPr>
            <w:tcW w:w="0" w:type="pct"/>
            <w:noWrap/>
          </w:tcPr>
          <w:p w14:paraId="43C716A1" w14:textId="77777777" w:rsidR="00F273E7" w:rsidRPr="006663D5" w:rsidRDefault="00F273E7" w:rsidP="00F273E7">
            <w:pPr>
              <w:pStyle w:val="ARtabletextright"/>
            </w:pPr>
            <w:r w:rsidRPr="000A30CD">
              <w:rPr>
                <w:rFonts w:eastAsia="Times New Roman"/>
                <w:color w:val="000000"/>
                <w:sz w:val="16"/>
                <w:szCs w:val="16"/>
              </w:rPr>
              <w:t>90,880.00</w:t>
            </w:r>
          </w:p>
        </w:tc>
        <w:tc>
          <w:tcPr>
            <w:tcW w:w="0" w:type="pct"/>
            <w:noWrap/>
          </w:tcPr>
          <w:p w14:paraId="47BC0849" w14:textId="77777777" w:rsidR="00F273E7" w:rsidRPr="006663D5" w:rsidRDefault="00F273E7" w:rsidP="00F273E7">
            <w:pPr>
              <w:pStyle w:val="ARtabletextright"/>
            </w:pPr>
            <w:r w:rsidRPr="000A30CD">
              <w:rPr>
                <w:rFonts w:eastAsia="Times New Roman"/>
                <w:color w:val="000000"/>
                <w:sz w:val="16"/>
                <w:szCs w:val="16"/>
              </w:rPr>
              <w:t>90,880.00</w:t>
            </w:r>
          </w:p>
        </w:tc>
        <w:tc>
          <w:tcPr>
            <w:tcW w:w="0" w:type="pct"/>
            <w:noWrap/>
          </w:tcPr>
          <w:p w14:paraId="1396C4A5"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44D596F4" w14:textId="77777777" w:rsidTr="00E34BA4">
        <w:trPr>
          <w:trHeight w:val="300"/>
        </w:trPr>
        <w:tc>
          <w:tcPr>
            <w:tcW w:w="0" w:type="pct"/>
            <w:noWrap/>
          </w:tcPr>
          <w:p w14:paraId="7295706D"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6A0708DF" w14:textId="77777777" w:rsidR="00F273E7" w:rsidRPr="006663D5" w:rsidRDefault="00F273E7" w:rsidP="00F273E7">
            <w:pPr>
              <w:pStyle w:val="ARtabletext"/>
            </w:pPr>
            <w:r w:rsidRPr="000A30CD">
              <w:rPr>
                <w:rFonts w:eastAsia="Times New Roman"/>
                <w:color w:val="000000"/>
                <w:sz w:val="16"/>
                <w:szCs w:val="16"/>
              </w:rPr>
              <w:t>KPMG</w:t>
            </w:r>
          </w:p>
        </w:tc>
        <w:tc>
          <w:tcPr>
            <w:tcW w:w="0" w:type="pct"/>
            <w:noWrap/>
          </w:tcPr>
          <w:p w14:paraId="2AEC35D8" w14:textId="77777777" w:rsidR="00F273E7" w:rsidRPr="006663D5" w:rsidRDefault="00F273E7" w:rsidP="00F273E7">
            <w:pPr>
              <w:pStyle w:val="ARtabletext"/>
            </w:pPr>
            <w:r w:rsidRPr="000A30CD">
              <w:rPr>
                <w:rFonts w:eastAsia="Times New Roman"/>
                <w:color w:val="000000"/>
                <w:sz w:val="16"/>
                <w:szCs w:val="16"/>
              </w:rPr>
              <w:t xml:space="preserve">Family </w:t>
            </w:r>
            <w:r w:rsidR="000E4DCD" w:rsidRPr="000A30CD">
              <w:rPr>
                <w:rFonts w:eastAsia="Times New Roman"/>
                <w:color w:val="000000"/>
                <w:sz w:val="16"/>
                <w:szCs w:val="16"/>
              </w:rPr>
              <w:t>violence sector reform narrative</w:t>
            </w:r>
          </w:p>
        </w:tc>
        <w:tc>
          <w:tcPr>
            <w:tcW w:w="0" w:type="pct"/>
            <w:noWrap/>
          </w:tcPr>
          <w:p w14:paraId="42DA6959" w14:textId="77777777" w:rsidR="00F273E7" w:rsidRPr="006663D5" w:rsidRDefault="00F273E7" w:rsidP="00F273E7">
            <w:pPr>
              <w:pStyle w:val="ARtabletextright"/>
            </w:pPr>
            <w:r w:rsidRPr="000A30CD">
              <w:rPr>
                <w:rFonts w:eastAsia="Times New Roman"/>
                <w:color w:val="000000"/>
                <w:sz w:val="16"/>
                <w:szCs w:val="16"/>
              </w:rPr>
              <w:t>136,255.00</w:t>
            </w:r>
          </w:p>
        </w:tc>
        <w:tc>
          <w:tcPr>
            <w:tcW w:w="0" w:type="pct"/>
            <w:noWrap/>
          </w:tcPr>
          <w:p w14:paraId="500858EB" w14:textId="77777777" w:rsidR="00F273E7" w:rsidRPr="006663D5" w:rsidRDefault="00F273E7" w:rsidP="00F273E7">
            <w:pPr>
              <w:pStyle w:val="ARtabletextright"/>
            </w:pPr>
            <w:r w:rsidRPr="000A30CD">
              <w:rPr>
                <w:rFonts w:eastAsia="Times New Roman"/>
                <w:color w:val="000000"/>
                <w:sz w:val="16"/>
                <w:szCs w:val="16"/>
              </w:rPr>
              <w:t>34,064.00</w:t>
            </w:r>
          </w:p>
        </w:tc>
        <w:tc>
          <w:tcPr>
            <w:tcW w:w="0" w:type="pct"/>
            <w:noWrap/>
          </w:tcPr>
          <w:p w14:paraId="6B480430" w14:textId="77777777" w:rsidR="00F273E7" w:rsidRPr="006663D5" w:rsidRDefault="00F273E7" w:rsidP="00F273E7">
            <w:pPr>
              <w:pStyle w:val="ARtabletextright"/>
            </w:pPr>
            <w:r w:rsidRPr="000A30CD">
              <w:rPr>
                <w:rFonts w:eastAsia="Times New Roman"/>
                <w:color w:val="000000"/>
                <w:sz w:val="16"/>
                <w:szCs w:val="16"/>
              </w:rPr>
              <w:t>102,192.00</w:t>
            </w:r>
          </w:p>
        </w:tc>
      </w:tr>
      <w:tr w:rsidR="00F273E7" w:rsidRPr="006663D5" w14:paraId="09F50B4B" w14:textId="77777777" w:rsidTr="00E34BA4">
        <w:trPr>
          <w:trHeight w:val="300"/>
        </w:trPr>
        <w:tc>
          <w:tcPr>
            <w:tcW w:w="0" w:type="pct"/>
            <w:noWrap/>
          </w:tcPr>
          <w:p w14:paraId="510CEFAC"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78537BF0" w14:textId="77777777" w:rsidR="00F273E7" w:rsidRPr="006663D5" w:rsidRDefault="000E4DCD" w:rsidP="00F273E7">
            <w:pPr>
              <w:pStyle w:val="ARtabletext"/>
            </w:pPr>
            <w:r w:rsidRPr="000A30CD">
              <w:rPr>
                <w:rFonts w:eastAsia="Times New Roman"/>
                <w:color w:val="000000"/>
                <w:sz w:val="16"/>
                <w:szCs w:val="16"/>
              </w:rPr>
              <w:t>Peer Academy</w:t>
            </w:r>
          </w:p>
        </w:tc>
        <w:tc>
          <w:tcPr>
            <w:tcW w:w="0" w:type="pct"/>
            <w:noWrap/>
          </w:tcPr>
          <w:p w14:paraId="35C699F4" w14:textId="77777777" w:rsidR="00F273E7" w:rsidRPr="006663D5" w:rsidRDefault="00F273E7" w:rsidP="00F273E7">
            <w:pPr>
              <w:pStyle w:val="ARtabletext"/>
            </w:pPr>
            <w:r w:rsidRPr="000A30CD">
              <w:rPr>
                <w:rFonts w:eastAsia="Times New Roman"/>
                <w:color w:val="000000"/>
                <w:sz w:val="16"/>
                <w:szCs w:val="16"/>
              </w:rPr>
              <w:t xml:space="preserve">Valuing </w:t>
            </w:r>
            <w:r w:rsidR="000E4DCD" w:rsidRPr="000A30CD">
              <w:rPr>
                <w:rFonts w:eastAsia="Times New Roman"/>
                <w:color w:val="000000"/>
                <w:sz w:val="16"/>
                <w:szCs w:val="16"/>
              </w:rPr>
              <w:t>the lived experience: insights and principles project</w:t>
            </w:r>
          </w:p>
        </w:tc>
        <w:tc>
          <w:tcPr>
            <w:tcW w:w="0" w:type="pct"/>
            <w:noWrap/>
          </w:tcPr>
          <w:p w14:paraId="1F0CF18C" w14:textId="77777777" w:rsidR="00F273E7" w:rsidRPr="006663D5" w:rsidRDefault="00F273E7" w:rsidP="00F273E7">
            <w:pPr>
              <w:pStyle w:val="ARtabletextright"/>
            </w:pPr>
            <w:r w:rsidRPr="000A30CD">
              <w:rPr>
                <w:rFonts w:eastAsia="Times New Roman"/>
                <w:color w:val="000000"/>
                <w:sz w:val="16"/>
                <w:szCs w:val="16"/>
              </w:rPr>
              <w:t>104,760.00</w:t>
            </w:r>
          </w:p>
        </w:tc>
        <w:tc>
          <w:tcPr>
            <w:tcW w:w="0" w:type="pct"/>
            <w:noWrap/>
          </w:tcPr>
          <w:p w14:paraId="4E9B3B69" w14:textId="77777777" w:rsidR="00F273E7" w:rsidRPr="006663D5" w:rsidRDefault="00F273E7" w:rsidP="00F273E7">
            <w:pPr>
              <w:pStyle w:val="ARtabletextright"/>
            </w:pPr>
            <w:r w:rsidRPr="000A30CD">
              <w:rPr>
                <w:rFonts w:eastAsia="Times New Roman"/>
                <w:color w:val="000000"/>
                <w:sz w:val="16"/>
                <w:szCs w:val="16"/>
              </w:rPr>
              <w:t>104,760.00</w:t>
            </w:r>
          </w:p>
        </w:tc>
        <w:tc>
          <w:tcPr>
            <w:tcW w:w="0" w:type="pct"/>
            <w:noWrap/>
          </w:tcPr>
          <w:p w14:paraId="344303C9"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157F7A6D" w14:textId="77777777" w:rsidTr="00F94CEE">
        <w:trPr>
          <w:trHeight w:val="300"/>
        </w:trPr>
        <w:tc>
          <w:tcPr>
            <w:tcW w:w="0" w:type="pct"/>
            <w:noWrap/>
          </w:tcPr>
          <w:p w14:paraId="18BEE47C" w14:textId="77777777" w:rsidR="00F273E7" w:rsidRPr="006663D5" w:rsidRDefault="00F273E7" w:rsidP="00F273E7">
            <w:pPr>
              <w:pStyle w:val="ARtabletext"/>
            </w:pPr>
            <w:bookmarkStart w:id="173" w:name="_Hlk18416214"/>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6E503146" w14:textId="77777777" w:rsidR="00F273E7" w:rsidRPr="006663D5" w:rsidRDefault="000E4DCD" w:rsidP="00F273E7">
            <w:pPr>
              <w:pStyle w:val="ARtabletext"/>
            </w:pPr>
            <w:r w:rsidRPr="000A30CD">
              <w:rPr>
                <w:rFonts w:eastAsia="Times New Roman"/>
                <w:color w:val="000000"/>
                <w:sz w:val="16"/>
                <w:szCs w:val="16"/>
              </w:rPr>
              <w:t xml:space="preserve">The Australian Centre </w:t>
            </w:r>
            <w:r>
              <w:rPr>
                <w:rFonts w:eastAsia="Times New Roman"/>
                <w:color w:val="000000"/>
                <w:sz w:val="16"/>
                <w:szCs w:val="16"/>
              </w:rPr>
              <w:t>f</w:t>
            </w:r>
            <w:r w:rsidRPr="000A30CD">
              <w:rPr>
                <w:rFonts w:eastAsia="Times New Roman"/>
                <w:color w:val="000000"/>
                <w:sz w:val="16"/>
                <w:szCs w:val="16"/>
              </w:rPr>
              <w:t>or Social Innovation</w:t>
            </w:r>
          </w:p>
        </w:tc>
        <w:tc>
          <w:tcPr>
            <w:tcW w:w="0" w:type="pct"/>
            <w:noWrap/>
          </w:tcPr>
          <w:p w14:paraId="157F4E88" w14:textId="77777777" w:rsidR="00F273E7" w:rsidRPr="006663D5" w:rsidRDefault="00F273E7" w:rsidP="00F273E7">
            <w:pPr>
              <w:pStyle w:val="ARtabletext"/>
            </w:pPr>
            <w:r w:rsidRPr="000A30CD">
              <w:rPr>
                <w:rFonts w:eastAsia="Times New Roman"/>
                <w:color w:val="000000"/>
                <w:sz w:val="16"/>
                <w:szCs w:val="16"/>
              </w:rPr>
              <w:t>Design</w:t>
            </w:r>
            <w:r w:rsidR="000E4DCD">
              <w:rPr>
                <w:rFonts w:eastAsia="Times New Roman"/>
                <w:color w:val="000000"/>
                <w:sz w:val="16"/>
                <w:szCs w:val="16"/>
              </w:rPr>
              <w:t>:</w:t>
            </w:r>
            <w:r w:rsidRPr="000A30CD">
              <w:rPr>
                <w:rFonts w:eastAsia="Times New Roman"/>
                <w:color w:val="000000"/>
                <w:sz w:val="16"/>
                <w:szCs w:val="16"/>
              </w:rPr>
              <w:t xml:space="preserve"> </w:t>
            </w:r>
            <w:r w:rsidR="00134140" w:rsidRPr="00134140">
              <w:rPr>
                <w:rFonts w:eastAsia="Times New Roman"/>
                <w:color w:val="000000"/>
                <w:sz w:val="16"/>
                <w:szCs w:val="16"/>
              </w:rPr>
              <w:t>support and safety hubs</w:t>
            </w:r>
            <w:r w:rsidRPr="000A30CD">
              <w:rPr>
                <w:rFonts w:eastAsia="Times New Roman"/>
                <w:color w:val="000000"/>
                <w:sz w:val="16"/>
                <w:szCs w:val="16"/>
              </w:rPr>
              <w:t>, client experience</w:t>
            </w:r>
          </w:p>
        </w:tc>
        <w:tc>
          <w:tcPr>
            <w:tcW w:w="0" w:type="pct"/>
            <w:noWrap/>
          </w:tcPr>
          <w:p w14:paraId="4FF473DF" w14:textId="77777777" w:rsidR="00F273E7" w:rsidRPr="006663D5" w:rsidRDefault="00F273E7" w:rsidP="00F273E7">
            <w:pPr>
              <w:pStyle w:val="ARtabletextright"/>
            </w:pPr>
            <w:r w:rsidRPr="000A30CD">
              <w:rPr>
                <w:rFonts w:eastAsia="Times New Roman"/>
                <w:color w:val="000000"/>
                <w:sz w:val="16"/>
                <w:szCs w:val="16"/>
              </w:rPr>
              <w:t>135,966.00</w:t>
            </w:r>
          </w:p>
        </w:tc>
        <w:tc>
          <w:tcPr>
            <w:tcW w:w="0" w:type="pct"/>
            <w:noWrap/>
          </w:tcPr>
          <w:p w14:paraId="700E2240" w14:textId="77777777" w:rsidR="00F273E7" w:rsidRPr="006663D5" w:rsidRDefault="00F273E7" w:rsidP="00F273E7">
            <w:pPr>
              <w:pStyle w:val="ARtabletextright"/>
            </w:pPr>
            <w:r w:rsidRPr="000A30CD">
              <w:rPr>
                <w:rFonts w:eastAsia="Times New Roman"/>
                <w:color w:val="000000"/>
                <w:sz w:val="16"/>
                <w:szCs w:val="16"/>
              </w:rPr>
              <w:t>53,816.00</w:t>
            </w:r>
          </w:p>
        </w:tc>
        <w:tc>
          <w:tcPr>
            <w:tcW w:w="0" w:type="pct"/>
            <w:noWrap/>
          </w:tcPr>
          <w:p w14:paraId="6944F532" w14:textId="77777777" w:rsidR="00F273E7" w:rsidRPr="006663D5" w:rsidRDefault="00F273E7" w:rsidP="00F273E7">
            <w:pPr>
              <w:pStyle w:val="ARtabletextright"/>
            </w:pPr>
            <w:r w:rsidRPr="000A30CD">
              <w:rPr>
                <w:rFonts w:eastAsia="Times New Roman"/>
                <w:color w:val="000000"/>
                <w:sz w:val="16"/>
                <w:szCs w:val="16"/>
              </w:rPr>
              <w:t>Nil</w:t>
            </w:r>
          </w:p>
        </w:tc>
      </w:tr>
      <w:bookmarkEnd w:id="173"/>
      <w:tr w:rsidR="00F273E7" w:rsidRPr="006663D5" w14:paraId="58A90D31" w14:textId="77777777" w:rsidTr="00F94CEE">
        <w:trPr>
          <w:trHeight w:val="300"/>
        </w:trPr>
        <w:tc>
          <w:tcPr>
            <w:tcW w:w="0" w:type="pct"/>
            <w:noWrap/>
          </w:tcPr>
          <w:p w14:paraId="5688535B"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46F2A6E5" w14:textId="77777777" w:rsidR="00F273E7" w:rsidRPr="006663D5" w:rsidRDefault="000E4DCD" w:rsidP="00F273E7">
            <w:pPr>
              <w:pStyle w:val="ARtabletext"/>
            </w:pPr>
            <w:r w:rsidRPr="000A30CD">
              <w:rPr>
                <w:rFonts w:eastAsia="Times New Roman"/>
                <w:color w:val="000000"/>
                <w:sz w:val="16"/>
                <w:szCs w:val="16"/>
              </w:rPr>
              <w:t>Nous Group Pty Ltd</w:t>
            </w:r>
          </w:p>
        </w:tc>
        <w:tc>
          <w:tcPr>
            <w:tcW w:w="0" w:type="pct"/>
            <w:noWrap/>
          </w:tcPr>
          <w:p w14:paraId="65F97B0D" w14:textId="77777777" w:rsidR="00F273E7" w:rsidRPr="006663D5" w:rsidRDefault="00F273E7" w:rsidP="00F273E7">
            <w:pPr>
              <w:pStyle w:val="ARtabletext"/>
            </w:pPr>
            <w:r w:rsidRPr="000A30CD">
              <w:rPr>
                <w:rFonts w:eastAsia="Times New Roman"/>
                <w:color w:val="000000"/>
                <w:sz w:val="16"/>
                <w:szCs w:val="16"/>
              </w:rPr>
              <w:t>Design</w:t>
            </w:r>
            <w:r w:rsidR="000E4DCD">
              <w:rPr>
                <w:rFonts w:eastAsia="Times New Roman"/>
                <w:color w:val="000000"/>
                <w:sz w:val="16"/>
                <w:szCs w:val="16"/>
              </w:rPr>
              <w:t>:</w:t>
            </w:r>
            <w:r w:rsidRPr="000A30CD">
              <w:rPr>
                <w:rFonts w:eastAsia="Times New Roman"/>
                <w:color w:val="000000"/>
                <w:sz w:val="16"/>
                <w:szCs w:val="16"/>
              </w:rPr>
              <w:t xml:space="preserve"> improving congregate crisis supported accommodation</w:t>
            </w:r>
          </w:p>
        </w:tc>
        <w:tc>
          <w:tcPr>
            <w:tcW w:w="0" w:type="pct"/>
            <w:noWrap/>
          </w:tcPr>
          <w:p w14:paraId="2EF29616" w14:textId="77777777" w:rsidR="00F273E7" w:rsidRPr="006663D5" w:rsidRDefault="00F273E7" w:rsidP="00F273E7">
            <w:pPr>
              <w:pStyle w:val="ARtabletextright"/>
            </w:pPr>
            <w:r w:rsidRPr="000A30CD">
              <w:rPr>
                <w:rFonts w:eastAsia="Times New Roman"/>
                <w:color w:val="000000"/>
                <w:sz w:val="16"/>
                <w:szCs w:val="16"/>
              </w:rPr>
              <w:t>119,700.00</w:t>
            </w:r>
          </w:p>
        </w:tc>
        <w:tc>
          <w:tcPr>
            <w:tcW w:w="0" w:type="pct"/>
            <w:noWrap/>
          </w:tcPr>
          <w:p w14:paraId="2B74A734" w14:textId="77777777" w:rsidR="00F273E7" w:rsidRPr="006663D5" w:rsidRDefault="00F273E7" w:rsidP="00F273E7">
            <w:pPr>
              <w:pStyle w:val="ARtabletextright"/>
            </w:pPr>
            <w:r w:rsidRPr="000A30CD">
              <w:rPr>
                <w:rFonts w:eastAsia="Times New Roman"/>
                <w:color w:val="000000"/>
                <w:sz w:val="16"/>
                <w:szCs w:val="16"/>
              </w:rPr>
              <w:t>104,350.00</w:t>
            </w:r>
          </w:p>
        </w:tc>
        <w:tc>
          <w:tcPr>
            <w:tcW w:w="0" w:type="pct"/>
            <w:noWrap/>
          </w:tcPr>
          <w:p w14:paraId="353F4E3B"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4BE2BD13" w14:textId="77777777" w:rsidTr="00E34BA4">
        <w:trPr>
          <w:trHeight w:val="300"/>
        </w:trPr>
        <w:tc>
          <w:tcPr>
            <w:tcW w:w="0" w:type="pct"/>
            <w:noWrap/>
          </w:tcPr>
          <w:p w14:paraId="686BEFE2"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0FDE9E33" w14:textId="77777777" w:rsidR="00F273E7" w:rsidRPr="006663D5" w:rsidRDefault="000E4DCD" w:rsidP="00F273E7">
            <w:pPr>
              <w:pStyle w:val="ARtabletext"/>
            </w:pPr>
            <w:r w:rsidRPr="000A30CD">
              <w:rPr>
                <w:rFonts w:eastAsia="Times New Roman"/>
                <w:color w:val="000000"/>
                <w:sz w:val="16"/>
                <w:szCs w:val="16"/>
              </w:rPr>
              <w:t>Third Horizon Consulting Pty Ltd</w:t>
            </w:r>
          </w:p>
        </w:tc>
        <w:tc>
          <w:tcPr>
            <w:tcW w:w="0" w:type="pct"/>
            <w:noWrap/>
          </w:tcPr>
          <w:p w14:paraId="6A67CFFC" w14:textId="77777777" w:rsidR="00F273E7" w:rsidRPr="006663D5" w:rsidRDefault="00F273E7" w:rsidP="00F273E7">
            <w:pPr>
              <w:pStyle w:val="ARtabletext"/>
            </w:pPr>
            <w:r w:rsidRPr="000A30CD">
              <w:rPr>
                <w:rFonts w:eastAsia="Times New Roman"/>
                <w:color w:val="000000"/>
                <w:sz w:val="16"/>
                <w:szCs w:val="16"/>
              </w:rPr>
              <w:t>Development:</w:t>
            </w:r>
            <w:r w:rsidR="000E4DCD" w:rsidRPr="000A30CD">
              <w:rPr>
                <w:rFonts w:eastAsia="Times New Roman"/>
                <w:color w:val="000000"/>
                <w:sz w:val="16"/>
                <w:szCs w:val="16"/>
              </w:rPr>
              <w:t xml:space="preserve"> operating model options </w:t>
            </w:r>
            <w:r w:rsidRPr="000A30CD">
              <w:rPr>
                <w:rFonts w:eastAsia="Times New Roman"/>
                <w:color w:val="000000"/>
                <w:sz w:val="16"/>
                <w:szCs w:val="16"/>
              </w:rPr>
              <w:t>for Family Safety Victoria</w:t>
            </w:r>
          </w:p>
        </w:tc>
        <w:tc>
          <w:tcPr>
            <w:tcW w:w="0" w:type="pct"/>
            <w:noWrap/>
          </w:tcPr>
          <w:p w14:paraId="2BA2DF00" w14:textId="77777777" w:rsidR="00F273E7" w:rsidRPr="006663D5" w:rsidRDefault="00F273E7" w:rsidP="00F273E7">
            <w:pPr>
              <w:pStyle w:val="ARtabletextright"/>
            </w:pPr>
            <w:r w:rsidRPr="000A30CD">
              <w:rPr>
                <w:rFonts w:eastAsia="Times New Roman"/>
                <w:color w:val="000000"/>
                <w:sz w:val="16"/>
                <w:szCs w:val="16"/>
              </w:rPr>
              <w:t>316,627.00</w:t>
            </w:r>
          </w:p>
        </w:tc>
        <w:tc>
          <w:tcPr>
            <w:tcW w:w="0" w:type="pct"/>
            <w:noWrap/>
          </w:tcPr>
          <w:p w14:paraId="2251BE6C" w14:textId="77777777" w:rsidR="00F273E7" w:rsidRPr="006663D5" w:rsidRDefault="00F273E7" w:rsidP="00F273E7">
            <w:pPr>
              <w:pStyle w:val="ARtabletextright"/>
            </w:pPr>
            <w:r w:rsidRPr="000A30CD">
              <w:rPr>
                <w:rFonts w:eastAsia="Times New Roman"/>
                <w:color w:val="000000"/>
                <w:sz w:val="16"/>
                <w:szCs w:val="16"/>
              </w:rPr>
              <w:t>316,218.00</w:t>
            </w:r>
          </w:p>
        </w:tc>
        <w:tc>
          <w:tcPr>
            <w:tcW w:w="0" w:type="pct"/>
            <w:noWrap/>
          </w:tcPr>
          <w:p w14:paraId="3502EA49" w14:textId="77777777" w:rsidR="00F273E7" w:rsidRPr="006663D5" w:rsidRDefault="00F273E7" w:rsidP="00F273E7">
            <w:pPr>
              <w:pStyle w:val="ARtabletextright"/>
            </w:pPr>
            <w:r w:rsidRPr="000A30CD">
              <w:rPr>
                <w:rFonts w:eastAsia="Times New Roman"/>
                <w:color w:val="000000"/>
                <w:sz w:val="16"/>
                <w:szCs w:val="16"/>
              </w:rPr>
              <w:t>409.00</w:t>
            </w:r>
          </w:p>
        </w:tc>
      </w:tr>
      <w:tr w:rsidR="00F273E7" w:rsidRPr="006663D5" w14:paraId="2A1D88A4" w14:textId="77777777" w:rsidTr="00E34BA4">
        <w:trPr>
          <w:trHeight w:val="300"/>
        </w:trPr>
        <w:tc>
          <w:tcPr>
            <w:tcW w:w="0" w:type="pct"/>
            <w:noWrap/>
          </w:tcPr>
          <w:p w14:paraId="547C517A"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404E8B6A" w14:textId="77777777" w:rsidR="00F273E7" w:rsidRPr="006663D5" w:rsidRDefault="000E4DCD" w:rsidP="00F273E7">
            <w:pPr>
              <w:pStyle w:val="ARtabletext"/>
            </w:pPr>
            <w:r w:rsidRPr="000A30CD">
              <w:rPr>
                <w:rFonts w:eastAsia="Times New Roman"/>
                <w:color w:val="000000"/>
                <w:sz w:val="16"/>
                <w:szCs w:val="16"/>
              </w:rPr>
              <w:t>Third Horizon Consulting Pty Ltd</w:t>
            </w:r>
          </w:p>
        </w:tc>
        <w:tc>
          <w:tcPr>
            <w:tcW w:w="0" w:type="pct"/>
            <w:noWrap/>
          </w:tcPr>
          <w:p w14:paraId="20473009" w14:textId="77777777" w:rsidR="00F273E7" w:rsidRPr="006663D5" w:rsidRDefault="00F273E7" w:rsidP="00F273E7">
            <w:pPr>
              <w:pStyle w:val="ARtabletext"/>
            </w:pPr>
            <w:r w:rsidRPr="000A30CD">
              <w:rPr>
                <w:rFonts w:eastAsia="Times New Roman"/>
                <w:color w:val="000000"/>
                <w:sz w:val="16"/>
                <w:szCs w:val="16"/>
              </w:rPr>
              <w:t xml:space="preserve">Development: SAP </w:t>
            </w:r>
            <w:r w:rsidR="000E4DCD" w:rsidRPr="000A30CD">
              <w:rPr>
                <w:rFonts w:eastAsia="Times New Roman"/>
                <w:color w:val="000000"/>
                <w:sz w:val="16"/>
                <w:szCs w:val="16"/>
              </w:rPr>
              <w:t>future directions strategy project</w:t>
            </w:r>
          </w:p>
        </w:tc>
        <w:tc>
          <w:tcPr>
            <w:tcW w:w="0" w:type="pct"/>
            <w:noWrap/>
          </w:tcPr>
          <w:p w14:paraId="660A8A88" w14:textId="77777777" w:rsidR="00F273E7" w:rsidRPr="006663D5" w:rsidRDefault="00F273E7" w:rsidP="00F273E7">
            <w:pPr>
              <w:pStyle w:val="ARtabletextright"/>
            </w:pPr>
            <w:r w:rsidRPr="000A30CD">
              <w:rPr>
                <w:rFonts w:eastAsia="Times New Roman"/>
                <w:color w:val="000000"/>
                <w:sz w:val="16"/>
                <w:szCs w:val="16"/>
              </w:rPr>
              <w:t>279,024.00</w:t>
            </w:r>
          </w:p>
        </w:tc>
        <w:tc>
          <w:tcPr>
            <w:tcW w:w="0" w:type="pct"/>
            <w:noWrap/>
          </w:tcPr>
          <w:p w14:paraId="3D716543" w14:textId="77777777" w:rsidR="00F273E7" w:rsidRPr="006663D5" w:rsidRDefault="00F273E7" w:rsidP="00F273E7">
            <w:pPr>
              <w:pStyle w:val="ARtabletextright"/>
            </w:pPr>
            <w:r w:rsidRPr="000A30CD">
              <w:rPr>
                <w:rFonts w:eastAsia="Times New Roman"/>
                <w:color w:val="000000"/>
                <w:sz w:val="16"/>
                <w:szCs w:val="16"/>
              </w:rPr>
              <w:t>146,730.00</w:t>
            </w:r>
          </w:p>
        </w:tc>
        <w:tc>
          <w:tcPr>
            <w:tcW w:w="0" w:type="pct"/>
            <w:noWrap/>
          </w:tcPr>
          <w:p w14:paraId="42469DB9" w14:textId="77777777" w:rsidR="00F273E7" w:rsidRPr="006663D5" w:rsidRDefault="00F273E7" w:rsidP="00F273E7">
            <w:pPr>
              <w:pStyle w:val="ARtabletextright"/>
            </w:pPr>
            <w:r w:rsidRPr="000A30CD">
              <w:rPr>
                <w:rFonts w:eastAsia="Times New Roman"/>
                <w:color w:val="000000"/>
                <w:sz w:val="16"/>
                <w:szCs w:val="16"/>
              </w:rPr>
              <w:t>132,294.00</w:t>
            </w:r>
          </w:p>
        </w:tc>
      </w:tr>
      <w:tr w:rsidR="00F273E7" w:rsidRPr="006663D5" w14:paraId="72A9BB74" w14:textId="77777777" w:rsidTr="00E34BA4">
        <w:trPr>
          <w:trHeight w:val="300"/>
        </w:trPr>
        <w:tc>
          <w:tcPr>
            <w:tcW w:w="0" w:type="pct"/>
            <w:noWrap/>
          </w:tcPr>
          <w:p w14:paraId="4A0FCB87"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5AFFCC9D" w14:textId="77777777" w:rsidR="00F273E7" w:rsidRPr="006663D5" w:rsidRDefault="000E4DCD" w:rsidP="00F273E7">
            <w:pPr>
              <w:pStyle w:val="ARtabletext"/>
            </w:pPr>
            <w:r w:rsidRPr="000A30CD">
              <w:rPr>
                <w:rFonts w:eastAsia="Times New Roman"/>
                <w:color w:val="000000"/>
                <w:sz w:val="16"/>
                <w:szCs w:val="16"/>
              </w:rPr>
              <w:t>Price Waterhouse Coopers Indigenous Consulting</w:t>
            </w:r>
          </w:p>
        </w:tc>
        <w:tc>
          <w:tcPr>
            <w:tcW w:w="0" w:type="pct"/>
            <w:noWrap/>
          </w:tcPr>
          <w:p w14:paraId="22598352" w14:textId="77777777" w:rsidR="00F273E7" w:rsidRPr="006663D5" w:rsidRDefault="00F273E7" w:rsidP="00F273E7">
            <w:pPr>
              <w:pStyle w:val="ARtabletext"/>
            </w:pPr>
            <w:r w:rsidRPr="000A30CD">
              <w:rPr>
                <w:rFonts w:eastAsia="Times New Roman"/>
                <w:color w:val="000000"/>
                <w:sz w:val="16"/>
                <w:szCs w:val="16"/>
              </w:rPr>
              <w:t xml:space="preserve">Development: Aboriginal </w:t>
            </w:r>
            <w:r w:rsidR="000E4DCD" w:rsidRPr="000A30CD">
              <w:rPr>
                <w:rFonts w:eastAsia="Times New Roman"/>
                <w:color w:val="000000"/>
                <w:sz w:val="16"/>
                <w:szCs w:val="16"/>
              </w:rPr>
              <w:t>cultural safety framework</w:t>
            </w:r>
          </w:p>
        </w:tc>
        <w:tc>
          <w:tcPr>
            <w:tcW w:w="0" w:type="pct"/>
            <w:noWrap/>
          </w:tcPr>
          <w:p w14:paraId="5F0FA3EC" w14:textId="77777777" w:rsidR="00F273E7" w:rsidRPr="006663D5" w:rsidRDefault="00F273E7" w:rsidP="00F273E7">
            <w:pPr>
              <w:pStyle w:val="ARtabletextright"/>
            </w:pPr>
            <w:r w:rsidRPr="000A30CD">
              <w:rPr>
                <w:rFonts w:eastAsia="Times New Roman"/>
                <w:color w:val="000000"/>
                <w:sz w:val="16"/>
                <w:szCs w:val="16"/>
              </w:rPr>
              <w:t>215,796.00</w:t>
            </w:r>
          </w:p>
        </w:tc>
        <w:tc>
          <w:tcPr>
            <w:tcW w:w="0" w:type="pct"/>
            <w:noWrap/>
          </w:tcPr>
          <w:p w14:paraId="76108B58" w14:textId="77777777" w:rsidR="00F273E7" w:rsidRPr="006663D5" w:rsidRDefault="00F273E7" w:rsidP="00F273E7">
            <w:pPr>
              <w:pStyle w:val="ARtabletextright"/>
            </w:pPr>
            <w:r w:rsidRPr="000A30CD">
              <w:rPr>
                <w:rFonts w:eastAsia="Times New Roman"/>
                <w:color w:val="000000"/>
                <w:sz w:val="16"/>
                <w:szCs w:val="16"/>
              </w:rPr>
              <w:t>128,848.00</w:t>
            </w:r>
          </w:p>
        </w:tc>
        <w:tc>
          <w:tcPr>
            <w:tcW w:w="0" w:type="pct"/>
            <w:noWrap/>
          </w:tcPr>
          <w:p w14:paraId="73BE9D69"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294A854A" w14:textId="77777777" w:rsidTr="00E34BA4">
        <w:trPr>
          <w:trHeight w:val="300"/>
        </w:trPr>
        <w:tc>
          <w:tcPr>
            <w:tcW w:w="0" w:type="pct"/>
            <w:noWrap/>
          </w:tcPr>
          <w:p w14:paraId="74894A26"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51EE7B21" w14:textId="77777777" w:rsidR="00F273E7" w:rsidRPr="006663D5" w:rsidRDefault="000E4DCD" w:rsidP="00F273E7">
            <w:pPr>
              <w:pStyle w:val="ARtabletext"/>
            </w:pPr>
            <w:r w:rsidRPr="000A30CD">
              <w:rPr>
                <w:rFonts w:eastAsia="Times New Roman"/>
                <w:color w:val="000000"/>
                <w:sz w:val="16"/>
                <w:szCs w:val="16"/>
              </w:rPr>
              <w:t>Australian Institute Of Family Studies</w:t>
            </w:r>
          </w:p>
        </w:tc>
        <w:tc>
          <w:tcPr>
            <w:tcW w:w="0" w:type="pct"/>
            <w:noWrap/>
          </w:tcPr>
          <w:p w14:paraId="44F68D69" w14:textId="77777777" w:rsidR="00F273E7" w:rsidRPr="006663D5" w:rsidRDefault="00F273E7" w:rsidP="00F273E7">
            <w:pPr>
              <w:pStyle w:val="ARtabletext"/>
            </w:pPr>
            <w:r w:rsidRPr="000A30CD">
              <w:rPr>
                <w:rFonts w:eastAsia="Times New Roman"/>
                <w:color w:val="000000"/>
                <w:sz w:val="16"/>
                <w:szCs w:val="16"/>
              </w:rPr>
              <w:t xml:space="preserve">Longitudinal </w:t>
            </w:r>
            <w:r w:rsidR="000E4DCD" w:rsidRPr="000A30CD">
              <w:rPr>
                <w:rFonts w:eastAsia="Times New Roman"/>
                <w:color w:val="000000"/>
                <w:sz w:val="16"/>
                <w:szCs w:val="16"/>
              </w:rPr>
              <w:t>study on leaving care</w:t>
            </w:r>
          </w:p>
        </w:tc>
        <w:tc>
          <w:tcPr>
            <w:tcW w:w="0" w:type="pct"/>
            <w:noWrap/>
          </w:tcPr>
          <w:p w14:paraId="419BC89D" w14:textId="77777777" w:rsidR="00F273E7" w:rsidRPr="006663D5" w:rsidRDefault="00F273E7" w:rsidP="00F273E7">
            <w:pPr>
              <w:pStyle w:val="ARtabletextright"/>
            </w:pPr>
            <w:r w:rsidRPr="000A30CD">
              <w:rPr>
                <w:rFonts w:eastAsia="Times New Roman"/>
                <w:color w:val="000000"/>
                <w:sz w:val="16"/>
                <w:szCs w:val="16"/>
              </w:rPr>
              <w:t>938,825.00</w:t>
            </w:r>
          </w:p>
        </w:tc>
        <w:tc>
          <w:tcPr>
            <w:tcW w:w="0" w:type="pct"/>
            <w:noWrap/>
          </w:tcPr>
          <w:p w14:paraId="106C1637" w14:textId="77777777" w:rsidR="00F273E7" w:rsidRPr="006663D5" w:rsidRDefault="00F273E7" w:rsidP="00F273E7">
            <w:pPr>
              <w:pStyle w:val="ARtabletextright"/>
            </w:pPr>
            <w:r w:rsidRPr="000A30CD">
              <w:rPr>
                <w:rFonts w:eastAsia="Times New Roman"/>
                <w:color w:val="000000"/>
                <w:sz w:val="16"/>
                <w:szCs w:val="16"/>
              </w:rPr>
              <w:t>45,455.00</w:t>
            </w:r>
          </w:p>
        </w:tc>
        <w:tc>
          <w:tcPr>
            <w:tcW w:w="0" w:type="pct"/>
            <w:noWrap/>
          </w:tcPr>
          <w:p w14:paraId="1D9CF407"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3097D6AD" w14:textId="77777777" w:rsidTr="00E34BA4">
        <w:trPr>
          <w:trHeight w:val="300"/>
        </w:trPr>
        <w:tc>
          <w:tcPr>
            <w:tcW w:w="0" w:type="pct"/>
            <w:noWrap/>
          </w:tcPr>
          <w:p w14:paraId="2AE82C12"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27EF6D41" w14:textId="77777777" w:rsidR="00F273E7" w:rsidRPr="006663D5" w:rsidRDefault="000E4DCD" w:rsidP="00F273E7">
            <w:pPr>
              <w:pStyle w:val="ARtabletext"/>
            </w:pPr>
            <w:r w:rsidRPr="000A30CD">
              <w:rPr>
                <w:rFonts w:eastAsia="Times New Roman"/>
                <w:color w:val="000000"/>
                <w:sz w:val="16"/>
                <w:szCs w:val="16"/>
              </w:rPr>
              <w:t>Deloitte Access Economics Pty Ltd</w:t>
            </w:r>
          </w:p>
        </w:tc>
        <w:tc>
          <w:tcPr>
            <w:tcW w:w="0" w:type="pct"/>
            <w:noWrap/>
          </w:tcPr>
          <w:p w14:paraId="273F31BA" w14:textId="77777777" w:rsidR="00F273E7" w:rsidRPr="006663D5" w:rsidRDefault="00F273E7" w:rsidP="00F273E7">
            <w:pPr>
              <w:pStyle w:val="ARtabletext"/>
            </w:pPr>
            <w:r w:rsidRPr="000A30CD">
              <w:rPr>
                <w:rFonts w:eastAsia="Times New Roman"/>
                <w:color w:val="000000"/>
                <w:sz w:val="16"/>
                <w:szCs w:val="16"/>
              </w:rPr>
              <w:t>Modelling the</w:t>
            </w:r>
            <w:r w:rsidR="000E4DCD" w:rsidRPr="000A30CD">
              <w:rPr>
                <w:rFonts w:eastAsia="Times New Roman"/>
                <w:color w:val="000000"/>
                <w:sz w:val="16"/>
                <w:szCs w:val="16"/>
              </w:rPr>
              <w:t xml:space="preserve"> value of unpaid work</w:t>
            </w:r>
          </w:p>
        </w:tc>
        <w:tc>
          <w:tcPr>
            <w:tcW w:w="0" w:type="pct"/>
            <w:noWrap/>
          </w:tcPr>
          <w:p w14:paraId="3E63819D" w14:textId="77777777" w:rsidR="00F273E7" w:rsidRPr="006663D5" w:rsidRDefault="00F273E7" w:rsidP="00F273E7">
            <w:pPr>
              <w:pStyle w:val="ARtabletextright"/>
            </w:pPr>
            <w:r w:rsidRPr="000A30CD">
              <w:rPr>
                <w:rFonts w:eastAsia="Times New Roman"/>
                <w:color w:val="000000"/>
                <w:sz w:val="16"/>
                <w:szCs w:val="16"/>
              </w:rPr>
              <w:t>134,402.00</w:t>
            </w:r>
          </w:p>
        </w:tc>
        <w:tc>
          <w:tcPr>
            <w:tcW w:w="0" w:type="pct"/>
            <w:noWrap/>
          </w:tcPr>
          <w:p w14:paraId="0A704419" w14:textId="77777777" w:rsidR="00F273E7" w:rsidRPr="006663D5" w:rsidRDefault="00F273E7" w:rsidP="00F273E7">
            <w:pPr>
              <w:pStyle w:val="ARtabletextright"/>
            </w:pPr>
            <w:r w:rsidRPr="000A30CD">
              <w:rPr>
                <w:rFonts w:eastAsia="Times New Roman"/>
                <w:color w:val="000000"/>
                <w:sz w:val="16"/>
                <w:szCs w:val="16"/>
              </w:rPr>
              <w:t>113,015.00</w:t>
            </w:r>
          </w:p>
        </w:tc>
        <w:tc>
          <w:tcPr>
            <w:tcW w:w="0" w:type="pct"/>
            <w:noWrap/>
          </w:tcPr>
          <w:p w14:paraId="0FF12151"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7C8FB674" w14:textId="77777777" w:rsidTr="00F94CEE">
        <w:trPr>
          <w:trHeight w:val="300"/>
        </w:trPr>
        <w:tc>
          <w:tcPr>
            <w:tcW w:w="0" w:type="pct"/>
            <w:noWrap/>
          </w:tcPr>
          <w:p w14:paraId="4C1371CE"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2101C634" w14:textId="77777777" w:rsidR="00F273E7" w:rsidRPr="006663D5" w:rsidRDefault="00F273E7" w:rsidP="00F273E7">
            <w:pPr>
              <w:pStyle w:val="ARtabletext"/>
            </w:pPr>
            <w:r w:rsidRPr="000A30CD">
              <w:rPr>
                <w:rFonts w:eastAsia="Times New Roman"/>
                <w:color w:val="000000"/>
                <w:sz w:val="16"/>
                <w:szCs w:val="16"/>
              </w:rPr>
              <w:t>L</w:t>
            </w:r>
            <w:r w:rsidR="000E4DCD" w:rsidRPr="000A30CD">
              <w:rPr>
                <w:rFonts w:eastAsia="Times New Roman"/>
                <w:color w:val="000000"/>
                <w:sz w:val="16"/>
                <w:szCs w:val="16"/>
              </w:rPr>
              <w:t>andell</w:t>
            </w:r>
          </w:p>
        </w:tc>
        <w:tc>
          <w:tcPr>
            <w:tcW w:w="0" w:type="pct"/>
            <w:noWrap/>
          </w:tcPr>
          <w:p w14:paraId="5C1D6E9D" w14:textId="77777777" w:rsidR="00F273E7" w:rsidRPr="006663D5" w:rsidRDefault="00F273E7" w:rsidP="00F273E7">
            <w:pPr>
              <w:pStyle w:val="ARtabletext"/>
            </w:pPr>
            <w:r w:rsidRPr="000A30CD">
              <w:rPr>
                <w:rFonts w:eastAsia="Times New Roman"/>
                <w:color w:val="000000"/>
                <w:sz w:val="16"/>
                <w:szCs w:val="16"/>
              </w:rPr>
              <w:t xml:space="preserve">Development: </w:t>
            </w:r>
            <w:r w:rsidR="000E4DCD" w:rsidRPr="000A30CD">
              <w:rPr>
                <w:rFonts w:eastAsia="Times New Roman"/>
                <w:color w:val="000000"/>
                <w:sz w:val="16"/>
                <w:szCs w:val="16"/>
              </w:rPr>
              <w:t>go</w:t>
            </w:r>
            <w:r w:rsidR="000E4DCD">
              <w:rPr>
                <w:rFonts w:eastAsia="Times New Roman"/>
                <w:color w:val="000000"/>
                <w:sz w:val="16"/>
                <w:szCs w:val="16"/>
              </w:rPr>
              <w:t>-</w:t>
            </w:r>
            <w:r w:rsidR="000E4DCD" w:rsidRPr="000A30CD">
              <w:rPr>
                <w:rFonts w:eastAsia="Times New Roman"/>
                <w:color w:val="000000"/>
                <w:sz w:val="16"/>
                <w:szCs w:val="16"/>
              </w:rPr>
              <w:t>to</w:t>
            </w:r>
            <w:r w:rsidR="000E4DCD">
              <w:rPr>
                <w:rFonts w:eastAsia="Times New Roman"/>
                <w:color w:val="000000"/>
                <w:sz w:val="16"/>
                <w:szCs w:val="16"/>
              </w:rPr>
              <w:t>-</w:t>
            </w:r>
            <w:r w:rsidR="000E4DCD" w:rsidRPr="000A30CD">
              <w:rPr>
                <w:rFonts w:eastAsia="Times New Roman"/>
                <w:color w:val="000000"/>
                <w:sz w:val="16"/>
                <w:szCs w:val="16"/>
              </w:rPr>
              <w:t xml:space="preserve">market documentation to support the </w:t>
            </w:r>
            <w:r w:rsidR="000E4DCD">
              <w:rPr>
                <w:rFonts w:eastAsia="Times New Roman"/>
                <w:color w:val="000000"/>
                <w:sz w:val="16"/>
                <w:szCs w:val="16"/>
              </w:rPr>
              <w:t>FSV</w:t>
            </w:r>
            <w:r w:rsidR="000E4DCD" w:rsidRPr="000A30CD">
              <w:rPr>
                <w:rFonts w:eastAsia="Times New Roman"/>
                <w:color w:val="000000"/>
                <w:sz w:val="16"/>
                <w:szCs w:val="16"/>
              </w:rPr>
              <w:t xml:space="preserve"> business case</w:t>
            </w:r>
          </w:p>
        </w:tc>
        <w:tc>
          <w:tcPr>
            <w:tcW w:w="0" w:type="pct"/>
            <w:noWrap/>
          </w:tcPr>
          <w:p w14:paraId="70295FF0" w14:textId="77777777" w:rsidR="00F273E7" w:rsidRPr="006663D5" w:rsidRDefault="00F273E7" w:rsidP="00F273E7">
            <w:pPr>
              <w:pStyle w:val="ARtabletextright"/>
            </w:pPr>
            <w:r w:rsidRPr="000A30CD">
              <w:rPr>
                <w:rFonts w:eastAsia="Times New Roman"/>
                <w:color w:val="000000"/>
                <w:sz w:val="16"/>
                <w:szCs w:val="16"/>
              </w:rPr>
              <w:t>119,823.00</w:t>
            </w:r>
          </w:p>
        </w:tc>
        <w:tc>
          <w:tcPr>
            <w:tcW w:w="0" w:type="pct"/>
            <w:noWrap/>
          </w:tcPr>
          <w:p w14:paraId="7E527165" w14:textId="77777777" w:rsidR="00F273E7" w:rsidRPr="006663D5" w:rsidRDefault="00F273E7" w:rsidP="00F273E7">
            <w:pPr>
              <w:pStyle w:val="ARtabletextright"/>
            </w:pPr>
            <w:r w:rsidRPr="000A30CD">
              <w:rPr>
                <w:rFonts w:eastAsia="Times New Roman"/>
                <w:color w:val="000000"/>
                <w:sz w:val="16"/>
                <w:szCs w:val="16"/>
              </w:rPr>
              <w:t>85,769.00</w:t>
            </w:r>
          </w:p>
        </w:tc>
        <w:tc>
          <w:tcPr>
            <w:tcW w:w="0" w:type="pct"/>
            <w:noWrap/>
          </w:tcPr>
          <w:p w14:paraId="3BD52F98"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4B8CB710" w14:textId="77777777" w:rsidTr="00E34BA4">
        <w:trPr>
          <w:trHeight w:val="300"/>
        </w:trPr>
        <w:tc>
          <w:tcPr>
            <w:tcW w:w="0" w:type="pct"/>
            <w:noWrap/>
          </w:tcPr>
          <w:p w14:paraId="305770FC"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25963C4E" w14:textId="77777777" w:rsidR="00F273E7" w:rsidRPr="006663D5" w:rsidRDefault="000E4DCD" w:rsidP="00F273E7">
            <w:pPr>
              <w:pStyle w:val="ARtabletext"/>
            </w:pPr>
            <w:r w:rsidRPr="000A30CD">
              <w:rPr>
                <w:rFonts w:eastAsia="Times New Roman"/>
                <w:color w:val="000000"/>
                <w:sz w:val="16"/>
                <w:szCs w:val="16"/>
              </w:rPr>
              <w:t>Cube Group Management Consulting</w:t>
            </w:r>
          </w:p>
        </w:tc>
        <w:tc>
          <w:tcPr>
            <w:tcW w:w="0" w:type="pct"/>
            <w:noWrap/>
          </w:tcPr>
          <w:p w14:paraId="0F943E20" w14:textId="77777777" w:rsidR="00F273E7" w:rsidRPr="006663D5" w:rsidRDefault="00F273E7" w:rsidP="00F273E7">
            <w:pPr>
              <w:pStyle w:val="ARtabletext"/>
            </w:pPr>
            <w:r w:rsidRPr="000A30CD">
              <w:rPr>
                <w:rFonts w:eastAsia="Times New Roman"/>
                <w:color w:val="000000"/>
                <w:sz w:val="16"/>
                <w:szCs w:val="16"/>
              </w:rPr>
              <w:t>Development of Regulation Division</w:t>
            </w:r>
            <w:r w:rsidR="000E4DCD">
              <w:rPr>
                <w:rFonts w:eastAsia="Times New Roman"/>
                <w:color w:val="000000"/>
                <w:sz w:val="16"/>
                <w:szCs w:val="16"/>
              </w:rPr>
              <w:t>’</w:t>
            </w:r>
            <w:r w:rsidRPr="000A30CD">
              <w:rPr>
                <w:rFonts w:eastAsia="Times New Roman"/>
                <w:color w:val="000000"/>
                <w:sz w:val="16"/>
                <w:szCs w:val="16"/>
              </w:rPr>
              <w:t xml:space="preserve">s </w:t>
            </w:r>
            <w:r w:rsidR="000E4DCD" w:rsidRPr="000A30CD">
              <w:rPr>
                <w:rFonts w:eastAsia="Times New Roman"/>
                <w:color w:val="000000"/>
                <w:sz w:val="16"/>
                <w:szCs w:val="16"/>
              </w:rPr>
              <w:t>performance framework</w:t>
            </w:r>
          </w:p>
        </w:tc>
        <w:tc>
          <w:tcPr>
            <w:tcW w:w="0" w:type="pct"/>
            <w:noWrap/>
          </w:tcPr>
          <w:p w14:paraId="45201788" w14:textId="77777777" w:rsidR="00F273E7" w:rsidRPr="006663D5" w:rsidRDefault="00F273E7" w:rsidP="00F273E7">
            <w:pPr>
              <w:pStyle w:val="ARtabletextright"/>
            </w:pPr>
            <w:r w:rsidRPr="000A30CD">
              <w:rPr>
                <w:rFonts w:eastAsia="Times New Roman"/>
                <w:color w:val="000000"/>
                <w:sz w:val="16"/>
                <w:szCs w:val="16"/>
              </w:rPr>
              <w:t>44,800.00</w:t>
            </w:r>
          </w:p>
        </w:tc>
        <w:tc>
          <w:tcPr>
            <w:tcW w:w="0" w:type="pct"/>
            <w:noWrap/>
          </w:tcPr>
          <w:p w14:paraId="7B33A84D" w14:textId="77777777" w:rsidR="00F273E7" w:rsidRPr="006663D5" w:rsidRDefault="00F273E7" w:rsidP="00F273E7">
            <w:pPr>
              <w:pStyle w:val="ARtabletextright"/>
            </w:pPr>
            <w:r w:rsidRPr="000A30CD">
              <w:rPr>
                <w:rFonts w:eastAsia="Times New Roman"/>
                <w:color w:val="000000"/>
                <w:sz w:val="16"/>
                <w:szCs w:val="16"/>
              </w:rPr>
              <w:t>30,255.00</w:t>
            </w:r>
          </w:p>
        </w:tc>
        <w:tc>
          <w:tcPr>
            <w:tcW w:w="0" w:type="pct"/>
            <w:noWrap/>
          </w:tcPr>
          <w:p w14:paraId="07CC8165"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39616C95" w14:textId="77777777" w:rsidTr="00E34BA4">
        <w:trPr>
          <w:trHeight w:val="300"/>
        </w:trPr>
        <w:tc>
          <w:tcPr>
            <w:tcW w:w="0" w:type="pct"/>
            <w:noWrap/>
          </w:tcPr>
          <w:p w14:paraId="7057C391"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71F67AF3" w14:textId="77777777" w:rsidR="00F273E7" w:rsidRPr="006663D5" w:rsidRDefault="000E4DCD" w:rsidP="00F273E7">
            <w:pPr>
              <w:pStyle w:val="ARtabletext"/>
            </w:pPr>
            <w:r w:rsidRPr="000A30CD">
              <w:rPr>
                <w:rFonts w:eastAsia="Times New Roman"/>
                <w:color w:val="000000"/>
                <w:sz w:val="16"/>
                <w:szCs w:val="16"/>
              </w:rPr>
              <w:t>Ernst &amp; Young</w:t>
            </w:r>
          </w:p>
        </w:tc>
        <w:tc>
          <w:tcPr>
            <w:tcW w:w="0" w:type="pct"/>
            <w:noWrap/>
          </w:tcPr>
          <w:p w14:paraId="17D79E10" w14:textId="77777777" w:rsidR="00F273E7" w:rsidRPr="006663D5" w:rsidRDefault="00F273E7" w:rsidP="00F273E7">
            <w:pPr>
              <w:pStyle w:val="ARtabletext"/>
            </w:pPr>
            <w:r w:rsidRPr="000A30CD">
              <w:rPr>
                <w:rFonts w:eastAsia="Times New Roman"/>
                <w:color w:val="000000"/>
                <w:sz w:val="16"/>
                <w:szCs w:val="16"/>
              </w:rPr>
              <w:t xml:space="preserve">Establishment of </w:t>
            </w:r>
            <w:r w:rsidR="000E4DCD" w:rsidRPr="000A30CD">
              <w:rPr>
                <w:rFonts w:eastAsia="Times New Roman"/>
                <w:color w:val="000000"/>
                <w:sz w:val="16"/>
                <w:szCs w:val="16"/>
              </w:rPr>
              <w:t>project management office</w:t>
            </w:r>
          </w:p>
        </w:tc>
        <w:tc>
          <w:tcPr>
            <w:tcW w:w="0" w:type="pct"/>
            <w:noWrap/>
          </w:tcPr>
          <w:p w14:paraId="45D780F0" w14:textId="77777777" w:rsidR="00F273E7" w:rsidRPr="006663D5" w:rsidRDefault="00F273E7" w:rsidP="00F273E7">
            <w:pPr>
              <w:pStyle w:val="ARtabletextright"/>
            </w:pPr>
            <w:r w:rsidRPr="000A30CD">
              <w:rPr>
                <w:rFonts w:eastAsia="Times New Roman"/>
                <w:color w:val="000000"/>
                <w:sz w:val="16"/>
                <w:szCs w:val="16"/>
              </w:rPr>
              <w:t>4,090,909.00</w:t>
            </w:r>
          </w:p>
        </w:tc>
        <w:tc>
          <w:tcPr>
            <w:tcW w:w="0" w:type="pct"/>
            <w:noWrap/>
          </w:tcPr>
          <w:p w14:paraId="777A48B5" w14:textId="77777777" w:rsidR="00F273E7" w:rsidRPr="006663D5" w:rsidRDefault="00F273E7" w:rsidP="00F273E7">
            <w:pPr>
              <w:pStyle w:val="ARtabletextright"/>
            </w:pPr>
            <w:r w:rsidRPr="000A30CD">
              <w:rPr>
                <w:rFonts w:eastAsia="Times New Roman"/>
                <w:color w:val="000000"/>
                <w:sz w:val="16"/>
                <w:szCs w:val="16"/>
              </w:rPr>
              <w:t>2,259,290.00</w:t>
            </w:r>
          </w:p>
        </w:tc>
        <w:tc>
          <w:tcPr>
            <w:tcW w:w="0" w:type="pct"/>
            <w:noWrap/>
          </w:tcPr>
          <w:p w14:paraId="29443992" w14:textId="77777777" w:rsidR="00F273E7" w:rsidRPr="006663D5" w:rsidRDefault="00F273E7" w:rsidP="00F273E7">
            <w:pPr>
              <w:pStyle w:val="ARtabletextright"/>
            </w:pPr>
            <w:r w:rsidRPr="000A30CD">
              <w:rPr>
                <w:rFonts w:eastAsia="Times New Roman"/>
                <w:color w:val="000000"/>
                <w:sz w:val="16"/>
                <w:szCs w:val="16"/>
              </w:rPr>
              <w:t>1,831,619.00</w:t>
            </w:r>
          </w:p>
        </w:tc>
      </w:tr>
      <w:tr w:rsidR="00F273E7" w:rsidRPr="006663D5" w14:paraId="3343113F" w14:textId="77777777" w:rsidTr="00F94CEE">
        <w:trPr>
          <w:trHeight w:val="300"/>
        </w:trPr>
        <w:tc>
          <w:tcPr>
            <w:tcW w:w="0" w:type="pct"/>
            <w:noWrap/>
          </w:tcPr>
          <w:p w14:paraId="698F6219"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3CB34E58" w14:textId="77777777" w:rsidR="00F273E7" w:rsidRPr="006663D5" w:rsidRDefault="000E4DCD" w:rsidP="00F273E7">
            <w:pPr>
              <w:pStyle w:val="ARtabletext"/>
            </w:pPr>
            <w:r w:rsidRPr="000A30CD">
              <w:rPr>
                <w:rFonts w:eastAsia="Times New Roman"/>
                <w:color w:val="000000"/>
                <w:sz w:val="16"/>
                <w:szCs w:val="16"/>
              </w:rPr>
              <w:t>Deloitte Touche Tohmatsu</w:t>
            </w:r>
          </w:p>
        </w:tc>
        <w:tc>
          <w:tcPr>
            <w:tcW w:w="0" w:type="pct"/>
            <w:noWrap/>
          </w:tcPr>
          <w:p w14:paraId="45D16A13" w14:textId="77777777" w:rsidR="00F273E7" w:rsidRPr="006663D5" w:rsidRDefault="00F273E7" w:rsidP="00F273E7">
            <w:pPr>
              <w:pStyle w:val="ARtabletext"/>
            </w:pPr>
            <w:r w:rsidRPr="000A30CD">
              <w:rPr>
                <w:rFonts w:eastAsia="Times New Roman"/>
                <w:color w:val="000000"/>
                <w:sz w:val="16"/>
                <w:szCs w:val="16"/>
              </w:rPr>
              <w:t xml:space="preserve">Demand </w:t>
            </w:r>
            <w:r w:rsidR="000E4DCD">
              <w:rPr>
                <w:rFonts w:eastAsia="Times New Roman"/>
                <w:color w:val="000000"/>
                <w:sz w:val="16"/>
                <w:szCs w:val="16"/>
              </w:rPr>
              <w:t>m</w:t>
            </w:r>
            <w:r w:rsidRPr="000A30CD">
              <w:rPr>
                <w:rFonts w:eastAsia="Times New Roman"/>
                <w:color w:val="000000"/>
                <w:sz w:val="16"/>
                <w:szCs w:val="16"/>
              </w:rPr>
              <w:t>anagement</w:t>
            </w:r>
            <w:r w:rsidR="000E4DCD">
              <w:rPr>
                <w:rFonts w:eastAsia="Times New Roman"/>
                <w:color w:val="000000"/>
                <w:sz w:val="16"/>
                <w:szCs w:val="16"/>
              </w:rPr>
              <w:t xml:space="preserve">: </w:t>
            </w:r>
            <w:r w:rsidRPr="000A30CD">
              <w:rPr>
                <w:rFonts w:eastAsia="Times New Roman"/>
                <w:color w:val="000000"/>
                <w:sz w:val="16"/>
                <w:szCs w:val="16"/>
              </w:rPr>
              <w:t>support and safety hubs</w:t>
            </w:r>
          </w:p>
        </w:tc>
        <w:tc>
          <w:tcPr>
            <w:tcW w:w="0" w:type="pct"/>
            <w:noWrap/>
          </w:tcPr>
          <w:p w14:paraId="0DDF2828" w14:textId="77777777" w:rsidR="00F273E7" w:rsidRPr="006663D5" w:rsidRDefault="00F273E7" w:rsidP="00F273E7">
            <w:pPr>
              <w:pStyle w:val="ARtabletextright"/>
            </w:pPr>
            <w:r w:rsidRPr="000A30CD">
              <w:rPr>
                <w:rFonts w:eastAsia="Times New Roman"/>
                <w:color w:val="000000"/>
                <w:sz w:val="16"/>
                <w:szCs w:val="16"/>
              </w:rPr>
              <w:t>268,182.00</w:t>
            </w:r>
          </w:p>
        </w:tc>
        <w:tc>
          <w:tcPr>
            <w:tcW w:w="0" w:type="pct"/>
            <w:noWrap/>
          </w:tcPr>
          <w:p w14:paraId="4514446C" w14:textId="77777777" w:rsidR="00F273E7" w:rsidRPr="006663D5" w:rsidRDefault="00F273E7" w:rsidP="00F273E7">
            <w:pPr>
              <w:pStyle w:val="ARtabletextright"/>
            </w:pPr>
            <w:r w:rsidRPr="000A30CD">
              <w:rPr>
                <w:rFonts w:eastAsia="Times New Roman"/>
                <w:color w:val="000000"/>
                <w:sz w:val="16"/>
                <w:szCs w:val="16"/>
              </w:rPr>
              <w:t>150,474.00</w:t>
            </w:r>
          </w:p>
        </w:tc>
        <w:tc>
          <w:tcPr>
            <w:tcW w:w="0" w:type="pct"/>
            <w:noWrap/>
          </w:tcPr>
          <w:p w14:paraId="3591BE6C"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555DDDBC" w14:textId="77777777" w:rsidTr="00A5415F">
        <w:trPr>
          <w:trHeight w:val="300"/>
        </w:trPr>
        <w:tc>
          <w:tcPr>
            <w:tcW w:w="0" w:type="pct"/>
            <w:noWrap/>
          </w:tcPr>
          <w:p w14:paraId="2EF979D3"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33C3689F" w14:textId="77777777" w:rsidR="00F273E7" w:rsidRPr="006663D5" w:rsidRDefault="009C795A" w:rsidP="00F273E7">
            <w:pPr>
              <w:pStyle w:val="ARtabletext"/>
            </w:pPr>
            <w:r w:rsidRPr="000A30CD">
              <w:rPr>
                <w:rFonts w:eastAsia="Times New Roman"/>
                <w:color w:val="000000"/>
                <w:sz w:val="16"/>
                <w:szCs w:val="16"/>
              </w:rPr>
              <w:t>Deloitte Touche Tohmatsu</w:t>
            </w:r>
          </w:p>
        </w:tc>
        <w:tc>
          <w:tcPr>
            <w:tcW w:w="0" w:type="pct"/>
            <w:noWrap/>
          </w:tcPr>
          <w:p w14:paraId="6A9174D9" w14:textId="77777777" w:rsidR="00F273E7" w:rsidRPr="006663D5" w:rsidRDefault="00F273E7" w:rsidP="00F273E7">
            <w:pPr>
              <w:pStyle w:val="ARtabletext"/>
            </w:pPr>
            <w:r w:rsidRPr="000A30CD">
              <w:rPr>
                <w:rFonts w:eastAsia="Times New Roman"/>
                <w:color w:val="000000"/>
                <w:sz w:val="16"/>
                <w:szCs w:val="16"/>
              </w:rPr>
              <w:t>Develop detail design and roll-out plans</w:t>
            </w:r>
            <w:r w:rsidR="009C795A">
              <w:rPr>
                <w:rFonts w:eastAsia="Times New Roman"/>
                <w:color w:val="000000"/>
                <w:sz w:val="16"/>
                <w:szCs w:val="16"/>
              </w:rPr>
              <w:t>:</w:t>
            </w:r>
            <w:r w:rsidRPr="000A30CD">
              <w:rPr>
                <w:rFonts w:eastAsia="Times New Roman"/>
                <w:color w:val="000000"/>
                <w:sz w:val="16"/>
                <w:szCs w:val="16"/>
              </w:rPr>
              <w:t xml:space="preserve"> statewide enterprise master-patient index project</w:t>
            </w:r>
          </w:p>
        </w:tc>
        <w:tc>
          <w:tcPr>
            <w:tcW w:w="0" w:type="pct"/>
            <w:noWrap/>
          </w:tcPr>
          <w:p w14:paraId="693CA7E9" w14:textId="77777777" w:rsidR="00F273E7" w:rsidRPr="006663D5" w:rsidRDefault="00F273E7" w:rsidP="00F273E7">
            <w:pPr>
              <w:pStyle w:val="ARtabletextright"/>
            </w:pPr>
            <w:r w:rsidRPr="000A30CD">
              <w:rPr>
                <w:rFonts w:eastAsia="Times New Roman"/>
                <w:color w:val="000000"/>
                <w:sz w:val="16"/>
                <w:szCs w:val="16"/>
              </w:rPr>
              <w:t>905,007.00</w:t>
            </w:r>
          </w:p>
        </w:tc>
        <w:tc>
          <w:tcPr>
            <w:tcW w:w="0" w:type="pct"/>
            <w:noWrap/>
          </w:tcPr>
          <w:p w14:paraId="570271E1" w14:textId="77777777" w:rsidR="00F273E7" w:rsidRPr="006663D5" w:rsidRDefault="00F273E7" w:rsidP="00F273E7">
            <w:pPr>
              <w:pStyle w:val="ARtabletextright"/>
            </w:pPr>
            <w:r w:rsidRPr="000A30CD">
              <w:rPr>
                <w:rFonts w:eastAsia="Times New Roman"/>
                <w:color w:val="000000"/>
                <w:sz w:val="16"/>
                <w:szCs w:val="16"/>
              </w:rPr>
              <w:t>90,818.00</w:t>
            </w:r>
          </w:p>
        </w:tc>
        <w:tc>
          <w:tcPr>
            <w:tcW w:w="0" w:type="pct"/>
            <w:noWrap/>
          </w:tcPr>
          <w:p w14:paraId="13D7B595"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1B4DF370" w14:textId="77777777" w:rsidTr="00E34BA4">
        <w:trPr>
          <w:trHeight w:val="300"/>
        </w:trPr>
        <w:tc>
          <w:tcPr>
            <w:tcW w:w="0" w:type="pct"/>
            <w:noWrap/>
          </w:tcPr>
          <w:p w14:paraId="0D104F84"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45C722BD" w14:textId="77777777" w:rsidR="00F273E7" w:rsidRPr="006663D5" w:rsidRDefault="009C795A" w:rsidP="00F273E7">
            <w:pPr>
              <w:pStyle w:val="ARtabletext"/>
            </w:pPr>
            <w:r w:rsidRPr="000A30CD">
              <w:rPr>
                <w:rFonts w:eastAsia="Times New Roman"/>
                <w:color w:val="000000"/>
                <w:sz w:val="16"/>
                <w:szCs w:val="16"/>
              </w:rPr>
              <w:t>Deloitte Touche Tohmatsu</w:t>
            </w:r>
          </w:p>
        </w:tc>
        <w:tc>
          <w:tcPr>
            <w:tcW w:w="0" w:type="pct"/>
            <w:noWrap/>
          </w:tcPr>
          <w:p w14:paraId="038C97D0" w14:textId="77777777" w:rsidR="00F273E7" w:rsidRPr="006663D5" w:rsidRDefault="00F273E7" w:rsidP="00F273E7">
            <w:pPr>
              <w:pStyle w:val="ARtabletext"/>
            </w:pPr>
            <w:r w:rsidRPr="000A30CD">
              <w:rPr>
                <w:rFonts w:eastAsia="Times New Roman"/>
                <w:color w:val="000000"/>
                <w:sz w:val="16"/>
                <w:szCs w:val="16"/>
              </w:rPr>
              <w:t xml:space="preserve">Development: </w:t>
            </w:r>
            <w:r w:rsidR="009C795A" w:rsidRPr="000A30CD">
              <w:rPr>
                <w:rFonts w:eastAsia="Times New Roman"/>
                <w:color w:val="000000"/>
                <w:sz w:val="16"/>
                <w:szCs w:val="16"/>
              </w:rPr>
              <w:t xml:space="preserve">new funding model for </w:t>
            </w:r>
            <w:r w:rsidRPr="000A30CD">
              <w:rPr>
                <w:rFonts w:eastAsia="Times New Roman"/>
                <w:color w:val="000000"/>
                <w:sz w:val="16"/>
                <w:szCs w:val="16"/>
              </w:rPr>
              <w:t>Child and Family Services</w:t>
            </w:r>
          </w:p>
        </w:tc>
        <w:tc>
          <w:tcPr>
            <w:tcW w:w="0" w:type="pct"/>
            <w:noWrap/>
          </w:tcPr>
          <w:p w14:paraId="43A8B04C" w14:textId="77777777" w:rsidR="00F273E7" w:rsidRPr="006663D5" w:rsidRDefault="00F273E7" w:rsidP="00F273E7">
            <w:pPr>
              <w:pStyle w:val="ARtabletextright"/>
            </w:pPr>
            <w:r w:rsidRPr="000A30CD">
              <w:rPr>
                <w:rFonts w:eastAsia="Times New Roman"/>
                <w:color w:val="000000"/>
                <w:sz w:val="16"/>
                <w:szCs w:val="16"/>
              </w:rPr>
              <w:t>130,784.00</w:t>
            </w:r>
          </w:p>
        </w:tc>
        <w:tc>
          <w:tcPr>
            <w:tcW w:w="0" w:type="pct"/>
            <w:noWrap/>
          </w:tcPr>
          <w:p w14:paraId="3980341E" w14:textId="77777777" w:rsidR="00F273E7" w:rsidRPr="006663D5" w:rsidRDefault="00F273E7" w:rsidP="00F273E7">
            <w:pPr>
              <w:pStyle w:val="ARtabletextright"/>
            </w:pPr>
            <w:r w:rsidRPr="000A30CD">
              <w:rPr>
                <w:rFonts w:eastAsia="Times New Roman"/>
                <w:color w:val="000000"/>
                <w:sz w:val="16"/>
                <w:szCs w:val="16"/>
              </w:rPr>
              <w:t>51,686.00</w:t>
            </w:r>
          </w:p>
        </w:tc>
        <w:tc>
          <w:tcPr>
            <w:tcW w:w="0" w:type="pct"/>
            <w:noWrap/>
          </w:tcPr>
          <w:p w14:paraId="065C3AF1" w14:textId="77777777" w:rsidR="00F273E7" w:rsidRPr="006663D5" w:rsidRDefault="00F273E7" w:rsidP="00F273E7">
            <w:pPr>
              <w:pStyle w:val="ARtabletextright"/>
            </w:pPr>
            <w:r w:rsidRPr="000A30CD">
              <w:rPr>
                <w:rFonts w:eastAsia="Times New Roman"/>
                <w:color w:val="000000"/>
                <w:sz w:val="16"/>
                <w:szCs w:val="16"/>
              </w:rPr>
              <w:t>79,098.00</w:t>
            </w:r>
          </w:p>
        </w:tc>
      </w:tr>
      <w:tr w:rsidR="00F273E7" w:rsidRPr="006663D5" w14:paraId="55DB97CA" w14:textId="77777777" w:rsidTr="00A5415F">
        <w:trPr>
          <w:trHeight w:val="300"/>
        </w:trPr>
        <w:tc>
          <w:tcPr>
            <w:tcW w:w="0" w:type="pct"/>
            <w:noWrap/>
          </w:tcPr>
          <w:p w14:paraId="1880D8E5"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220D8E6D" w14:textId="77777777" w:rsidR="00F273E7" w:rsidRPr="006663D5" w:rsidRDefault="009C795A" w:rsidP="00F273E7">
            <w:pPr>
              <w:pStyle w:val="ARtabletext"/>
            </w:pPr>
            <w:r w:rsidRPr="000A30CD">
              <w:rPr>
                <w:rFonts w:eastAsia="Times New Roman"/>
                <w:color w:val="000000"/>
                <w:sz w:val="16"/>
                <w:szCs w:val="16"/>
              </w:rPr>
              <w:t>Deloitte Touche Tohmatsu</w:t>
            </w:r>
          </w:p>
        </w:tc>
        <w:tc>
          <w:tcPr>
            <w:tcW w:w="0" w:type="pct"/>
            <w:noWrap/>
          </w:tcPr>
          <w:p w14:paraId="7D1DBF24" w14:textId="77777777" w:rsidR="00F273E7" w:rsidRPr="006663D5" w:rsidRDefault="00F273E7" w:rsidP="00F273E7">
            <w:pPr>
              <w:pStyle w:val="ARtabletext"/>
            </w:pPr>
            <w:r w:rsidRPr="000A30CD">
              <w:rPr>
                <w:rFonts w:eastAsia="Times New Roman"/>
                <w:color w:val="000000"/>
                <w:sz w:val="16"/>
                <w:szCs w:val="16"/>
              </w:rPr>
              <w:t>Develop</w:t>
            </w:r>
            <w:r w:rsidR="009C795A">
              <w:rPr>
                <w:rFonts w:eastAsia="Times New Roman"/>
                <w:color w:val="000000"/>
                <w:sz w:val="16"/>
                <w:szCs w:val="16"/>
              </w:rPr>
              <w:t>:</w:t>
            </w:r>
            <w:r w:rsidRPr="000A30CD">
              <w:rPr>
                <w:rFonts w:eastAsia="Times New Roman"/>
                <w:color w:val="000000"/>
                <w:sz w:val="16"/>
                <w:szCs w:val="16"/>
              </w:rPr>
              <w:t xml:space="preserve"> rental abatement arbitration, Kardinia Park stage 5 </w:t>
            </w:r>
          </w:p>
        </w:tc>
        <w:tc>
          <w:tcPr>
            <w:tcW w:w="0" w:type="pct"/>
            <w:noWrap/>
          </w:tcPr>
          <w:p w14:paraId="793AB638" w14:textId="77777777" w:rsidR="00F273E7" w:rsidRPr="006663D5" w:rsidRDefault="00F273E7" w:rsidP="00F273E7">
            <w:pPr>
              <w:pStyle w:val="ARtabletextright"/>
            </w:pPr>
            <w:r w:rsidRPr="000A30CD">
              <w:rPr>
                <w:rFonts w:eastAsia="Times New Roman"/>
                <w:color w:val="000000"/>
                <w:sz w:val="16"/>
                <w:szCs w:val="16"/>
              </w:rPr>
              <w:t>72,240.00</w:t>
            </w:r>
          </w:p>
        </w:tc>
        <w:tc>
          <w:tcPr>
            <w:tcW w:w="0" w:type="pct"/>
            <w:noWrap/>
          </w:tcPr>
          <w:p w14:paraId="5C6D8325" w14:textId="77777777" w:rsidR="00F273E7" w:rsidRPr="006663D5" w:rsidRDefault="00F273E7" w:rsidP="00F273E7">
            <w:pPr>
              <w:pStyle w:val="ARtabletextright"/>
            </w:pPr>
            <w:r w:rsidRPr="000A30CD">
              <w:rPr>
                <w:rFonts w:eastAsia="Times New Roman"/>
                <w:color w:val="000000"/>
                <w:sz w:val="16"/>
                <w:szCs w:val="16"/>
              </w:rPr>
              <w:t>42,666.00</w:t>
            </w:r>
          </w:p>
        </w:tc>
        <w:tc>
          <w:tcPr>
            <w:tcW w:w="0" w:type="pct"/>
            <w:noWrap/>
          </w:tcPr>
          <w:p w14:paraId="704D0592"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3382FCF2" w14:textId="77777777" w:rsidTr="00A5415F">
        <w:trPr>
          <w:trHeight w:val="300"/>
        </w:trPr>
        <w:tc>
          <w:tcPr>
            <w:tcW w:w="0" w:type="pct"/>
            <w:noWrap/>
          </w:tcPr>
          <w:p w14:paraId="645B13FF"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151B01E5" w14:textId="77777777" w:rsidR="00F273E7" w:rsidRPr="006663D5" w:rsidRDefault="00F273E7" w:rsidP="00F273E7">
            <w:pPr>
              <w:pStyle w:val="ARtabletext"/>
            </w:pPr>
            <w:r w:rsidRPr="000A30CD">
              <w:rPr>
                <w:rFonts w:eastAsia="Times New Roman"/>
                <w:color w:val="000000"/>
                <w:sz w:val="16"/>
                <w:szCs w:val="16"/>
              </w:rPr>
              <w:t>KPMG</w:t>
            </w:r>
          </w:p>
        </w:tc>
        <w:tc>
          <w:tcPr>
            <w:tcW w:w="0" w:type="pct"/>
            <w:noWrap/>
          </w:tcPr>
          <w:p w14:paraId="48246304" w14:textId="77777777" w:rsidR="00F273E7" w:rsidRPr="006663D5" w:rsidRDefault="00F273E7" w:rsidP="00F273E7">
            <w:pPr>
              <w:pStyle w:val="ARtabletext"/>
            </w:pPr>
            <w:r w:rsidRPr="000A30CD">
              <w:rPr>
                <w:rFonts w:eastAsia="Times New Roman"/>
                <w:color w:val="000000"/>
                <w:sz w:val="16"/>
                <w:szCs w:val="16"/>
              </w:rPr>
              <w:t>Redevelop</w:t>
            </w:r>
            <w:r w:rsidR="009C795A">
              <w:rPr>
                <w:rFonts w:eastAsia="Times New Roman"/>
                <w:color w:val="000000"/>
                <w:sz w:val="16"/>
                <w:szCs w:val="16"/>
              </w:rPr>
              <w:t>:</w:t>
            </w:r>
            <w:r w:rsidRPr="000A30CD">
              <w:rPr>
                <w:rFonts w:eastAsia="Times New Roman"/>
                <w:color w:val="000000"/>
                <w:sz w:val="16"/>
                <w:szCs w:val="16"/>
              </w:rPr>
              <w:t xml:space="preserve"> family violence risk assessment and management framework</w:t>
            </w:r>
          </w:p>
        </w:tc>
        <w:tc>
          <w:tcPr>
            <w:tcW w:w="0" w:type="pct"/>
            <w:noWrap/>
          </w:tcPr>
          <w:p w14:paraId="36F76C77" w14:textId="77777777" w:rsidR="00F273E7" w:rsidRPr="006663D5" w:rsidRDefault="00F273E7" w:rsidP="00F273E7">
            <w:pPr>
              <w:pStyle w:val="ARtabletextright"/>
            </w:pPr>
            <w:r w:rsidRPr="000A30CD">
              <w:rPr>
                <w:rFonts w:eastAsia="Times New Roman"/>
                <w:color w:val="000000"/>
                <w:sz w:val="16"/>
                <w:szCs w:val="16"/>
              </w:rPr>
              <w:t>3,531,698.00</w:t>
            </w:r>
          </w:p>
        </w:tc>
        <w:tc>
          <w:tcPr>
            <w:tcW w:w="0" w:type="pct"/>
            <w:noWrap/>
          </w:tcPr>
          <w:p w14:paraId="4D08ED2B" w14:textId="77777777" w:rsidR="00F273E7" w:rsidRPr="006663D5" w:rsidRDefault="00F273E7" w:rsidP="00F273E7">
            <w:pPr>
              <w:pStyle w:val="ARtabletextright"/>
            </w:pPr>
            <w:r w:rsidRPr="000A30CD">
              <w:rPr>
                <w:rFonts w:eastAsia="Times New Roman"/>
                <w:color w:val="000000"/>
                <w:sz w:val="16"/>
                <w:szCs w:val="16"/>
              </w:rPr>
              <w:t>1,095,032.00</w:t>
            </w:r>
          </w:p>
        </w:tc>
        <w:tc>
          <w:tcPr>
            <w:tcW w:w="0" w:type="pct"/>
            <w:noWrap/>
          </w:tcPr>
          <w:p w14:paraId="6A7F5F96" w14:textId="77777777" w:rsidR="00F273E7" w:rsidRPr="006663D5" w:rsidRDefault="00F273E7" w:rsidP="00F273E7">
            <w:pPr>
              <w:pStyle w:val="ARtabletextright"/>
            </w:pPr>
            <w:r w:rsidRPr="000A30CD">
              <w:rPr>
                <w:rFonts w:eastAsia="Times New Roman"/>
                <w:color w:val="000000"/>
                <w:sz w:val="16"/>
                <w:szCs w:val="16"/>
              </w:rPr>
              <w:t>260,091.00</w:t>
            </w:r>
          </w:p>
        </w:tc>
      </w:tr>
      <w:tr w:rsidR="00F273E7" w:rsidRPr="006663D5" w14:paraId="613B3412" w14:textId="77777777" w:rsidTr="00A5415F">
        <w:trPr>
          <w:trHeight w:val="300"/>
        </w:trPr>
        <w:tc>
          <w:tcPr>
            <w:tcW w:w="0" w:type="pct"/>
            <w:noWrap/>
          </w:tcPr>
          <w:p w14:paraId="432EA8A1"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700804B9" w14:textId="77777777" w:rsidR="00F273E7" w:rsidRPr="006663D5" w:rsidRDefault="00F273E7" w:rsidP="00F273E7">
            <w:pPr>
              <w:pStyle w:val="ARtabletext"/>
            </w:pPr>
            <w:r w:rsidRPr="000A30CD">
              <w:rPr>
                <w:rFonts w:eastAsia="Times New Roman"/>
                <w:color w:val="000000"/>
                <w:sz w:val="16"/>
                <w:szCs w:val="16"/>
              </w:rPr>
              <w:t>KPMG</w:t>
            </w:r>
          </w:p>
        </w:tc>
        <w:tc>
          <w:tcPr>
            <w:tcW w:w="0" w:type="pct"/>
            <w:noWrap/>
          </w:tcPr>
          <w:p w14:paraId="7EAA1E0C" w14:textId="77777777" w:rsidR="00F273E7" w:rsidRPr="006663D5" w:rsidRDefault="00F273E7" w:rsidP="00F273E7">
            <w:pPr>
              <w:pStyle w:val="ARtabletext"/>
            </w:pPr>
            <w:r w:rsidRPr="000A30CD">
              <w:rPr>
                <w:rFonts w:eastAsia="Times New Roman"/>
                <w:color w:val="000000"/>
                <w:sz w:val="16"/>
                <w:szCs w:val="16"/>
              </w:rPr>
              <w:t>Develop</w:t>
            </w:r>
            <w:r w:rsidR="009C795A">
              <w:rPr>
                <w:rFonts w:eastAsia="Times New Roman"/>
                <w:color w:val="000000"/>
                <w:sz w:val="16"/>
                <w:szCs w:val="16"/>
              </w:rPr>
              <w:t>:</w:t>
            </w:r>
            <w:r w:rsidRPr="000A30CD">
              <w:rPr>
                <w:rFonts w:eastAsia="Times New Roman"/>
                <w:color w:val="000000"/>
                <w:sz w:val="16"/>
                <w:szCs w:val="16"/>
              </w:rPr>
              <w:t xml:space="preserve"> interfaces, support and safety hubs</w:t>
            </w:r>
          </w:p>
        </w:tc>
        <w:tc>
          <w:tcPr>
            <w:tcW w:w="0" w:type="pct"/>
            <w:noWrap/>
          </w:tcPr>
          <w:p w14:paraId="5F4FA17A" w14:textId="77777777" w:rsidR="00F273E7" w:rsidRPr="006663D5" w:rsidRDefault="00F273E7" w:rsidP="00F273E7">
            <w:pPr>
              <w:pStyle w:val="ARtabletextright"/>
            </w:pPr>
            <w:r w:rsidRPr="000A30CD">
              <w:rPr>
                <w:rFonts w:eastAsia="Times New Roman"/>
                <w:color w:val="000000"/>
                <w:sz w:val="16"/>
                <w:szCs w:val="16"/>
              </w:rPr>
              <w:t>153,653.00</w:t>
            </w:r>
          </w:p>
        </w:tc>
        <w:tc>
          <w:tcPr>
            <w:tcW w:w="0" w:type="pct"/>
            <w:noWrap/>
          </w:tcPr>
          <w:p w14:paraId="0CF2AD8D" w14:textId="77777777" w:rsidR="00F273E7" w:rsidRPr="006663D5" w:rsidRDefault="00F273E7" w:rsidP="00F273E7">
            <w:pPr>
              <w:pStyle w:val="ARtabletextright"/>
            </w:pPr>
            <w:r w:rsidRPr="000A30CD">
              <w:rPr>
                <w:rFonts w:eastAsia="Times New Roman"/>
                <w:color w:val="000000"/>
                <w:sz w:val="16"/>
                <w:szCs w:val="16"/>
              </w:rPr>
              <w:t>67,706.00</w:t>
            </w:r>
          </w:p>
        </w:tc>
        <w:tc>
          <w:tcPr>
            <w:tcW w:w="0" w:type="pct"/>
            <w:noWrap/>
          </w:tcPr>
          <w:p w14:paraId="54F8A0BC"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4A72BEF9" w14:textId="77777777" w:rsidTr="00A5415F">
        <w:trPr>
          <w:trHeight w:val="300"/>
        </w:trPr>
        <w:tc>
          <w:tcPr>
            <w:tcW w:w="0" w:type="pct"/>
            <w:noWrap/>
          </w:tcPr>
          <w:p w14:paraId="37498655"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1AB34505" w14:textId="77777777" w:rsidR="00F273E7" w:rsidRPr="006663D5" w:rsidRDefault="009C795A" w:rsidP="00F273E7">
            <w:pPr>
              <w:pStyle w:val="ARtabletext"/>
            </w:pPr>
            <w:r w:rsidRPr="000A30CD">
              <w:rPr>
                <w:rFonts w:eastAsia="Times New Roman"/>
                <w:color w:val="000000"/>
                <w:sz w:val="16"/>
                <w:szCs w:val="16"/>
              </w:rPr>
              <w:t xml:space="preserve">Centre </w:t>
            </w:r>
            <w:r w:rsidR="001967BB">
              <w:rPr>
                <w:rFonts w:eastAsia="Times New Roman"/>
                <w:color w:val="000000"/>
                <w:sz w:val="16"/>
                <w:szCs w:val="16"/>
              </w:rPr>
              <w:t>f</w:t>
            </w:r>
            <w:r w:rsidRPr="000A30CD">
              <w:rPr>
                <w:rFonts w:eastAsia="Times New Roman"/>
                <w:color w:val="000000"/>
                <w:sz w:val="16"/>
                <w:szCs w:val="16"/>
              </w:rPr>
              <w:t xml:space="preserve">or Evidence </w:t>
            </w:r>
            <w:r>
              <w:rPr>
                <w:rFonts w:eastAsia="Times New Roman"/>
                <w:color w:val="000000"/>
                <w:sz w:val="16"/>
                <w:szCs w:val="16"/>
              </w:rPr>
              <w:t>a</w:t>
            </w:r>
            <w:r w:rsidRPr="000A30CD">
              <w:rPr>
                <w:rFonts w:eastAsia="Times New Roman"/>
                <w:color w:val="000000"/>
                <w:sz w:val="16"/>
                <w:szCs w:val="16"/>
              </w:rPr>
              <w:t>nd Implementation</w:t>
            </w:r>
          </w:p>
        </w:tc>
        <w:tc>
          <w:tcPr>
            <w:tcW w:w="0" w:type="pct"/>
            <w:noWrap/>
          </w:tcPr>
          <w:p w14:paraId="6A6B97FF" w14:textId="77777777" w:rsidR="00F273E7" w:rsidRPr="006663D5" w:rsidRDefault="00F273E7" w:rsidP="00F273E7">
            <w:pPr>
              <w:pStyle w:val="ARtabletext"/>
            </w:pPr>
            <w:r w:rsidRPr="000A30CD">
              <w:rPr>
                <w:rFonts w:eastAsia="Times New Roman"/>
                <w:color w:val="000000"/>
                <w:sz w:val="16"/>
                <w:szCs w:val="16"/>
              </w:rPr>
              <w:t xml:space="preserve">Development: </w:t>
            </w:r>
            <w:r w:rsidR="009C795A">
              <w:rPr>
                <w:rFonts w:eastAsia="Times New Roman"/>
                <w:color w:val="000000"/>
                <w:sz w:val="16"/>
                <w:szCs w:val="16"/>
              </w:rPr>
              <w:t>t</w:t>
            </w:r>
            <w:r w:rsidRPr="000A30CD">
              <w:rPr>
                <w:rFonts w:eastAsia="Times New Roman"/>
                <w:color w:val="000000"/>
                <w:sz w:val="16"/>
                <w:szCs w:val="16"/>
              </w:rPr>
              <w:t xml:space="preserve">echnical </w:t>
            </w:r>
            <w:r w:rsidR="009C795A" w:rsidRPr="000A30CD">
              <w:rPr>
                <w:rFonts w:eastAsia="Times New Roman"/>
                <w:color w:val="000000"/>
                <w:sz w:val="16"/>
                <w:szCs w:val="16"/>
              </w:rPr>
              <w:t>specifications for the menu of evidence-informed practices and programs</w:t>
            </w:r>
          </w:p>
        </w:tc>
        <w:tc>
          <w:tcPr>
            <w:tcW w:w="0" w:type="pct"/>
            <w:noWrap/>
          </w:tcPr>
          <w:p w14:paraId="3CB300E8" w14:textId="77777777" w:rsidR="00F273E7" w:rsidRPr="006663D5" w:rsidRDefault="00F273E7" w:rsidP="00F273E7">
            <w:pPr>
              <w:pStyle w:val="ARtabletextright"/>
            </w:pPr>
            <w:r w:rsidRPr="000A30CD">
              <w:rPr>
                <w:rFonts w:eastAsia="Times New Roman"/>
                <w:color w:val="000000"/>
                <w:sz w:val="16"/>
                <w:szCs w:val="16"/>
              </w:rPr>
              <w:t>169,075.00</w:t>
            </w:r>
          </w:p>
        </w:tc>
        <w:tc>
          <w:tcPr>
            <w:tcW w:w="0" w:type="pct"/>
            <w:noWrap/>
          </w:tcPr>
          <w:p w14:paraId="3A369401" w14:textId="77777777" w:rsidR="00F273E7" w:rsidRPr="006663D5" w:rsidRDefault="00F273E7" w:rsidP="00F273E7">
            <w:pPr>
              <w:pStyle w:val="ARtabletextright"/>
            </w:pPr>
            <w:r w:rsidRPr="000A30CD">
              <w:rPr>
                <w:rFonts w:eastAsia="Times New Roman"/>
                <w:color w:val="000000"/>
                <w:sz w:val="16"/>
                <w:szCs w:val="16"/>
              </w:rPr>
              <w:t>120,114.00</w:t>
            </w:r>
          </w:p>
        </w:tc>
        <w:tc>
          <w:tcPr>
            <w:tcW w:w="0" w:type="pct"/>
            <w:noWrap/>
          </w:tcPr>
          <w:p w14:paraId="5AD8CE64" w14:textId="77777777" w:rsidR="00F273E7" w:rsidRPr="006663D5" w:rsidRDefault="00F273E7" w:rsidP="00F273E7">
            <w:pPr>
              <w:pStyle w:val="ARtabletextright"/>
            </w:pPr>
            <w:r w:rsidRPr="000A30CD">
              <w:rPr>
                <w:rFonts w:eastAsia="Times New Roman"/>
                <w:color w:val="000000"/>
                <w:sz w:val="16"/>
                <w:szCs w:val="16"/>
              </w:rPr>
              <w:t>48,960.00</w:t>
            </w:r>
          </w:p>
        </w:tc>
      </w:tr>
      <w:tr w:rsidR="00F273E7" w:rsidRPr="006663D5" w14:paraId="69581DA1" w14:textId="77777777" w:rsidTr="00E34BA4">
        <w:trPr>
          <w:trHeight w:val="300"/>
        </w:trPr>
        <w:tc>
          <w:tcPr>
            <w:tcW w:w="0" w:type="pct"/>
            <w:noWrap/>
          </w:tcPr>
          <w:p w14:paraId="2F153ED5"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5D184C31" w14:textId="77777777" w:rsidR="00F273E7" w:rsidRPr="006663D5" w:rsidRDefault="00F273E7" w:rsidP="00F273E7">
            <w:pPr>
              <w:pStyle w:val="ARtabletext"/>
            </w:pPr>
            <w:r w:rsidRPr="000A30CD">
              <w:rPr>
                <w:rFonts w:eastAsia="Times New Roman"/>
                <w:color w:val="000000"/>
                <w:sz w:val="16"/>
                <w:szCs w:val="16"/>
              </w:rPr>
              <w:t>PIRAC E</w:t>
            </w:r>
            <w:r w:rsidR="009C795A" w:rsidRPr="000A30CD">
              <w:rPr>
                <w:rFonts w:eastAsia="Times New Roman"/>
                <w:color w:val="000000"/>
                <w:sz w:val="16"/>
                <w:szCs w:val="16"/>
              </w:rPr>
              <w:t>conomics</w:t>
            </w:r>
          </w:p>
        </w:tc>
        <w:tc>
          <w:tcPr>
            <w:tcW w:w="0" w:type="pct"/>
            <w:noWrap/>
          </w:tcPr>
          <w:p w14:paraId="082FD357" w14:textId="77777777" w:rsidR="00F273E7" w:rsidRPr="006663D5" w:rsidRDefault="00F273E7" w:rsidP="00F273E7">
            <w:pPr>
              <w:pStyle w:val="ARtabletext"/>
            </w:pPr>
            <w:r w:rsidRPr="000A30CD">
              <w:rPr>
                <w:rFonts w:eastAsia="Times New Roman"/>
                <w:color w:val="000000"/>
                <w:sz w:val="16"/>
                <w:szCs w:val="16"/>
              </w:rPr>
              <w:t>Develop</w:t>
            </w:r>
            <w:r w:rsidR="009C795A">
              <w:rPr>
                <w:rFonts w:eastAsia="Times New Roman"/>
                <w:color w:val="000000"/>
                <w:sz w:val="16"/>
                <w:szCs w:val="16"/>
              </w:rPr>
              <w:t>:</w:t>
            </w:r>
            <w:r w:rsidRPr="000A30CD">
              <w:rPr>
                <w:rFonts w:eastAsia="Times New Roman"/>
                <w:color w:val="000000"/>
                <w:sz w:val="16"/>
                <w:szCs w:val="16"/>
              </w:rPr>
              <w:t xml:space="preserve"> risk</w:t>
            </w:r>
            <w:r w:rsidR="009C795A">
              <w:rPr>
                <w:rFonts w:eastAsia="Times New Roman"/>
                <w:color w:val="000000"/>
                <w:sz w:val="16"/>
                <w:szCs w:val="16"/>
              </w:rPr>
              <w:t>-</w:t>
            </w:r>
            <w:r w:rsidRPr="000A30CD">
              <w:rPr>
                <w:rFonts w:eastAsia="Times New Roman"/>
                <w:color w:val="000000"/>
                <w:sz w:val="16"/>
                <w:szCs w:val="16"/>
              </w:rPr>
              <w:t>based audit approach and training</w:t>
            </w:r>
          </w:p>
        </w:tc>
        <w:tc>
          <w:tcPr>
            <w:tcW w:w="0" w:type="pct"/>
            <w:noWrap/>
          </w:tcPr>
          <w:p w14:paraId="2DCB546C" w14:textId="77777777" w:rsidR="00F273E7" w:rsidRPr="006663D5" w:rsidRDefault="00F273E7" w:rsidP="00F273E7">
            <w:pPr>
              <w:pStyle w:val="ARtabletextright"/>
            </w:pPr>
            <w:r w:rsidRPr="000A30CD">
              <w:rPr>
                <w:rFonts w:eastAsia="Times New Roman"/>
                <w:color w:val="000000"/>
                <w:sz w:val="16"/>
                <w:szCs w:val="16"/>
              </w:rPr>
              <w:t>184,373.00</w:t>
            </w:r>
          </w:p>
        </w:tc>
        <w:tc>
          <w:tcPr>
            <w:tcW w:w="0" w:type="pct"/>
            <w:noWrap/>
          </w:tcPr>
          <w:p w14:paraId="6C728654" w14:textId="77777777" w:rsidR="00F273E7" w:rsidRPr="006663D5" w:rsidRDefault="00F273E7" w:rsidP="00F273E7">
            <w:pPr>
              <w:pStyle w:val="ARtabletextright"/>
            </w:pPr>
            <w:r w:rsidRPr="000A30CD">
              <w:rPr>
                <w:rFonts w:eastAsia="Times New Roman"/>
                <w:color w:val="000000"/>
                <w:sz w:val="16"/>
                <w:szCs w:val="16"/>
              </w:rPr>
              <w:t>129,819.00</w:t>
            </w:r>
          </w:p>
        </w:tc>
        <w:tc>
          <w:tcPr>
            <w:tcW w:w="0" w:type="pct"/>
            <w:noWrap/>
          </w:tcPr>
          <w:p w14:paraId="00982F38" w14:textId="77777777" w:rsidR="00F273E7" w:rsidRPr="006663D5" w:rsidRDefault="00F273E7" w:rsidP="00F273E7">
            <w:pPr>
              <w:pStyle w:val="ARtabletextright"/>
            </w:pPr>
            <w:r w:rsidRPr="000A30CD">
              <w:rPr>
                <w:rFonts w:eastAsia="Times New Roman"/>
                <w:color w:val="000000"/>
                <w:sz w:val="16"/>
                <w:szCs w:val="16"/>
              </w:rPr>
              <w:t>8.00</w:t>
            </w:r>
          </w:p>
        </w:tc>
      </w:tr>
      <w:tr w:rsidR="00F273E7" w:rsidRPr="006663D5" w14:paraId="75FB4796" w14:textId="77777777" w:rsidTr="00A5415F">
        <w:trPr>
          <w:trHeight w:val="300"/>
        </w:trPr>
        <w:tc>
          <w:tcPr>
            <w:tcW w:w="0" w:type="pct"/>
            <w:noWrap/>
          </w:tcPr>
          <w:p w14:paraId="7475A2B8"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5FF07476" w14:textId="77777777" w:rsidR="00F273E7" w:rsidRPr="006663D5" w:rsidRDefault="009C795A" w:rsidP="00F273E7">
            <w:pPr>
              <w:pStyle w:val="ARtabletext"/>
            </w:pPr>
            <w:r w:rsidRPr="000A30CD">
              <w:rPr>
                <w:rFonts w:eastAsia="Times New Roman"/>
                <w:color w:val="000000"/>
                <w:sz w:val="16"/>
                <w:szCs w:val="16"/>
              </w:rPr>
              <w:t xml:space="preserve">Centre </w:t>
            </w:r>
            <w:r w:rsidR="001967BB">
              <w:rPr>
                <w:rFonts w:eastAsia="Times New Roman"/>
                <w:color w:val="000000"/>
                <w:sz w:val="16"/>
                <w:szCs w:val="16"/>
              </w:rPr>
              <w:t>f</w:t>
            </w:r>
            <w:r w:rsidRPr="000A30CD">
              <w:rPr>
                <w:rFonts w:eastAsia="Times New Roman"/>
                <w:color w:val="000000"/>
                <w:sz w:val="16"/>
                <w:szCs w:val="16"/>
              </w:rPr>
              <w:t xml:space="preserve">or Evidence </w:t>
            </w:r>
            <w:r w:rsidR="001967BB">
              <w:rPr>
                <w:rFonts w:eastAsia="Times New Roman"/>
                <w:color w:val="000000"/>
                <w:sz w:val="16"/>
                <w:szCs w:val="16"/>
              </w:rPr>
              <w:t>a</w:t>
            </w:r>
            <w:r w:rsidRPr="000A30CD">
              <w:rPr>
                <w:rFonts w:eastAsia="Times New Roman"/>
                <w:color w:val="000000"/>
                <w:sz w:val="16"/>
                <w:szCs w:val="16"/>
              </w:rPr>
              <w:t>nd Implementation</w:t>
            </w:r>
          </w:p>
        </w:tc>
        <w:tc>
          <w:tcPr>
            <w:tcW w:w="0" w:type="pct"/>
            <w:noWrap/>
          </w:tcPr>
          <w:p w14:paraId="26B0CA61" w14:textId="77777777" w:rsidR="00F273E7" w:rsidRPr="006663D5" w:rsidRDefault="00F273E7" w:rsidP="00F273E7">
            <w:pPr>
              <w:pStyle w:val="ARtabletext"/>
            </w:pPr>
            <w:r w:rsidRPr="000A30CD">
              <w:rPr>
                <w:rFonts w:eastAsia="Times New Roman"/>
                <w:color w:val="000000"/>
                <w:sz w:val="16"/>
                <w:szCs w:val="16"/>
              </w:rPr>
              <w:t xml:space="preserve">Development: </w:t>
            </w:r>
            <w:r w:rsidR="009C795A" w:rsidRPr="000A30CD">
              <w:rPr>
                <w:rFonts w:eastAsia="Times New Roman"/>
                <w:color w:val="000000"/>
                <w:sz w:val="16"/>
                <w:szCs w:val="16"/>
              </w:rPr>
              <w:t xml:space="preserve">core practice elements in </w:t>
            </w:r>
            <w:r w:rsidRPr="000A30CD">
              <w:rPr>
                <w:rFonts w:eastAsia="Times New Roman"/>
                <w:color w:val="000000"/>
                <w:sz w:val="16"/>
                <w:szCs w:val="16"/>
              </w:rPr>
              <w:t>Children and Famil</w:t>
            </w:r>
            <w:r w:rsidR="009C795A">
              <w:rPr>
                <w:rFonts w:eastAsia="Times New Roman"/>
                <w:color w:val="000000"/>
                <w:sz w:val="16"/>
                <w:szCs w:val="16"/>
              </w:rPr>
              <w:t>y</w:t>
            </w:r>
            <w:r w:rsidRPr="000A30CD">
              <w:rPr>
                <w:rFonts w:eastAsia="Times New Roman"/>
                <w:color w:val="000000"/>
                <w:sz w:val="16"/>
                <w:szCs w:val="16"/>
              </w:rPr>
              <w:t xml:space="preserve"> Services</w:t>
            </w:r>
          </w:p>
        </w:tc>
        <w:tc>
          <w:tcPr>
            <w:tcW w:w="0" w:type="pct"/>
            <w:noWrap/>
          </w:tcPr>
          <w:p w14:paraId="6750BA36" w14:textId="77777777" w:rsidR="00F273E7" w:rsidRPr="006663D5" w:rsidRDefault="00F273E7" w:rsidP="00F273E7">
            <w:pPr>
              <w:pStyle w:val="ARtabletextright"/>
            </w:pPr>
            <w:r w:rsidRPr="000A30CD">
              <w:rPr>
                <w:rFonts w:eastAsia="Times New Roman"/>
                <w:color w:val="000000"/>
                <w:sz w:val="16"/>
                <w:szCs w:val="16"/>
              </w:rPr>
              <w:t>938,948.00</w:t>
            </w:r>
          </w:p>
        </w:tc>
        <w:tc>
          <w:tcPr>
            <w:tcW w:w="0" w:type="pct"/>
            <w:noWrap/>
          </w:tcPr>
          <w:p w14:paraId="1F0494B1" w14:textId="77777777" w:rsidR="00F273E7" w:rsidRPr="006663D5" w:rsidRDefault="00F273E7" w:rsidP="00F273E7">
            <w:pPr>
              <w:pStyle w:val="ARtabletextright"/>
            </w:pPr>
            <w:r w:rsidRPr="000A30CD">
              <w:rPr>
                <w:rFonts w:eastAsia="Times New Roman"/>
                <w:color w:val="000000"/>
                <w:sz w:val="16"/>
                <w:szCs w:val="16"/>
              </w:rPr>
              <w:t>758,851.00</w:t>
            </w:r>
          </w:p>
        </w:tc>
        <w:tc>
          <w:tcPr>
            <w:tcW w:w="0" w:type="pct"/>
            <w:noWrap/>
          </w:tcPr>
          <w:p w14:paraId="0DC9136F" w14:textId="77777777" w:rsidR="00F273E7" w:rsidRPr="006663D5" w:rsidRDefault="00F273E7" w:rsidP="00F273E7">
            <w:pPr>
              <w:pStyle w:val="ARtabletextright"/>
            </w:pPr>
            <w:r w:rsidRPr="000A30CD">
              <w:rPr>
                <w:rFonts w:eastAsia="Times New Roman"/>
                <w:color w:val="000000"/>
                <w:sz w:val="16"/>
                <w:szCs w:val="16"/>
              </w:rPr>
              <w:t>180,097.00</w:t>
            </w:r>
          </w:p>
        </w:tc>
      </w:tr>
      <w:tr w:rsidR="00F273E7" w:rsidRPr="006663D5" w14:paraId="02B3A1DB" w14:textId="77777777" w:rsidTr="00A5415F">
        <w:trPr>
          <w:trHeight w:val="300"/>
        </w:trPr>
        <w:tc>
          <w:tcPr>
            <w:tcW w:w="0" w:type="pct"/>
            <w:noWrap/>
          </w:tcPr>
          <w:p w14:paraId="43F64386"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5989333C" w14:textId="77777777" w:rsidR="00F273E7" w:rsidRPr="006663D5" w:rsidRDefault="00F273E7" w:rsidP="00F273E7">
            <w:pPr>
              <w:pStyle w:val="ARtabletext"/>
            </w:pPr>
            <w:r w:rsidRPr="000A30CD">
              <w:rPr>
                <w:rFonts w:eastAsia="Times New Roman"/>
                <w:color w:val="000000"/>
                <w:sz w:val="16"/>
                <w:szCs w:val="16"/>
              </w:rPr>
              <w:t xml:space="preserve">SGS </w:t>
            </w:r>
            <w:r w:rsidR="009C795A" w:rsidRPr="000A30CD">
              <w:rPr>
                <w:rFonts w:eastAsia="Times New Roman"/>
                <w:color w:val="000000"/>
                <w:sz w:val="16"/>
                <w:szCs w:val="16"/>
              </w:rPr>
              <w:t>Economics &amp; Planning Pty Ltd</w:t>
            </w:r>
          </w:p>
        </w:tc>
        <w:tc>
          <w:tcPr>
            <w:tcW w:w="0" w:type="pct"/>
            <w:noWrap/>
          </w:tcPr>
          <w:p w14:paraId="7F7F708A" w14:textId="77777777" w:rsidR="00F273E7" w:rsidRPr="006663D5" w:rsidRDefault="00F273E7" w:rsidP="00F273E7">
            <w:pPr>
              <w:pStyle w:val="ARtabletext"/>
            </w:pPr>
            <w:r w:rsidRPr="000A30CD">
              <w:rPr>
                <w:rFonts w:eastAsia="Times New Roman"/>
                <w:color w:val="000000"/>
                <w:sz w:val="16"/>
                <w:szCs w:val="16"/>
              </w:rPr>
              <w:t>Model</w:t>
            </w:r>
            <w:r w:rsidR="009C795A">
              <w:rPr>
                <w:rFonts w:eastAsia="Times New Roman"/>
                <w:color w:val="000000"/>
                <w:sz w:val="16"/>
                <w:szCs w:val="16"/>
              </w:rPr>
              <w:t>:</w:t>
            </w:r>
            <w:r w:rsidRPr="000A30CD">
              <w:rPr>
                <w:rFonts w:eastAsia="Times New Roman"/>
                <w:color w:val="000000"/>
                <w:sz w:val="16"/>
                <w:szCs w:val="16"/>
              </w:rPr>
              <w:t xml:space="preserve"> long-term housing assistance demand and supply</w:t>
            </w:r>
          </w:p>
        </w:tc>
        <w:tc>
          <w:tcPr>
            <w:tcW w:w="0" w:type="pct"/>
            <w:noWrap/>
          </w:tcPr>
          <w:p w14:paraId="570D65FA" w14:textId="77777777" w:rsidR="00F273E7" w:rsidRPr="006663D5" w:rsidRDefault="00F273E7" w:rsidP="00F273E7">
            <w:pPr>
              <w:pStyle w:val="ARtabletextright"/>
            </w:pPr>
            <w:r w:rsidRPr="000A30CD">
              <w:rPr>
                <w:rFonts w:eastAsia="Times New Roman"/>
                <w:color w:val="000000"/>
                <w:sz w:val="16"/>
                <w:szCs w:val="16"/>
              </w:rPr>
              <w:t>192,875.00</w:t>
            </w:r>
          </w:p>
        </w:tc>
        <w:tc>
          <w:tcPr>
            <w:tcW w:w="0" w:type="pct"/>
            <w:noWrap/>
          </w:tcPr>
          <w:p w14:paraId="380E0DCC" w14:textId="77777777" w:rsidR="00F273E7" w:rsidRPr="006663D5" w:rsidRDefault="00F273E7" w:rsidP="00F273E7">
            <w:pPr>
              <w:pStyle w:val="ARtabletextright"/>
            </w:pPr>
            <w:r w:rsidRPr="000A30CD">
              <w:rPr>
                <w:rFonts w:eastAsia="Times New Roman"/>
                <w:color w:val="000000"/>
                <w:sz w:val="16"/>
                <w:szCs w:val="16"/>
              </w:rPr>
              <w:t>20,206.00</w:t>
            </w:r>
          </w:p>
        </w:tc>
        <w:tc>
          <w:tcPr>
            <w:tcW w:w="0" w:type="pct"/>
            <w:noWrap/>
          </w:tcPr>
          <w:p w14:paraId="0E342D1E"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73F1075D" w14:textId="77777777" w:rsidTr="00A5415F">
        <w:trPr>
          <w:trHeight w:val="300"/>
        </w:trPr>
        <w:tc>
          <w:tcPr>
            <w:tcW w:w="0" w:type="pct"/>
            <w:noWrap/>
          </w:tcPr>
          <w:p w14:paraId="40550CC0"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19D6F274" w14:textId="77777777" w:rsidR="00F273E7" w:rsidRPr="006663D5" w:rsidRDefault="009C795A" w:rsidP="00F273E7">
            <w:pPr>
              <w:pStyle w:val="ARtabletext"/>
            </w:pPr>
            <w:r w:rsidRPr="000A30CD">
              <w:rPr>
                <w:rFonts w:eastAsia="Times New Roman"/>
                <w:color w:val="000000"/>
                <w:sz w:val="16"/>
                <w:szCs w:val="16"/>
              </w:rPr>
              <w:t xml:space="preserve">The University </w:t>
            </w:r>
            <w:r>
              <w:rPr>
                <w:rFonts w:eastAsia="Times New Roman"/>
                <w:color w:val="000000"/>
                <w:sz w:val="16"/>
                <w:szCs w:val="16"/>
              </w:rPr>
              <w:t>o</w:t>
            </w:r>
            <w:r w:rsidRPr="000A30CD">
              <w:rPr>
                <w:rFonts w:eastAsia="Times New Roman"/>
                <w:color w:val="000000"/>
                <w:sz w:val="16"/>
                <w:szCs w:val="16"/>
              </w:rPr>
              <w:t>f Melbourne</w:t>
            </w:r>
          </w:p>
        </w:tc>
        <w:tc>
          <w:tcPr>
            <w:tcW w:w="0" w:type="pct"/>
            <w:noWrap/>
          </w:tcPr>
          <w:p w14:paraId="6620084E" w14:textId="77777777" w:rsidR="00F273E7" w:rsidRPr="006663D5" w:rsidRDefault="00F273E7" w:rsidP="00F273E7">
            <w:pPr>
              <w:pStyle w:val="ARtabletext"/>
            </w:pPr>
            <w:r w:rsidRPr="000A30CD">
              <w:rPr>
                <w:rFonts w:eastAsia="Times New Roman"/>
                <w:color w:val="000000"/>
                <w:sz w:val="16"/>
                <w:szCs w:val="16"/>
              </w:rPr>
              <w:t>Develop practice guidelines</w:t>
            </w:r>
            <w:r w:rsidR="009C795A">
              <w:rPr>
                <w:rFonts w:eastAsia="Times New Roman"/>
                <w:color w:val="000000"/>
                <w:sz w:val="16"/>
                <w:szCs w:val="16"/>
              </w:rPr>
              <w:t>:</w:t>
            </w:r>
            <w:r w:rsidRPr="000A30CD">
              <w:rPr>
                <w:rFonts w:eastAsia="Times New Roman"/>
                <w:color w:val="000000"/>
                <w:sz w:val="16"/>
                <w:szCs w:val="16"/>
              </w:rPr>
              <w:t xml:space="preserve"> working with suicidal patient</w:t>
            </w:r>
          </w:p>
        </w:tc>
        <w:tc>
          <w:tcPr>
            <w:tcW w:w="0" w:type="pct"/>
            <w:noWrap/>
          </w:tcPr>
          <w:p w14:paraId="75EB9311" w14:textId="77777777" w:rsidR="00F273E7" w:rsidRPr="006663D5" w:rsidRDefault="00F273E7" w:rsidP="00F273E7">
            <w:pPr>
              <w:pStyle w:val="ARtabletextright"/>
            </w:pPr>
            <w:r w:rsidRPr="000A30CD">
              <w:rPr>
                <w:rFonts w:eastAsia="Times New Roman"/>
                <w:color w:val="000000"/>
                <w:sz w:val="16"/>
                <w:szCs w:val="16"/>
              </w:rPr>
              <w:t>54,489.00</w:t>
            </w:r>
          </w:p>
        </w:tc>
        <w:tc>
          <w:tcPr>
            <w:tcW w:w="0" w:type="pct"/>
            <w:noWrap/>
          </w:tcPr>
          <w:p w14:paraId="6975E13E" w14:textId="77777777" w:rsidR="00F273E7" w:rsidRPr="006663D5" w:rsidRDefault="00F273E7" w:rsidP="00F273E7">
            <w:pPr>
              <w:pStyle w:val="ARtabletextright"/>
            </w:pPr>
            <w:r w:rsidRPr="000A30CD">
              <w:rPr>
                <w:rFonts w:eastAsia="Times New Roman"/>
                <w:color w:val="000000"/>
                <w:sz w:val="16"/>
                <w:szCs w:val="16"/>
              </w:rPr>
              <w:t>31,875.00</w:t>
            </w:r>
          </w:p>
        </w:tc>
        <w:tc>
          <w:tcPr>
            <w:tcW w:w="0" w:type="pct"/>
            <w:noWrap/>
          </w:tcPr>
          <w:p w14:paraId="6A4F0148"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3883ECC4" w14:textId="77777777" w:rsidTr="00E34BA4">
        <w:trPr>
          <w:trHeight w:val="300"/>
        </w:trPr>
        <w:tc>
          <w:tcPr>
            <w:tcW w:w="0" w:type="pct"/>
            <w:noWrap/>
          </w:tcPr>
          <w:p w14:paraId="00B45D52"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226CC0DF" w14:textId="77777777" w:rsidR="00F273E7" w:rsidRPr="006663D5" w:rsidRDefault="009C795A" w:rsidP="00F273E7">
            <w:pPr>
              <w:pStyle w:val="ARtabletext"/>
            </w:pPr>
            <w:r w:rsidRPr="000A30CD">
              <w:rPr>
                <w:rFonts w:eastAsia="Times New Roman"/>
                <w:color w:val="000000"/>
                <w:sz w:val="16"/>
                <w:szCs w:val="16"/>
              </w:rPr>
              <w:t>Total Metrics</w:t>
            </w:r>
          </w:p>
        </w:tc>
        <w:tc>
          <w:tcPr>
            <w:tcW w:w="0" w:type="pct"/>
            <w:noWrap/>
          </w:tcPr>
          <w:p w14:paraId="412FF9B0" w14:textId="77777777" w:rsidR="00F273E7" w:rsidRPr="006663D5" w:rsidRDefault="00F273E7" w:rsidP="00F273E7">
            <w:pPr>
              <w:pStyle w:val="ARtabletext"/>
            </w:pPr>
            <w:r w:rsidRPr="000A30CD">
              <w:rPr>
                <w:rFonts w:eastAsia="Times New Roman"/>
                <w:color w:val="000000"/>
                <w:sz w:val="16"/>
                <w:szCs w:val="16"/>
              </w:rPr>
              <w:t xml:space="preserve">Development: </w:t>
            </w:r>
            <w:r w:rsidR="009C795A" w:rsidRPr="000A30CD">
              <w:rPr>
                <w:rFonts w:eastAsia="Times New Roman"/>
                <w:color w:val="000000"/>
                <w:sz w:val="16"/>
                <w:szCs w:val="16"/>
              </w:rPr>
              <w:t xml:space="preserve">framework and modelling process </w:t>
            </w:r>
            <w:r w:rsidRPr="000A30CD">
              <w:rPr>
                <w:rFonts w:eastAsia="Times New Roman"/>
                <w:color w:val="000000"/>
                <w:sz w:val="16"/>
                <w:szCs w:val="16"/>
              </w:rPr>
              <w:t>for VAHI VIME</w:t>
            </w:r>
          </w:p>
        </w:tc>
        <w:tc>
          <w:tcPr>
            <w:tcW w:w="0" w:type="pct"/>
            <w:noWrap/>
          </w:tcPr>
          <w:p w14:paraId="688AAFA3" w14:textId="77777777" w:rsidR="00F273E7" w:rsidRPr="006663D5" w:rsidRDefault="00F273E7" w:rsidP="00F273E7">
            <w:pPr>
              <w:pStyle w:val="ARtabletextright"/>
            </w:pPr>
            <w:r w:rsidRPr="000A30CD">
              <w:rPr>
                <w:rFonts w:eastAsia="Times New Roman"/>
                <w:color w:val="000000"/>
                <w:sz w:val="16"/>
                <w:szCs w:val="16"/>
              </w:rPr>
              <w:t>15,915.00</w:t>
            </w:r>
          </w:p>
        </w:tc>
        <w:tc>
          <w:tcPr>
            <w:tcW w:w="0" w:type="pct"/>
            <w:noWrap/>
          </w:tcPr>
          <w:p w14:paraId="2B80E884" w14:textId="77777777" w:rsidR="00F273E7" w:rsidRPr="006663D5" w:rsidRDefault="00F273E7" w:rsidP="00F273E7">
            <w:pPr>
              <w:pStyle w:val="ARtabletextright"/>
            </w:pPr>
            <w:r w:rsidRPr="000A30CD">
              <w:rPr>
                <w:rFonts w:eastAsia="Times New Roman"/>
                <w:color w:val="000000"/>
                <w:sz w:val="16"/>
                <w:szCs w:val="16"/>
              </w:rPr>
              <w:t>15,915.00</w:t>
            </w:r>
          </w:p>
        </w:tc>
        <w:tc>
          <w:tcPr>
            <w:tcW w:w="0" w:type="pct"/>
            <w:noWrap/>
          </w:tcPr>
          <w:p w14:paraId="0B64E3CD"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7D504543" w14:textId="77777777" w:rsidTr="00A5415F">
        <w:trPr>
          <w:trHeight w:val="300"/>
        </w:trPr>
        <w:tc>
          <w:tcPr>
            <w:tcW w:w="0" w:type="pct"/>
            <w:noWrap/>
          </w:tcPr>
          <w:p w14:paraId="381EE502"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14445459" w14:textId="77777777" w:rsidR="00F273E7" w:rsidRPr="006663D5" w:rsidRDefault="00F273E7" w:rsidP="00F273E7">
            <w:pPr>
              <w:pStyle w:val="ARtabletext"/>
            </w:pPr>
            <w:r w:rsidRPr="000A30CD">
              <w:rPr>
                <w:rFonts w:eastAsia="Times New Roman"/>
                <w:color w:val="000000"/>
                <w:sz w:val="16"/>
                <w:szCs w:val="16"/>
              </w:rPr>
              <w:t xml:space="preserve">ORIMA </w:t>
            </w:r>
            <w:r w:rsidR="009C795A" w:rsidRPr="000A30CD">
              <w:rPr>
                <w:rFonts w:eastAsia="Times New Roman"/>
                <w:color w:val="000000"/>
                <w:sz w:val="16"/>
                <w:szCs w:val="16"/>
              </w:rPr>
              <w:t>Research</w:t>
            </w:r>
          </w:p>
        </w:tc>
        <w:tc>
          <w:tcPr>
            <w:tcW w:w="0" w:type="pct"/>
            <w:noWrap/>
          </w:tcPr>
          <w:p w14:paraId="1C648CE9" w14:textId="77777777" w:rsidR="00F273E7" w:rsidRPr="006663D5" w:rsidRDefault="009C795A" w:rsidP="00F273E7">
            <w:pPr>
              <w:pStyle w:val="ARtabletext"/>
            </w:pPr>
            <w:r>
              <w:rPr>
                <w:rFonts w:eastAsia="Times New Roman"/>
                <w:color w:val="000000"/>
                <w:sz w:val="16"/>
                <w:szCs w:val="16"/>
              </w:rPr>
              <w:t xml:space="preserve">The </w:t>
            </w:r>
            <w:r w:rsidR="00F273E7" w:rsidRPr="000A30CD">
              <w:rPr>
                <w:rFonts w:eastAsia="Times New Roman"/>
                <w:color w:val="000000"/>
                <w:sz w:val="16"/>
                <w:szCs w:val="16"/>
              </w:rPr>
              <w:t xml:space="preserve">Orange Door </w:t>
            </w:r>
            <w:r w:rsidRPr="000A30CD">
              <w:rPr>
                <w:rFonts w:eastAsia="Times New Roman"/>
                <w:color w:val="000000"/>
                <w:sz w:val="16"/>
                <w:szCs w:val="16"/>
              </w:rPr>
              <w:t xml:space="preserve">website consumer segmentation </w:t>
            </w:r>
            <w:r>
              <w:rPr>
                <w:rFonts w:eastAsia="Times New Roman"/>
                <w:color w:val="000000"/>
                <w:sz w:val="16"/>
                <w:szCs w:val="16"/>
              </w:rPr>
              <w:t>and</w:t>
            </w:r>
            <w:r w:rsidRPr="000A30CD">
              <w:rPr>
                <w:rFonts w:eastAsia="Times New Roman"/>
                <w:color w:val="000000"/>
                <w:sz w:val="16"/>
                <w:szCs w:val="16"/>
              </w:rPr>
              <w:t xml:space="preserve"> persona surveying</w:t>
            </w:r>
          </w:p>
        </w:tc>
        <w:tc>
          <w:tcPr>
            <w:tcW w:w="0" w:type="pct"/>
            <w:noWrap/>
          </w:tcPr>
          <w:p w14:paraId="587E916C" w14:textId="77777777" w:rsidR="00F273E7" w:rsidRPr="006663D5" w:rsidRDefault="00F273E7" w:rsidP="00F273E7">
            <w:pPr>
              <w:pStyle w:val="ARtabletextright"/>
            </w:pPr>
            <w:r w:rsidRPr="000A30CD">
              <w:rPr>
                <w:rFonts w:eastAsia="Times New Roman"/>
                <w:color w:val="000000"/>
                <w:sz w:val="16"/>
                <w:szCs w:val="16"/>
              </w:rPr>
              <w:t>219,059.00</w:t>
            </w:r>
          </w:p>
        </w:tc>
        <w:tc>
          <w:tcPr>
            <w:tcW w:w="0" w:type="pct"/>
            <w:noWrap/>
          </w:tcPr>
          <w:p w14:paraId="0A9DC0B8" w14:textId="77777777" w:rsidR="00F273E7" w:rsidRPr="006663D5" w:rsidRDefault="00F273E7" w:rsidP="00F273E7">
            <w:pPr>
              <w:pStyle w:val="ARtabletextright"/>
            </w:pPr>
            <w:r w:rsidRPr="000A30CD">
              <w:rPr>
                <w:rFonts w:eastAsia="Times New Roman"/>
                <w:color w:val="000000"/>
                <w:sz w:val="16"/>
                <w:szCs w:val="16"/>
              </w:rPr>
              <w:t>163,738.00</w:t>
            </w:r>
          </w:p>
        </w:tc>
        <w:tc>
          <w:tcPr>
            <w:tcW w:w="0" w:type="pct"/>
            <w:noWrap/>
          </w:tcPr>
          <w:p w14:paraId="60F6F635"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7A19BE8B" w14:textId="77777777" w:rsidTr="00E34BA4">
        <w:trPr>
          <w:trHeight w:val="300"/>
        </w:trPr>
        <w:tc>
          <w:tcPr>
            <w:tcW w:w="0" w:type="pct"/>
            <w:noWrap/>
          </w:tcPr>
          <w:p w14:paraId="0B7E1EC5"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006F0FC3" w14:textId="77777777" w:rsidR="00F273E7" w:rsidRPr="006663D5" w:rsidRDefault="009C795A" w:rsidP="00F273E7">
            <w:pPr>
              <w:pStyle w:val="ARtabletext"/>
            </w:pPr>
            <w:r w:rsidRPr="000A30CD">
              <w:rPr>
                <w:rFonts w:eastAsia="Times New Roman"/>
                <w:color w:val="000000"/>
                <w:sz w:val="16"/>
                <w:szCs w:val="16"/>
              </w:rPr>
              <w:t>Nous Group Pty Ltd</w:t>
            </w:r>
          </w:p>
        </w:tc>
        <w:tc>
          <w:tcPr>
            <w:tcW w:w="0" w:type="pct"/>
            <w:noWrap/>
          </w:tcPr>
          <w:p w14:paraId="3FBC550D" w14:textId="77777777" w:rsidR="00F273E7" w:rsidRPr="006663D5" w:rsidRDefault="00F273E7" w:rsidP="00F273E7">
            <w:pPr>
              <w:pStyle w:val="ARtabletext"/>
            </w:pPr>
            <w:r w:rsidRPr="000A30CD">
              <w:rPr>
                <w:rFonts w:eastAsia="Times New Roman"/>
                <w:color w:val="000000"/>
                <w:sz w:val="16"/>
                <w:szCs w:val="16"/>
              </w:rPr>
              <w:t xml:space="preserve">Demand </w:t>
            </w:r>
            <w:r w:rsidR="009C795A" w:rsidRPr="000A30CD">
              <w:rPr>
                <w:rFonts w:eastAsia="Times New Roman"/>
                <w:color w:val="000000"/>
                <w:sz w:val="16"/>
                <w:szCs w:val="16"/>
              </w:rPr>
              <w:t>forecasting w</w:t>
            </w:r>
            <w:r w:rsidRPr="000A30CD">
              <w:rPr>
                <w:rFonts w:eastAsia="Times New Roman"/>
                <w:color w:val="000000"/>
                <w:sz w:val="16"/>
                <w:szCs w:val="16"/>
              </w:rPr>
              <w:t>ork for ERSC</w:t>
            </w:r>
          </w:p>
        </w:tc>
        <w:tc>
          <w:tcPr>
            <w:tcW w:w="0" w:type="pct"/>
            <w:noWrap/>
          </w:tcPr>
          <w:p w14:paraId="3717A9D1" w14:textId="77777777" w:rsidR="00F273E7" w:rsidRPr="006663D5" w:rsidRDefault="00F273E7" w:rsidP="00F273E7">
            <w:pPr>
              <w:pStyle w:val="ARtabletextright"/>
            </w:pPr>
            <w:r w:rsidRPr="000A30CD">
              <w:rPr>
                <w:rFonts w:eastAsia="Times New Roman"/>
                <w:color w:val="000000"/>
                <w:sz w:val="16"/>
                <w:szCs w:val="16"/>
              </w:rPr>
              <w:t>76,009.00</w:t>
            </w:r>
          </w:p>
        </w:tc>
        <w:tc>
          <w:tcPr>
            <w:tcW w:w="0" w:type="pct"/>
            <w:noWrap/>
          </w:tcPr>
          <w:p w14:paraId="21DA90EB" w14:textId="77777777" w:rsidR="00F273E7" w:rsidRPr="006663D5" w:rsidRDefault="00F273E7" w:rsidP="00F273E7">
            <w:pPr>
              <w:pStyle w:val="ARtabletextright"/>
            </w:pPr>
            <w:r w:rsidRPr="000A30CD">
              <w:rPr>
                <w:rFonts w:eastAsia="Times New Roman"/>
                <w:color w:val="000000"/>
                <w:sz w:val="16"/>
                <w:szCs w:val="16"/>
              </w:rPr>
              <w:t>75,100.00</w:t>
            </w:r>
          </w:p>
        </w:tc>
        <w:tc>
          <w:tcPr>
            <w:tcW w:w="0" w:type="pct"/>
            <w:noWrap/>
          </w:tcPr>
          <w:p w14:paraId="58F6409D"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3201ED09" w14:textId="77777777" w:rsidTr="00A5415F">
        <w:trPr>
          <w:trHeight w:val="300"/>
        </w:trPr>
        <w:tc>
          <w:tcPr>
            <w:tcW w:w="0" w:type="pct"/>
            <w:noWrap/>
          </w:tcPr>
          <w:p w14:paraId="48AFCFD5"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1BC5099B" w14:textId="77777777" w:rsidR="00F273E7" w:rsidRPr="006663D5" w:rsidRDefault="009C795A" w:rsidP="00F273E7">
            <w:pPr>
              <w:pStyle w:val="ARtabletext"/>
            </w:pPr>
            <w:r w:rsidRPr="000A30CD">
              <w:rPr>
                <w:rFonts w:eastAsia="Times New Roman"/>
                <w:color w:val="000000"/>
                <w:sz w:val="16"/>
                <w:szCs w:val="16"/>
              </w:rPr>
              <w:t xml:space="preserve">The University </w:t>
            </w:r>
            <w:r>
              <w:rPr>
                <w:rFonts w:eastAsia="Times New Roman"/>
                <w:color w:val="000000"/>
                <w:sz w:val="16"/>
                <w:szCs w:val="16"/>
              </w:rPr>
              <w:t>o</w:t>
            </w:r>
            <w:r w:rsidRPr="000A30CD">
              <w:rPr>
                <w:rFonts w:eastAsia="Times New Roman"/>
                <w:color w:val="000000"/>
                <w:sz w:val="16"/>
                <w:szCs w:val="16"/>
              </w:rPr>
              <w:t>f Melbourne</w:t>
            </w:r>
          </w:p>
        </w:tc>
        <w:tc>
          <w:tcPr>
            <w:tcW w:w="0" w:type="pct"/>
            <w:noWrap/>
          </w:tcPr>
          <w:p w14:paraId="710E3002" w14:textId="77777777" w:rsidR="00F273E7" w:rsidRPr="006663D5" w:rsidRDefault="00F273E7" w:rsidP="00F273E7">
            <w:pPr>
              <w:pStyle w:val="ARtabletext"/>
            </w:pPr>
            <w:r w:rsidRPr="000A30CD">
              <w:rPr>
                <w:rFonts w:eastAsia="Times New Roman"/>
                <w:color w:val="000000"/>
                <w:sz w:val="16"/>
                <w:szCs w:val="16"/>
              </w:rPr>
              <w:t>Implementation</w:t>
            </w:r>
            <w:r w:rsidR="009C795A">
              <w:rPr>
                <w:rFonts w:eastAsia="Times New Roman"/>
                <w:color w:val="000000"/>
                <w:sz w:val="16"/>
                <w:szCs w:val="16"/>
              </w:rPr>
              <w:t>:</w:t>
            </w:r>
            <w:r w:rsidRPr="000A30CD">
              <w:rPr>
                <w:rFonts w:eastAsia="Times New Roman"/>
                <w:color w:val="000000"/>
                <w:sz w:val="16"/>
                <w:szCs w:val="16"/>
              </w:rPr>
              <w:t xml:space="preserve"> quality governance framework, Loddon area</w:t>
            </w:r>
          </w:p>
        </w:tc>
        <w:tc>
          <w:tcPr>
            <w:tcW w:w="0" w:type="pct"/>
            <w:noWrap/>
          </w:tcPr>
          <w:p w14:paraId="4854BF7A" w14:textId="77777777" w:rsidR="00F273E7" w:rsidRPr="006663D5" w:rsidRDefault="00F273E7" w:rsidP="00F273E7">
            <w:pPr>
              <w:pStyle w:val="ARtabletextright"/>
            </w:pPr>
            <w:r w:rsidRPr="000A30CD">
              <w:rPr>
                <w:rFonts w:eastAsia="Times New Roman"/>
                <w:color w:val="000000"/>
                <w:sz w:val="16"/>
                <w:szCs w:val="16"/>
              </w:rPr>
              <w:t>29,216.00</w:t>
            </w:r>
          </w:p>
        </w:tc>
        <w:tc>
          <w:tcPr>
            <w:tcW w:w="0" w:type="pct"/>
            <w:noWrap/>
          </w:tcPr>
          <w:p w14:paraId="764283CF" w14:textId="77777777" w:rsidR="00F273E7" w:rsidRPr="006663D5" w:rsidRDefault="00F273E7" w:rsidP="00F273E7">
            <w:pPr>
              <w:pStyle w:val="ARtabletextright"/>
            </w:pPr>
            <w:r w:rsidRPr="000A30CD">
              <w:rPr>
                <w:rFonts w:eastAsia="Times New Roman"/>
                <w:color w:val="000000"/>
                <w:sz w:val="16"/>
                <w:szCs w:val="16"/>
              </w:rPr>
              <w:t>19,852.00</w:t>
            </w:r>
          </w:p>
        </w:tc>
        <w:tc>
          <w:tcPr>
            <w:tcW w:w="0" w:type="pct"/>
            <w:noWrap/>
          </w:tcPr>
          <w:p w14:paraId="70C789E4"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19CFF13E" w14:textId="77777777" w:rsidTr="00E34BA4">
        <w:trPr>
          <w:trHeight w:val="300"/>
        </w:trPr>
        <w:tc>
          <w:tcPr>
            <w:tcW w:w="0" w:type="pct"/>
            <w:noWrap/>
          </w:tcPr>
          <w:p w14:paraId="0EEF39D4"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0A8A3F67" w14:textId="77777777" w:rsidR="00F273E7" w:rsidRPr="006663D5" w:rsidRDefault="009C795A" w:rsidP="00F273E7">
            <w:pPr>
              <w:pStyle w:val="ARtabletext"/>
            </w:pPr>
            <w:r w:rsidRPr="000A30CD">
              <w:rPr>
                <w:rFonts w:eastAsia="Times New Roman"/>
                <w:color w:val="000000"/>
                <w:sz w:val="16"/>
                <w:szCs w:val="16"/>
              </w:rPr>
              <w:t>Jacobs Group Australia Pty Ltd</w:t>
            </w:r>
          </w:p>
        </w:tc>
        <w:tc>
          <w:tcPr>
            <w:tcW w:w="0" w:type="pct"/>
            <w:noWrap/>
          </w:tcPr>
          <w:p w14:paraId="74AF0D89" w14:textId="77777777" w:rsidR="00F273E7" w:rsidRPr="006663D5" w:rsidRDefault="00F273E7" w:rsidP="00F273E7">
            <w:pPr>
              <w:pStyle w:val="ARtabletext"/>
            </w:pPr>
            <w:r w:rsidRPr="000A30CD">
              <w:rPr>
                <w:rFonts w:eastAsia="Times New Roman"/>
                <w:color w:val="000000"/>
                <w:sz w:val="16"/>
                <w:szCs w:val="16"/>
              </w:rPr>
              <w:t xml:space="preserve">Planning for </w:t>
            </w:r>
            <w:r w:rsidR="009C795A" w:rsidRPr="000A30CD">
              <w:rPr>
                <w:rFonts w:eastAsia="Times New Roman"/>
                <w:color w:val="000000"/>
                <w:sz w:val="16"/>
                <w:szCs w:val="16"/>
              </w:rPr>
              <w:t>asset management accountability framework compliance</w:t>
            </w:r>
          </w:p>
        </w:tc>
        <w:tc>
          <w:tcPr>
            <w:tcW w:w="0" w:type="pct"/>
            <w:noWrap/>
          </w:tcPr>
          <w:p w14:paraId="7AA726AB" w14:textId="77777777" w:rsidR="00F273E7" w:rsidRPr="006663D5" w:rsidRDefault="00F273E7" w:rsidP="00F273E7">
            <w:pPr>
              <w:pStyle w:val="ARtabletextright"/>
            </w:pPr>
            <w:r w:rsidRPr="000A30CD">
              <w:rPr>
                <w:rFonts w:eastAsia="Times New Roman"/>
                <w:color w:val="000000"/>
                <w:sz w:val="16"/>
                <w:szCs w:val="16"/>
              </w:rPr>
              <w:t>133,387.00</w:t>
            </w:r>
          </w:p>
        </w:tc>
        <w:tc>
          <w:tcPr>
            <w:tcW w:w="0" w:type="pct"/>
            <w:noWrap/>
          </w:tcPr>
          <w:p w14:paraId="79836F85" w14:textId="77777777" w:rsidR="00F273E7" w:rsidRPr="006663D5" w:rsidRDefault="00F273E7" w:rsidP="00F273E7">
            <w:pPr>
              <w:pStyle w:val="ARtabletextright"/>
            </w:pPr>
            <w:r w:rsidRPr="000A30CD">
              <w:rPr>
                <w:rFonts w:eastAsia="Times New Roman"/>
                <w:color w:val="000000"/>
                <w:sz w:val="16"/>
                <w:szCs w:val="16"/>
              </w:rPr>
              <w:t>55,812.00</w:t>
            </w:r>
          </w:p>
        </w:tc>
        <w:tc>
          <w:tcPr>
            <w:tcW w:w="0" w:type="pct"/>
            <w:noWrap/>
          </w:tcPr>
          <w:p w14:paraId="425A35D5" w14:textId="77777777" w:rsidR="00F273E7" w:rsidRPr="006663D5" w:rsidRDefault="00F273E7" w:rsidP="00F273E7">
            <w:pPr>
              <w:pStyle w:val="ARtabletextright"/>
            </w:pPr>
            <w:r w:rsidRPr="000A30CD">
              <w:rPr>
                <w:rFonts w:eastAsia="Times New Roman"/>
                <w:color w:val="000000"/>
                <w:sz w:val="16"/>
                <w:szCs w:val="16"/>
              </w:rPr>
              <w:t>77,575.00</w:t>
            </w:r>
          </w:p>
        </w:tc>
      </w:tr>
      <w:tr w:rsidR="00F273E7" w:rsidRPr="006663D5" w14:paraId="267EA1BF" w14:textId="77777777" w:rsidTr="00A5415F">
        <w:trPr>
          <w:trHeight w:val="300"/>
        </w:trPr>
        <w:tc>
          <w:tcPr>
            <w:tcW w:w="0" w:type="pct"/>
            <w:noWrap/>
          </w:tcPr>
          <w:p w14:paraId="5966883A"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4D84F575" w14:textId="77777777" w:rsidR="00F273E7" w:rsidRPr="006663D5" w:rsidRDefault="009C795A" w:rsidP="00F273E7">
            <w:pPr>
              <w:pStyle w:val="ARtabletext"/>
            </w:pPr>
            <w:r w:rsidRPr="000A30CD">
              <w:rPr>
                <w:rFonts w:eastAsia="Times New Roman"/>
                <w:color w:val="000000"/>
                <w:sz w:val="16"/>
                <w:szCs w:val="16"/>
              </w:rPr>
              <w:t>Third Horizon Consulting Pty Ltd</w:t>
            </w:r>
          </w:p>
        </w:tc>
        <w:tc>
          <w:tcPr>
            <w:tcW w:w="0" w:type="pct"/>
            <w:noWrap/>
          </w:tcPr>
          <w:p w14:paraId="00C961EC" w14:textId="77777777" w:rsidR="00F273E7" w:rsidRPr="006663D5" w:rsidRDefault="00F273E7" w:rsidP="00F273E7">
            <w:pPr>
              <w:pStyle w:val="ARtabletext"/>
            </w:pPr>
            <w:r w:rsidRPr="000A30CD">
              <w:rPr>
                <w:rFonts w:eastAsia="Times New Roman"/>
                <w:color w:val="000000"/>
                <w:sz w:val="16"/>
                <w:szCs w:val="16"/>
              </w:rPr>
              <w:t xml:space="preserve">Channel </w:t>
            </w:r>
            <w:r w:rsidR="009C795A">
              <w:rPr>
                <w:rFonts w:eastAsia="Times New Roman"/>
                <w:color w:val="000000"/>
                <w:sz w:val="16"/>
                <w:szCs w:val="16"/>
              </w:rPr>
              <w:t>s</w:t>
            </w:r>
            <w:r w:rsidRPr="000A30CD">
              <w:rPr>
                <w:rFonts w:eastAsia="Times New Roman"/>
                <w:color w:val="000000"/>
                <w:sz w:val="16"/>
                <w:szCs w:val="16"/>
              </w:rPr>
              <w:t>trategy</w:t>
            </w:r>
          </w:p>
        </w:tc>
        <w:tc>
          <w:tcPr>
            <w:tcW w:w="0" w:type="pct"/>
            <w:noWrap/>
          </w:tcPr>
          <w:p w14:paraId="48BE5B19" w14:textId="77777777" w:rsidR="00F273E7" w:rsidRPr="006663D5" w:rsidRDefault="00F273E7" w:rsidP="00F273E7">
            <w:pPr>
              <w:pStyle w:val="ARtabletextright"/>
            </w:pPr>
            <w:r w:rsidRPr="000A30CD">
              <w:rPr>
                <w:rFonts w:eastAsia="Times New Roman"/>
                <w:color w:val="000000"/>
                <w:sz w:val="16"/>
                <w:szCs w:val="16"/>
              </w:rPr>
              <w:t>254,545.00</w:t>
            </w:r>
          </w:p>
        </w:tc>
        <w:tc>
          <w:tcPr>
            <w:tcW w:w="0" w:type="pct"/>
            <w:noWrap/>
          </w:tcPr>
          <w:p w14:paraId="49B9A90C" w14:textId="77777777" w:rsidR="00F273E7" w:rsidRPr="006663D5" w:rsidRDefault="00F273E7" w:rsidP="00F273E7">
            <w:pPr>
              <w:pStyle w:val="ARtabletextright"/>
            </w:pPr>
            <w:r w:rsidRPr="000A30CD">
              <w:rPr>
                <w:rFonts w:eastAsia="Times New Roman"/>
                <w:color w:val="000000"/>
                <w:sz w:val="16"/>
                <w:szCs w:val="16"/>
              </w:rPr>
              <w:t>145,827.00</w:t>
            </w:r>
          </w:p>
        </w:tc>
        <w:tc>
          <w:tcPr>
            <w:tcW w:w="0" w:type="pct"/>
            <w:noWrap/>
          </w:tcPr>
          <w:p w14:paraId="729703ED"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4564D58B" w14:textId="77777777" w:rsidTr="00A5415F">
        <w:trPr>
          <w:trHeight w:val="300"/>
        </w:trPr>
        <w:tc>
          <w:tcPr>
            <w:tcW w:w="0" w:type="pct"/>
            <w:noWrap/>
          </w:tcPr>
          <w:p w14:paraId="630FDF98"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7301C7CC" w14:textId="77777777" w:rsidR="00F273E7" w:rsidRPr="006663D5" w:rsidRDefault="009C795A" w:rsidP="00F273E7">
            <w:pPr>
              <w:pStyle w:val="ARtabletext"/>
            </w:pPr>
            <w:r w:rsidRPr="000A30CD">
              <w:rPr>
                <w:rFonts w:eastAsia="Times New Roman"/>
                <w:color w:val="000000"/>
                <w:sz w:val="16"/>
                <w:szCs w:val="16"/>
              </w:rPr>
              <w:t>Anam Cara House Geelong Ltd</w:t>
            </w:r>
          </w:p>
        </w:tc>
        <w:tc>
          <w:tcPr>
            <w:tcW w:w="0" w:type="pct"/>
            <w:noWrap/>
          </w:tcPr>
          <w:p w14:paraId="265AC76F" w14:textId="77777777" w:rsidR="00F273E7" w:rsidRPr="006663D5" w:rsidRDefault="00F273E7" w:rsidP="00F273E7">
            <w:pPr>
              <w:pStyle w:val="ARtabletext"/>
            </w:pPr>
            <w:r w:rsidRPr="000A30CD">
              <w:rPr>
                <w:rFonts w:eastAsia="Times New Roman"/>
                <w:color w:val="000000"/>
                <w:sz w:val="16"/>
                <w:szCs w:val="16"/>
              </w:rPr>
              <w:t xml:space="preserve">Identify options to </w:t>
            </w:r>
            <w:r w:rsidR="001967BB">
              <w:rPr>
                <w:rFonts w:eastAsia="Times New Roman"/>
                <w:color w:val="000000"/>
                <w:sz w:val="16"/>
                <w:szCs w:val="16"/>
              </w:rPr>
              <w:t>i</w:t>
            </w:r>
            <w:r w:rsidRPr="000A30CD">
              <w:rPr>
                <w:rFonts w:eastAsia="Times New Roman"/>
                <w:color w:val="000000"/>
                <w:sz w:val="16"/>
                <w:szCs w:val="16"/>
              </w:rPr>
              <w:t>mprove respite services in Barwon South West</w:t>
            </w:r>
          </w:p>
        </w:tc>
        <w:tc>
          <w:tcPr>
            <w:tcW w:w="0" w:type="pct"/>
            <w:noWrap/>
          </w:tcPr>
          <w:p w14:paraId="03A1BD94" w14:textId="77777777" w:rsidR="00F273E7" w:rsidRPr="006663D5" w:rsidRDefault="00F273E7" w:rsidP="00F273E7">
            <w:pPr>
              <w:pStyle w:val="ARtabletextright"/>
            </w:pPr>
            <w:r w:rsidRPr="000A30CD">
              <w:rPr>
                <w:rFonts w:eastAsia="Times New Roman"/>
                <w:color w:val="000000"/>
                <w:sz w:val="16"/>
                <w:szCs w:val="16"/>
              </w:rPr>
              <w:t>109,091.00</w:t>
            </w:r>
          </w:p>
        </w:tc>
        <w:tc>
          <w:tcPr>
            <w:tcW w:w="0" w:type="pct"/>
            <w:noWrap/>
          </w:tcPr>
          <w:p w14:paraId="6EF2787B" w14:textId="77777777" w:rsidR="00F273E7" w:rsidRPr="006663D5" w:rsidRDefault="00F273E7" w:rsidP="00F273E7">
            <w:pPr>
              <w:pStyle w:val="ARtabletextright"/>
            </w:pPr>
            <w:r w:rsidRPr="000A30CD">
              <w:rPr>
                <w:rFonts w:eastAsia="Times New Roman"/>
                <w:color w:val="000000"/>
                <w:sz w:val="16"/>
                <w:szCs w:val="16"/>
              </w:rPr>
              <w:t>18,182.00</w:t>
            </w:r>
          </w:p>
        </w:tc>
        <w:tc>
          <w:tcPr>
            <w:tcW w:w="0" w:type="pct"/>
            <w:noWrap/>
          </w:tcPr>
          <w:p w14:paraId="6704FCD8"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625E0533" w14:textId="77777777" w:rsidTr="00A5415F">
        <w:trPr>
          <w:trHeight w:val="300"/>
        </w:trPr>
        <w:tc>
          <w:tcPr>
            <w:tcW w:w="0" w:type="pct"/>
            <w:noWrap/>
          </w:tcPr>
          <w:p w14:paraId="4860FEA0"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4C1524C1" w14:textId="77777777" w:rsidR="00F273E7" w:rsidRPr="006663D5" w:rsidRDefault="009C795A" w:rsidP="00F273E7">
            <w:pPr>
              <w:pStyle w:val="ARtabletext"/>
            </w:pPr>
            <w:r w:rsidRPr="000A30CD">
              <w:rPr>
                <w:rFonts w:eastAsia="Times New Roman"/>
                <w:color w:val="000000"/>
                <w:sz w:val="16"/>
                <w:szCs w:val="16"/>
              </w:rPr>
              <w:t>Melbourne East General Practice Network Ltd</w:t>
            </w:r>
          </w:p>
        </w:tc>
        <w:tc>
          <w:tcPr>
            <w:tcW w:w="0" w:type="pct"/>
            <w:noWrap/>
          </w:tcPr>
          <w:p w14:paraId="622FD7C7" w14:textId="77777777" w:rsidR="00F273E7" w:rsidRPr="006663D5" w:rsidRDefault="00F273E7" w:rsidP="00F273E7">
            <w:pPr>
              <w:pStyle w:val="ARtabletext"/>
            </w:pPr>
            <w:r w:rsidRPr="000A30CD">
              <w:rPr>
                <w:rFonts w:eastAsia="Times New Roman"/>
                <w:color w:val="000000"/>
                <w:sz w:val="16"/>
                <w:szCs w:val="16"/>
              </w:rPr>
              <w:t>Project management services</w:t>
            </w:r>
            <w:r w:rsidR="009C795A">
              <w:rPr>
                <w:rFonts w:eastAsia="Times New Roman"/>
                <w:color w:val="000000"/>
                <w:sz w:val="16"/>
                <w:szCs w:val="16"/>
              </w:rPr>
              <w:t>:</w:t>
            </w:r>
            <w:r w:rsidRPr="000A30CD">
              <w:rPr>
                <w:rFonts w:eastAsia="Times New Roman"/>
                <w:color w:val="000000"/>
                <w:sz w:val="16"/>
                <w:szCs w:val="16"/>
              </w:rPr>
              <w:t xml:space="preserve"> Victorian eReferral program</w:t>
            </w:r>
          </w:p>
        </w:tc>
        <w:tc>
          <w:tcPr>
            <w:tcW w:w="0" w:type="pct"/>
            <w:noWrap/>
          </w:tcPr>
          <w:p w14:paraId="6075DB10" w14:textId="77777777" w:rsidR="00F273E7" w:rsidRPr="006663D5" w:rsidRDefault="00F273E7" w:rsidP="00F273E7">
            <w:pPr>
              <w:pStyle w:val="ARtabletextright"/>
            </w:pPr>
            <w:r w:rsidRPr="000A30CD">
              <w:rPr>
                <w:rFonts w:eastAsia="Times New Roman"/>
                <w:color w:val="000000"/>
                <w:sz w:val="16"/>
                <w:szCs w:val="16"/>
              </w:rPr>
              <w:t>660,000.00</w:t>
            </w:r>
          </w:p>
        </w:tc>
        <w:tc>
          <w:tcPr>
            <w:tcW w:w="0" w:type="pct"/>
            <w:noWrap/>
          </w:tcPr>
          <w:p w14:paraId="2461D2A0" w14:textId="77777777" w:rsidR="00F273E7" w:rsidRPr="006663D5" w:rsidRDefault="00F273E7" w:rsidP="00F273E7">
            <w:pPr>
              <w:pStyle w:val="ARtabletextright"/>
            </w:pPr>
            <w:r w:rsidRPr="000A30CD">
              <w:rPr>
                <w:rFonts w:eastAsia="Times New Roman"/>
                <w:color w:val="000000"/>
                <w:sz w:val="16"/>
                <w:szCs w:val="16"/>
              </w:rPr>
              <w:t>15,300.00</w:t>
            </w:r>
          </w:p>
        </w:tc>
        <w:tc>
          <w:tcPr>
            <w:tcW w:w="0" w:type="pct"/>
            <w:noWrap/>
          </w:tcPr>
          <w:p w14:paraId="57DA077C"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7E81B969" w14:textId="77777777" w:rsidTr="00E34BA4">
        <w:trPr>
          <w:trHeight w:val="300"/>
        </w:trPr>
        <w:tc>
          <w:tcPr>
            <w:tcW w:w="0" w:type="pct"/>
            <w:noWrap/>
          </w:tcPr>
          <w:p w14:paraId="4BFA579C"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5DFFCC98" w14:textId="77777777" w:rsidR="00F273E7" w:rsidRPr="006663D5" w:rsidRDefault="009C795A" w:rsidP="00F273E7">
            <w:pPr>
              <w:pStyle w:val="ARtabletext"/>
            </w:pPr>
            <w:r w:rsidRPr="000A30CD">
              <w:rPr>
                <w:rFonts w:eastAsia="Times New Roman"/>
                <w:color w:val="000000"/>
                <w:sz w:val="16"/>
                <w:szCs w:val="16"/>
              </w:rPr>
              <w:t xml:space="preserve">Institute </w:t>
            </w:r>
            <w:r w:rsidR="001967BB">
              <w:rPr>
                <w:rFonts w:eastAsia="Times New Roman"/>
                <w:color w:val="000000"/>
                <w:sz w:val="16"/>
                <w:szCs w:val="16"/>
              </w:rPr>
              <w:t>f</w:t>
            </w:r>
            <w:r w:rsidRPr="000A30CD">
              <w:rPr>
                <w:rFonts w:eastAsia="Times New Roman"/>
                <w:color w:val="000000"/>
                <w:sz w:val="16"/>
                <w:szCs w:val="16"/>
              </w:rPr>
              <w:t>or Healthcare Improvement</w:t>
            </w:r>
          </w:p>
        </w:tc>
        <w:tc>
          <w:tcPr>
            <w:tcW w:w="0" w:type="pct"/>
            <w:noWrap/>
          </w:tcPr>
          <w:p w14:paraId="3958C3A7" w14:textId="77777777" w:rsidR="00F273E7" w:rsidRPr="006663D5" w:rsidRDefault="00F273E7" w:rsidP="00F273E7">
            <w:pPr>
              <w:pStyle w:val="ARtabletext"/>
            </w:pPr>
            <w:r w:rsidRPr="000A30CD">
              <w:rPr>
                <w:rFonts w:eastAsia="Times New Roman"/>
                <w:color w:val="000000"/>
                <w:sz w:val="16"/>
                <w:szCs w:val="16"/>
              </w:rPr>
              <w:t>Victorian Patient Safety Program</w:t>
            </w:r>
          </w:p>
        </w:tc>
        <w:tc>
          <w:tcPr>
            <w:tcW w:w="0" w:type="pct"/>
            <w:noWrap/>
          </w:tcPr>
          <w:p w14:paraId="1D56AEBE" w14:textId="77777777" w:rsidR="00F273E7" w:rsidRPr="006663D5" w:rsidRDefault="00F273E7" w:rsidP="00F273E7">
            <w:pPr>
              <w:pStyle w:val="ARtabletextright"/>
            </w:pPr>
            <w:r w:rsidRPr="000A30CD">
              <w:rPr>
                <w:rFonts w:eastAsia="Times New Roman"/>
                <w:color w:val="000000"/>
                <w:sz w:val="16"/>
                <w:szCs w:val="16"/>
              </w:rPr>
              <w:t>8,393,731.00</w:t>
            </w:r>
          </w:p>
        </w:tc>
        <w:tc>
          <w:tcPr>
            <w:tcW w:w="0" w:type="pct"/>
            <w:noWrap/>
          </w:tcPr>
          <w:p w14:paraId="217A7708" w14:textId="77777777" w:rsidR="00F273E7" w:rsidRPr="006663D5" w:rsidRDefault="00F273E7" w:rsidP="00F273E7">
            <w:pPr>
              <w:pStyle w:val="ARtabletextright"/>
            </w:pPr>
            <w:r w:rsidRPr="000A30CD">
              <w:rPr>
                <w:rFonts w:eastAsia="Times New Roman"/>
                <w:color w:val="000000"/>
                <w:sz w:val="16"/>
                <w:szCs w:val="16"/>
              </w:rPr>
              <w:t>3,401,836.00</w:t>
            </w:r>
          </w:p>
        </w:tc>
        <w:tc>
          <w:tcPr>
            <w:tcW w:w="0" w:type="pct"/>
            <w:noWrap/>
          </w:tcPr>
          <w:p w14:paraId="723536BC" w14:textId="77777777" w:rsidR="00F273E7" w:rsidRPr="006663D5" w:rsidRDefault="00F273E7" w:rsidP="00F273E7">
            <w:pPr>
              <w:pStyle w:val="ARtabletextright"/>
            </w:pPr>
            <w:r w:rsidRPr="000A30CD">
              <w:rPr>
                <w:rFonts w:eastAsia="Times New Roman"/>
                <w:color w:val="000000"/>
                <w:sz w:val="16"/>
                <w:szCs w:val="16"/>
              </w:rPr>
              <w:t>4,444,856.00</w:t>
            </w:r>
          </w:p>
        </w:tc>
      </w:tr>
      <w:tr w:rsidR="00F273E7" w:rsidRPr="006663D5" w14:paraId="71984A92" w14:textId="77777777" w:rsidTr="00E34BA4">
        <w:trPr>
          <w:trHeight w:val="300"/>
        </w:trPr>
        <w:tc>
          <w:tcPr>
            <w:tcW w:w="0" w:type="pct"/>
            <w:noWrap/>
          </w:tcPr>
          <w:p w14:paraId="51B2FFBB" w14:textId="77777777" w:rsidR="00F273E7" w:rsidRPr="006663D5" w:rsidRDefault="00F273E7" w:rsidP="00F273E7">
            <w:pPr>
              <w:pStyle w:val="ARtabletext"/>
            </w:pPr>
            <w:r w:rsidRPr="00B9420D">
              <w:rPr>
                <w:rFonts w:eastAsia="Times New Roman"/>
                <w:color w:val="000000"/>
                <w:sz w:val="16"/>
                <w:szCs w:val="16"/>
              </w:rPr>
              <w:t xml:space="preserve">Policy/program </w:t>
            </w:r>
            <w:r w:rsidRPr="00B9420D">
              <w:rPr>
                <w:rFonts w:eastAsia="Times New Roman"/>
                <w:color w:val="000000"/>
                <w:sz w:val="16"/>
                <w:szCs w:val="16"/>
              </w:rPr>
              <w:br/>
              <w:t>advice and delivery</w:t>
            </w:r>
          </w:p>
        </w:tc>
        <w:tc>
          <w:tcPr>
            <w:tcW w:w="0" w:type="pct"/>
            <w:noWrap/>
          </w:tcPr>
          <w:p w14:paraId="5B099C3F" w14:textId="77777777" w:rsidR="00F273E7" w:rsidRPr="006663D5" w:rsidRDefault="00F273E7" w:rsidP="00F273E7">
            <w:pPr>
              <w:pStyle w:val="ARtabletext"/>
            </w:pPr>
            <w:r w:rsidRPr="000A30CD">
              <w:rPr>
                <w:rFonts w:eastAsia="Times New Roman"/>
                <w:color w:val="000000"/>
                <w:sz w:val="16"/>
                <w:szCs w:val="16"/>
              </w:rPr>
              <w:t>KPMG</w:t>
            </w:r>
          </w:p>
        </w:tc>
        <w:tc>
          <w:tcPr>
            <w:tcW w:w="0" w:type="pct"/>
            <w:noWrap/>
          </w:tcPr>
          <w:p w14:paraId="1ABC0BA2" w14:textId="77777777" w:rsidR="00F273E7" w:rsidRPr="006663D5" w:rsidRDefault="00F273E7" w:rsidP="00F273E7">
            <w:pPr>
              <w:pStyle w:val="ARtabletext"/>
            </w:pPr>
            <w:r w:rsidRPr="000A30CD">
              <w:rPr>
                <w:rFonts w:eastAsia="Times New Roman"/>
                <w:color w:val="000000"/>
                <w:sz w:val="16"/>
                <w:szCs w:val="16"/>
              </w:rPr>
              <w:t>Child Protection Decision Support Tool (CPDST)</w:t>
            </w:r>
          </w:p>
        </w:tc>
        <w:tc>
          <w:tcPr>
            <w:tcW w:w="0" w:type="pct"/>
            <w:noWrap/>
          </w:tcPr>
          <w:p w14:paraId="3B170B29" w14:textId="77777777" w:rsidR="00F273E7" w:rsidRPr="006663D5" w:rsidRDefault="00F273E7" w:rsidP="00F273E7">
            <w:pPr>
              <w:pStyle w:val="ARtabletextright"/>
            </w:pPr>
            <w:r w:rsidRPr="000A30CD">
              <w:rPr>
                <w:rFonts w:eastAsia="Times New Roman"/>
                <w:color w:val="000000"/>
                <w:sz w:val="16"/>
                <w:szCs w:val="16"/>
              </w:rPr>
              <w:t>529,108.00</w:t>
            </w:r>
          </w:p>
        </w:tc>
        <w:tc>
          <w:tcPr>
            <w:tcW w:w="0" w:type="pct"/>
            <w:noWrap/>
          </w:tcPr>
          <w:p w14:paraId="7E13FE68" w14:textId="77777777" w:rsidR="00F273E7" w:rsidRPr="006663D5" w:rsidRDefault="00F273E7" w:rsidP="00F273E7">
            <w:pPr>
              <w:pStyle w:val="ARtabletextright"/>
            </w:pPr>
            <w:r w:rsidRPr="000A30CD">
              <w:rPr>
                <w:rFonts w:eastAsia="Times New Roman"/>
                <w:color w:val="000000"/>
                <w:sz w:val="16"/>
                <w:szCs w:val="16"/>
              </w:rPr>
              <w:t>529,108.00</w:t>
            </w:r>
          </w:p>
        </w:tc>
        <w:tc>
          <w:tcPr>
            <w:tcW w:w="0" w:type="pct"/>
            <w:noWrap/>
          </w:tcPr>
          <w:p w14:paraId="6013C5CE" w14:textId="77777777" w:rsidR="00F273E7" w:rsidRPr="006663D5" w:rsidRDefault="00F273E7" w:rsidP="00F273E7">
            <w:pPr>
              <w:pStyle w:val="ARtabletextright"/>
            </w:pPr>
            <w:r w:rsidRPr="000A30CD">
              <w:rPr>
                <w:rFonts w:eastAsia="Times New Roman"/>
                <w:color w:val="000000"/>
                <w:sz w:val="16"/>
                <w:szCs w:val="16"/>
              </w:rPr>
              <w:t>Nil</w:t>
            </w:r>
          </w:p>
        </w:tc>
      </w:tr>
      <w:tr w:rsidR="00AC042F" w:rsidRPr="006663D5" w14:paraId="5520640F" w14:textId="77777777" w:rsidTr="00A5415F">
        <w:trPr>
          <w:trHeight w:val="300"/>
        </w:trPr>
        <w:tc>
          <w:tcPr>
            <w:tcW w:w="0" w:type="pct"/>
            <w:noWrap/>
          </w:tcPr>
          <w:p w14:paraId="7A71C1F7" w14:textId="77777777" w:rsidR="00AC042F" w:rsidRPr="006663D5" w:rsidRDefault="00AC042F" w:rsidP="00AC042F">
            <w:pPr>
              <w:pStyle w:val="ARtabletext"/>
            </w:pPr>
            <w:r w:rsidRPr="00ED0945">
              <w:rPr>
                <w:rFonts w:eastAsia="Times New Roman"/>
                <w:color w:val="000000"/>
                <w:sz w:val="16"/>
                <w:szCs w:val="16"/>
              </w:rPr>
              <w:t xml:space="preserve">Policy/program </w:t>
            </w:r>
            <w:r w:rsidR="00F273E7">
              <w:rPr>
                <w:rFonts w:eastAsia="Times New Roman"/>
                <w:color w:val="000000"/>
                <w:sz w:val="16"/>
                <w:szCs w:val="16"/>
              </w:rPr>
              <w:br/>
            </w:r>
            <w:r w:rsidRPr="00ED0945">
              <w:rPr>
                <w:rFonts w:eastAsia="Times New Roman"/>
                <w:color w:val="000000"/>
                <w:sz w:val="16"/>
                <w:szCs w:val="16"/>
              </w:rPr>
              <w:t>advice and delivery</w:t>
            </w:r>
          </w:p>
        </w:tc>
        <w:tc>
          <w:tcPr>
            <w:tcW w:w="0" w:type="pct"/>
            <w:noWrap/>
          </w:tcPr>
          <w:p w14:paraId="792B158A" w14:textId="77777777" w:rsidR="00AC042F" w:rsidRPr="006663D5" w:rsidRDefault="009C795A" w:rsidP="00AC042F">
            <w:pPr>
              <w:pStyle w:val="ARtabletext"/>
            </w:pPr>
            <w:r w:rsidRPr="000A30CD">
              <w:rPr>
                <w:rFonts w:eastAsia="Times New Roman"/>
                <w:color w:val="000000"/>
                <w:sz w:val="16"/>
                <w:szCs w:val="16"/>
              </w:rPr>
              <w:t>Cube Group Management Consulting</w:t>
            </w:r>
          </w:p>
        </w:tc>
        <w:tc>
          <w:tcPr>
            <w:tcW w:w="0" w:type="pct"/>
            <w:noWrap/>
          </w:tcPr>
          <w:p w14:paraId="04E6563C" w14:textId="77777777" w:rsidR="00AC042F" w:rsidRPr="006663D5" w:rsidRDefault="00AC042F" w:rsidP="00AC042F">
            <w:pPr>
              <w:pStyle w:val="ARtabletext"/>
            </w:pPr>
            <w:r w:rsidRPr="000A30CD">
              <w:rPr>
                <w:rFonts w:eastAsia="Times New Roman"/>
                <w:color w:val="000000"/>
                <w:sz w:val="16"/>
                <w:szCs w:val="16"/>
              </w:rPr>
              <w:t>Report</w:t>
            </w:r>
            <w:r w:rsidR="009C795A">
              <w:rPr>
                <w:rFonts w:eastAsia="Times New Roman"/>
                <w:color w:val="000000"/>
                <w:sz w:val="16"/>
                <w:szCs w:val="16"/>
              </w:rPr>
              <w:t>:</w:t>
            </w:r>
            <w:r w:rsidRPr="000A30CD">
              <w:rPr>
                <w:rFonts w:eastAsia="Times New Roman"/>
                <w:color w:val="000000"/>
                <w:sz w:val="16"/>
                <w:szCs w:val="16"/>
              </w:rPr>
              <w:t xml:space="preserve"> program work benefits, Family Safety Victoria </w:t>
            </w:r>
          </w:p>
        </w:tc>
        <w:tc>
          <w:tcPr>
            <w:tcW w:w="0" w:type="pct"/>
            <w:noWrap/>
          </w:tcPr>
          <w:p w14:paraId="1386DC18" w14:textId="77777777" w:rsidR="00AC042F" w:rsidRPr="006663D5" w:rsidRDefault="00AC042F" w:rsidP="00AC042F">
            <w:pPr>
              <w:pStyle w:val="ARtabletextright"/>
            </w:pPr>
            <w:r w:rsidRPr="000A30CD">
              <w:rPr>
                <w:rFonts w:eastAsia="Times New Roman"/>
                <w:color w:val="000000"/>
                <w:sz w:val="16"/>
                <w:szCs w:val="16"/>
              </w:rPr>
              <w:t>22,600.00</w:t>
            </w:r>
          </w:p>
        </w:tc>
        <w:tc>
          <w:tcPr>
            <w:tcW w:w="0" w:type="pct"/>
            <w:noWrap/>
          </w:tcPr>
          <w:p w14:paraId="37B64336" w14:textId="77777777" w:rsidR="00AC042F" w:rsidRPr="006663D5" w:rsidRDefault="00AC042F" w:rsidP="00AC042F">
            <w:pPr>
              <w:pStyle w:val="ARtabletextright"/>
            </w:pPr>
            <w:r w:rsidRPr="000A30CD">
              <w:rPr>
                <w:rFonts w:eastAsia="Times New Roman"/>
                <w:color w:val="000000"/>
                <w:sz w:val="16"/>
                <w:szCs w:val="16"/>
              </w:rPr>
              <w:t>11,300.00</w:t>
            </w:r>
          </w:p>
        </w:tc>
        <w:tc>
          <w:tcPr>
            <w:tcW w:w="0" w:type="pct"/>
            <w:noWrap/>
          </w:tcPr>
          <w:p w14:paraId="663D34D3" w14:textId="77777777" w:rsidR="00AC042F" w:rsidRPr="006663D5" w:rsidRDefault="00AC042F" w:rsidP="00AC042F">
            <w:pPr>
              <w:pStyle w:val="ARtabletextright"/>
            </w:pPr>
            <w:r w:rsidRPr="000A30CD">
              <w:rPr>
                <w:rFonts w:eastAsia="Times New Roman"/>
                <w:color w:val="000000"/>
                <w:sz w:val="16"/>
                <w:szCs w:val="16"/>
              </w:rPr>
              <w:t>Nil</w:t>
            </w:r>
          </w:p>
        </w:tc>
      </w:tr>
      <w:tr w:rsidR="007066A0" w:rsidRPr="006663D5" w14:paraId="5C51DEF9" w14:textId="77777777" w:rsidTr="00A5415F">
        <w:trPr>
          <w:trHeight w:val="300"/>
        </w:trPr>
        <w:tc>
          <w:tcPr>
            <w:tcW w:w="0" w:type="pct"/>
            <w:noWrap/>
          </w:tcPr>
          <w:p w14:paraId="56AB7262" w14:textId="77777777" w:rsidR="007066A0" w:rsidRPr="006663D5" w:rsidRDefault="007066A0" w:rsidP="007066A0">
            <w:pPr>
              <w:pStyle w:val="ARtabletext"/>
            </w:pPr>
            <w:r w:rsidRPr="000A30CD">
              <w:rPr>
                <w:rFonts w:eastAsia="Times New Roman"/>
                <w:color w:val="000000"/>
                <w:sz w:val="16"/>
                <w:szCs w:val="16"/>
              </w:rPr>
              <w:t xml:space="preserve">Probity, </w:t>
            </w:r>
            <w:r w:rsidR="00AC042F">
              <w:rPr>
                <w:rFonts w:eastAsia="Times New Roman"/>
                <w:color w:val="000000"/>
                <w:sz w:val="16"/>
                <w:szCs w:val="16"/>
              </w:rPr>
              <w:t>d</w:t>
            </w:r>
            <w:r w:rsidRPr="000A30CD">
              <w:rPr>
                <w:rFonts w:eastAsia="Times New Roman"/>
                <w:color w:val="000000"/>
                <w:sz w:val="16"/>
                <w:szCs w:val="16"/>
              </w:rPr>
              <w:t xml:space="preserve">ata </w:t>
            </w:r>
            <w:r w:rsidR="00F273E7">
              <w:rPr>
                <w:rFonts w:eastAsia="Times New Roman"/>
                <w:color w:val="000000"/>
                <w:sz w:val="16"/>
                <w:szCs w:val="16"/>
              </w:rPr>
              <w:br/>
            </w:r>
            <w:r w:rsidR="00AC042F">
              <w:rPr>
                <w:rFonts w:eastAsia="Times New Roman"/>
                <w:color w:val="000000"/>
                <w:sz w:val="16"/>
                <w:szCs w:val="16"/>
              </w:rPr>
              <w:t>i</w:t>
            </w:r>
            <w:r w:rsidRPr="000A30CD">
              <w:rPr>
                <w:rFonts w:eastAsia="Times New Roman"/>
                <w:color w:val="000000"/>
                <w:sz w:val="16"/>
                <w:szCs w:val="16"/>
              </w:rPr>
              <w:t xml:space="preserve">ntegrity </w:t>
            </w:r>
            <w:r w:rsidR="00AC042F">
              <w:rPr>
                <w:rFonts w:eastAsia="Times New Roman"/>
                <w:color w:val="000000"/>
                <w:sz w:val="16"/>
                <w:szCs w:val="16"/>
              </w:rPr>
              <w:t>and</w:t>
            </w:r>
            <w:r w:rsidRPr="000A30CD">
              <w:rPr>
                <w:rFonts w:eastAsia="Times New Roman"/>
                <w:color w:val="000000"/>
                <w:sz w:val="16"/>
                <w:szCs w:val="16"/>
              </w:rPr>
              <w:t xml:space="preserve"> </w:t>
            </w:r>
            <w:r w:rsidR="00AC042F">
              <w:rPr>
                <w:rFonts w:eastAsia="Times New Roman"/>
                <w:color w:val="000000"/>
                <w:sz w:val="16"/>
                <w:szCs w:val="16"/>
              </w:rPr>
              <w:t>a</w:t>
            </w:r>
            <w:r w:rsidRPr="000A30CD">
              <w:rPr>
                <w:rFonts w:eastAsia="Times New Roman"/>
                <w:color w:val="000000"/>
                <w:sz w:val="16"/>
                <w:szCs w:val="16"/>
              </w:rPr>
              <w:t>udit</w:t>
            </w:r>
          </w:p>
        </w:tc>
        <w:tc>
          <w:tcPr>
            <w:tcW w:w="0" w:type="pct"/>
            <w:noWrap/>
          </w:tcPr>
          <w:p w14:paraId="0A4FF8C4" w14:textId="77777777" w:rsidR="007066A0" w:rsidRPr="006663D5" w:rsidRDefault="007066A0" w:rsidP="007066A0">
            <w:pPr>
              <w:pStyle w:val="ARtabletext"/>
            </w:pPr>
            <w:r w:rsidRPr="000A30CD">
              <w:rPr>
                <w:rFonts w:eastAsia="Times New Roman"/>
                <w:color w:val="000000"/>
                <w:sz w:val="16"/>
                <w:szCs w:val="16"/>
              </w:rPr>
              <w:t xml:space="preserve">GWA </w:t>
            </w:r>
            <w:r w:rsidR="009C795A" w:rsidRPr="000A30CD">
              <w:rPr>
                <w:rFonts w:eastAsia="Times New Roman"/>
                <w:color w:val="000000"/>
                <w:sz w:val="16"/>
                <w:szCs w:val="16"/>
              </w:rPr>
              <w:t>Consulting Pty Ltd</w:t>
            </w:r>
          </w:p>
        </w:tc>
        <w:tc>
          <w:tcPr>
            <w:tcW w:w="0" w:type="pct"/>
            <w:noWrap/>
          </w:tcPr>
          <w:p w14:paraId="39071E8B" w14:textId="5C40328A" w:rsidR="007066A0" w:rsidRPr="006663D5" w:rsidRDefault="00326F42" w:rsidP="007066A0">
            <w:pPr>
              <w:pStyle w:val="ARtabletext"/>
            </w:pPr>
            <w:r>
              <w:rPr>
                <w:rFonts w:eastAsia="Times New Roman"/>
                <w:color w:val="000000"/>
                <w:sz w:val="16"/>
                <w:szCs w:val="16"/>
              </w:rPr>
              <w:t xml:space="preserve">Audit: </w:t>
            </w:r>
            <w:r w:rsidRPr="00326F42">
              <w:rPr>
                <w:rFonts w:eastAsia="Times New Roman"/>
                <w:color w:val="000000"/>
                <w:sz w:val="16"/>
                <w:szCs w:val="16"/>
              </w:rPr>
              <w:t>Western Health and Melbourne Genomics Health Alliance projects</w:t>
            </w:r>
          </w:p>
        </w:tc>
        <w:tc>
          <w:tcPr>
            <w:tcW w:w="0" w:type="pct"/>
            <w:noWrap/>
          </w:tcPr>
          <w:p w14:paraId="612B7BD5" w14:textId="77777777" w:rsidR="007066A0" w:rsidRPr="006663D5" w:rsidRDefault="007066A0" w:rsidP="007066A0">
            <w:pPr>
              <w:pStyle w:val="ARtabletextright"/>
            </w:pPr>
            <w:r w:rsidRPr="000A30CD">
              <w:rPr>
                <w:rFonts w:eastAsia="Times New Roman"/>
                <w:color w:val="000000"/>
                <w:sz w:val="16"/>
                <w:szCs w:val="16"/>
              </w:rPr>
              <w:t>20,736.00</w:t>
            </w:r>
          </w:p>
        </w:tc>
        <w:tc>
          <w:tcPr>
            <w:tcW w:w="0" w:type="pct"/>
            <w:noWrap/>
          </w:tcPr>
          <w:p w14:paraId="5C3A8334" w14:textId="77777777" w:rsidR="007066A0" w:rsidRPr="006663D5" w:rsidRDefault="007066A0" w:rsidP="007066A0">
            <w:pPr>
              <w:pStyle w:val="ARtabletextright"/>
            </w:pPr>
            <w:r w:rsidRPr="000A30CD">
              <w:rPr>
                <w:rFonts w:eastAsia="Times New Roman"/>
                <w:color w:val="000000"/>
                <w:sz w:val="16"/>
                <w:szCs w:val="16"/>
              </w:rPr>
              <w:t>18,144.00</w:t>
            </w:r>
          </w:p>
        </w:tc>
        <w:tc>
          <w:tcPr>
            <w:tcW w:w="0" w:type="pct"/>
            <w:noWrap/>
          </w:tcPr>
          <w:p w14:paraId="4BC84026" w14:textId="77777777" w:rsidR="007066A0" w:rsidRPr="006663D5" w:rsidRDefault="007066A0" w:rsidP="007066A0">
            <w:pPr>
              <w:pStyle w:val="ARtabletextright"/>
            </w:pPr>
            <w:r w:rsidRPr="000A30CD">
              <w:rPr>
                <w:rFonts w:eastAsia="Times New Roman"/>
                <w:color w:val="000000"/>
                <w:sz w:val="16"/>
                <w:szCs w:val="16"/>
              </w:rPr>
              <w:t>Nil</w:t>
            </w:r>
          </w:p>
        </w:tc>
      </w:tr>
      <w:tr w:rsidR="00F273E7" w:rsidRPr="006663D5" w14:paraId="546C3027" w14:textId="77777777" w:rsidTr="00A5415F">
        <w:trPr>
          <w:trHeight w:val="300"/>
        </w:trPr>
        <w:tc>
          <w:tcPr>
            <w:tcW w:w="0" w:type="pct"/>
            <w:noWrap/>
          </w:tcPr>
          <w:p w14:paraId="4BE3E93F" w14:textId="77777777" w:rsidR="00F273E7" w:rsidRPr="006663D5" w:rsidRDefault="00F273E7" w:rsidP="00F273E7">
            <w:pPr>
              <w:pStyle w:val="ARtabletext"/>
            </w:pPr>
            <w:r w:rsidRPr="00052AA0">
              <w:rPr>
                <w:rFonts w:eastAsia="Times New Roman"/>
                <w:color w:val="000000"/>
                <w:sz w:val="16"/>
                <w:szCs w:val="16"/>
              </w:rPr>
              <w:t xml:space="preserve">Probity, data </w:t>
            </w:r>
            <w:r w:rsidRPr="00052AA0">
              <w:rPr>
                <w:rFonts w:eastAsia="Times New Roman"/>
                <w:color w:val="000000"/>
                <w:sz w:val="16"/>
                <w:szCs w:val="16"/>
              </w:rPr>
              <w:br/>
              <w:t>integrity and audit</w:t>
            </w:r>
          </w:p>
        </w:tc>
        <w:tc>
          <w:tcPr>
            <w:tcW w:w="0" w:type="pct"/>
            <w:noWrap/>
          </w:tcPr>
          <w:p w14:paraId="0177FA38" w14:textId="77777777" w:rsidR="00F273E7" w:rsidRPr="006663D5" w:rsidRDefault="00F273E7" w:rsidP="00F273E7">
            <w:pPr>
              <w:pStyle w:val="ARtabletext"/>
            </w:pPr>
            <w:r w:rsidRPr="000A30CD">
              <w:rPr>
                <w:rFonts w:eastAsia="Times New Roman"/>
                <w:color w:val="000000"/>
                <w:sz w:val="16"/>
                <w:szCs w:val="16"/>
              </w:rPr>
              <w:t>KPMG</w:t>
            </w:r>
          </w:p>
        </w:tc>
        <w:tc>
          <w:tcPr>
            <w:tcW w:w="0" w:type="pct"/>
            <w:noWrap/>
          </w:tcPr>
          <w:p w14:paraId="72C6F222" w14:textId="77777777" w:rsidR="00F273E7" w:rsidRPr="006663D5" w:rsidRDefault="00F273E7" w:rsidP="00F273E7">
            <w:pPr>
              <w:pStyle w:val="ARtabletext"/>
            </w:pPr>
            <w:r w:rsidRPr="000A30CD">
              <w:rPr>
                <w:rFonts w:eastAsia="Times New Roman"/>
                <w:color w:val="000000"/>
                <w:sz w:val="16"/>
                <w:szCs w:val="16"/>
              </w:rPr>
              <w:t>Data integrity audits</w:t>
            </w:r>
            <w:r w:rsidR="009C795A">
              <w:rPr>
                <w:rFonts w:eastAsia="Times New Roman"/>
                <w:color w:val="000000"/>
                <w:sz w:val="16"/>
                <w:szCs w:val="16"/>
              </w:rPr>
              <w:t>:</w:t>
            </w:r>
            <w:r w:rsidRPr="000A30CD">
              <w:rPr>
                <w:rFonts w:eastAsia="Times New Roman"/>
                <w:color w:val="000000"/>
                <w:sz w:val="16"/>
                <w:szCs w:val="16"/>
              </w:rPr>
              <w:t xml:space="preserve"> Victorian </w:t>
            </w:r>
            <w:r w:rsidR="009C795A">
              <w:rPr>
                <w:rFonts w:eastAsia="Times New Roman"/>
                <w:color w:val="000000"/>
                <w:sz w:val="16"/>
                <w:szCs w:val="16"/>
              </w:rPr>
              <w:t>A</w:t>
            </w:r>
            <w:r w:rsidR="009C795A" w:rsidRPr="000A30CD">
              <w:rPr>
                <w:rFonts w:eastAsia="Times New Roman"/>
                <w:color w:val="000000"/>
                <w:sz w:val="16"/>
                <w:szCs w:val="16"/>
              </w:rPr>
              <w:t xml:space="preserve">dmitted </w:t>
            </w:r>
            <w:r w:rsidR="009C795A">
              <w:rPr>
                <w:rFonts w:eastAsia="Times New Roman"/>
                <w:color w:val="000000"/>
                <w:sz w:val="16"/>
                <w:szCs w:val="16"/>
              </w:rPr>
              <w:t>E</w:t>
            </w:r>
            <w:r w:rsidR="009C795A" w:rsidRPr="000A30CD">
              <w:rPr>
                <w:rFonts w:eastAsia="Times New Roman"/>
                <w:color w:val="000000"/>
                <w:sz w:val="16"/>
                <w:szCs w:val="16"/>
              </w:rPr>
              <w:t xml:space="preserve">pisodes </w:t>
            </w:r>
            <w:r w:rsidR="009C795A">
              <w:rPr>
                <w:rFonts w:eastAsia="Times New Roman"/>
                <w:color w:val="000000"/>
                <w:sz w:val="16"/>
                <w:szCs w:val="16"/>
              </w:rPr>
              <w:t>D</w:t>
            </w:r>
            <w:r w:rsidR="009C795A" w:rsidRPr="000A30CD">
              <w:rPr>
                <w:rFonts w:eastAsia="Times New Roman"/>
                <w:color w:val="000000"/>
                <w:sz w:val="16"/>
                <w:szCs w:val="16"/>
              </w:rPr>
              <w:t>ataset</w:t>
            </w:r>
          </w:p>
        </w:tc>
        <w:tc>
          <w:tcPr>
            <w:tcW w:w="0" w:type="pct"/>
            <w:noWrap/>
          </w:tcPr>
          <w:p w14:paraId="5544009B" w14:textId="77777777" w:rsidR="00F273E7" w:rsidRPr="006663D5" w:rsidRDefault="00F273E7" w:rsidP="00F273E7">
            <w:pPr>
              <w:pStyle w:val="ARtabletextright"/>
            </w:pPr>
            <w:r w:rsidRPr="000A30CD">
              <w:rPr>
                <w:rFonts w:eastAsia="Times New Roman"/>
                <w:color w:val="000000"/>
                <w:sz w:val="16"/>
                <w:szCs w:val="16"/>
              </w:rPr>
              <w:t>2,943,112.00</w:t>
            </w:r>
          </w:p>
        </w:tc>
        <w:tc>
          <w:tcPr>
            <w:tcW w:w="0" w:type="pct"/>
            <w:noWrap/>
          </w:tcPr>
          <w:p w14:paraId="2CD8223C" w14:textId="77777777" w:rsidR="00F273E7" w:rsidRPr="006663D5" w:rsidRDefault="00F273E7" w:rsidP="00F273E7">
            <w:pPr>
              <w:pStyle w:val="ARtabletextright"/>
            </w:pPr>
            <w:r w:rsidRPr="000A30CD">
              <w:rPr>
                <w:rFonts w:eastAsia="Times New Roman"/>
                <w:color w:val="000000"/>
                <w:sz w:val="16"/>
                <w:szCs w:val="16"/>
              </w:rPr>
              <w:t>815,728.00</w:t>
            </w:r>
          </w:p>
        </w:tc>
        <w:tc>
          <w:tcPr>
            <w:tcW w:w="0" w:type="pct"/>
            <w:noWrap/>
          </w:tcPr>
          <w:p w14:paraId="7AA62F29" w14:textId="77777777" w:rsidR="00F273E7" w:rsidRPr="006663D5" w:rsidRDefault="00F273E7" w:rsidP="00F273E7">
            <w:pPr>
              <w:pStyle w:val="ARtabletextright"/>
            </w:pPr>
            <w:r w:rsidRPr="000A30CD">
              <w:rPr>
                <w:rFonts w:eastAsia="Times New Roman"/>
                <w:color w:val="000000"/>
                <w:sz w:val="16"/>
                <w:szCs w:val="16"/>
              </w:rPr>
              <w:t>889,761.00</w:t>
            </w:r>
          </w:p>
        </w:tc>
      </w:tr>
      <w:tr w:rsidR="00F273E7" w:rsidRPr="006663D5" w14:paraId="21EF70FA" w14:textId="77777777" w:rsidTr="00E34BA4">
        <w:trPr>
          <w:trHeight w:val="300"/>
        </w:trPr>
        <w:tc>
          <w:tcPr>
            <w:tcW w:w="0" w:type="pct"/>
            <w:noWrap/>
          </w:tcPr>
          <w:p w14:paraId="55803689" w14:textId="77777777" w:rsidR="00F273E7" w:rsidRPr="006663D5" w:rsidRDefault="00F273E7" w:rsidP="00F273E7">
            <w:pPr>
              <w:pStyle w:val="ARtabletext"/>
            </w:pPr>
            <w:r w:rsidRPr="00052AA0">
              <w:rPr>
                <w:rFonts w:eastAsia="Times New Roman"/>
                <w:color w:val="000000"/>
                <w:sz w:val="16"/>
                <w:szCs w:val="16"/>
              </w:rPr>
              <w:t xml:space="preserve">Probity, data </w:t>
            </w:r>
            <w:r w:rsidRPr="00052AA0">
              <w:rPr>
                <w:rFonts w:eastAsia="Times New Roman"/>
                <w:color w:val="000000"/>
                <w:sz w:val="16"/>
                <w:szCs w:val="16"/>
              </w:rPr>
              <w:br/>
              <w:t>integrity and audit</w:t>
            </w:r>
          </w:p>
        </w:tc>
        <w:tc>
          <w:tcPr>
            <w:tcW w:w="0" w:type="pct"/>
            <w:noWrap/>
          </w:tcPr>
          <w:p w14:paraId="32B914F7" w14:textId="77777777" w:rsidR="00F273E7" w:rsidRPr="006663D5" w:rsidRDefault="009C795A" w:rsidP="00F273E7">
            <w:pPr>
              <w:pStyle w:val="ARtabletext"/>
            </w:pPr>
            <w:r w:rsidRPr="000A30CD">
              <w:rPr>
                <w:rFonts w:eastAsia="Times New Roman"/>
                <w:color w:val="000000"/>
                <w:sz w:val="16"/>
                <w:szCs w:val="16"/>
              </w:rPr>
              <w:t>Due Diligence Consultants Pty Ltd</w:t>
            </w:r>
          </w:p>
        </w:tc>
        <w:tc>
          <w:tcPr>
            <w:tcW w:w="0" w:type="pct"/>
            <w:noWrap/>
          </w:tcPr>
          <w:p w14:paraId="0166107D" w14:textId="77777777" w:rsidR="00F273E7" w:rsidRPr="006663D5" w:rsidRDefault="00F273E7" w:rsidP="00F273E7">
            <w:pPr>
              <w:pStyle w:val="ARtabletext"/>
            </w:pPr>
            <w:r w:rsidRPr="000A30CD">
              <w:rPr>
                <w:rFonts w:eastAsia="Times New Roman"/>
                <w:color w:val="000000"/>
                <w:sz w:val="16"/>
                <w:szCs w:val="16"/>
              </w:rPr>
              <w:t xml:space="preserve">Due </w:t>
            </w:r>
            <w:r w:rsidR="009C795A" w:rsidRPr="000A30CD">
              <w:rPr>
                <w:rFonts w:eastAsia="Times New Roman"/>
                <w:color w:val="000000"/>
                <w:sz w:val="16"/>
                <w:szCs w:val="16"/>
              </w:rPr>
              <w:t>diligence reporting</w:t>
            </w:r>
          </w:p>
        </w:tc>
        <w:tc>
          <w:tcPr>
            <w:tcW w:w="0" w:type="pct"/>
            <w:noWrap/>
          </w:tcPr>
          <w:p w14:paraId="43934D33" w14:textId="77777777" w:rsidR="00F273E7" w:rsidRPr="006663D5" w:rsidRDefault="00F273E7" w:rsidP="00F273E7">
            <w:pPr>
              <w:pStyle w:val="ARtabletextright"/>
            </w:pPr>
            <w:r w:rsidRPr="000A30CD">
              <w:rPr>
                <w:rFonts w:eastAsia="Times New Roman"/>
                <w:color w:val="000000"/>
                <w:sz w:val="16"/>
                <w:szCs w:val="16"/>
              </w:rPr>
              <w:t>169,275.00</w:t>
            </w:r>
          </w:p>
        </w:tc>
        <w:tc>
          <w:tcPr>
            <w:tcW w:w="0" w:type="pct"/>
            <w:noWrap/>
          </w:tcPr>
          <w:p w14:paraId="05056371" w14:textId="77777777" w:rsidR="00F273E7" w:rsidRPr="006663D5" w:rsidRDefault="00F273E7" w:rsidP="00F273E7">
            <w:pPr>
              <w:pStyle w:val="ARtabletextright"/>
            </w:pPr>
            <w:r w:rsidRPr="000A30CD">
              <w:rPr>
                <w:rFonts w:eastAsia="Times New Roman"/>
                <w:color w:val="000000"/>
                <w:sz w:val="16"/>
                <w:szCs w:val="16"/>
              </w:rPr>
              <w:t>26,249.00</w:t>
            </w:r>
          </w:p>
        </w:tc>
        <w:tc>
          <w:tcPr>
            <w:tcW w:w="0" w:type="pct"/>
            <w:noWrap/>
          </w:tcPr>
          <w:p w14:paraId="3AC490B0" w14:textId="77777777" w:rsidR="00F273E7" w:rsidRPr="006663D5" w:rsidRDefault="00F273E7" w:rsidP="00F273E7">
            <w:pPr>
              <w:pStyle w:val="ARtabletextright"/>
            </w:pPr>
            <w:r w:rsidRPr="000A30CD">
              <w:rPr>
                <w:rFonts w:eastAsia="Times New Roman"/>
                <w:color w:val="000000"/>
                <w:sz w:val="16"/>
                <w:szCs w:val="16"/>
              </w:rPr>
              <w:t>95,735.00</w:t>
            </w:r>
          </w:p>
        </w:tc>
      </w:tr>
      <w:tr w:rsidR="00F273E7" w:rsidRPr="006663D5" w14:paraId="53E44D1F" w14:textId="77777777" w:rsidTr="00E34BA4">
        <w:trPr>
          <w:trHeight w:val="300"/>
        </w:trPr>
        <w:tc>
          <w:tcPr>
            <w:tcW w:w="0" w:type="pct"/>
            <w:noWrap/>
          </w:tcPr>
          <w:p w14:paraId="79CDF3C5" w14:textId="77777777" w:rsidR="00F273E7" w:rsidRPr="006663D5" w:rsidRDefault="00F273E7" w:rsidP="00F273E7">
            <w:pPr>
              <w:pStyle w:val="ARtabletext"/>
            </w:pPr>
            <w:r w:rsidRPr="00052AA0">
              <w:rPr>
                <w:rFonts w:eastAsia="Times New Roman"/>
                <w:color w:val="000000"/>
                <w:sz w:val="16"/>
                <w:szCs w:val="16"/>
              </w:rPr>
              <w:t xml:space="preserve">Probity, data </w:t>
            </w:r>
            <w:r w:rsidRPr="00052AA0">
              <w:rPr>
                <w:rFonts w:eastAsia="Times New Roman"/>
                <w:color w:val="000000"/>
                <w:sz w:val="16"/>
                <w:szCs w:val="16"/>
              </w:rPr>
              <w:br/>
              <w:t>integrity and audit</w:t>
            </w:r>
          </w:p>
        </w:tc>
        <w:tc>
          <w:tcPr>
            <w:tcW w:w="0" w:type="pct"/>
            <w:noWrap/>
          </w:tcPr>
          <w:p w14:paraId="6D0DBB4F" w14:textId="77777777" w:rsidR="00F273E7" w:rsidRPr="006663D5" w:rsidRDefault="00F273E7" w:rsidP="00F273E7">
            <w:pPr>
              <w:pStyle w:val="ARtabletext"/>
            </w:pPr>
            <w:r w:rsidRPr="000A30CD">
              <w:rPr>
                <w:rFonts w:eastAsia="Times New Roman"/>
                <w:color w:val="000000"/>
                <w:sz w:val="16"/>
                <w:szCs w:val="16"/>
              </w:rPr>
              <w:t>RSM</w:t>
            </w:r>
          </w:p>
        </w:tc>
        <w:tc>
          <w:tcPr>
            <w:tcW w:w="0" w:type="pct"/>
            <w:noWrap/>
          </w:tcPr>
          <w:p w14:paraId="42D7B185" w14:textId="77777777" w:rsidR="00F273E7" w:rsidRPr="006663D5" w:rsidRDefault="00F273E7" w:rsidP="00F273E7">
            <w:pPr>
              <w:pStyle w:val="ARtabletext"/>
            </w:pPr>
            <w:r w:rsidRPr="000A30CD">
              <w:rPr>
                <w:rFonts w:eastAsia="Times New Roman"/>
                <w:color w:val="000000"/>
                <w:sz w:val="16"/>
                <w:szCs w:val="16"/>
              </w:rPr>
              <w:t xml:space="preserve">Risk </w:t>
            </w:r>
            <w:r w:rsidR="009C795A" w:rsidRPr="000A30CD">
              <w:rPr>
                <w:rFonts w:eastAsia="Times New Roman"/>
                <w:color w:val="000000"/>
                <w:sz w:val="16"/>
                <w:szCs w:val="16"/>
              </w:rPr>
              <w:t>review: housing fraud and corruption</w:t>
            </w:r>
          </w:p>
        </w:tc>
        <w:tc>
          <w:tcPr>
            <w:tcW w:w="0" w:type="pct"/>
            <w:noWrap/>
          </w:tcPr>
          <w:p w14:paraId="67C223D7" w14:textId="77777777" w:rsidR="00F273E7" w:rsidRPr="006663D5" w:rsidRDefault="00F273E7" w:rsidP="00F273E7">
            <w:pPr>
              <w:pStyle w:val="ARtabletextright"/>
            </w:pPr>
            <w:r w:rsidRPr="000A30CD">
              <w:rPr>
                <w:rFonts w:eastAsia="Times New Roman"/>
                <w:color w:val="000000"/>
                <w:sz w:val="16"/>
                <w:szCs w:val="16"/>
              </w:rPr>
              <w:t>163,549.00</w:t>
            </w:r>
          </w:p>
        </w:tc>
        <w:tc>
          <w:tcPr>
            <w:tcW w:w="0" w:type="pct"/>
            <w:noWrap/>
          </w:tcPr>
          <w:p w14:paraId="1DE5D7DC" w14:textId="77777777" w:rsidR="00F273E7" w:rsidRPr="006663D5" w:rsidRDefault="00F273E7" w:rsidP="00F273E7">
            <w:pPr>
              <w:pStyle w:val="ARtabletextright"/>
            </w:pPr>
            <w:r w:rsidRPr="000A30CD">
              <w:rPr>
                <w:rFonts w:eastAsia="Times New Roman"/>
                <w:color w:val="000000"/>
                <w:sz w:val="16"/>
                <w:szCs w:val="16"/>
              </w:rPr>
              <w:t>175,850.00</w:t>
            </w:r>
          </w:p>
        </w:tc>
        <w:tc>
          <w:tcPr>
            <w:tcW w:w="0" w:type="pct"/>
            <w:noWrap/>
          </w:tcPr>
          <w:p w14:paraId="1596C3DA"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60F11463" w14:textId="77777777" w:rsidTr="00A5415F">
        <w:trPr>
          <w:trHeight w:val="300"/>
        </w:trPr>
        <w:tc>
          <w:tcPr>
            <w:tcW w:w="0" w:type="pct"/>
            <w:noWrap/>
          </w:tcPr>
          <w:p w14:paraId="786F90AD" w14:textId="77777777" w:rsidR="00F273E7" w:rsidRPr="006663D5" w:rsidRDefault="00F273E7" w:rsidP="00F273E7">
            <w:pPr>
              <w:pStyle w:val="ARtabletext"/>
            </w:pPr>
            <w:r w:rsidRPr="00052AA0">
              <w:rPr>
                <w:rFonts w:eastAsia="Times New Roman"/>
                <w:color w:val="000000"/>
                <w:sz w:val="16"/>
                <w:szCs w:val="16"/>
              </w:rPr>
              <w:t xml:space="preserve">Probity, data </w:t>
            </w:r>
            <w:r w:rsidRPr="00052AA0">
              <w:rPr>
                <w:rFonts w:eastAsia="Times New Roman"/>
                <w:color w:val="000000"/>
                <w:sz w:val="16"/>
                <w:szCs w:val="16"/>
              </w:rPr>
              <w:br/>
              <w:t>integrity and audit</w:t>
            </w:r>
          </w:p>
        </w:tc>
        <w:tc>
          <w:tcPr>
            <w:tcW w:w="0" w:type="pct"/>
            <w:noWrap/>
          </w:tcPr>
          <w:p w14:paraId="6B0E24B2" w14:textId="77777777" w:rsidR="00F273E7" w:rsidRPr="006663D5" w:rsidRDefault="00F273E7" w:rsidP="00F273E7">
            <w:pPr>
              <w:pStyle w:val="ARtabletext"/>
            </w:pPr>
            <w:r w:rsidRPr="000A30CD">
              <w:rPr>
                <w:rFonts w:eastAsia="Times New Roman"/>
                <w:color w:val="000000"/>
                <w:sz w:val="16"/>
                <w:szCs w:val="16"/>
              </w:rPr>
              <w:t xml:space="preserve">ASPEX </w:t>
            </w:r>
            <w:r w:rsidR="009C795A" w:rsidRPr="000A30CD">
              <w:rPr>
                <w:rFonts w:eastAsia="Times New Roman"/>
                <w:color w:val="000000"/>
                <w:sz w:val="16"/>
                <w:szCs w:val="16"/>
              </w:rPr>
              <w:t>Consulting Pty Ltd</w:t>
            </w:r>
          </w:p>
        </w:tc>
        <w:tc>
          <w:tcPr>
            <w:tcW w:w="0" w:type="pct"/>
            <w:noWrap/>
          </w:tcPr>
          <w:p w14:paraId="18A2B794" w14:textId="77777777" w:rsidR="00F273E7" w:rsidRPr="006663D5" w:rsidRDefault="00F273E7" w:rsidP="00625023">
            <w:pPr>
              <w:pStyle w:val="ARtabletext"/>
            </w:pPr>
            <w:r w:rsidRPr="000A30CD">
              <w:rPr>
                <w:rFonts w:eastAsia="Times New Roman"/>
                <w:color w:val="000000"/>
                <w:sz w:val="16"/>
                <w:szCs w:val="16"/>
              </w:rPr>
              <w:t>Review: Peter MacCallum Cancer Centre</w:t>
            </w:r>
          </w:p>
        </w:tc>
        <w:tc>
          <w:tcPr>
            <w:tcW w:w="0" w:type="pct"/>
            <w:noWrap/>
          </w:tcPr>
          <w:p w14:paraId="3569666F" w14:textId="77777777" w:rsidR="00F273E7" w:rsidRPr="006663D5" w:rsidRDefault="00F273E7" w:rsidP="00F273E7">
            <w:pPr>
              <w:pStyle w:val="ARtabletextright"/>
            </w:pPr>
            <w:r w:rsidRPr="000A30CD">
              <w:rPr>
                <w:rFonts w:eastAsia="Times New Roman"/>
                <w:color w:val="000000"/>
                <w:sz w:val="16"/>
                <w:szCs w:val="16"/>
              </w:rPr>
              <w:t>88,483.00</w:t>
            </w:r>
          </w:p>
        </w:tc>
        <w:tc>
          <w:tcPr>
            <w:tcW w:w="0" w:type="pct"/>
            <w:noWrap/>
          </w:tcPr>
          <w:p w14:paraId="278B769C" w14:textId="77777777" w:rsidR="00F273E7" w:rsidRPr="006663D5" w:rsidRDefault="00F273E7" w:rsidP="00F273E7">
            <w:pPr>
              <w:pStyle w:val="ARtabletextright"/>
            </w:pPr>
            <w:r w:rsidRPr="000A30CD">
              <w:rPr>
                <w:rFonts w:eastAsia="Times New Roman"/>
                <w:color w:val="000000"/>
                <w:sz w:val="16"/>
                <w:szCs w:val="16"/>
              </w:rPr>
              <w:t>88,333.00</w:t>
            </w:r>
          </w:p>
        </w:tc>
        <w:tc>
          <w:tcPr>
            <w:tcW w:w="0" w:type="pct"/>
            <w:noWrap/>
          </w:tcPr>
          <w:p w14:paraId="2C5200AF" w14:textId="77777777" w:rsidR="00F273E7" w:rsidRPr="006663D5" w:rsidRDefault="00F273E7" w:rsidP="00F273E7">
            <w:pPr>
              <w:pStyle w:val="ARtabletextright"/>
            </w:pPr>
            <w:r w:rsidRPr="000A30CD">
              <w:rPr>
                <w:rFonts w:eastAsia="Times New Roman"/>
                <w:color w:val="000000"/>
                <w:sz w:val="16"/>
                <w:szCs w:val="16"/>
              </w:rPr>
              <w:t>150.00</w:t>
            </w:r>
          </w:p>
        </w:tc>
      </w:tr>
      <w:tr w:rsidR="00F273E7" w:rsidRPr="006663D5" w14:paraId="31804341" w14:textId="77777777" w:rsidTr="00A5415F">
        <w:trPr>
          <w:trHeight w:val="300"/>
        </w:trPr>
        <w:tc>
          <w:tcPr>
            <w:tcW w:w="0" w:type="pct"/>
            <w:noWrap/>
          </w:tcPr>
          <w:p w14:paraId="1BA7F980" w14:textId="77777777" w:rsidR="00F273E7" w:rsidRPr="006663D5" w:rsidRDefault="00F273E7" w:rsidP="00F273E7">
            <w:pPr>
              <w:pStyle w:val="ARtabletext"/>
            </w:pPr>
            <w:r w:rsidRPr="00052AA0">
              <w:rPr>
                <w:rFonts w:eastAsia="Times New Roman"/>
                <w:color w:val="000000"/>
                <w:sz w:val="16"/>
                <w:szCs w:val="16"/>
              </w:rPr>
              <w:t xml:space="preserve">Probity, data </w:t>
            </w:r>
            <w:r w:rsidRPr="00052AA0">
              <w:rPr>
                <w:rFonts w:eastAsia="Times New Roman"/>
                <w:color w:val="000000"/>
                <w:sz w:val="16"/>
                <w:szCs w:val="16"/>
              </w:rPr>
              <w:br/>
              <w:t>integrity and audit</w:t>
            </w:r>
          </w:p>
        </w:tc>
        <w:tc>
          <w:tcPr>
            <w:tcW w:w="0" w:type="pct"/>
            <w:noWrap/>
          </w:tcPr>
          <w:p w14:paraId="161B6DAF" w14:textId="77777777" w:rsidR="00F273E7" w:rsidRPr="006663D5" w:rsidRDefault="009C795A" w:rsidP="00F273E7">
            <w:pPr>
              <w:pStyle w:val="ARtabletext"/>
            </w:pPr>
            <w:r w:rsidRPr="000A30CD">
              <w:rPr>
                <w:rFonts w:eastAsia="Times New Roman"/>
                <w:color w:val="000000"/>
                <w:sz w:val="16"/>
                <w:szCs w:val="16"/>
              </w:rPr>
              <w:t>Ernst &amp; Young</w:t>
            </w:r>
          </w:p>
        </w:tc>
        <w:tc>
          <w:tcPr>
            <w:tcW w:w="0" w:type="pct"/>
            <w:noWrap/>
          </w:tcPr>
          <w:p w14:paraId="354B7F4F" w14:textId="77777777" w:rsidR="00F273E7" w:rsidRPr="006663D5" w:rsidRDefault="00F273E7" w:rsidP="00F273E7">
            <w:pPr>
              <w:pStyle w:val="ARtabletext"/>
            </w:pPr>
            <w:r w:rsidRPr="000A30CD">
              <w:rPr>
                <w:rFonts w:eastAsia="Times New Roman"/>
                <w:color w:val="000000"/>
                <w:sz w:val="16"/>
                <w:szCs w:val="16"/>
              </w:rPr>
              <w:t xml:space="preserve">Project </w:t>
            </w:r>
            <w:r w:rsidR="009C795A">
              <w:rPr>
                <w:rFonts w:eastAsia="Times New Roman"/>
                <w:color w:val="000000"/>
                <w:sz w:val="16"/>
                <w:szCs w:val="16"/>
              </w:rPr>
              <w:t>a</w:t>
            </w:r>
            <w:r w:rsidRPr="000A30CD">
              <w:rPr>
                <w:rFonts w:eastAsia="Times New Roman"/>
                <w:color w:val="000000"/>
                <w:sz w:val="16"/>
                <w:szCs w:val="16"/>
              </w:rPr>
              <w:t xml:space="preserve">ssurance </w:t>
            </w:r>
            <w:r w:rsidR="009C795A">
              <w:rPr>
                <w:rFonts w:eastAsia="Times New Roman"/>
                <w:color w:val="000000"/>
                <w:sz w:val="16"/>
                <w:szCs w:val="16"/>
              </w:rPr>
              <w:t>r</w:t>
            </w:r>
            <w:r w:rsidR="009C795A" w:rsidRPr="000A30CD">
              <w:rPr>
                <w:rFonts w:eastAsia="Times New Roman"/>
                <w:color w:val="000000"/>
                <w:sz w:val="16"/>
                <w:szCs w:val="16"/>
              </w:rPr>
              <w:t>eview</w:t>
            </w:r>
            <w:r w:rsidR="009C795A">
              <w:rPr>
                <w:rFonts w:eastAsia="Times New Roman"/>
                <w:color w:val="000000"/>
                <w:sz w:val="16"/>
                <w:szCs w:val="16"/>
              </w:rPr>
              <w:t>:</w:t>
            </w:r>
            <w:r w:rsidR="009C795A" w:rsidRPr="000A30CD">
              <w:rPr>
                <w:rFonts w:eastAsia="Times New Roman"/>
                <w:color w:val="000000"/>
                <w:sz w:val="16"/>
                <w:szCs w:val="16"/>
              </w:rPr>
              <w:t xml:space="preserve"> </w:t>
            </w:r>
            <w:r w:rsidR="009C795A">
              <w:rPr>
                <w:rFonts w:eastAsia="Times New Roman"/>
                <w:color w:val="000000"/>
                <w:sz w:val="16"/>
                <w:szCs w:val="16"/>
              </w:rPr>
              <w:t>h</w:t>
            </w:r>
            <w:r w:rsidR="009C795A" w:rsidRPr="000A30CD">
              <w:rPr>
                <w:rFonts w:eastAsia="Times New Roman"/>
                <w:color w:val="000000"/>
                <w:sz w:val="16"/>
                <w:szCs w:val="16"/>
              </w:rPr>
              <w:t xml:space="preserve">ealth </w:t>
            </w:r>
            <w:r w:rsidRPr="000A30CD">
              <w:rPr>
                <w:rFonts w:eastAsia="Times New Roman"/>
                <w:color w:val="000000"/>
                <w:sz w:val="16"/>
                <w:szCs w:val="16"/>
              </w:rPr>
              <w:t xml:space="preserve">service electronic medical records </w:t>
            </w:r>
          </w:p>
        </w:tc>
        <w:tc>
          <w:tcPr>
            <w:tcW w:w="0" w:type="pct"/>
            <w:noWrap/>
          </w:tcPr>
          <w:p w14:paraId="2C5FBE09" w14:textId="77777777" w:rsidR="00F273E7" w:rsidRPr="006663D5" w:rsidRDefault="00F273E7" w:rsidP="00F273E7">
            <w:pPr>
              <w:pStyle w:val="ARtabletextright"/>
            </w:pPr>
            <w:r w:rsidRPr="000A30CD">
              <w:rPr>
                <w:rFonts w:eastAsia="Times New Roman"/>
                <w:color w:val="000000"/>
                <w:sz w:val="16"/>
                <w:szCs w:val="16"/>
              </w:rPr>
              <w:t>106,073.00</w:t>
            </w:r>
          </w:p>
        </w:tc>
        <w:tc>
          <w:tcPr>
            <w:tcW w:w="0" w:type="pct"/>
            <w:noWrap/>
          </w:tcPr>
          <w:p w14:paraId="700A2BEB" w14:textId="77777777" w:rsidR="00F273E7" w:rsidRPr="006663D5" w:rsidRDefault="00F273E7" w:rsidP="00F273E7">
            <w:pPr>
              <w:pStyle w:val="ARtabletextright"/>
            </w:pPr>
            <w:r w:rsidRPr="000A30CD">
              <w:rPr>
                <w:rFonts w:eastAsia="Times New Roman"/>
                <w:color w:val="000000"/>
                <w:sz w:val="16"/>
                <w:szCs w:val="16"/>
              </w:rPr>
              <w:t>21,743.00</w:t>
            </w:r>
          </w:p>
        </w:tc>
        <w:tc>
          <w:tcPr>
            <w:tcW w:w="0" w:type="pct"/>
            <w:noWrap/>
          </w:tcPr>
          <w:p w14:paraId="5143CF9B" w14:textId="77777777" w:rsidR="00F273E7" w:rsidRPr="006663D5" w:rsidRDefault="00F273E7" w:rsidP="00F273E7">
            <w:pPr>
              <w:pStyle w:val="ARtabletextright"/>
            </w:pPr>
            <w:r w:rsidRPr="000A30CD">
              <w:rPr>
                <w:rFonts w:eastAsia="Times New Roman"/>
                <w:color w:val="000000"/>
                <w:sz w:val="16"/>
                <w:szCs w:val="16"/>
              </w:rPr>
              <w:t>931.00</w:t>
            </w:r>
          </w:p>
        </w:tc>
      </w:tr>
      <w:tr w:rsidR="00F273E7" w:rsidRPr="006663D5" w14:paraId="693B9D85" w14:textId="77777777" w:rsidTr="00E34BA4">
        <w:trPr>
          <w:trHeight w:val="300"/>
        </w:trPr>
        <w:tc>
          <w:tcPr>
            <w:tcW w:w="0" w:type="pct"/>
            <w:noWrap/>
          </w:tcPr>
          <w:p w14:paraId="20A0D534" w14:textId="77777777" w:rsidR="00F273E7" w:rsidRPr="006663D5" w:rsidRDefault="00F273E7" w:rsidP="00F273E7">
            <w:pPr>
              <w:pStyle w:val="ARtabletext"/>
            </w:pPr>
            <w:r w:rsidRPr="00052AA0">
              <w:rPr>
                <w:rFonts w:eastAsia="Times New Roman"/>
                <w:color w:val="000000"/>
                <w:sz w:val="16"/>
                <w:szCs w:val="16"/>
              </w:rPr>
              <w:t xml:space="preserve">Probity, data </w:t>
            </w:r>
            <w:r w:rsidRPr="00052AA0">
              <w:rPr>
                <w:rFonts w:eastAsia="Times New Roman"/>
                <w:color w:val="000000"/>
                <w:sz w:val="16"/>
                <w:szCs w:val="16"/>
              </w:rPr>
              <w:br/>
              <w:t>integrity and audit</w:t>
            </w:r>
          </w:p>
        </w:tc>
        <w:tc>
          <w:tcPr>
            <w:tcW w:w="0" w:type="pct"/>
            <w:noWrap/>
          </w:tcPr>
          <w:p w14:paraId="551FF565" w14:textId="77777777" w:rsidR="00F273E7" w:rsidRPr="006663D5" w:rsidRDefault="009C795A" w:rsidP="00F273E7">
            <w:pPr>
              <w:pStyle w:val="ARtabletext"/>
            </w:pPr>
            <w:r w:rsidRPr="000A30CD">
              <w:rPr>
                <w:rFonts w:eastAsia="Times New Roman"/>
                <w:color w:val="000000"/>
                <w:sz w:val="16"/>
                <w:szCs w:val="16"/>
              </w:rPr>
              <w:t>Applied Aged Care Solutions Pty Ltd</w:t>
            </w:r>
          </w:p>
        </w:tc>
        <w:tc>
          <w:tcPr>
            <w:tcW w:w="0" w:type="pct"/>
            <w:noWrap/>
          </w:tcPr>
          <w:p w14:paraId="461604CC" w14:textId="77777777" w:rsidR="00F273E7" w:rsidRPr="006663D5" w:rsidRDefault="00F273E7" w:rsidP="00F273E7">
            <w:pPr>
              <w:pStyle w:val="ARtabletext"/>
            </w:pPr>
            <w:r w:rsidRPr="000A30CD">
              <w:rPr>
                <w:rFonts w:eastAsia="Times New Roman"/>
                <w:color w:val="000000"/>
                <w:sz w:val="16"/>
                <w:szCs w:val="16"/>
              </w:rPr>
              <w:t xml:space="preserve">Review: </w:t>
            </w:r>
            <w:r w:rsidR="009C795A" w:rsidRPr="000A30CD">
              <w:rPr>
                <w:rFonts w:eastAsia="Times New Roman"/>
                <w:color w:val="000000"/>
                <w:sz w:val="16"/>
                <w:szCs w:val="16"/>
              </w:rPr>
              <w:t>residential aged ca</w:t>
            </w:r>
            <w:r w:rsidRPr="000A30CD">
              <w:rPr>
                <w:rFonts w:eastAsia="Times New Roman"/>
                <w:color w:val="000000"/>
                <w:sz w:val="16"/>
                <w:szCs w:val="16"/>
              </w:rPr>
              <w:t>re at Ballan District Health &amp; Care</w:t>
            </w:r>
          </w:p>
        </w:tc>
        <w:tc>
          <w:tcPr>
            <w:tcW w:w="0" w:type="pct"/>
            <w:noWrap/>
          </w:tcPr>
          <w:p w14:paraId="55C2EF88" w14:textId="77777777" w:rsidR="00F273E7" w:rsidRPr="006663D5" w:rsidRDefault="00F273E7" w:rsidP="00F273E7">
            <w:pPr>
              <w:pStyle w:val="ARtabletextright"/>
            </w:pPr>
            <w:r w:rsidRPr="000A30CD">
              <w:rPr>
                <w:rFonts w:eastAsia="Times New Roman"/>
                <w:color w:val="000000"/>
                <w:sz w:val="16"/>
                <w:szCs w:val="16"/>
              </w:rPr>
              <w:t>19,500.00</w:t>
            </w:r>
          </w:p>
        </w:tc>
        <w:tc>
          <w:tcPr>
            <w:tcW w:w="0" w:type="pct"/>
            <w:noWrap/>
          </w:tcPr>
          <w:p w14:paraId="326C240D" w14:textId="77777777" w:rsidR="00F273E7" w:rsidRPr="006663D5" w:rsidRDefault="00F273E7" w:rsidP="00F273E7">
            <w:pPr>
              <w:pStyle w:val="ARtabletextright"/>
            </w:pPr>
            <w:r w:rsidRPr="000A30CD">
              <w:rPr>
                <w:rFonts w:eastAsia="Times New Roman"/>
                <w:color w:val="000000"/>
                <w:sz w:val="16"/>
                <w:szCs w:val="16"/>
              </w:rPr>
              <w:t>19,500.00</w:t>
            </w:r>
          </w:p>
        </w:tc>
        <w:tc>
          <w:tcPr>
            <w:tcW w:w="0" w:type="pct"/>
            <w:noWrap/>
          </w:tcPr>
          <w:p w14:paraId="79AFD2EC" w14:textId="77777777" w:rsidR="00F273E7" w:rsidRPr="006663D5" w:rsidRDefault="00F273E7" w:rsidP="00F273E7">
            <w:pPr>
              <w:pStyle w:val="ARtabletextright"/>
            </w:pPr>
            <w:r w:rsidRPr="000A30CD">
              <w:rPr>
                <w:rFonts w:eastAsia="Times New Roman"/>
                <w:color w:val="000000"/>
                <w:sz w:val="16"/>
                <w:szCs w:val="16"/>
              </w:rPr>
              <w:t>Nil</w:t>
            </w:r>
          </w:p>
        </w:tc>
      </w:tr>
      <w:tr w:rsidR="00F273E7" w:rsidRPr="006663D5" w14:paraId="0B251FC9" w14:textId="77777777" w:rsidTr="00E34BA4">
        <w:trPr>
          <w:trHeight w:val="300"/>
        </w:trPr>
        <w:tc>
          <w:tcPr>
            <w:tcW w:w="0" w:type="pct"/>
            <w:noWrap/>
          </w:tcPr>
          <w:p w14:paraId="2F16E5D6" w14:textId="77777777" w:rsidR="00F273E7" w:rsidRPr="006663D5" w:rsidRDefault="00F273E7" w:rsidP="00F273E7">
            <w:pPr>
              <w:pStyle w:val="ARtabletext"/>
            </w:pPr>
            <w:r w:rsidRPr="00052AA0">
              <w:rPr>
                <w:rFonts w:eastAsia="Times New Roman"/>
                <w:color w:val="000000"/>
                <w:sz w:val="16"/>
                <w:szCs w:val="16"/>
              </w:rPr>
              <w:t xml:space="preserve">Probity, data </w:t>
            </w:r>
            <w:r w:rsidRPr="00052AA0">
              <w:rPr>
                <w:rFonts w:eastAsia="Times New Roman"/>
                <w:color w:val="000000"/>
                <w:sz w:val="16"/>
                <w:szCs w:val="16"/>
              </w:rPr>
              <w:br/>
              <w:t>integrity and audit</w:t>
            </w:r>
          </w:p>
        </w:tc>
        <w:tc>
          <w:tcPr>
            <w:tcW w:w="0" w:type="pct"/>
            <w:noWrap/>
          </w:tcPr>
          <w:p w14:paraId="1C7C1983" w14:textId="77777777" w:rsidR="00F273E7" w:rsidRPr="006663D5" w:rsidRDefault="00F273E7" w:rsidP="00F273E7">
            <w:pPr>
              <w:pStyle w:val="ARtabletext"/>
            </w:pPr>
            <w:r w:rsidRPr="000A30CD">
              <w:rPr>
                <w:rFonts w:eastAsia="Times New Roman"/>
                <w:color w:val="000000"/>
                <w:sz w:val="16"/>
                <w:szCs w:val="16"/>
              </w:rPr>
              <w:t>KPMG</w:t>
            </w:r>
          </w:p>
        </w:tc>
        <w:tc>
          <w:tcPr>
            <w:tcW w:w="0" w:type="pct"/>
            <w:noWrap/>
          </w:tcPr>
          <w:p w14:paraId="5FEB771A" w14:textId="77777777" w:rsidR="00F273E7" w:rsidRPr="006663D5" w:rsidRDefault="00F273E7" w:rsidP="00F273E7">
            <w:pPr>
              <w:pStyle w:val="ARtabletext"/>
            </w:pPr>
            <w:r w:rsidRPr="000A30CD">
              <w:rPr>
                <w:rFonts w:eastAsia="Times New Roman"/>
                <w:color w:val="000000"/>
                <w:sz w:val="16"/>
                <w:szCs w:val="16"/>
              </w:rPr>
              <w:t>VHIMS Victorian Incident and Feedback Dataset</w:t>
            </w:r>
          </w:p>
        </w:tc>
        <w:tc>
          <w:tcPr>
            <w:tcW w:w="0" w:type="pct"/>
            <w:noWrap/>
          </w:tcPr>
          <w:p w14:paraId="67450958" w14:textId="77777777" w:rsidR="00F273E7" w:rsidRPr="006663D5" w:rsidRDefault="00F273E7" w:rsidP="00F273E7">
            <w:pPr>
              <w:pStyle w:val="ARtabletextright"/>
            </w:pPr>
            <w:r w:rsidRPr="000A30CD">
              <w:rPr>
                <w:rFonts w:eastAsia="Times New Roman"/>
                <w:color w:val="000000"/>
                <w:sz w:val="16"/>
                <w:szCs w:val="16"/>
              </w:rPr>
              <w:t>135,856.00</w:t>
            </w:r>
          </w:p>
        </w:tc>
        <w:tc>
          <w:tcPr>
            <w:tcW w:w="0" w:type="pct"/>
            <w:noWrap/>
          </w:tcPr>
          <w:p w14:paraId="5E845A32" w14:textId="77777777" w:rsidR="00F273E7" w:rsidRPr="006663D5" w:rsidRDefault="00F273E7" w:rsidP="00F273E7">
            <w:pPr>
              <w:pStyle w:val="ARtabletextright"/>
            </w:pPr>
            <w:r w:rsidRPr="000A30CD">
              <w:rPr>
                <w:rFonts w:eastAsia="Times New Roman"/>
                <w:color w:val="000000"/>
                <w:sz w:val="16"/>
                <w:szCs w:val="16"/>
              </w:rPr>
              <w:t>81,514.00</w:t>
            </w:r>
          </w:p>
        </w:tc>
        <w:tc>
          <w:tcPr>
            <w:tcW w:w="0" w:type="pct"/>
            <w:noWrap/>
          </w:tcPr>
          <w:p w14:paraId="16851937" w14:textId="77777777" w:rsidR="00F273E7" w:rsidRPr="006663D5" w:rsidRDefault="00F273E7" w:rsidP="00F273E7">
            <w:pPr>
              <w:pStyle w:val="ARtabletextright"/>
            </w:pPr>
            <w:r w:rsidRPr="000A30CD">
              <w:rPr>
                <w:rFonts w:eastAsia="Times New Roman"/>
                <w:color w:val="000000"/>
                <w:sz w:val="16"/>
                <w:szCs w:val="16"/>
              </w:rPr>
              <w:t>Nil</w:t>
            </w:r>
          </w:p>
        </w:tc>
      </w:tr>
      <w:tr w:rsidR="007066A0" w:rsidRPr="006663D5" w14:paraId="432A2003" w14:textId="77777777" w:rsidTr="00E34BA4">
        <w:trPr>
          <w:trHeight w:val="300"/>
        </w:trPr>
        <w:tc>
          <w:tcPr>
            <w:tcW w:w="0" w:type="pct"/>
            <w:noWrap/>
          </w:tcPr>
          <w:p w14:paraId="2A411C77" w14:textId="77777777" w:rsidR="007066A0" w:rsidRPr="006663D5" w:rsidRDefault="007066A0" w:rsidP="007066A0">
            <w:pPr>
              <w:pStyle w:val="ARtabletext"/>
            </w:pPr>
            <w:r w:rsidRPr="000A30CD">
              <w:rPr>
                <w:rFonts w:eastAsia="Times New Roman"/>
                <w:color w:val="000000"/>
                <w:sz w:val="16"/>
                <w:szCs w:val="16"/>
              </w:rPr>
              <w:t xml:space="preserve">Program </w:t>
            </w:r>
            <w:r w:rsidR="00AC042F">
              <w:rPr>
                <w:rFonts w:eastAsia="Times New Roman"/>
                <w:color w:val="000000"/>
                <w:sz w:val="16"/>
                <w:szCs w:val="16"/>
              </w:rPr>
              <w:t>a</w:t>
            </w:r>
            <w:r w:rsidRPr="000A30CD">
              <w:rPr>
                <w:rFonts w:eastAsia="Times New Roman"/>
                <w:color w:val="000000"/>
                <w:sz w:val="16"/>
                <w:szCs w:val="16"/>
              </w:rPr>
              <w:t xml:space="preserve">ssessment </w:t>
            </w:r>
            <w:r w:rsidR="00AC042F">
              <w:rPr>
                <w:rFonts w:eastAsia="Times New Roman"/>
                <w:color w:val="000000"/>
                <w:sz w:val="16"/>
                <w:szCs w:val="16"/>
              </w:rPr>
              <w:t>and</w:t>
            </w:r>
            <w:r w:rsidRPr="000A30CD">
              <w:rPr>
                <w:rFonts w:eastAsia="Times New Roman"/>
                <w:color w:val="000000"/>
                <w:sz w:val="16"/>
                <w:szCs w:val="16"/>
              </w:rPr>
              <w:t xml:space="preserve"> </w:t>
            </w:r>
            <w:r w:rsidR="00AC042F">
              <w:rPr>
                <w:rFonts w:eastAsia="Times New Roman"/>
                <w:color w:val="000000"/>
                <w:sz w:val="16"/>
                <w:szCs w:val="16"/>
              </w:rPr>
              <w:t>e</w:t>
            </w:r>
            <w:r w:rsidRPr="000A30CD">
              <w:rPr>
                <w:rFonts w:eastAsia="Times New Roman"/>
                <w:color w:val="000000"/>
                <w:sz w:val="16"/>
                <w:szCs w:val="16"/>
              </w:rPr>
              <w:t>valuation</w:t>
            </w:r>
          </w:p>
        </w:tc>
        <w:tc>
          <w:tcPr>
            <w:tcW w:w="0" w:type="pct"/>
            <w:noWrap/>
          </w:tcPr>
          <w:p w14:paraId="1EEDCEC9" w14:textId="77777777" w:rsidR="007066A0" w:rsidRPr="006663D5" w:rsidRDefault="007066A0" w:rsidP="007066A0">
            <w:pPr>
              <w:pStyle w:val="ARtabletext"/>
            </w:pPr>
            <w:r w:rsidRPr="000A30CD">
              <w:rPr>
                <w:rFonts w:eastAsia="Times New Roman"/>
                <w:color w:val="000000"/>
                <w:sz w:val="16"/>
                <w:szCs w:val="16"/>
              </w:rPr>
              <w:t xml:space="preserve">CDM </w:t>
            </w:r>
            <w:r w:rsidR="009C795A" w:rsidRPr="000A30CD">
              <w:rPr>
                <w:rFonts w:eastAsia="Times New Roman"/>
                <w:color w:val="000000"/>
                <w:sz w:val="16"/>
                <w:szCs w:val="16"/>
              </w:rPr>
              <w:t>Smith Australia Pty Ltd</w:t>
            </w:r>
          </w:p>
        </w:tc>
        <w:tc>
          <w:tcPr>
            <w:tcW w:w="0" w:type="pct"/>
            <w:noWrap/>
          </w:tcPr>
          <w:p w14:paraId="2422A86C" w14:textId="77777777" w:rsidR="007066A0" w:rsidRPr="006663D5" w:rsidRDefault="007066A0" w:rsidP="007066A0">
            <w:pPr>
              <w:pStyle w:val="ARtabletext"/>
            </w:pPr>
            <w:r w:rsidRPr="000A30CD">
              <w:rPr>
                <w:rFonts w:eastAsia="Times New Roman"/>
                <w:color w:val="000000"/>
                <w:sz w:val="16"/>
                <w:szCs w:val="16"/>
              </w:rPr>
              <w:t xml:space="preserve">Assessment: </w:t>
            </w:r>
            <w:r w:rsidR="009C795A" w:rsidRPr="000A30CD">
              <w:rPr>
                <w:rFonts w:eastAsia="Times New Roman"/>
                <w:color w:val="000000"/>
                <w:sz w:val="16"/>
                <w:szCs w:val="16"/>
              </w:rPr>
              <w:t>health risk associated with water consumption from public water fountains</w:t>
            </w:r>
          </w:p>
        </w:tc>
        <w:tc>
          <w:tcPr>
            <w:tcW w:w="0" w:type="pct"/>
            <w:noWrap/>
          </w:tcPr>
          <w:p w14:paraId="60A401F0" w14:textId="77777777" w:rsidR="007066A0" w:rsidRPr="006663D5" w:rsidRDefault="007066A0" w:rsidP="007066A0">
            <w:pPr>
              <w:pStyle w:val="ARtabletextright"/>
            </w:pPr>
            <w:r w:rsidRPr="000A30CD">
              <w:rPr>
                <w:rFonts w:eastAsia="Times New Roman"/>
                <w:color w:val="000000"/>
                <w:sz w:val="16"/>
                <w:szCs w:val="16"/>
              </w:rPr>
              <w:t>27,264.00</w:t>
            </w:r>
          </w:p>
        </w:tc>
        <w:tc>
          <w:tcPr>
            <w:tcW w:w="0" w:type="pct"/>
            <w:noWrap/>
          </w:tcPr>
          <w:p w14:paraId="0EEB31B4" w14:textId="77777777" w:rsidR="007066A0" w:rsidRPr="006663D5" w:rsidRDefault="007066A0" w:rsidP="007066A0">
            <w:pPr>
              <w:pStyle w:val="ARtabletextright"/>
            </w:pPr>
            <w:r w:rsidRPr="000A30CD">
              <w:rPr>
                <w:rFonts w:eastAsia="Times New Roman"/>
                <w:color w:val="000000"/>
                <w:sz w:val="16"/>
                <w:szCs w:val="16"/>
              </w:rPr>
              <w:t>27,263.00</w:t>
            </w:r>
          </w:p>
        </w:tc>
        <w:tc>
          <w:tcPr>
            <w:tcW w:w="0" w:type="pct"/>
            <w:noWrap/>
          </w:tcPr>
          <w:p w14:paraId="6FDE6DE0" w14:textId="77777777" w:rsidR="007066A0" w:rsidRPr="006663D5" w:rsidRDefault="007066A0" w:rsidP="007066A0">
            <w:pPr>
              <w:pStyle w:val="ARtabletextright"/>
            </w:pPr>
            <w:r w:rsidRPr="000A30CD">
              <w:rPr>
                <w:rFonts w:eastAsia="Times New Roman"/>
                <w:color w:val="000000"/>
                <w:sz w:val="16"/>
                <w:szCs w:val="16"/>
              </w:rPr>
              <w:t>Nil</w:t>
            </w:r>
          </w:p>
        </w:tc>
      </w:tr>
      <w:tr w:rsidR="00AC042F" w:rsidRPr="006663D5" w14:paraId="7C1099B2" w14:textId="77777777" w:rsidTr="00A5415F">
        <w:trPr>
          <w:trHeight w:val="300"/>
        </w:trPr>
        <w:tc>
          <w:tcPr>
            <w:tcW w:w="0" w:type="pct"/>
            <w:noWrap/>
          </w:tcPr>
          <w:p w14:paraId="421AF3D3" w14:textId="77777777" w:rsidR="00AC042F" w:rsidRPr="006663D5" w:rsidRDefault="00AC042F" w:rsidP="00AC042F">
            <w:pPr>
              <w:pStyle w:val="ARtabletext"/>
            </w:pPr>
            <w:r w:rsidRPr="00797D58">
              <w:rPr>
                <w:rFonts w:eastAsia="Times New Roman"/>
                <w:color w:val="000000"/>
                <w:sz w:val="16"/>
                <w:szCs w:val="16"/>
              </w:rPr>
              <w:t>Program assessment and evaluation</w:t>
            </w:r>
          </w:p>
        </w:tc>
        <w:tc>
          <w:tcPr>
            <w:tcW w:w="0" w:type="pct"/>
            <w:noWrap/>
          </w:tcPr>
          <w:p w14:paraId="1F08AC3D" w14:textId="77777777" w:rsidR="00AC042F" w:rsidRPr="006663D5" w:rsidRDefault="00AC042F" w:rsidP="00AC042F">
            <w:pPr>
              <w:pStyle w:val="ARtabletext"/>
            </w:pPr>
            <w:r w:rsidRPr="000A30CD">
              <w:rPr>
                <w:rFonts w:eastAsia="Times New Roman"/>
                <w:color w:val="000000"/>
                <w:sz w:val="16"/>
                <w:szCs w:val="16"/>
              </w:rPr>
              <w:t xml:space="preserve">MLCOA </w:t>
            </w:r>
            <w:r w:rsidR="009C795A" w:rsidRPr="000A30CD">
              <w:rPr>
                <w:rFonts w:eastAsia="Times New Roman"/>
                <w:color w:val="000000"/>
                <w:sz w:val="16"/>
                <w:szCs w:val="16"/>
              </w:rPr>
              <w:t>Victoria</w:t>
            </w:r>
          </w:p>
        </w:tc>
        <w:tc>
          <w:tcPr>
            <w:tcW w:w="0" w:type="pct"/>
            <w:noWrap/>
          </w:tcPr>
          <w:p w14:paraId="2AC457AF" w14:textId="77777777" w:rsidR="00AC042F" w:rsidRPr="006663D5" w:rsidRDefault="00AC042F" w:rsidP="00AC042F">
            <w:pPr>
              <w:pStyle w:val="ARtabletext"/>
            </w:pPr>
            <w:r w:rsidRPr="000A30CD">
              <w:rPr>
                <w:rFonts w:eastAsia="Times New Roman"/>
                <w:color w:val="000000"/>
                <w:sz w:val="16"/>
                <w:szCs w:val="16"/>
              </w:rPr>
              <w:t xml:space="preserve">Adoption and </w:t>
            </w:r>
            <w:r w:rsidR="001967BB">
              <w:rPr>
                <w:rFonts w:eastAsia="Times New Roman"/>
                <w:color w:val="000000"/>
                <w:sz w:val="16"/>
                <w:szCs w:val="16"/>
              </w:rPr>
              <w:t>p</w:t>
            </w:r>
            <w:r w:rsidR="009C795A" w:rsidRPr="000A30CD">
              <w:rPr>
                <w:rFonts w:eastAsia="Times New Roman"/>
                <w:color w:val="000000"/>
                <w:sz w:val="16"/>
                <w:szCs w:val="16"/>
              </w:rPr>
              <w:t>ermanent care medical advisor</w:t>
            </w:r>
          </w:p>
        </w:tc>
        <w:tc>
          <w:tcPr>
            <w:tcW w:w="0" w:type="pct"/>
            <w:noWrap/>
          </w:tcPr>
          <w:p w14:paraId="49649EE7" w14:textId="77777777" w:rsidR="00AC042F" w:rsidRPr="006663D5" w:rsidRDefault="00AC042F" w:rsidP="00AC042F">
            <w:pPr>
              <w:pStyle w:val="ARtabletextright"/>
            </w:pPr>
            <w:r w:rsidRPr="000A30CD">
              <w:rPr>
                <w:rFonts w:eastAsia="Times New Roman"/>
                <w:color w:val="000000"/>
                <w:sz w:val="16"/>
                <w:szCs w:val="16"/>
              </w:rPr>
              <w:t>23,400.00</w:t>
            </w:r>
          </w:p>
        </w:tc>
        <w:tc>
          <w:tcPr>
            <w:tcW w:w="0" w:type="pct"/>
            <w:noWrap/>
          </w:tcPr>
          <w:p w14:paraId="3430E4F3" w14:textId="77777777" w:rsidR="00AC042F" w:rsidRPr="006663D5" w:rsidRDefault="00AC042F" w:rsidP="00AC042F">
            <w:pPr>
              <w:pStyle w:val="ARtabletextright"/>
            </w:pPr>
            <w:r w:rsidRPr="000A30CD">
              <w:rPr>
                <w:rFonts w:eastAsia="Times New Roman"/>
                <w:color w:val="000000"/>
                <w:sz w:val="16"/>
                <w:szCs w:val="16"/>
              </w:rPr>
              <w:t>19,602.00</w:t>
            </w:r>
          </w:p>
        </w:tc>
        <w:tc>
          <w:tcPr>
            <w:tcW w:w="0" w:type="pct"/>
            <w:noWrap/>
          </w:tcPr>
          <w:p w14:paraId="52CC20BB" w14:textId="77777777" w:rsidR="00AC042F" w:rsidRPr="006663D5" w:rsidRDefault="00AC042F" w:rsidP="00AC042F">
            <w:pPr>
              <w:pStyle w:val="ARtabletextright"/>
            </w:pPr>
            <w:r w:rsidRPr="000A30CD">
              <w:rPr>
                <w:rFonts w:eastAsia="Times New Roman"/>
                <w:color w:val="000000"/>
                <w:sz w:val="16"/>
                <w:szCs w:val="16"/>
              </w:rPr>
              <w:t>3,798.00</w:t>
            </w:r>
          </w:p>
        </w:tc>
      </w:tr>
      <w:tr w:rsidR="00AC042F" w:rsidRPr="006663D5" w14:paraId="2AE87A0B" w14:textId="77777777" w:rsidTr="00A5415F">
        <w:trPr>
          <w:trHeight w:val="300"/>
        </w:trPr>
        <w:tc>
          <w:tcPr>
            <w:tcW w:w="0" w:type="pct"/>
            <w:noWrap/>
          </w:tcPr>
          <w:p w14:paraId="23E533DB" w14:textId="77777777" w:rsidR="00AC042F" w:rsidRPr="006663D5" w:rsidRDefault="00AC042F" w:rsidP="00AC042F">
            <w:pPr>
              <w:pStyle w:val="ARtabletext"/>
            </w:pPr>
            <w:r w:rsidRPr="00797D58">
              <w:rPr>
                <w:rFonts w:eastAsia="Times New Roman"/>
                <w:color w:val="000000"/>
                <w:sz w:val="16"/>
                <w:szCs w:val="16"/>
              </w:rPr>
              <w:t>Program assessment and evaluation</w:t>
            </w:r>
          </w:p>
        </w:tc>
        <w:tc>
          <w:tcPr>
            <w:tcW w:w="0" w:type="pct"/>
            <w:noWrap/>
          </w:tcPr>
          <w:p w14:paraId="2B032B81" w14:textId="77777777" w:rsidR="00AC042F" w:rsidRPr="006663D5" w:rsidRDefault="00AC042F" w:rsidP="00AC042F">
            <w:pPr>
              <w:pStyle w:val="ARtabletext"/>
            </w:pPr>
            <w:r w:rsidRPr="000A30CD">
              <w:rPr>
                <w:rFonts w:eastAsia="Times New Roman"/>
                <w:color w:val="000000"/>
                <w:sz w:val="16"/>
                <w:szCs w:val="16"/>
              </w:rPr>
              <w:t xml:space="preserve">SAS </w:t>
            </w:r>
            <w:r w:rsidR="009C795A" w:rsidRPr="000A30CD">
              <w:rPr>
                <w:rFonts w:eastAsia="Times New Roman"/>
                <w:color w:val="000000"/>
                <w:sz w:val="16"/>
                <w:szCs w:val="16"/>
              </w:rPr>
              <w:t>Institute Australia Pty Ltd</w:t>
            </w:r>
          </w:p>
        </w:tc>
        <w:tc>
          <w:tcPr>
            <w:tcW w:w="0" w:type="pct"/>
            <w:noWrap/>
          </w:tcPr>
          <w:p w14:paraId="33A8D0A0" w14:textId="77777777" w:rsidR="00AC042F" w:rsidRPr="006663D5" w:rsidRDefault="00AC042F" w:rsidP="00AC042F">
            <w:pPr>
              <w:pStyle w:val="ARtabletext"/>
            </w:pPr>
            <w:r w:rsidRPr="000A30CD">
              <w:rPr>
                <w:rFonts w:eastAsia="Times New Roman"/>
                <w:color w:val="000000"/>
                <w:sz w:val="16"/>
                <w:szCs w:val="16"/>
              </w:rPr>
              <w:t xml:space="preserve">Assessment: SAS </w:t>
            </w:r>
            <w:r w:rsidR="009C795A">
              <w:rPr>
                <w:rFonts w:eastAsia="Times New Roman"/>
                <w:color w:val="000000"/>
                <w:sz w:val="16"/>
                <w:szCs w:val="16"/>
              </w:rPr>
              <w:t>c</w:t>
            </w:r>
            <w:r w:rsidRPr="000A30CD">
              <w:rPr>
                <w:rFonts w:eastAsia="Times New Roman"/>
                <w:color w:val="000000"/>
                <w:sz w:val="16"/>
                <w:szCs w:val="16"/>
              </w:rPr>
              <w:t>apability</w:t>
            </w:r>
          </w:p>
        </w:tc>
        <w:tc>
          <w:tcPr>
            <w:tcW w:w="0" w:type="pct"/>
            <w:noWrap/>
          </w:tcPr>
          <w:p w14:paraId="6E585F04" w14:textId="77777777" w:rsidR="00AC042F" w:rsidRPr="006663D5" w:rsidRDefault="00AC042F" w:rsidP="00AC042F">
            <w:pPr>
              <w:pStyle w:val="ARtabletextright"/>
            </w:pPr>
            <w:r w:rsidRPr="000A30CD">
              <w:rPr>
                <w:rFonts w:eastAsia="Times New Roman"/>
                <w:color w:val="000000"/>
                <w:sz w:val="16"/>
                <w:szCs w:val="16"/>
              </w:rPr>
              <w:t>39,000.00</w:t>
            </w:r>
          </w:p>
        </w:tc>
        <w:tc>
          <w:tcPr>
            <w:tcW w:w="0" w:type="pct"/>
            <w:noWrap/>
          </w:tcPr>
          <w:p w14:paraId="4F4214F0" w14:textId="77777777" w:rsidR="00AC042F" w:rsidRPr="006663D5" w:rsidRDefault="00AC042F" w:rsidP="00AC042F">
            <w:pPr>
              <w:pStyle w:val="ARtabletextright"/>
            </w:pPr>
            <w:r w:rsidRPr="000A30CD">
              <w:rPr>
                <w:rFonts w:eastAsia="Times New Roman"/>
                <w:color w:val="000000"/>
                <w:sz w:val="16"/>
                <w:szCs w:val="16"/>
              </w:rPr>
              <w:t>39,000.00</w:t>
            </w:r>
          </w:p>
        </w:tc>
        <w:tc>
          <w:tcPr>
            <w:tcW w:w="0" w:type="pct"/>
            <w:noWrap/>
          </w:tcPr>
          <w:p w14:paraId="352A1806"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597F1DF1" w14:textId="77777777" w:rsidTr="00A5415F">
        <w:trPr>
          <w:trHeight w:val="300"/>
        </w:trPr>
        <w:tc>
          <w:tcPr>
            <w:tcW w:w="0" w:type="pct"/>
            <w:noWrap/>
          </w:tcPr>
          <w:p w14:paraId="339EC5FF" w14:textId="77777777" w:rsidR="00AC042F" w:rsidRPr="006663D5" w:rsidRDefault="00AC042F" w:rsidP="00AC042F">
            <w:pPr>
              <w:pStyle w:val="ARtabletext"/>
            </w:pPr>
            <w:r w:rsidRPr="00797D58">
              <w:rPr>
                <w:rFonts w:eastAsia="Times New Roman"/>
                <w:color w:val="000000"/>
                <w:sz w:val="16"/>
                <w:szCs w:val="16"/>
              </w:rPr>
              <w:t>Program assessment and evaluation</w:t>
            </w:r>
          </w:p>
        </w:tc>
        <w:tc>
          <w:tcPr>
            <w:tcW w:w="0" w:type="pct"/>
            <w:noWrap/>
          </w:tcPr>
          <w:p w14:paraId="6D1EA4D8" w14:textId="77777777" w:rsidR="00AC042F" w:rsidRPr="006663D5" w:rsidRDefault="009C795A" w:rsidP="00AC042F">
            <w:pPr>
              <w:pStyle w:val="ARtabletext"/>
            </w:pPr>
            <w:r w:rsidRPr="000A30CD">
              <w:rPr>
                <w:rFonts w:eastAsia="Times New Roman"/>
                <w:color w:val="000000"/>
                <w:sz w:val="16"/>
                <w:szCs w:val="16"/>
              </w:rPr>
              <w:t>Healthconsult</w:t>
            </w:r>
          </w:p>
        </w:tc>
        <w:tc>
          <w:tcPr>
            <w:tcW w:w="0" w:type="pct"/>
            <w:noWrap/>
          </w:tcPr>
          <w:p w14:paraId="4BA6F12C" w14:textId="77777777" w:rsidR="00AC042F" w:rsidRPr="006663D5" w:rsidRDefault="00AC042F" w:rsidP="00AC042F">
            <w:pPr>
              <w:pStyle w:val="ARtabletext"/>
            </w:pPr>
            <w:r w:rsidRPr="000A30CD">
              <w:rPr>
                <w:rFonts w:eastAsia="Times New Roman"/>
                <w:color w:val="000000"/>
                <w:sz w:val="16"/>
                <w:szCs w:val="16"/>
              </w:rPr>
              <w:t>Evaluate</w:t>
            </w:r>
            <w:r w:rsidR="009C795A">
              <w:rPr>
                <w:rFonts w:eastAsia="Times New Roman"/>
                <w:color w:val="000000"/>
                <w:sz w:val="16"/>
                <w:szCs w:val="16"/>
              </w:rPr>
              <w:t>:</w:t>
            </w:r>
            <w:r w:rsidRPr="000A30CD">
              <w:rPr>
                <w:rFonts w:eastAsia="Times New Roman"/>
                <w:color w:val="000000"/>
                <w:sz w:val="16"/>
                <w:szCs w:val="16"/>
              </w:rPr>
              <w:t xml:space="preserve"> integrated model of care trial, responding to suspected elder abuse</w:t>
            </w:r>
          </w:p>
        </w:tc>
        <w:tc>
          <w:tcPr>
            <w:tcW w:w="0" w:type="pct"/>
            <w:noWrap/>
          </w:tcPr>
          <w:p w14:paraId="5E7F04D1" w14:textId="77777777" w:rsidR="00AC042F" w:rsidRPr="006663D5" w:rsidRDefault="00AC042F" w:rsidP="00AC042F">
            <w:pPr>
              <w:pStyle w:val="ARtabletextright"/>
            </w:pPr>
            <w:r w:rsidRPr="000A30CD">
              <w:rPr>
                <w:rFonts w:eastAsia="Times New Roman"/>
                <w:color w:val="000000"/>
                <w:sz w:val="16"/>
                <w:szCs w:val="16"/>
              </w:rPr>
              <w:t>257,522.00</w:t>
            </w:r>
          </w:p>
        </w:tc>
        <w:tc>
          <w:tcPr>
            <w:tcW w:w="0" w:type="pct"/>
            <w:noWrap/>
          </w:tcPr>
          <w:p w14:paraId="49E8ABFA" w14:textId="77777777" w:rsidR="00AC042F" w:rsidRPr="006663D5" w:rsidRDefault="00AC042F" w:rsidP="00AC042F">
            <w:pPr>
              <w:pStyle w:val="ARtabletextright"/>
            </w:pPr>
            <w:r w:rsidRPr="000A30CD">
              <w:rPr>
                <w:rFonts w:eastAsia="Times New Roman"/>
                <w:color w:val="000000"/>
                <w:sz w:val="16"/>
                <w:szCs w:val="16"/>
              </w:rPr>
              <w:t>103,009.00</w:t>
            </w:r>
          </w:p>
        </w:tc>
        <w:tc>
          <w:tcPr>
            <w:tcW w:w="0" w:type="pct"/>
            <w:noWrap/>
          </w:tcPr>
          <w:p w14:paraId="7E1A7ECB" w14:textId="77777777" w:rsidR="00AC042F" w:rsidRPr="006663D5" w:rsidRDefault="00AC042F" w:rsidP="00AC042F">
            <w:pPr>
              <w:pStyle w:val="ARtabletextright"/>
            </w:pPr>
            <w:r w:rsidRPr="000A30CD">
              <w:rPr>
                <w:rFonts w:eastAsia="Times New Roman"/>
                <w:color w:val="000000"/>
                <w:sz w:val="16"/>
                <w:szCs w:val="16"/>
              </w:rPr>
              <w:t>51,504.00</w:t>
            </w:r>
          </w:p>
        </w:tc>
      </w:tr>
      <w:tr w:rsidR="00AC042F" w:rsidRPr="006663D5" w14:paraId="58A2940B" w14:textId="77777777" w:rsidTr="00E34BA4">
        <w:trPr>
          <w:trHeight w:val="300"/>
        </w:trPr>
        <w:tc>
          <w:tcPr>
            <w:tcW w:w="0" w:type="pct"/>
            <w:noWrap/>
          </w:tcPr>
          <w:p w14:paraId="7CAC8B7A" w14:textId="77777777" w:rsidR="00AC042F" w:rsidRPr="006663D5" w:rsidRDefault="00AC042F" w:rsidP="00AC042F">
            <w:pPr>
              <w:pStyle w:val="ARtabletext"/>
            </w:pPr>
            <w:r w:rsidRPr="0020738C">
              <w:rPr>
                <w:rFonts w:eastAsia="Times New Roman"/>
                <w:color w:val="000000"/>
                <w:sz w:val="16"/>
                <w:szCs w:val="16"/>
              </w:rPr>
              <w:t>Program assessment and evaluation</w:t>
            </w:r>
          </w:p>
        </w:tc>
        <w:tc>
          <w:tcPr>
            <w:tcW w:w="0" w:type="pct"/>
            <w:noWrap/>
          </w:tcPr>
          <w:p w14:paraId="026FBADD" w14:textId="77777777" w:rsidR="00AC042F" w:rsidRPr="006663D5" w:rsidRDefault="009C795A" w:rsidP="00AC042F">
            <w:pPr>
              <w:pStyle w:val="ARtabletext"/>
            </w:pPr>
            <w:r w:rsidRPr="000A30CD">
              <w:rPr>
                <w:rFonts w:eastAsia="Times New Roman"/>
                <w:color w:val="000000"/>
                <w:sz w:val="16"/>
                <w:szCs w:val="16"/>
              </w:rPr>
              <w:t>Social Compass</w:t>
            </w:r>
          </w:p>
        </w:tc>
        <w:tc>
          <w:tcPr>
            <w:tcW w:w="0" w:type="pct"/>
            <w:noWrap/>
          </w:tcPr>
          <w:p w14:paraId="1360675C" w14:textId="77777777" w:rsidR="00AC042F" w:rsidRPr="006663D5" w:rsidRDefault="00AC042F" w:rsidP="00AC042F">
            <w:pPr>
              <w:pStyle w:val="ARtabletext"/>
            </w:pPr>
            <w:r w:rsidRPr="000A30CD">
              <w:rPr>
                <w:rFonts w:eastAsia="Times New Roman"/>
                <w:color w:val="000000"/>
                <w:sz w:val="16"/>
                <w:szCs w:val="16"/>
              </w:rPr>
              <w:t xml:space="preserve">Evaluation: </w:t>
            </w:r>
            <w:r w:rsidR="009C795A" w:rsidRPr="000A30CD">
              <w:rPr>
                <w:rFonts w:eastAsia="Times New Roman"/>
                <w:color w:val="000000"/>
                <w:sz w:val="16"/>
                <w:szCs w:val="16"/>
              </w:rPr>
              <w:t xml:space="preserve">improving mental health treatment outcomes </w:t>
            </w:r>
            <w:r w:rsidRPr="000A30CD">
              <w:rPr>
                <w:rFonts w:eastAsia="Times New Roman"/>
                <w:color w:val="000000"/>
                <w:sz w:val="16"/>
                <w:szCs w:val="16"/>
              </w:rPr>
              <w:t>for Aboriginal and Torres Strait Islander People</w:t>
            </w:r>
          </w:p>
        </w:tc>
        <w:tc>
          <w:tcPr>
            <w:tcW w:w="0" w:type="pct"/>
            <w:noWrap/>
          </w:tcPr>
          <w:p w14:paraId="7469FB4E" w14:textId="77777777" w:rsidR="00AC042F" w:rsidRPr="006663D5" w:rsidRDefault="00AC042F" w:rsidP="00AC042F">
            <w:pPr>
              <w:pStyle w:val="ARtabletextright"/>
            </w:pPr>
            <w:r w:rsidRPr="000A30CD">
              <w:rPr>
                <w:rFonts w:eastAsia="Times New Roman"/>
                <w:color w:val="000000"/>
                <w:sz w:val="16"/>
                <w:szCs w:val="16"/>
              </w:rPr>
              <w:t>183,000.00</w:t>
            </w:r>
          </w:p>
        </w:tc>
        <w:tc>
          <w:tcPr>
            <w:tcW w:w="0" w:type="pct"/>
            <w:noWrap/>
          </w:tcPr>
          <w:p w14:paraId="20DAC9BD" w14:textId="77777777" w:rsidR="00AC042F" w:rsidRPr="006663D5" w:rsidRDefault="00AC042F" w:rsidP="00AC042F">
            <w:pPr>
              <w:pStyle w:val="ARtabletextright"/>
            </w:pPr>
            <w:r w:rsidRPr="000A30CD">
              <w:rPr>
                <w:rFonts w:eastAsia="Times New Roman"/>
                <w:color w:val="000000"/>
                <w:sz w:val="16"/>
                <w:szCs w:val="16"/>
              </w:rPr>
              <w:t>169,679.00</w:t>
            </w:r>
          </w:p>
        </w:tc>
        <w:tc>
          <w:tcPr>
            <w:tcW w:w="0" w:type="pct"/>
            <w:noWrap/>
          </w:tcPr>
          <w:p w14:paraId="047A0871" w14:textId="77777777" w:rsidR="00AC042F" w:rsidRPr="006663D5" w:rsidRDefault="00AC042F" w:rsidP="00AC042F">
            <w:pPr>
              <w:pStyle w:val="ARtabletextright"/>
            </w:pPr>
            <w:r w:rsidRPr="000A30CD">
              <w:rPr>
                <w:rFonts w:eastAsia="Times New Roman"/>
                <w:color w:val="000000"/>
                <w:sz w:val="16"/>
                <w:szCs w:val="16"/>
              </w:rPr>
              <w:t>13,321.00</w:t>
            </w:r>
          </w:p>
        </w:tc>
      </w:tr>
      <w:tr w:rsidR="00AC042F" w:rsidRPr="006663D5" w14:paraId="674BFCB6" w14:textId="77777777" w:rsidTr="00E34BA4">
        <w:trPr>
          <w:trHeight w:val="300"/>
        </w:trPr>
        <w:tc>
          <w:tcPr>
            <w:tcW w:w="0" w:type="pct"/>
            <w:noWrap/>
          </w:tcPr>
          <w:p w14:paraId="70163E4A" w14:textId="77777777" w:rsidR="00AC042F" w:rsidRPr="006663D5" w:rsidRDefault="00AC042F" w:rsidP="00AC042F">
            <w:pPr>
              <w:pStyle w:val="ARtabletext"/>
            </w:pPr>
            <w:r w:rsidRPr="0020738C">
              <w:rPr>
                <w:rFonts w:eastAsia="Times New Roman"/>
                <w:color w:val="000000"/>
                <w:sz w:val="16"/>
                <w:szCs w:val="16"/>
              </w:rPr>
              <w:t>Program assessment and evaluation</w:t>
            </w:r>
          </w:p>
        </w:tc>
        <w:tc>
          <w:tcPr>
            <w:tcW w:w="0" w:type="pct"/>
            <w:noWrap/>
          </w:tcPr>
          <w:p w14:paraId="206083FD" w14:textId="77777777" w:rsidR="00AC042F" w:rsidRPr="006663D5" w:rsidRDefault="009C795A" w:rsidP="00AC042F">
            <w:pPr>
              <w:pStyle w:val="ARtabletext"/>
            </w:pPr>
            <w:r w:rsidRPr="000A30CD">
              <w:rPr>
                <w:rFonts w:eastAsia="Times New Roman"/>
                <w:color w:val="000000"/>
                <w:sz w:val="16"/>
                <w:szCs w:val="16"/>
              </w:rPr>
              <w:t>Darcy Associates Consulting Services</w:t>
            </w:r>
          </w:p>
        </w:tc>
        <w:tc>
          <w:tcPr>
            <w:tcW w:w="0" w:type="pct"/>
            <w:noWrap/>
          </w:tcPr>
          <w:p w14:paraId="31B431FD" w14:textId="77777777" w:rsidR="00AC042F" w:rsidRPr="006663D5" w:rsidRDefault="00AC042F" w:rsidP="00AC042F">
            <w:pPr>
              <w:pStyle w:val="ARtabletext"/>
            </w:pPr>
            <w:r w:rsidRPr="000A30CD">
              <w:rPr>
                <w:rFonts w:eastAsia="Times New Roman"/>
                <w:color w:val="000000"/>
                <w:sz w:val="16"/>
                <w:szCs w:val="16"/>
              </w:rPr>
              <w:t xml:space="preserve">Evaluation of </w:t>
            </w:r>
            <w:r w:rsidR="009C795A" w:rsidRPr="000A30CD">
              <w:rPr>
                <w:rFonts w:eastAsia="Times New Roman"/>
                <w:color w:val="000000"/>
                <w:sz w:val="16"/>
                <w:szCs w:val="16"/>
              </w:rPr>
              <w:t>rural community intern programs</w:t>
            </w:r>
          </w:p>
        </w:tc>
        <w:tc>
          <w:tcPr>
            <w:tcW w:w="0" w:type="pct"/>
            <w:noWrap/>
          </w:tcPr>
          <w:p w14:paraId="68EE8FC6" w14:textId="77777777" w:rsidR="00AC042F" w:rsidRPr="006663D5" w:rsidRDefault="00AC042F" w:rsidP="00AC042F">
            <w:pPr>
              <w:pStyle w:val="ARtabletextright"/>
            </w:pPr>
            <w:r w:rsidRPr="000A30CD">
              <w:rPr>
                <w:rFonts w:eastAsia="Times New Roman"/>
                <w:color w:val="000000"/>
                <w:sz w:val="16"/>
                <w:szCs w:val="16"/>
              </w:rPr>
              <w:t>138,627.00</w:t>
            </w:r>
          </w:p>
        </w:tc>
        <w:tc>
          <w:tcPr>
            <w:tcW w:w="0" w:type="pct"/>
            <w:noWrap/>
          </w:tcPr>
          <w:p w14:paraId="230E891B" w14:textId="77777777" w:rsidR="00AC042F" w:rsidRPr="006663D5" w:rsidRDefault="00AC042F" w:rsidP="00AC042F">
            <w:pPr>
              <w:pStyle w:val="ARtabletextright"/>
            </w:pPr>
            <w:r w:rsidRPr="000A30CD">
              <w:rPr>
                <w:rFonts w:eastAsia="Times New Roman"/>
                <w:color w:val="000000"/>
                <w:sz w:val="16"/>
                <w:szCs w:val="16"/>
              </w:rPr>
              <w:t>41,557.00</w:t>
            </w:r>
          </w:p>
        </w:tc>
        <w:tc>
          <w:tcPr>
            <w:tcW w:w="0" w:type="pct"/>
            <w:noWrap/>
          </w:tcPr>
          <w:p w14:paraId="7FAE930B"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095C24AA" w14:textId="77777777" w:rsidTr="00A5415F">
        <w:trPr>
          <w:trHeight w:val="300"/>
        </w:trPr>
        <w:tc>
          <w:tcPr>
            <w:tcW w:w="0" w:type="pct"/>
            <w:noWrap/>
          </w:tcPr>
          <w:p w14:paraId="692ACBB9" w14:textId="77777777" w:rsidR="00AC042F" w:rsidRPr="006663D5" w:rsidRDefault="00AC042F" w:rsidP="00AC042F">
            <w:pPr>
              <w:pStyle w:val="ARtabletext"/>
            </w:pPr>
            <w:r w:rsidRPr="0020738C">
              <w:rPr>
                <w:rFonts w:eastAsia="Times New Roman"/>
                <w:color w:val="000000"/>
                <w:sz w:val="16"/>
                <w:szCs w:val="16"/>
              </w:rPr>
              <w:t>Program assessment and evaluation</w:t>
            </w:r>
          </w:p>
        </w:tc>
        <w:tc>
          <w:tcPr>
            <w:tcW w:w="0" w:type="pct"/>
            <w:noWrap/>
          </w:tcPr>
          <w:p w14:paraId="29D670D8" w14:textId="77777777" w:rsidR="00AC042F" w:rsidRPr="006663D5" w:rsidRDefault="009C795A" w:rsidP="00AC042F">
            <w:pPr>
              <w:pStyle w:val="ARtabletext"/>
            </w:pPr>
            <w:r w:rsidRPr="000A30CD">
              <w:rPr>
                <w:rFonts w:eastAsia="Times New Roman"/>
                <w:color w:val="000000"/>
                <w:sz w:val="16"/>
                <w:szCs w:val="16"/>
              </w:rPr>
              <w:t>Kristine Battye Consulting Pty Ltd</w:t>
            </w:r>
          </w:p>
        </w:tc>
        <w:tc>
          <w:tcPr>
            <w:tcW w:w="0" w:type="pct"/>
            <w:noWrap/>
          </w:tcPr>
          <w:p w14:paraId="22B3D2E1" w14:textId="59BDC21B" w:rsidR="00AC042F" w:rsidRPr="006663D5" w:rsidRDefault="005872B0" w:rsidP="00AC042F">
            <w:pPr>
              <w:pStyle w:val="ARtabletext"/>
            </w:pPr>
            <w:r>
              <w:rPr>
                <w:rFonts w:eastAsia="Times New Roman"/>
                <w:color w:val="000000"/>
                <w:sz w:val="16"/>
                <w:szCs w:val="16"/>
              </w:rPr>
              <w:t>Evaluation</w:t>
            </w:r>
            <w:r w:rsidR="003D679A">
              <w:rPr>
                <w:rFonts w:eastAsia="Times New Roman"/>
                <w:color w:val="000000"/>
                <w:sz w:val="16"/>
                <w:szCs w:val="16"/>
              </w:rPr>
              <w:t>: community health nurses in sexual assault multidisciplinary centres</w:t>
            </w:r>
          </w:p>
        </w:tc>
        <w:tc>
          <w:tcPr>
            <w:tcW w:w="0" w:type="pct"/>
            <w:noWrap/>
          </w:tcPr>
          <w:p w14:paraId="67ADD55B" w14:textId="77777777" w:rsidR="00AC042F" w:rsidRPr="006663D5" w:rsidRDefault="00AC042F" w:rsidP="00AC042F">
            <w:pPr>
              <w:pStyle w:val="ARtabletextright"/>
            </w:pPr>
            <w:r w:rsidRPr="000A30CD">
              <w:rPr>
                <w:rFonts w:eastAsia="Times New Roman"/>
                <w:color w:val="000000"/>
                <w:sz w:val="16"/>
                <w:szCs w:val="16"/>
              </w:rPr>
              <w:t>83,134.00</w:t>
            </w:r>
          </w:p>
        </w:tc>
        <w:tc>
          <w:tcPr>
            <w:tcW w:w="0" w:type="pct"/>
            <w:noWrap/>
          </w:tcPr>
          <w:p w14:paraId="12DEF92D" w14:textId="77777777" w:rsidR="00AC042F" w:rsidRPr="006663D5" w:rsidRDefault="00AC042F" w:rsidP="00AC042F">
            <w:pPr>
              <w:pStyle w:val="ARtabletextright"/>
            </w:pPr>
            <w:r w:rsidRPr="000A30CD">
              <w:rPr>
                <w:rFonts w:eastAsia="Times New Roman"/>
                <w:color w:val="000000"/>
                <w:sz w:val="16"/>
                <w:szCs w:val="16"/>
              </w:rPr>
              <w:t>15,609.00</w:t>
            </w:r>
          </w:p>
        </w:tc>
        <w:tc>
          <w:tcPr>
            <w:tcW w:w="0" w:type="pct"/>
            <w:noWrap/>
          </w:tcPr>
          <w:p w14:paraId="0F09E328"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6099FB07" w14:textId="77777777" w:rsidTr="00A5415F">
        <w:trPr>
          <w:trHeight w:val="300"/>
        </w:trPr>
        <w:tc>
          <w:tcPr>
            <w:tcW w:w="0" w:type="pct"/>
            <w:noWrap/>
          </w:tcPr>
          <w:p w14:paraId="2EF74AE7" w14:textId="77777777" w:rsidR="00AC042F" w:rsidRPr="006663D5" w:rsidRDefault="00AC042F" w:rsidP="00AC042F">
            <w:pPr>
              <w:pStyle w:val="ARtabletext"/>
            </w:pPr>
            <w:r w:rsidRPr="0020738C">
              <w:rPr>
                <w:rFonts w:eastAsia="Times New Roman"/>
                <w:color w:val="000000"/>
                <w:sz w:val="16"/>
                <w:szCs w:val="16"/>
              </w:rPr>
              <w:t>Program assessment and evaluation</w:t>
            </w:r>
          </w:p>
        </w:tc>
        <w:tc>
          <w:tcPr>
            <w:tcW w:w="0" w:type="pct"/>
            <w:noWrap/>
          </w:tcPr>
          <w:p w14:paraId="60013BC9" w14:textId="77777777" w:rsidR="00AC042F" w:rsidRPr="006663D5" w:rsidRDefault="009C795A" w:rsidP="00AC042F">
            <w:pPr>
              <w:pStyle w:val="ARtabletext"/>
            </w:pPr>
            <w:r w:rsidRPr="000A30CD">
              <w:rPr>
                <w:rFonts w:eastAsia="Times New Roman"/>
                <w:color w:val="000000"/>
                <w:sz w:val="16"/>
                <w:szCs w:val="16"/>
              </w:rPr>
              <w:t>Cube Group Management Consulting</w:t>
            </w:r>
          </w:p>
        </w:tc>
        <w:tc>
          <w:tcPr>
            <w:tcW w:w="0" w:type="pct"/>
            <w:noWrap/>
          </w:tcPr>
          <w:p w14:paraId="2A5F6CE1" w14:textId="77777777" w:rsidR="00AC042F" w:rsidRPr="006663D5" w:rsidRDefault="00AC042F" w:rsidP="00AC042F">
            <w:pPr>
              <w:pStyle w:val="ARtabletext"/>
            </w:pPr>
            <w:r w:rsidRPr="000A30CD">
              <w:rPr>
                <w:rFonts w:eastAsia="Times New Roman"/>
                <w:color w:val="000000"/>
                <w:sz w:val="16"/>
                <w:szCs w:val="16"/>
              </w:rPr>
              <w:t xml:space="preserve">Evaluation: </w:t>
            </w:r>
            <w:r w:rsidR="003379B6" w:rsidRPr="003379B6">
              <w:rPr>
                <w:rFonts w:eastAsia="Times New Roman"/>
                <w:color w:val="000000"/>
                <w:sz w:val="16"/>
                <w:szCs w:val="16"/>
              </w:rPr>
              <w:t xml:space="preserve">Multi-Agency Risk Assessment and Management </w:t>
            </w:r>
            <w:r w:rsidR="003379B6">
              <w:rPr>
                <w:rFonts w:eastAsia="Times New Roman"/>
                <w:color w:val="000000"/>
                <w:sz w:val="16"/>
                <w:szCs w:val="16"/>
              </w:rPr>
              <w:t>(</w:t>
            </w:r>
            <w:r w:rsidRPr="000A30CD">
              <w:rPr>
                <w:rFonts w:eastAsia="Times New Roman"/>
                <w:color w:val="000000"/>
                <w:sz w:val="16"/>
                <w:szCs w:val="16"/>
              </w:rPr>
              <w:t>MARAM</w:t>
            </w:r>
            <w:r w:rsidR="003379B6">
              <w:rPr>
                <w:rFonts w:eastAsia="Times New Roman"/>
                <w:color w:val="000000"/>
                <w:sz w:val="16"/>
                <w:szCs w:val="16"/>
              </w:rPr>
              <w:t>)</w:t>
            </w:r>
            <w:r w:rsidRPr="000A30CD">
              <w:rPr>
                <w:rFonts w:eastAsia="Times New Roman"/>
                <w:color w:val="000000"/>
                <w:sz w:val="16"/>
                <w:szCs w:val="16"/>
              </w:rPr>
              <w:t xml:space="preserve"> </w:t>
            </w:r>
            <w:r w:rsidR="009C795A">
              <w:rPr>
                <w:rFonts w:eastAsia="Times New Roman"/>
                <w:color w:val="000000"/>
                <w:sz w:val="16"/>
                <w:szCs w:val="16"/>
              </w:rPr>
              <w:t>i</w:t>
            </w:r>
            <w:r w:rsidRPr="000A30CD">
              <w:rPr>
                <w:rFonts w:eastAsia="Times New Roman"/>
                <w:color w:val="000000"/>
                <w:sz w:val="16"/>
                <w:szCs w:val="16"/>
              </w:rPr>
              <w:t>mplementation</w:t>
            </w:r>
          </w:p>
        </w:tc>
        <w:tc>
          <w:tcPr>
            <w:tcW w:w="0" w:type="pct"/>
            <w:noWrap/>
          </w:tcPr>
          <w:p w14:paraId="29E0CBEE" w14:textId="77777777" w:rsidR="00AC042F" w:rsidRPr="006663D5" w:rsidRDefault="00AC042F" w:rsidP="00AC042F">
            <w:pPr>
              <w:pStyle w:val="ARtabletextright"/>
            </w:pPr>
            <w:r w:rsidRPr="000A30CD">
              <w:rPr>
                <w:rFonts w:eastAsia="Times New Roman"/>
                <w:color w:val="000000"/>
                <w:sz w:val="16"/>
                <w:szCs w:val="16"/>
              </w:rPr>
              <w:t>426,750.00</w:t>
            </w:r>
          </w:p>
        </w:tc>
        <w:tc>
          <w:tcPr>
            <w:tcW w:w="0" w:type="pct"/>
            <w:noWrap/>
          </w:tcPr>
          <w:p w14:paraId="2FFC3B49" w14:textId="77777777" w:rsidR="00AC042F" w:rsidRPr="006663D5" w:rsidRDefault="00AC042F" w:rsidP="00AC042F">
            <w:pPr>
              <w:pStyle w:val="ARtabletextright"/>
            </w:pPr>
            <w:r w:rsidRPr="000A30CD">
              <w:rPr>
                <w:rFonts w:eastAsia="Times New Roman"/>
                <w:color w:val="000000"/>
                <w:sz w:val="16"/>
                <w:szCs w:val="16"/>
              </w:rPr>
              <w:t>135,850.00</w:t>
            </w:r>
          </w:p>
        </w:tc>
        <w:tc>
          <w:tcPr>
            <w:tcW w:w="0" w:type="pct"/>
            <w:noWrap/>
          </w:tcPr>
          <w:p w14:paraId="7A7B207B" w14:textId="77777777" w:rsidR="00AC042F" w:rsidRPr="006663D5" w:rsidRDefault="00AC042F" w:rsidP="00AC042F">
            <w:pPr>
              <w:pStyle w:val="ARtabletextright"/>
            </w:pPr>
            <w:r w:rsidRPr="000A30CD">
              <w:rPr>
                <w:rFonts w:eastAsia="Times New Roman"/>
                <w:color w:val="000000"/>
                <w:sz w:val="16"/>
                <w:szCs w:val="16"/>
              </w:rPr>
              <w:t>290,900.00</w:t>
            </w:r>
          </w:p>
        </w:tc>
      </w:tr>
      <w:tr w:rsidR="00AC042F" w:rsidRPr="006663D5" w14:paraId="609AF2B6" w14:textId="77777777" w:rsidTr="00A5415F">
        <w:trPr>
          <w:trHeight w:val="300"/>
        </w:trPr>
        <w:tc>
          <w:tcPr>
            <w:tcW w:w="0" w:type="pct"/>
            <w:noWrap/>
          </w:tcPr>
          <w:p w14:paraId="0E402E90" w14:textId="77777777" w:rsidR="00AC042F" w:rsidRPr="006663D5" w:rsidRDefault="00AC042F" w:rsidP="00AC042F">
            <w:pPr>
              <w:pStyle w:val="ARtabletext"/>
            </w:pPr>
            <w:r w:rsidRPr="0020738C">
              <w:rPr>
                <w:rFonts w:eastAsia="Times New Roman"/>
                <w:color w:val="000000"/>
                <w:sz w:val="16"/>
                <w:szCs w:val="16"/>
              </w:rPr>
              <w:t>Program assessment and evaluation</w:t>
            </w:r>
          </w:p>
        </w:tc>
        <w:tc>
          <w:tcPr>
            <w:tcW w:w="0" w:type="pct"/>
            <w:noWrap/>
          </w:tcPr>
          <w:p w14:paraId="4F46F6D2" w14:textId="77777777" w:rsidR="00AC042F" w:rsidRPr="006663D5" w:rsidRDefault="009C795A" w:rsidP="00AC042F">
            <w:pPr>
              <w:pStyle w:val="ARtabletext"/>
            </w:pPr>
            <w:r w:rsidRPr="000A30CD">
              <w:rPr>
                <w:rFonts w:eastAsia="Times New Roman"/>
                <w:color w:val="000000"/>
                <w:sz w:val="16"/>
                <w:szCs w:val="16"/>
              </w:rPr>
              <w:t>Ernst &amp; Young</w:t>
            </w:r>
          </w:p>
        </w:tc>
        <w:tc>
          <w:tcPr>
            <w:tcW w:w="0" w:type="pct"/>
            <w:noWrap/>
          </w:tcPr>
          <w:p w14:paraId="7077AC14" w14:textId="77777777" w:rsidR="00AC042F" w:rsidRPr="006663D5" w:rsidRDefault="00AC042F" w:rsidP="00AC042F">
            <w:pPr>
              <w:pStyle w:val="ARtabletext"/>
            </w:pPr>
            <w:r w:rsidRPr="000A30CD">
              <w:rPr>
                <w:rFonts w:eastAsia="Times New Roman"/>
                <w:color w:val="000000"/>
                <w:sz w:val="16"/>
                <w:szCs w:val="16"/>
              </w:rPr>
              <w:t>Evaluate</w:t>
            </w:r>
            <w:r w:rsidR="009C795A">
              <w:rPr>
                <w:rFonts w:eastAsia="Times New Roman"/>
                <w:color w:val="000000"/>
                <w:sz w:val="16"/>
                <w:szCs w:val="16"/>
              </w:rPr>
              <w:t>:</w:t>
            </w:r>
            <w:r w:rsidRPr="000A30CD">
              <w:rPr>
                <w:rFonts w:eastAsia="Times New Roman"/>
                <w:color w:val="000000"/>
                <w:sz w:val="16"/>
                <w:szCs w:val="16"/>
              </w:rPr>
              <w:t xml:space="preserve"> family violence therapeutic interventions</w:t>
            </w:r>
          </w:p>
        </w:tc>
        <w:tc>
          <w:tcPr>
            <w:tcW w:w="0" w:type="pct"/>
            <w:noWrap/>
          </w:tcPr>
          <w:p w14:paraId="3A117AA5" w14:textId="77777777" w:rsidR="00AC042F" w:rsidRPr="006663D5" w:rsidRDefault="00AC042F" w:rsidP="00AC042F">
            <w:pPr>
              <w:pStyle w:val="ARtabletextright"/>
            </w:pPr>
            <w:r w:rsidRPr="000A30CD">
              <w:rPr>
                <w:rFonts w:eastAsia="Times New Roman"/>
                <w:color w:val="000000"/>
                <w:sz w:val="16"/>
                <w:szCs w:val="16"/>
              </w:rPr>
              <w:t>552,750.00</w:t>
            </w:r>
          </w:p>
        </w:tc>
        <w:tc>
          <w:tcPr>
            <w:tcW w:w="0" w:type="pct"/>
            <w:noWrap/>
          </w:tcPr>
          <w:p w14:paraId="4B9ADDB0" w14:textId="77777777" w:rsidR="00AC042F" w:rsidRPr="006663D5" w:rsidRDefault="00AC042F" w:rsidP="00AC042F">
            <w:pPr>
              <w:pStyle w:val="ARtabletextright"/>
            </w:pPr>
            <w:r w:rsidRPr="000A30CD">
              <w:rPr>
                <w:rFonts w:eastAsia="Times New Roman"/>
                <w:color w:val="000000"/>
                <w:sz w:val="16"/>
                <w:szCs w:val="16"/>
              </w:rPr>
              <w:t>521,523.00</w:t>
            </w:r>
          </w:p>
        </w:tc>
        <w:tc>
          <w:tcPr>
            <w:tcW w:w="0" w:type="pct"/>
            <w:noWrap/>
          </w:tcPr>
          <w:p w14:paraId="0F37894C"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2E0D03FD" w14:textId="77777777" w:rsidTr="00A5415F">
        <w:trPr>
          <w:trHeight w:val="300"/>
        </w:trPr>
        <w:tc>
          <w:tcPr>
            <w:tcW w:w="0" w:type="pct"/>
            <w:noWrap/>
          </w:tcPr>
          <w:p w14:paraId="335E229C" w14:textId="77777777" w:rsidR="00AC042F" w:rsidRPr="006663D5" w:rsidRDefault="00AC042F" w:rsidP="00AC042F">
            <w:pPr>
              <w:pStyle w:val="ARtabletext"/>
            </w:pPr>
            <w:r w:rsidRPr="0020738C">
              <w:rPr>
                <w:rFonts w:eastAsia="Times New Roman"/>
                <w:color w:val="000000"/>
                <w:sz w:val="16"/>
                <w:szCs w:val="16"/>
              </w:rPr>
              <w:t>Program assessment and evaluation</w:t>
            </w:r>
          </w:p>
        </w:tc>
        <w:tc>
          <w:tcPr>
            <w:tcW w:w="0" w:type="pct"/>
            <w:noWrap/>
          </w:tcPr>
          <w:p w14:paraId="3D628321" w14:textId="77777777" w:rsidR="00AC042F" w:rsidRPr="006663D5" w:rsidRDefault="009C795A" w:rsidP="00AC042F">
            <w:pPr>
              <w:pStyle w:val="ARtabletext"/>
            </w:pPr>
            <w:r w:rsidRPr="000A30CD">
              <w:rPr>
                <w:rFonts w:eastAsia="Times New Roman"/>
                <w:color w:val="000000"/>
                <w:sz w:val="16"/>
                <w:szCs w:val="16"/>
              </w:rPr>
              <w:t>Deloitte Touche Tohmatsu</w:t>
            </w:r>
          </w:p>
        </w:tc>
        <w:tc>
          <w:tcPr>
            <w:tcW w:w="0" w:type="pct"/>
            <w:noWrap/>
          </w:tcPr>
          <w:p w14:paraId="074D5545" w14:textId="77777777" w:rsidR="00AC042F" w:rsidRPr="006663D5" w:rsidRDefault="00AC042F" w:rsidP="00AC042F">
            <w:pPr>
              <w:pStyle w:val="ARtabletext"/>
            </w:pPr>
            <w:r w:rsidRPr="000A30CD">
              <w:rPr>
                <w:rFonts w:eastAsia="Times New Roman"/>
                <w:color w:val="000000"/>
                <w:sz w:val="16"/>
                <w:szCs w:val="16"/>
              </w:rPr>
              <w:t>Evaluate</w:t>
            </w:r>
            <w:r w:rsidR="009C795A">
              <w:rPr>
                <w:rFonts w:eastAsia="Times New Roman"/>
                <w:color w:val="000000"/>
                <w:sz w:val="16"/>
                <w:szCs w:val="16"/>
              </w:rPr>
              <w:t>:</w:t>
            </w:r>
            <w:r w:rsidRPr="000A30CD">
              <w:rPr>
                <w:rFonts w:eastAsia="Times New Roman"/>
                <w:color w:val="000000"/>
                <w:sz w:val="16"/>
                <w:szCs w:val="16"/>
              </w:rPr>
              <w:t xml:space="preserve"> Latrobe Valley actions framework (Hazelwood)</w:t>
            </w:r>
          </w:p>
        </w:tc>
        <w:tc>
          <w:tcPr>
            <w:tcW w:w="0" w:type="pct"/>
            <w:noWrap/>
          </w:tcPr>
          <w:p w14:paraId="3CCCE819" w14:textId="77777777" w:rsidR="00AC042F" w:rsidRPr="006663D5" w:rsidRDefault="00AC042F" w:rsidP="00AC042F">
            <w:pPr>
              <w:pStyle w:val="ARtabletextright"/>
            </w:pPr>
            <w:r w:rsidRPr="000A30CD">
              <w:rPr>
                <w:rFonts w:eastAsia="Times New Roman"/>
                <w:color w:val="000000"/>
                <w:sz w:val="16"/>
                <w:szCs w:val="16"/>
              </w:rPr>
              <w:t>726,850.00</w:t>
            </w:r>
          </w:p>
        </w:tc>
        <w:tc>
          <w:tcPr>
            <w:tcW w:w="0" w:type="pct"/>
            <w:noWrap/>
          </w:tcPr>
          <w:p w14:paraId="1BF0CB1F" w14:textId="77777777" w:rsidR="00AC042F" w:rsidRPr="006663D5" w:rsidRDefault="00AC042F" w:rsidP="00AC042F">
            <w:pPr>
              <w:pStyle w:val="ARtabletextright"/>
            </w:pPr>
            <w:r w:rsidRPr="000A30CD">
              <w:rPr>
                <w:rFonts w:eastAsia="Times New Roman"/>
                <w:color w:val="000000"/>
                <w:sz w:val="16"/>
                <w:szCs w:val="16"/>
              </w:rPr>
              <w:t>102,145.00</w:t>
            </w:r>
          </w:p>
        </w:tc>
        <w:tc>
          <w:tcPr>
            <w:tcW w:w="0" w:type="pct"/>
            <w:noWrap/>
          </w:tcPr>
          <w:p w14:paraId="7FAD1509" w14:textId="77777777" w:rsidR="00AC042F" w:rsidRPr="006663D5" w:rsidRDefault="00AC042F" w:rsidP="00AC042F">
            <w:pPr>
              <w:pStyle w:val="ARtabletextright"/>
            </w:pPr>
            <w:r w:rsidRPr="000A30CD">
              <w:rPr>
                <w:rFonts w:eastAsia="Times New Roman"/>
                <w:color w:val="000000"/>
                <w:sz w:val="16"/>
                <w:szCs w:val="16"/>
              </w:rPr>
              <w:t>472,945.00</w:t>
            </w:r>
          </w:p>
        </w:tc>
      </w:tr>
      <w:tr w:rsidR="00AC042F" w:rsidRPr="006663D5" w14:paraId="72BC5A06" w14:textId="77777777" w:rsidTr="00E34BA4">
        <w:trPr>
          <w:trHeight w:val="300"/>
        </w:trPr>
        <w:tc>
          <w:tcPr>
            <w:tcW w:w="0" w:type="pct"/>
            <w:noWrap/>
          </w:tcPr>
          <w:p w14:paraId="445ED55B" w14:textId="77777777" w:rsidR="00AC042F" w:rsidRPr="006663D5" w:rsidRDefault="00AC042F" w:rsidP="00AC042F">
            <w:pPr>
              <w:pStyle w:val="ARtabletext"/>
            </w:pPr>
            <w:r w:rsidRPr="0020738C">
              <w:rPr>
                <w:rFonts w:eastAsia="Times New Roman"/>
                <w:color w:val="000000"/>
                <w:sz w:val="16"/>
                <w:szCs w:val="16"/>
              </w:rPr>
              <w:t>Program assessment and evaluation</w:t>
            </w:r>
          </w:p>
        </w:tc>
        <w:tc>
          <w:tcPr>
            <w:tcW w:w="0" w:type="pct"/>
            <w:noWrap/>
          </w:tcPr>
          <w:p w14:paraId="052BD2BD" w14:textId="77777777" w:rsidR="00AC042F" w:rsidRPr="006663D5" w:rsidRDefault="009C795A" w:rsidP="00AC042F">
            <w:pPr>
              <w:pStyle w:val="ARtabletext"/>
            </w:pPr>
            <w:r w:rsidRPr="000A30CD">
              <w:rPr>
                <w:rFonts w:eastAsia="Times New Roman"/>
                <w:color w:val="000000"/>
                <w:sz w:val="16"/>
                <w:szCs w:val="16"/>
              </w:rPr>
              <w:t>Deloitte Touche Tohmatsu</w:t>
            </w:r>
          </w:p>
        </w:tc>
        <w:tc>
          <w:tcPr>
            <w:tcW w:w="0" w:type="pct"/>
            <w:noWrap/>
          </w:tcPr>
          <w:p w14:paraId="7D40457E" w14:textId="77777777" w:rsidR="00AC042F" w:rsidRPr="006663D5" w:rsidRDefault="00AC042F" w:rsidP="00AC042F">
            <w:pPr>
              <w:pStyle w:val="ARtabletext"/>
            </w:pPr>
            <w:r w:rsidRPr="000A30CD">
              <w:rPr>
                <w:rFonts w:eastAsia="Times New Roman"/>
                <w:color w:val="000000"/>
                <w:sz w:val="16"/>
                <w:szCs w:val="16"/>
              </w:rPr>
              <w:t xml:space="preserve">Evaluation: </w:t>
            </w:r>
            <w:r w:rsidR="009C795A" w:rsidRPr="000A30CD">
              <w:rPr>
                <w:rFonts w:eastAsia="Times New Roman"/>
                <w:color w:val="000000"/>
                <w:sz w:val="16"/>
                <w:szCs w:val="16"/>
              </w:rPr>
              <w:t>new community</w:t>
            </w:r>
            <w:r w:rsidR="009C795A">
              <w:rPr>
                <w:rFonts w:eastAsia="Times New Roman"/>
                <w:color w:val="000000"/>
                <w:sz w:val="16"/>
                <w:szCs w:val="16"/>
              </w:rPr>
              <w:t>-</w:t>
            </w:r>
            <w:r w:rsidR="009C795A" w:rsidRPr="000A30CD">
              <w:rPr>
                <w:rFonts w:eastAsia="Times New Roman"/>
                <w:color w:val="000000"/>
                <w:sz w:val="16"/>
                <w:szCs w:val="16"/>
              </w:rPr>
              <w:t>based perpetrator interventions and case management trials</w:t>
            </w:r>
          </w:p>
        </w:tc>
        <w:tc>
          <w:tcPr>
            <w:tcW w:w="0" w:type="pct"/>
            <w:noWrap/>
          </w:tcPr>
          <w:p w14:paraId="25B6F2C1" w14:textId="77777777" w:rsidR="00AC042F" w:rsidRPr="006663D5" w:rsidRDefault="00AC042F" w:rsidP="00AC042F">
            <w:pPr>
              <w:pStyle w:val="ARtabletextright"/>
            </w:pPr>
            <w:r w:rsidRPr="000A30CD">
              <w:rPr>
                <w:rFonts w:eastAsia="Times New Roman"/>
                <w:color w:val="000000"/>
                <w:sz w:val="16"/>
                <w:szCs w:val="16"/>
              </w:rPr>
              <w:t>408,941.00</w:t>
            </w:r>
          </w:p>
        </w:tc>
        <w:tc>
          <w:tcPr>
            <w:tcW w:w="0" w:type="pct"/>
            <w:noWrap/>
          </w:tcPr>
          <w:p w14:paraId="768B92E1" w14:textId="77777777" w:rsidR="00AC042F" w:rsidRPr="006663D5" w:rsidRDefault="00AC042F" w:rsidP="00AC042F">
            <w:pPr>
              <w:pStyle w:val="ARtabletextright"/>
            </w:pPr>
            <w:r w:rsidRPr="000A30CD">
              <w:rPr>
                <w:rFonts w:eastAsia="Times New Roman"/>
                <w:color w:val="000000"/>
                <w:sz w:val="16"/>
                <w:szCs w:val="16"/>
              </w:rPr>
              <w:t>88,872.00</w:t>
            </w:r>
          </w:p>
        </w:tc>
        <w:tc>
          <w:tcPr>
            <w:tcW w:w="0" w:type="pct"/>
            <w:noWrap/>
          </w:tcPr>
          <w:p w14:paraId="638EA77D" w14:textId="77777777" w:rsidR="00AC042F" w:rsidRPr="006663D5" w:rsidRDefault="00AC042F" w:rsidP="00AC042F">
            <w:pPr>
              <w:pStyle w:val="ARtabletextright"/>
            </w:pPr>
            <w:r w:rsidRPr="000A30CD">
              <w:rPr>
                <w:rFonts w:eastAsia="Times New Roman"/>
                <w:color w:val="000000"/>
                <w:sz w:val="16"/>
                <w:szCs w:val="16"/>
              </w:rPr>
              <w:t>320,069.00</w:t>
            </w:r>
          </w:p>
        </w:tc>
      </w:tr>
      <w:tr w:rsidR="00AC042F" w:rsidRPr="006663D5" w14:paraId="29121605" w14:textId="77777777" w:rsidTr="00E34BA4">
        <w:trPr>
          <w:trHeight w:val="300"/>
        </w:trPr>
        <w:tc>
          <w:tcPr>
            <w:tcW w:w="0" w:type="pct"/>
            <w:noWrap/>
          </w:tcPr>
          <w:p w14:paraId="3ED67C6F" w14:textId="77777777" w:rsidR="00AC042F" w:rsidRPr="006663D5" w:rsidRDefault="00AC042F" w:rsidP="00AC042F">
            <w:pPr>
              <w:pStyle w:val="ARtabletext"/>
            </w:pPr>
            <w:r w:rsidRPr="0020738C">
              <w:rPr>
                <w:rFonts w:eastAsia="Times New Roman"/>
                <w:color w:val="000000"/>
                <w:sz w:val="16"/>
                <w:szCs w:val="16"/>
              </w:rPr>
              <w:t>Program assessment and evaluation</w:t>
            </w:r>
          </w:p>
        </w:tc>
        <w:tc>
          <w:tcPr>
            <w:tcW w:w="0" w:type="pct"/>
            <w:noWrap/>
          </w:tcPr>
          <w:p w14:paraId="457089A9" w14:textId="77777777" w:rsidR="00AC042F" w:rsidRPr="006663D5" w:rsidRDefault="009C795A" w:rsidP="00AC042F">
            <w:pPr>
              <w:pStyle w:val="ARtabletext"/>
            </w:pPr>
            <w:r w:rsidRPr="000A30CD">
              <w:rPr>
                <w:rFonts w:eastAsia="Times New Roman"/>
                <w:color w:val="000000"/>
                <w:sz w:val="16"/>
                <w:szCs w:val="16"/>
              </w:rPr>
              <w:t>Sax Institute</w:t>
            </w:r>
          </w:p>
        </w:tc>
        <w:tc>
          <w:tcPr>
            <w:tcW w:w="0" w:type="pct"/>
            <w:noWrap/>
          </w:tcPr>
          <w:p w14:paraId="095E0259" w14:textId="77777777" w:rsidR="00AC042F" w:rsidRPr="006663D5" w:rsidRDefault="00AC042F" w:rsidP="00AC042F">
            <w:pPr>
              <w:pStyle w:val="ARtabletext"/>
            </w:pPr>
            <w:r w:rsidRPr="000A30CD">
              <w:rPr>
                <w:rFonts w:eastAsia="Times New Roman"/>
                <w:color w:val="000000"/>
                <w:sz w:val="16"/>
                <w:szCs w:val="16"/>
              </w:rPr>
              <w:t>Evaluate</w:t>
            </w:r>
            <w:r w:rsidR="009C795A">
              <w:rPr>
                <w:rFonts w:eastAsia="Times New Roman"/>
                <w:color w:val="000000"/>
                <w:sz w:val="16"/>
                <w:szCs w:val="16"/>
              </w:rPr>
              <w:t>:</w:t>
            </w:r>
            <w:r w:rsidRPr="000A30CD">
              <w:rPr>
                <w:rFonts w:eastAsia="Times New Roman"/>
                <w:color w:val="000000"/>
                <w:sz w:val="16"/>
                <w:szCs w:val="16"/>
              </w:rPr>
              <w:t xml:space="preserve"> place-based suicide prevention trials</w:t>
            </w:r>
          </w:p>
        </w:tc>
        <w:tc>
          <w:tcPr>
            <w:tcW w:w="0" w:type="pct"/>
            <w:noWrap/>
          </w:tcPr>
          <w:p w14:paraId="768CBDA9" w14:textId="77777777" w:rsidR="00AC042F" w:rsidRPr="006663D5" w:rsidRDefault="00AC042F" w:rsidP="00AC042F">
            <w:pPr>
              <w:pStyle w:val="ARtabletextright"/>
            </w:pPr>
            <w:r w:rsidRPr="000A30CD">
              <w:rPr>
                <w:rFonts w:eastAsia="Times New Roman"/>
                <w:color w:val="000000"/>
                <w:sz w:val="16"/>
                <w:szCs w:val="16"/>
              </w:rPr>
              <w:t>700,000.00</w:t>
            </w:r>
          </w:p>
        </w:tc>
        <w:tc>
          <w:tcPr>
            <w:tcW w:w="0" w:type="pct"/>
            <w:noWrap/>
          </w:tcPr>
          <w:p w14:paraId="1054F87B" w14:textId="77777777" w:rsidR="00AC042F" w:rsidRPr="006663D5" w:rsidRDefault="00AC042F" w:rsidP="00AC042F">
            <w:pPr>
              <w:pStyle w:val="ARtabletextright"/>
            </w:pPr>
            <w:r w:rsidRPr="000A30CD">
              <w:rPr>
                <w:rFonts w:eastAsia="Times New Roman"/>
                <w:color w:val="000000"/>
                <w:sz w:val="16"/>
                <w:szCs w:val="16"/>
              </w:rPr>
              <w:t>329,315.00</w:t>
            </w:r>
          </w:p>
        </w:tc>
        <w:tc>
          <w:tcPr>
            <w:tcW w:w="0" w:type="pct"/>
            <w:noWrap/>
          </w:tcPr>
          <w:p w14:paraId="26CD325E" w14:textId="77777777" w:rsidR="00AC042F" w:rsidRPr="006663D5" w:rsidRDefault="00AC042F" w:rsidP="00AC042F">
            <w:pPr>
              <w:pStyle w:val="ARtabletextright"/>
            </w:pPr>
            <w:r w:rsidRPr="000A30CD">
              <w:rPr>
                <w:rFonts w:eastAsia="Times New Roman"/>
                <w:color w:val="000000"/>
                <w:sz w:val="16"/>
                <w:szCs w:val="16"/>
              </w:rPr>
              <w:t>161,207.00</w:t>
            </w:r>
          </w:p>
        </w:tc>
      </w:tr>
      <w:tr w:rsidR="00AC042F" w:rsidRPr="006663D5" w14:paraId="4AFEE570" w14:textId="77777777" w:rsidTr="00A5415F">
        <w:trPr>
          <w:trHeight w:val="300"/>
        </w:trPr>
        <w:tc>
          <w:tcPr>
            <w:tcW w:w="0" w:type="pct"/>
            <w:noWrap/>
          </w:tcPr>
          <w:p w14:paraId="35E37770" w14:textId="77777777" w:rsidR="00AC042F" w:rsidRPr="006663D5" w:rsidRDefault="00AC042F" w:rsidP="00AC042F">
            <w:pPr>
              <w:pStyle w:val="ARtabletext"/>
            </w:pPr>
            <w:r w:rsidRPr="0020738C">
              <w:rPr>
                <w:rFonts w:eastAsia="Times New Roman"/>
                <w:color w:val="000000"/>
                <w:sz w:val="16"/>
                <w:szCs w:val="16"/>
              </w:rPr>
              <w:t>Program assessment and evaluation</w:t>
            </w:r>
          </w:p>
        </w:tc>
        <w:tc>
          <w:tcPr>
            <w:tcW w:w="0" w:type="pct"/>
            <w:noWrap/>
          </w:tcPr>
          <w:p w14:paraId="7269D14F" w14:textId="77777777" w:rsidR="00AC042F" w:rsidRPr="006663D5" w:rsidRDefault="009C795A" w:rsidP="00AC042F">
            <w:pPr>
              <w:pStyle w:val="ARtabletext"/>
            </w:pPr>
            <w:r w:rsidRPr="000A30CD">
              <w:rPr>
                <w:rFonts w:eastAsia="Times New Roman"/>
                <w:color w:val="000000"/>
                <w:sz w:val="16"/>
                <w:szCs w:val="16"/>
              </w:rPr>
              <w:t xml:space="preserve">Centre </w:t>
            </w:r>
            <w:r>
              <w:rPr>
                <w:rFonts w:eastAsia="Times New Roman"/>
                <w:color w:val="000000"/>
                <w:sz w:val="16"/>
                <w:szCs w:val="16"/>
              </w:rPr>
              <w:t>f</w:t>
            </w:r>
            <w:r w:rsidRPr="000A30CD">
              <w:rPr>
                <w:rFonts w:eastAsia="Times New Roman"/>
                <w:color w:val="000000"/>
                <w:sz w:val="16"/>
                <w:szCs w:val="16"/>
              </w:rPr>
              <w:t xml:space="preserve">or Evidence </w:t>
            </w:r>
            <w:r>
              <w:rPr>
                <w:rFonts w:eastAsia="Times New Roman"/>
                <w:color w:val="000000"/>
                <w:sz w:val="16"/>
                <w:szCs w:val="16"/>
              </w:rPr>
              <w:t>a</w:t>
            </w:r>
            <w:r w:rsidRPr="000A30CD">
              <w:rPr>
                <w:rFonts w:eastAsia="Times New Roman"/>
                <w:color w:val="000000"/>
                <w:sz w:val="16"/>
                <w:szCs w:val="16"/>
              </w:rPr>
              <w:t>nd Implementation</w:t>
            </w:r>
          </w:p>
        </w:tc>
        <w:tc>
          <w:tcPr>
            <w:tcW w:w="0" w:type="pct"/>
            <w:noWrap/>
          </w:tcPr>
          <w:p w14:paraId="608FCACB" w14:textId="77777777" w:rsidR="00AC042F" w:rsidRPr="006663D5" w:rsidRDefault="00AC042F" w:rsidP="00AC042F">
            <w:pPr>
              <w:pStyle w:val="ARtabletext"/>
            </w:pPr>
            <w:r w:rsidRPr="000A30CD">
              <w:rPr>
                <w:rFonts w:eastAsia="Times New Roman"/>
                <w:color w:val="000000"/>
                <w:sz w:val="16"/>
                <w:szCs w:val="16"/>
              </w:rPr>
              <w:t>Evaluation: Evidence</w:t>
            </w:r>
            <w:r w:rsidR="009C795A">
              <w:rPr>
                <w:rFonts w:eastAsia="Times New Roman"/>
                <w:color w:val="000000"/>
                <w:sz w:val="16"/>
                <w:szCs w:val="16"/>
              </w:rPr>
              <w:t>-</w:t>
            </w:r>
            <w:r w:rsidR="006C17CB">
              <w:rPr>
                <w:rFonts w:eastAsia="Times New Roman"/>
                <w:color w:val="000000"/>
                <w:sz w:val="16"/>
                <w:szCs w:val="16"/>
              </w:rPr>
              <w:t>ba</w:t>
            </w:r>
            <w:r w:rsidR="006C17CB" w:rsidRPr="000A30CD">
              <w:rPr>
                <w:rFonts w:eastAsia="Times New Roman"/>
                <w:color w:val="000000"/>
                <w:sz w:val="16"/>
                <w:szCs w:val="16"/>
              </w:rPr>
              <w:t>sed</w:t>
            </w:r>
            <w:r w:rsidRPr="000A30CD">
              <w:rPr>
                <w:rFonts w:eastAsia="Times New Roman"/>
                <w:color w:val="000000"/>
                <w:sz w:val="16"/>
                <w:szCs w:val="16"/>
              </w:rPr>
              <w:t xml:space="preserve"> </w:t>
            </w:r>
            <w:r w:rsidR="009C795A">
              <w:rPr>
                <w:rFonts w:eastAsia="Times New Roman"/>
                <w:color w:val="000000"/>
                <w:sz w:val="16"/>
                <w:szCs w:val="16"/>
              </w:rPr>
              <w:t>p</w:t>
            </w:r>
            <w:r w:rsidRPr="000A30CD">
              <w:rPr>
                <w:rFonts w:eastAsia="Times New Roman"/>
                <w:color w:val="000000"/>
                <w:sz w:val="16"/>
                <w:szCs w:val="16"/>
              </w:rPr>
              <w:t>rograms in Family Services</w:t>
            </w:r>
          </w:p>
        </w:tc>
        <w:tc>
          <w:tcPr>
            <w:tcW w:w="0" w:type="pct"/>
            <w:noWrap/>
          </w:tcPr>
          <w:p w14:paraId="0763BAC5" w14:textId="77777777" w:rsidR="00AC042F" w:rsidRPr="006663D5" w:rsidRDefault="00AC042F" w:rsidP="00AC042F">
            <w:pPr>
              <w:pStyle w:val="ARtabletextright"/>
            </w:pPr>
            <w:r w:rsidRPr="000A30CD">
              <w:rPr>
                <w:rFonts w:eastAsia="Times New Roman"/>
                <w:color w:val="000000"/>
                <w:sz w:val="16"/>
                <w:szCs w:val="16"/>
              </w:rPr>
              <w:t>353,960.00</w:t>
            </w:r>
          </w:p>
        </w:tc>
        <w:tc>
          <w:tcPr>
            <w:tcW w:w="0" w:type="pct"/>
            <w:noWrap/>
          </w:tcPr>
          <w:p w14:paraId="1800D60F" w14:textId="77777777" w:rsidR="00AC042F" w:rsidRPr="006663D5" w:rsidRDefault="00AC042F" w:rsidP="00AC042F">
            <w:pPr>
              <w:pStyle w:val="ARtabletextright"/>
            </w:pPr>
            <w:r w:rsidRPr="000A30CD">
              <w:rPr>
                <w:rFonts w:eastAsia="Times New Roman"/>
                <w:color w:val="000000"/>
                <w:sz w:val="16"/>
                <w:szCs w:val="16"/>
              </w:rPr>
              <w:t>358,271.00</w:t>
            </w:r>
          </w:p>
        </w:tc>
        <w:tc>
          <w:tcPr>
            <w:tcW w:w="0" w:type="pct"/>
            <w:noWrap/>
          </w:tcPr>
          <w:p w14:paraId="7320C3A7"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6AFF6B14" w14:textId="77777777" w:rsidTr="00A5415F">
        <w:trPr>
          <w:trHeight w:val="300"/>
        </w:trPr>
        <w:tc>
          <w:tcPr>
            <w:tcW w:w="0" w:type="pct"/>
            <w:noWrap/>
          </w:tcPr>
          <w:p w14:paraId="2FB4D89F" w14:textId="77777777" w:rsidR="00AC042F" w:rsidRPr="006663D5" w:rsidRDefault="00AC042F" w:rsidP="00AC042F">
            <w:pPr>
              <w:pStyle w:val="ARtabletext"/>
            </w:pPr>
            <w:r w:rsidRPr="0020738C">
              <w:rPr>
                <w:rFonts w:eastAsia="Times New Roman"/>
                <w:color w:val="000000"/>
                <w:sz w:val="16"/>
                <w:szCs w:val="16"/>
              </w:rPr>
              <w:t>Program assessment and evaluation</w:t>
            </w:r>
          </w:p>
        </w:tc>
        <w:tc>
          <w:tcPr>
            <w:tcW w:w="0" w:type="pct"/>
            <w:noWrap/>
          </w:tcPr>
          <w:p w14:paraId="47E72AEC" w14:textId="77777777" w:rsidR="00AC042F" w:rsidRPr="006663D5" w:rsidRDefault="00AC042F" w:rsidP="00AC042F">
            <w:pPr>
              <w:pStyle w:val="ARtabletext"/>
            </w:pPr>
            <w:r w:rsidRPr="000A30CD">
              <w:rPr>
                <w:rFonts w:eastAsia="Times New Roman"/>
                <w:color w:val="000000"/>
                <w:sz w:val="16"/>
                <w:szCs w:val="16"/>
              </w:rPr>
              <w:t>CSIRO</w:t>
            </w:r>
          </w:p>
        </w:tc>
        <w:tc>
          <w:tcPr>
            <w:tcW w:w="0" w:type="pct"/>
            <w:noWrap/>
          </w:tcPr>
          <w:p w14:paraId="0A666D70" w14:textId="77777777" w:rsidR="00AC042F" w:rsidRPr="006663D5" w:rsidRDefault="00AC042F" w:rsidP="00AC042F">
            <w:pPr>
              <w:pStyle w:val="ARtabletext"/>
            </w:pPr>
            <w:r w:rsidRPr="000A30CD">
              <w:rPr>
                <w:rFonts w:eastAsia="Times New Roman"/>
                <w:color w:val="000000"/>
                <w:sz w:val="16"/>
                <w:szCs w:val="16"/>
              </w:rPr>
              <w:t xml:space="preserve">Evaluation of HealthLinks </w:t>
            </w:r>
            <w:r w:rsidR="009C795A">
              <w:rPr>
                <w:rFonts w:eastAsia="Times New Roman"/>
                <w:color w:val="000000"/>
                <w:sz w:val="16"/>
                <w:szCs w:val="16"/>
              </w:rPr>
              <w:t>–</w:t>
            </w:r>
            <w:r w:rsidRPr="000A30CD">
              <w:rPr>
                <w:rFonts w:eastAsia="Times New Roman"/>
                <w:color w:val="000000"/>
                <w:sz w:val="16"/>
                <w:szCs w:val="16"/>
              </w:rPr>
              <w:t xml:space="preserve"> Chronic Care</w:t>
            </w:r>
          </w:p>
        </w:tc>
        <w:tc>
          <w:tcPr>
            <w:tcW w:w="0" w:type="pct"/>
            <w:noWrap/>
          </w:tcPr>
          <w:p w14:paraId="16812307" w14:textId="77777777" w:rsidR="00AC042F" w:rsidRPr="006663D5" w:rsidRDefault="00AC042F" w:rsidP="00AC042F">
            <w:pPr>
              <w:pStyle w:val="ARtabletextright"/>
            </w:pPr>
            <w:r w:rsidRPr="000A30CD">
              <w:rPr>
                <w:rFonts w:eastAsia="Times New Roman"/>
                <w:color w:val="000000"/>
                <w:sz w:val="16"/>
                <w:szCs w:val="16"/>
              </w:rPr>
              <w:t>1,667,387.00</w:t>
            </w:r>
          </w:p>
        </w:tc>
        <w:tc>
          <w:tcPr>
            <w:tcW w:w="0" w:type="pct"/>
            <w:noWrap/>
          </w:tcPr>
          <w:p w14:paraId="73298600" w14:textId="77777777" w:rsidR="00AC042F" w:rsidRPr="006663D5" w:rsidRDefault="00AC042F" w:rsidP="00AC042F">
            <w:pPr>
              <w:pStyle w:val="ARtabletextright"/>
            </w:pPr>
            <w:r w:rsidRPr="000A30CD">
              <w:rPr>
                <w:rFonts w:eastAsia="Times New Roman"/>
                <w:color w:val="000000"/>
                <w:sz w:val="16"/>
                <w:szCs w:val="16"/>
              </w:rPr>
              <w:t>475,331.00</w:t>
            </w:r>
          </w:p>
        </w:tc>
        <w:tc>
          <w:tcPr>
            <w:tcW w:w="0" w:type="pct"/>
            <w:noWrap/>
          </w:tcPr>
          <w:p w14:paraId="1B06B2A0" w14:textId="77777777" w:rsidR="00AC042F" w:rsidRPr="006663D5" w:rsidRDefault="00AC042F" w:rsidP="00AC042F">
            <w:pPr>
              <w:pStyle w:val="ARtabletextright"/>
            </w:pPr>
            <w:r w:rsidRPr="000A30CD">
              <w:rPr>
                <w:rFonts w:eastAsia="Times New Roman"/>
                <w:color w:val="000000"/>
                <w:sz w:val="16"/>
                <w:szCs w:val="16"/>
              </w:rPr>
              <w:t>445,067.00</w:t>
            </w:r>
          </w:p>
        </w:tc>
      </w:tr>
      <w:tr w:rsidR="00AC042F" w:rsidRPr="006663D5" w14:paraId="30A308DC" w14:textId="77777777" w:rsidTr="00E34BA4">
        <w:trPr>
          <w:trHeight w:val="300"/>
        </w:trPr>
        <w:tc>
          <w:tcPr>
            <w:tcW w:w="0" w:type="pct"/>
            <w:noWrap/>
          </w:tcPr>
          <w:p w14:paraId="63BBDEFE" w14:textId="77777777" w:rsidR="00AC042F" w:rsidRPr="006663D5" w:rsidRDefault="00AC042F" w:rsidP="00AC042F">
            <w:pPr>
              <w:pStyle w:val="ARtabletext"/>
            </w:pPr>
            <w:r w:rsidRPr="0020738C">
              <w:rPr>
                <w:rFonts w:eastAsia="Times New Roman"/>
                <w:color w:val="000000"/>
                <w:sz w:val="16"/>
                <w:szCs w:val="16"/>
              </w:rPr>
              <w:t>Program assessment and evaluation</w:t>
            </w:r>
          </w:p>
        </w:tc>
        <w:tc>
          <w:tcPr>
            <w:tcW w:w="0" w:type="pct"/>
            <w:noWrap/>
          </w:tcPr>
          <w:p w14:paraId="39669283" w14:textId="77777777" w:rsidR="00AC042F" w:rsidRPr="006663D5" w:rsidRDefault="0037208F" w:rsidP="00AC042F">
            <w:pPr>
              <w:pStyle w:val="ARtabletext"/>
            </w:pPr>
            <w:r w:rsidRPr="000A30CD">
              <w:rPr>
                <w:rFonts w:eastAsia="Times New Roman"/>
                <w:color w:val="000000"/>
                <w:sz w:val="16"/>
                <w:szCs w:val="16"/>
              </w:rPr>
              <w:t>Price Waterhouse Coopers Consulting Australia Pty Ltd</w:t>
            </w:r>
          </w:p>
        </w:tc>
        <w:tc>
          <w:tcPr>
            <w:tcW w:w="0" w:type="pct"/>
            <w:noWrap/>
          </w:tcPr>
          <w:p w14:paraId="2F0F7612" w14:textId="77777777" w:rsidR="00AC042F" w:rsidRPr="006663D5" w:rsidRDefault="00AC042F" w:rsidP="00AC042F">
            <w:pPr>
              <w:pStyle w:val="ARtabletext"/>
            </w:pPr>
            <w:r w:rsidRPr="000A30CD">
              <w:rPr>
                <w:rFonts w:eastAsia="Times New Roman"/>
                <w:color w:val="000000"/>
                <w:sz w:val="16"/>
                <w:szCs w:val="16"/>
              </w:rPr>
              <w:t xml:space="preserve">Evaluation: </w:t>
            </w:r>
            <w:r w:rsidR="0037208F" w:rsidRPr="000A30CD">
              <w:rPr>
                <w:rFonts w:eastAsia="Times New Roman"/>
                <w:color w:val="000000"/>
                <w:sz w:val="16"/>
                <w:szCs w:val="16"/>
              </w:rPr>
              <w:t>support and safety hubs</w:t>
            </w:r>
            <w:r w:rsidRPr="000A30CD">
              <w:rPr>
                <w:rFonts w:eastAsia="Times New Roman"/>
                <w:color w:val="000000"/>
                <w:sz w:val="16"/>
                <w:szCs w:val="16"/>
              </w:rPr>
              <w:t xml:space="preserve"> 2018</w:t>
            </w:r>
          </w:p>
        </w:tc>
        <w:tc>
          <w:tcPr>
            <w:tcW w:w="0" w:type="pct"/>
            <w:noWrap/>
          </w:tcPr>
          <w:p w14:paraId="7F315924" w14:textId="77777777" w:rsidR="00AC042F" w:rsidRPr="006663D5" w:rsidRDefault="00AC042F" w:rsidP="00AC042F">
            <w:pPr>
              <w:pStyle w:val="ARtabletextright"/>
            </w:pPr>
            <w:r w:rsidRPr="000A30CD">
              <w:rPr>
                <w:rFonts w:eastAsia="Times New Roman"/>
                <w:color w:val="000000"/>
                <w:sz w:val="16"/>
                <w:szCs w:val="16"/>
              </w:rPr>
              <w:t>718,037.00</w:t>
            </w:r>
          </w:p>
        </w:tc>
        <w:tc>
          <w:tcPr>
            <w:tcW w:w="0" w:type="pct"/>
            <w:noWrap/>
          </w:tcPr>
          <w:p w14:paraId="2335BAA8" w14:textId="77777777" w:rsidR="00AC042F" w:rsidRPr="006663D5" w:rsidRDefault="00AC042F" w:rsidP="00AC042F">
            <w:pPr>
              <w:pStyle w:val="ARtabletextright"/>
            </w:pPr>
            <w:r w:rsidRPr="000A30CD">
              <w:rPr>
                <w:rFonts w:eastAsia="Times New Roman"/>
                <w:color w:val="000000"/>
                <w:sz w:val="16"/>
                <w:szCs w:val="16"/>
              </w:rPr>
              <w:t>434,675.00</w:t>
            </w:r>
          </w:p>
        </w:tc>
        <w:tc>
          <w:tcPr>
            <w:tcW w:w="0" w:type="pct"/>
            <w:noWrap/>
          </w:tcPr>
          <w:p w14:paraId="5F468D2E" w14:textId="77777777" w:rsidR="00AC042F" w:rsidRPr="006663D5" w:rsidRDefault="00AC042F" w:rsidP="00AC042F">
            <w:pPr>
              <w:pStyle w:val="ARtabletextright"/>
            </w:pPr>
            <w:r w:rsidRPr="000A30CD">
              <w:rPr>
                <w:rFonts w:eastAsia="Times New Roman"/>
                <w:color w:val="000000"/>
                <w:sz w:val="16"/>
                <w:szCs w:val="16"/>
              </w:rPr>
              <w:t>283,362.00</w:t>
            </w:r>
          </w:p>
        </w:tc>
      </w:tr>
      <w:tr w:rsidR="00AC042F" w:rsidRPr="006663D5" w14:paraId="38580836" w14:textId="77777777" w:rsidTr="00E34BA4">
        <w:trPr>
          <w:trHeight w:val="300"/>
        </w:trPr>
        <w:tc>
          <w:tcPr>
            <w:tcW w:w="0" w:type="pct"/>
            <w:noWrap/>
          </w:tcPr>
          <w:p w14:paraId="7997B004" w14:textId="77777777" w:rsidR="00AC042F" w:rsidRPr="006663D5" w:rsidRDefault="00AC042F" w:rsidP="00AC042F">
            <w:pPr>
              <w:pStyle w:val="ARtabletext"/>
            </w:pPr>
            <w:r w:rsidRPr="0020738C">
              <w:rPr>
                <w:rFonts w:eastAsia="Times New Roman"/>
                <w:color w:val="000000"/>
                <w:sz w:val="16"/>
                <w:szCs w:val="16"/>
              </w:rPr>
              <w:t>Program assessment and evaluation</w:t>
            </w:r>
          </w:p>
        </w:tc>
        <w:tc>
          <w:tcPr>
            <w:tcW w:w="0" w:type="pct"/>
            <w:noWrap/>
          </w:tcPr>
          <w:p w14:paraId="4B489053" w14:textId="77777777" w:rsidR="00AC042F" w:rsidRPr="006663D5" w:rsidRDefault="00AC042F" w:rsidP="00AC042F">
            <w:pPr>
              <w:pStyle w:val="ARtabletext"/>
            </w:pPr>
            <w:r w:rsidRPr="000A30CD">
              <w:rPr>
                <w:rFonts w:eastAsia="Times New Roman"/>
                <w:color w:val="000000"/>
                <w:sz w:val="16"/>
                <w:szCs w:val="16"/>
              </w:rPr>
              <w:t>360 E</w:t>
            </w:r>
            <w:r w:rsidR="0037208F" w:rsidRPr="000A30CD">
              <w:rPr>
                <w:rFonts w:eastAsia="Times New Roman"/>
                <w:color w:val="000000"/>
                <w:sz w:val="16"/>
                <w:szCs w:val="16"/>
              </w:rPr>
              <w:t>dge</w:t>
            </w:r>
          </w:p>
        </w:tc>
        <w:tc>
          <w:tcPr>
            <w:tcW w:w="0" w:type="pct"/>
            <w:noWrap/>
          </w:tcPr>
          <w:p w14:paraId="39D59832" w14:textId="77777777" w:rsidR="00AC042F" w:rsidRPr="006663D5" w:rsidRDefault="00AC042F" w:rsidP="00AC042F">
            <w:pPr>
              <w:pStyle w:val="ARtabletext"/>
            </w:pPr>
            <w:r w:rsidRPr="000A30CD">
              <w:rPr>
                <w:rFonts w:eastAsia="Times New Roman"/>
                <w:color w:val="000000"/>
                <w:sz w:val="16"/>
                <w:szCs w:val="16"/>
              </w:rPr>
              <w:t xml:space="preserve">Therapeutic </w:t>
            </w:r>
            <w:r w:rsidR="0037208F" w:rsidRPr="000A30CD">
              <w:rPr>
                <w:rFonts w:eastAsia="Times New Roman"/>
                <w:color w:val="000000"/>
                <w:sz w:val="16"/>
                <w:szCs w:val="16"/>
              </w:rPr>
              <w:t>day rehabilitation evaluation</w:t>
            </w:r>
          </w:p>
        </w:tc>
        <w:tc>
          <w:tcPr>
            <w:tcW w:w="0" w:type="pct"/>
            <w:noWrap/>
          </w:tcPr>
          <w:p w14:paraId="523C7A0C" w14:textId="77777777" w:rsidR="00AC042F" w:rsidRPr="006663D5" w:rsidRDefault="00AC042F" w:rsidP="00AC042F">
            <w:pPr>
              <w:pStyle w:val="ARtabletextright"/>
            </w:pPr>
            <w:r w:rsidRPr="000A30CD">
              <w:rPr>
                <w:rFonts w:eastAsia="Times New Roman"/>
                <w:color w:val="000000"/>
                <w:sz w:val="16"/>
                <w:szCs w:val="16"/>
              </w:rPr>
              <w:t>315,100.00</w:t>
            </w:r>
          </w:p>
        </w:tc>
        <w:tc>
          <w:tcPr>
            <w:tcW w:w="0" w:type="pct"/>
            <w:noWrap/>
          </w:tcPr>
          <w:p w14:paraId="75230DED" w14:textId="77777777" w:rsidR="00AC042F" w:rsidRPr="006663D5" w:rsidRDefault="00AC042F" w:rsidP="00AC042F">
            <w:pPr>
              <w:pStyle w:val="ARtabletextright"/>
            </w:pPr>
            <w:r w:rsidRPr="000A30CD">
              <w:rPr>
                <w:rFonts w:eastAsia="Times New Roman"/>
                <w:color w:val="000000"/>
                <w:sz w:val="16"/>
                <w:szCs w:val="16"/>
              </w:rPr>
              <w:t>42,400.00</w:t>
            </w:r>
          </w:p>
        </w:tc>
        <w:tc>
          <w:tcPr>
            <w:tcW w:w="0" w:type="pct"/>
            <w:noWrap/>
          </w:tcPr>
          <w:p w14:paraId="5CDA28B1" w14:textId="77777777" w:rsidR="00AC042F" w:rsidRPr="006663D5" w:rsidRDefault="00AC042F" w:rsidP="00AC042F">
            <w:pPr>
              <w:pStyle w:val="ARtabletextright"/>
            </w:pPr>
            <w:r w:rsidRPr="000A30CD">
              <w:rPr>
                <w:rFonts w:eastAsia="Times New Roman"/>
                <w:color w:val="000000"/>
                <w:sz w:val="16"/>
                <w:szCs w:val="16"/>
              </w:rPr>
              <w:t>5,000.00</w:t>
            </w:r>
          </w:p>
        </w:tc>
      </w:tr>
      <w:tr w:rsidR="00AC042F" w:rsidRPr="006663D5" w14:paraId="6DFE6F72" w14:textId="77777777" w:rsidTr="00A5415F">
        <w:trPr>
          <w:trHeight w:val="300"/>
        </w:trPr>
        <w:tc>
          <w:tcPr>
            <w:tcW w:w="0" w:type="pct"/>
            <w:noWrap/>
          </w:tcPr>
          <w:p w14:paraId="243FC767" w14:textId="77777777" w:rsidR="00AC042F" w:rsidRPr="006663D5" w:rsidRDefault="00AC042F" w:rsidP="00AC042F">
            <w:pPr>
              <w:pStyle w:val="ARtabletext"/>
            </w:pPr>
            <w:r w:rsidRPr="00FA6494">
              <w:rPr>
                <w:rFonts w:eastAsia="Times New Roman"/>
                <w:color w:val="000000"/>
                <w:sz w:val="16"/>
                <w:szCs w:val="16"/>
              </w:rPr>
              <w:t>Program assessment and evaluation</w:t>
            </w:r>
          </w:p>
        </w:tc>
        <w:tc>
          <w:tcPr>
            <w:tcW w:w="0" w:type="pct"/>
            <w:noWrap/>
          </w:tcPr>
          <w:p w14:paraId="3DD16E58" w14:textId="77777777" w:rsidR="00AC042F" w:rsidRPr="006663D5" w:rsidRDefault="0037208F" w:rsidP="00AC042F">
            <w:pPr>
              <w:pStyle w:val="ARtabletext"/>
            </w:pPr>
            <w:r w:rsidRPr="000A30CD">
              <w:rPr>
                <w:rFonts w:eastAsia="Times New Roman"/>
                <w:color w:val="000000"/>
                <w:sz w:val="16"/>
                <w:szCs w:val="16"/>
              </w:rPr>
              <w:t xml:space="preserve">Centre </w:t>
            </w:r>
            <w:r>
              <w:rPr>
                <w:rFonts w:eastAsia="Times New Roman"/>
                <w:color w:val="000000"/>
                <w:sz w:val="16"/>
                <w:szCs w:val="16"/>
              </w:rPr>
              <w:t>f</w:t>
            </w:r>
            <w:r w:rsidRPr="000A30CD">
              <w:rPr>
                <w:rFonts w:eastAsia="Times New Roman"/>
                <w:color w:val="000000"/>
                <w:sz w:val="16"/>
                <w:szCs w:val="16"/>
              </w:rPr>
              <w:t xml:space="preserve">or Evidence </w:t>
            </w:r>
            <w:r w:rsidR="00F41E76">
              <w:rPr>
                <w:rFonts w:eastAsia="Times New Roman"/>
                <w:color w:val="000000"/>
                <w:sz w:val="16"/>
                <w:szCs w:val="16"/>
              </w:rPr>
              <w:t>a</w:t>
            </w:r>
            <w:r w:rsidRPr="000A30CD">
              <w:rPr>
                <w:rFonts w:eastAsia="Times New Roman"/>
                <w:color w:val="000000"/>
                <w:sz w:val="16"/>
                <w:szCs w:val="16"/>
              </w:rPr>
              <w:t>nd Implementation</w:t>
            </w:r>
          </w:p>
        </w:tc>
        <w:tc>
          <w:tcPr>
            <w:tcW w:w="0" w:type="pct"/>
            <w:noWrap/>
          </w:tcPr>
          <w:p w14:paraId="2682FB17" w14:textId="77777777" w:rsidR="00AC042F" w:rsidRPr="006663D5" w:rsidRDefault="00AC042F" w:rsidP="00AC042F">
            <w:pPr>
              <w:pStyle w:val="ARtabletext"/>
            </w:pPr>
            <w:r w:rsidRPr="000A30CD">
              <w:rPr>
                <w:rFonts w:eastAsia="Times New Roman"/>
                <w:color w:val="000000"/>
                <w:sz w:val="16"/>
                <w:szCs w:val="16"/>
              </w:rPr>
              <w:t>Evaluate</w:t>
            </w:r>
            <w:r w:rsidR="0037208F">
              <w:rPr>
                <w:rFonts w:eastAsia="Times New Roman"/>
                <w:color w:val="000000"/>
                <w:sz w:val="16"/>
                <w:szCs w:val="16"/>
              </w:rPr>
              <w:t>:</w:t>
            </w:r>
            <w:r w:rsidRPr="000A30CD">
              <w:rPr>
                <w:rFonts w:eastAsia="Times New Roman"/>
                <w:color w:val="000000"/>
                <w:sz w:val="16"/>
                <w:szCs w:val="16"/>
              </w:rPr>
              <w:t xml:space="preserve"> Family violence child protection partnership</w:t>
            </w:r>
          </w:p>
        </w:tc>
        <w:tc>
          <w:tcPr>
            <w:tcW w:w="0" w:type="pct"/>
            <w:noWrap/>
          </w:tcPr>
          <w:p w14:paraId="09E76206" w14:textId="77777777" w:rsidR="00AC042F" w:rsidRPr="006663D5" w:rsidRDefault="00AC042F" w:rsidP="00AC042F">
            <w:pPr>
              <w:pStyle w:val="ARtabletextright"/>
            </w:pPr>
            <w:r w:rsidRPr="000A30CD">
              <w:rPr>
                <w:rFonts w:eastAsia="Times New Roman"/>
                <w:color w:val="000000"/>
                <w:sz w:val="16"/>
                <w:szCs w:val="16"/>
              </w:rPr>
              <w:t>149,850.00</w:t>
            </w:r>
          </w:p>
        </w:tc>
        <w:tc>
          <w:tcPr>
            <w:tcW w:w="0" w:type="pct"/>
            <w:noWrap/>
          </w:tcPr>
          <w:p w14:paraId="0CA82A4B" w14:textId="77777777" w:rsidR="00AC042F" w:rsidRPr="006663D5" w:rsidRDefault="00AC042F" w:rsidP="00AC042F">
            <w:pPr>
              <w:pStyle w:val="ARtabletextright"/>
            </w:pPr>
            <w:r w:rsidRPr="000A30CD">
              <w:rPr>
                <w:rFonts w:eastAsia="Times New Roman"/>
                <w:color w:val="000000"/>
                <w:sz w:val="16"/>
                <w:szCs w:val="16"/>
              </w:rPr>
              <w:t>44,955.00</w:t>
            </w:r>
          </w:p>
        </w:tc>
        <w:tc>
          <w:tcPr>
            <w:tcW w:w="0" w:type="pct"/>
            <w:noWrap/>
          </w:tcPr>
          <w:p w14:paraId="2A6B35DF"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65CF5997" w14:textId="77777777" w:rsidTr="00A5415F">
        <w:trPr>
          <w:trHeight w:val="300"/>
        </w:trPr>
        <w:tc>
          <w:tcPr>
            <w:tcW w:w="0" w:type="pct"/>
            <w:noWrap/>
          </w:tcPr>
          <w:p w14:paraId="55065489" w14:textId="77777777" w:rsidR="00AC042F" w:rsidRPr="006663D5" w:rsidRDefault="00AC042F" w:rsidP="00AC042F">
            <w:pPr>
              <w:pStyle w:val="ARtabletext"/>
            </w:pPr>
            <w:r w:rsidRPr="00FA6494">
              <w:rPr>
                <w:rFonts w:eastAsia="Times New Roman"/>
                <w:color w:val="000000"/>
                <w:sz w:val="16"/>
                <w:szCs w:val="16"/>
              </w:rPr>
              <w:t>Program assessment and evaluation</w:t>
            </w:r>
          </w:p>
        </w:tc>
        <w:tc>
          <w:tcPr>
            <w:tcW w:w="0" w:type="pct"/>
            <w:noWrap/>
          </w:tcPr>
          <w:p w14:paraId="6EE5E9CD" w14:textId="77777777" w:rsidR="00AC042F" w:rsidRPr="006663D5" w:rsidRDefault="0037208F" w:rsidP="00AC042F">
            <w:pPr>
              <w:pStyle w:val="ARtabletext"/>
            </w:pPr>
            <w:r w:rsidRPr="000A30CD">
              <w:rPr>
                <w:rFonts w:eastAsia="Times New Roman"/>
                <w:color w:val="000000"/>
                <w:sz w:val="16"/>
                <w:szCs w:val="16"/>
              </w:rPr>
              <w:t>Price Waterhouse Coopers Indigenous Consulting</w:t>
            </w:r>
          </w:p>
        </w:tc>
        <w:tc>
          <w:tcPr>
            <w:tcW w:w="0" w:type="pct"/>
            <w:noWrap/>
          </w:tcPr>
          <w:p w14:paraId="05475C1B" w14:textId="77777777" w:rsidR="00AC042F" w:rsidRPr="006663D5" w:rsidRDefault="00AC042F" w:rsidP="00AC042F">
            <w:pPr>
              <w:pStyle w:val="ARtabletext"/>
            </w:pPr>
            <w:r w:rsidRPr="000A30CD">
              <w:rPr>
                <w:rFonts w:eastAsia="Times New Roman"/>
                <w:color w:val="000000"/>
                <w:sz w:val="16"/>
                <w:szCs w:val="16"/>
              </w:rPr>
              <w:t>Review</w:t>
            </w:r>
            <w:r w:rsidR="00F41E76">
              <w:rPr>
                <w:rFonts w:eastAsia="Times New Roman"/>
                <w:color w:val="000000"/>
                <w:sz w:val="16"/>
                <w:szCs w:val="16"/>
              </w:rPr>
              <w:t>:</w:t>
            </w:r>
            <w:r w:rsidRPr="000A30CD">
              <w:rPr>
                <w:rFonts w:eastAsia="Times New Roman"/>
                <w:color w:val="000000"/>
                <w:sz w:val="16"/>
                <w:szCs w:val="16"/>
              </w:rPr>
              <w:t xml:space="preserve"> </w:t>
            </w:r>
            <w:r w:rsidR="00F41E76">
              <w:rPr>
                <w:rFonts w:eastAsia="Times New Roman"/>
                <w:color w:val="000000"/>
                <w:sz w:val="16"/>
                <w:szCs w:val="16"/>
              </w:rPr>
              <w:t>I</w:t>
            </w:r>
            <w:r w:rsidRPr="000A30CD">
              <w:rPr>
                <w:rFonts w:eastAsia="Times New Roman"/>
                <w:color w:val="000000"/>
                <w:sz w:val="16"/>
                <w:szCs w:val="16"/>
              </w:rPr>
              <w:t>ndigenous family violence regional action group</w:t>
            </w:r>
          </w:p>
        </w:tc>
        <w:tc>
          <w:tcPr>
            <w:tcW w:w="0" w:type="pct"/>
            <w:noWrap/>
          </w:tcPr>
          <w:p w14:paraId="1DA52A63" w14:textId="77777777" w:rsidR="00AC042F" w:rsidRPr="006663D5" w:rsidRDefault="00AC042F" w:rsidP="00AC042F">
            <w:pPr>
              <w:pStyle w:val="ARtabletextright"/>
            </w:pPr>
            <w:r w:rsidRPr="000A30CD">
              <w:rPr>
                <w:rFonts w:eastAsia="Times New Roman"/>
                <w:color w:val="000000"/>
                <w:sz w:val="16"/>
                <w:szCs w:val="16"/>
              </w:rPr>
              <w:t>255,297.00</w:t>
            </w:r>
          </w:p>
        </w:tc>
        <w:tc>
          <w:tcPr>
            <w:tcW w:w="0" w:type="pct"/>
            <w:noWrap/>
          </w:tcPr>
          <w:p w14:paraId="6457E2BE" w14:textId="77777777" w:rsidR="00AC042F" w:rsidRPr="006663D5" w:rsidRDefault="00AC042F" w:rsidP="00AC042F">
            <w:pPr>
              <w:pStyle w:val="ARtabletextright"/>
            </w:pPr>
            <w:r w:rsidRPr="000A30CD">
              <w:rPr>
                <w:rFonts w:eastAsia="Times New Roman"/>
                <w:color w:val="000000"/>
                <w:sz w:val="16"/>
                <w:szCs w:val="16"/>
              </w:rPr>
              <w:t>111,778.00</w:t>
            </w:r>
          </w:p>
        </w:tc>
        <w:tc>
          <w:tcPr>
            <w:tcW w:w="0" w:type="pct"/>
            <w:noWrap/>
          </w:tcPr>
          <w:p w14:paraId="1AA27781"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59682AB4" w14:textId="77777777" w:rsidTr="00E34BA4">
        <w:trPr>
          <w:trHeight w:val="300"/>
        </w:trPr>
        <w:tc>
          <w:tcPr>
            <w:tcW w:w="0" w:type="pct"/>
            <w:noWrap/>
          </w:tcPr>
          <w:p w14:paraId="5EACEBDE" w14:textId="77777777" w:rsidR="00AC042F" w:rsidRPr="006663D5" w:rsidRDefault="00AC042F" w:rsidP="00AC042F">
            <w:pPr>
              <w:pStyle w:val="ARtabletext"/>
            </w:pPr>
            <w:r w:rsidRPr="00FA6494">
              <w:rPr>
                <w:rFonts w:eastAsia="Times New Roman"/>
                <w:color w:val="000000"/>
                <w:sz w:val="16"/>
                <w:szCs w:val="16"/>
              </w:rPr>
              <w:t>Program assessment and evaluation</w:t>
            </w:r>
          </w:p>
        </w:tc>
        <w:tc>
          <w:tcPr>
            <w:tcW w:w="0" w:type="pct"/>
            <w:noWrap/>
          </w:tcPr>
          <w:p w14:paraId="2AE180B6" w14:textId="77777777" w:rsidR="00AC042F" w:rsidRPr="006663D5" w:rsidRDefault="00AC042F" w:rsidP="00AC042F">
            <w:pPr>
              <w:pStyle w:val="ARtabletext"/>
            </w:pPr>
            <w:r w:rsidRPr="000A30CD">
              <w:rPr>
                <w:rFonts w:eastAsia="Times New Roman"/>
                <w:color w:val="000000"/>
                <w:sz w:val="16"/>
                <w:szCs w:val="16"/>
              </w:rPr>
              <w:t>H</w:t>
            </w:r>
            <w:r w:rsidR="00F41E76" w:rsidRPr="000A30CD">
              <w:rPr>
                <w:rFonts w:eastAsia="Times New Roman"/>
                <w:color w:val="000000"/>
                <w:sz w:val="16"/>
                <w:szCs w:val="16"/>
              </w:rPr>
              <w:t>ealthconsult</w:t>
            </w:r>
          </w:p>
        </w:tc>
        <w:tc>
          <w:tcPr>
            <w:tcW w:w="0" w:type="pct"/>
            <w:noWrap/>
          </w:tcPr>
          <w:p w14:paraId="28139086" w14:textId="77777777" w:rsidR="00AC042F" w:rsidRPr="006663D5" w:rsidRDefault="00AC042F" w:rsidP="00AC042F">
            <w:pPr>
              <w:pStyle w:val="ARtabletext"/>
            </w:pPr>
            <w:r w:rsidRPr="000A30CD">
              <w:rPr>
                <w:rFonts w:eastAsia="Times New Roman"/>
                <w:color w:val="000000"/>
                <w:sz w:val="16"/>
                <w:szCs w:val="16"/>
              </w:rPr>
              <w:t>Review</w:t>
            </w:r>
            <w:r w:rsidR="00F41E76">
              <w:rPr>
                <w:rFonts w:eastAsia="Times New Roman"/>
                <w:color w:val="000000"/>
                <w:sz w:val="16"/>
                <w:szCs w:val="16"/>
              </w:rPr>
              <w:t>:</w:t>
            </w:r>
            <w:r w:rsidRPr="000A30CD">
              <w:rPr>
                <w:rFonts w:eastAsia="Times New Roman"/>
                <w:color w:val="000000"/>
                <w:sz w:val="16"/>
                <w:szCs w:val="16"/>
              </w:rPr>
              <w:t xml:space="preserve"> Victorian eyecare service</w:t>
            </w:r>
          </w:p>
        </w:tc>
        <w:tc>
          <w:tcPr>
            <w:tcW w:w="0" w:type="pct"/>
            <w:noWrap/>
          </w:tcPr>
          <w:p w14:paraId="119C2652" w14:textId="77777777" w:rsidR="00AC042F" w:rsidRPr="006663D5" w:rsidRDefault="00AC042F" w:rsidP="00AC042F">
            <w:pPr>
              <w:pStyle w:val="ARtabletextright"/>
            </w:pPr>
            <w:r w:rsidRPr="000A30CD">
              <w:rPr>
                <w:rFonts w:eastAsia="Times New Roman"/>
                <w:color w:val="000000"/>
                <w:sz w:val="16"/>
                <w:szCs w:val="16"/>
              </w:rPr>
              <w:t>107,280.00</w:t>
            </w:r>
          </w:p>
        </w:tc>
        <w:tc>
          <w:tcPr>
            <w:tcW w:w="0" w:type="pct"/>
            <w:noWrap/>
          </w:tcPr>
          <w:p w14:paraId="2E76CFC3" w14:textId="77777777" w:rsidR="00AC042F" w:rsidRPr="006663D5" w:rsidRDefault="00AC042F" w:rsidP="00AC042F">
            <w:pPr>
              <w:pStyle w:val="ARtabletextright"/>
            </w:pPr>
            <w:r w:rsidRPr="000A30CD">
              <w:rPr>
                <w:rFonts w:eastAsia="Times New Roman"/>
                <w:color w:val="000000"/>
                <w:sz w:val="16"/>
                <w:szCs w:val="16"/>
              </w:rPr>
              <w:t>42,912.00</w:t>
            </w:r>
          </w:p>
        </w:tc>
        <w:tc>
          <w:tcPr>
            <w:tcW w:w="0" w:type="pct"/>
            <w:noWrap/>
          </w:tcPr>
          <w:p w14:paraId="1F0D399E"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24B259DA" w14:textId="77777777" w:rsidTr="00E34BA4">
        <w:trPr>
          <w:trHeight w:val="300"/>
        </w:trPr>
        <w:tc>
          <w:tcPr>
            <w:tcW w:w="0" w:type="pct"/>
            <w:noWrap/>
          </w:tcPr>
          <w:p w14:paraId="0C3B2019" w14:textId="77777777" w:rsidR="00AC042F" w:rsidRPr="006663D5" w:rsidRDefault="00AC042F" w:rsidP="00AC042F">
            <w:pPr>
              <w:pStyle w:val="ARtabletext"/>
            </w:pPr>
            <w:r w:rsidRPr="00FA6494">
              <w:rPr>
                <w:rFonts w:eastAsia="Times New Roman"/>
                <w:color w:val="000000"/>
                <w:sz w:val="16"/>
                <w:szCs w:val="16"/>
              </w:rPr>
              <w:t>Program assessment and evaluation</w:t>
            </w:r>
          </w:p>
        </w:tc>
        <w:tc>
          <w:tcPr>
            <w:tcW w:w="0" w:type="pct"/>
            <w:noWrap/>
          </w:tcPr>
          <w:p w14:paraId="534B175A" w14:textId="77777777" w:rsidR="00AC042F" w:rsidRPr="006663D5" w:rsidRDefault="00AC042F" w:rsidP="00AC042F">
            <w:pPr>
              <w:pStyle w:val="ARtabletext"/>
            </w:pPr>
            <w:r w:rsidRPr="000A30CD">
              <w:rPr>
                <w:rFonts w:eastAsia="Times New Roman"/>
                <w:color w:val="000000"/>
                <w:sz w:val="16"/>
                <w:szCs w:val="16"/>
              </w:rPr>
              <w:t>H</w:t>
            </w:r>
            <w:r w:rsidR="00F41E76" w:rsidRPr="000A30CD">
              <w:rPr>
                <w:rFonts w:eastAsia="Times New Roman"/>
                <w:color w:val="000000"/>
                <w:sz w:val="16"/>
                <w:szCs w:val="16"/>
              </w:rPr>
              <w:t>ealthconsult</w:t>
            </w:r>
          </w:p>
        </w:tc>
        <w:tc>
          <w:tcPr>
            <w:tcW w:w="0" w:type="pct"/>
            <w:noWrap/>
          </w:tcPr>
          <w:p w14:paraId="02CBC159" w14:textId="77777777" w:rsidR="00AC042F" w:rsidRPr="006663D5" w:rsidRDefault="00AC042F" w:rsidP="00AC042F">
            <w:pPr>
              <w:pStyle w:val="ARtabletext"/>
            </w:pPr>
            <w:r w:rsidRPr="000A30CD">
              <w:rPr>
                <w:rFonts w:eastAsia="Times New Roman"/>
                <w:color w:val="000000"/>
                <w:sz w:val="16"/>
                <w:szCs w:val="16"/>
              </w:rPr>
              <w:t>Review</w:t>
            </w:r>
            <w:r w:rsidR="00F41E76">
              <w:rPr>
                <w:rFonts w:eastAsia="Times New Roman"/>
                <w:color w:val="000000"/>
                <w:sz w:val="16"/>
                <w:szCs w:val="16"/>
              </w:rPr>
              <w:t>:</w:t>
            </w:r>
            <w:r w:rsidRPr="000A30CD">
              <w:rPr>
                <w:rFonts w:eastAsia="Times New Roman"/>
                <w:color w:val="000000"/>
                <w:sz w:val="16"/>
                <w:szCs w:val="16"/>
              </w:rPr>
              <w:t xml:space="preserve"> field emergency medical officer program</w:t>
            </w:r>
          </w:p>
        </w:tc>
        <w:tc>
          <w:tcPr>
            <w:tcW w:w="0" w:type="pct"/>
            <w:noWrap/>
          </w:tcPr>
          <w:p w14:paraId="5DC52B27" w14:textId="77777777" w:rsidR="00AC042F" w:rsidRPr="006663D5" w:rsidRDefault="00AC042F" w:rsidP="00AC042F">
            <w:pPr>
              <w:pStyle w:val="ARtabletextright"/>
            </w:pPr>
            <w:r w:rsidRPr="000A30CD">
              <w:rPr>
                <w:rFonts w:eastAsia="Times New Roman"/>
                <w:color w:val="000000"/>
                <w:sz w:val="16"/>
                <w:szCs w:val="16"/>
              </w:rPr>
              <w:t>105,953.00</w:t>
            </w:r>
          </w:p>
        </w:tc>
        <w:tc>
          <w:tcPr>
            <w:tcW w:w="0" w:type="pct"/>
            <w:noWrap/>
          </w:tcPr>
          <w:p w14:paraId="70155D5F" w14:textId="77777777" w:rsidR="00AC042F" w:rsidRPr="006663D5" w:rsidRDefault="00AC042F" w:rsidP="00AC042F">
            <w:pPr>
              <w:pStyle w:val="ARtabletextright"/>
            </w:pPr>
            <w:r w:rsidRPr="000A30CD">
              <w:rPr>
                <w:rFonts w:eastAsia="Times New Roman"/>
                <w:color w:val="000000"/>
                <w:sz w:val="16"/>
                <w:szCs w:val="16"/>
              </w:rPr>
              <w:t>42,381.00</w:t>
            </w:r>
          </w:p>
        </w:tc>
        <w:tc>
          <w:tcPr>
            <w:tcW w:w="0" w:type="pct"/>
            <w:noWrap/>
          </w:tcPr>
          <w:p w14:paraId="7EABED0F"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247C8B08" w14:textId="77777777" w:rsidTr="00A5415F">
        <w:trPr>
          <w:trHeight w:val="300"/>
        </w:trPr>
        <w:tc>
          <w:tcPr>
            <w:tcW w:w="0" w:type="pct"/>
            <w:noWrap/>
          </w:tcPr>
          <w:p w14:paraId="692DCE58" w14:textId="77777777" w:rsidR="00AC042F" w:rsidRPr="006663D5" w:rsidRDefault="00AC042F" w:rsidP="00AC042F">
            <w:pPr>
              <w:pStyle w:val="ARtabletext"/>
            </w:pPr>
            <w:r w:rsidRPr="00FA6494">
              <w:rPr>
                <w:rFonts w:eastAsia="Times New Roman"/>
                <w:color w:val="000000"/>
                <w:sz w:val="16"/>
                <w:szCs w:val="16"/>
              </w:rPr>
              <w:t>Program assessment and evaluation</w:t>
            </w:r>
          </w:p>
        </w:tc>
        <w:tc>
          <w:tcPr>
            <w:tcW w:w="0" w:type="pct"/>
            <w:noWrap/>
          </w:tcPr>
          <w:p w14:paraId="1D51F11E" w14:textId="77777777" w:rsidR="00AC042F" w:rsidRPr="006663D5" w:rsidRDefault="00AC042F" w:rsidP="00AC042F">
            <w:pPr>
              <w:pStyle w:val="ARtabletext"/>
            </w:pPr>
            <w:r w:rsidRPr="000A30CD">
              <w:rPr>
                <w:rFonts w:eastAsia="Times New Roman"/>
                <w:color w:val="000000"/>
                <w:sz w:val="16"/>
                <w:szCs w:val="16"/>
              </w:rPr>
              <w:t>K M</w:t>
            </w:r>
            <w:r w:rsidR="00F41E76" w:rsidRPr="000A30CD">
              <w:rPr>
                <w:rFonts w:eastAsia="Times New Roman"/>
                <w:color w:val="000000"/>
                <w:sz w:val="16"/>
                <w:szCs w:val="16"/>
              </w:rPr>
              <w:t>urray consulting</w:t>
            </w:r>
          </w:p>
        </w:tc>
        <w:tc>
          <w:tcPr>
            <w:tcW w:w="0" w:type="pct"/>
            <w:noWrap/>
          </w:tcPr>
          <w:p w14:paraId="6B9BDBFF" w14:textId="77777777" w:rsidR="00AC042F" w:rsidRPr="006663D5" w:rsidRDefault="00AC042F" w:rsidP="00AC042F">
            <w:pPr>
              <w:pStyle w:val="ARtabletext"/>
            </w:pPr>
            <w:r w:rsidRPr="000A30CD">
              <w:rPr>
                <w:rFonts w:eastAsia="Times New Roman"/>
                <w:color w:val="000000"/>
                <w:sz w:val="16"/>
                <w:szCs w:val="16"/>
              </w:rPr>
              <w:t xml:space="preserve">Review: </w:t>
            </w:r>
            <w:r w:rsidR="00F41E76">
              <w:rPr>
                <w:rFonts w:eastAsia="Times New Roman"/>
                <w:color w:val="000000"/>
                <w:sz w:val="16"/>
                <w:szCs w:val="16"/>
              </w:rPr>
              <w:t>a</w:t>
            </w:r>
            <w:r w:rsidRPr="000A30CD">
              <w:rPr>
                <w:rFonts w:eastAsia="Times New Roman"/>
                <w:color w:val="000000"/>
                <w:sz w:val="16"/>
                <w:szCs w:val="16"/>
              </w:rPr>
              <w:t xml:space="preserve">dministration of the </w:t>
            </w:r>
            <w:r w:rsidRPr="00E34BA4">
              <w:rPr>
                <w:rFonts w:eastAsia="Times New Roman"/>
                <w:i/>
                <w:iCs/>
                <w:color w:val="000000"/>
                <w:sz w:val="16"/>
                <w:szCs w:val="16"/>
              </w:rPr>
              <w:t>Working with Children Act 2005</w:t>
            </w:r>
          </w:p>
        </w:tc>
        <w:tc>
          <w:tcPr>
            <w:tcW w:w="0" w:type="pct"/>
            <w:noWrap/>
          </w:tcPr>
          <w:p w14:paraId="5553A625" w14:textId="77777777" w:rsidR="00AC042F" w:rsidRPr="006663D5" w:rsidRDefault="00AC042F" w:rsidP="00AC042F">
            <w:pPr>
              <w:pStyle w:val="ARtabletextright"/>
            </w:pPr>
            <w:r w:rsidRPr="000A30CD">
              <w:rPr>
                <w:rFonts w:eastAsia="Times New Roman"/>
                <w:color w:val="000000"/>
                <w:sz w:val="16"/>
                <w:szCs w:val="16"/>
              </w:rPr>
              <w:t>68,000.00</w:t>
            </w:r>
          </w:p>
        </w:tc>
        <w:tc>
          <w:tcPr>
            <w:tcW w:w="0" w:type="pct"/>
            <w:noWrap/>
          </w:tcPr>
          <w:p w14:paraId="0519B17C" w14:textId="77777777" w:rsidR="00AC042F" w:rsidRPr="006663D5" w:rsidRDefault="00AC042F" w:rsidP="00AC042F">
            <w:pPr>
              <w:pStyle w:val="ARtabletextright"/>
            </w:pPr>
            <w:r w:rsidRPr="000A30CD">
              <w:rPr>
                <w:rFonts w:eastAsia="Times New Roman"/>
                <w:color w:val="000000"/>
                <w:sz w:val="16"/>
                <w:szCs w:val="16"/>
              </w:rPr>
              <w:t>23,099.00</w:t>
            </w:r>
          </w:p>
        </w:tc>
        <w:tc>
          <w:tcPr>
            <w:tcW w:w="0" w:type="pct"/>
            <w:noWrap/>
          </w:tcPr>
          <w:p w14:paraId="45BAA5EF" w14:textId="77777777" w:rsidR="00AC042F" w:rsidRPr="006663D5" w:rsidRDefault="00AC042F" w:rsidP="00AC042F">
            <w:pPr>
              <w:pStyle w:val="ARtabletextright"/>
            </w:pPr>
            <w:r w:rsidRPr="000A30CD">
              <w:rPr>
                <w:rFonts w:eastAsia="Times New Roman"/>
                <w:color w:val="000000"/>
                <w:sz w:val="16"/>
                <w:szCs w:val="16"/>
              </w:rPr>
              <w:t>44,901.00</w:t>
            </w:r>
          </w:p>
        </w:tc>
      </w:tr>
      <w:tr w:rsidR="00AC042F" w:rsidRPr="006663D5" w14:paraId="439A736C" w14:textId="77777777" w:rsidTr="00A5415F">
        <w:trPr>
          <w:trHeight w:val="300"/>
        </w:trPr>
        <w:tc>
          <w:tcPr>
            <w:tcW w:w="0" w:type="pct"/>
            <w:noWrap/>
          </w:tcPr>
          <w:p w14:paraId="58EE7724" w14:textId="77777777" w:rsidR="00AC042F" w:rsidRPr="006663D5" w:rsidRDefault="00AC042F" w:rsidP="00AC042F">
            <w:pPr>
              <w:pStyle w:val="ARtabletext"/>
            </w:pPr>
            <w:r w:rsidRPr="001E0936">
              <w:rPr>
                <w:rFonts w:eastAsia="Times New Roman"/>
                <w:color w:val="000000"/>
                <w:sz w:val="16"/>
                <w:szCs w:val="16"/>
              </w:rPr>
              <w:t>Program assessment and evaluation</w:t>
            </w:r>
          </w:p>
        </w:tc>
        <w:tc>
          <w:tcPr>
            <w:tcW w:w="0" w:type="pct"/>
            <w:noWrap/>
          </w:tcPr>
          <w:p w14:paraId="4F5D739F" w14:textId="77777777" w:rsidR="00AC042F" w:rsidRPr="006663D5" w:rsidRDefault="00AC042F" w:rsidP="00AC042F">
            <w:pPr>
              <w:pStyle w:val="ARtabletext"/>
            </w:pPr>
            <w:r w:rsidRPr="000A30CD">
              <w:rPr>
                <w:rFonts w:eastAsia="Times New Roman"/>
                <w:color w:val="000000"/>
                <w:sz w:val="16"/>
                <w:szCs w:val="16"/>
              </w:rPr>
              <w:t>IPP C</w:t>
            </w:r>
            <w:r w:rsidR="00F41E76" w:rsidRPr="000A30CD">
              <w:rPr>
                <w:rFonts w:eastAsia="Times New Roman"/>
                <w:color w:val="000000"/>
                <w:sz w:val="16"/>
                <w:szCs w:val="16"/>
              </w:rPr>
              <w:t>onsulting Pty Ltd</w:t>
            </w:r>
          </w:p>
        </w:tc>
        <w:tc>
          <w:tcPr>
            <w:tcW w:w="0" w:type="pct"/>
            <w:noWrap/>
          </w:tcPr>
          <w:p w14:paraId="4F2988E8" w14:textId="77777777" w:rsidR="00AC042F" w:rsidRPr="006663D5" w:rsidRDefault="00AC042F" w:rsidP="00AC042F">
            <w:pPr>
              <w:pStyle w:val="ARtabletext"/>
            </w:pPr>
            <w:r w:rsidRPr="000A30CD">
              <w:rPr>
                <w:rFonts w:eastAsia="Times New Roman"/>
                <w:color w:val="000000"/>
                <w:sz w:val="16"/>
                <w:szCs w:val="16"/>
              </w:rPr>
              <w:t xml:space="preserve">Security </w:t>
            </w:r>
            <w:r w:rsidR="00F41E76">
              <w:rPr>
                <w:rFonts w:eastAsia="Times New Roman"/>
                <w:color w:val="000000"/>
                <w:sz w:val="16"/>
                <w:szCs w:val="16"/>
              </w:rPr>
              <w:t>r</w:t>
            </w:r>
            <w:r w:rsidRPr="000A30CD">
              <w:rPr>
                <w:rFonts w:eastAsia="Times New Roman"/>
                <w:color w:val="000000"/>
                <w:sz w:val="16"/>
                <w:szCs w:val="16"/>
              </w:rPr>
              <w:t xml:space="preserve">eview: </w:t>
            </w:r>
            <w:r w:rsidR="00F41E76">
              <w:rPr>
                <w:rFonts w:eastAsia="Times New Roman"/>
                <w:color w:val="000000"/>
                <w:sz w:val="16"/>
                <w:szCs w:val="16"/>
              </w:rPr>
              <w:t>s</w:t>
            </w:r>
            <w:r w:rsidRPr="000A30CD">
              <w:rPr>
                <w:rFonts w:eastAsia="Times New Roman"/>
                <w:color w:val="000000"/>
                <w:sz w:val="16"/>
                <w:szCs w:val="16"/>
              </w:rPr>
              <w:t xml:space="preserve">upport and </w:t>
            </w:r>
            <w:r w:rsidR="00F41E76">
              <w:rPr>
                <w:rFonts w:eastAsia="Times New Roman"/>
                <w:color w:val="000000"/>
                <w:sz w:val="16"/>
                <w:szCs w:val="16"/>
              </w:rPr>
              <w:t>s</w:t>
            </w:r>
            <w:r w:rsidRPr="000A30CD">
              <w:rPr>
                <w:rFonts w:eastAsia="Times New Roman"/>
                <w:color w:val="000000"/>
                <w:sz w:val="16"/>
                <w:szCs w:val="16"/>
              </w:rPr>
              <w:t xml:space="preserve">afety </w:t>
            </w:r>
            <w:r w:rsidR="00F41E76">
              <w:rPr>
                <w:rFonts w:eastAsia="Times New Roman"/>
                <w:color w:val="000000"/>
                <w:sz w:val="16"/>
                <w:szCs w:val="16"/>
              </w:rPr>
              <w:t>h</w:t>
            </w:r>
            <w:r w:rsidRPr="000A30CD">
              <w:rPr>
                <w:rFonts w:eastAsia="Times New Roman"/>
                <w:color w:val="000000"/>
                <w:sz w:val="16"/>
                <w:szCs w:val="16"/>
              </w:rPr>
              <w:t>ubs</w:t>
            </w:r>
          </w:p>
        </w:tc>
        <w:tc>
          <w:tcPr>
            <w:tcW w:w="0" w:type="pct"/>
            <w:noWrap/>
          </w:tcPr>
          <w:p w14:paraId="07760693" w14:textId="77777777" w:rsidR="00AC042F" w:rsidRPr="006663D5" w:rsidRDefault="00AC042F" w:rsidP="00AC042F">
            <w:pPr>
              <w:pStyle w:val="ARtabletextright"/>
            </w:pPr>
            <w:r w:rsidRPr="000A30CD">
              <w:rPr>
                <w:rFonts w:eastAsia="Times New Roman"/>
                <w:color w:val="000000"/>
                <w:sz w:val="16"/>
                <w:szCs w:val="16"/>
              </w:rPr>
              <w:t>25,500.00</w:t>
            </w:r>
          </w:p>
        </w:tc>
        <w:tc>
          <w:tcPr>
            <w:tcW w:w="0" w:type="pct"/>
            <w:noWrap/>
          </w:tcPr>
          <w:p w14:paraId="55E6E428" w14:textId="77777777" w:rsidR="00AC042F" w:rsidRPr="006663D5" w:rsidRDefault="00AC042F" w:rsidP="00AC042F">
            <w:pPr>
              <w:pStyle w:val="ARtabletextright"/>
            </w:pPr>
            <w:r w:rsidRPr="000A30CD">
              <w:rPr>
                <w:rFonts w:eastAsia="Times New Roman"/>
                <w:color w:val="000000"/>
                <w:sz w:val="16"/>
                <w:szCs w:val="16"/>
              </w:rPr>
              <w:t>25,500.00</w:t>
            </w:r>
          </w:p>
        </w:tc>
        <w:tc>
          <w:tcPr>
            <w:tcW w:w="0" w:type="pct"/>
            <w:noWrap/>
          </w:tcPr>
          <w:p w14:paraId="15CBB990"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2A775097" w14:textId="77777777" w:rsidTr="00A5415F">
        <w:trPr>
          <w:trHeight w:val="300"/>
        </w:trPr>
        <w:tc>
          <w:tcPr>
            <w:tcW w:w="0" w:type="pct"/>
            <w:noWrap/>
          </w:tcPr>
          <w:p w14:paraId="174AD339" w14:textId="77777777" w:rsidR="00AC042F" w:rsidRPr="006663D5" w:rsidRDefault="00AC042F" w:rsidP="00AC042F">
            <w:pPr>
              <w:pStyle w:val="ARtabletext"/>
            </w:pPr>
            <w:r w:rsidRPr="001E0936">
              <w:rPr>
                <w:rFonts w:eastAsia="Times New Roman"/>
                <w:color w:val="000000"/>
                <w:sz w:val="16"/>
                <w:szCs w:val="16"/>
              </w:rPr>
              <w:t>Program assessment and evaluation</w:t>
            </w:r>
          </w:p>
        </w:tc>
        <w:tc>
          <w:tcPr>
            <w:tcW w:w="0" w:type="pct"/>
            <w:noWrap/>
          </w:tcPr>
          <w:p w14:paraId="2C95F525" w14:textId="77777777" w:rsidR="00AC042F" w:rsidRPr="006663D5" w:rsidRDefault="00F41E76" w:rsidP="00AC042F">
            <w:pPr>
              <w:pStyle w:val="ARtabletext"/>
            </w:pPr>
            <w:r w:rsidRPr="000A30CD">
              <w:rPr>
                <w:rFonts w:eastAsia="Times New Roman"/>
                <w:color w:val="000000"/>
                <w:sz w:val="16"/>
                <w:szCs w:val="16"/>
              </w:rPr>
              <w:t>John Elcock</w:t>
            </w:r>
          </w:p>
        </w:tc>
        <w:tc>
          <w:tcPr>
            <w:tcW w:w="0" w:type="pct"/>
            <w:noWrap/>
          </w:tcPr>
          <w:p w14:paraId="0FEA5234" w14:textId="77777777" w:rsidR="00AC042F" w:rsidRPr="006663D5" w:rsidRDefault="00AC042F" w:rsidP="00AC042F">
            <w:pPr>
              <w:pStyle w:val="ARtabletext"/>
            </w:pPr>
            <w:r w:rsidRPr="000A30CD">
              <w:rPr>
                <w:rFonts w:eastAsia="Times New Roman"/>
                <w:color w:val="000000"/>
                <w:sz w:val="16"/>
                <w:szCs w:val="16"/>
              </w:rPr>
              <w:t xml:space="preserve">Review: </w:t>
            </w:r>
            <w:r w:rsidR="00F41E76">
              <w:rPr>
                <w:rFonts w:eastAsia="Times New Roman"/>
                <w:color w:val="000000"/>
                <w:sz w:val="16"/>
                <w:szCs w:val="16"/>
              </w:rPr>
              <w:t>r</w:t>
            </w:r>
            <w:r w:rsidR="00F41E76" w:rsidRPr="000A30CD">
              <w:rPr>
                <w:rFonts w:eastAsia="Times New Roman"/>
                <w:color w:val="000000"/>
                <w:sz w:val="16"/>
                <w:szCs w:val="16"/>
              </w:rPr>
              <w:t xml:space="preserve">elationship </w:t>
            </w:r>
            <w:r w:rsidRPr="000A30CD">
              <w:rPr>
                <w:rFonts w:eastAsia="Times New Roman"/>
                <w:color w:val="000000"/>
                <w:sz w:val="16"/>
                <w:szCs w:val="16"/>
              </w:rPr>
              <w:t xml:space="preserve">of </w:t>
            </w:r>
            <w:r w:rsidR="00F41E76">
              <w:rPr>
                <w:rFonts w:eastAsia="Times New Roman"/>
                <w:color w:val="000000"/>
                <w:sz w:val="16"/>
                <w:szCs w:val="16"/>
              </w:rPr>
              <w:t>g</w:t>
            </w:r>
            <w:r w:rsidRPr="000A30CD">
              <w:rPr>
                <w:rFonts w:eastAsia="Times New Roman"/>
                <w:color w:val="000000"/>
                <w:sz w:val="16"/>
                <w:szCs w:val="16"/>
              </w:rPr>
              <w:t xml:space="preserve">eneral </w:t>
            </w:r>
            <w:r w:rsidR="00F41E76">
              <w:rPr>
                <w:rFonts w:eastAsia="Times New Roman"/>
                <w:color w:val="000000"/>
                <w:sz w:val="16"/>
                <w:szCs w:val="16"/>
              </w:rPr>
              <w:t>p</w:t>
            </w:r>
            <w:r w:rsidRPr="000A30CD">
              <w:rPr>
                <w:rFonts w:eastAsia="Times New Roman"/>
                <w:color w:val="000000"/>
                <w:sz w:val="16"/>
                <w:szCs w:val="16"/>
              </w:rPr>
              <w:t>ractitioners and Beaufort and Skipton Health Service</w:t>
            </w:r>
          </w:p>
        </w:tc>
        <w:tc>
          <w:tcPr>
            <w:tcW w:w="0" w:type="pct"/>
            <w:noWrap/>
          </w:tcPr>
          <w:p w14:paraId="2B604C7D" w14:textId="77777777" w:rsidR="00AC042F" w:rsidRPr="006663D5" w:rsidRDefault="00AC042F" w:rsidP="00AC042F">
            <w:pPr>
              <w:pStyle w:val="ARtabletextright"/>
            </w:pPr>
            <w:r w:rsidRPr="000A30CD">
              <w:rPr>
                <w:rFonts w:eastAsia="Times New Roman"/>
                <w:color w:val="000000"/>
                <w:sz w:val="16"/>
                <w:szCs w:val="16"/>
              </w:rPr>
              <w:t>10,500.00</w:t>
            </w:r>
          </w:p>
        </w:tc>
        <w:tc>
          <w:tcPr>
            <w:tcW w:w="0" w:type="pct"/>
            <w:noWrap/>
          </w:tcPr>
          <w:p w14:paraId="286328B6" w14:textId="77777777" w:rsidR="00AC042F" w:rsidRPr="006663D5" w:rsidRDefault="00AC042F" w:rsidP="00AC042F">
            <w:pPr>
              <w:pStyle w:val="ARtabletextright"/>
            </w:pPr>
            <w:r w:rsidRPr="000A30CD">
              <w:rPr>
                <w:rFonts w:eastAsia="Times New Roman"/>
                <w:color w:val="000000"/>
                <w:sz w:val="16"/>
                <w:szCs w:val="16"/>
              </w:rPr>
              <w:t>10,000.00</w:t>
            </w:r>
          </w:p>
        </w:tc>
        <w:tc>
          <w:tcPr>
            <w:tcW w:w="0" w:type="pct"/>
            <w:noWrap/>
          </w:tcPr>
          <w:p w14:paraId="7F1D84A9"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1CC1F2C2" w14:textId="77777777" w:rsidTr="00E34BA4">
        <w:trPr>
          <w:trHeight w:val="300"/>
        </w:trPr>
        <w:tc>
          <w:tcPr>
            <w:tcW w:w="0" w:type="pct"/>
            <w:noWrap/>
          </w:tcPr>
          <w:p w14:paraId="3E5B7ACF" w14:textId="77777777" w:rsidR="00AC042F" w:rsidRPr="006663D5" w:rsidRDefault="00AC042F" w:rsidP="00AC042F">
            <w:pPr>
              <w:pStyle w:val="ARtabletext"/>
            </w:pPr>
            <w:r w:rsidRPr="001E0936">
              <w:rPr>
                <w:rFonts w:eastAsia="Times New Roman"/>
                <w:color w:val="000000"/>
                <w:sz w:val="16"/>
                <w:szCs w:val="16"/>
              </w:rPr>
              <w:t>Program assessment and evaluation</w:t>
            </w:r>
          </w:p>
        </w:tc>
        <w:tc>
          <w:tcPr>
            <w:tcW w:w="0" w:type="pct"/>
            <w:noWrap/>
          </w:tcPr>
          <w:p w14:paraId="56833BC0" w14:textId="77777777" w:rsidR="00AC042F" w:rsidRPr="006663D5" w:rsidRDefault="00AC042F" w:rsidP="00AC042F">
            <w:pPr>
              <w:pStyle w:val="ARtabletext"/>
            </w:pPr>
            <w:r w:rsidRPr="000A30CD">
              <w:rPr>
                <w:rFonts w:eastAsia="Times New Roman"/>
                <w:color w:val="000000"/>
                <w:sz w:val="16"/>
                <w:szCs w:val="16"/>
              </w:rPr>
              <w:t xml:space="preserve">FBG </w:t>
            </w:r>
            <w:r w:rsidR="00F41E76" w:rsidRPr="000A30CD">
              <w:rPr>
                <w:rFonts w:eastAsia="Times New Roman"/>
                <w:color w:val="000000"/>
                <w:sz w:val="16"/>
                <w:szCs w:val="16"/>
              </w:rPr>
              <w:t>Group</w:t>
            </w:r>
          </w:p>
        </w:tc>
        <w:tc>
          <w:tcPr>
            <w:tcW w:w="0" w:type="pct"/>
            <w:noWrap/>
          </w:tcPr>
          <w:p w14:paraId="03982BD1" w14:textId="77777777" w:rsidR="00AC042F" w:rsidRPr="006663D5" w:rsidRDefault="00AC042F" w:rsidP="00AC042F">
            <w:pPr>
              <w:pStyle w:val="ARtabletext"/>
            </w:pPr>
            <w:r w:rsidRPr="000A30CD">
              <w:rPr>
                <w:rFonts w:eastAsia="Times New Roman"/>
                <w:color w:val="000000"/>
                <w:sz w:val="16"/>
                <w:szCs w:val="16"/>
              </w:rPr>
              <w:t xml:space="preserve">Review of </w:t>
            </w:r>
            <w:r w:rsidR="00F41E76" w:rsidRPr="000A30CD">
              <w:rPr>
                <w:rFonts w:eastAsia="Times New Roman"/>
                <w:color w:val="000000"/>
                <w:sz w:val="16"/>
                <w:szCs w:val="16"/>
              </w:rPr>
              <w:t>occupational violence training</w:t>
            </w:r>
          </w:p>
        </w:tc>
        <w:tc>
          <w:tcPr>
            <w:tcW w:w="0" w:type="pct"/>
            <w:noWrap/>
          </w:tcPr>
          <w:p w14:paraId="7FD59616" w14:textId="77777777" w:rsidR="00AC042F" w:rsidRPr="006663D5" w:rsidRDefault="00AC042F" w:rsidP="00AC042F">
            <w:pPr>
              <w:pStyle w:val="ARtabletextright"/>
            </w:pPr>
            <w:r w:rsidRPr="000A30CD">
              <w:rPr>
                <w:rFonts w:eastAsia="Times New Roman"/>
                <w:color w:val="000000"/>
                <w:sz w:val="16"/>
                <w:szCs w:val="16"/>
              </w:rPr>
              <w:t>45,454.00</w:t>
            </w:r>
          </w:p>
        </w:tc>
        <w:tc>
          <w:tcPr>
            <w:tcW w:w="0" w:type="pct"/>
            <w:noWrap/>
          </w:tcPr>
          <w:p w14:paraId="3FEBCDCB" w14:textId="77777777" w:rsidR="00AC042F" w:rsidRPr="006663D5" w:rsidRDefault="00AC042F" w:rsidP="00AC042F">
            <w:pPr>
              <w:pStyle w:val="ARtabletextright"/>
            </w:pPr>
            <w:r w:rsidRPr="000A30CD">
              <w:rPr>
                <w:rFonts w:eastAsia="Times New Roman"/>
                <w:color w:val="000000"/>
                <w:sz w:val="16"/>
                <w:szCs w:val="16"/>
              </w:rPr>
              <w:t>20,699.00</w:t>
            </w:r>
          </w:p>
        </w:tc>
        <w:tc>
          <w:tcPr>
            <w:tcW w:w="0" w:type="pct"/>
            <w:noWrap/>
          </w:tcPr>
          <w:p w14:paraId="5442ABB4"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1F19B5CE" w14:textId="77777777" w:rsidTr="00A5415F">
        <w:trPr>
          <w:trHeight w:val="300"/>
        </w:trPr>
        <w:tc>
          <w:tcPr>
            <w:tcW w:w="0" w:type="pct"/>
            <w:noWrap/>
          </w:tcPr>
          <w:p w14:paraId="578AB233" w14:textId="77777777" w:rsidR="00AC042F" w:rsidRPr="006663D5" w:rsidRDefault="00AC042F" w:rsidP="00AC042F">
            <w:pPr>
              <w:pStyle w:val="ARtabletext"/>
            </w:pPr>
            <w:r w:rsidRPr="001E0936">
              <w:rPr>
                <w:rFonts w:eastAsia="Times New Roman"/>
                <w:color w:val="000000"/>
                <w:sz w:val="16"/>
                <w:szCs w:val="16"/>
              </w:rPr>
              <w:t>Program assessment and evaluation</w:t>
            </w:r>
          </w:p>
        </w:tc>
        <w:tc>
          <w:tcPr>
            <w:tcW w:w="0" w:type="pct"/>
            <w:noWrap/>
          </w:tcPr>
          <w:p w14:paraId="7EE3316E" w14:textId="77777777" w:rsidR="00AC042F" w:rsidRPr="006663D5" w:rsidRDefault="00AC042F" w:rsidP="00AC042F">
            <w:pPr>
              <w:pStyle w:val="ARtabletext"/>
            </w:pPr>
            <w:r w:rsidRPr="000A30CD">
              <w:rPr>
                <w:rFonts w:eastAsia="Times New Roman"/>
                <w:color w:val="000000"/>
                <w:sz w:val="16"/>
                <w:szCs w:val="16"/>
              </w:rPr>
              <w:t>H</w:t>
            </w:r>
            <w:r w:rsidR="00F41E76" w:rsidRPr="000A30CD">
              <w:rPr>
                <w:rFonts w:eastAsia="Times New Roman"/>
                <w:color w:val="000000"/>
                <w:sz w:val="16"/>
                <w:szCs w:val="16"/>
              </w:rPr>
              <w:t>eather Michaels And Associates</w:t>
            </w:r>
          </w:p>
        </w:tc>
        <w:tc>
          <w:tcPr>
            <w:tcW w:w="0" w:type="pct"/>
            <w:noWrap/>
          </w:tcPr>
          <w:p w14:paraId="6CEC402B" w14:textId="77777777" w:rsidR="00AC042F" w:rsidRPr="006663D5" w:rsidRDefault="00AC042F" w:rsidP="00AC042F">
            <w:pPr>
              <w:pStyle w:val="ARtabletext"/>
            </w:pPr>
            <w:r w:rsidRPr="000A30CD">
              <w:rPr>
                <w:rFonts w:eastAsia="Times New Roman"/>
                <w:color w:val="000000"/>
                <w:sz w:val="16"/>
                <w:szCs w:val="16"/>
              </w:rPr>
              <w:t xml:space="preserve">Review: </w:t>
            </w:r>
            <w:r w:rsidR="00F41E76" w:rsidRPr="000A30CD">
              <w:rPr>
                <w:rFonts w:eastAsia="Times New Roman"/>
                <w:color w:val="000000"/>
                <w:sz w:val="16"/>
                <w:szCs w:val="16"/>
              </w:rPr>
              <w:t xml:space="preserve">service delivery practice and management at </w:t>
            </w:r>
            <w:r w:rsidRPr="000A30CD">
              <w:rPr>
                <w:rFonts w:eastAsia="Times New Roman"/>
                <w:color w:val="000000"/>
                <w:sz w:val="16"/>
                <w:szCs w:val="16"/>
              </w:rPr>
              <w:t xml:space="preserve">Thornbury </w:t>
            </w:r>
            <w:r w:rsidR="00F41E76" w:rsidRPr="000A30CD">
              <w:rPr>
                <w:rFonts w:eastAsia="Times New Roman"/>
                <w:color w:val="000000"/>
                <w:sz w:val="16"/>
                <w:szCs w:val="16"/>
              </w:rPr>
              <w:t>out</w:t>
            </w:r>
            <w:r w:rsidR="00F41E76">
              <w:rPr>
                <w:rFonts w:eastAsia="Times New Roman"/>
                <w:color w:val="000000"/>
                <w:sz w:val="16"/>
                <w:szCs w:val="16"/>
              </w:rPr>
              <w:t>-</w:t>
            </w:r>
            <w:r w:rsidR="00F41E76" w:rsidRPr="000A30CD">
              <w:rPr>
                <w:rFonts w:eastAsia="Times New Roman"/>
                <w:color w:val="000000"/>
                <w:sz w:val="16"/>
                <w:szCs w:val="16"/>
              </w:rPr>
              <w:t>of</w:t>
            </w:r>
            <w:r w:rsidR="00F41E76">
              <w:rPr>
                <w:rFonts w:eastAsia="Times New Roman"/>
                <w:color w:val="000000"/>
                <w:sz w:val="16"/>
                <w:szCs w:val="16"/>
              </w:rPr>
              <w:t>-</w:t>
            </w:r>
            <w:r w:rsidR="00F41E76" w:rsidRPr="000A30CD">
              <w:rPr>
                <w:rFonts w:eastAsia="Times New Roman"/>
                <w:color w:val="000000"/>
                <w:sz w:val="16"/>
                <w:szCs w:val="16"/>
              </w:rPr>
              <w:t>home care residential unit</w:t>
            </w:r>
          </w:p>
        </w:tc>
        <w:tc>
          <w:tcPr>
            <w:tcW w:w="0" w:type="pct"/>
            <w:noWrap/>
          </w:tcPr>
          <w:p w14:paraId="3E66B186" w14:textId="77777777" w:rsidR="00AC042F" w:rsidRPr="006663D5" w:rsidRDefault="00AC042F" w:rsidP="00AC042F">
            <w:pPr>
              <w:pStyle w:val="ARtabletextright"/>
            </w:pPr>
            <w:r w:rsidRPr="000A30CD">
              <w:rPr>
                <w:rFonts w:eastAsia="Times New Roman"/>
                <w:color w:val="000000"/>
                <w:sz w:val="16"/>
                <w:szCs w:val="16"/>
              </w:rPr>
              <w:t>23,727.00</w:t>
            </w:r>
          </w:p>
        </w:tc>
        <w:tc>
          <w:tcPr>
            <w:tcW w:w="0" w:type="pct"/>
            <w:noWrap/>
          </w:tcPr>
          <w:p w14:paraId="04B53DEC" w14:textId="77777777" w:rsidR="00AC042F" w:rsidRPr="006663D5" w:rsidRDefault="00AC042F" w:rsidP="00AC042F">
            <w:pPr>
              <w:pStyle w:val="ARtabletextright"/>
            </w:pPr>
            <w:r w:rsidRPr="000A30CD">
              <w:rPr>
                <w:rFonts w:eastAsia="Times New Roman"/>
                <w:color w:val="000000"/>
                <w:sz w:val="16"/>
                <w:szCs w:val="16"/>
              </w:rPr>
              <w:t>24,220.00</w:t>
            </w:r>
          </w:p>
        </w:tc>
        <w:tc>
          <w:tcPr>
            <w:tcW w:w="0" w:type="pct"/>
            <w:noWrap/>
          </w:tcPr>
          <w:p w14:paraId="38152ADA"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60E3EBD4" w14:textId="77777777" w:rsidTr="00E34BA4">
        <w:trPr>
          <w:trHeight w:val="300"/>
        </w:trPr>
        <w:tc>
          <w:tcPr>
            <w:tcW w:w="0" w:type="pct"/>
            <w:noWrap/>
          </w:tcPr>
          <w:p w14:paraId="386053B0" w14:textId="77777777" w:rsidR="00AC042F" w:rsidRPr="006663D5" w:rsidRDefault="00AC042F" w:rsidP="00AC042F">
            <w:pPr>
              <w:pStyle w:val="ARtabletext"/>
            </w:pPr>
            <w:r w:rsidRPr="001E0936">
              <w:rPr>
                <w:rFonts w:eastAsia="Times New Roman"/>
                <w:color w:val="000000"/>
                <w:sz w:val="16"/>
                <w:szCs w:val="16"/>
              </w:rPr>
              <w:t>Program assessment and evaluation</w:t>
            </w:r>
          </w:p>
        </w:tc>
        <w:tc>
          <w:tcPr>
            <w:tcW w:w="0" w:type="pct"/>
            <w:noWrap/>
          </w:tcPr>
          <w:p w14:paraId="62775516" w14:textId="77777777" w:rsidR="00AC042F" w:rsidRPr="006663D5" w:rsidRDefault="00F41E76" w:rsidP="00AC042F">
            <w:pPr>
              <w:pStyle w:val="ARtabletext"/>
            </w:pPr>
            <w:r w:rsidRPr="000A30CD">
              <w:rPr>
                <w:rFonts w:eastAsia="Times New Roman"/>
                <w:color w:val="000000"/>
                <w:sz w:val="16"/>
                <w:szCs w:val="16"/>
              </w:rPr>
              <w:t>Xavier Pacific Health</w:t>
            </w:r>
          </w:p>
        </w:tc>
        <w:tc>
          <w:tcPr>
            <w:tcW w:w="0" w:type="pct"/>
            <w:noWrap/>
          </w:tcPr>
          <w:p w14:paraId="17081824" w14:textId="77777777" w:rsidR="00AC042F" w:rsidRPr="006663D5" w:rsidRDefault="00AC042F" w:rsidP="00AC042F">
            <w:pPr>
              <w:pStyle w:val="ARtabletext"/>
            </w:pPr>
            <w:r w:rsidRPr="000A30CD">
              <w:rPr>
                <w:rFonts w:eastAsia="Times New Roman"/>
                <w:color w:val="000000"/>
                <w:sz w:val="16"/>
                <w:szCs w:val="16"/>
              </w:rPr>
              <w:t>Heart Health Initiatives Project</w:t>
            </w:r>
          </w:p>
        </w:tc>
        <w:tc>
          <w:tcPr>
            <w:tcW w:w="0" w:type="pct"/>
            <w:noWrap/>
          </w:tcPr>
          <w:p w14:paraId="2C92ED2E" w14:textId="77777777" w:rsidR="00AC042F" w:rsidRPr="006663D5" w:rsidRDefault="00AC042F" w:rsidP="00AC042F">
            <w:pPr>
              <w:pStyle w:val="ARtabletextright"/>
            </w:pPr>
            <w:r w:rsidRPr="000A30CD">
              <w:rPr>
                <w:rFonts w:eastAsia="Times New Roman"/>
                <w:color w:val="000000"/>
                <w:sz w:val="16"/>
                <w:szCs w:val="16"/>
              </w:rPr>
              <w:t>245,455.00</w:t>
            </w:r>
          </w:p>
        </w:tc>
        <w:tc>
          <w:tcPr>
            <w:tcW w:w="0" w:type="pct"/>
            <w:noWrap/>
          </w:tcPr>
          <w:p w14:paraId="1BA1B7DC" w14:textId="77777777" w:rsidR="00AC042F" w:rsidRPr="006663D5" w:rsidRDefault="00AC042F" w:rsidP="00AC042F">
            <w:pPr>
              <w:pStyle w:val="ARtabletextright"/>
            </w:pPr>
            <w:r w:rsidRPr="000A30CD">
              <w:rPr>
                <w:rFonts w:eastAsia="Times New Roman"/>
                <w:color w:val="000000"/>
                <w:sz w:val="16"/>
                <w:szCs w:val="16"/>
              </w:rPr>
              <w:t>26,000.00</w:t>
            </w:r>
          </w:p>
        </w:tc>
        <w:tc>
          <w:tcPr>
            <w:tcW w:w="0" w:type="pct"/>
            <w:noWrap/>
          </w:tcPr>
          <w:p w14:paraId="2617249A"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324D4335" w14:textId="77777777" w:rsidTr="00E34BA4">
        <w:trPr>
          <w:trHeight w:val="300"/>
        </w:trPr>
        <w:tc>
          <w:tcPr>
            <w:tcW w:w="0" w:type="pct"/>
            <w:noWrap/>
          </w:tcPr>
          <w:p w14:paraId="22DB1396" w14:textId="77777777" w:rsidR="00AC042F" w:rsidRPr="006663D5" w:rsidRDefault="00AC042F" w:rsidP="00AC042F">
            <w:pPr>
              <w:pStyle w:val="ARtabletext"/>
            </w:pPr>
            <w:r w:rsidRPr="001E0936">
              <w:rPr>
                <w:rFonts w:eastAsia="Times New Roman"/>
                <w:color w:val="000000"/>
                <w:sz w:val="16"/>
                <w:szCs w:val="16"/>
              </w:rPr>
              <w:t>Program assessment and evaluation</w:t>
            </w:r>
          </w:p>
        </w:tc>
        <w:tc>
          <w:tcPr>
            <w:tcW w:w="0" w:type="pct"/>
            <w:noWrap/>
          </w:tcPr>
          <w:p w14:paraId="498B26BA" w14:textId="77777777" w:rsidR="00AC042F" w:rsidRPr="006663D5" w:rsidRDefault="00F41E76" w:rsidP="00AC042F">
            <w:pPr>
              <w:pStyle w:val="ARtabletext"/>
            </w:pPr>
            <w:r w:rsidRPr="000A30CD">
              <w:rPr>
                <w:rFonts w:eastAsia="Times New Roman"/>
                <w:color w:val="000000"/>
                <w:sz w:val="16"/>
                <w:szCs w:val="16"/>
              </w:rPr>
              <w:t>Landell</w:t>
            </w:r>
          </w:p>
        </w:tc>
        <w:tc>
          <w:tcPr>
            <w:tcW w:w="0" w:type="pct"/>
            <w:noWrap/>
          </w:tcPr>
          <w:p w14:paraId="7A59811D" w14:textId="77777777" w:rsidR="00AC042F" w:rsidRPr="006663D5" w:rsidRDefault="00AC042F" w:rsidP="00AC042F">
            <w:pPr>
              <w:pStyle w:val="ARtabletext"/>
            </w:pPr>
            <w:r w:rsidRPr="000A30CD">
              <w:rPr>
                <w:rFonts w:eastAsia="Times New Roman"/>
                <w:color w:val="000000"/>
                <w:sz w:val="16"/>
                <w:szCs w:val="16"/>
              </w:rPr>
              <w:t xml:space="preserve">Review: </w:t>
            </w:r>
            <w:r w:rsidR="00F41E76" w:rsidRPr="000A30CD">
              <w:rPr>
                <w:rFonts w:eastAsia="Times New Roman"/>
                <w:color w:val="000000"/>
                <w:sz w:val="16"/>
                <w:szCs w:val="16"/>
              </w:rPr>
              <w:t>sport and recreation camp leases</w:t>
            </w:r>
          </w:p>
        </w:tc>
        <w:tc>
          <w:tcPr>
            <w:tcW w:w="0" w:type="pct"/>
            <w:noWrap/>
          </w:tcPr>
          <w:p w14:paraId="56BB23AE" w14:textId="77777777" w:rsidR="00AC042F" w:rsidRPr="006663D5" w:rsidRDefault="00AC042F" w:rsidP="00AC042F">
            <w:pPr>
              <w:pStyle w:val="ARtabletextright"/>
            </w:pPr>
            <w:r w:rsidRPr="000A30CD">
              <w:rPr>
                <w:rFonts w:eastAsia="Times New Roman"/>
                <w:color w:val="000000"/>
                <w:sz w:val="16"/>
                <w:szCs w:val="16"/>
              </w:rPr>
              <w:t>89,497.00</w:t>
            </w:r>
          </w:p>
        </w:tc>
        <w:tc>
          <w:tcPr>
            <w:tcW w:w="0" w:type="pct"/>
            <w:noWrap/>
          </w:tcPr>
          <w:p w14:paraId="6454A4A6" w14:textId="77777777" w:rsidR="00AC042F" w:rsidRPr="006663D5" w:rsidRDefault="00AC042F" w:rsidP="00AC042F">
            <w:pPr>
              <w:pStyle w:val="ARtabletextright"/>
            </w:pPr>
            <w:r w:rsidRPr="000A30CD">
              <w:rPr>
                <w:rFonts w:eastAsia="Times New Roman"/>
                <w:color w:val="000000"/>
                <w:sz w:val="16"/>
                <w:szCs w:val="16"/>
              </w:rPr>
              <w:t>89,497.00</w:t>
            </w:r>
          </w:p>
        </w:tc>
        <w:tc>
          <w:tcPr>
            <w:tcW w:w="0" w:type="pct"/>
            <w:noWrap/>
          </w:tcPr>
          <w:p w14:paraId="1E3D575D"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754DF4B7" w14:textId="77777777" w:rsidTr="00A5415F">
        <w:trPr>
          <w:trHeight w:val="300"/>
        </w:trPr>
        <w:tc>
          <w:tcPr>
            <w:tcW w:w="0" w:type="pct"/>
            <w:noWrap/>
          </w:tcPr>
          <w:p w14:paraId="5918197A" w14:textId="77777777" w:rsidR="00AC042F" w:rsidRPr="006663D5" w:rsidRDefault="00AC042F" w:rsidP="00AC042F">
            <w:pPr>
              <w:pStyle w:val="ARtabletext"/>
            </w:pPr>
            <w:r w:rsidRPr="001E0936">
              <w:rPr>
                <w:rFonts w:eastAsia="Times New Roman"/>
                <w:color w:val="000000"/>
                <w:sz w:val="16"/>
                <w:szCs w:val="16"/>
              </w:rPr>
              <w:t>Program assessment and evaluation</w:t>
            </w:r>
          </w:p>
        </w:tc>
        <w:tc>
          <w:tcPr>
            <w:tcW w:w="0" w:type="pct"/>
            <w:noWrap/>
          </w:tcPr>
          <w:p w14:paraId="0C963344" w14:textId="77777777" w:rsidR="00AC042F" w:rsidRPr="006663D5" w:rsidRDefault="00F41E76" w:rsidP="00AC042F">
            <w:pPr>
              <w:pStyle w:val="ARtabletext"/>
            </w:pPr>
            <w:r w:rsidRPr="000A30CD">
              <w:rPr>
                <w:rFonts w:eastAsia="Times New Roman"/>
                <w:color w:val="000000"/>
                <w:sz w:val="16"/>
                <w:szCs w:val="16"/>
              </w:rPr>
              <w:t>Cube Group Management Consulting</w:t>
            </w:r>
          </w:p>
        </w:tc>
        <w:tc>
          <w:tcPr>
            <w:tcW w:w="0" w:type="pct"/>
            <w:noWrap/>
          </w:tcPr>
          <w:p w14:paraId="7939784A" w14:textId="77777777" w:rsidR="00AC042F" w:rsidRPr="006663D5" w:rsidRDefault="00AC042F" w:rsidP="00AC042F">
            <w:pPr>
              <w:pStyle w:val="ARtabletext"/>
            </w:pPr>
            <w:r w:rsidRPr="000A30CD">
              <w:rPr>
                <w:rFonts w:eastAsia="Times New Roman"/>
                <w:color w:val="000000"/>
                <w:sz w:val="16"/>
                <w:szCs w:val="16"/>
              </w:rPr>
              <w:t>Review and map</w:t>
            </w:r>
            <w:r w:rsidR="00F41E76">
              <w:rPr>
                <w:rFonts w:eastAsia="Times New Roman"/>
                <w:color w:val="000000"/>
                <w:sz w:val="16"/>
                <w:szCs w:val="16"/>
              </w:rPr>
              <w:t>:</w:t>
            </w:r>
            <w:r w:rsidRPr="000A30CD">
              <w:rPr>
                <w:rFonts w:eastAsia="Times New Roman"/>
                <w:color w:val="000000"/>
                <w:sz w:val="16"/>
                <w:szCs w:val="16"/>
              </w:rPr>
              <w:t xml:space="preserve"> matrix operating model, property and asset services</w:t>
            </w:r>
          </w:p>
        </w:tc>
        <w:tc>
          <w:tcPr>
            <w:tcW w:w="0" w:type="pct"/>
            <w:noWrap/>
          </w:tcPr>
          <w:p w14:paraId="2CC89EC1" w14:textId="77777777" w:rsidR="00AC042F" w:rsidRPr="006663D5" w:rsidRDefault="00AC042F" w:rsidP="00AC042F">
            <w:pPr>
              <w:pStyle w:val="ARtabletextright"/>
            </w:pPr>
            <w:r w:rsidRPr="000A30CD">
              <w:rPr>
                <w:rFonts w:eastAsia="Times New Roman"/>
                <w:color w:val="000000"/>
                <w:sz w:val="16"/>
                <w:szCs w:val="16"/>
              </w:rPr>
              <w:t>45,450.00</w:t>
            </w:r>
          </w:p>
        </w:tc>
        <w:tc>
          <w:tcPr>
            <w:tcW w:w="0" w:type="pct"/>
            <w:noWrap/>
          </w:tcPr>
          <w:p w14:paraId="277F0CEF" w14:textId="77777777" w:rsidR="00AC042F" w:rsidRPr="006663D5" w:rsidRDefault="00AC042F" w:rsidP="00AC042F">
            <w:pPr>
              <w:pStyle w:val="ARtabletextright"/>
            </w:pPr>
            <w:r w:rsidRPr="000A30CD">
              <w:rPr>
                <w:rFonts w:eastAsia="Times New Roman"/>
                <w:color w:val="000000"/>
                <w:sz w:val="16"/>
                <w:szCs w:val="16"/>
              </w:rPr>
              <w:t>11,632.00</w:t>
            </w:r>
          </w:p>
        </w:tc>
        <w:tc>
          <w:tcPr>
            <w:tcW w:w="0" w:type="pct"/>
            <w:noWrap/>
          </w:tcPr>
          <w:p w14:paraId="501FF6DA"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3B2383CF" w14:textId="77777777" w:rsidTr="00A5415F">
        <w:trPr>
          <w:trHeight w:val="300"/>
        </w:trPr>
        <w:tc>
          <w:tcPr>
            <w:tcW w:w="0" w:type="pct"/>
            <w:noWrap/>
          </w:tcPr>
          <w:p w14:paraId="4AB2036C" w14:textId="77777777" w:rsidR="00AC042F" w:rsidRPr="006663D5" w:rsidRDefault="00AC042F" w:rsidP="00AC042F">
            <w:pPr>
              <w:pStyle w:val="ARtabletext"/>
            </w:pPr>
            <w:r w:rsidRPr="001E0936">
              <w:rPr>
                <w:rFonts w:eastAsia="Times New Roman"/>
                <w:color w:val="000000"/>
                <w:sz w:val="16"/>
                <w:szCs w:val="16"/>
              </w:rPr>
              <w:t>Program assessment and evaluation</w:t>
            </w:r>
          </w:p>
        </w:tc>
        <w:tc>
          <w:tcPr>
            <w:tcW w:w="0" w:type="pct"/>
            <w:noWrap/>
          </w:tcPr>
          <w:p w14:paraId="2A3A124A" w14:textId="77777777" w:rsidR="00AC042F" w:rsidRPr="006663D5" w:rsidRDefault="00F41E76" w:rsidP="00AC042F">
            <w:pPr>
              <w:pStyle w:val="ARtabletext"/>
            </w:pPr>
            <w:r w:rsidRPr="000A30CD">
              <w:rPr>
                <w:rFonts w:eastAsia="Times New Roman"/>
                <w:color w:val="000000"/>
                <w:sz w:val="16"/>
                <w:szCs w:val="16"/>
              </w:rPr>
              <w:t>Ernst &amp; Young</w:t>
            </w:r>
          </w:p>
        </w:tc>
        <w:tc>
          <w:tcPr>
            <w:tcW w:w="0" w:type="pct"/>
            <w:noWrap/>
          </w:tcPr>
          <w:p w14:paraId="10DC6260" w14:textId="77777777" w:rsidR="00AC042F" w:rsidRPr="006663D5" w:rsidRDefault="00AC042F" w:rsidP="00AC042F">
            <w:pPr>
              <w:pStyle w:val="ARtabletext"/>
            </w:pPr>
            <w:r w:rsidRPr="000A30CD">
              <w:rPr>
                <w:rFonts w:eastAsia="Times New Roman"/>
                <w:color w:val="000000"/>
                <w:sz w:val="16"/>
                <w:szCs w:val="16"/>
              </w:rPr>
              <w:t>Review</w:t>
            </w:r>
            <w:r w:rsidR="00F41E76">
              <w:rPr>
                <w:rFonts w:eastAsia="Times New Roman"/>
                <w:color w:val="000000"/>
                <w:sz w:val="16"/>
                <w:szCs w:val="16"/>
              </w:rPr>
              <w:t>:</w:t>
            </w:r>
            <w:r w:rsidRPr="000A30CD">
              <w:rPr>
                <w:rFonts w:eastAsia="Times New Roman"/>
                <w:color w:val="000000"/>
                <w:sz w:val="16"/>
                <w:szCs w:val="16"/>
              </w:rPr>
              <w:t xml:space="preserve"> service provider, family violence services</w:t>
            </w:r>
          </w:p>
        </w:tc>
        <w:tc>
          <w:tcPr>
            <w:tcW w:w="0" w:type="pct"/>
            <w:noWrap/>
          </w:tcPr>
          <w:p w14:paraId="71B6A6E8" w14:textId="77777777" w:rsidR="00AC042F" w:rsidRPr="006663D5" w:rsidRDefault="00AC042F" w:rsidP="00AC042F">
            <w:pPr>
              <w:pStyle w:val="ARtabletextright"/>
            </w:pPr>
            <w:r w:rsidRPr="000A30CD">
              <w:rPr>
                <w:rFonts w:eastAsia="Times New Roman"/>
                <w:color w:val="000000"/>
                <w:sz w:val="16"/>
                <w:szCs w:val="16"/>
              </w:rPr>
              <w:t>223,575.00</w:t>
            </w:r>
          </w:p>
        </w:tc>
        <w:tc>
          <w:tcPr>
            <w:tcW w:w="0" w:type="pct"/>
            <w:noWrap/>
          </w:tcPr>
          <w:p w14:paraId="072E0EAA" w14:textId="77777777" w:rsidR="00AC042F" w:rsidRPr="006663D5" w:rsidRDefault="00AC042F" w:rsidP="00AC042F">
            <w:pPr>
              <w:pStyle w:val="ARtabletextright"/>
            </w:pPr>
            <w:r w:rsidRPr="000A30CD">
              <w:rPr>
                <w:rFonts w:eastAsia="Times New Roman"/>
                <w:color w:val="000000"/>
                <w:sz w:val="16"/>
                <w:szCs w:val="16"/>
              </w:rPr>
              <w:t>151,040.00</w:t>
            </w:r>
          </w:p>
        </w:tc>
        <w:tc>
          <w:tcPr>
            <w:tcW w:w="0" w:type="pct"/>
            <w:noWrap/>
          </w:tcPr>
          <w:p w14:paraId="0CF55751"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06AE12C3" w14:textId="77777777" w:rsidTr="00A5415F">
        <w:trPr>
          <w:trHeight w:val="300"/>
        </w:trPr>
        <w:tc>
          <w:tcPr>
            <w:tcW w:w="0" w:type="pct"/>
            <w:noWrap/>
          </w:tcPr>
          <w:p w14:paraId="5C847DAE" w14:textId="77777777" w:rsidR="00AC042F" w:rsidRPr="006663D5" w:rsidRDefault="00AC042F" w:rsidP="00AC042F">
            <w:pPr>
              <w:pStyle w:val="ARtabletext"/>
            </w:pPr>
            <w:r w:rsidRPr="001E0936">
              <w:rPr>
                <w:rFonts w:eastAsia="Times New Roman"/>
                <w:color w:val="000000"/>
                <w:sz w:val="16"/>
                <w:szCs w:val="16"/>
              </w:rPr>
              <w:t>Program assessment and evaluation</w:t>
            </w:r>
          </w:p>
        </w:tc>
        <w:tc>
          <w:tcPr>
            <w:tcW w:w="0" w:type="pct"/>
            <w:noWrap/>
          </w:tcPr>
          <w:p w14:paraId="61D6621D" w14:textId="77777777" w:rsidR="00AC042F" w:rsidRPr="006663D5" w:rsidRDefault="00F41E76" w:rsidP="00AC042F">
            <w:pPr>
              <w:pStyle w:val="ARtabletext"/>
            </w:pPr>
            <w:r w:rsidRPr="000A30CD">
              <w:rPr>
                <w:rFonts w:eastAsia="Times New Roman"/>
                <w:color w:val="000000"/>
                <w:sz w:val="16"/>
                <w:szCs w:val="16"/>
              </w:rPr>
              <w:t>Deloitte Touche Tohmatsu</w:t>
            </w:r>
          </w:p>
        </w:tc>
        <w:tc>
          <w:tcPr>
            <w:tcW w:w="0" w:type="pct"/>
            <w:noWrap/>
          </w:tcPr>
          <w:p w14:paraId="787ECD92" w14:textId="77777777" w:rsidR="00AC042F" w:rsidRPr="006663D5" w:rsidRDefault="00AC042F" w:rsidP="00AC042F">
            <w:pPr>
              <w:pStyle w:val="ARtabletext"/>
            </w:pPr>
            <w:r w:rsidRPr="000A30CD">
              <w:rPr>
                <w:rFonts w:eastAsia="Times New Roman"/>
                <w:color w:val="000000"/>
                <w:sz w:val="16"/>
                <w:szCs w:val="16"/>
              </w:rPr>
              <w:t>Review</w:t>
            </w:r>
            <w:r w:rsidR="00F41E76">
              <w:rPr>
                <w:rFonts w:eastAsia="Times New Roman"/>
                <w:color w:val="000000"/>
                <w:sz w:val="16"/>
                <w:szCs w:val="16"/>
              </w:rPr>
              <w:t>:</w:t>
            </w:r>
            <w:r w:rsidRPr="000A30CD">
              <w:rPr>
                <w:rFonts w:eastAsia="Times New Roman"/>
                <w:color w:val="000000"/>
                <w:sz w:val="16"/>
                <w:szCs w:val="16"/>
              </w:rPr>
              <w:t xml:space="preserve"> </w:t>
            </w:r>
            <w:r w:rsidR="00F41E76">
              <w:rPr>
                <w:rFonts w:eastAsia="Times New Roman"/>
                <w:color w:val="000000"/>
                <w:sz w:val="16"/>
                <w:szCs w:val="16"/>
              </w:rPr>
              <w:t>h</w:t>
            </w:r>
            <w:r w:rsidRPr="000A30CD">
              <w:rPr>
                <w:rFonts w:eastAsia="Times New Roman"/>
                <w:color w:val="000000"/>
                <w:sz w:val="16"/>
                <w:szCs w:val="16"/>
              </w:rPr>
              <w:t>ealth service patient experience program</w:t>
            </w:r>
          </w:p>
        </w:tc>
        <w:tc>
          <w:tcPr>
            <w:tcW w:w="0" w:type="pct"/>
            <w:noWrap/>
          </w:tcPr>
          <w:p w14:paraId="33A14E7B" w14:textId="77777777" w:rsidR="00AC042F" w:rsidRPr="006663D5" w:rsidRDefault="00AC042F" w:rsidP="00AC042F">
            <w:pPr>
              <w:pStyle w:val="ARtabletextright"/>
            </w:pPr>
            <w:r w:rsidRPr="000A30CD">
              <w:rPr>
                <w:rFonts w:eastAsia="Times New Roman"/>
                <w:color w:val="000000"/>
                <w:sz w:val="16"/>
                <w:szCs w:val="16"/>
              </w:rPr>
              <w:t>136,348.00</w:t>
            </w:r>
          </w:p>
        </w:tc>
        <w:tc>
          <w:tcPr>
            <w:tcW w:w="0" w:type="pct"/>
            <w:noWrap/>
          </w:tcPr>
          <w:p w14:paraId="4E4C82A6" w14:textId="77777777" w:rsidR="00AC042F" w:rsidRPr="006663D5" w:rsidRDefault="00AC042F" w:rsidP="00AC042F">
            <w:pPr>
              <w:pStyle w:val="ARtabletextright"/>
            </w:pPr>
            <w:r w:rsidRPr="000A30CD">
              <w:rPr>
                <w:rFonts w:eastAsia="Times New Roman"/>
                <w:color w:val="000000"/>
                <w:sz w:val="16"/>
                <w:szCs w:val="16"/>
              </w:rPr>
              <w:t>27,270.00</w:t>
            </w:r>
          </w:p>
        </w:tc>
        <w:tc>
          <w:tcPr>
            <w:tcW w:w="0" w:type="pct"/>
            <w:noWrap/>
          </w:tcPr>
          <w:p w14:paraId="683CFC75"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56842B40" w14:textId="77777777" w:rsidTr="00E34BA4">
        <w:trPr>
          <w:trHeight w:val="300"/>
        </w:trPr>
        <w:tc>
          <w:tcPr>
            <w:tcW w:w="0" w:type="pct"/>
            <w:noWrap/>
          </w:tcPr>
          <w:p w14:paraId="5F1278C9" w14:textId="77777777" w:rsidR="00AC042F" w:rsidRPr="006663D5" w:rsidRDefault="00AC042F" w:rsidP="00AC042F">
            <w:pPr>
              <w:pStyle w:val="ARtabletext"/>
            </w:pPr>
            <w:r w:rsidRPr="001E0936">
              <w:rPr>
                <w:rFonts w:eastAsia="Times New Roman"/>
                <w:color w:val="000000"/>
                <w:sz w:val="16"/>
                <w:szCs w:val="16"/>
              </w:rPr>
              <w:t>Program assessment and evaluation</w:t>
            </w:r>
          </w:p>
        </w:tc>
        <w:tc>
          <w:tcPr>
            <w:tcW w:w="0" w:type="pct"/>
            <w:noWrap/>
          </w:tcPr>
          <w:p w14:paraId="62B0AED4" w14:textId="77777777" w:rsidR="00AC042F" w:rsidRPr="006663D5" w:rsidRDefault="00F41E76" w:rsidP="00AC042F">
            <w:pPr>
              <w:pStyle w:val="ARtabletext"/>
            </w:pPr>
            <w:r w:rsidRPr="000A30CD">
              <w:rPr>
                <w:rFonts w:eastAsia="Times New Roman"/>
                <w:color w:val="000000"/>
                <w:sz w:val="16"/>
                <w:szCs w:val="16"/>
              </w:rPr>
              <w:t>Deloitte Touche Tohmatsu</w:t>
            </w:r>
          </w:p>
        </w:tc>
        <w:tc>
          <w:tcPr>
            <w:tcW w:w="0" w:type="pct"/>
            <w:noWrap/>
          </w:tcPr>
          <w:p w14:paraId="2F2FE5DD" w14:textId="77777777" w:rsidR="00AC042F" w:rsidRPr="006663D5" w:rsidRDefault="00AC042F" w:rsidP="00AC042F">
            <w:pPr>
              <w:pStyle w:val="ARtabletext"/>
            </w:pPr>
            <w:r w:rsidRPr="000A30CD">
              <w:rPr>
                <w:rFonts w:eastAsia="Times New Roman"/>
                <w:color w:val="000000"/>
                <w:sz w:val="16"/>
                <w:szCs w:val="16"/>
              </w:rPr>
              <w:t>Review</w:t>
            </w:r>
            <w:r w:rsidR="00F41E76">
              <w:rPr>
                <w:rFonts w:eastAsia="Times New Roman"/>
                <w:color w:val="000000"/>
                <w:sz w:val="16"/>
                <w:szCs w:val="16"/>
              </w:rPr>
              <w:t>:</w:t>
            </w:r>
            <w:r w:rsidRPr="000A30CD">
              <w:rPr>
                <w:rFonts w:eastAsia="Times New Roman"/>
                <w:color w:val="000000"/>
                <w:sz w:val="16"/>
                <w:szCs w:val="16"/>
              </w:rPr>
              <w:t xml:space="preserve"> rural and regional health service patient experience data needs</w:t>
            </w:r>
          </w:p>
        </w:tc>
        <w:tc>
          <w:tcPr>
            <w:tcW w:w="0" w:type="pct"/>
            <w:noWrap/>
          </w:tcPr>
          <w:p w14:paraId="5B9229DF" w14:textId="77777777" w:rsidR="00AC042F" w:rsidRPr="006663D5" w:rsidRDefault="00AC042F" w:rsidP="00AC042F">
            <w:pPr>
              <w:pStyle w:val="ARtabletextright"/>
            </w:pPr>
            <w:r w:rsidRPr="000A30CD">
              <w:rPr>
                <w:rFonts w:eastAsia="Times New Roman"/>
                <w:color w:val="000000"/>
                <w:sz w:val="16"/>
                <w:szCs w:val="16"/>
              </w:rPr>
              <w:t>136,331.00</w:t>
            </w:r>
          </w:p>
        </w:tc>
        <w:tc>
          <w:tcPr>
            <w:tcW w:w="0" w:type="pct"/>
            <w:noWrap/>
          </w:tcPr>
          <w:p w14:paraId="115D4102" w14:textId="77777777" w:rsidR="00AC042F" w:rsidRPr="006663D5" w:rsidRDefault="00AC042F" w:rsidP="00AC042F">
            <w:pPr>
              <w:pStyle w:val="ARtabletextright"/>
            </w:pPr>
            <w:r w:rsidRPr="000A30CD">
              <w:rPr>
                <w:rFonts w:eastAsia="Times New Roman"/>
                <w:color w:val="000000"/>
                <w:sz w:val="16"/>
                <w:szCs w:val="16"/>
              </w:rPr>
              <w:t>27,266.00</w:t>
            </w:r>
          </w:p>
        </w:tc>
        <w:tc>
          <w:tcPr>
            <w:tcW w:w="0" w:type="pct"/>
            <w:noWrap/>
          </w:tcPr>
          <w:p w14:paraId="419399E8"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7BA10305" w14:textId="77777777" w:rsidTr="00E34BA4">
        <w:trPr>
          <w:trHeight w:val="300"/>
        </w:trPr>
        <w:tc>
          <w:tcPr>
            <w:tcW w:w="0" w:type="pct"/>
            <w:noWrap/>
          </w:tcPr>
          <w:p w14:paraId="277C2B84" w14:textId="77777777" w:rsidR="00AC042F" w:rsidRPr="006663D5" w:rsidRDefault="00AC042F" w:rsidP="00AC042F">
            <w:pPr>
              <w:pStyle w:val="ARtabletext"/>
            </w:pPr>
            <w:r w:rsidRPr="001E0936">
              <w:rPr>
                <w:rFonts w:eastAsia="Times New Roman"/>
                <w:color w:val="000000"/>
                <w:sz w:val="16"/>
                <w:szCs w:val="16"/>
              </w:rPr>
              <w:t>Program assessment and evaluation</w:t>
            </w:r>
          </w:p>
        </w:tc>
        <w:tc>
          <w:tcPr>
            <w:tcW w:w="0" w:type="pct"/>
            <w:noWrap/>
          </w:tcPr>
          <w:p w14:paraId="619E24B1" w14:textId="77777777" w:rsidR="00AC042F" w:rsidRPr="006663D5" w:rsidRDefault="00AC042F" w:rsidP="00AC042F">
            <w:pPr>
              <w:pStyle w:val="ARtabletext"/>
            </w:pPr>
            <w:r w:rsidRPr="000A30CD">
              <w:rPr>
                <w:rFonts w:eastAsia="Times New Roman"/>
                <w:color w:val="000000"/>
                <w:sz w:val="16"/>
                <w:szCs w:val="16"/>
              </w:rPr>
              <w:t>KPMG</w:t>
            </w:r>
          </w:p>
        </w:tc>
        <w:tc>
          <w:tcPr>
            <w:tcW w:w="0" w:type="pct"/>
            <w:noWrap/>
          </w:tcPr>
          <w:p w14:paraId="0AF28DEB" w14:textId="77777777" w:rsidR="00AC042F" w:rsidRPr="006663D5" w:rsidRDefault="00AC042F" w:rsidP="00AC042F">
            <w:pPr>
              <w:pStyle w:val="ARtabletext"/>
            </w:pPr>
            <w:r w:rsidRPr="000A30CD">
              <w:rPr>
                <w:rFonts w:eastAsia="Times New Roman"/>
                <w:color w:val="000000"/>
                <w:sz w:val="16"/>
                <w:szCs w:val="16"/>
              </w:rPr>
              <w:t>Review: Aged Care Assessment Service</w:t>
            </w:r>
          </w:p>
        </w:tc>
        <w:tc>
          <w:tcPr>
            <w:tcW w:w="0" w:type="pct"/>
            <w:noWrap/>
          </w:tcPr>
          <w:p w14:paraId="163B2E44" w14:textId="77777777" w:rsidR="00AC042F" w:rsidRPr="006663D5" w:rsidRDefault="00AC042F" w:rsidP="00AC042F">
            <w:pPr>
              <w:pStyle w:val="ARtabletextright"/>
            </w:pPr>
            <w:r w:rsidRPr="000A30CD">
              <w:rPr>
                <w:rFonts w:eastAsia="Times New Roman"/>
                <w:color w:val="000000"/>
                <w:sz w:val="16"/>
                <w:szCs w:val="16"/>
              </w:rPr>
              <w:t>127,264.00</w:t>
            </w:r>
          </w:p>
        </w:tc>
        <w:tc>
          <w:tcPr>
            <w:tcW w:w="0" w:type="pct"/>
            <w:noWrap/>
          </w:tcPr>
          <w:p w14:paraId="776A9B86" w14:textId="77777777" w:rsidR="00AC042F" w:rsidRPr="006663D5" w:rsidRDefault="00AC042F" w:rsidP="00AC042F">
            <w:pPr>
              <w:pStyle w:val="ARtabletextright"/>
            </w:pPr>
            <w:r w:rsidRPr="000A30CD">
              <w:rPr>
                <w:rFonts w:eastAsia="Times New Roman"/>
                <w:color w:val="000000"/>
                <w:sz w:val="16"/>
                <w:szCs w:val="16"/>
              </w:rPr>
              <w:t>127,264.00</w:t>
            </w:r>
          </w:p>
        </w:tc>
        <w:tc>
          <w:tcPr>
            <w:tcW w:w="0" w:type="pct"/>
            <w:noWrap/>
          </w:tcPr>
          <w:p w14:paraId="4FDD660E"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6612AAE0" w14:textId="77777777" w:rsidTr="00A5415F">
        <w:trPr>
          <w:trHeight w:val="300"/>
        </w:trPr>
        <w:tc>
          <w:tcPr>
            <w:tcW w:w="0" w:type="pct"/>
            <w:noWrap/>
          </w:tcPr>
          <w:p w14:paraId="6AFDD225" w14:textId="77777777" w:rsidR="00AC042F" w:rsidRPr="006663D5" w:rsidRDefault="00AC042F" w:rsidP="00AC042F">
            <w:pPr>
              <w:pStyle w:val="ARtabletext"/>
            </w:pPr>
            <w:r w:rsidRPr="001E0936">
              <w:rPr>
                <w:rFonts w:eastAsia="Times New Roman"/>
                <w:color w:val="000000"/>
                <w:sz w:val="16"/>
                <w:szCs w:val="16"/>
              </w:rPr>
              <w:t>Program assessment and evaluation</w:t>
            </w:r>
          </w:p>
        </w:tc>
        <w:tc>
          <w:tcPr>
            <w:tcW w:w="0" w:type="pct"/>
            <w:noWrap/>
          </w:tcPr>
          <w:p w14:paraId="2673D50C" w14:textId="77777777" w:rsidR="00AC042F" w:rsidRPr="006663D5" w:rsidRDefault="00AC042F" w:rsidP="00AC042F">
            <w:pPr>
              <w:pStyle w:val="ARtabletext"/>
            </w:pPr>
            <w:r w:rsidRPr="000A30CD">
              <w:rPr>
                <w:rFonts w:eastAsia="Times New Roman"/>
                <w:color w:val="000000"/>
                <w:sz w:val="16"/>
                <w:szCs w:val="16"/>
              </w:rPr>
              <w:t>KPMG</w:t>
            </w:r>
          </w:p>
        </w:tc>
        <w:tc>
          <w:tcPr>
            <w:tcW w:w="0" w:type="pct"/>
            <w:noWrap/>
          </w:tcPr>
          <w:p w14:paraId="44C0EDB9" w14:textId="77777777" w:rsidR="00AC042F" w:rsidRPr="006663D5" w:rsidRDefault="00AC042F" w:rsidP="00AC042F">
            <w:pPr>
              <w:pStyle w:val="ARtabletext"/>
            </w:pPr>
            <w:r w:rsidRPr="000A30CD">
              <w:rPr>
                <w:rFonts w:eastAsia="Times New Roman"/>
                <w:color w:val="000000"/>
                <w:sz w:val="16"/>
                <w:szCs w:val="16"/>
              </w:rPr>
              <w:t>Review</w:t>
            </w:r>
            <w:r w:rsidR="00F41E76">
              <w:rPr>
                <w:rFonts w:eastAsia="Times New Roman"/>
                <w:color w:val="000000"/>
                <w:sz w:val="16"/>
                <w:szCs w:val="16"/>
              </w:rPr>
              <w:t>:</w:t>
            </w:r>
            <w:r w:rsidRPr="000A30CD">
              <w:rPr>
                <w:rFonts w:eastAsia="Times New Roman"/>
                <w:color w:val="000000"/>
                <w:sz w:val="16"/>
                <w:szCs w:val="16"/>
              </w:rPr>
              <w:t xml:space="preserve"> </w:t>
            </w:r>
            <w:r w:rsidR="00F41E76">
              <w:rPr>
                <w:rFonts w:eastAsia="Times New Roman"/>
                <w:color w:val="000000"/>
                <w:sz w:val="16"/>
                <w:szCs w:val="16"/>
              </w:rPr>
              <w:t>h</w:t>
            </w:r>
            <w:r w:rsidRPr="000A30CD">
              <w:rPr>
                <w:rFonts w:eastAsia="Times New Roman"/>
                <w:color w:val="000000"/>
                <w:sz w:val="16"/>
                <w:szCs w:val="16"/>
              </w:rPr>
              <w:t>ospital funding model</w:t>
            </w:r>
          </w:p>
        </w:tc>
        <w:tc>
          <w:tcPr>
            <w:tcW w:w="0" w:type="pct"/>
            <w:noWrap/>
          </w:tcPr>
          <w:p w14:paraId="386CAD2C" w14:textId="77777777" w:rsidR="00AC042F" w:rsidRPr="006663D5" w:rsidRDefault="00AC042F" w:rsidP="00AC042F">
            <w:pPr>
              <w:pStyle w:val="ARtabletextright"/>
            </w:pPr>
            <w:r w:rsidRPr="000A30CD">
              <w:rPr>
                <w:rFonts w:eastAsia="Times New Roman"/>
                <w:color w:val="000000"/>
                <w:sz w:val="16"/>
                <w:szCs w:val="16"/>
              </w:rPr>
              <w:t>124,835.00</w:t>
            </w:r>
          </w:p>
        </w:tc>
        <w:tc>
          <w:tcPr>
            <w:tcW w:w="0" w:type="pct"/>
            <w:noWrap/>
          </w:tcPr>
          <w:p w14:paraId="3C3C3818" w14:textId="77777777" w:rsidR="00AC042F" w:rsidRPr="006663D5" w:rsidRDefault="00AC042F" w:rsidP="00AC042F">
            <w:pPr>
              <w:pStyle w:val="ARtabletextright"/>
            </w:pPr>
            <w:r w:rsidRPr="000A30CD">
              <w:rPr>
                <w:rFonts w:eastAsia="Times New Roman"/>
                <w:color w:val="000000"/>
                <w:sz w:val="16"/>
                <w:szCs w:val="16"/>
              </w:rPr>
              <w:t>85,520.00</w:t>
            </w:r>
          </w:p>
        </w:tc>
        <w:tc>
          <w:tcPr>
            <w:tcW w:w="0" w:type="pct"/>
            <w:noWrap/>
          </w:tcPr>
          <w:p w14:paraId="6D40B2A7"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37FDE5BE" w14:textId="77777777" w:rsidTr="00E34BA4">
        <w:trPr>
          <w:trHeight w:val="300"/>
        </w:trPr>
        <w:tc>
          <w:tcPr>
            <w:tcW w:w="0" w:type="pct"/>
            <w:noWrap/>
          </w:tcPr>
          <w:p w14:paraId="7532371A" w14:textId="77777777" w:rsidR="00AC042F" w:rsidRPr="006663D5" w:rsidRDefault="00AC042F" w:rsidP="00AC042F">
            <w:pPr>
              <w:pStyle w:val="ARtabletext"/>
            </w:pPr>
            <w:r w:rsidRPr="001E0936">
              <w:rPr>
                <w:rFonts w:eastAsia="Times New Roman"/>
                <w:color w:val="000000"/>
                <w:sz w:val="16"/>
                <w:szCs w:val="16"/>
              </w:rPr>
              <w:t>Program assessment and evaluation</w:t>
            </w:r>
          </w:p>
        </w:tc>
        <w:tc>
          <w:tcPr>
            <w:tcW w:w="0" w:type="pct"/>
            <w:noWrap/>
          </w:tcPr>
          <w:p w14:paraId="2278D795" w14:textId="77777777" w:rsidR="00AC042F" w:rsidRPr="006663D5" w:rsidRDefault="00F41E76" w:rsidP="00AC042F">
            <w:pPr>
              <w:pStyle w:val="ARtabletext"/>
            </w:pPr>
            <w:r w:rsidRPr="000A30CD">
              <w:rPr>
                <w:rFonts w:eastAsia="Times New Roman"/>
                <w:color w:val="000000"/>
                <w:sz w:val="16"/>
                <w:szCs w:val="16"/>
              </w:rPr>
              <w:t>John Anderson Ward</w:t>
            </w:r>
          </w:p>
        </w:tc>
        <w:tc>
          <w:tcPr>
            <w:tcW w:w="0" w:type="pct"/>
            <w:noWrap/>
          </w:tcPr>
          <w:p w14:paraId="10F341C7" w14:textId="77777777" w:rsidR="00AC042F" w:rsidRPr="006663D5" w:rsidRDefault="00AC042F" w:rsidP="00AC042F">
            <w:pPr>
              <w:pStyle w:val="ARtabletext"/>
            </w:pPr>
            <w:r w:rsidRPr="000A30CD">
              <w:rPr>
                <w:rFonts w:eastAsia="Times New Roman"/>
                <w:color w:val="000000"/>
                <w:sz w:val="16"/>
                <w:szCs w:val="16"/>
              </w:rPr>
              <w:t>Review of the Food Standards Code</w:t>
            </w:r>
          </w:p>
        </w:tc>
        <w:tc>
          <w:tcPr>
            <w:tcW w:w="0" w:type="pct"/>
            <w:noWrap/>
          </w:tcPr>
          <w:p w14:paraId="5F2F302E" w14:textId="77777777" w:rsidR="00AC042F" w:rsidRPr="006663D5" w:rsidRDefault="00AC042F" w:rsidP="00AC042F">
            <w:pPr>
              <w:pStyle w:val="ARtabletextright"/>
            </w:pPr>
            <w:r w:rsidRPr="000A30CD">
              <w:rPr>
                <w:rFonts w:eastAsia="Times New Roman"/>
                <w:color w:val="000000"/>
                <w:sz w:val="16"/>
                <w:szCs w:val="16"/>
              </w:rPr>
              <w:t>61,673.00</w:t>
            </w:r>
          </w:p>
        </w:tc>
        <w:tc>
          <w:tcPr>
            <w:tcW w:w="0" w:type="pct"/>
            <w:noWrap/>
          </w:tcPr>
          <w:p w14:paraId="30583A17" w14:textId="77777777" w:rsidR="00AC042F" w:rsidRPr="006663D5" w:rsidRDefault="00AC042F" w:rsidP="00AC042F">
            <w:pPr>
              <w:pStyle w:val="ARtabletextright"/>
            </w:pPr>
            <w:r w:rsidRPr="000A30CD">
              <w:rPr>
                <w:rFonts w:eastAsia="Times New Roman"/>
                <w:color w:val="000000"/>
                <w:sz w:val="16"/>
                <w:szCs w:val="16"/>
              </w:rPr>
              <w:t>20,556.00</w:t>
            </w:r>
          </w:p>
        </w:tc>
        <w:tc>
          <w:tcPr>
            <w:tcW w:w="0" w:type="pct"/>
            <w:noWrap/>
          </w:tcPr>
          <w:p w14:paraId="43B954FA"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05D8C8BE" w14:textId="77777777" w:rsidTr="00A5415F">
        <w:trPr>
          <w:trHeight w:val="300"/>
        </w:trPr>
        <w:tc>
          <w:tcPr>
            <w:tcW w:w="0" w:type="pct"/>
            <w:noWrap/>
          </w:tcPr>
          <w:p w14:paraId="22638B95" w14:textId="77777777" w:rsidR="00AC042F" w:rsidRPr="006663D5" w:rsidRDefault="00AC042F" w:rsidP="00AC042F">
            <w:pPr>
              <w:pStyle w:val="ARtabletext"/>
            </w:pPr>
            <w:r w:rsidRPr="0068224D">
              <w:rPr>
                <w:rFonts w:eastAsia="Times New Roman"/>
                <w:color w:val="000000"/>
                <w:sz w:val="16"/>
                <w:szCs w:val="16"/>
              </w:rPr>
              <w:t>Program assessment and evaluation</w:t>
            </w:r>
          </w:p>
        </w:tc>
        <w:tc>
          <w:tcPr>
            <w:tcW w:w="0" w:type="pct"/>
            <w:noWrap/>
          </w:tcPr>
          <w:p w14:paraId="5FEE99A3" w14:textId="77777777" w:rsidR="00AC042F" w:rsidRPr="006663D5" w:rsidRDefault="00F41E76" w:rsidP="00AC042F">
            <w:pPr>
              <w:pStyle w:val="ARtabletext"/>
            </w:pPr>
            <w:r w:rsidRPr="000A30CD">
              <w:rPr>
                <w:rFonts w:eastAsia="Times New Roman"/>
                <w:color w:val="000000"/>
                <w:sz w:val="16"/>
                <w:szCs w:val="16"/>
              </w:rPr>
              <w:t>Urbis Pty Ltd</w:t>
            </w:r>
          </w:p>
        </w:tc>
        <w:tc>
          <w:tcPr>
            <w:tcW w:w="0" w:type="pct"/>
            <w:noWrap/>
          </w:tcPr>
          <w:p w14:paraId="5F88D921" w14:textId="77777777" w:rsidR="00AC042F" w:rsidRPr="006663D5" w:rsidRDefault="00AC042F" w:rsidP="00AC042F">
            <w:pPr>
              <w:pStyle w:val="ARtabletext"/>
            </w:pPr>
            <w:r w:rsidRPr="000A30CD">
              <w:rPr>
                <w:rFonts w:eastAsia="Times New Roman"/>
                <w:color w:val="000000"/>
                <w:sz w:val="16"/>
                <w:szCs w:val="16"/>
              </w:rPr>
              <w:t>Review</w:t>
            </w:r>
            <w:r w:rsidR="00F41E76">
              <w:rPr>
                <w:rFonts w:eastAsia="Times New Roman"/>
                <w:color w:val="000000"/>
                <w:sz w:val="16"/>
                <w:szCs w:val="16"/>
              </w:rPr>
              <w:t>:</w:t>
            </w:r>
            <w:r w:rsidRPr="000A30CD">
              <w:rPr>
                <w:rFonts w:eastAsia="Times New Roman"/>
                <w:color w:val="000000"/>
                <w:sz w:val="16"/>
                <w:szCs w:val="16"/>
              </w:rPr>
              <w:t xml:space="preserve"> specialist family violence case management</w:t>
            </w:r>
          </w:p>
        </w:tc>
        <w:tc>
          <w:tcPr>
            <w:tcW w:w="0" w:type="pct"/>
            <w:noWrap/>
          </w:tcPr>
          <w:p w14:paraId="1FFEBBCE" w14:textId="77777777" w:rsidR="00AC042F" w:rsidRPr="006663D5" w:rsidRDefault="00AC042F" w:rsidP="00AC042F">
            <w:pPr>
              <w:pStyle w:val="ARtabletextright"/>
            </w:pPr>
            <w:r w:rsidRPr="000A30CD">
              <w:rPr>
                <w:rFonts w:eastAsia="Times New Roman"/>
                <w:color w:val="000000"/>
                <w:sz w:val="16"/>
                <w:szCs w:val="16"/>
              </w:rPr>
              <w:t>329,705.00</w:t>
            </w:r>
          </w:p>
        </w:tc>
        <w:tc>
          <w:tcPr>
            <w:tcW w:w="0" w:type="pct"/>
            <w:noWrap/>
          </w:tcPr>
          <w:p w14:paraId="0A778822" w14:textId="77777777" w:rsidR="00AC042F" w:rsidRPr="006663D5" w:rsidRDefault="00AC042F" w:rsidP="00AC042F">
            <w:pPr>
              <w:pStyle w:val="ARtabletextright"/>
            </w:pPr>
            <w:r w:rsidRPr="000A30CD">
              <w:rPr>
                <w:rFonts w:eastAsia="Times New Roman"/>
                <w:color w:val="000000"/>
                <w:sz w:val="16"/>
                <w:szCs w:val="16"/>
              </w:rPr>
              <w:t>213,910.00</w:t>
            </w:r>
          </w:p>
        </w:tc>
        <w:tc>
          <w:tcPr>
            <w:tcW w:w="0" w:type="pct"/>
            <w:noWrap/>
          </w:tcPr>
          <w:p w14:paraId="26AE3FF8"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5C1DF834" w14:textId="77777777" w:rsidTr="00A5415F">
        <w:trPr>
          <w:trHeight w:val="300"/>
        </w:trPr>
        <w:tc>
          <w:tcPr>
            <w:tcW w:w="0" w:type="pct"/>
            <w:noWrap/>
          </w:tcPr>
          <w:p w14:paraId="6899C49D" w14:textId="77777777" w:rsidR="00AC042F" w:rsidRPr="006663D5" w:rsidRDefault="00AC042F" w:rsidP="00AC042F">
            <w:pPr>
              <w:pStyle w:val="ARtabletext"/>
            </w:pPr>
            <w:r w:rsidRPr="0068224D">
              <w:rPr>
                <w:rFonts w:eastAsia="Times New Roman"/>
                <w:color w:val="000000"/>
                <w:sz w:val="16"/>
                <w:szCs w:val="16"/>
              </w:rPr>
              <w:t>Program assessment and evaluation</w:t>
            </w:r>
          </w:p>
        </w:tc>
        <w:tc>
          <w:tcPr>
            <w:tcW w:w="0" w:type="pct"/>
            <w:noWrap/>
          </w:tcPr>
          <w:p w14:paraId="6E189F96" w14:textId="77777777" w:rsidR="00AC042F" w:rsidRPr="006663D5" w:rsidRDefault="00F41E76" w:rsidP="00AC042F">
            <w:pPr>
              <w:pStyle w:val="ARtabletext"/>
            </w:pPr>
            <w:r w:rsidRPr="000A30CD">
              <w:rPr>
                <w:rFonts w:eastAsia="Times New Roman"/>
                <w:color w:val="000000"/>
                <w:sz w:val="16"/>
                <w:szCs w:val="16"/>
              </w:rPr>
              <w:t>Monash University</w:t>
            </w:r>
          </w:p>
        </w:tc>
        <w:tc>
          <w:tcPr>
            <w:tcW w:w="0" w:type="pct"/>
            <w:noWrap/>
          </w:tcPr>
          <w:p w14:paraId="41AF348E" w14:textId="77777777" w:rsidR="00AC042F" w:rsidRPr="006663D5" w:rsidRDefault="00AC042F" w:rsidP="00AC042F">
            <w:pPr>
              <w:pStyle w:val="ARtabletext"/>
            </w:pPr>
            <w:r w:rsidRPr="000A30CD">
              <w:rPr>
                <w:rFonts w:eastAsia="Times New Roman"/>
                <w:color w:val="000000"/>
                <w:sz w:val="16"/>
                <w:szCs w:val="16"/>
              </w:rPr>
              <w:t>Review</w:t>
            </w:r>
            <w:r w:rsidR="00F41E76">
              <w:rPr>
                <w:rFonts w:eastAsia="Times New Roman"/>
                <w:color w:val="000000"/>
                <w:sz w:val="16"/>
                <w:szCs w:val="16"/>
              </w:rPr>
              <w:t>:</w:t>
            </w:r>
            <w:r w:rsidRPr="000A30CD">
              <w:rPr>
                <w:rFonts w:eastAsia="Times New Roman"/>
                <w:color w:val="000000"/>
                <w:sz w:val="16"/>
                <w:szCs w:val="16"/>
              </w:rPr>
              <w:t xml:space="preserve"> family violence information sharing scheme</w:t>
            </w:r>
          </w:p>
        </w:tc>
        <w:tc>
          <w:tcPr>
            <w:tcW w:w="0" w:type="pct"/>
            <w:noWrap/>
          </w:tcPr>
          <w:p w14:paraId="797FF72F" w14:textId="77777777" w:rsidR="00AC042F" w:rsidRPr="006663D5" w:rsidRDefault="00AC042F" w:rsidP="00AC042F">
            <w:pPr>
              <w:pStyle w:val="ARtabletextright"/>
            </w:pPr>
            <w:r w:rsidRPr="000A30CD">
              <w:rPr>
                <w:rFonts w:eastAsia="Times New Roman"/>
                <w:color w:val="000000"/>
                <w:sz w:val="16"/>
                <w:szCs w:val="16"/>
              </w:rPr>
              <w:t>421,937.00</w:t>
            </w:r>
          </w:p>
        </w:tc>
        <w:tc>
          <w:tcPr>
            <w:tcW w:w="0" w:type="pct"/>
            <w:noWrap/>
          </w:tcPr>
          <w:p w14:paraId="3D3AD0D8" w14:textId="77777777" w:rsidR="00AC042F" w:rsidRPr="006663D5" w:rsidRDefault="00AC042F" w:rsidP="00AC042F">
            <w:pPr>
              <w:pStyle w:val="ARtabletextright"/>
            </w:pPr>
            <w:r w:rsidRPr="000A30CD">
              <w:rPr>
                <w:rFonts w:eastAsia="Times New Roman"/>
                <w:color w:val="000000"/>
                <w:sz w:val="16"/>
                <w:szCs w:val="16"/>
              </w:rPr>
              <w:t>185,554.00</w:t>
            </w:r>
          </w:p>
        </w:tc>
        <w:tc>
          <w:tcPr>
            <w:tcW w:w="0" w:type="pct"/>
            <w:noWrap/>
          </w:tcPr>
          <w:p w14:paraId="146AB13C" w14:textId="77777777" w:rsidR="00AC042F" w:rsidRPr="006663D5" w:rsidRDefault="00AC042F" w:rsidP="00AC042F">
            <w:pPr>
              <w:pStyle w:val="ARtabletextright"/>
            </w:pPr>
            <w:r w:rsidRPr="000A30CD">
              <w:rPr>
                <w:rFonts w:eastAsia="Times New Roman"/>
                <w:color w:val="000000"/>
                <w:sz w:val="16"/>
                <w:szCs w:val="16"/>
              </w:rPr>
              <w:t>168,343.00</w:t>
            </w:r>
          </w:p>
        </w:tc>
      </w:tr>
      <w:tr w:rsidR="00AC042F" w:rsidRPr="006663D5" w14:paraId="46343C94" w14:textId="77777777" w:rsidTr="00E34BA4">
        <w:trPr>
          <w:trHeight w:val="300"/>
        </w:trPr>
        <w:tc>
          <w:tcPr>
            <w:tcW w:w="0" w:type="pct"/>
            <w:noWrap/>
          </w:tcPr>
          <w:p w14:paraId="04C7BF95" w14:textId="77777777" w:rsidR="00AC042F" w:rsidRPr="006663D5" w:rsidRDefault="00AC042F" w:rsidP="00AC042F">
            <w:pPr>
              <w:pStyle w:val="ARtabletext"/>
            </w:pPr>
            <w:r w:rsidRPr="0068224D">
              <w:rPr>
                <w:rFonts w:eastAsia="Times New Roman"/>
                <w:color w:val="000000"/>
                <w:sz w:val="16"/>
                <w:szCs w:val="16"/>
              </w:rPr>
              <w:t>Program assessment and evaluation</w:t>
            </w:r>
          </w:p>
        </w:tc>
        <w:tc>
          <w:tcPr>
            <w:tcW w:w="0" w:type="pct"/>
            <w:noWrap/>
          </w:tcPr>
          <w:p w14:paraId="7E0D5EB0" w14:textId="77777777" w:rsidR="00AC042F" w:rsidRPr="006663D5" w:rsidRDefault="00F41E76" w:rsidP="00AC042F">
            <w:pPr>
              <w:pStyle w:val="ARtabletext"/>
            </w:pPr>
            <w:r w:rsidRPr="000A30CD">
              <w:rPr>
                <w:rFonts w:eastAsia="Times New Roman"/>
                <w:color w:val="000000"/>
                <w:sz w:val="16"/>
                <w:szCs w:val="16"/>
              </w:rPr>
              <w:t>Siggins Miller Consultants</w:t>
            </w:r>
          </w:p>
        </w:tc>
        <w:tc>
          <w:tcPr>
            <w:tcW w:w="0" w:type="pct"/>
            <w:noWrap/>
          </w:tcPr>
          <w:p w14:paraId="61F6828B" w14:textId="77777777" w:rsidR="00AC042F" w:rsidRPr="006663D5" w:rsidRDefault="00AC042F" w:rsidP="00AC042F">
            <w:pPr>
              <w:pStyle w:val="ARtabletext"/>
            </w:pPr>
            <w:r w:rsidRPr="000A30CD">
              <w:rPr>
                <w:rFonts w:eastAsia="Times New Roman"/>
                <w:color w:val="000000"/>
                <w:sz w:val="16"/>
                <w:szCs w:val="16"/>
              </w:rPr>
              <w:t xml:space="preserve">Development: </w:t>
            </w:r>
            <w:r w:rsidR="00F41E76" w:rsidRPr="000A30CD">
              <w:rPr>
                <w:rFonts w:eastAsia="Times New Roman"/>
                <w:color w:val="000000"/>
                <w:sz w:val="16"/>
                <w:szCs w:val="16"/>
              </w:rPr>
              <w:t>an evaluation framework for the independent facilitator trial</w:t>
            </w:r>
          </w:p>
        </w:tc>
        <w:tc>
          <w:tcPr>
            <w:tcW w:w="0" w:type="pct"/>
            <w:noWrap/>
          </w:tcPr>
          <w:p w14:paraId="48FAEB08" w14:textId="77777777" w:rsidR="00AC042F" w:rsidRPr="006663D5" w:rsidRDefault="00AC042F" w:rsidP="00AC042F">
            <w:pPr>
              <w:pStyle w:val="ARtabletextright"/>
            </w:pPr>
            <w:r w:rsidRPr="000A30CD">
              <w:rPr>
                <w:rFonts w:eastAsia="Times New Roman"/>
                <w:color w:val="000000"/>
                <w:sz w:val="16"/>
                <w:szCs w:val="16"/>
              </w:rPr>
              <w:t>58,618.00</w:t>
            </w:r>
          </w:p>
        </w:tc>
        <w:tc>
          <w:tcPr>
            <w:tcW w:w="0" w:type="pct"/>
            <w:noWrap/>
          </w:tcPr>
          <w:p w14:paraId="5D177842" w14:textId="77777777" w:rsidR="00AC042F" w:rsidRPr="006663D5" w:rsidRDefault="00AC042F" w:rsidP="00AC042F">
            <w:pPr>
              <w:pStyle w:val="ARtabletextright"/>
            </w:pPr>
            <w:r w:rsidRPr="000A30CD">
              <w:rPr>
                <w:rFonts w:eastAsia="Times New Roman"/>
                <w:color w:val="000000"/>
                <w:sz w:val="16"/>
                <w:szCs w:val="16"/>
              </w:rPr>
              <w:t>58,291.00</w:t>
            </w:r>
          </w:p>
        </w:tc>
        <w:tc>
          <w:tcPr>
            <w:tcW w:w="0" w:type="pct"/>
            <w:noWrap/>
          </w:tcPr>
          <w:p w14:paraId="686D5A76"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665EBC54" w14:textId="77777777" w:rsidTr="00A5415F">
        <w:trPr>
          <w:trHeight w:val="300"/>
        </w:trPr>
        <w:tc>
          <w:tcPr>
            <w:tcW w:w="0" w:type="pct"/>
            <w:noWrap/>
          </w:tcPr>
          <w:p w14:paraId="5D04E031" w14:textId="77777777" w:rsidR="00AC042F" w:rsidRPr="006663D5" w:rsidRDefault="00AC042F" w:rsidP="00AC042F">
            <w:pPr>
              <w:pStyle w:val="ARtabletext"/>
            </w:pPr>
            <w:r w:rsidRPr="0068224D">
              <w:rPr>
                <w:rFonts w:eastAsia="Times New Roman"/>
                <w:color w:val="000000"/>
                <w:sz w:val="16"/>
                <w:szCs w:val="16"/>
              </w:rPr>
              <w:t>Program assessment and evaluation</w:t>
            </w:r>
          </w:p>
        </w:tc>
        <w:tc>
          <w:tcPr>
            <w:tcW w:w="0" w:type="pct"/>
            <w:noWrap/>
          </w:tcPr>
          <w:p w14:paraId="1F199D42" w14:textId="77777777" w:rsidR="00AC042F" w:rsidRPr="006663D5" w:rsidRDefault="00F41E76" w:rsidP="00AC042F">
            <w:pPr>
              <w:pStyle w:val="ARtabletext"/>
            </w:pPr>
            <w:r w:rsidRPr="000A30CD">
              <w:rPr>
                <w:rFonts w:eastAsia="Times New Roman"/>
                <w:color w:val="000000"/>
                <w:sz w:val="16"/>
                <w:szCs w:val="16"/>
              </w:rPr>
              <w:t>Victorian Aboriginal Child Care Agency Co-Op Ltd</w:t>
            </w:r>
          </w:p>
        </w:tc>
        <w:tc>
          <w:tcPr>
            <w:tcW w:w="0" w:type="pct"/>
            <w:noWrap/>
          </w:tcPr>
          <w:p w14:paraId="34B29E35" w14:textId="77777777" w:rsidR="00AC042F" w:rsidRPr="006663D5" w:rsidRDefault="00AC042F" w:rsidP="00AC042F">
            <w:pPr>
              <w:pStyle w:val="ARtabletext"/>
            </w:pPr>
            <w:r w:rsidRPr="000A30CD">
              <w:rPr>
                <w:rFonts w:eastAsia="Times New Roman"/>
                <w:color w:val="000000"/>
                <w:sz w:val="16"/>
                <w:szCs w:val="16"/>
              </w:rPr>
              <w:t xml:space="preserve">Development: </w:t>
            </w:r>
            <w:r w:rsidR="00F41E76" w:rsidRPr="000A30CD">
              <w:rPr>
                <w:rFonts w:eastAsia="Times New Roman"/>
                <w:color w:val="000000"/>
                <w:sz w:val="16"/>
                <w:szCs w:val="16"/>
              </w:rPr>
              <w:t xml:space="preserve">an </w:t>
            </w:r>
            <w:r w:rsidR="00F41E76">
              <w:rPr>
                <w:rFonts w:eastAsia="Times New Roman"/>
                <w:color w:val="000000"/>
                <w:sz w:val="16"/>
                <w:szCs w:val="16"/>
              </w:rPr>
              <w:t>A</w:t>
            </w:r>
            <w:r w:rsidR="00F41E76" w:rsidRPr="000A30CD">
              <w:rPr>
                <w:rFonts w:eastAsia="Times New Roman"/>
                <w:color w:val="000000"/>
                <w:sz w:val="16"/>
                <w:szCs w:val="16"/>
              </w:rPr>
              <w:t>boriginal health, wellbeing and safety research and evaluation framework</w:t>
            </w:r>
          </w:p>
        </w:tc>
        <w:tc>
          <w:tcPr>
            <w:tcW w:w="0" w:type="pct"/>
            <w:noWrap/>
          </w:tcPr>
          <w:p w14:paraId="436C17B1" w14:textId="77777777" w:rsidR="00AC042F" w:rsidRPr="006663D5" w:rsidRDefault="00AC042F" w:rsidP="00AC042F">
            <w:pPr>
              <w:pStyle w:val="ARtabletextright"/>
            </w:pPr>
            <w:r w:rsidRPr="000A30CD">
              <w:rPr>
                <w:rFonts w:eastAsia="Times New Roman"/>
                <w:color w:val="000000"/>
                <w:sz w:val="16"/>
                <w:szCs w:val="16"/>
              </w:rPr>
              <w:t>605,905.00</w:t>
            </w:r>
          </w:p>
        </w:tc>
        <w:tc>
          <w:tcPr>
            <w:tcW w:w="0" w:type="pct"/>
            <w:noWrap/>
          </w:tcPr>
          <w:p w14:paraId="24D5C33C" w14:textId="77777777" w:rsidR="00AC042F" w:rsidRPr="006663D5" w:rsidRDefault="00AC042F" w:rsidP="00AC042F">
            <w:pPr>
              <w:pStyle w:val="ARtabletextright"/>
            </w:pPr>
            <w:r w:rsidRPr="000A30CD">
              <w:rPr>
                <w:rFonts w:eastAsia="Times New Roman"/>
                <w:color w:val="000000"/>
                <w:sz w:val="16"/>
                <w:szCs w:val="16"/>
              </w:rPr>
              <w:t>289,809.00</w:t>
            </w:r>
          </w:p>
        </w:tc>
        <w:tc>
          <w:tcPr>
            <w:tcW w:w="0" w:type="pct"/>
            <w:noWrap/>
          </w:tcPr>
          <w:p w14:paraId="37AF97C9" w14:textId="77777777" w:rsidR="00AC042F" w:rsidRPr="006663D5" w:rsidRDefault="00AC042F" w:rsidP="00AC042F">
            <w:pPr>
              <w:pStyle w:val="ARtabletextright"/>
            </w:pPr>
            <w:r w:rsidRPr="000A30CD">
              <w:rPr>
                <w:rFonts w:eastAsia="Times New Roman"/>
                <w:color w:val="000000"/>
                <w:sz w:val="16"/>
                <w:szCs w:val="16"/>
              </w:rPr>
              <w:t>316,097.00</w:t>
            </w:r>
          </w:p>
        </w:tc>
      </w:tr>
      <w:tr w:rsidR="007066A0" w:rsidRPr="006663D5" w14:paraId="1BDE589A" w14:textId="77777777" w:rsidTr="00E34BA4">
        <w:trPr>
          <w:trHeight w:val="300"/>
        </w:trPr>
        <w:tc>
          <w:tcPr>
            <w:tcW w:w="0" w:type="pct"/>
            <w:noWrap/>
          </w:tcPr>
          <w:p w14:paraId="5B6BD933" w14:textId="77777777" w:rsidR="007066A0" w:rsidRPr="006663D5" w:rsidRDefault="007066A0" w:rsidP="007066A0">
            <w:pPr>
              <w:pStyle w:val="ARtabletext"/>
            </w:pPr>
            <w:r w:rsidRPr="000A30CD">
              <w:rPr>
                <w:rFonts w:eastAsia="Times New Roman"/>
                <w:color w:val="000000"/>
                <w:sz w:val="16"/>
                <w:szCs w:val="16"/>
              </w:rPr>
              <w:t xml:space="preserve">Workforce </w:t>
            </w:r>
            <w:r w:rsidR="00AC042F">
              <w:rPr>
                <w:rFonts w:eastAsia="Times New Roman"/>
                <w:color w:val="000000"/>
                <w:sz w:val="16"/>
                <w:szCs w:val="16"/>
              </w:rPr>
              <w:t>s</w:t>
            </w:r>
            <w:r w:rsidRPr="000A30CD">
              <w:rPr>
                <w:rFonts w:eastAsia="Times New Roman"/>
                <w:color w:val="000000"/>
                <w:sz w:val="16"/>
                <w:szCs w:val="16"/>
              </w:rPr>
              <w:t>upport</w:t>
            </w:r>
          </w:p>
        </w:tc>
        <w:tc>
          <w:tcPr>
            <w:tcW w:w="0" w:type="pct"/>
            <w:noWrap/>
          </w:tcPr>
          <w:p w14:paraId="53786EF0" w14:textId="77777777" w:rsidR="007066A0" w:rsidRPr="006663D5" w:rsidRDefault="00F41E76" w:rsidP="007066A0">
            <w:pPr>
              <w:pStyle w:val="ARtabletext"/>
            </w:pPr>
            <w:r w:rsidRPr="000A30CD">
              <w:rPr>
                <w:rFonts w:eastAsia="Times New Roman"/>
                <w:color w:val="000000"/>
                <w:sz w:val="16"/>
                <w:szCs w:val="16"/>
              </w:rPr>
              <w:t>Worklogic</w:t>
            </w:r>
          </w:p>
        </w:tc>
        <w:tc>
          <w:tcPr>
            <w:tcW w:w="0" w:type="pct"/>
            <w:noWrap/>
          </w:tcPr>
          <w:p w14:paraId="4E44DF3A" w14:textId="77777777" w:rsidR="007066A0" w:rsidRPr="006663D5" w:rsidRDefault="007066A0" w:rsidP="007066A0">
            <w:pPr>
              <w:pStyle w:val="ARtabletext"/>
            </w:pPr>
            <w:r w:rsidRPr="000A30CD">
              <w:rPr>
                <w:rFonts w:eastAsia="Times New Roman"/>
                <w:color w:val="000000"/>
                <w:sz w:val="16"/>
                <w:szCs w:val="16"/>
              </w:rPr>
              <w:t xml:space="preserve">Bullying and </w:t>
            </w:r>
            <w:r w:rsidR="00F41E76" w:rsidRPr="000A30CD">
              <w:rPr>
                <w:rFonts w:eastAsia="Times New Roman"/>
                <w:color w:val="000000"/>
                <w:sz w:val="16"/>
                <w:szCs w:val="16"/>
              </w:rPr>
              <w:t>harassment independent expert panel</w:t>
            </w:r>
          </w:p>
        </w:tc>
        <w:tc>
          <w:tcPr>
            <w:tcW w:w="0" w:type="pct"/>
            <w:noWrap/>
          </w:tcPr>
          <w:p w14:paraId="43349F71" w14:textId="77777777" w:rsidR="007066A0" w:rsidRPr="006663D5" w:rsidRDefault="007066A0" w:rsidP="007066A0">
            <w:pPr>
              <w:pStyle w:val="ARtabletextright"/>
            </w:pPr>
            <w:r w:rsidRPr="000A30CD">
              <w:rPr>
                <w:rFonts w:eastAsia="Times New Roman"/>
                <w:color w:val="000000"/>
                <w:sz w:val="16"/>
                <w:szCs w:val="16"/>
              </w:rPr>
              <w:t>181,818.00</w:t>
            </w:r>
          </w:p>
        </w:tc>
        <w:tc>
          <w:tcPr>
            <w:tcW w:w="0" w:type="pct"/>
            <w:noWrap/>
          </w:tcPr>
          <w:p w14:paraId="54D5970E" w14:textId="77777777" w:rsidR="007066A0" w:rsidRPr="006663D5" w:rsidRDefault="007066A0" w:rsidP="007066A0">
            <w:pPr>
              <w:pStyle w:val="ARtabletextright"/>
            </w:pPr>
            <w:r w:rsidRPr="000A30CD">
              <w:rPr>
                <w:rFonts w:eastAsia="Times New Roman"/>
                <w:color w:val="000000"/>
                <w:sz w:val="16"/>
                <w:szCs w:val="16"/>
              </w:rPr>
              <w:t>14,006.00</w:t>
            </w:r>
          </w:p>
        </w:tc>
        <w:tc>
          <w:tcPr>
            <w:tcW w:w="0" w:type="pct"/>
            <w:noWrap/>
          </w:tcPr>
          <w:p w14:paraId="2110C83C" w14:textId="77777777" w:rsidR="007066A0" w:rsidRPr="006663D5" w:rsidRDefault="007066A0" w:rsidP="007066A0">
            <w:pPr>
              <w:pStyle w:val="ARtabletextright"/>
            </w:pPr>
            <w:r w:rsidRPr="000A30CD">
              <w:rPr>
                <w:rFonts w:eastAsia="Times New Roman"/>
                <w:color w:val="000000"/>
                <w:sz w:val="16"/>
                <w:szCs w:val="16"/>
              </w:rPr>
              <w:t>167,812.00</w:t>
            </w:r>
          </w:p>
        </w:tc>
      </w:tr>
      <w:tr w:rsidR="00AC042F" w:rsidRPr="006663D5" w14:paraId="797F15C8" w14:textId="77777777" w:rsidTr="00E34BA4">
        <w:trPr>
          <w:trHeight w:val="300"/>
        </w:trPr>
        <w:tc>
          <w:tcPr>
            <w:tcW w:w="0" w:type="pct"/>
            <w:noWrap/>
          </w:tcPr>
          <w:p w14:paraId="3BF9C544" w14:textId="77777777" w:rsidR="00AC042F" w:rsidRPr="006663D5" w:rsidRDefault="00AC042F" w:rsidP="00AC042F">
            <w:pPr>
              <w:pStyle w:val="ARtabletext"/>
            </w:pPr>
            <w:r w:rsidRPr="00B07C93">
              <w:rPr>
                <w:rFonts w:eastAsia="Times New Roman"/>
                <w:color w:val="000000"/>
                <w:sz w:val="16"/>
                <w:szCs w:val="16"/>
              </w:rPr>
              <w:t>Workforce support</w:t>
            </w:r>
          </w:p>
        </w:tc>
        <w:tc>
          <w:tcPr>
            <w:tcW w:w="0" w:type="pct"/>
            <w:noWrap/>
          </w:tcPr>
          <w:p w14:paraId="781199D1" w14:textId="77777777" w:rsidR="00AC042F" w:rsidRPr="006663D5" w:rsidRDefault="00F41E76" w:rsidP="00AC042F">
            <w:pPr>
              <w:pStyle w:val="ARtabletext"/>
            </w:pPr>
            <w:r w:rsidRPr="000A30CD">
              <w:rPr>
                <w:rFonts w:eastAsia="Times New Roman"/>
                <w:color w:val="000000"/>
                <w:sz w:val="16"/>
                <w:szCs w:val="16"/>
              </w:rPr>
              <w:t>CWH Mediation &amp; Workplace Relations Pty Ltd</w:t>
            </w:r>
          </w:p>
        </w:tc>
        <w:tc>
          <w:tcPr>
            <w:tcW w:w="0" w:type="pct"/>
            <w:noWrap/>
          </w:tcPr>
          <w:p w14:paraId="5646D824" w14:textId="77777777" w:rsidR="00AC042F" w:rsidRPr="006663D5" w:rsidRDefault="00AC042F" w:rsidP="00AC042F">
            <w:pPr>
              <w:pStyle w:val="ARtabletext"/>
            </w:pPr>
            <w:r w:rsidRPr="000A30CD">
              <w:rPr>
                <w:rFonts w:eastAsia="Times New Roman"/>
                <w:color w:val="000000"/>
                <w:sz w:val="16"/>
                <w:szCs w:val="16"/>
              </w:rPr>
              <w:t xml:space="preserve">Bullying and </w:t>
            </w:r>
            <w:r w:rsidR="00F41E76" w:rsidRPr="000A30CD">
              <w:rPr>
                <w:rFonts w:eastAsia="Times New Roman"/>
                <w:color w:val="000000"/>
                <w:sz w:val="16"/>
                <w:szCs w:val="16"/>
              </w:rPr>
              <w:t>harassment independent expert panel</w:t>
            </w:r>
          </w:p>
        </w:tc>
        <w:tc>
          <w:tcPr>
            <w:tcW w:w="0" w:type="pct"/>
            <w:noWrap/>
          </w:tcPr>
          <w:p w14:paraId="76DEC899" w14:textId="77777777" w:rsidR="00AC042F" w:rsidRPr="006663D5" w:rsidRDefault="00AC042F" w:rsidP="00AC042F">
            <w:pPr>
              <w:pStyle w:val="ARtabletextright"/>
            </w:pPr>
            <w:r w:rsidRPr="000A30CD">
              <w:rPr>
                <w:rFonts w:eastAsia="Times New Roman"/>
                <w:color w:val="000000"/>
                <w:sz w:val="16"/>
                <w:szCs w:val="16"/>
              </w:rPr>
              <w:t>181,818.00</w:t>
            </w:r>
          </w:p>
        </w:tc>
        <w:tc>
          <w:tcPr>
            <w:tcW w:w="0" w:type="pct"/>
            <w:noWrap/>
          </w:tcPr>
          <w:p w14:paraId="5BC28885" w14:textId="77777777" w:rsidR="00AC042F" w:rsidRPr="006663D5" w:rsidRDefault="00AC042F" w:rsidP="00AC042F">
            <w:pPr>
              <w:pStyle w:val="ARtabletextright"/>
            </w:pPr>
            <w:r w:rsidRPr="000A30CD">
              <w:rPr>
                <w:rFonts w:eastAsia="Times New Roman"/>
                <w:color w:val="000000"/>
                <w:sz w:val="16"/>
                <w:szCs w:val="16"/>
              </w:rPr>
              <w:t>12,001.00</w:t>
            </w:r>
          </w:p>
        </w:tc>
        <w:tc>
          <w:tcPr>
            <w:tcW w:w="0" w:type="pct"/>
            <w:noWrap/>
          </w:tcPr>
          <w:p w14:paraId="50FC48BB" w14:textId="77777777" w:rsidR="00AC042F" w:rsidRPr="006663D5" w:rsidRDefault="00AC042F" w:rsidP="00AC042F">
            <w:pPr>
              <w:pStyle w:val="ARtabletextright"/>
            </w:pPr>
            <w:r w:rsidRPr="000A30CD">
              <w:rPr>
                <w:rFonts w:eastAsia="Times New Roman"/>
                <w:color w:val="000000"/>
                <w:sz w:val="16"/>
                <w:szCs w:val="16"/>
              </w:rPr>
              <w:t>169,817.00</w:t>
            </w:r>
          </w:p>
        </w:tc>
      </w:tr>
      <w:tr w:rsidR="00AC042F" w:rsidRPr="006663D5" w14:paraId="3A9B7E2D" w14:textId="77777777" w:rsidTr="00E34BA4">
        <w:trPr>
          <w:trHeight w:val="300"/>
        </w:trPr>
        <w:tc>
          <w:tcPr>
            <w:tcW w:w="0" w:type="pct"/>
            <w:noWrap/>
          </w:tcPr>
          <w:p w14:paraId="1B73906C" w14:textId="77777777" w:rsidR="00AC042F" w:rsidRPr="006663D5" w:rsidRDefault="00AC042F" w:rsidP="00AC042F">
            <w:pPr>
              <w:pStyle w:val="ARtabletext"/>
            </w:pPr>
            <w:r w:rsidRPr="00B07C93">
              <w:rPr>
                <w:rFonts w:eastAsia="Times New Roman"/>
                <w:color w:val="000000"/>
                <w:sz w:val="16"/>
                <w:szCs w:val="16"/>
              </w:rPr>
              <w:t>Workforce support</w:t>
            </w:r>
          </w:p>
        </w:tc>
        <w:tc>
          <w:tcPr>
            <w:tcW w:w="0" w:type="pct"/>
            <w:noWrap/>
          </w:tcPr>
          <w:p w14:paraId="3B782EF7" w14:textId="77777777" w:rsidR="00AC042F" w:rsidRPr="006663D5" w:rsidRDefault="00AC042F" w:rsidP="00AC042F">
            <w:pPr>
              <w:pStyle w:val="ARtabletext"/>
            </w:pPr>
            <w:r w:rsidRPr="000A30CD">
              <w:rPr>
                <w:rFonts w:eastAsia="Times New Roman"/>
                <w:color w:val="000000"/>
                <w:sz w:val="16"/>
                <w:szCs w:val="16"/>
              </w:rPr>
              <w:t>T</w:t>
            </w:r>
            <w:r w:rsidR="00F41E76" w:rsidRPr="000A30CD">
              <w:rPr>
                <w:rFonts w:eastAsia="Times New Roman"/>
                <w:color w:val="000000"/>
                <w:sz w:val="16"/>
                <w:szCs w:val="16"/>
              </w:rPr>
              <w:t>he</w:t>
            </w:r>
            <w:r w:rsidRPr="000A30CD">
              <w:rPr>
                <w:rFonts w:eastAsia="Times New Roman"/>
                <w:color w:val="000000"/>
                <w:sz w:val="16"/>
                <w:szCs w:val="16"/>
              </w:rPr>
              <w:t xml:space="preserve"> ZALT G</w:t>
            </w:r>
            <w:r w:rsidR="00F41E76" w:rsidRPr="000A30CD">
              <w:rPr>
                <w:rFonts w:eastAsia="Times New Roman"/>
                <w:color w:val="000000"/>
                <w:sz w:val="16"/>
                <w:szCs w:val="16"/>
              </w:rPr>
              <w:t>roup</w:t>
            </w:r>
          </w:p>
        </w:tc>
        <w:tc>
          <w:tcPr>
            <w:tcW w:w="0" w:type="pct"/>
            <w:noWrap/>
          </w:tcPr>
          <w:p w14:paraId="0CAE8842" w14:textId="77777777" w:rsidR="00AC042F" w:rsidRPr="006663D5" w:rsidRDefault="00AC042F" w:rsidP="00AC042F">
            <w:pPr>
              <w:pStyle w:val="ARtabletext"/>
            </w:pPr>
            <w:r w:rsidRPr="000A30CD">
              <w:rPr>
                <w:rFonts w:eastAsia="Times New Roman"/>
                <w:color w:val="000000"/>
                <w:sz w:val="16"/>
                <w:szCs w:val="16"/>
              </w:rPr>
              <w:t xml:space="preserve">Footscray Reception Team </w:t>
            </w:r>
            <w:r w:rsidR="00F41E76" w:rsidRPr="000A30CD">
              <w:rPr>
                <w:rFonts w:eastAsia="Times New Roman"/>
                <w:color w:val="000000"/>
                <w:sz w:val="16"/>
                <w:szCs w:val="16"/>
              </w:rPr>
              <w:t>workforce improvement</w:t>
            </w:r>
          </w:p>
        </w:tc>
        <w:tc>
          <w:tcPr>
            <w:tcW w:w="0" w:type="pct"/>
            <w:noWrap/>
          </w:tcPr>
          <w:p w14:paraId="1EAE0D3E" w14:textId="77777777" w:rsidR="00AC042F" w:rsidRPr="006663D5" w:rsidRDefault="00AC042F" w:rsidP="00AC042F">
            <w:pPr>
              <w:pStyle w:val="ARtabletextright"/>
            </w:pPr>
            <w:r w:rsidRPr="000A30CD">
              <w:rPr>
                <w:rFonts w:eastAsia="Times New Roman"/>
                <w:color w:val="000000"/>
                <w:sz w:val="16"/>
                <w:szCs w:val="16"/>
              </w:rPr>
              <w:t>14,800.00</w:t>
            </w:r>
          </w:p>
        </w:tc>
        <w:tc>
          <w:tcPr>
            <w:tcW w:w="0" w:type="pct"/>
            <w:noWrap/>
          </w:tcPr>
          <w:p w14:paraId="163EBF05" w14:textId="77777777" w:rsidR="00AC042F" w:rsidRPr="006663D5" w:rsidRDefault="00AC042F" w:rsidP="00AC042F">
            <w:pPr>
              <w:pStyle w:val="ARtabletextright"/>
            </w:pPr>
            <w:r w:rsidRPr="000A30CD">
              <w:rPr>
                <w:rFonts w:eastAsia="Times New Roman"/>
                <w:color w:val="000000"/>
                <w:sz w:val="16"/>
                <w:szCs w:val="16"/>
              </w:rPr>
              <w:t>11,861.00</w:t>
            </w:r>
          </w:p>
        </w:tc>
        <w:tc>
          <w:tcPr>
            <w:tcW w:w="0" w:type="pct"/>
            <w:noWrap/>
          </w:tcPr>
          <w:p w14:paraId="0032DED7"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3B380352" w14:textId="77777777" w:rsidTr="00A5415F">
        <w:trPr>
          <w:trHeight w:val="300"/>
        </w:trPr>
        <w:tc>
          <w:tcPr>
            <w:tcW w:w="0" w:type="pct"/>
            <w:noWrap/>
          </w:tcPr>
          <w:p w14:paraId="7A44544B" w14:textId="77777777" w:rsidR="00AC042F" w:rsidRPr="006663D5" w:rsidRDefault="00AC042F" w:rsidP="00AC042F">
            <w:pPr>
              <w:pStyle w:val="ARtabletext"/>
            </w:pPr>
            <w:r w:rsidRPr="00B07C93">
              <w:rPr>
                <w:rFonts w:eastAsia="Times New Roman"/>
                <w:color w:val="000000"/>
                <w:sz w:val="16"/>
                <w:szCs w:val="16"/>
              </w:rPr>
              <w:t>Workforce support</w:t>
            </w:r>
          </w:p>
        </w:tc>
        <w:tc>
          <w:tcPr>
            <w:tcW w:w="0" w:type="pct"/>
            <w:noWrap/>
          </w:tcPr>
          <w:p w14:paraId="2A62C891" w14:textId="77777777" w:rsidR="00AC042F" w:rsidRPr="006663D5" w:rsidRDefault="00F41E76" w:rsidP="00AC042F">
            <w:pPr>
              <w:pStyle w:val="ARtabletext"/>
            </w:pPr>
            <w:r w:rsidRPr="000A30CD">
              <w:rPr>
                <w:rFonts w:eastAsia="Times New Roman"/>
                <w:color w:val="000000"/>
                <w:sz w:val="16"/>
                <w:szCs w:val="16"/>
              </w:rPr>
              <w:t>Price Waterhouse Coopers</w:t>
            </w:r>
          </w:p>
        </w:tc>
        <w:tc>
          <w:tcPr>
            <w:tcW w:w="0" w:type="pct"/>
            <w:noWrap/>
          </w:tcPr>
          <w:p w14:paraId="2AB53E51" w14:textId="77777777" w:rsidR="00AC042F" w:rsidRPr="006663D5" w:rsidRDefault="00AC042F" w:rsidP="00AC042F">
            <w:pPr>
              <w:pStyle w:val="ARtabletext"/>
            </w:pPr>
            <w:r w:rsidRPr="000A30CD">
              <w:rPr>
                <w:rFonts w:eastAsia="Times New Roman"/>
                <w:color w:val="000000"/>
                <w:sz w:val="16"/>
                <w:szCs w:val="16"/>
              </w:rPr>
              <w:t>OHS/Work</w:t>
            </w:r>
            <w:r w:rsidR="00F41E76">
              <w:rPr>
                <w:rFonts w:eastAsia="Times New Roman"/>
                <w:color w:val="000000"/>
                <w:sz w:val="16"/>
                <w:szCs w:val="16"/>
              </w:rPr>
              <w:t>C</w:t>
            </w:r>
            <w:r w:rsidRPr="000A30CD">
              <w:rPr>
                <w:rFonts w:eastAsia="Times New Roman"/>
                <w:color w:val="000000"/>
                <w:sz w:val="16"/>
                <w:szCs w:val="16"/>
              </w:rPr>
              <w:t xml:space="preserve">over </w:t>
            </w:r>
            <w:r w:rsidR="00F41E76" w:rsidRPr="000A30CD">
              <w:rPr>
                <w:rFonts w:eastAsia="Times New Roman"/>
                <w:color w:val="000000"/>
                <w:sz w:val="16"/>
                <w:szCs w:val="16"/>
              </w:rPr>
              <w:t>secondment monitoring reporting protocols</w:t>
            </w:r>
          </w:p>
        </w:tc>
        <w:tc>
          <w:tcPr>
            <w:tcW w:w="0" w:type="pct"/>
            <w:noWrap/>
          </w:tcPr>
          <w:p w14:paraId="06246286" w14:textId="77777777" w:rsidR="00AC042F" w:rsidRPr="006663D5" w:rsidRDefault="00AC042F" w:rsidP="00AC042F">
            <w:pPr>
              <w:pStyle w:val="ARtabletextright"/>
            </w:pPr>
            <w:r w:rsidRPr="000A30CD">
              <w:rPr>
                <w:rFonts w:eastAsia="Times New Roman"/>
                <w:color w:val="000000"/>
                <w:sz w:val="16"/>
                <w:szCs w:val="16"/>
              </w:rPr>
              <w:t>26,120.00</w:t>
            </w:r>
          </w:p>
        </w:tc>
        <w:tc>
          <w:tcPr>
            <w:tcW w:w="0" w:type="pct"/>
            <w:noWrap/>
          </w:tcPr>
          <w:p w14:paraId="3CE471E4" w14:textId="77777777" w:rsidR="00AC042F" w:rsidRPr="006663D5" w:rsidRDefault="00AC042F" w:rsidP="00AC042F">
            <w:pPr>
              <w:pStyle w:val="ARtabletextright"/>
            </w:pPr>
            <w:r w:rsidRPr="000A30CD">
              <w:rPr>
                <w:rFonts w:eastAsia="Times New Roman"/>
                <w:color w:val="000000"/>
                <w:sz w:val="16"/>
                <w:szCs w:val="16"/>
              </w:rPr>
              <w:t>26,349.00</w:t>
            </w:r>
          </w:p>
        </w:tc>
        <w:tc>
          <w:tcPr>
            <w:tcW w:w="0" w:type="pct"/>
            <w:noWrap/>
          </w:tcPr>
          <w:p w14:paraId="22F20F0C"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3290956A" w14:textId="77777777" w:rsidTr="00A5415F">
        <w:trPr>
          <w:trHeight w:val="300"/>
        </w:trPr>
        <w:tc>
          <w:tcPr>
            <w:tcW w:w="0" w:type="pct"/>
            <w:noWrap/>
          </w:tcPr>
          <w:p w14:paraId="6EE430F6" w14:textId="77777777" w:rsidR="00AC042F" w:rsidRPr="006663D5" w:rsidRDefault="00AC042F" w:rsidP="00AC042F">
            <w:pPr>
              <w:pStyle w:val="ARtabletext"/>
            </w:pPr>
            <w:r w:rsidRPr="00B07C93">
              <w:rPr>
                <w:rFonts w:eastAsia="Times New Roman"/>
                <w:color w:val="000000"/>
                <w:sz w:val="16"/>
                <w:szCs w:val="16"/>
              </w:rPr>
              <w:t>Workforce support</w:t>
            </w:r>
          </w:p>
        </w:tc>
        <w:tc>
          <w:tcPr>
            <w:tcW w:w="0" w:type="pct"/>
            <w:noWrap/>
          </w:tcPr>
          <w:p w14:paraId="433734D8" w14:textId="77777777" w:rsidR="00AC042F" w:rsidRPr="006663D5" w:rsidRDefault="00F41E76" w:rsidP="00AC042F">
            <w:pPr>
              <w:pStyle w:val="ARtabletext"/>
            </w:pPr>
            <w:r w:rsidRPr="000A30CD">
              <w:rPr>
                <w:rFonts w:eastAsia="Times New Roman"/>
                <w:color w:val="000000"/>
                <w:sz w:val="16"/>
                <w:szCs w:val="16"/>
              </w:rPr>
              <w:t>Veldhoen &amp; Company Pty Ltd</w:t>
            </w:r>
          </w:p>
        </w:tc>
        <w:tc>
          <w:tcPr>
            <w:tcW w:w="0" w:type="pct"/>
            <w:noWrap/>
          </w:tcPr>
          <w:p w14:paraId="37F31677" w14:textId="77777777" w:rsidR="00AC042F" w:rsidRPr="006663D5" w:rsidRDefault="00AC042F" w:rsidP="00AC042F">
            <w:pPr>
              <w:pStyle w:val="ARtabletext"/>
            </w:pPr>
            <w:r w:rsidRPr="000A30CD">
              <w:rPr>
                <w:rFonts w:eastAsia="Times New Roman"/>
                <w:color w:val="000000"/>
                <w:sz w:val="16"/>
                <w:szCs w:val="16"/>
              </w:rPr>
              <w:t xml:space="preserve">Utilisation </w:t>
            </w:r>
            <w:r w:rsidR="00F41E76">
              <w:rPr>
                <w:rFonts w:eastAsia="Times New Roman"/>
                <w:color w:val="000000"/>
                <w:sz w:val="16"/>
                <w:szCs w:val="16"/>
              </w:rPr>
              <w:t>s</w:t>
            </w:r>
            <w:r w:rsidRPr="000A30CD">
              <w:rPr>
                <w:rFonts w:eastAsia="Times New Roman"/>
                <w:color w:val="000000"/>
                <w:sz w:val="16"/>
                <w:szCs w:val="16"/>
              </w:rPr>
              <w:t xml:space="preserve">tudy: </w:t>
            </w:r>
            <w:r w:rsidR="00F41E76" w:rsidRPr="000A30CD">
              <w:rPr>
                <w:rFonts w:eastAsia="Times New Roman"/>
                <w:color w:val="000000"/>
                <w:sz w:val="16"/>
                <w:szCs w:val="16"/>
              </w:rPr>
              <w:t>future workplace enablement project</w:t>
            </w:r>
          </w:p>
        </w:tc>
        <w:tc>
          <w:tcPr>
            <w:tcW w:w="0" w:type="pct"/>
            <w:noWrap/>
          </w:tcPr>
          <w:p w14:paraId="03B19E76" w14:textId="77777777" w:rsidR="00AC042F" w:rsidRPr="006663D5" w:rsidRDefault="00AC042F" w:rsidP="00AC042F">
            <w:pPr>
              <w:pStyle w:val="ARtabletextright"/>
            </w:pPr>
            <w:r w:rsidRPr="000A30CD">
              <w:rPr>
                <w:rFonts w:eastAsia="Times New Roman"/>
                <w:color w:val="000000"/>
                <w:sz w:val="16"/>
                <w:szCs w:val="16"/>
              </w:rPr>
              <w:t>11,000.00</w:t>
            </w:r>
          </w:p>
        </w:tc>
        <w:tc>
          <w:tcPr>
            <w:tcW w:w="0" w:type="pct"/>
            <w:noWrap/>
          </w:tcPr>
          <w:p w14:paraId="5018D66E" w14:textId="77777777" w:rsidR="00AC042F" w:rsidRPr="006663D5" w:rsidRDefault="00AC042F" w:rsidP="00AC042F">
            <w:pPr>
              <w:pStyle w:val="ARtabletextright"/>
            </w:pPr>
            <w:r w:rsidRPr="000A30CD">
              <w:rPr>
                <w:rFonts w:eastAsia="Times New Roman"/>
                <w:color w:val="000000"/>
                <w:sz w:val="16"/>
                <w:szCs w:val="16"/>
              </w:rPr>
              <w:t>11,000.00</w:t>
            </w:r>
          </w:p>
        </w:tc>
        <w:tc>
          <w:tcPr>
            <w:tcW w:w="0" w:type="pct"/>
            <w:noWrap/>
          </w:tcPr>
          <w:p w14:paraId="63E71153"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52FF6864" w14:textId="77777777" w:rsidTr="00A5415F">
        <w:trPr>
          <w:trHeight w:val="300"/>
        </w:trPr>
        <w:tc>
          <w:tcPr>
            <w:tcW w:w="0" w:type="pct"/>
            <w:noWrap/>
          </w:tcPr>
          <w:p w14:paraId="6FC0CB70" w14:textId="77777777" w:rsidR="00AC042F" w:rsidRPr="006663D5" w:rsidRDefault="00AC042F" w:rsidP="00AC042F">
            <w:pPr>
              <w:pStyle w:val="ARtabletext"/>
            </w:pPr>
            <w:r w:rsidRPr="00B07C93">
              <w:rPr>
                <w:rFonts w:eastAsia="Times New Roman"/>
                <w:color w:val="000000"/>
                <w:sz w:val="16"/>
                <w:szCs w:val="16"/>
              </w:rPr>
              <w:t>Workforce support</w:t>
            </w:r>
          </w:p>
        </w:tc>
        <w:tc>
          <w:tcPr>
            <w:tcW w:w="0" w:type="pct"/>
            <w:noWrap/>
          </w:tcPr>
          <w:p w14:paraId="52496FE9" w14:textId="77777777" w:rsidR="00AC042F" w:rsidRPr="006663D5" w:rsidRDefault="00AC042F" w:rsidP="00AC042F">
            <w:pPr>
              <w:pStyle w:val="ARtabletext"/>
            </w:pPr>
            <w:r w:rsidRPr="000A30CD">
              <w:rPr>
                <w:rFonts w:eastAsia="Times New Roman"/>
                <w:color w:val="000000"/>
                <w:sz w:val="16"/>
                <w:szCs w:val="16"/>
              </w:rPr>
              <w:t>KPMG</w:t>
            </w:r>
          </w:p>
        </w:tc>
        <w:tc>
          <w:tcPr>
            <w:tcW w:w="0" w:type="pct"/>
            <w:noWrap/>
          </w:tcPr>
          <w:p w14:paraId="665730F5" w14:textId="77777777" w:rsidR="00AC042F" w:rsidRPr="006663D5" w:rsidRDefault="00AC042F" w:rsidP="00AC042F">
            <w:pPr>
              <w:pStyle w:val="ARtabletext"/>
            </w:pPr>
            <w:r w:rsidRPr="000A30CD">
              <w:rPr>
                <w:rFonts w:eastAsia="Times New Roman"/>
                <w:color w:val="000000"/>
                <w:sz w:val="16"/>
                <w:szCs w:val="16"/>
              </w:rPr>
              <w:t xml:space="preserve">Analysis: </w:t>
            </w:r>
            <w:r w:rsidR="007F7B3C">
              <w:rPr>
                <w:rFonts w:eastAsia="Times New Roman"/>
                <w:color w:val="000000"/>
                <w:sz w:val="16"/>
                <w:szCs w:val="16"/>
              </w:rPr>
              <w:t>c</w:t>
            </w:r>
            <w:r w:rsidR="007F7B3C" w:rsidRPr="000A30CD">
              <w:rPr>
                <w:rFonts w:eastAsia="Times New Roman"/>
                <w:color w:val="000000"/>
                <w:sz w:val="16"/>
                <w:szCs w:val="16"/>
              </w:rPr>
              <w:t>osts impacts of long service benefits portability</w:t>
            </w:r>
          </w:p>
        </w:tc>
        <w:tc>
          <w:tcPr>
            <w:tcW w:w="0" w:type="pct"/>
            <w:noWrap/>
          </w:tcPr>
          <w:p w14:paraId="39FE15C0" w14:textId="77777777" w:rsidR="00AC042F" w:rsidRPr="006663D5" w:rsidRDefault="00AC042F" w:rsidP="00AC042F">
            <w:pPr>
              <w:pStyle w:val="ARtabletextright"/>
            </w:pPr>
            <w:r w:rsidRPr="000A30CD">
              <w:rPr>
                <w:rFonts w:eastAsia="Times New Roman"/>
                <w:color w:val="000000"/>
                <w:sz w:val="16"/>
                <w:szCs w:val="16"/>
              </w:rPr>
              <w:t>274,093.00</w:t>
            </w:r>
          </w:p>
        </w:tc>
        <w:tc>
          <w:tcPr>
            <w:tcW w:w="0" w:type="pct"/>
            <w:noWrap/>
          </w:tcPr>
          <w:p w14:paraId="63952C0F" w14:textId="77777777" w:rsidR="00AC042F" w:rsidRPr="006663D5" w:rsidRDefault="00AC042F" w:rsidP="00AC042F">
            <w:pPr>
              <w:pStyle w:val="ARtabletextright"/>
            </w:pPr>
            <w:r w:rsidRPr="000A30CD">
              <w:rPr>
                <w:rFonts w:eastAsia="Times New Roman"/>
                <w:color w:val="000000"/>
                <w:sz w:val="16"/>
                <w:szCs w:val="16"/>
              </w:rPr>
              <w:t>274,711.00</w:t>
            </w:r>
          </w:p>
        </w:tc>
        <w:tc>
          <w:tcPr>
            <w:tcW w:w="0" w:type="pct"/>
            <w:noWrap/>
          </w:tcPr>
          <w:p w14:paraId="6CC815F6"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5CE96C4C" w14:textId="77777777" w:rsidTr="00E34BA4">
        <w:trPr>
          <w:trHeight w:val="300"/>
        </w:trPr>
        <w:tc>
          <w:tcPr>
            <w:tcW w:w="0" w:type="pct"/>
            <w:noWrap/>
          </w:tcPr>
          <w:p w14:paraId="2B549F11" w14:textId="77777777" w:rsidR="00AC042F" w:rsidRPr="006663D5" w:rsidRDefault="00AC042F" w:rsidP="00AC042F">
            <w:pPr>
              <w:pStyle w:val="ARtabletext"/>
            </w:pPr>
            <w:r w:rsidRPr="00B07C93">
              <w:rPr>
                <w:rFonts w:eastAsia="Times New Roman"/>
                <w:color w:val="000000"/>
                <w:sz w:val="16"/>
                <w:szCs w:val="16"/>
              </w:rPr>
              <w:t>Workforce support</w:t>
            </w:r>
          </w:p>
        </w:tc>
        <w:tc>
          <w:tcPr>
            <w:tcW w:w="0" w:type="pct"/>
            <w:noWrap/>
          </w:tcPr>
          <w:p w14:paraId="686727BD" w14:textId="77777777" w:rsidR="00AC042F" w:rsidRPr="006663D5" w:rsidRDefault="007F7B3C" w:rsidP="00AC042F">
            <w:pPr>
              <w:pStyle w:val="ARtabletext"/>
            </w:pPr>
            <w:r w:rsidRPr="000A30CD">
              <w:rPr>
                <w:rFonts w:eastAsia="Times New Roman"/>
                <w:color w:val="000000"/>
                <w:sz w:val="16"/>
                <w:szCs w:val="16"/>
              </w:rPr>
              <w:t>Grosvenor Performance Group</w:t>
            </w:r>
          </w:p>
        </w:tc>
        <w:tc>
          <w:tcPr>
            <w:tcW w:w="0" w:type="pct"/>
            <w:noWrap/>
          </w:tcPr>
          <w:p w14:paraId="586C7253" w14:textId="77777777" w:rsidR="00AC042F" w:rsidRPr="006663D5" w:rsidRDefault="00AC042F" w:rsidP="00AC042F">
            <w:pPr>
              <w:pStyle w:val="ARtabletext"/>
            </w:pPr>
            <w:r w:rsidRPr="000A30CD">
              <w:rPr>
                <w:rFonts w:eastAsia="Times New Roman"/>
                <w:color w:val="000000"/>
                <w:sz w:val="16"/>
                <w:szCs w:val="16"/>
              </w:rPr>
              <w:t>Develop</w:t>
            </w:r>
            <w:r w:rsidR="007F7B3C">
              <w:rPr>
                <w:rFonts w:eastAsia="Times New Roman"/>
                <w:color w:val="000000"/>
                <w:sz w:val="16"/>
                <w:szCs w:val="16"/>
              </w:rPr>
              <w:t>:</w:t>
            </w:r>
            <w:r w:rsidRPr="000A30CD">
              <w:rPr>
                <w:rFonts w:eastAsia="Times New Roman"/>
                <w:color w:val="000000"/>
                <w:sz w:val="16"/>
                <w:szCs w:val="16"/>
              </w:rPr>
              <w:t xml:space="preserve"> strategic accommodation master plan</w:t>
            </w:r>
          </w:p>
        </w:tc>
        <w:tc>
          <w:tcPr>
            <w:tcW w:w="0" w:type="pct"/>
            <w:noWrap/>
          </w:tcPr>
          <w:p w14:paraId="536AACDF" w14:textId="77777777" w:rsidR="00AC042F" w:rsidRPr="006663D5" w:rsidRDefault="00AC042F" w:rsidP="00AC042F">
            <w:pPr>
              <w:pStyle w:val="ARtabletextright"/>
            </w:pPr>
            <w:r w:rsidRPr="000A30CD">
              <w:rPr>
                <w:rFonts w:eastAsia="Times New Roman"/>
                <w:color w:val="000000"/>
                <w:sz w:val="16"/>
                <w:szCs w:val="16"/>
              </w:rPr>
              <w:t>89,650.00</w:t>
            </w:r>
          </w:p>
        </w:tc>
        <w:tc>
          <w:tcPr>
            <w:tcW w:w="0" w:type="pct"/>
            <w:noWrap/>
          </w:tcPr>
          <w:p w14:paraId="3E76D53B" w14:textId="77777777" w:rsidR="00AC042F" w:rsidRPr="006663D5" w:rsidRDefault="00AC042F" w:rsidP="00AC042F">
            <w:pPr>
              <w:pStyle w:val="ARtabletextright"/>
            </w:pPr>
            <w:r w:rsidRPr="000A30CD">
              <w:rPr>
                <w:rFonts w:eastAsia="Times New Roman"/>
                <w:color w:val="000000"/>
                <w:sz w:val="16"/>
                <w:szCs w:val="16"/>
              </w:rPr>
              <w:t>22,337.00</w:t>
            </w:r>
          </w:p>
        </w:tc>
        <w:tc>
          <w:tcPr>
            <w:tcW w:w="0" w:type="pct"/>
            <w:noWrap/>
          </w:tcPr>
          <w:p w14:paraId="6FDF19B0"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309C1ED6" w14:textId="77777777" w:rsidTr="00E34BA4">
        <w:trPr>
          <w:trHeight w:val="300"/>
        </w:trPr>
        <w:tc>
          <w:tcPr>
            <w:tcW w:w="0" w:type="pct"/>
            <w:noWrap/>
          </w:tcPr>
          <w:p w14:paraId="01EC8717" w14:textId="77777777" w:rsidR="00AC042F" w:rsidRPr="006663D5" w:rsidRDefault="00AC042F" w:rsidP="00AC042F">
            <w:pPr>
              <w:pStyle w:val="ARtabletext"/>
            </w:pPr>
            <w:r w:rsidRPr="00B07C93">
              <w:rPr>
                <w:rFonts w:eastAsia="Times New Roman"/>
                <w:color w:val="000000"/>
                <w:sz w:val="16"/>
                <w:szCs w:val="16"/>
              </w:rPr>
              <w:t>Workforce support</w:t>
            </w:r>
          </w:p>
        </w:tc>
        <w:tc>
          <w:tcPr>
            <w:tcW w:w="0" w:type="pct"/>
            <w:noWrap/>
          </w:tcPr>
          <w:p w14:paraId="6A072AE9" w14:textId="77777777" w:rsidR="00AC042F" w:rsidRPr="006663D5" w:rsidRDefault="007F7B3C" w:rsidP="00AC042F">
            <w:pPr>
              <w:pStyle w:val="ARtabletext"/>
            </w:pPr>
            <w:r w:rsidRPr="000A30CD">
              <w:rPr>
                <w:rFonts w:eastAsia="Times New Roman"/>
                <w:color w:val="000000"/>
                <w:sz w:val="16"/>
                <w:szCs w:val="16"/>
              </w:rPr>
              <w:t>Raven Consulting Group</w:t>
            </w:r>
          </w:p>
        </w:tc>
        <w:tc>
          <w:tcPr>
            <w:tcW w:w="0" w:type="pct"/>
            <w:noWrap/>
          </w:tcPr>
          <w:p w14:paraId="30061745" w14:textId="77777777" w:rsidR="00AC042F" w:rsidRPr="006663D5" w:rsidRDefault="00AC042F" w:rsidP="00AC042F">
            <w:pPr>
              <w:pStyle w:val="ARtabletext"/>
            </w:pPr>
            <w:r w:rsidRPr="000A30CD">
              <w:rPr>
                <w:rFonts w:eastAsia="Times New Roman"/>
                <w:color w:val="000000"/>
                <w:sz w:val="16"/>
                <w:szCs w:val="16"/>
              </w:rPr>
              <w:t>Develop</w:t>
            </w:r>
            <w:r w:rsidR="007F7B3C">
              <w:rPr>
                <w:rFonts w:eastAsia="Times New Roman"/>
                <w:color w:val="000000"/>
                <w:sz w:val="16"/>
                <w:szCs w:val="16"/>
              </w:rPr>
              <w:t>:</w:t>
            </w:r>
            <w:r w:rsidRPr="000A30CD">
              <w:rPr>
                <w:rFonts w:eastAsia="Times New Roman"/>
                <w:color w:val="000000"/>
                <w:sz w:val="16"/>
                <w:szCs w:val="16"/>
              </w:rPr>
              <w:t xml:space="preserve"> </w:t>
            </w:r>
            <w:r w:rsidR="007F7B3C" w:rsidRPr="000A30CD">
              <w:rPr>
                <w:rFonts w:eastAsia="Times New Roman"/>
                <w:color w:val="000000"/>
                <w:sz w:val="16"/>
                <w:szCs w:val="16"/>
              </w:rPr>
              <w:t>allied health career pathways</w:t>
            </w:r>
          </w:p>
        </w:tc>
        <w:tc>
          <w:tcPr>
            <w:tcW w:w="0" w:type="pct"/>
            <w:noWrap/>
          </w:tcPr>
          <w:p w14:paraId="74B78EC0" w14:textId="77777777" w:rsidR="00AC042F" w:rsidRPr="006663D5" w:rsidRDefault="00AC042F" w:rsidP="00AC042F">
            <w:pPr>
              <w:pStyle w:val="ARtabletextright"/>
            </w:pPr>
            <w:r w:rsidRPr="000A30CD">
              <w:rPr>
                <w:rFonts w:eastAsia="Times New Roman"/>
                <w:color w:val="000000"/>
                <w:sz w:val="16"/>
                <w:szCs w:val="16"/>
              </w:rPr>
              <w:t>148,000.00</w:t>
            </w:r>
          </w:p>
        </w:tc>
        <w:tc>
          <w:tcPr>
            <w:tcW w:w="0" w:type="pct"/>
            <w:noWrap/>
          </w:tcPr>
          <w:p w14:paraId="40EC500A" w14:textId="77777777" w:rsidR="00AC042F" w:rsidRPr="006663D5" w:rsidRDefault="00AC042F" w:rsidP="00AC042F">
            <w:pPr>
              <w:pStyle w:val="ARtabletextright"/>
            </w:pPr>
            <w:r w:rsidRPr="000A30CD">
              <w:rPr>
                <w:rFonts w:eastAsia="Times New Roman"/>
                <w:color w:val="000000"/>
                <w:sz w:val="16"/>
                <w:szCs w:val="16"/>
              </w:rPr>
              <w:t>10,000.00</w:t>
            </w:r>
          </w:p>
        </w:tc>
        <w:tc>
          <w:tcPr>
            <w:tcW w:w="0" w:type="pct"/>
            <w:noWrap/>
          </w:tcPr>
          <w:p w14:paraId="44C765E0"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6663D5" w14:paraId="34646B6E" w14:textId="77777777" w:rsidTr="00A5415F">
        <w:trPr>
          <w:trHeight w:val="300"/>
        </w:trPr>
        <w:tc>
          <w:tcPr>
            <w:tcW w:w="0" w:type="pct"/>
            <w:noWrap/>
          </w:tcPr>
          <w:p w14:paraId="7057D720" w14:textId="77777777" w:rsidR="00AC042F" w:rsidRPr="006663D5" w:rsidRDefault="00AC042F" w:rsidP="00AC042F">
            <w:pPr>
              <w:pStyle w:val="ARtabletext"/>
            </w:pPr>
            <w:r w:rsidRPr="00B07C93">
              <w:rPr>
                <w:rFonts w:eastAsia="Times New Roman"/>
                <w:color w:val="000000"/>
                <w:sz w:val="16"/>
                <w:szCs w:val="16"/>
              </w:rPr>
              <w:t>Workforce support</w:t>
            </w:r>
          </w:p>
        </w:tc>
        <w:tc>
          <w:tcPr>
            <w:tcW w:w="0" w:type="pct"/>
            <w:noWrap/>
          </w:tcPr>
          <w:p w14:paraId="74E4C93A" w14:textId="77777777" w:rsidR="00AC042F" w:rsidRPr="006663D5" w:rsidRDefault="007F7B3C" w:rsidP="00AC042F">
            <w:pPr>
              <w:pStyle w:val="ARtabletext"/>
            </w:pPr>
            <w:r w:rsidRPr="000A30CD">
              <w:rPr>
                <w:rFonts w:eastAsia="Times New Roman"/>
                <w:color w:val="000000"/>
                <w:sz w:val="16"/>
                <w:szCs w:val="16"/>
              </w:rPr>
              <w:t xml:space="preserve">Phoenix Australia Centre </w:t>
            </w:r>
            <w:r>
              <w:rPr>
                <w:rFonts w:eastAsia="Times New Roman"/>
                <w:color w:val="000000"/>
                <w:sz w:val="16"/>
                <w:szCs w:val="16"/>
              </w:rPr>
              <w:t>f</w:t>
            </w:r>
            <w:r w:rsidRPr="000A30CD">
              <w:rPr>
                <w:rFonts w:eastAsia="Times New Roman"/>
                <w:color w:val="000000"/>
                <w:sz w:val="16"/>
                <w:szCs w:val="16"/>
              </w:rPr>
              <w:t>or Posttraumatic Mental Health</w:t>
            </w:r>
          </w:p>
        </w:tc>
        <w:tc>
          <w:tcPr>
            <w:tcW w:w="0" w:type="pct"/>
            <w:noWrap/>
          </w:tcPr>
          <w:p w14:paraId="0808B7C6" w14:textId="77777777" w:rsidR="00AC042F" w:rsidRPr="006663D5" w:rsidRDefault="00AC042F" w:rsidP="00AC042F">
            <w:pPr>
              <w:pStyle w:val="ARtabletext"/>
            </w:pPr>
            <w:r w:rsidRPr="000A30CD">
              <w:rPr>
                <w:rFonts w:eastAsia="Times New Roman"/>
                <w:color w:val="000000"/>
                <w:sz w:val="16"/>
                <w:szCs w:val="16"/>
              </w:rPr>
              <w:t>Develop</w:t>
            </w:r>
            <w:r w:rsidR="007F7B3C">
              <w:rPr>
                <w:rFonts w:eastAsia="Times New Roman"/>
                <w:color w:val="000000"/>
                <w:sz w:val="16"/>
                <w:szCs w:val="16"/>
              </w:rPr>
              <w:t>:</w:t>
            </w:r>
            <w:r w:rsidRPr="000A30CD">
              <w:rPr>
                <w:rFonts w:eastAsia="Times New Roman"/>
                <w:color w:val="000000"/>
                <w:sz w:val="16"/>
                <w:szCs w:val="16"/>
              </w:rPr>
              <w:t xml:space="preserve"> </w:t>
            </w:r>
            <w:r w:rsidR="007F7B3C">
              <w:rPr>
                <w:rFonts w:eastAsia="Times New Roman"/>
                <w:color w:val="000000"/>
                <w:sz w:val="16"/>
                <w:szCs w:val="16"/>
              </w:rPr>
              <w:t>o</w:t>
            </w:r>
            <w:r w:rsidRPr="000A30CD">
              <w:rPr>
                <w:rFonts w:eastAsia="Times New Roman"/>
                <w:color w:val="000000"/>
                <w:sz w:val="16"/>
                <w:szCs w:val="16"/>
              </w:rPr>
              <w:t>ccupational violence and aggression post incident guidance material</w:t>
            </w:r>
          </w:p>
        </w:tc>
        <w:tc>
          <w:tcPr>
            <w:tcW w:w="0" w:type="pct"/>
            <w:noWrap/>
          </w:tcPr>
          <w:p w14:paraId="517EEA97" w14:textId="77777777" w:rsidR="00AC042F" w:rsidRPr="006663D5" w:rsidRDefault="00AC042F" w:rsidP="00AC042F">
            <w:pPr>
              <w:pStyle w:val="ARtabletextright"/>
            </w:pPr>
            <w:r w:rsidRPr="000A30CD">
              <w:rPr>
                <w:rFonts w:eastAsia="Times New Roman"/>
                <w:color w:val="000000"/>
                <w:sz w:val="16"/>
                <w:szCs w:val="16"/>
              </w:rPr>
              <w:t>233,923.00</w:t>
            </w:r>
          </w:p>
        </w:tc>
        <w:tc>
          <w:tcPr>
            <w:tcW w:w="0" w:type="pct"/>
            <w:noWrap/>
          </w:tcPr>
          <w:p w14:paraId="0CFA7D86" w14:textId="77777777" w:rsidR="00AC042F" w:rsidRPr="006663D5" w:rsidRDefault="00AC042F" w:rsidP="00AC042F">
            <w:pPr>
              <w:pStyle w:val="ARtabletextright"/>
            </w:pPr>
            <w:r w:rsidRPr="000A30CD">
              <w:rPr>
                <w:rFonts w:eastAsia="Times New Roman"/>
                <w:color w:val="000000"/>
                <w:sz w:val="16"/>
                <w:szCs w:val="16"/>
              </w:rPr>
              <w:t>57,939.00</w:t>
            </w:r>
          </w:p>
        </w:tc>
        <w:tc>
          <w:tcPr>
            <w:tcW w:w="0" w:type="pct"/>
            <w:noWrap/>
          </w:tcPr>
          <w:p w14:paraId="00AE28EB" w14:textId="77777777" w:rsidR="00AC042F" w:rsidRPr="006663D5" w:rsidRDefault="00AC042F" w:rsidP="00AC042F">
            <w:pPr>
              <w:pStyle w:val="ARtabletextright"/>
            </w:pPr>
            <w:r w:rsidRPr="000A30CD">
              <w:rPr>
                <w:rFonts w:eastAsia="Times New Roman"/>
                <w:color w:val="000000"/>
                <w:sz w:val="16"/>
                <w:szCs w:val="16"/>
              </w:rPr>
              <w:t>Nil</w:t>
            </w:r>
          </w:p>
        </w:tc>
      </w:tr>
      <w:tr w:rsidR="00AC042F" w:rsidRPr="004701DF" w14:paraId="7708D6ED" w14:textId="77777777" w:rsidTr="00A5415F">
        <w:trPr>
          <w:trHeight w:val="300"/>
        </w:trPr>
        <w:tc>
          <w:tcPr>
            <w:tcW w:w="0" w:type="pct"/>
            <w:noWrap/>
          </w:tcPr>
          <w:p w14:paraId="0B7A2D50" w14:textId="77777777" w:rsidR="00AC042F" w:rsidRPr="006663D5" w:rsidRDefault="00AC042F" w:rsidP="00AC042F">
            <w:pPr>
              <w:pStyle w:val="ARtabletext"/>
            </w:pPr>
            <w:r w:rsidRPr="00B07C93">
              <w:rPr>
                <w:rFonts w:eastAsia="Times New Roman"/>
                <w:color w:val="000000"/>
                <w:sz w:val="16"/>
                <w:szCs w:val="16"/>
              </w:rPr>
              <w:t>Workforce support</w:t>
            </w:r>
          </w:p>
        </w:tc>
        <w:tc>
          <w:tcPr>
            <w:tcW w:w="0" w:type="pct"/>
            <w:noWrap/>
          </w:tcPr>
          <w:p w14:paraId="69290694" w14:textId="77777777" w:rsidR="00AC042F" w:rsidRPr="006663D5" w:rsidRDefault="007F7B3C" w:rsidP="00AC042F">
            <w:pPr>
              <w:pStyle w:val="ARtabletext"/>
            </w:pPr>
            <w:r w:rsidRPr="000A30CD">
              <w:rPr>
                <w:rFonts w:eastAsia="Times New Roman"/>
                <w:color w:val="000000"/>
                <w:sz w:val="16"/>
                <w:szCs w:val="16"/>
              </w:rPr>
              <w:t xml:space="preserve">Liberate </w:t>
            </w:r>
            <w:r>
              <w:rPr>
                <w:rFonts w:eastAsia="Times New Roman"/>
                <w:color w:val="000000"/>
                <w:sz w:val="16"/>
                <w:szCs w:val="16"/>
              </w:rPr>
              <w:t>eL</w:t>
            </w:r>
            <w:r w:rsidRPr="000A30CD">
              <w:rPr>
                <w:rFonts w:eastAsia="Times New Roman"/>
                <w:color w:val="000000"/>
                <w:sz w:val="16"/>
                <w:szCs w:val="16"/>
              </w:rPr>
              <w:t>earning Pty Ltd</w:t>
            </w:r>
          </w:p>
        </w:tc>
        <w:tc>
          <w:tcPr>
            <w:tcW w:w="0" w:type="pct"/>
            <w:noWrap/>
          </w:tcPr>
          <w:p w14:paraId="65EE39E9" w14:textId="77777777" w:rsidR="00AC042F" w:rsidRPr="006663D5" w:rsidRDefault="00AC042F" w:rsidP="00AC042F">
            <w:pPr>
              <w:pStyle w:val="ARtabletext"/>
            </w:pPr>
            <w:r w:rsidRPr="000A30CD">
              <w:rPr>
                <w:rFonts w:eastAsia="Times New Roman"/>
                <w:color w:val="000000"/>
                <w:sz w:val="16"/>
                <w:szCs w:val="16"/>
              </w:rPr>
              <w:t>Develop</w:t>
            </w:r>
            <w:r w:rsidR="007F7B3C">
              <w:rPr>
                <w:rFonts w:eastAsia="Times New Roman"/>
                <w:color w:val="000000"/>
                <w:sz w:val="16"/>
                <w:szCs w:val="16"/>
              </w:rPr>
              <w:t>:</w:t>
            </w:r>
            <w:r w:rsidRPr="000A30CD">
              <w:rPr>
                <w:rFonts w:eastAsia="Times New Roman"/>
                <w:color w:val="000000"/>
                <w:sz w:val="16"/>
                <w:szCs w:val="16"/>
              </w:rPr>
              <w:t xml:space="preserve"> sexual harassment policy eLearning tutorial</w:t>
            </w:r>
          </w:p>
        </w:tc>
        <w:tc>
          <w:tcPr>
            <w:tcW w:w="0" w:type="pct"/>
            <w:noWrap/>
          </w:tcPr>
          <w:p w14:paraId="7F309594" w14:textId="77777777" w:rsidR="00AC042F" w:rsidRPr="006663D5" w:rsidRDefault="00AC042F" w:rsidP="00AC042F">
            <w:pPr>
              <w:pStyle w:val="ARtabletextright"/>
            </w:pPr>
            <w:r w:rsidRPr="000A30CD">
              <w:rPr>
                <w:rFonts w:eastAsia="Times New Roman"/>
                <w:color w:val="000000"/>
                <w:sz w:val="16"/>
                <w:szCs w:val="16"/>
              </w:rPr>
              <w:t>46,172.00</w:t>
            </w:r>
          </w:p>
        </w:tc>
        <w:tc>
          <w:tcPr>
            <w:tcW w:w="0" w:type="pct"/>
            <w:noWrap/>
          </w:tcPr>
          <w:p w14:paraId="05E74B3A" w14:textId="77777777" w:rsidR="00AC042F" w:rsidRPr="006663D5" w:rsidRDefault="00AC042F" w:rsidP="00AC042F">
            <w:pPr>
              <w:pStyle w:val="ARtabletextright"/>
            </w:pPr>
            <w:r w:rsidRPr="000A30CD">
              <w:rPr>
                <w:rFonts w:eastAsia="Times New Roman"/>
                <w:color w:val="000000"/>
                <w:sz w:val="16"/>
                <w:szCs w:val="16"/>
              </w:rPr>
              <w:t>13,338.00</w:t>
            </w:r>
          </w:p>
        </w:tc>
        <w:tc>
          <w:tcPr>
            <w:tcW w:w="0" w:type="pct"/>
            <w:noWrap/>
          </w:tcPr>
          <w:p w14:paraId="153D984F" w14:textId="77777777" w:rsidR="00AC042F" w:rsidRPr="004701DF" w:rsidRDefault="00AC042F" w:rsidP="00AC042F">
            <w:pPr>
              <w:pStyle w:val="ARtabletextright"/>
            </w:pPr>
            <w:r w:rsidRPr="000A30CD">
              <w:rPr>
                <w:rFonts w:eastAsia="Times New Roman"/>
                <w:color w:val="000000"/>
                <w:sz w:val="16"/>
                <w:szCs w:val="16"/>
              </w:rPr>
              <w:t>27,103.00</w:t>
            </w:r>
          </w:p>
        </w:tc>
      </w:tr>
    </w:tbl>
    <w:p w14:paraId="292A4633" w14:textId="77777777" w:rsidR="000D4545" w:rsidRPr="007939DD" w:rsidRDefault="000D4545" w:rsidP="000D4545">
      <w:pPr>
        <w:pStyle w:val="ARbody"/>
      </w:pPr>
      <w:bookmarkStart w:id="174" w:name="Consultancies_over_10000_end"/>
      <w:bookmarkEnd w:id="174"/>
    </w:p>
    <w:p w14:paraId="55D3CEFE" w14:textId="77777777" w:rsidR="002A6868" w:rsidRPr="007939DD" w:rsidRDefault="002A6868" w:rsidP="002A6868">
      <w:pPr>
        <w:rPr>
          <w:rStyle w:val="Strong"/>
          <w:rFonts w:cs="Arial"/>
          <w:bCs w:val="0"/>
        </w:rPr>
        <w:sectPr w:rsidR="002A6868" w:rsidRPr="007939DD" w:rsidSect="00E31562">
          <w:headerReference w:type="first" r:id="rId154"/>
          <w:footerReference w:type="first" r:id="rId155"/>
          <w:endnotePr>
            <w:numFmt w:val="decimal"/>
          </w:endnotePr>
          <w:pgSz w:w="11900" w:h="16840" w:code="9"/>
          <w:pgMar w:top="1985" w:right="851" w:bottom="851" w:left="1418" w:header="510" w:footer="340" w:gutter="0"/>
          <w:cols w:space="454"/>
        </w:sectPr>
      </w:pPr>
    </w:p>
    <w:p w14:paraId="39B8D684" w14:textId="461640DC" w:rsidR="002A6868" w:rsidRDefault="002A6868" w:rsidP="005D658E">
      <w:pPr>
        <w:pStyle w:val="Heading2"/>
        <w:spacing w:before="0"/>
        <w:rPr>
          <w:rStyle w:val="Heading3Char"/>
          <w:bCs/>
          <w:szCs w:val="30"/>
        </w:rPr>
      </w:pPr>
      <w:bookmarkStart w:id="175" w:name="_Ref525048256"/>
      <w:r w:rsidRPr="007939DD">
        <w:rPr>
          <w:rStyle w:val="Heading3Char"/>
          <w:bCs/>
          <w:szCs w:val="30"/>
        </w:rPr>
        <w:t>Details of government advertising expenditure for 201</w:t>
      </w:r>
      <w:r w:rsidR="00BB6EEB">
        <w:rPr>
          <w:rStyle w:val="Heading3Char"/>
          <w:bCs/>
          <w:szCs w:val="30"/>
        </w:rPr>
        <w:t>8</w:t>
      </w:r>
      <w:r w:rsidRPr="007939DD">
        <w:rPr>
          <w:rStyle w:val="Heading3Char"/>
          <w:bCs/>
          <w:szCs w:val="30"/>
        </w:rPr>
        <w:t>–1</w:t>
      </w:r>
      <w:r w:rsidR="00BB6EEB">
        <w:rPr>
          <w:rStyle w:val="Heading3Char"/>
          <w:bCs/>
          <w:szCs w:val="30"/>
        </w:rPr>
        <w:t>9</w:t>
      </w:r>
      <w:r w:rsidRPr="007939DD">
        <w:rPr>
          <w:rStyle w:val="Heading3Char"/>
          <w:bCs/>
          <w:szCs w:val="30"/>
        </w:rPr>
        <w:t xml:space="preserve"> </w:t>
      </w:r>
      <w:r w:rsidR="000C7D64">
        <w:rPr>
          <w:rStyle w:val="Heading3Char"/>
          <w:bCs/>
          <w:szCs w:val="30"/>
        </w:rPr>
        <w:br/>
      </w:r>
      <w:r w:rsidRPr="007939DD">
        <w:rPr>
          <w:rStyle w:val="Heading3Char"/>
          <w:bCs/>
          <w:szCs w:val="30"/>
        </w:rPr>
        <w:t>(campaigns with a media spend of $100,000 or greater)</w:t>
      </w:r>
      <w:bookmarkEnd w:id="175"/>
    </w:p>
    <w:tbl>
      <w:tblPr>
        <w:tblStyle w:val="TableGrid"/>
        <w:tblW w:w="14005" w:type="dxa"/>
        <w:tblInd w:w="5" w:type="dxa"/>
        <w:tblLook w:val="0620" w:firstRow="1" w:lastRow="0" w:firstColumn="0" w:lastColumn="0" w:noHBand="1" w:noVBand="1"/>
      </w:tblPr>
      <w:tblGrid>
        <w:gridCol w:w="1261"/>
        <w:gridCol w:w="3265"/>
        <w:gridCol w:w="2612"/>
        <w:gridCol w:w="1129"/>
        <w:gridCol w:w="1293"/>
        <w:gridCol w:w="1186"/>
        <w:gridCol w:w="1177"/>
        <w:gridCol w:w="1173"/>
        <w:gridCol w:w="909"/>
      </w:tblGrid>
      <w:tr w:rsidR="004F5C64" w:rsidRPr="007939DD" w14:paraId="1A2B11EF" w14:textId="77777777" w:rsidTr="003A7E6B">
        <w:trPr>
          <w:cnfStyle w:val="100000000000" w:firstRow="1" w:lastRow="0" w:firstColumn="0" w:lastColumn="0" w:oddVBand="0" w:evenVBand="0" w:oddHBand="0" w:evenHBand="0" w:firstRowFirstColumn="0" w:firstRowLastColumn="0" w:lastRowFirstColumn="0" w:lastRowLastColumn="0"/>
          <w:tblHeader/>
        </w:trPr>
        <w:tc>
          <w:tcPr>
            <w:tcW w:w="1261" w:type="dxa"/>
          </w:tcPr>
          <w:p w14:paraId="030A638B" w14:textId="77777777" w:rsidR="004F5C64" w:rsidRPr="007939DD" w:rsidRDefault="004F5C64" w:rsidP="004F5C64">
            <w:pPr>
              <w:pStyle w:val="ARtablecolhead"/>
            </w:pPr>
            <w:r w:rsidRPr="007939DD">
              <w:t>Name of campaign</w:t>
            </w:r>
          </w:p>
        </w:tc>
        <w:tc>
          <w:tcPr>
            <w:tcW w:w="3265" w:type="dxa"/>
          </w:tcPr>
          <w:p w14:paraId="409979F4" w14:textId="77777777" w:rsidR="004F5C64" w:rsidRPr="007939DD" w:rsidRDefault="004F5C64" w:rsidP="004F5C64">
            <w:pPr>
              <w:pStyle w:val="ARtablecolhead"/>
            </w:pPr>
            <w:r w:rsidRPr="007939DD">
              <w:t>Campaign summary</w:t>
            </w:r>
          </w:p>
        </w:tc>
        <w:tc>
          <w:tcPr>
            <w:tcW w:w="2612" w:type="dxa"/>
          </w:tcPr>
          <w:p w14:paraId="5AE850CB" w14:textId="77777777" w:rsidR="004F5C64" w:rsidRPr="007939DD" w:rsidRDefault="004F5C64" w:rsidP="004F5C64">
            <w:pPr>
              <w:pStyle w:val="ARtablecolhead"/>
            </w:pPr>
            <w:r w:rsidRPr="007939DD">
              <w:t>Start/end date</w:t>
            </w:r>
          </w:p>
        </w:tc>
        <w:tc>
          <w:tcPr>
            <w:tcW w:w="1129" w:type="dxa"/>
          </w:tcPr>
          <w:p w14:paraId="1D7073B5" w14:textId="77777777" w:rsidR="004F5C64" w:rsidRPr="007939DD" w:rsidRDefault="004F5C64" w:rsidP="004F5C64">
            <w:pPr>
              <w:pStyle w:val="ARtablecolheadright"/>
            </w:pPr>
            <w:r w:rsidRPr="007939DD">
              <w:t>Advertising (media) expenditure</w:t>
            </w:r>
            <w:r w:rsidRPr="007939DD">
              <w:br/>
              <w:t>(excl. GST)</w:t>
            </w:r>
          </w:p>
        </w:tc>
        <w:tc>
          <w:tcPr>
            <w:tcW w:w="0" w:type="auto"/>
          </w:tcPr>
          <w:p w14:paraId="7E13B92C" w14:textId="77777777" w:rsidR="004F5C64" w:rsidRPr="007939DD" w:rsidRDefault="004F5C64" w:rsidP="004F5C64">
            <w:pPr>
              <w:pStyle w:val="ARtablecolheadright"/>
            </w:pPr>
            <w:r w:rsidRPr="007939DD">
              <w:t>Creative and campaign development expenditure (excl. GST)</w:t>
            </w:r>
          </w:p>
        </w:tc>
        <w:tc>
          <w:tcPr>
            <w:tcW w:w="0" w:type="auto"/>
          </w:tcPr>
          <w:p w14:paraId="55B3C5B1" w14:textId="77777777" w:rsidR="004F5C64" w:rsidRPr="007939DD" w:rsidRDefault="004F5C64" w:rsidP="004F5C64">
            <w:pPr>
              <w:pStyle w:val="ARtablecolheadright"/>
            </w:pPr>
            <w:r w:rsidRPr="007939DD">
              <w:t>Research and evaluation expenditure (excl. GST)</w:t>
            </w:r>
          </w:p>
        </w:tc>
        <w:tc>
          <w:tcPr>
            <w:tcW w:w="0" w:type="auto"/>
          </w:tcPr>
          <w:p w14:paraId="6CB4091D" w14:textId="77777777" w:rsidR="004F5C64" w:rsidRPr="007939DD" w:rsidRDefault="004F5C64" w:rsidP="004F5C64">
            <w:pPr>
              <w:pStyle w:val="ARtablecolheadright"/>
            </w:pPr>
            <w:r w:rsidRPr="007939DD">
              <w:t>Print and collateral expenditure (excl. GST)</w:t>
            </w:r>
          </w:p>
        </w:tc>
        <w:tc>
          <w:tcPr>
            <w:tcW w:w="0" w:type="auto"/>
          </w:tcPr>
          <w:p w14:paraId="51CE9A5D" w14:textId="77777777" w:rsidR="004F5C64" w:rsidRPr="007939DD" w:rsidRDefault="004F5C64" w:rsidP="004F5C64">
            <w:pPr>
              <w:pStyle w:val="ARtablecolheadright"/>
            </w:pPr>
            <w:r w:rsidRPr="007939DD">
              <w:t>Other campaign expenditure (excl. GST)</w:t>
            </w:r>
          </w:p>
        </w:tc>
        <w:tc>
          <w:tcPr>
            <w:tcW w:w="0" w:type="auto"/>
          </w:tcPr>
          <w:p w14:paraId="7E04D34C" w14:textId="77777777" w:rsidR="004F5C64" w:rsidRPr="007939DD" w:rsidRDefault="004F5C64" w:rsidP="004F5C64">
            <w:pPr>
              <w:pStyle w:val="ARtablecolheadright"/>
            </w:pPr>
            <w:r w:rsidRPr="007939DD">
              <w:t>Total</w:t>
            </w:r>
          </w:p>
        </w:tc>
      </w:tr>
      <w:tr w:rsidR="00A373FA" w:rsidRPr="007939DD" w14:paraId="723AA250" w14:textId="77777777" w:rsidTr="003A7E6B">
        <w:tc>
          <w:tcPr>
            <w:tcW w:w="1261" w:type="dxa"/>
          </w:tcPr>
          <w:p w14:paraId="015BB31A" w14:textId="77777777" w:rsidR="00A373FA" w:rsidRPr="006663D5" w:rsidRDefault="00A373FA" w:rsidP="00A373FA">
            <w:pPr>
              <w:pStyle w:val="ARtabletext"/>
            </w:pPr>
            <w:r w:rsidRPr="00B45F2D">
              <w:rPr>
                <w:sz w:val="16"/>
                <w:szCs w:val="16"/>
              </w:rPr>
              <w:t>SafeScript</w:t>
            </w:r>
          </w:p>
        </w:tc>
        <w:tc>
          <w:tcPr>
            <w:tcW w:w="3265" w:type="dxa"/>
          </w:tcPr>
          <w:p w14:paraId="35F2A58B" w14:textId="77777777" w:rsidR="00A373FA" w:rsidRPr="006663D5" w:rsidRDefault="00A373FA" w:rsidP="00A373FA">
            <w:pPr>
              <w:pStyle w:val="ARtabletext"/>
            </w:pPr>
            <w:r w:rsidRPr="00D92E82">
              <w:rPr>
                <w:sz w:val="16"/>
                <w:szCs w:val="16"/>
              </w:rPr>
              <w:t>Promote community awareness of the SafeScript real-time prescription monitoring system ahead of its statewide roll</w:t>
            </w:r>
            <w:r w:rsidR="007F7B3C">
              <w:rPr>
                <w:sz w:val="16"/>
                <w:szCs w:val="16"/>
              </w:rPr>
              <w:t>-</w:t>
            </w:r>
            <w:r w:rsidRPr="00D92E82">
              <w:rPr>
                <w:sz w:val="16"/>
                <w:szCs w:val="16"/>
              </w:rPr>
              <w:t>out in April 2019.</w:t>
            </w:r>
          </w:p>
        </w:tc>
        <w:tc>
          <w:tcPr>
            <w:tcW w:w="2612" w:type="dxa"/>
          </w:tcPr>
          <w:p w14:paraId="38C588B5" w14:textId="77777777" w:rsidR="00A373FA" w:rsidRPr="006663D5" w:rsidRDefault="00A373FA" w:rsidP="00A373FA">
            <w:pPr>
              <w:pStyle w:val="ARtabletext"/>
            </w:pPr>
            <w:r w:rsidRPr="00D92E82">
              <w:rPr>
                <w:sz w:val="16"/>
                <w:szCs w:val="16"/>
              </w:rPr>
              <w:t>1 Sept</w:t>
            </w:r>
            <w:r w:rsidR="00AF526E">
              <w:rPr>
                <w:sz w:val="16"/>
                <w:szCs w:val="16"/>
              </w:rPr>
              <w:t>ember 2018</w:t>
            </w:r>
            <w:r w:rsidR="00AF526E">
              <w:rPr>
                <w:sz w:val="16"/>
                <w:szCs w:val="16"/>
              </w:rPr>
              <w:br/>
              <w:t>to</w:t>
            </w:r>
            <w:r w:rsidRPr="00D92E82">
              <w:rPr>
                <w:sz w:val="16"/>
                <w:szCs w:val="16"/>
              </w:rPr>
              <w:t xml:space="preserve"> 3 Nov</w:t>
            </w:r>
            <w:r w:rsidR="00AF526E">
              <w:rPr>
                <w:sz w:val="16"/>
                <w:szCs w:val="16"/>
              </w:rPr>
              <w:t>ember</w:t>
            </w:r>
            <w:r w:rsidRPr="00D92E82">
              <w:rPr>
                <w:sz w:val="16"/>
                <w:szCs w:val="16"/>
              </w:rPr>
              <w:t xml:space="preserve"> 2018 </w:t>
            </w:r>
            <w:r w:rsidR="00AF526E">
              <w:rPr>
                <w:sz w:val="16"/>
                <w:szCs w:val="16"/>
              </w:rPr>
              <w:br/>
            </w:r>
            <w:r w:rsidRPr="00D92E82">
              <w:rPr>
                <w:sz w:val="16"/>
                <w:szCs w:val="16"/>
              </w:rPr>
              <w:t xml:space="preserve">and </w:t>
            </w:r>
            <w:r w:rsidR="00AF526E">
              <w:rPr>
                <w:sz w:val="16"/>
                <w:szCs w:val="16"/>
              </w:rPr>
              <w:br/>
            </w:r>
            <w:r w:rsidRPr="00D92E82">
              <w:rPr>
                <w:sz w:val="16"/>
                <w:szCs w:val="16"/>
              </w:rPr>
              <w:t>3 Mar</w:t>
            </w:r>
            <w:r w:rsidR="00AF526E">
              <w:rPr>
                <w:sz w:val="16"/>
                <w:szCs w:val="16"/>
              </w:rPr>
              <w:t>ch</w:t>
            </w:r>
            <w:r w:rsidRPr="00D92E82">
              <w:rPr>
                <w:sz w:val="16"/>
                <w:szCs w:val="16"/>
              </w:rPr>
              <w:t xml:space="preserve"> </w:t>
            </w:r>
            <w:r w:rsidR="00E20FB8">
              <w:rPr>
                <w:sz w:val="16"/>
                <w:szCs w:val="16"/>
              </w:rPr>
              <w:t>2019</w:t>
            </w:r>
            <w:r w:rsidR="00267E5C">
              <w:rPr>
                <w:sz w:val="16"/>
                <w:szCs w:val="16"/>
              </w:rPr>
              <w:t xml:space="preserve"> </w:t>
            </w:r>
            <w:r w:rsidR="00267E5C">
              <w:rPr>
                <w:sz w:val="16"/>
                <w:szCs w:val="16"/>
              </w:rPr>
              <w:br/>
              <w:t>to</w:t>
            </w:r>
            <w:r w:rsidRPr="00D92E82">
              <w:rPr>
                <w:sz w:val="16"/>
                <w:szCs w:val="16"/>
              </w:rPr>
              <w:t xml:space="preserve"> 4 May 2019</w:t>
            </w:r>
          </w:p>
        </w:tc>
        <w:tc>
          <w:tcPr>
            <w:tcW w:w="1129" w:type="dxa"/>
          </w:tcPr>
          <w:p w14:paraId="0D1A6A70" w14:textId="77777777" w:rsidR="00A373FA" w:rsidRPr="006663D5" w:rsidRDefault="00A373FA" w:rsidP="00A373FA">
            <w:pPr>
              <w:pStyle w:val="ARtabletextright"/>
            </w:pPr>
            <w:r w:rsidRPr="00D92E82">
              <w:rPr>
                <w:sz w:val="16"/>
                <w:szCs w:val="16"/>
              </w:rPr>
              <w:t>$802,200</w:t>
            </w:r>
          </w:p>
        </w:tc>
        <w:tc>
          <w:tcPr>
            <w:tcW w:w="0" w:type="auto"/>
          </w:tcPr>
          <w:p w14:paraId="497206A1" w14:textId="77777777" w:rsidR="00A373FA" w:rsidRPr="007939DD" w:rsidRDefault="00A373FA" w:rsidP="00A373FA">
            <w:pPr>
              <w:pStyle w:val="ARtabletextright"/>
            </w:pPr>
            <w:r>
              <w:rPr>
                <w:sz w:val="16"/>
                <w:szCs w:val="16"/>
              </w:rPr>
              <w:t>$42,000</w:t>
            </w:r>
          </w:p>
        </w:tc>
        <w:tc>
          <w:tcPr>
            <w:tcW w:w="0" w:type="auto"/>
          </w:tcPr>
          <w:p w14:paraId="36753451" w14:textId="77777777" w:rsidR="00A373FA" w:rsidRPr="007939DD" w:rsidRDefault="00A373FA" w:rsidP="00A373FA">
            <w:pPr>
              <w:pStyle w:val="ARtabletextright"/>
            </w:pPr>
            <w:r>
              <w:rPr>
                <w:sz w:val="16"/>
                <w:szCs w:val="16"/>
              </w:rPr>
              <w:t>N/A</w:t>
            </w:r>
          </w:p>
        </w:tc>
        <w:tc>
          <w:tcPr>
            <w:tcW w:w="0" w:type="auto"/>
          </w:tcPr>
          <w:p w14:paraId="4964DB7F" w14:textId="77777777" w:rsidR="00A373FA" w:rsidRPr="007939DD" w:rsidRDefault="00A373FA" w:rsidP="00A373FA">
            <w:pPr>
              <w:pStyle w:val="ARtabletextright"/>
            </w:pPr>
            <w:r>
              <w:rPr>
                <w:sz w:val="16"/>
                <w:szCs w:val="16"/>
              </w:rPr>
              <w:t>$45,000</w:t>
            </w:r>
          </w:p>
        </w:tc>
        <w:tc>
          <w:tcPr>
            <w:tcW w:w="0" w:type="auto"/>
          </w:tcPr>
          <w:p w14:paraId="3D456955" w14:textId="77777777" w:rsidR="00A373FA" w:rsidRPr="007939DD" w:rsidRDefault="00A373FA" w:rsidP="00A373FA">
            <w:pPr>
              <w:pStyle w:val="ARtabletextright"/>
            </w:pPr>
            <w:r>
              <w:rPr>
                <w:sz w:val="16"/>
                <w:szCs w:val="16"/>
              </w:rPr>
              <w:t>$18,000</w:t>
            </w:r>
          </w:p>
        </w:tc>
        <w:tc>
          <w:tcPr>
            <w:tcW w:w="0" w:type="auto"/>
          </w:tcPr>
          <w:p w14:paraId="2AE6C5AF" w14:textId="77777777" w:rsidR="00A373FA" w:rsidRPr="007939DD" w:rsidRDefault="00A373FA" w:rsidP="00A373FA">
            <w:pPr>
              <w:pStyle w:val="ARtabletextright"/>
            </w:pPr>
            <w:r>
              <w:rPr>
                <w:sz w:val="16"/>
                <w:szCs w:val="16"/>
              </w:rPr>
              <w:t>$907,200</w:t>
            </w:r>
          </w:p>
        </w:tc>
      </w:tr>
      <w:tr w:rsidR="00A373FA" w:rsidRPr="007939DD" w14:paraId="1FB03FFC" w14:textId="77777777" w:rsidTr="003A7E6B">
        <w:tc>
          <w:tcPr>
            <w:tcW w:w="1261" w:type="dxa"/>
          </w:tcPr>
          <w:p w14:paraId="4E71CBCD" w14:textId="77777777" w:rsidR="00A373FA" w:rsidRPr="006663D5" w:rsidRDefault="00A373FA" w:rsidP="00A373FA">
            <w:pPr>
              <w:pStyle w:val="ARtabletext"/>
              <w:rPr>
                <w:sz w:val="16"/>
                <w:szCs w:val="16"/>
              </w:rPr>
            </w:pPr>
            <w:r w:rsidRPr="00B45F2D">
              <w:rPr>
                <w:sz w:val="16"/>
                <w:szCs w:val="16"/>
              </w:rPr>
              <w:t>Survive the Heat 2018–19</w:t>
            </w:r>
          </w:p>
        </w:tc>
        <w:tc>
          <w:tcPr>
            <w:tcW w:w="3265" w:type="dxa"/>
          </w:tcPr>
          <w:p w14:paraId="7EA4514F" w14:textId="77777777" w:rsidR="00A373FA" w:rsidRPr="006663D5" w:rsidRDefault="00A373FA" w:rsidP="00A373FA">
            <w:pPr>
              <w:pStyle w:val="ARtabletext"/>
              <w:rPr>
                <w:sz w:val="16"/>
                <w:szCs w:val="16"/>
              </w:rPr>
            </w:pPr>
            <w:r w:rsidRPr="00B45F2D">
              <w:rPr>
                <w:sz w:val="16"/>
                <w:szCs w:val="16"/>
              </w:rPr>
              <w:t>Ensure the community understands the risks of extreme heat to their health and how to manage these risks appropriately</w:t>
            </w:r>
            <w:r>
              <w:rPr>
                <w:sz w:val="16"/>
                <w:szCs w:val="16"/>
              </w:rPr>
              <w:t>.</w:t>
            </w:r>
          </w:p>
        </w:tc>
        <w:tc>
          <w:tcPr>
            <w:tcW w:w="2612" w:type="dxa"/>
          </w:tcPr>
          <w:p w14:paraId="00D03BBD" w14:textId="77777777" w:rsidR="00A373FA" w:rsidRPr="006663D5" w:rsidRDefault="00A373FA" w:rsidP="00A373FA">
            <w:pPr>
              <w:pStyle w:val="ARtabletext"/>
            </w:pPr>
            <w:r w:rsidRPr="00B45F2D">
              <w:rPr>
                <w:sz w:val="16"/>
                <w:szCs w:val="16"/>
              </w:rPr>
              <w:t>10 Dec</w:t>
            </w:r>
            <w:r w:rsidR="00AF526E">
              <w:rPr>
                <w:sz w:val="16"/>
                <w:szCs w:val="16"/>
              </w:rPr>
              <w:t xml:space="preserve">ember </w:t>
            </w:r>
            <w:r w:rsidRPr="00B45F2D">
              <w:rPr>
                <w:sz w:val="16"/>
                <w:szCs w:val="16"/>
              </w:rPr>
              <w:t xml:space="preserve">2017 </w:t>
            </w:r>
            <w:r w:rsidR="00AF526E">
              <w:rPr>
                <w:sz w:val="16"/>
                <w:szCs w:val="16"/>
              </w:rPr>
              <w:br/>
            </w:r>
            <w:r w:rsidRPr="00B45F2D">
              <w:rPr>
                <w:sz w:val="16"/>
                <w:szCs w:val="16"/>
              </w:rPr>
              <w:t>to 31 March 2018</w:t>
            </w:r>
          </w:p>
        </w:tc>
        <w:tc>
          <w:tcPr>
            <w:tcW w:w="1129" w:type="dxa"/>
          </w:tcPr>
          <w:p w14:paraId="4F9074D6" w14:textId="77777777" w:rsidR="00A373FA" w:rsidRPr="006663D5" w:rsidRDefault="00A373FA" w:rsidP="00A373FA">
            <w:pPr>
              <w:pStyle w:val="ARtabletextright"/>
            </w:pPr>
            <w:r>
              <w:rPr>
                <w:sz w:val="16"/>
                <w:szCs w:val="16"/>
              </w:rPr>
              <w:t>$530,760</w:t>
            </w:r>
          </w:p>
        </w:tc>
        <w:tc>
          <w:tcPr>
            <w:tcW w:w="0" w:type="auto"/>
          </w:tcPr>
          <w:p w14:paraId="73DF11E7" w14:textId="77777777" w:rsidR="00A373FA" w:rsidRPr="007939DD" w:rsidRDefault="00A373FA" w:rsidP="00A373FA">
            <w:pPr>
              <w:pStyle w:val="ARtabletextright"/>
            </w:pPr>
            <w:r>
              <w:rPr>
                <w:sz w:val="16"/>
                <w:szCs w:val="16"/>
              </w:rPr>
              <w:t>$16,521</w:t>
            </w:r>
          </w:p>
        </w:tc>
        <w:tc>
          <w:tcPr>
            <w:tcW w:w="0" w:type="auto"/>
          </w:tcPr>
          <w:p w14:paraId="4FBEC041" w14:textId="77777777" w:rsidR="00A373FA" w:rsidRPr="007939DD" w:rsidRDefault="00A373FA" w:rsidP="00A373FA">
            <w:pPr>
              <w:pStyle w:val="ARtabletextright"/>
            </w:pPr>
            <w:r>
              <w:rPr>
                <w:sz w:val="16"/>
                <w:szCs w:val="16"/>
              </w:rPr>
              <w:t>$26,400</w:t>
            </w:r>
          </w:p>
        </w:tc>
        <w:tc>
          <w:tcPr>
            <w:tcW w:w="0" w:type="auto"/>
          </w:tcPr>
          <w:p w14:paraId="63E268D5" w14:textId="77777777" w:rsidR="00A373FA" w:rsidRPr="007939DD" w:rsidRDefault="00A373FA" w:rsidP="00A373FA">
            <w:pPr>
              <w:pStyle w:val="ARtabletextright"/>
            </w:pPr>
            <w:r>
              <w:rPr>
                <w:sz w:val="16"/>
                <w:szCs w:val="16"/>
              </w:rPr>
              <w:t>$12,905</w:t>
            </w:r>
          </w:p>
        </w:tc>
        <w:tc>
          <w:tcPr>
            <w:tcW w:w="0" w:type="auto"/>
          </w:tcPr>
          <w:p w14:paraId="7FDCB0CE" w14:textId="77777777" w:rsidR="00A373FA" w:rsidRPr="007939DD" w:rsidRDefault="00A373FA" w:rsidP="00A373FA">
            <w:pPr>
              <w:pStyle w:val="ARtabletextright"/>
            </w:pPr>
            <w:r>
              <w:rPr>
                <w:sz w:val="16"/>
                <w:szCs w:val="16"/>
              </w:rPr>
              <w:t>$5,000</w:t>
            </w:r>
          </w:p>
        </w:tc>
        <w:tc>
          <w:tcPr>
            <w:tcW w:w="0" w:type="auto"/>
          </w:tcPr>
          <w:p w14:paraId="5077D196" w14:textId="77777777" w:rsidR="00A373FA" w:rsidRPr="007939DD" w:rsidRDefault="00A373FA" w:rsidP="00A373FA">
            <w:pPr>
              <w:pStyle w:val="ARtabletextright"/>
            </w:pPr>
            <w:r>
              <w:rPr>
                <w:sz w:val="16"/>
                <w:szCs w:val="16"/>
              </w:rPr>
              <w:t>$591,586</w:t>
            </w:r>
          </w:p>
        </w:tc>
      </w:tr>
      <w:tr w:rsidR="00A373FA" w:rsidRPr="007939DD" w14:paraId="6BF7040C" w14:textId="77777777" w:rsidTr="003A7E6B">
        <w:tc>
          <w:tcPr>
            <w:tcW w:w="1261" w:type="dxa"/>
          </w:tcPr>
          <w:p w14:paraId="47936DE1" w14:textId="77777777" w:rsidR="00A373FA" w:rsidRPr="006663D5" w:rsidRDefault="00A373FA" w:rsidP="00A373FA">
            <w:pPr>
              <w:pStyle w:val="ARtabletext"/>
              <w:rPr>
                <w:sz w:val="16"/>
                <w:szCs w:val="16"/>
              </w:rPr>
            </w:pPr>
            <w:r w:rsidRPr="00B45F2D">
              <w:rPr>
                <w:sz w:val="16"/>
                <w:szCs w:val="16"/>
              </w:rPr>
              <w:t>Epidemic Thunderstorm Asthma</w:t>
            </w:r>
          </w:p>
        </w:tc>
        <w:tc>
          <w:tcPr>
            <w:tcW w:w="3265" w:type="dxa"/>
          </w:tcPr>
          <w:p w14:paraId="7DEB2794" w14:textId="77777777" w:rsidR="00A373FA" w:rsidRPr="006663D5" w:rsidRDefault="00A373FA" w:rsidP="00A373FA">
            <w:pPr>
              <w:pStyle w:val="ARtabletext"/>
              <w:rPr>
                <w:sz w:val="16"/>
                <w:szCs w:val="16"/>
              </w:rPr>
            </w:pPr>
            <w:r w:rsidRPr="00B45F2D">
              <w:rPr>
                <w:sz w:val="16"/>
                <w:szCs w:val="16"/>
              </w:rPr>
              <w:t xml:space="preserve">This campaign was developed in response to recommendations identified in the Inspector-General of Emergency Management’s </w:t>
            </w:r>
            <w:r w:rsidRPr="00E34BA4">
              <w:rPr>
                <w:i/>
                <w:iCs/>
                <w:sz w:val="16"/>
                <w:szCs w:val="16"/>
              </w:rPr>
              <w:t>Review of response to the thunderstorm asthma event of 21–22 November 2016</w:t>
            </w:r>
            <w:r w:rsidRPr="00B45F2D">
              <w:rPr>
                <w:sz w:val="16"/>
                <w:szCs w:val="16"/>
              </w:rPr>
              <w:t>.</w:t>
            </w:r>
          </w:p>
        </w:tc>
        <w:tc>
          <w:tcPr>
            <w:tcW w:w="2612" w:type="dxa"/>
          </w:tcPr>
          <w:p w14:paraId="415A469C" w14:textId="77777777" w:rsidR="00A373FA" w:rsidRPr="006663D5" w:rsidRDefault="00A373FA" w:rsidP="00A373FA">
            <w:pPr>
              <w:pStyle w:val="ARtabletext"/>
            </w:pPr>
            <w:r w:rsidRPr="00B45F2D">
              <w:rPr>
                <w:sz w:val="16"/>
                <w:szCs w:val="16"/>
              </w:rPr>
              <w:t>15 Sept</w:t>
            </w:r>
            <w:r w:rsidR="00AF526E">
              <w:rPr>
                <w:sz w:val="16"/>
                <w:szCs w:val="16"/>
              </w:rPr>
              <w:t>ember 2018</w:t>
            </w:r>
            <w:r w:rsidR="00AF526E">
              <w:rPr>
                <w:sz w:val="16"/>
                <w:szCs w:val="16"/>
              </w:rPr>
              <w:br/>
              <w:t xml:space="preserve">to </w:t>
            </w:r>
            <w:r w:rsidRPr="00B45F2D">
              <w:rPr>
                <w:sz w:val="16"/>
                <w:szCs w:val="16"/>
              </w:rPr>
              <w:t>31 Dec</w:t>
            </w:r>
            <w:r w:rsidR="00AF526E">
              <w:rPr>
                <w:sz w:val="16"/>
                <w:szCs w:val="16"/>
              </w:rPr>
              <w:t>ember</w:t>
            </w:r>
            <w:r w:rsidRPr="00B45F2D">
              <w:rPr>
                <w:sz w:val="16"/>
                <w:szCs w:val="16"/>
              </w:rPr>
              <w:t xml:space="preserve"> 2018</w:t>
            </w:r>
          </w:p>
        </w:tc>
        <w:tc>
          <w:tcPr>
            <w:tcW w:w="1129" w:type="dxa"/>
          </w:tcPr>
          <w:p w14:paraId="3F53B39A" w14:textId="77777777" w:rsidR="00A373FA" w:rsidRPr="006663D5" w:rsidRDefault="00A373FA" w:rsidP="00A373FA">
            <w:pPr>
              <w:pStyle w:val="ARtabletextright"/>
            </w:pPr>
            <w:r w:rsidRPr="00CD082A">
              <w:rPr>
                <w:sz w:val="16"/>
                <w:szCs w:val="16"/>
              </w:rPr>
              <w:t>$196,596</w:t>
            </w:r>
          </w:p>
        </w:tc>
        <w:tc>
          <w:tcPr>
            <w:tcW w:w="0" w:type="auto"/>
          </w:tcPr>
          <w:p w14:paraId="091DE820" w14:textId="77777777" w:rsidR="00A373FA" w:rsidRPr="007939DD" w:rsidRDefault="00A373FA" w:rsidP="00A373FA">
            <w:pPr>
              <w:pStyle w:val="ARtabletextright"/>
            </w:pPr>
            <w:r w:rsidRPr="00CD082A">
              <w:rPr>
                <w:sz w:val="16"/>
                <w:szCs w:val="16"/>
              </w:rPr>
              <w:t>$49,789</w:t>
            </w:r>
          </w:p>
        </w:tc>
        <w:tc>
          <w:tcPr>
            <w:tcW w:w="0" w:type="auto"/>
          </w:tcPr>
          <w:p w14:paraId="5B5ECA8C" w14:textId="77777777" w:rsidR="00A373FA" w:rsidRPr="007939DD" w:rsidRDefault="00A373FA" w:rsidP="00A373FA">
            <w:pPr>
              <w:pStyle w:val="ARtabletextright"/>
            </w:pPr>
            <w:r w:rsidRPr="00CD082A">
              <w:rPr>
                <w:sz w:val="16"/>
                <w:szCs w:val="16"/>
              </w:rPr>
              <w:t>$32,063</w:t>
            </w:r>
          </w:p>
        </w:tc>
        <w:tc>
          <w:tcPr>
            <w:tcW w:w="0" w:type="auto"/>
          </w:tcPr>
          <w:p w14:paraId="5E8D3C2B" w14:textId="77777777" w:rsidR="00A373FA" w:rsidRPr="007939DD" w:rsidRDefault="00A373FA" w:rsidP="00A373FA">
            <w:pPr>
              <w:pStyle w:val="ARtabletextright"/>
            </w:pPr>
            <w:r w:rsidRPr="00CD082A">
              <w:rPr>
                <w:sz w:val="16"/>
                <w:szCs w:val="16"/>
              </w:rPr>
              <w:t>$35,127</w:t>
            </w:r>
          </w:p>
        </w:tc>
        <w:tc>
          <w:tcPr>
            <w:tcW w:w="0" w:type="auto"/>
          </w:tcPr>
          <w:p w14:paraId="6B4A1942" w14:textId="77777777" w:rsidR="00A373FA" w:rsidRPr="007939DD" w:rsidRDefault="00A373FA" w:rsidP="00A373FA">
            <w:pPr>
              <w:pStyle w:val="ARtabletextright"/>
            </w:pPr>
            <w:r>
              <w:rPr>
                <w:sz w:val="16"/>
                <w:szCs w:val="16"/>
              </w:rPr>
              <w:t>N/A</w:t>
            </w:r>
          </w:p>
        </w:tc>
        <w:tc>
          <w:tcPr>
            <w:tcW w:w="0" w:type="auto"/>
          </w:tcPr>
          <w:p w14:paraId="14B7D870" w14:textId="77777777" w:rsidR="00A373FA" w:rsidRPr="007939DD" w:rsidRDefault="00A373FA" w:rsidP="00A373FA">
            <w:pPr>
              <w:pStyle w:val="ARtabletextright"/>
            </w:pPr>
            <w:r w:rsidRPr="00CD082A">
              <w:rPr>
                <w:sz w:val="16"/>
                <w:szCs w:val="16"/>
              </w:rPr>
              <w:t>$313,57</w:t>
            </w:r>
            <w:r w:rsidR="00E20FB8">
              <w:rPr>
                <w:sz w:val="16"/>
                <w:szCs w:val="16"/>
              </w:rPr>
              <w:t>5</w:t>
            </w:r>
          </w:p>
        </w:tc>
      </w:tr>
      <w:tr w:rsidR="00A373FA" w:rsidRPr="007939DD" w14:paraId="7FF63B9F" w14:textId="77777777" w:rsidTr="003A7E6B">
        <w:tc>
          <w:tcPr>
            <w:tcW w:w="1261" w:type="dxa"/>
          </w:tcPr>
          <w:p w14:paraId="7E632582" w14:textId="77777777" w:rsidR="00A373FA" w:rsidRPr="006663D5" w:rsidRDefault="00A373FA" w:rsidP="00A373FA">
            <w:pPr>
              <w:pStyle w:val="ARtabletext"/>
              <w:rPr>
                <w:sz w:val="16"/>
                <w:szCs w:val="16"/>
              </w:rPr>
            </w:pPr>
            <w:r w:rsidRPr="0064628D">
              <w:t>S</w:t>
            </w:r>
            <w:r w:rsidRPr="0064628D">
              <w:rPr>
                <w:sz w:val="16"/>
                <w:szCs w:val="16"/>
              </w:rPr>
              <w:t>upercare</w:t>
            </w:r>
          </w:p>
        </w:tc>
        <w:tc>
          <w:tcPr>
            <w:tcW w:w="3265" w:type="dxa"/>
          </w:tcPr>
          <w:p w14:paraId="3CA2F4D2" w14:textId="77777777" w:rsidR="00A373FA" w:rsidRPr="006663D5" w:rsidRDefault="00A373FA" w:rsidP="00A373FA">
            <w:pPr>
              <w:pStyle w:val="ARtabletext"/>
              <w:rPr>
                <w:sz w:val="16"/>
                <w:szCs w:val="16"/>
              </w:rPr>
            </w:pPr>
            <w:r w:rsidRPr="0064628D">
              <w:rPr>
                <w:sz w:val="16"/>
                <w:szCs w:val="16"/>
              </w:rPr>
              <w:t>Raise awareness of the scale and scope of services offered by Supercare pharmacies throughout Victoria</w:t>
            </w:r>
            <w:r>
              <w:rPr>
                <w:sz w:val="16"/>
                <w:szCs w:val="16"/>
              </w:rPr>
              <w:t>.</w:t>
            </w:r>
          </w:p>
        </w:tc>
        <w:tc>
          <w:tcPr>
            <w:tcW w:w="2612" w:type="dxa"/>
          </w:tcPr>
          <w:p w14:paraId="5296FB39" w14:textId="77777777" w:rsidR="00A373FA" w:rsidRPr="006663D5" w:rsidRDefault="00A373FA" w:rsidP="00A373FA">
            <w:pPr>
              <w:pStyle w:val="ARtabletext"/>
              <w:rPr>
                <w:sz w:val="16"/>
                <w:szCs w:val="16"/>
              </w:rPr>
            </w:pPr>
            <w:r w:rsidRPr="0064628D">
              <w:rPr>
                <w:sz w:val="16"/>
                <w:szCs w:val="16"/>
              </w:rPr>
              <w:t xml:space="preserve">1 July 2017 </w:t>
            </w:r>
            <w:r w:rsidR="00AF526E">
              <w:rPr>
                <w:sz w:val="16"/>
                <w:szCs w:val="16"/>
              </w:rPr>
              <w:br/>
              <w:t xml:space="preserve">to </w:t>
            </w:r>
            <w:r w:rsidRPr="0064628D">
              <w:rPr>
                <w:sz w:val="16"/>
                <w:szCs w:val="16"/>
              </w:rPr>
              <w:t>30 June 2018</w:t>
            </w:r>
          </w:p>
        </w:tc>
        <w:tc>
          <w:tcPr>
            <w:tcW w:w="1129" w:type="dxa"/>
          </w:tcPr>
          <w:p w14:paraId="053098DF" w14:textId="77777777" w:rsidR="00A373FA" w:rsidRPr="006663D5" w:rsidRDefault="00A373FA" w:rsidP="00A373FA">
            <w:pPr>
              <w:pStyle w:val="ARtabletextright"/>
              <w:rPr>
                <w:sz w:val="16"/>
                <w:szCs w:val="16"/>
              </w:rPr>
            </w:pPr>
            <w:r w:rsidRPr="0064628D">
              <w:rPr>
                <w:sz w:val="16"/>
                <w:szCs w:val="16"/>
              </w:rPr>
              <w:t>$267,54</w:t>
            </w:r>
            <w:r w:rsidR="00E95F4B">
              <w:rPr>
                <w:sz w:val="16"/>
                <w:szCs w:val="16"/>
              </w:rPr>
              <w:t>4</w:t>
            </w:r>
          </w:p>
        </w:tc>
        <w:tc>
          <w:tcPr>
            <w:tcW w:w="0" w:type="auto"/>
          </w:tcPr>
          <w:p w14:paraId="34654A5A" w14:textId="77777777" w:rsidR="00A373FA" w:rsidRPr="007939DD" w:rsidRDefault="00A373FA" w:rsidP="00A373FA">
            <w:pPr>
              <w:pStyle w:val="ARtabletextright"/>
            </w:pPr>
            <w:r w:rsidRPr="0064628D">
              <w:rPr>
                <w:sz w:val="16"/>
                <w:szCs w:val="16"/>
              </w:rPr>
              <w:t>N/A</w:t>
            </w:r>
          </w:p>
        </w:tc>
        <w:tc>
          <w:tcPr>
            <w:tcW w:w="0" w:type="auto"/>
          </w:tcPr>
          <w:p w14:paraId="2CE22009" w14:textId="77777777" w:rsidR="00A373FA" w:rsidRPr="007939DD" w:rsidRDefault="00A373FA" w:rsidP="00A373FA">
            <w:pPr>
              <w:pStyle w:val="ARtabletextright"/>
            </w:pPr>
            <w:r w:rsidRPr="0064628D">
              <w:rPr>
                <w:sz w:val="16"/>
                <w:szCs w:val="16"/>
              </w:rPr>
              <w:t>N/A</w:t>
            </w:r>
          </w:p>
        </w:tc>
        <w:tc>
          <w:tcPr>
            <w:tcW w:w="0" w:type="auto"/>
          </w:tcPr>
          <w:p w14:paraId="79F3BBBA" w14:textId="77777777" w:rsidR="00A373FA" w:rsidRPr="007939DD" w:rsidRDefault="00A373FA" w:rsidP="00A373FA">
            <w:pPr>
              <w:pStyle w:val="ARtabletextright"/>
            </w:pPr>
            <w:r w:rsidRPr="0064628D">
              <w:rPr>
                <w:sz w:val="16"/>
                <w:szCs w:val="16"/>
              </w:rPr>
              <w:t>N/A</w:t>
            </w:r>
          </w:p>
        </w:tc>
        <w:tc>
          <w:tcPr>
            <w:tcW w:w="0" w:type="auto"/>
          </w:tcPr>
          <w:p w14:paraId="1675D332" w14:textId="77777777" w:rsidR="00A373FA" w:rsidRPr="007939DD" w:rsidRDefault="00A373FA" w:rsidP="00A373FA">
            <w:pPr>
              <w:pStyle w:val="ARtabletextright"/>
            </w:pPr>
            <w:r w:rsidRPr="0064628D">
              <w:rPr>
                <w:sz w:val="16"/>
                <w:szCs w:val="16"/>
              </w:rPr>
              <w:t>N/A</w:t>
            </w:r>
          </w:p>
        </w:tc>
        <w:tc>
          <w:tcPr>
            <w:tcW w:w="0" w:type="auto"/>
          </w:tcPr>
          <w:p w14:paraId="4133EC1F" w14:textId="77777777" w:rsidR="00A373FA" w:rsidRPr="007939DD" w:rsidRDefault="00A373FA" w:rsidP="00A373FA">
            <w:pPr>
              <w:pStyle w:val="ARtabletextright"/>
            </w:pPr>
            <w:r w:rsidRPr="0064628D">
              <w:rPr>
                <w:sz w:val="16"/>
                <w:szCs w:val="16"/>
              </w:rPr>
              <w:t>$267,54</w:t>
            </w:r>
            <w:r w:rsidR="00E95F4B">
              <w:rPr>
                <w:sz w:val="16"/>
                <w:szCs w:val="16"/>
              </w:rPr>
              <w:t>4</w:t>
            </w:r>
          </w:p>
        </w:tc>
      </w:tr>
      <w:tr w:rsidR="00A373FA" w:rsidRPr="007939DD" w14:paraId="6E3BDB8B" w14:textId="77777777" w:rsidTr="003A7E6B">
        <w:tc>
          <w:tcPr>
            <w:tcW w:w="1261" w:type="dxa"/>
          </w:tcPr>
          <w:p w14:paraId="245A4537" w14:textId="77777777" w:rsidR="00A373FA" w:rsidRPr="006663D5" w:rsidRDefault="00A373FA" w:rsidP="00A373FA">
            <w:pPr>
              <w:pStyle w:val="ARtabletext"/>
              <w:rPr>
                <w:sz w:val="16"/>
                <w:szCs w:val="16"/>
              </w:rPr>
            </w:pPr>
            <w:r w:rsidRPr="00FA16B7">
              <w:rPr>
                <w:sz w:val="16"/>
                <w:szCs w:val="16"/>
              </w:rPr>
              <w:t>Save Lives, Save 000 for Emergencies</w:t>
            </w:r>
          </w:p>
        </w:tc>
        <w:tc>
          <w:tcPr>
            <w:tcW w:w="3265" w:type="dxa"/>
          </w:tcPr>
          <w:p w14:paraId="361E0B99" w14:textId="77777777" w:rsidR="00A373FA" w:rsidRPr="006663D5" w:rsidRDefault="00A373FA" w:rsidP="00A373FA">
            <w:pPr>
              <w:pStyle w:val="ARtabletext"/>
              <w:rPr>
                <w:sz w:val="16"/>
                <w:szCs w:val="16"/>
              </w:rPr>
            </w:pPr>
            <w:r w:rsidRPr="00FA16B7">
              <w:rPr>
                <w:sz w:val="16"/>
                <w:szCs w:val="16"/>
              </w:rPr>
              <w:t>To remind Victorians to save Triple Zero for emergencies and promote a range of other health services as options for non-life-threatening situations</w:t>
            </w:r>
            <w:r>
              <w:rPr>
                <w:sz w:val="16"/>
                <w:szCs w:val="16"/>
              </w:rPr>
              <w:t>.</w:t>
            </w:r>
          </w:p>
        </w:tc>
        <w:tc>
          <w:tcPr>
            <w:tcW w:w="2612" w:type="dxa"/>
          </w:tcPr>
          <w:p w14:paraId="39AFC466" w14:textId="77777777" w:rsidR="00A373FA" w:rsidRPr="006663D5" w:rsidRDefault="00A373FA" w:rsidP="00A373FA">
            <w:pPr>
              <w:pStyle w:val="ARtabletext"/>
              <w:rPr>
                <w:sz w:val="16"/>
                <w:szCs w:val="16"/>
              </w:rPr>
            </w:pPr>
            <w:r w:rsidRPr="00FA16B7">
              <w:rPr>
                <w:sz w:val="16"/>
                <w:szCs w:val="16"/>
              </w:rPr>
              <w:t xml:space="preserve">19 August </w:t>
            </w:r>
            <w:r w:rsidR="00AF526E">
              <w:rPr>
                <w:sz w:val="16"/>
                <w:szCs w:val="16"/>
              </w:rPr>
              <w:t>2018</w:t>
            </w:r>
            <w:r w:rsidR="00AF526E">
              <w:rPr>
                <w:sz w:val="16"/>
                <w:szCs w:val="16"/>
              </w:rPr>
              <w:br/>
              <w:t xml:space="preserve">to </w:t>
            </w:r>
            <w:r w:rsidRPr="00FA16B7">
              <w:rPr>
                <w:sz w:val="16"/>
                <w:szCs w:val="16"/>
              </w:rPr>
              <w:t>25 October 2018</w:t>
            </w:r>
          </w:p>
        </w:tc>
        <w:tc>
          <w:tcPr>
            <w:tcW w:w="1129" w:type="dxa"/>
          </w:tcPr>
          <w:p w14:paraId="270E5266" w14:textId="77777777" w:rsidR="00A373FA" w:rsidRPr="006663D5" w:rsidRDefault="00A373FA" w:rsidP="00A373FA">
            <w:pPr>
              <w:pStyle w:val="ARtabletextright"/>
              <w:rPr>
                <w:sz w:val="16"/>
                <w:szCs w:val="16"/>
              </w:rPr>
            </w:pPr>
            <w:r w:rsidRPr="00FA16B7">
              <w:rPr>
                <w:sz w:val="16"/>
                <w:szCs w:val="16"/>
              </w:rPr>
              <w:t>$884,21</w:t>
            </w:r>
            <w:r w:rsidR="00E95F4B">
              <w:rPr>
                <w:sz w:val="16"/>
                <w:szCs w:val="16"/>
              </w:rPr>
              <w:t>5</w:t>
            </w:r>
          </w:p>
        </w:tc>
        <w:tc>
          <w:tcPr>
            <w:tcW w:w="0" w:type="auto"/>
          </w:tcPr>
          <w:p w14:paraId="6B7BE89F" w14:textId="77777777" w:rsidR="00A373FA" w:rsidRPr="007939DD" w:rsidRDefault="00A373FA" w:rsidP="00A373FA">
            <w:pPr>
              <w:pStyle w:val="ARtabletextright"/>
            </w:pPr>
            <w:r w:rsidRPr="00FA16B7">
              <w:rPr>
                <w:sz w:val="16"/>
                <w:szCs w:val="16"/>
              </w:rPr>
              <w:t>$270,500</w:t>
            </w:r>
          </w:p>
        </w:tc>
        <w:tc>
          <w:tcPr>
            <w:tcW w:w="0" w:type="auto"/>
          </w:tcPr>
          <w:p w14:paraId="0B98063D" w14:textId="77777777" w:rsidR="00A373FA" w:rsidRPr="007939DD" w:rsidRDefault="00A373FA" w:rsidP="00A373FA">
            <w:pPr>
              <w:pStyle w:val="ARtabletextright"/>
            </w:pPr>
            <w:r w:rsidRPr="00FA16B7">
              <w:rPr>
                <w:sz w:val="16"/>
                <w:szCs w:val="16"/>
              </w:rPr>
              <w:t>N/A</w:t>
            </w:r>
          </w:p>
        </w:tc>
        <w:tc>
          <w:tcPr>
            <w:tcW w:w="0" w:type="auto"/>
          </w:tcPr>
          <w:p w14:paraId="623409FB" w14:textId="77777777" w:rsidR="00A373FA" w:rsidRPr="007939DD" w:rsidRDefault="00A373FA" w:rsidP="00A373FA">
            <w:pPr>
              <w:pStyle w:val="ARtabletextright"/>
            </w:pPr>
            <w:r w:rsidRPr="00FA16B7">
              <w:rPr>
                <w:sz w:val="16"/>
                <w:szCs w:val="16"/>
              </w:rPr>
              <w:t>N/A</w:t>
            </w:r>
          </w:p>
        </w:tc>
        <w:tc>
          <w:tcPr>
            <w:tcW w:w="0" w:type="auto"/>
          </w:tcPr>
          <w:p w14:paraId="016FC864" w14:textId="77777777" w:rsidR="00A373FA" w:rsidRPr="007939DD" w:rsidRDefault="00A373FA" w:rsidP="00A373FA">
            <w:pPr>
              <w:pStyle w:val="ARtabletextright"/>
            </w:pPr>
            <w:r w:rsidRPr="00FA16B7">
              <w:rPr>
                <w:sz w:val="16"/>
                <w:szCs w:val="16"/>
              </w:rPr>
              <w:t>N/A</w:t>
            </w:r>
          </w:p>
        </w:tc>
        <w:tc>
          <w:tcPr>
            <w:tcW w:w="0" w:type="auto"/>
          </w:tcPr>
          <w:p w14:paraId="38674E83" w14:textId="77777777" w:rsidR="00A373FA" w:rsidRPr="007939DD" w:rsidRDefault="00A373FA" w:rsidP="00A373FA">
            <w:pPr>
              <w:pStyle w:val="ARtabletextright"/>
            </w:pPr>
            <w:r w:rsidRPr="00FA16B7">
              <w:rPr>
                <w:sz w:val="16"/>
                <w:szCs w:val="16"/>
              </w:rPr>
              <w:t>$1,154,71</w:t>
            </w:r>
            <w:r w:rsidR="00E95F4B">
              <w:rPr>
                <w:sz w:val="16"/>
                <w:szCs w:val="16"/>
              </w:rPr>
              <w:t>5</w:t>
            </w:r>
          </w:p>
        </w:tc>
      </w:tr>
      <w:tr w:rsidR="00A373FA" w:rsidRPr="007939DD" w14:paraId="21728B1E" w14:textId="77777777" w:rsidTr="003A7E6B">
        <w:tc>
          <w:tcPr>
            <w:tcW w:w="1261" w:type="dxa"/>
          </w:tcPr>
          <w:p w14:paraId="096254A4" w14:textId="77777777" w:rsidR="00A373FA" w:rsidRPr="006663D5" w:rsidRDefault="00A373FA" w:rsidP="00A373FA">
            <w:pPr>
              <w:pStyle w:val="ARtabletext"/>
              <w:rPr>
                <w:sz w:val="16"/>
                <w:szCs w:val="16"/>
              </w:rPr>
            </w:pPr>
            <w:r>
              <w:rPr>
                <w:sz w:val="16"/>
                <w:szCs w:val="16"/>
              </w:rPr>
              <w:t>Seasonal Influenza</w:t>
            </w:r>
          </w:p>
        </w:tc>
        <w:tc>
          <w:tcPr>
            <w:tcW w:w="3265" w:type="dxa"/>
          </w:tcPr>
          <w:p w14:paraId="1C55D5D9" w14:textId="77777777" w:rsidR="00A373FA" w:rsidRPr="006663D5" w:rsidRDefault="00A373FA" w:rsidP="00A373FA">
            <w:pPr>
              <w:pStyle w:val="ARtabletext"/>
              <w:rPr>
                <w:sz w:val="16"/>
                <w:szCs w:val="16"/>
              </w:rPr>
            </w:pPr>
            <w:r>
              <w:rPr>
                <w:sz w:val="16"/>
                <w:szCs w:val="16"/>
              </w:rPr>
              <w:t>Prepare Victorians for the 2019</w:t>
            </w:r>
            <w:r w:rsidRPr="0064607B">
              <w:rPr>
                <w:sz w:val="16"/>
                <w:szCs w:val="16"/>
              </w:rPr>
              <w:t xml:space="preserve"> flu season by raising </w:t>
            </w:r>
            <w:r>
              <w:rPr>
                <w:sz w:val="16"/>
                <w:szCs w:val="16"/>
              </w:rPr>
              <w:t xml:space="preserve">broad awareness of the risks of </w:t>
            </w:r>
            <w:r w:rsidRPr="0064607B">
              <w:rPr>
                <w:sz w:val="16"/>
                <w:szCs w:val="16"/>
              </w:rPr>
              <w:t>influenza,</w:t>
            </w:r>
            <w:r>
              <w:rPr>
                <w:sz w:val="16"/>
                <w:szCs w:val="16"/>
              </w:rPr>
              <w:t xml:space="preserve"> particularly among</w:t>
            </w:r>
            <w:r w:rsidRPr="0064607B">
              <w:rPr>
                <w:sz w:val="16"/>
                <w:szCs w:val="16"/>
              </w:rPr>
              <w:t xml:space="preserve"> </w:t>
            </w:r>
            <w:r>
              <w:rPr>
                <w:sz w:val="16"/>
                <w:szCs w:val="16"/>
              </w:rPr>
              <w:t xml:space="preserve">those </w:t>
            </w:r>
            <w:r w:rsidRPr="0064607B">
              <w:rPr>
                <w:sz w:val="16"/>
                <w:szCs w:val="16"/>
              </w:rPr>
              <w:t>most at risk of complications, and the protective steps available, including immunisation.</w:t>
            </w:r>
          </w:p>
        </w:tc>
        <w:tc>
          <w:tcPr>
            <w:tcW w:w="2612" w:type="dxa"/>
          </w:tcPr>
          <w:p w14:paraId="23F99723" w14:textId="77777777" w:rsidR="00A373FA" w:rsidRPr="00AF526E" w:rsidRDefault="00A373FA" w:rsidP="00A373FA">
            <w:pPr>
              <w:pStyle w:val="ARtabletext"/>
              <w:rPr>
                <w:sz w:val="16"/>
                <w:szCs w:val="16"/>
              </w:rPr>
            </w:pPr>
            <w:r>
              <w:rPr>
                <w:sz w:val="16"/>
                <w:szCs w:val="16"/>
              </w:rPr>
              <w:t xml:space="preserve">23 April </w:t>
            </w:r>
            <w:r w:rsidR="00AF526E">
              <w:rPr>
                <w:sz w:val="16"/>
                <w:szCs w:val="16"/>
              </w:rPr>
              <w:t>2019</w:t>
            </w:r>
            <w:r w:rsidR="00AF526E">
              <w:rPr>
                <w:sz w:val="16"/>
                <w:szCs w:val="16"/>
              </w:rPr>
              <w:br/>
              <w:t xml:space="preserve">to </w:t>
            </w:r>
            <w:r>
              <w:rPr>
                <w:sz w:val="16"/>
                <w:szCs w:val="16"/>
              </w:rPr>
              <w:t>30 June 2019</w:t>
            </w:r>
          </w:p>
        </w:tc>
        <w:tc>
          <w:tcPr>
            <w:tcW w:w="1129" w:type="dxa"/>
          </w:tcPr>
          <w:p w14:paraId="3927E11F" w14:textId="77777777" w:rsidR="00A373FA" w:rsidRPr="006663D5" w:rsidRDefault="00A373FA" w:rsidP="00A373FA">
            <w:pPr>
              <w:pStyle w:val="ARtabletextright"/>
            </w:pPr>
            <w:r w:rsidRPr="00F5568D">
              <w:rPr>
                <w:sz w:val="16"/>
                <w:szCs w:val="16"/>
              </w:rPr>
              <w:t>$717,15</w:t>
            </w:r>
            <w:r w:rsidR="00EF1F68">
              <w:rPr>
                <w:sz w:val="16"/>
                <w:szCs w:val="16"/>
              </w:rPr>
              <w:t>4</w:t>
            </w:r>
          </w:p>
        </w:tc>
        <w:tc>
          <w:tcPr>
            <w:tcW w:w="0" w:type="auto"/>
          </w:tcPr>
          <w:p w14:paraId="49F44012" w14:textId="77777777" w:rsidR="00A373FA" w:rsidRPr="007939DD" w:rsidRDefault="00A373FA" w:rsidP="00A373FA">
            <w:pPr>
              <w:pStyle w:val="ARtabletextright"/>
            </w:pPr>
            <w:r w:rsidRPr="005C48A3">
              <w:rPr>
                <w:sz w:val="16"/>
                <w:szCs w:val="16"/>
              </w:rPr>
              <w:t>$30,872</w:t>
            </w:r>
          </w:p>
        </w:tc>
        <w:tc>
          <w:tcPr>
            <w:tcW w:w="0" w:type="auto"/>
          </w:tcPr>
          <w:p w14:paraId="3A4ADC43" w14:textId="77777777" w:rsidR="00A373FA" w:rsidRPr="007939DD" w:rsidRDefault="00A373FA" w:rsidP="00A373FA">
            <w:pPr>
              <w:pStyle w:val="ARtabletextright"/>
            </w:pPr>
            <w:r>
              <w:rPr>
                <w:sz w:val="16"/>
                <w:szCs w:val="16"/>
              </w:rPr>
              <w:t>$50,000</w:t>
            </w:r>
          </w:p>
        </w:tc>
        <w:tc>
          <w:tcPr>
            <w:tcW w:w="0" w:type="auto"/>
          </w:tcPr>
          <w:p w14:paraId="64F0DB7E" w14:textId="77777777" w:rsidR="00A373FA" w:rsidRPr="007939DD" w:rsidRDefault="00A373FA" w:rsidP="00A373FA">
            <w:pPr>
              <w:pStyle w:val="ARtabletextright"/>
            </w:pPr>
            <w:r>
              <w:rPr>
                <w:sz w:val="16"/>
                <w:szCs w:val="16"/>
              </w:rPr>
              <w:t>$39,2</w:t>
            </w:r>
            <w:r w:rsidR="00E95F4B">
              <w:rPr>
                <w:sz w:val="16"/>
                <w:szCs w:val="16"/>
              </w:rPr>
              <w:t>50</w:t>
            </w:r>
          </w:p>
        </w:tc>
        <w:tc>
          <w:tcPr>
            <w:tcW w:w="0" w:type="auto"/>
          </w:tcPr>
          <w:p w14:paraId="072152DC" w14:textId="77777777" w:rsidR="00A373FA" w:rsidRPr="007939DD" w:rsidRDefault="00A373FA" w:rsidP="00A373FA">
            <w:pPr>
              <w:pStyle w:val="ARtabletextright"/>
            </w:pPr>
            <w:r>
              <w:rPr>
                <w:sz w:val="16"/>
                <w:szCs w:val="16"/>
              </w:rPr>
              <w:t>$104,537</w:t>
            </w:r>
          </w:p>
        </w:tc>
        <w:tc>
          <w:tcPr>
            <w:tcW w:w="0" w:type="auto"/>
          </w:tcPr>
          <w:p w14:paraId="24746C7C" w14:textId="77777777" w:rsidR="00A373FA" w:rsidRPr="007939DD" w:rsidRDefault="00A373FA" w:rsidP="00A373FA">
            <w:pPr>
              <w:pStyle w:val="ARtabletextright"/>
            </w:pPr>
            <w:r>
              <w:rPr>
                <w:sz w:val="16"/>
                <w:szCs w:val="16"/>
              </w:rPr>
              <w:t>$941,813</w:t>
            </w:r>
          </w:p>
        </w:tc>
      </w:tr>
      <w:tr w:rsidR="00A373FA" w:rsidRPr="007939DD" w14:paraId="3BA05036" w14:textId="77777777" w:rsidTr="003A7E6B">
        <w:tc>
          <w:tcPr>
            <w:tcW w:w="1261" w:type="dxa"/>
          </w:tcPr>
          <w:p w14:paraId="424FCEF9" w14:textId="77777777" w:rsidR="00A373FA" w:rsidRPr="006663D5" w:rsidRDefault="00A373FA" w:rsidP="00A373FA">
            <w:pPr>
              <w:pStyle w:val="ARtabletext"/>
            </w:pPr>
            <w:r w:rsidRPr="00C82F17">
              <w:rPr>
                <w:sz w:val="16"/>
                <w:szCs w:val="16"/>
              </w:rPr>
              <w:t xml:space="preserve">Kilojoules on the </w:t>
            </w:r>
            <w:r w:rsidR="007F7B3C">
              <w:rPr>
                <w:sz w:val="16"/>
                <w:szCs w:val="16"/>
              </w:rPr>
              <w:t>M</w:t>
            </w:r>
            <w:r w:rsidRPr="00C82F17">
              <w:rPr>
                <w:sz w:val="16"/>
                <w:szCs w:val="16"/>
              </w:rPr>
              <w:t>enu</w:t>
            </w:r>
          </w:p>
        </w:tc>
        <w:tc>
          <w:tcPr>
            <w:tcW w:w="3265" w:type="dxa"/>
          </w:tcPr>
          <w:p w14:paraId="0AC3EE77" w14:textId="77777777" w:rsidR="00A373FA" w:rsidRPr="006663D5" w:rsidRDefault="00A373FA" w:rsidP="00A373FA">
            <w:pPr>
              <w:pStyle w:val="ARtabletext"/>
            </w:pPr>
            <w:r w:rsidRPr="00C82F17">
              <w:rPr>
                <w:sz w:val="16"/>
                <w:szCs w:val="16"/>
              </w:rPr>
              <w:t xml:space="preserve">This is the second year this campaign has run, and it supports the implementation of the </w:t>
            </w:r>
            <w:r w:rsidRPr="00C82F17">
              <w:rPr>
                <w:i/>
                <w:sz w:val="16"/>
                <w:szCs w:val="16"/>
              </w:rPr>
              <w:t>Food Amendment (Kilojoule Labelling Scheme and Other Matters) Act 2017</w:t>
            </w:r>
            <w:r w:rsidRPr="00C82F17">
              <w:rPr>
                <w:sz w:val="16"/>
                <w:szCs w:val="16"/>
              </w:rPr>
              <w:t xml:space="preserve"> by raising awareness of kilojoule labelling and encouraging Victorians to make better informed, healthier food choices.</w:t>
            </w:r>
          </w:p>
        </w:tc>
        <w:tc>
          <w:tcPr>
            <w:tcW w:w="2612" w:type="dxa"/>
          </w:tcPr>
          <w:p w14:paraId="19A01410" w14:textId="77777777" w:rsidR="00A373FA" w:rsidRPr="006663D5" w:rsidRDefault="00A373FA" w:rsidP="00A373FA">
            <w:pPr>
              <w:pStyle w:val="ARtabletext"/>
            </w:pPr>
            <w:r w:rsidRPr="00C82F17">
              <w:rPr>
                <w:sz w:val="16"/>
                <w:szCs w:val="16"/>
              </w:rPr>
              <w:t xml:space="preserve">1 May </w:t>
            </w:r>
            <w:r w:rsidR="00AF526E">
              <w:rPr>
                <w:sz w:val="16"/>
                <w:szCs w:val="16"/>
              </w:rPr>
              <w:t>2019</w:t>
            </w:r>
            <w:r w:rsidR="00AF526E">
              <w:rPr>
                <w:sz w:val="16"/>
                <w:szCs w:val="16"/>
              </w:rPr>
              <w:br/>
              <w:t xml:space="preserve">to </w:t>
            </w:r>
            <w:r w:rsidRPr="00C82F17">
              <w:rPr>
                <w:sz w:val="16"/>
                <w:szCs w:val="16"/>
              </w:rPr>
              <w:t>30 June 2019</w:t>
            </w:r>
          </w:p>
        </w:tc>
        <w:tc>
          <w:tcPr>
            <w:tcW w:w="1129" w:type="dxa"/>
          </w:tcPr>
          <w:p w14:paraId="2D2E7292" w14:textId="77777777" w:rsidR="00A373FA" w:rsidRPr="006663D5" w:rsidRDefault="00A373FA" w:rsidP="00A373FA">
            <w:pPr>
              <w:pStyle w:val="ARtabletextright"/>
            </w:pPr>
            <w:r>
              <w:rPr>
                <w:sz w:val="16"/>
                <w:szCs w:val="16"/>
              </w:rPr>
              <w:t>$161,64</w:t>
            </w:r>
            <w:r w:rsidR="00E95F4B">
              <w:rPr>
                <w:sz w:val="16"/>
                <w:szCs w:val="16"/>
              </w:rPr>
              <w:t>1</w:t>
            </w:r>
          </w:p>
        </w:tc>
        <w:tc>
          <w:tcPr>
            <w:tcW w:w="0" w:type="auto"/>
          </w:tcPr>
          <w:p w14:paraId="69EE0CD3" w14:textId="77777777" w:rsidR="00A373FA" w:rsidRPr="007939DD" w:rsidRDefault="00A373FA" w:rsidP="00A373FA">
            <w:pPr>
              <w:pStyle w:val="ARtabletextright"/>
            </w:pPr>
            <w:r>
              <w:rPr>
                <w:sz w:val="16"/>
                <w:szCs w:val="16"/>
              </w:rPr>
              <w:t>$</w:t>
            </w:r>
            <w:r w:rsidRPr="00F01C42">
              <w:rPr>
                <w:sz w:val="16"/>
                <w:szCs w:val="16"/>
              </w:rPr>
              <w:t>7</w:t>
            </w:r>
            <w:r>
              <w:rPr>
                <w:sz w:val="16"/>
                <w:szCs w:val="16"/>
              </w:rPr>
              <w:t>,</w:t>
            </w:r>
            <w:r w:rsidRPr="00F01C42">
              <w:rPr>
                <w:sz w:val="16"/>
                <w:szCs w:val="16"/>
              </w:rPr>
              <w:t>815</w:t>
            </w:r>
          </w:p>
        </w:tc>
        <w:tc>
          <w:tcPr>
            <w:tcW w:w="0" w:type="auto"/>
          </w:tcPr>
          <w:p w14:paraId="6C6EE6EC" w14:textId="77777777" w:rsidR="00A373FA" w:rsidRPr="007939DD" w:rsidRDefault="00A373FA" w:rsidP="00A373FA">
            <w:pPr>
              <w:pStyle w:val="ARtabletextright"/>
            </w:pPr>
            <w:r>
              <w:rPr>
                <w:sz w:val="16"/>
                <w:szCs w:val="16"/>
              </w:rPr>
              <w:t>N/A</w:t>
            </w:r>
          </w:p>
        </w:tc>
        <w:tc>
          <w:tcPr>
            <w:tcW w:w="0" w:type="auto"/>
          </w:tcPr>
          <w:p w14:paraId="759DD7A1" w14:textId="77777777" w:rsidR="00A373FA" w:rsidRPr="007939DD" w:rsidRDefault="00A373FA" w:rsidP="00A373FA">
            <w:pPr>
              <w:pStyle w:val="ARtabletextright"/>
            </w:pPr>
            <w:r>
              <w:rPr>
                <w:sz w:val="16"/>
                <w:szCs w:val="16"/>
              </w:rPr>
              <w:t>N/A</w:t>
            </w:r>
          </w:p>
        </w:tc>
        <w:tc>
          <w:tcPr>
            <w:tcW w:w="0" w:type="auto"/>
          </w:tcPr>
          <w:p w14:paraId="43662AE8" w14:textId="77777777" w:rsidR="00A373FA" w:rsidRPr="007939DD" w:rsidRDefault="00A373FA" w:rsidP="00A373FA">
            <w:pPr>
              <w:pStyle w:val="ARtabletextright"/>
            </w:pPr>
            <w:r>
              <w:rPr>
                <w:sz w:val="16"/>
                <w:szCs w:val="16"/>
              </w:rPr>
              <w:t>N/A</w:t>
            </w:r>
          </w:p>
        </w:tc>
        <w:tc>
          <w:tcPr>
            <w:tcW w:w="0" w:type="auto"/>
          </w:tcPr>
          <w:p w14:paraId="4188E404" w14:textId="77777777" w:rsidR="00A373FA" w:rsidRPr="007939DD" w:rsidRDefault="00A373FA" w:rsidP="00A373FA">
            <w:pPr>
              <w:pStyle w:val="ARtabletextright"/>
            </w:pPr>
            <w:r>
              <w:rPr>
                <w:sz w:val="16"/>
                <w:szCs w:val="16"/>
              </w:rPr>
              <w:t>$169,45</w:t>
            </w:r>
            <w:r w:rsidR="00E95F4B">
              <w:rPr>
                <w:sz w:val="16"/>
                <w:szCs w:val="16"/>
              </w:rPr>
              <w:t>6</w:t>
            </w:r>
          </w:p>
        </w:tc>
      </w:tr>
      <w:tr w:rsidR="00A373FA" w:rsidRPr="007939DD" w14:paraId="296040E7" w14:textId="77777777" w:rsidTr="003A7E6B">
        <w:tc>
          <w:tcPr>
            <w:tcW w:w="1261" w:type="dxa"/>
          </w:tcPr>
          <w:p w14:paraId="1031EA88" w14:textId="77777777" w:rsidR="00A373FA" w:rsidRPr="006663D5" w:rsidRDefault="009E4510" w:rsidP="00A373FA">
            <w:pPr>
              <w:pStyle w:val="ARtabletext"/>
            </w:pPr>
            <w:r>
              <w:rPr>
                <w:sz w:val="16"/>
                <w:szCs w:val="16"/>
              </w:rPr>
              <w:t>Our Fair Share</w:t>
            </w:r>
          </w:p>
        </w:tc>
        <w:tc>
          <w:tcPr>
            <w:tcW w:w="3265" w:type="dxa"/>
          </w:tcPr>
          <w:p w14:paraId="65FF1EBF" w14:textId="77777777" w:rsidR="00A373FA" w:rsidRPr="006663D5" w:rsidRDefault="00A373FA" w:rsidP="00A373FA">
            <w:pPr>
              <w:pStyle w:val="ARtabletext"/>
            </w:pPr>
            <w:r w:rsidRPr="00C34981">
              <w:rPr>
                <w:sz w:val="16"/>
                <w:szCs w:val="16"/>
              </w:rPr>
              <w:t xml:space="preserve">A campaign to build awareness of a significant </w:t>
            </w:r>
            <w:r>
              <w:rPr>
                <w:sz w:val="16"/>
                <w:szCs w:val="16"/>
              </w:rPr>
              <w:t>Commonwealth</w:t>
            </w:r>
            <w:r w:rsidRPr="00C34981">
              <w:rPr>
                <w:sz w:val="16"/>
                <w:szCs w:val="16"/>
              </w:rPr>
              <w:t xml:space="preserve"> health funding shortfall and to advocate for Victoria’s position for appropriate and equitable health funding.</w:t>
            </w:r>
          </w:p>
        </w:tc>
        <w:tc>
          <w:tcPr>
            <w:tcW w:w="2612" w:type="dxa"/>
          </w:tcPr>
          <w:p w14:paraId="074B8033" w14:textId="77777777" w:rsidR="00A373FA" w:rsidRPr="006663D5" w:rsidRDefault="00A373FA" w:rsidP="00A373FA">
            <w:pPr>
              <w:pStyle w:val="ARtabletext"/>
            </w:pPr>
            <w:r w:rsidRPr="00C34981">
              <w:rPr>
                <w:sz w:val="16"/>
                <w:szCs w:val="16"/>
              </w:rPr>
              <w:t xml:space="preserve">April </w:t>
            </w:r>
            <w:r w:rsidR="00AF526E">
              <w:rPr>
                <w:sz w:val="16"/>
                <w:szCs w:val="16"/>
              </w:rPr>
              <w:t>to</w:t>
            </w:r>
            <w:r w:rsidRPr="00C34981">
              <w:rPr>
                <w:sz w:val="16"/>
                <w:szCs w:val="16"/>
              </w:rPr>
              <w:t xml:space="preserve"> </w:t>
            </w:r>
            <w:r>
              <w:rPr>
                <w:sz w:val="16"/>
                <w:szCs w:val="16"/>
              </w:rPr>
              <w:t>June</w:t>
            </w:r>
            <w:r w:rsidRPr="00C34981" w:rsidDel="007262B3">
              <w:rPr>
                <w:sz w:val="16"/>
                <w:szCs w:val="16"/>
              </w:rPr>
              <w:t xml:space="preserve"> </w:t>
            </w:r>
            <w:r w:rsidRPr="00C34981">
              <w:rPr>
                <w:sz w:val="16"/>
                <w:szCs w:val="16"/>
              </w:rPr>
              <w:t>2019</w:t>
            </w:r>
          </w:p>
        </w:tc>
        <w:tc>
          <w:tcPr>
            <w:tcW w:w="1129" w:type="dxa"/>
          </w:tcPr>
          <w:p w14:paraId="7681CCD6" w14:textId="77777777" w:rsidR="00A373FA" w:rsidRPr="006663D5" w:rsidRDefault="00A373FA" w:rsidP="00A373FA">
            <w:pPr>
              <w:pStyle w:val="ARtabletextright"/>
            </w:pPr>
            <w:r>
              <w:rPr>
                <w:sz w:val="16"/>
                <w:szCs w:val="16"/>
              </w:rPr>
              <w:t>$400</w:t>
            </w:r>
            <w:r w:rsidRPr="00C34981">
              <w:rPr>
                <w:sz w:val="16"/>
                <w:szCs w:val="16"/>
              </w:rPr>
              <w:t>,000</w:t>
            </w:r>
          </w:p>
        </w:tc>
        <w:tc>
          <w:tcPr>
            <w:tcW w:w="0" w:type="auto"/>
          </w:tcPr>
          <w:p w14:paraId="6C9C234D" w14:textId="77777777" w:rsidR="00A373FA" w:rsidRPr="007939DD" w:rsidRDefault="00A373FA" w:rsidP="00A373FA">
            <w:pPr>
              <w:pStyle w:val="ARtabletextright"/>
            </w:pPr>
            <w:r>
              <w:rPr>
                <w:sz w:val="16"/>
                <w:szCs w:val="16"/>
              </w:rPr>
              <w:t>$126,826</w:t>
            </w:r>
          </w:p>
        </w:tc>
        <w:tc>
          <w:tcPr>
            <w:tcW w:w="0" w:type="auto"/>
          </w:tcPr>
          <w:p w14:paraId="3D034107" w14:textId="77777777" w:rsidR="00A373FA" w:rsidRPr="007939DD" w:rsidRDefault="00A373FA" w:rsidP="00A373FA">
            <w:pPr>
              <w:pStyle w:val="ARtabletextright"/>
            </w:pPr>
            <w:r>
              <w:rPr>
                <w:sz w:val="16"/>
                <w:szCs w:val="16"/>
              </w:rPr>
              <w:t>N/A</w:t>
            </w:r>
          </w:p>
        </w:tc>
        <w:tc>
          <w:tcPr>
            <w:tcW w:w="0" w:type="auto"/>
          </w:tcPr>
          <w:p w14:paraId="40E26D5A" w14:textId="77777777" w:rsidR="00A373FA" w:rsidRPr="007939DD" w:rsidRDefault="00A373FA" w:rsidP="00A373FA">
            <w:pPr>
              <w:pStyle w:val="ARtabletextright"/>
            </w:pPr>
            <w:r>
              <w:rPr>
                <w:sz w:val="16"/>
                <w:szCs w:val="16"/>
              </w:rPr>
              <w:t>$4190</w:t>
            </w:r>
          </w:p>
        </w:tc>
        <w:tc>
          <w:tcPr>
            <w:tcW w:w="0" w:type="auto"/>
          </w:tcPr>
          <w:p w14:paraId="4989FE4C" w14:textId="77777777" w:rsidR="00A373FA" w:rsidRPr="007939DD" w:rsidRDefault="00A373FA" w:rsidP="00A373FA">
            <w:pPr>
              <w:pStyle w:val="ARtabletextright"/>
            </w:pPr>
            <w:r>
              <w:rPr>
                <w:sz w:val="16"/>
                <w:szCs w:val="16"/>
              </w:rPr>
              <w:t>$454</w:t>
            </w:r>
          </w:p>
        </w:tc>
        <w:tc>
          <w:tcPr>
            <w:tcW w:w="0" w:type="auto"/>
          </w:tcPr>
          <w:p w14:paraId="4DED72F7" w14:textId="77777777" w:rsidR="00A373FA" w:rsidRPr="007939DD" w:rsidRDefault="00A373FA" w:rsidP="00A373FA">
            <w:pPr>
              <w:pStyle w:val="ARtabletextright"/>
            </w:pPr>
            <w:r>
              <w:rPr>
                <w:sz w:val="16"/>
                <w:szCs w:val="16"/>
              </w:rPr>
              <w:t>$531,470</w:t>
            </w:r>
          </w:p>
        </w:tc>
      </w:tr>
    </w:tbl>
    <w:p w14:paraId="6CA6A938" w14:textId="77777777" w:rsidR="002A6868" w:rsidRPr="007939DD" w:rsidRDefault="002A6868" w:rsidP="002A6868">
      <w:bookmarkStart w:id="176" w:name="Government_advertising_expenditure_end"/>
      <w:bookmarkEnd w:id="176"/>
    </w:p>
    <w:p w14:paraId="50B6B83D" w14:textId="77777777" w:rsidR="002A6868" w:rsidRPr="007939DD" w:rsidRDefault="002A6868" w:rsidP="002A6868">
      <w:pPr>
        <w:sectPr w:rsidR="002A6868" w:rsidRPr="007939DD" w:rsidSect="00F53BA6">
          <w:headerReference w:type="even" r:id="rId156"/>
          <w:headerReference w:type="default" r:id="rId157"/>
          <w:footerReference w:type="even" r:id="rId158"/>
          <w:footerReference w:type="default" r:id="rId159"/>
          <w:endnotePr>
            <w:numFmt w:val="decimal"/>
          </w:endnotePr>
          <w:pgSz w:w="16840" w:h="11900" w:orient="landscape" w:code="9"/>
          <w:pgMar w:top="1418" w:right="1985" w:bottom="1418" w:left="851" w:header="851" w:footer="851" w:gutter="0"/>
          <w:cols w:space="454"/>
          <w:docGrid w:linePitch="272"/>
        </w:sectPr>
      </w:pPr>
    </w:p>
    <w:p w14:paraId="6BBC2C7E" w14:textId="77777777" w:rsidR="0092299C" w:rsidRPr="006663D5" w:rsidRDefault="0092299C" w:rsidP="00D03525">
      <w:pPr>
        <w:pStyle w:val="Heading2"/>
        <w:spacing w:before="0"/>
      </w:pPr>
      <w:bookmarkStart w:id="177" w:name="_Ref492895142"/>
      <w:bookmarkEnd w:id="166"/>
      <w:bookmarkEnd w:id="167"/>
      <w:r w:rsidRPr="006663D5">
        <w:t>Freedom of information</w:t>
      </w:r>
      <w:bookmarkEnd w:id="177"/>
    </w:p>
    <w:p w14:paraId="2D03D7C2" w14:textId="77777777" w:rsidR="00E40CD9" w:rsidRPr="006663D5" w:rsidRDefault="00E40CD9" w:rsidP="00E40CD9">
      <w:pPr>
        <w:pStyle w:val="ARbody"/>
      </w:pPr>
      <w:bookmarkStart w:id="178" w:name="_Ref492912699"/>
      <w:bookmarkStart w:id="179" w:name="_Ref525208155"/>
      <w:r w:rsidRPr="006663D5">
        <w:t xml:space="preserve">The </w:t>
      </w:r>
      <w:r w:rsidRPr="006663D5">
        <w:rPr>
          <w:i/>
          <w:iCs/>
        </w:rPr>
        <w:t>Freedom of Information Act 1982</w:t>
      </w:r>
      <w:r w:rsidRPr="006663D5">
        <w:t xml:space="preserve"> aims to extend as far as possible the right of the community to access information held by the Victorian Government and other bodies subject to the Act.</w:t>
      </w:r>
    </w:p>
    <w:p w14:paraId="0778FC3B" w14:textId="77777777" w:rsidR="00E40CD9" w:rsidRPr="006663D5" w:rsidRDefault="00E40CD9" w:rsidP="00E40CD9">
      <w:pPr>
        <w:pStyle w:val="ARbody"/>
      </w:pPr>
      <w:r w:rsidRPr="006663D5">
        <w:t>The Act allows the department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documents relating to trade secrets.</w:t>
      </w:r>
    </w:p>
    <w:p w14:paraId="4771133D" w14:textId="58D1B010" w:rsidR="00E40CD9" w:rsidRPr="006663D5" w:rsidRDefault="00E40CD9" w:rsidP="00E40CD9">
      <w:pPr>
        <w:pStyle w:val="ARbody"/>
      </w:pPr>
      <w:r w:rsidRPr="006663D5">
        <w:t>The Act provides a 30</w:t>
      </w:r>
      <w:r w:rsidR="0028082B">
        <w:t>-</w:t>
      </w:r>
      <w:r w:rsidRPr="006663D5">
        <w:t>day period for processing requests. This time may be extended where consultation is required and by agreement with the</w:t>
      </w:r>
      <w:r w:rsidR="00BA0532">
        <w:t> </w:t>
      </w:r>
      <w:r w:rsidRPr="006663D5">
        <w:t>applicant.</w:t>
      </w:r>
    </w:p>
    <w:p w14:paraId="57FBE0A7" w14:textId="77777777" w:rsidR="00E40CD9" w:rsidRPr="006663D5" w:rsidRDefault="00E40CD9" w:rsidP="00E40CD9">
      <w:pPr>
        <w:pStyle w:val="ARbody"/>
      </w:pPr>
      <w:r w:rsidRPr="006663D5">
        <w:t>If an applicant is not satisfied with a decision made by the department, including a decision regarding whether the application fee is to be waived, the applicant has the right to seek a review by the Office of the Victorian Information Commissioner within 28 days of receiving a decision letter.</w:t>
      </w:r>
    </w:p>
    <w:p w14:paraId="74E64A2B" w14:textId="77777777" w:rsidR="00E40CD9" w:rsidRPr="006663D5" w:rsidRDefault="00E40CD9" w:rsidP="00E40CD9">
      <w:pPr>
        <w:pStyle w:val="Heading3"/>
      </w:pPr>
      <w:r w:rsidRPr="006663D5">
        <w:t>Making a request</w:t>
      </w:r>
    </w:p>
    <w:p w14:paraId="41B85C37" w14:textId="77777777" w:rsidR="00E40CD9" w:rsidRPr="006663D5" w:rsidRDefault="00E40CD9" w:rsidP="00E40CD9">
      <w:pPr>
        <w:pStyle w:val="ARbody"/>
        <w:rPr>
          <w:lang w:eastAsia="en-AU"/>
        </w:rPr>
      </w:pPr>
      <w:r w:rsidRPr="006663D5">
        <w:rPr>
          <w:lang w:eastAsia="en-AU"/>
        </w:rPr>
        <w:t xml:space="preserve">Access to documents may be obtained through written request to the department’s Freedom of Information </w:t>
      </w:r>
      <w:r w:rsidR="0028082B">
        <w:rPr>
          <w:lang w:eastAsia="en-AU"/>
        </w:rPr>
        <w:t>U</w:t>
      </w:r>
      <w:r w:rsidRPr="006663D5">
        <w:rPr>
          <w:lang w:eastAsia="en-AU"/>
        </w:rPr>
        <w:t xml:space="preserve">nit, pursuant to </w:t>
      </w:r>
      <w:r w:rsidR="0028082B">
        <w:rPr>
          <w:lang w:eastAsia="en-AU"/>
        </w:rPr>
        <w:t>s.</w:t>
      </w:r>
      <w:r w:rsidR="0028082B" w:rsidRPr="006663D5">
        <w:rPr>
          <w:lang w:eastAsia="en-AU"/>
        </w:rPr>
        <w:t xml:space="preserve"> </w:t>
      </w:r>
      <w:r w:rsidRPr="006663D5">
        <w:rPr>
          <w:lang w:eastAsia="en-AU"/>
        </w:rPr>
        <w:t>17 of the Act.</w:t>
      </w:r>
    </w:p>
    <w:p w14:paraId="58B688EA" w14:textId="77777777" w:rsidR="00E40CD9" w:rsidRPr="006663D5" w:rsidRDefault="00E40CD9" w:rsidP="00E40CD9">
      <w:pPr>
        <w:pStyle w:val="ARbody"/>
        <w:rPr>
          <w:lang w:eastAsia="en-AU"/>
        </w:rPr>
      </w:pPr>
      <w:r w:rsidRPr="006663D5">
        <w:rPr>
          <w:lang w:eastAsia="en-AU"/>
        </w:rPr>
        <w:t>In summary, the requirements for making a request are:</w:t>
      </w:r>
    </w:p>
    <w:p w14:paraId="6DAF582A" w14:textId="77777777" w:rsidR="00E40CD9" w:rsidRPr="006663D5" w:rsidRDefault="0028082B" w:rsidP="00E40CD9">
      <w:pPr>
        <w:pStyle w:val="ARbullet1"/>
        <w:rPr>
          <w:lang w:eastAsia="en-AU"/>
        </w:rPr>
      </w:pPr>
      <w:r>
        <w:rPr>
          <w:lang w:eastAsia="en-AU"/>
        </w:rPr>
        <w:t>i</w:t>
      </w:r>
      <w:r w:rsidR="00E40CD9" w:rsidRPr="006663D5">
        <w:rPr>
          <w:lang w:eastAsia="en-AU"/>
        </w:rPr>
        <w:t>t must be in writing</w:t>
      </w:r>
    </w:p>
    <w:p w14:paraId="7AD63752" w14:textId="77777777" w:rsidR="00E40CD9" w:rsidRPr="006663D5" w:rsidRDefault="0028082B" w:rsidP="00E40CD9">
      <w:pPr>
        <w:pStyle w:val="ARbullet1"/>
        <w:rPr>
          <w:lang w:eastAsia="en-AU"/>
        </w:rPr>
      </w:pPr>
      <w:r>
        <w:rPr>
          <w:lang w:eastAsia="en-AU"/>
        </w:rPr>
        <w:t>i</w:t>
      </w:r>
      <w:r w:rsidR="00E40CD9" w:rsidRPr="006663D5">
        <w:rPr>
          <w:lang w:eastAsia="en-AU"/>
        </w:rPr>
        <w:t>t should provide such information concerning the document as is reasonably necessary to enable identification of the document</w:t>
      </w:r>
    </w:p>
    <w:p w14:paraId="07152C92" w14:textId="02769A75" w:rsidR="00E40CD9" w:rsidRPr="006663D5" w:rsidRDefault="0028082B" w:rsidP="00E40CD9">
      <w:pPr>
        <w:pStyle w:val="ARbullet1"/>
        <w:rPr>
          <w:lang w:eastAsia="en-AU"/>
        </w:rPr>
      </w:pPr>
      <w:r>
        <w:rPr>
          <w:lang w:eastAsia="en-AU"/>
        </w:rPr>
        <w:t>i</w:t>
      </w:r>
      <w:r w:rsidR="00E40CD9" w:rsidRPr="006663D5">
        <w:rPr>
          <w:lang w:eastAsia="en-AU"/>
        </w:rPr>
        <w:t>t should be accompanied by the application fee</w:t>
      </w:r>
      <w:r w:rsidR="00BA0532">
        <w:rPr>
          <w:lang w:eastAsia="en-AU"/>
        </w:rPr>
        <w:t> </w:t>
      </w:r>
      <w:r w:rsidR="00E40CD9" w:rsidRPr="006663D5">
        <w:rPr>
          <w:lang w:eastAsia="en-AU"/>
        </w:rPr>
        <w:t>of $29.60 (the fee may be waived in certain circumstances).</w:t>
      </w:r>
    </w:p>
    <w:p w14:paraId="525B802E" w14:textId="0D97571D" w:rsidR="00E40CD9" w:rsidRPr="006663D5" w:rsidRDefault="00E40CD9" w:rsidP="00E40CD9">
      <w:pPr>
        <w:pStyle w:val="ARbodyafterbullets"/>
        <w:rPr>
          <w:lang w:eastAsia="en-AU"/>
        </w:rPr>
      </w:pPr>
      <w:r w:rsidRPr="006663D5">
        <w:rPr>
          <w:lang w:eastAsia="en-AU"/>
        </w:rPr>
        <w:t>Requests for documents in the possession of</w:t>
      </w:r>
      <w:r w:rsidR="00BA0532">
        <w:rPr>
          <w:lang w:eastAsia="en-AU"/>
        </w:rPr>
        <w:t> </w:t>
      </w:r>
      <w:r w:rsidRPr="006663D5">
        <w:rPr>
          <w:lang w:eastAsia="en-AU"/>
        </w:rPr>
        <w:t>the </w:t>
      </w:r>
      <w:r w:rsidR="0028082B">
        <w:rPr>
          <w:lang w:eastAsia="en-AU"/>
        </w:rPr>
        <w:t>d</w:t>
      </w:r>
      <w:r w:rsidRPr="006663D5">
        <w:rPr>
          <w:lang w:eastAsia="en-AU"/>
        </w:rPr>
        <w:t>epartment should be addressed to:</w:t>
      </w:r>
    </w:p>
    <w:p w14:paraId="1B5145D2" w14:textId="77777777" w:rsidR="00E40CD9" w:rsidRPr="006663D5" w:rsidRDefault="00E40CD9" w:rsidP="00E40CD9">
      <w:pPr>
        <w:pStyle w:val="ARbodynospace"/>
      </w:pPr>
      <w:r w:rsidRPr="006663D5">
        <w:t xml:space="preserve">Freedom of Information </w:t>
      </w:r>
      <w:r w:rsidR="0028082B">
        <w:t>U</w:t>
      </w:r>
      <w:r w:rsidRPr="006663D5">
        <w:t>nit</w:t>
      </w:r>
    </w:p>
    <w:p w14:paraId="17F04C5A" w14:textId="77777777" w:rsidR="00E40CD9" w:rsidRPr="006663D5" w:rsidRDefault="00E40CD9" w:rsidP="00E40CD9">
      <w:pPr>
        <w:pStyle w:val="ARbodynospace"/>
      </w:pPr>
      <w:r w:rsidRPr="006663D5">
        <w:t>Department of Health and Human Services</w:t>
      </w:r>
    </w:p>
    <w:p w14:paraId="78ADE1F9" w14:textId="77777777" w:rsidR="00E40CD9" w:rsidRPr="006663D5" w:rsidRDefault="00E40CD9" w:rsidP="00E40CD9">
      <w:pPr>
        <w:pStyle w:val="ARbodynospace"/>
      </w:pPr>
      <w:r w:rsidRPr="006663D5">
        <w:t>GPO Box 4057</w:t>
      </w:r>
    </w:p>
    <w:p w14:paraId="41C30006" w14:textId="4BF2A3DC" w:rsidR="00E40CD9" w:rsidRPr="006663D5" w:rsidRDefault="00E40CD9" w:rsidP="009D144D">
      <w:pPr>
        <w:pStyle w:val="ARbody"/>
      </w:pPr>
      <w:r w:rsidRPr="006663D5">
        <w:t>Melbourne VIC 3001</w:t>
      </w:r>
      <w:r w:rsidR="007F1992">
        <w:br w:type="column"/>
      </w:r>
      <w:r w:rsidRPr="006663D5">
        <w:t>Requests and payment of the application fee can</w:t>
      </w:r>
      <w:r w:rsidR="00F54DCB">
        <w:t> </w:t>
      </w:r>
      <w:r w:rsidRPr="006663D5">
        <w:t xml:space="preserve">also be lodged online with the </w:t>
      </w:r>
      <w:hyperlink r:id="rId160" w:history="1">
        <w:r w:rsidRPr="006663D5">
          <w:rPr>
            <w:rStyle w:val="Hyperlink"/>
          </w:rPr>
          <w:t>Office of the Victorian Information Commissioner</w:t>
        </w:r>
      </w:hyperlink>
      <w:r w:rsidRPr="006663D5">
        <w:t xml:space="preserve"> &lt;https://ovic.vic.gov.au/&gt;.</w:t>
      </w:r>
    </w:p>
    <w:p w14:paraId="70E4B5AD" w14:textId="77777777" w:rsidR="00E40CD9" w:rsidRPr="006663D5" w:rsidRDefault="00E40CD9" w:rsidP="00E40CD9">
      <w:pPr>
        <w:pStyle w:val="ARbody"/>
      </w:pPr>
      <w:r w:rsidRPr="006663D5">
        <w:t>Telephone enquiries can be made by calling 03 9096 8449.</w:t>
      </w:r>
    </w:p>
    <w:p w14:paraId="111AA357" w14:textId="77777777" w:rsidR="00E40CD9" w:rsidRPr="006663D5" w:rsidRDefault="00E40CD9" w:rsidP="00E40CD9">
      <w:pPr>
        <w:pStyle w:val="ARbody"/>
      </w:pPr>
      <w:r w:rsidRPr="006663D5">
        <w:t>Access charges for photocopying and search retrieval may also apply once the request has been finalised.</w:t>
      </w:r>
    </w:p>
    <w:p w14:paraId="45F8ECE3" w14:textId="77777777" w:rsidR="00E40CD9" w:rsidRPr="006663D5" w:rsidRDefault="00E40CD9" w:rsidP="00E40CD9">
      <w:pPr>
        <w:pStyle w:val="Heading3"/>
      </w:pPr>
      <w:r w:rsidRPr="006663D5">
        <w:t>FOI statistics/timeliness</w:t>
      </w:r>
    </w:p>
    <w:p w14:paraId="10F2A7BF" w14:textId="46BBFF48" w:rsidR="008D124E" w:rsidRDefault="00E40CD9" w:rsidP="00E40CD9">
      <w:pPr>
        <w:pStyle w:val="ARbody"/>
        <w:rPr>
          <w:lang w:eastAsia="en-AU"/>
        </w:rPr>
      </w:pPr>
      <w:r w:rsidRPr="006663D5">
        <w:rPr>
          <w:lang w:eastAsia="en-AU"/>
        </w:rPr>
        <w:t>During 2018</w:t>
      </w:r>
      <w:r w:rsidR="0028082B">
        <w:rPr>
          <w:lang w:eastAsia="en-AU"/>
        </w:rPr>
        <w:t>–</w:t>
      </w:r>
      <w:r w:rsidRPr="006663D5">
        <w:rPr>
          <w:lang w:eastAsia="en-AU"/>
        </w:rPr>
        <w:t xml:space="preserve">19, the </w:t>
      </w:r>
      <w:r w:rsidR="0028082B">
        <w:rPr>
          <w:lang w:eastAsia="en-AU"/>
        </w:rPr>
        <w:t>d</w:t>
      </w:r>
      <w:r w:rsidRPr="006663D5">
        <w:rPr>
          <w:lang w:eastAsia="en-AU"/>
        </w:rPr>
        <w:t>epartment received 2,029 applications. Of these requests, 21 were from Members of Parliament, 28 from the media, and</w:t>
      </w:r>
      <w:r w:rsidR="00BA0532">
        <w:rPr>
          <w:lang w:eastAsia="en-AU"/>
        </w:rPr>
        <w:t> </w:t>
      </w:r>
      <w:r w:rsidRPr="006663D5">
        <w:rPr>
          <w:lang w:eastAsia="en-AU"/>
        </w:rPr>
        <w:t>the</w:t>
      </w:r>
      <w:r w:rsidR="00F54DCB">
        <w:rPr>
          <w:lang w:eastAsia="en-AU"/>
        </w:rPr>
        <w:t> </w:t>
      </w:r>
      <w:r w:rsidRPr="006663D5">
        <w:rPr>
          <w:lang w:eastAsia="en-AU"/>
        </w:rPr>
        <w:t>remainder from the general public.</w:t>
      </w:r>
    </w:p>
    <w:p w14:paraId="3CC2FCDC" w14:textId="18AF1CDA" w:rsidR="00E40CD9" w:rsidRPr="006663D5" w:rsidRDefault="00E40CD9" w:rsidP="00E40CD9">
      <w:pPr>
        <w:pStyle w:val="ARbody"/>
        <w:rPr>
          <w:lang w:eastAsia="en-AU"/>
        </w:rPr>
      </w:pPr>
      <w:r w:rsidRPr="006663D5">
        <w:rPr>
          <w:lang w:eastAsia="en-AU"/>
        </w:rPr>
        <w:t xml:space="preserve">The </w:t>
      </w:r>
      <w:r w:rsidR="0028082B">
        <w:rPr>
          <w:lang w:eastAsia="en-AU"/>
        </w:rPr>
        <w:t>de</w:t>
      </w:r>
      <w:r w:rsidRPr="006663D5">
        <w:rPr>
          <w:lang w:eastAsia="en-AU"/>
        </w:rPr>
        <w:t xml:space="preserve">partment made 1,702 FOI decisions and processed 90 per cent of requests within the statutory time period. Of the requests finalised, </w:t>
      </w:r>
      <w:r w:rsidR="0028082B" w:rsidRPr="006663D5">
        <w:rPr>
          <w:lang w:eastAsia="en-AU"/>
        </w:rPr>
        <w:t>75</w:t>
      </w:r>
      <w:r w:rsidR="0028082B">
        <w:rPr>
          <w:lang w:eastAsia="en-AU"/>
        </w:rPr>
        <w:t> </w:t>
      </w:r>
      <w:r w:rsidRPr="006663D5">
        <w:rPr>
          <w:lang w:eastAsia="en-AU"/>
        </w:rPr>
        <w:t>per cent were granted in full or in part.</w:t>
      </w:r>
    </w:p>
    <w:p w14:paraId="29B0E780" w14:textId="77777777" w:rsidR="008D124E" w:rsidRDefault="00E40CD9" w:rsidP="00E40CD9">
      <w:pPr>
        <w:pStyle w:val="ARbody"/>
        <w:rPr>
          <w:lang w:eastAsia="en-AU"/>
        </w:rPr>
      </w:pPr>
      <w:r w:rsidRPr="006663D5">
        <w:rPr>
          <w:lang w:eastAsia="en-AU"/>
        </w:rPr>
        <w:t>During 2018</w:t>
      </w:r>
      <w:r w:rsidR="0028082B">
        <w:rPr>
          <w:lang w:eastAsia="en-AU"/>
        </w:rPr>
        <w:t>–</w:t>
      </w:r>
      <w:r w:rsidRPr="006663D5">
        <w:rPr>
          <w:lang w:eastAsia="en-AU"/>
        </w:rPr>
        <w:t>19, 59 decisions were subject to review by the Office of the Victorian Information Commissioner and six appeals were made to the Victorian Civil and Administrative Tribunal.</w:t>
      </w:r>
    </w:p>
    <w:p w14:paraId="739A2349" w14:textId="481A07FA" w:rsidR="00982027" w:rsidRPr="006663D5" w:rsidRDefault="00982027" w:rsidP="00982027">
      <w:pPr>
        <w:pStyle w:val="Heading2"/>
      </w:pPr>
      <w:bookmarkStart w:id="180" w:name="_Ref21956499"/>
      <w:r w:rsidRPr="006663D5">
        <w:t>Drugs Poisons and Controlled Substances Act 1981</w:t>
      </w:r>
      <w:bookmarkEnd w:id="178"/>
      <w:r w:rsidR="00EB6DC6">
        <w:t xml:space="preserve"> (</w:t>
      </w:r>
      <w:r w:rsidR="009D144D">
        <w:t xml:space="preserve">s. </w:t>
      </w:r>
      <w:r w:rsidR="00EB6DC6">
        <w:t>60s)</w:t>
      </w:r>
      <w:bookmarkEnd w:id="180"/>
    </w:p>
    <w:p w14:paraId="6369244A" w14:textId="0A275555" w:rsidR="008D124E" w:rsidRDefault="00EB6DC6" w:rsidP="00982027">
      <w:pPr>
        <w:pStyle w:val="ARtablecaption"/>
        <w:rPr>
          <w:rFonts w:eastAsia="Times" w:cs="Arial"/>
          <w:color w:val="auto"/>
          <w:lang w:eastAsia="en-AU"/>
        </w:rPr>
      </w:pPr>
      <w:r w:rsidRPr="00EB6DC6">
        <w:rPr>
          <w:rFonts w:eastAsia="Times" w:cs="Arial"/>
          <w:color w:val="auto"/>
          <w:lang w:eastAsia="en-AU"/>
        </w:rPr>
        <w:t xml:space="preserve">Section 60S of the </w:t>
      </w:r>
      <w:r w:rsidRPr="00EB6DC6">
        <w:rPr>
          <w:rFonts w:eastAsia="Times" w:cs="Arial"/>
          <w:i/>
          <w:color w:val="auto"/>
          <w:lang w:eastAsia="en-AU"/>
        </w:rPr>
        <w:t>Drugs, Poisons and Controlled Substances Act 1981</w:t>
      </w:r>
      <w:r w:rsidRPr="00EB6DC6">
        <w:rPr>
          <w:rFonts w:eastAsia="Times" w:cs="Arial"/>
          <w:color w:val="auto"/>
          <w:lang w:eastAsia="en-AU"/>
        </w:rPr>
        <w:t xml:space="preserve"> states that the Chief Commissioner is to report on actions under this Division and must provide to the Minister for inclusion in the annual report of operations under Part 7 of the </w:t>
      </w:r>
      <w:r w:rsidRPr="00EB6DC6">
        <w:rPr>
          <w:rFonts w:eastAsia="Times" w:cs="Arial"/>
          <w:i/>
          <w:color w:val="auto"/>
          <w:lang w:eastAsia="en-AU"/>
        </w:rPr>
        <w:t>Financial Management Act 1994</w:t>
      </w:r>
      <w:r w:rsidRPr="00EB6DC6">
        <w:rPr>
          <w:rFonts w:eastAsia="Times" w:cs="Arial"/>
          <w:color w:val="auto"/>
          <w:lang w:eastAsia="en-AU"/>
        </w:rPr>
        <w:t>, a</w:t>
      </w:r>
      <w:r w:rsidR="00BA0532">
        <w:rPr>
          <w:rFonts w:eastAsia="Times" w:cs="Arial"/>
          <w:color w:val="auto"/>
          <w:lang w:eastAsia="en-AU"/>
        </w:rPr>
        <w:t> </w:t>
      </w:r>
      <w:r w:rsidRPr="00EB6DC6">
        <w:rPr>
          <w:rFonts w:eastAsia="Times" w:cs="Arial"/>
          <w:color w:val="auto"/>
          <w:lang w:eastAsia="en-AU"/>
        </w:rPr>
        <w:t>report containing:</w:t>
      </w:r>
    </w:p>
    <w:p w14:paraId="2DE12FBF" w14:textId="02ADDFA3" w:rsidR="00982027" w:rsidRPr="006663D5" w:rsidRDefault="00982027" w:rsidP="00982027">
      <w:pPr>
        <w:pStyle w:val="ARtablecaption"/>
      </w:pPr>
      <w:r w:rsidRPr="006663D5">
        <w:t xml:space="preserve">(a) </w:t>
      </w:r>
      <w:r w:rsidR="00EB6DC6" w:rsidRPr="00EB6DC6">
        <w:t xml:space="preserve">Number of searches without warrant under </w:t>
      </w:r>
      <w:r w:rsidR="00F0482D">
        <w:t>s. </w:t>
      </w:r>
      <w:r w:rsidR="00EB6DC6" w:rsidRPr="00EB6DC6">
        <w:t>60E conducted during financial year</w:t>
      </w:r>
    </w:p>
    <w:tbl>
      <w:tblPr>
        <w:tblW w:w="4593"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80" w:firstRow="0" w:lastRow="0" w:firstColumn="1" w:lastColumn="0" w:noHBand="1" w:noVBand="1"/>
      </w:tblPr>
      <w:tblGrid>
        <w:gridCol w:w="3411"/>
        <w:gridCol w:w="1182"/>
      </w:tblGrid>
      <w:tr w:rsidR="00982027" w:rsidRPr="006663D5" w14:paraId="5D7BC789" w14:textId="77777777" w:rsidTr="002D3A00">
        <w:trPr>
          <w:cantSplit/>
        </w:trPr>
        <w:tc>
          <w:tcPr>
            <w:tcW w:w="3411" w:type="dxa"/>
            <w:tcBorders>
              <w:top w:val="single" w:sz="4" w:space="0" w:color="auto"/>
            </w:tcBorders>
            <w:shd w:val="clear" w:color="auto" w:fill="auto"/>
          </w:tcPr>
          <w:p w14:paraId="32F18CD4" w14:textId="77777777" w:rsidR="00982027" w:rsidRPr="006663D5" w:rsidRDefault="00982027" w:rsidP="002D3A00">
            <w:pPr>
              <w:pStyle w:val="ARtabletext"/>
            </w:pPr>
            <w:r w:rsidRPr="006663D5">
              <w:t>Persons under 18 years searched</w:t>
            </w:r>
          </w:p>
        </w:tc>
        <w:tc>
          <w:tcPr>
            <w:tcW w:w="1182" w:type="dxa"/>
            <w:tcBorders>
              <w:top w:val="single" w:sz="4" w:space="0" w:color="auto"/>
            </w:tcBorders>
            <w:shd w:val="clear" w:color="auto" w:fill="auto"/>
          </w:tcPr>
          <w:p w14:paraId="77B45DB4" w14:textId="77777777" w:rsidR="00982027" w:rsidRPr="006663D5" w:rsidRDefault="00EB6DC6" w:rsidP="002D3A00">
            <w:pPr>
              <w:pStyle w:val="ARtabletextright"/>
            </w:pPr>
            <w:r>
              <w:t>3</w:t>
            </w:r>
          </w:p>
        </w:tc>
      </w:tr>
    </w:tbl>
    <w:p w14:paraId="70A2CA6D" w14:textId="77777777" w:rsidR="00982027" w:rsidRPr="006663D5" w:rsidRDefault="00982027" w:rsidP="00982027">
      <w:pPr>
        <w:pStyle w:val="ARtablecaption"/>
      </w:pPr>
      <w:r w:rsidRPr="006663D5">
        <w:t xml:space="preserve">(b) </w:t>
      </w:r>
      <w:r w:rsidR="00EB6DC6" w:rsidRPr="00EB6DC6">
        <w:t xml:space="preserve">Number of searches of persons irrespective of age without warrant under </w:t>
      </w:r>
      <w:r w:rsidR="00F0482D">
        <w:t>s. </w:t>
      </w:r>
      <w:r w:rsidR="00EB6DC6" w:rsidRPr="00EB6DC6">
        <w:t>60F conducted during financial year</w:t>
      </w:r>
    </w:p>
    <w:tbl>
      <w:tblPr>
        <w:tblW w:w="4593" w:type="dxa"/>
        <w:tblBorders>
          <w:top w:val="single" w:sz="4" w:space="0" w:color="auto"/>
          <w:left w:val="single" w:sz="4" w:space="0" w:color="FFFFFF"/>
          <w:bottom w:val="single" w:sz="4" w:space="0" w:color="auto"/>
          <w:right w:val="single" w:sz="4" w:space="0" w:color="FFFFFF"/>
          <w:insideH w:val="single" w:sz="4" w:space="0" w:color="FFFFFF"/>
          <w:insideV w:val="single" w:sz="4" w:space="0" w:color="FFFFFF"/>
        </w:tblBorders>
        <w:tblCellMar>
          <w:left w:w="0" w:type="dxa"/>
        </w:tblCellMar>
        <w:tblLook w:val="0680" w:firstRow="0" w:lastRow="0" w:firstColumn="1" w:lastColumn="0" w:noHBand="1" w:noVBand="1"/>
      </w:tblPr>
      <w:tblGrid>
        <w:gridCol w:w="3411"/>
        <w:gridCol w:w="1182"/>
      </w:tblGrid>
      <w:tr w:rsidR="00982027" w:rsidRPr="006663D5" w14:paraId="556D2B59" w14:textId="77777777" w:rsidTr="002D3A00">
        <w:trPr>
          <w:cantSplit/>
        </w:trPr>
        <w:tc>
          <w:tcPr>
            <w:tcW w:w="3411" w:type="dxa"/>
            <w:shd w:val="clear" w:color="auto" w:fill="auto"/>
          </w:tcPr>
          <w:p w14:paraId="303CBAE0" w14:textId="77777777" w:rsidR="00982027" w:rsidRPr="006663D5" w:rsidRDefault="00982027" w:rsidP="002D3A00">
            <w:pPr>
              <w:pStyle w:val="ARtabletext"/>
            </w:pPr>
            <w:r w:rsidRPr="006663D5">
              <w:t>Persons searched irrespective of age</w:t>
            </w:r>
          </w:p>
        </w:tc>
        <w:tc>
          <w:tcPr>
            <w:tcW w:w="1182" w:type="dxa"/>
            <w:shd w:val="clear" w:color="auto" w:fill="auto"/>
          </w:tcPr>
          <w:p w14:paraId="24D9DFD8" w14:textId="77777777" w:rsidR="00982027" w:rsidRPr="006663D5" w:rsidRDefault="00EB6DC6" w:rsidP="002D3A00">
            <w:pPr>
              <w:pStyle w:val="ARtabletextright"/>
            </w:pPr>
            <w:r>
              <w:t>4</w:t>
            </w:r>
          </w:p>
        </w:tc>
      </w:tr>
    </w:tbl>
    <w:p w14:paraId="59916E14" w14:textId="77777777" w:rsidR="00F54DCB" w:rsidRPr="00F54DCB" w:rsidRDefault="00F54DCB" w:rsidP="00F54DCB">
      <w:pPr>
        <w:pStyle w:val="ARbody"/>
      </w:pPr>
      <w:r w:rsidRPr="00F54DCB">
        <w:br w:type="page"/>
      </w:r>
    </w:p>
    <w:p w14:paraId="5824D2EB" w14:textId="4B846C72" w:rsidR="00982027" w:rsidRPr="006663D5" w:rsidRDefault="00982027" w:rsidP="00982027">
      <w:pPr>
        <w:pStyle w:val="ARtablecaption"/>
      </w:pPr>
      <w:r w:rsidRPr="006663D5">
        <w:t xml:space="preserve">(c) </w:t>
      </w:r>
      <w:r w:rsidR="00EF0361" w:rsidRPr="00EF0361">
        <w:t>Number and type of volatile substances and items used to inhale a volatile substance seized as</w:t>
      </w:r>
      <w:r w:rsidR="00B76562">
        <w:t> </w:t>
      </w:r>
      <w:r w:rsidR="00EF0361" w:rsidRPr="00EF0361">
        <w:t>a result of conducting those searches</w:t>
      </w:r>
    </w:p>
    <w:tbl>
      <w:tblPr>
        <w:tblW w:w="4593" w:type="dxa"/>
        <w:tblBorders>
          <w:top w:val="single" w:sz="4" w:space="0" w:color="auto"/>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80" w:firstRow="0" w:lastRow="0" w:firstColumn="1" w:lastColumn="0" w:noHBand="1" w:noVBand="1"/>
      </w:tblPr>
      <w:tblGrid>
        <w:gridCol w:w="3806"/>
        <w:gridCol w:w="787"/>
      </w:tblGrid>
      <w:tr w:rsidR="00EF0361" w:rsidRPr="006663D5" w14:paraId="46EB5199" w14:textId="77777777" w:rsidTr="00EF0361">
        <w:trPr>
          <w:cantSplit/>
        </w:trPr>
        <w:tc>
          <w:tcPr>
            <w:tcW w:w="3806" w:type="dxa"/>
          </w:tcPr>
          <w:p w14:paraId="17BC5631" w14:textId="77777777" w:rsidR="00EF0361" w:rsidRPr="009D144D" w:rsidRDefault="00EF0361" w:rsidP="009D144D">
            <w:pPr>
              <w:pStyle w:val="ARtabletext"/>
            </w:pPr>
            <w:r w:rsidRPr="009D144D">
              <w:t>Backpack</w:t>
            </w:r>
          </w:p>
        </w:tc>
        <w:tc>
          <w:tcPr>
            <w:tcW w:w="787" w:type="dxa"/>
          </w:tcPr>
          <w:p w14:paraId="2F4360F5" w14:textId="77777777" w:rsidR="00EF0361" w:rsidRPr="006663D5" w:rsidRDefault="00EF0361" w:rsidP="00EF0361">
            <w:pPr>
              <w:pStyle w:val="ARtabletextright"/>
            </w:pPr>
            <w:r>
              <w:t>1</w:t>
            </w:r>
          </w:p>
        </w:tc>
      </w:tr>
      <w:tr w:rsidR="00EF0361" w:rsidRPr="006663D5" w14:paraId="6BA88B43" w14:textId="77777777" w:rsidTr="00EF0361">
        <w:trPr>
          <w:cantSplit/>
        </w:trPr>
        <w:tc>
          <w:tcPr>
            <w:tcW w:w="3806" w:type="dxa"/>
          </w:tcPr>
          <w:p w14:paraId="4CA63612" w14:textId="77777777" w:rsidR="00EF0361" w:rsidRPr="009D144D" w:rsidRDefault="00EF0361" w:rsidP="009D144D">
            <w:pPr>
              <w:pStyle w:val="ARtabletext"/>
            </w:pPr>
            <w:r w:rsidRPr="009D144D">
              <w:t xml:space="preserve">Spray </w:t>
            </w:r>
            <w:r w:rsidR="00F0482D">
              <w:t>p</w:t>
            </w:r>
            <w:r w:rsidRPr="009D144D">
              <w:t>aint</w:t>
            </w:r>
          </w:p>
        </w:tc>
        <w:tc>
          <w:tcPr>
            <w:tcW w:w="787" w:type="dxa"/>
          </w:tcPr>
          <w:p w14:paraId="1F752210" w14:textId="134CB722" w:rsidR="00EF0361" w:rsidRPr="006663D5" w:rsidRDefault="00F54DCB" w:rsidP="00EF0361">
            <w:pPr>
              <w:pStyle w:val="ARtabletextright"/>
            </w:pPr>
            <w:r>
              <w:t>–</w:t>
            </w:r>
          </w:p>
        </w:tc>
      </w:tr>
      <w:tr w:rsidR="00EF0361" w:rsidRPr="006663D5" w14:paraId="27F14CAD" w14:textId="77777777" w:rsidTr="00EF0361">
        <w:trPr>
          <w:cantSplit/>
        </w:trPr>
        <w:tc>
          <w:tcPr>
            <w:tcW w:w="3806" w:type="dxa"/>
          </w:tcPr>
          <w:p w14:paraId="3BF3862C" w14:textId="77777777" w:rsidR="00EF0361" w:rsidRPr="009D144D" w:rsidRDefault="00EF0361" w:rsidP="009D144D">
            <w:pPr>
              <w:pStyle w:val="ARtabletext"/>
            </w:pPr>
            <w:r w:rsidRPr="009D144D">
              <w:t>Plastic bag (with paint)</w:t>
            </w:r>
          </w:p>
        </w:tc>
        <w:tc>
          <w:tcPr>
            <w:tcW w:w="787" w:type="dxa"/>
          </w:tcPr>
          <w:p w14:paraId="086F1124" w14:textId="77777777" w:rsidR="00EF0361" w:rsidRPr="006663D5" w:rsidRDefault="00EF0361" w:rsidP="00EF0361">
            <w:pPr>
              <w:pStyle w:val="ARtabletextright"/>
            </w:pPr>
            <w:r w:rsidRPr="002557C3">
              <w:t>1</w:t>
            </w:r>
          </w:p>
        </w:tc>
      </w:tr>
      <w:tr w:rsidR="00EF0361" w:rsidRPr="006663D5" w14:paraId="51964AA3" w14:textId="77777777" w:rsidTr="00EF0361">
        <w:trPr>
          <w:cantSplit/>
        </w:trPr>
        <w:tc>
          <w:tcPr>
            <w:tcW w:w="3806" w:type="dxa"/>
          </w:tcPr>
          <w:p w14:paraId="6F173DF8" w14:textId="77777777" w:rsidR="00EF0361" w:rsidRPr="009D144D" w:rsidRDefault="00EF0361" w:rsidP="009D144D">
            <w:pPr>
              <w:pStyle w:val="ARtabletext"/>
            </w:pPr>
            <w:r w:rsidRPr="009D144D">
              <w:t>Socks (used to filter deodorant)</w:t>
            </w:r>
          </w:p>
        </w:tc>
        <w:tc>
          <w:tcPr>
            <w:tcW w:w="787" w:type="dxa"/>
          </w:tcPr>
          <w:p w14:paraId="69B14AFA" w14:textId="77777777" w:rsidR="00EF0361" w:rsidRPr="006663D5" w:rsidRDefault="00EF0361" w:rsidP="00EF0361">
            <w:pPr>
              <w:pStyle w:val="ARtabletextright"/>
            </w:pPr>
            <w:r>
              <w:t>1</w:t>
            </w:r>
          </w:p>
        </w:tc>
      </w:tr>
      <w:tr w:rsidR="00EF0361" w:rsidRPr="006663D5" w14:paraId="125F81CA" w14:textId="77777777" w:rsidTr="00EF0361">
        <w:trPr>
          <w:cantSplit/>
        </w:trPr>
        <w:tc>
          <w:tcPr>
            <w:tcW w:w="3806" w:type="dxa"/>
          </w:tcPr>
          <w:p w14:paraId="0DBA25AF" w14:textId="77777777" w:rsidR="00EF0361" w:rsidRPr="009D144D" w:rsidRDefault="00EF0361" w:rsidP="009D144D">
            <w:pPr>
              <w:pStyle w:val="ARtabletext"/>
            </w:pPr>
            <w:r w:rsidRPr="009D144D">
              <w:t>Gases (Compressed air / CO</w:t>
            </w:r>
            <w:r w:rsidRPr="009A0070">
              <w:rPr>
                <w:vertAlign w:val="subscript"/>
              </w:rPr>
              <w:t>2</w:t>
            </w:r>
            <w:r w:rsidRPr="009D144D">
              <w:t>)</w:t>
            </w:r>
          </w:p>
        </w:tc>
        <w:tc>
          <w:tcPr>
            <w:tcW w:w="787" w:type="dxa"/>
          </w:tcPr>
          <w:p w14:paraId="39447594" w14:textId="4229BE37" w:rsidR="00EF0361" w:rsidRPr="006663D5" w:rsidRDefault="00F54DCB" w:rsidP="00EF0361">
            <w:pPr>
              <w:pStyle w:val="ARtabletextright"/>
            </w:pPr>
            <w:r>
              <w:t>–</w:t>
            </w:r>
          </w:p>
        </w:tc>
      </w:tr>
      <w:tr w:rsidR="00EF0361" w:rsidRPr="006663D5" w14:paraId="04647C54" w14:textId="77777777" w:rsidTr="00EF0361">
        <w:trPr>
          <w:cantSplit/>
        </w:trPr>
        <w:tc>
          <w:tcPr>
            <w:tcW w:w="3806" w:type="dxa"/>
          </w:tcPr>
          <w:p w14:paraId="7502DFBF" w14:textId="77777777" w:rsidR="00EF0361" w:rsidRPr="009D144D" w:rsidRDefault="00EF0361" w:rsidP="009D144D">
            <w:pPr>
              <w:pStyle w:val="ARtabletext"/>
            </w:pPr>
            <w:r w:rsidRPr="009D144D">
              <w:t>Deodorant (multiple cans)</w:t>
            </w:r>
          </w:p>
        </w:tc>
        <w:tc>
          <w:tcPr>
            <w:tcW w:w="787" w:type="dxa"/>
          </w:tcPr>
          <w:p w14:paraId="0A4E9987" w14:textId="77777777" w:rsidR="00EF0361" w:rsidRPr="006663D5" w:rsidRDefault="00EF0361" w:rsidP="00EF0361">
            <w:pPr>
              <w:pStyle w:val="ARtabletextright"/>
            </w:pPr>
            <w:r w:rsidRPr="002557C3">
              <w:t>2</w:t>
            </w:r>
          </w:p>
        </w:tc>
      </w:tr>
    </w:tbl>
    <w:p w14:paraId="1E026368" w14:textId="77777777" w:rsidR="0038460C" w:rsidRDefault="0038460C" w:rsidP="0038460C">
      <w:pPr>
        <w:pStyle w:val="ARtablefootnote"/>
      </w:pPr>
      <w:r>
        <w:t xml:space="preserve">Notes: </w:t>
      </w:r>
      <w:r w:rsidRPr="0038460C">
        <w:t>More than one item can be seized per search. The number and type of volatile substances and related items seized are listed under question c only. This is to avoid duplication and potential for misinterpretation on the number of instances in which multiple items may be involved.</w:t>
      </w:r>
    </w:p>
    <w:p w14:paraId="5CAC4BCB" w14:textId="77777777" w:rsidR="00982027" w:rsidRPr="006663D5" w:rsidRDefault="00982027" w:rsidP="00982027">
      <w:pPr>
        <w:pStyle w:val="ARtablecaption"/>
      </w:pPr>
      <w:r w:rsidRPr="006663D5">
        <w:t xml:space="preserve">(d) </w:t>
      </w:r>
      <w:r w:rsidR="00EF0361" w:rsidRPr="00EF0361">
        <w:t xml:space="preserve">Number and type of volatile substances and items used to inhale a volatile substance received by members of the police force when produced in accordance with a request under </w:t>
      </w:r>
      <w:r w:rsidR="00F0482D">
        <w:t>s. </w:t>
      </w:r>
      <w:r w:rsidR="00EF0361" w:rsidRPr="00EF0361">
        <w:t>60H(1)(b)</w:t>
      </w:r>
    </w:p>
    <w:tbl>
      <w:tblPr>
        <w:tblW w:w="4593" w:type="dxa"/>
        <w:tblBorders>
          <w:top w:val="single" w:sz="4" w:space="0" w:color="auto"/>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80" w:firstRow="0" w:lastRow="0" w:firstColumn="1" w:lastColumn="0" w:noHBand="1" w:noVBand="1"/>
      </w:tblPr>
      <w:tblGrid>
        <w:gridCol w:w="3289"/>
        <w:gridCol w:w="1304"/>
      </w:tblGrid>
      <w:tr w:rsidR="00982027" w:rsidRPr="006663D5" w14:paraId="420C4C1E" w14:textId="77777777" w:rsidTr="002D3A00">
        <w:trPr>
          <w:cantSplit/>
        </w:trPr>
        <w:tc>
          <w:tcPr>
            <w:tcW w:w="3289" w:type="dxa"/>
            <w:shd w:val="clear" w:color="auto" w:fill="auto"/>
          </w:tcPr>
          <w:p w14:paraId="58E4A1BB" w14:textId="77777777" w:rsidR="00982027" w:rsidRPr="006663D5" w:rsidRDefault="00EF0361" w:rsidP="002D3A00">
            <w:pPr>
              <w:pStyle w:val="ARtabletext"/>
            </w:pPr>
            <w:r>
              <w:t>Deod</w:t>
            </w:r>
            <w:r w:rsidR="00F0482D">
              <w:t>o</w:t>
            </w:r>
            <w:r>
              <w:t>rant</w:t>
            </w:r>
          </w:p>
        </w:tc>
        <w:tc>
          <w:tcPr>
            <w:tcW w:w="1304" w:type="dxa"/>
            <w:shd w:val="clear" w:color="auto" w:fill="auto"/>
          </w:tcPr>
          <w:p w14:paraId="561D6DDB" w14:textId="77777777" w:rsidR="00982027" w:rsidRPr="006663D5" w:rsidRDefault="00EF0361" w:rsidP="002D3A00">
            <w:pPr>
              <w:pStyle w:val="ARtabletextright"/>
            </w:pPr>
            <w:r>
              <w:t>1</w:t>
            </w:r>
          </w:p>
        </w:tc>
      </w:tr>
    </w:tbl>
    <w:p w14:paraId="6CD0E167" w14:textId="77777777" w:rsidR="00982027" w:rsidRPr="006663D5" w:rsidRDefault="00982027" w:rsidP="00982027">
      <w:pPr>
        <w:pStyle w:val="ARtablecaption"/>
      </w:pPr>
      <w:r w:rsidRPr="006663D5">
        <w:t xml:space="preserve">(e) </w:t>
      </w:r>
      <w:r w:rsidR="00EF0361" w:rsidRPr="00EF0361">
        <w:t xml:space="preserve">Number and type of volatile substances and items used to inhale a volatile substance returned to persons under </w:t>
      </w:r>
      <w:r w:rsidR="00F0482D">
        <w:t>s. </w:t>
      </w:r>
      <w:r w:rsidR="00EF0361" w:rsidRPr="00EF0361">
        <w:t>60N</w:t>
      </w:r>
    </w:p>
    <w:tbl>
      <w:tblPr>
        <w:tblW w:w="4593" w:type="dxa"/>
        <w:tblBorders>
          <w:top w:val="single" w:sz="4" w:space="0" w:color="auto"/>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80" w:firstRow="0" w:lastRow="0" w:firstColumn="1" w:lastColumn="0" w:noHBand="1" w:noVBand="1"/>
      </w:tblPr>
      <w:tblGrid>
        <w:gridCol w:w="3289"/>
        <w:gridCol w:w="1304"/>
      </w:tblGrid>
      <w:tr w:rsidR="00982027" w:rsidRPr="006663D5" w14:paraId="7653D6FA" w14:textId="77777777" w:rsidTr="002D3A00">
        <w:trPr>
          <w:cantSplit/>
        </w:trPr>
        <w:tc>
          <w:tcPr>
            <w:tcW w:w="3289" w:type="dxa"/>
            <w:shd w:val="clear" w:color="auto" w:fill="auto"/>
          </w:tcPr>
          <w:p w14:paraId="246429B3" w14:textId="77777777" w:rsidR="00982027" w:rsidRPr="006663D5" w:rsidRDefault="00EF0361" w:rsidP="002D3A00">
            <w:pPr>
              <w:pStyle w:val="ARtabletext"/>
            </w:pPr>
            <w:r w:rsidRPr="00EF0361">
              <w:t>Number and type</w:t>
            </w:r>
          </w:p>
        </w:tc>
        <w:tc>
          <w:tcPr>
            <w:tcW w:w="1304" w:type="dxa"/>
            <w:shd w:val="clear" w:color="auto" w:fill="auto"/>
          </w:tcPr>
          <w:p w14:paraId="31A0867A" w14:textId="1AC46206" w:rsidR="00982027" w:rsidRPr="006663D5" w:rsidRDefault="00F54DCB" w:rsidP="002D3A00">
            <w:pPr>
              <w:pStyle w:val="ARtabletextright"/>
            </w:pPr>
            <w:r>
              <w:t>–</w:t>
            </w:r>
          </w:p>
        </w:tc>
      </w:tr>
    </w:tbl>
    <w:p w14:paraId="096B1ACD" w14:textId="77777777" w:rsidR="00982027" w:rsidRPr="006663D5" w:rsidRDefault="00982027" w:rsidP="007F1992">
      <w:pPr>
        <w:pStyle w:val="ARtablecaption"/>
        <w:spacing w:after="80"/>
      </w:pPr>
      <w:r w:rsidRPr="006663D5">
        <w:t xml:space="preserve">(f) </w:t>
      </w:r>
      <w:r w:rsidR="00EF0361" w:rsidRPr="00EF0361">
        <w:t xml:space="preserve">Number and type of volatile substances and items used to inhale a volatile substance disposed of or made safe under </w:t>
      </w:r>
      <w:r w:rsidR="00F0482D">
        <w:t>s. </w:t>
      </w:r>
      <w:r w:rsidR="00EF0361" w:rsidRPr="00EF0361">
        <w:t>60O</w:t>
      </w:r>
    </w:p>
    <w:tbl>
      <w:tblPr>
        <w:tblW w:w="4593" w:type="dxa"/>
        <w:tblBorders>
          <w:top w:val="single" w:sz="4" w:space="0" w:color="auto"/>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80" w:firstRow="0" w:lastRow="0" w:firstColumn="1" w:lastColumn="0" w:noHBand="1" w:noVBand="1"/>
      </w:tblPr>
      <w:tblGrid>
        <w:gridCol w:w="3289"/>
        <w:gridCol w:w="1304"/>
      </w:tblGrid>
      <w:tr w:rsidR="00982027" w:rsidRPr="006663D5" w14:paraId="2E94B7A4" w14:textId="77777777" w:rsidTr="002D3A00">
        <w:trPr>
          <w:cantSplit/>
        </w:trPr>
        <w:tc>
          <w:tcPr>
            <w:tcW w:w="3289" w:type="dxa"/>
            <w:shd w:val="clear" w:color="auto" w:fill="auto"/>
          </w:tcPr>
          <w:p w14:paraId="6CEFE630" w14:textId="77777777" w:rsidR="00982027" w:rsidRPr="006663D5" w:rsidRDefault="007F1992" w:rsidP="002D3A00">
            <w:pPr>
              <w:pStyle w:val="ARtabletext"/>
            </w:pPr>
            <w:r w:rsidRPr="007F1992">
              <w:t>Deod</w:t>
            </w:r>
            <w:r w:rsidR="00F0482D">
              <w:t>o</w:t>
            </w:r>
            <w:r w:rsidRPr="007F1992">
              <w:t>rant</w:t>
            </w:r>
          </w:p>
        </w:tc>
        <w:tc>
          <w:tcPr>
            <w:tcW w:w="1304" w:type="dxa"/>
            <w:shd w:val="clear" w:color="auto" w:fill="auto"/>
          </w:tcPr>
          <w:p w14:paraId="4A5EB6B9" w14:textId="77777777" w:rsidR="00982027" w:rsidRPr="006663D5" w:rsidRDefault="007F1992" w:rsidP="002D3A00">
            <w:pPr>
              <w:pStyle w:val="ARtabletextright"/>
            </w:pPr>
            <w:r>
              <w:t>1</w:t>
            </w:r>
          </w:p>
        </w:tc>
      </w:tr>
      <w:tr w:rsidR="00EF0361" w:rsidRPr="006663D5" w14:paraId="0885A2AF" w14:textId="77777777" w:rsidTr="002D3A00">
        <w:trPr>
          <w:cantSplit/>
        </w:trPr>
        <w:tc>
          <w:tcPr>
            <w:tcW w:w="3289" w:type="dxa"/>
            <w:shd w:val="clear" w:color="auto" w:fill="auto"/>
          </w:tcPr>
          <w:p w14:paraId="1A55DFA7" w14:textId="77777777" w:rsidR="00EF0361" w:rsidRPr="006663D5" w:rsidRDefault="007F1992" w:rsidP="002D3A00">
            <w:pPr>
              <w:pStyle w:val="ARtabletext"/>
            </w:pPr>
            <w:r w:rsidRPr="007F1992">
              <w:t>Plastic bag (with paint)</w:t>
            </w:r>
          </w:p>
        </w:tc>
        <w:tc>
          <w:tcPr>
            <w:tcW w:w="1304" w:type="dxa"/>
            <w:shd w:val="clear" w:color="auto" w:fill="auto"/>
          </w:tcPr>
          <w:p w14:paraId="6B71D1AC" w14:textId="77777777" w:rsidR="00EF0361" w:rsidRPr="006663D5" w:rsidRDefault="007F1992" w:rsidP="002D3A00">
            <w:pPr>
              <w:pStyle w:val="ARtabletextright"/>
            </w:pPr>
            <w:r>
              <w:t>1</w:t>
            </w:r>
          </w:p>
        </w:tc>
      </w:tr>
    </w:tbl>
    <w:p w14:paraId="09BEB5F8" w14:textId="77777777" w:rsidR="00982027" w:rsidRPr="006663D5" w:rsidRDefault="00982027" w:rsidP="00982027">
      <w:pPr>
        <w:pStyle w:val="ARtablecaption"/>
      </w:pPr>
      <w:r w:rsidRPr="006663D5">
        <w:t xml:space="preserve">(g) </w:t>
      </w:r>
      <w:r w:rsidR="007F1992" w:rsidRPr="007F1992">
        <w:t xml:space="preserve">Number and type of volatile substances and items used to inhale a volatile substance forfeited to the Crown under </w:t>
      </w:r>
      <w:r w:rsidR="00F0482D">
        <w:t>s. </w:t>
      </w:r>
      <w:r w:rsidR="007F1992" w:rsidRPr="007F1992">
        <w:t>60P</w:t>
      </w:r>
    </w:p>
    <w:tbl>
      <w:tblPr>
        <w:tblW w:w="4593" w:type="dxa"/>
        <w:tblBorders>
          <w:top w:val="single" w:sz="4" w:space="0" w:color="auto"/>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80" w:firstRow="0" w:lastRow="0" w:firstColumn="1" w:lastColumn="0" w:noHBand="1" w:noVBand="1"/>
      </w:tblPr>
      <w:tblGrid>
        <w:gridCol w:w="3289"/>
        <w:gridCol w:w="1304"/>
      </w:tblGrid>
      <w:tr w:rsidR="00982027" w:rsidRPr="006663D5" w14:paraId="4E28D8B3" w14:textId="77777777" w:rsidTr="002D3A00">
        <w:trPr>
          <w:cantSplit/>
        </w:trPr>
        <w:tc>
          <w:tcPr>
            <w:tcW w:w="3289" w:type="dxa"/>
            <w:shd w:val="clear" w:color="auto" w:fill="auto"/>
          </w:tcPr>
          <w:p w14:paraId="7457ACE1" w14:textId="77777777" w:rsidR="00982027" w:rsidRPr="006663D5" w:rsidRDefault="007F1992" w:rsidP="002D3A00">
            <w:pPr>
              <w:pStyle w:val="ARtabletext"/>
            </w:pPr>
            <w:r w:rsidRPr="007F1992">
              <w:t>Deod</w:t>
            </w:r>
            <w:r w:rsidR="00F0482D">
              <w:t>o</w:t>
            </w:r>
            <w:r w:rsidRPr="007F1992">
              <w:t>rant</w:t>
            </w:r>
          </w:p>
        </w:tc>
        <w:tc>
          <w:tcPr>
            <w:tcW w:w="1304" w:type="dxa"/>
            <w:shd w:val="clear" w:color="auto" w:fill="auto"/>
          </w:tcPr>
          <w:p w14:paraId="62902002" w14:textId="77777777" w:rsidR="00982027" w:rsidRPr="006663D5" w:rsidRDefault="007F1992" w:rsidP="002D3A00">
            <w:pPr>
              <w:pStyle w:val="ARtabletextright"/>
            </w:pPr>
            <w:r>
              <w:t>1</w:t>
            </w:r>
          </w:p>
        </w:tc>
      </w:tr>
      <w:tr w:rsidR="007F1992" w:rsidRPr="006663D5" w14:paraId="4BC13580" w14:textId="77777777" w:rsidTr="002D3A00">
        <w:trPr>
          <w:cantSplit/>
        </w:trPr>
        <w:tc>
          <w:tcPr>
            <w:tcW w:w="3289" w:type="dxa"/>
            <w:shd w:val="clear" w:color="auto" w:fill="auto"/>
          </w:tcPr>
          <w:p w14:paraId="100E1B0E" w14:textId="77777777" w:rsidR="007F1992" w:rsidRPr="006663D5" w:rsidRDefault="007F1992" w:rsidP="002D3A00">
            <w:pPr>
              <w:pStyle w:val="ARtabletext"/>
            </w:pPr>
            <w:r w:rsidRPr="007F1992">
              <w:t>Socks (used to filter deodorant)</w:t>
            </w:r>
          </w:p>
        </w:tc>
        <w:tc>
          <w:tcPr>
            <w:tcW w:w="1304" w:type="dxa"/>
            <w:shd w:val="clear" w:color="auto" w:fill="auto"/>
          </w:tcPr>
          <w:p w14:paraId="08309B44" w14:textId="77777777" w:rsidR="007F1992" w:rsidRPr="006663D5" w:rsidRDefault="007F1992" w:rsidP="002D3A00">
            <w:pPr>
              <w:pStyle w:val="ARtabletextright"/>
            </w:pPr>
            <w:r>
              <w:t>1</w:t>
            </w:r>
          </w:p>
        </w:tc>
      </w:tr>
    </w:tbl>
    <w:p w14:paraId="4E2E5960" w14:textId="77777777" w:rsidR="00982027" w:rsidRPr="006663D5" w:rsidRDefault="00982027" w:rsidP="00982027">
      <w:pPr>
        <w:pStyle w:val="ARtablecaption"/>
      </w:pPr>
      <w:r w:rsidRPr="006663D5">
        <w:t xml:space="preserve">(h) </w:t>
      </w:r>
      <w:r w:rsidR="0025541C" w:rsidRPr="0025541C">
        <w:t xml:space="preserve">Number of persons apprehended and detained without warrant under section 60L </w:t>
      </w:r>
    </w:p>
    <w:tbl>
      <w:tblPr>
        <w:tblW w:w="4593" w:type="dxa"/>
        <w:tblBorders>
          <w:top w:val="single" w:sz="4" w:space="0" w:color="auto"/>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80" w:firstRow="0" w:lastRow="0" w:firstColumn="1" w:lastColumn="0" w:noHBand="1" w:noVBand="1"/>
      </w:tblPr>
      <w:tblGrid>
        <w:gridCol w:w="3372"/>
        <w:gridCol w:w="1221"/>
      </w:tblGrid>
      <w:tr w:rsidR="00982027" w:rsidRPr="006663D5" w14:paraId="4EE0ADB1" w14:textId="77777777" w:rsidTr="002D3A00">
        <w:trPr>
          <w:cantSplit/>
        </w:trPr>
        <w:tc>
          <w:tcPr>
            <w:tcW w:w="3372" w:type="dxa"/>
            <w:shd w:val="clear" w:color="auto" w:fill="auto"/>
          </w:tcPr>
          <w:p w14:paraId="6327849A" w14:textId="77777777" w:rsidR="00982027" w:rsidRPr="006663D5" w:rsidRDefault="00982027" w:rsidP="002D3A00">
            <w:pPr>
              <w:pStyle w:val="ARtabletext"/>
            </w:pPr>
            <w:r w:rsidRPr="006663D5">
              <w:t>Persons (under 18 years) apprehended and detained</w:t>
            </w:r>
          </w:p>
        </w:tc>
        <w:tc>
          <w:tcPr>
            <w:tcW w:w="1221" w:type="dxa"/>
            <w:shd w:val="clear" w:color="auto" w:fill="auto"/>
          </w:tcPr>
          <w:p w14:paraId="7E16E1C8" w14:textId="11DBEB44" w:rsidR="00982027" w:rsidRPr="006663D5" w:rsidRDefault="00F54DCB" w:rsidP="002D3A00">
            <w:pPr>
              <w:pStyle w:val="ARtabletextright"/>
            </w:pPr>
            <w:r>
              <w:t>–</w:t>
            </w:r>
          </w:p>
        </w:tc>
      </w:tr>
      <w:tr w:rsidR="00982027" w:rsidRPr="006663D5" w14:paraId="18075694" w14:textId="77777777" w:rsidTr="002D3A00">
        <w:trPr>
          <w:cantSplit/>
        </w:trPr>
        <w:tc>
          <w:tcPr>
            <w:tcW w:w="3372" w:type="dxa"/>
            <w:shd w:val="clear" w:color="auto" w:fill="auto"/>
          </w:tcPr>
          <w:p w14:paraId="1C7438D8" w14:textId="77777777" w:rsidR="00982027" w:rsidRPr="006663D5" w:rsidRDefault="00982027" w:rsidP="002D3A00">
            <w:pPr>
              <w:pStyle w:val="ARtabletext"/>
            </w:pPr>
            <w:r w:rsidRPr="006663D5">
              <w:t>Persons (irrespective of age) apprehended and detained</w:t>
            </w:r>
          </w:p>
        </w:tc>
        <w:tc>
          <w:tcPr>
            <w:tcW w:w="1221" w:type="dxa"/>
            <w:shd w:val="clear" w:color="auto" w:fill="auto"/>
          </w:tcPr>
          <w:p w14:paraId="31B56C45" w14:textId="12E7E509" w:rsidR="00982027" w:rsidRPr="006663D5" w:rsidRDefault="00F54DCB" w:rsidP="002D3A00">
            <w:pPr>
              <w:pStyle w:val="ARtabletextright"/>
            </w:pPr>
            <w:r>
              <w:t>–</w:t>
            </w:r>
          </w:p>
        </w:tc>
      </w:tr>
      <w:tr w:rsidR="00982027" w:rsidRPr="006663D5" w14:paraId="67CA3FC8" w14:textId="77777777" w:rsidTr="002D3A00">
        <w:trPr>
          <w:cantSplit/>
        </w:trPr>
        <w:tc>
          <w:tcPr>
            <w:tcW w:w="3372" w:type="dxa"/>
            <w:shd w:val="clear" w:color="auto" w:fill="auto"/>
          </w:tcPr>
          <w:p w14:paraId="6C91387D" w14:textId="77777777" w:rsidR="00982027" w:rsidRPr="006663D5" w:rsidRDefault="00982027" w:rsidP="002D3A00">
            <w:pPr>
              <w:pStyle w:val="ARtabletext"/>
            </w:pPr>
            <w:r w:rsidRPr="006663D5">
              <w:t>Male</w:t>
            </w:r>
          </w:p>
        </w:tc>
        <w:tc>
          <w:tcPr>
            <w:tcW w:w="1221" w:type="dxa"/>
            <w:shd w:val="clear" w:color="auto" w:fill="auto"/>
          </w:tcPr>
          <w:p w14:paraId="1A31139D" w14:textId="6EE73AC2" w:rsidR="00982027" w:rsidRPr="006663D5" w:rsidRDefault="00F54DCB" w:rsidP="002D3A00">
            <w:pPr>
              <w:pStyle w:val="ARtabletextright"/>
            </w:pPr>
            <w:r>
              <w:t>–</w:t>
            </w:r>
          </w:p>
        </w:tc>
      </w:tr>
      <w:tr w:rsidR="00982027" w:rsidRPr="006663D5" w14:paraId="3EB5CD14" w14:textId="77777777" w:rsidTr="002D3A00">
        <w:trPr>
          <w:cantSplit/>
        </w:trPr>
        <w:tc>
          <w:tcPr>
            <w:tcW w:w="3372" w:type="dxa"/>
            <w:shd w:val="clear" w:color="auto" w:fill="auto"/>
          </w:tcPr>
          <w:p w14:paraId="54FDBC03" w14:textId="77777777" w:rsidR="00982027" w:rsidRPr="006663D5" w:rsidRDefault="00982027" w:rsidP="002D3A00">
            <w:pPr>
              <w:pStyle w:val="ARtabletext"/>
            </w:pPr>
            <w:r w:rsidRPr="006663D5">
              <w:t>Female</w:t>
            </w:r>
          </w:p>
        </w:tc>
        <w:tc>
          <w:tcPr>
            <w:tcW w:w="1221" w:type="dxa"/>
            <w:shd w:val="clear" w:color="auto" w:fill="auto"/>
          </w:tcPr>
          <w:p w14:paraId="2522AF8F" w14:textId="476E797A" w:rsidR="00982027" w:rsidRPr="006663D5" w:rsidRDefault="00F54DCB" w:rsidP="002D3A00">
            <w:pPr>
              <w:pStyle w:val="ARtabletextright"/>
            </w:pPr>
            <w:r>
              <w:t>–</w:t>
            </w:r>
          </w:p>
        </w:tc>
      </w:tr>
      <w:tr w:rsidR="00982027" w:rsidRPr="006663D5" w14:paraId="1398FC71" w14:textId="77777777" w:rsidTr="002D3A00">
        <w:trPr>
          <w:cantSplit/>
        </w:trPr>
        <w:tc>
          <w:tcPr>
            <w:tcW w:w="3372" w:type="dxa"/>
            <w:shd w:val="clear" w:color="auto" w:fill="auto"/>
          </w:tcPr>
          <w:p w14:paraId="5F8940B8" w14:textId="77777777" w:rsidR="00982027" w:rsidRPr="006663D5" w:rsidRDefault="00982027" w:rsidP="002D3A00">
            <w:pPr>
              <w:pStyle w:val="ARtabletext"/>
            </w:pPr>
            <w:r w:rsidRPr="006663D5">
              <w:t>Indigenous</w:t>
            </w:r>
          </w:p>
        </w:tc>
        <w:tc>
          <w:tcPr>
            <w:tcW w:w="1221" w:type="dxa"/>
            <w:shd w:val="clear" w:color="auto" w:fill="auto"/>
          </w:tcPr>
          <w:p w14:paraId="2F84C57C" w14:textId="7E330C13" w:rsidR="00982027" w:rsidRPr="006663D5" w:rsidRDefault="00F54DCB" w:rsidP="002D3A00">
            <w:pPr>
              <w:pStyle w:val="ARtabletextright"/>
            </w:pPr>
            <w:r>
              <w:t>–</w:t>
            </w:r>
          </w:p>
        </w:tc>
      </w:tr>
      <w:tr w:rsidR="00982027" w:rsidRPr="006663D5" w14:paraId="347629C8" w14:textId="77777777" w:rsidTr="002D3A00">
        <w:trPr>
          <w:cantSplit/>
        </w:trPr>
        <w:tc>
          <w:tcPr>
            <w:tcW w:w="3372" w:type="dxa"/>
            <w:shd w:val="clear" w:color="auto" w:fill="auto"/>
          </w:tcPr>
          <w:p w14:paraId="6F193F15" w14:textId="77777777" w:rsidR="00982027" w:rsidRPr="006663D5" w:rsidRDefault="00982027" w:rsidP="002D3A00">
            <w:pPr>
              <w:pStyle w:val="ARtabletext"/>
            </w:pPr>
            <w:r w:rsidRPr="006663D5">
              <w:t>Non-Indigenous</w:t>
            </w:r>
          </w:p>
        </w:tc>
        <w:tc>
          <w:tcPr>
            <w:tcW w:w="1221" w:type="dxa"/>
            <w:shd w:val="clear" w:color="auto" w:fill="auto"/>
          </w:tcPr>
          <w:p w14:paraId="36960622" w14:textId="040A5DC9" w:rsidR="00982027" w:rsidRPr="006663D5" w:rsidRDefault="00F54DCB" w:rsidP="002D3A00">
            <w:pPr>
              <w:pStyle w:val="ARtabletextright"/>
            </w:pPr>
            <w:r>
              <w:t>–</w:t>
            </w:r>
          </w:p>
        </w:tc>
      </w:tr>
    </w:tbl>
    <w:p w14:paraId="342DB8EC" w14:textId="77777777" w:rsidR="007F1992" w:rsidRDefault="007F1992" w:rsidP="007F1992">
      <w:pPr>
        <w:pStyle w:val="ARtablefootnote"/>
      </w:pPr>
      <w:r>
        <w:t xml:space="preserve">Notes: </w:t>
      </w:r>
      <w:r w:rsidRPr="007F1992">
        <w:t>Each contact or occasion may involve multiple items or substances. Figures do not include prescribed or prohibited volatile substances. Incidents may involve persons detained or transported under different legislative provisions resulting from the initial contact, e</w:t>
      </w:r>
      <w:r>
        <w:t>.</w:t>
      </w:r>
      <w:r w:rsidRPr="007F1992">
        <w:t>g</w:t>
      </w:r>
      <w:r>
        <w:t>.</w:t>
      </w:r>
      <w:r w:rsidRPr="007F1992">
        <w:t xml:space="preserve"> (mental health).</w:t>
      </w:r>
    </w:p>
    <w:p w14:paraId="591BF25A" w14:textId="77777777" w:rsidR="00982027" w:rsidRPr="006663D5" w:rsidRDefault="00982027" w:rsidP="00982027">
      <w:pPr>
        <w:pStyle w:val="Heading2"/>
      </w:pPr>
      <w:bookmarkStart w:id="181" w:name="_Ref21960028"/>
      <w:r w:rsidRPr="006663D5">
        <w:t>Cemeteries and Crematoria Act 2003</w:t>
      </w:r>
      <w:bookmarkEnd w:id="181"/>
    </w:p>
    <w:p w14:paraId="202D3E83" w14:textId="77777777" w:rsidR="00982027" w:rsidRPr="006663D5" w:rsidRDefault="00982027" w:rsidP="00982027">
      <w:pPr>
        <w:pStyle w:val="ARbody"/>
      </w:pPr>
      <w:r w:rsidRPr="006663D5">
        <w:t xml:space="preserve">In 2009 the </w:t>
      </w:r>
      <w:r w:rsidRPr="006663D5">
        <w:rPr>
          <w:i/>
        </w:rPr>
        <w:t xml:space="preserve">Cemeteries and Crematoria Act 2003 </w:t>
      </w:r>
      <w:r w:rsidRPr="006663D5">
        <w:t>was amended to require Class A cemetery trusts to pay a levy. The levy is intended to assist in defraying the cost of administering the Act, make improvements to cemetery trust governance and administration, and to provide services to the community.</w:t>
      </w:r>
    </w:p>
    <w:p w14:paraId="02C3FCF0" w14:textId="19D5C5D1" w:rsidR="00982027" w:rsidRDefault="00982027" w:rsidP="00982027">
      <w:pPr>
        <w:pStyle w:val="ARbodybeforetable"/>
      </w:pPr>
      <w:r w:rsidRPr="006663D5">
        <w:t xml:space="preserve">The levy is set at </w:t>
      </w:r>
      <w:r w:rsidR="0016290F">
        <w:t>3</w:t>
      </w:r>
      <w:r w:rsidR="0016290F" w:rsidRPr="006663D5">
        <w:t xml:space="preserve"> </w:t>
      </w:r>
      <w:r w:rsidRPr="006663D5">
        <w:t xml:space="preserve">per cent, or a rate determined by the Minister for Health up to a maximum of </w:t>
      </w:r>
      <w:r w:rsidR="0016290F">
        <w:t>5</w:t>
      </w:r>
      <w:r w:rsidR="00F54DCB">
        <w:t> </w:t>
      </w:r>
      <w:r w:rsidRPr="006663D5">
        <w:t>per</w:t>
      </w:r>
      <w:r w:rsidR="00F54DCB">
        <w:t> </w:t>
      </w:r>
      <w:r w:rsidRPr="006663D5">
        <w:t>cent, of each Class A cemetery trust’s gross earnings from the previous financial year. The following table details the amount paid as levy, the</w:t>
      </w:r>
      <w:r w:rsidR="00F54DCB">
        <w:t> </w:t>
      </w:r>
      <w:r w:rsidRPr="006663D5">
        <w:t>amount appropriated and the matters on which</w:t>
      </w:r>
      <w:r w:rsidR="00F54DCB">
        <w:t> </w:t>
      </w:r>
      <w:r w:rsidRPr="006663D5">
        <w:t>the appropriated money was expended.</w:t>
      </w:r>
    </w:p>
    <w:tbl>
      <w:tblPr>
        <w:tblW w:w="4593" w:type="dxa"/>
        <w:tblBorders>
          <w:left w:val="single" w:sz="8" w:space="0" w:color="FFFFFF"/>
          <w:bottom w:val="single" w:sz="4" w:space="0" w:color="auto"/>
          <w:right w:val="single" w:sz="8" w:space="0" w:color="FFFFFF"/>
          <w:insideH w:val="single" w:sz="4" w:space="0" w:color="auto"/>
          <w:insideV w:val="single" w:sz="8" w:space="0" w:color="FFFFFF"/>
        </w:tblBorders>
        <w:tblCellMar>
          <w:left w:w="0" w:type="dxa"/>
          <w:right w:w="0" w:type="dxa"/>
        </w:tblCellMar>
        <w:tblLook w:val="04A0" w:firstRow="1" w:lastRow="0" w:firstColumn="1" w:lastColumn="0" w:noHBand="0" w:noVBand="1"/>
      </w:tblPr>
      <w:tblGrid>
        <w:gridCol w:w="2522"/>
        <w:gridCol w:w="2071"/>
      </w:tblGrid>
      <w:tr w:rsidR="00324ACA" w14:paraId="14E67D97" w14:textId="77777777" w:rsidTr="00F54DCB">
        <w:trPr>
          <w:cantSplit/>
          <w:tblHeader/>
        </w:trPr>
        <w:tc>
          <w:tcPr>
            <w:tcW w:w="2522" w:type="dxa"/>
            <w:tcMar>
              <w:top w:w="0" w:type="dxa"/>
              <w:left w:w="0" w:type="dxa"/>
              <w:bottom w:w="0" w:type="dxa"/>
              <w:right w:w="108" w:type="dxa"/>
            </w:tcMar>
            <w:vAlign w:val="bottom"/>
            <w:hideMark/>
          </w:tcPr>
          <w:p w14:paraId="33CB3265" w14:textId="77777777" w:rsidR="00324ACA" w:rsidRDefault="00324ACA">
            <w:pPr>
              <w:pStyle w:val="ARtablecolhead"/>
              <w:keepNext/>
              <w:rPr>
                <w:rFonts w:eastAsiaTheme="minorHAnsi"/>
              </w:rPr>
            </w:pPr>
            <w:r>
              <w:t>Collection of levy</w:t>
            </w:r>
          </w:p>
        </w:tc>
        <w:tc>
          <w:tcPr>
            <w:tcW w:w="2071" w:type="dxa"/>
            <w:tcMar>
              <w:top w:w="0" w:type="dxa"/>
              <w:left w:w="0" w:type="dxa"/>
              <w:bottom w:w="0" w:type="dxa"/>
              <w:right w:w="108" w:type="dxa"/>
            </w:tcMar>
            <w:vAlign w:val="bottom"/>
            <w:hideMark/>
          </w:tcPr>
          <w:p w14:paraId="155910CE" w14:textId="77777777" w:rsidR="00324ACA" w:rsidRDefault="00324ACA">
            <w:pPr>
              <w:pStyle w:val="ARtablecolheadright"/>
            </w:pPr>
            <w:r>
              <w:t>2018–19</w:t>
            </w:r>
          </w:p>
        </w:tc>
      </w:tr>
      <w:tr w:rsidR="00324ACA" w14:paraId="33EDB0F8" w14:textId="77777777" w:rsidTr="00F54DCB">
        <w:trPr>
          <w:cantSplit/>
        </w:trPr>
        <w:tc>
          <w:tcPr>
            <w:tcW w:w="2522" w:type="dxa"/>
            <w:tcMar>
              <w:top w:w="0" w:type="dxa"/>
              <w:left w:w="0" w:type="dxa"/>
              <w:bottom w:w="0" w:type="dxa"/>
              <w:right w:w="108" w:type="dxa"/>
            </w:tcMar>
            <w:hideMark/>
          </w:tcPr>
          <w:p w14:paraId="696CB9A8" w14:textId="77777777" w:rsidR="00324ACA" w:rsidRDefault="00324ACA">
            <w:pPr>
              <w:pStyle w:val="ARtabletext"/>
            </w:pPr>
            <w:r>
              <w:t>Metropolitan trusts</w:t>
            </w:r>
          </w:p>
        </w:tc>
        <w:tc>
          <w:tcPr>
            <w:tcW w:w="2071" w:type="dxa"/>
            <w:tcMar>
              <w:top w:w="0" w:type="dxa"/>
              <w:left w:w="0" w:type="dxa"/>
              <w:bottom w:w="0" w:type="dxa"/>
              <w:right w:w="108" w:type="dxa"/>
            </w:tcMar>
            <w:hideMark/>
          </w:tcPr>
          <w:p w14:paraId="0B1B5DE4" w14:textId="77777777" w:rsidR="00324ACA" w:rsidRDefault="00324ACA">
            <w:pPr>
              <w:pStyle w:val="ARtabletextright"/>
            </w:pPr>
            <w:r>
              <w:t>$4,695,000</w:t>
            </w:r>
          </w:p>
        </w:tc>
      </w:tr>
      <w:tr w:rsidR="00324ACA" w14:paraId="3B44DA48" w14:textId="77777777" w:rsidTr="00F54DCB">
        <w:trPr>
          <w:cantSplit/>
        </w:trPr>
        <w:tc>
          <w:tcPr>
            <w:tcW w:w="2522" w:type="dxa"/>
            <w:tcMar>
              <w:top w:w="0" w:type="dxa"/>
              <w:left w:w="0" w:type="dxa"/>
              <w:bottom w:w="0" w:type="dxa"/>
              <w:right w:w="108" w:type="dxa"/>
            </w:tcMar>
            <w:hideMark/>
          </w:tcPr>
          <w:p w14:paraId="40AAFC53" w14:textId="77777777" w:rsidR="00324ACA" w:rsidRDefault="00324ACA">
            <w:pPr>
              <w:pStyle w:val="ARtabletext"/>
            </w:pPr>
            <w:r>
              <w:t>Rural trusts</w:t>
            </w:r>
          </w:p>
        </w:tc>
        <w:tc>
          <w:tcPr>
            <w:tcW w:w="2071" w:type="dxa"/>
            <w:tcMar>
              <w:top w:w="0" w:type="dxa"/>
              <w:left w:w="0" w:type="dxa"/>
              <w:bottom w:w="0" w:type="dxa"/>
              <w:right w:w="108" w:type="dxa"/>
            </w:tcMar>
            <w:hideMark/>
          </w:tcPr>
          <w:p w14:paraId="7A9EDB02" w14:textId="77777777" w:rsidR="00324ACA" w:rsidRDefault="00324ACA">
            <w:pPr>
              <w:pStyle w:val="ARtabletextright"/>
            </w:pPr>
            <w:r>
              <w:t>$365,875</w:t>
            </w:r>
          </w:p>
        </w:tc>
      </w:tr>
      <w:tr w:rsidR="00324ACA" w14:paraId="5D38FCAD" w14:textId="77777777" w:rsidTr="00F54DCB">
        <w:trPr>
          <w:cantSplit/>
        </w:trPr>
        <w:tc>
          <w:tcPr>
            <w:tcW w:w="2522" w:type="dxa"/>
            <w:tcMar>
              <w:top w:w="0" w:type="dxa"/>
              <w:left w:w="0" w:type="dxa"/>
              <w:bottom w:w="0" w:type="dxa"/>
              <w:right w:w="108" w:type="dxa"/>
            </w:tcMar>
            <w:hideMark/>
          </w:tcPr>
          <w:p w14:paraId="5B76CE0D" w14:textId="77777777" w:rsidR="00324ACA" w:rsidRDefault="00324ACA">
            <w:pPr>
              <w:pStyle w:val="ARtabletextbold"/>
            </w:pPr>
            <w:r>
              <w:t>Total amount collected</w:t>
            </w:r>
          </w:p>
        </w:tc>
        <w:tc>
          <w:tcPr>
            <w:tcW w:w="2071" w:type="dxa"/>
            <w:tcMar>
              <w:top w:w="0" w:type="dxa"/>
              <w:left w:w="0" w:type="dxa"/>
              <w:bottom w:w="0" w:type="dxa"/>
              <w:right w:w="108" w:type="dxa"/>
            </w:tcMar>
            <w:hideMark/>
          </w:tcPr>
          <w:p w14:paraId="77CBB704" w14:textId="77777777" w:rsidR="00324ACA" w:rsidRDefault="00324ACA">
            <w:pPr>
              <w:pStyle w:val="ARtabletextright"/>
              <w:rPr>
                <w:b/>
                <w:bCs/>
              </w:rPr>
            </w:pPr>
            <w:r>
              <w:rPr>
                <w:b/>
                <w:bCs/>
              </w:rPr>
              <w:t>$5,060,875</w:t>
            </w:r>
          </w:p>
        </w:tc>
      </w:tr>
    </w:tbl>
    <w:p w14:paraId="6E426C29" w14:textId="77777777" w:rsidR="00324ACA" w:rsidRDefault="00324ACA" w:rsidP="00324ACA">
      <w:pPr>
        <w:pStyle w:val="ARbody"/>
      </w:pPr>
    </w:p>
    <w:tbl>
      <w:tblPr>
        <w:tblW w:w="4593" w:type="dxa"/>
        <w:tblBorders>
          <w:left w:val="single" w:sz="8" w:space="0" w:color="FFFFFF"/>
          <w:bottom w:val="single" w:sz="4" w:space="0" w:color="auto"/>
          <w:right w:val="single" w:sz="8" w:space="0" w:color="FFFFFF"/>
          <w:insideH w:val="single" w:sz="4" w:space="0" w:color="auto"/>
          <w:insideV w:val="single" w:sz="8" w:space="0" w:color="FFFFFF"/>
        </w:tblBorders>
        <w:tblCellMar>
          <w:left w:w="0" w:type="dxa"/>
          <w:right w:w="0" w:type="dxa"/>
        </w:tblCellMar>
        <w:tblLook w:val="04A0" w:firstRow="1" w:lastRow="0" w:firstColumn="1" w:lastColumn="0" w:noHBand="0" w:noVBand="1"/>
      </w:tblPr>
      <w:tblGrid>
        <w:gridCol w:w="2873"/>
        <w:gridCol w:w="1720"/>
      </w:tblGrid>
      <w:tr w:rsidR="00324ACA" w14:paraId="16829DB9" w14:textId="77777777" w:rsidTr="00F54DCB">
        <w:trPr>
          <w:cantSplit/>
          <w:tblHeader/>
        </w:trPr>
        <w:tc>
          <w:tcPr>
            <w:tcW w:w="2873" w:type="dxa"/>
            <w:tcMar>
              <w:top w:w="0" w:type="dxa"/>
              <w:left w:w="0" w:type="dxa"/>
              <w:bottom w:w="0" w:type="dxa"/>
              <w:right w:w="108" w:type="dxa"/>
            </w:tcMar>
            <w:vAlign w:val="bottom"/>
            <w:hideMark/>
          </w:tcPr>
          <w:p w14:paraId="053C4FA4" w14:textId="77777777" w:rsidR="00324ACA" w:rsidRDefault="00324ACA">
            <w:pPr>
              <w:pStyle w:val="ARtablecolhead"/>
            </w:pPr>
            <w:r>
              <w:t>Departmental expenditure (category)</w:t>
            </w:r>
          </w:p>
        </w:tc>
        <w:tc>
          <w:tcPr>
            <w:tcW w:w="1720" w:type="dxa"/>
            <w:tcMar>
              <w:top w:w="0" w:type="dxa"/>
              <w:left w:w="0" w:type="dxa"/>
              <w:bottom w:w="0" w:type="dxa"/>
              <w:right w:w="108" w:type="dxa"/>
            </w:tcMar>
            <w:vAlign w:val="bottom"/>
            <w:hideMark/>
          </w:tcPr>
          <w:p w14:paraId="75C80C09" w14:textId="77777777" w:rsidR="00324ACA" w:rsidRDefault="00324ACA">
            <w:pPr>
              <w:pStyle w:val="ARtablecolheadright"/>
            </w:pPr>
            <w:r>
              <w:t>2018–19</w:t>
            </w:r>
          </w:p>
        </w:tc>
      </w:tr>
      <w:tr w:rsidR="00324ACA" w14:paraId="6A49D277" w14:textId="77777777" w:rsidTr="00F54DCB">
        <w:trPr>
          <w:cantSplit/>
        </w:trPr>
        <w:tc>
          <w:tcPr>
            <w:tcW w:w="2873" w:type="dxa"/>
            <w:tcMar>
              <w:top w:w="0" w:type="dxa"/>
              <w:left w:w="0" w:type="dxa"/>
              <w:bottom w:w="0" w:type="dxa"/>
              <w:right w:w="108" w:type="dxa"/>
            </w:tcMar>
            <w:hideMark/>
          </w:tcPr>
          <w:p w14:paraId="2BE97DC7" w14:textId="77777777" w:rsidR="00324ACA" w:rsidRDefault="00324ACA">
            <w:pPr>
              <w:pStyle w:val="ARtabletext"/>
            </w:pPr>
            <w:r>
              <w:t>Sector reform initiatives</w:t>
            </w:r>
          </w:p>
        </w:tc>
        <w:tc>
          <w:tcPr>
            <w:tcW w:w="1720" w:type="dxa"/>
            <w:tcMar>
              <w:top w:w="0" w:type="dxa"/>
              <w:left w:w="0" w:type="dxa"/>
              <w:bottom w:w="0" w:type="dxa"/>
              <w:right w:w="108" w:type="dxa"/>
            </w:tcMar>
            <w:hideMark/>
          </w:tcPr>
          <w:p w14:paraId="378AFE48" w14:textId="77777777" w:rsidR="00324ACA" w:rsidRDefault="00324ACA">
            <w:pPr>
              <w:pStyle w:val="ARtabletextright"/>
            </w:pPr>
            <w:r>
              <w:t>$0</w:t>
            </w:r>
          </w:p>
        </w:tc>
      </w:tr>
      <w:tr w:rsidR="00324ACA" w14:paraId="6E00A5E9" w14:textId="77777777" w:rsidTr="00F54DCB">
        <w:trPr>
          <w:cantSplit/>
        </w:trPr>
        <w:tc>
          <w:tcPr>
            <w:tcW w:w="2873" w:type="dxa"/>
            <w:tcMar>
              <w:top w:w="0" w:type="dxa"/>
              <w:left w:w="0" w:type="dxa"/>
              <w:bottom w:w="0" w:type="dxa"/>
              <w:right w:w="108" w:type="dxa"/>
            </w:tcMar>
            <w:hideMark/>
          </w:tcPr>
          <w:p w14:paraId="2D1C15EB" w14:textId="77777777" w:rsidR="00324ACA" w:rsidRDefault="00324ACA">
            <w:pPr>
              <w:pStyle w:val="ARtabletext"/>
            </w:pPr>
            <w:r>
              <w:t>Governance support</w:t>
            </w:r>
          </w:p>
        </w:tc>
        <w:tc>
          <w:tcPr>
            <w:tcW w:w="1720" w:type="dxa"/>
            <w:tcMar>
              <w:top w:w="0" w:type="dxa"/>
              <w:left w:w="0" w:type="dxa"/>
              <w:bottom w:w="0" w:type="dxa"/>
              <w:right w:w="108" w:type="dxa"/>
            </w:tcMar>
            <w:hideMark/>
          </w:tcPr>
          <w:p w14:paraId="2981A76C" w14:textId="77777777" w:rsidR="00324ACA" w:rsidRDefault="00324ACA">
            <w:pPr>
              <w:pStyle w:val="ARtabletextright"/>
            </w:pPr>
            <w:r>
              <w:t>$1,219,087</w:t>
            </w:r>
          </w:p>
        </w:tc>
      </w:tr>
      <w:tr w:rsidR="00324ACA" w14:paraId="69344184" w14:textId="77777777" w:rsidTr="00F54DCB">
        <w:trPr>
          <w:cantSplit/>
        </w:trPr>
        <w:tc>
          <w:tcPr>
            <w:tcW w:w="2873" w:type="dxa"/>
            <w:tcMar>
              <w:top w:w="0" w:type="dxa"/>
              <w:left w:w="0" w:type="dxa"/>
              <w:bottom w:w="0" w:type="dxa"/>
              <w:right w:w="108" w:type="dxa"/>
            </w:tcMar>
            <w:hideMark/>
          </w:tcPr>
          <w:p w14:paraId="29E9C705" w14:textId="77777777" w:rsidR="00324ACA" w:rsidRDefault="00324ACA">
            <w:pPr>
              <w:pStyle w:val="ARtabletext"/>
            </w:pPr>
            <w:r>
              <w:t>Sector grants</w:t>
            </w:r>
          </w:p>
        </w:tc>
        <w:tc>
          <w:tcPr>
            <w:tcW w:w="1720" w:type="dxa"/>
            <w:tcMar>
              <w:top w:w="0" w:type="dxa"/>
              <w:left w:w="0" w:type="dxa"/>
              <w:bottom w:w="0" w:type="dxa"/>
              <w:right w:w="108" w:type="dxa"/>
            </w:tcMar>
            <w:hideMark/>
          </w:tcPr>
          <w:p w14:paraId="0884C989" w14:textId="77777777" w:rsidR="00324ACA" w:rsidRDefault="00324ACA">
            <w:pPr>
              <w:pStyle w:val="ARtabletextright"/>
            </w:pPr>
            <w:r>
              <w:t>$1,638,506</w:t>
            </w:r>
          </w:p>
        </w:tc>
      </w:tr>
      <w:tr w:rsidR="00324ACA" w14:paraId="56620847" w14:textId="77777777" w:rsidTr="00F54DCB">
        <w:trPr>
          <w:cantSplit/>
        </w:trPr>
        <w:tc>
          <w:tcPr>
            <w:tcW w:w="2873" w:type="dxa"/>
            <w:tcMar>
              <w:top w:w="0" w:type="dxa"/>
              <w:left w:w="0" w:type="dxa"/>
              <w:bottom w:w="0" w:type="dxa"/>
              <w:right w:w="108" w:type="dxa"/>
            </w:tcMar>
            <w:hideMark/>
          </w:tcPr>
          <w:p w14:paraId="14C2605D" w14:textId="77777777" w:rsidR="00324ACA" w:rsidRDefault="00324ACA">
            <w:pPr>
              <w:pStyle w:val="ARtabletext"/>
            </w:pPr>
            <w:r>
              <w:t>Sector policy, development and coordination</w:t>
            </w:r>
          </w:p>
        </w:tc>
        <w:tc>
          <w:tcPr>
            <w:tcW w:w="1720" w:type="dxa"/>
            <w:tcMar>
              <w:top w:w="0" w:type="dxa"/>
              <w:left w:w="0" w:type="dxa"/>
              <w:bottom w:w="0" w:type="dxa"/>
              <w:right w:w="108" w:type="dxa"/>
            </w:tcMar>
            <w:hideMark/>
          </w:tcPr>
          <w:p w14:paraId="7FF7897A" w14:textId="77777777" w:rsidR="00324ACA" w:rsidRDefault="00324ACA">
            <w:pPr>
              <w:pStyle w:val="ARtabletextright"/>
            </w:pPr>
            <w:r>
              <w:t>$406,362</w:t>
            </w:r>
          </w:p>
        </w:tc>
      </w:tr>
      <w:tr w:rsidR="00324ACA" w14:paraId="1582AAEB" w14:textId="77777777" w:rsidTr="00F54DCB">
        <w:trPr>
          <w:cantSplit/>
        </w:trPr>
        <w:tc>
          <w:tcPr>
            <w:tcW w:w="2873" w:type="dxa"/>
            <w:tcMar>
              <w:top w:w="0" w:type="dxa"/>
              <w:left w:w="0" w:type="dxa"/>
              <w:bottom w:w="0" w:type="dxa"/>
              <w:right w:w="108" w:type="dxa"/>
            </w:tcMar>
            <w:hideMark/>
          </w:tcPr>
          <w:p w14:paraId="09E4687C" w14:textId="77777777" w:rsidR="00324ACA" w:rsidRDefault="00324ACA">
            <w:pPr>
              <w:pStyle w:val="ARtabletext"/>
            </w:pPr>
            <w:r>
              <w:t>Insurance premiums and claims</w:t>
            </w:r>
          </w:p>
        </w:tc>
        <w:tc>
          <w:tcPr>
            <w:tcW w:w="1720" w:type="dxa"/>
            <w:tcMar>
              <w:top w:w="0" w:type="dxa"/>
              <w:left w:w="0" w:type="dxa"/>
              <w:bottom w:w="0" w:type="dxa"/>
              <w:right w:w="108" w:type="dxa"/>
            </w:tcMar>
            <w:hideMark/>
          </w:tcPr>
          <w:p w14:paraId="1A89049D" w14:textId="77777777" w:rsidR="00324ACA" w:rsidRDefault="00324ACA">
            <w:pPr>
              <w:pStyle w:val="ARtabletextright"/>
            </w:pPr>
            <w:r>
              <w:t>$1,453,323</w:t>
            </w:r>
          </w:p>
        </w:tc>
      </w:tr>
      <w:tr w:rsidR="00324ACA" w14:paraId="35BAF26D" w14:textId="77777777" w:rsidTr="00F54DCB">
        <w:trPr>
          <w:cantSplit/>
        </w:trPr>
        <w:tc>
          <w:tcPr>
            <w:tcW w:w="2873" w:type="dxa"/>
            <w:tcMar>
              <w:top w:w="0" w:type="dxa"/>
              <w:left w:w="0" w:type="dxa"/>
              <w:bottom w:w="0" w:type="dxa"/>
              <w:right w:w="108" w:type="dxa"/>
            </w:tcMar>
            <w:hideMark/>
          </w:tcPr>
          <w:p w14:paraId="50E3AF78" w14:textId="77777777" w:rsidR="00324ACA" w:rsidRDefault="00324ACA">
            <w:pPr>
              <w:pStyle w:val="ARtabletextbold"/>
            </w:pPr>
            <w:r>
              <w:t>Total expenditure</w:t>
            </w:r>
          </w:p>
        </w:tc>
        <w:tc>
          <w:tcPr>
            <w:tcW w:w="1720" w:type="dxa"/>
            <w:tcMar>
              <w:top w:w="0" w:type="dxa"/>
              <w:left w:w="0" w:type="dxa"/>
              <w:bottom w:w="0" w:type="dxa"/>
              <w:right w:w="108" w:type="dxa"/>
            </w:tcMar>
            <w:hideMark/>
          </w:tcPr>
          <w:p w14:paraId="49CF6DFA" w14:textId="77777777" w:rsidR="00324ACA" w:rsidRDefault="00324ACA">
            <w:pPr>
              <w:pStyle w:val="ARtabletextright"/>
              <w:rPr>
                <w:b/>
                <w:bCs/>
              </w:rPr>
            </w:pPr>
            <w:r>
              <w:rPr>
                <w:b/>
                <w:bCs/>
              </w:rPr>
              <w:t>$4,717,278</w:t>
            </w:r>
          </w:p>
        </w:tc>
      </w:tr>
    </w:tbl>
    <w:p w14:paraId="5FF31AEF" w14:textId="77777777" w:rsidR="009D144D" w:rsidRPr="00F54DCB" w:rsidRDefault="009D144D" w:rsidP="00F54DCB">
      <w:pPr>
        <w:pStyle w:val="ARbody"/>
      </w:pPr>
      <w:bookmarkStart w:id="182" w:name="_Ref525207539"/>
      <w:bookmarkEnd w:id="179"/>
      <w:r w:rsidRPr="00F54DCB">
        <w:br w:type="page"/>
      </w:r>
    </w:p>
    <w:p w14:paraId="0C5D2CC7" w14:textId="77777777" w:rsidR="00D51409" w:rsidRPr="006663D5" w:rsidRDefault="00D51409" w:rsidP="00D51409">
      <w:pPr>
        <w:pStyle w:val="Heading2"/>
      </w:pPr>
      <w:bookmarkStart w:id="183" w:name="_Ref21960989"/>
      <w:r w:rsidRPr="006663D5">
        <w:t>Public Health and Wellbeing Act 2008</w:t>
      </w:r>
      <w:bookmarkEnd w:id="183"/>
    </w:p>
    <w:p w14:paraId="6D8B7B9F" w14:textId="77777777" w:rsidR="00D51409" w:rsidRPr="006663D5" w:rsidRDefault="00D51409" w:rsidP="00D51409">
      <w:pPr>
        <w:pStyle w:val="ARbody"/>
      </w:pPr>
      <w:r w:rsidRPr="006663D5">
        <w:t xml:space="preserve">The </w:t>
      </w:r>
      <w:r w:rsidRPr="006663D5">
        <w:rPr>
          <w:i/>
        </w:rPr>
        <w:t xml:space="preserve">Public Health and Wellbeing Act 2008 </w:t>
      </w:r>
      <w:r w:rsidRPr="006663D5">
        <w:t>(the Act)</w:t>
      </w:r>
      <w:r w:rsidRPr="006663D5">
        <w:rPr>
          <w:i/>
        </w:rPr>
        <w:t xml:space="preserve"> </w:t>
      </w:r>
      <w:r w:rsidRPr="006663D5">
        <w:t>and the</w:t>
      </w:r>
      <w:r w:rsidRPr="006663D5">
        <w:rPr>
          <w:i/>
        </w:rPr>
        <w:t xml:space="preserve"> </w:t>
      </w:r>
      <w:r w:rsidRPr="006663D5">
        <w:t>Public Health and Wellbeing Regulations 2009 came into effect on 1 January 2010.</w:t>
      </w:r>
    </w:p>
    <w:p w14:paraId="1B127ED8" w14:textId="77777777" w:rsidR="00D51409" w:rsidRPr="006663D5" w:rsidRDefault="00D51409" w:rsidP="00D51409">
      <w:pPr>
        <w:pStyle w:val="ARbody"/>
      </w:pPr>
      <w:r w:rsidRPr="006663D5">
        <w:t>The Act protects public health through the prevention and control of infectious diseases.</w:t>
      </w:r>
    </w:p>
    <w:p w14:paraId="2F98F684" w14:textId="77777777" w:rsidR="00D51409" w:rsidRPr="006663D5" w:rsidRDefault="00D51409" w:rsidP="00D51409">
      <w:pPr>
        <w:pStyle w:val="ARbody"/>
      </w:pPr>
      <w:r w:rsidRPr="006663D5">
        <w:t xml:space="preserve">Under </w:t>
      </w:r>
      <w:r w:rsidR="0016290F">
        <w:t>s.</w:t>
      </w:r>
      <w:r w:rsidR="0016290F" w:rsidRPr="006663D5">
        <w:t xml:space="preserve"> </w:t>
      </w:r>
      <w:r w:rsidRPr="006663D5">
        <w:t>21 of the Act, the Chief Health Officer has a number of functions and powers. These include:</w:t>
      </w:r>
    </w:p>
    <w:p w14:paraId="1A35FBD3" w14:textId="77777777" w:rsidR="00D51409" w:rsidRPr="006663D5" w:rsidRDefault="00D51409" w:rsidP="00D51409">
      <w:pPr>
        <w:pStyle w:val="ARbullet1"/>
      </w:pPr>
      <w:r w:rsidRPr="006663D5">
        <w:t>to develop and implement strategies to promote and protect public health and wellbeing</w:t>
      </w:r>
    </w:p>
    <w:p w14:paraId="240A8746" w14:textId="77777777" w:rsidR="00D51409" w:rsidRPr="006663D5" w:rsidRDefault="00D51409" w:rsidP="00D51409">
      <w:pPr>
        <w:pStyle w:val="ARbullet1"/>
      </w:pPr>
      <w:r w:rsidRPr="006663D5">
        <w:t>to provide advice to the Minister for Health or the Secretary on matters relating to public health and wellbeing</w:t>
      </w:r>
    </w:p>
    <w:p w14:paraId="42F4560E" w14:textId="77777777" w:rsidR="00D51409" w:rsidRPr="006663D5" w:rsidRDefault="00D51409" w:rsidP="00D51409">
      <w:pPr>
        <w:pStyle w:val="ARbullet1"/>
      </w:pPr>
      <w:r w:rsidRPr="006663D5">
        <w:t>to publish on a biennial basis and make available in an accessible manner to members of the public a comprehensive report on public health and wellbeing in Victoria</w:t>
      </w:r>
    </w:p>
    <w:p w14:paraId="329637D2" w14:textId="77777777" w:rsidR="00D51409" w:rsidRPr="006663D5" w:rsidRDefault="00D51409" w:rsidP="00D51409">
      <w:pPr>
        <w:pStyle w:val="ARbullet1"/>
      </w:pPr>
      <w:r w:rsidRPr="006663D5">
        <w:t>to perform any other functions or exercise any powers specified under this Act or any other Act or under any regulations made under this or any other Act.</w:t>
      </w:r>
    </w:p>
    <w:p w14:paraId="47E839DF" w14:textId="77777777" w:rsidR="00D51409" w:rsidRPr="006663D5" w:rsidRDefault="00D51409" w:rsidP="00D51409">
      <w:pPr>
        <w:pStyle w:val="ARbodyafterbullets"/>
      </w:pPr>
      <w:r w:rsidRPr="006663D5">
        <w:t>Under the Act, the Chief Health Officer is also empowered to make certain orders that may impact on individuals in order to protect the community from infectious diseases. These include orders to compel a person to be examined or tested for an infectious disease or to refrain from certain activities that may pose a serious risk to public health.</w:t>
      </w:r>
    </w:p>
    <w:p w14:paraId="3300FDE6" w14:textId="77777777" w:rsidR="00D51409" w:rsidRPr="006663D5" w:rsidRDefault="00D51409" w:rsidP="00D51409">
      <w:pPr>
        <w:pStyle w:val="ARbody"/>
      </w:pPr>
      <w:r w:rsidRPr="006663D5">
        <w:t>The limited circumstances in which these orders may be made are clearly set out in the legislation and there are extensive human rights protections including rights to internal and external review.</w:t>
      </w:r>
    </w:p>
    <w:p w14:paraId="48192AE2" w14:textId="77777777" w:rsidR="00D51409" w:rsidRPr="006663D5" w:rsidRDefault="00D51409" w:rsidP="00D51409">
      <w:pPr>
        <w:pStyle w:val="ARbody"/>
      </w:pPr>
      <w:r w:rsidRPr="006663D5">
        <w:t>The following table reports the number of orders made, and reasons for making them, as outlined in </w:t>
      </w:r>
      <w:r w:rsidR="0016290F">
        <w:t>s.</w:t>
      </w:r>
      <w:r w:rsidR="0016290F" w:rsidRPr="006663D5">
        <w:t xml:space="preserve"> </w:t>
      </w:r>
      <w:r w:rsidRPr="006663D5">
        <w:t>143 of the Act.</w:t>
      </w:r>
    </w:p>
    <w:p w14:paraId="088F0123" w14:textId="77777777" w:rsidR="00D51409" w:rsidRPr="006663D5" w:rsidRDefault="00D51409" w:rsidP="00D51409">
      <w:pPr>
        <w:pStyle w:val="ARtablecaption"/>
      </w:pPr>
      <w:r w:rsidRPr="006663D5">
        <w:t>Orders made by the Chief Health Officer from 1 July 2018 – 30 June 2019</w:t>
      </w:r>
    </w:p>
    <w:tbl>
      <w:tblPr>
        <w:tblW w:w="4593"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20" w:firstRow="1" w:lastRow="0" w:firstColumn="0" w:lastColumn="0" w:noHBand="0" w:noVBand="0"/>
      </w:tblPr>
      <w:tblGrid>
        <w:gridCol w:w="786"/>
        <w:gridCol w:w="1460"/>
        <w:gridCol w:w="789"/>
        <w:gridCol w:w="1558"/>
      </w:tblGrid>
      <w:tr w:rsidR="00D51409" w:rsidRPr="006663D5" w14:paraId="70B3D606" w14:textId="77777777" w:rsidTr="00795B9B">
        <w:trPr>
          <w:cantSplit/>
          <w:tblHeader/>
        </w:trPr>
        <w:tc>
          <w:tcPr>
            <w:tcW w:w="0" w:type="auto"/>
            <w:shd w:val="clear" w:color="auto" w:fill="auto"/>
            <w:vAlign w:val="bottom"/>
          </w:tcPr>
          <w:p w14:paraId="712B57CE" w14:textId="77777777" w:rsidR="00D51409" w:rsidRPr="006663D5" w:rsidRDefault="00D51409" w:rsidP="00795B9B">
            <w:pPr>
              <w:pStyle w:val="ARtablecolhead"/>
            </w:pPr>
            <w:r w:rsidRPr="006663D5">
              <w:t>Section</w:t>
            </w:r>
          </w:p>
        </w:tc>
        <w:tc>
          <w:tcPr>
            <w:tcW w:w="1460" w:type="dxa"/>
            <w:shd w:val="clear" w:color="auto" w:fill="auto"/>
            <w:vAlign w:val="bottom"/>
          </w:tcPr>
          <w:p w14:paraId="26D46D9A" w14:textId="77777777" w:rsidR="00D51409" w:rsidRPr="006663D5" w:rsidRDefault="00D51409" w:rsidP="00795B9B">
            <w:pPr>
              <w:pStyle w:val="ARtablecolhead"/>
            </w:pPr>
            <w:r w:rsidRPr="006663D5">
              <w:t>Order type</w:t>
            </w:r>
          </w:p>
        </w:tc>
        <w:tc>
          <w:tcPr>
            <w:tcW w:w="789" w:type="dxa"/>
            <w:shd w:val="clear" w:color="auto" w:fill="auto"/>
            <w:vAlign w:val="bottom"/>
          </w:tcPr>
          <w:p w14:paraId="3E7D78D9" w14:textId="77777777" w:rsidR="00D51409" w:rsidRPr="006663D5" w:rsidRDefault="00D51409" w:rsidP="00795B9B">
            <w:pPr>
              <w:pStyle w:val="ARtablecolhead"/>
              <w:jc w:val="center"/>
            </w:pPr>
            <w:r w:rsidRPr="006663D5">
              <w:t>Number</w:t>
            </w:r>
          </w:p>
        </w:tc>
        <w:tc>
          <w:tcPr>
            <w:tcW w:w="1558" w:type="dxa"/>
            <w:shd w:val="clear" w:color="auto" w:fill="auto"/>
            <w:vAlign w:val="bottom"/>
          </w:tcPr>
          <w:p w14:paraId="6E91F6BE" w14:textId="77777777" w:rsidR="00D51409" w:rsidRPr="006663D5" w:rsidRDefault="00D51409" w:rsidP="00795B9B">
            <w:pPr>
              <w:pStyle w:val="ARtablecolhead"/>
            </w:pPr>
            <w:r w:rsidRPr="006663D5">
              <w:t>Reason</w:t>
            </w:r>
          </w:p>
        </w:tc>
      </w:tr>
      <w:tr w:rsidR="00D51409" w:rsidRPr="006663D5" w14:paraId="4CE38682" w14:textId="77777777" w:rsidTr="00795B9B">
        <w:trPr>
          <w:cantSplit/>
        </w:trPr>
        <w:tc>
          <w:tcPr>
            <w:tcW w:w="0" w:type="auto"/>
            <w:shd w:val="clear" w:color="auto" w:fill="auto"/>
          </w:tcPr>
          <w:p w14:paraId="3E269FE3" w14:textId="77777777" w:rsidR="00D51409" w:rsidRPr="006663D5" w:rsidRDefault="00D51409" w:rsidP="00795B9B">
            <w:pPr>
              <w:pStyle w:val="ARtabletext"/>
            </w:pPr>
            <w:r w:rsidRPr="006663D5">
              <w:t>113</w:t>
            </w:r>
          </w:p>
        </w:tc>
        <w:tc>
          <w:tcPr>
            <w:tcW w:w="1460" w:type="dxa"/>
            <w:shd w:val="clear" w:color="auto" w:fill="auto"/>
          </w:tcPr>
          <w:p w14:paraId="6AD09D1B" w14:textId="77777777" w:rsidR="00D51409" w:rsidRPr="006663D5" w:rsidRDefault="00D51409" w:rsidP="00795B9B">
            <w:pPr>
              <w:pStyle w:val="ARtabletext"/>
            </w:pPr>
            <w:r w:rsidRPr="006663D5">
              <w:t>Examination and testing order</w:t>
            </w:r>
          </w:p>
        </w:tc>
        <w:tc>
          <w:tcPr>
            <w:tcW w:w="789" w:type="dxa"/>
            <w:shd w:val="clear" w:color="auto" w:fill="auto"/>
          </w:tcPr>
          <w:p w14:paraId="60280640" w14:textId="77777777" w:rsidR="00D51409" w:rsidRPr="006663D5" w:rsidRDefault="00D51409" w:rsidP="00795B9B">
            <w:pPr>
              <w:pStyle w:val="ARtabletextright"/>
              <w:jc w:val="center"/>
            </w:pPr>
            <w:r w:rsidRPr="006663D5">
              <w:t>0</w:t>
            </w:r>
          </w:p>
        </w:tc>
        <w:tc>
          <w:tcPr>
            <w:tcW w:w="1558" w:type="dxa"/>
            <w:shd w:val="clear" w:color="auto" w:fill="auto"/>
          </w:tcPr>
          <w:p w14:paraId="7A849F63" w14:textId="77777777" w:rsidR="00D51409" w:rsidRPr="006663D5" w:rsidRDefault="00D51409" w:rsidP="00795B9B">
            <w:pPr>
              <w:pStyle w:val="ARtabletext"/>
            </w:pPr>
          </w:p>
        </w:tc>
      </w:tr>
      <w:tr w:rsidR="00D51409" w:rsidRPr="006663D5" w14:paraId="5890F0D9" w14:textId="77777777" w:rsidTr="00795B9B">
        <w:trPr>
          <w:cantSplit/>
        </w:trPr>
        <w:tc>
          <w:tcPr>
            <w:tcW w:w="0" w:type="auto"/>
            <w:shd w:val="clear" w:color="auto" w:fill="auto"/>
          </w:tcPr>
          <w:p w14:paraId="4FAC18A5" w14:textId="77777777" w:rsidR="00D51409" w:rsidRPr="006663D5" w:rsidRDefault="00D51409" w:rsidP="00795B9B">
            <w:pPr>
              <w:pStyle w:val="ARtabletext"/>
            </w:pPr>
            <w:r w:rsidRPr="006663D5">
              <w:t>117</w:t>
            </w:r>
          </w:p>
        </w:tc>
        <w:tc>
          <w:tcPr>
            <w:tcW w:w="1460" w:type="dxa"/>
            <w:shd w:val="clear" w:color="auto" w:fill="auto"/>
          </w:tcPr>
          <w:p w14:paraId="183A4F9B" w14:textId="77777777" w:rsidR="00D51409" w:rsidRPr="006663D5" w:rsidRDefault="00D51409" w:rsidP="00795B9B">
            <w:pPr>
              <w:pStyle w:val="ARtabletext"/>
            </w:pPr>
            <w:r w:rsidRPr="006663D5">
              <w:t>Public health order</w:t>
            </w:r>
          </w:p>
        </w:tc>
        <w:tc>
          <w:tcPr>
            <w:tcW w:w="789" w:type="dxa"/>
            <w:shd w:val="clear" w:color="auto" w:fill="auto"/>
          </w:tcPr>
          <w:p w14:paraId="100CA2BC" w14:textId="77777777" w:rsidR="00D51409" w:rsidRPr="006663D5" w:rsidRDefault="00D51409" w:rsidP="00795B9B">
            <w:pPr>
              <w:pStyle w:val="ARtabletextright"/>
              <w:jc w:val="center"/>
            </w:pPr>
            <w:r w:rsidRPr="006663D5">
              <w:t>2</w:t>
            </w:r>
          </w:p>
        </w:tc>
        <w:tc>
          <w:tcPr>
            <w:tcW w:w="1558" w:type="dxa"/>
            <w:shd w:val="clear" w:color="auto" w:fill="auto"/>
          </w:tcPr>
          <w:p w14:paraId="4FCBCD54" w14:textId="77777777" w:rsidR="00D51409" w:rsidRPr="006663D5" w:rsidRDefault="00D51409" w:rsidP="00795B9B">
            <w:pPr>
              <w:pStyle w:val="ARtabletext"/>
            </w:pPr>
            <w:r w:rsidRPr="006663D5">
              <w:t>To eliminate or reduce the risk of a person causing a serious risk to public health</w:t>
            </w:r>
          </w:p>
        </w:tc>
      </w:tr>
      <w:tr w:rsidR="00D51409" w:rsidRPr="006663D5" w14:paraId="45AEF4E5" w14:textId="77777777" w:rsidTr="00795B9B">
        <w:trPr>
          <w:cantSplit/>
        </w:trPr>
        <w:tc>
          <w:tcPr>
            <w:tcW w:w="0" w:type="auto"/>
            <w:shd w:val="clear" w:color="auto" w:fill="auto"/>
          </w:tcPr>
          <w:p w14:paraId="4B748CCC" w14:textId="77777777" w:rsidR="00D51409" w:rsidRPr="006663D5" w:rsidRDefault="00D51409" w:rsidP="00795B9B">
            <w:pPr>
              <w:pStyle w:val="ARtabletext"/>
            </w:pPr>
            <w:r w:rsidRPr="006663D5">
              <w:t xml:space="preserve">118 </w:t>
            </w:r>
          </w:p>
        </w:tc>
        <w:tc>
          <w:tcPr>
            <w:tcW w:w="1460" w:type="dxa"/>
            <w:shd w:val="clear" w:color="auto" w:fill="auto"/>
          </w:tcPr>
          <w:p w14:paraId="514A5163" w14:textId="77777777" w:rsidR="00D51409" w:rsidRPr="006663D5" w:rsidRDefault="00D51409" w:rsidP="00795B9B">
            <w:pPr>
              <w:pStyle w:val="ARtabletext"/>
            </w:pPr>
            <w:r w:rsidRPr="006663D5">
              <w:t>Extension of public health order</w:t>
            </w:r>
          </w:p>
        </w:tc>
        <w:tc>
          <w:tcPr>
            <w:tcW w:w="789" w:type="dxa"/>
            <w:shd w:val="clear" w:color="auto" w:fill="auto"/>
          </w:tcPr>
          <w:p w14:paraId="2B2136A8" w14:textId="77777777" w:rsidR="00D51409" w:rsidRPr="006663D5" w:rsidRDefault="00D51409" w:rsidP="00795B9B">
            <w:pPr>
              <w:pStyle w:val="ARtabletextright"/>
              <w:jc w:val="center"/>
            </w:pPr>
            <w:r w:rsidRPr="006663D5">
              <w:t>1</w:t>
            </w:r>
          </w:p>
        </w:tc>
        <w:tc>
          <w:tcPr>
            <w:tcW w:w="1558" w:type="dxa"/>
            <w:shd w:val="clear" w:color="auto" w:fill="auto"/>
          </w:tcPr>
          <w:p w14:paraId="343A8FE4" w14:textId="77777777" w:rsidR="00D51409" w:rsidRPr="006663D5" w:rsidRDefault="00D51409" w:rsidP="00795B9B">
            <w:pPr>
              <w:pStyle w:val="ARtabletext"/>
            </w:pPr>
            <w:r w:rsidRPr="006663D5">
              <w:rPr>
                <w:lang w:eastAsia="en-US"/>
              </w:rPr>
              <w:t>To continue to eliminate or reduce the risk of a person causing a serious risk to public health</w:t>
            </w:r>
          </w:p>
        </w:tc>
      </w:tr>
      <w:tr w:rsidR="00D51409" w:rsidRPr="006663D5" w14:paraId="28AB26C7" w14:textId="77777777" w:rsidTr="00795B9B">
        <w:trPr>
          <w:cantSplit/>
        </w:trPr>
        <w:tc>
          <w:tcPr>
            <w:tcW w:w="0" w:type="auto"/>
            <w:shd w:val="clear" w:color="auto" w:fill="auto"/>
          </w:tcPr>
          <w:p w14:paraId="63F5D193" w14:textId="77777777" w:rsidR="00D51409" w:rsidRPr="006663D5" w:rsidRDefault="00D51409" w:rsidP="00795B9B">
            <w:pPr>
              <w:pStyle w:val="ARtabletext"/>
            </w:pPr>
            <w:r w:rsidRPr="006663D5">
              <w:t>134</w:t>
            </w:r>
          </w:p>
        </w:tc>
        <w:tc>
          <w:tcPr>
            <w:tcW w:w="1460" w:type="dxa"/>
            <w:shd w:val="clear" w:color="auto" w:fill="auto"/>
          </w:tcPr>
          <w:p w14:paraId="6875F32E" w14:textId="77777777" w:rsidR="00D51409" w:rsidRPr="006663D5" w:rsidRDefault="00D51409" w:rsidP="00795B9B">
            <w:pPr>
              <w:pStyle w:val="ARtabletext"/>
            </w:pPr>
            <w:r w:rsidRPr="006663D5">
              <w:t>Orders for tests if an incident has occurred</w:t>
            </w:r>
          </w:p>
        </w:tc>
        <w:tc>
          <w:tcPr>
            <w:tcW w:w="789" w:type="dxa"/>
            <w:shd w:val="clear" w:color="auto" w:fill="auto"/>
          </w:tcPr>
          <w:p w14:paraId="0FFF1271" w14:textId="77777777" w:rsidR="00D51409" w:rsidRPr="006663D5" w:rsidRDefault="00D51409" w:rsidP="00795B9B">
            <w:pPr>
              <w:pStyle w:val="ARtabletextright"/>
              <w:jc w:val="center"/>
            </w:pPr>
            <w:r w:rsidRPr="006663D5">
              <w:t>0</w:t>
            </w:r>
          </w:p>
        </w:tc>
        <w:tc>
          <w:tcPr>
            <w:tcW w:w="1558" w:type="dxa"/>
            <w:shd w:val="clear" w:color="auto" w:fill="auto"/>
          </w:tcPr>
          <w:p w14:paraId="47732DA6" w14:textId="77777777" w:rsidR="00D51409" w:rsidRPr="006663D5" w:rsidRDefault="00D51409" w:rsidP="00795B9B">
            <w:pPr>
              <w:pStyle w:val="ARtabletext"/>
            </w:pPr>
          </w:p>
        </w:tc>
      </w:tr>
    </w:tbl>
    <w:p w14:paraId="48FB623B" w14:textId="73CB85E7" w:rsidR="0092299C" w:rsidRPr="006663D5" w:rsidRDefault="005C79AE" w:rsidP="005F7104">
      <w:pPr>
        <w:pStyle w:val="Heading2"/>
      </w:pPr>
      <w:r w:rsidRPr="006663D5">
        <w:t>Ministerial Statements of </w:t>
      </w:r>
      <w:r w:rsidR="0092299C" w:rsidRPr="006663D5">
        <w:t>Expectations</w:t>
      </w:r>
      <w:bookmarkEnd w:id="182"/>
    </w:p>
    <w:p w14:paraId="4E1497F3" w14:textId="0A46DE5F" w:rsidR="008D124E" w:rsidRDefault="00D8520B" w:rsidP="00D8520B">
      <w:pPr>
        <w:pStyle w:val="ARbody"/>
      </w:pPr>
      <w:bookmarkStart w:id="184" w:name="_Ref493061906"/>
      <w:r w:rsidRPr="006663D5">
        <w:t xml:space="preserve">Ministerial Statements of Expectations for regulators articulate the Victorian Government’s regulatory functions and priorities within each government department. The statements are issued by the responsible </w:t>
      </w:r>
      <w:r w:rsidR="0016290F">
        <w:t>m</w:t>
      </w:r>
      <w:r w:rsidRPr="006663D5">
        <w:t>inister and aim to</w:t>
      </w:r>
      <w:r w:rsidR="00F54DCB">
        <w:t> </w:t>
      </w:r>
      <w:r w:rsidRPr="006663D5">
        <w:t>establish clear expectations for regulator performance and improvements.</w:t>
      </w:r>
    </w:p>
    <w:p w14:paraId="2C129873" w14:textId="654974D9" w:rsidR="00D8520B" w:rsidRPr="006663D5" w:rsidRDefault="00D8520B" w:rsidP="00D8520B">
      <w:pPr>
        <w:pStyle w:val="ARbody"/>
      </w:pPr>
      <w:r w:rsidRPr="006663D5">
        <w:t xml:space="preserve">The statements apply to the department’s regulators and statutory authorities. They relate to areas such as medicines and poisons, food safety, tobacco control, radiation safety, safe drinking water and services provided and registered under the </w:t>
      </w:r>
      <w:r w:rsidRPr="006663D5">
        <w:rPr>
          <w:i/>
        </w:rPr>
        <w:t xml:space="preserve">Children, Youth and Families Act 2005, </w:t>
      </w:r>
      <w:r w:rsidRPr="009D144D">
        <w:rPr>
          <w:iCs/>
        </w:rPr>
        <w:t>the</w:t>
      </w:r>
      <w:r w:rsidRPr="006663D5">
        <w:rPr>
          <w:i/>
        </w:rPr>
        <w:t xml:space="preserve"> Disability Act 2006</w:t>
      </w:r>
      <w:r w:rsidRPr="006663D5">
        <w:t xml:space="preserve"> and</w:t>
      </w:r>
      <w:r w:rsidRPr="006663D5">
        <w:rPr>
          <w:i/>
        </w:rPr>
        <w:t xml:space="preserve"> </w:t>
      </w:r>
      <w:r w:rsidRPr="009D144D">
        <w:rPr>
          <w:iCs/>
        </w:rPr>
        <w:t>the</w:t>
      </w:r>
      <w:r w:rsidRPr="006663D5">
        <w:rPr>
          <w:i/>
        </w:rPr>
        <w:t xml:space="preserve"> S</w:t>
      </w:r>
      <w:r w:rsidRPr="006663D5">
        <w:rPr>
          <w:i/>
          <w:iCs/>
        </w:rPr>
        <w:t>upported Residential Services (Private Proprietors) Act 2010.</w:t>
      </w:r>
    </w:p>
    <w:p w14:paraId="606F3DBB" w14:textId="44811379" w:rsidR="00D8520B" w:rsidRPr="006663D5" w:rsidRDefault="00D8520B" w:rsidP="00D8520B">
      <w:pPr>
        <w:pStyle w:val="ARbody"/>
      </w:pPr>
      <w:r w:rsidRPr="006663D5">
        <w:t xml:space="preserve">Statements of expectations for the periods </w:t>
      </w:r>
      <w:r w:rsidR="0016290F" w:rsidRPr="006663D5">
        <w:t>1</w:t>
      </w:r>
      <w:r w:rsidR="0016290F">
        <w:t> </w:t>
      </w:r>
      <w:r w:rsidRPr="006663D5">
        <w:t>January 2018 to 30 June 2019 and 1 July 2019 to</w:t>
      </w:r>
      <w:r w:rsidR="00F54DCB">
        <w:t> </w:t>
      </w:r>
      <w:r w:rsidRPr="006663D5">
        <w:t xml:space="preserve">30 June 2021 are published on the department’s website: </w:t>
      </w:r>
      <w:hyperlink r:id="rId161" w:history="1">
        <w:r w:rsidRPr="006663D5">
          <w:rPr>
            <w:rStyle w:val="Hyperlink"/>
          </w:rPr>
          <w:t>Ministerial Statements of Expectations</w:t>
        </w:r>
      </w:hyperlink>
      <w:r w:rsidRPr="006663D5">
        <w:t xml:space="preserve"> &lt;https://dhhs.vic.gov.au/ministerial-statements-expectations-regulators&gt;.</w:t>
      </w:r>
    </w:p>
    <w:p w14:paraId="26A0137D" w14:textId="77777777" w:rsidR="00D8520B" w:rsidRPr="006663D5" w:rsidRDefault="00D8520B" w:rsidP="00D8520B">
      <w:pPr>
        <w:pStyle w:val="ARbody"/>
      </w:pPr>
      <w:r w:rsidRPr="006663D5">
        <w:t>In relation to reporting requirements, the department will report on progress to achieve regulatory improvements on the department’s website.</w:t>
      </w:r>
    </w:p>
    <w:p w14:paraId="6618731B" w14:textId="00C2D2BC" w:rsidR="00C85285" w:rsidRPr="006663D5" w:rsidRDefault="00C85285" w:rsidP="005F7104">
      <w:pPr>
        <w:pStyle w:val="Heading2"/>
      </w:pPr>
      <w:bookmarkStart w:id="185" w:name="_Ref21960159"/>
      <w:r w:rsidRPr="006663D5">
        <w:t>Human Services Standards</w:t>
      </w:r>
      <w:bookmarkEnd w:id="184"/>
      <w:bookmarkEnd w:id="185"/>
    </w:p>
    <w:p w14:paraId="5304C4B3" w14:textId="77777777" w:rsidR="00D8520B" w:rsidRPr="006663D5" w:rsidRDefault="00D8520B" w:rsidP="00D8520B">
      <w:pPr>
        <w:pStyle w:val="ARbody"/>
      </w:pPr>
      <w:bookmarkStart w:id="186" w:name="_Ref492912671"/>
      <w:bookmarkStart w:id="187" w:name="_Ref493159507"/>
      <w:r w:rsidRPr="006663D5">
        <w:t>The Human Services Standards (gazetted as Department of Health and Human Services Standards) apply to the direct</w:t>
      </w:r>
      <w:r w:rsidR="00F0482D">
        <w:t>–</w:t>
      </w:r>
      <w:r w:rsidRPr="006663D5">
        <w:t>client contact human services activities (children, youth and families, disability services, homelessness services, family violence and sexual assault services).</w:t>
      </w:r>
    </w:p>
    <w:p w14:paraId="78FAE476" w14:textId="2C7FE92C" w:rsidR="00D8520B" w:rsidRPr="006663D5" w:rsidRDefault="00D8520B" w:rsidP="00D8520B">
      <w:pPr>
        <w:pStyle w:val="ARbody"/>
      </w:pPr>
      <w:r w:rsidRPr="006663D5">
        <w:t>Compliance with the Standards is an obligation of</w:t>
      </w:r>
      <w:r w:rsidR="00F54DCB">
        <w:t> </w:t>
      </w:r>
      <w:r w:rsidRPr="006663D5">
        <w:t>the Service Agreement with the department, a</w:t>
      </w:r>
      <w:r w:rsidR="00F54DCB">
        <w:t> </w:t>
      </w:r>
      <w:r w:rsidRPr="006663D5">
        <w:t xml:space="preserve">requirement of registration for organisations registered under the </w:t>
      </w:r>
      <w:r w:rsidRPr="006663D5">
        <w:rPr>
          <w:i/>
        </w:rPr>
        <w:t>Children, Youth and Families Act 2005</w:t>
      </w:r>
      <w:r w:rsidRPr="006663D5">
        <w:t xml:space="preserve"> or the </w:t>
      </w:r>
      <w:r w:rsidRPr="006663D5">
        <w:rPr>
          <w:i/>
        </w:rPr>
        <w:t>Disability Act 2006</w:t>
      </w:r>
      <w:r w:rsidRPr="006663D5">
        <w:t>, or both.</w:t>
      </w:r>
    </w:p>
    <w:p w14:paraId="4C1B701D" w14:textId="77777777" w:rsidR="00D8520B" w:rsidRPr="006663D5" w:rsidRDefault="00D8520B" w:rsidP="00D8520B">
      <w:pPr>
        <w:pStyle w:val="ARbody"/>
      </w:pPr>
      <w:r w:rsidRPr="006663D5">
        <w:t>The implementation of the Standards includes a range of quality assurance activities including self-assessment, independent review and external accreditation/certification.</w:t>
      </w:r>
    </w:p>
    <w:p w14:paraId="53A8DC14" w14:textId="6CA2E75C" w:rsidR="00D8520B" w:rsidRPr="006663D5" w:rsidRDefault="00D8520B" w:rsidP="00D8520B">
      <w:pPr>
        <w:pStyle w:val="ARbody"/>
      </w:pPr>
      <w:r w:rsidRPr="006663D5">
        <w:t>To assure compliance with the Standards, service</w:t>
      </w:r>
      <w:r w:rsidR="009F326D">
        <w:t> </w:t>
      </w:r>
      <w:r w:rsidRPr="006663D5">
        <w:t>providers need to:</w:t>
      </w:r>
    </w:p>
    <w:p w14:paraId="100FD96A" w14:textId="07E8EBAF" w:rsidR="00D8520B" w:rsidRPr="006663D5" w:rsidRDefault="00D8520B" w:rsidP="00D8520B">
      <w:pPr>
        <w:pStyle w:val="ARbullet1"/>
      </w:pPr>
      <w:r w:rsidRPr="006663D5">
        <w:t>demonstrate compliance with the Standards and</w:t>
      </w:r>
      <w:r w:rsidR="00F54DCB">
        <w:t> </w:t>
      </w:r>
      <w:r w:rsidRPr="006663D5">
        <w:t>the governance and management standards of a department-endorsed independent review body</w:t>
      </w:r>
    </w:p>
    <w:p w14:paraId="4B146B6F" w14:textId="77777777" w:rsidR="00D8520B" w:rsidRPr="006663D5" w:rsidRDefault="00D8520B" w:rsidP="00D8520B">
      <w:pPr>
        <w:pStyle w:val="ARbullet1"/>
      </w:pPr>
      <w:r w:rsidRPr="006663D5">
        <w:t>be independently reviewed by a department-endorsed independent review body once every three years</w:t>
      </w:r>
    </w:p>
    <w:p w14:paraId="696A5671" w14:textId="77777777" w:rsidR="00D8520B" w:rsidRPr="006663D5" w:rsidRDefault="00D8520B" w:rsidP="00D8520B">
      <w:pPr>
        <w:pStyle w:val="ARbullet1"/>
      </w:pPr>
      <w:r w:rsidRPr="006663D5">
        <w:t>gain and maintain their accreditation/certification with their independent review body.</w:t>
      </w:r>
    </w:p>
    <w:p w14:paraId="2F831414" w14:textId="77777777" w:rsidR="00D8520B" w:rsidRPr="006663D5" w:rsidRDefault="00D8520B" w:rsidP="009D144D">
      <w:pPr>
        <w:pStyle w:val="ARbodyafterbullets"/>
      </w:pPr>
      <w:r w:rsidRPr="006663D5">
        <w:t>In some circumstances</w:t>
      </w:r>
      <w:r w:rsidR="0016290F">
        <w:t>,</w:t>
      </w:r>
      <w:r w:rsidRPr="006663D5">
        <w:t xml:space="preserve"> the department may exempt a service provider from independent review and instead require a self-assessment process be undertaken. A range of criteria is considered to determine whether the benefits of the review process outweigh the costs of the review.</w:t>
      </w:r>
    </w:p>
    <w:p w14:paraId="52A613BD" w14:textId="77777777" w:rsidR="00D8520B" w:rsidRPr="006663D5" w:rsidRDefault="00D8520B" w:rsidP="00D8520B">
      <w:pPr>
        <w:pStyle w:val="ARtablecaption"/>
      </w:pPr>
      <w:r w:rsidRPr="006663D5">
        <w:t>Number of service providers</w:t>
      </w:r>
    </w:p>
    <w:tbl>
      <w:tblPr>
        <w:tblW w:w="4593"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3549"/>
        <w:gridCol w:w="1044"/>
      </w:tblGrid>
      <w:tr w:rsidR="00D8520B" w:rsidRPr="006663D5" w14:paraId="5F26BBC8" w14:textId="77777777" w:rsidTr="00795B9B">
        <w:trPr>
          <w:cantSplit/>
          <w:tblHeader/>
        </w:trPr>
        <w:tc>
          <w:tcPr>
            <w:tcW w:w="3549" w:type="dxa"/>
            <w:vAlign w:val="bottom"/>
          </w:tcPr>
          <w:p w14:paraId="485016A5" w14:textId="77777777" w:rsidR="00D8520B" w:rsidRPr="006663D5" w:rsidRDefault="00D8520B" w:rsidP="00795B9B">
            <w:pPr>
              <w:pStyle w:val="ARtablecolhead"/>
            </w:pPr>
            <w:r w:rsidRPr="006663D5">
              <w:rPr>
                <w:spacing w:val="-15"/>
              </w:rPr>
              <w:t>T</w:t>
            </w:r>
            <w:r w:rsidRPr="006663D5">
              <w:t>ype</w:t>
            </w:r>
          </w:p>
        </w:tc>
        <w:tc>
          <w:tcPr>
            <w:tcW w:w="1044" w:type="dxa"/>
            <w:vAlign w:val="bottom"/>
          </w:tcPr>
          <w:p w14:paraId="4381A1BE" w14:textId="77777777" w:rsidR="00D8520B" w:rsidRPr="006663D5" w:rsidRDefault="00D8520B" w:rsidP="00795B9B">
            <w:pPr>
              <w:pStyle w:val="ARtablecolheadright"/>
            </w:pPr>
            <w:r w:rsidRPr="006663D5">
              <w:t>Number</w:t>
            </w:r>
          </w:p>
        </w:tc>
      </w:tr>
      <w:tr w:rsidR="00D8520B" w:rsidRPr="006663D5" w14:paraId="3F96FCA7" w14:textId="77777777" w:rsidTr="00795B9B">
        <w:trPr>
          <w:cantSplit/>
        </w:trPr>
        <w:tc>
          <w:tcPr>
            <w:tcW w:w="3549" w:type="dxa"/>
          </w:tcPr>
          <w:p w14:paraId="6BFEC59D" w14:textId="77777777" w:rsidR="00D8520B" w:rsidRPr="006663D5" w:rsidRDefault="00D8520B" w:rsidP="00795B9B">
            <w:pPr>
              <w:pStyle w:val="ARtabletext"/>
            </w:pPr>
            <w:r w:rsidRPr="006663D5">
              <w:t>Organisations</w:t>
            </w:r>
            <w:r w:rsidRPr="006663D5">
              <w:rPr>
                <w:spacing w:val="4"/>
              </w:rPr>
              <w:t xml:space="preserve"> </w:t>
            </w:r>
            <w:r w:rsidRPr="006663D5">
              <w:t>exempt</w:t>
            </w:r>
            <w:r w:rsidRPr="006663D5">
              <w:rPr>
                <w:spacing w:val="5"/>
              </w:rPr>
              <w:t xml:space="preserve"> </w:t>
            </w:r>
            <w:r w:rsidRPr="006663D5">
              <w:t>from independent</w:t>
            </w:r>
            <w:r w:rsidRPr="006663D5">
              <w:rPr>
                <w:spacing w:val="4"/>
              </w:rPr>
              <w:t xml:space="preserve"> </w:t>
            </w:r>
            <w:r w:rsidRPr="006663D5">
              <w:t>review</w:t>
            </w:r>
            <w:r w:rsidRPr="006663D5">
              <w:rPr>
                <w:spacing w:val="4"/>
              </w:rPr>
              <w:t xml:space="preserve"> </w:t>
            </w:r>
            <w:r w:rsidRPr="006663D5">
              <w:t>and self-assessment</w:t>
            </w:r>
          </w:p>
        </w:tc>
        <w:tc>
          <w:tcPr>
            <w:tcW w:w="1044" w:type="dxa"/>
          </w:tcPr>
          <w:p w14:paraId="27F00FB3" w14:textId="77777777" w:rsidR="00D8520B" w:rsidRPr="006663D5" w:rsidRDefault="00D8520B" w:rsidP="00795B9B">
            <w:pPr>
              <w:pStyle w:val="ARtabletextright"/>
            </w:pPr>
            <w:r w:rsidRPr="006663D5">
              <w:t>30</w:t>
            </w:r>
          </w:p>
        </w:tc>
      </w:tr>
      <w:tr w:rsidR="00D8520B" w:rsidRPr="006663D5" w14:paraId="42E50BA3" w14:textId="77777777" w:rsidTr="00795B9B">
        <w:trPr>
          <w:cantSplit/>
        </w:trPr>
        <w:tc>
          <w:tcPr>
            <w:tcW w:w="3549" w:type="dxa"/>
          </w:tcPr>
          <w:p w14:paraId="1E67561B" w14:textId="77777777" w:rsidR="00D8520B" w:rsidRPr="006663D5" w:rsidRDefault="00D8520B" w:rsidP="00795B9B">
            <w:pPr>
              <w:pStyle w:val="ARtabletext"/>
            </w:pPr>
            <w:r w:rsidRPr="006663D5">
              <w:t>Organisations</w:t>
            </w:r>
            <w:r w:rsidRPr="006663D5">
              <w:rPr>
                <w:spacing w:val="3"/>
              </w:rPr>
              <w:t xml:space="preserve"> </w:t>
            </w:r>
            <w:r w:rsidRPr="006663D5">
              <w:t>required</w:t>
            </w:r>
            <w:r w:rsidRPr="006663D5">
              <w:rPr>
                <w:spacing w:val="3"/>
              </w:rPr>
              <w:t xml:space="preserve"> </w:t>
            </w:r>
            <w:r w:rsidRPr="006663D5">
              <w:t>to complete</w:t>
            </w:r>
            <w:r w:rsidRPr="006663D5">
              <w:rPr>
                <w:spacing w:val="4"/>
              </w:rPr>
              <w:t xml:space="preserve"> </w:t>
            </w:r>
            <w:r w:rsidRPr="006663D5">
              <w:rPr>
                <w:spacing w:val="4"/>
              </w:rPr>
              <w:br/>
            </w:r>
            <w:r w:rsidRPr="006663D5">
              <w:t>a</w:t>
            </w:r>
            <w:r w:rsidRPr="006663D5">
              <w:rPr>
                <w:spacing w:val="5"/>
              </w:rPr>
              <w:t xml:space="preserve"> </w:t>
            </w:r>
            <w:r w:rsidRPr="006663D5">
              <w:t>self-assessment</w:t>
            </w:r>
          </w:p>
        </w:tc>
        <w:tc>
          <w:tcPr>
            <w:tcW w:w="1044" w:type="dxa"/>
          </w:tcPr>
          <w:p w14:paraId="7D5F0F90" w14:textId="77777777" w:rsidR="00D8520B" w:rsidRPr="006663D5" w:rsidRDefault="00D8520B" w:rsidP="00795B9B">
            <w:pPr>
              <w:pStyle w:val="ARtabletextright"/>
            </w:pPr>
            <w:r w:rsidRPr="006663D5">
              <w:t>20</w:t>
            </w:r>
          </w:p>
        </w:tc>
      </w:tr>
      <w:tr w:rsidR="00D8520B" w:rsidRPr="006663D5" w14:paraId="0643901E" w14:textId="77777777" w:rsidTr="00795B9B">
        <w:trPr>
          <w:cantSplit/>
        </w:trPr>
        <w:tc>
          <w:tcPr>
            <w:tcW w:w="3549" w:type="dxa"/>
          </w:tcPr>
          <w:p w14:paraId="67FC3DA9" w14:textId="77777777" w:rsidR="00D8520B" w:rsidRPr="006663D5" w:rsidRDefault="00D8520B" w:rsidP="00795B9B">
            <w:pPr>
              <w:pStyle w:val="ARtabletext"/>
            </w:pPr>
            <w:r w:rsidRPr="006663D5">
              <w:t>Organisations</w:t>
            </w:r>
            <w:r w:rsidRPr="006663D5">
              <w:rPr>
                <w:spacing w:val="3"/>
              </w:rPr>
              <w:t xml:space="preserve"> </w:t>
            </w:r>
            <w:r w:rsidRPr="006663D5">
              <w:t>required</w:t>
            </w:r>
            <w:r w:rsidRPr="006663D5">
              <w:rPr>
                <w:spacing w:val="4"/>
              </w:rPr>
              <w:t xml:space="preserve"> to under</w:t>
            </w:r>
            <w:r w:rsidRPr="006663D5">
              <w:t>take an</w:t>
            </w:r>
            <w:r w:rsidRPr="006663D5">
              <w:rPr>
                <w:spacing w:val="5"/>
              </w:rPr>
              <w:t> i</w:t>
            </w:r>
            <w:r w:rsidRPr="006663D5">
              <w:t>ndependent</w:t>
            </w:r>
            <w:r w:rsidRPr="006663D5">
              <w:rPr>
                <w:spacing w:val="4"/>
              </w:rPr>
              <w:t xml:space="preserve"> </w:t>
            </w:r>
            <w:r w:rsidRPr="006663D5">
              <w:t>review</w:t>
            </w:r>
          </w:p>
        </w:tc>
        <w:tc>
          <w:tcPr>
            <w:tcW w:w="1044" w:type="dxa"/>
          </w:tcPr>
          <w:p w14:paraId="52D6673E" w14:textId="77777777" w:rsidR="00D8520B" w:rsidRPr="006663D5" w:rsidRDefault="00D8520B" w:rsidP="00795B9B">
            <w:pPr>
              <w:pStyle w:val="ARtabletextright"/>
            </w:pPr>
            <w:r w:rsidRPr="006663D5">
              <w:t>867</w:t>
            </w:r>
          </w:p>
        </w:tc>
      </w:tr>
    </w:tbl>
    <w:p w14:paraId="68FC7329" w14:textId="77777777" w:rsidR="00D8520B" w:rsidRPr="006663D5" w:rsidRDefault="00D8520B" w:rsidP="00D8520B">
      <w:pPr>
        <w:pStyle w:val="ARtablefootnote"/>
      </w:pPr>
      <w:r w:rsidRPr="006663D5">
        <w:t>Includes organisations registered for National Disability Insurance Agency purposes.</w:t>
      </w:r>
    </w:p>
    <w:p w14:paraId="37DAE8CD" w14:textId="77777777" w:rsidR="00D8520B" w:rsidRPr="006663D5" w:rsidRDefault="00D8520B" w:rsidP="00D8520B">
      <w:pPr>
        <w:pStyle w:val="ARtablecaption"/>
      </w:pPr>
      <w:r w:rsidRPr="006663D5">
        <w:t>Reviews completed 2018–19</w:t>
      </w:r>
    </w:p>
    <w:tbl>
      <w:tblPr>
        <w:tblW w:w="0" w:type="auto"/>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3549"/>
        <w:gridCol w:w="1028"/>
      </w:tblGrid>
      <w:tr w:rsidR="00D8520B" w:rsidRPr="006663D5" w14:paraId="2964972B" w14:textId="77777777" w:rsidTr="00795B9B">
        <w:trPr>
          <w:cantSplit/>
          <w:tblHeader/>
        </w:trPr>
        <w:tc>
          <w:tcPr>
            <w:tcW w:w="3549" w:type="dxa"/>
            <w:vAlign w:val="bottom"/>
          </w:tcPr>
          <w:p w14:paraId="6421D271" w14:textId="77777777" w:rsidR="00D8520B" w:rsidRPr="006663D5" w:rsidRDefault="00D8520B" w:rsidP="00795B9B">
            <w:pPr>
              <w:pStyle w:val="ARtablecolhead"/>
            </w:pPr>
            <w:r w:rsidRPr="006663D5">
              <w:rPr>
                <w:spacing w:val="-15"/>
              </w:rPr>
              <w:t>T</w:t>
            </w:r>
            <w:r w:rsidRPr="006663D5">
              <w:t>ype</w:t>
            </w:r>
          </w:p>
        </w:tc>
        <w:tc>
          <w:tcPr>
            <w:tcW w:w="1028" w:type="dxa"/>
            <w:vAlign w:val="bottom"/>
          </w:tcPr>
          <w:p w14:paraId="00932E51" w14:textId="77777777" w:rsidR="00D8520B" w:rsidRPr="006663D5" w:rsidRDefault="00D8520B" w:rsidP="00795B9B">
            <w:pPr>
              <w:pStyle w:val="ARtablecolhead"/>
              <w:jc w:val="right"/>
            </w:pPr>
            <w:r w:rsidRPr="006663D5">
              <w:t>Number</w:t>
            </w:r>
          </w:p>
        </w:tc>
      </w:tr>
      <w:tr w:rsidR="00D8520B" w:rsidRPr="006663D5" w14:paraId="6F2D9C09" w14:textId="77777777" w:rsidTr="00795B9B">
        <w:trPr>
          <w:cantSplit/>
        </w:trPr>
        <w:tc>
          <w:tcPr>
            <w:tcW w:w="3549" w:type="dxa"/>
          </w:tcPr>
          <w:p w14:paraId="130819E0" w14:textId="77777777" w:rsidR="00D8520B" w:rsidRPr="006663D5" w:rsidRDefault="00D8520B" w:rsidP="00795B9B">
            <w:pPr>
              <w:pStyle w:val="ARtabletext"/>
            </w:pPr>
            <w:r w:rsidRPr="006663D5">
              <w:t>Number of independent reviews successfully completed</w:t>
            </w:r>
          </w:p>
        </w:tc>
        <w:tc>
          <w:tcPr>
            <w:tcW w:w="1028" w:type="dxa"/>
          </w:tcPr>
          <w:p w14:paraId="38D56FC5" w14:textId="77777777" w:rsidR="00D8520B" w:rsidRPr="006663D5" w:rsidRDefault="00D8520B" w:rsidP="00795B9B">
            <w:pPr>
              <w:pStyle w:val="ARtabletextright"/>
            </w:pPr>
            <w:r w:rsidRPr="006663D5">
              <w:t>348</w:t>
            </w:r>
          </w:p>
        </w:tc>
      </w:tr>
      <w:tr w:rsidR="00D8520B" w:rsidRPr="006663D5" w14:paraId="3FD867CB" w14:textId="77777777" w:rsidTr="00795B9B">
        <w:trPr>
          <w:cantSplit/>
        </w:trPr>
        <w:tc>
          <w:tcPr>
            <w:tcW w:w="3549" w:type="dxa"/>
          </w:tcPr>
          <w:p w14:paraId="43C80818" w14:textId="77777777" w:rsidR="00D8520B" w:rsidRPr="006663D5" w:rsidRDefault="00D8520B" w:rsidP="00795B9B">
            <w:pPr>
              <w:pStyle w:val="ARtabletext"/>
            </w:pPr>
            <w:r w:rsidRPr="006663D5">
              <w:t>Number of independent</w:t>
            </w:r>
            <w:r w:rsidRPr="006663D5">
              <w:rPr>
                <w:spacing w:val="3"/>
              </w:rPr>
              <w:t xml:space="preserve"> </w:t>
            </w:r>
            <w:r w:rsidRPr="006663D5">
              <w:t>reviews not successfully completed or certification withdrawn</w:t>
            </w:r>
          </w:p>
        </w:tc>
        <w:tc>
          <w:tcPr>
            <w:tcW w:w="1028" w:type="dxa"/>
          </w:tcPr>
          <w:p w14:paraId="6BEB6040" w14:textId="77777777" w:rsidR="00D8520B" w:rsidRPr="006663D5" w:rsidRDefault="00D8520B" w:rsidP="00795B9B">
            <w:pPr>
              <w:pStyle w:val="ARtabletextright"/>
            </w:pPr>
            <w:r w:rsidRPr="006663D5">
              <w:t>0</w:t>
            </w:r>
          </w:p>
        </w:tc>
      </w:tr>
    </w:tbl>
    <w:p w14:paraId="6C12A9FD" w14:textId="77777777" w:rsidR="00F20DAF" w:rsidRPr="006663D5" w:rsidRDefault="009D144D" w:rsidP="00605E25">
      <w:pPr>
        <w:pStyle w:val="Heading2"/>
        <w:spacing w:before="0"/>
      </w:pPr>
      <w:bookmarkStart w:id="188" w:name="_Ref525207598"/>
      <w:bookmarkEnd w:id="186"/>
      <w:r>
        <w:br w:type="column"/>
      </w:r>
      <w:bookmarkStart w:id="189" w:name="_Ref21960035"/>
      <w:r w:rsidR="00F20DAF" w:rsidRPr="006663D5">
        <w:t>Disability action plan</w:t>
      </w:r>
      <w:bookmarkEnd w:id="189"/>
    </w:p>
    <w:p w14:paraId="2310478C" w14:textId="77777777" w:rsidR="00F20DAF" w:rsidRPr="006663D5" w:rsidRDefault="00F20DAF" w:rsidP="00F20DAF">
      <w:pPr>
        <w:pStyle w:val="ARbody"/>
      </w:pPr>
      <w:r w:rsidRPr="006663D5">
        <w:t xml:space="preserve">The </w:t>
      </w:r>
      <w:r w:rsidRPr="006663D5">
        <w:rPr>
          <w:i/>
        </w:rPr>
        <w:t>Disability Act 2006</w:t>
      </w:r>
      <w:r w:rsidRPr="006663D5">
        <w:t xml:space="preserve"> requires Victorian agencies to develop a disability action plan to reduce barriers and enhance opportunities for people with disability.</w:t>
      </w:r>
    </w:p>
    <w:p w14:paraId="42958A6B" w14:textId="0991FBE8" w:rsidR="00F20DAF" w:rsidRPr="006663D5" w:rsidRDefault="00F20DAF" w:rsidP="00F20DAF">
      <w:pPr>
        <w:pStyle w:val="ARbody"/>
      </w:pPr>
      <w:r w:rsidRPr="006663D5">
        <w:t xml:space="preserve">The inaugural </w:t>
      </w:r>
      <w:r w:rsidRPr="006663D5">
        <w:rPr>
          <w:i/>
        </w:rPr>
        <w:t xml:space="preserve">Department of Health and Human Services </w:t>
      </w:r>
      <w:r w:rsidR="0016290F">
        <w:rPr>
          <w:i/>
        </w:rPr>
        <w:t>d</w:t>
      </w:r>
      <w:r w:rsidR="0016290F" w:rsidRPr="006663D5">
        <w:rPr>
          <w:i/>
        </w:rPr>
        <w:t xml:space="preserve">isability </w:t>
      </w:r>
      <w:r w:rsidRPr="006663D5">
        <w:rPr>
          <w:i/>
        </w:rPr>
        <w:t>action plan 2018</w:t>
      </w:r>
      <w:r w:rsidR="0016290F">
        <w:rPr>
          <w:i/>
        </w:rPr>
        <w:t>–</w:t>
      </w:r>
      <w:r w:rsidRPr="006663D5">
        <w:rPr>
          <w:i/>
        </w:rPr>
        <w:t xml:space="preserve">2020 </w:t>
      </w:r>
      <w:r w:rsidRPr="006663D5">
        <w:t>(the plan) sets the standard for how we want to operate as a</w:t>
      </w:r>
      <w:r w:rsidR="00F54DCB">
        <w:t> </w:t>
      </w:r>
      <w:r w:rsidRPr="006663D5">
        <w:t>truly inclusive work, policy, and service environment. The plan provides a three</w:t>
      </w:r>
      <w:r w:rsidR="0016290F">
        <w:t>-</w:t>
      </w:r>
      <w:r w:rsidRPr="006663D5">
        <w:t xml:space="preserve">year framework for change, with publicly available annual implementation plans aligned to financial years, to maintain momentum. Year 1 actions are set out in the </w:t>
      </w:r>
      <w:r w:rsidRPr="006663D5">
        <w:rPr>
          <w:i/>
        </w:rPr>
        <w:t xml:space="preserve">Department of Health and Human Services </w:t>
      </w:r>
      <w:r w:rsidR="0016290F">
        <w:rPr>
          <w:i/>
        </w:rPr>
        <w:t>d</w:t>
      </w:r>
      <w:r w:rsidR="0016290F" w:rsidRPr="006663D5">
        <w:rPr>
          <w:i/>
        </w:rPr>
        <w:t xml:space="preserve">isability </w:t>
      </w:r>
      <w:r w:rsidRPr="006663D5">
        <w:rPr>
          <w:i/>
        </w:rPr>
        <w:t>action plan 2018</w:t>
      </w:r>
      <w:r w:rsidR="0016290F">
        <w:rPr>
          <w:i/>
        </w:rPr>
        <w:t>–</w:t>
      </w:r>
      <w:r w:rsidRPr="006663D5">
        <w:rPr>
          <w:i/>
        </w:rPr>
        <w:t xml:space="preserve">2020: </w:t>
      </w:r>
      <w:r w:rsidR="00F54DCB">
        <w:rPr>
          <w:i/>
        </w:rPr>
        <w:br/>
      </w:r>
      <w:r w:rsidRPr="006663D5">
        <w:rPr>
          <w:i/>
        </w:rPr>
        <w:t>2018</w:t>
      </w:r>
      <w:r w:rsidR="00F54DCB">
        <w:rPr>
          <w:i/>
        </w:rPr>
        <w:t>–</w:t>
      </w:r>
      <w:r w:rsidRPr="006663D5">
        <w:rPr>
          <w:i/>
        </w:rPr>
        <w:t>2019 implementation plan</w:t>
      </w:r>
      <w:r w:rsidRPr="006663D5">
        <w:t>.</w:t>
      </w:r>
    </w:p>
    <w:p w14:paraId="7DEC0C6D" w14:textId="6655678E" w:rsidR="00F20DAF" w:rsidRPr="006663D5" w:rsidRDefault="00F20DAF" w:rsidP="00F20DAF">
      <w:pPr>
        <w:pStyle w:val="ARbody"/>
      </w:pPr>
      <w:r w:rsidRPr="006663D5">
        <w:t>To find out more and access annual implementation plans</w:t>
      </w:r>
      <w:r w:rsidR="0016290F">
        <w:t>,</w:t>
      </w:r>
      <w:r w:rsidRPr="006663D5">
        <w:t xml:space="preserve"> visit the </w:t>
      </w:r>
      <w:hyperlink r:id="rId162" w:history="1">
        <w:r w:rsidRPr="006663D5">
          <w:rPr>
            <w:rStyle w:val="Hyperlink"/>
          </w:rPr>
          <w:t>department’s</w:t>
        </w:r>
        <w:r w:rsidR="00F54DCB">
          <w:rPr>
            <w:rStyle w:val="Hyperlink"/>
          </w:rPr>
          <w:t xml:space="preserve"> </w:t>
        </w:r>
        <w:r w:rsidRPr="006663D5">
          <w:rPr>
            <w:rStyle w:val="Hyperlink"/>
          </w:rPr>
          <w:t>website</w:t>
        </w:r>
      </w:hyperlink>
      <w:r w:rsidRPr="006663D5">
        <w:t>: &lt;https://www.dhhs.vic.gov.au/</w:t>
      </w:r>
      <w:r w:rsidR="00F54DCB">
        <w:br/>
      </w:r>
      <w:r w:rsidRPr="006663D5">
        <w:t>publications/disability-action-plan-2018-2020&gt;.</w:t>
      </w:r>
    </w:p>
    <w:p w14:paraId="63A59E77" w14:textId="77777777" w:rsidR="00F20DAF" w:rsidRPr="006663D5" w:rsidRDefault="00F20DAF" w:rsidP="00F20DAF">
      <w:pPr>
        <w:pStyle w:val="Heading3"/>
      </w:pPr>
      <w:r w:rsidRPr="006663D5">
        <w:t>Reducing barriers to accessing goods, services and facilities</w:t>
      </w:r>
    </w:p>
    <w:p w14:paraId="63BD3895" w14:textId="77777777" w:rsidR="00F20DAF" w:rsidRPr="006663D5" w:rsidRDefault="00F20DAF" w:rsidP="00F20DAF">
      <w:pPr>
        <w:pStyle w:val="ARbody"/>
        <w:rPr>
          <w:lang w:eastAsia="en-AU"/>
        </w:rPr>
      </w:pPr>
      <w:r w:rsidRPr="006663D5">
        <w:rPr>
          <w:lang w:eastAsia="en-AU"/>
        </w:rPr>
        <w:t xml:space="preserve">Key priority 5 of </w:t>
      </w:r>
      <w:r w:rsidRPr="006663D5">
        <w:rPr>
          <w:i/>
          <w:lang w:eastAsia="en-AU"/>
        </w:rPr>
        <w:t>Absolutely everyone: state disability plan 2017</w:t>
      </w:r>
      <w:r w:rsidR="0016290F">
        <w:rPr>
          <w:i/>
          <w:lang w:eastAsia="en-AU"/>
        </w:rPr>
        <w:t>–</w:t>
      </w:r>
      <w:r w:rsidRPr="006663D5">
        <w:rPr>
          <w:i/>
          <w:lang w:eastAsia="en-AU"/>
        </w:rPr>
        <w:t>2020</w:t>
      </w:r>
      <w:r w:rsidRPr="006663D5">
        <w:rPr>
          <w:lang w:eastAsia="en-AU"/>
        </w:rPr>
        <w:t xml:space="preserve"> commits the Victorian Government to taking a sector</w:t>
      </w:r>
      <w:r w:rsidR="0016290F">
        <w:rPr>
          <w:lang w:eastAsia="en-AU"/>
        </w:rPr>
        <w:t>-</w:t>
      </w:r>
      <w:r w:rsidRPr="006663D5">
        <w:rPr>
          <w:lang w:eastAsia="en-AU"/>
        </w:rPr>
        <w:t>wide approach to reinvigorating disability action plans in every public health and community health service.</w:t>
      </w:r>
    </w:p>
    <w:p w14:paraId="6D30A7E8" w14:textId="0D07AF08" w:rsidR="00F20DAF" w:rsidRPr="006663D5" w:rsidRDefault="00F20DAF" w:rsidP="00F20DAF">
      <w:pPr>
        <w:pStyle w:val="ARbody"/>
        <w:rPr>
          <w:lang w:eastAsia="en-AU"/>
        </w:rPr>
      </w:pPr>
      <w:r w:rsidRPr="006663D5">
        <w:rPr>
          <w:lang w:eastAsia="en-AU"/>
        </w:rPr>
        <w:t>In 2018–19, the department partnered with the Victorian Healthcare Association to develop a series of interactive e-</w:t>
      </w:r>
      <w:r w:rsidR="0016290F">
        <w:rPr>
          <w:lang w:eastAsia="en-AU"/>
        </w:rPr>
        <w:t>l</w:t>
      </w:r>
      <w:r w:rsidRPr="006663D5">
        <w:rPr>
          <w:lang w:eastAsia="en-AU"/>
        </w:rPr>
        <w:t>earning modules to support health services, to prepare and implement a disability action plan. The modules are designed to</w:t>
      </w:r>
      <w:r w:rsidR="00F54DCB">
        <w:rPr>
          <w:lang w:eastAsia="en-AU"/>
        </w:rPr>
        <w:t> </w:t>
      </w:r>
      <w:r w:rsidRPr="006663D5">
        <w:rPr>
          <w:lang w:eastAsia="en-AU"/>
        </w:rPr>
        <w:t>assist Victorian public hospitals, multipurpose services and community health services to build their capacity to support the needs of people with disability. The modules aim to build opportunities for greater representation on governing bodies, boards and committees, and support the workforce more broadly.</w:t>
      </w:r>
    </w:p>
    <w:p w14:paraId="7EA6722D" w14:textId="371F0728" w:rsidR="00F20DAF" w:rsidRPr="006663D5" w:rsidRDefault="00F20DAF" w:rsidP="00F20DAF">
      <w:pPr>
        <w:pStyle w:val="ARbody"/>
        <w:rPr>
          <w:lang w:eastAsia="en-AU"/>
        </w:rPr>
      </w:pPr>
      <w:r w:rsidRPr="006663D5">
        <w:rPr>
          <w:lang w:eastAsia="en-AU"/>
        </w:rPr>
        <w:t>Each module highlights different aspects related</w:t>
      </w:r>
      <w:r w:rsidR="00F54DCB">
        <w:rPr>
          <w:lang w:eastAsia="en-AU"/>
        </w:rPr>
        <w:t> </w:t>
      </w:r>
      <w:r w:rsidRPr="006663D5">
        <w:rPr>
          <w:lang w:eastAsia="en-AU"/>
        </w:rPr>
        <w:t>to</w:t>
      </w:r>
      <w:r w:rsidR="00F54DCB">
        <w:rPr>
          <w:lang w:eastAsia="en-AU"/>
        </w:rPr>
        <w:t> </w:t>
      </w:r>
      <w:r w:rsidRPr="006663D5">
        <w:rPr>
          <w:lang w:eastAsia="en-AU"/>
        </w:rPr>
        <w:t>disability action planning, designed to</w:t>
      </w:r>
      <w:r w:rsidR="00F54DCB">
        <w:rPr>
          <w:lang w:eastAsia="en-AU"/>
        </w:rPr>
        <w:t> </w:t>
      </w:r>
      <w:r w:rsidRPr="006663D5">
        <w:rPr>
          <w:lang w:eastAsia="en-AU"/>
        </w:rPr>
        <w:t>support health services to build their capacity as</w:t>
      </w:r>
      <w:r w:rsidR="00F54DCB">
        <w:rPr>
          <w:lang w:eastAsia="en-AU"/>
        </w:rPr>
        <w:t> </w:t>
      </w:r>
      <w:r w:rsidRPr="006663D5">
        <w:rPr>
          <w:lang w:eastAsia="en-AU"/>
        </w:rPr>
        <w:t>mainstream service providers and improve the</w:t>
      </w:r>
      <w:r w:rsidR="00F54DCB">
        <w:rPr>
          <w:lang w:eastAsia="en-AU"/>
        </w:rPr>
        <w:t> </w:t>
      </w:r>
      <w:r w:rsidRPr="006663D5">
        <w:rPr>
          <w:lang w:eastAsia="en-AU"/>
        </w:rPr>
        <w:t>quality of care and employment opportunities for people with disability.</w:t>
      </w:r>
    </w:p>
    <w:p w14:paraId="52773523" w14:textId="77777777" w:rsidR="00F20DAF" w:rsidRPr="006663D5" w:rsidRDefault="00F20DAF" w:rsidP="00F20DAF">
      <w:pPr>
        <w:pStyle w:val="Heading3"/>
      </w:pPr>
      <w:r w:rsidRPr="006663D5">
        <w:t>Reducing barriers to persons with a disability obtaining and maintaining employment</w:t>
      </w:r>
    </w:p>
    <w:p w14:paraId="423E653E" w14:textId="59194689" w:rsidR="00F20DAF" w:rsidRPr="006663D5" w:rsidRDefault="00F20DAF" w:rsidP="00F20DAF">
      <w:pPr>
        <w:pStyle w:val="ARbody"/>
      </w:pPr>
      <w:r w:rsidRPr="006663D5">
        <w:rPr>
          <w:i/>
        </w:rPr>
        <w:t xml:space="preserve">Victoria’s </w:t>
      </w:r>
      <w:r w:rsidR="0016290F" w:rsidRPr="006663D5">
        <w:rPr>
          <w:i/>
        </w:rPr>
        <w:t>social procurement framework</w:t>
      </w:r>
      <w:r w:rsidRPr="006663D5">
        <w:t>, launched in April 2018, will embed social procurement within ordinary government processes and make the most</w:t>
      </w:r>
      <w:r w:rsidR="00F54DCB">
        <w:t> </w:t>
      </w:r>
      <w:r w:rsidRPr="006663D5">
        <w:t xml:space="preserve">of the purchasing power that the Victorian Government has. The department’s </w:t>
      </w:r>
      <w:r w:rsidRPr="006663D5">
        <w:rPr>
          <w:i/>
        </w:rPr>
        <w:t xml:space="preserve">Social </w:t>
      </w:r>
      <w:r w:rsidR="0016290F" w:rsidRPr="006663D5">
        <w:rPr>
          <w:i/>
        </w:rPr>
        <w:t xml:space="preserve">procurement strategy </w:t>
      </w:r>
      <w:r w:rsidRPr="006663D5">
        <w:rPr>
          <w:i/>
        </w:rPr>
        <w:t>2018</w:t>
      </w:r>
      <w:r w:rsidR="0016290F">
        <w:rPr>
          <w:i/>
        </w:rPr>
        <w:t>–</w:t>
      </w:r>
      <w:r w:rsidRPr="006663D5">
        <w:rPr>
          <w:i/>
        </w:rPr>
        <w:t>19</w:t>
      </w:r>
      <w:r w:rsidRPr="006663D5">
        <w:t xml:space="preserve"> (the </w:t>
      </w:r>
      <w:r w:rsidR="0016290F">
        <w:t>s</w:t>
      </w:r>
      <w:r w:rsidRPr="006663D5">
        <w:t xml:space="preserve">trategy) outlines how the department implements the </w:t>
      </w:r>
      <w:r w:rsidR="0016290F">
        <w:t>f</w:t>
      </w:r>
      <w:r w:rsidRPr="006663D5">
        <w:t>ramework.</w:t>
      </w:r>
    </w:p>
    <w:p w14:paraId="6EBEDA15" w14:textId="31C63E73" w:rsidR="00F20DAF" w:rsidRPr="006663D5" w:rsidRDefault="00F20DAF" w:rsidP="00F20DAF">
      <w:pPr>
        <w:pStyle w:val="ARbody"/>
      </w:pPr>
      <w:r w:rsidRPr="006663D5">
        <w:t xml:space="preserve">A key focus of the </w:t>
      </w:r>
      <w:r w:rsidR="0016290F">
        <w:t>s</w:t>
      </w:r>
      <w:r w:rsidRPr="006663D5">
        <w:t>trategy is contributing to a</w:t>
      </w:r>
      <w:r w:rsidR="00F54DCB">
        <w:t> </w:t>
      </w:r>
      <w:r w:rsidRPr="006663D5">
        <w:t>strong Victorian economy in our role as an employer by building the capabilities of the workforces that deliver our services, creating jobs</w:t>
      </w:r>
      <w:r w:rsidR="00F54DCB">
        <w:t> </w:t>
      </w:r>
      <w:r w:rsidRPr="006663D5">
        <w:t xml:space="preserve">through our service delivery and capital works, and through support for research. The </w:t>
      </w:r>
      <w:r w:rsidR="0016290F">
        <w:t>s</w:t>
      </w:r>
      <w:r w:rsidRPr="006663D5">
        <w:t>trategy identifies several social procurement objectives, including increasing economic opportunities for Victorians with disability.</w:t>
      </w:r>
    </w:p>
    <w:p w14:paraId="2AC13A50" w14:textId="77777777" w:rsidR="00F20DAF" w:rsidRPr="006663D5" w:rsidRDefault="00F20DAF" w:rsidP="00F20DAF">
      <w:pPr>
        <w:pStyle w:val="Heading3"/>
      </w:pPr>
      <w:r w:rsidRPr="006663D5">
        <w:t>Promoting inclusion and participation in the community</w:t>
      </w:r>
    </w:p>
    <w:p w14:paraId="142314C5" w14:textId="1F40A6B3" w:rsidR="008D124E" w:rsidRDefault="00F20DAF" w:rsidP="00F20DAF">
      <w:pPr>
        <w:pStyle w:val="ARbody"/>
      </w:pPr>
      <w:bookmarkStart w:id="190" w:name="_Ref525207575"/>
      <w:r w:rsidRPr="006663D5">
        <w:t xml:space="preserve">Action 24 of </w:t>
      </w:r>
      <w:r w:rsidRPr="006663D5">
        <w:rPr>
          <w:i/>
        </w:rPr>
        <w:t>Absolutely everyone</w:t>
      </w:r>
      <w:r w:rsidRPr="006663D5">
        <w:t xml:space="preserve"> is </w:t>
      </w:r>
      <w:r w:rsidR="0016290F">
        <w:t>‘</w:t>
      </w:r>
      <w:r w:rsidRPr="006663D5">
        <w:t>Voice and</w:t>
      </w:r>
      <w:r w:rsidR="00F54DCB">
        <w:t> </w:t>
      </w:r>
      <w:r w:rsidRPr="006663D5">
        <w:t>leadership</w:t>
      </w:r>
      <w:r w:rsidR="0016290F">
        <w:t>’</w:t>
      </w:r>
      <w:r w:rsidRPr="006663D5">
        <w:t>. This action seeks to provide opportunities for people with disability to lead and contribute to public debate and influence change.</w:t>
      </w:r>
    </w:p>
    <w:p w14:paraId="1E09AB10" w14:textId="4F9113DB" w:rsidR="00F20DAF" w:rsidRPr="006663D5" w:rsidRDefault="00F20DAF" w:rsidP="00F20DAF">
      <w:pPr>
        <w:pStyle w:val="ARbody"/>
      </w:pPr>
      <w:r w:rsidRPr="006663D5">
        <w:t>The Victorian Government is committed to increasing the diversity of its boards. We know that</w:t>
      </w:r>
      <w:r w:rsidR="00F54DCB">
        <w:t> </w:t>
      </w:r>
      <w:r w:rsidRPr="006663D5">
        <w:t>there are experienced board members with disability who have much to contribute to policy and</w:t>
      </w:r>
      <w:r w:rsidR="00F54DCB">
        <w:t> </w:t>
      </w:r>
      <w:r w:rsidRPr="006663D5">
        <w:t>decision</w:t>
      </w:r>
      <w:r w:rsidR="0016290F">
        <w:t xml:space="preserve"> </w:t>
      </w:r>
      <w:r w:rsidRPr="006663D5">
        <w:t>making through our boards and committees. While one in five Victorians identify as</w:t>
      </w:r>
      <w:r w:rsidR="00F54DCB">
        <w:t> </w:t>
      </w:r>
      <w:r w:rsidRPr="006663D5">
        <w:t xml:space="preserve">having a disability, it is estimated that less than </w:t>
      </w:r>
      <w:r w:rsidR="0016290F">
        <w:t>1 </w:t>
      </w:r>
      <w:r w:rsidRPr="006663D5">
        <w:t xml:space="preserve">per cent of people serving on Victorian public sector boards identify as having a disability. The </w:t>
      </w:r>
      <w:r w:rsidR="0016290F">
        <w:t>P</w:t>
      </w:r>
      <w:r w:rsidR="0016290F" w:rsidRPr="006663D5">
        <w:t xml:space="preserve">eople </w:t>
      </w:r>
      <w:r w:rsidRPr="006663D5">
        <w:t>with</w:t>
      </w:r>
      <w:r w:rsidR="009E5469">
        <w:t xml:space="preserve"> </w:t>
      </w:r>
      <w:r w:rsidR="0016290F">
        <w:t>D</w:t>
      </w:r>
      <w:r w:rsidR="006354F5">
        <w:t>isability</w:t>
      </w:r>
      <w:r w:rsidRPr="006663D5">
        <w:t xml:space="preserve"> on Victorian </w:t>
      </w:r>
      <w:r w:rsidR="0016290F">
        <w:t>P</w:t>
      </w:r>
      <w:r w:rsidRPr="006663D5">
        <w:t xml:space="preserve">ublic </w:t>
      </w:r>
      <w:r w:rsidR="0016290F">
        <w:t>S</w:t>
      </w:r>
      <w:r w:rsidRPr="006663D5">
        <w:t xml:space="preserve">ector </w:t>
      </w:r>
      <w:r w:rsidR="0016290F">
        <w:t>B</w:t>
      </w:r>
      <w:r w:rsidRPr="006663D5">
        <w:t>oards initiative was delivered in partnership with Leadership Victoria, the Disability Leadership Institute and the Self</w:t>
      </w:r>
      <w:r w:rsidR="0016290F">
        <w:t>-</w:t>
      </w:r>
      <w:r w:rsidRPr="006663D5">
        <w:t>Advocacy Resource Unit’s Voice at the Table initiative.</w:t>
      </w:r>
    </w:p>
    <w:p w14:paraId="73F454C2" w14:textId="6CDF5AEA" w:rsidR="00F20DAF" w:rsidRPr="006663D5" w:rsidRDefault="00F54DCB" w:rsidP="00F20DAF">
      <w:pPr>
        <w:pStyle w:val="ARbody"/>
      </w:pPr>
      <w:r>
        <w:br w:type="column"/>
      </w:r>
      <w:r w:rsidR="00F20DAF" w:rsidRPr="006663D5">
        <w:t>The initiative offered a range of professional development opportunities for people with disability,</w:t>
      </w:r>
      <w:r>
        <w:t> </w:t>
      </w:r>
      <w:r w:rsidR="00F20DAF" w:rsidRPr="006663D5">
        <w:t>to assist in applying for, and sustaining, public sector board appointments. Professional development training workshops were provided for</w:t>
      </w:r>
      <w:r>
        <w:t> </w:t>
      </w:r>
      <w:r w:rsidR="00F20DAF" w:rsidRPr="006663D5">
        <w:t>board secretariat staff within departments, and members of Victorian public sector boards and committees, on inclusive recruitment practices and</w:t>
      </w:r>
      <w:r>
        <w:t> </w:t>
      </w:r>
      <w:r w:rsidR="00F20DAF" w:rsidRPr="006663D5">
        <w:t>hosting inclusive meetings. Victorian board vacancies were also advertised on the National Register of Disability Leaders, resources were</w:t>
      </w:r>
      <w:r>
        <w:t> </w:t>
      </w:r>
      <w:r w:rsidR="00F20DAF" w:rsidRPr="006663D5">
        <w:t>developed and support was provided to</w:t>
      </w:r>
      <w:r>
        <w:t> </w:t>
      </w:r>
      <w:r w:rsidR="00F20DAF" w:rsidRPr="006663D5">
        <w:t>departments regarding inclusive recruitment practices.</w:t>
      </w:r>
    </w:p>
    <w:p w14:paraId="7F648F68" w14:textId="77777777" w:rsidR="00F20DAF" w:rsidRPr="006663D5" w:rsidRDefault="00F20DAF" w:rsidP="00F20DAF">
      <w:pPr>
        <w:pStyle w:val="Heading3"/>
      </w:pPr>
      <w:r w:rsidRPr="006663D5">
        <w:t>Achieving tangible changes in attitudes and practices that discriminate against people with a disability</w:t>
      </w:r>
      <w:bookmarkEnd w:id="190"/>
    </w:p>
    <w:p w14:paraId="4FDE8F94" w14:textId="5A014888" w:rsidR="00F20DAF" w:rsidRPr="006663D5" w:rsidRDefault="00F20DAF" w:rsidP="00F20DAF">
      <w:pPr>
        <w:pStyle w:val="ARbody"/>
        <w:rPr>
          <w:lang w:eastAsia="en-AU"/>
        </w:rPr>
      </w:pPr>
      <w:r w:rsidRPr="006663D5">
        <w:rPr>
          <w:lang w:eastAsia="en-AU"/>
        </w:rPr>
        <w:t>The department funded Positive Powerful Parents, a statewide self</w:t>
      </w:r>
      <w:r w:rsidR="002255AC">
        <w:rPr>
          <w:lang w:eastAsia="en-AU"/>
        </w:rPr>
        <w:t>-</w:t>
      </w:r>
      <w:r w:rsidRPr="006663D5">
        <w:rPr>
          <w:lang w:eastAsia="en-AU"/>
        </w:rPr>
        <w:t xml:space="preserve">advocacy group for parents with intellectual disability to develop resources for health, government and child protection agencies. Titled </w:t>
      </w:r>
      <w:r w:rsidRPr="009D144D">
        <w:rPr>
          <w:i/>
          <w:iCs/>
          <w:lang w:eastAsia="en-AU"/>
        </w:rPr>
        <w:t xml:space="preserve">Hand in </w:t>
      </w:r>
      <w:r w:rsidR="002255AC" w:rsidRPr="009D144D">
        <w:rPr>
          <w:i/>
          <w:iCs/>
          <w:lang w:eastAsia="en-AU"/>
        </w:rPr>
        <w:t>h</w:t>
      </w:r>
      <w:r w:rsidRPr="009D144D">
        <w:rPr>
          <w:i/>
          <w:iCs/>
          <w:lang w:eastAsia="en-AU"/>
        </w:rPr>
        <w:t>and</w:t>
      </w:r>
      <w:r w:rsidR="002255AC">
        <w:rPr>
          <w:lang w:eastAsia="en-AU"/>
        </w:rPr>
        <w:t>,</w:t>
      </w:r>
      <w:r w:rsidRPr="006663D5">
        <w:rPr>
          <w:lang w:eastAsia="en-AU"/>
        </w:rPr>
        <w:t xml:space="preserve"> the report was developed by</w:t>
      </w:r>
      <w:r w:rsidR="00F54DCB">
        <w:rPr>
          <w:lang w:eastAsia="en-AU"/>
        </w:rPr>
        <w:t> </w:t>
      </w:r>
      <w:r w:rsidRPr="006663D5">
        <w:rPr>
          <w:lang w:eastAsia="en-AU"/>
        </w:rPr>
        <w:t>parents with intellectual disability to raise awareness about the lives and support needs of</w:t>
      </w:r>
      <w:r w:rsidR="00F54DCB">
        <w:rPr>
          <w:lang w:eastAsia="en-AU"/>
        </w:rPr>
        <w:t> </w:t>
      </w:r>
      <w:r w:rsidRPr="006663D5">
        <w:rPr>
          <w:lang w:eastAsia="en-AU"/>
        </w:rPr>
        <w:t>families where a parent has an intellectual disability. The project also developed the Parent Voices resource kit identifying supportive ways of</w:t>
      </w:r>
      <w:r w:rsidR="00F54DCB">
        <w:rPr>
          <w:lang w:eastAsia="en-AU"/>
        </w:rPr>
        <w:t> </w:t>
      </w:r>
      <w:r w:rsidRPr="006663D5">
        <w:rPr>
          <w:lang w:eastAsia="en-AU"/>
        </w:rPr>
        <w:t>working with families that are in the best interests of children.</w:t>
      </w:r>
    </w:p>
    <w:p w14:paraId="2836F1EA" w14:textId="77777777" w:rsidR="009D144D" w:rsidRPr="000C7D64" w:rsidRDefault="009D144D" w:rsidP="000C7D64">
      <w:pPr>
        <w:pStyle w:val="ARbody"/>
      </w:pPr>
      <w:r w:rsidRPr="000C7D64">
        <w:br w:type="page"/>
      </w:r>
    </w:p>
    <w:p w14:paraId="5EEB6CFB" w14:textId="77777777" w:rsidR="00CC6C51" w:rsidRPr="006663D5" w:rsidRDefault="00CC6C51" w:rsidP="00CC6C51">
      <w:pPr>
        <w:pStyle w:val="Heading2"/>
      </w:pPr>
      <w:r w:rsidRPr="006663D5">
        <w:t>Registered disability service providers and community service organisations</w:t>
      </w:r>
      <w:bookmarkEnd w:id="188"/>
    </w:p>
    <w:p w14:paraId="08C0C443" w14:textId="77777777" w:rsidR="00CC6C51" w:rsidRPr="006663D5" w:rsidRDefault="00CC6C51" w:rsidP="00CC6C51">
      <w:pPr>
        <w:pStyle w:val="ARbody"/>
      </w:pPr>
      <w:r w:rsidRPr="006663D5">
        <w:t xml:space="preserve">Registration under the </w:t>
      </w:r>
      <w:r w:rsidRPr="006663D5">
        <w:rPr>
          <w:i/>
        </w:rPr>
        <w:t>Disability Act 2006</w:t>
      </w:r>
      <w:r w:rsidRPr="006663D5">
        <w:t xml:space="preserve"> and the </w:t>
      </w:r>
      <w:r w:rsidRPr="006663D5">
        <w:rPr>
          <w:i/>
        </w:rPr>
        <w:t>Children, Youth and Families Act 2005</w:t>
      </w:r>
      <w:r w:rsidRPr="006663D5">
        <w:t xml:space="preserve"> is managed by the Department of Health and Human Services’ Human Services Regulator unit, which acts as an independent regulator within the department.</w:t>
      </w:r>
    </w:p>
    <w:p w14:paraId="6635E11B" w14:textId="50D826D1" w:rsidR="00CC6C51" w:rsidRPr="006663D5" w:rsidRDefault="00CC6C51" w:rsidP="00CC6C51">
      <w:pPr>
        <w:pStyle w:val="ARbody"/>
      </w:pPr>
      <w:r w:rsidRPr="006663D5">
        <w:t>The launch of the National Disability Insurance Scheme has seen an agreement between the Commonwealth and the Victorian Government for the existing quality assurance and safeguards of the State of Victoria to remain in place during the launch, until a nationally consistent risk-based quality assurance approach is developed and its application commences. Some organisations providing services for the National Disability Insurance Agency are required to be registered with the department and operate in accordance with the Disability Act. This includes complying with</w:t>
      </w:r>
      <w:r w:rsidR="00F54DCB">
        <w:t> </w:t>
      </w:r>
      <w:r w:rsidRPr="006663D5">
        <w:t>the Human Services Standards (gazetted as the Department of Health and Human Services Standards) and where required, providing information to the Disability Services Commissioner</w:t>
      </w:r>
      <w:r w:rsidR="00F54DCB">
        <w:t> </w:t>
      </w:r>
      <w:r w:rsidRPr="006663D5">
        <w:t>and the Senior Practitioner.</w:t>
      </w:r>
    </w:p>
    <w:p w14:paraId="3C09AD70" w14:textId="77777777" w:rsidR="00CC6C51" w:rsidRPr="006663D5" w:rsidRDefault="00CC6C51" w:rsidP="00CC6C51">
      <w:pPr>
        <w:pStyle w:val="Heading3"/>
      </w:pPr>
      <w:bookmarkStart w:id="191" w:name="_Ref525207588"/>
      <w:r w:rsidRPr="006663D5">
        <w:t>Register of disability service providers</w:t>
      </w:r>
      <w:bookmarkEnd w:id="191"/>
    </w:p>
    <w:p w14:paraId="5A4F795A" w14:textId="7010E93C" w:rsidR="00CC6C51" w:rsidRPr="006663D5" w:rsidRDefault="00CC6C51" w:rsidP="00CC6C51">
      <w:pPr>
        <w:pStyle w:val="ARbody"/>
        <w:rPr>
          <w:lang w:eastAsia="en-AU"/>
        </w:rPr>
      </w:pPr>
      <w:r w:rsidRPr="006663D5">
        <w:rPr>
          <w:lang w:eastAsia="en-AU"/>
        </w:rPr>
        <w:t>Section 46 of the Disability Act requires the Secretary of the department to keep a register and</w:t>
      </w:r>
      <w:r w:rsidR="00F54DCB">
        <w:rPr>
          <w:lang w:eastAsia="en-AU"/>
        </w:rPr>
        <w:t> </w:t>
      </w:r>
      <w:r w:rsidRPr="006663D5">
        <w:rPr>
          <w:lang w:eastAsia="en-AU"/>
        </w:rPr>
        <w:t>make available for public inspection a list of disability service providers. Funded organisations that deliver disability services are required to be registered and comply with the Human Services Standards.</w:t>
      </w:r>
    </w:p>
    <w:p w14:paraId="35EF5F77" w14:textId="7572B0D6" w:rsidR="00CC6C51" w:rsidRPr="006663D5" w:rsidRDefault="00CC6C51" w:rsidP="00CC6C51">
      <w:pPr>
        <w:pStyle w:val="ARbody"/>
        <w:rPr>
          <w:lang w:eastAsia="en-AU"/>
        </w:rPr>
      </w:pPr>
      <w:r w:rsidRPr="006663D5">
        <w:rPr>
          <w:lang w:eastAsia="en-AU"/>
        </w:rPr>
        <w:t xml:space="preserve">The register can be found on the </w:t>
      </w:r>
      <w:hyperlink r:id="rId163" w:history="1">
        <w:r w:rsidRPr="006663D5">
          <w:rPr>
            <w:rStyle w:val="Hyperlink"/>
            <w:lang w:eastAsia="en-AU"/>
          </w:rPr>
          <w:t>department’s website</w:t>
        </w:r>
      </w:hyperlink>
      <w:r w:rsidRPr="006663D5">
        <w:rPr>
          <w:lang w:eastAsia="en-AU"/>
        </w:rPr>
        <w:t xml:space="preserve"> &lt;https://providers.dhhs.vic.gov.au/</w:t>
      </w:r>
      <w:r w:rsidR="00F54DCB">
        <w:rPr>
          <w:lang w:eastAsia="en-AU"/>
        </w:rPr>
        <w:br/>
      </w:r>
      <w:r w:rsidRPr="006663D5">
        <w:rPr>
          <w:lang w:eastAsia="en-AU"/>
        </w:rPr>
        <w:t>registration-requirements-disability-service-providers&gt;.</w:t>
      </w:r>
    </w:p>
    <w:p w14:paraId="3B2E360B" w14:textId="77777777" w:rsidR="00CC6C51" w:rsidRPr="006663D5" w:rsidRDefault="00CC6C51" w:rsidP="00CC6C51">
      <w:pPr>
        <w:pStyle w:val="Heading3"/>
      </w:pPr>
      <w:bookmarkStart w:id="192" w:name="_Ref525207582"/>
      <w:r w:rsidRPr="006663D5">
        <w:t>Register of community services</w:t>
      </w:r>
      <w:bookmarkEnd w:id="192"/>
    </w:p>
    <w:p w14:paraId="76DC075B" w14:textId="0B3013FE" w:rsidR="00CC6C51" w:rsidRPr="006663D5" w:rsidRDefault="00CC6C51" w:rsidP="00CC6C51">
      <w:pPr>
        <w:pStyle w:val="ARbody"/>
      </w:pPr>
      <w:r w:rsidRPr="006663D5">
        <w:t>The Children, Youth and Families Act provides a strong focus on the quality of services delivered to</w:t>
      </w:r>
      <w:r w:rsidR="00F54DCB">
        <w:t> </w:t>
      </w:r>
      <w:r w:rsidRPr="006663D5">
        <w:t>children, young people and families. Funded organisations that deliver family and out-of-home care services are required to be registered and comply with the Human Services Standards.</w:t>
      </w:r>
    </w:p>
    <w:p w14:paraId="72131336" w14:textId="77777777" w:rsidR="00CC6C51" w:rsidRPr="006663D5" w:rsidRDefault="00CC6C51" w:rsidP="00CC6C51">
      <w:pPr>
        <w:pStyle w:val="ARbody"/>
      </w:pPr>
      <w:r w:rsidRPr="006663D5">
        <w:t>Section 54 of the Children, Youth and Families Act requires the Secretary of the department to keep a register of community services. Section 57 of the Act requires that the Secretary must make a copy of the register of community services available for inspection on the department’s internet site.</w:t>
      </w:r>
    </w:p>
    <w:p w14:paraId="60D4E0D9" w14:textId="4BF7046B" w:rsidR="00CC6C51" w:rsidRPr="006663D5" w:rsidRDefault="00CC6C51" w:rsidP="00CC6C51">
      <w:pPr>
        <w:pStyle w:val="ARbody"/>
      </w:pPr>
      <w:r w:rsidRPr="006663D5">
        <w:t xml:space="preserve">The register can be found on the </w:t>
      </w:r>
      <w:hyperlink r:id="rId164" w:history="1">
        <w:r w:rsidRPr="006663D5">
          <w:rPr>
            <w:rStyle w:val="Hyperlink"/>
          </w:rPr>
          <w:t>department’s website</w:t>
        </w:r>
      </w:hyperlink>
      <w:r w:rsidRPr="006663D5">
        <w:t xml:space="preserve"> &lt;https://providers.dhhs.vic.gov.au/register-community-services&gt;.</w:t>
      </w:r>
    </w:p>
    <w:p w14:paraId="61C2C3C4" w14:textId="77777777" w:rsidR="00CC6C51" w:rsidRPr="006663D5" w:rsidRDefault="00CC6C51" w:rsidP="00CC6C51">
      <w:pPr>
        <w:pStyle w:val="Heading3"/>
      </w:pPr>
      <w:bookmarkStart w:id="193" w:name="_Ref525207621"/>
      <w:r w:rsidRPr="006663D5">
        <w:t>Registration activity</w:t>
      </w:r>
      <w:bookmarkEnd w:id="193"/>
    </w:p>
    <w:p w14:paraId="07DD155E" w14:textId="77777777" w:rsidR="00CC6C51" w:rsidRPr="006663D5" w:rsidRDefault="00CC6C51" w:rsidP="00CC6C51">
      <w:pPr>
        <w:pStyle w:val="ARbody"/>
        <w:rPr>
          <w:lang w:eastAsia="en-AU"/>
        </w:rPr>
      </w:pPr>
      <w:r w:rsidRPr="006663D5">
        <w:rPr>
          <w:lang w:eastAsia="en-AU"/>
        </w:rPr>
        <w:t>During 2018</w:t>
      </w:r>
      <w:r w:rsidR="002255AC">
        <w:rPr>
          <w:lang w:eastAsia="en-AU"/>
        </w:rPr>
        <w:t>–</w:t>
      </w:r>
      <w:r w:rsidRPr="006663D5">
        <w:rPr>
          <w:lang w:eastAsia="en-AU"/>
        </w:rPr>
        <w:t>19, the department refused to register a number of organisations under the Disability Act on the grounds they were unable to meet the Disability Act requirements and/or demonstrate their capacity to meet the Human Services Standards. The department ceased taking applications for National Disability Insurance Agency purposes on 1 March 2019. The following registration activities occurred.</w:t>
      </w:r>
    </w:p>
    <w:p w14:paraId="47895E7C" w14:textId="77777777" w:rsidR="00CC6C51" w:rsidRPr="006663D5" w:rsidRDefault="00CC6C51" w:rsidP="00CC6C51">
      <w:pPr>
        <w:pStyle w:val="ARtablecolhead"/>
      </w:pPr>
    </w:p>
    <w:p w14:paraId="7BFAA2BF" w14:textId="77777777" w:rsidR="00CC6C51" w:rsidRPr="006663D5" w:rsidRDefault="00CC6C51" w:rsidP="00CC6C51">
      <w:pPr>
        <w:pStyle w:val="ARtablecolhead"/>
        <w:sectPr w:rsidR="00CC6C51" w:rsidRPr="006663D5" w:rsidSect="00E31562">
          <w:headerReference w:type="even" r:id="rId165"/>
          <w:headerReference w:type="default" r:id="rId166"/>
          <w:footerReference w:type="even" r:id="rId167"/>
          <w:footerReference w:type="default" r:id="rId168"/>
          <w:type w:val="continuous"/>
          <w:pgSz w:w="11906" w:h="16838"/>
          <w:pgMar w:top="1985" w:right="851" w:bottom="851" w:left="1418" w:header="510" w:footer="340" w:gutter="0"/>
          <w:cols w:num="2" w:space="454"/>
          <w:docGrid w:linePitch="360"/>
        </w:sectPr>
      </w:pPr>
    </w:p>
    <w:tbl>
      <w:tblPr>
        <w:tblW w:w="5000" w:type="pct"/>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3032"/>
        <w:gridCol w:w="936"/>
        <w:gridCol w:w="1781"/>
        <w:gridCol w:w="1190"/>
        <w:gridCol w:w="1334"/>
        <w:gridCol w:w="1354"/>
      </w:tblGrid>
      <w:tr w:rsidR="00CC6C51" w:rsidRPr="006663D5" w14:paraId="16D2B65C" w14:textId="77777777" w:rsidTr="00795B9B">
        <w:trPr>
          <w:cantSplit/>
        </w:trPr>
        <w:tc>
          <w:tcPr>
            <w:tcW w:w="1575" w:type="pct"/>
            <w:vAlign w:val="bottom"/>
          </w:tcPr>
          <w:p w14:paraId="59426236" w14:textId="77777777" w:rsidR="00CC6C51" w:rsidRPr="006663D5" w:rsidRDefault="00CC6C51" w:rsidP="00795B9B">
            <w:pPr>
              <w:pStyle w:val="ARtablecolhead"/>
            </w:pPr>
            <w:r w:rsidRPr="006663D5">
              <w:t>Registration</w:t>
            </w:r>
            <w:r w:rsidRPr="006663D5">
              <w:rPr>
                <w:spacing w:val="-6"/>
              </w:rPr>
              <w:t xml:space="preserve"> </w:t>
            </w:r>
            <w:r w:rsidRPr="006663D5">
              <w:t>type</w:t>
            </w:r>
          </w:p>
        </w:tc>
        <w:tc>
          <w:tcPr>
            <w:tcW w:w="1411" w:type="pct"/>
            <w:gridSpan w:val="2"/>
            <w:vAlign w:val="bottom"/>
          </w:tcPr>
          <w:p w14:paraId="62BE8FF3" w14:textId="77777777" w:rsidR="00CC6C51" w:rsidRPr="006663D5" w:rsidRDefault="00CC6C51" w:rsidP="00795B9B">
            <w:pPr>
              <w:pStyle w:val="ARtablecolhead"/>
              <w:jc w:val="right"/>
            </w:pPr>
            <w:r w:rsidRPr="006663D5">
              <w:t xml:space="preserve">New registrations </w:t>
            </w:r>
            <w:r w:rsidRPr="006663D5">
              <w:br/>
              <w:t xml:space="preserve">processed </w:t>
            </w:r>
            <w:r w:rsidRPr="006663D5">
              <w:br/>
              <w:t>2018–19</w:t>
            </w:r>
          </w:p>
        </w:tc>
        <w:tc>
          <w:tcPr>
            <w:tcW w:w="618" w:type="pct"/>
            <w:vAlign w:val="bottom"/>
          </w:tcPr>
          <w:p w14:paraId="43A5516B" w14:textId="77777777" w:rsidR="00CC6C51" w:rsidRPr="006663D5" w:rsidRDefault="00CC6C51" w:rsidP="00795B9B">
            <w:pPr>
              <w:pStyle w:val="ARtablecolhead"/>
              <w:jc w:val="right"/>
            </w:pPr>
            <w:r w:rsidRPr="006663D5">
              <w:t>Renewals processed 2018–19</w:t>
            </w:r>
          </w:p>
        </w:tc>
        <w:tc>
          <w:tcPr>
            <w:tcW w:w="693" w:type="pct"/>
            <w:vAlign w:val="bottom"/>
          </w:tcPr>
          <w:p w14:paraId="38313E2D" w14:textId="77777777" w:rsidR="00CC6C51" w:rsidRPr="006663D5" w:rsidRDefault="00CC6C51" w:rsidP="00795B9B">
            <w:pPr>
              <w:pStyle w:val="ARtablecolhead"/>
              <w:jc w:val="right"/>
            </w:pPr>
            <w:r w:rsidRPr="006663D5">
              <w:t xml:space="preserve">Registrations lapsed/ revoked </w:t>
            </w:r>
            <w:r w:rsidRPr="006663D5">
              <w:br/>
              <w:t>2018–19</w:t>
            </w:r>
          </w:p>
        </w:tc>
        <w:tc>
          <w:tcPr>
            <w:tcW w:w="703" w:type="pct"/>
            <w:vAlign w:val="bottom"/>
          </w:tcPr>
          <w:p w14:paraId="542B290D" w14:textId="77777777" w:rsidR="00CC6C51" w:rsidRPr="006663D5" w:rsidRDefault="00CC6C51" w:rsidP="00795B9B">
            <w:pPr>
              <w:pStyle w:val="ARtablecolhead"/>
              <w:jc w:val="right"/>
            </w:pPr>
            <w:r w:rsidRPr="006663D5">
              <w:rPr>
                <w:spacing w:val="-15"/>
              </w:rPr>
              <w:t>T</w:t>
            </w:r>
            <w:r w:rsidRPr="006663D5">
              <w:t>otal</w:t>
            </w:r>
            <w:r w:rsidRPr="006663D5">
              <w:rPr>
                <w:spacing w:val="-5"/>
              </w:rPr>
              <w:t xml:space="preserve"> </w:t>
            </w:r>
            <w:r w:rsidRPr="006663D5">
              <w:t>number</w:t>
            </w:r>
            <w:r w:rsidRPr="006663D5">
              <w:rPr>
                <w:w w:val="99"/>
              </w:rPr>
              <w:t xml:space="preserve"> </w:t>
            </w:r>
            <w:r w:rsidRPr="006663D5">
              <w:t>registered</w:t>
            </w:r>
            <w:r w:rsidRPr="006663D5">
              <w:rPr>
                <w:spacing w:val="4"/>
              </w:rPr>
              <w:t xml:space="preserve"> </w:t>
            </w:r>
            <w:r w:rsidRPr="006663D5">
              <w:t>at</w:t>
            </w:r>
            <w:r w:rsidRPr="006663D5">
              <w:rPr>
                <w:spacing w:val="2"/>
              </w:rPr>
              <w:t xml:space="preserve"> </w:t>
            </w:r>
            <w:r w:rsidRPr="006663D5">
              <w:rPr>
                <w:spacing w:val="2"/>
              </w:rPr>
              <w:br/>
            </w:r>
            <w:r w:rsidRPr="006663D5">
              <w:t>30</w:t>
            </w:r>
            <w:r w:rsidRPr="006663D5">
              <w:rPr>
                <w:spacing w:val="3"/>
              </w:rPr>
              <w:t xml:space="preserve"> </w:t>
            </w:r>
            <w:r w:rsidRPr="006663D5">
              <w:t>June 2019</w:t>
            </w:r>
          </w:p>
        </w:tc>
      </w:tr>
      <w:tr w:rsidR="00CC6C51" w:rsidRPr="006663D5" w14:paraId="5BAB6931" w14:textId="77777777" w:rsidTr="00795B9B">
        <w:trPr>
          <w:cantSplit/>
        </w:trPr>
        <w:tc>
          <w:tcPr>
            <w:tcW w:w="2061" w:type="pct"/>
            <w:gridSpan w:val="2"/>
          </w:tcPr>
          <w:p w14:paraId="2CAAAAB6" w14:textId="77777777" w:rsidR="00CC6C51" w:rsidRPr="006663D5" w:rsidRDefault="00CC6C51" w:rsidP="00795B9B">
            <w:pPr>
              <w:pStyle w:val="ARtabletext"/>
              <w:rPr>
                <w:i/>
              </w:rPr>
            </w:pPr>
            <w:r w:rsidRPr="006663D5">
              <w:t xml:space="preserve">Registration under the </w:t>
            </w:r>
            <w:r w:rsidRPr="006663D5">
              <w:rPr>
                <w:i/>
              </w:rPr>
              <w:t>Disability Act 2006</w:t>
            </w:r>
          </w:p>
        </w:tc>
        <w:tc>
          <w:tcPr>
            <w:tcW w:w="925" w:type="pct"/>
          </w:tcPr>
          <w:p w14:paraId="2A63BFF1" w14:textId="77777777" w:rsidR="00CC6C51" w:rsidRPr="006663D5" w:rsidRDefault="00CC6C51" w:rsidP="00795B9B">
            <w:pPr>
              <w:pStyle w:val="ARtabletextright"/>
            </w:pPr>
            <w:r w:rsidRPr="006663D5">
              <w:t>290</w:t>
            </w:r>
          </w:p>
        </w:tc>
        <w:tc>
          <w:tcPr>
            <w:tcW w:w="618" w:type="pct"/>
          </w:tcPr>
          <w:p w14:paraId="4FC74064" w14:textId="77777777" w:rsidR="00CC6C51" w:rsidRPr="006663D5" w:rsidRDefault="00CC6C51" w:rsidP="00795B9B">
            <w:pPr>
              <w:pStyle w:val="ARtabletextright"/>
            </w:pPr>
            <w:r w:rsidRPr="006663D5">
              <w:t>192</w:t>
            </w:r>
          </w:p>
        </w:tc>
        <w:tc>
          <w:tcPr>
            <w:tcW w:w="693" w:type="pct"/>
          </w:tcPr>
          <w:p w14:paraId="29FE0CE1" w14:textId="77777777" w:rsidR="00CC6C51" w:rsidRPr="006663D5" w:rsidRDefault="00CC6C51" w:rsidP="00795B9B">
            <w:pPr>
              <w:pStyle w:val="ARtabletextright"/>
            </w:pPr>
            <w:r w:rsidRPr="006663D5">
              <w:t>77</w:t>
            </w:r>
          </w:p>
        </w:tc>
        <w:tc>
          <w:tcPr>
            <w:tcW w:w="703" w:type="pct"/>
          </w:tcPr>
          <w:p w14:paraId="1240D155" w14:textId="77777777" w:rsidR="00CC6C51" w:rsidRPr="006663D5" w:rsidRDefault="00CC6C51" w:rsidP="00795B9B">
            <w:pPr>
              <w:pStyle w:val="ARtabletextright"/>
            </w:pPr>
            <w:r w:rsidRPr="006663D5">
              <w:t>733</w:t>
            </w:r>
          </w:p>
        </w:tc>
      </w:tr>
      <w:tr w:rsidR="00CC6C51" w:rsidRPr="006663D5" w14:paraId="567EAE89" w14:textId="77777777" w:rsidTr="00795B9B">
        <w:trPr>
          <w:cantSplit/>
        </w:trPr>
        <w:tc>
          <w:tcPr>
            <w:tcW w:w="2061" w:type="pct"/>
            <w:gridSpan w:val="2"/>
          </w:tcPr>
          <w:p w14:paraId="59EF694C" w14:textId="77777777" w:rsidR="00CC6C51" w:rsidRPr="006663D5" w:rsidRDefault="00CC6C51" w:rsidP="00795B9B">
            <w:pPr>
              <w:pStyle w:val="ARtabletext"/>
              <w:rPr>
                <w:i/>
              </w:rPr>
            </w:pPr>
            <w:r w:rsidRPr="006663D5">
              <w:t xml:space="preserve">Registration under the </w:t>
            </w:r>
            <w:r w:rsidRPr="006663D5">
              <w:rPr>
                <w:i/>
              </w:rPr>
              <w:t xml:space="preserve">Children, Youth and </w:t>
            </w:r>
            <w:r w:rsidRPr="006663D5">
              <w:rPr>
                <w:i/>
                <w:color w:val="231F20"/>
              </w:rPr>
              <w:t>Families Act 2005</w:t>
            </w:r>
          </w:p>
        </w:tc>
        <w:tc>
          <w:tcPr>
            <w:tcW w:w="925" w:type="pct"/>
          </w:tcPr>
          <w:p w14:paraId="50A7630C" w14:textId="77777777" w:rsidR="00CC6C51" w:rsidRPr="006663D5" w:rsidRDefault="00CC6C51" w:rsidP="00795B9B">
            <w:pPr>
              <w:pStyle w:val="ARtabletextright"/>
            </w:pPr>
            <w:r w:rsidRPr="006663D5">
              <w:t>11</w:t>
            </w:r>
          </w:p>
        </w:tc>
        <w:tc>
          <w:tcPr>
            <w:tcW w:w="618" w:type="pct"/>
          </w:tcPr>
          <w:p w14:paraId="408FA66A" w14:textId="77777777" w:rsidR="00CC6C51" w:rsidRPr="006663D5" w:rsidRDefault="00CC6C51" w:rsidP="00795B9B">
            <w:pPr>
              <w:pStyle w:val="ARtabletextright"/>
            </w:pPr>
            <w:r w:rsidRPr="006663D5">
              <w:t>12</w:t>
            </w:r>
          </w:p>
        </w:tc>
        <w:tc>
          <w:tcPr>
            <w:tcW w:w="693" w:type="pct"/>
          </w:tcPr>
          <w:p w14:paraId="61F00F4A" w14:textId="77777777" w:rsidR="00CC6C51" w:rsidRPr="006663D5" w:rsidRDefault="00CC6C51" w:rsidP="00795B9B">
            <w:pPr>
              <w:pStyle w:val="ARtabletextright"/>
            </w:pPr>
            <w:r w:rsidRPr="006663D5">
              <w:t>10</w:t>
            </w:r>
          </w:p>
        </w:tc>
        <w:tc>
          <w:tcPr>
            <w:tcW w:w="703" w:type="pct"/>
          </w:tcPr>
          <w:p w14:paraId="51878178" w14:textId="77777777" w:rsidR="00CC6C51" w:rsidRPr="006663D5" w:rsidRDefault="00CC6C51" w:rsidP="00795B9B">
            <w:pPr>
              <w:pStyle w:val="ARtabletextright"/>
            </w:pPr>
            <w:r w:rsidRPr="006663D5">
              <w:t>164</w:t>
            </w:r>
          </w:p>
        </w:tc>
      </w:tr>
      <w:bookmarkEnd w:id="187"/>
    </w:tbl>
    <w:p w14:paraId="54FAA4B8" w14:textId="77777777" w:rsidR="00E4574A" w:rsidRPr="006663D5" w:rsidRDefault="00E4574A" w:rsidP="00E64559">
      <w:pPr>
        <w:pStyle w:val="ARbody"/>
      </w:pPr>
    </w:p>
    <w:p w14:paraId="2E8E16B7" w14:textId="77777777" w:rsidR="00EC5794" w:rsidRPr="006663D5" w:rsidRDefault="00EC5794" w:rsidP="00E64559">
      <w:pPr>
        <w:pStyle w:val="ARbody"/>
        <w:sectPr w:rsidR="00EC5794" w:rsidRPr="006663D5" w:rsidSect="00C44B80">
          <w:type w:val="continuous"/>
          <w:pgSz w:w="11906" w:h="16838" w:code="9"/>
          <w:pgMar w:top="1985" w:right="851" w:bottom="851" w:left="1418" w:header="510" w:footer="340" w:gutter="0"/>
          <w:cols w:space="708"/>
          <w:docGrid w:linePitch="360"/>
        </w:sectPr>
      </w:pPr>
    </w:p>
    <w:p w14:paraId="1C0A253A" w14:textId="77777777" w:rsidR="008E2133" w:rsidRPr="006663D5" w:rsidRDefault="008E2133" w:rsidP="00764F08">
      <w:pPr>
        <w:pStyle w:val="Heading2"/>
        <w:spacing w:before="0"/>
      </w:pPr>
      <w:bookmarkStart w:id="194" w:name="_Hlk17987687"/>
      <w:r w:rsidRPr="006663D5">
        <w:t>Social procurement framework</w:t>
      </w:r>
    </w:p>
    <w:p w14:paraId="4C42E521" w14:textId="77777777" w:rsidR="008E2133" w:rsidRPr="006663D5" w:rsidRDefault="008E2133" w:rsidP="008E2133">
      <w:pPr>
        <w:pStyle w:val="ARbody"/>
      </w:pPr>
      <w:r w:rsidRPr="006663D5">
        <w:t>Social procurement achievements in 2018–19</w:t>
      </w:r>
      <w:r w:rsidR="002255AC">
        <w:t xml:space="preserve"> include</w:t>
      </w:r>
      <w:r w:rsidRPr="006663D5">
        <w:t>:</w:t>
      </w:r>
    </w:p>
    <w:p w14:paraId="3D5D12A2" w14:textId="77777777" w:rsidR="008E2133" w:rsidRPr="006663D5" w:rsidRDefault="002255AC" w:rsidP="008E2133">
      <w:pPr>
        <w:pStyle w:val="ARbullet1"/>
      </w:pPr>
      <w:r>
        <w:t xml:space="preserve">completion of </w:t>
      </w:r>
      <w:r w:rsidR="008E2133" w:rsidRPr="006663D5">
        <w:t>2018</w:t>
      </w:r>
      <w:r w:rsidR="00F36C27" w:rsidRPr="006663D5">
        <w:t>–</w:t>
      </w:r>
      <w:r w:rsidR="008E2133" w:rsidRPr="006663D5">
        <w:t xml:space="preserve">19 </w:t>
      </w:r>
      <w:r w:rsidR="00F36C27" w:rsidRPr="006663D5">
        <w:t>social procurement strategy</w:t>
      </w:r>
      <w:r>
        <w:t>,</w:t>
      </w:r>
      <w:r w:rsidR="00F36C27" w:rsidRPr="006663D5">
        <w:t xml:space="preserve"> </w:t>
      </w:r>
      <w:r w:rsidR="008E2133" w:rsidRPr="006663D5">
        <w:t>following feedback from the Department of Treasury and Finance</w:t>
      </w:r>
    </w:p>
    <w:p w14:paraId="36A09D0E" w14:textId="77777777" w:rsidR="008E2133" w:rsidRPr="006663D5" w:rsidRDefault="002255AC" w:rsidP="008E2133">
      <w:pPr>
        <w:pStyle w:val="ARbullet1"/>
      </w:pPr>
      <w:r>
        <w:t xml:space="preserve">completion of </w:t>
      </w:r>
      <w:r w:rsidR="008E2133" w:rsidRPr="006663D5">
        <w:t>2018</w:t>
      </w:r>
      <w:r w:rsidR="00F36C27" w:rsidRPr="006663D5">
        <w:t>–</w:t>
      </w:r>
      <w:r w:rsidR="008E2133" w:rsidRPr="006663D5">
        <w:t xml:space="preserve">19 </w:t>
      </w:r>
      <w:r w:rsidR="00F36C27" w:rsidRPr="006663D5">
        <w:t>social procurement capability assessment</w:t>
      </w:r>
    </w:p>
    <w:p w14:paraId="06DD50B9" w14:textId="77777777" w:rsidR="008D124E" w:rsidRDefault="002255AC" w:rsidP="008E2133">
      <w:pPr>
        <w:pStyle w:val="ARbullet1"/>
      </w:pPr>
      <w:r>
        <w:t xml:space="preserve">completion of </w:t>
      </w:r>
      <w:r w:rsidR="008E2133" w:rsidRPr="006663D5">
        <w:t>2018</w:t>
      </w:r>
      <w:r w:rsidR="00F36C27" w:rsidRPr="006663D5">
        <w:t>–</w:t>
      </w:r>
      <w:r w:rsidR="008E2133" w:rsidRPr="006663D5">
        <w:t xml:space="preserve">19 </w:t>
      </w:r>
      <w:r w:rsidR="00F36C27" w:rsidRPr="006663D5">
        <w:t>social procurement strategy implementation plan</w:t>
      </w:r>
    </w:p>
    <w:p w14:paraId="40FEF6BF" w14:textId="74F8C653" w:rsidR="008E2133" w:rsidRPr="006663D5" w:rsidRDefault="00F36C27" w:rsidP="008E2133">
      <w:pPr>
        <w:pStyle w:val="ARbullet1"/>
      </w:pPr>
      <w:r w:rsidRPr="006663D5">
        <w:t>t</w:t>
      </w:r>
      <w:r w:rsidR="008E2133" w:rsidRPr="006663D5">
        <w:t xml:space="preserve">wo </w:t>
      </w:r>
      <w:r w:rsidRPr="006663D5">
        <w:t xml:space="preserve">social procurement forums </w:t>
      </w:r>
      <w:r w:rsidR="008E2133" w:rsidRPr="006663D5">
        <w:t>held</w:t>
      </w:r>
      <w:r w:rsidR="002255AC">
        <w:t>,</w:t>
      </w:r>
      <w:r w:rsidR="008E2133" w:rsidRPr="006663D5">
        <w:t xml:space="preserve"> each attended by over 100 staff</w:t>
      </w:r>
    </w:p>
    <w:p w14:paraId="104CD428" w14:textId="7C2C7892" w:rsidR="00BB1535" w:rsidRPr="006663D5" w:rsidRDefault="00F36C27" w:rsidP="00795B9B">
      <w:pPr>
        <w:pStyle w:val="ARbullet1"/>
        <w:rPr>
          <w:color w:val="004C97" w:themeColor="accent1"/>
          <w:sz w:val="28"/>
        </w:rPr>
      </w:pPr>
      <w:r w:rsidRPr="006663D5">
        <w:t>p</w:t>
      </w:r>
      <w:r w:rsidR="008E2133" w:rsidRPr="006663D5">
        <w:t xml:space="preserve">rocurement </w:t>
      </w:r>
      <w:r w:rsidRPr="006663D5">
        <w:t>p</w:t>
      </w:r>
      <w:r w:rsidR="008E2133" w:rsidRPr="006663D5">
        <w:t>olicies, processes, templates and</w:t>
      </w:r>
      <w:r w:rsidR="00F54DCB">
        <w:t> </w:t>
      </w:r>
      <w:r w:rsidR="008E2133" w:rsidRPr="006663D5">
        <w:t>contracts updated to encourage social procurement.</w:t>
      </w:r>
    </w:p>
    <w:p w14:paraId="6E73C30B" w14:textId="77777777" w:rsidR="00F36C27" w:rsidRPr="006663D5" w:rsidRDefault="00F36C27" w:rsidP="00BB1535">
      <w:pPr>
        <w:pStyle w:val="Heading3"/>
      </w:pPr>
      <w:r w:rsidRPr="006663D5">
        <w:t>Overall social procurement activities</w:t>
      </w:r>
    </w:p>
    <w:tbl>
      <w:tblPr>
        <w:tblStyle w:val="TableGrid"/>
        <w:tblW w:w="0" w:type="auto"/>
        <w:tblLook w:val="0620" w:firstRow="1" w:lastRow="0" w:firstColumn="0" w:lastColumn="0" w:noHBand="1" w:noVBand="1"/>
      </w:tblPr>
      <w:tblGrid>
        <w:gridCol w:w="2290"/>
        <w:gridCol w:w="2291"/>
      </w:tblGrid>
      <w:tr w:rsidR="00F36C27" w:rsidRPr="006663D5" w14:paraId="3E25DCEC" w14:textId="77777777" w:rsidTr="001B6146">
        <w:trPr>
          <w:cnfStyle w:val="100000000000" w:firstRow="1" w:lastRow="0" w:firstColumn="0" w:lastColumn="0" w:oddVBand="0" w:evenVBand="0" w:oddHBand="0" w:evenHBand="0" w:firstRowFirstColumn="0" w:firstRowLastColumn="0" w:lastRowFirstColumn="0" w:lastRowLastColumn="0"/>
          <w:tblHeader/>
        </w:trPr>
        <w:tc>
          <w:tcPr>
            <w:tcW w:w="2290" w:type="dxa"/>
          </w:tcPr>
          <w:p w14:paraId="6A0E65E5" w14:textId="77777777" w:rsidR="00F36C27" w:rsidRPr="006663D5" w:rsidRDefault="00F36C27" w:rsidP="00F36C27">
            <w:pPr>
              <w:pStyle w:val="ARtablecolheadright"/>
            </w:pPr>
            <w:r w:rsidRPr="006663D5">
              <w:t>Total amount spent with social benefit suppliers during the reporting period</w:t>
            </w:r>
          </w:p>
        </w:tc>
        <w:tc>
          <w:tcPr>
            <w:tcW w:w="2291" w:type="dxa"/>
          </w:tcPr>
          <w:p w14:paraId="4567E76B" w14:textId="77777777" w:rsidR="00F36C27" w:rsidRPr="006663D5" w:rsidRDefault="00F36C27" w:rsidP="00F36C27">
            <w:pPr>
              <w:pStyle w:val="ARtablecolheadright"/>
            </w:pPr>
            <w:r w:rsidRPr="006663D5">
              <w:t>Number of social benefit suppliers engaged during the reporting period</w:t>
            </w:r>
          </w:p>
        </w:tc>
      </w:tr>
      <w:tr w:rsidR="00F36C27" w:rsidRPr="006663D5" w14:paraId="48260951" w14:textId="77777777" w:rsidTr="001B6146">
        <w:tc>
          <w:tcPr>
            <w:tcW w:w="2290" w:type="dxa"/>
          </w:tcPr>
          <w:p w14:paraId="4D991689" w14:textId="77777777" w:rsidR="00F36C27" w:rsidRPr="006663D5" w:rsidRDefault="00F36C27" w:rsidP="00F36C27">
            <w:pPr>
              <w:pStyle w:val="ARtabletextright"/>
            </w:pPr>
            <w:r w:rsidRPr="006663D5">
              <w:t>$10,390,386.92</w:t>
            </w:r>
          </w:p>
        </w:tc>
        <w:tc>
          <w:tcPr>
            <w:tcW w:w="2291" w:type="dxa"/>
          </w:tcPr>
          <w:p w14:paraId="05026695" w14:textId="77777777" w:rsidR="00F36C27" w:rsidRPr="006663D5" w:rsidRDefault="00F36C27" w:rsidP="00F36C27">
            <w:pPr>
              <w:pStyle w:val="ARtabletextright"/>
            </w:pPr>
            <w:r w:rsidRPr="006663D5">
              <w:t>148</w:t>
            </w:r>
          </w:p>
        </w:tc>
      </w:tr>
    </w:tbl>
    <w:p w14:paraId="6F256917" w14:textId="77777777" w:rsidR="008D124E" w:rsidRDefault="00C03BE0" w:rsidP="00605E25">
      <w:pPr>
        <w:pStyle w:val="Heading3"/>
        <w:spacing w:before="0"/>
      </w:pPr>
      <w:r w:rsidRPr="006663D5">
        <w:br w:type="column"/>
      </w:r>
      <w:r w:rsidR="00F36C27" w:rsidRPr="006663D5">
        <w:t>Indirect procurement</w:t>
      </w:r>
    </w:p>
    <w:p w14:paraId="19D8271D" w14:textId="77777777" w:rsidR="008D124E" w:rsidRDefault="00F36C27" w:rsidP="00F36C27">
      <w:pPr>
        <w:pStyle w:val="ARbody"/>
      </w:pPr>
      <w:r w:rsidRPr="006663D5">
        <w:t>There were nil suppliers engaged by the department during the reporting period, which are not social benefit suppliers, that have made social procurement commitments in their procurement contracts.</w:t>
      </w:r>
    </w:p>
    <w:p w14:paraId="75AA5E72" w14:textId="5ACE249F" w:rsidR="00F36C27" w:rsidRPr="006663D5" w:rsidRDefault="00F36C27" w:rsidP="00F36C27">
      <w:pPr>
        <w:pStyle w:val="ARbody"/>
      </w:pPr>
      <w:r w:rsidRPr="006663D5">
        <w:t>Social procurement was included as part of the</w:t>
      </w:r>
      <w:r w:rsidR="00F604F4">
        <w:t> </w:t>
      </w:r>
      <w:r w:rsidRPr="006663D5">
        <w:t xml:space="preserve">procurement planning process during the </w:t>
      </w:r>
      <w:r w:rsidR="00F604F4">
        <w:br/>
      </w:r>
      <w:r w:rsidRPr="006663D5">
        <w:t>2018–19 year which will see an increase in social procurement commitments from non-social benefit suppliers in 2019–20 reporting period.</w:t>
      </w:r>
    </w:p>
    <w:p w14:paraId="23F63699" w14:textId="77777777" w:rsidR="00F36C27" w:rsidRPr="006663D5" w:rsidRDefault="00F36C27" w:rsidP="00F36C27">
      <w:pPr>
        <w:pStyle w:val="Heading3"/>
        <w:sectPr w:rsidR="00F36C27" w:rsidRPr="006663D5" w:rsidSect="00C44B80">
          <w:pgSz w:w="11906" w:h="16838"/>
          <w:pgMar w:top="1985" w:right="851" w:bottom="851" w:left="1418" w:header="510" w:footer="340" w:gutter="0"/>
          <w:cols w:num="2" w:space="454"/>
          <w:docGrid w:linePitch="360"/>
        </w:sectPr>
      </w:pPr>
    </w:p>
    <w:p w14:paraId="379956BC" w14:textId="511A6DDA" w:rsidR="00F36C27" w:rsidRPr="006663D5" w:rsidRDefault="00E75AD3" w:rsidP="00581272">
      <w:pPr>
        <w:pStyle w:val="ARtablecaption"/>
      </w:pPr>
      <w:r w:rsidRPr="006663D5">
        <w:t>Reporting against 2018–19 specified metrics</w:t>
      </w:r>
    </w:p>
    <w:tbl>
      <w:tblPr>
        <w:tblStyle w:val="TableGrid"/>
        <w:tblW w:w="9639" w:type="dxa"/>
        <w:tblLook w:val="04A0" w:firstRow="1" w:lastRow="0" w:firstColumn="1" w:lastColumn="0" w:noHBand="0" w:noVBand="1"/>
      </w:tblPr>
      <w:tblGrid>
        <w:gridCol w:w="2154"/>
        <w:gridCol w:w="3742"/>
        <w:gridCol w:w="3743"/>
      </w:tblGrid>
      <w:tr w:rsidR="00245ED9" w:rsidRPr="006663D5" w14:paraId="2CB9AB8C" w14:textId="77777777" w:rsidTr="000C7D64">
        <w:trPr>
          <w:cnfStyle w:val="100000000000" w:firstRow="1" w:lastRow="0" w:firstColumn="0" w:lastColumn="0" w:oddVBand="0" w:evenVBand="0" w:oddHBand="0" w:evenHBand="0" w:firstRowFirstColumn="0" w:firstRowLastColumn="0" w:lastRowFirstColumn="0" w:lastRowLastColumn="0"/>
          <w:trHeight w:val="393"/>
          <w:tblHeader/>
        </w:trPr>
        <w:tc>
          <w:tcPr>
            <w:tcW w:w="2122" w:type="dxa"/>
          </w:tcPr>
          <w:p w14:paraId="10A14B42" w14:textId="77777777" w:rsidR="00245ED9" w:rsidRPr="006663D5" w:rsidRDefault="00245ED9" w:rsidP="00FE0F9B">
            <w:pPr>
              <w:pStyle w:val="ARtabletext"/>
              <w:rPr>
                <w:lang w:val="en-US"/>
              </w:rPr>
            </w:pPr>
            <w:r w:rsidRPr="006663D5">
              <w:rPr>
                <w:b/>
                <w:lang w:val="en-US"/>
              </w:rPr>
              <w:t>Social procurement framework</w:t>
            </w:r>
            <w:r w:rsidRPr="006663D5">
              <w:rPr>
                <w:lang w:val="en-US"/>
              </w:rPr>
              <w:t xml:space="preserve"> </w:t>
            </w:r>
            <w:r w:rsidRPr="006663D5">
              <w:rPr>
                <w:b/>
                <w:lang w:val="en-US"/>
              </w:rPr>
              <w:t>objective</w:t>
            </w:r>
          </w:p>
        </w:tc>
        <w:tc>
          <w:tcPr>
            <w:tcW w:w="3685" w:type="dxa"/>
          </w:tcPr>
          <w:p w14:paraId="16D0D81B" w14:textId="77777777" w:rsidR="00245ED9" w:rsidRPr="006663D5" w:rsidRDefault="00245ED9" w:rsidP="00FE0F9B">
            <w:pPr>
              <w:pStyle w:val="ARtabletext"/>
              <w:rPr>
                <w:lang w:val="en-US"/>
              </w:rPr>
            </w:pPr>
            <w:r w:rsidRPr="006663D5">
              <w:rPr>
                <w:b/>
                <w:lang w:val="en-US"/>
              </w:rPr>
              <w:t>Outcome</w:t>
            </w:r>
          </w:p>
        </w:tc>
        <w:tc>
          <w:tcPr>
            <w:tcW w:w="3686" w:type="dxa"/>
          </w:tcPr>
          <w:p w14:paraId="64FF2EF7" w14:textId="77777777" w:rsidR="00245ED9" w:rsidRPr="006663D5" w:rsidRDefault="00245ED9" w:rsidP="00FE0F9B">
            <w:pPr>
              <w:pStyle w:val="ARtabletext"/>
              <w:rPr>
                <w:lang w:val="en-US"/>
              </w:rPr>
            </w:pPr>
            <w:r w:rsidRPr="006663D5">
              <w:rPr>
                <w:b/>
                <w:lang w:val="en-US"/>
              </w:rPr>
              <w:t>Metric</w:t>
            </w:r>
          </w:p>
        </w:tc>
      </w:tr>
      <w:tr w:rsidR="00245ED9" w:rsidRPr="006663D5" w14:paraId="6C986D3A" w14:textId="77777777" w:rsidTr="000C7D64">
        <w:trPr>
          <w:trHeight w:val="898"/>
        </w:trPr>
        <w:tc>
          <w:tcPr>
            <w:tcW w:w="2122" w:type="dxa"/>
          </w:tcPr>
          <w:p w14:paraId="69F6F053" w14:textId="77777777" w:rsidR="00F36C27" w:rsidRPr="006663D5" w:rsidRDefault="00F36C27" w:rsidP="00FE0F9B">
            <w:pPr>
              <w:pStyle w:val="ARtabletext"/>
              <w:rPr>
                <w:lang w:val="en-US"/>
              </w:rPr>
            </w:pPr>
            <w:r w:rsidRPr="006663D5">
              <w:rPr>
                <w:lang w:val="en-US"/>
              </w:rPr>
              <w:t>Opportunities for Victorian Aboriginal people</w:t>
            </w:r>
          </w:p>
        </w:tc>
        <w:tc>
          <w:tcPr>
            <w:tcW w:w="3685" w:type="dxa"/>
          </w:tcPr>
          <w:p w14:paraId="416E9185" w14:textId="77777777" w:rsidR="00F36C27" w:rsidRPr="006663D5" w:rsidRDefault="00F36C27" w:rsidP="00FE0F9B">
            <w:pPr>
              <w:pStyle w:val="ARtabletext"/>
              <w:rPr>
                <w:lang w:val="en-US"/>
              </w:rPr>
            </w:pPr>
            <w:r w:rsidRPr="006663D5">
              <w:rPr>
                <w:lang w:val="en-US"/>
              </w:rPr>
              <w:t>Purchasing from Victorian Aboriginal businesses</w:t>
            </w:r>
          </w:p>
        </w:tc>
        <w:tc>
          <w:tcPr>
            <w:tcW w:w="3686" w:type="dxa"/>
          </w:tcPr>
          <w:p w14:paraId="49D16E56" w14:textId="77777777" w:rsidR="00F36C27" w:rsidRPr="006663D5" w:rsidRDefault="00F36C27" w:rsidP="00764F08">
            <w:pPr>
              <w:pStyle w:val="ARtablebullet1"/>
              <w:rPr>
                <w:lang w:val="en-US"/>
              </w:rPr>
            </w:pPr>
            <w:r w:rsidRPr="006663D5">
              <w:rPr>
                <w:lang w:val="en-US"/>
              </w:rPr>
              <w:t>$3,727,770 spent with Victorian Aboriginal suppliers</w:t>
            </w:r>
          </w:p>
          <w:p w14:paraId="0282BCFA" w14:textId="77777777" w:rsidR="00F36C27" w:rsidRPr="006663D5" w:rsidRDefault="00F36C27" w:rsidP="00764F08">
            <w:pPr>
              <w:pStyle w:val="ARtablebullet1"/>
              <w:rPr>
                <w:lang w:val="en-US"/>
              </w:rPr>
            </w:pPr>
            <w:r w:rsidRPr="006663D5">
              <w:rPr>
                <w:lang w:val="en-US"/>
              </w:rPr>
              <w:t>38 Victorian Aboriginal suppliers engaged</w:t>
            </w:r>
            <w:r w:rsidRPr="006663D5" w:rsidDel="00B44593">
              <w:rPr>
                <w:lang w:val="en-US"/>
              </w:rPr>
              <w:t xml:space="preserve"> </w:t>
            </w:r>
          </w:p>
        </w:tc>
      </w:tr>
      <w:tr w:rsidR="00245ED9" w:rsidRPr="006663D5" w14:paraId="4D37D7EF" w14:textId="77777777" w:rsidTr="000C7D64">
        <w:trPr>
          <w:trHeight w:val="1423"/>
        </w:trPr>
        <w:tc>
          <w:tcPr>
            <w:tcW w:w="2122" w:type="dxa"/>
          </w:tcPr>
          <w:p w14:paraId="2EA342EF" w14:textId="77777777" w:rsidR="00F36C27" w:rsidRPr="006663D5" w:rsidRDefault="00F36C27" w:rsidP="00FE0F9B">
            <w:pPr>
              <w:pStyle w:val="ARtabletext"/>
              <w:rPr>
                <w:lang w:val="en-US"/>
              </w:rPr>
            </w:pPr>
            <w:r w:rsidRPr="006663D5">
              <w:rPr>
                <w:lang w:val="en-US"/>
              </w:rPr>
              <w:t>Opportunities for Victorians with disability</w:t>
            </w:r>
          </w:p>
        </w:tc>
        <w:tc>
          <w:tcPr>
            <w:tcW w:w="3685" w:type="dxa"/>
          </w:tcPr>
          <w:p w14:paraId="484B94C7" w14:textId="77777777" w:rsidR="00F36C27" w:rsidRPr="006663D5" w:rsidRDefault="00F36C27" w:rsidP="00FE0F9B">
            <w:pPr>
              <w:pStyle w:val="ARtabletext"/>
              <w:rPr>
                <w:lang w:val="en-US"/>
              </w:rPr>
            </w:pPr>
            <w:r w:rsidRPr="006663D5">
              <w:rPr>
                <w:lang w:val="en-US"/>
              </w:rPr>
              <w:t>Purchasing from Victorian social enterprises</w:t>
            </w:r>
            <w:r w:rsidR="003B0DE2" w:rsidRPr="003B0DE2">
              <w:rPr>
                <w:vertAlign w:val="superscript"/>
                <w:lang w:val="en-US"/>
              </w:rPr>
              <w:t>1</w:t>
            </w:r>
            <w:r w:rsidRPr="006663D5">
              <w:rPr>
                <w:lang w:val="en-US"/>
              </w:rPr>
              <w:t xml:space="preserve"> and Australian </w:t>
            </w:r>
            <w:r w:rsidR="009E50B2" w:rsidRPr="006663D5">
              <w:rPr>
                <w:lang w:val="en-US"/>
              </w:rPr>
              <w:t>d</w:t>
            </w:r>
            <w:r w:rsidRPr="006663D5">
              <w:rPr>
                <w:lang w:val="en-US"/>
              </w:rPr>
              <w:t xml:space="preserve">isability </w:t>
            </w:r>
            <w:r w:rsidR="009E50B2" w:rsidRPr="006663D5">
              <w:rPr>
                <w:lang w:val="en-US"/>
              </w:rPr>
              <w:t>e</w:t>
            </w:r>
            <w:r w:rsidRPr="006663D5">
              <w:rPr>
                <w:lang w:val="en-US"/>
              </w:rPr>
              <w:t>nterprises</w:t>
            </w:r>
          </w:p>
        </w:tc>
        <w:tc>
          <w:tcPr>
            <w:tcW w:w="3686" w:type="dxa"/>
          </w:tcPr>
          <w:p w14:paraId="16977AD9" w14:textId="77777777" w:rsidR="00F36C27" w:rsidRPr="006663D5" w:rsidRDefault="00F36C27" w:rsidP="00764F08">
            <w:pPr>
              <w:pStyle w:val="ARtablebullet1"/>
              <w:rPr>
                <w:lang w:val="en-US"/>
              </w:rPr>
            </w:pPr>
            <w:r w:rsidRPr="006663D5">
              <w:rPr>
                <w:lang w:val="en-US"/>
              </w:rPr>
              <w:t>$1,157,840 spent with Victorian social enterprises led by a mission for people with disability and Australian Disability Enterprises (ADEs)</w:t>
            </w:r>
          </w:p>
          <w:p w14:paraId="4C50A788" w14:textId="77777777" w:rsidR="00F36C27" w:rsidRPr="006663D5" w:rsidRDefault="00F36C27" w:rsidP="00764F08">
            <w:pPr>
              <w:pStyle w:val="ARtablebullet1"/>
              <w:rPr>
                <w:lang w:val="en-US"/>
              </w:rPr>
            </w:pPr>
            <w:r w:rsidRPr="006663D5">
              <w:rPr>
                <w:lang w:val="en-US"/>
              </w:rPr>
              <w:t xml:space="preserve">30 Victorian social enterprises led by a mission for people with disability and </w:t>
            </w:r>
            <w:r w:rsidR="009E50B2" w:rsidRPr="006663D5">
              <w:rPr>
                <w:lang w:val="en-US"/>
              </w:rPr>
              <w:t>Australian Disability Enterprises</w:t>
            </w:r>
            <w:r w:rsidRPr="006663D5">
              <w:rPr>
                <w:lang w:val="en-US"/>
              </w:rPr>
              <w:t xml:space="preserve"> engaged</w:t>
            </w:r>
          </w:p>
        </w:tc>
      </w:tr>
      <w:tr w:rsidR="00245ED9" w:rsidRPr="006663D5" w14:paraId="3489E461" w14:textId="77777777" w:rsidTr="000C7D64">
        <w:trPr>
          <w:trHeight w:val="2517"/>
        </w:trPr>
        <w:tc>
          <w:tcPr>
            <w:tcW w:w="2122" w:type="dxa"/>
          </w:tcPr>
          <w:p w14:paraId="7263C942" w14:textId="77777777" w:rsidR="00F36C27" w:rsidRPr="006663D5" w:rsidRDefault="00F36C27" w:rsidP="00FE0F9B">
            <w:pPr>
              <w:pStyle w:val="ARtabletext"/>
              <w:rPr>
                <w:lang w:val="en-US"/>
              </w:rPr>
            </w:pPr>
            <w:r w:rsidRPr="006663D5">
              <w:rPr>
                <w:lang w:val="en-US"/>
              </w:rPr>
              <w:t xml:space="preserve">Opportunities for disadvantaged </w:t>
            </w:r>
            <w:r w:rsidR="006354F5" w:rsidRPr="006663D5">
              <w:rPr>
                <w:lang w:val="en-US"/>
              </w:rPr>
              <w:t>Victorians</w:t>
            </w:r>
          </w:p>
        </w:tc>
        <w:tc>
          <w:tcPr>
            <w:tcW w:w="3685" w:type="dxa"/>
          </w:tcPr>
          <w:p w14:paraId="792CD638" w14:textId="77777777" w:rsidR="00F36C27" w:rsidRPr="006663D5" w:rsidRDefault="00F36C27" w:rsidP="00FE0F9B">
            <w:pPr>
              <w:pStyle w:val="ARtabletext"/>
              <w:rPr>
                <w:lang w:val="en-US"/>
              </w:rPr>
            </w:pPr>
            <w:bookmarkStart w:id="195" w:name="_Hlk18498016"/>
            <w:r w:rsidRPr="006663D5">
              <w:rPr>
                <w:lang w:val="en-US"/>
              </w:rPr>
              <w:t>Purchasing from Victorian social enterprises</w:t>
            </w:r>
            <w:r w:rsidR="001E49B2" w:rsidRPr="001E49B2">
              <w:rPr>
                <w:vertAlign w:val="superscript"/>
                <w:lang w:val="en-US"/>
              </w:rPr>
              <w:t>2</w:t>
            </w:r>
            <w:r w:rsidRPr="006663D5">
              <w:rPr>
                <w:lang w:val="en-US"/>
              </w:rPr>
              <w:t xml:space="preserve"> providing job readiness and employment for one of the following:</w:t>
            </w:r>
          </w:p>
          <w:p w14:paraId="48231C40" w14:textId="77777777" w:rsidR="00F36C27" w:rsidRPr="006663D5" w:rsidRDefault="00F36C27" w:rsidP="00764F08">
            <w:pPr>
              <w:pStyle w:val="ARtablebullet1"/>
              <w:rPr>
                <w:lang w:val="en-US"/>
              </w:rPr>
            </w:pPr>
            <w:r w:rsidRPr="006663D5">
              <w:rPr>
                <w:lang w:val="en-US"/>
              </w:rPr>
              <w:t>long-term unemployed people</w:t>
            </w:r>
          </w:p>
          <w:p w14:paraId="05FFB179" w14:textId="77777777" w:rsidR="00F36C27" w:rsidRPr="006663D5" w:rsidRDefault="00F36C27" w:rsidP="00764F08">
            <w:pPr>
              <w:pStyle w:val="ARtablebullet1"/>
              <w:rPr>
                <w:lang w:val="en-US"/>
              </w:rPr>
            </w:pPr>
            <w:r w:rsidRPr="006663D5">
              <w:rPr>
                <w:lang w:val="en-US"/>
              </w:rPr>
              <w:t>disengaged youth</w:t>
            </w:r>
          </w:p>
          <w:p w14:paraId="3D4829DA" w14:textId="77777777" w:rsidR="00F36C27" w:rsidRPr="006663D5" w:rsidRDefault="00F36C27" w:rsidP="00764F08">
            <w:pPr>
              <w:pStyle w:val="ARtablebullet1"/>
              <w:rPr>
                <w:lang w:val="en-US"/>
              </w:rPr>
            </w:pPr>
            <w:r w:rsidRPr="006663D5">
              <w:rPr>
                <w:lang w:val="en-US"/>
              </w:rPr>
              <w:t>single parents</w:t>
            </w:r>
          </w:p>
          <w:p w14:paraId="147A6132" w14:textId="77777777" w:rsidR="00F36C27" w:rsidRPr="006663D5" w:rsidRDefault="00F36C27" w:rsidP="00764F08">
            <w:pPr>
              <w:pStyle w:val="ARtablebullet1"/>
              <w:rPr>
                <w:lang w:val="en-US"/>
              </w:rPr>
            </w:pPr>
            <w:r w:rsidRPr="006663D5">
              <w:rPr>
                <w:lang w:val="en-US"/>
              </w:rPr>
              <w:t>migrants</w:t>
            </w:r>
          </w:p>
          <w:p w14:paraId="35EF7C34" w14:textId="77777777" w:rsidR="00F36C27" w:rsidRPr="006663D5" w:rsidRDefault="00F36C27" w:rsidP="00764F08">
            <w:pPr>
              <w:pStyle w:val="ARtablebullet1"/>
              <w:rPr>
                <w:lang w:val="en-US"/>
              </w:rPr>
            </w:pPr>
            <w:r w:rsidRPr="006663D5">
              <w:rPr>
                <w:lang w:val="en-US"/>
              </w:rPr>
              <w:t>refugees and asylum seekers</w:t>
            </w:r>
          </w:p>
          <w:p w14:paraId="3F7CA3D8" w14:textId="77777777" w:rsidR="00F36C27" w:rsidRPr="006663D5" w:rsidRDefault="00F36C27" w:rsidP="00764F08">
            <w:pPr>
              <w:pStyle w:val="ARtablebullet1"/>
              <w:rPr>
                <w:lang w:val="en-US"/>
              </w:rPr>
            </w:pPr>
            <w:r w:rsidRPr="006663D5">
              <w:rPr>
                <w:lang w:val="en-US"/>
              </w:rPr>
              <w:t>workers in transition</w:t>
            </w:r>
            <w:bookmarkEnd w:id="195"/>
          </w:p>
        </w:tc>
        <w:tc>
          <w:tcPr>
            <w:tcW w:w="3686" w:type="dxa"/>
          </w:tcPr>
          <w:p w14:paraId="2BA65DDA" w14:textId="77777777" w:rsidR="00F36C27" w:rsidRPr="006663D5" w:rsidRDefault="00F36C27" w:rsidP="00764F08">
            <w:pPr>
              <w:pStyle w:val="ARtablebullet1"/>
              <w:rPr>
                <w:lang w:val="en-US"/>
              </w:rPr>
            </w:pPr>
            <w:r w:rsidRPr="006663D5">
              <w:rPr>
                <w:lang w:val="en-US"/>
              </w:rPr>
              <w:t>$1,878,650 spent with Victorian social enterprises led by a mission for the disadvantaged</w:t>
            </w:r>
            <w:r w:rsidR="003B0DE2" w:rsidRPr="003B0DE2">
              <w:rPr>
                <w:vertAlign w:val="superscript"/>
                <w:lang w:val="en-US"/>
              </w:rPr>
              <w:t>2</w:t>
            </w:r>
          </w:p>
          <w:p w14:paraId="286B3981" w14:textId="77777777" w:rsidR="00F36C27" w:rsidRPr="006663D5" w:rsidRDefault="00F36C27" w:rsidP="00764F08">
            <w:pPr>
              <w:pStyle w:val="ARtablebullet1"/>
              <w:rPr>
                <w:lang w:val="en-US"/>
              </w:rPr>
            </w:pPr>
            <w:r w:rsidRPr="006663D5">
              <w:rPr>
                <w:lang w:val="en-US"/>
              </w:rPr>
              <w:t>29 Victorian social enterprises led by a mission for the disadvantaged</w:t>
            </w:r>
            <w:r w:rsidR="003B0DE2" w:rsidRPr="003B0DE2">
              <w:rPr>
                <w:vertAlign w:val="superscript"/>
                <w:lang w:val="en-US"/>
              </w:rPr>
              <w:t>2</w:t>
            </w:r>
            <w:r w:rsidRPr="006663D5">
              <w:rPr>
                <w:lang w:val="en-US"/>
              </w:rPr>
              <w:t xml:space="preserve"> engaged</w:t>
            </w:r>
          </w:p>
        </w:tc>
      </w:tr>
      <w:tr w:rsidR="00245ED9" w:rsidRPr="00F60515" w14:paraId="08145B5B" w14:textId="77777777" w:rsidTr="000C7D64">
        <w:trPr>
          <w:trHeight w:val="1050"/>
        </w:trPr>
        <w:tc>
          <w:tcPr>
            <w:tcW w:w="2122" w:type="dxa"/>
          </w:tcPr>
          <w:p w14:paraId="290B20E6" w14:textId="77777777" w:rsidR="00F36C27" w:rsidRPr="006663D5" w:rsidRDefault="00E75AD3" w:rsidP="00FE0F9B">
            <w:pPr>
              <w:pStyle w:val="ARtabletext"/>
              <w:rPr>
                <w:lang w:val="en-US"/>
              </w:rPr>
            </w:pPr>
            <w:r w:rsidRPr="006663D5">
              <w:rPr>
                <w:lang w:val="en-US"/>
              </w:rPr>
              <w:t>Sustainable Victorian social enterprises and Aboriginal business sectors</w:t>
            </w:r>
          </w:p>
        </w:tc>
        <w:tc>
          <w:tcPr>
            <w:tcW w:w="3685" w:type="dxa"/>
          </w:tcPr>
          <w:p w14:paraId="2AF9F238" w14:textId="77777777" w:rsidR="00F36C27" w:rsidRPr="006663D5" w:rsidRDefault="00F36C27" w:rsidP="00FE0F9B">
            <w:pPr>
              <w:pStyle w:val="ARtabletext"/>
              <w:rPr>
                <w:lang w:val="en-US"/>
              </w:rPr>
            </w:pPr>
            <w:r w:rsidRPr="006663D5">
              <w:rPr>
                <w:lang w:val="en-US"/>
              </w:rPr>
              <w:t>Purchasing from Victorian social enterprises and Aboriginal businesses</w:t>
            </w:r>
          </w:p>
        </w:tc>
        <w:tc>
          <w:tcPr>
            <w:tcW w:w="3686" w:type="dxa"/>
          </w:tcPr>
          <w:p w14:paraId="51CE1FF1" w14:textId="77777777" w:rsidR="00F36C27" w:rsidRPr="006663D5" w:rsidRDefault="00F36C27" w:rsidP="00764F08">
            <w:pPr>
              <w:pStyle w:val="ARtablebullet1"/>
            </w:pPr>
            <w:r w:rsidRPr="006663D5">
              <w:t>$3,727,770 spent with Victorian Aboriginal suppliers</w:t>
            </w:r>
          </w:p>
          <w:p w14:paraId="734E3FD1" w14:textId="77777777" w:rsidR="008D124E" w:rsidRDefault="00F36C27" w:rsidP="00764F08">
            <w:pPr>
              <w:pStyle w:val="ARtablebullet1"/>
            </w:pPr>
            <w:r w:rsidRPr="006663D5">
              <w:t>38 Victorian Aboriginal suppliers engaged</w:t>
            </w:r>
          </w:p>
          <w:p w14:paraId="482C4CCE" w14:textId="14614985" w:rsidR="00F36C27" w:rsidRPr="006663D5" w:rsidRDefault="00F36C27" w:rsidP="00764F08">
            <w:pPr>
              <w:pStyle w:val="ARtablebullet1"/>
            </w:pPr>
            <w:r w:rsidRPr="006663D5">
              <w:t>$6,585,760 spent with Victorian social enterprises</w:t>
            </w:r>
            <w:r w:rsidR="003B0DE2">
              <w:rPr>
                <w:rStyle w:val="FootnoteReference"/>
              </w:rPr>
              <w:t>3</w:t>
            </w:r>
          </w:p>
          <w:p w14:paraId="668B4649" w14:textId="77777777" w:rsidR="00F36C27" w:rsidRPr="006663D5" w:rsidRDefault="00F36C27" w:rsidP="00764F08">
            <w:pPr>
              <w:pStyle w:val="ARtablebullet1"/>
            </w:pPr>
            <w:r w:rsidRPr="006663D5">
              <w:t>101 Victorian social enterprises</w:t>
            </w:r>
            <w:r w:rsidR="00592010">
              <w:rPr>
                <w:vertAlign w:val="superscript"/>
              </w:rPr>
              <w:t>3</w:t>
            </w:r>
            <w:r w:rsidRPr="006663D5">
              <w:t xml:space="preserve"> engaged</w:t>
            </w:r>
          </w:p>
        </w:tc>
      </w:tr>
    </w:tbl>
    <w:p w14:paraId="100156B4" w14:textId="421B0F59" w:rsidR="003B0DE2" w:rsidRDefault="003B0DE2" w:rsidP="00B33865">
      <w:pPr>
        <w:pStyle w:val="ARtablefootnotenumbered"/>
        <w:numPr>
          <w:ilvl w:val="0"/>
          <w:numId w:val="45"/>
        </w:numPr>
      </w:pPr>
      <w:r w:rsidRPr="003B0DE2">
        <w:t>A Victorian Aboriginal business must be at least 50 per cent Aboriginal and/or Torres Strait Islander owned, undertaking commercial activity, and operates and has business premises in Victoria.</w:t>
      </w:r>
    </w:p>
    <w:p w14:paraId="1E67E40D" w14:textId="1EE6DACF" w:rsidR="003B0DE2" w:rsidRDefault="003B0DE2" w:rsidP="00B33865">
      <w:pPr>
        <w:pStyle w:val="ARtablefootnotenumbered"/>
      </w:pPr>
      <w:r>
        <w:t>Victorian social enterprises led by a mission for at least one of five disadvantaged cohorts (long-term unemployed people, disengaged youth, single parents, migrants, refugees and asylum seekers, and workers in transition).</w:t>
      </w:r>
    </w:p>
    <w:bookmarkEnd w:id="194"/>
    <w:p w14:paraId="12A48418" w14:textId="77C480A0" w:rsidR="00F36C27" w:rsidRDefault="003B0DE2" w:rsidP="00B33865">
      <w:pPr>
        <w:pStyle w:val="ARtablefootnotenumbered"/>
      </w:pPr>
      <w:r w:rsidRPr="003B0DE2">
        <w:t>All types of Victorian social enterprises verified by Social Traders or listed on the Map for Impact, excluding social enterprises that are also Victorian Aboriginal businesses.</w:t>
      </w:r>
    </w:p>
    <w:p w14:paraId="4C6C3721" w14:textId="77777777" w:rsidR="003B0DE2" w:rsidRDefault="003B0DE2" w:rsidP="003B0DE2">
      <w:pPr>
        <w:pStyle w:val="ARtablefootnote"/>
      </w:pPr>
    </w:p>
    <w:p w14:paraId="6E8BBF7B" w14:textId="77777777" w:rsidR="003B0DE2" w:rsidRPr="003B0DE2" w:rsidRDefault="003B0DE2" w:rsidP="003B0DE2">
      <w:pPr>
        <w:pStyle w:val="ARbody"/>
        <w:sectPr w:rsidR="003B0DE2" w:rsidRPr="003B0DE2" w:rsidSect="00F36C27">
          <w:type w:val="continuous"/>
          <w:pgSz w:w="11906" w:h="16838"/>
          <w:pgMar w:top="1985" w:right="851" w:bottom="851" w:left="1418" w:header="510" w:footer="340" w:gutter="0"/>
          <w:cols w:space="454"/>
          <w:docGrid w:linePitch="360"/>
        </w:sectPr>
      </w:pPr>
    </w:p>
    <w:p w14:paraId="023DD15E" w14:textId="77777777" w:rsidR="00BB1535" w:rsidRPr="006663D5" w:rsidRDefault="00BB1535" w:rsidP="00BB1535">
      <w:pPr>
        <w:pStyle w:val="Heading2"/>
        <w:spacing w:before="0"/>
      </w:pPr>
      <w:r w:rsidRPr="006663D5">
        <w:t>Report of the Commissioner for Senior Victorians</w:t>
      </w:r>
    </w:p>
    <w:p w14:paraId="63D03A0D" w14:textId="284B6C2C" w:rsidR="008D124E" w:rsidRDefault="00BB1535" w:rsidP="00BB1535">
      <w:pPr>
        <w:pStyle w:val="ARbody"/>
      </w:pPr>
      <w:r w:rsidRPr="006663D5">
        <w:t>The Commissioner for Senior Victorians, Gerard Mansour, provides policy advice to the Victorian Government through the Minister for Housing, Disability</w:t>
      </w:r>
      <w:r w:rsidR="00E13A19">
        <w:t xml:space="preserve">, </w:t>
      </w:r>
      <w:r w:rsidRPr="006663D5">
        <w:t>Ageing</w:t>
      </w:r>
      <w:r w:rsidR="00E13A19">
        <w:t xml:space="preserve"> and Carers</w:t>
      </w:r>
      <w:r w:rsidRPr="006663D5">
        <w:t xml:space="preserve"> on key issues for senior Victorians such as prevention of elder abuse, end</w:t>
      </w:r>
      <w:r w:rsidR="000347A5">
        <w:t>-</w:t>
      </w:r>
      <w:r w:rsidRPr="006663D5">
        <w:t>of</w:t>
      </w:r>
      <w:r w:rsidR="000347A5">
        <w:t>-</w:t>
      </w:r>
      <w:r w:rsidRPr="006663D5">
        <w:t>life planning, multicultural and emerging communities, volunteering and carer</w:t>
      </w:r>
      <w:r w:rsidR="00F54DCB">
        <w:t> </w:t>
      </w:r>
      <w:r w:rsidRPr="006663D5">
        <w:t>needs.</w:t>
      </w:r>
    </w:p>
    <w:p w14:paraId="3FC309DF" w14:textId="6431C144" w:rsidR="00BB1535" w:rsidRPr="006663D5" w:rsidRDefault="00BB1535" w:rsidP="00BB1535">
      <w:pPr>
        <w:pStyle w:val="ARbody"/>
      </w:pPr>
      <w:r w:rsidRPr="006663D5">
        <w:t>Mr Mansour was reappointed to the role as Commissioner for a further four years in May 2019.</w:t>
      </w:r>
    </w:p>
    <w:p w14:paraId="385E929E" w14:textId="77777777" w:rsidR="00BB1535" w:rsidRPr="006663D5" w:rsidRDefault="00BB1535" w:rsidP="00BB1535">
      <w:pPr>
        <w:pStyle w:val="ARbody"/>
      </w:pPr>
      <w:r w:rsidRPr="006663D5">
        <w:t>The Commissioner regularly meets with the Minister for Disability, Ageing and Carers, the Minister for Prevention of Family Violence, the Parliamentary Secretary for Carers and Volunteers and senior</w:t>
      </w:r>
      <w:r w:rsidR="00A84429">
        <w:t xml:space="preserve"> departmental executives</w:t>
      </w:r>
      <w:r w:rsidRPr="006663D5">
        <w:t xml:space="preserve"> to discuss matters of interest and importance to older people.</w:t>
      </w:r>
    </w:p>
    <w:p w14:paraId="1F2B92BD" w14:textId="533F15E2" w:rsidR="00BB1535" w:rsidRPr="006663D5" w:rsidRDefault="00BB1535" w:rsidP="00BB1535">
      <w:pPr>
        <w:pStyle w:val="ARbody"/>
      </w:pPr>
      <w:r w:rsidRPr="006663D5">
        <w:t>The Commissioner has been actively involved in seeking the views of older people, carers and key community advocates to inform his submissions to the Commonwealth Royal Commission into Aged Care and the Victorian Royal Commission into Mental Health. He hosted consumer and carer workshops where participants were able to discuss</w:t>
      </w:r>
      <w:r w:rsidR="00F54DCB">
        <w:t> </w:t>
      </w:r>
      <w:r w:rsidRPr="006663D5">
        <w:t>their concerns and provide suggestions for</w:t>
      </w:r>
      <w:r w:rsidR="00F54DCB">
        <w:t> </w:t>
      </w:r>
      <w:r w:rsidRPr="006663D5">
        <w:t>improving care.</w:t>
      </w:r>
    </w:p>
    <w:p w14:paraId="65A9203E" w14:textId="38E19789" w:rsidR="00BB1535" w:rsidRPr="006663D5" w:rsidRDefault="00BB1535" w:rsidP="00BB1535">
      <w:pPr>
        <w:pStyle w:val="ARbody"/>
      </w:pPr>
      <w:r w:rsidRPr="006663D5">
        <w:t xml:space="preserve">He has continued to advocate for responses that address isolation and loneliness for older people, identified in his report </w:t>
      </w:r>
      <w:r w:rsidRPr="006663D5">
        <w:rPr>
          <w:i/>
        </w:rPr>
        <w:t>Ageing is everyone’s business: a report on isolation and loneliness among senior Victorians</w:t>
      </w:r>
      <w:r w:rsidRPr="006663D5">
        <w:t>. The Commissioner contributed to planning for the Strengthening Seniors Inclusion and Participation Communities of</w:t>
      </w:r>
      <w:r w:rsidR="00312439">
        <w:t> </w:t>
      </w:r>
      <w:r w:rsidRPr="006663D5">
        <w:t>Interest projects and participated in the information session for lesbian, gay, bisexual, transsexual and</w:t>
      </w:r>
      <w:r w:rsidR="00F54DCB">
        <w:t> </w:t>
      </w:r>
      <w:r w:rsidRPr="006663D5">
        <w:t>intersex stakeholders.</w:t>
      </w:r>
    </w:p>
    <w:p w14:paraId="2446E495" w14:textId="03E32CA9" w:rsidR="00BB1535" w:rsidRPr="006663D5" w:rsidRDefault="00BB1535" w:rsidP="00BB1535">
      <w:pPr>
        <w:pStyle w:val="ARbody"/>
      </w:pPr>
      <w:r w:rsidRPr="006663D5">
        <w:t>He was delighted to be able to attend the 2019 Midsumma Carnival</w:t>
      </w:r>
      <w:r w:rsidR="006A73CD">
        <w:t>,</w:t>
      </w:r>
      <w:r w:rsidRPr="006663D5">
        <w:t xml:space="preserve"> spending time on the Melbourne Health information booth and visiting other information stands. In response to an invitation from the Commissioner for Sexuality and Gender, Mr Mansour joined with other Victorian commissioners in the annual Pride March. He spoke about elder abuse prevention on JOY Melbourne radio during the lead up to World Elder</w:t>
      </w:r>
      <w:r w:rsidR="00F54DCB">
        <w:t> </w:t>
      </w:r>
      <w:r w:rsidRPr="006663D5">
        <w:t>Abuse Awareness Day.</w:t>
      </w:r>
    </w:p>
    <w:p w14:paraId="4EBBFDD9" w14:textId="77777777" w:rsidR="00BB1535" w:rsidRPr="006663D5" w:rsidRDefault="00BB1535" w:rsidP="00BB1535">
      <w:pPr>
        <w:pStyle w:val="ARbody"/>
      </w:pPr>
      <w:r w:rsidRPr="006663D5">
        <w:t xml:space="preserve">He met with older people from a range of diverse cultural communities and launched the Australian Unity Community </w:t>
      </w:r>
      <w:r w:rsidR="006A73CD">
        <w:t>P</w:t>
      </w:r>
      <w:r w:rsidR="006A73CD" w:rsidRPr="006663D5">
        <w:t xml:space="preserve">articipation </w:t>
      </w:r>
      <w:r w:rsidRPr="006663D5">
        <w:t xml:space="preserve">for </w:t>
      </w:r>
      <w:r w:rsidR="006A73CD">
        <w:t>S</w:t>
      </w:r>
      <w:r w:rsidR="006A73CD" w:rsidRPr="006663D5">
        <w:t xml:space="preserve">eniors </w:t>
      </w:r>
      <w:r w:rsidRPr="006663D5">
        <w:t xml:space="preserve">from </w:t>
      </w:r>
      <w:r w:rsidR="006A73CD">
        <w:t>E</w:t>
      </w:r>
      <w:r w:rsidR="006A73CD" w:rsidRPr="006663D5">
        <w:t xml:space="preserve">merging </w:t>
      </w:r>
      <w:r w:rsidR="006A73CD">
        <w:t>C</w:t>
      </w:r>
      <w:r w:rsidR="006A73CD" w:rsidRPr="006663D5">
        <w:t xml:space="preserve">ommunities </w:t>
      </w:r>
      <w:r w:rsidRPr="006663D5">
        <w:t>project.</w:t>
      </w:r>
    </w:p>
    <w:p w14:paraId="01424A2E" w14:textId="77777777" w:rsidR="008D124E" w:rsidRDefault="00BB1535" w:rsidP="00BB1535">
      <w:pPr>
        <w:pStyle w:val="ARbody"/>
      </w:pPr>
      <w:r w:rsidRPr="006663D5">
        <w:t>The Commissioner has actively liaised with many local organisations and has been involved in public and community education activities including more than 40 public forums and speaking engagements across Victoria.</w:t>
      </w:r>
      <w:r w:rsidR="008066A4" w:rsidRPr="006663D5">
        <w:t xml:space="preserve"> </w:t>
      </w:r>
      <w:r w:rsidRPr="006663D5">
        <w:t>Locations included Ararat, Ballarat, Bangholme, Creswick, Dandenong, Deepdene, Eltham, Geelong, Moonee Valley, Mornington, Morwell, Nunawading, Shepparton, Timboon, Torquay and Wangaratta.</w:t>
      </w:r>
    </w:p>
    <w:p w14:paraId="47EC0DDD" w14:textId="77777777" w:rsidR="00312439" w:rsidRDefault="00BB1535" w:rsidP="00BB1535">
      <w:pPr>
        <w:pStyle w:val="ARbody"/>
      </w:pPr>
      <w:r w:rsidRPr="006663D5">
        <w:t xml:space="preserve">Mr Mansour was invited to deliver the 2018 </w:t>
      </w:r>
      <w:r w:rsidR="006A73CD">
        <w:t>a</w:t>
      </w:r>
      <w:r w:rsidRPr="006663D5">
        <w:t>nnual</w:t>
      </w:r>
      <w:r w:rsidR="00F54DCB">
        <w:t> </w:t>
      </w:r>
      <w:r w:rsidRPr="006663D5">
        <w:t>oration at St Monica’s College Epping.</w:t>
      </w:r>
      <w:r w:rsidR="008066A4" w:rsidRPr="006663D5">
        <w:t xml:space="preserve"> </w:t>
      </w:r>
      <w:r w:rsidRPr="006663D5">
        <w:t>His</w:t>
      </w:r>
      <w:r w:rsidR="00F54DCB">
        <w:t> </w:t>
      </w:r>
      <w:r w:rsidRPr="006663D5">
        <w:t xml:space="preserve">presentation to a multigenerational audience focused on the theme </w:t>
      </w:r>
      <w:r w:rsidR="006A73CD">
        <w:t>‘</w:t>
      </w:r>
      <w:r w:rsidRPr="006663D5">
        <w:t>Do not be afraid</w:t>
      </w:r>
      <w:r w:rsidR="006A73CD">
        <w:t>’</w:t>
      </w:r>
      <w:r w:rsidRPr="006663D5">
        <w:t>.</w:t>
      </w:r>
      <w:r w:rsidR="008066A4" w:rsidRPr="006663D5">
        <w:t xml:space="preserve"> </w:t>
      </w:r>
      <w:r w:rsidRPr="006663D5">
        <w:t>The Commissioner outlined his views about what makes</w:t>
      </w:r>
      <w:r w:rsidR="00F54DCB">
        <w:t> </w:t>
      </w:r>
      <w:r w:rsidRPr="006663D5">
        <w:t>a happy and fulfilling life, the importance of maintaining strong social connections, including with those older people who are an important part of our lives.</w:t>
      </w:r>
    </w:p>
    <w:p w14:paraId="20C42D0C" w14:textId="417F339E" w:rsidR="00312439" w:rsidRDefault="00312439" w:rsidP="00BB1535">
      <w:pPr>
        <w:pStyle w:val="ARbody"/>
        <w:sectPr w:rsidR="00312439" w:rsidSect="00F36C27">
          <w:type w:val="continuous"/>
          <w:pgSz w:w="11906" w:h="16838"/>
          <w:pgMar w:top="1985" w:right="851" w:bottom="851" w:left="1418" w:header="510" w:footer="340" w:gutter="0"/>
          <w:cols w:num="2" w:space="454"/>
          <w:docGrid w:linePitch="360"/>
        </w:sectPr>
      </w:pPr>
    </w:p>
    <w:p w14:paraId="4B65CA4B" w14:textId="40489825" w:rsidR="00BB1535" w:rsidRPr="006663D5" w:rsidRDefault="00BB1535" w:rsidP="00BB1535">
      <w:pPr>
        <w:pStyle w:val="ARbody"/>
      </w:pPr>
      <w:r w:rsidRPr="006663D5">
        <w:t>The Commissioner speaks regularly on Golden Days Radio</w:t>
      </w:r>
      <w:r w:rsidR="008066A4" w:rsidRPr="006663D5">
        <w:t xml:space="preserve"> </w:t>
      </w:r>
      <w:r w:rsidRPr="006663D5">
        <w:t>and continues to engage with seniors through social media.</w:t>
      </w:r>
      <w:r w:rsidR="008066A4" w:rsidRPr="006663D5">
        <w:t xml:space="preserve"> </w:t>
      </w:r>
      <w:r w:rsidRPr="006663D5">
        <w:t>During 2018</w:t>
      </w:r>
      <w:r w:rsidR="006A73CD">
        <w:t>–</w:t>
      </w:r>
      <w:r w:rsidRPr="006663D5">
        <w:t>19, his Facebook audience ‘likes’ increased 55 per cent from 498 to 871 likes, with ‘follows’ increasing by</w:t>
      </w:r>
      <w:r w:rsidR="00F54DCB">
        <w:t> </w:t>
      </w:r>
      <w:r w:rsidRPr="006663D5">
        <w:t>64 per cent from 901 to 1</w:t>
      </w:r>
      <w:r w:rsidR="00C22E5A">
        <w:t>,</w:t>
      </w:r>
      <w:r w:rsidRPr="006663D5">
        <w:t>354 follows.</w:t>
      </w:r>
    </w:p>
    <w:p w14:paraId="1B0E6CE0" w14:textId="77777777" w:rsidR="00BB1535" w:rsidRPr="006663D5" w:rsidRDefault="00BB1535" w:rsidP="00BB1535">
      <w:pPr>
        <w:pStyle w:val="ARbody"/>
        <w:rPr>
          <w:i/>
        </w:rPr>
      </w:pPr>
      <w:r w:rsidRPr="006663D5">
        <w:t xml:space="preserve">The Commissioner was a member of the </w:t>
      </w:r>
      <w:r w:rsidRPr="009D144D">
        <w:rPr>
          <w:iCs/>
        </w:rPr>
        <w:t xml:space="preserve">Addressing the </w:t>
      </w:r>
      <w:r w:rsidR="006A73CD">
        <w:rPr>
          <w:iCs/>
        </w:rPr>
        <w:t>N</w:t>
      </w:r>
      <w:r w:rsidRPr="003218B5">
        <w:rPr>
          <w:iCs/>
        </w:rPr>
        <w:t xml:space="preserve">eeds of </w:t>
      </w:r>
      <w:r w:rsidR="006A73CD">
        <w:rPr>
          <w:iCs/>
        </w:rPr>
        <w:t>V</w:t>
      </w:r>
      <w:r w:rsidRPr="003218B5">
        <w:rPr>
          <w:iCs/>
        </w:rPr>
        <w:t xml:space="preserve">ulnerable </w:t>
      </w:r>
      <w:r w:rsidR="006A73CD">
        <w:rPr>
          <w:iCs/>
        </w:rPr>
        <w:t>P</w:t>
      </w:r>
      <w:r w:rsidRPr="003218B5">
        <w:rPr>
          <w:iCs/>
        </w:rPr>
        <w:t xml:space="preserve">ersons </w:t>
      </w:r>
      <w:r w:rsidR="006A73CD">
        <w:rPr>
          <w:iCs/>
        </w:rPr>
        <w:t>R</w:t>
      </w:r>
      <w:r w:rsidRPr="003218B5">
        <w:rPr>
          <w:iCs/>
        </w:rPr>
        <w:t xml:space="preserve">eference </w:t>
      </w:r>
      <w:r w:rsidR="006A73CD">
        <w:rPr>
          <w:iCs/>
        </w:rPr>
        <w:t>G</w:t>
      </w:r>
      <w:r w:rsidRPr="003218B5">
        <w:rPr>
          <w:iCs/>
        </w:rPr>
        <w:t>r</w:t>
      </w:r>
      <w:r w:rsidRPr="009D144D">
        <w:rPr>
          <w:iCs/>
        </w:rPr>
        <w:t>oup</w:t>
      </w:r>
      <w:r w:rsidRPr="006663D5">
        <w:rPr>
          <w:i/>
        </w:rPr>
        <w:t xml:space="preserve">. </w:t>
      </w:r>
      <w:r w:rsidRPr="006663D5">
        <w:t xml:space="preserve">He chairs the End of Life and Palliative Care Framework </w:t>
      </w:r>
      <w:r w:rsidR="006A73CD">
        <w:t>I</w:t>
      </w:r>
      <w:r w:rsidRPr="006663D5">
        <w:t xml:space="preserve">mplementation </w:t>
      </w:r>
      <w:r w:rsidR="006A73CD">
        <w:t>G</w:t>
      </w:r>
      <w:r w:rsidR="006A73CD" w:rsidRPr="006663D5">
        <w:t xml:space="preserve">roup </w:t>
      </w:r>
      <w:r w:rsidRPr="006663D5">
        <w:t xml:space="preserve">and is deputy chair of the Elder Abuse and Safeguarding Advisory Group. Other memberships include the Family Safety Victoria Diverse Communities and Intersectionality Working Group, where he contributed to the </w:t>
      </w:r>
      <w:r w:rsidRPr="006663D5">
        <w:rPr>
          <w:i/>
        </w:rPr>
        <w:t xml:space="preserve">Everybody </w:t>
      </w:r>
      <w:r w:rsidR="006A73CD">
        <w:rPr>
          <w:i/>
        </w:rPr>
        <w:t>m</w:t>
      </w:r>
      <w:r w:rsidR="006A73CD" w:rsidRPr="006663D5">
        <w:rPr>
          <w:i/>
        </w:rPr>
        <w:t>atters</w:t>
      </w:r>
      <w:r w:rsidR="006A73CD">
        <w:rPr>
          <w:i/>
        </w:rPr>
        <w:t>:</w:t>
      </w:r>
      <w:r w:rsidR="006A73CD" w:rsidRPr="006663D5">
        <w:rPr>
          <w:i/>
        </w:rPr>
        <w:t xml:space="preserve"> </w:t>
      </w:r>
      <w:r w:rsidRPr="006663D5">
        <w:rPr>
          <w:i/>
        </w:rPr>
        <w:t xml:space="preserve">inclusion and equity statement </w:t>
      </w:r>
      <w:r w:rsidRPr="006663D5">
        <w:t>and the Victoria Police Human Rights Strategic Advisory Committee.</w:t>
      </w:r>
    </w:p>
    <w:p w14:paraId="7A797740" w14:textId="26AAD16E" w:rsidR="008D124E" w:rsidRDefault="00BB1535" w:rsidP="00BB1535">
      <w:pPr>
        <w:pStyle w:val="ARbody"/>
      </w:pPr>
      <w:r w:rsidRPr="006663D5">
        <w:t>He chaired the selection panel for the 2018 Victorian Senior of the Year Awards and was a</w:t>
      </w:r>
      <w:r w:rsidR="00F54DCB">
        <w:t> </w:t>
      </w:r>
      <w:r w:rsidRPr="006663D5">
        <w:t>member of the selection panel for the 2018 Victorian Volunteer of the Year Awards.</w:t>
      </w:r>
    </w:p>
    <w:p w14:paraId="522B70F8" w14:textId="67246667" w:rsidR="00BB1535" w:rsidRPr="006663D5" w:rsidRDefault="00BB1535" w:rsidP="00BB1535">
      <w:pPr>
        <w:pStyle w:val="ARbody"/>
      </w:pPr>
      <w:r w:rsidRPr="006663D5">
        <w:t>The Commissioner attended regular meetings to discuss matters relevant to the participation of seniors and the rights of older people with Victorian Commissioners including the Victorian Equal Opportunities and Human Rights Commissioner, Disability Services Commissioner, Chairperson of the Victorian Multicultural Commission, Victorian Treaty Advancement Commissioner, Gender and Sexuality Commissioner and the Victorian Public Advocate.</w:t>
      </w:r>
    </w:p>
    <w:p w14:paraId="6799B7FA" w14:textId="36248C6C" w:rsidR="00BB1535" w:rsidRPr="006663D5" w:rsidRDefault="00BB1535" w:rsidP="00BB1535">
      <w:pPr>
        <w:pStyle w:val="ARbody"/>
      </w:pPr>
      <w:r w:rsidRPr="006663D5">
        <w:t>He has established key working relationships with a</w:t>
      </w:r>
      <w:r w:rsidR="00F54DCB">
        <w:t> </w:t>
      </w:r>
      <w:r w:rsidRPr="006663D5">
        <w:t>range of peak bodies supporting the interests of older people. These include COTA Victoria, the Ethnic Communities Council of Victoria, U3A Network Victoria, the Municipal Association of Victoria, Leading Age Services Australia and Aged and Community Services Australia. He also meets regularly with the Mental Health Complaints Commissioner and the Disability Commissioner to Commercial Passenger Vehicles Victoria and is member of the Commercial Passenger Vehicles Victoria Disability and Accessibility Forum 2019.</w:t>
      </w:r>
    </w:p>
    <w:p w14:paraId="0F33E284" w14:textId="7EA6BF53" w:rsidR="00BB1535" w:rsidRPr="006663D5" w:rsidRDefault="00DC405E" w:rsidP="00DC405E">
      <w:pPr>
        <w:pStyle w:val="Heading3"/>
        <w:spacing w:before="0"/>
        <w:rPr>
          <w:rFonts w:eastAsia="Times"/>
        </w:rPr>
      </w:pPr>
      <w:r>
        <w:br w:type="column"/>
      </w:r>
      <w:r w:rsidR="00BB1535" w:rsidRPr="006663D5">
        <w:t>Ambassador for Elder Abuse</w:t>
      </w:r>
      <w:r w:rsidR="000C7D64">
        <w:t> </w:t>
      </w:r>
      <w:r w:rsidR="00BB1535" w:rsidRPr="006663D5">
        <w:t>Prevention</w:t>
      </w:r>
    </w:p>
    <w:p w14:paraId="54859C9F" w14:textId="64E92839" w:rsidR="00BB1535" w:rsidRPr="006663D5" w:rsidRDefault="00BB1535" w:rsidP="00BB1535">
      <w:pPr>
        <w:pStyle w:val="ARbody"/>
      </w:pPr>
      <w:r w:rsidRPr="006663D5">
        <w:t xml:space="preserve">In his role as Ambassador for Elder Abuse Prevention, the Commissioner has actively educated older people about elder abuse prevention and has promoted </w:t>
      </w:r>
      <w:r w:rsidRPr="006663D5">
        <w:rPr>
          <w:i/>
        </w:rPr>
        <w:t>Your voice</w:t>
      </w:r>
      <w:r w:rsidR="003218B5">
        <w:rPr>
          <w:i/>
        </w:rPr>
        <w:t xml:space="preserve"> – T</w:t>
      </w:r>
      <w:r w:rsidRPr="006663D5">
        <w:rPr>
          <w:i/>
        </w:rPr>
        <w:t>rust your choice</w:t>
      </w:r>
      <w:r w:rsidR="00F54A56">
        <w:rPr>
          <w:i/>
        </w:rPr>
        <w:t>:</w:t>
      </w:r>
      <w:r w:rsidRPr="006663D5">
        <w:rPr>
          <w:i/>
        </w:rPr>
        <w:t xml:space="preserve"> </w:t>
      </w:r>
      <w:r w:rsidR="00F54A56">
        <w:rPr>
          <w:i/>
        </w:rPr>
        <w:t>t</w:t>
      </w:r>
      <w:r w:rsidRPr="006663D5">
        <w:rPr>
          <w:i/>
        </w:rPr>
        <w:t>ips for seniors making enduring powers of attorney</w:t>
      </w:r>
      <w:r w:rsidRPr="006663D5">
        <w:t xml:space="preserve"> to support older people making enduring powers of attorney</w:t>
      </w:r>
      <w:r w:rsidR="00C22E5A">
        <w:t>.</w:t>
      </w:r>
      <w:r w:rsidRPr="006663D5">
        <w:t xml:space="preserve"> The Commissioner was one of the invited speakers for the elder abuse</w:t>
      </w:r>
      <w:r w:rsidR="009E5469">
        <w:t xml:space="preserve"> </w:t>
      </w:r>
      <w:r w:rsidRPr="006663D5">
        <w:t>focused plenary session at the 2018 Australian Association of Gerontology Annual Conference and</w:t>
      </w:r>
      <w:r w:rsidR="00F54DCB">
        <w:t> </w:t>
      </w:r>
      <w:r w:rsidRPr="006663D5">
        <w:t>at the 10</w:t>
      </w:r>
      <w:r w:rsidRPr="006D2AEB">
        <w:t>th</w:t>
      </w:r>
      <w:r w:rsidRPr="006663D5">
        <w:t xml:space="preserve"> birthday celebrations of Seniors Rights Victoria.</w:t>
      </w:r>
    </w:p>
    <w:p w14:paraId="24D66238" w14:textId="588D7808" w:rsidR="00BB1535" w:rsidRPr="006663D5" w:rsidRDefault="00BB1535" w:rsidP="00BB1535">
      <w:pPr>
        <w:pStyle w:val="ARbody"/>
        <w:rPr>
          <w:iCs/>
        </w:rPr>
      </w:pPr>
      <w:r w:rsidRPr="006663D5">
        <w:t xml:space="preserve">Mr Mansour was highly sought after as a presenter at conferences and professional development forums. These included for members of the VCAT </w:t>
      </w:r>
      <w:r w:rsidRPr="006663D5">
        <w:rPr>
          <w:iCs/>
        </w:rPr>
        <w:t>Guardianship List and Human Rights list (a special event acknowledging Human Rights Day and the 70th Anniversary of the Declaration of Human Rights and presentations at the County Court Annual Conference and as part of the Judicial College Family Violence Program.</w:t>
      </w:r>
      <w:r w:rsidR="008066A4" w:rsidRPr="006663D5">
        <w:rPr>
          <w:iCs/>
        </w:rPr>
        <w:t xml:space="preserve"> </w:t>
      </w:r>
      <w:r w:rsidRPr="006663D5">
        <w:rPr>
          <w:iCs/>
        </w:rPr>
        <w:t xml:space="preserve">Mr Mansour provided information about older people’s experience of </w:t>
      </w:r>
      <w:r w:rsidRPr="006663D5">
        <w:t>elder abuse</w:t>
      </w:r>
      <w:r w:rsidRPr="006663D5">
        <w:rPr>
          <w:iCs/>
        </w:rPr>
        <w:t xml:space="preserve"> as part of a panel discussion at the 2018 Australian Association of</w:t>
      </w:r>
      <w:r w:rsidR="00F54DCB">
        <w:rPr>
          <w:iCs/>
        </w:rPr>
        <w:t> </w:t>
      </w:r>
      <w:r w:rsidRPr="006663D5">
        <w:rPr>
          <w:iCs/>
        </w:rPr>
        <w:t>Gerontology Annual Conference.</w:t>
      </w:r>
    </w:p>
    <w:p w14:paraId="69EE355E" w14:textId="2A39C488" w:rsidR="008D124E" w:rsidRDefault="00BB1535" w:rsidP="00BB1535">
      <w:pPr>
        <w:pStyle w:val="ARbody"/>
      </w:pPr>
      <w:r w:rsidRPr="006663D5">
        <w:t>The Commissioner has played a significant role</w:t>
      </w:r>
      <w:r w:rsidR="00F54DCB">
        <w:t> </w:t>
      </w:r>
      <w:r w:rsidRPr="006663D5">
        <w:t>supporting the integrated model of care for responding to suspected elder abuse trial and continues to be a requested speaker at meetings of</w:t>
      </w:r>
      <w:r w:rsidR="00F54DCB">
        <w:t> </w:t>
      </w:r>
      <w:r w:rsidRPr="006663D5">
        <w:t>local family violence and elder abuse prevention networks.</w:t>
      </w:r>
    </w:p>
    <w:p w14:paraId="67CF2A36" w14:textId="20E0C4E4" w:rsidR="00BB1535" w:rsidRPr="00331ABA" w:rsidRDefault="00BB1535" w:rsidP="00BB1535">
      <w:pPr>
        <w:pStyle w:val="ARbody"/>
      </w:pPr>
      <w:r w:rsidRPr="006663D5">
        <w:t xml:space="preserve">Victoria’s first elder abuse prevention campaign </w:t>
      </w:r>
      <w:r w:rsidRPr="00A5415F">
        <w:rPr>
          <w:iCs/>
        </w:rPr>
        <w:t xml:space="preserve">Respect </w:t>
      </w:r>
      <w:r w:rsidR="00C22E5A">
        <w:rPr>
          <w:iCs/>
        </w:rPr>
        <w:t>O</w:t>
      </w:r>
      <w:r w:rsidRPr="00A5415F">
        <w:rPr>
          <w:iCs/>
        </w:rPr>
        <w:t>lder</w:t>
      </w:r>
      <w:r w:rsidR="00C22E5A">
        <w:rPr>
          <w:iCs/>
        </w:rPr>
        <w:t xml:space="preserve"> P</w:t>
      </w:r>
      <w:r w:rsidRPr="00A5415F">
        <w:rPr>
          <w:iCs/>
        </w:rPr>
        <w:t>eople</w:t>
      </w:r>
      <w:r w:rsidR="00F54A56" w:rsidRPr="00A5415F">
        <w:rPr>
          <w:iCs/>
        </w:rPr>
        <w:t>:</w:t>
      </w:r>
      <w:r w:rsidRPr="00A5415F">
        <w:rPr>
          <w:iCs/>
        </w:rPr>
        <w:t xml:space="preserve"> </w:t>
      </w:r>
      <w:r w:rsidR="00C22E5A">
        <w:rPr>
          <w:iCs/>
        </w:rPr>
        <w:t>C</w:t>
      </w:r>
      <w:r w:rsidRPr="00A5415F">
        <w:rPr>
          <w:iCs/>
        </w:rPr>
        <w:t xml:space="preserve">all it </w:t>
      </w:r>
      <w:r w:rsidR="00C22E5A">
        <w:rPr>
          <w:iCs/>
        </w:rPr>
        <w:t>O</w:t>
      </w:r>
      <w:r w:rsidR="00C22E5A" w:rsidRPr="00A5415F">
        <w:rPr>
          <w:iCs/>
        </w:rPr>
        <w:t>ut</w:t>
      </w:r>
      <w:r w:rsidR="00C22E5A" w:rsidRPr="006663D5">
        <w:t xml:space="preserve"> </w:t>
      </w:r>
      <w:r w:rsidR="00F54A56">
        <w:t>w</w:t>
      </w:r>
      <w:r w:rsidRPr="006663D5">
        <w:t xml:space="preserve">as launched at the World Elder Abuse Awareness Day </w:t>
      </w:r>
      <w:r w:rsidR="003218B5">
        <w:t>B</w:t>
      </w:r>
      <w:r w:rsidR="00F54A56" w:rsidRPr="006663D5">
        <w:t xml:space="preserve">reakfast </w:t>
      </w:r>
      <w:r w:rsidRPr="006663D5">
        <w:t>in June 2019 hosted by the Commissioner together with the Minister for Disability, Ageing and Carers, the Minister for Prevention of Family Violence and the Parliamentary Secretary for Health</w:t>
      </w:r>
      <w:r w:rsidR="003218B5">
        <w:t xml:space="preserve"> </w:t>
      </w:r>
      <w:r w:rsidRPr="006663D5">
        <w:t>/</w:t>
      </w:r>
      <w:r w:rsidR="003218B5">
        <w:t xml:space="preserve"> </w:t>
      </w:r>
      <w:r w:rsidRPr="006663D5">
        <w:t>Parliamentary Secretary for Carers and Volunteers.</w:t>
      </w:r>
    </w:p>
    <w:p w14:paraId="119352EE" w14:textId="77777777" w:rsidR="00BE3F3A" w:rsidRPr="007939DD" w:rsidRDefault="00BE3F3A" w:rsidP="00BE3F3A">
      <w:pPr>
        <w:pStyle w:val="ARbody"/>
      </w:pPr>
    </w:p>
    <w:p w14:paraId="5BE12ADC" w14:textId="77777777" w:rsidR="00EC5794" w:rsidRPr="007939DD" w:rsidRDefault="00EC5794" w:rsidP="00EC5794">
      <w:pPr>
        <w:sectPr w:rsidR="00EC5794" w:rsidRPr="007939DD" w:rsidSect="00F36C27">
          <w:type w:val="continuous"/>
          <w:pgSz w:w="11906" w:h="16838"/>
          <w:pgMar w:top="1985" w:right="851" w:bottom="851" w:left="1418" w:header="510" w:footer="340" w:gutter="0"/>
          <w:cols w:num="2" w:space="454"/>
          <w:docGrid w:linePitch="360"/>
        </w:sectPr>
      </w:pPr>
    </w:p>
    <w:p w14:paraId="68360ED0" w14:textId="77777777" w:rsidR="009E19EE" w:rsidRPr="00E606FE" w:rsidRDefault="009E19EE" w:rsidP="00F54DCB">
      <w:pPr>
        <w:pStyle w:val="Heading2"/>
        <w:spacing w:before="0"/>
      </w:pPr>
      <w:bookmarkStart w:id="196" w:name="_Ref525205469"/>
      <w:r w:rsidRPr="00E606FE">
        <w:t xml:space="preserve">Department of Health and Human Services Financial </w:t>
      </w:r>
      <w:r w:rsidRPr="00E606FE">
        <w:br/>
        <w:t>Management Compliance Attestation Statement</w:t>
      </w:r>
      <w:bookmarkEnd w:id="196"/>
    </w:p>
    <w:p w14:paraId="7CE33A0B" w14:textId="77777777" w:rsidR="0059462F" w:rsidRPr="0059462F" w:rsidRDefault="0059462F" w:rsidP="00CC08D0">
      <w:pPr>
        <w:pStyle w:val="ARbody"/>
      </w:pPr>
      <w:r w:rsidRPr="0059462F">
        <w:t xml:space="preserve">I, Kym Peake, as the Responsible Body, certify that the Department of Health and Human Services has complied with the applicable Standing Directions made under the </w:t>
      </w:r>
      <w:r w:rsidRPr="0059462F">
        <w:rPr>
          <w:i/>
        </w:rPr>
        <w:t>Financial Management Act 1994</w:t>
      </w:r>
      <w:r w:rsidRPr="0059462F">
        <w:t xml:space="preserve"> and Instructions except for the following material compliance deficiencies:</w:t>
      </w:r>
    </w:p>
    <w:p w14:paraId="3436BB32" w14:textId="77777777" w:rsidR="0059462F" w:rsidRPr="0059462F" w:rsidRDefault="0059462F" w:rsidP="0059462F">
      <w:pPr>
        <w:pStyle w:val="ARbullet1"/>
      </w:pPr>
      <w:r w:rsidRPr="0059462F">
        <w:t>The Victorian Health and Human Services Building Authority is partially compliant with Direction 4.2.3 (Asset Management Accountability Framework) in relation to Operations and Maintenance. Two issues were remediated during 2018</w:t>
      </w:r>
      <w:r>
        <w:t>–</w:t>
      </w:r>
      <w:r w:rsidRPr="0059462F">
        <w:t>19, a third will be remediated during 2019</w:t>
      </w:r>
      <w:r>
        <w:t>–</w:t>
      </w:r>
      <w:r w:rsidRPr="0059462F">
        <w:t>20 subject to funding.</w:t>
      </w:r>
    </w:p>
    <w:p w14:paraId="32B8491A" w14:textId="77777777" w:rsidR="00EF0AF3" w:rsidRDefault="00EF0AF3" w:rsidP="00EF0AF3">
      <w:pPr>
        <w:spacing w:before="320" w:line="260" w:lineRule="atLeast"/>
        <w:rPr>
          <w:rFonts w:ascii="Arial" w:eastAsia="Times" w:hAnsi="Arial" w:cs="Arial"/>
          <w:szCs w:val="24"/>
        </w:rPr>
      </w:pPr>
      <w:r w:rsidRPr="007939DD">
        <w:rPr>
          <w:noProof/>
        </w:rPr>
        <w:drawing>
          <wp:inline distT="0" distB="0" distL="0" distR="0" wp14:anchorId="141AA45C" wp14:editId="5D202B32">
            <wp:extent cx="1204595" cy="672465"/>
            <wp:effectExtent l="0" t="0" r="0" b="0"/>
            <wp:docPr id="276" name="Picture 276" descr="Kim Peak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m Peake signa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4595" cy="672465"/>
                    </a:xfrm>
                    <a:prstGeom prst="rect">
                      <a:avLst/>
                    </a:prstGeom>
                    <a:noFill/>
                    <a:ln>
                      <a:noFill/>
                    </a:ln>
                  </pic:spPr>
                </pic:pic>
              </a:graphicData>
            </a:graphic>
          </wp:inline>
        </w:drawing>
      </w:r>
    </w:p>
    <w:p w14:paraId="62D93F6A" w14:textId="77777777" w:rsidR="009E19EE" w:rsidRPr="00E606FE" w:rsidRDefault="009E19EE" w:rsidP="009E19EE">
      <w:pPr>
        <w:spacing w:line="260" w:lineRule="atLeast"/>
        <w:rPr>
          <w:rFonts w:ascii="Arial" w:eastAsia="Times" w:hAnsi="Arial" w:cs="Arial"/>
          <w:szCs w:val="24"/>
        </w:rPr>
      </w:pPr>
      <w:r w:rsidRPr="00E606FE">
        <w:rPr>
          <w:rFonts w:ascii="Arial" w:eastAsia="Times" w:hAnsi="Arial" w:cs="Arial"/>
          <w:szCs w:val="24"/>
        </w:rPr>
        <w:t>Kym Peake</w:t>
      </w:r>
      <w:r w:rsidRPr="00E606FE">
        <w:rPr>
          <w:rFonts w:ascii="Arial" w:eastAsia="Times" w:hAnsi="Arial" w:cs="Arial"/>
          <w:szCs w:val="24"/>
        </w:rPr>
        <w:br/>
        <w:t>Secretary</w:t>
      </w:r>
      <w:r w:rsidRPr="00E606FE">
        <w:rPr>
          <w:rFonts w:ascii="Arial" w:eastAsia="Times" w:hAnsi="Arial" w:cs="Arial"/>
          <w:szCs w:val="24"/>
        </w:rPr>
        <w:br/>
        <w:t>Department of Health and Human Services</w:t>
      </w:r>
    </w:p>
    <w:p w14:paraId="43629E99" w14:textId="77777777" w:rsidR="00EC5794" w:rsidRPr="007939DD" w:rsidRDefault="00EC5794" w:rsidP="00EC5794"/>
    <w:p w14:paraId="396B2C4C" w14:textId="77777777" w:rsidR="00EC5794" w:rsidRPr="007939DD" w:rsidRDefault="00EC5794" w:rsidP="00EC5794">
      <w:pPr>
        <w:sectPr w:rsidR="00EC5794" w:rsidRPr="007939DD" w:rsidSect="00E31562">
          <w:pgSz w:w="11906" w:h="16838" w:code="9"/>
          <w:pgMar w:top="1985" w:right="851" w:bottom="851" w:left="1418" w:header="510" w:footer="340" w:gutter="0"/>
          <w:cols w:space="708"/>
          <w:docGrid w:linePitch="360"/>
        </w:sectPr>
      </w:pPr>
    </w:p>
    <w:p w14:paraId="5F8F3BD8" w14:textId="77777777" w:rsidR="001D07FB" w:rsidRPr="001A390D" w:rsidRDefault="001D07FB" w:rsidP="001A390D">
      <w:pPr>
        <w:pStyle w:val="ARbody"/>
      </w:pPr>
      <w:bookmarkStart w:id="197" w:name="_Ref492905722"/>
      <w:r w:rsidRPr="001A390D">
        <w:rPr>
          <w:noProof/>
        </w:rPr>
        <w:drawing>
          <wp:anchor distT="0" distB="0" distL="114300" distR="114300" simplePos="0" relativeHeight="251654144" behindDoc="1" locked="1" layoutInCell="1" allowOverlap="1" wp14:anchorId="36260BD6" wp14:editId="68C6E679">
            <wp:simplePos x="0" y="0"/>
            <wp:positionH relativeFrom="page">
              <wp:posOffset>0</wp:posOffset>
            </wp:positionH>
            <wp:positionV relativeFrom="page">
              <wp:posOffset>0</wp:posOffset>
            </wp:positionV>
            <wp:extent cx="7563600" cy="10697400"/>
            <wp:effectExtent l="0" t="0" r="0" b="889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1907417_DHHS Annual Report Full page BW.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63600" cy="10697400"/>
                    </a:xfrm>
                    <a:prstGeom prst="rect">
                      <a:avLst/>
                    </a:prstGeom>
                  </pic:spPr>
                </pic:pic>
              </a:graphicData>
            </a:graphic>
            <wp14:sizeRelH relativeFrom="page">
              <wp14:pctWidth>0</wp14:pctWidth>
            </wp14:sizeRelH>
            <wp14:sizeRelV relativeFrom="page">
              <wp14:pctHeight>0</wp14:pctHeight>
            </wp14:sizeRelV>
          </wp:anchor>
        </w:drawing>
      </w:r>
      <w:r w:rsidRPr="001A390D">
        <w:br w:type="page"/>
      </w:r>
    </w:p>
    <w:p w14:paraId="14F7BE50" w14:textId="77777777" w:rsidR="0092299C" w:rsidRDefault="00186E42" w:rsidP="00186E42">
      <w:pPr>
        <w:pStyle w:val="Heading1"/>
        <w:ind w:right="3686"/>
      </w:pPr>
      <w:bookmarkStart w:id="198" w:name="_Toc21682724"/>
      <w:r>
        <w:rPr>
          <w:noProof/>
          <w:lang w:eastAsia="en-AU"/>
        </w:rPr>
        <w:drawing>
          <wp:anchor distT="0" distB="0" distL="114300" distR="114300" simplePos="0" relativeHeight="251653120" behindDoc="1" locked="1" layoutInCell="1" allowOverlap="1" wp14:anchorId="70353743" wp14:editId="4495EF10">
            <wp:simplePos x="0" y="0"/>
            <wp:positionH relativeFrom="page">
              <wp:align>right</wp:align>
            </wp:positionH>
            <wp:positionV relativeFrom="page">
              <wp:align>top</wp:align>
            </wp:positionV>
            <wp:extent cx="3132000" cy="2698920"/>
            <wp:effectExtent l="0" t="0" r="0" b="635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1907417_DHHS Annual Report Section start 87x75m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2000" cy="2698920"/>
                    </a:xfrm>
                    <a:prstGeom prst="rect">
                      <a:avLst/>
                    </a:prstGeom>
                  </pic:spPr>
                </pic:pic>
              </a:graphicData>
            </a:graphic>
            <wp14:sizeRelH relativeFrom="page">
              <wp14:pctWidth>0</wp14:pctWidth>
            </wp14:sizeRelH>
            <wp14:sizeRelV relativeFrom="page">
              <wp14:pctHeight>0</wp14:pctHeight>
            </wp14:sizeRelV>
          </wp:anchor>
        </w:drawing>
      </w:r>
      <w:r w:rsidR="0092299C" w:rsidRPr="007939DD">
        <w:t>Environmental sustainability report</w:t>
      </w:r>
      <w:bookmarkEnd w:id="197"/>
      <w:bookmarkEnd w:id="198"/>
    </w:p>
    <w:p w14:paraId="7F4CCBAA" w14:textId="77777777" w:rsidR="00186E42" w:rsidRPr="00186E42" w:rsidRDefault="00186E42" w:rsidP="00186E42">
      <w:pPr>
        <w:pStyle w:val="Heading1"/>
        <w:sectPr w:rsidR="00186E42" w:rsidRPr="00186E42" w:rsidSect="004B3C07">
          <w:headerReference w:type="even" r:id="rId169"/>
          <w:endnotePr>
            <w:numFmt w:val="decimal"/>
          </w:endnotePr>
          <w:pgSz w:w="11900" w:h="16840" w:code="9"/>
          <w:pgMar w:top="3232" w:right="851" w:bottom="851" w:left="1418" w:header="510" w:footer="340" w:gutter="0"/>
          <w:cols w:space="454"/>
        </w:sectPr>
      </w:pPr>
    </w:p>
    <w:p w14:paraId="402E3956" w14:textId="77777777" w:rsidR="00F73A80" w:rsidRPr="00CF6016" w:rsidRDefault="00F73A80" w:rsidP="00F73A80">
      <w:pPr>
        <w:pStyle w:val="Heading2"/>
      </w:pPr>
      <w:bookmarkStart w:id="199" w:name="_Ref492895460"/>
      <w:r w:rsidRPr="00CF6016">
        <w:t>Environmental performance and impacts</w:t>
      </w:r>
      <w:bookmarkEnd w:id="199"/>
    </w:p>
    <w:p w14:paraId="485A6664" w14:textId="77777777" w:rsidR="00F73A80" w:rsidRPr="00CF6016" w:rsidRDefault="00F73A80" w:rsidP="00F73A80">
      <w:pPr>
        <w:pStyle w:val="ARbody"/>
      </w:pPr>
      <w:r w:rsidRPr="00CF6016">
        <w:t xml:space="preserve">In 2018–19, the department has continued to improve environmental performance and manage climate change risks across the sector by integrating and improving our environmental sustainability </w:t>
      </w:r>
      <w:r w:rsidR="009A6974">
        <w:t>in all</w:t>
      </w:r>
      <w:r w:rsidR="009A6974" w:rsidRPr="00CF6016">
        <w:t xml:space="preserve"> </w:t>
      </w:r>
      <w:r w:rsidRPr="00CF6016">
        <w:t>our operations.</w:t>
      </w:r>
    </w:p>
    <w:p w14:paraId="4F16F57A" w14:textId="77777777" w:rsidR="00F73A80" w:rsidRPr="00CF6016" w:rsidRDefault="00F73A80" w:rsidP="00D01E35">
      <w:pPr>
        <w:pStyle w:val="Heading3"/>
      </w:pPr>
      <w:r w:rsidRPr="00CF6016">
        <w:t>Highlights</w:t>
      </w:r>
    </w:p>
    <w:p w14:paraId="3ED4196B" w14:textId="77777777" w:rsidR="00F73A80" w:rsidRPr="00CF6016" w:rsidRDefault="00F73A80" w:rsidP="00F73A80">
      <w:pPr>
        <w:pStyle w:val="ARbody"/>
      </w:pPr>
      <w:r w:rsidRPr="00CF6016">
        <w:t>Highlights for the period included:</w:t>
      </w:r>
    </w:p>
    <w:p w14:paraId="69DFFE60" w14:textId="77777777" w:rsidR="00F73A80" w:rsidRPr="00F73A80" w:rsidRDefault="00F73A80" w:rsidP="00EF7FA0">
      <w:pPr>
        <w:pStyle w:val="ARbullet1"/>
      </w:pPr>
      <w:r w:rsidRPr="00F73A80">
        <w:t>contributing to the whole of Victorian Government TAKE2 emissions reduction target, reducing our greenhouse gas emissions from office-based sources by 7.6 per cent, or 2,</w:t>
      </w:r>
      <w:r w:rsidR="00556D7D" w:rsidRPr="00F73A80">
        <w:t>269</w:t>
      </w:r>
      <w:r w:rsidR="00556D7D">
        <w:t> </w:t>
      </w:r>
      <w:r w:rsidRPr="00F73A80">
        <w:t>tonnes from the 2014</w:t>
      </w:r>
      <w:r w:rsidR="00EF7B10">
        <w:t>–</w:t>
      </w:r>
      <w:r w:rsidRPr="00F73A80">
        <w:t>15 baseline</w:t>
      </w:r>
    </w:p>
    <w:p w14:paraId="512EA747" w14:textId="77777777" w:rsidR="00F73A80" w:rsidRPr="00F73A80" w:rsidRDefault="00F73A80" w:rsidP="00EF7FA0">
      <w:pPr>
        <w:pStyle w:val="ARbullet1"/>
      </w:pPr>
      <w:r w:rsidRPr="00F73A80">
        <w:t>completing base-building upgrades in high-rise public housing buildings as part of the Greener Government Buildings project. Upgrades included smart LED lighting systems for common areas in nine high-rise estates that will save 75</w:t>
      </w:r>
      <w:r w:rsidR="00EF7B10">
        <w:t xml:space="preserve"> per cent</w:t>
      </w:r>
      <w:r w:rsidRPr="00F73A80">
        <w:t xml:space="preserve"> of the energy used on lighting, and boiler upgrades which replaced 500</w:t>
      </w:r>
      <w:r w:rsidR="00556D7D">
        <w:t> </w:t>
      </w:r>
      <w:r w:rsidRPr="00F73A80">
        <w:t xml:space="preserve">kW boilers in five high-rise estates with </w:t>
      </w:r>
      <w:r w:rsidR="00B67A7F">
        <w:t>four</w:t>
      </w:r>
      <w:r w:rsidR="00556D7D">
        <w:t> </w:t>
      </w:r>
      <w:r w:rsidR="00556D7D" w:rsidRPr="00F73A80">
        <w:t>150</w:t>
      </w:r>
      <w:r w:rsidR="00556D7D">
        <w:t> </w:t>
      </w:r>
      <w:r w:rsidRPr="00F73A80">
        <w:t xml:space="preserve">kW modular boilers </w:t>
      </w:r>
      <w:r w:rsidR="00556D7D">
        <w:t>that</w:t>
      </w:r>
      <w:r w:rsidR="00556D7D" w:rsidRPr="00F73A80">
        <w:t xml:space="preserve"> </w:t>
      </w:r>
      <w:r w:rsidRPr="00F73A80">
        <w:t>can more efficiently respond to changes in demand</w:t>
      </w:r>
    </w:p>
    <w:p w14:paraId="05D4390C" w14:textId="77777777" w:rsidR="00F73A80" w:rsidRPr="00F73A80" w:rsidRDefault="00F73A80" w:rsidP="00EF7FA0">
      <w:pPr>
        <w:pStyle w:val="ARbullet1"/>
      </w:pPr>
      <w:r w:rsidRPr="00F73A80">
        <w:t>supporting installation of 2.4</w:t>
      </w:r>
      <w:r w:rsidR="00556D7D">
        <w:t> </w:t>
      </w:r>
      <w:r w:rsidRPr="00F73A80">
        <w:t>MW of solar PV across 21 health facilities in the Barwon South Western region and tendering for a further 4.</w:t>
      </w:r>
      <w:r w:rsidR="00556D7D" w:rsidRPr="00F73A80">
        <w:t>1</w:t>
      </w:r>
      <w:r w:rsidR="00556D7D">
        <w:t> </w:t>
      </w:r>
      <w:r w:rsidRPr="00F73A80">
        <w:t>MW across 45 sites in the Hume, Loddon Mallee and Grampians regions</w:t>
      </w:r>
    </w:p>
    <w:p w14:paraId="399D2434" w14:textId="488768DE" w:rsidR="00F73A80" w:rsidRPr="00F73A80" w:rsidRDefault="00F73A80" w:rsidP="00EF7FA0">
      <w:pPr>
        <w:pStyle w:val="ARbullet1"/>
      </w:pPr>
      <w:r w:rsidRPr="00F73A80">
        <w:t>reducing public health service reported greenhouse gas emissions by 1.5 per cent, or</w:t>
      </w:r>
      <w:r w:rsidR="00B33865">
        <w:t> </w:t>
      </w:r>
      <w:r w:rsidRPr="00F73A80">
        <w:t>13,389 tonnes</w:t>
      </w:r>
    </w:p>
    <w:p w14:paraId="5C82A41F" w14:textId="0E7581F6" w:rsidR="0092299C" w:rsidRDefault="00EF7FA0" w:rsidP="00EF7FA0">
      <w:pPr>
        <w:pStyle w:val="ARbullet1"/>
      </w:pPr>
      <w:r>
        <w:br w:type="column"/>
      </w:r>
      <w:r w:rsidR="00F73A80" w:rsidRPr="00CF6016">
        <w:t xml:space="preserve">completing significant upgrades to two heritage rooming houses in Flemington and Ascot Vale resulting in 30 new energy and water-efficient self-contained studio units. The two properties achieved average </w:t>
      </w:r>
      <w:r w:rsidR="00B67A7F">
        <w:t>Nation</w:t>
      </w:r>
      <w:r w:rsidR="00495F37">
        <w:t>al</w:t>
      </w:r>
      <w:r w:rsidR="00B67A7F">
        <w:t xml:space="preserve"> House Energy Rating Scheme (</w:t>
      </w:r>
      <w:r w:rsidR="00F73A80" w:rsidRPr="00CF6016">
        <w:t>NatHERS</w:t>
      </w:r>
      <w:r w:rsidR="00B67A7F">
        <w:t>)</w:t>
      </w:r>
      <w:r w:rsidR="00F73A80" w:rsidRPr="00CF6016">
        <w:t xml:space="preserve"> ratings of 6.8</w:t>
      </w:r>
      <w:r w:rsidR="00B67A7F">
        <w:t xml:space="preserve"> s</w:t>
      </w:r>
      <w:r w:rsidR="00F73A80" w:rsidRPr="00CF6016">
        <w:t>tars and 6.4</w:t>
      </w:r>
      <w:r w:rsidR="00B67A7F">
        <w:t xml:space="preserve"> s</w:t>
      </w:r>
      <w:r w:rsidR="00F73A80" w:rsidRPr="00CF6016">
        <w:t>tars</w:t>
      </w:r>
      <w:r w:rsidR="006B4140">
        <w:t>.</w:t>
      </w:r>
    </w:p>
    <w:p w14:paraId="1ADF332C" w14:textId="77777777" w:rsidR="002954CA" w:rsidRPr="00CF6016" w:rsidRDefault="002954CA" w:rsidP="00F54DCB">
      <w:pPr>
        <w:pStyle w:val="Heading3"/>
      </w:pPr>
      <w:r w:rsidRPr="002954CA">
        <w:t>Energy</w:t>
      </w:r>
    </w:p>
    <w:p w14:paraId="7FBAE6C3" w14:textId="77777777" w:rsidR="002954CA" w:rsidRPr="00CF6016" w:rsidRDefault="002954CA" w:rsidP="002954CA">
      <w:pPr>
        <w:pStyle w:val="ARbody"/>
        <w:rPr>
          <w:color w:val="000000" w:themeColor="text1"/>
        </w:rPr>
      </w:pPr>
      <w:r w:rsidRPr="00CF6016">
        <w:rPr>
          <w:color w:val="000000" w:themeColor="text1"/>
        </w:rPr>
        <w:t>The department is committed to reducing energy consumption across its operations and to assisting our clients to reduce their own energy use.</w:t>
      </w:r>
    </w:p>
    <w:p w14:paraId="4033C77E" w14:textId="77777777" w:rsidR="002954CA" w:rsidRPr="00CF6016" w:rsidRDefault="002954CA" w:rsidP="002954CA">
      <w:pPr>
        <w:pStyle w:val="ARbody"/>
        <w:rPr>
          <w:color w:val="000000" w:themeColor="text1"/>
        </w:rPr>
      </w:pPr>
      <w:r w:rsidRPr="00CF6016">
        <w:rPr>
          <w:color w:val="000000" w:themeColor="text1"/>
        </w:rPr>
        <w:t>In 2018</w:t>
      </w:r>
      <w:r>
        <w:rPr>
          <w:color w:val="000000" w:themeColor="text1"/>
        </w:rPr>
        <w:t>–</w:t>
      </w:r>
      <w:r w:rsidRPr="00CF6016">
        <w:rPr>
          <w:color w:val="000000" w:themeColor="text1"/>
        </w:rPr>
        <w:t>19, the department:</w:t>
      </w:r>
    </w:p>
    <w:p w14:paraId="1D7901F8" w14:textId="51A459F2" w:rsidR="002954CA" w:rsidRPr="00F73A80" w:rsidRDefault="002954CA" w:rsidP="002954CA">
      <w:pPr>
        <w:pStyle w:val="ARbullet1"/>
      </w:pPr>
      <w:r w:rsidRPr="00F73A80">
        <w:t>upgraded 158 public housing high-rise units. The units upgraded received double</w:t>
      </w:r>
      <w:r w:rsidR="00B67A7F">
        <w:t>-</w:t>
      </w:r>
      <w:r w:rsidRPr="00F73A80">
        <w:t>glazed windows, thermally</w:t>
      </w:r>
      <w:r w:rsidR="00B67A7F">
        <w:t xml:space="preserve"> </w:t>
      </w:r>
      <w:r w:rsidRPr="00F73A80">
        <w:t>broken window frames, external-wall insulation, weather stripping and</w:t>
      </w:r>
      <w:r w:rsidR="00EF7FA0">
        <w:t> </w:t>
      </w:r>
      <w:r w:rsidRPr="00F73A80">
        <w:t xml:space="preserve">self-sealing kitchen exhaust fans. These upgrades increased the average </w:t>
      </w:r>
      <w:r w:rsidR="00095023" w:rsidRPr="00F73A80">
        <w:t>NatHER</w:t>
      </w:r>
      <w:r w:rsidR="00095023">
        <w:t>S</w:t>
      </w:r>
      <w:r w:rsidR="00095023" w:rsidRPr="00F73A80">
        <w:t xml:space="preserve"> </w:t>
      </w:r>
      <w:r w:rsidRPr="00F73A80">
        <w:t>performance of the units from 4.9</w:t>
      </w:r>
      <w:r w:rsidR="00B67A7F">
        <w:t xml:space="preserve"> s</w:t>
      </w:r>
      <w:r w:rsidRPr="00F73A80">
        <w:t>tars to 5.5</w:t>
      </w:r>
      <w:r w:rsidR="00EF7FA0">
        <w:t> </w:t>
      </w:r>
      <w:r w:rsidR="00B67A7F">
        <w:t>s</w:t>
      </w:r>
      <w:r w:rsidRPr="00F73A80">
        <w:t>tars</w:t>
      </w:r>
    </w:p>
    <w:p w14:paraId="464D4EBA" w14:textId="77777777" w:rsidR="002954CA" w:rsidRPr="00F73A80" w:rsidRDefault="002954CA" w:rsidP="002954CA">
      <w:pPr>
        <w:pStyle w:val="ARbullet1"/>
      </w:pPr>
      <w:r w:rsidRPr="00F73A80">
        <w:t>delivered 1,149 of the planned 1,500 upgrades to low-rise public housing properties under the EnergySmart Public Housing program. The program aims to reduce energy costs and improve thermal comfort for participating public housing tenants.</w:t>
      </w:r>
      <w:r>
        <w:t xml:space="preserve"> </w:t>
      </w:r>
      <w:r w:rsidRPr="00F73A80">
        <w:t>The remaining upgrades are now expected to be completed in the 2019</w:t>
      </w:r>
      <w:r w:rsidR="00EF7B10">
        <w:t>–</w:t>
      </w:r>
      <w:r w:rsidRPr="00F73A80">
        <w:t>20 financial year.</w:t>
      </w:r>
      <w:r>
        <w:t xml:space="preserve"> </w:t>
      </w:r>
      <w:r w:rsidRPr="00F73A80">
        <w:t>Evaluation of the project has been commenced</w:t>
      </w:r>
    </w:p>
    <w:p w14:paraId="1ED201ED" w14:textId="1D505BD1" w:rsidR="002954CA" w:rsidRPr="00F73A80" w:rsidRDefault="002954CA" w:rsidP="002954CA">
      <w:pPr>
        <w:pStyle w:val="ARbullet1"/>
      </w:pPr>
      <w:r w:rsidRPr="00F73A80">
        <w:t>successfully sought an amendment to plumbing regulations from the Victorian Building Authority to facilitate compliance with the department’s public-housing sustainability guidelines. The plumbing modification streamlines building approvals for new all-electric housing that is built</w:t>
      </w:r>
      <w:r w:rsidR="00EF7FA0">
        <w:t> </w:t>
      </w:r>
      <w:r w:rsidRPr="00F73A80">
        <w:t>to exceed regulatory requirements and achieve 7-</w:t>
      </w:r>
      <w:r w:rsidR="00B67A7F">
        <w:t>s</w:t>
      </w:r>
      <w:r w:rsidRPr="00F73A80">
        <w:t>tar NatHERS ratings</w:t>
      </w:r>
    </w:p>
    <w:p w14:paraId="79A09818" w14:textId="77777777" w:rsidR="002954CA" w:rsidRPr="00F73A80" w:rsidRDefault="002954CA" w:rsidP="002954CA">
      <w:pPr>
        <w:pStyle w:val="ARbullet1"/>
      </w:pPr>
      <w:r w:rsidRPr="00F73A80">
        <w:t>constructed 31 detached public housing properties with roof-top solar PV to reduce emissions and lessen energy costs for tenants</w:t>
      </w:r>
    </w:p>
    <w:p w14:paraId="20F7B700" w14:textId="77777777" w:rsidR="002954CA" w:rsidRPr="00F73A80" w:rsidRDefault="002954CA" w:rsidP="002954CA">
      <w:pPr>
        <w:pStyle w:val="ARbullet1"/>
      </w:pPr>
      <w:r w:rsidRPr="00F73A80">
        <w:t>upgraded Peninsula Health facilities through a $7 million energy performance contract that is estimated to save 5,089 tonnes of carbon emissions per annum, or a 17 per cent reduction</w:t>
      </w:r>
    </w:p>
    <w:p w14:paraId="5A342C3A" w14:textId="77777777" w:rsidR="002954CA" w:rsidRPr="00F73A80" w:rsidRDefault="002954CA" w:rsidP="002954CA">
      <w:pPr>
        <w:pStyle w:val="ARbullet1"/>
      </w:pPr>
      <w:r w:rsidRPr="00F73A80">
        <w:t>funded a lighting upgrade at Colac Hospital that installed 1,093 LED lights, reducing carbon emissions by 387 tonnes or 13 per cent</w:t>
      </w:r>
    </w:p>
    <w:p w14:paraId="1E9193E0" w14:textId="77777777" w:rsidR="002954CA" w:rsidRPr="00F73A80" w:rsidRDefault="002954CA" w:rsidP="002954CA">
      <w:pPr>
        <w:pStyle w:val="ARbullet1"/>
      </w:pPr>
      <w:r w:rsidRPr="00F73A80">
        <w:t>supported a straw</w:t>
      </w:r>
      <w:r w:rsidR="00B67A7F">
        <w:t>–</w:t>
      </w:r>
      <w:r w:rsidRPr="00F73A80">
        <w:t>pellet fuelled biomass boiler at Skipton Hospital to replace their liquified petroleum gas heating system</w:t>
      </w:r>
    </w:p>
    <w:p w14:paraId="51E2B3F1" w14:textId="352C3BF8" w:rsidR="002954CA" w:rsidRPr="00F73A80" w:rsidRDefault="002954CA" w:rsidP="002954CA">
      <w:pPr>
        <w:pStyle w:val="ARbullet1"/>
      </w:pPr>
      <w:r w:rsidRPr="00F73A80">
        <w:t>worked with the landlord at 50 Lonsdale Street, Melbourne to support building upgrades including the installation of a 50</w:t>
      </w:r>
      <w:r w:rsidR="00B67A7F">
        <w:t> </w:t>
      </w:r>
      <w:r w:rsidRPr="00F73A80">
        <w:t>kW solar PV array for the base</w:t>
      </w:r>
      <w:r w:rsidR="00B67A7F">
        <w:t xml:space="preserve"> </w:t>
      </w:r>
      <w:r w:rsidRPr="00F73A80">
        <w:t>building and a new domestic hot water unit. These improvements earned the base</w:t>
      </w:r>
      <w:r w:rsidR="00B67A7F">
        <w:t xml:space="preserve"> </w:t>
      </w:r>
      <w:r w:rsidRPr="00F73A80">
        <w:t>building</w:t>
      </w:r>
      <w:r w:rsidR="00B67A7F">
        <w:t xml:space="preserve"> a</w:t>
      </w:r>
      <w:r w:rsidRPr="00F73A80">
        <w:t xml:space="preserve"> 5.5</w:t>
      </w:r>
      <w:r w:rsidR="00B67A7F">
        <w:t>-s</w:t>
      </w:r>
      <w:r w:rsidRPr="00F73A80">
        <w:t xml:space="preserve">tar NABERS Energy </w:t>
      </w:r>
      <w:r w:rsidR="00B67A7F">
        <w:t xml:space="preserve">rating </w:t>
      </w:r>
      <w:r w:rsidRPr="00F73A80">
        <w:t xml:space="preserve">and </w:t>
      </w:r>
      <w:r w:rsidR="00B67A7F">
        <w:t xml:space="preserve">a </w:t>
      </w:r>
      <w:r w:rsidRPr="00F73A80">
        <w:t>5-</w:t>
      </w:r>
      <w:r w:rsidR="00B67A7F">
        <w:t>s</w:t>
      </w:r>
      <w:r w:rsidRPr="00F73A80">
        <w:t>tar NABERS Indoor Air Quality</w:t>
      </w:r>
      <w:r w:rsidR="00B67A7F">
        <w:t xml:space="preserve"> rating</w:t>
      </w:r>
    </w:p>
    <w:p w14:paraId="011E0DE7" w14:textId="77777777" w:rsidR="002954CA" w:rsidRPr="00F73A80" w:rsidRDefault="002954CA" w:rsidP="002954CA">
      <w:pPr>
        <w:pStyle w:val="ARbullet1"/>
      </w:pPr>
      <w:r w:rsidRPr="00F73A80">
        <w:t>undertook extensive rectification works on the tenancy C-Bus lighting management system at 50 Lonsdale Street, Melbourne to enable improved scheduling and energy</w:t>
      </w:r>
      <w:r w:rsidR="00B67A7F">
        <w:t xml:space="preserve"> </w:t>
      </w:r>
      <w:r w:rsidRPr="00F73A80">
        <w:t>saving</w:t>
      </w:r>
    </w:p>
    <w:p w14:paraId="7908193A" w14:textId="77777777" w:rsidR="002954CA" w:rsidRPr="00F73A80" w:rsidRDefault="002954CA" w:rsidP="002954CA">
      <w:pPr>
        <w:pStyle w:val="ARbullet1"/>
      </w:pPr>
      <w:r w:rsidRPr="00F73A80">
        <w:t>entered negotiations with office landlords to determine the feasibility of future solar PV installations on leased offices</w:t>
      </w:r>
    </w:p>
    <w:p w14:paraId="46BCBCC2" w14:textId="77777777" w:rsidR="002954CA" w:rsidRPr="00F73A80" w:rsidRDefault="002954CA" w:rsidP="002954CA">
      <w:pPr>
        <w:pStyle w:val="ARbullet1"/>
      </w:pPr>
      <w:r w:rsidRPr="00F73A80">
        <w:t>undertook preliminary analysis for seeking a WELL</w:t>
      </w:r>
      <w:r w:rsidR="00B67A7F">
        <w:t>-</w:t>
      </w:r>
      <w:r w:rsidRPr="00F73A80">
        <w:t>certified rating for the fit-out of two levels at 35 Collins Street for the Victorian Health and Human Services Building Authority.</w:t>
      </w:r>
    </w:p>
    <w:p w14:paraId="51A23910" w14:textId="77777777" w:rsidR="002954CA" w:rsidRPr="00CF6016" w:rsidRDefault="002954CA" w:rsidP="002954CA">
      <w:pPr>
        <w:pStyle w:val="Heading4"/>
      </w:pPr>
      <w:bookmarkStart w:id="200" w:name="_Ref21957040"/>
      <w:bookmarkStart w:id="201" w:name="_Hlk15477316"/>
      <w:r w:rsidRPr="00CF6016">
        <w:t>Office-based performance</w:t>
      </w:r>
      <w:bookmarkEnd w:id="200"/>
    </w:p>
    <w:p w14:paraId="57740BCE" w14:textId="77777777" w:rsidR="002954CA" w:rsidRPr="00CF6016" w:rsidRDefault="002954CA" w:rsidP="002954CA">
      <w:pPr>
        <w:pStyle w:val="ARbodyafterbullets"/>
        <w:rPr>
          <w:lang w:eastAsia="en-AU"/>
        </w:rPr>
      </w:pPr>
      <w:r w:rsidRPr="00CF6016">
        <w:rPr>
          <w:lang w:eastAsia="en-AU"/>
        </w:rPr>
        <w:t xml:space="preserve">In </w:t>
      </w:r>
      <w:r>
        <w:rPr>
          <w:lang w:eastAsia="en-AU"/>
        </w:rPr>
        <w:t>2018–19</w:t>
      </w:r>
      <w:r w:rsidR="00665270">
        <w:rPr>
          <w:lang w:eastAsia="en-AU"/>
        </w:rPr>
        <w:t>,</w:t>
      </w:r>
      <w:r w:rsidRPr="00CF6016">
        <w:rPr>
          <w:lang w:eastAsia="en-AU"/>
        </w:rPr>
        <w:t xml:space="preserve"> the performance trend:</w:t>
      </w:r>
    </w:p>
    <w:p w14:paraId="19F5B461" w14:textId="77777777" w:rsidR="002954CA" w:rsidRPr="00CF6016" w:rsidRDefault="002954CA" w:rsidP="002954CA">
      <w:pPr>
        <w:pStyle w:val="ARbullet1"/>
        <w:rPr>
          <w:lang w:eastAsia="en-AU"/>
        </w:rPr>
      </w:pPr>
      <w:r w:rsidRPr="00CF6016">
        <w:rPr>
          <w:lang w:eastAsia="en-AU"/>
        </w:rPr>
        <w:t>indicated a minor increase in office-based energy usage, with improved efficiency at existing office sites being offset by an increase in the total number of sites occupied, and the roll-out of Family Safety Victoria hubs to new sites in the regions.</w:t>
      </w:r>
    </w:p>
    <w:p w14:paraId="0215BF37" w14:textId="77777777" w:rsidR="002954CA" w:rsidRPr="00CF6016" w:rsidRDefault="002954CA" w:rsidP="002954CA">
      <w:pPr>
        <w:pStyle w:val="Heading4"/>
      </w:pPr>
      <w:r w:rsidRPr="00CF6016">
        <w:t>Targets</w:t>
      </w:r>
    </w:p>
    <w:p w14:paraId="17554985" w14:textId="77777777" w:rsidR="002954CA" w:rsidRPr="00CF6016" w:rsidRDefault="002954CA" w:rsidP="002954CA">
      <w:pPr>
        <w:pStyle w:val="ARbodyafterbullets"/>
      </w:pPr>
      <w:r w:rsidRPr="00CF6016">
        <w:t>The 2019</w:t>
      </w:r>
      <w:r w:rsidR="00EF7B10">
        <w:t>–</w:t>
      </w:r>
      <w:r w:rsidRPr="00CF6016">
        <w:t>20 environmental management system targets for energy are to:</w:t>
      </w:r>
    </w:p>
    <w:p w14:paraId="0C3016F3" w14:textId="77777777" w:rsidR="008D124E" w:rsidRDefault="002954CA" w:rsidP="002954CA">
      <w:pPr>
        <w:pStyle w:val="ARbullet1"/>
      </w:pPr>
      <w:bookmarkStart w:id="202" w:name="_Hlk15035948"/>
      <w:r w:rsidRPr="00F73A80">
        <w:t>meet the prescribed TAKE2 five-year emissions reduction target by reducing departmental office-based emissions by 30</w:t>
      </w:r>
      <w:r w:rsidR="00EF7B10">
        <w:t xml:space="preserve"> per cent</w:t>
      </w:r>
      <w:r w:rsidRPr="00F73A80">
        <w:t xml:space="preserve"> as measured against 2014</w:t>
      </w:r>
      <w:r w:rsidR="00EF7B10">
        <w:t>–</w:t>
      </w:r>
      <w:r w:rsidRPr="00F73A80">
        <w:t>15 levels</w:t>
      </w:r>
    </w:p>
    <w:p w14:paraId="0F50F0B5" w14:textId="4D076F0B" w:rsidR="002954CA" w:rsidRPr="00F73A80" w:rsidRDefault="00EF7FA0" w:rsidP="002954CA">
      <w:pPr>
        <w:pStyle w:val="ARbullet1"/>
      </w:pPr>
      <w:r>
        <w:br w:type="column"/>
      </w:r>
      <w:r w:rsidR="002954CA" w:rsidRPr="00F73A80">
        <w:t xml:space="preserve">complete research into a </w:t>
      </w:r>
      <w:r w:rsidR="00B67A7F">
        <w:t>c</w:t>
      </w:r>
      <w:r w:rsidR="002954CA" w:rsidRPr="00F73A80">
        <w:t>omputer sleep-mode project for office-based computers and laptops</w:t>
      </w:r>
    </w:p>
    <w:p w14:paraId="2F2F0494" w14:textId="77777777" w:rsidR="002954CA" w:rsidRPr="00F73A80" w:rsidRDefault="002954CA" w:rsidP="002954CA">
      <w:pPr>
        <w:pStyle w:val="ARbullet1"/>
      </w:pPr>
      <w:r w:rsidRPr="00F73A80">
        <w:t>continue implementation of the regional health solar program in the Hume, Loddon-Mallee and Grampians regions</w:t>
      </w:r>
    </w:p>
    <w:p w14:paraId="39CF7DC7" w14:textId="77777777" w:rsidR="002954CA" w:rsidRPr="00F73A80" w:rsidRDefault="002954CA" w:rsidP="002954CA">
      <w:pPr>
        <w:pStyle w:val="ARbullet1"/>
      </w:pPr>
      <w:r w:rsidRPr="00F73A80">
        <w:t>release new sustainability guidelines for capital works for health</w:t>
      </w:r>
    </w:p>
    <w:p w14:paraId="6819173A" w14:textId="77777777" w:rsidR="002954CA" w:rsidRPr="00F73A80" w:rsidRDefault="002954CA" w:rsidP="002954CA">
      <w:pPr>
        <w:pStyle w:val="ARbullet1"/>
      </w:pPr>
      <w:r w:rsidRPr="00F73A80">
        <w:t>deliver the $5 million energy efficiency and solar program to support health services with their emission reduction pledges</w:t>
      </w:r>
    </w:p>
    <w:p w14:paraId="259D0767" w14:textId="77777777" w:rsidR="002954CA" w:rsidRPr="00F73A80" w:rsidRDefault="002954CA" w:rsidP="002954CA">
      <w:pPr>
        <w:pStyle w:val="ARbullet1"/>
      </w:pPr>
      <w:r w:rsidRPr="00F73A80">
        <w:t>exceed an average 7-</w:t>
      </w:r>
      <w:r w:rsidR="00B67A7F">
        <w:t>s</w:t>
      </w:r>
      <w:r w:rsidRPr="00F73A80">
        <w:t>tar NatHERS rating for newly built public housing dwellings and specify with all-electric appliances and solar PV wherever feasible.</w:t>
      </w:r>
    </w:p>
    <w:bookmarkEnd w:id="201"/>
    <w:bookmarkEnd w:id="202"/>
    <w:p w14:paraId="1431D383" w14:textId="77777777" w:rsidR="002954CA" w:rsidRPr="00CF6016" w:rsidRDefault="002954CA" w:rsidP="002954CA">
      <w:pPr>
        <w:pStyle w:val="Heading3"/>
      </w:pPr>
      <w:r w:rsidRPr="00CF6016">
        <w:t>Water</w:t>
      </w:r>
    </w:p>
    <w:p w14:paraId="568BFAF1" w14:textId="77777777" w:rsidR="002954CA" w:rsidRPr="00CF6016" w:rsidRDefault="002954CA" w:rsidP="002954CA">
      <w:pPr>
        <w:pStyle w:val="ARbody"/>
      </w:pPr>
      <w:r w:rsidRPr="00CF6016">
        <w:t>The department seeks to better understand water consumption across our facilities and operations and encourages our clients to improve their own water efficiency.</w:t>
      </w:r>
    </w:p>
    <w:p w14:paraId="5326CBC9" w14:textId="77777777" w:rsidR="002954CA" w:rsidRPr="00CF6016" w:rsidRDefault="002954CA" w:rsidP="002954CA">
      <w:pPr>
        <w:pStyle w:val="ARbody"/>
      </w:pPr>
      <w:r w:rsidRPr="00CF6016">
        <w:t xml:space="preserve">In </w:t>
      </w:r>
      <w:r>
        <w:t>2018–19</w:t>
      </w:r>
      <w:r w:rsidRPr="00CF6016">
        <w:t>, the department:</w:t>
      </w:r>
    </w:p>
    <w:p w14:paraId="1264CEDD" w14:textId="77777777" w:rsidR="002954CA" w:rsidRPr="0073004B" w:rsidRDefault="002954CA" w:rsidP="0073004B">
      <w:pPr>
        <w:pStyle w:val="ARbullet1"/>
      </w:pPr>
      <w:r w:rsidRPr="0073004B">
        <w:t>completed testing and verification of the pulse water meters installed in eight high-rise public housing buildings. These monitors can now be used to identify water-efficiency o</w:t>
      </w:r>
      <w:r w:rsidRPr="00F94CEE">
        <w:t>pportunities and detect leaks and will enable a regular monitoring program to be finalised</w:t>
      </w:r>
    </w:p>
    <w:p w14:paraId="4060BCE4" w14:textId="084B36D0" w:rsidR="002954CA" w:rsidRPr="0073004B" w:rsidRDefault="002954CA" w:rsidP="0073004B">
      <w:pPr>
        <w:pStyle w:val="ARbullet1"/>
      </w:pPr>
      <w:r w:rsidRPr="0073004B">
        <w:t>supported water-efficiency upgrades at 50</w:t>
      </w:r>
      <w:r w:rsidR="00B67A7F" w:rsidRPr="0073004B">
        <w:t> </w:t>
      </w:r>
      <w:r w:rsidRPr="0073004B">
        <w:t>Lonsdale Street, Melbourne resulting in</w:t>
      </w:r>
      <w:r w:rsidR="00EF7FA0">
        <w:t> </w:t>
      </w:r>
      <w:r w:rsidRPr="0073004B">
        <w:t>a</w:t>
      </w:r>
      <w:r w:rsidR="00EF7FA0">
        <w:t> </w:t>
      </w:r>
      <w:r w:rsidRPr="0073004B">
        <w:t>NABERS Water rating of 3.5</w:t>
      </w:r>
      <w:r w:rsidR="00B67A7F" w:rsidRPr="0073004B">
        <w:t xml:space="preserve"> s</w:t>
      </w:r>
      <w:r w:rsidRPr="0073004B">
        <w:t>tars</w:t>
      </w:r>
      <w:r w:rsidR="00B67A7F" w:rsidRPr="0073004B">
        <w:t>.</w:t>
      </w:r>
    </w:p>
    <w:p w14:paraId="5A3B510A" w14:textId="77777777" w:rsidR="002954CA" w:rsidRPr="00CF6016" w:rsidRDefault="002954CA" w:rsidP="002954CA">
      <w:pPr>
        <w:pStyle w:val="Heading4"/>
      </w:pPr>
      <w:r w:rsidRPr="00CF6016">
        <w:t>Office-based performance</w:t>
      </w:r>
    </w:p>
    <w:p w14:paraId="30A0E126" w14:textId="77777777" w:rsidR="002954CA" w:rsidRPr="00CF6016" w:rsidRDefault="002954CA" w:rsidP="002954CA">
      <w:pPr>
        <w:pStyle w:val="ARbodyafterbullets"/>
        <w:rPr>
          <w:lang w:eastAsia="en-AU"/>
        </w:rPr>
      </w:pPr>
      <w:r w:rsidRPr="00CF6016">
        <w:rPr>
          <w:lang w:eastAsia="en-AU"/>
        </w:rPr>
        <w:t xml:space="preserve">In </w:t>
      </w:r>
      <w:r>
        <w:rPr>
          <w:lang w:eastAsia="en-AU"/>
        </w:rPr>
        <w:t>2018–19</w:t>
      </w:r>
      <w:r w:rsidR="00665270">
        <w:rPr>
          <w:lang w:eastAsia="en-AU"/>
        </w:rPr>
        <w:t>,</w:t>
      </w:r>
      <w:r w:rsidRPr="00CF6016">
        <w:rPr>
          <w:lang w:eastAsia="en-AU"/>
        </w:rPr>
        <w:t xml:space="preserve"> the performance trend:</w:t>
      </w:r>
    </w:p>
    <w:p w14:paraId="26EA3397" w14:textId="77777777" w:rsidR="002954CA" w:rsidRPr="00CF6016" w:rsidRDefault="002954CA" w:rsidP="002954CA">
      <w:pPr>
        <w:pStyle w:val="ARbullet1"/>
        <w:rPr>
          <w:lang w:eastAsia="en-AU"/>
        </w:rPr>
      </w:pPr>
      <w:r w:rsidRPr="00CF6016">
        <w:rPr>
          <w:lang w:eastAsia="en-AU"/>
        </w:rPr>
        <w:t>indicated a reduction in office-based water use of 4 per cent, and improved water-efficiency per FTE. Water-efficiency upgrades at 50 Lonsdale Street, Melbourne during the year were responsible for a large portion of the reduction.</w:t>
      </w:r>
    </w:p>
    <w:p w14:paraId="01C9F7F5" w14:textId="77777777" w:rsidR="002954CA" w:rsidRPr="00CF6016" w:rsidRDefault="002954CA" w:rsidP="002954CA">
      <w:pPr>
        <w:pStyle w:val="Heading4"/>
      </w:pPr>
      <w:r w:rsidRPr="00CF6016">
        <w:t>Targets</w:t>
      </w:r>
    </w:p>
    <w:p w14:paraId="3C3A2C26" w14:textId="77777777" w:rsidR="002954CA" w:rsidRPr="00CF6016" w:rsidRDefault="002954CA" w:rsidP="002954CA">
      <w:pPr>
        <w:pStyle w:val="ARbody"/>
      </w:pPr>
      <w:r w:rsidRPr="00CF6016">
        <w:t>The 2019</w:t>
      </w:r>
      <w:r w:rsidR="00B67A7F">
        <w:t>–</w:t>
      </w:r>
      <w:r w:rsidRPr="00CF6016">
        <w:t>20 environmental management system target for water is to:</w:t>
      </w:r>
    </w:p>
    <w:p w14:paraId="1EBC85DA" w14:textId="77777777" w:rsidR="002954CA" w:rsidRPr="00CF6016" w:rsidRDefault="002954CA" w:rsidP="002954CA">
      <w:pPr>
        <w:pStyle w:val="ARbullet1"/>
      </w:pPr>
      <w:r w:rsidRPr="00CF6016">
        <w:t>develop a monitoring program to analyse pulse</w:t>
      </w:r>
      <w:r w:rsidR="00B67A7F">
        <w:t xml:space="preserve"> </w:t>
      </w:r>
      <w:r w:rsidRPr="00CF6016">
        <w:t>water</w:t>
      </w:r>
      <w:r w:rsidR="00B67A7F">
        <w:t>–</w:t>
      </w:r>
      <w:r w:rsidRPr="00CF6016">
        <w:t>meter data from eight high-rise public housing buildings to identify efficiency opportunities.</w:t>
      </w:r>
    </w:p>
    <w:p w14:paraId="4167B0B8" w14:textId="77777777" w:rsidR="00622745" w:rsidRPr="00EF7FA0" w:rsidRDefault="00622745" w:rsidP="00EF7FA0">
      <w:pPr>
        <w:pStyle w:val="ARbody"/>
      </w:pPr>
      <w:r w:rsidRPr="00EF7FA0">
        <w:br w:type="page"/>
      </w:r>
    </w:p>
    <w:p w14:paraId="41F36959" w14:textId="77777777" w:rsidR="002954CA" w:rsidRPr="00CF6016" w:rsidRDefault="002954CA" w:rsidP="002954CA">
      <w:pPr>
        <w:pStyle w:val="Heading3"/>
      </w:pPr>
      <w:r w:rsidRPr="00CF6016">
        <w:t>Procurement and paper</w:t>
      </w:r>
    </w:p>
    <w:p w14:paraId="321D4164" w14:textId="77777777" w:rsidR="002954CA" w:rsidRPr="00CF6016" w:rsidRDefault="002954CA" w:rsidP="002954CA">
      <w:pPr>
        <w:pStyle w:val="ARbody"/>
      </w:pPr>
      <w:r w:rsidRPr="00CF6016">
        <w:t>The department continues to integrate sustainability into its procurement activities, while seeking value for money outcomes in our business operations. We also continue to implement strategies to reduce the environmental impacts of printing and paper consumption.</w:t>
      </w:r>
    </w:p>
    <w:p w14:paraId="27626CCD" w14:textId="77777777" w:rsidR="002954CA" w:rsidRPr="00CF6016" w:rsidRDefault="002954CA" w:rsidP="002954CA">
      <w:pPr>
        <w:pStyle w:val="ARbody"/>
      </w:pPr>
      <w:r w:rsidRPr="00CF6016">
        <w:t xml:space="preserve">In </w:t>
      </w:r>
      <w:r>
        <w:t>2018–19</w:t>
      </w:r>
      <w:r w:rsidR="00665270">
        <w:t>,</w:t>
      </w:r>
      <w:r w:rsidRPr="00CF6016">
        <w:t xml:space="preserve"> the department:</w:t>
      </w:r>
    </w:p>
    <w:p w14:paraId="05F4B54A" w14:textId="53651EE3" w:rsidR="002954CA" w:rsidRPr="00D01E35" w:rsidRDefault="002954CA" w:rsidP="002954CA">
      <w:pPr>
        <w:pStyle w:val="ARbullet1"/>
      </w:pPr>
      <w:r w:rsidRPr="00D01E35">
        <w:t>successfully deployed a ‘</w:t>
      </w:r>
      <w:r w:rsidR="00665270">
        <w:t>f</w:t>
      </w:r>
      <w:r w:rsidRPr="00D01E35">
        <w:t>ollow-</w:t>
      </w:r>
      <w:r w:rsidR="00665270">
        <w:t>m</w:t>
      </w:r>
      <w:r w:rsidRPr="00D01E35">
        <w:t>e’ printing system to all printers at 50 Lonsdale Street, Melbourne. Follow-</w:t>
      </w:r>
      <w:r w:rsidR="00665270">
        <w:t>m</w:t>
      </w:r>
      <w:r w:rsidRPr="00D01E35">
        <w:t xml:space="preserve">e </w:t>
      </w:r>
      <w:r w:rsidR="00665270">
        <w:t>p</w:t>
      </w:r>
      <w:r w:rsidRPr="00D01E35">
        <w:t>rinting only releases documents to be printed when users are physically at the printer, promoting enhanced mobility and security while reducing waste. Preliminary data collected indicates that over a</w:t>
      </w:r>
      <w:r w:rsidR="00EF7FA0">
        <w:t> </w:t>
      </w:r>
      <w:r w:rsidRPr="00D01E35">
        <w:t>three-month period, the system prevented 26,000 pages of uncollected documents from being printed</w:t>
      </w:r>
    </w:p>
    <w:p w14:paraId="17DB8FEF" w14:textId="77777777" w:rsidR="002954CA" w:rsidRPr="00D01E35" w:rsidRDefault="002954CA" w:rsidP="002954CA">
      <w:pPr>
        <w:pStyle w:val="ARbullet1"/>
      </w:pPr>
      <w:r w:rsidRPr="00D01E35">
        <w:t>ensured that 98 per cent of all office-based paper purchased consisted of 100 per cent recycled content</w:t>
      </w:r>
    </w:p>
    <w:p w14:paraId="5D2D7234" w14:textId="77777777" w:rsidR="002954CA" w:rsidRPr="00CF6016" w:rsidRDefault="002954CA" w:rsidP="002954CA">
      <w:pPr>
        <w:pStyle w:val="ARbullet1"/>
        <w:rPr>
          <w:rFonts w:ascii="Calibri" w:hAnsi="Calibri"/>
          <w:szCs w:val="20"/>
        </w:rPr>
      </w:pPr>
      <w:r w:rsidRPr="00D01E35">
        <w:t>continued roll-out of the TRIM electronic document and record management system that is set to remove the need to print and archive hardcopy records. Beyond the direct savings in paper and printing, the system is also intended to reduce the costs and environmental impact</w:t>
      </w:r>
      <w:r w:rsidRPr="00CF6016">
        <w:rPr>
          <w:szCs w:val="20"/>
        </w:rPr>
        <w:t xml:space="preserve"> from storage, transport and disposal of hardcopy records.</w:t>
      </w:r>
    </w:p>
    <w:p w14:paraId="33831F71" w14:textId="77777777" w:rsidR="002954CA" w:rsidRPr="00CF6016" w:rsidRDefault="002954CA" w:rsidP="002954CA">
      <w:pPr>
        <w:pStyle w:val="Heading4"/>
      </w:pPr>
      <w:r w:rsidRPr="00CF6016">
        <w:t>Office-based performance</w:t>
      </w:r>
    </w:p>
    <w:p w14:paraId="4859F0C4" w14:textId="77777777" w:rsidR="002954CA" w:rsidRPr="00CF6016" w:rsidRDefault="002954CA" w:rsidP="002954CA">
      <w:pPr>
        <w:pStyle w:val="ARbodyafterbullets"/>
        <w:rPr>
          <w:lang w:eastAsia="en-AU"/>
        </w:rPr>
      </w:pPr>
      <w:r w:rsidRPr="00616E08">
        <w:rPr>
          <w:lang w:eastAsia="en-AU"/>
        </w:rPr>
        <w:t xml:space="preserve">In </w:t>
      </w:r>
      <w:r>
        <w:rPr>
          <w:lang w:eastAsia="en-AU"/>
        </w:rPr>
        <w:t>2018–19</w:t>
      </w:r>
      <w:r w:rsidR="00665270">
        <w:rPr>
          <w:lang w:eastAsia="en-AU"/>
        </w:rPr>
        <w:t>,</w:t>
      </w:r>
      <w:r w:rsidRPr="00616E08">
        <w:rPr>
          <w:lang w:eastAsia="en-AU"/>
        </w:rPr>
        <w:t xml:space="preserve"> the performance trend:</w:t>
      </w:r>
    </w:p>
    <w:p w14:paraId="3D766A51" w14:textId="15CF675A" w:rsidR="002954CA" w:rsidRPr="00CF6016" w:rsidRDefault="002954CA" w:rsidP="002954CA">
      <w:pPr>
        <w:pStyle w:val="ARbullet1"/>
        <w:rPr>
          <w:lang w:eastAsia="en-AU"/>
        </w:rPr>
      </w:pPr>
      <w:r w:rsidRPr="00CF6016">
        <w:rPr>
          <w:lang w:eastAsia="en-AU"/>
        </w:rPr>
        <w:t>indicated a reduction in total paper purchased and associated emissions, attributable in part to</w:t>
      </w:r>
      <w:r w:rsidR="00B45152">
        <w:rPr>
          <w:lang w:eastAsia="en-AU"/>
        </w:rPr>
        <w:t> </w:t>
      </w:r>
      <w:r w:rsidRPr="00CF6016">
        <w:rPr>
          <w:lang w:eastAsia="en-AU"/>
        </w:rPr>
        <w:t xml:space="preserve">improved </w:t>
      </w:r>
      <w:r w:rsidRPr="00F73A80">
        <w:t>use</w:t>
      </w:r>
      <w:r w:rsidRPr="00CF6016">
        <w:rPr>
          <w:lang w:eastAsia="en-AU"/>
        </w:rPr>
        <w:t xml:space="preserve"> of electronic record keeping, implementation of the ‘</w:t>
      </w:r>
      <w:r w:rsidR="00665270">
        <w:rPr>
          <w:lang w:eastAsia="en-AU"/>
        </w:rPr>
        <w:t>f</w:t>
      </w:r>
      <w:r w:rsidRPr="00CF6016">
        <w:rPr>
          <w:lang w:eastAsia="en-AU"/>
        </w:rPr>
        <w:t>ollow-</w:t>
      </w:r>
      <w:r w:rsidR="00665270">
        <w:rPr>
          <w:lang w:eastAsia="en-AU"/>
        </w:rPr>
        <w:t>m</w:t>
      </w:r>
      <w:r w:rsidRPr="00CF6016">
        <w:rPr>
          <w:lang w:eastAsia="en-AU"/>
        </w:rPr>
        <w:t>e</w:t>
      </w:r>
      <w:r w:rsidR="00665270">
        <w:rPr>
          <w:lang w:eastAsia="en-AU"/>
        </w:rPr>
        <w:t>’</w:t>
      </w:r>
      <w:r w:rsidRPr="00CF6016">
        <w:rPr>
          <w:lang w:eastAsia="en-AU"/>
        </w:rPr>
        <w:t xml:space="preserve"> printing system, and improved communication. The paper usage per FTE indicator increased due to</w:t>
      </w:r>
      <w:r w:rsidR="00B45152">
        <w:rPr>
          <w:lang w:eastAsia="en-AU"/>
        </w:rPr>
        <w:t> </w:t>
      </w:r>
      <w:r w:rsidRPr="00CF6016">
        <w:rPr>
          <w:lang w:eastAsia="en-AU"/>
        </w:rPr>
        <w:t>FTE reductions that took effect during the reporting year.</w:t>
      </w:r>
    </w:p>
    <w:p w14:paraId="02D97A79" w14:textId="46F4DC9F" w:rsidR="002954CA" w:rsidRPr="00CF6016" w:rsidRDefault="00E9392F" w:rsidP="002954CA">
      <w:pPr>
        <w:pStyle w:val="Heading3"/>
      </w:pPr>
      <w:r>
        <w:br w:type="column"/>
      </w:r>
      <w:r w:rsidR="002954CA" w:rsidRPr="00CF6016">
        <w:t>Waste</w:t>
      </w:r>
    </w:p>
    <w:p w14:paraId="6C3C2DA6" w14:textId="77777777" w:rsidR="002954CA" w:rsidRPr="00CF6016" w:rsidRDefault="002954CA" w:rsidP="002954CA">
      <w:pPr>
        <w:pStyle w:val="ARbody"/>
      </w:pPr>
      <w:r w:rsidRPr="00CF6016">
        <w:t>The department is committed to the effective management of waste to reduce operational costs and environmental impacts, as well as potential public health risks to our staff, our clients and the broader Victorian community.</w:t>
      </w:r>
    </w:p>
    <w:p w14:paraId="5BB03443" w14:textId="77777777" w:rsidR="002954CA" w:rsidRPr="00CF6016" w:rsidRDefault="002954CA" w:rsidP="00E34BA4">
      <w:pPr>
        <w:pStyle w:val="ARbody"/>
        <w:keepNext/>
        <w:keepLines/>
      </w:pPr>
      <w:r w:rsidRPr="00CF6016">
        <w:t xml:space="preserve">In </w:t>
      </w:r>
      <w:r>
        <w:t>2018–19</w:t>
      </w:r>
      <w:r w:rsidRPr="00CF6016">
        <w:t>, the department:</w:t>
      </w:r>
    </w:p>
    <w:p w14:paraId="11D1E1F5" w14:textId="77777777" w:rsidR="002954CA" w:rsidRPr="00F73A80" w:rsidRDefault="002954CA" w:rsidP="002954CA">
      <w:pPr>
        <w:pStyle w:val="ARbullet1"/>
      </w:pPr>
      <w:r w:rsidRPr="00F73A80">
        <w:t>undertook work with procurement services to change purchasing practices for disposable coffee cups in office buildings. New purchasing practices were implemented from December 2018 and have resulted in an annualised reduction of disposable</w:t>
      </w:r>
      <w:r w:rsidR="00665270">
        <w:t>-</w:t>
      </w:r>
      <w:r w:rsidRPr="00F73A80">
        <w:t>cup purchasing by approximately 120,000 units</w:t>
      </w:r>
    </w:p>
    <w:p w14:paraId="3BD631E5" w14:textId="40087B18" w:rsidR="002954CA" w:rsidRPr="00F73A80" w:rsidRDefault="002954CA" w:rsidP="002954CA">
      <w:pPr>
        <w:pStyle w:val="ARbullet1"/>
      </w:pPr>
      <w:r w:rsidRPr="00F73A80">
        <w:t>continued the Simply Cups coffee</w:t>
      </w:r>
      <w:r w:rsidR="00665270">
        <w:t>–</w:t>
      </w:r>
      <w:r w:rsidRPr="00F73A80">
        <w:t>cup recycling</w:t>
      </w:r>
      <w:r w:rsidR="00B45152">
        <w:t> </w:t>
      </w:r>
      <w:r w:rsidRPr="00F73A80">
        <w:t xml:space="preserve">program, diverting </w:t>
      </w:r>
      <w:r w:rsidR="00665270">
        <w:t>more than</w:t>
      </w:r>
      <w:r w:rsidR="00665270" w:rsidRPr="00F73A80">
        <w:t xml:space="preserve"> </w:t>
      </w:r>
      <w:r w:rsidRPr="00F73A80">
        <w:t>150,000</w:t>
      </w:r>
      <w:r w:rsidR="00B45152">
        <w:t> </w:t>
      </w:r>
      <w:r w:rsidRPr="00F73A80">
        <w:t>cups from landfill</w:t>
      </w:r>
    </w:p>
    <w:p w14:paraId="2344F962" w14:textId="77777777" w:rsidR="002954CA" w:rsidRPr="00F73A80" w:rsidRDefault="002954CA" w:rsidP="002954CA">
      <w:pPr>
        <w:pStyle w:val="ARbullet1"/>
      </w:pPr>
      <w:r w:rsidRPr="00F73A80">
        <w:t>collected over 42,000 kg of decommissioned information technology assets from the department’s offices for secure recycling through a dedicated e-waste provider</w:t>
      </w:r>
    </w:p>
    <w:p w14:paraId="281FDA41" w14:textId="2CB36851" w:rsidR="002954CA" w:rsidRPr="00F73A80" w:rsidRDefault="002954CA" w:rsidP="002954CA">
      <w:pPr>
        <w:pStyle w:val="ARbullet1"/>
      </w:pPr>
      <w:r w:rsidRPr="00F73A80">
        <w:t xml:space="preserve">researched a soft plastics recycling trial for </w:t>
      </w:r>
      <w:r w:rsidR="00665270" w:rsidRPr="00F73A80">
        <w:t>50</w:t>
      </w:r>
      <w:r w:rsidR="00665270">
        <w:t> </w:t>
      </w:r>
      <w:r w:rsidRPr="00F73A80">
        <w:t>Lonsdale Street, Melbourne. While no commercial arrangement was found to be viable, the department’s sustainability committee</w:t>
      </w:r>
      <w:r w:rsidR="00B45152">
        <w:t> </w:t>
      </w:r>
      <w:r w:rsidRPr="00F73A80">
        <w:t>is now planning to test collections on</w:t>
      </w:r>
      <w:r w:rsidR="00B45152">
        <w:t> </w:t>
      </w:r>
      <w:r w:rsidRPr="00F73A80">
        <w:t>a small</w:t>
      </w:r>
      <w:r w:rsidR="00665270">
        <w:t>-</w:t>
      </w:r>
      <w:r w:rsidRPr="00F73A80">
        <w:t>scale, voluntary basis</w:t>
      </w:r>
    </w:p>
    <w:p w14:paraId="6904A52F" w14:textId="77777777" w:rsidR="002954CA" w:rsidRPr="00F73A80" w:rsidRDefault="002954CA" w:rsidP="002954CA">
      <w:pPr>
        <w:pStyle w:val="ARbullet1"/>
      </w:pPr>
      <w:r w:rsidRPr="00F73A80">
        <w:t>undertook several interventions to increase resource recovery and reduce waste generation in the public health sector</w:t>
      </w:r>
      <w:r w:rsidR="00665270">
        <w:t>,</w:t>
      </w:r>
      <w:r w:rsidRPr="00F73A80">
        <w:t xml:space="preserve"> resulting in an increase in the amount of recycled materials collected by 534 tonnes, or 6 per cent</w:t>
      </w:r>
    </w:p>
    <w:p w14:paraId="7241F767" w14:textId="4A91D394" w:rsidR="002954CA" w:rsidRPr="00D01E35" w:rsidRDefault="002954CA" w:rsidP="002954CA">
      <w:pPr>
        <w:pStyle w:val="ARbullet1"/>
      </w:pPr>
      <w:r w:rsidRPr="00F73A80">
        <w:t>mandated PVC recycling in the theatre, renal and intensive care departments of all 32</w:t>
      </w:r>
      <w:r w:rsidRPr="00CF6016">
        <w:t xml:space="preserve"> public hospitals in Melbourne, with collections being established in 62 of the 71 targeted departments. In </w:t>
      </w:r>
      <w:r>
        <w:t>2018–19</w:t>
      </w:r>
      <w:r w:rsidR="00665270">
        <w:t>,</w:t>
      </w:r>
      <w:r w:rsidRPr="00CF6016">
        <w:t xml:space="preserve"> 33.8 tonnes of PVC</w:t>
      </w:r>
      <w:r w:rsidR="00B45152">
        <w:t> </w:t>
      </w:r>
      <w:r w:rsidRPr="00CF6016">
        <w:t xml:space="preserve">was collected, a 143 per cent increase compared </w:t>
      </w:r>
      <w:r w:rsidR="00665270">
        <w:t>with</w:t>
      </w:r>
      <w:r w:rsidRPr="00CF6016">
        <w:t xml:space="preserve"> 2017</w:t>
      </w:r>
      <w:r w:rsidR="00EF7B10">
        <w:t>–</w:t>
      </w:r>
      <w:r w:rsidRPr="00CF6016">
        <w:t xml:space="preserve">18 and a 449 per cent </w:t>
      </w:r>
      <w:r w:rsidRPr="00D01E35">
        <w:t xml:space="preserve">increase </w:t>
      </w:r>
      <w:r w:rsidR="00665270">
        <w:t>since</w:t>
      </w:r>
      <w:r w:rsidR="00665270" w:rsidRPr="00D01E35">
        <w:t xml:space="preserve"> </w:t>
      </w:r>
      <w:r w:rsidRPr="00D01E35">
        <w:t>2016</w:t>
      </w:r>
      <w:r w:rsidR="00EF7B10">
        <w:t>–</w:t>
      </w:r>
      <w:r w:rsidRPr="00D01E35">
        <w:t>17.</w:t>
      </w:r>
    </w:p>
    <w:p w14:paraId="67BD29DE" w14:textId="77777777" w:rsidR="002954CA" w:rsidRPr="00D01E35" w:rsidRDefault="002954CA" w:rsidP="002954CA">
      <w:pPr>
        <w:pStyle w:val="ARbullet1"/>
      </w:pPr>
      <w:r w:rsidRPr="00D01E35">
        <w:t>prepared waste audit guidelines for public hospitals and health services.</w:t>
      </w:r>
    </w:p>
    <w:p w14:paraId="5EFC28CD" w14:textId="77777777" w:rsidR="002954CA" w:rsidRPr="00CF6016" w:rsidRDefault="002954CA" w:rsidP="002954CA">
      <w:pPr>
        <w:pStyle w:val="Heading4"/>
      </w:pPr>
      <w:r w:rsidRPr="00CF6016">
        <w:t>Office-based performance</w:t>
      </w:r>
    </w:p>
    <w:p w14:paraId="0AB623AE" w14:textId="77777777" w:rsidR="002954CA" w:rsidRPr="00CF6016" w:rsidRDefault="002954CA" w:rsidP="002954CA">
      <w:pPr>
        <w:pStyle w:val="ARbodyafterbullets"/>
        <w:rPr>
          <w:lang w:eastAsia="en-AU"/>
        </w:rPr>
      </w:pPr>
      <w:r w:rsidRPr="00CF6016">
        <w:rPr>
          <w:lang w:eastAsia="en-AU"/>
        </w:rPr>
        <w:t xml:space="preserve">In </w:t>
      </w:r>
      <w:r>
        <w:rPr>
          <w:lang w:eastAsia="en-AU"/>
        </w:rPr>
        <w:t>2018–19</w:t>
      </w:r>
      <w:r w:rsidR="00665270">
        <w:rPr>
          <w:lang w:eastAsia="en-AU"/>
        </w:rPr>
        <w:t>,</w:t>
      </w:r>
      <w:r w:rsidRPr="00CF6016">
        <w:rPr>
          <w:lang w:eastAsia="en-AU"/>
        </w:rPr>
        <w:t xml:space="preserve"> the performance trend:</w:t>
      </w:r>
    </w:p>
    <w:p w14:paraId="08839093" w14:textId="4AAC134F" w:rsidR="002954CA" w:rsidRPr="00F73A80" w:rsidRDefault="002954CA" w:rsidP="002954CA">
      <w:pPr>
        <w:pStyle w:val="ARbullet1"/>
      </w:pPr>
      <w:r w:rsidRPr="00F73A80">
        <w:t>indicated a reduction in overall office-based waste volumes, largely attributable to an improvement in the accuracy of waste audit data</w:t>
      </w:r>
      <w:r w:rsidR="00B45152">
        <w:t> </w:t>
      </w:r>
      <w:r w:rsidRPr="00F73A80">
        <w:t>and estimations.</w:t>
      </w:r>
    </w:p>
    <w:p w14:paraId="190A9B4F" w14:textId="77777777" w:rsidR="00E9392F" w:rsidRDefault="00E9392F" w:rsidP="00E9392F">
      <w:pPr>
        <w:pStyle w:val="ARbody"/>
        <w:rPr>
          <w:rFonts w:eastAsia="MS Mincho"/>
          <w:color w:val="53565A"/>
          <w:sz w:val="24"/>
        </w:rPr>
      </w:pPr>
      <w:r>
        <w:br w:type="page"/>
      </w:r>
    </w:p>
    <w:p w14:paraId="3A4DFA05" w14:textId="0CD9C296" w:rsidR="002954CA" w:rsidRPr="005B7E4C" w:rsidRDefault="002954CA" w:rsidP="002954CA">
      <w:pPr>
        <w:pStyle w:val="Heading4"/>
        <w:rPr>
          <w:rFonts w:ascii="Arial Bold" w:hAnsi="Arial Bold" w:hint="eastAsia"/>
          <w:color w:val="FFFFFF" w:themeColor="background1"/>
        </w:rPr>
      </w:pPr>
      <w:r w:rsidRPr="0098438D">
        <w:t>Targets</w:t>
      </w:r>
    </w:p>
    <w:p w14:paraId="5C7D6882" w14:textId="77777777" w:rsidR="002954CA" w:rsidRPr="0098438D" w:rsidRDefault="002954CA" w:rsidP="002954CA">
      <w:pPr>
        <w:pStyle w:val="ARbodyafterbullets"/>
      </w:pPr>
      <w:r w:rsidRPr="0098438D">
        <w:t>The 2019</w:t>
      </w:r>
      <w:r w:rsidR="00EF7B10">
        <w:t>–</w:t>
      </w:r>
      <w:r w:rsidRPr="0098438D">
        <w:t>20 environmental management system targets for waste are to:</w:t>
      </w:r>
    </w:p>
    <w:p w14:paraId="521F2322" w14:textId="77777777" w:rsidR="002954CA" w:rsidRPr="00F73A80" w:rsidRDefault="002954CA" w:rsidP="002954CA">
      <w:pPr>
        <w:pStyle w:val="ARbullet1"/>
      </w:pPr>
      <w:r w:rsidRPr="00F73A80">
        <w:t>commence development of a NABERS waste tool for hospitals with other states and territories</w:t>
      </w:r>
    </w:p>
    <w:p w14:paraId="0F93BC60" w14:textId="77777777" w:rsidR="002954CA" w:rsidRPr="00F73A80" w:rsidRDefault="002954CA" w:rsidP="002954CA">
      <w:pPr>
        <w:pStyle w:val="ARbullet1"/>
      </w:pPr>
      <w:r w:rsidRPr="00F73A80">
        <w:t>complete the waste education in health</w:t>
      </w:r>
      <w:r w:rsidR="00A95BD1">
        <w:t xml:space="preserve"> </w:t>
      </w:r>
      <w:r w:rsidRPr="00F73A80">
        <w:t xml:space="preserve">care project in conjunction with Sustainability Victoria, including piloting single-use metal recycling </w:t>
      </w:r>
      <w:r w:rsidR="00A95BD1">
        <w:t>a</w:t>
      </w:r>
      <w:r w:rsidR="00516327">
        <w:t>t</w:t>
      </w:r>
      <w:r w:rsidR="00A95BD1">
        <w:t xml:space="preserve"> the</w:t>
      </w:r>
      <w:r w:rsidR="00A95BD1" w:rsidRPr="00F73A80">
        <w:t xml:space="preserve"> </w:t>
      </w:r>
      <w:r w:rsidRPr="00F73A80">
        <w:t>Alfred Hospital</w:t>
      </w:r>
    </w:p>
    <w:p w14:paraId="31AE6D5E" w14:textId="51167A6C" w:rsidR="002954CA" w:rsidRPr="00F73A80" w:rsidRDefault="002954CA" w:rsidP="002954CA">
      <w:pPr>
        <w:pStyle w:val="ARbullet1"/>
      </w:pPr>
      <w:r w:rsidRPr="00F73A80">
        <w:t>develop a template waste</w:t>
      </w:r>
      <w:r w:rsidR="00A95BD1">
        <w:t>-</w:t>
      </w:r>
      <w:r w:rsidRPr="00F73A80">
        <w:t>management plan for</w:t>
      </w:r>
      <w:r w:rsidR="009C68F8">
        <w:t> </w:t>
      </w:r>
      <w:r w:rsidRPr="00F73A80">
        <w:t>health services</w:t>
      </w:r>
    </w:p>
    <w:p w14:paraId="0BA6755C" w14:textId="77777777" w:rsidR="002954CA" w:rsidRPr="00F73A80" w:rsidRDefault="002954CA" w:rsidP="002954CA">
      <w:pPr>
        <w:pStyle w:val="ARbullet1"/>
      </w:pPr>
      <w:r w:rsidRPr="00F73A80">
        <w:t>develop a waste</w:t>
      </w:r>
      <w:r w:rsidR="00A95BD1">
        <w:t>-</w:t>
      </w:r>
      <w:r w:rsidRPr="00F73A80">
        <w:t xml:space="preserve">signage standard for kitchens that can be applied </w:t>
      </w:r>
      <w:r w:rsidR="00A95BD1">
        <w:t>at</w:t>
      </w:r>
      <w:r w:rsidRPr="00F73A80">
        <w:t xml:space="preserve"> sites throughout the state</w:t>
      </w:r>
    </w:p>
    <w:p w14:paraId="0BF10578" w14:textId="77777777" w:rsidR="002954CA" w:rsidRPr="00F73A80" w:rsidRDefault="002954CA" w:rsidP="002954CA">
      <w:pPr>
        <w:pStyle w:val="ARbullet1"/>
      </w:pPr>
      <w:r w:rsidRPr="00F73A80">
        <w:t>commence pilot collections of soft plastics for recycling at 50 Lonsdale Street, Melbourne</w:t>
      </w:r>
      <w:r w:rsidR="00A95BD1">
        <w:t>.</w:t>
      </w:r>
    </w:p>
    <w:p w14:paraId="386B852A" w14:textId="77777777" w:rsidR="002954CA" w:rsidRPr="0098438D" w:rsidRDefault="002954CA" w:rsidP="002954CA">
      <w:pPr>
        <w:pStyle w:val="Heading3"/>
      </w:pPr>
      <w:r w:rsidRPr="0098438D">
        <w:t>Sustainable transport</w:t>
      </w:r>
    </w:p>
    <w:p w14:paraId="0FE07B6C" w14:textId="77777777" w:rsidR="002954CA" w:rsidRPr="0098438D" w:rsidRDefault="002954CA" w:rsidP="002954CA">
      <w:pPr>
        <w:pStyle w:val="ARbody"/>
        <w:rPr>
          <w:rFonts w:ascii="Helv" w:hAnsi="Helv" w:cs="Helv"/>
          <w:lang w:eastAsia="en-AU"/>
        </w:rPr>
      </w:pPr>
      <w:r w:rsidRPr="0098438D">
        <w:rPr>
          <w:rFonts w:ascii="Helv" w:hAnsi="Helv" w:cs="Helv"/>
          <w:lang w:eastAsia="en-AU"/>
        </w:rPr>
        <w:t>The department continues to build a more sustainable fleet and to support initiatives that encourage staff to seek alternative modes of transportation.</w:t>
      </w:r>
    </w:p>
    <w:p w14:paraId="1ABB0D42" w14:textId="77777777" w:rsidR="008D124E" w:rsidRDefault="002954CA" w:rsidP="002954CA">
      <w:pPr>
        <w:pStyle w:val="ARbody"/>
        <w:rPr>
          <w:rFonts w:ascii="Helv" w:hAnsi="Helv" w:cs="Helv"/>
          <w:lang w:eastAsia="en-AU"/>
        </w:rPr>
      </w:pPr>
      <w:r w:rsidRPr="0098438D">
        <w:rPr>
          <w:rFonts w:ascii="Helv" w:hAnsi="Helv" w:cs="Helv"/>
          <w:lang w:eastAsia="en-AU"/>
        </w:rPr>
        <w:t xml:space="preserve">In </w:t>
      </w:r>
      <w:r>
        <w:rPr>
          <w:rFonts w:ascii="Helv" w:hAnsi="Helv" w:cs="Helv"/>
          <w:lang w:eastAsia="en-AU"/>
        </w:rPr>
        <w:t>2018–19</w:t>
      </w:r>
      <w:r w:rsidR="00086FC8">
        <w:rPr>
          <w:rFonts w:ascii="Helv" w:hAnsi="Helv" w:cs="Helv"/>
          <w:lang w:eastAsia="en-AU"/>
        </w:rPr>
        <w:t>,</w:t>
      </w:r>
      <w:r w:rsidRPr="0098438D">
        <w:rPr>
          <w:rFonts w:ascii="Helv" w:hAnsi="Helv" w:cs="Helv"/>
          <w:lang w:eastAsia="en-AU"/>
        </w:rPr>
        <w:t xml:space="preserve"> the department:</w:t>
      </w:r>
    </w:p>
    <w:p w14:paraId="337019BE" w14:textId="66637525" w:rsidR="002954CA" w:rsidRPr="00F73A80" w:rsidRDefault="002954CA" w:rsidP="002954CA">
      <w:pPr>
        <w:pStyle w:val="ARbullet1"/>
      </w:pPr>
      <w:r w:rsidRPr="00F73A80">
        <w:t xml:space="preserve">continued to implement the Efficient Fleet Procurement Policy, giving preference to </w:t>
      </w:r>
      <w:r w:rsidR="009C68F8">
        <w:br/>
      </w:r>
      <w:r w:rsidRPr="00F73A80">
        <w:t>fuel</w:t>
      </w:r>
      <w:r w:rsidR="00086FC8">
        <w:t>-</w:t>
      </w:r>
      <w:r w:rsidRPr="00F73A80">
        <w:t>efficient and low-emission vehicles</w:t>
      </w:r>
    </w:p>
    <w:p w14:paraId="6E98507B" w14:textId="74154414" w:rsidR="002954CA" w:rsidRPr="00F73A80" w:rsidRDefault="002954CA" w:rsidP="002954CA">
      <w:pPr>
        <w:pStyle w:val="ARbullet1"/>
      </w:pPr>
      <w:r w:rsidRPr="00F73A80">
        <w:t>continued to manage its fleet composition in</w:t>
      </w:r>
      <w:r w:rsidR="00072716">
        <w:t> </w:t>
      </w:r>
      <w:r w:rsidRPr="00F73A80">
        <w:t>anticipation of future changes attributable to</w:t>
      </w:r>
      <w:r w:rsidR="00072716">
        <w:t> </w:t>
      </w:r>
      <w:r w:rsidRPr="00F73A80">
        <w:t>the</w:t>
      </w:r>
      <w:r w:rsidR="009C68F8">
        <w:t> </w:t>
      </w:r>
      <w:r w:rsidR="009D25FB" w:rsidRPr="009D25FB">
        <w:t>National Disability Insurance Scheme</w:t>
      </w:r>
      <w:r w:rsidRPr="00F73A80">
        <w:t xml:space="preserve"> transition. Hybrid vehicles formed only</w:t>
      </w:r>
      <w:r w:rsidR="009C68F8">
        <w:t> </w:t>
      </w:r>
      <w:r w:rsidRPr="00F73A80">
        <w:t>24 per cent of the fleet due to procurement restrictions</w:t>
      </w:r>
    </w:p>
    <w:p w14:paraId="6454834E" w14:textId="23311987" w:rsidR="002954CA" w:rsidRPr="00F73A80" w:rsidRDefault="002954CA" w:rsidP="002954CA">
      <w:pPr>
        <w:pStyle w:val="ARbullet1"/>
      </w:pPr>
      <w:r w:rsidRPr="00F73A80">
        <w:t xml:space="preserve">promoted the Better Health Channel Cycling team’s completion of the annual Murray to Moyne event, raising </w:t>
      </w:r>
      <w:r w:rsidR="00086FC8">
        <w:t>more than</w:t>
      </w:r>
      <w:r w:rsidR="00086FC8" w:rsidRPr="00F73A80">
        <w:t xml:space="preserve"> </w:t>
      </w:r>
      <w:r w:rsidRPr="00F73A80">
        <w:t>$10,500 for</w:t>
      </w:r>
      <w:r w:rsidR="009C68F8">
        <w:t> </w:t>
      </w:r>
      <w:r w:rsidRPr="00F73A80">
        <w:t xml:space="preserve">Syndromes Without </w:t>
      </w:r>
      <w:r w:rsidR="00086FC8">
        <w:t>a</w:t>
      </w:r>
      <w:r w:rsidRPr="00F73A80">
        <w:t xml:space="preserve"> Name</w:t>
      </w:r>
    </w:p>
    <w:p w14:paraId="193E34A9" w14:textId="2C7B1F10" w:rsidR="002954CA" w:rsidRPr="00F73A80" w:rsidRDefault="002954CA" w:rsidP="002954CA">
      <w:pPr>
        <w:pStyle w:val="ARbullet1"/>
      </w:pPr>
      <w:r w:rsidRPr="00F73A80">
        <w:t>encouraged staff to participate in regular Sunday bike rides, offered by the</w:t>
      </w:r>
      <w:r w:rsidR="009C68F8">
        <w:t> </w:t>
      </w:r>
      <w:r w:rsidRPr="00F73A80">
        <w:t>Bicycle</w:t>
      </w:r>
      <w:r w:rsidR="009C68F8">
        <w:t> </w:t>
      </w:r>
      <w:r w:rsidRPr="00F73A80">
        <w:t>Users Group</w:t>
      </w:r>
    </w:p>
    <w:p w14:paraId="0276EB66" w14:textId="1CEBACC5" w:rsidR="002954CA" w:rsidRPr="00F73A80" w:rsidRDefault="002954CA" w:rsidP="002954CA">
      <w:pPr>
        <w:pStyle w:val="ARbullet1"/>
      </w:pPr>
      <w:r w:rsidRPr="00F73A80">
        <w:t>held a cycling seminar for staff at 50 Lonsdale Street, Melbourne on Ride2Work Day to encourage more staff to consider cycling to work</w:t>
      </w:r>
      <w:r w:rsidR="009C68F8">
        <w:t> </w:t>
      </w:r>
      <w:r w:rsidRPr="00F73A80">
        <w:t>or trying other active and sustainable transport options</w:t>
      </w:r>
    </w:p>
    <w:p w14:paraId="27315DC8" w14:textId="1A04BAB2" w:rsidR="002954CA" w:rsidRPr="00F73A80" w:rsidRDefault="002954CA" w:rsidP="002954CA">
      <w:pPr>
        <w:pStyle w:val="ARbullet1"/>
      </w:pPr>
      <w:r w:rsidRPr="00F73A80">
        <w:t>developed a methodology for implementing sustainable travel in hospitals. Opportunities are</w:t>
      </w:r>
      <w:r w:rsidR="009C68F8">
        <w:t> </w:t>
      </w:r>
      <w:r w:rsidRPr="00F73A80">
        <w:t>being evaluated for implementation at two</w:t>
      </w:r>
      <w:r w:rsidR="009C68F8">
        <w:t> </w:t>
      </w:r>
      <w:r w:rsidRPr="00F73A80">
        <w:t>metropolitan health services, and work is</w:t>
      </w:r>
      <w:r w:rsidR="009C68F8">
        <w:t> </w:t>
      </w:r>
      <w:r w:rsidRPr="00F73A80">
        <w:t>ongoing to refine the scope and location of</w:t>
      </w:r>
      <w:r w:rsidR="009C68F8">
        <w:t> </w:t>
      </w:r>
      <w:r w:rsidRPr="00F73A80">
        <w:t>the</w:t>
      </w:r>
      <w:r w:rsidR="009C68F8">
        <w:t> </w:t>
      </w:r>
      <w:r w:rsidRPr="00F73A80">
        <w:t>pilot</w:t>
      </w:r>
    </w:p>
    <w:p w14:paraId="2BE77E34" w14:textId="0140A569" w:rsidR="002954CA" w:rsidRPr="00F73A80" w:rsidRDefault="002954CA" w:rsidP="002954CA">
      <w:pPr>
        <w:pStyle w:val="ARbullet1"/>
      </w:pPr>
      <w:r w:rsidRPr="00F73A80">
        <w:t>commenced a project to pilot methodologies to</w:t>
      </w:r>
      <w:r w:rsidR="009C68F8">
        <w:t> </w:t>
      </w:r>
      <w:r w:rsidRPr="00F73A80">
        <w:t>improve sustainable transport to Eastern Health and Peninsula Health facilities</w:t>
      </w:r>
    </w:p>
    <w:p w14:paraId="188EBD26" w14:textId="62E4816E" w:rsidR="008D124E" w:rsidRDefault="002954CA" w:rsidP="002954CA">
      <w:pPr>
        <w:pStyle w:val="ARbullet1"/>
      </w:pPr>
      <w:r w:rsidRPr="00F73A80">
        <w:t>expanded public health service reporting to include carbon emissions from metropolitan public health service fleet vehicles and developed resources to assist health services</w:t>
      </w:r>
      <w:r w:rsidR="009C68F8">
        <w:t> </w:t>
      </w:r>
      <w:r w:rsidRPr="00F73A80">
        <w:t>better manage their vehicle fleet.</w:t>
      </w:r>
    </w:p>
    <w:p w14:paraId="612223A2" w14:textId="14F866DC" w:rsidR="002954CA" w:rsidRPr="00CF6016" w:rsidRDefault="002954CA" w:rsidP="002954CA">
      <w:pPr>
        <w:pStyle w:val="Heading4"/>
      </w:pPr>
      <w:r w:rsidRPr="00CF6016">
        <w:t>Office-based performance</w:t>
      </w:r>
    </w:p>
    <w:p w14:paraId="75BDFA4E" w14:textId="77777777" w:rsidR="002954CA" w:rsidRPr="00CF6016" w:rsidRDefault="002954CA" w:rsidP="002954CA">
      <w:pPr>
        <w:pStyle w:val="ARbodyafterbullets"/>
        <w:rPr>
          <w:lang w:eastAsia="en-AU"/>
        </w:rPr>
      </w:pPr>
      <w:r w:rsidRPr="00CF6016">
        <w:rPr>
          <w:lang w:eastAsia="en-AU"/>
        </w:rPr>
        <w:t xml:space="preserve">In </w:t>
      </w:r>
      <w:r>
        <w:rPr>
          <w:lang w:eastAsia="en-AU"/>
        </w:rPr>
        <w:t>2018–19</w:t>
      </w:r>
      <w:r w:rsidR="005C007C">
        <w:rPr>
          <w:lang w:eastAsia="en-AU"/>
        </w:rPr>
        <w:t>,</w:t>
      </w:r>
      <w:r w:rsidRPr="00CF6016">
        <w:rPr>
          <w:lang w:eastAsia="en-AU"/>
        </w:rPr>
        <w:t xml:space="preserve"> the performance trend:</w:t>
      </w:r>
    </w:p>
    <w:p w14:paraId="1438773A" w14:textId="12D19056" w:rsidR="002954CA" w:rsidRPr="00CF6016" w:rsidRDefault="002954CA" w:rsidP="002954CA">
      <w:pPr>
        <w:pStyle w:val="ARbullet1"/>
        <w:rPr>
          <w:lang w:eastAsia="en-AU"/>
        </w:rPr>
      </w:pPr>
      <w:r w:rsidRPr="00CF6016">
        <w:rPr>
          <w:lang w:eastAsia="en-AU"/>
        </w:rPr>
        <w:t xml:space="preserve">indicated a </w:t>
      </w:r>
      <w:r w:rsidR="00516327" w:rsidRPr="00CF6016">
        <w:rPr>
          <w:lang w:eastAsia="en-AU"/>
        </w:rPr>
        <w:t>deterioration</w:t>
      </w:r>
      <w:r w:rsidRPr="00CF6016">
        <w:rPr>
          <w:lang w:eastAsia="en-AU"/>
        </w:rPr>
        <w:t xml:space="preserve"> in efficiency and total emissions</w:t>
      </w:r>
      <w:r>
        <w:rPr>
          <w:lang w:eastAsia="en-AU"/>
        </w:rPr>
        <w:t xml:space="preserve"> for transport</w:t>
      </w:r>
      <w:r w:rsidRPr="00CF6016">
        <w:rPr>
          <w:lang w:eastAsia="en-AU"/>
        </w:rPr>
        <w:t xml:space="preserve">. Specification changes </w:t>
      </w:r>
      <w:r w:rsidR="005C007C">
        <w:rPr>
          <w:lang w:eastAsia="en-AU"/>
        </w:rPr>
        <w:t>to</w:t>
      </w:r>
      <w:r w:rsidR="009C68F8">
        <w:rPr>
          <w:lang w:eastAsia="en-AU"/>
        </w:rPr>
        <w:t> </w:t>
      </w:r>
      <w:r w:rsidRPr="00CF6016">
        <w:rPr>
          <w:lang w:eastAsia="en-AU"/>
        </w:rPr>
        <w:t xml:space="preserve">the department’s preferred hybrid sedan resulted in it </w:t>
      </w:r>
      <w:r>
        <w:rPr>
          <w:lang w:eastAsia="en-AU"/>
        </w:rPr>
        <w:t>not meeting</w:t>
      </w:r>
      <w:r w:rsidRPr="00CF6016">
        <w:rPr>
          <w:lang w:eastAsia="en-AU"/>
        </w:rPr>
        <w:t xml:space="preserve"> minimum requirements and </w:t>
      </w:r>
      <w:r>
        <w:rPr>
          <w:lang w:eastAsia="en-AU"/>
        </w:rPr>
        <w:t xml:space="preserve">therefore </w:t>
      </w:r>
      <w:r w:rsidRPr="00CF6016">
        <w:rPr>
          <w:lang w:eastAsia="en-AU"/>
        </w:rPr>
        <w:t xml:space="preserve">being ineligible for </w:t>
      </w:r>
      <w:r w:rsidRPr="00F73A80">
        <w:t>procurement</w:t>
      </w:r>
      <w:r w:rsidRPr="00CF6016">
        <w:rPr>
          <w:lang w:eastAsia="en-AU"/>
        </w:rPr>
        <w:t xml:space="preserve">. An increase in total kilometres travelled </w:t>
      </w:r>
      <w:r w:rsidR="005C007C">
        <w:rPr>
          <w:lang w:eastAsia="en-AU"/>
        </w:rPr>
        <w:t>also</w:t>
      </w:r>
      <w:r w:rsidR="005C007C" w:rsidRPr="00CF6016">
        <w:rPr>
          <w:lang w:eastAsia="en-AU"/>
        </w:rPr>
        <w:t xml:space="preserve"> </w:t>
      </w:r>
      <w:r w:rsidRPr="00CF6016">
        <w:rPr>
          <w:lang w:eastAsia="en-AU"/>
        </w:rPr>
        <w:t>contributed to increased emissions from fleet. Air</w:t>
      </w:r>
      <w:r w:rsidR="005C007C">
        <w:rPr>
          <w:lang w:eastAsia="en-AU"/>
        </w:rPr>
        <w:t>-</w:t>
      </w:r>
      <w:r w:rsidRPr="00CF6016">
        <w:rPr>
          <w:lang w:eastAsia="en-AU"/>
        </w:rPr>
        <w:t>travel kilometres and resulting emissions increased due to the department’s business requirements, while results of the department’s commuter travel survey improved.</w:t>
      </w:r>
    </w:p>
    <w:p w14:paraId="5542AD55" w14:textId="77777777" w:rsidR="002954CA" w:rsidRPr="00CF6016" w:rsidRDefault="002954CA" w:rsidP="002954CA">
      <w:pPr>
        <w:pStyle w:val="Heading4"/>
      </w:pPr>
      <w:r w:rsidRPr="00CF6016">
        <w:t>Targets</w:t>
      </w:r>
    </w:p>
    <w:p w14:paraId="7A0077BB" w14:textId="77777777" w:rsidR="002954CA" w:rsidRPr="00CF6016" w:rsidRDefault="002954CA" w:rsidP="002954CA">
      <w:pPr>
        <w:pStyle w:val="ARbodyafterbullets"/>
        <w:rPr>
          <w:lang w:eastAsia="en-AU"/>
        </w:rPr>
      </w:pPr>
      <w:r w:rsidRPr="00CF6016">
        <w:rPr>
          <w:lang w:eastAsia="en-AU"/>
        </w:rPr>
        <w:t xml:space="preserve">The </w:t>
      </w:r>
      <w:r>
        <w:rPr>
          <w:lang w:eastAsia="en-AU"/>
        </w:rPr>
        <w:t>2018–19</w:t>
      </w:r>
      <w:r w:rsidRPr="00CF6016">
        <w:rPr>
          <w:lang w:eastAsia="en-AU"/>
        </w:rPr>
        <w:t xml:space="preserve"> environmental management system targets for sustainable transport are to:</w:t>
      </w:r>
    </w:p>
    <w:p w14:paraId="7EFE49AD" w14:textId="6483536C" w:rsidR="002954CA" w:rsidRPr="00F73A80" w:rsidRDefault="002954CA" w:rsidP="002954CA">
      <w:pPr>
        <w:pStyle w:val="ARbullet1"/>
      </w:pPr>
      <w:r w:rsidRPr="00F73A80">
        <w:t>complete the sustainable transport pilot at</w:t>
      </w:r>
      <w:r w:rsidR="009C68F8">
        <w:t> </w:t>
      </w:r>
      <w:r w:rsidRPr="00F73A80">
        <w:t>Eastern Health and Peninsula Health</w:t>
      </w:r>
    </w:p>
    <w:p w14:paraId="7C5D5EB7" w14:textId="77777777" w:rsidR="002954CA" w:rsidRPr="00F73A80" w:rsidRDefault="002954CA" w:rsidP="002954CA">
      <w:pPr>
        <w:pStyle w:val="ARbullet1"/>
      </w:pPr>
      <w:r w:rsidRPr="00F73A80">
        <w:t>expand public health service reporting to include carbon emissions from regional public health service fleet vehicles.</w:t>
      </w:r>
    </w:p>
    <w:p w14:paraId="25078FD6" w14:textId="77777777" w:rsidR="002954CA" w:rsidRPr="00CF6016" w:rsidRDefault="002954CA" w:rsidP="002954CA">
      <w:pPr>
        <w:pStyle w:val="Heading3"/>
      </w:pPr>
      <w:r w:rsidRPr="00CF6016">
        <w:t>Climate change adaptation</w:t>
      </w:r>
    </w:p>
    <w:p w14:paraId="2E25DA3D" w14:textId="77777777" w:rsidR="002954CA" w:rsidRPr="00CF6016" w:rsidRDefault="002954CA" w:rsidP="002954CA">
      <w:pPr>
        <w:pStyle w:val="ARbody"/>
      </w:pPr>
      <w:r w:rsidRPr="00CF6016">
        <w:t>The department is committed to driving mitigation and adaptation initiatives, and to proactively managing climate change risks for our clients, assets and services.</w:t>
      </w:r>
    </w:p>
    <w:p w14:paraId="7D32134C" w14:textId="77777777" w:rsidR="002954CA" w:rsidRPr="00CF6016" w:rsidRDefault="002954CA" w:rsidP="002954CA">
      <w:pPr>
        <w:pStyle w:val="ARbody"/>
      </w:pPr>
      <w:r w:rsidRPr="00CF6016">
        <w:t xml:space="preserve">In </w:t>
      </w:r>
      <w:r>
        <w:t>2018–19</w:t>
      </w:r>
      <w:r w:rsidRPr="00CF6016">
        <w:t>, the department:</w:t>
      </w:r>
    </w:p>
    <w:p w14:paraId="051B5335" w14:textId="77777777" w:rsidR="002954CA" w:rsidRPr="00CF6016" w:rsidRDefault="002954CA" w:rsidP="002954CA">
      <w:pPr>
        <w:pStyle w:val="ARbullet1"/>
        <w:rPr>
          <w:rFonts w:ascii="Calibri" w:hAnsi="Calibri"/>
          <w:sz w:val="22"/>
          <w:szCs w:val="22"/>
        </w:rPr>
      </w:pPr>
      <w:r w:rsidRPr="00CF6016">
        <w:t xml:space="preserve">progressed the development of the pilot climate change adaptation action plan and emissions reduction </w:t>
      </w:r>
      <w:r w:rsidRPr="009E5469">
        <w:t>plan</w:t>
      </w:r>
      <w:r w:rsidRPr="00CF6016">
        <w:t>. The adaptation action plan is scheduled for completion by December 2019</w:t>
      </w:r>
    </w:p>
    <w:p w14:paraId="0453D0D4" w14:textId="12E75CF6" w:rsidR="002954CA" w:rsidRPr="009E5469" w:rsidRDefault="002954CA" w:rsidP="002954CA">
      <w:pPr>
        <w:pStyle w:val="ARbullet1"/>
      </w:pPr>
      <w:r w:rsidRPr="00CF6016">
        <w:t>completed a baseline inventory of health and human services emissions. The inventory forms</w:t>
      </w:r>
      <w:r w:rsidR="009C68F8">
        <w:t> </w:t>
      </w:r>
      <w:r w:rsidRPr="00CF6016">
        <w:t xml:space="preserve">the </w:t>
      </w:r>
      <w:r w:rsidRPr="009E5469">
        <w:t>first step in determining an emission reduction pathway for the health and human services system</w:t>
      </w:r>
    </w:p>
    <w:p w14:paraId="3ED063F6" w14:textId="77777777" w:rsidR="009C68F8" w:rsidRDefault="009C68F8" w:rsidP="002954CA">
      <w:pPr>
        <w:pStyle w:val="ARbullet1"/>
      </w:pPr>
      <w:r>
        <w:br w:type="page"/>
      </w:r>
    </w:p>
    <w:p w14:paraId="579F1A7E" w14:textId="26023C4F" w:rsidR="008D124E" w:rsidRDefault="002954CA" w:rsidP="002954CA">
      <w:pPr>
        <w:pStyle w:val="ARbullet1"/>
      </w:pPr>
      <w:r w:rsidRPr="009E5469">
        <w:t>completed a climate change risk assessment of public housing and public hospital infrastructure. The assessments improved our understanding of exposure in the public housing and public health systems to climate-induced threats that may have a material impact on infrastructure,</w:t>
      </w:r>
      <w:r w:rsidRPr="00CF6016">
        <w:t xml:space="preserve"> assets and services in the future.</w:t>
      </w:r>
    </w:p>
    <w:p w14:paraId="0B41B244" w14:textId="36FB0943" w:rsidR="002954CA" w:rsidRPr="00CF6016" w:rsidRDefault="002954CA" w:rsidP="002954CA">
      <w:pPr>
        <w:pStyle w:val="Heading4"/>
      </w:pPr>
      <w:r w:rsidRPr="00CF6016">
        <w:t>Targets</w:t>
      </w:r>
    </w:p>
    <w:p w14:paraId="72609C0A" w14:textId="3BF7DAB6" w:rsidR="002954CA" w:rsidRPr="00CF6016" w:rsidRDefault="002954CA" w:rsidP="00622745">
      <w:pPr>
        <w:pStyle w:val="ARbody"/>
        <w:spacing w:after="60"/>
      </w:pPr>
      <w:r w:rsidRPr="00CF6016">
        <w:t>The 2019</w:t>
      </w:r>
      <w:r w:rsidR="00EF7B10">
        <w:t>–</w:t>
      </w:r>
      <w:r w:rsidRPr="00CF6016">
        <w:t>20 environmental management system targets for climate change adaptation are</w:t>
      </w:r>
      <w:r w:rsidR="009C68F8">
        <w:t> </w:t>
      </w:r>
      <w:r w:rsidRPr="00CF6016">
        <w:t>to:</w:t>
      </w:r>
    </w:p>
    <w:p w14:paraId="7F4F1474" w14:textId="77777777" w:rsidR="002954CA" w:rsidRPr="00CF6016" w:rsidRDefault="002954CA" w:rsidP="00622745">
      <w:pPr>
        <w:pStyle w:val="ARbullet1"/>
        <w:spacing w:after="20"/>
      </w:pPr>
      <w:r w:rsidRPr="00CF6016">
        <w:t xml:space="preserve">commence implementation and communication of the </w:t>
      </w:r>
      <w:r w:rsidRPr="009E5469">
        <w:t>department’s</w:t>
      </w:r>
      <w:r w:rsidRPr="00CF6016">
        <w:t xml:space="preserve"> pilot climate change adaptation action plan</w:t>
      </w:r>
      <w:r w:rsidR="00E37A62">
        <w:t>.</w:t>
      </w:r>
    </w:p>
    <w:p w14:paraId="17D0AAD7" w14:textId="77777777" w:rsidR="002954CA" w:rsidRPr="00CF6016" w:rsidRDefault="002954CA" w:rsidP="00622745">
      <w:pPr>
        <w:pStyle w:val="Heading3"/>
        <w:spacing w:before="240"/>
        <w:rPr>
          <w:sz w:val="20"/>
          <w:szCs w:val="20"/>
        </w:rPr>
      </w:pPr>
      <w:r w:rsidRPr="00CF6016">
        <w:t>Communications and behaviour change</w:t>
      </w:r>
    </w:p>
    <w:p w14:paraId="3B36C7F5" w14:textId="22DA0D79" w:rsidR="002954CA" w:rsidRPr="00CF6016" w:rsidRDefault="002954CA" w:rsidP="00622745">
      <w:pPr>
        <w:pStyle w:val="ARbody"/>
        <w:spacing w:after="60"/>
      </w:pPr>
      <w:r w:rsidRPr="00CF6016">
        <w:t>The department promotes sustainable behaviour to all staff and aims to raise awareness and engagement with environmental issues in order to</w:t>
      </w:r>
      <w:r w:rsidR="009C68F8">
        <w:t> </w:t>
      </w:r>
      <w:r w:rsidRPr="00CF6016">
        <w:t>drive positive environmental outcomes.</w:t>
      </w:r>
    </w:p>
    <w:p w14:paraId="549BC56C" w14:textId="77777777" w:rsidR="008D124E" w:rsidRDefault="002954CA" w:rsidP="00622745">
      <w:pPr>
        <w:pStyle w:val="ARbody"/>
        <w:spacing w:after="80"/>
      </w:pPr>
      <w:r w:rsidRPr="00CF6016">
        <w:t>In 2018–19</w:t>
      </w:r>
      <w:r w:rsidR="00E37A62">
        <w:t>,</w:t>
      </w:r>
      <w:r w:rsidRPr="00CF6016">
        <w:t xml:space="preserve"> the department:</w:t>
      </w:r>
    </w:p>
    <w:p w14:paraId="3DE67160" w14:textId="0DC834BC" w:rsidR="002954CA" w:rsidRPr="00622745" w:rsidRDefault="002954CA" w:rsidP="00622745">
      <w:pPr>
        <w:pStyle w:val="ARbullet1"/>
        <w:spacing w:after="20"/>
      </w:pPr>
      <w:r w:rsidRPr="00622745">
        <w:t xml:space="preserve">released its </w:t>
      </w:r>
      <w:r w:rsidRPr="00622745">
        <w:rPr>
          <w:i/>
        </w:rPr>
        <w:t>Environmental sustainability strategy 2018–19</w:t>
      </w:r>
      <w:r w:rsidRPr="00622745">
        <w:t xml:space="preserve"> </w:t>
      </w:r>
      <w:r w:rsidRPr="00E34BA4">
        <w:rPr>
          <w:i/>
          <w:iCs/>
        </w:rPr>
        <w:t>to 2022</w:t>
      </w:r>
      <w:r w:rsidR="00622745" w:rsidRPr="00E34BA4">
        <w:rPr>
          <w:i/>
          <w:iCs/>
        </w:rPr>
        <w:t>–</w:t>
      </w:r>
      <w:r w:rsidRPr="00E34BA4">
        <w:rPr>
          <w:i/>
          <w:iCs/>
        </w:rPr>
        <w:t xml:space="preserve">23 </w:t>
      </w:r>
      <w:r w:rsidRPr="00622745">
        <w:t>for the public health system</w:t>
      </w:r>
      <w:r w:rsidR="00E37A62">
        <w:t>,</w:t>
      </w:r>
      <w:r w:rsidRPr="00622745">
        <w:t xml:space="preserve"> focusing on leadership and engagement, improving environmental performance and climate change</w:t>
      </w:r>
      <w:r w:rsidR="005620C3">
        <w:t xml:space="preserve"> resilience</w:t>
      </w:r>
    </w:p>
    <w:p w14:paraId="4C984EE2" w14:textId="77777777" w:rsidR="002954CA" w:rsidRPr="00622745" w:rsidRDefault="002954CA" w:rsidP="00622745">
      <w:pPr>
        <w:pStyle w:val="ARbullet1"/>
        <w:spacing w:after="20"/>
      </w:pPr>
      <w:r w:rsidRPr="00622745">
        <w:t>funded 12 projects across 10 health services through its environmental sustainability innovation grant program. The program supported innovations in recycling, waste avoidance, lifecycle assessments, climate adaptation, energy use of imaging equipment and food services</w:t>
      </w:r>
    </w:p>
    <w:p w14:paraId="0A171A3C" w14:textId="19119814" w:rsidR="002954CA" w:rsidRPr="00622745" w:rsidRDefault="002954CA" w:rsidP="00622745">
      <w:pPr>
        <w:pStyle w:val="ARbullet1"/>
        <w:spacing w:after="20"/>
      </w:pPr>
      <w:r w:rsidRPr="00622745">
        <w:t>joined the Global Green and Healthy Hospitals network. At the end of 2018–19, 13 public health</w:t>
      </w:r>
      <w:r w:rsidR="009C68F8">
        <w:t> </w:t>
      </w:r>
      <w:r w:rsidRPr="00622745">
        <w:t>services were members of the network</w:t>
      </w:r>
    </w:p>
    <w:p w14:paraId="33561304" w14:textId="5B53AA09" w:rsidR="002954CA" w:rsidRPr="00622745" w:rsidRDefault="002954CA" w:rsidP="00622745">
      <w:pPr>
        <w:pStyle w:val="ARbullet1"/>
        <w:spacing w:after="20"/>
      </w:pPr>
      <w:r w:rsidRPr="00622745">
        <w:t>required health services to nominate environmental sustainability actions as part of</w:t>
      </w:r>
      <w:r w:rsidR="009C68F8">
        <w:t> </w:t>
      </w:r>
      <w:r w:rsidRPr="00622745">
        <w:t>their 2019</w:t>
      </w:r>
      <w:r w:rsidR="00EF7B10" w:rsidRPr="00622745">
        <w:t>–</w:t>
      </w:r>
      <w:r w:rsidRPr="00622745">
        <w:t>20 Statement of Priorities</w:t>
      </w:r>
    </w:p>
    <w:p w14:paraId="0824422B" w14:textId="77777777" w:rsidR="002954CA" w:rsidRPr="00622745" w:rsidRDefault="002954CA" w:rsidP="00622745">
      <w:pPr>
        <w:pStyle w:val="ARbullet1"/>
        <w:spacing w:after="20"/>
      </w:pPr>
      <w:r w:rsidRPr="00622745">
        <w:t>recommenced regular meetings of the Future Sustainability Committee staff volunteer group. The committee took part in promoting several environmental events throughout the year, including Earth Hour, Plastic-Free July and National Recycling Week.</w:t>
      </w:r>
    </w:p>
    <w:p w14:paraId="720B2A8F" w14:textId="77777777" w:rsidR="002954CA" w:rsidRPr="00CF6016" w:rsidRDefault="002954CA" w:rsidP="002954CA">
      <w:pPr>
        <w:pStyle w:val="Heading4"/>
      </w:pPr>
      <w:r w:rsidRPr="00CF6016">
        <w:t>Targets</w:t>
      </w:r>
    </w:p>
    <w:p w14:paraId="316C9FF8" w14:textId="5B2337A7" w:rsidR="002954CA" w:rsidRPr="00CF6016" w:rsidRDefault="002954CA" w:rsidP="00622745">
      <w:pPr>
        <w:pStyle w:val="ARbodyafterbullets"/>
        <w:spacing w:after="80"/>
      </w:pPr>
      <w:r w:rsidRPr="00CF6016">
        <w:t>The 2018–19 environmental management system targets for communications and behaviour</w:t>
      </w:r>
      <w:r w:rsidR="009C68F8">
        <w:t> </w:t>
      </w:r>
      <w:r w:rsidRPr="00CF6016">
        <w:t>change are to:</w:t>
      </w:r>
    </w:p>
    <w:p w14:paraId="2F41B5DA" w14:textId="77777777" w:rsidR="002954CA" w:rsidRPr="009E5469" w:rsidRDefault="002954CA" w:rsidP="00622745">
      <w:pPr>
        <w:pStyle w:val="ARbullet1"/>
        <w:spacing w:after="20"/>
      </w:pPr>
      <w:bookmarkStart w:id="203" w:name="_Hlk17801189"/>
      <w:r w:rsidRPr="009E5469">
        <w:t xml:space="preserve">publish a 2018–19 performance report and 2019-20 action plan for the </w:t>
      </w:r>
      <w:r w:rsidRPr="009E5469">
        <w:rPr>
          <w:i/>
        </w:rPr>
        <w:t>Environmental sustainability strategy 2018–19</w:t>
      </w:r>
      <w:r w:rsidRPr="009E5469">
        <w:t xml:space="preserve"> </w:t>
      </w:r>
      <w:r w:rsidRPr="00CC372A">
        <w:rPr>
          <w:i/>
          <w:iCs/>
        </w:rPr>
        <w:t>to 2022–23</w:t>
      </w:r>
    </w:p>
    <w:p w14:paraId="06EA2DFC" w14:textId="2E91D9D5" w:rsidR="002954CA" w:rsidRPr="009E5469" w:rsidRDefault="002954CA" w:rsidP="00622745">
      <w:pPr>
        <w:pStyle w:val="ARbullet1"/>
        <w:spacing w:after="20"/>
      </w:pPr>
      <w:r w:rsidRPr="009E5469">
        <w:t xml:space="preserve">capture </w:t>
      </w:r>
      <w:r w:rsidR="00E37A62">
        <w:t>knowledge</w:t>
      </w:r>
      <w:r w:rsidR="00E37A62" w:rsidRPr="009E5469">
        <w:t xml:space="preserve"> </w:t>
      </w:r>
      <w:r w:rsidRPr="009E5469">
        <w:t>from projects delivered through the environmental sustainability innovation grant program and promote to the</w:t>
      </w:r>
      <w:r w:rsidR="009C68F8">
        <w:t> </w:t>
      </w:r>
      <w:r w:rsidRPr="009E5469">
        <w:t>sector.</w:t>
      </w:r>
    </w:p>
    <w:p w14:paraId="60F2E274" w14:textId="77777777" w:rsidR="002954CA" w:rsidRPr="00CF6016" w:rsidRDefault="002954CA" w:rsidP="002954CA">
      <w:pPr>
        <w:pStyle w:val="Heading3"/>
      </w:pPr>
      <w:bookmarkStart w:id="204" w:name="_Hlk18945449"/>
      <w:r w:rsidRPr="00CF6016">
        <w:t>Environmental performance reporting</w:t>
      </w:r>
    </w:p>
    <w:p w14:paraId="60E66809" w14:textId="77777777" w:rsidR="002954CA" w:rsidRPr="00CF6016" w:rsidRDefault="002954CA" w:rsidP="002954CA">
      <w:pPr>
        <w:pStyle w:val="ARbody"/>
      </w:pPr>
      <w:r w:rsidRPr="00CF6016">
        <w:t>The following information has been prepared in accordance with Financial Reporting Direction (FRD) 24D and the Global Reporting Initiative (G4) environmental category.</w:t>
      </w:r>
    </w:p>
    <w:p w14:paraId="023210B1" w14:textId="77777777" w:rsidR="002954CA" w:rsidRPr="00CF6016" w:rsidRDefault="002954CA" w:rsidP="002954CA">
      <w:pPr>
        <w:pStyle w:val="ARbody"/>
      </w:pPr>
      <w:r w:rsidRPr="00CF6016">
        <w:t>The information relates to the department’s impact on living and non-living natural systems, including land, air, water and ecosystems.</w:t>
      </w:r>
    </w:p>
    <w:p w14:paraId="55B70D99" w14:textId="77777777" w:rsidR="002954CA" w:rsidRPr="00CF6016" w:rsidRDefault="002954CA" w:rsidP="002954CA">
      <w:pPr>
        <w:pStyle w:val="ARbody"/>
      </w:pPr>
      <w:r w:rsidRPr="00CF6016">
        <w:t>FRD24 requires that this report provide information relating to inputs (such as energy and water) and outputs (such as emissions and waste).</w:t>
      </w:r>
    </w:p>
    <w:p w14:paraId="6A91825F" w14:textId="77777777" w:rsidR="002954CA" w:rsidRPr="00CF6016" w:rsidRDefault="002954CA" w:rsidP="002954CA">
      <w:pPr>
        <w:pStyle w:val="ARbody"/>
      </w:pPr>
      <w:r w:rsidRPr="00CF6016">
        <w:t>In addition, procurement, transport, product and service-related impacts are taken into consideration, as are environmental compliance and expenditure.</w:t>
      </w:r>
    </w:p>
    <w:p w14:paraId="6B43548B" w14:textId="77777777" w:rsidR="002954CA" w:rsidRPr="00CF6016" w:rsidRDefault="002954CA" w:rsidP="002954CA">
      <w:pPr>
        <w:pStyle w:val="ARbody"/>
      </w:pPr>
      <w:r w:rsidRPr="00CF6016">
        <w:t>G4 environmental aspects are partially reported. This includes the indicators for materials (EN1, EN2), energy (EN3, EN5), water (EN8), emissions (EN15, EN18), waste (EN23), products and services (EN27) and transport (EN30). All departmental cost figures include GST, except where otherwise noted.</w:t>
      </w:r>
    </w:p>
    <w:p w14:paraId="110F5721" w14:textId="4021D820" w:rsidR="002954CA" w:rsidRPr="00CF6016" w:rsidRDefault="002954CA" w:rsidP="002954CA">
      <w:pPr>
        <w:pStyle w:val="ARbody"/>
      </w:pPr>
      <w:r w:rsidRPr="00CF6016">
        <w:t xml:space="preserve">In </w:t>
      </w:r>
      <w:r>
        <w:t>2018–19</w:t>
      </w:r>
      <w:r w:rsidRPr="00CF6016">
        <w:t xml:space="preserve">, the environmental performance reporting data include property and assets </w:t>
      </w:r>
      <w:r w:rsidR="00E37A62">
        <w:t>used</w:t>
      </w:r>
      <w:r w:rsidR="00E37A62" w:rsidRPr="00CF6016">
        <w:t xml:space="preserve"> </w:t>
      </w:r>
      <w:r w:rsidRPr="00CF6016">
        <w:t>in</w:t>
      </w:r>
      <w:r w:rsidR="009C68F8">
        <w:t> </w:t>
      </w:r>
      <w:r w:rsidRPr="00CF6016">
        <w:t>the delivery of the department’s core functions, including corporate offices</w:t>
      </w:r>
      <w:r w:rsidR="00E37A62">
        <w:t>,</w:t>
      </w:r>
      <w:r w:rsidRPr="00CF6016">
        <w:t xml:space="preserve"> residential housing</w:t>
      </w:r>
      <w:r w:rsidR="00E37A62">
        <w:t>,</w:t>
      </w:r>
      <w:r w:rsidRPr="00CF6016">
        <w:t xml:space="preserve"> and public hospitals and health services. This report includes disability accommodation clients’ residential energy usage and shared base-building energy and water in offices and public housing facilities. All figures have been forecast and adjusted to include the most up-to-date information. Where data was not available or estimated in previous years but has since become available, figures have been adjusted to best represent the building portfolio as at 30 June 2019.</w:t>
      </w:r>
    </w:p>
    <w:p w14:paraId="2C718AEE" w14:textId="77777777" w:rsidR="008D124E" w:rsidRDefault="002954CA" w:rsidP="00CC372A">
      <w:pPr>
        <w:pStyle w:val="ARbody"/>
      </w:pPr>
      <w:r w:rsidRPr="00CF6016">
        <w:t xml:space="preserve">At 30 June 2019, the department provided its administrated services from 61 office locations across the state. In addition, the department operates from operational centres providing secure services and </w:t>
      </w:r>
      <w:r w:rsidRPr="00CC372A">
        <w:t xml:space="preserve">disability residential services. Public housing energy and water data </w:t>
      </w:r>
      <w:r w:rsidR="00481D48" w:rsidRPr="00CC372A">
        <w:t>includes</w:t>
      </w:r>
      <w:r w:rsidRPr="00CC372A">
        <w:t xml:space="preserve"> community facilities, general lighting and bulk hot</w:t>
      </w:r>
      <w:r w:rsidR="00481D48" w:rsidRPr="00F94CEE">
        <w:t>-</w:t>
      </w:r>
      <w:r w:rsidRPr="00F94CEE">
        <w:t>water equipment and potable water usage in high-rise apartment blocks, low-rise apartment blocks and general rental public housing stock.</w:t>
      </w:r>
    </w:p>
    <w:p w14:paraId="30296875" w14:textId="0DC57345" w:rsidR="002954CA" w:rsidRPr="00CF6016" w:rsidRDefault="002954CA" w:rsidP="00CC372A">
      <w:pPr>
        <w:pStyle w:val="ARbody"/>
      </w:pPr>
      <w:r w:rsidRPr="00CC372A">
        <w:t>Public hospital and health services</w:t>
      </w:r>
      <w:r w:rsidRPr="00CF6016">
        <w:t xml:space="preserve"> energy and water data represents a summation of data reported by Victoria’s 87 public hospitals and health</w:t>
      </w:r>
      <w:r w:rsidR="009C68F8">
        <w:t> </w:t>
      </w:r>
      <w:r w:rsidRPr="00CF6016">
        <w:t>services, including Ambulance Victoria.</w:t>
      </w:r>
    </w:p>
    <w:p w14:paraId="5CD92F55" w14:textId="317C6193" w:rsidR="008D124E" w:rsidRDefault="002954CA" w:rsidP="002954CA">
      <w:pPr>
        <w:pStyle w:val="ARbody"/>
      </w:pPr>
      <w:r w:rsidRPr="00CF6016">
        <w:t>To continually improve the accuracy of reporting</w:t>
      </w:r>
      <w:r w:rsidR="00481D48">
        <w:t>,</w:t>
      </w:r>
      <w:r w:rsidRPr="00CF6016">
        <w:t xml:space="preserve"> the department reviews data on an ongoing basis.</w:t>
      </w:r>
      <w:r w:rsidR="009C68F8">
        <w:t> </w:t>
      </w:r>
      <w:r w:rsidRPr="00CF6016">
        <w:t>Changes to previously reported data can</w:t>
      </w:r>
      <w:r w:rsidR="009C68F8">
        <w:t> </w:t>
      </w:r>
      <w:r w:rsidRPr="00CF6016">
        <w:t>therefore occur and can be attributed to changes in</w:t>
      </w:r>
      <w:r w:rsidR="009C68F8">
        <w:t> </w:t>
      </w:r>
      <w:r w:rsidRPr="00CF6016">
        <w:t>the number of facilities reporting, from decommissioning, expansion or new build, and/or better quality data received from health services and/or suppliers. Bed days include in-patient occupied bed days (OBD) and public sector residential aged care bed days.</w:t>
      </w:r>
    </w:p>
    <w:bookmarkEnd w:id="203"/>
    <w:bookmarkEnd w:id="204"/>
    <w:p w14:paraId="6DD2B37D" w14:textId="1AEBA301" w:rsidR="002954CA" w:rsidRDefault="002954CA" w:rsidP="002954CA">
      <w:pPr>
        <w:pStyle w:val="ARbullet1"/>
        <w:numPr>
          <w:ilvl w:val="0"/>
          <w:numId w:val="0"/>
        </w:numPr>
        <w:spacing w:after="0"/>
        <w:ind w:left="284" w:hanging="284"/>
      </w:pPr>
    </w:p>
    <w:p w14:paraId="473CB86C" w14:textId="77777777" w:rsidR="002954CA" w:rsidRPr="007939DD" w:rsidRDefault="002954CA" w:rsidP="002954CA">
      <w:pPr>
        <w:pStyle w:val="ARbullet1"/>
        <w:numPr>
          <w:ilvl w:val="0"/>
          <w:numId w:val="0"/>
        </w:numPr>
        <w:spacing w:after="0"/>
        <w:ind w:left="284" w:hanging="284"/>
        <w:sectPr w:rsidR="002954CA" w:rsidRPr="007939DD" w:rsidSect="00E31562">
          <w:endnotePr>
            <w:numFmt w:val="decimal"/>
          </w:endnotePr>
          <w:type w:val="continuous"/>
          <w:pgSz w:w="11900" w:h="16840" w:code="9"/>
          <w:pgMar w:top="1985" w:right="851" w:bottom="851" w:left="1418" w:header="510" w:footer="340" w:gutter="0"/>
          <w:cols w:num="2" w:space="454"/>
        </w:sectPr>
      </w:pPr>
    </w:p>
    <w:p w14:paraId="7F7BE45E" w14:textId="77777777" w:rsidR="008C4B50" w:rsidRPr="007939DD" w:rsidRDefault="008C4B50" w:rsidP="009C68F8">
      <w:pPr>
        <w:pStyle w:val="Heading3"/>
        <w:spacing w:before="0"/>
      </w:pPr>
      <w:bookmarkStart w:id="205" w:name="_Toc431820987"/>
      <w:bookmarkEnd w:id="205"/>
      <w:r w:rsidRPr="007939DD">
        <w:t>Greenhouse gas emissions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434"/>
        <w:gridCol w:w="1735"/>
        <w:gridCol w:w="1735"/>
        <w:gridCol w:w="1735"/>
      </w:tblGrid>
      <w:tr w:rsidR="008C4B50" w:rsidRPr="00860E03" w14:paraId="226B67E3" w14:textId="77777777" w:rsidTr="00537F5C">
        <w:trPr>
          <w:cantSplit/>
          <w:trHeight w:val="270"/>
          <w:tblHeader/>
        </w:trPr>
        <w:tc>
          <w:tcPr>
            <w:tcW w:w="4434" w:type="dxa"/>
            <w:vAlign w:val="bottom"/>
          </w:tcPr>
          <w:p w14:paraId="4EF4E1E2" w14:textId="77777777" w:rsidR="008C4B50" w:rsidRPr="00860E03" w:rsidRDefault="008C4B50" w:rsidP="00537F5C">
            <w:pPr>
              <w:pStyle w:val="ARtablecolhead"/>
            </w:pPr>
            <w:r w:rsidRPr="00860E03">
              <w:t>Total greenhouse gas emissions (tonnes CO</w:t>
            </w:r>
            <w:r w:rsidRPr="00860E03">
              <w:rPr>
                <w:vertAlign w:val="subscript"/>
              </w:rPr>
              <w:t>2</w:t>
            </w:r>
            <w:r w:rsidRPr="00860E03">
              <w:t xml:space="preserve">-e) associated with: </w:t>
            </w:r>
          </w:p>
        </w:tc>
        <w:tc>
          <w:tcPr>
            <w:tcW w:w="1735" w:type="dxa"/>
            <w:vAlign w:val="bottom"/>
          </w:tcPr>
          <w:p w14:paraId="238A7F22" w14:textId="77777777" w:rsidR="008C4B50" w:rsidRPr="00860E03" w:rsidRDefault="008C4B50" w:rsidP="00537F5C">
            <w:pPr>
              <w:pStyle w:val="ARtablecolheadright"/>
            </w:pPr>
            <w:r w:rsidRPr="00860E03">
              <w:t>2018–19</w:t>
            </w:r>
            <w:r w:rsidRPr="00860E03">
              <w:br/>
              <w:t xml:space="preserve">estimate </w:t>
            </w:r>
          </w:p>
        </w:tc>
        <w:tc>
          <w:tcPr>
            <w:tcW w:w="1735" w:type="dxa"/>
            <w:vAlign w:val="bottom"/>
          </w:tcPr>
          <w:p w14:paraId="133C01A3" w14:textId="77777777" w:rsidR="008C4B50" w:rsidRPr="00860E03" w:rsidRDefault="008C4B50" w:rsidP="00537F5C">
            <w:pPr>
              <w:pStyle w:val="ARtablecolheadright"/>
            </w:pPr>
            <w:r w:rsidRPr="00860E03">
              <w:t>2017–18</w:t>
            </w:r>
            <w:r w:rsidRPr="00860E03">
              <w:br/>
              <w:t xml:space="preserve">estimate </w:t>
            </w:r>
          </w:p>
        </w:tc>
        <w:tc>
          <w:tcPr>
            <w:tcW w:w="1735" w:type="dxa"/>
            <w:vAlign w:val="bottom"/>
          </w:tcPr>
          <w:p w14:paraId="00178C3B" w14:textId="77777777" w:rsidR="008C4B50" w:rsidRPr="00860E03" w:rsidRDefault="008C4B50" w:rsidP="00537F5C">
            <w:pPr>
              <w:pStyle w:val="ARtablecolheadright"/>
            </w:pPr>
            <w:r w:rsidRPr="00860E03">
              <w:t>2016–17</w:t>
            </w:r>
            <w:r w:rsidRPr="00860E03">
              <w:br/>
              <w:t>estimate</w:t>
            </w:r>
          </w:p>
        </w:tc>
      </w:tr>
      <w:tr w:rsidR="008C4B50" w:rsidRPr="00860E03" w14:paraId="3B2DC166" w14:textId="77777777" w:rsidTr="00537F5C">
        <w:trPr>
          <w:cantSplit/>
          <w:trHeight w:val="270"/>
        </w:trPr>
        <w:tc>
          <w:tcPr>
            <w:tcW w:w="4434" w:type="dxa"/>
          </w:tcPr>
          <w:p w14:paraId="0D7D28A4" w14:textId="77777777" w:rsidR="008C4B50" w:rsidRPr="00860E03" w:rsidRDefault="008C4B50" w:rsidP="00537F5C">
            <w:pPr>
              <w:pStyle w:val="ARtabletext"/>
            </w:pPr>
            <w:r w:rsidRPr="00860E03">
              <w:t>Public hospitals energy use</w:t>
            </w:r>
          </w:p>
        </w:tc>
        <w:tc>
          <w:tcPr>
            <w:tcW w:w="1735" w:type="dxa"/>
          </w:tcPr>
          <w:p w14:paraId="158CCD09" w14:textId="77777777" w:rsidR="008C4B50" w:rsidRPr="00860E03" w:rsidRDefault="008C4B50" w:rsidP="00537F5C">
            <w:pPr>
              <w:pStyle w:val="ARtabletextright"/>
            </w:pPr>
            <w:r w:rsidRPr="00860E03">
              <w:t>815,770</w:t>
            </w:r>
          </w:p>
        </w:tc>
        <w:tc>
          <w:tcPr>
            <w:tcW w:w="1735" w:type="dxa"/>
          </w:tcPr>
          <w:p w14:paraId="55A28140" w14:textId="77777777" w:rsidR="008C4B50" w:rsidRPr="00860E03" w:rsidRDefault="008C4B50" w:rsidP="00537F5C">
            <w:pPr>
              <w:pStyle w:val="ARtabletextright"/>
            </w:pPr>
            <w:r w:rsidRPr="00860E03">
              <w:t>830,262</w:t>
            </w:r>
          </w:p>
        </w:tc>
        <w:tc>
          <w:tcPr>
            <w:tcW w:w="1735" w:type="dxa"/>
          </w:tcPr>
          <w:p w14:paraId="564549D1" w14:textId="77777777" w:rsidR="008C4B50" w:rsidRPr="00860E03" w:rsidRDefault="008C4B50" w:rsidP="00537F5C">
            <w:pPr>
              <w:pStyle w:val="ARtabletextright"/>
            </w:pPr>
            <w:r w:rsidRPr="00860E03">
              <w:t>852,529</w:t>
            </w:r>
          </w:p>
        </w:tc>
      </w:tr>
      <w:tr w:rsidR="008C4B50" w:rsidRPr="00860E03" w14:paraId="665E8FC3" w14:textId="77777777" w:rsidTr="00537F5C">
        <w:trPr>
          <w:cantSplit/>
          <w:trHeight w:val="270"/>
        </w:trPr>
        <w:tc>
          <w:tcPr>
            <w:tcW w:w="4434" w:type="dxa"/>
          </w:tcPr>
          <w:p w14:paraId="6561442A" w14:textId="77777777" w:rsidR="008C4B50" w:rsidRPr="00860E03" w:rsidRDefault="008C4B50" w:rsidP="00537F5C">
            <w:pPr>
              <w:pStyle w:val="ARtabletext"/>
            </w:pPr>
            <w:r w:rsidRPr="00860E03">
              <w:t>Housing services energy use</w:t>
            </w:r>
          </w:p>
        </w:tc>
        <w:tc>
          <w:tcPr>
            <w:tcW w:w="1735" w:type="dxa"/>
          </w:tcPr>
          <w:p w14:paraId="5F80DE7D" w14:textId="77777777" w:rsidR="008C4B50" w:rsidRPr="00860E03" w:rsidRDefault="008C4B50" w:rsidP="00537F5C">
            <w:pPr>
              <w:pStyle w:val="ARtabletextright"/>
            </w:pPr>
            <w:r w:rsidRPr="00860E03">
              <w:t>63,133</w:t>
            </w:r>
          </w:p>
        </w:tc>
        <w:tc>
          <w:tcPr>
            <w:tcW w:w="1735" w:type="dxa"/>
          </w:tcPr>
          <w:p w14:paraId="6DE45C71" w14:textId="77777777" w:rsidR="008C4B50" w:rsidRPr="00860E03" w:rsidRDefault="008C4B50" w:rsidP="00537F5C">
            <w:pPr>
              <w:pStyle w:val="ARtabletextright"/>
            </w:pPr>
            <w:r w:rsidRPr="00860E03">
              <w:t xml:space="preserve">63,324 </w:t>
            </w:r>
          </w:p>
        </w:tc>
        <w:tc>
          <w:tcPr>
            <w:tcW w:w="1735" w:type="dxa"/>
          </w:tcPr>
          <w:p w14:paraId="6CBB3EA1" w14:textId="77777777" w:rsidR="008C4B50" w:rsidRPr="00860E03" w:rsidRDefault="008C4B50" w:rsidP="00537F5C">
            <w:pPr>
              <w:pStyle w:val="ARtabletextright"/>
            </w:pPr>
            <w:r w:rsidRPr="00860E03">
              <w:t xml:space="preserve"> 68,445 </w:t>
            </w:r>
          </w:p>
        </w:tc>
      </w:tr>
      <w:tr w:rsidR="008C4B50" w:rsidRPr="00860E03" w14:paraId="5F192104" w14:textId="77777777" w:rsidTr="00537F5C">
        <w:trPr>
          <w:cantSplit/>
          <w:trHeight w:val="270"/>
        </w:trPr>
        <w:tc>
          <w:tcPr>
            <w:tcW w:w="4434" w:type="dxa"/>
          </w:tcPr>
          <w:p w14:paraId="54BE0D9F" w14:textId="77777777" w:rsidR="008C4B50" w:rsidRPr="00860E03" w:rsidRDefault="008C4B50" w:rsidP="00537F5C">
            <w:pPr>
              <w:pStyle w:val="ARtabletext"/>
            </w:pPr>
            <w:r w:rsidRPr="00860E03">
              <w:t>Office-based energy use</w:t>
            </w:r>
          </w:p>
        </w:tc>
        <w:tc>
          <w:tcPr>
            <w:tcW w:w="1735" w:type="dxa"/>
          </w:tcPr>
          <w:p w14:paraId="1A1D682D" w14:textId="77777777" w:rsidR="008C4B50" w:rsidRPr="00860E03" w:rsidRDefault="008C4B50" w:rsidP="00537F5C">
            <w:pPr>
              <w:pStyle w:val="ARtabletextright"/>
            </w:pPr>
            <w:r w:rsidRPr="00860E03">
              <w:t>16,340</w:t>
            </w:r>
          </w:p>
        </w:tc>
        <w:tc>
          <w:tcPr>
            <w:tcW w:w="1735" w:type="dxa"/>
          </w:tcPr>
          <w:p w14:paraId="753250E6" w14:textId="77777777" w:rsidR="008C4B50" w:rsidRPr="00860E03" w:rsidRDefault="008C4B50" w:rsidP="00537F5C">
            <w:pPr>
              <w:pStyle w:val="ARtabletextright"/>
            </w:pPr>
            <w:r w:rsidRPr="00860E03">
              <w:t>16,235</w:t>
            </w:r>
          </w:p>
        </w:tc>
        <w:tc>
          <w:tcPr>
            <w:tcW w:w="1735" w:type="dxa"/>
          </w:tcPr>
          <w:p w14:paraId="26567D7E" w14:textId="77777777" w:rsidR="008C4B50" w:rsidRPr="00860E03" w:rsidRDefault="008C4B50" w:rsidP="00537F5C">
            <w:pPr>
              <w:pStyle w:val="ARtabletextright"/>
            </w:pPr>
            <w:r w:rsidRPr="00860E03">
              <w:t>17,543</w:t>
            </w:r>
          </w:p>
        </w:tc>
      </w:tr>
      <w:tr w:rsidR="008C4B50" w:rsidRPr="00860E03" w14:paraId="0B0F9AD9" w14:textId="77777777" w:rsidTr="00537F5C">
        <w:trPr>
          <w:cantSplit/>
          <w:trHeight w:val="270"/>
        </w:trPr>
        <w:tc>
          <w:tcPr>
            <w:tcW w:w="4434" w:type="dxa"/>
          </w:tcPr>
          <w:p w14:paraId="621472EA" w14:textId="77777777" w:rsidR="008C4B50" w:rsidRPr="00860E03" w:rsidRDefault="008C4B50" w:rsidP="00537F5C">
            <w:pPr>
              <w:pStyle w:val="ARtabletext"/>
            </w:pPr>
            <w:r w:rsidRPr="00860E03">
              <w:t>Public hospitals nitrous oxide</w:t>
            </w:r>
          </w:p>
        </w:tc>
        <w:tc>
          <w:tcPr>
            <w:tcW w:w="1735" w:type="dxa"/>
          </w:tcPr>
          <w:p w14:paraId="45895A64" w14:textId="77777777" w:rsidR="008C4B50" w:rsidRPr="00860E03" w:rsidRDefault="008C4B50" w:rsidP="00537F5C">
            <w:pPr>
              <w:pStyle w:val="ARtabletextright"/>
            </w:pPr>
            <w:r w:rsidRPr="00860E03">
              <w:t>15,012</w:t>
            </w:r>
          </w:p>
        </w:tc>
        <w:tc>
          <w:tcPr>
            <w:tcW w:w="1735" w:type="dxa"/>
          </w:tcPr>
          <w:p w14:paraId="415D90EF" w14:textId="77777777" w:rsidR="008C4B50" w:rsidRPr="00860E03" w:rsidRDefault="008C4B50" w:rsidP="00537F5C">
            <w:pPr>
              <w:pStyle w:val="ARtabletextright"/>
            </w:pPr>
            <w:r w:rsidRPr="00860E03">
              <w:t>16,321</w:t>
            </w:r>
          </w:p>
        </w:tc>
        <w:tc>
          <w:tcPr>
            <w:tcW w:w="1735" w:type="dxa"/>
          </w:tcPr>
          <w:p w14:paraId="3D8DFC2A" w14:textId="77777777" w:rsidR="008C4B50" w:rsidRPr="00860E03" w:rsidRDefault="008C4B50" w:rsidP="00537F5C">
            <w:pPr>
              <w:pStyle w:val="ARtabletextright"/>
            </w:pPr>
            <w:r w:rsidRPr="00860E03">
              <w:t>15,496</w:t>
            </w:r>
          </w:p>
        </w:tc>
      </w:tr>
      <w:tr w:rsidR="008C4B50" w:rsidRPr="00860E03" w14:paraId="5A4BA5EF" w14:textId="77777777" w:rsidTr="00537F5C">
        <w:trPr>
          <w:cantSplit/>
          <w:trHeight w:val="270"/>
        </w:trPr>
        <w:tc>
          <w:tcPr>
            <w:tcW w:w="4434" w:type="dxa"/>
          </w:tcPr>
          <w:p w14:paraId="70B42429" w14:textId="77777777" w:rsidR="008C4B50" w:rsidRPr="00860E03" w:rsidRDefault="008C4B50" w:rsidP="00537F5C">
            <w:pPr>
              <w:pStyle w:val="ARtabletext"/>
            </w:pPr>
            <w:r w:rsidRPr="00860E03">
              <w:t>Vehicle fleet and air travel</w:t>
            </w:r>
          </w:p>
        </w:tc>
        <w:tc>
          <w:tcPr>
            <w:tcW w:w="1735" w:type="dxa"/>
          </w:tcPr>
          <w:p w14:paraId="49DC34FA" w14:textId="77777777" w:rsidR="008C4B50" w:rsidRPr="00860E03" w:rsidRDefault="008C4B50" w:rsidP="00537F5C">
            <w:pPr>
              <w:pStyle w:val="ARtabletextright"/>
            </w:pPr>
            <w:r w:rsidRPr="00860E03">
              <w:t>10,543</w:t>
            </w:r>
          </w:p>
        </w:tc>
        <w:tc>
          <w:tcPr>
            <w:tcW w:w="1735" w:type="dxa"/>
          </w:tcPr>
          <w:p w14:paraId="1FE92CDE" w14:textId="77777777" w:rsidR="008C4B50" w:rsidRPr="00860E03" w:rsidRDefault="008C4B50" w:rsidP="00537F5C">
            <w:pPr>
              <w:pStyle w:val="ARtabletextright"/>
            </w:pPr>
            <w:r w:rsidRPr="00860E03">
              <w:t>9,605</w:t>
            </w:r>
          </w:p>
        </w:tc>
        <w:tc>
          <w:tcPr>
            <w:tcW w:w="1735" w:type="dxa"/>
          </w:tcPr>
          <w:p w14:paraId="4F6B1684" w14:textId="77777777" w:rsidR="008C4B50" w:rsidRPr="00860E03" w:rsidRDefault="008C4B50" w:rsidP="00537F5C">
            <w:pPr>
              <w:pStyle w:val="ARtabletextright"/>
            </w:pPr>
            <w:r w:rsidRPr="00860E03">
              <w:t>10,068</w:t>
            </w:r>
          </w:p>
        </w:tc>
      </w:tr>
      <w:tr w:rsidR="008C4B50" w:rsidRPr="00860E03" w14:paraId="56736657" w14:textId="77777777" w:rsidTr="00537F5C">
        <w:trPr>
          <w:cantSplit/>
          <w:trHeight w:val="270"/>
        </w:trPr>
        <w:tc>
          <w:tcPr>
            <w:tcW w:w="4434" w:type="dxa"/>
          </w:tcPr>
          <w:p w14:paraId="2329B5D1" w14:textId="77777777" w:rsidR="008C4B50" w:rsidRPr="00860E03" w:rsidRDefault="008C4B50" w:rsidP="00537F5C">
            <w:pPr>
              <w:pStyle w:val="ARtabletext"/>
            </w:pPr>
            <w:r w:rsidRPr="00860E03">
              <w:t>Hospital emergency transport</w:t>
            </w:r>
          </w:p>
        </w:tc>
        <w:tc>
          <w:tcPr>
            <w:tcW w:w="1735" w:type="dxa"/>
          </w:tcPr>
          <w:p w14:paraId="1230CD4C" w14:textId="77777777" w:rsidR="008C4B50" w:rsidRPr="00860E03" w:rsidRDefault="008C4B50" w:rsidP="00537F5C">
            <w:pPr>
              <w:pStyle w:val="ARtabletextright"/>
            </w:pPr>
            <w:r w:rsidRPr="00860E03">
              <w:t>24,043</w:t>
            </w:r>
          </w:p>
        </w:tc>
        <w:tc>
          <w:tcPr>
            <w:tcW w:w="1735" w:type="dxa"/>
          </w:tcPr>
          <w:p w14:paraId="7540A330" w14:textId="77777777" w:rsidR="008C4B50" w:rsidRPr="00860E03" w:rsidRDefault="008C4B50" w:rsidP="00537F5C">
            <w:pPr>
              <w:pStyle w:val="ARtabletextright"/>
            </w:pPr>
            <w:r w:rsidRPr="00860E03">
              <w:t>21,834</w:t>
            </w:r>
          </w:p>
        </w:tc>
        <w:tc>
          <w:tcPr>
            <w:tcW w:w="1735" w:type="dxa"/>
          </w:tcPr>
          <w:p w14:paraId="4BC16CAF" w14:textId="77777777" w:rsidR="008C4B50" w:rsidRPr="00860E03" w:rsidRDefault="008C4B50" w:rsidP="00537F5C">
            <w:pPr>
              <w:pStyle w:val="ARtabletextright"/>
            </w:pPr>
            <w:r w:rsidRPr="00860E03">
              <w:t>20,562</w:t>
            </w:r>
          </w:p>
        </w:tc>
      </w:tr>
      <w:tr w:rsidR="008C4B50" w:rsidRPr="00860E03" w14:paraId="02BC0B54" w14:textId="77777777" w:rsidTr="00537F5C">
        <w:trPr>
          <w:cantSplit/>
          <w:trHeight w:val="270"/>
        </w:trPr>
        <w:tc>
          <w:tcPr>
            <w:tcW w:w="4434" w:type="dxa"/>
          </w:tcPr>
          <w:p w14:paraId="2429FF9C" w14:textId="77777777" w:rsidR="008C4B50" w:rsidRPr="00860E03" w:rsidRDefault="008C4B50" w:rsidP="00537F5C">
            <w:pPr>
              <w:pStyle w:val="ARtabletext"/>
            </w:pPr>
            <w:r w:rsidRPr="00860E03">
              <w:t>Public hospital waste production</w:t>
            </w:r>
          </w:p>
        </w:tc>
        <w:tc>
          <w:tcPr>
            <w:tcW w:w="1735" w:type="dxa"/>
          </w:tcPr>
          <w:p w14:paraId="7A3FBBA4" w14:textId="77777777" w:rsidR="008C4B50" w:rsidRPr="00860E03" w:rsidRDefault="008C4B50" w:rsidP="00537F5C">
            <w:pPr>
              <w:pStyle w:val="ARtabletextright"/>
            </w:pPr>
            <w:r w:rsidRPr="00860E03">
              <w:t>36,315</w:t>
            </w:r>
          </w:p>
        </w:tc>
        <w:tc>
          <w:tcPr>
            <w:tcW w:w="1735" w:type="dxa"/>
          </w:tcPr>
          <w:p w14:paraId="7A0E76B7" w14:textId="77777777" w:rsidR="008C4B50" w:rsidRPr="00860E03" w:rsidRDefault="008C4B50" w:rsidP="00537F5C">
            <w:pPr>
              <w:pStyle w:val="ARtabletextright"/>
            </w:pPr>
            <w:r w:rsidRPr="00860E03">
              <w:t>36,348</w:t>
            </w:r>
          </w:p>
        </w:tc>
        <w:tc>
          <w:tcPr>
            <w:tcW w:w="1735" w:type="dxa"/>
          </w:tcPr>
          <w:p w14:paraId="17ED394D" w14:textId="77777777" w:rsidR="008C4B50" w:rsidRPr="00860E03" w:rsidRDefault="008C4B50" w:rsidP="00537F5C">
            <w:pPr>
              <w:pStyle w:val="ARtabletextright"/>
            </w:pPr>
            <w:r w:rsidRPr="00860E03">
              <w:t>N/A</w:t>
            </w:r>
          </w:p>
        </w:tc>
      </w:tr>
      <w:tr w:rsidR="008C4B50" w:rsidRPr="00860E03" w14:paraId="04BCAE40" w14:textId="77777777" w:rsidTr="00537F5C">
        <w:trPr>
          <w:cantSplit/>
          <w:trHeight w:val="270"/>
        </w:trPr>
        <w:tc>
          <w:tcPr>
            <w:tcW w:w="4434" w:type="dxa"/>
          </w:tcPr>
          <w:p w14:paraId="030B4C84" w14:textId="77777777" w:rsidR="008C4B50" w:rsidRPr="00860E03" w:rsidRDefault="008C4B50" w:rsidP="00537F5C">
            <w:pPr>
              <w:pStyle w:val="ARtabletext"/>
            </w:pPr>
            <w:r w:rsidRPr="00860E03">
              <w:t>Metropolitan health service vehicle fleet</w:t>
            </w:r>
          </w:p>
        </w:tc>
        <w:tc>
          <w:tcPr>
            <w:tcW w:w="1735" w:type="dxa"/>
          </w:tcPr>
          <w:p w14:paraId="638323DE" w14:textId="77777777" w:rsidR="008C4B50" w:rsidRPr="00860E03" w:rsidRDefault="008C4B50" w:rsidP="00537F5C">
            <w:pPr>
              <w:pStyle w:val="ARtabletextright"/>
            </w:pPr>
            <w:r w:rsidRPr="00860E03">
              <w:t>5,645</w:t>
            </w:r>
          </w:p>
        </w:tc>
        <w:tc>
          <w:tcPr>
            <w:tcW w:w="1735" w:type="dxa"/>
          </w:tcPr>
          <w:p w14:paraId="3903EA2A" w14:textId="77777777" w:rsidR="008C4B50" w:rsidRPr="00860E03" w:rsidRDefault="008C4B50" w:rsidP="00537F5C">
            <w:pPr>
              <w:pStyle w:val="ARtabletextright"/>
            </w:pPr>
            <w:r w:rsidRPr="00860E03">
              <w:t>5,409</w:t>
            </w:r>
          </w:p>
        </w:tc>
        <w:tc>
          <w:tcPr>
            <w:tcW w:w="1735" w:type="dxa"/>
          </w:tcPr>
          <w:p w14:paraId="663B1C61" w14:textId="77777777" w:rsidR="008C4B50" w:rsidRPr="00860E03" w:rsidRDefault="008C4B50" w:rsidP="00537F5C">
            <w:pPr>
              <w:pStyle w:val="ARtabletextright"/>
            </w:pPr>
            <w:r w:rsidRPr="00860E03">
              <w:t>N/A</w:t>
            </w:r>
          </w:p>
        </w:tc>
      </w:tr>
      <w:tr w:rsidR="008C4B50" w:rsidRPr="00860E03" w14:paraId="32C3D3AD" w14:textId="77777777" w:rsidTr="00537F5C">
        <w:trPr>
          <w:cantSplit/>
          <w:trHeight w:val="270"/>
        </w:trPr>
        <w:tc>
          <w:tcPr>
            <w:tcW w:w="4434" w:type="dxa"/>
          </w:tcPr>
          <w:p w14:paraId="55758E23" w14:textId="77777777" w:rsidR="008C4B50" w:rsidRPr="00860E03" w:rsidRDefault="008C4B50" w:rsidP="00537F5C">
            <w:pPr>
              <w:pStyle w:val="ARtabletext"/>
            </w:pPr>
            <w:r w:rsidRPr="00860E03">
              <w:t>Office-based paper and waste production</w:t>
            </w:r>
          </w:p>
        </w:tc>
        <w:tc>
          <w:tcPr>
            <w:tcW w:w="1735" w:type="dxa"/>
          </w:tcPr>
          <w:p w14:paraId="19DABA18" w14:textId="77777777" w:rsidR="008C4B50" w:rsidRPr="00860E03" w:rsidRDefault="008C4B50" w:rsidP="00537F5C">
            <w:pPr>
              <w:pStyle w:val="ARtabletextright"/>
            </w:pPr>
            <w:r w:rsidRPr="00860E03">
              <w:t>744</w:t>
            </w:r>
          </w:p>
        </w:tc>
        <w:tc>
          <w:tcPr>
            <w:tcW w:w="1735" w:type="dxa"/>
          </w:tcPr>
          <w:p w14:paraId="7721FB57" w14:textId="77777777" w:rsidR="008C4B50" w:rsidRPr="00860E03" w:rsidRDefault="008C4B50" w:rsidP="00537F5C">
            <w:pPr>
              <w:pStyle w:val="ARtabletextright"/>
            </w:pPr>
            <w:r w:rsidRPr="00860E03">
              <w:t>835</w:t>
            </w:r>
          </w:p>
        </w:tc>
        <w:tc>
          <w:tcPr>
            <w:tcW w:w="1735" w:type="dxa"/>
          </w:tcPr>
          <w:p w14:paraId="6DB42387" w14:textId="77777777" w:rsidR="008C4B50" w:rsidRPr="00860E03" w:rsidRDefault="008C4B50" w:rsidP="00537F5C">
            <w:pPr>
              <w:pStyle w:val="ARtabletextright"/>
            </w:pPr>
            <w:r w:rsidRPr="00860E03">
              <w:t>625</w:t>
            </w:r>
          </w:p>
        </w:tc>
      </w:tr>
      <w:tr w:rsidR="008C4B50" w:rsidRPr="00860E03" w14:paraId="0C21B2E0" w14:textId="77777777" w:rsidTr="00537F5C">
        <w:trPr>
          <w:cantSplit/>
          <w:trHeight w:val="270"/>
        </w:trPr>
        <w:tc>
          <w:tcPr>
            <w:tcW w:w="4434" w:type="dxa"/>
          </w:tcPr>
          <w:p w14:paraId="1D9C6167" w14:textId="77777777" w:rsidR="008C4B50" w:rsidRPr="00860E03" w:rsidRDefault="008C4B50" w:rsidP="00537F5C">
            <w:pPr>
              <w:pStyle w:val="ARtabletext"/>
              <w:rPr>
                <w:b/>
              </w:rPr>
            </w:pPr>
            <w:r w:rsidRPr="00860E03">
              <w:rPr>
                <w:b/>
              </w:rPr>
              <w:t>Total</w:t>
            </w:r>
          </w:p>
        </w:tc>
        <w:tc>
          <w:tcPr>
            <w:tcW w:w="1735" w:type="dxa"/>
          </w:tcPr>
          <w:p w14:paraId="13515FD2" w14:textId="77777777" w:rsidR="008C4B50" w:rsidRPr="00860E03" w:rsidRDefault="008C4B50" w:rsidP="00537F5C">
            <w:pPr>
              <w:pStyle w:val="ARtabletextrightbold"/>
            </w:pPr>
            <w:r w:rsidRPr="00860E03">
              <w:t>987,545</w:t>
            </w:r>
          </w:p>
        </w:tc>
        <w:tc>
          <w:tcPr>
            <w:tcW w:w="1735" w:type="dxa"/>
          </w:tcPr>
          <w:p w14:paraId="33D5C5FE" w14:textId="77777777" w:rsidR="008C4B50" w:rsidRPr="00860E03" w:rsidRDefault="008C4B50" w:rsidP="00537F5C">
            <w:pPr>
              <w:pStyle w:val="ARtabletextrightbold"/>
            </w:pPr>
            <w:r w:rsidRPr="00860E03">
              <w:t>1,000,173</w:t>
            </w:r>
          </w:p>
        </w:tc>
        <w:tc>
          <w:tcPr>
            <w:tcW w:w="1735" w:type="dxa"/>
          </w:tcPr>
          <w:p w14:paraId="2B197EC9" w14:textId="77777777" w:rsidR="008C4B50" w:rsidRPr="00860E03" w:rsidRDefault="008C4B50" w:rsidP="00537F5C">
            <w:pPr>
              <w:pStyle w:val="ARtabletextrightbold"/>
            </w:pPr>
            <w:r w:rsidRPr="00860E03">
              <w:t>985,268</w:t>
            </w:r>
          </w:p>
        </w:tc>
      </w:tr>
    </w:tbl>
    <w:p w14:paraId="03D7E44A" w14:textId="77777777" w:rsidR="00F73A80" w:rsidRPr="00860E03" w:rsidRDefault="00F73A80" w:rsidP="00F73A80">
      <w:pPr>
        <w:pStyle w:val="ARtablefootnote"/>
      </w:pPr>
      <w:r w:rsidRPr="00860E03">
        <w:t>Greenhouse gas emissions have been calculated in accordance with the National Greenhouse and Energy Reporting (Measurement) Determination 2008 (Schedule 1), the National Greenhouse Accounts Factors July 2018 revision, and Financial Reporting Directive 24D guidelines.</w:t>
      </w:r>
    </w:p>
    <w:p w14:paraId="0C5DA51B" w14:textId="77777777" w:rsidR="00F73A80" w:rsidRPr="00860E03" w:rsidRDefault="00F73A80" w:rsidP="00F73A80">
      <w:pPr>
        <w:pStyle w:val="ARtablefootnote"/>
      </w:pPr>
      <w:r w:rsidRPr="00860E03">
        <w:t xml:space="preserve">Greenhouse gas emissions from paper procurement have been calculated in accordance with EPA Victoria’s </w:t>
      </w:r>
      <w:r w:rsidRPr="00CC372A">
        <w:rPr>
          <w:i/>
          <w:iCs/>
        </w:rPr>
        <w:t xml:space="preserve">Greenhouse </w:t>
      </w:r>
      <w:r w:rsidR="00481D48">
        <w:rPr>
          <w:i/>
          <w:iCs/>
        </w:rPr>
        <w:t>g</w:t>
      </w:r>
      <w:r w:rsidRPr="00CC372A">
        <w:rPr>
          <w:i/>
          <w:iCs/>
        </w:rPr>
        <w:t xml:space="preserve">as Inventory </w:t>
      </w:r>
      <w:r w:rsidR="00481D48">
        <w:rPr>
          <w:i/>
          <w:iCs/>
        </w:rPr>
        <w:t>m</w:t>
      </w:r>
      <w:r w:rsidRPr="00CC372A">
        <w:rPr>
          <w:i/>
          <w:iCs/>
        </w:rPr>
        <w:t xml:space="preserve">anagement </w:t>
      </w:r>
      <w:r w:rsidR="00481D48">
        <w:rPr>
          <w:i/>
          <w:iCs/>
        </w:rPr>
        <w:t>p</w:t>
      </w:r>
      <w:r w:rsidRPr="00CC372A">
        <w:rPr>
          <w:i/>
          <w:iCs/>
        </w:rPr>
        <w:t>lan 2012</w:t>
      </w:r>
      <w:r w:rsidR="00481D48" w:rsidRPr="00CC372A">
        <w:rPr>
          <w:i/>
          <w:iCs/>
        </w:rPr>
        <w:t>–</w:t>
      </w:r>
      <w:r w:rsidRPr="00CC372A">
        <w:rPr>
          <w:i/>
          <w:iCs/>
        </w:rPr>
        <w:t>13</w:t>
      </w:r>
      <w:r w:rsidRPr="00860E03">
        <w:t>.</w:t>
      </w:r>
    </w:p>
    <w:p w14:paraId="4B7B6CEA" w14:textId="77777777" w:rsidR="008D124E" w:rsidRDefault="00F73A80" w:rsidP="00F73A80">
      <w:pPr>
        <w:pStyle w:val="ARtablefootnote"/>
      </w:pPr>
      <w:r w:rsidRPr="00860E03">
        <w:t xml:space="preserve">Greenhouse gas emissions from air travel are provided by the supplier of </w:t>
      </w:r>
      <w:r w:rsidR="00481D48">
        <w:t>t</w:t>
      </w:r>
      <w:r w:rsidRPr="00860E03">
        <w:t xml:space="preserve">ravel </w:t>
      </w:r>
      <w:r w:rsidR="00481D48">
        <w:t>m</w:t>
      </w:r>
      <w:r w:rsidR="00481D48" w:rsidRPr="00860E03">
        <w:t xml:space="preserve">anagement </w:t>
      </w:r>
      <w:r w:rsidR="00481D48">
        <w:t>s</w:t>
      </w:r>
      <w:r w:rsidRPr="00860E03">
        <w:t xml:space="preserve">ervices under the </w:t>
      </w:r>
      <w:r w:rsidR="00A64DEB">
        <w:t>s</w:t>
      </w:r>
      <w:r w:rsidRPr="00860E03">
        <w:t xml:space="preserve">tate </w:t>
      </w:r>
      <w:r w:rsidR="00A64DEB">
        <w:t>p</w:t>
      </w:r>
      <w:r w:rsidR="00A64DEB" w:rsidRPr="00860E03">
        <w:t>urchase </w:t>
      </w:r>
      <w:r w:rsidR="00A64DEB">
        <w:t>c</w:t>
      </w:r>
      <w:r w:rsidR="00A64DEB" w:rsidRPr="00860E03">
        <w:t>ontract</w:t>
      </w:r>
      <w:r w:rsidRPr="00860E03">
        <w:t>.</w:t>
      </w:r>
    </w:p>
    <w:p w14:paraId="60A50944" w14:textId="21D03484" w:rsidR="00F73A80" w:rsidRPr="00860E03" w:rsidRDefault="00F73A80" w:rsidP="00F73A80">
      <w:pPr>
        <w:pStyle w:val="ARtablefootnote"/>
      </w:pPr>
      <w:r w:rsidRPr="00860E03">
        <w:t>Figures in previous years have been adjusted to include the most up-to-date data. Figures may differ from those estimated in previous years as a result.</w:t>
      </w:r>
    </w:p>
    <w:p w14:paraId="366165B9" w14:textId="77777777" w:rsidR="00F73A80" w:rsidRPr="00860E03" w:rsidRDefault="00F73A80" w:rsidP="00F73A80">
      <w:pPr>
        <w:pStyle w:val="ARtablefootnote"/>
      </w:pPr>
      <w:r w:rsidRPr="00860E03">
        <w:t>1 terajoule equates to 1,000,000 megajoules and 1 gigajoule equates to 1,000 megajoules.</w:t>
      </w:r>
    </w:p>
    <w:p w14:paraId="518832E3" w14:textId="77777777" w:rsidR="00F73A80" w:rsidRPr="007939DD" w:rsidRDefault="00F73A80" w:rsidP="00F73A80">
      <w:pPr>
        <w:pStyle w:val="Heading3"/>
      </w:pPr>
      <w:r w:rsidRPr="007939DD">
        <w:t>Staff and building reference data</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5028"/>
        <w:gridCol w:w="1574"/>
        <w:gridCol w:w="1521"/>
        <w:gridCol w:w="1516"/>
      </w:tblGrid>
      <w:tr w:rsidR="00F73A80" w:rsidRPr="00860E03" w14:paraId="7329EA89" w14:textId="77777777" w:rsidTr="00F73A80">
        <w:trPr>
          <w:cantSplit/>
          <w:trHeight w:val="525"/>
          <w:tblHeader/>
        </w:trPr>
        <w:tc>
          <w:tcPr>
            <w:tcW w:w="5028" w:type="dxa"/>
            <w:vAlign w:val="bottom"/>
          </w:tcPr>
          <w:p w14:paraId="71150FA5" w14:textId="77777777" w:rsidR="00F73A80" w:rsidRPr="00860E03" w:rsidRDefault="00F73A80" w:rsidP="00F73A80">
            <w:pPr>
              <w:pStyle w:val="ARtablecolhead"/>
            </w:pPr>
            <w:r w:rsidRPr="00860E03">
              <w:t>Description</w:t>
            </w:r>
          </w:p>
        </w:tc>
        <w:tc>
          <w:tcPr>
            <w:tcW w:w="1574" w:type="dxa"/>
            <w:vAlign w:val="bottom"/>
          </w:tcPr>
          <w:p w14:paraId="50061D55" w14:textId="77777777" w:rsidR="00F73A80" w:rsidRPr="00860E03" w:rsidRDefault="00F73A80" w:rsidP="00F73A80">
            <w:pPr>
              <w:pStyle w:val="ARtablecolheadright"/>
            </w:pPr>
            <w:r w:rsidRPr="00860E03">
              <w:t>Government-owned buildings</w:t>
            </w:r>
          </w:p>
        </w:tc>
        <w:tc>
          <w:tcPr>
            <w:tcW w:w="1521" w:type="dxa"/>
            <w:vAlign w:val="bottom"/>
          </w:tcPr>
          <w:p w14:paraId="15A03167" w14:textId="77777777" w:rsidR="00F73A80" w:rsidRPr="00860E03" w:rsidRDefault="00F73A80" w:rsidP="00F73A80">
            <w:pPr>
              <w:pStyle w:val="ARtablecolheadright"/>
            </w:pPr>
            <w:r w:rsidRPr="00860E03">
              <w:t>Leased</w:t>
            </w:r>
            <w:r w:rsidRPr="00860E03">
              <w:br/>
              <w:t>buildings</w:t>
            </w:r>
          </w:p>
        </w:tc>
        <w:tc>
          <w:tcPr>
            <w:tcW w:w="1516" w:type="dxa"/>
            <w:vAlign w:val="bottom"/>
          </w:tcPr>
          <w:p w14:paraId="3D9408FF" w14:textId="77777777" w:rsidR="00F73A80" w:rsidRPr="00860E03" w:rsidRDefault="00F73A80" w:rsidP="00F73A80">
            <w:pPr>
              <w:pStyle w:val="ARtablecolheadright"/>
            </w:pPr>
            <w:r w:rsidRPr="00860E03">
              <w:t>Total</w:t>
            </w:r>
          </w:p>
        </w:tc>
      </w:tr>
      <w:tr w:rsidR="00F73A80" w:rsidRPr="00860E03" w14:paraId="104FF96E" w14:textId="77777777" w:rsidTr="00F73A80">
        <w:trPr>
          <w:cantSplit/>
          <w:trHeight w:val="270"/>
        </w:trPr>
        <w:tc>
          <w:tcPr>
            <w:tcW w:w="5028" w:type="dxa"/>
          </w:tcPr>
          <w:p w14:paraId="2A178A0C" w14:textId="77777777" w:rsidR="00F73A80" w:rsidRPr="00860E03" w:rsidRDefault="00F73A80" w:rsidP="00F73A80">
            <w:pPr>
              <w:pStyle w:val="ARtabletext"/>
            </w:pPr>
            <w:r w:rsidRPr="00860E03">
              <w:t>Office-based FTE</w:t>
            </w:r>
          </w:p>
        </w:tc>
        <w:tc>
          <w:tcPr>
            <w:tcW w:w="1574" w:type="dxa"/>
          </w:tcPr>
          <w:p w14:paraId="6417C6FF" w14:textId="77777777" w:rsidR="00F73A80" w:rsidRPr="00860E03" w:rsidRDefault="00F73A80" w:rsidP="00F73A80">
            <w:pPr>
              <w:pStyle w:val="ARtabletextright"/>
            </w:pPr>
            <w:r w:rsidRPr="00860E03">
              <w:t>856.9</w:t>
            </w:r>
          </w:p>
        </w:tc>
        <w:tc>
          <w:tcPr>
            <w:tcW w:w="1521" w:type="dxa"/>
          </w:tcPr>
          <w:p w14:paraId="7F3A2044" w14:textId="77777777" w:rsidR="00F73A80" w:rsidRPr="00860E03" w:rsidRDefault="00F73A80" w:rsidP="00F73A80">
            <w:pPr>
              <w:pStyle w:val="ARtabletextright"/>
            </w:pPr>
            <w:r w:rsidRPr="00860E03">
              <w:t>8032.3</w:t>
            </w:r>
          </w:p>
        </w:tc>
        <w:tc>
          <w:tcPr>
            <w:tcW w:w="1516" w:type="dxa"/>
          </w:tcPr>
          <w:p w14:paraId="73F4C5AA" w14:textId="77777777" w:rsidR="00F73A80" w:rsidRPr="00860E03" w:rsidRDefault="00F73A80" w:rsidP="00F73A80">
            <w:pPr>
              <w:pStyle w:val="ARtabletextright"/>
            </w:pPr>
            <w:r w:rsidRPr="00860E03">
              <w:t>8,889.2</w:t>
            </w:r>
          </w:p>
        </w:tc>
      </w:tr>
      <w:tr w:rsidR="00F73A80" w:rsidRPr="00860E03" w14:paraId="01E151E2" w14:textId="77777777" w:rsidTr="00F73A80">
        <w:trPr>
          <w:cantSplit/>
          <w:trHeight w:val="270"/>
        </w:trPr>
        <w:tc>
          <w:tcPr>
            <w:tcW w:w="5028" w:type="dxa"/>
          </w:tcPr>
          <w:p w14:paraId="6720AF60" w14:textId="77777777" w:rsidR="00F73A80" w:rsidRPr="00860E03" w:rsidRDefault="00F73A80" w:rsidP="00F73A80">
            <w:pPr>
              <w:pStyle w:val="ARtabletext"/>
            </w:pPr>
            <w:r w:rsidRPr="00860E03">
              <w:t>Operational FTE</w:t>
            </w:r>
          </w:p>
        </w:tc>
        <w:tc>
          <w:tcPr>
            <w:tcW w:w="1574" w:type="dxa"/>
          </w:tcPr>
          <w:p w14:paraId="6BF4DB7A" w14:textId="77777777" w:rsidR="00F73A80" w:rsidRPr="00860E03" w:rsidRDefault="00F73A80" w:rsidP="00F73A80">
            <w:pPr>
              <w:pStyle w:val="ARtabletextright"/>
            </w:pPr>
            <w:r w:rsidRPr="00860E03">
              <w:t>1,676.6</w:t>
            </w:r>
          </w:p>
        </w:tc>
        <w:tc>
          <w:tcPr>
            <w:tcW w:w="1521" w:type="dxa"/>
          </w:tcPr>
          <w:p w14:paraId="2B94BCDA" w14:textId="77777777" w:rsidR="00F73A80" w:rsidRPr="00860E03" w:rsidRDefault="00F73A80" w:rsidP="00F73A80">
            <w:pPr>
              <w:pStyle w:val="ARtabletextright"/>
            </w:pPr>
          </w:p>
        </w:tc>
        <w:tc>
          <w:tcPr>
            <w:tcW w:w="1516" w:type="dxa"/>
          </w:tcPr>
          <w:p w14:paraId="041DAF78" w14:textId="77777777" w:rsidR="00F73A80" w:rsidRPr="00860E03" w:rsidRDefault="00F73A80" w:rsidP="00F73A80">
            <w:pPr>
              <w:pStyle w:val="ARtabletextright"/>
            </w:pPr>
            <w:r w:rsidRPr="00860E03">
              <w:t>1,676.6</w:t>
            </w:r>
          </w:p>
        </w:tc>
      </w:tr>
      <w:tr w:rsidR="00F73A80" w:rsidRPr="00860E03" w14:paraId="6C61795C" w14:textId="77777777" w:rsidTr="00F73A80">
        <w:trPr>
          <w:cantSplit/>
          <w:trHeight w:val="270"/>
        </w:trPr>
        <w:tc>
          <w:tcPr>
            <w:tcW w:w="5028" w:type="dxa"/>
          </w:tcPr>
          <w:p w14:paraId="3C0F02EC" w14:textId="77777777" w:rsidR="00F73A80" w:rsidRPr="00860E03" w:rsidRDefault="00F73A80" w:rsidP="00F73A80">
            <w:pPr>
              <w:pStyle w:val="ARtabletext"/>
              <w:rPr>
                <w:b/>
              </w:rPr>
            </w:pPr>
            <w:r w:rsidRPr="00860E03">
              <w:rPr>
                <w:b/>
              </w:rPr>
              <w:t>Total FTE</w:t>
            </w:r>
          </w:p>
        </w:tc>
        <w:tc>
          <w:tcPr>
            <w:tcW w:w="1574" w:type="dxa"/>
          </w:tcPr>
          <w:p w14:paraId="26EFFDF1" w14:textId="77777777" w:rsidR="00F73A80" w:rsidRPr="00860E03" w:rsidRDefault="00F73A80" w:rsidP="00F73A80">
            <w:pPr>
              <w:pStyle w:val="ARtabletextright"/>
            </w:pPr>
          </w:p>
        </w:tc>
        <w:tc>
          <w:tcPr>
            <w:tcW w:w="1521" w:type="dxa"/>
          </w:tcPr>
          <w:p w14:paraId="5FEDC7BD" w14:textId="77777777" w:rsidR="00F73A80" w:rsidRPr="00860E03" w:rsidRDefault="00F73A80" w:rsidP="00F73A80">
            <w:pPr>
              <w:pStyle w:val="ARtabletextright"/>
            </w:pPr>
          </w:p>
        </w:tc>
        <w:tc>
          <w:tcPr>
            <w:tcW w:w="1516" w:type="dxa"/>
          </w:tcPr>
          <w:p w14:paraId="4014788C" w14:textId="77777777" w:rsidR="00F73A80" w:rsidRPr="00860E03" w:rsidRDefault="00F73A80" w:rsidP="00F73A80">
            <w:pPr>
              <w:pStyle w:val="ARtabletextrightbold"/>
            </w:pPr>
            <w:r w:rsidRPr="00860E03">
              <w:t>10,565.8</w:t>
            </w:r>
          </w:p>
        </w:tc>
      </w:tr>
      <w:tr w:rsidR="00F73A80" w:rsidRPr="00860E03" w14:paraId="511FF000" w14:textId="77777777" w:rsidTr="00F73A80">
        <w:trPr>
          <w:cantSplit/>
          <w:trHeight w:val="270"/>
        </w:trPr>
        <w:tc>
          <w:tcPr>
            <w:tcW w:w="5028" w:type="dxa"/>
          </w:tcPr>
          <w:p w14:paraId="7279AAD7" w14:textId="77777777" w:rsidR="00F73A80" w:rsidRPr="00860E03" w:rsidRDefault="00F73A80" w:rsidP="00F73A80">
            <w:pPr>
              <w:pStyle w:val="ARtabletext"/>
            </w:pPr>
            <w:r w:rsidRPr="00860E03">
              <w:t>Number of office-based sites</w:t>
            </w:r>
          </w:p>
        </w:tc>
        <w:tc>
          <w:tcPr>
            <w:tcW w:w="1574" w:type="dxa"/>
          </w:tcPr>
          <w:p w14:paraId="409BF404" w14:textId="77777777" w:rsidR="00F73A80" w:rsidRPr="00860E03" w:rsidRDefault="00F73A80" w:rsidP="00F73A80">
            <w:pPr>
              <w:pStyle w:val="ARtabletextright"/>
            </w:pPr>
            <w:r w:rsidRPr="00860E03">
              <w:t>16</w:t>
            </w:r>
          </w:p>
        </w:tc>
        <w:tc>
          <w:tcPr>
            <w:tcW w:w="1521" w:type="dxa"/>
          </w:tcPr>
          <w:p w14:paraId="39ED054F" w14:textId="77777777" w:rsidR="00F73A80" w:rsidRPr="00860E03" w:rsidRDefault="00F73A80" w:rsidP="00F73A80">
            <w:pPr>
              <w:pStyle w:val="ARtabletextright"/>
            </w:pPr>
            <w:r w:rsidRPr="00860E03">
              <w:t>45</w:t>
            </w:r>
          </w:p>
        </w:tc>
        <w:tc>
          <w:tcPr>
            <w:tcW w:w="1516" w:type="dxa"/>
          </w:tcPr>
          <w:p w14:paraId="54F188F5" w14:textId="77777777" w:rsidR="00F73A80" w:rsidRPr="00860E03" w:rsidRDefault="00F73A80" w:rsidP="00F73A80">
            <w:pPr>
              <w:pStyle w:val="ARtabletextright"/>
            </w:pPr>
            <w:r w:rsidRPr="00860E03">
              <w:t>61</w:t>
            </w:r>
          </w:p>
        </w:tc>
      </w:tr>
      <w:tr w:rsidR="00F73A80" w:rsidRPr="00860E03" w14:paraId="0E611E04" w14:textId="77777777" w:rsidTr="00F73A80">
        <w:trPr>
          <w:cantSplit/>
          <w:trHeight w:val="270"/>
        </w:trPr>
        <w:tc>
          <w:tcPr>
            <w:tcW w:w="5028" w:type="dxa"/>
          </w:tcPr>
          <w:p w14:paraId="51471766" w14:textId="77777777" w:rsidR="00F73A80" w:rsidRPr="00860E03" w:rsidRDefault="00F73A80" w:rsidP="00F73A80">
            <w:pPr>
              <w:pStyle w:val="ARtabletext"/>
            </w:pPr>
            <w:r w:rsidRPr="00860E03">
              <w:t>Number high-rise public housing sites</w:t>
            </w:r>
          </w:p>
        </w:tc>
        <w:tc>
          <w:tcPr>
            <w:tcW w:w="1574" w:type="dxa"/>
          </w:tcPr>
          <w:p w14:paraId="2F59975F" w14:textId="77777777" w:rsidR="00F73A80" w:rsidRPr="00860E03" w:rsidRDefault="00F73A80" w:rsidP="00F73A80">
            <w:pPr>
              <w:pStyle w:val="ARtabletextright"/>
            </w:pPr>
            <w:r w:rsidRPr="00860E03">
              <w:t>44</w:t>
            </w:r>
          </w:p>
        </w:tc>
        <w:tc>
          <w:tcPr>
            <w:tcW w:w="1521" w:type="dxa"/>
          </w:tcPr>
          <w:p w14:paraId="1B10DFE5" w14:textId="77777777" w:rsidR="00F73A80" w:rsidRPr="00860E03" w:rsidRDefault="00F73A80" w:rsidP="00F73A80">
            <w:pPr>
              <w:pStyle w:val="ARtabletextright"/>
            </w:pPr>
          </w:p>
        </w:tc>
        <w:tc>
          <w:tcPr>
            <w:tcW w:w="1516" w:type="dxa"/>
          </w:tcPr>
          <w:p w14:paraId="716A197F" w14:textId="77777777" w:rsidR="00F73A80" w:rsidRPr="00860E03" w:rsidRDefault="00F73A80" w:rsidP="00F73A80">
            <w:pPr>
              <w:pStyle w:val="ARtabletextright"/>
            </w:pPr>
            <w:r w:rsidRPr="00860E03">
              <w:t>44</w:t>
            </w:r>
          </w:p>
        </w:tc>
      </w:tr>
      <w:tr w:rsidR="00F73A80" w:rsidRPr="00860E03" w14:paraId="128A5CB5" w14:textId="77777777" w:rsidTr="00F73A80">
        <w:trPr>
          <w:cantSplit/>
          <w:trHeight w:val="270"/>
        </w:trPr>
        <w:tc>
          <w:tcPr>
            <w:tcW w:w="5028" w:type="dxa"/>
          </w:tcPr>
          <w:p w14:paraId="3EC9431D" w14:textId="77777777" w:rsidR="00F73A80" w:rsidRPr="00860E03" w:rsidRDefault="00F73A80" w:rsidP="00F73A80">
            <w:pPr>
              <w:pStyle w:val="ARtabletext"/>
            </w:pPr>
            <w:r w:rsidRPr="00860E03">
              <w:t>Office-based area (m</w:t>
            </w:r>
            <w:r w:rsidRPr="00860E03">
              <w:rPr>
                <w:vertAlign w:val="superscript"/>
              </w:rPr>
              <w:t>2</w:t>
            </w:r>
            <w:r w:rsidRPr="00860E03">
              <w:t>)</w:t>
            </w:r>
          </w:p>
        </w:tc>
        <w:tc>
          <w:tcPr>
            <w:tcW w:w="1574" w:type="dxa"/>
          </w:tcPr>
          <w:p w14:paraId="4A208A33" w14:textId="77777777" w:rsidR="00F73A80" w:rsidRPr="00860E03" w:rsidRDefault="00F73A80" w:rsidP="00F73A80">
            <w:pPr>
              <w:pStyle w:val="ARtabletextright"/>
            </w:pPr>
            <w:r w:rsidRPr="00860E03">
              <w:t>20,327</w:t>
            </w:r>
          </w:p>
        </w:tc>
        <w:tc>
          <w:tcPr>
            <w:tcW w:w="1521" w:type="dxa"/>
          </w:tcPr>
          <w:p w14:paraId="5D62981F" w14:textId="77777777" w:rsidR="00F73A80" w:rsidRPr="00860E03" w:rsidRDefault="00F73A80" w:rsidP="00F73A80">
            <w:pPr>
              <w:pStyle w:val="ARtabletextright"/>
            </w:pPr>
            <w:r w:rsidRPr="00860E03">
              <w:t>134,779</w:t>
            </w:r>
          </w:p>
        </w:tc>
        <w:tc>
          <w:tcPr>
            <w:tcW w:w="1516" w:type="dxa"/>
          </w:tcPr>
          <w:p w14:paraId="2A72D60C" w14:textId="77777777" w:rsidR="00F73A80" w:rsidRPr="00860E03" w:rsidRDefault="00F73A80" w:rsidP="00F73A80">
            <w:pPr>
              <w:pStyle w:val="ARtabletextright"/>
            </w:pPr>
            <w:r w:rsidRPr="00860E03">
              <w:t>155,106</w:t>
            </w:r>
          </w:p>
        </w:tc>
      </w:tr>
    </w:tbl>
    <w:p w14:paraId="61135721" w14:textId="77777777" w:rsidR="00F73A80" w:rsidRDefault="00F73A80" w:rsidP="00F73A80">
      <w:pPr>
        <w:pStyle w:val="ARtablefootnote"/>
      </w:pPr>
      <w:r w:rsidRPr="00860E03">
        <w:t xml:space="preserve">Staff and building reference data includes the roll-out of </w:t>
      </w:r>
      <w:r w:rsidR="00481D48">
        <w:t xml:space="preserve">The </w:t>
      </w:r>
      <w:r w:rsidRPr="00860E03">
        <w:t>Orange Door Family Safety Victoria hubs (</w:t>
      </w:r>
      <w:r w:rsidR="00481D48">
        <w:t>seven</w:t>
      </w:r>
      <w:r w:rsidRPr="00860E03">
        <w:t xml:space="preserve"> buildings).</w:t>
      </w:r>
    </w:p>
    <w:p w14:paraId="3E0282DA" w14:textId="77777777" w:rsidR="00F73A80" w:rsidRPr="00860E03" w:rsidRDefault="00F73A80" w:rsidP="00F73A80">
      <w:pPr>
        <w:pStyle w:val="ARtablefootnote"/>
      </w:pPr>
      <w:r>
        <w:t>FTE (</w:t>
      </w:r>
      <w:r w:rsidR="00481D48">
        <w:t>f</w:t>
      </w:r>
      <w:r>
        <w:t>ull</w:t>
      </w:r>
      <w:r w:rsidR="00481D48">
        <w:t>-</w:t>
      </w:r>
      <w:r>
        <w:t>time equivalent staff member as of 30 June 2019)</w:t>
      </w:r>
    </w:p>
    <w:p w14:paraId="0162B453" w14:textId="77777777" w:rsidR="00F73A80" w:rsidRPr="007939DD" w:rsidRDefault="00F73A80" w:rsidP="00F73A80">
      <w:pPr>
        <w:pStyle w:val="Heading2"/>
      </w:pPr>
      <w:r w:rsidRPr="007939DD">
        <w:t>Energy use</w:t>
      </w:r>
    </w:p>
    <w:p w14:paraId="42AC806F" w14:textId="77777777" w:rsidR="00537F5C" w:rsidRPr="007939DD" w:rsidRDefault="00537F5C" w:rsidP="00537F5C">
      <w:pPr>
        <w:pStyle w:val="Heading3"/>
      </w:pPr>
      <w:r w:rsidRPr="007939DD">
        <w:t>Office</w:t>
      </w:r>
      <w:r>
        <w:t xml:space="preserve"> </w:t>
      </w:r>
      <w:r w:rsidRPr="007939DD">
        <w:t>based</w:t>
      </w:r>
    </w:p>
    <w:tbl>
      <w:tblPr>
        <w:tblW w:w="9644" w:type="dxa"/>
        <w:tblBorders>
          <w:left w:val="single" w:sz="4" w:space="0" w:color="FFFFFF" w:themeColor="background1"/>
          <w:right w:val="single" w:sz="4" w:space="0" w:color="FFFFFF" w:themeColor="background1"/>
          <w:insideH w:val="single" w:sz="4" w:space="0" w:color="000000" w:themeColor="text1"/>
          <w:insideV w:val="single" w:sz="4" w:space="0" w:color="FFFFFF" w:themeColor="background1"/>
        </w:tblBorders>
        <w:tblLayout w:type="fixed"/>
        <w:tblCellMar>
          <w:left w:w="0" w:type="dxa"/>
        </w:tblCellMar>
        <w:tblLook w:val="00A0" w:firstRow="1" w:lastRow="0" w:firstColumn="1" w:lastColumn="0" w:noHBand="0" w:noVBand="0"/>
      </w:tblPr>
      <w:tblGrid>
        <w:gridCol w:w="2274"/>
        <w:gridCol w:w="1418"/>
        <w:gridCol w:w="1038"/>
        <w:gridCol w:w="376"/>
        <w:gridCol w:w="1137"/>
        <w:gridCol w:w="374"/>
        <w:gridCol w:w="570"/>
        <w:gridCol w:w="941"/>
        <w:gridCol w:w="525"/>
        <w:gridCol w:w="991"/>
      </w:tblGrid>
      <w:tr w:rsidR="00537F5C" w:rsidRPr="00860E03" w14:paraId="1252199C" w14:textId="77777777" w:rsidTr="00537F5C">
        <w:trPr>
          <w:cantSplit/>
          <w:trHeight w:val="270"/>
          <w:tblHeader/>
        </w:trPr>
        <w:tc>
          <w:tcPr>
            <w:tcW w:w="2274" w:type="dxa"/>
            <w:vAlign w:val="bottom"/>
          </w:tcPr>
          <w:p w14:paraId="6EC80993" w14:textId="77777777" w:rsidR="00537F5C" w:rsidRPr="00860E03" w:rsidRDefault="00537F5C" w:rsidP="00537F5C">
            <w:pPr>
              <w:pStyle w:val="ARtablecolhead"/>
            </w:pPr>
            <w:r w:rsidRPr="00860E03">
              <w:t>Description</w:t>
            </w:r>
          </w:p>
        </w:tc>
        <w:tc>
          <w:tcPr>
            <w:tcW w:w="1418" w:type="dxa"/>
          </w:tcPr>
          <w:p w14:paraId="0B243D3F" w14:textId="77777777" w:rsidR="00537F5C" w:rsidRPr="00860E03" w:rsidRDefault="00537F5C" w:rsidP="00537F5C">
            <w:pPr>
              <w:pStyle w:val="ARtablecolheadright"/>
            </w:pPr>
            <w:r w:rsidRPr="00860E03">
              <w:t>2018–19</w:t>
            </w:r>
            <w:r w:rsidRPr="00860E03">
              <w:br/>
              <w:t>estimate</w:t>
            </w:r>
          </w:p>
        </w:tc>
        <w:tc>
          <w:tcPr>
            <w:tcW w:w="1038" w:type="dxa"/>
          </w:tcPr>
          <w:p w14:paraId="084E62A5" w14:textId="77777777" w:rsidR="00537F5C" w:rsidRPr="00860E03" w:rsidRDefault="00537F5C" w:rsidP="00537F5C">
            <w:pPr>
              <w:pStyle w:val="ARtablecolheadright"/>
            </w:pPr>
            <w:r w:rsidRPr="00860E03">
              <w:t>2018–19</w:t>
            </w:r>
            <w:r w:rsidRPr="00860E03">
              <w:br/>
              <w:t>estimate</w:t>
            </w:r>
          </w:p>
        </w:tc>
        <w:tc>
          <w:tcPr>
            <w:tcW w:w="1513" w:type="dxa"/>
            <w:gridSpan w:val="2"/>
          </w:tcPr>
          <w:p w14:paraId="422B15BB" w14:textId="77777777" w:rsidR="00537F5C" w:rsidRPr="00860E03" w:rsidRDefault="00537F5C" w:rsidP="00537F5C">
            <w:pPr>
              <w:pStyle w:val="ARtablecolheadright"/>
            </w:pPr>
            <w:r w:rsidRPr="00860E03">
              <w:t>2017–18</w:t>
            </w:r>
            <w:r w:rsidRPr="00860E03">
              <w:br/>
              <w:t>estimate</w:t>
            </w:r>
          </w:p>
        </w:tc>
        <w:tc>
          <w:tcPr>
            <w:tcW w:w="944" w:type="dxa"/>
            <w:gridSpan w:val="2"/>
          </w:tcPr>
          <w:p w14:paraId="09ED6CD8" w14:textId="77777777" w:rsidR="00537F5C" w:rsidRPr="00860E03" w:rsidRDefault="00537F5C" w:rsidP="00537F5C">
            <w:pPr>
              <w:pStyle w:val="ARtablecolheadright"/>
            </w:pPr>
            <w:r w:rsidRPr="00860E03">
              <w:t>2017–18</w:t>
            </w:r>
            <w:r w:rsidRPr="00860E03">
              <w:br/>
              <w:t>estimate</w:t>
            </w:r>
          </w:p>
        </w:tc>
        <w:tc>
          <w:tcPr>
            <w:tcW w:w="1466" w:type="dxa"/>
            <w:gridSpan w:val="2"/>
          </w:tcPr>
          <w:p w14:paraId="74756000" w14:textId="77777777" w:rsidR="00537F5C" w:rsidRPr="00860E03" w:rsidRDefault="00537F5C" w:rsidP="00537F5C">
            <w:pPr>
              <w:pStyle w:val="ARtablecolheadright"/>
            </w:pPr>
            <w:r w:rsidRPr="00860E03">
              <w:t>2016–17</w:t>
            </w:r>
            <w:r w:rsidRPr="00860E03">
              <w:br/>
              <w:t>estimate</w:t>
            </w:r>
          </w:p>
        </w:tc>
        <w:tc>
          <w:tcPr>
            <w:tcW w:w="991" w:type="dxa"/>
          </w:tcPr>
          <w:p w14:paraId="55F0CF6B" w14:textId="77777777" w:rsidR="00537F5C" w:rsidRPr="00860E03" w:rsidRDefault="00537F5C" w:rsidP="00537F5C">
            <w:pPr>
              <w:pStyle w:val="ARtablecolheadright"/>
            </w:pPr>
            <w:r w:rsidRPr="00860E03">
              <w:t>2016–17</w:t>
            </w:r>
            <w:r w:rsidRPr="00860E03">
              <w:br/>
              <w:t>estimate</w:t>
            </w:r>
          </w:p>
        </w:tc>
      </w:tr>
      <w:tr w:rsidR="00537F5C" w:rsidRPr="00860E03" w14:paraId="117413DB" w14:textId="77777777" w:rsidTr="00537F5C">
        <w:trPr>
          <w:cantSplit/>
          <w:trHeight w:val="270"/>
          <w:tblHeader/>
        </w:trPr>
        <w:tc>
          <w:tcPr>
            <w:tcW w:w="2274" w:type="dxa"/>
            <w:vAlign w:val="bottom"/>
          </w:tcPr>
          <w:p w14:paraId="72AD3210" w14:textId="77777777" w:rsidR="00537F5C" w:rsidRPr="00860E03" w:rsidRDefault="00537F5C" w:rsidP="00537F5C">
            <w:pPr>
              <w:pStyle w:val="ARtablecolhead"/>
            </w:pPr>
            <w:r w:rsidRPr="00860E03">
              <w:t>Total energy usage segmented by primary source</w:t>
            </w:r>
          </w:p>
        </w:tc>
        <w:tc>
          <w:tcPr>
            <w:tcW w:w="1418" w:type="dxa"/>
            <w:vAlign w:val="bottom"/>
          </w:tcPr>
          <w:p w14:paraId="79667915" w14:textId="77777777" w:rsidR="00537F5C" w:rsidRPr="00860E03" w:rsidRDefault="00537F5C" w:rsidP="00537F5C">
            <w:pPr>
              <w:pStyle w:val="ARtablecolheadright"/>
            </w:pPr>
            <w:r w:rsidRPr="00860E03">
              <w:t>Megajoules</w:t>
            </w:r>
          </w:p>
        </w:tc>
        <w:tc>
          <w:tcPr>
            <w:tcW w:w="1038" w:type="dxa"/>
            <w:vAlign w:val="bottom"/>
          </w:tcPr>
          <w:p w14:paraId="6B4022C5" w14:textId="77777777" w:rsidR="00537F5C" w:rsidRPr="00860E03" w:rsidRDefault="00537F5C" w:rsidP="00537F5C">
            <w:pPr>
              <w:pStyle w:val="ARtablecolheadright"/>
            </w:pPr>
            <w:r w:rsidRPr="00860E03">
              <w:t>Cost</w:t>
            </w:r>
            <w:r w:rsidRPr="00860E03">
              <w:br/>
              <w:t>($M)</w:t>
            </w:r>
          </w:p>
        </w:tc>
        <w:tc>
          <w:tcPr>
            <w:tcW w:w="1513" w:type="dxa"/>
            <w:gridSpan w:val="2"/>
            <w:vAlign w:val="bottom"/>
          </w:tcPr>
          <w:p w14:paraId="1682E16C" w14:textId="77777777" w:rsidR="00537F5C" w:rsidRPr="00860E03" w:rsidRDefault="00537F5C" w:rsidP="00537F5C">
            <w:pPr>
              <w:pStyle w:val="ARtablecolheadright"/>
            </w:pPr>
            <w:r w:rsidRPr="00860E03">
              <w:t>Megajoules</w:t>
            </w:r>
          </w:p>
        </w:tc>
        <w:tc>
          <w:tcPr>
            <w:tcW w:w="944" w:type="dxa"/>
            <w:gridSpan w:val="2"/>
            <w:vAlign w:val="bottom"/>
          </w:tcPr>
          <w:p w14:paraId="360E9778" w14:textId="77777777" w:rsidR="00537F5C" w:rsidRPr="00860E03" w:rsidRDefault="00537F5C" w:rsidP="00537F5C">
            <w:pPr>
              <w:pStyle w:val="ARtablecolheadright"/>
            </w:pPr>
            <w:r w:rsidRPr="00860E03">
              <w:t>Cost</w:t>
            </w:r>
            <w:r w:rsidRPr="00860E03">
              <w:br/>
              <w:t>($M)</w:t>
            </w:r>
          </w:p>
        </w:tc>
        <w:tc>
          <w:tcPr>
            <w:tcW w:w="1466" w:type="dxa"/>
            <w:gridSpan w:val="2"/>
            <w:vAlign w:val="bottom"/>
          </w:tcPr>
          <w:p w14:paraId="68D5A903" w14:textId="77777777" w:rsidR="00537F5C" w:rsidRPr="00860E03" w:rsidRDefault="00537F5C" w:rsidP="00537F5C">
            <w:pPr>
              <w:pStyle w:val="ARtablecolheadright"/>
            </w:pPr>
            <w:r w:rsidRPr="00860E03">
              <w:t>Megajoules</w:t>
            </w:r>
          </w:p>
        </w:tc>
        <w:tc>
          <w:tcPr>
            <w:tcW w:w="991" w:type="dxa"/>
            <w:vAlign w:val="bottom"/>
          </w:tcPr>
          <w:p w14:paraId="67C1D0CC" w14:textId="77777777" w:rsidR="00537F5C" w:rsidRPr="00860E03" w:rsidRDefault="00537F5C" w:rsidP="00537F5C">
            <w:pPr>
              <w:pStyle w:val="ARtablecolheadright"/>
            </w:pPr>
            <w:r w:rsidRPr="00860E03">
              <w:t>Cost</w:t>
            </w:r>
            <w:r w:rsidRPr="00860E03">
              <w:br/>
              <w:t>($M)</w:t>
            </w:r>
          </w:p>
        </w:tc>
      </w:tr>
      <w:tr w:rsidR="00537F5C" w:rsidRPr="00860E03" w14:paraId="2B673A2A" w14:textId="77777777" w:rsidTr="00537F5C">
        <w:trPr>
          <w:cantSplit/>
          <w:trHeight w:val="270"/>
        </w:trPr>
        <w:tc>
          <w:tcPr>
            <w:tcW w:w="2274" w:type="dxa"/>
          </w:tcPr>
          <w:p w14:paraId="2D2A61B2" w14:textId="77777777" w:rsidR="00537F5C" w:rsidRPr="00860E03" w:rsidRDefault="00537F5C" w:rsidP="00537F5C">
            <w:pPr>
              <w:pStyle w:val="ARtabletext"/>
            </w:pPr>
            <w:r w:rsidRPr="00860E03">
              <w:t>Electricity</w:t>
            </w:r>
          </w:p>
        </w:tc>
        <w:tc>
          <w:tcPr>
            <w:tcW w:w="1418" w:type="dxa"/>
          </w:tcPr>
          <w:p w14:paraId="4DF2B8CA" w14:textId="77777777" w:rsidR="00537F5C" w:rsidRPr="00860E03" w:rsidRDefault="00537F5C" w:rsidP="00537F5C">
            <w:pPr>
              <w:pStyle w:val="ARtabletextright"/>
            </w:pPr>
            <w:r w:rsidRPr="00860E03">
              <w:t>51,801,160</w:t>
            </w:r>
          </w:p>
        </w:tc>
        <w:tc>
          <w:tcPr>
            <w:tcW w:w="1038" w:type="dxa"/>
          </w:tcPr>
          <w:p w14:paraId="73A7F007" w14:textId="77777777" w:rsidR="00537F5C" w:rsidRPr="00860E03" w:rsidRDefault="00537F5C" w:rsidP="00537F5C">
            <w:pPr>
              <w:pStyle w:val="ARtabletextright"/>
            </w:pPr>
            <w:r w:rsidRPr="00860E03">
              <w:t>$3.34</w:t>
            </w:r>
          </w:p>
        </w:tc>
        <w:tc>
          <w:tcPr>
            <w:tcW w:w="1513" w:type="dxa"/>
            <w:gridSpan w:val="2"/>
          </w:tcPr>
          <w:p w14:paraId="0CB023CC" w14:textId="77777777" w:rsidR="00537F5C" w:rsidRPr="00860E03" w:rsidRDefault="00537F5C" w:rsidP="00537F5C">
            <w:pPr>
              <w:pStyle w:val="ARtabletextright"/>
            </w:pPr>
            <w:r w:rsidRPr="00860E03">
              <w:t>50,613,492</w:t>
            </w:r>
          </w:p>
        </w:tc>
        <w:tc>
          <w:tcPr>
            <w:tcW w:w="944" w:type="dxa"/>
            <w:gridSpan w:val="2"/>
          </w:tcPr>
          <w:p w14:paraId="5C5A0846" w14:textId="77777777" w:rsidR="00537F5C" w:rsidRPr="00860E03" w:rsidRDefault="00537F5C" w:rsidP="00537F5C">
            <w:pPr>
              <w:pStyle w:val="ARtabletextright"/>
            </w:pPr>
            <w:r w:rsidRPr="00860E03">
              <w:t>$2.89</w:t>
            </w:r>
          </w:p>
        </w:tc>
        <w:tc>
          <w:tcPr>
            <w:tcW w:w="1466" w:type="dxa"/>
            <w:gridSpan w:val="2"/>
          </w:tcPr>
          <w:p w14:paraId="04FC43FE" w14:textId="77777777" w:rsidR="00537F5C" w:rsidRPr="00860E03" w:rsidRDefault="00537F5C" w:rsidP="00537F5C">
            <w:pPr>
              <w:pStyle w:val="ARtabletextright"/>
            </w:pPr>
            <w:r w:rsidRPr="00860E03">
              <w:t>56,183,067</w:t>
            </w:r>
          </w:p>
        </w:tc>
        <w:tc>
          <w:tcPr>
            <w:tcW w:w="991" w:type="dxa"/>
          </w:tcPr>
          <w:p w14:paraId="5CC92397" w14:textId="77777777" w:rsidR="00537F5C" w:rsidRPr="00860E03" w:rsidRDefault="00537F5C" w:rsidP="00537F5C">
            <w:pPr>
              <w:pStyle w:val="ARtabletextright"/>
            </w:pPr>
            <w:r w:rsidRPr="00860E03">
              <w:t>$2.74</w:t>
            </w:r>
          </w:p>
        </w:tc>
      </w:tr>
      <w:tr w:rsidR="00537F5C" w:rsidRPr="00860E03" w14:paraId="61C2A486" w14:textId="77777777" w:rsidTr="00537F5C">
        <w:trPr>
          <w:cantSplit/>
          <w:trHeight w:val="270"/>
        </w:trPr>
        <w:tc>
          <w:tcPr>
            <w:tcW w:w="2274" w:type="dxa"/>
          </w:tcPr>
          <w:p w14:paraId="322F1CB9" w14:textId="77777777" w:rsidR="00537F5C" w:rsidRPr="00860E03" w:rsidRDefault="00537F5C" w:rsidP="00537F5C">
            <w:pPr>
              <w:pStyle w:val="ARtabletext"/>
            </w:pPr>
            <w:r w:rsidRPr="00860E03">
              <w:t>Green power</w:t>
            </w:r>
          </w:p>
        </w:tc>
        <w:tc>
          <w:tcPr>
            <w:tcW w:w="1418" w:type="dxa"/>
          </w:tcPr>
          <w:p w14:paraId="546DB947" w14:textId="77777777" w:rsidR="00537F5C" w:rsidRPr="00860E03" w:rsidRDefault="00537F5C" w:rsidP="00537F5C">
            <w:pPr>
              <w:pStyle w:val="ARtabletextright"/>
            </w:pPr>
            <w:r w:rsidRPr="00860E03">
              <w:t>0</w:t>
            </w:r>
          </w:p>
        </w:tc>
        <w:tc>
          <w:tcPr>
            <w:tcW w:w="1038" w:type="dxa"/>
          </w:tcPr>
          <w:p w14:paraId="1069AAFE" w14:textId="77777777" w:rsidR="00537F5C" w:rsidRPr="00860E03" w:rsidRDefault="00537F5C" w:rsidP="00537F5C">
            <w:pPr>
              <w:pStyle w:val="ARtabletextright"/>
            </w:pPr>
            <w:r w:rsidRPr="00860E03">
              <w:t>$0.00</w:t>
            </w:r>
          </w:p>
        </w:tc>
        <w:tc>
          <w:tcPr>
            <w:tcW w:w="1513" w:type="dxa"/>
            <w:gridSpan w:val="2"/>
          </w:tcPr>
          <w:p w14:paraId="40D18FB7" w14:textId="77777777" w:rsidR="00537F5C" w:rsidRPr="00860E03" w:rsidRDefault="00537F5C" w:rsidP="00537F5C">
            <w:pPr>
              <w:pStyle w:val="ARtabletextright"/>
            </w:pPr>
            <w:r w:rsidRPr="00860E03">
              <w:t>0</w:t>
            </w:r>
          </w:p>
        </w:tc>
        <w:tc>
          <w:tcPr>
            <w:tcW w:w="944" w:type="dxa"/>
            <w:gridSpan w:val="2"/>
          </w:tcPr>
          <w:p w14:paraId="42833739" w14:textId="77777777" w:rsidR="00537F5C" w:rsidRPr="00860E03" w:rsidRDefault="00537F5C" w:rsidP="00537F5C">
            <w:pPr>
              <w:pStyle w:val="ARtabletextright"/>
            </w:pPr>
            <w:r w:rsidRPr="00860E03">
              <w:t>$0.00</w:t>
            </w:r>
          </w:p>
        </w:tc>
        <w:tc>
          <w:tcPr>
            <w:tcW w:w="1466" w:type="dxa"/>
            <w:gridSpan w:val="2"/>
          </w:tcPr>
          <w:p w14:paraId="3EEA5415" w14:textId="77777777" w:rsidR="00537F5C" w:rsidRPr="00860E03" w:rsidRDefault="00537F5C" w:rsidP="00537F5C">
            <w:pPr>
              <w:pStyle w:val="ARtabletextright"/>
            </w:pPr>
            <w:r w:rsidRPr="00860E03">
              <w:t>0</w:t>
            </w:r>
          </w:p>
        </w:tc>
        <w:tc>
          <w:tcPr>
            <w:tcW w:w="991" w:type="dxa"/>
          </w:tcPr>
          <w:p w14:paraId="3EA88352" w14:textId="77777777" w:rsidR="00537F5C" w:rsidRPr="00860E03" w:rsidRDefault="00537F5C" w:rsidP="00537F5C">
            <w:pPr>
              <w:pStyle w:val="ARtabletextright"/>
            </w:pPr>
            <w:r w:rsidRPr="00860E03">
              <w:t>$0.00</w:t>
            </w:r>
          </w:p>
        </w:tc>
      </w:tr>
      <w:tr w:rsidR="00537F5C" w:rsidRPr="00860E03" w14:paraId="7B14C3CD" w14:textId="77777777" w:rsidTr="00537F5C">
        <w:trPr>
          <w:cantSplit/>
          <w:trHeight w:val="270"/>
        </w:trPr>
        <w:tc>
          <w:tcPr>
            <w:tcW w:w="2274" w:type="dxa"/>
            <w:tcBorders>
              <w:bottom w:val="single" w:sz="4" w:space="0" w:color="000000" w:themeColor="text1"/>
            </w:tcBorders>
          </w:tcPr>
          <w:p w14:paraId="032E8A51" w14:textId="77777777" w:rsidR="00537F5C" w:rsidRPr="00860E03" w:rsidRDefault="00537F5C" w:rsidP="00537F5C">
            <w:pPr>
              <w:pStyle w:val="ARtabletext"/>
            </w:pPr>
            <w:r w:rsidRPr="00860E03">
              <w:t>Natural gas</w:t>
            </w:r>
          </w:p>
        </w:tc>
        <w:tc>
          <w:tcPr>
            <w:tcW w:w="1418" w:type="dxa"/>
            <w:tcBorders>
              <w:bottom w:val="single" w:sz="4" w:space="0" w:color="000000" w:themeColor="text1"/>
            </w:tcBorders>
          </w:tcPr>
          <w:p w14:paraId="2B7CEC8A" w14:textId="77777777" w:rsidR="00537F5C" w:rsidRPr="00860E03" w:rsidRDefault="00537F5C" w:rsidP="00537F5C">
            <w:pPr>
              <w:pStyle w:val="ARtabletextright"/>
            </w:pPr>
            <w:r w:rsidRPr="00860E03">
              <w:t>18,303,351</w:t>
            </w:r>
          </w:p>
        </w:tc>
        <w:tc>
          <w:tcPr>
            <w:tcW w:w="1038" w:type="dxa"/>
            <w:tcBorders>
              <w:bottom w:val="single" w:sz="4" w:space="0" w:color="000000" w:themeColor="text1"/>
            </w:tcBorders>
          </w:tcPr>
          <w:p w14:paraId="728B3CEE" w14:textId="77777777" w:rsidR="00537F5C" w:rsidRPr="00860E03" w:rsidRDefault="00537F5C" w:rsidP="00537F5C">
            <w:pPr>
              <w:pStyle w:val="ARtabletextright"/>
            </w:pPr>
            <w:r w:rsidRPr="00860E03">
              <w:t>$0.26</w:t>
            </w:r>
          </w:p>
        </w:tc>
        <w:tc>
          <w:tcPr>
            <w:tcW w:w="1513" w:type="dxa"/>
            <w:gridSpan w:val="2"/>
            <w:tcBorders>
              <w:bottom w:val="single" w:sz="4" w:space="0" w:color="000000" w:themeColor="text1"/>
            </w:tcBorders>
          </w:tcPr>
          <w:p w14:paraId="62AD5C49" w14:textId="77777777" w:rsidR="00537F5C" w:rsidRPr="00860E03" w:rsidRDefault="00537F5C" w:rsidP="00537F5C">
            <w:pPr>
              <w:pStyle w:val="ARtabletextright"/>
            </w:pPr>
            <w:r w:rsidRPr="00860E03">
              <w:t>17,654,216</w:t>
            </w:r>
          </w:p>
        </w:tc>
        <w:tc>
          <w:tcPr>
            <w:tcW w:w="944" w:type="dxa"/>
            <w:gridSpan w:val="2"/>
            <w:tcBorders>
              <w:bottom w:val="single" w:sz="4" w:space="0" w:color="000000" w:themeColor="text1"/>
            </w:tcBorders>
          </w:tcPr>
          <w:p w14:paraId="2FBA5707" w14:textId="77777777" w:rsidR="00537F5C" w:rsidRPr="00860E03" w:rsidRDefault="00537F5C" w:rsidP="00537F5C">
            <w:pPr>
              <w:pStyle w:val="ARtabletextright"/>
            </w:pPr>
            <w:r w:rsidRPr="00860E03">
              <w:t>$0.25</w:t>
            </w:r>
          </w:p>
        </w:tc>
        <w:tc>
          <w:tcPr>
            <w:tcW w:w="1466" w:type="dxa"/>
            <w:gridSpan w:val="2"/>
            <w:tcBorders>
              <w:bottom w:val="single" w:sz="4" w:space="0" w:color="000000" w:themeColor="text1"/>
            </w:tcBorders>
          </w:tcPr>
          <w:p w14:paraId="1AA980B6" w14:textId="77777777" w:rsidR="00537F5C" w:rsidRPr="00860E03" w:rsidRDefault="00537F5C" w:rsidP="00537F5C">
            <w:pPr>
              <w:pStyle w:val="ARtabletextright"/>
            </w:pPr>
            <w:r w:rsidRPr="00860E03">
              <w:t>10,321,215</w:t>
            </w:r>
          </w:p>
        </w:tc>
        <w:tc>
          <w:tcPr>
            <w:tcW w:w="991" w:type="dxa"/>
            <w:tcBorders>
              <w:bottom w:val="single" w:sz="4" w:space="0" w:color="000000" w:themeColor="text1"/>
            </w:tcBorders>
          </w:tcPr>
          <w:p w14:paraId="73BB7F6F" w14:textId="77777777" w:rsidR="00537F5C" w:rsidRPr="00860E03" w:rsidRDefault="00537F5C" w:rsidP="00537F5C">
            <w:pPr>
              <w:pStyle w:val="ARtabletextright"/>
            </w:pPr>
            <w:r w:rsidRPr="00860E03">
              <w:t>$0.13</w:t>
            </w:r>
          </w:p>
        </w:tc>
      </w:tr>
      <w:tr w:rsidR="00537F5C" w:rsidRPr="00860E03" w14:paraId="2C700122" w14:textId="77777777" w:rsidTr="00537F5C">
        <w:trPr>
          <w:cantSplit/>
          <w:trHeight w:val="270"/>
        </w:trPr>
        <w:tc>
          <w:tcPr>
            <w:tcW w:w="2274" w:type="dxa"/>
            <w:tcBorders>
              <w:top w:val="single" w:sz="4" w:space="0" w:color="000000" w:themeColor="text1"/>
              <w:bottom w:val="single" w:sz="4" w:space="0" w:color="auto"/>
            </w:tcBorders>
          </w:tcPr>
          <w:p w14:paraId="66A880B0" w14:textId="77777777" w:rsidR="00537F5C" w:rsidRPr="00860E03" w:rsidRDefault="00537F5C" w:rsidP="00537F5C">
            <w:pPr>
              <w:pStyle w:val="ARtabletext"/>
              <w:rPr>
                <w:b/>
              </w:rPr>
            </w:pPr>
            <w:r w:rsidRPr="00860E03">
              <w:rPr>
                <w:b/>
              </w:rPr>
              <w:t>Total</w:t>
            </w:r>
          </w:p>
        </w:tc>
        <w:tc>
          <w:tcPr>
            <w:tcW w:w="1418" w:type="dxa"/>
            <w:tcBorders>
              <w:top w:val="single" w:sz="4" w:space="0" w:color="000000" w:themeColor="text1"/>
              <w:bottom w:val="single" w:sz="4" w:space="0" w:color="auto"/>
            </w:tcBorders>
          </w:tcPr>
          <w:p w14:paraId="695DCB75" w14:textId="77777777" w:rsidR="00537F5C" w:rsidRPr="00860E03" w:rsidRDefault="00537F5C" w:rsidP="00537F5C">
            <w:pPr>
              <w:pStyle w:val="ARtabletextrightbold"/>
            </w:pPr>
            <w:r w:rsidRPr="00860E03">
              <w:t>70,104,511</w:t>
            </w:r>
          </w:p>
        </w:tc>
        <w:tc>
          <w:tcPr>
            <w:tcW w:w="1038" w:type="dxa"/>
            <w:tcBorders>
              <w:top w:val="single" w:sz="4" w:space="0" w:color="000000" w:themeColor="text1"/>
              <w:bottom w:val="single" w:sz="4" w:space="0" w:color="auto"/>
            </w:tcBorders>
          </w:tcPr>
          <w:p w14:paraId="4E533A71" w14:textId="77777777" w:rsidR="00537F5C" w:rsidRPr="00860E03" w:rsidRDefault="00537F5C" w:rsidP="00537F5C">
            <w:pPr>
              <w:pStyle w:val="ARtabletextrightbold"/>
            </w:pPr>
            <w:r w:rsidRPr="00860E03">
              <w:t>$3.60</w:t>
            </w:r>
          </w:p>
        </w:tc>
        <w:tc>
          <w:tcPr>
            <w:tcW w:w="1513" w:type="dxa"/>
            <w:gridSpan w:val="2"/>
            <w:tcBorders>
              <w:top w:val="single" w:sz="4" w:space="0" w:color="000000" w:themeColor="text1"/>
              <w:bottom w:val="single" w:sz="4" w:space="0" w:color="auto"/>
            </w:tcBorders>
          </w:tcPr>
          <w:p w14:paraId="69F5F350" w14:textId="77777777" w:rsidR="00537F5C" w:rsidRPr="00860E03" w:rsidRDefault="00537F5C" w:rsidP="00537F5C">
            <w:pPr>
              <w:pStyle w:val="ARtabletextrightbold"/>
            </w:pPr>
            <w:r w:rsidRPr="00860E03">
              <w:t>68,267,708</w:t>
            </w:r>
          </w:p>
        </w:tc>
        <w:tc>
          <w:tcPr>
            <w:tcW w:w="944" w:type="dxa"/>
            <w:gridSpan w:val="2"/>
            <w:tcBorders>
              <w:top w:val="single" w:sz="4" w:space="0" w:color="000000" w:themeColor="text1"/>
              <w:bottom w:val="single" w:sz="4" w:space="0" w:color="auto"/>
            </w:tcBorders>
          </w:tcPr>
          <w:p w14:paraId="1B844458" w14:textId="77777777" w:rsidR="00537F5C" w:rsidRPr="00860E03" w:rsidRDefault="00537F5C" w:rsidP="00537F5C">
            <w:pPr>
              <w:pStyle w:val="ARtabletextrightbold"/>
            </w:pPr>
            <w:r w:rsidRPr="00860E03">
              <w:t>$3.14</w:t>
            </w:r>
          </w:p>
        </w:tc>
        <w:tc>
          <w:tcPr>
            <w:tcW w:w="1466" w:type="dxa"/>
            <w:gridSpan w:val="2"/>
            <w:tcBorders>
              <w:top w:val="single" w:sz="4" w:space="0" w:color="000000" w:themeColor="text1"/>
              <w:bottom w:val="single" w:sz="4" w:space="0" w:color="auto"/>
            </w:tcBorders>
          </w:tcPr>
          <w:p w14:paraId="3C3E963F" w14:textId="77777777" w:rsidR="00537F5C" w:rsidRPr="00860E03" w:rsidRDefault="00537F5C" w:rsidP="00537F5C">
            <w:pPr>
              <w:pStyle w:val="ARtabletextrightbold"/>
            </w:pPr>
            <w:r w:rsidRPr="00860E03">
              <w:t>66,504,282</w:t>
            </w:r>
          </w:p>
        </w:tc>
        <w:tc>
          <w:tcPr>
            <w:tcW w:w="991" w:type="dxa"/>
            <w:tcBorders>
              <w:top w:val="single" w:sz="4" w:space="0" w:color="000000" w:themeColor="text1"/>
              <w:bottom w:val="single" w:sz="4" w:space="0" w:color="auto"/>
            </w:tcBorders>
          </w:tcPr>
          <w:p w14:paraId="4816C428" w14:textId="77777777" w:rsidR="00537F5C" w:rsidRPr="00860E03" w:rsidRDefault="00537F5C" w:rsidP="00537F5C">
            <w:pPr>
              <w:pStyle w:val="ARtabletextrightbold"/>
            </w:pPr>
            <w:r w:rsidRPr="00860E03">
              <w:t>$2.87</w:t>
            </w:r>
          </w:p>
        </w:tc>
      </w:tr>
      <w:tr w:rsidR="00537F5C" w:rsidRPr="00860E03" w14:paraId="6C938A01" w14:textId="77777777" w:rsidTr="00537F5C">
        <w:tblPrEx>
          <w:tblBorders>
            <w:left w:val="single" w:sz="4" w:space="0" w:color="FFFFFF"/>
            <w:bottom w:val="single" w:sz="4" w:space="0" w:color="auto"/>
            <w:right w:val="single" w:sz="4" w:space="0" w:color="FFFFFF"/>
            <w:insideH w:val="single" w:sz="4" w:space="0" w:color="auto"/>
            <w:insideV w:val="single" w:sz="4" w:space="0" w:color="FFFFFF"/>
          </w:tblBorders>
        </w:tblPrEx>
        <w:trPr>
          <w:cantSplit/>
          <w:trHeight w:val="229"/>
          <w:tblHeader/>
        </w:trPr>
        <w:tc>
          <w:tcPr>
            <w:tcW w:w="5106" w:type="dxa"/>
            <w:gridSpan w:val="4"/>
            <w:vAlign w:val="bottom"/>
          </w:tcPr>
          <w:p w14:paraId="5FE83D95" w14:textId="77777777" w:rsidR="00537F5C" w:rsidRPr="00860E03" w:rsidRDefault="00537F5C" w:rsidP="00537F5C">
            <w:pPr>
              <w:pStyle w:val="ARtablecolhead"/>
            </w:pPr>
            <w:r w:rsidRPr="00860E03">
              <w:br w:type="page"/>
            </w:r>
          </w:p>
          <w:p w14:paraId="6B8F5ADD" w14:textId="77777777" w:rsidR="00537F5C" w:rsidRPr="00860E03" w:rsidRDefault="00537F5C" w:rsidP="00537F5C">
            <w:pPr>
              <w:pStyle w:val="ARtablecolhead"/>
            </w:pPr>
            <w:r w:rsidRPr="00860E03">
              <w:t>Description</w:t>
            </w:r>
          </w:p>
        </w:tc>
        <w:tc>
          <w:tcPr>
            <w:tcW w:w="1511" w:type="dxa"/>
            <w:gridSpan w:val="2"/>
            <w:vAlign w:val="bottom"/>
          </w:tcPr>
          <w:p w14:paraId="759DB30A" w14:textId="77777777" w:rsidR="00537F5C" w:rsidRPr="00860E03" w:rsidRDefault="00537F5C" w:rsidP="00537F5C">
            <w:pPr>
              <w:pStyle w:val="ARtablecolheadright"/>
            </w:pPr>
            <w:r w:rsidRPr="00860E03">
              <w:t>2018–19 estimate</w:t>
            </w:r>
          </w:p>
        </w:tc>
        <w:tc>
          <w:tcPr>
            <w:tcW w:w="1511" w:type="dxa"/>
            <w:gridSpan w:val="2"/>
            <w:vAlign w:val="bottom"/>
          </w:tcPr>
          <w:p w14:paraId="3DEA700F" w14:textId="77777777" w:rsidR="00537F5C" w:rsidRPr="00860E03" w:rsidRDefault="00537F5C" w:rsidP="00537F5C">
            <w:pPr>
              <w:pStyle w:val="ARtablecolheadright"/>
            </w:pPr>
            <w:r w:rsidRPr="00860E03">
              <w:t>2017–18 estimate</w:t>
            </w:r>
          </w:p>
        </w:tc>
        <w:tc>
          <w:tcPr>
            <w:tcW w:w="1516" w:type="dxa"/>
            <w:gridSpan w:val="2"/>
            <w:vAlign w:val="bottom"/>
          </w:tcPr>
          <w:p w14:paraId="65D9B8CD" w14:textId="77777777" w:rsidR="00537F5C" w:rsidRPr="00860E03" w:rsidRDefault="00537F5C" w:rsidP="00537F5C">
            <w:pPr>
              <w:pStyle w:val="ARtablecolheadright"/>
            </w:pPr>
            <w:r w:rsidRPr="00860E03">
              <w:t>2016–17 estimate</w:t>
            </w:r>
          </w:p>
        </w:tc>
      </w:tr>
      <w:tr w:rsidR="00537F5C" w:rsidRPr="00860E03" w14:paraId="48D37FAA" w14:textId="77777777" w:rsidTr="00537F5C">
        <w:tblPrEx>
          <w:tblBorders>
            <w:left w:val="single" w:sz="4" w:space="0" w:color="FFFFFF"/>
            <w:bottom w:val="single" w:sz="4" w:space="0" w:color="auto"/>
            <w:right w:val="single" w:sz="4" w:space="0" w:color="FFFFFF"/>
            <w:insideH w:val="single" w:sz="4" w:space="0" w:color="auto"/>
            <w:insideV w:val="single" w:sz="4" w:space="0" w:color="FFFFFF"/>
          </w:tblBorders>
        </w:tblPrEx>
        <w:trPr>
          <w:cantSplit/>
          <w:trHeight w:val="270"/>
          <w:tblHeader/>
        </w:trPr>
        <w:tc>
          <w:tcPr>
            <w:tcW w:w="5106" w:type="dxa"/>
            <w:gridSpan w:val="4"/>
          </w:tcPr>
          <w:p w14:paraId="73223A07" w14:textId="77777777" w:rsidR="00537F5C" w:rsidRPr="00860E03" w:rsidRDefault="00537F5C" w:rsidP="00537F5C">
            <w:pPr>
              <w:pStyle w:val="ARtablecolhead"/>
            </w:pPr>
            <w:r w:rsidRPr="00860E03">
              <w:t>Total greenhouse gas emissions by primary source</w:t>
            </w:r>
          </w:p>
        </w:tc>
        <w:tc>
          <w:tcPr>
            <w:tcW w:w="1511" w:type="dxa"/>
            <w:gridSpan w:val="2"/>
            <w:vAlign w:val="bottom"/>
          </w:tcPr>
          <w:p w14:paraId="03190D84" w14:textId="77777777" w:rsidR="00537F5C" w:rsidRPr="00860E03" w:rsidRDefault="00537F5C" w:rsidP="00537F5C">
            <w:pPr>
              <w:pStyle w:val="ARtablecolheadright"/>
            </w:pPr>
            <w:r w:rsidRPr="00860E03">
              <w:t>Tonnes CO</w:t>
            </w:r>
            <w:r w:rsidRPr="00860E03">
              <w:rPr>
                <w:vertAlign w:val="subscript"/>
              </w:rPr>
              <w:t>2</w:t>
            </w:r>
            <w:r w:rsidRPr="00860E03">
              <w:t>-e</w:t>
            </w:r>
          </w:p>
        </w:tc>
        <w:tc>
          <w:tcPr>
            <w:tcW w:w="1511" w:type="dxa"/>
            <w:gridSpan w:val="2"/>
            <w:vAlign w:val="bottom"/>
          </w:tcPr>
          <w:p w14:paraId="732834E0" w14:textId="77777777" w:rsidR="00537F5C" w:rsidRPr="00860E03" w:rsidRDefault="00537F5C" w:rsidP="00537F5C">
            <w:pPr>
              <w:pStyle w:val="ARtablecolheadright"/>
            </w:pPr>
            <w:r w:rsidRPr="00860E03">
              <w:t>Tonnes CO</w:t>
            </w:r>
            <w:r w:rsidRPr="00860E03">
              <w:rPr>
                <w:vertAlign w:val="subscript"/>
              </w:rPr>
              <w:t>2</w:t>
            </w:r>
            <w:r w:rsidRPr="00860E03">
              <w:t>-e</w:t>
            </w:r>
          </w:p>
        </w:tc>
        <w:tc>
          <w:tcPr>
            <w:tcW w:w="1516" w:type="dxa"/>
            <w:gridSpan w:val="2"/>
            <w:vAlign w:val="bottom"/>
          </w:tcPr>
          <w:p w14:paraId="688170DB" w14:textId="77777777" w:rsidR="00537F5C" w:rsidRPr="00860E03" w:rsidRDefault="00537F5C" w:rsidP="00537F5C">
            <w:pPr>
              <w:pStyle w:val="ARtablecolheadright"/>
            </w:pPr>
            <w:r w:rsidRPr="00860E03">
              <w:t>Tonnes CO</w:t>
            </w:r>
            <w:r w:rsidRPr="00860E03">
              <w:rPr>
                <w:vertAlign w:val="subscript"/>
              </w:rPr>
              <w:t>2</w:t>
            </w:r>
            <w:r w:rsidRPr="00860E03">
              <w:t>-e</w:t>
            </w:r>
          </w:p>
        </w:tc>
      </w:tr>
      <w:tr w:rsidR="00537F5C" w:rsidRPr="00860E03" w14:paraId="5517630B" w14:textId="77777777" w:rsidTr="00537F5C">
        <w:tblPrEx>
          <w:tblBorders>
            <w:left w:val="single" w:sz="4" w:space="0" w:color="FFFFFF"/>
            <w:bottom w:val="single" w:sz="4" w:space="0" w:color="auto"/>
            <w:right w:val="single" w:sz="4" w:space="0" w:color="FFFFFF"/>
            <w:insideH w:val="single" w:sz="4" w:space="0" w:color="auto"/>
            <w:insideV w:val="single" w:sz="4" w:space="0" w:color="FFFFFF"/>
          </w:tblBorders>
        </w:tblPrEx>
        <w:trPr>
          <w:cantSplit/>
          <w:trHeight w:val="270"/>
        </w:trPr>
        <w:tc>
          <w:tcPr>
            <w:tcW w:w="5106" w:type="dxa"/>
            <w:gridSpan w:val="4"/>
          </w:tcPr>
          <w:p w14:paraId="74D56B21" w14:textId="77777777" w:rsidR="00537F5C" w:rsidRPr="00860E03" w:rsidRDefault="00537F5C" w:rsidP="00537F5C">
            <w:pPr>
              <w:pStyle w:val="ARtabletext"/>
            </w:pPr>
            <w:r w:rsidRPr="00860E03">
              <w:t xml:space="preserve">Electricity </w:t>
            </w:r>
          </w:p>
        </w:tc>
        <w:tc>
          <w:tcPr>
            <w:tcW w:w="1511" w:type="dxa"/>
            <w:gridSpan w:val="2"/>
          </w:tcPr>
          <w:p w14:paraId="3A7BD10B" w14:textId="77777777" w:rsidR="00537F5C" w:rsidRPr="00860E03" w:rsidRDefault="00537F5C" w:rsidP="00537F5C">
            <w:pPr>
              <w:pStyle w:val="ARtabletextright"/>
            </w:pPr>
            <w:r w:rsidRPr="00860E03">
              <w:t>15,396</w:t>
            </w:r>
          </w:p>
        </w:tc>
        <w:tc>
          <w:tcPr>
            <w:tcW w:w="1511" w:type="dxa"/>
            <w:gridSpan w:val="2"/>
          </w:tcPr>
          <w:p w14:paraId="3B0F56CF" w14:textId="77777777" w:rsidR="00537F5C" w:rsidRPr="00860E03" w:rsidRDefault="00537F5C" w:rsidP="00537F5C">
            <w:pPr>
              <w:pStyle w:val="ARtabletextright"/>
            </w:pPr>
            <w:r w:rsidRPr="00860E03">
              <w:t>15,325</w:t>
            </w:r>
          </w:p>
        </w:tc>
        <w:tc>
          <w:tcPr>
            <w:tcW w:w="1516" w:type="dxa"/>
            <w:gridSpan w:val="2"/>
          </w:tcPr>
          <w:p w14:paraId="5682056F" w14:textId="77777777" w:rsidR="00537F5C" w:rsidRPr="00860E03" w:rsidRDefault="00537F5C" w:rsidP="00537F5C">
            <w:pPr>
              <w:pStyle w:val="ARtabletextright"/>
            </w:pPr>
            <w:r w:rsidRPr="00860E03">
              <w:t>17,011</w:t>
            </w:r>
          </w:p>
        </w:tc>
      </w:tr>
      <w:tr w:rsidR="00537F5C" w:rsidRPr="00860E03" w14:paraId="600FF775" w14:textId="77777777" w:rsidTr="00537F5C">
        <w:tblPrEx>
          <w:tblBorders>
            <w:left w:val="single" w:sz="4" w:space="0" w:color="FFFFFF"/>
            <w:bottom w:val="single" w:sz="4" w:space="0" w:color="auto"/>
            <w:right w:val="single" w:sz="4" w:space="0" w:color="FFFFFF"/>
            <w:insideH w:val="single" w:sz="4" w:space="0" w:color="auto"/>
            <w:insideV w:val="single" w:sz="4" w:space="0" w:color="FFFFFF"/>
          </w:tblBorders>
        </w:tblPrEx>
        <w:trPr>
          <w:cantSplit/>
          <w:trHeight w:val="91"/>
        </w:trPr>
        <w:tc>
          <w:tcPr>
            <w:tcW w:w="5106" w:type="dxa"/>
            <w:gridSpan w:val="4"/>
          </w:tcPr>
          <w:p w14:paraId="7D3F702A" w14:textId="77777777" w:rsidR="00537F5C" w:rsidRPr="00860E03" w:rsidRDefault="00537F5C" w:rsidP="00537F5C">
            <w:pPr>
              <w:pStyle w:val="ARtabletext"/>
            </w:pPr>
            <w:r w:rsidRPr="00860E03">
              <w:t>Natural gas</w:t>
            </w:r>
          </w:p>
        </w:tc>
        <w:tc>
          <w:tcPr>
            <w:tcW w:w="1511" w:type="dxa"/>
            <w:gridSpan w:val="2"/>
          </w:tcPr>
          <w:p w14:paraId="05BEECEE" w14:textId="77777777" w:rsidR="00537F5C" w:rsidRPr="00860E03" w:rsidRDefault="00537F5C" w:rsidP="00537F5C">
            <w:pPr>
              <w:pStyle w:val="ARtabletextright"/>
            </w:pPr>
            <w:r w:rsidRPr="00860E03">
              <w:t>943</w:t>
            </w:r>
          </w:p>
        </w:tc>
        <w:tc>
          <w:tcPr>
            <w:tcW w:w="1511" w:type="dxa"/>
            <w:gridSpan w:val="2"/>
          </w:tcPr>
          <w:p w14:paraId="089408B5" w14:textId="77777777" w:rsidR="00537F5C" w:rsidRPr="00860E03" w:rsidRDefault="00537F5C" w:rsidP="00537F5C">
            <w:pPr>
              <w:pStyle w:val="ARtabletextright"/>
            </w:pPr>
            <w:r w:rsidRPr="00860E03">
              <w:t>910</w:t>
            </w:r>
          </w:p>
        </w:tc>
        <w:tc>
          <w:tcPr>
            <w:tcW w:w="1516" w:type="dxa"/>
            <w:gridSpan w:val="2"/>
          </w:tcPr>
          <w:p w14:paraId="321EBB9B" w14:textId="77777777" w:rsidR="00537F5C" w:rsidRPr="00860E03" w:rsidRDefault="00537F5C" w:rsidP="00537F5C">
            <w:pPr>
              <w:pStyle w:val="ARtabletextright"/>
            </w:pPr>
            <w:r w:rsidRPr="00860E03">
              <w:t>532</w:t>
            </w:r>
          </w:p>
        </w:tc>
      </w:tr>
      <w:tr w:rsidR="00537F5C" w:rsidRPr="00860E03" w14:paraId="3A0201C8" w14:textId="77777777" w:rsidTr="00537F5C">
        <w:tblPrEx>
          <w:tblBorders>
            <w:left w:val="single" w:sz="4" w:space="0" w:color="FFFFFF"/>
            <w:bottom w:val="single" w:sz="4" w:space="0" w:color="auto"/>
            <w:right w:val="single" w:sz="4" w:space="0" w:color="FFFFFF"/>
            <w:insideH w:val="single" w:sz="4" w:space="0" w:color="auto"/>
            <w:insideV w:val="single" w:sz="4" w:space="0" w:color="FFFFFF"/>
          </w:tblBorders>
        </w:tblPrEx>
        <w:trPr>
          <w:cantSplit/>
          <w:trHeight w:val="91"/>
        </w:trPr>
        <w:tc>
          <w:tcPr>
            <w:tcW w:w="5106" w:type="dxa"/>
            <w:gridSpan w:val="4"/>
          </w:tcPr>
          <w:p w14:paraId="5F952EA6" w14:textId="77777777" w:rsidR="00537F5C" w:rsidRPr="00860E03" w:rsidRDefault="00537F5C" w:rsidP="00537F5C">
            <w:pPr>
              <w:pStyle w:val="ARtabletext"/>
              <w:rPr>
                <w:b/>
              </w:rPr>
            </w:pPr>
            <w:r w:rsidRPr="00860E03">
              <w:rPr>
                <w:b/>
              </w:rPr>
              <w:t>Total</w:t>
            </w:r>
          </w:p>
        </w:tc>
        <w:tc>
          <w:tcPr>
            <w:tcW w:w="1511" w:type="dxa"/>
            <w:gridSpan w:val="2"/>
          </w:tcPr>
          <w:p w14:paraId="792B8CC3" w14:textId="77777777" w:rsidR="00537F5C" w:rsidRPr="00860E03" w:rsidRDefault="00537F5C" w:rsidP="00537F5C">
            <w:pPr>
              <w:pStyle w:val="ARtabletextrightbold"/>
            </w:pPr>
            <w:r w:rsidRPr="00860E03">
              <w:t>16,340</w:t>
            </w:r>
          </w:p>
        </w:tc>
        <w:tc>
          <w:tcPr>
            <w:tcW w:w="1511" w:type="dxa"/>
            <w:gridSpan w:val="2"/>
          </w:tcPr>
          <w:p w14:paraId="16C41BB7" w14:textId="77777777" w:rsidR="00537F5C" w:rsidRPr="00860E03" w:rsidRDefault="00537F5C" w:rsidP="00537F5C">
            <w:pPr>
              <w:pStyle w:val="ARtabletextrightbold"/>
            </w:pPr>
            <w:r w:rsidRPr="00860E03">
              <w:t>16,235</w:t>
            </w:r>
          </w:p>
        </w:tc>
        <w:tc>
          <w:tcPr>
            <w:tcW w:w="1516" w:type="dxa"/>
            <w:gridSpan w:val="2"/>
          </w:tcPr>
          <w:p w14:paraId="7C67ED28" w14:textId="77777777" w:rsidR="00537F5C" w:rsidRPr="00860E03" w:rsidRDefault="00537F5C" w:rsidP="00537F5C">
            <w:pPr>
              <w:pStyle w:val="ARtabletextrightbold"/>
            </w:pPr>
            <w:r w:rsidRPr="00860E03">
              <w:t>17,543</w:t>
            </w:r>
          </w:p>
        </w:tc>
      </w:tr>
    </w:tbl>
    <w:p w14:paraId="7A0B1F02" w14:textId="77777777" w:rsidR="00537F5C" w:rsidRPr="00860E03" w:rsidRDefault="00537F5C" w:rsidP="00537F5C">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2A0" w:firstRow="1" w:lastRow="0" w:firstColumn="1" w:lastColumn="0" w:noHBand="1" w:noVBand="0"/>
      </w:tblPr>
      <w:tblGrid>
        <w:gridCol w:w="5208"/>
        <w:gridCol w:w="1477"/>
        <w:gridCol w:w="1477"/>
        <w:gridCol w:w="1477"/>
      </w:tblGrid>
      <w:tr w:rsidR="00537F5C" w:rsidRPr="00860E03" w14:paraId="66A15291" w14:textId="77777777" w:rsidTr="00537F5C">
        <w:trPr>
          <w:cantSplit/>
          <w:trHeight w:val="270"/>
          <w:tblHeader/>
        </w:trPr>
        <w:tc>
          <w:tcPr>
            <w:tcW w:w="5208" w:type="dxa"/>
            <w:vAlign w:val="bottom"/>
          </w:tcPr>
          <w:p w14:paraId="17B18943" w14:textId="77777777" w:rsidR="00537F5C" w:rsidRPr="00860E03" w:rsidRDefault="00537F5C" w:rsidP="00537F5C">
            <w:pPr>
              <w:pStyle w:val="ARtablecolhead"/>
            </w:pPr>
            <w:r w:rsidRPr="00860E03">
              <w:t>Description</w:t>
            </w:r>
          </w:p>
        </w:tc>
        <w:tc>
          <w:tcPr>
            <w:tcW w:w="1477" w:type="dxa"/>
            <w:vAlign w:val="bottom"/>
          </w:tcPr>
          <w:p w14:paraId="10EB9ACC" w14:textId="77777777" w:rsidR="00537F5C" w:rsidRPr="00860E03" w:rsidRDefault="00537F5C" w:rsidP="00537F5C">
            <w:pPr>
              <w:pStyle w:val="ARtablecolheadright"/>
            </w:pPr>
            <w:r w:rsidRPr="00860E03">
              <w:t>2018–19</w:t>
            </w:r>
            <w:r w:rsidRPr="00860E03">
              <w:br/>
              <w:t>estimate</w:t>
            </w:r>
          </w:p>
        </w:tc>
        <w:tc>
          <w:tcPr>
            <w:tcW w:w="1477" w:type="dxa"/>
            <w:vAlign w:val="bottom"/>
          </w:tcPr>
          <w:p w14:paraId="399E3437" w14:textId="77777777" w:rsidR="00537F5C" w:rsidRPr="00860E03" w:rsidRDefault="00537F5C" w:rsidP="00537F5C">
            <w:pPr>
              <w:pStyle w:val="ARtablecolheadright"/>
            </w:pPr>
            <w:r w:rsidRPr="00860E03">
              <w:t>2017–18</w:t>
            </w:r>
            <w:r w:rsidRPr="00860E03">
              <w:br/>
              <w:t>estimate</w:t>
            </w:r>
          </w:p>
        </w:tc>
        <w:tc>
          <w:tcPr>
            <w:tcW w:w="1477" w:type="dxa"/>
            <w:vAlign w:val="bottom"/>
          </w:tcPr>
          <w:p w14:paraId="0545ECFD" w14:textId="77777777" w:rsidR="00537F5C" w:rsidRPr="00860E03" w:rsidRDefault="00537F5C" w:rsidP="00537F5C">
            <w:pPr>
              <w:pStyle w:val="ARtablecolheadright"/>
            </w:pPr>
            <w:r w:rsidRPr="00860E03">
              <w:t>2016–17</w:t>
            </w:r>
            <w:r w:rsidRPr="00860E03">
              <w:br/>
              <w:t>estimate</w:t>
            </w:r>
          </w:p>
        </w:tc>
      </w:tr>
      <w:tr w:rsidR="00537F5C" w:rsidRPr="00860E03" w14:paraId="0653810C" w14:textId="77777777" w:rsidTr="00537F5C">
        <w:trPr>
          <w:cantSplit/>
          <w:trHeight w:val="270"/>
        </w:trPr>
        <w:tc>
          <w:tcPr>
            <w:tcW w:w="5208" w:type="dxa"/>
          </w:tcPr>
          <w:p w14:paraId="55E96868" w14:textId="77777777" w:rsidR="00537F5C" w:rsidRPr="00860E03" w:rsidRDefault="00537F5C" w:rsidP="00537F5C">
            <w:pPr>
              <w:pStyle w:val="ARtabletext"/>
            </w:pPr>
            <w:r w:rsidRPr="00860E03">
              <w:t>Energy used per FTE (megajoules/FTE)</w:t>
            </w:r>
          </w:p>
        </w:tc>
        <w:tc>
          <w:tcPr>
            <w:tcW w:w="1477" w:type="dxa"/>
          </w:tcPr>
          <w:p w14:paraId="76572E8D" w14:textId="77777777" w:rsidR="00537F5C" w:rsidRPr="00860E03" w:rsidRDefault="00537F5C" w:rsidP="00537F5C">
            <w:pPr>
              <w:pStyle w:val="ARtabletextright"/>
            </w:pPr>
            <w:r w:rsidRPr="00860E03">
              <w:t>7,886</w:t>
            </w:r>
          </w:p>
        </w:tc>
        <w:tc>
          <w:tcPr>
            <w:tcW w:w="1477" w:type="dxa"/>
          </w:tcPr>
          <w:p w14:paraId="09A1D016" w14:textId="77777777" w:rsidR="00537F5C" w:rsidRPr="00860E03" w:rsidRDefault="00537F5C" w:rsidP="00537F5C">
            <w:pPr>
              <w:pStyle w:val="ARtabletextright"/>
            </w:pPr>
            <w:r w:rsidRPr="00860E03">
              <w:t>7,802</w:t>
            </w:r>
          </w:p>
        </w:tc>
        <w:tc>
          <w:tcPr>
            <w:tcW w:w="1477" w:type="dxa"/>
          </w:tcPr>
          <w:p w14:paraId="1FB88F05" w14:textId="77777777" w:rsidR="00537F5C" w:rsidRPr="00860E03" w:rsidRDefault="00537F5C" w:rsidP="00537F5C">
            <w:pPr>
              <w:pStyle w:val="ARtabletextright"/>
            </w:pPr>
            <w:r w:rsidRPr="00860E03">
              <w:t>8,714</w:t>
            </w:r>
          </w:p>
        </w:tc>
      </w:tr>
      <w:tr w:rsidR="00537F5C" w:rsidRPr="00860E03" w14:paraId="0048E9EA" w14:textId="77777777" w:rsidTr="00537F5C">
        <w:trPr>
          <w:cantSplit/>
          <w:trHeight w:val="315"/>
        </w:trPr>
        <w:tc>
          <w:tcPr>
            <w:tcW w:w="5208" w:type="dxa"/>
          </w:tcPr>
          <w:p w14:paraId="4C8A4EC0" w14:textId="77777777" w:rsidR="00537F5C" w:rsidRPr="00860E03" w:rsidRDefault="00537F5C" w:rsidP="00537F5C">
            <w:pPr>
              <w:pStyle w:val="ARtabletext"/>
            </w:pPr>
            <w:r w:rsidRPr="00860E03">
              <w:t>Energy intensity (megajoules/m</w:t>
            </w:r>
            <w:r w:rsidRPr="00860E03">
              <w:rPr>
                <w:vertAlign w:val="superscript"/>
              </w:rPr>
              <w:t>2</w:t>
            </w:r>
            <w:r w:rsidRPr="00860E03">
              <w:t>)</w:t>
            </w:r>
          </w:p>
        </w:tc>
        <w:tc>
          <w:tcPr>
            <w:tcW w:w="1477" w:type="dxa"/>
          </w:tcPr>
          <w:p w14:paraId="70FBE7BA" w14:textId="77777777" w:rsidR="00537F5C" w:rsidRPr="00860E03" w:rsidRDefault="00537F5C" w:rsidP="00537F5C">
            <w:pPr>
              <w:pStyle w:val="ARtabletextright"/>
            </w:pPr>
            <w:r w:rsidRPr="00860E03">
              <w:t>452</w:t>
            </w:r>
          </w:p>
        </w:tc>
        <w:tc>
          <w:tcPr>
            <w:tcW w:w="1477" w:type="dxa"/>
          </w:tcPr>
          <w:p w14:paraId="0AF5AB75" w14:textId="77777777" w:rsidR="00537F5C" w:rsidRPr="00860E03" w:rsidRDefault="00537F5C" w:rsidP="00537F5C">
            <w:pPr>
              <w:pStyle w:val="ARtabletextright"/>
            </w:pPr>
            <w:r w:rsidRPr="00860E03">
              <w:t>498</w:t>
            </w:r>
          </w:p>
        </w:tc>
        <w:tc>
          <w:tcPr>
            <w:tcW w:w="1477" w:type="dxa"/>
          </w:tcPr>
          <w:p w14:paraId="0DBF55BD" w14:textId="77777777" w:rsidR="00537F5C" w:rsidRPr="00860E03" w:rsidRDefault="00537F5C" w:rsidP="00537F5C">
            <w:pPr>
              <w:pStyle w:val="ARtabletextright"/>
            </w:pPr>
            <w:r w:rsidRPr="00860E03">
              <w:t>520</w:t>
            </w:r>
          </w:p>
        </w:tc>
      </w:tr>
      <w:tr w:rsidR="00537F5C" w:rsidRPr="00860E03" w14:paraId="4531B9B6" w14:textId="77777777" w:rsidTr="00537F5C">
        <w:trPr>
          <w:cantSplit/>
          <w:trHeight w:val="270"/>
        </w:trPr>
        <w:tc>
          <w:tcPr>
            <w:tcW w:w="5208" w:type="dxa"/>
          </w:tcPr>
          <w:p w14:paraId="0842569B" w14:textId="77777777" w:rsidR="00537F5C" w:rsidRPr="00860E03" w:rsidRDefault="00537F5C" w:rsidP="00537F5C">
            <w:pPr>
              <w:pStyle w:val="ARtabletext"/>
            </w:pPr>
            <w:r w:rsidRPr="00860E03">
              <w:t>Green power purchased</w:t>
            </w:r>
          </w:p>
        </w:tc>
        <w:tc>
          <w:tcPr>
            <w:tcW w:w="1477" w:type="dxa"/>
          </w:tcPr>
          <w:p w14:paraId="74012C4F" w14:textId="77777777" w:rsidR="00537F5C" w:rsidRPr="00860E03" w:rsidRDefault="00537F5C" w:rsidP="00537F5C">
            <w:pPr>
              <w:pStyle w:val="ARtabletextright"/>
            </w:pPr>
            <w:r w:rsidRPr="00860E03">
              <w:t>0.0%</w:t>
            </w:r>
          </w:p>
        </w:tc>
        <w:tc>
          <w:tcPr>
            <w:tcW w:w="1477" w:type="dxa"/>
          </w:tcPr>
          <w:p w14:paraId="6C0DBD29" w14:textId="77777777" w:rsidR="00537F5C" w:rsidRPr="00860E03" w:rsidRDefault="00537F5C" w:rsidP="00537F5C">
            <w:pPr>
              <w:pStyle w:val="ARtabletextright"/>
            </w:pPr>
            <w:r w:rsidRPr="00860E03">
              <w:t>0.0%</w:t>
            </w:r>
          </w:p>
        </w:tc>
        <w:tc>
          <w:tcPr>
            <w:tcW w:w="1477" w:type="dxa"/>
          </w:tcPr>
          <w:p w14:paraId="661EC328" w14:textId="77777777" w:rsidR="00537F5C" w:rsidRPr="00860E03" w:rsidRDefault="00537F5C" w:rsidP="00537F5C">
            <w:pPr>
              <w:pStyle w:val="ARtabletextright"/>
            </w:pPr>
            <w:r w:rsidRPr="00860E03">
              <w:t>0.0%</w:t>
            </w:r>
          </w:p>
        </w:tc>
      </w:tr>
    </w:tbl>
    <w:p w14:paraId="11BB2490" w14:textId="77777777" w:rsidR="008D124E" w:rsidRDefault="00F73A80" w:rsidP="00F73A80">
      <w:pPr>
        <w:pStyle w:val="ARtablefootnote"/>
      </w:pPr>
      <w:r w:rsidRPr="00860E03">
        <w:t>Office-based electricity data represents 99 per cent of office-based FTE and 95 per cent of total office area.</w:t>
      </w:r>
    </w:p>
    <w:p w14:paraId="0149E7ED" w14:textId="77777777" w:rsidR="008D124E" w:rsidRDefault="00F73A80" w:rsidP="00F73A80">
      <w:pPr>
        <w:pStyle w:val="ARtablefootnote"/>
      </w:pPr>
      <w:r w:rsidRPr="00860E03">
        <w:t>Office-based electricity data includes a 1 per cent estimate and office-based gas data includes a 17 per cent estimate due to some data being unavailable from energy retailers at the time of reporting.</w:t>
      </w:r>
    </w:p>
    <w:p w14:paraId="47981C70" w14:textId="53766D3F" w:rsidR="00F73A80" w:rsidRPr="00860E03" w:rsidRDefault="00F73A80" w:rsidP="00F73A80">
      <w:pPr>
        <w:pStyle w:val="ARtablefootnote"/>
      </w:pPr>
      <w:r w:rsidRPr="00860E03">
        <w:t>($M)</w:t>
      </w:r>
      <w:r>
        <w:t xml:space="preserve"> Million</w:t>
      </w:r>
    </w:p>
    <w:p w14:paraId="3187CD54" w14:textId="77777777" w:rsidR="00F73A80" w:rsidRPr="007939DD" w:rsidRDefault="00F73A80" w:rsidP="00F73A80">
      <w:pPr>
        <w:pStyle w:val="Heading3"/>
      </w:pPr>
      <w:r w:rsidRPr="007939DD">
        <w:t>Housing services</w:t>
      </w:r>
    </w:p>
    <w:p w14:paraId="41DCE4C9" w14:textId="77777777" w:rsidR="00537F5C" w:rsidRPr="007939DD" w:rsidRDefault="00537F5C" w:rsidP="00537F5C">
      <w:pPr>
        <w:pStyle w:val="Heading4"/>
        <w:rPr>
          <w:lang w:eastAsia="en-AU"/>
        </w:rPr>
      </w:pPr>
      <w:r w:rsidRPr="007939DD">
        <w:rPr>
          <w:lang w:eastAsia="en-AU"/>
        </w:rPr>
        <w:t>Electricity</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277"/>
        <w:gridCol w:w="1226"/>
        <w:gridCol w:w="1228"/>
        <w:gridCol w:w="1226"/>
        <w:gridCol w:w="1228"/>
        <w:gridCol w:w="1226"/>
        <w:gridCol w:w="1228"/>
      </w:tblGrid>
      <w:tr w:rsidR="00537F5C" w:rsidRPr="007939DD" w14:paraId="165E8CFD" w14:textId="77777777" w:rsidTr="00537F5C">
        <w:trPr>
          <w:cantSplit/>
          <w:trHeight w:val="230"/>
          <w:tblHeader/>
        </w:trPr>
        <w:tc>
          <w:tcPr>
            <w:tcW w:w="1181" w:type="pct"/>
            <w:vAlign w:val="bottom"/>
          </w:tcPr>
          <w:p w14:paraId="5241C19E" w14:textId="77777777" w:rsidR="00537F5C" w:rsidRPr="007939DD" w:rsidRDefault="00537F5C" w:rsidP="00537F5C">
            <w:pPr>
              <w:pStyle w:val="ARtablecolhead"/>
            </w:pPr>
            <w:r w:rsidRPr="007939DD">
              <w:t>Description</w:t>
            </w:r>
          </w:p>
        </w:tc>
        <w:tc>
          <w:tcPr>
            <w:tcW w:w="636" w:type="pct"/>
            <w:vAlign w:val="bottom"/>
          </w:tcPr>
          <w:p w14:paraId="3FADB8FE" w14:textId="77777777" w:rsidR="00537F5C" w:rsidRPr="007939DD" w:rsidRDefault="00537F5C" w:rsidP="00537F5C">
            <w:pPr>
              <w:pStyle w:val="ARtablecolheadright"/>
            </w:pPr>
            <w:r w:rsidRPr="007939DD">
              <w:t>201</w:t>
            </w:r>
            <w:r>
              <w:t>8</w:t>
            </w:r>
            <w:r w:rsidRPr="007939DD">
              <w:t>–1</w:t>
            </w:r>
            <w:r>
              <w:t>9</w:t>
            </w:r>
            <w:r w:rsidRPr="007939DD">
              <w:br/>
              <w:t>estimate</w:t>
            </w:r>
          </w:p>
        </w:tc>
        <w:tc>
          <w:tcPr>
            <w:tcW w:w="637" w:type="pct"/>
            <w:vAlign w:val="bottom"/>
          </w:tcPr>
          <w:p w14:paraId="069EC603" w14:textId="77777777" w:rsidR="00537F5C" w:rsidRPr="007939DD" w:rsidRDefault="00537F5C" w:rsidP="00537F5C">
            <w:pPr>
              <w:pStyle w:val="ARtablecolheadright"/>
            </w:pPr>
            <w:r w:rsidRPr="007939DD">
              <w:t>201</w:t>
            </w:r>
            <w:r>
              <w:t>8</w:t>
            </w:r>
            <w:r w:rsidRPr="007939DD">
              <w:t>–1</w:t>
            </w:r>
            <w:r>
              <w:t>9</w:t>
            </w:r>
            <w:r w:rsidRPr="007939DD">
              <w:br/>
              <w:t>estimate</w:t>
            </w:r>
          </w:p>
        </w:tc>
        <w:tc>
          <w:tcPr>
            <w:tcW w:w="636" w:type="pct"/>
            <w:vAlign w:val="bottom"/>
          </w:tcPr>
          <w:p w14:paraId="141F1D7C" w14:textId="77777777" w:rsidR="00537F5C" w:rsidRPr="007939DD" w:rsidRDefault="00537F5C" w:rsidP="00537F5C">
            <w:pPr>
              <w:pStyle w:val="ARtablecolheadright"/>
            </w:pPr>
            <w:r w:rsidRPr="007939DD">
              <w:t>2017–18</w:t>
            </w:r>
            <w:r w:rsidRPr="007939DD">
              <w:br/>
              <w:t>estimate</w:t>
            </w:r>
          </w:p>
        </w:tc>
        <w:tc>
          <w:tcPr>
            <w:tcW w:w="637" w:type="pct"/>
            <w:vAlign w:val="bottom"/>
          </w:tcPr>
          <w:p w14:paraId="08BAE0F6" w14:textId="77777777" w:rsidR="00537F5C" w:rsidRPr="007939DD" w:rsidRDefault="00537F5C" w:rsidP="00537F5C">
            <w:pPr>
              <w:pStyle w:val="ARtablecolheadright"/>
            </w:pPr>
            <w:r w:rsidRPr="007939DD">
              <w:t>2017–18</w:t>
            </w:r>
            <w:r w:rsidRPr="007939DD">
              <w:br/>
              <w:t>estimate</w:t>
            </w:r>
          </w:p>
        </w:tc>
        <w:tc>
          <w:tcPr>
            <w:tcW w:w="636" w:type="pct"/>
            <w:vAlign w:val="bottom"/>
          </w:tcPr>
          <w:p w14:paraId="0454F8B7" w14:textId="77777777" w:rsidR="00537F5C" w:rsidRPr="007939DD" w:rsidRDefault="00537F5C" w:rsidP="00537F5C">
            <w:pPr>
              <w:pStyle w:val="ARtablecolheadright"/>
            </w:pPr>
            <w:r w:rsidRPr="007939DD">
              <w:t>2016–17</w:t>
            </w:r>
            <w:r w:rsidRPr="007939DD">
              <w:br/>
              <w:t>estimate</w:t>
            </w:r>
          </w:p>
        </w:tc>
        <w:tc>
          <w:tcPr>
            <w:tcW w:w="637" w:type="pct"/>
            <w:vAlign w:val="bottom"/>
          </w:tcPr>
          <w:p w14:paraId="4AD63290" w14:textId="77777777" w:rsidR="00537F5C" w:rsidRPr="007939DD" w:rsidRDefault="00537F5C" w:rsidP="00537F5C">
            <w:pPr>
              <w:pStyle w:val="ARtablecolheadright"/>
            </w:pPr>
            <w:r w:rsidRPr="007939DD">
              <w:t>2016–17</w:t>
            </w:r>
            <w:r w:rsidRPr="007939DD">
              <w:br/>
              <w:t>estimate</w:t>
            </w:r>
          </w:p>
        </w:tc>
      </w:tr>
      <w:tr w:rsidR="00537F5C" w:rsidRPr="007939DD" w14:paraId="15413207" w14:textId="77777777" w:rsidTr="00537F5C">
        <w:trPr>
          <w:cantSplit/>
          <w:trHeight w:val="335"/>
          <w:tblHeader/>
        </w:trPr>
        <w:tc>
          <w:tcPr>
            <w:tcW w:w="1181" w:type="pct"/>
            <w:vAlign w:val="bottom"/>
          </w:tcPr>
          <w:p w14:paraId="4453951C" w14:textId="77777777" w:rsidR="00537F5C" w:rsidRPr="007939DD" w:rsidRDefault="00537F5C" w:rsidP="00537F5C">
            <w:pPr>
              <w:pStyle w:val="ARtablecolhead"/>
            </w:pPr>
            <w:r w:rsidRPr="007939DD">
              <w:t>Total energy usage segmented by primary source</w:t>
            </w:r>
          </w:p>
        </w:tc>
        <w:tc>
          <w:tcPr>
            <w:tcW w:w="636" w:type="pct"/>
            <w:vAlign w:val="bottom"/>
          </w:tcPr>
          <w:p w14:paraId="558C2CC9" w14:textId="77777777" w:rsidR="00537F5C" w:rsidRPr="00860E03" w:rsidRDefault="00537F5C" w:rsidP="00537F5C">
            <w:pPr>
              <w:pStyle w:val="ARtablecolheadright"/>
            </w:pPr>
            <w:r w:rsidRPr="00860E03">
              <w:t>Megajoules</w:t>
            </w:r>
          </w:p>
        </w:tc>
        <w:tc>
          <w:tcPr>
            <w:tcW w:w="637" w:type="pct"/>
            <w:vAlign w:val="bottom"/>
          </w:tcPr>
          <w:p w14:paraId="7D9EFE25" w14:textId="77777777" w:rsidR="00537F5C" w:rsidRPr="00860E03" w:rsidRDefault="00537F5C" w:rsidP="00537F5C">
            <w:pPr>
              <w:pStyle w:val="ARtablecolheadright"/>
            </w:pPr>
            <w:r w:rsidRPr="00860E03">
              <w:t>Cost</w:t>
            </w:r>
          </w:p>
          <w:p w14:paraId="5788DD8E" w14:textId="77777777" w:rsidR="00537F5C" w:rsidRPr="00860E03" w:rsidRDefault="00537F5C" w:rsidP="00537F5C">
            <w:pPr>
              <w:pStyle w:val="ARtablecolheadright"/>
            </w:pPr>
            <w:r w:rsidRPr="00860E03">
              <w:t>($M)</w:t>
            </w:r>
          </w:p>
        </w:tc>
        <w:tc>
          <w:tcPr>
            <w:tcW w:w="636" w:type="pct"/>
            <w:vAlign w:val="bottom"/>
          </w:tcPr>
          <w:p w14:paraId="38A88433" w14:textId="77777777" w:rsidR="00537F5C" w:rsidRPr="00860E03" w:rsidRDefault="00537F5C" w:rsidP="00537F5C">
            <w:pPr>
              <w:pStyle w:val="ARtablecolheadright"/>
            </w:pPr>
            <w:r w:rsidRPr="00860E03">
              <w:t>Megajoules</w:t>
            </w:r>
          </w:p>
        </w:tc>
        <w:tc>
          <w:tcPr>
            <w:tcW w:w="637" w:type="pct"/>
            <w:vAlign w:val="bottom"/>
          </w:tcPr>
          <w:p w14:paraId="33E47CC8" w14:textId="77777777" w:rsidR="00537F5C" w:rsidRPr="00860E03" w:rsidRDefault="00537F5C" w:rsidP="00537F5C">
            <w:pPr>
              <w:pStyle w:val="ARtablecolheadright"/>
            </w:pPr>
            <w:r w:rsidRPr="00860E03">
              <w:t>Cost</w:t>
            </w:r>
          </w:p>
          <w:p w14:paraId="5F93DFD8" w14:textId="77777777" w:rsidR="00537F5C" w:rsidRPr="00860E03" w:rsidRDefault="00537F5C" w:rsidP="00537F5C">
            <w:pPr>
              <w:pStyle w:val="ARtablecolheadright"/>
            </w:pPr>
            <w:r w:rsidRPr="00860E03">
              <w:t>($M)</w:t>
            </w:r>
          </w:p>
        </w:tc>
        <w:tc>
          <w:tcPr>
            <w:tcW w:w="636" w:type="pct"/>
            <w:vAlign w:val="bottom"/>
          </w:tcPr>
          <w:p w14:paraId="46FF3D7B" w14:textId="77777777" w:rsidR="00537F5C" w:rsidRPr="00860E03" w:rsidRDefault="00537F5C" w:rsidP="00537F5C">
            <w:pPr>
              <w:pStyle w:val="ARtablecolheadright"/>
            </w:pPr>
            <w:r w:rsidRPr="00860E03">
              <w:t>Megajoules</w:t>
            </w:r>
          </w:p>
        </w:tc>
        <w:tc>
          <w:tcPr>
            <w:tcW w:w="637" w:type="pct"/>
            <w:vAlign w:val="bottom"/>
          </w:tcPr>
          <w:p w14:paraId="48E6739F" w14:textId="77777777" w:rsidR="00537F5C" w:rsidRPr="00860E03" w:rsidRDefault="00537F5C" w:rsidP="00537F5C">
            <w:pPr>
              <w:pStyle w:val="ARtablecolheadright"/>
            </w:pPr>
            <w:r w:rsidRPr="00860E03">
              <w:t>Cost</w:t>
            </w:r>
          </w:p>
          <w:p w14:paraId="4BEE6FBB" w14:textId="77777777" w:rsidR="00537F5C" w:rsidRPr="00860E03" w:rsidRDefault="00537F5C" w:rsidP="00537F5C">
            <w:pPr>
              <w:pStyle w:val="ARtablecolheadright"/>
            </w:pPr>
            <w:r w:rsidRPr="00860E03">
              <w:t>($M)</w:t>
            </w:r>
          </w:p>
        </w:tc>
      </w:tr>
      <w:tr w:rsidR="00537F5C" w:rsidRPr="007939DD" w14:paraId="3E65B72A" w14:textId="77777777" w:rsidTr="00537F5C">
        <w:trPr>
          <w:cantSplit/>
          <w:trHeight w:val="335"/>
        </w:trPr>
        <w:tc>
          <w:tcPr>
            <w:tcW w:w="1181" w:type="pct"/>
          </w:tcPr>
          <w:p w14:paraId="0128E8E6" w14:textId="77777777" w:rsidR="00537F5C" w:rsidRPr="007939DD" w:rsidRDefault="00537F5C" w:rsidP="00537F5C">
            <w:pPr>
              <w:pStyle w:val="ARtabletext"/>
            </w:pPr>
            <w:r w:rsidRPr="007939DD">
              <w:t xml:space="preserve">High-rise public housing electricity use </w:t>
            </w:r>
          </w:p>
        </w:tc>
        <w:tc>
          <w:tcPr>
            <w:tcW w:w="636" w:type="pct"/>
          </w:tcPr>
          <w:p w14:paraId="197B756E" w14:textId="77777777" w:rsidR="00537F5C" w:rsidRPr="00860E03" w:rsidRDefault="00537F5C" w:rsidP="00537F5C">
            <w:pPr>
              <w:pStyle w:val="ARtabletextright"/>
            </w:pPr>
            <w:r w:rsidRPr="00860E03">
              <w:t>50,376,739</w:t>
            </w:r>
          </w:p>
        </w:tc>
        <w:tc>
          <w:tcPr>
            <w:tcW w:w="637" w:type="pct"/>
          </w:tcPr>
          <w:p w14:paraId="3054C771" w14:textId="77777777" w:rsidR="00537F5C" w:rsidRPr="00860E03" w:rsidRDefault="00537F5C" w:rsidP="00537F5C">
            <w:pPr>
              <w:pStyle w:val="ARtabletextright"/>
            </w:pPr>
            <w:r w:rsidRPr="00860E03">
              <w:t>$3.00</w:t>
            </w:r>
          </w:p>
        </w:tc>
        <w:tc>
          <w:tcPr>
            <w:tcW w:w="636" w:type="pct"/>
          </w:tcPr>
          <w:p w14:paraId="3F740E28" w14:textId="77777777" w:rsidR="00537F5C" w:rsidRPr="00860E03" w:rsidRDefault="00537F5C" w:rsidP="00537F5C">
            <w:pPr>
              <w:pStyle w:val="ARtabletextright"/>
            </w:pPr>
            <w:r w:rsidRPr="00860E03">
              <w:t xml:space="preserve">53,886,482 </w:t>
            </w:r>
          </w:p>
        </w:tc>
        <w:tc>
          <w:tcPr>
            <w:tcW w:w="637" w:type="pct"/>
          </w:tcPr>
          <w:p w14:paraId="624FFD64" w14:textId="77777777" w:rsidR="00537F5C" w:rsidRPr="00860E03" w:rsidRDefault="00537F5C" w:rsidP="00537F5C">
            <w:pPr>
              <w:pStyle w:val="ARtabletextright"/>
            </w:pPr>
            <w:r w:rsidRPr="00860E03">
              <w:t xml:space="preserve">$2.81 </w:t>
            </w:r>
          </w:p>
        </w:tc>
        <w:tc>
          <w:tcPr>
            <w:tcW w:w="636" w:type="pct"/>
          </w:tcPr>
          <w:p w14:paraId="31B8DA38" w14:textId="77777777" w:rsidR="00537F5C" w:rsidRPr="00860E03" w:rsidRDefault="00537F5C" w:rsidP="00537F5C">
            <w:pPr>
              <w:pStyle w:val="ARtabletextright"/>
            </w:pPr>
            <w:r w:rsidRPr="00860E03">
              <w:t xml:space="preserve">56,655,276 </w:t>
            </w:r>
          </w:p>
        </w:tc>
        <w:tc>
          <w:tcPr>
            <w:tcW w:w="637" w:type="pct"/>
          </w:tcPr>
          <w:p w14:paraId="1B98579C" w14:textId="77777777" w:rsidR="00537F5C" w:rsidRPr="00860E03" w:rsidRDefault="00537F5C" w:rsidP="00537F5C">
            <w:pPr>
              <w:pStyle w:val="ARtabletextright"/>
            </w:pPr>
            <w:r w:rsidRPr="00860E03">
              <w:t xml:space="preserve">$2.30 </w:t>
            </w:r>
          </w:p>
        </w:tc>
      </w:tr>
      <w:tr w:rsidR="00537F5C" w:rsidRPr="007939DD" w14:paraId="24D007B1" w14:textId="77777777" w:rsidTr="00537F5C">
        <w:trPr>
          <w:cantSplit/>
          <w:trHeight w:val="335"/>
        </w:trPr>
        <w:tc>
          <w:tcPr>
            <w:tcW w:w="1181" w:type="pct"/>
          </w:tcPr>
          <w:p w14:paraId="5F30A8A3" w14:textId="77777777" w:rsidR="00537F5C" w:rsidRPr="007939DD" w:rsidRDefault="00537F5C" w:rsidP="00537F5C">
            <w:pPr>
              <w:pStyle w:val="ARtabletext"/>
            </w:pPr>
            <w:r w:rsidRPr="007939DD">
              <w:t>Other public housing electricity use</w:t>
            </w:r>
          </w:p>
        </w:tc>
        <w:tc>
          <w:tcPr>
            <w:tcW w:w="636" w:type="pct"/>
          </w:tcPr>
          <w:p w14:paraId="68C26202" w14:textId="77777777" w:rsidR="00537F5C" w:rsidRPr="00860E03" w:rsidRDefault="00537F5C" w:rsidP="00537F5C">
            <w:pPr>
              <w:pStyle w:val="ARtabletextright"/>
            </w:pPr>
            <w:r w:rsidRPr="00860E03">
              <w:t>32,351,889</w:t>
            </w:r>
          </w:p>
        </w:tc>
        <w:tc>
          <w:tcPr>
            <w:tcW w:w="637" w:type="pct"/>
          </w:tcPr>
          <w:p w14:paraId="0436DD0B" w14:textId="77777777" w:rsidR="00537F5C" w:rsidRPr="00860E03" w:rsidRDefault="00537F5C" w:rsidP="00537F5C">
            <w:pPr>
              <w:pStyle w:val="ARtabletextright"/>
            </w:pPr>
            <w:r w:rsidRPr="00860E03">
              <w:t>$2.37</w:t>
            </w:r>
          </w:p>
        </w:tc>
        <w:tc>
          <w:tcPr>
            <w:tcW w:w="636" w:type="pct"/>
          </w:tcPr>
          <w:p w14:paraId="47CA9B34" w14:textId="77777777" w:rsidR="00537F5C" w:rsidRPr="00860E03" w:rsidRDefault="00537F5C" w:rsidP="00537F5C">
            <w:pPr>
              <w:pStyle w:val="ARtabletextright"/>
            </w:pPr>
            <w:r w:rsidRPr="00860E03">
              <w:t xml:space="preserve">32,824,180 </w:t>
            </w:r>
          </w:p>
        </w:tc>
        <w:tc>
          <w:tcPr>
            <w:tcW w:w="637" w:type="pct"/>
          </w:tcPr>
          <w:p w14:paraId="42B0FA2C" w14:textId="77777777" w:rsidR="00537F5C" w:rsidRPr="00860E03" w:rsidRDefault="00537F5C" w:rsidP="00537F5C">
            <w:pPr>
              <w:pStyle w:val="ARtabletextright"/>
            </w:pPr>
            <w:r w:rsidRPr="00860E03">
              <w:t xml:space="preserve">$2.14 </w:t>
            </w:r>
          </w:p>
        </w:tc>
        <w:tc>
          <w:tcPr>
            <w:tcW w:w="636" w:type="pct"/>
          </w:tcPr>
          <w:p w14:paraId="1A7A537C" w14:textId="77777777" w:rsidR="00537F5C" w:rsidRPr="00860E03" w:rsidRDefault="00537F5C" w:rsidP="00537F5C">
            <w:pPr>
              <w:pStyle w:val="ARtabletextright"/>
            </w:pPr>
            <w:r w:rsidRPr="00860E03">
              <w:t xml:space="preserve">30,669,331 </w:t>
            </w:r>
          </w:p>
        </w:tc>
        <w:tc>
          <w:tcPr>
            <w:tcW w:w="637" w:type="pct"/>
          </w:tcPr>
          <w:p w14:paraId="61E18C4B" w14:textId="77777777" w:rsidR="00537F5C" w:rsidRPr="00860E03" w:rsidRDefault="00537F5C" w:rsidP="00537F5C">
            <w:pPr>
              <w:pStyle w:val="ARtabletextright"/>
            </w:pPr>
            <w:r w:rsidRPr="00860E03">
              <w:t xml:space="preserve">$2.02 </w:t>
            </w:r>
          </w:p>
        </w:tc>
      </w:tr>
      <w:tr w:rsidR="00537F5C" w:rsidRPr="007939DD" w14:paraId="573D19F5" w14:textId="77777777" w:rsidTr="00537F5C">
        <w:trPr>
          <w:cantSplit/>
          <w:trHeight w:val="379"/>
        </w:trPr>
        <w:tc>
          <w:tcPr>
            <w:tcW w:w="1181" w:type="pct"/>
          </w:tcPr>
          <w:p w14:paraId="5BC3E119" w14:textId="77777777" w:rsidR="00537F5C" w:rsidRPr="007939DD" w:rsidRDefault="00537F5C" w:rsidP="00537F5C">
            <w:pPr>
              <w:pStyle w:val="ARtabletext"/>
            </w:pPr>
            <w:r w:rsidRPr="007939DD">
              <w:t>Disability housing electricity use</w:t>
            </w:r>
          </w:p>
        </w:tc>
        <w:tc>
          <w:tcPr>
            <w:tcW w:w="636" w:type="pct"/>
          </w:tcPr>
          <w:p w14:paraId="049F6715" w14:textId="77777777" w:rsidR="00537F5C" w:rsidRPr="00860E03" w:rsidRDefault="00537F5C" w:rsidP="00537F5C">
            <w:pPr>
              <w:pStyle w:val="ARtabletextright"/>
            </w:pPr>
            <w:r w:rsidRPr="00860E03">
              <w:t>42,624,078</w:t>
            </w:r>
          </w:p>
        </w:tc>
        <w:tc>
          <w:tcPr>
            <w:tcW w:w="637" w:type="pct"/>
          </w:tcPr>
          <w:p w14:paraId="724252CA" w14:textId="77777777" w:rsidR="00537F5C" w:rsidRPr="00860E03" w:rsidRDefault="00537F5C" w:rsidP="00537F5C">
            <w:pPr>
              <w:pStyle w:val="ARtabletextright"/>
            </w:pPr>
            <w:r w:rsidRPr="00860E03">
              <w:t>$2.12</w:t>
            </w:r>
          </w:p>
        </w:tc>
        <w:tc>
          <w:tcPr>
            <w:tcW w:w="636" w:type="pct"/>
          </w:tcPr>
          <w:p w14:paraId="756EF821" w14:textId="77777777" w:rsidR="00537F5C" w:rsidRPr="00860E03" w:rsidRDefault="00537F5C" w:rsidP="00537F5C">
            <w:pPr>
              <w:pStyle w:val="ARtabletextright"/>
            </w:pPr>
            <w:r w:rsidRPr="00860E03">
              <w:t xml:space="preserve">42,294,070 </w:t>
            </w:r>
          </w:p>
        </w:tc>
        <w:tc>
          <w:tcPr>
            <w:tcW w:w="637" w:type="pct"/>
          </w:tcPr>
          <w:p w14:paraId="3D3207CB" w14:textId="77777777" w:rsidR="00537F5C" w:rsidRPr="00860E03" w:rsidRDefault="00537F5C" w:rsidP="00537F5C">
            <w:pPr>
              <w:pStyle w:val="ARtabletextright"/>
            </w:pPr>
            <w:r w:rsidRPr="00860E03">
              <w:t xml:space="preserve">$1.87 </w:t>
            </w:r>
          </w:p>
        </w:tc>
        <w:tc>
          <w:tcPr>
            <w:tcW w:w="636" w:type="pct"/>
          </w:tcPr>
          <w:p w14:paraId="4361CFB0" w14:textId="77777777" w:rsidR="00537F5C" w:rsidRPr="00860E03" w:rsidRDefault="00537F5C" w:rsidP="00537F5C">
            <w:pPr>
              <w:pStyle w:val="ARtabletextright"/>
            </w:pPr>
            <w:r w:rsidRPr="00860E03">
              <w:t xml:space="preserve">39,793,532 </w:t>
            </w:r>
          </w:p>
        </w:tc>
        <w:tc>
          <w:tcPr>
            <w:tcW w:w="637" w:type="pct"/>
          </w:tcPr>
          <w:p w14:paraId="1A695DB8" w14:textId="77777777" w:rsidR="00537F5C" w:rsidRPr="00860E03" w:rsidRDefault="00537F5C" w:rsidP="00537F5C">
            <w:pPr>
              <w:pStyle w:val="ARtabletextright"/>
            </w:pPr>
            <w:r w:rsidRPr="00860E03">
              <w:t xml:space="preserve">$1.71 </w:t>
            </w:r>
          </w:p>
        </w:tc>
      </w:tr>
      <w:tr w:rsidR="00537F5C" w:rsidRPr="007939DD" w14:paraId="15680E4A" w14:textId="77777777" w:rsidTr="00537F5C">
        <w:trPr>
          <w:cantSplit/>
          <w:trHeight w:val="379"/>
        </w:trPr>
        <w:tc>
          <w:tcPr>
            <w:tcW w:w="1181" w:type="pct"/>
          </w:tcPr>
          <w:p w14:paraId="5E19BC18" w14:textId="77777777" w:rsidR="00537F5C" w:rsidRPr="007939DD" w:rsidRDefault="00537F5C" w:rsidP="00537F5C">
            <w:pPr>
              <w:pStyle w:val="ARtabletext"/>
            </w:pPr>
            <w:r w:rsidRPr="007939DD">
              <w:t>Youth and family welfare electricity use</w:t>
            </w:r>
          </w:p>
        </w:tc>
        <w:tc>
          <w:tcPr>
            <w:tcW w:w="636" w:type="pct"/>
          </w:tcPr>
          <w:p w14:paraId="1C51DABC" w14:textId="77777777" w:rsidR="00537F5C" w:rsidRPr="00860E03" w:rsidRDefault="00537F5C" w:rsidP="00537F5C">
            <w:pPr>
              <w:pStyle w:val="ARtabletextright"/>
            </w:pPr>
            <w:r w:rsidRPr="00860E03">
              <w:t>1,990,413</w:t>
            </w:r>
          </w:p>
        </w:tc>
        <w:tc>
          <w:tcPr>
            <w:tcW w:w="637" w:type="pct"/>
          </w:tcPr>
          <w:p w14:paraId="0B411500" w14:textId="77777777" w:rsidR="00537F5C" w:rsidRPr="00860E03" w:rsidRDefault="00537F5C" w:rsidP="00537F5C">
            <w:pPr>
              <w:pStyle w:val="ARtabletextright"/>
            </w:pPr>
            <w:r w:rsidRPr="00860E03">
              <w:t>$0.13</w:t>
            </w:r>
          </w:p>
        </w:tc>
        <w:tc>
          <w:tcPr>
            <w:tcW w:w="636" w:type="pct"/>
          </w:tcPr>
          <w:p w14:paraId="5ACF450A" w14:textId="77777777" w:rsidR="00537F5C" w:rsidRPr="00860E03" w:rsidRDefault="00537F5C" w:rsidP="00537F5C">
            <w:pPr>
              <w:pStyle w:val="ARtabletextright"/>
            </w:pPr>
            <w:r w:rsidRPr="00860E03">
              <w:t xml:space="preserve">1,832,073 </w:t>
            </w:r>
          </w:p>
        </w:tc>
        <w:tc>
          <w:tcPr>
            <w:tcW w:w="637" w:type="pct"/>
          </w:tcPr>
          <w:p w14:paraId="5C9878A2" w14:textId="77777777" w:rsidR="00537F5C" w:rsidRPr="00860E03" w:rsidRDefault="00537F5C" w:rsidP="00537F5C">
            <w:pPr>
              <w:pStyle w:val="ARtabletextright"/>
            </w:pPr>
            <w:r w:rsidRPr="00860E03">
              <w:t xml:space="preserve">$0.11 </w:t>
            </w:r>
          </w:p>
        </w:tc>
        <w:tc>
          <w:tcPr>
            <w:tcW w:w="636" w:type="pct"/>
          </w:tcPr>
          <w:p w14:paraId="6058BD2F" w14:textId="77777777" w:rsidR="00537F5C" w:rsidRPr="00860E03" w:rsidRDefault="00537F5C" w:rsidP="00537F5C">
            <w:pPr>
              <w:pStyle w:val="ARtabletextright"/>
            </w:pPr>
            <w:r w:rsidRPr="00860E03">
              <w:t xml:space="preserve">1,652,759 </w:t>
            </w:r>
          </w:p>
        </w:tc>
        <w:tc>
          <w:tcPr>
            <w:tcW w:w="637" w:type="pct"/>
          </w:tcPr>
          <w:p w14:paraId="475EA837" w14:textId="77777777" w:rsidR="00537F5C" w:rsidRPr="00860E03" w:rsidRDefault="00537F5C" w:rsidP="00537F5C">
            <w:pPr>
              <w:pStyle w:val="ARtabletextright"/>
            </w:pPr>
            <w:r w:rsidRPr="00860E03">
              <w:t xml:space="preserve">$0.09 </w:t>
            </w:r>
          </w:p>
        </w:tc>
      </w:tr>
      <w:tr w:rsidR="00537F5C" w:rsidRPr="007939DD" w14:paraId="787ACAAC" w14:textId="77777777" w:rsidTr="00537F5C">
        <w:trPr>
          <w:cantSplit/>
          <w:trHeight w:val="379"/>
        </w:trPr>
        <w:tc>
          <w:tcPr>
            <w:tcW w:w="1181" w:type="pct"/>
          </w:tcPr>
          <w:p w14:paraId="53F8EB39" w14:textId="77777777" w:rsidR="00537F5C" w:rsidRPr="007939DD" w:rsidRDefault="00537F5C" w:rsidP="00537F5C">
            <w:pPr>
              <w:pStyle w:val="ARtabletext"/>
            </w:pPr>
            <w:r w:rsidRPr="007939DD">
              <w:t>Youth justice electricity use*</w:t>
            </w:r>
          </w:p>
        </w:tc>
        <w:tc>
          <w:tcPr>
            <w:tcW w:w="636" w:type="pct"/>
          </w:tcPr>
          <w:p w14:paraId="0F64C858" w14:textId="77777777" w:rsidR="00537F5C" w:rsidRPr="00860E03" w:rsidRDefault="00537F5C" w:rsidP="00537F5C">
            <w:pPr>
              <w:pStyle w:val="ARtabletextright"/>
            </w:pPr>
            <w:r w:rsidRPr="00860E03">
              <w:t>N/A</w:t>
            </w:r>
          </w:p>
        </w:tc>
        <w:tc>
          <w:tcPr>
            <w:tcW w:w="637" w:type="pct"/>
          </w:tcPr>
          <w:p w14:paraId="28669B42" w14:textId="77777777" w:rsidR="00537F5C" w:rsidRPr="00860E03" w:rsidRDefault="00537F5C" w:rsidP="00537F5C">
            <w:pPr>
              <w:pStyle w:val="ARtabletextright"/>
            </w:pPr>
            <w:r w:rsidRPr="00860E03">
              <w:t>N/A</w:t>
            </w:r>
          </w:p>
        </w:tc>
        <w:tc>
          <w:tcPr>
            <w:tcW w:w="636" w:type="pct"/>
          </w:tcPr>
          <w:p w14:paraId="035EEACD" w14:textId="77777777" w:rsidR="00537F5C" w:rsidRPr="00860E03" w:rsidRDefault="00537F5C" w:rsidP="00537F5C">
            <w:pPr>
              <w:pStyle w:val="ARtabletextright"/>
            </w:pPr>
            <w:r w:rsidRPr="00860E03">
              <w:t>N/A</w:t>
            </w:r>
          </w:p>
        </w:tc>
        <w:tc>
          <w:tcPr>
            <w:tcW w:w="637" w:type="pct"/>
          </w:tcPr>
          <w:p w14:paraId="6B627A4F" w14:textId="77777777" w:rsidR="00537F5C" w:rsidRPr="00860E03" w:rsidRDefault="00537F5C" w:rsidP="00537F5C">
            <w:pPr>
              <w:pStyle w:val="ARtabletextright"/>
            </w:pPr>
            <w:r w:rsidRPr="00860E03">
              <w:t>N/A</w:t>
            </w:r>
          </w:p>
        </w:tc>
        <w:tc>
          <w:tcPr>
            <w:tcW w:w="636" w:type="pct"/>
          </w:tcPr>
          <w:p w14:paraId="3BFB1F9C" w14:textId="77777777" w:rsidR="00537F5C" w:rsidRPr="00860E03" w:rsidRDefault="00537F5C" w:rsidP="00537F5C">
            <w:pPr>
              <w:pStyle w:val="ARtabletextright"/>
            </w:pPr>
            <w:r w:rsidRPr="00860E03">
              <w:t xml:space="preserve">12,902,049 </w:t>
            </w:r>
          </w:p>
        </w:tc>
        <w:tc>
          <w:tcPr>
            <w:tcW w:w="637" w:type="pct"/>
          </w:tcPr>
          <w:p w14:paraId="2BF887B4" w14:textId="77777777" w:rsidR="00537F5C" w:rsidRPr="00860E03" w:rsidRDefault="00537F5C" w:rsidP="00537F5C">
            <w:pPr>
              <w:pStyle w:val="ARtabletextright"/>
            </w:pPr>
            <w:r w:rsidRPr="00860E03">
              <w:t>$0.48</w:t>
            </w:r>
          </w:p>
        </w:tc>
      </w:tr>
      <w:tr w:rsidR="00537F5C" w:rsidRPr="007939DD" w14:paraId="6AB3C673" w14:textId="77777777" w:rsidTr="00537F5C">
        <w:trPr>
          <w:cantSplit/>
          <w:trHeight w:val="188"/>
        </w:trPr>
        <w:tc>
          <w:tcPr>
            <w:tcW w:w="1181" w:type="pct"/>
          </w:tcPr>
          <w:p w14:paraId="19BE10DD" w14:textId="77777777" w:rsidR="00537F5C" w:rsidRPr="007939DD" w:rsidRDefault="00537F5C" w:rsidP="00537F5C">
            <w:pPr>
              <w:pStyle w:val="ARtabletext"/>
              <w:rPr>
                <w:b/>
              </w:rPr>
            </w:pPr>
            <w:r w:rsidRPr="007939DD">
              <w:rPr>
                <w:b/>
              </w:rPr>
              <w:t>Total electricity</w:t>
            </w:r>
          </w:p>
        </w:tc>
        <w:tc>
          <w:tcPr>
            <w:tcW w:w="636" w:type="pct"/>
          </w:tcPr>
          <w:p w14:paraId="2B99A2D0" w14:textId="77777777" w:rsidR="00537F5C" w:rsidRPr="00860E03" w:rsidRDefault="00537F5C" w:rsidP="00537F5C">
            <w:pPr>
              <w:pStyle w:val="ARtabletextrightbold"/>
            </w:pPr>
            <w:r w:rsidRPr="00860E03">
              <w:t>127,343,119</w:t>
            </w:r>
          </w:p>
        </w:tc>
        <w:tc>
          <w:tcPr>
            <w:tcW w:w="637" w:type="pct"/>
          </w:tcPr>
          <w:p w14:paraId="4007C5B4" w14:textId="77777777" w:rsidR="00537F5C" w:rsidRPr="00860E03" w:rsidRDefault="00537F5C" w:rsidP="00537F5C">
            <w:pPr>
              <w:pStyle w:val="ARtabletextrightbold"/>
            </w:pPr>
            <w:r w:rsidRPr="00860E03">
              <w:t>$7.61</w:t>
            </w:r>
          </w:p>
        </w:tc>
        <w:tc>
          <w:tcPr>
            <w:tcW w:w="636" w:type="pct"/>
          </w:tcPr>
          <w:p w14:paraId="05385074" w14:textId="77777777" w:rsidR="00537F5C" w:rsidRPr="00860E03" w:rsidRDefault="00537F5C" w:rsidP="00537F5C">
            <w:pPr>
              <w:pStyle w:val="ARtabletextrightbold"/>
            </w:pPr>
            <w:r w:rsidRPr="00860E03">
              <w:t xml:space="preserve">130,836,805 </w:t>
            </w:r>
          </w:p>
        </w:tc>
        <w:tc>
          <w:tcPr>
            <w:tcW w:w="637" w:type="pct"/>
          </w:tcPr>
          <w:p w14:paraId="5C731F3F" w14:textId="77777777" w:rsidR="00537F5C" w:rsidRPr="00860E03" w:rsidRDefault="00537F5C" w:rsidP="00537F5C">
            <w:pPr>
              <w:pStyle w:val="ARtabletextrightbold"/>
            </w:pPr>
            <w:r w:rsidRPr="00860E03">
              <w:t xml:space="preserve">$6.94 </w:t>
            </w:r>
          </w:p>
        </w:tc>
        <w:tc>
          <w:tcPr>
            <w:tcW w:w="636" w:type="pct"/>
          </w:tcPr>
          <w:p w14:paraId="47829B10" w14:textId="77777777" w:rsidR="00537F5C" w:rsidRPr="00860E03" w:rsidRDefault="00537F5C" w:rsidP="00537F5C">
            <w:pPr>
              <w:pStyle w:val="ARtabletextrightbold"/>
            </w:pPr>
            <w:r w:rsidRPr="00860E03">
              <w:t xml:space="preserve">141,672,947 </w:t>
            </w:r>
          </w:p>
        </w:tc>
        <w:tc>
          <w:tcPr>
            <w:tcW w:w="637" w:type="pct"/>
          </w:tcPr>
          <w:p w14:paraId="78839338" w14:textId="77777777" w:rsidR="00537F5C" w:rsidRPr="00860E03" w:rsidRDefault="00537F5C" w:rsidP="00537F5C">
            <w:pPr>
              <w:pStyle w:val="ARtabletextrightbold"/>
            </w:pPr>
            <w:r w:rsidRPr="00860E03">
              <w:t xml:space="preserve">$6.60 </w:t>
            </w:r>
          </w:p>
        </w:tc>
      </w:tr>
    </w:tbl>
    <w:p w14:paraId="0DD11467" w14:textId="77777777" w:rsidR="00537F5C" w:rsidRPr="007939DD" w:rsidRDefault="00537F5C" w:rsidP="00537F5C">
      <w:pPr>
        <w:pStyle w:val="Heading4"/>
      </w:pPr>
      <w:r w:rsidRPr="007939DD">
        <w:rPr>
          <w:lang w:eastAsia="en-AU"/>
        </w:rPr>
        <w:t>Gas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277"/>
        <w:gridCol w:w="1226"/>
        <w:gridCol w:w="1228"/>
        <w:gridCol w:w="1226"/>
        <w:gridCol w:w="1228"/>
        <w:gridCol w:w="1226"/>
        <w:gridCol w:w="1228"/>
      </w:tblGrid>
      <w:tr w:rsidR="00537F5C" w:rsidRPr="007939DD" w14:paraId="2EC26D82" w14:textId="77777777" w:rsidTr="00537F5C">
        <w:trPr>
          <w:cantSplit/>
          <w:trHeight w:val="294"/>
          <w:tblHeader/>
        </w:trPr>
        <w:tc>
          <w:tcPr>
            <w:tcW w:w="1181" w:type="pct"/>
            <w:vAlign w:val="bottom"/>
          </w:tcPr>
          <w:p w14:paraId="2908791A" w14:textId="77777777" w:rsidR="00537F5C" w:rsidRPr="007939DD" w:rsidRDefault="00537F5C" w:rsidP="00537F5C">
            <w:pPr>
              <w:pStyle w:val="ARtablecolhead"/>
            </w:pPr>
            <w:r w:rsidRPr="007939DD">
              <w:t>Description</w:t>
            </w:r>
          </w:p>
        </w:tc>
        <w:tc>
          <w:tcPr>
            <w:tcW w:w="636" w:type="pct"/>
            <w:vAlign w:val="bottom"/>
          </w:tcPr>
          <w:p w14:paraId="451AB170" w14:textId="77777777" w:rsidR="00537F5C" w:rsidRPr="007939DD" w:rsidRDefault="00537F5C" w:rsidP="00537F5C">
            <w:pPr>
              <w:pStyle w:val="ARtablecolheadright"/>
            </w:pPr>
            <w:r w:rsidRPr="007939DD">
              <w:t>201</w:t>
            </w:r>
            <w:r>
              <w:t>8</w:t>
            </w:r>
            <w:r w:rsidRPr="007939DD">
              <w:t>–1</w:t>
            </w:r>
            <w:r>
              <w:t>9</w:t>
            </w:r>
            <w:r w:rsidRPr="007939DD">
              <w:br/>
              <w:t>estimate</w:t>
            </w:r>
          </w:p>
        </w:tc>
        <w:tc>
          <w:tcPr>
            <w:tcW w:w="637" w:type="pct"/>
            <w:vAlign w:val="bottom"/>
          </w:tcPr>
          <w:p w14:paraId="2C15EB1B" w14:textId="77777777" w:rsidR="00537F5C" w:rsidRPr="007939DD" w:rsidRDefault="00537F5C" w:rsidP="00537F5C">
            <w:pPr>
              <w:pStyle w:val="ARtablecolheadright"/>
            </w:pPr>
            <w:r w:rsidRPr="007939DD">
              <w:t>201</w:t>
            </w:r>
            <w:r>
              <w:t>8</w:t>
            </w:r>
            <w:r w:rsidRPr="007939DD">
              <w:t>–1</w:t>
            </w:r>
            <w:r>
              <w:t>9</w:t>
            </w:r>
            <w:r w:rsidRPr="007939DD">
              <w:br/>
              <w:t xml:space="preserve"> estimate</w:t>
            </w:r>
          </w:p>
        </w:tc>
        <w:tc>
          <w:tcPr>
            <w:tcW w:w="636" w:type="pct"/>
            <w:vAlign w:val="bottom"/>
          </w:tcPr>
          <w:p w14:paraId="5FE94758" w14:textId="77777777" w:rsidR="00537F5C" w:rsidRPr="007939DD" w:rsidRDefault="00537F5C" w:rsidP="00537F5C">
            <w:pPr>
              <w:pStyle w:val="ARtablecolheadright"/>
            </w:pPr>
            <w:r w:rsidRPr="007939DD">
              <w:t>2017–18</w:t>
            </w:r>
            <w:r w:rsidRPr="007939DD">
              <w:br/>
              <w:t>estimate</w:t>
            </w:r>
          </w:p>
        </w:tc>
        <w:tc>
          <w:tcPr>
            <w:tcW w:w="637" w:type="pct"/>
            <w:vAlign w:val="bottom"/>
          </w:tcPr>
          <w:p w14:paraId="1362E153" w14:textId="77777777" w:rsidR="00537F5C" w:rsidRPr="007939DD" w:rsidRDefault="00537F5C" w:rsidP="00537F5C">
            <w:pPr>
              <w:pStyle w:val="ARtablecolheadright"/>
            </w:pPr>
            <w:r w:rsidRPr="007939DD">
              <w:t>2017–18</w:t>
            </w:r>
            <w:r w:rsidRPr="007939DD">
              <w:br/>
              <w:t xml:space="preserve"> estimate</w:t>
            </w:r>
          </w:p>
        </w:tc>
        <w:tc>
          <w:tcPr>
            <w:tcW w:w="636" w:type="pct"/>
            <w:vAlign w:val="bottom"/>
          </w:tcPr>
          <w:p w14:paraId="536AE546" w14:textId="77777777" w:rsidR="00537F5C" w:rsidRPr="007939DD" w:rsidRDefault="00537F5C" w:rsidP="00537F5C">
            <w:pPr>
              <w:pStyle w:val="ARtablecolheadright"/>
            </w:pPr>
            <w:r w:rsidRPr="007939DD">
              <w:t>2016–17</w:t>
            </w:r>
            <w:r w:rsidRPr="007939DD">
              <w:br/>
              <w:t>estimate</w:t>
            </w:r>
          </w:p>
        </w:tc>
        <w:tc>
          <w:tcPr>
            <w:tcW w:w="637" w:type="pct"/>
            <w:vAlign w:val="bottom"/>
          </w:tcPr>
          <w:p w14:paraId="46EA8A24" w14:textId="77777777" w:rsidR="00537F5C" w:rsidRPr="007939DD" w:rsidRDefault="00537F5C" w:rsidP="00537F5C">
            <w:pPr>
              <w:pStyle w:val="ARtablecolheadright"/>
            </w:pPr>
            <w:r w:rsidRPr="007939DD">
              <w:t>2016–17</w:t>
            </w:r>
            <w:r w:rsidRPr="007939DD">
              <w:br/>
              <w:t xml:space="preserve"> estimate</w:t>
            </w:r>
          </w:p>
        </w:tc>
      </w:tr>
      <w:tr w:rsidR="00537F5C" w:rsidRPr="00860E03" w14:paraId="60461C52" w14:textId="77777777" w:rsidTr="00537F5C">
        <w:trPr>
          <w:cantSplit/>
          <w:trHeight w:val="294"/>
          <w:tblHeader/>
        </w:trPr>
        <w:tc>
          <w:tcPr>
            <w:tcW w:w="1181" w:type="pct"/>
          </w:tcPr>
          <w:p w14:paraId="73EFD350" w14:textId="77777777" w:rsidR="00537F5C" w:rsidRPr="00860E03" w:rsidRDefault="00537F5C" w:rsidP="00537F5C">
            <w:pPr>
              <w:pStyle w:val="ARtablecolhead"/>
            </w:pPr>
            <w:r w:rsidRPr="00860E03">
              <w:t>Total energy usage segmented by primary source</w:t>
            </w:r>
          </w:p>
        </w:tc>
        <w:tc>
          <w:tcPr>
            <w:tcW w:w="636" w:type="pct"/>
            <w:vAlign w:val="bottom"/>
          </w:tcPr>
          <w:p w14:paraId="528AA204" w14:textId="77777777" w:rsidR="00537F5C" w:rsidRPr="00860E03" w:rsidRDefault="00537F5C" w:rsidP="00537F5C">
            <w:pPr>
              <w:pStyle w:val="ARtablecolheadright"/>
            </w:pPr>
            <w:r w:rsidRPr="00860E03">
              <w:t>Megajoules</w:t>
            </w:r>
          </w:p>
        </w:tc>
        <w:tc>
          <w:tcPr>
            <w:tcW w:w="637" w:type="pct"/>
            <w:vAlign w:val="bottom"/>
          </w:tcPr>
          <w:p w14:paraId="2B765A55" w14:textId="77777777" w:rsidR="00537F5C" w:rsidRPr="00860E03" w:rsidRDefault="00537F5C" w:rsidP="00537F5C">
            <w:pPr>
              <w:pStyle w:val="ARtablecolheadright"/>
            </w:pPr>
            <w:r w:rsidRPr="00860E03">
              <w:t>Cost</w:t>
            </w:r>
          </w:p>
          <w:p w14:paraId="7674316A" w14:textId="77777777" w:rsidR="00537F5C" w:rsidRPr="00860E03" w:rsidRDefault="00537F5C" w:rsidP="00537F5C">
            <w:pPr>
              <w:pStyle w:val="ARtablecolheadright"/>
            </w:pPr>
            <w:r w:rsidRPr="00860E03">
              <w:t>($M)</w:t>
            </w:r>
          </w:p>
        </w:tc>
        <w:tc>
          <w:tcPr>
            <w:tcW w:w="636" w:type="pct"/>
            <w:vAlign w:val="bottom"/>
          </w:tcPr>
          <w:p w14:paraId="629894BC" w14:textId="77777777" w:rsidR="00537F5C" w:rsidRPr="00860E03" w:rsidRDefault="00537F5C" w:rsidP="00537F5C">
            <w:pPr>
              <w:pStyle w:val="ARtablecolheadright"/>
            </w:pPr>
            <w:r w:rsidRPr="00860E03">
              <w:t>Megajoules</w:t>
            </w:r>
          </w:p>
        </w:tc>
        <w:tc>
          <w:tcPr>
            <w:tcW w:w="637" w:type="pct"/>
            <w:vAlign w:val="bottom"/>
          </w:tcPr>
          <w:p w14:paraId="128ED96D" w14:textId="77777777" w:rsidR="00537F5C" w:rsidRPr="00860E03" w:rsidRDefault="00537F5C" w:rsidP="00537F5C">
            <w:pPr>
              <w:pStyle w:val="ARtablecolheadright"/>
            </w:pPr>
            <w:r w:rsidRPr="00860E03">
              <w:t>Cost</w:t>
            </w:r>
          </w:p>
          <w:p w14:paraId="0D37D802" w14:textId="77777777" w:rsidR="00537F5C" w:rsidRPr="00860E03" w:rsidRDefault="00537F5C" w:rsidP="00537F5C">
            <w:pPr>
              <w:pStyle w:val="ARtablecolheadright"/>
            </w:pPr>
            <w:r w:rsidRPr="00860E03">
              <w:t>($M)</w:t>
            </w:r>
          </w:p>
        </w:tc>
        <w:tc>
          <w:tcPr>
            <w:tcW w:w="636" w:type="pct"/>
            <w:vAlign w:val="bottom"/>
          </w:tcPr>
          <w:p w14:paraId="32667B0D" w14:textId="77777777" w:rsidR="00537F5C" w:rsidRPr="00860E03" w:rsidRDefault="00537F5C" w:rsidP="00537F5C">
            <w:pPr>
              <w:pStyle w:val="ARtablecolheadright"/>
            </w:pPr>
            <w:r w:rsidRPr="00860E03">
              <w:t>Megajoules</w:t>
            </w:r>
          </w:p>
        </w:tc>
        <w:tc>
          <w:tcPr>
            <w:tcW w:w="637" w:type="pct"/>
            <w:vAlign w:val="bottom"/>
          </w:tcPr>
          <w:p w14:paraId="208B6FA6" w14:textId="77777777" w:rsidR="00537F5C" w:rsidRPr="00860E03" w:rsidRDefault="00537F5C" w:rsidP="00537F5C">
            <w:pPr>
              <w:pStyle w:val="ARtablecolheadright"/>
            </w:pPr>
            <w:r w:rsidRPr="00860E03">
              <w:t>Cost</w:t>
            </w:r>
          </w:p>
          <w:p w14:paraId="2047098D" w14:textId="77777777" w:rsidR="00537F5C" w:rsidRPr="00860E03" w:rsidRDefault="00537F5C" w:rsidP="00537F5C">
            <w:pPr>
              <w:pStyle w:val="ARtablecolheadright"/>
            </w:pPr>
            <w:r w:rsidRPr="00860E03">
              <w:t>($M)</w:t>
            </w:r>
          </w:p>
        </w:tc>
      </w:tr>
      <w:tr w:rsidR="00537F5C" w:rsidRPr="00860E03" w14:paraId="36992672" w14:textId="77777777" w:rsidTr="00537F5C">
        <w:trPr>
          <w:cantSplit/>
          <w:trHeight w:val="294"/>
        </w:trPr>
        <w:tc>
          <w:tcPr>
            <w:tcW w:w="1181" w:type="pct"/>
          </w:tcPr>
          <w:p w14:paraId="7CB9552B" w14:textId="77777777" w:rsidR="00537F5C" w:rsidRPr="00860E03" w:rsidRDefault="00537F5C" w:rsidP="00537F5C">
            <w:pPr>
              <w:pStyle w:val="ARtabletext"/>
              <w:spacing w:before="70" w:after="50"/>
            </w:pPr>
            <w:r w:rsidRPr="00860E03">
              <w:t>High-rise public housing natural gas use</w:t>
            </w:r>
          </w:p>
        </w:tc>
        <w:tc>
          <w:tcPr>
            <w:tcW w:w="636" w:type="pct"/>
          </w:tcPr>
          <w:p w14:paraId="6D055B96" w14:textId="77777777" w:rsidR="00537F5C" w:rsidRPr="00860E03" w:rsidRDefault="00537F5C" w:rsidP="00537F5C">
            <w:pPr>
              <w:pStyle w:val="ARtabletextright"/>
              <w:spacing w:before="70" w:after="50"/>
            </w:pPr>
            <w:r w:rsidRPr="00860E03">
              <w:t>299,981,572</w:t>
            </w:r>
          </w:p>
        </w:tc>
        <w:tc>
          <w:tcPr>
            <w:tcW w:w="637" w:type="pct"/>
          </w:tcPr>
          <w:p w14:paraId="01978B32" w14:textId="77777777" w:rsidR="00537F5C" w:rsidRPr="00860E03" w:rsidRDefault="00537F5C" w:rsidP="00537F5C">
            <w:pPr>
              <w:pStyle w:val="ARtabletextright"/>
              <w:spacing w:before="70" w:after="50"/>
            </w:pPr>
            <w:r w:rsidRPr="00860E03">
              <w:t>$3.90</w:t>
            </w:r>
          </w:p>
        </w:tc>
        <w:tc>
          <w:tcPr>
            <w:tcW w:w="636" w:type="pct"/>
          </w:tcPr>
          <w:p w14:paraId="2DC3C0D3" w14:textId="77777777" w:rsidR="00537F5C" w:rsidRPr="00860E03" w:rsidRDefault="00537F5C" w:rsidP="00537F5C">
            <w:pPr>
              <w:pStyle w:val="ARtabletextright"/>
              <w:spacing w:before="70" w:after="50"/>
            </w:pPr>
            <w:r w:rsidRPr="00860E03">
              <w:t xml:space="preserve">292,638,657 </w:t>
            </w:r>
          </w:p>
        </w:tc>
        <w:tc>
          <w:tcPr>
            <w:tcW w:w="637" w:type="pct"/>
          </w:tcPr>
          <w:p w14:paraId="49C93951" w14:textId="77777777" w:rsidR="00537F5C" w:rsidRPr="00860E03" w:rsidRDefault="00537F5C" w:rsidP="00537F5C">
            <w:pPr>
              <w:pStyle w:val="ARtabletextright"/>
              <w:spacing w:before="70" w:after="50"/>
            </w:pPr>
            <w:r w:rsidRPr="00860E03">
              <w:t xml:space="preserve">$3.25 </w:t>
            </w:r>
          </w:p>
        </w:tc>
        <w:tc>
          <w:tcPr>
            <w:tcW w:w="636" w:type="pct"/>
          </w:tcPr>
          <w:p w14:paraId="47A8B586" w14:textId="77777777" w:rsidR="00537F5C" w:rsidRPr="00860E03" w:rsidRDefault="00537F5C" w:rsidP="00537F5C">
            <w:pPr>
              <w:pStyle w:val="ARtabletextright"/>
              <w:spacing w:before="70" w:after="50"/>
            </w:pPr>
            <w:r w:rsidRPr="00860E03">
              <w:t xml:space="preserve">317,873,735 </w:t>
            </w:r>
          </w:p>
        </w:tc>
        <w:tc>
          <w:tcPr>
            <w:tcW w:w="637" w:type="pct"/>
          </w:tcPr>
          <w:p w14:paraId="2E48B6CA" w14:textId="77777777" w:rsidR="00537F5C" w:rsidRPr="00860E03" w:rsidRDefault="00537F5C" w:rsidP="00537F5C">
            <w:pPr>
              <w:pStyle w:val="ARtabletextright"/>
              <w:spacing w:before="70" w:after="50"/>
            </w:pPr>
            <w:r w:rsidRPr="00860E03">
              <w:t xml:space="preserve">$2.57 </w:t>
            </w:r>
          </w:p>
        </w:tc>
      </w:tr>
      <w:tr w:rsidR="00537F5C" w:rsidRPr="00860E03" w14:paraId="51927ABB" w14:textId="77777777" w:rsidTr="00537F5C">
        <w:trPr>
          <w:cantSplit/>
          <w:trHeight w:val="294"/>
        </w:trPr>
        <w:tc>
          <w:tcPr>
            <w:tcW w:w="1181" w:type="pct"/>
          </w:tcPr>
          <w:p w14:paraId="2C64ACB2" w14:textId="77777777" w:rsidR="00537F5C" w:rsidRPr="00860E03" w:rsidRDefault="00537F5C" w:rsidP="00537F5C">
            <w:pPr>
              <w:pStyle w:val="ARtabletext"/>
              <w:spacing w:before="70" w:after="50"/>
            </w:pPr>
            <w:r w:rsidRPr="00860E03">
              <w:t>Other public housing natural gas use</w:t>
            </w:r>
          </w:p>
        </w:tc>
        <w:tc>
          <w:tcPr>
            <w:tcW w:w="636" w:type="pct"/>
          </w:tcPr>
          <w:p w14:paraId="2D41F4DE" w14:textId="77777777" w:rsidR="00537F5C" w:rsidRPr="00860E03" w:rsidRDefault="00537F5C" w:rsidP="00537F5C">
            <w:pPr>
              <w:pStyle w:val="ARtabletextright"/>
              <w:spacing w:before="70" w:after="50"/>
            </w:pPr>
            <w:r w:rsidRPr="00860E03">
              <w:t>94,130,381</w:t>
            </w:r>
          </w:p>
        </w:tc>
        <w:tc>
          <w:tcPr>
            <w:tcW w:w="637" w:type="pct"/>
          </w:tcPr>
          <w:p w14:paraId="565BB812" w14:textId="77777777" w:rsidR="00537F5C" w:rsidRPr="00860E03" w:rsidRDefault="00537F5C" w:rsidP="00537F5C">
            <w:pPr>
              <w:pStyle w:val="ARtabletextright"/>
              <w:spacing w:before="70" w:after="50"/>
            </w:pPr>
            <w:r w:rsidRPr="00860E03">
              <w:t>$1.37</w:t>
            </w:r>
          </w:p>
        </w:tc>
        <w:tc>
          <w:tcPr>
            <w:tcW w:w="636" w:type="pct"/>
          </w:tcPr>
          <w:p w14:paraId="17B17910" w14:textId="77777777" w:rsidR="00537F5C" w:rsidRPr="00860E03" w:rsidRDefault="00537F5C" w:rsidP="00537F5C">
            <w:pPr>
              <w:pStyle w:val="ARtabletextright"/>
              <w:spacing w:before="70" w:after="50"/>
            </w:pPr>
            <w:r w:rsidRPr="00860E03">
              <w:t xml:space="preserve">86,660,748 </w:t>
            </w:r>
          </w:p>
        </w:tc>
        <w:tc>
          <w:tcPr>
            <w:tcW w:w="637" w:type="pct"/>
          </w:tcPr>
          <w:p w14:paraId="0E7E0B38" w14:textId="77777777" w:rsidR="00537F5C" w:rsidRPr="00860E03" w:rsidRDefault="00537F5C" w:rsidP="00537F5C">
            <w:pPr>
              <w:pStyle w:val="ARtabletextright"/>
              <w:spacing w:before="70" w:after="50"/>
            </w:pPr>
            <w:r w:rsidRPr="00860E03">
              <w:t xml:space="preserve">$1.15 </w:t>
            </w:r>
          </w:p>
        </w:tc>
        <w:tc>
          <w:tcPr>
            <w:tcW w:w="636" w:type="pct"/>
          </w:tcPr>
          <w:p w14:paraId="148123DC" w14:textId="77777777" w:rsidR="00537F5C" w:rsidRPr="00860E03" w:rsidRDefault="00537F5C" w:rsidP="00537F5C">
            <w:pPr>
              <w:pStyle w:val="ARtabletextright"/>
              <w:spacing w:before="70" w:after="50"/>
            </w:pPr>
            <w:r w:rsidRPr="00860E03">
              <w:t xml:space="preserve">84,427,531 </w:t>
            </w:r>
          </w:p>
        </w:tc>
        <w:tc>
          <w:tcPr>
            <w:tcW w:w="637" w:type="pct"/>
          </w:tcPr>
          <w:p w14:paraId="39497175" w14:textId="77777777" w:rsidR="00537F5C" w:rsidRPr="00860E03" w:rsidRDefault="00537F5C" w:rsidP="00537F5C">
            <w:pPr>
              <w:pStyle w:val="ARtabletextright"/>
              <w:spacing w:before="70" w:after="50"/>
            </w:pPr>
            <w:r w:rsidRPr="00860E03">
              <w:t xml:space="preserve">$1.00 </w:t>
            </w:r>
          </w:p>
        </w:tc>
      </w:tr>
      <w:tr w:rsidR="00537F5C" w:rsidRPr="00860E03" w14:paraId="663BBEF1" w14:textId="77777777" w:rsidTr="00537F5C">
        <w:trPr>
          <w:cantSplit/>
          <w:trHeight w:val="372"/>
        </w:trPr>
        <w:tc>
          <w:tcPr>
            <w:tcW w:w="1181" w:type="pct"/>
          </w:tcPr>
          <w:p w14:paraId="7B7B40FB" w14:textId="77777777" w:rsidR="00537F5C" w:rsidRPr="00860E03" w:rsidRDefault="00537F5C" w:rsidP="00537F5C">
            <w:pPr>
              <w:pStyle w:val="ARtabletext"/>
              <w:spacing w:before="70" w:after="50"/>
            </w:pPr>
            <w:r w:rsidRPr="00860E03">
              <w:t>Disability housing natural gas use</w:t>
            </w:r>
          </w:p>
        </w:tc>
        <w:tc>
          <w:tcPr>
            <w:tcW w:w="636" w:type="pct"/>
          </w:tcPr>
          <w:p w14:paraId="4278D059" w14:textId="77777777" w:rsidR="00537F5C" w:rsidRPr="00860E03" w:rsidRDefault="00537F5C" w:rsidP="00537F5C">
            <w:pPr>
              <w:pStyle w:val="ARtabletextright"/>
              <w:spacing w:before="70" w:after="50"/>
            </w:pPr>
            <w:r w:rsidRPr="00860E03">
              <w:t>94,056,482</w:t>
            </w:r>
          </w:p>
        </w:tc>
        <w:tc>
          <w:tcPr>
            <w:tcW w:w="637" w:type="pct"/>
          </w:tcPr>
          <w:p w14:paraId="2FDDC737" w14:textId="77777777" w:rsidR="00537F5C" w:rsidRPr="00860E03" w:rsidRDefault="00537F5C" w:rsidP="00537F5C">
            <w:pPr>
              <w:pStyle w:val="ARtabletextright"/>
              <w:spacing w:before="70" w:after="50"/>
            </w:pPr>
            <w:r w:rsidRPr="00860E03">
              <w:t>$1.44</w:t>
            </w:r>
          </w:p>
        </w:tc>
        <w:tc>
          <w:tcPr>
            <w:tcW w:w="636" w:type="pct"/>
          </w:tcPr>
          <w:p w14:paraId="6A305D7F" w14:textId="77777777" w:rsidR="00537F5C" w:rsidRPr="00860E03" w:rsidRDefault="00537F5C" w:rsidP="00537F5C">
            <w:pPr>
              <w:pStyle w:val="ARtabletextright"/>
              <w:spacing w:before="70" w:after="50"/>
            </w:pPr>
            <w:r w:rsidRPr="00860E03">
              <w:t xml:space="preserve">85,694,399 </w:t>
            </w:r>
          </w:p>
        </w:tc>
        <w:tc>
          <w:tcPr>
            <w:tcW w:w="637" w:type="pct"/>
          </w:tcPr>
          <w:p w14:paraId="5C7FCD24" w14:textId="77777777" w:rsidR="00537F5C" w:rsidRPr="00860E03" w:rsidRDefault="00537F5C" w:rsidP="00537F5C">
            <w:pPr>
              <w:pStyle w:val="ARtabletextright"/>
              <w:spacing w:before="70" w:after="50"/>
            </w:pPr>
            <w:r w:rsidRPr="00860E03">
              <w:t xml:space="preserve">$1.23 </w:t>
            </w:r>
          </w:p>
        </w:tc>
        <w:tc>
          <w:tcPr>
            <w:tcW w:w="636" w:type="pct"/>
          </w:tcPr>
          <w:p w14:paraId="2DEDCF85" w14:textId="77777777" w:rsidR="00537F5C" w:rsidRPr="00860E03" w:rsidRDefault="00537F5C" w:rsidP="00537F5C">
            <w:pPr>
              <w:pStyle w:val="ARtabletextright"/>
              <w:spacing w:before="70" w:after="50"/>
            </w:pPr>
            <w:r w:rsidRPr="00860E03">
              <w:t xml:space="preserve">82,789,112 </w:t>
            </w:r>
          </w:p>
        </w:tc>
        <w:tc>
          <w:tcPr>
            <w:tcW w:w="637" w:type="pct"/>
          </w:tcPr>
          <w:p w14:paraId="173EFB4F" w14:textId="77777777" w:rsidR="00537F5C" w:rsidRPr="00860E03" w:rsidRDefault="00537F5C" w:rsidP="00537F5C">
            <w:pPr>
              <w:pStyle w:val="ARtabletextright"/>
              <w:spacing w:before="70" w:after="50"/>
            </w:pPr>
            <w:r w:rsidRPr="00860E03">
              <w:t xml:space="preserve">$1.04 </w:t>
            </w:r>
          </w:p>
        </w:tc>
      </w:tr>
      <w:tr w:rsidR="00537F5C" w:rsidRPr="00860E03" w14:paraId="45740FE6" w14:textId="77777777" w:rsidTr="00537F5C">
        <w:trPr>
          <w:cantSplit/>
          <w:trHeight w:val="372"/>
        </w:trPr>
        <w:tc>
          <w:tcPr>
            <w:tcW w:w="1181" w:type="pct"/>
          </w:tcPr>
          <w:p w14:paraId="1D191B10" w14:textId="77777777" w:rsidR="00537F5C" w:rsidRPr="00860E03" w:rsidRDefault="00537F5C" w:rsidP="00537F5C">
            <w:pPr>
              <w:pStyle w:val="ARtabletext"/>
              <w:spacing w:before="70" w:after="50"/>
            </w:pPr>
            <w:r w:rsidRPr="00860E03">
              <w:t>Youth and family welfare natural gas use</w:t>
            </w:r>
          </w:p>
        </w:tc>
        <w:tc>
          <w:tcPr>
            <w:tcW w:w="636" w:type="pct"/>
          </w:tcPr>
          <w:p w14:paraId="673003C9" w14:textId="77777777" w:rsidR="00537F5C" w:rsidRPr="00860E03" w:rsidRDefault="00537F5C" w:rsidP="00537F5C">
            <w:pPr>
              <w:pStyle w:val="ARtabletextright"/>
              <w:spacing w:before="70" w:after="50"/>
            </w:pPr>
            <w:r w:rsidRPr="00860E03">
              <w:t>2,502,382</w:t>
            </w:r>
          </w:p>
        </w:tc>
        <w:tc>
          <w:tcPr>
            <w:tcW w:w="637" w:type="pct"/>
          </w:tcPr>
          <w:p w14:paraId="380E2118" w14:textId="77777777" w:rsidR="00537F5C" w:rsidRPr="00860E03" w:rsidRDefault="00537F5C" w:rsidP="00537F5C">
            <w:pPr>
              <w:pStyle w:val="ARtabletextright"/>
              <w:spacing w:before="70" w:after="50"/>
            </w:pPr>
            <w:r w:rsidRPr="00860E03">
              <w:t>$0.05</w:t>
            </w:r>
          </w:p>
        </w:tc>
        <w:tc>
          <w:tcPr>
            <w:tcW w:w="636" w:type="pct"/>
          </w:tcPr>
          <w:p w14:paraId="11185EDA" w14:textId="77777777" w:rsidR="00537F5C" w:rsidRPr="00860E03" w:rsidRDefault="00537F5C" w:rsidP="00537F5C">
            <w:pPr>
              <w:pStyle w:val="ARtabletextright"/>
              <w:spacing w:before="70" w:after="50"/>
            </w:pPr>
            <w:r w:rsidRPr="00860E03">
              <w:t xml:space="preserve">2,168,503 </w:t>
            </w:r>
          </w:p>
        </w:tc>
        <w:tc>
          <w:tcPr>
            <w:tcW w:w="637" w:type="pct"/>
          </w:tcPr>
          <w:p w14:paraId="6EFB8F75" w14:textId="77777777" w:rsidR="00537F5C" w:rsidRPr="00860E03" w:rsidRDefault="00537F5C" w:rsidP="00537F5C">
            <w:pPr>
              <w:pStyle w:val="ARtabletextright"/>
              <w:spacing w:before="70" w:after="50"/>
            </w:pPr>
            <w:r w:rsidRPr="00860E03">
              <w:t xml:space="preserve">$0.04 </w:t>
            </w:r>
          </w:p>
        </w:tc>
        <w:tc>
          <w:tcPr>
            <w:tcW w:w="636" w:type="pct"/>
          </w:tcPr>
          <w:p w14:paraId="43BB7989" w14:textId="77777777" w:rsidR="00537F5C" w:rsidRPr="00860E03" w:rsidRDefault="00537F5C" w:rsidP="00537F5C">
            <w:pPr>
              <w:pStyle w:val="ARtabletextright"/>
              <w:spacing w:before="70" w:after="50"/>
            </w:pPr>
            <w:r w:rsidRPr="00860E03">
              <w:t xml:space="preserve">2,011,012 </w:t>
            </w:r>
          </w:p>
        </w:tc>
        <w:tc>
          <w:tcPr>
            <w:tcW w:w="637" w:type="pct"/>
          </w:tcPr>
          <w:p w14:paraId="0A324454" w14:textId="77777777" w:rsidR="00537F5C" w:rsidRPr="00860E03" w:rsidRDefault="00537F5C" w:rsidP="00537F5C">
            <w:pPr>
              <w:pStyle w:val="ARtabletextright"/>
              <w:spacing w:before="70" w:after="50"/>
            </w:pPr>
            <w:r w:rsidRPr="00860E03">
              <w:t xml:space="preserve">$0.03 </w:t>
            </w:r>
          </w:p>
        </w:tc>
      </w:tr>
      <w:tr w:rsidR="00537F5C" w:rsidRPr="00860E03" w14:paraId="48545AEC" w14:textId="77777777" w:rsidTr="00537F5C">
        <w:trPr>
          <w:cantSplit/>
          <w:trHeight w:val="372"/>
        </w:trPr>
        <w:tc>
          <w:tcPr>
            <w:tcW w:w="1181" w:type="pct"/>
          </w:tcPr>
          <w:p w14:paraId="1092CC0A" w14:textId="77777777" w:rsidR="00537F5C" w:rsidRPr="00860E03" w:rsidRDefault="00537F5C" w:rsidP="00537F5C">
            <w:pPr>
              <w:pStyle w:val="ARtabletext"/>
              <w:spacing w:before="70" w:after="50"/>
            </w:pPr>
            <w:r w:rsidRPr="00860E03">
              <w:t>Youth justice natural gas use*</w:t>
            </w:r>
          </w:p>
        </w:tc>
        <w:tc>
          <w:tcPr>
            <w:tcW w:w="636" w:type="pct"/>
          </w:tcPr>
          <w:p w14:paraId="6AAA5B2B" w14:textId="77777777" w:rsidR="00537F5C" w:rsidRPr="00860E03" w:rsidRDefault="00537F5C" w:rsidP="00537F5C">
            <w:pPr>
              <w:pStyle w:val="ARtabletextright"/>
              <w:spacing w:before="70" w:after="50"/>
            </w:pPr>
            <w:r w:rsidRPr="00860E03">
              <w:t>N/A</w:t>
            </w:r>
          </w:p>
        </w:tc>
        <w:tc>
          <w:tcPr>
            <w:tcW w:w="637" w:type="pct"/>
          </w:tcPr>
          <w:p w14:paraId="24788206" w14:textId="77777777" w:rsidR="00537F5C" w:rsidRPr="00860E03" w:rsidRDefault="00537F5C" w:rsidP="00537F5C">
            <w:pPr>
              <w:pStyle w:val="ARtabletextright"/>
              <w:spacing w:before="70" w:after="50"/>
            </w:pPr>
            <w:r w:rsidRPr="00860E03">
              <w:t>N/A</w:t>
            </w:r>
          </w:p>
        </w:tc>
        <w:tc>
          <w:tcPr>
            <w:tcW w:w="636" w:type="pct"/>
          </w:tcPr>
          <w:p w14:paraId="3E20EE41" w14:textId="77777777" w:rsidR="00537F5C" w:rsidRPr="00860E03" w:rsidRDefault="00537F5C" w:rsidP="00537F5C">
            <w:pPr>
              <w:pStyle w:val="ARtabletextright"/>
              <w:spacing w:before="70" w:after="50"/>
            </w:pPr>
            <w:r w:rsidRPr="00860E03">
              <w:t>N/A</w:t>
            </w:r>
          </w:p>
        </w:tc>
        <w:tc>
          <w:tcPr>
            <w:tcW w:w="637" w:type="pct"/>
          </w:tcPr>
          <w:p w14:paraId="106117CC" w14:textId="77777777" w:rsidR="00537F5C" w:rsidRPr="00860E03" w:rsidRDefault="00537F5C" w:rsidP="00537F5C">
            <w:pPr>
              <w:pStyle w:val="ARtabletextright"/>
              <w:spacing w:before="70" w:after="50"/>
            </w:pPr>
            <w:r w:rsidRPr="00860E03">
              <w:t>N/A</w:t>
            </w:r>
          </w:p>
        </w:tc>
        <w:tc>
          <w:tcPr>
            <w:tcW w:w="636" w:type="pct"/>
          </w:tcPr>
          <w:p w14:paraId="77DA9AF6" w14:textId="77777777" w:rsidR="00537F5C" w:rsidRPr="00860E03" w:rsidRDefault="00537F5C" w:rsidP="00537F5C">
            <w:pPr>
              <w:pStyle w:val="ARtabletextright"/>
              <w:spacing w:before="70" w:after="50"/>
            </w:pPr>
            <w:r w:rsidRPr="00860E03">
              <w:t xml:space="preserve">4,673,204 </w:t>
            </w:r>
          </w:p>
        </w:tc>
        <w:tc>
          <w:tcPr>
            <w:tcW w:w="637" w:type="pct"/>
          </w:tcPr>
          <w:p w14:paraId="1877D5DE" w14:textId="77777777" w:rsidR="00537F5C" w:rsidRPr="00860E03" w:rsidRDefault="00537F5C" w:rsidP="00537F5C">
            <w:pPr>
              <w:pStyle w:val="ARtabletextright"/>
              <w:spacing w:before="70" w:after="50"/>
            </w:pPr>
            <w:r w:rsidRPr="00860E03">
              <w:t>$0.04</w:t>
            </w:r>
          </w:p>
        </w:tc>
      </w:tr>
      <w:tr w:rsidR="00537F5C" w:rsidRPr="00860E03" w14:paraId="17AC307B" w14:textId="77777777" w:rsidTr="00537F5C">
        <w:trPr>
          <w:cantSplit/>
          <w:trHeight w:val="194"/>
        </w:trPr>
        <w:tc>
          <w:tcPr>
            <w:tcW w:w="1181" w:type="pct"/>
          </w:tcPr>
          <w:p w14:paraId="6730EF31" w14:textId="77777777" w:rsidR="00537F5C" w:rsidRPr="00860E03" w:rsidRDefault="00537F5C" w:rsidP="00537F5C">
            <w:pPr>
              <w:pStyle w:val="ARtabletext"/>
              <w:spacing w:before="70" w:after="50"/>
            </w:pPr>
            <w:r w:rsidRPr="00860E03">
              <w:t>Youth justice liquefied petroleum gas use*</w:t>
            </w:r>
          </w:p>
        </w:tc>
        <w:tc>
          <w:tcPr>
            <w:tcW w:w="636" w:type="pct"/>
          </w:tcPr>
          <w:p w14:paraId="5B551460" w14:textId="77777777" w:rsidR="00537F5C" w:rsidRPr="00860E03" w:rsidRDefault="00537F5C" w:rsidP="00537F5C">
            <w:pPr>
              <w:pStyle w:val="ARtabletextright"/>
              <w:spacing w:before="70" w:after="50"/>
            </w:pPr>
            <w:r w:rsidRPr="00860E03">
              <w:t>N/A</w:t>
            </w:r>
          </w:p>
        </w:tc>
        <w:tc>
          <w:tcPr>
            <w:tcW w:w="637" w:type="pct"/>
          </w:tcPr>
          <w:p w14:paraId="69FB7E17" w14:textId="77777777" w:rsidR="00537F5C" w:rsidRPr="00860E03" w:rsidRDefault="00537F5C" w:rsidP="00537F5C">
            <w:pPr>
              <w:pStyle w:val="ARtabletextright"/>
              <w:spacing w:before="70" w:after="50"/>
            </w:pPr>
            <w:r w:rsidRPr="00860E03">
              <w:t>N/A</w:t>
            </w:r>
          </w:p>
        </w:tc>
        <w:tc>
          <w:tcPr>
            <w:tcW w:w="636" w:type="pct"/>
          </w:tcPr>
          <w:p w14:paraId="702122AD" w14:textId="77777777" w:rsidR="00537F5C" w:rsidRPr="00860E03" w:rsidRDefault="00537F5C" w:rsidP="00537F5C">
            <w:pPr>
              <w:pStyle w:val="ARtabletextright"/>
              <w:spacing w:before="70" w:after="50"/>
            </w:pPr>
            <w:r w:rsidRPr="00860E03">
              <w:t>N/A</w:t>
            </w:r>
          </w:p>
        </w:tc>
        <w:tc>
          <w:tcPr>
            <w:tcW w:w="637" w:type="pct"/>
          </w:tcPr>
          <w:p w14:paraId="423C3D62" w14:textId="77777777" w:rsidR="00537F5C" w:rsidRPr="00860E03" w:rsidRDefault="00537F5C" w:rsidP="00537F5C">
            <w:pPr>
              <w:pStyle w:val="ARtabletextright"/>
              <w:spacing w:before="70" w:after="50"/>
            </w:pPr>
            <w:r w:rsidRPr="00860E03">
              <w:t>N/A</w:t>
            </w:r>
          </w:p>
        </w:tc>
        <w:tc>
          <w:tcPr>
            <w:tcW w:w="636" w:type="pct"/>
          </w:tcPr>
          <w:p w14:paraId="1C0BC03B" w14:textId="77777777" w:rsidR="00537F5C" w:rsidRPr="00860E03" w:rsidRDefault="00537F5C" w:rsidP="00537F5C">
            <w:pPr>
              <w:pStyle w:val="ARtabletextright"/>
              <w:spacing w:before="70" w:after="50"/>
            </w:pPr>
            <w:r w:rsidRPr="00860E03">
              <w:t xml:space="preserve">1,860,742 </w:t>
            </w:r>
          </w:p>
        </w:tc>
        <w:tc>
          <w:tcPr>
            <w:tcW w:w="637" w:type="pct"/>
          </w:tcPr>
          <w:p w14:paraId="09DA52EE" w14:textId="77777777" w:rsidR="00537F5C" w:rsidRPr="00860E03" w:rsidRDefault="00537F5C" w:rsidP="00537F5C">
            <w:pPr>
              <w:pStyle w:val="ARtabletextright"/>
              <w:spacing w:before="70" w:after="50"/>
            </w:pPr>
            <w:r w:rsidRPr="00860E03">
              <w:t>$0.02</w:t>
            </w:r>
          </w:p>
        </w:tc>
      </w:tr>
      <w:tr w:rsidR="00537F5C" w:rsidRPr="00860E03" w14:paraId="621D0784" w14:textId="77777777" w:rsidTr="00537F5C">
        <w:trPr>
          <w:cantSplit/>
          <w:trHeight w:val="194"/>
        </w:trPr>
        <w:tc>
          <w:tcPr>
            <w:tcW w:w="1181" w:type="pct"/>
          </w:tcPr>
          <w:p w14:paraId="43CCA51E" w14:textId="77777777" w:rsidR="00537F5C" w:rsidRPr="00860E03" w:rsidRDefault="00537F5C" w:rsidP="00537F5C">
            <w:pPr>
              <w:pStyle w:val="ARtabletext"/>
              <w:spacing w:before="70" w:after="50"/>
              <w:rPr>
                <w:b/>
              </w:rPr>
            </w:pPr>
            <w:r w:rsidRPr="00860E03">
              <w:rPr>
                <w:b/>
              </w:rPr>
              <w:t>Total gas</w:t>
            </w:r>
          </w:p>
        </w:tc>
        <w:tc>
          <w:tcPr>
            <w:tcW w:w="636" w:type="pct"/>
          </w:tcPr>
          <w:p w14:paraId="1CE73FD9" w14:textId="77777777" w:rsidR="00537F5C" w:rsidRPr="00860E03" w:rsidRDefault="00537F5C" w:rsidP="00537F5C">
            <w:pPr>
              <w:pStyle w:val="ARtabletextrightbold"/>
              <w:spacing w:before="70" w:after="50"/>
            </w:pPr>
            <w:r w:rsidRPr="00860E03">
              <w:t>490,670,816</w:t>
            </w:r>
          </w:p>
        </w:tc>
        <w:tc>
          <w:tcPr>
            <w:tcW w:w="637" w:type="pct"/>
          </w:tcPr>
          <w:p w14:paraId="6E893A67" w14:textId="77777777" w:rsidR="00537F5C" w:rsidRPr="00860E03" w:rsidRDefault="00537F5C" w:rsidP="00537F5C">
            <w:pPr>
              <w:pStyle w:val="ARtabletextrightbold"/>
              <w:spacing w:before="70" w:after="50"/>
            </w:pPr>
            <w:r w:rsidRPr="00860E03">
              <w:t>$6.75</w:t>
            </w:r>
          </w:p>
        </w:tc>
        <w:tc>
          <w:tcPr>
            <w:tcW w:w="636" w:type="pct"/>
          </w:tcPr>
          <w:p w14:paraId="219261B4" w14:textId="77777777" w:rsidR="00537F5C" w:rsidRPr="00860E03" w:rsidRDefault="00537F5C" w:rsidP="00537F5C">
            <w:pPr>
              <w:pStyle w:val="ARtabletextrightbold"/>
              <w:spacing w:before="70" w:after="50"/>
            </w:pPr>
            <w:r w:rsidRPr="00860E03">
              <w:t xml:space="preserve"> 467,162,307 </w:t>
            </w:r>
          </w:p>
        </w:tc>
        <w:tc>
          <w:tcPr>
            <w:tcW w:w="637" w:type="pct"/>
          </w:tcPr>
          <w:p w14:paraId="07BAF99B" w14:textId="77777777" w:rsidR="00537F5C" w:rsidRPr="00860E03" w:rsidRDefault="00537F5C" w:rsidP="00537F5C">
            <w:pPr>
              <w:pStyle w:val="ARtabletextrightbold"/>
              <w:spacing w:before="70" w:after="50"/>
            </w:pPr>
            <w:r w:rsidRPr="00860E03">
              <w:t xml:space="preserve"> $5.67 </w:t>
            </w:r>
          </w:p>
        </w:tc>
        <w:tc>
          <w:tcPr>
            <w:tcW w:w="636" w:type="pct"/>
          </w:tcPr>
          <w:p w14:paraId="2B06602A" w14:textId="77777777" w:rsidR="00537F5C" w:rsidRPr="00860E03" w:rsidRDefault="00537F5C" w:rsidP="00537F5C">
            <w:pPr>
              <w:pStyle w:val="ARtabletextrightbold"/>
              <w:spacing w:before="70" w:after="50"/>
            </w:pPr>
            <w:r w:rsidRPr="00860E03">
              <w:t xml:space="preserve">493,635,337 </w:t>
            </w:r>
          </w:p>
        </w:tc>
        <w:tc>
          <w:tcPr>
            <w:tcW w:w="637" w:type="pct"/>
          </w:tcPr>
          <w:p w14:paraId="2EA3EF38" w14:textId="77777777" w:rsidR="00537F5C" w:rsidRPr="00860E03" w:rsidRDefault="00537F5C" w:rsidP="00537F5C">
            <w:pPr>
              <w:pStyle w:val="ARtabletextrightbold"/>
              <w:spacing w:before="70" w:after="50"/>
            </w:pPr>
            <w:r w:rsidRPr="00860E03">
              <w:t xml:space="preserve"> $4.71 </w:t>
            </w:r>
          </w:p>
        </w:tc>
      </w:tr>
    </w:tbl>
    <w:p w14:paraId="0EB63A6F" w14:textId="77777777" w:rsidR="00537F5C" w:rsidRPr="00860E03" w:rsidRDefault="00537F5C" w:rsidP="00537F5C">
      <w:pPr>
        <w:pStyle w:val="ARtablefootnote"/>
      </w:pPr>
      <w:r w:rsidRPr="00860E03">
        <w:t xml:space="preserve">* Youth justice facilities have been transferred to another government department. 2016–17 </w:t>
      </w:r>
      <w:r>
        <w:t>c</w:t>
      </w:r>
      <w:r w:rsidRPr="00860E03">
        <w:t>onsumption figures have been reported to 31 March 2017.</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537F5C" w:rsidRPr="00860E03" w14:paraId="28DC7BCE" w14:textId="77777777" w:rsidTr="00537F5C">
        <w:trPr>
          <w:cantSplit/>
          <w:tblHeader/>
        </w:trPr>
        <w:tc>
          <w:tcPr>
            <w:tcW w:w="4536" w:type="dxa"/>
            <w:vAlign w:val="bottom"/>
          </w:tcPr>
          <w:p w14:paraId="7FEC61E1" w14:textId="77777777" w:rsidR="00537F5C" w:rsidRPr="00860E03" w:rsidRDefault="00537F5C" w:rsidP="00537F5C">
            <w:pPr>
              <w:pStyle w:val="ARtablecolhead"/>
            </w:pPr>
            <w:r w:rsidRPr="00860E03">
              <w:t>Description</w:t>
            </w:r>
          </w:p>
        </w:tc>
        <w:tc>
          <w:tcPr>
            <w:tcW w:w="1701" w:type="dxa"/>
            <w:vAlign w:val="bottom"/>
          </w:tcPr>
          <w:p w14:paraId="2A73DF5D" w14:textId="77777777" w:rsidR="00537F5C" w:rsidRPr="00860E03" w:rsidRDefault="00537F5C" w:rsidP="00537F5C">
            <w:pPr>
              <w:pStyle w:val="ARtabletextrightbold"/>
            </w:pPr>
            <w:r w:rsidRPr="00860E03">
              <w:t>2018–19</w:t>
            </w:r>
            <w:r w:rsidRPr="00860E03">
              <w:br/>
              <w:t>estimate</w:t>
            </w:r>
          </w:p>
        </w:tc>
        <w:tc>
          <w:tcPr>
            <w:tcW w:w="1701" w:type="dxa"/>
            <w:vAlign w:val="bottom"/>
          </w:tcPr>
          <w:p w14:paraId="3A4CB88B" w14:textId="77777777" w:rsidR="00537F5C" w:rsidRPr="00860E03" w:rsidRDefault="00537F5C" w:rsidP="00537F5C">
            <w:pPr>
              <w:pStyle w:val="ARtabletextrightbold"/>
            </w:pPr>
            <w:r w:rsidRPr="00860E03">
              <w:t>2017–18</w:t>
            </w:r>
            <w:r w:rsidRPr="00860E03">
              <w:br/>
              <w:t>estimate</w:t>
            </w:r>
          </w:p>
        </w:tc>
        <w:tc>
          <w:tcPr>
            <w:tcW w:w="1701" w:type="dxa"/>
            <w:vAlign w:val="bottom"/>
          </w:tcPr>
          <w:p w14:paraId="2C508A75" w14:textId="77777777" w:rsidR="00537F5C" w:rsidRPr="00860E03" w:rsidRDefault="00537F5C" w:rsidP="00537F5C">
            <w:pPr>
              <w:pStyle w:val="ARtabletextrightbold"/>
            </w:pPr>
            <w:r w:rsidRPr="00860E03">
              <w:t>2016–17</w:t>
            </w:r>
            <w:r w:rsidRPr="00860E03">
              <w:br/>
              <w:t>estimate</w:t>
            </w:r>
          </w:p>
        </w:tc>
      </w:tr>
      <w:tr w:rsidR="00537F5C" w:rsidRPr="00860E03" w14:paraId="30F94F24" w14:textId="77777777" w:rsidTr="00537F5C">
        <w:trPr>
          <w:cantSplit/>
          <w:tblHeader/>
        </w:trPr>
        <w:tc>
          <w:tcPr>
            <w:tcW w:w="4536" w:type="dxa"/>
            <w:vAlign w:val="bottom"/>
          </w:tcPr>
          <w:p w14:paraId="2D864463" w14:textId="77777777" w:rsidR="00537F5C" w:rsidRPr="00860E03" w:rsidRDefault="00537F5C" w:rsidP="00537F5C">
            <w:pPr>
              <w:pStyle w:val="ARtablecolhead"/>
            </w:pPr>
            <w:r w:rsidRPr="00860E03">
              <w:t>Total greenhouse gas emissions</w:t>
            </w:r>
          </w:p>
        </w:tc>
        <w:tc>
          <w:tcPr>
            <w:tcW w:w="1701" w:type="dxa"/>
            <w:vAlign w:val="bottom"/>
          </w:tcPr>
          <w:p w14:paraId="12FA466F" w14:textId="77777777" w:rsidR="00537F5C" w:rsidRPr="00860E03" w:rsidRDefault="00537F5C" w:rsidP="00537F5C">
            <w:pPr>
              <w:pStyle w:val="ARtablecolheadright"/>
            </w:pPr>
            <w:r w:rsidRPr="00860E03">
              <w:t>Tonnes CO</w:t>
            </w:r>
            <w:r w:rsidRPr="00860E03">
              <w:rPr>
                <w:vertAlign w:val="subscript"/>
              </w:rPr>
              <w:t>2</w:t>
            </w:r>
            <w:r w:rsidRPr="00860E03">
              <w:t>-e</w:t>
            </w:r>
          </w:p>
        </w:tc>
        <w:tc>
          <w:tcPr>
            <w:tcW w:w="1701" w:type="dxa"/>
            <w:vAlign w:val="bottom"/>
          </w:tcPr>
          <w:p w14:paraId="266CDA35" w14:textId="77777777" w:rsidR="00537F5C" w:rsidRPr="00860E03" w:rsidRDefault="00537F5C" w:rsidP="00537F5C">
            <w:pPr>
              <w:pStyle w:val="ARtablecolheadright"/>
            </w:pPr>
            <w:r w:rsidRPr="00860E03">
              <w:t>Tonnes CO</w:t>
            </w:r>
            <w:r w:rsidRPr="00860E03">
              <w:rPr>
                <w:vertAlign w:val="subscript"/>
              </w:rPr>
              <w:t>2</w:t>
            </w:r>
            <w:r w:rsidRPr="00860E03">
              <w:t>-e</w:t>
            </w:r>
          </w:p>
        </w:tc>
        <w:tc>
          <w:tcPr>
            <w:tcW w:w="1701" w:type="dxa"/>
            <w:vAlign w:val="bottom"/>
          </w:tcPr>
          <w:p w14:paraId="38FBDA7A" w14:textId="77777777" w:rsidR="00537F5C" w:rsidRPr="00860E03" w:rsidRDefault="00537F5C" w:rsidP="00537F5C">
            <w:pPr>
              <w:pStyle w:val="ARtablecolheadright"/>
            </w:pPr>
            <w:r w:rsidRPr="00860E03">
              <w:t>Tonnes CO</w:t>
            </w:r>
            <w:r w:rsidRPr="00860E03">
              <w:rPr>
                <w:vertAlign w:val="subscript"/>
              </w:rPr>
              <w:t>2</w:t>
            </w:r>
            <w:r w:rsidRPr="00860E03">
              <w:t>-e</w:t>
            </w:r>
          </w:p>
        </w:tc>
      </w:tr>
      <w:tr w:rsidR="00537F5C" w:rsidRPr="00860E03" w14:paraId="7817783A" w14:textId="77777777" w:rsidTr="00537F5C">
        <w:trPr>
          <w:cantSplit/>
        </w:trPr>
        <w:tc>
          <w:tcPr>
            <w:tcW w:w="4536" w:type="dxa"/>
          </w:tcPr>
          <w:p w14:paraId="675DE33B" w14:textId="77777777" w:rsidR="00537F5C" w:rsidRPr="00860E03" w:rsidRDefault="00537F5C" w:rsidP="00537F5C">
            <w:pPr>
              <w:pStyle w:val="ARtabletext"/>
              <w:spacing w:before="70" w:after="50"/>
            </w:pPr>
            <w:r w:rsidRPr="00860E03">
              <w:t>Electricity</w:t>
            </w:r>
          </w:p>
        </w:tc>
        <w:tc>
          <w:tcPr>
            <w:tcW w:w="1701" w:type="dxa"/>
          </w:tcPr>
          <w:p w14:paraId="17E32F65" w14:textId="77777777" w:rsidR="00537F5C" w:rsidRPr="00860E03" w:rsidRDefault="00537F5C" w:rsidP="00537F5C">
            <w:pPr>
              <w:pStyle w:val="ARtabletextright"/>
              <w:spacing w:before="70" w:after="50"/>
            </w:pPr>
            <w:r w:rsidRPr="00860E03">
              <w:t>37,849</w:t>
            </w:r>
          </w:p>
        </w:tc>
        <w:tc>
          <w:tcPr>
            <w:tcW w:w="1701" w:type="dxa"/>
          </w:tcPr>
          <w:p w14:paraId="019DEAD2" w14:textId="77777777" w:rsidR="00537F5C" w:rsidRPr="00860E03" w:rsidRDefault="00537F5C" w:rsidP="00537F5C">
            <w:pPr>
              <w:pStyle w:val="ARtabletextright"/>
              <w:spacing w:before="70" w:after="50"/>
            </w:pPr>
            <w:r w:rsidRPr="00860E03">
              <w:t xml:space="preserve">39,251 </w:t>
            </w:r>
          </w:p>
        </w:tc>
        <w:tc>
          <w:tcPr>
            <w:tcW w:w="1701" w:type="dxa"/>
          </w:tcPr>
          <w:p w14:paraId="22462573" w14:textId="77777777" w:rsidR="00537F5C" w:rsidRPr="00860E03" w:rsidRDefault="00537F5C" w:rsidP="00537F5C">
            <w:pPr>
              <w:pStyle w:val="ARtabletextright"/>
              <w:spacing w:before="70" w:after="50"/>
            </w:pPr>
            <w:r w:rsidRPr="00860E03">
              <w:t xml:space="preserve">42,895 </w:t>
            </w:r>
          </w:p>
        </w:tc>
      </w:tr>
      <w:tr w:rsidR="00537F5C" w:rsidRPr="00860E03" w14:paraId="5DC8BA7B" w14:textId="77777777" w:rsidTr="00537F5C">
        <w:trPr>
          <w:cantSplit/>
        </w:trPr>
        <w:tc>
          <w:tcPr>
            <w:tcW w:w="4536" w:type="dxa"/>
          </w:tcPr>
          <w:p w14:paraId="376C5167" w14:textId="77777777" w:rsidR="00537F5C" w:rsidRPr="00860E03" w:rsidRDefault="00537F5C" w:rsidP="00537F5C">
            <w:pPr>
              <w:pStyle w:val="ARtabletext"/>
              <w:spacing w:before="70" w:after="50"/>
            </w:pPr>
            <w:r w:rsidRPr="00860E03">
              <w:t>Natural gas</w:t>
            </w:r>
          </w:p>
        </w:tc>
        <w:tc>
          <w:tcPr>
            <w:tcW w:w="1701" w:type="dxa"/>
          </w:tcPr>
          <w:p w14:paraId="517BB61B" w14:textId="77777777" w:rsidR="00537F5C" w:rsidRPr="00860E03" w:rsidRDefault="00537F5C" w:rsidP="00537F5C">
            <w:pPr>
              <w:pStyle w:val="ARtabletextright"/>
              <w:spacing w:before="70" w:after="50"/>
            </w:pPr>
            <w:r w:rsidRPr="00860E03">
              <w:t>25,284</w:t>
            </w:r>
          </w:p>
        </w:tc>
        <w:tc>
          <w:tcPr>
            <w:tcW w:w="1701" w:type="dxa"/>
          </w:tcPr>
          <w:p w14:paraId="120613E9" w14:textId="77777777" w:rsidR="00537F5C" w:rsidRPr="00860E03" w:rsidRDefault="00537F5C" w:rsidP="00537F5C">
            <w:pPr>
              <w:pStyle w:val="ARtabletextright"/>
              <w:spacing w:before="70" w:after="50"/>
            </w:pPr>
            <w:r w:rsidRPr="00860E03">
              <w:t xml:space="preserve">24,073 </w:t>
            </w:r>
          </w:p>
        </w:tc>
        <w:tc>
          <w:tcPr>
            <w:tcW w:w="1701" w:type="dxa"/>
          </w:tcPr>
          <w:p w14:paraId="0E368CEB" w14:textId="77777777" w:rsidR="00537F5C" w:rsidRPr="00860E03" w:rsidRDefault="00537F5C" w:rsidP="00537F5C">
            <w:pPr>
              <w:pStyle w:val="ARtabletextright"/>
              <w:spacing w:before="70" w:after="50"/>
            </w:pPr>
            <w:r w:rsidRPr="00860E03">
              <w:t xml:space="preserve">25,437 </w:t>
            </w:r>
          </w:p>
        </w:tc>
      </w:tr>
      <w:tr w:rsidR="00537F5C" w:rsidRPr="00860E03" w14:paraId="38D8487D" w14:textId="77777777" w:rsidTr="00537F5C">
        <w:trPr>
          <w:cantSplit/>
        </w:trPr>
        <w:tc>
          <w:tcPr>
            <w:tcW w:w="4536" w:type="dxa"/>
          </w:tcPr>
          <w:p w14:paraId="78A6F9D7" w14:textId="77777777" w:rsidR="00537F5C" w:rsidRPr="00860E03" w:rsidRDefault="00537F5C" w:rsidP="00537F5C">
            <w:pPr>
              <w:pStyle w:val="ARtabletext"/>
              <w:spacing w:before="70" w:after="50"/>
            </w:pPr>
            <w:r w:rsidRPr="00860E03">
              <w:t>Liquefied petroleum gas</w:t>
            </w:r>
          </w:p>
        </w:tc>
        <w:tc>
          <w:tcPr>
            <w:tcW w:w="1701" w:type="dxa"/>
          </w:tcPr>
          <w:p w14:paraId="38CBA24B" w14:textId="77777777" w:rsidR="00537F5C" w:rsidRPr="00860E03" w:rsidRDefault="00537F5C" w:rsidP="00537F5C">
            <w:pPr>
              <w:pStyle w:val="ARtabletextright"/>
              <w:spacing w:before="70" w:after="50"/>
            </w:pPr>
            <w:r w:rsidRPr="00860E03">
              <w:t>N/A</w:t>
            </w:r>
          </w:p>
        </w:tc>
        <w:tc>
          <w:tcPr>
            <w:tcW w:w="1701" w:type="dxa"/>
          </w:tcPr>
          <w:p w14:paraId="771DF461" w14:textId="77777777" w:rsidR="00537F5C" w:rsidRPr="00860E03" w:rsidRDefault="00537F5C" w:rsidP="00537F5C">
            <w:pPr>
              <w:pStyle w:val="ARtabletextright"/>
              <w:spacing w:before="70" w:after="50"/>
            </w:pPr>
            <w:r w:rsidRPr="00860E03">
              <w:t>N/A</w:t>
            </w:r>
          </w:p>
        </w:tc>
        <w:tc>
          <w:tcPr>
            <w:tcW w:w="1701" w:type="dxa"/>
          </w:tcPr>
          <w:p w14:paraId="533524F9" w14:textId="77777777" w:rsidR="00537F5C" w:rsidRPr="00860E03" w:rsidRDefault="00537F5C" w:rsidP="00537F5C">
            <w:pPr>
              <w:pStyle w:val="ARtabletextright"/>
              <w:spacing w:before="70" w:after="50"/>
            </w:pPr>
            <w:r w:rsidRPr="00860E03">
              <w:t xml:space="preserve">113 </w:t>
            </w:r>
          </w:p>
        </w:tc>
      </w:tr>
      <w:tr w:rsidR="00537F5C" w:rsidRPr="00860E03" w14:paraId="6548FCA3" w14:textId="77777777" w:rsidTr="00537F5C">
        <w:trPr>
          <w:cantSplit/>
        </w:trPr>
        <w:tc>
          <w:tcPr>
            <w:tcW w:w="4536" w:type="dxa"/>
          </w:tcPr>
          <w:p w14:paraId="5C61A9B1" w14:textId="77777777" w:rsidR="00537F5C" w:rsidRPr="00860E03" w:rsidRDefault="00537F5C" w:rsidP="00537F5C">
            <w:pPr>
              <w:pStyle w:val="ARtabletext"/>
              <w:spacing w:before="70" w:after="50"/>
              <w:rPr>
                <w:b/>
              </w:rPr>
            </w:pPr>
            <w:r w:rsidRPr="00860E03">
              <w:rPr>
                <w:b/>
              </w:rPr>
              <w:t>Total greenhouse gas emissions</w:t>
            </w:r>
          </w:p>
        </w:tc>
        <w:tc>
          <w:tcPr>
            <w:tcW w:w="1701" w:type="dxa"/>
          </w:tcPr>
          <w:p w14:paraId="29B7D3AD" w14:textId="77777777" w:rsidR="00537F5C" w:rsidRPr="00860E03" w:rsidRDefault="00537F5C" w:rsidP="00537F5C">
            <w:pPr>
              <w:pStyle w:val="ARtabletextrightbold"/>
              <w:spacing w:before="70" w:after="50"/>
            </w:pPr>
            <w:r w:rsidRPr="00860E03">
              <w:t>63,133</w:t>
            </w:r>
          </w:p>
        </w:tc>
        <w:tc>
          <w:tcPr>
            <w:tcW w:w="1701" w:type="dxa"/>
          </w:tcPr>
          <w:p w14:paraId="0C406EAA" w14:textId="77777777" w:rsidR="00537F5C" w:rsidRPr="00860E03" w:rsidRDefault="00537F5C" w:rsidP="00537F5C">
            <w:pPr>
              <w:pStyle w:val="ARtabletextrightbold"/>
              <w:spacing w:before="70" w:after="50"/>
            </w:pPr>
            <w:r w:rsidRPr="00860E03">
              <w:t xml:space="preserve">63,324 </w:t>
            </w:r>
          </w:p>
        </w:tc>
        <w:tc>
          <w:tcPr>
            <w:tcW w:w="1701" w:type="dxa"/>
          </w:tcPr>
          <w:p w14:paraId="1EE228EE" w14:textId="77777777" w:rsidR="00537F5C" w:rsidRPr="00860E03" w:rsidRDefault="00537F5C" w:rsidP="00537F5C">
            <w:pPr>
              <w:pStyle w:val="ARtabletextrightbold"/>
              <w:spacing w:before="70" w:after="50"/>
            </w:pPr>
            <w:r w:rsidRPr="00860E03">
              <w:t xml:space="preserve">68,445 </w:t>
            </w:r>
          </w:p>
        </w:tc>
      </w:tr>
    </w:tbl>
    <w:p w14:paraId="3C10F2AD" w14:textId="77777777" w:rsidR="00F73A80" w:rsidRPr="00860E03" w:rsidRDefault="00F73A80" w:rsidP="00F73A80">
      <w:pPr>
        <w:pStyle w:val="ARtablefootnote"/>
      </w:pPr>
      <w:r w:rsidRPr="00860E03">
        <w:t>Housing services energy data represents consumption and cost for common-use areas and base-building services at 2,800 electricity-metered and 835 gas-metered sites.</w:t>
      </w:r>
    </w:p>
    <w:p w14:paraId="0F25D5CB" w14:textId="77777777" w:rsidR="008D124E" w:rsidRDefault="00F73A80" w:rsidP="00F73A80">
      <w:pPr>
        <w:pStyle w:val="ARtablefootnote"/>
      </w:pPr>
      <w:r w:rsidRPr="00860E03">
        <w:t>Housing services electricity data includes a 22 per cent estimate and housing portfolio gas data includes a 39 per cent estimate due to some data being unavailable from energy retailers at the time of reporting.</w:t>
      </w:r>
    </w:p>
    <w:p w14:paraId="706026B9" w14:textId="0B532101" w:rsidR="00537F5C" w:rsidRPr="00A46A4A" w:rsidRDefault="00537F5C" w:rsidP="00A46A4A">
      <w:pPr>
        <w:pStyle w:val="ARbody"/>
      </w:pPr>
      <w:r w:rsidRPr="00A46A4A">
        <w:br w:type="page"/>
      </w:r>
    </w:p>
    <w:p w14:paraId="33BA8084" w14:textId="77777777" w:rsidR="00537F5C" w:rsidRPr="007939DD" w:rsidRDefault="00537F5C" w:rsidP="00537F5C">
      <w:pPr>
        <w:pStyle w:val="Heading3"/>
      </w:pPr>
      <w:r w:rsidRPr="007939DD">
        <w:t>Public health services</w:t>
      </w:r>
    </w:p>
    <w:tbl>
      <w:tblPr>
        <w:tblStyle w:val="TableGrid"/>
        <w:tblW w:w="9639" w:type="dxa"/>
        <w:tblLook w:val="06A0" w:firstRow="1" w:lastRow="0" w:firstColumn="1" w:lastColumn="0" w:noHBand="1" w:noVBand="1"/>
      </w:tblPr>
      <w:tblGrid>
        <w:gridCol w:w="1817"/>
        <w:gridCol w:w="1909"/>
        <w:gridCol w:w="1339"/>
        <w:gridCol w:w="1171"/>
        <w:gridCol w:w="1116"/>
        <w:gridCol w:w="1171"/>
        <w:gridCol w:w="1116"/>
      </w:tblGrid>
      <w:tr w:rsidR="00537F5C" w:rsidRPr="007939DD" w14:paraId="303DF527" w14:textId="77777777" w:rsidTr="00537F5C">
        <w:trPr>
          <w:cnfStyle w:val="100000000000" w:firstRow="1" w:lastRow="0" w:firstColumn="0" w:lastColumn="0" w:oddVBand="0" w:evenVBand="0" w:oddHBand="0" w:evenHBand="0" w:firstRowFirstColumn="0" w:firstRowLastColumn="0" w:lastRowFirstColumn="0" w:lastRowLastColumn="0"/>
          <w:tblHeader/>
        </w:trPr>
        <w:tc>
          <w:tcPr>
            <w:tcW w:w="1817" w:type="dxa"/>
            <w:hideMark/>
          </w:tcPr>
          <w:p w14:paraId="14E124CB" w14:textId="77777777" w:rsidR="00537F5C" w:rsidRPr="007939DD" w:rsidRDefault="00537F5C" w:rsidP="00537F5C">
            <w:pPr>
              <w:pStyle w:val="ARtablecolhead"/>
            </w:pPr>
            <w:r w:rsidRPr="007939DD">
              <w:t>Description</w:t>
            </w:r>
          </w:p>
        </w:tc>
        <w:tc>
          <w:tcPr>
            <w:tcW w:w="1909" w:type="dxa"/>
            <w:hideMark/>
          </w:tcPr>
          <w:p w14:paraId="1C4D353F" w14:textId="77777777" w:rsidR="00537F5C" w:rsidRPr="007939DD" w:rsidRDefault="00537F5C" w:rsidP="00537F5C">
            <w:pPr>
              <w:pStyle w:val="ARtablecolheadright"/>
            </w:pPr>
            <w:r w:rsidRPr="007939DD">
              <w:t>201</w:t>
            </w:r>
            <w:r>
              <w:t>8</w:t>
            </w:r>
            <w:r w:rsidRPr="007939DD">
              <w:t>–1</w:t>
            </w:r>
            <w:r>
              <w:t>9</w:t>
            </w:r>
            <w:r w:rsidRPr="007939DD">
              <w:br/>
              <w:t>estimate</w:t>
            </w:r>
          </w:p>
        </w:tc>
        <w:tc>
          <w:tcPr>
            <w:tcW w:w="1339" w:type="dxa"/>
            <w:hideMark/>
          </w:tcPr>
          <w:p w14:paraId="59007FE3" w14:textId="77777777" w:rsidR="00537F5C" w:rsidRPr="007939DD" w:rsidRDefault="00537F5C" w:rsidP="00537F5C">
            <w:pPr>
              <w:pStyle w:val="ARtablecolheadright"/>
            </w:pPr>
            <w:r w:rsidRPr="007939DD">
              <w:t>201</w:t>
            </w:r>
            <w:r>
              <w:t>8</w:t>
            </w:r>
            <w:r w:rsidRPr="007939DD">
              <w:t>–1</w:t>
            </w:r>
            <w:r>
              <w:t>9</w:t>
            </w:r>
            <w:r w:rsidRPr="007939DD">
              <w:br/>
              <w:t>estimate</w:t>
            </w:r>
          </w:p>
        </w:tc>
        <w:tc>
          <w:tcPr>
            <w:tcW w:w="1171" w:type="dxa"/>
            <w:hideMark/>
          </w:tcPr>
          <w:p w14:paraId="033704AE" w14:textId="77777777" w:rsidR="00537F5C" w:rsidRPr="007939DD" w:rsidRDefault="00537F5C" w:rsidP="00537F5C">
            <w:pPr>
              <w:pStyle w:val="ARtablecolheadright"/>
            </w:pPr>
            <w:r w:rsidRPr="007939DD">
              <w:t>2017–18</w:t>
            </w:r>
            <w:r w:rsidRPr="007939DD">
              <w:br/>
              <w:t>estimate</w:t>
            </w:r>
          </w:p>
        </w:tc>
        <w:tc>
          <w:tcPr>
            <w:tcW w:w="1116" w:type="dxa"/>
            <w:hideMark/>
          </w:tcPr>
          <w:p w14:paraId="70BB392F" w14:textId="77777777" w:rsidR="00537F5C" w:rsidRPr="007939DD" w:rsidRDefault="00537F5C" w:rsidP="00537F5C">
            <w:pPr>
              <w:pStyle w:val="ARtablecolheadright"/>
            </w:pPr>
            <w:r w:rsidRPr="007939DD">
              <w:t>2017–18</w:t>
            </w:r>
            <w:r w:rsidRPr="007939DD">
              <w:br/>
              <w:t>estimate</w:t>
            </w:r>
          </w:p>
        </w:tc>
        <w:tc>
          <w:tcPr>
            <w:tcW w:w="1171" w:type="dxa"/>
            <w:hideMark/>
          </w:tcPr>
          <w:p w14:paraId="598DC632" w14:textId="77777777" w:rsidR="00537F5C" w:rsidRPr="007939DD" w:rsidRDefault="00537F5C" w:rsidP="00537F5C">
            <w:pPr>
              <w:pStyle w:val="ARtablecolheadright"/>
            </w:pPr>
            <w:r w:rsidRPr="007939DD">
              <w:t>2016–17</w:t>
            </w:r>
            <w:r w:rsidRPr="007939DD">
              <w:br/>
              <w:t>estimate</w:t>
            </w:r>
          </w:p>
        </w:tc>
        <w:tc>
          <w:tcPr>
            <w:tcW w:w="1116" w:type="dxa"/>
            <w:hideMark/>
          </w:tcPr>
          <w:p w14:paraId="2EF96254" w14:textId="77777777" w:rsidR="00537F5C" w:rsidRPr="007939DD" w:rsidRDefault="00537F5C" w:rsidP="00537F5C">
            <w:pPr>
              <w:pStyle w:val="ARtablecolheadright"/>
            </w:pPr>
            <w:r w:rsidRPr="007939DD">
              <w:t>2016–17</w:t>
            </w:r>
            <w:r w:rsidRPr="007939DD">
              <w:br/>
              <w:t>estimate</w:t>
            </w:r>
          </w:p>
        </w:tc>
      </w:tr>
      <w:tr w:rsidR="00537F5C" w:rsidRPr="00860E03" w14:paraId="4DBD06DE" w14:textId="77777777" w:rsidTr="00537F5C">
        <w:tc>
          <w:tcPr>
            <w:tcW w:w="1817" w:type="dxa"/>
            <w:vAlign w:val="bottom"/>
          </w:tcPr>
          <w:p w14:paraId="53F29B54" w14:textId="77777777" w:rsidR="00537F5C" w:rsidRPr="00860E03" w:rsidRDefault="00537F5C" w:rsidP="00537F5C">
            <w:pPr>
              <w:pStyle w:val="ARtablecolhead"/>
            </w:pPr>
            <w:r w:rsidRPr="00860E03">
              <w:t>Total energy usage segmented by primary source</w:t>
            </w:r>
          </w:p>
        </w:tc>
        <w:tc>
          <w:tcPr>
            <w:tcW w:w="1909" w:type="dxa"/>
            <w:vAlign w:val="bottom"/>
          </w:tcPr>
          <w:p w14:paraId="1D3DCE45" w14:textId="77777777" w:rsidR="00537F5C" w:rsidRPr="00860E03" w:rsidRDefault="00537F5C" w:rsidP="00537F5C">
            <w:pPr>
              <w:pStyle w:val="ARtablecolheadright"/>
            </w:pPr>
            <w:r w:rsidRPr="00860E03">
              <w:t>Terajoules</w:t>
            </w:r>
          </w:p>
        </w:tc>
        <w:tc>
          <w:tcPr>
            <w:tcW w:w="1339" w:type="dxa"/>
            <w:vAlign w:val="bottom"/>
          </w:tcPr>
          <w:p w14:paraId="671EDDFE" w14:textId="77777777" w:rsidR="00537F5C" w:rsidRPr="00860E03" w:rsidRDefault="00537F5C" w:rsidP="00537F5C">
            <w:pPr>
              <w:pStyle w:val="ARtablecolheadright"/>
            </w:pPr>
            <w:r w:rsidRPr="00860E03">
              <w:t>Cost</w:t>
            </w:r>
            <w:r w:rsidRPr="00860E03">
              <w:br/>
              <w:t>($M)</w:t>
            </w:r>
          </w:p>
        </w:tc>
        <w:tc>
          <w:tcPr>
            <w:tcW w:w="1171" w:type="dxa"/>
            <w:vAlign w:val="bottom"/>
          </w:tcPr>
          <w:p w14:paraId="26374A91" w14:textId="77777777" w:rsidR="00537F5C" w:rsidRPr="00860E03" w:rsidRDefault="00537F5C" w:rsidP="00537F5C">
            <w:pPr>
              <w:pStyle w:val="ARtablecolheadright"/>
            </w:pPr>
            <w:r w:rsidRPr="00860E03">
              <w:t>Terajoules</w:t>
            </w:r>
          </w:p>
        </w:tc>
        <w:tc>
          <w:tcPr>
            <w:tcW w:w="1116" w:type="dxa"/>
            <w:vAlign w:val="bottom"/>
          </w:tcPr>
          <w:p w14:paraId="323468BB" w14:textId="77777777" w:rsidR="00537F5C" w:rsidRPr="00860E03" w:rsidRDefault="00537F5C" w:rsidP="00537F5C">
            <w:pPr>
              <w:pStyle w:val="ARtablecolheadright"/>
            </w:pPr>
            <w:r w:rsidRPr="00860E03">
              <w:t>Cost</w:t>
            </w:r>
            <w:r w:rsidRPr="00860E03">
              <w:br/>
              <w:t>($M)</w:t>
            </w:r>
          </w:p>
        </w:tc>
        <w:tc>
          <w:tcPr>
            <w:tcW w:w="1171" w:type="dxa"/>
            <w:vAlign w:val="bottom"/>
          </w:tcPr>
          <w:p w14:paraId="1FA28F6C" w14:textId="77777777" w:rsidR="00537F5C" w:rsidRPr="00860E03" w:rsidRDefault="00537F5C" w:rsidP="00537F5C">
            <w:pPr>
              <w:pStyle w:val="ARtablecolheadright"/>
            </w:pPr>
            <w:r w:rsidRPr="00860E03">
              <w:t>Terajoules</w:t>
            </w:r>
          </w:p>
        </w:tc>
        <w:tc>
          <w:tcPr>
            <w:tcW w:w="1116" w:type="dxa"/>
            <w:vAlign w:val="bottom"/>
          </w:tcPr>
          <w:p w14:paraId="3A64F2A2" w14:textId="77777777" w:rsidR="00537F5C" w:rsidRPr="00860E03" w:rsidRDefault="00537F5C" w:rsidP="00537F5C">
            <w:pPr>
              <w:pStyle w:val="ARtablecolheadright"/>
            </w:pPr>
            <w:r w:rsidRPr="00860E03">
              <w:t>Cost</w:t>
            </w:r>
            <w:r w:rsidRPr="00860E03">
              <w:br/>
              <w:t>($M)</w:t>
            </w:r>
          </w:p>
        </w:tc>
      </w:tr>
      <w:tr w:rsidR="00537F5C" w:rsidRPr="00860E03" w14:paraId="1F00CDDF" w14:textId="77777777" w:rsidTr="00537F5C">
        <w:tc>
          <w:tcPr>
            <w:tcW w:w="1817" w:type="dxa"/>
            <w:hideMark/>
          </w:tcPr>
          <w:p w14:paraId="67BD6091" w14:textId="77777777" w:rsidR="00537F5C" w:rsidRPr="00860E03" w:rsidRDefault="00537F5C" w:rsidP="00537F5C">
            <w:pPr>
              <w:pStyle w:val="ARtabletext"/>
              <w:spacing w:before="70" w:after="50"/>
            </w:pPr>
            <w:r w:rsidRPr="00860E03">
              <w:t>Electricity</w:t>
            </w:r>
          </w:p>
        </w:tc>
        <w:tc>
          <w:tcPr>
            <w:tcW w:w="1909" w:type="dxa"/>
            <w:vAlign w:val="center"/>
          </w:tcPr>
          <w:p w14:paraId="672E866C" w14:textId="77777777" w:rsidR="00537F5C" w:rsidRPr="00860E03" w:rsidRDefault="00537F5C" w:rsidP="00537F5C">
            <w:pPr>
              <w:pStyle w:val="ARtabletextright"/>
              <w:spacing w:before="70" w:after="50"/>
            </w:pPr>
            <w:r w:rsidRPr="00860E03">
              <w:t>2,322</w:t>
            </w:r>
          </w:p>
        </w:tc>
        <w:tc>
          <w:tcPr>
            <w:tcW w:w="1339" w:type="dxa"/>
            <w:vAlign w:val="center"/>
          </w:tcPr>
          <w:p w14:paraId="7EE7BEB6" w14:textId="77777777" w:rsidR="00537F5C" w:rsidRPr="00860E03" w:rsidRDefault="00537F5C" w:rsidP="00537F5C">
            <w:pPr>
              <w:pStyle w:val="ARtabletextright"/>
              <w:spacing w:before="70" w:after="50"/>
            </w:pPr>
            <w:r w:rsidRPr="00860E03">
              <w:t>$122.92</w:t>
            </w:r>
          </w:p>
        </w:tc>
        <w:tc>
          <w:tcPr>
            <w:tcW w:w="1171" w:type="dxa"/>
            <w:vAlign w:val="center"/>
          </w:tcPr>
          <w:p w14:paraId="1B8C5863" w14:textId="77777777" w:rsidR="00537F5C" w:rsidRPr="00860E03" w:rsidRDefault="00537F5C" w:rsidP="00537F5C">
            <w:pPr>
              <w:pStyle w:val="ARtabletextright"/>
              <w:spacing w:before="70" w:after="50"/>
            </w:pPr>
            <w:r w:rsidRPr="00860E03">
              <w:t>2,346</w:t>
            </w:r>
          </w:p>
        </w:tc>
        <w:tc>
          <w:tcPr>
            <w:tcW w:w="1116" w:type="dxa"/>
            <w:vAlign w:val="center"/>
          </w:tcPr>
          <w:p w14:paraId="722782A3" w14:textId="77777777" w:rsidR="00537F5C" w:rsidRPr="00860E03" w:rsidRDefault="00537F5C" w:rsidP="00537F5C">
            <w:pPr>
              <w:pStyle w:val="ARtabletextright"/>
              <w:spacing w:before="70" w:after="50"/>
            </w:pPr>
            <w:r w:rsidRPr="00860E03">
              <w:t>$120.28</w:t>
            </w:r>
          </w:p>
        </w:tc>
        <w:tc>
          <w:tcPr>
            <w:tcW w:w="1171" w:type="dxa"/>
            <w:vAlign w:val="center"/>
          </w:tcPr>
          <w:p w14:paraId="70CB9BA7" w14:textId="77777777" w:rsidR="00537F5C" w:rsidRPr="00860E03" w:rsidRDefault="00537F5C" w:rsidP="00537F5C">
            <w:pPr>
              <w:pStyle w:val="ARtabletextright"/>
              <w:spacing w:before="70" w:after="50"/>
            </w:pPr>
            <w:r w:rsidRPr="00860E03">
              <w:t>2,400</w:t>
            </w:r>
          </w:p>
        </w:tc>
        <w:tc>
          <w:tcPr>
            <w:tcW w:w="1116" w:type="dxa"/>
            <w:vAlign w:val="center"/>
          </w:tcPr>
          <w:p w14:paraId="4E1F39FF" w14:textId="77777777" w:rsidR="00537F5C" w:rsidRPr="00860E03" w:rsidRDefault="00537F5C" w:rsidP="00537F5C">
            <w:pPr>
              <w:pStyle w:val="ARtabletextright"/>
              <w:spacing w:before="70" w:after="50"/>
            </w:pPr>
            <w:r w:rsidRPr="00860E03">
              <w:t>$75.46</w:t>
            </w:r>
          </w:p>
        </w:tc>
      </w:tr>
      <w:tr w:rsidR="00537F5C" w:rsidRPr="00860E03" w14:paraId="76100A95" w14:textId="77777777" w:rsidTr="00537F5C">
        <w:tc>
          <w:tcPr>
            <w:tcW w:w="1817" w:type="dxa"/>
            <w:hideMark/>
          </w:tcPr>
          <w:p w14:paraId="7CE69C81" w14:textId="77777777" w:rsidR="00537F5C" w:rsidRPr="00860E03" w:rsidRDefault="00537F5C" w:rsidP="00537F5C">
            <w:pPr>
              <w:pStyle w:val="ARtabletext"/>
              <w:spacing w:before="70" w:after="50"/>
            </w:pPr>
            <w:r w:rsidRPr="00860E03">
              <w:t>Natural gas</w:t>
            </w:r>
          </w:p>
        </w:tc>
        <w:tc>
          <w:tcPr>
            <w:tcW w:w="1909" w:type="dxa"/>
            <w:vAlign w:val="center"/>
          </w:tcPr>
          <w:p w14:paraId="360EFF6B" w14:textId="77777777" w:rsidR="00537F5C" w:rsidRPr="00860E03" w:rsidRDefault="00537F5C" w:rsidP="00537F5C">
            <w:pPr>
              <w:pStyle w:val="ARtabletextright"/>
              <w:spacing w:before="70" w:after="50"/>
            </w:pPr>
            <w:r w:rsidRPr="00860E03">
              <w:t>2,227</w:t>
            </w:r>
          </w:p>
        </w:tc>
        <w:tc>
          <w:tcPr>
            <w:tcW w:w="1339" w:type="dxa"/>
            <w:vAlign w:val="center"/>
          </w:tcPr>
          <w:p w14:paraId="78697DC4" w14:textId="77777777" w:rsidR="00537F5C" w:rsidRPr="00860E03" w:rsidRDefault="00537F5C" w:rsidP="00537F5C">
            <w:pPr>
              <w:pStyle w:val="ARtabletextright"/>
              <w:spacing w:before="70" w:after="50"/>
            </w:pPr>
            <w:r w:rsidRPr="00860E03">
              <w:t>$25.91</w:t>
            </w:r>
          </w:p>
        </w:tc>
        <w:tc>
          <w:tcPr>
            <w:tcW w:w="1171" w:type="dxa"/>
            <w:vAlign w:val="center"/>
          </w:tcPr>
          <w:p w14:paraId="020AB680" w14:textId="77777777" w:rsidR="00537F5C" w:rsidRPr="00860E03" w:rsidRDefault="00537F5C" w:rsidP="00537F5C">
            <w:pPr>
              <w:pStyle w:val="ARtabletextright"/>
              <w:spacing w:before="70" w:after="50"/>
            </w:pPr>
            <w:r w:rsidRPr="00860E03">
              <w:t>2,260</w:t>
            </w:r>
          </w:p>
        </w:tc>
        <w:tc>
          <w:tcPr>
            <w:tcW w:w="1116" w:type="dxa"/>
            <w:vAlign w:val="center"/>
          </w:tcPr>
          <w:p w14:paraId="70080E5C" w14:textId="77777777" w:rsidR="00537F5C" w:rsidRPr="00860E03" w:rsidRDefault="00537F5C" w:rsidP="00537F5C">
            <w:pPr>
              <w:pStyle w:val="ARtabletextright"/>
              <w:spacing w:before="70" w:after="50"/>
            </w:pPr>
            <w:r w:rsidRPr="00860E03">
              <w:t>$21.18</w:t>
            </w:r>
          </w:p>
        </w:tc>
        <w:tc>
          <w:tcPr>
            <w:tcW w:w="1171" w:type="dxa"/>
            <w:vAlign w:val="center"/>
          </w:tcPr>
          <w:p w14:paraId="001BD2AB" w14:textId="77777777" w:rsidR="00537F5C" w:rsidRPr="00860E03" w:rsidRDefault="00537F5C" w:rsidP="00537F5C">
            <w:pPr>
              <w:pStyle w:val="ARtabletextright"/>
              <w:spacing w:before="70" w:after="50"/>
            </w:pPr>
            <w:r w:rsidRPr="00860E03">
              <w:t>2,195</w:t>
            </w:r>
          </w:p>
        </w:tc>
        <w:tc>
          <w:tcPr>
            <w:tcW w:w="1116" w:type="dxa"/>
            <w:vAlign w:val="center"/>
          </w:tcPr>
          <w:p w14:paraId="466D9C40" w14:textId="77777777" w:rsidR="00537F5C" w:rsidRPr="00860E03" w:rsidRDefault="00537F5C" w:rsidP="00537F5C">
            <w:pPr>
              <w:pStyle w:val="ARtabletextright"/>
              <w:spacing w:before="70" w:after="50"/>
            </w:pPr>
            <w:r w:rsidRPr="00860E03">
              <w:t>$16.96</w:t>
            </w:r>
          </w:p>
        </w:tc>
      </w:tr>
      <w:tr w:rsidR="00537F5C" w:rsidRPr="00860E03" w14:paraId="71EC3137" w14:textId="77777777" w:rsidTr="00537F5C">
        <w:tc>
          <w:tcPr>
            <w:tcW w:w="1817" w:type="dxa"/>
          </w:tcPr>
          <w:p w14:paraId="6072DB5B" w14:textId="77777777" w:rsidR="00537F5C" w:rsidRPr="00860E03" w:rsidRDefault="00537F5C" w:rsidP="00537F5C">
            <w:pPr>
              <w:pStyle w:val="ARtabletext"/>
              <w:spacing w:before="70" w:after="50"/>
            </w:pPr>
            <w:r w:rsidRPr="00860E03">
              <w:t>Co-generation steam</w:t>
            </w:r>
          </w:p>
        </w:tc>
        <w:tc>
          <w:tcPr>
            <w:tcW w:w="1909" w:type="dxa"/>
            <w:vAlign w:val="center"/>
          </w:tcPr>
          <w:p w14:paraId="31561B2F" w14:textId="77777777" w:rsidR="00537F5C" w:rsidRPr="00860E03" w:rsidRDefault="00537F5C" w:rsidP="00537F5C">
            <w:pPr>
              <w:pStyle w:val="ARtabletextright"/>
              <w:spacing w:before="70" w:after="50"/>
            </w:pPr>
            <w:r w:rsidRPr="00860E03">
              <w:t>502</w:t>
            </w:r>
          </w:p>
        </w:tc>
        <w:tc>
          <w:tcPr>
            <w:tcW w:w="1339" w:type="dxa"/>
            <w:vAlign w:val="center"/>
          </w:tcPr>
          <w:p w14:paraId="4F5DADD8" w14:textId="77777777" w:rsidR="00537F5C" w:rsidRPr="00860E03" w:rsidRDefault="00537F5C" w:rsidP="00537F5C">
            <w:pPr>
              <w:pStyle w:val="ARtabletextright"/>
              <w:spacing w:before="70" w:after="50"/>
            </w:pPr>
            <w:r w:rsidRPr="00860E03">
              <w:t>$6.60</w:t>
            </w:r>
          </w:p>
        </w:tc>
        <w:tc>
          <w:tcPr>
            <w:tcW w:w="1171" w:type="dxa"/>
            <w:vAlign w:val="center"/>
          </w:tcPr>
          <w:p w14:paraId="57E31427" w14:textId="77777777" w:rsidR="00537F5C" w:rsidRPr="00860E03" w:rsidRDefault="00537F5C" w:rsidP="00537F5C">
            <w:pPr>
              <w:pStyle w:val="ARtabletextright"/>
              <w:spacing w:before="70" w:after="50"/>
            </w:pPr>
            <w:r w:rsidRPr="00860E03">
              <w:t>496</w:t>
            </w:r>
          </w:p>
        </w:tc>
        <w:tc>
          <w:tcPr>
            <w:tcW w:w="1116" w:type="dxa"/>
            <w:vAlign w:val="center"/>
          </w:tcPr>
          <w:p w14:paraId="3D891075" w14:textId="77777777" w:rsidR="00537F5C" w:rsidRPr="00860E03" w:rsidRDefault="00537F5C" w:rsidP="00537F5C">
            <w:pPr>
              <w:pStyle w:val="ARtabletextright"/>
              <w:spacing w:before="70" w:after="50"/>
            </w:pPr>
            <w:r w:rsidRPr="00860E03">
              <w:t>$4.97</w:t>
            </w:r>
          </w:p>
        </w:tc>
        <w:tc>
          <w:tcPr>
            <w:tcW w:w="1171" w:type="dxa"/>
            <w:vAlign w:val="center"/>
          </w:tcPr>
          <w:p w14:paraId="4E492EBF" w14:textId="77777777" w:rsidR="00537F5C" w:rsidRPr="00860E03" w:rsidRDefault="00537F5C" w:rsidP="00537F5C">
            <w:pPr>
              <w:pStyle w:val="ARtabletextright"/>
              <w:spacing w:before="70" w:after="50"/>
            </w:pPr>
            <w:r w:rsidRPr="00860E03">
              <w:t>531</w:t>
            </w:r>
          </w:p>
        </w:tc>
        <w:tc>
          <w:tcPr>
            <w:tcW w:w="1116" w:type="dxa"/>
            <w:vAlign w:val="center"/>
          </w:tcPr>
          <w:p w14:paraId="689331D9" w14:textId="77777777" w:rsidR="00537F5C" w:rsidRPr="00860E03" w:rsidRDefault="00537F5C" w:rsidP="00537F5C">
            <w:pPr>
              <w:pStyle w:val="ARtabletextright"/>
              <w:spacing w:before="70" w:after="50"/>
            </w:pPr>
            <w:r w:rsidRPr="00860E03">
              <w:t>$4.01</w:t>
            </w:r>
          </w:p>
        </w:tc>
      </w:tr>
      <w:tr w:rsidR="00537F5C" w:rsidRPr="00860E03" w14:paraId="4FE04B27" w14:textId="77777777" w:rsidTr="00537F5C">
        <w:tc>
          <w:tcPr>
            <w:tcW w:w="1817" w:type="dxa"/>
            <w:hideMark/>
          </w:tcPr>
          <w:p w14:paraId="0D28ED97" w14:textId="77777777" w:rsidR="00537F5C" w:rsidRPr="00860E03" w:rsidRDefault="00537F5C" w:rsidP="00537F5C">
            <w:pPr>
              <w:pStyle w:val="ARtabletext"/>
              <w:spacing w:before="70" w:after="50"/>
            </w:pPr>
            <w:r w:rsidRPr="00860E03">
              <w:t>LPG</w:t>
            </w:r>
          </w:p>
        </w:tc>
        <w:tc>
          <w:tcPr>
            <w:tcW w:w="1909" w:type="dxa"/>
            <w:vAlign w:val="center"/>
          </w:tcPr>
          <w:p w14:paraId="762F6ED4" w14:textId="77777777" w:rsidR="00537F5C" w:rsidRPr="00860E03" w:rsidRDefault="00537F5C" w:rsidP="00537F5C">
            <w:pPr>
              <w:pStyle w:val="ARtabletextright"/>
              <w:spacing w:before="70" w:after="50"/>
            </w:pPr>
            <w:r w:rsidRPr="00860E03">
              <w:t>59</w:t>
            </w:r>
          </w:p>
        </w:tc>
        <w:tc>
          <w:tcPr>
            <w:tcW w:w="1339" w:type="dxa"/>
            <w:vAlign w:val="center"/>
          </w:tcPr>
          <w:p w14:paraId="14BBA4F8" w14:textId="77777777" w:rsidR="00537F5C" w:rsidRPr="00860E03" w:rsidRDefault="00537F5C" w:rsidP="00537F5C">
            <w:pPr>
              <w:pStyle w:val="ARtabletextright"/>
              <w:spacing w:before="70" w:after="50"/>
            </w:pPr>
            <w:r w:rsidRPr="00860E03">
              <w:t>1.50</w:t>
            </w:r>
          </w:p>
        </w:tc>
        <w:tc>
          <w:tcPr>
            <w:tcW w:w="1171" w:type="dxa"/>
            <w:vAlign w:val="center"/>
          </w:tcPr>
          <w:p w14:paraId="7DB46B92" w14:textId="77777777" w:rsidR="00537F5C" w:rsidRPr="00860E03" w:rsidRDefault="00537F5C" w:rsidP="00537F5C">
            <w:pPr>
              <w:pStyle w:val="ARtabletextright"/>
              <w:spacing w:before="70" w:after="50"/>
            </w:pPr>
            <w:r w:rsidRPr="00860E03">
              <w:t>93</w:t>
            </w:r>
          </w:p>
        </w:tc>
        <w:tc>
          <w:tcPr>
            <w:tcW w:w="1116" w:type="dxa"/>
            <w:vAlign w:val="center"/>
          </w:tcPr>
          <w:p w14:paraId="0D8FCA0F" w14:textId="77777777" w:rsidR="00537F5C" w:rsidRPr="00860E03" w:rsidRDefault="00537F5C" w:rsidP="00537F5C">
            <w:pPr>
              <w:pStyle w:val="ARtabletextright"/>
              <w:spacing w:before="70" w:after="50"/>
            </w:pPr>
            <w:r w:rsidRPr="00860E03">
              <w:t>$2.22</w:t>
            </w:r>
          </w:p>
        </w:tc>
        <w:tc>
          <w:tcPr>
            <w:tcW w:w="1171" w:type="dxa"/>
            <w:vAlign w:val="center"/>
          </w:tcPr>
          <w:p w14:paraId="60476B67" w14:textId="77777777" w:rsidR="00537F5C" w:rsidRPr="00860E03" w:rsidRDefault="00537F5C" w:rsidP="00537F5C">
            <w:pPr>
              <w:pStyle w:val="ARtabletextright"/>
              <w:spacing w:before="70" w:after="50"/>
            </w:pPr>
            <w:r w:rsidRPr="00860E03">
              <w:t>103</w:t>
            </w:r>
          </w:p>
        </w:tc>
        <w:tc>
          <w:tcPr>
            <w:tcW w:w="1116" w:type="dxa"/>
            <w:vAlign w:val="center"/>
          </w:tcPr>
          <w:p w14:paraId="2EF032F9" w14:textId="77777777" w:rsidR="00537F5C" w:rsidRPr="00860E03" w:rsidRDefault="00537F5C" w:rsidP="00537F5C">
            <w:pPr>
              <w:pStyle w:val="ARtabletextright"/>
              <w:spacing w:before="70" w:after="50"/>
            </w:pPr>
            <w:r w:rsidRPr="00860E03">
              <w:t>$2.29</w:t>
            </w:r>
          </w:p>
        </w:tc>
      </w:tr>
      <w:tr w:rsidR="00537F5C" w:rsidRPr="00860E03" w14:paraId="64A8139F" w14:textId="77777777" w:rsidTr="00537F5C">
        <w:tc>
          <w:tcPr>
            <w:tcW w:w="1817" w:type="dxa"/>
            <w:hideMark/>
          </w:tcPr>
          <w:p w14:paraId="6AB0090F" w14:textId="77777777" w:rsidR="00537F5C" w:rsidRPr="00860E03" w:rsidRDefault="00537F5C" w:rsidP="00537F5C">
            <w:pPr>
              <w:pStyle w:val="ARtabletext"/>
              <w:spacing w:before="70" w:after="50"/>
            </w:pPr>
            <w:r w:rsidRPr="00860E03">
              <w:t>Diesel</w:t>
            </w:r>
          </w:p>
        </w:tc>
        <w:tc>
          <w:tcPr>
            <w:tcW w:w="1909" w:type="dxa"/>
            <w:vAlign w:val="center"/>
          </w:tcPr>
          <w:p w14:paraId="7E5861E2" w14:textId="77777777" w:rsidR="00537F5C" w:rsidRPr="00860E03" w:rsidRDefault="00537F5C" w:rsidP="00537F5C">
            <w:pPr>
              <w:pStyle w:val="ARtabletextright"/>
              <w:spacing w:before="70" w:after="50"/>
            </w:pPr>
            <w:r w:rsidRPr="00860E03">
              <w:t>5</w:t>
            </w:r>
          </w:p>
        </w:tc>
        <w:tc>
          <w:tcPr>
            <w:tcW w:w="1339" w:type="dxa"/>
            <w:vAlign w:val="center"/>
          </w:tcPr>
          <w:p w14:paraId="1FB00859" w14:textId="77777777" w:rsidR="00537F5C" w:rsidRPr="00860E03" w:rsidRDefault="00537F5C" w:rsidP="00537F5C">
            <w:pPr>
              <w:pStyle w:val="ARtabletextright"/>
              <w:spacing w:before="70" w:after="50"/>
            </w:pPr>
            <w:r w:rsidRPr="00860E03">
              <w:t>$0.01</w:t>
            </w:r>
          </w:p>
        </w:tc>
        <w:tc>
          <w:tcPr>
            <w:tcW w:w="1171" w:type="dxa"/>
            <w:vAlign w:val="center"/>
          </w:tcPr>
          <w:p w14:paraId="3F3D11E1" w14:textId="77777777" w:rsidR="00537F5C" w:rsidRPr="00860E03" w:rsidRDefault="00537F5C" w:rsidP="00537F5C">
            <w:pPr>
              <w:pStyle w:val="ARtabletextright"/>
              <w:spacing w:before="70" w:after="50"/>
            </w:pPr>
            <w:r w:rsidRPr="00860E03">
              <w:t>1</w:t>
            </w:r>
          </w:p>
        </w:tc>
        <w:tc>
          <w:tcPr>
            <w:tcW w:w="1116" w:type="dxa"/>
            <w:vAlign w:val="center"/>
          </w:tcPr>
          <w:p w14:paraId="24E3AC86" w14:textId="77777777" w:rsidR="00537F5C" w:rsidRPr="00860E03" w:rsidRDefault="00537F5C" w:rsidP="00537F5C">
            <w:pPr>
              <w:pStyle w:val="ARtabletextright"/>
              <w:spacing w:before="70" w:after="50"/>
            </w:pPr>
            <w:r w:rsidRPr="00860E03">
              <w:t>$0.02</w:t>
            </w:r>
          </w:p>
        </w:tc>
        <w:tc>
          <w:tcPr>
            <w:tcW w:w="1171" w:type="dxa"/>
            <w:vAlign w:val="center"/>
          </w:tcPr>
          <w:p w14:paraId="4D5E449B" w14:textId="77777777" w:rsidR="00537F5C" w:rsidRPr="00860E03" w:rsidRDefault="00537F5C" w:rsidP="00537F5C">
            <w:pPr>
              <w:pStyle w:val="ARtabletextright"/>
              <w:spacing w:before="70" w:after="50"/>
            </w:pPr>
            <w:r w:rsidRPr="00860E03">
              <w:t>1</w:t>
            </w:r>
          </w:p>
        </w:tc>
        <w:tc>
          <w:tcPr>
            <w:tcW w:w="1116" w:type="dxa"/>
            <w:vAlign w:val="center"/>
          </w:tcPr>
          <w:p w14:paraId="347AC36E" w14:textId="77777777" w:rsidR="00537F5C" w:rsidRPr="00860E03" w:rsidRDefault="00537F5C" w:rsidP="00537F5C">
            <w:pPr>
              <w:pStyle w:val="ARtabletextright"/>
              <w:spacing w:before="70" w:after="50"/>
            </w:pPr>
            <w:r w:rsidRPr="00860E03">
              <w:t>$0.03</w:t>
            </w:r>
          </w:p>
        </w:tc>
      </w:tr>
      <w:tr w:rsidR="00537F5C" w:rsidRPr="00860E03" w14:paraId="6A80210F" w14:textId="77777777" w:rsidTr="00537F5C">
        <w:tc>
          <w:tcPr>
            <w:tcW w:w="1817" w:type="dxa"/>
            <w:hideMark/>
          </w:tcPr>
          <w:p w14:paraId="1F05B19A" w14:textId="77777777" w:rsidR="00537F5C" w:rsidRPr="00860E03" w:rsidRDefault="00537F5C" w:rsidP="00537F5C">
            <w:pPr>
              <w:pStyle w:val="ARtabletext"/>
              <w:spacing w:before="70" w:after="50"/>
              <w:rPr>
                <w:b/>
                <w:bCs/>
              </w:rPr>
            </w:pPr>
            <w:r w:rsidRPr="00860E03">
              <w:rPr>
                <w:b/>
                <w:bCs/>
              </w:rPr>
              <w:t>Total</w:t>
            </w:r>
          </w:p>
        </w:tc>
        <w:tc>
          <w:tcPr>
            <w:tcW w:w="1909" w:type="dxa"/>
            <w:vAlign w:val="center"/>
          </w:tcPr>
          <w:p w14:paraId="387B1792" w14:textId="77777777" w:rsidR="00537F5C" w:rsidRPr="00860E03" w:rsidRDefault="00537F5C" w:rsidP="00537F5C">
            <w:pPr>
              <w:pStyle w:val="ARtabletextrightbold"/>
              <w:spacing w:before="70" w:after="50"/>
            </w:pPr>
            <w:r w:rsidRPr="00860E03">
              <w:t>5,114</w:t>
            </w:r>
          </w:p>
        </w:tc>
        <w:tc>
          <w:tcPr>
            <w:tcW w:w="1339" w:type="dxa"/>
            <w:vAlign w:val="center"/>
          </w:tcPr>
          <w:p w14:paraId="6543FF79" w14:textId="77777777" w:rsidR="00537F5C" w:rsidRPr="00860E03" w:rsidRDefault="00537F5C" w:rsidP="00537F5C">
            <w:pPr>
              <w:pStyle w:val="ARtabletextrightbold"/>
              <w:spacing w:before="70" w:after="50"/>
            </w:pPr>
            <w:r w:rsidRPr="00860E03">
              <w:t>$156.94</w:t>
            </w:r>
          </w:p>
        </w:tc>
        <w:tc>
          <w:tcPr>
            <w:tcW w:w="1171" w:type="dxa"/>
            <w:vAlign w:val="center"/>
          </w:tcPr>
          <w:p w14:paraId="7CACB113" w14:textId="77777777" w:rsidR="00537F5C" w:rsidRPr="00860E03" w:rsidRDefault="00537F5C" w:rsidP="00537F5C">
            <w:pPr>
              <w:pStyle w:val="ARtabletextrightbold"/>
              <w:spacing w:before="70" w:after="50"/>
            </w:pPr>
            <w:r w:rsidRPr="00860E03">
              <w:t>5,195</w:t>
            </w:r>
          </w:p>
        </w:tc>
        <w:tc>
          <w:tcPr>
            <w:tcW w:w="1116" w:type="dxa"/>
            <w:vAlign w:val="center"/>
          </w:tcPr>
          <w:p w14:paraId="08122A3B" w14:textId="77777777" w:rsidR="00537F5C" w:rsidRPr="00860E03" w:rsidRDefault="00537F5C" w:rsidP="00537F5C">
            <w:pPr>
              <w:pStyle w:val="ARtabletextrightbold"/>
              <w:spacing w:before="70" w:after="50"/>
            </w:pPr>
            <w:r w:rsidRPr="00860E03">
              <w:t>$148.68</w:t>
            </w:r>
          </w:p>
        </w:tc>
        <w:tc>
          <w:tcPr>
            <w:tcW w:w="1171" w:type="dxa"/>
            <w:vAlign w:val="center"/>
          </w:tcPr>
          <w:p w14:paraId="3BEAC485" w14:textId="77777777" w:rsidR="00537F5C" w:rsidRPr="00860E03" w:rsidRDefault="00537F5C" w:rsidP="00537F5C">
            <w:pPr>
              <w:pStyle w:val="ARtabletextrightbold"/>
              <w:spacing w:before="70" w:after="50"/>
            </w:pPr>
            <w:r w:rsidRPr="00860E03">
              <w:t>5,230</w:t>
            </w:r>
          </w:p>
        </w:tc>
        <w:tc>
          <w:tcPr>
            <w:tcW w:w="1116" w:type="dxa"/>
            <w:vAlign w:val="center"/>
          </w:tcPr>
          <w:p w14:paraId="3881E6CD" w14:textId="77777777" w:rsidR="00537F5C" w:rsidRPr="00860E03" w:rsidRDefault="00537F5C" w:rsidP="00537F5C">
            <w:pPr>
              <w:pStyle w:val="ARtabletextrightbold"/>
              <w:spacing w:before="70" w:after="50"/>
            </w:pPr>
            <w:r w:rsidRPr="00860E03">
              <w:t>$98.75</w:t>
            </w:r>
          </w:p>
        </w:tc>
      </w:tr>
    </w:tbl>
    <w:p w14:paraId="50812D71" w14:textId="77777777" w:rsidR="00537F5C" w:rsidRPr="00860E03" w:rsidRDefault="00537F5C" w:rsidP="00537F5C">
      <w:pPr>
        <w:pStyle w:val="ARbodynospace"/>
        <w:rPr>
          <w:lang w:eastAsia="en-AU"/>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537F5C" w:rsidRPr="00860E03" w14:paraId="04F6B19B" w14:textId="77777777" w:rsidTr="00537F5C">
        <w:trPr>
          <w:cantSplit/>
          <w:tblHeader/>
        </w:trPr>
        <w:tc>
          <w:tcPr>
            <w:tcW w:w="4536" w:type="dxa"/>
            <w:vAlign w:val="bottom"/>
          </w:tcPr>
          <w:p w14:paraId="06B91E99" w14:textId="77777777" w:rsidR="00537F5C" w:rsidRPr="00860E03" w:rsidRDefault="00537F5C" w:rsidP="00537F5C">
            <w:pPr>
              <w:pStyle w:val="ARtablecolhead"/>
            </w:pPr>
            <w:r w:rsidRPr="00860E03">
              <w:t>Description</w:t>
            </w:r>
          </w:p>
        </w:tc>
        <w:tc>
          <w:tcPr>
            <w:tcW w:w="1701" w:type="dxa"/>
            <w:vAlign w:val="bottom"/>
          </w:tcPr>
          <w:p w14:paraId="06D77F32" w14:textId="77777777" w:rsidR="00537F5C" w:rsidRPr="00860E03" w:rsidRDefault="00537F5C" w:rsidP="00537F5C">
            <w:pPr>
              <w:pStyle w:val="ARtabletextrightbold"/>
            </w:pPr>
            <w:r w:rsidRPr="00860E03">
              <w:t>2018–19</w:t>
            </w:r>
            <w:r w:rsidRPr="00860E03">
              <w:br/>
              <w:t>estimate</w:t>
            </w:r>
          </w:p>
        </w:tc>
        <w:tc>
          <w:tcPr>
            <w:tcW w:w="1701" w:type="dxa"/>
            <w:vAlign w:val="bottom"/>
          </w:tcPr>
          <w:p w14:paraId="143749B4" w14:textId="77777777" w:rsidR="00537F5C" w:rsidRPr="00860E03" w:rsidRDefault="00537F5C" w:rsidP="00537F5C">
            <w:pPr>
              <w:pStyle w:val="ARtabletextrightbold"/>
            </w:pPr>
            <w:r w:rsidRPr="00860E03">
              <w:t>2017–18</w:t>
            </w:r>
            <w:r w:rsidRPr="00860E03">
              <w:br/>
              <w:t>estimate</w:t>
            </w:r>
          </w:p>
        </w:tc>
        <w:tc>
          <w:tcPr>
            <w:tcW w:w="1701" w:type="dxa"/>
            <w:vAlign w:val="bottom"/>
          </w:tcPr>
          <w:p w14:paraId="28133C22" w14:textId="77777777" w:rsidR="00537F5C" w:rsidRPr="00860E03" w:rsidRDefault="00537F5C" w:rsidP="00537F5C">
            <w:pPr>
              <w:pStyle w:val="ARtabletextrightbold"/>
            </w:pPr>
            <w:r w:rsidRPr="00860E03">
              <w:t>2016–17</w:t>
            </w:r>
            <w:r w:rsidRPr="00860E03">
              <w:br/>
              <w:t>estimate</w:t>
            </w:r>
          </w:p>
        </w:tc>
      </w:tr>
      <w:tr w:rsidR="00537F5C" w:rsidRPr="00860E03" w14:paraId="5CA81C16" w14:textId="77777777" w:rsidTr="00537F5C">
        <w:trPr>
          <w:cantSplit/>
          <w:tblHeader/>
        </w:trPr>
        <w:tc>
          <w:tcPr>
            <w:tcW w:w="4536" w:type="dxa"/>
            <w:vAlign w:val="bottom"/>
          </w:tcPr>
          <w:p w14:paraId="07084534" w14:textId="77777777" w:rsidR="00537F5C" w:rsidRPr="00860E03" w:rsidRDefault="00537F5C" w:rsidP="00537F5C">
            <w:pPr>
              <w:pStyle w:val="ARtablecolhead"/>
            </w:pPr>
            <w:r w:rsidRPr="00860E03">
              <w:t>Total greenhouse gas emissions</w:t>
            </w:r>
          </w:p>
        </w:tc>
        <w:tc>
          <w:tcPr>
            <w:tcW w:w="1701" w:type="dxa"/>
            <w:vAlign w:val="bottom"/>
          </w:tcPr>
          <w:p w14:paraId="635390B7" w14:textId="77777777" w:rsidR="00537F5C" w:rsidRPr="00860E03" w:rsidRDefault="00537F5C" w:rsidP="00537F5C">
            <w:pPr>
              <w:pStyle w:val="ARtablecolheadright"/>
            </w:pPr>
            <w:r w:rsidRPr="00860E03">
              <w:t>Tonnes CO</w:t>
            </w:r>
            <w:r w:rsidRPr="00860E03">
              <w:rPr>
                <w:vertAlign w:val="subscript"/>
              </w:rPr>
              <w:t>2</w:t>
            </w:r>
            <w:r w:rsidRPr="00860E03">
              <w:t>-e</w:t>
            </w:r>
          </w:p>
        </w:tc>
        <w:tc>
          <w:tcPr>
            <w:tcW w:w="1701" w:type="dxa"/>
            <w:vAlign w:val="bottom"/>
          </w:tcPr>
          <w:p w14:paraId="17E3987F" w14:textId="77777777" w:rsidR="00537F5C" w:rsidRPr="00860E03" w:rsidRDefault="00537F5C" w:rsidP="00537F5C">
            <w:pPr>
              <w:pStyle w:val="ARtablecolheadright"/>
            </w:pPr>
            <w:r w:rsidRPr="00860E03">
              <w:t>Tonnes CO</w:t>
            </w:r>
            <w:r w:rsidRPr="00860E03">
              <w:rPr>
                <w:vertAlign w:val="subscript"/>
              </w:rPr>
              <w:t>2</w:t>
            </w:r>
            <w:r w:rsidRPr="00860E03">
              <w:t>-e</w:t>
            </w:r>
          </w:p>
        </w:tc>
        <w:tc>
          <w:tcPr>
            <w:tcW w:w="1701" w:type="dxa"/>
            <w:vAlign w:val="bottom"/>
          </w:tcPr>
          <w:p w14:paraId="115DF5B7" w14:textId="77777777" w:rsidR="00537F5C" w:rsidRPr="00860E03" w:rsidRDefault="00537F5C" w:rsidP="00537F5C">
            <w:pPr>
              <w:pStyle w:val="ARtablecolheadright"/>
            </w:pPr>
            <w:r w:rsidRPr="00860E03">
              <w:t>Tonnes CO</w:t>
            </w:r>
            <w:r w:rsidRPr="00860E03">
              <w:rPr>
                <w:vertAlign w:val="subscript"/>
              </w:rPr>
              <w:t>2</w:t>
            </w:r>
            <w:r w:rsidRPr="00860E03">
              <w:t>-e</w:t>
            </w:r>
          </w:p>
        </w:tc>
      </w:tr>
      <w:tr w:rsidR="00537F5C" w:rsidRPr="00860E03" w14:paraId="56C566E7" w14:textId="77777777" w:rsidTr="00537F5C">
        <w:trPr>
          <w:cantSplit/>
        </w:trPr>
        <w:tc>
          <w:tcPr>
            <w:tcW w:w="4536" w:type="dxa"/>
          </w:tcPr>
          <w:p w14:paraId="384A5115" w14:textId="77777777" w:rsidR="00537F5C" w:rsidRPr="00860E03" w:rsidRDefault="00537F5C" w:rsidP="00537F5C">
            <w:pPr>
              <w:pStyle w:val="ARtabletext"/>
              <w:spacing w:before="70" w:after="50"/>
            </w:pPr>
            <w:r w:rsidRPr="00860E03">
              <w:t>Electricity</w:t>
            </w:r>
          </w:p>
        </w:tc>
        <w:tc>
          <w:tcPr>
            <w:tcW w:w="1701" w:type="dxa"/>
          </w:tcPr>
          <w:p w14:paraId="16156B59" w14:textId="77777777" w:rsidR="00537F5C" w:rsidRPr="00860E03" w:rsidRDefault="00537F5C" w:rsidP="00537F5C">
            <w:pPr>
              <w:pStyle w:val="ARtabletextright"/>
              <w:spacing w:before="70" w:after="50"/>
            </w:pPr>
            <w:r w:rsidRPr="00860E03">
              <w:t>673,610</w:t>
            </w:r>
          </w:p>
        </w:tc>
        <w:tc>
          <w:tcPr>
            <w:tcW w:w="1701" w:type="dxa"/>
          </w:tcPr>
          <w:p w14:paraId="4EC3EB34" w14:textId="77777777" w:rsidR="00537F5C" w:rsidRPr="00860E03" w:rsidRDefault="00537F5C" w:rsidP="00537F5C">
            <w:pPr>
              <w:pStyle w:val="ARtabletextright"/>
              <w:spacing w:before="70" w:after="50"/>
            </w:pPr>
            <w:r w:rsidRPr="00860E03">
              <w:t>685,520</w:t>
            </w:r>
          </w:p>
        </w:tc>
        <w:tc>
          <w:tcPr>
            <w:tcW w:w="1701" w:type="dxa"/>
          </w:tcPr>
          <w:p w14:paraId="4D231ABB" w14:textId="77777777" w:rsidR="00537F5C" w:rsidRPr="00860E03" w:rsidRDefault="00537F5C" w:rsidP="00537F5C">
            <w:pPr>
              <w:pStyle w:val="ARtabletextright"/>
              <w:spacing w:before="70" w:after="50"/>
            </w:pPr>
            <w:r w:rsidRPr="00860E03">
              <w:t>712,502</w:t>
            </w:r>
          </w:p>
        </w:tc>
      </w:tr>
      <w:tr w:rsidR="00537F5C" w:rsidRPr="00860E03" w14:paraId="23990EB1" w14:textId="77777777" w:rsidTr="00537F5C">
        <w:trPr>
          <w:cantSplit/>
        </w:trPr>
        <w:tc>
          <w:tcPr>
            <w:tcW w:w="4536" w:type="dxa"/>
          </w:tcPr>
          <w:p w14:paraId="6E098621" w14:textId="77777777" w:rsidR="00537F5C" w:rsidRPr="00860E03" w:rsidRDefault="00537F5C" w:rsidP="00537F5C">
            <w:pPr>
              <w:pStyle w:val="ARtabletext"/>
              <w:spacing w:before="70" w:after="50"/>
            </w:pPr>
            <w:r w:rsidRPr="00860E03">
              <w:t>Natural gas</w:t>
            </w:r>
          </w:p>
        </w:tc>
        <w:tc>
          <w:tcPr>
            <w:tcW w:w="1701" w:type="dxa"/>
          </w:tcPr>
          <w:p w14:paraId="7E6B9480" w14:textId="77777777" w:rsidR="00537F5C" w:rsidRPr="00860E03" w:rsidRDefault="00537F5C" w:rsidP="00537F5C">
            <w:pPr>
              <w:pStyle w:val="ARtabletextright"/>
              <w:spacing w:before="70" w:after="50"/>
            </w:pPr>
            <w:r w:rsidRPr="00860E03">
              <w:t>114,775</w:t>
            </w:r>
          </w:p>
        </w:tc>
        <w:tc>
          <w:tcPr>
            <w:tcW w:w="1701" w:type="dxa"/>
          </w:tcPr>
          <w:p w14:paraId="002CDDBA" w14:textId="77777777" w:rsidR="00537F5C" w:rsidRPr="00860E03" w:rsidRDefault="00537F5C" w:rsidP="00537F5C">
            <w:pPr>
              <w:pStyle w:val="ARtabletextright"/>
              <w:spacing w:before="70" w:after="50"/>
            </w:pPr>
            <w:r w:rsidRPr="00860E03">
              <w:t>116,472</w:t>
            </w:r>
          </w:p>
        </w:tc>
        <w:tc>
          <w:tcPr>
            <w:tcW w:w="1701" w:type="dxa"/>
          </w:tcPr>
          <w:p w14:paraId="5442D959" w14:textId="77777777" w:rsidR="00537F5C" w:rsidRPr="00860E03" w:rsidRDefault="00537F5C" w:rsidP="00537F5C">
            <w:pPr>
              <w:pStyle w:val="ARtabletextright"/>
              <w:spacing w:before="70" w:after="50"/>
            </w:pPr>
            <w:r w:rsidRPr="00860E03">
              <w:t>113,100</w:t>
            </w:r>
          </w:p>
        </w:tc>
      </w:tr>
      <w:tr w:rsidR="00537F5C" w:rsidRPr="00860E03" w14:paraId="4516C6B4" w14:textId="77777777" w:rsidTr="00537F5C">
        <w:trPr>
          <w:cantSplit/>
        </w:trPr>
        <w:tc>
          <w:tcPr>
            <w:tcW w:w="4536" w:type="dxa"/>
          </w:tcPr>
          <w:p w14:paraId="41D5589E" w14:textId="77777777" w:rsidR="00537F5C" w:rsidRPr="00860E03" w:rsidRDefault="00537F5C" w:rsidP="00537F5C">
            <w:pPr>
              <w:pStyle w:val="ARtabletext"/>
              <w:spacing w:before="70" w:after="50"/>
            </w:pPr>
            <w:r w:rsidRPr="00860E03">
              <w:t>Co-generation steam</w:t>
            </w:r>
          </w:p>
        </w:tc>
        <w:tc>
          <w:tcPr>
            <w:tcW w:w="1701" w:type="dxa"/>
          </w:tcPr>
          <w:p w14:paraId="30B587B5" w14:textId="77777777" w:rsidR="00537F5C" w:rsidRPr="00860E03" w:rsidRDefault="00537F5C" w:rsidP="00537F5C">
            <w:pPr>
              <w:pStyle w:val="ARtabletextright"/>
              <w:spacing w:before="70" w:after="50"/>
            </w:pPr>
            <w:r w:rsidRPr="00860E03">
              <w:t>23,478</w:t>
            </w:r>
          </w:p>
        </w:tc>
        <w:tc>
          <w:tcPr>
            <w:tcW w:w="1701" w:type="dxa"/>
          </w:tcPr>
          <w:p w14:paraId="3F23EA38" w14:textId="77777777" w:rsidR="00537F5C" w:rsidRPr="00860E03" w:rsidRDefault="00537F5C" w:rsidP="00537F5C">
            <w:pPr>
              <w:pStyle w:val="ARtabletextright"/>
              <w:spacing w:before="70" w:after="50"/>
            </w:pPr>
            <w:r w:rsidRPr="00860E03">
              <w:t>22,623</w:t>
            </w:r>
          </w:p>
        </w:tc>
        <w:tc>
          <w:tcPr>
            <w:tcW w:w="1701" w:type="dxa"/>
          </w:tcPr>
          <w:p w14:paraId="5FDD3A69" w14:textId="77777777" w:rsidR="00537F5C" w:rsidRPr="00860E03" w:rsidRDefault="00537F5C" w:rsidP="00537F5C">
            <w:pPr>
              <w:pStyle w:val="ARtabletextright"/>
              <w:spacing w:before="70" w:after="50"/>
            </w:pPr>
            <w:r w:rsidRPr="00860E03">
              <w:t>20,601</w:t>
            </w:r>
          </w:p>
        </w:tc>
      </w:tr>
      <w:tr w:rsidR="00537F5C" w:rsidRPr="00860E03" w14:paraId="13C1B105" w14:textId="77777777" w:rsidTr="00537F5C">
        <w:trPr>
          <w:cantSplit/>
        </w:trPr>
        <w:tc>
          <w:tcPr>
            <w:tcW w:w="4536" w:type="dxa"/>
          </w:tcPr>
          <w:p w14:paraId="15D1CB33" w14:textId="77777777" w:rsidR="00537F5C" w:rsidRPr="00860E03" w:rsidRDefault="00537F5C" w:rsidP="00537F5C">
            <w:pPr>
              <w:pStyle w:val="ARtabletext"/>
              <w:spacing w:before="70" w:after="50"/>
            </w:pPr>
            <w:r w:rsidRPr="00860E03">
              <w:t>LPG</w:t>
            </w:r>
          </w:p>
        </w:tc>
        <w:tc>
          <w:tcPr>
            <w:tcW w:w="1701" w:type="dxa"/>
          </w:tcPr>
          <w:p w14:paraId="2C6D14E8" w14:textId="77777777" w:rsidR="00537F5C" w:rsidRPr="00860E03" w:rsidRDefault="00537F5C" w:rsidP="00537F5C">
            <w:pPr>
              <w:pStyle w:val="ARtabletextright"/>
              <w:spacing w:before="70" w:after="50"/>
            </w:pPr>
            <w:r w:rsidRPr="00860E03">
              <w:t>3,588</w:t>
            </w:r>
          </w:p>
        </w:tc>
        <w:tc>
          <w:tcPr>
            <w:tcW w:w="1701" w:type="dxa"/>
          </w:tcPr>
          <w:p w14:paraId="6FC7D6A7" w14:textId="77777777" w:rsidR="00537F5C" w:rsidRPr="00860E03" w:rsidRDefault="00537F5C" w:rsidP="00537F5C">
            <w:pPr>
              <w:pStyle w:val="ARtabletextright"/>
              <w:spacing w:before="70" w:after="50"/>
            </w:pPr>
            <w:r w:rsidRPr="00860E03">
              <w:t>5,606</w:t>
            </w:r>
          </w:p>
        </w:tc>
        <w:tc>
          <w:tcPr>
            <w:tcW w:w="1701" w:type="dxa"/>
          </w:tcPr>
          <w:p w14:paraId="6082C4B8" w14:textId="77777777" w:rsidR="00537F5C" w:rsidRPr="00860E03" w:rsidRDefault="00537F5C" w:rsidP="00537F5C">
            <w:pPr>
              <w:pStyle w:val="ARtabletextright"/>
              <w:spacing w:before="70" w:after="50"/>
            </w:pPr>
            <w:r w:rsidRPr="00860E03">
              <w:t>6,242</w:t>
            </w:r>
          </w:p>
        </w:tc>
      </w:tr>
      <w:tr w:rsidR="00537F5C" w:rsidRPr="00860E03" w14:paraId="26A54BA0" w14:textId="77777777" w:rsidTr="00537F5C">
        <w:trPr>
          <w:cantSplit/>
        </w:trPr>
        <w:tc>
          <w:tcPr>
            <w:tcW w:w="4536" w:type="dxa"/>
          </w:tcPr>
          <w:p w14:paraId="08B0CF0F" w14:textId="77777777" w:rsidR="00537F5C" w:rsidRPr="00860E03" w:rsidRDefault="00537F5C" w:rsidP="00537F5C">
            <w:pPr>
              <w:pStyle w:val="ARtabletext"/>
              <w:spacing w:before="70" w:after="50"/>
            </w:pPr>
            <w:r w:rsidRPr="00860E03">
              <w:t>Diesel</w:t>
            </w:r>
          </w:p>
        </w:tc>
        <w:tc>
          <w:tcPr>
            <w:tcW w:w="1701" w:type="dxa"/>
          </w:tcPr>
          <w:p w14:paraId="02041572" w14:textId="77777777" w:rsidR="00537F5C" w:rsidRPr="00860E03" w:rsidRDefault="00537F5C" w:rsidP="00537F5C">
            <w:pPr>
              <w:pStyle w:val="ARtabletextright"/>
              <w:spacing w:before="70" w:after="50"/>
            </w:pPr>
            <w:r w:rsidRPr="00860E03">
              <w:t>319</w:t>
            </w:r>
          </w:p>
        </w:tc>
        <w:tc>
          <w:tcPr>
            <w:tcW w:w="1701" w:type="dxa"/>
          </w:tcPr>
          <w:p w14:paraId="71B76338" w14:textId="77777777" w:rsidR="00537F5C" w:rsidRPr="00860E03" w:rsidRDefault="00537F5C" w:rsidP="00537F5C">
            <w:pPr>
              <w:pStyle w:val="ARtabletextright"/>
              <w:spacing w:before="70" w:after="50"/>
            </w:pPr>
            <w:r w:rsidRPr="00860E03">
              <w:t>42</w:t>
            </w:r>
          </w:p>
        </w:tc>
        <w:tc>
          <w:tcPr>
            <w:tcW w:w="1701" w:type="dxa"/>
          </w:tcPr>
          <w:p w14:paraId="23664D04" w14:textId="77777777" w:rsidR="00537F5C" w:rsidRPr="00860E03" w:rsidRDefault="00537F5C" w:rsidP="00537F5C">
            <w:pPr>
              <w:pStyle w:val="ARtabletextright"/>
              <w:spacing w:before="70" w:after="50"/>
            </w:pPr>
            <w:r w:rsidRPr="00860E03">
              <w:t>83</w:t>
            </w:r>
          </w:p>
        </w:tc>
      </w:tr>
      <w:tr w:rsidR="00537F5C" w:rsidRPr="00860E03" w14:paraId="77D8574D" w14:textId="77777777" w:rsidTr="00537F5C">
        <w:trPr>
          <w:cantSplit/>
        </w:trPr>
        <w:tc>
          <w:tcPr>
            <w:tcW w:w="4536" w:type="dxa"/>
          </w:tcPr>
          <w:p w14:paraId="2E53034E" w14:textId="77777777" w:rsidR="00537F5C" w:rsidRPr="00860E03" w:rsidRDefault="00537F5C" w:rsidP="00537F5C">
            <w:pPr>
              <w:pStyle w:val="ARtabletext"/>
              <w:spacing w:before="70" w:after="50"/>
              <w:rPr>
                <w:b/>
              </w:rPr>
            </w:pPr>
            <w:r w:rsidRPr="00860E03">
              <w:rPr>
                <w:b/>
              </w:rPr>
              <w:t>Total greenhouse gas emissions</w:t>
            </w:r>
          </w:p>
        </w:tc>
        <w:tc>
          <w:tcPr>
            <w:tcW w:w="1701" w:type="dxa"/>
          </w:tcPr>
          <w:p w14:paraId="41B29A6E" w14:textId="77777777" w:rsidR="00537F5C" w:rsidRPr="00860E03" w:rsidRDefault="00537F5C" w:rsidP="00537F5C">
            <w:pPr>
              <w:pStyle w:val="ARtabletextrightbold"/>
              <w:spacing w:before="70" w:after="50"/>
            </w:pPr>
            <w:r w:rsidRPr="00860E03">
              <w:t>815,770</w:t>
            </w:r>
          </w:p>
        </w:tc>
        <w:tc>
          <w:tcPr>
            <w:tcW w:w="1701" w:type="dxa"/>
          </w:tcPr>
          <w:p w14:paraId="7BDB58A8" w14:textId="77777777" w:rsidR="00537F5C" w:rsidRPr="00860E03" w:rsidRDefault="00537F5C" w:rsidP="00537F5C">
            <w:pPr>
              <w:pStyle w:val="ARtabletextrightbold"/>
              <w:spacing w:before="70" w:after="50"/>
            </w:pPr>
            <w:r w:rsidRPr="00860E03">
              <w:t>830,262</w:t>
            </w:r>
          </w:p>
        </w:tc>
        <w:tc>
          <w:tcPr>
            <w:tcW w:w="1701" w:type="dxa"/>
          </w:tcPr>
          <w:p w14:paraId="28E5180C" w14:textId="77777777" w:rsidR="00537F5C" w:rsidRPr="00860E03" w:rsidRDefault="00537F5C" w:rsidP="00537F5C">
            <w:pPr>
              <w:pStyle w:val="ARtabletextrightbold"/>
              <w:spacing w:before="70" w:after="50"/>
            </w:pPr>
            <w:r w:rsidRPr="00860E03">
              <w:t>852,529</w:t>
            </w:r>
          </w:p>
        </w:tc>
      </w:tr>
    </w:tbl>
    <w:p w14:paraId="419A2819" w14:textId="77777777" w:rsidR="00537F5C" w:rsidRPr="00860E03" w:rsidRDefault="00537F5C" w:rsidP="00537F5C">
      <w:pPr>
        <w:pStyle w:val="ARbodynospace"/>
        <w:rPr>
          <w:lang w:eastAsia="en-AU"/>
        </w:rPr>
      </w:pPr>
    </w:p>
    <w:tbl>
      <w:tblPr>
        <w:tblStyle w:val="TableGrid"/>
        <w:tblW w:w="9639" w:type="dxa"/>
        <w:tblLook w:val="06A0" w:firstRow="1" w:lastRow="0" w:firstColumn="1" w:lastColumn="0" w:noHBand="1" w:noVBand="1"/>
      </w:tblPr>
      <w:tblGrid>
        <w:gridCol w:w="4182"/>
        <w:gridCol w:w="1819"/>
        <w:gridCol w:w="1819"/>
        <w:gridCol w:w="1819"/>
      </w:tblGrid>
      <w:tr w:rsidR="00537F5C" w:rsidRPr="00860E03" w14:paraId="12C94BC2" w14:textId="77777777" w:rsidTr="00537F5C">
        <w:trPr>
          <w:cnfStyle w:val="100000000000" w:firstRow="1" w:lastRow="0" w:firstColumn="0" w:lastColumn="0" w:oddVBand="0" w:evenVBand="0" w:oddHBand="0" w:evenHBand="0" w:firstRowFirstColumn="0" w:firstRowLastColumn="0" w:lastRowFirstColumn="0" w:lastRowLastColumn="0"/>
          <w:tblHeader/>
        </w:trPr>
        <w:tc>
          <w:tcPr>
            <w:tcW w:w="0" w:type="dxa"/>
          </w:tcPr>
          <w:p w14:paraId="52011C20" w14:textId="77777777" w:rsidR="00537F5C" w:rsidRPr="00860E03" w:rsidRDefault="00537F5C" w:rsidP="00537F5C">
            <w:pPr>
              <w:pStyle w:val="ARtablecolhead"/>
            </w:pPr>
            <w:r w:rsidRPr="00860E03">
              <w:t>Description</w:t>
            </w:r>
          </w:p>
        </w:tc>
        <w:tc>
          <w:tcPr>
            <w:tcW w:w="0" w:type="dxa"/>
          </w:tcPr>
          <w:p w14:paraId="0FA0D7B0" w14:textId="77777777" w:rsidR="00537F5C" w:rsidRPr="00860E03" w:rsidRDefault="00537F5C" w:rsidP="00537F5C">
            <w:pPr>
              <w:pStyle w:val="ARtablecolheadright"/>
            </w:pPr>
            <w:r w:rsidRPr="00860E03">
              <w:t>2018–19 estimate</w:t>
            </w:r>
          </w:p>
        </w:tc>
        <w:tc>
          <w:tcPr>
            <w:tcW w:w="0" w:type="dxa"/>
          </w:tcPr>
          <w:p w14:paraId="287F292C" w14:textId="77777777" w:rsidR="00537F5C" w:rsidRPr="00860E03" w:rsidRDefault="00537F5C" w:rsidP="00537F5C">
            <w:pPr>
              <w:pStyle w:val="ARtablecolheadright"/>
            </w:pPr>
            <w:r w:rsidRPr="00860E03">
              <w:t>2017–18 estimate</w:t>
            </w:r>
          </w:p>
        </w:tc>
        <w:tc>
          <w:tcPr>
            <w:tcW w:w="0" w:type="dxa"/>
          </w:tcPr>
          <w:p w14:paraId="315B333C" w14:textId="77777777" w:rsidR="00537F5C" w:rsidRPr="00860E03" w:rsidRDefault="00537F5C" w:rsidP="00537F5C">
            <w:pPr>
              <w:pStyle w:val="ARtablecolheadright"/>
            </w:pPr>
            <w:r w:rsidRPr="00860E03">
              <w:t>2016–17 estimate</w:t>
            </w:r>
          </w:p>
        </w:tc>
      </w:tr>
      <w:tr w:rsidR="00537F5C" w:rsidRPr="00860E03" w14:paraId="14686990" w14:textId="77777777" w:rsidTr="00537F5C">
        <w:tc>
          <w:tcPr>
            <w:tcW w:w="0" w:type="dxa"/>
          </w:tcPr>
          <w:p w14:paraId="4F6C057A" w14:textId="77777777" w:rsidR="00537F5C" w:rsidRPr="00860E03" w:rsidRDefault="00537F5C" w:rsidP="00537F5C">
            <w:pPr>
              <w:pStyle w:val="ARtabletext"/>
            </w:pPr>
            <w:r w:rsidRPr="00860E03">
              <w:t>Energy used per separation (gigajoules/separation)</w:t>
            </w:r>
          </w:p>
        </w:tc>
        <w:tc>
          <w:tcPr>
            <w:tcW w:w="0" w:type="dxa"/>
          </w:tcPr>
          <w:p w14:paraId="7E1AF567" w14:textId="77777777" w:rsidR="00537F5C" w:rsidRPr="00860E03" w:rsidRDefault="00537F5C" w:rsidP="00537F5C">
            <w:pPr>
              <w:pStyle w:val="ARtabletextright"/>
            </w:pPr>
            <w:r w:rsidRPr="00860E03">
              <w:t>2.63</w:t>
            </w:r>
          </w:p>
        </w:tc>
        <w:tc>
          <w:tcPr>
            <w:tcW w:w="0" w:type="dxa"/>
          </w:tcPr>
          <w:p w14:paraId="6B4579AF" w14:textId="77777777" w:rsidR="00537F5C" w:rsidRPr="00860E03" w:rsidRDefault="00537F5C" w:rsidP="00537F5C">
            <w:pPr>
              <w:pStyle w:val="ARtabletextright"/>
            </w:pPr>
            <w:r w:rsidRPr="00860E03">
              <w:t>2.74</w:t>
            </w:r>
          </w:p>
        </w:tc>
        <w:tc>
          <w:tcPr>
            <w:tcW w:w="0" w:type="dxa"/>
          </w:tcPr>
          <w:p w14:paraId="635A25C9" w14:textId="77777777" w:rsidR="00537F5C" w:rsidRPr="00860E03" w:rsidRDefault="00537F5C" w:rsidP="00537F5C">
            <w:pPr>
              <w:pStyle w:val="ARtabletextright"/>
            </w:pPr>
            <w:r w:rsidRPr="00860E03">
              <w:t>2.87</w:t>
            </w:r>
          </w:p>
        </w:tc>
      </w:tr>
      <w:tr w:rsidR="00537F5C" w:rsidRPr="00860E03" w14:paraId="1DB287EA" w14:textId="77777777" w:rsidTr="00537F5C">
        <w:tc>
          <w:tcPr>
            <w:tcW w:w="0" w:type="dxa"/>
          </w:tcPr>
          <w:p w14:paraId="04A66F1D" w14:textId="77777777" w:rsidR="00537F5C" w:rsidRPr="00860E03" w:rsidRDefault="00537F5C" w:rsidP="00537F5C">
            <w:pPr>
              <w:pStyle w:val="ARtabletext"/>
            </w:pPr>
            <w:r w:rsidRPr="00860E03">
              <w:t>Energy used per bed day (gigajoules/bed day)</w:t>
            </w:r>
          </w:p>
        </w:tc>
        <w:tc>
          <w:tcPr>
            <w:tcW w:w="0" w:type="dxa"/>
          </w:tcPr>
          <w:p w14:paraId="00016F0D" w14:textId="77777777" w:rsidR="00537F5C" w:rsidRPr="00860E03" w:rsidRDefault="00537F5C" w:rsidP="00537F5C">
            <w:pPr>
              <w:pStyle w:val="ARtabletextright"/>
            </w:pPr>
            <w:r w:rsidRPr="00860E03">
              <w:t>0.71</w:t>
            </w:r>
          </w:p>
        </w:tc>
        <w:tc>
          <w:tcPr>
            <w:tcW w:w="0" w:type="dxa"/>
          </w:tcPr>
          <w:p w14:paraId="520DEC16" w14:textId="77777777" w:rsidR="00537F5C" w:rsidRPr="00860E03" w:rsidRDefault="00537F5C" w:rsidP="00537F5C">
            <w:pPr>
              <w:pStyle w:val="ARtabletextright"/>
            </w:pPr>
            <w:r w:rsidRPr="00860E03">
              <w:t>0.73</w:t>
            </w:r>
          </w:p>
        </w:tc>
        <w:tc>
          <w:tcPr>
            <w:tcW w:w="0" w:type="dxa"/>
          </w:tcPr>
          <w:p w14:paraId="7B26E1D4" w14:textId="77777777" w:rsidR="00537F5C" w:rsidRPr="00860E03" w:rsidRDefault="00537F5C" w:rsidP="00537F5C">
            <w:pPr>
              <w:pStyle w:val="ARtabletextright"/>
            </w:pPr>
            <w:r w:rsidRPr="00860E03">
              <w:t>0.70</w:t>
            </w:r>
          </w:p>
        </w:tc>
      </w:tr>
      <w:tr w:rsidR="00537F5C" w:rsidRPr="00860E03" w14:paraId="324F36FB" w14:textId="77777777" w:rsidTr="00537F5C">
        <w:tc>
          <w:tcPr>
            <w:tcW w:w="0" w:type="dxa"/>
          </w:tcPr>
          <w:p w14:paraId="6514E643" w14:textId="77777777" w:rsidR="00537F5C" w:rsidRPr="00860E03" w:rsidRDefault="00537F5C" w:rsidP="00537F5C">
            <w:pPr>
              <w:pStyle w:val="ARtabletext"/>
            </w:pPr>
            <w:r w:rsidRPr="00860E03">
              <w:t>Energy used per unit of floor space (gigajoules/m</w:t>
            </w:r>
            <w:r w:rsidRPr="00860E03">
              <w:rPr>
                <w:vertAlign w:val="superscript"/>
              </w:rPr>
              <w:t>2</w:t>
            </w:r>
            <w:r w:rsidRPr="00860E03">
              <w:t>)</w:t>
            </w:r>
          </w:p>
        </w:tc>
        <w:tc>
          <w:tcPr>
            <w:tcW w:w="0" w:type="dxa"/>
          </w:tcPr>
          <w:p w14:paraId="6DD27267" w14:textId="77777777" w:rsidR="00537F5C" w:rsidRPr="00860E03" w:rsidRDefault="00537F5C" w:rsidP="00537F5C">
            <w:pPr>
              <w:pStyle w:val="ARtabletextright"/>
            </w:pPr>
            <w:r w:rsidRPr="00860E03">
              <w:t>1.48</w:t>
            </w:r>
          </w:p>
        </w:tc>
        <w:tc>
          <w:tcPr>
            <w:tcW w:w="0" w:type="dxa"/>
          </w:tcPr>
          <w:p w14:paraId="3D7BBFFF" w14:textId="77777777" w:rsidR="00537F5C" w:rsidRPr="00860E03" w:rsidRDefault="00537F5C" w:rsidP="00537F5C">
            <w:pPr>
              <w:pStyle w:val="ARtabletextright"/>
            </w:pPr>
            <w:r w:rsidRPr="00860E03">
              <w:t>1.50</w:t>
            </w:r>
          </w:p>
        </w:tc>
        <w:tc>
          <w:tcPr>
            <w:tcW w:w="0" w:type="dxa"/>
          </w:tcPr>
          <w:p w14:paraId="4F8166BD" w14:textId="77777777" w:rsidR="00537F5C" w:rsidRPr="00860E03" w:rsidRDefault="00537F5C" w:rsidP="00537F5C">
            <w:pPr>
              <w:pStyle w:val="ARtabletextright"/>
            </w:pPr>
            <w:r w:rsidRPr="00860E03">
              <w:t>1.49</w:t>
            </w:r>
          </w:p>
        </w:tc>
      </w:tr>
      <w:tr w:rsidR="00537F5C" w:rsidRPr="00860E03" w14:paraId="17E4D4E8" w14:textId="77777777" w:rsidTr="00537F5C">
        <w:tc>
          <w:tcPr>
            <w:tcW w:w="0" w:type="dxa"/>
          </w:tcPr>
          <w:p w14:paraId="23FCF841" w14:textId="77777777" w:rsidR="00537F5C" w:rsidRPr="00860E03" w:rsidRDefault="00537F5C" w:rsidP="00537F5C">
            <w:pPr>
              <w:pStyle w:val="ARtabletext"/>
            </w:pPr>
            <w:r w:rsidRPr="00860E03">
              <w:t>Greenhouse gas emissions per separation (tonnes CO</w:t>
            </w:r>
            <w:r w:rsidRPr="00860E03">
              <w:rPr>
                <w:vertAlign w:val="subscript"/>
              </w:rPr>
              <w:t>2</w:t>
            </w:r>
            <w:r w:rsidRPr="00860E03">
              <w:t>-e/separation)</w:t>
            </w:r>
          </w:p>
        </w:tc>
        <w:tc>
          <w:tcPr>
            <w:tcW w:w="0" w:type="dxa"/>
          </w:tcPr>
          <w:p w14:paraId="3ACC8A83" w14:textId="77777777" w:rsidR="00537F5C" w:rsidRPr="00860E03" w:rsidRDefault="00537F5C" w:rsidP="00537F5C">
            <w:pPr>
              <w:pStyle w:val="ARtabletextright"/>
            </w:pPr>
            <w:r w:rsidRPr="00860E03">
              <w:t>0.43</w:t>
            </w:r>
          </w:p>
        </w:tc>
        <w:tc>
          <w:tcPr>
            <w:tcW w:w="0" w:type="dxa"/>
          </w:tcPr>
          <w:p w14:paraId="53EAA692" w14:textId="77777777" w:rsidR="00537F5C" w:rsidRPr="00860E03" w:rsidRDefault="00537F5C" w:rsidP="00537F5C">
            <w:pPr>
              <w:pStyle w:val="ARtabletextright"/>
            </w:pPr>
            <w:r w:rsidRPr="00860E03">
              <w:t>0.45</w:t>
            </w:r>
          </w:p>
        </w:tc>
        <w:tc>
          <w:tcPr>
            <w:tcW w:w="0" w:type="dxa"/>
          </w:tcPr>
          <w:p w14:paraId="6C0506DA" w14:textId="77777777" w:rsidR="00537F5C" w:rsidRPr="00860E03" w:rsidRDefault="00537F5C" w:rsidP="00537F5C">
            <w:pPr>
              <w:pStyle w:val="ARtabletextright"/>
            </w:pPr>
            <w:r w:rsidRPr="00860E03">
              <w:t>0.48</w:t>
            </w:r>
          </w:p>
        </w:tc>
      </w:tr>
      <w:tr w:rsidR="00537F5C" w:rsidRPr="00860E03" w14:paraId="43DD496B" w14:textId="77777777" w:rsidTr="00537F5C">
        <w:tc>
          <w:tcPr>
            <w:tcW w:w="0" w:type="dxa"/>
          </w:tcPr>
          <w:p w14:paraId="40C87790" w14:textId="77777777" w:rsidR="00537F5C" w:rsidRPr="00860E03" w:rsidRDefault="00537F5C" w:rsidP="00537F5C">
            <w:pPr>
              <w:pStyle w:val="ARtabletext"/>
            </w:pPr>
            <w:r w:rsidRPr="00860E03">
              <w:t>Greenhouse gas emissions per bed day (tonnes CO</w:t>
            </w:r>
            <w:r w:rsidRPr="00860E03">
              <w:rPr>
                <w:vertAlign w:val="subscript"/>
              </w:rPr>
              <w:t>2</w:t>
            </w:r>
            <w:r w:rsidRPr="00860E03">
              <w:t>-e/bed day)</w:t>
            </w:r>
          </w:p>
        </w:tc>
        <w:tc>
          <w:tcPr>
            <w:tcW w:w="0" w:type="dxa"/>
          </w:tcPr>
          <w:p w14:paraId="659F9A64" w14:textId="77777777" w:rsidR="00537F5C" w:rsidRPr="00860E03" w:rsidRDefault="00537F5C" w:rsidP="00537F5C">
            <w:pPr>
              <w:pStyle w:val="ARtabletextright"/>
            </w:pPr>
            <w:r w:rsidRPr="00860E03">
              <w:t>0.12</w:t>
            </w:r>
          </w:p>
        </w:tc>
        <w:tc>
          <w:tcPr>
            <w:tcW w:w="0" w:type="dxa"/>
          </w:tcPr>
          <w:p w14:paraId="36F2C851" w14:textId="77777777" w:rsidR="00537F5C" w:rsidRPr="00860E03" w:rsidRDefault="00537F5C" w:rsidP="00537F5C">
            <w:pPr>
              <w:pStyle w:val="ARtabletextright"/>
            </w:pPr>
            <w:r w:rsidRPr="00860E03">
              <w:t>0.12</w:t>
            </w:r>
          </w:p>
        </w:tc>
        <w:tc>
          <w:tcPr>
            <w:tcW w:w="0" w:type="dxa"/>
          </w:tcPr>
          <w:p w14:paraId="1AFBAB09" w14:textId="77777777" w:rsidR="00537F5C" w:rsidRPr="00860E03" w:rsidRDefault="00537F5C" w:rsidP="00537F5C">
            <w:pPr>
              <w:pStyle w:val="ARtabletextright"/>
            </w:pPr>
            <w:r w:rsidRPr="00860E03">
              <w:t>0.12</w:t>
            </w:r>
          </w:p>
        </w:tc>
      </w:tr>
      <w:tr w:rsidR="00537F5C" w:rsidRPr="00860E03" w14:paraId="563F37C7" w14:textId="77777777" w:rsidTr="00537F5C">
        <w:tc>
          <w:tcPr>
            <w:tcW w:w="0" w:type="dxa"/>
          </w:tcPr>
          <w:p w14:paraId="1B565CD9" w14:textId="77777777" w:rsidR="00537F5C" w:rsidRPr="00860E03" w:rsidRDefault="00537F5C" w:rsidP="00537F5C">
            <w:pPr>
              <w:pStyle w:val="ARtabletext"/>
            </w:pPr>
            <w:r w:rsidRPr="00860E03">
              <w:t>Greenhouse gas emissions per unit of floor space (tonnes CO</w:t>
            </w:r>
            <w:r w:rsidRPr="00860E03">
              <w:rPr>
                <w:vertAlign w:val="subscript"/>
              </w:rPr>
              <w:t>2</w:t>
            </w:r>
            <w:r w:rsidRPr="00860E03">
              <w:t>-e/m</w:t>
            </w:r>
            <w:r w:rsidRPr="00860E03">
              <w:rPr>
                <w:vertAlign w:val="superscript"/>
              </w:rPr>
              <w:t>2</w:t>
            </w:r>
            <w:r w:rsidRPr="00860E03">
              <w:t>)</w:t>
            </w:r>
          </w:p>
        </w:tc>
        <w:tc>
          <w:tcPr>
            <w:tcW w:w="0" w:type="dxa"/>
          </w:tcPr>
          <w:p w14:paraId="5B34B58A" w14:textId="77777777" w:rsidR="00537F5C" w:rsidRPr="00860E03" w:rsidRDefault="00537F5C" w:rsidP="00537F5C">
            <w:pPr>
              <w:pStyle w:val="ARtabletextright"/>
            </w:pPr>
            <w:r w:rsidRPr="00860E03">
              <w:t>0.24</w:t>
            </w:r>
          </w:p>
        </w:tc>
        <w:tc>
          <w:tcPr>
            <w:tcW w:w="0" w:type="dxa"/>
          </w:tcPr>
          <w:p w14:paraId="10255EA1" w14:textId="77777777" w:rsidR="00537F5C" w:rsidRPr="00860E03" w:rsidRDefault="00537F5C" w:rsidP="00537F5C">
            <w:pPr>
              <w:pStyle w:val="ARtabletextright"/>
            </w:pPr>
            <w:r w:rsidRPr="00860E03">
              <w:t>0.24</w:t>
            </w:r>
          </w:p>
        </w:tc>
        <w:tc>
          <w:tcPr>
            <w:tcW w:w="0" w:type="dxa"/>
          </w:tcPr>
          <w:p w14:paraId="04AC04C2" w14:textId="77777777" w:rsidR="00537F5C" w:rsidRPr="00860E03" w:rsidRDefault="00537F5C" w:rsidP="00537F5C">
            <w:pPr>
              <w:pStyle w:val="ARtabletextright"/>
            </w:pPr>
            <w:r w:rsidRPr="00860E03">
              <w:t>0.25</w:t>
            </w:r>
          </w:p>
        </w:tc>
      </w:tr>
    </w:tbl>
    <w:p w14:paraId="524BBB10" w14:textId="77777777" w:rsidR="00F73A80" w:rsidRPr="00860E03" w:rsidRDefault="00F73A80" w:rsidP="00F73A80">
      <w:pPr>
        <w:pStyle w:val="ARtablefootnote"/>
        <w:rPr>
          <w:lang w:eastAsia="en-AU"/>
        </w:rPr>
      </w:pPr>
      <w:r w:rsidRPr="00860E03">
        <w:rPr>
          <w:lang w:eastAsia="en-AU"/>
        </w:rPr>
        <w:t>Public health services are GST-exempt organisations. Reported cost data for public health services is exclusive of GST. Public health greenhouse gas emission indicators include emissions associated with the use of nitrous oxide in public hospitals.</w:t>
      </w:r>
    </w:p>
    <w:p w14:paraId="3E5432A0" w14:textId="77777777" w:rsidR="00F73A80" w:rsidRPr="00860E03" w:rsidRDefault="00F73A80" w:rsidP="00F73A80">
      <w:pPr>
        <w:pStyle w:val="ARtablefootnote"/>
        <w:rPr>
          <w:lang w:eastAsia="en-AU"/>
        </w:rPr>
      </w:pPr>
      <w:r w:rsidRPr="00860E03">
        <w:rPr>
          <w:lang w:eastAsia="en-AU"/>
        </w:rPr>
        <w:t>Reported energy usage includes a 3 per cent estimate due to some data being unavailable from energy retailers at the time of reporting.</w:t>
      </w:r>
    </w:p>
    <w:p w14:paraId="3F26E77C" w14:textId="77777777" w:rsidR="00F04442" w:rsidRPr="006D2AEB" w:rsidRDefault="00F04442" w:rsidP="006D2AEB">
      <w:pPr>
        <w:pStyle w:val="ARbody"/>
      </w:pPr>
      <w:r w:rsidRPr="006D2AEB">
        <w:br w:type="page"/>
      </w:r>
    </w:p>
    <w:p w14:paraId="528B6533" w14:textId="77777777" w:rsidR="00F73A80" w:rsidRPr="007939DD" w:rsidRDefault="00F73A80" w:rsidP="00F73A80">
      <w:pPr>
        <w:pStyle w:val="Heading2"/>
      </w:pPr>
      <w:r w:rsidRPr="007939DD">
        <w:t>Water use</w:t>
      </w:r>
    </w:p>
    <w:p w14:paraId="48B6379C" w14:textId="77777777" w:rsidR="00537F5C" w:rsidRPr="007939DD" w:rsidRDefault="00537F5C" w:rsidP="00537F5C">
      <w:pPr>
        <w:pStyle w:val="Heading3"/>
      </w:pPr>
      <w:r w:rsidRPr="007939DD">
        <w:t>Office</w:t>
      </w:r>
      <w:r>
        <w:t xml:space="preserve"> </w:t>
      </w:r>
      <w:r w:rsidRPr="007939DD">
        <w:t>based</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537F5C" w:rsidRPr="007939DD" w14:paraId="24A9568E" w14:textId="77777777" w:rsidTr="00537F5C">
        <w:trPr>
          <w:cantSplit/>
          <w:trHeight w:val="360"/>
          <w:tblHeader/>
        </w:trPr>
        <w:tc>
          <w:tcPr>
            <w:tcW w:w="2835" w:type="dxa"/>
          </w:tcPr>
          <w:p w14:paraId="11802C99" w14:textId="77777777" w:rsidR="00537F5C" w:rsidRPr="007939DD" w:rsidRDefault="00537F5C" w:rsidP="00537F5C">
            <w:pPr>
              <w:pStyle w:val="ARtablecolhead"/>
            </w:pPr>
            <w:r w:rsidRPr="007939DD">
              <w:t>Description</w:t>
            </w:r>
          </w:p>
        </w:tc>
        <w:tc>
          <w:tcPr>
            <w:tcW w:w="2268" w:type="dxa"/>
            <w:tcBorders>
              <w:top w:val="nil"/>
            </w:tcBorders>
          </w:tcPr>
          <w:p w14:paraId="7D3BA3A6" w14:textId="77777777" w:rsidR="00537F5C" w:rsidRPr="007939DD" w:rsidRDefault="00537F5C" w:rsidP="00537F5C">
            <w:pPr>
              <w:pStyle w:val="ARtablecolheadright"/>
            </w:pPr>
            <w:r w:rsidRPr="007939DD">
              <w:t>201</w:t>
            </w:r>
            <w:r>
              <w:t>8</w:t>
            </w:r>
            <w:r w:rsidRPr="007939DD">
              <w:t>–1</w:t>
            </w:r>
            <w:r>
              <w:t>9</w:t>
            </w:r>
            <w:r w:rsidRPr="007939DD">
              <w:t xml:space="preserve"> estimate</w:t>
            </w:r>
          </w:p>
        </w:tc>
        <w:tc>
          <w:tcPr>
            <w:tcW w:w="2268" w:type="dxa"/>
            <w:tcBorders>
              <w:top w:val="nil"/>
            </w:tcBorders>
          </w:tcPr>
          <w:p w14:paraId="74020EBD" w14:textId="77777777" w:rsidR="00537F5C" w:rsidRPr="007939DD" w:rsidRDefault="00537F5C" w:rsidP="00537F5C">
            <w:pPr>
              <w:pStyle w:val="ARtablecolheadright"/>
            </w:pPr>
            <w:r w:rsidRPr="007939DD">
              <w:t>2017–18 estimate</w:t>
            </w:r>
          </w:p>
        </w:tc>
        <w:tc>
          <w:tcPr>
            <w:tcW w:w="2268" w:type="dxa"/>
          </w:tcPr>
          <w:p w14:paraId="0DFC572F" w14:textId="77777777" w:rsidR="00537F5C" w:rsidRPr="007939DD" w:rsidRDefault="00537F5C" w:rsidP="00537F5C">
            <w:pPr>
              <w:pStyle w:val="ARtablecolheadright"/>
            </w:pPr>
            <w:r w:rsidRPr="007939DD">
              <w:t>2016–17 estimate</w:t>
            </w:r>
          </w:p>
        </w:tc>
      </w:tr>
      <w:tr w:rsidR="00537F5C" w:rsidRPr="00860E03" w14:paraId="06C2F449" w14:textId="77777777" w:rsidTr="00537F5C">
        <w:trPr>
          <w:cantSplit/>
          <w:trHeight w:val="276"/>
        </w:trPr>
        <w:tc>
          <w:tcPr>
            <w:tcW w:w="2835" w:type="dxa"/>
          </w:tcPr>
          <w:p w14:paraId="0F6A4D12" w14:textId="77777777" w:rsidR="00537F5C" w:rsidRPr="00860E03" w:rsidRDefault="00537F5C" w:rsidP="00537F5C">
            <w:pPr>
              <w:pStyle w:val="ARtabletext"/>
            </w:pPr>
            <w:r w:rsidRPr="00860E03">
              <w:t>Total water used (kilolitres)</w:t>
            </w:r>
          </w:p>
        </w:tc>
        <w:tc>
          <w:tcPr>
            <w:tcW w:w="2268" w:type="dxa"/>
          </w:tcPr>
          <w:p w14:paraId="7C1B69F3" w14:textId="77777777" w:rsidR="00537F5C" w:rsidRPr="00860E03" w:rsidRDefault="00537F5C" w:rsidP="00537F5C">
            <w:pPr>
              <w:pStyle w:val="ARtabletextright"/>
            </w:pPr>
            <w:r w:rsidRPr="00860E03">
              <w:t>57,263</w:t>
            </w:r>
          </w:p>
        </w:tc>
        <w:tc>
          <w:tcPr>
            <w:tcW w:w="2268" w:type="dxa"/>
          </w:tcPr>
          <w:p w14:paraId="42BC9B3E" w14:textId="77777777" w:rsidR="00537F5C" w:rsidRPr="00860E03" w:rsidRDefault="00537F5C" w:rsidP="00537F5C">
            <w:pPr>
              <w:pStyle w:val="ARtabletextright"/>
            </w:pPr>
            <w:r w:rsidRPr="00860E03">
              <w:t>66,266</w:t>
            </w:r>
          </w:p>
        </w:tc>
        <w:tc>
          <w:tcPr>
            <w:tcW w:w="2268" w:type="dxa"/>
          </w:tcPr>
          <w:p w14:paraId="589C7F0D" w14:textId="77777777" w:rsidR="00537F5C" w:rsidRPr="00860E03" w:rsidRDefault="00537F5C" w:rsidP="00537F5C">
            <w:pPr>
              <w:pStyle w:val="ARtabletextright"/>
            </w:pPr>
            <w:r w:rsidRPr="00860E03">
              <w:t>51,698</w:t>
            </w:r>
          </w:p>
        </w:tc>
      </w:tr>
      <w:tr w:rsidR="00537F5C" w:rsidRPr="00860E03" w14:paraId="7EF3DB97" w14:textId="77777777" w:rsidTr="00537F5C">
        <w:trPr>
          <w:cantSplit/>
          <w:trHeight w:val="276"/>
        </w:trPr>
        <w:tc>
          <w:tcPr>
            <w:tcW w:w="2835" w:type="dxa"/>
          </w:tcPr>
          <w:p w14:paraId="002250D7" w14:textId="77777777" w:rsidR="00537F5C" w:rsidRPr="00860E03" w:rsidRDefault="00537F5C" w:rsidP="00537F5C">
            <w:pPr>
              <w:pStyle w:val="ARtabletext"/>
            </w:pPr>
            <w:r w:rsidRPr="00860E03">
              <w:t>Total water usage and sewage charge ($ million)</w:t>
            </w:r>
          </w:p>
        </w:tc>
        <w:tc>
          <w:tcPr>
            <w:tcW w:w="2268" w:type="dxa"/>
          </w:tcPr>
          <w:p w14:paraId="3F84040C" w14:textId="77777777" w:rsidR="00537F5C" w:rsidRPr="00860E03" w:rsidRDefault="00537F5C" w:rsidP="00537F5C">
            <w:pPr>
              <w:pStyle w:val="ARtabletextright"/>
            </w:pPr>
            <w:r w:rsidRPr="00860E03">
              <w:t>$0.16</w:t>
            </w:r>
          </w:p>
        </w:tc>
        <w:tc>
          <w:tcPr>
            <w:tcW w:w="2268" w:type="dxa"/>
          </w:tcPr>
          <w:p w14:paraId="469C2630" w14:textId="77777777" w:rsidR="00537F5C" w:rsidRPr="00860E03" w:rsidRDefault="00537F5C" w:rsidP="00537F5C">
            <w:pPr>
              <w:pStyle w:val="ARtabletextright"/>
            </w:pPr>
            <w:r w:rsidRPr="00860E03">
              <w:t>$0.15</w:t>
            </w:r>
          </w:p>
        </w:tc>
        <w:tc>
          <w:tcPr>
            <w:tcW w:w="2268" w:type="dxa"/>
          </w:tcPr>
          <w:p w14:paraId="6F71E1E4" w14:textId="77777777" w:rsidR="00537F5C" w:rsidRPr="00860E03" w:rsidRDefault="00537F5C" w:rsidP="00537F5C">
            <w:pPr>
              <w:pStyle w:val="ARtabletextright"/>
            </w:pPr>
            <w:r w:rsidRPr="00860E03">
              <w:t>$0.13</w:t>
            </w:r>
          </w:p>
        </w:tc>
      </w:tr>
      <w:tr w:rsidR="00537F5C" w:rsidRPr="00860E03" w14:paraId="46E3D367" w14:textId="77777777" w:rsidTr="00537F5C">
        <w:trPr>
          <w:cantSplit/>
          <w:trHeight w:val="276"/>
        </w:trPr>
        <w:tc>
          <w:tcPr>
            <w:tcW w:w="2835" w:type="dxa"/>
          </w:tcPr>
          <w:p w14:paraId="6C3C221E" w14:textId="77777777" w:rsidR="00537F5C" w:rsidRPr="00860E03" w:rsidRDefault="00537F5C" w:rsidP="00537F5C">
            <w:pPr>
              <w:pStyle w:val="ARtabletext"/>
            </w:pPr>
            <w:r w:rsidRPr="00860E03">
              <w:t>Water used per FTE – leased offices (litres/FTE)</w:t>
            </w:r>
          </w:p>
        </w:tc>
        <w:tc>
          <w:tcPr>
            <w:tcW w:w="2268" w:type="dxa"/>
          </w:tcPr>
          <w:p w14:paraId="59F5D940" w14:textId="77777777" w:rsidR="00537F5C" w:rsidRPr="00860E03" w:rsidRDefault="00537F5C" w:rsidP="00537F5C">
            <w:pPr>
              <w:pStyle w:val="ARtabletextright"/>
            </w:pPr>
            <w:r w:rsidRPr="00860E03">
              <w:t>6,281</w:t>
            </w:r>
          </w:p>
        </w:tc>
        <w:tc>
          <w:tcPr>
            <w:tcW w:w="2268" w:type="dxa"/>
          </w:tcPr>
          <w:p w14:paraId="479C4BEF" w14:textId="77777777" w:rsidR="00537F5C" w:rsidRPr="00860E03" w:rsidRDefault="00537F5C" w:rsidP="00537F5C">
            <w:pPr>
              <w:pStyle w:val="ARtabletextright"/>
            </w:pPr>
            <w:r w:rsidRPr="00860E03">
              <w:t>8,316</w:t>
            </w:r>
          </w:p>
        </w:tc>
        <w:tc>
          <w:tcPr>
            <w:tcW w:w="2268" w:type="dxa"/>
          </w:tcPr>
          <w:p w14:paraId="5219E7F0" w14:textId="77777777" w:rsidR="00537F5C" w:rsidRPr="00860E03" w:rsidRDefault="00537F5C" w:rsidP="00537F5C">
            <w:pPr>
              <w:pStyle w:val="ARtabletextright"/>
            </w:pPr>
            <w:r w:rsidRPr="00860E03">
              <w:t>8,395</w:t>
            </w:r>
          </w:p>
        </w:tc>
      </w:tr>
      <w:tr w:rsidR="00537F5C" w:rsidRPr="00860E03" w14:paraId="0CA9B65F" w14:textId="77777777" w:rsidTr="00537F5C">
        <w:trPr>
          <w:cantSplit/>
          <w:trHeight w:val="276"/>
        </w:trPr>
        <w:tc>
          <w:tcPr>
            <w:tcW w:w="2835" w:type="dxa"/>
          </w:tcPr>
          <w:p w14:paraId="2D3201DE" w14:textId="77777777" w:rsidR="00537F5C" w:rsidRPr="00860E03" w:rsidRDefault="00537F5C" w:rsidP="00537F5C">
            <w:pPr>
              <w:pStyle w:val="ARtabletext"/>
            </w:pPr>
            <w:r w:rsidRPr="00860E03">
              <w:t>Water used per FTE – government-owned offices (litres/FTE)</w:t>
            </w:r>
          </w:p>
        </w:tc>
        <w:tc>
          <w:tcPr>
            <w:tcW w:w="2268" w:type="dxa"/>
          </w:tcPr>
          <w:p w14:paraId="727E6741" w14:textId="77777777" w:rsidR="00537F5C" w:rsidRPr="00860E03" w:rsidRDefault="00537F5C" w:rsidP="00537F5C">
            <w:pPr>
              <w:pStyle w:val="ARtabletextright"/>
            </w:pPr>
            <w:r w:rsidRPr="00860E03">
              <w:t>7,947</w:t>
            </w:r>
          </w:p>
        </w:tc>
        <w:tc>
          <w:tcPr>
            <w:tcW w:w="2268" w:type="dxa"/>
          </w:tcPr>
          <w:p w14:paraId="764C1EFF" w14:textId="77777777" w:rsidR="00537F5C" w:rsidRPr="00860E03" w:rsidRDefault="00537F5C" w:rsidP="00537F5C">
            <w:pPr>
              <w:pStyle w:val="ARtabletextright"/>
            </w:pPr>
            <w:r w:rsidRPr="00860E03">
              <w:t>5,988</w:t>
            </w:r>
          </w:p>
        </w:tc>
        <w:tc>
          <w:tcPr>
            <w:tcW w:w="2268" w:type="dxa"/>
          </w:tcPr>
          <w:p w14:paraId="614E1C8A" w14:textId="77777777" w:rsidR="00537F5C" w:rsidRPr="00860E03" w:rsidRDefault="00537F5C" w:rsidP="00537F5C">
            <w:pPr>
              <w:pStyle w:val="ARtabletextright"/>
            </w:pPr>
            <w:r w:rsidRPr="00860E03">
              <w:t>6,179</w:t>
            </w:r>
          </w:p>
        </w:tc>
      </w:tr>
      <w:tr w:rsidR="00537F5C" w:rsidRPr="00860E03" w14:paraId="4FA8CB88" w14:textId="77777777" w:rsidTr="00537F5C">
        <w:trPr>
          <w:cantSplit/>
          <w:trHeight w:val="276"/>
        </w:trPr>
        <w:tc>
          <w:tcPr>
            <w:tcW w:w="2835" w:type="dxa"/>
          </w:tcPr>
          <w:p w14:paraId="65C624FD" w14:textId="77777777" w:rsidR="00537F5C" w:rsidRPr="00860E03" w:rsidRDefault="00537F5C" w:rsidP="00537F5C">
            <w:pPr>
              <w:pStyle w:val="ARtabletext"/>
            </w:pPr>
            <w:r w:rsidRPr="00860E03">
              <w:t>Total water used per FTE (litres/FTE)</w:t>
            </w:r>
          </w:p>
        </w:tc>
        <w:tc>
          <w:tcPr>
            <w:tcW w:w="2268" w:type="dxa"/>
          </w:tcPr>
          <w:p w14:paraId="7D85ECE0" w14:textId="77777777" w:rsidR="00537F5C" w:rsidRPr="00860E03" w:rsidRDefault="00537F5C" w:rsidP="00537F5C">
            <w:pPr>
              <w:pStyle w:val="ARtabletextright"/>
            </w:pPr>
            <w:r w:rsidRPr="00860E03">
              <w:t>6,442</w:t>
            </w:r>
          </w:p>
        </w:tc>
        <w:tc>
          <w:tcPr>
            <w:tcW w:w="2268" w:type="dxa"/>
          </w:tcPr>
          <w:p w14:paraId="15DD4DF4" w14:textId="77777777" w:rsidR="00537F5C" w:rsidRPr="00860E03" w:rsidRDefault="00537F5C" w:rsidP="00537F5C">
            <w:pPr>
              <w:pStyle w:val="ARtabletextright"/>
            </w:pPr>
            <w:r w:rsidRPr="00860E03">
              <w:t>7,574</w:t>
            </w:r>
          </w:p>
        </w:tc>
        <w:tc>
          <w:tcPr>
            <w:tcW w:w="2268" w:type="dxa"/>
          </w:tcPr>
          <w:p w14:paraId="660457CA" w14:textId="77777777" w:rsidR="00537F5C" w:rsidRPr="00860E03" w:rsidRDefault="00537F5C" w:rsidP="00537F5C">
            <w:pPr>
              <w:pStyle w:val="ARtabletextright"/>
            </w:pPr>
            <w:r w:rsidRPr="00860E03">
              <w:t>6,774</w:t>
            </w:r>
          </w:p>
        </w:tc>
      </w:tr>
      <w:tr w:rsidR="00537F5C" w:rsidRPr="00860E03" w14:paraId="6556AE2A" w14:textId="77777777" w:rsidTr="00537F5C">
        <w:trPr>
          <w:cantSplit/>
          <w:trHeight w:val="276"/>
        </w:trPr>
        <w:tc>
          <w:tcPr>
            <w:tcW w:w="2835" w:type="dxa"/>
          </w:tcPr>
          <w:p w14:paraId="1994F082" w14:textId="77777777" w:rsidR="00537F5C" w:rsidRPr="00860E03" w:rsidRDefault="00537F5C" w:rsidP="00537F5C">
            <w:pPr>
              <w:pStyle w:val="ARtabletext"/>
            </w:pPr>
            <w:r w:rsidRPr="00860E03">
              <w:t>Water used per unit of office space (litres/m</w:t>
            </w:r>
            <w:r w:rsidRPr="00860E03">
              <w:rPr>
                <w:vertAlign w:val="superscript"/>
              </w:rPr>
              <w:t>2</w:t>
            </w:r>
            <w:r w:rsidRPr="00860E03">
              <w:t>)</w:t>
            </w:r>
          </w:p>
        </w:tc>
        <w:tc>
          <w:tcPr>
            <w:tcW w:w="2268" w:type="dxa"/>
          </w:tcPr>
          <w:p w14:paraId="01DB6560" w14:textId="77777777" w:rsidR="00537F5C" w:rsidRPr="00860E03" w:rsidRDefault="00537F5C" w:rsidP="00537F5C">
            <w:pPr>
              <w:pStyle w:val="ARtabletextright"/>
            </w:pPr>
            <w:r w:rsidRPr="00860E03">
              <w:t>369</w:t>
            </w:r>
          </w:p>
        </w:tc>
        <w:tc>
          <w:tcPr>
            <w:tcW w:w="2268" w:type="dxa"/>
          </w:tcPr>
          <w:p w14:paraId="58CCC58D" w14:textId="77777777" w:rsidR="00537F5C" w:rsidRPr="00860E03" w:rsidRDefault="00537F5C" w:rsidP="00537F5C">
            <w:pPr>
              <w:pStyle w:val="ARtabletextright"/>
            </w:pPr>
            <w:r w:rsidRPr="00860E03">
              <w:t>484</w:t>
            </w:r>
          </w:p>
        </w:tc>
        <w:tc>
          <w:tcPr>
            <w:tcW w:w="2268" w:type="dxa"/>
          </w:tcPr>
          <w:p w14:paraId="42C39C79" w14:textId="77777777" w:rsidR="00537F5C" w:rsidRPr="00860E03" w:rsidRDefault="00537F5C" w:rsidP="00537F5C">
            <w:pPr>
              <w:pStyle w:val="ARtabletextright"/>
            </w:pPr>
            <w:r w:rsidRPr="00860E03">
              <w:t>407</w:t>
            </w:r>
          </w:p>
        </w:tc>
      </w:tr>
    </w:tbl>
    <w:p w14:paraId="496463CA" w14:textId="77777777" w:rsidR="00F73A80" w:rsidRPr="00860E03" w:rsidRDefault="00F73A80" w:rsidP="00F73A80">
      <w:pPr>
        <w:pStyle w:val="ARtablefootnote"/>
        <w:rPr>
          <w:lang w:eastAsia="en-AU"/>
        </w:rPr>
      </w:pPr>
      <w:r w:rsidRPr="00860E03">
        <w:rPr>
          <w:lang w:eastAsia="en-AU"/>
        </w:rPr>
        <w:t>Office-based water data represents 90 per cent of office-based FTE and 76 per cent of office-based area.</w:t>
      </w:r>
    </w:p>
    <w:p w14:paraId="216F685D" w14:textId="77777777" w:rsidR="008D124E" w:rsidRDefault="00F73A80" w:rsidP="00F73A80">
      <w:pPr>
        <w:pStyle w:val="ARtablefootnote"/>
      </w:pPr>
      <w:r w:rsidRPr="00860E03">
        <w:t>Office-based water data includes a 20 per cent estimate due to some data being unavailable from water authorities at the time of reporting.</w:t>
      </w:r>
    </w:p>
    <w:p w14:paraId="797083D1" w14:textId="39879517" w:rsidR="00537F5C" w:rsidRDefault="00537F5C" w:rsidP="00537F5C">
      <w:pPr>
        <w:pStyle w:val="Heading3"/>
      </w:pPr>
      <w:r w:rsidRPr="007939DD">
        <w:t>Housing services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157"/>
        <w:gridCol w:w="1712"/>
        <w:gridCol w:w="1340"/>
        <w:gridCol w:w="1107"/>
        <w:gridCol w:w="1108"/>
        <w:gridCol w:w="1107"/>
        <w:gridCol w:w="1108"/>
      </w:tblGrid>
      <w:tr w:rsidR="00537F5C" w:rsidRPr="007939DD" w14:paraId="3AC7FAB6" w14:textId="77777777" w:rsidTr="00537F5C">
        <w:trPr>
          <w:cantSplit/>
          <w:trHeight w:val="230"/>
          <w:tblHeader/>
        </w:trPr>
        <w:tc>
          <w:tcPr>
            <w:tcW w:w="1119" w:type="pct"/>
            <w:vAlign w:val="bottom"/>
          </w:tcPr>
          <w:p w14:paraId="6C7DE29B" w14:textId="77777777" w:rsidR="00537F5C" w:rsidRPr="007939DD" w:rsidRDefault="00537F5C" w:rsidP="00537F5C">
            <w:pPr>
              <w:pStyle w:val="ARtablecolhead"/>
            </w:pPr>
            <w:r w:rsidRPr="007939DD">
              <w:t>Description</w:t>
            </w:r>
          </w:p>
        </w:tc>
        <w:tc>
          <w:tcPr>
            <w:tcW w:w="888" w:type="pct"/>
            <w:vAlign w:val="bottom"/>
          </w:tcPr>
          <w:p w14:paraId="346B53EA" w14:textId="77777777" w:rsidR="00537F5C" w:rsidRPr="007939DD" w:rsidRDefault="00537F5C" w:rsidP="00537F5C">
            <w:pPr>
              <w:pStyle w:val="ARtablecolheadright"/>
            </w:pPr>
            <w:r w:rsidRPr="007939DD">
              <w:t>201</w:t>
            </w:r>
            <w:r>
              <w:t>8</w:t>
            </w:r>
            <w:r w:rsidRPr="007939DD">
              <w:t>–1</w:t>
            </w:r>
            <w:r>
              <w:t>9</w:t>
            </w:r>
            <w:r w:rsidRPr="007939DD">
              <w:br/>
              <w:t>estimate</w:t>
            </w:r>
          </w:p>
        </w:tc>
        <w:tc>
          <w:tcPr>
            <w:tcW w:w="695" w:type="pct"/>
            <w:vAlign w:val="bottom"/>
          </w:tcPr>
          <w:p w14:paraId="147EF860" w14:textId="77777777" w:rsidR="00537F5C" w:rsidRPr="007939DD" w:rsidRDefault="00537F5C" w:rsidP="00537F5C">
            <w:pPr>
              <w:pStyle w:val="ARtablecolheadright"/>
            </w:pPr>
            <w:r w:rsidRPr="007939DD">
              <w:t>201</w:t>
            </w:r>
            <w:r>
              <w:t>8</w:t>
            </w:r>
            <w:r w:rsidRPr="007939DD">
              <w:t>–1</w:t>
            </w:r>
            <w:r>
              <w:t>9</w:t>
            </w:r>
            <w:r w:rsidRPr="007939DD">
              <w:br/>
              <w:t>estimate</w:t>
            </w:r>
          </w:p>
        </w:tc>
        <w:tc>
          <w:tcPr>
            <w:tcW w:w="574" w:type="pct"/>
            <w:vAlign w:val="bottom"/>
          </w:tcPr>
          <w:p w14:paraId="660B2F79" w14:textId="77777777" w:rsidR="00537F5C" w:rsidRPr="007939DD" w:rsidRDefault="00537F5C" w:rsidP="00537F5C">
            <w:pPr>
              <w:pStyle w:val="ARtablecolheadright"/>
            </w:pPr>
            <w:r w:rsidRPr="007939DD">
              <w:t>2017–18</w:t>
            </w:r>
            <w:r w:rsidRPr="007939DD">
              <w:br/>
              <w:t>estimate</w:t>
            </w:r>
          </w:p>
        </w:tc>
        <w:tc>
          <w:tcPr>
            <w:tcW w:w="575" w:type="pct"/>
            <w:vAlign w:val="bottom"/>
          </w:tcPr>
          <w:p w14:paraId="5629226D" w14:textId="77777777" w:rsidR="00537F5C" w:rsidRPr="007939DD" w:rsidRDefault="00537F5C" w:rsidP="00537F5C">
            <w:pPr>
              <w:pStyle w:val="ARtablecolheadright"/>
            </w:pPr>
            <w:r w:rsidRPr="007939DD">
              <w:t>2017–18</w:t>
            </w:r>
            <w:r w:rsidRPr="007939DD">
              <w:br/>
              <w:t>estimate</w:t>
            </w:r>
          </w:p>
        </w:tc>
        <w:tc>
          <w:tcPr>
            <w:tcW w:w="574" w:type="pct"/>
            <w:vAlign w:val="bottom"/>
          </w:tcPr>
          <w:p w14:paraId="031A97E7" w14:textId="77777777" w:rsidR="00537F5C" w:rsidRPr="007939DD" w:rsidRDefault="00537F5C" w:rsidP="00537F5C">
            <w:pPr>
              <w:pStyle w:val="ARtablecolheadright"/>
            </w:pPr>
            <w:r w:rsidRPr="007939DD">
              <w:t>201</w:t>
            </w:r>
            <w:r>
              <w:t>6</w:t>
            </w:r>
            <w:r w:rsidR="009D351A">
              <w:t>–</w:t>
            </w:r>
            <w:r>
              <w:t>17</w:t>
            </w:r>
            <w:r w:rsidRPr="007939DD">
              <w:br/>
              <w:t>estimate</w:t>
            </w:r>
          </w:p>
        </w:tc>
        <w:tc>
          <w:tcPr>
            <w:tcW w:w="575" w:type="pct"/>
            <w:vAlign w:val="bottom"/>
          </w:tcPr>
          <w:p w14:paraId="2E422667" w14:textId="77777777" w:rsidR="00537F5C" w:rsidRPr="007939DD" w:rsidRDefault="00537F5C" w:rsidP="00537F5C">
            <w:pPr>
              <w:pStyle w:val="ARtablecolheadright"/>
            </w:pPr>
            <w:r w:rsidRPr="007939DD">
              <w:t>201</w:t>
            </w:r>
            <w:r>
              <w:t>6</w:t>
            </w:r>
            <w:r w:rsidR="009D351A">
              <w:t>–</w:t>
            </w:r>
            <w:r>
              <w:t>17</w:t>
            </w:r>
            <w:r w:rsidRPr="007939DD">
              <w:br/>
              <w:t>estimate</w:t>
            </w:r>
          </w:p>
        </w:tc>
      </w:tr>
      <w:tr w:rsidR="00537F5C" w:rsidRPr="00860E03" w14:paraId="2575BC90" w14:textId="77777777" w:rsidTr="00537F5C">
        <w:trPr>
          <w:cantSplit/>
          <w:trHeight w:val="335"/>
          <w:tblHeader/>
        </w:trPr>
        <w:tc>
          <w:tcPr>
            <w:tcW w:w="1119" w:type="pct"/>
            <w:vAlign w:val="bottom"/>
          </w:tcPr>
          <w:p w14:paraId="24E9F8ED" w14:textId="77777777" w:rsidR="00537F5C" w:rsidRPr="00860E03" w:rsidRDefault="00537F5C" w:rsidP="00537F5C">
            <w:pPr>
              <w:pStyle w:val="ARtablecolhead"/>
            </w:pPr>
            <w:r w:rsidRPr="00860E03">
              <w:t>Total water usage and charges segmented by source</w:t>
            </w:r>
          </w:p>
        </w:tc>
        <w:tc>
          <w:tcPr>
            <w:tcW w:w="888" w:type="pct"/>
            <w:vAlign w:val="bottom"/>
          </w:tcPr>
          <w:p w14:paraId="3EFF69A6" w14:textId="77777777" w:rsidR="00537F5C" w:rsidRPr="00860E03" w:rsidRDefault="00537F5C" w:rsidP="00537F5C">
            <w:pPr>
              <w:pStyle w:val="ARtablecolheadright"/>
            </w:pPr>
            <w:r w:rsidRPr="00860E03">
              <w:t>Kilolitres</w:t>
            </w:r>
          </w:p>
        </w:tc>
        <w:tc>
          <w:tcPr>
            <w:tcW w:w="695" w:type="pct"/>
            <w:vAlign w:val="bottom"/>
          </w:tcPr>
          <w:p w14:paraId="6784DF11" w14:textId="77777777" w:rsidR="00537F5C" w:rsidRPr="00860E03" w:rsidRDefault="00537F5C" w:rsidP="00537F5C">
            <w:pPr>
              <w:pStyle w:val="ARtablecolheadright"/>
            </w:pPr>
            <w:r w:rsidRPr="00860E03">
              <w:t>Cost</w:t>
            </w:r>
          </w:p>
          <w:p w14:paraId="6F6E803D" w14:textId="77777777" w:rsidR="00537F5C" w:rsidRPr="00860E03" w:rsidRDefault="00537F5C" w:rsidP="00537F5C">
            <w:pPr>
              <w:pStyle w:val="ARtablecolheadright"/>
            </w:pPr>
            <w:r w:rsidRPr="00860E03">
              <w:t>($M)</w:t>
            </w:r>
          </w:p>
        </w:tc>
        <w:tc>
          <w:tcPr>
            <w:tcW w:w="574" w:type="pct"/>
            <w:vAlign w:val="bottom"/>
          </w:tcPr>
          <w:p w14:paraId="7D3AA808" w14:textId="77777777" w:rsidR="00537F5C" w:rsidRPr="00860E03" w:rsidRDefault="00537F5C" w:rsidP="00537F5C">
            <w:pPr>
              <w:pStyle w:val="ARtablecolheadright"/>
            </w:pPr>
            <w:r w:rsidRPr="00860E03">
              <w:t>Kilolitres</w:t>
            </w:r>
          </w:p>
        </w:tc>
        <w:tc>
          <w:tcPr>
            <w:tcW w:w="575" w:type="pct"/>
            <w:vAlign w:val="bottom"/>
          </w:tcPr>
          <w:p w14:paraId="4E4D2F1F" w14:textId="77777777" w:rsidR="00537F5C" w:rsidRPr="00860E03" w:rsidRDefault="00537F5C" w:rsidP="00537F5C">
            <w:pPr>
              <w:pStyle w:val="ARtablecolheadright"/>
            </w:pPr>
            <w:r w:rsidRPr="00860E03">
              <w:t>Cost</w:t>
            </w:r>
          </w:p>
          <w:p w14:paraId="0215879D" w14:textId="77777777" w:rsidR="00537F5C" w:rsidRPr="00860E03" w:rsidRDefault="00537F5C" w:rsidP="00537F5C">
            <w:pPr>
              <w:pStyle w:val="ARtablecolheadright"/>
            </w:pPr>
            <w:r w:rsidRPr="00860E03">
              <w:t>($M)</w:t>
            </w:r>
          </w:p>
        </w:tc>
        <w:tc>
          <w:tcPr>
            <w:tcW w:w="574" w:type="pct"/>
            <w:vAlign w:val="bottom"/>
          </w:tcPr>
          <w:p w14:paraId="0F00533A" w14:textId="77777777" w:rsidR="00537F5C" w:rsidRPr="00860E03" w:rsidRDefault="00537F5C" w:rsidP="00537F5C">
            <w:pPr>
              <w:pStyle w:val="ARtablecolheadright"/>
            </w:pPr>
            <w:r w:rsidRPr="00860E03">
              <w:t>Kilolitres</w:t>
            </w:r>
          </w:p>
        </w:tc>
        <w:tc>
          <w:tcPr>
            <w:tcW w:w="575" w:type="pct"/>
            <w:vAlign w:val="bottom"/>
          </w:tcPr>
          <w:p w14:paraId="1A858C9A" w14:textId="77777777" w:rsidR="00537F5C" w:rsidRPr="00860E03" w:rsidRDefault="00537F5C" w:rsidP="00537F5C">
            <w:pPr>
              <w:pStyle w:val="ARtablecolheadright"/>
            </w:pPr>
            <w:r w:rsidRPr="00860E03">
              <w:t>Cost</w:t>
            </w:r>
          </w:p>
          <w:p w14:paraId="106FA0BA" w14:textId="77777777" w:rsidR="00537F5C" w:rsidRPr="00860E03" w:rsidRDefault="00537F5C" w:rsidP="00537F5C">
            <w:pPr>
              <w:pStyle w:val="ARtablecolheadright"/>
            </w:pPr>
            <w:r w:rsidRPr="00860E03">
              <w:t>($M)</w:t>
            </w:r>
          </w:p>
        </w:tc>
      </w:tr>
      <w:tr w:rsidR="00537F5C" w:rsidRPr="00860E03" w14:paraId="15647F4C" w14:textId="77777777" w:rsidTr="00537F5C">
        <w:trPr>
          <w:cantSplit/>
          <w:trHeight w:val="335"/>
        </w:trPr>
        <w:tc>
          <w:tcPr>
            <w:tcW w:w="1119" w:type="pct"/>
          </w:tcPr>
          <w:p w14:paraId="30CFB49C" w14:textId="77777777" w:rsidR="00537F5C" w:rsidRPr="00860E03" w:rsidRDefault="00537F5C" w:rsidP="00537F5C">
            <w:pPr>
              <w:pStyle w:val="ARtabletext"/>
            </w:pPr>
            <w:r w:rsidRPr="00860E03">
              <w:t xml:space="preserve">High-rise public housing water use </w:t>
            </w:r>
          </w:p>
        </w:tc>
        <w:tc>
          <w:tcPr>
            <w:tcW w:w="888" w:type="pct"/>
          </w:tcPr>
          <w:p w14:paraId="2B508569" w14:textId="77777777" w:rsidR="00537F5C" w:rsidRPr="00860E03" w:rsidRDefault="00537F5C" w:rsidP="00537F5C">
            <w:pPr>
              <w:pStyle w:val="ARtabletextright"/>
            </w:pPr>
            <w:r w:rsidRPr="00860E03">
              <w:t>1,284,446</w:t>
            </w:r>
          </w:p>
        </w:tc>
        <w:tc>
          <w:tcPr>
            <w:tcW w:w="695" w:type="pct"/>
          </w:tcPr>
          <w:p w14:paraId="4B1AE496" w14:textId="77777777" w:rsidR="00537F5C" w:rsidRPr="00860E03" w:rsidRDefault="00537F5C" w:rsidP="00537F5C">
            <w:pPr>
              <w:pStyle w:val="ARtabletextright"/>
            </w:pPr>
            <w:r w:rsidRPr="00860E03">
              <w:t>$4.40</w:t>
            </w:r>
          </w:p>
        </w:tc>
        <w:tc>
          <w:tcPr>
            <w:tcW w:w="574" w:type="pct"/>
          </w:tcPr>
          <w:p w14:paraId="61C0275B" w14:textId="77777777" w:rsidR="00537F5C" w:rsidRPr="00860E03" w:rsidRDefault="00537F5C" w:rsidP="00537F5C">
            <w:pPr>
              <w:pStyle w:val="ARtabletextright"/>
            </w:pPr>
            <w:r w:rsidRPr="00860E03">
              <w:t xml:space="preserve"> 1,342,648 </w:t>
            </w:r>
          </w:p>
        </w:tc>
        <w:tc>
          <w:tcPr>
            <w:tcW w:w="575" w:type="pct"/>
          </w:tcPr>
          <w:p w14:paraId="23B2B83C" w14:textId="77777777" w:rsidR="00537F5C" w:rsidRPr="00860E03" w:rsidRDefault="00537F5C" w:rsidP="00537F5C">
            <w:pPr>
              <w:pStyle w:val="ARtabletextright"/>
            </w:pPr>
            <w:r w:rsidRPr="00860E03">
              <w:t xml:space="preserve">$5.75 </w:t>
            </w:r>
          </w:p>
        </w:tc>
        <w:tc>
          <w:tcPr>
            <w:tcW w:w="574" w:type="pct"/>
          </w:tcPr>
          <w:p w14:paraId="1A529809" w14:textId="77777777" w:rsidR="00537F5C" w:rsidRPr="00860E03" w:rsidRDefault="00537F5C" w:rsidP="00537F5C">
            <w:pPr>
              <w:pStyle w:val="ARtabletextright"/>
            </w:pPr>
            <w:r w:rsidRPr="00860E03">
              <w:t xml:space="preserve">1,405,232 </w:t>
            </w:r>
          </w:p>
        </w:tc>
        <w:tc>
          <w:tcPr>
            <w:tcW w:w="575" w:type="pct"/>
          </w:tcPr>
          <w:p w14:paraId="6D9F5A9F" w14:textId="77777777" w:rsidR="00537F5C" w:rsidRPr="00860E03" w:rsidRDefault="00537F5C" w:rsidP="00537F5C">
            <w:pPr>
              <w:pStyle w:val="ARtabletextright"/>
            </w:pPr>
            <w:r w:rsidRPr="00860E03">
              <w:t xml:space="preserve">$5.92 </w:t>
            </w:r>
          </w:p>
        </w:tc>
      </w:tr>
      <w:tr w:rsidR="00537F5C" w:rsidRPr="00860E03" w14:paraId="4CFDE29A" w14:textId="77777777" w:rsidTr="00537F5C">
        <w:trPr>
          <w:cantSplit/>
          <w:trHeight w:val="335"/>
        </w:trPr>
        <w:tc>
          <w:tcPr>
            <w:tcW w:w="1119" w:type="pct"/>
          </w:tcPr>
          <w:p w14:paraId="4B745210" w14:textId="77777777" w:rsidR="00537F5C" w:rsidRPr="00860E03" w:rsidRDefault="00537F5C" w:rsidP="00537F5C">
            <w:pPr>
              <w:pStyle w:val="ARtabletext"/>
            </w:pPr>
            <w:r w:rsidRPr="00860E03">
              <w:t>Other public housing water use</w:t>
            </w:r>
          </w:p>
        </w:tc>
        <w:tc>
          <w:tcPr>
            <w:tcW w:w="888" w:type="pct"/>
          </w:tcPr>
          <w:p w14:paraId="487D0648" w14:textId="77777777" w:rsidR="00537F5C" w:rsidRPr="00860E03" w:rsidRDefault="00537F5C" w:rsidP="00537F5C">
            <w:pPr>
              <w:pStyle w:val="ARtabletextright"/>
            </w:pPr>
            <w:r w:rsidRPr="00860E03">
              <w:t>80,374</w:t>
            </w:r>
          </w:p>
        </w:tc>
        <w:tc>
          <w:tcPr>
            <w:tcW w:w="695" w:type="pct"/>
          </w:tcPr>
          <w:p w14:paraId="7F66C328" w14:textId="77777777" w:rsidR="00537F5C" w:rsidRPr="00860E03" w:rsidRDefault="00537F5C" w:rsidP="00537F5C">
            <w:pPr>
              <w:pStyle w:val="ARtabletextright"/>
            </w:pPr>
            <w:r w:rsidRPr="00860E03">
              <w:t>$0.27</w:t>
            </w:r>
          </w:p>
        </w:tc>
        <w:tc>
          <w:tcPr>
            <w:tcW w:w="574" w:type="pct"/>
          </w:tcPr>
          <w:p w14:paraId="2459CEEB" w14:textId="77777777" w:rsidR="00537F5C" w:rsidRPr="00860E03" w:rsidRDefault="00537F5C" w:rsidP="00537F5C">
            <w:pPr>
              <w:pStyle w:val="ARtabletextright"/>
            </w:pPr>
            <w:r w:rsidRPr="00860E03">
              <w:t xml:space="preserve"> 79,741 </w:t>
            </w:r>
          </w:p>
        </w:tc>
        <w:tc>
          <w:tcPr>
            <w:tcW w:w="575" w:type="pct"/>
          </w:tcPr>
          <w:p w14:paraId="2463CABD" w14:textId="77777777" w:rsidR="00537F5C" w:rsidRPr="00860E03" w:rsidRDefault="00537F5C" w:rsidP="00537F5C">
            <w:pPr>
              <w:pStyle w:val="ARtabletextright"/>
            </w:pPr>
            <w:r w:rsidRPr="00860E03">
              <w:t xml:space="preserve">$0.32 </w:t>
            </w:r>
          </w:p>
        </w:tc>
        <w:tc>
          <w:tcPr>
            <w:tcW w:w="574" w:type="pct"/>
          </w:tcPr>
          <w:p w14:paraId="2365856F" w14:textId="77777777" w:rsidR="00537F5C" w:rsidRPr="00860E03" w:rsidRDefault="00537F5C" w:rsidP="00537F5C">
            <w:pPr>
              <w:pStyle w:val="ARtabletextright"/>
            </w:pPr>
            <w:r w:rsidRPr="00860E03">
              <w:t xml:space="preserve">82,031 </w:t>
            </w:r>
          </w:p>
        </w:tc>
        <w:tc>
          <w:tcPr>
            <w:tcW w:w="575" w:type="pct"/>
          </w:tcPr>
          <w:p w14:paraId="08BCC5D3" w14:textId="77777777" w:rsidR="00537F5C" w:rsidRPr="00860E03" w:rsidRDefault="00537F5C" w:rsidP="00537F5C">
            <w:pPr>
              <w:pStyle w:val="ARtabletextright"/>
            </w:pPr>
            <w:r w:rsidRPr="00860E03">
              <w:t xml:space="preserve">$0.33 </w:t>
            </w:r>
          </w:p>
        </w:tc>
      </w:tr>
      <w:tr w:rsidR="00537F5C" w:rsidRPr="00860E03" w14:paraId="5E7112C3" w14:textId="77777777" w:rsidTr="00537F5C">
        <w:trPr>
          <w:cantSplit/>
          <w:trHeight w:val="379"/>
        </w:trPr>
        <w:tc>
          <w:tcPr>
            <w:tcW w:w="1119" w:type="pct"/>
          </w:tcPr>
          <w:p w14:paraId="42EB1B91" w14:textId="77777777" w:rsidR="00537F5C" w:rsidRPr="00860E03" w:rsidRDefault="00537F5C" w:rsidP="00537F5C">
            <w:pPr>
              <w:pStyle w:val="ARtabletext"/>
            </w:pPr>
            <w:r w:rsidRPr="00860E03">
              <w:t>Disability housing water use</w:t>
            </w:r>
          </w:p>
        </w:tc>
        <w:tc>
          <w:tcPr>
            <w:tcW w:w="888" w:type="pct"/>
          </w:tcPr>
          <w:p w14:paraId="508D598C" w14:textId="77777777" w:rsidR="00537F5C" w:rsidRPr="00860E03" w:rsidRDefault="00537F5C" w:rsidP="00537F5C">
            <w:pPr>
              <w:pStyle w:val="ARtabletextright"/>
            </w:pPr>
            <w:r w:rsidRPr="00860E03">
              <w:t>64,007</w:t>
            </w:r>
          </w:p>
        </w:tc>
        <w:tc>
          <w:tcPr>
            <w:tcW w:w="695" w:type="pct"/>
          </w:tcPr>
          <w:p w14:paraId="59B141D3" w14:textId="77777777" w:rsidR="00537F5C" w:rsidRPr="00860E03" w:rsidRDefault="00537F5C" w:rsidP="00537F5C">
            <w:pPr>
              <w:pStyle w:val="ARtabletextright"/>
            </w:pPr>
            <w:r w:rsidRPr="00860E03">
              <w:t>$0.21</w:t>
            </w:r>
          </w:p>
        </w:tc>
        <w:tc>
          <w:tcPr>
            <w:tcW w:w="574" w:type="pct"/>
          </w:tcPr>
          <w:p w14:paraId="0037200F" w14:textId="77777777" w:rsidR="00537F5C" w:rsidRPr="00860E03" w:rsidRDefault="00537F5C" w:rsidP="00537F5C">
            <w:pPr>
              <w:pStyle w:val="ARtabletextright"/>
            </w:pPr>
            <w:r w:rsidRPr="00860E03">
              <w:t xml:space="preserve"> 56,439 </w:t>
            </w:r>
          </w:p>
        </w:tc>
        <w:tc>
          <w:tcPr>
            <w:tcW w:w="575" w:type="pct"/>
          </w:tcPr>
          <w:p w14:paraId="5DD5A235" w14:textId="77777777" w:rsidR="00537F5C" w:rsidRPr="00860E03" w:rsidRDefault="00537F5C" w:rsidP="00537F5C">
            <w:pPr>
              <w:pStyle w:val="ARtabletextright"/>
            </w:pPr>
            <w:r w:rsidRPr="00860E03">
              <w:t xml:space="preserve">$0.23 </w:t>
            </w:r>
          </w:p>
        </w:tc>
        <w:tc>
          <w:tcPr>
            <w:tcW w:w="574" w:type="pct"/>
          </w:tcPr>
          <w:p w14:paraId="67BCC563" w14:textId="77777777" w:rsidR="00537F5C" w:rsidRPr="00860E03" w:rsidRDefault="00537F5C" w:rsidP="00537F5C">
            <w:pPr>
              <w:pStyle w:val="ARtabletextright"/>
            </w:pPr>
            <w:r w:rsidRPr="00860E03">
              <w:t xml:space="preserve">56,517 </w:t>
            </w:r>
          </w:p>
        </w:tc>
        <w:tc>
          <w:tcPr>
            <w:tcW w:w="575" w:type="pct"/>
          </w:tcPr>
          <w:p w14:paraId="4FED5209" w14:textId="77777777" w:rsidR="00537F5C" w:rsidRPr="00860E03" w:rsidRDefault="00537F5C" w:rsidP="00537F5C">
            <w:pPr>
              <w:pStyle w:val="ARtabletextright"/>
            </w:pPr>
            <w:r w:rsidRPr="00860E03">
              <w:t xml:space="preserve">$0.22 </w:t>
            </w:r>
          </w:p>
        </w:tc>
      </w:tr>
      <w:tr w:rsidR="00537F5C" w:rsidRPr="00860E03" w14:paraId="7A8B68A5" w14:textId="77777777" w:rsidTr="00537F5C">
        <w:trPr>
          <w:cantSplit/>
          <w:trHeight w:val="379"/>
        </w:trPr>
        <w:tc>
          <w:tcPr>
            <w:tcW w:w="1119" w:type="pct"/>
          </w:tcPr>
          <w:p w14:paraId="32E9A778" w14:textId="77777777" w:rsidR="00537F5C" w:rsidRPr="00860E03" w:rsidRDefault="00537F5C" w:rsidP="00537F5C">
            <w:pPr>
              <w:pStyle w:val="ARtabletext"/>
            </w:pPr>
            <w:r w:rsidRPr="00860E03">
              <w:t>Youth and family welfare water use</w:t>
            </w:r>
          </w:p>
        </w:tc>
        <w:tc>
          <w:tcPr>
            <w:tcW w:w="888" w:type="pct"/>
          </w:tcPr>
          <w:p w14:paraId="48CA7E42" w14:textId="77777777" w:rsidR="00537F5C" w:rsidRPr="00860E03" w:rsidRDefault="00537F5C" w:rsidP="00537F5C">
            <w:pPr>
              <w:pStyle w:val="ARtabletextright"/>
            </w:pPr>
            <w:r w:rsidRPr="00860E03">
              <w:t>2,693</w:t>
            </w:r>
          </w:p>
        </w:tc>
        <w:tc>
          <w:tcPr>
            <w:tcW w:w="695" w:type="pct"/>
          </w:tcPr>
          <w:p w14:paraId="1B5A97C0" w14:textId="77777777" w:rsidR="00537F5C" w:rsidRPr="00860E03" w:rsidRDefault="00537F5C" w:rsidP="00537F5C">
            <w:pPr>
              <w:pStyle w:val="ARtabletextright"/>
            </w:pPr>
            <w:r w:rsidRPr="00860E03">
              <w:t>$0.01</w:t>
            </w:r>
          </w:p>
        </w:tc>
        <w:tc>
          <w:tcPr>
            <w:tcW w:w="574" w:type="pct"/>
          </w:tcPr>
          <w:p w14:paraId="7D7C5832" w14:textId="77777777" w:rsidR="00537F5C" w:rsidRPr="00860E03" w:rsidRDefault="00537F5C" w:rsidP="00537F5C">
            <w:pPr>
              <w:pStyle w:val="ARtabletextright"/>
            </w:pPr>
            <w:r w:rsidRPr="00860E03">
              <w:t xml:space="preserve"> 2,505 </w:t>
            </w:r>
          </w:p>
        </w:tc>
        <w:tc>
          <w:tcPr>
            <w:tcW w:w="575" w:type="pct"/>
          </w:tcPr>
          <w:p w14:paraId="26505FE4" w14:textId="77777777" w:rsidR="00537F5C" w:rsidRPr="00860E03" w:rsidRDefault="00537F5C" w:rsidP="00537F5C">
            <w:pPr>
              <w:pStyle w:val="ARtabletextright"/>
            </w:pPr>
            <w:r w:rsidRPr="00860E03">
              <w:t xml:space="preserve">$0.01 </w:t>
            </w:r>
          </w:p>
        </w:tc>
        <w:tc>
          <w:tcPr>
            <w:tcW w:w="574" w:type="pct"/>
          </w:tcPr>
          <w:p w14:paraId="747B6CB1" w14:textId="77777777" w:rsidR="00537F5C" w:rsidRPr="00860E03" w:rsidRDefault="00537F5C" w:rsidP="00537F5C">
            <w:pPr>
              <w:pStyle w:val="ARtabletextright"/>
            </w:pPr>
            <w:r w:rsidRPr="00860E03">
              <w:t xml:space="preserve">2,406 </w:t>
            </w:r>
          </w:p>
        </w:tc>
        <w:tc>
          <w:tcPr>
            <w:tcW w:w="575" w:type="pct"/>
          </w:tcPr>
          <w:p w14:paraId="3E05AB5A" w14:textId="77777777" w:rsidR="00537F5C" w:rsidRPr="00860E03" w:rsidRDefault="00537F5C" w:rsidP="00537F5C">
            <w:pPr>
              <w:pStyle w:val="ARtabletextright"/>
            </w:pPr>
            <w:r w:rsidRPr="00860E03">
              <w:t xml:space="preserve">$0.01 </w:t>
            </w:r>
          </w:p>
        </w:tc>
      </w:tr>
      <w:tr w:rsidR="00537F5C" w:rsidRPr="00860E03" w14:paraId="364B62AB" w14:textId="77777777" w:rsidTr="00537F5C">
        <w:trPr>
          <w:cantSplit/>
          <w:trHeight w:val="379"/>
        </w:trPr>
        <w:tc>
          <w:tcPr>
            <w:tcW w:w="1119" w:type="pct"/>
          </w:tcPr>
          <w:p w14:paraId="513A70AF" w14:textId="77777777" w:rsidR="00537F5C" w:rsidRPr="00860E03" w:rsidRDefault="00537F5C" w:rsidP="00537F5C">
            <w:pPr>
              <w:pStyle w:val="ARtabletext"/>
            </w:pPr>
            <w:r w:rsidRPr="00860E03">
              <w:t>Youth justice water use*</w:t>
            </w:r>
          </w:p>
        </w:tc>
        <w:tc>
          <w:tcPr>
            <w:tcW w:w="888" w:type="pct"/>
          </w:tcPr>
          <w:p w14:paraId="4A01D565" w14:textId="77777777" w:rsidR="00537F5C" w:rsidRPr="00860E03" w:rsidRDefault="00537F5C" w:rsidP="00537F5C">
            <w:pPr>
              <w:pStyle w:val="ARtabletextright"/>
            </w:pPr>
            <w:r w:rsidRPr="00860E03">
              <w:t>N/A</w:t>
            </w:r>
          </w:p>
        </w:tc>
        <w:tc>
          <w:tcPr>
            <w:tcW w:w="695" w:type="pct"/>
          </w:tcPr>
          <w:p w14:paraId="43646C24" w14:textId="77777777" w:rsidR="00537F5C" w:rsidRPr="00860E03" w:rsidRDefault="00537F5C" w:rsidP="00537F5C">
            <w:pPr>
              <w:pStyle w:val="ARtabletextright"/>
            </w:pPr>
            <w:r w:rsidRPr="00860E03">
              <w:t>N/A</w:t>
            </w:r>
          </w:p>
        </w:tc>
        <w:tc>
          <w:tcPr>
            <w:tcW w:w="574" w:type="pct"/>
          </w:tcPr>
          <w:p w14:paraId="7E9582DB" w14:textId="77777777" w:rsidR="00537F5C" w:rsidRPr="00860E03" w:rsidRDefault="00537F5C" w:rsidP="00537F5C">
            <w:pPr>
              <w:pStyle w:val="ARtabletextright"/>
            </w:pPr>
            <w:r w:rsidRPr="00860E03">
              <w:t>N/A</w:t>
            </w:r>
          </w:p>
        </w:tc>
        <w:tc>
          <w:tcPr>
            <w:tcW w:w="575" w:type="pct"/>
          </w:tcPr>
          <w:p w14:paraId="48CA0D56" w14:textId="77777777" w:rsidR="00537F5C" w:rsidRPr="00860E03" w:rsidRDefault="00537F5C" w:rsidP="00537F5C">
            <w:pPr>
              <w:pStyle w:val="ARtabletextright"/>
            </w:pPr>
            <w:r w:rsidRPr="00860E03">
              <w:t>N/A</w:t>
            </w:r>
          </w:p>
        </w:tc>
        <w:tc>
          <w:tcPr>
            <w:tcW w:w="574" w:type="pct"/>
          </w:tcPr>
          <w:p w14:paraId="0A6E66CD" w14:textId="77777777" w:rsidR="00537F5C" w:rsidRPr="00860E03" w:rsidRDefault="00537F5C" w:rsidP="00537F5C">
            <w:pPr>
              <w:pStyle w:val="ARtabletextright"/>
            </w:pPr>
            <w:r w:rsidRPr="00860E03">
              <w:t xml:space="preserve">26,413 </w:t>
            </w:r>
          </w:p>
        </w:tc>
        <w:tc>
          <w:tcPr>
            <w:tcW w:w="575" w:type="pct"/>
          </w:tcPr>
          <w:p w14:paraId="486A6FAF" w14:textId="77777777" w:rsidR="00537F5C" w:rsidRPr="00860E03" w:rsidRDefault="00537F5C" w:rsidP="00537F5C">
            <w:pPr>
              <w:pStyle w:val="ARtabletextright"/>
            </w:pPr>
            <w:r w:rsidRPr="00860E03">
              <w:t>$0.08</w:t>
            </w:r>
          </w:p>
        </w:tc>
      </w:tr>
      <w:tr w:rsidR="00537F5C" w:rsidRPr="00860E03" w14:paraId="6094BB32" w14:textId="77777777" w:rsidTr="00537F5C">
        <w:trPr>
          <w:cantSplit/>
          <w:trHeight w:val="188"/>
        </w:trPr>
        <w:tc>
          <w:tcPr>
            <w:tcW w:w="1119" w:type="pct"/>
          </w:tcPr>
          <w:p w14:paraId="051508A6" w14:textId="77777777" w:rsidR="00537F5C" w:rsidRPr="00860E03" w:rsidRDefault="00537F5C" w:rsidP="00537F5C">
            <w:pPr>
              <w:pStyle w:val="ARtabletext"/>
              <w:rPr>
                <w:b/>
              </w:rPr>
            </w:pPr>
            <w:r w:rsidRPr="00860E03">
              <w:rPr>
                <w:b/>
              </w:rPr>
              <w:t xml:space="preserve">Total </w:t>
            </w:r>
            <w:r>
              <w:rPr>
                <w:b/>
              </w:rPr>
              <w:t xml:space="preserve">water usage and sewage </w:t>
            </w:r>
          </w:p>
        </w:tc>
        <w:tc>
          <w:tcPr>
            <w:tcW w:w="888" w:type="pct"/>
          </w:tcPr>
          <w:p w14:paraId="12F98992" w14:textId="77777777" w:rsidR="00537F5C" w:rsidRPr="00860E03" w:rsidRDefault="00537F5C" w:rsidP="00537F5C">
            <w:pPr>
              <w:pStyle w:val="ARtabletextrightbold"/>
            </w:pPr>
            <w:r w:rsidRPr="00860E03">
              <w:t>1,431,520</w:t>
            </w:r>
          </w:p>
        </w:tc>
        <w:tc>
          <w:tcPr>
            <w:tcW w:w="695" w:type="pct"/>
          </w:tcPr>
          <w:p w14:paraId="0A1F6189" w14:textId="77777777" w:rsidR="00537F5C" w:rsidRPr="00860E03" w:rsidRDefault="00537F5C" w:rsidP="00537F5C">
            <w:pPr>
              <w:pStyle w:val="ARtabletextrightbold"/>
            </w:pPr>
            <w:r w:rsidRPr="00860E03">
              <w:t>$4.90</w:t>
            </w:r>
          </w:p>
        </w:tc>
        <w:tc>
          <w:tcPr>
            <w:tcW w:w="574" w:type="pct"/>
          </w:tcPr>
          <w:p w14:paraId="70ED80C9" w14:textId="77777777" w:rsidR="00537F5C" w:rsidRPr="00860E03" w:rsidRDefault="00537F5C" w:rsidP="00537F5C">
            <w:pPr>
              <w:pStyle w:val="ARtabletextrightbold"/>
            </w:pPr>
            <w:r w:rsidRPr="00860E03">
              <w:t xml:space="preserve"> 1,481,333 </w:t>
            </w:r>
          </w:p>
        </w:tc>
        <w:tc>
          <w:tcPr>
            <w:tcW w:w="575" w:type="pct"/>
          </w:tcPr>
          <w:p w14:paraId="62728BD0" w14:textId="77777777" w:rsidR="00537F5C" w:rsidRPr="00860E03" w:rsidRDefault="00537F5C" w:rsidP="00537F5C">
            <w:pPr>
              <w:pStyle w:val="ARtabletextrightbold"/>
            </w:pPr>
            <w:r w:rsidRPr="00860E03">
              <w:t xml:space="preserve"> $6.32 </w:t>
            </w:r>
          </w:p>
        </w:tc>
        <w:tc>
          <w:tcPr>
            <w:tcW w:w="574" w:type="pct"/>
          </w:tcPr>
          <w:p w14:paraId="5F6AA0DF" w14:textId="77777777" w:rsidR="00537F5C" w:rsidRPr="00860E03" w:rsidRDefault="00537F5C" w:rsidP="00537F5C">
            <w:pPr>
              <w:pStyle w:val="ARtabletextrightbold"/>
            </w:pPr>
            <w:r w:rsidRPr="00860E03">
              <w:t xml:space="preserve">1,572,600 </w:t>
            </w:r>
          </w:p>
        </w:tc>
        <w:tc>
          <w:tcPr>
            <w:tcW w:w="575" w:type="pct"/>
          </w:tcPr>
          <w:p w14:paraId="18AA83F3" w14:textId="77777777" w:rsidR="00537F5C" w:rsidRPr="00860E03" w:rsidRDefault="00537F5C" w:rsidP="00537F5C">
            <w:pPr>
              <w:pStyle w:val="ARtabletextrightbold"/>
            </w:pPr>
            <w:r w:rsidRPr="00860E03">
              <w:t xml:space="preserve">$6.56 </w:t>
            </w:r>
          </w:p>
        </w:tc>
      </w:tr>
    </w:tbl>
    <w:p w14:paraId="44DE56AA" w14:textId="77777777" w:rsidR="00F73A80" w:rsidRPr="00860E03" w:rsidRDefault="00F73A80" w:rsidP="00F73A80">
      <w:pPr>
        <w:pStyle w:val="ARtablefootnote"/>
        <w:rPr>
          <w:lang w:eastAsia="en-AU"/>
        </w:rPr>
      </w:pPr>
      <w:r w:rsidRPr="00860E03">
        <w:rPr>
          <w:lang w:eastAsia="en-AU"/>
        </w:rPr>
        <w:t xml:space="preserve">Housing services water data represents </w:t>
      </w:r>
      <w:r>
        <w:rPr>
          <w:lang w:eastAsia="en-AU"/>
        </w:rPr>
        <w:t xml:space="preserve">potable water use at </w:t>
      </w:r>
      <w:r w:rsidRPr="00860E03">
        <w:rPr>
          <w:lang w:eastAsia="en-AU"/>
        </w:rPr>
        <w:t>82 water-metered sites.</w:t>
      </w:r>
    </w:p>
    <w:p w14:paraId="20AF8802" w14:textId="77777777" w:rsidR="00F73A80" w:rsidRPr="00860E03" w:rsidRDefault="00F73A80" w:rsidP="00F73A80">
      <w:pPr>
        <w:pStyle w:val="ARtablefootnote"/>
      </w:pPr>
      <w:r w:rsidRPr="00860E03">
        <w:t xml:space="preserve">* Youth justice facilities have been transferred to another government department. 2016–17 </w:t>
      </w:r>
      <w:r w:rsidR="00481D48">
        <w:t>c</w:t>
      </w:r>
      <w:r w:rsidRPr="00860E03">
        <w:t>onsumption figures have been reported to 31 March 2017.</w:t>
      </w:r>
    </w:p>
    <w:p w14:paraId="0380F520" w14:textId="77777777" w:rsidR="008D124E" w:rsidRDefault="00F73A80" w:rsidP="00F73A80">
      <w:pPr>
        <w:pStyle w:val="ARtablefootnote"/>
        <w:rPr>
          <w:lang w:eastAsia="en-AU"/>
        </w:rPr>
      </w:pPr>
      <w:r w:rsidRPr="00860E03">
        <w:rPr>
          <w:lang w:eastAsia="en-AU"/>
        </w:rPr>
        <w:t>Housing services water data includes a 12 per cent estimate due to some data being unavailable from water authorities at the time of reporting.</w:t>
      </w:r>
    </w:p>
    <w:p w14:paraId="191DE100" w14:textId="4A038137" w:rsidR="00F04442" w:rsidRPr="00A46A4A" w:rsidRDefault="00F04442" w:rsidP="00A46A4A">
      <w:pPr>
        <w:pStyle w:val="ARbody"/>
      </w:pPr>
      <w:r w:rsidRPr="00A46A4A">
        <w:br w:type="page"/>
      </w:r>
    </w:p>
    <w:p w14:paraId="2A4D81A3" w14:textId="77777777" w:rsidR="00537F5C" w:rsidRPr="007939DD" w:rsidRDefault="00537F5C" w:rsidP="00537F5C">
      <w:pPr>
        <w:pStyle w:val="Heading3"/>
      </w:pPr>
      <w:r w:rsidRPr="007939DD">
        <w:t>Public health services</w:t>
      </w:r>
    </w:p>
    <w:tbl>
      <w:tblPr>
        <w:tblStyle w:val="TableGrid"/>
        <w:tblW w:w="9639" w:type="dxa"/>
        <w:tblLook w:val="06A0" w:firstRow="1" w:lastRow="0" w:firstColumn="1" w:lastColumn="0" w:noHBand="1" w:noVBand="1"/>
      </w:tblPr>
      <w:tblGrid>
        <w:gridCol w:w="3978"/>
        <w:gridCol w:w="1887"/>
        <w:gridCol w:w="1887"/>
        <w:gridCol w:w="1887"/>
      </w:tblGrid>
      <w:tr w:rsidR="00537F5C" w:rsidRPr="007939DD" w14:paraId="72995B4E" w14:textId="77777777" w:rsidTr="00537F5C">
        <w:trPr>
          <w:cnfStyle w:val="100000000000" w:firstRow="1" w:lastRow="0" w:firstColumn="0" w:lastColumn="0" w:oddVBand="0" w:evenVBand="0" w:oddHBand="0" w:evenHBand="0" w:firstRowFirstColumn="0" w:firstRowLastColumn="0" w:lastRowFirstColumn="0" w:lastRowLastColumn="0"/>
          <w:tblHeader/>
        </w:trPr>
        <w:tc>
          <w:tcPr>
            <w:tcW w:w="0" w:type="dxa"/>
            <w:hideMark/>
          </w:tcPr>
          <w:p w14:paraId="7A730C60" w14:textId="77777777" w:rsidR="00537F5C" w:rsidRPr="007939DD" w:rsidRDefault="00537F5C" w:rsidP="00537F5C">
            <w:pPr>
              <w:pStyle w:val="ARtablecolhead"/>
            </w:pPr>
            <w:r w:rsidRPr="007939DD">
              <w:t>Description</w:t>
            </w:r>
          </w:p>
        </w:tc>
        <w:tc>
          <w:tcPr>
            <w:tcW w:w="0" w:type="dxa"/>
          </w:tcPr>
          <w:p w14:paraId="2AAEA7A0" w14:textId="77777777" w:rsidR="00537F5C" w:rsidRPr="007939DD" w:rsidRDefault="00537F5C" w:rsidP="00537F5C">
            <w:pPr>
              <w:pStyle w:val="ARtablecolheadright"/>
            </w:pPr>
            <w:r w:rsidRPr="007939DD">
              <w:t>201</w:t>
            </w:r>
            <w:r>
              <w:t>8</w:t>
            </w:r>
            <w:r w:rsidRPr="007939DD">
              <w:t>–1</w:t>
            </w:r>
            <w:r>
              <w:t>9 estimate</w:t>
            </w:r>
          </w:p>
        </w:tc>
        <w:tc>
          <w:tcPr>
            <w:tcW w:w="0" w:type="dxa"/>
          </w:tcPr>
          <w:p w14:paraId="09617C92" w14:textId="77777777" w:rsidR="00537F5C" w:rsidRPr="007939DD" w:rsidRDefault="00537F5C" w:rsidP="00537F5C">
            <w:pPr>
              <w:pStyle w:val="ARtablecolheadright"/>
            </w:pPr>
            <w:r w:rsidRPr="007939DD">
              <w:t>2017–18</w:t>
            </w:r>
            <w:r>
              <w:t xml:space="preserve"> estimate</w:t>
            </w:r>
          </w:p>
        </w:tc>
        <w:tc>
          <w:tcPr>
            <w:tcW w:w="0" w:type="dxa"/>
          </w:tcPr>
          <w:p w14:paraId="7BF49F8A" w14:textId="77777777" w:rsidR="00537F5C" w:rsidRPr="007939DD" w:rsidRDefault="00537F5C" w:rsidP="00537F5C">
            <w:pPr>
              <w:pStyle w:val="ARtablecolheadright"/>
            </w:pPr>
            <w:r w:rsidRPr="007939DD">
              <w:t>2016–17</w:t>
            </w:r>
            <w:r>
              <w:t xml:space="preserve"> estimate</w:t>
            </w:r>
          </w:p>
        </w:tc>
      </w:tr>
      <w:tr w:rsidR="00537F5C" w:rsidRPr="00860E03" w14:paraId="69BD41DE" w14:textId="77777777" w:rsidTr="00537F5C">
        <w:tc>
          <w:tcPr>
            <w:tcW w:w="0" w:type="dxa"/>
            <w:hideMark/>
          </w:tcPr>
          <w:p w14:paraId="0050A804" w14:textId="77777777" w:rsidR="00537F5C" w:rsidRPr="00860E03" w:rsidRDefault="00537F5C" w:rsidP="00537F5C">
            <w:pPr>
              <w:pStyle w:val="ARtabletext"/>
            </w:pPr>
            <w:r w:rsidRPr="00860E03">
              <w:t>Total water used (megalitres)</w:t>
            </w:r>
          </w:p>
        </w:tc>
        <w:tc>
          <w:tcPr>
            <w:tcW w:w="0" w:type="dxa"/>
          </w:tcPr>
          <w:p w14:paraId="314A4B7D" w14:textId="77777777" w:rsidR="00537F5C" w:rsidRPr="00860E03" w:rsidRDefault="00537F5C" w:rsidP="00537F5C">
            <w:pPr>
              <w:pStyle w:val="ARtabletextright"/>
            </w:pPr>
            <w:r w:rsidRPr="00860E03">
              <w:t>4,512</w:t>
            </w:r>
          </w:p>
        </w:tc>
        <w:tc>
          <w:tcPr>
            <w:tcW w:w="0" w:type="dxa"/>
          </w:tcPr>
          <w:p w14:paraId="0A3ED06F" w14:textId="77777777" w:rsidR="00537F5C" w:rsidRPr="00860E03" w:rsidRDefault="00537F5C" w:rsidP="00537F5C">
            <w:pPr>
              <w:pStyle w:val="ARtabletextright"/>
            </w:pPr>
            <w:r w:rsidRPr="00860E03">
              <w:t>4,374</w:t>
            </w:r>
          </w:p>
        </w:tc>
        <w:tc>
          <w:tcPr>
            <w:tcW w:w="0" w:type="dxa"/>
          </w:tcPr>
          <w:p w14:paraId="26CEE1E8" w14:textId="77777777" w:rsidR="00537F5C" w:rsidRPr="00860E03" w:rsidRDefault="00537F5C" w:rsidP="00537F5C">
            <w:pPr>
              <w:pStyle w:val="ARtabletextright"/>
            </w:pPr>
            <w:r w:rsidRPr="00860E03">
              <w:t>4,307</w:t>
            </w:r>
          </w:p>
        </w:tc>
      </w:tr>
      <w:tr w:rsidR="00537F5C" w:rsidRPr="00860E03" w14:paraId="5008013C" w14:textId="77777777" w:rsidTr="00537F5C">
        <w:tc>
          <w:tcPr>
            <w:tcW w:w="0" w:type="dxa"/>
            <w:hideMark/>
          </w:tcPr>
          <w:p w14:paraId="1C94D185" w14:textId="77777777" w:rsidR="00537F5C" w:rsidRPr="00860E03" w:rsidRDefault="00537F5C" w:rsidP="00537F5C">
            <w:pPr>
              <w:pStyle w:val="ARtabletext"/>
            </w:pPr>
            <w:r w:rsidRPr="00860E03">
              <w:t>Total water usage charge ($ million)</w:t>
            </w:r>
          </w:p>
        </w:tc>
        <w:tc>
          <w:tcPr>
            <w:tcW w:w="0" w:type="dxa"/>
          </w:tcPr>
          <w:p w14:paraId="14369610" w14:textId="77777777" w:rsidR="00537F5C" w:rsidRPr="00860E03" w:rsidRDefault="00537F5C" w:rsidP="00537F5C">
            <w:pPr>
              <w:pStyle w:val="ARtabletextright"/>
            </w:pPr>
            <w:r w:rsidRPr="00860E03">
              <w:t>$18.51</w:t>
            </w:r>
          </w:p>
        </w:tc>
        <w:tc>
          <w:tcPr>
            <w:tcW w:w="0" w:type="dxa"/>
          </w:tcPr>
          <w:p w14:paraId="0D27A6E0" w14:textId="77777777" w:rsidR="00537F5C" w:rsidRPr="00860E03" w:rsidRDefault="00537F5C" w:rsidP="00537F5C">
            <w:pPr>
              <w:pStyle w:val="ARtabletextright"/>
            </w:pPr>
            <w:r w:rsidRPr="00860E03">
              <w:t>$18.33</w:t>
            </w:r>
          </w:p>
        </w:tc>
        <w:tc>
          <w:tcPr>
            <w:tcW w:w="0" w:type="dxa"/>
          </w:tcPr>
          <w:p w14:paraId="4539A8A8" w14:textId="77777777" w:rsidR="00537F5C" w:rsidRPr="00860E03" w:rsidRDefault="00537F5C" w:rsidP="00537F5C">
            <w:pPr>
              <w:pStyle w:val="ARtabletextright"/>
            </w:pPr>
            <w:r w:rsidRPr="00860E03">
              <w:t>$17.21</w:t>
            </w:r>
          </w:p>
        </w:tc>
      </w:tr>
      <w:tr w:rsidR="00537F5C" w:rsidRPr="00860E03" w14:paraId="219BEC7C" w14:textId="77777777" w:rsidTr="00537F5C">
        <w:tc>
          <w:tcPr>
            <w:tcW w:w="0" w:type="dxa"/>
            <w:hideMark/>
          </w:tcPr>
          <w:p w14:paraId="5E242A38" w14:textId="77777777" w:rsidR="00537F5C" w:rsidRPr="00860E03" w:rsidRDefault="00537F5C" w:rsidP="00537F5C">
            <w:pPr>
              <w:pStyle w:val="ARtabletext"/>
            </w:pPr>
            <w:r w:rsidRPr="00860E03">
              <w:t>Water used per separation (kilolitres/separation)</w:t>
            </w:r>
          </w:p>
        </w:tc>
        <w:tc>
          <w:tcPr>
            <w:tcW w:w="0" w:type="dxa"/>
          </w:tcPr>
          <w:p w14:paraId="2C7494DD" w14:textId="77777777" w:rsidR="00537F5C" w:rsidRPr="00860E03" w:rsidRDefault="00537F5C" w:rsidP="00537F5C">
            <w:pPr>
              <w:pStyle w:val="ARtabletextright"/>
            </w:pPr>
            <w:r w:rsidRPr="00860E03">
              <w:t>2.32</w:t>
            </w:r>
          </w:p>
        </w:tc>
        <w:tc>
          <w:tcPr>
            <w:tcW w:w="0" w:type="dxa"/>
          </w:tcPr>
          <w:p w14:paraId="0F7FB90E" w14:textId="77777777" w:rsidR="00537F5C" w:rsidRPr="00860E03" w:rsidRDefault="00537F5C" w:rsidP="00537F5C">
            <w:pPr>
              <w:pStyle w:val="ARtabletextright"/>
            </w:pPr>
            <w:r w:rsidRPr="00860E03">
              <w:t>2.31</w:t>
            </w:r>
          </w:p>
        </w:tc>
        <w:tc>
          <w:tcPr>
            <w:tcW w:w="0" w:type="dxa"/>
          </w:tcPr>
          <w:p w14:paraId="31EB0E9A" w14:textId="77777777" w:rsidR="00537F5C" w:rsidRPr="00860E03" w:rsidRDefault="00537F5C" w:rsidP="00537F5C">
            <w:pPr>
              <w:pStyle w:val="ARtabletextright"/>
            </w:pPr>
            <w:r w:rsidRPr="00860E03">
              <w:t>2.37</w:t>
            </w:r>
          </w:p>
        </w:tc>
      </w:tr>
      <w:tr w:rsidR="00537F5C" w:rsidRPr="00860E03" w14:paraId="11829DF8" w14:textId="77777777" w:rsidTr="00537F5C">
        <w:tc>
          <w:tcPr>
            <w:tcW w:w="0" w:type="dxa"/>
            <w:hideMark/>
          </w:tcPr>
          <w:p w14:paraId="75CC0FE9" w14:textId="77777777" w:rsidR="00537F5C" w:rsidRPr="00860E03" w:rsidRDefault="00537F5C" w:rsidP="00537F5C">
            <w:pPr>
              <w:pStyle w:val="ARtabletext"/>
            </w:pPr>
            <w:r w:rsidRPr="00860E03">
              <w:t>Water used per bed day (kilolitres/bed day)</w:t>
            </w:r>
          </w:p>
        </w:tc>
        <w:tc>
          <w:tcPr>
            <w:tcW w:w="0" w:type="dxa"/>
          </w:tcPr>
          <w:p w14:paraId="308B46B2" w14:textId="77777777" w:rsidR="00537F5C" w:rsidRPr="00860E03" w:rsidRDefault="00537F5C" w:rsidP="00537F5C">
            <w:pPr>
              <w:pStyle w:val="ARtabletextright"/>
            </w:pPr>
            <w:r w:rsidRPr="00860E03">
              <w:t>0.63</w:t>
            </w:r>
          </w:p>
        </w:tc>
        <w:tc>
          <w:tcPr>
            <w:tcW w:w="0" w:type="dxa"/>
          </w:tcPr>
          <w:p w14:paraId="6A23E79D" w14:textId="77777777" w:rsidR="00537F5C" w:rsidRPr="00860E03" w:rsidRDefault="00537F5C" w:rsidP="00537F5C">
            <w:pPr>
              <w:pStyle w:val="ARtabletextright"/>
            </w:pPr>
            <w:r w:rsidRPr="00860E03">
              <w:t>0.62</w:t>
            </w:r>
          </w:p>
        </w:tc>
        <w:tc>
          <w:tcPr>
            <w:tcW w:w="0" w:type="dxa"/>
          </w:tcPr>
          <w:p w14:paraId="7E7960C7" w14:textId="77777777" w:rsidR="00537F5C" w:rsidRPr="00860E03" w:rsidRDefault="00537F5C" w:rsidP="00537F5C">
            <w:pPr>
              <w:pStyle w:val="ARtabletextright"/>
            </w:pPr>
            <w:r w:rsidRPr="00860E03">
              <w:t>0.58</w:t>
            </w:r>
          </w:p>
        </w:tc>
      </w:tr>
      <w:tr w:rsidR="00537F5C" w:rsidRPr="00860E03" w14:paraId="28EFB396" w14:textId="77777777" w:rsidTr="00537F5C">
        <w:tc>
          <w:tcPr>
            <w:tcW w:w="0" w:type="dxa"/>
            <w:hideMark/>
          </w:tcPr>
          <w:p w14:paraId="5AF2E751" w14:textId="77777777" w:rsidR="00537F5C" w:rsidRPr="00860E03" w:rsidRDefault="00537F5C" w:rsidP="00537F5C">
            <w:pPr>
              <w:pStyle w:val="ARtabletext"/>
            </w:pPr>
            <w:r w:rsidRPr="00860E03">
              <w:t>Water used per unit of floor space (kilolitres/m</w:t>
            </w:r>
            <w:r w:rsidRPr="00860E03">
              <w:rPr>
                <w:vertAlign w:val="superscript"/>
              </w:rPr>
              <w:t>2</w:t>
            </w:r>
            <w:r w:rsidRPr="00860E03">
              <w:t>)</w:t>
            </w:r>
          </w:p>
        </w:tc>
        <w:tc>
          <w:tcPr>
            <w:tcW w:w="0" w:type="dxa"/>
          </w:tcPr>
          <w:p w14:paraId="33A0FF6B" w14:textId="77777777" w:rsidR="00537F5C" w:rsidRPr="00860E03" w:rsidRDefault="00537F5C" w:rsidP="00537F5C">
            <w:pPr>
              <w:pStyle w:val="ARtabletextright"/>
            </w:pPr>
            <w:r w:rsidRPr="00860E03">
              <w:t>1.30</w:t>
            </w:r>
          </w:p>
        </w:tc>
        <w:tc>
          <w:tcPr>
            <w:tcW w:w="0" w:type="dxa"/>
          </w:tcPr>
          <w:p w14:paraId="4273826A" w14:textId="77777777" w:rsidR="00537F5C" w:rsidRPr="00860E03" w:rsidRDefault="00537F5C" w:rsidP="00537F5C">
            <w:pPr>
              <w:pStyle w:val="ARtabletextright"/>
            </w:pPr>
            <w:r w:rsidRPr="00860E03">
              <w:t>1.26</w:t>
            </w:r>
          </w:p>
        </w:tc>
        <w:tc>
          <w:tcPr>
            <w:tcW w:w="0" w:type="dxa"/>
          </w:tcPr>
          <w:p w14:paraId="645EEE7A" w14:textId="77777777" w:rsidR="00537F5C" w:rsidRPr="00860E03" w:rsidRDefault="00537F5C" w:rsidP="00537F5C">
            <w:pPr>
              <w:pStyle w:val="ARtabletextright"/>
            </w:pPr>
            <w:r w:rsidRPr="00860E03">
              <w:t>1.23</w:t>
            </w:r>
          </w:p>
        </w:tc>
      </w:tr>
    </w:tbl>
    <w:p w14:paraId="0EC93F3D" w14:textId="77777777" w:rsidR="00F73A80" w:rsidRPr="00860E03" w:rsidRDefault="00F73A80" w:rsidP="00F73A80">
      <w:pPr>
        <w:pStyle w:val="ARtablefootnote"/>
      </w:pPr>
      <w:r w:rsidRPr="00860E03">
        <w:t>Public health services are GST-exempt organisations. Reported cost data for public health services is exclusive of GST.</w:t>
      </w:r>
    </w:p>
    <w:p w14:paraId="598BAE0C" w14:textId="77777777" w:rsidR="00F73A80" w:rsidRPr="00860E03" w:rsidRDefault="00F73A80" w:rsidP="00F73A80">
      <w:pPr>
        <w:pStyle w:val="ARtablefootnote"/>
      </w:pPr>
      <w:r w:rsidRPr="00860E03">
        <w:t>Reported water usage includes a 7 per cent estimate due to some data being unavailable from water authorities at the time of reporting.</w:t>
      </w:r>
    </w:p>
    <w:p w14:paraId="5EA0E69D" w14:textId="77777777" w:rsidR="00F73A80" w:rsidRPr="007939DD" w:rsidRDefault="00F73A80" w:rsidP="00F73A80">
      <w:pPr>
        <w:pStyle w:val="Heading2"/>
      </w:pPr>
      <w:r w:rsidRPr="007939DD">
        <w:t>Waste production</w:t>
      </w:r>
    </w:p>
    <w:p w14:paraId="5DBBF039" w14:textId="77777777" w:rsidR="00537F5C" w:rsidRPr="007939DD" w:rsidRDefault="00537F5C" w:rsidP="00537F5C">
      <w:pPr>
        <w:pStyle w:val="Heading3"/>
      </w:pPr>
      <w:r w:rsidRPr="007939DD">
        <w:t>Office based</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2835"/>
        <w:gridCol w:w="2268"/>
        <w:gridCol w:w="2268"/>
        <w:gridCol w:w="2268"/>
      </w:tblGrid>
      <w:tr w:rsidR="00537F5C" w:rsidRPr="007939DD" w14:paraId="7B354EB1" w14:textId="77777777" w:rsidTr="00537F5C">
        <w:trPr>
          <w:cantSplit/>
          <w:trHeight w:val="285"/>
          <w:tblHeader/>
        </w:trPr>
        <w:tc>
          <w:tcPr>
            <w:tcW w:w="2835" w:type="dxa"/>
            <w:vAlign w:val="bottom"/>
          </w:tcPr>
          <w:p w14:paraId="0DFB96B9" w14:textId="77777777" w:rsidR="00537F5C" w:rsidRPr="007939DD" w:rsidRDefault="00537F5C" w:rsidP="00537F5C">
            <w:pPr>
              <w:pStyle w:val="ARtablecolhead"/>
            </w:pPr>
            <w:r w:rsidRPr="007939DD">
              <w:t>Description</w:t>
            </w:r>
          </w:p>
        </w:tc>
        <w:tc>
          <w:tcPr>
            <w:tcW w:w="2268" w:type="dxa"/>
            <w:vAlign w:val="bottom"/>
          </w:tcPr>
          <w:p w14:paraId="07D1ECC9" w14:textId="77777777" w:rsidR="00537F5C" w:rsidRPr="007939DD" w:rsidRDefault="00537F5C" w:rsidP="00537F5C">
            <w:pPr>
              <w:pStyle w:val="ARtablecolheadright"/>
            </w:pPr>
            <w:r w:rsidRPr="007939DD">
              <w:t>201</w:t>
            </w:r>
            <w:r>
              <w:t>8</w:t>
            </w:r>
            <w:r w:rsidRPr="007939DD">
              <w:t>–1</w:t>
            </w:r>
            <w:r>
              <w:t>9</w:t>
            </w:r>
            <w:r w:rsidRPr="007939DD">
              <w:t xml:space="preserve"> estimate</w:t>
            </w:r>
          </w:p>
        </w:tc>
        <w:tc>
          <w:tcPr>
            <w:tcW w:w="2268" w:type="dxa"/>
            <w:vAlign w:val="bottom"/>
          </w:tcPr>
          <w:p w14:paraId="1B7589A1" w14:textId="77777777" w:rsidR="00537F5C" w:rsidRPr="007939DD" w:rsidRDefault="00537F5C" w:rsidP="00537F5C">
            <w:pPr>
              <w:pStyle w:val="ARtablecolheadright"/>
            </w:pPr>
            <w:r w:rsidRPr="007939DD">
              <w:t>2017–18 estimate</w:t>
            </w:r>
          </w:p>
        </w:tc>
        <w:tc>
          <w:tcPr>
            <w:tcW w:w="2268" w:type="dxa"/>
            <w:vAlign w:val="bottom"/>
          </w:tcPr>
          <w:p w14:paraId="072D9838" w14:textId="77777777" w:rsidR="00537F5C" w:rsidRPr="007939DD" w:rsidRDefault="00537F5C" w:rsidP="00537F5C">
            <w:pPr>
              <w:pStyle w:val="ARtablecolheadright"/>
            </w:pPr>
            <w:r w:rsidRPr="007939DD">
              <w:t>2016–17 estimate</w:t>
            </w:r>
          </w:p>
        </w:tc>
      </w:tr>
      <w:tr w:rsidR="00537F5C" w:rsidRPr="00860E03" w14:paraId="6C5F7706" w14:textId="77777777" w:rsidTr="00537F5C">
        <w:trPr>
          <w:cantSplit/>
          <w:trHeight w:val="285"/>
          <w:tblHeader/>
        </w:trPr>
        <w:tc>
          <w:tcPr>
            <w:tcW w:w="2835" w:type="dxa"/>
            <w:vAlign w:val="bottom"/>
          </w:tcPr>
          <w:p w14:paraId="4718DEE7" w14:textId="77777777" w:rsidR="00537F5C" w:rsidRPr="00860E03" w:rsidRDefault="00537F5C" w:rsidP="00537F5C">
            <w:pPr>
              <w:pStyle w:val="ARtablecolhead"/>
            </w:pPr>
            <w:r w:rsidRPr="00860E03">
              <w:t xml:space="preserve">Total units of waste disposed of by destination </w:t>
            </w:r>
          </w:p>
        </w:tc>
        <w:tc>
          <w:tcPr>
            <w:tcW w:w="2268" w:type="dxa"/>
            <w:vAlign w:val="bottom"/>
          </w:tcPr>
          <w:p w14:paraId="202C0E79" w14:textId="77777777" w:rsidR="00537F5C" w:rsidRPr="00860E03" w:rsidRDefault="00537F5C" w:rsidP="00537F5C">
            <w:pPr>
              <w:pStyle w:val="ARtablecolheadright"/>
            </w:pPr>
            <w:r w:rsidRPr="00860E03">
              <w:t>Kilograms/year</w:t>
            </w:r>
          </w:p>
        </w:tc>
        <w:tc>
          <w:tcPr>
            <w:tcW w:w="2268" w:type="dxa"/>
            <w:vAlign w:val="bottom"/>
          </w:tcPr>
          <w:p w14:paraId="55340788" w14:textId="77777777" w:rsidR="00537F5C" w:rsidRPr="00860E03" w:rsidRDefault="00537F5C" w:rsidP="00537F5C">
            <w:pPr>
              <w:pStyle w:val="ARtablecolheadright"/>
            </w:pPr>
            <w:r w:rsidRPr="00860E03">
              <w:t>Kilograms/year</w:t>
            </w:r>
          </w:p>
        </w:tc>
        <w:tc>
          <w:tcPr>
            <w:tcW w:w="2268" w:type="dxa"/>
            <w:vAlign w:val="bottom"/>
          </w:tcPr>
          <w:p w14:paraId="4811C280" w14:textId="77777777" w:rsidR="00537F5C" w:rsidRPr="00860E03" w:rsidRDefault="00537F5C" w:rsidP="00537F5C">
            <w:pPr>
              <w:pStyle w:val="ARtablecolheadright"/>
            </w:pPr>
            <w:r w:rsidRPr="00860E03">
              <w:t>Kilograms/year</w:t>
            </w:r>
          </w:p>
        </w:tc>
      </w:tr>
      <w:tr w:rsidR="00537F5C" w:rsidRPr="00860E03" w14:paraId="529C5CE1" w14:textId="77777777" w:rsidTr="00537F5C">
        <w:trPr>
          <w:cantSplit/>
          <w:trHeight w:val="285"/>
        </w:trPr>
        <w:tc>
          <w:tcPr>
            <w:tcW w:w="2835" w:type="dxa"/>
          </w:tcPr>
          <w:p w14:paraId="256608CF" w14:textId="77777777" w:rsidR="00537F5C" w:rsidRPr="00860E03" w:rsidRDefault="00537F5C" w:rsidP="00537F5C">
            <w:pPr>
              <w:pStyle w:val="ARtabletext"/>
            </w:pPr>
            <w:r w:rsidRPr="00860E03">
              <w:t>Landfill</w:t>
            </w:r>
          </w:p>
        </w:tc>
        <w:tc>
          <w:tcPr>
            <w:tcW w:w="2268" w:type="dxa"/>
          </w:tcPr>
          <w:p w14:paraId="566CA8C4" w14:textId="77777777" w:rsidR="00537F5C" w:rsidRPr="00860E03" w:rsidRDefault="00537F5C" w:rsidP="00537F5C">
            <w:pPr>
              <w:pStyle w:val="ARtabletextright"/>
            </w:pPr>
            <w:r w:rsidRPr="00860E03">
              <w:t>208,888</w:t>
            </w:r>
          </w:p>
        </w:tc>
        <w:tc>
          <w:tcPr>
            <w:tcW w:w="2268" w:type="dxa"/>
          </w:tcPr>
          <w:p w14:paraId="2193508E" w14:textId="77777777" w:rsidR="00537F5C" w:rsidRPr="00860E03" w:rsidRDefault="00537F5C" w:rsidP="00537F5C">
            <w:pPr>
              <w:pStyle w:val="ARtabletextright"/>
            </w:pPr>
            <w:r w:rsidRPr="00860E03">
              <w:t>254,743</w:t>
            </w:r>
          </w:p>
        </w:tc>
        <w:tc>
          <w:tcPr>
            <w:tcW w:w="2268" w:type="dxa"/>
          </w:tcPr>
          <w:p w14:paraId="2B8619E6" w14:textId="77777777" w:rsidR="00537F5C" w:rsidRPr="00860E03" w:rsidRDefault="00537F5C" w:rsidP="00537F5C">
            <w:pPr>
              <w:pStyle w:val="ARtabletextright"/>
            </w:pPr>
            <w:r w:rsidRPr="00860E03">
              <w:t>199,502</w:t>
            </w:r>
          </w:p>
        </w:tc>
      </w:tr>
      <w:tr w:rsidR="00537F5C" w:rsidRPr="00860E03" w14:paraId="0643BB65" w14:textId="77777777" w:rsidTr="00537F5C">
        <w:trPr>
          <w:cantSplit/>
          <w:trHeight w:val="285"/>
          <w:tblHeader/>
        </w:trPr>
        <w:tc>
          <w:tcPr>
            <w:tcW w:w="2835" w:type="dxa"/>
          </w:tcPr>
          <w:p w14:paraId="53A3F2C9" w14:textId="77777777" w:rsidR="00537F5C" w:rsidRPr="00860E03" w:rsidRDefault="00537F5C" w:rsidP="00537F5C">
            <w:pPr>
              <w:pStyle w:val="ARtabletext"/>
            </w:pPr>
            <w:r w:rsidRPr="00860E03">
              <w:t>Recycling</w:t>
            </w:r>
          </w:p>
        </w:tc>
        <w:tc>
          <w:tcPr>
            <w:tcW w:w="2268" w:type="dxa"/>
          </w:tcPr>
          <w:p w14:paraId="53A5FB0F" w14:textId="77777777" w:rsidR="00537F5C" w:rsidRPr="00860E03" w:rsidRDefault="00537F5C" w:rsidP="00537F5C">
            <w:pPr>
              <w:pStyle w:val="ARtabletextright"/>
            </w:pPr>
            <w:r w:rsidRPr="00860E03">
              <w:t>261,308</w:t>
            </w:r>
          </w:p>
        </w:tc>
        <w:tc>
          <w:tcPr>
            <w:tcW w:w="2268" w:type="dxa"/>
          </w:tcPr>
          <w:p w14:paraId="219D59D3" w14:textId="77777777" w:rsidR="00537F5C" w:rsidRPr="00860E03" w:rsidRDefault="00537F5C" w:rsidP="00537F5C">
            <w:pPr>
              <w:pStyle w:val="ARtabletextright"/>
            </w:pPr>
            <w:r w:rsidRPr="00860E03">
              <w:t>334,833</w:t>
            </w:r>
          </w:p>
        </w:tc>
        <w:tc>
          <w:tcPr>
            <w:tcW w:w="2268" w:type="dxa"/>
          </w:tcPr>
          <w:p w14:paraId="2C8BB24B" w14:textId="77777777" w:rsidR="00537F5C" w:rsidRPr="00860E03" w:rsidRDefault="00537F5C" w:rsidP="00537F5C">
            <w:pPr>
              <w:pStyle w:val="ARtabletextright"/>
            </w:pPr>
            <w:r w:rsidRPr="00860E03">
              <w:t>255,175</w:t>
            </w:r>
          </w:p>
        </w:tc>
      </w:tr>
      <w:tr w:rsidR="00537F5C" w:rsidRPr="00860E03" w14:paraId="2EC06B60" w14:textId="77777777" w:rsidTr="00537F5C">
        <w:trPr>
          <w:cantSplit/>
          <w:trHeight w:val="285"/>
          <w:tblHeader/>
        </w:trPr>
        <w:tc>
          <w:tcPr>
            <w:tcW w:w="2835" w:type="dxa"/>
          </w:tcPr>
          <w:p w14:paraId="6F78C47D" w14:textId="77777777" w:rsidR="00537F5C" w:rsidRPr="00860E03" w:rsidRDefault="00537F5C" w:rsidP="00537F5C">
            <w:pPr>
              <w:pStyle w:val="ARtabletext"/>
            </w:pPr>
            <w:r w:rsidRPr="00860E03">
              <w:t>Compost</w:t>
            </w:r>
          </w:p>
        </w:tc>
        <w:tc>
          <w:tcPr>
            <w:tcW w:w="2268" w:type="dxa"/>
          </w:tcPr>
          <w:p w14:paraId="0716F576" w14:textId="77777777" w:rsidR="00537F5C" w:rsidRPr="00860E03" w:rsidRDefault="00537F5C" w:rsidP="00537F5C">
            <w:pPr>
              <w:pStyle w:val="ARtabletextright"/>
            </w:pPr>
            <w:r w:rsidRPr="00860E03">
              <w:t>24,594</w:t>
            </w:r>
          </w:p>
        </w:tc>
        <w:tc>
          <w:tcPr>
            <w:tcW w:w="2268" w:type="dxa"/>
          </w:tcPr>
          <w:p w14:paraId="16D361B3" w14:textId="77777777" w:rsidR="00537F5C" w:rsidRPr="00860E03" w:rsidRDefault="00537F5C" w:rsidP="00537F5C">
            <w:pPr>
              <w:pStyle w:val="ARtabletextright"/>
            </w:pPr>
            <w:r w:rsidRPr="00860E03">
              <w:t>33,741</w:t>
            </w:r>
          </w:p>
        </w:tc>
        <w:tc>
          <w:tcPr>
            <w:tcW w:w="2268" w:type="dxa"/>
          </w:tcPr>
          <w:p w14:paraId="4657BB7C" w14:textId="77777777" w:rsidR="00537F5C" w:rsidRPr="00860E03" w:rsidRDefault="00537F5C" w:rsidP="00537F5C">
            <w:pPr>
              <w:pStyle w:val="ARtabletextright"/>
            </w:pPr>
            <w:r w:rsidRPr="00860E03">
              <w:t>29,583</w:t>
            </w:r>
          </w:p>
        </w:tc>
      </w:tr>
      <w:tr w:rsidR="00537F5C" w:rsidRPr="00860E03" w14:paraId="45969F51" w14:textId="77777777" w:rsidTr="00537F5C">
        <w:trPr>
          <w:cantSplit/>
          <w:trHeight w:val="285"/>
          <w:tblHeader/>
        </w:trPr>
        <w:tc>
          <w:tcPr>
            <w:tcW w:w="2835" w:type="dxa"/>
          </w:tcPr>
          <w:p w14:paraId="26E407DC" w14:textId="77777777" w:rsidR="00537F5C" w:rsidRPr="00860E03" w:rsidRDefault="00537F5C" w:rsidP="00537F5C">
            <w:pPr>
              <w:pStyle w:val="ARtabletext"/>
              <w:rPr>
                <w:b/>
              </w:rPr>
            </w:pPr>
            <w:r w:rsidRPr="00860E03">
              <w:rPr>
                <w:b/>
              </w:rPr>
              <w:t>Total</w:t>
            </w:r>
          </w:p>
        </w:tc>
        <w:tc>
          <w:tcPr>
            <w:tcW w:w="2268" w:type="dxa"/>
          </w:tcPr>
          <w:p w14:paraId="150E4F6D" w14:textId="77777777" w:rsidR="00537F5C" w:rsidRPr="00860E03" w:rsidRDefault="00537F5C" w:rsidP="00537F5C">
            <w:pPr>
              <w:pStyle w:val="ARtabletextrightbold"/>
            </w:pPr>
            <w:r w:rsidRPr="00860E03">
              <w:t>494,790</w:t>
            </w:r>
          </w:p>
        </w:tc>
        <w:tc>
          <w:tcPr>
            <w:tcW w:w="2268" w:type="dxa"/>
          </w:tcPr>
          <w:p w14:paraId="6109CD88" w14:textId="77777777" w:rsidR="00537F5C" w:rsidRPr="00860E03" w:rsidRDefault="00537F5C" w:rsidP="00537F5C">
            <w:pPr>
              <w:pStyle w:val="ARtabletextrightbold"/>
            </w:pPr>
            <w:r w:rsidRPr="00860E03">
              <w:t>623,317</w:t>
            </w:r>
          </w:p>
        </w:tc>
        <w:tc>
          <w:tcPr>
            <w:tcW w:w="2268" w:type="dxa"/>
          </w:tcPr>
          <w:p w14:paraId="501EB871" w14:textId="77777777" w:rsidR="00537F5C" w:rsidRPr="00860E03" w:rsidRDefault="00537F5C" w:rsidP="00537F5C">
            <w:pPr>
              <w:pStyle w:val="ARtabletextrightbold"/>
            </w:pPr>
            <w:r w:rsidRPr="00860E03">
              <w:t>484,260</w:t>
            </w:r>
          </w:p>
        </w:tc>
      </w:tr>
    </w:tbl>
    <w:p w14:paraId="3E6ABF37" w14:textId="77777777" w:rsidR="00537F5C" w:rsidRPr="00860E03" w:rsidRDefault="00537F5C" w:rsidP="00537F5C">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537F5C" w:rsidRPr="00860E03" w14:paraId="08023B59" w14:textId="77777777" w:rsidTr="00537F5C">
        <w:trPr>
          <w:cantSplit/>
          <w:trHeight w:val="285"/>
          <w:tblHeader/>
        </w:trPr>
        <w:tc>
          <w:tcPr>
            <w:tcW w:w="2835" w:type="dxa"/>
            <w:vAlign w:val="bottom"/>
          </w:tcPr>
          <w:p w14:paraId="20368430" w14:textId="77777777" w:rsidR="00537F5C" w:rsidRPr="00860E03" w:rsidRDefault="00537F5C" w:rsidP="00537F5C">
            <w:pPr>
              <w:pStyle w:val="ARtablecolhead"/>
            </w:pPr>
            <w:r w:rsidRPr="00860E03">
              <w:t>Description</w:t>
            </w:r>
          </w:p>
        </w:tc>
        <w:tc>
          <w:tcPr>
            <w:tcW w:w="2268" w:type="dxa"/>
            <w:vAlign w:val="bottom"/>
          </w:tcPr>
          <w:p w14:paraId="6679EBCB" w14:textId="77777777" w:rsidR="00537F5C" w:rsidRPr="00860E03" w:rsidRDefault="00537F5C" w:rsidP="00537F5C">
            <w:pPr>
              <w:pStyle w:val="ARtablecolheadright"/>
            </w:pPr>
            <w:r w:rsidRPr="00860E03">
              <w:t>2018–19 estimate</w:t>
            </w:r>
          </w:p>
        </w:tc>
        <w:tc>
          <w:tcPr>
            <w:tcW w:w="2268" w:type="dxa"/>
            <w:vAlign w:val="bottom"/>
          </w:tcPr>
          <w:p w14:paraId="6E57BA16" w14:textId="77777777" w:rsidR="00537F5C" w:rsidRPr="00860E03" w:rsidRDefault="00537F5C" w:rsidP="00537F5C">
            <w:pPr>
              <w:pStyle w:val="ARtablecolheadright"/>
            </w:pPr>
            <w:r w:rsidRPr="00860E03">
              <w:t>2017–18 estimate</w:t>
            </w:r>
          </w:p>
        </w:tc>
        <w:tc>
          <w:tcPr>
            <w:tcW w:w="2268" w:type="dxa"/>
            <w:vAlign w:val="bottom"/>
          </w:tcPr>
          <w:p w14:paraId="368ADB0C" w14:textId="77777777" w:rsidR="00537F5C" w:rsidRPr="00860E03" w:rsidRDefault="00537F5C" w:rsidP="00537F5C">
            <w:pPr>
              <w:pStyle w:val="ARtablecolheadright"/>
            </w:pPr>
            <w:r w:rsidRPr="00860E03">
              <w:t>2016–17 estimate</w:t>
            </w:r>
          </w:p>
        </w:tc>
      </w:tr>
      <w:tr w:rsidR="00537F5C" w:rsidRPr="00860E03" w14:paraId="32E4178D" w14:textId="77777777" w:rsidTr="00537F5C">
        <w:trPr>
          <w:cantSplit/>
          <w:trHeight w:val="554"/>
          <w:tblHeader/>
        </w:trPr>
        <w:tc>
          <w:tcPr>
            <w:tcW w:w="2835" w:type="dxa"/>
            <w:vAlign w:val="bottom"/>
          </w:tcPr>
          <w:p w14:paraId="58AB6C98" w14:textId="77777777" w:rsidR="00537F5C" w:rsidRPr="00860E03" w:rsidRDefault="00537F5C" w:rsidP="00537F5C">
            <w:pPr>
              <w:pStyle w:val="ARtablecolhead"/>
            </w:pPr>
            <w:r w:rsidRPr="00860E03">
              <w:t>Total units of waste disposed of per FTE by destination</w:t>
            </w:r>
          </w:p>
        </w:tc>
        <w:tc>
          <w:tcPr>
            <w:tcW w:w="2268" w:type="dxa"/>
            <w:vAlign w:val="bottom"/>
          </w:tcPr>
          <w:p w14:paraId="4371E3F4" w14:textId="77777777" w:rsidR="00537F5C" w:rsidRPr="00860E03" w:rsidRDefault="00537F5C" w:rsidP="00537F5C">
            <w:pPr>
              <w:pStyle w:val="ARtablecolheadright"/>
            </w:pPr>
            <w:r w:rsidRPr="00860E03">
              <w:t>Kilograms/FTE/year</w:t>
            </w:r>
          </w:p>
        </w:tc>
        <w:tc>
          <w:tcPr>
            <w:tcW w:w="2268" w:type="dxa"/>
            <w:vAlign w:val="bottom"/>
          </w:tcPr>
          <w:p w14:paraId="0342CE3A" w14:textId="77777777" w:rsidR="00537F5C" w:rsidRPr="00860E03" w:rsidRDefault="00537F5C" w:rsidP="00537F5C">
            <w:pPr>
              <w:pStyle w:val="ARtablecolheadright"/>
            </w:pPr>
            <w:r w:rsidRPr="00860E03">
              <w:t>Kilograms/FTE/year</w:t>
            </w:r>
          </w:p>
        </w:tc>
        <w:tc>
          <w:tcPr>
            <w:tcW w:w="2268" w:type="dxa"/>
            <w:vAlign w:val="bottom"/>
          </w:tcPr>
          <w:p w14:paraId="34EE3E98" w14:textId="77777777" w:rsidR="00537F5C" w:rsidRPr="00860E03" w:rsidRDefault="00537F5C" w:rsidP="00537F5C">
            <w:pPr>
              <w:pStyle w:val="ARtablecolheadright"/>
            </w:pPr>
            <w:r w:rsidRPr="00860E03">
              <w:t>Kilograms/FTE/year</w:t>
            </w:r>
          </w:p>
        </w:tc>
      </w:tr>
      <w:tr w:rsidR="00537F5C" w:rsidRPr="00860E03" w14:paraId="38EDB86E" w14:textId="77777777" w:rsidTr="00537F5C">
        <w:trPr>
          <w:cantSplit/>
          <w:trHeight w:val="285"/>
        </w:trPr>
        <w:tc>
          <w:tcPr>
            <w:tcW w:w="2835" w:type="dxa"/>
          </w:tcPr>
          <w:p w14:paraId="73684DE4" w14:textId="77777777" w:rsidR="00537F5C" w:rsidRPr="00860E03" w:rsidRDefault="00537F5C" w:rsidP="00537F5C">
            <w:pPr>
              <w:pStyle w:val="ARtabletext"/>
            </w:pPr>
            <w:r w:rsidRPr="00860E03">
              <w:t>Landfill</w:t>
            </w:r>
          </w:p>
        </w:tc>
        <w:tc>
          <w:tcPr>
            <w:tcW w:w="2268" w:type="dxa"/>
          </w:tcPr>
          <w:p w14:paraId="03812396" w14:textId="77777777" w:rsidR="00537F5C" w:rsidRPr="00860E03" w:rsidRDefault="00537F5C" w:rsidP="00537F5C">
            <w:pPr>
              <w:pStyle w:val="ARtabletextright"/>
            </w:pPr>
            <w:r w:rsidRPr="00860E03">
              <w:t>23</w:t>
            </w:r>
          </w:p>
        </w:tc>
        <w:tc>
          <w:tcPr>
            <w:tcW w:w="2268" w:type="dxa"/>
          </w:tcPr>
          <w:p w14:paraId="0C3ED96F" w14:textId="77777777" w:rsidR="00537F5C" w:rsidRPr="00860E03" w:rsidRDefault="00537F5C" w:rsidP="00537F5C">
            <w:pPr>
              <w:pStyle w:val="ARtabletextright"/>
            </w:pPr>
            <w:r w:rsidRPr="00860E03">
              <w:t>29</w:t>
            </w:r>
          </w:p>
        </w:tc>
        <w:tc>
          <w:tcPr>
            <w:tcW w:w="2268" w:type="dxa"/>
          </w:tcPr>
          <w:p w14:paraId="622823AE" w14:textId="77777777" w:rsidR="00537F5C" w:rsidRPr="00860E03" w:rsidRDefault="00537F5C" w:rsidP="00537F5C">
            <w:pPr>
              <w:pStyle w:val="ARtabletextright"/>
            </w:pPr>
            <w:r w:rsidRPr="00860E03">
              <w:t>27</w:t>
            </w:r>
          </w:p>
        </w:tc>
      </w:tr>
      <w:tr w:rsidR="00537F5C" w:rsidRPr="00860E03" w14:paraId="505377AA" w14:textId="77777777" w:rsidTr="00537F5C">
        <w:trPr>
          <w:cantSplit/>
          <w:trHeight w:val="285"/>
        </w:trPr>
        <w:tc>
          <w:tcPr>
            <w:tcW w:w="2835" w:type="dxa"/>
          </w:tcPr>
          <w:p w14:paraId="12C93539" w14:textId="77777777" w:rsidR="00537F5C" w:rsidRPr="00860E03" w:rsidRDefault="00537F5C" w:rsidP="00537F5C">
            <w:pPr>
              <w:pStyle w:val="ARtabletext"/>
            </w:pPr>
            <w:r w:rsidRPr="00860E03">
              <w:t>Recycling</w:t>
            </w:r>
          </w:p>
        </w:tc>
        <w:tc>
          <w:tcPr>
            <w:tcW w:w="2268" w:type="dxa"/>
          </w:tcPr>
          <w:p w14:paraId="4C0B7657" w14:textId="77777777" w:rsidR="00537F5C" w:rsidRPr="00860E03" w:rsidRDefault="00537F5C" w:rsidP="00537F5C">
            <w:pPr>
              <w:pStyle w:val="ARtabletextright"/>
            </w:pPr>
            <w:r w:rsidRPr="00860E03">
              <w:t>29</w:t>
            </w:r>
          </w:p>
        </w:tc>
        <w:tc>
          <w:tcPr>
            <w:tcW w:w="2268" w:type="dxa"/>
          </w:tcPr>
          <w:p w14:paraId="6EC7CF01" w14:textId="77777777" w:rsidR="00537F5C" w:rsidRPr="00860E03" w:rsidRDefault="00537F5C" w:rsidP="00537F5C">
            <w:pPr>
              <w:pStyle w:val="ARtabletextright"/>
            </w:pPr>
            <w:r w:rsidRPr="00860E03">
              <w:t>38</w:t>
            </w:r>
          </w:p>
        </w:tc>
        <w:tc>
          <w:tcPr>
            <w:tcW w:w="2268" w:type="dxa"/>
          </w:tcPr>
          <w:p w14:paraId="025D4CAF" w14:textId="77777777" w:rsidR="00537F5C" w:rsidRPr="00860E03" w:rsidRDefault="00537F5C" w:rsidP="00537F5C">
            <w:pPr>
              <w:pStyle w:val="ARtabletextright"/>
            </w:pPr>
            <w:r w:rsidRPr="00860E03">
              <w:t>34</w:t>
            </w:r>
          </w:p>
        </w:tc>
      </w:tr>
      <w:tr w:rsidR="00537F5C" w:rsidRPr="00860E03" w14:paraId="5F04EDFE" w14:textId="77777777" w:rsidTr="00537F5C">
        <w:trPr>
          <w:cantSplit/>
          <w:trHeight w:val="285"/>
        </w:trPr>
        <w:tc>
          <w:tcPr>
            <w:tcW w:w="2835" w:type="dxa"/>
          </w:tcPr>
          <w:p w14:paraId="2D22A767" w14:textId="77777777" w:rsidR="00537F5C" w:rsidRPr="00860E03" w:rsidRDefault="00537F5C" w:rsidP="00537F5C">
            <w:pPr>
              <w:pStyle w:val="ARtabletext"/>
            </w:pPr>
            <w:r w:rsidRPr="00860E03">
              <w:t>Compost</w:t>
            </w:r>
          </w:p>
        </w:tc>
        <w:tc>
          <w:tcPr>
            <w:tcW w:w="2268" w:type="dxa"/>
          </w:tcPr>
          <w:p w14:paraId="257CE174" w14:textId="77777777" w:rsidR="00537F5C" w:rsidRPr="00860E03" w:rsidRDefault="00537F5C" w:rsidP="00537F5C">
            <w:pPr>
              <w:pStyle w:val="ARtabletextright"/>
            </w:pPr>
            <w:r w:rsidRPr="00860E03">
              <w:t>3</w:t>
            </w:r>
          </w:p>
        </w:tc>
        <w:tc>
          <w:tcPr>
            <w:tcW w:w="2268" w:type="dxa"/>
          </w:tcPr>
          <w:p w14:paraId="42E1DA1C" w14:textId="77777777" w:rsidR="00537F5C" w:rsidRPr="00860E03" w:rsidRDefault="00537F5C" w:rsidP="00537F5C">
            <w:pPr>
              <w:pStyle w:val="ARtabletextright"/>
            </w:pPr>
            <w:r w:rsidRPr="00860E03">
              <w:t>4</w:t>
            </w:r>
          </w:p>
        </w:tc>
        <w:tc>
          <w:tcPr>
            <w:tcW w:w="2268" w:type="dxa"/>
          </w:tcPr>
          <w:p w14:paraId="6D793C23" w14:textId="77777777" w:rsidR="00537F5C" w:rsidRPr="00860E03" w:rsidRDefault="00537F5C" w:rsidP="00537F5C">
            <w:pPr>
              <w:pStyle w:val="ARtabletextright"/>
            </w:pPr>
            <w:r w:rsidRPr="00860E03">
              <w:t>4</w:t>
            </w:r>
          </w:p>
        </w:tc>
      </w:tr>
      <w:tr w:rsidR="00537F5C" w:rsidRPr="00860E03" w14:paraId="7C359A0B" w14:textId="77777777" w:rsidTr="00537F5C">
        <w:trPr>
          <w:cantSplit/>
          <w:trHeight w:val="285"/>
        </w:trPr>
        <w:tc>
          <w:tcPr>
            <w:tcW w:w="2835" w:type="dxa"/>
          </w:tcPr>
          <w:p w14:paraId="5B2B1D09" w14:textId="77777777" w:rsidR="00537F5C" w:rsidRPr="00860E03" w:rsidRDefault="00537F5C" w:rsidP="00537F5C">
            <w:pPr>
              <w:pStyle w:val="ARtabletext"/>
              <w:rPr>
                <w:b/>
              </w:rPr>
            </w:pPr>
            <w:r w:rsidRPr="00860E03">
              <w:rPr>
                <w:b/>
              </w:rPr>
              <w:t>Total</w:t>
            </w:r>
          </w:p>
        </w:tc>
        <w:tc>
          <w:tcPr>
            <w:tcW w:w="2268" w:type="dxa"/>
          </w:tcPr>
          <w:p w14:paraId="2005D476" w14:textId="77777777" w:rsidR="00537F5C" w:rsidRPr="00860E03" w:rsidRDefault="00537F5C" w:rsidP="00537F5C">
            <w:pPr>
              <w:pStyle w:val="ARtabletextrightbold"/>
            </w:pPr>
            <w:r w:rsidRPr="00860E03">
              <w:t>56</w:t>
            </w:r>
          </w:p>
        </w:tc>
        <w:tc>
          <w:tcPr>
            <w:tcW w:w="2268" w:type="dxa"/>
          </w:tcPr>
          <w:p w14:paraId="1AB485D1" w14:textId="77777777" w:rsidR="00537F5C" w:rsidRPr="00860E03" w:rsidRDefault="00537F5C" w:rsidP="00537F5C">
            <w:pPr>
              <w:pStyle w:val="ARtabletextrightbold"/>
            </w:pPr>
            <w:r w:rsidRPr="00860E03">
              <w:t>71</w:t>
            </w:r>
          </w:p>
        </w:tc>
        <w:tc>
          <w:tcPr>
            <w:tcW w:w="2268" w:type="dxa"/>
          </w:tcPr>
          <w:p w14:paraId="1A7E5954" w14:textId="77777777" w:rsidR="00537F5C" w:rsidRPr="00860E03" w:rsidRDefault="00537F5C" w:rsidP="00537F5C">
            <w:pPr>
              <w:pStyle w:val="ARtabletextrightbold"/>
            </w:pPr>
            <w:r w:rsidRPr="00860E03">
              <w:t>65</w:t>
            </w:r>
          </w:p>
        </w:tc>
      </w:tr>
    </w:tbl>
    <w:p w14:paraId="2F63907B" w14:textId="77777777" w:rsidR="00537F5C" w:rsidRPr="00860E03" w:rsidRDefault="00537F5C" w:rsidP="00537F5C">
      <w:pPr>
        <w:pStyle w:val="ARbody"/>
        <w:rPr>
          <w:lang w:eastAsia="en-AU"/>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537F5C" w:rsidRPr="00860E03" w14:paraId="24DA64DC" w14:textId="77777777" w:rsidTr="00537F5C">
        <w:trPr>
          <w:cantSplit/>
          <w:trHeight w:val="285"/>
          <w:tblHeader/>
        </w:trPr>
        <w:tc>
          <w:tcPr>
            <w:tcW w:w="2835" w:type="dxa"/>
            <w:vAlign w:val="bottom"/>
          </w:tcPr>
          <w:p w14:paraId="19AA9B86" w14:textId="77777777" w:rsidR="00537F5C" w:rsidRPr="00860E03" w:rsidRDefault="00537F5C" w:rsidP="00537F5C">
            <w:pPr>
              <w:pStyle w:val="ARtablecolhead"/>
            </w:pPr>
            <w:r w:rsidRPr="00860E03">
              <w:t>Description</w:t>
            </w:r>
          </w:p>
        </w:tc>
        <w:tc>
          <w:tcPr>
            <w:tcW w:w="2268" w:type="dxa"/>
            <w:vAlign w:val="bottom"/>
          </w:tcPr>
          <w:p w14:paraId="411D192E" w14:textId="77777777" w:rsidR="00537F5C" w:rsidRPr="00860E03" w:rsidRDefault="00537F5C" w:rsidP="00537F5C">
            <w:pPr>
              <w:pStyle w:val="ARtablecolheadright"/>
            </w:pPr>
            <w:r w:rsidRPr="00860E03">
              <w:t>2018–19 estimate</w:t>
            </w:r>
          </w:p>
        </w:tc>
        <w:tc>
          <w:tcPr>
            <w:tcW w:w="2268" w:type="dxa"/>
            <w:vAlign w:val="bottom"/>
          </w:tcPr>
          <w:p w14:paraId="145BC7B7" w14:textId="77777777" w:rsidR="00537F5C" w:rsidRPr="00860E03" w:rsidRDefault="00537F5C" w:rsidP="00537F5C">
            <w:pPr>
              <w:pStyle w:val="ARtablecolheadright"/>
            </w:pPr>
            <w:r w:rsidRPr="00860E03">
              <w:t>2017–18 estimate</w:t>
            </w:r>
          </w:p>
        </w:tc>
        <w:tc>
          <w:tcPr>
            <w:tcW w:w="2268" w:type="dxa"/>
            <w:vAlign w:val="bottom"/>
          </w:tcPr>
          <w:p w14:paraId="20096E55" w14:textId="77777777" w:rsidR="00537F5C" w:rsidRPr="00860E03" w:rsidRDefault="00537F5C" w:rsidP="00537F5C">
            <w:pPr>
              <w:pStyle w:val="ARtablecolheadright"/>
            </w:pPr>
            <w:r w:rsidRPr="00860E03">
              <w:t>2016–17 estimate</w:t>
            </w:r>
          </w:p>
        </w:tc>
      </w:tr>
      <w:tr w:rsidR="00537F5C" w:rsidRPr="00860E03" w14:paraId="6394511F" w14:textId="77777777" w:rsidTr="00537F5C">
        <w:trPr>
          <w:cantSplit/>
          <w:trHeight w:val="285"/>
        </w:trPr>
        <w:tc>
          <w:tcPr>
            <w:tcW w:w="2835" w:type="dxa"/>
          </w:tcPr>
          <w:p w14:paraId="695C0551" w14:textId="77777777" w:rsidR="00537F5C" w:rsidRPr="00860E03" w:rsidRDefault="00537F5C" w:rsidP="00537F5C">
            <w:pPr>
              <w:pStyle w:val="ARtabletext"/>
            </w:pPr>
            <w:r w:rsidRPr="00860E03">
              <w:t>Recycling rate (per cent)</w:t>
            </w:r>
          </w:p>
        </w:tc>
        <w:tc>
          <w:tcPr>
            <w:tcW w:w="2268" w:type="dxa"/>
          </w:tcPr>
          <w:p w14:paraId="0A44D383" w14:textId="77777777" w:rsidR="00537F5C" w:rsidRPr="00860E03" w:rsidRDefault="00537F5C" w:rsidP="00537F5C">
            <w:pPr>
              <w:pStyle w:val="ARtabletextright"/>
            </w:pPr>
            <w:r w:rsidRPr="00860E03">
              <w:t>58%</w:t>
            </w:r>
          </w:p>
        </w:tc>
        <w:tc>
          <w:tcPr>
            <w:tcW w:w="2268" w:type="dxa"/>
          </w:tcPr>
          <w:p w14:paraId="0D730F53" w14:textId="77777777" w:rsidR="00537F5C" w:rsidRPr="00860E03" w:rsidRDefault="00537F5C" w:rsidP="00537F5C">
            <w:pPr>
              <w:pStyle w:val="ARtabletextright"/>
            </w:pPr>
            <w:r w:rsidRPr="00860E03">
              <w:t>59%</w:t>
            </w:r>
          </w:p>
        </w:tc>
        <w:tc>
          <w:tcPr>
            <w:tcW w:w="2268" w:type="dxa"/>
          </w:tcPr>
          <w:p w14:paraId="121FA89D" w14:textId="77777777" w:rsidR="00537F5C" w:rsidRPr="00860E03" w:rsidRDefault="00537F5C" w:rsidP="00537F5C">
            <w:pPr>
              <w:pStyle w:val="ARtabletextright"/>
            </w:pPr>
            <w:r w:rsidRPr="00860E03">
              <w:t>59%</w:t>
            </w:r>
          </w:p>
        </w:tc>
      </w:tr>
      <w:tr w:rsidR="00537F5C" w:rsidRPr="00860E03" w14:paraId="0C64B30B" w14:textId="77777777" w:rsidTr="00537F5C">
        <w:trPr>
          <w:cantSplit/>
          <w:trHeight w:val="285"/>
        </w:trPr>
        <w:tc>
          <w:tcPr>
            <w:tcW w:w="2835" w:type="dxa"/>
          </w:tcPr>
          <w:p w14:paraId="4BF8F40B" w14:textId="77777777" w:rsidR="00537F5C" w:rsidRPr="00860E03" w:rsidRDefault="00537F5C" w:rsidP="00537F5C">
            <w:pPr>
              <w:pStyle w:val="ARtabletext"/>
            </w:pPr>
            <w:r w:rsidRPr="00860E03">
              <w:t>Coffee cups recycled</w:t>
            </w:r>
          </w:p>
        </w:tc>
        <w:tc>
          <w:tcPr>
            <w:tcW w:w="2268" w:type="dxa"/>
          </w:tcPr>
          <w:p w14:paraId="28B72569" w14:textId="77777777" w:rsidR="00537F5C" w:rsidRPr="00860E03" w:rsidRDefault="00537F5C" w:rsidP="00537F5C">
            <w:pPr>
              <w:pStyle w:val="ARtabletextright"/>
            </w:pPr>
            <w:r w:rsidRPr="00860E03">
              <w:t>159,765</w:t>
            </w:r>
          </w:p>
        </w:tc>
        <w:tc>
          <w:tcPr>
            <w:tcW w:w="2268" w:type="dxa"/>
          </w:tcPr>
          <w:p w14:paraId="1522F7B3" w14:textId="77777777" w:rsidR="00537F5C" w:rsidRPr="00860E03" w:rsidRDefault="00537F5C" w:rsidP="00537F5C">
            <w:pPr>
              <w:pStyle w:val="ARtabletextright"/>
            </w:pPr>
            <w:r w:rsidRPr="00860E03">
              <w:t>191,009</w:t>
            </w:r>
          </w:p>
        </w:tc>
        <w:tc>
          <w:tcPr>
            <w:tcW w:w="2268" w:type="dxa"/>
          </w:tcPr>
          <w:p w14:paraId="79855D99" w14:textId="77777777" w:rsidR="00537F5C" w:rsidRPr="00860E03" w:rsidRDefault="00537F5C" w:rsidP="00537F5C">
            <w:pPr>
              <w:pStyle w:val="ARtabletextright"/>
            </w:pPr>
            <w:r w:rsidRPr="00860E03">
              <w:t>19,794</w:t>
            </w:r>
          </w:p>
        </w:tc>
      </w:tr>
      <w:tr w:rsidR="00537F5C" w:rsidRPr="00860E03" w14:paraId="751A8F21" w14:textId="77777777" w:rsidTr="00537F5C">
        <w:trPr>
          <w:cantSplit/>
          <w:trHeight w:val="285"/>
        </w:trPr>
        <w:tc>
          <w:tcPr>
            <w:tcW w:w="2835" w:type="dxa"/>
          </w:tcPr>
          <w:p w14:paraId="0E35553C" w14:textId="77777777" w:rsidR="00537F5C" w:rsidRPr="00860E03" w:rsidRDefault="00537F5C" w:rsidP="00537F5C">
            <w:pPr>
              <w:pStyle w:val="ARtabletext"/>
            </w:pPr>
            <w:r w:rsidRPr="00860E03">
              <w:t>Greenhouse gas emissions associated with waste to landfill (tonnes of CO</w:t>
            </w:r>
            <w:r w:rsidRPr="00860E03">
              <w:rPr>
                <w:vertAlign w:val="subscript"/>
              </w:rPr>
              <w:t>2</w:t>
            </w:r>
            <w:r w:rsidRPr="00860E03">
              <w:t>-e)</w:t>
            </w:r>
          </w:p>
        </w:tc>
        <w:tc>
          <w:tcPr>
            <w:tcW w:w="2268" w:type="dxa"/>
          </w:tcPr>
          <w:p w14:paraId="2F13A707" w14:textId="77777777" w:rsidR="00537F5C" w:rsidRPr="00860E03" w:rsidRDefault="00537F5C" w:rsidP="00537F5C">
            <w:pPr>
              <w:pStyle w:val="ARtabletextright"/>
            </w:pPr>
            <w:r w:rsidRPr="00860E03">
              <w:t>351</w:t>
            </w:r>
          </w:p>
        </w:tc>
        <w:tc>
          <w:tcPr>
            <w:tcW w:w="2268" w:type="dxa"/>
          </w:tcPr>
          <w:p w14:paraId="1FFB9548" w14:textId="77777777" w:rsidR="00537F5C" w:rsidRPr="00860E03" w:rsidRDefault="00537F5C" w:rsidP="00537F5C">
            <w:pPr>
              <w:pStyle w:val="ARtabletextright"/>
            </w:pPr>
            <w:r w:rsidRPr="00860E03">
              <w:t>427</w:t>
            </w:r>
          </w:p>
        </w:tc>
        <w:tc>
          <w:tcPr>
            <w:tcW w:w="2268" w:type="dxa"/>
          </w:tcPr>
          <w:p w14:paraId="119AA78D" w14:textId="77777777" w:rsidR="00537F5C" w:rsidRPr="00860E03" w:rsidRDefault="00537F5C" w:rsidP="00537F5C">
            <w:pPr>
              <w:pStyle w:val="ARtabletextright"/>
            </w:pPr>
            <w:r w:rsidRPr="00860E03">
              <w:t>243</w:t>
            </w:r>
          </w:p>
        </w:tc>
      </w:tr>
    </w:tbl>
    <w:p w14:paraId="5A202CE4" w14:textId="77777777" w:rsidR="00F04442" w:rsidRPr="00A46A4A" w:rsidRDefault="00F04442" w:rsidP="00A46A4A">
      <w:pPr>
        <w:pStyle w:val="ARbody"/>
      </w:pPr>
      <w:r w:rsidRPr="00A46A4A">
        <w:br w:type="page"/>
      </w:r>
    </w:p>
    <w:p w14:paraId="1F671BDE" w14:textId="77777777" w:rsidR="00537F5C" w:rsidRPr="007939DD" w:rsidRDefault="00537F5C" w:rsidP="00537F5C">
      <w:pPr>
        <w:pStyle w:val="Heading3"/>
      </w:pPr>
      <w:r w:rsidRPr="007939DD">
        <w:t>Public health services</w:t>
      </w:r>
    </w:p>
    <w:tbl>
      <w:tblPr>
        <w:tblStyle w:val="TableGrid"/>
        <w:tblW w:w="9639" w:type="dxa"/>
        <w:tblLook w:val="06A0" w:firstRow="1" w:lastRow="0" w:firstColumn="1" w:lastColumn="0" w:noHBand="1" w:noVBand="1"/>
      </w:tblPr>
      <w:tblGrid>
        <w:gridCol w:w="2085"/>
        <w:gridCol w:w="1339"/>
        <w:gridCol w:w="1339"/>
        <w:gridCol w:w="1219"/>
        <w:gridCol w:w="1219"/>
        <w:gridCol w:w="1219"/>
        <w:gridCol w:w="1219"/>
      </w:tblGrid>
      <w:tr w:rsidR="00537F5C" w:rsidRPr="00860E03" w14:paraId="128F5095" w14:textId="77777777" w:rsidTr="00537F5C">
        <w:trPr>
          <w:cnfStyle w:val="100000000000" w:firstRow="1" w:lastRow="0" w:firstColumn="0" w:lastColumn="0" w:oddVBand="0" w:evenVBand="0" w:oddHBand="0" w:evenHBand="0" w:firstRowFirstColumn="0" w:firstRowLastColumn="0" w:lastRowFirstColumn="0" w:lastRowLastColumn="0"/>
          <w:tblHeader/>
        </w:trPr>
        <w:tc>
          <w:tcPr>
            <w:tcW w:w="2085" w:type="dxa"/>
            <w:hideMark/>
          </w:tcPr>
          <w:p w14:paraId="51A4E2D9" w14:textId="77777777" w:rsidR="00537F5C" w:rsidRPr="00860E03" w:rsidRDefault="00537F5C" w:rsidP="00537F5C">
            <w:pPr>
              <w:pStyle w:val="ARtablecolhead"/>
            </w:pPr>
            <w:r w:rsidRPr="00860E03">
              <w:t>Description</w:t>
            </w:r>
          </w:p>
        </w:tc>
        <w:tc>
          <w:tcPr>
            <w:tcW w:w="1339" w:type="dxa"/>
            <w:hideMark/>
          </w:tcPr>
          <w:p w14:paraId="3D9F7872" w14:textId="77777777" w:rsidR="00537F5C" w:rsidRPr="00860E03" w:rsidRDefault="00537F5C" w:rsidP="00537F5C">
            <w:pPr>
              <w:pStyle w:val="ARtablecolheadright"/>
            </w:pPr>
            <w:r w:rsidRPr="00860E03">
              <w:t>2018–19</w:t>
            </w:r>
            <w:r w:rsidRPr="00860E03">
              <w:br/>
              <w:t>estimate</w:t>
            </w:r>
          </w:p>
        </w:tc>
        <w:tc>
          <w:tcPr>
            <w:tcW w:w="1339" w:type="dxa"/>
            <w:hideMark/>
          </w:tcPr>
          <w:p w14:paraId="29DC908C" w14:textId="77777777" w:rsidR="00537F5C" w:rsidRPr="00860E03" w:rsidRDefault="00537F5C" w:rsidP="00537F5C">
            <w:pPr>
              <w:pStyle w:val="ARtablecolheadright"/>
            </w:pPr>
            <w:r w:rsidRPr="00860E03">
              <w:t>2018–19</w:t>
            </w:r>
            <w:r w:rsidRPr="00860E03">
              <w:br/>
              <w:t>estimate</w:t>
            </w:r>
          </w:p>
        </w:tc>
        <w:tc>
          <w:tcPr>
            <w:tcW w:w="1219" w:type="dxa"/>
            <w:hideMark/>
          </w:tcPr>
          <w:p w14:paraId="0DA20A41" w14:textId="77777777" w:rsidR="00537F5C" w:rsidRPr="00860E03" w:rsidRDefault="00537F5C" w:rsidP="00537F5C">
            <w:pPr>
              <w:pStyle w:val="ARtablecolheadright"/>
            </w:pPr>
            <w:r w:rsidRPr="00860E03">
              <w:t>2017–18</w:t>
            </w:r>
            <w:r w:rsidRPr="00860E03">
              <w:br/>
              <w:t>estimate</w:t>
            </w:r>
          </w:p>
        </w:tc>
        <w:tc>
          <w:tcPr>
            <w:tcW w:w="1219" w:type="dxa"/>
            <w:hideMark/>
          </w:tcPr>
          <w:p w14:paraId="1C70065B" w14:textId="77777777" w:rsidR="00537F5C" w:rsidRPr="00860E03" w:rsidRDefault="00537F5C" w:rsidP="00537F5C">
            <w:pPr>
              <w:pStyle w:val="ARtablecolheadright"/>
            </w:pPr>
            <w:r w:rsidRPr="00860E03">
              <w:t>2017–18</w:t>
            </w:r>
            <w:r w:rsidRPr="00860E03">
              <w:br/>
              <w:t>estimate</w:t>
            </w:r>
          </w:p>
        </w:tc>
        <w:tc>
          <w:tcPr>
            <w:tcW w:w="1219" w:type="dxa"/>
            <w:hideMark/>
          </w:tcPr>
          <w:p w14:paraId="10B08104" w14:textId="77777777" w:rsidR="00537F5C" w:rsidRPr="00860E03" w:rsidRDefault="00537F5C" w:rsidP="00537F5C">
            <w:pPr>
              <w:pStyle w:val="ARtablecolheadright"/>
            </w:pPr>
            <w:r w:rsidRPr="00860E03">
              <w:t>201</w:t>
            </w:r>
            <w:r>
              <w:t>6</w:t>
            </w:r>
            <w:r w:rsidR="009D351A">
              <w:t>–</w:t>
            </w:r>
            <w:r>
              <w:t>17</w:t>
            </w:r>
            <w:r w:rsidRPr="00860E03">
              <w:br/>
              <w:t>estimate</w:t>
            </w:r>
          </w:p>
        </w:tc>
        <w:tc>
          <w:tcPr>
            <w:tcW w:w="1219" w:type="dxa"/>
            <w:hideMark/>
          </w:tcPr>
          <w:p w14:paraId="5E523385" w14:textId="77777777" w:rsidR="00537F5C" w:rsidRPr="00860E03" w:rsidRDefault="00537F5C" w:rsidP="00537F5C">
            <w:pPr>
              <w:pStyle w:val="ARtablecolheadright"/>
            </w:pPr>
            <w:r w:rsidRPr="00860E03">
              <w:t>201</w:t>
            </w:r>
            <w:r>
              <w:t>6</w:t>
            </w:r>
            <w:r w:rsidR="009D351A">
              <w:t>–</w:t>
            </w:r>
            <w:r>
              <w:t>17</w:t>
            </w:r>
            <w:r w:rsidRPr="00860E03">
              <w:br/>
              <w:t>estimate</w:t>
            </w:r>
          </w:p>
        </w:tc>
      </w:tr>
      <w:tr w:rsidR="00537F5C" w:rsidRPr="00860E03" w14:paraId="30C25ABE" w14:textId="77777777" w:rsidTr="00537F5C">
        <w:tc>
          <w:tcPr>
            <w:tcW w:w="2085" w:type="dxa"/>
            <w:vAlign w:val="bottom"/>
          </w:tcPr>
          <w:p w14:paraId="1F1320C0" w14:textId="77777777" w:rsidR="00537F5C" w:rsidRPr="00860E03" w:rsidRDefault="00537F5C" w:rsidP="00537F5C">
            <w:pPr>
              <w:pStyle w:val="ARtablecolhead"/>
            </w:pPr>
            <w:r w:rsidRPr="00860E03">
              <w:t>Total units of waste disposed of by stream</w:t>
            </w:r>
          </w:p>
        </w:tc>
        <w:tc>
          <w:tcPr>
            <w:tcW w:w="1339" w:type="dxa"/>
            <w:vAlign w:val="bottom"/>
          </w:tcPr>
          <w:p w14:paraId="3BDC1734" w14:textId="77777777" w:rsidR="00537F5C" w:rsidRPr="00860E03" w:rsidRDefault="00537F5C" w:rsidP="00537F5C">
            <w:pPr>
              <w:pStyle w:val="ARtablecolheadright"/>
            </w:pPr>
            <w:r w:rsidRPr="00860E03">
              <w:t>Tonnes</w:t>
            </w:r>
          </w:p>
        </w:tc>
        <w:tc>
          <w:tcPr>
            <w:tcW w:w="1339" w:type="dxa"/>
            <w:vAlign w:val="bottom"/>
          </w:tcPr>
          <w:p w14:paraId="0572FB3D" w14:textId="77777777" w:rsidR="00537F5C" w:rsidRPr="00860E03" w:rsidRDefault="00537F5C" w:rsidP="00537F5C">
            <w:pPr>
              <w:pStyle w:val="ARtablecolheadright"/>
            </w:pPr>
            <w:r w:rsidRPr="00860E03">
              <w:t>Cost</w:t>
            </w:r>
            <w:r w:rsidRPr="00860E03">
              <w:br/>
              <w:t>($M)</w:t>
            </w:r>
          </w:p>
        </w:tc>
        <w:tc>
          <w:tcPr>
            <w:tcW w:w="1219" w:type="dxa"/>
            <w:vAlign w:val="bottom"/>
          </w:tcPr>
          <w:p w14:paraId="271D025E" w14:textId="77777777" w:rsidR="00537F5C" w:rsidRPr="00860E03" w:rsidRDefault="00537F5C" w:rsidP="00537F5C">
            <w:pPr>
              <w:pStyle w:val="ARtablecolheadright"/>
            </w:pPr>
            <w:r w:rsidRPr="00860E03">
              <w:t>Tonnes</w:t>
            </w:r>
          </w:p>
        </w:tc>
        <w:tc>
          <w:tcPr>
            <w:tcW w:w="1219" w:type="dxa"/>
            <w:vAlign w:val="bottom"/>
          </w:tcPr>
          <w:p w14:paraId="1EF09443" w14:textId="77777777" w:rsidR="00537F5C" w:rsidRPr="00860E03" w:rsidRDefault="00537F5C" w:rsidP="00537F5C">
            <w:pPr>
              <w:pStyle w:val="ARtablecolheadright"/>
            </w:pPr>
            <w:r w:rsidRPr="00860E03">
              <w:t>Cost</w:t>
            </w:r>
            <w:r w:rsidRPr="00860E03">
              <w:br/>
              <w:t>($M)</w:t>
            </w:r>
          </w:p>
        </w:tc>
        <w:tc>
          <w:tcPr>
            <w:tcW w:w="1219" w:type="dxa"/>
            <w:vAlign w:val="bottom"/>
          </w:tcPr>
          <w:p w14:paraId="0E748617" w14:textId="77777777" w:rsidR="00537F5C" w:rsidRPr="00860E03" w:rsidRDefault="00537F5C" w:rsidP="00537F5C">
            <w:pPr>
              <w:pStyle w:val="ARtablecolheadright"/>
            </w:pPr>
            <w:r w:rsidRPr="00860E03">
              <w:t>Tonnes</w:t>
            </w:r>
          </w:p>
        </w:tc>
        <w:tc>
          <w:tcPr>
            <w:tcW w:w="1219" w:type="dxa"/>
            <w:vAlign w:val="bottom"/>
          </w:tcPr>
          <w:p w14:paraId="2748D93A" w14:textId="77777777" w:rsidR="00537F5C" w:rsidRPr="00860E03" w:rsidRDefault="00537F5C" w:rsidP="00537F5C">
            <w:pPr>
              <w:pStyle w:val="ARtablecolheadright"/>
            </w:pPr>
            <w:r w:rsidRPr="00860E03">
              <w:t>Cost</w:t>
            </w:r>
            <w:r w:rsidRPr="00860E03">
              <w:br/>
              <w:t>($M)</w:t>
            </w:r>
          </w:p>
        </w:tc>
      </w:tr>
      <w:tr w:rsidR="00537F5C" w:rsidRPr="00860E03" w14:paraId="0BB0EC29" w14:textId="77777777" w:rsidTr="00537F5C">
        <w:tc>
          <w:tcPr>
            <w:tcW w:w="2085" w:type="dxa"/>
          </w:tcPr>
          <w:p w14:paraId="2B1FE83E" w14:textId="77777777" w:rsidR="00537F5C" w:rsidRPr="00860E03" w:rsidRDefault="00537F5C" w:rsidP="00537F5C">
            <w:pPr>
              <w:pStyle w:val="ARtabletext"/>
            </w:pPr>
            <w:r w:rsidRPr="00860E03">
              <w:t>Clinical and related waste</w:t>
            </w:r>
          </w:p>
        </w:tc>
        <w:tc>
          <w:tcPr>
            <w:tcW w:w="1339" w:type="dxa"/>
          </w:tcPr>
          <w:p w14:paraId="021D555D" w14:textId="77777777" w:rsidR="00537F5C" w:rsidRPr="00860E03" w:rsidRDefault="00537F5C" w:rsidP="00537F5C">
            <w:pPr>
              <w:pStyle w:val="ARtabletextright"/>
            </w:pPr>
            <w:r w:rsidRPr="00860E03">
              <w:t>4,797</w:t>
            </w:r>
          </w:p>
        </w:tc>
        <w:tc>
          <w:tcPr>
            <w:tcW w:w="1339" w:type="dxa"/>
          </w:tcPr>
          <w:p w14:paraId="3A608529" w14:textId="77777777" w:rsidR="00537F5C" w:rsidRPr="00860E03" w:rsidRDefault="00537F5C" w:rsidP="00537F5C">
            <w:pPr>
              <w:pStyle w:val="ARtabletextright"/>
            </w:pPr>
            <w:r w:rsidRPr="00860E03">
              <w:t>$8.55</w:t>
            </w:r>
          </w:p>
        </w:tc>
        <w:tc>
          <w:tcPr>
            <w:tcW w:w="1219" w:type="dxa"/>
          </w:tcPr>
          <w:p w14:paraId="23E14E77" w14:textId="77777777" w:rsidR="00537F5C" w:rsidRPr="00860E03" w:rsidRDefault="00537F5C" w:rsidP="00537F5C">
            <w:pPr>
              <w:pStyle w:val="ARtabletextright"/>
            </w:pPr>
            <w:r w:rsidRPr="00860E03">
              <w:t>4,739</w:t>
            </w:r>
          </w:p>
        </w:tc>
        <w:tc>
          <w:tcPr>
            <w:tcW w:w="1219" w:type="dxa"/>
          </w:tcPr>
          <w:p w14:paraId="158BEA2C" w14:textId="77777777" w:rsidR="00537F5C" w:rsidRPr="00860E03" w:rsidRDefault="00537F5C" w:rsidP="00537F5C">
            <w:pPr>
              <w:pStyle w:val="ARtabletextright"/>
            </w:pPr>
            <w:r w:rsidRPr="00860E03">
              <w:t>$8.29</w:t>
            </w:r>
          </w:p>
        </w:tc>
        <w:tc>
          <w:tcPr>
            <w:tcW w:w="1219" w:type="dxa"/>
          </w:tcPr>
          <w:p w14:paraId="33A363A4" w14:textId="77777777" w:rsidR="00537F5C" w:rsidRPr="00860E03" w:rsidRDefault="00537F5C" w:rsidP="00537F5C">
            <w:pPr>
              <w:pStyle w:val="ARtabletextright"/>
            </w:pPr>
            <w:r w:rsidRPr="00860E03">
              <w:t>N/A</w:t>
            </w:r>
          </w:p>
        </w:tc>
        <w:tc>
          <w:tcPr>
            <w:tcW w:w="1219" w:type="dxa"/>
          </w:tcPr>
          <w:p w14:paraId="1E325343" w14:textId="77777777" w:rsidR="00537F5C" w:rsidRPr="00860E03" w:rsidRDefault="00537F5C" w:rsidP="00537F5C">
            <w:pPr>
              <w:pStyle w:val="ARtabletextright"/>
            </w:pPr>
            <w:r w:rsidRPr="00860E03">
              <w:t>N/A</w:t>
            </w:r>
          </w:p>
        </w:tc>
      </w:tr>
      <w:tr w:rsidR="00537F5C" w:rsidRPr="00860E03" w14:paraId="2A26B626" w14:textId="77777777" w:rsidTr="00537F5C">
        <w:tc>
          <w:tcPr>
            <w:tcW w:w="2085" w:type="dxa"/>
            <w:hideMark/>
          </w:tcPr>
          <w:p w14:paraId="1D60AAED" w14:textId="77777777" w:rsidR="00537F5C" w:rsidRPr="00860E03" w:rsidRDefault="00537F5C" w:rsidP="00537F5C">
            <w:pPr>
              <w:pStyle w:val="ARtabletext"/>
            </w:pPr>
            <w:r w:rsidRPr="00860E03">
              <w:t>Landfill</w:t>
            </w:r>
          </w:p>
        </w:tc>
        <w:tc>
          <w:tcPr>
            <w:tcW w:w="1339" w:type="dxa"/>
          </w:tcPr>
          <w:p w14:paraId="208A0B42" w14:textId="77777777" w:rsidR="00537F5C" w:rsidRPr="00860E03" w:rsidRDefault="00537F5C" w:rsidP="00537F5C">
            <w:pPr>
              <w:pStyle w:val="ARtabletextright"/>
            </w:pPr>
            <w:r w:rsidRPr="00860E03">
              <w:t>25,601</w:t>
            </w:r>
          </w:p>
        </w:tc>
        <w:tc>
          <w:tcPr>
            <w:tcW w:w="1339" w:type="dxa"/>
          </w:tcPr>
          <w:p w14:paraId="6ADEAF8D" w14:textId="77777777" w:rsidR="00537F5C" w:rsidRPr="00860E03" w:rsidRDefault="00537F5C" w:rsidP="00537F5C">
            <w:pPr>
              <w:pStyle w:val="ARtabletextright"/>
            </w:pPr>
            <w:r w:rsidRPr="00860E03">
              <w:t>$5.20</w:t>
            </w:r>
          </w:p>
        </w:tc>
        <w:tc>
          <w:tcPr>
            <w:tcW w:w="1219" w:type="dxa"/>
          </w:tcPr>
          <w:p w14:paraId="7C01A67C" w14:textId="77777777" w:rsidR="00537F5C" w:rsidRPr="00860E03" w:rsidRDefault="00537F5C" w:rsidP="00537F5C">
            <w:pPr>
              <w:pStyle w:val="ARtabletextright"/>
            </w:pPr>
            <w:r w:rsidRPr="00860E03">
              <w:t>25,704</w:t>
            </w:r>
          </w:p>
        </w:tc>
        <w:tc>
          <w:tcPr>
            <w:tcW w:w="1219" w:type="dxa"/>
          </w:tcPr>
          <w:p w14:paraId="665CE366" w14:textId="77777777" w:rsidR="00537F5C" w:rsidRPr="00860E03" w:rsidRDefault="00537F5C" w:rsidP="00537F5C">
            <w:pPr>
              <w:pStyle w:val="ARtabletextright"/>
            </w:pPr>
            <w:r w:rsidRPr="00860E03">
              <w:t>$5.43</w:t>
            </w:r>
          </w:p>
        </w:tc>
        <w:tc>
          <w:tcPr>
            <w:tcW w:w="1219" w:type="dxa"/>
          </w:tcPr>
          <w:p w14:paraId="148C9FBE" w14:textId="77777777" w:rsidR="00537F5C" w:rsidRPr="00860E03" w:rsidRDefault="00537F5C" w:rsidP="00537F5C">
            <w:pPr>
              <w:pStyle w:val="ARtabletextright"/>
            </w:pPr>
            <w:r w:rsidRPr="00860E03">
              <w:t>N/A</w:t>
            </w:r>
          </w:p>
        </w:tc>
        <w:tc>
          <w:tcPr>
            <w:tcW w:w="1219" w:type="dxa"/>
          </w:tcPr>
          <w:p w14:paraId="71D8EDC6" w14:textId="77777777" w:rsidR="00537F5C" w:rsidRPr="00860E03" w:rsidRDefault="00537F5C" w:rsidP="00537F5C">
            <w:pPr>
              <w:pStyle w:val="ARtabletextright"/>
            </w:pPr>
            <w:r w:rsidRPr="00860E03">
              <w:t>N/A</w:t>
            </w:r>
          </w:p>
        </w:tc>
      </w:tr>
      <w:tr w:rsidR="00537F5C" w:rsidRPr="00860E03" w14:paraId="101553FC" w14:textId="77777777" w:rsidTr="00537F5C">
        <w:tc>
          <w:tcPr>
            <w:tcW w:w="2085" w:type="dxa"/>
            <w:hideMark/>
          </w:tcPr>
          <w:p w14:paraId="2A2694F7" w14:textId="77777777" w:rsidR="00537F5C" w:rsidRPr="00860E03" w:rsidRDefault="00537F5C" w:rsidP="00537F5C">
            <w:pPr>
              <w:pStyle w:val="ARtabletext"/>
            </w:pPr>
            <w:r w:rsidRPr="00860E03">
              <w:t>Recycling</w:t>
            </w:r>
          </w:p>
        </w:tc>
        <w:tc>
          <w:tcPr>
            <w:tcW w:w="1339" w:type="dxa"/>
          </w:tcPr>
          <w:p w14:paraId="252D944F" w14:textId="77777777" w:rsidR="00537F5C" w:rsidRPr="00860E03" w:rsidRDefault="00537F5C" w:rsidP="00537F5C">
            <w:pPr>
              <w:pStyle w:val="ARtabletextright"/>
            </w:pPr>
            <w:r w:rsidRPr="00860E03">
              <w:t>9,698</w:t>
            </w:r>
          </w:p>
        </w:tc>
        <w:tc>
          <w:tcPr>
            <w:tcW w:w="1339" w:type="dxa"/>
          </w:tcPr>
          <w:p w14:paraId="609F669A" w14:textId="77777777" w:rsidR="00537F5C" w:rsidRPr="00860E03" w:rsidRDefault="00537F5C" w:rsidP="00537F5C">
            <w:pPr>
              <w:pStyle w:val="ARtabletextright"/>
            </w:pPr>
            <w:r w:rsidRPr="00860E03">
              <w:t>$1.84</w:t>
            </w:r>
          </w:p>
        </w:tc>
        <w:tc>
          <w:tcPr>
            <w:tcW w:w="1219" w:type="dxa"/>
          </w:tcPr>
          <w:p w14:paraId="5E2FFBDC" w14:textId="77777777" w:rsidR="00537F5C" w:rsidRPr="00860E03" w:rsidRDefault="00537F5C" w:rsidP="00537F5C">
            <w:pPr>
              <w:pStyle w:val="ARtabletextright"/>
            </w:pPr>
            <w:r w:rsidRPr="00860E03">
              <w:t>9,164</w:t>
            </w:r>
          </w:p>
        </w:tc>
        <w:tc>
          <w:tcPr>
            <w:tcW w:w="1219" w:type="dxa"/>
          </w:tcPr>
          <w:p w14:paraId="71DDFF8F" w14:textId="77777777" w:rsidR="00537F5C" w:rsidRPr="00860E03" w:rsidRDefault="00537F5C" w:rsidP="00537F5C">
            <w:pPr>
              <w:pStyle w:val="ARtabletextright"/>
            </w:pPr>
            <w:r w:rsidRPr="00860E03">
              <w:t>$1.83</w:t>
            </w:r>
          </w:p>
        </w:tc>
        <w:tc>
          <w:tcPr>
            <w:tcW w:w="1219" w:type="dxa"/>
          </w:tcPr>
          <w:p w14:paraId="6CA20C94" w14:textId="77777777" w:rsidR="00537F5C" w:rsidRPr="00860E03" w:rsidRDefault="00537F5C" w:rsidP="00537F5C">
            <w:pPr>
              <w:pStyle w:val="ARtabletextright"/>
            </w:pPr>
            <w:r w:rsidRPr="00860E03">
              <w:t>N/A</w:t>
            </w:r>
          </w:p>
        </w:tc>
        <w:tc>
          <w:tcPr>
            <w:tcW w:w="1219" w:type="dxa"/>
          </w:tcPr>
          <w:p w14:paraId="1FC97EE1" w14:textId="77777777" w:rsidR="00537F5C" w:rsidRPr="00860E03" w:rsidRDefault="00537F5C" w:rsidP="00537F5C">
            <w:pPr>
              <w:pStyle w:val="ARtabletextright"/>
            </w:pPr>
            <w:r w:rsidRPr="00860E03">
              <w:t>N/A</w:t>
            </w:r>
          </w:p>
        </w:tc>
      </w:tr>
      <w:tr w:rsidR="00537F5C" w:rsidRPr="00860E03" w14:paraId="5A678227" w14:textId="77777777" w:rsidTr="00537F5C">
        <w:tc>
          <w:tcPr>
            <w:tcW w:w="2085" w:type="dxa"/>
            <w:hideMark/>
          </w:tcPr>
          <w:p w14:paraId="1D43A0A6" w14:textId="77777777" w:rsidR="00537F5C" w:rsidRPr="00860E03" w:rsidRDefault="00537F5C" w:rsidP="00537F5C">
            <w:pPr>
              <w:pStyle w:val="ARtabletext"/>
              <w:rPr>
                <w:b/>
                <w:bCs/>
              </w:rPr>
            </w:pPr>
            <w:r w:rsidRPr="00860E03">
              <w:rPr>
                <w:b/>
                <w:bCs/>
              </w:rPr>
              <w:t>Total</w:t>
            </w:r>
          </w:p>
        </w:tc>
        <w:tc>
          <w:tcPr>
            <w:tcW w:w="1339" w:type="dxa"/>
          </w:tcPr>
          <w:p w14:paraId="4676B953" w14:textId="77777777" w:rsidR="00537F5C" w:rsidRPr="00860E03" w:rsidRDefault="00537F5C" w:rsidP="00537F5C">
            <w:pPr>
              <w:pStyle w:val="ARtabletextrightbold"/>
            </w:pPr>
            <w:r w:rsidRPr="00860E03">
              <w:t>40,096</w:t>
            </w:r>
          </w:p>
        </w:tc>
        <w:tc>
          <w:tcPr>
            <w:tcW w:w="1339" w:type="dxa"/>
          </w:tcPr>
          <w:p w14:paraId="53B087C2" w14:textId="77777777" w:rsidR="00537F5C" w:rsidRPr="00860E03" w:rsidRDefault="00537F5C" w:rsidP="00537F5C">
            <w:pPr>
              <w:pStyle w:val="ARtabletextrightbold"/>
            </w:pPr>
            <w:r w:rsidRPr="00860E03">
              <w:t>$15.60</w:t>
            </w:r>
          </w:p>
        </w:tc>
        <w:tc>
          <w:tcPr>
            <w:tcW w:w="1219" w:type="dxa"/>
          </w:tcPr>
          <w:p w14:paraId="3654F8D1" w14:textId="77777777" w:rsidR="00537F5C" w:rsidRPr="00860E03" w:rsidRDefault="00537F5C" w:rsidP="00537F5C">
            <w:pPr>
              <w:pStyle w:val="ARtabletextrightbold"/>
            </w:pPr>
            <w:r w:rsidRPr="00860E03">
              <w:t>39,607</w:t>
            </w:r>
          </w:p>
        </w:tc>
        <w:tc>
          <w:tcPr>
            <w:tcW w:w="1219" w:type="dxa"/>
          </w:tcPr>
          <w:p w14:paraId="74DA2D82" w14:textId="77777777" w:rsidR="00537F5C" w:rsidRPr="00860E03" w:rsidRDefault="00537F5C" w:rsidP="00537F5C">
            <w:pPr>
              <w:pStyle w:val="ARtabletextrightbold"/>
            </w:pPr>
            <w:r w:rsidRPr="00860E03">
              <w:t>$15.56</w:t>
            </w:r>
          </w:p>
        </w:tc>
        <w:tc>
          <w:tcPr>
            <w:tcW w:w="1219" w:type="dxa"/>
          </w:tcPr>
          <w:p w14:paraId="7110CE48" w14:textId="77777777" w:rsidR="00537F5C" w:rsidRPr="00860E03" w:rsidRDefault="00537F5C" w:rsidP="00537F5C">
            <w:pPr>
              <w:pStyle w:val="ARtabletextrightbold"/>
            </w:pPr>
            <w:r w:rsidRPr="00860E03">
              <w:t>N/A</w:t>
            </w:r>
          </w:p>
        </w:tc>
        <w:tc>
          <w:tcPr>
            <w:tcW w:w="1219" w:type="dxa"/>
          </w:tcPr>
          <w:p w14:paraId="2CC69C50" w14:textId="77777777" w:rsidR="00537F5C" w:rsidRPr="00860E03" w:rsidRDefault="00537F5C" w:rsidP="00537F5C">
            <w:pPr>
              <w:pStyle w:val="ARtabletextrightbold"/>
            </w:pPr>
            <w:r w:rsidRPr="00860E03">
              <w:t>N/A</w:t>
            </w:r>
          </w:p>
        </w:tc>
      </w:tr>
    </w:tbl>
    <w:p w14:paraId="4FF8EAE2" w14:textId="77777777" w:rsidR="00537F5C" w:rsidRPr="00860E03" w:rsidRDefault="00537F5C" w:rsidP="00537F5C">
      <w:pPr>
        <w:pStyle w:val="ARbody"/>
        <w:rPr>
          <w:lang w:eastAsia="en-AU"/>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537F5C" w:rsidRPr="00860E03" w14:paraId="617DFF42" w14:textId="77777777" w:rsidTr="00537F5C">
        <w:trPr>
          <w:cantSplit/>
          <w:trHeight w:val="285"/>
          <w:tblHeader/>
        </w:trPr>
        <w:tc>
          <w:tcPr>
            <w:tcW w:w="2835" w:type="dxa"/>
            <w:vAlign w:val="bottom"/>
          </w:tcPr>
          <w:p w14:paraId="1B57BC57" w14:textId="77777777" w:rsidR="00537F5C" w:rsidRPr="00860E03" w:rsidRDefault="00537F5C" w:rsidP="00537F5C">
            <w:pPr>
              <w:pStyle w:val="ARtablecolhead"/>
            </w:pPr>
            <w:r w:rsidRPr="00860E03">
              <w:t>Description</w:t>
            </w:r>
          </w:p>
        </w:tc>
        <w:tc>
          <w:tcPr>
            <w:tcW w:w="2268" w:type="dxa"/>
            <w:vAlign w:val="bottom"/>
          </w:tcPr>
          <w:p w14:paraId="0FE12016" w14:textId="77777777" w:rsidR="00537F5C" w:rsidRPr="00860E03" w:rsidRDefault="00537F5C" w:rsidP="00537F5C">
            <w:pPr>
              <w:pStyle w:val="ARtablecolheadright"/>
            </w:pPr>
            <w:r w:rsidRPr="00860E03">
              <w:t>2018–19 estimate</w:t>
            </w:r>
          </w:p>
        </w:tc>
        <w:tc>
          <w:tcPr>
            <w:tcW w:w="2268" w:type="dxa"/>
            <w:vAlign w:val="bottom"/>
          </w:tcPr>
          <w:p w14:paraId="4A98B499" w14:textId="77777777" w:rsidR="00537F5C" w:rsidRPr="00860E03" w:rsidRDefault="00537F5C" w:rsidP="00537F5C">
            <w:pPr>
              <w:pStyle w:val="ARtablecolheadright"/>
            </w:pPr>
            <w:r w:rsidRPr="00860E03">
              <w:t>2017–18 estimate</w:t>
            </w:r>
          </w:p>
        </w:tc>
        <w:tc>
          <w:tcPr>
            <w:tcW w:w="2268" w:type="dxa"/>
            <w:vAlign w:val="bottom"/>
          </w:tcPr>
          <w:p w14:paraId="5F552BCB" w14:textId="77777777" w:rsidR="00537F5C" w:rsidRPr="00860E03" w:rsidRDefault="00537F5C" w:rsidP="00537F5C">
            <w:pPr>
              <w:pStyle w:val="ARtablecolheadright"/>
            </w:pPr>
            <w:r w:rsidRPr="00860E03">
              <w:t>2016–17 estimate</w:t>
            </w:r>
          </w:p>
        </w:tc>
      </w:tr>
      <w:tr w:rsidR="00537F5C" w:rsidRPr="00860E03" w14:paraId="34EFC691" w14:textId="77777777" w:rsidTr="00537F5C">
        <w:trPr>
          <w:cantSplit/>
          <w:trHeight w:val="285"/>
        </w:trPr>
        <w:tc>
          <w:tcPr>
            <w:tcW w:w="2835" w:type="dxa"/>
          </w:tcPr>
          <w:p w14:paraId="39B67220" w14:textId="77777777" w:rsidR="00537F5C" w:rsidRPr="00860E03" w:rsidRDefault="00537F5C" w:rsidP="00537F5C">
            <w:pPr>
              <w:pStyle w:val="ARtabletext"/>
            </w:pPr>
            <w:r w:rsidRPr="00860E03">
              <w:t>Recycling rate (per cent)</w:t>
            </w:r>
          </w:p>
        </w:tc>
        <w:tc>
          <w:tcPr>
            <w:tcW w:w="2268" w:type="dxa"/>
          </w:tcPr>
          <w:p w14:paraId="274505BA" w14:textId="77777777" w:rsidR="00537F5C" w:rsidRPr="00860E03" w:rsidRDefault="00537F5C" w:rsidP="00537F5C">
            <w:pPr>
              <w:pStyle w:val="ARtabletextright"/>
            </w:pPr>
            <w:r w:rsidRPr="00860E03">
              <w:t>27%</w:t>
            </w:r>
          </w:p>
        </w:tc>
        <w:tc>
          <w:tcPr>
            <w:tcW w:w="2268" w:type="dxa"/>
          </w:tcPr>
          <w:p w14:paraId="1DF96AB8" w14:textId="77777777" w:rsidR="00537F5C" w:rsidRPr="00860E03" w:rsidRDefault="00537F5C" w:rsidP="00537F5C">
            <w:pPr>
              <w:pStyle w:val="ARtabletextright"/>
            </w:pPr>
            <w:r w:rsidRPr="00860E03">
              <w:t>26%</w:t>
            </w:r>
          </w:p>
        </w:tc>
        <w:tc>
          <w:tcPr>
            <w:tcW w:w="2268" w:type="dxa"/>
          </w:tcPr>
          <w:p w14:paraId="047FC686" w14:textId="77777777" w:rsidR="00537F5C" w:rsidRPr="00860E03" w:rsidRDefault="00537F5C" w:rsidP="00537F5C">
            <w:pPr>
              <w:pStyle w:val="ARtabletextright"/>
            </w:pPr>
            <w:r w:rsidRPr="00860E03">
              <w:t>N/A</w:t>
            </w:r>
          </w:p>
        </w:tc>
      </w:tr>
      <w:tr w:rsidR="00537F5C" w:rsidRPr="00860E03" w14:paraId="4FB834B2" w14:textId="77777777" w:rsidTr="00537F5C">
        <w:trPr>
          <w:cantSplit/>
          <w:trHeight w:val="285"/>
        </w:trPr>
        <w:tc>
          <w:tcPr>
            <w:tcW w:w="2835" w:type="dxa"/>
          </w:tcPr>
          <w:p w14:paraId="6DA171E1" w14:textId="77777777" w:rsidR="00537F5C" w:rsidRPr="00860E03" w:rsidRDefault="00537F5C" w:rsidP="00537F5C">
            <w:pPr>
              <w:pStyle w:val="ARtabletext"/>
            </w:pPr>
            <w:r w:rsidRPr="00860E03">
              <w:t>Waste produced per patient treated (kilograms/PPT)</w:t>
            </w:r>
          </w:p>
        </w:tc>
        <w:tc>
          <w:tcPr>
            <w:tcW w:w="2268" w:type="dxa"/>
          </w:tcPr>
          <w:p w14:paraId="659AB055" w14:textId="77777777" w:rsidR="00537F5C" w:rsidRPr="00860E03" w:rsidRDefault="00537F5C" w:rsidP="00537F5C">
            <w:pPr>
              <w:pStyle w:val="ARtabletextright"/>
            </w:pPr>
            <w:r w:rsidRPr="00860E03">
              <w:t>3.65</w:t>
            </w:r>
          </w:p>
        </w:tc>
        <w:tc>
          <w:tcPr>
            <w:tcW w:w="2268" w:type="dxa"/>
          </w:tcPr>
          <w:p w14:paraId="7A6BA6C9" w14:textId="77777777" w:rsidR="00537F5C" w:rsidRPr="00860E03" w:rsidRDefault="00537F5C" w:rsidP="00537F5C">
            <w:pPr>
              <w:pStyle w:val="ARtabletextright"/>
            </w:pPr>
            <w:r w:rsidRPr="00860E03">
              <w:t>3.67</w:t>
            </w:r>
          </w:p>
        </w:tc>
        <w:tc>
          <w:tcPr>
            <w:tcW w:w="2268" w:type="dxa"/>
          </w:tcPr>
          <w:p w14:paraId="0EEA5B2B" w14:textId="77777777" w:rsidR="00537F5C" w:rsidRPr="00860E03" w:rsidRDefault="00537F5C" w:rsidP="00537F5C">
            <w:pPr>
              <w:pStyle w:val="ARtabletextright"/>
            </w:pPr>
            <w:r w:rsidRPr="00860E03">
              <w:t>N/A</w:t>
            </w:r>
          </w:p>
        </w:tc>
      </w:tr>
      <w:tr w:rsidR="00537F5C" w:rsidRPr="00860E03" w14:paraId="7656A366" w14:textId="77777777" w:rsidTr="00537F5C">
        <w:trPr>
          <w:cantSplit/>
          <w:trHeight w:val="285"/>
        </w:trPr>
        <w:tc>
          <w:tcPr>
            <w:tcW w:w="2835" w:type="dxa"/>
          </w:tcPr>
          <w:p w14:paraId="68CA73B8" w14:textId="77777777" w:rsidR="00537F5C" w:rsidRPr="00860E03" w:rsidRDefault="00537F5C" w:rsidP="00537F5C">
            <w:pPr>
              <w:pStyle w:val="ARtabletext"/>
            </w:pPr>
            <w:r w:rsidRPr="00860E03">
              <w:t>Greenhouse gas emissions associated with waste to landfill (tonnes of CO</w:t>
            </w:r>
            <w:r w:rsidRPr="00860E03">
              <w:rPr>
                <w:vertAlign w:val="subscript"/>
              </w:rPr>
              <w:t>2</w:t>
            </w:r>
            <w:r w:rsidRPr="00860E03">
              <w:t>-e)</w:t>
            </w:r>
          </w:p>
        </w:tc>
        <w:tc>
          <w:tcPr>
            <w:tcW w:w="2268" w:type="dxa"/>
          </w:tcPr>
          <w:p w14:paraId="39C638A1" w14:textId="77777777" w:rsidR="00537F5C" w:rsidRPr="00860E03" w:rsidRDefault="00537F5C" w:rsidP="00537F5C">
            <w:pPr>
              <w:pStyle w:val="ARtabletextright"/>
            </w:pPr>
            <w:r w:rsidRPr="00860E03">
              <w:t>36,315</w:t>
            </w:r>
          </w:p>
        </w:tc>
        <w:tc>
          <w:tcPr>
            <w:tcW w:w="2268" w:type="dxa"/>
          </w:tcPr>
          <w:p w14:paraId="047749B7" w14:textId="77777777" w:rsidR="00537F5C" w:rsidRPr="00860E03" w:rsidRDefault="00537F5C" w:rsidP="00537F5C">
            <w:pPr>
              <w:pStyle w:val="ARtabletextright"/>
            </w:pPr>
            <w:r w:rsidRPr="00860E03">
              <w:t>36,348</w:t>
            </w:r>
          </w:p>
        </w:tc>
        <w:tc>
          <w:tcPr>
            <w:tcW w:w="2268" w:type="dxa"/>
          </w:tcPr>
          <w:p w14:paraId="6F53A10F" w14:textId="77777777" w:rsidR="00537F5C" w:rsidRPr="00860E03" w:rsidRDefault="00537F5C" w:rsidP="00537F5C">
            <w:pPr>
              <w:pStyle w:val="ARtabletextright"/>
            </w:pPr>
            <w:r>
              <w:t>N/A</w:t>
            </w:r>
          </w:p>
        </w:tc>
      </w:tr>
    </w:tbl>
    <w:p w14:paraId="74C77012" w14:textId="77777777" w:rsidR="00F73A80" w:rsidRPr="00860E03" w:rsidRDefault="00F73A80" w:rsidP="00F73A80">
      <w:pPr>
        <w:pStyle w:val="ARtablefootnote"/>
        <w:rPr>
          <w:lang w:eastAsia="en-AU"/>
        </w:rPr>
      </w:pPr>
      <w:bookmarkStart w:id="206" w:name="_Hlk11670865"/>
      <w:r w:rsidRPr="00860E03">
        <w:rPr>
          <w:lang w:eastAsia="en-AU"/>
        </w:rPr>
        <w:t>Public health services are GST-exempt organisations. Reported cost data for public health services is exclusive of GST.</w:t>
      </w:r>
    </w:p>
    <w:p w14:paraId="222351A9" w14:textId="77777777" w:rsidR="00F73A80" w:rsidRPr="00860E03" w:rsidRDefault="00F73A80" w:rsidP="00F73A80">
      <w:pPr>
        <w:pStyle w:val="ARtablefootnote"/>
        <w:rPr>
          <w:lang w:eastAsia="en-AU"/>
        </w:rPr>
      </w:pPr>
      <w:r w:rsidRPr="00860E03">
        <w:rPr>
          <w:lang w:eastAsia="en-AU"/>
        </w:rPr>
        <w:t>Clinical and related wastes include clinical, sharps, cytotoxic, pharmaceutical, chemical and anatomical waste streams.</w:t>
      </w:r>
    </w:p>
    <w:p w14:paraId="40008242" w14:textId="77777777" w:rsidR="00F73A80" w:rsidRPr="00860E03" w:rsidRDefault="00F73A80" w:rsidP="00F73A80">
      <w:pPr>
        <w:pStyle w:val="ARtablefootnote"/>
        <w:rPr>
          <w:lang w:eastAsia="en-AU"/>
        </w:rPr>
      </w:pPr>
      <w:r w:rsidRPr="00860E03">
        <w:rPr>
          <w:lang w:eastAsia="en-AU"/>
        </w:rPr>
        <w:t>Recycling includes batteries, cardboard, co-mingled, e-waste, fluorescent tubes, grease traps, mattresses, metals, mobile phones, organics, PVC, packaging films/plastics, paper, polystyrene, sterilization wrap, toner and printer cartridge</w:t>
      </w:r>
      <w:r w:rsidR="00A64DEB">
        <w:rPr>
          <w:lang w:eastAsia="en-AU"/>
        </w:rPr>
        <w:t>s,</w:t>
      </w:r>
      <w:r w:rsidRPr="00860E03">
        <w:rPr>
          <w:lang w:eastAsia="en-AU"/>
        </w:rPr>
        <w:t xml:space="preserve"> and wood.</w:t>
      </w:r>
    </w:p>
    <w:p w14:paraId="6E91EADA" w14:textId="77777777" w:rsidR="00F73A80" w:rsidRPr="00860E03" w:rsidRDefault="00F73A80" w:rsidP="00F73A80">
      <w:pPr>
        <w:pStyle w:val="ARtablefootnote"/>
        <w:rPr>
          <w:lang w:eastAsia="en-AU"/>
        </w:rPr>
      </w:pPr>
      <w:r w:rsidRPr="00860E03">
        <w:rPr>
          <w:lang w:eastAsia="en-AU"/>
        </w:rPr>
        <w:t>Data for some recycling streams was unavailable at the time of printing, so figures reported may not represent the full extent of materials recycled.</w:t>
      </w:r>
    </w:p>
    <w:p w14:paraId="6EEB94F8" w14:textId="77777777" w:rsidR="00F73A80" w:rsidRPr="00860E03" w:rsidRDefault="00F73A80" w:rsidP="00F73A80">
      <w:pPr>
        <w:pStyle w:val="ARtablefootnote"/>
        <w:rPr>
          <w:lang w:eastAsia="en-AU"/>
        </w:rPr>
      </w:pPr>
      <w:bookmarkStart w:id="207" w:name="_Hlk17732328"/>
      <w:r w:rsidRPr="00860E03">
        <w:rPr>
          <w:lang w:eastAsia="en-AU"/>
        </w:rPr>
        <w:t>201617 data is excluded as it was reported voluntarily and is not representative of the whole health system.</w:t>
      </w:r>
      <w:bookmarkEnd w:id="207"/>
    </w:p>
    <w:p w14:paraId="5EBEDDF6" w14:textId="77777777" w:rsidR="00F73A80" w:rsidRPr="009F2B61" w:rsidRDefault="00F73A80" w:rsidP="00F73A80">
      <w:pPr>
        <w:pStyle w:val="ARtablefootnote"/>
        <w:rPr>
          <w:lang w:eastAsia="en-AU"/>
        </w:rPr>
      </w:pPr>
      <w:r w:rsidRPr="00860E03">
        <w:rPr>
          <w:lang w:eastAsia="en-AU"/>
        </w:rPr>
        <w:t>Waste produced per patient treated is an aggregation of in-patient bed-days, aged care bed-days, separations and emergency department presentations.</w:t>
      </w:r>
    </w:p>
    <w:p w14:paraId="5B56078C" w14:textId="77777777" w:rsidR="00F73A80" w:rsidRPr="007939DD" w:rsidRDefault="00F73A80" w:rsidP="00F73A80">
      <w:pPr>
        <w:pStyle w:val="Heading2"/>
      </w:pPr>
      <w:r w:rsidRPr="007939DD">
        <w:t>Transportation</w:t>
      </w:r>
    </w:p>
    <w:p w14:paraId="0E6C7641" w14:textId="77777777" w:rsidR="00F73A80" w:rsidRPr="007939DD" w:rsidRDefault="00F73A80" w:rsidP="00F73A80">
      <w:pPr>
        <w:pStyle w:val="Heading3"/>
      </w:pPr>
      <w:r w:rsidRPr="007939DD">
        <w:t>Vehicle fleet</w:t>
      </w:r>
    </w:p>
    <w:tbl>
      <w:tblPr>
        <w:tblW w:w="96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177"/>
        <w:gridCol w:w="1247"/>
        <w:gridCol w:w="1247"/>
        <w:gridCol w:w="1237"/>
        <w:gridCol w:w="10"/>
        <w:gridCol w:w="1247"/>
        <w:gridCol w:w="1247"/>
        <w:gridCol w:w="1247"/>
      </w:tblGrid>
      <w:tr w:rsidR="00F73A80" w:rsidRPr="00860E03" w14:paraId="6E523F47" w14:textId="77777777" w:rsidTr="00F73A80">
        <w:trPr>
          <w:gridAfter w:val="4"/>
          <w:wAfter w:w="3751" w:type="dxa"/>
          <w:cantSplit/>
          <w:tblHeader/>
        </w:trPr>
        <w:tc>
          <w:tcPr>
            <w:tcW w:w="2177" w:type="dxa"/>
            <w:vAlign w:val="bottom"/>
          </w:tcPr>
          <w:p w14:paraId="720160C5" w14:textId="77777777" w:rsidR="00F73A80" w:rsidRPr="00860E03" w:rsidRDefault="00F73A80" w:rsidP="00F73A80">
            <w:pPr>
              <w:pStyle w:val="ARtablecolhead"/>
            </w:pPr>
            <w:r w:rsidRPr="00860E03">
              <w:t>Description</w:t>
            </w:r>
          </w:p>
        </w:tc>
        <w:tc>
          <w:tcPr>
            <w:tcW w:w="3731" w:type="dxa"/>
            <w:gridSpan w:val="3"/>
            <w:vAlign w:val="bottom"/>
          </w:tcPr>
          <w:p w14:paraId="39EA5882" w14:textId="77777777" w:rsidR="00F73A80" w:rsidRPr="00860E03" w:rsidRDefault="00F73A80" w:rsidP="00F73A80">
            <w:pPr>
              <w:pStyle w:val="ARtablecolhead"/>
            </w:pPr>
          </w:p>
        </w:tc>
      </w:tr>
      <w:tr w:rsidR="00F73A80" w:rsidRPr="00860E03" w14:paraId="0E20E9C7" w14:textId="77777777" w:rsidTr="006D2AEB">
        <w:trPr>
          <w:cantSplit/>
          <w:tblHeader/>
        </w:trPr>
        <w:tc>
          <w:tcPr>
            <w:tcW w:w="2177" w:type="dxa"/>
            <w:tcBorders>
              <w:bottom w:val="single" w:sz="4" w:space="0" w:color="auto"/>
            </w:tcBorders>
            <w:vAlign w:val="bottom"/>
          </w:tcPr>
          <w:p w14:paraId="64526EA4" w14:textId="77777777" w:rsidR="00F73A80" w:rsidRPr="00860E03" w:rsidRDefault="00F73A80" w:rsidP="00F73A80">
            <w:pPr>
              <w:pStyle w:val="ARtablecolhead"/>
            </w:pPr>
            <w:r w:rsidRPr="00860E03">
              <w:t>Vehicle type</w:t>
            </w:r>
          </w:p>
        </w:tc>
        <w:tc>
          <w:tcPr>
            <w:tcW w:w="1247" w:type="dxa"/>
            <w:tcBorders>
              <w:bottom w:val="single" w:sz="4" w:space="0" w:color="auto"/>
            </w:tcBorders>
            <w:vAlign w:val="bottom"/>
          </w:tcPr>
          <w:p w14:paraId="496B807D" w14:textId="77777777" w:rsidR="00F73A80" w:rsidRPr="00860E03" w:rsidRDefault="00F73A80" w:rsidP="00F73A80">
            <w:pPr>
              <w:pStyle w:val="ARtablecolheadright"/>
            </w:pPr>
            <w:r w:rsidRPr="00860E03">
              <w:t>LPG</w:t>
            </w:r>
          </w:p>
        </w:tc>
        <w:tc>
          <w:tcPr>
            <w:tcW w:w="1247" w:type="dxa"/>
            <w:tcBorders>
              <w:bottom w:val="single" w:sz="4" w:space="0" w:color="auto"/>
            </w:tcBorders>
            <w:vAlign w:val="bottom"/>
          </w:tcPr>
          <w:p w14:paraId="3C2D1F5D" w14:textId="77777777" w:rsidR="00F73A80" w:rsidRPr="00860E03" w:rsidRDefault="00F73A80" w:rsidP="00F73A80">
            <w:pPr>
              <w:pStyle w:val="ARtablecolheadright"/>
            </w:pPr>
            <w:r w:rsidRPr="00860E03">
              <w:t>Hybrid</w:t>
            </w:r>
          </w:p>
        </w:tc>
        <w:tc>
          <w:tcPr>
            <w:tcW w:w="1247" w:type="dxa"/>
            <w:gridSpan w:val="2"/>
            <w:tcBorders>
              <w:top w:val="single" w:sz="4" w:space="0" w:color="auto"/>
              <w:bottom w:val="single" w:sz="4" w:space="0" w:color="auto"/>
            </w:tcBorders>
            <w:vAlign w:val="bottom"/>
          </w:tcPr>
          <w:p w14:paraId="2A191877" w14:textId="77777777" w:rsidR="00F73A80" w:rsidRPr="00860E03" w:rsidRDefault="00F73A80" w:rsidP="00F73A80">
            <w:pPr>
              <w:pStyle w:val="ARtablecolheadright"/>
            </w:pPr>
            <w:r w:rsidRPr="00860E03">
              <w:t>1–3 cylinder unleaded petrol</w:t>
            </w:r>
          </w:p>
        </w:tc>
        <w:tc>
          <w:tcPr>
            <w:tcW w:w="1247" w:type="dxa"/>
            <w:tcBorders>
              <w:bottom w:val="single" w:sz="4" w:space="0" w:color="auto"/>
            </w:tcBorders>
            <w:vAlign w:val="bottom"/>
          </w:tcPr>
          <w:p w14:paraId="1FCC535E" w14:textId="77777777" w:rsidR="00F73A80" w:rsidRPr="00860E03" w:rsidRDefault="00F73A80" w:rsidP="00F73A80">
            <w:pPr>
              <w:pStyle w:val="ARtablecolheadright"/>
            </w:pPr>
            <w:r w:rsidRPr="00860E03">
              <w:t>4 cylinder unleaded petrol</w:t>
            </w:r>
          </w:p>
        </w:tc>
        <w:tc>
          <w:tcPr>
            <w:tcW w:w="1247" w:type="dxa"/>
            <w:tcBorders>
              <w:bottom w:val="single" w:sz="4" w:space="0" w:color="auto"/>
            </w:tcBorders>
            <w:vAlign w:val="bottom"/>
          </w:tcPr>
          <w:p w14:paraId="7CA6F138" w14:textId="77777777" w:rsidR="00F73A80" w:rsidRPr="00860E03" w:rsidRDefault="00F73A80" w:rsidP="00F73A80">
            <w:pPr>
              <w:pStyle w:val="ARtablecolheadright"/>
            </w:pPr>
            <w:r w:rsidRPr="00860E03">
              <w:t xml:space="preserve">6 cylinder unleaded petrol </w:t>
            </w:r>
          </w:p>
        </w:tc>
        <w:tc>
          <w:tcPr>
            <w:tcW w:w="1247" w:type="dxa"/>
            <w:tcBorders>
              <w:bottom w:val="single" w:sz="4" w:space="0" w:color="auto"/>
            </w:tcBorders>
            <w:vAlign w:val="bottom"/>
          </w:tcPr>
          <w:p w14:paraId="2B80FAC4" w14:textId="77777777" w:rsidR="00F73A80" w:rsidRPr="00860E03" w:rsidRDefault="00F73A80" w:rsidP="00F73A80">
            <w:pPr>
              <w:pStyle w:val="ARtablecolheadright"/>
            </w:pPr>
            <w:r w:rsidRPr="00860E03">
              <w:t>Diesel</w:t>
            </w:r>
          </w:p>
        </w:tc>
      </w:tr>
      <w:tr w:rsidR="00F73A80" w:rsidRPr="00860E03" w14:paraId="1CDB500E" w14:textId="77777777" w:rsidTr="006D2AEB">
        <w:trPr>
          <w:cantSplit/>
        </w:trPr>
        <w:tc>
          <w:tcPr>
            <w:tcW w:w="2177" w:type="dxa"/>
            <w:tcBorders>
              <w:top w:val="single" w:sz="4" w:space="0" w:color="auto"/>
              <w:right w:val="nil"/>
            </w:tcBorders>
          </w:tcPr>
          <w:p w14:paraId="1FB53017" w14:textId="77777777" w:rsidR="00F73A80" w:rsidRPr="00860E03" w:rsidRDefault="00F73A80" w:rsidP="00F73A80">
            <w:pPr>
              <w:pStyle w:val="ARtabletext"/>
            </w:pPr>
            <w:r w:rsidRPr="00860E03">
              <w:t>Commercial</w:t>
            </w:r>
          </w:p>
        </w:tc>
        <w:tc>
          <w:tcPr>
            <w:tcW w:w="1247" w:type="dxa"/>
            <w:tcBorders>
              <w:top w:val="single" w:sz="4" w:space="0" w:color="auto"/>
              <w:left w:val="nil"/>
              <w:bottom w:val="single" w:sz="4" w:space="0" w:color="auto"/>
              <w:right w:val="nil"/>
            </w:tcBorders>
            <w:shd w:val="clear" w:color="auto" w:fill="auto"/>
            <w:vAlign w:val="center"/>
          </w:tcPr>
          <w:p w14:paraId="0502B00F" w14:textId="77777777" w:rsidR="00F73A80" w:rsidRPr="00860E03" w:rsidRDefault="00F73A80" w:rsidP="00F73A80">
            <w:pPr>
              <w:pStyle w:val="ARtabletextright"/>
            </w:pPr>
            <w:r w:rsidRPr="00860E03">
              <w:t>1</w:t>
            </w:r>
          </w:p>
        </w:tc>
        <w:tc>
          <w:tcPr>
            <w:tcW w:w="1247" w:type="dxa"/>
            <w:tcBorders>
              <w:top w:val="single" w:sz="4" w:space="0" w:color="auto"/>
              <w:left w:val="nil"/>
              <w:bottom w:val="single" w:sz="4" w:space="0" w:color="auto"/>
              <w:right w:val="nil"/>
            </w:tcBorders>
            <w:shd w:val="clear" w:color="auto" w:fill="auto"/>
            <w:vAlign w:val="center"/>
          </w:tcPr>
          <w:p w14:paraId="5328F0C9" w14:textId="77777777" w:rsidR="00F73A80" w:rsidRPr="00860E03" w:rsidRDefault="00F73A80" w:rsidP="00F73A80">
            <w:pPr>
              <w:pStyle w:val="ARtabletextright"/>
            </w:pPr>
            <w:r w:rsidRPr="00860E03">
              <w:t>0</w:t>
            </w:r>
          </w:p>
        </w:tc>
        <w:tc>
          <w:tcPr>
            <w:tcW w:w="1247" w:type="dxa"/>
            <w:gridSpan w:val="2"/>
            <w:tcBorders>
              <w:top w:val="single" w:sz="4" w:space="0" w:color="auto"/>
              <w:left w:val="nil"/>
              <w:bottom w:val="single" w:sz="4" w:space="0" w:color="auto"/>
              <w:right w:val="nil"/>
            </w:tcBorders>
            <w:shd w:val="clear" w:color="auto" w:fill="auto"/>
            <w:vAlign w:val="center"/>
          </w:tcPr>
          <w:p w14:paraId="64AA37D8" w14:textId="77777777" w:rsidR="00F73A80" w:rsidRPr="00860E03" w:rsidRDefault="00F73A80" w:rsidP="00F73A80">
            <w:pPr>
              <w:pStyle w:val="ARtabletextright"/>
            </w:pPr>
            <w:r w:rsidRPr="00860E03">
              <w:t>9</w:t>
            </w:r>
          </w:p>
        </w:tc>
        <w:tc>
          <w:tcPr>
            <w:tcW w:w="1247" w:type="dxa"/>
            <w:tcBorders>
              <w:top w:val="single" w:sz="4" w:space="0" w:color="auto"/>
              <w:left w:val="nil"/>
              <w:bottom w:val="single" w:sz="4" w:space="0" w:color="auto"/>
              <w:right w:val="nil"/>
            </w:tcBorders>
            <w:shd w:val="clear" w:color="auto" w:fill="auto"/>
            <w:vAlign w:val="center"/>
          </w:tcPr>
          <w:p w14:paraId="712D37BA" w14:textId="77777777" w:rsidR="00F73A80" w:rsidRPr="00860E03" w:rsidRDefault="00F73A80" w:rsidP="00F73A80">
            <w:pPr>
              <w:pStyle w:val="ARtabletextright"/>
            </w:pPr>
            <w:r w:rsidRPr="00860E03">
              <w:t>1</w:t>
            </w:r>
          </w:p>
        </w:tc>
        <w:tc>
          <w:tcPr>
            <w:tcW w:w="1247" w:type="dxa"/>
            <w:tcBorders>
              <w:top w:val="single" w:sz="4" w:space="0" w:color="auto"/>
              <w:left w:val="nil"/>
              <w:bottom w:val="single" w:sz="4" w:space="0" w:color="auto"/>
              <w:right w:val="nil"/>
            </w:tcBorders>
            <w:shd w:val="clear" w:color="auto" w:fill="auto"/>
            <w:vAlign w:val="center"/>
          </w:tcPr>
          <w:p w14:paraId="6EBFC7BD" w14:textId="77777777" w:rsidR="00F73A80" w:rsidRPr="00860E03" w:rsidRDefault="00F73A80" w:rsidP="00F73A80">
            <w:pPr>
              <w:pStyle w:val="ARtabletextright"/>
            </w:pPr>
            <w:r w:rsidRPr="00860E03">
              <w:t>0</w:t>
            </w:r>
          </w:p>
        </w:tc>
        <w:tc>
          <w:tcPr>
            <w:tcW w:w="1247" w:type="dxa"/>
            <w:tcBorders>
              <w:top w:val="single" w:sz="4" w:space="0" w:color="auto"/>
              <w:left w:val="nil"/>
              <w:bottom w:val="single" w:sz="4" w:space="0" w:color="auto"/>
              <w:right w:val="single" w:sz="8" w:space="0" w:color="FFFFFF"/>
            </w:tcBorders>
            <w:shd w:val="clear" w:color="auto" w:fill="auto"/>
            <w:vAlign w:val="center"/>
          </w:tcPr>
          <w:p w14:paraId="4E5E9086" w14:textId="77777777" w:rsidR="00F73A80" w:rsidRPr="00860E03" w:rsidRDefault="00F73A80" w:rsidP="00F73A80">
            <w:pPr>
              <w:pStyle w:val="ARtabletextright"/>
            </w:pPr>
            <w:r w:rsidRPr="00860E03">
              <w:t>18</w:t>
            </w:r>
          </w:p>
        </w:tc>
      </w:tr>
      <w:tr w:rsidR="00F73A80" w:rsidRPr="00860E03" w14:paraId="1E6714DB" w14:textId="77777777" w:rsidTr="006D2AEB">
        <w:trPr>
          <w:cantSplit/>
        </w:trPr>
        <w:tc>
          <w:tcPr>
            <w:tcW w:w="2177" w:type="dxa"/>
            <w:tcBorders>
              <w:top w:val="single" w:sz="4" w:space="0" w:color="auto"/>
              <w:right w:val="nil"/>
            </w:tcBorders>
          </w:tcPr>
          <w:p w14:paraId="249AE7BA" w14:textId="77777777" w:rsidR="00F73A80" w:rsidRPr="00860E03" w:rsidRDefault="00F73A80" w:rsidP="00F73A80">
            <w:pPr>
              <w:pStyle w:val="ARtabletext"/>
            </w:pPr>
            <w:r w:rsidRPr="00860E03">
              <w:t>Executive</w:t>
            </w:r>
          </w:p>
        </w:tc>
        <w:tc>
          <w:tcPr>
            <w:tcW w:w="1247" w:type="dxa"/>
            <w:tcBorders>
              <w:top w:val="single" w:sz="4" w:space="0" w:color="auto"/>
              <w:left w:val="nil"/>
              <w:bottom w:val="single" w:sz="4" w:space="0" w:color="auto"/>
              <w:right w:val="nil"/>
            </w:tcBorders>
            <w:shd w:val="clear" w:color="auto" w:fill="auto"/>
            <w:vAlign w:val="center"/>
          </w:tcPr>
          <w:p w14:paraId="65B89EB6" w14:textId="77777777" w:rsidR="00F73A80" w:rsidRPr="00860E03" w:rsidRDefault="00F73A80" w:rsidP="00F73A80">
            <w:pPr>
              <w:pStyle w:val="ARtabletextright"/>
            </w:pPr>
            <w:r w:rsidRPr="00860E03">
              <w:t>0</w:t>
            </w:r>
          </w:p>
        </w:tc>
        <w:tc>
          <w:tcPr>
            <w:tcW w:w="1247" w:type="dxa"/>
            <w:tcBorders>
              <w:top w:val="single" w:sz="4" w:space="0" w:color="auto"/>
              <w:left w:val="nil"/>
              <w:bottom w:val="single" w:sz="4" w:space="0" w:color="auto"/>
              <w:right w:val="nil"/>
            </w:tcBorders>
            <w:shd w:val="clear" w:color="auto" w:fill="auto"/>
            <w:vAlign w:val="center"/>
          </w:tcPr>
          <w:p w14:paraId="76ADABA4" w14:textId="77777777" w:rsidR="00F73A80" w:rsidRPr="00860E03" w:rsidRDefault="00F73A80" w:rsidP="00F73A80">
            <w:pPr>
              <w:pStyle w:val="ARtabletextright"/>
            </w:pPr>
            <w:r w:rsidRPr="00860E03">
              <w:t>8</w:t>
            </w:r>
          </w:p>
        </w:tc>
        <w:tc>
          <w:tcPr>
            <w:tcW w:w="1247" w:type="dxa"/>
            <w:gridSpan w:val="2"/>
            <w:tcBorders>
              <w:top w:val="single" w:sz="4" w:space="0" w:color="auto"/>
              <w:left w:val="nil"/>
              <w:bottom w:val="single" w:sz="4" w:space="0" w:color="auto"/>
              <w:right w:val="nil"/>
            </w:tcBorders>
            <w:shd w:val="clear" w:color="auto" w:fill="auto"/>
            <w:vAlign w:val="center"/>
          </w:tcPr>
          <w:p w14:paraId="7F9EB89F" w14:textId="77777777" w:rsidR="00F73A80" w:rsidRPr="00860E03" w:rsidRDefault="00F73A80" w:rsidP="00F73A80">
            <w:pPr>
              <w:pStyle w:val="ARtabletextright"/>
            </w:pPr>
            <w:r w:rsidRPr="00860E03">
              <w:t>0</w:t>
            </w:r>
          </w:p>
        </w:tc>
        <w:tc>
          <w:tcPr>
            <w:tcW w:w="1247" w:type="dxa"/>
            <w:tcBorders>
              <w:top w:val="single" w:sz="4" w:space="0" w:color="auto"/>
              <w:left w:val="nil"/>
              <w:bottom w:val="single" w:sz="4" w:space="0" w:color="auto"/>
              <w:right w:val="nil"/>
            </w:tcBorders>
            <w:shd w:val="clear" w:color="auto" w:fill="auto"/>
            <w:vAlign w:val="center"/>
          </w:tcPr>
          <w:p w14:paraId="071DAA52" w14:textId="77777777" w:rsidR="00F73A80" w:rsidRPr="00860E03" w:rsidRDefault="00F73A80" w:rsidP="00F73A80">
            <w:pPr>
              <w:pStyle w:val="ARtabletextright"/>
            </w:pPr>
            <w:r w:rsidRPr="00860E03">
              <w:t>66</w:t>
            </w:r>
          </w:p>
        </w:tc>
        <w:tc>
          <w:tcPr>
            <w:tcW w:w="1247" w:type="dxa"/>
            <w:tcBorders>
              <w:top w:val="single" w:sz="4" w:space="0" w:color="auto"/>
              <w:left w:val="nil"/>
              <w:bottom w:val="single" w:sz="4" w:space="0" w:color="auto"/>
              <w:right w:val="nil"/>
            </w:tcBorders>
            <w:shd w:val="clear" w:color="auto" w:fill="auto"/>
            <w:vAlign w:val="center"/>
          </w:tcPr>
          <w:p w14:paraId="181BB753" w14:textId="77777777" w:rsidR="00F73A80" w:rsidRPr="00860E03" w:rsidRDefault="00F73A80" w:rsidP="00F73A80">
            <w:pPr>
              <w:pStyle w:val="ARtabletextright"/>
            </w:pPr>
            <w:r w:rsidRPr="00860E03">
              <w:t>45</w:t>
            </w:r>
          </w:p>
        </w:tc>
        <w:tc>
          <w:tcPr>
            <w:tcW w:w="1247" w:type="dxa"/>
            <w:tcBorders>
              <w:top w:val="single" w:sz="4" w:space="0" w:color="auto"/>
              <w:left w:val="nil"/>
              <w:bottom w:val="single" w:sz="4" w:space="0" w:color="auto"/>
              <w:right w:val="single" w:sz="8" w:space="0" w:color="FFFFFF"/>
            </w:tcBorders>
            <w:shd w:val="clear" w:color="auto" w:fill="auto"/>
            <w:vAlign w:val="center"/>
          </w:tcPr>
          <w:p w14:paraId="7A54B315" w14:textId="77777777" w:rsidR="00F73A80" w:rsidRPr="00860E03" w:rsidRDefault="00F73A80" w:rsidP="00F73A80">
            <w:pPr>
              <w:pStyle w:val="ARtabletextright"/>
            </w:pPr>
            <w:r w:rsidRPr="00860E03">
              <w:t>20</w:t>
            </w:r>
          </w:p>
        </w:tc>
      </w:tr>
      <w:tr w:rsidR="00F73A80" w:rsidRPr="00860E03" w14:paraId="638BA1E3" w14:textId="77777777" w:rsidTr="006D2AEB">
        <w:trPr>
          <w:cantSplit/>
        </w:trPr>
        <w:tc>
          <w:tcPr>
            <w:tcW w:w="2177" w:type="dxa"/>
            <w:tcBorders>
              <w:top w:val="single" w:sz="4" w:space="0" w:color="auto"/>
              <w:right w:val="nil"/>
            </w:tcBorders>
          </w:tcPr>
          <w:p w14:paraId="7397E282" w14:textId="77777777" w:rsidR="00F73A80" w:rsidRPr="00860E03" w:rsidRDefault="00F73A80" w:rsidP="00F73A80">
            <w:pPr>
              <w:pStyle w:val="ARtabletext"/>
            </w:pPr>
            <w:r w:rsidRPr="00860E03">
              <w:t>Passenger bus</w:t>
            </w:r>
          </w:p>
        </w:tc>
        <w:tc>
          <w:tcPr>
            <w:tcW w:w="1247" w:type="dxa"/>
            <w:tcBorders>
              <w:top w:val="single" w:sz="4" w:space="0" w:color="auto"/>
              <w:left w:val="nil"/>
              <w:bottom w:val="single" w:sz="4" w:space="0" w:color="auto"/>
              <w:right w:val="nil"/>
            </w:tcBorders>
            <w:shd w:val="clear" w:color="auto" w:fill="auto"/>
            <w:vAlign w:val="center"/>
          </w:tcPr>
          <w:p w14:paraId="24D983F9" w14:textId="77777777" w:rsidR="00F73A80" w:rsidRPr="00860E03" w:rsidRDefault="00F73A80" w:rsidP="00F73A80">
            <w:pPr>
              <w:pStyle w:val="ARtabletextright"/>
            </w:pPr>
            <w:r w:rsidRPr="00860E03">
              <w:t>0</w:t>
            </w:r>
          </w:p>
        </w:tc>
        <w:tc>
          <w:tcPr>
            <w:tcW w:w="1247" w:type="dxa"/>
            <w:tcBorders>
              <w:top w:val="single" w:sz="4" w:space="0" w:color="auto"/>
              <w:left w:val="nil"/>
              <w:bottom w:val="single" w:sz="4" w:space="0" w:color="auto"/>
              <w:right w:val="nil"/>
            </w:tcBorders>
            <w:shd w:val="clear" w:color="auto" w:fill="auto"/>
            <w:vAlign w:val="center"/>
          </w:tcPr>
          <w:p w14:paraId="47A8ACEA" w14:textId="77777777" w:rsidR="00F73A80" w:rsidRPr="00860E03" w:rsidRDefault="00F73A80" w:rsidP="00F73A80">
            <w:pPr>
              <w:pStyle w:val="ARtabletextright"/>
            </w:pPr>
            <w:r w:rsidRPr="00860E03">
              <w:t>0</w:t>
            </w:r>
          </w:p>
        </w:tc>
        <w:tc>
          <w:tcPr>
            <w:tcW w:w="1247" w:type="dxa"/>
            <w:gridSpan w:val="2"/>
            <w:tcBorders>
              <w:top w:val="single" w:sz="4" w:space="0" w:color="auto"/>
              <w:left w:val="nil"/>
              <w:bottom w:val="single" w:sz="4" w:space="0" w:color="auto"/>
              <w:right w:val="nil"/>
            </w:tcBorders>
            <w:shd w:val="clear" w:color="auto" w:fill="auto"/>
            <w:vAlign w:val="center"/>
          </w:tcPr>
          <w:p w14:paraId="2CFE7576" w14:textId="77777777" w:rsidR="00F73A80" w:rsidRPr="00860E03" w:rsidRDefault="00F73A80" w:rsidP="00F73A80">
            <w:pPr>
              <w:pStyle w:val="ARtabletextright"/>
            </w:pPr>
            <w:r w:rsidRPr="00860E03">
              <w:t>0</w:t>
            </w:r>
          </w:p>
        </w:tc>
        <w:tc>
          <w:tcPr>
            <w:tcW w:w="1247" w:type="dxa"/>
            <w:tcBorders>
              <w:top w:val="single" w:sz="4" w:space="0" w:color="auto"/>
              <w:left w:val="nil"/>
              <w:bottom w:val="single" w:sz="4" w:space="0" w:color="auto"/>
              <w:right w:val="nil"/>
            </w:tcBorders>
            <w:shd w:val="clear" w:color="auto" w:fill="auto"/>
            <w:vAlign w:val="center"/>
          </w:tcPr>
          <w:p w14:paraId="38ECEB49" w14:textId="77777777" w:rsidR="00F73A80" w:rsidRPr="00860E03" w:rsidRDefault="00F73A80" w:rsidP="00F73A80">
            <w:pPr>
              <w:pStyle w:val="ARtabletextright"/>
            </w:pPr>
            <w:r w:rsidRPr="00860E03">
              <w:t>356</w:t>
            </w:r>
          </w:p>
        </w:tc>
        <w:tc>
          <w:tcPr>
            <w:tcW w:w="1247" w:type="dxa"/>
            <w:tcBorders>
              <w:top w:val="single" w:sz="4" w:space="0" w:color="auto"/>
              <w:left w:val="nil"/>
              <w:bottom w:val="single" w:sz="4" w:space="0" w:color="auto"/>
              <w:right w:val="nil"/>
            </w:tcBorders>
            <w:shd w:val="clear" w:color="auto" w:fill="auto"/>
            <w:vAlign w:val="center"/>
          </w:tcPr>
          <w:p w14:paraId="740B2AEE" w14:textId="77777777" w:rsidR="00F73A80" w:rsidRPr="00860E03" w:rsidRDefault="00F73A80" w:rsidP="00F73A80">
            <w:pPr>
              <w:pStyle w:val="ARtabletextright"/>
            </w:pPr>
            <w:r w:rsidRPr="00860E03">
              <w:t>0</w:t>
            </w:r>
          </w:p>
        </w:tc>
        <w:tc>
          <w:tcPr>
            <w:tcW w:w="1247" w:type="dxa"/>
            <w:tcBorders>
              <w:top w:val="single" w:sz="4" w:space="0" w:color="auto"/>
              <w:left w:val="nil"/>
              <w:bottom w:val="single" w:sz="4" w:space="0" w:color="auto"/>
              <w:right w:val="single" w:sz="8" w:space="0" w:color="FFFFFF"/>
            </w:tcBorders>
            <w:shd w:val="clear" w:color="auto" w:fill="auto"/>
            <w:vAlign w:val="center"/>
          </w:tcPr>
          <w:p w14:paraId="6B7ADD60" w14:textId="77777777" w:rsidR="00F73A80" w:rsidRPr="00860E03" w:rsidRDefault="00F73A80" w:rsidP="00F73A80">
            <w:pPr>
              <w:pStyle w:val="ARtabletextright"/>
            </w:pPr>
            <w:r w:rsidRPr="00860E03">
              <w:t>147</w:t>
            </w:r>
          </w:p>
        </w:tc>
      </w:tr>
      <w:tr w:rsidR="00F73A80" w:rsidRPr="00860E03" w14:paraId="0EFB7389" w14:textId="77777777" w:rsidTr="006D2AEB">
        <w:trPr>
          <w:cantSplit/>
        </w:trPr>
        <w:tc>
          <w:tcPr>
            <w:tcW w:w="2177" w:type="dxa"/>
            <w:tcBorders>
              <w:top w:val="single" w:sz="4" w:space="0" w:color="auto"/>
              <w:right w:val="nil"/>
            </w:tcBorders>
          </w:tcPr>
          <w:p w14:paraId="7ECE5E99" w14:textId="77777777" w:rsidR="00F73A80" w:rsidRPr="00860E03" w:rsidRDefault="00F73A80" w:rsidP="00F73A80">
            <w:pPr>
              <w:pStyle w:val="ARtabletext"/>
            </w:pPr>
            <w:r w:rsidRPr="00860E03">
              <w:t>Passenger car</w:t>
            </w:r>
          </w:p>
        </w:tc>
        <w:tc>
          <w:tcPr>
            <w:tcW w:w="1247" w:type="dxa"/>
            <w:tcBorders>
              <w:top w:val="single" w:sz="4" w:space="0" w:color="auto"/>
              <w:left w:val="nil"/>
              <w:bottom w:val="single" w:sz="4" w:space="0" w:color="auto"/>
              <w:right w:val="nil"/>
            </w:tcBorders>
            <w:shd w:val="clear" w:color="auto" w:fill="auto"/>
            <w:vAlign w:val="center"/>
          </w:tcPr>
          <w:p w14:paraId="4E100B51" w14:textId="77777777" w:rsidR="00F73A80" w:rsidRPr="00860E03" w:rsidRDefault="00F73A80" w:rsidP="00F73A80">
            <w:pPr>
              <w:pStyle w:val="ARtabletextright"/>
            </w:pPr>
            <w:r w:rsidRPr="00860E03">
              <w:t>0</w:t>
            </w:r>
          </w:p>
        </w:tc>
        <w:tc>
          <w:tcPr>
            <w:tcW w:w="1247" w:type="dxa"/>
            <w:tcBorders>
              <w:top w:val="single" w:sz="4" w:space="0" w:color="auto"/>
              <w:left w:val="nil"/>
              <w:bottom w:val="single" w:sz="4" w:space="0" w:color="auto"/>
              <w:right w:val="nil"/>
            </w:tcBorders>
            <w:shd w:val="clear" w:color="auto" w:fill="auto"/>
            <w:vAlign w:val="center"/>
          </w:tcPr>
          <w:p w14:paraId="588F0674" w14:textId="77777777" w:rsidR="00F73A80" w:rsidRPr="00860E03" w:rsidRDefault="00F73A80" w:rsidP="00F73A80">
            <w:pPr>
              <w:pStyle w:val="ARtabletextright"/>
            </w:pPr>
            <w:r w:rsidRPr="00860E03">
              <w:t>411</w:t>
            </w:r>
          </w:p>
        </w:tc>
        <w:tc>
          <w:tcPr>
            <w:tcW w:w="1247" w:type="dxa"/>
            <w:gridSpan w:val="2"/>
            <w:tcBorders>
              <w:top w:val="single" w:sz="4" w:space="0" w:color="auto"/>
              <w:left w:val="nil"/>
              <w:bottom w:val="single" w:sz="4" w:space="0" w:color="auto"/>
              <w:right w:val="nil"/>
            </w:tcBorders>
            <w:shd w:val="clear" w:color="auto" w:fill="auto"/>
            <w:vAlign w:val="center"/>
          </w:tcPr>
          <w:p w14:paraId="01F77CCA" w14:textId="77777777" w:rsidR="00F73A80" w:rsidRPr="00860E03" w:rsidRDefault="00F73A80" w:rsidP="00F73A80">
            <w:pPr>
              <w:pStyle w:val="ARtabletextright"/>
            </w:pPr>
            <w:r w:rsidRPr="00860E03">
              <w:t>0</w:t>
            </w:r>
          </w:p>
        </w:tc>
        <w:tc>
          <w:tcPr>
            <w:tcW w:w="1247" w:type="dxa"/>
            <w:tcBorders>
              <w:top w:val="single" w:sz="4" w:space="0" w:color="auto"/>
              <w:left w:val="nil"/>
              <w:bottom w:val="single" w:sz="4" w:space="0" w:color="auto"/>
              <w:right w:val="nil"/>
            </w:tcBorders>
            <w:shd w:val="clear" w:color="auto" w:fill="auto"/>
            <w:vAlign w:val="center"/>
          </w:tcPr>
          <w:p w14:paraId="0E7B1366" w14:textId="77777777" w:rsidR="00F73A80" w:rsidRPr="00860E03" w:rsidRDefault="00F73A80" w:rsidP="00F73A80">
            <w:pPr>
              <w:pStyle w:val="ARtabletextright"/>
            </w:pPr>
            <w:r w:rsidRPr="00860E03">
              <w:t>278</w:t>
            </w:r>
          </w:p>
        </w:tc>
        <w:tc>
          <w:tcPr>
            <w:tcW w:w="1247" w:type="dxa"/>
            <w:tcBorders>
              <w:top w:val="single" w:sz="4" w:space="0" w:color="auto"/>
              <w:left w:val="nil"/>
              <w:bottom w:val="single" w:sz="4" w:space="0" w:color="auto"/>
              <w:right w:val="nil"/>
            </w:tcBorders>
            <w:shd w:val="clear" w:color="auto" w:fill="auto"/>
            <w:vAlign w:val="center"/>
          </w:tcPr>
          <w:p w14:paraId="22A3E482" w14:textId="77777777" w:rsidR="00F73A80" w:rsidRPr="00860E03" w:rsidRDefault="00F73A80" w:rsidP="00F73A80">
            <w:pPr>
              <w:pStyle w:val="ARtabletextright"/>
            </w:pPr>
            <w:r w:rsidRPr="00860E03">
              <w:t>238</w:t>
            </w:r>
          </w:p>
        </w:tc>
        <w:tc>
          <w:tcPr>
            <w:tcW w:w="1247" w:type="dxa"/>
            <w:tcBorders>
              <w:top w:val="single" w:sz="4" w:space="0" w:color="auto"/>
              <w:left w:val="nil"/>
              <w:bottom w:val="single" w:sz="4" w:space="0" w:color="auto"/>
              <w:right w:val="single" w:sz="8" w:space="0" w:color="FFFFFF"/>
            </w:tcBorders>
            <w:shd w:val="clear" w:color="auto" w:fill="auto"/>
            <w:vAlign w:val="center"/>
          </w:tcPr>
          <w:p w14:paraId="04821F67" w14:textId="77777777" w:rsidR="00F73A80" w:rsidRPr="00860E03" w:rsidRDefault="00F73A80" w:rsidP="00F73A80">
            <w:pPr>
              <w:pStyle w:val="ARtabletextright"/>
            </w:pPr>
            <w:r w:rsidRPr="00860E03">
              <w:t>132</w:t>
            </w:r>
          </w:p>
        </w:tc>
      </w:tr>
      <w:tr w:rsidR="00F73A80" w:rsidRPr="00860E03" w14:paraId="71C770A5" w14:textId="77777777" w:rsidTr="006D2AEB">
        <w:trPr>
          <w:cantSplit/>
        </w:trPr>
        <w:tc>
          <w:tcPr>
            <w:tcW w:w="2177" w:type="dxa"/>
            <w:tcBorders>
              <w:top w:val="single" w:sz="4" w:space="0" w:color="auto"/>
              <w:right w:val="nil"/>
            </w:tcBorders>
          </w:tcPr>
          <w:p w14:paraId="5F8BFC53" w14:textId="77777777" w:rsidR="00F73A80" w:rsidRPr="00860E03" w:rsidRDefault="00F73A80" w:rsidP="00F73A80">
            <w:pPr>
              <w:pStyle w:val="ARtabletext"/>
              <w:rPr>
                <w:b/>
              </w:rPr>
            </w:pPr>
            <w:r w:rsidRPr="00860E03">
              <w:rPr>
                <w:b/>
              </w:rPr>
              <w:t>Total (1,730 vehicles)</w:t>
            </w:r>
          </w:p>
        </w:tc>
        <w:tc>
          <w:tcPr>
            <w:tcW w:w="1247" w:type="dxa"/>
            <w:tcBorders>
              <w:top w:val="single" w:sz="4" w:space="0" w:color="auto"/>
              <w:left w:val="nil"/>
              <w:bottom w:val="single" w:sz="4" w:space="0" w:color="auto"/>
              <w:right w:val="nil"/>
            </w:tcBorders>
            <w:shd w:val="clear" w:color="auto" w:fill="auto"/>
            <w:vAlign w:val="center"/>
          </w:tcPr>
          <w:p w14:paraId="185BE6C7" w14:textId="77777777" w:rsidR="00F73A80" w:rsidRPr="00860E03" w:rsidRDefault="00F73A80" w:rsidP="00F73A80">
            <w:pPr>
              <w:pStyle w:val="ARtabletextrightbold"/>
            </w:pPr>
            <w:r w:rsidRPr="00860E03">
              <w:rPr>
                <w:bCs/>
              </w:rPr>
              <w:t>1</w:t>
            </w:r>
          </w:p>
        </w:tc>
        <w:tc>
          <w:tcPr>
            <w:tcW w:w="1247" w:type="dxa"/>
            <w:tcBorders>
              <w:top w:val="single" w:sz="4" w:space="0" w:color="auto"/>
              <w:left w:val="nil"/>
              <w:bottom w:val="single" w:sz="4" w:space="0" w:color="auto"/>
              <w:right w:val="nil"/>
            </w:tcBorders>
            <w:shd w:val="clear" w:color="auto" w:fill="auto"/>
            <w:vAlign w:val="center"/>
          </w:tcPr>
          <w:p w14:paraId="18B125FB" w14:textId="77777777" w:rsidR="00F73A80" w:rsidRPr="00860E03" w:rsidRDefault="00F73A80" w:rsidP="00F73A80">
            <w:pPr>
              <w:pStyle w:val="ARtabletextrightbold"/>
            </w:pPr>
            <w:r w:rsidRPr="00860E03">
              <w:rPr>
                <w:bCs/>
              </w:rPr>
              <w:t>419</w:t>
            </w:r>
          </w:p>
        </w:tc>
        <w:tc>
          <w:tcPr>
            <w:tcW w:w="1247" w:type="dxa"/>
            <w:gridSpan w:val="2"/>
            <w:tcBorders>
              <w:top w:val="single" w:sz="4" w:space="0" w:color="auto"/>
              <w:left w:val="nil"/>
              <w:bottom w:val="single" w:sz="4" w:space="0" w:color="auto"/>
              <w:right w:val="nil"/>
            </w:tcBorders>
            <w:shd w:val="clear" w:color="auto" w:fill="auto"/>
            <w:vAlign w:val="center"/>
          </w:tcPr>
          <w:p w14:paraId="5F0ABECF" w14:textId="77777777" w:rsidR="00F73A80" w:rsidRPr="00860E03" w:rsidRDefault="00F73A80" w:rsidP="00F73A80">
            <w:pPr>
              <w:pStyle w:val="ARtabletextrightbold"/>
            </w:pPr>
            <w:r w:rsidRPr="00860E03">
              <w:rPr>
                <w:bCs/>
              </w:rPr>
              <w:t>9</w:t>
            </w:r>
          </w:p>
        </w:tc>
        <w:tc>
          <w:tcPr>
            <w:tcW w:w="1247" w:type="dxa"/>
            <w:tcBorders>
              <w:top w:val="single" w:sz="4" w:space="0" w:color="auto"/>
              <w:left w:val="nil"/>
              <w:bottom w:val="single" w:sz="4" w:space="0" w:color="auto"/>
              <w:right w:val="nil"/>
            </w:tcBorders>
            <w:shd w:val="clear" w:color="auto" w:fill="auto"/>
            <w:vAlign w:val="center"/>
          </w:tcPr>
          <w:p w14:paraId="3A4706FB" w14:textId="77777777" w:rsidR="00F73A80" w:rsidRPr="00860E03" w:rsidRDefault="00F73A80" w:rsidP="00F73A80">
            <w:pPr>
              <w:pStyle w:val="ARtabletextrightbold"/>
            </w:pPr>
            <w:r w:rsidRPr="00860E03">
              <w:rPr>
                <w:bCs/>
              </w:rPr>
              <w:t>701</w:t>
            </w:r>
          </w:p>
        </w:tc>
        <w:tc>
          <w:tcPr>
            <w:tcW w:w="1247" w:type="dxa"/>
            <w:tcBorders>
              <w:top w:val="single" w:sz="4" w:space="0" w:color="auto"/>
              <w:left w:val="nil"/>
              <w:bottom w:val="single" w:sz="4" w:space="0" w:color="auto"/>
              <w:right w:val="nil"/>
            </w:tcBorders>
            <w:shd w:val="clear" w:color="auto" w:fill="auto"/>
            <w:vAlign w:val="center"/>
          </w:tcPr>
          <w:p w14:paraId="51E3A7B8" w14:textId="77777777" w:rsidR="00F73A80" w:rsidRPr="00860E03" w:rsidRDefault="00F73A80" w:rsidP="00F73A80">
            <w:pPr>
              <w:pStyle w:val="ARtabletextrightbold"/>
            </w:pPr>
            <w:r w:rsidRPr="00860E03">
              <w:rPr>
                <w:bCs/>
              </w:rPr>
              <w:t>283</w:t>
            </w:r>
          </w:p>
        </w:tc>
        <w:tc>
          <w:tcPr>
            <w:tcW w:w="1247" w:type="dxa"/>
            <w:tcBorders>
              <w:top w:val="single" w:sz="4" w:space="0" w:color="auto"/>
              <w:left w:val="nil"/>
              <w:bottom w:val="single" w:sz="4" w:space="0" w:color="auto"/>
              <w:right w:val="single" w:sz="8" w:space="0" w:color="FFFFFF"/>
            </w:tcBorders>
            <w:shd w:val="clear" w:color="auto" w:fill="auto"/>
            <w:vAlign w:val="center"/>
          </w:tcPr>
          <w:p w14:paraId="25A62433" w14:textId="77777777" w:rsidR="00F73A80" w:rsidRPr="00860E03" w:rsidRDefault="00F73A80" w:rsidP="00F73A80">
            <w:pPr>
              <w:pStyle w:val="ARtabletextrightbold"/>
            </w:pPr>
            <w:r w:rsidRPr="00860E03">
              <w:rPr>
                <w:bCs/>
              </w:rPr>
              <w:t>317</w:t>
            </w:r>
          </w:p>
        </w:tc>
      </w:tr>
    </w:tbl>
    <w:p w14:paraId="0B396C05" w14:textId="77777777" w:rsidR="00F73A80" w:rsidRPr="00860E03" w:rsidRDefault="00F73A80" w:rsidP="00F73A80">
      <w:pPr>
        <w:pStyle w:val="ARbody"/>
        <w:rPr>
          <w:lang w:eastAsia="en-AU"/>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2268"/>
        <w:gridCol w:w="2268"/>
      </w:tblGrid>
      <w:tr w:rsidR="00F73A80" w:rsidRPr="00860E03" w14:paraId="58BDE221" w14:textId="77777777" w:rsidTr="00F73A80">
        <w:trPr>
          <w:cantSplit/>
          <w:trHeight w:val="101"/>
          <w:tblHeader/>
        </w:trPr>
        <w:tc>
          <w:tcPr>
            <w:tcW w:w="5103" w:type="dxa"/>
            <w:vAlign w:val="bottom"/>
          </w:tcPr>
          <w:p w14:paraId="34F1BBE2" w14:textId="77777777" w:rsidR="00F73A80" w:rsidRPr="00860E03" w:rsidRDefault="00F73A80" w:rsidP="00A46A4A">
            <w:pPr>
              <w:pStyle w:val="ARtablecolhead"/>
              <w:pageBreakBefore/>
            </w:pPr>
            <w:r w:rsidRPr="00860E03">
              <w:t>Description</w:t>
            </w:r>
          </w:p>
        </w:tc>
        <w:tc>
          <w:tcPr>
            <w:tcW w:w="2268" w:type="dxa"/>
            <w:vAlign w:val="bottom"/>
          </w:tcPr>
          <w:p w14:paraId="38C18C31" w14:textId="77777777" w:rsidR="00F73A80" w:rsidRPr="00860E03" w:rsidRDefault="00F73A80" w:rsidP="00F73A80">
            <w:pPr>
              <w:pStyle w:val="ARtablecolheadright"/>
            </w:pPr>
            <w:r w:rsidRPr="00860E03">
              <w:t>Operational</w:t>
            </w:r>
            <w:r w:rsidRPr="00860E03">
              <w:br/>
              <w:t>(per cent)</w:t>
            </w:r>
          </w:p>
        </w:tc>
        <w:tc>
          <w:tcPr>
            <w:tcW w:w="2268" w:type="dxa"/>
            <w:vAlign w:val="bottom"/>
          </w:tcPr>
          <w:p w14:paraId="742C0B64" w14:textId="77777777" w:rsidR="00F73A80" w:rsidRPr="00860E03" w:rsidRDefault="00F73A80" w:rsidP="00F73A80">
            <w:pPr>
              <w:pStyle w:val="ARtablecolheadright"/>
            </w:pPr>
            <w:r w:rsidRPr="00860E03">
              <w:t>Executive</w:t>
            </w:r>
            <w:r w:rsidRPr="00860E03">
              <w:br/>
              <w:t>(per cent)</w:t>
            </w:r>
          </w:p>
        </w:tc>
      </w:tr>
      <w:tr w:rsidR="00F73A80" w:rsidRPr="00860E03" w14:paraId="31A52EA4" w14:textId="77777777" w:rsidTr="00F73A80">
        <w:trPr>
          <w:cantSplit/>
        </w:trPr>
        <w:tc>
          <w:tcPr>
            <w:tcW w:w="5103" w:type="dxa"/>
          </w:tcPr>
          <w:p w14:paraId="0798EDEC" w14:textId="77777777" w:rsidR="00F73A80" w:rsidRPr="00860E03" w:rsidRDefault="00F73A80" w:rsidP="00F73A80">
            <w:pPr>
              <w:pStyle w:val="ARtabletext"/>
            </w:pPr>
            <w:r w:rsidRPr="00860E03">
              <w:t>LPG</w:t>
            </w:r>
          </w:p>
        </w:tc>
        <w:tc>
          <w:tcPr>
            <w:tcW w:w="2268" w:type="dxa"/>
            <w:vAlign w:val="center"/>
          </w:tcPr>
          <w:p w14:paraId="10EC39B9" w14:textId="77777777" w:rsidR="00F73A80" w:rsidRPr="00860E03" w:rsidRDefault="00F73A80" w:rsidP="00F73A80">
            <w:pPr>
              <w:pStyle w:val="ARtabletextright"/>
            </w:pPr>
            <w:r w:rsidRPr="00860E03">
              <w:t>0.1%</w:t>
            </w:r>
          </w:p>
        </w:tc>
        <w:tc>
          <w:tcPr>
            <w:tcW w:w="2268" w:type="dxa"/>
            <w:vAlign w:val="center"/>
          </w:tcPr>
          <w:p w14:paraId="516F3085" w14:textId="77777777" w:rsidR="00F73A80" w:rsidRPr="00860E03" w:rsidRDefault="00F73A80" w:rsidP="00F73A80">
            <w:pPr>
              <w:pStyle w:val="ARtabletextright"/>
            </w:pPr>
            <w:r w:rsidRPr="00860E03">
              <w:t>0%</w:t>
            </w:r>
          </w:p>
        </w:tc>
      </w:tr>
      <w:tr w:rsidR="00F73A80" w:rsidRPr="00860E03" w14:paraId="3104677E" w14:textId="77777777" w:rsidTr="00F73A80">
        <w:trPr>
          <w:cantSplit/>
        </w:trPr>
        <w:tc>
          <w:tcPr>
            <w:tcW w:w="5103" w:type="dxa"/>
          </w:tcPr>
          <w:p w14:paraId="28FB18A1" w14:textId="77777777" w:rsidR="00F73A80" w:rsidRPr="00860E03" w:rsidRDefault="00F73A80" w:rsidP="00F73A80">
            <w:pPr>
              <w:pStyle w:val="ARtabletext"/>
            </w:pPr>
            <w:r w:rsidRPr="00860E03">
              <w:t>Hybrid</w:t>
            </w:r>
          </w:p>
        </w:tc>
        <w:tc>
          <w:tcPr>
            <w:tcW w:w="2268" w:type="dxa"/>
            <w:vAlign w:val="center"/>
          </w:tcPr>
          <w:p w14:paraId="43ECA42A" w14:textId="77777777" w:rsidR="00F73A80" w:rsidRPr="00860E03" w:rsidRDefault="00F73A80" w:rsidP="00F73A80">
            <w:pPr>
              <w:pStyle w:val="ARtabletextright"/>
            </w:pPr>
            <w:r w:rsidRPr="00860E03">
              <w:t>24%</w:t>
            </w:r>
          </w:p>
        </w:tc>
        <w:tc>
          <w:tcPr>
            <w:tcW w:w="2268" w:type="dxa"/>
            <w:vAlign w:val="center"/>
          </w:tcPr>
          <w:p w14:paraId="6862CAA1" w14:textId="77777777" w:rsidR="00F73A80" w:rsidRPr="00860E03" w:rsidRDefault="00F73A80" w:rsidP="00F73A80">
            <w:pPr>
              <w:pStyle w:val="ARtabletextright"/>
            </w:pPr>
            <w:r w:rsidRPr="00860E03">
              <w:t>0.5%</w:t>
            </w:r>
          </w:p>
        </w:tc>
      </w:tr>
      <w:tr w:rsidR="00F73A80" w:rsidRPr="00860E03" w14:paraId="5626D541" w14:textId="77777777" w:rsidTr="00F73A80">
        <w:trPr>
          <w:cantSplit/>
        </w:trPr>
        <w:tc>
          <w:tcPr>
            <w:tcW w:w="5103" w:type="dxa"/>
          </w:tcPr>
          <w:p w14:paraId="110320EC" w14:textId="77777777" w:rsidR="00F73A80" w:rsidRPr="00860E03" w:rsidRDefault="00F73A80" w:rsidP="00F73A80">
            <w:pPr>
              <w:pStyle w:val="ARtabletext"/>
            </w:pPr>
            <w:r w:rsidRPr="00860E03">
              <w:t>1–3 cylinder unleaded petrol</w:t>
            </w:r>
          </w:p>
        </w:tc>
        <w:tc>
          <w:tcPr>
            <w:tcW w:w="2268" w:type="dxa"/>
            <w:vAlign w:val="center"/>
          </w:tcPr>
          <w:p w14:paraId="4012B089" w14:textId="77777777" w:rsidR="00F73A80" w:rsidRPr="00860E03" w:rsidRDefault="00F73A80" w:rsidP="00F73A80">
            <w:pPr>
              <w:pStyle w:val="ARtabletextright"/>
            </w:pPr>
            <w:r w:rsidRPr="00860E03">
              <w:t>1%</w:t>
            </w:r>
          </w:p>
        </w:tc>
        <w:tc>
          <w:tcPr>
            <w:tcW w:w="2268" w:type="dxa"/>
            <w:vAlign w:val="center"/>
          </w:tcPr>
          <w:p w14:paraId="280B5774" w14:textId="77777777" w:rsidR="00F73A80" w:rsidRPr="00860E03" w:rsidRDefault="00F73A80" w:rsidP="00F73A80">
            <w:pPr>
              <w:pStyle w:val="ARtabletextright"/>
            </w:pPr>
            <w:r w:rsidRPr="00860E03">
              <w:t>0%</w:t>
            </w:r>
          </w:p>
        </w:tc>
      </w:tr>
      <w:tr w:rsidR="00F73A80" w:rsidRPr="00860E03" w14:paraId="62F57521" w14:textId="77777777" w:rsidTr="00F73A80">
        <w:trPr>
          <w:cantSplit/>
        </w:trPr>
        <w:tc>
          <w:tcPr>
            <w:tcW w:w="5103" w:type="dxa"/>
          </w:tcPr>
          <w:p w14:paraId="2AD00FD5" w14:textId="77777777" w:rsidR="00F73A80" w:rsidRPr="00860E03" w:rsidRDefault="00F73A80" w:rsidP="00F73A80">
            <w:pPr>
              <w:pStyle w:val="ARtabletext"/>
            </w:pPr>
            <w:r w:rsidRPr="00860E03">
              <w:t>4 cylinder unleaded petrol</w:t>
            </w:r>
          </w:p>
        </w:tc>
        <w:tc>
          <w:tcPr>
            <w:tcW w:w="2268" w:type="dxa"/>
            <w:vAlign w:val="center"/>
          </w:tcPr>
          <w:p w14:paraId="0AFC2377" w14:textId="77777777" w:rsidR="00F73A80" w:rsidRPr="00860E03" w:rsidRDefault="00F73A80" w:rsidP="00F73A80">
            <w:pPr>
              <w:pStyle w:val="ARtabletextright"/>
            </w:pPr>
            <w:r w:rsidRPr="00860E03">
              <w:t>37%</w:t>
            </w:r>
          </w:p>
        </w:tc>
        <w:tc>
          <w:tcPr>
            <w:tcW w:w="2268" w:type="dxa"/>
            <w:vAlign w:val="center"/>
          </w:tcPr>
          <w:p w14:paraId="05E951D8" w14:textId="77777777" w:rsidR="00F73A80" w:rsidRPr="00860E03" w:rsidRDefault="00F73A80" w:rsidP="00F73A80">
            <w:pPr>
              <w:pStyle w:val="ARtabletextright"/>
            </w:pPr>
            <w:r w:rsidRPr="00860E03">
              <w:t>4%</w:t>
            </w:r>
          </w:p>
        </w:tc>
      </w:tr>
      <w:tr w:rsidR="00F73A80" w:rsidRPr="00860E03" w14:paraId="53CBDAAC" w14:textId="77777777" w:rsidTr="00F73A80">
        <w:trPr>
          <w:cantSplit/>
        </w:trPr>
        <w:tc>
          <w:tcPr>
            <w:tcW w:w="5103" w:type="dxa"/>
          </w:tcPr>
          <w:p w14:paraId="7D9B4C86" w14:textId="77777777" w:rsidR="00F73A80" w:rsidRPr="00860E03" w:rsidRDefault="00F73A80" w:rsidP="00F73A80">
            <w:pPr>
              <w:pStyle w:val="ARtabletext"/>
            </w:pPr>
            <w:r w:rsidRPr="00860E03">
              <w:t>6 cylinder unleaded petrol</w:t>
            </w:r>
          </w:p>
        </w:tc>
        <w:tc>
          <w:tcPr>
            <w:tcW w:w="2268" w:type="dxa"/>
            <w:vAlign w:val="center"/>
          </w:tcPr>
          <w:p w14:paraId="49D3B334" w14:textId="77777777" w:rsidR="00F73A80" w:rsidRPr="00860E03" w:rsidRDefault="00F73A80" w:rsidP="00F73A80">
            <w:pPr>
              <w:pStyle w:val="ARtabletextright"/>
            </w:pPr>
            <w:r w:rsidRPr="00860E03">
              <w:t>14%</w:t>
            </w:r>
          </w:p>
        </w:tc>
        <w:tc>
          <w:tcPr>
            <w:tcW w:w="2268" w:type="dxa"/>
            <w:vAlign w:val="center"/>
          </w:tcPr>
          <w:p w14:paraId="598EBBEA" w14:textId="77777777" w:rsidR="00F73A80" w:rsidRPr="00860E03" w:rsidRDefault="00F73A80" w:rsidP="00F73A80">
            <w:pPr>
              <w:pStyle w:val="ARtabletextright"/>
            </w:pPr>
            <w:r w:rsidRPr="00860E03">
              <w:t>3%</w:t>
            </w:r>
          </w:p>
        </w:tc>
      </w:tr>
      <w:tr w:rsidR="00F73A80" w:rsidRPr="00860E03" w14:paraId="56F0B8EA" w14:textId="77777777" w:rsidTr="00F73A80">
        <w:trPr>
          <w:cantSplit/>
        </w:trPr>
        <w:tc>
          <w:tcPr>
            <w:tcW w:w="5103" w:type="dxa"/>
          </w:tcPr>
          <w:p w14:paraId="4E90CA15" w14:textId="77777777" w:rsidR="00F73A80" w:rsidRPr="00860E03" w:rsidRDefault="00F73A80" w:rsidP="00F73A80">
            <w:pPr>
              <w:pStyle w:val="ARtabletext"/>
            </w:pPr>
            <w:r w:rsidRPr="00860E03">
              <w:t>Diesel</w:t>
            </w:r>
          </w:p>
        </w:tc>
        <w:tc>
          <w:tcPr>
            <w:tcW w:w="2268" w:type="dxa"/>
            <w:vAlign w:val="center"/>
          </w:tcPr>
          <w:p w14:paraId="23A55A0D" w14:textId="77777777" w:rsidR="00F73A80" w:rsidRPr="00860E03" w:rsidRDefault="00F73A80" w:rsidP="00F73A80">
            <w:pPr>
              <w:pStyle w:val="ARtabletextright"/>
            </w:pPr>
            <w:r w:rsidRPr="00860E03">
              <w:t>17%</w:t>
            </w:r>
          </w:p>
        </w:tc>
        <w:tc>
          <w:tcPr>
            <w:tcW w:w="2268" w:type="dxa"/>
            <w:vAlign w:val="center"/>
          </w:tcPr>
          <w:p w14:paraId="197C7712" w14:textId="77777777" w:rsidR="00F73A80" w:rsidRPr="00860E03" w:rsidRDefault="00F73A80" w:rsidP="00F73A80">
            <w:pPr>
              <w:pStyle w:val="ARtabletextright"/>
            </w:pPr>
            <w:r w:rsidRPr="00860E03">
              <w:t>1%</w:t>
            </w:r>
          </w:p>
        </w:tc>
      </w:tr>
      <w:tr w:rsidR="00F73A80" w:rsidRPr="00860E03" w14:paraId="307CBDAD" w14:textId="77777777" w:rsidTr="00F73A80">
        <w:trPr>
          <w:cantSplit/>
        </w:trPr>
        <w:tc>
          <w:tcPr>
            <w:tcW w:w="5103" w:type="dxa"/>
          </w:tcPr>
          <w:p w14:paraId="6BF2DEDE" w14:textId="77777777" w:rsidR="00F73A80" w:rsidRPr="00860E03" w:rsidRDefault="00F73A80" w:rsidP="00F73A80">
            <w:pPr>
              <w:pStyle w:val="ARtabletextbold"/>
            </w:pPr>
            <w:r w:rsidRPr="00860E03">
              <w:t>Total</w:t>
            </w:r>
          </w:p>
        </w:tc>
        <w:tc>
          <w:tcPr>
            <w:tcW w:w="2268" w:type="dxa"/>
            <w:vAlign w:val="center"/>
          </w:tcPr>
          <w:p w14:paraId="5F5CE022" w14:textId="77777777" w:rsidR="00F73A80" w:rsidRPr="00860E03" w:rsidRDefault="00F73A80" w:rsidP="00F73A80">
            <w:pPr>
              <w:pStyle w:val="ARtabletextrightbold"/>
            </w:pPr>
            <w:r w:rsidRPr="00860E03">
              <w:rPr>
                <w:bCs/>
              </w:rPr>
              <w:t>92%</w:t>
            </w:r>
          </w:p>
        </w:tc>
        <w:tc>
          <w:tcPr>
            <w:tcW w:w="2268" w:type="dxa"/>
            <w:vAlign w:val="center"/>
          </w:tcPr>
          <w:p w14:paraId="090F715D" w14:textId="77777777" w:rsidR="00F73A80" w:rsidRPr="00860E03" w:rsidRDefault="00F73A80" w:rsidP="00F73A80">
            <w:pPr>
              <w:pStyle w:val="ARtabletextrightbold"/>
            </w:pPr>
            <w:r w:rsidRPr="00860E03">
              <w:rPr>
                <w:bCs/>
              </w:rPr>
              <w:t>8%</w:t>
            </w:r>
          </w:p>
        </w:tc>
      </w:tr>
    </w:tbl>
    <w:p w14:paraId="3C8554DD" w14:textId="77777777" w:rsidR="00F04442" w:rsidRPr="00B34C15" w:rsidRDefault="00F04442" w:rsidP="008F035E">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835"/>
        <w:gridCol w:w="2268"/>
        <w:gridCol w:w="2268"/>
        <w:gridCol w:w="2268"/>
      </w:tblGrid>
      <w:tr w:rsidR="00F04442" w:rsidRPr="00860E03" w14:paraId="3D8DCA41" w14:textId="77777777" w:rsidTr="00B57962">
        <w:trPr>
          <w:cantSplit/>
          <w:tblHeader/>
        </w:trPr>
        <w:tc>
          <w:tcPr>
            <w:tcW w:w="2835" w:type="dxa"/>
            <w:vAlign w:val="bottom"/>
          </w:tcPr>
          <w:p w14:paraId="621572E8" w14:textId="77777777" w:rsidR="00F04442" w:rsidRPr="00860E03" w:rsidRDefault="00F04442" w:rsidP="00B57962">
            <w:pPr>
              <w:pStyle w:val="ARtablecolhead"/>
            </w:pPr>
            <w:r w:rsidRPr="00860E03">
              <w:t>Description</w:t>
            </w:r>
          </w:p>
        </w:tc>
        <w:tc>
          <w:tcPr>
            <w:tcW w:w="2268" w:type="dxa"/>
            <w:vAlign w:val="bottom"/>
          </w:tcPr>
          <w:p w14:paraId="6BE61934" w14:textId="77777777" w:rsidR="00F04442" w:rsidRPr="00860E03" w:rsidRDefault="00F04442" w:rsidP="00B57962">
            <w:pPr>
              <w:pStyle w:val="ARtablecolheadright"/>
            </w:pPr>
            <w:r w:rsidRPr="00860E03">
              <w:t>2018–19 estimate</w:t>
            </w:r>
          </w:p>
        </w:tc>
        <w:tc>
          <w:tcPr>
            <w:tcW w:w="2268" w:type="dxa"/>
            <w:vAlign w:val="bottom"/>
          </w:tcPr>
          <w:p w14:paraId="7561C172" w14:textId="77777777" w:rsidR="00F04442" w:rsidRPr="00860E03" w:rsidRDefault="00F04442" w:rsidP="00B57962">
            <w:pPr>
              <w:pStyle w:val="ARtablecolheadright"/>
            </w:pPr>
            <w:r w:rsidRPr="00860E03">
              <w:t>2017–18 estimate</w:t>
            </w:r>
          </w:p>
        </w:tc>
        <w:tc>
          <w:tcPr>
            <w:tcW w:w="2268" w:type="dxa"/>
            <w:vAlign w:val="bottom"/>
          </w:tcPr>
          <w:p w14:paraId="42471F6F" w14:textId="77777777" w:rsidR="00F04442" w:rsidRPr="00860E03" w:rsidRDefault="00F04442" w:rsidP="00B57962">
            <w:pPr>
              <w:pStyle w:val="ARtablecolheadright"/>
            </w:pPr>
            <w:r w:rsidRPr="00860E03">
              <w:t>2016–17 estimate</w:t>
            </w:r>
          </w:p>
        </w:tc>
      </w:tr>
      <w:tr w:rsidR="00F04442" w:rsidRPr="00860E03" w14:paraId="65A38C0B" w14:textId="77777777" w:rsidTr="00B57962">
        <w:trPr>
          <w:cantSplit/>
          <w:tblHeader/>
        </w:trPr>
        <w:tc>
          <w:tcPr>
            <w:tcW w:w="2835" w:type="dxa"/>
          </w:tcPr>
          <w:p w14:paraId="0394ECCB" w14:textId="77777777" w:rsidR="00F04442" w:rsidRPr="00860E03" w:rsidRDefault="00F04442" w:rsidP="00B57962">
            <w:pPr>
              <w:pStyle w:val="ARtablecolhead"/>
            </w:pPr>
            <w:r w:rsidRPr="00860E03">
              <w:t>Total energy consumption</w:t>
            </w:r>
          </w:p>
        </w:tc>
        <w:tc>
          <w:tcPr>
            <w:tcW w:w="2268" w:type="dxa"/>
            <w:vAlign w:val="bottom"/>
          </w:tcPr>
          <w:p w14:paraId="034CDEAC" w14:textId="77777777" w:rsidR="00F04442" w:rsidRPr="00860E03" w:rsidRDefault="00F04442" w:rsidP="00B57962">
            <w:pPr>
              <w:pStyle w:val="ARtablecolheadright"/>
            </w:pPr>
            <w:r w:rsidRPr="00860E03">
              <w:t>Megajoules</w:t>
            </w:r>
          </w:p>
        </w:tc>
        <w:tc>
          <w:tcPr>
            <w:tcW w:w="2268" w:type="dxa"/>
            <w:vAlign w:val="bottom"/>
          </w:tcPr>
          <w:p w14:paraId="3707256E" w14:textId="77777777" w:rsidR="00F04442" w:rsidRPr="00860E03" w:rsidRDefault="00F04442" w:rsidP="00B57962">
            <w:pPr>
              <w:pStyle w:val="ARtablecolheadright"/>
            </w:pPr>
            <w:r w:rsidRPr="00860E03">
              <w:t>Megajoules</w:t>
            </w:r>
          </w:p>
        </w:tc>
        <w:tc>
          <w:tcPr>
            <w:tcW w:w="2268" w:type="dxa"/>
            <w:vAlign w:val="bottom"/>
          </w:tcPr>
          <w:p w14:paraId="2833C89A" w14:textId="77777777" w:rsidR="00F04442" w:rsidRPr="00860E03" w:rsidRDefault="00F04442" w:rsidP="00B57962">
            <w:pPr>
              <w:pStyle w:val="ARtablecolheadright"/>
            </w:pPr>
            <w:r w:rsidRPr="00860E03">
              <w:t>Megajoules</w:t>
            </w:r>
          </w:p>
        </w:tc>
      </w:tr>
      <w:tr w:rsidR="00F04442" w:rsidRPr="00860E03" w14:paraId="2B7D4240" w14:textId="77777777" w:rsidTr="00B57962">
        <w:trPr>
          <w:cantSplit/>
        </w:trPr>
        <w:tc>
          <w:tcPr>
            <w:tcW w:w="2835" w:type="dxa"/>
          </w:tcPr>
          <w:p w14:paraId="4E406281" w14:textId="77777777" w:rsidR="00F04442" w:rsidRPr="00860E03" w:rsidRDefault="00F04442" w:rsidP="00B57962">
            <w:pPr>
              <w:pStyle w:val="ARtabletext"/>
            </w:pPr>
            <w:r w:rsidRPr="00860E03">
              <w:t>LPG</w:t>
            </w:r>
          </w:p>
        </w:tc>
        <w:tc>
          <w:tcPr>
            <w:tcW w:w="2268" w:type="dxa"/>
          </w:tcPr>
          <w:p w14:paraId="170FC6E8" w14:textId="77777777" w:rsidR="00F04442" w:rsidRPr="00860E03" w:rsidRDefault="00F04442" w:rsidP="00B57962">
            <w:pPr>
              <w:pStyle w:val="ARtabletextright"/>
            </w:pPr>
            <w:r w:rsidRPr="00860E03">
              <w:t>353,621</w:t>
            </w:r>
          </w:p>
        </w:tc>
        <w:tc>
          <w:tcPr>
            <w:tcW w:w="2268" w:type="dxa"/>
          </w:tcPr>
          <w:p w14:paraId="534E762A" w14:textId="77777777" w:rsidR="00F04442" w:rsidRPr="00860E03" w:rsidRDefault="00F04442" w:rsidP="00B57962">
            <w:pPr>
              <w:pStyle w:val="ARtabletextright"/>
            </w:pPr>
            <w:r w:rsidRPr="00860E03">
              <w:t>2,488,685</w:t>
            </w:r>
          </w:p>
        </w:tc>
        <w:tc>
          <w:tcPr>
            <w:tcW w:w="2268" w:type="dxa"/>
          </w:tcPr>
          <w:p w14:paraId="041818D4" w14:textId="77777777" w:rsidR="00F04442" w:rsidRPr="00860E03" w:rsidRDefault="00F04442" w:rsidP="00B57962">
            <w:pPr>
              <w:pStyle w:val="ARtabletextright"/>
            </w:pPr>
            <w:r w:rsidRPr="00860E03">
              <w:t>8,604,814</w:t>
            </w:r>
          </w:p>
        </w:tc>
      </w:tr>
      <w:tr w:rsidR="00F04442" w:rsidRPr="00860E03" w14:paraId="66BB2669" w14:textId="77777777" w:rsidTr="00B57962">
        <w:trPr>
          <w:cantSplit/>
        </w:trPr>
        <w:tc>
          <w:tcPr>
            <w:tcW w:w="2835" w:type="dxa"/>
          </w:tcPr>
          <w:p w14:paraId="7F6364CB" w14:textId="77777777" w:rsidR="00F04442" w:rsidRPr="00860E03" w:rsidRDefault="00F04442" w:rsidP="00B57962">
            <w:pPr>
              <w:pStyle w:val="ARtabletext"/>
            </w:pPr>
            <w:r w:rsidRPr="00860E03">
              <w:t>Hybrid</w:t>
            </w:r>
          </w:p>
        </w:tc>
        <w:tc>
          <w:tcPr>
            <w:tcW w:w="2268" w:type="dxa"/>
          </w:tcPr>
          <w:p w14:paraId="231EADE5" w14:textId="77777777" w:rsidR="00F04442" w:rsidRPr="00860E03" w:rsidRDefault="00F04442" w:rsidP="00B57962">
            <w:pPr>
              <w:pStyle w:val="ARtabletextright"/>
            </w:pPr>
            <w:r w:rsidRPr="00860E03">
              <w:t>21,353,557</w:t>
            </w:r>
          </w:p>
        </w:tc>
        <w:tc>
          <w:tcPr>
            <w:tcW w:w="2268" w:type="dxa"/>
          </w:tcPr>
          <w:p w14:paraId="6B01DE44" w14:textId="77777777" w:rsidR="00F04442" w:rsidRPr="00860E03" w:rsidRDefault="00F04442" w:rsidP="00B57962">
            <w:pPr>
              <w:pStyle w:val="ARtabletextright"/>
            </w:pPr>
            <w:r w:rsidRPr="00860E03">
              <w:t>29,020,551</w:t>
            </w:r>
          </w:p>
        </w:tc>
        <w:tc>
          <w:tcPr>
            <w:tcW w:w="2268" w:type="dxa"/>
          </w:tcPr>
          <w:p w14:paraId="41B8B9C2" w14:textId="77777777" w:rsidR="00F04442" w:rsidRPr="00860E03" w:rsidRDefault="00F04442" w:rsidP="00B57962">
            <w:pPr>
              <w:pStyle w:val="ARtabletextright"/>
            </w:pPr>
            <w:r w:rsidRPr="00860E03">
              <w:t>26,322,030</w:t>
            </w:r>
          </w:p>
        </w:tc>
      </w:tr>
      <w:tr w:rsidR="00F04442" w:rsidRPr="00860E03" w14:paraId="56490EA1" w14:textId="77777777" w:rsidTr="00B57962">
        <w:trPr>
          <w:cantSplit/>
        </w:trPr>
        <w:tc>
          <w:tcPr>
            <w:tcW w:w="2835" w:type="dxa"/>
          </w:tcPr>
          <w:p w14:paraId="34BD694E" w14:textId="77777777" w:rsidR="00F04442" w:rsidRPr="00860E03" w:rsidRDefault="00F04442" w:rsidP="00B57962">
            <w:pPr>
              <w:pStyle w:val="ARtabletext"/>
            </w:pPr>
            <w:r w:rsidRPr="00860E03">
              <w:t>Unleaded petrol</w:t>
            </w:r>
          </w:p>
        </w:tc>
        <w:tc>
          <w:tcPr>
            <w:tcW w:w="2268" w:type="dxa"/>
          </w:tcPr>
          <w:p w14:paraId="617DA309" w14:textId="77777777" w:rsidR="00F04442" w:rsidRPr="00860E03" w:rsidRDefault="00F04442" w:rsidP="00B57962">
            <w:pPr>
              <w:pStyle w:val="ARtabletextright"/>
            </w:pPr>
            <w:r w:rsidRPr="00860E03">
              <w:t>73,557,086</w:t>
            </w:r>
          </w:p>
        </w:tc>
        <w:tc>
          <w:tcPr>
            <w:tcW w:w="2268" w:type="dxa"/>
          </w:tcPr>
          <w:p w14:paraId="2BE477F9" w14:textId="77777777" w:rsidR="00F04442" w:rsidRPr="00860E03" w:rsidRDefault="00F04442" w:rsidP="00B57962">
            <w:pPr>
              <w:pStyle w:val="ARtabletextright"/>
            </w:pPr>
            <w:r w:rsidRPr="00860E03">
              <w:t>50,861,143</w:t>
            </w:r>
          </w:p>
        </w:tc>
        <w:tc>
          <w:tcPr>
            <w:tcW w:w="2268" w:type="dxa"/>
          </w:tcPr>
          <w:p w14:paraId="76DB4DEA" w14:textId="77777777" w:rsidR="00F04442" w:rsidRPr="00860E03" w:rsidRDefault="00F04442" w:rsidP="00B57962">
            <w:pPr>
              <w:pStyle w:val="ARtabletextright"/>
            </w:pPr>
            <w:r w:rsidRPr="00860E03">
              <w:t>51,713,923</w:t>
            </w:r>
          </w:p>
        </w:tc>
      </w:tr>
      <w:tr w:rsidR="00F04442" w:rsidRPr="00860E03" w14:paraId="46012B37" w14:textId="77777777" w:rsidTr="00B57962">
        <w:trPr>
          <w:cantSplit/>
        </w:trPr>
        <w:tc>
          <w:tcPr>
            <w:tcW w:w="2835" w:type="dxa"/>
          </w:tcPr>
          <w:p w14:paraId="4BC323CF" w14:textId="77777777" w:rsidR="00F04442" w:rsidRPr="00860E03" w:rsidRDefault="00F04442" w:rsidP="00B57962">
            <w:pPr>
              <w:pStyle w:val="ARtabletext"/>
            </w:pPr>
            <w:r w:rsidRPr="00860E03">
              <w:t>Diesel</w:t>
            </w:r>
          </w:p>
        </w:tc>
        <w:tc>
          <w:tcPr>
            <w:tcW w:w="2268" w:type="dxa"/>
          </w:tcPr>
          <w:p w14:paraId="18419691" w14:textId="77777777" w:rsidR="00F04442" w:rsidRPr="00860E03" w:rsidRDefault="00F04442" w:rsidP="00B57962">
            <w:pPr>
              <w:pStyle w:val="ARtabletextright"/>
            </w:pPr>
            <w:r w:rsidRPr="00860E03">
              <w:t>30,363,493</w:t>
            </w:r>
          </w:p>
        </w:tc>
        <w:tc>
          <w:tcPr>
            <w:tcW w:w="2268" w:type="dxa"/>
          </w:tcPr>
          <w:p w14:paraId="2739EE67" w14:textId="77777777" w:rsidR="00F04442" w:rsidRPr="00860E03" w:rsidRDefault="00F04442" w:rsidP="00B57962">
            <w:pPr>
              <w:pStyle w:val="ARtabletextright"/>
            </w:pPr>
            <w:r w:rsidRPr="00860E03">
              <w:t>35,125,363</w:t>
            </w:r>
          </w:p>
        </w:tc>
        <w:tc>
          <w:tcPr>
            <w:tcW w:w="2268" w:type="dxa"/>
          </w:tcPr>
          <w:p w14:paraId="747BA1F5" w14:textId="77777777" w:rsidR="00F04442" w:rsidRPr="00860E03" w:rsidRDefault="00F04442" w:rsidP="00B57962">
            <w:pPr>
              <w:pStyle w:val="ARtabletextright"/>
            </w:pPr>
            <w:r w:rsidRPr="00860E03">
              <w:t>35,718,356</w:t>
            </w:r>
          </w:p>
        </w:tc>
      </w:tr>
      <w:tr w:rsidR="00F04442" w:rsidRPr="00860E03" w14:paraId="168A908A" w14:textId="77777777" w:rsidTr="00B57962">
        <w:trPr>
          <w:cantSplit/>
        </w:trPr>
        <w:tc>
          <w:tcPr>
            <w:tcW w:w="2835" w:type="dxa"/>
          </w:tcPr>
          <w:p w14:paraId="35E3B685" w14:textId="77777777" w:rsidR="00F04442" w:rsidRPr="00860E03" w:rsidRDefault="00F04442" w:rsidP="00B57962">
            <w:pPr>
              <w:pStyle w:val="ARtabletext"/>
            </w:pPr>
            <w:r w:rsidRPr="00860E03">
              <w:t>State government vehicle pool</w:t>
            </w:r>
          </w:p>
        </w:tc>
        <w:tc>
          <w:tcPr>
            <w:tcW w:w="2268" w:type="dxa"/>
          </w:tcPr>
          <w:p w14:paraId="7BDDE87A" w14:textId="77777777" w:rsidR="00F04442" w:rsidRPr="00860E03" w:rsidRDefault="00F04442" w:rsidP="00B57962">
            <w:pPr>
              <w:pStyle w:val="ARtabletextright"/>
            </w:pPr>
            <w:r w:rsidRPr="00860E03">
              <w:t>2,090,800</w:t>
            </w:r>
          </w:p>
        </w:tc>
        <w:tc>
          <w:tcPr>
            <w:tcW w:w="2268" w:type="dxa"/>
          </w:tcPr>
          <w:p w14:paraId="0B2C7A33" w14:textId="77777777" w:rsidR="00F04442" w:rsidRPr="00860E03" w:rsidRDefault="00F04442" w:rsidP="00B57962">
            <w:pPr>
              <w:pStyle w:val="ARtabletextright"/>
            </w:pPr>
            <w:r w:rsidRPr="00860E03">
              <w:t>1,816,493</w:t>
            </w:r>
          </w:p>
        </w:tc>
        <w:tc>
          <w:tcPr>
            <w:tcW w:w="2268" w:type="dxa"/>
          </w:tcPr>
          <w:p w14:paraId="44589CF7" w14:textId="77777777" w:rsidR="00F04442" w:rsidRPr="00860E03" w:rsidRDefault="00F04442" w:rsidP="00B57962">
            <w:pPr>
              <w:pStyle w:val="ARtabletextright"/>
            </w:pPr>
            <w:r w:rsidRPr="00860E03">
              <w:t>1,831,906</w:t>
            </w:r>
          </w:p>
        </w:tc>
      </w:tr>
      <w:tr w:rsidR="00F04442" w:rsidRPr="00860E03" w14:paraId="5906D777" w14:textId="77777777" w:rsidTr="00B57962">
        <w:trPr>
          <w:cantSplit/>
        </w:trPr>
        <w:tc>
          <w:tcPr>
            <w:tcW w:w="2835" w:type="dxa"/>
          </w:tcPr>
          <w:p w14:paraId="5CD7CBAF" w14:textId="77777777" w:rsidR="00F04442" w:rsidRPr="00860E03" w:rsidRDefault="00F04442" w:rsidP="00B57962">
            <w:pPr>
              <w:pStyle w:val="ARtabletext"/>
              <w:rPr>
                <w:b/>
              </w:rPr>
            </w:pPr>
            <w:r w:rsidRPr="00860E03">
              <w:rPr>
                <w:b/>
              </w:rPr>
              <w:t>Total</w:t>
            </w:r>
          </w:p>
        </w:tc>
        <w:tc>
          <w:tcPr>
            <w:tcW w:w="2268" w:type="dxa"/>
          </w:tcPr>
          <w:p w14:paraId="5DADD256" w14:textId="77777777" w:rsidR="00F04442" w:rsidRPr="00860E03" w:rsidRDefault="00F04442" w:rsidP="00B57962">
            <w:pPr>
              <w:pStyle w:val="ARtabletextrightbold"/>
            </w:pPr>
            <w:r w:rsidRPr="00860E03">
              <w:t>127,718,558</w:t>
            </w:r>
          </w:p>
        </w:tc>
        <w:tc>
          <w:tcPr>
            <w:tcW w:w="2268" w:type="dxa"/>
          </w:tcPr>
          <w:p w14:paraId="706B1E4E" w14:textId="77777777" w:rsidR="00F04442" w:rsidRPr="00860E03" w:rsidRDefault="00F04442" w:rsidP="00B57962">
            <w:pPr>
              <w:pStyle w:val="ARtabletextrightbold"/>
            </w:pPr>
            <w:r w:rsidRPr="00860E03">
              <w:t>119,312,235</w:t>
            </w:r>
          </w:p>
        </w:tc>
        <w:tc>
          <w:tcPr>
            <w:tcW w:w="2268" w:type="dxa"/>
          </w:tcPr>
          <w:p w14:paraId="58769A35" w14:textId="77777777" w:rsidR="00F04442" w:rsidRPr="00860E03" w:rsidRDefault="00F04442" w:rsidP="00B57962">
            <w:pPr>
              <w:pStyle w:val="ARtabletextrightbold"/>
            </w:pPr>
            <w:r w:rsidRPr="00860E03">
              <w:t>124,191,029</w:t>
            </w:r>
          </w:p>
        </w:tc>
      </w:tr>
    </w:tbl>
    <w:p w14:paraId="7684E5DD" w14:textId="77777777" w:rsidR="00F04442" w:rsidRPr="00860E03" w:rsidRDefault="00F04442" w:rsidP="00F04442">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835"/>
        <w:gridCol w:w="2268"/>
        <w:gridCol w:w="2268"/>
        <w:gridCol w:w="2268"/>
      </w:tblGrid>
      <w:tr w:rsidR="00F04442" w:rsidRPr="00860E03" w14:paraId="746B8628" w14:textId="77777777" w:rsidTr="00B57962">
        <w:trPr>
          <w:cantSplit/>
          <w:trHeight w:val="270"/>
          <w:tblHeader/>
        </w:trPr>
        <w:tc>
          <w:tcPr>
            <w:tcW w:w="2835" w:type="dxa"/>
            <w:vAlign w:val="bottom"/>
          </w:tcPr>
          <w:p w14:paraId="6373563B" w14:textId="77777777" w:rsidR="00F04442" w:rsidRPr="00860E03" w:rsidRDefault="00F04442" w:rsidP="00B57962">
            <w:pPr>
              <w:pStyle w:val="ARtablecolhead"/>
            </w:pPr>
            <w:r w:rsidRPr="00860E03">
              <w:t>Description</w:t>
            </w:r>
          </w:p>
        </w:tc>
        <w:tc>
          <w:tcPr>
            <w:tcW w:w="2268" w:type="dxa"/>
            <w:vAlign w:val="bottom"/>
          </w:tcPr>
          <w:p w14:paraId="5ABFF484" w14:textId="77777777" w:rsidR="00F04442" w:rsidRPr="00860E03" w:rsidRDefault="00F04442" w:rsidP="00B57962">
            <w:pPr>
              <w:pStyle w:val="ARtablecolheadright"/>
            </w:pPr>
            <w:r w:rsidRPr="00860E03">
              <w:t>2018–19 estimate</w:t>
            </w:r>
          </w:p>
        </w:tc>
        <w:tc>
          <w:tcPr>
            <w:tcW w:w="2268" w:type="dxa"/>
            <w:vAlign w:val="bottom"/>
          </w:tcPr>
          <w:p w14:paraId="1114590D" w14:textId="77777777" w:rsidR="00F04442" w:rsidRPr="00860E03" w:rsidRDefault="00F04442" w:rsidP="00B57962">
            <w:pPr>
              <w:pStyle w:val="ARtablecolheadright"/>
            </w:pPr>
            <w:r w:rsidRPr="00860E03">
              <w:t>2017–18 estimate</w:t>
            </w:r>
          </w:p>
        </w:tc>
        <w:tc>
          <w:tcPr>
            <w:tcW w:w="2268" w:type="dxa"/>
            <w:vAlign w:val="bottom"/>
          </w:tcPr>
          <w:p w14:paraId="54A90D2E" w14:textId="77777777" w:rsidR="00F04442" w:rsidRPr="00860E03" w:rsidRDefault="00F04442" w:rsidP="00B57962">
            <w:pPr>
              <w:pStyle w:val="ARtablecolheadright"/>
            </w:pPr>
            <w:r w:rsidRPr="00860E03">
              <w:t>2016–17 estimate</w:t>
            </w:r>
          </w:p>
        </w:tc>
      </w:tr>
      <w:tr w:rsidR="00F04442" w:rsidRPr="00860E03" w14:paraId="48AC7580" w14:textId="77777777" w:rsidTr="00B57962">
        <w:trPr>
          <w:cantSplit/>
          <w:trHeight w:val="270"/>
          <w:tblHeader/>
        </w:trPr>
        <w:tc>
          <w:tcPr>
            <w:tcW w:w="2835" w:type="dxa"/>
          </w:tcPr>
          <w:p w14:paraId="5C06B4AD" w14:textId="77777777" w:rsidR="00F04442" w:rsidRPr="00860E03" w:rsidRDefault="00F04442" w:rsidP="00B57962">
            <w:pPr>
              <w:pStyle w:val="ARtablecolhead"/>
            </w:pPr>
            <w:r w:rsidRPr="00860E03">
              <w:t>Total vehicle travel</w:t>
            </w:r>
          </w:p>
        </w:tc>
        <w:tc>
          <w:tcPr>
            <w:tcW w:w="2268" w:type="dxa"/>
            <w:vAlign w:val="bottom"/>
          </w:tcPr>
          <w:p w14:paraId="084E2C57" w14:textId="77777777" w:rsidR="00F04442" w:rsidRPr="00860E03" w:rsidRDefault="00F04442" w:rsidP="00B57962">
            <w:pPr>
              <w:pStyle w:val="ARtablecolheadright"/>
            </w:pPr>
            <w:r w:rsidRPr="00860E03">
              <w:t>Kilometres</w:t>
            </w:r>
          </w:p>
        </w:tc>
        <w:tc>
          <w:tcPr>
            <w:tcW w:w="2268" w:type="dxa"/>
            <w:vAlign w:val="bottom"/>
          </w:tcPr>
          <w:p w14:paraId="3A07B0C4" w14:textId="77777777" w:rsidR="00F04442" w:rsidRPr="00860E03" w:rsidRDefault="00F04442" w:rsidP="00B57962">
            <w:pPr>
              <w:pStyle w:val="ARtablecolheadright"/>
            </w:pPr>
            <w:r w:rsidRPr="00860E03">
              <w:t>Kilometres</w:t>
            </w:r>
          </w:p>
        </w:tc>
        <w:tc>
          <w:tcPr>
            <w:tcW w:w="2268" w:type="dxa"/>
            <w:vAlign w:val="bottom"/>
          </w:tcPr>
          <w:p w14:paraId="54151AA8" w14:textId="77777777" w:rsidR="00F04442" w:rsidRPr="00860E03" w:rsidRDefault="00F04442" w:rsidP="00B57962">
            <w:pPr>
              <w:pStyle w:val="ARtablecolheadright"/>
            </w:pPr>
            <w:r w:rsidRPr="00860E03">
              <w:t>Kilometres</w:t>
            </w:r>
          </w:p>
        </w:tc>
      </w:tr>
      <w:tr w:rsidR="00F04442" w:rsidRPr="00860E03" w14:paraId="5A63DCD0" w14:textId="77777777" w:rsidTr="00B57962">
        <w:trPr>
          <w:cantSplit/>
          <w:trHeight w:val="270"/>
        </w:trPr>
        <w:tc>
          <w:tcPr>
            <w:tcW w:w="2835" w:type="dxa"/>
          </w:tcPr>
          <w:p w14:paraId="1B247A81" w14:textId="77777777" w:rsidR="00F04442" w:rsidRPr="00860E03" w:rsidRDefault="00F04442" w:rsidP="00B57962">
            <w:pPr>
              <w:pStyle w:val="ARtabletext"/>
            </w:pPr>
            <w:r w:rsidRPr="00860E03">
              <w:t>LPG</w:t>
            </w:r>
          </w:p>
        </w:tc>
        <w:tc>
          <w:tcPr>
            <w:tcW w:w="2268" w:type="dxa"/>
            <w:vAlign w:val="center"/>
          </w:tcPr>
          <w:p w14:paraId="617C79E2" w14:textId="77777777" w:rsidR="00F04442" w:rsidRPr="00860E03" w:rsidRDefault="00F04442" w:rsidP="00B57962">
            <w:pPr>
              <w:pStyle w:val="ARtabletextright"/>
            </w:pPr>
            <w:r w:rsidRPr="00860E03">
              <w:t>95,765</w:t>
            </w:r>
          </w:p>
        </w:tc>
        <w:tc>
          <w:tcPr>
            <w:tcW w:w="2268" w:type="dxa"/>
          </w:tcPr>
          <w:p w14:paraId="7F5CB6D4" w14:textId="77777777" w:rsidR="00F04442" w:rsidRPr="00860E03" w:rsidRDefault="00F04442" w:rsidP="00B57962">
            <w:pPr>
              <w:pStyle w:val="ARtabletextright"/>
            </w:pPr>
            <w:r w:rsidRPr="00860E03">
              <w:t>683,288</w:t>
            </w:r>
          </w:p>
        </w:tc>
        <w:tc>
          <w:tcPr>
            <w:tcW w:w="2268" w:type="dxa"/>
          </w:tcPr>
          <w:p w14:paraId="22DEDA27" w14:textId="77777777" w:rsidR="00F04442" w:rsidRPr="00860E03" w:rsidRDefault="00F04442" w:rsidP="00B57962">
            <w:pPr>
              <w:pStyle w:val="ARtabletextright"/>
            </w:pPr>
            <w:r w:rsidRPr="00860E03">
              <w:t>2,473,150</w:t>
            </w:r>
          </w:p>
        </w:tc>
      </w:tr>
      <w:tr w:rsidR="00F04442" w:rsidRPr="00860E03" w14:paraId="3C4A6BEA" w14:textId="77777777" w:rsidTr="00B57962">
        <w:trPr>
          <w:cantSplit/>
          <w:trHeight w:val="270"/>
        </w:trPr>
        <w:tc>
          <w:tcPr>
            <w:tcW w:w="2835" w:type="dxa"/>
          </w:tcPr>
          <w:p w14:paraId="441AFED0" w14:textId="77777777" w:rsidR="00F04442" w:rsidRPr="00860E03" w:rsidRDefault="00F04442" w:rsidP="00B57962">
            <w:pPr>
              <w:pStyle w:val="ARtabletext"/>
            </w:pPr>
            <w:r w:rsidRPr="00860E03">
              <w:t>Hybrid</w:t>
            </w:r>
          </w:p>
        </w:tc>
        <w:tc>
          <w:tcPr>
            <w:tcW w:w="2268" w:type="dxa"/>
            <w:vAlign w:val="center"/>
          </w:tcPr>
          <w:p w14:paraId="5AAE56F0" w14:textId="77777777" w:rsidR="00F04442" w:rsidRPr="00860E03" w:rsidRDefault="00F04442" w:rsidP="00B57962">
            <w:pPr>
              <w:pStyle w:val="ARtabletextright"/>
            </w:pPr>
            <w:r w:rsidRPr="00860E03">
              <w:t>9,995,318</w:t>
            </w:r>
          </w:p>
        </w:tc>
        <w:tc>
          <w:tcPr>
            <w:tcW w:w="2268" w:type="dxa"/>
          </w:tcPr>
          <w:p w14:paraId="6D4A2C2C" w14:textId="77777777" w:rsidR="00F04442" w:rsidRPr="00860E03" w:rsidRDefault="00F04442" w:rsidP="00B57962">
            <w:pPr>
              <w:pStyle w:val="ARtabletextright"/>
            </w:pPr>
            <w:r w:rsidRPr="00860E03">
              <w:t>13,362,360</w:t>
            </w:r>
          </w:p>
        </w:tc>
        <w:tc>
          <w:tcPr>
            <w:tcW w:w="2268" w:type="dxa"/>
          </w:tcPr>
          <w:p w14:paraId="518D7EE8" w14:textId="77777777" w:rsidR="00F04442" w:rsidRPr="00860E03" w:rsidRDefault="00F04442" w:rsidP="00B57962">
            <w:pPr>
              <w:pStyle w:val="ARtabletextright"/>
            </w:pPr>
            <w:r w:rsidRPr="00860E03">
              <w:t>12,607,787</w:t>
            </w:r>
          </w:p>
        </w:tc>
      </w:tr>
      <w:tr w:rsidR="00F04442" w:rsidRPr="00860E03" w14:paraId="255E980D" w14:textId="77777777" w:rsidTr="00B57962">
        <w:trPr>
          <w:cantSplit/>
          <w:trHeight w:val="270"/>
        </w:trPr>
        <w:tc>
          <w:tcPr>
            <w:tcW w:w="2835" w:type="dxa"/>
          </w:tcPr>
          <w:p w14:paraId="0E1ABD7D" w14:textId="77777777" w:rsidR="00F04442" w:rsidRPr="00860E03" w:rsidRDefault="00F04442" w:rsidP="00B57962">
            <w:pPr>
              <w:pStyle w:val="ARtabletext"/>
            </w:pPr>
            <w:r w:rsidRPr="00860E03">
              <w:t>Unleaded petrol</w:t>
            </w:r>
          </w:p>
        </w:tc>
        <w:tc>
          <w:tcPr>
            <w:tcW w:w="2268" w:type="dxa"/>
            <w:vAlign w:val="center"/>
          </w:tcPr>
          <w:p w14:paraId="32E410D8" w14:textId="77777777" w:rsidR="00F04442" w:rsidRPr="00860E03" w:rsidRDefault="00F04442" w:rsidP="00B57962">
            <w:pPr>
              <w:pStyle w:val="ARtabletextright"/>
            </w:pPr>
            <w:r w:rsidRPr="00860E03">
              <w:t>19,433,669</w:t>
            </w:r>
          </w:p>
        </w:tc>
        <w:tc>
          <w:tcPr>
            <w:tcW w:w="2268" w:type="dxa"/>
          </w:tcPr>
          <w:p w14:paraId="7266FD4A" w14:textId="77777777" w:rsidR="00F04442" w:rsidRPr="00860E03" w:rsidRDefault="00F04442" w:rsidP="00B57962">
            <w:pPr>
              <w:pStyle w:val="ARtabletextright"/>
            </w:pPr>
            <w:r w:rsidRPr="00860E03">
              <w:t>12,035,131</w:t>
            </w:r>
          </w:p>
        </w:tc>
        <w:tc>
          <w:tcPr>
            <w:tcW w:w="2268" w:type="dxa"/>
          </w:tcPr>
          <w:p w14:paraId="74100361" w14:textId="77777777" w:rsidR="00F04442" w:rsidRPr="00860E03" w:rsidRDefault="00F04442" w:rsidP="00B57962">
            <w:pPr>
              <w:pStyle w:val="ARtabletextright"/>
            </w:pPr>
            <w:r w:rsidRPr="00860E03">
              <w:t>12,574,372</w:t>
            </w:r>
          </w:p>
        </w:tc>
      </w:tr>
      <w:tr w:rsidR="00F04442" w:rsidRPr="00860E03" w14:paraId="0B7B0B78" w14:textId="77777777" w:rsidTr="00B57962">
        <w:trPr>
          <w:cantSplit/>
          <w:trHeight w:val="270"/>
        </w:trPr>
        <w:tc>
          <w:tcPr>
            <w:tcW w:w="2835" w:type="dxa"/>
          </w:tcPr>
          <w:p w14:paraId="38FBEF48" w14:textId="77777777" w:rsidR="00F04442" w:rsidRPr="00860E03" w:rsidRDefault="00F04442" w:rsidP="00B57962">
            <w:pPr>
              <w:pStyle w:val="ARtabletext"/>
            </w:pPr>
            <w:r w:rsidRPr="00860E03">
              <w:t>Diesel</w:t>
            </w:r>
          </w:p>
        </w:tc>
        <w:tc>
          <w:tcPr>
            <w:tcW w:w="2268" w:type="dxa"/>
            <w:vAlign w:val="center"/>
          </w:tcPr>
          <w:p w14:paraId="34177EB7" w14:textId="77777777" w:rsidR="00F04442" w:rsidRPr="00860E03" w:rsidRDefault="00F04442" w:rsidP="00B57962">
            <w:pPr>
              <w:pStyle w:val="ARtabletextright"/>
            </w:pPr>
            <w:r w:rsidRPr="00860E03">
              <w:t>7,728,698</w:t>
            </w:r>
          </w:p>
        </w:tc>
        <w:tc>
          <w:tcPr>
            <w:tcW w:w="2268" w:type="dxa"/>
          </w:tcPr>
          <w:p w14:paraId="0464F8FE" w14:textId="77777777" w:rsidR="00F04442" w:rsidRPr="00860E03" w:rsidRDefault="00F04442" w:rsidP="00B57962">
            <w:pPr>
              <w:pStyle w:val="ARtabletextright"/>
            </w:pPr>
            <w:r w:rsidRPr="00860E03">
              <w:t>9,634,247</w:t>
            </w:r>
          </w:p>
        </w:tc>
        <w:tc>
          <w:tcPr>
            <w:tcW w:w="2268" w:type="dxa"/>
          </w:tcPr>
          <w:p w14:paraId="30B0D8D4" w14:textId="77777777" w:rsidR="00F04442" w:rsidRPr="00860E03" w:rsidRDefault="00F04442" w:rsidP="00B57962">
            <w:pPr>
              <w:pStyle w:val="ARtabletextright"/>
            </w:pPr>
            <w:r w:rsidRPr="00860E03">
              <w:t>9,815,661</w:t>
            </w:r>
          </w:p>
        </w:tc>
      </w:tr>
      <w:tr w:rsidR="00F04442" w:rsidRPr="00860E03" w14:paraId="0A3B37FA" w14:textId="77777777" w:rsidTr="00B57962">
        <w:trPr>
          <w:cantSplit/>
          <w:trHeight w:val="270"/>
        </w:trPr>
        <w:tc>
          <w:tcPr>
            <w:tcW w:w="2835" w:type="dxa"/>
          </w:tcPr>
          <w:p w14:paraId="0A73B4E4" w14:textId="77777777" w:rsidR="00F04442" w:rsidRPr="00860E03" w:rsidRDefault="00F04442" w:rsidP="00B57962">
            <w:pPr>
              <w:pStyle w:val="ARtabletext"/>
            </w:pPr>
            <w:r w:rsidRPr="00860E03">
              <w:t>State government vehicle pool</w:t>
            </w:r>
          </w:p>
        </w:tc>
        <w:tc>
          <w:tcPr>
            <w:tcW w:w="2268" w:type="dxa"/>
          </w:tcPr>
          <w:p w14:paraId="13EF4E72" w14:textId="77777777" w:rsidR="00F04442" w:rsidRPr="00860E03" w:rsidRDefault="00F04442" w:rsidP="00B57962">
            <w:pPr>
              <w:pStyle w:val="ARtabletextright"/>
            </w:pPr>
            <w:r w:rsidRPr="00860E03">
              <w:t>830,763</w:t>
            </w:r>
          </w:p>
        </w:tc>
        <w:tc>
          <w:tcPr>
            <w:tcW w:w="2268" w:type="dxa"/>
          </w:tcPr>
          <w:p w14:paraId="5EA1270E" w14:textId="77777777" w:rsidR="00F04442" w:rsidRPr="00860E03" w:rsidRDefault="00F04442" w:rsidP="00B57962">
            <w:pPr>
              <w:pStyle w:val="ARtabletextright"/>
            </w:pPr>
            <w:r w:rsidRPr="00860E03">
              <w:t>679,268</w:t>
            </w:r>
          </w:p>
        </w:tc>
        <w:tc>
          <w:tcPr>
            <w:tcW w:w="2268" w:type="dxa"/>
          </w:tcPr>
          <w:p w14:paraId="67643467" w14:textId="77777777" w:rsidR="00F04442" w:rsidRPr="00860E03" w:rsidRDefault="00F04442" w:rsidP="00B57962">
            <w:pPr>
              <w:pStyle w:val="ARtabletextright"/>
            </w:pPr>
            <w:r w:rsidRPr="00860E03">
              <w:t>692,858</w:t>
            </w:r>
          </w:p>
        </w:tc>
      </w:tr>
      <w:tr w:rsidR="00F04442" w:rsidRPr="00860E03" w14:paraId="415CB2BB" w14:textId="77777777" w:rsidTr="00B57962">
        <w:trPr>
          <w:cantSplit/>
          <w:trHeight w:val="270"/>
        </w:trPr>
        <w:tc>
          <w:tcPr>
            <w:tcW w:w="2835" w:type="dxa"/>
          </w:tcPr>
          <w:p w14:paraId="1CDF1C28" w14:textId="77777777" w:rsidR="00F04442" w:rsidRPr="00860E03" w:rsidRDefault="00F04442" w:rsidP="00B57962">
            <w:pPr>
              <w:pStyle w:val="ARtabletext"/>
              <w:rPr>
                <w:b/>
              </w:rPr>
            </w:pPr>
            <w:r w:rsidRPr="00860E03">
              <w:rPr>
                <w:b/>
              </w:rPr>
              <w:t>Total</w:t>
            </w:r>
          </w:p>
        </w:tc>
        <w:tc>
          <w:tcPr>
            <w:tcW w:w="2268" w:type="dxa"/>
          </w:tcPr>
          <w:p w14:paraId="3647F60F" w14:textId="77777777" w:rsidR="00F04442" w:rsidRPr="00860E03" w:rsidRDefault="00F04442" w:rsidP="00B57962">
            <w:pPr>
              <w:pStyle w:val="ARtabletextrightbold"/>
            </w:pPr>
            <w:r w:rsidRPr="00860E03">
              <w:t>38,084,213</w:t>
            </w:r>
          </w:p>
        </w:tc>
        <w:tc>
          <w:tcPr>
            <w:tcW w:w="2268" w:type="dxa"/>
          </w:tcPr>
          <w:p w14:paraId="01B77AE4" w14:textId="77777777" w:rsidR="00F04442" w:rsidRPr="00860E03" w:rsidRDefault="00F04442" w:rsidP="00B57962">
            <w:pPr>
              <w:pStyle w:val="ARtabletextrightbold"/>
            </w:pPr>
            <w:r w:rsidRPr="00860E03">
              <w:t>36,394,294</w:t>
            </w:r>
          </w:p>
        </w:tc>
        <w:tc>
          <w:tcPr>
            <w:tcW w:w="2268" w:type="dxa"/>
          </w:tcPr>
          <w:p w14:paraId="76F21D58" w14:textId="77777777" w:rsidR="00F04442" w:rsidRPr="00860E03" w:rsidRDefault="00F04442" w:rsidP="00B57962">
            <w:pPr>
              <w:pStyle w:val="ARtabletextrightbold"/>
            </w:pPr>
            <w:r w:rsidRPr="00860E03">
              <w:t>38,163,828</w:t>
            </w:r>
          </w:p>
        </w:tc>
      </w:tr>
    </w:tbl>
    <w:p w14:paraId="1C4180C9" w14:textId="77777777" w:rsidR="00F04442" w:rsidRPr="00860E03" w:rsidRDefault="00F04442" w:rsidP="00F04442">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835"/>
        <w:gridCol w:w="2268"/>
        <w:gridCol w:w="2268"/>
        <w:gridCol w:w="2268"/>
      </w:tblGrid>
      <w:tr w:rsidR="00F04442" w:rsidRPr="00860E03" w14:paraId="21DA8C8A" w14:textId="77777777" w:rsidTr="00B57962">
        <w:trPr>
          <w:cantSplit/>
          <w:trHeight w:val="270"/>
          <w:tblHeader/>
        </w:trPr>
        <w:tc>
          <w:tcPr>
            <w:tcW w:w="2835" w:type="dxa"/>
            <w:vAlign w:val="bottom"/>
          </w:tcPr>
          <w:p w14:paraId="17F65220" w14:textId="77777777" w:rsidR="00F04442" w:rsidRPr="00860E03" w:rsidRDefault="00F04442" w:rsidP="00B57962">
            <w:pPr>
              <w:pStyle w:val="ARtablecolhead"/>
            </w:pPr>
            <w:r w:rsidRPr="00860E03">
              <w:t>Description</w:t>
            </w:r>
          </w:p>
        </w:tc>
        <w:tc>
          <w:tcPr>
            <w:tcW w:w="2268" w:type="dxa"/>
            <w:vAlign w:val="bottom"/>
          </w:tcPr>
          <w:p w14:paraId="5FB94474" w14:textId="77777777" w:rsidR="00F04442" w:rsidRPr="00860E03" w:rsidRDefault="00F04442" w:rsidP="00B57962">
            <w:pPr>
              <w:pStyle w:val="ARtablecolheadright"/>
            </w:pPr>
            <w:r w:rsidRPr="00860E03">
              <w:t>2018–19 estimate</w:t>
            </w:r>
          </w:p>
        </w:tc>
        <w:tc>
          <w:tcPr>
            <w:tcW w:w="2268" w:type="dxa"/>
            <w:vAlign w:val="bottom"/>
          </w:tcPr>
          <w:p w14:paraId="61840422" w14:textId="77777777" w:rsidR="00F04442" w:rsidRPr="00860E03" w:rsidRDefault="00F04442" w:rsidP="00B57962">
            <w:pPr>
              <w:pStyle w:val="ARtablecolheadright"/>
            </w:pPr>
            <w:r w:rsidRPr="00860E03">
              <w:t>2017–18 estimate</w:t>
            </w:r>
          </w:p>
        </w:tc>
        <w:tc>
          <w:tcPr>
            <w:tcW w:w="2268" w:type="dxa"/>
            <w:tcBorders>
              <w:top w:val="nil"/>
            </w:tcBorders>
            <w:vAlign w:val="bottom"/>
          </w:tcPr>
          <w:p w14:paraId="209F7F12" w14:textId="77777777" w:rsidR="00F04442" w:rsidRPr="00860E03" w:rsidRDefault="00F04442" w:rsidP="00B57962">
            <w:pPr>
              <w:pStyle w:val="ARtablecolheadright"/>
            </w:pPr>
            <w:r w:rsidRPr="00860E03">
              <w:t>2016–17 estimate</w:t>
            </w:r>
          </w:p>
        </w:tc>
      </w:tr>
      <w:tr w:rsidR="00F04442" w:rsidRPr="00860E03" w14:paraId="20CA0676" w14:textId="77777777" w:rsidTr="00B57962">
        <w:trPr>
          <w:cantSplit/>
          <w:trHeight w:val="270"/>
          <w:tblHeader/>
        </w:trPr>
        <w:tc>
          <w:tcPr>
            <w:tcW w:w="2835" w:type="dxa"/>
          </w:tcPr>
          <w:p w14:paraId="584E4A0C" w14:textId="77777777" w:rsidR="00F04442" w:rsidRPr="00860E03" w:rsidRDefault="00F04442" w:rsidP="00B57962">
            <w:pPr>
              <w:pStyle w:val="ARtablecolhead"/>
            </w:pPr>
            <w:r w:rsidRPr="00860E03">
              <w:t>Total greenhouse gas emissions</w:t>
            </w:r>
          </w:p>
        </w:tc>
        <w:tc>
          <w:tcPr>
            <w:tcW w:w="2268" w:type="dxa"/>
            <w:vAlign w:val="bottom"/>
          </w:tcPr>
          <w:p w14:paraId="4E7B85E0" w14:textId="77777777" w:rsidR="00F04442" w:rsidRPr="00860E03" w:rsidRDefault="00F04442" w:rsidP="00B57962">
            <w:pPr>
              <w:pStyle w:val="ARtablecolheadright"/>
            </w:pPr>
            <w:r w:rsidRPr="00860E03">
              <w:t>Tonnes CO</w:t>
            </w:r>
            <w:r w:rsidRPr="00860E03">
              <w:rPr>
                <w:vertAlign w:val="subscript"/>
              </w:rPr>
              <w:t>2</w:t>
            </w:r>
            <w:r w:rsidRPr="00860E03">
              <w:t>-e</w:t>
            </w:r>
          </w:p>
        </w:tc>
        <w:tc>
          <w:tcPr>
            <w:tcW w:w="2268" w:type="dxa"/>
            <w:vAlign w:val="bottom"/>
          </w:tcPr>
          <w:p w14:paraId="73CBC235" w14:textId="77777777" w:rsidR="00F04442" w:rsidRPr="00860E03" w:rsidRDefault="00F04442" w:rsidP="00B57962">
            <w:pPr>
              <w:pStyle w:val="ARtablecolheadright"/>
            </w:pPr>
            <w:r w:rsidRPr="00860E03">
              <w:t>Tonnes CO</w:t>
            </w:r>
            <w:r w:rsidRPr="00860E03">
              <w:rPr>
                <w:vertAlign w:val="subscript"/>
              </w:rPr>
              <w:t>2</w:t>
            </w:r>
            <w:r w:rsidRPr="00860E03">
              <w:t>-e</w:t>
            </w:r>
          </w:p>
        </w:tc>
        <w:tc>
          <w:tcPr>
            <w:tcW w:w="2268" w:type="dxa"/>
            <w:vAlign w:val="bottom"/>
          </w:tcPr>
          <w:p w14:paraId="6AE6514E" w14:textId="77777777" w:rsidR="00F04442" w:rsidRPr="00860E03" w:rsidRDefault="00F04442" w:rsidP="00B57962">
            <w:pPr>
              <w:pStyle w:val="ARtablecolheadright"/>
            </w:pPr>
            <w:r w:rsidRPr="00860E03">
              <w:t>Tonnes CO</w:t>
            </w:r>
            <w:r w:rsidRPr="00860E03">
              <w:rPr>
                <w:vertAlign w:val="subscript"/>
              </w:rPr>
              <w:t>2</w:t>
            </w:r>
            <w:r w:rsidRPr="00860E03">
              <w:t>-e</w:t>
            </w:r>
          </w:p>
        </w:tc>
      </w:tr>
      <w:tr w:rsidR="00F04442" w:rsidRPr="00860E03" w14:paraId="3146CA29" w14:textId="77777777" w:rsidTr="00B57962">
        <w:trPr>
          <w:cantSplit/>
          <w:trHeight w:val="270"/>
        </w:trPr>
        <w:tc>
          <w:tcPr>
            <w:tcW w:w="2835" w:type="dxa"/>
          </w:tcPr>
          <w:p w14:paraId="0166B0B7" w14:textId="77777777" w:rsidR="00F04442" w:rsidRPr="00860E03" w:rsidRDefault="00F04442" w:rsidP="00B57962">
            <w:pPr>
              <w:pStyle w:val="ARtabletext"/>
            </w:pPr>
            <w:r w:rsidRPr="00860E03">
              <w:t>LPG</w:t>
            </w:r>
          </w:p>
        </w:tc>
        <w:tc>
          <w:tcPr>
            <w:tcW w:w="2268" w:type="dxa"/>
          </w:tcPr>
          <w:p w14:paraId="5B9619C5" w14:textId="77777777" w:rsidR="00F04442" w:rsidRPr="00860E03" w:rsidRDefault="00F04442" w:rsidP="00B57962">
            <w:pPr>
              <w:pStyle w:val="ARtabletextright"/>
            </w:pPr>
            <w:r w:rsidRPr="00860E03">
              <w:t>22</w:t>
            </w:r>
          </w:p>
        </w:tc>
        <w:tc>
          <w:tcPr>
            <w:tcW w:w="2268" w:type="dxa"/>
          </w:tcPr>
          <w:p w14:paraId="28678ABD" w14:textId="77777777" w:rsidR="00F04442" w:rsidRPr="00860E03" w:rsidRDefault="00F04442" w:rsidP="00B57962">
            <w:pPr>
              <w:pStyle w:val="ARtabletextright"/>
            </w:pPr>
            <w:r w:rsidRPr="00860E03">
              <w:t>153</w:t>
            </w:r>
          </w:p>
        </w:tc>
        <w:tc>
          <w:tcPr>
            <w:tcW w:w="2268" w:type="dxa"/>
          </w:tcPr>
          <w:p w14:paraId="27423061" w14:textId="77777777" w:rsidR="00F04442" w:rsidRPr="00860E03" w:rsidRDefault="00F04442" w:rsidP="00B57962">
            <w:pPr>
              <w:pStyle w:val="ARtabletextright"/>
            </w:pPr>
            <w:r w:rsidRPr="00860E03">
              <w:t>529</w:t>
            </w:r>
          </w:p>
        </w:tc>
      </w:tr>
      <w:tr w:rsidR="00F04442" w:rsidRPr="00860E03" w14:paraId="6301D486" w14:textId="77777777" w:rsidTr="00B57962">
        <w:trPr>
          <w:cantSplit/>
          <w:trHeight w:val="270"/>
        </w:trPr>
        <w:tc>
          <w:tcPr>
            <w:tcW w:w="2835" w:type="dxa"/>
          </w:tcPr>
          <w:p w14:paraId="03C66755" w14:textId="77777777" w:rsidR="00F04442" w:rsidRPr="00860E03" w:rsidRDefault="00F04442" w:rsidP="00B57962">
            <w:pPr>
              <w:pStyle w:val="ARtabletext"/>
            </w:pPr>
            <w:r w:rsidRPr="00860E03">
              <w:t>Hybrid</w:t>
            </w:r>
          </w:p>
        </w:tc>
        <w:tc>
          <w:tcPr>
            <w:tcW w:w="2268" w:type="dxa"/>
          </w:tcPr>
          <w:p w14:paraId="6D76D296" w14:textId="77777777" w:rsidR="00F04442" w:rsidRPr="00860E03" w:rsidRDefault="00F04442" w:rsidP="00B57962">
            <w:pPr>
              <w:pStyle w:val="ARtabletextright"/>
            </w:pPr>
            <w:r w:rsidRPr="00860E03">
              <w:t>1,488</w:t>
            </w:r>
          </w:p>
        </w:tc>
        <w:tc>
          <w:tcPr>
            <w:tcW w:w="2268" w:type="dxa"/>
          </w:tcPr>
          <w:p w14:paraId="0279B2DE" w14:textId="77777777" w:rsidR="00F04442" w:rsidRPr="00860E03" w:rsidRDefault="00F04442" w:rsidP="00B57962">
            <w:pPr>
              <w:pStyle w:val="ARtabletextright"/>
            </w:pPr>
            <w:r w:rsidRPr="00860E03">
              <w:t>2,023</w:t>
            </w:r>
          </w:p>
        </w:tc>
        <w:tc>
          <w:tcPr>
            <w:tcW w:w="2268" w:type="dxa"/>
          </w:tcPr>
          <w:p w14:paraId="11CF9132" w14:textId="77777777" w:rsidR="00F04442" w:rsidRPr="00860E03" w:rsidRDefault="00F04442" w:rsidP="00B57962">
            <w:pPr>
              <w:pStyle w:val="ARtabletextright"/>
            </w:pPr>
            <w:r w:rsidRPr="00860E03">
              <w:t>1,835</w:t>
            </w:r>
          </w:p>
        </w:tc>
      </w:tr>
      <w:tr w:rsidR="00F04442" w:rsidRPr="00860E03" w14:paraId="220480D2" w14:textId="77777777" w:rsidTr="00B57962">
        <w:trPr>
          <w:cantSplit/>
          <w:trHeight w:val="270"/>
        </w:trPr>
        <w:tc>
          <w:tcPr>
            <w:tcW w:w="2835" w:type="dxa"/>
          </w:tcPr>
          <w:p w14:paraId="584313B6" w14:textId="77777777" w:rsidR="00F04442" w:rsidRPr="00860E03" w:rsidRDefault="00F04442" w:rsidP="00B57962">
            <w:pPr>
              <w:pStyle w:val="ARtabletext"/>
            </w:pPr>
            <w:r w:rsidRPr="00860E03">
              <w:t>Unleaded petrol</w:t>
            </w:r>
          </w:p>
        </w:tc>
        <w:tc>
          <w:tcPr>
            <w:tcW w:w="2268" w:type="dxa"/>
          </w:tcPr>
          <w:p w14:paraId="205810B3" w14:textId="77777777" w:rsidR="00F04442" w:rsidRPr="00860E03" w:rsidRDefault="00F04442" w:rsidP="00B57962">
            <w:pPr>
              <w:pStyle w:val="ARtabletextright"/>
            </w:pPr>
            <w:r w:rsidRPr="00860E03">
              <w:t>5,127</w:t>
            </w:r>
          </w:p>
        </w:tc>
        <w:tc>
          <w:tcPr>
            <w:tcW w:w="2268" w:type="dxa"/>
          </w:tcPr>
          <w:p w14:paraId="6D8565DC" w14:textId="77777777" w:rsidR="00F04442" w:rsidRPr="00860E03" w:rsidRDefault="00F04442" w:rsidP="00B57962">
            <w:pPr>
              <w:pStyle w:val="ARtabletextright"/>
            </w:pPr>
            <w:r w:rsidRPr="00860E03">
              <w:t>3,545</w:t>
            </w:r>
          </w:p>
        </w:tc>
        <w:tc>
          <w:tcPr>
            <w:tcW w:w="2268" w:type="dxa"/>
          </w:tcPr>
          <w:p w14:paraId="31A1AA06" w14:textId="77777777" w:rsidR="00F04442" w:rsidRPr="00860E03" w:rsidRDefault="00F04442" w:rsidP="00B57962">
            <w:pPr>
              <w:pStyle w:val="ARtabletextright"/>
            </w:pPr>
            <w:r w:rsidRPr="00860E03">
              <w:t>3,604</w:t>
            </w:r>
          </w:p>
        </w:tc>
      </w:tr>
      <w:tr w:rsidR="00F04442" w:rsidRPr="00860E03" w14:paraId="4905D121" w14:textId="77777777" w:rsidTr="00B57962">
        <w:trPr>
          <w:cantSplit/>
          <w:trHeight w:val="270"/>
        </w:trPr>
        <w:tc>
          <w:tcPr>
            <w:tcW w:w="2835" w:type="dxa"/>
          </w:tcPr>
          <w:p w14:paraId="21CECD8F" w14:textId="77777777" w:rsidR="00F04442" w:rsidRPr="00860E03" w:rsidRDefault="00F04442" w:rsidP="00B57962">
            <w:pPr>
              <w:pStyle w:val="ARtabletext"/>
            </w:pPr>
            <w:r w:rsidRPr="00860E03">
              <w:t>Diesel</w:t>
            </w:r>
          </w:p>
        </w:tc>
        <w:tc>
          <w:tcPr>
            <w:tcW w:w="2268" w:type="dxa"/>
          </w:tcPr>
          <w:p w14:paraId="15B0B58D" w14:textId="77777777" w:rsidR="00F04442" w:rsidRPr="00860E03" w:rsidRDefault="00F04442" w:rsidP="00B57962">
            <w:pPr>
              <w:pStyle w:val="ARtabletextright"/>
            </w:pPr>
            <w:r w:rsidRPr="00860E03">
              <w:t>2,141</w:t>
            </w:r>
          </w:p>
        </w:tc>
        <w:tc>
          <w:tcPr>
            <w:tcW w:w="2268" w:type="dxa"/>
          </w:tcPr>
          <w:p w14:paraId="3731AA74" w14:textId="77777777" w:rsidR="00F04442" w:rsidRPr="00860E03" w:rsidRDefault="00F04442" w:rsidP="00B57962">
            <w:pPr>
              <w:pStyle w:val="ARtabletextright"/>
            </w:pPr>
            <w:r w:rsidRPr="00860E03">
              <w:t>2,476</w:t>
            </w:r>
          </w:p>
        </w:tc>
        <w:tc>
          <w:tcPr>
            <w:tcW w:w="2268" w:type="dxa"/>
          </w:tcPr>
          <w:p w14:paraId="076501E1" w14:textId="77777777" w:rsidR="00F04442" w:rsidRPr="00860E03" w:rsidRDefault="00F04442" w:rsidP="00B57962">
            <w:pPr>
              <w:pStyle w:val="ARtabletextright"/>
            </w:pPr>
            <w:r w:rsidRPr="00860E03">
              <w:t>2,518</w:t>
            </w:r>
          </w:p>
        </w:tc>
      </w:tr>
      <w:tr w:rsidR="00F04442" w:rsidRPr="00860E03" w14:paraId="6AA9CDC9" w14:textId="77777777" w:rsidTr="00B57962">
        <w:trPr>
          <w:cantSplit/>
          <w:trHeight w:val="270"/>
        </w:trPr>
        <w:tc>
          <w:tcPr>
            <w:tcW w:w="2835" w:type="dxa"/>
          </w:tcPr>
          <w:p w14:paraId="7F34C842" w14:textId="77777777" w:rsidR="00F04442" w:rsidRPr="00860E03" w:rsidRDefault="00F04442" w:rsidP="00B57962">
            <w:pPr>
              <w:pStyle w:val="ARtabletext"/>
            </w:pPr>
            <w:r w:rsidRPr="00860E03">
              <w:t>State government vehicle pool</w:t>
            </w:r>
          </w:p>
        </w:tc>
        <w:tc>
          <w:tcPr>
            <w:tcW w:w="2268" w:type="dxa"/>
          </w:tcPr>
          <w:p w14:paraId="26F3940C" w14:textId="77777777" w:rsidR="00F04442" w:rsidRPr="00860E03" w:rsidRDefault="00F04442" w:rsidP="00B57962">
            <w:pPr>
              <w:pStyle w:val="ARtabletextright"/>
            </w:pPr>
            <w:r w:rsidRPr="00860E03">
              <w:t>146</w:t>
            </w:r>
          </w:p>
        </w:tc>
        <w:tc>
          <w:tcPr>
            <w:tcW w:w="2268" w:type="dxa"/>
          </w:tcPr>
          <w:p w14:paraId="698364CD" w14:textId="77777777" w:rsidR="00F04442" w:rsidRPr="00860E03" w:rsidRDefault="00F04442" w:rsidP="00B57962">
            <w:pPr>
              <w:pStyle w:val="ARtabletextright"/>
            </w:pPr>
            <w:r w:rsidRPr="00860E03">
              <w:t>127</w:t>
            </w:r>
          </w:p>
        </w:tc>
        <w:tc>
          <w:tcPr>
            <w:tcW w:w="2268" w:type="dxa"/>
          </w:tcPr>
          <w:p w14:paraId="70BF0182" w14:textId="77777777" w:rsidR="00F04442" w:rsidRPr="00860E03" w:rsidRDefault="00F04442" w:rsidP="00B57962">
            <w:pPr>
              <w:pStyle w:val="ARtabletextright"/>
            </w:pPr>
            <w:r w:rsidRPr="00860E03">
              <w:t>128</w:t>
            </w:r>
          </w:p>
        </w:tc>
      </w:tr>
      <w:tr w:rsidR="00F04442" w:rsidRPr="00860E03" w14:paraId="3E38B55E" w14:textId="77777777" w:rsidTr="00B57962">
        <w:trPr>
          <w:cantSplit/>
          <w:trHeight w:val="270"/>
        </w:trPr>
        <w:tc>
          <w:tcPr>
            <w:tcW w:w="2835" w:type="dxa"/>
          </w:tcPr>
          <w:p w14:paraId="0F489813" w14:textId="77777777" w:rsidR="00F04442" w:rsidRPr="00860E03" w:rsidRDefault="00F04442" w:rsidP="00B57962">
            <w:pPr>
              <w:pStyle w:val="ARtabletext"/>
              <w:rPr>
                <w:b/>
              </w:rPr>
            </w:pPr>
            <w:r w:rsidRPr="00860E03">
              <w:rPr>
                <w:b/>
              </w:rPr>
              <w:t>Total</w:t>
            </w:r>
          </w:p>
        </w:tc>
        <w:tc>
          <w:tcPr>
            <w:tcW w:w="2268" w:type="dxa"/>
          </w:tcPr>
          <w:p w14:paraId="6EFED4A3" w14:textId="77777777" w:rsidR="00F04442" w:rsidRPr="00860E03" w:rsidRDefault="00F04442" w:rsidP="00B57962">
            <w:pPr>
              <w:pStyle w:val="ARtabletextrightbold"/>
            </w:pPr>
            <w:r w:rsidRPr="00860E03">
              <w:t>8,923</w:t>
            </w:r>
          </w:p>
        </w:tc>
        <w:tc>
          <w:tcPr>
            <w:tcW w:w="2268" w:type="dxa"/>
          </w:tcPr>
          <w:p w14:paraId="413052D9" w14:textId="77777777" w:rsidR="00F04442" w:rsidRPr="00860E03" w:rsidRDefault="00F04442" w:rsidP="00B57962">
            <w:pPr>
              <w:pStyle w:val="ARtabletextrightbold"/>
            </w:pPr>
            <w:r w:rsidRPr="00860E03">
              <w:t>8,324</w:t>
            </w:r>
          </w:p>
        </w:tc>
        <w:tc>
          <w:tcPr>
            <w:tcW w:w="2268" w:type="dxa"/>
          </w:tcPr>
          <w:p w14:paraId="75E71C61" w14:textId="77777777" w:rsidR="00F04442" w:rsidRPr="00860E03" w:rsidRDefault="00F04442" w:rsidP="00B57962">
            <w:pPr>
              <w:pStyle w:val="ARtabletextrightbold"/>
            </w:pPr>
            <w:r w:rsidRPr="00860E03">
              <w:t>8,614</w:t>
            </w:r>
          </w:p>
        </w:tc>
      </w:tr>
    </w:tbl>
    <w:p w14:paraId="2092A201" w14:textId="77777777" w:rsidR="00F04442" w:rsidRPr="00860E03" w:rsidRDefault="00F04442" w:rsidP="00F04442">
      <w:pPr>
        <w:pStyle w:val="ARbody"/>
        <w:rPr>
          <w:lang w:eastAsia="en-AU"/>
        </w:rPr>
      </w:pPr>
    </w:p>
    <w:tbl>
      <w:tblPr>
        <w:tblW w:w="9639"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835"/>
        <w:gridCol w:w="2268"/>
        <w:gridCol w:w="2268"/>
        <w:gridCol w:w="2268"/>
      </w:tblGrid>
      <w:tr w:rsidR="00F04442" w:rsidRPr="00860E03" w14:paraId="383555F1" w14:textId="77777777" w:rsidTr="00B57962">
        <w:trPr>
          <w:cantSplit/>
          <w:trHeight w:val="203"/>
          <w:tblHeader/>
        </w:trPr>
        <w:tc>
          <w:tcPr>
            <w:tcW w:w="2835" w:type="dxa"/>
            <w:vAlign w:val="bottom"/>
          </w:tcPr>
          <w:p w14:paraId="345DC573" w14:textId="77777777" w:rsidR="00F04442" w:rsidRPr="00860E03" w:rsidRDefault="00F04442" w:rsidP="00B57962">
            <w:pPr>
              <w:pStyle w:val="ARtablecolhead"/>
            </w:pPr>
            <w:r w:rsidRPr="00860E03">
              <w:t>Description</w:t>
            </w:r>
          </w:p>
        </w:tc>
        <w:tc>
          <w:tcPr>
            <w:tcW w:w="2268" w:type="dxa"/>
            <w:vAlign w:val="bottom"/>
          </w:tcPr>
          <w:p w14:paraId="0C6C9264" w14:textId="77777777" w:rsidR="00F04442" w:rsidRPr="00860E03" w:rsidRDefault="00F04442" w:rsidP="00B57962">
            <w:pPr>
              <w:pStyle w:val="ARtablecolheadright"/>
            </w:pPr>
            <w:r w:rsidRPr="00860E03">
              <w:t>2018–19 estimate</w:t>
            </w:r>
          </w:p>
        </w:tc>
        <w:tc>
          <w:tcPr>
            <w:tcW w:w="2268" w:type="dxa"/>
            <w:vAlign w:val="bottom"/>
          </w:tcPr>
          <w:p w14:paraId="3C38AFFD" w14:textId="77777777" w:rsidR="00F04442" w:rsidRPr="00860E03" w:rsidRDefault="00F04442" w:rsidP="00B57962">
            <w:pPr>
              <w:pStyle w:val="ARtablecolheadright"/>
            </w:pPr>
            <w:r w:rsidRPr="00860E03">
              <w:t>2017–18 estimate</w:t>
            </w:r>
          </w:p>
        </w:tc>
        <w:tc>
          <w:tcPr>
            <w:tcW w:w="2268" w:type="dxa"/>
            <w:vAlign w:val="bottom"/>
          </w:tcPr>
          <w:p w14:paraId="65C45673" w14:textId="77777777" w:rsidR="00F04442" w:rsidRPr="00860E03" w:rsidRDefault="00F04442" w:rsidP="00B57962">
            <w:pPr>
              <w:pStyle w:val="ARtablecolheadright"/>
            </w:pPr>
            <w:r w:rsidRPr="00860E03">
              <w:t>2016–17 estimate</w:t>
            </w:r>
          </w:p>
        </w:tc>
      </w:tr>
      <w:tr w:rsidR="00F04442" w:rsidRPr="00860E03" w14:paraId="47E88061" w14:textId="77777777" w:rsidTr="00B57962">
        <w:trPr>
          <w:cantSplit/>
          <w:trHeight w:val="517"/>
          <w:tblHeader/>
        </w:trPr>
        <w:tc>
          <w:tcPr>
            <w:tcW w:w="2835" w:type="dxa"/>
            <w:vAlign w:val="bottom"/>
          </w:tcPr>
          <w:p w14:paraId="712EC20F" w14:textId="77777777" w:rsidR="00F04442" w:rsidRPr="00860E03" w:rsidRDefault="00F04442" w:rsidP="00B57962">
            <w:pPr>
              <w:pStyle w:val="ARtablecolhead"/>
            </w:pPr>
            <w:r w:rsidRPr="00860E03">
              <w:t>Greenhouse gas emissions efficiency</w:t>
            </w:r>
          </w:p>
        </w:tc>
        <w:tc>
          <w:tcPr>
            <w:tcW w:w="2268" w:type="dxa"/>
            <w:vAlign w:val="bottom"/>
          </w:tcPr>
          <w:p w14:paraId="29D7AC8A" w14:textId="77777777" w:rsidR="00F04442" w:rsidRPr="00860E03" w:rsidRDefault="00F04442" w:rsidP="00B57962">
            <w:pPr>
              <w:pStyle w:val="ARtablecolheadright"/>
            </w:pPr>
            <w:r w:rsidRPr="00860E03">
              <w:t>Tonnes of CO</w:t>
            </w:r>
            <w:r w:rsidRPr="00860E03">
              <w:rPr>
                <w:vertAlign w:val="subscript"/>
              </w:rPr>
              <w:t>2</w:t>
            </w:r>
            <w:r w:rsidRPr="00860E03">
              <w:t>-e per 1,000 kilometres</w:t>
            </w:r>
          </w:p>
        </w:tc>
        <w:tc>
          <w:tcPr>
            <w:tcW w:w="2268" w:type="dxa"/>
            <w:vAlign w:val="bottom"/>
          </w:tcPr>
          <w:p w14:paraId="520303F9" w14:textId="77777777" w:rsidR="00F04442" w:rsidRPr="00860E03" w:rsidRDefault="00F04442" w:rsidP="00B57962">
            <w:pPr>
              <w:pStyle w:val="ARtablecolheadright"/>
            </w:pPr>
            <w:r w:rsidRPr="00860E03">
              <w:t>Tonnes of CO</w:t>
            </w:r>
            <w:r w:rsidRPr="00860E03">
              <w:rPr>
                <w:vertAlign w:val="subscript"/>
              </w:rPr>
              <w:t>2</w:t>
            </w:r>
            <w:r w:rsidRPr="00860E03">
              <w:t>-e per 1,000 kilometres</w:t>
            </w:r>
          </w:p>
        </w:tc>
        <w:tc>
          <w:tcPr>
            <w:tcW w:w="2268" w:type="dxa"/>
            <w:vAlign w:val="bottom"/>
          </w:tcPr>
          <w:p w14:paraId="58BC3921" w14:textId="77777777" w:rsidR="00F04442" w:rsidRPr="00860E03" w:rsidRDefault="00F04442" w:rsidP="00B57962">
            <w:pPr>
              <w:pStyle w:val="ARtablecolheadright"/>
            </w:pPr>
            <w:r w:rsidRPr="00860E03">
              <w:t>Tonnes of CO</w:t>
            </w:r>
            <w:r w:rsidRPr="00860E03">
              <w:rPr>
                <w:vertAlign w:val="subscript"/>
              </w:rPr>
              <w:t>2</w:t>
            </w:r>
            <w:r w:rsidRPr="00860E03">
              <w:t>-e per 1,000 kilometres</w:t>
            </w:r>
          </w:p>
        </w:tc>
      </w:tr>
      <w:tr w:rsidR="00F04442" w:rsidRPr="00860E03" w14:paraId="5FE957E8" w14:textId="77777777" w:rsidTr="00B57962">
        <w:trPr>
          <w:cantSplit/>
          <w:trHeight w:val="267"/>
        </w:trPr>
        <w:tc>
          <w:tcPr>
            <w:tcW w:w="2835" w:type="dxa"/>
          </w:tcPr>
          <w:p w14:paraId="3D91D777" w14:textId="77777777" w:rsidR="00F04442" w:rsidRPr="00860E03" w:rsidRDefault="00F04442" w:rsidP="00B57962">
            <w:pPr>
              <w:pStyle w:val="ARtabletext"/>
            </w:pPr>
            <w:r w:rsidRPr="00860E03">
              <w:t>LPG</w:t>
            </w:r>
          </w:p>
        </w:tc>
        <w:tc>
          <w:tcPr>
            <w:tcW w:w="2268" w:type="dxa"/>
          </w:tcPr>
          <w:p w14:paraId="1F03BBFC" w14:textId="77777777" w:rsidR="00F04442" w:rsidRPr="00860E03" w:rsidRDefault="00F04442" w:rsidP="00B57962">
            <w:pPr>
              <w:pStyle w:val="ARtabletextright"/>
            </w:pPr>
            <w:r w:rsidRPr="00860E03">
              <w:t>0.227</w:t>
            </w:r>
          </w:p>
        </w:tc>
        <w:tc>
          <w:tcPr>
            <w:tcW w:w="2268" w:type="dxa"/>
          </w:tcPr>
          <w:p w14:paraId="6D4F7E86" w14:textId="77777777" w:rsidR="00F04442" w:rsidRPr="00860E03" w:rsidRDefault="00F04442" w:rsidP="00B57962">
            <w:pPr>
              <w:pStyle w:val="ARtabletextright"/>
            </w:pPr>
            <w:r w:rsidRPr="00860E03">
              <w:t>0.224</w:t>
            </w:r>
          </w:p>
        </w:tc>
        <w:tc>
          <w:tcPr>
            <w:tcW w:w="2268" w:type="dxa"/>
          </w:tcPr>
          <w:p w14:paraId="1DB5BB90" w14:textId="77777777" w:rsidR="00F04442" w:rsidRPr="00860E03" w:rsidRDefault="00F04442" w:rsidP="00B57962">
            <w:pPr>
              <w:pStyle w:val="ARtabletextright"/>
            </w:pPr>
            <w:r w:rsidRPr="00860E03">
              <w:t>0.214</w:t>
            </w:r>
          </w:p>
        </w:tc>
      </w:tr>
      <w:tr w:rsidR="00F04442" w:rsidRPr="00860E03" w14:paraId="745B8AA8" w14:textId="77777777" w:rsidTr="00B57962">
        <w:trPr>
          <w:cantSplit/>
          <w:trHeight w:val="267"/>
        </w:trPr>
        <w:tc>
          <w:tcPr>
            <w:tcW w:w="2835" w:type="dxa"/>
          </w:tcPr>
          <w:p w14:paraId="15DE3BE5" w14:textId="77777777" w:rsidR="00F04442" w:rsidRPr="00860E03" w:rsidRDefault="00F04442" w:rsidP="00B57962">
            <w:pPr>
              <w:pStyle w:val="ARtabletext"/>
            </w:pPr>
            <w:r w:rsidRPr="00860E03">
              <w:t>Hybrid</w:t>
            </w:r>
          </w:p>
        </w:tc>
        <w:tc>
          <w:tcPr>
            <w:tcW w:w="2268" w:type="dxa"/>
          </w:tcPr>
          <w:p w14:paraId="09AC8727" w14:textId="77777777" w:rsidR="00F04442" w:rsidRPr="00860E03" w:rsidRDefault="00F04442" w:rsidP="00B57962">
            <w:pPr>
              <w:pStyle w:val="ARtabletextright"/>
            </w:pPr>
            <w:r w:rsidRPr="00860E03">
              <w:t>0.149</w:t>
            </w:r>
          </w:p>
        </w:tc>
        <w:tc>
          <w:tcPr>
            <w:tcW w:w="2268" w:type="dxa"/>
          </w:tcPr>
          <w:p w14:paraId="3AC9972B" w14:textId="77777777" w:rsidR="00F04442" w:rsidRPr="00860E03" w:rsidRDefault="00F04442" w:rsidP="00B57962">
            <w:pPr>
              <w:pStyle w:val="ARtabletextright"/>
            </w:pPr>
            <w:r w:rsidRPr="00860E03">
              <w:t>0.151</w:t>
            </w:r>
          </w:p>
        </w:tc>
        <w:tc>
          <w:tcPr>
            <w:tcW w:w="2268" w:type="dxa"/>
          </w:tcPr>
          <w:p w14:paraId="62B928B5" w14:textId="77777777" w:rsidR="00F04442" w:rsidRPr="00860E03" w:rsidRDefault="00F04442" w:rsidP="00B57962">
            <w:pPr>
              <w:pStyle w:val="ARtabletextright"/>
            </w:pPr>
            <w:r w:rsidRPr="00860E03">
              <w:t>0.146</w:t>
            </w:r>
          </w:p>
        </w:tc>
      </w:tr>
      <w:tr w:rsidR="00F04442" w:rsidRPr="00860E03" w14:paraId="2076E880" w14:textId="77777777" w:rsidTr="00B57962">
        <w:trPr>
          <w:cantSplit/>
          <w:trHeight w:val="267"/>
        </w:trPr>
        <w:tc>
          <w:tcPr>
            <w:tcW w:w="2835" w:type="dxa"/>
          </w:tcPr>
          <w:p w14:paraId="76E3463D" w14:textId="77777777" w:rsidR="00F04442" w:rsidRPr="00860E03" w:rsidRDefault="00F04442" w:rsidP="00B57962">
            <w:pPr>
              <w:pStyle w:val="ARtabletext"/>
            </w:pPr>
            <w:r w:rsidRPr="00860E03">
              <w:t>Unleaded petrol</w:t>
            </w:r>
          </w:p>
        </w:tc>
        <w:tc>
          <w:tcPr>
            <w:tcW w:w="2268" w:type="dxa"/>
          </w:tcPr>
          <w:p w14:paraId="080A9211" w14:textId="77777777" w:rsidR="00F04442" w:rsidRPr="00860E03" w:rsidRDefault="00F04442" w:rsidP="00B57962">
            <w:pPr>
              <w:pStyle w:val="ARtabletextright"/>
            </w:pPr>
            <w:r w:rsidRPr="00860E03">
              <w:t>0.264</w:t>
            </w:r>
          </w:p>
        </w:tc>
        <w:tc>
          <w:tcPr>
            <w:tcW w:w="2268" w:type="dxa"/>
          </w:tcPr>
          <w:p w14:paraId="18924C0D" w14:textId="77777777" w:rsidR="00F04442" w:rsidRPr="00860E03" w:rsidRDefault="00F04442" w:rsidP="00B57962">
            <w:pPr>
              <w:pStyle w:val="ARtabletextright"/>
            </w:pPr>
            <w:r w:rsidRPr="00860E03">
              <w:t>0.295</w:t>
            </w:r>
          </w:p>
        </w:tc>
        <w:tc>
          <w:tcPr>
            <w:tcW w:w="2268" w:type="dxa"/>
          </w:tcPr>
          <w:p w14:paraId="3F7C5934" w14:textId="77777777" w:rsidR="00F04442" w:rsidRPr="00860E03" w:rsidRDefault="00F04442" w:rsidP="00B57962">
            <w:pPr>
              <w:pStyle w:val="ARtabletextright"/>
            </w:pPr>
            <w:r w:rsidRPr="00860E03">
              <w:t>0.287</w:t>
            </w:r>
          </w:p>
        </w:tc>
      </w:tr>
      <w:tr w:rsidR="00F04442" w:rsidRPr="00860E03" w14:paraId="77205EA4" w14:textId="77777777" w:rsidTr="00B57962">
        <w:trPr>
          <w:cantSplit/>
          <w:trHeight w:val="267"/>
        </w:trPr>
        <w:tc>
          <w:tcPr>
            <w:tcW w:w="2835" w:type="dxa"/>
          </w:tcPr>
          <w:p w14:paraId="0CC22A5B" w14:textId="77777777" w:rsidR="00F04442" w:rsidRPr="00860E03" w:rsidRDefault="00F04442" w:rsidP="00B57962">
            <w:pPr>
              <w:pStyle w:val="ARtabletext"/>
            </w:pPr>
            <w:r w:rsidRPr="00860E03">
              <w:t>Diesel</w:t>
            </w:r>
          </w:p>
        </w:tc>
        <w:tc>
          <w:tcPr>
            <w:tcW w:w="2268" w:type="dxa"/>
          </w:tcPr>
          <w:p w14:paraId="0FDF8CD9" w14:textId="77777777" w:rsidR="00F04442" w:rsidRPr="00860E03" w:rsidRDefault="00F04442" w:rsidP="00B57962">
            <w:pPr>
              <w:pStyle w:val="ARtabletextright"/>
            </w:pPr>
            <w:r w:rsidRPr="00860E03">
              <w:t>0.277</w:t>
            </w:r>
          </w:p>
        </w:tc>
        <w:tc>
          <w:tcPr>
            <w:tcW w:w="2268" w:type="dxa"/>
          </w:tcPr>
          <w:p w14:paraId="0E2B259F" w14:textId="77777777" w:rsidR="00F04442" w:rsidRPr="00860E03" w:rsidRDefault="00F04442" w:rsidP="00B57962">
            <w:pPr>
              <w:pStyle w:val="ARtabletextright"/>
            </w:pPr>
            <w:r w:rsidRPr="00860E03">
              <w:t>0.257</w:t>
            </w:r>
          </w:p>
        </w:tc>
        <w:tc>
          <w:tcPr>
            <w:tcW w:w="2268" w:type="dxa"/>
          </w:tcPr>
          <w:p w14:paraId="284EEE80" w14:textId="77777777" w:rsidR="00F04442" w:rsidRPr="00860E03" w:rsidRDefault="00F04442" w:rsidP="00B57962">
            <w:pPr>
              <w:pStyle w:val="ARtabletextright"/>
            </w:pPr>
            <w:r w:rsidRPr="00860E03">
              <w:t>0.257</w:t>
            </w:r>
          </w:p>
        </w:tc>
      </w:tr>
      <w:tr w:rsidR="00F04442" w:rsidRPr="00860E03" w14:paraId="5BAE9253" w14:textId="77777777" w:rsidTr="00B57962">
        <w:trPr>
          <w:cantSplit/>
          <w:trHeight w:val="267"/>
        </w:trPr>
        <w:tc>
          <w:tcPr>
            <w:tcW w:w="2835" w:type="dxa"/>
          </w:tcPr>
          <w:p w14:paraId="2FDBB7FC" w14:textId="77777777" w:rsidR="00F04442" w:rsidRPr="00860E03" w:rsidRDefault="00F04442" w:rsidP="00B57962">
            <w:pPr>
              <w:pStyle w:val="ARtabletext"/>
            </w:pPr>
            <w:r w:rsidRPr="00860E03">
              <w:t>State government vehicle pool</w:t>
            </w:r>
          </w:p>
        </w:tc>
        <w:tc>
          <w:tcPr>
            <w:tcW w:w="2268" w:type="dxa"/>
          </w:tcPr>
          <w:p w14:paraId="1B2E0282" w14:textId="77777777" w:rsidR="00F04442" w:rsidRPr="00860E03" w:rsidRDefault="00F04442" w:rsidP="00B57962">
            <w:pPr>
              <w:pStyle w:val="ARtabletextright"/>
            </w:pPr>
            <w:r w:rsidRPr="00860E03">
              <w:t>0.175</w:t>
            </w:r>
          </w:p>
        </w:tc>
        <w:tc>
          <w:tcPr>
            <w:tcW w:w="2268" w:type="dxa"/>
          </w:tcPr>
          <w:p w14:paraId="4F230566" w14:textId="77777777" w:rsidR="00F04442" w:rsidRPr="00860E03" w:rsidRDefault="00F04442" w:rsidP="00B57962">
            <w:pPr>
              <w:pStyle w:val="ARtabletextright"/>
            </w:pPr>
            <w:r w:rsidRPr="00860E03">
              <w:t>0.187</w:t>
            </w:r>
          </w:p>
        </w:tc>
        <w:tc>
          <w:tcPr>
            <w:tcW w:w="2268" w:type="dxa"/>
          </w:tcPr>
          <w:p w14:paraId="0D930189" w14:textId="77777777" w:rsidR="00F04442" w:rsidRPr="00860E03" w:rsidRDefault="00F04442" w:rsidP="00B57962">
            <w:pPr>
              <w:pStyle w:val="ARtabletextright"/>
            </w:pPr>
            <w:r w:rsidRPr="00860E03">
              <w:t>0.185</w:t>
            </w:r>
          </w:p>
        </w:tc>
      </w:tr>
      <w:tr w:rsidR="00F04442" w:rsidRPr="00860E03" w14:paraId="18109CCD" w14:textId="77777777" w:rsidTr="00B57962">
        <w:trPr>
          <w:cantSplit/>
          <w:trHeight w:val="267"/>
        </w:trPr>
        <w:tc>
          <w:tcPr>
            <w:tcW w:w="2835" w:type="dxa"/>
          </w:tcPr>
          <w:p w14:paraId="533064C6" w14:textId="77777777" w:rsidR="00F04442" w:rsidRPr="00860E03" w:rsidRDefault="00F04442" w:rsidP="00B57962">
            <w:pPr>
              <w:pStyle w:val="ARtabletext"/>
              <w:rPr>
                <w:b/>
              </w:rPr>
            </w:pPr>
            <w:r w:rsidRPr="00860E03">
              <w:rPr>
                <w:b/>
              </w:rPr>
              <w:t>Total</w:t>
            </w:r>
          </w:p>
        </w:tc>
        <w:tc>
          <w:tcPr>
            <w:tcW w:w="2268" w:type="dxa"/>
          </w:tcPr>
          <w:p w14:paraId="0296EBFB" w14:textId="77777777" w:rsidR="00F04442" w:rsidRPr="00860E03" w:rsidRDefault="00F04442" w:rsidP="00B57962">
            <w:pPr>
              <w:pStyle w:val="ARtabletextrightbold"/>
            </w:pPr>
            <w:r w:rsidRPr="00860E03">
              <w:t>0.234</w:t>
            </w:r>
          </w:p>
        </w:tc>
        <w:tc>
          <w:tcPr>
            <w:tcW w:w="2268" w:type="dxa"/>
          </w:tcPr>
          <w:p w14:paraId="72E7ACCF" w14:textId="77777777" w:rsidR="00F04442" w:rsidRPr="00860E03" w:rsidRDefault="00F04442" w:rsidP="00B57962">
            <w:pPr>
              <w:pStyle w:val="ARtabletextrightbold"/>
            </w:pPr>
            <w:r w:rsidRPr="00860E03">
              <w:t>0.229</w:t>
            </w:r>
          </w:p>
        </w:tc>
        <w:tc>
          <w:tcPr>
            <w:tcW w:w="2268" w:type="dxa"/>
          </w:tcPr>
          <w:p w14:paraId="3CDD7CFC" w14:textId="77777777" w:rsidR="00F04442" w:rsidRPr="00860E03" w:rsidRDefault="00F04442" w:rsidP="00B57962">
            <w:pPr>
              <w:pStyle w:val="ARtabletextrightbold"/>
            </w:pPr>
            <w:r w:rsidRPr="00860E03">
              <w:t>0.226</w:t>
            </w:r>
          </w:p>
        </w:tc>
      </w:tr>
    </w:tbl>
    <w:p w14:paraId="505C225D" w14:textId="77777777" w:rsidR="00F73A80" w:rsidRPr="00860E03" w:rsidRDefault="00F73A80" w:rsidP="00F73A80">
      <w:pPr>
        <w:pStyle w:val="ARtablefootnote"/>
      </w:pPr>
      <w:r w:rsidRPr="00860E03">
        <w:t>This data represents all operational and executive fleet vehicles. Energy use, distance travelled, and greenhouse gas emissions transport data is based on a 1 April to 31 March fringe benefit year.</w:t>
      </w:r>
    </w:p>
    <w:bookmarkEnd w:id="206"/>
    <w:p w14:paraId="799F24F8" w14:textId="77777777" w:rsidR="00F04442" w:rsidRPr="007939DD" w:rsidRDefault="00F04442" w:rsidP="00F04442">
      <w:pPr>
        <w:pStyle w:val="Heading3"/>
      </w:pPr>
      <w:r w:rsidRPr="007939DD">
        <w:t>Public health services</w:t>
      </w:r>
    </w:p>
    <w:tbl>
      <w:tblPr>
        <w:tblW w:w="9636"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154"/>
        <w:gridCol w:w="1247"/>
        <w:gridCol w:w="1247"/>
        <w:gridCol w:w="1247"/>
        <w:gridCol w:w="1247"/>
        <w:gridCol w:w="1247"/>
        <w:gridCol w:w="1247"/>
      </w:tblGrid>
      <w:tr w:rsidR="00F04442" w:rsidRPr="007939DD" w14:paraId="2A57546A" w14:textId="77777777" w:rsidTr="00B57962">
        <w:trPr>
          <w:cantSplit/>
          <w:trHeight w:val="302"/>
          <w:tblHeader/>
        </w:trPr>
        <w:tc>
          <w:tcPr>
            <w:tcW w:w="2154" w:type="dxa"/>
            <w:vAlign w:val="bottom"/>
          </w:tcPr>
          <w:p w14:paraId="695A4077" w14:textId="77777777" w:rsidR="00F04442" w:rsidRPr="007939DD" w:rsidRDefault="00F04442" w:rsidP="00B57962">
            <w:pPr>
              <w:pStyle w:val="ARtablecolhead"/>
            </w:pPr>
            <w:r w:rsidRPr="007939DD">
              <w:t>Hospital emergency transport</w:t>
            </w:r>
          </w:p>
        </w:tc>
        <w:tc>
          <w:tcPr>
            <w:tcW w:w="1247" w:type="dxa"/>
            <w:vAlign w:val="center"/>
          </w:tcPr>
          <w:p w14:paraId="46681788" w14:textId="77777777" w:rsidR="00F04442" w:rsidRPr="007939DD" w:rsidRDefault="00F04442" w:rsidP="00B57962">
            <w:pPr>
              <w:pStyle w:val="ARtablecolheadright"/>
            </w:pPr>
            <w:r w:rsidRPr="007939DD">
              <w:t>201</w:t>
            </w:r>
            <w:r>
              <w:t>8</w:t>
            </w:r>
            <w:r w:rsidRPr="007939DD">
              <w:t>–1</w:t>
            </w:r>
            <w:r>
              <w:t>9</w:t>
            </w:r>
            <w:r w:rsidRPr="007939DD">
              <w:t xml:space="preserve"> </w:t>
            </w:r>
            <w:r w:rsidRPr="007939DD">
              <w:br/>
              <w:t>estimate</w:t>
            </w:r>
          </w:p>
        </w:tc>
        <w:tc>
          <w:tcPr>
            <w:tcW w:w="1247" w:type="dxa"/>
            <w:vAlign w:val="center"/>
          </w:tcPr>
          <w:p w14:paraId="225B9161" w14:textId="77777777" w:rsidR="00F04442" w:rsidRPr="007939DD" w:rsidRDefault="00F04442" w:rsidP="00B57962">
            <w:pPr>
              <w:pStyle w:val="ARtablecolheadright"/>
            </w:pPr>
            <w:r w:rsidRPr="007939DD">
              <w:t>201</w:t>
            </w:r>
            <w:r>
              <w:t>8</w:t>
            </w:r>
            <w:r w:rsidRPr="007939DD">
              <w:t>–1</w:t>
            </w:r>
            <w:r>
              <w:t>9</w:t>
            </w:r>
            <w:r w:rsidRPr="007939DD">
              <w:t xml:space="preserve"> </w:t>
            </w:r>
            <w:r w:rsidRPr="007939DD">
              <w:br/>
              <w:t>estimate</w:t>
            </w:r>
          </w:p>
        </w:tc>
        <w:tc>
          <w:tcPr>
            <w:tcW w:w="1247" w:type="dxa"/>
            <w:vAlign w:val="center"/>
          </w:tcPr>
          <w:p w14:paraId="2DE4E8F7" w14:textId="77777777" w:rsidR="00F04442" w:rsidRPr="007939DD" w:rsidRDefault="00F04442" w:rsidP="00B57962">
            <w:pPr>
              <w:pStyle w:val="ARtablecolheadright"/>
            </w:pPr>
            <w:r w:rsidRPr="007939DD">
              <w:t xml:space="preserve">2017–18 </w:t>
            </w:r>
            <w:r w:rsidRPr="007939DD">
              <w:br/>
              <w:t>estimate</w:t>
            </w:r>
          </w:p>
        </w:tc>
        <w:tc>
          <w:tcPr>
            <w:tcW w:w="1247" w:type="dxa"/>
            <w:vAlign w:val="center"/>
          </w:tcPr>
          <w:p w14:paraId="41CA2472" w14:textId="77777777" w:rsidR="00F04442" w:rsidRPr="007939DD" w:rsidRDefault="00F04442" w:rsidP="00B57962">
            <w:pPr>
              <w:pStyle w:val="ARtablecolheadright"/>
            </w:pPr>
            <w:r w:rsidRPr="007939DD">
              <w:t xml:space="preserve">2017–18 </w:t>
            </w:r>
            <w:r w:rsidRPr="007939DD">
              <w:br/>
              <w:t>estimate</w:t>
            </w:r>
          </w:p>
        </w:tc>
        <w:tc>
          <w:tcPr>
            <w:tcW w:w="1247" w:type="dxa"/>
            <w:vAlign w:val="center"/>
          </w:tcPr>
          <w:p w14:paraId="02E505A8" w14:textId="77777777" w:rsidR="00F04442" w:rsidRPr="007939DD" w:rsidRDefault="00F04442" w:rsidP="00B57962">
            <w:pPr>
              <w:pStyle w:val="ARtablecolheadright"/>
            </w:pPr>
            <w:r w:rsidRPr="007939DD">
              <w:t xml:space="preserve">2016–17 </w:t>
            </w:r>
            <w:r w:rsidRPr="007939DD">
              <w:br/>
              <w:t>estimate</w:t>
            </w:r>
          </w:p>
        </w:tc>
        <w:tc>
          <w:tcPr>
            <w:tcW w:w="1247" w:type="dxa"/>
            <w:vAlign w:val="center"/>
          </w:tcPr>
          <w:p w14:paraId="2716A226" w14:textId="77777777" w:rsidR="00F04442" w:rsidRPr="007939DD" w:rsidRDefault="00F04442" w:rsidP="00B57962">
            <w:pPr>
              <w:pStyle w:val="ARtablecolheadright"/>
            </w:pPr>
            <w:r w:rsidRPr="007939DD">
              <w:t xml:space="preserve">2016–17 </w:t>
            </w:r>
            <w:r w:rsidRPr="007939DD">
              <w:br/>
              <w:t>estimate</w:t>
            </w:r>
          </w:p>
        </w:tc>
      </w:tr>
      <w:tr w:rsidR="00F04442" w:rsidRPr="00860E03" w14:paraId="4F4458E6" w14:textId="77777777" w:rsidTr="00B57962">
        <w:trPr>
          <w:cantSplit/>
          <w:trHeight w:val="506"/>
        </w:trPr>
        <w:tc>
          <w:tcPr>
            <w:tcW w:w="2154" w:type="dxa"/>
            <w:vAlign w:val="bottom"/>
          </w:tcPr>
          <w:p w14:paraId="734E315C" w14:textId="77777777" w:rsidR="00F04442" w:rsidRPr="00860E03" w:rsidRDefault="00F04442" w:rsidP="00B57962">
            <w:pPr>
              <w:pStyle w:val="ARtablecolhead"/>
              <w:rPr>
                <w:lang w:eastAsia="en-AU"/>
              </w:rPr>
            </w:pPr>
            <w:r w:rsidRPr="00860E03">
              <w:rPr>
                <w:lang w:eastAsia="en-AU"/>
              </w:rPr>
              <w:t>Total fuel usage segmented by primary source</w:t>
            </w:r>
          </w:p>
        </w:tc>
        <w:tc>
          <w:tcPr>
            <w:tcW w:w="1247" w:type="dxa"/>
            <w:vAlign w:val="bottom"/>
          </w:tcPr>
          <w:p w14:paraId="19C881DF" w14:textId="77777777" w:rsidR="00F04442" w:rsidRPr="00860E03" w:rsidRDefault="00F04442" w:rsidP="00B57962">
            <w:pPr>
              <w:pStyle w:val="ARtablecolheadright"/>
              <w:rPr>
                <w:lang w:eastAsia="en-AU"/>
              </w:rPr>
            </w:pPr>
            <w:r w:rsidRPr="00860E03">
              <w:rPr>
                <w:lang w:eastAsia="en-AU"/>
              </w:rPr>
              <w:t>Fuel volume (kilolitres)</w:t>
            </w:r>
          </w:p>
        </w:tc>
        <w:tc>
          <w:tcPr>
            <w:tcW w:w="1247" w:type="dxa"/>
            <w:vAlign w:val="bottom"/>
          </w:tcPr>
          <w:p w14:paraId="3C2B0DC5" w14:textId="77777777" w:rsidR="00F04442" w:rsidRPr="00860E03" w:rsidRDefault="00F04442" w:rsidP="00B57962">
            <w:pPr>
              <w:pStyle w:val="ARtablecolheadright"/>
              <w:rPr>
                <w:lang w:eastAsia="en-AU"/>
              </w:rPr>
            </w:pPr>
            <w:r w:rsidRPr="00860E03">
              <w:rPr>
                <w:lang w:eastAsia="en-AU"/>
              </w:rPr>
              <w:t>Emissions (</w:t>
            </w:r>
            <w:r>
              <w:rPr>
                <w:lang w:eastAsia="en-AU"/>
              </w:rPr>
              <w:t>t</w:t>
            </w:r>
            <w:r w:rsidRPr="00860E03">
              <w:rPr>
                <w:lang w:eastAsia="en-AU"/>
              </w:rPr>
              <w:t xml:space="preserve">onnes </w:t>
            </w:r>
            <w:r>
              <w:rPr>
                <w:lang w:eastAsia="en-AU"/>
              </w:rPr>
              <w:br/>
            </w:r>
            <w:r w:rsidRPr="00860E03">
              <w:rPr>
                <w:lang w:eastAsia="en-AU"/>
              </w:rPr>
              <w:t>CO</w:t>
            </w:r>
            <w:r w:rsidRPr="009A0070">
              <w:rPr>
                <w:rFonts w:ascii="Arial Bold" w:hAnsi="Arial Bold"/>
                <w:vertAlign w:val="subscript"/>
                <w:lang w:eastAsia="en-AU"/>
              </w:rPr>
              <w:t>2</w:t>
            </w:r>
            <w:r w:rsidRPr="00860E03">
              <w:rPr>
                <w:lang w:eastAsia="en-AU"/>
              </w:rPr>
              <w:t>-e)</w:t>
            </w:r>
          </w:p>
        </w:tc>
        <w:tc>
          <w:tcPr>
            <w:tcW w:w="1247" w:type="dxa"/>
            <w:vAlign w:val="bottom"/>
          </w:tcPr>
          <w:p w14:paraId="5ABC1C86" w14:textId="77777777" w:rsidR="00F04442" w:rsidRPr="00860E03" w:rsidRDefault="00F04442" w:rsidP="00B57962">
            <w:pPr>
              <w:pStyle w:val="ARtablecolheadright"/>
              <w:rPr>
                <w:lang w:eastAsia="en-AU"/>
              </w:rPr>
            </w:pPr>
            <w:r w:rsidRPr="00860E03">
              <w:rPr>
                <w:lang w:eastAsia="en-AU"/>
              </w:rPr>
              <w:t>Fuel volume</w:t>
            </w:r>
            <w:r w:rsidRPr="00860E03">
              <w:rPr>
                <w:lang w:eastAsia="en-AU"/>
              </w:rPr>
              <w:br/>
              <w:t>(kilolitres)</w:t>
            </w:r>
          </w:p>
        </w:tc>
        <w:tc>
          <w:tcPr>
            <w:tcW w:w="1247" w:type="dxa"/>
            <w:vAlign w:val="bottom"/>
          </w:tcPr>
          <w:p w14:paraId="7D9F3856" w14:textId="69523669" w:rsidR="00F04442" w:rsidRPr="00860E03" w:rsidRDefault="00F04442" w:rsidP="00B57962">
            <w:pPr>
              <w:pStyle w:val="ARtablecolheadright"/>
              <w:rPr>
                <w:lang w:eastAsia="en-AU"/>
              </w:rPr>
            </w:pPr>
            <w:r w:rsidRPr="00860E03">
              <w:rPr>
                <w:lang w:eastAsia="en-AU"/>
              </w:rPr>
              <w:t>Emissions (</w:t>
            </w:r>
            <w:r>
              <w:rPr>
                <w:lang w:eastAsia="en-AU"/>
              </w:rPr>
              <w:t>t</w:t>
            </w:r>
            <w:r w:rsidRPr="00860E03">
              <w:rPr>
                <w:lang w:eastAsia="en-AU"/>
              </w:rPr>
              <w:t xml:space="preserve">onnes </w:t>
            </w:r>
            <w:r>
              <w:rPr>
                <w:lang w:eastAsia="en-AU"/>
              </w:rPr>
              <w:br/>
            </w:r>
            <w:r w:rsidRPr="00860E03">
              <w:rPr>
                <w:lang w:eastAsia="en-AU"/>
              </w:rPr>
              <w:t>CO</w:t>
            </w:r>
            <w:r w:rsidR="009A0070" w:rsidRPr="009A0070">
              <w:rPr>
                <w:rFonts w:ascii="Arial Bold" w:hAnsi="Arial Bold"/>
                <w:vertAlign w:val="subscript"/>
                <w:lang w:eastAsia="en-AU"/>
              </w:rPr>
              <w:t>2</w:t>
            </w:r>
            <w:r w:rsidRPr="00860E03">
              <w:rPr>
                <w:lang w:eastAsia="en-AU"/>
              </w:rPr>
              <w:t>-e)</w:t>
            </w:r>
          </w:p>
        </w:tc>
        <w:tc>
          <w:tcPr>
            <w:tcW w:w="1247" w:type="dxa"/>
            <w:vAlign w:val="bottom"/>
          </w:tcPr>
          <w:p w14:paraId="60413E84" w14:textId="77777777" w:rsidR="00F04442" w:rsidRPr="00860E03" w:rsidRDefault="00F04442" w:rsidP="00B57962">
            <w:pPr>
              <w:pStyle w:val="ARtablecolheadright"/>
              <w:rPr>
                <w:lang w:eastAsia="en-AU"/>
              </w:rPr>
            </w:pPr>
            <w:r w:rsidRPr="00860E03">
              <w:rPr>
                <w:lang w:eastAsia="en-AU"/>
              </w:rPr>
              <w:t>Fuel volume</w:t>
            </w:r>
            <w:r w:rsidRPr="00860E03">
              <w:rPr>
                <w:lang w:eastAsia="en-AU"/>
              </w:rPr>
              <w:br/>
              <w:t>(kilolitres)</w:t>
            </w:r>
          </w:p>
        </w:tc>
        <w:tc>
          <w:tcPr>
            <w:tcW w:w="1247" w:type="dxa"/>
            <w:vAlign w:val="bottom"/>
          </w:tcPr>
          <w:p w14:paraId="420830C9" w14:textId="60E6532A" w:rsidR="00F04442" w:rsidRPr="00860E03" w:rsidRDefault="00F04442" w:rsidP="00B57962">
            <w:pPr>
              <w:pStyle w:val="ARtablecolheadright"/>
              <w:rPr>
                <w:lang w:eastAsia="en-AU"/>
              </w:rPr>
            </w:pPr>
            <w:r w:rsidRPr="00860E03">
              <w:rPr>
                <w:lang w:eastAsia="en-AU"/>
              </w:rPr>
              <w:t>Emissions (</w:t>
            </w:r>
            <w:r>
              <w:rPr>
                <w:lang w:eastAsia="en-AU"/>
              </w:rPr>
              <w:t>t</w:t>
            </w:r>
            <w:r w:rsidRPr="00860E03">
              <w:rPr>
                <w:lang w:eastAsia="en-AU"/>
              </w:rPr>
              <w:t xml:space="preserve">onnes </w:t>
            </w:r>
            <w:r>
              <w:rPr>
                <w:lang w:eastAsia="en-AU"/>
              </w:rPr>
              <w:br/>
            </w:r>
            <w:r w:rsidRPr="00860E03">
              <w:rPr>
                <w:lang w:eastAsia="en-AU"/>
              </w:rPr>
              <w:t>CO</w:t>
            </w:r>
            <w:r w:rsidR="009A0070" w:rsidRPr="009A0070">
              <w:rPr>
                <w:rFonts w:ascii="Arial Bold" w:hAnsi="Arial Bold"/>
                <w:vertAlign w:val="subscript"/>
                <w:lang w:eastAsia="en-AU"/>
              </w:rPr>
              <w:t>2</w:t>
            </w:r>
            <w:r w:rsidRPr="00860E03">
              <w:rPr>
                <w:lang w:eastAsia="en-AU"/>
              </w:rPr>
              <w:t>-e)</w:t>
            </w:r>
          </w:p>
        </w:tc>
      </w:tr>
      <w:tr w:rsidR="00F04442" w:rsidRPr="00860E03" w14:paraId="572D9C24" w14:textId="77777777" w:rsidTr="00B57962">
        <w:trPr>
          <w:cantSplit/>
          <w:trHeight w:val="302"/>
        </w:trPr>
        <w:tc>
          <w:tcPr>
            <w:tcW w:w="2154" w:type="dxa"/>
          </w:tcPr>
          <w:p w14:paraId="0C134D25" w14:textId="77777777" w:rsidR="00F04442" w:rsidRPr="00860E03" w:rsidRDefault="00F04442" w:rsidP="00B57962">
            <w:pPr>
              <w:pStyle w:val="ARtabletext"/>
            </w:pPr>
            <w:r w:rsidRPr="00860E03">
              <w:t>Gasoline – road vehicles</w:t>
            </w:r>
          </w:p>
        </w:tc>
        <w:tc>
          <w:tcPr>
            <w:tcW w:w="1247" w:type="dxa"/>
            <w:vAlign w:val="center"/>
          </w:tcPr>
          <w:p w14:paraId="5B8332E5" w14:textId="77777777" w:rsidR="00F04442" w:rsidRPr="00860E03" w:rsidRDefault="00F04442" w:rsidP="00B57962">
            <w:pPr>
              <w:pStyle w:val="ARtabletextright"/>
            </w:pPr>
            <w:r w:rsidRPr="00860E03">
              <w:t>725</w:t>
            </w:r>
          </w:p>
        </w:tc>
        <w:tc>
          <w:tcPr>
            <w:tcW w:w="1247" w:type="dxa"/>
            <w:vAlign w:val="center"/>
          </w:tcPr>
          <w:p w14:paraId="53446CB5" w14:textId="77777777" w:rsidR="00F04442" w:rsidRPr="00860E03" w:rsidRDefault="00F04442" w:rsidP="00B57962">
            <w:pPr>
              <w:pStyle w:val="ARtabletextright"/>
            </w:pPr>
            <w:r w:rsidRPr="00860E03">
              <w:t>1,676</w:t>
            </w:r>
          </w:p>
        </w:tc>
        <w:tc>
          <w:tcPr>
            <w:tcW w:w="1247" w:type="dxa"/>
            <w:vAlign w:val="center"/>
          </w:tcPr>
          <w:p w14:paraId="030B3CB7" w14:textId="77777777" w:rsidR="00F04442" w:rsidRPr="00860E03" w:rsidRDefault="00F04442" w:rsidP="00B57962">
            <w:pPr>
              <w:pStyle w:val="ARtabletextright"/>
            </w:pPr>
            <w:r w:rsidRPr="00860E03">
              <w:t>496</w:t>
            </w:r>
          </w:p>
        </w:tc>
        <w:tc>
          <w:tcPr>
            <w:tcW w:w="1247" w:type="dxa"/>
            <w:vAlign w:val="center"/>
          </w:tcPr>
          <w:p w14:paraId="6124ED9A" w14:textId="77777777" w:rsidR="00F04442" w:rsidRPr="00860E03" w:rsidRDefault="00F04442" w:rsidP="00B57962">
            <w:pPr>
              <w:pStyle w:val="ARtabletextright"/>
            </w:pPr>
            <w:r w:rsidRPr="00860E03">
              <w:t>1,147</w:t>
            </w:r>
          </w:p>
        </w:tc>
        <w:tc>
          <w:tcPr>
            <w:tcW w:w="1247" w:type="dxa"/>
            <w:vAlign w:val="center"/>
          </w:tcPr>
          <w:p w14:paraId="60BC24D5" w14:textId="77777777" w:rsidR="00F04442" w:rsidRPr="00860E03" w:rsidRDefault="00F04442" w:rsidP="00B57962">
            <w:pPr>
              <w:pStyle w:val="ARtabletextright"/>
            </w:pPr>
            <w:r w:rsidRPr="00860E03">
              <w:t>471</w:t>
            </w:r>
          </w:p>
        </w:tc>
        <w:tc>
          <w:tcPr>
            <w:tcW w:w="1247" w:type="dxa"/>
            <w:vAlign w:val="center"/>
          </w:tcPr>
          <w:p w14:paraId="2CDDE1D6" w14:textId="77777777" w:rsidR="00F04442" w:rsidRPr="00860E03" w:rsidRDefault="00F04442" w:rsidP="00B57962">
            <w:pPr>
              <w:pStyle w:val="ARtabletextright"/>
            </w:pPr>
            <w:r w:rsidRPr="00860E03">
              <w:t>1,089</w:t>
            </w:r>
          </w:p>
        </w:tc>
      </w:tr>
      <w:tr w:rsidR="00F04442" w:rsidRPr="00860E03" w14:paraId="41C7FDDF" w14:textId="77777777" w:rsidTr="00B57962">
        <w:trPr>
          <w:cantSplit/>
          <w:trHeight w:val="302"/>
        </w:trPr>
        <w:tc>
          <w:tcPr>
            <w:tcW w:w="2154" w:type="dxa"/>
          </w:tcPr>
          <w:p w14:paraId="0BCC0346" w14:textId="77777777" w:rsidR="00F04442" w:rsidRPr="00860E03" w:rsidRDefault="00F04442" w:rsidP="00B57962">
            <w:pPr>
              <w:pStyle w:val="ARtabletext"/>
            </w:pPr>
            <w:r w:rsidRPr="00860E03">
              <w:t>Diesel – road vehicles</w:t>
            </w:r>
          </w:p>
        </w:tc>
        <w:tc>
          <w:tcPr>
            <w:tcW w:w="1247" w:type="dxa"/>
            <w:vAlign w:val="center"/>
          </w:tcPr>
          <w:p w14:paraId="2CA64103" w14:textId="77777777" w:rsidR="00F04442" w:rsidRPr="00860E03" w:rsidRDefault="00F04442" w:rsidP="00B57962">
            <w:pPr>
              <w:pStyle w:val="ARtabletextright"/>
            </w:pPr>
            <w:r w:rsidRPr="00860E03">
              <w:t>4,538</w:t>
            </w:r>
          </w:p>
        </w:tc>
        <w:tc>
          <w:tcPr>
            <w:tcW w:w="1247" w:type="dxa"/>
            <w:vAlign w:val="center"/>
          </w:tcPr>
          <w:p w14:paraId="0118ECDB" w14:textId="77777777" w:rsidR="00F04442" w:rsidRPr="00860E03" w:rsidRDefault="00F04442" w:rsidP="00B57962">
            <w:pPr>
              <w:pStyle w:val="ARtabletextright"/>
            </w:pPr>
            <w:r w:rsidRPr="00860E03">
              <w:t>12,352</w:t>
            </w:r>
          </w:p>
        </w:tc>
        <w:tc>
          <w:tcPr>
            <w:tcW w:w="1247" w:type="dxa"/>
            <w:vAlign w:val="center"/>
          </w:tcPr>
          <w:p w14:paraId="34433C17" w14:textId="77777777" w:rsidR="00F04442" w:rsidRPr="00860E03" w:rsidRDefault="00F04442" w:rsidP="00B57962">
            <w:pPr>
              <w:pStyle w:val="ARtabletextright"/>
            </w:pPr>
            <w:r w:rsidRPr="00860E03">
              <w:t>4,015</w:t>
            </w:r>
          </w:p>
        </w:tc>
        <w:tc>
          <w:tcPr>
            <w:tcW w:w="1247" w:type="dxa"/>
            <w:vAlign w:val="center"/>
          </w:tcPr>
          <w:p w14:paraId="1265107B" w14:textId="77777777" w:rsidR="00F04442" w:rsidRPr="00860E03" w:rsidRDefault="00F04442" w:rsidP="00B57962">
            <w:pPr>
              <w:pStyle w:val="ARtabletextright"/>
            </w:pPr>
            <w:r w:rsidRPr="00860E03">
              <w:t>10,927</w:t>
            </w:r>
          </w:p>
        </w:tc>
        <w:tc>
          <w:tcPr>
            <w:tcW w:w="1247" w:type="dxa"/>
            <w:vAlign w:val="center"/>
          </w:tcPr>
          <w:p w14:paraId="4A3600A8" w14:textId="77777777" w:rsidR="00F04442" w:rsidRPr="00860E03" w:rsidRDefault="00F04442" w:rsidP="00B57962">
            <w:pPr>
              <w:pStyle w:val="ARtabletextright"/>
            </w:pPr>
            <w:r w:rsidRPr="00860E03">
              <w:t>3,763</w:t>
            </w:r>
          </w:p>
        </w:tc>
        <w:tc>
          <w:tcPr>
            <w:tcW w:w="1247" w:type="dxa"/>
            <w:vAlign w:val="center"/>
          </w:tcPr>
          <w:p w14:paraId="14C4178B" w14:textId="77777777" w:rsidR="00F04442" w:rsidRPr="00860E03" w:rsidRDefault="00F04442" w:rsidP="00B57962">
            <w:pPr>
              <w:pStyle w:val="ARtabletextright"/>
            </w:pPr>
            <w:r w:rsidRPr="00860E03">
              <w:t>10,241</w:t>
            </w:r>
          </w:p>
        </w:tc>
      </w:tr>
      <w:tr w:rsidR="00F04442" w:rsidRPr="00860E03" w14:paraId="2E19DC85" w14:textId="77777777" w:rsidTr="00B57962">
        <w:trPr>
          <w:cantSplit/>
          <w:trHeight w:val="302"/>
        </w:trPr>
        <w:tc>
          <w:tcPr>
            <w:tcW w:w="2154" w:type="dxa"/>
          </w:tcPr>
          <w:p w14:paraId="30632DB4" w14:textId="77777777" w:rsidR="00F04442" w:rsidRPr="00860E03" w:rsidRDefault="00F04442" w:rsidP="00B57962">
            <w:pPr>
              <w:pStyle w:val="ARtabletext"/>
            </w:pPr>
            <w:r w:rsidRPr="00860E03">
              <w:t>LPG – road vehicles</w:t>
            </w:r>
          </w:p>
        </w:tc>
        <w:tc>
          <w:tcPr>
            <w:tcW w:w="1247" w:type="dxa"/>
            <w:vAlign w:val="center"/>
          </w:tcPr>
          <w:p w14:paraId="67DD1620" w14:textId="77777777" w:rsidR="00F04442" w:rsidRPr="00860E03" w:rsidRDefault="00F04442" w:rsidP="00B57962">
            <w:pPr>
              <w:pStyle w:val="ARtabletextright"/>
            </w:pPr>
            <w:r w:rsidRPr="00860E03">
              <w:t>0</w:t>
            </w:r>
          </w:p>
        </w:tc>
        <w:tc>
          <w:tcPr>
            <w:tcW w:w="1247" w:type="dxa"/>
            <w:vAlign w:val="center"/>
          </w:tcPr>
          <w:p w14:paraId="27A6AB42" w14:textId="77777777" w:rsidR="00F04442" w:rsidRPr="00860E03" w:rsidRDefault="00F04442" w:rsidP="00B57962">
            <w:pPr>
              <w:pStyle w:val="ARtabletextright"/>
            </w:pPr>
            <w:r w:rsidRPr="00860E03">
              <w:t>0</w:t>
            </w:r>
          </w:p>
        </w:tc>
        <w:tc>
          <w:tcPr>
            <w:tcW w:w="1247" w:type="dxa"/>
            <w:vAlign w:val="center"/>
          </w:tcPr>
          <w:p w14:paraId="4004D074" w14:textId="77777777" w:rsidR="00F04442" w:rsidRPr="00860E03" w:rsidRDefault="00F04442" w:rsidP="00B57962">
            <w:pPr>
              <w:pStyle w:val="ARtabletextright"/>
            </w:pPr>
            <w:r w:rsidRPr="00860E03">
              <w:t>1</w:t>
            </w:r>
          </w:p>
        </w:tc>
        <w:tc>
          <w:tcPr>
            <w:tcW w:w="1247" w:type="dxa"/>
            <w:vAlign w:val="center"/>
          </w:tcPr>
          <w:p w14:paraId="13BDC4F0" w14:textId="77777777" w:rsidR="00F04442" w:rsidRPr="00860E03" w:rsidRDefault="00F04442" w:rsidP="00B57962">
            <w:pPr>
              <w:pStyle w:val="ARtabletextright"/>
            </w:pPr>
            <w:r w:rsidRPr="00860E03">
              <w:t>2</w:t>
            </w:r>
          </w:p>
        </w:tc>
        <w:tc>
          <w:tcPr>
            <w:tcW w:w="1247" w:type="dxa"/>
            <w:vAlign w:val="center"/>
          </w:tcPr>
          <w:p w14:paraId="7238FA02" w14:textId="77777777" w:rsidR="00F04442" w:rsidRPr="00860E03" w:rsidRDefault="00F04442" w:rsidP="00B57962">
            <w:pPr>
              <w:pStyle w:val="ARtabletextright"/>
            </w:pPr>
            <w:r w:rsidRPr="00860E03">
              <w:t>5</w:t>
            </w:r>
          </w:p>
        </w:tc>
        <w:tc>
          <w:tcPr>
            <w:tcW w:w="1247" w:type="dxa"/>
            <w:vAlign w:val="center"/>
          </w:tcPr>
          <w:p w14:paraId="0EDC223B" w14:textId="77777777" w:rsidR="00F04442" w:rsidRPr="00860E03" w:rsidRDefault="00F04442" w:rsidP="00B57962">
            <w:pPr>
              <w:pStyle w:val="ARtabletextright"/>
            </w:pPr>
            <w:r w:rsidRPr="00860E03">
              <w:t>8</w:t>
            </w:r>
          </w:p>
        </w:tc>
      </w:tr>
      <w:tr w:rsidR="00F04442" w:rsidRPr="00860E03" w14:paraId="68D4C99A" w14:textId="77777777" w:rsidTr="00B57962">
        <w:trPr>
          <w:cantSplit/>
          <w:trHeight w:val="176"/>
        </w:trPr>
        <w:tc>
          <w:tcPr>
            <w:tcW w:w="2154" w:type="dxa"/>
          </w:tcPr>
          <w:p w14:paraId="312D9ECD" w14:textId="77777777" w:rsidR="00F04442" w:rsidRPr="00860E03" w:rsidRDefault="00F04442" w:rsidP="00B57962">
            <w:pPr>
              <w:pStyle w:val="ARtabletext"/>
            </w:pPr>
            <w:r w:rsidRPr="00860E03">
              <w:t>Aviation fuel</w:t>
            </w:r>
          </w:p>
        </w:tc>
        <w:tc>
          <w:tcPr>
            <w:tcW w:w="1247" w:type="dxa"/>
            <w:vAlign w:val="center"/>
          </w:tcPr>
          <w:p w14:paraId="3E31F910" w14:textId="77777777" w:rsidR="00F04442" w:rsidRPr="00860E03" w:rsidRDefault="00F04442" w:rsidP="00B57962">
            <w:pPr>
              <w:pStyle w:val="ARtabletextright"/>
            </w:pPr>
            <w:r w:rsidRPr="00860E03">
              <w:t>4,466</w:t>
            </w:r>
          </w:p>
        </w:tc>
        <w:tc>
          <w:tcPr>
            <w:tcW w:w="1247" w:type="dxa"/>
            <w:vAlign w:val="center"/>
          </w:tcPr>
          <w:p w14:paraId="1E2CA572" w14:textId="77777777" w:rsidR="00F04442" w:rsidRPr="00860E03" w:rsidRDefault="00F04442" w:rsidP="00B57962">
            <w:pPr>
              <w:pStyle w:val="ARtabletextright"/>
            </w:pPr>
            <w:r w:rsidRPr="00860E03">
              <w:t>10,014</w:t>
            </w:r>
          </w:p>
        </w:tc>
        <w:tc>
          <w:tcPr>
            <w:tcW w:w="1247" w:type="dxa"/>
            <w:vAlign w:val="center"/>
          </w:tcPr>
          <w:p w14:paraId="31D3B698" w14:textId="77777777" w:rsidR="00F04442" w:rsidRPr="00860E03" w:rsidRDefault="00F04442" w:rsidP="00B57962">
            <w:pPr>
              <w:pStyle w:val="ARtabletextright"/>
            </w:pPr>
            <w:r w:rsidRPr="00860E03">
              <w:t>4,352</w:t>
            </w:r>
          </w:p>
        </w:tc>
        <w:tc>
          <w:tcPr>
            <w:tcW w:w="1247" w:type="dxa"/>
            <w:vAlign w:val="center"/>
          </w:tcPr>
          <w:p w14:paraId="2210B731" w14:textId="77777777" w:rsidR="00F04442" w:rsidRPr="00860E03" w:rsidRDefault="00F04442" w:rsidP="00B57962">
            <w:pPr>
              <w:pStyle w:val="ARtabletextright"/>
            </w:pPr>
            <w:r w:rsidRPr="00860E03">
              <w:t>9,759</w:t>
            </w:r>
          </w:p>
        </w:tc>
        <w:tc>
          <w:tcPr>
            <w:tcW w:w="1247" w:type="dxa"/>
            <w:vAlign w:val="center"/>
          </w:tcPr>
          <w:p w14:paraId="7650A1B3" w14:textId="77777777" w:rsidR="00F04442" w:rsidRPr="00860E03" w:rsidRDefault="00F04442" w:rsidP="00B57962">
            <w:pPr>
              <w:pStyle w:val="ARtabletextright"/>
            </w:pPr>
            <w:r w:rsidRPr="00860E03">
              <w:t>4,113</w:t>
            </w:r>
          </w:p>
        </w:tc>
        <w:tc>
          <w:tcPr>
            <w:tcW w:w="1247" w:type="dxa"/>
            <w:vAlign w:val="center"/>
          </w:tcPr>
          <w:p w14:paraId="0E583423" w14:textId="77777777" w:rsidR="00F04442" w:rsidRPr="00860E03" w:rsidRDefault="00F04442" w:rsidP="00B57962">
            <w:pPr>
              <w:pStyle w:val="ARtabletextright"/>
            </w:pPr>
            <w:r w:rsidRPr="00860E03">
              <w:t>9,224</w:t>
            </w:r>
          </w:p>
        </w:tc>
      </w:tr>
      <w:tr w:rsidR="00F04442" w:rsidRPr="00860E03" w14:paraId="363DD6FD" w14:textId="77777777" w:rsidTr="00B57962">
        <w:trPr>
          <w:cantSplit/>
          <w:trHeight w:val="268"/>
        </w:trPr>
        <w:tc>
          <w:tcPr>
            <w:tcW w:w="2154" w:type="dxa"/>
          </w:tcPr>
          <w:p w14:paraId="4646FD33" w14:textId="77777777" w:rsidR="00F04442" w:rsidRPr="00860E03" w:rsidRDefault="00F04442" w:rsidP="00B57962">
            <w:pPr>
              <w:pStyle w:val="ARtabletextbold"/>
            </w:pPr>
            <w:r w:rsidRPr="00860E03">
              <w:t>Total</w:t>
            </w:r>
          </w:p>
        </w:tc>
        <w:tc>
          <w:tcPr>
            <w:tcW w:w="1247" w:type="dxa"/>
            <w:vAlign w:val="center"/>
          </w:tcPr>
          <w:p w14:paraId="2C6C68B7" w14:textId="77777777" w:rsidR="00F04442" w:rsidRPr="00860E03" w:rsidRDefault="00F04442" w:rsidP="00B57962">
            <w:pPr>
              <w:pStyle w:val="ARtabletextrightbold"/>
            </w:pPr>
            <w:r w:rsidRPr="00860E03">
              <w:t>9,729</w:t>
            </w:r>
          </w:p>
        </w:tc>
        <w:tc>
          <w:tcPr>
            <w:tcW w:w="1247" w:type="dxa"/>
            <w:vAlign w:val="center"/>
          </w:tcPr>
          <w:p w14:paraId="55FA107E" w14:textId="77777777" w:rsidR="00F04442" w:rsidRPr="00860E03" w:rsidRDefault="00F04442" w:rsidP="00B57962">
            <w:pPr>
              <w:pStyle w:val="ARtabletextrightbold"/>
            </w:pPr>
            <w:r w:rsidRPr="00860E03">
              <w:t>24,043</w:t>
            </w:r>
          </w:p>
        </w:tc>
        <w:tc>
          <w:tcPr>
            <w:tcW w:w="1247" w:type="dxa"/>
            <w:vAlign w:val="center"/>
          </w:tcPr>
          <w:p w14:paraId="75578DB5" w14:textId="77777777" w:rsidR="00F04442" w:rsidRPr="00860E03" w:rsidRDefault="00F04442" w:rsidP="00B57962">
            <w:pPr>
              <w:pStyle w:val="ARtabletextrightbold"/>
            </w:pPr>
            <w:r w:rsidRPr="00860E03">
              <w:t>8,864</w:t>
            </w:r>
          </w:p>
        </w:tc>
        <w:tc>
          <w:tcPr>
            <w:tcW w:w="1247" w:type="dxa"/>
            <w:vAlign w:val="center"/>
          </w:tcPr>
          <w:p w14:paraId="3AE45416" w14:textId="77777777" w:rsidR="00F04442" w:rsidRPr="00860E03" w:rsidRDefault="00F04442" w:rsidP="00B57962">
            <w:pPr>
              <w:pStyle w:val="ARtabletextrightbold"/>
            </w:pPr>
            <w:r w:rsidRPr="00860E03">
              <w:t>21,834</w:t>
            </w:r>
          </w:p>
        </w:tc>
        <w:tc>
          <w:tcPr>
            <w:tcW w:w="1247" w:type="dxa"/>
            <w:vAlign w:val="center"/>
          </w:tcPr>
          <w:p w14:paraId="647AA93B" w14:textId="77777777" w:rsidR="00F04442" w:rsidRPr="00860E03" w:rsidRDefault="00F04442" w:rsidP="00B57962">
            <w:pPr>
              <w:pStyle w:val="ARtabletextrightbold"/>
            </w:pPr>
            <w:r w:rsidRPr="00860E03">
              <w:t>8,352</w:t>
            </w:r>
          </w:p>
        </w:tc>
        <w:tc>
          <w:tcPr>
            <w:tcW w:w="1247" w:type="dxa"/>
            <w:vAlign w:val="center"/>
          </w:tcPr>
          <w:p w14:paraId="50BB2316" w14:textId="77777777" w:rsidR="00F04442" w:rsidRPr="00860E03" w:rsidRDefault="00F04442" w:rsidP="00B57962">
            <w:pPr>
              <w:pStyle w:val="ARtabletextrightbold"/>
            </w:pPr>
            <w:r w:rsidRPr="00860E03">
              <w:t>20,562</w:t>
            </w:r>
          </w:p>
        </w:tc>
      </w:tr>
    </w:tbl>
    <w:p w14:paraId="7D6D7322" w14:textId="77777777" w:rsidR="00F04442" w:rsidRPr="00860E03" w:rsidRDefault="00F04442" w:rsidP="00F04442">
      <w:pPr>
        <w:pStyle w:val="ARtablefootnote"/>
      </w:pPr>
      <w:r w:rsidRPr="00860E03">
        <w:t>Data includes road ambulance, air ambulance, emergency support and administrative vehicles and non-emergency patient transport managed by Ambulance Victoria.</w:t>
      </w:r>
    </w:p>
    <w:tbl>
      <w:tblPr>
        <w:tblW w:w="9636"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154"/>
        <w:gridCol w:w="1247"/>
        <w:gridCol w:w="1247"/>
        <w:gridCol w:w="1247"/>
        <w:gridCol w:w="1247"/>
        <w:gridCol w:w="1247"/>
        <w:gridCol w:w="1247"/>
      </w:tblGrid>
      <w:tr w:rsidR="00F04442" w:rsidRPr="00860E03" w14:paraId="45DB56A9" w14:textId="77777777" w:rsidTr="00B57962">
        <w:trPr>
          <w:cantSplit/>
          <w:trHeight w:val="302"/>
          <w:tblHeader/>
        </w:trPr>
        <w:tc>
          <w:tcPr>
            <w:tcW w:w="2154" w:type="dxa"/>
            <w:vAlign w:val="bottom"/>
          </w:tcPr>
          <w:p w14:paraId="6AE6EDA3" w14:textId="77777777" w:rsidR="00F04442" w:rsidRPr="00860E03" w:rsidRDefault="00F04442" w:rsidP="00B57962">
            <w:pPr>
              <w:pStyle w:val="ARtablecolhead"/>
            </w:pPr>
            <w:r w:rsidRPr="00860E03">
              <w:t xml:space="preserve">Metropolitan health service vehicle fleet </w:t>
            </w:r>
          </w:p>
        </w:tc>
        <w:tc>
          <w:tcPr>
            <w:tcW w:w="1247" w:type="dxa"/>
            <w:vAlign w:val="center"/>
          </w:tcPr>
          <w:p w14:paraId="38378405" w14:textId="77777777" w:rsidR="00F04442" w:rsidRPr="00860E03" w:rsidRDefault="00F04442" w:rsidP="00B57962">
            <w:pPr>
              <w:pStyle w:val="ARtablecolheadright"/>
            </w:pPr>
            <w:r w:rsidRPr="00860E03">
              <w:t xml:space="preserve">2018–19 </w:t>
            </w:r>
            <w:r w:rsidRPr="00860E03">
              <w:br/>
              <w:t>estimate</w:t>
            </w:r>
          </w:p>
        </w:tc>
        <w:tc>
          <w:tcPr>
            <w:tcW w:w="1247" w:type="dxa"/>
            <w:vAlign w:val="center"/>
          </w:tcPr>
          <w:p w14:paraId="44D08CC2" w14:textId="77777777" w:rsidR="00F04442" w:rsidRPr="00860E03" w:rsidRDefault="00F04442" w:rsidP="00B57962">
            <w:pPr>
              <w:pStyle w:val="ARtablecolheadright"/>
            </w:pPr>
            <w:r w:rsidRPr="00860E03">
              <w:t xml:space="preserve">2018–19 </w:t>
            </w:r>
            <w:r w:rsidRPr="00860E03">
              <w:br/>
              <w:t>estimate</w:t>
            </w:r>
          </w:p>
        </w:tc>
        <w:tc>
          <w:tcPr>
            <w:tcW w:w="1247" w:type="dxa"/>
            <w:vAlign w:val="center"/>
          </w:tcPr>
          <w:p w14:paraId="0FB4B942" w14:textId="77777777" w:rsidR="00F04442" w:rsidRPr="00860E03" w:rsidRDefault="00F04442" w:rsidP="00B57962">
            <w:pPr>
              <w:pStyle w:val="ARtablecolheadright"/>
            </w:pPr>
            <w:r w:rsidRPr="00860E03">
              <w:t xml:space="preserve">2017–18 </w:t>
            </w:r>
            <w:r w:rsidRPr="00860E03">
              <w:br/>
              <w:t>estimate</w:t>
            </w:r>
          </w:p>
        </w:tc>
        <w:tc>
          <w:tcPr>
            <w:tcW w:w="1247" w:type="dxa"/>
            <w:vAlign w:val="center"/>
          </w:tcPr>
          <w:p w14:paraId="2333D718" w14:textId="77777777" w:rsidR="00F04442" w:rsidRPr="00860E03" w:rsidRDefault="00F04442" w:rsidP="00B57962">
            <w:pPr>
              <w:pStyle w:val="ARtablecolheadright"/>
            </w:pPr>
            <w:r w:rsidRPr="00860E03">
              <w:t xml:space="preserve">2017–18 </w:t>
            </w:r>
            <w:r w:rsidRPr="00860E03">
              <w:br/>
              <w:t>estimate</w:t>
            </w:r>
          </w:p>
        </w:tc>
        <w:tc>
          <w:tcPr>
            <w:tcW w:w="1247" w:type="dxa"/>
            <w:vAlign w:val="center"/>
          </w:tcPr>
          <w:p w14:paraId="16CF7D73" w14:textId="77777777" w:rsidR="00F04442" w:rsidRPr="00860E03" w:rsidRDefault="00F04442" w:rsidP="00B57962">
            <w:pPr>
              <w:pStyle w:val="ARtablecolheadright"/>
            </w:pPr>
            <w:r w:rsidRPr="00860E03">
              <w:t xml:space="preserve">2016–17 </w:t>
            </w:r>
            <w:r w:rsidRPr="00860E03">
              <w:br/>
              <w:t>estimate</w:t>
            </w:r>
          </w:p>
        </w:tc>
        <w:tc>
          <w:tcPr>
            <w:tcW w:w="1247" w:type="dxa"/>
            <w:vAlign w:val="center"/>
          </w:tcPr>
          <w:p w14:paraId="310C746D" w14:textId="77777777" w:rsidR="00F04442" w:rsidRPr="00860E03" w:rsidRDefault="00F04442" w:rsidP="00B57962">
            <w:pPr>
              <w:pStyle w:val="ARtablecolheadright"/>
            </w:pPr>
            <w:r w:rsidRPr="00860E03">
              <w:t xml:space="preserve">2016–17 </w:t>
            </w:r>
            <w:r w:rsidRPr="00860E03">
              <w:br/>
              <w:t>estimate</w:t>
            </w:r>
          </w:p>
        </w:tc>
      </w:tr>
      <w:tr w:rsidR="00F04442" w:rsidRPr="00860E03" w14:paraId="14EB573F" w14:textId="77777777" w:rsidTr="00B57962">
        <w:trPr>
          <w:cantSplit/>
          <w:trHeight w:val="506"/>
        </w:trPr>
        <w:tc>
          <w:tcPr>
            <w:tcW w:w="2154" w:type="dxa"/>
            <w:vAlign w:val="bottom"/>
          </w:tcPr>
          <w:p w14:paraId="0A985BCD" w14:textId="77777777" w:rsidR="00F04442" w:rsidRPr="00860E03" w:rsidRDefault="00F04442" w:rsidP="00B57962">
            <w:pPr>
              <w:pStyle w:val="ARtablecolhead"/>
              <w:rPr>
                <w:lang w:eastAsia="en-AU"/>
              </w:rPr>
            </w:pPr>
            <w:r w:rsidRPr="00860E03">
              <w:rPr>
                <w:lang w:eastAsia="en-AU"/>
              </w:rPr>
              <w:t>Total fuel usage segmented by primary source</w:t>
            </w:r>
          </w:p>
        </w:tc>
        <w:tc>
          <w:tcPr>
            <w:tcW w:w="1247" w:type="dxa"/>
            <w:vAlign w:val="bottom"/>
          </w:tcPr>
          <w:p w14:paraId="1206891D" w14:textId="77777777" w:rsidR="00F04442" w:rsidRPr="00860E03" w:rsidRDefault="00F04442" w:rsidP="00B57962">
            <w:pPr>
              <w:pStyle w:val="ARtablecolheadright"/>
              <w:rPr>
                <w:lang w:eastAsia="en-AU"/>
              </w:rPr>
            </w:pPr>
            <w:r w:rsidRPr="00860E03">
              <w:rPr>
                <w:lang w:eastAsia="en-AU"/>
              </w:rPr>
              <w:t>Fuel volume (kilolitres)</w:t>
            </w:r>
          </w:p>
        </w:tc>
        <w:tc>
          <w:tcPr>
            <w:tcW w:w="1247" w:type="dxa"/>
            <w:vAlign w:val="bottom"/>
          </w:tcPr>
          <w:p w14:paraId="1FC6D582" w14:textId="58530DB7" w:rsidR="00F04442" w:rsidRPr="00860E03" w:rsidRDefault="00F04442" w:rsidP="00B57962">
            <w:pPr>
              <w:pStyle w:val="ARtablecolheadright"/>
              <w:rPr>
                <w:lang w:eastAsia="en-AU"/>
              </w:rPr>
            </w:pPr>
            <w:r w:rsidRPr="00860E03">
              <w:rPr>
                <w:lang w:eastAsia="en-AU"/>
              </w:rPr>
              <w:t>Emissions (</w:t>
            </w:r>
            <w:r>
              <w:rPr>
                <w:lang w:eastAsia="en-AU"/>
              </w:rPr>
              <w:t>t</w:t>
            </w:r>
            <w:r w:rsidRPr="00860E03">
              <w:rPr>
                <w:lang w:eastAsia="en-AU"/>
              </w:rPr>
              <w:t xml:space="preserve">onnes </w:t>
            </w:r>
            <w:r>
              <w:rPr>
                <w:lang w:eastAsia="en-AU"/>
              </w:rPr>
              <w:br/>
            </w:r>
            <w:r w:rsidRPr="00860E03">
              <w:rPr>
                <w:lang w:eastAsia="en-AU"/>
              </w:rPr>
              <w:t>CO</w:t>
            </w:r>
            <w:r w:rsidR="009A0070" w:rsidRPr="009A0070">
              <w:rPr>
                <w:rFonts w:ascii="Arial Bold" w:hAnsi="Arial Bold"/>
                <w:vertAlign w:val="subscript"/>
                <w:lang w:eastAsia="en-AU"/>
              </w:rPr>
              <w:t>2</w:t>
            </w:r>
            <w:r w:rsidRPr="00860E03">
              <w:rPr>
                <w:lang w:eastAsia="en-AU"/>
              </w:rPr>
              <w:t>-e)</w:t>
            </w:r>
          </w:p>
        </w:tc>
        <w:tc>
          <w:tcPr>
            <w:tcW w:w="1247" w:type="dxa"/>
            <w:vAlign w:val="bottom"/>
          </w:tcPr>
          <w:p w14:paraId="29F9AA01" w14:textId="77777777" w:rsidR="00F04442" w:rsidRPr="00860E03" w:rsidRDefault="00F04442" w:rsidP="00B57962">
            <w:pPr>
              <w:pStyle w:val="ARtablecolheadright"/>
              <w:rPr>
                <w:lang w:eastAsia="en-AU"/>
              </w:rPr>
            </w:pPr>
            <w:r w:rsidRPr="00860E03">
              <w:rPr>
                <w:lang w:eastAsia="en-AU"/>
              </w:rPr>
              <w:t>Fuel volume</w:t>
            </w:r>
            <w:r w:rsidRPr="00860E03">
              <w:rPr>
                <w:lang w:eastAsia="en-AU"/>
              </w:rPr>
              <w:br/>
              <w:t>(kilolitres)</w:t>
            </w:r>
          </w:p>
        </w:tc>
        <w:tc>
          <w:tcPr>
            <w:tcW w:w="1247" w:type="dxa"/>
            <w:vAlign w:val="bottom"/>
          </w:tcPr>
          <w:p w14:paraId="69FBB0AB" w14:textId="5123307E" w:rsidR="00F04442" w:rsidRPr="00860E03" w:rsidRDefault="00F04442" w:rsidP="00B57962">
            <w:pPr>
              <w:pStyle w:val="ARtablecolheadright"/>
              <w:rPr>
                <w:lang w:eastAsia="en-AU"/>
              </w:rPr>
            </w:pPr>
            <w:r w:rsidRPr="00860E03">
              <w:rPr>
                <w:lang w:eastAsia="en-AU"/>
              </w:rPr>
              <w:t>Emissions (</w:t>
            </w:r>
            <w:r>
              <w:rPr>
                <w:lang w:eastAsia="en-AU"/>
              </w:rPr>
              <w:t>t</w:t>
            </w:r>
            <w:r w:rsidRPr="00860E03">
              <w:rPr>
                <w:lang w:eastAsia="en-AU"/>
              </w:rPr>
              <w:t xml:space="preserve">onnes </w:t>
            </w:r>
            <w:r>
              <w:rPr>
                <w:lang w:eastAsia="en-AU"/>
              </w:rPr>
              <w:br/>
            </w:r>
            <w:r w:rsidRPr="00860E03">
              <w:rPr>
                <w:lang w:eastAsia="en-AU"/>
              </w:rPr>
              <w:t>CO</w:t>
            </w:r>
            <w:r w:rsidR="009A0070" w:rsidRPr="009A0070">
              <w:rPr>
                <w:rFonts w:ascii="Arial Bold" w:hAnsi="Arial Bold"/>
                <w:vertAlign w:val="subscript"/>
                <w:lang w:eastAsia="en-AU"/>
              </w:rPr>
              <w:t>2</w:t>
            </w:r>
            <w:r w:rsidRPr="00860E03">
              <w:rPr>
                <w:lang w:eastAsia="en-AU"/>
              </w:rPr>
              <w:t>-e)</w:t>
            </w:r>
          </w:p>
        </w:tc>
        <w:tc>
          <w:tcPr>
            <w:tcW w:w="1247" w:type="dxa"/>
            <w:vAlign w:val="bottom"/>
          </w:tcPr>
          <w:p w14:paraId="77B574D2" w14:textId="77777777" w:rsidR="00F04442" w:rsidRPr="00860E03" w:rsidRDefault="00F04442" w:rsidP="00B57962">
            <w:pPr>
              <w:pStyle w:val="ARtablecolheadright"/>
              <w:rPr>
                <w:lang w:eastAsia="en-AU"/>
              </w:rPr>
            </w:pPr>
            <w:r w:rsidRPr="00860E03">
              <w:rPr>
                <w:lang w:eastAsia="en-AU"/>
              </w:rPr>
              <w:t>Fuel volume</w:t>
            </w:r>
            <w:r w:rsidRPr="00860E03">
              <w:rPr>
                <w:lang w:eastAsia="en-AU"/>
              </w:rPr>
              <w:br/>
              <w:t>(kilolitres)</w:t>
            </w:r>
          </w:p>
        </w:tc>
        <w:tc>
          <w:tcPr>
            <w:tcW w:w="1247" w:type="dxa"/>
            <w:vAlign w:val="bottom"/>
          </w:tcPr>
          <w:p w14:paraId="074FA14A" w14:textId="2CB71E1A" w:rsidR="00F04442" w:rsidRPr="00860E03" w:rsidRDefault="00F04442" w:rsidP="00B57962">
            <w:pPr>
              <w:pStyle w:val="ARtablecolheadright"/>
              <w:rPr>
                <w:lang w:eastAsia="en-AU"/>
              </w:rPr>
            </w:pPr>
            <w:r w:rsidRPr="00860E03">
              <w:rPr>
                <w:lang w:eastAsia="en-AU"/>
              </w:rPr>
              <w:t>Emissions (</w:t>
            </w:r>
            <w:r>
              <w:rPr>
                <w:lang w:eastAsia="en-AU"/>
              </w:rPr>
              <w:t>t</w:t>
            </w:r>
            <w:r w:rsidRPr="00860E03">
              <w:rPr>
                <w:lang w:eastAsia="en-AU"/>
              </w:rPr>
              <w:t xml:space="preserve">onnes </w:t>
            </w:r>
            <w:r>
              <w:rPr>
                <w:lang w:eastAsia="en-AU"/>
              </w:rPr>
              <w:br/>
            </w:r>
            <w:r w:rsidRPr="00860E03">
              <w:rPr>
                <w:lang w:eastAsia="en-AU"/>
              </w:rPr>
              <w:t>CO</w:t>
            </w:r>
            <w:r w:rsidR="009A0070" w:rsidRPr="009A0070">
              <w:rPr>
                <w:rFonts w:ascii="Arial Bold" w:hAnsi="Arial Bold"/>
                <w:vertAlign w:val="subscript"/>
                <w:lang w:eastAsia="en-AU"/>
              </w:rPr>
              <w:t>2</w:t>
            </w:r>
            <w:r w:rsidRPr="00860E03">
              <w:rPr>
                <w:lang w:eastAsia="en-AU"/>
              </w:rPr>
              <w:t>-e)</w:t>
            </w:r>
          </w:p>
        </w:tc>
      </w:tr>
      <w:tr w:rsidR="00F04442" w:rsidRPr="00860E03" w14:paraId="3A22926D" w14:textId="77777777" w:rsidTr="00B57962">
        <w:trPr>
          <w:cantSplit/>
          <w:trHeight w:val="302"/>
        </w:trPr>
        <w:tc>
          <w:tcPr>
            <w:tcW w:w="2154" w:type="dxa"/>
          </w:tcPr>
          <w:p w14:paraId="237ECAAE" w14:textId="77777777" w:rsidR="00F04442" w:rsidRPr="00860E03" w:rsidRDefault="00F04442" w:rsidP="00B57962">
            <w:pPr>
              <w:pStyle w:val="ARtabletext"/>
            </w:pPr>
            <w:r w:rsidRPr="00860E03">
              <w:t>Gasoline – road vehicles</w:t>
            </w:r>
          </w:p>
        </w:tc>
        <w:tc>
          <w:tcPr>
            <w:tcW w:w="1247" w:type="dxa"/>
            <w:vAlign w:val="center"/>
          </w:tcPr>
          <w:p w14:paraId="523230EE" w14:textId="77777777" w:rsidR="00F04442" w:rsidRPr="00860E03" w:rsidRDefault="00F04442" w:rsidP="00B57962">
            <w:pPr>
              <w:pStyle w:val="ARtabletextright"/>
            </w:pPr>
            <w:r w:rsidRPr="00860E03">
              <w:t>1,885</w:t>
            </w:r>
          </w:p>
        </w:tc>
        <w:tc>
          <w:tcPr>
            <w:tcW w:w="1247" w:type="dxa"/>
            <w:vAlign w:val="center"/>
          </w:tcPr>
          <w:p w14:paraId="6A8BEB62" w14:textId="77777777" w:rsidR="00F04442" w:rsidRPr="00860E03" w:rsidRDefault="00F04442" w:rsidP="00B57962">
            <w:pPr>
              <w:pStyle w:val="ARtabletextright"/>
            </w:pPr>
            <w:r w:rsidRPr="00860E03">
              <w:t>4,360</w:t>
            </w:r>
          </w:p>
        </w:tc>
        <w:tc>
          <w:tcPr>
            <w:tcW w:w="1247" w:type="dxa"/>
            <w:vAlign w:val="center"/>
          </w:tcPr>
          <w:p w14:paraId="14D1EF0A" w14:textId="77777777" w:rsidR="00F04442" w:rsidRPr="00860E03" w:rsidRDefault="00F04442" w:rsidP="00B57962">
            <w:pPr>
              <w:pStyle w:val="ARtabletextright"/>
            </w:pPr>
            <w:r w:rsidRPr="00860E03">
              <w:t>1,829</w:t>
            </w:r>
          </w:p>
        </w:tc>
        <w:tc>
          <w:tcPr>
            <w:tcW w:w="1247" w:type="dxa"/>
            <w:vAlign w:val="center"/>
          </w:tcPr>
          <w:p w14:paraId="54CBFD57" w14:textId="77777777" w:rsidR="00F04442" w:rsidRPr="00860E03" w:rsidRDefault="00F04442" w:rsidP="00B57962">
            <w:pPr>
              <w:pStyle w:val="ARtabletextright"/>
            </w:pPr>
            <w:r w:rsidRPr="00860E03">
              <w:t>4,230</w:t>
            </w:r>
          </w:p>
        </w:tc>
        <w:tc>
          <w:tcPr>
            <w:tcW w:w="1247" w:type="dxa"/>
          </w:tcPr>
          <w:p w14:paraId="30C2E0FA" w14:textId="77777777" w:rsidR="00F04442" w:rsidRPr="00860E03" w:rsidRDefault="00F04442" w:rsidP="00B57962">
            <w:pPr>
              <w:pStyle w:val="ARtabletextright"/>
            </w:pPr>
            <w:r w:rsidRPr="00860E03">
              <w:t>N/A</w:t>
            </w:r>
          </w:p>
        </w:tc>
        <w:tc>
          <w:tcPr>
            <w:tcW w:w="1247" w:type="dxa"/>
          </w:tcPr>
          <w:p w14:paraId="3F3D9FA7" w14:textId="77777777" w:rsidR="00F04442" w:rsidRPr="00860E03" w:rsidRDefault="00F04442" w:rsidP="00B57962">
            <w:pPr>
              <w:pStyle w:val="ARtabletextright"/>
            </w:pPr>
            <w:r w:rsidRPr="00860E03">
              <w:t>N/A</w:t>
            </w:r>
          </w:p>
        </w:tc>
      </w:tr>
      <w:tr w:rsidR="00F04442" w:rsidRPr="00860E03" w14:paraId="20B2D6A7" w14:textId="77777777" w:rsidTr="00B57962">
        <w:trPr>
          <w:cantSplit/>
          <w:trHeight w:val="302"/>
        </w:trPr>
        <w:tc>
          <w:tcPr>
            <w:tcW w:w="2154" w:type="dxa"/>
          </w:tcPr>
          <w:p w14:paraId="5B582162" w14:textId="77777777" w:rsidR="00F04442" w:rsidRPr="00860E03" w:rsidRDefault="00F04442" w:rsidP="00B57962">
            <w:pPr>
              <w:pStyle w:val="ARtabletext"/>
            </w:pPr>
            <w:r w:rsidRPr="00860E03">
              <w:t>E10 – road vehicles</w:t>
            </w:r>
          </w:p>
        </w:tc>
        <w:tc>
          <w:tcPr>
            <w:tcW w:w="1247" w:type="dxa"/>
            <w:vAlign w:val="center"/>
          </w:tcPr>
          <w:p w14:paraId="5F0598DF" w14:textId="77777777" w:rsidR="00F04442" w:rsidRPr="00860E03" w:rsidRDefault="00F04442" w:rsidP="00B57962">
            <w:pPr>
              <w:pStyle w:val="ARtabletextright"/>
            </w:pPr>
            <w:r w:rsidRPr="00860E03">
              <w:t>151</w:t>
            </w:r>
          </w:p>
        </w:tc>
        <w:tc>
          <w:tcPr>
            <w:tcW w:w="1247" w:type="dxa"/>
            <w:vAlign w:val="center"/>
          </w:tcPr>
          <w:p w14:paraId="74C68EE8" w14:textId="77777777" w:rsidR="00F04442" w:rsidRPr="00860E03" w:rsidRDefault="00F04442" w:rsidP="00B57962">
            <w:pPr>
              <w:pStyle w:val="ARtabletextright"/>
            </w:pPr>
            <w:r w:rsidRPr="00860E03">
              <w:t>1</w:t>
            </w:r>
          </w:p>
        </w:tc>
        <w:tc>
          <w:tcPr>
            <w:tcW w:w="1247" w:type="dxa"/>
            <w:vAlign w:val="center"/>
          </w:tcPr>
          <w:p w14:paraId="006549B4" w14:textId="77777777" w:rsidR="00F04442" w:rsidRPr="00860E03" w:rsidRDefault="00F04442" w:rsidP="00B57962">
            <w:pPr>
              <w:pStyle w:val="ARtabletextright"/>
            </w:pPr>
            <w:r w:rsidRPr="00860E03">
              <w:t>145</w:t>
            </w:r>
          </w:p>
        </w:tc>
        <w:tc>
          <w:tcPr>
            <w:tcW w:w="1247" w:type="dxa"/>
            <w:vAlign w:val="center"/>
          </w:tcPr>
          <w:p w14:paraId="48C935C3" w14:textId="77777777" w:rsidR="00F04442" w:rsidRPr="00860E03" w:rsidRDefault="00F04442" w:rsidP="00B57962">
            <w:pPr>
              <w:pStyle w:val="ARtabletextright"/>
            </w:pPr>
            <w:r w:rsidRPr="00860E03">
              <w:t>1</w:t>
            </w:r>
          </w:p>
        </w:tc>
        <w:tc>
          <w:tcPr>
            <w:tcW w:w="1247" w:type="dxa"/>
          </w:tcPr>
          <w:p w14:paraId="6A205C98" w14:textId="77777777" w:rsidR="00F04442" w:rsidRPr="00860E03" w:rsidRDefault="00F04442" w:rsidP="00B57962">
            <w:pPr>
              <w:pStyle w:val="ARtabletextright"/>
            </w:pPr>
            <w:r w:rsidRPr="00860E03">
              <w:t>N/A</w:t>
            </w:r>
          </w:p>
        </w:tc>
        <w:tc>
          <w:tcPr>
            <w:tcW w:w="1247" w:type="dxa"/>
          </w:tcPr>
          <w:p w14:paraId="768D2AE0" w14:textId="77777777" w:rsidR="00F04442" w:rsidRPr="00860E03" w:rsidRDefault="00F04442" w:rsidP="00B57962">
            <w:pPr>
              <w:pStyle w:val="ARtabletextright"/>
            </w:pPr>
            <w:r w:rsidRPr="00860E03">
              <w:t>N/A</w:t>
            </w:r>
          </w:p>
        </w:tc>
      </w:tr>
      <w:tr w:rsidR="00F04442" w:rsidRPr="00860E03" w14:paraId="48FF3974" w14:textId="77777777" w:rsidTr="00B57962">
        <w:trPr>
          <w:cantSplit/>
          <w:trHeight w:val="302"/>
        </w:trPr>
        <w:tc>
          <w:tcPr>
            <w:tcW w:w="2154" w:type="dxa"/>
          </w:tcPr>
          <w:p w14:paraId="07E18124" w14:textId="77777777" w:rsidR="00F04442" w:rsidRPr="00860E03" w:rsidRDefault="00F04442" w:rsidP="00B57962">
            <w:pPr>
              <w:pStyle w:val="ARtabletext"/>
            </w:pPr>
            <w:r w:rsidRPr="00860E03">
              <w:t>Diesel – road vehicles</w:t>
            </w:r>
          </w:p>
        </w:tc>
        <w:tc>
          <w:tcPr>
            <w:tcW w:w="1247" w:type="dxa"/>
            <w:vAlign w:val="center"/>
          </w:tcPr>
          <w:p w14:paraId="7123E597" w14:textId="77777777" w:rsidR="00F04442" w:rsidRPr="00860E03" w:rsidRDefault="00F04442" w:rsidP="00B57962">
            <w:pPr>
              <w:pStyle w:val="ARtabletextright"/>
            </w:pPr>
            <w:r w:rsidRPr="00860E03">
              <w:t>461</w:t>
            </w:r>
          </w:p>
        </w:tc>
        <w:tc>
          <w:tcPr>
            <w:tcW w:w="1247" w:type="dxa"/>
            <w:vAlign w:val="center"/>
          </w:tcPr>
          <w:p w14:paraId="092BD5CF" w14:textId="77777777" w:rsidR="00F04442" w:rsidRPr="00860E03" w:rsidRDefault="00F04442" w:rsidP="00B57962">
            <w:pPr>
              <w:pStyle w:val="ARtabletextright"/>
            </w:pPr>
            <w:r w:rsidRPr="00860E03">
              <w:t>1,256</w:t>
            </w:r>
          </w:p>
        </w:tc>
        <w:tc>
          <w:tcPr>
            <w:tcW w:w="1247" w:type="dxa"/>
            <w:vAlign w:val="center"/>
          </w:tcPr>
          <w:p w14:paraId="71B614BA" w14:textId="77777777" w:rsidR="00F04442" w:rsidRPr="00860E03" w:rsidRDefault="00F04442" w:rsidP="00B57962">
            <w:pPr>
              <w:pStyle w:val="ARtabletextright"/>
            </w:pPr>
            <w:r w:rsidRPr="00860E03">
              <w:t>418</w:t>
            </w:r>
          </w:p>
        </w:tc>
        <w:tc>
          <w:tcPr>
            <w:tcW w:w="1247" w:type="dxa"/>
            <w:vAlign w:val="center"/>
          </w:tcPr>
          <w:p w14:paraId="71461C0D" w14:textId="77777777" w:rsidR="00F04442" w:rsidRPr="00860E03" w:rsidRDefault="00F04442" w:rsidP="00B57962">
            <w:pPr>
              <w:pStyle w:val="ARtabletextright"/>
            </w:pPr>
            <w:r w:rsidRPr="00860E03">
              <w:t>1,138</w:t>
            </w:r>
          </w:p>
        </w:tc>
        <w:tc>
          <w:tcPr>
            <w:tcW w:w="1247" w:type="dxa"/>
          </w:tcPr>
          <w:p w14:paraId="29AF21EC" w14:textId="77777777" w:rsidR="00F04442" w:rsidRPr="00860E03" w:rsidRDefault="00F04442" w:rsidP="00B57962">
            <w:pPr>
              <w:pStyle w:val="ARtabletextright"/>
            </w:pPr>
            <w:r w:rsidRPr="00860E03">
              <w:t>N/A</w:t>
            </w:r>
          </w:p>
        </w:tc>
        <w:tc>
          <w:tcPr>
            <w:tcW w:w="1247" w:type="dxa"/>
          </w:tcPr>
          <w:p w14:paraId="3EB536AC" w14:textId="77777777" w:rsidR="00F04442" w:rsidRPr="00860E03" w:rsidRDefault="00F04442" w:rsidP="00B57962">
            <w:pPr>
              <w:pStyle w:val="ARtabletextright"/>
            </w:pPr>
            <w:r w:rsidRPr="00860E03">
              <w:t>N/A</w:t>
            </w:r>
          </w:p>
        </w:tc>
      </w:tr>
      <w:tr w:rsidR="00F04442" w:rsidRPr="00860E03" w14:paraId="2E50CBEB" w14:textId="77777777" w:rsidTr="00B57962">
        <w:trPr>
          <w:cantSplit/>
          <w:trHeight w:val="302"/>
        </w:trPr>
        <w:tc>
          <w:tcPr>
            <w:tcW w:w="2154" w:type="dxa"/>
          </w:tcPr>
          <w:p w14:paraId="024BF03C" w14:textId="77777777" w:rsidR="00F04442" w:rsidRPr="00860E03" w:rsidRDefault="00F04442" w:rsidP="00B57962">
            <w:pPr>
              <w:pStyle w:val="ARtabletext"/>
            </w:pPr>
            <w:r w:rsidRPr="00860E03">
              <w:t>LPG – road vehicles</w:t>
            </w:r>
          </w:p>
        </w:tc>
        <w:tc>
          <w:tcPr>
            <w:tcW w:w="1247" w:type="dxa"/>
            <w:vAlign w:val="center"/>
          </w:tcPr>
          <w:p w14:paraId="364BE026" w14:textId="77777777" w:rsidR="00F04442" w:rsidRPr="00860E03" w:rsidRDefault="00F04442" w:rsidP="00B57962">
            <w:pPr>
              <w:pStyle w:val="ARtabletextright"/>
            </w:pPr>
            <w:r w:rsidRPr="00860E03">
              <w:t>18</w:t>
            </w:r>
          </w:p>
        </w:tc>
        <w:tc>
          <w:tcPr>
            <w:tcW w:w="1247" w:type="dxa"/>
            <w:vAlign w:val="center"/>
          </w:tcPr>
          <w:p w14:paraId="17E2EE0C" w14:textId="77777777" w:rsidR="00F04442" w:rsidRPr="00860E03" w:rsidRDefault="00F04442" w:rsidP="00B57962">
            <w:pPr>
              <w:pStyle w:val="ARtabletextright"/>
            </w:pPr>
            <w:r w:rsidRPr="00860E03">
              <w:t>28</w:t>
            </w:r>
          </w:p>
        </w:tc>
        <w:tc>
          <w:tcPr>
            <w:tcW w:w="1247" w:type="dxa"/>
            <w:vAlign w:val="center"/>
          </w:tcPr>
          <w:p w14:paraId="77D2FD7A" w14:textId="77777777" w:rsidR="00F04442" w:rsidRPr="00860E03" w:rsidRDefault="00F04442" w:rsidP="00B57962">
            <w:pPr>
              <w:pStyle w:val="ARtabletextright"/>
            </w:pPr>
            <w:r w:rsidRPr="00860E03">
              <w:t>24</w:t>
            </w:r>
          </w:p>
        </w:tc>
        <w:tc>
          <w:tcPr>
            <w:tcW w:w="1247" w:type="dxa"/>
            <w:vAlign w:val="center"/>
          </w:tcPr>
          <w:p w14:paraId="74531738" w14:textId="77777777" w:rsidR="00F04442" w:rsidRPr="00860E03" w:rsidRDefault="00F04442" w:rsidP="00B57962">
            <w:pPr>
              <w:pStyle w:val="ARtabletextright"/>
            </w:pPr>
            <w:r w:rsidRPr="00860E03">
              <w:t>39</w:t>
            </w:r>
          </w:p>
        </w:tc>
        <w:tc>
          <w:tcPr>
            <w:tcW w:w="1247" w:type="dxa"/>
          </w:tcPr>
          <w:p w14:paraId="32AEC0BF" w14:textId="77777777" w:rsidR="00F04442" w:rsidRPr="00860E03" w:rsidRDefault="00F04442" w:rsidP="00B57962">
            <w:pPr>
              <w:pStyle w:val="ARtabletextright"/>
            </w:pPr>
            <w:r w:rsidRPr="00860E03">
              <w:t>N/A</w:t>
            </w:r>
          </w:p>
        </w:tc>
        <w:tc>
          <w:tcPr>
            <w:tcW w:w="1247" w:type="dxa"/>
          </w:tcPr>
          <w:p w14:paraId="75252D89" w14:textId="77777777" w:rsidR="00F04442" w:rsidRPr="00860E03" w:rsidRDefault="00F04442" w:rsidP="00B57962">
            <w:pPr>
              <w:pStyle w:val="ARtabletextright"/>
            </w:pPr>
            <w:r w:rsidRPr="00860E03">
              <w:t>N/A</w:t>
            </w:r>
          </w:p>
        </w:tc>
      </w:tr>
      <w:tr w:rsidR="00F04442" w:rsidRPr="00860E03" w14:paraId="133EFB7F" w14:textId="77777777" w:rsidTr="00B57962">
        <w:trPr>
          <w:cantSplit/>
          <w:trHeight w:val="268"/>
        </w:trPr>
        <w:tc>
          <w:tcPr>
            <w:tcW w:w="2154" w:type="dxa"/>
          </w:tcPr>
          <w:p w14:paraId="6CABC69E" w14:textId="77777777" w:rsidR="00F04442" w:rsidRPr="00860E03" w:rsidRDefault="00F04442" w:rsidP="00B57962">
            <w:pPr>
              <w:pStyle w:val="ARtabletextbold"/>
            </w:pPr>
            <w:r w:rsidRPr="00860E03">
              <w:t>Total</w:t>
            </w:r>
          </w:p>
        </w:tc>
        <w:tc>
          <w:tcPr>
            <w:tcW w:w="1247" w:type="dxa"/>
            <w:vAlign w:val="center"/>
          </w:tcPr>
          <w:p w14:paraId="14EF89D9" w14:textId="77777777" w:rsidR="00F04442" w:rsidRPr="00860E03" w:rsidRDefault="00F04442" w:rsidP="00B57962">
            <w:pPr>
              <w:pStyle w:val="ARtabletextrightbold"/>
            </w:pPr>
            <w:r w:rsidRPr="00860E03">
              <w:t>2,515</w:t>
            </w:r>
          </w:p>
        </w:tc>
        <w:tc>
          <w:tcPr>
            <w:tcW w:w="1247" w:type="dxa"/>
            <w:vAlign w:val="center"/>
          </w:tcPr>
          <w:p w14:paraId="4487F36B" w14:textId="77777777" w:rsidR="00F04442" w:rsidRPr="00860E03" w:rsidRDefault="00F04442" w:rsidP="00B57962">
            <w:pPr>
              <w:pStyle w:val="ARtabletextrightbold"/>
            </w:pPr>
            <w:r w:rsidRPr="00860E03">
              <w:t>5,645</w:t>
            </w:r>
          </w:p>
        </w:tc>
        <w:tc>
          <w:tcPr>
            <w:tcW w:w="1247" w:type="dxa"/>
            <w:vAlign w:val="center"/>
          </w:tcPr>
          <w:p w14:paraId="2E922272" w14:textId="77777777" w:rsidR="00F04442" w:rsidRPr="00860E03" w:rsidRDefault="00F04442" w:rsidP="00B57962">
            <w:pPr>
              <w:pStyle w:val="ARtabletextrightbold"/>
            </w:pPr>
            <w:r w:rsidRPr="00860E03">
              <w:t>2,417</w:t>
            </w:r>
          </w:p>
        </w:tc>
        <w:tc>
          <w:tcPr>
            <w:tcW w:w="1247" w:type="dxa"/>
            <w:vAlign w:val="center"/>
          </w:tcPr>
          <w:p w14:paraId="37402956" w14:textId="77777777" w:rsidR="00F04442" w:rsidRPr="00860E03" w:rsidRDefault="00F04442" w:rsidP="00B57962">
            <w:pPr>
              <w:pStyle w:val="ARtabletextrightbold"/>
            </w:pPr>
            <w:r w:rsidRPr="00860E03">
              <w:t>5,409</w:t>
            </w:r>
          </w:p>
        </w:tc>
        <w:tc>
          <w:tcPr>
            <w:tcW w:w="1247" w:type="dxa"/>
            <w:vAlign w:val="center"/>
          </w:tcPr>
          <w:p w14:paraId="337E8B61" w14:textId="77777777" w:rsidR="00F04442" w:rsidRPr="00860E03" w:rsidRDefault="00F04442" w:rsidP="00B57962">
            <w:pPr>
              <w:pStyle w:val="ARtabletextrightbold"/>
            </w:pPr>
            <w:r w:rsidRPr="00860E03">
              <w:t>N/A</w:t>
            </w:r>
          </w:p>
        </w:tc>
        <w:tc>
          <w:tcPr>
            <w:tcW w:w="1247" w:type="dxa"/>
            <w:vAlign w:val="center"/>
          </w:tcPr>
          <w:p w14:paraId="18B5D87D" w14:textId="77777777" w:rsidR="00F04442" w:rsidRPr="00860E03" w:rsidRDefault="00F04442" w:rsidP="00B57962">
            <w:pPr>
              <w:pStyle w:val="ARtabletextrightbold"/>
            </w:pPr>
            <w:r w:rsidRPr="00860E03">
              <w:t>N/A</w:t>
            </w:r>
          </w:p>
        </w:tc>
      </w:tr>
    </w:tbl>
    <w:p w14:paraId="7242E092" w14:textId="77777777" w:rsidR="00F73A80" w:rsidRPr="00860E03" w:rsidRDefault="00F73A80" w:rsidP="00F73A80">
      <w:pPr>
        <w:pStyle w:val="ARtablefootnote"/>
      </w:pPr>
      <w:r w:rsidRPr="00860E03">
        <w:t>Data includes corporate fleet vehicles managed by metropolitan health services.</w:t>
      </w:r>
    </w:p>
    <w:p w14:paraId="0AAE2C0A" w14:textId="77777777" w:rsidR="00F04442" w:rsidRPr="007939DD" w:rsidRDefault="00F04442" w:rsidP="00F04442">
      <w:pPr>
        <w:pStyle w:val="Heading3"/>
      </w:pPr>
      <w:r w:rsidRPr="007939DD">
        <w:t>Air travel</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F04442" w:rsidRPr="00860E03" w14:paraId="45AFECE1" w14:textId="77777777" w:rsidTr="00B57962">
        <w:trPr>
          <w:cantSplit/>
          <w:trHeight w:val="262"/>
          <w:tblHeader/>
        </w:trPr>
        <w:tc>
          <w:tcPr>
            <w:tcW w:w="4536" w:type="dxa"/>
            <w:vAlign w:val="bottom"/>
          </w:tcPr>
          <w:p w14:paraId="56DC3DCB" w14:textId="77777777" w:rsidR="00F04442" w:rsidRPr="00860E03" w:rsidRDefault="00F04442" w:rsidP="00B57962">
            <w:pPr>
              <w:pStyle w:val="ARtablecolhead"/>
            </w:pPr>
            <w:r w:rsidRPr="00860E03">
              <w:t>Description</w:t>
            </w:r>
          </w:p>
        </w:tc>
        <w:tc>
          <w:tcPr>
            <w:tcW w:w="1701" w:type="dxa"/>
            <w:vAlign w:val="bottom"/>
          </w:tcPr>
          <w:p w14:paraId="5A3B7D7F" w14:textId="77777777" w:rsidR="00F04442" w:rsidRPr="00860E03" w:rsidRDefault="00F04442" w:rsidP="00B57962">
            <w:pPr>
              <w:pStyle w:val="ARtablecolheadright"/>
            </w:pPr>
            <w:r w:rsidRPr="00860E03">
              <w:t>2018–19 actual</w:t>
            </w:r>
          </w:p>
        </w:tc>
        <w:tc>
          <w:tcPr>
            <w:tcW w:w="1701" w:type="dxa"/>
            <w:vAlign w:val="bottom"/>
          </w:tcPr>
          <w:p w14:paraId="374A486E" w14:textId="77777777" w:rsidR="00F04442" w:rsidRPr="00860E03" w:rsidRDefault="00F04442" w:rsidP="00B57962">
            <w:pPr>
              <w:pStyle w:val="ARtablecolheadright"/>
            </w:pPr>
            <w:r w:rsidRPr="00860E03">
              <w:t>2017–18 actual</w:t>
            </w:r>
          </w:p>
        </w:tc>
        <w:tc>
          <w:tcPr>
            <w:tcW w:w="1701" w:type="dxa"/>
            <w:vAlign w:val="bottom"/>
          </w:tcPr>
          <w:p w14:paraId="37C96EE4" w14:textId="77777777" w:rsidR="00F04442" w:rsidRPr="00860E03" w:rsidRDefault="00F04442" w:rsidP="00B57962">
            <w:pPr>
              <w:pStyle w:val="ARtablecolheadright"/>
            </w:pPr>
            <w:r w:rsidRPr="00860E03">
              <w:t>2016–17 actual</w:t>
            </w:r>
          </w:p>
        </w:tc>
      </w:tr>
      <w:tr w:rsidR="00F04442" w:rsidRPr="00860E03" w14:paraId="5F16829A" w14:textId="77777777" w:rsidTr="00B57962">
        <w:trPr>
          <w:cantSplit/>
          <w:trHeight w:val="262"/>
        </w:trPr>
        <w:tc>
          <w:tcPr>
            <w:tcW w:w="4536" w:type="dxa"/>
          </w:tcPr>
          <w:p w14:paraId="091F5B98" w14:textId="77777777" w:rsidR="00F04442" w:rsidRPr="00860E03" w:rsidRDefault="00F04442" w:rsidP="00B57962">
            <w:pPr>
              <w:pStyle w:val="ARtabletext"/>
            </w:pPr>
            <w:r w:rsidRPr="00860E03">
              <w:t>Total distance travelled (kilometres)</w:t>
            </w:r>
          </w:p>
        </w:tc>
        <w:tc>
          <w:tcPr>
            <w:tcW w:w="1701" w:type="dxa"/>
          </w:tcPr>
          <w:p w14:paraId="13098042" w14:textId="77777777" w:rsidR="00F04442" w:rsidRPr="00860E03" w:rsidRDefault="00F04442" w:rsidP="00B57962">
            <w:pPr>
              <w:pStyle w:val="ARtabletextright"/>
            </w:pPr>
            <w:r w:rsidRPr="00860E03">
              <w:t>7,993,873</w:t>
            </w:r>
          </w:p>
        </w:tc>
        <w:tc>
          <w:tcPr>
            <w:tcW w:w="1701" w:type="dxa"/>
          </w:tcPr>
          <w:p w14:paraId="6E8A13A1" w14:textId="77777777" w:rsidR="00F04442" w:rsidRPr="00860E03" w:rsidRDefault="00F04442" w:rsidP="00B57962">
            <w:pPr>
              <w:pStyle w:val="ARtabletextright"/>
            </w:pPr>
            <w:r w:rsidRPr="00860E03">
              <w:t>6,256,040</w:t>
            </w:r>
          </w:p>
        </w:tc>
        <w:tc>
          <w:tcPr>
            <w:tcW w:w="1701" w:type="dxa"/>
          </w:tcPr>
          <w:p w14:paraId="421FF569" w14:textId="77777777" w:rsidR="00F04442" w:rsidRPr="00860E03" w:rsidRDefault="00F04442" w:rsidP="00B57962">
            <w:pPr>
              <w:pStyle w:val="ARtabletextright"/>
            </w:pPr>
            <w:r w:rsidRPr="00860E03">
              <w:t>5,436,783</w:t>
            </w:r>
          </w:p>
        </w:tc>
      </w:tr>
      <w:tr w:rsidR="00F04442" w:rsidRPr="00860E03" w14:paraId="190E1FA5" w14:textId="77777777" w:rsidTr="00B57962">
        <w:trPr>
          <w:cantSplit/>
          <w:trHeight w:val="262"/>
        </w:trPr>
        <w:tc>
          <w:tcPr>
            <w:tcW w:w="4536" w:type="dxa"/>
          </w:tcPr>
          <w:p w14:paraId="7D9D3664" w14:textId="77777777" w:rsidR="00F04442" w:rsidRPr="00860E03" w:rsidRDefault="00F04442" w:rsidP="00B57962">
            <w:pPr>
              <w:pStyle w:val="ARtabletext"/>
            </w:pPr>
            <w:r w:rsidRPr="00860E03">
              <w:t>Base fare cost ($ million)</w:t>
            </w:r>
          </w:p>
        </w:tc>
        <w:tc>
          <w:tcPr>
            <w:tcW w:w="1701" w:type="dxa"/>
          </w:tcPr>
          <w:p w14:paraId="133CA27A" w14:textId="77777777" w:rsidR="00F04442" w:rsidRPr="00860E03" w:rsidRDefault="00F04442" w:rsidP="00B57962">
            <w:pPr>
              <w:pStyle w:val="ARtabletextright"/>
            </w:pPr>
            <w:r w:rsidRPr="00860E03">
              <w:t>$1.94</w:t>
            </w:r>
          </w:p>
        </w:tc>
        <w:tc>
          <w:tcPr>
            <w:tcW w:w="1701" w:type="dxa"/>
          </w:tcPr>
          <w:p w14:paraId="1831D772" w14:textId="77777777" w:rsidR="00F04442" w:rsidRPr="00860E03" w:rsidRDefault="00F04442" w:rsidP="00B57962">
            <w:pPr>
              <w:pStyle w:val="ARtabletextright"/>
            </w:pPr>
            <w:r w:rsidRPr="00860E03">
              <w:t>$1.73</w:t>
            </w:r>
          </w:p>
        </w:tc>
        <w:tc>
          <w:tcPr>
            <w:tcW w:w="1701" w:type="dxa"/>
          </w:tcPr>
          <w:p w14:paraId="4B2301F0" w14:textId="77777777" w:rsidR="00F04442" w:rsidRPr="00860E03" w:rsidRDefault="00F04442" w:rsidP="00B57962">
            <w:pPr>
              <w:pStyle w:val="ARtabletextright"/>
            </w:pPr>
            <w:r w:rsidRPr="00860E03">
              <w:t>$1.40</w:t>
            </w:r>
          </w:p>
        </w:tc>
      </w:tr>
      <w:tr w:rsidR="00F04442" w:rsidRPr="00860E03" w14:paraId="3C598773" w14:textId="77777777" w:rsidTr="00B57962">
        <w:trPr>
          <w:cantSplit/>
          <w:trHeight w:val="262"/>
        </w:trPr>
        <w:tc>
          <w:tcPr>
            <w:tcW w:w="4536" w:type="dxa"/>
          </w:tcPr>
          <w:p w14:paraId="4DE0AD0B" w14:textId="77777777" w:rsidR="00F04442" w:rsidRPr="00860E03" w:rsidRDefault="00F04442" w:rsidP="00B57962">
            <w:pPr>
              <w:pStyle w:val="ARtabletext"/>
            </w:pPr>
            <w:r w:rsidRPr="00860E03">
              <w:t>Greenhouse gas emissions (tonnes of CO</w:t>
            </w:r>
            <w:r w:rsidRPr="00860E03">
              <w:rPr>
                <w:vertAlign w:val="subscript"/>
              </w:rPr>
              <w:t>2</w:t>
            </w:r>
            <w:r w:rsidRPr="00860E03">
              <w:t>-e)</w:t>
            </w:r>
          </w:p>
        </w:tc>
        <w:tc>
          <w:tcPr>
            <w:tcW w:w="1701" w:type="dxa"/>
          </w:tcPr>
          <w:p w14:paraId="3F5B705D" w14:textId="77777777" w:rsidR="00F04442" w:rsidRPr="00860E03" w:rsidRDefault="00F04442" w:rsidP="00B57962">
            <w:pPr>
              <w:pStyle w:val="ARtabletextright"/>
            </w:pPr>
            <w:r w:rsidRPr="00860E03">
              <w:t>1,620</w:t>
            </w:r>
          </w:p>
        </w:tc>
        <w:tc>
          <w:tcPr>
            <w:tcW w:w="1701" w:type="dxa"/>
          </w:tcPr>
          <w:p w14:paraId="31F272CF" w14:textId="77777777" w:rsidR="00F04442" w:rsidRPr="00860E03" w:rsidRDefault="00F04442" w:rsidP="00B57962">
            <w:pPr>
              <w:pStyle w:val="ARtabletextright"/>
            </w:pPr>
            <w:r w:rsidRPr="00860E03">
              <w:t>1,281</w:t>
            </w:r>
          </w:p>
        </w:tc>
        <w:tc>
          <w:tcPr>
            <w:tcW w:w="1701" w:type="dxa"/>
          </w:tcPr>
          <w:p w14:paraId="3D2B2C91" w14:textId="77777777" w:rsidR="00F04442" w:rsidRPr="00860E03" w:rsidRDefault="00F04442" w:rsidP="00B57962">
            <w:pPr>
              <w:pStyle w:val="ARtabletextright"/>
            </w:pPr>
            <w:r w:rsidRPr="00860E03">
              <w:t>1,454</w:t>
            </w:r>
          </w:p>
        </w:tc>
      </w:tr>
    </w:tbl>
    <w:p w14:paraId="51AE1946" w14:textId="77777777" w:rsidR="00F73A80" w:rsidRPr="00860E03" w:rsidRDefault="00F73A80" w:rsidP="00F73A80">
      <w:pPr>
        <w:pStyle w:val="ARtablefootnote"/>
      </w:pPr>
      <w:r w:rsidRPr="00860E03">
        <w:t>Air travel data represents all operational and office-based FTE. Base fare cost excludes GST.</w:t>
      </w:r>
    </w:p>
    <w:p w14:paraId="1F0C6BBF" w14:textId="77777777" w:rsidR="00F04442" w:rsidRPr="007939DD" w:rsidRDefault="00F04442" w:rsidP="00F04442">
      <w:pPr>
        <w:pStyle w:val="Heading3"/>
      </w:pPr>
      <w:r w:rsidRPr="007939DD">
        <w:t>Commuter travel</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F04442" w:rsidRPr="00860E03" w14:paraId="5C7BE868" w14:textId="77777777" w:rsidTr="00B57962">
        <w:trPr>
          <w:cantSplit/>
          <w:trHeight w:val="309"/>
          <w:tblHeader/>
        </w:trPr>
        <w:tc>
          <w:tcPr>
            <w:tcW w:w="4536" w:type="dxa"/>
            <w:vAlign w:val="bottom"/>
          </w:tcPr>
          <w:p w14:paraId="3A8E45A5" w14:textId="77777777" w:rsidR="00F04442" w:rsidRPr="00860E03" w:rsidRDefault="00F04442" w:rsidP="00B57962">
            <w:pPr>
              <w:pStyle w:val="ARtablecolhead"/>
            </w:pPr>
            <w:r w:rsidRPr="00860E03">
              <w:t>Percentage of employees regularly using sustainable travel (public transport, cycling, walking, car-pooling or working from home) to commute</w:t>
            </w:r>
          </w:p>
        </w:tc>
        <w:tc>
          <w:tcPr>
            <w:tcW w:w="1701" w:type="dxa"/>
            <w:vAlign w:val="bottom"/>
          </w:tcPr>
          <w:p w14:paraId="7F129AD0" w14:textId="77777777" w:rsidR="00F04442" w:rsidRPr="00860E03" w:rsidRDefault="00F04442" w:rsidP="00B57962">
            <w:pPr>
              <w:pStyle w:val="ARtablecolheadright"/>
            </w:pPr>
            <w:r w:rsidRPr="00860E03">
              <w:t>2018–19 estimate</w:t>
            </w:r>
          </w:p>
        </w:tc>
        <w:tc>
          <w:tcPr>
            <w:tcW w:w="1701" w:type="dxa"/>
            <w:vAlign w:val="bottom"/>
          </w:tcPr>
          <w:p w14:paraId="07CA0F88" w14:textId="77777777" w:rsidR="00F04442" w:rsidRPr="00860E03" w:rsidRDefault="00F04442" w:rsidP="00B57962">
            <w:pPr>
              <w:pStyle w:val="ARtablecolheadright"/>
            </w:pPr>
            <w:r w:rsidRPr="00860E03">
              <w:t>2017–18 estimate</w:t>
            </w:r>
          </w:p>
        </w:tc>
        <w:tc>
          <w:tcPr>
            <w:tcW w:w="1701" w:type="dxa"/>
            <w:vAlign w:val="bottom"/>
          </w:tcPr>
          <w:p w14:paraId="6DC29285" w14:textId="77777777" w:rsidR="00F04442" w:rsidRPr="00860E03" w:rsidRDefault="00F04442" w:rsidP="00B57962">
            <w:pPr>
              <w:pStyle w:val="ARtablecolheadright"/>
            </w:pPr>
            <w:r w:rsidRPr="00860E03">
              <w:t>2016–17 estimate</w:t>
            </w:r>
          </w:p>
        </w:tc>
      </w:tr>
      <w:tr w:rsidR="00F04442" w:rsidRPr="00860E03" w14:paraId="6826833F" w14:textId="77777777" w:rsidTr="00B57962">
        <w:trPr>
          <w:cantSplit/>
          <w:trHeight w:val="107"/>
        </w:trPr>
        <w:tc>
          <w:tcPr>
            <w:tcW w:w="4536" w:type="dxa"/>
          </w:tcPr>
          <w:p w14:paraId="188FD3CC" w14:textId="77777777" w:rsidR="00F04442" w:rsidRPr="00860E03" w:rsidRDefault="00F04442" w:rsidP="00B57962">
            <w:pPr>
              <w:pStyle w:val="ARtabletext"/>
            </w:pPr>
            <w:r w:rsidRPr="00860E03">
              <w:t>Central business district</w:t>
            </w:r>
          </w:p>
        </w:tc>
        <w:tc>
          <w:tcPr>
            <w:tcW w:w="1701" w:type="dxa"/>
          </w:tcPr>
          <w:p w14:paraId="60BCEFCE" w14:textId="77777777" w:rsidR="00F04442" w:rsidRPr="00860E03" w:rsidRDefault="00F04442" w:rsidP="00B57962">
            <w:pPr>
              <w:pStyle w:val="ARtabletextright"/>
            </w:pPr>
            <w:r w:rsidRPr="00860E03">
              <w:t>96%</w:t>
            </w:r>
          </w:p>
        </w:tc>
        <w:tc>
          <w:tcPr>
            <w:tcW w:w="1701" w:type="dxa"/>
          </w:tcPr>
          <w:p w14:paraId="4B48A29A" w14:textId="77777777" w:rsidR="00F04442" w:rsidRPr="00860E03" w:rsidRDefault="00F04442" w:rsidP="00B57962">
            <w:pPr>
              <w:pStyle w:val="ARtabletextright"/>
            </w:pPr>
            <w:r w:rsidRPr="00860E03">
              <w:t>95%</w:t>
            </w:r>
          </w:p>
        </w:tc>
        <w:tc>
          <w:tcPr>
            <w:tcW w:w="1701" w:type="dxa"/>
          </w:tcPr>
          <w:p w14:paraId="3C92D5F2" w14:textId="77777777" w:rsidR="00F04442" w:rsidRPr="00860E03" w:rsidRDefault="00F04442" w:rsidP="00B57962">
            <w:pPr>
              <w:pStyle w:val="ARtabletextright"/>
            </w:pPr>
            <w:r w:rsidRPr="00860E03">
              <w:t>96%</w:t>
            </w:r>
          </w:p>
        </w:tc>
      </w:tr>
      <w:tr w:rsidR="00F04442" w:rsidRPr="00860E03" w14:paraId="2E3AB811" w14:textId="77777777" w:rsidTr="00B57962">
        <w:trPr>
          <w:cantSplit/>
          <w:trHeight w:val="107"/>
        </w:trPr>
        <w:tc>
          <w:tcPr>
            <w:tcW w:w="4536" w:type="dxa"/>
          </w:tcPr>
          <w:p w14:paraId="2885FC07" w14:textId="77777777" w:rsidR="00F04442" w:rsidRPr="00860E03" w:rsidRDefault="00F04442" w:rsidP="00B57962">
            <w:pPr>
              <w:pStyle w:val="ARtabletext"/>
            </w:pPr>
            <w:r w:rsidRPr="00860E03">
              <w:t>Metropolitan</w:t>
            </w:r>
          </w:p>
        </w:tc>
        <w:tc>
          <w:tcPr>
            <w:tcW w:w="1701" w:type="dxa"/>
          </w:tcPr>
          <w:p w14:paraId="372260DA" w14:textId="77777777" w:rsidR="00F04442" w:rsidRPr="00860E03" w:rsidRDefault="00F04442" w:rsidP="00B57962">
            <w:pPr>
              <w:pStyle w:val="ARtabletextright"/>
            </w:pPr>
            <w:r w:rsidRPr="00860E03">
              <w:t>67%</w:t>
            </w:r>
          </w:p>
        </w:tc>
        <w:tc>
          <w:tcPr>
            <w:tcW w:w="1701" w:type="dxa"/>
          </w:tcPr>
          <w:p w14:paraId="3CEA4989" w14:textId="77777777" w:rsidR="00F04442" w:rsidRPr="00860E03" w:rsidRDefault="00F04442" w:rsidP="00B57962">
            <w:pPr>
              <w:pStyle w:val="ARtabletextright"/>
            </w:pPr>
            <w:r w:rsidRPr="00860E03">
              <w:t>48%</w:t>
            </w:r>
          </w:p>
        </w:tc>
        <w:tc>
          <w:tcPr>
            <w:tcW w:w="1701" w:type="dxa"/>
          </w:tcPr>
          <w:p w14:paraId="0313EB68" w14:textId="77777777" w:rsidR="00F04442" w:rsidRPr="00860E03" w:rsidRDefault="00F04442" w:rsidP="00B57962">
            <w:pPr>
              <w:pStyle w:val="ARtabletextright"/>
            </w:pPr>
            <w:r w:rsidRPr="00860E03">
              <w:t>55%</w:t>
            </w:r>
          </w:p>
        </w:tc>
      </w:tr>
      <w:tr w:rsidR="00F04442" w:rsidRPr="00860E03" w14:paraId="7CE3859C" w14:textId="77777777" w:rsidTr="00B57962">
        <w:trPr>
          <w:cantSplit/>
          <w:trHeight w:val="107"/>
        </w:trPr>
        <w:tc>
          <w:tcPr>
            <w:tcW w:w="4536" w:type="dxa"/>
          </w:tcPr>
          <w:p w14:paraId="1DB4425E" w14:textId="77777777" w:rsidR="00F04442" w:rsidRPr="00860E03" w:rsidRDefault="00F04442" w:rsidP="00B57962">
            <w:pPr>
              <w:pStyle w:val="ARtabletext"/>
            </w:pPr>
            <w:r w:rsidRPr="00860E03">
              <w:t>Regional/rural</w:t>
            </w:r>
          </w:p>
        </w:tc>
        <w:tc>
          <w:tcPr>
            <w:tcW w:w="1701" w:type="dxa"/>
          </w:tcPr>
          <w:p w14:paraId="2762C0A1" w14:textId="77777777" w:rsidR="00F04442" w:rsidRPr="00860E03" w:rsidRDefault="00F04442" w:rsidP="00B57962">
            <w:pPr>
              <w:pStyle w:val="ARtabletextright"/>
            </w:pPr>
            <w:r w:rsidRPr="00860E03">
              <w:t>45%</w:t>
            </w:r>
          </w:p>
        </w:tc>
        <w:tc>
          <w:tcPr>
            <w:tcW w:w="1701" w:type="dxa"/>
          </w:tcPr>
          <w:p w14:paraId="1284A7F9" w14:textId="77777777" w:rsidR="00F04442" w:rsidRPr="00860E03" w:rsidRDefault="00F04442" w:rsidP="00B57962">
            <w:pPr>
              <w:pStyle w:val="ARtabletextright"/>
            </w:pPr>
            <w:r w:rsidRPr="00860E03">
              <w:t>26%</w:t>
            </w:r>
          </w:p>
        </w:tc>
        <w:tc>
          <w:tcPr>
            <w:tcW w:w="1701" w:type="dxa"/>
          </w:tcPr>
          <w:p w14:paraId="062CB9E0" w14:textId="77777777" w:rsidR="00F04442" w:rsidRPr="00860E03" w:rsidRDefault="00F04442" w:rsidP="00B57962">
            <w:pPr>
              <w:pStyle w:val="ARtabletextright"/>
            </w:pPr>
            <w:r w:rsidRPr="00860E03">
              <w:t>38%</w:t>
            </w:r>
          </w:p>
        </w:tc>
      </w:tr>
      <w:tr w:rsidR="00F04442" w:rsidRPr="00860E03" w14:paraId="1F9F3457" w14:textId="77777777" w:rsidTr="00B57962">
        <w:trPr>
          <w:cantSplit/>
          <w:trHeight w:val="107"/>
        </w:trPr>
        <w:tc>
          <w:tcPr>
            <w:tcW w:w="4536" w:type="dxa"/>
          </w:tcPr>
          <w:p w14:paraId="3F89BD90" w14:textId="77777777" w:rsidR="00F04442" w:rsidRPr="00860E03" w:rsidRDefault="00F04442" w:rsidP="00B57962">
            <w:pPr>
              <w:pStyle w:val="ARtabletext"/>
              <w:rPr>
                <w:b/>
              </w:rPr>
            </w:pPr>
            <w:r w:rsidRPr="00860E03">
              <w:rPr>
                <w:b/>
              </w:rPr>
              <w:t>Total</w:t>
            </w:r>
          </w:p>
        </w:tc>
        <w:tc>
          <w:tcPr>
            <w:tcW w:w="1701" w:type="dxa"/>
          </w:tcPr>
          <w:p w14:paraId="223A1BF3" w14:textId="77777777" w:rsidR="00F04442" w:rsidRPr="00860E03" w:rsidRDefault="00F04442" w:rsidP="00B57962">
            <w:pPr>
              <w:pStyle w:val="ARtabletextrightbold"/>
            </w:pPr>
            <w:r w:rsidRPr="00860E03">
              <w:t>88%</w:t>
            </w:r>
          </w:p>
        </w:tc>
        <w:tc>
          <w:tcPr>
            <w:tcW w:w="1701" w:type="dxa"/>
          </w:tcPr>
          <w:p w14:paraId="2A4EFC91" w14:textId="77777777" w:rsidR="00F04442" w:rsidRPr="00860E03" w:rsidRDefault="00F04442" w:rsidP="00B57962">
            <w:pPr>
              <w:pStyle w:val="ARtabletextrightbold"/>
            </w:pPr>
            <w:r w:rsidRPr="00860E03">
              <w:t>80%</w:t>
            </w:r>
          </w:p>
        </w:tc>
        <w:tc>
          <w:tcPr>
            <w:tcW w:w="1701" w:type="dxa"/>
          </w:tcPr>
          <w:p w14:paraId="333BFE80" w14:textId="77777777" w:rsidR="00F04442" w:rsidRPr="00860E03" w:rsidRDefault="00F04442" w:rsidP="00B57962">
            <w:pPr>
              <w:pStyle w:val="ARtabletextrightbold"/>
            </w:pPr>
            <w:r w:rsidRPr="00860E03">
              <w:t>84%</w:t>
            </w:r>
          </w:p>
        </w:tc>
      </w:tr>
    </w:tbl>
    <w:p w14:paraId="39A7BE27" w14:textId="77777777" w:rsidR="00F73A80" w:rsidRPr="00860E03" w:rsidRDefault="00F73A80" w:rsidP="00F73A80">
      <w:pPr>
        <w:pStyle w:val="ARtablefootnote"/>
      </w:pPr>
      <w:r w:rsidRPr="00860E03">
        <w:t>Sustainable transport data was obtained from the department’s travel survey conducted in May 2019. Results exclude responses from surveyed staff who were on leave or did not travel to work during the survey period.</w:t>
      </w:r>
    </w:p>
    <w:p w14:paraId="7336C21F" w14:textId="77777777" w:rsidR="00F73A80" w:rsidRPr="007939DD" w:rsidRDefault="00F73A80" w:rsidP="00F73A80">
      <w:pPr>
        <w:pStyle w:val="Heading2"/>
      </w:pPr>
      <w:r w:rsidRPr="007939DD">
        <w:t>Procurement and paper</w:t>
      </w:r>
    </w:p>
    <w:p w14:paraId="16C204F1" w14:textId="77777777" w:rsidR="00F04442" w:rsidRPr="007939DD" w:rsidRDefault="00F04442" w:rsidP="00F04442">
      <w:pPr>
        <w:pStyle w:val="Heading3"/>
      </w:pPr>
      <w:r w:rsidRPr="007939DD">
        <w:t>Procurement of office products and stationery with environmental considerations from departmental operations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F04442" w:rsidRPr="00860E03" w14:paraId="0148CCAA" w14:textId="77777777" w:rsidTr="00B57962">
        <w:trPr>
          <w:cantSplit/>
          <w:tblHeader/>
        </w:trPr>
        <w:tc>
          <w:tcPr>
            <w:tcW w:w="4536" w:type="dxa"/>
            <w:vAlign w:val="bottom"/>
          </w:tcPr>
          <w:p w14:paraId="2C4457C3" w14:textId="77777777" w:rsidR="00F04442" w:rsidRPr="00860E03" w:rsidRDefault="00F04442" w:rsidP="00B57962">
            <w:pPr>
              <w:pStyle w:val="ARtablecolhead"/>
            </w:pPr>
            <w:r w:rsidRPr="00860E03">
              <w:t>Percentage of expenditure incorporating environmental considerations</w:t>
            </w:r>
          </w:p>
        </w:tc>
        <w:tc>
          <w:tcPr>
            <w:tcW w:w="1701" w:type="dxa"/>
            <w:vAlign w:val="bottom"/>
          </w:tcPr>
          <w:p w14:paraId="54E78EE2" w14:textId="77777777" w:rsidR="00F04442" w:rsidRPr="00860E03" w:rsidRDefault="00F04442" w:rsidP="00B57962">
            <w:pPr>
              <w:pStyle w:val="ARtablecolheadright"/>
            </w:pPr>
            <w:r w:rsidRPr="00860E03">
              <w:t>2018–19 actual</w:t>
            </w:r>
          </w:p>
        </w:tc>
        <w:tc>
          <w:tcPr>
            <w:tcW w:w="1701" w:type="dxa"/>
            <w:vAlign w:val="bottom"/>
          </w:tcPr>
          <w:p w14:paraId="52615309" w14:textId="77777777" w:rsidR="00F04442" w:rsidRPr="00860E03" w:rsidRDefault="00F04442" w:rsidP="00B57962">
            <w:pPr>
              <w:pStyle w:val="ARtablecolheadright"/>
            </w:pPr>
            <w:r w:rsidRPr="00860E03">
              <w:t>2017–18 actual</w:t>
            </w:r>
          </w:p>
        </w:tc>
        <w:tc>
          <w:tcPr>
            <w:tcW w:w="1701" w:type="dxa"/>
            <w:vAlign w:val="bottom"/>
          </w:tcPr>
          <w:p w14:paraId="7ABB5F6D" w14:textId="77777777" w:rsidR="00F04442" w:rsidRPr="00860E03" w:rsidRDefault="00F04442" w:rsidP="00B57962">
            <w:pPr>
              <w:pStyle w:val="ARtablecolheadright"/>
            </w:pPr>
            <w:r w:rsidRPr="00860E03">
              <w:t>2016–17 actual</w:t>
            </w:r>
          </w:p>
        </w:tc>
      </w:tr>
      <w:tr w:rsidR="00F04442" w:rsidRPr="00860E03" w14:paraId="135900AA" w14:textId="77777777" w:rsidTr="00B57962">
        <w:trPr>
          <w:cantSplit/>
        </w:trPr>
        <w:tc>
          <w:tcPr>
            <w:tcW w:w="4536" w:type="dxa"/>
          </w:tcPr>
          <w:p w14:paraId="60E0572B" w14:textId="77777777" w:rsidR="00F04442" w:rsidRPr="00860E03" w:rsidRDefault="00F04442" w:rsidP="00B57962">
            <w:pPr>
              <w:pStyle w:val="ARtabletext"/>
            </w:pPr>
            <w:r w:rsidRPr="00860E03">
              <w:t>Furniture</w:t>
            </w:r>
          </w:p>
        </w:tc>
        <w:tc>
          <w:tcPr>
            <w:tcW w:w="1701" w:type="dxa"/>
          </w:tcPr>
          <w:p w14:paraId="197CFC6B" w14:textId="77777777" w:rsidR="00F04442" w:rsidRPr="00860E03" w:rsidRDefault="00F04442" w:rsidP="00B57962">
            <w:pPr>
              <w:pStyle w:val="ARtabletextright"/>
            </w:pPr>
            <w:r w:rsidRPr="00860E03">
              <w:t>32%</w:t>
            </w:r>
          </w:p>
        </w:tc>
        <w:tc>
          <w:tcPr>
            <w:tcW w:w="1701" w:type="dxa"/>
          </w:tcPr>
          <w:p w14:paraId="6AEC541C" w14:textId="77777777" w:rsidR="00F04442" w:rsidRPr="00860E03" w:rsidRDefault="00F04442" w:rsidP="00B57962">
            <w:pPr>
              <w:pStyle w:val="ARtabletextright"/>
            </w:pPr>
            <w:r w:rsidRPr="00860E03">
              <w:t>1%</w:t>
            </w:r>
          </w:p>
        </w:tc>
        <w:tc>
          <w:tcPr>
            <w:tcW w:w="1701" w:type="dxa"/>
          </w:tcPr>
          <w:p w14:paraId="07639BB4" w14:textId="77777777" w:rsidR="00F04442" w:rsidRPr="00860E03" w:rsidRDefault="00F04442" w:rsidP="00B57962">
            <w:pPr>
              <w:pStyle w:val="ARtabletextright"/>
            </w:pPr>
            <w:r w:rsidRPr="00860E03">
              <w:t>2%</w:t>
            </w:r>
          </w:p>
        </w:tc>
      </w:tr>
      <w:tr w:rsidR="00F04442" w:rsidRPr="00860E03" w14:paraId="4828E38A" w14:textId="77777777" w:rsidTr="00B57962">
        <w:trPr>
          <w:cantSplit/>
        </w:trPr>
        <w:tc>
          <w:tcPr>
            <w:tcW w:w="4536" w:type="dxa"/>
          </w:tcPr>
          <w:p w14:paraId="587B3D0B" w14:textId="77777777" w:rsidR="00F04442" w:rsidRPr="00860E03" w:rsidRDefault="00F04442" w:rsidP="00B57962">
            <w:pPr>
              <w:pStyle w:val="ARtabletext"/>
            </w:pPr>
            <w:r w:rsidRPr="00860E03">
              <w:t>Kitchen</w:t>
            </w:r>
          </w:p>
        </w:tc>
        <w:tc>
          <w:tcPr>
            <w:tcW w:w="1701" w:type="dxa"/>
          </w:tcPr>
          <w:p w14:paraId="0AE1AD2F" w14:textId="77777777" w:rsidR="00F04442" w:rsidRPr="00860E03" w:rsidRDefault="00F04442" w:rsidP="00B57962">
            <w:pPr>
              <w:pStyle w:val="ARtabletextright"/>
            </w:pPr>
            <w:r w:rsidRPr="00860E03">
              <w:t>19%</w:t>
            </w:r>
          </w:p>
        </w:tc>
        <w:tc>
          <w:tcPr>
            <w:tcW w:w="1701" w:type="dxa"/>
          </w:tcPr>
          <w:p w14:paraId="0EBDA3EB" w14:textId="77777777" w:rsidR="00F04442" w:rsidRPr="00860E03" w:rsidRDefault="00F04442" w:rsidP="00B57962">
            <w:pPr>
              <w:pStyle w:val="ARtabletextright"/>
            </w:pPr>
            <w:r w:rsidRPr="00860E03">
              <w:t>16%</w:t>
            </w:r>
          </w:p>
        </w:tc>
        <w:tc>
          <w:tcPr>
            <w:tcW w:w="1701" w:type="dxa"/>
          </w:tcPr>
          <w:p w14:paraId="1C46188F" w14:textId="77777777" w:rsidR="00F04442" w:rsidRPr="00860E03" w:rsidRDefault="00F04442" w:rsidP="00B57962">
            <w:pPr>
              <w:pStyle w:val="ARtabletextright"/>
            </w:pPr>
            <w:r w:rsidRPr="00860E03">
              <w:t>17%</w:t>
            </w:r>
          </w:p>
        </w:tc>
      </w:tr>
      <w:tr w:rsidR="00F04442" w:rsidRPr="00860E03" w14:paraId="4DDC9349" w14:textId="77777777" w:rsidTr="00B57962">
        <w:trPr>
          <w:cantSplit/>
        </w:trPr>
        <w:tc>
          <w:tcPr>
            <w:tcW w:w="4536" w:type="dxa"/>
          </w:tcPr>
          <w:p w14:paraId="63AE0ACF" w14:textId="77777777" w:rsidR="00F04442" w:rsidRPr="00860E03" w:rsidRDefault="00F04442" w:rsidP="00B57962">
            <w:pPr>
              <w:pStyle w:val="ARtabletext"/>
            </w:pPr>
            <w:r w:rsidRPr="00860E03">
              <w:t>Facilities solutions</w:t>
            </w:r>
          </w:p>
        </w:tc>
        <w:tc>
          <w:tcPr>
            <w:tcW w:w="1701" w:type="dxa"/>
          </w:tcPr>
          <w:p w14:paraId="26E193B2" w14:textId="77777777" w:rsidR="00F04442" w:rsidRPr="00860E03" w:rsidRDefault="00F04442" w:rsidP="00B57962">
            <w:pPr>
              <w:pStyle w:val="ARtabletextright"/>
            </w:pPr>
            <w:r w:rsidRPr="00860E03">
              <w:t>27%</w:t>
            </w:r>
          </w:p>
        </w:tc>
        <w:tc>
          <w:tcPr>
            <w:tcW w:w="1701" w:type="dxa"/>
          </w:tcPr>
          <w:p w14:paraId="36EBEE1A" w14:textId="77777777" w:rsidR="00F04442" w:rsidRPr="00860E03" w:rsidRDefault="00F04442" w:rsidP="00B57962">
            <w:pPr>
              <w:pStyle w:val="ARtabletextright"/>
            </w:pPr>
            <w:r w:rsidRPr="00860E03">
              <w:t>19%</w:t>
            </w:r>
          </w:p>
        </w:tc>
        <w:tc>
          <w:tcPr>
            <w:tcW w:w="1701" w:type="dxa"/>
          </w:tcPr>
          <w:p w14:paraId="141A3E81" w14:textId="77777777" w:rsidR="00F04442" w:rsidRPr="00860E03" w:rsidRDefault="00F04442" w:rsidP="00B57962">
            <w:pPr>
              <w:pStyle w:val="ARtabletextright"/>
            </w:pPr>
            <w:r w:rsidRPr="00860E03">
              <w:t>29%</w:t>
            </w:r>
          </w:p>
        </w:tc>
      </w:tr>
      <w:tr w:rsidR="00F04442" w:rsidRPr="00860E03" w14:paraId="6B92DF5F" w14:textId="77777777" w:rsidTr="00B57962">
        <w:trPr>
          <w:cantSplit/>
        </w:trPr>
        <w:tc>
          <w:tcPr>
            <w:tcW w:w="4536" w:type="dxa"/>
          </w:tcPr>
          <w:p w14:paraId="220B28BE" w14:textId="77777777" w:rsidR="00F04442" w:rsidRPr="00860E03" w:rsidRDefault="00F04442" w:rsidP="00B57962">
            <w:pPr>
              <w:pStyle w:val="ARtabletext"/>
            </w:pPr>
            <w:r w:rsidRPr="00860E03">
              <w:t>Office products</w:t>
            </w:r>
          </w:p>
        </w:tc>
        <w:tc>
          <w:tcPr>
            <w:tcW w:w="1701" w:type="dxa"/>
          </w:tcPr>
          <w:p w14:paraId="2126D6F8" w14:textId="77777777" w:rsidR="00F04442" w:rsidRPr="00860E03" w:rsidRDefault="00F04442" w:rsidP="00B57962">
            <w:pPr>
              <w:pStyle w:val="ARtabletextright"/>
            </w:pPr>
            <w:r w:rsidRPr="00860E03">
              <w:t>14%</w:t>
            </w:r>
          </w:p>
        </w:tc>
        <w:tc>
          <w:tcPr>
            <w:tcW w:w="1701" w:type="dxa"/>
          </w:tcPr>
          <w:p w14:paraId="6A11A8AE" w14:textId="77777777" w:rsidR="00F04442" w:rsidRPr="00860E03" w:rsidRDefault="00F04442" w:rsidP="00B57962">
            <w:pPr>
              <w:pStyle w:val="ARtabletextright"/>
            </w:pPr>
            <w:r w:rsidRPr="00860E03">
              <w:t>14%</w:t>
            </w:r>
          </w:p>
        </w:tc>
        <w:tc>
          <w:tcPr>
            <w:tcW w:w="1701" w:type="dxa"/>
          </w:tcPr>
          <w:p w14:paraId="42810B14" w14:textId="77777777" w:rsidR="00F04442" w:rsidRPr="00860E03" w:rsidRDefault="00F04442" w:rsidP="00B57962">
            <w:pPr>
              <w:pStyle w:val="ARtabletextright"/>
            </w:pPr>
            <w:r w:rsidRPr="00860E03">
              <w:t>12%</w:t>
            </w:r>
          </w:p>
        </w:tc>
      </w:tr>
      <w:tr w:rsidR="00F04442" w:rsidRPr="00860E03" w14:paraId="68ADEE04" w14:textId="77777777" w:rsidTr="00B57962">
        <w:trPr>
          <w:cantSplit/>
        </w:trPr>
        <w:tc>
          <w:tcPr>
            <w:tcW w:w="4536" w:type="dxa"/>
          </w:tcPr>
          <w:p w14:paraId="7C9028EF" w14:textId="77777777" w:rsidR="00F04442" w:rsidRPr="00860E03" w:rsidRDefault="00F04442" w:rsidP="00B57962">
            <w:pPr>
              <w:pStyle w:val="ARtabletext"/>
              <w:rPr>
                <w:b/>
              </w:rPr>
            </w:pPr>
            <w:r w:rsidRPr="00860E03">
              <w:rPr>
                <w:b/>
              </w:rPr>
              <w:t>Total expenditure</w:t>
            </w:r>
          </w:p>
        </w:tc>
        <w:tc>
          <w:tcPr>
            <w:tcW w:w="1701" w:type="dxa"/>
          </w:tcPr>
          <w:p w14:paraId="417F488B" w14:textId="77777777" w:rsidR="00F04442" w:rsidRPr="00860E03" w:rsidRDefault="00F04442" w:rsidP="00B57962">
            <w:pPr>
              <w:pStyle w:val="ARtabletextrightbold"/>
            </w:pPr>
            <w:r w:rsidRPr="00860E03">
              <w:t>19%</w:t>
            </w:r>
          </w:p>
        </w:tc>
        <w:tc>
          <w:tcPr>
            <w:tcW w:w="1701" w:type="dxa"/>
          </w:tcPr>
          <w:p w14:paraId="4B0ECFBE" w14:textId="77777777" w:rsidR="00F04442" w:rsidRPr="00860E03" w:rsidRDefault="00F04442" w:rsidP="00B57962">
            <w:pPr>
              <w:pStyle w:val="ARtabletextrightbold"/>
            </w:pPr>
            <w:r w:rsidRPr="00860E03">
              <w:t>12%</w:t>
            </w:r>
          </w:p>
        </w:tc>
        <w:tc>
          <w:tcPr>
            <w:tcW w:w="1701" w:type="dxa"/>
          </w:tcPr>
          <w:p w14:paraId="12447E4C" w14:textId="77777777" w:rsidR="00F04442" w:rsidRPr="00860E03" w:rsidRDefault="00F04442" w:rsidP="00B57962">
            <w:pPr>
              <w:pStyle w:val="ARtabletextrightbold"/>
            </w:pPr>
            <w:r w:rsidRPr="00860E03">
              <w:t>14%</w:t>
            </w:r>
          </w:p>
        </w:tc>
      </w:tr>
    </w:tbl>
    <w:p w14:paraId="7391096F" w14:textId="77777777" w:rsidR="00F73A80" w:rsidRPr="00860E03" w:rsidRDefault="00F73A80" w:rsidP="00F73A80">
      <w:pPr>
        <w:pStyle w:val="ARtablefootnote"/>
      </w:pPr>
      <w:r w:rsidRPr="00860E03">
        <w:t>Office products and stationery data is obtained from the department’s state purchase contract. Environmental consideration is based on the supplier’s Planet Friendly category criteria for procured products.</w:t>
      </w:r>
    </w:p>
    <w:p w14:paraId="1E23DC71" w14:textId="77777777" w:rsidR="00F73A80" w:rsidRPr="00860E03" w:rsidRDefault="00F73A80" w:rsidP="00F73A80">
      <w:pPr>
        <w:pStyle w:val="ARtablefootnote"/>
      </w:pPr>
      <w:r w:rsidRPr="00860E03">
        <w:t>Results include: expenditure on office furniture</w:t>
      </w:r>
      <w:r w:rsidR="00A64DEB">
        <w:t>,</w:t>
      </w:r>
      <w:r w:rsidR="00A64DEB" w:rsidRPr="00860E03">
        <w:t xml:space="preserve"> </w:t>
      </w:r>
      <w:r w:rsidRPr="00860E03">
        <w:t>coffee and catering supplies</w:t>
      </w:r>
      <w:r w:rsidR="00A64DEB">
        <w:t>,</w:t>
      </w:r>
      <w:r w:rsidR="00A64DEB" w:rsidRPr="00860E03">
        <w:t xml:space="preserve"> </w:t>
      </w:r>
      <w:r w:rsidRPr="00860E03">
        <w:t>janitorial products</w:t>
      </w:r>
      <w:r w:rsidR="00A64DEB">
        <w:t>,</w:t>
      </w:r>
      <w:r w:rsidR="00A64DEB" w:rsidRPr="00860E03">
        <w:t xml:space="preserve"> </w:t>
      </w:r>
      <w:r w:rsidRPr="00860E03">
        <w:t>packaging</w:t>
      </w:r>
      <w:r w:rsidR="00A64DEB">
        <w:t>,</w:t>
      </w:r>
      <w:r w:rsidR="00A64DEB" w:rsidRPr="00860E03">
        <w:t xml:space="preserve"> </w:t>
      </w:r>
      <w:r w:rsidRPr="00860E03">
        <w:t>workplace safety supplies</w:t>
      </w:r>
      <w:r w:rsidR="00A64DEB">
        <w:t>,</w:t>
      </w:r>
      <w:r w:rsidRPr="00860E03">
        <w:t xml:space="preserve"> educational supplies</w:t>
      </w:r>
      <w:r w:rsidR="00A64DEB">
        <w:t>,</w:t>
      </w:r>
      <w:r w:rsidR="00A64DEB" w:rsidRPr="00860E03">
        <w:t xml:space="preserve"> </w:t>
      </w:r>
      <w:r w:rsidRPr="00860E03">
        <w:t>computer hardware</w:t>
      </w:r>
      <w:r w:rsidR="00A64DEB">
        <w:t>,</w:t>
      </w:r>
      <w:r w:rsidR="00A64DEB" w:rsidRPr="00860E03">
        <w:t xml:space="preserve"> </w:t>
      </w:r>
      <w:r w:rsidRPr="00860E03">
        <w:t>office technology products</w:t>
      </w:r>
      <w:r w:rsidR="00A64DEB">
        <w:t>,</w:t>
      </w:r>
      <w:r w:rsidR="00A64DEB" w:rsidRPr="00860E03">
        <w:t xml:space="preserve"> </w:t>
      </w:r>
      <w:r w:rsidRPr="00860E03">
        <w:t>computer consumables</w:t>
      </w:r>
      <w:r w:rsidR="00A64DEB">
        <w:t>,</w:t>
      </w:r>
      <w:r w:rsidR="00A64DEB" w:rsidRPr="00860E03">
        <w:t xml:space="preserve"> </w:t>
      </w:r>
      <w:r w:rsidRPr="00860E03">
        <w:t>general office products</w:t>
      </w:r>
      <w:r w:rsidR="00A64DEB">
        <w:t>,</w:t>
      </w:r>
      <w:r w:rsidR="00A64DEB" w:rsidRPr="00860E03">
        <w:t xml:space="preserve"> </w:t>
      </w:r>
      <w:r w:rsidRPr="00860E03">
        <w:t>office filing and storage</w:t>
      </w:r>
      <w:r w:rsidR="00A64DEB">
        <w:t>,</w:t>
      </w:r>
      <w:r w:rsidR="00A64DEB" w:rsidRPr="00860E03">
        <w:t xml:space="preserve"> </w:t>
      </w:r>
      <w:r w:rsidRPr="00860E03">
        <w:t>office machines and electronics</w:t>
      </w:r>
      <w:r w:rsidR="00A64DEB">
        <w:t>,</w:t>
      </w:r>
      <w:r w:rsidRPr="00860E03">
        <w:t xml:space="preserve"> and writing instruments.</w:t>
      </w:r>
    </w:p>
    <w:p w14:paraId="60CC8AEE" w14:textId="77777777" w:rsidR="00F04442" w:rsidRPr="007939DD" w:rsidRDefault="00F04442" w:rsidP="00F04442">
      <w:pPr>
        <w:pStyle w:val="Heading3"/>
      </w:pPr>
      <w:r w:rsidRPr="007939DD">
        <w:t>Paper use from departmental operations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F04442" w:rsidRPr="00860E03" w14:paraId="46FC807A" w14:textId="77777777" w:rsidTr="00B57962">
        <w:trPr>
          <w:cantSplit/>
          <w:tblHeader/>
        </w:trPr>
        <w:tc>
          <w:tcPr>
            <w:tcW w:w="4536" w:type="dxa"/>
            <w:vAlign w:val="bottom"/>
          </w:tcPr>
          <w:p w14:paraId="21FAA8ED" w14:textId="77777777" w:rsidR="00F04442" w:rsidRPr="00860E03" w:rsidRDefault="00F04442" w:rsidP="00B57962">
            <w:pPr>
              <w:pStyle w:val="ARtablecolhead"/>
              <w:spacing w:line="240" w:lineRule="auto"/>
            </w:pPr>
            <w:r w:rsidRPr="00860E03">
              <w:t>Description</w:t>
            </w:r>
          </w:p>
        </w:tc>
        <w:tc>
          <w:tcPr>
            <w:tcW w:w="1701" w:type="dxa"/>
            <w:vAlign w:val="bottom"/>
          </w:tcPr>
          <w:p w14:paraId="282F451F" w14:textId="77777777" w:rsidR="00F04442" w:rsidRPr="00860E03" w:rsidRDefault="00F04442" w:rsidP="00B57962">
            <w:pPr>
              <w:pStyle w:val="ARtablecolheadright"/>
            </w:pPr>
            <w:r w:rsidRPr="00860E03">
              <w:t>2018–19 actual</w:t>
            </w:r>
          </w:p>
        </w:tc>
        <w:tc>
          <w:tcPr>
            <w:tcW w:w="1701" w:type="dxa"/>
            <w:vAlign w:val="bottom"/>
          </w:tcPr>
          <w:p w14:paraId="387B7281" w14:textId="77777777" w:rsidR="00F04442" w:rsidRPr="00860E03" w:rsidRDefault="00F04442" w:rsidP="00B57962">
            <w:pPr>
              <w:pStyle w:val="ARtablecolheadright"/>
            </w:pPr>
            <w:r w:rsidRPr="00860E03">
              <w:t>2017–18 actual</w:t>
            </w:r>
          </w:p>
        </w:tc>
        <w:tc>
          <w:tcPr>
            <w:tcW w:w="1701" w:type="dxa"/>
            <w:vAlign w:val="bottom"/>
          </w:tcPr>
          <w:p w14:paraId="72E49A33" w14:textId="77777777" w:rsidR="00F04442" w:rsidRPr="00860E03" w:rsidRDefault="00F04442" w:rsidP="00B57962">
            <w:pPr>
              <w:pStyle w:val="ARtablecolheadright"/>
            </w:pPr>
            <w:r w:rsidRPr="00860E03">
              <w:t>2016–17 actual</w:t>
            </w:r>
          </w:p>
        </w:tc>
      </w:tr>
      <w:tr w:rsidR="00F04442" w:rsidRPr="00860E03" w14:paraId="109CE3A7" w14:textId="77777777" w:rsidTr="00B57962">
        <w:trPr>
          <w:cantSplit/>
        </w:trPr>
        <w:tc>
          <w:tcPr>
            <w:tcW w:w="4536" w:type="dxa"/>
          </w:tcPr>
          <w:p w14:paraId="5FD99C2A" w14:textId="77777777" w:rsidR="00F04442" w:rsidRPr="00860E03" w:rsidRDefault="00F04442" w:rsidP="00B57962">
            <w:pPr>
              <w:pStyle w:val="ARtabletext"/>
            </w:pPr>
            <w:r w:rsidRPr="00860E03">
              <w:t>Total units of paper used – A4 equivalent (reams)</w:t>
            </w:r>
          </w:p>
        </w:tc>
        <w:tc>
          <w:tcPr>
            <w:tcW w:w="1701" w:type="dxa"/>
          </w:tcPr>
          <w:p w14:paraId="3A48DAEA" w14:textId="77777777" w:rsidR="00F04442" w:rsidRPr="00860E03" w:rsidRDefault="00F04442" w:rsidP="00B57962">
            <w:pPr>
              <w:pStyle w:val="ARtabletextright"/>
            </w:pPr>
            <w:r w:rsidRPr="00860E03">
              <w:t>106,925</w:t>
            </w:r>
          </w:p>
        </w:tc>
        <w:tc>
          <w:tcPr>
            <w:tcW w:w="1701" w:type="dxa"/>
          </w:tcPr>
          <w:p w14:paraId="18030CD1" w14:textId="77777777" w:rsidR="00F04442" w:rsidRPr="00860E03" w:rsidRDefault="00F04442" w:rsidP="00B57962">
            <w:pPr>
              <w:pStyle w:val="ARtabletextright"/>
            </w:pPr>
            <w:r w:rsidRPr="00860E03">
              <w:t>110,762</w:t>
            </w:r>
          </w:p>
        </w:tc>
        <w:tc>
          <w:tcPr>
            <w:tcW w:w="1701" w:type="dxa"/>
          </w:tcPr>
          <w:p w14:paraId="480F5E2E" w14:textId="77777777" w:rsidR="00F04442" w:rsidRPr="00860E03" w:rsidRDefault="00F04442" w:rsidP="00B57962">
            <w:pPr>
              <w:pStyle w:val="ARtabletextright"/>
            </w:pPr>
            <w:r w:rsidRPr="00860E03">
              <w:t>108,012</w:t>
            </w:r>
          </w:p>
        </w:tc>
      </w:tr>
      <w:tr w:rsidR="00F04442" w:rsidRPr="00860E03" w14:paraId="24C45E8E" w14:textId="77777777" w:rsidTr="00B57962">
        <w:trPr>
          <w:cantSplit/>
        </w:trPr>
        <w:tc>
          <w:tcPr>
            <w:tcW w:w="4536" w:type="dxa"/>
          </w:tcPr>
          <w:p w14:paraId="6DD64872" w14:textId="77777777" w:rsidR="00F04442" w:rsidRPr="00860E03" w:rsidRDefault="00F04442" w:rsidP="00B57962">
            <w:pPr>
              <w:pStyle w:val="ARtabletext"/>
            </w:pPr>
            <w:r w:rsidRPr="00860E03">
              <w:t>Units of paper used per FTE (reams/FTE)</w:t>
            </w:r>
          </w:p>
        </w:tc>
        <w:tc>
          <w:tcPr>
            <w:tcW w:w="1701" w:type="dxa"/>
          </w:tcPr>
          <w:p w14:paraId="50A621E4" w14:textId="77777777" w:rsidR="00F04442" w:rsidRPr="00860E03" w:rsidRDefault="00F04442" w:rsidP="00B57962">
            <w:pPr>
              <w:pStyle w:val="ARtabletextright"/>
            </w:pPr>
            <w:r w:rsidRPr="00860E03">
              <w:t>10.1</w:t>
            </w:r>
          </w:p>
        </w:tc>
        <w:tc>
          <w:tcPr>
            <w:tcW w:w="1701" w:type="dxa"/>
          </w:tcPr>
          <w:p w14:paraId="106F1800" w14:textId="77777777" w:rsidR="00F04442" w:rsidRPr="00860E03" w:rsidRDefault="00F04442" w:rsidP="00B57962">
            <w:pPr>
              <w:pStyle w:val="ARtabletextright"/>
            </w:pPr>
            <w:r w:rsidRPr="00860E03">
              <w:t>8.9</w:t>
            </w:r>
          </w:p>
        </w:tc>
        <w:tc>
          <w:tcPr>
            <w:tcW w:w="1701" w:type="dxa"/>
          </w:tcPr>
          <w:p w14:paraId="10F86842" w14:textId="77777777" w:rsidR="00F04442" w:rsidRPr="00860E03" w:rsidRDefault="00F04442" w:rsidP="00B57962">
            <w:pPr>
              <w:pStyle w:val="ARtabletextright"/>
            </w:pPr>
            <w:r w:rsidRPr="00860E03">
              <w:t>9.6</w:t>
            </w:r>
          </w:p>
        </w:tc>
      </w:tr>
      <w:tr w:rsidR="00F04442" w:rsidRPr="00860E03" w14:paraId="0D4E6099" w14:textId="77777777" w:rsidTr="00B57962">
        <w:trPr>
          <w:cantSplit/>
        </w:trPr>
        <w:tc>
          <w:tcPr>
            <w:tcW w:w="4536" w:type="dxa"/>
          </w:tcPr>
          <w:p w14:paraId="1C6C385E" w14:textId="77777777" w:rsidR="00F04442" w:rsidRPr="00860E03" w:rsidRDefault="00F04442" w:rsidP="00B57962">
            <w:pPr>
              <w:pStyle w:val="ARtabletext"/>
            </w:pPr>
            <w:r w:rsidRPr="00860E03">
              <w:t>Greenhouse gas emissions associated with paper use (tonnes of CO</w:t>
            </w:r>
            <w:r w:rsidRPr="00860E03">
              <w:rPr>
                <w:vertAlign w:val="subscript"/>
              </w:rPr>
              <w:t>2</w:t>
            </w:r>
            <w:r w:rsidRPr="00860E03">
              <w:t>-e)</w:t>
            </w:r>
          </w:p>
        </w:tc>
        <w:tc>
          <w:tcPr>
            <w:tcW w:w="1701" w:type="dxa"/>
          </w:tcPr>
          <w:p w14:paraId="7EBB2C43" w14:textId="77777777" w:rsidR="00F04442" w:rsidRPr="00860E03" w:rsidRDefault="00F04442" w:rsidP="00B57962">
            <w:pPr>
              <w:pStyle w:val="ARtabletextright"/>
            </w:pPr>
            <w:r w:rsidRPr="00860E03">
              <w:t>393</w:t>
            </w:r>
          </w:p>
        </w:tc>
        <w:tc>
          <w:tcPr>
            <w:tcW w:w="1701" w:type="dxa"/>
          </w:tcPr>
          <w:p w14:paraId="6D9DF66E" w14:textId="77777777" w:rsidR="00F04442" w:rsidRPr="00860E03" w:rsidRDefault="00F04442" w:rsidP="00B57962">
            <w:pPr>
              <w:pStyle w:val="ARtabletextright"/>
            </w:pPr>
            <w:r w:rsidRPr="00860E03">
              <w:t>408</w:t>
            </w:r>
          </w:p>
        </w:tc>
        <w:tc>
          <w:tcPr>
            <w:tcW w:w="1701" w:type="dxa"/>
          </w:tcPr>
          <w:p w14:paraId="6003CFF9" w14:textId="77777777" w:rsidR="00F04442" w:rsidRPr="00860E03" w:rsidRDefault="00F04442" w:rsidP="00B57962">
            <w:pPr>
              <w:pStyle w:val="ARtabletextright"/>
            </w:pPr>
            <w:r w:rsidRPr="00860E03">
              <w:t>382</w:t>
            </w:r>
          </w:p>
        </w:tc>
      </w:tr>
      <w:tr w:rsidR="00F04442" w:rsidRPr="00860E03" w14:paraId="62A7A43F" w14:textId="77777777" w:rsidTr="00B57962">
        <w:trPr>
          <w:cantSplit/>
        </w:trPr>
        <w:tc>
          <w:tcPr>
            <w:tcW w:w="4536" w:type="dxa"/>
          </w:tcPr>
          <w:p w14:paraId="12DC7898" w14:textId="77777777" w:rsidR="00F04442" w:rsidRPr="00860E03" w:rsidRDefault="00F04442" w:rsidP="00B57962">
            <w:pPr>
              <w:pStyle w:val="ARtabletextbold"/>
            </w:pPr>
            <w:r w:rsidRPr="00860E03">
              <w:t>Total cost of paper used ($ million)</w:t>
            </w:r>
          </w:p>
        </w:tc>
        <w:tc>
          <w:tcPr>
            <w:tcW w:w="1701" w:type="dxa"/>
          </w:tcPr>
          <w:p w14:paraId="2F0B1CBC" w14:textId="77777777" w:rsidR="00F04442" w:rsidRPr="00860E03" w:rsidRDefault="00F04442" w:rsidP="00B57962">
            <w:pPr>
              <w:pStyle w:val="ARtabletextrightbold"/>
            </w:pPr>
            <w:r w:rsidRPr="00860E03">
              <w:t>$0.64</w:t>
            </w:r>
          </w:p>
        </w:tc>
        <w:tc>
          <w:tcPr>
            <w:tcW w:w="1701" w:type="dxa"/>
          </w:tcPr>
          <w:p w14:paraId="585A3701" w14:textId="77777777" w:rsidR="00F04442" w:rsidRPr="00860E03" w:rsidRDefault="00F04442" w:rsidP="00B57962">
            <w:pPr>
              <w:pStyle w:val="ARtabletextrightbold"/>
            </w:pPr>
            <w:r w:rsidRPr="00860E03">
              <w:t>$0.66</w:t>
            </w:r>
          </w:p>
        </w:tc>
        <w:tc>
          <w:tcPr>
            <w:tcW w:w="1701" w:type="dxa"/>
          </w:tcPr>
          <w:p w14:paraId="17FD11FC" w14:textId="77777777" w:rsidR="00F04442" w:rsidRPr="00860E03" w:rsidRDefault="00F04442" w:rsidP="00B57962">
            <w:pPr>
              <w:pStyle w:val="ARtabletextrightbold"/>
            </w:pPr>
            <w:r w:rsidRPr="00860E03">
              <w:t>$0.64</w:t>
            </w:r>
          </w:p>
        </w:tc>
      </w:tr>
    </w:tbl>
    <w:p w14:paraId="5454EB76" w14:textId="77777777" w:rsidR="00F04442" w:rsidRPr="00860E03" w:rsidRDefault="00F04442" w:rsidP="00F04442">
      <w:pPr>
        <w:pStyle w:val="ARbody"/>
      </w:pP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4538"/>
        <w:gridCol w:w="1702"/>
        <w:gridCol w:w="1702"/>
        <w:gridCol w:w="1702"/>
      </w:tblGrid>
      <w:tr w:rsidR="00F04442" w:rsidRPr="00860E03" w14:paraId="73D32D4B" w14:textId="77777777" w:rsidTr="00B57962">
        <w:trPr>
          <w:cantSplit/>
          <w:tblHeader/>
        </w:trPr>
        <w:tc>
          <w:tcPr>
            <w:tcW w:w="4538" w:type="dxa"/>
          </w:tcPr>
          <w:p w14:paraId="58DA0141" w14:textId="77777777" w:rsidR="00F04442" w:rsidRPr="00860E03" w:rsidRDefault="00F04442" w:rsidP="00B57962">
            <w:pPr>
              <w:pStyle w:val="ARtablecolhead"/>
            </w:pPr>
            <w:r w:rsidRPr="00860E03">
              <w:t>Percentage recycled content copy paper purchased</w:t>
            </w:r>
          </w:p>
        </w:tc>
        <w:tc>
          <w:tcPr>
            <w:tcW w:w="1702" w:type="dxa"/>
            <w:vAlign w:val="bottom"/>
          </w:tcPr>
          <w:p w14:paraId="3E6F1053" w14:textId="77777777" w:rsidR="00F04442" w:rsidRPr="00860E03" w:rsidRDefault="00F04442" w:rsidP="00B57962">
            <w:pPr>
              <w:pStyle w:val="ARtablecolheadright"/>
            </w:pPr>
            <w:r w:rsidRPr="00860E03">
              <w:t>2018–19 actual</w:t>
            </w:r>
          </w:p>
        </w:tc>
        <w:tc>
          <w:tcPr>
            <w:tcW w:w="1702" w:type="dxa"/>
            <w:vAlign w:val="bottom"/>
          </w:tcPr>
          <w:p w14:paraId="45D227B4" w14:textId="77777777" w:rsidR="00F04442" w:rsidRPr="00860E03" w:rsidRDefault="00F04442" w:rsidP="00B57962">
            <w:pPr>
              <w:pStyle w:val="ARtablecolheadright"/>
            </w:pPr>
            <w:r w:rsidRPr="00860E03">
              <w:t>2017–18 actual</w:t>
            </w:r>
          </w:p>
        </w:tc>
        <w:tc>
          <w:tcPr>
            <w:tcW w:w="1702" w:type="dxa"/>
            <w:vAlign w:val="bottom"/>
          </w:tcPr>
          <w:p w14:paraId="2A49FF48" w14:textId="77777777" w:rsidR="00F04442" w:rsidRPr="00860E03" w:rsidRDefault="00F04442" w:rsidP="00B57962">
            <w:pPr>
              <w:pStyle w:val="ARtablecolheadright"/>
            </w:pPr>
            <w:r w:rsidRPr="00860E03">
              <w:t>2016–17 actual</w:t>
            </w:r>
          </w:p>
        </w:tc>
      </w:tr>
      <w:tr w:rsidR="00F04442" w:rsidRPr="00860E03" w14:paraId="42B85E1D" w14:textId="77777777" w:rsidTr="00B57962">
        <w:trPr>
          <w:cantSplit/>
        </w:trPr>
        <w:tc>
          <w:tcPr>
            <w:tcW w:w="4538" w:type="dxa"/>
          </w:tcPr>
          <w:p w14:paraId="077D82AC" w14:textId="77777777" w:rsidR="00F04442" w:rsidRPr="00860E03" w:rsidRDefault="00F04442" w:rsidP="00B57962">
            <w:pPr>
              <w:pStyle w:val="ARtabletext"/>
            </w:pPr>
            <w:r w:rsidRPr="00860E03">
              <w:t>75–100 per cent recycled</w:t>
            </w:r>
          </w:p>
        </w:tc>
        <w:tc>
          <w:tcPr>
            <w:tcW w:w="1702" w:type="dxa"/>
          </w:tcPr>
          <w:p w14:paraId="750AADAA" w14:textId="77777777" w:rsidR="00F04442" w:rsidRPr="00860E03" w:rsidRDefault="00F04442" w:rsidP="00B57962">
            <w:pPr>
              <w:pStyle w:val="ARtabletextright"/>
            </w:pPr>
            <w:r w:rsidRPr="00860E03">
              <w:t>98%</w:t>
            </w:r>
          </w:p>
        </w:tc>
        <w:tc>
          <w:tcPr>
            <w:tcW w:w="1702" w:type="dxa"/>
          </w:tcPr>
          <w:p w14:paraId="35B540E7" w14:textId="77777777" w:rsidR="00F04442" w:rsidRPr="00860E03" w:rsidRDefault="00F04442" w:rsidP="00B57962">
            <w:pPr>
              <w:pStyle w:val="ARtabletextright"/>
            </w:pPr>
            <w:r w:rsidRPr="00860E03">
              <w:t>98%</w:t>
            </w:r>
          </w:p>
        </w:tc>
        <w:tc>
          <w:tcPr>
            <w:tcW w:w="1702" w:type="dxa"/>
          </w:tcPr>
          <w:p w14:paraId="0587B85C" w14:textId="77777777" w:rsidR="00F04442" w:rsidRPr="00860E03" w:rsidRDefault="00F04442" w:rsidP="00B57962">
            <w:pPr>
              <w:pStyle w:val="ARtabletextright"/>
            </w:pPr>
            <w:r w:rsidRPr="00860E03">
              <w:t>91%</w:t>
            </w:r>
          </w:p>
        </w:tc>
      </w:tr>
      <w:tr w:rsidR="00F04442" w:rsidRPr="00860E03" w14:paraId="63D19B93" w14:textId="77777777" w:rsidTr="00B57962">
        <w:trPr>
          <w:cantSplit/>
        </w:trPr>
        <w:tc>
          <w:tcPr>
            <w:tcW w:w="4538" w:type="dxa"/>
          </w:tcPr>
          <w:p w14:paraId="35FF5D52" w14:textId="77777777" w:rsidR="00F04442" w:rsidRPr="00860E03" w:rsidRDefault="00F04442" w:rsidP="00B57962">
            <w:pPr>
              <w:pStyle w:val="ARtabletext"/>
            </w:pPr>
            <w:r w:rsidRPr="00860E03">
              <w:t>50–74 per cent recycled</w:t>
            </w:r>
          </w:p>
        </w:tc>
        <w:tc>
          <w:tcPr>
            <w:tcW w:w="1702" w:type="dxa"/>
          </w:tcPr>
          <w:p w14:paraId="20ABE403" w14:textId="77777777" w:rsidR="00F04442" w:rsidRPr="00860E03" w:rsidRDefault="00F04442" w:rsidP="00B57962">
            <w:pPr>
              <w:pStyle w:val="ARtabletextright"/>
            </w:pPr>
            <w:r w:rsidRPr="00860E03">
              <w:t>0%</w:t>
            </w:r>
          </w:p>
        </w:tc>
        <w:tc>
          <w:tcPr>
            <w:tcW w:w="1702" w:type="dxa"/>
          </w:tcPr>
          <w:p w14:paraId="7D571D07" w14:textId="77777777" w:rsidR="00F04442" w:rsidRPr="00860E03" w:rsidRDefault="00F04442" w:rsidP="00B57962">
            <w:pPr>
              <w:pStyle w:val="ARtabletextright"/>
            </w:pPr>
            <w:r w:rsidRPr="00860E03">
              <w:t>0%</w:t>
            </w:r>
          </w:p>
        </w:tc>
        <w:tc>
          <w:tcPr>
            <w:tcW w:w="1702" w:type="dxa"/>
          </w:tcPr>
          <w:p w14:paraId="1201A2DC" w14:textId="77777777" w:rsidR="00F04442" w:rsidRPr="00860E03" w:rsidRDefault="00F04442" w:rsidP="00B57962">
            <w:pPr>
              <w:pStyle w:val="ARtabletextright"/>
            </w:pPr>
            <w:r w:rsidRPr="00860E03">
              <w:t>0%</w:t>
            </w:r>
          </w:p>
        </w:tc>
      </w:tr>
      <w:tr w:rsidR="00F04442" w:rsidRPr="00860E03" w14:paraId="5A260280" w14:textId="77777777" w:rsidTr="00B57962">
        <w:trPr>
          <w:cantSplit/>
        </w:trPr>
        <w:tc>
          <w:tcPr>
            <w:tcW w:w="4538" w:type="dxa"/>
            <w:tcBorders>
              <w:bottom w:val="single" w:sz="4" w:space="0" w:color="auto"/>
            </w:tcBorders>
          </w:tcPr>
          <w:p w14:paraId="7B4A4571" w14:textId="77777777" w:rsidR="00F04442" w:rsidRPr="00860E03" w:rsidRDefault="00F04442" w:rsidP="00B57962">
            <w:pPr>
              <w:pStyle w:val="ARtabletext"/>
            </w:pPr>
            <w:r w:rsidRPr="00860E03">
              <w:t>0–49 per cent recycled</w:t>
            </w:r>
          </w:p>
        </w:tc>
        <w:tc>
          <w:tcPr>
            <w:tcW w:w="1702" w:type="dxa"/>
            <w:tcBorders>
              <w:bottom w:val="single" w:sz="4" w:space="0" w:color="auto"/>
            </w:tcBorders>
          </w:tcPr>
          <w:p w14:paraId="6B570798" w14:textId="77777777" w:rsidR="00F04442" w:rsidRPr="00860E03" w:rsidRDefault="00F04442" w:rsidP="00B57962">
            <w:pPr>
              <w:pStyle w:val="ARtabletextright"/>
            </w:pPr>
            <w:r w:rsidRPr="00860E03">
              <w:t>2%</w:t>
            </w:r>
          </w:p>
        </w:tc>
        <w:tc>
          <w:tcPr>
            <w:tcW w:w="1702" w:type="dxa"/>
            <w:tcBorders>
              <w:bottom w:val="single" w:sz="4" w:space="0" w:color="auto"/>
            </w:tcBorders>
          </w:tcPr>
          <w:p w14:paraId="04CB42B1" w14:textId="77777777" w:rsidR="00F04442" w:rsidRPr="00860E03" w:rsidRDefault="00F04442" w:rsidP="00B57962">
            <w:pPr>
              <w:pStyle w:val="ARtabletextright"/>
            </w:pPr>
            <w:r w:rsidRPr="00860E03">
              <w:t>2%</w:t>
            </w:r>
          </w:p>
        </w:tc>
        <w:tc>
          <w:tcPr>
            <w:tcW w:w="1702" w:type="dxa"/>
            <w:tcBorders>
              <w:bottom w:val="single" w:sz="4" w:space="0" w:color="auto"/>
            </w:tcBorders>
          </w:tcPr>
          <w:p w14:paraId="04CA2625" w14:textId="77777777" w:rsidR="00F04442" w:rsidRPr="00860E03" w:rsidRDefault="00F04442" w:rsidP="00B57962">
            <w:pPr>
              <w:pStyle w:val="ARtabletextright"/>
            </w:pPr>
            <w:r w:rsidRPr="00860E03">
              <w:t>9%</w:t>
            </w:r>
          </w:p>
        </w:tc>
      </w:tr>
      <w:tr w:rsidR="00F04442" w:rsidRPr="00860E03" w14:paraId="43D2FE59" w14:textId="77777777" w:rsidTr="00B57962">
        <w:trPr>
          <w:cantSplit/>
        </w:trPr>
        <w:tc>
          <w:tcPr>
            <w:tcW w:w="4538" w:type="dxa"/>
            <w:tcBorders>
              <w:top w:val="single" w:sz="4" w:space="0" w:color="auto"/>
              <w:left w:val="nil"/>
              <w:bottom w:val="single" w:sz="4" w:space="0" w:color="auto"/>
              <w:right w:val="nil"/>
            </w:tcBorders>
          </w:tcPr>
          <w:p w14:paraId="7F3AD704" w14:textId="77777777" w:rsidR="00F04442" w:rsidRPr="00860E03" w:rsidRDefault="00F04442" w:rsidP="00B57962">
            <w:pPr>
              <w:pStyle w:val="ARtabletext"/>
            </w:pPr>
            <w:r w:rsidRPr="00860E03">
              <w:t>Certified fibre sourcing*</w:t>
            </w:r>
          </w:p>
        </w:tc>
        <w:tc>
          <w:tcPr>
            <w:tcW w:w="1702" w:type="dxa"/>
            <w:tcBorders>
              <w:top w:val="single" w:sz="4" w:space="0" w:color="auto"/>
              <w:left w:val="nil"/>
              <w:bottom w:val="single" w:sz="4" w:space="0" w:color="auto"/>
              <w:right w:val="nil"/>
            </w:tcBorders>
          </w:tcPr>
          <w:p w14:paraId="0F57B196" w14:textId="77777777" w:rsidR="00F04442" w:rsidRPr="00860E03" w:rsidRDefault="00F04442" w:rsidP="00B57962">
            <w:pPr>
              <w:pStyle w:val="ARtabletextright"/>
            </w:pPr>
            <w:r w:rsidRPr="00860E03">
              <w:t>99%</w:t>
            </w:r>
          </w:p>
        </w:tc>
        <w:tc>
          <w:tcPr>
            <w:tcW w:w="1702" w:type="dxa"/>
            <w:tcBorders>
              <w:top w:val="single" w:sz="4" w:space="0" w:color="auto"/>
              <w:left w:val="nil"/>
              <w:bottom w:val="single" w:sz="4" w:space="0" w:color="auto"/>
              <w:right w:val="nil"/>
            </w:tcBorders>
          </w:tcPr>
          <w:p w14:paraId="32448828" w14:textId="77777777" w:rsidR="00F04442" w:rsidRPr="00860E03" w:rsidRDefault="00F04442" w:rsidP="00B57962">
            <w:pPr>
              <w:pStyle w:val="ARtabletextright"/>
            </w:pPr>
            <w:r w:rsidRPr="00860E03">
              <w:t>N/A</w:t>
            </w:r>
          </w:p>
        </w:tc>
        <w:tc>
          <w:tcPr>
            <w:tcW w:w="1702" w:type="dxa"/>
            <w:tcBorders>
              <w:top w:val="single" w:sz="4" w:space="0" w:color="auto"/>
              <w:left w:val="nil"/>
              <w:bottom w:val="single" w:sz="4" w:space="0" w:color="auto"/>
              <w:right w:val="nil"/>
            </w:tcBorders>
          </w:tcPr>
          <w:p w14:paraId="0A283702" w14:textId="77777777" w:rsidR="00F04442" w:rsidRPr="00860E03" w:rsidRDefault="00F04442" w:rsidP="00B57962">
            <w:pPr>
              <w:pStyle w:val="ARtabletextright"/>
            </w:pPr>
            <w:r w:rsidRPr="00860E03">
              <w:t>N/A</w:t>
            </w:r>
          </w:p>
        </w:tc>
      </w:tr>
    </w:tbl>
    <w:p w14:paraId="10748622" w14:textId="77777777" w:rsidR="00F73A80" w:rsidRPr="00860E03" w:rsidRDefault="00F73A80" w:rsidP="00605E25">
      <w:pPr>
        <w:pStyle w:val="ARtablefootnote"/>
        <w:spacing w:before="60"/>
      </w:pPr>
      <w:bookmarkStart w:id="208" w:name="_Ref492895520"/>
      <w:r w:rsidRPr="00860E03">
        <w:t>Paper usage data provided by whole-of-Victorian-</w:t>
      </w:r>
      <w:r w:rsidR="00A64DEB">
        <w:t>G</w:t>
      </w:r>
      <w:r w:rsidR="00A64DEB" w:rsidRPr="00860E03">
        <w:t xml:space="preserve">overnment </w:t>
      </w:r>
      <w:r w:rsidRPr="00860E03">
        <w:t>supplier COS. Data represents all operational and office-based FTE. Total cost of paper used includes GST.</w:t>
      </w:r>
    </w:p>
    <w:p w14:paraId="614A8C1C" w14:textId="77777777" w:rsidR="00F73A80" w:rsidRPr="00860E03" w:rsidRDefault="00F73A80" w:rsidP="00605E25">
      <w:pPr>
        <w:pStyle w:val="ARtablefootnote"/>
        <w:spacing w:before="60"/>
      </w:pPr>
      <w:r w:rsidRPr="00860E03">
        <w:t>*Certified fibre sourcing means that the supplier and/or manufacturer has asserted that the fibre sourced for the paper meets either an international Forestry Management standard and has a chain-of-custody certification linking the product and fibre sourcing. Accepted certification schemes are the Forestry Stewardship Council, Australian Forestry Standard or other country-specific standards endorsed by the Programme for the Endorsement of Forest Certification.</w:t>
      </w:r>
    </w:p>
    <w:p w14:paraId="03EDEC23" w14:textId="77777777" w:rsidR="00F04442" w:rsidRPr="007939DD" w:rsidRDefault="00F04442" w:rsidP="00605E25">
      <w:pPr>
        <w:pStyle w:val="Heading3"/>
        <w:spacing w:before="240"/>
      </w:pPr>
      <w:r w:rsidRPr="007939DD">
        <w:t>Paper use from public health services</w:t>
      </w: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8"/>
        <w:gridCol w:w="1702"/>
        <w:gridCol w:w="1702"/>
        <w:gridCol w:w="1702"/>
      </w:tblGrid>
      <w:tr w:rsidR="00F04442" w:rsidRPr="00860E03" w14:paraId="3A0053A3" w14:textId="77777777" w:rsidTr="00B57962">
        <w:trPr>
          <w:cantSplit/>
          <w:tblHeader/>
        </w:trPr>
        <w:tc>
          <w:tcPr>
            <w:tcW w:w="4538" w:type="dxa"/>
            <w:vAlign w:val="bottom"/>
          </w:tcPr>
          <w:p w14:paraId="5988A5A6" w14:textId="77777777" w:rsidR="00F04442" w:rsidRPr="00860E03" w:rsidRDefault="00F04442" w:rsidP="00B57962">
            <w:pPr>
              <w:pStyle w:val="ARtablecolhead"/>
              <w:spacing w:line="240" w:lineRule="auto"/>
            </w:pPr>
            <w:r w:rsidRPr="00860E03">
              <w:t>Description</w:t>
            </w:r>
          </w:p>
        </w:tc>
        <w:tc>
          <w:tcPr>
            <w:tcW w:w="1702" w:type="dxa"/>
            <w:vAlign w:val="bottom"/>
          </w:tcPr>
          <w:p w14:paraId="6A47AE37" w14:textId="77777777" w:rsidR="00F04442" w:rsidRPr="00860E03" w:rsidRDefault="00F04442" w:rsidP="00B57962">
            <w:pPr>
              <w:pStyle w:val="ARtablecolheadright"/>
            </w:pPr>
            <w:r w:rsidRPr="00860E03">
              <w:t>2018–19 actual</w:t>
            </w:r>
          </w:p>
        </w:tc>
        <w:tc>
          <w:tcPr>
            <w:tcW w:w="1702" w:type="dxa"/>
            <w:vAlign w:val="bottom"/>
          </w:tcPr>
          <w:p w14:paraId="5AF356CF" w14:textId="77777777" w:rsidR="00F04442" w:rsidRPr="00860E03" w:rsidRDefault="00F04442" w:rsidP="00B57962">
            <w:pPr>
              <w:pStyle w:val="ARtablecolheadright"/>
            </w:pPr>
            <w:r w:rsidRPr="00860E03">
              <w:t>2017–18 actual</w:t>
            </w:r>
          </w:p>
        </w:tc>
        <w:tc>
          <w:tcPr>
            <w:tcW w:w="1702" w:type="dxa"/>
            <w:vAlign w:val="bottom"/>
          </w:tcPr>
          <w:p w14:paraId="44563371" w14:textId="77777777" w:rsidR="00F04442" w:rsidRPr="00860E03" w:rsidRDefault="00F04442" w:rsidP="00B57962">
            <w:pPr>
              <w:pStyle w:val="ARtablecolheadright"/>
            </w:pPr>
            <w:r w:rsidRPr="00860E03">
              <w:t>2016–17 actual</w:t>
            </w:r>
          </w:p>
        </w:tc>
      </w:tr>
      <w:tr w:rsidR="00F04442" w:rsidRPr="00860E03" w14:paraId="1F426C68" w14:textId="77777777" w:rsidTr="00B57962">
        <w:trPr>
          <w:cantSplit/>
        </w:trPr>
        <w:tc>
          <w:tcPr>
            <w:tcW w:w="4538" w:type="dxa"/>
          </w:tcPr>
          <w:p w14:paraId="39956909" w14:textId="77777777" w:rsidR="00F04442" w:rsidRPr="00860E03" w:rsidRDefault="00F04442" w:rsidP="00B57962">
            <w:pPr>
              <w:pStyle w:val="ARtabletext"/>
            </w:pPr>
            <w:r w:rsidRPr="00860E03">
              <w:t>Total units of paper used – A4 equivalent (reams)</w:t>
            </w:r>
          </w:p>
        </w:tc>
        <w:tc>
          <w:tcPr>
            <w:tcW w:w="1702" w:type="dxa"/>
          </w:tcPr>
          <w:p w14:paraId="33EB496C" w14:textId="77777777" w:rsidR="00F04442" w:rsidRPr="00860E03" w:rsidRDefault="00F04442" w:rsidP="00B57962">
            <w:pPr>
              <w:pStyle w:val="ARtabletextright"/>
            </w:pPr>
            <w:r w:rsidRPr="00860E03">
              <w:t>664,194</w:t>
            </w:r>
          </w:p>
        </w:tc>
        <w:tc>
          <w:tcPr>
            <w:tcW w:w="1702" w:type="dxa"/>
          </w:tcPr>
          <w:p w14:paraId="646C9531" w14:textId="77777777" w:rsidR="00F04442" w:rsidRPr="00860E03" w:rsidRDefault="00F04442" w:rsidP="00B57962">
            <w:pPr>
              <w:pStyle w:val="ARtabletextright"/>
            </w:pPr>
            <w:r w:rsidRPr="00860E03">
              <w:t>658,878</w:t>
            </w:r>
          </w:p>
        </w:tc>
        <w:tc>
          <w:tcPr>
            <w:tcW w:w="1702" w:type="dxa"/>
          </w:tcPr>
          <w:p w14:paraId="34A4544A" w14:textId="77777777" w:rsidR="00F04442" w:rsidRPr="00860E03" w:rsidRDefault="00F04442" w:rsidP="00B57962">
            <w:pPr>
              <w:pStyle w:val="ARtabletextright"/>
            </w:pPr>
            <w:r w:rsidRPr="00860E03">
              <w:t>575,729</w:t>
            </w:r>
          </w:p>
        </w:tc>
      </w:tr>
      <w:tr w:rsidR="00F04442" w:rsidRPr="00860E03" w14:paraId="0600DDAA" w14:textId="77777777" w:rsidTr="00B57962">
        <w:trPr>
          <w:cantSplit/>
        </w:trPr>
        <w:tc>
          <w:tcPr>
            <w:tcW w:w="4538" w:type="dxa"/>
          </w:tcPr>
          <w:p w14:paraId="52459D3C" w14:textId="77777777" w:rsidR="00F04442" w:rsidRPr="00860E03" w:rsidRDefault="00F04442" w:rsidP="00B57962">
            <w:pPr>
              <w:pStyle w:val="ARtabletext"/>
            </w:pPr>
            <w:r w:rsidRPr="00860E03">
              <w:t>Units of paper used per FTE (reams/FTE)</w:t>
            </w:r>
          </w:p>
        </w:tc>
        <w:tc>
          <w:tcPr>
            <w:tcW w:w="1702" w:type="dxa"/>
          </w:tcPr>
          <w:p w14:paraId="53ADDD43" w14:textId="77777777" w:rsidR="00F04442" w:rsidRPr="00860E03" w:rsidRDefault="00F04442" w:rsidP="00B57962">
            <w:pPr>
              <w:pStyle w:val="ARtabletextright"/>
            </w:pPr>
            <w:r w:rsidRPr="00860E03">
              <w:t>7.3</w:t>
            </w:r>
          </w:p>
        </w:tc>
        <w:tc>
          <w:tcPr>
            <w:tcW w:w="1702" w:type="dxa"/>
          </w:tcPr>
          <w:p w14:paraId="500E44B5" w14:textId="77777777" w:rsidR="00F04442" w:rsidRPr="00860E03" w:rsidRDefault="00F04442" w:rsidP="00B57962">
            <w:pPr>
              <w:pStyle w:val="ARtabletextright"/>
            </w:pPr>
            <w:r w:rsidRPr="00860E03">
              <w:t>7.7</w:t>
            </w:r>
          </w:p>
        </w:tc>
        <w:tc>
          <w:tcPr>
            <w:tcW w:w="1702" w:type="dxa"/>
          </w:tcPr>
          <w:p w14:paraId="4E6EA6C6" w14:textId="77777777" w:rsidR="00F04442" w:rsidRPr="00860E03" w:rsidRDefault="00F04442" w:rsidP="00B57962">
            <w:pPr>
              <w:pStyle w:val="ARtabletextright"/>
            </w:pPr>
            <w:r w:rsidRPr="00860E03">
              <w:t>6.5</w:t>
            </w:r>
          </w:p>
        </w:tc>
      </w:tr>
      <w:tr w:rsidR="00F04442" w:rsidRPr="00860E03" w14:paraId="51452E08" w14:textId="77777777" w:rsidTr="00B57962">
        <w:trPr>
          <w:cantSplit/>
        </w:trPr>
        <w:tc>
          <w:tcPr>
            <w:tcW w:w="4538" w:type="dxa"/>
          </w:tcPr>
          <w:p w14:paraId="6A446D2A" w14:textId="77777777" w:rsidR="00F04442" w:rsidRPr="00860E03" w:rsidRDefault="00F04442" w:rsidP="00B57962">
            <w:pPr>
              <w:pStyle w:val="ARtabletextbold"/>
            </w:pPr>
            <w:r w:rsidRPr="00860E03">
              <w:t>Total cost of paper used ($ million)</w:t>
            </w:r>
          </w:p>
        </w:tc>
        <w:tc>
          <w:tcPr>
            <w:tcW w:w="1702" w:type="dxa"/>
          </w:tcPr>
          <w:p w14:paraId="5E1CDD1E" w14:textId="77777777" w:rsidR="00F04442" w:rsidRPr="00860E03" w:rsidRDefault="00F04442" w:rsidP="00B57962">
            <w:pPr>
              <w:pStyle w:val="ARtabletextrightbold"/>
            </w:pPr>
            <w:r w:rsidRPr="00860E03">
              <w:t>$2.43</w:t>
            </w:r>
          </w:p>
        </w:tc>
        <w:tc>
          <w:tcPr>
            <w:tcW w:w="1702" w:type="dxa"/>
          </w:tcPr>
          <w:p w14:paraId="145BA137" w14:textId="77777777" w:rsidR="00F04442" w:rsidRPr="00860E03" w:rsidRDefault="00F04442" w:rsidP="00B57962">
            <w:pPr>
              <w:pStyle w:val="ARtabletextrightbold"/>
            </w:pPr>
            <w:r w:rsidRPr="00860E03">
              <w:t>$2.37</w:t>
            </w:r>
          </w:p>
        </w:tc>
        <w:tc>
          <w:tcPr>
            <w:tcW w:w="1702" w:type="dxa"/>
          </w:tcPr>
          <w:p w14:paraId="1A44823D" w14:textId="77777777" w:rsidR="00F04442" w:rsidRPr="00860E03" w:rsidRDefault="00F04442" w:rsidP="00B57962">
            <w:pPr>
              <w:pStyle w:val="ARtabletextrightbold"/>
            </w:pPr>
            <w:r w:rsidRPr="00860E03">
              <w:t>$1.75</w:t>
            </w:r>
          </w:p>
        </w:tc>
      </w:tr>
    </w:tbl>
    <w:p w14:paraId="6603DADF" w14:textId="77777777" w:rsidR="00F04442" w:rsidRDefault="00F04442" w:rsidP="00605E25">
      <w:pPr>
        <w:pStyle w:val="ARtablefootnote"/>
        <w:spacing w:before="60"/>
      </w:pP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8"/>
        <w:gridCol w:w="1702"/>
        <w:gridCol w:w="1702"/>
        <w:gridCol w:w="1702"/>
      </w:tblGrid>
      <w:tr w:rsidR="00F04442" w:rsidRPr="00860E03" w14:paraId="7F536B71" w14:textId="77777777" w:rsidTr="00B57962">
        <w:trPr>
          <w:cantSplit/>
          <w:tblHeader/>
        </w:trPr>
        <w:tc>
          <w:tcPr>
            <w:tcW w:w="4538" w:type="dxa"/>
          </w:tcPr>
          <w:p w14:paraId="3CF0816B" w14:textId="77777777" w:rsidR="00F04442" w:rsidRPr="00860E03" w:rsidRDefault="00F04442" w:rsidP="00B57962">
            <w:pPr>
              <w:pStyle w:val="ARtablecolhead"/>
            </w:pPr>
            <w:r w:rsidRPr="00860E03">
              <w:t>Percentage recycled content copy paper purchased</w:t>
            </w:r>
          </w:p>
        </w:tc>
        <w:tc>
          <w:tcPr>
            <w:tcW w:w="1702" w:type="dxa"/>
            <w:vAlign w:val="bottom"/>
          </w:tcPr>
          <w:p w14:paraId="71A1A8A1" w14:textId="77777777" w:rsidR="00F04442" w:rsidRPr="00860E03" w:rsidRDefault="00F04442" w:rsidP="00B57962">
            <w:pPr>
              <w:pStyle w:val="ARtablecolheadright"/>
            </w:pPr>
            <w:r w:rsidRPr="00860E03">
              <w:t>201</w:t>
            </w:r>
            <w:r>
              <w:t>8</w:t>
            </w:r>
            <w:r w:rsidR="002909DA">
              <w:t>–</w:t>
            </w:r>
            <w:r>
              <w:t>19</w:t>
            </w:r>
            <w:r w:rsidRPr="00860E03">
              <w:t xml:space="preserve"> actual</w:t>
            </w:r>
          </w:p>
        </w:tc>
        <w:tc>
          <w:tcPr>
            <w:tcW w:w="1702" w:type="dxa"/>
            <w:vAlign w:val="bottom"/>
          </w:tcPr>
          <w:p w14:paraId="61CF229F" w14:textId="77777777" w:rsidR="00F04442" w:rsidRPr="00860E03" w:rsidRDefault="00F04442" w:rsidP="00B57962">
            <w:pPr>
              <w:pStyle w:val="ARtablecolheadright"/>
            </w:pPr>
            <w:r w:rsidRPr="00860E03">
              <w:t>2017–18 actual</w:t>
            </w:r>
          </w:p>
        </w:tc>
        <w:tc>
          <w:tcPr>
            <w:tcW w:w="1702" w:type="dxa"/>
            <w:vAlign w:val="bottom"/>
          </w:tcPr>
          <w:p w14:paraId="62700A99" w14:textId="77777777" w:rsidR="00F04442" w:rsidRPr="00860E03" w:rsidRDefault="00F04442" w:rsidP="00B57962">
            <w:pPr>
              <w:pStyle w:val="ARtablecolheadright"/>
            </w:pPr>
            <w:r w:rsidRPr="00860E03">
              <w:t>201</w:t>
            </w:r>
            <w:r>
              <w:t>6</w:t>
            </w:r>
            <w:r w:rsidR="009D351A">
              <w:t>–</w:t>
            </w:r>
            <w:r>
              <w:t>17</w:t>
            </w:r>
            <w:r w:rsidRPr="00860E03">
              <w:t xml:space="preserve"> actual</w:t>
            </w:r>
          </w:p>
        </w:tc>
      </w:tr>
      <w:tr w:rsidR="00F04442" w:rsidRPr="00860E03" w14:paraId="387D3CAB" w14:textId="77777777" w:rsidTr="00B57962">
        <w:trPr>
          <w:cantSplit/>
        </w:trPr>
        <w:tc>
          <w:tcPr>
            <w:tcW w:w="4538" w:type="dxa"/>
          </w:tcPr>
          <w:p w14:paraId="3E4DC26A" w14:textId="77777777" w:rsidR="00F04442" w:rsidRPr="00860E03" w:rsidRDefault="00F04442" w:rsidP="00B57962">
            <w:pPr>
              <w:pStyle w:val="ARtabletext"/>
            </w:pPr>
            <w:r w:rsidRPr="00860E03">
              <w:t>75–100 per cent recycled</w:t>
            </w:r>
          </w:p>
        </w:tc>
        <w:tc>
          <w:tcPr>
            <w:tcW w:w="1702" w:type="dxa"/>
          </w:tcPr>
          <w:p w14:paraId="482839CB" w14:textId="77777777" w:rsidR="00F04442" w:rsidRPr="00860E03" w:rsidRDefault="00F04442" w:rsidP="00B57962">
            <w:pPr>
              <w:pStyle w:val="ARtabletextright"/>
            </w:pPr>
            <w:r w:rsidRPr="00860E03">
              <w:t>3%</w:t>
            </w:r>
          </w:p>
        </w:tc>
        <w:tc>
          <w:tcPr>
            <w:tcW w:w="1702" w:type="dxa"/>
          </w:tcPr>
          <w:p w14:paraId="4A3E000E" w14:textId="77777777" w:rsidR="00F04442" w:rsidRPr="00860E03" w:rsidRDefault="00F04442" w:rsidP="00B57962">
            <w:pPr>
              <w:pStyle w:val="ARtabletextright"/>
            </w:pPr>
            <w:r w:rsidRPr="00860E03">
              <w:t>1%</w:t>
            </w:r>
          </w:p>
        </w:tc>
        <w:tc>
          <w:tcPr>
            <w:tcW w:w="1702" w:type="dxa"/>
          </w:tcPr>
          <w:p w14:paraId="4794F4B9" w14:textId="77777777" w:rsidR="00F04442" w:rsidRPr="00860E03" w:rsidRDefault="00F04442" w:rsidP="00B57962">
            <w:pPr>
              <w:pStyle w:val="ARtabletextright"/>
            </w:pPr>
            <w:r w:rsidRPr="00860E03">
              <w:t>1%</w:t>
            </w:r>
          </w:p>
        </w:tc>
      </w:tr>
      <w:tr w:rsidR="00F04442" w:rsidRPr="00860E03" w14:paraId="49D25519" w14:textId="77777777" w:rsidTr="00B57962">
        <w:trPr>
          <w:cantSplit/>
        </w:trPr>
        <w:tc>
          <w:tcPr>
            <w:tcW w:w="4538" w:type="dxa"/>
          </w:tcPr>
          <w:p w14:paraId="378D2F55" w14:textId="77777777" w:rsidR="00F04442" w:rsidRPr="00860E03" w:rsidRDefault="00F04442" w:rsidP="00B57962">
            <w:pPr>
              <w:pStyle w:val="ARtabletext"/>
            </w:pPr>
            <w:r w:rsidRPr="00860E03">
              <w:t>50–74 per cent recycled</w:t>
            </w:r>
          </w:p>
        </w:tc>
        <w:tc>
          <w:tcPr>
            <w:tcW w:w="1702" w:type="dxa"/>
          </w:tcPr>
          <w:p w14:paraId="3E5DA719" w14:textId="77777777" w:rsidR="00F04442" w:rsidRPr="00860E03" w:rsidRDefault="00F04442" w:rsidP="00B57962">
            <w:pPr>
              <w:pStyle w:val="ARtabletextright"/>
            </w:pPr>
            <w:r w:rsidRPr="00860E03">
              <w:t>4%</w:t>
            </w:r>
          </w:p>
        </w:tc>
        <w:tc>
          <w:tcPr>
            <w:tcW w:w="1702" w:type="dxa"/>
          </w:tcPr>
          <w:p w14:paraId="29E02E0B" w14:textId="77777777" w:rsidR="00F04442" w:rsidRPr="00860E03" w:rsidRDefault="00F04442" w:rsidP="00B57962">
            <w:pPr>
              <w:pStyle w:val="ARtabletextright"/>
            </w:pPr>
            <w:r w:rsidRPr="00860E03">
              <w:t>2%</w:t>
            </w:r>
          </w:p>
        </w:tc>
        <w:tc>
          <w:tcPr>
            <w:tcW w:w="1702" w:type="dxa"/>
          </w:tcPr>
          <w:p w14:paraId="18532C2C" w14:textId="77777777" w:rsidR="00F04442" w:rsidRPr="00860E03" w:rsidRDefault="00F04442" w:rsidP="00B57962">
            <w:pPr>
              <w:pStyle w:val="ARtabletextright"/>
            </w:pPr>
            <w:r w:rsidRPr="00860E03">
              <w:t>2%</w:t>
            </w:r>
          </w:p>
        </w:tc>
      </w:tr>
      <w:tr w:rsidR="00F04442" w:rsidRPr="00860E03" w14:paraId="226A5639" w14:textId="77777777" w:rsidTr="00B57962">
        <w:trPr>
          <w:cantSplit/>
        </w:trPr>
        <w:tc>
          <w:tcPr>
            <w:tcW w:w="4538" w:type="dxa"/>
          </w:tcPr>
          <w:p w14:paraId="25177401" w14:textId="77777777" w:rsidR="00F04442" w:rsidRPr="00860E03" w:rsidRDefault="00F04442" w:rsidP="00B57962">
            <w:pPr>
              <w:pStyle w:val="ARtabletext"/>
            </w:pPr>
            <w:r w:rsidRPr="00860E03">
              <w:t>0–49 per cent recycled</w:t>
            </w:r>
          </w:p>
        </w:tc>
        <w:tc>
          <w:tcPr>
            <w:tcW w:w="1702" w:type="dxa"/>
          </w:tcPr>
          <w:p w14:paraId="0FCA0EA0" w14:textId="77777777" w:rsidR="00F04442" w:rsidRPr="00860E03" w:rsidRDefault="00F04442" w:rsidP="00B57962">
            <w:pPr>
              <w:pStyle w:val="ARtabletextright"/>
            </w:pPr>
            <w:r w:rsidRPr="00860E03">
              <w:t>93%</w:t>
            </w:r>
          </w:p>
        </w:tc>
        <w:tc>
          <w:tcPr>
            <w:tcW w:w="1702" w:type="dxa"/>
          </w:tcPr>
          <w:p w14:paraId="559FD5CF" w14:textId="77777777" w:rsidR="00F04442" w:rsidRPr="00860E03" w:rsidRDefault="00F04442" w:rsidP="00B57962">
            <w:pPr>
              <w:pStyle w:val="ARtabletextright"/>
            </w:pPr>
            <w:r w:rsidRPr="00860E03">
              <w:t>97%</w:t>
            </w:r>
          </w:p>
        </w:tc>
        <w:tc>
          <w:tcPr>
            <w:tcW w:w="1702" w:type="dxa"/>
          </w:tcPr>
          <w:p w14:paraId="6FDA3D30" w14:textId="77777777" w:rsidR="00F04442" w:rsidRPr="00860E03" w:rsidRDefault="00F04442" w:rsidP="00B57962">
            <w:pPr>
              <w:pStyle w:val="ARtabletextright"/>
            </w:pPr>
            <w:r w:rsidRPr="00860E03">
              <w:t>97%</w:t>
            </w:r>
          </w:p>
        </w:tc>
      </w:tr>
      <w:tr w:rsidR="00F04442" w:rsidRPr="00860E03" w14:paraId="6448E35A" w14:textId="77777777" w:rsidTr="00B57962">
        <w:trPr>
          <w:cantSplit/>
        </w:trPr>
        <w:tc>
          <w:tcPr>
            <w:tcW w:w="4538" w:type="dxa"/>
          </w:tcPr>
          <w:p w14:paraId="647A7EE1" w14:textId="77777777" w:rsidR="00F04442" w:rsidRPr="00860E03" w:rsidRDefault="00F04442" w:rsidP="00B57962">
            <w:pPr>
              <w:pStyle w:val="ARtabletext"/>
            </w:pPr>
            <w:r w:rsidRPr="00860E03">
              <w:t>Certified fibre sourcing*</w:t>
            </w:r>
          </w:p>
        </w:tc>
        <w:tc>
          <w:tcPr>
            <w:tcW w:w="1702" w:type="dxa"/>
          </w:tcPr>
          <w:p w14:paraId="4A626417" w14:textId="77777777" w:rsidR="00F04442" w:rsidRPr="00860E03" w:rsidRDefault="00F04442" w:rsidP="00B57962">
            <w:pPr>
              <w:pStyle w:val="ARtabletextright"/>
            </w:pPr>
            <w:r w:rsidRPr="00860E03">
              <w:t>100%</w:t>
            </w:r>
          </w:p>
        </w:tc>
        <w:tc>
          <w:tcPr>
            <w:tcW w:w="1702" w:type="dxa"/>
          </w:tcPr>
          <w:p w14:paraId="3BA6A4D7" w14:textId="77777777" w:rsidR="00F04442" w:rsidRPr="00860E03" w:rsidRDefault="00F04442" w:rsidP="00B57962">
            <w:pPr>
              <w:pStyle w:val="ARtabletextright"/>
            </w:pPr>
            <w:r w:rsidRPr="00860E03">
              <w:t>98%</w:t>
            </w:r>
          </w:p>
        </w:tc>
        <w:tc>
          <w:tcPr>
            <w:tcW w:w="1702" w:type="dxa"/>
          </w:tcPr>
          <w:p w14:paraId="030EA7D2" w14:textId="77777777" w:rsidR="00F04442" w:rsidRPr="00860E03" w:rsidRDefault="00F04442" w:rsidP="00B57962">
            <w:pPr>
              <w:pStyle w:val="ARtabletextright"/>
            </w:pPr>
            <w:r w:rsidRPr="00860E03">
              <w:t>98%</w:t>
            </w:r>
          </w:p>
        </w:tc>
      </w:tr>
    </w:tbl>
    <w:p w14:paraId="5B46D926" w14:textId="77777777" w:rsidR="00F73A80" w:rsidRPr="00860E03" w:rsidRDefault="00F73A80" w:rsidP="00605E25">
      <w:pPr>
        <w:pStyle w:val="ARtablefootnote"/>
        <w:spacing w:before="60"/>
      </w:pPr>
      <w:bookmarkStart w:id="209" w:name="_Ref492905747"/>
      <w:bookmarkStart w:id="210" w:name="_Ref525048351"/>
      <w:bookmarkEnd w:id="208"/>
      <w:r w:rsidRPr="00860E03">
        <w:t>Public health services are GST-exempt organisations. Reported cost data for public health services is exclusive of GST.</w:t>
      </w:r>
    </w:p>
    <w:p w14:paraId="48057566" w14:textId="77777777" w:rsidR="00F73A80" w:rsidRPr="00860E03" w:rsidRDefault="00F73A80" w:rsidP="00605E25">
      <w:pPr>
        <w:pStyle w:val="ARtablefootnote"/>
        <w:spacing w:before="60"/>
      </w:pPr>
      <w:r w:rsidRPr="00860E03">
        <w:t xml:space="preserve">Paper data is sourced from the statewide stationery contract managed by Health Purchasing Victoria and apportioned by FTE to those health services </w:t>
      </w:r>
      <w:r w:rsidR="00A64DEB">
        <w:t>that</w:t>
      </w:r>
      <w:r w:rsidR="00A64DEB" w:rsidRPr="00860E03">
        <w:t xml:space="preserve"> </w:t>
      </w:r>
      <w:r w:rsidRPr="00860E03">
        <w:t>do not procure office paper through this contract. FTE is the full-time equivalent staff employed by a public health service as of 30 June for the financial year.</w:t>
      </w:r>
    </w:p>
    <w:p w14:paraId="1475A7CB" w14:textId="77777777" w:rsidR="00F73A80" w:rsidRPr="00860E03" w:rsidRDefault="00F73A80" w:rsidP="00605E25">
      <w:pPr>
        <w:pStyle w:val="ARtablefootnote"/>
        <w:spacing w:before="60"/>
      </w:pPr>
      <w:r w:rsidRPr="00860E03">
        <w:t>FTE figures for the 2016–17 financial year have been used as an estimate for the 2017–18 financial year as this data was not available at the time of reporting.</w:t>
      </w:r>
    </w:p>
    <w:p w14:paraId="00B2D324" w14:textId="77777777" w:rsidR="00F73A80" w:rsidRPr="00860E03" w:rsidRDefault="00F73A80" w:rsidP="00605E25">
      <w:pPr>
        <w:pStyle w:val="ARtablefootnote"/>
        <w:spacing w:before="60"/>
      </w:pPr>
      <w:r w:rsidRPr="00860E03">
        <w:t>*Certified fibre sourcing means that the supplier and/or manufacturer has asserted that the fibre sourced for the paper meets either an international Forestry Management standard and has a chain-of-custody certification linking the product and fibre sourcing. Accepted certification schemes are the Forestry Stewardship Council, Australian Forestry Standard or other country-specific standards endorsed by the Programme for the Endorsement of Forest Certification.</w:t>
      </w:r>
    </w:p>
    <w:p w14:paraId="675ACEFD" w14:textId="77777777" w:rsidR="00F73A80" w:rsidRPr="007939DD" w:rsidRDefault="00F73A80" w:rsidP="00605E25">
      <w:pPr>
        <w:pStyle w:val="Heading2"/>
        <w:spacing w:before="240"/>
      </w:pPr>
      <w:bookmarkStart w:id="211" w:name="_Ref21957068"/>
      <w:r w:rsidRPr="007939DD">
        <w:t>National pollutant inventory</w:t>
      </w:r>
      <w:bookmarkEnd w:id="209"/>
      <w:bookmarkEnd w:id="210"/>
      <w:bookmarkEnd w:id="211"/>
    </w:p>
    <w:p w14:paraId="21C3A19F" w14:textId="77777777" w:rsidR="00F04442" w:rsidRPr="00860E03" w:rsidRDefault="00F04442" w:rsidP="00F04442">
      <w:pPr>
        <w:pStyle w:val="ARbody"/>
      </w:pPr>
      <w:r w:rsidRPr="007939DD">
        <w:t xml:space="preserve">The Commonwealth </w:t>
      </w:r>
      <w:r w:rsidRPr="00860E03">
        <w:t>National Pollutant Inventory (NPI) provides the community, industry and government with information on substances emitted to the air, land and water. The inventory tracks the amount, in kilograms, of substances emitted by organisations that trigger the reporting threshold. The table below is an aggregation of substances reported by Victorian public health services through the NPI.</w:t>
      </w:r>
    </w:p>
    <w:tbl>
      <w:tblPr>
        <w:tblW w:w="9616" w:type="dxa"/>
        <w:tblInd w:w="10" w:type="dxa"/>
        <w:tblBorders>
          <w:insideH w:val="single" w:sz="4" w:space="0" w:color="000000" w:themeColor="text1"/>
        </w:tblBorders>
        <w:tblLayout w:type="fixed"/>
        <w:tblCellMar>
          <w:left w:w="0" w:type="dxa"/>
        </w:tblCellMar>
        <w:tblLook w:val="00A0" w:firstRow="1" w:lastRow="0" w:firstColumn="1" w:lastColumn="0" w:noHBand="0" w:noVBand="0"/>
      </w:tblPr>
      <w:tblGrid>
        <w:gridCol w:w="4525"/>
        <w:gridCol w:w="1697"/>
        <w:gridCol w:w="1697"/>
        <w:gridCol w:w="1697"/>
      </w:tblGrid>
      <w:tr w:rsidR="00F04442" w:rsidRPr="00860E03" w14:paraId="2CF23421" w14:textId="77777777" w:rsidTr="00B57962">
        <w:trPr>
          <w:cantSplit/>
          <w:tblHeader/>
        </w:trPr>
        <w:tc>
          <w:tcPr>
            <w:tcW w:w="4525" w:type="dxa"/>
            <w:tcBorders>
              <w:top w:val="nil"/>
              <w:left w:val="single" w:sz="4" w:space="0" w:color="FFFFFF" w:themeColor="background1"/>
              <w:bottom w:val="single" w:sz="4" w:space="0" w:color="000000" w:themeColor="text1"/>
              <w:right w:val="single" w:sz="4" w:space="0" w:color="FFFFFF" w:themeColor="background1"/>
            </w:tcBorders>
            <w:vAlign w:val="bottom"/>
          </w:tcPr>
          <w:p w14:paraId="691C0A4E" w14:textId="77777777" w:rsidR="00F04442" w:rsidRPr="00860E03" w:rsidRDefault="00F04442" w:rsidP="00B57962">
            <w:pPr>
              <w:pStyle w:val="ARtablecolhead"/>
              <w:spacing w:line="240" w:lineRule="auto"/>
            </w:pPr>
            <w:r w:rsidRPr="00860E03">
              <w:t>Description</w:t>
            </w:r>
          </w:p>
        </w:tc>
        <w:tc>
          <w:tcPr>
            <w:tcW w:w="1697" w:type="dxa"/>
            <w:tcBorders>
              <w:top w:val="nil"/>
              <w:left w:val="single" w:sz="4" w:space="0" w:color="FFFFFF" w:themeColor="background1"/>
              <w:bottom w:val="single" w:sz="4" w:space="0" w:color="000000" w:themeColor="text1"/>
              <w:right w:val="single" w:sz="4" w:space="0" w:color="FFFFFF" w:themeColor="background1"/>
            </w:tcBorders>
            <w:vAlign w:val="bottom"/>
          </w:tcPr>
          <w:p w14:paraId="73C43F5B" w14:textId="77777777" w:rsidR="00F04442" w:rsidRPr="00860E03" w:rsidRDefault="00F04442" w:rsidP="00B57962">
            <w:pPr>
              <w:pStyle w:val="ARtablecolheadright"/>
            </w:pPr>
            <w:r w:rsidRPr="00860E03">
              <w:t>2018–19 estimate</w:t>
            </w:r>
          </w:p>
        </w:tc>
        <w:tc>
          <w:tcPr>
            <w:tcW w:w="1697" w:type="dxa"/>
            <w:tcBorders>
              <w:top w:val="nil"/>
              <w:left w:val="single" w:sz="4" w:space="0" w:color="FFFFFF" w:themeColor="background1"/>
              <w:bottom w:val="single" w:sz="4" w:space="0" w:color="000000" w:themeColor="text1"/>
              <w:right w:val="single" w:sz="4" w:space="0" w:color="FFFFFF" w:themeColor="background1"/>
            </w:tcBorders>
            <w:vAlign w:val="bottom"/>
          </w:tcPr>
          <w:p w14:paraId="4ABF6AE9" w14:textId="77777777" w:rsidR="00F04442" w:rsidRPr="00860E03" w:rsidRDefault="00F04442" w:rsidP="00B57962">
            <w:pPr>
              <w:pStyle w:val="ARtablecolheadright"/>
            </w:pPr>
            <w:r w:rsidRPr="00860E03">
              <w:t>2017–18 estimate</w:t>
            </w:r>
          </w:p>
        </w:tc>
        <w:tc>
          <w:tcPr>
            <w:tcW w:w="1697" w:type="dxa"/>
            <w:tcBorders>
              <w:top w:val="nil"/>
              <w:left w:val="single" w:sz="4" w:space="0" w:color="FFFFFF" w:themeColor="background1"/>
              <w:bottom w:val="single" w:sz="4" w:space="0" w:color="000000" w:themeColor="text1"/>
              <w:right w:val="single" w:sz="4" w:space="0" w:color="FFFFFF" w:themeColor="background1"/>
            </w:tcBorders>
            <w:vAlign w:val="bottom"/>
          </w:tcPr>
          <w:p w14:paraId="2C75595E" w14:textId="77777777" w:rsidR="00F04442" w:rsidRPr="00860E03" w:rsidRDefault="00F04442" w:rsidP="00B57962">
            <w:pPr>
              <w:pStyle w:val="ARtablecolheadright"/>
            </w:pPr>
            <w:r w:rsidRPr="00860E03">
              <w:t>2016–17 estimate</w:t>
            </w:r>
          </w:p>
        </w:tc>
      </w:tr>
      <w:tr w:rsidR="00F04442" w:rsidRPr="00860E03" w14:paraId="588D7E65" w14:textId="77777777" w:rsidTr="00B57962">
        <w:tblPrEx>
          <w:tblBorders>
            <w:left w:val="single" w:sz="4" w:space="0" w:color="FFFFFF"/>
            <w:bottom w:val="single" w:sz="4" w:space="0" w:color="auto"/>
            <w:right w:val="single" w:sz="4" w:space="0" w:color="FFFFFF"/>
            <w:insideH w:val="single" w:sz="4" w:space="0" w:color="auto"/>
            <w:insideV w:val="single" w:sz="4" w:space="0" w:color="FFFFFF"/>
          </w:tblBorders>
        </w:tblPrEx>
        <w:trPr>
          <w:cantSplit/>
        </w:trPr>
        <w:tc>
          <w:tcPr>
            <w:tcW w:w="4525" w:type="dxa"/>
            <w:vAlign w:val="bottom"/>
          </w:tcPr>
          <w:p w14:paraId="62C6ACAE" w14:textId="77777777" w:rsidR="00F04442" w:rsidRPr="00860E03" w:rsidRDefault="00F04442" w:rsidP="00B57962">
            <w:pPr>
              <w:pStyle w:val="ARtablecolhead"/>
            </w:pPr>
            <w:r w:rsidRPr="00860E03">
              <w:t>Total units of national pollutant inventory substances emitted</w:t>
            </w:r>
          </w:p>
        </w:tc>
        <w:tc>
          <w:tcPr>
            <w:tcW w:w="1697" w:type="dxa"/>
            <w:vAlign w:val="bottom"/>
          </w:tcPr>
          <w:p w14:paraId="7ADB6F1E" w14:textId="77777777" w:rsidR="00F04442" w:rsidRPr="00860E03" w:rsidRDefault="00F04442" w:rsidP="00B57962">
            <w:pPr>
              <w:pStyle w:val="ARtablecolheadright"/>
            </w:pPr>
            <w:r w:rsidRPr="00860E03">
              <w:t>Emissions</w:t>
            </w:r>
          </w:p>
          <w:p w14:paraId="4F42BEEB" w14:textId="77777777" w:rsidR="00F04442" w:rsidRPr="00860E03" w:rsidRDefault="00F04442" w:rsidP="00B57962">
            <w:pPr>
              <w:pStyle w:val="ARtablecolheadright"/>
            </w:pPr>
            <w:r w:rsidRPr="00860E03">
              <w:t>(</w:t>
            </w:r>
            <w:r>
              <w:t>k</w:t>
            </w:r>
            <w:r w:rsidRPr="00860E03">
              <w:t>ilograms)</w:t>
            </w:r>
          </w:p>
        </w:tc>
        <w:tc>
          <w:tcPr>
            <w:tcW w:w="1697" w:type="dxa"/>
            <w:vAlign w:val="bottom"/>
          </w:tcPr>
          <w:p w14:paraId="4EA3224D" w14:textId="77777777" w:rsidR="00F04442" w:rsidRPr="00860E03" w:rsidRDefault="00F04442" w:rsidP="00B57962">
            <w:pPr>
              <w:pStyle w:val="ARtablecolheadright"/>
            </w:pPr>
            <w:r w:rsidRPr="00860E03">
              <w:t>Emissions</w:t>
            </w:r>
          </w:p>
          <w:p w14:paraId="6367B126" w14:textId="77777777" w:rsidR="00F04442" w:rsidRPr="00860E03" w:rsidRDefault="00F04442" w:rsidP="00B57962">
            <w:pPr>
              <w:pStyle w:val="ARtablecolheadright"/>
            </w:pPr>
            <w:r w:rsidRPr="00860E03">
              <w:t>(</w:t>
            </w:r>
            <w:r>
              <w:t>k</w:t>
            </w:r>
            <w:r w:rsidRPr="00860E03">
              <w:t>ilograms)</w:t>
            </w:r>
          </w:p>
        </w:tc>
        <w:tc>
          <w:tcPr>
            <w:tcW w:w="1697" w:type="dxa"/>
            <w:vAlign w:val="bottom"/>
          </w:tcPr>
          <w:p w14:paraId="1C03DC18" w14:textId="77777777" w:rsidR="00F04442" w:rsidRPr="00860E03" w:rsidRDefault="00F04442" w:rsidP="00B57962">
            <w:pPr>
              <w:pStyle w:val="ARtablecolheadright"/>
            </w:pPr>
            <w:r w:rsidRPr="00860E03">
              <w:t>Emissions</w:t>
            </w:r>
          </w:p>
          <w:p w14:paraId="5B1F3DAA" w14:textId="77777777" w:rsidR="00F04442" w:rsidRPr="00860E03" w:rsidRDefault="00F04442" w:rsidP="00B57962">
            <w:pPr>
              <w:pStyle w:val="ARtablecolheadright"/>
            </w:pPr>
            <w:r w:rsidRPr="00860E03">
              <w:t>(</w:t>
            </w:r>
            <w:r>
              <w:t>k</w:t>
            </w:r>
            <w:r w:rsidRPr="00860E03">
              <w:t>ilograms)</w:t>
            </w:r>
          </w:p>
        </w:tc>
      </w:tr>
      <w:tr w:rsidR="00F04442" w:rsidRPr="00860E03" w14:paraId="126CF068" w14:textId="77777777" w:rsidTr="00B57962">
        <w:trPr>
          <w:cantSplit/>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736C826" w14:textId="77777777" w:rsidR="00F04442" w:rsidRPr="00860E03" w:rsidRDefault="00F04442" w:rsidP="00B57962">
            <w:pPr>
              <w:pStyle w:val="ARtabletext"/>
            </w:pPr>
            <w:r w:rsidRPr="00860E03">
              <w:t>Carbon monoxide</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BA94362" w14:textId="77777777" w:rsidR="00F04442" w:rsidRPr="00860E03" w:rsidRDefault="00F04442" w:rsidP="00B57962">
            <w:pPr>
              <w:pStyle w:val="ARtabletextright"/>
            </w:pPr>
            <w:r w:rsidRPr="00860E03">
              <w:t>Not available</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78AB774" w14:textId="77777777" w:rsidR="00F04442" w:rsidRPr="00860E03" w:rsidRDefault="00F04442" w:rsidP="00B57962">
            <w:pPr>
              <w:pStyle w:val="ARtabletextright"/>
            </w:pPr>
            <w:r w:rsidRPr="00860E03">
              <w:t>52,232</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FACC777" w14:textId="77777777" w:rsidR="00F04442" w:rsidRPr="00860E03" w:rsidRDefault="00F04442" w:rsidP="00B57962">
            <w:pPr>
              <w:pStyle w:val="ARtabletextright"/>
            </w:pPr>
            <w:r w:rsidRPr="00860E03">
              <w:t>66,299</w:t>
            </w:r>
          </w:p>
        </w:tc>
      </w:tr>
      <w:tr w:rsidR="00F04442" w:rsidRPr="00860E03" w14:paraId="0298F8BE" w14:textId="77777777" w:rsidTr="00B57962">
        <w:trPr>
          <w:cantSplit/>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84F86E4" w14:textId="77777777" w:rsidR="00F04442" w:rsidRPr="00860E03" w:rsidRDefault="00F04442" w:rsidP="00B57962">
            <w:pPr>
              <w:pStyle w:val="ARtabletext"/>
            </w:pPr>
            <w:r w:rsidRPr="00860E03">
              <w:t>Oxides of nitrogen</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DF6D31D" w14:textId="77777777" w:rsidR="00F04442" w:rsidRPr="00860E03" w:rsidRDefault="00F04442" w:rsidP="00B57962">
            <w:pPr>
              <w:pStyle w:val="ARtabletextright"/>
            </w:pPr>
            <w:r w:rsidRPr="00860E03">
              <w:t>Not available</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10DC3CC" w14:textId="77777777" w:rsidR="00F04442" w:rsidRPr="00860E03" w:rsidRDefault="00F04442" w:rsidP="00B57962">
            <w:pPr>
              <w:pStyle w:val="ARtabletextright"/>
            </w:pPr>
            <w:r w:rsidRPr="00860E03">
              <w:t>115,150</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81D2ECB" w14:textId="77777777" w:rsidR="00F04442" w:rsidRPr="00860E03" w:rsidRDefault="00F04442" w:rsidP="00B57962">
            <w:pPr>
              <w:pStyle w:val="ARtabletextright"/>
            </w:pPr>
            <w:r w:rsidRPr="00860E03">
              <w:t>84,308</w:t>
            </w:r>
          </w:p>
        </w:tc>
      </w:tr>
      <w:tr w:rsidR="00F04442" w:rsidRPr="00860E03" w14:paraId="32F614DD" w14:textId="77777777" w:rsidTr="00B57962">
        <w:trPr>
          <w:cantSplit/>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18B4014" w14:textId="77777777" w:rsidR="00F04442" w:rsidRPr="00860E03" w:rsidRDefault="00F04442" w:rsidP="00B57962">
            <w:pPr>
              <w:pStyle w:val="ARtabletext"/>
            </w:pPr>
            <w:r w:rsidRPr="00860E03">
              <w:t>Particulate matter (2.5 µm and 10 µm)</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6261BCF" w14:textId="77777777" w:rsidR="00F04442" w:rsidRPr="00860E03" w:rsidRDefault="00F04442" w:rsidP="00B57962">
            <w:pPr>
              <w:pStyle w:val="ARtabletextright"/>
            </w:pPr>
            <w:r w:rsidRPr="00860E03">
              <w:t>Not available</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F0584D4" w14:textId="77777777" w:rsidR="00F04442" w:rsidRPr="00860E03" w:rsidRDefault="00F04442" w:rsidP="00B57962">
            <w:pPr>
              <w:pStyle w:val="ARtabletextright"/>
            </w:pPr>
            <w:r w:rsidRPr="00860E03">
              <w:t>12,750</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1C58E70" w14:textId="77777777" w:rsidR="00F04442" w:rsidRPr="00860E03" w:rsidRDefault="00F04442" w:rsidP="00B57962">
            <w:pPr>
              <w:pStyle w:val="ARtabletextright"/>
            </w:pPr>
            <w:r w:rsidRPr="00860E03">
              <w:t>12,227</w:t>
            </w:r>
          </w:p>
        </w:tc>
      </w:tr>
      <w:tr w:rsidR="00F04442" w:rsidRPr="00860E03" w14:paraId="716F0697" w14:textId="77777777" w:rsidTr="00B57962">
        <w:trPr>
          <w:cantSplit/>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58B2247" w14:textId="77777777" w:rsidR="00F04442" w:rsidRPr="00860E03" w:rsidRDefault="00F04442" w:rsidP="00B57962">
            <w:pPr>
              <w:pStyle w:val="ARtabletext"/>
            </w:pPr>
            <w:r w:rsidRPr="00860E03">
              <w:t>Total volatile organic compounds</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65AEB5EA" w14:textId="77777777" w:rsidR="00F04442" w:rsidRPr="00860E03" w:rsidRDefault="00F04442" w:rsidP="00B57962">
            <w:pPr>
              <w:pStyle w:val="ARtabletextright"/>
            </w:pPr>
            <w:r w:rsidRPr="00860E03">
              <w:t>Not available</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A85ADB7" w14:textId="77777777" w:rsidR="00F04442" w:rsidRPr="00860E03" w:rsidRDefault="00F04442" w:rsidP="00B57962">
            <w:pPr>
              <w:pStyle w:val="ARtabletextright"/>
            </w:pPr>
            <w:r w:rsidRPr="00860E03">
              <w:t>5,934</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5665245" w14:textId="77777777" w:rsidR="00F04442" w:rsidRPr="00860E03" w:rsidRDefault="00F04442" w:rsidP="00B57962">
            <w:pPr>
              <w:pStyle w:val="ARtabletextright"/>
            </w:pPr>
            <w:r w:rsidRPr="00860E03">
              <w:t>4,807</w:t>
            </w:r>
          </w:p>
        </w:tc>
      </w:tr>
      <w:tr w:rsidR="00F04442" w:rsidRPr="00860E03" w14:paraId="7B4A8AC2" w14:textId="77777777" w:rsidTr="00B57962">
        <w:trPr>
          <w:cantSplit/>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B5CD3DA" w14:textId="77777777" w:rsidR="00F04442" w:rsidRPr="00860E03" w:rsidRDefault="00F04442" w:rsidP="00B57962">
            <w:pPr>
              <w:pStyle w:val="ARtabletext"/>
            </w:pPr>
            <w:r w:rsidRPr="00860E03">
              <w:t>Sulphur dioxide</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3383BEB" w14:textId="77777777" w:rsidR="00F04442" w:rsidRPr="00860E03" w:rsidRDefault="00F04442" w:rsidP="00B57962">
            <w:pPr>
              <w:pStyle w:val="ARtabletextright"/>
            </w:pPr>
            <w:r w:rsidRPr="00860E03">
              <w:t>Not available</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F5F8B86" w14:textId="77777777" w:rsidR="00F04442" w:rsidRPr="00860E03" w:rsidRDefault="00F04442" w:rsidP="00B57962">
            <w:pPr>
              <w:pStyle w:val="ARtabletextright"/>
            </w:pPr>
            <w:r w:rsidRPr="00860E03">
              <w:t>915</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6F7875C2" w14:textId="77777777" w:rsidR="00F04442" w:rsidRPr="00860E03" w:rsidRDefault="00F04442" w:rsidP="00B57962">
            <w:pPr>
              <w:pStyle w:val="ARtabletextright"/>
            </w:pPr>
            <w:r w:rsidRPr="00860E03">
              <w:t>867</w:t>
            </w:r>
          </w:p>
        </w:tc>
      </w:tr>
      <w:tr w:rsidR="00F04442" w:rsidRPr="00860E03" w14:paraId="1E281552" w14:textId="77777777" w:rsidTr="00B57962">
        <w:trPr>
          <w:cantSplit/>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5BA3B45" w14:textId="77777777" w:rsidR="00F04442" w:rsidRPr="00860E03" w:rsidRDefault="00F04442" w:rsidP="00B57962">
            <w:pPr>
              <w:pStyle w:val="ARtabletext"/>
            </w:pPr>
            <w:r w:rsidRPr="00860E03">
              <w:t>Other substances*</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0480BD95" w14:textId="77777777" w:rsidR="00F04442" w:rsidRPr="00860E03" w:rsidRDefault="00F04442" w:rsidP="00B57962">
            <w:pPr>
              <w:pStyle w:val="ARtabletextright"/>
            </w:pPr>
            <w:r w:rsidRPr="00860E03">
              <w:t>Not available</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9F5A5D0" w14:textId="77777777" w:rsidR="00F04442" w:rsidRPr="00860E03" w:rsidRDefault="00F04442" w:rsidP="00B57962">
            <w:pPr>
              <w:pStyle w:val="ARtabletextright"/>
            </w:pPr>
            <w:r w:rsidRPr="00860E03">
              <w:t>1,138</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FE70E9B" w14:textId="77777777" w:rsidR="00F04442" w:rsidRPr="00860E03" w:rsidRDefault="00F04442" w:rsidP="00B57962">
            <w:pPr>
              <w:pStyle w:val="ARtabletextright"/>
            </w:pPr>
            <w:r w:rsidRPr="00860E03">
              <w:t>11</w:t>
            </w:r>
          </w:p>
        </w:tc>
      </w:tr>
    </w:tbl>
    <w:p w14:paraId="02C6A96F" w14:textId="77777777" w:rsidR="00F73A80" w:rsidRPr="00860E03" w:rsidRDefault="00F73A80" w:rsidP="00605E25">
      <w:pPr>
        <w:pStyle w:val="ARtablefootnote"/>
        <w:spacing w:before="60"/>
      </w:pPr>
      <w:r w:rsidRPr="00860E03">
        <w:t xml:space="preserve">* In </w:t>
      </w:r>
      <w:r w:rsidR="009E5469">
        <w:t>2018–19</w:t>
      </w:r>
      <w:r w:rsidR="00A64DEB">
        <w:t>,</w:t>
      </w:r>
      <w:r w:rsidRPr="00860E03">
        <w:t xml:space="preserve"> other substances includes hydrochloric acid that was not previously reported. Other substances include: acetaldehyde, arsenic and compounds, benzene, beryllium and compounds, 1,3-butadiene (vinyl ethylene), cadmium and compounds, chromium (III) compounds, cobalt and compounds, copper and compounds, formaldehyde (methyl aldehyde) lead and compounds, magnesium oxide fume, manganese and compounds, mercury and compounds, nickel and compounds, polycyclic aromatic hydrocarbon, polychlorinated dioxins and furans (TEQ), selenium and compounds, toluene (methylbenzene), xylenes (individual or mixed isomers) and zinc and compounds.</w:t>
      </w:r>
    </w:p>
    <w:p w14:paraId="1A5EB51C" w14:textId="77777777" w:rsidR="002525BB" w:rsidRPr="007939DD" w:rsidRDefault="00F73A80" w:rsidP="00605E25">
      <w:pPr>
        <w:pStyle w:val="ARtablefootnote"/>
        <w:spacing w:before="60"/>
      </w:pPr>
      <w:r w:rsidRPr="00860E03">
        <w:t>2017–18 is the most recent data available from the National Pollutant Inventory at the date of this printing.</w:t>
      </w:r>
    </w:p>
    <w:p w14:paraId="3E56A5FA" w14:textId="77777777" w:rsidR="00084BD7" w:rsidRDefault="00084BD7" w:rsidP="004B3C07">
      <w:pPr>
        <w:pStyle w:val="ARbody"/>
        <w:sectPr w:rsidR="00084BD7" w:rsidSect="00E31562">
          <w:headerReference w:type="even" r:id="rId170"/>
          <w:headerReference w:type="default" r:id="rId171"/>
          <w:footerReference w:type="even" r:id="rId172"/>
          <w:footerReference w:type="default" r:id="rId173"/>
          <w:footerReference w:type="first" r:id="rId174"/>
          <w:endnotePr>
            <w:numFmt w:val="decimal"/>
          </w:endnotePr>
          <w:pgSz w:w="11900" w:h="16840" w:code="9"/>
          <w:pgMar w:top="1985" w:right="851" w:bottom="851" w:left="1418" w:header="510" w:footer="340" w:gutter="0"/>
          <w:cols w:space="454"/>
        </w:sectPr>
      </w:pPr>
      <w:bookmarkStart w:id="212" w:name="_Toc493069465"/>
    </w:p>
    <w:bookmarkEnd w:id="212"/>
    <w:p w14:paraId="1D2A3825" w14:textId="77777777" w:rsidR="00605E25" w:rsidRPr="001A390D" w:rsidRDefault="00605E25" w:rsidP="001A390D">
      <w:pPr>
        <w:pStyle w:val="ARbody"/>
      </w:pPr>
      <w:r w:rsidRPr="001A390D">
        <w:rPr>
          <w:noProof/>
        </w:rPr>
        <w:drawing>
          <wp:anchor distT="0" distB="0" distL="114300" distR="114300" simplePos="0" relativeHeight="251671552" behindDoc="1" locked="1" layoutInCell="1" allowOverlap="1" wp14:anchorId="47011E0A" wp14:editId="318491AA">
            <wp:simplePos x="0" y="0"/>
            <wp:positionH relativeFrom="page">
              <wp:posOffset>0</wp:posOffset>
            </wp:positionH>
            <wp:positionV relativeFrom="page">
              <wp:posOffset>0</wp:posOffset>
            </wp:positionV>
            <wp:extent cx="7563600" cy="10697400"/>
            <wp:effectExtent l="0" t="0" r="0" b="889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1907417_DHHS Annual Report Full page BW.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63600" cy="10697400"/>
                    </a:xfrm>
                    <a:prstGeom prst="rect">
                      <a:avLst/>
                    </a:prstGeom>
                  </pic:spPr>
                </pic:pic>
              </a:graphicData>
            </a:graphic>
            <wp14:sizeRelH relativeFrom="page">
              <wp14:pctWidth>0</wp14:pctWidth>
            </wp14:sizeRelH>
            <wp14:sizeRelV relativeFrom="page">
              <wp14:pctHeight>0</wp14:pctHeight>
            </wp14:sizeRelV>
          </wp:anchor>
        </w:drawing>
      </w:r>
      <w:r w:rsidRPr="001A390D">
        <w:br w:type="page"/>
      </w:r>
    </w:p>
    <w:p w14:paraId="77B8B27D" w14:textId="77777777" w:rsidR="00FA7EBF" w:rsidRDefault="00FA7EBF" w:rsidP="003B52B3">
      <w:pPr>
        <w:pStyle w:val="Heading1"/>
        <w:ind w:right="2835"/>
      </w:pPr>
      <w:bookmarkStart w:id="213" w:name="_Toc21682725"/>
      <w:r>
        <w:rPr>
          <w:noProof/>
          <w:lang w:eastAsia="en-AU"/>
        </w:rPr>
        <w:drawing>
          <wp:anchor distT="0" distB="0" distL="114300" distR="114300" simplePos="0" relativeHeight="251665408" behindDoc="1" locked="1" layoutInCell="1" allowOverlap="1" wp14:anchorId="07D95C61" wp14:editId="38B9AFAF">
            <wp:simplePos x="0" y="0"/>
            <wp:positionH relativeFrom="page">
              <wp:align>right</wp:align>
            </wp:positionH>
            <wp:positionV relativeFrom="page">
              <wp:align>top</wp:align>
            </wp:positionV>
            <wp:extent cx="3132360" cy="2699280"/>
            <wp:effectExtent l="0" t="0" r="0" b="6350"/>
            <wp:wrapNone/>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1907417_DHHS Annual Report Section start 87x75m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2360" cy="2699280"/>
                    </a:xfrm>
                    <a:prstGeom prst="rect">
                      <a:avLst/>
                    </a:prstGeom>
                  </pic:spPr>
                </pic:pic>
              </a:graphicData>
            </a:graphic>
            <wp14:sizeRelH relativeFrom="page">
              <wp14:pctWidth>0</wp14:pctWidth>
            </wp14:sizeRelH>
            <wp14:sizeRelV relativeFrom="page">
              <wp14:pctHeight>0</wp14:pctHeight>
            </wp14:sizeRelV>
          </wp:anchor>
        </w:drawing>
      </w:r>
      <w:r w:rsidRPr="007939DD">
        <w:t>Department of Health and Human Services: Financial statements for the financial year</w:t>
      </w:r>
      <w:r>
        <w:t xml:space="preserve"> </w:t>
      </w:r>
      <w:r w:rsidRPr="007939DD">
        <w:t>ended 30 June 201</w:t>
      </w:r>
      <w:r>
        <w:t>9</w:t>
      </w:r>
      <w:bookmarkEnd w:id="213"/>
    </w:p>
    <w:p w14:paraId="03A45774" w14:textId="77777777" w:rsidR="00FA7EBF" w:rsidRPr="00CA66FD" w:rsidRDefault="00FA7EBF" w:rsidP="00CA66FD">
      <w:pPr>
        <w:pStyle w:val="ARbody"/>
        <w:sectPr w:rsidR="00FA7EBF" w:rsidRPr="00CA66FD" w:rsidSect="00FA7EBF">
          <w:headerReference w:type="even" r:id="rId175"/>
          <w:headerReference w:type="default" r:id="rId176"/>
          <w:footerReference w:type="even" r:id="rId177"/>
          <w:footerReference w:type="default" r:id="rId178"/>
          <w:footerReference w:type="first" r:id="rId179"/>
          <w:endnotePr>
            <w:numFmt w:val="decimal"/>
          </w:endnotePr>
          <w:pgSz w:w="11900" w:h="16840" w:code="9"/>
          <w:pgMar w:top="1985" w:right="851" w:bottom="851" w:left="1418" w:header="510" w:footer="340" w:gutter="0"/>
          <w:cols w:space="454"/>
          <w:docGrid w:linePitch="326"/>
        </w:sectPr>
      </w:pPr>
    </w:p>
    <w:p w14:paraId="52BBC24C" w14:textId="035D8310" w:rsidR="00FA7EBF" w:rsidRDefault="00FA7EBF">
      <w:pPr>
        <w:pStyle w:val="TOC1"/>
        <w:rPr>
          <w:rFonts w:asciiTheme="minorHAnsi" w:hAnsiTheme="minorHAnsi"/>
          <w:sz w:val="22"/>
          <w:szCs w:val="22"/>
          <w:lang w:eastAsia="en-AU"/>
        </w:rPr>
      </w:pPr>
      <w:r>
        <w:rPr>
          <w:rFonts w:eastAsia="Times" w:cs="Arial"/>
          <w:noProof w:val="0"/>
          <w:sz w:val="19"/>
          <w:szCs w:val="19"/>
          <w:lang w:eastAsia="en-AU"/>
        </w:rPr>
        <w:fldChar w:fldCharType="begin"/>
      </w:r>
      <w:r>
        <w:rPr>
          <w:rFonts w:eastAsia="Times" w:cs="Arial"/>
          <w:noProof w:val="0"/>
          <w:sz w:val="19"/>
          <w:szCs w:val="19"/>
          <w:lang w:eastAsia="en-AU"/>
        </w:rPr>
        <w:instrText xml:space="preserve"> TOC \b Financials \h \z \u \t "Heading 2,1,Heading 3,2" </w:instrText>
      </w:r>
      <w:r>
        <w:rPr>
          <w:rFonts w:eastAsia="Times" w:cs="Arial"/>
          <w:noProof w:val="0"/>
          <w:sz w:val="19"/>
          <w:szCs w:val="19"/>
          <w:lang w:eastAsia="en-AU"/>
        </w:rPr>
        <w:fldChar w:fldCharType="separate"/>
      </w:r>
      <w:hyperlink w:anchor="_Toc19795285" w:history="1">
        <w:r w:rsidRPr="00EB4CE0">
          <w:rPr>
            <w:rStyle w:val="Hyperlink"/>
            <w:lang w:eastAsia="en-AU"/>
          </w:rPr>
          <w:t>Declaration in the financial statements</w:t>
        </w:r>
        <w:r>
          <w:rPr>
            <w:webHidden/>
          </w:rPr>
          <w:tab/>
        </w:r>
        <w:r>
          <w:rPr>
            <w:webHidden/>
          </w:rPr>
          <w:fldChar w:fldCharType="begin"/>
        </w:r>
        <w:r>
          <w:rPr>
            <w:webHidden/>
          </w:rPr>
          <w:instrText xml:space="preserve"> PAGEREF _Toc19795285 \h </w:instrText>
        </w:r>
        <w:r>
          <w:rPr>
            <w:webHidden/>
          </w:rPr>
        </w:r>
        <w:r>
          <w:rPr>
            <w:webHidden/>
          </w:rPr>
          <w:fldChar w:fldCharType="separate"/>
        </w:r>
        <w:r w:rsidR="000179F2">
          <w:rPr>
            <w:webHidden/>
          </w:rPr>
          <w:t>190</w:t>
        </w:r>
        <w:r>
          <w:rPr>
            <w:webHidden/>
          </w:rPr>
          <w:fldChar w:fldCharType="end"/>
        </w:r>
      </w:hyperlink>
    </w:p>
    <w:p w14:paraId="0819D08E" w14:textId="10A5AB8C" w:rsidR="00FA7EBF" w:rsidRDefault="00DE204B">
      <w:pPr>
        <w:pStyle w:val="TOC1"/>
        <w:rPr>
          <w:rFonts w:asciiTheme="minorHAnsi" w:hAnsiTheme="minorHAnsi"/>
          <w:sz w:val="22"/>
          <w:szCs w:val="22"/>
          <w:lang w:eastAsia="en-AU"/>
        </w:rPr>
      </w:pPr>
      <w:hyperlink w:anchor="_Toc19795286" w:history="1">
        <w:r w:rsidR="00FA7EBF" w:rsidRPr="00EB4CE0">
          <w:rPr>
            <w:rStyle w:val="Hyperlink"/>
            <w:rFonts w:cs="Arial"/>
            <w:lang w:eastAsia="en-AU"/>
          </w:rPr>
          <w:t>Independent auditor’s report</w:t>
        </w:r>
        <w:r w:rsidR="00FA7EBF">
          <w:rPr>
            <w:webHidden/>
          </w:rPr>
          <w:tab/>
        </w:r>
        <w:r w:rsidR="00FA7EBF">
          <w:rPr>
            <w:webHidden/>
          </w:rPr>
          <w:fldChar w:fldCharType="begin"/>
        </w:r>
        <w:r w:rsidR="00FA7EBF">
          <w:rPr>
            <w:webHidden/>
          </w:rPr>
          <w:instrText xml:space="preserve"> PAGEREF _Toc19795286 \h </w:instrText>
        </w:r>
        <w:r w:rsidR="00FA7EBF">
          <w:rPr>
            <w:webHidden/>
          </w:rPr>
        </w:r>
        <w:r w:rsidR="00FA7EBF">
          <w:rPr>
            <w:webHidden/>
          </w:rPr>
          <w:fldChar w:fldCharType="separate"/>
        </w:r>
        <w:r w:rsidR="000179F2">
          <w:rPr>
            <w:webHidden/>
          </w:rPr>
          <w:t>191</w:t>
        </w:r>
        <w:r w:rsidR="00FA7EBF">
          <w:rPr>
            <w:webHidden/>
          </w:rPr>
          <w:fldChar w:fldCharType="end"/>
        </w:r>
      </w:hyperlink>
    </w:p>
    <w:p w14:paraId="61627D20" w14:textId="4711BB2D" w:rsidR="00FA7EBF" w:rsidRDefault="00DE204B">
      <w:pPr>
        <w:pStyle w:val="TOC1"/>
        <w:rPr>
          <w:rFonts w:asciiTheme="minorHAnsi" w:hAnsiTheme="minorHAnsi"/>
          <w:sz w:val="22"/>
          <w:szCs w:val="22"/>
          <w:lang w:eastAsia="en-AU"/>
        </w:rPr>
      </w:pPr>
      <w:hyperlink w:anchor="_Toc19795287" w:history="1">
        <w:r w:rsidR="00FA7EBF" w:rsidRPr="00EB4CE0">
          <w:rPr>
            <w:rStyle w:val="Hyperlink"/>
            <w:lang w:eastAsia="en-AU"/>
          </w:rPr>
          <w:t>Comprehensive operating statement for the financial year ended 30 June 2019</w:t>
        </w:r>
        <w:r w:rsidR="00FA7EBF">
          <w:rPr>
            <w:webHidden/>
          </w:rPr>
          <w:tab/>
        </w:r>
        <w:r w:rsidR="00FA7EBF">
          <w:rPr>
            <w:webHidden/>
          </w:rPr>
          <w:fldChar w:fldCharType="begin"/>
        </w:r>
        <w:r w:rsidR="00FA7EBF">
          <w:rPr>
            <w:webHidden/>
          </w:rPr>
          <w:instrText xml:space="preserve"> PAGEREF _Toc19795287 \h </w:instrText>
        </w:r>
        <w:r w:rsidR="00FA7EBF">
          <w:rPr>
            <w:webHidden/>
          </w:rPr>
        </w:r>
        <w:r w:rsidR="00FA7EBF">
          <w:rPr>
            <w:webHidden/>
          </w:rPr>
          <w:fldChar w:fldCharType="separate"/>
        </w:r>
        <w:r w:rsidR="000179F2">
          <w:rPr>
            <w:webHidden/>
          </w:rPr>
          <w:t>193</w:t>
        </w:r>
        <w:r w:rsidR="00FA7EBF">
          <w:rPr>
            <w:webHidden/>
          </w:rPr>
          <w:fldChar w:fldCharType="end"/>
        </w:r>
      </w:hyperlink>
    </w:p>
    <w:p w14:paraId="1A670E8B" w14:textId="7FB7D71E" w:rsidR="00FA7EBF" w:rsidRDefault="00DE204B">
      <w:pPr>
        <w:pStyle w:val="TOC1"/>
        <w:rPr>
          <w:rFonts w:asciiTheme="minorHAnsi" w:hAnsiTheme="minorHAnsi"/>
          <w:sz w:val="22"/>
          <w:szCs w:val="22"/>
          <w:lang w:eastAsia="en-AU"/>
        </w:rPr>
      </w:pPr>
      <w:hyperlink w:anchor="_Toc19795288" w:history="1">
        <w:r w:rsidR="00FA7EBF" w:rsidRPr="00EB4CE0">
          <w:rPr>
            <w:rStyle w:val="Hyperlink"/>
            <w:lang w:eastAsia="en-AU"/>
          </w:rPr>
          <w:t>Balance sheet as at 30 June 2019</w:t>
        </w:r>
        <w:r w:rsidR="00FA7EBF">
          <w:rPr>
            <w:webHidden/>
          </w:rPr>
          <w:tab/>
        </w:r>
        <w:r w:rsidR="00FA7EBF">
          <w:rPr>
            <w:webHidden/>
          </w:rPr>
          <w:fldChar w:fldCharType="begin"/>
        </w:r>
        <w:r w:rsidR="00FA7EBF">
          <w:rPr>
            <w:webHidden/>
          </w:rPr>
          <w:instrText xml:space="preserve"> PAGEREF _Toc19795288 \h </w:instrText>
        </w:r>
        <w:r w:rsidR="00FA7EBF">
          <w:rPr>
            <w:webHidden/>
          </w:rPr>
        </w:r>
        <w:r w:rsidR="00FA7EBF">
          <w:rPr>
            <w:webHidden/>
          </w:rPr>
          <w:fldChar w:fldCharType="separate"/>
        </w:r>
        <w:r w:rsidR="000179F2">
          <w:rPr>
            <w:webHidden/>
          </w:rPr>
          <w:t>194</w:t>
        </w:r>
        <w:r w:rsidR="00FA7EBF">
          <w:rPr>
            <w:webHidden/>
          </w:rPr>
          <w:fldChar w:fldCharType="end"/>
        </w:r>
      </w:hyperlink>
    </w:p>
    <w:p w14:paraId="7EA59CC5" w14:textId="6105F40B" w:rsidR="00FA7EBF" w:rsidRDefault="00DE204B">
      <w:pPr>
        <w:pStyle w:val="TOC1"/>
        <w:rPr>
          <w:rFonts w:asciiTheme="minorHAnsi" w:hAnsiTheme="minorHAnsi"/>
          <w:sz w:val="22"/>
          <w:szCs w:val="22"/>
          <w:lang w:eastAsia="en-AU"/>
        </w:rPr>
      </w:pPr>
      <w:hyperlink w:anchor="_Toc19795289" w:history="1">
        <w:r w:rsidR="00FA7EBF" w:rsidRPr="00EB4CE0">
          <w:rPr>
            <w:rStyle w:val="Hyperlink"/>
            <w:lang w:eastAsia="en-AU"/>
          </w:rPr>
          <w:t>Cash flow statement for the financial year ended 30 June 2019</w:t>
        </w:r>
        <w:r w:rsidR="00FA7EBF">
          <w:rPr>
            <w:webHidden/>
          </w:rPr>
          <w:tab/>
        </w:r>
        <w:r w:rsidR="00FA7EBF">
          <w:rPr>
            <w:webHidden/>
          </w:rPr>
          <w:fldChar w:fldCharType="begin"/>
        </w:r>
        <w:r w:rsidR="00FA7EBF">
          <w:rPr>
            <w:webHidden/>
          </w:rPr>
          <w:instrText xml:space="preserve"> PAGEREF _Toc19795289 \h </w:instrText>
        </w:r>
        <w:r w:rsidR="00FA7EBF">
          <w:rPr>
            <w:webHidden/>
          </w:rPr>
        </w:r>
        <w:r w:rsidR="00FA7EBF">
          <w:rPr>
            <w:webHidden/>
          </w:rPr>
          <w:fldChar w:fldCharType="separate"/>
        </w:r>
        <w:r w:rsidR="000179F2">
          <w:rPr>
            <w:webHidden/>
          </w:rPr>
          <w:t>195</w:t>
        </w:r>
        <w:r w:rsidR="00FA7EBF">
          <w:rPr>
            <w:webHidden/>
          </w:rPr>
          <w:fldChar w:fldCharType="end"/>
        </w:r>
      </w:hyperlink>
    </w:p>
    <w:p w14:paraId="327C2D33" w14:textId="49B3CE76" w:rsidR="00FA7EBF" w:rsidRDefault="00DE204B">
      <w:pPr>
        <w:pStyle w:val="TOC1"/>
        <w:rPr>
          <w:rFonts w:asciiTheme="minorHAnsi" w:hAnsiTheme="minorHAnsi"/>
          <w:sz w:val="22"/>
          <w:szCs w:val="22"/>
          <w:lang w:eastAsia="en-AU"/>
        </w:rPr>
      </w:pPr>
      <w:hyperlink w:anchor="_Toc19795290" w:history="1">
        <w:r w:rsidR="00FA7EBF" w:rsidRPr="00EB4CE0">
          <w:rPr>
            <w:rStyle w:val="Hyperlink"/>
            <w:lang w:eastAsia="en-AU"/>
          </w:rPr>
          <w:t>Statement of changes in equity for the financial year ended 30 June 2019</w:t>
        </w:r>
        <w:r w:rsidR="00FA7EBF">
          <w:rPr>
            <w:webHidden/>
          </w:rPr>
          <w:tab/>
        </w:r>
        <w:r w:rsidR="00FA7EBF">
          <w:rPr>
            <w:webHidden/>
          </w:rPr>
          <w:fldChar w:fldCharType="begin"/>
        </w:r>
        <w:r w:rsidR="00FA7EBF">
          <w:rPr>
            <w:webHidden/>
          </w:rPr>
          <w:instrText xml:space="preserve"> PAGEREF _Toc19795290 \h </w:instrText>
        </w:r>
        <w:r w:rsidR="00FA7EBF">
          <w:rPr>
            <w:webHidden/>
          </w:rPr>
        </w:r>
        <w:r w:rsidR="00FA7EBF">
          <w:rPr>
            <w:webHidden/>
          </w:rPr>
          <w:fldChar w:fldCharType="separate"/>
        </w:r>
        <w:r w:rsidR="000179F2">
          <w:rPr>
            <w:webHidden/>
          </w:rPr>
          <w:t>196</w:t>
        </w:r>
        <w:r w:rsidR="00FA7EBF">
          <w:rPr>
            <w:webHidden/>
          </w:rPr>
          <w:fldChar w:fldCharType="end"/>
        </w:r>
      </w:hyperlink>
    </w:p>
    <w:p w14:paraId="60DECC46" w14:textId="181C0FC3" w:rsidR="00FA7EBF" w:rsidRDefault="00DE204B">
      <w:pPr>
        <w:pStyle w:val="TOC1"/>
        <w:rPr>
          <w:rFonts w:asciiTheme="minorHAnsi" w:hAnsiTheme="minorHAnsi"/>
          <w:sz w:val="22"/>
          <w:szCs w:val="22"/>
          <w:lang w:eastAsia="en-AU"/>
        </w:rPr>
      </w:pPr>
      <w:hyperlink w:anchor="_Toc19795291" w:history="1">
        <w:r w:rsidR="00FA7EBF" w:rsidRPr="00EB4CE0">
          <w:rPr>
            <w:rStyle w:val="Hyperlink"/>
            <w:lang w:eastAsia="en-AU"/>
          </w:rPr>
          <w:t>Notes to and forming part of the financial statements for the financial year ended 30 June 2019</w:t>
        </w:r>
        <w:r w:rsidR="00FA7EBF">
          <w:rPr>
            <w:webHidden/>
          </w:rPr>
          <w:tab/>
        </w:r>
        <w:r w:rsidR="00FA7EBF">
          <w:rPr>
            <w:webHidden/>
          </w:rPr>
          <w:fldChar w:fldCharType="begin"/>
        </w:r>
        <w:r w:rsidR="00FA7EBF">
          <w:rPr>
            <w:webHidden/>
          </w:rPr>
          <w:instrText xml:space="preserve"> PAGEREF _Toc19795291 \h </w:instrText>
        </w:r>
        <w:r w:rsidR="00FA7EBF">
          <w:rPr>
            <w:webHidden/>
          </w:rPr>
        </w:r>
        <w:r w:rsidR="00FA7EBF">
          <w:rPr>
            <w:webHidden/>
          </w:rPr>
          <w:fldChar w:fldCharType="separate"/>
        </w:r>
        <w:r w:rsidR="000179F2">
          <w:rPr>
            <w:webHidden/>
          </w:rPr>
          <w:t>197</w:t>
        </w:r>
        <w:r w:rsidR="00FA7EBF">
          <w:rPr>
            <w:webHidden/>
          </w:rPr>
          <w:fldChar w:fldCharType="end"/>
        </w:r>
      </w:hyperlink>
    </w:p>
    <w:p w14:paraId="5E4F95F5" w14:textId="66E0E843" w:rsidR="00FA7EBF" w:rsidRDefault="00DE204B">
      <w:pPr>
        <w:pStyle w:val="TOC2"/>
        <w:rPr>
          <w:rFonts w:asciiTheme="minorHAnsi" w:hAnsiTheme="minorHAnsi"/>
          <w:sz w:val="22"/>
          <w:szCs w:val="22"/>
          <w:lang w:eastAsia="en-AU"/>
        </w:rPr>
      </w:pPr>
      <w:hyperlink w:anchor="_Toc19795292" w:history="1">
        <w:r w:rsidR="00FA7EBF" w:rsidRPr="00EB4CE0">
          <w:rPr>
            <w:rStyle w:val="Hyperlink"/>
          </w:rPr>
          <w:t>1. About this report</w:t>
        </w:r>
        <w:r w:rsidR="00FA7EBF">
          <w:rPr>
            <w:webHidden/>
          </w:rPr>
          <w:tab/>
        </w:r>
        <w:r w:rsidR="00FA7EBF">
          <w:rPr>
            <w:webHidden/>
          </w:rPr>
          <w:fldChar w:fldCharType="begin"/>
        </w:r>
        <w:r w:rsidR="00FA7EBF">
          <w:rPr>
            <w:webHidden/>
          </w:rPr>
          <w:instrText xml:space="preserve"> PAGEREF _Toc19795292 \h </w:instrText>
        </w:r>
        <w:r w:rsidR="00FA7EBF">
          <w:rPr>
            <w:webHidden/>
          </w:rPr>
        </w:r>
        <w:r w:rsidR="00FA7EBF">
          <w:rPr>
            <w:webHidden/>
          </w:rPr>
          <w:fldChar w:fldCharType="separate"/>
        </w:r>
        <w:r w:rsidR="000179F2">
          <w:rPr>
            <w:webHidden/>
          </w:rPr>
          <w:t>197</w:t>
        </w:r>
        <w:r w:rsidR="00FA7EBF">
          <w:rPr>
            <w:webHidden/>
          </w:rPr>
          <w:fldChar w:fldCharType="end"/>
        </w:r>
      </w:hyperlink>
    </w:p>
    <w:p w14:paraId="2E38D3DD" w14:textId="65C21CDA" w:rsidR="00FA7EBF" w:rsidRDefault="00DE204B">
      <w:pPr>
        <w:pStyle w:val="TOC2"/>
        <w:rPr>
          <w:rFonts w:asciiTheme="minorHAnsi" w:hAnsiTheme="minorHAnsi"/>
          <w:sz w:val="22"/>
          <w:szCs w:val="22"/>
          <w:lang w:eastAsia="en-AU"/>
        </w:rPr>
      </w:pPr>
      <w:hyperlink w:anchor="_Toc19795293" w:history="1">
        <w:r w:rsidR="00FA7EBF" w:rsidRPr="00EB4CE0">
          <w:rPr>
            <w:rStyle w:val="Hyperlink"/>
          </w:rPr>
          <w:t>2. Funding delivery of our services</w:t>
        </w:r>
        <w:r w:rsidR="00FA7EBF">
          <w:rPr>
            <w:webHidden/>
          </w:rPr>
          <w:tab/>
        </w:r>
        <w:r w:rsidR="00FA7EBF">
          <w:rPr>
            <w:webHidden/>
          </w:rPr>
          <w:fldChar w:fldCharType="begin"/>
        </w:r>
        <w:r w:rsidR="00FA7EBF">
          <w:rPr>
            <w:webHidden/>
          </w:rPr>
          <w:instrText xml:space="preserve"> PAGEREF _Toc19795293 \h </w:instrText>
        </w:r>
        <w:r w:rsidR="00FA7EBF">
          <w:rPr>
            <w:webHidden/>
          </w:rPr>
        </w:r>
        <w:r w:rsidR="00FA7EBF">
          <w:rPr>
            <w:webHidden/>
          </w:rPr>
          <w:fldChar w:fldCharType="separate"/>
        </w:r>
        <w:r w:rsidR="000179F2">
          <w:rPr>
            <w:webHidden/>
          </w:rPr>
          <w:t>199</w:t>
        </w:r>
        <w:r w:rsidR="00FA7EBF">
          <w:rPr>
            <w:webHidden/>
          </w:rPr>
          <w:fldChar w:fldCharType="end"/>
        </w:r>
      </w:hyperlink>
    </w:p>
    <w:p w14:paraId="5524826D" w14:textId="3B30A635" w:rsidR="00FA7EBF" w:rsidRDefault="00DE204B">
      <w:pPr>
        <w:pStyle w:val="TOC2"/>
        <w:rPr>
          <w:rFonts w:asciiTheme="minorHAnsi" w:hAnsiTheme="minorHAnsi"/>
          <w:sz w:val="22"/>
          <w:szCs w:val="22"/>
          <w:lang w:eastAsia="en-AU"/>
        </w:rPr>
      </w:pPr>
      <w:hyperlink w:anchor="_Toc19795294" w:history="1">
        <w:r w:rsidR="00FA7EBF" w:rsidRPr="00EB4CE0">
          <w:rPr>
            <w:rStyle w:val="Hyperlink"/>
          </w:rPr>
          <w:t>3. The cost of delivering services</w:t>
        </w:r>
        <w:r w:rsidR="00FA7EBF">
          <w:rPr>
            <w:webHidden/>
          </w:rPr>
          <w:tab/>
        </w:r>
        <w:r w:rsidR="00FA7EBF">
          <w:rPr>
            <w:webHidden/>
          </w:rPr>
          <w:fldChar w:fldCharType="begin"/>
        </w:r>
        <w:r w:rsidR="00FA7EBF">
          <w:rPr>
            <w:webHidden/>
          </w:rPr>
          <w:instrText xml:space="preserve"> PAGEREF _Toc19795294 \h </w:instrText>
        </w:r>
        <w:r w:rsidR="00FA7EBF">
          <w:rPr>
            <w:webHidden/>
          </w:rPr>
        </w:r>
        <w:r w:rsidR="00FA7EBF">
          <w:rPr>
            <w:webHidden/>
          </w:rPr>
          <w:fldChar w:fldCharType="separate"/>
        </w:r>
        <w:r w:rsidR="000179F2">
          <w:rPr>
            <w:webHidden/>
          </w:rPr>
          <w:t>204</w:t>
        </w:r>
        <w:r w:rsidR="00FA7EBF">
          <w:rPr>
            <w:webHidden/>
          </w:rPr>
          <w:fldChar w:fldCharType="end"/>
        </w:r>
      </w:hyperlink>
    </w:p>
    <w:p w14:paraId="74AC71D3" w14:textId="7BCE00E9" w:rsidR="00FA7EBF" w:rsidRDefault="00DE204B">
      <w:pPr>
        <w:pStyle w:val="TOC2"/>
        <w:rPr>
          <w:rFonts w:asciiTheme="minorHAnsi" w:hAnsiTheme="minorHAnsi"/>
          <w:sz w:val="22"/>
          <w:szCs w:val="22"/>
          <w:lang w:eastAsia="en-AU"/>
        </w:rPr>
      </w:pPr>
      <w:hyperlink w:anchor="_Toc19795295" w:history="1">
        <w:r w:rsidR="00FA7EBF" w:rsidRPr="00EB4CE0">
          <w:rPr>
            <w:rStyle w:val="Hyperlink"/>
          </w:rPr>
          <w:t>4. Disaggregated financial information by output</w:t>
        </w:r>
        <w:r w:rsidR="00FA7EBF">
          <w:rPr>
            <w:webHidden/>
          </w:rPr>
          <w:tab/>
        </w:r>
        <w:r w:rsidR="00FA7EBF">
          <w:rPr>
            <w:webHidden/>
          </w:rPr>
          <w:fldChar w:fldCharType="begin"/>
        </w:r>
        <w:r w:rsidR="00FA7EBF">
          <w:rPr>
            <w:webHidden/>
          </w:rPr>
          <w:instrText xml:space="preserve"> PAGEREF _Toc19795295 \h </w:instrText>
        </w:r>
        <w:r w:rsidR="00FA7EBF">
          <w:rPr>
            <w:webHidden/>
          </w:rPr>
        </w:r>
        <w:r w:rsidR="00FA7EBF">
          <w:rPr>
            <w:webHidden/>
          </w:rPr>
          <w:fldChar w:fldCharType="separate"/>
        </w:r>
        <w:r w:rsidR="000179F2">
          <w:rPr>
            <w:webHidden/>
          </w:rPr>
          <w:t>210</w:t>
        </w:r>
        <w:r w:rsidR="00FA7EBF">
          <w:rPr>
            <w:webHidden/>
          </w:rPr>
          <w:fldChar w:fldCharType="end"/>
        </w:r>
      </w:hyperlink>
    </w:p>
    <w:p w14:paraId="1697B0E1" w14:textId="7A9DA215" w:rsidR="00FA7EBF" w:rsidRDefault="00DE204B">
      <w:pPr>
        <w:pStyle w:val="TOC2"/>
        <w:rPr>
          <w:rFonts w:asciiTheme="minorHAnsi" w:hAnsiTheme="minorHAnsi"/>
          <w:sz w:val="22"/>
          <w:szCs w:val="22"/>
          <w:lang w:eastAsia="en-AU"/>
        </w:rPr>
      </w:pPr>
      <w:hyperlink w:anchor="_Toc19795296" w:history="1">
        <w:r w:rsidR="00FA7EBF" w:rsidRPr="00EB4CE0">
          <w:rPr>
            <w:rStyle w:val="Hyperlink"/>
          </w:rPr>
          <w:t>5. Key assets available to support output delivery</w:t>
        </w:r>
        <w:r w:rsidR="00FA7EBF">
          <w:rPr>
            <w:webHidden/>
          </w:rPr>
          <w:tab/>
        </w:r>
        <w:r w:rsidR="00FA7EBF">
          <w:rPr>
            <w:webHidden/>
          </w:rPr>
          <w:fldChar w:fldCharType="begin"/>
        </w:r>
        <w:r w:rsidR="00FA7EBF">
          <w:rPr>
            <w:webHidden/>
          </w:rPr>
          <w:instrText xml:space="preserve"> PAGEREF _Toc19795296 \h </w:instrText>
        </w:r>
        <w:r w:rsidR="00FA7EBF">
          <w:rPr>
            <w:webHidden/>
          </w:rPr>
        </w:r>
        <w:r w:rsidR="00FA7EBF">
          <w:rPr>
            <w:webHidden/>
          </w:rPr>
          <w:fldChar w:fldCharType="separate"/>
        </w:r>
        <w:r w:rsidR="000179F2">
          <w:rPr>
            <w:webHidden/>
          </w:rPr>
          <w:t>220</w:t>
        </w:r>
        <w:r w:rsidR="00FA7EBF">
          <w:rPr>
            <w:webHidden/>
          </w:rPr>
          <w:fldChar w:fldCharType="end"/>
        </w:r>
      </w:hyperlink>
    </w:p>
    <w:p w14:paraId="546959B7" w14:textId="251D4ACD" w:rsidR="00FA7EBF" w:rsidRDefault="00DE204B">
      <w:pPr>
        <w:pStyle w:val="TOC2"/>
        <w:rPr>
          <w:rFonts w:asciiTheme="minorHAnsi" w:hAnsiTheme="minorHAnsi"/>
          <w:sz w:val="22"/>
          <w:szCs w:val="22"/>
          <w:lang w:eastAsia="en-AU"/>
        </w:rPr>
      </w:pPr>
      <w:hyperlink w:anchor="_Toc19795297" w:history="1">
        <w:r w:rsidR="00FA7EBF" w:rsidRPr="00EB4CE0">
          <w:rPr>
            <w:rStyle w:val="Hyperlink"/>
          </w:rPr>
          <w:t>6. Other assets and liabilities</w:t>
        </w:r>
        <w:r w:rsidR="00FA7EBF">
          <w:rPr>
            <w:webHidden/>
          </w:rPr>
          <w:tab/>
        </w:r>
        <w:r w:rsidR="00FA7EBF">
          <w:rPr>
            <w:webHidden/>
          </w:rPr>
          <w:fldChar w:fldCharType="begin"/>
        </w:r>
        <w:r w:rsidR="00FA7EBF">
          <w:rPr>
            <w:webHidden/>
          </w:rPr>
          <w:instrText xml:space="preserve"> PAGEREF _Toc19795297 \h </w:instrText>
        </w:r>
        <w:r w:rsidR="00FA7EBF">
          <w:rPr>
            <w:webHidden/>
          </w:rPr>
        </w:r>
        <w:r w:rsidR="00FA7EBF">
          <w:rPr>
            <w:webHidden/>
          </w:rPr>
          <w:fldChar w:fldCharType="separate"/>
        </w:r>
        <w:r w:rsidR="000179F2">
          <w:rPr>
            <w:webHidden/>
          </w:rPr>
          <w:t>225</w:t>
        </w:r>
        <w:r w:rsidR="00FA7EBF">
          <w:rPr>
            <w:webHidden/>
          </w:rPr>
          <w:fldChar w:fldCharType="end"/>
        </w:r>
      </w:hyperlink>
    </w:p>
    <w:p w14:paraId="68A3A13D" w14:textId="121104B6" w:rsidR="00FA7EBF" w:rsidRDefault="00DE204B">
      <w:pPr>
        <w:pStyle w:val="TOC2"/>
        <w:rPr>
          <w:rFonts w:asciiTheme="minorHAnsi" w:hAnsiTheme="minorHAnsi"/>
          <w:sz w:val="22"/>
          <w:szCs w:val="22"/>
          <w:lang w:eastAsia="en-AU"/>
        </w:rPr>
      </w:pPr>
      <w:hyperlink w:anchor="_Toc19795298" w:history="1">
        <w:r w:rsidR="00FA7EBF" w:rsidRPr="00EB4CE0">
          <w:rPr>
            <w:rStyle w:val="Hyperlink"/>
          </w:rPr>
          <w:t>7. How we financed our operations</w:t>
        </w:r>
        <w:r w:rsidR="00FA7EBF">
          <w:rPr>
            <w:webHidden/>
          </w:rPr>
          <w:tab/>
        </w:r>
        <w:r w:rsidR="00FA7EBF">
          <w:rPr>
            <w:webHidden/>
          </w:rPr>
          <w:fldChar w:fldCharType="begin"/>
        </w:r>
        <w:r w:rsidR="00FA7EBF">
          <w:rPr>
            <w:webHidden/>
          </w:rPr>
          <w:instrText xml:space="preserve"> PAGEREF _Toc19795298 \h </w:instrText>
        </w:r>
        <w:r w:rsidR="00FA7EBF">
          <w:rPr>
            <w:webHidden/>
          </w:rPr>
        </w:r>
        <w:r w:rsidR="00FA7EBF">
          <w:rPr>
            <w:webHidden/>
          </w:rPr>
          <w:fldChar w:fldCharType="separate"/>
        </w:r>
        <w:r w:rsidR="000179F2">
          <w:rPr>
            <w:webHidden/>
          </w:rPr>
          <w:t>229</w:t>
        </w:r>
        <w:r w:rsidR="00FA7EBF">
          <w:rPr>
            <w:webHidden/>
          </w:rPr>
          <w:fldChar w:fldCharType="end"/>
        </w:r>
      </w:hyperlink>
    </w:p>
    <w:p w14:paraId="686D803E" w14:textId="3BDE7553" w:rsidR="00FA7EBF" w:rsidRDefault="00DE204B">
      <w:pPr>
        <w:pStyle w:val="TOC2"/>
        <w:rPr>
          <w:rFonts w:asciiTheme="minorHAnsi" w:hAnsiTheme="minorHAnsi"/>
          <w:sz w:val="22"/>
          <w:szCs w:val="22"/>
          <w:lang w:eastAsia="en-AU"/>
        </w:rPr>
      </w:pPr>
      <w:hyperlink w:anchor="_Toc19795299" w:history="1">
        <w:r w:rsidR="00FA7EBF" w:rsidRPr="00EB4CE0">
          <w:rPr>
            <w:rStyle w:val="Hyperlink"/>
          </w:rPr>
          <w:t>8. Risks, contingencies and valuation judgements</w:t>
        </w:r>
        <w:r w:rsidR="00FA7EBF">
          <w:rPr>
            <w:webHidden/>
          </w:rPr>
          <w:tab/>
        </w:r>
        <w:r w:rsidR="00FA7EBF">
          <w:rPr>
            <w:webHidden/>
          </w:rPr>
          <w:fldChar w:fldCharType="begin"/>
        </w:r>
        <w:r w:rsidR="00FA7EBF">
          <w:rPr>
            <w:webHidden/>
          </w:rPr>
          <w:instrText xml:space="preserve"> PAGEREF _Toc19795299 \h </w:instrText>
        </w:r>
        <w:r w:rsidR="00FA7EBF">
          <w:rPr>
            <w:webHidden/>
          </w:rPr>
        </w:r>
        <w:r w:rsidR="00FA7EBF">
          <w:rPr>
            <w:webHidden/>
          </w:rPr>
          <w:fldChar w:fldCharType="separate"/>
        </w:r>
        <w:r w:rsidR="000179F2">
          <w:rPr>
            <w:webHidden/>
          </w:rPr>
          <w:t>240</w:t>
        </w:r>
        <w:r w:rsidR="00FA7EBF">
          <w:rPr>
            <w:webHidden/>
          </w:rPr>
          <w:fldChar w:fldCharType="end"/>
        </w:r>
      </w:hyperlink>
    </w:p>
    <w:p w14:paraId="4BDDB79E" w14:textId="495B53CB" w:rsidR="00FA7EBF" w:rsidRDefault="00DE204B">
      <w:pPr>
        <w:pStyle w:val="TOC2"/>
        <w:rPr>
          <w:rFonts w:asciiTheme="minorHAnsi" w:hAnsiTheme="minorHAnsi"/>
          <w:sz w:val="22"/>
          <w:szCs w:val="22"/>
          <w:lang w:eastAsia="en-AU"/>
        </w:rPr>
      </w:pPr>
      <w:hyperlink w:anchor="_Toc19795300" w:history="1">
        <w:r w:rsidR="00FA7EBF" w:rsidRPr="00EB4CE0">
          <w:rPr>
            <w:rStyle w:val="Hyperlink"/>
          </w:rPr>
          <w:t>9. Other disclosures</w:t>
        </w:r>
        <w:r w:rsidR="00FA7EBF">
          <w:rPr>
            <w:webHidden/>
          </w:rPr>
          <w:tab/>
        </w:r>
        <w:r w:rsidR="00FA7EBF">
          <w:rPr>
            <w:webHidden/>
          </w:rPr>
          <w:fldChar w:fldCharType="begin"/>
        </w:r>
        <w:r w:rsidR="00FA7EBF">
          <w:rPr>
            <w:webHidden/>
          </w:rPr>
          <w:instrText xml:space="preserve"> PAGEREF _Toc19795300 \h </w:instrText>
        </w:r>
        <w:r w:rsidR="00FA7EBF">
          <w:rPr>
            <w:webHidden/>
          </w:rPr>
        </w:r>
        <w:r w:rsidR="00FA7EBF">
          <w:rPr>
            <w:webHidden/>
          </w:rPr>
          <w:fldChar w:fldCharType="separate"/>
        </w:r>
        <w:r w:rsidR="000179F2">
          <w:rPr>
            <w:webHidden/>
          </w:rPr>
          <w:t>253</w:t>
        </w:r>
        <w:r w:rsidR="00FA7EBF">
          <w:rPr>
            <w:webHidden/>
          </w:rPr>
          <w:fldChar w:fldCharType="end"/>
        </w:r>
      </w:hyperlink>
    </w:p>
    <w:p w14:paraId="13DA1439" w14:textId="77777777" w:rsidR="00FA7EBF" w:rsidRDefault="00FA7EBF" w:rsidP="00CA66FD">
      <w:pPr>
        <w:pStyle w:val="ARbody"/>
      </w:pPr>
      <w:r>
        <w:rPr>
          <w:rFonts w:eastAsia="Times New Roman" w:cs="Times New Roman"/>
          <w:sz w:val="24"/>
        </w:rPr>
        <w:fldChar w:fldCharType="end"/>
      </w:r>
    </w:p>
    <w:p w14:paraId="304690CC" w14:textId="77777777" w:rsidR="00FA7EBF" w:rsidRDefault="00FA7EBF" w:rsidP="00CA66FD">
      <w:pPr>
        <w:pStyle w:val="ARbody"/>
        <w:sectPr w:rsidR="00FA7EBF" w:rsidSect="00CA66FD">
          <w:endnotePr>
            <w:numFmt w:val="decimal"/>
          </w:endnotePr>
          <w:type w:val="continuous"/>
          <w:pgSz w:w="11900" w:h="16840" w:code="9"/>
          <w:pgMar w:top="2126" w:right="851" w:bottom="851" w:left="1418" w:header="510" w:footer="340" w:gutter="0"/>
          <w:cols w:space="454"/>
        </w:sectPr>
      </w:pPr>
    </w:p>
    <w:p w14:paraId="1E2D9D88" w14:textId="77777777" w:rsidR="00FA7EBF" w:rsidRDefault="00FA7EBF" w:rsidP="00CA66FD">
      <w:pPr>
        <w:pStyle w:val="Heading2"/>
        <w:rPr>
          <w:lang w:eastAsia="en-AU"/>
        </w:rPr>
      </w:pPr>
      <w:bookmarkStart w:id="214" w:name="_Toc19795285"/>
      <w:bookmarkStart w:id="215" w:name="_Ref21957414"/>
      <w:bookmarkStart w:id="216" w:name="Financials"/>
      <w:bookmarkStart w:id="217" w:name="_Toc462654058"/>
      <w:bookmarkStart w:id="218" w:name="_Toc462577209"/>
      <w:bookmarkStart w:id="219" w:name="_Toc463776640"/>
      <w:bookmarkStart w:id="220" w:name="_Ref492894547"/>
      <w:r>
        <w:rPr>
          <w:lang w:eastAsia="en-AU"/>
        </w:rPr>
        <w:t>Declaration in the financial statements</w:t>
      </w:r>
      <w:bookmarkStart w:id="221" w:name="_Toc430961071"/>
      <w:bookmarkStart w:id="222" w:name="_Ref492906932"/>
      <w:bookmarkEnd w:id="214"/>
      <w:bookmarkEnd w:id="215"/>
    </w:p>
    <w:p w14:paraId="57011F74" w14:textId="77777777" w:rsidR="00FA7EBF" w:rsidRPr="008A4550" w:rsidRDefault="00FA7EBF" w:rsidP="00CA66FD">
      <w:pPr>
        <w:pStyle w:val="ARbody"/>
      </w:pPr>
      <w:r w:rsidRPr="001366E5">
        <w:t>The</w:t>
      </w:r>
      <w:r w:rsidRPr="008A4550">
        <w:t xml:space="preserve"> attached financial statements for the Department of Health and Human Services (the </w:t>
      </w:r>
      <w:r>
        <w:t>d</w:t>
      </w:r>
      <w:r w:rsidRPr="008A4550">
        <w:t xml:space="preserve">epartment) have been prepared in accordance with Direction 5.2 of the Standing Directions of the Assistant Treasurer under the </w:t>
      </w:r>
      <w:r w:rsidRPr="008A4550">
        <w:rPr>
          <w:i/>
        </w:rPr>
        <w:t>F</w:t>
      </w:r>
      <w:r w:rsidRPr="00F6241E">
        <w:rPr>
          <w:rStyle w:val="Emphasis"/>
          <w:iCs w:val="0"/>
        </w:rPr>
        <w:t>inancial Management Act 1994</w:t>
      </w:r>
      <w:r w:rsidRPr="008A4550">
        <w:t>, applicable Financial Reporting Directions, Australian Accounting Standards including Interpretations, and other mandatory professional reporting requirements.</w:t>
      </w:r>
    </w:p>
    <w:p w14:paraId="6120960E" w14:textId="77777777" w:rsidR="00FA7EBF" w:rsidRPr="008A4550" w:rsidRDefault="00FA7EBF" w:rsidP="00CA66FD">
      <w:pPr>
        <w:pStyle w:val="ARbody"/>
      </w:pPr>
      <w:r w:rsidRPr="008A4550">
        <w:t xml:space="preserve">We further state that, in our opinion, the information set out in the </w:t>
      </w:r>
      <w:r>
        <w:t>c</w:t>
      </w:r>
      <w:r w:rsidRPr="008A4550">
        <w:t xml:space="preserve">omprehensive </w:t>
      </w:r>
      <w:r>
        <w:t>o</w:t>
      </w:r>
      <w:r w:rsidRPr="008A4550">
        <w:t xml:space="preserve">perating </w:t>
      </w:r>
      <w:r>
        <w:t>s</w:t>
      </w:r>
      <w:r w:rsidRPr="008A4550">
        <w:t xml:space="preserve">tatement, </w:t>
      </w:r>
      <w:r>
        <w:t>b</w:t>
      </w:r>
      <w:r w:rsidRPr="008A4550">
        <w:t xml:space="preserve">alance </w:t>
      </w:r>
      <w:r>
        <w:t>s</w:t>
      </w:r>
      <w:r w:rsidRPr="008A4550">
        <w:t xml:space="preserve">heet, </w:t>
      </w:r>
      <w:r>
        <w:t>s</w:t>
      </w:r>
      <w:r w:rsidRPr="008A4550">
        <w:t xml:space="preserve">tatement of </w:t>
      </w:r>
      <w:r>
        <w:t>c</w:t>
      </w:r>
      <w:r w:rsidRPr="008A4550">
        <w:t xml:space="preserve">hanges in </w:t>
      </w:r>
      <w:r>
        <w:t>e</w:t>
      </w:r>
      <w:r w:rsidRPr="008A4550">
        <w:t xml:space="preserve">quity, </w:t>
      </w:r>
      <w:r>
        <w:t>c</w:t>
      </w:r>
      <w:r w:rsidRPr="008A4550">
        <w:t xml:space="preserve">ash </w:t>
      </w:r>
      <w:r>
        <w:t>f</w:t>
      </w:r>
      <w:r w:rsidRPr="008A4550">
        <w:t xml:space="preserve">low </w:t>
      </w:r>
      <w:r>
        <w:t>s</w:t>
      </w:r>
      <w:r w:rsidRPr="008A4550">
        <w:t xml:space="preserve">tatement and accompanying notes, presents fairly the financial transactions during the year ended 30 June 2019 and financial position of the </w:t>
      </w:r>
      <w:r>
        <w:t>d</w:t>
      </w:r>
      <w:r w:rsidRPr="008A4550">
        <w:t>epartment at 30 June 2019.</w:t>
      </w:r>
    </w:p>
    <w:p w14:paraId="3A298D06" w14:textId="77777777" w:rsidR="00FA7EBF" w:rsidRPr="00264D24" w:rsidRDefault="00FA7EBF" w:rsidP="00CA66FD">
      <w:pPr>
        <w:pStyle w:val="ARbody"/>
      </w:pPr>
      <w:r w:rsidRPr="00F6241E">
        <w:t>At the time of signing, we are not aware of any circumstance which would render any particulars included in the financial statements to be misleading or inaccurate.</w:t>
      </w:r>
    </w:p>
    <w:p w14:paraId="6713F545" w14:textId="77777777" w:rsidR="00FA7EBF" w:rsidRPr="008A4550" w:rsidRDefault="00FA7EBF" w:rsidP="00CA66FD">
      <w:pPr>
        <w:pStyle w:val="ARbody"/>
      </w:pPr>
      <w:r w:rsidRPr="008A4550">
        <w:t>We authorise the attached financial statements for issue on 28 August 2019.</w:t>
      </w:r>
    </w:p>
    <w:p w14:paraId="03B54CF5" w14:textId="77777777" w:rsidR="00FA7EBF" w:rsidRDefault="00FA7EBF" w:rsidP="00CA66FD">
      <w:pPr>
        <w:pStyle w:val="ARbody"/>
        <w:spacing w:before="240"/>
      </w:pPr>
      <w:r w:rsidRPr="00B64675">
        <w:rPr>
          <w:noProof/>
          <w:lang w:eastAsia="en-AU"/>
        </w:rPr>
        <w:drawing>
          <wp:inline distT="0" distB="0" distL="0" distR="0" wp14:anchorId="46959A20" wp14:editId="74469763">
            <wp:extent cx="1193800" cy="673735"/>
            <wp:effectExtent l="0" t="0" r="6350" b="0"/>
            <wp:docPr id="263" name="Picture 263" descr="Kim Peak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 Peake signa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3800" cy="673735"/>
                    </a:xfrm>
                    <a:prstGeom prst="rect">
                      <a:avLst/>
                    </a:prstGeom>
                    <a:noFill/>
                    <a:ln>
                      <a:noFill/>
                    </a:ln>
                  </pic:spPr>
                </pic:pic>
              </a:graphicData>
            </a:graphic>
          </wp:inline>
        </w:drawing>
      </w:r>
    </w:p>
    <w:p w14:paraId="5D561444" w14:textId="77777777" w:rsidR="00FA7EBF" w:rsidRPr="008A4550" w:rsidRDefault="00FA7EBF" w:rsidP="00CA66FD">
      <w:pPr>
        <w:pStyle w:val="ARbody"/>
      </w:pPr>
      <w:r w:rsidRPr="00F6241E">
        <w:t>Kym Peake</w:t>
      </w:r>
      <w:r>
        <w:rPr>
          <w:szCs w:val="20"/>
        </w:rPr>
        <w:br/>
      </w:r>
      <w:r w:rsidRPr="00F6241E">
        <w:t>Secretary</w:t>
      </w:r>
      <w:r>
        <w:rPr>
          <w:szCs w:val="20"/>
        </w:rPr>
        <w:br/>
      </w:r>
      <w:r w:rsidRPr="008A4550">
        <w:t>Department of Health and Human Services</w:t>
      </w:r>
    </w:p>
    <w:p w14:paraId="4A54568F" w14:textId="77777777" w:rsidR="00FA7EBF" w:rsidRPr="008A4550" w:rsidRDefault="00FA7EBF" w:rsidP="00CA66FD">
      <w:pPr>
        <w:pStyle w:val="ARbody"/>
      </w:pPr>
      <w:r w:rsidRPr="00F6241E">
        <w:t>Melbourne</w:t>
      </w:r>
      <w:r>
        <w:rPr>
          <w:szCs w:val="20"/>
        </w:rPr>
        <w:br/>
      </w:r>
      <w:r w:rsidRPr="008A4550">
        <w:t>28 August 2019</w:t>
      </w:r>
    </w:p>
    <w:p w14:paraId="20898E55" w14:textId="77777777" w:rsidR="00FA7EBF" w:rsidRPr="008A4550" w:rsidRDefault="00FA7EBF" w:rsidP="00CA66FD">
      <w:pPr>
        <w:pStyle w:val="ARbody"/>
        <w:spacing w:before="1200"/>
      </w:pPr>
      <w:r>
        <w:rPr>
          <w:noProof/>
          <w:lang w:eastAsia="en-AU"/>
        </w:rPr>
        <w:drawing>
          <wp:inline distT="0" distB="0" distL="0" distR="0" wp14:anchorId="532AA208" wp14:editId="2596EA7E">
            <wp:extent cx="950978" cy="294895"/>
            <wp:effectExtent l="0" t="0" r="1905" b="0"/>
            <wp:docPr id="278" name="Picture 278" descr="Jenny Zahara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enny_Zahara_signature.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950978" cy="294895"/>
                    </a:xfrm>
                    <a:prstGeom prst="rect">
                      <a:avLst/>
                    </a:prstGeom>
                  </pic:spPr>
                </pic:pic>
              </a:graphicData>
            </a:graphic>
          </wp:inline>
        </w:drawing>
      </w:r>
    </w:p>
    <w:p w14:paraId="5826194F" w14:textId="77777777" w:rsidR="00FA7EBF" w:rsidRPr="008A4550" w:rsidRDefault="00FA7EBF" w:rsidP="00CA66FD">
      <w:pPr>
        <w:pStyle w:val="ARbody"/>
      </w:pPr>
      <w:r w:rsidRPr="00F6241E">
        <w:t>Jenny Zahara</w:t>
      </w:r>
      <w:r>
        <w:rPr>
          <w:szCs w:val="20"/>
        </w:rPr>
        <w:br/>
      </w:r>
      <w:r w:rsidRPr="00F6241E">
        <w:t>Chief Finance and Accounting Officer</w:t>
      </w:r>
      <w:r>
        <w:rPr>
          <w:szCs w:val="20"/>
        </w:rPr>
        <w:br/>
      </w:r>
      <w:r w:rsidRPr="008A4550">
        <w:t>Department of Health and Human Services</w:t>
      </w:r>
    </w:p>
    <w:p w14:paraId="48A5E203" w14:textId="77777777" w:rsidR="00FA7EBF" w:rsidRDefault="00FA7EBF" w:rsidP="00CA66FD">
      <w:pPr>
        <w:pStyle w:val="ARbody"/>
        <w:rPr>
          <w:szCs w:val="20"/>
        </w:rPr>
      </w:pPr>
      <w:r w:rsidRPr="00F6241E">
        <w:t>Melbourne</w:t>
      </w:r>
      <w:r>
        <w:rPr>
          <w:szCs w:val="20"/>
        </w:rPr>
        <w:br/>
      </w:r>
      <w:r w:rsidRPr="001366E5">
        <w:rPr>
          <w:szCs w:val="20"/>
        </w:rPr>
        <w:t>28 August 2019</w:t>
      </w:r>
    </w:p>
    <w:p w14:paraId="1EDC5FAA" w14:textId="77777777" w:rsidR="00FA7EBF" w:rsidRPr="007939DD" w:rsidRDefault="00FA7EBF" w:rsidP="00CA66FD">
      <w:pPr>
        <w:pStyle w:val="ARbody"/>
      </w:pPr>
      <w:r w:rsidRPr="007939DD">
        <w:br w:type="page"/>
      </w:r>
    </w:p>
    <w:p w14:paraId="074EB6AE" w14:textId="77777777" w:rsidR="00FA7EBF" w:rsidRDefault="00FA7EBF" w:rsidP="00CA66FD">
      <w:pPr>
        <w:pStyle w:val="Heading2"/>
        <w:spacing w:before="0" w:after="200"/>
        <w:rPr>
          <w:rFonts w:cs="Arial"/>
          <w:lang w:eastAsia="en-AU"/>
        </w:rPr>
      </w:pPr>
      <w:bookmarkStart w:id="223" w:name="_Ref525205548"/>
      <w:bookmarkStart w:id="224" w:name="_Ref525205559"/>
      <w:bookmarkStart w:id="225" w:name="_Toc17971165"/>
      <w:bookmarkStart w:id="226" w:name="_Toc19795286"/>
      <w:r w:rsidRPr="007939DD">
        <w:rPr>
          <w:rFonts w:cs="Arial"/>
          <w:lang w:eastAsia="en-AU"/>
        </w:rPr>
        <w:t>Independent auditor</w:t>
      </w:r>
      <w:r>
        <w:rPr>
          <w:rFonts w:cs="Arial"/>
          <w:lang w:eastAsia="en-AU"/>
        </w:rPr>
        <w:t>’</w:t>
      </w:r>
      <w:r w:rsidRPr="007939DD">
        <w:rPr>
          <w:rFonts w:cs="Arial"/>
          <w:lang w:eastAsia="en-AU"/>
        </w:rPr>
        <w:t>s report</w:t>
      </w:r>
      <w:bookmarkEnd w:id="221"/>
      <w:bookmarkEnd w:id="222"/>
      <w:bookmarkEnd w:id="223"/>
      <w:bookmarkEnd w:id="224"/>
      <w:bookmarkEnd w:id="225"/>
      <w:bookmarkEnd w:id="226"/>
    </w:p>
    <w:p w14:paraId="71C2F458" w14:textId="77777777" w:rsidR="00FA7EBF" w:rsidRDefault="00FA7EBF" w:rsidP="00CA66FD">
      <w:pPr>
        <w:pStyle w:val="ARbody"/>
        <w:rPr>
          <w:lang w:eastAsia="en-AU"/>
        </w:rPr>
      </w:pPr>
      <w:r>
        <w:rPr>
          <w:noProof/>
          <w:lang w:eastAsia="en-AU"/>
        </w:rPr>
        <w:drawing>
          <wp:inline distT="0" distB="0" distL="0" distR="0" wp14:anchorId="29AEB898" wp14:editId="2EEC6A60">
            <wp:extent cx="5808240" cy="8601840"/>
            <wp:effectExtent l="0" t="0" r="2540" b="0"/>
            <wp:docPr id="13" name="Picture 13" descr="Independent Auditor's Report, page 1 of 2. To request the full text of the auditor's report, email corporate.reporting@dhh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GO opinion page 1.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5808240" cy="8601840"/>
                    </a:xfrm>
                    <a:prstGeom prst="rect">
                      <a:avLst/>
                    </a:prstGeom>
                  </pic:spPr>
                </pic:pic>
              </a:graphicData>
            </a:graphic>
          </wp:inline>
        </w:drawing>
      </w:r>
    </w:p>
    <w:p w14:paraId="5F24CA94" w14:textId="77777777" w:rsidR="00FA7EBF" w:rsidRDefault="00FA7EBF" w:rsidP="00CA66FD">
      <w:pPr>
        <w:pStyle w:val="ARbody"/>
        <w:rPr>
          <w:lang w:eastAsia="en-AU"/>
        </w:rPr>
      </w:pPr>
      <w:bookmarkStart w:id="227" w:name="Auditor_report_end"/>
      <w:bookmarkEnd w:id="227"/>
      <w:r>
        <w:rPr>
          <w:noProof/>
          <w:lang w:eastAsia="en-AU"/>
        </w:rPr>
        <w:drawing>
          <wp:inline distT="0" distB="0" distL="0" distR="0" wp14:anchorId="3EB99F78" wp14:editId="72279A14">
            <wp:extent cx="5514840" cy="8454960"/>
            <wp:effectExtent l="0" t="0" r="0" b="3810"/>
            <wp:docPr id="22" name="Picture 22" descr="Independent Auditor's Report, page 2 of 2. To request the full text of the auditor's report, email corporate.reporting@dhh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GO opinion page 2.pn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5514840" cy="8454960"/>
                    </a:xfrm>
                    <a:prstGeom prst="rect">
                      <a:avLst/>
                    </a:prstGeom>
                  </pic:spPr>
                </pic:pic>
              </a:graphicData>
            </a:graphic>
          </wp:inline>
        </w:drawing>
      </w:r>
    </w:p>
    <w:p w14:paraId="217C7E49" w14:textId="77777777" w:rsidR="00FA7EBF" w:rsidRDefault="00FA7EBF" w:rsidP="00CA66FD">
      <w:pPr>
        <w:pStyle w:val="Heading2"/>
        <w:rPr>
          <w:lang w:eastAsia="en-AU"/>
        </w:rPr>
      </w:pPr>
      <w:bookmarkStart w:id="228" w:name="_Toc17971166"/>
      <w:bookmarkStart w:id="229" w:name="_Toc19795287"/>
      <w:r>
        <w:rPr>
          <w:lang w:eastAsia="en-AU"/>
        </w:rPr>
        <w:t>C</w:t>
      </w:r>
      <w:r w:rsidRPr="00194D78">
        <w:rPr>
          <w:lang w:eastAsia="en-AU"/>
        </w:rPr>
        <w:t>omprehensive operating statement</w:t>
      </w:r>
      <w:r>
        <w:rPr>
          <w:lang w:eastAsia="en-AU"/>
        </w:rPr>
        <w:br/>
      </w:r>
      <w:r w:rsidRPr="00194D78">
        <w:rPr>
          <w:lang w:eastAsia="en-AU"/>
        </w:rPr>
        <w:t>for the financial year ended 30 June 2019</w:t>
      </w:r>
      <w:bookmarkEnd w:id="228"/>
      <w:bookmarkEnd w:id="229"/>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4A0" w:firstRow="1" w:lastRow="0" w:firstColumn="1" w:lastColumn="0" w:noHBand="0" w:noVBand="1"/>
      </w:tblPr>
      <w:tblGrid>
        <w:gridCol w:w="6520"/>
        <w:gridCol w:w="851"/>
        <w:gridCol w:w="1134"/>
        <w:gridCol w:w="1134"/>
      </w:tblGrid>
      <w:tr w:rsidR="00FA7EBF" w:rsidRPr="007939DD" w14:paraId="0B221AFA" w14:textId="77777777" w:rsidTr="007B207C">
        <w:trPr>
          <w:cantSplit/>
          <w:tblHeader/>
        </w:trPr>
        <w:tc>
          <w:tcPr>
            <w:tcW w:w="6520" w:type="dxa"/>
            <w:noWrap/>
            <w:vAlign w:val="bottom"/>
            <w:hideMark/>
          </w:tcPr>
          <w:p w14:paraId="40058D49" w14:textId="77777777" w:rsidR="00FA7EBF" w:rsidRPr="007939DD" w:rsidRDefault="00FA7EBF" w:rsidP="007B207C">
            <w:pPr>
              <w:pStyle w:val="ARfintablecolhead"/>
              <w:rPr>
                <w:rStyle w:val="Strong"/>
                <w:rFonts w:cs="Arial"/>
              </w:rPr>
            </w:pPr>
          </w:p>
        </w:tc>
        <w:tc>
          <w:tcPr>
            <w:tcW w:w="851" w:type="dxa"/>
            <w:noWrap/>
            <w:vAlign w:val="bottom"/>
            <w:hideMark/>
          </w:tcPr>
          <w:p w14:paraId="300A1066" w14:textId="77777777" w:rsidR="00FA7EBF" w:rsidRPr="007939DD" w:rsidRDefault="00FA7EBF" w:rsidP="007B207C">
            <w:pPr>
              <w:pStyle w:val="ARfintablecolheadright"/>
            </w:pPr>
            <w:r w:rsidRPr="007939DD">
              <w:t>Note</w:t>
            </w:r>
          </w:p>
        </w:tc>
        <w:tc>
          <w:tcPr>
            <w:tcW w:w="1134" w:type="dxa"/>
            <w:shd w:val="clear" w:color="auto" w:fill="E7E6E6"/>
            <w:noWrap/>
            <w:vAlign w:val="bottom"/>
            <w:hideMark/>
          </w:tcPr>
          <w:p w14:paraId="0D23DB98" w14:textId="77777777" w:rsidR="00FA7EBF" w:rsidRPr="007939DD" w:rsidRDefault="00FA7EBF" w:rsidP="007B207C">
            <w:pPr>
              <w:pStyle w:val="ARfintablecolheadright"/>
              <w:rPr>
                <w:rFonts w:cs="Arial"/>
              </w:rPr>
            </w:pPr>
            <w:r w:rsidRPr="007939DD">
              <w:rPr>
                <w:rFonts w:cs="Arial"/>
              </w:rPr>
              <w:t>201</w:t>
            </w:r>
            <w:r>
              <w:rPr>
                <w:rFonts w:cs="Arial"/>
              </w:rPr>
              <w:t>9</w:t>
            </w:r>
          </w:p>
          <w:p w14:paraId="33AC1516" w14:textId="77777777" w:rsidR="00FA7EBF" w:rsidRPr="007939DD" w:rsidRDefault="00FA7EBF" w:rsidP="007B207C">
            <w:pPr>
              <w:pStyle w:val="ARfintablecolheadright"/>
              <w:rPr>
                <w:rFonts w:cs="Arial"/>
              </w:rPr>
            </w:pPr>
            <w:r w:rsidRPr="007939DD">
              <w:rPr>
                <w:rFonts w:cs="Arial"/>
              </w:rPr>
              <w:t>$M</w:t>
            </w:r>
          </w:p>
        </w:tc>
        <w:tc>
          <w:tcPr>
            <w:tcW w:w="1134" w:type="dxa"/>
            <w:noWrap/>
            <w:vAlign w:val="bottom"/>
            <w:hideMark/>
          </w:tcPr>
          <w:p w14:paraId="6BB1AFAD" w14:textId="77777777" w:rsidR="00FA7EBF" w:rsidRPr="007939DD" w:rsidRDefault="00FA7EBF" w:rsidP="007B207C">
            <w:pPr>
              <w:pStyle w:val="ARfintablecolheadright"/>
              <w:rPr>
                <w:rFonts w:cs="Arial"/>
              </w:rPr>
            </w:pPr>
            <w:r w:rsidRPr="007939DD">
              <w:rPr>
                <w:rFonts w:cs="Arial"/>
              </w:rPr>
              <w:t>201</w:t>
            </w:r>
            <w:r>
              <w:rPr>
                <w:rFonts w:cs="Arial"/>
              </w:rPr>
              <w:t>8</w:t>
            </w:r>
          </w:p>
          <w:p w14:paraId="1AAD7304" w14:textId="77777777" w:rsidR="00FA7EBF" w:rsidRPr="007939DD" w:rsidRDefault="00FA7EBF" w:rsidP="007B207C">
            <w:pPr>
              <w:pStyle w:val="ARfintablecolheadright"/>
              <w:rPr>
                <w:rFonts w:cs="Arial"/>
              </w:rPr>
            </w:pPr>
            <w:r w:rsidRPr="007939DD">
              <w:rPr>
                <w:rFonts w:cs="Arial"/>
              </w:rPr>
              <w:t>$M</w:t>
            </w:r>
          </w:p>
        </w:tc>
      </w:tr>
      <w:tr w:rsidR="00FA7EBF" w:rsidRPr="007939DD" w14:paraId="3EB9CA77" w14:textId="77777777" w:rsidTr="007B207C">
        <w:trPr>
          <w:cantSplit/>
        </w:trPr>
        <w:tc>
          <w:tcPr>
            <w:tcW w:w="9639" w:type="dxa"/>
            <w:gridSpan w:val="4"/>
            <w:tcBorders>
              <w:bottom w:val="single" w:sz="4" w:space="0" w:color="A6A6A6" w:themeColor="background1" w:themeShade="A6"/>
            </w:tcBorders>
            <w:hideMark/>
          </w:tcPr>
          <w:p w14:paraId="367196FA" w14:textId="77777777" w:rsidR="00FA7EBF" w:rsidRPr="007939DD" w:rsidRDefault="00FA7EBF" w:rsidP="007B207C">
            <w:pPr>
              <w:pStyle w:val="ARfintablebodybold"/>
              <w:rPr>
                <w:lang w:eastAsia="en-AU"/>
              </w:rPr>
            </w:pPr>
            <w:r w:rsidRPr="0048529A">
              <w:t>Income from transactions</w:t>
            </w:r>
          </w:p>
        </w:tc>
      </w:tr>
      <w:tr w:rsidR="00FA7EBF" w:rsidRPr="007939DD" w14:paraId="5AEA2A97" w14:textId="77777777" w:rsidTr="007B207C">
        <w:trPr>
          <w:cantSplit/>
        </w:trPr>
        <w:tc>
          <w:tcPr>
            <w:tcW w:w="6520" w:type="dxa"/>
            <w:tcBorders>
              <w:top w:val="single" w:sz="4" w:space="0" w:color="A6A6A6" w:themeColor="background1" w:themeShade="A6"/>
              <w:bottom w:val="single" w:sz="4" w:space="0" w:color="A6A6A6" w:themeColor="background1" w:themeShade="A6"/>
            </w:tcBorders>
            <w:hideMark/>
          </w:tcPr>
          <w:p w14:paraId="7899024E" w14:textId="77777777" w:rsidR="00FA7EBF" w:rsidRPr="007939DD" w:rsidRDefault="00FA7EBF" w:rsidP="007B207C">
            <w:pPr>
              <w:pStyle w:val="ARfintablebody"/>
              <w:rPr>
                <w:lang w:eastAsia="en-AU"/>
              </w:rPr>
            </w:pPr>
            <w:r w:rsidRPr="0048529A">
              <w:t>Output appropriations</w:t>
            </w:r>
          </w:p>
        </w:tc>
        <w:tc>
          <w:tcPr>
            <w:tcW w:w="851" w:type="dxa"/>
            <w:tcBorders>
              <w:top w:val="single" w:sz="4" w:space="0" w:color="A6A6A6" w:themeColor="background1" w:themeShade="A6"/>
              <w:bottom w:val="single" w:sz="4" w:space="0" w:color="A6A6A6" w:themeColor="background1" w:themeShade="A6"/>
            </w:tcBorders>
            <w:noWrap/>
            <w:hideMark/>
          </w:tcPr>
          <w:p w14:paraId="20FA6AB1" w14:textId="77777777" w:rsidR="00FA7EBF" w:rsidRPr="007939DD" w:rsidRDefault="00FA7EBF" w:rsidP="007B207C">
            <w:pPr>
              <w:pStyle w:val="ARfintablebodyright"/>
              <w:rPr>
                <w:lang w:eastAsia="en-AU"/>
              </w:rPr>
            </w:pPr>
            <w:r w:rsidRPr="00D95F0F">
              <w:t>2.3</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41DBC19F" w14:textId="77777777" w:rsidR="00FA7EBF" w:rsidRPr="007939DD" w:rsidRDefault="00FA7EBF" w:rsidP="007B207C">
            <w:pPr>
              <w:pStyle w:val="ARfintablebodyright"/>
              <w:rPr>
                <w:lang w:eastAsia="en-AU"/>
              </w:rPr>
            </w:pPr>
            <w:r w:rsidRPr="00D95F0F">
              <w:t>16,182.9</w:t>
            </w:r>
          </w:p>
        </w:tc>
        <w:tc>
          <w:tcPr>
            <w:tcW w:w="1134" w:type="dxa"/>
            <w:tcBorders>
              <w:top w:val="single" w:sz="4" w:space="0" w:color="A6A6A6" w:themeColor="background1" w:themeShade="A6"/>
              <w:bottom w:val="single" w:sz="4" w:space="0" w:color="A6A6A6" w:themeColor="background1" w:themeShade="A6"/>
            </w:tcBorders>
            <w:noWrap/>
            <w:hideMark/>
          </w:tcPr>
          <w:p w14:paraId="269FC8E1" w14:textId="77777777" w:rsidR="00FA7EBF" w:rsidRPr="007939DD" w:rsidRDefault="00FA7EBF" w:rsidP="007B207C">
            <w:pPr>
              <w:pStyle w:val="ARfintablebodyright"/>
              <w:rPr>
                <w:lang w:eastAsia="en-AU"/>
              </w:rPr>
            </w:pPr>
            <w:r w:rsidRPr="00D95F0F">
              <w:t>15,013.3</w:t>
            </w:r>
          </w:p>
        </w:tc>
      </w:tr>
      <w:tr w:rsidR="00FA7EBF" w:rsidRPr="007939DD" w14:paraId="312FADCF" w14:textId="77777777" w:rsidTr="007B207C">
        <w:trPr>
          <w:cantSplit/>
        </w:trPr>
        <w:tc>
          <w:tcPr>
            <w:tcW w:w="6520" w:type="dxa"/>
            <w:tcBorders>
              <w:top w:val="single" w:sz="4" w:space="0" w:color="A6A6A6" w:themeColor="background1" w:themeShade="A6"/>
              <w:bottom w:val="single" w:sz="4" w:space="0" w:color="A6A6A6" w:themeColor="background1" w:themeShade="A6"/>
            </w:tcBorders>
            <w:hideMark/>
          </w:tcPr>
          <w:p w14:paraId="6470CE4D" w14:textId="77777777" w:rsidR="00FA7EBF" w:rsidRPr="007939DD" w:rsidRDefault="00FA7EBF" w:rsidP="007B207C">
            <w:pPr>
              <w:pStyle w:val="ARfintablebody"/>
              <w:rPr>
                <w:lang w:eastAsia="en-AU"/>
              </w:rPr>
            </w:pPr>
            <w:r w:rsidRPr="0048529A">
              <w:t>Special appropriations</w:t>
            </w:r>
          </w:p>
        </w:tc>
        <w:tc>
          <w:tcPr>
            <w:tcW w:w="851" w:type="dxa"/>
            <w:tcBorders>
              <w:top w:val="single" w:sz="4" w:space="0" w:color="A6A6A6" w:themeColor="background1" w:themeShade="A6"/>
              <w:bottom w:val="single" w:sz="4" w:space="0" w:color="A6A6A6" w:themeColor="background1" w:themeShade="A6"/>
            </w:tcBorders>
            <w:noWrap/>
            <w:hideMark/>
          </w:tcPr>
          <w:p w14:paraId="56A74BF1" w14:textId="77777777" w:rsidR="00FA7EBF" w:rsidRPr="007939DD" w:rsidRDefault="00FA7EBF" w:rsidP="007B207C">
            <w:pPr>
              <w:pStyle w:val="ARfintablebodyright"/>
              <w:rPr>
                <w:lang w:eastAsia="en-AU"/>
              </w:rPr>
            </w:pPr>
            <w:r w:rsidRPr="00D95F0F">
              <w:t>2.3</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6B1952EF" w14:textId="77777777" w:rsidR="00FA7EBF" w:rsidRPr="007939DD" w:rsidRDefault="00FA7EBF" w:rsidP="007B207C">
            <w:pPr>
              <w:pStyle w:val="ARfintablebodyright"/>
              <w:rPr>
                <w:lang w:eastAsia="en-AU"/>
              </w:rPr>
            </w:pPr>
            <w:r w:rsidRPr="00D95F0F">
              <w:t>1,513.4</w:t>
            </w:r>
          </w:p>
        </w:tc>
        <w:tc>
          <w:tcPr>
            <w:tcW w:w="1134" w:type="dxa"/>
            <w:tcBorders>
              <w:top w:val="single" w:sz="4" w:space="0" w:color="A6A6A6" w:themeColor="background1" w:themeShade="A6"/>
              <w:bottom w:val="single" w:sz="4" w:space="0" w:color="A6A6A6" w:themeColor="background1" w:themeShade="A6"/>
            </w:tcBorders>
            <w:noWrap/>
            <w:hideMark/>
          </w:tcPr>
          <w:p w14:paraId="458F9ABA" w14:textId="77777777" w:rsidR="00FA7EBF" w:rsidRPr="007939DD" w:rsidRDefault="00FA7EBF" w:rsidP="007B207C">
            <w:pPr>
              <w:pStyle w:val="ARfintablebodyright"/>
              <w:rPr>
                <w:lang w:eastAsia="en-AU"/>
              </w:rPr>
            </w:pPr>
            <w:r w:rsidRPr="00D95F0F">
              <w:t>1,359.8</w:t>
            </w:r>
          </w:p>
        </w:tc>
      </w:tr>
      <w:tr w:rsidR="00FA7EBF" w:rsidRPr="007939DD" w14:paraId="1F851E38" w14:textId="77777777" w:rsidTr="007B207C">
        <w:trPr>
          <w:cantSplit/>
        </w:trPr>
        <w:tc>
          <w:tcPr>
            <w:tcW w:w="6520" w:type="dxa"/>
            <w:tcBorders>
              <w:top w:val="single" w:sz="4" w:space="0" w:color="A6A6A6" w:themeColor="background1" w:themeShade="A6"/>
              <w:bottom w:val="single" w:sz="4" w:space="0" w:color="A6A6A6" w:themeColor="background1" w:themeShade="A6"/>
            </w:tcBorders>
            <w:hideMark/>
          </w:tcPr>
          <w:p w14:paraId="0D2BA8AE" w14:textId="77777777" w:rsidR="00FA7EBF" w:rsidRPr="007939DD" w:rsidRDefault="00FA7EBF" w:rsidP="007B207C">
            <w:pPr>
              <w:pStyle w:val="ARfintablebody"/>
              <w:rPr>
                <w:lang w:eastAsia="en-AU"/>
              </w:rPr>
            </w:pPr>
            <w:r w:rsidRPr="0048529A">
              <w:t>Interest income</w:t>
            </w:r>
          </w:p>
        </w:tc>
        <w:tc>
          <w:tcPr>
            <w:tcW w:w="851" w:type="dxa"/>
            <w:tcBorders>
              <w:top w:val="single" w:sz="4" w:space="0" w:color="A6A6A6" w:themeColor="background1" w:themeShade="A6"/>
              <w:bottom w:val="single" w:sz="4" w:space="0" w:color="A6A6A6" w:themeColor="background1" w:themeShade="A6"/>
            </w:tcBorders>
            <w:noWrap/>
            <w:hideMark/>
          </w:tcPr>
          <w:p w14:paraId="5EF2E3D1" w14:textId="77777777" w:rsidR="00FA7EBF" w:rsidRPr="007939DD" w:rsidRDefault="00FA7EBF" w:rsidP="007B207C">
            <w:pPr>
              <w:pStyle w:val="ARfintablebodyright"/>
              <w:rPr>
                <w:lang w:eastAsia="en-AU"/>
              </w:rPr>
            </w:pPr>
            <w:r w:rsidRPr="00D95F0F">
              <w:t>2.4.1</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271AA324" w14:textId="77777777" w:rsidR="00FA7EBF" w:rsidRPr="007939DD" w:rsidRDefault="00FA7EBF" w:rsidP="007B207C">
            <w:pPr>
              <w:pStyle w:val="ARfintablebodyright"/>
              <w:rPr>
                <w:lang w:eastAsia="en-AU"/>
              </w:rPr>
            </w:pPr>
            <w:r w:rsidRPr="00D95F0F">
              <w:t>13.2</w:t>
            </w:r>
          </w:p>
        </w:tc>
        <w:tc>
          <w:tcPr>
            <w:tcW w:w="1134" w:type="dxa"/>
            <w:tcBorders>
              <w:top w:val="single" w:sz="4" w:space="0" w:color="A6A6A6" w:themeColor="background1" w:themeShade="A6"/>
              <w:bottom w:val="single" w:sz="4" w:space="0" w:color="A6A6A6" w:themeColor="background1" w:themeShade="A6"/>
            </w:tcBorders>
            <w:noWrap/>
            <w:hideMark/>
          </w:tcPr>
          <w:p w14:paraId="43F16A3A" w14:textId="77777777" w:rsidR="00FA7EBF" w:rsidRPr="007939DD" w:rsidRDefault="00FA7EBF" w:rsidP="007B207C">
            <w:pPr>
              <w:pStyle w:val="ARfintablebodyright"/>
              <w:rPr>
                <w:lang w:eastAsia="en-AU"/>
              </w:rPr>
            </w:pPr>
            <w:r w:rsidRPr="00D95F0F">
              <w:t>10.0</w:t>
            </w:r>
          </w:p>
        </w:tc>
      </w:tr>
      <w:tr w:rsidR="00FA7EBF" w:rsidRPr="007939DD" w14:paraId="04A8727D" w14:textId="77777777" w:rsidTr="007B207C">
        <w:trPr>
          <w:cantSplit/>
        </w:trPr>
        <w:tc>
          <w:tcPr>
            <w:tcW w:w="6520" w:type="dxa"/>
            <w:tcBorders>
              <w:top w:val="single" w:sz="4" w:space="0" w:color="A6A6A6" w:themeColor="background1" w:themeShade="A6"/>
              <w:bottom w:val="single" w:sz="4" w:space="0" w:color="A6A6A6" w:themeColor="background1" w:themeShade="A6"/>
            </w:tcBorders>
            <w:hideMark/>
          </w:tcPr>
          <w:p w14:paraId="50E51A71" w14:textId="77777777" w:rsidR="00FA7EBF" w:rsidRPr="007939DD" w:rsidRDefault="00FA7EBF" w:rsidP="007B207C">
            <w:pPr>
              <w:pStyle w:val="ARfintablebody"/>
              <w:rPr>
                <w:lang w:eastAsia="en-AU"/>
              </w:rPr>
            </w:pPr>
            <w:r w:rsidRPr="0048529A">
              <w:t>Rental income and income from services</w:t>
            </w:r>
          </w:p>
        </w:tc>
        <w:tc>
          <w:tcPr>
            <w:tcW w:w="851" w:type="dxa"/>
            <w:tcBorders>
              <w:top w:val="single" w:sz="4" w:space="0" w:color="A6A6A6" w:themeColor="background1" w:themeShade="A6"/>
              <w:bottom w:val="single" w:sz="4" w:space="0" w:color="A6A6A6" w:themeColor="background1" w:themeShade="A6"/>
            </w:tcBorders>
            <w:noWrap/>
            <w:hideMark/>
          </w:tcPr>
          <w:p w14:paraId="00344190" w14:textId="77777777" w:rsidR="00FA7EBF" w:rsidRPr="007939DD" w:rsidRDefault="00FA7EBF" w:rsidP="007B207C">
            <w:pPr>
              <w:pStyle w:val="ARfintablebodyright"/>
              <w:rPr>
                <w:lang w:eastAsia="en-AU"/>
              </w:rPr>
            </w:pPr>
            <w:r w:rsidRPr="00D95F0F">
              <w:t>2.4.2</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6FC3E2FD" w14:textId="77777777" w:rsidR="00FA7EBF" w:rsidRPr="007939DD" w:rsidRDefault="00FA7EBF" w:rsidP="007B207C">
            <w:pPr>
              <w:pStyle w:val="ARfintablebodyright"/>
              <w:rPr>
                <w:lang w:eastAsia="en-AU"/>
              </w:rPr>
            </w:pPr>
            <w:r w:rsidRPr="00D95F0F">
              <w:t>491.1</w:t>
            </w:r>
          </w:p>
        </w:tc>
        <w:tc>
          <w:tcPr>
            <w:tcW w:w="1134" w:type="dxa"/>
            <w:tcBorders>
              <w:top w:val="single" w:sz="4" w:space="0" w:color="A6A6A6" w:themeColor="background1" w:themeShade="A6"/>
              <w:bottom w:val="single" w:sz="4" w:space="0" w:color="A6A6A6" w:themeColor="background1" w:themeShade="A6"/>
            </w:tcBorders>
            <w:noWrap/>
            <w:hideMark/>
          </w:tcPr>
          <w:p w14:paraId="48E7EE29" w14:textId="77777777" w:rsidR="00FA7EBF" w:rsidRPr="007939DD" w:rsidRDefault="00FA7EBF" w:rsidP="007B207C">
            <w:pPr>
              <w:pStyle w:val="ARfintablebodyright"/>
              <w:rPr>
                <w:lang w:eastAsia="en-AU"/>
              </w:rPr>
            </w:pPr>
            <w:r w:rsidRPr="00D95F0F">
              <w:t>487.0</w:t>
            </w:r>
          </w:p>
        </w:tc>
      </w:tr>
      <w:tr w:rsidR="00FA7EBF" w:rsidRPr="007939DD" w14:paraId="7AD63FDB" w14:textId="77777777" w:rsidTr="007B207C">
        <w:trPr>
          <w:cantSplit/>
        </w:trPr>
        <w:tc>
          <w:tcPr>
            <w:tcW w:w="6520" w:type="dxa"/>
            <w:tcBorders>
              <w:top w:val="single" w:sz="4" w:space="0" w:color="A6A6A6" w:themeColor="background1" w:themeShade="A6"/>
              <w:bottom w:val="single" w:sz="4" w:space="0" w:color="A6A6A6" w:themeColor="background1" w:themeShade="A6"/>
            </w:tcBorders>
            <w:hideMark/>
          </w:tcPr>
          <w:p w14:paraId="4D3CE5D9" w14:textId="77777777" w:rsidR="00FA7EBF" w:rsidRPr="007939DD" w:rsidRDefault="00FA7EBF" w:rsidP="007B207C">
            <w:pPr>
              <w:pStyle w:val="ARfintablebody"/>
              <w:rPr>
                <w:lang w:eastAsia="en-AU"/>
              </w:rPr>
            </w:pPr>
            <w:r w:rsidRPr="0048529A">
              <w:t>Grants and other income transfers</w:t>
            </w:r>
          </w:p>
        </w:tc>
        <w:tc>
          <w:tcPr>
            <w:tcW w:w="851" w:type="dxa"/>
            <w:tcBorders>
              <w:top w:val="single" w:sz="4" w:space="0" w:color="A6A6A6" w:themeColor="background1" w:themeShade="A6"/>
              <w:bottom w:val="single" w:sz="4" w:space="0" w:color="A6A6A6" w:themeColor="background1" w:themeShade="A6"/>
            </w:tcBorders>
            <w:noWrap/>
            <w:hideMark/>
          </w:tcPr>
          <w:p w14:paraId="344A97C4" w14:textId="77777777" w:rsidR="00FA7EBF" w:rsidRPr="007939DD" w:rsidRDefault="00FA7EBF" w:rsidP="007B207C">
            <w:pPr>
              <w:pStyle w:val="ARfintablebodyright"/>
              <w:rPr>
                <w:lang w:eastAsia="en-AU"/>
              </w:rPr>
            </w:pPr>
            <w:r w:rsidRPr="00D95F0F">
              <w:t>2.4.3</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2CACFD31" w14:textId="77777777" w:rsidR="00FA7EBF" w:rsidRPr="007939DD" w:rsidRDefault="00FA7EBF" w:rsidP="007B207C">
            <w:pPr>
              <w:pStyle w:val="ARfintablebodyright"/>
              <w:rPr>
                <w:lang w:eastAsia="en-AU"/>
              </w:rPr>
            </w:pPr>
            <w:r w:rsidRPr="00D95F0F">
              <w:t>1,133.6</w:t>
            </w:r>
          </w:p>
        </w:tc>
        <w:tc>
          <w:tcPr>
            <w:tcW w:w="1134" w:type="dxa"/>
            <w:tcBorders>
              <w:top w:val="single" w:sz="4" w:space="0" w:color="A6A6A6" w:themeColor="background1" w:themeShade="A6"/>
              <w:bottom w:val="single" w:sz="4" w:space="0" w:color="A6A6A6" w:themeColor="background1" w:themeShade="A6"/>
            </w:tcBorders>
            <w:noWrap/>
            <w:hideMark/>
          </w:tcPr>
          <w:p w14:paraId="037A031E" w14:textId="77777777" w:rsidR="00FA7EBF" w:rsidRPr="007939DD" w:rsidRDefault="00FA7EBF" w:rsidP="007B207C">
            <w:pPr>
              <w:pStyle w:val="ARfintablebodyright"/>
              <w:rPr>
                <w:lang w:eastAsia="en-AU"/>
              </w:rPr>
            </w:pPr>
            <w:r w:rsidRPr="00D95F0F">
              <w:t>991.0</w:t>
            </w:r>
          </w:p>
        </w:tc>
      </w:tr>
      <w:tr w:rsidR="00FA7EBF" w:rsidRPr="007939DD" w14:paraId="4B71820A" w14:textId="77777777" w:rsidTr="007B207C">
        <w:trPr>
          <w:cantSplit/>
        </w:trPr>
        <w:tc>
          <w:tcPr>
            <w:tcW w:w="6520" w:type="dxa"/>
            <w:tcBorders>
              <w:top w:val="single" w:sz="4" w:space="0" w:color="A6A6A6" w:themeColor="background1" w:themeShade="A6"/>
              <w:bottom w:val="single" w:sz="4" w:space="0" w:color="A6A6A6" w:themeColor="background1" w:themeShade="A6"/>
            </w:tcBorders>
            <w:hideMark/>
          </w:tcPr>
          <w:p w14:paraId="085CA9FA" w14:textId="77777777" w:rsidR="00FA7EBF" w:rsidRPr="007939DD" w:rsidRDefault="00FA7EBF" w:rsidP="007B207C">
            <w:pPr>
              <w:pStyle w:val="ARfintablebody"/>
              <w:rPr>
                <w:lang w:eastAsia="en-AU"/>
              </w:rPr>
            </w:pPr>
            <w:r w:rsidRPr="0048529A">
              <w:t>Fair value of assets and services received free of charge or for nominal consideration</w:t>
            </w:r>
          </w:p>
        </w:tc>
        <w:tc>
          <w:tcPr>
            <w:tcW w:w="851" w:type="dxa"/>
            <w:tcBorders>
              <w:top w:val="single" w:sz="4" w:space="0" w:color="A6A6A6" w:themeColor="background1" w:themeShade="A6"/>
              <w:bottom w:val="single" w:sz="4" w:space="0" w:color="A6A6A6" w:themeColor="background1" w:themeShade="A6"/>
            </w:tcBorders>
            <w:noWrap/>
            <w:hideMark/>
          </w:tcPr>
          <w:p w14:paraId="65F18135" w14:textId="77777777" w:rsidR="00FA7EBF" w:rsidRPr="007939DD" w:rsidRDefault="00FA7EBF" w:rsidP="007B207C">
            <w:pPr>
              <w:pStyle w:val="ARfintablebodyright"/>
              <w:rPr>
                <w:lang w:eastAsia="en-AU"/>
              </w:rPr>
            </w:pPr>
            <w:r w:rsidRPr="00D95F0F">
              <w:t>2.4.4</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7CF6C097" w14:textId="77777777" w:rsidR="00FA7EBF" w:rsidRPr="007939DD" w:rsidRDefault="00FA7EBF" w:rsidP="007B207C">
            <w:pPr>
              <w:pStyle w:val="ARfintablebodyright"/>
              <w:rPr>
                <w:lang w:eastAsia="en-AU"/>
              </w:rPr>
            </w:pPr>
            <w:r w:rsidRPr="00D95F0F">
              <w:t>10.1</w:t>
            </w:r>
          </w:p>
        </w:tc>
        <w:tc>
          <w:tcPr>
            <w:tcW w:w="1134" w:type="dxa"/>
            <w:tcBorders>
              <w:top w:val="single" w:sz="4" w:space="0" w:color="A6A6A6" w:themeColor="background1" w:themeShade="A6"/>
              <w:bottom w:val="single" w:sz="4" w:space="0" w:color="A6A6A6" w:themeColor="background1" w:themeShade="A6"/>
            </w:tcBorders>
            <w:noWrap/>
            <w:hideMark/>
          </w:tcPr>
          <w:p w14:paraId="2147681A" w14:textId="77777777" w:rsidR="00FA7EBF" w:rsidRPr="007939DD" w:rsidRDefault="00FA7EBF" w:rsidP="007B207C">
            <w:pPr>
              <w:pStyle w:val="ARfintablebodyright"/>
              <w:rPr>
                <w:lang w:eastAsia="en-AU"/>
              </w:rPr>
            </w:pPr>
            <w:r w:rsidRPr="00D95F0F">
              <w:t>3.5</w:t>
            </w:r>
          </w:p>
        </w:tc>
      </w:tr>
      <w:tr w:rsidR="00FA7EBF" w:rsidRPr="007939DD" w14:paraId="45778423" w14:textId="77777777" w:rsidTr="007B207C">
        <w:trPr>
          <w:cantSplit/>
        </w:trPr>
        <w:tc>
          <w:tcPr>
            <w:tcW w:w="6520" w:type="dxa"/>
            <w:tcBorders>
              <w:top w:val="single" w:sz="4" w:space="0" w:color="A6A6A6" w:themeColor="background1" w:themeShade="A6"/>
            </w:tcBorders>
            <w:hideMark/>
          </w:tcPr>
          <w:p w14:paraId="5C96963E" w14:textId="77777777" w:rsidR="00FA7EBF" w:rsidRPr="007939DD" w:rsidRDefault="00FA7EBF" w:rsidP="007B207C">
            <w:pPr>
              <w:pStyle w:val="ARfintablebody"/>
              <w:rPr>
                <w:lang w:eastAsia="en-AU"/>
              </w:rPr>
            </w:pPr>
            <w:r w:rsidRPr="0048529A">
              <w:t>Other income</w:t>
            </w:r>
          </w:p>
        </w:tc>
        <w:tc>
          <w:tcPr>
            <w:tcW w:w="851" w:type="dxa"/>
            <w:tcBorders>
              <w:top w:val="single" w:sz="4" w:space="0" w:color="A6A6A6" w:themeColor="background1" w:themeShade="A6"/>
            </w:tcBorders>
            <w:noWrap/>
            <w:hideMark/>
          </w:tcPr>
          <w:p w14:paraId="180EB5D9" w14:textId="77777777" w:rsidR="00FA7EBF" w:rsidRPr="007939DD" w:rsidRDefault="00FA7EBF" w:rsidP="007B207C">
            <w:pPr>
              <w:pStyle w:val="ARfintablebodyright"/>
              <w:rPr>
                <w:lang w:eastAsia="en-AU"/>
              </w:rPr>
            </w:pPr>
            <w:r w:rsidRPr="00D95F0F">
              <w:t>2.4.5</w:t>
            </w:r>
          </w:p>
        </w:tc>
        <w:tc>
          <w:tcPr>
            <w:tcW w:w="1134" w:type="dxa"/>
            <w:tcBorders>
              <w:top w:val="single" w:sz="4" w:space="0" w:color="A6A6A6" w:themeColor="background1" w:themeShade="A6"/>
            </w:tcBorders>
            <w:shd w:val="clear" w:color="auto" w:fill="E7E6E6"/>
            <w:noWrap/>
            <w:hideMark/>
          </w:tcPr>
          <w:p w14:paraId="0762F9D6" w14:textId="77777777" w:rsidR="00FA7EBF" w:rsidRPr="007939DD" w:rsidRDefault="00FA7EBF" w:rsidP="007B207C">
            <w:pPr>
              <w:pStyle w:val="ARfintablebodyright"/>
              <w:rPr>
                <w:lang w:eastAsia="en-AU"/>
              </w:rPr>
            </w:pPr>
            <w:r w:rsidRPr="00D95F0F">
              <w:t>72.7</w:t>
            </w:r>
          </w:p>
        </w:tc>
        <w:tc>
          <w:tcPr>
            <w:tcW w:w="1134" w:type="dxa"/>
            <w:tcBorders>
              <w:top w:val="single" w:sz="4" w:space="0" w:color="A6A6A6" w:themeColor="background1" w:themeShade="A6"/>
            </w:tcBorders>
            <w:noWrap/>
            <w:hideMark/>
          </w:tcPr>
          <w:p w14:paraId="7B173C76" w14:textId="77777777" w:rsidR="00FA7EBF" w:rsidRPr="007939DD" w:rsidRDefault="00FA7EBF" w:rsidP="007B207C">
            <w:pPr>
              <w:pStyle w:val="ARfintablebodyright"/>
              <w:rPr>
                <w:lang w:eastAsia="en-AU"/>
              </w:rPr>
            </w:pPr>
            <w:r w:rsidRPr="00D95F0F">
              <w:t>56.5</w:t>
            </w:r>
          </w:p>
        </w:tc>
      </w:tr>
      <w:tr w:rsidR="00FA7EBF" w:rsidRPr="007939DD" w14:paraId="5BEBBC59" w14:textId="77777777" w:rsidTr="007B207C">
        <w:trPr>
          <w:cantSplit/>
        </w:trPr>
        <w:tc>
          <w:tcPr>
            <w:tcW w:w="6520" w:type="dxa"/>
            <w:hideMark/>
          </w:tcPr>
          <w:p w14:paraId="15150391" w14:textId="77777777" w:rsidR="00FA7EBF" w:rsidRPr="00C97BE5" w:rsidRDefault="00FA7EBF" w:rsidP="007B207C">
            <w:pPr>
              <w:pStyle w:val="ARfintablebodybold"/>
            </w:pPr>
            <w:r w:rsidRPr="0048529A">
              <w:t>Total income from transactions</w:t>
            </w:r>
          </w:p>
        </w:tc>
        <w:tc>
          <w:tcPr>
            <w:tcW w:w="851" w:type="dxa"/>
            <w:noWrap/>
            <w:hideMark/>
          </w:tcPr>
          <w:p w14:paraId="623684C6" w14:textId="77777777" w:rsidR="00FA7EBF" w:rsidRPr="007939DD" w:rsidRDefault="00FA7EBF" w:rsidP="007B207C">
            <w:pPr>
              <w:pStyle w:val="ARfintablebodyright"/>
              <w:rPr>
                <w:lang w:eastAsia="en-AU"/>
              </w:rPr>
            </w:pPr>
          </w:p>
        </w:tc>
        <w:tc>
          <w:tcPr>
            <w:tcW w:w="1134" w:type="dxa"/>
            <w:shd w:val="clear" w:color="auto" w:fill="E7E6E6"/>
            <w:noWrap/>
            <w:hideMark/>
          </w:tcPr>
          <w:p w14:paraId="60909B7C" w14:textId="77777777" w:rsidR="00FA7EBF" w:rsidRPr="00DB02F6" w:rsidRDefault="00FA7EBF" w:rsidP="007B207C">
            <w:pPr>
              <w:pStyle w:val="ARfintablebodyrightbold"/>
            </w:pPr>
            <w:r w:rsidRPr="00D95F0F">
              <w:t>19,417.0</w:t>
            </w:r>
          </w:p>
        </w:tc>
        <w:tc>
          <w:tcPr>
            <w:tcW w:w="1134" w:type="dxa"/>
            <w:noWrap/>
            <w:hideMark/>
          </w:tcPr>
          <w:p w14:paraId="26A9D20B" w14:textId="77777777" w:rsidR="00FA7EBF" w:rsidRPr="00DB02F6" w:rsidRDefault="00FA7EBF" w:rsidP="007B207C">
            <w:pPr>
              <w:pStyle w:val="ARfintablebodyrightbold"/>
            </w:pPr>
            <w:r w:rsidRPr="00D95F0F">
              <w:t>17,921.1</w:t>
            </w:r>
          </w:p>
        </w:tc>
      </w:tr>
      <w:tr w:rsidR="00FA7EBF" w:rsidRPr="007939DD" w14:paraId="51208F94" w14:textId="77777777" w:rsidTr="007B207C">
        <w:trPr>
          <w:cantSplit/>
        </w:trPr>
        <w:tc>
          <w:tcPr>
            <w:tcW w:w="9639" w:type="dxa"/>
            <w:gridSpan w:val="4"/>
            <w:tcBorders>
              <w:bottom w:val="single" w:sz="4" w:space="0" w:color="A6A6A6" w:themeColor="background1" w:themeShade="A6"/>
            </w:tcBorders>
            <w:hideMark/>
          </w:tcPr>
          <w:p w14:paraId="7DA57FB0" w14:textId="77777777" w:rsidR="00FA7EBF" w:rsidRPr="007939DD" w:rsidRDefault="00FA7EBF" w:rsidP="007B207C">
            <w:pPr>
              <w:pStyle w:val="ARfintablebodybold"/>
              <w:rPr>
                <w:lang w:eastAsia="en-AU"/>
              </w:rPr>
            </w:pPr>
            <w:r w:rsidRPr="0048529A">
              <w:t>Expenses from transactions</w:t>
            </w:r>
          </w:p>
        </w:tc>
      </w:tr>
      <w:tr w:rsidR="00FA7EBF" w:rsidRPr="007939DD" w14:paraId="182C072C" w14:textId="77777777" w:rsidTr="007B207C">
        <w:trPr>
          <w:cantSplit/>
        </w:trPr>
        <w:tc>
          <w:tcPr>
            <w:tcW w:w="6520" w:type="dxa"/>
            <w:tcBorders>
              <w:top w:val="single" w:sz="4" w:space="0" w:color="A6A6A6" w:themeColor="background1" w:themeShade="A6"/>
              <w:bottom w:val="single" w:sz="4" w:space="0" w:color="A6A6A6" w:themeColor="background1" w:themeShade="A6"/>
            </w:tcBorders>
            <w:hideMark/>
          </w:tcPr>
          <w:p w14:paraId="6930F85B" w14:textId="77777777" w:rsidR="00FA7EBF" w:rsidRPr="007939DD" w:rsidRDefault="00FA7EBF" w:rsidP="007B207C">
            <w:pPr>
              <w:pStyle w:val="ARfintablebody"/>
              <w:rPr>
                <w:lang w:eastAsia="en-AU"/>
              </w:rPr>
            </w:pPr>
            <w:r w:rsidRPr="0048529A">
              <w:t>Employee expenses</w:t>
            </w:r>
          </w:p>
        </w:tc>
        <w:tc>
          <w:tcPr>
            <w:tcW w:w="851" w:type="dxa"/>
            <w:tcBorders>
              <w:top w:val="single" w:sz="4" w:space="0" w:color="A6A6A6" w:themeColor="background1" w:themeShade="A6"/>
              <w:bottom w:val="single" w:sz="4" w:space="0" w:color="A6A6A6" w:themeColor="background1" w:themeShade="A6"/>
            </w:tcBorders>
            <w:noWrap/>
            <w:hideMark/>
          </w:tcPr>
          <w:p w14:paraId="16B4A1DD" w14:textId="77777777" w:rsidR="00FA7EBF" w:rsidRPr="007939DD" w:rsidRDefault="00FA7EBF" w:rsidP="007B207C">
            <w:pPr>
              <w:pStyle w:val="ARfintablebodyright"/>
              <w:rPr>
                <w:lang w:eastAsia="en-AU"/>
              </w:rPr>
            </w:pPr>
            <w:r w:rsidRPr="00D95F0F">
              <w:t>3.1.1(a)</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2AB256DB" w14:textId="77777777" w:rsidR="00FA7EBF" w:rsidRPr="007939DD" w:rsidRDefault="00FA7EBF" w:rsidP="007B207C">
            <w:pPr>
              <w:pStyle w:val="ARfintablebodyright"/>
              <w:rPr>
                <w:lang w:eastAsia="en-AU"/>
              </w:rPr>
            </w:pPr>
            <w:r w:rsidRPr="00D95F0F">
              <w:t>1,479.7</w:t>
            </w:r>
          </w:p>
        </w:tc>
        <w:tc>
          <w:tcPr>
            <w:tcW w:w="1134" w:type="dxa"/>
            <w:tcBorders>
              <w:top w:val="single" w:sz="4" w:space="0" w:color="A6A6A6" w:themeColor="background1" w:themeShade="A6"/>
              <w:bottom w:val="single" w:sz="4" w:space="0" w:color="A6A6A6" w:themeColor="background1" w:themeShade="A6"/>
            </w:tcBorders>
            <w:noWrap/>
            <w:hideMark/>
          </w:tcPr>
          <w:p w14:paraId="16BAD28C" w14:textId="77777777" w:rsidR="00FA7EBF" w:rsidRPr="007939DD" w:rsidRDefault="00FA7EBF" w:rsidP="007B207C">
            <w:pPr>
              <w:pStyle w:val="ARfintablebodyright"/>
              <w:rPr>
                <w:lang w:eastAsia="en-AU"/>
              </w:rPr>
            </w:pPr>
            <w:r w:rsidRPr="00D95F0F">
              <w:t>1,325.9</w:t>
            </w:r>
          </w:p>
        </w:tc>
      </w:tr>
      <w:tr w:rsidR="00FA7EBF" w:rsidRPr="007939DD" w14:paraId="16422E24" w14:textId="77777777" w:rsidTr="007B207C">
        <w:trPr>
          <w:cantSplit/>
        </w:trPr>
        <w:tc>
          <w:tcPr>
            <w:tcW w:w="6520" w:type="dxa"/>
            <w:tcBorders>
              <w:top w:val="single" w:sz="4" w:space="0" w:color="A6A6A6" w:themeColor="background1" w:themeShade="A6"/>
              <w:bottom w:val="single" w:sz="4" w:space="0" w:color="A6A6A6" w:themeColor="background1" w:themeShade="A6"/>
            </w:tcBorders>
            <w:hideMark/>
          </w:tcPr>
          <w:p w14:paraId="6C1BF34E" w14:textId="77777777" w:rsidR="00FA7EBF" w:rsidRPr="007939DD" w:rsidRDefault="00FA7EBF" w:rsidP="007B207C">
            <w:pPr>
              <w:pStyle w:val="ARfintablebody"/>
              <w:rPr>
                <w:lang w:eastAsia="en-AU"/>
              </w:rPr>
            </w:pPr>
            <w:r w:rsidRPr="0048529A">
              <w:t>Depreciation and amortisation</w:t>
            </w:r>
          </w:p>
        </w:tc>
        <w:tc>
          <w:tcPr>
            <w:tcW w:w="851" w:type="dxa"/>
            <w:tcBorders>
              <w:top w:val="single" w:sz="4" w:space="0" w:color="A6A6A6" w:themeColor="background1" w:themeShade="A6"/>
              <w:bottom w:val="single" w:sz="4" w:space="0" w:color="A6A6A6" w:themeColor="background1" w:themeShade="A6"/>
            </w:tcBorders>
            <w:noWrap/>
            <w:hideMark/>
          </w:tcPr>
          <w:p w14:paraId="0751ECC1" w14:textId="77777777" w:rsidR="00FA7EBF" w:rsidRPr="007939DD" w:rsidRDefault="00FA7EBF" w:rsidP="007B207C">
            <w:pPr>
              <w:pStyle w:val="ARfintablebodyright"/>
              <w:rPr>
                <w:lang w:eastAsia="en-AU"/>
              </w:rPr>
            </w:pPr>
            <w:r w:rsidRPr="00D95F0F">
              <w:t>5.1.1</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6CF44D80" w14:textId="77777777" w:rsidR="00FA7EBF" w:rsidRPr="007939DD" w:rsidRDefault="00FA7EBF" w:rsidP="007B207C">
            <w:pPr>
              <w:pStyle w:val="ARfintablebodyright"/>
              <w:rPr>
                <w:lang w:eastAsia="en-AU"/>
              </w:rPr>
            </w:pPr>
            <w:r w:rsidRPr="00D95F0F">
              <w:t>340.5</w:t>
            </w:r>
          </w:p>
        </w:tc>
        <w:tc>
          <w:tcPr>
            <w:tcW w:w="1134" w:type="dxa"/>
            <w:tcBorders>
              <w:top w:val="single" w:sz="4" w:space="0" w:color="A6A6A6" w:themeColor="background1" w:themeShade="A6"/>
              <w:bottom w:val="single" w:sz="4" w:space="0" w:color="A6A6A6" w:themeColor="background1" w:themeShade="A6"/>
            </w:tcBorders>
            <w:noWrap/>
            <w:hideMark/>
          </w:tcPr>
          <w:p w14:paraId="734E19D6" w14:textId="77777777" w:rsidR="00FA7EBF" w:rsidRPr="007939DD" w:rsidRDefault="00FA7EBF" w:rsidP="007B207C">
            <w:pPr>
              <w:pStyle w:val="ARfintablebodyright"/>
              <w:rPr>
                <w:lang w:eastAsia="en-AU"/>
              </w:rPr>
            </w:pPr>
            <w:r w:rsidRPr="00D95F0F">
              <w:t>265.8</w:t>
            </w:r>
          </w:p>
        </w:tc>
      </w:tr>
      <w:tr w:rsidR="00FA7EBF" w:rsidRPr="007939DD" w14:paraId="24A9A96F" w14:textId="77777777" w:rsidTr="007B207C">
        <w:trPr>
          <w:cantSplit/>
        </w:trPr>
        <w:tc>
          <w:tcPr>
            <w:tcW w:w="6520" w:type="dxa"/>
            <w:tcBorders>
              <w:top w:val="single" w:sz="4" w:space="0" w:color="A6A6A6" w:themeColor="background1" w:themeShade="A6"/>
              <w:bottom w:val="single" w:sz="4" w:space="0" w:color="A6A6A6" w:themeColor="background1" w:themeShade="A6"/>
            </w:tcBorders>
            <w:hideMark/>
          </w:tcPr>
          <w:p w14:paraId="03F0D740" w14:textId="77777777" w:rsidR="00FA7EBF" w:rsidRPr="007939DD" w:rsidRDefault="00FA7EBF" w:rsidP="007B207C">
            <w:pPr>
              <w:pStyle w:val="ARfintablebody"/>
              <w:rPr>
                <w:lang w:eastAsia="en-AU"/>
              </w:rPr>
            </w:pPr>
            <w:r w:rsidRPr="0048529A">
              <w:t>Interest expense</w:t>
            </w:r>
          </w:p>
        </w:tc>
        <w:tc>
          <w:tcPr>
            <w:tcW w:w="851" w:type="dxa"/>
            <w:tcBorders>
              <w:top w:val="single" w:sz="4" w:space="0" w:color="A6A6A6" w:themeColor="background1" w:themeShade="A6"/>
              <w:bottom w:val="single" w:sz="4" w:space="0" w:color="A6A6A6" w:themeColor="background1" w:themeShade="A6"/>
            </w:tcBorders>
            <w:noWrap/>
            <w:hideMark/>
          </w:tcPr>
          <w:p w14:paraId="497E6041" w14:textId="77777777" w:rsidR="00FA7EBF" w:rsidRPr="007939DD" w:rsidRDefault="00FA7EBF" w:rsidP="007B207C">
            <w:pPr>
              <w:pStyle w:val="ARfintablebodyright"/>
              <w:rPr>
                <w:lang w:eastAsia="en-AU"/>
              </w:rPr>
            </w:pPr>
            <w:r w:rsidRPr="00D95F0F">
              <w:t>7.1.2</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103F8BB0" w14:textId="77777777" w:rsidR="00FA7EBF" w:rsidRPr="007939DD" w:rsidRDefault="00FA7EBF" w:rsidP="007B207C">
            <w:pPr>
              <w:pStyle w:val="ARfintablebodyright"/>
              <w:rPr>
                <w:lang w:eastAsia="en-AU"/>
              </w:rPr>
            </w:pPr>
            <w:r w:rsidRPr="00D95F0F">
              <w:t>0.6</w:t>
            </w:r>
          </w:p>
        </w:tc>
        <w:tc>
          <w:tcPr>
            <w:tcW w:w="1134" w:type="dxa"/>
            <w:tcBorders>
              <w:top w:val="single" w:sz="4" w:space="0" w:color="A6A6A6" w:themeColor="background1" w:themeShade="A6"/>
              <w:bottom w:val="single" w:sz="4" w:space="0" w:color="A6A6A6" w:themeColor="background1" w:themeShade="A6"/>
            </w:tcBorders>
            <w:noWrap/>
            <w:hideMark/>
          </w:tcPr>
          <w:p w14:paraId="70DE8BE4" w14:textId="77777777" w:rsidR="00FA7EBF" w:rsidRPr="007939DD" w:rsidRDefault="00FA7EBF" w:rsidP="007B207C">
            <w:pPr>
              <w:pStyle w:val="ARfintablebodyright"/>
              <w:rPr>
                <w:lang w:eastAsia="en-AU"/>
              </w:rPr>
            </w:pPr>
            <w:r w:rsidRPr="00D95F0F">
              <w:t>0.8</w:t>
            </w:r>
          </w:p>
        </w:tc>
      </w:tr>
      <w:tr w:rsidR="00FA7EBF" w:rsidRPr="007939DD" w14:paraId="442DDE79" w14:textId="77777777" w:rsidTr="007B207C">
        <w:trPr>
          <w:cantSplit/>
        </w:trPr>
        <w:tc>
          <w:tcPr>
            <w:tcW w:w="6520" w:type="dxa"/>
            <w:tcBorders>
              <w:top w:val="single" w:sz="4" w:space="0" w:color="A6A6A6" w:themeColor="background1" w:themeShade="A6"/>
              <w:bottom w:val="single" w:sz="4" w:space="0" w:color="A6A6A6" w:themeColor="background1" w:themeShade="A6"/>
            </w:tcBorders>
            <w:hideMark/>
          </w:tcPr>
          <w:p w14:paraId="1BD5C7B1" w14:textId="77777777" w:rsidR="00FA7EBF" w:rsidRPr="007939DD" w:rsidRDefault="00FA7EBF" w:rsidP="007B207C">
            <w:pPr>
              <w:pStyle w:val="ARfintablebody"/>
              <w:rPr>
                <w:lang w:eastAsia="en-AU"/>
              </w:rPr>
            </w:pPr>
            <w:r w:rsidRPr="0048529A">
              <w:t>Maintenance</w:t>
            </w:r>
          </w:p>
        </w:tc>
        <w:tc>
          <w:tcPr>
            <w:tcW w:w="851" w:type="dxa"/>
            <w:tcBorders>
              <w:top w:val="single" w:sz="4" w:space="0" w:color="A6A6A6" w:themeColor="background1" w:themeShade="A6"/>
              <w:bottom w:val="single" w:sz="4" w:space="0" w:color="A6A6A6" w:themeColor="background1" w:themeShade="A6"/>
            </w:tcBorders>
            <w:noWrap/>
            <w:hideMark/>
          </w:tcPr>
          <w:p w14:paraId="735A85E6" w14:textId="77777777" w:rsidR="00FA7EBF" w:rsidRPr="007939DD" w:rsidRDefault="00FA7EBF" w:rsidP="007B207C">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72CFB606" w14:textId="77777777" w:rsidR="00FA7EBF" w:rsidRPr="007939DD" w:rsidRDefault="00FA7EBF" w:rsidP="007B207C">
            <w:pPr>
              <w:pStyle w:val="ARfintablebodyright"/>
              <w:rPr>
                <w:lang w:eastAsia="en-AU"/>
              </w:rPr>
            </w:pPr>
            <w:r w:rsidRPr="00D95F0F">
              <w:t>231.5</w:t>
            </w:r>
          </w:p>
        </w:tc>
        <w:tc>
          <w:tcPr>
            <w:tcW w:w="1134" w:type="dxa"/>
            <w:tcBorders>
              <w:top w:val="single" w:sz="4" w:space="0" w:color="A6A6A6" w:themeColor="background1" w:themeShade="A6"/>
              <w:bottom w:val="single" w:sz="4" w:space="0" w:color="A6A6A6" w:themeColor="background1" w:themeShade="A6"/>
            </w:tcBorders>
            <w:noWrap/>
            <w:hideMark/>
          </w:tcPr>
          <w:p w14:paraId="2586EC8F" w14:textId="77777777" w:rsidR="00FA7EBF" w:rsidRPr="007939DD" w:rsidRDefault="00FA7EBF" w:rsidP="007B207C">
            <w:pPr>
              <w:pStyle w:val="ARfintablebodyright"/>
              <w:rPr>
                <w:lang w:eastAsia="en-AU"/>
              </w:rPr>
            </w:pPr>
            <w:r w:rsidRPr="00D95F0F">
              <w:t>188.2</w:t>
            </w:r>
          </w:p>
        </w:tc>
      </w:tr>
      <w:tr w:rsidR="00FA7EBF" w:rsidRPr="007939DD" w14:paraId="4D1BA79B" w14:textId="77777777" w:rsidTr="007B207C">
        <w:trPr>
          <w:cantSplit/>
        </w:trPr>
        <w:tc>
          <w:tcPr>
            <w:tcW w:w="6520" w:type="dxa"/>
            <w:tcBorders>
              <w:top w:val="single" w:sz="4" w:space="0" w:color="A6A6A6" w:themeColor="background1" w:themeShade="A6"/>
              <w:bottom w:val="single" w:sz="4" w:space="0" w:color="A6A6A6" w:themeColor="background1" w:themeShade="A6"/>
            </w:tcBorders>
            <w:hideMark/>
          </w:tcPr>
          <w:p w14:paraId="2EBCAE76" w14:textId="77777777" w:rsidR="00FA7EBF" w:rsidRPr="007939DD" w:rsidRDefault="00FA7EBF" w:rsidP="007B207C">
            <w:pPr>
              <w:pStyle w:val="ARfintablebody"/>
              <w:rPr>
                <w:lang w:eastAsia="en-AU"/>
              </w:rPr>
            </w:pPr>
            <w:r w:rsidRPr="0048529A">
              <w:t>Grants and other expense transfers</w:t>
            </w:r>
          </w:p>
        </w:tc>
        <w:tc>
          <w:tcPr>
            <w:tcW w:w="851" w:type="dxa"/>
            <w:tcBorders>
              <w:top w:val="single" w:sz="4" w:space="0" w:color="A6A6A6" w:themeColor="background1" w:themeShade="A6"/>
              <w:bottom w:val="single" w:sz="4" w:space="0" w:color="A6A6A6" w:themeColor="background1" w:themeShade="A6"/>
            </w:tcBorders>
            <w:noWrap/>
            <w:hideMark/>
          </w:tcPr>
          <w:p w14:paraId="177DAAEE" w14:textId="77777777" w:rsidR="00FA7EBF" w:rsidRPr="007939DD" w:rsidRDefault="00FA7EBF" w:rsidP="007B207C">
            <w:pPr>
              <w:pStyle w:val="ARfintablebodyright"/>
              <w:rPr>
                <w:lang w:eastAsia="en-AU"/>
              </w:rPr>
            </w:pPr>
            <w:r w:rsidRPr="00D95F0F">
              <w:t>3.1.2</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4B131991" w14:textId="77777777" w:rsidR="00FA7EBF" w:rsidRPr="007939DD" w:rsidRDefault="00FA7EBF" w:rsidP="007B207C">
            <w:pPr>
              <w:pStyle w:val="ARfintablebodyright"/>
              <w:rPr>
                <w:lang w:eastAsia="en-AU"/>
              </w:rPr>
            </w:pPr>
            <w:r w:rsidRPr="00D95F0F">
              <w:t>15,131.5</w:t>
            </w:r>
          </w:p>
        </w:tc>
        <w:tc>
          <w:tcPr>
            <w:tcW w:w="1134" w:type="dxa"/>
            <w:tcBorders>
              <w:top w:val="single" w:sz="4" w:space="0" w:color="A6A6A6" w:themeColor="background1" w:themeShade="A6"/>
              <w:bottom w:val="single" w:sz="4" w:space="0" w:color="A6A6A6" w:themeColor="background1" w:themeShade="A6"/>
            </w:tcBorders>
            <w:noWrap/>
            <w:hideMark/>
          </w:tcPr>
          <w:p w14:paraId="36C8B6DA" w14:textId="77777777" w:rsidR="00FA7EBF" w:rsidRPr="007939DD" w:rsidRDefault="00FA7EBF" w:rsidP="007B207C">
            <w:pPr>
              <w:pStyle w:val="ARfintablebodyright"/>
              <w:rPr>
                <w:lang w:eastAsia="en-AU"/>
              </w:rPr>
            </w:pPr>
            <w:r w:rsidRPr="00D95F0F">
              <w:t>13,905.6</w:t>
            </w:r>
          </w:p>
        </w:tc>
      </w:tr>
      <w:tr w:rsidR="00FA7EBF" w:rsidRPr="007939DD" w14:paraId="652871A1" w14:textId="77777777" w:rsidTr="007B207C">
        <w:trPr>
          <w:cantSplit/>
        </w:trPr>
        <w:tc>
          <w:tcPr>
            <w:tcW w:w="6520" w:type="dxa"/>
            <w:tcBorders>
              <w:top w:val="single" w:sz="4" w:space="0" w:color="A6A6A6" w:themeColor="background1" w:themeShade="A6"/>
              <w:bottom w:val="single" w:sz="4" w:space="0" w:color="A6A6A6" w:themeColor="background1" w:themeShade="A6"/>
            </w:tcBorders>
            <w:hideMark/>
          </w:tcPr>
          <w:p w14:paraId="38F9BA0E" w14:textId="77777777" w:rsidR="00FA7EBF" w:rsidRPr="007939DD" w:rsidRDefault="00FA7EBF" w:rsidP="007B207C">
            <w:pPr>
              <w:pStyle w:val="ARfintablebody"/>
              <w:rPr>
                <w:lang w:eastAsia="en-AU"/>
              </w:rPr>
            </w:pPr>
            <w:r w:rsidRPr="0048529A">
              <w:t>Capital asset charge</w:t>
            </w:r>
          </w:p>
        </w:tc>
        <w:tc>
          <w:tcPr>
            <w:tcW w:w="851" w:type="dxa"/>
            <w:tcBorders>
              <w:top w:val="single" w:sz="4" w:space="0" w:color="A6A6A6" w:themeColor="background1" w:themeShade="A6"/>
              <w:bottom w:val="single" w:sz="4" w:space="0" w:color="A6A6A6" w:themeColor="background1" w:themeShade="A6"/>
            </w:tcBorders>
            <w:noWrap/>
            <w:hideMark/>
          </w:tcPr>
          <w:p w14:paraId="5F636F45" w14:textId="77777777" w:rsidR="00FA7EBF" w:rsidRPr="007939DD" w:rsidRDefault="00FA7EBF" w:rsidP="007B207C">
            <w:pPr>
              <w:pStyle w:val="ARfintablebodyright"/>
              <w:rPr>
                <w:lang w:eastAsia="en-AU"/>
              </w:rPr>
            </w:pPr>
            <w:r w:rsidRPr="00D95F0F">
              <w:t>3.1.3</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04B08F26" w14:textId="77777777" w:rsidR="00FA7EBF" w:rsidRPr="007939DD" w:rsidRDefault="00FA7EBF" w:rsidP="007B207C">
            <w:pPr>
              <w:pStyle w:val="ARfintablebodyright"/>
              <w:rPr>
                <w:lang w:eastAsia="en-AU"/>
              </w:rPr>
            </w:pPr>
            <w:r w:rsidRPr="00D95F0F">
              <w:t>1,266.0</w:t>
            </w:r>
          </w:p>
        </w:tc>
        <w:tc>
          <w:tcPr>
            <w:tcW w:w="1134" w:type="dxa"/>
            <w:tcBorders>
              <w:top w:val="single" w:sz="4" w:space="0" w:color="A6A6A6" w:themeColor="background1" w:themeShade="A6"/>
              <w:bottom w:val="single" w:sz="4" w:space="0" w:color="A6A6A6" w:themeColor="background1" w:themeShade="A6"/>
            </w:tcBorders>
            <w:noWrap/>
            <w:hideMark/>
          </w:tcPr>
          <w:p w14:paraId="0470598F" w14:textId="77777777" w:rsidR="00FA7EBF" w:rsidRPr="007939DD" w:rsidRDefault="00FA7EBF" w:rsidP="007B207C">
            <w:pPr>
              <w:pStyle w:val="ARfintablebodyright"/>
              <w:rPr>
                <w:lang w:eastAsia="en-AU"/>
              </w:rPr>
            </w:pPr>
            <w:r w:rsidRPr="00D95F0F">
              <w:t>1,201.4</w:t>
            </w:r>
          </w:p>
        </w:tc>
      </w:tr>
      <w:tr w:rsidR="00FA7EBF" w:rsidRPr="007939DD" w14:paraId="4C4EE9E7" w14:textId="77777777" w:rsidTr="007B207C">
        <w:trPr>
          <w:cantSplit/>
        </w:trPr>
        <w:tc>
          <w:tcPr>
            <w:tcW w:w="6520" w:type="dxa"/>
            <w:tcBorders>
              <w:top w:val="single" w:sz="4" w:space="0" w:color="A6A6A6" w:themeColor="background1" w:themeShade="A6"/>
              <w:bottom w:val="single" w:sz="4" w:space="0" w:color="A6A6A6" w:themeColor="background1" w:themeShade="A6"/>
            </w:tcBorders>
            <w:hideMark/>
          </w:tcPr>
          <w:p w14:paraId="5B9C0D8C" w14:textId="77777777" w:rsidR="00FA7EBF" w:rsidRPr="007939DD" w:rsidRDefault="00FA7EBF" w:rsidP="007B207C">
            <w:pPr>
              <w:pStyle w:val="ARfintablebody"/>
              <w:rPr>
                <w:lang w:eastAsia="en-AU"/>
              </w:rPr>
            </w:pPr>
            <w:r w:rsidRPr="0048529A">
              <w:t>Fair value of assets and services provided free of charge or for nominal consideration</w:t>
            </w:r>
          </w:p>
        </w:tc>
        <w:tc>
          <w:tcPr>
            <w:tcW w:w="851" w:type="dxa"/>
            <w:tcBorders>
              <w:top w:val="single" w:sz="4" w:space="0" w:color="A6A6A6" w:themeColor="background1" w:themeShade="A6"/>
              <w:bottom w:val="single" w:sz="4" w:space="0" w:color="A6A6A6" w:themeColor="background1" w:themeShade="A6"/>
            </w:tcBorders>
            <w:noWrap/>
            <w:hideMark/>
          </w:tcPr>
          <w:p w14:paraId="0CC08875" w14:textId="77777777" w:rsidR="00FA7EBF" w:rsidRPr="007939DD" w:rsidRDefault="00FA7EBF" w:rsidP="007B207C">
            <w:pPr>
              <w:pStyle w:val="ARfintablebodyright"/>
              <w:rPr>
                <w:lang w:eastAsia="en-AU"/>
              </w:rPr>
            </w:pPr>
            <w:r w:rsidRPr="00D95F0F">
              <w:t>3.1.4</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513FA6C0" w14:textId="77777777" w:rsidR="00FA7EBF" w:rsidRPr="007939DD" w:rsidRDefault="00FA7EBF" w:rsidP="007B207C">
            <w:pPr>
              <w:pStyle w:val="ARfintablebodyright"/>
              <w:rPr>
                <w:lang w:eastAsia="en-AU"/>
              </w:rPr>
            </w:pPr>
            <w:r w:rsidRPr="00D95F0F">
              <w:t>121.3</w:t>
            </w:r>
          </w:p>
        </w:tc>
        <w:tc>
          <w:tcPr>
            <w:tcW w:w="1134" w:type="dxa"/>
            <w:tcBorders>
              <w:top w:val="single" w:sz="4" w:space="0" w:color="A6A6A6" w:themeColor="background1" w:themeShade="A6"/>
              <w:bottom w:val="single" w:sz="4" w:space="0" w:color="A6A6A6" w:themeColor="background1" w:themeShade="A6"/>
            </w:tcBorders>
            <w:noWrap/>
            <w:hideMark/>
          </w:tcPr>
          <w:p w14:paraId="11ED0113" w14:textId="77777777" w:rsidR="00FA7EBF" w:rsidRPr="007939DD" w:rsidRDefault="00FA7EBF" w:rsidP="007B207C">
            <w:pPr>
              <w:pStyle w:val="ARfintablebodyright"/>
              <w:rPr>
                <w:lang w:eastAsia="en-AU"/>
              </w:rPr>
            </w:pPr>
            <w:r w:rsidRPr="00D95F0F">
              <w:t>93.7</w:t>
            </w:r>
          </w:p>
        </w:tc>
      </w:tr>
      <w:tr w:rsidR="00FA7EBF" w:rsidRPr="007939DD" w14:paraId="3187144D" w14:textId="77777777" w:rsidTr="007B207C">
        <w:trPr>
          <w:cantSplit/>
        </w:trPr>
        <w:tc>
          <w:tcPr>
            <w:tcW w:w="6520" w:type="dxa"/>
            <w:tcBorders>
              <w:top w:val="single" w:sz="4" w:space="0" w:color="A6A6A6" w:themeColor="background1" w:themeShade="A6"/>
              <w:bottom w:val="single" w:sz="4" w:space="0" w:color="A6A6A6" w:themeColor="background1" w:themeShade="A6"/>
            </w:tcBorders>
            <w:hideMark/>
          </w:tcPr>
          <w:p w14:paraId="0A701F02" w14:textId="77777777" w:rsidR="00FA7EBF" w:rsidRPr="007939DD" w:rsidRDefault="00FA7EBF" w:rsidP="007B207C">
            <w:pPr>
              <w:pStyle w:val="ARfintablebody"/>
              <w:rPr>
                <w:lang w:eastAsia="en-AU"/>
              </w:rPr>
            </w:pPr>
            <w:r w:rsidRPr="0048529A">
              <w:t>Other operating expenses</w:t>
            </w:r>
          </w:p>
        </w:tc>
        <w:tc>
          <w:tcPr>
            <w:tcW w:w="851" w:type="dxa"/>
            <w:tcBorders>
              <w:top w:val="single" w:sz="4" w:space="0" w:color="A6A6A6" w:themeColor="background1" w:themeShade="A6"/>
              <w:bottom w:val="single" w:sz="4" w:space="0" w:color="A6A6A6" w:themeColor="background1" w:themeShade="A6"/>
            </w:tcBorders>
            <w:noWrap/>
            <w:hideMark/>
          </w:tcPr>
          <w:p w14:paraId="0A624C46" w14:textId="77777777" w:rsidR="00FA7EBF" w:rsidRPr="007939DD" w:rsidRDefault="00FA7EBF" w:rsidP="007B207C">
            <w:pPr>
              <w:pStyle w:val="ARfintablebodyright"/>
              <w:rPr>
                <w:lang w:eastAsia="en-AU"/>
              </w:rPr>
            </w:pPr>
            <w:r w:rsidRPr="00D95F0F">
              <w:t>3.1.5</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7814C3E9" w14:textId="77777777" w:rsidR="00FA7EBF" w:rsidRPr="007939DD" w:rsidRDefault="00FA7EBF" w:rsidP="007B207C">
            <w:pPr>
              <w:pStyle w:val="ARfintablebodyright"/>
              <w:rPr>
                <w:lang w:eastAsia="en-AU"/>
              </w:rPr>
            </w:pPr>
            <w:r w:rsidRPr="00D95F0F">
              <w:t>611.3</w:t>
            </w:r>
          </w:p>
        </w:tc>
        <w:tc>
          <w:tcPr>
            <w:tcW w:w="1134" w:type="dxa"/>
            <w:tcBorders>
              <w:top w:val="single" w:sz="4" w:space="0" w:color="A6A6A6" w:themeColor="background1" w:themeShade="A6"/>
              <w:bottom w:val="single" w:sz="4" w:space="0" w:color="A6A6A6" w:themeColor="background1" w:themeShade="A6"/>
            </w:tcBorders>
            <w:noWrap/>
            <w:hideMark/>
          </w:tcPr>
          <w:p w14:paraId="4FACC179" w14:textId="77777777" w:rsidR="00FA7EBF" w:rsidRPr="007939DD" w:rsidRDefault="00FA7EBF" w:rsidP="007B207C">
            <w:pPr>
              <w:pStyle w:val="ARfintablebodyright"/>
              <w:rPr>
                <w:lang w:eastAsia="en-AU"/>
              </w:rPr>
            </w:pPr>
            <w:r w:rsidRPr="00D95F0F">
              <w:t>568.3</w:t>
            </w:r>
          </w:p>
        </w:tc>
      </w:tr>
      <w:tr w:rsidR="00FA7EBF" w:rsidRPr="007939DD" w14:paraId="1C540B7B" w14:textId="77777777" w:rsidTr="007B207C">
        <w:trPr>
          <w:cantSplit/>
        </w:trPr>
        <w:tc>
          <w:tcPr>
            <w:tcW w:w="6520" w:type="dxa"/>
            <w:tcBorders>
              <w:top w:val="single" w:sz="4" w:space="0" w:color="A6A6A6" w:themeColor="background1" w:themeShade="A6"/>
            </w:tcBorders>
            <w:hideMark/>
          </w:tcPr>
          <w:p w14:paraId="2622A38B" w14:textId="77777777" w:rsidR="00FA7EBF" w:rsidRPr="007939DD" w:rsidRDefault="00FA7EBF" w:rsidP="007B207C">
            <w:pPr>
              <w:pStyle w:val="ARfintablebody"/>
              <w:rPr>
                <w:lang w:eastAsia="en-AU"/>
              </w:rPr>
            </w:pPr>
            <w:r w:rsidRPr="0048529A">
              <w:t>Other property management expenses</w:t>
            </w:r>
          </w:p>
        </w:tc>
        <w:tc>
          <w:tcPr>
            <w:tcW w:w="851" w:type="dxa"/>
            <w:tcBorders>
              <w:top w:val="single" w:sz="4" w:space="0" w:color="A6A6A6" w:themeColor="background1" w:themeShade="A6"/>
            </w:tcBorders>
            <w:noWrap/>
            <w:hideMark/>
          </w:tcPr>
          <w:p w14:paraId="19E8CF9C" w14:textId="77777777" w:rsidR="00FA7EBF" w:rsidRPr="007939DD" w:rsidRDefault="00FA7EBF" w:rsidP="007B207C">
            <w:pPr>
              <w:pStyle w:val="ARfintablebodyright"/>
              <w:rPr>
                <w:lang w:eastAsia="en-AU"/>
              </w:rPr>
            </w:pPr>
            <w:r w:rsidRPr="00D95F0F">
              <w:t>3.1.6</w:t>
            </w:r>
          </w:p>
        </w:tc>
        <w:tc>
          <w:tcPr>
            <w:tcW w:w="1134" w:type="dxa"/>
            <w:tcBorders>
              <w:top w:val="single" w:sz="4" w:space="0" w:color="A6A6A6" w:themeColor="background1" w:themeShade="A6"/>
            </w:tcBorders>
            <w:shd w:val="clear" w:color="auto" w:fill="E7E6E6"/>
            <w:noWrap/>
            <w:hideMark/>
          </w:tcPr>
          <w:p w14:paraId="13714B6C" w14:textId="77777777" w:rsidR="00FA7EBF" w:rsidRPr="007939DD" w:rsidRDefault="00FA7EBF" w:rsidP="007B207C">
            <w:pPr>
              <w:pStyle w:val="ARfintablebodyright"/>
              <w:rPr>
                <w:lang w:eastAsia="en-AU"/>
              </w:rPr>
            </w:pPr>
            <w:r w:rsidRPr="00D95F0F">
              <w:t>209.1</w:t>
            </w:r>
          </w:p>
        </w:tc>
        <w:tc>
          <w:tcPr>
            <w:tcW w:w="1134" w:type="dxa"/>
            <w:tcBorders>
              <w:top w:val="single" w:sz="4" w:space="0" w:color="A6A6A6" w:themeColor="background1" w:themeShade="A6"/>
            </w:tcBorders>
            <w:noWrap/>
            <w:hideMark/>
          </w:tcPr>
          <w:p w14:paraId="7C67271A" w14:textId="77777777" w:rsidR="00FA7EBF" w:rsidRPr="007939DD" w:rsidRDefault="00FA7EBF" w:rsidP="007B207C">
            <w:pPr>
              <w:pStyle w:val="ARfintablebodyright"/>
              <w:rPr>
                <w:lang w:eastAsia="en-AU"/>
              </w:rPr>
            </w:pPr>
            <w:r w:rsidRPr="00D95F0F">
              <w:t>193.2</w:t>
            </w:r>
          </w:p>
        </w:tc>
      </w:tr>
      <w:tr w:rsidR="00FA7EBF" w:rsidRPr="007939DD" w14:paraId="53EEECE1" w14:textId="77777777" w:rsidTr="007B207C">
        <w:trPr>
          <w:cantSplit/>
        </w:trPr>
        <w:tc>
          <w:tcPr>
            <w:tcW w:w="6520" w:type="dxa"/>
            <w:hideMark/>
          </w:tcPr>
          <w:p w14:paraId="5F492B0C" w14:textId="77777777" w:rsidR="00FA7EBF" w:rsidRPr="00C97BE5" w:rsidRDefault="00FA7EBF" w:rsidP="007B207C">
            <w:pPr>
              <w:pStyle w:val="ARfintablebodybold"/>
            </w:pPr>
            <w:r w:rsidRPr="0048529A">
              <w:t>Total expenses from transactions</w:t>
            </w:r>
          </w:p>
        </w:tc>
        <w:tc>
          <w:tcPr>
            <w:tcW w:w="851" w:type="dxa"/>
            <w:noWrap/>
            <w:hideMark/>
          </w:tcPr>
          <w:p w14:paraId="15056280" w14:textId="77777777" w:rsidR="00FA7EBF" w:rsidRPr="007939DD" w:rsidRDefault="00FA7EBF" w:rsidP="007B207C">
            <w:pPr>
              <w:pStyle w:val="ARfintablebodyright"/>
              <w:rPr>
                <w:b/>
                <w:bCs/>
                <w:lang w:eastAsia="en-AU"/>
              </w:rPr>
            </w:pPr>
          </w:p>
        </w:tc>
        <w:tc>
          <w:tcPr>
            <w:tcW w:w="1134" w:type="dxa"/>
            <w:shd w:val="clear" w:color="auto" w:fill="E7E6E6"/>
            <w:noWrap/>
            <w:hideMark/>
          </w:tcPr>
          <w:p w14:paraId="0AA074A3" w14:textId="77777777" w:rsidR="00FA7EBF" w:rsidRPr="00DB02F6" w:rsidRDefault="00FA7EBF" w:rsidP="007B207C">
            <w:pPr>
              <w:pStyle w:val="ARfintablebodyrightbold"/>
            </w:pPr>
            <w:r w:rsidRPr="00D95F0F">
              <w:t>19,391.5</w:t>
            </w:r>
          </w:p>
        </w:tc>
        <w:tc>
          <w:tcPr>
            <w:tcW w:w="1134" w:type="dxa"/>
            <w:noWrap/>
            <w:hideMark/>
          </w:tcPr>
          <w:p w14:paraId="48A7442A" w14:textId="77777777" w:rsidR="00FA7EBF" w:rsidRPr="00DB02F6" w:rsidRDefault="00FA7EBF" w:rsidP="007B207C">
            <w:pPr>
              <w:pStyle w:val="ARfintablebodyrightbold"/>
            </w:pPr>
            <w:r w:rsidRPr="00D95F0F">
              <w:t>17,742.8</w:t>
            </w:r>
          </w:p>
        </w:tc>
      </w:tr>
      <w:tr w:rsidR="00FA7EBF" w:rsidRPr="007939DD" w14:paraId="0A5C4C74" w14:textId="77777777" w:rsidTr="007B207C">
        <w:trPr>
          <w:cantSplit/>
        </w:trPr>
        <w:tc>
          <w:tcPr>
            <w:tcW w:w="6520" w:type="dxa"/>
            <w:hideMark/>
          </w:tcPr>
          <w:p w14:paraId="1002439D" w14:textId="77777777" w:rsidR="00FA7EBF" w:rsidRPr="00C97BE5" w:rsidRDefault="00FA7EBF" w:rsidP="007B207C">
            <w:pPr>
              <w:pStyle w:val="ARfintablebodybold"/>
            </w:pPr>
            <w:r w:rsidRPr="0048529A">
              <w:t>Net result from transactions (net operating balance)</w:t>
            </w:r>
          </w:p>
        </w:tc>
        <w:tc>
          <w:tcPr>
            <w:tcW w:w="851" w:type="dxa"/>
            <w:noWrap/>
            <w:hideMark/>
          </w:tcPr>
          <w:p w14:paraId="41E8A9A3" w14:textId="77777777" w:rsidR="00FA7EBF" w:rsidRPr="007939DD" w:rsidRDefault="00FA7EBF" w:rsidP="007B207C">
            <w:pPr>
              <w:pStyle w:val="ARfintablebodyright"/>
              <w:rPr>
                <w:b/>
                <w:bCs/>
                <w:lang w:eastAsia="en-AU"/>
              </w:rPr>
            </w:pPr>
          </w:p>
        </w:tc>
        <w:tc>
          <w:tcPr>
            <w:tcW w:w="1134" w:type="dxa"/>
            <w:shd w:val="clear" w:color="auto" w:fill="E7E6E6"/>
            <w:noWrap/>
            <w:hideMark/>
          </w:tcPr>
          <w:p w14:paraId="15C0B69F" w14:textId="77777777" w:rsidR="00FA7EBF" w:rsidRPr="00DB02F6" w:rsidRDefault="00FA7EBF" w:rsidP="007B207C">
            <w:pPr>
              <w:pStyle w:val="ARfintablebodyrightbold"/>
            </w:pPr>
            <w:r w:rsidRPr="00D95F0F">
              <w:t>25.5</w:t>
            </w:r>
          </w:p>
        </w:tc>
        <w:tc>
          <w:tcPr>
            <w:tcW w:w="1134" w:type="dxa"/>
            <w:noWrap/>
            <w:hideMark/>
          </w:tcPr>
          <w:p w14:paraId="1D2AB486" w14:textId="77777777" w:rsidR="00FA7EBF" w:rsidRPr="00DB02F6" w:rsidRDefault="00FA7EBF" w:rsidP="007B207C">
            <w:pPr>
              <w:pStyle w:val="ARfintablebodyrightbold"/>
            </w:pPr>
            <w:r w:rsidRPr="00D95F0F">
              <w:t>178.3</w:t>
            </w:r>
          </w:p>
        </w:tc>
      </w:tr>
      <w:tr w:rsidR="00FA7EBF" w:rsidRPr="007939DD" w14:paraId="67310727" w14:textId="77777777" w:rsidTr="007B207C">
        <w:trPr>
          <w:cantSplit/>
        </w:trPr>
        <w:tc>
          <w:tcPr>
            <w:tcW w:w="9639" w:type="dxa"/>
            <w:gridSpan w:val="4"/>
            <w:tcBorders>
              <w:bottom w:val="single" w:sz="4" w:space="0" w:color="A6A6A6" w:themeColor="background1" w:themeShade="A6"/>
            </w:tcBorders>
            <w:hideMark/>
          </w:tcPr>
          <w:p w14:paraId="11EDB477" w14:textId="77777777" w:rsidR="00FA7EBF" w:rsidRPr="007939DD" w:rsidRDefault="00FA7EBF" w:rsidP="007B207C">
            <w:pPr>
              <w:pStyle w:val="ARfintablebodybold"/>
              <w:rPr>
                <w:lang w:eastAsia="en-AU"/>
              </w:rPr>
            </w:pPr>
            <w:r w:rsidRPr="0048529A">
              <w:t>Other economic flows included in net result</w:t>
            </w:r>
          </w:p>
        </w:tc>
      </w:tr>
      <w:tr w:rsidR="00FA7EBF" w:rsidRPr="007939DD" w14:paraId="0084468C" w14:textId="77777777" w:rsidTr="007B207C">
        <w:trPr>
          <w:cantSplit/>
        </w:trPr>
        <w:tc>
          <w:tcPr>
            <w:tcW w:w="6520" w:type="dxa"/>
            <w:tcBorders>
              <w:top w:val="single" w:sz="4" w:space="0" w:color="A6A6A6" w:themeColor="background1" w:themeShade="A6"/>
              <w:bottom w:val="single" w:sz="4" w:space="0" w:color="A6A6A6" w:themeColor="background1" w:themeShade="A6"/>
            </w:tcBorders>
            <w:hideMark/>
          </w:tcPr>
          <w:p w14:paraId="5EEC5FC6" w14:textId="77777777" w:rsidR="00FA7EBF" w:rsidRPr="007939DD" w:rsidRDefault="00FA7EBF" w:rsidP="007B207C">
            <w:pPr>
              <w:pStyle w:val="ARfintablebody"/>
              <w:rPr>
                <w:lang w:eastAsia="en-AU"/>
              </w:rPr>
            </w:pPr>
            <w:r w:rsidRPr="0048529A">
              <w:t xml:space="preserve">Net gain/(loss) on non-financial assets </w:t>
            </w:r>
            <w:r w:rsidRPr="00C97BE5">
              <w:rPr>
                <w:rStyle w:val="Superscript"/>
              </w:rPr>
              <w:t>(i)</w:t>
            </w:r>
          </w:p>
        </w:tc>
        <w:tc>
          <w:tcPr>
            <w:tcW w:w="851" w:type="dxa"/>
            <w:tcBorders>
              <w:top w:val="single" w:sz="4" w:space="0" w:color="A6A6A6" w:themeColor="background1" w:themeShade="A6"/>
              <w:bottom w:val="single" w:sz="4" w:space="0" w:color="A6A6A6" w:themeColor="background1" w:themeShade="A6"/>
            </w:tcBorders>
            <w:noWrap/>
            <w:hideMark/>
          </w:tcPr>
          <w:p w14:paraId="2D230B65" w14:textId="77777777" w:rsidR="00FA7EBF" w:rsidRPr="007939DD" w:rsidRDefault="00FA7EBF" w:rsidP="007B207C">
            <w:pPr>
              <w:pStyle w:val="ARfintablebodyright"/>
              <w:rPr>
                <w:lang w:eastAsia="en-AU"/>
              </w:rPr>
            </w:pPr>
            <w:r w:rsidRPr="00D95F0F">
              <w:t>9.2(a)</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3478DAB6" w14:textId="77777777" w:rsidR="00FA7EBF" w:rsidRPr="007939DD" w:rsidRDefault="00FA7EBF" w:rsidP="007B207C">
            <w:pPr>
              <w:pStyle w:val="ARfintablebodyright"/>
              <w:rPr>
                <w:lang w:eastAsia="en-AU"/>
              </w:rPr>
            </w:pPr>
            <w:r w:rsidRPr="00D95F0F">
              <w:t>(6.5)</w:t>
            </w:r>
          </w:p>
        </w:tc>
        <w:tc>
          <w:tcPr>
            <w:tcW w:w="1134" w:type="dxa"/>
            <w:tcBorders>
              <w:top w:val="single" w:sz="4" w:space="0" w:color="A6A6A6" w:themeColor="background1" w:themeShade="A6"/>
              <w:bottom w:val="single" w:sz="4" w:space="0" w:color="A6A6A6" w:themeColor="background1" w:themeShade="A6"/>
            </w:tcBorders>
            <w:noWrap/>
            <w:hideMark/>
          </w:tcPr>
          <w:p w14:paraId="1B6B5ABA" w14:textId="77777777" w:rsidR="00FA7EBF" w:rsidRPr="007939DD" w:rsidRDefault="00FA7EBF" w:rsidP="007B207C">
            <w:pPr>
              <w:pStyle w:val="ARfintablebodyright"/>
              <w:rPr>
                <w:lang w:eastAsia="en-AU"/>
              </w:rPr>
            </w:pPr>
            <w:r w:rsidRPr="00D95F0F">
              <w:t>13.6</w:t>
            </w:r>
          </w:p>
        </w:tc>
      </w:tr>
      <w:tr w:rsidR="00FA7EBF" w:rsidRPr="007939DD" w14:paraId="614C084B" w14:textId="77777777" w:rsidTr="007B207C">
        <w:trPr>
          <w:cantSplit/>
        </w:trPr>
        <w:tc>
          <w:tcPr>
            <w:tcW w:w="6520" w:type="dxa"/>
            <w:tcBorders>
              <w:top w:val="single" w:sz="4" w:space="0" w:color="A6A6A6" w:themeColor="background1" w:themeShade="A6"/>
              <w:bottom w:val="single" w:sz="4" w:space="0" w:color="A6A6A6" w:themeColor="background1" w:themeShade="A6"/>
            </w:tcBorders>
            <w:hideMark/>
          </w:tcPr>
          <w:p w14:paraId="6D932C71" w14:textId="77777777" w:rsidR="00FA7EBF" w:rsidRPr="007939DD" w:rsidRDefault="00FA7EBF" w:rsidP="007B207C">
            <w:pPr>
              <w:pStyle w:val="ARfintablebody"/>
              <w:rPr>
                <w:lang w:eastAsia="en-AU"/>
              </w:rPr>
            </w:pPr>
            <w:r w:rsidRPr="0048529A">
              <w:t xml:space="preserve">Net gain/(loss) on financial instruments </w:t>
            </w:r>
            <w:r w:rsidRPr="00C97BE5">
              <w:rPr>
                <w:rStyle w:val="Superscript"/>
              </w:rPr>
              <w:t>(ii)</w:t>
            </w:r>
          </w:p>
        </w:tc>
        <w:tc>
          <w:tcPr>
            <w:tcW w:w="851" w:type="dxa"/>
            <w:tcBorders>
              <w:top w:val="single" w:sz="4" w:space="0" w:color="A6A6A6" w:themeColor="background1" w:themeShade="A6"/>
              <w:bottom w:val="single" w:sz="4" w:space="0" w:color="A6A6A6" w:themeColor="background1" w:themeShade="A6"/>
            </w:tcBorders>
            <w:noWrap/>
            <w:hideMark/>
          </w:tcPr>
          <w:p w14:paraId="421CE51C" w14:textId="77777777" w:rsidR="00FA7EBF" w:rsidRPr="007939DD" w:rsidRDefault="00FA7EBF" w:rsidP="007B207C">
            <w:pPr>
              <w:pStyle w:val="ARfintablebodyright"/>
              <w:rPr>
                <w:lang w:eastAsia="en-AU"/>
              </w:rPr>
            </w:pPr>
            <w:r w:rsidRPr="00D95F0F">
              <w:t>9.2(b)</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698E4480" w14:textId="77777777" w:rsidR="00FA7EBF" w:rsidRPr="007939DD" w:rsidRDefault="00FA7EBF" w:rsidP="007B207C">
            <w:pPr>
              <w:pStyle w:val="ARfintablebodyright"/>
              <w:rPr>
                <w:lang w:eastAsia="en-AU"/>
              </w:rPr>
            </w:pPr>
            <w:r w:rsidRPr="00D95F0F">
              <w:t>0.2</w:t>
            </w:r>
          </w:p>
        </w:tc>
        <w:tc>
          <w:tcPr>
            <w:tcW w:w="1134" w:type="dxa"/>
            <w:tcBorders>
              <w:top w:val="single" w:sz="4" w:space="0" w:color="A6A6A6" w:themeColor="background1" w:themeShade="A6"/>
              <w:bottom w:val="single" w:sz="4" w:space="0" w:color="A6A6A6" w:themeColor="background1" w:themeShade="A6"/>
            </w:tcBorders>
            <w:noWrap/>
            <w:hideMark/>
          </w:tcPr>
          <w:p w14:paraId="11E6E0D5" w14:textId="77777777" w:rsidR="00FA7EBF" w:rsidRPr="007939DD" w:rsidRDefault="00FA7EBF" w:rsidP="007B207C">
            <w:pPr>
              <w:pStyle w:val="ARfintablebodyright"/>
              <w:rPr>
                <w:lang w:eastAsia="en-AU"/>
              </w:rPr>
            </w:pPr>
            <w:r w:rsidRPr="00D95F0F">
              <w:t>1.8</w:t>
            </w:r>
          </w:p>
        </w:tc>
      </w:tr>
      <w:tr w:rsidR="00FA7EBF" w:rsidRPr="007939DD" w14:paraId="360EA7F7" w14:textId="77777777" w:rsidTr="007B207C">
        <w:trPr>
          <w:cantSplit/>
        </w:trPr>
        <w:tc>
          <w:tcPr>
            <w:tcW w:w="6520" w:type="dxa"/>
            <w:tcBorders>
              <w:top w:val="single" w:sz="4" w:space="0" w:color="A6A6A6" w:themeColor="background1" w:themeShade="A6"/>
            </w:tcBorders>
            <w:hideMark/>
          </w:tcPr>
          <w:p w14:paraId="3CE718F0" w14:textId="77777777" w:rsidR="00FA7EBF" w:rsidRPr="007939DD" w:rsidRDefault="00FA7EBF" w:rsidP="007B207C">
            <w:pPr>
              <w:pStyle w:val="ARfintablebody"/>
              <w:rPr>
                <w:lang w:eastAsia="en-AU"/>
              </w:rPr>
            </w:pPr>
            <w:r w:rsidRPr="0048529A">
              <w:t>Other gains/(losses) from other economic flows</w:t>
            </w:r>
          </w:p>
        </w:tc>
        <w:tc>
          <w:tcPr>
            <w:tcW w:w="851" w:type="dxa"/>
            <w:tcBorders>
              <w:top w:val="single" w:sz="4" w:space="0" w:color="A6A6A6" w:themeColor="background1" w:themeShade="A6"/>
            </w:tcBorders>
            <w:noWrap/>
            <w:hideMark/>
          </w:tcPr>
          <w:p w14:paraId="08B4740D" w14:textId="77777777" w:rsidR="00FA7EBF" w:rsidRPr="007939DD" w:rsidRDefault="00FA7EBF" w:rsidP="007B207C">
            <w:pPr>
              <w:pStyle w:val="ARfintablebodyright"/>
              <w:rPr>
                <w:lang w:eastAsia="en-AU"/>
              </w:rPr>
            </w:pPr>
            <w:r w:rsidRPr="00D95F0F">
              <w:t>9.2(c)</w:t>
            </w:r>
          </w:p>
        </w:tc>
        <w:tc>
          <w:tcPr>
            <w:tcW w:w="1134" w:type="dxa"/>
            <w:tcBorders>
              <w:top w:val="single" w:sz="4" w:space="0" w:color="A6A6A6" w:themeColor="background1" w:themeShade="A6"/>
            </w:tcBorders>
            <w:shd w:val="clear" w:color="auto" w:fill="E7E6E6"/>
            <w:noWrap/>
            <w:hideMark/>
          </w:tcPr>
          <w:p w14:paraId="0DD4C76E" w14:textId="77777777" w:rsidR="00FA7EBF" w:rsidRPr="007939DD" w:rsidRDefault="00FA7EBF" w:rsidP="007B207C">
            <w:pPr>
              <w:pStyle w:val="ARfintablebodyright"/>
              <w:rPr>
                <w:lang w:eastAsia="en-AU"/>
              </w:rPr>
            </w:pPr>
            <w:r w:rsidRPr="00D95F0F">
              <w:t>(28.1)</w:t>
            </w:r>
          </w:p>
        </w:tc>
        <w:tc>
          <w:tcPr>
            <w:tcW w:w="1134" w:type="dxa"/>
            <w:tcBorders>
              <w:top w:val="single" w:sz="4" w:space="0" w:color="A6A6A6" w:themeColor="background1" w:themeShade="A6"/>
            </w:tcBorders>
            <w:noWrap/>
            <w:hideMark/>
          </w:tcPr>
          <w:p w14:paraId="36F37CFC" w14:textId="77777777" w:rsidR="00FA7EBF" w:rsidRPr="007939DD" w:rsidRDefault="00FA7EBF" w:rsidP="007B207C">
            <w:pPr>
              <w:pStyle w:val="ARfintablebodyright"/>
              <w:rPr>
                <w:lang w:eastAsia="en-AU"/>
              </w:rPr>
            </w:pPr>
            <w:r w:rsidRPr="00D95F0F">
              <w:t>(12.0)</w:t>
            </w:r>
          </w:p>
        </w:tc>
      </w:tr>
      <w:tr w:rsidR="00FA7EBF" w:rsidRPr="007939DD" w14:paraId="6E935637" w14:textId="77777777" w:rsidTr="007B207C">
        <w:trPr>
          <w:cantSplit/>
        </w:trPr>
        <w:tc>
          <w:tcPr>
            <w:tcW w:w="6520" w:type="dxa"/>
            <w:hideMark/>
          </w:tcPr>
          <w:p w14:paraId="6B4E6F17" w14:textId="77777777" w:rsidR="00FA7EBF" w:rsidRPr="00C97BE5" w:rsidRDefault="00FA7EBF" w:rsidP="007B207C">
            <w:pPr>
              <w:pStyle w:val="ARfintablebodybold"/>
            </w:pPr>
            <w:r w:rsidRPr="0048529A">
              <w:t>Total other economic flows included in net result</w:t>
            </w:r>
          </w:p>
        </w:tc>
        <w:tc>
          <w:tcPr>
            <w:tcW w:w="851" w:type="dxa"/>
            <w:noWrap/>
            <w:hideMark/>
          </w:tcPr>
          <w:p w14:paraId="3B08C6AF" w14:textId="77777777" w:rsidR="00FA7EBF" w:rsidRPr="007939DD" w:rsidRDefault="00FA7EBF" w:rsidP="007B207C">
            <w:pPr>
              <w:pStyle w:val="ARfintablebodyright"/>
              <w:rPr>
                <w:b/>
                <w:bCs/>
                <w:lang w:eastAsia="en-AU"/>
              </w:rPr>
            </w:pPr>
          </w:p>
        </w:tc>
        <w:tc>
          <w:tcPr>
            <w:tcW w:w="1134" w:type="dxa"/>
            <w:shd w:val="clear" w:color="auto" w:fill="E7E6E6"/>
            <w:noWrap/>
            <w:hideMark/>
          </w:tcPr>
          <w:p w14:paraId="5ABAEED4" w14:textId="77777777" w:rsidR="00FA7EBF" w:rsidRPr="00DB02F6" w:rsidRDefault="00FA7EBF" w:rsidP="007B207C">
            <w:pPr>
              <w:pStyle w:val="ARfintablebodyrightbold"/>
            </w:pPr>
            <w:r w:rsidRPr="00D95F0F">
              <w:t>(34.5)</w:t>
            </w:r>
          </w:p>
        </w:tc>
        <w:tc>
          <w:tcPr>
            <w:tcW w:w="1134" w:type="dxa"/>
            <w:noWrap/>
            <w:hideMark/>
          </w:tcPr>
          <w:p w14:paraId="50693140" w14:textId="77777777" w:rsidR="00FA7EBF" w:rsidRPr="00DB02F6" w:rsidRDefault="00FA7EBF" w:rsidP="007B207C">
            <w:pPr>
              <w:pStyle w:val="ARfintablebodyrightbold"/>
            </w:pPr>
            <w:r w:rsidRPr="00D95F0F">
              <w:t>3.4</w:t>
            </w:r>
          </w:p>
        </w:tc>
      </w:tr>
      <w:tr w:rsidR="00FA7EBF" w:rsidRPr="007939DD" w14:paraId="78877C3E" w14:textId="77777777" w:rsidTr="007B207C">
        <w:trPr>
          <w:cantSplit/>
        </w:trPr>
        <w:tc>
          <w:tcPr>
            <w:tcW w:w="6520" w:type="dxa"/>
            <w:hideMark/>
          </w:tcPr>
          <w:p w14:paraId="255F6063" w14:textId="77777777" w:rsidR="00FA7EBF" w:rsidRPr="00C97BE5" w:rsidRDefault="00FA7EBF" w:rsidP="007B207C">
            <w:pPr>
              <w:pStyle w:val="ARfintablebodybold"/>
            </w:pPr>
            <w:r w:rsidRPr="0048529A">
              <w:t>Net result</w:t>
            </w:r>
          </w:p>
        </w:tc>
        <w:tc>
          <w:tcPr>
            <w:tcW w:w="851" w:type="dxa"/>
            <w:noWrap/>
            <w:hideMark/>
          </w:tcPr>
          <w:p w14:paraId="570178BA" w14:textId="77777777" w:rsidR="00FA7EBF" w:rsidRPr="007939DD" w:rsidRDefault="00FA7EBF" w:rsidP="007B207C">
            <w:pPr>
              <w:pStyle w:val="ARfintablebodyright"/>
              <w:rPr>
                <w:b/>
                <w:bCs/>
                <w:lang w:eastAsia="en-AU"/>
              </w:rPr>
            </w:pPr>
          </w:p>
        </w:tc>
        <w:tc>
          <w:tcPr>
            <w:tcW w:w="1134" w:type="dxa"/>
            <w:shd w:val="clear" w:color="auto" w:fill="E7E6E6"/>
            <w:noWrap/>
            <w:hideMark/>
          </w:tcPr>
          <w:p w14:paraId="6E814B56" w14:textId="77777777" w:rsidR="00FA7EBF" w:rsidRPr="00DB02F6" w:rsidRDefault="00FA7EBF" w:rsidP="007B207C">
            <w:pPr>
              <w:pStyle w:val="ARfintablebodyrightbold"/>
            </w:pPr>
            <w:r w:rsidRPr="00D95F0F">
              <w:t>(9.0)</w:t>
            </w:r>
          </w:p>
        </w:tc>
        <w:tc>
          <w:tcPr>
            <w:tcW w:w="1134" w:type="dxa"/>
            <w:noWrap/>
            <w:hideMark/>
          </w:tcPr>
          <w:p w14:paraId="7134254A" w14:textId="77777777" w:rsidR="00FA7EBF" w:rsidRPr="00DB02F6" w:rsidRDefault="00FA7EBF" w:rsidP="007B207C">
            <w:pPr>
              <w:pStyle w:val="ARfintablebodyrightbold"/>
            </w:pPr>
            <w:r w:rsidRPr="00D95F0F">
              <w:t>181.7</w:t>
            </w:r>
          </w:p>
        </w:tc>
      </w:tr>
      <w:tr w:rsidR="00FA7EBF" w:rsidRPr="007939DD" w14:paraId="6EAE295E" w14:textId="77777777" w:rsidTr="007B207C">
        <w:trPr>
          <w:cantSplit/>
        </w:trPr>
        <w:tc>
          <w:tcPr>
            <w:tcW w:w="9639" w:type="dxa"/>
            <w:gridSpan w:val="4"/>
            <w:tcBorders>
              <w:bottom w:val="single" w:sz="4" w:space="0" w:color="A6A6A6" w:themeColor="background1" w:themeShade="A6"/>
            </w:tcBorders>
            <w:hideMark/>
          </w:tcPr>
          <w:p w14:paraId="00B65A2D" w14:textId="77777777" w:rsidR="00FA7EBF" w:rsidRPr="007939DD" w:rsidRDefault="00FA7EBF" w:rsidP="007B207C">
            <w:pPr>
              <w:pStyle w:val="ARfintablebodybold"/>
              <w:rPr>
                <w:lang w:eastAsia="en-AU"/>
              </w:rPr>
            </w:pPr>
            <w:r w:rsidRPr="0048529A">
              <w:t>Other economic flows – other comprehensive income</w:t>
            </w:r>
          </w:p>
        </w:tc>
      </w:tr>
      <w:tr w:rsidR="00FA7EBF" w:rsidRPr="007939DD" w14:paraId="06C91BFE" w14:textId="77777777" w:rsidTr="007B207C">
        <w:trPr>
          <w:cantSplit/>
        </w:trPr>
        <w:tc>
          <w:tcPr>
            <w:tcW w:w="9639" w:type="dxa"/>
            <w:gridSpan w:val="4"/>
            <w:tcBorders>
              <w:top w:val="single" w:sz="4" w:space="0" w:color="A6A6A6" w:themeColor="background1" w:themeShade="A6"/>
              <w:bottom w:val="single" w:sz="4" w:space="0" w:color="A6A6A6" w:themeColor="background1" w:themeShade="A6"/>
            </w:tcBorders>
            <w:hideMark/>
          </w:tcPr>
          <w:p w14:paraId="2A75DDC2" w14:textId="77777777" w:rsidR="00FA7EBF" w:rsidRPr="007939DD" w:rsidRDefault="00FA7EBF" w:rsidP="007B207C">
            <w:pPr>
              <w:pStyle w:val="ARfintablebodybold"/>
              <w:rPr>
                <w:lang w:eastAsia="en-AU"/>
              </w:rPr>
            </w:pPr>
            <w:r w:rsidRPr="0048529A">
              <w:t>Items that will not be reclassified to net result</w:t>
            </w:r>
          </w:p>
        </w:tc>
      </w:tr>
      <w:tr w:rsidR="00FA7EBF" w:rsidRPr="007939DD" w14:paraId="0E1CC061" w14:textId="77777777" w:rsidTr="007B207C">
        <w:trPr>
          <w:cantSplit/>
        </w:trPr>
        <w:tc>
          <w:tcPr>
            <w:tcW w:w="6520" w:type="dxa"/>
            <w:tcBorders>
              <w:top w:val="single" w:sz="4" w:space="0" w:color="A6A6A6" w:themeColor="background1" w:themeShade="A6"/>
              <w:bottom w:val="single" w:sz="4" w:space="0" w:color="A6A6A6" w:themeColor="background1" w:themeShade="A6"/>
            </w:tcBorders>
            <w:hideMark/>
          </w:tcPr>
          <w:p w14:paraId="6C43A1CF" w14:textId="77777777" w:rsidR="00FA7EBF" w:rsidRPr="007939DD" w:rsidRDefault="00FA7EBF" w:rsidP="007B207C">
            <w:pPr>
              <w:pStyle w:val="ARfintablebody"/>
              <w:rPr>
                <w:lang w:eastAsia="en-AU"/>
              </w:rPr>
            </w:pPr>
            <w:r w:rsidRPr="0048529A">
              <w:t>Changes in physical asset revaluation surplus</w:t>
            </w:r>
          </w:p>
        </w:tc>
        <w:tc>
          <w:tcPr>
            <w:tcW w:w="851" w:type="dxa"/>
            <w:tcBorders>
              <w:top w:val="single" w:sz="4" w:space="0" w:color="A6A6A6" w:themeColor="background1" w:themeShade="A6"/>
              <w:bottom w:val="single" w:sz="4" w:space="0" w:color="A6A6A6" w:themeColor="background1" w:themeShade="A6"/>
            </w:tcBorders>
            <w:noWrap/>
            <w:hideMark/>
          </w:tcPr>
          <w:p w14:paraId="79A3676D" w14:textId="77777777" w:rsidR="00FA7EBF" w:rsidRPr="007939DD" w:rsidRDefault="00FA7EBF" w:rsidP="007B207C">
            <w:pPr>
              <w:pStyle w:val="ARfintablebodyright"/>
              <w:rPr>
                <w:lang w:eastAsia="en-AU"/>
              </w:rPr>
            </w:pPr>
            <w:r w:rsidRPr="00D95F0F">
              <w:t>9.4</w:t>
            </w:r>
          </w:p>
        </w:tc>
        <w:tc>
          <w:tcPr>
            <w:tcW w:w="1134" w:type="dxa"/>
            <w:tcBorders>
              <w:top w:val="single" w:sz="4" w:space="0" w:color="A6A6A6" w:themeColor="background1" w:themeShade="A6"/>
              <w:bottom w:val="single" w:sz="4" w:space="0" w:color="A6A6A6" w:themeColor="background1" w:themeShade="A6"/>
            </w:tcBorders>
            <w:shd w:val="clear" w:color="auto" w:fill="E7E6E6"/>
            <w:noWrap/>
            <w:hideMark/>
          </w:tcPr>
          <w:p w14:paraId="0CC3A9BA" w14:textId="77777777" w:rsidR="00FA7EBF" w:rsidRPr="007939DD" w:rsidRDefault="00FA7EBF" w:rsidP="007B207C">
            <w:pPr>
              <w:pStyle w:val="ARfintablebodyright"/>
              <w:rPr>
                <w:lang w:eastAsia="en-AU"/>
              </w:rPr>
            </w:pPr>
            <w:r w:rsidRPr="00D95F0F">
              <w:t>(1,205.3)</w:t>
            </w:r>
          </w:p>
        </w:tc>
        <w:tc>
          <w:tcPr>
            <w:tcW w:w="1134" w:type="dxa"/>
            <w:tcBorders>
              <w:top w:val="single" w:sz="4" w:space="0" w:color="A6A6A6" w:themeColor="background1" w:themeShade="A6"/>
              <w:bottom w:val="single" w:sz="4" w:space="0" w:color="A6A6A6" w:themeColor="background1" w:themeShade="A6"/>
            </w:tcBorders>
            <w:noWrap/>
            <w:hideMark/>
          </w:tcPr>
          <w:p w14:paraId="4952F20D" w14:textId="77777777" w:rsidR="00FA7EBF" w:rsidRPr="007939DD" w:rsidRDefault="00FA7EBF" w:rsidP="007B207C">
            <w:pPr>
              <w:pStyle w:val="ARfintablebodyright"/>
              <w:rPr>
                <w:lang w:eastAsia="en-AU"/>
              </w:rPr>
            </w:pPr>
            <w:r w:rsidRPr="00D95F0F">
              <w:t>4,059.6</w:t>
            </w:r>
          </w:p>
        </w:tc>
      </w:tr>
      <w:tr w:rsidR="00FA7EBF" w:rsidRPr="007939DD" w14:paraId="3842D58C" w14:textId="77777777" w:rsidTr="007B207C">
        <w:trPr>
          <w:cantSplit/>
        </w:trPr>
        <w:tc>
          <w:tcPr>
            <w:tcW w:w="6520" w:type="dxa"/>
            <w:tcBorders>
              <w:top w:val="single" w:sz="4" w:space="0" w:color="A6A6A6" w:themeColor="background1" w:themeShade="A6"/>
            </w:tcBorders>
            <w:hideMark/>
          </w:tcPr>
          <w:p w14:paraId="000D130C" w14:textId="77777777" w:rsidR="00FA7EBF" w:rsidRPr="007939DD" w:rsidRDefault="00FA7EBF" w:rsidP="007B207C">
            <w:pPr>
              <w:pStyle w:val="ARfintablebody"/>
              <w:rPr>
                <w:lang w:eastAsia="en-AU"/>
              </w:rPr>
            </w:pPr>
            <w:r w:rsidRPr="0048529A">
              <w:t>Remeasurement of superannuation defined benefit plans</w:t>
            </w:r>
          </w:p>
        </w:tc>
        <w:tc>
          <w:tcPr>
            <w:tcW w:w="851" w:type="dxa"/>
            <w:tcBorders>
              <w:top w:val="single" w:sz="4" w:space="0" w:color="A6A6A6" w:themeColor="background1" w:themeShade="A6"/>
            </w:tcBorders>
            <w:noWrap/>
            <w:hideMark/>
          </w:tcPr>
          <w:p w14:paraId="10A0639E" w14:textId="77777777" w:rsidR="00FA7EBF" w:rsidRPr="007939DD" w:rsidRDefault="00FA7EBF" w:rsidP="007B207C">
            <w:pPr>
              <w:pStyle w:val="ARfintablebodyright"/>
              <w:rPr>
                <w:lang w:eastAsia="en-AU"/>
              </w:rPr>
            </w:pPr>
            <w:r w:rsidRPr="00D95F0F">
              <w:t>3.1.1(b)</w:t>
            </w:r>
          </w:p>
        </w:tc>
        <w:tc>
          <w:tcPr>
            <w:tcW w:w="1134" w:type="dxa"/>
            <w:tcBorders>
              <w:top w:val="single" w:sz="4" w:space="0" w:color="A6A6A6" w:themeColor="background1" w:themeShade="A6"/>
            </w:tcBorders>
            <w:shd w:val="clear" w:color="auto" w:fill="E7E6E6"/>
            <w:noWrap/>
            <w:hideMark/>
          </w:tcPr>
          <w:p w14:paraId="741A56F9" w14:textId="77777777" w:rsidR="00FA7EBF" w:rsidRPr="007939DD" w:rsidRDefault="00FA7EBF" w:rsidP="007B207C">
            <w:pPr>
              <w:pStyle w:val="ARfintablebodyright"/>
              <w:rPr>
                <w:lang w:eastAsia="en-AU"/>
              </w:rPr>
            </w:pPr>
            <w:r w:rsidRPr="00D95F0F">
              <w:t>(2.5)</w:t>
            </w:r>
          </w:p>
        </w:tc>
        <w:tc>
          <w:tcPr>
            <w:tcW w:w="1134" w:type="dxa"/>
            <w:tcBorders>
              <w:top w:val="single" w:sz="4" w:space="0" w:color="A6A6A6" w:themeColor="background1" w:themeShade="A6"/>
            </w:tcBorders>
            <w:noWrap/>
            <w:hideMark/>
          </w:tcPr>
          <w:p w14:paraId="31878D41" w14:textId="77777777" w:rsidR="00FA7EBF" w:rsidRPr="007939DD" w:rsidRDefault="00FA7EBF" w:rsidP="007B207C">
            <w:pPr>
              <w:pStyle w:val="ARfintablebodyright"/>
              <w:rPr>
                <w:lang w:eastAsia="en-AU"/>
              </w:rPr>
            </w:pPr>
            <w:r w:rsidRPr="00D95F0F">
              <w:t>(0.3)</w:t>
            </w:r>
          </w:p>
        </w:tc>
      </w:tr>
      <w:tr w:rsidR="00FA7EBF" w:rsidRPr="007939DD" w14:paraId="50972FCB" w14:textId="77777777" w:rsidTr="007B207C">
        <w:trPr>
          <w:cantSplit/>
        </w:trPr>
        <w:tc>
          <w:tcPr>
            <w:tcW w:w="6520" w:type="dxa"/>
            <w:hideMark/>
          </w:tcPr>
          <w:p w14:paraId="77073B04" w14:textId="77777777" w:rsidR="00FA7EBF" w:rsidRPr="00C97BE5" w:rsidRDefault="00FA7EBF" w:rsidP="007B207C">
            <w:pPr>
              <w:pStyle w:val="ARfintablebodybold"/>
            </w:pPr>
            <w:r w:rsidRPr="0048529A">
              <w:t>Total other economic flows – other comprehensive income</w:t>
            </w:r>
          </w:p>
        </w:tc>
        <w:tc>
          <w:tcPr>
            <w:tcW w:w="851" w:type="dxa"/>
            <w:noWrap/>
            <w:hideMark/>
          </w:tcPr>
          <w:p w14:paraId="6B6FFC84" w14:textId="77777777" w:rsidR="00FA7EBF" w:rsidRPr="007939DD" w:rsidRDefault="00FA7EBF" w:rsidP="007B207C">
            <w:pPr>
              <w:pStyle w:val="ARfintablebodyright"/>
              <w:rPr>
                <w:b/>
                <w:bCs/>
                <w:lang w:eastAsia="en-AU"/>
              </w:rPr>
            </w:pPr>
          </w:p>
        </w:tc>
        <w:tc>
          <w:tcPr>
            <w:tcW w:w="1134" w:type="dxa"/>
            <w:shd w:val="clear" w:color="auto" w:fill="E7E6E6"/>
            <w:noWrap/>
            <w:hideMark/>
          </w:tcPr>
          <w:p w14:paraId="42373BBB" w14:textId="77777777" w:rsidR="00FA7EBF" w:rsidRPr="00DB02F6" w:rsidRDefault="00FA7EBF" w:rsidP="007B207C">
            <w:pPr>
              <w:pStyle w:val="ARfintablebodyrightbold"/>
            </w:pPr>
            <w:r w:rsidRPr="00D95F0F">
              <w:t>(1,207.9)</w:t>
            </w:r>
          </w:p>
        </w:tc>
        <w:tc>
          <w:tcPr>
            <w:tcW w:w="1134" w:type="dxa"/>
            <w:noWrap/>
            <w:hideMark/>
          </w:tcPr>
          <w:p w14:paraId="5BFB3E70" w14:textId="77777777" w:rsidR="00FA7EBF" w:rsidRPr="00DB02F6" w:rsidRDefault="00FA7EBF" w:rsidP="007B207C">
            <w:pPr>
              <w:pStyle w:val="ARfintablebodyrightbold"/>
            </w:pPr>
            <w:r w:rsidRPr="00D95F0F">
              <w:t>4,059.3</w:t>
            </w:r>
          </w:p>
        </w:tc>
      </w:tr>
      <w:tr w:rsidR="00FA7EBF" w:rsidRPr="007939DD" w14:paraId="3C90F7E9" w14:textId="77777777" w:rsidTr="007B207C">
        <w:trPr>
          <w:cantSplit/>
        </w:trPr>
        <w:tc>
          <w:tcPr>
            <w:tcW w:w="6520" w:type="dxa"/>
            <w:hideMark/>
          </w:tcPr>
          <w:p w14:paraId="5311682B" w14:textId="77777777" w:rsidR="00FA7EBF" w:rsidRPr="00C97BE5" w:rsidRDefault="00FA7EBF" w:rsidP="007B207C">
            <w:pPr>
              <w:pStyle w:val="ARfintablebodybold"/>
            </w:pPr>
            <w:r w:rsidRPr="0048529A">
              <w:t>Comprehensive result</w:t>
            </w:r>
          </w:p>
        </w:tc>
        <w:tc>
          <w:tcPr>
            <w:tcW w:w="851" w:type="dxa"/>
            <w:noWrap/>
            <w:hideMark/>
          </w:tcPr>
          <w:p w14:paraId="5DD62943" w14:textId="77777777" w:rsidR="00FA7EBF" w:rsidRPr="007939DD" w:rsidRDefault="00FA7EBF" w:rsidP="007B207C">
            <w:pPr>
              <w:pStyle w:val="ARfintablebodyright"/>
              <w:rPr>
                <w:b/>
                <w:bCs/>
                <w:lang w:eastAsia="en-AU"/>
              </w:rPr>
            </w:pPr>
          </w:p>
        </w:tc>
        <w:tc>
          <w:tcPr>
            <w:tcW w:w="1134" w:type="dxa"/>
            <w:shd w:val="clear" w:color="auto" w:fill="E7E6E6"/>
            <w:noWrap/>
            <w:hideMark/>
          </w:tcPr>
          <w:p w14:paraId="7BF9E1E7" w14:textId="77777777" w:rsidR="00FA7EBF" w:rsidRPr="00DB02F6" w:rsidRDefault="00FA7EBF" w:rsidP="007B207C">
            <w:pPr>
              <w:pStyle w:val="ARfintablebodyrightbold"/>
            </w:pPr>
            <w:r w:rsidRPr="00D95F0F">
              <w:t>(1,216.8)</w:t>
            </w:r>
          </w:p>
        </w:tc>
        <w:tc>
          <w:tcPr>
            <w:tcW w:w="1134" w:type="dxa"/>
            <w:noWrap/>
            <w:hideMark/>
          </w:tcPr>
          <w:p w14:paraId="3C5C50B5" w14:textId="77777777" w:rsidR="00FA7EBF" w:rsidRPr="00DB02F6" w:rsidRDefault="00FA7EBF" w:rsidP="007B207C">
            <w:pPr>
              <w:pStyle w:val="ARfintablebodyrightbold"/>
            </w:pPr>
            <w:r w:rsidRPr="00D95F0F">
              <w:t>4,241.0</w:t>
            </w:r>
          </w:p>
        </w:tc>
      </w:tr>
    </w:tbl>
    <w:p w14:paraId="20837C6A" w14:textId="77777777" w:rsidR="00FA7EBF" w:rsidRPr="00194D78" w:rsidRDefault="00FA7EBF" w:rsidP="00CA66FD">
      <w:pPr>
        <w:pStyle w:val="ARfintablefootnote"/>
        <w:rPr>
          <w:lang w:eastAsia="en-AU"/>
        </w:rPr>
      </w:pPr>
      <w:r w:rsidRPr="00194D78">
        <w:rPr>
          <w:lang w:eastAsia="en-AU"/>
        </w:rPr>
        <w:t>The comprehensive operating statement should be read in conjunction with the notes to the financial statements.</w:t>
      </w:r>
    </w:p>
    <w:p w14:paraId="6F48AF05" w14:textId="77777777" w:rsidR="00FA7EBF" w:rsidRPr="00194D78" w:rsidRDefault="00FA7EBF" w:rsidP="00CA66FD">
      <w:pPr>
        <w:pStyle w:val="ARfintablefootnote"/>
        <w:rPr>
          <w:lang w:eastAsia="en-AU"/>
        </w:rPr>
      </w:pPr>
      <w:r w:rsidRPr="00194D78">
        <w:rPr>
          <w:lang w:eastAsia="en-AU"/>
        </w:rPr>
        <w:t>Notes:</w:t>
      </w:r>
    </w:p>
    <w:p w14:paraId="526F3BB7" w14:textId="77777777" w:rsidR="00FA7EBF" w:rsidRPr="00194D78" w:rsidRDefault="00FA7EBF" w:rsidP="00CA66FD">
      <w:pPr>
        <w:pStyle w:val="ARfintablefootnoteindent"/>
      </w:pPr>
      <w:r w:rsidRPr="00194D78">
        <w:t>(i)</w:t>
      </w:r>
      <w:r>
        <w:tab/>
        <w:t>‘</w:t>
      </w:r>
      <w:r w:rsidRPr="00194D78">
        <w:t>Net gain/(loss) on non-financial assets</w:t>
      </w:r>
      <w:r>
        <w:t>’</w:t>
      </w:r>
      <w:r w:rsidRPr="00194D78">
        <w:t xml:space="preserve"> includes unrealised and realised gains/(losses) from revaluations, impairments and disposals of all physical assets and intangible assets, except when these are taken through the asset revaluation surplus.</w:t>
      </w:r>
    </w:p>
    <w:p w14:paraId="1052C0B6" w14:textId="77777777" w:rsidR="00FA7EBF" w:rsidRPr="00194D78" w:rsidRDefault="00FA7EBF" w:rsidP="00CA66FD">
      <w:pPr>
        <w:pStyle w:val="ARfintablefootnoteindent"/>
      </w:pPr>
      <w:r w:rsidRPr="00194D78">
        <w:t>(ii)</w:t>
      </w:r>
      <w:r>
        <w:tab/>
        <w:t>‘</w:t>
      </w:r>
      <w:r w:rsidRPr="00194D78">
        <w:t>Net gain/(loss) on financial instruments</w:t>
      </w:r>
      <w:r>
        <w:t>’</w:t>
      </w:r>
      <w:r w:rsidRPr="00194D78">
        <w:t xml:space="preserve"> includes bad and doubtful debts from other economic flows, unrealised and realised gains/(losses) from revaluations, impairments and reversals of impairment, and gains/(losses) from disposals of financial instruments, except when these are taken through the financial assets at fair value through other comprehensive income revaluation surplus.</w:t>
      </w:r>
    </w:p>
    <w:p w14:paraId="51B7C8CD" w14:textId="77777777" w:rsidR="00FA7EBF" w:rsidRPr="00753B03" w:rsidRDefault="00FA7EBF" w:rsidP="00CA66FD">
      <w:pPr>
        <w:pStyle w:val="ARfinbody"/>
      </w:pPr>
      <w:r w:rsidRPr="00753B03">
        <w:br w:type="page"/>
      </w:r>
    </w:p>
    <w:p w14:paraId="129F53A4" w14:textId="77777777" w:rsidR="00FA7EBF" w:rsidRDefault="00FA7EBF" w:rsidP="00CA66FD">
      <w:pPr>
        <w:pStyle w:val="Heading2"/>
        <w:rPr>
          <w:lang w:eastAsia="en-AU"/>
        </w:rPr>
      </w:pPr>
      <w:bookmarkStart w:id="230" w:name="_Toc17971167"/>
      <w:bookmarkStart w:id="231" w:name="_Toc19795288"/>
      <w:r w:rsidRPr="00194D78">
        <w:rPr>
          <w:lang w:eastAsia="en-AU"/>
        </w:rPr>
        <w:t>Balance sheet as at 30 June 2019</w:t>
      </w:r>
      <w:bookmarkEnd w:id="230"/>
      <w:bookmarkEnd w:id="231"/>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6527"/>
        <w:gridCol w:w="852"/>
        <w:gridCol w:w="1130"/>
        <w:gridCol w:w="1130"/>
      </w:tblGrid>
      <w:tr w:rsidR="00FA7EBF" w:rsidRPr="007939DD" w14:paraId="16B0F5FB" w14:textId="77777777" w:rsidTr="007B207C">
        <w:trPr>
          <w:cantSplit/>
          <w:tblHeader/>
        </w:trPr>
        <w:tc>
          <w:tcPr>
            <w:tcW w:w="6527" w:type="dxa"/>
            <w:vAlign w:val="bottom"/>
          </w:tcPr>
          <w:p w14:paraId="05587507" w14:textId="77777777" w:rsidR="00FA7EBF" w:rsidRPr="007939DD" w:rsidRDefault="00FA7EBF" w:rsidP="007B207C">
            <w:pPr>
              <w:pStyle w:val="ARfintablecolhead"/>
              <w:rPr>
                <w:rFonts w:cs="Arial"/>
              </w:rPr>
            </w:pPr>
          </w:p>
        </w:tc>
        <w:tc>
          <w:tcPr>
            <w:tcW w:w="852" w:type="dxa"/>
            <w:vAlign w:val="bottom"/>
          </w:tcPr>
          <w:p w14:paraId="2D8E34BB" w14:textId="77777777" w:rsidR="00FA7EBF" w:rsidRPr="007939DD" w:rsidRDefault="00FA7EBF" w:rsidP="007B207C">
            <w:pPr>
              <w:pStyle w:val="ARfintablecolheadright"/>
              <w:rPr>
                <w:bCs/>
                <w:color w:val="000000"/>
              </w:rPr>
            </w:pPr>
            <w:r w:rsidRPr="007939DD">
              <w:t>Note</w:t>
            </w:r>
          </w:p>
        </w:tc>
        <w:tc>
          <w:tcPr>
            <w:tcW w:w="1130" w:type="dxa"/>
            <w:shd w:val="clear" w:color="auto" w:fill="E7E6E6"/>
            <w:vAlign w:val="bottom"/>
          </w:tcPr>
          <w:p w14:paraId="4389C3B3" w14:textId="77777777" w:rsidR="00FA7EBF" w:rsidRPr="007939DD" w:rsidRDefault="00FA7EBF" w:rsidP="007B207C">
            <w:pPr>
              <w:pStyle w:val="ARfintablecolheadright"/>
              <w:rPr>
                <w:rFonts w:cs="Arial"/>
              </w:rPr>
            </w:pPr>
            <w:r w:rsidRPr="007939DD">
              <w:rPr>
                <w:rFonts w:cs="Arial"/>
              </w:rPr>
              <w:t>201</w:t>
            </w:r>
            <w:r>
              <w:rPr>
                <w:rFonts w:cs="Arial"/>
              </w:rPr>
              <w:t>9</w:t>
            </w:r>
          </w:p>
          <w:p w14:paraId="172574BC" w14:textId="77777777" w:rsidR="00FA7EBF" w:rsidRPr="007939DD" w:rsidRDefault="00FA7EBF" w:rsidP="007B207C">
            <w:pPr>
              <w:pStyle w:val="ARfintablecolheadright"/>
              <w:rPr>
                <w:rFonts w:cs="Arial"/>
              </w:rPr>
            </w:pPr>
            <w:r w:rsidRPr="007939DD">
              <w:rPr>
                <w:rFonts w:cs="Arial"/>
              </w:rPr>
              <w:t>$M</w:t>
            </w:r>
          </w:p>
        </w:tc>
        <w:tc>
          <w:tcPr>
            <w:tcW w:w="1130" w:type="dxa"/>
            <w:vAlign w:val="bottom"/>
          </w:tcPr>
          <w:p w14:paraId="12FC0772" w14:textId="77777777" w:rsidR="00FA7EBF" w:rsidRPr="007939DD" w:rsidRDefault="00FA7EBF" w:rsidP="007B207C">
            <w:pPr>
              <w:pStyle w:val="ARfintablecolheadright"/>
              <w:rPr>
                <w:rFonts w:cs="Arial"/>
              </w:rPr>
            </w:pPr>
            <w:r w:rsidRPr="007939DD">
              <w:rPr>
                <w:rFonts w:cs="Arial"/>
              </w:rPr>
              <w:t>201</w:t>
            </w:r>
            <w:r>
              <w:rPr>
                <w:rFonts w:cs="Arial"/>
              </w:rPr>
              <w:t>8</w:t>
            </w:r>
          </w:p>
          <w:p w14:paraId="69B66E43" w14:textId="77777777" w:rsidR="00FA7EBF" w:rsidRPr="007939DD" w:rsidRDefault="00FA7EBF" w:rsidP="007B207C">
            <w:pPr>
              <w:pStyle w:val="ARfintablecolheadright"/>
              <w:rPr>
                <w:rFonts w:cs="Arial"/>
              </w:rPr>
            </w:pPr>
            <w:r w:rsidRPr="007939DD">
              <w:rPr>
                <w:rFonts w:cs="Arial"/>
              </w:rPr>
              <w:t>$M</w:t>
            </w:r>
          </w:p>
        </w:tc>
      </w:tr>
      <w:tr w:rsidR="00FA7EBF" w:rsidRPr="007939DD" w14:paraId="3621466E" w14:textId="77777777" w:rsidTr="007B207C">
        <w:trPr>
          <w:cantSplit/>
        </w:trPr>
        <w:tc>
          <w:tcPr>
            <w:tcW w:w="9639" w:type="dxa"/>
            <w:gridSpan w:val="4"/>
            <w:tcBorders>
              <w:bottom w:val="single" w:sz="4" w:space="0" w:color="A6A6A6" w:themeColor="background1" w:themeShade="A6"/>
            </w:tcBorders>
          </w:tcPr>
          <w:p w14:paraId="1DD95868" w14:textId="77777777" w:rsidR="00FA7EBF" w:rsidRPr="007939DD" w:rsidRDefault="00FA7EBF" w:rsidP="007B207C">
            <w:pPr>
              <w:pStyle w:val="ARfintablebodybold"/>
              <w:rPr>
                <w:rStyle w:val="Strong"/>
                <w:bCs/>
              </w:rPr>
            </w:pPr>
            <w:r w:rsidRPr="007B22C8">
              <w:t>Assets</w:t>
            </w:r>
          </w:p>
        </w:tc>
      </w:tr>
      <w:tr w:rsidR="00FA7EBF" w:rsidRPr="007939DD" w14:paraId="16570E27" w14:textId="77777777" w:rsidTr="007B207C">
        <w:trPr>
          <w:cantSplit/>
        </w:trPr>
        <w:tc>
          <w:tcPr>
            <w:tcW w:w="9639" w:type="dxa"/>
            <w:gridSpan w:val="4"/>
            <w:tcBorders>
              <w:top w:val="single" w:sz="4" w:space="0" w:color="A6A6A6" w:themeColor="background1" w:themeShade="A6"/>
              <w:bottom w:val="single" w:sz="4" w:space="0" w:color="A6A6A6" w:themeColor="background1" w:themeShade="A6"/>
            </w:tcBorders>
          </w:tcPr>
          <w:p w14:paraId="3597A9BA" w14:textId="77777777" w:rsidR="00FA7EBF" w:rsidRPr="007939DD" w:rsidRDefault="00FA7EBF" w:rsidP="007B207C">
            <w:pPr>
              <w:pStyle w:val="ARfintablebodybold"/>
              <w:rPr>
                <w:rStyle w:val="Strong"/>
                <w:bCs/>
              </w:rPr>
            </w:pPr>
            <w:r w:rsidRPr="007B22C8">
              <w:t>Financial assets</w:t>
            </w:r>
          </w:p>
        </w:tc>
      </w:tr>
      <w:tr w:rsidR="00FA7EBF" w:rsidRPr="007939DD" w14:paraId="7C0A6162" w14:textId="77777777" w:rsidTr="007B207C">
        <w:trPr>
          <w:cantSplit/>
        </w:trPr>
        <w:tc>
          <w:tcPr>
            <w:tcW w:w="6527" w:type="dxa"/>
            <w:tcBorders>
              <w:top w:val="single" w:sz="4" w:space="0" w:color="A6A6A6" w:themeColor="background1" w:themeShade="A6"/>
              <w:bottom w:val="single" w:sz="4" w:space="0" w:color="A6A6A6" w:themeColor="background1" w:themeShade="A6"/>
            </w:tcBorders>
          </w:tcPr>
          <w:p w14:paraId="24C6AFE2" w14:textId="77777777" w:rsidR="00FA7EBF" w:rsidRPr="007939DD" w:rsidRDefault="00FA7EBF" w:rsidP="007B207C">
            <w:pPr>
              <w:pStyle w:val="ARfintablebody"/>
              <w:rPr>
                <w:lang w:eastAsia="en-AU"/>
              </w:rPr>
            </w:pPr>
            <w:r w:rsidRPr="007B22C8">
              <w:t>Cash and deposits</w:t>
            </w:r>
          </w:p>
        </w:tc>
        <w:tc>
          <w:tcPr>
            <w:tcW w:w="852" w:type="dxa"/>
            <w:tcBorders>
              <w:top w:val="single" w:sz="4" w:space="0" w:color="A6A6A6" w:themeColor="background1" w:themeShade="A6"/>
              <w:bottom w:val="single" w:sz="4" w:space="0" w:color="A6A6A6" w:themeColor="background1" w:themeShade="A6"/>
            </w:tcBorders>
          </w:tcPr>
          <w:p w14:paraId="7556300A" w14:textId="77777777" w:rsidR="00FA7EBF" w:rsidRPr="007939DD" w:rsidRDefault="00FA7EBF" w:rsidP="007B207C">
            <w:pPr>
              <w:pStyle w:val="ARfintablebodyright"/>
              <w:rPr>
                <w:lang w:eastAsia="en-AU"/>
              </w:rPr>
            </w:pPr>
            <w:r w:rsidRPr="007B22C8">
              <w:t>7.3</w:t>
            </w:r>
          </w:p>
        </w:tc>
        <w:tc>
          <w:tcPr>
            <w:tcW w:w="1130" w:type="dxa"/>
            <w:tcBorders>
              <w:top w:val="single" w:sz="4" w:space="0" w:color="A6A6A6" w:themeColor="background1" w:themeShade="A6"/>
              <w:bottom w:val="single" w:sz="4" w:space="0" w:color="A6A6A6" w:themeColor="background1" w:themeShade="A6"/>
            </w:tcBorders>
            <w:shd w:val="clear" w:color="auto" w:fill="E7E6E6"/>
          </w:tcPr>
          <w:p w14:paraId="067DDFA8" w14:textId="77777777" w:rsidR="00FA7EBF" w:rsidRPr="007939DD" w:rsidRDefault="00FA7EBF" w:rsidP="007B207C">
            <w:pPr>
              <w:pStyle w:val="ARfintablebodyright"/>
              <w:rPr>
                <w:lang w:eastAsia="en-AU"/>
              </w:rPr>
            </w:pPr>
            <w:r w:rsidRPr="007B22C8">
              <w:t>799.9</w:t>
            </w:r>
          </w:p>
        </w:tc>
        <w:tc>
          <w:tcPr>
            <w:tcW w:w="1130" w:type="dxa"/>
            <w:tcBorders>
              <w:top w:val="single" w:sz="4" w:space="0" w:color="A6A6A6" w:themeColor="background1" w:themeShade="A6"/>
              <w:bottom w:val="single" w:sz="4" w:space="0" w:color="A6A6A6" w:themeColor="background1" w:themeShade="A6"/>
            </w:tcBorders>
          </w:tcPr>
          <w:p w14:paraId="25F9D26D" w14:textId="77777777" w:rsidR="00FA7EBF" w:rsidRPr="007939DD" w:rsidRDefault="00FA7EBF" w:rsidP="007B207C">
            <w:pPr>
              <w:pStyle w:val="ARfintablebodyright"/>
              <w:rPr>
                <w:lang w:eastAsia="en-AU"/>
              </w:rPr>
            </w:pPr>
            <w:r w:rsidRPr="007B22C8">
              <w:t>383.2</w:t>
            </w:r>
          </w:p>
        </w:tc>
      </w:tr>
      <w:tr w:rsidR="00FA7EBF" w:rsidRPr="007939DD" w14:paraId="196F0CEE" w14:textId="77777777" w:rsidTr="007B207C">
        <w:trPr>
          <w:cantSplit/>
        </w:trPr>
        <w:tc>
          <w:tcPr>
            <w:tcW w:w="6527" w:type="dxa"/>
            <w:tcBorders>
              <w:top w:val="single" w:sz="4" w:space="0" w:color="A6A6A6" w:themeColor="background1" w:themeShade="A6"/>
              <w:bottom w:val="single" w:sz="4" w:space="0" w:color="A6A6A6" w:themeColor="background1" w:themeShade="A6"/>
            </w:tcBorders>
          </w:tcPr>
          <w:p w14:paraId="3546D8E0" w14:textId="77777777" w:rsidR="00FA7EBF" w:rsidRPr="007939DD" w:rsidRDefault="00FA7EBF" w:rsidP="007B207C">
            <w:pPr>
              <w:pStyle w:val="ARfintablebody"/>
              <w:rPr>
                <w:lang w:eastAsia="en-AU"/>
              </w:rPr>
            </w:pPr>
            <w:r w:rsidRPr="007B22C8">
              <w:t>Receivables</w:t>
            </w:r>
          </w:p>
        </w:tc>
        <w:tc>
          <w:tcPr>
            <w:tcW w:w="852" w:type="dxa"/>
            <w:tcBorders>
              <w:top w:val="single" w:sz="4" w:space="0" w:color="A6A6A6" w:themeColor="background1" w:themeShade="A6"/>
              <w:bottom w:val="single" w:sz="4" w:space="0" w:color="A6A6A6" w:themeColor="background1" w:themeShade="A6"/>
            </w:tcBorders>
          </w:tcPr>
          <w:p w14:paraId="79FACEFB" w14:textId="77777777" w:rsidR="00FA7EBF" w:rsidRPr="007939DD" w:rsidRDefault="00FA7EBF" w:rsidP="007B207C">
            <w:pPr>
              <w:pStyle w:val="ARfintablebodyright"/>
              <w:rPr>
                <w:lang w:eastAsia="en-AU"/>
              </w:rPr>
            </w:pPr>
            <w:r w:rsidRPr="007B22C8">
              <w:t>6.1</w:t>
            </w:r>
          </w:p>
        </w:tc>
        <w:tc>
          <w:tcPr>
            <w:tcW w:w="1130" w:type="dxa"/>
            <w:tcBorders>
              <w:top w:val="single" w:sz="4" w:space="0" w:color="A6A6A6" w:themeColor="background1" w:themeShade="A6"/>
              <w:bottom w:val="single" w:sz="4" w:space="0" w:color="A6A6A6" w:themeColor="background1" w:themeShade="A6"/>
            </w:tcBorders>
            <w:shd w:val="clear" w:color="auto" w:fill="E7E6E6"/>
          </w:tcPr>
          <w:p w14:paraId="25E36992" w14:textId="77777777" w:rsidR="00FA7EBF" w:rsidRPr="007939DD" w:rsidRDefault="00FA7EBF" w:rsidP="007B207C">
            <w:pPr>
              <w:pStyle w:val="ARfintablebodyright"/>
              <w:rPr>
                <w:lang w:eastAsia="en-AU"/>
              </w:rPr>
            </w:pPr>
            <w:r w:rsidRPr="007B22C8">
              <w:t>3,369.8</w:t>
            </w:r>
          </w:p>
        </w:tc>
        <w:tc>
          <w:tcPr>
            <w:tcW w:w="1130" w:type="dxa"/>
            <w:tcBorders>
              <w:top w:val="single" w:sz="4" w:space="0" w:color="A6A6A6" w:themeColor="background1" w:themeShade="A6"/>
              <w:bottom w:val="single" w:sz="4" w:space="0" w:color="A6A6A6" w:themeColor="background1" w:themeShade="A6"/>
            </w:tcBorders>
          </w:tcPr>
          <w:p w14:paraId="2055DF95" w14:textId="77777777" w:rsidR="00FA7EBF" w:rsidRPr="007939DD" w:rsidRDefault="00FA7EBF" w:rsidP="007B207C">
            <w:pPr>
              <w:pStyle w:val="ARfintablebodyright"/>
              <w:rPr>
                <w:lang w:eastAsia="en-AU"/>
              </w:rPr>
            </w:pPr>
            <w:r w:rsidRPr="007B22C8">
              <w:t>2,984.5</w:t>
            </w:r>
          </w:p>
        </w:tc>
      </w:tr>
      <w:tr w:rsidR="00FA7EBF" w:rsidRPr="007939DD" w14:paraId="49AEB4C0" w14:textId="77777777" w:rsidTr="007B207C">
        <w:trPr>
          <w:cantSplit/>
        </w:trPr>
        <w:tc>
          <w:tcPr>
            <w:tcW w:w="6527" w:type="dxa"/>
            <w:tcBorders>
              <w:top w:val="single" w:sz="4" w:space="0" w:color="A6A6A6" w:themeColor="background1" w:themeShade="A6"/>
              <w:bottom w:val="single" w:sz="4" w:space="0" w:color="A6A6A6" w:themeColor="background1" w:themeShade="A6"/>
            </w:tcBorders>
          </w:tcPr>
          <w:p w14:paraId="544FC9F8" w14:textId="77777777" w:rsidR="00FA7EBF" w:rsidRPr="007939DD" w:rsidRDefault="00FA7EBF" w:rsidP="007B207C">
            <w:pPr>
              <w:pStyle w:val="ARfintablebody"/>
              <w:rPr>
                <w:lang w:eastAsia="en-AU"/>
              </w:rPr>
            </w:pPr>
            <w:r w:rsidRPr="007B22C8">
              <w:t>Loans</w:t>
            </w:r>
          </w:p>
        </w:tc>
        <w:tc>
          <w:tcPr>
            <w:tcW w:w="852" w:type="dxa"/>
            <w:tcBorders>
              <w:top w:val="single" w:sz="4" w:space="0" w:color="A6A6A6" w:themeColor="background1" w:themeShade="A6"/>
              <w:bottom w:val="single" w:sz="4" w:space="0" w:color="A6A6A6" w:themeColor="background1" w:themeShade="A6"/>
            </w:tcBorders>
          </w:tcPr>
          <w:p w14:paraId="14042230" w14:textId="77777777" w:rsidR="00FA7EBF" w:rsidRPr="007939DD" w:rsidRDefault="00FA7EBF" w:rsidP="007B207C">
            <w:pPr>
              <w:pStyle w:val="ARfintablebodyright"/>
              <w:rPr>
                <w:lang w:eastAsia="en-AU"/>
              </w:rPr>
            </w:pPr>
            <w:r w:rsidRPr="007B22C8">
              <w:t>6.2</w:t>
            </w:r>
          </w:p>
        </w:tc>
        <w:tc>
          <w:tcPr>
            <w:tcW w:w="1130" w:type="dxa"/>
            <w:tcBorders>
              <w:top w:val="single" w:sz="4" w:space="0" w:color="A6A6A6" w:themeColor="background1" w:themeShade="A6"/>
              <w:bottom w:val="single" w:sz="4" w:space="0" w:color="A6A6A6" w:themeColor="background1" w:themeShade="A6"/>
            </w:tcBorders>
            <w:shd w:val="clear" w:color="auto" w:fill="E7E6E6"/>
          </w:tcPr>
          <w:p w14:paraId="7DA03EE9" w14:textId="77777777" w:rsidR="00FA7EBF" w:rsidRPr="007939DD" w:rsidRDefault="00FA7EBF" w:rsidP="007B207C">
            <w:pPr>
              <w:pStyle w:val="ARfintablebodyright"/>
              <w:rPr>
                <w:lang w:eastAsia="en-AU"/>
              </w:rPr>
            </w:pPr>
            <w:r w:rsidRPr="007B22C8">
              <w:t>94.9</w:t>
            </w:r>
          </w:p>
        </w:tc>
        <w:tc>
          <w:tcPr>
            <w:tcW w:w="1130" w:type="dxa"/>
            <w:tcBorders>
              <w:top w:val="single" w:sz="4" w:space="0" w:color="A6A6A6" w:themeColor="background1" w:themeShade="A6"/>
              <w:bottom w:val="single" w:sz="4" w:space="0" w:color="A6A6A6" w:themeColor="background1" w:themeShade="A6"/>
            </w:tcBorders>
          </w:tcPr>
          <w:p w14:paraId="079A68AF" w14:textId="77777777" w:rsidR="00FA7EBF" w:rsidRPr="007939DD" w:rsidRDefault="00FA7EBF" w:rsidP="007B207C">
            <w:pPr>
              <w:pStyle w:val="ARfintablebodyright"/>
              <w:rPr>
                <w:lang w:eastAsia="en-AU"/>
              </w:rPr>
            </w:pPr>
            <w:r w:rsidRPr="007B22C8">
              <w:t>105.7</w:t>
            </w:r>
          </w:p>
        </w:tc>
      </w:tr>
      <w:tr w:rsidR="00FA7EBF" w:rsidRPr="007939DD" w14:paraId="1B4C126B" w14:textId="77777777" w:rsidTr="007B207C">
        <w:trPr>
          <w:cantSplit/>
        </w:trPr>
        <w:tc>
          <w:tcPr>
            <w:tcW w:w="6527" w:type="dxa"/>
            <w:tcBorders>
              <w:top w:val="single" w:sz="4" w:space="0" w:color="A6A6A6" w:themeColor="background1" w:themeShade="A6"/>
            </w:tcBorders>
          </w:tcPr>
          <w:p w14:paraId="4E5905E9" w14:textId="77777777" w:rsidR="00FA7EBF" w:rsidRPr="007939DD" w:rsidRDefault="00FA7EBF" w:rsidP="007B207C">
            <w:pPr>
              <w:pStyle w:val="ARfintablebody"/>
              <w:rPr>
                <w:lang w:eastAsia="en-AU"/>
              </w:rPr>
            </w:pPr>
            <w:r w:rsidRPr="007B22C8">
              <w:t>Short-term investments – term deposits</w:t>
            </w:r>
          </w:p>
        </w:tc>
        <w:tc>
          <w:tcPr>
            <w:tcW w:w="852" w:type="dxa"/>
            <w:tcBorders>
              <w:top w:val="single" w:sz="4" w:space="0" w:color="A6A6A6" w:themeColor="background1" w:themeShade="A6"/>
            </w:tcBorders>
          </w:tcPr>
          <w:p w14:paraId="4844A585" w14:textId="77777777" w:rsidR="00FA7EBF" w:rsidRPr="007939DD" w:rsidRDefault="00FA7EBF" w:rsidP="007B207C">
            <w:pPr>
              <w:pStyle w:val="ARfintablebodyright"/>
              <w:rPr>
                <w:lang w:eastAsia="en-AU"/>
              </w:rPr>
            </w:pPr>
            <w:r w:rsidRPr="007B22C8">
              <w:t>5.4</w:t>
            </w:r>
          </w:p>
        </w:tc>
        <w:tc>
          <w:tcPr>
            <w:tcW w:w="1130" w:type="dxa"/>
            <w:tcBorders>
              <w:top w:val="single" w:sz="4" w:space="0" w:color="A6A6A6" w:themeColor="background1" w:themeShade="A6"/>
            </w:tcBorders>
            <w:shd w:val="clear" w:color="auto" w:fill="E7E6E6"/>
          </w:tcPr>
          <w:p w14:paraId="0C8EAC0C" w14:textId="77777777" w:rsidR="00FA7EBF" w:rsidRPr="007939DD" w:rsidRDefault="00FA7EBF" w:rsidP="007B207C">
            <w:pPr>
              <w:pStyle w:val="ARfintablebodyright"/>
              <w:rPr>
                <w:lang w:eastAsia="en-AU"/>
              </w:rPr>
            </w:pPr>
            <w:r w:rsidRPr="007B22C8">
              <w:t>100.0</w:t>
            </w:r>
          </w:p>
        </w:tc>
        <w:tc>
          <w:tcPr>
            <w:tcW w:w="1130" w:type="dxa"/>
            <w:tcBorders>
              <w:top w:val="single" w:sz="4" w:space="0" w:color="A6A6A6" w:themeColor="background1" w:themeShade="A6"/>
            </w:tcBorders>
          </w:tcPr>
          <w:p w14:paraId="586AFBD5" w14:textId="77777777" w:rsidR="00FA7EBF" w:rsidRPr="007939DD" w:rsidRDefault="00FA7EBF" w:rsidP="007B207C">
            <w:pPr>
              <w:pStyle w:val="ARfintablebodyright"/>
              <w:rPr>
                <w:lang w:eastAsia="en-AU"/>
              </w:rPr>
            </w:pPr>
            <w:r w:rsidRPr="007B22C8">
              <w:t>534.8</w:t>
            </w:r>
          </w:p>
        </w:tc>
      </w:tr>
      <w:tr w:rsidR="00FA7EBF" w:rsidRPr="007939DD" w14:paraId="19118026" w14:textId="77777777" w:rsidTr="007B207C">
        <w:trPr>
          <w:cantSplit/>
        </w:trPr>
        <w:tc>
          <w:tcPr>
            <w:tcW w:w="6527" w:type="dxa"/>
          </w:tcPr>
          <w:p w14:paraId="506B45E6" w14:textId="77777777" w:rsidR="00FA7EBF" w:rsidRPr="007939DD" w:rsidRDefault="00FA7EBF" w:rsidP="007B207C">
            <w:pPr>
              <w:pStyle w:val="ARfintablebodybold"/>
              <w:rPr>
                <w:lang w:eastAsia="en-AU"/>
              </w:rPr>
            </w:pPr>
            <w:r w:rsidRPr="007B22C8">
              <w:t>Total financial assets</w:t>
            </w:r>
          </w:p>
        </w:tc>
        <w:tc>
          <w:tcPr>
            <w:tcW w:w="852" w:type="dxa"/>
          </w:tcPr>
          <w:p w14:paraId="3E6556C8" w14:textId="77777777" w:rsidR="00FA7EBF" w:rsidRPr="007939DD" w:rsidRDefault="00FA7EBF" w:rsidP="007B207C">
            <w:pPr>
              <w:pStyle w:val="ARfintablebodyright"/>
              <w:rPr>
                <w:rStyle w:val="Strong"/>
                <w:bCs w:val="0"/>
              </w:rPr>
            </w:pPr>
          </w:p>
        </w:tc>
        <w:tc>
          <w:tcPr>
            <w:tcW w:w="1130" w:type="dxa"/>
            <w:shd w:val="clear" w:color="auto" w:fill="E7E6E6"/>
          </w:tcPr>
          <w:p w14:paraId="50BF0268" w14:textId="77777777" w:rsidR="00FA7EBF" w:rsidRPr="007939DD" w:rsidRDefault="00FA7EBF" w:rsidP="007B207C">
            <w:pPr>
              <w:pStyle w:val="ARfintablebodyrightbold"/>
              <w:rPr>
                <w:lang w:eastAsia="en-AU"/>
              </w:rPr>
            </w:pPr>
            <w:r w:rsidRPr="007B22C8">
              <w:t>4,364.6</w:t>
            </w:r>
          </w:p>
        </w:tc>
        <w:tc>
          <w:tcPr>
            <w:tcW w:w="1130" w:type="dxa"/>
          </w:tcPr>
          <w:p w14:paraId="4ACC421F" w14:textId="77777777" w:rsidR="00FA7EBF" w:rsidRPr="007939DD" w:rsidRDefault="00FA7EBF" w:rsidP="007B207C">
            <w:pPr>
              <w:pStyle w:val="ARfintablebodyrightbold"/>
              <w:rPr>
                <w:rStyle w:val="Strong"/>
                <w:bCs w:val="0"/>
              </w:rPr>
            </w:pPr>
            <w:r w:rsidRPr="007B22C8">
              <w:t>4,008.1</w:t>
            </w:r>
          </w:p>
        </w:tc>
      </w:tr>
      <w:tr w:rsidR="00FA7EBF" w:rsidRPr="007939DD" w14:paraId="4535B603" w14:textId="77777777" w:rsidTr="007B207C">
        <w:trPr>
          <w:cantSplit/>
        </w:trPr>
        <w:tc>
          <w:tcPr>
            <w:tcW w:w="9639" w:type="dxa"/>
            <w:gridSpan w:val="4"/>
            <w:tcBorders>
              <w:bottom w:val="single" w:sz="4" w:space="0" w:color="A6A6A6" w:themeColor="background1" w:themeShade="A6"/>
            </w:tcBorders>
          </w:tcPr>
          <w:p w14:paraId="4F6DDFF6" w14:textId="77777777" w:rsidR="00FA7EBF" w:rsidRPr="007939DD" w:rsidRDefault="00FA7EBF" w:rsidP="007B207C">
            <w:pPr>
              <w:pStyle w:val="ARfintablebodybold"/>
              <w:rPr>
                <w:lang w:eastAsia="en-AU"/>
              </w:rPr>
            </w:pPr>
            <w:r w:rsidRPr="007B22C8">
              <w:t>Non-financial assets</w:t>
            </w:r>
          </w:p>
        </w:tc>
      </w:tr>
      <w:tr w:rsidR="00FA7EBF" w:rsidRPr="007939DD" w14:paraId="137FA150" w14:textId="77777777" w:rsidTr="007B207C">
        <w:trPr>
          <w:cantSplit/>
        </w:trPr>
        <w:tc>
          <w:tcPr>
            <w:tcW w:w="6527" w:type="dxa"/>
            <w:tcBorders>
              <w:top w:val="single" w:sz="4" w:space="0" w:color="A6A6A6" w:themeColor="background1" w:themeShade="A6"/>
              <w:bottom w:val="single" w:sz="4" w:space="0" w:color="A6A6A6" w:themeColor="background1" w:themeShade="A6"/>
            </w:tcBorders>
          </w:tcPr>
          <w:p w14:paraId="38945C2B" w14:textId="77777777" w:rsidR="00FA7EBF" w:rsidRPr="007939DD" w:rsidRDefault="00FA7EBF" w:rsidP="007B207C">
            <w:pPr>
              <w:pStyle w:val="ARfintablebody"/>
              <w:rPr>
                <w:lang w:eastAsia="en-AU"/>
              </w:rPr>
            </w:pPr>
            <w:r w:rsidRPr="007B22C8">
              <w:t>Non-financial physical assets classified as held for sale</w:t>
            </w:r>
          </w:p>
        </w:tc>
        <w:tc>
          <w:tcPr>
            <w:tcW w:w="852" w:type="dxa"/>
            <w:tcBorders>
              <w:top w:val="single" w:sz="4" w:space="0" w:color="A6A6A6" w:themeColor="background1" w:themeShade="A6"/>
              <w:bottom w:val="single" w:sz="4" w:space="0" w:color="A6A6A6" w:themeColor="background1" w:themeShade="A6"/>
            </w:tcBorders>
          </w:tcPr>
          <w:p w14:paraId="2EA0B79D" w14:textId="77777777" w:rsidR="00FA7EBF" w:rsidRPr="007939DD" w:rsidRDefault="00FA7EBF" w:rsidP="007B207C">
            <w:pPr>
              <w:pStyle w:val="ARfintablebodyright"/>
              <w:rPr>
                <w:lang w:eastAsia="en-AU"/>
              </w:rPr>
            </w:pPr>
            <w:r w:rsidRPr="007B22C8">
              <w:t>9.3</w:t>
            </w:r>
          </w:p>
        </w:tc>
        <w:tc>
          <w:tcPr>
            <w:tcW w:w="1130" w:type="dxa"/>
            <w:tcBorders>
              <w:top w:val="single" w:sz="4" w:space="0" w:color="A6A6A6" w:themeColor="background1" w:themeShade="A6"/>
              <w:bottom w:val="single" w:sz="4" w:space="0" w:color="A6A6A6" w:themeColor="background1" w:themeShade="A6"/>
            </w:tcBorders>
            <w:shd w:val="clear" w:color="auto" w:fill="E7E6E6"/>
          </w:tcPr>
          <w:p w14:paraId="66B0BB47" w14:textId="77777777" w:rsidR="00FA7EBF" w:rsidRPr="007939DD" w:rsidRDefault="00FA7EBF" w:rsidP="007B207C">
            <w:pPr>
              <w:pStyle w:val="ARfintablebodyright"/>
              <w:rPr>
                <w:lang w:eastAsia="en-AU"/>
              </w:rPr>
            </w:pPr>
            <w:r w:rsidRPr="007B22C8">
              <w:t>31.2</w:t>
            </w:r>
          </w:p>
        </w:tc>
        <w:tc>
          <w:tcPr>
            <w:tcW w:w="1130" w:type="dxa"/>
            <w:tcBorders>
              <w:top w:val="single" w:sz="4" w:space="0" w:color="A6A6A6" w:themeColor="background1" w:themeShade="A6"/>
              <w:bottom w:val="single" w:sz="4" w:space="0" w:color="A6A6A6" w:themeColor="background1" w:themeShade="A6"/>
            </w:tcBorders>
          </w:tcPr>
          <w:p w14:paraId="250D8A4E" w14:textId="77777777" w:rsidR="00FA7EBF" w:rsidRPr="007939DD" w:rsidRDefault="00FA7EBF" w:rsidP="007B207C">
            <w:pPr>
              <w:pStyle w:val="ARfintablebodyright"/>
              <w:rPr>
                <w:lang w:eastAsia="en-AU"/>
              </w:rPr>
            </w:pPr>
            <w:r w:rsidRPr="007B22C8">
              <w:t>31.7</w:t>
            </w:r>
          </w:p>
        </w:tc>
      </w:tr>
      <w:tr w:rsidR="00FA7EBF" w:rsidRPr="007939DD" w14:paraId="1EA9813C" w14:textId="77777777" w:rsidTr="007B207C">
        <w:trPr>
          <w:cantSplit/>
        </w:trPr>
        <w:tc>
          <w:tcPr>
            <w:tcW w:w="6527" w:type="dxa"/>
            <w:tcBorders>
              <w:top w:val="single" w:sz="4" w:space="0" w:color="A6A6A6" w:themeColor="background1" w:themeShade="A6"/>
              <w:bottom w:val="single" w:sz="4" w:space="0" w:color="A6A6A6" w:themeColor="background1" w:themeShade="A6"/>
            </w:tcBorders>
          </w:tcPr>
          <w:p w14:paraId="225C3EC6" w14:textId="77777777" w:rsidR="00FA7EBF" w:rsidRPr="007939DD" w:rsidRDefault="00FA7EBF" w:rsidP="007B207C">
            <w:pPr>
              <w:pStyle w:val="ARfintablebody"/>
              <w:rPr>
                <w:lang w:eastAsia="en-AU"/>
              </w:rPr>
            </w:pPr>
            <w:r w:rsidRPr="007B22C8">
              <w:t>Property, plant and equipment</w:t>
            </w:r>
          </w:p>
        </w:tc>
        <w:tc>
          <w:tcPr>
            <w:tcW w:w="852" w:type="dxa"/>
            <w:tcBorders>
              <w:top w:val="single" w:sz="4" w:space="0" w:color="A6A6A6" w:themeColor="background1" w:themeShade="A6"/>
              <w:bottom w:val="single" w:sz="4" w:space="0" w:color="A6A6A6" w:themeColor="background1" w:themeShade="A6"/>
            </w:tcBorders>
          </w:tcPr>
          <w:p w14:paraId="47E0FB0F" w14:textId="77777777" w:rsidR="00FA7EBF" w:rsidRPr="007939DD" w:rsidRDefault="00FA7EBF" w:rsidP="007B207C">
            <w:pPr>
              <w:pStyle w:val="ARfintablebodyright"/>
              <w:rPr>
                <w:lang w:eastAsia="en-AU"/>
              </w:rPr>
            </w:pPr>
            <w:r w:rsidRPr="007B22C8">
              <w:t>5.1</w:t>
            </w:r>
          </w:p>
        </w:tc>
        <w:tc>
          <w:tcPr>
            <w:tcW w:w="1130" w:type="dxa"/>
            <w:tcBorders>
              <w:top w:val="single" w:sz="4" w:space="0" w:color="A6A6A6" w:themeColor="background1" w:themeShade="A6"/>
              <w:bottom w:val="single" w:sz="4" w:space="0" w:color="A6A6A6" w:themeColor="background1" w:themeShade="A6"/>
            </w:tcBorders>
            <w:shd w:val="clear" w:color="auto" w:fill="E7E6E6"/>
          </w:tcPr>
          <w:p w14:paraId="1D0C5315" w14:textId="77777777" w:rsidR="00FA7EBF" w:rsidRPr="007939DD" w:rsidRDefault="00FA7EBF" w:rsidP="007B207C">
            <w:pPr>
              <w:pStyle w:val="ARfintablebodyright"/>
              <w:rPr>
                <w:lang w:eastAsia="en-AU"/>
              </w:rPr>
            </w:pPr>
            <w:r w:rsidRPr="007B22C8">
              <w:t>28,818.2</w:t>
            </w:r>
          </w:p>
        </w:tc>
        <w:tc>
          <w:tcPr>
            <w:tcW w:w="1130" w:type="dxa"/>
            <w:tcBorders>
              <w:top w:val="single" w:sz="4" w:space="0" w:color="A6A6A6" w:themeColor="background1" w:themeShade="A6"/>
              <w:bottom w:val="single" w:sz="4" w:space="0" w:color="A6A6A6" w:themeColor="background1" w:themeShade="A6"/>
            </w:tcBorders>
          </w:tcPr>
          <w:p w14:paraId="7CDBFDEE" w14:textId="77777777" w:rsidR="00FA7EBF" w:rsidRPr="007939DD" w:rsidRDefault="00FA7EBF" w:rsidP="007B207C">
            <w:pPr>
              <w:pStyle w:val="ARfintablebodyright"/>
              <w:rPr>
                <w:lang w:eastAsia="en-AU"/>
              </w:rPr>
            </w:pPr>
            <w:r w:rsidRPr="007B22C8">
              <w:t>30,199.3</w:t>
            </w:r>
          </w:p>
        </w:tc>
      </w:tr>
      <w:tr w:rsidR="00FA7EBF" w:rsidRPr="007939DD" w14:paraId="44B30DC6" w14:textId="77777777" w:rsidTr="007B207C">
        <w:trPr>
          <w:cantSplit/>
        </w:trPr>
        <w:tc>
          <w:tcPr>
            <w:tcW w:w="6527" w:type="dxa"/>
            <w:tcBorders>
              <w:top w:val="single" w:sz="4" w:space="0" w:color="A6A6A6" w:themeColor="background1" w:themeShade="A6"/>
              <w:bottom w:val="single" w:sz="4" w:space="0" w:color="A6A6A6" w:themeColor="background1" w:themeShade="A6"/>
            </w:tcBorders>
          </w:tcPr>
          <w:p w14:paraId="67CF9251" w14:textId="77777777" w:rsidR="00FA7EBF" w:rsidRPr="007939DD" w:rsidRDefault="00FA7EBF" w:rsidP="007B207C">
            <w:pPr>
              <w:pStyle w:val="ARfintablebody"/>
              <w:rPr>
                <w:lang w:eastAsia="en-AU"/>
              </w:rPr>
            </w:pPr>
            <w:r w:rsidRPr="007B22C8">
              <w:t>Intangible assets</w:t>
            </w:r>
          </w:p>
        </w:tc>
        <w:tc>
          <w:tcPr>
            <w:tcW w:w="852" w:type="dxa"/>
            <w:tcBorders>
              <w:top w:val="single" w:sz="4" w:space="0" w:color="A6A6A6" w:themeColor="background1" w:themeShade="A6"/>
              <w:bottom w:val="single" w:sz="4" w:space="0" w:color="A6A6A6" w:themeColor="background1" w:themeShade="A6"/>
            </w:tcBorders>
          </w:tcPr>
          <w:p w14:paraId="212D1E1F" w14:textId="77777777" w:rsidR="00FA7EBF" w:rsidRPr="007939DD" w:rsidRDefault="00FA7EBF" w:rsidP="007B207C">
            <w:pPr>
              <w:pStyle w:val="ARfintablebodyright"/>
              <w:rPr>
                <w:lang w:eastAsia="en-AU"/>
              </w:rPr>
            </w:pPr>
            <w:r w:rsidRPr="007B22C8">
              <w:t>5.2</w:t>
            </w:r>
          </w:p>
        </w:tc>
        <w:tc>
          <w:tcPr>
            <w:tcW w:w="1130" w:type="dxa"/>
            <w:tcBorders>
              <w:top w:val="single" w:sz="4" w:space="0" w:color="A6A6A6" w:themeColor="background1" w:themeShade="A6"/>
              <w:bottom w:val="single" w:sz="4" w:space="0" w:color="A6A6A6" w:themeColor="background1" w:themeShade="A6"/>
            </w:tcBorders>
            <w:shd w:val="clear" w:color="auto" w:fill="E7E6E6"/>
          </w:tcPr>
          <w:p w14:paraId="5AE945EE" w14:textId="77777777" w:rsidR="00FA7EBF" w:rsidRPr="007939DD" w:rsidRDefault="00FA7EBF" w:rsidP="007B207C">
            <w:pPr>
              <w:pStyle w:val="ARfintablebodyright"/>
              <w:rPr>
                <w:lang w:eastAsia="en-AU"/>
              </w:rPr>
            </w:pPr>
            <w:r w:rsidRPr="007B22C8">
              <w:t>108.4</w:t>
            </w:r>
          </w:p>
        </w:tc>
        <w:tc>
          <w:tcPr>
            <w:tcW w:w="1130" w:type="dxa"/>
            <w:tcBorders>
              <w:top w:val="single" w:sz="4" w:space="0" w:color="A6A6A6" w:themeColor="background1" w:themeShade="A6"/>
              <w:bottom w:val="single" w:sz="4" w:space="0" w:color="A6A6A6" w:themeColor="background1" w:themeShade="A6"/>
            </w:tcBorders>
          </w:tcPr>
          <w:p w14:paraId="422C9DEB" w14:textId="77777777" w:rsidR="00FA7EBF" w:rsidRPr="007939DD" w:rsidRDefault="00FA7EBF" w:rsidP="007B207C">
            <w:pPr>
              <w:pStyle w:val="ARfintablebodyright"/>
              <w:rPr>
                <w:lang w:eastAsia="en-AU"/>
              </w:rPr>
            </w:pPr>
            <w:r w:rsidRPr="007B22C8">
              <w:t>76.6</w:t>
            </w:r>
          </w:p>
        </w:tc>
      </w:tr>
      <w:tr w:rsidR="00FA7EBF" w:rsidRPr="007939DD" w14:paraId="12CF7E88" w14:textId="77777777" w:rsidTr="007B207C">
        <w:trPr>
          <w:cantSplit/>
        </w:trPr>
        <w:tc>
          <w:tcPr>
            <w:tcW w:w="6527" w:type="dxa"/>
            <w:tcBorders>
              <w:top w:val="single" w:sz="4" w:space="0" w:color="A6A6A6" w:themeColor="background1" w:themeShade="A6"/>
              <w:bottom w:val="single" w:sz="4" w:space="0" w:color="A6A6A6" w:themeColor="background1" w:themeShade="A6"/>
            </w:tcBorders>
          </w:tcPr>
          <w:p w14:paraId="242430C2" w14:textId="77777777" w:rsidR="00FA7EBF" w:rsidRPr="007939DD" w:rsidRDefault="00FA7EBF" w:rsidP="007B207C">
            <w:pPr>
              <w:pStyle w:val="ARfintablebody"/>
              <w:rPr>
                <w:lang w:eastAsia="en-AU"/>
              </w:rPr>
            </w:pPr>
            <w:r w:rsidRPr="007B22C8">
              <w:t>Investments accounted for using the equity method</w:t>
            </w:r>
          </w:p>
        </w:tc>
        <w:tc>
          <w:tcPr>
            <w:tcW w:w="852" w:type="dxa"/>
            <w:tcBorders>
              <w:top w:val="single" w:sz="4" w:space="0" w:color="A6A6A6" w:themeColor="background1" w:themeShade="A6"/>
              <w:bottom w:val="single" w:sz="4" w:space="0" w:color="A6A6A6" w:themeColor="background1" w:themeShade="A6"/>
            </w:tcBorders>
          </w:tcPr>
          <w:p w14:paraId="1B6F556D" w14:textId="77777777" w:rsidR="00FA7EBF" w:rsidRPr="007939DD" w:rsidRDefault="00FA7EBF" w:rsidP="007B207C">
            <w:pPr>
              <w:pStyle w:val="ARfintablebodyright"/>
              <w:rPr>
                <w:lang w:eastAsia="en-AU"/>
              </w:rPr>
            </w:pPr>
            <w:r w:rsidRPr="007B22C8">
              <w:t>5.3</w:t>
            </w:r>
          </w:p>
        </w:tc>
        <w:tc>
          <w:tcPr>
            <w:tcW w:w="1130" w:type="dxa"/>
            <w:tcBorders>
              <w:top w:val="single" w:sz="4" w:space="0" w:color="A6A6A6" w:themeColor="background1" w:themeShade="A6"/>
              <w:bottom w:val="single" w:sz="4" w:space="0" w:color="A6A6A6" w:themeColor="background1" w:themeShade="A6"/>
            </w:tcBorders>
            <w:shd w:val="clear" w:color="auto" w:fill="E7E6E6"/>
          </w:tcPr>
          <w:p w14:paraId="192CED00" w14:textId="77777777" w:rsidR="00FA7EBF" w:rsidRPr="007939DD" w:rsidRDefault="00FA7EBF" w:rsidP="007B207C">
            <w:pPr>
              <w:pStyle w:val="ARfintablebodyright"/>
              <w:rPr>
                <w:lang w:eastAsia="en-AU"/>
              </w:rPr>
            </w:pPr>
            <w:r w:rsidRPr="007B22C8">
              <w:t>35.0</w:t>
            </w:r>
          </w:p>
        </w:tc>
        <w:tc>
          <w:tcPr>
            <w:tcW w:w="1130" w:type="dxa"/>
            <w:tcBorders>
              <w:top w:val="single" w:sz="4" w:space="0" w:color="A6A6A6" w:themeColor="background1" w:themeShade="A6"/>
              <w:bottom w:val="single" w:sz="4" w:space="0" w:color="A6A6A6" w:themeColor="background1" w:themeShade="A6"/>
            </w:tcBorders>
          </w:tcPr>
          <w:p w14:paraId="6B8CC787" w14:textId="77777777" w:rsidR="00FA7EBF" w:rsidRPr="007939DD" w:rsidRDefault="00FA7EBF" w:rsidP="007B207C">
            <w:pPr>
              <w:pStyle w:val="ARfintablebodyright"/>
              <w:rPr>
                <w:lang w:eastAsia="en-AU"/>
              </w:rPr>
            </w:pPr>
            <w:r w:rsidRPr="007B22C8">
              <w:t>35.0</w:t>
            </w:r>
          </w:p>
        </w:tc>
      </w:tr>
      <w:tr w:rsidR="00FA7EBF" w:rsidRPr="007939DD" w14:paraId="4ABE95F7" w14:textId="77777777" w:rsidTr="007B207C">
        <w:trPr>
          <w:cantSplit/>
        </w:trPr>
        <w:tc>
          <w:tcPr>
            <w:tcW w:w="6527" w:type="dxa"/>
            <w:tcBorders>
              <w:top w:val="single" w:sz="4" w:space="0" w:color="A6A6A6" w:themeColor="background1" w:themeShade="A6"/>
            </w:tcBorders>
          </w:tcPr>
          <w:p w14:paraId="3D35DDE1" w14:textId="77777777" w:rsidR="00FA7EBF" w:rsidRPr="007939DD" w:rsidRDefault="00FA7EBF" w:rsidP="007B207C">
            <w:pPr>
              <w:pStyle w:val="ARfintablebody"/>
              <w:rPr>
                <w:lang w:eastAsia="en-AU"/>
              </w:rPr>
            </w:pPr>
            <w:r w:rsidRPr="007B22C8">
              <w:t>Prepayments</w:t>
            </w:r>
          </w:p>
        </w:tc>
        <w:tc>
          <w:tcPr>
            <w:tcW w:w="852" w:type="dxa"/>
            <w:tcBorders>
              <w:top w:val="single" w:sz="4" w:space="0" w:color="A6A6A6" w:themeColor="background1" w:themeShade="A6"/>
            </w:tcBorders>
          </w:tcPr>
          <w:p w14:paraId="568DDC99" w14:textId="77777777" w:rsidR="00FA7EBF" w:rsidRPr="007939DD" w:rsidRDefault="00FA7EBF" w:rsidP="007B207C">
            <w:pPr>
              <w:pStyle w:val="ARfintablebodyright"/>
              <w:rPr>
                <w:lang w:eastAsia="en-AU"/>
              </w:rPr>
            </w:pPr>
            <w:r w:rsidRPr="007B22C8">
              <w:t>6.3</w:t>
            </w:r>
          </w:p>
        </w:tc>
        <w:tc>
          <w:tcPr>
            <w:tcW w:w="1130" w:type="dxa"/>
            <w:tcBorders>
              <w:top w:val="single" w:sz="4" w:space="0" w:color="A6A6A6" w:themeColor="background1" w:themeShade="A6"/>
            </w:tcBorders>
            <w:shd w:val="clear" w:color="auto" w:fill="E7E6E6"/>
          </w:tcPr>
          <w:p w14:paraId="1B54CDF3" w14:textId="77777777" w:rsidR="00FA7EBF" w:rsidRPr="007939DD" w:rsidRDefault="00FA7EBF" w:rsidP="007B207C">
            <w:pPr>
              <w:pStyle w:val="ARfintablebodyright"/>
              <w:rPr>
                <w:lang w:eastAsia="en-AU"/>
              </w:rPr>
            </w:pPr>
            <w:r w:rsidRPr="007B22C8">
              <w:t>15.1</w:t>
            </w:r>
          </w:p>
        </w:tc>
        <w:tc>
          <w:tcPr>
            <w:tcW w:w="1130" w:type="dxa"/>
            <w:tcBorders>
              <w:top w:val="single" w:sz="4" w:space="0" w:color="A6A6A6" w:themeColor="background1" w:themeShade="A6"/>
            </w:tcBorders>
          </w:tcPr>
          <w:p w14:paraId="1F6D9A21" w14:textId="77777777" w:rsidR="00FA7EBF" w:rsidRPr="007939DD" w:rsidRDefault="00FA7EBF" w:rsidP="007B207C">
            <w:pPr>
              <w:pStyle w:val="ARfintablebodyright"/>
              <w:rPr>
                <w:lang w:eastAsia="en-AU"/>
              </w:rPr>
            </w:pPr>
            <w:r w:rsidRPr="007B22C8">
              <w:t>30.1</w:t>
            </w:r>
          </w:p>
        </w:tc>
      </w:tr>
      <w:tr w:rsidR="00FA7EBF" w:rsidRPr="007939DD" w14:paraId="08EE580C" w14:textId="77777777" w:rsidTr="007B207C">
        <w:trPr>
          <w:cantSplit/>
        </w:trPr>
        <w:tc>
          <w:tcPr>
            <w:tcW w:w="6527" w:type="dxa"/>
          </w:tcPr>
          <w:p w14:paraId="0C8C047E" w14:textId="77777777" w:rsidR="00FA7EBF" w:rsidRPr="007939DD" w:rsidRDefault="00FA7EBF" w:rsidP="007B207C">
            <w:pPr>
              <w:pStyle w:val="ARfintablebodybold"/>
              <w:rPr>
                <w:lang w:eastAsia="en-AU"/>
              </w:rPr>
            </w:pPr>
            <w:r w:rsidRPr="007B22C8">
              <w:t>Total non-financial assets</w:t>
            </w:r>
          </w:p>
        </w:tc>
        <w:tc>
          <w:tcPr>
            <w:tcW w:w="852" w:type="dxa"/>
          </w:tcPr>
          <w:p w14:paraId="72950E7E" w14:textId="77777777" w:rsidR="00FA7EBF" w:rsidRPr="007939DD" w:rsidRDefault="00FA7EBF" w:rsidP="007B207C">
            <w:pPr>
              <w:pStyle w:val="ARfintablebodyright"/>
              <w:rPr>
                <w:rStyle w:val="Strong"/>
                <w:bCs w:val="0"/>
              </w:rPr>
            </w:pPr>
          </w:p>
        </w:tc>
        <w:tc>
          <w:tcPr>
            <w:tcW w:w="1130" w:type="dxa"/>
            <w:shd w:val="clear" w:color="auto" w:fill="E7E6E6"/>
          </w:tcPr>
          <w:p w14:paraId="5B59E4DE" w14:textId="77777777" w:rsidR="00FA7EBF" w:rsidRPr="007939DD" w:rsidRDefault="00FA7EBF" w:rsidP="007B207C">
            <w:pPr>
              <w:pStyle w:val="ARfintablebodyrightbold"/>
              <w:rPr>
                <w:lang w:eastAsia="en-AU"/>
              </w:rPr>
            </w:pPr>
            <w:r w:rsidRPr="007B22C8">
              <w:t>29,007.8</w:t>
            </w:r>
          </w:p>
        </w:tc>
        <w:tc>
          <w:tcPr>
            <w:tcW w:w="1130" w:type="dxa"/>
          </w:tcPr>
          <w:p w14:paraId="22AE0479" w14:textId="77777777" w:rsidR="00FA7EBF" w:rsidRPr="007939DD" w:rsidRDefault="00FA7EBF" w:rsidP="007B207C">
            <w:pPr>
              <w:pStyle w:val="ARfintablebodyrightbold"/>
              <w:rPr>
                <w:rStyle w:val="Strong"/>
                <w:bCs w:val="0"/>
              </w:rPr>
            </w:pPr>
            <w:r w:rsidRPr="007B22C8">
              <w:t>30,372.6</w:t>
            </w:r>
          </w:p>
        </w:tc>
      </w:tr>
      <w:tr w:rsidR="00FA7EBF" w:rsidRPr="007939DD" w14:paraId="5E3A6B85" w14:textId="77777777" w:rsidTr="007B207C">
        <w:trPr>
          <w:cantSplit/>
        </w:trPr>
        <w:tc>
          <w:tcPr>
            <w:tcW w:w="6527" w:type="dxa"/>
          </w:tcPr>
          <w:p w14:paraId="3AB47FC7" w14:textId="77777777" w:rsidR="00FA7EBF" w:rsidRPr="007939DD" w:rsidRDefault="00FA7EBF" w:rsidP="007B207C">
            <w:pPr>
              <w:pStyle w:val="ARfintablebodybold"/>
              <w:rPr>
                <w:lang w:eastAsia="en-AU"/>
              </w:rPr>
            </w:pPr>
            <w:r w:rsidRPr="007B22C8">
              <w:t>Total assets</w:t>
            </w:r>
          </w:p>
        </w:tc>
        <w:tc>
          <w:tcPr>
            <w:tcW w:w="852" w:type="dxa"/>
          </w:tcPr>
          <w:p w14:paraId="3996D0B5" w14:textId="77777777" w:rsidR="00FA7EBF" w:rsidRPr="007939DD" w:rsidRDefault="00FA7EBF" w:rsidP="007B207C">
            <w:pPr>
              <w:pStyle w:val="ARfintablebodyright"/>
              <w:rPr>
                <w:rStyle w:val="Strong"/>
                <w:bCs w:val="0"/>
              </w:rPr>
            </w:pPr>
          </w:p>
        </w:tc>
        <w:tc>
          <w:tcPr>
            <w:tcW w:w="1130" w:type="dxa"/>
            <w:shd w:val="clear" w:color="auto" w:fill="E7E6E6"/>
          </w:tcPr>
          <w:p w14:paraId="69D17A4E" w14:textId="77777777" w:rsidR="00FA7EBF" w:rsidRPr="007939DD" w:rsidRDefault="00FA7EBF" w:rsidP="007B207C">
            <w:pPr>
              <w:pStyle w:val="ARfintablebodyrightbold"/>
              <w:rPr>
                <w:lang w:eastAsia="en-AU"/>
              </w:rPr>
            </w:pPr>
            <w:r w:rsidRPr="007B22C8">
              <w:t>33,372.5</w:t>
            </w:r>
          </w:p>
        </w:tc>
        <w:tc>
          <w:tcPr>
            <w:tcW w:w="1130" w:type="dxa"/>
          </w:tcPr>
          <w:p w14:paraId="244DF846" w14:textId="77777777" w:rsidR="00FA7EBF" w:rsidRPr="007939DD" w:rsidRDefault="00FA7EBF" w:rsidP="007B207C">
            <w:pPr>
              <w:pStyle w:val="ARfintablebodyrightbold"/>
              <w:rPr>
                <w:rStyle w:val="Strong"/>
                <w:bCs w:val="0"/>
              </w:rPr>
            </w:pPr>
            <w:r w:rsidRPr="007B22C8">
              <w:t>34,380.8</w:t>
            </w:r>
          </w:p>
        </w:tc>
      </w:tr>
      <w:tr w:rsidR="00FA7EBF" w:rsidRPr="007939DD" w14:paraId="49962C84" w14:textId="77777777" w:rsidTr="007B207C">
        <w:trPr>
          <w:cantSplit/>
        </w:trPr>
        <w:tc>
          <w:tcPr>
            <w:tcW w:w="9639" w:type="dxa"/>
            <w:gridSpan w:val="4"/>
            <w:tcBorders>
              <w:bottom w:val="single" w:sz="4" w:space="0" w:color="A6A6A6" w:themeColor="background1" w:themeShade="A6"/>
            </w:tcBorders>
          </w:tcPr>
          <w:p w14:paraId="023BC235" w14:textId="77777777" w:rsidR="00FA7EBF" w:rsidRPr="007939DD" w:rsidRDefault="00FA7EBF" w:rsidP="007B207C">
            <w:pPr>
              <w:pStyle w:val="ARfintablebodybold"/>
              <w:rPr>
                <w:lang w:eastAsia="en-AU"/>
              </w:rPr>
            </w:pPr>
            <w:r w:rsidRPr="007B22C8">
              <w:t>Liabilities</w:t>
            </w:r>
          </w:p>
        </w:tc>
      </w:tr>
      <w:tr w:rsidR="00FA7EBF" w:rsidRPr="007939DD" w14:paraId="1806012A" w14:textId="77777777" w:rsidTr="007B207C">
        <w:trPr>
          <w:cantSplit/>
        </w:trPr>
        <w:tc>
          <w:tcPr>
            <w:tcW w:w="6527" w:type="dxa"/>
            <w:tcBorders>
              <w:top w:val="single" w:sz="4" w:space="0" w:color="A6A6A6" w:themeColor="background1" w:themeShade="A6"/>
              <w:bottom w:val="single" w:sz="4" w:space="0" w:color="A6A6A6" w:themeColor="background1" w:themeShade="A6"/>
            </w:tcBorders>
          </w:tcPr>
          <w:p w14:paraId="2136A5D0" w14:textId="77777777" w:rsidR="00FA7EBF" w:rsidRPr="007939DD" w:rsidRDefault="00FA7EBF" w:rsidP="007B207C">
            <w:pPr>
              <w:pStyle w:val="ARfintablebody"/>
              <w:rPr>
                <w:lang w:eastAsia="en-AU"/>
              </w:rPr>
            </w:pPr>
            <w:r w:rsidRPr="007B22C8">
              <w:t>Payables</w:t>
            </w:r>
          </w:p>
        </w:tc>
        <w:tc>
          <w:tcPr>
            <w:tcW w:w="852" w:type="dxa"/>
            <w:tcBorders>
              <w:top w:val="single" w:sz="4" w:space="0" w:color="A6A6A6" w:themeColor="background1" w:themeShade="A6"/>
              <w:bottom w:val="single" w:sz="4" w:space="0" w:color="A6A6A6" w:themeColor="background1" w:themeShade="A6"/>
            </w:tcBorders>
          </w:tcPr>
          <w:p w14:paraId="4883EF95" w14:textId="77777777" w:rsidR="00FA7EBF" w:rsidRPr="007939DD" w:rsidRDefault="00FA7EBF" w:rsidP="007B207C">
            <w:pPr>
              <w:pStyle w:val="ARfintablebodyright"/>
              <w:rPr>
                <w:lang w:eastAsia="en-AU"/>
              </w:rPr>
            </w:pPr>
            <w:r w:rsidRPr="007B22C8">
              <w:t>6.4</w:t>
            </w:r>
          </w:p>
        </w:tc>
        <w:tc>
          <w:tcPr>
            <w:tcW w:w="1130" w:type="dxa"/>
            <w:tcBorders>
              <w:top w:val="single" w:sz="4" w:space="0" w:color="A6A6A6" w:themeColor="background1" w:themeShade="A6"/>
              <w:bottom w:val="single" w:sz="4" w:space="0" w:color="A6A6A6" w:themeColor="background1" w:themeShade="A6"/>
            </w:tcBorders>
            <w:shd w:val="clear" w:color="auto" w:fill="E7E6E6"/>
          </w:tcPr>
          <w:p w14:paraId="088B0ADD" w14:textId="77777777" w:rsidR="00FA7EBF" w:rsidRPr="007939DD" w:rsidRDefault="00FA7EBF" w:rsidP="007B207C">
            <w:pPr>
              <w:pStyle w:val="ARfintablebodyright"/>
              <w:rPr>
                <w:lang w:eastAsia="en-AU"/>
              </w:rPr>
            </w:pPr>
            <w:r w:rsidRPr="007B22C8">
              <w:t>1,513.7</w:t>
            </w:r>
          </w:p>
        </w:tc>
        <w:tc>
          <w:tcPr>
            <w:tcW w:w="1130" w:type="dxa"/>
            <w:tcBorders>
              <w:top w:val="single" w:sz="4" w:space="0" w:color="A6A6A6" w:themeColor="background1" w:themeShade="A6"/>
              <w:bottom w:val="single" w:sz="4" w:space="0" w:color="A6A6A6" w:themeColor="background1" w:themeShade="A6"/>
            </w:tcBorders>
          </w:tcPr>
          <w:p w14:paraId="592C6AB2" w14:textId="77777777" w:rsidR="00FA7EBF" w:rsidRPr="007939DD" w:rsidRDefault="00FA7EBF" w:rsidP="007B207C">
            <w:pPr>
              <w:pStyle w:val="ARfintablebodyright"/>
              <w:rPr>
                <w:lang w:eastAsia="en-AU"/>
              </w:rPr>
            </w:pPr>
            <w:r w:rsidRPr="007B22C8">
              <w:t>1,343.1</w:t>
            </w:r>
          </w:p>
        </w:tc>
      </w:tr>
      <w:tr w:rsidR="00FA7EBF" w:rsidRPr="007939DD" w14:paraId="5AB8F399" w14:textId="77777777" w:rsidTr="007B207C">
        <w:trPr>
          <w:cantSplit/>
        </w:trPr>
        <w:tc>
          <w:tcPr>
            <w:tcW w:w="6527" w:type="dxa"/>
            <w:tcBorders>
              <w:top w:val="single" w:sz="4" w:space="0" w:color="A6A6A6" w:themeColor="background1" w:themeShade="A6"/>
              <w:bottom w:val="single" w:sz="4" w:space="0" w:color="A6A6A6" w:themeColor="background1" w:themeShade="A6"/>
            </w:tcBorders>
          </w:tcPr>
          <w:p w14:paraId="39675B36" w14:textId="77777777" w:rsidR="00FA7EBF" w:rsidRPr="007939DD" w:rsidRDefault="00FA7EBF" w:rsidP="007B207C">
            <w:pPr>
              <w:pStyle w:val="ARfintablebody"/>
              <w:rPr>
                <w:lang w:eastAsia="en-AU"/>
              </w:rPr>
            </w:pPr>
            <w:r w:rsidRPr="007B22C8">
              <w:t>Borrowings</w:t>
            </w:r>
          </w:p>
        </w:tc>
        <w:tc>
          <w:tcPr>
            <w:tcW w:w="852" w:type="dxa"/>
            <w:tcBorders>
              <w:top w:val="single" w:sz="4" w:space="0" w:color="A6A6A6" w:themeColor="background1" w:themeShade="A6"/>
              <w:bottom w:val="single" w:sz="4" w:space="0" w:color="A6A6A6" w:themeColor="background1" w:themeShade="A6"/>
            </w:tcBorders>
          </w:tcPr>
          <w:p w14:paraId="4D22EDE0" w14:textId="77777777" w:rsidR="00FA7EBF" w:rsidRPr="007939DD" w:rsidRDefault="00FA7EBF" w:rsidP="007B207C">
            <w:pPr>
              <w:pStyle w:val="ARfintablebodyright"/>
              <w:rPr>
                <w:lang w:eastAsia="en-AU"/>
              </w:rPr>
            </w:pPr>
            <w:r w:rsidRPr="007B22C8">
              <w:t>7.1</w:t>
            </w:r>
          </w:p>
        </w:tc>
        <w:tc>
          <w:tcPr>
            <w:tcW w:w="1130" w:type="dxa"/>
            <w:tcBorders>
              <w:top w:val="single" w:sz="4" w:space="0" w:color="A6A6A6" w:themeColor="background1" w:themeShade="A6"/>
              <w:bottom w:val="single" w:sz="4" w:space="0" w:color="A6A6A6" w:themeColor="background1" w:themeShade="A6"/>
            </w:tcBorders>
            <w:shd w:val="clear" w:color="auto" w:fill="E7E6E6"/>
          </w:tcPr>
          <w:p w14:paraId="500C7A3F" w14:textId="77777777" w:rsidR="00FA7EBF" w:rsidRPr="007939DD" w:rsidRDefault="00FA7EBF" w:rsidP="007B207C">
            <w:pPr>
              <w:pStyle w:val="ARfintablebodyright"/>
              <w:rPr>
                <w:lang w:eastAsia="en-AU"/>
              </w:rPr>
            </w:pPr>
            <w:r w:rsidRPr="007B22C8">
              <w:t>112.8</w:t>
            </w:r>
          </w:p>
        </w:tc>
        <w:tc>
          <w:tcPr>
            <w:tcW w:w="1130" w:type="dxa"/>
            <w:tcBorders>
              <w:top w:val="single" w:sz="4" w:space="0" w:color="A6A6A6" w:themeColor="background1" w:themeShade="A6"/>
              <w:bottom w:val="single" w:sz="4" w:space="0" w:color="A6A6A6" w:themeColor="background1" w:themeShade="A6"/>
            </w:tcBorders>
          </w:tcPr>
          <w:p w14:paraId="09BAB4DB" w14:textId="77777777" w:rsidR="00FA7EBF" w:rsidRPr="007939DD" w:rsidRDefault="00FA7EBF" w:rsidP="007B207C">
            <w:pPr>
              <w:pStyle w:val="ARfintablebodyright"/>
              <w:rPr>
                <w:lang w:eastAsia="en-AU"/>
              </w:rPr>
            </w:pPr>
            <w:r w:rsidRPr="007B22C8">
              <w:t>135.1</w:t>
            </w:r>
          </w:p>
        </w:tc>
      </w:tr>
      <w:tr w:rsidR="00FA7EBF" w:rsidRPr="007939DD" w14:paraId="331F2825" w14:textId="77777777" w:rsidTr="007B207C">
        <w:trPr>
          <w:cantSplit/>
        </w:trPr>
        <w:tc>
          <w:tcPr>
            <w:tcW w:w="6527" w:type="dxa"/>
            <w:tcBorders>
              <w:top w:val="single" w:sz="4" w:space="0" w:color="A6A6A6" w:themeColor="background1" w:themeShade="A6"/>
              <w:bottom w:val="single" w:sz="4" w:space="0" w:color="A6A6A6" w:themeColor="background1" w:themeShade="A6"/>
            </w:tcBorders>
          </w:tcPr>
          <w:p w14:paraId="04661DB6" w14:textId="77777777" w:rsidR="00FA7EBF" w:rsidRPr="007939DD" w:rsidRDefault="00FA7EBF" w:rsidP="007B207C">
            <w:pPr>
              <w:pStyle w:val="ARfintablebody"/>
              <w:rPr>
                <w:lang w:eastAsia="en-AU"/>
              </w:rPr>
            </w:pPr>
            <w:r w:rsidRPr="007B22C8">
              <w:t>Employee related provisions</w:t>
            </w:r>
          </w:p>
        </w:tc>
        <w:tc>
          <w:tcPr>
            <w:tcW w:w="852" w:type="dxa"/>
            <w:tcBorders>
              <w:top w:val="single" w:sz="4" w:space="0" w:color="A6A6A6" w:themeColor="background1" w:themeShade="A6"/>
              <w:bottom w:val="single" w:sz="4" w:space="0" w:color="A6A6A6" w:themeColor="background1" w:themeShade="A6"/>
            </w:tcBorders>
          </w:tcPr>
          <w:p w14:paraId="5C8E7C86" w14:textId="77777777" w:rsidR="00FA7EBF" w:rsidRPr="007939DD" w:rsidRDefault="00FA7EBF" w:rsidP="007B207C">
            <w:pPr>
              <w:pStyle w:val="ARfintablebodyright"/>
              <w:rPr>
                <w:lang w:eastAsia="en-AU"/>
              </w:rPr>
            </w:pPr>
            <w:r w:rsidRPr="007B22C8">
              <w:t>3.1.1(b)</w:t>
            </w:r>
          </w:p>
        </w:tc>
        <w:tc>
          <w:tcPr>
            <w:tcW w:w="1130" w:type="dxa"/>
            <w:tcBorders>
              <w:top w:val="single" w:sz="4" w:space="0" w:color="A6A6A6" w:themeColor="background1" w:themeShade="A6"/>
              <w:bottom w:val="single" w:sz="4" w:space="0" w:color="A6A6A6" w:themeColor="background1" w:themeShade="A6"/>
            </w:tcBorders>
            <w:shd w:val="clear" w:color="auto" w:fill="E7E6E6"/>
          </w:tcPr>
          <w:p w14:paraId="614BFD5D" w14:textId="77777777" w:rsidR="00FA7EBF" w:rsidRPr="007939DD" w:rsidRDefault="00FA7EBF" w:rsidP="007B207C">
            <w:pPr>
              <w:pStyle w:val="ARfintablebodyright"/>
              <w:rPr>
                <w:lang w:eastAsia="en-AU"/>
              </w:rPr>
            </w:pPr>
            <w:r w:rsidRPr="007B22C8">
              <w:t>455.0</w:t>
            </w:r>
          </w:p>
        </w:tc>
        <w:tc>
          <w:tcPr>
            <w:tcW w:w="1130" w:type="dxa"/>
            <w:tcBorders>
              <w:top w:val="single" w:sz="4" w:space="0" w:color="A6A6A6" w:themeColor="background1" w:themeShade="A6"/>
              <w:bottom w:val="single" w:sz="4" w:space="0" w:color="A6A6A6" w:themeColor="background1" w:themeShade="A6"/>
            </w:tcBorders>
          </w:tcPr>
          <w:p w14:paraId="3B43CD13" w14:textId="77777777" w:rsidR="00FA7EBF" w:rsidRPr="007939DD" w:rsidRDefault="00FA7EBF" w:rsidP="007B207C">
            <w:pPr>
              <w:pStyle w:val="ARfintablebodyright"/>
              <w:rPr>
                <w:lang w:eastAsia="en-AU"/>
              </w:rPr>
            </w:pPr>
            <w:r w:rsidRPr="007B22C8">
              <w:t>402.8</w:t>
            </w:r>
          </w:p>
        </w:tc>
      </w:tr>
      <w:tr w:rsidR="00FA7EBF" w:rsidRPr="007939DD" w14:paraId="7B4E7064" w14:textId="77777777" w:rsidTr="007B207C">
        <w:trPr>
          <w:cantSplit/>
        </w:trPr>
        <w:tc>
          <w:tcPr>
            <w:tcW w:w="6527" w:type="dxa"/>
            <w:tcBorders>
              <w:top w:val="single" w:sz="4" w:space="0" w:color="A6A6A6" w:themeColor="background1" w:themeShade="A6"/>
            </w:tcBorders>
          </w:tcPr>
          <w:p w14:paraId="4D53EFE7" w14:textId="77777777" w:rsidR="00FA7EBF" w:rsidRPr="007939DD" w:rsidRDefault="00FA7EBF" w:rsidP="007B207C">
            <w:pPr>
              <w:pStyle w:val="ARfintablebody"/>
              <w:rPr>
                <w:lang w:eastAsia="en-AU"/>
              </w:rPr>
            </w:pPr>
            <w:r w:rsidRPr="007B22C8">
              <w:t>Other provisions</w:t>
            </w:r>
          </w:p>
        </w:tc>
        <w:tc>
          <w:tcPr>
            <w:tcW w:w="852" w:type="dxa"/>
            <w:tcBorders>
              <w:top w:val="single" w:sz="4" w:space="0" w:color="A6A6A6" w:themeColor="background1" w:themeShade="A6"/>
            </w:tcBorders>
          </w:tcPr>
          <w:p w14:paraId="2827504E" w14:textId="77777777" w:rsidR="00FA7EBF" w:rsidRPr="007939DD" w:rsidRDefault="00FA7EBF" w:rsidP="007B207C">
            <w:pPr>
              <w:pStyle w:val="ARfintablebodyright"/>
              <w:rPr>
                <w:lang w:eastAsia="en-AU"/>
              </w:rPr>
            </w:pPr>
            <w:r w:rsidRPr="007B22C8">
              <w:t>6.5</w:t>
            </w:r>
          </w:p>
        </w:tc>
        <w:tc>
          <w:tcPr>
            <w:tcW w:w="1130" w:type="dxa"/>
            <w:tcBorders>
              <w:top w:val="single" w:sz="4" w:space="0" w:color="A6A6A6" w:themeColor="background1" w:themeShade="A6"/>
            </w:tcBorders>
            <w:shd w:val="clear" w:color="auto" w:fill="E7E6E6"/>
          </w:tcPr>
          <w:p w14:paraId="07407C95" w14:textId="77777777" w:rsidR="00FA7EBF" w:rsidRPr="007939DD" w:rsidRDefault="00FA7EBF" w:rsidP="007B207C">
            <w:pPr>
              <w:pStyle w:val="ARfintablebodyright"/>
              <w:rPr>
                <w:lang w:eastAsia="en-AU"/>
              </w:rPr>
            </w:pPr>
            <w:r w:rsidRPr="007B22C8">
              <w:t>95.9</w:t>
            </w:r>
          </w:p>
        </w:tc>
        <w:tc>
          <w:tcPr>
            <w:tcW w:w="1130" w:type="dxa"/>
            <w:tcBorders>
              <w:top w:val="single" w:sz="4" w:space="0" w:color="A6A6A6" w:themeColor="background1" w:themeShade="A6"/>
            </w:tcBorders>
          </w:tcPr>
          <w:p w14:paraId="4FF8151A" w14:textId="77777777" w:rsidR="00FA7EBF" w:rsidRPr="007939DD" w:rsidRDefault="00FA7EBF" w:rsidP="007B207C">
            <w:pPr>
              <w:pStyle w:val="ARfintablebodyright"/>
              <w:rPr>
                <w:lang w:eastAsia="en-AU"/>
              </w:rPr>
            </w:pPr>
            <w:r w:rsidRPr="007B22C8">
              <w:t>87.3</w:t>
            </w:r>
          </w:p>
        </w:tc>
      </w:tr>
      <w:tr w:rsidR="00FA7EBF" w:rsidRPr="007939DD" w14:paraId="5F6D35AC" w14:textId="77777777" w:rsidTr="007B207C">
        <w:trPr>
          <w:cantSplit/>
        </w:trPr>
        <w:tc>
          <w:tcPr>
            <w:tcW w:w="6527" w:type="dxa"/>
          </w:tcPr>
          <w:p w14:paraId="0B3AA664" w14:textId="77777777" w:rsidR="00FA7EBF" w:rsidRPr="007939DD" w:rsidRDefault="00FA7EBF" w:rsidP="007B207C">
            <w:pPr>
              <w:pStyle w:val="ARfintablebodybold"/>
              <w:rPr>
                <w:lang w:eastAsia="en-AU"/>
              </w:rPr>
            </w:pPr>
            <w:r w:rsidRPr="007B22C8">
              <w:t>Total liabilities</w:t>
            </w:r>
          </w:p>
        </w:tc>
        <w:tc>
          <w:tcPr>
            <w:tcW w:w="852" w:type="dxa"/>
          </w:tcPr>
          <w:p w14:paraId="640DF9C2" w14:textId="77777777" w:rsidR="00FA7EBF" w:rsidRPr="007939DD" w:rsidRDefault="00FA7EBF" w:rsidP="007B207C">
            <w:pPr>
              <w:pStyle w:val="ARfintablebodyright"/>
              <w:rPr>
                <w:rStyle w:val="Strong"/>
                <w:bCs w:val="0"/>
              </w:rPr>
            </w:pPr>
          </w:p>
        </w:tc>
        <w:tc>
          <w:tcPr>
            <w:tcW w:w="1130" w:type="dxa"/>
            <w:shd w:val="clear" w:color="auto" w:fill="E7E6E6"/>
          </w:tcPr>
          <w:p w14:paraId="0733607F" w14:textId="77777777" w:rsidR="00FA7EBF" w:rsidRPr="007939DD" w:rsidRDefault="00FA7EBF" w:rsidP="007B207C">
            <w:pPr>
              <w:pStyle w:val="ARfintablebodyrightbold"/>
              <w:rPr>
                <w:lang w:eastAsia="en-AU"/>
              </w:rPr>
            </w:pPr>
            <w:r w:rsidRPr="007B22C8">
              <w:t>2,177.4</w:t>
            </w:r>
          </w:p>
        </w:tc>
        <w:tc>
          <w:tcPr>
            <w:tcW w:w="1130" w:type="dxa"/>
          </w:tcPr>
          <w:p w14:paraId="59099385" w14:textId="77777777" w:rsidR="00FA7EBF" w:rsidRPr="007939DD" w:rsidRDefault="00FA7EBF" w:rsidP="007B207C">
            <w:pPr>
              <w:pStyle w:val="ARfintablebodyrightbold"/>
              <w:rPr>
                <w:rStyle w:val="Strong"/>
                <w:bCs w:val="0"/>
              </w:rPr>
            </w:pPr>
            <w:r w:rsidRPr="007B22C8">
              <w:t>1,968.3</w:t>
            </w:r>
          </w:p>
        </w:tc>
      </w:tr>
      <w:tr w:rsidR="00FA7EBF" w:rsidRPr="007939DD" w14:paraId="3402B9E6" w14:textId="77777777" w:rsidTr="007B207C">
        <w:trPr>
          <w:cantSplit/>
        </w:trPr>
        <w:tc>
          <w:tcPr>
            <w:tcW w:w="6527" w:type="dxa"/>
          </w:tcPr>
          <w:p w14:paraId="7BB0F7F3" w14:textId="77777777" w:rsidR="00FA7EBF" w:rsidRPr="007939DD" w:rsidRDefault="00FA7EBF" w:rsidP="007B207C">
            <w:pPr>
              <w:pStyle w:val="ARfintablebodybold"/>
              <w:rPr>
                <w:lang w:eastAsia="en-AU"/>
              </w:rPr>
            </w:pPr>
            <w:r w:rsidRPr="007B22C8">
              <w:t>Net assets</w:t>
            </w:r>
          </w:p>
        </w:tc>
        <w:tc>
          <w:tcPr>
            <w:tcW w:w="852" w:type="dxa"/>
          </w:tcPr>
          <w:p w14:paraId="4F2517C4" w14:textId="77777777" w:rsidR="00FA7EBF" w:rsidRPr="007939DD" w:rsidRDefault="00FA7EBF" w:rsidP="007B207C">
            <w:pPr>
              <w:pStyle w:val="ARfintablebodyright"/>
              <w:rPr>
                <w:rStyle w:val="Strong"/>
                <w:bCs w:val="0"/>
              </w:rPr>
            </w:pPr>
          </w:p>
        </w:tc>
        <w:tc>
          <w:tcPr>
            <w:tcW w:w="1130" w:type="dxa"/>
            <w:shd w:val="clear" w:color="auto" w:fill="E7E6E6"/>
          </w:tcPr>
          <w:p w14:paraId="5D0DA905" w14:textId="77777777" w:rsidR="00FA7EBF" w:rsidRPr="007939DD" w:rsidRDefault="00FA7EBF" w:rsidP="007B207C">
            <w:pPr>
              <w:pStyle w:val="ARfintablebodyrightbold"/>
              <w:rPr>
                <w:lang w:eastAsia="en-AU"/>
              </w:rPr>
            </w:pPr>
            <w:r w:rsidRPr="007B22C8">
              <w:t>31,195.0</w:t>
            </w:r>
          </w:p>
        </w:tc>
        <w:tc>
          <w:tcPr>
            <w:tcW w:w="1130" w:type="dxa"/>
          </w:tcPr>
          <w:p w14:paraId="701A1774" w14:textId="77777777" w:rsidR="00FA7EBF" w:rsidRPr="007939DD" w:rsidRDefault="00FA7EBF" w:rsidP="007B207C">
            <w:pPr>
              <w:pStyle w:val="ARfintablebodyrightbold"/>
              <w:rPr>
                <w:rStyle w:val="Strong"/>
                <w:bCs w:val="0"/>
              </w:rPr>
            </w:pPr>
            <w:r w:rsidRPr="007B22C8">
              <w:t>32,412.5</w:t>
            </w:r>
          </w:p>
        </w:tc>
      </w:tr>
      <w:tr w:rsidR="00FA7EBF" w:rsidRPr="007939DD" w14:paraId="5DC907DE" w14:textId="77777777" w:rsidTr="007B207C">
        <w:trPr>
          <w:cantSplit/>
        </w:trPr>
        <w:tc>
          <w:tcPr>
            <w:tcW w:w="9639" w:type="dxa"/>
            <w:gridSpan w:val="4"/>
            <w:tcBorders>
              <w:bottom w:val="single" w:sz="4" w:space="0" w:color="A6A6A6" w:themeColor="background1" w:themeShade="A6"/>
            </w:tcBorders>
          </w:tcPr>
          <w:p w14:paraId="67A270AA" w14:textId="77777777" w:rsidR="00FA7EBF" w:rsidRPr="007939DD" w:rsidRDefault="00FA7EBF" w:rsidP="007B207C">
            <w:pPr>
              <w:pStyle w:val="ARfintablebodybold"/>
              <w:rPr>
                <w:lang w:eastAsia="en-AU"/>
              </w:rPr>
            </w:pPr>
            <w:r w:rsidRPr="007B22C8">
              <w:t>Equity</w:t>
            </w:r>
          </w:p>
        </w:tc>
      </w:tr>
      <w:tr w:rsidR="00FA7EBF" w:rsidRPr="007939DD" w14:paraId="38DB8B51" w14:textId="77777777" w:rsidTr="007B207C">
        <w:trPr>
          <w:cantSplit/>
        </w:trPr>
        <w:tc>
          <w:tcPr>
            <w:tcW w:w="6527" w:type="dxa"/>
            <w:tcBorders>
              <w:top w:val="single" w:sz="4" w:space="0" w:color="A6A6A6" w:themeColor="background1" w:themeShade="A6"/>
              <w:bottom w:val="single" w:sz="4" w:space="0" w:color="A6A6A6" w:themeColor="background1" w:themeShade="A6"/>
            </w:tcBorders>
          </w:tcPr>
          <w:p w14:paraId="043FAEE3" w14:textId="77777777" w:rsidR="00FA7EBF" w:rsidRPr="007939DD" w:rsidRDefault="00FA7EBF" w:rsidP="007B207C">
            <w:pPr>
              <w:pStyle w:val="ARfintablebody"/>
              <w:rPr>
                <w:lang w:eastAsia="en-AU"/>
              </w:rPr>
            </w:pPr>
            <w:r w:rsidRPr="007B22C8">
              <w:t>Accumulated surplus/(deficit)</w:t>
            </w:r>
          </w:p>
        </w:tc>
        <w:tc>
          <w:tcPr>
            <w:tcW w:w="852" w:type="dxa"/>
            <w:tcBorders>
              <w:top w:val="single" w:sz="4" w:space="0" w:color="A6A6A6" w:themeColor="background1" w:themeShade="A6"/>
              <w:bottom w:val="single" w:sz="4" w:space="0" w:color="A6A6A6" w:themeColor="background1" w:themeShade="A6"/>
            </w:tcBorders>
          </w:tcPr>
          <w:p w14:paraId="1A24E8C6" w14:textId="77777777" w:rsidR="00FA7EBF" w:rsidRPr="007939DD" w:rsidRDefault="00FA7EBF" w:rsidP="007B207C">
            <w:pPr>
              <w:pStyle w:val="ARfintablebodyright"/>
              <w:rPr>
                <w:lang w:eastAsia="en-AU"/>
              </w:rPr>
            </w:pPr>
          </w:p>
        </w:tc>
        <w:tc>
          <w:tcPr>
            <w:tcW w:w="1130" w:type="dxa"/>
            <w:tcBorders>
              <w:top w:val="single" w:sz="4" w:space="0" w:color="A6A6A6" w:themeColor="background1" w:themeShade="A6"/>
              <w:bottom w:val="single" w:sz="4" w:space="0" w:color="A6A6A6" w:themeColor="background1" w:themeShade="A6"/>
            </w:tcBorders>
            <w:shd w:val="clear" w:color="auto" w:fill="E7E6E6"/>
          </w:tcPr>
          <w:p w14:paraId="1502B126" w14:textId="77777777" w:rsidR="00FA7EBF" w:rsidRPr="007939DD" w:rsidRDefault="00FA7EBF" w:rsidP="007B207C">
            <w:pPr>
              <w:pStyle w:val="ARfintablebodyright"/>
              <w:rPr>
                <w:lang w:eastAsia="en-AU"/>
              </w:rPr>
            </w:pPr>
            <w:r w:rsidRPr="007B22C8">
              <w:t>1,599.3</w:t>
            </w:r>
          </w:p>
        </w:tc>
        <w:tc>
          <w:tcPr>
            <w:tcW w:w="1130" w:type="dxa"/>
            <w:tcBorders>
              <w:top w:val="single" w:sz="4" w:space="0" w:color="A6A6A6" w:themeColor="background1" w:themeShade="A6"/>
              <w:bottom w:val="single" w:sz="4" w:space="0" w:color="A6A6A6" w:themeColor="background1" w:themeShade="A6"/>
            </w:tcBorders>
          </w:tcPr>
          <w:p w14:paraId="2352C1A5" w14:textId="77777777" w:rsidR="00FA7EBF" w:rsidRPr="007939DD" w:rsidRDefault="00FA7EBF" w:rsidP="007B207C">
            <w:pPr>
              <w:pStyle w:val="ARfintablebodyright"/>
              <w:rPr>
                <w:lang w:eastAsia="en-AU"/>
              </w:rPr>
            </w:pPr>
            <w:r w:rsidRPr="007B22C8">
              <w:t>1,613.2</w:t>
            </w:r>
          </w:p>
        </w:tc>
      </w:tr>
      <w:tr w:rsidR="00FA7EBF" w:rsidRPr="007939DD" w14:paraId="5EC6D0F0" w14:textId="77777777" w:rsidTr="007B207C">
        <w:trPr>
          <w:cantSplit/>
        </w:trPr>
        <w:tc>
          <w:tcPr>
            <w:tcW w:w="6527" w:type="dxa"/>
            <w:tcBorders>
              <w:top w:val="single" w:sz="4" w:space="0" w:color="A6A6A6" w:themeColor="background1" w:themeShade="A6"/>
              <w:bottom w:val="single" w:sz="4" w:space="0" w:color="A6A6A6" w:themeColor="background1" w:themeShade="A6"/>
            </w:tcBorders>
          </w:tcPr>
          <w:p w14:paraId="597C7AFD" w14:textId="77777777" w:rsidR="00FA7EBF" w:rsidRPr="007939DD" w:rsidRDefault="00FA7EBF" w:rsidP="007B207C">
            <w:pPr>
              <w:pStyle w:val="ARfintablebody"/>
              <w:rPr>
                <w:lang w:eastAsia="en-AU"/>
              </w:rPr>
            </w:pPr>
            <w:r w:rsidRPr="007B22C8">
              <w:t>Physical asset revaluation surplus</w:t>
            </w:r>
          </w:p>
        </w:tc>
        <w:tc>
          <w:tcPr>
            <w:tcW w:w="852" w:type="dxa"/>
            <w:tcBorders>
              <w:top w:val="single" w:sz="4" w:space="0" w:color="A6A6A6" w:themeColor="background1" w:themeShade="A6"/>
              <w:bottom w:val="single" w:sz="4" w:space="0" w:color="A6A6A6" w:themeColor="background1" w:themeShade="A6"/>
            </w:tcBorders>
          </w:tcPr>
          <w:p w14:paraId="17873094" w14:textId="77777777" w:rsidR="00FA7EBF" w:rsidRPr="007939DD" w:rsidRDefault="00FA7EBF" w:rsidP="007B207C">
            <w:pPr>
              <w:pStyle w:val="ARfintablebodyright"/>
              <w:rPr>
                <w:lang w:eastAsia="en-AU"/>
              </w:rPr>
            </w:pPr>
            <w:r w:rsidRPr="007B22C8">
              <w:t>9.4</w:t>
            </w:r>
          </w:p>
        </w:tc>
        <w:tc>
          <w:tcPr>
            <w:tcW w:w="1130" w:type="dxa"/>
            <w:tcBorders>
              <w:top w:val="single" w:sz="4" w:space="0" w:color="A6A6A6" w:themeColor="background1" w:themeShade="A6"/>
              <w:bottom w:val="single" w:sz="4" w:space="0" w:color="A6A6A6" w:themeColor="background1" w:themeShade="A6"/>
            </w:tcBorders>
            <w:shd w:val="clear" w:color="auto" w:fill="E7E6E6"/>
          </w:tcPr>
          <w:p w14:paraId="385F4A20" w14:textId="77777777" w:rsidR="00FA7EBF" w:rsidRPr="007939DD" w:rsidRDefault="00FA7EBF" w:rsidP="007B207C">
            <w:pPr>
              <w:pStyle w:val="ARfintablebodyright"/>
              <w:rPr>
                <w:lang w:eastAsia="en-AU"/>
              </w:rPr>
            </w:pPr>
            <w:r w:rsidRPr="007B22C8">
              <w:t>7,396.4</w:t>
            </w:r>
          </w:p>
        </w:tc>
        <w:tc>
          <w:tcPr>
            <w:tcW w:w="1130" w:type="dxa"/>
            <w:tcBorders>
              <w:top w:val="single" w:sz="4" w:space="0" w:color="A6A6A6" w:themeColor="background1" w:themeShade="A6"/>
              <w:bottom w:val="single" w:sz="4" w:space="0" w:color="A6A6A6" w:themeColor="background1" w:themeShade="A6"/>
            </w:tcBorders>
          </w:tcPr>
          <w:p w14:paraId="3AAB757B" w14:textId="77777777" w:rsidR="00FA7EBF" w:rsidRPr="007939DD" w:rsidRDefault="00FA7EBF" w:rsidP="007B207C">
            <w:pPr>
              <w:pStyle w:val="ARfintablebodyright"/>
              <w:rPr>
                <w:lang w:eastAsia="en-AU"/>
              </w:rPr>
            </w:pPr>
            <w:r w:rsidRPr="007B22C8">
              <w:t>8,601.7</w:t>
            </w:r>
          </w:p>
        </w:tc>
      </w:tr>
      <w:tr w:rsidR="00FA7EBF" w:rsidRPr="007939DD" w14:paraId="1602CDCD" w14:textId="77777777" w:rsidTr="007B207C">
        <w:trPr>
          <w:cantSplit/>
        </w:trPr>
        <w:tc>
          <w:tcPr>
            <w:tcW w:w="6527" w:type="dxa"/>
            <w:tcBorders>
              <w:top w:val="single" w:sz="4" w:space="0" w:color="A6A6A6" w:themeColor="background1" w:themeShade="A6"/>
            </w:tcBorders>
          </w:tcPr>
          <w:p w14:paraId="0C4A7E8D" w14:textId="77777777" w:rsidR="00FA7EBF" w:rsidRPr="007939DD" w:rsidRDefault="00FA7EBF" w:rsidP="007B207C">
            <w:pPr>
              <w:pStyle w:val="ARfintablebody"/>
              <w:rPr>
                <w:lang w:eastAsia="en-AU"/>
              </w:rPr>
            </w:pPr>
            <w:r w:rsidRPr="007B22C8">
              <w:t>Contributed capital</w:t>
            </w:r>
          </w:p>
        </w:tc>
        <w:tc>
          <w:tcPr>
            <w:tcW w:w="852" w:type="dxa"/>
            <w:tcBorders>
              <w:top w:val="single" w:sz="4" w:space="0" w:color="A6A6A6" w:themeColor="background1" w:themeShade="A6"/>
            </w:tcBorders>
          </w:tcPr>
          <w:p w14:paraId="20E5A843" w14:textId="77777777" w:rsidR="00FA7EBF" w:rsidRPr="007939DD" w:rsidRDefault="00FA7EBF" w:rsidP="007B207C">
            <w:pPr>
              <w:pStyle w:val="ARfintablebodyright"/>
              <w:rPr>
                <w:lang w:eastAsia="en-AU"/>
              </w:rPr>
            </w:pPr>
          </w:p>
        </w:tc>
        <w:tc>
          <w:tcPr>
            <w:tcW w:w="1130" w:type="dxa"/>
            <w:tcBorders>
              <w:top w:val="single" w:sz="4" w:space="0" w:color="A6A6A6" w:themeColor="background1" w:themeShade="A6"/>
            </w:tcBorders>
            <w:shd w:val="clear" w:color="auto" w:fill="E7E6E6"/>
          </w:tcPr>
          <w:p w14:paraId="2574DF4B" w14:textId="77777777" w:rsidR="00FA7EBF" w:rsidRPr="007939DD" w:rsidRDefault="00FA7EBF" w:rsidP="007B207C">
            <w:pPr>
              <w:pStyle w:val="ARfintablebodyright"/>
              <w:rPr>
                <w:lang w:eastAsia="en-AU"/>
              </w:rPr>
            </w:pPr>
            <w:r w:rsidRPr="007B22C8">
              <w:t>22,199.3</w:t>
            </w:r>
          </w:p>
        </w:tc>
        <w:tc>
          <w:tcPr>
            <w:tcW w:w="1130" w:type="dxa"/>
            <w:tcBorders>
              <w:top w:val="single" w:sz="4" w:space="0" w:color="A6A6A6" w:themeColor="background1" w:themeShade="A6"/>
            </w:tcBorders>
          </w:tcPr>
          <w:p w14:paraId="0FA708A1" w14:textId="77777777" w:rsidR="00FA7EBF" w:rsidRPr="007939DD" w:rsidRDefault="00FA7EBF" w:rsidP="007B207C">
            <w:pPr>
              <w:pStyle w:val="ARfintablebodyright"/>
              <w:rPr>
                <w:lang w:eastAsia="en-AU"/>
              </w:rPr>
            </w:pPr>
            <w:r w:rsidRPr="007B22C8">
              <w:t>22,197.5</w:t>
            </w:r>
          </w:p>
        </w:tc>
      </w:tr>
      <w:tr w:rsidR="00FA7EBF" w:rsidRPr="007939DD" w14:paraId="07E1907C" w14:textId="77777777" w:rsidTr="007B207C">
        <w:trPr>
          <w:cantSplit/>
        </w:trPr>
        <w:tc>
          <w:tcPr>
            <w:tcW w:w="6527" w:type="dxa"/>
          </w:tcPr>
          <w:p w14:paraId="049DE5A0" w14:textId="77777777" w:rsidR="00FA7EBF" w:rsidRPr="007939DD" w:rsidRDefault="00FA7EBF" w:rsidP="007B207C">
            <w:pPr>
              <w:pStyle w:val="ARfintablebodybold"/>
              <w:rPr>
                <w:lang w:eastAsia="en-AU"/>
              </w:rPr>
            </w:pPr>
            <w:r w:rsidRPr="007B22C8">
              <w:t>Net worth</w:t>
            </w:r>
          </w:p>
        </w:tc>
        <w:tc>
          <w:tcPr>
            <w:tcW w:w="852" w:type="dxa"/>
          </w:tcPr>
          <w:p w14:paraId="387EEEC9" w14:textId="77777777" w:rsidR="00FA7EBF" w:rsidRPr="007939DD" w:rsidRDefault="00FA7EBF" w:rsidP="007B207C">
            <w:pPr>
              <w:pStyle w:val="ARfintablebodyright"/>
              <w:rPr>
                <w:rStyle w:val="Strong"/>
                <w:bCs w:val="0"/>
              </w:rPr>
            </w:pPr>
          </w:p>
        </w:tc>
        <w:tc>
          <w:tcPr>
            <w:tcW w:w="1130" w:type="dxa"/>
            <w:shd w:val="clear" w:color="auto" w:fill="E7E6E6"/>
          </w:tcPr>
          <w:p w14:paraId="789B6FAE" w14:textId="77777777" w:rsidR="00FA7EBF" w:rsidRPr="007939DD" w:rsidRDefault="00FA7EBF" w:rsidP="007B207C">
            <w:pPr>
              <w:pStyle w:val="ARfintablebodyrightbold"/>
              <w:rPr>
                <w:lang w:eastAsia="en-AU"/>
              </w:rPr>
            </w:pPr>
            <w:r w:rsidRPr="007B22C8">
              <w:t>31,195.0</w:t>
            </w:r>
          </w:p>
        </w:tc>
        <w:tc>
          <w:tcPr>
            <w:tcW w:w="1130" w:type="dxa"/>
          </w:tcPr>
          <w:p w14:paraId="7E185E2B" w14:textId="77777777" w:rsidR="00FA7EBF" w:rsidRPr="007939DD" w:rsidRDefault="00FA7EBF" w:rsidP="007B207C">
            <w:pPr>
              <w:pStyle w:val="ARfintablebodyrightbold"/>
              <w:rPr>
                <w:rStyle w:val="Strong"/>
                <w:bCs w:val="0"/>
              </w:rPr>
            </w:pPr>
            <w:r w:rsidRPr="007B22C8">
              <w:t>32,412.5</w:t>
            </w:r>
          </w:p>
        </w:tc>
      </w:tr>
    </w:tbl>
    <w:p w14:paraId="73709812" w14:textId="77777777" w:rsidR="00FA7EBF" w:rsidRPr="00194D78" w:rsidRDefault="00FA7EBF" w:rsidP="00CA66FD">
      <w:pPr>
        <w:pStyle w:val="ARfintablefootnote"/>
        <w:rPr>
          <w:lang w:eastAsia="en-AU"/>
        </w:rPr>
      </w:pPr>
      <w:r w:rsidRPr="00194D78">
        <w:rPr>
          <w:lang w:eastAsia="en-AU"/>
        </w:rPr>
        <w:t>The balance sheet should be read in conjunction with the notes to the financial statements.</w:t>
      </w:r>
    </w:p>
    <w:p w14:paraId="4186DF21" w14:textId="77777777" w:rsidR="00FA7EBF" w:rsidRPr="00194D78" w:rsidRDefault="00FA7EBF" w:rsidP="00CA66FD">
      <w:pPr>
        <w:pStyle w:val="ARfinbody"/>
      </w:pPr>
      <w:r w:rsidRPr="00194D78">
        <w:br w:type="page"/>
      </w:r>
    </w:p>
    <w:p w14:paraId="6E2AC0BD" w14:textId="77777777" w:rsidR="00FA7EBF" w:rsidRDefault="00FA7EBF" w:rsidP="00CA66FD">
      <w:pPr>
        <w:pStyle w:val="Heading2"/>
        <w:rPr>
          <w:lang w:eastAsia="en-AU"/>
        </w:rPr>
      </w:pPr>
      <w:bookmarkStart w:id="232" w:name="_Toc17971168"/>
      <w:bookmarkStart w:id="233" w:name="_Toc19795289"/>
      <w:bookmarkStart w:id="234" w:name="_Ref21957932"/>
      <w:r w:rsidRPr="00194D78">
        <w:rPr>
          <w:lang w:eastAsia="en-AU"/>
        </w:rPr>
        <w:t>Cash flow statement for the financial year ended 30 June 2019</w:t>
      </w:r>
      <w:bookmarkEnd w:id="232"/>
      <w:bookmarkEnd w:id="233"/>
      <w:bookmarkEnd w:id="234"/>
    </w:p>
    <w:tbl>
      <w:tblPr>
        <w:tblStyle w:val="TableGrid"/>
        <w:tblW w:w="9639" w:type="dxa"/>
        <w:tblLook w:val="06A0" w:firstRow="1" w:lastRow="0" w:firstColumn="1" w:lastColumn="0" w:noHBand="1" w:noVBand="1"/>
      </w:tblPr>
      <w:tblGrid>
        <w:gridCol w:w="6527"/>
        <w:gridCol w:w="852"/>
        <w:gridCol w:w="1130"/>
        <w:gridCol w:w="1130"/>
      </w:tblGrid>
      <w:tr w:rsidR="00FA7EBF" w:rsidRPr="007939DD" w14:paraId="4BC0A429" w14:textId="77777777" w:rsidTr="007B207C">
        <w:trPr>
          <w:cnfStyle w:val="100000000000" w:firstRow="1" w:lastRow="0" w:firstColumn="0" w:lastColumn="0" w:oddVBand="0" w:evenVBand="0" w:oddHBand="0" w:evenHBand="0" w:firstRowFirstColumn="0" w:firstRowLastColumn="0" w:lastRowFirstColumn="0" w:lastRowLastColumn="0"/>
          <w:tblHeader/>
        </w:trPr>
        <w:tc>
          <w:tcPr>
            <w:tcW w:w="6527" w:type="dxa"/>
          </w:tcPr>
          <w:p w14:paraId="793104FF" w14:textId="77777777" w:rsidR="00FA7EBF" w:rsidRPr="007939DD" w:rsidRDefault="00FA7EBF" w:rsidP="007B207C">
            <w:pPr>
              <w:pStyle w:val="ARfintablecolhead"/>
            </w:pPr>
            <w:bookmarkStart w:id="235" w:name="_Hlk17716112"/>
          </w:p>
        </w:tc>
        <w:tc>
          <w:tcPr>
            <w:tcW w:w="852" w:type="dxa"/>
          </w:tcPr>
          <w:p w14:paraId="6899B208" w14:textId="77777777" w:rsidR="00FA7EBF" w:rsidRPr="007939DD" w:rsidRDefault="00FA7EBF" w:rsidP="007B207C">
            <w:pPr>
              <w:pStyle w:val="ARfintablecolheadright"/>
              <w:rPr>
                <w:bCs/>
                <w:color w:val="000000"/>
              </w:rPr>
            </w:pPr>
            <w:r w:rsidRPr="007939DD">
              <w:t>Note</w:t>
            </w:r>
          </w:p>
        </w:tc>
        <w:tc>
          <w:tcPr>
            <w:tcW w:w="1130" w:type="dxa"/>
            <w:shd w:val="clear" w:color="auto" w:fill="E7E6E6"/>
          </w:tcPr>
          <w:p w14:paraId="6B4FBF6F" w14:textId="77777777" w:rsidR="00FA7EBF" w:rsidRPr="007939DD" w:rsidRDefault="00FA7EBF" w:rsidP="007B207C">
            <w:pPr>
              <w:pStyle w:val="ARfintablecolheadright"/>
              <w:rPr>
                <w:rFonts w:cs="Arial"/>
              </w:rPr>
            </w:pPr>
            <w:r w:rsidRPr="007939DD">
              <w:rPr>
                <w:rFonts w:cs="Arial"/>
              </w:rPr>
              <w:t>201</w:t>
            </w:r>
            <w:r>
              <w:rPr>
                <w:rFonts w:cs="Arial"/>
              </w:rPr>
              <w:t>9</w:t>
            </w:r>
          </w:p>
          <w:p w14:paraId="6D70000E" w14:textId="77777777" w:rsidR="00FA7EBF" w:rsidRPr="007939DD" w:rsidRDefault="00FA7EBF" w:rsidP="007B207C">
            <w:pPr>
              <w:pStyle w:val="ARfintablecolheadright"/>
              <w:rPr>
                <w:rFonts w:cs="Arial"/>
              </w:rPr>
            </w:pPr>
            <w:r w:rsidRPr="007939DD">
              <w:rPr>
                <w:rFonts w:cs="Arial"/>
              </w:rPr>
              <w:t>$M</w:t>
            </w:r>
          </w:p>
        </w:tc>
        <w:tc>
          <w:tcPr>
            <w:tcW w:w="1130" w:type="dxa"/>
          </w:tcPr>
          <w:p w14:paraId="7CBF074D" w14:textId="77777777" w:rsidR="00FA7EBF" w:rsidRPr="007939DD" w:rsidRDefault="00FA7EBF" w:rsidP="007B207C">
            <w:pPr>
              <w:pStyle w:val="ARfintablecolheadright"/>
              <w:rPr>
                <w:rFonts w:cs="Arial"/>
              </w:rPr>
            </w:pPr>
            <w:r w:rsidRPr="007939DD">
              <w:rPr>
                <w:rFonts w:cs="Arial"/>
              </w:rPr>
              <w:t>201</w:t>
            </w:r>
            <w:r>
              <w:rPr>
                <w:rFonts w:cs="Arial"/>
              </w:rPr>
              <w:t>8</w:t>
            </w:r>
          </w:p>
          <w:p w14:paraId="47881CAB" w14:textId="77777777" w:rsidR="00FA7EBF" w:rsidRPr="007939DD" w:rsidRDefault="00FA7EBF" w:rsidP="007B207C">
            <w:pPr>
              <w:pStyle w:val="ARfintablecolheadright"/>
              <w:rPr>
                <w:rFonts w:cs="Arial"/>
              </w:rPr>
            </w:pPr>
            <w:r w:rsidRPr="007939DD">
              <w:rPr>
                <w:rFonts w:cs="Arial"/>
              </w:rPr>
              <w:t>$M</w:t>
            </w:r>
          </w:p>
        </w:tc>
      </w:tr>
      <w:tr w:rsidR="00FA7EBF" w:rsidRPr="007939DD" w14:paraId="548D8BA5" w14:textId="77777777" w:rsidTr="007B207C">
        <w:tc>
          <w:tcPr>
            <w:tcW w:w="9639" w:type="dxa"/>
            <w:gridSpan w:val="4"/>
            <w:tcBorders>
              <w:bottom w:val="single" w:sz="4" w:space="0" w:color="A6A6A6"/>
            </w:tcBorders>
          </w:tcPr>
          <w:p w14:paraId="3866A325" w14:textId="77777777" w:rsidR="00FA7EBF" w:rsidRPr="007939DD" w:rsidRDefault="00FA7EBF" w:rsidP="007B207C">
            <w:pPr>
              <w:pStyle w:val="ARfintablebodybold"/>
              <w:rPr>
                <w:rStyle w:val="Strong"/>
              </w:rPr>
            </w:pPr>
            <w:r w:rsidRPr="006F13CE">
              <w:t>Cash flows from operating activities</w:t>
            </w:r>
          </w:p>
        </w:tc>
      </w:tr>
      <w:tr w:rsidR="00FA7EBF" w:rsidRPr="007939DD" w14:paraId="260D95AE" w14:textId="77777777" w:rsidTr="007B207C">
        <w:tc>
          <w:tcPr>
            <w:tcW w:w="9639" w:type="dxa"/>
            <w:gridSpan w:val="4"/>
            <w:tcBorders>
              <w:top w:val="single" w:sz="4" w:space="0" w:color="A6A6A6"/>
              <w:bottom w:val="single" w:sz="4" w:space="0" w:color="A6A6A6"/>
            </w:tcBorders>
          </w:tcPr>
          <w:p w14:paraId="5533248A" w14:textId="77777777" w:rsidR="00FA7EBF" w:rsidRPr="007939DD" w:rsidRDefault="00FA7EBF" w:rsidP="007B207C">
            <w:pPr>
              <w:pStyle w:val="ARfintablebodybold"/>
            </w:pPr>
            <w:r w:rsidRPr="006F13CE">
              <w:t>Receipts</w:t>
            </w:r>
          </w:p>
        </w:tc>
      </w:tr>
      <w:tr w:rsidR="00FA7EBF" w:rsidRPr="007939DD" w14:paraId="7F76AC45" w14:textId="77777777" w:rsidTr="007B207C">
        <w:tc>
          <w:tcPr>
            <w:tcW w:w="6527" w:type="dxa"/>
            <w:tcBorders>
              <w:top w:val="single" w:sz="4" w:space="0" w:color="A6A6A6"/>
              <w:bottom w:val="single" w:sz="4" w:space="0" w:color="A6A6A6"/>
            </w:tcBorders>
          </w:tcPr>
          <w:p w14:paraId="7233FBFD" w14:textId="77777777" w:rsidR="00FA7EBF" w:rsidRPr="007939DD" w:rsidRDefault="00FA7EBF" w:rsidP="007B207C">
            <w:pPr>
              <w:pStyle w:val="ARfintablebody"/>
            </w:pPr>
            <w:r w:rsidRPr="006F13CE">
              <w:t>Receipts of output appropriations</w:t>
            </w:r>
          </w:p>
        </w:tc>
        <w:tc>
          <w:tcPr>
            <w:tcW w:w="852" w:type="dxa"/>
            <w:tcBorders>
              <w:top w:val="single" w:sz="4" w:space="0" w:color="A6A6A6"/>
              <w:bottom w:val="single" w:sz="4" w:space="0" w:color="A6A6A6"/>
            </w:tcBorders>
          </w:tcPr>
          <w:p w14:paraId="4F571990" w14:textId="77777777" w:rsidR="00FA7EBF" w:rsidRPr="007939DD" w:rsidRDefault="00FA7EBF" w:rsidP="007B207C">
            <w:pPr>
              <w:pStyle w:val="ARfintablebodyright"/>
            </w:pPr>
          </w:p>
        </w:tc>
        <w:tc>
          <w:tcPr>
            <w:tcW w:w="1130" w:type="dxa"/>
            <w:tcBorders>
              <w:top w:val="single" w:sz="4" w:space="0" w:color="A6A6A6"/>
              <w:bottom w:val="single" w:sz="4" w:space="0" w:color="A6A6A6"/>
            </w:tcBorders>
            <w:shd w:val="clear" w:color="auto" w:fill="E7E6E6"/>
          </w:tcPr>
          <w:p w14:paraId="5B7C7E81" w14:textId="77777777" w:rsidR="00FA7EBF" w:rsidRPr="007939DD" w:rsidRDefault="00FA7EBF" w:rsidP="007B207C">
            <w:pPr>
              <w:pStyle w:val="ARfintablebodyright"/>
            </w:pPr>
            <w:r w:rsidRPr="006F13CE">
              <w:t>16,032.3</w:t>
            </w:r>
          </w:p>
        </w:tc>
        <w:tc>
          <w:tcPr>
            <w:tcW w:w="1130" w:type="dxa"/>
            <w:tcBorders>
              <w:top w:val="single" w:sz="4" w:space="0" w:color="A6A6A6"/>
              <w:bottom w:val="single" w:sz="4" w:space="0" w:color="A6A6A6"/>
            </w:tcBorders>
          </w:tcPr>
          <w:p w14:paraId="520E08DB" w14:textId="77777777" w:rsidR="00FA7EBF" w:rsidRPr="007939DD" w:rsidRDefault="00FA7EBF" w:rsidP="007B207C">
            <w:pPr>
              <w:pStyle w:val="ARfintablebodyright"/>
            </w:pPr>
            <w:r w:rsidRPr="006F13CE">
              <w:t>14,699.9</w:t>
            </w:r>
          </w:p>
        </w:tc>
      </w:tr>
      <w:tr w:rsidR="00FA7EBF" w:rsidRPr="007939DD" w14:paraId="72F27785" w14:textId="77777777" w:rsidTr="007B207C">
        <w:tc>
          <w:tcPr>
            <w:tcW w:w="6527" w:type="dxa"/>
            <w:tcBorders>
              <w:top w:val="single" w:sz="4" w:space="0" w:color="A6A6A6"/>
              <w:bottom w:val="single" w:sz="4" w:space="0" w:color="A6A6A6"/>
            </w:tcBorders>
          </w:tcPr>
          <w:p w14:paraId="06BBD6CB" w14:textId="77777777" w:rsidR="00FA7EBF" w:rsidRPr="007939DD" w:rsidRDefault="00FA7EBF" w:rsidP="007B207C">
            <w:pPr>
              <w:pStyle w:val="ARfintablebody"/>
            </w:pPr>
            <w:r w:rsidRPr="006F13CE">
              <w:t>Receipts of special appropriations</w:t>
            </w:r>
          </w:p>
        </w:tc>
        <w:tc>
          <w:tcPr>
            <w:tcW w:w="852" w:type="dxa"/>
            <w:tcBorders>
              <w:top w:val="single" w:sz="4" w:space="0" w:color="A6A6A6"/>
              <w:bottom w:val="single" w:sz="4" w:space="0" w:color="A6A6A6"/>
            </w:tcBorders>
          </w:tcPr>
          <w:p w14:paraId="6F2BE9CF" w14:textId="77777777" w:rsidR="00FA7EBF" w:rsidRPr="007939DD" w:rsidRDefault="00FA7EBF" w:rsidP="007B207C">
            <w:pPr>
              <w:pStyle w:val="ARfintablebodyright"/>
            </w:pPr>
          </w:p>
        </w:tc>
        <w:tc>
          <w:tcPr>
            <w:tcW w:w="1130" w:type="dxa"/>
            <w:tcBorders>
              <w:top w:val="single" w:sz="4" w:space="0" w:color="A6A6A6"/>
              <w:bottom w:val="single" w:sz="4" w:space="0" w:color="A6A6A6"/>
            </w:tcBorders>
            <w:shd w:val="clear" w:color="auto" w:fill="E7E6E6"/>
          </w:tcPr>
          <w:p w14:paraId="02B58FA8" w14:textId="77777777" w:rsidR="00FA7EBF" w:rsidRPr="007939DD" w:rsidRDefault="00FA7EBF" w:rsidP="007B207C">
            <w:pPr>
              <w:pStyle w:val="ARfintablebodyright"/>
            </w:pPr>
            <w:r w:rsidRPr="006F13CE">
              <w:t>1,513.4</w:t>
            </w:r>
          </w:p>
        </w:tc>
        <w:tc>
          <w:tcPr>
            <w:tcW w:w="1130" w:type="dxa"/>
            <w:tcBorders>
              <w:top w:val="single" w:sz="4" w:space="0" w:color="A6A6A6"/>
              <w:bottom w:val="single" w:sz="4" w:space="0" w:color="A6A6A6"/>
            </w:tcBorders>
          </w:tcPr>
          <w:p w14:paraId="0A54D16A" w14:textId="77777777" w:rsidR="00FA7EBF" w:rsidRPr="007939DD" w:rsidRDefault="00FA7EBF" w:rsidP="007B207C">
            <w:pPr>
              <w:pStyle w:val="ARfintablebodyright"/>
            </w:pPr>
            <w:r w:rsidRPr="006F13CE">
              <w:t>1,359.8</w:t>
            </w:r>
          </w:p>
        </w:tc>
      </w:tr>
      <w:tr w:rsidR="00FA7EBF" w:rsidRPr="007939DD" w14:paraId="45A4794E" w14:textId="77777777" w:rsidTr="007B207C">
        <w:tc>
          <w:tcPr>
            <w:tcW w:w="6527" w:type="dxa"/>
            <w:tcBorders>
              <w:top w:val="single" w:sz="4" w:space="0" w:color="A6A6A6"/>
              <w:bottom w:val="single" w:sz="4" w:space="0" w:color="A6A6A6"/>
            </w:tcBorders>
          </w:tcPr>
          <w:p w14:paraId="5AE019FF" w14:textId="77777777" w:rsidR="00FA7EBF" w:rsidRPr="007939DD" w:rsidRDefault="00FA7EBF" w:rsidP="007B207C">
            <w:pPr>
              <w:pStyle w:val="ARfintablebody"/>
            </w:pPr>
            <w:r w:rsidRPr="006F13CE">
              <w:t>Receipts of funds from other authorities</w:t>
            </w:r>
          </w:p>
        </w:tc>
        <w:tc>
          <w:tcPr>
            <w:tcW w:w="852" w:type="dxa"/>
            <w:tcBorders>
              <w:top w:val="single" w:sz="4" w:space="0" w:color="A6A6A6"/>
              <w:bottom w:val="single" w:sz="4" w:space="0" w:color="A6A6A6"/>
            </w:tcBorders>
          </w:tcPr>
          <w:p w14:paraId="625243E5" w14:textId="77777777" w:rsidR="00FA7EBF" w:rsidRPr="007939DD" w:rsidRDefault="00FA7EBF" w:rsidP="007B207C">
            <w:pPr>
              <w:pStyle w:val="ARfintablebodyright"/>
            </w:pPr>
          </w:p>
        </w:tc>
        <w:tc>
          <w:tcPr>
            <w:tcW w:w="1130" w:type="dxa"/>
            <w:tcBorders>
              <w:top w:val="single" w:sz="4" w:space="0" w:color="A6A6A6"/>
              <w:bottom w:val="single" w:sz="4" w:space="0" w:color="A6A6A6"/>
            </w:tcBorders>
            <w:shd w:val="clear" w:color="auto" w:fill="E7E6E6"/>
          </w:tcPr>
          <w:p w14:paraId="0903967D" w14:textId="77777777" w:rsidR="00FA7EBF" w:rsidRPr="007939DD" w:rsidRDefault="00FA7EBF" w:rsidP="007B207C">
            <w:pPr>
              <w:pStyle w:val="ARfintablebodyright"/>
            </w:pPr>
            <w:r w:rsidRPr="006F13CE">
              <w:t>1,143.5</w:t>
            </w:r>
          </w:p>
        </w:tc>
        <w:tc>
          <w:tcPr>
            <w:tcW w:w="1130" w:type="dxa"/>
            <w:tcBorders>
              <w:top w:val="single" w:sz="4" w:space="0" w:color="A6A6A6"/>
              <w:bottom w:val="single" w:sz="4" w:space="0" w:color="A6A6A6"/>
            </w:tcBorders>
          </w:tcPr>
          <w:p w14:paraId="69B0FB45" w14:textId="77777777" w:rsidR="00FA7EBF" w:rsidRPr="007939DD" w:rsidRDefault="00FA7EBF" w:rsidP="007B207C">
            <w:pPr>
              <w:pStyle w:val="ARfintablebodyright"/>
            </w:pPr>
            <w:r w:rsidRPr="006F13CE">
              <w:t>1,033.0</w:t>
            </w:r>
          </w:p>
        </w:tc>
      </w:tr>
      <w:tr w:rsidR="00FA7EBF" w:rsidRPr="007939DD" w14:paraId="041497F2" w14:textId="77777777" w:rsidTr="007B207C">
        <w:tc>
          <w:tcPr>
            <w:tcW w:w="6527" w:type="dxa"/>
            <w:tcBorders>
              <w:top w:val="single" w:sz="4" w:space="0" w:color="A6A6A6"/>
              <w:bottom w:val="single" w:sz="4" w:space="0" w:color="A6A6A6"/>
            </w:tcBorders>
          </w:tcPr>
          <w:p w14:paraId="51CE8D1C" w14:textId="77777777" w:rsidR="00FA7EBF" w:rsidRPr="007939DD" w:rsidRDefault="00FA7EBF" w:rsidP="007B207C">
            <w:pPr>
              <w:pStyle w:val="ARfintablebody"/>
            </w:pPr>
            <w:r w:rsidRPr="006F13CE">
              <w:t>Rent received</w:t>
            </w:r>
          </w:p>
        </w:tc>
        <w:tc>
          <w:tcPr>
            <w:tcW w:w="852" w:type="dxa"/>
            <w:tcBorders>
              <w:top w:val="single" w:sz="4" w:space="0" w:color="A6A6A6"/>
              <w:bottom w:val="single" w:sz="4" w:space="0" w:color="A6A6A6"/>
            </w:tcBorders>
          </w:tcPr>
          <w:p w14:paraId="7C085AF6" w14:textId="77777777" w:rsidR="00FA7EBF" w:rsidRPr="007939DD" w:rsidRDefault="00FA7EBF" w:rsidP="007B207C">
            <w:pPr>
              <w:pStyle w:val="ARfintablebodyright"/>
            </w:pPr>
          </w:p>
        </w:tc>
        <w:tc>
          <w:tcPr>
            <w:tcW w:w="1130" w:type="dxa"/>
            <w:tcBorders>
              <w:top w:val="single" w:sz="4" w:space="0" w:color="A6A6A6"/>
              <w:bottom w:val="single" w:sz="4" w:space="0" w:color="A6A6A6"/>
            </w:tcBorders>
            <w:shd w:val="clear" w:color="auto" w:fill="E7E6E6"/>
          </w:tcPr>
          <w:p w14:paraId="67968FDE" w14:textId="77777777" w:rsidR="00FA7EBF" w:rsidRPr="007939DD" w:rsidRDefault="00FA7EBF" w:rsidP="007B207C">
            <w:pPr>
              <w:pStyle w:val="ARfintablebodyright"/>
            </w:pPr>
            <w:r w:rsidRPr="006F13CE">
              <w:t>479.3</w:t>
            </w:r>
          </w:p>
        </w:tc>
        <w:tc>
          <w:tcPr>
            <w:tcW w:w="1130" w:type="dxa"/>
            <w:tcBorders>
              <w:top w:val="single" w:sz="4" w:space="0" w:color="A6A6A6"/>
              <w:bottom w:val="single" w:sz="4" w:space="0" w:color="A6A6A6"/>
            </w:tcBorders>
          </w:tcPr>
          <w:p w14:paraId="161A2545" w14:textId="77777777" w:rsidR="00FA7EBF" w:rsidRPr="007939DD" w:rsidRDefault="00FA7EBF" w:rsidP="007B207C">
            <w:pPr>
              <w:pStyle w:val="ARfintablebodyright"/>
            </w:pPr>
            <w:r w:rsidRPr="006F13CE">
              <w:t>473.4</w:t>
            </w:r>
          </w:p>
        </w:tc>
      </w:tr>
      <w:tr w:rsidR="00FA7EBF" w:rsidRPr="007939DD" w14:paraId="21EB763B" w14:textId="77777777" w:rsidTr="007B207C">
        <w:tc>
          <w:tcPr>
            <w:tcW w:w="6527" w:type="dxa"/>
            <w:tcBorders>
              <w:top w:val="single" w:sz="4" w:space="0" w:color="A6A6A6"/>
              <w:bottom w:val="single" w:sz="4" w:space="0" w:color="A6A6A6"/>
            </w:tcBorders>
          </w:tcPr>
          <w:p w14:paraId="2515C428" w14:textId="77777777" w:rsidR="00FA7EBF" w:rsidRPr="007939DD" w:rsidRDefault="00FA7EBF" w:rsidP="007B207C">
            <w:pPr>
              <w:pStyle w:val="ARfintablebody"/>
            </w:pPr>
            <w:r w:rsidRPr="006F13CE">
              <w:t>User charges received – rental properties</w:t>
            </w:r>
          </w:p>
        </w:tc>
        <w:tc>
          <w:tcPr>
            <w:tcW w:w="852" w:type="dxa"/>
            <w:tcBorders>
              <w:top w:val="single" w:sz="4" w:space="0" w:color="A6A6A6"/>
              <w:bottom w:val="single" w:sz="4" w:space="0" w:color="A6A6A6"/>
            </w:tcBorders>
          </w:tcPr>
          <w:p w14:paraId="4F12F092" w14:textId="77777777" w:rsidR="00FA7EBF" w:rsidRPr="007939DD" w:rsidRDefault="00FA7EBF" w:rsidP="007B207C">
            <w:pPr>
              <w:pStyle w:val="ARfintablebodyright"/>
            </w:pPr>
          </w:p>
        </w:tc>
        <w:tc>
          <w:tcPr>
            <w:tcW w:w="1130" w:type="dxa"/>
            <w:tcBorders>
              <w:top w:val="single" w:sz="4" w:space="0" w:color="A6A6A6"/>
              <w:bottom w:val="single" w:sz="4" w:space="0" w:color="A6A6A6"/>
            </w:tcBorders>
            <w:shd w:val="clear" w:color="auto" w:fill="E7E6E6"/>
          </w:tcPr>
          <w:p w14:paraId="24A3FA2A" w14:textId="77777777" w:rsidR="00FA7EBF" w:rsidRPr="007939DD" w:rsidRDefault="00FA7EBF" w:rsidP="007B207C">
            <w:pPr>
              <w:pStyle w:val="ARfintablebodyright"/>
            </w:pPr>
            <w:r w:rsidRPr="006F13CE">
              <w:t>4.8</w:t>
            </w:r>
          </w:p>
        </w:tc>
        <w:tc>
          <w:tcPr>
            <w:tcW w:w="1130" w:type="dxa"/>
            <w:tcBorders>
              <w:top w:val="single" w:sz="4" w:space="0" w:color="A6A6A6"/>
              <w:bottom w:val="single" w:sz="4" w:space="0" w:color="A6A6A6"/>
            </w:tcBorders>
          </w:tcPr>
          <w:p w14:paraId="41C0F107" w14:textId="77777777" w:rsidR="00FA7EBF" w:rsidRPr="007939DD" w:rsidRDefault="00FA7EBF" w:rsidP="007B207C">
            <w:pPr>
              <w:pStyle w:val="ARfintablebodyright"/>
            </w:pPr>
            <w:r w:rsidRPr="006F13CE">
              <w:t>4.9</w:t>
            </w:r>
          </w:p>
        </w:tc>
      </w:tr>
      <w:tr w:rsidR="00FA7EBF" w:rsidRPr="007939DD" w14:paraId="3ADBAD2D" w14:textId="77777777" w:rsidTr="007B207C">
        <w:tc>
          <w:tcPr>
            <w:tcW w:w="6527" w:type="dxa"/>
            <w:tcBorders>
              <w:top w:val="single" w:sz="4" w:space="0" w:color="A6A6A6"/>
              <w:bottom w:val="single" w:sz="4" w:space="0" w:color="A6A6A6"/>
            </w:tcBorders>
          </w:tcPr>
          <w:p w14:paraId="6123835B" w14:textId="77777777" w:rsidR="00FA7EBF" w:rsidRPr="007939DD" w:rsidRDefault="00FA7EBF" w:rsidP="007B207C">
            <w:pPr>
              <w:pStyle w:val="ARfintablebody"/>
            </w:pPr>
            <w:r w:rsidRPr="006F13CE">
              <w:t>Interest received</w:t>
            </w:r>
          </w:p>
        </w:tc>
        <w:tc>
          <w:tcPr>
            <w:tcW w:w="852" w:type="dxa"/>
            <w:tcBorders>
              <w:top w:val="single" w:sz="4" w:space="0" w:color="A6A6A6"/>
              <w:bottom w:val="single" w:sz="4" w:space="0" w:color="A6A6A6"/>
            </w:tcBorders>
          </w:tcPr>
          <w:p w14:paraId="2A7336AA" w14:textId="77777777" w:rsidR="00FA7EBF" w:rsidRPr="007939DD" w:rsidRDefault="00FA7EBF" w:rsidP="007B207C">
            <w:pPr>
              <w:pStyle w:val="ARfintablebodyright"/>
            </w:pPr>
          </w:p>
        </w:tc>
        <w:tc>
          <w:tcPr>
            <w:tcW w:w="1130" w:type="dxa"/>
            <w:tcBorders>
              <w:top w:val="single" w:sz="4" w:space="0" w:color="A6A6A6"/>
              <w:bottom w:val="single" w:sz="4" w:space="0" w:color="A6A6A6"/>
            </w:tcBorders>
            <w:shd w:val="clear" w:color="auto" w:fill="E7E6E6"/>
          </w:tcPr>
          <w:p w14:paraId="2104F439" w14:textId="77777777" w:rsidR="00FA7EBF" w:rsidRPr="007939DD" w:rsidRDefault="00FA7EBF" w:rsidP="007B207C">
            <w:pPr>
              <w:pStyle w:val="ARfintablebodyright"/>
            </w:pPr>
            <w:r w:rsidRPr="006F13CE">
              <w:t>13.8</w:t>
            </w:r>
          </w:p>
        </w:tc>
        <w:tc>
          <w:tcPr>
            <w:tcW w:w="1130" w:type="dxa"/>
            <w:tcBorders>
              <w:top w:val="single" w:sz="4" w:space="0" w:color="A6A6A6"/>
              <w:bottom w:val="single" w:sz="4" w:space="0" w:color="A6A6A6"/>
            </w:tcBorders>
          </w:tcPr>
          <w:p w14:paraId="5619E7BA" w14:textId="77777777" w:rsidR="00FA7EBF" w:rsidRPr="007939DD" w:rsidRDefault="00FA7EBF" w:rsidP="007B207C">
            <w:pPr>
              <w:pStyle w:val="ARfintablebodyright"/>
            </w:pPr>
            <w:r w:rsidRPr="006F13CE">
              <w:t>9.5</w:t>
            </w:r>
          </w:p>
        </w:tc>
      </w:tr>
      <w:tr w:rsidR="00FA7EBF" w:rsidRPr="007939DD" w14:paraId="268ADA44" w14:textId="77777777" w:rsidTr="007B207C">
        <w:tc>
          <w:tcPr>
            <w:tcW w:w="6527" w:type="dxa"/>
            <w:tcBorders>
              <w:top w:val="single" w:sz="4" w:space="0" w:color="A6A6A6"/>
              <w:bottom w:val="single" w:sz="4" w:space="0" w:color="A6A6A6"/>
            </w:tcBorders>
          </w:tcPr>
          <w:p w14:paraId="188F72B0" w14:textId="77777777" w:rsidR="00FA7EBF" w:rsidRPr="007939DD" w:rsidRDefault="00FA7EBF" w:rsidP="007B207C">
            <w:pPr>
              <w:pStyle w:val="ARfintablebody"/>
            </w:pPr>
            <w:r w:rsidRPr="006F13CE">
              <w:t>Other receipts</w:t>
            </w:r>
          </w:p>
        </w:tc>
        <w:tc>
          <w:tcPr>
            <w:tcW w:w="852" w:type="dxa"/>
            <w:tcBorders>
              <w:top w:val="single" w:sz="4" w:space="0" w:color="A6A6A6"/>
              <w:bottom w:val="single" w:sz="4" w:space="0" w:color="A6A6A6"/>
            </w:tcBorders>
          </w:tcPr>
          <w:p w14:paraId="522F8D86" w14:textId="77777777" w:rsidR="00FA7EBF" w:rsidRPr="007939DD" w:rsidRDefault="00FA7EBF" w:rsidP="007B207C">
            <w:pPr>
              <w:pStyle w:val="ARfintablebodyright"/>
            </w:pPr>
          </w:p>
        </w:tc>
        <w:tc>
          <w:tcPr>
            <w:tcW w:w="1130" w:type="dxa"/>
            <w:tcBorders>
              <w:top w:val="single" w:sz="4" w:space="0" w:color="A6A6A6"/>
              <w:bottom w:val="single" w:sz="4" w:space="0" w:color="A6A6A6"/>
            </w:tcBorders>
            <w:shd w:val="clear" w:color="auto" w:fill="E7E6E6"/>
          </w:tcPr>
          <w:p w14:paraId="05552161" w14:textId="77777777" w:rsidR="00FA7EBF" w:rsidRPr="007939DD" w:rsidRDefault="00FA7EBF" w:rsidP="007B207C">
            <w:pPr>
              <w:pStyle w:val="ARfintablebodyright"/>
            </w:pPr>
            <w:r w:rsidRPr="006F13CE">
              <w:t>16.6</w:t>
            </w:r>
          </w:p>
        </w:tc>
        <w:tc>
          <w:tcPr>
            <w:tcW w:w="1130" w:type="dxa"/>
            <w:tcBorders>
              <w:top w:val="single" w:sz="4" w:space="0" w:color="A6A6A6"/>
              <w:bottom w:val="single" w:sz="4" w:space="0" w:color="A6A6A6"/>
            </w:tcBorders>
          </w:tcPr>
          <w:p w14:paraId="2DEE3598" w14:textId="77777777" w:rsidR="00FA7EBF" w:rsidRPr="007939DD" w:rsidRDefault="00FA7EBF" w:rsidP="007B207C">
            <w:pPr>
              <w:pStyle w:val="ARfintablebodyright"/>
            </w:pPr>
            <w:r w:rsidRPr="006F13CE">
              <w:t>47.8</w:t>
            </w:r>
          </w:p>
        </w:tc>
      </w:tr>
      <w:tr w:rsidR="00FA7EBF" w:rsidRPr="007939DD" w14:paraId="159912A0" w14:textId="77777777" w:rsidTr="007B207C">
        <w:tc>
          <w:tcPr>
            <w:tcW w:w="6527" w:type="dxa"/>
            <w:tcBorders>
              <w:top w:val="single" w:sz="4" w:space="0" w:color="A6A6A6"/>
            </w:tcBorders>
          </w:tcPr>
          <w:p w14:paraId="37E43892" w14:textId="77777777" w:rsidR="00FA7EBF" w:rsidRPr="007939DD" w:rsidRDefault="00FA7EBF" w:rsidP="007B207C">
            <w:pPr>
              <w:pStyle w:val="ARfintablebody"/>
            </w:pPr>
            <w:r w:rsidRPr="006F13CE">
              <w:t xml:space="preserve">GST recovered from Australian Taxation Office </w:t>
            </w:r>
            <w:r w:rsidRPr="00A679C1">
              <w:rPr>
                <w:rStyle w:val="Superscript"/>
              </w:rPr>
              <w:t>(i)</w:t>
            </w:r>
          </w:p>
        </w:tc>
        <w:tc>
          <w:tcPr>
            <w:tcW w:w="852" w:type="dxa"/>
            <w:tcBorders>
              <w:top w:val="single" w:sz="4" w:space="0" w:color="A6A6A6"/>
            </w:tcBorders>
          </w:tcPr>
          <w:p w14:paraId="495B1906" w14:textId="77777777" w:rsidR="00FA7EBF" w:rsidRPr="007939DD" w:rsidRDefault="00FA7EBF" w:rsidP="007B207C">
            <w:pPr>
              <w:pStyle w:val="ARfintablebodyright"/>
            </w:pPr>
          </w:p>
        </w:tc>
        <w:tc>
          <w:tcPr>
            <w:tcW w:w="1130" w:type="dxa"/>
            <w:tcBorders>
              <w:top w:val="single" w:sz="4" w:space="0" w:color="A6A6A6"/>
            </w:tcBorders>
            <w:shd w:val="clear" w:color="auto" w:fill="E7E6E6"/>
          </w:tcPr>
          <w:p w14:paraId="46DBC8CE" w14:textId="77777777" w:rsidR="00FA7EBF" w:rsidRPr="007939DD" w:rsidRDefault="00FA7EBF" w:rsidP="007B207C">
            <w:pPr>
              <w:pStyle w:val="ARfintablebodyright"/>
            </w:pPr>
            <w:r w:rsidRPr="006F13CE">
              <w:t>528.6</w:t>
            </w:r>
          </w:p>
        </w:tc>
        <w:tc>
          <w:tcPr>
            <w:tcW w:w="1130" w:type="dxa"/>
            <w:tcBorders>
              <w:top w:val="single" w:sz="4" w:space="0" w:color="A6A6A6"/>
            </w:tcBorders>
          </w:tcPr>
          <w:p w14:paraId="78B36791" w14:textId="77777777" w:rsidR="00FA7EBF" w:rsidRPr="007939DD" w:rsidRDefault="00FA7EBF" w:rsidP="007B207C">
            <w:pPr>
              <w:pStyle w:val="ARfintablebodyright"/>
            </w:pPr>
            <w:r w:rsidRPr="006F13CE">
              <w:t>518.4</w:t>
            </w:r>
          </w:p>
        </w:tc>
      </w:tr>
      <w:tr w:rsidR="00FA7EBF" w:rsidRPr="007939DD" w14:paraId="127BC617" w14:textId="77777777" w:rsidTr="007B207C">
        <w:tc>
          <w:tcPr>
            <w:tcW w:w="6527" w:type="dxa"/>
          </w:tcPr>
          <w:p w14:paraId="2C6C3BCC" w14:textId="77777777" w:rsidR="00FA7EBF" w:rsidRPr="007939DD" w:rsidRDefault="00FA7EBF" w:rsidP="007B207C">
            <w:pPr>
              <w:pStyle w:val="ARfintablebodybold"/>
              <w:rPr>
                <w:rStyle w:val="Strong"/>
              </w:rPr>
            </w:pPr>
            <w:r w:rsidRPr="006F13CE">
              <w:t>Total receipts</w:t>
            </w:r>
          </w:p>
        </w:tc>
        <w:tc>
          <w:tcPr>
            <w:tcW w:w="852" w:type="dxa"/>
          </w:tcPr>
          <w:p w14:paraId="4F3ED960" w14:textId="77777777" w:rsidR="00FA7EBF" w:rsidRPr="007939DD" w:rsidRDefault="00FA7EBF" w:rsidP="007B207C">
            <w:pPr>
              <w:pStyle w:val="ARfintablebodyright"/>
              <w:rPr>
                <w:rStyle w:val="Strong"/>
              </w:rPr>
            </w:pPr>
          </w:p>
        </w:tc>
        <w:tc>
          <w:tcPr>
            <w:tcW w:w="1130" w:type="dxa"/>
            <w:shd w:val="clear" w:color="auto" w:fill="E7E6E6"/>
          </w:tcPr>
          <w:p w14:paraId="392610AA" w14:textId="77777777" w:rsidR="00FA7EBF" w:rsidRPr="007939DD" w:rsidRDefault="00FA7EBF" w:rsidP="007B207C">
            <w:pPr>
              <w:pStyle w:val="ARfintablebodyrightbold"/>
              <w:rPr>
                <w:rStyle w:val="Strong"/>
              </w:rPr>
            </w:pPr>
            <w:r w:rsidRPr="006F13CE">
              <w:t>19,732.4</w:t>
            </w:r>
          </w:p>
        </w:tc>
        <w:tc>
          <w:tcPr>
            <w:tcW w:w="1130" w:type="dxa"/>
          </w:tcPr>
          <w:p w14:paraId="045A2CF8" w14:textId="77777777" w:rsidR="00FA7EBF" w:rsidRPr="007939DD" w:rsidRDefault="00FA7EBF" w:rsidP="007B207C">
            <w:pPr>
              <w:pStyle w:val="ARfintablebodyrightbold"/>
              <w:rPr>
                <w:rStyle w:val="Strong"/>
              </w:rPr>
            </w:pPr>
            <w:r w:rsidRPr="006F13CE">
              <w:t>18,146.7</w:t>
            </w:r>
          </w:p>
        </w:tc>
      </w:tr>
      <w:tr w:rsidR="00FA7EBF" w:rsidRPr="007939DD" w14:paraId="771D9EEE" w14:textId="77777777" w:rsidTr="007B207C">
        <w:tc>
          <w:tcPr>
            <w:tcW w:w="9639" w:type="dxa"/>
            <w:gridSpan w:val="4"/>
            <w:tcBorders>
              <w:bottom w:val="single" w:sz="4" w:space="0" w:color="A6A6A6"/>
            </w:tcBorders>
          </w:tcPr>
          <w:p w14:paraId="316B2956" w14:textId="77777777" w:rsidR="00FA7EBF" w:rsidRPr="007939DD" w:rsidRDefault="00FA7EBF" w:rsidP="007B207C">
            <w:pPr>
              <w:pStyle w:val="ARfintablebodybold"/>
              <w:rPr>
                <w:rStyle w:val="Strong"/>
              </w:rPr>
            </w:pPr>
            <w:r w:rsidRPr="006F13CE">
              <w:t>Payments</w:t>
            </w:r>
          </w:p>
        </w:tc>
      </w:tr>
      <w:tr w:rsidR="00FA7EBF" w:rsidRPr="007939DD" w14:paraId="0557341F" w14:textId="77777777" w:rsidTr="007B207C">
        <w:tc>
          <w:tcPr>
            <w:tcW w:w="6527" w:type="dxa"/>
            <w:tcBorders>
              <w:top w:val="single" w:sz="4" w:space="0" w:color="A6A6A6"/>
              <w:bottom w:val="single" w:sz="4" w:space="0" w:color="A6A6A6"/>
            </w:tcBorders>
          </w:tcPr>
          <w:p w14:paraId="466716BB" w14:textId="77777777" w:rsidR="00FA7EBF" w:rsidRPr="007939DD" w:rsidRDefault="00FA7EBF" w:rsidP="007B207C">
            <w:pPr>
              <w:pStyle w:val="ARfintablebody"/>
            </w:pPr>
            <w:r w:rsidRPr="006F13CE">
              <w:t>Payments of grants and other expense transfers</w:t>
            </w:r>
          </w:p>
        </w:tc>
        <w:tc>
          <w:tcPr>
            <w:tcW w:w="852" w:type="dxa"/>
            <w:tcBorders>
              <w:top w:val="single" w:sz="4" w:space="0" w:color="A6A6A6"/>
              <w:bottom w:val="single" w:sz="4" w:space="0" w:color="A6A6A6"/>
            </w:tcBorders>
          </w:tcPr>
          <w:p w14:paraId="7BDFF0F3" w14:textId="77777777" w:rsidR="00FA7EBF" w:rsidRPr="007939DD" w:rsidRDefault="00FA7EBF" w:rsidP="007B207C">
            <w:pPr>
              <w:pStyle w:val="ARfintablebodyright"/>
            </w:pPr>
          </w:p>
        </w:tc>
        <w:tc>
          <w:tcPr>
            <w:tcW w:w="1130" w:type="dxa"/>
            <w:tcBorders>
              <w:top w:val="single" w:sz="4" w:space="0" w:color="A6A6A6"/>
              <w:bottom w:val="single" w:sz="4" w:space="0" w:color="A6A6A6"/>
            </w:tcBorders>
            <w:shd w:val="clear" w:color="auto" w:fill="E7E6E6"/>
          </w:tcPr>
          <w:p w14:paraId="592BA57E" w14:textId="77777777" w:rsidR="00FA7EBF" w:rsidRPr="007939DD" w:rsidRDefault="00FA7EBF" w:rsidP="007B207C">
            <w:pPr>
              <w:pStyle w:val="ARfintablebodyright"/>
            </w:pPr>
            <w:r w:rsidRPr="006F13CE">
              <w:t>(15,558.2)</w:t>
            </w:r>
          </w:p>
        </w:tc>
        <w:tc>
          <w:tcPr>
            <w:tcW w:w="1130" w:type="dxa"/>
            <w:tcBorders>
              <w:top w:val="single" w:sz="4" w:space="0" w:color="A6A6A6"/>
              <w:bottom w:val="single" w:sz="4" w:space="0" w:color="A6A6A6"/>
            </w:tcBorders>
          </w:tcPr>
          <w:p w14:paraId="7A78BF7E" w14:textId="77777777" w:rsidR="00FA7EBF" w:rsidRPr="007939DD" w:rsidRDefault="00FA7EBF" w:rsidP="007B207C">
            <w:pPr>
              <w:pStyle w:val="ARfintablebodyright"/>
            </w:pPr>
            <w:r w:rsidRPr="006F13CE">
              <w:t>(14,295.2)</w:t>
            </w:r>
          </w:p>
        </w:tc>
      </w:tr>
      <w:tr w:rsidR="00FA7EBF" w:rsidRPr="007939DD" w14:paraId="09A81D06" w14:textId="77777777" w:rsidTr="007B207C">
        <w:tc>
          <w:tcPr>
            <w:tcW w:w="6527" w:type="dxa"/>
            <w:tcBorders>
              <w:top w:val="single" w:sz="4" w:space="0" w:color="A6A6A6"/>
              <w:bottom w:val="single" w:sz="4" w:space="0" w:color="A6A6A6"/>
            </w:tcBorders>
          </w:tcPr>
          <w:p w14:paraId="7D7739BD" w14:textId="77777777" w:rsidR="00FA7EBF" w:rsidRPr="007939DD" w:rsidRDefault="00FA7EBF" w:rsidP="007B207C">
            <w:pPr>
              <w:pStyle w:val="ARfintablebody"/>
            </w:pPr>
            <w:r w:rsidRPr="006F13CE">
              <w:t>Payments for employee benefits</w:t>
            </w:r>
          </w:p>
        </w:tc>
        <w:tc>
          <w:tcPr>
            <w:tcW w:w="852" w:type="dxa"/>
            <w:tcBorders>
              <w:top w:val="single" w:sz="4" w:space="0" w:color="A6A6A6"/>
              <w:bottom w:val="single" w:sz="4" w:space="0" w:color="A6A6A6"/>
            </w:tcBorders>
          </w:tcPr>
          <w:p w14:paraId="61EEF581" w14:textId="77777777" w:rsidR="00FA7EBF" w:rsidRPr="007939DD" w:rsidRDefault="00FA7EBF" w:rsidP="007B207C">
            <w:pPr>
              <w:pStyle w:val="ARfintablebodyright"/>
            </w:pPr>
          </w:p>
        </w:tc>
        <w:tc>
          <w:tcPr>
            <w:tcW w:w="1130" w:type="dxa"/>
            <w:tcBorders>
              <w:top w:val="single" w:sz="4" w:space="0" w:color="A6A6A6"/>
              <w:bottom w:val="single" w:sz="4" w:space="0" w:color="A6A6A6"/>
            </w:tcBorders>
            <w:shd w:val="clear" w:color="auto" w:fill="E7E6E6"/>
          </w:tcPr>
          <w:p w14:paraId="274D3ACB" w14:textId="77777777" w:rsidR="00FA7EBF" w:rsidRPr="007939DD" w:rsidRDefault="00FA7EBF" w:rsidP="007B207C">
            <w:pPr>
              <w:pStyle w:val="ARfintablebodyright"/>
            </w:pPr>
            <w:r w:rsidRPr="006F13CE">
              <w:t>(1,429.4)</w:t>
            </w:r>
          </w:p>
        </w:tc>
        <w:tc>
          <w:tcPr>
            <w:tcW w:w="1130" w:type="dxa"/>
            <w:tcBorders>
              <w:top w:val="single" w:sz="4" w:space="0" w:color="A6A6A6"/>
              <w:bottom w:val="single" w:sz="4" w:space="0" w:color="A6A6A6"/>
            </w:tcBorders>
          </w:tcPr>
          <w:p w14:paraId="58D54AEC" w14:textId="77777777" w:rsidR="00FA7EBF" w:rsidRPr="007939DD" w:rsidRDefault="00FA7EBF" w:rsidP="007B207C">
            <w:pPr>
              <w:pStyle w:val="ARfintablebodyright"/>
            </w:pPr>
            <w:r w:rsidRPr="006F13CE">
              <w:t>(1,298.3)</w:t>
            </w:r>
          </w:p>
        </w:tc>
      </w:tr>
      <w:tr w:rsidR="00FA7EBF" w:rsidRPr="007939DD" w14:paraId="780D9BCA" w14:textId="77777777" w:rsidTr="007B207C">
        <w:tc>
          <w:tcPr>
            <w:tcW w:w="6527" w:type="dxa"/>
            <w:tcBorders>
              <w:top w:val="single" w:sz="4" w:space="0" w:color="A6A6A6"/>
              <w:bottom w:val="single" w:sz="4" w:space="0" w:color="A6A6A6"/>
            </w:tcBorders>
          </w:tcPr>
          <w:p w14:paraId="116E2821" w14:textId="77777777" w:rsidR="00FA7EBF" w:rsidRPr="007939DD" w:rsidRDefault="00FA7EBF" w:rsidP="007B207C">
            <w:pPr>
              <w:pStyle w:val="ARfintablebody"/>
            </w:pPr>
            <w:r w:rsidRPr="006F13CE">
              <w:t>Payments for supplies and services</w:t>
            </w:r>
          </w:p>
        </w:tc>
        <w:tc>
          <w:tcPr>
            <w:tcW w:w="852" w:type="dxa"/>
            <w:tcBorders>
              <w:top w:val="single" w:sz="4" w:space="0" w:color="A6A6A6"/>
              <w:bottom w:val="single" w:sz="4" w:space="0" w:color="A6A6A6"/>
            </w:tcBorders>
          </w:tcPr>
          <w:p w14:paraId="4A062F43" w14:textId="77777777" w:rsidR="00FA7EBF" w:rsidRPr="007939DD" w:rsidRDefault="00FA7EBF" w:rsidP="007B207C">
            <w:pPr>
              <w:pStyle w:val="ARfintablebodyright"/>
            </w:pPr>
          </w:p>
        </w:tc>
        <w:tc>
          <w:tcPr>
            <w:tcW w:w="1130" w:type="dxa"/>
            <w:tcBorders>
              <w:top w:val="single" w:sz="4" w:space="0" w:color="A6A6A6"/>
              <w:bottom w:val="single" w:sz="4" w:space="0" w:color="A6A6A6"/>
            </w:tcBorders>
            <w:shd w:val="clear" w:color="auto" w:fill="E7E6E6"/>
          </w:tcPr>
          <w:p w14:paraId="6A4FFCCC" w14:textId="77777777" w:rsidR="00FA7EBF" w:rsidRPr="007939DD" w:rsidRDefault="00FA7EBF" w:rsidP="007B207C">
            <w:pPr>
              <w:pStyle w:val="ARfintablebodyright"/>
            </w:pPr>
            <w:r w:rsidRPr="006F13CE">
              <w:t>(694.1)</w:t>
            </w:r>
          </w:p>
        </w:tc>
        <w:tc>
          <w:tcPr>
            <w:tcW w:w="1130" w:type="dxa"/>
            <w:tcBorders>
              <w:top w:val="single" w:sz="4" w:space="0" w:color="A6A6A6"/>
              <w:bottom w:val="single" w:sz="4" w:space="0" w:color="A6A6A6"/>
            </w:tcBorders>
          </w:tcPr>
          <w:p w14:paraId="19A207B0" w14:textId="77777777" w:rsidR="00FA7EBF" w:rsidRPr="007939DD" w:rsidRDefault="00FA7EBF" w:rsidP="007B207C">
            <w:pPr>
              <w:pStyle w:val="ARfintablebodyright"/>
            </w:pPr>
            <w:r w:rsidRPr="006F13CE">
              <w:t>(605.6)</w:t>
            </w:r>
          </w:p>
        </w:tc>
      </w:tr>
      <w:tr w:rsidR="00FA7EBF" w:rsidRPr="007939DD" w14:paraId="35AA9F9E" w14:textId="77777777" w:rsidTr="007B207C">
        <w:tc>
          <w:tcPr>
            <w:tcW w:w="6527" w:type="dxa"/>
            <w:tcBorders>
              <w:top w:val="single" w:sz="4" w:space="0" w:color="A6A6A6"/>
              <w:bottom w:val="single" w:sz="4" w:space="0" w:color="A6A6A6"/>
            </w:tcBorders>
          </w:tcPr>
          <w:p w14:paraId="3D1E7EB5" w14:textId="77777777" w:rsidR="00FA7EBF" w:rsidRPr="007939DD" w:rsidRDefault="00FA7EBF" w:rsidP="007B207C">
            <w:pPr>
              <w:pStyle w:val="ARfintablebody"/>
            </w:pPr>
            <w:r w:rsidRPr="006F13CE">
              <w:t>Interest and other costs of finance paid</w:t>
            </w:r>
          </w:p>
        </w:tc>
        <w:tc>
          <w:tcPr>
            <w:tcW w:w="852" w:type="dxa"/>
            <w:tcBorders>
              <w:top w:val="single" w:sz="4" w:space="0" w:color="A6A6A6"/>
              <w:bottom w:val="single" w:sz="4" w:space="0" w:color="A6A6A6"/>
            </w:tcBorders>
          </w:tcPr>
          <w:p w14:paraId="55EFB600" w14:textId="77777777" w:rsidR="00FA7EBF" w:rsidRPr="007939DD" w:rsidRDefault="00FA7EBF" w:rsidP="007B207C">
            <w:pPr>
              <w:pStyle w:val="ARfintablebodyright"/>
            </w:pPr>
          </w:p>
        </w:tc>
        <w:tc>
          <w:tcPr>
            <w:tcW w:w="1130" w:type="dxa"/>
            <w:tcBorders>
              <w:top w:val="single" w:sz="4" w:space="0" w:color="A6A6A6"/>
              <w:bottom w:val="single" w:sz="4" w:space="0" w:color="A6A6A6"/>
            </w:tcBorders>
            <w:shd w:val="clear" w:color="auto" w:fill="E7E6E6"/>
          </w:tcPr>
          <w:p w14:paraId="68260C71" w14:textId="77777777" w:rsidR="00FA7EBF" w:rsidRPr="007939DD" w:rsidRDefault="00FA7EBF" w:rsidP="007B207C">
            <w:pPr>
              <w:pStyle w:val="ARfintablebodyright"/>
            </w:pPr>
            <w:r w:rsidRPr="006F13CE">
              <w:t>(4.7)</w:t>
            </w:r>
          </w:p>
        </w:tc>
        <w:tc>
          <w:tcPr>
            <w:tcW w:w="1130" w:type="dxa"/>
            <w:tcBorders>
              <w:top w:val="single" w:sz="4" w:space="0" w:color="A6A6A6"/>
              <w:bottom w:val="single" w:sz="4" w:space="0" w:color="A6A6A6"/>
            </w:tcBorders>
          </w:tcPr>
          <w:p w14:paraId="16B84137" w14:textId="77777777" w:rsidR="00FA7EBF" w:rsidRPr="007939DD" w:rsidRDefault="00FA7EBF" w:rsidP="007B207C">
            <w:pPr>
              <w:pStyle w:val="ARfintablebodyright"/>
            </w:pPr>
            <w:r w:rsidRPr="006F13CE">
              <w:t>(2.5)</w:t>
            </w:r>
          </w:p>
        </w:tc>
      </w:tr>
      <w:tr w:rsidR="00FA7EBF" w:rsidRPr="007939DD" w14:paraId="756C70D3" w14:textId="77777777" w:rsidTr="007B207C">
        <w:tc>
          <w:tcPr>
            <w:tcW w:w="6527" w:type="dxa"/>
            <w:tcBorders>
              <w:top w:val="single" w:sz="4" w:space="0" w:color="A6A6A6"/>
              <w:bottom w:val="single" w:sz="4" w:space="0" w:color="A6A6A6"/>
            </w:tcBorders>
          </w:tcPr>
          <w:p w14:paraId="6DBA328F" w14:textId="77777777" w:rsidR="00FA7EBF" w:rsidRPr="007939DD" w:rsidRDefault="00FA7EBF" w:rsidP="007B207C">
            <w:pPr>
              <w:pStyle w:val="ARfintablebody"/>
            </w:pPr>
            <w:r w:rsidRPr="006F13CE">
              <w:t>Capital asset charge payments</w:t>
            </w:r>
          </w:p>
        </w:tc>
        <w:tc>
          <w:tcPr>
            <w:tcW w:w="852" w:type="dxa"/>
            <w:tcBorders>
              <w:top w:val="single" w:sz="4" w:space="0" w:color="A6A6A6"/>
              <w:bottom w:val="single" w:sz="4" w:space="0" w:color="A6A6A6"/>
            </w:tcBorders>
          </w:tcPr>
          <w:p w14:paraId="1B3280B4" w14:textId="77777777" w:rsidR="00FA7EBF" w:rsidRPr="007939DD" w:rsidRDefault="00FA7EBF" w:rsidP="007B207C">
            <w:pPr>
              <w:pStyle w:val="ARfintablebodyright"/>
            </w:pPr>
          </w:p>
        </w:tc>
        <w:tc>
          <w:tcPr>
            <w:tcW w:w="1130" w:type="dxa"/>
            <w:tcBorders>
              <w:top w:val="single" w:sz="4" w:space="0" w:color="A6A6A6"/>
              <w:bottom w:val="single" w:sz="4" w:space="0" w:color="A6A6A6"/>
            </w:tcBorders>
            <w:shd w:val="clear" w:color="auto" w:fill="E7E6E6"/>
          </w:tcPr>
          <w:p w14:paraId="7B802A77" w14:textId="77777777" w:rsidR="00FA7EBF" w:rsidRPr="007939DD" w:rsidRDefault="00FA7EBF" w:rsidP="007B207C">
            <w:pPr>
              <w:pStyle w:val="ARfintablebodyright"/>
            </w:pPr>
            <w:r w:rsidRPr="006F13CE">
              <w:t>(1,266.0)</w:t>
            </w:r>
          </w:p>
        </w:tc>
        <w:tc>
          <w:tcPr>
            <w:tcW w:w="1130" w:type="dxa"/>
            <w:tcBorders>
              <w:top w:val="single" w:sz="4" w:space="0" w:color="A6A6A6"/>
              <w:bottom w:val="single" w:sz="4" w:space="0" w:color="A6A6A6"/>
            </w:tcBorders>
          </w:tcPr>
          <w:p w14:paraId="7EEA1675" w14:textId="77777777" w:rsidR="00FA7EBF" w:rsidRPr="007939DD" w:rsidRDefault="00FA7EBF" w:rsidP="007B207C">
            <w:pPr>
              <w:pStyle w:val="ARfintablebodyright"/>
            </w:pPr>
            <w:r w:rsidRPr="006F13CE">
              <w:t>(1,201.4)</w:t>
            </w:r>
          </w:p>
        </w:tc>
      </w:tr>
      <w:tr w:rsidR="00FA7EBF" w:rsidRPr="007939DD" w14:paraId="3F106D76" w14:textId="77777777" w:rsidTr="007B207C">
        <w:tc>
          <w:tcPr>
            <w:tcW w:w="6527" w:type="dxa"/>
            <w:tcBorders>
              <w:top w:val="single" w:sz="4" w:space="0" w:color="A6A6A6"/>
              <w:bottom w:val="single" w:sz="4" w:space="0" w:color="A6A6A6"/>
            </w:tcBorders>
          </w:tcPr>
          <w:p w14:paraId="5C314543" w14:textId="77777777" w:rsidR="00FA7EBF" w:rsidRPr="007939DD" w:rsidRDefault="00FA7EBF" w:rsidP="007B207C">
            <w:pPr>
              <w:pStyle w:val="ARfintablebody"/>
            </w:pPr>
            <w:r w:rsidRPr="006F13CE">
              <w:t>Maintenance</w:t>
            </w:r>
          </w:p>
        </w:tc>
        <w:tc>
          <w:tcPr>
            <w:tcW w:w="852" w:type="dxa"/>
            <w:tcBorders>
              <w:top w:val="single" w:sz="4" w:space="0" w:color="A6A6A6"/>
              <w:bottom w:val="single" w:sz="4" w:space="0" w:color="A6A6A6"/>
            </w:tcBorders>
          </w:tcPr>
          <w:p w14:paraId="693B09DB" w14:textId="77777777" w:rsidR="00FA7EBF" w:rsidRPr="007939DD" w:rsidRDefault="00FA7EBF" w:rsidP="007B207C">
            <w:pPr>
              <w:pStyle w:val="ARfintablebodyright"/>
            </w:pPr>
          </w:p>
        </w:tc>
        <w:tc>
          <w:tcPr>
            <w:tcW w:w="1130" w:type="dxa"/>
            <w:tcBorders>
              <w:top w:val="single" w:sz="4" w:space="0" w:color="A6A6A6"/>
              <w:bottom w:val="single" w:sz="4" w:space="0" w:color="A6A6A6"/>
            </w:tcBorders>
            <w:shd w:val="clear" w:color="auto" w:fill="E7E6E6"/>
          </w:tcPr>
          <w:p w14:paraId="18F613B1" w14:textId="77777777" w:rsidR="00FA7EBF" w:rsidRPr="007939DD" w:rsidRDefault="00FA7EBF" w:rsidP="007B207C">
            <w:pPr>
              <w:pStyle w:val="ARfintablebodyright"/>
            </w:pPr>
            <w:r w:rsidRPr="006F13CE">
              <w:t>(142.0)</w:t>
            </w:r>
          </w:p>
        </w:tc>
        <w:tc>
          <w:tcPr>
            <w:tcW w:w="1130" w:type="dxa"/>
            <w:tcBorders>
              <w:top w:val="single" w:sz="4" w:space="0" w:color="A6A6A6"/>
              <w:bottom w:val="single" w:sz="4" w:space="0" w:color="A6A6A6"/>
            </w:tcBorders>
          </w:tcPr>
          <w:p w14:paraId="335E2DD1" w14:textId="77777777" w:rsidR="00FA7EBF" w:rsidRPr="007939DD" w:rsidRDefault="00FA7EBF" w:rsidP="007B207C">
            <w:pPr>
              <w:pStyle w:val="ARfintablebodyright"/>
            </w:pPr>
            <w:r w:rsidRPr="006F13CE">
              <w:t>(188.7)</w:t>
            </w:r>
          </w:p>
        </w:tc>
      </w:tr>
      <w:tr w:rsidR="00FA7EBF" w:rsidRPr="007939DD" w14:paraId="4AB33A35" w14:textId="77777777" w:rsidTr="007B207C">
        <w:tc>
          <w:tcPr>
            <w:tcW w:w="6527" w:type="dxa"/>
            <w:tcBorders>
              <w:top w:val="single" w:sz="4" w:space="0" w:color="A6A6A6"/>
            </w:tcBorders>
          </w:tcPr>
          <w:p w14:paraId="74442D18" w14:textId="77777777" w:rsidR="00FA7EBF" w:rsidRPr="007939DD" w:rsidRDefault="00FA7EBF" w:rsidP="007B207C">
            <w:pPr>
              <w:pStyle w:val="ARfintablebody"/>
            </w:pPr>
            <w:r w:rsidRPr="006F13CE">
              <w:t>Other property management expenses</w:t>
            </w:r>
          </w:p>
        </w:tc>
        <w:tc>
          <w:tcPr>
            <w:tcW w:w="852" w:type="dxa"/>
            <w:tcBorders>
              <w:top w:val="single" w:sz="4" w:space="0" w:color="A6A6A6"/>
            </w:tcBorders>
          </w:tcPr>
          <w:p w14:paraId="7682DAC4" w14:textId="77777777" w:rsidR="00FA7EBF" w:rsidRPr="007939DD" w:rsidRDefault="00FA7EBF" w:rsidP="007B207C">
            <w:pPr>
              <w:pStyle w:val="ARfintablebodyright"/>
            </w:pPr>
          </w:p>
        </w:tc>
        <w:tc>
          <w:tcPr>
            <w:tcW w:w="1130" w:type="dxa"/>
            <w:tcBorders>
              <w:top w:val="single" w:sz="4" w:space="0" w:color="A6A6A6"/>
            </w:tcBorders>
            <w:shd w:val="clear" w:color="auto" w:fill="E7E6E6"/>
          </w:tcPr>
          <w:p w14:paraId="150F8485" w14:textId="77777777" w:rsidR="00FA7EBF" w:rsidRPr="007939DD" w:rsidRDefault="00FA7EBF" w:rsidP="007B207C">
            <w:pPr>
              <w:pStyle w:val="ARfintablebodyright"/>
            </w:pPr>
            <w:r w:rsidRPr="006F13CE">
              <w:t>(312.1)</w:t>
            </w:r>
          </w:p>
        </w:tc>
        <w:tc>
          <w:tcPr>
            <w:tcW w:w="1130" w:type="dxa"/>
            <w:tcBorders>
              <w:top w:val="single" w:sz="4" w:space="0" w:color="A6A6A6"/>
            </w:tcBorders>
          </w:tcPr>
          <w:p w14:paraId="0F5BAAC6" w14:textId="77777777" w:rsidR="00FA7EBF" w:rsidRPr="007939DD" w:rsidRDefault="00FA7EBF" w:rsidP="007B207C">
            <w:pPr>
              <w:pStyle w:val="ARfintablebodyright"/>
            </w:pPr>
            <w:r w:rsidRPr="006F13CE">
              <w:t>(192.9)</w:t>
            </w:r>
          </w:p>
        </w:tc>
      </w:tr>
      <w:tr w:rsidR="00FA7EBF" w:rsidRPr="007939DD" w14:paraId="4AA2C451" w14:textId="77777777" w:rsidTr="007B207C">
        <w:tc>
          <w:tcPr>
            <w:tcW w:w="6527" w:type="dxa"/>
          </w:tcPr>
          <w:p w14:paraId="58CCD9A5" w14:textId="77777777" w:rsidR="00FA7EBF" w:rsidRPr="007939DD" w:rsidRDefault="00FA7EBF" w:rsidP="007B207C">
            <w:pPr>
              <w:pStyle w:val="ARfintablebodybold"/>
              <w:rPr>
                <w:rStyle w:val="Strong"/>
              </w:rPr>
            </w:pPr>
            <w:r w:rsidRPr="006F13CE">
              <w:t>Total payments</w:t>
            </w:r>
          </w:p>
        </w:tc>
        <w:tc>
          <w:tcPr>
            <w:tcW w:w="852" w:type="dxa"/>
          </w:tcPr>
          <w:p w14:paraId="45C67957" w14:textId="77777777" w:rsidR="00FA7EBF" w:rsidRPr="007939DD" w:rsidRDefault="00FA7EBF" w:rsidP="007B207C">
            <w:pPr>
              <w:pStyle w:val="ARfintablebodyright"/>
              <w:rPr>
                <w:rStyle w:val="Strong"/>
              </w:rPr>
            </w:pPr>
          </w:p>
        </w:tc>
        <w:tc>
          <w:tcPr>
            <w:tcW w:w="1130" w:type="dxa"/>
            <w:shd w:val="clear" w:color="auto" w:fill="E7E6E6"/>
          </w:tcPr>
          <w:p w14:paraId="6A29D5BF" w14:textId="77777777" w:rsidR="00FA7EBF" w:rsidRPr="007939DD" w:rsidRDefault="00FA7EBF" w:rsidP="007B207C">
            <w:pPr>
              <w:pStyle w:val="ARfintablebodyrightbold"/>
              <w:rPr>
                <w:rStyle w:val="Strong"/>
              </w:rPr>
            </w:pPr>
            <w:r w:rsidRPr="006F13CE">
              <w:t>(19,406.5)</w:t>
            </w:r>
          </w:p>
        </w:tc>
        <w:tc>
          <w:tcPr>
            <w:tcW w:w="1130" w:type="dxa"/>
          </w:tcPr>
          <w:p w14:paraId="61F9E3BD" w14:textId="77777777" w:rsidR="00FA7EBF" w:rsidRPr="007939DD" w:rsidRDefault="00FA7EBF" w:rsidP="007B207C">
            <w:pPr>
              <w:pStyle w:val="ARfintablebodyrightbold"/>
              <w:rPr>
                <w:rStyle w:val="Strong"/>
              </w:rPr>
            </w:pPr>
            <w:r w:rsidRPr="006F13CE">
              <w:t>(17,784.8)</w:t>
            </w:r>
          </w:p>
        </w:tc>
      </w:tr>
      <w:tr w:rsidR="00FA7EBF" w:rsidRPr="007939DD" w14:paraId="65F5CB86" w14:textId="77777777" w:rsidTr="007B207C">
        <w:tc>
          <w:tcPr>
            <w:tcW w:w="6527" w:type="dxa"/>
          </w:tcPr>
          <w:p w14:paraId="61523E87" w14:textId="77777777" w:rsidR="00FA7EBF" w:rsidRPr="007939DD" w:rsidRDefault="00FA7EBF" w:rsidP="007B207C">
            <w:pPr>
              <w:pStyle w:val="ARfintablebodybold"/>
              <w:rPr>
                <w:rStyle w:val="Strong"/>
              </w:rPr>
            </w:pPr>
            <w:r w:rsidRPr="006F13CE">
              <w:t>Net cash flows from/(used in) operating activities</w:t>
            </w:r>
          </w:p>
        </w:tc>
        <w:tc>
          <w:tcPr>
            <w:tcW w:w="852" w:type="dxa"/>
          </w:tcPr>
          <w:p w14:paraId="2B35987C" w14:textId="77777777" w:rsidR="00FA7EBF" w:rsidRPr="007939DD" w:rsidRDefault="00FA7EBF" w:rsidP="007B207C">
            <w:pPr>
              <w:pStyle w:val="ARfintablebodyright"/>
            </w:pPr>
            <w:r w:rsidRPr="006F13CE">
              <w:t>7.3.1</w:t>
            </w:r>
          </w:p>
        </w:tc>
        <w:tc>
          <w:tcPr>
            <w:tcW w:w="1130" w:type="dxa"/>
            <w:shd w:val="clear" w:color="auto" w:fill="E7E6E6"/>
          </w:tcPr>
          <w:p w14:paraId="4227A5E9" w14:textId="77777777" w:rsidR="00FA7EBF" w:rsidRPr="007939DD" w:rsidRDefault="00FA7EBF" w:rsidP="007B207C">
            <w:pPr>
              <w:pStyle w:val="ARfintablebodyrightbold"/>
              <w:rPr>
                <w:rStyle w:val="Strong"/>
              </w:rPr>
            </w:pPr>
            <w:r w:rsidRPr="006F13CE">
              <w:t>325.9</w:t>
            </w:r>
          </w:p>
        </w:tc>
        <w:tc>
          <w:tcPr>
            <w:tcW w:w="1130" w:type="dxa"/>
          </w:tcPr>
          <w:p w14:paraId="0614C5D2" w14:textId="77777777" w:rsidR="00FA7EBF" w:rsidRPr="007939DD" w:rsidRDefault="00FA7EBF" w:rsidP="007B207C">
            <w:pPr>
              <w:pStyle w:val="ARfintablebodyrightbold"/>
              <w:rPr>
                <w:rStyle w:val="Strong"/>
              </w:rPr>
            </w:pPr>
            <w:r w:rsidRPr="006F13CE">
              <w:t>361.9</w:t>
            </w:r>
          </w:p>
        </w:tc>
      </w:tr>
      <w:tr w:rsidR="00FA7EBF" w:rsidRPr="007939DD" w14:paraId="568DF339" w14:textId="77777777" w:rsidTr="007B207C">
        <w:tc>
          <w:tcPr>
            <w:tcW w:w="9639" w:type="dxa"/>
            <w:gridSpan w:val="4"/>
            <w:tcBorders>
              <w:bottom w:val="single" w:sz="4" w:space="0" w:color="A6A6A6"/>
            </w:tcBorders>
          </w:tcPr>
          <w:p w14:paraId="218DC366" w14:textId="77777777" w:rsidR="00FA7EBF" w:rsidRPr="007939DD" w:rsidRDefault="00FA7EBF" w:rsidP="007B207C">
            <w:pPr>
              <w:pStyle w:val="ARfintablebodybold"/>
              <w:rPr>
                <w:rStyle w:val="Strong"/>
              </w:rPr>
            </w:pPr>
            <w:r w:rsidRPr="006F13CE">
              <w:t>Cash flows from investing activities</w:t>
            </w:r>
          </w:p>
        </w:tc>
      </w:tr>
      <w:tr w:rsidR="00FA7EBF" w:rsidRPr="007939DD" w14:paraId="15693757" w14:textId="77777777" w:rsidTr="007B207C">
        <w:tc>
          <w:tcPr>
            <w:tcW w:w="6527" w:type="dxa"/>
            <w:tcBorders>
              <w:top w:val="single" w:sz="4" w:space="0" w:color="A6A6A6"/>
              <w:bottom w:val="single" w:sz="4" w:space="0" w:color="A6A6A6"/>
            </w:tcBorders>
          </w:tcPr>
          <w:p w14:paraId="1EB8C360" w14:textId="77777777" w:rsidR="00FA7EBF" w:rsidRPr="007939DD" w:rsidRDefault="00FA7EBF" w:rsidP="007B207C">
            <w:pPr>
              <w:pStyle w:val="ARfintablebody"/>
            </w:pPr>
            <w:r w:rsidRPr="006F13CE">
              <w:t>Proceeds from the sale of non-financial assets</w:t>
            </w:r>
          </w:p>
        </w:tc>
        <w:tc>
          <w:tcPr>
            <w:tcW w:w="852" w:type="dxa"/>
            <w:tcBorders>
              <w:top w:val="single" w:sz="4" w:space="0" w:color="A6A6A6"/>
              <w:bottom w:val="single" w:sz="4" w:space="0" w:color="A6A6A6"/>
            </w:tcBorders>
          </w:tcPr>
          <w:p w14:paraId="312C0268" w14:textId="77777777" w:rsidR="00FA7EBF" w:rsidRPr="007939DD" w:rsidRDefault="00FA7EBF" w:rsidP="007B207C">
            <w:pPr>
              <w:pStyle w:val="ARfintablebodyright"/>
            </w:pPr>
          </w:p>
        </w:tc>
        <w:tc>
          <w:tcPr>
            <w:tcW w:w="1130" w:type="dxa"/>
            <w:tcBorders>
              <w:top w:val="single" w:sz="4" w:space="0" w:color="A6A6A6"/>
              <w:bottom w:val="single" w:sz="4" w:space="0" w:color="A6A6A6"/>
            </w:tcBorders>
            <w:shd w:val="clear" w:color="auto" w:fill="E7E6E6"/>
          </w:tcPr>
          <w:p w14:paraId="00652308" w14:textId="77777777" w:rsidR="00FA7EBF" w:rsidRPr="007939DD" w:rsidRDefault="00FA7EBF" w:rsidP="007B207C">
            <w:pPr>
              <w:pStyle w:val="ARfintablebodyright"/>
            </w:pPr>
            <w:r w:rsidRPr="006F13CE">
              <w:t>71.0</w:t>
            </w:r>
          </w:p>
        </w:tc>
        <w:tc>
          <w:tcPr>
            <w:tcW w:w="1130" w:type="dxa"/>
            <w:tcBorders>
              <w:top w:val="single" w:sz="4" w:space="0" w:color="A6A6A6"/>
              <w:bottom w:val="single" w:sz="4" w:space="0" w:color="A6A6A6"/>
            </w:tcBorders>
          </w:tcPr>
          <w:p w14:paraId="42FD95D0" w14:textId="77777777" w:rsidR="00FA7EBF" w:rsidRPr="007939DD" w:rsidRDefault="00FA7EBF" w:rsidP="007B207C">
            <w:pPr>
              <w:pStyle w:val="ARfintablebodyright"/>
            </w:pPr>
            <w:r w:rsidRPr="006F13CE">
              <w:t>113.9</w:t>
            </w:r>
          </w:p>
        </w:tc>
      </w:tr>
      <w:tr w:rsidR="00FA7EBF" w:rsidRPr="007939DD" w14:paraId="0D8A8A48" w14:textId="77777777" w:rsidTr="007B207C">
        <w:tc>
          <w:tcPr>
            <w:tcW w:w="6527" w:type="dxa"/>
            <w:tcBorders>
              <w:top w:val="single" w:sz="4" w:space="0" w:color="A6A6A6"/>
              <w:bottom w:val="single" w:sz="4" w:space="0" w:color="A6A6A6"/>
            </w:tcBorders>
          </w:tcPr>
          <w:p w14:paraId="007CC041" w14:textId="77777777" w:rsidR="00FA7EBF" w:rsidRPr="007939DD" w:rsidRDefault="00FA7EBF" w:rsidP="007B207C">
            <w:pPr>
              <w:pStyle w:val="ARfintablebody"/>
            </w:pPr>
            <w:r>
              <w:t>(</w:t>
            </w:r>
            <w:r w:rsidRPr="006F13CE">
              <w:t>Purchase</w:t>
            </w:r>
            <w:r>
              <w:t>)/redemption</w:t>
            </w:r>
            <w:r w:rsidRPr="006F13CE">
              <w:t xml:space="preserve"> of short term investments – term deposits</w:t>
            </w:r>
          </w:p>
        </w:tc>
        <w:tc>
          <w:tcPr>
            <w:tcW w:w="852" w:type="dxa"/>
            <w:tcBorders>
              <w:top w:val="single" w:sz="4" w:space="0" w:color="A6A6A6"/>
              <w:bottom w:val="single" w:sz="4" w:space="0" w:color="A6A6A6"/>
            </w:tcBorders>
          </w:tcPr>
          <w:p w14:paraId="4CE82134" w14:textId="77777777" w:rsidR="00FA7EBF" w:rsidRPr="007939DD" w:rsidRDefault="00FA7EBF" w:rsidP="007B207C">
            <w:pPr>
              <w:pStyle w:val="ARfintablebodyright"/>
            </w:pPr>
          </w:p>
        </w:tc>
        <w:tc>
          <w:tcPr>
            <w:tcW w:w="1130" w:type="dxa"/>
            <w:tcBorders>
              <w:top w:val="single" w:sz="4" w:space="0" w:color="A6A6A6"/>
              <w:bottom w:val="single" w:sz="4" w:space="0" w:color="A6A6A6"/>
            </w:tcBorders>
            <w:shd w:val="clear" w:color="auto" w:fill="E7E6E6"/>
          </w:tcPr>
          <w:p w14:paraId="004EAC73" w14:textId="77777777" w:rsidR="00FA7EBF" w:rsidRPr="007939DD" w:rsidRDefault="00FA7EBF" w:rsidP="007B207C">
            <w:pPr>
              <w:pStyle w:val="ARfintablebodyright"/>
            </w:pPr>
            <w:r w:rsidRPr="006F13CE">
              <w:t>434.8</w:t>
            </w:r>
          </w:p>
        </w:tc>
        <w:tc>
          <w:tcPr>
            <w:tcW w:w="1130" w:type="dxa"/>
            <w:tcBorders>
              <w:top w:val="single" w:sz="4" w:space="0" w:color="A6A6A6"/>
              <w:bottom w:val="single" w:sz="4" w:space="0" w:color="A6A6A6"/>
            </w:tcBorders>
          </w:tcPr>
          <w:p w14:paraId="653A6D93" w14:textId="77777777" w:rsidR="00FA7EBF" w:rsidRPr="007939DD" w:rsidRDefault="00FA7EBF" w:rsidP="007B207C">
            <w:pPr>
              <w:pStyle w:val="ARfintablebodyright"/>
            </w:pPr>
            <w:r w:rsidRPr="006F13CE">
              <w:t>(116.3)</w:t>
            </w:r>
          </w:p>
        </w:tc>
      </w:tr>
      <w:tr w:rsidR="00FA7EBF" w:rsidRPr="007939DD" w14:paraId="6A961D3A" w14:textId="77777777" w:rsidTr="007B207C">
        <w:tc>
          <w:tcPr>
            <w:tcW w:w="6527" w:type="dxa"/>
            <w:tcBorders>
              <w:top w:val="single" w:sz="4" w:space="0" w:color="A6A6A6"/>
              <w:bottom w:val="single" w:sz="4" w:space="0" w:color="A6A6A6"/>
            </w:tcBorders>
          </w:tcPr>
          <w:p w14:paraId="16E7A0E9" w14:textId="77777777" w:rsidR="00FA7EBF" w:rsidRPr="007939DD" w:rsidRDefault="00FA7EBF" w:rsidP="007B207C">
            <w:pPr>
              <w:pStyle w:val="ARfintablebody"/>
            </w:pPr>
            <w:r w:rsidRPr="006F13CE">
              <w:t>Client loans repaid</w:t>
            </w:r>
          </w:p>
        </w:tc>
        <w:tc>
          <w:tcPr>
            <w:tcW w:w="852" w:type="dxa"/>
            <w:tcBorders>
              <w:top w:val="single" w:sz="4" w:space="0" w:color="A6A6A6"/>
              <w:bottom w:val="single" w:sz="4" w:space="0" w:color="A6A6A6"/>
            </w:tcBorders>
          </w:tcPr>
          <w:p w14:paraId="4F14B953" w14:textId="77777777" w:rsidR="00FA7EBF" w:rsidRPr="007939DD" w:rsidRDefault="00FA7EBF" w:rsidP="007B207C">
            <w:pPr>
              <w:pStyle w:val="ARfintablebodyright"/>
            </w:pPr>
          </w:p>
        </w:tc>
        <w:tc>
          <w:tcPr>
            <w:tcW w:w="1130" w:type="dxa"/>
            <w:tcBorders>
              <w:top w:val="single" w:sz="4" w:space="0" w:color="A6A6A6"/>
              <w:bottom w:val="single" w:sz="4" w:space="0" w:color="A6A6A6"/>
            </w:tcBorders>
            <w:shd w:val="clear" w:color="auto" w:fill="E7E6E6"/>
          </w:tcPr>
          <w:p w14:paraId="69168535" w14:textId="77777777" w:rsidR="00FA7EBF" w:rsidRPr="007939DD" w:rsidRDefault="00FA7EBF" w:rsidP="007B207C">
            <w:pPr>
              <w:pStyle w:val="ARfintablebodyright"/>
            </w:pPr>
            <w:r w:rsidRPr="006F13CE">
              <w:t>14.7</w:t>
            </w:r>
          </w:p>
        </w:tc>
        <w:tc>
          <w:tcPr>
            <w:tcW w:w="1130" w:type="dxa"/>
            <w:tcBorders>
              <w:top w:val="single" w:sz="4" w:space="0" w:color="A6A6A6"/>
              <w:bottom w:val="single" w:sz="4" w:space="0" w:color="A6A6A6"/>
            </w:tcBorders>
          </w:tcPr>
          <w:p w14:paraId="20013D37" w14:textId="77777777" w:rsidR="00FA7EBF" w:rsidRPr="007939DD" w:rsidRDefault="00FA7EBF" w:rsidP="007B207C">
            <w:pPr>
              <w:pStyle w:val="ARfintablebodyright"/>
            </w:pPr>
            <w:r w:rsidRPr="006F13CE">
              <w:t>10.2</w:t>
            </w:r>
          </w:p>
        </w:tc>
      </w:tr>
      <w:tr w:rsidR="00FA7EBF" w:rsidRPr="007939DD" w14:paraId="6D0E0ADB" w14:textId="77777777" w:rsidTr="007B207C">
        <w:tc>
          <w:tcPr>
            <w:tcW w:w="6527" w:type="dxa"/>
            <w:tcBorders>
              <w:top w:val="single" w:sz="4" w:space="0" w:color="A6A6A6"/>
              <w:bottom w:val="single" w:sz="4" w:space="0" w:color="A6A6A6"/>
            </w:tcBorders>
          </w:tcPr>
          <w:p w14:paraId="1BEC2765" w14:textId="77777777" w:rsidR="00FA7EBF" w:rsidRPr="007939DD" w:rsidRDefault="00FA7EBF" w:rsidP="007B207C">
            <w:pPr>
              <w:pStyle w:val="ARfintablebody"/>
            </w:pPr>
            <w:r w:rsidRPr="006F13CE">
              <w:t>Payment for non-financial assets</w:t>
            </w:r>
          </w:p>
        </w:tc>
        <w:tc>
          <w:tcPr>
            <w:tcW w:w="852" w:type="dxa"/>
            <w:tcBorders>
              <w:top w:val="single" w:sz="4" w:space="0" w:color="A6A6A6"/>
              <w:bottom w:val="single" w:sz="4" w:space="0" w:color="A6A6A6"/>
            </w:tcBorders>
          </w:tcPr>
          <w:p w14:paraId="4DB001B1" w14:textId="77777777" w:rsidR="00FA7EBF" w:rsidRPr="007939DD" w:rsidRDefault="00FA7EBF" w:rsidP="007B207C">
            <w:pPr>
              <w:pStyle w:val="ARfintablebodyright"/>
            </w:pPr>
          </w:p>
        </w:tc>
        <w:tc>
          <w:tcPr>
            <w:tcW w:w="1130" w:type="dxa"/>
            <w:tcBorders>
              <w:top w:val="single" w:sz="4" w:space="0" w:color="A6A6A6"/>
              <w:bottom w:val="single" w:sz="4" w:space="0" w:color="A6A6A6"/>
            </w:tcBorders>
            <w:shd w:val="clear" w:color="auto" w:fill="E7E6E6"/>
          </w:tcPr>
          <w:p w14:paraId="743DBF63" w14:textId="77777777" w:rsidR="00FA7EBF" w:rsidRPr="007939DD" w:rsidRDefault="00FA7EBF" w:rsidP="007B207C">
            <w:pPr>
              <w:pStyle w:val="ARfintablebodyright"/>
            </w:pPr>
            <w:r w:rsidRPr="006F13CE">
              <w:t>(460.5)</w:t>
            </w:r>
          </w:p>
        </w:tc>
        <w:tc>
          <w:tcPr>
            <w:tcW w:w="1130" w:type="dxa"/>
            <w:tcBorders>
              <w:top w:val="single" w:sz="4" w:space="0" w:color="A6A6A6"/>
              <w:bottom w:val="single" w:sz="4" w:space="0" w:color="A6A6A6"/>
            </w:tcBorders>
          </w:tcPr>
          <w:p w14:paraId="7FE41BDE" w14:textId="77777777" w:rsidR="00FA7EBF" w:rsidRPr="007939DD" w:rsidRDefault="00FA7EBF" w:rsidP="007B207C">
            <w:pPr>
              <w:pStyle w:val="ARfintablebodyright"/>
            </w:pPr>
            <w:r w:rsidRPr="006F13CE">
              <w:t>(496.8)</w:t>
            </w:r>
          </w:p>
        </w:tc>
      </w:tr>
      <w:tr w:rsidR="00FA7EBF" w:rsidRPr="007939DD" w14:paraId="1C2238B4" w14:textId="77777777" w:rsidTr="007B207C">
        <w:tc>
          <w:tcPr>
            <w:tcW w:w="6527" w:type="dxa"/>
            <w:tcBorders>
              <w:top w:val="single" w:sz="4" w:space="0" w:color="A6A6A6"/>
            </w:tcBorders>
          </w:tcPr>
          <w:p w14:paraId="4EC37376" w14:textId="77777777" w:rsidR="00FA7EBF" w:rsidRPr="007939DD" w:rsidRDefault="00FA7EBF" w:rsidP="007B207C">
            <w:pPr>
              <w:pStyle w:val="ARfintablebody"/>
            </w:pPr>
            <w:r w:rsidRPr="006F13CE">
              <w:t>Client loans granted</w:t>
            </w:r>
          </w:p>
        </w:tc>
        <w:tc>
          <w:tcPr>
            <w:tcW w:w="852" w:type="dxa"/>
            <w:tcBorders>
              <w:top w:val="single" w:sz="4" w:space="0" w:color="A6A6A6"/>
            </w:tcBorders>
          </w:tcPr>
          <w:p w14:paraId="3B31521B" w14:textId="77777777" w:rsidR="00FA7EBF" w:rsidRPr="007939DD" w:rsidRDefault="00FA7EBF" w:rsidP="007B207C">
            <w:pPr>
              <w:pStyle w:val="ARfintablebodyright"/>
            </w:pPr>
          </w:p>
        </w:tc>
        <w:tc>
          <w:tcPr>
            <w:tcW w:w="1130" w:type="dxa"/>
            <w:tcBorders>
              <w:top w:val="single" w:sz="4" w:space="0" w:color="A6A6A6"/>
            </w:tcBorders>
            <w:shd w:val="clear" w:color="auto" w:fill="E7E6E6"/>
          </w:tcPr>
          <w:p w14:paraId="6E27A049" w14:textId="77777777" w:rsidR="00FA7EBF" w:rsidRPr="007939DD" w:rsidRDefault="00FA7EBF" w:rsidP="007B207C">
            <w:pPr>
              <w:pStyle w:val="ARfintablebodyright"/>
            </w:pPr>
            <w:r w:rsidRPr="006F13CE">
              <w:t>(0.7)</w:t>
            </w:r>
          </w:p>
        </w:tc>
        <w:tc>
          <w:tcPr>
            <w:tcW w:w="1130" w:type="dxa"/>
            <w:tcBorders>
              <w:top w:val="single" w:sz="4" w:space="0" w:color="A6A6A6"/>
            </w:tcBorders>
          </w:tcPr>
          <w:p w14:paraId="013CFF7E" w14:textId="77777777" w:rsidR="00FA7EBF" w:rsidRPr="007939DD" w:rsidRDefault="00FA7EBF" w:rsidP="007B207C">
            <w:pPr>
              <w:pStyle w:val="ARfintablebodyright"/>
            </w:pPr>
            <w:r w:rsidRPr="006F13CE">
              <w:t>(38.6)</w:t>
            </w:r>
          </w:p>
        </w:tc>
      </w:tr>
      <w:tr w:rsidR="00FA7EBF" w:rsidRPr="007939DD" w14:paraId="29A9A582" w14:textId="77777777" w:rsidTr="007B207C">
        <w:tc>
          <w:tcPr>
            <w:tcW w:w="6527" w:type="dxa"/>
          </w:tcPr>
          <w:p w14:paraId="67E60025" w14:textId="77777777" w:rsidR="00FA7EBF" w:rsidRPr="007939DD" w:rsidRDefault="00FA7EBF" w:rsidP="007B207C">
            <w:pPr>
              <w:pStyle w:val="ARfintablebodybold"/>
              <w:rPr>
                <w:rStyle w:val="Strong"/>
              </w:rPr>
            </w:pPr>
            <w:r w:rsidRPr="006F13CE">
              <w:t>Net cash flows from/(used in) investing activities</w:t>
            </w:r>
          </w:p>
        </w:tc>
        <w:tc>
          <w:tcPr>
            <w:tcW w:w="852" w:type="dxa"/>
          </w:tcPr>
          <w:p w14:paraId="7DA07DF7" w14:textId="77777777" w:rsidR="00FA7EBF" w:rsidRPr="007939DD" w:rsidRDefault="00FA7EBF" w:rsidP="007B207C">
            <w:pPr>
              <w:pStyle w:val="ARfintablebodyright"/>
              <w:rPr>
                <w:rStyle w:val="Strong"/>
              </w:rPr>
            </w:pPr>
          </w:p>
        </w:tc>
        <w:tc>
          <w:tcPr>
            <w:tcW w:w="1130" w:type="dxa"/>
            <w:shd w:val="clear" w:color="auto" w:fill="E7E6E6"/>
          </w:tcPr>
          <w:p w14:paraId="110D7242" w14:textId="77777777" w:rsidR="00FA7EBF" w:rsidRPr="007939DD" w:rsidRDefault="00FA7EBF" w:rsidP="007B207C">
            <w:pPr>
              <w:pStyle w:val="ARfintablebodyrightbold"/>
              <w:rPr>
                <w:rStyle w:val="Strong"/>
              </w:rPr>
            </w:pPr>
            <w:r w:rsidRPr="006F13CE">
              <w:t>59.4</w:t>
            </w:r>
          </w:p>
        </w:tc>
        <w:tc>
          <w:tcPr>
            <w:tcW w:w="1130" w:type="dxa"/>
          </w:tcPr>
          <w:p w14:paraId="4BE4F577" w14:textId="77777777" w:rsidR="00FA7EBF" w:rsidRPr="007939DD" w:rsidRDefault="00FA7EBF" w:rsidP="007B207C">
            <w:pPr>
              <w:pStyle w:val="ARfintablebodyrightbold"/>
              <w:rPr>
                <w:rStyle w:val="Strong"/>
              </w:rPr>
            </w:pPr>
            <w:r w:rsidRPr="006F13CE">
              <w:t>(527.6)</w:t>
            </w:r>
          </w:p>
        </w:tc>
      </w:tr>
      <w:tr w:rsidR="00FA7EBF" w:rsidRPr="007939DD" w14:paraId="4DB2C26C" w14:textId="77777777" w:rsidTr="007B207C">
        <w:tc>
          <w:tcPr>
            <w:tcW w:w="9639" w:type="dxa"/>
            <w:gridSpan w:val="4"/>
            <w:tcBorders>
              <w:bottom w:val="single" w:sz="4" w:space="0" w:color="A6A6A6"/>
            </w:tcBorders>
          </w:tcPr>
          <w:p w14:paraId="6C3F2672" w14:textId="77777777" w:rsidR="00FA7EBF" w:rsidRPr="007939DD" w:rsidRDefault="00FA7EBF" w:rsidP="007B207C">
            <w:pPr>
              <w:pStyle w:val="ARfintablebodybold"/>
              <w:rPr>
                <w:rStyle w:val="Strong"/>
              </w:rPr>
            </w:pPr>
            <w:r w:rsidRPr="006F13CE">
              <w:t>Cash flows from financing activities</w:t>
            </w:r>
          </w:p>
        </w:tc>
      </w:tr>
      <w:tr w:rsidR="00FA7EBF" w:rsidRPr="007939DD" w14:paraId="3591CE99" w14:textId="77777777" w:rsidTr="007B207C">
        <w:tc>
          <w:tcPr>
            <w:tcW w:w="6527" w:type="dxa"/>
            <w:tcBorders>
              <w:top w:val="single" w:sz="4" w:space="0" w:color="A6A6A6"/>
              <w:bottom w:val="single" w:sz="4" w:space="0" w:color="A6A6A6"/>
            </w:tcBorders>
          </w:tcPr>
          <w:p w14:paraId="5DD98F5C" w14:textId="77777777" w:rsidR="00FA7EBF" w:rsidRPr="007939DD" w:rsidRDefault="00FA7EBF" w:rsidP="007B207C">
            <w:pPr>
              <w:pStyle w:val="ARfintablebody"/>
            </w:pPr>
            <w:r w:rsidRPr="006F13CE">
              <w:t>Advances received</w:t>
            </w:r>
          </w:p>
        </w:tc>
        <w:tc>
          <w:tcPr>
            <w:tcW w:w="852" w:type="dxa"/>
            <w:tcBorders>
              <w:top w:val="single" w:sz="4" w:space="0" w:color="A6A6A6"/>
              <w:bottom w:val="single" w:sz="4" w:space="0" w:color="A6A6A6"/>
            </w:tcBorders>
          </w:tcPr>
          <w:p w14:paraId="7E5DAC5C" w14:textId="77777777" w:rsidR="00FA7EBF" w:rsidRPr="007939DD" w:rsidRDefault="00FA7EBF" w:rsidP="007B207C">
            <w:pPr>
              <w:pStyle w:val="ARfintablebodyright"/>
            </w:pPr>
          </w:p>
        </w:tc>
        <w:tc>
          <w:tcPr>
            <w:tcW w:w="1130" w:type="dxa"/>
            <w:tcBorders>
              <w:top w:val="single" w:sz="4" w:space="0" w:color="A6A6A6"/>
              <w:bottom w:val="single" w:sz="4" w:space="0" w:color="A6A6A6"/>
            </w:tcBorders>
            <w:shd w:val="clear" w:color="auto" w:fill="E7E6E6"/>
          </w:tcPr>
          <w:p w14:paraId="6AAA53DC" w14:textId="77777777" w:rsidR="00FA7EBF" w:rsidRPr="007939DD" w:rsidRDefault="00FA7EBF" w:rsidP="007B207C">
            <w:pPr>
              <w:pStyle w:val="ARfintablebodyright"/>
            </w:pPr>
            <w:r w:rsidRPr="006F13CE">
              <w:t>(3.6)</w:t>
            </w:r>
          </w:p>
        </w:tc>
        <w:tc>
          <w:tcPr>
            <w:tcW w:w="1130" w:type="dxa"/>
            <w:tcBorders>
              <w:top w:val="single" w:sz="4" w:space="0" w:color="A6A6A6"/>
              <w:bottom w:val="single" w:sz="4" w:space="0" w:color="A6A6A6"/>
            </w:tcBorders>
          </w:tcPr>
          <w:p w14:paraId="2360044D" w14:textId="77777777" w:rsidR="00FA7EBF" w:rsidRPr="007939DD" w:rsidRDefault="00FA7EBF" w:rsidP="007B207C">
            <w:pPr>
              <w:pStyle w:val="ARfintablebodyright"/>
            </w:pPr>
            <w:r w:rsidRPr="006F13CE">
              <w:t>22.0</w:t>
            </w:r>
          </w:p>
        </w:tc>
      </w:tr>
      <w:tr w:rsidR="00FA7EBF" w:rsidRPr="007939DD" w14:paraId="461B5B13" w14:textId="77777777" w:rsidTr="007B207C">
        <w:tc>
          <w:tcPr>
            <w:tcW w:w="6527" w:type="dxa"/>
            <w:tcBorders>
              <w:top w:val="single" w:sz="4" w:space="0" w:color="A6A6A6"/>
              <w:bottom w:val="single" w:sz="4" w:space="0" w:color="A6A6A6"/>
            </w:tcBorders>
          </w:tcPr>
          <w:p w14:paraId="35AF8824" w14:textId="77777777" w:rsidR="00FA7EBF" w:rsidRPr="007939DD" w:rsidRDefault="00FA7EBF" w:rsidP="007B207C">
            <w:pPr>
              <w:pStyle w:val="ARfintablebody"/>
            </w:pPr>
            <w:r w:rsidRPr="006F13CE">
              <w:t>Owner contributions by Victorian Government – appropriation for capital expenditure purposes</w:t>
            </w:r>
          </w:p>
        </w:tc>
        <w:tc>
          <w:tcPr>
            <w:tcW w:w="852" w:type="dxa"/>
            <w:tcBorders>
              <w:top w:val="single" w:sz="4" w:space="0" w:color="A6A6A6"/>
              <w:bottom w:val="single" w:sz="4" w:space="0" w:color="A6A6A6"/>
            </w:tcBorders>
          </w:tcPr>
          <w:p w14:paraId="2A06AEA3" w14:textId="77777777" w:rsidR="00FA7EBF" w:rsidRPr="007939DD" w:rsidRDefault="00FA7EBF" w:rsidP="007B207C">
            <w:pPr>
              <w:pStyle w:val="ARfintablebodyright"/>
            </w:pPr>
          </w:p>
        </w:tc>
        <w:tc>
          <w:tcPr>
            <w:tcW w:w="1130" w:type="dxa"/>
            <w:tcBorders>
              <w:top w:val="single" w:sz="4" w:space="0" w:color="A6A6A6"/>
              <w:bottom w:val="single" w:sz="4" w:space="0" w:color="A6A6A6"/>
            </w:tcBorders>
            <w:shd w:val="clear" w:color="auto" w:fill="E7E6E6"/>
          </w:tcPr>
          <w:p w14:paraId="5D6669B9" w14:textId="77777777" w:rsidR="00FA7EBF" w:rsidRPr="007939DD" w:rsidRDefault="00FA7EBF" w:rsidP="007B207C">
            <w:pPr>
              <w:pStyle w:val="ARfintablebodyright"/>
            </w:pPr>
            <w:r w:rsidRPr="006F13CE">
              <w:t>174.3</w:t>
            </w:r>
          </w:p>
        </w:tc>
        <w:tc>
          <w:tcPr>
            <w:tcW w:w="1130" w:type="dxa"/>
            <w:tcBorders>
              <w:top w:val="single" w:sz="4" w:space="0" w:color="A6A6A6"/>
              <w:bottom w:val="single" w:sz="4" w:space="0" w:color="A6A6A6"/>
            </w:tcBorders>
          </w:tcPr>
          <w:p w14:paraId="3CF2B520" w14:textId="77777777" w:rsidR="00FA7EBF" w:rsidRPr="007939DD" w:rsidRDefault="00FA7EBF" w:rsidP="007B207C">
            <w:pPr>
              <w:pStyle w:val="ARfintablebodyright"/>
            </w:pPr>
            <w:r w:rsidRPr="006F13CE">
              <w:t>274.8</w:t>
            </w:r>
          </w:p>
        </w:tc>
      </w:tr>
      <w:tr w:rsidR="00FA7EBF" w:rsidRPr="007939DD" w14:paraId="43237B65" w14:textId="77777777" w:rsidTr="007B207C">
        <w:tc>
          <w:tcPr>
            <w:tcW w:w="6527" w:type="dxa"/>
            <w:tcBorders>
              <w:top w:val="single" w:sz="4" w:space="0" w:color="A6A6A6"/>
              <w:bottom w:val="single" w:sz="4" w:space="0" w:color="A6A6A6"/>
            </w:tcBorders>
          </w:tcPr>
          <w:p w14:paraId="2281C890" w14:textId="77777777" w:rsidR="00FA7EBF" w:rsidRPr="007939DD" w:rsidRDefault="00FA7EBF" w:rsidP="007B207C">
            <w:pPr>
              <w:pStyle w:val="ARfintablebody"/>
            </w:pPr>
            <w:r w:rsidRPr="006F13CE">
              <w:t>Payments of capital contributions</w:t>
            </w:r>
          </w:p>
        </w:tc>
        <w:tc>
          <w:tcPr>
            <w:tcW w:w="852" w:type="dxa"/>
            <w:tcBorders>
              <w:top w:val="single" w:sz="4" w:space="0" w:color="A6A6A6"/>
              <w:bottom w:val="single" w:sz="4" w:space="0" w:color="A6A6A6"/>
            </w:tcBorders>
          </w:tcPr>
          <w:p w14:paraId="67F7FBED" w14:textId="77777777" w:rsidR="00FA7EBF" w:rsidRPr="007939DD" w:rsidRDefault="00FA7EBF" w:rsidP="007B207C">
            <w:pPr>
              <w:pStyle w:val="ARfintablebodyright"/>
            </w:pPr>
          </w:p>
        </w:tc>
        <w:tc>
          <w:tcPr>
            <w:tcW w:w="1130" w:type="dxa"/>
            <w:tcBorders>
              <w:top w:val="single" w:sz="4" w:space="0" w:color="A6A6A6"/>
              <w:bottom w:val="single" w:sz="4" w:space="0" w:color="A6A6A6"/>
            </w:tcBorders>
            <w:shd w:val="clear" w:color="auto" w:fill="E7E6E6"/>
          </w:tcPr>
          <w:p w14:paraId="2F88951B" w14:textId="77777777" w:rsidR="00FA7EBF" w:rsidRPr="007939DD" w:rsidRDefault="00FA7EBF" w:rsidP="007B207C">
            <w:pPr>
              <w:pStyle w:val="ARfintablebodyright"/>
            </w:pPr>
            <w:r w:rsidRPr="006F13CE">
              <w:t>(120.5)</w:t>
            </w:r>
          </w:p>
        </w:tc>
        <w:tc>
          <w:tcPr>
            <w:tcW w:w="1130" w:type="dxa"/>
            <w:tcBorders>
              <w:top w:val="single" w:sz="4" w:space="0" w:color="A6A6A6"/>
              <w:bottom w:val="single" w:sz="4" w:space="0" w:color="A6A6A6"/>
            </w:tcBorders>
          </w:tcPr>
          <w:p w14:paraId="25CCF6C4" w14:textId="77777777" w:rsidR="00FA7EBF" w:rsidRPr="007939DD" w:rsidRDefault="00FA7EBF" w:rsidP="007B207C">
            <w:pPr>
              <w:pStyle w:val="ARfintablebodyright"/>
            </w:pPr>
            <w:r w:rsidRPr="006F13CE">
              <w:t>(138.2)</w:t>
            </w:r>
          </w:p>
        </w:tc>
      </w:tr>
      <w:tr w:rsidR="00FA7EBF" w:rsidRPr="007939DD" w14:paraId="414E6DB6" w14:textId="77777777" w:rsidTr="007B207C">
        <w:tc>
          <w:tcPr>
            <w:tcW w:w="6527" w:type="dxa"/>
            <w:tcBorders>
              <w:top w:val="single" w:sz="4" w:space="0" w:color="A6A6A6"/>
            </w:tcBorders>
          </w:tcPr>
          <w:p w14:paraId="4341A264" w14:textId="77777777" w:rsidR="00FA7EBF" w:rsidRPr="007939DD" w:rsidRDefault="00FA7EBF" w:rsidP="007B207C">
            <w:pPr>
              <w:pStyle w:val="ARfintablebody"/>
            </w:pPr>
            <w:r w:rsidRPr="006F13CE">
              <w:t>Repayment of finance leases and borrowings</w:t>
            </w:r>
          </w:p>
        </w:tc>
        <w:tc>
          <w:tcPr>
            <w:tcW w:w="852" w:type="dxa"/>
            <w:tcBorders>
              <w:top w:val="single" w:sz="4" w:space="0" w:color="A6A6A6"/>
            </w:tcBorders>
          </w:tcPr>
          <w:p w14:paraId="47FFA1DB" w14:textId="77777777" w:rsidR="00FA7EBF" w:rsidRPr="007939DD" w:rsidRDefault="00FA7EBF" w:rsidP="007B207C">
            <w:pPr>
              <w:pStyle w:val="ARfintablebodyright"/>
            </w:pPr>
          </w:p>
        </w:tc>
        <w:tc>
          <w:tcPr>
            <w:tcW w:w="1130" w:type="dxa"/>
            <w:tcBorders>
              <w:top w:val="single" w:sz="4" w:space="0" w:color="A6A6A6"/>
            </w:tcBorders>
            <w:shd w:val="clear" w:color="auto" w:fill="E7E6E6"/>
          </w:tcPr>
          <w:p w14:paraId="34F12BFF" w14:textId="77777777" w:rsidR="00FA7EBF" w:rsidRPr="007939DD" w:rsidRDefault="00FA7EBF" w:rsidP="007B207C">
            <w:pPr>
              <w:pStyle w:val="ARfintablebodyright"/>
            </w:pPr>
            <w:r w:rsidRPr="006F13CE">
              <w:t>(18.7)</w:t>
            </w:r>
          </w:p>
        </w:tc>
        <w:tc>
          <w:tcPr>
            <w:tcW w:w="1130" w:type="dxa"/>
            <w:tcBorders>
              <w:top w:val="single" w:sz="4" w:space="0" w:color="A6A6A6"/>
            </w:tcBorders>
          </w:tcPr>
          <w:p w14:paraId="23319C85" w14:textId="77777777" w:rsidR="00FA7EBF" w:rsidRPr="007939DD" w:rsidRDefault="00FA7EBF" w:rsidP="007B207C">
            <w:pPr>
              <w:pStyle w:val="ARfintablebodyright"/>
            </w:pPr>
            <w:r w:rsidRPr="006F13CE">
              <w:t>6.6</w:t>
            </w:r>
          </w:p>
        </w:tc>
      </w:tr>
      <w:tr w:rsidR="00FA7EBF" w:rsidRPr="007939DD" w14:paraId="2769ADD8" w14:textId="77777777" w:rsidTr="007B207C">
        <w:tc>
          <w:tcPr>
            <w:tcW w:w="6527" w:type="dxa"/>
          </w:tcPr>
          <w:p w14:paraId="78D3BF52" w14:textId="77777777" w:rsidR="00FA7EBF" w:rsidRPr="007939DD" w:rsidRDefault="00FA7EBF" w:rsidP="007B207C">
            <w:pPr>
              <w:pStyle w:val="ARfintablebodybold"/>
              <w:rPr>
                <w:rStyle w:val="Strong"/>
              </w:rPr>
            </w:pPr>
            <w:r w:rsidRPr="006F13CE">
              <w:t>Net cash flows from/(used in) financing activities</w:t>
            </w:r>
          </w:p>
        </w:tc>
        <w:tc>
          <w:tcPr>
            <w:tcW w:w="852" w:type="dxa"/>
          </w:tcPr>
          <w:p w14:paraId="6E5FB5AE" w14:textId="77777777" w:rsidR="00FA7EBF" w:rsidRPr="007939DD" w:rsidRDefault="00FA7EBF" w:rsidP="007B207C">
            <w:pPr>
              <w:pStyle w:val="ARfintablebodyright"/>
              <w:rPr>
                <w:rStyle w:val="Strong"/>
              </w:rPr>
            </w:pPr>
          </w:p>
        </w:tc>
        <w:tc>
          <w:tcPr>
            <w:tcW w:w="1130" w:type="dxa"/>
            <w:shd w:val="clear" w:color="auto" w:fill="E7E6E6"/>
          </w:tcPr>
          <w:p w14:paraId="68C9CF04" w14:textId="77777777" w:rsidR="00FA7EBF" w:rsidRPr="007939DD" w:rsidRDefault="00FA7EBF" w:rsidP="007B207C">
            <w:pPr>
              <w:pStyle w:val="ARfintablebodyrightbold"/>
              <w:rPr>
                <w:rStyle w:val="Strong"/>
              </w:rPr>
            </w:pPr>
            <w:r w:rsidRPr="006F13CE">
              <w:t>31.5</w:t>
            </w:r>
          </w:p>
        </w:tc>
        <w:tc>
          <w:tcPr>
            <w:tcW w:w="1130" w:type="dxa"/>
          </w:tcPr>
          <w:p w14:paraId="2117C191" w14:textId="77777777" w:rsidR="00FA7EBF" w:rsidRPr="007939DD" w:rsidRDefault="00FA7EBF" w:rsidP="007B207C">
            <w:pPr>
              <w:pStyle w:val="ARfintablebodyrightbold"/>
              <w:rPr>
                <w:rStyle w:val="Strong"/>
              </w:rPr>
            </w:pPr>
            <w:r w:rsidRPr="006F13CE">
              <w:t>165.1</w:t>
            </w:r>
          </w:p>
        </w:tc>
      </w:tr>
      <w:tr w:rsidR="00FA7EBF" w:rsidRPr="007939DD" w14:paraId="48B76DCB" w14:textId="77777777" w:rsidTr="007B207C">
        <w:tc>
          <w:tcPr>
            <w:tcW w:w="6527" w:type="dxa"/>
          </w:tcPr>
          <w:p w14:paraId="1C3F0CF7" w14:textId="77777777" w:rsidR="00FA7EBF" w:rsidRPr="007939DD" w:rsidRDefault="00FA7EBF" w:rsidP="007B207C">
            <w:pPr>
              <w:pStyle w:val="ARfintablebodybold"/>
              <w:rPr>
                <w:rStyle w:val="Strong"/>
              </w:rPr>
            </w:pPr>
            <w:r w:rsidRPr="006F13CE">
              <w:t>Net increase/(decrease) in cash and cash deposits</w:t>
            </w:r>
          </w:p>
        </w:tc>
        <w:tc>
          <w:tcPr>
            <w:tcW w:w="852" w:type="dxa"/>
          </w:tcPr>
          <w:p w14:paraId="39E11CDF" w14:textId="77777777" w:rsidR="00FA7EBF" w:rsidRPr="007939DD" w:rsidRDefault="00FA7EBF" w:rsidP="007B207C">
            <w:pPr>
              <w:pStyle w:val="ARfintablebodyright"/>
              <w:rPr>
                <w:rStyle w:val="Strong"/>
              </w:rPr>
            </w:pPr>
          </w:p>
        </w:tc>
        <w:tc>
          <w:tcPr>
            <w:tcW w:w="1130" w:type="dxa"/>
            <w:shd w:val="clear" w:color="auto" w:fill="E7E6E6"/>
          </w:tcPr>
          <w:p w14:paraId="0C1D793F" w14:textId="77777777" w:rsidR="00FA7EBF" w:rsidRPr="007939DD" w:rsidRDefault="00FA7EBF" w:rsidP="007B207C">
            <w:pPr>
              <w:pStyle w:val="ARfintablebodyrightbold"/>
              <w:rPr>
                <w:rStyle w:val="Strong"/>
              </w:rPr>
            </w:pPr>
            <w:r w:rsidRPr="006F13CE">
              <w:t>416.8</w:t>
            </w:r>
          </w:p>
        </w:tc>
        <w:tc>
          <w:tcPr>
            <w:tcW w:w="1130" w:type="dxa"/>
          </w:tcPr>
          <w:p w14:paraId="61C11E62" w14:textId="77777777" w:rsidR="00FA7EBF" w:rsidRPr="007939DD" w:rsidRDefault="00FA7EBF" w:rsidP="007B207C">
            <w:pPr>
              <w:pStyle w:val="ARfintablebodyrightbold"/>
              <w:rPr>
                <w:rStyle w:val="Strong"/>
              </w:rPr>
            </w:pPr>
            <w:r w:rsidRPr="006F13CE">
              <w:t>(0.5)</w:t>
            </w:r>
          </w:p>
        </w:tc>
      </w:tr>
      <w:tr w:rsidR="00FA7EBF" w:rsidRPr="007939DD" w14:paraId="1C095CC1" w14:textId="77777777" w:rsidTr="007B207C">
        <w:tc>
          <w:tcPr>
            <w:tcW w:w="6527" w:type="dxa"/>
          </w:tcPr>
          <w:p w14:paraId="3FFBD691" w14:textId="77777777" w:rsidR="00FA7EBF" w:rsidRPr="007939DD" w:rsidRDefault="00FA7EBF" w:rsidP="007B207C">
            <w:pPr>
              <w:pStyle w:val="ARfintablebody"/>
            </w:pPr>
            <w:r w:rsidRPr="006F13CE">
              <w:t>Cash and deposits at beginning of financial year</w:t>
            </w:r>
          </w:p>
        </w:tc>
        <w:tc>
          <w:tcPr>
            <w:tcW w:w="852" w:type="dxa"/>
          </w:tcPr>
          <w:p w14:paraId="3B636001" w14:textId="77777777" w:rsidR="00FA7EBF" w:rsidRPr="007939DD" w:rsidRDefault="00FA7EBF" w:rsidP="007B207C">
            <w:pPr>
              <w:pStyle w:val="ARfintablebodyright"/>
            </w:pPr>
          </w:p>
        </w:tc>
        <w:tc>
          <w:tcPr>
            <w:tcW w:w="1130" w:type="dxa"/>
            <w:shd w:val="clear" w:color="auto" w:fill="E7E6E6"/>
          </w:tcPr>
          <w:p w14:paraId="6E66CC58" w14:textId="77777777" w:rsidR="00FA7EBF" w:rsidRPr="007939DD" w:rsidRDefault="00FA7EBF" w:rsidP="007B207C">
            <w:pPr>
              <w:pStyle w:val="ARfintablebodyright"/>
            </w:pPr>
            <w:r w:rsidRPr="006F13CE">
              <w:t>383.2</w:t>
            </w:r>
          </w:p>
        </w:tc>
        <w:tc>
          <w:tcPr>
            <w:tcW w:w="1130" w:type="dxa"/>
          </w:tcPr>
          <w:p w14:paraId="78BA3ED5" w14:textId="77777777" w:rsidR="00FA7EBF" w:rsidRPr="007939DD" w:rsidRDefault="00FA7EBF" w:rsidP="007B207C">
            <w:pPr>
              <w:pStyle w:val="ARfintablebodyright"/>
            </w:pPr>
            <w:r w:rsidRPr="006F13CE">
              <w:t>383.7</w:t>
            </w:r>
          </w:p>
        </w:tc>
      </w:tr>
      <w:tr w:rsidR="00FA7EBF" w:rsidRPr="007939DD" w14:paraId="315DB753" w14:textId="77777777" w:rsidTr="007B207C">
        <w:tc>
          <w:tcPr>
            <w:tcW w:w="6527" w:type="dxa"/>
          </w:tcPr>
          <w:p w14:paraId="2E3816D4" w14:textId="77777777" w:rsidR="00FA7EBF" w:rsidRPr="007939DD" w:rsidRDefault="00FA7EBF" w:rsidP="007B207C">
            <w:pPr>
              <w:pStyle w:val="ARfintablebodybold"/>
              <w:rPr>
                <w:rStyle w:val="Strong"/>
              </w:rPr>
            </w:pPr>
            <w:r w:rsidRPr="006F13CE">
              <w:t>Cash and deposits at the end of the financial year</w:t>
            </w:r>
          </w:p>
        </w:tc>
        <w:tc>
          <w:tcPr>
            <w:tcW w:w="852" w:type="dxa"/>
          </w:tcPr>
          <w:p w14:paraId="38D09E21" w14:textId="77777777" w:rsidR="00FA7EBF" w:rsidRPr="007939DD" w:rsidRDefault="00FA7EBF" w:rsidP="007B207C">
            <w:pPr>
              <w:pStyle w:val="ARfintablebodyright"/>
            </w:pPr>
            <w:r w:rsidRPr="006F13CE">
              <w:t>7.3</w:t>
            </w:r>
          </w:p>
        </w:tc>
        <w:tc>
          <w:tcPr>
            <w:tcW w:w="1130" w:type="dxa"/>
            <w:shd w:val="clear" w:color="auto" w:fill="E7E6E6"/>
          </w:tcPr>
          <w:p w14:paraId="364F2D08" w14:textId="77777777" w:rsidR="00FA7EBF" w:rsidRPr="007939DD" w:rsidRDefault="00FA7EBF" w:rsidP="007B207C">
            <w:pPr>
              <w:pStyle w:val="ARfintablebodyrightbold"/>
              <w:rPr>
                <w:rStyle w:val="Strong"/>
              </w:rPr>
            </w:pPr>
            <w:r w:rsidRPr="006F13CE">
              <w:t>799.9</w:t>
            </w:r>
          </w:p>
        </w:tc>
        <w:tc>
          <w:tcPr>
            <w:tcW w:w="1130" w:type="dxa"/>
          </w:tcPr>
          <w:p w14:paraId="167F6BF8" w14:textId="77777777" w:rsidR="00FA7EBF" w:rsidRPr="007939DD" w:rsidRDefault="00FA7EBF" w:rsidP="007B207C">
            <w:pPr>
              <w:pStyle w:val="ARfintablebodyrightbold"/>
              <w:rPr>
                <w:rStyle w:val="Strong"/>
              </w:rPr>
            </w:pPr>
            <w:r w:rsidRPr="006F13CE">
              <w:t>383.2</w:t>
            </w:r>
          </w:p>
        </w:tc>
      </w:tr>
    </w:tbl>
    <w:bookmarkEnd w:id="235"/>
    <w:p w14:paraId="734EC7C3" w14:textId="77777777" w:rsidR="00FA7EBF" w:rsidRPr="00194D78" w:rsidRDefault="00FA7EBF" w:rsidP="00CA66FD">
      <w:pPr>
        <w:pStyle w:val="ARfintablefootnote"/>
        <w:rPr>
          <w:lang w:eastAsia="en-AU"/>
        </w:rPr>
      </w:pPr>
      <w:r w:rsidRPr="00194D78">
        <w:rPr>
          <w:lang w:eastAsia="en-AU"/>
        </w:rPr>
        <w:t>The cash flow statement should be read in conjunction with the notes to the financial statements.</w:t>
      </w:r>
    </w:p>
    <w:p w14:paraId="30527129" w14:textId="77777777" w:rsidR="00FA7EBF" w:rsidRPr="00194D78" w:rsidRDefault="00FA7EBF" w:rsidP="00CA66FD">
      <w:pPr>
        <w:pStyle w:val="ARfintablefootnote"/>
        <w:rPr>
          <w:lang w:eastAsia="en-AU"/>
        </w:rPr>
      </w:pPr>
      <w:r w:rsidRPr="00194D78">
        <w:rPr>
          <w:lang w:eastAsia="en-AU"/>
        </w:rPr>
        <w:t>Note:</w:t>
      </w:r>
    </w:p>
    <w:p w14:paraId="65CC0C55" w14:textId="77777777" w:rsidR="00FA7EBF" w:rsidRPr="00194D78" w:rsidRDefault="00FA7EBF" w:rsidP="00CA66FD">
      <w:pPr>
        <w:pStyle w:val="ARfintablefootnoteindent"/>
      </w:pPr>
      <w:r w:rsidRPr="00194D78">
        <w:t>(i)</w:t>
      </w:r>
      <w:r>
        <w:tab/>
      </w:r>
      <w:r w:rsidRPr="00194D78">
        <w:t>Goods and services tax (GST) recovered/paid from the Australian Taxation Office is presented on a net basis.</w:t>
      </w:r>
    </w:p>
    <w:p w14:paraId="6001FBEF" w14:textId="77777777" w:rsidR="00FA7EBF" w:rsidRPr="00194D78" w:rsidRDefault="00FA7EBF" w:rsidP="00CA66FD">
      <w:pPr>
        <w:pStyle w:val="ARfinbody"/>
      </w:pPr>
      <w:r w:rsidRPr="00194D78">
        <w:br w:type="page"/>
      </w:r>
    </w:p>
    <w:p w14:paraId="472ADE9C" w14:textId="77777777" w:rsidR="00FA7EBF" w:rsidRDefault="00FA7EBF" w:rsidP="00CA66FD">
      <w:pPr>
        <w:pStyle w:val="Heading2"/>
        <w:rPr>
          <w:lang w:eastAsia="en-AU"/>
        </w:rPr>
      </w:pPr>
      <w:bookmarkStart w:id="236" w:name="_Toc17971169"/>
      <w:bookmarkStart w:id="237" w:name="_Toc19795290"/>
      <w:r w:rsidRPr="00194D78">
        <w:rPr>
          <w:lang w:eastAsia="en-AU"/>
        </w:rPr>
        <w:t>Statement of changes in equity</w:t>
      </w:r>
      <w:r>
        <w:rPr>
          <w:lang w:eastAsia="en-AU"/>
        </w:rPr>
        <w:br/>
      </w:r>
      <w:r w:rsidRPr="00194D78">
        <w:rPr>
          <w:lang w:eastAsia="en-AU"/>
        </w:rPr>
        <w:t>for the financial year ended 30 June 2019</w:t>
      </w:r>
      <w:bookmarkEnd w:id="236"/>
      <w:bookmarkEnd w:id="237"/>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3572"/>
        <w:gridCol w:w="851"/>
        <w:gridCol w:w="1304"/>
        <w:gridCol w:w="1304"/>
        <w:gridCol w:w="1304"/>
        <w:gridCol w:w="1304"/>
      </w:tblGrid>
      <w:tr w:rsidR="00FA7EBF" w:rsidRPr="007939DD" w14:paraId="6D056678" w14:textId="77777777" w:rsidTr="007B207C">
        <w:trPr>
          <w:cantSplit/>
          <w:tblHeader/>
        </w:trPr>
        <w:tc>
          <w:tcPr>
            <w:tcW w:w="3572" w:type="dxa"/>
            <w:vAlign w:val="bottom"/>
          </w:tcPr>
          <w:p w14:paraId="52AAD7E5" w14:textId="77777777" w:rsidR="00FA7EBF" w:rsidRPr="007939DD" w:rsidRDefault="00FA7EBF" w:rsidP="007B207C">
            <w:pPr>
              <w:autoSpaceDE w:val="0"/>
              <w:autoSpaceDN w:val="0"/>
              <w:adjustRightInd w:val="0"/>
              <w:spacing w:beforeLines="40" w:before="96" w:afterLines="20" w:after="48"/>
              <w:rPr>
                <w:rFonts w:cs="Arial"/>
                <w:b/>
                <w:bCs/>
                <w:color w:val="000000"/>
                <w:sz w:val="16"/>
                <w:szCs w:val="16"/>
              </w:rPr>
            </w:pPr>
            <w:bookmarkStart w:id="238" w:name="_Hlk17715717"/>
          </w:p>
        </w:tc>
        <w:tc>
          <w:tcPr>
            <w:tcW w:w="851" w:type="dxa"/>
            <w:vAlign w:val="bottom"/>
          </w:tcPr>
          <w:p w14:paraId="7F294221" w14:textId="77777777" w:rsidR="00FA7EBF" w:rsidRPr="007939DD" w:rsidRDefault="00FA7EBF" w:rsidP="007B207C">
            <w:pPr>
              <w:pStyle w:val="ARfintablecolheadright"/>
              <w:rPr>
                <w:rFonts w:cs="Arial"/>
              </w:rPr>
            </w:pPr>
            <w:r w:rsidRPr="007939DD">
              <w:rPr>
                <w:rFonts w:cs="Arial"/>
              </w:rPr>
              <w:t>Note</w:t>
            </w:r>
          </w:p>
        </w:tc>
        <w:tc>
          <w:tcPr>
            <w:tcW w:w="1304" w:type="dxa"/>
            <w:vAlign w:val="bottom"/>
          </w:tcPr>
          <w:p w14:paraId="6CDAF94D" w14:textId="77777777" w:rsidR="00FA7EBF" w:rsidRPr="007939DD" w:rsidRDefault="00FA7EBF" w:rsidP="007B207C">
            <w:pPr>
              <w:pStyle w:val="ARfintablecolheadright"/>
              <w:rPr>
                <w:rFonts w:cs="Arial"/>
              </w:rPr>
            </w:pPr>
            <w:r w:rsidRPr="007939DD">
              <w:rPr>
                <w:rFonts w:cs="Arial"/>
              </w:rPr>
              <w:t xml:space="preserve">Physical asset revaluation </w:t>
            </w:r>
            <w:r>
              <w:rPr>
                <w:rFonts w:cs="Arial"/>
              </w:rPr>
              <w:t>surplus</w:t>
            </w:r>
          </w:p>
          <w:p w14:paraId="279AEEFE" w14:textId="77777777" w:rsidR="00FA7EBF" w:rsidRPr="007939DD" w:rsidRDefault="00FA7EBF" w:rsidP="007B207C">
            <w:pPr>
              <w:pStyle w:val="ARfintablecolheadright"/>
              <w:rPr>
                <w:rFonts w:cs="Arial"/>
              </w:rPr>
            </w:pPr>
            <w:r w:rsidRPr="007939DD">
              <w:rPr>
                <w:rFonts w:cs="Arial"/>
              </w:rPr>
              <w:t>$M</w:t>
            </w:r>
          </w:p>
        </w:tc>
        <w:tc>
          <w:tcPr>
            <w:tcW w:w="1304" w:type="dxa"/>
            <w:vAlign w:val="bottom"/>
          </w:tcPr>
          <w:p w14:paraId="7DCF4F06" w14:textId="77777777" w:rsidR="00FA7EBF" w:rsidRPr="007939DD" w:rsidRDefault="00FA7EBF" w:rsidP="007B207C">
            <w:pPr>
              <w:pStyle w:val="ARfintablecolheadright"/>
              <w:rPr>
                <w:rFonts w:cs="Arial"/>
              </w:rPr>
            </w:pPr>
            <w:r w:rsidRPr="007939DD">
              <w:rPr>
                <w:rFonts w:cs="Arial"/>
              </w:rPr>
              <w:t>Accumulated surplus/</w:t>
            </w:r>
            <w:r w:rsidRPr="007939DD">
              <w:rPr>
                <w:rFonts w:cs="Arial"/>
              </w:rPr>
              <w:br/>
              <w:t>(deficit)</w:t>
            </w:r>
          </w:p>
          <w:p w14:paraId="1517A7B2" w14:textId="77777777" w:rsidR="00FA7EBF" w:rsidRPr="007939DD" w:rsidRDefault="00FA7EBF" w:rsidP="007B207C">
            <w:pPr>
              <w:pStyle w:val="ARfintablecolheadright"/>
              <w:rPr>
                <w:rFonts w:cs="Arial"/>
              </w:rPr>
            </w:pPr>
            <w:r w:rsidRPr="007939DD">
              <w:rPr>
                <w:rFonts w:cs="Arial"/>
              </w:rPr>
              <w:t>$M</w:t>
            </w:r>
          </w:p>
        </w:tc>
        <w:tc>
          <w:tcPr>
            <w:tcW w:w="1304" w:type="dxa"/>
            <w:vAlign w:val="bottom"/>
          </w:tcPr>
          <w:p w14:paraId="47891DB9" w14:textId="77777777" w:rsidR="00FA7EBF" w:rsidRPr="007939DD" w:rsidRDefault="00FA7EBF" w:rsidP="007B207C">
            <w:pPr>
              <w:pStyle w:val="ARfintablecolheadright"/>
              <w:rPr>
                <w:rFonts w:cs="Arial"/>
              </w:rPr>
            </w:pPr>
            <w:r w:rsidRPr="007939DD">
              <w:rPr>
                <w:rFonts w:cs="Arial"/>
              </w:rPr>
              <w:t>Contributed capital</w:t>
            </w:r>
          </w:p>
          <w:p w14:paraId="724615AD" w14:textId="77777777" w:rsidR="00FA7EBF" w:rsidRPr="007939DD" w:rsidRDefault="00FA7EBF" w:rsidP="007B207C">
            <w:pPr>
              <w:pStyle w:val="ARfintablecolheadright"/>
              <w:rPr>
                <w:rFonts w:cs="Arial"/>
              </w:rPr>
            </w:pPr>
            <w:r w:rsidRPr="007939DD">
              <w:rPr>
                <w:rFonts w:cs="Arial"/>
              </w:rPr>
              <w:t>$M</w:t>
            </w:r>
          </w:p>
        </w:tc>
        <w:tc>
          <w:tcPr>
            <w:tcW w:w="1304" w:type="dxa"/>
            <w:vAlign w:val="bottom"/>
          </w:tcPr>
          <w:p w14:paraId="05BA7507" w14:textId="77777777" w:rsidR="00FA7EBF" w:rsidRPr="007939DD" w:rsidRDefault="00FA7EBF" w:rsidP="007B207C">
            <w:pPr>
              <w:pStyle w:val="ARfintablecolheadright"/>
              <w:rPr>
                <w:rFonts w:cs="Arial"/>
              </w:rPr>
            </w:pPr>
            <w:r w:rsidRPr="007939DD">
              <w:rPr>
                <w:rFonts w:cs="Arial"/>
              </w:rPr>
              <w:t>Total</w:t>
            </w:r>
          </w:p>
          <w:p w14:paraId="5D2845AA" w14:textId="77777777" w:rsidR="00FA7EBF" w:rsidRPr="007939DD" w:rsidRDefault="00FA7EBF" w:rsidP="007B207C">
            <w:pPr>
              <w:pStyle w:val="ARfintablecolheadright"/>
              <w:rPr>
                <w:rFonts w:cs="Arial"/>
              </w:rPr>
            </w:pPr>
            <w:r w:rsidRPr="007939DD">
              <w:rPr>
                <w:rFonts w:cs="Arial"/>
              </w:rPr>
              <w:t>$M</w:t>
            </w:r>
          </w:p>
        </w:tc>
      </w:tr>
      <w:tr w:rsidR="00FA7EBF" w:rsidRPr="007939DD" w14:paraId="545EF930" w14:textId="77777777" w:rsidTr="007B207C">
        <w:tc>
          <w:tcPr>
            <w:tcW w:w="3572" w:type="dxa"/>
            <w:tcBorders>
              <w:bottom w:val="single" w:sz="4" w:space="0" w:color="BFBFBF" w:themeColor="accent4"/>
            </w:tcBorders>
          </w:tcPr>
          <w:p w14:paraId="0338F006" w14:textId="77777777" w:rsidR="00FA7EBF" w:rsidRPr="007939DD" w:rsidRDefault="00FA7EBF" w:rsidP="007B207C">
            <w:pPr>
              <w:pStyle w:val="ARfintablebodybold"/>
              <w:rPr>
                <w:lang w:eastAsia="en-AU"/>
              </w:rPr>
            </w:pPr>
            <w:r w:rsidRPr="00D169A7">
              <w:t>Balance at 1 July 2017</w:t>
            </w:r>
          </w:p>
        </w:tc>
        <w:tc>
          <w:tcPr>
            <w:tcW w:w="851" w:type="dxa"/>
            <w:tcBorders>
              <w:bottom w:val="single" w:sz="4" w:space="0" w:color="BFBFBF" w:themeColor="accent4"/>
            </w:tcBorders>
          </w:tcPr>
          <w:p w14:paraId="3A5CD558" w14:textId="77777777" w:rsidR="00FA7EBF" w:rsidRPr="007939DD" w:rsidRDefault="00FA7EBF" w:rsidP="007B207C">
            <w:pPr>
              <w:pStyle w:val="ARfintablebodyright"/>
              <w:rPr>
                <w:rStyle w:val="Strong"/>
                <w:bCs w:val="0"/>
              </w:rPr>
            </w:pPr>
          </w:p>
        </w:tc>
        <w:tc>
          <w:tcPr>
            <w:tcW w:w="1304" w:type="dxa"/>
            <w:tcBorders>
              <w:bottom w:val="single" w:sz="4" w:space="0" w:color="BFBFBF" w:themeColor="accent4"/>
            </w:tcBorders>
          </w:tcPr>
          <w:p w14:paraId="16716F89" w14:textId="77777777" w:rsidR="00FA7EBF" w:rsidRPr="007939DD" w:rsidRDefault="00FA7EBF" w:rsidP="007B207C">
            <w:pPr>
              <w:pStyle w:val="ARfintablebodyrightbold"/>
              <w:rPr>
                <w:lang w:eastAsia="en-AU"/>
              </w:rPr>
            </w:pPr>
            <w:r w:rsidRPr="00D169A7">
              <w:t>4,542.1</w:t>
            </w:r>
          </w:p>
        </w:tc>
        <w:tc>
          <w:tcPr>
            <w:tcW w:w="1304" w:type="dxa"/>
            <w:tcBorders>
              <w:bottom w:val="single" w:sz="4" w:space="0" w:color="BFBFBF" w:themeColor="accent4"/>
            </w:tcBorders>
          </w:tcPr>
          <w:p w14:paraId="18D087BB" w14:textId="77777777" w:rsidR="00FA7EBF" w:rsidRPr="007939DD" w:rsidRDefault="00FA7EBF" w:rsidP="007B207C">
            <w:pPr>
              <w:pStyle w:val="ARfintablebodyrightbold"/>
              <w:rPr>
                <w:lang w:eastAsia="en-AU"/>
              </w:rPr>
            </w:pPr>
            <w:r w:rsidRPr="00D169A7">
              <w:t>1,431.8</w:t>
            </w:r>
          </w:p>
        </w:tc>
        <w:tc>
          <w:tcPr>
            <w:tcW w:w="1304" w:type="dxa"/>
            <w:tcBorders>
              <w:bottom w:val="single" w:sz="4" w:space="0" w:color="BFBFBF" w:themeColor="accent4"/>
            </w:tcBorders>
          </w:tcPr>
          <w:p w14:paraId="12F3C3D0" w14:textId="77777777" w:rsidR="00FA7EBF" w:rsidRPr="007939DD" w:rsidRDefault="00FA7EBF" w:rsidP="007B207C">
            <w:pPr>
              <w:pStyle w:val="ARfintablebodyrightbold"/>
              <w:rPr>
                <w:lang w:eastAsia="en-AU"/>
              </w:rPr>
            </w:pPr>
            <w:r w:rsidRPr="00D169A7">
              <w:t>22,062.0</w:t>
            </w:r>
          </w:p>
        </w:tc>
        <w:tc>
          <w:tcPr>
            <w:tcW w:w="1304" w:type="dxa"/>
            <w:tcBorders>
              <w:bottom w:val="single" w:sz="4" w:space="0" w:color="BFBFBF" w:themeColor="accent4"/>
            </w:tcBorders>
          </w:tcPr>
          <w:p w14:paraId="2CABC2DA" w14:textId="77777777" w:rsidR="00FA7EBF" w:rsidRPr="007939DD" w:rsidRDefault="00FA7EBF" w:rsidP="007B207C">
            <w:pPr>
              <w:pStyle w:val="ARfintablebodyrightbold"/>
              <w:rPr>
                <w:rStyle w:val="Strong"/>
                <w:bCs w:val="0"/>
              </w:rPr>
            </w:pPr>
            <w:r w:rsidRPr="00D169A7">
              <w:t>28,036.0</w:t>
            </w:r>
          </w:p>
        </w:tc>
      </w:tr>
      <w:tr w:rsidR="00FA7EBF" w:rsidRPr="007939DD" w14:paraId="2D283025" w14:textId="77777777" w:rsidTr="007B207C">
        <w:tc>
          <w:tcPr>
            <w:tcW w:w="3572" w:type="dxa"/>
            <w:tcBorders>
              <w:top w:val="single" w:sz="4" w:space="0" w:color="BFBFBF" w:themeColor="accent4"/>
              <w:bottom w:val="single" w:sz="4" w:space="0" w:color="A6A6A6" w:themeColor="background1" w:themeShade="A6"/>
            </w:tcBorders>
          </w:tcPr>
          <w:p w14:paraId="5A8A9807" w14:textId="77777777" w:rsidR="00FA7EBF" w:rsidRPr="007939DD" w:rsidRDefault="00FA7EBF" w:rsidP="007B207C">
            <w:pPr>
              <w:pStyle w:val="ARfintablebody"/>
              <w:rPr>
                <w:lang w:eastAsia="en-AU"/>
              </w:rPr>
            </w:pPr>
            <w:r w:rsidRPr="00D169A7">
              <w:t>Net result for the year</w:t>
            </w:r>
          </w:p>
        </w:tc>
        <w:tc>
          <w:tcPr>
            <w:tcW w:w="851" w:type="dxa"/>
            <w:tcBorders>
              <w:top w:val="single" w:sz="4" w:space="0" w:color="BFBFBF" w:themeColor="accent4"/>
              <w:bottom w:val="single" w:sz="4" w:space="0" w:color="A6A6A6" w:themeColor="background1" w:themeShade="A6"/>
            </w:tcBorders>
          </w:tcPr>
          <w:p w14:paraId="11F72C79" w14:textId="77777777" w:rsidR="00FA7EBF" w:rsidRPr="007939DD" w:rsidRDefault="00FA7EBF" w:rsidP="007B207C">
            <w:pPr>
              <w:pStyle w:val="ARfintablebodyright"/>
              <w:rPr>
                <w:lang w:eastAsia="en-AU"/>
              </w:rPr>
            </w:pPr>
          </w:p>
        </w:tc>
        <w:tc>
          <w:tcPr>
            <w:tcW w:w="1304" w:type="dxa"/>
            <w:tcBorders>
              <w:top w:val="single" w:sz="4" w:space="0" w:color="BFBFBF" w:themeColor="accent4"/>
              <w:bottom w:val="single" w:sz="4" w:space="0" w:color="A6A6A6" w:themeColor="background1" w:themeShade="A6"/>
            </w:tcBorders>
          </w:tcPr>
          <w:p w14:paraId="5271CEF6" w14:textId="77777777" w:rsidR="00FA7EBF" w:rsidRPr="007939DD" w:rsidRDefault="00FA7EBF" w:rsidP="007B207C">
            <w:pPr>
              <w:pStyle w:val="ARfintablebodyright"/>
              <w:rPr>
                <w:lang w:eastAsia="en-AU"/>
              </w:rPr>
            </w:pPr>
            <w:r w:rsidRPr="00D169A7">
              <w:t>–</w:t>
            </w:r>
          </w:p>
        </w:tc>
        <w:tc>
          <w:tcPr>
            <w:tcW w:w="1304" w:type="dxa"/>
            <w:tcBorders>
              <w:top w:val="single" w:sz="4" w:space="0" w:color="BFBFBF" w:themeColor="accent4"/>
              <w:bottom w:val="single" w:sz="4" w:space="0" w:color="A6A6A6" w:themeColor="background1" w:themeShade="A6"/>
            </w:tcBorders>
          </w:tcPr>
          <w:p w14:paraId="731D8543" w14:textId="77777777" w:rsidR="00FA7EBF" w:rsidRPr="007939DD" w:rsidRDefault="00FA7EBF" w:rsidP="007B207C">
            <w:pPr>
              <w:pStyle w:val="ARfintablebodyright"/>
              <w:rPr>
                <w:lang w:eastAsia="en-AU"/>
              </w:rPr>
            </w:pPr>
            <w:r w:rsidRPr="00D169A7">
              <w:t>181.7</w:t>
            </w:r>
          </w:p>
        </w:tc>
        <w:tc>
          <w:tcPr>
            <w:tcW w:w="1304" w:type="dxa"/>
            <w:tcBorders>
              <w:top w:val="single" w:sz="4" w:space="0" w:color="BFBFBF" w:themeColor="accent4"/>
              <w:bottom w:val="single" w:sz="4" w:space="0" w:color="A6A6A6" w:themeColor="background1" w:themeShade="A6"/>
            </w:tcBorders>
          </w:tcPr>
          <w:p w14:paraId="4E8E49A2" w14:textId="77777777" w:rsidR="00FA7EBF" w:rsidRPr="007939DD" w:rsidRDefault="00FA7EBF" w:rsidP="007B207C">
            <w:pPr>
              <w:pStyle w:val="ARfintablebodyright"/>
              <w:rPr>
                <w:lang w:eastAsia="en-AU"/>
              </w:rPr>
            </w:pPr>
            <w:r w:rsidRPr="00D169A7">
              <w:t>–</w:t>
            </w:r>
          </w:p>
        </w:tc>
        <w:tc>
          <w:tcPr>
            <w:tcW w:w="1304" w:type="dxa"/>
            <w:tcBorders>
              <w:top w:val="single" w:sz="4" w:space="0" w:color="BFBFBF" w:themeColor="accent4"/>
              <w:bottom w:val="single" w:sz="4" w:space="0" w:color="A6A6A6" w:themeColor="background1" w:themeShade="A6"/>
            </w:tcBorders>
          </w:tcPr>
          <w:p w14:paraId="43ABB414" w14:textId="77777777" w:rsidR="00FA7EBF" w:rsidRPr="007939DD" w:rsidRDefault="00FA7EBF" w:rsidP="007B207C">
            <w:pPr>
              <w:pStyle w:val="ARfintablebodyright"/>
              <w:rPr>
                <w:lang w:eastAsia="en-AU"/>
              </w:rPr>
            </w:pPr>
            <w:r w:rsidRPr="00D169A7">
              <w:t>181.7</w:t>
            </w:r>
          </w:p>
        </w:tc>
      </w:tr>
      <w:tr w:rsidR="00FA7EBF" w:rsidRPr="007939DD" w14:paraId="200389CC" w14:textId="77777777" w:rsidTr="007B207C">
        <w:tc>
          <w:tcPr>
            <w:tcW w:w="3572" w:type="dxa"/>
            <w:tcBorders>
              <w:top w:val="single" w:sz="4" w:space="0" w:color="A6A6A6" w:themeColor="background1" w:themeShade="A6"/>
              <w:bottom w:val="single" w:sz="4" w:space="0" w:color="A6A6A6" w:themeColor="background1" w:themeShade="A6"/>
            </w:tcBorders>
          </w:tcPr>
          <w:p w14:paraId="79CBBCDA" w14:textId="77777777" w:rsidR="00FA7EBF" w:rsidRPr="007939DD" w:rsidRDefault="00FA7EBF" w:rsidP="007B207C">
            <w:pPr>
              <w:pStyle w:val="ARfintablebody"/>
              <w:rPr>
                <w:lang w:eastAsia="en-AU"/>
              </w:rPr>
            </w:pPr>
            <w:r w:rsidRPr="00D169A7">
              <w:t>Remeasurement of superannuation defined benefit plans</w:t>
            </w:r>
          </w:p>
        </w:tc>
        <w:tc>
          <w:tcPr>
            <w:tcW w:w="851" w:type="dxa"/>
            <w:tcBorders>
              <w:top w:val="single" w:sz="4" w:space="0" w:color="A6A6A6" w:themeColor="background1" w:themeShade="A6"/>
              <w:bottom w:val="single" w:sz="4" w:space="0" w:color="A6A6A6" w:themeColor="background1" w:themeShade="A6"/>
            </w:tcBorders>
          </w:tcPr>
          <w:p w14:paraId="1818E6FE" w14:textId="77777777" w:rsidR="00FA7EBF" w:rsidRPr="007939DD" w:rsidRDefault="00FA7EBF" w:rsidP="007B207C">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14:paraId="0E62520D"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6CF283E7" w14:textId="77777777" w:rsidR="00FA7EBF" w:rsidRPr="007939DD" w:rsidRDefault="00FA7EBF" w:rsidP="007B207C">
            <w:pPr>
              <w:pStyle w:val="ARfintablebodyright"/>
              <w:rPr>
                <w:lang w:eastAsia="en-AU"/>
              </w:rPr>
            </w:pPr>
            <w:r w:rsidRPr="00D169A7">
              <w:t>(0.3)</w:t>
            </w:r>
          </w:p>
        </w:tc>
        <w:tc>
          <w:tcPr>
            <w:tcW w:w="1304" w:type="dxa"/>
            <w:tcBorders>
              <w:top w:val="single" w:sz="4" w:space="0" w:color="A6A6A6" w:themeColor="background1" w:themeShade="A6"/>
              <w:bottom w:val="single" w:sz="4" w:space="0" w:color="A6A6A6" w:themeColor="background1" w:themeShade="A6"/>
            </w:tcBorders>
          </w:tcPr>
          <w:p w14:paraId="2EBB2430"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5C68153C" w14:textId="77777777" w:rsidR="00FA7EBF" w:rsidRPr="007939DD" w:rsidRDefault="00FA7EBF" w:rsidP="007B207C">
            <w:pPr>
              <w:pStyle w:val="ARfintablebodyright"/>
              <w:rPr>
                <w:lang w:eastAsia="en-AU"/>
              </w:rPr>
            </w:pPr>
            <w:r w:rsidRPr="00D169A7">
              <w:t>(0.3)</w:t>
            </w:r>
          </w:p>
        </w:tc>
      </w:tr>
      <w:tr w:rsidR="00FA7EBF" w:rsidRPr="007939DD" w14:paraId="1DF90F2C" w14:textId="77777777" w:rsidTr="007B207C">
        <w:tc>
          <w:tcPr>
            <w:tcW w:w="3572" w:type="dxa"/>
            <w:tcBorders>
              <w:top w:val="single" w:sz="4" w:space="0" w:color="A6A6A6" w:themeColor="background1" w:themeShade="A6"/>
              <w:bottom w:val="single" w:sz="4" w:space="0" w:color="A6A6A6" w:themeColor="background1" w:themeShade="A6"/>
            </w:tcBorders>
          </w:tcPr>
          <w:p w14:paraId="42CA1945" w14:textId="77777777" w:rsidR="00FA7EBF" w:rsidRPr="007939DD" w:rsidRDefault="00FA7EBF" w:rsidP="007B207C">
            <w:pPr>
              <w:pStyle w:val="ARfintablebody"/>
              <w:rPr>
                <w:lang w:eastAsia="en-AU"/>
              </w:rPr>
            </w:pPr>
            <w:r w:rsidRPr="00D169A7">
              <w:t>Changes in physical asset revaluation surplus</w:t>
            </w:r>
          </w:p>
        </w:tc>
        <w:tc>
          <w:tcPr>
            <w:tcW w:w="851" w:type="dxa"/>
            <w:tcBorders>
              <w:top w:val="single" w:sz="4" w:space="0" w:color="A6A6A6" w:themeColor="background1" w:themeShade="A6"/>
              <w:bottom w:val="single" w:sz="4" w:space="0" w:color="A6A6A6" w:themeColor="background1" w:themeShade="A6"/>
            </w:tcBorders>
          </w:tcPr>
          <w:p w14:paraId="5E3854D1" w14:textId="77777777" w:rsidR="00FA7EBF" w:rsidRPr="007939DD" w:rsidRDefault="00FA7EBF" w:rsidP="007B207C">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14:paraId="321AAD38" w14:textId="77777777" w:rsidR="00FA7EBF" w:rsidRPr="007939DD" w:rsidRDefault="00FA7EBF" w:rsidP="007B207C">
            <w:pPr>
              <w:pStyle w:val="ARfintablebodyright"/>
              <w:rPr>
                <w:lang w:eastAsia="en-AU"/>
              </w:rPr>
            </w:pPr>
            <w:r w:rsidRPr="00D169A7">
              <w:t>4,059.6</w:t>
            </w:r>
          </w:p>
        </w:tc>
        <w:tc>
          <w:tcPr>
            <w:tcW w:w="1304" w:type="dxa"/>
            <w:tcBorders>
              <w:top w:val="single" w:sz="4" w:space="0" w:color="A6A6A6" w:themeColor="background1" w:themeShade="A6"/>
              <w:bottom w:val="single" w:sz="4" w:space="0" w:color="A6A6A6" w:themeColor="background1" w:themeShade="A6"/>
            </w:tcBorders>
          </w:tcPr>
          <w:p w14:paraId="44740846"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326E317C"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486D2389" w14:textId="77777777" w:rsidR="00FA7EBF" w:rsidRPr="007939DD" w:rsidRDefault="00FA7EBF" w:rsidP="007B207C">
            <w:pPr>
              <w:pStyle w:val="ARfintablebodyright"/>
              <w:rPr>
                <w:lang w:eastAsia="en-AU"/>
              </w:rPr>
            </w:pPr>
            <w:r w:rsidRPr="00D169A7">
              <w:t>4,059.6</w:t>
            </w:r>
          </w:p>
        </w:tc>
      </w:tr>
      <w:tr w:rsidR="00FA7EBF" w:rsidRPr="007939DD" w14:paraId="0F08407C" w14:textId="77777777" w:rsidTr="007B207C">
        <w:tc>
          <w:tcPr>
            <w:tcW w:w="3572" w:type="dxa"/>
            <w:tcBorders>
              <w:top w:val="single" w:sz="4" w:space="0" w:color="A6A6A6" w:themeColor="background1" w:themeShade="A6"/>
              <w:bottom w:val="single" w:sz="4" w:space="0" w:color="A6A6A6" w:themeColor="background1" w:themeShade="A6"/>
            </w:tcBorders>
          </w:tcPr>
          <w:p w14:paraId="76C7BAA3" w14:textId="77777777" w:rsidR="00FA7EBF" w:rsidRPr="007939DD" w:rsidRDefault="00FA7EBF" w:rsidP="007B207C">
            <w:pPr>
              <w:pStyle w:val="ARfintablebody"/>
              <w:rPr>
                <w:lang w:eastAsia="en-AU"/>
              </w:rPr>
            </w:pPr>
            <w:r w:rsidRPr="00D169A7">
              <w:t>Administrative restructure – net assets transferred</w:t>
            </w:r>
          </w:p>
        </w:tc>
        <w:tc>
          <w:tcPr>
            <w:tcW w:w="851" w:type="dxa"/>
            <w:tcBorders>
              <w:top w:val="single" w:sz="4" w:space="0" w:color="A6A6A6" w:themeColor="background1" w:themeShade="A6"/>
              <w:bottom w:val="single" w:sz="4" w:space="0" w:color="A6A6A6" w:themeColor="background1" w:themeShade="A6"/>
            </w:tcBorders>
          </w:tcPr>
          <w:p w14:paraId="674FED22" w14:textId="77777777" w:rsidR="00FA7EBF" w:rsidRPr="007939DD" w:rsidRDefault="00FA7EBF" w:rsidP="007B207C">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14:paraId="00491D2D"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0FF10970"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2D03C91C" w14:textId="77777777" w:rsidR="00FA7EBF" w:rsidRPr="007939DD" w:rsidRDefault="00FA7EBF" w:rsidP="007B207C">
            <w:pPr>
              <w:pStyle w:val="ARfintablebodyright"/>
              <w:rPr>
                <w:lang w:eastAsia="en-AU"/>
              </w:rPr>
            </w:pPr>
            <w:r w:rsidRPr="00D169A7">
              <w:t>5.3</w:t>
            </w:r>
          </w:p>
        </w:tc>
        <w:tc>
          <w:tcPr>
            <w:tcW w:w="1304" w:type="dxa"/>
            <w:tcBorders>
              <w:top w:val="single" w:sz="4" w:space="0" w:color="A6A6A6" w:themeColor="background1" w:themeShade="A6"/>
              <w:bottom w:val="single" w:sz="4" w:space="0" w:color="A6A6A6" w:themeColor="background1" w:themeShade="A6"/>
            </w:tcBorders>
          </w:tcPr>
          <w:p w14:paraId="0546FA98" w14:textId="77777777" w:rsidR="00FA7EBF" w:rsidRPr="007939DD" w:rsidRDefault="00FA7EBF" w:rsidP="007B207C">
            <w:pPr>
              <w:pStyle w:val="ARfintablebodyright"/>
              <w:rPr>
                <w:lang w:eastAsia="en-AU"/>
              </w:rPr>
            </w:pPr>
            <w:r w:rsidRPr="00D169A7">
              <w:t>5.3</w:t>
            </w:r>
          </w:p>
        </w:tc>
      </w:tr>
      <w:tr w:rsidR="00FA7EBF" w:rsidRPr="007939DD" w14:paraId="354E4B8B" w14:textId="77777777" w:rsidTr="007B207C">
        <w:tc>
          <w:tcPr>
            <w:tcW w:w="3572" w:type="dxa"/>
            <w:tcBorders>
              <w:top w:val="single" w:sz="4" w:space="0" w:color="A6A6A6" w:themeColor="background1" w:themeShade="A6"/>
              <w:bottom w:val="single" w:sz="4" w:space="0" w:color="A6A6A6" w:themeColor="background1" w:themeShade="A6"/>
            </w:tcBorders>
          </w:tcPr>
          <w:p w14:paraId="4A9E8F6A" w14:textId="77777777" w:rsidR="00FA7EBF" w:rsidRPr="007939DD" w:rsidRDefault="00FA7EBF" w:rsidP="007B207C">
            <w:pPr>
              <w:pStyle w:val="ARfintablebody"/>
              <w:rPr>
                <w:lang w:eastAsia="en-AU"/>
              </w:rPr>
            </w:pPr>
            <w:r w:rsidRPr="00D169A7">
              <w:t>Capital contribution by Victorian State Government</w:t>
            </w:r>
          </w:p>
        </w:tc>
        <w:tc>
          <w:tcPr>
            <w:tcW w:w="851" w:type="dxa"/>
            <w:tcBorders>
              <w:top w:val="single" w:sz="4" w:space="0" w:color="A6A6A6" w:themeColor="background1" w:themeShade="A6"/>
              <w:bottom w:val="single" w:sz="4" w:space="0" w:color="A6A6A6" w:themeColor="background1" w:themeShade="A6"/>
            </w:tcBorders>
          </w:tcPr>
          <w:p w14:paraId="3FF0C274" w14:textId="77777777" w:rsidR="00FA7EBF" w:rsidRPr="007939DD" w:rsidRDefault="00FA7EBF" w:rsidP="007B207C">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14:paraId="1260BA07"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23CD68E0"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1A3D140C" w14:textId="77777777" w:rsidR="00FA7EBF" w:rsidRPr="007939DD" w:rsidRDefault="00FA7EBF" w:rsidP="007B207C">
            <w:pPr>
              <w:pStyle w:val="ARfintablebodyright"/>
              <w:rPr>
                <w:lang w:eastAsia="en-AU"/>
              </w:rPr>
            </w:pPr>
            <w:r w:rsidRPr="00D169A7">
              <w:t>269.9</w:t>
            </w:r>
          </w:p>
        </w:tc>
        <w:tc>
          <w:tcPr>
            <w:tcW w:w="1304" w:type="dxa"/>
            <w:tcBorders>
              <w:top w:val="single" w:sz="4" w:space="0" w:color="A6A6A6" w:themeColor="background1" w:themeShade="A6"/>
              <w:bottom w:val="single" w:sz="4" w:space="0" w:color="A6A6A6" w:themeColor="background1" w:themeShade="A6"/>
            </w:tcBorders>
          </w:tcPr>
          <w:p w14:paraId="3436CC74" w14:textId="77777777" w:rsidR="00FA7EBF" w:rsidRPr="007939DD" w:rsidRDefault="00FA7EBF" w:rsidP="007B207C">
            <w:pPr>
              <w:pStyle w:val="ARfintablebodyright"/>
              <w:rPr>
                <w:lang w:eastAsia="en-AU"/>
              </w:rPr>
            </w:pPr>
            <w:r w:rsidRPr="00D169A7">
              <w:t>269.9</w:t>
            </w:r>
          </w:p>
        </w:tc>
      </w:tr>
      <w:tr w:rsidR="00FA7EBF" w:rsidRPr="007939DD" w14:paraId="6AD9B8C2" w14:textId="77777777" w:rsidTr="007B207C">
        <w:tc>
          <w:tcPr>
            <w:tcW w:w="3572" w:type="dxa"/>
            <w:tcBorders>
              <w:top w:val="single" w:sz="4" w:space="0" w:color="A6A6A6" w:themeColor="background1" w:themeShade="A6"/>
              <w:bottom w:val="single" w:sz="4" w:space="0" w:color="A6A6A6" w:themeColor="background1" w:themeShade="A6"/>
            </w:tcBorders>
          </w:tcPr>
          <w:p w14:paraId="17B4DF54" w14:textId="77777777" w:rsidR="00FA7EBF" w:rsidRPr="007939DD" w:rsidRDefault="00FA7EBF" w:rsidP="007B207C">
            <w:pPr>
              <w:pStyle w:val="ARfintablebody"/>
              <w:rPr>
                <w:lang w:eastAsia="en-AU"/>
              </w:rPr>
            </w:pPr>
            <w:r w:rsidRPr="00D169A7">
              <w:t>Capital contributions to agencies</w:t>
            </w:r>
          </w:p>
        </w:tc>
        <w:tc>
          <w:tcPr>
            <w:tcW w:w="851" w:type="dxa"/>
            <w:tcBorders>
              <w:top w:val="single" w:sz="4" w:space="0" w:color="A6A6A6" w:themeColor="background1" w:themeShade="A6"/>
              <w:bottom w:val="single" w:sz="4" w:space="0" w:color="A6A6A6" w:themeColor="background1" w:themeShade="A6"/>
            </w:tcBorders>
          </w:tcPr>
          <w:p w14:paraId="10E8461A" w14:textId="77777777" w:rsidR="00FA7EBF" w:rsidRPr="007939DD" w:rsidRDefault="00FA7EBF" w:rsidP="007B207C">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14:paraId="39D609D8"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6344785C"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54CA59E8" w14:textId="77777777" w:rsidR="00FA7EBF" w:rsidRPr="007939DD" w:rsidRDefault="00FA7EBF" w:rsidP="007B207C">
            <w:pPr>
              <w:pStyle w:val="ARfintablebodyright"/>
              <w:rPr>
                <w:lang w:eastAsia="en-AU"/>
              </w:rPr>
            </w:pPr>
            <w:r w:rsidRPr="00D169A7">
              <w:t>(137.5)</w:t>
            </w:r>
          </w:p>
        </w:tc>
        <w:tc>
          <w:tcPr>
            <w:tcW w:w="1304" w:type="dxa"/>
            <w:tcBorders>
              <w:top w:val="single" w:sz="4" w:space="0" w:color="A6A6A6" w:themeColor="background1" w:themeShade="A6"/>
              <w:bottom w:val="single" w:sz="4" w:space="0" w:color="A6A6A6" w:themeColor="background1" w:themeShade="A6"/>
            </w:tcBorders>
          </w:tcPr>
          <w:p w14:paraId="71E7F61D" w14:textId="77777777" w:rsidR="00FA7EBF" w:rsidRPr="007939DD" w:rsidRDefault="00FA7EBF" w:rsidP="007B207C">
            <w:pPr>
              <w:pStyle w:val="ARfintablebodyright"/>
              <w:rPr>
                <w:lang w:eastAsia="en-AU"/>
              </w:rPr>
            </w:pPr>
            <w:r w:rsidRPr="00D169A7">
              <w:t>(137.5)</w:t>
            </w:r>
          </w:p>
        </w:tc>
      </w:tr>
      <w:tr w:rsidR="00FA7EBF" w:rsidRPr="007939DD" w14:paraId="19E77E0D" w14:textId="77777777" w:rsidTr="007B207C">
        <w:tc>
          <w:tcPr>
            <w:tcW w:w="3572" w:type="dxa"/>
            <w:tcBorders>
              <w:top w:val="single" w:sz="4" w:space="0" w:color="A6A6A6" w:themeColor="background1" w:themeShade="A6"/>
            </w:tcBorders>
          </w:tcPr>
          <w:p w14:paraId="3D91DEFE" w14:textId="77777777" w:rsidR="00FA7EBF" w:rsidRPr="007939DD" w:rsidRDefault="00FA7EBF" w:rsidP="007B207C">
            <w:pPr>
              <w:pStyle w:val="ARfintablebody"/>
              <w:rPr>
                <w:lang w:eastAsia="en-AU"/>
              </w:rPr>
            </w:pPr>
            <w:r w:rsidRPr="00D169A7">
              <w:t>Net capital contributed from asset transfers</w:t>
            </w:r>
          </w:p>
        </w:tc>
        <w:tc>
          <w:tcPr>
            <w:tcW w:w="851" w:type="dxa"/>
            <w:tcBorders>
              <w:top w:val="single" w:sz="4" w:space="0" w:color="A6A6A6" w:themeColor="background1" w:themeShade="A6"/>
            </w:tcBorders>
          </w:tcPr>
          <w:p w14:paraId="20247B23" w14:textId="77777777" w:rsidR="00FA7EBF" w:rsidRPr="007939DD" w:rsidRDefault="00FA7EBF" w:rsidP="007B207C">
            <w:pPr>
              <w:pStyle w:val="ARfintablebodyright"/>
              <w:rPr>
                <w:lang w:eastAsia="en-AU"/>
              </w:rPr>
            </w:pPr>
          </w:p>
        </w:tc>
        <w:tc>
          <w:tcPr>
            <w:tcW w:w="1304" w:type="dxa"/>
            <w:tcBorders>
              <w:top w:val="single" w:sz="4" w:space="0" w:color="A6A6A6" w:themeColor="background1" w:themeShade="A6"/>
            </w:tcBorders>
          </w:tcPr>
          <w:p w14:paraId="32949E6B"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tcBorders>
          </w:tcPr>
          <w:p w14:paraId="0A8E4B43"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tcBorders>
          </w:tcPr>
          <w:p w14:paraId="0FE9FB65" w14:textId="77777777" w:rsidR="00FA7EBF" w:rsidRPr="007939DD" w:rsidRDefault="00FA7EBF" w:rsidP="007B207C">
            <w:pPr>
              <w:pStyle w:val="ARfintablebodyright"/>
              <w:rPr>
                <w:lang w:eastAsia="en-AU"/>
              </w:rPr>
            </w:pPr>
            <w:r w:rsidRPr="00D169A7">
              <w:t>(2.2)</w:t>
            </w:r>
          </w:p>
        </w:tc>
        <w:tc>
          <w:tcPr>
            <w:tcW w:w="1304" w:type="dxa"/>
            <w:tcBorders>
              <w:top w:val="single" w:sz="4" w:space="0" w:color="A6A6A6" w:themeColor="background1" w:themeShade="A6"/>
            </w:tcBorders>
          </w:tcPr>
          <w:p w14:paraId="1E5E120F" w14:textId="77777777" w:rsidR="00FA7EBF" w:rsidRPr="007939DD" w:rsidRDefault="00FA7EBF" w:rsidP="007B207C">
            <w:pPr>
              <w:pStyle w:val="ARfintablebodyright"/>
              <w:rPr>
                <w:lang w:eastAsia="en-AU"/>
              </w:rPr>
            </w:pPr>
            <w:r w:rsidRPr="00D169A7">
              <w:t>(2.2)</w:t>
            </w:r>
          </w:p>
        </w:tc>
      </w:tr>
      <w:tr w:rsidR="00FA7EBF" w:rsidRPr="007939DD" w14:paraId="1772857A" w14:textId="77777777" w:rsidTr="007B207C">
        <w:tc>
          <w:tcPr>
            <w:tcW w:w="3572" w:type="dxa"/>
          </w:tcPr>
          <w:p w14:paraId="60DB7FD4" w14:textId="77777777" w:rsidR="00FA7EBF" w:rsidRPr="007939DD" w:rsidRDefault="00FA7EBF" w:rsidP="007B207C">
            <w:pPr>
              <w:pStyle w:val="ARfintablebodybold"/>
              <w:rPr>
                <w:lang w:eastAsia="en-AU"/>
              </w:rPr>
            </w:pPr>
            <w:r w:rsidRPr="00D169A7">
              <w:t>Balance at 30 June 2018</w:t>
            </w:r>
          </w:p>
        </w:tc>
        <w:tc>
          <w:tcPr>
            <w:tcW w:w="851" w:type="dxa"/>
          </w:tcPr>
          <w:p w14:paraId="5FC3D050" w14:textId="77777777" w:rsidR="00FA7EBF" w:rsidRPr="007939DD" w:rsidRDefault="00FA7EBF" w:rsidP="007B207C">
            <w:pPr>
              <w:pStyle w:val="ARfintablebodyright"/>
              <w:rPr>
                <w:rStyle w:val="Strong"/>
                <w:bCs w:val="0"/>
              </w:rPr>
            </w:pPr>
          </w:p>
        </w:tc>
        <w:tc>
          <w:tcPr>
            <w:tcW w:w="1304" w:type="dxa"/>
          </w:tcPr>
          <w:p w14:paraId="761B8744" w14:textId="77777777" w:rsidR="00FA7EBF" w:rsidRPr="007939DD" w:rsidRDefault="00FA7EBF" w:rsidP="007B207C">
            <w:pPr>
              <w:pStyle w:val="ARfintablebodyrightbold"/>
            </w:pPr>
            <w:r w:rsidRPr="00D169A7">
              <w:t>8,601.7</w:t>
            </w:r>
          </w:p>
        </w:tc>
        <w:tc>
          <w:tcPr>
            <w:tcW w:w="1304" w:type="dxa"/>
          </w:tcPr>
          <w:p w14:paraId="192145B9" w14:textId="77777777" w:rsidR="00FA7EBF" w:rsidRPr="007939DD" w:rsidRDefault="00FA7EBF" w:rsidP="007B207C">
            <w:pPr>
              <w:pStyle w:val="ARfintablebodyrightbold"/>
            </w:pPr>
            <w:r w:rsidRPr="00D169A7">
              <w:t>1,613.2</w:t>
            </w:r>
          </w:p>
        </w:tc>
        <w:tc>
          <w:tcPr>
            <w:tcW w:w="1304" w:type="dxa"/>
          </w:tcPr>
          <w:p w14:paraId="2C7C942A" w14:textId="77777777" w:rsidR="00FA7EBF" w:rsidRPr="007939DD" w:rsidRDefault="00FA7EBF" w:rsidP="007B207C">
            <w:pPr>
              <w:pStyle w:val="ARfintablebodyrightbold"/>
            </w:pPr>
            <w:r w:rsidRPr="00D169A7">
              <w:t>22,197.5</w:t>
            </w:r>
          </w:p>
        </w:tc>
        <w:tc>
          <w:tcPr>
            <w:tcW w:w="1304" w:type="dxa"/>
          </w:tcPr>
          <w:p w14:paraId="424CCD73" w14:textId="77777777" w:rsidR="00FA7EBF" w:rsidRPr="007939DD" w:rsidRDefault="00FA7EBF" w:rsidP="007B207C">
            <w:pPr>
              <w:pStyle w:val="ARfintablebodyrightbold"/>
            </w:pPr>
            <w:r w:rsidRPr="00D169A7">
              <w:t>32,412.5</w:t>
            </w:r>
          </w:p>
        </w:tc>
      </w:tr>
      <w:tr w:rsidR="00FA7EBF" w:rsidRPr="007939DD" w14:paraId="77E039BF" w14:textId="77777777" w:rsidTr="007B207C">
        <w:tc>
          <w:tcPr>
            <w:tcW w:w="3572" w:type="dxa"/>
            <w:tcBorders>
              <w:bottom w:val="single" w:sz="4" w:space="0" w:color="A6A6A6"/>
            </w:tcBorders>
          </w:tcPr>
          <w:p w14:paraId="1F7764DA" w14:textId="77777777" w:rsidR="00FA7EBF" w:rsidRPr="007939DD" w:rsidRDefault="00FA7EBF" w:rsidP="007B207C">
            <w:pPr>
              <w:pStyle w:val="ARfintablebody"/>
              <w:rPr>
                <w:lang w:eastAsia="en-AU"/>
              </w:rPr>
            </w:pPr>
            <w:r w:rsidRPr="00D169A7">
              <w:t>Change in accounting policy</w:t>
            </w:r>
          </w:p>
        </w:tc>
        <w:tc>
          <w:tcPr>
            <w:tcW w:w="851" w:type="dxa"/>
            <w:tcBorders>
              <w:bottom w:val="single" w:sz="4" w:space="0" w:color="A6A6A6"/>
            </w:tcBorders>
          </w:tcPr>
          <w:p w14:paraId="4264B645" w14:textId="77777777" w:rsidR="00FA7EBF" w:rsidRPr="007939DD" w:rsidRDefault="00FA7EBF" w:rsidP="007B207C">
            <w:pPr>
              <w:pStyle w:val="ARfintablebodyright"/>
              <w:rPr>
                <w:lang w:eastAsia="en-AU"/>
              </w:rPr>
            </w:pPr>
          </w:p>
        </w:tc>
        <w:tc>
          <w:tcPr>
            <w:tcW w:w="1304" w:type="dxa"/>
            <w:tcBorders>
              <w:bottom w:val="single" w:sz="4" w:space="0" w:color="A6A6A6"/>
            </w:tcBorders>
          </w:tcPr>
          <w:p w14:paraId="2CB13BF3" w14:textId="77777777" w:rsidR="00FA7EBF" w:rsidRPr="007939DD" w:rsidRDefault="00FA7EBF" w:rsidP="007B207C">
            <w:pPr>
              <w:pStyle w:val="ARfintablebodyright"/>
              <w:rPr>
                <w:lang w:eastAsia="en-AU"/>
              </w:rPr>
            </w:pPr>
          </w:p>
        </w:tc>
        <w:tc>
          <w:tcPr>
            <w:tcW w:w="1304" w:type="dxa"/>
            <w:tcBorders>
              <w:bottom w:val="single" w:sz="4" w:space="0" w:color="A6A6A6"/>
            </w:tcBorders>
          </w:tcPr>
          <w:p w14:paraId="2655ACAD" w14:textId="77777777" w:rsidR="00FA7EBF" w:rsidRPr="007939DD" w:rsidRDefault="00FA7EBF" w:rsidP="007B207C">
            <w:pPr>
              <w:pStyle w:val="ARfintablebodyright"/>
              <w:rPr>
                <w:lang w:eastAsia="en-AU"/>
              </w:rPr>
            </w:pPr>
            <w:r w:rsidRPr="00D169A7">
              <w:t>(2.4)</w:t>
            </w:r>
          </w:p>
        </w:tc>
        <w:tc>
          <w:tcPr>
            <w:tcW w:w="1304" w:type="dxa"/>
            <w:tcBorders>
              <w:bottom w:val="single" w:sz="4" w:space="0" w:color="A6A6A6"/>
            </w:tcBorders>
          </w:tcPr>
          <w:p w14:paraId="3FCE22B1" w14:textId="77777777" w:rsidR="00FA7EBF" w:rsidRPr="007939DD" w:rsidRDefault="00FA7EBF" w:rsidP="007B207C">
            <w:pPr>
              <w:pStyle w:val="ARfintablebodyright"/>
              <w:rPr>
                <w:lang w:eastAsia="en-AU"/>
              </w:rPr>
            </w:pPr>
            <w:r w:rsidRPr="00D169A7">
              <w:t>–</w:t>
            </w:r>
          </w:p>
        </w:tc>
        <w:tc>
          <w:tcPr>
            <w:tcW w:w="1304" w:type="dxa"/>
            <w:tcBorders>
              <w:bottom w:val="single" w:sz="4" w:space="0" w:color="A6A6A6"/>
            </w:tcBorders>
          </w:tcPr>
          <w:p w14:paraId="6215C2D4" w14:textId="77777777" w:rsidR="00FA7EBF" w:rsidRPr="007939DD" w:rsidRDefault="00FA7EBF" w:rsidP="007B207C">
            <w:pPr>
              <w:pStyle w:val="ARfintablebodyright"/>
              <w:rPr>
                <w:lang w:eastAsia="en-AU"/>
              </w:rPr>
            </w:pPr>
            <w:r w:rsidRPr="00D169A7">
              <w:t>(2.4)</w:t>
            </w:r>
          </w:p>
        </w:tc>
      </w:tr>
      <w:tr w:rsidR="00FA7EBF" w:rsidRPr="007939DD" w14:paraId="5E666FE4" w14:textId="77777777" w:rsidTr="007B207C">
        <w:tc>
          <w:tcPr>
            <w:tcW w:w="3572" w:type="dxa"/>
            <w:tcBorders>
              <w:top w:val="single" w:sz="4" w:space="0" w:color="A6A6A6"/>
              <w:bottom w:val="single" w:sz="4" w:space="0" w:color="BFBFBF" w:themeColor="accent4"/>
            </w:tcBorders>
          </w:tcPr>
          <w:p w14:paraId="70144274" w14:textId="77777777" w:rsidR="00FA7EBF" w:rsidRPr="007939DD" w:rsidRDefault="00FA7EBF" w:rsidP="007B207C">
            <w:pPr>
              <w:pStyle w:val="ARfintablebodybold"/>
              <w:rPr>
                <w:lang w:eastAsia="en-AU"/>
              </w:rPr>
            </w:pPr>
            <w:r w:rsidRPr="00D169A7">
              <w:t>Restated balance 30 June 2018</w:t>
            </w:r>
          </w:p>
        </w:tc>
        <w:tc>
          <w:tcPr>
            <w:tcW w:w="851" w:type="dxa"/>
            <w:tcBorders>
              <w:top w:val="single" w:sz="4" w:space="0" w:color="A6A6A6"/>
              <w:bottom w:val="single" w:sz="4" w:space="0" w:color="BFBFBF" w:themeColor="accent4"/>
            </w:tcBorders>
          </w:tcPr>
          <w:p w14:paraId="544655E6" w14:textId="77777777" w:rsidR="00FA7EBF" w:rsidRPr="007939DD" w:rsidRDefault="00FA7EBF" w:rsidP="007B207C">
            <w:pPr>
              <w:pStyle w:val="ARfintablebodyright"/>
              <w:rPr>
                <w:rStyle w:val="Strong"/>
                <w:bCs w:val="0"/>
              </w:rPr>
            </w:pPr>
          </w:p>
        </w:tc>
        <w:tc>
          <w:tcPr>
            <w:tcW w:w="1304" w:type="dxa"/>
            <w:tcBorders>
              <w:top w:val="single" w:sz="4" w:space="0" w:color="A6A6A6"/>
              <w:bottom w:val="single" w:sz="4" w:space="0" w:color="BFBFBF" w:themeColor="accent4"/>
            </w:tcBorders>
          </w:tcPr>
          <w:p w14:paraId="295A38D7" w14:textId="77777777" w:rsidR="00FA7EBF" w:rsidRPr="007939DD" w:rsidRDefault="00FA7EBF" w:rsidP="007B207C">
            <w:pPr>
              <w:pStyle w:val="ARfintablebodyrightbold"/>
            </w:pPr>
            <w:r w:rsidRPr="00D169A7">
              <w:t>8,601.7</w:t>
            </w:r>
          </w:p>
        </w:tc>
        <w:tc>
          <w:tcPr>
            <w:tcW w:w="1304" w:type="dxa"/>
            <w:tcBorders>
              <w:top w:val="single" w:sz="4" w:space="0" w:color="A6A6A6"/>
              <w:bottom w:val="single" w:sz="4" w:space="0" w:color="BFBFBF" w:themeColor="accent4"/>
            </w:tcBorders>
          </w:tcPr>
          <w:p w14:paraId="0543533F" w14:textId="77777777" w:rsidR="00FA7EBF" w:rsidRPr="007939DD" w:rsidRDefault="00FA7EBF" w:rsidP="007B207C">
            <w:pPr>
              <w:pStyle w:val="ARfintablebodyrightbold"/>
            </w:pPr>
            <w:r w:rsidRPr="00D169A7">
              <w:t>1,610.8</w:t>
            </w:r>
          </w:p>
        </w:tc>
        <w:tc>
          <w:tcPr>
            <w:tcW w:w="1304" w:type="dxa"/>
            <w:tcBorders>
              <w:top w:val="single" w:sz="4" w:space="0" w:color="A6A6A6"/>
              <w:bottom w:val="single" w:sz="4" w:space="0" w:color="BFBFBF" w:themeColor="accent4"/>
            </w:tcBorders>
          </w:tcPr>
          <w:p w14:paraId="02DD41C7" w14:textId="77777777" w:rsidR="00FA7EBF" w:rsidRPr="007939DD" w:rsidRDefault="00FA7EBF" w:rsidP="007B207C">
            <w:pPr>
              <w:pStyle w:val="ARfintablebodyrightbold"/>
            </w:pPr>
            <w:r w:rsidRPr="00D169A7">
              <w:t>22,197.5</w:t>
            </w:r>
          </w:p>
        </w:tc>
        <w:tc>
          <w:tcPr>
            <w:tcW w:w="1304" w:type="dxa"/>
            <w:tcBorders>
              <w:top w:val="single" w:sz="4" w:space="0" w:color="A6A6A6"/>
              <w:bottom w:val="single" w:sz="4" w:space="0" w:color="BFBFBF" w:themeColor="accent4"/>
            </w:tcBorders>
          </w:tcPr>
          <w:p w14:paraId="7D311102" w14:textId="77777777" w:rsidR="00FA7EBF" w:rsidRPr="007939DD" w:rsidRDefault="00FA7EBF" w:rsidP="007B207C">
            <w:pPr>
              <w:pStyle w:val="ARfintablebodyrightbold"/>
            </w:pPr>
            <w:r w:rsidRPr="00D169A7">
              <w:t>32,410.1</w:t>
            </w:r>
          </w:p>
        </w:tc>
      </w:tr>
      <w:tr w:rsidR="00FA7EBF" w:rsidRPr="007939DD" w14:paraId="1CA96B86" w14:textId="77777777" w:rsidTr="007B207C">
        <w:tc>
          <w:tcPr>
            <w:tcW w:w="3572" w:type="dxa"/>
            <w:tcBorders>
              <w:top w:val="single" w:sz="4" w:space="0" w:color="BFBFBF" w:themeColor="accent4"/>
              <w:bottom w:val="single" w:sz="4" w:space="0" w:color="A6A6A6" w:themeColor="background1" w:themeShade="A6"/>
            </w:tcBorders>
          </w:tcPr>
          <w:p w14:paraId="1ADF5978" w14:textId="77777777" w:rsidR="00FA7EBF" w:rsidRPr="007939DD" w:rsidRDefault="00FA7EBF" w:rsidP="007B207C">
            <w:pPr>
              <w:pStyle w:val="ARfintablebody"/>
              <w:rPr>
                <w:lang w:eastAsia="en-AU"/>
              </w:rPr>
            </w:pPr>
            <w:r w:rsidRPr="00D169A7">
              <w:t>Net result for the year</w:t>
            </w:r>
          </w:p>
        </w:tc>
        <w:tc>
          <w:tcPr>
            <w:tcW w:w="851" w:type="dxa"/>
            <w:tcBorders>
              <w:top w:val="single" w:sz="4" w:space="0" w:color="BFBFBF" w:themeColor="accent4"/>
              <w:bottom w:val="single" w:sz="4" w:space="0" w:color="A6A6A6" w:themeColor="background1" w:themeShade="A6"/>
            </w:tcBorders>
          </w:tcPr>
          <w:p w14:paraId="057809B1" w14:textId="77777777" w:rsidR="00FA7EBF" w:rsidRPr="007939DD" w:rsidRDefault="00FA7EBF" w:rsidP="007B207C">
            <w:pPr>
              <w:pStyle w:val="ARfintablebodyright"/>
              <w:rPr>
                <w:lang w:eastAsia="en-AU"/>
              </w:rPr>
            </w:pPr>
          </w:p>
        </w:tc>
        <w:tc>
          <w:tcPr>
            <w:tcW w:w="1304" w:type="dxa"/>
            <w:tcBorders>
              <w:top w:val="single" w:sz="4" w:space="0" w:color="BFBFBF" w:themeColor="accent4"/>
              <w:bottom w:val="single" w:sz="4" w:space="0" w:color="A6A6A6" w:themeColor="background1" w:themeShade="A6"/>
            </w:tcBorders>
          </w:tcPr>
          <w:p w14:paraId="69188E82" w14:textId="77777777" w:rsidR="00FA7EBF" w:rsidRPr="007939DD" w:rsidRDefault="00FA7EBF" w:rsidP="007B207C">
            <w:pPr>
              <w:pStyle w:val="ARfintablebodyright"/>
              <w:rPr>
                <w:lang w:eastAsia="en-AU"/>
              </w:rPr>
            </w:pPr>
            <w:r w:rsidRPr="00D169A7">
              <w:t>–</w:t>
            </w:r>
          </w:p>
        </w:tc>
        <w:tc>
          <w:tcPr>
            <w:tcW w:w="1304" w:type="dxa"/>
            <w:tcBorders>
              <w:top w:val="single" w:sz="4" w:space="0" w:color="BFBFBF" w:themeColor="accent4"/>
              <w:bottom w:val="single" w:sz="4" w:space="0" w:color="A6A6A6" w:themeColor="background1" w:themeShade="A6"/>
            </w:tcBorders>
          </w:tcPr>
          <w:p w14:paraId="6E200ECE" w14:textId="77777777" w:rsidR="00FA7EBF" w:rsidRPr="007939DD" w:rsidRDefault="00FA7EBF" w:rsidP="007B207C">
            <w:pPr>
              <w:pStyle w:val="ARfintablebodyright"/>
              <w:rPr>
                <w:lang w:eastAsia="en-AU"/>
              </w:rPr>
            </w:pPr>
            <w:r w:rsidRPr="00D169A7">
              <w:t>(9.0)</w:t>
            </w:r>
          </w:p>
        </w:tc>
        <w:tc>
          <w:tcPr>
            <w:tcW w:w="1304" w:type="dxa"/>
            <w:tcBorders>
              <w:top w:val="single" w:sz="4" w:space="0" w:color="BFBFBF" w:themeColor="accent4"/>
              <w:bottom w:val="single" w:sz="4" w:space="0" w:color="A6A6A6" w:themeColor="background1" w:themeShade="A6"/>
            </w:tcBorders>
          </w:tcPr>
          <w:p w14:paraId="5EE4DF28" w14:textId="77777777" w:rsidR="00FA7EBF" w:rsidRPr="007939DD" w:rsidRDefault="00FA7EBF" w:rsidP="007B207C">
            <w:pPr>
              <w:pStyle w:val="ARfintablebodyright"/>
              <w:rPr>
                <w:lang w:eastAsia="en-AU"/>
              </w:rPr>
            </w:pPr>
            <w:r w:rsidRPr="00D169A7">
              <w:t>–</w:t>
            </w:r>
          </w:p>
        </w:tc>
        <w:tc>
          <w:tcPr>
            <w:tcW w:w="1304" w:type="dxa"/>
            <w:tcBorders>
              <w:top w:val="single" w:sz="4" w:space="0" w:color="BFBFBF" w:themeColor="accent4"/>
              <w:bottom w:val="single" w:sz="4" w:space="0" w:color="A6A6A6" w:themeColor="background1" w:themeShade="A6"/>
            </w:tcBorders>
          </w:tcPr>
          <w:p w14:paraId="0D51F825" w14:textId="77777777" w:rsidR="00FA7EBF" w:rsidRPr="007939DD" w:rsidRDefault="00FA7EBF" w:rsidP="007B207C">
            <w:pPr>
              <w:pStyle w:val="ARfintablebodyright"/>
              <w:rPr>
                <w:lang w:eastAsia="en-AU"/>
              </w:rPr>
            </w:pPr>
            <w:r w:rsidRPr="00D169A7">
              <w:t>(9.0)</w:t>
            </w:r>
          </w:p>
        </w:tc>
      </w:tr>
      <w:tr w:rsidR="00FA7EBF" w:rsidRPr="007939DD" w14:paraId="2FFD958A" w14:textId="77777777" w:rsidTr="007B207C">
        <w:tc>
          <w:tcPr>
            <w:tcW w:w="3572" w:type="dxa"/>
            <w:tcBorders>
              <w:top w:val="single" w:sz="4" w:space="0" w:color="A6A6A6" w:themeColor="background1" w:themeShade="A6"/>
              <w:bottom w:val="single" w:sz="4" w:space="0" w:color="A6A6A6" w:themeColor="background1" w:themeShade="A6"/>
            </w:tcBorders>
          </w:tcPr>
          <w:p w14:paraId="2A8EC37B" w14:textId="77777777" w:rsidR="00FA7EBF" w:rsidRPr="007939DD" w:rsidRDefault="00FA7EBF" w:rsidP="007B207C">
            <w:pPr>
              <w:pStyle w:val="ARfintablebody"/>
              <w:rPr>
                <w:lang w:eastAsia="en-AU"/>
              </w:rPr>
            </w:pPr>
            <w:r w:rsidRPr="00D169A7">
              <w:t>Remeasurement of superannuation defined benefit plans</w:t>
            </w:r>
          </w:p>
        </w:tc>
        <w:tc>
          <w:tcPr>
            <w:tcW w:w="851" w:type="dxa"/>
            <w:tcBorders>
              <w:top w:val="single" w:sz="4" w:space="0" w:color="A6A6A6" w:themeColor="background1" w:themeShade="A6"/>
              <w:bottom w:val="single" w:sz="4" w:space="0" w:color="A6A6A6" w:themeColor="background1" w:themeShade="A6"/>
            </w:tcBorders>
          </w:tcPr>
          <w:p w14:paraId="41EE0A51" w14:textId="77777777" w:rsidR="00FA7EBF" w:rsidRPr="007939DD" w:rsidRDefault="00FA7EBF" w:rsidP="007B207C">
            <w:pPr>
              <w:pStyle w:val="ARfintablebodyright"/>
              <w:rPr>
                <w:lang w:eastAsia="en-AU"/>
              </w:rPr>
            </w:pPr>
            <w:r w:rsidRPr="00D169A7">
              <w:t>3.1.1(b)</w:t>
            </w:r>
          </w:p>
        </w:tc>
        <w:tc>
          <w:tcPr>
            <w:tcW w:w="1304" w:type="dxa"/>
            <w:tcBorders>
              <w:top w:val="single" w:sz="4" w:space="0" w:color="A6A6A6" w:themeColor="background1" w:themeShade="A6"/>
              <w:bottom w:val="single" w:sz="4" w:space="0" w:color="A6A6A6" w:themeColor="background1" w:themeShade="A6"/>
            </w:tcBorders>
          </w:tcPr>
          <w:p w14:paraId="640EADF3"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22342C07" w14:textId="77777777" w:rsidR="00FA7EBF" w:rsidRPr="007939DD" w:rsidRDefault="00FA7EBF" w:rsidP="007B207C">
            <w:pPr>
              <w:pStyle w:val="ARfintablebodyright"/>
              <w:rPr>
                <w:lang w:eastAsia="en-AU"/>
              </w:rPr>
            </w:pPr>
            <w:r w:rsidRPr="00D169A7">
              <w:t>(2.5)</w:t>
            </w:r>
          </w:p>
        </w:tc>
        <w:tc>
          <w:tcPr>
            <w:tcW w:w="1304" w:type="dxa"/>
            <w:tcBorders>
              <w:top w:val="single" w:sz="4" w:space="0" w:color="A6A6A6" w:themeColor="background1" w:themeShade="A6"/>
              <w:bottom w:val="single" w:sz="4" w:space="0" w:color="A6A6A6" w:themeColor="background1" w:themeShade="A6"/>
            </w:tcBorders>
          </w:tcPr>
          <w:p w14:paraId="4689DFD6"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325CDFAC" w14:textId="77777777" w:rsidR="00FA7EBF" w:rsidRPr="007939DD" w:rsidRDefault="00FA7EBF" w:rsidP="007B207C">
            <w:pPr>
              <w:pStyle w:val="ARfintablebodyright"/>
              <w:rPr>
                <w:lang w:eastAsia="en-AU"/>
              </w:rPr>
            </w:pPr>
            <w:r w:rsidRPr="00D169A7">
              <w:t>(2.5)</w:t>
            </w:r>
          </w:p>
        </w:tc>
      </w:tr>
      <w:tr w:rsidR="00FA7EBF" w:rsidRPr="007939DD" w14:paraId="1066A61C" w14:textId="77777777" w:rsidTr="007B207C">
        <w:tc>
          <w:tcPr>
            <w:tcW w:w="3572" w:type="dxa"/>
            <w:tcBorders>
              <w:top w:val="single" w:sz="4" w:space="0" w:color="A6A6A6" w:themeColor="background1" w:themeShade="A6"/>
              <w:bottom w:val="single" w:sz="4" w:space="0" w:color="A6A6A6" w:themeColor="background1" w:themeShade="A6"/>
            </w:tcBorders>
          </w:tcPr>
          <w:p w14:paraId="2E5E909F" w14:textId="77777777" w:rsidR="00FA7EBF" w:rsidRPr="007939DD" w:rsidRDefault="00FA7EBF" w:rsidP="007B207C">
            <w:pPr>
              <w:pStyle w:val="ARfintablebody"/>
              <w:rPr>
                <w:lang w:eastAsia="en-AU"/>
              </w:rPr>
            </w:pPr>
            <w:r w:rsidRPr="00D169A7">
              <w:t>Changes in physical asset revaluation surplus</w:t>
            </w:r>
          </w:p>
        </w:tc>
        <w:tc>
          <w:tcPr>
            <w:tcW w:w="851" w:type="dxa"/>
            <w:tcBorders>
              <w:top w:val="single" w:sz="4" w:space="0" w:color="A6A6A6" w:themeColor="background1" w:themeShade="A6"/>
              <w:bottom w:val="single" w:sz="4" w:space="0" w:color="A6A6A6" w:themeColor="background1" w:themeShade="A6"/>
            </w:tcBorders>
          </w:tcPr>
          <w:p w14:paraId="7CDEF428" w14:textId="77777777" w:rsidR="00FA7EBF" w:rsidRPr="007939DD" w:rsidRDefault="00FA7EBF" w:rsidP="007B207C">
            <w:pPr>
              <w:pStyle w:val="ARfintablebodyright"/>
              <w:rPr>
                <w:lang w:eastAsia="en-AU"/>
              </w:rPr>
            </w:pPr>
            <w:r w:rsidRPr="00D169A7">
              <w:t>9.4</w:t>
            </w:r>
          </w:p>
        </w:tc>
        <w:tc>
          <w:tcPr>
            <w:tcW w:w="1304" w:type="dxa"/>
            <w:tcBorders>
              <w:top w:val="single" w:sz="4" w:space="0" w:color="A6A6A6" w:themeColor="background1" w:themeShade="A6"/>
              <w:bottom w:val="single" w:sz="4" w:space="0" w:color="A6A6A6" w:themeColor="background1" w:themeShade="A6"/>
            </w:tcBorders>
          </w:tcPr>
          <w:p w14:paraId="10499EEA" w14:textId="77777777" w:rsidR="00FA7EBF" w:rsidRPr="007939DD" w:rsidRDefault="00FA7EBF" w:rsidP="007B207C">
            <w:pPr>
              <w:pStyle w:val="ARfintablebodyright"/>
              <w:rPr>
                <w:lang w:eastAsia="en-AU"/>
              </w:rPr>
            </w:pPr>
            <w:r w:rsidRPr="00D169A7">
              <w:t>(1,205.3)</w:t>
            </w:r>
          </w:p>
        </w:tc>
        <w:tc>
          <w:tcPr>
            <w:tcW w:w="1304" w:type="dxa"/>
            <w:tcBorders>
              <w:top w:val="single" w:sz="4" w:space="0" w:color="A6A6A6" w:themeColor="background1" w:themeShade="A6"/>
              <w:bottom w:val="single" w:sz="4" w:space="0" w:color="A6A6A6" w:themeColor="background1" w:themeShade="A6"/>
            </w:tcBorders>
          </w:tcPr>
          <w:p w14:paraId="73623E90"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1B070610"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77804F14" w14:textId="77777777" w:rsidR="00FA7EBF" w:rsidRPr="007939DD" w:rsidRDefault="00FA7EBF" w:rsidP="007B207C">
            <w:pPr>
              <w:pStyle w:val="ARfintablebodyright"/>
              <w:rPr>
                <w:lang w:eastAsia="en-AU"/>
              </w:rPr>
            </w:pPr>
            <w:r w:rsidRPr="00D169A7">
              <w:t>(1,205.3)</w:t>
            </w:r>
          </w:p>
        </w:tc>
      </w:tr>
      <w:tr w:rsidR="00FA7EBF" w:rsidRPr="007939DD" w14:paraId="6FCB3572" w14:textId="77777777" w:rsidTr="007B207C">
        <w:tc>
          <w:tcPr>
            <w:tcW w:w="3572" w:type="dxa"/>
            <w:tcBorders>
              <w:top w:val="single" w:sz="4" w:space="0" w:color="A6A6A6" w:themeColor="background1" w:themeShade="A6"/>
              <w:bottom w:val="single" w:sz="4" w:space="0" w:color="A6A6A6" w:themeColor="background1" w:themeShade="A6"/>
            </w:tcBorders>
          </w:tcPr>
          <w:p w14:paraId="4CFF2CC1" w14:textId="77777777" w:rsidR="00FA7EBF" w:rsidRPr="007939DD" w:rsidRDefault="00FA7EBF" w:rsidP="007B207C">
            <w:pPr>
              <w:pStyle w:val="ARfintablebody"/>
              <w:rPr>
                <w:lang w:eastAsia="en-AU"/>
              </w:rPr>
            </w:pPr>
            <w:r w:rsidRPr="00D169A7">
              <w:t>Administrative restructure – net assets received</w:t>
            </w:r>
          </w:p>
        </w:tc>
        <w:tc>
          <w:tcPr>
            <w:tcW w:w="851" w:type="dxa"/>
            <w:tcBorders>
              <w:top w:val="single" w:sz="4" w:space="0" w:color="A6A6A6" w:themeColor="background1" w:themeShade="A6"/>
              <w:bottom w:val="single" w:sz="4" w:space="0" w:color="A6A6A6" w:themeColor="background1" w:themeShade="A6"/>
            </w:tcBorders>
          </w:tcPr>
          <w:p w14:paraId="7464C4DF" w14:textId="77777777" w:rsidR="00FA7EBF" w:rsidRPr="007939DD" w:rsidRDefault="00FA7EBF" w:rsidP="007B207C">
            <w:pPr>
              <w:pStyle w:val="ARfintablebodyright"/>
              <w:rPr>
                <w:lang w:eastAsia="en-AU"/>
              </w:rPr>
            </w:pPr>
            <w:r w:rsidRPr="00D169A7">
              <w:t>4.3</w:t>
            </w:r>
          </w:p>
        </w:tc>
        <w:tc>
          <w:tcPr>
            <w:tcW w:w="1304" w:type="dxa"/>
            <w:tcBorders>
              <w:top w:val="single" w:sz="4" w:space="0" w:color="A6A6A6" w:themeColor="background1" w:themeShade="A6"/>
              <w:bottom w:val="single" w:sz="4" w:space="0" w:color="A6A6A6" w:themeColor="background1" w:themeShade="A6"/>
            </w:tcBorders>
          </w:tcPr>
          <w:p w14:paraId="58E19A44"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61E81B43"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206ABD26" w14:textId="77777777" w:rsidR="00FA7EBF" w:rsidRPr="007939DD" w:rsidRDefault="00FA7EBF" w:rsidP="007B207C">
            <w:pPr>
              <w:pStyle w:val="ARfintablebodyright"/>
              <w:rPr>
                <w:lang w:eastAsia="en-AU"/>
              </w:rPr>
            </w:pPr>
            <w:r w:rsidRPr="00D169A7">
              <w:t>11.0</w:t>
            </w:r>
          </w:p>
        </w:tc>
        <w:tc>
          <w:tcPr>
            <w:tcW w:w="1304" w:type="dxa"/>
            <w:tcBorders>
              <w:top w:val="single" w:sz="4" w:space="0" w:color="A6A6A6" w:themeColor="background1" w:themeShade="A6"/>
              <w:bottom w:val="single" w:sz="4" w:space="0" w:color="A6A6A6" w:themeColor="background1" w:themeShade="A6"/>
            </w:tcBorders>
          </w:tcPr>
          <w:p w14:paraId="39E70C2F" w14:textId="77777777" w:rsidR="00FA7EBF" w:rsidRPr="007939DD" w:rsidRDefault="00FA7EBF" w:rsidP="007B207C">
            <w:pPr>
              <w:pStyle w:val="ARfintablebodyright"/>
              <w:rPr>
                <w:lang w:eastAsia="en-AU"/>
              </w:rPr>
            </w:pPr>
            <w:r w:rsidRPr="00D169A7">
              <w:t>11.0</w:t>
            </w:r>
          </w:p>
        </w:tc>
      </w:tr>
      <w:tr w:rsidR="00FA7EBF" w:rsidRPr="007939DD" w14:paraId="19ACA047" w14:textId="77777777" w:rsidTr="007B207C">
        <w:tc>
          <w:tcPr>
            <w:tcW w:w="3572" w:type="dxa"/>
            <w:tcBorders>
              <w:top w:val="single" w:sz="4" w:space="0" w:color="A6A6A6" w:themeColor="background1" w:themeShade="A6"/>
              <w:bottom w:val="single" w:sz="4" w:space="0" w:color="A6A6A6" w:themeColor="background1" w:themeShade="A6"/>
            </w:tcBorders>
          </w:tcPr>
          <w:p w14:paraId="61CE5677" w14:textId="77777777" w:rsidR="00FA7EBF" w:rsidRPr="007939DD" w:rsidRDefault="00FA7EBF" w:rsidP="007B207C">
            <w:pPr>
              <w:pStyle w:val="ARfintablebody"/>
              <w:rPr>
                <w:lang w:eastAsia="en-AU"/>
              </w:rPr>
            </w:pPr>
            <w:r w:rsidRPr="00D169A7">
              <w:t>Administrative restructure – net assets transferred</w:t>
            </w:r>
          </w:p>
        </w:tc>
        <w:tc>
          <w:tcPr>
            <w:tcW w:w="851" w:type="dxa"/>
            <w:tcBorders>
              <w:top w:val="single" w:sz="4" w:space="0" w:color="A6A6A6" w:themeColor="background1" w:themeShade="A6"/>
              <w:bottom w:val="single" w:sz="4" w:space="0" w:color="A6A6A6" w:themeColor="background1" w:themeShade="A6"/>
            </w:tcBorders>
          </w:tcPr>
          <w:p w14:paraId="43D7FD67" w14:textId="77777777" w:rsidR="00FA7EBF" w:rsidRPr="007939DD" w:rsidRDefault="00FA7EBF" w:rsidP="007B207C">
            <w:pPr>
              <w:pStyle w:val="ARfintablebodyright"/>
              <w:rPr>
                <w:lang w:eastAsia="en-AU"/>
              </w:rPr>
            </w:pPr>
            <w:r w:rsidRPr="00D169A7">
              <w:t>4.3</w:t>
            </w:r>
          </w:p>
        </w:tc>
        <w:tc>
          <w:tcPr>
            <w:tcW w:w="1304" w:type="dxa"/>
            <w:tcBorders>
              <w:top w:val="single" w:sz="4" w:space="0" w:color="A6A6A6" w:themeColor="background1" w:themeShade="A6"/>
              <w:bottom w:val="single" w:sz="4" w:space="0" w:color="A6A6A6" w:themeColor="background1" w:themeShade="A6"/>
            </w:tcBorders>
          </w:tcPr>
          <w:p w14:paraId="50214104"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26C8262C"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676D3927" w14:textId="77777777" w:rsidR="00FA7EBF" w:rsidRPr="007939DD" w:rsidRDefault="00FA7EBF" w:rsidP="007B207C">
            <w:pPr>
              <w:pStyle w:val="ARfintablebodyright"/>
              <w:rPr>
                <w:lang w:eastAsia="en-AU"/>
              </w:rPr>
            </w:pPr>
            <w:r w:rsidRPr="00D169A7">
              <w:t>(44.1)</w:t>
            </w:r>
          </w:p>
        </w:tc>
        <w:tc>
          <w:tcPr>
            <w:tcW w:w="1304" w:type="dxa"/>
            <w:tcBorders>
              <w:top w:val="single" w:sz="4" w:space="0" w:color="A6A6A6" w:themeColor="background1" w:themeShade="A6"/>
              <w:bottom w:val="single" w:sz="4" w:space="0" w:color="A6A6A6" w:themeColor="background1" w:themeShade="A6"/>
            </w:tcBorders>
          </w:tcPr>
          <w:p w14:paraId="64367ED5" w14:textId="77777777" w:rsidR="00FA7EBF" w:rsidRPr="007939DD" w:rsidRDefault="00FA7EBF" w:rsidP="007B207C">
            <w:pPr>
              <w:pStyle w:val="ARfintablebodyright"/>
              <w:rPr>
                <w:lang w:eastAsia="en-AU"/>
              </w:rPr>
            </w:pPr>
            <w:r w:rsidRPr="00D169A7">
              <w:t>(44.1)</w:t>
            </w:r>
          </w:p>
        </w:tc>
      </w:tr>
      <w:tr w:rsidR="00FA7EBF" w:rsidRPr="007939DD" w14:paraId="2C42B065" w14:textId="77777777" w:rsidTr="007B207C">
        <w:tc>
          <w:tcPr>
            <w:tcW w:w="3572" w:type="dxa"/>
            <w:tcBorders>
              <w:top w:val="single" w:sz="4" w:space="0" w:color="A6A6A6" w:themeColor="background1" w:themeShade="A6"/>
              <w:bottom w:val="single" w:sz="4" w:space="0" w:color="A6A6A6" w:themeColor="background1" w:themeShade="A6"/>
            </w:tcBorders>
          </w:tcPr>
          <w:p w14:paraId="0E8D70AE" w14:textId="77777777" w:rsidR="00FA7EBF" w:rsidRPr="007939DD" w:rsidRDefault="00FA7EBF" w:rsidP="007B207C">
            <w:pPr>
              <w:pStyle w:val="ARfintablebody"/>
              <w:rPr>
                <w:lang w:eastAsia="en-AU"/>
              </w:rPr>
            </w:pPr>
            <w:r w:rsidRPr="00D169A7">
              <w:t>Capital contribution by Victorian State Government</w:t>
            </w:r>
          </w:p>
        </w:tc>
        <w:tc>
          <w:tcPr>
            <w:tcW w:w="851" w:type="dxa"/>
            <w:tcBorders>
              <w:top w:val="single" w:sz="4" w:space="0" w:color="A6A6A6" w:themeColor="background1" w:themeShade="A6"/>
              <w:bottom w:val="single" w:sz="4" w:space="0" w:color="A6A6A6" w:themeColor="background1" w:themeShade="A6"/>
            </w:tcBorders>
          </w:tcPr>
          <w:p w14:paraId="63286F1E" w14:textId="77777777" w:rsidR="00FA7EBF" w:rsidRPr="007939DD" w:rsidRDefault="00FA7EBF" w:rsidP="007B207C">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14:paraId="213BBCAC"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0BC1E61C"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28A5688F" w14:textId="77777777" w:rsidR="00FA7EBF" w:rsidRPr="007939DD" w:rsidRDefault="00FA7EBF" w:rsidP="007B207C">
            <w:pPr>
              <w:pStyle w:val="ARfintablebodyright"/>
              <w:rPr>
                <w:lang w:eastAsia="en-AU"/>
              </w:rPr>
            </w:pPr>
            <w:r w:rsidRPr="00D169A7">
              <w:t>163.2</w:t>
            </w:r>
          </w:p>
        </w:tc>
        <w:tc>
          <w:tcPr>
            <w:tcW w:w="1304" w:type="dxa"/>
            <w:tcBorders>
              <w:top w:val="single" w:sz="4" w:space="0" w:color="A6A6A6" w:themeColor="background1" w:themeShade="A6"/>
              <w:bottom w:val="single" w:sz="4" w:space="0" w:color="A6A6A6" w:themeColor="background1" w:themeShade="A6"/>
            </w:tcBorders>
          </w:tcPr>
          <w:p w14:paraId="6CA90C1D" w14:textId="77777777" w:rsidR="00FA7EBF" w:rsidRPr="007939DD" w:rsidRDefault="00FA7EBF" w:rsidP="007B207C">
            <w:pPr>
              <w:pStyle w:val="ARfintablebodyright"/>
              <w:rPr>
                <w:lang w:eastAsia="en-AU"/>
              </w:rPr>
            </w:pPr>
            <w:r w:rsidRPr="00D169A7">
              <w:t>163.2</w:t>
            </w:r>
          </w:p>
        </w:tc>
      </w:tr>
      <w:tr w:rsidR="00FA7EBF" w:rsidRPr="007939DD" w14:paraId="2E36E687" w14:textId="77777777" w:rsidTr="007B207C">
        <w:tc>
          <w:tcPr>
            <w:tcW w:w="3572" w:type="dxa"/>
            <w:tcBorders>
              <w:top w:val="single" w:sz="4" w:space="0" w:color="A6A6A6" w:themeColor="background1" w:themeShade="A6"/>
              <w:bottom w:val="single" w:sz="4" w:space="0" w:color="A6A6A6" w:themeColor="background1" w:themeShade="A6"/>
            </w:tcBorders>
          </w:tcPr>
          <w:p w14:paraId="1575CFE9" w14:textId="77777777" w:rsidR="00FA7EBF" w:rsidRPr="007939DD" w:rsidRDefault="00FA7EBF" w:rsidP="007B207C">
            <w:pPr>
              <w:pStyle w:val="ARfintablebody"/>
              <w:rPr>
                <w:lang w:eastAsia="en-AU"/>
              </w:rPr>
            </w:pPr>
            <w:r w:rsidRPr="00D169A7">
              <w:t>Capital contributed from asset transfers</w:t>
            </w:r>
          </w:p>
        </w:tc>
        <w:tc>
          <w:tcPr>
            <w:tcW w:w="851" w:type="dxa"/>
            <w:tcBorders>
              <w:top w:val="single" w:sz="4" w:space="0" w:color="A6A6A6" w:themeColor="background1" w:themeShade="A6"/>
              <w:bottom w:val="single" w:sz="4" w:space="0" w:color="A6A6A6" w:themeColor="background1" w:themeShade="A6"/>
            </w:tcBorders>
          </w:tcPr>
          <w:p w14:paraId="63B5E07B" w14:textId="77777777" w:rsidR="00FA7EBF" w:rsidRPr="007939DD" w:rsidRDefault="00FA7EBF" w:rsidP="007B207C">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14:paraId="5371A96C"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4A7D6CCD"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48C3C2C6"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1913F8A7" w14:textId="77777777" w:rsidR="00FA7EBF" w:rsidRPr="007939DD" w:rsidRDefault="00FA7EBF" w:rsidP="007B207C">
            <w:pPr>
              <w:pStyle w:val="ARfintablebodyright"/>
              <w:rPr>
                <w:lang w:eastAsia="en-AU"/>
              </w:rPr>
            </w:pPr>
            <w:r w:rsidRPr="00D169A7">
              <w:t>–</w:t>
            </w:r>
          </w:p>
        </w:tc>
      </w:tr>
      <w:tr w:rsidR="00FA7EBF" w:rsidRPr="007939DD" w14:paraId="52E308D2" w14:textId="77777777" w:rsidTr="007B207C">
        <w:tc>
          <w:tcPr>
            <w:tcW w:w="3572" w:type="dxa"/>
            <w:tcBorders>
              <w:top w:val="single" w:sz="4" w:space="0" w:color="A6A6A6" w:themeColor="background1" w:themeShade="A6"/>
              <w:bottom w:val="single" w:sz="4" w:space="0" w:color="A6A6A6" w:themeColor="background1" w:themeShade="A6"/>
            </w:tcBorders>
          </w:tcPr>
          <w:p w14:paraId="0B3683F1" w14:textId="77777777" w:rsidR="00FA7EBF" w:rsidRPr="007939DD" w:rsidRDefault="00FA7EBF" w:rsidP="007B207C">
            <w:pPr>
              <w:pStyle w:val="ARfintablebody"/>
              <w:rPr>
                <w:lang w:eastAsia="en-AU"/>
              </w:rPr>
            </w:pPr>
            <w:r w:rsidRPr="00D169A7">
              <w:t>Capital contributions to agencies</w:t>
            </w:r>
          </w:p>
        </w:tc>
        <w:tc>
          <w:tcPr>
            <w:tcW w:w="851" w:type="dxa"/>
            <w:tcBorders>
              <w:top w:val="single" w:sz="4" w:space="0" w:color="A6A6A6" w:themeColor="background1" w:themeShade="A6"/>
              <w:bottom w:val="single" w:sz="4" w:space="0" w:color="A6A6A6" w:themeColor="background1" w:themeShade="A6"/>
            </w:tcBorders>
          </w:tcPr>
          <w:p w14:paraId="45705F2F" w14:textId="77777777" w:rsidR="00FA7EBF" w:rsidRPr="007939DD" w:rsidRDefault="00FA7EBF" w:rsidP="007B207C">
            <w:pPr>
              <w:pStyle w:val="ARfintablebodyright"/>
              <w:rPr>
                <w:lang w:eastAsia="en-AU"/>
              </w:rPr>
            </w:pPr>
          </w:p>
        </w:tc>
        <w:tc>
          <w:tcPr>
            <w:tcW w:w="1304" w:type="dxa"/>
            <w:tcBorders>
              <w:top w:val="single" w:sz="4" w:space="0" w:color="A6A6A6" w:themeColor="background1" w:themeShade="A6"/>
              <w:bottom w:val="single" w:sz="4" w:space="0" w:color="A6A6A6" w:themeColor="background1" w:themeShade="A6"/>
            </w:tcBorders>
          </w:tcPr>
          <w:p w14:paraId="0300757B"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43A79646"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bottom w:val="single" w:sz="4" w:space="0" w:color="A6A6A6" w:themeColor="background1" w:themeShade="A6"/>
            </w:tcBorders>
          </w:tcPr>
          <w:p w14:paraId="0F3CC3D1" w14:textId="77777777" w:rsidR="00FA7EBF" w:rsidRPr="007939DD" w:rsidRDefault="00FA7EBF" w:rsidP="007B207C">
            <w:pPr>
              <w:pStyle w:val="ARfintablebodyright"/>
              <w:rPr>
                <w:lang w:eastAsia="en-AU"/>
              </w:rPr>
            </w:pPr>
            <w:r w:rsidRPr="00D169A7">
              <w:t>(109.6)</w:t>
            </w:r>
          </w:p>
        </w:tc>
        <w:tc>
          <w:tcPr>
            <w:tcW w:w="1304" w:type="dxa"/>
            <w:tcBorders>
              <w:top w:val="single" w:sz="4" w:space="0" w:color="A6A6A6" w:themeColor="background1" w:themeShade="A6"/>
              <w:bottom w:val="single" w:sz="4" w:space="0" w:color="A6A6A6" w:themeColor="background1" w:themeShade="A6"/>
            </w:tcBorders>
          </w:tcPr>
          <w:p w14:paraId="2930DEE0" w14:textId="77777777" w:rsidR="00FA7EBF" w:rsidRPr="007939DD" w:rsidRDefault="00FA7EBF" w:rsidP="007B207C">
            <w:pPr>
              <w:pStyle w:val="ARfintablebodyright"/>
              <w:rPr>
                <w:lang w:eastAsia="en-AU"/>
              </w:rPr>
            </w:pPr>
            <w:r w:rsidRPr="00D169A7">
              <w:t>(109.6)</w:t>
            </w:r>
          </w:p>
        </w:tc>
      </w:tr>
      <w:tr w:rsidR="00FA7EBF" w:rsidRPr="007939DD" w14:paraId="5325BFE6" w14:textId="77777777" w:rsidTr="007B207C">
        <w:tc>
          <w:tcPr>
            <w:tcW w:w="3572" w:type="dxa"/>
            <w:tcBorders>
              <w:top w:val="single" w:sz="4" w:space="0" w:color="A6A6A6" w:themeColor="background1" w:themeShade="A6"/>
            </w:tcBorders>
          </w:tcPr>
          <w:p w14:paraId="6AD64B22" w14:textId="77777777" w:rsidR="00FA7EBF" w:rsidRPr="007939DD" w:rsidRDefault="00FA7EBF" w:rsidP="007B207C">
            <w:pPr>
              <w:pStyle w:val="ARfintablebody"/>
              <w:rPr>
                <w:lang w:eastAsia="en-AU"/>
              </w:rPr>
            </w:pPr>
            <w:r w:rsidRPr="00D169A7">
              <w:t>Capital transferred to administered entity</w:t>
            </w:r>
          </w:p>
        </w:tc>
        <w:tc>
          <w:tcPr>
            <w:tcW w:w="851" w:type="dxa"/>
            <w:tcBorders>
              <w:top w:val="single" w:sz="4" w:space="0" w:color="A6A6A6" w:themeColor="background1" w:themeShade="A6"/>
            </w:tcBorders>
          </w:tcPr>
          <w:p w14:paraId="3A0D584E" w14:textId="77777777" w:rsidR="00FA7EBF" w:rsidRPr="007939DD" w:rsidRDefault="00FA7EBF" w:rsidP="007B207C">
            <w:pPr>
              <w:pStyle w:val="ARfintablebodyright"/>
              <w:rPr>
                <w:lang w:eastAsia="en-AU"/>
              </w:rPr>
            </w:pPr>
          </w:p>
        </w:tc>
        <w:tc>
          <w:tcPr>
            <w:tcW w:w="1304" w:type="dxa"/>
            <w:tcBorders>
              <w:top w:val="single" w:sz="4" w:space="0" w:color="A6A6A6" w:themeColor="background1" w:themeShade="A6"/>
            </w:tcBorders>
          </w:tcPr>
          <w:p w14:paraId="2D01730A"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tcBorders>
          </w:tcPr>
          <w:p w14:paraId="2BA72425" w14:textId="77777777" w:rsidR="00FA7EBF" w:rsidRPr="007939DD" w:rsidRDefault="00FA7EBF" w:rsidP="007B207C">
            <w:pPr>
              <w:pStyle w:val="ARfintablebodyright"/>
              <w:rPr>
                <w:lang w:eastAsia="en-AU"/>
              </w:rPr>
            </w:pPr>
            <w:r w:rsidRPr="00D169A7">
              <w:t>–</w:t>
            </w:r>
          </w:p>
        </w:tc>
        <w:tc>
          <w:tcPr>
            <w:tcW w:w="1304" w:type="dxa"/>
            <w:tcBorders>
              <w:top w:val="single" w:sz="4" w:space="0" w:color="A6A6A6" w:themeColor="background1" w:themeShade="A6"/>
            </w:tcBorders>
          </w:tcPr>
          <w:p w14:paraId="46226D4B" w14:textId="77777777" w:rsidR="00FA7EBF" w:rsidRPr="007939DD" w:rsidRDefault="00FA7EBF" w:rsidP="007B207C">
            <w:pPr>
              <w:pStyle w:val="ARfintablebodyright"/>
              <w:rPr>
                <w:lang w:eastAsia="en-AU"/>
              </w:rPr>
            </w:pPr>
            <w:r w:rsidRPr="00D169A7">
              <w:t>(18.7)</w:t>
            </w:r>
          </w:p>
        </w:tc>
        <w:tc>
          <w:tcPr>
            <w:tcW w:w="1304" w:type="dxa"/>
            <w:tcBorders>
              <w:top w:val="single" w:sz="4" w:space="0" w:color="A6A6A6" w:themeColor="background1" w:themeShade="A6"/>
            </w:tcBorders>
          </w:tcPr>
          <w:p w14:paraId="31C7A585" w14:textId="77777777" w:rsidR="00FA7EBF" w:rsidRPr="007939DD" w:rsidRDefault="00FA7EBF" w:rsidP="007B207C">
            <w:pPr>
              <w:pStyle w:val="ARfintablebodyright"/>
              <w:rPr>
                <w:lang w:eastAsia="en-AU"/>
              </w:rPr>
            </w:pPr>
            <w:r w:rsidRPr="00D169A7">
              <w:t>(18.7)</w:t>
            </w:r>
          </w:p>
        </w:tc>
      </w:tr>
      <w:tr w:rsidR="00FA7EBF" w:rsidRPr="007939DD" w14:paraId="2FAE80C5" w14:textId="77777777" w:rsidTr="007B207C">
        <w:tc>
          <w:tcPr>
            <w:tcW w:w="3572" w:type="dxa"/>
          </w:tcPr>
          <w:p w14:paraId="6A3FB990" w14:textId="77777777" w:rsidR="00FA7EBF" w:rsidRPr="007939DD" w:rsidRDefault="00FA7EBF" w:rsidP="007B207C">
            <w:pPr>
              <w:pStyle w:val="ARfintablebodybold"/>
              <w:rPr>
                <w:lang w:eastAsia="en-AU"/>
              </w:rPr>
            </w:pPr>
            <w:r w:rsidRPr="00D169A7">
              <w:t>Balance at 30 June 2019</w:t>
            </w:r>
          </w:p>
        </w:tc>
        <w:tc>
          <w:tcPr>
            <w:tcW w:w="851" w:type="dxa"/>
          </w:tcPr>
          <w:p w14:paraId="29BEAF71" w14:textId="77777777" w:rsidR="00FA7EBF" w:rsidRPr="007939DD" w:rsidRDefault="00FA7EBF" w:rsidP="007B207C">
            <w:pPr>
              <w:pStyle w:val="ARfintablebodyright"/>
              <w:rPr>
                <w:rStyle w:val="Strong"/>
                <w:bCs w:val="0"/>
              </w:rPr>
            </w:pPr>
          </w:p>
        </w:tc>
        <w:tc>
          <w:tcPr>
            <w:tcW w:w="1304" w:type="dxa"/>
          </w:tcPr>
          <w:p w14:paraId="135D4BA2" w14:textId="77777777" w:rsidR="00FA7EBF" w:rsidRPr="007939DD" w:rsidRDefault="00FA7EBF" w:rsidP="007B207C">
            <w:pPr>
              <w:pStyle w:val="ARfintablebodyrightbold"/>
              <w:rPr>
                <w:lang w:eastAsia="en-AU"/>
              </w:rPr>
            </w:pPr>
            <w:r w:rsidRPr="00D169A7">
              <w:t>7,396.4</w:t>
            </w:r>
          </w:p>
        </w:tc>
        <w:tc>
          <w:tcPr>
            <w:tcW w:w="1304" w:type="dxa"/>
          </w:tcPr>
          <w:p w14:paraId="7D2B478F" w14:textId="77777777" w:rsidR="00FA7EBF" w:rsidRPr="007939DD" w:rsidRDefault="00FA7EBF" w:rsidP="007B207C">
            <w:pPr>
              <w:pStyle w:val="ARfintablebodyrightbold"/>
              <w:rPr>
                <w:lang w:eastAsia="en-AU"/>
              </w:rPr>
            </w:pPr>
            <w:r w:rsidRPr="00D169A7">
              <w:t>1,599.3</w:t>
            </w:r>
          </w:p>
        </w:tc>
        <w:tc>
          <w:tcPr>
            <w:tcW w:w="1304" w:type="dxa"/>
          </w:tcPr>
          <w:p w14:paraId="0065449F" w14:textId="77777777" w:rsidR="00FA7EBF" w:rsidRPr="007939DD" w:rsidRDefault="00FA7EBF" w:rsidP="007B207C">
            <w:pPr>
              <w:pStyle w:val="ARfintablebodyrightbold"/>
              <w:rPr>
                <w:lang w:eastAsia="en-AU"/>
              </w:rPr>
            </w:pPr>
            <w:r w:rsidRPr="00D169A7">
              <w:t>22,199.3</w:t>
            </w:r>
          </w:p>
        </w:tc>
        <w:tc>
          <w:tcPr>
            <w:tcW w:w="1304" w:type="dxa"/>
          </w:tcPr>
          <w:p w14:paraId="48062B0E" w14:textId="77777777" w:rsidR="00FA7EBF" w:rsidRPr="007939DD" w:rsidRDefault="00FA7EBF" w:rsidP="007B207C">
            <w:pPr>
              <w:pStyle w:val="ARfintablebodyrightbold"/>
              <w:rPr>
                <w:rStyle w:val="Strong"/>
                <w:bCs w:val="0"/>
              </w:rPr>
            </w:pPr>
            <w:r w:rsidRPr="00D169A7">
              <w:t>31,195.0</w:t>
            </w:r>
          </w:p>
        </w:tc>
      </w:tr>
    </w:tbl>
    <w:bookmarkEnd w:id="238"/>
    <w:p w14:paraId="548ECEC5" w14:textId="77777777" w:rsidR="00FA7EBF" w:rsidRPr="00194D78" w:rsidRDefault="00FA7EBF" w:rsidP="00CA66FD">
      <w:pPr>
        <w:pStyle w:val="ARfintablefootnote"/>
        <w:rPr>
          <w:lang w:eastAsia="en-AU"/>
        </w:rPr>
      </w:pPr>
      <w:r w:rsidRPr="00194D78">
        <w:rPr>
          <w:lang w:eastAsia="en-AU"/>
        </w:rPr>
        <w:t>The statement of changes in equity should be read in conjunction with the notes to the financial statements.</w:t>
      </w:r>
    </w:p>
    <w:p w14:paraId="059F472B" w14:textId="77777777" w:rsidR="00FA7EBF" w:rsidRPr="00194D78" w:rsidRDefault="00FA7EBF" w:rsidP="00CA66FD">
      <w:pPr>
        <w:pStyle w:val="ARfinbody"/>
      </w:pPr>
      <w:r w:rsidRPr="00194D78">
        <w:br w:type="page"/>
      </w:r>
    </w:p>
    <w:p w14:paraId="4A79E9CD" w14:textId="77777777" w:rsidR="00FA7EBF" w:rsidRPr="00194D78" w:rsidRDefault="00FA7EBF" w:rsidP="00CA66FD">
      <w:pPr>
        <w:pStyle w:val="Heading2"/>
        <w:rPr>
          <w:lang w:eastAsia="en-AU"/>
        </w:rPr>
      </w:pPr>
      <w:bookmarkStart w:id="239" w:name="_Toc17971170"/>
      <w:bookmarkStart w:id="240" w:name="_Toc19795291"/>
      <w:bookmarkStart w:id="241" w:name="_Ref21957659"/>
      <w:r w:rsidRPr="00194D78">
        <w:rPr>
          <w:lang w:eastAsia="en-AU"/>
        </w:rPr>
        <w:t>Notes to and forming part of the financial statements</w:t>
      </w:r>
      <w:r>
        <w:rPr>
          <w:lang w:eastAsia="en-AU"/>
        </w:rPr>
        <w:br/>
      </w:r>
      <w:r w:rsidRPr="00194D78">
        <w:rPr>
          <w:lang w:eastAsia="en-AU"/>
        </w:rPr>
        <w:t>for the financial year ended 30 June 2019</w:t>
      </w:r>
      <w:bookmarkEnd w:id="239"/>
      <w:bookmarkEnd w:id="240"/>
      <w:bookmarkEnd w:id="241"/>
    </w:p>
    <w:p w14:paraId="420B4B9E" w14:textId="77777777" w:rsidR="00FA7EBF" w:rsidRPr="00194D78" w:rsidRDefault="00FA7EBF" w:rsidP="00CA66FD">
      <w:pPr>
        <w:pStyle w:val="Heading3"/>
      </w:pPr>
      <w:bookmarkStart w:id="242" w:name="_Toc17971171"/>
      <w:bookmarkStart w:id="243" w:name="_Toc19795292"/>
      <w:r w:rsidRPr="00194D78">
        <w:t xml:space="preserve">1. </w:t>
      </w:r>
      <w:r>
        <w:t>A</w:t>
      </w:r>
      <w:r w:rsidRPr="00194D78">
        <w:t>bout this report</w:t>
      </w:r>
      <w:bookmarkEnd w:id="242"/>
      <w:bookmarkEnd w:id="243"/>
    </w:p>
    <w:p w14:paraId="4660C6B0" w14:textId="77777777" w:rsidR="00FA7EBF" w:rsidRPr="00194D78" w:rsidRDefault="00FA7EBF" w:rsidP="00CA66FD">
      <w:pPr>
        <w:pStyle w:val="ARbody"/>
        <w:rPr>
          <w:lang w:eastAsia="en-AU"/>
        </w:rPr>
      </w:pPr>
      <w:r w:rsidRPr="00194D78">
        <w:rPr>
          <w:lang w:eastAsia="en-AU"/>
        </w:rPr>
        <w:t xml:space="preserve">The Department of Health and Human Services (the department) is a government department of the State of Victoria, established pursuant to an order made by the Premier under the </w:t>
      </w:r>
      <w:r w:rsidRPr="00F524E9">
        <w:rPr>
          <w:rStyle w:val="Emphasis"/>
          <w:iCs w:val="0"/>
        </w:rPr>
        <w:t>Administrative Arrangements Act (No. 202) 2009</w:t>
      </w:r>
      <w:r w:rsidRPr="00194D78">
        <w:rPr>
          <w:lang w:eastAsia="en-AU"/>
        </w:rPr>
        <w:t>. It is an administrative agency acting on behalf of the Crown.</w:t>
      </w:r>
    </w:p>
    <w:p w14:paraId="09B3230F" w14:textId="77777777" w:rsidR="00FA7EBF" w:rsidRPr="00194D78" w:rsidRDefault="00FA7EBF" w:rsidP="00CA66FD">
      <w:pPr>
        <w:pStyle w:val="ARbody"/>
        <w:rPr>
          <w:lang w:eastAsia="en-AU"/>
        </w:rPr>
      </w:pPr>
      <w:r w:rsidRPr="00194D78">
        <w:rPr>
          <w:lang w:eastAsia="en-AU"/>
        </w:rPr>
        <w:t xml:space="preserve">Its principal address is: </w:t>
      </w:r>
      <w:r w:rsidRPr="00194D78">
        <w:rPr>
          <w:lang w:eastAsia="en-AU"/>
        </w:rPr>
        <w:br/>
        <w:t>Department of Health and Human Services</w:t>
      </w:r>
      <w:r w:rsidRPr="00194D78">
        <w:rPr>
          <w:lang w:eastAsia="en-AU"/>
        </w:rPr>
        <w:br/>
        <w:t>50 Lonsdale Street</w:t>
      </w:r>
      <w:r w:rsidRPr="00194D78">
        <w:rPr>
          <w:lang w:eastAsia="en-AU"/>
        </w:rPr>
        <w:br/>
        <w:t>Melbourne VIC 3000</w:t>
      </w:r>
    </w:p>
    <w:p w14:paraId="3854B71D" w14:textId="77777777" w:rsidR="00FA7EBF" w:rsidRPr="00194D78" w:rsidRDefault="00FA7EBF" w:rsidP="00CA66FD">
      <w:pPr>
        <w:pStyle w:val="ARbody"/>
        <w:rPr>
          <w:lang w:eastAsia="en-AU"/>
        </w:rPr>
      </w:pPr>
      <w:r w:rsidRPr="00194D78">
        <w:rPr>
          <w:lang w:eastAsia="en-AU"/>
        </w:rPr>
        <w:t xml:space="preserve">A description of the nature of its operations and its principal activities is included in the </w:t>
      </w:r>
      <w:r>
        <w:rPr>
          <w:lang w:eastAsia="en-AU"/>
        </w:rPr>
        <w:t>r</w:t>
      </w:r>
      <w:r w:rsidRPr="00194D78">
        <w:rPr>
          <w:lang w:eastAsia="en-AU"/>
        </w:rPr>
        <w:t>eport of operations</w:t>
      </w:r>
      <w:r>
        <w:rPr>
          <w:lang w:eastAsia="en-AU"/>
        </w:rPr>
        <w:t>,</w:t>
      </w:r>
      <w:r w:rsidRPr="00194D78">
        <w:rPr>
          <w:lang w:eastAsia="en-AU"/>
        </w:rPr>
        <w:t xml:space="preserve"> which does not form part of these financial statements.</w:t>
      </w:r>
    </w:p>
    <w:p w14:paraId="2501A403" w14:textId="77777777" w:rsidR="00FA7EBF" w:rsidRPr="00194D78" w:rsidRDefault="00FA7EBF" w:rsidP="00CA66FD">
      <w:pPr>
        <w:pStyle w:val="Heading4"/>
        <w:rPr>
          <w:lang w:eastAsia="en-AU"/>
        </w:rPr>
      </w:pPr>
      <w:bookmarkStart w:id="244" w:name="_Ref21957617"/>
      <w:r w:rsidRPr="00194D78">
        <w:rPr>
          <w:lang w:eastAsia="en-AU"/>
        </w:rPr>
        <w:t>Basis of preparation</w:t>
      </w:r>
      <w:bookmarkEnd w:id="244"/>
    </w:p>
    <w:p w14:paraId="4AFDBDB6" w14:textId="77777777" w:rsidR="00FA7EBF" w:rsidRPr="00194D78" w:rsidRDefault="00FA7EBF" w:rsidP="00CA66FD">
      <w:pPr>
        <w:pStyle w:val="ARbody"/>
        <w:rPr>
          <w:lang w:eastAsia="en-AU"/>
        </w:rPr>
      </w:pPr>
      <w:r w:rsidRPr="00194D78">
        <w:rPr>
          <w:lang w:eastAsia="en-AU"/>
        </w:rPr>
        <w:t>These financial statements are presented in Australian dollars and the historical cost convention is used unless a different measurement basis is specifically disclosed in the note associated with the item measured on a different basis.</w:t>
      </w:r>
    </w:p>
    <w:p w14:paraId="0363D8EC" w14:textId="77777777" w:rsidR="00FA7EBF" w:rsidRPr="00194D78" w:rsidRDefault="00FA7EBF" w:rsidP="00CA66FD">
      <w:pPr>
        <w:pStyle w:val="ARbody"/>
        <w:rPr>
          <w:lang w:eastAsia="en-AU"/>
        </w:rPr>
      </w:pPr>
      <w:r w:rsidRPr="00194D78">
        <w:rPr>
          <w:lang w:eastAsia="en-AU"/>
        </w:rPr>
        <w:t>The accrual basis of accounting has been applied in the preparation of these financial statements whereby assets, liabilities, equity, income and expenses are recognised in the reporting period to which they relate, regardless of when cash is received or paid.</w:t>
      </w:r>
    </w:p>
    <w:p w14:paraId="28857522" w14:textId="77777777" w:rsidR="00FA7EBF" w:rsidRPr="00194D78" w:rsidRDefault="00FA7EBF" w:rsidP="00CA66FD">
      <w:pPr>
        <w:pStyle w:val="ARbody"/>
        <w:rPr>
          <w:lang w:eastAsia="en-AU"/>
        </w:rPr>
      </w:pPr>
      <w:r w:rsidRPr="00194D78">
        <w:rPr>
          <w:lang w:eastAsia="en-AU"/>
        </w:rPr>
        <w:t xml:space="preserve">Consistent with the requirements </w:t>
      </w:r>
      <w:r w:rsidRPr="000F2BD8">
        <w:t xml:space="preserve">of AASB 1004 </w:t>
      </w:r>
      <w:r w:rsidRPr="00F524E9">
        <w:rPr>
          <w:rStyle w:val="Emphasis"/>
          <w:iCs w:val="0"/>
        </w:rPr>
        <w:t>Contributions</w:t>
      </w:r>
      <w:r w:rsidRPr="00194D78">
        <w:rPr>
          <w:lang w:eastAsia="en-AU"/>
        </w:rPr>
        <w:t>, contributions by owners (that is, contributed capital and its repayment) are treated as equity transactions and, therefore, do not form part of the income and expenses of the department.</w:t>
      </w:r>
    </w:p>
    <w:p w14:paraId="22EB50F3" w14:textId="77777777" w:rsidR="00FA7EBF" w:rsidRDefault="00FA7EBF" w:rsidP="00CA66FD">
      <w:pPr>
        <w:pStyle w:val="ARbody"/>
        <w:rPr>
          <w:lang w:eastAsia="en-AU"/>
        </w:rPr>
      </w:pPr>
      <w:r w:rsidRPr="00194D78">
        <w:rPr>
          <w:lang w:eastAsia="en-AU"/>
        </w:rPr>
        <w:t>Additions to net assets which have been designated as contributions by owners are recognised as contributed capital. Other transfers that are in the nature of contributions to or distributions by owners have</w:t>
      </w:r>
      <w:r>
        <w:rPr>
          <w:lang w:eastAsia="en-AU"/>
        </w:rPr>
        <w:t> </w:t>
      </w:r>
      <w:r w:rsidRPr="00194D78">
        <w:rPr>
          <w:lang w:eastAsia="en-AU"/>
        </w:rPr>
        <w:t>also been designated as contributions by owners.</w:t>
      </w:r>
    </w:p>
    <w:p w14:paraId="388D4B93" w14:textId="1023D171" w:rsidR="00FA7EBF" w:rsidRPr="00194D78" w:rsidRDefault="00FA7EBF" w:rsidP="00CA66FD">
      <w:pPr>
        <w:pStyle w:val="ARbody"/>
        <w:rPr>
          <w:lang w:eastAsia="en-AU"/>
        </w:rPr>
      </w:pPr>
      <w:r w:rsidRPr="00194D78">
        <w:rPr>
          <w:lang w:eastAsia="en-AU"/>
        </w:rPr>
        <w:t>Transfers of net assets arising from administrative restructurings are treated as distributions to</w:t>
      </w:r>
      <w:r>
        <w:rPr>
          <w:lang w:eastAsia="en-AU"/>
        </w:rPr>
        <w:t>,</w:t>
      </w:r>
      <w:r w:rsidRPr="00194D78">
        <w:rPr>
          <w:lang w:eastAsia="en-AU"/>
        </w:rPr>
        <w:t xml:space="preserve"> or contribution</w:t>
      </w:r>
      <w:r>
        <w:rPr>
          <w:lang w:eastAsia="en-AU"/>
        </w:rPr>
        <w:t>s</w:t>
      </w:r>
      <w:r w:rsidRPr="00194D78">
        <w:rPr>
          <w:lang w:eastAsia="en-AU"/>
        </w:rPr>
        <w:t xml:space="preserve"> by</w:t>
      </w:r>
      <w:r>
        <w:rPr>
          <w:lang w:eastAsia="en-AU"/>
        </w:rPr>
        <w:t>,</w:t>
      </w:r>
      <w:r w:rsidRPr="00194D78">
        <w:rPr>
          <w:lang w:eastAsia="en-AU"/>
        </w:rPr>
        <w:t xml:space="preserve"> owners. Transfer of net liabilities arising from administrative restructurings are treated as</w:t>
      </w:r>
      <w:r w:rsidR="00B33865">
        <w:rPr>
          <w:lang w:eastAsia="en-AU"/>
        </w:rPr>
        <w:t> </w:t>
      </w:r>
      <w:r w:rsidRPr="00194D78">
        <w:rPr>
          <w:lang w:eastAsia="en-AU"/>
        </w:rPr>
        <w:t>distribution to owners.</w:t>
      </w:r>
    </w:p>
    <w:p w14:paraId="1F992351" w14:textId="77777777" w:rsidR="00FA7EBF" w:rsidRPr="00194D78" w:rsidRDefault="00FA7EBF" w:rsidP="00CA66FD">
      <w:pPr>
        <w:pStyle w:val="ARbody"/>
        <w:rPr>
          <w:lang w:eastAsia="en-AU"/>
        </w:rPr>
      </w:pPr>
      <w:r w:rsidRPr="00194D78">
        <w:rPr>
          <w:lang w:eastAsia="en-AU"/>
        </w:rPr>
        <w:t>Judgements, estimates and assumptions are required to be made about financial information being presented. The significant judgements made in the preparation of these financial statements are disclosed in</w:t>
      </w:r>
      <w:r>
        <w:rPr>
          <w:lang w:eastAsia="en-AU"/>
        </w:rPr>
        <w:t> </w:t>
      </w:r>
      <w:r w:rsidRPr="00194D78">
        <w:rPr>
          <w:lang w:eastAsia="en-AU"/>
        </w:rPr>
        <w:t>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50EC96E4" w14:textId="66770A0F" w:rsidR="00FA7EBF" w:rsidRPr="00194D78" w:rsidRDefault="00FA7EBF" w:rsidP="00CA66FD">
      <w:pPr>
        <w:pStyle w:val="ARbody"/>
        <w:rPr>
          <w:lang w:eastAsia="en-AU"/>
        </w:rPr>
      </w:pPr>
      <w:r w:rsidRPr="00194D78">
        <w:rPr>
          <w:lang w:eastAsia="en-AU"/>
        </w:rPr>
        <w:t>Revisions to accounting estimates are recognised in the period in which the estimate is revised and also in</w:t>
      </w:r>
      <w:r w:rsidR="00B33865">
        <w:rPr>
          <w:lang w:eastAsia="en-AU"/>
        </w:rPr>
        <w:t> </w:t>
      </w:r>
      <w:r w:rsidRPr="00194D78">
        <w:rPr>
          <w:lang w:eastAsia="en-AU"/>
        </w:rPr>
        <w:t>future periods that are affected by the revision. Judgements and assumptions made by management in applying Australian Accounting Standards (AAS) that have significant effect on the financial statements and estimates, relate to:</w:t>
      </w:r>
    </w:p>
    <w:p w14:paraId="1F659913" w14:textId="77777777" w:rsidR="00FA7EBF" w:rsidRDefault="00FA7EBF" w:rsidP="00CA66FD">
      <w:pPr>
        <w:pStyle w:val="ARbullet1"/>
        <w:rPr>
          <w:lang w:eastAsia="en-AU"/>
        </w:rPr>
      </w:pPr>
      <w:r w:rsidRPr="00194D78">
        <w:rPr>
          <w:lang w:eastAsia="en-AU"/>
        </w:rPr>
        <w:t>the fair value of land, buildings, infrastructure, plant and equipment (refer to Note 8.3.2)</w:t>
      </w:r>
    </w:p>
    <w:p w14:paraId="17AE2521" w14:textId="77777777" w:rsidR="00FA7EBF" w:rsidRPr="00194D78" w:rsidRDefault="00FA7EBF" w:rsidP="00CA66FD">
      <w:pPr>
        <w:pStyle w:val="ARbullet1"/>
        <w:rPr>
          <w:lang w:eastAsia="en-AU"/>
        </w:rPr>
      </w:pPr>
      <w:r w:rsidRPr="00194D78">
        <w:rPr>
          <w:lang w:eastAsia="en-AU"/>
        </w:rPr>
        <w:t>superannuation expense (refer to Note 3.1.1(b))</w:t>
      </w:r>
    </w:p>
    <w:p w14:paraId="0ED31172" w14:textId="77777777" w:rsidR="00FA7EBF" w:rsidRPr="00194D78" w:rsidRDefault="00FA7EBF" w:rsidP="00CA66FD">
      <w:pPr>
        <w:pStyle w:val="ARbullet1"/>
        <w:rPr>
          <w:lang w:eastAsia="en-AU"/>
        </w:rPr>
      </w:pPr>
      <w:r w:rsidRPr="00194D78">
        <w:rPr>
          <w:lang w:eastAsia="en-AU"/>
        </w:rPr>
        <w:t>assumptions for employee benefit provisions based on the likely tenure of existing staff, patterns of leave claims, future salary movements and future discount rates (refer to Note 3.1.1(b))</w:t>
      </w:r>
    </w:p>
    <w:p w14:paraId="52510D91" w14:textId="77777777" w:rsidR="00FA7EBF" w:rsidRPr="00194D78" w:rsidRDefault="00FA7EBF" w:rsidP="00CA66FD">
      <w:pPr>
        <w:pStyle w:val="ARbullet1"/>
        <w:rPr>
          <w:lang w:eastAsia="en-AU"/>
        </w:rPr>
      </w:pPr>
      <w:r w:rsidRPr="00194D78">
        <w:rPr>
          <w:lang w:eastAsia="en-AU"/>
        </w:rPr>
        <w:t>liability for outstanding insurance claims (refer to Note 6.5).</w:t>
      </w:r>
    </w:p>
    <w:p w14:paraId="0A8254A3" w14:textId="77777777" w:rsidR="00FA7EBF" w:rsidRPr="00194D78" w:rsidRDefault="00FA7EBF" w:rsidP="00CA66FD">
      <w:pPr>
        <w:pStyle w:val="ARbodyafterbullets"/>
        <w:rPr>
          <w:lang w:eastAsia="en-AU"/>
        </w:rPr>
      </w:pPr>
      <w:r w:rsidRPr="00194D78">
        <w:rPr>
          <w:lang w:eastAsia="en-AU"/>
        </w:rPr>
        <w:t>These financial statements cover the Department of Health and Human Services as an individual reporting entity and include all controlled activities of the department.</w:t>
      </w:r>
    </w:p>
    <w:p w14:paraId="44F5A657" w14:textId="77777777" w:rsidR="00FA7EBF" w:rsidRPr="00194D78" w:rsidRDefault="00FA7EBF" w:rsidP="00CA66FD">
      <w:pPr>
        <w:pStyle w:val="ARbody"/>
        <w:rPr>
          <w:lang w:eastAsia="en-AU"/>
        </w:rPr>
      </w:pPr>
      <w:r w:rsidRPr="00194D78">
        <w:rPr>
          <w:lang w:eastAsia="en-AU"/>
        </w:rPr>
        <w:t>The following entities have been consolidated into the department</w:t>
      </w:r>
      <w:r>
        <w:rPr>
          <w:lang w:eastAsia="en-AU"/>
        </w:rPr>
        <w:t>’</w:t>
      </w:r>
      <w:r w:rsidRPr="00194D78">
        <w:rPr>
          <w:lang w:eastAsia="en-AU"/>
        </w:rPr>
        <w:t xml:space="preserve">s financial statements pursuant to a determination made by the Assistant Treasurer under </w:t>
      </w:r>
      <w:r>
        <w:rPr>
          <w:lang w:eastAsia="en-AU"/>
        </w:rPr>
        <w:t>s.</w:t>
      </w:r>
      <w:r w:rsidRPr="00194D78">
        <w:rPr>
          <w:lang w:eastAsia="en-AU"/>
        </w:rPr>
        <w:t xml:space="preserve"> 53(1) (b) of the </w:t>
      </w:r>
      <w:r w:rsidRPr="00743D91">
        <w:rPr>
          <w:rStyle w:val="Emphasis"/>
          <w:iCs w:val="0"/>
        </w:rPr>
        <w:t>Financial Management Act 1994</w:t>
      </w:r>
      <w:r w:rsidRPr="00194D78">
        <w:rPr>
          <w:lang w:eastAsia="en-AU"/>
        </w:rPr>
        <w:t>. These entities are reported in aggregate and are not controlled by the department:</w:t>
      </w:r>
    </w:p>
    <w:p w14:paraId="1EFB2921" w14:textId="77777777" w:rsidR="00FA7EBF" w:rsidRPr="00194D78" w:rsidRDefault="00FA7EBF" w:rsidP="00CA66FD">
      <w:pPr>
        <w:pStyle w:val="ARbullet1"/>
        <w:rPr>
          <w:lang w:eastAsia="en-AU"/>
        </w:rPr>
      </w:pPr>
      <w:r w:rsidRPr="00194D78">
        <w:rPr>
          <w:lang w:eastAsia="en-AU"/>
        </w:rPr>
        <w:t>Respect Victoria</w:t>
      </w:r>
    </w:p>
    <w:p w14:paraId="2465A271" w14:textId="77777777" w:rsidR="00FA7EBF" w:rsidRPr="00194D78" w:rsidRDefault="00FA7EBF" w:rsidP="00CA66FD">
      <w:pPr>
        <w:pStyle w:val="ARbullet1"/>
        <w:rPr>
          <w:lang w:eastAsia="en-AU"/>
        </w:rPr>
      </w:pPr>
      <w:r w:rsidRPr="00194D78">
        <w:rPr>
          <w:lang w:eastAsia="en-AU"/>
        </w:rPr>
        <w:t>Mental Health Tribunal</w:t>
      </w:r>
    </w:p>
    <w:p w14:paraId="6A159F84" w14:textId="77777777" w:rsidR="00FA7EBF" w:rsidRPr="00194D78" w:rsidRDefault="00FA7EBF" w:rsidP="00CA66FD">
      <w:pPr>
        <w:pStyle w:val="ARbullet1"/>
        <w:rPr>
          <w:lang w:eastAsia="en-AU"/>
        </w:rPr>
      </w:pPr>
      <w:r w:rsidRPr="00194D78">
        <w:rPr>
          <w:lang w:eastAsia="en-AU"/>
        </w:rPr>
        <w:t>Commission for Children and Young People</w:t>
      </w:r>
    </w:p>
    <w:p w14:paraId="5A957C51" w14:textId="77777777" w:rsidR="00FA7EBF" w:rsidRPr="00194D78" w:rsidRDefault="00FA7EBF" w:rsidP="00CA66FD">
      <w:pPr>
        <w:pStyle w:val="ARbullet1"/>
        <w:rPr>
          <w:lang w:eastAsia="en-AU"/>
        </w:rPr>
      </w:pPr>
      <w:r w:rsidRPr="00194D78">
        <w:rPr>
          <w:lang w:eastAsia="en-AU"/>
        </w:rPr>
        <w:t>the Director of Housing.</w:t>
      </w:r>
    </w:p>
    <w:p w14:paraId="33CF28D0" w14:textId="77777777" w:rsidR="00FA7EBF" w:rsidRPr="00194D78" w:rsidRDefault="00FA7EBF" w:rsidP="00CA66FD">
      <w:pPr>
        <w:pStyle w:val="ARbodyafterbullets"/>
        <w:rPr>
          <w:lang w:eastAsia="en-AU"/>
        </w:rPr>
      </w:pPr>
      <w:r w:rsidRPr="00194D78">
        <w:rPr>
          <w:lang w:eastAsia="en-AU"/>
        </w:rPr>
        <w:t>Where control of an entity is obtained during the financial year, its results are included in the comprehensive operating statement from the date on which control commenced. Where control ceases during the financial year, the entity</w:t>
      </w:r>
      <w:r>
        <w:rPr>
          <w:lang w:eastAsia="en-AU"/>
        </w:rPr>
        <w:t>’</w:t>
      </w:r>
      <w:r w:rsidRPr="00194D78">
        <w:rPr>
          <w:lang w:eastAsia="en-AU"/>
        </w:rPr>
        <w:t>s results are included for that part of the period in which control existed. Where entities adopt dissimilar accounting policies and their effect is considered material, adjustments are made to ensure consistent policies are adopted in these financial statements.</w:t>
      </w:r>
    </w:p>
    <w:p w14:paraId="2D5D70EE" w14:textId="77777777" w:rsidR="00FA7EBF" w:rsidRPr="00194D78" w:rsidRDefault="00FA7EBF" w:rsidP="00CA66FD">
      <w:pPr>
        <w:pStyle w:val="ARbody"/>
        <w:rPr>
          <w:lang w:eastAsia="en-AU"/>
        </w:rPr>
      </w:pPr>
      <w:r w:rsidRPr="00194D78">
        <w:rPr>
          <w:lang w:eastAsia="en-AU"/>
        </w:rPr>
        <w:t>In preparing consolidated financial statements for the department, all material transactions and balances between consolidated entities are eliminated.</w:t>
      </w:r>
    </w:p>
    <w:p w14:paraId="74C22B3B" w14:textId="77777777" w:rsidR="00FA7EBF" w:rsidRDefault="00FA7EBF" w:rsidP="00CA66FD">
      <w:pPr>
        <w:pStyle w:val="ARbody"/>
        <w:rPr>
          <w:lang w:eastAsia="en-AU"/>
        </w:rPr>
      </w:pPr>
      <w:r w:rsidRPr="00194D78">
        <w:rPr>
          <w:lang w:eastAsia="en-AU"/>
        </w:rPr>
        <w:t>All amounts in the financial statements have been rounded to the nearest $1,000,000 unless otherwise stated.</w:t>
      </w:r>
    </w:p>
    <w:p w14:paraId="58016F4B" w14:textId="77777777" w:rsidR="00FA7EBF" w:rsidRPr="00194D78" w:rsidRDefault="00FA7EBF" w:rsidP="00CA66FD">
      <w:pPr>
        <w:pStyle w:val="ARbody"/>
        <w:rPr>
          <w:lang w:eastAsia="en-AU"/>
        </w:rPr>
      </w:pPr>
      <w:r>
        <w:rPr>
          <w:lang w:eastAsia="en-AU"/>
        </w:rPr>
        <w:t>Where applicable, the comparative figures have been restated to align with the presentation in the current year.</w:t>
      </w:r>
    </w:p>
    <w:p w14:paraId="4A1769A3" w14:textId="77777777" w:rsidR="00FA7EBF" w:rsidRPr="00194D78" w:rsidRDefault="00FA7EBF" w:rsidP="00CA66FD">
      <w:pPr>
        <w:pStyle w:val="Heading4"/>
        <w:rPr>
          <w:lang w:eastAsia="en-AU"/>
        </w:rPr>
      </w:pPr>
      <w:bookmarkStart w:id="245" w:name="_Ref21957610"/>
      <w:r w:rsidRPr="00194D78">
        <w:rPr>
          <w:lang w:eastAsia="en-AU"/>
        </w:rPr>
        <w:t>Compliance information</w:t>
      </w:r>
      <w:bookmarkEnd w:id="245"/>
    </w:p>
    <w:p w14:paraId="7F3C6070" w14:textId="77777777" w:rsidR="00FA7EBF" w:rsidRDefault="00FA7EBF" w:rsidP="00CA66FD">
      <w:pPr>
        <w:pStyle w:val="ARbody"/>
        <w:rPr>
          <w:lang w:eastAsia="en-AU"/>
        </w:rPr>
      </w:pPr>
      <w:r w:rsidRPr="00194D78">
        <w:rPr>
          <w:lang w:eastAsia="en-AU"/>
        </w:rPr>
        <w:t xml:space="preserve">These general purpose financial statements have been prepared in accordance with the </w:t>
      </w:r>
      <w:r w:rsidRPr="00743D91">
        <w:rPr>
          <w:rStyle w:val="Emphasis"/>
          <w:iCs w:val="0"/>
        </w:rPr>
        <w:t xml:space="preserve">Financial Management Act 1994 </w:t>
      </w:r>
      <w:r w:rsidRPr="00194D78">
        <w:rPr>
          <w:lang w:eastAsia="en-AU"/>
        </w:rPr>
        <w:t xml:space="preserve">and applicable AASs which include Interpretations issued by the Australian Accounting Standards Board (AASB). In particular, they are presented in a manner consistent with the requirements of AASB 1049 </w:t>
      </w:r>
      <w:r w:rsidRPr="001366E5">
        <w:rPr>
          <w:i/>
          <w:lang w:eastAsia="en-AU"/>
        </w:rPr>
        <w:t>Whole of Government and General Government Sector Financial Reporting</w:t>
      </w:r>
      <w:r w:rsidRPr="00194D78">
        <w:rPr>
          <w:lang w:eastAsia="en-AU"/>
        </w:rPr>
        <w:t>.</w:t>
      </w:r>
    </w:p>
    <w:p w14:paraId="4A4C9ACE" w14:textId="77777777" w:rsidR="00FA7EBF" w:rsidRDefault="00FA7EBF" w:rsidP="00CA66FD">
      <w:pPr>
        <w:pStyle w:val="ARbody"/>
        <w:rPr>
          <w:lang w:eastAsia="en-AU"/>
        </w:rPr>
      </w:pPr>
      <w:r w:rsidRPr="00194D78">
        <w:rPr>
          <w:lang w:eastAsia="en-AU"/>
        </w:rPr>
        <w:t>Where appropriate, those AAS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77DB9CE3" w14:textId="77777777" w:rsidR="00FA7EBF" w:rsidRPr="00194D78" w:rsidRDefault="00FA7EBF" w:rsidP="00CA66FD">
      <w:pPr>
        <w:pStyle w:val="ARbody"/>
        <w:rPr>
          <w:lang w:eastAsia="en-AU"/>
        </w:rPr>
      </w:pPr>
      <w:r w:rsidRPr="007C3671">
        <w:rPr>
          <w:lang w:eastAsia="en-AU"/>
        </w:rPr>
        <w:t xml:space="preserve">AASB 9 </w:t>
      </w:r>
      <w:r w:rsidRPr="001366E5">
        <w:rPr>
          <w:i/>
          <w:lang w:eastAsia="en-AU"/>
        </w:rPr>
        <w:t>Financial Instruments</w:t>
      </w:r>
      <w:r w:rsidRPr="007C3671">
        <w:rPr>
          <w:lang w:eastAsia="en-AU"/>
        </w:rPr>
        <w:t xml:space="preserve"> replaces the provisions of AASB 139 </w:t>
      </w:r>
      <w:r w:rsidRPr="001366E5">
        <w:rPr>
          <w:i/>
          <w:lang w:eastAsia="en-AU"/>
        </w:rPr>
        <w:t>Financial Instruments: Recognition and Measurement</w:t>
      </w:r>
      <w:r w:rsidRPr="007C3671">
        <w:rPr>
          <w:lang w:eastAsia="en-AU"/>
        </w:rPr>
        <w:t xml:space="preserve"> that relate to the recognition, classification and measurement of financial assets and financial liabilities, and impairment of financial assets based on expected credit losses. The department has elected to apply the limited exemption in AASB 9 paragraph 7.2.15 relating to transition for classification and measurement and impairment, and accordingly has not restated comparative periods in the year of initial application.</w:t>
      </w:r>
    </w:p>
    <w:p w14:paraId="3F1E9851" w14:textId="77777777" w:rsidR="00FA7EBF" w:rsidRPr="00194D78" w:rsidRDefault="00FA7EBF" w:rsidP="00CA66FD">
      <w:pPr>
        <w:pStyle w:val="ARbody"/>
        <w:rPr>
          <w:lang w:eastAsia="en-AU"/>
        </w:rPr>
      </w:pPr>
      <w:r w:rsidRPr="00194D78">
        <w:rPr>
          <w:lang w:eastAsia="en-AU"/>
        </w:rPr>
        <w:t>These annual financial statements were authorised for issue by the Secretary of the Department of Health and Human Services on 28 August 2019.</w:t>
      </w:r>
    </w:p>
    <w:p w14:paraId="13C62BFA" w14:textId="77777777" w:rsidR="00FA7EBF" w:rsidRPr="00194D78" w:rsidRDefault="00FA7EBF" w:rsidP="00CA66FD">
      <w:pPr>
        <w:pStyle w:val="ARfinbody"/>
      </w:pPr>
      <w:r w:rsidRPr="00194D78">
        <w:br w:type="page"/>
      </w:r>
    </w:p>
    <w:p w14:paraId="3491D36A" w14:textId="77777777" w:rsidR="00FA7EBF" w:rsidRPr="00194D78" w:rsidRDefault="00FA7EBF" w:rsidP="00CA66FD">
      <w:pPr>
        <w:pStyle w:val="Heading3"/>
      </w:pPr>
      <w:bookmarkStart w:id="246" w:name="_Toc17971172"/>
      <w:bookmarkStart w:id="247" w:name="_Toc19795293"/>
      <w:r w:rsidRPr="00194D78">
        <w:t>2. Funding delivery of our services</w:t>
      </w:r>
      <w:bookmarkEnd w:id="246"/>
      <w:bookmarkEnd w:id="247"/>
    </w:p>
    <w:p w14:paraId="596848D2" w14:textId="77777777" w:rsidR="00FA7EBF" w:rsidRPr="00194D78" w:rsidRDefault="00FA7EBF" w:rsidP="00CA66FD">
      <w:pPr>
        <w:pStyle w:val="Heading4"/>
        <w:rPr>
          <w:lang w:eastAsia="en-AU"/>
        </w:rPr>
      </w:pPr>
      <w:r w:rsidRPr="00194D78">
        <w:rPr>
          <w:lang w:eastAsia="en-AU"/>
        </w:rPr>
        <w:t>Introduction</w:t>
      </w:r>
    </w:p>
    <w:p w14:paraId="10BE8CCA" w14:textId="77777777" w:rsidR="00FA7EBF" w:rsidRPr="00194D78" w:rsidRDefault="00FA7EBF" w:rsidP="00CA66FD">
      <w:pPr>
        <w:pStyle w:val="ARfinbody"/>
      </w:pPr>
      <w:r w:rsidRPr="00194D78">
        <w:t>The department</w:t>
      </w:r>
      <w:r>
        <w:t>’</w:t>
      </w:r>
      <w:r w:rsidRPr="00194D78">
        <w:t>s overall objective is to develop and deliver policies, programs and services that support and enhance the wellbeing of</w:t>
      </w:r>
      <w:r>
        <w:t> </w:t>
      </w:r>
      <w:r w:rsidRPr="00194D78">
        <w:t>all Victorians.</w:t>
      </w:r>
    </w:p>
    <w:p w14:paraId="792BD574" w14:textId="7C7B7103" w:rsidR="00FA7EBF" w:rsidRPr="00194D78" w:rsidRDefault="00FA7EBF" w:rsidP="00CA66FD">
      <w:pPr>
        <w:pStyle w:val="ARfinbody"/>
      </w:pPr>
      <w:r w:rsidRPr="00194D78">
        <w:t xml:space="preserve">To enable the department to fulfil its objective and provide outputs as described in </w:t>
      </w:r>
      <w:r>
        <w:t xml:space="preserve">section </w:t>
      </w:r>
      <w:r w:rsidRPr="00194D78">
        <w:t>4</w:t>
      </w:r>
      <w:r>
        <w:t xml:space="preserve"> ‘Disaggregated financial reporting by output’</w:t>
      </w:r>
      <w:r w:rsidRPr="00194D78">
        <w:t>, it receives income (predominantly accrual based parliamentary appropriations). The department also receives income from the</w:t>
      </w:r>
      <w:r w:rsidR="00B33865">
        <w:t> </w:t>
      </w:r>
      <w:r w:rsidRPr="00194D78">
        <w:t>supply of services and tenancy agreements.</w:t>
      </w:r>
    </w:p>
    <w:p w14:paraId="21A8CC90" w14:textId="77777777" w:rsidR="00FA7EBF" w:rsidRPr="00194D78" w:rsidRDefault="00FA7EBF" w:rsidP="00CA66FD">
      <w:pPr>
        <w:pStyle w:val="Heading4"/>
        <w:rPr>
          <w:lang w:eastAsia="en-AU"/>
        </w:rPr>
      </w:pPr>
      <w:r w:rsidRPr="00194D78">
        <w:rPr>
          <w:lang w:eastAsia="en-AU"/>
        </w:rPr>
        <w:t>Structure</w:t>
      </w:r>
    </w:p>
    <w:p w14:paraId="63BC68E2" w14:textId="77777777" w:rsidR="00FA7EBF" w:rsidRPr="00194D78" w:rsidRDefault="00FA7EBF" w:rsidP="00CA66FD">
      <w:pPr>
        <w:pStyle w:val="ARfinstructure1"/>
      </w:pPr>
      <w:r w:rsidRPr="00194D78">
        <w:t>2.1</w:t>
      </w:r>
      <w:r>
        <w:tab/>
      </w:r>
      <w:r w:rsidRPr="00194D78">
        <w:t>Summary of income that funds the delivery of our services</w:t>
      </w:r>
    </w:p>
    <w:p w14:paraId="4E108543" w14:textId="77777777" w:rsidR="00FA7EBF" w:rsidRPr="00194D78" w:rsidRDefault="00FA7EBF" w:rsidP="00CA66FD">
      <w:pPr>
        <w:pStyle w:val="ARfinstructure1"/>
      </w:pPr>
      <w:r w:rsidRPr="00194D78">
        <w:t>2.2</w:t>
      </w:r>
      <w:r>
        <w:tab/>
      </w:r>
      <w:r w:rsidRPr="00194D78">
        <w:t>Appropriations</w:t>
      </w:r>
    </w:p>
    <w:p w14:paraId="6AD5290A" w14:textId="77777777" w:rsidR="00FA7EBF" w:rsidRPr="00194D78" w:rsidRDefault="00FA7EBF" w:rsidP="00CA66FD">
      <w:pPr>
        <w:pStyle w:val="ARfinstructure1"/>
      </w:pPr>
      <w:r w:rsidRPr="00194D78">
        <w:t>2.3</w:t>
      </w:r>
      <w:r>
        <w:tab/>
      </w:r>
      <w:r w:rsidRPr="00194D78">
        <w:t>Summary of compliance with annual parliamentary and special appropriations</w:t>
      </w:r>
    </w:p>
    <w:p w14:paraId="0E944C56" w14:textId="77777777" w:rsidR="00FA7EBF" w:rsidRPr="00194D78" w:rsidRDefault="00FA7EBF" w:rsidP="00CA66FD">
      <w:pPr>
        <w:pStyle w:val="ARfinstructure1"/>
      </w:pPr>
      <w:r w:rsidRPr="00194D78">
        <w:t>2.4</w:t>
      </w:r>
      <w:r>
        <w:tab/>
      </w:r>
      <w:r w:rsidRPr="00194D78">
        <w:t>Income from transactions</w:t>
      </w:r>
    </w:p>
    <w:p w14:paraId="6A4141B4" w14:textId="77777777" w:rsidR="00FA7EBF" w:rsidRPr="00194D78" w:rsidRDefault="00FA7EBF" w:rsidP="00CA66FD">
      <w:pPr>
        <w:pStyle w:val="ARfinstructure2"/>
      </w:pPr>
      <w:r w:rsidRPr="00194D78">
        <w:t>2.4.1</w:t>
      </w:r>
      <w:r>
        <w:tab/>
      </w:r>
      <w:r w:rsidRPr="00194D78">
        <w:t>Interest income</w:t>
      </w:r>
    </w:p>
    <w:p w14:paraId="648274A6" w14:textId="77777777" w:rsidR="00FA7EBF" w:rsidRPr="00194D78" w:rsidRDefault="00FA7EBF" w:rsidP="00CA66FD">
      <w:pPr>
        <w:pStyle w:val="ARfinstructure2"/>
      </w:pPr>
      <w:r w:rsidRPr="00194D78">
        <w:t>2.4.2</w:t>
      </w:r>
      <w:r>
        <w:tab/>
      </w:r>
      <w:r w:rsidRPr="00194D78">
        <w:t>Rental income and income from services</w:t>
      </w:r>
    </w:p>
    <w:p w14:paraId="7BC1F179" w14:textId="77777777" w:rsidR="00FA7EBF" w:rsidRPr="00194D78" w:rsidRDefault="00FA7EBF" w:rsidP="00CA66FD">
      <w:pPr>
        <w:pStyle w:val="ARfinstructure2"/>
      </w:pPr>
      <w:r w:rsidRPr="00194D78">
        <w:t>2.4.3</w:t>
      </w:r>
      <w:r>
        <w:tab/>
      </w:r>
      <w:r w:rsidRPr="00194D78">
        <w:t>Grants and other income transfers</w:t>
      </w:r>
    </w:p>
    <w:p w14:paraId="5A59A1BF" w14:textId="77777777" w:rsidR="00FA7EBF" w:rsidRPr="00194D78" w:rsidRDefault="00FA7EBF" w:rsidP="00CA66FD">
      <w:pPr>
        <w:pStyle w:val="ARfinstructure2"/>
      </w:pPr>
      <w:r w:rsidRPr="00194D78">
        <w:t>2.4.4</w:t>
      </w:r>
      <w:r>
        <w:tab/>
      </w:r>
      <w:r w:rsidRPr="00194D78">
        <w:t>Fair value of assets and services received free of charge or for nominal consideration</w:t>
      </w:r>
    </w:p>
    <w:p w14:paraId="3B9F00B7" w14:textId="77777777" w:rsidR="00FA7EBF" w:rsidRPr="00194D78" w:rsidRDefault="00FA7EBF" w:rsidP="00CA66FD">
      <w:pPr>
        <w:pStyle w:val="ARfinstructure2"/>
      </w:pPr>
      <w:r w:rsidRPr="00194D78">
        <w:t>2.4.5</w:t>
      </w:r>
      <w:r>
        <w:tab/>
      </w:r>
      <w:r w:rsidRPr="00194D78">
        <w:t>Other income</w:t>
      </w:r>
    </w:p>
    <w:p w14:paraId="5DEB4EA3" w14:textId="77777777" w:rsidR="00FA7EBF" w:rsidRPr="00194D78" w:rsidRDefault="00FA7EBF" w:rsidP="00CA66FD">
      <w:pPr>
        <w:pStyle w:val="ARfinstructure1"/>
        <w:rPr>
          <w:b/>
          <w:bCs/>
        </w:rPr>
      </w:pPr>
      <w:r w:rsidRPr="00194D78">
        <w:t>2.5</w:t>
      </w:r>
      <w:r>
        <w:tab/>
      </w:r>
      <w:r w:rsidRPr="00194D78">
        <w:t>Annotated income agreements</w:t>
      </w:r>
    </w:p>
    <w:p w14:paraId="27349B1C" w14:textId="77777777" w:rsidR="00FA7EBF" w:rsidRDefault="00FA7EBF" w:rsidP="00CA66FD">
      <w:pPr>
        <w:pStyle w:val="Heading4"/>
        <w:rPr>
          <w:lang w:eastAsia="en-AU"/>
        </w:rPr>
      </w:pPr>
      <w:bookmarkStart w:id="248" w:name="_Ref21957785"/>
      <w:r w:rsidRPr="00194D78">
        <w:rPr>
          <w:lang w:eastAsia="en-AU"/>
        </w:rPr>
        <w:t>2.1 Summary of income that funds the delivery of our services</w:t>
      </w:r>
      <w:bookmarkEnd w:id="248"/>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691"/>
        <w:gridCol w:w="680"/>
        <w:gridCol w:w="1134"/>
        <w:gridCol w:w="1134"/>
      </w:tblGrid>
      <w:tr w:rsidR="00FA7EBF" w:rsidRPr="007939DD" w14:paraId="61673B71" w14:textId="77777777" w:rsidTr="007B207C">
        <w:trPr>
          <w:cantSplit/>
          <w:tblHeader/>
        </w:trPr>
        <w:tc>
          <w:tcPr>
            <w:tcW w:w="6691" w:type="dxa"/>
            <w:vAlign w:val="bottom"/>
          </w:tcPr>
          <w:p w14:paraId="282F371F" w14:textId="77777777" w:rsidR="00FA7EBF" w:rsidRPr="007939DD" w:rsidRDefault="00FA7EBF" w:rsidP="007B207C">
            <w:pPr>
              <w:autoSpaceDE w:val="0"/>
              <w:autoSpaceDN w:val="0"/>
              <w:adjustRightInd w:val="0"/>
              <w:spacing w:beforeLines="40" w:before="96" w:afterLines="20" w:after="48"/>
              <w:rPr>
                <w:rFonts w:cs="Arial"/>
                <w:b/>
                <w:bCs/>
                <w:color w:val="000000"/>
                <w:sz w:val="16"/>
                <w:szCs w:val="16"/>
              </w:rPr>
            </w:pPr>
          </w:p>
        </w:tc>
        <w:tc>
          <w:tcPr>
            <w:tcW w:w="680" w:type="dxa"/>
            <w:vAlign w:val="bottom"/>
          </w:tcPr>
          <w:p w14:paraId="366271B6" w14:textId="77777777" w:rsidR="00FA7EBF" w:rsidRPr="007939DD" w:rsidRDefault="00FA7EBF" w:rsidP="007B207C">
            <w:pPr>
              <w:pStyle w:val="ARfintablecolheadright"/>
            </w:pPr>
            <w:r w:rsidRPr="007939DD">
              <w:t>Note</w:t>
            </w:r>
          </w:p>
        </w:tc>
        <w:tc>
          <w:tcPr>
            <w:tcW w:w="1134" w:type="dxa"/>
            <w:shd w:val="clear" w:color="auto" w:fill="E7E6E6"/>
            <w:vAlign w:val="bottom"/>
          </w:tcPr>
          <w:p w14:paraId="79B11799" w14:textId="77777777" w:rsidR="00FA7EBF" w:rsidRPr="007939DD" w:rsidRDefault="00FA7EBF" w:rsidP="007B207C">
            <w:pPr>
              <w:pStyle w:val="ARfintablecolheadright"/>
            </w:pPr>
            <w:r w:rsidRPr="007939DD">
              <w:t>201</w:t>
            </w:r>
            <w:r>
              <w:t>9</w:t>
            </w:r>
          </w:p>
          <w:p w14:paraId="19E34989" w14:textId="77777777" w:rsidR="00FA7EBF" w:rsidRPr="007939DD" w:rsidRDefault="00FA7EBF" w:rsidP="007B207C">
            <w:pPr>
              <w:pStyle w:val="ARfintablecolheadright"/>
            </w:pPr>
            <w:r w:rsidRPr="007939DD">
              <w:t>$M</w:t>
            </w:r>
          </w:p>
        </w:tc>
        <w:tc>
          <w:tcPr>
            <w:tcW w:w="1134" w:type="dxa"/>
            <w:vAlign w:val="bottom"/>
          </w:tcPr>
          <w:p w14:paraId="3F88D779" w14:textId="77777777" w:rsidR="00FA7EBF" w:rsidRPr="007939DD" w:rsidRDefault="00FA7EBF" w:rsidP="007B207C">
            <w:pPr>
              <w:pStyle w:val="ARfintablecolheadright"/>
            </w:pPr>
            <w:r w:rsidRPr="007939DD">
              <w:t>201</w:t>
            </w:r>
            <w:r>
              <w:t>8</w:t>
            </w:r>
          </w:p>
          <w:p w14:paraId="7FBF1A77" w14:textId="77777777" w:rsidR="00FA7EBF" w:rsidRPr="007939DD" w:rsidRDefault="00FA7EBF" w:rsidP="007B207C">
            <w:pPr>
              <w:pStyle w:val="ARfintablecolheadright"/>
            </w:pPr>
            <w:r w:rsidRPr="007939DD">
              <w:t>$M</w:t>
            </w:r>
          </w:p>
        </w:tc>
      </w:tr>
      <w:tr w:rsidR="00FA7EBF" w:rsidRPr="007939DD" w14:paraId="6597A11A" w14:textId="77777777" w:rsidTr="007B207C">
        <w:trPr>
          <w:cantSplit/>
        </w:trPr>
        <w:tc>
          <w:tcPr>
            <w:tcW w:w="6691" w:type="dxa"/>
            <w:tcBorders>
              <w:bottom w:val="single" w:sz="4" w:space="0" w:color="A6A6A6" w:themeColor="background1" w:themeShade="A6"/>
            </w:tcBorders>
          </w:tcPr>
          <w:p w14:paraId="506053C3" w14:textId="77777777" w:rsidR="00FA7EBF" w:rsidRPr="007939DD" w:rsidRDefault="00FA7EBF" w:rsidP="007B207C">
            <w:pPr>
              <w:pStyle w:val="ARfintablebody"/>
              <w:rPr>
                <w:lang w:eastAsia="en-AU"/>
              </w:rPr>
            </w:pPr>
            <w:r w:rsidRPr="002A0858">
              <w:t>Output appropriations</w:t>
            </w:r>
          </w:p>
        </w:tc>
        <w:tc>
          <w:tcPr>
            <w:tcW w:w="680" w:type="dxa"/>
            <w:tcBorders>
              <w:bottom w:val="single" w:sz="4" w:space="0" w:color="A6A6A6" w:themeColor="background1" w:themeShade="A6"/>
            </w:tcBorders>
          </w:tcPr>
          <w:p w14:paraId="1A7A4765" w14:textId="77777777" w:rsidR="00FA7EBF" w:rsidRPr="007939DD" w:rsidRDefault="00FA7EBF" w:rsidP="007B207C">
            <w:pPr>
              <w:pStyle w:val="ARfintablebodyright"/>
              <w:rPr>
                <w:lang w:eastAsia="en-AU"/>
              </w:rPr>
            </w:pPr>
            <w:r w:rsidRPr="002A0858">
              <w:t>2.3</w:t>
            </w:r>
          </w:p>
        </w:tc>
        <w:tc>
          <w:tcPr>
            <w:tcW w:w="1134" w:type="dxa"/>
            <w:tcBorders>
              <w:bottom w:val="single" w:sz="4" w:space="0" w:color="A6A6A6" w:themeColor="background1" w:themeShade="A6"/>
            </w:tcBorders>
            <w:shd w:val="clear" w:color="auto" w:fill="E7E6E6"/>
          </w:tcPr>
          <w:p w14:paraId="6011A237" w14:textId="77777777" w:rsidR="00FA7EBF" w:rsidRPr="007939DD" w:rsidRDefault="00FA7EBF" w:rsidP="007B207C">
            <w:pPr>
              <w:pStyle w:val="ARfintablebodyright"/>
              <w:rPr>
                <w:lang w:eastAsia="en-AU"/>
              </w:rPr>
            </w:pPr>
            <w:r w:rsidRPr="002A0858">
              <w:t>16,182.9</w:t>
            </w:r>
          </w:p>
        </w:tc>
        <w:tc>
          <w:tcPr>
            <w:tcW w:w="1134" w:type="dxa"/>
            <w:tcBorders>
              <w:bottom w:val="single" w:sz="4" w:space="0" w:color="A6A6A6" w:themeColor="background1" w:themeShade="A6"/>
            </w:tcBorders>
          </w:tcPr>
          <w:p w14:paraId="1F88FE7C" w14:textId="77777777" w:rsidR="00FA7EBF" w:rsidRPr="007939DD" w:rsidRDefault="00FA7EBF" w:rsidP="007B207C">
            <w:pPr>
              <w:pStyle w:val="ARfintablebodyright"/>
              <w:rPr>
                <w:lang w:eastAsia="en-AU"/>
              </w:rPr>
            </w:pPr>
            <w:r w:rsidRPr="002A0858">
              <w:t>15,013.3</w:t>
            </w:r>
          </w:p>
        </w:tc>
      </w:tr>
      <w:tr w:rsidR="00FA7EBF" w:rsidRPr="007939DD" w14:paraId="3F7A1FDB" w14:textId="77777777" w:rsidTr="007B207C">
        <w:trPr>
          <w:cantSplit/>
        </w:trPr>
        <w:tc>
          <w:tcPr>
            <w:tcW w:w="6691" w:type="dxa"/>
            <w:tcBorders>
              <w:top w:val="single" w:sz="4" w:space="0" w:color="A6A6A6" w:themeColor="background1" w:themeShade="A6"/>
              <w:bottom w:val="single" w:sz="4" w:space="0" w:color="A6A6A6" w:themeColor="background1" w:themeShade="A6"/>
            </w:tcBorders>
          </w:tcPr>
          <w:p w14:paraId="050C5C48" w14:textId="77777777" w:rsidR="00FA7EBF" w:rsidRPr="007939DD" w:rsidRDefault="00FA7EBF" w:rsidP="007B207C">
            <w:pPr>
              <w:pStyle w:val="ARfintablebody"/>
              <w:rPr>
                <w:lang w:eastAsia="en-AU"/>
              </w:rPr>
            </w:pPr>
            <w:r w:rsidRPr="002A0858">
              <w:t>Special appropriations</w:t>
            </w:r>
          </w:p>
        </w:tc>
        <w:tc>
          <w:tcPr>
            <w:tcW w:w="680" w:type="dxa"/>
            <w:tcBorders>
              <w:top w:val="single" w:sz="4" w:space="0" w:color="A6A6A6" w:themeColor="background1" w:themeShade="A6"/>
              <w:bottom w:val="single" w:sz="4" w:space="0" w:color="A6A6A6" w:themeColor="background1" w:themeShade="A6"/>
            </w:tcBorders>
          </w:tcPr>
          <w:p w14:paraId="463CF6F8" w14:textId="77777777" w:rsidR="00FA7EBF" w:rsidRPr="007939DD" w:rsidRDefault="00FA7EBF" w:rsidP="007B207C">
            <w:pPr>
              <w:pStyle w:val="ARfintablebodyright"/>
              <w:rPr>
                <w:lang w:eastAsia="en-AU"/>
              </w:rPr>
            </w:pPr>
            <w:r w:rsidRPr="002A0858">
              <w:t>2.3</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BDB6681" w14:textId="77777777" w:rsidR="00FA7EBF" w:rsidRPr="007939DD" w:rsidRDefault="00FA7EBF" w:rsidP="007B207C">
            <w:pPr>
              <w:pStyle w:val="ARfintablebodyright"/>
              <w:rPr>
                <w:lang w:eastAsia="en-AU"/>
              </w:rPr>
            </w:pPr>
            <w:r w:rsidRPr="002A0858">
              <w:t>1,513.4</w:t>
            </w:r>
          </w:p>
        </w:tc>
        <w:tc>
          <w:tcPr>
            <w:tcW w:w="1134" w:type="dxa"/>
            <w:tcBorders>
              <w:top w:val="single" w:sz="4" w:space="0" w:color="A6A6A6" w:themeColor="background1" w:themeShade="A6"/>
              <w:bottom w:val="single" w:sz="4" w:space="0" w:color="A6A6A6" w:themeColor="background1" w:themeShade="A6"/>
            </w:tcBorders>
          </w:tcPr>
          <w:p w14:paraId="1AF8379C" w14:textId="77777777" w:rsidR="00FA7EBF" w:rsidRPr="007939DD" w:rsidRDefault="00FA7EBF" w:rsidP="007B207C">
            <w:pPr>
              <w:pStyle w:val="ARfintablebodyright"/>
              <w:rPr>
                <w:lang w:eastAsia="en-AU"/>
              </w:rPr>
            </w:pPr>
            <w:r w:rsidRPr="002A0858">
              <w:t>1,359.8</w:t>
            </w:r>
          </w:p>
        </w:tc>
      </w:tr>
      <w:tr w:rsidR="00FA7EBF" w:rsidRPr="007939DD" w14:paraId="47642B52" w14:textId="77777777" w:rsidTr="007B207C">
        <w:trPr>
          <w:cantSplit/>
        </w:trPr>
        <w:tc>
          <w:tcPr>
            <w:tcW w:w="6691" w:type="dxa"/>
            <w:tcBorders>
              <w:top w:val="single" w:sz="4" w:space="0" w:color="A6A6A6" w:themeColor="background1" w:themeShade="A6"/>
              <w:bottom w:val="single" w:sz="4" w:space="0" w:color="A6A6A6" w:themeColor="background1" w:themeShade="A6"/>
            </w:tcBorders>
          </w:tcPr>
          <w:p w14:paraId="4B24F9A3" w14:textId="77777777" w:rsidR="00FA7EBF" w:rsidRPr="007939DD" w:rsidRDefault="00FA7EBF" w:rsidP="007B207C">
            <w:pPr>
              <w:pStyle w:val="ARfintablebody"/>
              <w:rPr>
                <w:lang w:eastAsia="en-AU"/>
              </w:rPr>
            </w:pPr>
            <w:r w:rsidRPr="002A0858">
              <w:t>Interest income</w:t>
            </w:r>
          </w:p>
        </w:tc>
        <w:tc>
          <w:tcPr>
            <w:tcW w:w="680" w:type="dxa"/>
            <w:tcBorders>
              <w:top w:val="single" w:sz="4" w:space="0" w:color="A6A6A6" w:themeColor="background1" w:themeShade="A6"/>
              <w:bottom w:val="single" w:sz="4" w:space="0" w:color="A6A6A6" w:themeColor="background1" w:themeShade="A6"/>
            </w:tcBorders>
          </w:tcPr>
          <w:p w14:paraId="6489BD53" w14:textId="77777777" w:rsidR="00FA7EBF" w:rsidRPr="007939DD" w:rsidRDefault="00FA7EBF" w:rsidP="007B207C">
            <w:pPr>
              <w:pStyle w:val="ARfintablebodyright"/>
              <w:rPr>
                <w:lang w:eastAsia="en-AU"/>
              </w:rPr>
            </w:pPr>
            <w:r w:rsidRPr="002A0858">
              <w:t>2.4.1</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3311490" w14:textId="77777777" w:rsidR="00FA7EBF" w:rsidRPr="007939DD" w:rsidRDefault="00FA7EBF" w:rsidP="007B207C">
            <w:pPr>
              <w:pStyle w:val="ARfintablebodyright"/>
              <w:rPr>
                <w:lang w:eastAsia="en-AU"/>
              </w:rPr>
            </w:pPr>
            <w:r w:rsidRPr="002A0858">
              <w:t>13.2</w:t>
            </w:r>
          </w:p>
        </w:tc>
        <w:tc>
          <w:tcPr>
            <w:tcW w:w="1134" w:type="dxa"/>
            <w:tcBorders>
              <w:top w:val="single" w:sz="4" w:space="0" w:color="A6A6A6" w:themeColor="background1" w:themeShade="A6"/>
              <w:bottom w:val="single" w:sz="4" w:space="0" w:color="A6A6A6" w:themeColor="background1" w:themeShade="A6"/>
            </w:tcBorders>
          </w:tcPr>
          <w:p w14:paraId="5CEE9201" w14:textId="77777777" w:rsidR="00FA7EBF" w:rsidRPr="007939DD" w:rsidRDefault="00FA7EBF" w:rsidP="007B207C">
            <w:pPr>
              <w:pStyle w:val="ARfintablebodyright"/>
              <w:rPr>
                <w:lang w:eastAsia="en-AU"/>
              </w:rPr>
            </w:pPr>
            <w:r w:rsidRPr="002A0858">
              <w:t>10.0</w:t>
            </w:r>
          </w:p>
        </w:tc>
      </w:tr>
      <w:tr w:rsidR="00FA7EBF" w:rsidRPr="007939DD" w14:paraId="105F1BDF" w14:textId="77777777" w:rsidTr="007B207C">
        <w:trPr>
          <w:cantSplit/>
        </w:trPr>
        <w:tc>
          <w:tcPr>
            <w:tcW w:w="6691" w:type="dxa"/>
            <w:tcBorders>
              <w:top w:val="single" w:sz="4" w:space="0" w:color="A6A6A6" w:themeColor="background1" w:themeShade="A6"/>
              <w:bottom w:val="single" w:sz="4" w:space="0" w:color="A6A6A6" w:themeColor="background1" w:themeShade="A6"/>
            </w:tcBorders>
          </w:tcPr>
          <w:p w14:paraId="68DEC566" w14:textId="77777777" w:rsidR="00FA7EBF" w:rsidRPr="007939DD" w:rsidRDefault="00FA7EBF" w:rsidP="007B207C">
            <w:pPr>
              <w:pStyle w:val="ARfintablebody"/>
              <w:rPr>
                <w:lang w:eastAsia="en-AU"/>
              </w:rPr>
            </w:pPr>
            <w:r w:rsidRPr="002A0858">
              <w:t>Rental income and income from services</w:t>
            </w:r>
          </w:p>
        </w:tc>
        <w:tc>
          <w:tcPr>
            <w:tcW w:w="680" w:type="dxa"/>
            <w:tcBorders>
              <w:top w:val="single" w:sz="4" w:space="0" w:color="A6A6A6" w:themeColor="background1" w:themeShade="A6"/>
              <w:bottom w:val="single" w:sz="4" w:space="0" w:color="A6A6A6" w:themeColor="background1" w:themeShade="A6"/>
            </w:tcBorders>
          </w:tcPr>
          <w:p w14:paraId="4547C760" w14:textId="77777777" w:rsidR="00FA7EBF" w:rsidRPr="007939DD" w:rsidRDefault="00FA7EBF" w:rsidP="007B207C">
            <w:pPr>
              <w:pStyle w:val="ARfintablebodyright"/>
              <w:rPr>
                <w:lang w:eastAsia="en-AU"/>
              </w:rPr>
            </w:pPr>
            <w:r w:rsidRPr="002A0858">
              <w:t>2.4.2</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DB8883C" w14:textId="77777777" w:rsidR="00FA7EBF" w:rsidRPr="007939DD" w:rsidRDefault="00FA7EBF" w:rsidP="007B207C">
            <w:pPr>
              <w:pStyle w:val="ARfintablebodyright"/>
              <w:rPr>
                <w:lang w:eastAsia="en-AU"/>
              </w:rPr>
            </w:pPr>
            <w:r w:rsidRPr="002A0858">
              <w:t>491.1</w:t>
            </w:r>
          </w:p>
        </w:tc>
        <w:tc>
          <w:tcPr>
            <w:tcW w:w="1134" w:type="dxa"/>
            <w:tcBorders>
              <w:top w:val="single" w:sz="4" w:space="0" w:color="A6A6A6" w:themeColor="background1" w:themeShade="A6"/>
              <w:bottom w:val="single" w:sz="4" w:space="0" w:color="A6A6A6" w:themeColor="background1" w:themeShade="A6"/>
            </w:tcBorders>
          </w:tcPr>
          <w:p w14:paraId="5B4F683F" w14:textId="77777777" w:rsidR="00FA7EBF" w:rsidRPr="007939DD" w:rsidRDefault="00FA7EBF" w:rsidP="007B207C">
            <w:pPr>
              <w:pStyle w:val="ARfintablebodyright"/>
              <w:rPr>
                <w:lang w:eastAsia="en-AU"/>
              </w:rPr>
            </w:pPr>
            <w:r w:rsidRPr="002A0858">
              <w:t>487.0</w:t>
            </w:r>
          </w:p>
        </w:tc>
      </w:tr>
      <w:tr w:rsidR="00FA7EBF" w:rsidRPr="007939DD" w14:paraId="4C48C5C9" w14:textId="77777777" w:rsidTr="007B207C">
        <w:trPr>
          <w:cantSplit/>
        </w:trPr>
        <w:tc>
          <w:tcPr>
            <w:tcW w:w="6691" w:type="dxa"/>
            <w:tcBorders>
              <w:top w:val="single" w:sz="4" w:space="0" w:color="A6A6A6" w:themeColor="background1" w:themeShade="A6"/>
              <w:bottom w:val="single" w:sz="4" w:space="0" w:color="A6A6A6" w:themeColor="background1" w:themeShade="A6"/>
            </w:tcBorders>
          </w:tcPr>
          <w:p w14:paraId="2BBCEB77" w14:textId="77777777" w:rsidR="00FA7EBF" w:rsidRPr="007939DD" w:rsidRDefault="00FA7EBF" w:rsidP="007B207C">
            <w:pPr>
              <w:pStyle w:val="ARfintablebody"/>
              <w:rPr>
                <w:lang w:eastAsia="en-AU"/>
              </w:rPr>
            </w:pPr>
            <w:r w:rsidRPr="002A0858">
              <w:t>Grants and other income transfers</w:t>
            </w:r>
          </w:p>
        </w:tc>
        <w:tc>
          <w:tcPr>
            <w:tcW w:w="680" w:type="dxa"/>
            <w:tcBorders>
              <w:top w:val="single" w:sz="4" w:space="0" w:color="A6A6A6" w:themeColor="background1" w:themeShade="A6"/>
              <w:bottom w:val="single" w:sz="4" w:space="0" w:color="A6A6A6" w:themeColor="background1" w:themeShade="A6"/>
            </w:tcBorders>
          </w:tcPr>
          <w:p w14:paraId="09A20994" w14:textId="77777777" w:rsidR="00FA7EBF" w:rsidRPr="007939DD" w:rsidRDefault="00FA7EBF" w:rsidP="007B207C">
            <w:pPr>
              <w:pStyle w:val="ARfintablebodyright"/>
              <w:rPr>
                <w:lang w:eastAsia="en-AU"/>
              </w:rPr>
            </w:pPr>
            <w:r w:rsidRPr="002A0858">
              <w:t>2.4.3</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85621F9" w14:textId="77777777" w:rsidR="00FA7EBF" w:rsidRPr="007939DD" w:rsidRDefault="00FA7EBF" w:rsidP="007B207C">
            <w:pPr>
              <w:pStyle w:val="ARfintablebodyright"/>
              <w:rPr>
                <w:lang w:eastAsia="en-AU"/>
              </w:rPr>
            </w:pPr>
            <w:r w:rsidRPr="002A0858">
              <w:t>1,133.6</w:t>
            </w:r>
          </w:p>
        </w:tc>
        <w:tc>
          <w:tcPr>
            <w:tcW w:w="1134" w:type="dxa"/>
            <w:tcBorders>
              <w:top w:val="single" w:sz="4" w:space="0" w:color="A6A6A6" w:themeColor="background1" w:themeShade="A6"/>
              <w:bottom w:val="single" w:sz="4" w:space="0" w:color="A6A6A6" w:themeColor="background1" w:themeShade="A6"/>
            </w:tcBorders>
          </w:tcPr>
          <w:p w14:paraId="0B621192" w14:textId="77777777" w:rsidR="00FA7EBF" w:rsidRPr="007939DD" w:rsidRDefault="00FA7EBF" w:rsidP="007B207C">
            <w:pPr>
              <w:pStyle w:val="ARfintablebodyright"/>
              <w:rPr>
                <w:lang w:eastAsia="en-AU"/>
              </w:rPr>
            </w:pPr>
            <w:r w:rsidRPr="002A0858">
              <w:t>991.0</w:t>
            </w:r>
          </w:p>
        </w:tc>
      </w:tr>
      <w:tr w:rsidR="00FA7EBF" w:rsidRPr="007939DD" w14:paraId="1553D1C0" w14:textId="77777777" w:rsidTr="007B207C">
        <w:trPr>
          <w:cantSplit/>
        </w:trPr>
        <w:tc>
          <w:tcPr>
            <w:tcW w:w="6691" w:type="dxa"/>
            <w:tcBorders>
              <w:top w:val="single" w:sz="4" w:space="0" w:color="A6A6A6" w:themeColor="background1" w:themeShade="A6"/>
              <w:bottom w:val="single" w:sz="4" w:space="0" w:color="A6A6A6" w:themeColor="background1" w:themeShade="A6"/>
            </w:tcBorders>
          </w:tcPr>
          <w:p w14:paraId="1ED88F41" w14:textId="77777777" w:rsidR="00FA7EBF" w:rsidRPr="007939DD" w:rsidRDefault="00FA7EBF" w:rsidP="007B207C">
            <w:pPr>
              <w:pStyle w:val="ARfintablebody"/>
              <w:rPr>
                <w:lang w:eastAsia="en-AU"/>
              </w:rPr>
            </w:pPr>
            <w:r w:rsidRPr="002A0858">
              <w:t>Fair value of assets and services received free of charge or for nominal consideration</w:t>
            </w:r>
          </w:p>
        </w:tc>
        <w:tc>
          <w:tcPr>
            <w:tcW w:w="680" w:type="dxa"/>
            <w:tcBorders>
              <w:top w:val="single" w:sz="4" w:space="0" w:color="A6A6A6" w:themeColor="background1" w:themeShade="A6"/>
              <w:bottom w:val="single" w:sz="4" w:space="0" w:color="A6A6A6" w:themeColor="background1" w:themeShade="A6"/>
            </w:tcBorders>
          </w:tcPr>
          <w:p w14:paraId="74FC8548" w14:textId="77777777" w:rsidR="00FA7EBF" w:rsidRPr="007939DD" w:rsidRDefault="00FA7EBF" w:rsidP="007B207C">
            <w:pPr>
              <w:pStyle w:val="ARfintablebodyright"/>
              <w:rPr>
                <w:lang w:eastAsia="en-AU"/>
              </w:rPr>
            </w:pPr>
            <w:r w:rsidRPr="002A0858">
              <w:t>2.4.4</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691FEBD" w14:textId="77777777" w:rsidR="00FA7EBF" w:rsidRPr="007939DD" w:rsidRDefault="00FA7EBF" w:rsidP="007B207C">
            <w:pPr>
              <w:pStyle w:val="ARfintablebodyright"/>
              <w:rPr>
                <w:lang w:eastAsia="en-AU"/>
              </w:rPr>
            </w:pPr>
            <w:r w:rsidRPr="002A0858">
              <w:t>10.1</w:t>
            </w:r>
          </w:p>
        </w:tc>
        <w:tc>
          <w:tcPr>
            <w:tcW w:w="1134" w:type="dxa"/>
            <w:tcBorders>
              <w:top w:val="single" w:sz="4" w:space="0" w:color="A6A6A6" w:themeColor="background1" w:themeShade="A6"/>
              <w:bottom w:val="single" w:sz="4" w:space="0" w:color="A6A6A6" w:themeColor="background1" w:themeShade="A6"/>
            </w:tcBorders>
          </w:tcPr>
          <w:p w14:paraId="79E65B91" w14:textId="77777777" w:rsidR="00FA7EBF" w:rsidRPr="007939DD" w:rsidRDefault="00FA7EBF" w:rsidP="007B207C">
            <w:pPr>
              <w:pStyle w:val="ARfintablebodyright"/>
              <w:rPr>
                <w:lang w:eastAsia="en-AU"/>
              </w:rPr>
            </w:pPr>
            <w:r w:rsidRPr="002A0858">
              <w:t>3.5</w:t>
            </w:r>
          </w:p>
        </w:tc>
      </w:tr>
      <w:tr w:rsidR="00FA7EBF" w:rsidRPr="007939DD" w14:paraId="2E0E877C" w14:textId="77777777" w:rsidTr="007B207C">
        <w:trPr>
          <w:cantSplit/>
        </w:trPr>
        <w:tc>
          <w:tcPr>
            <w:tcW w:w="6691" w:type="dxa"/>
            <w:tcBorders>
              <w:top w:val="single" w:sz="4" w:space="0" w:color="A6A6A6" w:themeColor="background1" w:themeShade="A6"/>
            </w:tcBorders>
          </w:tcPr>
          <w:p w14:paraId="4BA260D5" w14:textId="77777777" w:rsidR="00FA7EBF" w:rsidRPr="007939DD" w:rsidRDefault="00FA7EBF" w:rsidP="007B207C">
            <w:pPr>
              <w:pStyle w:val="ARfintablebody"/>
              <w:rPr>
                <w:lang w:eastAsia="en-AU"/>
              </w:rPr>
            </w:pPr>
            <w:r w:rsidRPr="002A0858">
              <w:t>Other income</w:t>
            </w:r>
          </w:p>
        </w:tc>
        <w:tc>
          <w:tcPr>
            <w:tcW w:w="680" w:type="dxa"/>
            <w:tcBorders>
              <w:top w:val="single" w:sz="4" w:space="0" w:color="A6A6A6" w:themeColor="background1" w:themeShade="A6"/>
            </w:tcBorders>
          </w:tcPr>
          <w:p w14:paraId="2F699A0E" w14:textId="77777777" w:rsidR="00FA7EBF" w:rsidRPr="007939DD" w:rsidRDefault="00FA7EBF" w:rsidP="007B207C">
            <w:pPr>
              <w:pStyle w:val="ARfintablebodyright"/>
              <w:rPr>
                <w:lang w:eastAsia="en-AU"/>
              </w:rPr>
            </w:pPr>
            <w:r w:rsidRPr="002A0858">
              <w:t>2.4.5</w:t>
            </w:r>
          </w:p>
        </w:tc>
        <w:tc>
          <w:tcPr>
            <w:tcW w:w="1134" w:type="dxa"/>
            <w:tcBorders>
              <w:top w:val="single" w:sz="4" w:space="0" w:color="A6A6A6" w:themeColor="background1" w:themeShade="A6"/>
            </w:tcBorders>
            <w:shd w:val="clear" w:color="auto" w:fill="E7E6E6"/>
          </w:tcPr>
          <w:p w14:paraId="0147DA4A" w14:textId="77777777" w:rsidR="00FA7EBF" w:rsidRPr="007939DD" w:rsidRDefault="00FA7EBF" w:rsidP="007B207C">
            <w:pPr>
              <w:pStyle w:val="ARfintablebodyright"/>
              <w:rPr>
                <w:lang w:eastAsia="en-AU"/>
              </w:rPr>
            </w:pPr>
            <w:r w:rsidRPr="002A0858">
              <w:t>72.7</w:t>
            </w:r>
          </w:p>
        </w:tc>
        <w:tc>
          <w:tcPr>
            <w:tcW w:w="1134" w:type="dxa"/>
            <w:tcBorders>
              <w:top w:val="single" w:sz="4" w:space="0" w:color="A6A6A6" w:themeColor="background1" w:themeShade="A6"/>
            </w:tcBorders>
          </w:tcPr>
          <w:p w14:paraId="3C8DFC22" w14:textId="77777777" w:rsidR="00FA7EBF" w:rsidRPr="007939DD" w:rsidRDefault="00FA7EBF" w:rsidP="007B207C">
            <w:pPr>
              <w:pStyle w:val="ARfintablebodyright"/>
              <w:rPr>
                <w:lang w:eastAsia="en-AU"/>
              </w:rPr>
            </w:pPr>
            <w:r w:rsidRPr="002A0858">
              <w:t>56.5</w:t>
            </w:r>
          </w:p>
        </w:tc>
      </w:tr>
      <w:tr w:rsidR="00FA7EBF" w:rsidRPr="007939DD" w14:paraId="3FF6B801" w14:textId="77777777" w:rsidTr="007B207C">
        <w:trPr>
          <w:cantSplit/>
        </w:trPr>
        <w:tc>
          <w:tcPr>
            <w:tcW w:w="6691" w:type="dxa"/>
          </w:tcPr>
          <w:p w14:paraId="7E706AE6" w14:textId="77777777" w:rsidR="00FA7EBF" w:rsidRPr="007939DD" w:rsidRDefault="00FA7EBF" w:rsidP="007B207C">
            <w:pPr>
              <w:pStyle w:val="ARfintablebodybold"/>
              <w:rPr>
                <w:rStyle w:val="Strong"/>
              </w:rPr>
            </w:pPr>
            <w:r w:rsidRPr="002A0858">
              <w:t>Total income from transactions</w:t>
            </w:r>
          </w:p>
        </w:tc>
        <w:tc>
          <w:tcPr>
            <w:tcW w:w="680" w:type="dxa"/>
          </w:tcPr>
          <w:p w14:paraId="39C1E501" w14:textId="77777777" w:rsidR="00FA7EBF" w:rsidRPr="007939DD" w:rsidRDefault="00FA7EBF" w:rsidP="007B207C">
            <w:pPr>
              <w:pStyle w:val="ARfintablebodyright"/>
              <w:rPr>
                <w:lang w:eastAsia="en-AU"/>
              </w:rPr>
            </w:pPr>
          </w:p>
        </w:tc>
        <w:tc>
          <w:tcPr>
            <w:tcW w:w="1134" w:type="dxa"/>
            <w:shd w:val="clear" w:color="auto" w:fill="E7E6E6"/>
          </w:tcPr>
          <w:p w14:paraId="5E7B1D1F" w14:textId="77777777" w:rsidR="00FA7EBF" w:rsidRPr="007939DD" w:rsidRDefault="00FA7EBF" w:rsidP="007B207C">
            <w:pPr>
              <w:pStyle w:val="ARfintablebodyrightbold"/>
              <w:rPr>
                <w:lang w:eastAsia="en-AU"/>
              </w:rPr>
            </w:pPr>
            <w:r w:rsidRPr="002A0858">
              <w:t>19,417.0</w:t>
            </w:r>
          </w:p>
        </w:tc>
        <w:tc>
          <w:tcPr>
            <w:tcW w:w="1134" w:type="dxa"/>
          </w:tcPr>
          <w:p w14:paraId="34190C39" w14:textId="77777777" w:rsidR="00FA7EBF" w:rsidRPr="007939DD" w:rsidRDefault="00FA7EBF" w:rsidP="007B207C">
            <w:pPr>
              <w:pStyle w:val="ARfintablebodyrightbold"/>
              <w:rPr>
                <w:rStyle w:val="Strong"/>
              </w:rPr>
            </w:pPr>
            <w:r w:rsidRPr="002A0858">
              <w:t>17,921.1</w:t>
            </w:r>
          </w:p>
        </w:tc>
      </w:tr>
    </w:tbl>
    <w:p w14:paraId="76FDDB45" w14:textId="77777777" w:rsidR="00FA7EBF" w:rsidRPr="00194D78" w:rsidRDefault="00FA7EBF" w:rsidP="00CA66FD">
      <w:pPr>
        <w:pStyle w:val="ARfinbodyaftertable"/>
      </w:pPr>
      <w:r w:rsidRPr="00194D78">
        <w:t>Income is recognised to the extent it is probable the economic benefits will flow to the department and the income can be reliably measured at fair value. Where applicable, amounts disclosed as income are net of returns, allowances, duties and taxes. All amounts of income over which the department does not have control are disclosed as administered income (see Note 4.2).</w:t>
      </w:r>
    </w:p>
    <w:p w14:paraId="03D1EF44" w14:textId="77777777" w:rsidR="00FA7EBF" w:rsidRPr="00194D78" w:rsidRDefault="00FA7EBF" w:rsidP="00CA66FD">
      <w:pPr>
        <w:pStyle w:val="Heading4"/>
        <w:rPr>
          <w:lang w:eastAsia="en-AU"/>
        </w:rPr>
      </w:pPr>
      <w:bookmarkStart w:id="249" w:name="_Ref21957816"/>
      <w:r w:rsidRPr="00194D78">
        <w:rPr>
          <w:lang w:eastAsia="en-AU"/>
        </w:rPr>
        <w:t>2.2 Appropriations</w:t>
      </w:r>
      <w:bookmarkEnd w:id="249"/>
    </w:p>
    <w:p w14:paraId="27D4A74C" w14:textId="77777777" w:rsidR="00FA7EBF" w:rsidRDefault="00FA7EBF" w:rsidP="00CA66FD">
      <w:pPr>
        <w:pStyle w:val="ARfinbody"/>
      </w:pPr>
      <w:r w:rsidRPr="00194D78">
        <w:t>Once annual parliamentary appropriations are applied by the Treasurer, they become controlled by the department and are recognised as income when applied to the purposes defined under the relevant Appropriations Act.</w:t>
      </w:r>
    </w:p>
    <w:p w14:paraId="2422CCCD" w14:textId="77777777" w:rsidR="00FA7EBF" w:rsidRDefault="00FA7EBF" w:rsidP="00CA66FD">
      <w:pPr>
        <w:pStyle w:val="ARfinbody"/>
      </w:pPr>
      <w:r w:rsidRPr="00181119">
        <w:rPr>
          <w:rStyle w:val="Strong"/>
          <w:bCs w:val="0"/>
        </w:rPr>
        <w:t>Output appropriations</w:t>
      </w:r>
      <w:r w:rsidRPr="00194D78">
        <w:t>: Income from the outputs the department provides to the government is recognised when those outputs have been delivered and the relevant Minister has certified delivery of those outputs in accordance with specified performance criteria.</w:t>
      </w:r>
    </w:p>
    <w:p w14:paraId="6617A52B" w14:textId="77777777" w:rsidR="00FA7EBF" w:rsidRPr="00194D78" w:rsidRDefault="00FA7EBF" w:rsidP="00CA66FD">
      <w:pPr>
        <w:pStyle w:val="ARfinbody"/>
      </w:pPr>
      <w:r w:rsidRPr="00181119">
        <w:rPr>
          <w:rStyle w:val="Strong"/>
          <w:bCs w:val="0"/>
        </w:rPr>
        <w:t>Special appropriations</w:t>
      </w:r>
      <w:r w:rsidRPr="00194D78">
        <w:t xml:space="preserve">: Under </w:t>
      </w:r>
      <w:r>
        <w:t>ss.</w:t>
      </w:r>
      <w:r w:rsidRPr="00194D78">
        <w:t xml:space="preserve"> 3.6.11, 4.4.11, 4.6.8, 5.4.6, and 6A.4.4(1) of the </w:t>
      </w:r>
      <w:r w:rsidRPr="00743D91">
        <w:rPr>
          <w:rStyle w:val="Emphasis"/>
          <w:iCs w:val="0"/>
        </w:rPr>
        <w:t>Gambling Regulation Act No. 114</w:t>
      </w:r>
      <w:r w:rsidRPr="00B6663A">
        <w:rPr>
          <w:rStyle w:val="Emphasis"/>
          <w:iCs w:val="0"/>
        </w:rPr>
        <w:t xml:space="preserve"> </w:t>
      </w:r>
      <w:r w:rsidRPr="001366E5">
        <w:rPr>
          <w:rStyle w:val="Emphasis"/>
          <w:iCs w:val="0"/>
        </w:rPr>
        <w:t>of 2003</w:t>
      </w:r>
      <w:r w:rsidRPr="00194D78">
        <w:t>, and</w:t>
      </w:r>
      <w:r w:rsidRPr="00743D91">
        <w:t xml:space="preserve"> </w:t>
      </w:r>
      <w:r>
        <w:t>s. </w:t>
      </w:r>
      <w:r w:rsidRPr="00743D91">
        <w:t xml:space="preserve">114 of the </w:t>
      </w:r>
      <w:r w:rsidRPr="00743D91">
        <w:rPr>
          <w:rStyle w:val="Emphasis"/>
          <w:iCs w:val="0"/>
        </w:rPr>
        <w:t>Casino Control Act No. 47</w:t>
      </w:r>
      <w:r w:rsidRPr="00B6663A">
        <w:rPr>
          <w:rStyle w:val="Emphasis"/>
          <w:iCs w:val="0"/>
        </w:rPr>
        <w:t xml:space="preserve"> </w:t>
      </w:r>
      <w:r w:rsidRPr="001366E5">
        <w:rPr>
          <w:rStyle w:val="Emphasis"/>
          <w:iCs w:val="0"/>
        </w:rPr>
        <w:t>of 1991</w:t>
      </w:r>
      <w:r w:rsidRPr="00194D78">
        <w:t xml:space="preserve">, income related to the Hospitals and Charities Fund and Mental Health Fund is recognised when the amounts appropriated for that purpose are due and payable by the department. The department also receives special appropriations for various purposes approved under </w:t>
      </w:r>
      <w:r>
        <w:t>s.</w:t>
      </w:r>
      <w:r w:rsidRPr="00194D78">
        <w:t xml:space="preserve"> 10 of the </w:t>
      </w:r>
      <w:r w:rsidRPr="00743D91">
        <w:rPr>
          <w:rStyle w:val="Emphasis"/>
          <w:iCs w:val="0"/>
        </w:rPr>
        <w:t>Financial Management Act 1994</w:t>
      </w:r>
      <w:r w:rsidRPr="00194D78">
        <w:t>.</w:t>
      </w:r>
    </w:p>
    <w:p w14:paraId="34285483" w14:textId="77777777" w:rsidR="00FA7EBF" w:rsidRPr="00194D78" w:rsidRDefault="00FA7EBF" w:rsidP="00CA66FD">
      <w:pPr>
        <w:pStyle w:val="ARfinbody"/>
      </w:pPr>
    </w:p>
    <w:p w14:paraId="0A3F0307" w14:textId="77777777" w:rsidR="00FA7EBF" w:rsidRDefault="00FA7EBF" w:rsidP="00CA66FD">
      <w:pPr>
        <w:pStyle w:val="Heading4"/>
        <w:rPr>
          <w:lang w:eastAsia="en-AU"/>
        </w:rPr>
        <w:sectPr w:rsidR="00FA7EBF" w:rsidSect="00CA66FD">
          <w:headerReference w:type="default" r:id="rId183"/>
          <w:footerReference w:type="even" r:id="rId184"/>
          <w:footerReference w:type="default" r:id="rId185"/>
          <w:endnotePr>
            <w:numFmt w:val="decimal"/>
          </w:endnotePr>
          <w:pgSz w:w="11906" w:h="16838" w:code="9"/>
          <w:pgMar w:top="1531" w:right="851" w:bottom="851" w:left="1418" w:header="510" w:footer="340" w:gutter="0"/>
          <w:paperSrc w:first="258"/>
          <w:cols w:space="454"/>
          <w:docGrid w:linePitch="326"/>
        </w:sectPr>
      </w:pPr>
    </w:p>
    <w:p w14:paraId="2E63EA6D" w14:textId="77777777" w:rsidR="00FA7EBF" w:rsidRPr="00194D78" w:rsidRDefault="00FA7EBF" w:rsidP="00CA66FD">
      <w:pPr>
        <w:pStyle w:val="Heading4"/>
        <w:spacing w:before="0"/>
        <w:rPr>
          <w:lang w:eastAsia="en-AU"/>
        </w:rPr>
      </w:pPr>
      <w:bookmarkStart w:id="250" w:name="_Ref21957768"/>
      <w:r w:rsidRPr="00194D78">
        <w:rPr>
          <w:lang w:eastAsia="en-AU"/>
        </w:rPr>
        <w:t>2.3 Summary of compliance with annual parliamentary and special appropriations</w:t>
      </w:r>
      <w:bookmarkEnd w:id="250"/>
    </w:p>
    <w:p w14:paraId="4A252AFE" w14:textId="77777777" w:rsidR="00FA7EBF" w:rsidRDefault="00FA7EBF" w:rsidP="00CA66FD">
      <w:pPr>
        <w:pStyle w:val="ARfinbody"/>
      </w:pPr>
      <w:r w:rsidRPr="00194D78">
        <w:t>The following table discloses the details of the various annual parliamentary appropriations received by the department for the year.</w:t>
      </w:r>
    </w:p>
    <w:p w14:paraId="0EEF327C" w14:textId="77777777" w:rsidR="00FA7EBF" w:rsidRDefault="00FA7EBF" w:rsidP="00CA66FD">
      <w:pPr>
        <w:pStyle w:val="ARfinbodylargespace"/>
      </w:pPr>
      <w:r w:rsidRPr="00194D78">
        <w:t xml:space="preserve">In accordance with accrual output-based management procedures </w:t>
      </w:r>
      <w:r>
        <w:t>‘</w:t>
      </w:r>
      <w:r w:rsidRPr="00194D78">
        <w:t>provision of outputs</w:t>
      </w:r>
      <w:r>
        <w:t>’</w:t>
      </w:r>
      <w:r w:rsidRPr="00194D78">
        <w:t xml:space="preserve"> and </w:t>
      </w:r>
      <w:r>
        <w:t>‘</w:t>
      </w:r>
      <w:r w:rsidRPr="00194D78">
        <w:t>additions to net assets</w:t>
      </w:r>
      <w:r>
        <w:t>’</w:t>
      </w:r>
      <w:r w:rsidRPr="00194D78">
        <w:t xml:space="preserve"> are disclosed as </w:t>
      </w:r>
      <w:r>
        <w:t>‘</w:t>
      </w:r>
      <w:r w:rsidRPr="00194D78">
        <w:t>controlled</w:t>
      </w:r>
      <w:r>
        <w:t>’</w:t>
      </w:r>
      <w:r w:rsidRPr="00194D78">
        <w:t xml:space="preserve"> activities of the department. Administered transactions are those that are undertaken on behalf of the state over which the department has no control or discretion (refer to Note 4.2).</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3648"/>
        <w:gridCol w:w="1017"/>
        <w:gridCol w:w="274"/>
        <w:gridCol w:w="1017"/>
        <w:gridCol w:w="1017"/>
        <w:gridCol w:w="1017"/>
        <w:gridCol w:w="1017"/>
        <w:gridCol w:w="1017"/>
        <w:gridCol w:w="1017"/>
        <w:gridCol w:w="1012"/>
        <w:gridCol w:w="1012"/>
        <w:gridCol w:w="1012"/>
        <w:gridCol w:w="382"/>
      </w:tblGrid>
      <w:tr w:rsidR="00FA7EBF" w:rsidRPr="007939DD" w14:paraId="08BE42D0" w14:textId="77777777" w:rsidTr="007B207C">
        <w:trPr>
          <w:cantSplit/>
          <w:tblHeader/>
        </w:trPr>
        <w:tc>
          <w:tcPr>
            <w:tcW w:w="3648" w:type="dxa"/>
            <w:vMerge w:val="restart"/>
            <w:vAlign w:val="bottom"/>
          </w:tcPr>
          <w:p w14:paraId="09707B38" w14:textId="77777777" w:rsidR="00FA7EBF" w:rsidRPr="007939DD" w:rsidRDefault="00FA7EBF" w:rsidP="00D542CE">
            <w:pPr>
              <w:pStyle w:val="ARfintablebodybold"/>
              <w:spacing w:before="20" w:after="0"/>
            </w:pPr>
          </w:p>
        </w:tc>
        <w:tc>
          <w:tcPr>
            <w:tcW w:w="3325" w:type="dxa"/>
            <w:gridSpan w:val="4"/>
            <w:vAlign w:val="bottom"/>
          </w:tcPr>
          <w:p w14:paraId="3B33C15A" w14:textId="77777777" w:rsidR="00FA7EBF" w:rsidRPr="007939DD" w:rsidRDefault="00FA7EBF" w:rsidP="00D542CE">
            <w:pPr>
              <w:pStyle w:val="ARfintablecolheadcentre"/>
              <w:spacing w:before="20" w:after="0"/>
            </w:pPr>
            <w:r w:rsidRPr="007939DD">
              <w:t>Appropriation Act</w:t>
            </w:r>
          </w:p>
        </w:tc>
        <w:tc>
          <w:tcPr>
            <w:tcW w:w="4068" w:type="dxa"/>
            <w:gridSpan w:val="4"/>
            <w:shd w:val="clear" w:color="auto" w:fill="E7E6E6"/>
            <w:vAlign w:val="bottom"/>
          </w:tcPr>
          <w:p w14:paraId="4B8D6167" w14:textId="77777777" w:rsidR="00FA7EBF" w:rsidRPr="00C949F9" w:rsidRDefault="00FA7EBF" w:rsidP="00D542CE">
            <w:pPr>
              <w:pStyle w:val="ARfintablecolheadcentre"/>
              <w:spacing w:before="20" w:after="0"/>
            </w:pPr>
            <w:r w:rsidRPr="00C949F9">
              <w:t>Financial Management Act 1994</w:t>
            </w:r>
          </w:p>
        </w:tc>
        <w:tc>
          <w:tcPr>
            <w:tcW w:w="1012" w:type="dxa"/>
            <w:vMerge w:val="restart"/>
            <w:tcBorders>
              <w:top w:val="nil"/>
            </w:tcBorders>
            <w:vAlign w:val="bottom"/>
          </w:tcPr>
          <w:p w14:paraId="09DE7FBE" w14:textId="77777777" w:rsidR="00FA7EBF" w:rsidRPr="007939DD" w:rsidRDefault="00FA7EBF" w:rsidP="00D542CE">
            <w:pPr>
              <w:pStyle w:val="ARfintablecolheadright"/>
              <w:spacing w:before="20" w:after="0"/>
            </w:pPr>
            <w:r w:rsidRPr="007939DD">
              <w:t>Total parlia-mentary</w:t>
            </w:r>
            <w:r w:rsidRPr="007939DD">
              <w:br/>
              <w:t>authority</w:t>
            </w:r>
          </w:p>
          <w:p w14:paraId="37D74EE7" w14:textId="77777777" w:rsidR="00FA7EBF" w:rsidRPr="007939DD" w:rsidRDefault="00FA7EBF" w:rsidP="00D542CE">
            <w:pPr>
              <w:pStyle w:val="ARfintablecolheadright"/>
              <w:spacing w:before="20" w:after="0"/>
            </w:pPr>
            <w:r w:rsidRPr="007939DD">
              <w:t>$M</w:t>
            </w:r>
          </w:p>
        </w:tc>
        <w:tc>
          <w:tcPr>
            <w:tcW w:w="1012" w:type="dxa"/>
            <w:vMerge w:val="restart"/>
            <w:tcBorders>
              <w:top w:val="nil"/>
            </w:tcBorders>
            <w:vAlign w:val="bottom"/>
          </w:tcPr>
          <w:p w14:paraId="59FAB435" w14:textId="77777777" w:rsidR="00FA7EBF" w:rsidRPr="007939DD" w:rsidRDefault="00FA7EBF" w:rsidP="00D542CE">
            <w:pPr>
              <w:pStyle w:val="ARfintablecolheadright"/>
              <w:spacing w:before="20" w:after="0"/>
            </w:pPr>
            <w:r w:rsidRPr="007939DD">
              <w:t>Appro-priation applied</w:t>
            </w:r>
          </w:p>
          <w:p w14:paraId="01E02941" w14:textId="77777777" w:rsidR="00FA7EBF" w:rsidRPr="007939DD" w:rsidRDefault="00FA7EBF" w:rsidP="00D542CE">
            <w:pPr>
              <w:pStyle w:val="ARfintablecolheadright"/>
              <w:spacing w:before="20" w:after="0"/>
            </w:pPr>
            <w:r w:rsidRPr="007939DD">
              <w:t>$M</w:t>
            </w:r>
          </w:p>
        </w:tc>
        <w:tc>
          <w:tcPr>
            <w:tcW w:w="1012" w:type="dxa"/>
            <w:vMerge w:val="restart"/>
            <w:tcBorders>
              <w:top w:val="nil"/>
            </w:tcBorders>
            <w:vAlign w:val="bottom"/>
          </w:tcPr>
          <w:p w14:paraId="0F9B477B" w14:textId="77777777" w:rsidR="00FA7EBF" w:rsidRPr="007939DD" w:rsidRDefault="00FA7EBF" w:rsidP="00D542CE">
            <w:pPr>
              <w:pStyle w:val="ARfintablecolheadright"/>
              <w:spacing w:before="20" w:after="0"/>
            </w:pPr>
            <w:r w:rsidRPr="007939DD">
              <w:t>Variance</w:t>
            </w:r>
          </w:p>
          <w:p w14:paraId="5311FB3F" w14:textId="77777777" w:rsidR="00FA7EBF" w:rsidRPr="007939DD" w:rsidRDefault="00FA7EBF" w:rsidP="00D542CE">
            <w:pPr>
              <w:pStyle w:val="ARfintablecolheadright"/>
              <w:spacing w:before="20" w:after="0"/>
            </w:pPr>
            <w:r w:rsidRPr="007939DD">
              <w:t>$M</w:t>
            </w:r>
          </w:p>
        </w:tc>
        <w:tc>
          <w:tcPr>
            <w:tcW w:w="382" w:type="dxa"/>
            <w:vMerge w:val="restart"/>
            <w:tcBorders>
              <w:top w:val="nil"/>
            </w:tcBorders>
            <w:tcMar>
              <w:right w:w="0" w:type="dxa"/>
            </w:tcMar>
            <w:vAlign w:val="bottom"/>
          </w:tcPr>
          <w:p w14:paraId="73E08E41" w14:textId="77777777" w:rsidR="00FA7EBF" w:rsidRPr="007939DD" w:rsidRDefault="00FA7EBF" w:rsidP="00D542CE">
            <w:pPr>
              <w:pStyle w:val="ARfintablecolhead"/>
              <w:spacing w:before="20" w:after="0"/>
            </w:pPr>
          </w:p>
        </w:tc>
      </w:tr>
      <w:tr w:rsidR="00FA7EBF" w:rsidRPr="007939DD" w14:paraId="61CA96FA" w14:textId="77777777" w:rsidTr="007B207C">
        <w:trPr>
          <w:cantSplit/>
          <w:tblHeader/>
        </w:trPr>
        <w:tc>
          <w:tcPr>
            <w:tcW w:w="3648" w:type="dxa"/>
            <w:vMerge/>
          </w:tcPr>
          <w:p w14:paraId="0615C7F5" w14:textId="77777777" w:rsidR="00FA7EBF" w:rsidRPr="007939DD" w:rsidRDefault="00FA7EBF" w:rsidP="00D542CE">
            <w:pPr>
              <w:pStyle w:val="ARfintablebodybold"/>
              <w:spacing w:before="20" w:after="0"/>
            </w:pPr>
          </w:p>
        </w:tc>
        <w:tc>
          <w:tcPr>
            <w:tcW w:w="1017" w:type="dxa"/>
            <w:vAlign w:val="bottom"/>
          </w:tcPr>
          <w:p w14:paraId="0CA4C3CB" w14:textId="77777777" w:rsidR="00FA7EBF" w:rsidRPr="007939DD" w:rsidRDefault="00FA7EBF" w:rsidP="00D542CE">
            <w:pPr>
              <w:pStyle w:val="ARfintablecolheadright"/>
              <w:spacing w:before="20" w:after="0"/>
            </w:pPr>
            <w:r w:rsidRPr="007939DD">
              <w:t>Annual appro-priation</w:t>
            </w:r>
          </w:p>
          <w:p w14:paraId="27F808A8" w14:textId="77777777" w:rsidR="00FA7EBF" w:rsidRPr="007939DD" w:rsidRDefault="00FA7EBF" w:rsidP="00D542CE">
            <w:pPr>
              <w:pStyle w:val="ARfintablebodyright"/>
              <w:spacing w:before="20" w:after="0"/>
              <w:rPr>
                <w:b/>
                <w:lang w:eastAsia="en-AU"/>
              </w:rPr>
            </w:pPr>
            <w:r w:rsidRPr="007939DD">
              <w:rPr>
                <w:b/>
              </w:rPr>
              <w:t>$M</w:t>
            </w:r>
          </w:p>
        </w:tc>
        <w:tc>
          <w:tcPr>
            <w:tcW w:w="274" w:type="dxa"/>
            <w:tcMar>
              <w:right w:w="0" w:type="dxa"/>
            </w:tcMar>
            <w:vAlign w:val="bottom"/>
          </w:tcPr>
          <w:p w14:paraId="7170DA90" w14:textId="77777777" w:rsidR="00FA7EBF" w:rsidRPr="007939DD" w:rsidRDefault="00FA7EBF" w:rsidP="00D542CE">
            <w:pPr>
              <w:pStyle w:val="ARfintablecolhead"/>
              <w:spacing w:before="20" w:after="0"/>
            </w:pPr>
          </w:p>
        </w:tc>
        <w:tc>
          <w:tcPr>
            <w:tcW w:w="1017" w:type="dxa"/>
            <w:vAlign w:val="bottom"/>
          </w:tcPr>
          <w:p w14:paraId="117DB5BC" w14:textId="77777777" w:rsidR="00FA7EBF" w:rsidRPr="007939DD" w:rsidRDefault="00FA7EBF" w:rsidP="00D542CE">
            <w:pPr>
              <w:pStyle w:val="ARfintablecolheadright"/>
              <w:spacing w:before="20" w:after="0"/>
            </w:pPr>
            <w:r w:rsidRPr="007939DD">
              <w:t>Advance from Treasurer</w:t>
            </w:r>
          </w:p>
          <w:p w14:paraId="1EB1A4AC" w14:textId="77777777" w:rsidR="00FA7EBF" w:rsidRPr="007939DD" w:rsidRDefault="00FA7EBF" w:rsidP="00D542CE">
            <w:pPr>
              <w:pStyle w:val="ARfintablecolheadright"/>
              <w:spacing w:before="20" w:after="0"/>
            </w:pPr>
            <w:r w:rsidRPr="007939DD">
              <w:t>$M</w:t>
            </w:r>
          </w:p>
        </w:tc>
        <w:tc>
          <w:tcPr>
            <w:tcW w:w="1017" w:type="dxa"/>
            <w:vAlign w:val="bottom"/>
          </w:tcPr>
          <w:p w14:paraId="200716E1" w14:textId="77777777" w:rsidR="00FA7EBF" w:rsidRPr="007939DD" w:rsidRDefault="00FA7EBF" w:rsidP="00D542CE">
            <w:pPr>
              <w:pStyle w:val="ARfintablecolheadright"/>
              <w:spacing w:before="20" w:after="0"/>
            </w:pPr>
            <w:r w:rsidRPr="007939DD">
              <w:t>Section 3(2)</w:t>
            </w:r>
          </w:p>
          <w:p w14:paraId="4B0578A6" w14:textId="77777777" w:rsidR="00FA7EBF" w:rsidRPr="007939DD" w:rsidRDefault="00FA7EBF" w:rsidP="00D542CE">
            <w:pPr>
              <w:pStyle w:val="ARfintablecolheadright"/>
              <w:spacing w:before="20" w:after="0"/>
            </w:pPr>
            <w:r w:rsidRPr="007939DD">
              <w:t>$M</w:t>
            </w:r>
          </w:p>
        </w:tc>
        <w:tc>
          <w:tcPr>
            <w:tcW w:w="1017" w:type="dxa"/>
            <w:tcBorders>
              <w:right w:val="nil"/>
            </w:tcBorders>
            <w:shd w:val="clear" w:color="auto" w:fill="E7E6E6"/>
            <w:vAlign w:val="bottom"/>
          </w:tcPr>
          <w:p w14:paraId="2BF25A03" w14:textId="77777777" w:rsidR="00FA7EBF" w:rsidRPr="007939DD" w:rsidRDefault="00FA7EBF" w:rsidP="00D542CE">
            <w:pPr>
              <w:pStyle w:val="ARfintablecolheadright"/>
              <w:spacing w:before="20" w:after="0"/>
              <w:rPr>
                <w:vertAlign w:val="superscript"/>
              </w:rPr>
            </w:pPr>
            <w:r w:rsidRPr="007939DD">
              <w:t xml:space="preserve">Section 29 </w:t>
            </w:r>
            <w:r w:rsidRPr="007939DD">
              <w:rPr>
                <w:vertAlign w:val="superscript"/>
              </w:rPr>
              <w:t>(i)</w:t>
            </w:r>
          </w:p>
          <w:p w14:paraId="0B73F98A" w14:textId="77777777" w:rsidR="00FA7EBF" w:rsidRPr="007939DD" w:rsidRDefault="00FA7EBF" w:rsidP="00D542CE">
            <w:pPr>
              <w:pStyle w:val="ARfintablecolheadright"/>
              <w:spacing w:before="20" w:after="0"/>
              <w:rPr>
                <w:vertAlign w:val="superscript"/>
              </w:rPr>
            </w:pPr>
            <w:r w:rsidRPr="007939DD">
              <w:t>$M</w:t>
            </w:r>
          </w:p>
        </w:tc>
        <w:tc>
          <w:tcPr>
            <w:tcW w:w="1017" w:type="dxa"/>
            <w:tcBorders>
              <w:left w:val="nil"/>
              <w:right w:val="nil"/>
            </w:tcBorders>
            <w:shd w:val="clear" w:color="auto" w:fill="E7E6E6"/>
            <w:vAlign w:val="bottom"/>
          </w:tcPr>
          <w:p w14:paraId="7B38CB71" w14:textId="77777777" w:rsidR="00FA7EBF" w:rsidRPr="007939DD" w:rsidRDefault="00FA7EBF" w:rsidP="00D542CE">
            <w:pPr>
              <w:pStyle w:val="ARfintablecolheadright"/>
              <w:spacing w:before="20" w:after="0"/>
              <w:rPr>
                <w:vertAlign w:val="superscript"/>
              </w:rPr>
            </w:pPr>
            <w:r w:rsidRPr="007939DD">
              <w:t xml:space="preserve">Section 30 </w:t>
            </w:r>
            <w:r w:rsidRPr="007939DD">
              <w:rPr>
                <w:vertAlign w:val="superscript"/>
              </w:rPr>
              <w:t>(ii)</w:t>
            </w:r>
          </w:p>
          <w:p w14:paraId="4CE1A39D" w14:textId="77777777" w:rsidR="00FA7EBF" w:rsidRPr="007939DD" w:rsidRDefault="00FA7EBF" w:rsidP="00D542CE">
            <w:pPr>
              <w:pStyle w:val="ARfintablecolheadright"/>
              <w:spacing w:before="20" w:after="0"/>
              <w:rPr>
                <w:vertAlign w:val="superscript"/>
              </w:rPr>
            </w:pPr>
            <w:r w:rsidRPr="007939DD">
              <w:t>$M</w:t>
            </w:r>
          </w:p>
        </w:tc>
        <w:tc>
          <w:tcPr>
            <w:tcW w:w="1017" w:type="dxa"/>
            <w:tcBorders>
              <w:left w:val="nil"/>
              <w:right w:val="nil"/>
            </w:tcBorders>
            <w:shd w:val="clear" w:color="auto" w:fill="E7E6E6"/>
            <w:vAlign w:val="bottom"/>
          </w:tcPr>
          <w:p w14:paraId="074E97BA" w14:textId="77777777" w:rsidR="00FA7EBF" w:rsidRPr="007939DD" w:rsidRDefault="00FA7EBF" w:rsidP="00D542CE">
            <w:pPr>
              <w:pStyle w:val="ARfintablecolheadright"/>
              <w:spacing w:before="20" w:after="0"/>
            </w:pPr>
            <w:r w:rsidRPr="007939DD">
              <w:t>Section 32</w:t>
            </w:r>
          </w:p>
          <w:p w14:paraId="6D1F7E4E" w14:textId="77777777" w:rsidR="00FA7EBF" w:rsidRPr="007939DD" w:rsidRDefault="00FA7EBF" w:rsidP="00D542CE">
            <w:pPr>
              <w:pStyle w:val="ARfintablecolheadright"/>
              <w:spacing w:before="20" w:after="0"/>
            </w:pPr>
            <w:r w:rsidRPr="007939DD">
              <w:t>$M</w:t>
            </w:r>
          </w:p>
        </w:tc>
        <w:tc>
          <w:tcPr>
            <w:tcW w:w="1017" w:type="dxa"/>
            <w:tcBorders>
              <w:left w:val="nil"/>
            </w:tcBorders>
            <w:shd w:val="clear" w:color="auto" w:fill="E7E6E6"/>
            <w:vAlign w:val="bottom"/>
          </w:tcPr>
          <w:p w14:paraId="6C3D57F7" w14:textId="77777777" w:rsidR="00FA7EBF" w:rsidRPr="007939DD" w:rsidRDefault="00FA7EBF" w:rsidP="00D542CE">
            <w:pPr>
              <w:pStyle w:val="ARfintablecolheadright"/>
              <w:spacing w:before="20" w:after="0"/>
            </w:pPr>
            <w:r w:rsidRPr="007939DD">
              <w:t>Section 35 advances</w:t>
            </w:r>
          </w:p>
          <w:p w14:paraId="086492A6" w14:textId="77777777" w:rsidR="00FA7EBF" w:rsidRPr="007939DD" w:rsidRDefault="00FA7EBF" w:rsidP="00D542CE">
            <w:pPr>
              <w:pStyle w:val="ARfintablecolheadright"/>
              <w:spacing w:before="20" w:after="0"/>
            </w:pPr>
            <w:r w:rsidRPr="007939DD">
              <w:t>$M</w:t>
            </w:r>
          </w:p>
        </w:tc>
        <w:tc>
          <w:tcPr>
            <w:tcW w:w="1012" w:type="dxa"/>
            <w:vMerge/>
            <w:tcBorders>
              <w:top w:val="single" w:sz="4" w:space="0" w:color="FFFFFF"/>
            </w:tcBorders>
            <w:vAlign w:val="bottom"/>
          </w:tcPr>
          <w:p w14:paraId="155A9DC9" w14:textId="77777777" w:rsidR="00FA7EBF" w:rsidRPr="007939DD" w:rsidRDefault="00FA7EBF" w:rsidP="00D542CE">
            <w:pPr>
              <w:pStyle w:val="ARfintablecolheadright"/>
              <w:spacing w:before="20" w:after="0"/>
            </w:pPr>
          </w:p>
        </w:tc>
        <w:tc>
          <w:tcPr>
            <w:tcW w:w="1012" w:type="dxa"/>
            <w:vMerge/>
            <w:tcBorders>
              <w:top w:val="single" w:sz="4" w:space="0" w:color="FFFFFF"/>
            </w:tcBorders>
            <w:vAlign w:val="bottom"/>
          </w:tcPr>
          <w:p w14:paraId="5063D354" w14:textId="77777777" w:rsidR="00FA7EBF" w:rsidRPr="007939DD" w:rsidRDefault="00FA7EBF" w:rsidP="00D542CE">
            <w:pPr>
              <w:pStyle w:val="ARfintablecolheadright"/>
              <w:spacing w:before="20" w:after="0"/>
            </w:pPr>
          </w:p>
        </w:tc>
        <w:tc>
          <w:tcPr>
            <w:tcW w:w="1012" w:type="dxa"/>
            <w:vMerge/>
            <w:tcBorders>
              <w:top w:val="single" w:sz="4" w:space="0" w:color="FFFFFF"/>
            </w:tcBorders>
            <w:vAlign w:val="bottom"/>
          </w:tcPr>
          <w:p w14:paraId="20AF16E8" w14:textId="77777777" w:rsidR="00FA7EBF" w:rsidRPr="007939DD" w:rsidRDefault="00FA7EBF" w:rsidP="00D542CE">
            <w:pPr>
              <w:pStyle w:val="ARfintablecolheadright"/>
              <w:spacing w:before="20" w:after="0"/>
            </w:pPr>
          </w:p>
        </w:tc>
        <w:tc>
          <w:tcPr>
            <w:tcW w:w="382" w:type="dxa"/>
            <w:vMerge/>
            <w:tcBorders>
              <w:top w:val="single" w:sz="4" w:space="0" w:color="FFFFFF"/>
            </w:tcBorders>
            <w:tcMar>
              <w:right w:w="0" w:type="dxa"/>
            </w:tcMar>
          </w:tcPr>
          <w:p w14:paraId="780E9081" w14:textId="77777777" w:rsidR="00FA7EBF" w:rsidRPr="007939DD" w:rsidRDefault="00FA7EBF" w:rsidP="00D542CE">
            <w:pPr>
              <w:pStyle w:val="ARfintablebody"/>
              <w:spacing w:before="20" w:after="0"/>
              <w:rPr>
                <w:lang w:eastAsia="en-AU"/>
              </w:rPr>
            </w:pPr>
          </w:p>
        </w:tc>
      </w:tr>
      <w:tr w:rsidR="00FA7EBF" w:rsidRPr="007939DD" w14:paraId="3AC9D0A6" w14:textId="77777777" w:rsidTr="007B207C">
        <w:trPr>
          <w:cantSplit/>
        </w:trPr>
        <w:tc>
          <w:tcPr>
            <w:tcW w:w="14459" w:type="dxa"/>
            <w:gridSpan w:val="13"/>
          </w:tcPr>
          <w:p w14:paraId="340EE73D" w14:textId="77777777" w:rsidR="00FA7EBF" w:rsidRPr="007939DD" w:rsidRDefault="00FA7EBF" w:rsidP="00D542CE">
            <w:pPr>
              <w:pStyle w:val="ARfintablebodybold"/>
              <w:spacing w:before="20" w:after="0"/>
              <w:rPr>
                <w:lang w:eastAsia="en-AU"/>
              </w:rPr>
            </w:pPr>
            <w:r w:rsidRPr="004617A3">
              <w:t>2019</w:t>
            </w:r>
          </w:p>
        </w:tc>
      </w:tr>
      <w:tr w:rsidR="00FA7EBF" w:rsidRPr="007939DD" w14:paraId="66FD0F68" w14:textId="77777777" w:rsidTr="007B207C">
        <w:trPr>
          <w:cantSplit/>
        </w:trPr>
        <w:tc>
          <w:tcPr>
            <w:tcW w:w="14459" w:type="dxa"/>
            <w:gridSpan w:val="13"/>
            <w:tcBorders>
              <w:bottom w:val="single" w:sz="4" w:space="0" w:color="A6A6A6" w:themeColor="background1" w:themeShade="A6"/>
            </w:tcBorders>
          </w:tcPr>
          <w:p w14:paraId="6B5640B3" w14:textId="77777777" w:rsidR="00FA7EBF" w:rsidRPr="007939DD" w:rsidRDefault="00FA7EBF" w:rsidP="00D542CE">
            <w:pPr>
              <w:pStyle w:val="ARfintablebodybold"/>
              <w:spacing w:before="20" w:after="0"/>
              <w:rPr>
                <w:lang w:eastAsia="en-AU"/>
              </w:rPr>
            </w:pPr>
            <w:r w:rsidRPr="004617A3">
              <w:t>Controlled</w:t>
            </w:r>
          </w:p>
        </w:tc>
      </w:tr>
      <w:tr w:rsidR="00FA7EBF" w:rsidRPr="007939DD" w14:paraId="120F50AC" w14:textId="77777777" w:rsidTr="007B207C">
        <w:trPr>
          <w:cantSplit/>
        </w:trPr>
        <w:tc>
          <w:tcPr>
            <w:tcW w:w="3648" w:type="dxa"/>
            <w:tcBorders>
              <w:top w:val="single" w:sz="4" w:space="0" w:color="A6A6A6" w:themeColor="background1" w:themeShade="A6"/>
              <w:bottom w:val="single" w:sz="4" w:space="0" w:color="A6A6A6" w:themeColor="background1" w:themeShade="A6"/>
            </w:tcBorders>
          </w:tcPr>
          <w:p w14:paraId="1544F6B4" w14:textId="77777777" w:rsidR="00FA7EBF" w:rsidRPr="007939DD" w:rsidRDefault="00FA7EBF" w:rsidP="00D542CE">
            <w:pPr>
              <w:pStyle w:val="ARfintablebody"/>
              <w:spacing w:before="20" w:after="0"/>
              <w:rPr>
                <w:lang w:eastAsia="en-AU"/>
              </w:rPr>
            </w:pPr>
            <w:r w:rsidRPr="004617A3">
              <w:t>Provision of outputs</w:t>
            </w:r>
          </w:p>
        </w:tc>
        <w:tc>
          <w:tcPr>
            <w:tcW w:w="1017" w:type="dxa"/>
            <w:tcBorders>
              <w:top w:val="single" w:sz="4" w:space="0" w:color="A6A6A6" w:themeColor="background1" w:themeShade="A6"/>
              <w:bottom w:val="single" w:sz="4" w:space="0" w:color="A6A6A6" w:themeColor="background1" w:themeShade="A6"/>
            </w:tcBorders>
          </w:tcPr>
          <w:p w14:paraId="11B91CC7" w14:textId="77777777" w:rsidR="00FA7EBF" w:rsidRPr="007939DD" w:rsidRDefault="00FA7EBF" w:rsidP="00D542CE">
            <w:pPr>
              <w:pStyle w:val="ARfintablebodyright"/>
              <w:spacing w:before="20" w:after="0"/>
              <w:rPr>
                <w:lang w:eastAsia="en-AU"/>
              </w:rPr>
            </w:pPr>
            <w:r w:rsidRPr="004617A3">
              <w:t>15,246.7</w:t>
            </w:r>
          </w:p>
        </w:tc>
        <w:tc>
          <w:tcPr>
            <w:tcW w:w="274" w:type="dxa"/>
            <w:tcBorders>
              <w:top w:val="single" w:sz="4" w:space="0" w:color="A6A6A6" w:themeColor="background1" w:themeShade="A6"/>
              <w:bottom w:val="single" w:sz="4" w:space="0" w:color="A6A6A6" w:themeColor="background1" w:themeShade="A6"/>
            </w:tcBorders>
            <w:tcMar>
              <w:right w:w="0" w:type="dxa"/>
            </w:tcMar>
          </w:tcPr>
          <w:p w14:paraId="0591B96A" w14:textId="77777777" w:rsidR="00FA7EBF" w:rsidRPr="00CD316B" w:rsidRDefault="00FA7EBF" w:rsidP="00D542CE">
            <w:pPr>
              <w:pStyle w:val="ARfintablebody"/>
              <w:spacing w:before="20" w:after="0"/>
              <w:rPr>
                <w:rStyle w:val="Superscript"/>
              </w:rPr>
            </w:pPr>
            <w:r w:rsidRPr="00CD316B">
              <w:rPr>
                <w:rStyle w:val="Superscript"/>
              </w:rPr>
              <w:t>(iii)</w:t>
            </w:r>
          </w:p>
        </w:tc>
        <w:tc>
          <w:tcPr>
            <w:tcW w:w="1017" w:type="dxa"/>
            <w:tcBorders>
              <w:top w:val="single" w:sz="4" w:space="0" w:color="A6A6A6" w:themeColor="background1" w:themeShade="A6"/>
              <w:bottom w:val="single" w:sz="4" w:space="0" w:color="A6A6A6" w:themeColor="background1" w:themeShade="A6"/>
            </w:tcBorders>
          </w:tcPr>
          <w:p w14:paraId="4282D70C" w14:textId="77777777" w:rsidR="00FA7EBF" w:rsidRPr="007939DD" w:rsidRDefault="00FA7EBF" w:rsidP="00D542CE">
            <w:pPr>
              <w:pStyle w:val="ARfintablebodyright"/>
              <w:spacing w:before="20" w:after="0"/>
              <w:rPr>
                <w:lang w:eastAsia="en-AU"/>
              </w:rPr>
            </w:pPr>
            <w:r w:rsidRPr="004617A3">
              <w:t>491.6</w:t>
            </w:r>
          </w:p>
        </w:tc>
        <w:tc>
          <w:tcPr>
            <w:tcW w:w="1017" w:type="dxa"/>
            <w:tcBorders>
              <w:top w:val="single" w:sz="4" w:space="0" w:color="A6A6A6" w:themeColor="background1" w:themeShade="A6"/>
              <w:bottom w:val="single" w:sz="4" w:space="0" w:color="A6A6A6" w:themeColor="background1" w:themeShade="A6"/>
            </w:tcBorders>
          </w:tcPr>
          <w:p w14:paraId="3080C266" w14:textId="77777777" w:rsidR="00FA7EBF" w:rsidRPr="007939DD" w:rsidRDefault="00FA7EBF" w:rsidP="00D542CE">
            <w:pPr>
              <w:pStyle w:val="ARfintablebodyright"/>
              <w:spacing w:before="20" w:after="0"/>
              <w:rPr>
                <w:lang w:eastAsia="en-AU"/>
              </w:rPr>
            </w:pPr>
            <w:r w:rsidRPr="004617A3">
              <w:t>–</w:t>
            </w:r>
          </w:p>
        </w:tc>
        <w:tc>
          <w:tcPr>
            <w:tcW w:w="1017" w:type="dxa"/>
            <w:tcBorders>
              <w:top w:val="single" w:sz="4" w:space="0" w:color="A6A6A6" w:themeColor="background1" w:themeShade="A6"/>
              <w:bottom w:val="single" w:sz="4" w:space="0" w:color="A6A6A6" w:themeColor="background1" w:themeShade="A6"/>
              <w:right w:val="nil"/>
            </w:tcBorders>
            <w:shd w:val="clear" w:color="auto" w:fill="E7E6E6"/>
          </w:tcPr>
          <w:p w14:paraId="56AE9121" w14:textId="77777777" w:rsidR="00FA7EBF" w:rsidRPr="007939DD" w:rsidRDefault="00FA7EBF" w:rsidP="00D542CE">
            <w:pPr>
              <w:pStyle w:val="ARfintablebodyright"/>
              <w:spacing w:before="20" w:after="0"/>
              <w:rPr>
                <w:lang w:eastAsia="en-AU"/>
              </w:rPr>
            </w:pPr>
            <w:r w:rsidRPr="004617A3">
              <w:t>1,007.7</w:t>
            </w:r>
          </w:p>
        </w:tc>
        <w:tc>
          <w:tcPr>
            <w:tcW w:w="1017" w:type="dxa"/>
            <w:tcBorders>
              <w:top w:val="single" w:sz="4" w:space="0" w:color="A6A6A6" w:themeColor="background1" w:themeShade="A6"/>
              <w:left w:val="nil"/>
              <w:bottom w:val="single" w:sz="4" w:space="0" w:color="A6A6A6" w:themeColor="background1" w:themeShade="A6"/>
              <w:right w:val="nil"/>
            </w:tcBorders>
            <w:shd w:val="clear" w:color="auto" w:fill="E7E6E6"/>
          </w:tcPr>
          <w:p w14:paraId="0202832C" w14:textId="77777777" w:rsidR="00FA7EBF" w:rsidRPr="007939DD" w:rsidRDefault="00FA7EBF" w:rsidP="00D542CE">
            <w:pPr>
              <w:pStyle w:val="ARfintablebodyright"/>
              <w:spacing w:before="20" w:after="0"/>
              <w:rPr>
                <w:lang w:eastAsia="en-AU"/>
              </w:rPr>
            </w:pPr>
            <w:r w:rsidRPr="004617A3">
              <w:t>30.1</w:t>
            </w:r>
          </w:p>
        </w:tc>
        <w:tc>
          <w:tcPr>
            <w:tcW w:w="1017" w:type="dxa"/>
            <w:tcBorders>
              <w:top w:val="single" w:sz="4" w:space="0" w:color="A6A6A6" w:themeColor="background1" w:themeShade="A6"/>
              <w:left w:val="nil"/>
              <w:bottom w:val="single" w:sz="4" w:space="0" w:color="A6A6A6" w:themeColor="background1" w:themeShade="A6"/>
              <w:right w:val="nil"/>
            </w:tcBorders>
            <w:shd w:val="clear" w:color="auto" w:fill="E7E6E6"/>
          </w:tcPr>
          <w:p w14:paraId="356EDCD7" w14:textId="77777777" w:rsidR="00FA7EBF" w:rsidRPr="007939DD" w:rsidRDefault="00FA7EBF" w:rsidP="00D542CE">
            <w:pPr>
              <w:pStyle w:val="ARfintablebodyright"/>
              <w:spacing w:before="20" w:after="0"/>
              <w:rPr>
                <w:lang w:eastAsia="en-AU"/>
              </w:rPr>
            </w:pPr>
            <w:r w:rsidRPr="004617A3">
              <w:t>54.4</w:t>
            </w:r>
          </w:p>
        </w:tc>
        <w:tc>
          <w:tcPr>
            <w:tcW w:w="1017" w:type="dxa"/>
            <w:tcBorders>
              <w:top w:val="single" w:sz="4" w:space="0" w:color="A6A6A6" w:themeColor="background1" w:themeShade="A6"/>
              <w:left w:val="nil"/>
              <w:bottom w:val="single" w:sz="4" w:space="0" w:color="A6A6A6" w:themeColor="background1" w:themeShade="A6"/>
            </w:tcBorders>
            <w:shd w:val="clear" w:color="auto" w:fill="E7E6E6"/>
          </w:tcPr>
          <w:p w14:paraId="791B043D" w14:textId="77777777" w:rsidR="00FA7EBF" w:rsidRPr="007939DD" w:rsidRDefault="00FA7EBF" w:rsidP="00D542CE">
            <w:pPr>
              <w:pStyle w:val="ARfintablebodyright"/>
              <w:spacing w:before="20" w:after="0"/>
              <w:rPr>
                <w:lang w:eastAsia="en-AU"/>
              </w:rPr>
            </w:pPr>
            <w:r w:rsidRPr="004617A3">
              <w:t>–</w:t>
            </w:r>
          </w:p>
        </w:tc>
        <w:tc>
          <w:tcPr>
            <w:tcW w:w="1012" w:type="dxa"/>
            <w:tcBorders>
              <w:top w:val="single" w:sz="4" w:space="0" w:color="A6A6A6" w:themeColor="background1" w:themeShade="A6"/>
              <w:bottom w:val="single" w:sz="4" w:space="0" w:color="A6A6A6" w:themeColor="background1" w:themeShade="A6"/>
            </w:tcBorders>
          </w:tcPr>
          <w:p w14:paraId="1C7E8ABA" w14:textId="77777777" w:rsidR="00FA7EBF" w:rsidRPr="007939DD" w:rsidRDefault="00FA7EBF" w:rsidP="00D542CE">
            <w:pPr>
              <w:pStyle w:val="ARfintablebodyright"/>
              <w:spacing w:before="20" w:after="0"/>
              <w:rPr>
                <w:lang w:eastAsia="en-AU"/>
              </w:rPr>
            </w:pPr>
            <w:r w:rsidRPr="004617A3">
              <w:t>16,830.5</w:t>
            </w:r>
          </w:p>
        </w:tc>
        <w:tc>
          <w:tcPr>
            <w:tcW w:w="1012" w:type="dxa"/>
            <w:tcBorders>
              <w:top w:val="single" w:sz="4" w:space="0" w:color="A6A6A6" w:themeColor="background1" w:themeShade="A6"/>
              <w:bottom w:val="single" w:sz="4" w:space="0" w:color="A6A6A6" w:themeColor="background1" w:themeShade="A6"/>
            </w:tcBorders>
          </w:tcPr>
          <w:p w14:paraId="3D9CD112" w14:textId="77777777" w:rsidR="00FA7EBF" w:rsidRPr="007939DD" w:rsidRDefault="00FA7EBF" w:rsidP="00D542CE">
            <w:pPr>
              <w:pStyle w:val="ARfintablebodyright"/>
              <w:spacing w:before="20" w:after="0"/>
              <w:rPr>
                <w:lang w:eastAsia="en-AU"/>
              </w:rPr>
            </w:pPr>
            <w:r w:rsidRPr="004617A3">
              <w:t>16,182.9</w:t>
            </w:r>
          </w:p>
        </w:tc>
        <w:tc>
          <w:tcPr>
            <w:tcW w:w="1012" w:type="dxa"/>
            <w:tcBorders>
              <w:top w:val="single" w:sz="4" w:space="0" w:color="A6A6A6" w:themeColor="background1" w:themeShade="A6"/>
              <w:bottom w:val="single" w:sz="4" w:space="0" w:color="A6A6A6" w:themeColor="background1" w:themeShade="A6"/>
            </w:tcBorders>
          </w:tcPr>
          <w:p w14:paraId="440D6EAA" w14:textId="77777777" w:rsidR="00FA7EBF" w:rsidRPr="007939DD" w:rsidRDefault="00FA7EBF" w:rsidP="00D542CE">
            <w:pPr>
              <w:pStyle w:val="ARfintablebodyright"/>
              <w:spacing w:before="20" w:after="0"/>
              <w:rPr>
                <w:lang w:eastAsia="en-AU"/>
              </w:rPr>
            </w:pPr>
            <w:r w:rsidRPr="004617A3">
              <w:t>647.6</w:t>
            </w:r>
          </w:p>
        </w:tc>
        <w:tc>
          <w:tcPr>
            <w:tcW w:w="382" w:type="dxa"/>
            <w:tcBorders>
              <w:top w:val="single" w:sz="4" w:space="0" w:color="A6A6A6" w:themeColor="background1" w:themeShade="A6"/>
              <w:bottom w:val="single" w:sz="4" w:space="0" w:color="A6A6A6" w:themeColor="background1" w:themeShade="A6"/>
            </w:tcBorders>
            <w:tcMar>
              <w:right w:w="0" w:type="dxa"/>
            </w:tcMar>
          </w:tcPr>
          <w:p w14:paraId="525B4267" w14:textId="77777777" w:rsidR="00FA7EBF" w:rsidRPr="00CD316B" w:rsidRDefault="00FA7EBF" w:rsidP="00D542CE">
            <w:pPr>
              <w:pStyle w:val="ARfintablebody"/>
              <w:spacing w:before="20" w:after="0"/>
              <w:rPr>
                <w:rStyle w:val="Superscript"/>
              </w:rPr>
            </w:pPr>
            <w:r w:rsidRPr="00CD316B">
              <w:rPr>
                <w:rStyle w:val="Superscript"/>
              </w:rPr>
              <w:t>(</w:t>
            </w:r>
            <w:r>
              <w:rPr>
                <w:rStyle w:val="Superscript"/>
              </w:rPr>
              <w:t>i</w:t>
            </w:r>
            <w:r w:rsidRPr="00CD316B">
              <w:rPr>
                <w:rStyle w:val="Superscript"/>
              </w:rPr>
              <w:t>v)</w:t>
            </w:r>
          </w:p>
        </w:tc>
      </w:tr>
      <w:tr w:rsidR="00FA7EBF" w:rsidRPr="007939DD" w14:paraId="5FD5658D" w14:textId="77777777" w:rsidTr="007B207C">
        <w:trPr>
          <w:cantSplit/>
        </w:trPr>
        <w:tc>
          <w:tcPr>
            <w:tcW w:w="3648" w:type="dxa"/>
            <w:tcBorders>
              <w:top w:val="single" w:sz="4" w:space="0" w:color="A6A6A6" w:themeColor="background1" w:themeShade="A6"/>
              <w:bottom w:val="single" w:sz="4" w:space="0" w:color="A6A6A6" w:themeColor="background1" w:themeShade="A6"/>
            </w:tcBorders>
          </w:tcPr>
          <w:p w14:paraId="7096957F" w14:textId="77777777" w:rsidR="00FA7EBF" w:rsidRPr="007939DD" w:rsidRDefault="00FA7EBF" w:rsidP="00D542CE">
            <w:pPr>
              <w:pStyle w:val="ARfintablebody"/>
              <w:spacing w:before="20" w:after="0"/>
              <w:rPr>
                <w:lang w:eastAsia="en-AU"/>
              </w:rPr>
            </w:pPr>
            <w:r w:rsidRPr="004617A3">
              <w:t>Additions to net assets</w:t>
            </w:r>
          </w:p>
        </w:tc>
        <w:tc>
          <w:tcPr>
            <w:tcW w:w="1017" w:type="dxa"/>
            <w:tcBorders>
              <w:top w:val="single" w:sz="4" w:space="0" w:color="A6A6A6" w:themeColor="background1" w:themeShade="A6"/>
              <w:bottom w:val="single" w:sz="4" w:space="0" w:color="A6A6A6" w:themeColor="background1" w:themeShade="A6"/>
            </w:tcBorders>
          </w:tcPr>
          <w:p w14:paraId="5BF2201F" w14:textId="77777777" w:rsidR="00FA7EBF" w:rsidRPr="007939DD" w:rsidRDefault="00FA7EBF" w:rsidP="00D542CE">
            <w:pPr>
              <w:pStyle w:val="ARfintablebodyright"/>
              <w:spacing w:before="20" w:after="0"/>
              <w:rPr>
                <w:lang w:eastAsia="en-AU"/>
              </w:rPr>
            </w:pPr>
            <w:r w:rsidRPr="004617A3">
              <w:t>305.3</w:t>
            </w:r>
          </w:p>
        </w:tc>
        <w:tc>
          <w:tcPr>
            <w:tcW w:w="274" w:type="dxa"/>
            <w:tcBorders>
              <w:top w:val="single" w:sz="4" w:space="0" w:color="A6A6A6" w:themeColor="background1" w:themeShade="A6"/>
              <w:bottom w:val="single" w:sz="4" w:space="0" w:color="A6A6A6" w:themeColor="background1" w:themeShade="A6"/>
            </w:tcBorders>
            <w:tcMar>
              <w:right w:w="0" w:type="dxa"/>
            </w:tcMar>
          </w:tcPr>
          <w:p w14:paraId="72C7302E" w14:textId="77777777" w:rsidR="00FA7EBF" w:rsidRPr="00CD316B" w:rsidRDefault="00FA7EBF" w:rsidP="00D542CE">
            <w:pPr>
              <w:pStyle w:val="ARfintablebody"/>
              <w:spacing w:before="20" w:after="0"/>
              <w:rPr>
                <w:rStyle w:val="Superscript"/>
              </w:rPr>
            </w:pPr>
            <w:r w:rsidRPr="00CD316B">
              <w:rPr>
                <w:rStyle w:val="Superscript"/>
              </w:rPr>
              <w:t>(v)</w:t>
            </w:r>
          </w:p>
        </w:tc>
        <w:tc>
          <w:tcPr>
            <w:tcW w:w="1017" w:type="dxa"/>
            <w:tcBorders>
              <w:top w:val="single" w:sz="4" w:space="0" w:color="A6A6A6" w:themeColor="background1" w:themeShade="A6"/>
              <w:bottom w:val="single" w:sz="4" w:space="0" w:color="A6A6A6" w:themeColor="background1" w:themeShade="A6"/>
            </w:tcBorders>
          </w:tcPr>
          <w:p w14:paraId="5E905CA1" w14:textId="77777777" w:rsidR="00FA7EBF" w:rsidRPr="007939DD" w:rsidRDefault="00FA7EBF" w:rsidP="00D542CE">
            <w:pPr>
              <w:pStyle w:val="ARfintablebodyright"/>
              <w:spacing w:before="20" w:after="0"/>
              <w:rPr>
                <w:lang w:eastAsia="en-AU"/>
              </w:rPr>
            </w:pPr>
            <w:r w:rsidRPr="004617A3">
              <w:t>14.0</w:t>
            </w:r>
          </w:p>
        </w:tc>
        <w:tc>
          <w:tcPr>
            <w:tcW w:w="1017" w:type="dxa"/>
            <w:tcBorders>
              <w:top w:val="single" w:sz="4" w:space="0" w:color="A6A6A6" w:themeColor="background1" w:themeShade="A6"/>
              <w:bottom w:val="single" w:sz="4" w:space="0" w:color="A6A6A6" w:themeColor="background1" w:themeShade="A6"/>
            </w:tcBorders>
          </w:tcPr>
          <w:p w14:paraId="633E7982" w14:textId="77777777" w:rsidR="00FA7EBF" w:rsidRPr="007939DD" w:rsidRDefault="00FA7EBF" w:rsidP="00D542CE">
            <w:pPr>
              <w:pStyle w:val="ARfintablebodyright"/>
              <w:spacing w:before="20" w:after="0"/>
              <w:rPr>
                <w:lang w:eastAsia="en-AU"/>
              </w:rPr>
            </w:pPr>
            <w:r w:rsidRPr="004617A3">
              <w:t>–</w:t>
            </w:r>
          </w:p>
        </w:tc>
        <w:tc>
          <w:tcPr>
            <w:tcW w:w="1017" w:type="dxa"/>
            <w:tcBorders>
              <w:top w:val="single" w:sz="4" w:space="0" w:color="A6A6A6" w:themeColor="background1" w:themeShade="A6"/>
              <w:bottom w:val="single" w:sz="4" w:space="0" w:color="A6A6A6" w:themeColor="background1" w:themeShade="A6"/>
              <w:right w:val="nil"/>
            </w:tcBorders>
            <w:shd w:val="clear" w:color="auto" w:fill="E7E6E6"/>
          </w:tcPr>
          <w:p w14:paraId="6EC85514" w14:textId="77777777" w:rsidR="00FA7EBF" w:rsidRPr="007939DD" w:rsidRDefault="00FA7EBF" w:rsidP="00D542CE">
            <w:pPr>
              <w:pStyle w:val="ARfintablebodyright"/>
              <w:spacing w:before="20" w:after="0"/>
              <w:rPr>
                <w:lang w:eastAsia="en-AU"/>
              </w:rPr>
            </w:pPr>
            <w:r w:rsidRPr="004617A3">
              <w:t>2.6</w:t>
            </w:r>
          </w:p>
        </w:tc>
        <w:tc>
          <w:tcPr>
            <w:tcW w:w="1017" w:type="dxa"/>
            <w:tcBorders>
              <w:top w:val="single" w:sz="4" w:space="0" w:color="A6A6A6" w:themeColor="background1" w:themeShade="A6"/>
              <w:left w:val="nil"/>
              <w:bottom w:val="single" w:sz="4" w:space="0" w:color="A6A6A6" w:themeColor="background1" w:themeShade="A6"/>
              <w:right w:val="nil"/>
            </w:tcBorders>
            <w:shd w:val="clear" w:color="auto" w:fill="E7E6E6"/>
          </w:tcPr>
          <w:p w14:paraId="1674CCD7" w14:textId="77777777" w:rsidR="00FA7EBF" w:rsidRPr="007939DD" w:rsidRDefault="00FA7EBF" w:rsidP="00D542CE">
            <w:pPr>
              <w:pStyle w:val="ARfintablebodyright"/>
              <w:spacing w:before="20" w:after="0"/>
              <w:rPr>
                <w:lang w:eastAsia="en-AU"/>
              </w:rPr>
            </w:pPr>
            <w:r w:rsidRPr="004617A3">
              <w:t>(30.1)</w:t>
            </w:r>
          </w:p>
        </w:tc>
        <w:tc>
          <w:tcPr>
            <w:tcW w:w="1017" w:type="dxa"/>
            <w:tcBorders>
              <w:top w:val="single" w:sz="4" w:space="0" w:color="A6A6A6" w:themeColor="background1" w:themeShade="A6"/>
              <w:left w:val="nil"/>
              <w:bottom w:val="single" w:sz="4" w:space="0" w:color="A6A6A6" w:themeColor="background1" w:themeShade="A6"/>
              <w:right w:val="nil"/>
            </w:tcBorders>
            <w:shd w:val="clear" w:color="auto" w:fill="E7E6E6"/>
          </w:tcPr>
          <w:p w14:paraId="19E30F3A" w14:textId="77777777" w:rsidR="00FA7EBF" w:rsidRPr="007939DD" w:rsidRDefault="00FA7EBF" w:rsidP="00D542CE">
            <w:pPr>
              <w:pStyle w:val="ARfintablebodyright"/>
              <w:spacing w:before="20" w:after="0"/>
              <w:rPr>
                <w:lang w:eastAsia="en-AU"/>
              </w:rPr>
            </w:pPr>
            <w:r w:rsidRPr="004617A3">
              <w:t>–</w:t>
            </w:r>
          </w:p>
        </w:tc>
        <w:tc>
          <w:tcPr>
            <w:tcW w:w="1017" w:type="dxa"/>
            <w:tcBorders>
              <w:top w:val="single" w:sz="4" w:space="0" w:color="A6A6A6" w:themeColor="background1" w:themeShade="A6"/>
              <w:left w:val="nil"/>
              <w:bottom w:val="single" w:sz="4" w:space="0" w:color="A6A6A6" w:themeColor="background1" w:themeShade="A6"/>
            </w:tcBorders>
            <w:shd w:val="clear" w:color="auto" w:fill="E7E6E6"/>
          </w:tcPr>
          <w:p w14:paraId="36CBE39C" w14:textId="77777777" w:rsidR="00FA7EBF" w:rsidRPr="007939DD" w:rsidRDefault="00FA7EBF" w:rsidP="00D542CE">
            <w:pPr>
              <w:pStyle w:val="ARfintablebodyright"/>
              <w:spacing w:before="20" w:after="0"/>
              <w:rPr>
                <w:lang w:eastAsia="en-AU"/>
              </w:rPr>
            </w:pPr>
            <w:r w:rsidRPr="004617A3">
              <w:t>–</w:t>
            </w:r>
          </w:p>
        </w:tc>
        <w:tc>
          <w:tcPr>
            <w:tcW w:w="1012" w:type="dxa"/>
            <w:tcBorders>
              <w:top w:val="single" w:sz="4" w:space="0" w:color="A6A6A6" w:themeColor="background1" w:themeShade="A6"/>
              <w:bottom w:val="single" w:sz="4" w:space="0" w:color="A6A6A6" w:themeColor="background1" w:themeShade="A6"/>
            </w:tcBorders>
          </w:tcPr>
          <w:p w14:paraId="46E7B2B6" w14:textId="77777777" w:rsidR="00FA7EBF" w:rsidRPr="007939DD" w:rsidRDefault="00FA7EBF" w:rsidP="00D542CE">
            <w:pPr>
              <w:pStyle w:val="ARfintablebodyright"/>
              <w:spacing w:before="20" w:after="0"/>
              <w:rPr>
                <w:lang w:eastAsia="en-AU"/>
              </w:rPr>
            </w:pPr>
            <w:r w:rsidRPr="004617A3">
              <w:t>291.7</w:t>
            </w:r>
          </w:p>
        </w:tc>
        <w:tc>
          <w:tcPr>
            <w:tcW w:w="1012" w:type="dxa"/>
            <w:tcBorders>
              <w:top w:val="single" w:sz="4" w:space="0" w:color="A6A6A6" w:themeColor="background1" w:themeShade="A6"/>
              <w:bottom w:val="single" w:sz="4" w:space="0" w:color="A6A6A6" w:themeColor="background1" w:themeShade="A6"/>
            </w:tcBorders>
          </w:tcPr>
          <w:p w14:paraId="41BFBE31" w14:textId="77777777" w:rsidR="00FA7EBF" w:rsidRPr="007939DD" w:rsidRDefault="00FA7EBF" w:rsidP="00D542CE">
            <w:pPr>
              <w:pStyle w:val="ARfintablebodyright"/>
              <w:spacing w:before="20" w:after="0"/>
              <w:rPr>
                <w:lang w:eastAsia="en-AU"/>
              </w:rPr>
            </w:pPr>
            <w:r w:rsidRPr="004617A3">
              <w:t>159.2</w:t>
            </w:r>
          </w:p>
        </w:tc>
        <w:tc>
          <w:tcPr>
            <w:tcW w:w="1012" w:type="dxa"/>
            <w:tcBorders>
              <w:top w:val="single" w:sz="4" w:space="0" w:color="A6A6A6" w:themeColor="background1" w:themeShade="A6"/>
              <w:bottom w:val="single" w:sz="4" w:space="0" w:color="A6A6A6" w:themeColor="background1" w:themeShade="A6"/>
            </w:tcBorders>
          </w:tcPr>
          <w:p w14:paraId="73F041FA" w14:textId="77777777" w:rsidR="00FA7EBF" w:rsidRPr="007939DD" w:rsidRDefault="00FA7EBF" w:rsidP="00D542CE">
            <w:pPr>
              <w:pStyle w:val="ARfintablebodyright"/>
              <w:spacing w:before="20" w:after="0"/>
              <w:rPr>
                <w:lang w:eastAsia="en-AU"/>
              </w:rPr>
            </w:pPr>
            <w:r w:rsidRPr="004617A3">
              <w:t>132.5</w:t>
            </w:r>
          </w:p>
        </w:tc>
        <w:tc>
          <w:tcPr>
            <w:tcW w:w="382" w:type="dxa"/>
            <w:tcBorders>
              <w:top w:val="single" w:sz="4" w:space="0" w:color="A6A6A6" w:themeColor="background1" w:themeShade="A6"/>
              <w:bottom w:val="single" w:sz="4" w:space="0" w:color="A6A6A6" w:themeColor="background1" w:themeShade="A6"/>
            </w:tcBorders>
            <w:tcMar>
              <w:right w:w="0" w:type="dxa"/>
            </w:tcMar>
          </w:tcPr>
          <w:p w14:paraId="63200E67" w14:textId="77777777" w:rsidR="00FA7EBF" w:rsidRPr="00CD316B" w:rsidRDefault="00FA7EBF" w:rsidP="00D542CE">
            <w:pPr>
              <w:pStyle w:val="ARfintablebody"/>
              <w:spacing w:before="20" w:after="0"/>
              <w:rPr>
                <w:rStyle w:val="Superscript"/>
              </w:rPr>
            </w:pPr>
            <w:r w:rsidRPr="00CD316B">
              <w:rPr>
                <w:rStyle w:val="Superscript"/>
              </w:rPr>
              <w:t>(vi)</w:t>
            </w:r>
          </w:p>
        </w:tc>
      </w:tr>
      <w:tr w:rsidR="00FA7EBF" w:rsidRPr="007939DD" w14:paraId="2708D083" w14:textId="77777777" w:rsidTr="007B207C">
        <w:trPr>
          <w:cantSplit/>
        </w:trPr>
        <w:tc>
          <w:tcPr>
            <w:tcW w:w="14459" w:type="dxa"/>
            <w:gridSpan w:val="13"/>
            <w:tcBorders>
              <w:top w:val="single" w:sz="4" w:space="0" w:color="A6A6A6" w:themeColor="background1" w:themeShade="A6"/>
              <w:bottom w:val="single" w:sz="4" w:space="0" w:color="A6A6A6" w:themeColor="background1" w:themeShade="A6"/>
            </w:tcBorders>
          </w:tcPr>
          <w:p w14:paraId="18A5ADCA" w14:textId="77777777" w:rsidR="00FA7EBF" w:rsidRPr="007939DD" w:rsidRDefault="00FA7EBF" w:rsidP="00D542CE">
            <w:pPr>
              <w:pStyle w:val="ARfintablebodybold"/>
              <w:spacing w:before="20" w:after="0"/>
              <w:rPr>
                <w:lang w:eastAsia="en-AU"/>
              </w:rPr>
            </w:pPr>
            <w:r w:rsidRPr="004617A3">
              <w:t>Administered</w:t>
            </w:r>
          </w:p>
        </w:tc>
      </w:tr>
      <w:tr w:rsidR="00FA7EBF" w:rsidRPr="007939DD" w14:paraId="69E63705" w14:textId="77777777" w:rsidTr="007B207C">
        <w:trPr>
          <w:cantSplit/>
        </w:trPr>
        <w:tc>
          <w:tcPr>
            <w:tcW w:w="3648" w:type="dxa"/>
            <w:tcBorders>
              <w:top w:val="single" w:sz="4" w:space="0" w:color="A6A6A6" w:themeColor="background1" w:themeShade="A6"/>
            </w:tcBorders>
          </w:tcPr>
          <w:p w14:paraId="1833F8ED" w14:textId="77777777" w:rsidR="00FA7EBF" w:rsidRPr="007939DD" w:rsidRDefault="00FA7EBF" w:rsidP="00D542CE">
            <w:pPr>
              <w:pStyle w:val="ARfintablebody"/>
              <w:spacing w:before="20" w:after="0"/>
              <w:rPr>
                <w:lang w:eastAsia="en-AU"/>
              </w:rPr>
            </w:pPr>
            <w:r w:rsidRPr="004617A3">
              <w:t>Payments made on behalf of the state</w:t>
            </w:r>
          </w:p>
        </w:tc>
        <w:tc>
          <w:tcPr>
            <w:tcW w:w="1017" w:type="dxa"/>
            <w:tcBorders>
              <w:top w:val="single" w:sz="4" w:space="0" w:color="A6A6A6" w:themeColor="background1" w:themeShade="A6"/>
            </w:tcBorders>
          </w:tcPr>
          <w:p w14:paraId="1CE14C94" w14:textId="77777777" w:rsidR="00FA7EBF" w:rsidRPr="007939DD" w:rsidRDefault="00FA7EBF" w:rsidP="00D542CE">
            <w:pPr>
              <w:pStyle w:val="ARfintablebodyright"/>
              <w:spacing w:before="20" w:after="0"/>
              <w:rPr>
                <w:lang w:eastAsia="en-AU"/>
              </w:rPr>
            </w:pPr>
            <w:r w:rsidRPr="004617A3">
              <w:t>62.3</w:t>
            </w:r>
          </w:p>
        </w:tc>
        <w:tc>
          <w:tcPr>
            <w:tcW w:w="274" w:type="dxa"/>
            <w:tcBorders>
              <w:top w:val="single" w:sz="4" w:space="0" w:color="A6A6A6" w:themeColor="background1" w:themeShade="A6"/>
            </w:tcBorders>
            <w:tcMar>
              <w:right w:w="0" w:type="dxa"/>
            </w:tcMar>
          </w:tcPr>
          <w:p w14:paraId="0A439140" w14:textId="77777777" w:rsidR="00FA7EBF" w:rsidRPr="007939DD" w:rsidRDefault="00FA7EBF" w:rsidP="00D542CE">
            <w:pPr>
              <w:pStyle w:val="ARfintablebody"/>
              <w:spacing w:before="20" w:after="0"/>
              <w:rPr>
                <w:lang w:eastAsia="en-AU"/>
              </w:rPr>
            </w:pPr>
          </w:p>
        </w:tc>
        <w:tc>
          <w:tcPr>
            <w:tcW w:w="1017" w:type="dxa"/>
            <w:tcBorders>
              <w:top w:val="single" w:sz="4" w:space="0" w:color="A6A6A6" w:themeColor="background1" w:themeShade="A6"/>
            </w:tcBorders>
          </w:tcPr>
          <w:p w14:paraId="5D2802AA" w14:textId="77777777" w:rsidR="00FA7EBF" w:rsidRPr="007939DD" w:rsidRDefault="00FA7EBF" w:rsidP="00D542CE">
            <w:pPr>
              <w:pStyle w:val="ARfintablebodyright"/>
              <w:spacing w:before="20" w:after="0"/>
              <w:rPr>
                <w:lang w:eastAsia="en-AU"/>
              </w:rPr>
            </w:pPr>
            <w:r w:rsidRPr="004617A3">
              <w:t>–</w:t>
            </w:r>
          </w:p>
        </w:tc>
        <w:tc>
          <w:tcPr>
            <w:tcW w:w="1017" w:type="dxa"/>
            <w:tcBorders>
              <w:top w:val="single" w:sz="4" w:space="0" w:color="A6A6A6" w:themeColor="background1" w:themeShade="A6"/>
            </w:tcBorders>
          </w:tcPr>
          <w:p w14:paraId="62FB195C" w14:textId="77777777" w:rsidR="00FA7EBF" w:rsidRPr="007939DD" w:rsidRDefault="00FA7EBF" w:rsidP="00D542CE">
            <w:pPr>
              <w:pStyle w:val="ARfintablebodyright"/>
              <w:spacing w:before="20" w:after="0"/>
              <w:rPr>
                <w:lang w:eastAsia="en-AU"/>
              </w:rPr>
            </w:pPr>
            <w:r w:rsidRPr="004617A3">
              <w:t>–</w:t>
            </w:r>
          </w:p>
        </w:tc>
        <w:tc>
          <w:tcPr>
            <w:tcW w:w="1017" w:type="dxa"/>
            <w:tcBorders>
              <w:top w:val="single" w:sz="4" w:space="0" w:color="A6A6A6" w:themeColor="background1" w:themeShade="A6"/>
              <w:right w:val="nil"/>
            </w:tcBorders>
            <w:shd w:val="clear" w:color="auto" w:fill="E7E6E6"/>
          </w:tcPr>
          <w:p w14:paraId="5608C3F3" w14:textId="77777777" w:rsidR="00FA7EBF" w:rsidRPr="007939DD" w:rsidRDefault="00FA7EBF" w:rsidP="00D542CE">
            <w:pPr>
              <w:pStyle w:val="ARfintablebodyright"/>
              <w:spacing w:before="20" w:after="0"/>
              <w:rPr>
                <w:lang w:eastAsia="en-AU"/>
              </w:rPr>
            </w:pPr>
            <w:r w:rsidRPr="004617A3">
              <w:t>–</w:t>
            </w:r>
          </w:p>
        </w:tc>
        <w:tc>
          <w:tcPr>
            <w:tcW w:w="1017" w:type="dxa"/>
            <w:tcBorders>
              <w:top w:val="single" w:sz="4" w:space="0" w:color="A6A6A6" w:themeColor="background1" w:themeShade="A6"/>
              <w:left w:val="nil"/>
              <w:right w:val="nil"/>
            </w:tcBorders>
            <w:shd w:val="clear" w:color="auto" w:fill="E7E6E6"/>
          </w:tcPr>
          <w:p w14:paraId="29521FD7" w14:textId="77777777" w:rsidR="00FA7EBF" w:rsidRPr="007939DD" w:rsidRDefault="00FA7EBF" w:rsidP="00D542CE">
            <w:pPr>
              <w:pStyle w:val="ARfintablebodyright"/>
              <w:spacing w:before="20" w:after="0"/>
              <w:rPr>
                <w:lang w:eastAsia="en-AU"/>
              </w:rPr>
            </w:pPr>
            <w:r w:rsidRPr="004617A3">
              <w:t>–</w:t>
            </w:r>
          </w:p>
        </w:tc>
        <w:tc>
          <w:tcPr>
            <w:tcW w:w="1017" w:type="dxa"/>
            <w:tcBorders>
              <w:top w:val="single" w:sz="4" w:space="0" w:color="A6A6A6" w:themeColor="background1" w:themeShade="A6"/>
              <w:left w:val="nil"/>
              <w:right w:val="nil"/>
            </w:tcBorders>
            <w:shd w:val="clear" w:color="auto" w:fill="E7E6E6"/>
          </w:tcPr>
          <w:p w14:paraId="4E9C376C" w14:textId="77777777" w:rsidR="00FA7EBF" w:rsidRPr="007939DD" w:rsidRDefault="00FA7EBF" w:rsidP="00D542CE">
            <w:pPr>
              <w:pStyle w:val="ARfintablebodyright"/>
              <w:spacing w:before="20" w:after="0"/>
              <w:rPr>
                <w:lang w:eastAsia="en-AU"/>
              </w:rPr>
            </w:pPr>
            <w:r w:rsidRPr="004617A3">
              <w:t>–</w:t>
            </w:r>
          </w:p>
        </w:tc>
        <w:tc>
          <w:tcPr>
            <w:tcW w:w="1017" w:type="dxa"/>
            <w:tcBorders>
              <w:top w:val="single" w:sz="4" w:space="0" w:color="A6A6A6" w:themeColor="background1" w:themeShade="A6"/>
              <w:left w:val="nil"/>
            </w:tcBorders>
            <w:shd w:val="clear" w:color="auto" w:fill="E7E6E6"/>
          </w:tcPr>
          <w:p w14:paraId="5A070C8A" w14:textId="77777777" w:rsidR="00FA7EBF" w:rsidRPr="007939DD" w:rsidRDefault="00FA7EBF" w:rsidP="00D542CE">
            <w:pPr>
              <w:pStyle w:val="ARfintablebodyright"/>
              <w:spacing w:before="20" w:after="0"/>
              <w:rPr>
                <w:lang w:eastAsia="en-AU"/>
              </w:rPr>
            </w:pPr>
            <w:r w:rsidRPr="004617A3">
              <w:t>–</w:t>
            </w:r>
          </w:p>
        </w:tc>
        <w:tc>
          <w:tcPr>
            <w:tcW w:w="1012" w:type="dxa"/>
            <w:tcBorders>
              <w:top w:val="single" w:sz="4" w:space="0" w:color="A6A6A6" w:themeColor="background1" w:themeShade="A6"/>
            </w:tcBorders>
          </w:tcPr>
          <w:p w14:paraId="5B78EFF6" w14:textId="77777777" w:rsidR="00FA7EBF" w:rsidRPr="007939DD" w:rsidRDefault="00FA7EBF" w:rsidP="00D542CE">
            <w:pPr>
              <w:pStyle w:val="ARfintablebodyright"/>
              <w:spacing w:before="20" w:after="0"/>
              <w:rPr>
                <w:lang w:eastAsia="en-AU"/>
              </w:rPr>
            </w:pPr>
            <w:r w:rsidRPr="004617A3">
              <w:t>62.3</w:t>
            </w:r>
          </w:p>
        </w:tc>
        <w:tc>
          <w:tcPr>
            <w:tcW w:w="1012" w:type="dxa"/>
            <w:tcBorders>
              <w:top w:val="single" w:sz="4" w:space="0" w:color="A6A6A6" w:themeColor="background1" w:themeShade="A6"/>
            </w:tcBorders>
          </w:tcPr>
          <w:p w14:paraId="499A8470" w14:textId="77777777" w:rsidR="00FA7EBF" w:rsidRPr="007939DD" w:rsidRDefault="00FA7EBF" w:rsidP="00D542CE">
            <w:pPr>
              <w:pStyle w:val="ARfintablebodyright"/>
              <w:spacing w:before="20" w:after="0"/>
              <w:rPr>
                <w:lang w:eastAsia="en-AU"/>
              </w:rPr>
            </w:pPr>
            <w:r w:rsidRPr="004617A3">
              <w:t>62.3</w:t>
            </w:r>
          </w:p>
        </w:tc>
        <w:tc>
          <w:tcPr>
            <w:tcW w:w="1012" w:type="dxa"/>
            <w:tcBorders>
              <w:top w:val="single" w:sz="4" w:space="0" w:color="A6A6A6" w:themeColor="background1" w:themeShade="A6"/>
            </w:tcBorders>
          </w:tcPr>
          <w:p w14:paraId="47D78EE2" w14:textId="77777777" w:rsidR="00FA7EBF" w:rsidRPr="007939DD" w:rsidRDefault="00FA7EBF" w:rsidP="00D542CE">
            <w:pPr>
              <w:pStyle w:val="ARfintablebodyright"/>
              <w:spacing w:before="20" w:after="0"/>
              <w:rPr>
                <w:lang w:eastAsia="en-AU"/>
              </w:rPr>
            </w:pPr>
            <w:r w:rsidRPr="004617A3">
              <w:t>–</w:t>
            </w:r>
          </w:p>
        </w:tc>
        <w:tc>
          <w:tcPr>
            <w:tcW w:w="382" w:type="dxa"/>
            <w:tcBorders>
              <w:top w:val="single" w:sz="4" w:space="0" w:color="A6A6A6" w:themeColor="background1" w:themeShade="A6"/>
            </w:tcBorders>
            <w:tcMar>
              <w:right w:w="0" w:type="dxa"/>
            </w:tcMar>
          </w:tcPr>
          <w:p w14:paraId="339157E8" w14:textId="77777777" w:rsidR="00FA7EBF" w:rsidRPr="007939DD" w:rsidRDefault="00FA7EBF" w:rsidP="00D542CE">
            <w:pPr>
              <w:pStyle w:val="ARfintablebody"/>
              <w:spacing w:before="20" w:after="0"/>
              <w:rPr>
                <w:rStyle w:val="Superscript"/>
              </w:rPr>
            </w:pPr>
          </w:p>
        </w:tc>
      </w:tr>
      <w:tr w:rsidR="00FA7EBF" w:rsidRPr="007939DD" w14:paraId="4F026DCD" w14:textId="77777777" w:rsidTr="007B207C">
        <w:trPr>
          <w:cantSplit/>
        </w:trPr>
        <w:tc>
          <w:tcPr>
            <w:tcW w:w="3648" w:type="dxa"/>
          </w:tcPr>
          <w:p w14:paraId="3FD9AF8E" w14:textId="77777777" w:rsidR="00FA7EBF" w:rsidRPr="007939DD" w:rsidRDefault="00FA7EBF" w:rsidP="00D542CE">
            <w:pPr>
              <w:pStyle w:val="ARfintablebodybold"/>
              <w:spacing w:before="20" w:after="0"/>
              <w:rPr>
                <w:lang w:eastAsia="en-AU"/>
              </w:rPr>
            </w:pPr>
            <w:r w:rsidRPr="004617A3">
              <w:t>Total</w:t>
            </w:r>
          </w:p>
        </w:tc>
        <w:tc>
          <w:tcPr>
            <w:tcW w:w="1017" w:type="dxa"/>
          </w:tcPr>
          <w:p w14:paraId="1D30B447" w14:textId="77777777" w:rsidR="00FA7EBF" w:rsidRPr="007939DD" w:rsidRDefault="00FA7EBF" w:rsidP="00D542CE">
            <w:pPr>
              <w:pStyle w:val="ARfintablebodyrightbold"/>
              <w:spacing w:before="20" w:after="0"/>
              <w:rPr>
                <w:lang w:eastAsia="en-AU"/>
              </w:rPr>
            </w:pPr>
            <w:r w:rsidRPr="004617A3">
              <w:t>15,614.3</w:t>
            </w:r>
          </w:p>
        </w:tc>
        <w:tc>
          <w:tcPr>
            <w:tcW w:w="274" w:type="dxa"/>
            <w:tcMar>
              <w:right w:w="0" w:type="dxa"/>
            </w:tcMar>
          </w:tcPr>
          <w:p w14:paraId="7080CB87" w14:textId="77777777" w:rsidR="00FA7EBF" w:rsidRPr="006E4233" w:rsidRDefault="00FA7EBF" w:rsidP="00D542CE">
            <w:pPr>
              <w:pStyle w:val="ARfintablebody"/>
              <w:spacing w:before="20" w:after="0"/>
            </w:pPr>
          </w:p>
        </w:tc>
        <w:tc>
          <w:tcPr>
            <w:tcW w:w="1017" w:type="dxa"/>
          </w:tcPr>
          <w:p w14:paraId="180CDBAD" w14:textId="77777777" w:rsidR="00FA7EBF" w:rsidRPr="007939DD" w:rsidRDefault="00FA7EBF" w:rsidP="00D542CE">
            <w:pPr>
              <w:pStyle w:val="ARfintablebodyrightbold"/>
              <w:spacing w:before="20" w:after="0"/>
              <w:rPr>
                <w:lang w:eastAsia="en-AU"/>
              </w:rPr>
            </w:pPr>
            <w:r w:rsidRPr="004617A3">
              <w:t>505.6</w:t>
            </w:r>
          </w:p>
        </w:tc>
        <w:tc>
          <w:tcPr>
            <w:tcW w:w="1017" w:type="dxa"/>
          </w:tcPr>
          <w:p w14:paraId="40544966" w14:textId="77777777" w:rsidR="00FA7EBF" w:rsidRPr="007939DD" w:rsidRDefault="00FA7EBF" w:rsidP="00D542CE">
            <w:pPr>
              <w:pStyle w:val="ARfintablebodyrightbold"/>
              <w:spacing w:before="20" w:after="0"/>
              <w:rPr>
                <w:lang w:eastAsia="en-AU"/>
              </w:rPr>
            </w:pPr>
            <w:r w:rsidRPr="004617A3">
              <w:t>–</w:t>
            </w:r>
          </w:p>
        </w:tc>
        <w:tc>
          <w:tcPr>
            <w:tcW w:w="1017" w:type="dxa"/>
            <w:tcBorders>
              <w:right w:val="nil"/>
            </w:tcBorders>
            <w:shd w:val="clear" w:color="auto" w:fill="E7E6E6"/>
          </w:tcPr>
          <w:p w14:paraId="7C90A7D1" w14:textId="77777777" w:rsidR="00FA7EBF" w:rsidRPr="007939DD" w:rsidRDefault="00FA7EBF" w:rsidP="00D542CE">
            <w:pPr>
              <w:pStyle w:val="ARfintablebodyrightbold"/>
              <w:spacing w:before="20" w:after="0"/>
              <w:rPr>
                <w:lang w:eastAsia="en-AU"/>
              </w:rPr>
            </w:pPr>
            <w:r w:rsidRPr="004617A3">
              <w:t>1,010.3</w:t>
            </w:r>
          </w:p>
        </w:tc>
        <w:tc>
          <w:tcPr>
            <w:tcW w:w="1017" w:type="dxa"/>
            <w:tcBorders>
              <w:left w:val="nil"/>
              <w:right w:val="nil"/>
            </w:tcBorders>
            <w:shd w:val="clear" w:color="auto" w:fill="E7E6E6"/>
          </w:tcPr>
          <w:p w14:paraId="5482EDFE" w14:textId="77777777" w:rsidR="00FA7EBF" w:rsidRPr="007939DD" w:rsidRDefault="00FA7EBF" w:rsidP="00D542CE">
            <w:pPr>
              <w:pStyle w:val="ARfintablebodyrightbold"/>
              <w:spacing w:before="20" w:after="0"/>
              <w:rPr>
                <w:lang w:eastAsia="en-AU"/>
              </w:rPr>
            </w:pPr>
            <w:r w:rsidRPr="004617A3">
              <w:t>–</w:t>
            </w:r>
          </w:p>
        </w:tc>
        <w:tc>
          <w:tcPr>
            <w:tcW w:w="1017" w:type="dxa"/>
            <w:tcBorders>
              <w:left w:val="nil"/>
              <w:right w:val="nil"/>
            </w:tcBorders>
            <w:shd w:val="clear" w:color="auto" w:fill="E7E6E6"/>
          </w:tcPr>
          <w:p w14:paraId="3DF106DC" w14:textId="77777777" w:rsidR="00FA7EBF" w:rsidRPr="007939DD" w:rsidRDefault="00FA7EBF" w:rsidP="00D542CE">
            <w:pPr>
              <w:pStyle w:val="ARfintablebodyrightbold"/>
              <w:spacing w:before="20" w:after="0"/>
              <w:rPr>
                <w:lang w:eastAsia="en-AU"/>
              </w:rPr>
            </w:pPr>
            <w:r w:rsidRPr="004617A3">
              <w:t>54.4</w:t>
            </w:r>
          </w:p>
        </w:tc>
        <w:tc>
          <w:tcPr>
            <w:tcW w:w="1017" w:type="dxa"/>
            <w:tcBorders>
              <w:left w:val="nil"/>
            </w:tcBorders>
            <w:shd w:val="clear" w:color="auto" w:fill="E7E6E6"/>
          </w:tcPr>
          <w:p w14:paraId="62A0FABD" w14:textId="77777777" w:rsidR="00FA7EBF" w:rsidRPr="007939DD" w:rsidRDefault="00FA7EBF" w:rsidP="00D542CE">
            <w:pPr>
              <w:pStyle w:val="ARfintablebodyrightbold"/>
              <w:spacing w:before="20" w:after="0"/>
              <w:rPr>
                <w:lang w:eastAsia="en-AU"/>
              </w:rPr>
            </w:pPr>
            <w:r w:rsidRPr="004617A3">
              <w:t>–</w:t>
            </w:r>
          </w:p>
        </w:tc>
        <w:tc>
          <w:tcPr>
            <w:tcW w:w="1012" w:type="dxa"/>
          </w:tcPr>
          <w:p w14:paraId="54C0162D" w14:textId="77777777" w:rsidR="00FA7EBF" w:rsidRPr="007939DD" w:rsidRDefault="00FA7EBF" w:rsidP="00D542CE">
            <w:pPr>
              <w:pStyle w:val="ARfintablebodyrightbold"/>
              <w:spacing w:before="20" w:after="0"/>
              <w:rPr>
                <w:lang w:eastAsia="en-AU"/>
              </w:rPr>
            </w:pPr>
            <w:r w:rsidRPr="004617A3">
              <w:t>17,184.5</w:t>
            </w:r>
          </w:p>
        </w:tc>
        <w:tc>
          <w:tcPr>
            <w:tcW w:w="1012" w:type="dxa"/>
          </w:tcPr>
          <w:p w14:paraId="681F9D4E" w14:textId="77777777" w:rsidR="00FA7EBF" w:rsidRPr="007939DD" w:rsidRDefault="00FA7EBF" w:rsidP="00D542CE">
            <w:pPr>
              <w:pStyle w:val="ARfintablebodyrightbold"/>
              <w:spacing w:before="20" w:after="0"/>
              <w:rPr>
                <w:lang w:eastAsia="en-AU"/>
              </w:rPr>
            </w:pPr>
            <w:r w:rsidRPr="004617A3">
              <w:t>16,404.4</w:t>
            </w:r>
          </w:p>
        </w:tc>
        <w:tc>
          <w:tcPr>
            <w:tcW w:w="1012" w:type="dxa"/>
          </w:tcPr>
          <w:p w14:paraId="1FE294D3" w14:textId="77777777" w:rsidR="00FA7EBF" w:rsidRPr="007939DD" w:rsidRDefault="00FA7EBF" w:rsidP="00D542CE">
            <w:pPr>
              <w:pStyle w:val="ARfintablebodyrightbold"/>
              <w:spacing w:before="20" w:after="0"/>
              <w:rPr>
                <w:lang w:eastAsia="en-AU"/>
              </w:rPr>
            </w:pPr>
            <w:r w:rsidRPr="004617A3">
              <w:t>780.1</w:t>
            </w:r>
          </w:p>
        </w:tc>
        <w:tc>
          <w:tcPr>
            <w:tcW w:w="382" w:type="dxa"/>
            <w:tcMar>
              <w:right w:w="0" w:type="dxa"/>
            </w:tcMar>
          </w:tcPr>
          <w:p w14:paraId="5274342C" w14:textId="77777777" w:rsidR="00FA7EBF" w:rsidRPr="007939DD" w:rsidRDefault="00FA7EBF" w:rsidP="00D542CE">
            <w:pPr>
              <w:pStyle w:val="ARfintablebodybold"/>
              <w:spacing w:before="20" w:after="0"/>
              <w:rPr>
                <w:rStyle w:val="Strong"/>
              </w:rPr>
            </w:pPr>
          </w:p>
        </w:tc>
      </w:tr>
      <w:tr w:rsidR="00FA7EBF" w:rsidRPr="007939DD" w14:paraId="1778138F" w14:textId="77777777" w:rsidTr="007B207C">
        <w:trPr>
          <w:cantSplit/>
        </w:trPr>
        <w:tc>
          <w:tcPr>
            <w:tcW w:w="14459" w:type="dxa"/>
            <w:gridSpan w:val="13"/>
          </w:tcPr>
          <w:p w14:paraId="2B3B27F1" w14:textId="77777777" w:rsidR="00FA7EBF" w:rsidRPr="007939DD" w:rsidRDefault="00FA7EBF" w:rsidP="00D542CE">
            <w:pPr>
              <w:pStyle w:val="ARfintablebodybold"/>
              <w:spacing w:before="20" w:after="0"/>
              <w:rPr>
                <w:lang w:eastAsia="en-AU"/>
              </w:rPr>
            </w:pPr>
            <w:r w:rsidRPr="004617A3">
              <w:t>2018</w:t>
            </w:r>
          </w:p>
        </w:tc>
      </w:tr>
      <w:tr w:rsidR="00FA7EBF" w:rsidRPr="007939DD" w14:paraId="46B17B0A" w14:textId="77777777" w:rsidTr="007B207C">
        <w:trPr>
          <w:cantSplit/>
        </w:trPr>
        <w:tc>
          <w:tcPr>
            <w:tcW w:w="14459" w:type="dxa"/>
            <w:gridSpan w:val="13"/>
            <w:tcBorders>
              <w:bottom w:val="single" w:sz="4" w:space="0" w:color="A6A6A6" w:themeColor="background1" w:themeShade="A6"/>
            </w:tcBorders>
          </w:tcPr>
          <w:p w14:paraId="7493019B" w14:textId="77777777" w:rsidR="00FA7EBF" w:rsidRPr="007939DD" w:rsidRDefault="00FA7EBF" w:rsidP="00D542CE">
            <w:pPr>
              <w:pStyle w:val="ARfintablebodybold"/>
              <w:spacing w:before="20" w:after="0"/>
              <w:rPr>
                <w:lang w:eastAsia="en-AU"/>
              </w:rPr>
            </w:pPr>
            <w:r w:rsidRPr="004617A3">
              <w:t>Controlled</w:t>
            </w:r>
          </w:p>
        </w:tc>
      </w:tr>
      <w:tr w:rsidR="00FA7EBF" w:rsidRPr="007939DD" w14:paraId="06144033" w14:textId="77777777" w:rsidTr="007B207C">
        <w:trPr>
          <w:cantSplit/>
        </w:trPr>
        <w:tc>
          <w:tcPr>
            <w:tcW w:w="3648" w:type="dxa"/>
            <w:tcBorders>
              <w:top w:val="single" w:sz="4" w:space="0" w:color="A6A6A6" w:themeColor="background1" w:themeShade="A6"/>
              <w:bottom w:val="single" w:sz="4" w:space="0" w:color="A6A6A6" w:themeColor="background1" w:themeShade="A6"/>
            </w:tcBorders>
          </w:tcPr>
          <w:p w14:paraId="21C9FF7C" w14:textId="77777777" w:rsidR="00FA7EBF" w:rsidRPr="007939DD" w:rsidRDefault="00FA7EBF" w:rsidP="00D542CE">
            <w:pPr>
              <w:pStyle w:val="ARfintablebody"/>
              <w:spacing w:before="20" w:after="0"/>
              <w:rPr>
                <w:lang w:eastAsia="en-AU"/>
              </w:rPr>
            </w:pPr>
            <w:r w:rsidRPr="004617A3">
              <w:t>Provision of outputs</w:t>
            </w:r>
          </w:p>
        </w:tc>
        <w:tc>
          <w:tcPr>
            <w:tcW w:w="1017" w:type="dxa"/>
            <w:tcBorders>
              <w:top w:val="single" w:sz="4" w:space="0" w:color="A6A6A6" w:themeColor="background1" w:themeShade="A6"/>
              <w:bottom w:val="single" w:sz="4" w:space="0" w:color="A6A6A6" w:themeColor="background1" w:themeShade="A6"/>
            </w:tcBorders>
          </w:tcPr>
          <w:p w14:paraId="5D5AEB26" w14:textId="77777777" w:rsidR="00FA7EBF" w:rsidRPr="007939DD" w:rsidRDefault="00FA7EBF" w:rsidP="00D542CE">
            <w:pPr>
              <w:pStyle w:val="ARfintablebodyright"/>
              <w:spacing w:before="20" w:after="0"/>
              <w:rPr>
                <w:lang w:eastAsia="en-AU"/>
              </w:rPr>
            </w:pPr>
            <w:r w:rsidRPr="004617A3">
              <w:t>14,086.5</w:t>
            </w:r>
          </w:p>
        </w:tc>
        <w:tc>
          <w:tcPr>
            <w:tcW w:w="274" w:type="dxa"/>
            <w:tcBorders>
              <w:top w:val="single" w:sz="4" w:space="0" w:color="A6A6A6" w:themeColor="background1" w:themeShade="A6"/>
              <w:bottom w:val="single" w:sz="4" w:space="0" w:color="A6A6A6" w:themeColor="background1" w:themeShade="A6"/>
            </w:tcBorders>
            <w:tcMar>
              <w:right w:w="0" w:type="dxa"/>
            </w:tcMar>
          </w:tcPr>
          <w:p w14:paraId="03FBE601" w14:textId="77777777" w:rsidR="00FA7EBF" w:rsidRPr="007939DD" w:rsidRDefault="00FA7EBF" w:rsidP="00D542CE">
            <w:pPr>
              <w:pStyle w:val="ARfintablebody"/>
              <w:spacing w:before="20" w:after="0"/>
              <w:rPr>
                <w:lang w:eastAsia="en-AU"/>
              </w:rPr>
            </w:pPr>
          </w:p>
        </w:tc>
        <w:tc>
          <w:tcPr>
            <w:tcW w:w="1017" w:type="dxa"/>
            <w:tcBorders>
              <w:top w:val="single" w:sz="4" w:space="0" w:color="A6A6A6" w:themeColor="background1" w:themeShade="A6"/>
              <w:bottom w:val="single" w:sz="4" w:space="0" w:color="A6A6A6" w:themeColor="background1" w:themeShade="A6"/>
            </w:tcBorders>
          </w:tcPr>
          <w:p w14:paraId="71B355A1" w14:textId="77777777" w:rsidR="00FA7EBF" w:rsidRPr="007939DD" w:rsidRDefault="00FA7EBF" w:rsidP="00D542CE">
            <w:pPr>
              <w:pStyle w:val="ARfintablebodyright"/>
              <w:spacing w:before="20" w:after="0"/>
              <w:rPr>
                <w:lang w:eastAsia="en-AU"/>
              </w:rPr>
            </w:pPr>
            <w:r w:rsidRPr="004617A3">
              <w:t>458.3</w:t>
            </w:r>
          </w:p>
        </w:tc>
        <w:tc>
          <w:tcPr>
            <w:tcW w:w="1017" w:type="dxa"/>
            <w:tcBorders>
              <w:top w:val="single" w:sz="4" w:space="0" w:color="A6A6A6" w:themeColor="background1" w:themeShade="A6"/>
              <w:bottom w:val="single" w:sz="4" w:space="0" w:color="A6A6A6" w:themeColor="background1" w:themeShade="A6"/>
            </w:tcBorders>
          </w:tcPr>
          <w:p w14:paraId="07E8F435" w14:textId="77777777" w:rsidR="00FA7EBF" w:rsidRPr="007939DD" w:rsidRDefault="00FA7EBF" w:rsidP="00D542CE">
            <w:pPr>
              <w:pStyle w:val="ARfintablebodyright"/>
              <w:spacing w:before="20" w:after="0"/>
              <w:rPr>
                <w:lang w:eastAsia="en-AU"/>
              </w:rPr>
            </w:pPr>
            <w:r w:rsidRPr="004617A3">
              <w:t>–</w:t>
            </w:r>
          </w:p>
        </w:tc>
        <w:tc>
          <w:tcPr>
            <w:tcW w:w="1017" w:type="dxa"/>
            <w:tcBorders>
              <w:top w:val="single" w:sz="4" w:space="0" w:color="A6A6A6" w:themeColor="background1" w:themeShade="A6"/>
              <w:bottom w:val="single" w:sz="4" w:space="0" w:color="A6A6A6" w:themeColor="background1" w:themeShade="A6"/>
              <w:right w:val="nil"/>
            </w:tcBorders>
            <w:shd w:val="clear" w:color="auto" w:fill="E7E6E6"/>
          </w:tcPr>
          <w:p w14:paraId="0EED4C54" w14:textId="77777777" w:rsidR="00FA7EBF" w:rsidRPr="007939DD" w:rsidRDefault="00FA7EBF" w:rsidP="00D542CE">
            <w:pPr>
              <w:pStyle w:val="ARfintablebodyright"/>
              <w:spacing w:before="20" w:after="0"/>
              <w:rPr>
                <w:lang w:eastAsia="en-AU"/>
              </w:rPr>
            </w:pPr>
            <w:r w:rsidRPr="004617A3">
              <w:t>664.1</w:t>
            </w:r>
          </w:p>
        </w:tc>
        <w:tc>
          <w:tcPr>
            <w:tcW w:w="1017" w:type="dxa"/>
            <w:tcBorders>
              <w:top w:val="single" w:sz="4" w:space="0" w:color="A6A6A6" w:themeColor="background1" w:themeShade="A6"/>
              <w:left w:val="nil"/>
              <w:bottom w:val="single" w:sz="4" w:space="0" w:color="A6A6A6" w:themeColor="background1" w:themeShade="A6"/>
              <w:right w:val="nil"/>
            </w:tcBorders>
            <w:shd w:val="clear" w:color="auto" w:fill="E7E6E6"/>
          </w:tcPr>
          <w:p w14:paraId="4095F966" w14:textId="77777777" w:rsidR="00FA7EBF" w:rsidRPr="007939DD" w:rsidRDefault="00FA7EBF" w:rsidP="00D542CE">
            <w:pPr>
              <w:pStyle w:val="ARfintablebodyright"/>
              <w:spacing w:before="20" w:after="0"/>
              <w:rPr>
                <w:lang w:eastAsia="en-AU"/>
              </w:rPr>
            </w:pPr>
            <w:r w:rsidRPr="004617A3">
              <w:t>36.7</w:t>
            </w:r>
          </w:p>
        </w:tc>
        <w:tc>
          <w:tcPr>
            <w:tcW w:w="1017" w:type="dxa"/>
            <w:tcBorders>
              <w:top w:val="single" w:sz="4" w:space="0" w:color="A6A6A6" w:themeColor="background1" w:themeShade="A6"/>
              <w:left w:val="nil"/>
              <w:bottom w:val="single" w:sz="4" w:space="0" w:color="A6A6A6" w:themeColor="background1" w:themeShade="A6"/>
              <w:right w:val="nil"/>
            </w:tcBorders>
            <w:shd w:val="clear" w:color="auto" w:fill="E7E6E6"/>
          </w:tcPr>
          <w:p w14:paraId="548D9173" w14:textId="77777777" w:rsidR="00FA7EBF" w:rsidRPr="007939DD" w:rsidRDefault="00FA7EBF" w:rsidP="00D542CE">
            <w:pPr>
              <w:pStyle w:val="ARfintablebodyright"/>
              <w:spacing w:before="20" w:after="0"/>
              <w:rPr>
                <w:lang w:eastAsia="en-AU"/>
              </w:rPr>
            </w:pPr>
            <w:r w:rsidRPr="004617A3">
              <w:t>108.8</w:t>
            </w:r>
          </w:p>
        </w:tc>
        <w:tc>
          <w:tcPr>
            <w:tcW w:w="1017" w:type="dxa"/>
            <w:tcBorders>
              <w:top w:val="single" w:sz="4" w:space="0" w:color="A6A6A6" w:themeColor="background1" w:themeShade="A6"/>
              <w:left w:val="nil"/>
              <w:bottom w:val="single" w:sz="4" w:space="0" w:color="A6A6A6" w:themeColor="background1" w:themeShade="A6"/>
            </w:tcBorders>
            <w:shd w:val="clear" w:color="auto" w:fill="E7E6E6"/>
          </w:tcPr>
          <w:p w14:paraId="5611C8FC" w14:textId="77777777" w:rsidR="00FA7EBF" w:rsidRPr="007939DD" w:rsidRDefault="00FA7EBF" w:rsidP="00D542CE">
            <w:pPr>
              <w:pStyle w:val="ARfintablebodyright"/>
              <w:spacing w:before="20" w:after="0"/>
              <w:rPr>
                <w:lang w:eastAsia="en-AU"/>
              </w:rPr>
            </w:pPr>
            <w:r w:rsidRPr="004617A3">
              <w:t>–</w:t>
            </w:r>
          </w:p>
        </w:tc>
        <w:tc>
          <w:tcPr>
            <w:tcW w:w="1012" w:type="dxa"/>
            <w:tcBorders>
              <w:top w:val="single" w:sz="4" w:space="0" w:color="A6A6A6" w:themeColor="background1" w:themeShade="A6"/>
              <w:bottom w:val="single" w:sz="4" w:space="0" w:color="A6A6A6" w:themeColor="background1" w:themeShade="A6"/>
            </w:tcBorders>
          </w:tcPr>
          <w:p w14:paraId="03584E15" w14:textId="77777777" w:rsidR="00FA7EBF" w:rsidRPr="007939DD" w:rsidRDefault="00FA7EBF" w:rsidP="00D542CE">
            <w:pPr>
              <w:pStyle w:val="ARfintablebodyright"/>
              <w:spacing w:before="20" w:after="0"/>
              <w:rPr>
                <w:lang w:eastAsia="en-AU"/>
              </w:rPr>
            </w:pPr>
            <w:r w:rsidRPr="004617A3">
              <w:t>15,354.4</w:t>
            </w:r>
          </w:p>
        </w:tc>
        <w:tc>
          <w:tcPr>
            <w:tcW w:w="1012" w:type="dxa"/>
            <w:tcBorders>
              <w:top w:val="single" w:sz="4" w:space="0" w:color="A6A6A6" w:themeColor="background1" w:themeShade="A6"/>
              <w:bottom w:val="single" w:sz="4" w:space="0" w:color="A6A6A6" w:themeColor="background1" w:themeShade="A6"/>
            </w:tcBorders>
          </w:tcPr>
          <w:p w14:paraId="6DB829A2" w14:textId="77777777" w:rsidR="00FA7EBF" w:rsidRPr="007939DD" w:rsidRDefault="00FA7EBF" w:rsidP="00D542CE">
            <w:pPr>
              <w:pStyle w:val="ARfintablebodyright"/>
              <w:spacing w:before="20" w:after="0"/>
              <w:rPr>
                <w:lang w:eastAsia="en-AU"/>
              </w:rPr>
            </w:pPr>
            <w:r w:rsidRPr="004617A3">
              <w:t>15,013.3</w:t>
            </w:r>
          </w:p>
        </w:tc>
        <w:tc>
          <w:tcPr>
            <w:tcW w:w="1012" w:type="dxa"/>
            <w:tcBorders>
              <w:top w:val="single" w:sz="4" w:space="0" w:color="A6A6A6" w:themeColor="background1" w:themeShade="A6"/>
              <w:bottom w:val="single" w:sz="4" w:space="0" w:color="A6A6A6" w:themeColor="background1" w:themeShade="A6"/>
            </w:tcBorders>
          </w:tcPr>
          <w:p w14:paraId="4D2219EC" w14:textId="77777777" w:rsidR="00FA7EBF" w:rsidRPr="007939DD" w:rsidRDefault="00FA7EBF" w:rsidP="00D542CE">
            <w:pPr>
              <w:pStyle w:val="ARfintablebodyright"/>
              <w:spacing w:before="20" w:after="0"/>
              <w:rPr>
                <w:lang w:eastAsia="en-AU"/>
              </w:rPr>
            </w:pPr>
            <w:r w:rsidRPr="004617A3">
              <w:t>341.1</w:t>
            </w:r>
          </w:p>
        </w:tc>
        <w:tc>
          <w:tcPr>
            <w:tcW w:w="382" w:type="dxa"/>
            <w:tcBorders>
              <w:top w:val="single" w:sz="4" w:space="0" w:color="A6A6A6" w:themeColor="background1" w:themeShade="A6"/>
              <w:bottom w:val="single" w:sz="4" w:space="0" w:color="A6A6A6" w:themeColor="background1" w:themeShade="A6"/>
            </w:tcBorders>
            <w:tcMar>
              <w:right w:w="0" w:type="dxa"/>
            </w:tcMar>
          </w:tcPr>
          <w:p w14:paraId="30494621" w14:textId="77777777" w:rsidR="00FA7EBF" w:rsidRPr="00CD316B" w:rsidRDefault="00FA7EBF" w:rsidP="00D542CE">
            <w:pPr>
              <w:pStyle w:val="ARfintablebody"/>
              <w:spacing w:before="20" w:after="0"/>
              <w:rPr>
                <w:rStyle w:val="Superscript"/>
              </w:rPr>
            </w:pPr>
            <w:r w:rsidRPr="00CD316B">
              <w:rPr>
                <w:rStyle w:val="Superscript"/>
              </w:rPr>
              <w:t>(vii)</w:t>
            </w:r>
          </w:p>
        </w:tc>
      </w:tr>
      <w:tr w:rsidR="00FA7EBF" w:rsidRPr="007939DD" w14:paraId="6DBB9819" w14:textId="77777777" w:rsidTr="007B207C">
        <w:trPr>
          <w:cantSplit/>
        </w:trPr>
        <w:tc>
          <w:tcPr>
            <w:tcW w:w="3648" w:type="dxa"/>
            <w:tcBorders>
              <w:top w:val="single" w:sz="4" w:space="0" w:color="A6A6A6" w:themeColor="background1" w:themeShade="A6"/>
              <w:bottom w:val="single" w:sz="4" w:space="0" w:color="A6A6A6" w:themeColor="background1" w:themeShade="A6"/>
            </w:tcBorders>
          </w:tcPr>
          <w:p w14:paraId="51EFA0B2" w14:textId="77777777" w:rsidR="00FA7EBF" w:rsidRPr="007939DD" w:rsidRDefault="00FA7EBF" w:rsidP="00D542CE">
            <w:pPr>
              <w:pStyle w:val="ARfintablebody"/>
              <w:spacing w:before="20" w:after="0"/>
              <w:rPr>
                <w:lang w:eastAsia="en-AU"/>
              </w:rPr>
            </w:pPr>
            <w:r w:rsidRPr="004617A3">
              <w:t>Additions to net assets</w:t>
            </w:r>
          </w:p>
        </w:tc>
        <w:tc>
          <w:tcPr>
            <w:tcW w:w="1017" w:type="dxa"/>
            <w:tcBorders>
              <w:top w:val="single" w:sz="4" w:space="0" w:color="A6A6A6" w:themeColor="background1" w:themeShade="A6"/>
              <w:bottom w:val="single" w:sz="4" w:space="0" w:color="A6A6A6" w:themeColor="background1" w:themeShade="A6"/>
            </w:tcBorders>
          </w:tcPr>
          <w:p w14:paraId="70F4A108" w14:textId="77777777" w:rsidR="00FA7EBF" w:rsidRPr="007939DD" w:rsidRDefault="00FA7EBF" w:rsidP="00D542CE">
            <w:pPr>
              <w:pStyle w:val="ARfintablebodyright"/>
              <w:spacing w:before="20" w:after="0"/>
              <w:rPr>
                <w:lang w:eastAsia="en-AU"/>
              </w:rPr>
            </w:pPr>
            <w:r w:rsidRPr="004617A3">
              <w:t>450.9</w:t>
            </w:r>
          </w:p>
        </w:tc>
        <w:tc>
          <w:tcPr>
            <w:tcW w:w="274" w:type="dxa"/>
            <w:tcBorders>
              <w:top w:val="single" w:sz="4" w:space="0" w:color="A6A6A6" w:themeColor="background1" w:themeShade="A6"/>
              <w:bottom w:val="single" w:sz="4" w:space="0" w:color="A6A6A6" w:themeColor="background1" w:themeShade="A6"/>
            </w:tcBorders>
            <w:tcMar>
              <w:right w:w="0" w:type="dxa"/>
            </w:tcMar>
          </w:tcPr>
          <w:p w14:paraId="73D29DF9" w14:textId="77777777" w:rsidR="00FA7EBF" w:rsidRPr="007939DD" w:rsidRDefault="00FA7EBF" w:rsidP="00D542CE">
            <w:pPr>
              <w:pStyle w:val="ARfintablebody"/>
              <w:spacing w:before="20" w:after="0"/>
              <w:rPr>
                <w:lang w:eastAsia="en-AU"/>
              </w:rPr>
            </w:pPr>
          </w:p>
        </w:tc>
        <w:tc>
          <w:tcPr>
            <w:tcW w:w="1017" w:type="dxa"/>
            <w:tcBorders>
              <w:top w:val="single" w:sz="4" w:space="0" w:color="A6A6A6" w:themeColor="background1" w:themeShade="A6"/>
              <w:bottom w:val="single" w:sz="4" w:space="0" w:color="A6A6A6" w:themeColor="background1" w:themeShade="A6"/>
            </w:tcBorders>
          </w:tcPr>
          <w:p w14:paraId="72035336" w14:textId="77777777" w:rsidR="00FA7EBF" w:rsidRPr="007939DD" w:rsidRDefault="00FA7EBF" w:rsidP="00D542CE">
            <w:pPr>
              <w:pStyle w:val="ARfintablebodyright"/>
              <w:spacing w:before="20" w:after="0"/>
              <w:rPr>
                <w:lang w:eastAsia="en-AU"/>
              </w:rPr>
            </w:pPr>
            <w:r w:rsidRPr="004617A3">
              <w:t>19.9</w:t>
            </w:r>
          </w:p>
        </w:tc>
        <w:tc>
          <w:tcPr>
            <w:tcW w:w="1017" w:type="dxa"/>
            <w:tcBorders>
              <w:top w:val="single" w:sz="4" w:space="0" w:color="A6A6A6" w:themeColor="background1" w:themeShade="A6"/>
              <w:bottom w:val="single" w:sz="4" w:space="0" w:color="A6A6A6" w:themeColor="background1" w:themeShade="A6"/>
            </w:tcBorders>
          </w:tcPr>
          <w:p w14:paraId="049C4544" w14:textId="77777777" w:rsidR="00FA7EBF" w:rsidRPr="007939DD" w:rsidRDefault="00FA7EBF" w:rsidP="00D542CE">
            <w:pPr>
              <w:pStyle w:val="ARfintablebodyright"/>
              <w:spacing w:before="20" w:after="0"/>
              <w:rPr>
                <w:lang w:eastAsia="en-AU"/>
              </w:rPr>
            </w:pPr>
            <w:r w:rsidRPr="004617A3">
              <w:t>–</w:t>
            </w:r>
          </w:p>
        </w:tc>
        <w:tc>
          <w:tcPr>
            <w:tcW w:w="1017" w:type="dxa"/>
            <w:tcBorders>
              <w:top w:val="single" w:sz="4" w:space="0" w:color="A6A6A6" w:themeColor="background1" w:themeShade="A6"/>
              <w:bottom w:val="single" w:sz="4" w:space="0" w:color="A6A6A6" w:themeColor="background1" w:themeShade="A6"/>
              <w:right w:val="nil"/>
            </w:tcBorders>
            <w:shd w:val="clear" w:color="auto" w:fill="E7E6E6"/>
          </w:tcPr>
          <w:p w14:paraId="7A1A04E9" w14:textId="77777777" w:rsidR="00FA7EBF" w:rsidRPr="007939DD" w:rsidRDefault="00FA7EBF" w:rsidP="00D542CE">
            <w:pPr>
              <w:pStyle w:val="ARfintablebodyright"/>
              <w:spacing w:before="20" w:after="0"/>
              <w:rPr>
                <w:lang w:eastAsia="en-AU"/>
              </w:rPr>
            </w:pPr>
            <w:r w:rsidRPr="004617A3">
              <w:t>8.2</w:t>
            </w:r>
          </w:p>
        </w:tc>
        <w:tc>
          <w:tcPr>
            <w:tcW w:w="1017" w:type="dxa"/>
            <w:tcBorders>
              <w:top w:val="single" w:sz="4" w:space="0" w:color="A6A6A6" w:themeColor="background1" w:themeShade="A6"/>
              <w:left w:val="nil"/>
              <w:bottom w:val="single" w:sz="4" w:space="0" w:color="A6A6A6" w:themeColor="background1" w:themeShade="A6"/>
              <w:right w:val="nil"/>
            </w:tcBorders>
            <w:shd w:val="clear" w:color="auto" w:fill="E7E6E6"/>
          </w:tcPr>
          <w:p w14:paraId="533B5C39" w14:textId="77777777" w:rsidR="00FA7EBF" w:rsidRPr="007939DD" w:rsidRDefault="00FA7EBF" w:rsidP="00D542CE">
            <w:pPr>
              <w:pStyle w:val="ARfintablebodyright"/>
              <w:spacing w:before="20" w:after="0"/>
              <w:rPr>
                <w:lang w:eastAsia="en-AU"/>
              </w:rPr>
            </w:pPr>
            <w:r w:rsidRPr="004617A3">
              <w:t>(36.7)</w:t>
            </w:r>
          </w:p>
        </w:tc>
        <w:tc>
          <w:tcPr>
            <w:tcW w:w="1017" w:type="dxa"/>
            <w:tcBorders>
              <w:top w:val="single" w:sz="4" w:space="0" w:color="A6A6A6" w:themeColor="background1" w:themeShade="A6"/>
              <w:left w:val="nil"/>
              <w:bottom w:val="single" w:sz="4" w:space="0" w:color="A6A6A6" w:themeColor="background1" w:themeShade="A6"/>
              <w:right w:val="nil"/>
            </w:tcBorders>
            <w:shd w:val="clear" w:color="auto" w:fill="E7E6E6"/>
          </w:tcPr>
          <w:p w14:paraId="274DE108" w14:textId="77777777" w:rsidR="00FA7EBF" w:rsidRPr="007939DD" w:rsidRDefault="00FA7EBF" w:rsidP="00D542CE">
            <w:pPr>
              <w:pStyle w:val="ARfintablebodyright"/>
              <w:spacing w:before="20" w:after="0"/>
              <w:rPr>
                <w:lang w:eastAsia="en-AU"/>
              </w:rPr>
            </w:pPr>
            <w:r w:rsidRPr="004617A3">
              <w:t>0.6</w:t>
            </w:r>
          </w:p>
        </w:tc>
        <w:tc>
          <w:tcPr>
            <w:tcW w:w="1017" w:type="dxa"/>
            <w:tcBorders>
              <w:top w:val="single" w:sz="4" w:space="0" w:color="A6A6A6" w:themeColor="background1" w:themeShade="A6"/>
              <w:left w:val="nil"/>
              <w:bottom w:val="single" w:sz="4" w:space="0" w:color="A6A6A6" w:themeColor="background1" w:themeShade="A6"/>
            </w:tcBorders>
            <w:shd w:val="clear" w:color="auto" w:fill="E7E6E6"/>
          </w:tcPr>
          <w:p w14:paraId="71BEC014" w14:textId="77777777" w:rsidR="00FA7EBF" w:rsidRPr="007939DD" w:rsidRDefault="00FA7EBF" w:rsidP="00D542CE">
            <w:pPr>
              <w:pStyle w:val="ARfintablebodyright"/>
              <w:spacing w:before="20" w:after="0"/>
              <w:rPr>
                <w:lang w:eastAsia="en-AU"/>
              </w:rPr>
            </w:pPr>
            <w:r w:rsidRPr="004617A3">
              <w:t>–</w:t>
            </w:r>
          </w:p>
        </w:tc>
        <w:tc>
          <w:tcPr>
            <w:tcW w:w="1012" w:type="dxa"/>
            <w:tcBorders>
              <w:top w:val="single" w:sz="4" w:space="0" w:color="A6A6A6" w:themeColor="background1" w:themeShade="A6"/>
              <w:bottom w:val="single" w:sz="4" w:space="0" w:color="A6A6A6" w:themeColor="background1" w:themeShade="A6"/>
            </w:tcBorders>
          </w:tcPr>
          <w:p w14:paraId="3DDBA6BE" w14:textId="77777777" w:rsidR="00FA7EBF" w:rsidRPr="007939DD" w:rsidRDefault="00FA7EBF" w:rsidP="00D542CE">
            <w:pPr>
              <w:pStyle w:val="ARfintablebodyright"/>
              <w:spacing w:before="20" w:after="0"/>
              <w:rPr>
                <w:lang w:eastAsia="en-AU"/>
              </w:rPr>
            </w:pPr>
            <w:r w:rsidRPr="004617A3">
              <w:t>443.0</w:t>
            </w:r>
          </w:p>
        </w:tc>
        <w:tc>
          <w:tcPr>
            <w:tcW w:w="1012" w:type="dxa"/>
            <w:tcBorders>
              <w:top w:val="single" w:sz="4" w:space="0" w:color="A6A6A6" w:themeColor="background1" w:themeShade="A6"/>
              <w:bottom w:val="single" w:sz="4" w:space="0" w:color="A6A6A6" w:themeColor="background1" w:themeShade="A6"/>
            </w:tcBorders>
          </w:tcPr>
          <w:p w14:paraId="2E989B05" w14:textId="77777777" w:rsidR="00FA7EBF" w:rsidRPr="007939DD" w:rsidRDefault="00FA7EBF" w:rsidP="00D542CE">
            <w:pPr>
              <w:pStyle w:val="ARfintablebodyright"/>
              <w:spacing w:before="20" w:after="0"/>
              <w:rPr>
                <w:lang w:eastAsia="en-AU"/>
              </w:rPr>
            </w:pPr>
            <w:r w:rsidRPr="004617A3">
              <w:t>255.3</w:t>
            </w:r>
          </w:p>
        </w:tc>
        <w:tc>
          <w:tcPr>
            <w:tcW w:w="1012" w:type="dxa"/>
            <w:tcBorders>
              <w:top w:val="single" w:sz="4" w:space="0" w:color="A6A6A6" w:themeColor="background1" w:themeShade="A6"/>
              <w:bottom w:val="single" w:sz="4" w:space="0" w:color="A6A6A6" w:themeColor="background1" w:themeShade="A6"/>
            </w:tcBorders>
          </w:tcPr>
          <w:p w14:paraId="2F7FDA0C" w14:textId="77777777" w:rsidR="00FA7EBF" w:rsidRPr="007939DD" w:rsidRDefault="00FA7EBF" w:rsidP="00D542CE">
            <w:pPr>
              <w:pStyle w:val="ARfintablebodyright"/>
              <w:spacing w:before="20" w:after="0"/>
              <w:rPr>
                <w:lang w:eastAsia="en-AU"/>
              </w:rPr>
            </w:pPr>
            <w:r w:rsidRPr="004617A3">
              <w:t>187.7</w:t>
            </w:r>
          </w:p>
        </w:tc>
        <w:tc>
          <w:tcPr>
            <w:tcW w:w="382" w:type="dxa"/>
            <w:tcBorders>
              <w:top w:val="single" w:sz="4" w:space="0" w:color="A6A6A6" w:themeColor="background1" w:themeShade="A6"/>
              <w:bottom w:val="single" w:sz="4" w:space="0" w:color="A6A6A6" w:themeColor="background1" w:themeShade="A6"/>
            </w:tcBorders>
            <w:tcMar>
              <w:right w:w="0" w:type="dxa"/>
            </w:tcMar>
          </w:tcPr>
          <w:p w14:paraId="56DCBFEC" w14:textId="77777777" w:rsidR="00FA7EBF" w:rsidRPr="00CD316B" w:rsidRDefault="00FA7EBF" w:rsidP="00D542CE">
            <w:pPr>
              <w:pStyle w:val="ARfintablebody"/>
              <w:spacing w:before="20" w:after="0"/>
              <w:rPr>
                <w:rStyle w:val="Superscript"/>
              </w:rPr>
            </w:pPr>
            <w:r w:rsidRPr="00CD316B">
              <w:rPr>
                <w:rStyle w:val="Superscript"/>
              </w:rPr>
              <w:t>(viii)</w:t>
            </w:r>
          </w:p>
        </w:tc>
      </w:tr>
      <w:tr w:rsidR="00FA7EBF" w:rsidRPr="007939DD" w14:paraId="7AD8CAF9" w14:textId="77777777" w:rsidTr="007B207C">
        <w:trPr>
          <w:cantSplit/>
        </w:trPr>
        <w:tc>
          <w:tcPr>
            <w:tcW w:w="14459" w:type="dxa"/>
            <w:gridSpan w:val="13"/>
            <w:tcBorders>
              <w:top w:val="single" w:sz="4" w:space="0" w:color="A6A6A6" w:themeColor="background1" w:themeShade="A6"/>
              <w:bottom w:val="single" w:sz="4" w:space="0" w:color="A6A6A6" w:themeColor="background1" w:themeShade="A6"/>
            </w:tcBorders>
          </w:tcPr>
          <w:p w14:paraId="50C6EF57" w14:textId="77777777" w:rsidR="00FA7EBF" w:rsidRPr="007939DD" w:rsidRDefault="00FA7EBF" w:rsidP="00D542CE">
            <w:pPr>
              <w:pStyle w:val="ARfintablebodybold"/>
              <w:spacing w:before="20" w:after="0"/>
              <w:rPr>
                <w:lang w:eastAsia="en-AU"/>
              </w:rPr>
            </w:pPr>
            <w:r w:rsidRPr="004617A3">
              <w:t>Administered</w:t>
            </w:r>
          </w:p>
        </w:tc>
      </w:tr>
      <w:tr w:rsidR="00FA7EBF" w:rsidRPr="007939DD" w14:paraId="2A933391" w14:textId="77777777" w:rsidTr="007B207C">
        <w:trPr>
          <w:cantSplit/>
        </w:trPr>
        <w:tc>
          <w:tcPr>
            <w:tcW w:w="3648" w:type="dxa"/>
            <w:tcBorders>
              <w:top w:val="single" w:sz="4" w:space="0" w:color="A6A6A6" w:themeColor="background1" w:themeShade="A6"/>
            </w:tcBorders>
          </w:tcPr>
          <w:p w14:paraId="69EFA1A6" w14:textId="77777777" w:rsidR="00FA7EBF" w:rsidRPr="007939DD" w:rsidRDefault="00FA7EBF" w:rsidP="00D542CE">
            <w:pPr>
              <w:pStyle w:val="ARfintablebody"/>
              <w:spacing w:before="20" w:after="0"/>
              <w:rPr>
                <w:lang w:eastAsia="en-AU"/>
              </w:rPr>
            </w:pPr>
            <w:r w:rsidRPr="004617A3">
              <w:t>Payments made on behalf of the state</w:t>
            </w:r>
          </w:p>
        </w:tc>
        <w:tc>
          <w:tcPr>
            <w:tcW w:w="1017" w:type="dxa"/>
            <w:tcBorders>
              <w:top w:val="single" w:sz="4" w:space="0" w:color="A6A6A6" w:themeColor="background1" w:themeShade="A6"/>
            </w:tcBorders>
          </w:tcPr>
          <w:p w14:paraId="29194C6D" w14:textId="77777777" w:rsidR="00FA7EBF" w:rsidRPr="007939DD" w:rsidRDefault="00FA7EBF" w:rsidP="00D542CE">
            <w:pPr>
              <w:pStyle w:val="ARfintablebodyright"/>
              <w:spacing w:before="20" w:after="0"/>
              <w:rPr>
                <w:lang w:eastAsia="en-AU"/>
              </w:rPr>
            </w:pPr>
            <w:r w:rsidRPr="004617A3">
              <w:t>61.0</w:t>
            </w:r>
          </w:p>
        </w:tc>
        <w:tc>
          <w:tcPr>
            <w:tcW w:w="274" w:type="dxa"/>
            <w:tcBorders>
              <w:top w:val="single" w:sz="4" w:space="0" w:color="A6A6A6" w:themeColor="background1" w:themeShade="A6"/>
            </w:tcBorders>
            <w:tcMar>
              <w:right w:w="0" w:type="dxa"/>
            </w:tcMar>
          </w:tcPr>
          <w:p w14:paraId="4A95B362" w14:textId="77777777" w:rsidR="00FA7EBF" w:rsidRPr="007939DD" w:rsidRDefault="00FA7EBF" w:rsidP="00D542CE">
            <w:pPr>
              <w:pStyle w:val="ARfintablebody"/>
              <w:spacing w:before="20" w:after="0"/>
              <w:rPr>
                <w:lang w:eastAsia="en-AU"/>
              </w:rPr>
            </w:pPr>
          </w:p>
        </w:tc>
        <w:tc>
          <w:tcPr>
            <w:tcW w:w="1017" w:type="dxa"/>
            <w:tcBorders>
              <w:top w:val="single" w:sz="4" w:space="0" w:color="A6A6A6" w:themeColor="background1" w:themeShade="A6"/>
            </w:tcBorders>
          </w:tcPr>
          <w:p w14:paraId="6C0FA2DF" w14:textId="77777777" w:rsidR="00FA7EBF" w:rsidRPr="007939DD" w:rsidRDefault="00FA7EBF" w:rsidP="00D542CE">
            <w:pPr>
              <w:pStyle w:val="ARfintablebodyright"/>
              <w:spacing w:before="20" w:after="0"/>
              <w:rPr>
                <w:lang w:eastAsia="en-AU"/>
              </w:rPr>
            </w:pPr>
            <w:r w:rsidRPr="004617A3">
              <w:t>–</w:t>
            </w:r>
          </w:p>
        </w:tc>
        <w:tc>
          <w:tcPr>
            <w:tcW w:w="1017" w:type="dxa"/>
            <w:tcBorders>
              <w:top w:val="single" w:sz="4" w:space="0" w:color="A6A6A6" w:themeColor="background1" w:themeShade="A6"/>
            </w:tcBorders>
          </w:tcPr>
          <w:p w14:paraId="2EE830E9" w14:textId="77777777" w:rsidR="00FA7EBF" w:rsidRPr="007939DD" w:rsidRDefault="00FA7EBF" w:rsidP="00D542CE">
            <w:pPr>
              <w:pStyle w:val="ARfintablebodyright"/>
              <w:spacing w:before="20" w:after="0"/>
              <w:rPr>
                <w:lang w:eastAsia="en-AU"/>
              </w:rPr>
            </w:pPr>
            <w:r w:rsidRPr="004617A3">
              <w:t>–</w:t>
            </w:r>
          </w:p>
        </w:tc>
        <w:tc>
          <w:tcPr>
            <w:tcW w:w="1017" w:type="dxa"/>
            <w:tcBorders>
              <w:top w:val="single" w:sz="4" w:space="0" w:color="A6A6A6" w:themeColor="background1" w:themeShade="A6"/>
              <w:right w:val="nil"/>
            </w:tcBorders>
            <w:shd w:val="clear" w:color="auto" w:fill="E7E6E6"/>
          </w:tcPr>
          <w:p w14:paraId="1CA923B4" w14:textId="77777777" w:rsidR="00FA7EBF" w:rsidRPr="007939DD" w:rsidRDefault="00FA7EBF" w:rsidP="00D542CE">
            <w:pPr>
              <w:pStyle w:val="ARfintablebodyright"/>
              <w:spacing w:before="20" w:after="0"/>
              <w:rPr>
                <w:lang w:eastAsia="en-AU"/>
              </w:rPr>
            </w:pPr>
            <w:r w:rsidRPr="004617A3">
              <w:t>–</w:t>
            </w:r>
          </w:p>
        </w:tc>
        <w:tc>
          <w:tcPr>
            <w:tcW w:w="1017" w:type="dxa"/>
            <w:tcBorders>
              <w:top w:val="single" w:sz="4" w:space="0" w:color="A6A6A6" w:themeColor="background1" w:themeShade="A6"/>
              <w:left w:val="nil"/>
              <w:right w:val="nil"/>
            </w:tcBorders>
            <w:shd w:val="clear" w:color="auto" w:fill="E7E6E6"/>
          </w:tcPr>
          <w:p w14:paraId="1FCB67B1" w14:textId="77777777" w:rsidR="00FA7EBF" w:rsidRPr="007939DD" w:rsidRDefault="00FA7EBF" w:rsidP="00D542CE">
            <w:pPr>
              <w:pStyle w:val="ARfintablebodyright"/>
              <w:spacing w:before="20" w:after="0"/>
              <w:rPr>
                <w:lang w:eastAsia="en-AU"/>
              </w:rPr>
            </w:pPr>
            <w:r w:rsidRPr="004617A3">
              <w:t>–</w:t>
            </w:r>
          </w:p>
        </w:tc>
        <w:tc>
          <w:tcPr>
            <w:tcW w:w="1017" w:type="dxa"/>
            <w:tcBorders>
              <w:top w:val="single" w:sz="4" w:space="0" w:color="A6A6A6" w:themeColor="background1" w:themeShade="A6"/>
              <w:left w:val="nil"/>
              <w:right w:val="nil"/>
            </w:tcBorders>
            <w:shd w:val="clear" w:color="auto" w:fill="E7E6E6"/>
          </w:tcPr>
          <w:p w14:paraId="5955A6B9" w14:textId="77777777" w:rsidR="00FA7EBF" w:rsidRPr="007939DD" w:rsidRDefault="00FA7EBF" w:rsidP="00D542CE">
            <w:pPr>
              <w:pStyle w:val="ARfintablebodyright"/>
              <w:spacing w:before="20" w:after="0"/>
              <w:rPr>
                <w:lang w:eastAsia="en-AU"/>
              </w:rPr>
            </w:pPr>
            <w:r w:rsidRPr="004617A3">
              <w:t>–</w:t>
            </w:r>
          </w:p>
        </w:tc>
        <w:tc>
          <w:tcPr>
            <w:tcW w:w="1017" w:type="dxa"/>
            <w:tcBorders>
              <w:top w:val="single" w:sz="4" w:space="0" w:color="A6A6A6" w:themeColor="background1" w:themeShade="A6"/>
              <w:left w:val="nil"/>
            </w:tcBorders>
            <w:shd w:val="clear" w:color="auto" w:fill="E7E6E6"/>
          </w:tcPr>
          <w:p w14:paraId="45E9F49A" w14:textId="77777777" w:rsidR="00FA7EBF" w:rsidRPr="007939DD" w:rsidRDefault="00FA7EBF" w:rsidP="00D542CE">
            <w:pPr>
              <w:pStyle w:val="ARfintablebodyright"/>
              <w:spacing w:before="20" w:after="0"/>
              <w:rPr>
                <w:lang w:eastAsia="en-AU"/>
              </w:rPr>
            </w:pPr>
            <w:r w:rsidRPr="004617A3">
              <w:t>–</w:t>
            </w:r>
          </w:p>
        </w:tc>
        <w:tc>
          <w:tcPr>
            <w:tcW w:w="1012" w:type="dxa"/>
            <w:tcBorders>
              <w:top w:val="single" w:sz="4" w:space="0" w:color="A6A6A6" w:themeColor="background1" w:themeShade="A6"/>
            </w:tcBorders>
          </w:tcPr>
          <w:p w14:paraId="3B599947" w14:textId="77777777" w:rsidR="00FA7EBF" w:rsidRPr="007939DD" w:rsidRDefault="00FA7EBF" w:rsidP="00D542CE">
            <w:pPr>
              <w:pStyle w:val="ARfintablebodyright"/>
              <w:spacing w:before="20" w:after="0"/>
              <w:rPr>
                <w:lang w:eastAsia="en-AU"/>
              </w:rPr>
            </w:pPr>
            <w:r w:rsidRPr="004617A3">
              <w:t>61.0</w:t>
            </w:r>
          </w:p>
        </w:tc>
        <w:tc>
          <w:tcPr>
            <w:tcW w:w="1012" w:type="dxa"/>
            <w:tcBorders>
              <w:top w:val="single" w:sz="4" w:space="0" w:color="A6A6A6" w:themeColor="background1" w:themeShade="A6"/>
            </w:tcBorders>
          </w:tcPr>
          <w:p w14:paraId="775A10C1" w14:textId="77777777" w:rsidR="00FA7EBF" w:rsidRPr="007939DD" w:rsidRDefault="00FA7EBF" w:rsidP="00D542CE">
            <w:pPr>
              <w:pStyle w:val="ARfintablebodyright"/>
              <w:spacing w:before="20" w:after="0"/>
              <w:rPr>
                <w:lang w:eastAsia="en-AU"/>
              </w:rPr>
            </w:pPr>
            <w:r w:rsidRPr="004617A3">
              <w:t>60.3</w:t>
            </w:r>
          </w:p>
        </w:tc>
        <w:tc>
          <w:tcPr>
            <w:tcW w:w="1012" w:type="dxa"/>
            <w:tcBorders>
              <w:top w:val="single" w:sz="4" w:space="0" w:color="A6A6A6" w:themeColor="background1" w:themeShade="A6"/>
            </w:tcBorders>
          </w:tcPr>
          <w:p w14:paraId="5541C5C1" w14:textId="77777777" w:rsidR="00FA7EBF" w:rsidRPr="007939DD" w:rsidRDefault="00FA7EBF" w:rsidP="00D542CE">
            <w:pPr>
              <w:pStyle w:val="ARfintablebodyright"/>
              <w:spacing w:before="20" w:after="0"/>
              <w:rPr>
                <w:lang w:eastAsia="en-AU"/>
              </w:rPr>
            </w:pPr>
            <w:r w:rsidRPr="004617A3">
              <w:t>0.7</w:t>
            </w:r>
          </w:p>
        </w:tc>
        <w:tc>
          <w:tcPr>
            <w:tcW w:w="382" w:type="dxa"/>
            <w:tcBorders>
              <w:top w:val="single" w:sz="4" w:space="0" w:color="A6A6A6" w:themeColor="background1" w:themeShade="A6"/>
            </w:tcBorders>
            <w:tcMar>
              <w:right w:w="0" w:type="dxa"/>
            </w:tcMar>
          </w:tcPr>
          <w:p w14:paraId="574C70E0" w14:textId="77777777" w:rsidR="00FA7EBF" w:rsidRPr="00CD316B" w:rsidRDefault="00FA7EBF" w:rsidP="00D542CE">
            <w:pPr>
              <w:pStyle w:val="ARfintablebody"/>
              <w:spacing w:before="20" w:after="0"/>
              <w:rPr>
                <w:rStyle w:val="Superscript"/>
              </w:rPr>
            </w:pPr>
            <w:r w:rsidRPr="00CD316B">
              <w:rPr>
                <w:rStyle w:val="Superscript"/>
              </w:rPr>
              <w:t>(ix)</w:t>
            </w:r>
          </w:p>
        </w:tc>
      </w:tr>
      <w:tr w:rsidR="00FA7EBF" w:rsidRPr="007939DD" w14:paraId="3CB52FCB" w14:textId="77777777" w:rsidTr="007B207C">
        <w:trPr>
          <w:cantSplit/>
        </w:trPr>
        <w:tc>
          <w:tcPr>
            <w:tcW w:w="3648" w:type="dxa"/>
          </w:tcPr>
          <w:p w14:paraId="6C2E149E" w14:textId="77777777" w:rsidR="00FA7EBF" w:rsidRPr="007939DD" w:rsidRDefault="00FA7EBF" w:rsidP="00D542CE">
            <w:pPr>
              <w:pStyle w:val="ARfintablebodybold"/>
              <w:spacing w:before="20" w:after="0"/>
              <w:rPr>
                <w:lang w:eastAsia="en-AU"/>
              </w:rPr>
            </w:pPr>
            <w:r w:rsidRPr="004617A3">
              <w:t>Total</w:t>
            </w:r>
          </w:p>
        </w:tc>
        <w:tc>
          <w:tcPr>
            <w:tcW w:w="1017" w:type="dxa"/>
          </w:tcPr>
          <w:p w14:paraId="3ED9F486" w14:textId="77777777" w:rsidR="00FA7EBF" w:rsidRPr="007939DD" w:rsidRDefault="00FA7EBF" w:rsidP="00D542CE">
            <w:pPr>
              <w:pStyle w:val="ARfintablebodyrightbold"/>
              <w:spacing w:before="20" w:after="0"/>
              <w:rPr>
                <w:lang w:eastAsia="en-AU"/>
              </w:rPr>
            </w:pPr>
            <w:r w:rsidRPr="004617A3">
              <w:t>14,598.4</w:t>
            </w:r>
          </w:p>
        </w:tc>
        <w:tc>
          <w:tcPr>
            <w:tcW w:w="274" w:type="dxa"/>
            <w:tcMar>
              <w:right w:w="0" w:type="dxa"/>
            </w:tcMar>
          </w:tcPr>
          <w:p w14:paraId="4A868DB9" w14:textId="77777777" w:rsidR="00FA7EBF" w:rsidRPr="006E4233" w:rsidRDefault="00FA7EBF" w:rsidP="00D542CE">
            <w:pPr>
              <w:pStyle w:val="ARfintablebody"/>
              <w:spacing w:before="20" w:after="0"/>
            </w:pPr>
          </w:p>
        </w:tc>
        <w:tc>
          <w:tcPr>
            <w:tcW w:w="1017" w:type="dxa"/>
          </w:tcPr>
          <w:p w14:paraId="26F7D244" w14:textId="77777777" w:rsidR="00FA7EBF" w:rsidRPr="007939DD" w:rsidRDefault="00FA7EBF" w:rsidP="00D542CE">
            <w:pPr>
              <w:pStyle w:val="ARfintablebodyrightbold"/>
              <w:spacing w:before="20" w:after="0"/>
              <w:rPr>
                <w:lang w:eastAsia="en-AU"/>
              </w:rPr>
            </w:pPr>
            <w:r w:rsidRPr="004617A3">
              <w:t>478.2</w:t>
            </w:r>
          </w:p>
        </w:tc>
        <w:tc>
          <w:tcPr>
            <w:tcW w:w="1017" w:type="dxa"/>
          </w:tcPr>
          <w:p w14:paraId="0C4A4F4D" w14:textId="77777777" w:rsidR="00FA7EBF" w:rsidRPr="007939DD" w:rsidRDefault="00FA7EBF" w:rsidP="00D542CE">
            <w:pPr>
              <w:pStyle w:val="ARfintablebodyrightbold"/>
              <w:spacing w:before="20" w:after="0"/>
              <w:rPr>
                <w:lang w:eastAsia="en-AU"/>
              </w:rPr>
            </w:pPr>
            <w:r w:rsidRPr="004617A3">
              <w:t>–</w:t>
            </w:r>
          </w:p>
        </w:tc>
        <w:tc>
          <w:tcPr>
            <w:tcW w:w="1017" w:type="dxa"/>
            <w:tcBorders>
              <w:right w:val="nil"/>
            </w:tcBorders>
            <w:shd w:val="clear" w:color="auto" w:fill="E7E6E6"/>
          </w:tcPr>
          <w:p w14:paraId="19D0F339" w14:textId="77777777" w:rsidR="00FA7EBF" w:rsidRPr="007939DD" w:rsidRDefault="00FA7EBF" w:rsidP="00D542CE">
            <w:pPr>
              <w:pStyle w:val="ARfintablebodyrightbold"/>
              <w:spacing w:before="20" w:after="0"/>
              <w:rPr>
                <w:lang w:eastAsia="en-AU"/>
              </w:rPr>
            </w:pPr>
            <w:r w:rsidRPr="004617A3">
              <w:t>672.3</w:t>
            </w:r>
          </w:p>
        </w:tc>
        <w:tc>
          <w:tcPr>
            <w:tcW w:w="1017" w:type="dxa"/>
            <w:tcBorders>
              <w:left w:val="nil"/>
              <w:right w:val="nil"/>
            </w:tcBorders>
            <w:shd w:val="clear" w:color="auto" w:fill="E7E6E6"/>
          </w:tcPr>
          <w:p w14:paraId="000F98AB" w14:textId="77777777" w:rsidR="00FA7EBF" w:rsidRPr="007939DD" w:rsidRDefault="00FA7EBF" w:rsidP="00D542CE">
            <w:pPr>
              <w:pStyle w:val="ARfintablebodyrightbold"/>
              <w:spacing w:before="20" w:after="0"/>
              <w:rPr>
                <w:lang w:eastAsia="en-AU"/>
              </w:rPr>
            </w:pPr>
            <w:r w:rsidRPr="004617A3">
              <w:t>–</w:t>
            </w:r>
          </w:p>
        </w:tc>
        <w:tc>
          <w:tcPr>
            <w:tcW w:w="1017" w:type="dxa"/>
            <w:tcBorders>
              <w:left w:val="nil"/>
              <w:right w:val="nil"/>
            </w:tcBorders>
            <w:shd w:val="clear" w:color="auto" w:fill="E7E6E6"/>
          </w:tcPr>
          <w:p w14:paraId="71608C1E" w14:textId="77777777" w:rsidR="00FA7EBF" w:rsidRPr="007939DD" w:rsidRDefault="00FA7EBF" w:rsidP="00D542CE">
            <w:pPr>
              <w:pStyle w:val="ARfintablebodyrightbold"/>
              <w:spacing w:before="20" w:after="0"/>
              <w:rPr>
                <w:lang w:eastAsia="en-AU"/>
              </w:rPr>
            </w:pPr>
            <w:r w:rsidRPr="004617A3">
              <w:t>109.5</w:t>
            </w:r>
          </w:p>
        </w:tc>
        <w:tc>
          <w:tcPr>
            <w:tcW w:w="1017" w:type="dxa"/>
            <w:tcBorders>
              <w:left w:val="nil"/>
            </w:tcBorders>
            <w:shd w:val="clear" w:color="auto" w:fill="E7E6E6"/>
          </w:tcPr>
          <w:p w14:paraId="1FEC5D5A" w14:textId="77777777" w:rsidR="00FA7EBF" w:rsidRPr="007939DD" w:rsidRDefault="00FA7EBF" w:rsidP="00D542CE">
            <w:pPr>
              <w:pStyle w:val="ARfintablebodyrightbold"/>
              <w:spacing w:before="20" w:after="0"/>
              <w:rPr>
                <w:lang w:eastAsia="en-AU"/>
              </w:rPr>
            </w:pPr>
            <w:r w:rsidRPr="004617A3">
              <w:t>–</w:t>
            </w:r>
          </w:p>
        </w:tc>
        <w:tc>
          <w:tcPr>
            <w:tcW w:w="1012" w:type="dxa"/>
          </w:tcPr>
          <w:p w14:paraId="49C60FF3" w14:textId="77777777" w:rsidR="00FA7EBF" w:rsidRPr="007939DD" w:rsidRDefault="00FA7EBF" w:rsidP="00D542CE">
            <w:pPr>
              <w:pStyle w:val="ARfintablebodyrightbold"/>
              <w:spacing w:before="20" w:after="0"/>
              <w:rPr>
                <w:lang w:eastAsia="en-AU"/>
              </w:rPr>
            </w:pPr>
            <w:r w:rsidRPr="004617A3">
              <w:t>15,858.4</w:t>
            </w:r>
          </w:p>
        </w:tc>
        <w:tc>
          <w:tcPr>
            <w:tcW w:w="1012" w:type="dxa"/>
          </w:tcPr>
          <w:p w14:paraId="4E5EB757" w14:textId="77777777" w:rsidR="00FA7EBF" w:rsidRPr="007939DD" w:rsidRDefault="00FA7EBF" w:rsidP="00D542CE">
            <w:pPr>
              <w:pStyle w:val="ARfintablebodyrightbold"/>
              <w:spacing w:before="20" w:after="0"/>
              <w:rPr>
                <w:lang w:eastAsia="en-AU"/>
              </w:rPr>
            </w:pPr>
            <w:r w:rsidRPr="004617A3">
              <w:t>15,328.9</w:t>
            </w:r>
          </w:p>
        </w:tc>
        <w:tc>
          <w:tcPr>
            <w:tcW w:w="1012" w:type="dxa"/>
          </w:tcPr>
          <w:p w14:paraId="22AC6B2F" w14:textId="77777777" w:rsidR="00FA7EBF" w:rsidRPr="007939DD" w:rsidRDefault="00FA7EBF" w:rsidP="00D542CE">
            <w:pPr>
              <w:pStyle w:val="ARfintablebodyrightbold"/>
              <w:spacing w:before="20" w:after="0"/>
              <w:rPr>
                <w:lang w:eastAsia="en-AU"/>
              </w:rPr>
            </w:pPr>
            <w:r w:rsidRPr="004617A3">
              <w:t>529.5</w:t>
            </w:r>
          </w:p>
        </w:tc>
        <w:tc>
          <w:tcPr>
            <w:tcW w:w="382" w:type="dxa"/>
            <w:tcMar>
              <w:right w:w="0" w:type="dxa"/>
            </w:tcMar>
          </w:tcPr>
          <w:p w14:paraId="4B98B71A" w14:textId="77777777" w:rsidR="00FA7EBF" w:rsidRPr="007939DD" w:rsidRDefault="00FA7EBF" w:rsidP="00D542CE">
            <w:pPr>
              <w:pStyle w:val="ARfintablebodybold"/>
              <w:spacing w:before="20" w:after="0"/>
              <w:rPr>
                <w:rStyle w:val="Strong"/>
              </w:rPr>
            </w:pPr>
          </w:p>
        </w:tc>
      </w:tr>
    </w:tbl>
    <w:p w14:paraId="0DF7664D" w14:textId="77777777" w:rsidR="00FA7EBF" w:rsidRPr="00194D78" w:rsidRDefault="00FA7EBF" w:rsidP="00CA66FD">
      <w:pPr>
        <w:pStyle w:val="ARfintablefootnote"/>
        <w:spacing w:before="30" w:after="30"/>
        <w:rPr>
          <w:lang w:eastAsia="en-AU"/>
        </w:rPr>
      </w:pPr>
      <w:r w:rsidRPr="00194D78">
        <w:rPr>
          <w:lang w:eastAsia="en-AU"/>
        </w:rPr>
        <w:t>Notes:</w:t>
      </w:r>
    </w:p>
    <w:p w14:paraId="671C4C7F" w14:textId="77777777" w:rsidR="00FA7EBF" w:rsidRPr="00194D78" w:rsidRDefault="00FA7EBF" w:rsidP="00CA66FD">
      <w:pPr>
        <w:pStyle w:val="ARfintablefootnoteindent"/>
        <w:spacing w:before="30" w:after="30"/>
        <w:ind w:left="340" w:hanging="340"/>
      </w:pPr>
      <w:r w:rsidRPr="00194D78">
        <w:t>(i)</w:t>
      </w:r>
      <w:r>
        <w:tab/>
      </w:r>
      <w:r w:rsidRPr="00194D78">
        <w:t>Refer to Note 2.5 for further detail.</w:t>
      </w:r>
    </w:p>
    <w:p w14:paraId="43AF8AA4" w14:textId="1C43108C" w:rsidR="00FA7EBF" w:rsidRPr="00194D78" w:rsidRDefault="00FA7EBF" w:rsidP="00CA66FD">
      <w:pPr>
        <w:pStyle w:val="ARfintablefootnoteindent"/>
        <w:spacing w:before="30" w:after="30"/>
        <w:ind w:left="340" w:hanging="340"/>
      </w:pPr>
      <w:r w:rsidRPr="00194D78">
        <w:t>(ii)</w:t>
      </w:r>
      <w:r>
        <w:tab/>
      </w:r>
      <w:r w:rsidRPr="00194D78">
        <w:t>Transfer from the additions to net assets authority to appropriation for provision of outputs mainly relates to capital projects that are delivered via non</w:t>
      </w:r>
      <w:r>
        <w:t>-</w:t>
      </w:r>
      <w:r w:rsidRPr="00194D78">
        <w:t>portfolio agencies and result in output appropriation costs to the Department of</w:t>
      </w:r>
      <w:r w:rsidR="00B33865">
        <w:t> </w:t>
      </w:r>
      <w:r w:rsidRPr="00194D78">
        <w:t>Health and Human Services.</w:t>
      </w:r>
    </w:p>
    <w:p w14:paraId="40667BA3" w14:textId="77777777" w:rsidR="00FA7EBF" w:rsidRPr="00194D78" w:rsidRDefault="00FA7EBF" w:rsidP="00CA66FD">
      <w:pPr>
        <w:pStyle w:val="ARfintablefootnoteindent"/>
        <w:spacing w:before="30" w:after="30"/>
        <w:ind w:left="340" w:hanging="340"/>
      </w:pPr>
      <w:r w:rsidRPr="00194D78">
        <w:t>(iii)</w:t>
      </w:r>
      <w:r>
        <w:tab/>
      </w:r>
      <w:r w:rsidRPr="00194D78">
        <w:t>Significant annual appropriation was transferred from the Department of Health and Human Services as a result of machinery of government changes effective 1 January 2019.</w:t>
      </w:r>
    </w:p>
    <w:p w14:paraId="36A1EFB0" w14:textId="77777777" w:rsidR="00FA7EBF" w:rsidRPr="00194D78" w:rsidRDefault="00FA7EBF" w:rsidP="00CA66FD">
      <w:pPr>
        <w:pStyle w:val="ARfintablefootnoteindent"/>
        <w:spacing w:before="30" w:after="30"/>
        <w:ind w:left="340" w:hanging="340"/>
      </w:pPr>
      <w:r w:rsidRPr="00194D78">
        <w:t>(</w:t>
      </w:r>
      <w:r>
        <w:t>i</w:t>
      </w:r>
      <w:r w:rsidRPr="00194D78">
        <w:t>v)</w:t>
      </w:r>
      <w:r>
        <w:tab/>
      </w:r>
      <w:r w:rsidRPr="00194D78">
        <w:t>The provision of outputs variance of $647.6</w:t>
      </w:r>
      <w:r>
        <w:t xml:space="preserve"> </w:t>
      </w:r>
      <w:r w:rsidRPr="00194D78">
        <w:t>m</w:t>
      </w:r>
      <w:r>
        <w:t>illion</w:t>
      </w:r>
      <w:r w:rsidRPr="00194D78">
        <w:t xml:space="preserve"> comprises $56.9</w:t>
      </w:r>
      <w:r>
        <w:t xml:space="preserve"> </w:t>
      </w:r>
      <w:r w:rsidRPr="00194D78">
        <w:t>m</w:t>
      </w:r>
      <w:r>
        <w:t>illion</w:t>
      </w:r>
      <w:r w:rsidRPr="00194D78">
        <w:t xml:space="preserve"> relating to funding for services and projects that will be sought in 201</w:t>
      </w:r>
      <w:r>
        <w:t>9–</w:t>
      </w:r>
      <w:r w:rsidRPr="00194D78">
        <w:t>20, and $590.7</w:t>
      </w:r>
      <w:r>
        <w:t xml:space="preserve"> </w:t>
      </w:r>
      <w:r w:rsidRPr="00194D78">
        <w:t>m</w:t>
      </w:r>
      <w:r>
        <w:t>illion</w:t>
      </w:r>
      <w:r w:rsidRPr="00194D78">
        <w:t xml:space="preserve"> relating to output appropriation authority not applied in 201</w:t>
      </w:r>
      <w:r>
        <w:t>8–</w:t>
      </w:r>
      <w:r w:rsidRPr="00194D78">
        <w:t>19.</w:t>
      </w:r>
      <w:r>
        <w:t xml:space="preserve"> </w:t>
      </w:r>
      <w:r w:rsidRPr="00084082">
        <w:t>The unapplied authority primarily reflects lower gaming revenue received and conversion of output appropriation authority to section 29 for the new National Housing and Homelessness Agreement.</w:t>
      </w:r>
    </w:p>
    <w:p w14:paraId="7D74F3BF" w14:textId="77777777" w:rsidR="00FA7EBF" w:rsidRPr="00194D78" w:rsidRDefault="00FA7EBF" w:rsidP="00CA66FD">
      <w:pPr>
        <w:pStyle w:val="ARfintablefootnoteindent"/>
        <w:spacing w:before="30" w:after="30"/>
        <w:ind w:left="340" w:hanging="340"/>
      </w:pPr>
      <w:r w:rsidRPr="00194D78">
        <w:t>(v)</w:t>
      </w:r>
      <w:r>
        <w:tab/>
      </w:r>
      <w:r w:rsidRPr="00194D78">
        <w:t>Significant annual appropriation was transferred from the Department of Health and Human Services to the Department of Jobs, Precincts and Regions related to Sports and Recreation Victoria as a result of machinery of government changes effective 1 January 2019.</w:t>
      </w:r>
    </w:p>
    <w:p w14:paraId="0AB7EB2A" w14:textId="1C44FC86" w:rsidR="00FA7EBF" w:rsidRPr="00194D78" w:rsidRDefault="00FA7EBF" w:rsidP="00CA66FD">
      <w:pPr>
        <w:pStyle w:val="ARfintablefootnoteindent"/>
        <w:spacing w:before="30" w:after="30"/>
        <w:ind w:left="340" w:hanging="340"/>
      </w:pPr>
      <w:r w:rsidRPr="00194D78">
        <w:t>(vi)</w:t>
      </w:r>
      <w:r>
        <w:tab/>
      </w:r>
      <w:r w:rsidRPr="00194D78">
        <w:t>The additions to net assets variance of $132.5</w:t>
      </w:r>
      <w:r>
        <w:t xml:space="preserve"> </w:t>
      </w:r>
      <w:r w:rsidRPr="00194D78">
        <w:t>m</w:t>
      </w:r>
      <w:r>
        <w:t>illion</w:t>
      </w:r>
      <w:r w:rsidRPr="00194D78">
        <w:t xml:space="preserve"> comprises $1</w:t>
      </w:r>
      <w:r>
        <w:t xml:space="preserve"> </w:t>
      </w:r>
      <w:r w:rsidRPr="00194D78">
        <w:t>m</w:t>
      </w:r>
      <w:r>
        <w:t>illion</w:t>
      </w:r>
      <w:r w:rsidRPr="00194D78">
        <w:t xml:space="preserve"> relating to funding for capital projects that will be delivered in 201</w:t>
      </w:r>
      <w:r>
        <w:t>9–</w:t>
      </w:r>
      <w:r w:rsidRPr="00194D78">
        <w:t>20 and outyears and $131.5</w:t>
      </w:r>
      <w:r>
        <w:t xml:space="preserve"> </w:t>
      </w:r>
      <w:r w:rsidRPr="00194D78">
        <w:t>m</w:t>
      </w:r>
      <w:r>
        <w:t>illion</w:t>
      </w:r>
      <w:r w:rsidRPr="00194D78">
        <w:t xml:space="preserve"> relating to appropriation authority not applied in</w:t>
      </w:r>
      <w:r w:rsidR="00B33865">
        <w:t> </w:t>
      </w:r>
      <w:r w:rsidRPr="00194D78">
        <w:t>201</w:t>
      </w:r>
      <w:r>
        <w:t>8–</w:t>
      </w:r>
      <w:r w:rsidRPr="00194D78">
        <w:t>19.</w:t>
      </w:r>
      <w:r>
        <w:t xml:space="preserve"> </w:t>
      </w:r>
      <w:r w:rsidRPr="00373A14">
        <w:t>The unapplied authority primarily reflects utilisation of current year depreciation equivalent instead of additions to net assets.</w:t>
      </w:r>
    </w:p>
    <w:p w14:paraId="4CC558A3" w14:textId="7C2882ED" w:rsidR="00FA7EBF" w:rsidRPr="00194D78" w:rsidRDefault="00FA7EBF" w:rsidP="00CA66FD">
      <w:pPr>
        <w:pStyle w:val="ARfintablefootnoteindent"/>
        <w:spacing w:before="30" w:after="30"/>
        <w:ind w:left="340" w:hanging="340"/>
      </w:pPr>
      <w:r w:rsidRPr="00194D78">
        <w:t>(vii)</w:t>
      </w:r>
      <w:r>
        <w:tab/>
      </w:r>
      <w:r w:rsidRPr="00194D78">
        <w:t>The provision of outputs variance of $341.1 million comprises $70 million relating to funding for services and projects that were sought in 201</w:t>
      </w:r>
      <w:r>
        <w:t>8–</w:t>
      </w:r>
      <w:r w:rsidRPr="00194D78">
        <w:t xml:space="preserve">19, and $271.1 million relating to output appropriation authority not applied </w:t>
      </w:r>
      <w:r>
        <w:br/>
      </w:r>
      <w:r w:rsidRPr="00194D78">
        <w:t>in 201</w:t>
      </w:r>
      <w:r>
        <w:t>7–</w:t>
      </w:r>
      <w:r w:rsidRPr="00194D78">
        <w:t>18.</w:t>
      </w:r>
      <w:r>
        <w:t xml:space="preserve"> </w:t>
      </w:r>
      <w:r w:rsidRPr="00373A14">
        <w:t>The unapplied authority primarily reflects the cashflow of Sport and Recreation and Family Violence initiatives from 2017</w:t>
      </w:r>
      <w:r>
        <w:t>–</w:t>
      </w:r>
      <w:r w:rsidRPr="00373A14">
        <w:t>18 to outyears, whole</w:t>
      </w:r>
      <w:r>
        <w:t>-</w:t>
      </w:r>
      <w:r w:rsidRPr="00373A14">
        <w:t>of</w:t>
      </w:r>
      <w:r>
        <w:t>-</w:t>
      </w:r>
      <w:r w:rsidRPr="00373A14">
        <w:t>government savings and efficiencies applied to the department in</w:t>
      </w:r>
      <w:r w:rsidR="00B33865">
        <w:t> </w:t>
      </w:r>
      <w:r w:rsidRPr="00373A14">
        <w:t>2017</w:t>
      </w:r>
      <w:r>
        <w:t>–</w:t>
      </w:r>
      <w:r w:rsidRPr="00373A14">
        <w:t>18, and Treasurer's Advances not utilised and allowed to lapse.</w:t>
      </w:r>
    </w:p>
    <w:p w14:paraId="49E64FC3" w14:textId="77777777" w:rsidR="00FA7EBF" w:rsidRPr="00194D78" w:rsidRDefault="00FA7EBF" w:rsidP="00CA66FD">
      <w:pPr>
        <w:pStyle w:val="ARfintablefootnoteindent"/>
        <w:spacing w:before="30" w:after="30"/>
        <w:ind w:left="340" w:hanging="340"/>
      </w:pPr>
      <w:r w:rsidRPr="00194D78">
        <w:t>(viii)</w:t>
      </w:r>
      <w:r>
        <w:tab/>
      </w:r>
      <w:r w:rsidRPr="00194D78">
        <w:t>The additions to net assets variance of $187.7 million comprises $2.1 million relating to funding for capital projects that were to be delivered in 201</w:t>
      </w:r>
      <w:r>
        <w:t>8–</w:t>
      </w:r>
      <w:r w:rsidRPr="00194D78">
        <w:t>19 and outyears and $185.6 million relating to appropriation authority not applied in 201</w:t>
      </w:r>
      <w:r>
        <w:t>7–</w:t>
      </w:r>
      <w:r w:rsidRPr="00194D78">
        <w:t>18.</w:t>
      </w:r>
      <w:r>
        <w:t xml:space="preserve"> </w:t>
      </w:r>
      <w:r w:rsidRPr="00373A14">
        <w:t>The unapplied authority primarily reflects utilisation of current year depreciation equivalent instead of additions to net assets.</w:t>
      </w:r>
    </w:p>
    <w:p w14:paraId="238ED0EC" w14:textId="77777777" w:rsidR="00FA7EBF" w:rsidRPr="00194D78" w:rsidRDefault="00FA7EBF" w:rsidP="00CA66FD">
      <w:pPr>
        <w:pStyle w:val="ARfintablefootnoteindent"/>
        <w:spacing w:before="30" w:after="30"/>
        <w:ind w:left="340" w:hanging="340"/>
      </w:pPr>
      <w:r w:rsidRPr="00194D78">
        <w:t>(ix)</w:t>
      </w:r>
      <w:r>
        <w:tab/>
      </w:r>
      <w:r w:rsidRPr="00194D78">
        <w:t xml:space="preserve">The payments made on behalf of the </w:t>
      </w:r>
      <w:r>
        <w:t>s</w:t>
      </w:r>
      <w:r w:rsidRPr="00194D78">
        <w:t>tate variance of $0.7 million relates to Anzac Day Proceeds Trust fund.</w:t>
      </w:r>
    </w:p>
    <w:p w14:paraId="38F1A27C" w14:textId="77777777" w:rsidR="00FA7EBF" w:rsidRDefault="00FA7EBF" w:rsidP="00CA66FD">
      <w:pPr>
        <w:pStyle w:val="ARfinbody"/>
        <w:spacing w:before="30" w:after="30"/>
        <w:sectPr w:rsidR="00FA7EBF" w:rsidSect="007B207C">
          <w:footerReference w:type="even" r:id="rId186"/>
          <w:endnotePr>
            <w:numFmt w:val="decimal"/>
          </w:endnotePr>
          <w:pgSz w:w="16838" w:h="11906" w:orient="landscape" w:code="9"/>
          <w:pgMar w:top="1418" w:right="1531" w:bottom="1418" w:left="851" w:header="851" w:footer="851" w:gutter="0"/>
          <w:paperSrc w:first="258"/>
          <w:cols w:space="454"/>
          <w:docGrid w:linePitch="326"/>
        </w:sectPr>
      </w:pPr>
    </w:p>
    <w:p w14:paraId="28F34418" w14:textId="77777777" w:rsidR="00FA7EBF" w:rsidRDefault="00FA7EBF" w:rsidP="00CA66FD">
      <w:pPr>
        <w:pStyle w:val="ARfinbody"/>
        <w:spacing w:before="240"/>
      </w:pPr>
      <w:r w:rsidRPr="00194D78">
        <w:t>The following table discloses the details of compliance with special appropriations: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972"/>
        <w:gridCol w:w="3405"/>
        <w:gridCol w:w="1127"/>
        <w:gridCol w:w="1135"/>
      </w:tblGrid>
      <w:tr w:rsidR="00FA7EBF" w:rsidRPr="007939DD" w14:paraId="1EF04D69" w14:textId="77777777" w:rsidTr="007B207C">
        <w:trPr>
          <w:cantSplit/>
          <w:tblHeader/>
        </w:trPr>
        <w:tc>
          <w:tcPr>
            <w:tcW w:w="3972" w:type="dxa"/>
            <w:vMerge w:val="restart"/>
            <w:vAlign w:val="bottom"/>
          </w:tcPr>
          <w:p w14:paraId="1788066B" w14:textId="77777777" w:rsidR="00FA7EBF" w:rsidRPr="007939DD" w:rsidRDefault="00FA7EBF" w:rsidP="007B207C">
            <w:pPr>
              <w:pStyle w:val="ARfintablecolhead"/>
            </w:pPr>
            <w:r w:rsidRPr="007939DD">
              <w:t>Authority</w:t>
            </w:r>
          </w:p>
        </w:tc>
        <w:tc>
          <w:tcPr>
            <w:tcW w:w="3405" w:type="dxa"/>
            <w:vMerge w:val="restart"/>
            <w:vAlign w:val="bottom"/>
          </w:tcPr>
          <w:p w14:paraId="586AE51A" w14:textId="77777777" w:rsidR="00FA7EBF" w:rsidRPr="007939DD" w:rsidRDefault="00FA7EBF" w:rsidP="007B207C">
            <w:pPr>
              <w:pStyle w:val="ARfintablecolhead"/>
            </w:pPr>
            <w:r w:rsidRPr="007939DD">
              <w:t>Purpose</w:t>
            </w:r>
          </w:p>
        </w:tc>
        <w:tc>
          <w:tcPr>
            <w:tcW w:w="2262" w:type="dxa"/>
            <w:gridSpan w:val="2"/>
            <w:vAlign w:val="bottom"/>
          </w:tcPr>
          <w:p w14:paraId="17E3F30F" w14:textId="77777777" w:rsidR="00FA7EBF" w:rsidRPr="007939DD" w:rsidRDefault="00FA7EBF" w:rsidP="007B207C">
            <w:pPr>
              <w:pStyle w:val="ARfintablecolheadcentre"/>
              <w:rPr>
                <w:rStyle w:val="Strong"/>
                <w:rFonts w:cs="Arial"/>
                <w:bCs w:val="0"/>
              </w:rPr>
            </w:pPr>
            <w:r w:rsidRPr="007939DD">
              <w:t>Appropriation</w:t>
            </w:r>
            <w:r w:rsidRPr="006E4233">
              <w:t xml:space="preserve"> </w:t>
            </w:r>
            <w:r w:rsidRPr="007939DD">
              <w:t>applied</w:t>
            </w:r>
          </w:p>
        </w:tc>
      </w:tr>
      <w:tr w:rsidR="00FA7EBF" w:rsidRPr="007939DD" w14:paraId="2CF0B0DB" w14:textId="77777777" w:rsidTr="007B207C">
        <w:trPr>
          <w:cantSplit/>
          <w:tblHeader/>
        </w:trPr>
        <w:tc>
          <w:tcPr>
            <w:tcW w:w="3972" w:type="dxa"/>
            <w:vMerge/>
            <w:vAlign w:val="bottom"/>
          </w:tcPr>
          <w:p w14:paraId="03D66926" w14:textId="77777777" w:rsidR="00FA7EBF" w:rsidRPr="007939DD" w:rsidRDefault="00FA7EBF" w:rsidP="007B207C">
            <w:pPr>
              <w:autoSpaceDE w:val="0"/>
              <w:autoSpaceDN w:val="0"/>
              <w:adjustRightInd w:val="0"/>
              <w:spacing w:beforeLines="40" w:before="96" w:afterLines="20" w:after="48"/>
              <w:jc w:val="right"/>
              <w:rPr>
                <w:rFonts w:cs="Arial"/>
                <w:color w:val="000000"/>
                <w:sz w:val="16"/>
                <w:szCs w:val="16"/>
              </w:rPr>
            </w:pPr>
          </w:p>
        </w:tc>
        <w:tc>
          <w:tcPr>
            <w:tcW w:w="3405" w:type="dxa"/>
            <w:vMerge/>
            <w:vAlign w:val="bottom"/>
          </w:tcPr>
          <w:p w14:paraId="538C8C87" w14:textId="77777777" w:rsidR="00FA7EBF" w:rsidRPr="007939DD" w:rsidRDefault="00FA7EBF" w:rsidP="007B207C">
            <w:pPr>
              <w:autoSpaceDE w:val="0"/>
              <w:autoSpaceDN w:val="0"/>
              <w:adjustRightInd w:val="0"/>
              <w:spacing w:beforeLines="40" w:before="96" w:afterLines="20" w:after="48"/>
              <w:jc w:val="right"/>
              <w:rPr>
                <w:rFonts w:cs="Arial"/>
                <w:color w:val="000000"/>
                <w:sz w:val="16"/>
                <w:szCs w:val="16"/>
              </w:rPr>
            </w:pPr>
          </w:p>
        </w:tc>
        <w:tc>
          <w:tcPr>
            <w:tcW w:w="1127" w:type="dxa"/>
            <w:shd w:val="clear" w:color="auto" w:fill="E7E6E6"/>
            <w:vAlign w:val="bottom"/>
          </w:tcPr>
          <w:p w14:paraId="51F7F9F3" w14:textId="77777777" w:rsidR="00FA7EBF" w:rsidRPr="007939DD" w:rsidRDefault="00FA7EBF" w:rsidP="007B207C">
            <w:pPr>
              <w:pStyle w:val="ARfintablecolheadright"/>
            </w:pPr>
            <w:r w:rsidRPr="007939DD">
              <w:t>201</w:t>
            </w:r>
            <w:r>
              <w:t>9</w:t>
            </w:r>
          </w:p>
          <w:p w14:paraId="313CB020" w14:textId="77777777" w:rsidR="00FA7EBF" w:rsidRPr="007939DD" w:rsidRDefault="00FA7EBF" w:rsidP="007B207C">
            <w:pPr>
              <w:pStyle w:val="ARfintablecolheadright"/>
            </w:pPr>
            <w:r w:rsidRPr="007939DD">
              <w:t>$M</w:t>
            </w:r>
          </w:p>
        </w:tc>
        <w:tc>
          <w:tcPr>
            <w:tcW w:w="1135" w:type="dxa"/>
            <w:vAlign w:val="bottom"/>
          </w:tcPr>
          <w:p w14:paraId="003D9518" w14:textId="77777777" w:rsidR="00FA7EBF" w:rsidRPr="007939DD" w:rsidRDefault="00FA7EBF" w:rsidP="007B207C">
            <w:pPr>
              <w:pStyle w:val="ARfintablecolheadright"/>
            </w:pPr>
            <w:r w:rsidRPr="007939DD">
              <w:t>201</w:t>
            </w:r>
            <w:r>
              <w:t>8</w:t>
            </w:r>
          </w:p>
          <w:p w14:paraId="558D688C" w14:textId="77777777" w:rsidR="00FA7EBF" w:rsidRPr="007939DD" w:rsidRDefault="00FA7EBF" w:rsidP="007B207C">
            <w:pPr>
              <w:pStyle w:val="ARfintablecolheadright"/>
            </w:pPr>
            <w:r w:rsidRPr="007939DD">
              <w:t>$M</w:t>
            </w:r>
          </w:p>
        </w:tc>
      </w:tr>
      <w:tr w:rsidR="00FA7EBF" w:rsidRPr="007939DD" w14:paraId="2BF04F67" w14:textId="77777777" w:rsidTr="007B207C">
        <w:trPr>
          <w:cantSplit/>
        </w:trPr>
        <w:tc>
          <w:tcPr>
            <w:tcW w:w="3972" w:type="dxa"/>
            <w:tcBorders>
              <w:bottom w:val="single" w:sz="4" w:space="0" w:color="A6A6A6" w:themeColor="background1" w:themeShade="A6"/>
            </w:tcBorders>
          </w:tcPr>
          <w:p w14:paraId="28BD9C4C" w14:textId="77777777" w:rsidR="00FA7EBF" w:rsidRPr="007939DD" w:rsidRDefault="00FA7EBF" w:rsidP="007B207C">
            <w:pPr>
              <w:pStyle w:val="ARfintablebody"/>
              <w:rPr>
                <w:lang w:eastAsia="en-AU"/>
              </w:rPr>
            </w:pPr>
            <w:r w:rsidRPr="003A69DA">
              <w:t xml:space="preserve">Section 4.4.11 and 4.6.8 of the </w:t>
            </w:r>
            <w:r w:rsidRPr="00621416">
              <w:rPr>
                <w:rStyle w:val="Emphasis"/>
                <w:iCs w:val="0"/>
              </w:rPr>
              <w:t xml:space="preserve">Gambling Regulation Act No. 114 </w:t>
            </w:r>
            <w:r w:rsidRPr="001366E5">
              <w:rPr>
                <w:rStyle w:val="Emphasis"/>
                <w:iCs w:val="0"/>
              </w:rPr>
              <w:t>of 2003</w:t>
            </w:r>
          </w:p>
        </w:tc>
        <w:tc>
          <w:tcPr>
            <w:tcW w:w="3405" w:type="dxa"/>
            <w:tcBorders>
              <w:bottom w:val="single" w:sz="4" w:space="0" w:color="A6A6A6" w:themeColor="background1" w:themeShade="A6"/>
            </w:tcBorders>
          </w:tcPr>
          <w:p w14:paraId="0D21E82E" w14:textId="77777777" w:rsidR="00FA7EBF" w:rsidRPr="007939DD" w:rsidRDefault="00FA7EBF" w:rsidP="007B207C">
            <w:pPr>
              <w:pStyle w:val="ARfinbody"/>
            </w:pPr>
            <w:r w:rsidRPr="003A69DA">
              <w:t>Contribution to the Hospitals and Charities Fund</w:t>
            </w:r>
          </w:p>
        </w:tc>
        <w:tc>
          <w:tcPr>
            <w:tcW w:w="1127" w:type="dxa"/>
            <w:tcBorders>
              <w:bottom w:val="single" w:sz="4" w:space="0" w:color="A6A6A6" w:themeColor="background1" w:themeShade="A6"/>
            </w:tcBorders>
            <w:shd w:val="clear" w:color="auto" w:fill="E7E6E6"/>
          </w:tcPr>
          <w:p w14:paraId="68D4D4A5" w14:textId="77777777" w:rsidR="00FA7EBF" w:rsidRPr="007939DD" w:rsidRDefault="00FA7EBF" w:rsidP="007B207C">
            <w:pPr>
              <w:pStyle w:val="ARfintablebodyright"/>
              <w:rPr>
                <w:lang w:eastAsia="en-AU"/>
              </w:rPr>
            </w:pPr>
            <w:r w:rsidRPr="003A69DA">
              <w:t>68.4</w:t>
            </w:r>
          </w:p>
        </w:tc>
        <w:tc>
          <w:tcPr>
            <w:tcW w:w="1135" w:type="dxa"/>
            <w:tcBorders>
              <w:bottom w:val="single" w:sz="4" w:space="0" w:color="A6A6A6" w:themeColor="background1" w:themeShade="A6"/>
            </w:tcBorders>
          </w:tcPr>
          <w:p w14:paraId="47EEB706" w14:textId="77777777" w:rsidR="00FA7EBF" w:rsidRPr="007939DD" w:rsidRDefault="00FA7EBF" w:rsidP="007B207C">
            <w:pPr>
              <w:pStyle w:val="ARfintablebodyright"/>
              <w:rPr>
                <w:lang w:eastAsia="en-AU"/>
              </w:rPr>
            </w:pPr>
            <w:r w:rsidRPr="003A69DA">
              <w:t>53.6</w:t>
            </w:r>
          </w:p>
        </w:tc>
      </w:tr>
      <w:tr w:rsidR="00FA7EBF" w:rsidRPr="007939DD" w14:paraId="45275B2F" w14:textId="77777777" w:rsidTr="007B207C">
        <w:trPr>
          <w:cantSplit/>
          <w:trHeight w:val="498"/>
        </w:trPr>
        <w:tc>
          <w:tcPr>
            <w:tcW w:w="3972" w:type="dxa"/>
            <w:tcBorders>
              <w:top w:val="single" w:sz="4" w:space="0" w:color="A6A6A6" w:themeColor="background1" w:themeShade="A6"/>
              <w:bottom w:val="single" w:sz="4" w:space="0" w:color="A6A6A6" w:themeColor="background1" w:themeShade="A6"/>
            </w:tcBorders>
          </w:tcPr>
          <w:p w14:paraId="3D22DD50" w14:textId="77777777" w:rsidR="00FA7EBF" w:rsidRPr="007939DD" w:rsidRDefault="00FA7EBF" w:rsidP="007B207C">
            <w:pPr>
              <w:pStyle w:val="ARfintablebody"/>
              <w:rPr>
                <w:lang w:eastAsia="en-AU"/>
              </w:rPr>
            </w:pPr>
            <w:r w:rsidRPr="003A69DA">
              <w:t xml:space="preserve">Section 5.4.6 of the </w:t>
            </w:r>
            <w:r w:rsidRPr="00621416">
              <w:rPr>
                <w:rStyle w:val="Emphasis"/>
                <w:iCs w:val="0"/>
              </w:rPr>
              <w:t>Gambling Regulation Act No.</w:t>
            </w:r>
            <w:r>
              <w:rPr>
                <w:rStyle w:val="Emphasis"/>
                <w:iCs w:val="0"/>
              </w:rPr>
              <w:t> </w:t>
            </w:r>
            <w:r w:rsidRPr="00621416">
              <w:rPr>
                <w:rStyle w:val="Emphasis"/>
                <w:iCs w:val="0"/>
              </w:rPr>
              <w:t xml:space="preserve">114 </w:t>
            </w:r>
            <w:r w:rsidRPr="001366E5">
              <w:rPr>
                <w:rStyle w:val="Emphasis"/>
                <w:iCs w:val="0"/>
              </w:rPr>
              <w:t>of 2003</w:t>
            </w:r>
          </w:p>
        </w:tc>
        <w:tc>
          <w:tcPr>
            <w:tcW w:w="3405" w:type="dxa"/>
            <w:tcBorders>
              <w:top w:val="single" w:sz="4" w:space="0" w:color="A6A6A6" w:themeColor="background1" w:themeShade="A6"/>
              <w:bottom w:val="single" w:sz="4" w:space="0" w:color="A6A6A6" w:themeColor="background1" w:themeShade="A6"/>
            </w:tcBorders>
          </w:tcPr>
          <w:p w14:paraId="7D91170E" w14:textId="77777777" w:rsidR="00FA7EBF" w:rsidRPr="007939DD" w:rsidRDefault="00FA7EBF" w:rsidP="007B207C">
            <w:pPr>
              <w:pStyle w:val="ARfinbody"/>
            </w:pPr>
            <w:r w:rsidRPr="003A69DA">
              <w:t>Contribution to the Hospitals and Charities Fund and Mental Health Fund</w:t>
            </w:r>
          </w:p>
        </w:tc>
        <w:tc>
          <w:tcPr>
            <w:tcW w:w="1127" w:type="dxa"/>
            <w:tcBorders>
              <w:top w:val="single" w:sz="4" w:space="0" w:color="A6A6A6" w:themeColor="background1" w:themeShade="A6"/>
              <w:bottom w:val="single" w:sz="4" w:space="0" w:color="A6A6A6" w:themeColor="background1" w:themeShade="A6"/>
            </w:tcBorders>
            <w:shd w:val="clear" w:color="auto" w:fill="E7E6E6"/>
          </w:tcPr>
          <w:p w14:paraId="422E81DA" w14:textId="77777777" w:rsidR="00FA7EBF" w:rsidRPr="007939DD" w:rsidRDefault="00FA7EBF" w:rsidP="007B207C">
            <w:pPr>
              <w:pStyle w:val="ARfintablebodyright"/>
              <w:rPr>
                <w:lang w:eastAsia="en-AU"/>
              </w:rPr>
            </w:pPr>
            <w:r w:rsidRPr="003A69DA">
              <w:t>541.9</w:t>
            </w:r>
          </w:p>
        </w:tc>
        <w:tc>
          <w:tcPr>
            <w:tcW w:w="1135" w:type="dxa"/>
            <w:tcBorders>
              <w:top w:val="single" w:sz="4" w:space="0" w:color="A6A6A6" w:themeColor="background1" w:themeShade="A6"/>
              <w:bottom w:val="single" w:sz="4" w:space="0" w:color="A6A6A6" w:themeColor="background1" w:themeShade="A6"/>
            </w:tcBorders>
          </w:tcPr>
          <w:p w14:paraId="0D385526" w14:textId="77777777" w:rsidR="00FA7EBF" w:rsidRPr="007939DD" w:rsidRDefault="00FA7EBF" w:rsidP="007B207C">
            <w:pPr>
              <w:pStyle w:val="ARfintablebodyright"/>
              <w:rPr>
                <w:lang w:eastAsia="en-AU"/>
              </w:rPr>
            </w:pPr>
            <w:r w:rsidRPr="003A69DA">
              <w:t>408.1</w:t>
            </w:r>
          </w:p>
        </w:tc>
      </w:tr>
      <w:tr w:rsidR="00FA7EBF" w:rsidRPr="007939DD" w14:paraId="2EB7D08F" w14:textId="77777777" w:rsidTr="007B207C">
        <w:trPr>
          <w:cantSplit/>
        </w:trPr>
        <w:tc>
          <w:tcPr>
            <w:tcW w:w="3972" w:type="dxa"/>
            <w:tcBorders>
              <w:top w:val="single" w:sz="4" w:space="0" w:color="A6A6A6" w:themeColor="background1" w:themeShade="A6"/>
              <w:bottom w:val="single" w:sz="4" w:space="0" w:color="A6A6A6" w:themeColor="background1" w:themeShade="A6"/>
            </w:tcBorders>
          </w:tcPr>
          <w:p w14:paraId="11E205C0" w14:textId="77777777" w:rsidR="00FA7EBF" w:rsidRPr="007939DD" w:rsidRDefault="00FA7EBF" w:rsidP="007B207C">
            <w:pPr>
              <w:pStyle w:val="ARfintablebody"/>
              <w:rPr>
                <w:lang w:eastAsia="en-AU"/>
              </w:rPr>
            </w:pPr>
            <w:r w:rsidRPr="003A69DA">
              <w:t xml:space="preserve">Section 114 of the </w:t>
            </w:r>
            <w:r w:rsidRPr="00621416">
              <w:rPr>
                <w:rStyle w:val="Emphasis"/>
                <w:iCs w:val="0"/>
              </w:rPr>
              <w:t xml:space="preserve">Casino Control Act No. 47 </w:t>
            </w:r>
            <w:r w:rsidRPr="001366E5">
              <w:rPr>
                <w:rStyle w:val="Emphasis"/>
                <w:iCs w:val="0"/>
              </w:rPr>
              <w:t>of 1991</w:t>
            </w:r>
          </w:p>
        </w:tc>
        <w:tc>
          <w:tcPr>
            <w:tcW w:w="3405" w:type="dxa"/>
            <w:tcBorders>
              <w:top w:val="single" w:sz="4" w:space="0" w:color="A6A6A6" w:themeColor="background1" w:themeShade="A6"/>
              <w:bottom w:val="single" w:sz="4" w:space="0" w:color="A6A6A6" w:themeColor="background1" w:themeShade="A6"/>
            </w:tcBorders>
          </w:tcPr>
          <w:p w14:paraId="27034AE7" w14:textId="77777777" w:rsidR="00FA7EBF" w:rsidRPr="007939DD" w:rsidRDefault="00FA7EBF" w:rsidP="007B207C">
            <w:pPr>
              <w:pStyle w:val="ARfinbody"/>
            </w:pPr>
            <w:r w:rsidRPr="003A69DA">
              <w:t>Contribution to the Hospitals and Charities Fund</w:t>
            </w:r>
          </w:p>
        </w:tc>
        <w:tc>
          <w:tcPr>
            <w:tcW w:w="1127" w:type="dxa"/>
            <w:tcBorders>
              <w:top w:val="single" w:sz="4" w:space="0" w:color="A6A6A6" w:themeColor="background1" w:themeShade="A6"/>
              <w:bottom w:val="single" w:sz="4" w:space="0" w:color="A6A6A6" w:themeColor="background1" w:themeShade="A6"/>
            </w:tcBorders>
            <w:shd w:val="clear" w:color="auto" w:fill="E7E6E6"/>
          </w:tcPr>
          <w:p w14:paraId="445D4394" w14:textId="77777777" w:rsidR="00FA7EBF" w:rsidRPr="007939DD" w:rsidRDefault="00FA7EBF" w:rsidP="007B207C">
            <w:pPr>
              <w:pStyle w:val="ARfintablebodyright"/>
              <w:rPr>
                <w:lang w:eastAsia="en-AU"/>
              </w:rPr>
            </w:pPr>
            <w:r w:rsidRPr="003A69DA">
              <w:t>16.5</w:t>
            </w:r>
          </w:p>
        </w:tc>
        <w:tc>
          <w:tcPr>
            <w:tcW w:w="1135" w:type="dxa"/>
            <w:tcBorders>
              <w:top w:val="single" w:sz="4" w:space="0" w:color="A6A6A6" w:themeColor="background1" w:themeShade="A6"/>
              <w:bottom w:val="single" w:sz="4" w:space="0" w:color="A6A6A6" w:themeColor="background1" w:themeShade="A6"/>
            </w:tcBorders>
          </w:tcPr>
          <w:p w14:paraId="48F65F6E" w14:textId="77777777" w:rsidR="00FA7EBF" w:rsidRPr="007939DD" w:rsidRDefault="00FA7EBF" w:rsidP="007B207C">
            <w:pPr>
              <w:pStyle w:val="ARfintablebodyright"/>
              <w:rPr>
                <w:lang w:eastAsia="en-AU"/>
              </w:rPr>
            </w:pPr>
            <w:r w:rsidRPr="003A69DA">
              <w:t>17.5</w:t>
            </w:r>
          </w:p>
        </w:tc>
      </w:tr>
      <w:tr w:rsidR="00FA7EBF" w:rsidRPr="007939DD" w14:paraId="6D2B7714" w14:textId="77777777" w:rsidTr="007B207C">
        <w:trPr>
          <w:cantSplit/>
        </w:trPr>
        <w:tc>
          <w:tcPr>
            <w:tcW w:w="3972" w:type="dxa"/>
            <w:tcBorders>
              <w:top w:val="single" w:sz="4" w:space="0" w:color="A6A6A6" w:themeColor="background1" w:themeShade="A6"/>
              <w:bottom w:val="single" w:sz="4" w:space="0" w:color="A6A6A6" w:themeColor="background1" w:themeShade="A6"/>
            </w:tcBorders>
          </w:tcPr>
          <w:p w14:paraId="5CC8D05E" w14:textId="77777777" w:rsidR="00FA7EBF" w:rsidRPr="007939DD" w:rsidRDefault="00FA7EBF" w:rsidP="007B207C">
            <w:pPr>
              <w:pStyle w:val="ARfintablebody"/>
              <w:rPr>
                <w:lang w:eastAsia="en-AU"/>
              </w:rPr>
            </w:pPr>
            <w:r w:rsidRPr="003A69DA">
              <w:t xml:space="preserve">Section 3.6.11 of the </w:t>
            </w:r>
            <w:r w:rsidRPr="00621416">
              <w:rPr>
                <w:rStyle w:val="Emphasis"/>
                <w:iCs w:val="0"/>
              </w:rPr>
              <w:t>Gambling Regulation Act No.</w:t>
            </w:r>
            <w:r>
              <w:rPr>
                <w:rStyle w:val="Emphasis"/>
                <w:iCs w:val="0"/>
              </w:rPr>
              <w:t> </w:t>
            </w:r>
            <w:r w:rsidRPr="00621416">
              <w:rPr>
                <w:rStyle w:val="Emphasis"/>
                <w:iCs w:val="0"/>
              </w:rPr>
              <w:t xml:space="preserve">114 </w:t>
            </w:r>
            <w:r w:rsidRPr="001366E5">
              <w:rPr>
                <w:rStyle w:val="Emphasis"/>
                <w:iCs w:val="0"/>
              </w:rPr>
              <w:t>of 2003</w:t>
            </w:r>
          </w:p>
        </w:tc>
        <w:tc>
          <w:tcPr>
            <w:tcW w:w="3405" w:type="dxa"/>
            <w:tcBorders>
              <w:top w:val="single" w:sz="4" w:space="0" w:color="A6A6A6" w:themeColor="background1" w:themeShade="A6"/>
              <w:bottom w:val="single" w:sz="4" w:space="0" w:color="A6A6A6" w:themeColor="background1" w:themeShade="A6"/>
            </w:tcBorders>
          </w:tcPr>
          <w:p w14:paraId="1EEE9EDC" w14:textId="77777777" w:rsidR="00FA7EBF" w:rsidRPr="007939DD" w:rsidRDefault="00FA7EBF" w:rsidP="007B207C">
            <w:pPr>
              <w:pStyle w:val="ARfinbody"/>
            </w:pPr>
            <w:r w:rsidRPr="003A69DA">
              <w:t>Contribution to the Hospitals and Charities Fund</w:t>
            </w:r>
          </w:p>
        </w:tc>
        <w:tc>
          <w:tcPr>
            <w:tcW w:w="1127" w:type="dxa"/>
            <w:tcBorders>
              <w:top w:val="single" w:sz="4" w:space="0" w:color="A6A6A6" w:themeColor="background1" w:themeShade="A6"/>
              <w:bottom w:val="single" w:sz="4" w:space="0" w:color="A6A6A6" w:themeColor="background1" w:themeShade="A6"/>
            </w:tcBorders>
            <w:shd w:val="clear" w:color="auto" w:fill="E7E6E6"/>
          </w:tcPr>
          <w:p w14:paraId="4351294D" w14:textId="77777777" w:rsidR="00FA7EBF" w:rsidRPr="007939DD" w:rsidRDefault="00FA7EBF" w:rsidP="007B207C">
            <w:pPr>
              <w:pStyle w:val="ARfintablebodyright"/>
              <w:rPr>
                <w:lang w:eastAsia="en-AU"/>
              </w:rPr>
            </w:pPr>
            <w:r w:rsidRPr="003A69DA">
              <w:t>880.7</w:t>
            </w:r>
          </w:p>
        </w:tc>
        <w:tc>
          <w:tcPr>
            <w:tcW w:w="1135" w:type="dxa"/>
            <w:tcBorders>
              <w:top w:val="single" w:sz="4" w:space="0" w:color="A6A6A6" w:themeColor="background1" w:themeShade="A6"/>
              <w:bottom w:val="single" w:sz="4" w:space="0" w:color="A6A6A6" w:themeColor="background1" w:themeShade="A6"/>
            </w:tcBorders>
          </w:tcPr>
          <w:p w14:paraId="1BAA3E79" w14:textId="77777777" w:rsidR="00FA7EBF" w:rsidRPr="007939DD" w:rsidRDefault="00FA7EBF" w:rsidP="007B207C">
            <w:pPr>
              <w:pStyle w:val="ARfintablebodyright"/>
              <w:rPr>
                <w:lang w:eastAsia="en-AU"/>
              </w:rPr>
            </w:pPr>
            <w:r w:rsidRPr="003A69DA">
              <w:t>871.1</w:t>
            </w:r>
          </w:p>
        </w:tc>
      </w:tr>
      <w:tr w:rsidR="00FA7EBF" w:rsidRPr="007939DD" w14:paraId="78C9DF71" w14:textId="77777777" w:rsidTr="007B207C">
        <w:trPr>
          <w:cantSplit/>
        </w:trPr>
        <w:tc>
          <w:tcPr>
            <w:tcW w:w="3972" w:type="dxa"/>
            <w:tcBorders>
              <w:top w:val="single" w:sz="4" w:space="0" w:color="A6A6A6" w:themeColor="background1" w:themeShade="A6"/>
              <w:bottom w:val="single" w:sz="4" w:space="0" w:color="A6A6A6" w:themeColor="background1" w:themeShade="A6"/>
            </w:tcBorders>
          </w:tcPr>
          <w:p w14:paraId="37843347" w14:textId="77777777" w:rsidR="00FA7EBF" w:rsidRPr="007939DD" w:rsidRDefault="00FA7EBF" w:rsidP="007B207C">
            <w:pPr>
              <w:pStyle w:val="ARfintablebody"/>
              <w:rPr>
                <w:lang w:eastAsia="en-AU"/>
              </w:rPr>
            </w:pPr>
            <w:r w:rsidRPr="003A69DA">
              <w:t xml:space="preserve">Section 6A.4.4(1) of the </w:t>
            </w:r>
            <w:r w:rsidRPr="00621416">
              <w:rPr>
                <w:rStyle w:val="Emphasis"/>
                <w:iCs w:val="0"/>
              </w:rPr>
              <w:t xml:space="preserve">Gambling Regulation Act No. 114 </w:t>
            </w:r>
            <w:r w:rsidRPr="001366E5">
              <w:rPr>
                <w:rStyle w:val="Emphasis"/>
                <w:iCs w:val="0"/>
              </w:rPr>
              <w:t>of 2003</w:t>
            </w:r>
          </w:p>
        </w:tc>
        <w:tc>
          <w:tcPr>
            <w:tcW w:w="3405" w:type="dxa"/>
            <w:tcBorders>
              <w:top w:val="single" w:sz="4" w:space="0" w:color="A6A6A6" w:themeColor="background1" w:themeShade="A6"/>
              <w:bottom w:val="single" w:sz="4" w:space="0" w:color="A6A6A6" w:themeColor="background1" w:themeShade="A6"/>
            </w:tcBorders>
          </w:tcPr>
          <w:p w14:paraId="65AFEBC1" w14:textId="77777777" w:rsidR="00FA7EBF" w:rsidRPr="007939DD" w:rsidRDefault="00FA7EBF" w:rsidP="007B207C">
            <w:pPr>
              <w:pStyle w:val="ARfinbody"/>
            </w:pPr>
            <w:r w:rsidRPr="003A69DA">
              <w:t>Contribution to the Hospitals and Charities Fund</w:t>
            </w:r>
          </w:p>
        </w:tc>
        <w:tc>
          <w:tcPr>
            <w:tcW w:w="1127" w:type="dxa"/>
            <w:tcBorders>
              <w:top w:val="single" w:sz="4" w:space="0" w:color="A6A6A6" w:themeColor="background1" w:themeShade="A6"/>
              <w:bottom w:val="single" w:sz="4" w:space="0" w:color="A6A6A6" w:themeColor="background1" w:themeShade="A6"/>
            </w:tcBorders>
            <w:shd w:val="clear" w:color="auto" w:fill="E7E6E6"/>
          </w:tcPr>
          <w:p w14:paraId="28F43776" w14:textId="77777777" w:rsidR="00FA7EBF" w:rsidRPr="007939DD" w:rsidRDefault="00FA7EBF" w:rsidP="007B207C">
            <w:pPr>
              <w:pStyle w:val="ARfintablebodyright"/>
              <w:rPr>
                <w:lang w:eastAsia="en-AU"/>
              </w:rPr>
            </w:pPr>
            <w:r w:rsidRPr="003A69DA">
              <w:t>5.2</w:t>
            </w:r>
          </w:p>
        </w:tc>
        <w:tc>
          <w:tcPr>
            <w:tcW w:w="1135" w:type="dxa"/>
            <w:tcBorders>
              <w:top w:val="single" w:sz="4" w:space="0" w:color="A6A6A6" w:themeColor="background1" w:themeShade="A6"/>
              <w:bottom w:val="single" w:sz="4" w:space="0" w:color="A6A6A6" w:themeColor="background1" w:themeShade="A6"/>
            </w:tcBorders>
          </w:tcPr>
          <w:p w14:paraId="3C00765F" w14:textId="77777777" w:rsidR="00FA7EBF" w:rsidRPr="007939DD" w:rsidRDefault="00FA7EBF" w:rsidP="007B207C">
            <w:pPr>
              <w:pStyle w:val="ARfintablebodyright"/>
              <w:rPr>
                <w:lang w:eastAsia="en-AU"/>
              </w:rPr>
            </w:pPr>
            <w:r w:rsidRPr="003A69DA">
              <w:t>5.6</w:t>
            </w:r>
          </w:p>
        </w:tc>
      </w:tr>
      <w:tr w:rsidR="00FA7EBF" w:rsidRPr="007939DD" w14:paraId="791113AB" w14:textId="77777777" w:rsidTr="007B207C">
        <w:trPr>
          <w:cantSplit/>
        </w:trPr>
        <w:tc>
          <w:tcPr>
            <w:tcW w:w="3972" w:type="dxa"/>
            <w:tcBorders>
              <w:top w:val="single" w:sz="4" w:space="0" w:color="A6A6A6" w:themeColor="background1" w:themeShade="A6"/>
            </w:tcBorders>
          </w:tcPr>
          <w:p w14:paraId="738DF672" w14:textId="77777777" w:rsidR="00FA7EBF" w:rsidRPr="007939DD" w:rsidRDefault="00FA7EBF" w:rsidP="007B207C">
            <w:pPr>
              <w:pStyle w:val="ARfintablebody"/>
              <w:rPr>
                <w:lang w:eastAsia="en-AU"/>
              </w:rPr>
            </w:pPr>
            <w:r w:rsidRPr="003A69DA">
              <w:t>Section 10 of the</w:t>
            </w:r>
            <w:r w:rsidRPr="00621416">
              <w:rPr>
                <w:rStyle w:val="Emphasis"/>
                <w:iCs w:val="0"/>
              </w:rPr>
              <w:t xml:space="preserve"> Financial Management Act 1994</w:t>
            </w:r>
          </w:p>
        </w:tc>
        <w:tc>
          <w:tcPr>
            <w:tcW w:w="3405" w:type="dxa"/>
            <w:tcBorders>
              <w:top w:val="single" w:sz="4" w:space="0" w:color="A6A6A6" w:themeColor="background1" w:themeShade="A6"/>
            </w:tcBorders>
          </w:tcPr>
          <w:p w14:paraId="2834721F" w14:textId="77777777" w:rsidR="00FA7EBF" w:rsidRPr="007939DD" w:rsidRDefault="00FA7EBF" w:rsidP="007B207C">
            <w:pPr>
              <w:pStyle w:val="ARfinbody"/>
            </w:pPr>
            <w:r w:rsidRPr="003A69DA">
              <w:t>Access to various Commonwealth grants – provision of outputs</w:t>
            </w:r>
          </w:p>
        </w:tc>
        <w:tc>
          <w:tcPr>
            <w:tcW w:w="1127" w:type="dxa"/>
            <w:tcBorders>
              <w:top w:val="single" w:sz="4" w:space="0" w:color="A6A6A6" w:themeColor="background1" w:themeShade="A6"/>
            </w:tcBorders>
            <w:shd w:val="clear" w:color="auto" w:fill="E7E6E6"/>
          </w:tcPr>
          <w:p w14:paraId="7F0AC8BA" w14:textId="77777777" w:rsidR="00FA7EBF" w:rsidRPr="007939DD" w:rsidRDefault="00FA7EBF" w:rsidP="007B207C">
            <w:pPr>
              <w:pStyle w:val="ARfintablebodyright"/>
              <w:rPr>
                <w:lang w:eastAsia="en-AU"/>
              </w:rPr>
            </w:pPr>
            <w:r w:rsidRPr="003A69DA">
              <w:t>0.7</w:t>
            </w:r>
          </w:p>
        </w:tc>
        <w:tc>
          <w:tcPr>
            <w:tcW w:w="1135" w:type="dxa"/>
            <w:tcBorders>
              <w:top w:val="single" w:sz="4" w:space="0" w:color="A6A6A6" w:themeColor="background1" w:themeShade="A6"/>
            </w:tcBorders>
          </w:tcPr>
          <w:p w14:paraId="5BC393FC" w14:textId="77777777" w:rsidR="00FA7EBF" w:rsidRPr="007939DD" w:rsidRDefault="00FA7EBF" w:rsidP="007B207C">
            <w:pPr>
              <w:pStyle w:val="ARfintablebodyright"/>
              <w:rPr>
                <w:lang w:eastAsia="en-AU"/>
              </w:rPr>
            </w:pPr>
            <w:r w:rsidRPr="003A69DA">
              <w:t>3.9</w:t>
            </w:r>
          </w:p>
        </w:tc>
      </w:tr>
      <w:tr w:rsidR="00FA7EBF" w:rsidRPr="007939DD" w14:paraId="47B5A9FA" w14:textId="77777777" w:rsidTr="007B207C">
        <w:trPr>
          <w:cantSplit/>
        </w:trPr>
        <w:tc>
          <w:tcPr>
            <w:tcW w:w="3972" w:type="dxa"/>
          </w:tcPr>
          <w:p w14:paraId="1F2C8142" w14:textId="77777777" w:rsidR="00FA7EBF" w:rsidRPr="007939DD" w:rsidRDefault="00FA7EBF" w:rsidP="007B207C">
            <w:pPr>
              <w:pStyle w:val="ARfintablebodybold"/>
              <w:rPr>
                <w:rStyle w:val="Strong"/>
              </w:rPr>
            </w:pPr>
            <w:r w:rsidRPr="003A69DA">
              <w:t xml:space="preserve">Total special appropriations </w:t>
            </w:r>
            <w:r>
              <w:br/>
            </w:r>
            <w:r w:rsidRPr="003A69DA">
              <w:t>– Provision of outputs</w:t>
            </w:r>
          </w:p>
        </w:tc>
        <w:tc>
          <w:tcPr>
            <w:tcW w:w="3405" w:type="dxa"/>
          </w:tcPr>
          <w:p w14:paraId="09677774" w14:textId="77777777" w:rsidR="00FA7EBF" w:rsidRPr="007939DD" w:rsidRDefault="00FA7EBF" w:rsidP="007B207C">
            <w:pPr>
              <w:pStyle w:val="ARfinbody"/>
            </w:pPr>
          </w:p>
        </w:tc>
        <w:tc>
          <w:tcPr>
            <w:tcW w:w="1127" w:type="dxa"/>
            <w:shd w:val="clear" w:color="auto" w:fill="E7E6E6"/>
          </w:tcPr>
          <w:p w14:paraId="615E52A3" w14:textId="77777777" w:rsidR="00FA7EBF" w:rsidRPr="007939DD" w:rsidRDefault="00FA7EBF" w:rsidP="007B207C">
            <w:pPr>
              <w:pStyle w:val="ARfintablebodyrightbold"/>
              <w:rPr>
                <w:lang w:eastAsia="en-AU"/>
              </w:rPr>
            </w:pPr>
            <w:r w:rsidRPr="003A69DA">
              <w:t>1,513.4</w:t>
            </w:r>
          </w:p>
        </w:tc>
        <w:tc>
          <w:tcPr>
            <w:tcW w:w="1135" w:type="dxa"/>
          </w:tcPr>
          <w:p w14:paraId="7A952B93" w14:textId="77777777" w:rsidR="00FA7EBF" w:rsidRPr="007939DD" w:rsidRDefault="00FA7EBF" w:rsidP="007B207C">
            <w:pPr>
              <w:pStyle w:val="ARfintablebodyrightbold"/>
              <w:rPr>
                <w:rStyle w:val="Strong"/>
              </w:rPr>
            </w:pPr>
            <w:r w:rsidRPr="003A69DA">
              <w:t>1,359.8</w:t>
            </w:r>
          </w:p>
        </w:tc>
      </w:tr>
      <w:tr w:rsidR="00FA7EBF" w:rsidRPr="007939DD" w14:paraId="7937A928" w14:textId="77777777" w:rsidTr="007B207C">
        <w:trPr>
          <w:cantSplit/>
        </w:trPr>
        <w:tc>
          <w:tcPr>
            <w:tcW w:w="3972" w:type="dxa"/>
          </w:tcPr>
          <w:p w14:paraId="1F46B42A" w14:textId="77777777" w:rsidR="00FA7EBF" w:rsidRPr="007939DD" w:rsidRDefault="00FA7EBF" w:rsidP="007B207C">
            <w:pPr>
              <w:pStyle w:val="ARfintablebody"/>
              <w:rPr>
                <w:lang w:eastAsia="en-AU"/>
              </w:rPr>
            </w:pPr>
            <w:r w:rsidRPr="003A69DA">
              <w:t xml:space="preserve">Section 10 of the </w:t>
            </w:r>
            <w:r w:rsidRPr="00621416">
              <w:rPr>
                <w:rStyle w:val="Emphasis"/>
                <w:iCs w:val="0"/>
              </w:rPr>
              <w:t>Financial Management Act 1994</w:t>
            </w:r>
          </w:p>
        </w:tc>
        <w:tc>
          <w:tcPr>
            <w:tcW w:w="3405" w:type="dxa"/>
          </w:tcPr>
          <w:p w14:paraId="767A68A6" w14:textId="77777777" w:rsidR="00FA7EBF" w:rsidRPr="007939DD" w:rsidRDefault="00FA7EBF" w:rsidP="007B207C">
            <w:pPr>
              <w:pStyle w:val="ARfinbody"/>
            </w:pPr>
            <w:r w:rsidRPr="003A69DA">
              <w:t>Access to various Commonwealth grants – ATNAB</w:t>
            </w:r>
          </w:p>
        </w:tc>
        <w:tc>
          <w:tcPr>
            <w:tcW w:w="1127" w:type="dxa"/>
            <w:shd w:val="clear" w:color="auto" w:fill="E7E6E6"/>
          </w:tcPr>
          <w:p w14:paraId="510DADC0" w14:textId="77777777" w:rsidR="00FA7EBF" w:rsidRPr="007939DD" w:rsidRDefault="00FA7EBF" w:rsidP="007B207C">
            <w:pPr>
              <w:pStyle w:val="ARfintablebodyright"/>
              <w:rPr>
                <w:lang w:eastAsia="en-AU"/>
              </w:rPr>
            </w:pPr>
            <w:r w:rsidRPr="003A69DA">
              <w:t>4.0</w:t>
            </w:r>
          </w:p>
        </w:tc>
        <w:tc>
          <w:tcPr>
            <w:tcW w:w="1135" w:type="dxa"/>
          </w:tcPr>
          <w:p w14:paraId="14CF8BEC" w14:textId="77777777" w:rsidR="00FA7EBF" w:rsidRPr="007939DD" w:rsidRDefault="00FA7EBF" w:rsidP="007B207C">
            <w:pPr>
              <w:pStyle w:val="ARfintablebodyright"/>
              <w:rPr>
                <w:lang w:eastAsia="en-AU"/>
              </w:rPr>
            </w:pPr>
            <w:r w:rsidRPr="003A69DA">
              <w:t>14.6</w:t>
            </w:r>
          </w:p>
        </w:tc>
      </w:tr>
      <w:tr w:rsidR="00FA7EBF" w:rsidRPr="007939DD" w14:paraId="4EB9770B" w14:textId="77777777" w:rsidTr="007B207C">
        <w:trPr>
          <w:cantSplit/>
        </w:trPr>
        <w:tc>
          <w:tcPr>
            <w:tcW w:w="3972" w:type="dxa"/>
          </w:tcPr>
          <w:p w14:paraId="67616E39" w14:textId="77777777" w:rsidR="00FA7EBF" w:rsidRPr="007939DD" w:rsidRDefault="00FA7EBF" w:rsidP="007B207C">
            <w:pPr>
              <w:pStyle w:val="ARfintablebodybold"/>
              <w:rPr>
                <w:lang w:eastAsia="en-AU"/>
              </w:rPr>
            </w:pPr>
            <w:r w:rsidRPr="003A69DA">
              <w:t xml:space="preserve">Total special appropriations </w:t>
            </w:r>
            <w:r>
              <w:br/>
            </w:r>
            <w:r w:rsidRPr="003A69DA">
              <w:t>– Additions to net assets</w:t>
            </w:r>
          </w:p>
        </w:tc>
        <w:tc>
          <w:tcPr>
            <w:tcW w:w="3405" w:type="dxa"/>
          </w:tcPr>
          <w:p w14:paraId="1FCE62F1" w14:textId="77777777" w:rsidR="00FA7EBF" w:rsidRPr="007939DD" w:rsidRDefault="00FA7EBF" w:rsidP="007B207C">
            <w:pPr>
              <w:pStyle w:val="ARfinbody"/>
              <w:rPr>
                <w:b/>
                <w:bCs/>
              </w:rPr>
            </w:pPr>
          </w:p>
        </w:tc>
        <w:tc>
          <w:tcPr>
            <w:tcW w:w="1127" w:type="dxa"/>
            <w:shd w:val="clear" w:color="auto" w:fill="E7E6E6"/>
          </w:tcPr>
          <w:p w14:paraId="4BB6700C" w14:textId="77777777" w:rsidR="00FA7EBF" w:rsidRPr="007939DD" w:rsidRDefault="00FA7EBF" w:rsidP="007B207C">
            <w:pPr>
              <w:pStyle w:val="ARfintablebodyrightbold"/>
              <w:rPr>
                <w:lang w:eastAsia="en-AU"/>
              </w:rPr>
            </w:pPr>
            <w:r w:rsidRPr="003A69DA">
              <w:t>4.0</w:t>
            </w:r>
          </w:p>
        </w:tc>
        <w:tc>
          <w:tcPr>
            <w:tcW w:w="1135" w:type="dxa"/>
          </w:tcPr>
          <w:p w14:paraId="30F5548D" w14:textId="77777777" w:rsidR="00FA7EBF" w:rsidRPr="007939DD" w:rsidRDefault="00FA7EBF" w:rsidP="007B207C">
            <w:pPr>
              <w:pStyle w:val="ARfintablebodyrightbold"/>
              <w:rPr>
                <w:rStyle w:val="Strong"/>
              </w:rPr>
            </w:pPr>
            <w:r w:rsidRPr="003A69DA">
              <w:t>14.6</w:t>
            </w:r>
          </w:p>
        </w:tc>
      </w:tr>
      <w:tr w:rsidR="00FA7EBF" w:rsidRPr="007939DD" w14:paraId="22885FD5" w14:textId="77777777" w:rsidTr="007B207C">
        <w:trPr>
          <w:cantSplit/>
        </w:trPr>
        <w:tc>
          <w:tcPr>
            <w:tcW w:w="3972" w:type="dxa"/>
          </w:tcPr>
          <w:p w14:paraId="3C18C853" w14:textId="77777777" w:rsidR="00FA7EBF" w:rsidRPr="007939DD" w:rsidRDefault="00FA7EBF" w:rsidP="007B207C">
            <w:pPr>
              <w:pStyle w:val="ARfintablebodybold"/>
              <w:rPr>
                <w:lang w:eastAsia="en-AU"/>
              </w:rPr>
            </w:pPr>
            <w:r w:rsidRPr="003A69DA">
              <w:t>Total special appropriations</w:t>
            </w:r>
          </w:p>
        </w:tc>
        <w:tc>
          <w:tcPr>
            <w:tcW w:w="3405" w:type="dxa"/>
          </w:tcPr>
          <w:p w14:paraId="1DC9DE23" w14:textId="77777777" w:rsidR="00FA7EBF" w:rsidRPr="007939DD" w:rsidRDefault="00FA7EBF" w:rsidP="007B207C">
            <w:pPr>
              <w:pStyle w:val="ARfinbody"/>
              <w:rPr>
                <w:b/>
                <w:bCs/>
              </w:rPr>
            </w:pPr>
          </w:p>
        </w:tc>
        <w:tc>
          <w:tcPr>
            <w:tcW w:w="1127" w:type="dxa"/>
            <w:shd w:val="clear" w:color="auto" w:fill="E7E6E6"/>
          </w:tcPr>
          <w:p w14:paraId="645BB137" w14:textId="77777777" w:rsidR="00FA7EBF" w:rsidRPr="007939DD" w:rsidRDefault="00FA7EBF" w:rsidP="007B207C">
            <w:pPr>
              <w:pStyle w:val="ARfintablebodyrightbold"/>
              <w:rPr>
                <w:lang w:eastAsia="en-AU"/>
              </w:rPr>
            </w:pPr>
            <w:r w:rsidRPr="003A69DA">
              <w:t>1,517.4</w:t>
            </w:r>
          </w:p>
        </w:tc>
        <w:tc>
          <w:tcPr>
            <w:tcW w:w="1135" w:type="dxa"/>
          </w:tcPr>
          <w:p w14:paraId="2CAA7647" w14:textId="77777777" w:rsidR="00FA7EBF" w:rsidRPr="007939DD" w:rsidRDefault="00FA7EBF" w:rsidP="007B207C">
            <w:pPr>
              <w:pStyle w:val="ARfintablebodyrightbold"/>
              <w:rPr>
                <w:rStyle w:val="Strong"/>
              </w:rPr>
            </w:pPr>
            <w:r w:rsidRPr="003A69DA">
              <w:t>1,374.4</w:t>
            </w:r>
          </w:p>
        </w:tc>
      </w:tr>
    </w:tbl>
    <w:p w14:paraId="64D12047" w14:textId="77777777" w:rsidR="00FA7EBF" w:rsidRPr="00194D78" w:rsidRDefault="00FA7EBF" w:rsidP="00CA66FD">
      <w:pPr>
        <w:pStyle w:val="Heading4"/>
        <w:rPr>
          <w:lang w:eastAsia="en-AU"/>
        </w:rPr>
      </w:pPr>
      <w:r w:rsidRPr="00194D78">
        <w:rPr>
          <w:lang w:eastAsia="en-AU"/>
        </w:rPr>
        <w:t>2.4 Income from transactions</w:t>
      </w:r>
    </w:p>
    <w:p w14:paraId="45D042F2" w14:textId="77777777" w:rsidR="00FA7EBF" w:rsidRDefault="00FA7EBF" w:rsidP="00887F60">
      <w:pPr>
        <w:pStyle w:val="Heading5"/>
        <w:spacing w:before="0"/>
        <w:rPr>
          <w:lang w:eastAsia="en-AU"/>
        </w:rPr>
      </w:pPr>
      <w:r w:rsidRPr="00194D78">
        <w:rPr>
          <w:lang w:eastAsia="en-AU"/>
        </w:rPr>
        <w:t>2.4.1 Interest income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00C159FD" w14:textId="77777777" w:rsidTr="007B207C">
        <w:trPr>
          <w:cantSplit/>
          <w:tblHeader/>
        </w:trPr>
        <w:tc>
          <w:tcPr>
            <w:tcW w:w="7371" w:type="dxa"/>
            <w:vAlign w:val="bottom"/>
          </w:tcPr>
          <w:p w14:paraId="61A5211E" w14:textId="77777777" w:rsidR="00FA7EBF" w:rsidRPr="007939DD" w:rsidRDefault="00FA7EBF" w:rsidP="007B207C">
            <w:pPr>
              <w:autoSpaceDE w:val="0"/>
              <w:autoSpaceDN w:val="0"/>
              <w:adjustRightInd w:val="0"/>
              <w:spacing w:beforeLines="40" w:before="96" w:afterLines="20" w:after="48"/>
              <w:rPr>
                <w:rFonts w:cs="Arial"/>
                <w:color w:val="000000"/>
                <w:sz w:val="16"/>
                <w:szCs w:val="16"/>
              </w:rPr>
            </w:pPr>
          </w:p>
        </w:tc>
        <w:tc>
          <w:tcPr>
            <w:tcW w:w="1134" w:type="dxa"/>
            <w:shd w:val="clear" w:color="auto" w:fill="E7E6E6"/>
            <w:vAlign w:val="bottom"/>
          </w:tcPr>
          <w:p w14:paraId="16F4689F" w14:textId="77777777" w:rsidR="00FA7EBF" w:rsidRPr="007939DD" w:rsidRDefault="00FA7EBF" w:rsidP="007B207C">
            <w:pPr>
              <w:pStyle w:val="ARfintablecolheadright"/>
            </w:pPr>
            <w:r w:rsidRPr="007939DD">
              <w:t>201</w:t>
            </w:r>
            <w:r>
              <w:t>9</w:t>
            </w:r>
          </w:p>
          <w:p w14:paraId="395E64BE" w14:textId="77777777" w:rsidR="00FA7EBF" w:rsidRPr="007939DD" w:rsidRDefault="00FA7EBF" w:rsidP="007B207C">
            <w:pPr>
              <w:pStyle w:val="ARfintablecolheadright"/>
            </w:pPr>
            <w:r w:rsidRPr="007939DD">
              <w:t>$M</w:t>
            </w:r>
          </w:p>
        </w:tc>
        <w:tc>
          <w:tcPr>
            <w:tcW w:w="1134" w:type="dxa"/>
            <w:vAlign w:val="bottom"/>
          </w:tcPr>
          <w:p w14:paraId="754BA3B6" w14:textId="77777777" w:rsidR="00FA7EBF" w:rsidRPr="007939DD" w:rsidRDefault="00FA7EBF" w:rsidP="007B207C">
            <w:pPr>
              <w:pStyle w:val="ARfintablecolheadright"/>
            </w:pPr>
            <w:r w:rsidRPr="007939DD">
              <w:t>201</w:t>
            </w:r>
            <w:r>
              <w:t>8</w:t>
            </w:r>
          </w:p>
          <w:p w14:paraId="71D48363" w14:textId="77777777" w:rsidR="00FA7EBF" w:rsidRPr="007939DD" w:rsidRDefault="00FA7EBF" w:rsidP="007B207C">
            <w:pPr>
              <w:pStyle w:val="ARfintablecolheadright"/>
            </w:pPr>
            <w:r w:rsidRPr="007939DD">
              <w:t>$M</w:t>
            </w:r>
          </w:p>
        </w:tc>
      </w:tr>
      <w:tr w:rsidR="00FA7EBF" w:rsidRPr="007939DD" w14:paraId="3EF9FE7F" w14:textId="77777777" w:rsidTr="007B207C">
        <w:trPr>
          <w:cantSplit/>
        </w:trPr>
        <w:tc>
          <w:tcPr>
            <w:tcW w:w="9639" w:type="dxa"/>
            <w:gridSpan w:val="3"/>
            <w:tcBorders>
              <w:bottom w:val="single" w:sz="4" w:space="0" w:color="BFBFBF" w:themeColor="accent4"/>
            </w:tcBorders>
          </w:tcPr>
          <w:p w14:paraId="14A5FD7A" w14:textId="77777777" w:rsidR="00FA7EBF" w:rsidRPr="007939DD" w:rsidRDefault="00FA7EBF" w:rsidP="007B207C">
            <w:pPr>
              <w:pStyle w:val="ARfintablebodybold"/>
              <w:rPr>
                <w:lang w:eastAsia="en-AU"/>
              </w:rPr>
            </w:pPr>
            <w:r w:rsidRPr="00C00B34">
              <w:t>Interest from financial assets</w:t>
            </w:r>
          </w:p>
        </w:tc>
      </w:tr>
      <w:tr w:rsidR="00FA7EBF" w:rsidRPr="007939DD" w14:paraId="07CC08E2" w14:textId="77777777" w:rsidTr="007B207C">
        <w:trPr>
          <w:cantSplit/>
        </w:trPr>
        <w:tc>
          <w:tcPr>
            <w:tcW w:w="7371" w:type="dxa"/>
            <w:tcBorders>
              <w:top w:val="single" w:sz="4" w:space="0" w:color="BFBFBF" w:themeColor="accent4"/>
              <w:bottom w:val="single" w:sz="4" w:space="0" w:color="A6A6A6" w:themeColor="background1" w:themeShade="A6"/>
            </w:tcBorders>
          </w:tcPr>
          <w:p w14:paraId="17A536ED" w14:textId="77777777" w:rsidR="00FA7EBF" w:rsidRPr="007939DD" w:rsidRDefault="00FA7EBF" w:rsidP="007B207C">
            <w:pPr>
              <w:pStyle w:val="ARfintablebody"/>
              <w:rPr>
                <w:lang w:eastAsia="en-AU"/>
              </w:rPr>
            </w:pPr>
            <w:r w:rsidRPr="00C00B34">
              <w:t>– Interest on short</w:t>
            </w:r>
            <w:r>
              <w:t>-</w:t>
            </w:r>
            <w:r w:rsidRPr="00C00B34">
              <w:t>term deposits</w:t>
            </w:r>
          </w:p>
        </w:tc>
        <w:tc>
          <w:tcPr>
            <w:tcW w:w="1134" w:type="dxa"/>
            <w:tcBorders>
              <w:top w:val="single" w:sz="4" w:space="0" w:color="BFBFBF" w:themeColor="accent4"/>
              <w:bottom w:val="single" w:sz="4" w:space="0" w:color="A6A6A6" w:themeColor="background1" w:themeShade="A6"/>
            </w:tcBorders>
            <w:shd w:val="clear" w:color="auto" w:fill="E7E6E6"/>
          </w:tcPr>
          <w:p w14:paraId="3838E9BB" w14:textId="77777777" w:rsidR="00FA7EBF" w:rsidRPr="007939DD" w:rsidRDefault="00FA7EBF" w:rsidP="007B207C">
            <w:pPr>
              <w:pStyle w:val="ARfintablebodyright"/>
              <w:rPr>
                <w:lang w:eastAsia="en-AU"/>
              </w:rPr>
            </w:pPr>
            <w:r w:rsidRPr="00C00B34">
              <w:t>12.6</w:t>
            </w:r>
          </w:p>
        </w:tc>
        <w:tc>
          <w:tcPr>
            <w:tcW w:w="1134" w:type="dxa"/>
            <w:tcBorders>
              <w:top w:val="single" w:sz="4" w:space="0" w:color="BFBFBF" w:themeColor="accent4"/>
              <w:bottom w:val="single" w:sz="4" w:space="0" w:color="A6A6A6" w:themeColor="background1" w:themeShade="A6"/>
            </w:tcBorders>
          </w:tcPr>
          <w:p w14:paraId="7A6B7748" w14:textId="77777777" w:rsidR="00FA7EBF" w:rsidRPr="007939DD" w:rsidRDefault="00FA7EBF" w:rsidP="007B207C">
            <w:pPr>
              <w:pStyle w:val="ARfintablebodyright"/>
              <w:rPr>
                <w:lang w:eastAsia="en-AU"/>
              </w:rPr>
            </w:pPr>
            <w:r w:rsidRPr="00C00B34">
              <w:t>9.2</w:t>
            </w:r>
          </w:p>
        </w:tc>
      </w:tr>
      <w:tr w:rsidR="00FA7EBF" w:rsidRPr="007939DD" w14:paraId="4BACDD8E" w14:textId="77777777" w:rsidTr="007B207C">
        <w:trPr>
          <w:cantSplit/>
        </w:trPr>
        <w:tc>
          <w:tcPr>
            <w:tcW w:w="7371" w:type="dxa"/>
            <w:tcBorders>
              <w:top w:val="single" w:sz="4" w:space="0" w:color="A6A6A6" w:themeColor="background1" w:themeShade="A6"/>
            </w:tcBorders>
          </w:tcPr>
          <w:p w14:paraId="397D862A" w14:textId="77777777" w:rsidR="00FA7EBF" w:rsidRPr="007939DD" w:rsidRDefault="00FA7EBF" w:rsidP="007B207C">
            <w:pPr>
              <w:pStyle w:val="ARfintablebody"/>
              <w:rPr>
                <w:lang w:eastAsia="en-AU"/>
              </w:rPr>
            </w:pPr>
            <w:r w:rsidRPr="00C00B34">
              <w:t>– Interest from loans</w:t>
            </w:r>
          </w:p>
        </w:tc>
        <w:tc>
          <w:tcPr>
            <w:tcW w:w="1134" w:type="dxa"/>
            <w:tcBorders>
              <w:top w:val="single" w:sz="4" w:space="0" w:color="A6A6A6" w:themeColor="background1" w:themeShade="A6"/>
            </w:tcBorders>
            <w:shd w:val="clear" w:color="auto" w:fill="E7E6E6"/>
          </w:tcPr>
          <w:p w14:paraId="1F90DEB7" w14:textId="77777777" w:rsidR="00FA7EBF" w:rsidRPr="007939DD" w:rsidRDefault="00FA7EBF" w:rsidP="007B207C">
            <w:pPr>
              <w:pStyle w:val="ARfintablebodyright"/>
              <w:rPr>
                <w:lang w:eastAsia="en-AU"/>
              </w:rPr>
            </w:pPr>
            <w:r w:rsidRPr="00C00B34">
              <w:t>0.6</w:t>
            </w:r>
          </w:p>
        </w:tc>
        <w:tc>
          <w:tcPr>
            <w:tcW w:w="1134" w:type="dxa"/>
            <w:tcBorders>
              <w:top w:val="single" w:sz="4" w:space="0" w:color="A6A6A6" w:themeColor="background1" w:themeShade="A6"/>
            </w:tcBorders>
          </w:tcPr>
          <w:p w14:paraId="13BCC3B6" w14:textId="77777777" w:rsidR="00FA7EBF" w:rsidRPr="007939DD" w:rsidRDefault="00FA7EBF" w:rsidP="007B207C">
            <w:pPr>
              <w:pStyle w:val="ARfintablebodyright"/>
              <w:rPr>
                <w:lang w:eastAsia="en-AU"/>
              </w:rPr>
            </w:pPr>
            <w:r w:rsidRPr="00C00B34">
              <w:t>0.8</w:t>
            </w:r>
          </w:p>
        </w:tc>
      </w:tr>
      <w:tr w:rsidR="00FA7EBF" w:rsidRPr="007939DD" w14:paraId="0A094DB5" w14:textId="77777777" w:rsidTr="007B207C">
        <w:trPr>
          <w:cantSplit/>
        </w:trPr>
        <w:tc>
          <w:tcPr>
            <w:tcW w:w="7371" w:type="dxa"/>
          </w:tcPr>
          <w:p w14:paraId="41BC7284" w14:textId="77777777" w:rsidR="00FA7EBF" w:rsidRPr="007939DD" w:rsidRDefault="00FA7EBF" w:rsidP="007B207C">
            <w:pPr>
              <w:pStyle w:val="ARfintablebodybold"/>
              <w:rPr>
                <w:lang w:eastAsia="en-AU"/>
              </w:rPr>
            </w:pPr>
            <w:r w:rsidRPr="00C00B34">
              <w:t>Total interest</w:t>
            </w:r>
          </w:p>
        </w:tc>
        <w:tc>
          <w:tcPr>
            <w:tcW w:w="1134" w:type="dxa"/>
            <w:shd w:val="clear" w:color="auto" w:fill="E7E6E6"/>
          </w:tcPr>
          <w:p w14:paraId="75821B4D" w14:textId="77777777" w:rsidR="00FA7EBF" w:rsidRPr="007939DD" w:rsidRDefault="00FA7EBF" w:rsidP="007B207C">
            <w:pPr>
              <w:pStyle w:val="ARfintablebodyrightbold"/>
              <w:rPr>
                <w:bCs/>
                <w:lang w:eastAsia="en-AU"/>
              </w:rPr>
            </w:pPr>
            <w:r w:rsidRPr="00C00B34">
              <w:t>13.2</w:t>
            </w:r>
          </w:p>
        </w:tc>
        <w:tc>
          <w:tcPr>
            <w:tcW w:w="1134" w:type="dxa"/>
          </w:tcPr>
          <w:p w14:paraId="1B5E41A6" w14:textId="77777777" w:rsidR="00FA7EBF" w:rsidRPr="007939DD" w:rsidRDefault="00FA7EBF" w:rsidP="007B207C">
            <w:pPr>
              <w:pStyle w:val="ARfintablebodyrightbold"/>
              <w:rPr>
                <w:rStyle w:val="Strong"/>
              </w:rPr>
            </w:pPr>
            <w:r w:rsidRPr="00C00B34">
              <w:t>10.0</w:t>
            </w:r>
          </w:p>
        </w:tc>
      </w:tr>
    </w:tbl>
    <w:p w14:paraId="21F6C869" w14:textId="77777777" w:rsidR="00FA7EBF" w:rsidRPr="00194D78" w:rsidRDefault="00FA7EBF" w:rsidP="00CA66FD">
      <w:pPr>
        <w:pStyle w:val="ARfinbodyaftertable"/>
      </w:pPr>
      <w:r w:rsidRPr="00194D78">
        <w:t>Interest income includes interest received on bank</w:t>
      </w:r>
      <w:r>
        <w:t>,</w:t>
      </w:r>
      <w:r w:rsidRPr="00194D78">
        <w:t xml:space="preserve"> term deposits and other investments. Interest income is recognised using the accruals method which allocates the interest over the relevant period.</w:t>
      </w:r>
    </w:p>
    <w:p w14:paraId="13732BB4" w14:textId="77777777" w:rsidR="00FA7EBF" w:rsidRDefault="00FA7EBF" w:rsidP="00CA66FD">
      <w:pPr>
        <w:pStyle w:val="Heading5"/>
        <w:rPr>
          <w:lang w:eastAsia="en-AU"/>
        </w:rPr>
      </w:pPr>
      <w:r w:rsidRPr="00194D78">
        <w:rPr>
          <w:lang w:eastAsia="en-AU"/>
        </w:rPr>
        <w:t>2.4.2 Rental income and income from services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6895C73E" w14:textId="77777777" w:rsidTr="007B207C">
        <w:trPr>
          <w:cantSplit/>
          <w:tblHeader/>
        </w:trPr>
        <w:tc>
          <w:tcPr>
            <w:tcW w:w="7371" w:type="dxa"/>
            <w:vAlign w:val="bottom"/>
          </w:tcPr>
          <w:p w14:paraId="44605DC6" w14:textId="77777777" w:rsidR="00FA7EBF" w:rsidRPr="007939DD" w:rsidRDefault="00FA7EBF" w:rsidP="007B207C">
            <w:pPr>
              <w:autoSpaceDE w:val="0"/>
              <w:autoSpaceDN w:val="0"/>
              <w:adjustRightInd w:val="0"/>
              <w:spacing w:beforeLines="40" w:before="96" w:afterLines="20" w:after="48"/>
              <w:rPr>
                <w:rFonts w:cs="Arial"/>
                <w:color w:val="000000"/>
                <w:sz w:val="16"/>
                <w:szCs w:val="16"/>
              </w:rPr>
            </w:pPr>
          </w:p>
        </w:tc>
        <w:tc>
          <w:tcPr>
            <w:tcW w:w="1134" w:type="dxa"/>
            <w:shd w:val="clear" w:color="auto" w:fill="E7E6E6"/>
            <w:vAlign w:val="bottom"/>
          </w:tcPr>
          <w:p w14:paraId="3FFA5669" w14:textId="77777777" w:rsidR="00FA7EBF" w:rsidRPr="007939DD" w:rsidRDefault="00FA7EBF" w:rsidP="007B207C">
            <w:pPr>
              <w:pStyle w:val="ARfintablecolheadright"/>
            </w:pPr>
            <w:r w:rsidRPr="007939DD">
              <w:t>201</w:t>
            </w:r>
            <w:r>
              <w:t>9</w:t>
            </w:r>
          </w:p>
          <w:p w14:paraId="01D1E00D" w14:textId="77777777" w:rsidR="00FA7EBF" w:rsidRPr="007939DD" w:rsidRDefault="00FA7EBF" w:rsidP="007B207C">
            <w:pPr>
              <w:pStyle w:val="ARfintablecolheadright"/>
            </w:pPr>
            <w:r w:rsidRPr="007939DD">
              <w:t>$M</w:t>
            </w:r>
          </w:p>
        </w:tc>
        <w:tc>
          <w:tcPr>
            <w:tcW w:w="1134" w:type="dxa"/>
            <w:vAlign w:val="bottom"/>
          </w:tcPr>
          <w:p w14:paraId="6B8D0765" w14:textId="77777777" w:rsidR="00FA7EBF" w:rsidRPr="007939DD" w:rsidRDefault="00FA7EBF" w:rsidP="007B207C">
            <w:pPr>
              <w:pStyle w:val="ARfintablecolheadright"/>
            </w:pPr>
            <w:r w:rsidRPr="007939DD">
              <w:t>201</w:t>
            </w:r>
            <w:r>
              <w:t>8</w:t>
            </w:r>
          </w:p>
          <w:p w14:paraId="1C61A223" w14:textId="77777777" w:rsidR="00FA7EBF" w:rsidRPr="007939DD" w:rsidRDefault="00FA7EBF" w:rsidP="007B207C">
            <w:pPr>
              <w:pStyle w:val="ARfintablecolheadright"/>
            </w:pPr>
            <w:r w:rsidRPr="007939DD">
              <w:t>$M</w:t>
            </w:r>
          </w:p>
        </w:tc>
      </w:tr>
      <w:tr w:rsidR="00FA7EBF" w:rsidRPr="007939DD" w14:paraId="48F03359" w14:textId="77777777" w:rsidTr="007B207C">
        <w:trPr>
          <w:cantSplit/>
        </w:trPr>
        <w:tc>
          <w:tcPr>
            <w:tcW w:w="7371" w:type="dxa"/>
            <w:tcBorders>
              <w:bottom w:val="single" w:sz="4" w:space="0" w:color="A6A6A6" w:themeColor="background1" w:themeShade="A6"/>
            </w:tcBorders>
          </w:tcPr>
          <w:p w14:paraId="55098E02" w14:textId="77777777" w:rsidR="00FA7EBF" w:rsidRPr="007939DD" w:rsidRDefault="00FA7EBF" w:rsidP="007B207C">
            <w:pPr>
              <w:pStyle w:val="ARfintablebody"/>
              <w:rPr>
                <w:lang w:eastAsia="en-AU"/>
              </w:rPr>
            </w:pPr>
            <w:r w:rsidRPr="00B8645B">
              <w:t>Rental income raised</w:t>
            </w:r>
          </w:p>
        </w:tc>
        <w:tc>
          <w:tcPr>
            <w:tcW w:w="1134" w:type="dxa"/>
            <w:tcBorders>
              <w:bottom w:val="single" w:sz="4" w:space="0" w:color="A6A6A6" w:themeColor="background1" w:themeShade="A6"/>
            </w:tcBorders>
            <w:shd w:val="clear" w:color="auto" w:fill="E7E6E6"/>
          </w:tcPr>
          <w:p w14:paraId="6A99BF8F" w14:textId="77777777" w:rsidR="00FA7EBF" w:rsidRPr="007939DD" w:rsidRDefault="00FA7EBF" w:rsidP="007B207C">
            <w:pPr>
              <w:pStyle w:val="ARfintablebodyright"/>
              <w:rPr>
                <w:lang w:eastAsia="en-AU"/>
              </w:rPr>
            </w:pPr>
            <w:r w:rsidRPr="00B8645B">
              <w:t>998.8</w:t>
            </w:r>
          </w:p>
        </w:tc>
        <w:tc>
          <w:tcPr>
            <w:tcW w:w="1134" w:type="dxa"/>
            <w:tcBorders>
              <w:bottom w:val="single" w:sz="4" w:space="0" w:color="A6A6A6" w:themeColor="background1" w:themeShade="A6"/>
            </w:tcBorders>
          </w:tcPr>
          <w:p w14:paraId="2756D32D" w14:textId="77777777" w:rsidR="00FA7EBF" w:rsidRPr="007939DD" w:rsidRDefault="00FA7EBF" w:rsidP="007B207C">
            <w:pPr>
              <w:pStyle w:val="ARfintablebodyright"/>
              <w:rPr>
                <w:lang w:eastAsia="en-AU"/>
              </w:rPr>
            </w:pPr>
            <w:r w:rsidRPr="00B8645B">
              <w:t>973.2</w:t>
            </w:r>
          </w:p>
        </w:tc>
      </w:tr>
      <w:tr w:rsidR="00FA7EBF" w:rsidRPr="007939DD" w14:paraId="3C9F48BC"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41EEBA8B" w14:textId="77777777" w:rsidR="00FA7EBF" w:rsidRPr="007939DD" w:rsidRDefault="00FA7EBF" w:rsidP="007B207C">
            <w:pPr>
              <w:pStyle w:val="ARfintablebody"/>
              <w:rPr>
                <w:lang w:eastAsia="en-AU"/>
              </w:rPr>
            </w:pPr>
            <w:r w:rsidRPr="00B8645B">
              <w:t>Rental rebates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E773ED5" w14:textId="77777777" w:rsidR="00FA7EBF" w:rsidRPr="007939DD" w:rsidRDefault="00FA7EBF" w:rsidP="007B207C">
            <w:pPr>
              <w:pStyle w:val="ARfintablebodyright"/>
              <w:rPr>
                <w:lang w:eastAsia="en-AU"/>
              </w:rPr>
            </w:pPr>
            <w:r w:rsidRPr="00B8645B">
              <w:t>(502.7)</w:t>
            </w:r>
          </w:p>
        </w:tc>
        <w:tc>
          <w:tcPr>
            <w:tcW w:w="1134" w:type="dxa"/>
            <w:tcBorders>
              <w:top w:val="single" w:sz="4" w:space="0" w:color="A6A6A6" w:themeColor="background1" w:themeShade="A6"/>
              <w:bottom w:val="single" w:sz="4" w:space="0" w:color="A6A6A6" w:themeColor="background1" w:themeShade="A6"/>
            </w:tcBorders>
          </w:tcPr>
          <w:p w14:paraId="3FB27780" w14:textId="77777777" w:rsidR="00FA7EBF" w:rsidRPr="007939DD" w:rsidRDefault="00FA7EBF" w:rsidP="007B207C">
            <w:pPr>
              <w:pStyle w:val="ARfintablebodyright"/>
              <w:rPr>
                <w:lang w:eastAsia="en-AU"/>
              </w:rPr>
            </w:pPr>
            <w:r w:rsidRPr="00B8645B">
              <w:t>(484.1)</w:t>
            </w:r>
          </w:p>
        </w:tc>
      </w:tr>
      <w:tr w:rsidR="00FA7EBF" w:rsidRPr="007939DD" w14:paraId="4E0EDC4B"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45B628F7" w14:textId="77777777" w:rsidR="00FA7EBF" w:rsidRPr="007939DD" w:rsidRDefault="00FA7EBF" w:rsidP="007B207C">
            <w:pPr>
              <w:pStyle w:val="ARfintablebody"/>
              <w:rPr>
                <w:lang w:eastAsia="en-AU"/>
              </w:rPr>
            </w:pPr>
            <w:r w:rsidRPr="00B8645B">
              <w:t>Rental subsidies – welfare organisations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84E6F4F" w14:textId="77777777" w:rsidR="00FA7EBF" w:rsidRPr="007939DD" w:rsidRDefault="00FA7EBF" w:rsidP="007B207C">
            <w:pPr>
              <w:pStyle w:val="ARfintablebodyright"/>
              <w:rPr>
                <w:lang w:eastAsia="en-AU"/>
              </w:rPr>
            </w:pPr>
            <w:r w:rsidRPr="00B8645B">
              <w:t>(11.8)</w:t>
            </w:r>
          </w:p>
        </w:tc>
        <w:tc>
          <w:tcPr>
            <w:tcW w:w="1134" w:type="dxa"/>
            <w:tcBorders>
              <w:top w:val="single" w:sz="4" w:space="0" w:color="A6A6A6" w:themeColor="background1" w:themeShade="A6"/>
              <w:bottom w:val="single" w:sz="4" w:space="0" w:color="A6A6A6" w:themeColor="background1" w:themeShade="A6"/>
            </w:tcBorders>
          </w:tcPr>
          <w:p w14:paraId="741112E5" w14:textId="77777777" w:rsidR="00FA7EBF" w:rsidRPr="007939DD" w:rsidRDefault="00FA7EBF" w:rsidP="007B207C">
            <w:pPr>
              <w:pStyle w:val="ARfintablebodyright"/>
              <w:rPr>
                <w:lang w:eastAsia="en-AU"/>
              </w:rPr>
            </w:pPr>
            <w:r w:rsidRPr="00B8645B">
              <w:t>(9.4)</w:t>
            </w:r>
          </w:p>
        </w:tc>
      </w:tr>
      <w:tr w:rsidR="00FA7EBF" w:rsidRPr="007939DD" w14:paraId="3EB177DC" w14:textId="77777777" w:rsidTr="007B207C">
        <w:trPr>
          <w:cantSplit/>
        </w:trPr>
        <w:tc>
          <w:tcPr>
            <w:tcW w:w="7371" w:type="dxa"/>
            <w:tcBorders>
              <w:top w:val="single" w:sz="4" w:space="0" w:color="A6A6A6" w:themeColor="background1" w:themeShade="A6"/>
            </w:tcBorders>
          </w:tcPr>
          <w:p w14:paraId="2B2601E3" w14:textId="77777777" w:rsidR="00FA7EBF" w:rsidRPr="007939DD" w:rsidRDefault="00FA7EBF" w:rsidP="007B207C">
            <w:pPr>
              <w:pStyle w:val="ARfintablebody"/>
              <w:rPr>
                <w:lang w:eastAsia="en-AU"/>
              </w:rPr>
            </w:pPr>
            <w:r w:rsidRPr="00B8645B">
              <w:t>Shared Home Ownership Scheme – rent raised</w:t>
            </w:r>
          </w:p>
        </w:tc>
        <w:tc>
          <w:tcPr>
            <w:tcW w:w="1134" w:type="dxa"/>
            <w:tcBorders>
              <w:top w:val="single" w:sz="4" w:space="0" w:color="A6A6A6" w:themeColor="background1" w:themeShade="A6"/>
            </w:tcBorders>
            <w:shd w:val="clear" w:color="auto" w:fill="E7E6E6"/>
          </w:tcPr>
          <w:p w14:paraId="6C2336BB" w14:textId="77777777" w:rsidR="00FA7EBF" w:rsidRPr="007939DD" w:rsidRDefault="00FA7EBF" w:rsidP="007B207C">
            <w:pPr>
              <w:pStyle w:val="ARfintablebodyright"/>
              <w:rPr>
                <w:lang w:eastAsia="en-AU"/>
              </w:rPr>
            </w:pPr>
            <w:r w:rsidRPr="00B8645B">
              <w:t>2.0</w:t>
            </w:r>
          </w:p>
        </w:tc>
        <w:tc>
          <w:tcPr>
            <w:tcW w:w="1134" w:type="dxa"/>
            <w:tcBorders>
              <w:top w:val="single" w:sz="4" w:space="0" w:color="A6A6A6" w:themeColor="background1" w:themeShade="A6"/>
            </w:tcBorders>
          </w:tcPr>
          <w:p w14:paraId="1DF798E6" w14:textId="77777777" w:rsidR="00FA7EBF" w:rsidRPr="007939DD" w:rsidRDefault="00FA7EBF" w:rsidP="007B207C">
            <w:pPr>
              <w:pStyle w:val="ARfintablebodyright"/>
              <w:rPr>
                <w:lang w:eastAsia="en-AU"/>
              </w:rPr>
            </w:pPr>
            <w:r w:rsidRPr="00B8645B">
              <w:t>2.0</w:t>
            </w:r>
          </w:p>
        </w:tc>
      </w:tr>
      <w:tr w:rsidR="00FA7EBF" w:rsidRPr="007939DD" w14:paraId="05A840D0" w14:textId="77777777" w:rsidTr="007B207C">
        <w:trPr>
          <w:cantSplit/>
        </w:trPr>
        <w:tc>
          <w:tcPr>
            <w:tcW w:w="7371" w:type="dxa"/>
          </w:tcPr>
          <w:p w14:paraId="395017A0" w14:textId="77777777" w:rsidR="00FA7EBF" w:rsidRPr="007939DD" w:rsidRDefault="00FA7EBF" w:rsidP="007B207C">
            <w:pPr>
              <w:pStyle w:val="ARfintablebodybold"/>
              <w:rPr>
                <w:rStyle w:val="Strong"/>
              </w:rPr>
            </w:pPr>
            <w:r w:rsidRPr="00B8645B">
              <w:t>Total net rent receivable</w:t>
            </w:r>
          </w:p>
        </w:tc>
        <w:tc>
          <w:tcPr>
            <w:tcW w:w="1134" w:type="dxa"/>
            <w:shd w:val="clear" w:color="auto" w:fill="E7E6E6"/>
          </w:tcPr>
          <w:p w14:paraId="50A733C2" w14:textId="77777777" w:rsidR="00FA7EBF" w:rsidRPr="007939DD" w:rsidRDefault="00FA7EBF" w:rsidP="007B207C">
            <w:pPr>
              <w:pStyle w:val="ARfintablebodyrightbold"/>
              <w:rPr>
                <w:lang w:eastAsia="en-AU"/>
              </w:rPr>
            </w:pPr>
            <w:r w:rsidRPr="00B8645B">
              <w:t>486.3</w:t>
            </w:r>
          </w:p>
        </w:tc>
        <w:tc>
          <w:tcPr>
            <w:tcW w:w="1134" w:type="dxa"/>
          </w:tcPr>
          <w:p w14:paraId="39798320" w14:textId="77777777" w:rsidR="00FA7EBF" w:rsidRPr="007939DD" w:rsidRDefault="00FA7EBF" w:rsidP="007B207C">
            <w:pPr>
              <w:pStyle w:val="ARfintablebodyrightbold"/>
              <w:rPr>
                <w:rStyle w:val="Strong"/>
              </w:rPr>
            </w:pPr>
            <w:r w:rsidRPr="00B8645B">
              <w:t>481.8</w:t>
            </w:r>
          </w:p>
        </w:tc>
      </w:tr>
      <w:tr w:rsidR="00FA7EBF" w:rsidRPr="007939DD" w14:paraId="61D25840" w14:textId="77777777" w:rsidTr="007B207C">
        <w:trPr>
          <w:cantSplit/>
        </w:trPr>
        <w:tc>
          <w:tcPr>
            <w:tcW w:w="7371" w:type="dxa"/>
            <w:tcBorders>
              <w:bottom w:val="single" w:sz="4" w:space="0" w:color="A6A6A6" w:themeColor="background1" w:themeShade="A6"/>
            </w:tcBorders>
          </w:tcPr>
          <w:p w14:paraId="22CB2B67" w14:textId="77777777" w:rsidR="00FA7EBF" w:rsidRPr="007939DD" w:rsidRDefault="00FA7EBF" w:rsidP="007B207C">
            <w:pPr>
              <w:pStyle w:val="ARfintablebody"/>
              <w:rPr>
                <w:lang w:eastAsia="en-AU"/>
              </w:rPr>
            </w:pPr>
            <w:r w:rsidRPr="00B8645B">
              <w:t>Total user charges – rental properties</w:t>
            </w:r>
          </w:p>
        </w:tc>
        <w:tc>
          <w:tcPr>
            <w:tcW w:w="1134" w:type="dxa"/>
            <w:tcBorders>
              <w:bottom w:val="single" w:sz="4" w:space="0" w:color="A6A6A6" w:themeColor="background1" w:themeShade="A6"/>
            </w:tcBorders>
            <w:shd w:val="clear" w:color="auto" w:fill="E7E6E6"/>
          </w:tcPr>
          <w:p w14:paraId="674CDEF7" w14:textId="77777777" w:rsidR="00FA7EBF" w:rsidRPr="007939DD" w:rsidRDefault="00FA7EBF" w:rsidP="007B207C">
            <w:pPr>
              <w:pStyle w:val="ARfintablebodyright"/>
              <w:rPr>
                <w:lang w:eastAsia="en-AU"/>
              </w:rPr>
            </w:pPr>
            <w:r w:rsidRPr="00B8645B">
              <w:t>4.8</w:t>
            </w:r>
          </w:p>
        </w:tc>
        <w:tc>
          <w:tcPr>
            <w:tcW w:w="1134" w:type="dxa"/>
            <w:tcBorders>
              <w:bottom w:val="single" w:sz="4" w:space="0" w:color="A6A6A6" w:themeColor="background1" w:themeShade="A6"/>
            </w:tcBorders>
          </w:tcPr>
          <w:p w14:paraId="0B128DB0" w14:textId="77777777" w:rsidR="00FA7EBF" w:rsidRPr="007939DD" w:rsidRDefault="00FA7EBF" w:rsidP="007B207C">
            <w:pPr>
              <w:pStyle w:val="ARfintablebodyright"/>
              <w:rPr>
                <w:lang w:eastAsia="en-AU"/>
              </w:rPr>
            </w:pPr>
            <w:r w:rsidRPr="00B8645B">
              <w:t>4.9</w:t>
            </w:r>
          </w:p>
        </w:tc>
      </w:tr>
      <w:tr w:rsidR="00FA7EBF" w:rsidRPr="007939DD" w14:paraId="63484389" w14:textId="77777777" w:rsidTr="007B207C">
        <w:trPr>
          <w:cantSplit/>
        </w:trPr>
        <w:tc>
          <w:tcPr>
            <w:tcW w:w="7371" w:type="dxa"/>
            <w:tcBorders>
              <w:top w:val="single" w:sz="4" w:space="0" w:color="A6A6A6" w:themeColor="background1" w:themeShade="A6"/>
            </w:tcBorders>
          </w:tcPr>
          <w:p w14:paraId="5D907BBF" w14:textId="77777777" w:rsidR="00FA7EBF" w:rsidRPr="007939DD" w:rsidRDefault="00FA7EBF" w:rsidP="007B207C">
            <w:pPr>
              <w:pStyle w:val="ARfintablebody"/>
              <w:rPr>
                <w:lang w:eastAsia="en-AU"/>
              </w:rPr>
            </w:pPr>
            <w:r w:rsidRPr="00B8645B">
              <w:t>Rendering of services</w:t>
            </w:r>
          </w:p>
        </w:tc>
        <w:tc>
          <w:tcPr>
            <w:tcW w:w="1134" w:type="dxa"/>
            <w:tcBorders>
              <w:top w:val="single" w:sz="4" w:space="0" w:color="A6A6A6" w:themeColor="background1" w:themeShade="A6"/>
            </w:tcBorders>
            <w:shd w:val="clear" w:color="auto" w:fill="E7E6E6"/>
          </w:tcPr>
          <w:p w14:paraId="0AE828D4" w14:textId="77777777" w:rsidR="00FA7EBF" w:rsidRPr="007939DD" w:rsidRDefault="00FA7EBF" w:rsidP="007B207C">
            <w:pPr>
              <w:pStyle w:val="ARfintablebodyright"/>
              <w:rPr>
                <w:lang w:eastAsia="en-AU"/>
              </w:rPr>
            </w:pPr>
            <w:r>
              <w:t>–</w:t>
            </w:r>
          </w:p>
        </w:tc>
        <w:tc>
          <w:tcPr>
            <w:tcW w:w="1134" w:type="dxa"/>
            <w:tcBorders>
              <w:top w:val="single" w:sz="4" w:space="0" w:color="A6A6A6" w:themeColor="background1" w:themeShade="A6"/>
            </w:tcBorders>
          </w:tcPr>
          <w:p w14:paraId="077309B6" w14:textId="77777777" w:rsidR="00FA7EBF" w:rsidRPr="007939DD" w:rsidRDefault="00FA7EBF" w:rsidP="007B207C">
            <w:pPr>
              <w:pStyle w:val="ARfintablebodyright"/>
              <w:rPr>
                <w:lang w:eastAsia="en-AU"/>
              </w:rPr>
            </w:pPr>
            <w:r w:rsidRPr="00B8645B">
              <w:t>0.4</w:t>
            </w:r>
          </w:p>
        </w:tc>
      </w:tr>
      <w:tr w:rsidR="00FA7EBF" w:rsidRPr="007939DD" w14:paraId="53F61725" w14:textId="77777777" w:rsidTr="007B207C">
        <w:trPr>
          <w:cantSplit/>
        </w:trPr>
        <w:tc>
          <w:tcPr>
            <w:tcW w:w="7371" w:type="dxa"/>
          </w:tcPr>
          <w:p w14:paraId="6653D65A" w14:textId="77777777" w:rsidR="00FA7EBF" w:rsidRPr="007939DD" w:rsidRDefault="00FA7EBF" w:rsidP="007B207C">
            <w:pPr>
              <w:pStyle w:val="ARfintablebodybold"/>
              <w:rPr>
                <w:lang w:eastAsia="en-AU"/>
              </w:rPr>
            </w:pPr>
            <w:r w:rsidRPr="00B8645B">
              <w:t>Total rental income and income from services</w:t>
            </w:r>
          </w:p>
        </w:tc>
        <w:tc>
          <w:tcPr>
            <w:tcW w:w="1134" w:type="dxa"/>
            <w:shd w:val="clear" w:color="auto" w:fill="E7E6E6"/>
          </w:tcPr>
          <w:p w14:paraId="39533701" w14:textId="77777777" w:rsidR="00FA7EBF" w:rsidRPr="007939DD" w:rsidRDefault="00FA7EBF" w:rsidP="007B207C">
            <w:pPr>
              <w:pStyle w:val="ARfintablebodyrightbold"/>
              <w:rPr>
                <w:lang w:eastAsia="en-AU"/>
              </w:rPr>
            </w:pPr>
            <w:r w:rsidRPr="00B8645B">
              <w:t>491.1</w:t>
            </w:r>
          </w:p>
        </w:tc>
        <w:tc>
          <w:tcPr>
            <w:tcW w:w="1134" w:type="dxa"/>
          </w:tcPr>
          <w:p w14:paraId="4871E1F4" w14:textId="77777777" w:rsidR="00FA7EBF" w:rsidRPr="007939DD" w:rsidRDefault="00FA7EBF" w:rsidP="007B207C">
            <w:pPr>
              <w:pStyle w:val="ARfintablebodyrightbold"/>
              <w:rPr>
                <w:rStyle w:val="Strong"/>
              </w:rPr>
            </w:pPr>
            <w:r w:rsidRPr="00B8645B">
              <w:t>487.0</w:t>
            </w:r>
          </w:p>
        </w:tc>
      </w:tr>
    </w:tbl>
    <w:p w14:paraId="22E2C78D" w14:textId="77777777" w:rsidR="00FA7EBF" w:rsidRPr="00194D78" w:rsidRDefault="00FA7EBF" w:rsidP="00CA66FD">
      <w:pPr>
        <w:pStyle w:val="ARfinbodyaftertable"/>
      </w:pPr>
      <w:r w:rsidRPr="00181119">
        <w:rPr>
          <w:rStyle w:val="Strong"/>
          <w:bCs w:val="0"/>
        </w:rPr>
        <w:t>Rental income</w:t>
      </w:r>
      <w:r w:rsidRPr="00194D78">
        <w:t xml:space="preserve"> arising from tenancy operating agreements is recognised on a straight-line basis over the terms of the ongoing agreements. This is subject to annual review. Rental rebates or subsidies provided to tenants are recognised on a straight-line basis over the term of the agreements. These are subject to bi-annual review.</w:t>
      </w:r>
    </w:p>
    <w:p w14:paraId="710E2F48" w14:textId="77777777" w:rsidR="00FA7EBF" w:rsidRPr="00194D78" w:rsidRDefault="00FA7EBF" w:rsidP="00CA66FD">
      <w:pPr>
        <w:pStyle w:val="Heading6"/>
        <w:rPr>
          <w:lang w:eastAsia="en-AU"/>
        </w:rPr>
      </w:pPr>
      <w:r w:rsidRPr="00194D78">
        <w:rPr>
          <w:lang w:eastAsia="en-AU"/>
        </w:rPr>
        <w:t>Operating leases</w:t>
      </w:r>
      <w:r>
        <w:rPr>
          <w:lang w:eastAsia="en-AU"/>
        </w:rPr>
        <w:t xml:space="preserve"> – </w:t>
      </w:r>
      <w:r w:rsidRPr="00194D78">
        <w:rPr>
          <w:lang w:eastAsia="en-AU"/>
        </w:rPr>
        <w:t>lessors</w:t>
      </w:r>
    </w:p>
    <w:p w14:paraId="4838CCCD" w14:textId="77777777" w:rsidR="00FA7EBF" w:rsidRPr="00194D78" w:rsidRDefault="00FA7EBF" w:rsidP="00CA66FD">
      <w:pPr>
        <w:pStyle w:val="ARfinbody"/>
      </w:pPr>
      <w:r w:rsidRPr="00194D78">
        <w:t>The Department of Health and Human Services provides rental accommodation for a range of clients. These are public rental units that are owned and operated by the Director of Housing which have week-to-week tenancy agreements.</w:t>
      </w:r>
    </w:p>
    <w:p w14:paraId="4615A0D3" w14:textId="77777777" w:rsidR="00FA7EBF" w:rsidRPr="00194D78" w:rsidRDefault="00FA7EBF" w:rsidP="00CA66FD">
      <w:pPr>
        <w:pStyle w:val="ARfinbody"/>
      </w:pPr>
      <w:r w:rsidRPr="00194D78">
        <w:t>These agreements are subject to the Residential Tenancy Act provisions which allow termination of a lease under certain circumstances, accordingly the future revenue streams from the lease agreements are not required to be reported under AASB 117.</w:t>
      </w:r>
    </w:p>
    <w:p w14:paraId="46C79C03" w14:textId="77777777" w:rsidR="00FA7EBF" w:rsidRPr="00194D78" w:rsidRDefault="00FA7EBF" w:rsidP="00CA66FD">
      <w:pPr>
        <w:pStyle w:val="ARfinbody"/>
      </w:pPr>
      <w:r w:rsidRPr="00194D78">
        <w:t xml:space="preserve">Income from the </w:t>
      </w:r>
      <w:r w:rsidRPr="00181119">
        <w:rPr>
          <w:rStyle w:val="Strong"/>
          <w:bCs w:val="0"/>
        </w:rPr>
        <w:t>supply of services</w:t>
      </w:r>
      <w:r w:rsidRPr="00194D78">
        <w:t xml:space="preserve"> is recognised by reference to the stage of completion basis. The income is recognised when:</w:t>
      </w:r>
    </w:p>
    <w:p w14:paraId="72B9055D" w14:textId="77777777" w:rsidR="00FA7EBF" w:rsidRPr="00194D78" w:rsidRDefault="00FA7EBF" w:rsidP="00CA66FD">
      <w:pPr>
        <w:pStyle w:val="ARfinbullet1"/>
        <w:numPr>
          <w:ilvl w:val="0"/>
          <w:numId w:val="4"/>
        </w:numPr>
      </w:pPr>
      <w:r w:rsidRPr="00194D78">
        <w:t>the amount of the income, stage of completion and transaction costs incurred can be reliably measured</w:t>
      </w:r>
      <w:r>
        <w:t>, and</w:t>
      </w:r>
    </w:p>
    <w:p w14:paraId="3F0FBEAA" w14:textId="77777777" w:rsidR="00FA7EBF" w:rsidRPr="00194D78" w:rsidRDefault="00FA7EBF" w:rsidP="00CA66FD">
      <w:pPr>
        <w:pStyle w:val="ARfinbullet1"/>
        <w:numPr>
          <w:ilvl w:val="0"/>
          <w:numId w:val="4"/>
        </w:numPr>
      </w:pPr>
      <w:r w:rsidRPr="00194D78">
        <w:t>it is probable that the economic benefits associated with the transaction will flow to the department.</w:t>
      </w:r>
    </w:p>
    <w:p w14:paraId="5A125F97" w14:textId="77777777" w:rsidR="00FA7EBF" w:rsidRPr="00194D78" w:rsidRDefault="00FA7EBF" w:rsidP="00CA66FD">
      <w:pPr>
        <w:pStyle w:val="ARfinbody"/>
      </w:pPr>
      <w:r w:rsidRPr="00194D78">
        <w:t>Under the stage of completion method, income is recognised by reference to labour hours supplied or to labour hours supplied as a percentage of total services to be performed in each annual reporting period.</w:t>
      </w:r>
    </w:p>
    <w:p w14:paraId="0DEA09E9" w14:textId="77777777" w:rsidR="00FA7EBF" w:rsidRDefault="00FA7EBF" w:rsidP="006944B3">
      <w:pPr>
        <w:pStyle w:val="Heading5"/>
        <w:spacing w:before="160" w:after="40"/>
        <w:rPr>
          <w:lang w:eastAsia="en-AU"/>
        </w:rPr>
      </w:pPr>
      <w:r w:rsidRPr="00194D78">
        <w:rPr>
          <w:lang w:eastAsia="en-AU"/>
        </w:rPr>
        <w:t>2.4.3 Grants and other income transfers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17C71192" w14:textId="77777777" w:rsidTr="007B207C">
        <w:trPr>
          <w:cantSplit/>
          <w:tblHeader/>
        </w:trPr>
        <w:tc>
          <w:tcPr>
            <w:tcW w:w="7371" w:type="dxa"/>
            <w:vAlign w:val="bottom"/>
          </w:tcPr>
          <w:p w14:paraId="668AF241" w14:textId="77777777" w:rsidR="00FA7EBF" w:rsidRPr="007939DD" w:rsidRDefault="00FA7EBF" w:rsidP="006944B3">
            <w:pPr>
              <w:autoSpaceDE w:val="0"/>
              <w:autoSpaceDN w:val="0"/>
              <w:adjustRightInd w:val="0"/>
              <w:spacing w:before="30" w:after="20"/>
              <w:rPr>
                <w:rFonts w:cs="Arial"/>
                <w:color w:val="000000"/>
                <w:sz w:val="16"/>
                <w:szCs w:val="16"/>
              </w:rPr>
            </w:pPr>
          </w:p>
        </w:tc>
        <w:tc>
          <w:tcPr>
            <w:tcW w:w="1134" w:type="dxa"/>
            <w:shd w:val="clear" w:color="auto" w:fill="E7E6E6"/>
            <w:vAlign w:val="bottom"/>
          </w:tcPr>
          <w:p w14:paraId="7B7C93CE" w14:textId="77777777" w:rsidR="00FA7EBF" w:rsidRPr="007939DD" w:rsidRDefault="00FA7EBF" w:rsidP="006944B3">
            <w:pPr>
              <w:pStyle w:val="ARfintablecolheadright"/>
              <w:spacing w:before="30" w:after="20"/>
            </w:pPr>
            <w:r w:rsidRPr="007939DD">
              <w:t>201</w:t>
            </w:r>
            <w:r>
              <w:t>9</w:t>
            </w:r>
          </w:p>
          <w:p w14:paraId="753F5120" w14:textId="77777777" w:rsidR="00FA7EBF" w:rsidRPr="007939DD" w:rsidRDefault="00FA7EBF" w:rsidP="006944B3">
            <w:pPr>
              <w:pStyle w:val="ARfintablecolheadright"/>
              <w:spacing w:before="30" w:after="20"/>
            </w:pPr>
            <w:r w:rsidRPr="007939DD">
              <w:t>$M</w:t>
            </w:r>
          </w:p>
        </w:tc>
        <w:tc>
          <w:tcPr>
            <w:tcW w:w="1134" w:type="dxa"/>
            <w:vAlign w:val="bottom"/>
          </w:tcPr>
          <w:p w14:paraId="19182C3E" w14:textId="77777777" w:rsidR="00FA7EBF" w:rsidRPr="007939DD" w:rsidRDefault="00FA7EBF" w:rsidP="006944B3">
            <w:pPr>
              <w:pStyle w:val="ARfintablecolheadright"/>
              <w:spacing w:before="30" w:after="20"/>
            </w:pPr>
            <w:r w:rsidRPr="007939DD">
              <w:t>201</w:t>
            </w:r>
            <w:r>
              <w:t>8</w:t>
            </w:r>
          </w:p>
          <w:p w14:paraId="4F66047D" w14:textId="77777777" w:rsidR="00FA7EBF" w:rsidRPr="007939DD" w:rsidRDefault="00FA7EBF" w:rsidP="006944B3">
            <w:pPr>
              <w:pStyle w:val="ARfintablecolheadright"/>
              <w:spacing w:before="30" w:after="20"/>
            </w:pPr>
            <w:r w:rsidRPr="007939DD">
              <w:t>$M</w:t>
            </w:r>
          </w:p>
        </w:tc>
      </w:tr>
      <w:tr w:rsidR="00FA7EBF" w:rsidRPr="007939DD" w14:paraId="4648FDE8" w14:textId="77777777" w:rsidTr="007B207C">
        <w:trPr>
          <w:cantSplit/>
        </w:trPr>
        <w:tc>
          <w:tcPr>
            <w:tcW w:w="7371" w:type="dxa"/>
            <w:tcBorders>
              <w:bottom w:val="single" w:sz="4" w:space="0" w:color="A6A6A6" w:themeColor="background1" w:themeShade="A6"/>
            </w:tcBorders>
          </w:tcPr>
          <w:p w14:paraId="4AF9BF91" w14:textId="77777777" w:rsidR="00FA7EBF" w:rsidRPr="007939DD" w:rsidRDefault="00FA7EBF" w:rsidP="006944B3">
            <w:pPr>
              <w:pStyle w:val="ARfintablebody"/>
              <w:spacing w:before="30"/>
              <w:rPr>
                <w:lang w:eastAsia="en-AU"/>
              </w:rPr>
            </w:pPr>
            <w:r w:rsidRPr="00E56EFF">
              <w:t>Department of Treasury and Finance</w:t>
            </w:r>
          </w:p>
        </w:tc>
        <w:tc>
          <w:tcPr>
            <w:tcW w:w="1134" w:type="dxa"/>
            <w:tcBorders>
              <w:bottom w:val="single" w:sz="4" w:space="0" w:color="A6A6A6" w:themeColor="background1" w:themeShade="A6"/>
            </w:tcBorders>
            <w:shd w:val="clear" w:color="auto" w:fill="E7E6E6"/>
          </w:tcPr>
          <w:p w14:paraId="6A36F9FC" w14:textId="77777777" w:rsidR="00FA7EBF" w:rsidRPr="007939DD" w:rsidRDefault="00FA7EBF" w:rsidP="006944B3">
            <w:pPr>
              <w:pStyle w:val="ARfintablebodyright"/>
              <w:spacing w:before="30"/>
              <w:rPr>
                <w:lang w:eastAsia="en-AU"/>
              </w:rPr>
            </w:pPr>
            <w:r w:rsidRPr="00E56EFF">
              <w:t>90.0</w:t>
            </w:r>
          </w:p>
        </w:tc>
        <w:tc>
          <w:tcPr>
            <w:tcW w:w="1134" w:type="dxa"/>
            <w:tcBorders>
              <w:bottom w:val="single" w:sz="4" w:space="0" w:color="A6A6A6" w:themeColor="background1" w:themeShade="A6"/>
            </w:tcBorders>
          </w:tcPr>
          <w:p w14:paraId="5A21305B" w14:textId="77777777" w:rsidR="00FA7EBF" w:rsidRPr="007939DD" w:rsidRDefault="00FA7EBF" w:rsidP="006944B3">
            <w:pPr>
              <w:pStyle w:val="ARfintablebodyright"/>
              <w:spacing w:before="30"/>
              <w:rPr>
                <w:lang w:eastAsia="en-AU"/>
              </w:rPr>
            </w:pPr>
            <w:r w:rsidRPr="00E56EFF">
              <w:t>91.0</w:t>
            </w:r>
          </w:p>
        </w:tc>
      </w:tr>
      <w:tr w:rsidR="00FA7EBF" w:rsidRPr="007939DD" w14:paraId="598D393B"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94187DE" w14:textId="77777777" w:rsidR="00FA7EBF" w:rsidRPr="007939DD" w:rsidRDefault="00FA7EBF" w:rsidP="006944B3">
            <w:pPr>
              <w:pStyle w:val="ARfintablebody"/>
              <w:spacing w:before="30"/>
              <w:rPr>
                <w:lang w:eastAsia="en-AU"/>
              </w:rPr>
            </w:pPr>
            <w:r w:rsidRPr="00E56EFF">
              <w:t>Department of Education and Training</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20640A3" w14:textId="77777777" w:rsidR="00FA7EBF" w:rsidRPr="007939DD" w:rsidRDefault="00FA7EBF" w:rsidP="006944B3">
            <w:pPr>
              <w:pStyle w:val="ARfintablebodyright"/>
              <w:spacing w:before="30"/>
              <w:rPr>
                <w:lang w:eastAsia="en-AU"/>
              </w:rPr>
            </w:pPr>
            <w:r w:rsidRPr="00E56EFF">
              <w:t>31.7</w:t>
            </w:r>
          </w:p>
        </w:tc>
        <w:tc>
          <w:tcPr>
            <w:tcW w:w="1134" w:type="dxa"/>
            <w:tcBorders>
              <w:top w:val="single" w:sz="4" w:space="0" w:color="A6A6A6" w:themeColor="background1" w:themeShade="A6"/>
              <w:bottom w:val="single" w:sz="4" w:space="0" w:color="A6A6A6" w:themeColor="background1" w:themeShade="A6"/>
            </w:tcBorders>
          </w:tcPr>
          <w:p w14:paraId="24EAAA1F" w14:textId="77777777" w:rsidR="00FA7EBF" w:rsidRPr="007939DD" w:rsidRDefault="00FA7EBF" w:rsidP="006944B3">
            <w:pPr>
              <w:pStyle w:val="ARfintablebodyright"/>
              <w:spacing w:before="30"/>
              <w:rPr>
                <w:lang w:eastAsia="en-AU"/>
              </w:rPr>
            </w:pPr>
            <w:r w:rsidRPr="00E56EFF">
              <w:t>19.2</w:t>
            </w:r>
          </w:p>
        </w:tc>
      </w:tr>
      <w:tr w:rsidR="00FA7EBF" w:rsidRPr="007939DD" w14:paraId="7A1F952D"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9D981B3" w14:textId="77777777" w:rsidR="00FA7EBF" w:rsidRPr="007939DD" w:rsidRDefault="00FA7EBF" w:rsidP="006944B3">
            <w:pPr>
              <w:pStyle w:val="ARfintablebody"/>
              <w:spacing w:before="30"/>
              <w:rPr>
                <w:lang w:eastAsia="en-AU"/>
              </w:rPr>
            </w:pPr>
            <w:r w:rsidRPr="00E56EFF">
              <w:t>Department of Economic Development, Jobs, Transport and Resources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8516DC5" w14:textId="77777777" w:rsidR="00FA7EBF" w:rsidRPr="007939DD" w:rsidRDefault="00FA7EBF" w:rsidP="006944B3">
            <w:pPr>
              <w:pStyle w:val="ARfintablebodyright"/>
              <w:spacing w:before="30"/>
              <w:rPr>
                <w:lang w:eastAsia="en-AU"/>
              </w:rPr>
            </w:pPr>
            <w:r w:rsidRPr="00E56EFF">
              <w:t>26.5</w:t>
            </w:r>
          </w:p>
        </w:tc>
        <w:tc>
          <w:tcPr>
            <w:tcW w:w="1134" w:type="dxa"/>
            <w:tcBorders>
              <w:top w:val="single" w:sz="4" w:space="0" w:color="A6A6A6" w:themeColor="background1" w:themeShade="A6"/>
              <w:bottom w:val="single" w:sz="4" w:space="0" w:color="A6A6A6" w:themeColor="background1" w:themeShade="A6"/>
            </w:tcBorders>
          </w:tcPr>
          <w:p w14:paraId="76ECEBD0" w14:textId="77777777" w:rsidR="00FA7EBF" w:rsidRPr="007939DD" w:rsidRDefault="00FA7EBF" w:rsidP="006944B3">
            <w:pPr>
              <w:pStyle w:val="ARfintablebodyright"/>
              <w:spacing w:before="30"/>
              <w:rPr>
                <w:lang w:eastAsia="en-AU"/>
              </w:rPr>
            </w:pPr>
            <w:r w:rsidRPr="00E56EFF">
              <w:t>28.3</w:t>
            </w:r>
          </w:p>
        </w:tc>
      </w:tr>
      <w:tr w:rsidR="00FA7EBF" w:rsidRPr="007939DD" w14:paraId="2D9D6F4D"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8AAE10D" w14:textId="77777777" w:rsidR="00FA7EBF" w:rsidRPr="007939DD" w:rsidRDefault="00FA7EBF" w:rsidP="006944B3">
            <w:pPr>
              <w:pStyle w:val="ARfintablebody"/>
              <w:spacing w:before="30"/>
              <w:rPr>
                <w:lang w:eastAsia="en-AU"/>
              </w:rPr>
            </w:pPr>
            <w:r w:rsidRPr="00E56EFF">
              <w:t>Department of Environment, Land, Water and Planning</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E887362" w14:textId="77777777" w:rsidR="00FA7EBF" w:rsidRPr="007939DD" w:rsidRDefault="00FA7EBF" w:rsidP="006944B3">
            <w:pPr>
              <w:pStyle w:val="ARfintablebodyright"/>
              <w:spacing w:before="30"/>
              <w:rPr>
                <w:lang w:eastAsia="en-AU"/>
              </w:rPr>
            </w:pPr>
            <w:r w:rsidRPr="00E56EFF">
              <w:t>6.9</w:t>
            </w:r>
          </w:p>
        </w:tc>
        <w:tc>
          <w:tcPr>
            <w:tcW w:w="1134" w:type="dxa"/>
            <w:tcBorders>
              <w:top w:val="single" w:sz="4" w:space="0" w:color="A6A6A6" w:themeColor="background1" w:themeShade="A6"/>
              <w:bottom w:val="single" w:sz="4" w:space="0" w:color="A6A6A6" w:themeColor="background1" w:themeShade="A6"/>
            </w:tcBorders>
          </w:tcPr>
          <w:p w14:paraId="13BF5145" w14:textId="77777777" w:rsidR="00FA7EBF" w:rsidRPr="007939DD" w:rsidRDefault="00FA7EBF" w:rsidP="006944B3">
            <w:pPr>
              <w:pStyle w:val="ARfintablebodyright"/>
              <w:spacing w:before="30"/>
              <w:rPr>
                <w:lang w:eastAsia="en-AU"/>
              </w:rPr>
            </w:pPr>
            <w:r w:rsidRPr="00E56EFF">
              <w:t>5.1</w:t>
            </w:r>
          </w:p>
        </w:tc>
      </w:tr>
      <w:tr w:rsidR="00FA7EBF" w:rsidRPr="007939DD" w14:paraId="1EBF49BE"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0BC3AF66" w14:textId="77777777" w:rsidR="00FA7EBF" w:rsidRPr="007939DD" w:rsidRDefault="00FA7EBF" w:rsidP="006944B3">
            <w:pPr>
              <w:pStyle w:val="ARfintablebody"/>
              <w:spacing w:before="30"/>
              <w:rPr>
                <w:lang w:eastAsia="en-AU"/>
              </w:rPr>
            </w:pPr>
            <w:r w:rsidRPr="00E56EFF">
              <w:t xml:space="preserve">Department of Justice and </w:t>
            </w:r>
            <w:r>
              <w:t>Regulation</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D2C8809" w14:textId="77777777" w:rsidR="00FA7EBF" w:rsidRPr="007939DD" w:rsidRDefault="00FA7EBF" w:rsidP="006944B3">
            <w:pPr>
              <w:pStyle w:val="ARfintablebodyright"/>
              <w:spacing w:before="30"/>
              <w:rPr>
                <w:lang w:eastAsia="en-AU"/>
              </w:rPr>
            </w:pPr>
            <w:r w:rsidRPr="00E56EFF">
              <w:t>12.3</w:t>
            </w:r>
          </w:p>
        </w:tc>
        <w:tc>
          <w:tcPr>
            <w:tcW w:w="1134" w:type="dxa"/>
            <w:tcBorders>
              <w:top w:val="single" w:sz="4" w:space="0" w:color="A6A6A6" w:themeColor="background1" w:themeShade="A6"/>
              <w:bottom w:val="single" w:sz="4" w:space="0" w:color="A6A6A6" w:themeColor="background1" w:themeShade="A6"/>
            </w:tcBorders>
          </w:tcPr>
          <w:p w14:paraId="606BB302" w14:textId="77777777" w:rsidR="00FA7EBF" w:rsidRPr="007939DD" w:rsidRDefault="00FA7EBF" w:rsidP="006944B3">
            <w:pPr>
              <w:pStyle w:val="ARfintablebodyright"/>
              <w:spacing w:before="30"/>
              <w:rPr>
                <w:lang w:eastAsia="en-AU"/>
              </w:rPr>
            </w:pPr>
            <w:r w:rsidRPr="00E56EFF">
              <w:t>17.4</w:t>
            </w:r>
          </w:p>
        </w:tc>
      </w:tr>
      <w:tr w:rsidR="00FA7EBF" w:rsidRPr="007939DD" w14:paraId="749A2BD1"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B7CB4B9" w14:textId="77777777" w:rsidR="00FA7EBF" w:rsidRPr="007939DD" w:rsidRDefault="00FA7EBF" w:rsidP="006944B3">
            <w:pPr>
              <w:pStyle w:val="ARfintablebody"/>
              <w:spacing w:before="30"/>
              <w:rPr>
                <w:lang w:eastAsia="en-AU"/>
              </w:rPr>
            </w:pPr>
            <w:r w:rsidRPr="00E56EFF">
              <w:t>Department of Premier and Cabinet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A2DE79C" w14:textId="77777777" w:rsidR="00FA7EBF" w:rsidRPr="007939DD" w:rsidRDefault="00FA7EBF" w:rsidP="006944B3">
            <w:pPr>
              <w:pStyle w:val="ARfintablebodyright"/>
              <w:spacing w:before="30"/>
              <w:rPr>
                <w:lang w:eastAsia="en-AU"/>
              </w:rPr>
            </w:pPr>
            <w:r w:rsidRPr="00E56EFF">
              <w:t>10.4</w:t>
            </w:r>
          </w:p>
        </w:tc>
        <w:tc>
          <w:tcPr>
            <w:tcW w:w="1134" w:type="dxa"/>
            <w:tcBorders>
              <w:top w:val="single" w:sz="4" w:space="0" w:color="A6A6A6" w:themeColor="background1" w:themeShade="A6"/>
              <w:bottom w:val="single" w:sz="4" w:space="0" w:color="A6A6A6" w:themeColor="background1" w:themeShade="A6"/>
            </w:tcBorders>
          </w:tcPr>
          <w:p w14:paraId="7E1B33AB" w14:textId="77777777" w:rsidR="00FA7EBF" w:rsidRPr="007939DD" w:rsidRDefault="00FA7EBF" w:rsidP="006944B3">
            <w:pPr>
              <w:pStyle w:val="ARfintablebodyright"/>
              <w:spacing w:before="30"/>
              <w:rPr>
                <w:lang w:eastAsia="en-AU"/>
              </w:rPr>
            </w:pPr>
            <w:r w:rsidRPr="00E56EFF">
              <w:t>27.0</w:t>
            </w:r>
          </w:p>
        </w:tc>
      </w:tr>
      <w:tr w:rsidR="00FA7EBF" w:rsidRPr="007939DD" w14:paraId="332602B2"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598FE523" w14:textId="77777777" w:rsidR="00FA7EBF" w:rsidRPr="007939DD" w:rsidRDefault="00FA7EBF" w:rsidP="006944B3">
            <w:pPr>
              <w:pStyle w:val="ARfintablebody"/>
              <w:spacing w:before="30"/>
              <w:rPr>
                <w:lang w:eastAsia="en-AU"/>
              </w:rPr>
            </w:pPr>
            <w:r w:rsidRPr="00E56EFF">
              <w:t>Other state departments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056656E" w14:textId="77777777" w:rsidR="00FA7EBF" w:rsidRPr="007939DD" w:rsidRDefault="00FA7EBF" w:rsidP="006944B3">
            <w:pPr>
              <w:pStyle w:val="ARfintablebodyright"/>
              <w:spacing w:before="30"/>
              <w:rPr>
                <w:lang w:eastAsia="en-AU"/>
              </w:rPr>
            </w:pPr>
            <w:r w:rsidRPr="00E56EFF">
              <w:t>9.9</w:t>
            </w:r>
          </w:p>
        </w:tc>
        <w:tc>
          <w:tcPr>
            <w:tcW w:w="1134" w:type="dxa"/>
            <w:tcBorders>
              <w:top w:val="single" w:sz="4" w:space="0" w:color="A6A6A6" w:themeColor="background1" w:themeShade="A6"/>
              <w:bottom w:val="single" w:sz="4" w:space="0" w:color="A6A6A6" w:themeColor="background1" w:themeShade="A6"/>
            </w:tcBorders>
          </w:tcPr>
          <w:p w14:paraId="0D7DEE27" w14:textId="77777777" w:rsidR="00FA7EBF" w:rsidRPr="007939DD" w:rsidRDefault="00FA7EBF" w:rsidP="006944B3">
            <w:pPr>
              <w:pStyle w:val="ARfintablebodyright"/>
              <w:spacing w:before="30"/>
              <w:rPr>
                <w:lang w:eastAsia="en-AU"/>
              </w:rPr>
            </w:pPr>
            <w:r w:rsidRPr="00E56EFF">
              <w:t>6.2</w:t>
            </w:r>
          </w:p>
        </w:tc>
      </w:tr>
      <w:tr w:rsidR="00FA7EBF" w:rsidRPr="007939DD" w14:paraId="7CEB7DEC"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5442352B" w14:textId="77777777" w:rsidR="00FA7EBF" w:rsidRPr="007939DD" w:rsidRDefault="00FA7EBF" w:rsidP="006944B3">
            <w:pPr>
              <w:pStyle w:val="ARfintablebody"/>
              <w:spacing w:before="30"/>
              <w:rPr>
                <w:lang w:eastAsia="en-AU"/>
              </w:rPr>
            </w:pPr>
            <w:r w:rsidRPr="00E56EFF">
              <w:t>Court Services Victoria</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AFEA21E" w14:textId="77777777" w:rsidR="00FA7EBF" w:rsidRPr="007939DD" w:rsidRDefault="00FA7EBF" w:rsidP="006944B3">
            <w:pPr>
              <w:pStyle w:val="ARfintablebodyright"/>
              <w:spacing w:before="30"/>
              <w:rPr>
                <w:lang w:eastAsia="en-AU"/>
              </w:rPr>
            </w:pPr>
            <w:r w:rsidRPr="00E56EFF">
              <w:t>3.2</w:t>
            </w:r>
          </w:p>
        </w:tc>
        <w:tc>
          <w:tcPr>
            <w:tcW w:w="1134" w:type="dxa"/>
            <w:tcBorders>
              <w:top w:val="single" w:sz="4" w:space="0" w:color="A6A6A6" w:themeColor="background1" w:themeShade="A6"/>
              <w:bottom w:val="single" w:sz="4" w:space="0" w:color="A6A6A6" w:themeColor="background1" w:themeShade="A6"/>
            </w:tcBorders>
          </w:tcPr>
          <w:p w14:paraId="659E1729" w14:textId="77777777" w:rsidR="00FA7EBF" w:rsidRPr="007939DD" w:rsidRDefault="00FA7EBF" w:rsidP="006944B3">
            <w:pPr>
              <w:pStyle w:val="ARfintablebodyright"/>
              <w:spacing w:before="30"/>
              <w:rPr>
                <w:lang w:eastAsia="en-AU"/>
              </w:rPr>
            </w:pPr>
            <w:r w:rsidRPr="00E56EFF">
              <w:t>3.0</w:t>
            </w:r>
          </w:p>
        </w:tc>
      </w:tr>
      <w:tr w:rsidR="00FA7EBF" w:rsidRPr="007939DD" w14:paraId="72D2D62A"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14AB480" w14:textId="77777777" w:rsidR="00FA7EBF" w:rsidRPr="007939DD" w:rsidRDefault="00FA7EBF" w:rsidP="006944B3">
            <w:pPr>
              <w:pStyle w:val="ARfintablebody"/>
              <w:spacing w:before="30"/>
              <w:rPr>
                <w:lang w:eastAsia="en-AU"/>
              </w:rPr>
            </w:pPr>
            <w:r w:rsidRPr="00E56EFF">
              <w:t xml:space="preserve">Commonwealth </w:t>
            </w:r>
            <w:r>
              <w:t>G</w:t>
            </w:r>
            <w:r w:rsidRPr="00E56EFF">
              <w:t>overnment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9FB96BF" w14:textId="77777777" w:rsidR="00FA7EBF" w:rsidRPr="007939DD" w:rsidRDefault="00FA7EBF" w:rsidP="006944B3">
            <w:pPr>
              <w:pStyle w:val="ARfintablebodyright"/>
              <w:spacing w:before="30"/>
              <w:rPr>
                <w:lang w:eastAsia="en-AU"/>
              </w:rPr>
            </w:pPr>
            <w:r w:rsidRPr="00E56EFF">
              <w:t>921.4</w:t>
            </w:r>
          </w:p>
        </w:tc>
        <w:tc>
          <w:tcPr>
            <w:tcW w:w="1134" w:type="dxa"/>
            <w:tcBorders>
              <w:top w:val="single" w:sz="4" w:space="0" w:color="A6A6A6" w:themeColor="background1" w:themeShade="A6"/>
              <w:bottom w:val="single" w:sz="4" w:space="0" w:color="A6A6A6" w:themeColor="background1" w:themeShade="A6"/>
            </w:tcBorders>
          </w:tcPr>
          <w:p w14:paraId="23D30E28" w14:textId="77777777" w:rsidR="00FA7EBF" w:rsidRPr="007939DD" w:rsidRDefault="00FA7EBF" w:rsidP="006944B3">
            <w:pPr>
              <w:pStyle w:val="ARfintablebodyright"/>
              <w:spacing w:before="30"/>
              <w:rPr>
                <w:lang w:eastAsia="en-AU"/>
              </w:rPr>
            </w:pPr>
            <w:r w:rsidRPr="00E56EFF">
              <w:t>785.8</w:t>
            </w:r>
          </w:p>
        </w:tc>
      </w:tr>
      <w:tr w:rsidR="00FA7EBF" w:rsidRPr="007939DD" w14:paraId="3127D0F6"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D6F0DF5" w14:textId="77777777" w:rsidR="00FA7EBF" w:rsidRPr="007939DD" w:rsidRDefault="00FA7EBF" w:rsidP="006944B3">
            <w:pPr>
              <w:pStyle w:val="ARfintablebody"/>
              <w:spacing w:before="30"/>
              <w:rPr>
                <w:lang w:eastAsia="en-AU"/>
              </w:rPr>
            </w:pPr>
            <w:r w:rsidRPr="00E56EFF">
              <w:t>WorkSafe Victoria</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8773DDB" w14:textId="77777777" w:rsidR="00FA7EBF" w:rsidRPr="007939DD" w:rsidRDefault="00FA7EBF" w:rsidP="006944B3">
            <w:pPr>
              <w:pStyle w:val="ARfintablebodyright"/>
              <w:spacing w:before="30"/>
              <w:rPr>
                <w:lang w:eastAsia="en-AU"/>
              </w:rPr>
            </w:pPr>
            <w:r w:rsidRPr="00E56EFF">
              <w:t>20.0</w:t>
            </w:r>
          </w:p>
        </w:tc>
        <w:tc>
          <w:tcPr>
            <w:tcW w:w="1134" w:type="dxa"/>
            <w:tcBorders>
              <w:top w:val="single" w:sz="4" w:space="0" w:color="A6A6A6" w:themeColor="background1" w:themeShade="A6"/>
              <w:bottom w:val="single" w:sz="4" w:space="0" w:color="A6A6A6" w:themeColor="background1" w:themeShade="A6"/>
            </w:tcBorders>
          </w:tcPr>
          <w:p w14:paraId="218CC9D6" w14:textId="77777777" w:rsidR="00FA7EBF" w:rsidRPr="007939DD" w:rsidRDefault="00FA7EBF" w:rsidP="006944B3">
            <w:pPr>
              <w:pStyle w:val="ARfintablebodyright"/>
              <w:spacing w:before="30"/>
              <w:rPr>
                <w:lang w:eastAsia="en-AU"/>
              </w:rPr>
            </w:pPr>
            <w:r w:rsidRPr="00E56EFF">
              <w:t>–</w:t>
            </w:r>
          </w:p>
        </w:tc>
      </w:tr>
      <w:tr w:rsidR="00FA7EBF" w:rsidRPr="007939DD" w14:paraId="3BB8A5A0"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5F884C60" w14:textId="77777777" w:rsidR="00FA7EBF" w:rsidRPr="007939DD" w:rsidRDefault="00FA7EBF" w:rsidP="006944B3">
            <w:pPr>
              <w:pStyle w:val="ARfintablebody"/>
              <w:spacing w:before="30"/>
              <w:rPr>
                <w:lang w:eastAsia="en-AU"/>
              </w:rPr>
            </w:pPr>
            <w:r w:rsidRPr="00E56EFF">
              <w:t>Melbourne and Olympic Parks Trust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AE6E501" w14:textId="77777777" w:rsidR="00FA7EBF" w:rsidRPr="007939DD" w:rsidRDefault="00FA7EBF" w:rsidP="006944B3">
            <w:pPr>
              <w:pStyle w:val="ARfintablebodyright"/>
              <w:spacing w:before="30"/>
              <w:rPr>
                <w:lang w:eastAsia="en-AU"/>
              </w:rPr>
            </w:pPr>
            <w:r w:rsidRPr="00E56EFF">
              <w:t>–</w:t>
            </w:r>
          </w:p>
        </w:tc>
        <w:tc>
          <w:tcPr>
            <w:tcW w:w="1134" w:type="dxa"/>
            <w:tcBorders>
              <w:top w:val="single" w:sz="4" w:space="0" w:color="A6A6A6" w:themeColor="background1" w:themeShade="A6"/>
              <w:bottom w:val="single" w:sz="4" w:space="0" w:color="A6A6A6" w:themeColor="background1" w:themeShade="A6"/>
            </w:tcBorders>
          </w:tcPr>
          <w:p w14:paraId="56EC20F1" w14:textId="77777777" w:rsidR="00FA7EBF" w:rsidRPr="007939DD" w:rsidRDefault="00FA7EBF" w:rsidP="006944B3">
            <w:pPr>
              <w:pStyle w:val="ARfintablebodyright"/>
              <w:spacing w:before="30"/>
              <w:rPr>
                <w:lang w:eastAsia="en-AU"/>
              </w:rPr>
            </w:pPr>
            <w:r w:rsidRPr="00E56EFF">
              <w:t>6.1</w:t>
            </w:r>
          </w:p>
        </w:tc>
      </w:tr>
      <w:tr w:rsidR="00FA7EBF" w:rsidRPr="007939DD" w14:paraId="10D0FB73" w14:textId="77777777" w:rsidTr="007B207C">
        <w:trPr>
          <w:cantSplit/>
        </w:trPr>
        <w:tc>
          <w:tcPr>
            <w:tcW w:w="7371" w:type="dxa"/>
            <w:tcBorders>
              <w:top w:val="single" w:sz="4" w:space="0" w:color="A6A6A6" w:themeColor="background1" w:themeShade="A6"/>
            </w:tcBorders>
          </w:tcPr>
          <w:p w14:paraId="35B6D06E" w14:textId="77777777" w:rsidR="00FA7EBF" w:rsidRPr="007939DD" w:rsidRDefault="00FA7EBF" w:rsidP="006944B3">
            <w:pPr>
              <w:pStyle w:val="ARfintablebody"/>
              <w:spacing w:before="30"/>
              <w:rPr>
                <w:lang w:eastAsia="en-AU"/>
              </w:rPr>
            </w:pPr>
            <w:r w:rsidRPr="00E56EFF">
              <w:t>Other public bodies</w:t>
            </w:r>
          </w:p>
        </w:tc>
        <w:tc>
          <w:tcPr>
            <w:tcW w:w="1134" w:type="dxa"/>
            <w:tcBorders>
              <w:top w:val="single" w:sz="4" w:space="0" w:color="A6A6A6" w:themeColor="background1" w:themeShade="A6"/>
            </w:tcBorders>
            <w:shd w:val="clear" w:color="auto" w:fill="E7E6E6"/>
          </w:tcPr>
          <w:p w14:paraId="4166D59E" w14:textId="77777777" w:rsidR="00FA7EBF" w:rsidRPr="007939DD" w:rsidRDefault="00FA7EBF" w:rsidP="006944B3">
            <w:pPr>
              <w:pStyle w:val="ARfintablebodyright"/>
              <w:spacing w:before="30"/>
              <w:rPr>
                <w:lang w:eastAsia="en-AU"/>
              </w:rPr>
            </w:pPr>
            <w:r w:rsidRPr="00E56EFF">
              <w:t>1.3</w:t>
            </w:r>
          </w:p>
        </w:tc>
        <w:tc>
          <w:tcPr>
            <w:tcW w:w="1134" w:type="dxa"/>
            <w:tcBorders>
              <w:top w:val="single" w:sz="4" w:space="0" w:color="A6A6A6" w:themeColor="background1" w:themeShade="A6"/>
            </w:tcBorders>
          </w:tcPr>
          <w:p w14:paraId="211DD715" w14:textId="77777777" w:rsidR="00FA7EBF" w:rsidRPr="007939DD" w:rsidRDefault="00FA7EBF" w:rsidP="006944B3">
            <w:pPr>
              <w:pStyle w:val="ARfintablebodyright"/>
              <w:spacing w:before="30"/>
              <w:rPr>
                <w:lang w:eastAsia="en-AU"/>
              </w:rPr>
            </w:pPr>
            <w:r w:rsidRPr="00E56EFF">
              <w:t>2.0</w:t>
            </w:r>
          </w:p>
        </w:tc>
      </w:tr>
      <w:tr w:rsidR="00FA7EBF" w:rsidRPr="007939DD" w14:paraId="0F94E7E8" w14:textId="77777777" w:rsidTr="007B207C">
        <w:trPr>
          <w:cantSplit/>
        </w:trPr>
        <w:tc>
          <w:tcPr>
            <w:tcW w:w="7371" w:type="dxa"/>
          </w:tcPr>
          <w:p w14:paraId="3C4B34CF" w14:textId="77777777" w:rsidR="00FA7EBF" w:rsidRPr="007939DD" w:rsidRDefault="00FA7EBF" w:rsidP="006944B3">
            <w:pPr>
              <w:pStyle w:val="ARfintablebodybold"/>
              <w:spacing w:before="30"/>
              <w:rPr>
                <w:rStyle w:val="Strong"/>
              </w:rPr>
            </w:pPr>
            <w:r w:rsidRPr="00E56EFF">
              <w:t>Total grants and other income transfers</w:t>
            </w:r>
          </w:p>
        </w:tc>
        <w:tc>
          <w:tcPr>
            <w:tcW w:w="1134" w:type="dxa"/>
            <w:shd w:val="clear" w:color="auto" w:fill="E7E6E6"/>
          </w:tcPr>
          <w:p w14:paraId="2C35AE5C" w14:textId="77777777" w:rsidR="00FA7EBF" w:rsidRPr="007939DD" w:rsidRDefault="00FA7EBF" w:rsidP="006944B3">
            <w:pPr>
              <w:pStyle w:val="ARfintablebodyrightbold"/>
              <w:spacing w:before="30"/>
              <w:rPr>
                <w:lang w:eastAsia="en-AU"/>
              </w:rPr>
            </w:pPr>
            <w:r w:rsidRPr="00E56EFF">
              <w:t>1,133.6</w:t>
            </w:r>
          </w:p>
        </w:tc>
        <w:tc>
          <w:tcPr>
            <w:tcW w:w="1134" w:type="dxa"/>
          </w:tcPr>
          <w:p w14:paraId="226ECC00" w14:textId="77777777" w:rsidR="00FA7EBF" w:rsidRPr="007939DD" w:rsidRDefault="00FA7EBF" w:rsidP="006944B3">
            <w:pPr>
              <w:pStyle w:val="ARfintablebodyrightbold"/>
              <w:spacing w:before="30"/>
              <w:rPr>
                <w:rStyle w:val="Strong"/>
              </w:rPr>
            </w:pPr>
            <w:r w:rsidRPr="00E56EFF">
              <w:t>991.0</w:t>
            </w:r>
          </w:p>
        </w:tc>
      </w:tr>
    </w:tbl>
    <w:p w14:paraId="5E9162D5" w14:textId="77777777" w:rsidR="00FA7EBF" w:rsidRPr="00194D78" w:rsidRDefault="00FA7EBF" w:rsidP="00CA66FD">
      <w:pPr>
        <w:pStyle w:val="ARfinbodyaftertable"/>
      </w:pPr>
      <w:r w:rsidRPr="00181119">
        <w:rPr>
          <w:rStyle w:val="Strong"/>
          <w:bCs w:val="0"/>
        </w:rPr>
        <w:t>Grant income</w:t>
      </w:r>
      <w:r w:rsidRPr="00194D78">
        <w:t xml:space="preserve"> arises from transactions in which a party provides goods or assets (or extinguishes a liability) to the department without receiving approximately equal value in return. While grants may result in the provision of some goods or services to the transferring party, they do not provide a claim to receive benefits directly of approximately equal value (and are termed </w:t>
      </w:r>
      <w:r>
        <w:t>‘</w:t>
      </w:r>
      <w:r w:rsidRPr="00194D78">
        <w:t>non-reciprocal</w:t>
      </w:r>
      <w:r>
        <w:t>’</w:t>
      </w:r>
      <w:r w:rsidRPr="00194D78">
        <w:t xml:space="preserve"> transfers). Receipt and sacrifice of approximately equal value may occur, but only by coincidence. For non-reciprocal grants, the department recognises revenue when the grant is receivable or received.</w:t>
      </w:r>
    </w:p>
    <w:p w14:paraId="0A895E06" w14:textId="11717DCA" w:rsidR="00FA7EBF" w:rsidRPr="00194D78" w:rsidRDefault="00FA7EBF" w:rsidP="00CA66FD">
      <w:pPr>
        <w:pStyle w:val="ARfinbody"/>
      </w:pPr>
      <w:r w:rsidRPr="00194D78">
        <w:t>Some grants are reciprocal in nature (goods or services of an equal value provided by the recipient of the grant to the provider). The</w:t>
      </w:r>
      <w:r w:rsidR="00B33865">
        <w:t> </w:t>
      </w:r>
      <w:r w:rsidRPr="00194D78">
        <w:t>department recognises income when it has satisfied its performance obligations under the terms of the grant.</w:t>
      </w:r>
    </w:p>
    <w:p w14:paraId="52E8BB15" w14:textId="77777777" w:rsidR="00FA7EBF" w:rsidRDefault="00FA7EBF" w:rsidP="006944B3">
      <w:pPr>
        <w:pStyle w:val="Heading5"/>
        <w:spacing w:before="160"/>
        <w:rPr>
          <w:lang w:eastAsia="en-AU"/>
        </w:rPr>
      </w:pPr>
      <w:r w:rsidRPr="00194D78">
        <w:rPr>
          <w:lang w:eastAsia="en-AU"/>
        </w:rPr>
        <w:t>2.4.4 Fair value of assets and services received free of charge or for nominal consideration</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7E9C763A" w14:textId="77777777" w:rsidTr="007B207C">
        <w:trPr>
          <w:cantSplit/>
          <w:tblHeader/>
        </w:trPr>
        <w:tc>
          <w:tcPr>
            <w:tcW w:w="7371" w:type="dxa"/>
            <w:vAlign w:val="bottom"/>
          </w:tcPr>
          <w:p w14:paraId="455E0998" w14:textId="77777777" w:rsidR="00FA7EBF" w:rsidRPr="007939DD" w:rsidRDefault="00FA7EBF" w:rsidP="006944B3">
            <w:pPr>
              <w:autoSpaceDE w:val="0"/>
              <w:autoSpaceDN w:val="0"/>
              <w:adjustRightInd w:val="0"/>
              <w:spacing w:before="30" w:after="20"/>
              <w:rPr>
                <w:rFonts w:cs="Arial"/>
                <w:color w:val="000000"/>
                <w:sz w:val="16"/>
                <w:szCs w:val="16"/>
              </w:rPr>
            </w:pPr>
          </w:p>
        </w:tc>
        <w:tc>
          <w:tcPr>
            <w:tcW w:w="1134" w:type="dxa"/>
            <w:shd w:val="clear" w:color="auto" w:fill="E7E6E6"/>
            <w:vAlign w:val="bottom"/>
          </w:tcPr>
          <w:p w14:paraId="43A2D473" w14:textId="77777777" w:rsidR="00FA7EBF" w:rsidRPr="007939DD" w:rsidRDefault="00FA7EBF" w:rsidP="006944B3">
            <w:pPr>
              <w:pStyle w:val="ARfintablecolheadright"/>
              <w:spacing w:before="30" w:after="20"/>
            </w:pPr>
            <w:r w:rsidRPr="007939DD">
              <w:t>201</w:t>
            </w:r>
            <w:r>
              <w:t>9</w:t>
            </w:r>
          </w:p>
          <w:p w14:paraId="58BD1D83" w14:textId="77777777" w:rsidR="00FA7EBF" w:rsidRPr="007939DD" w:rsidRDefault="00FA7EBF" w:rsidP="006944B3">
            <w:pPr>
              <w:pStyle w:val="ARfintablecolheadright"/>
              <w:spacing w:before="30" w:after="20"/>
            </w:pPr>
            <w:r w:rsidRPr="007939DD">
              <w:t>$M</w:t>
            </w:r>
          </w:p>
        </w:tc>
        <w:tc>
          <w:tcPr>
            <w:tcW w:w="1134" w:type="dxa"/>
            <w:vAlign w:val="bottom"/>
          </w:tcPr>
          <w:p w14:paraId="6A220D58" w14:textId="77777777" w:rsidR="00FA7EBF" w:rsidRPr="007939DD" w:rsidRDefault="00FA7EBF" w:rsidP="006944B3">
            <w:pPr>
              <w:pStyle w:val="ARfintablecolheadright"/>
              <w:spacing w:before="30" w:after="20"/>
            </w:pPr>
            <w:r w:rsidRPr="007939DD">
              <w:t>201</w:t>
            </w:r>
            <w:r>
              <w:t>8</w:t>
            </w:r>
          </w:p>
          <w:p w14:paraId="3766D23E" w14:textId="77777777" w:rsidR="00FA7EBF" w:rsidRPr="007939DD" w:rsidRDefault="00FA7EBF" w:rsidP="006944B3">
            <w:pPr>
              <w:pStyle w:val="ARfintablecolheadright"/>
              <w:spacing w:before="30" w:after="20"/>
            </w:pPr>
            <w:r w:rsidRPr="007939DD">
              <w:t>$M</w:t>
            </w:r>
          </w:p>
        </w:tc>
      </w:tr>
      <w:tr w:rsidR="00FA7EBF" w:rsidRPr="007939DD" w14:paraId="46D09342" w14:textId="77777777" w:rsidTr="007B207C">
        <w:trPr>
          <w:cantSplit/>
        </w:trPr>
        <w:tc>
          <w:tcPr>
            <w:tcW w:w="7371" w:type="dxa"/>
            <w:tcBorders>
              <w:bottom w:val="single" w:sz="4" w:space="0" w:color="A6A6A6" w:themeColor="background1" w:themeShade="A6"/>
            </w:tcBorders>
          </w:tcPr>
          <w:p w14:paraId="537089E0" w14:textId="77777777" w:rsidR="00FA7EBF" w:rsidRPr="007939DD" w:rsidRDefault="00FA7EBF" w:rsidP="006944B3">
            <w:pPr>
              <w:pStyle w:val="ARfintablebody"/>
              <w:spacing w:before="30"/>
              <w:rPr>
                <w:lang w:eastAsia="en-AU"/>
              </w:rPr>
            </w:pPr>
            <w:r w:rsidRPr="00532C5E">
              <w:t>Land received at fair value</w:t>
            </w:r>
          </w:p>
        </w:tc>
        <w:tc>
          <w:tcPr>
            <w:tcW w:w="1134" w:type="dxa"/>
            <w:tcBorders>
              <w:bottom w:val="single" w:sz="4" w:space="0" w:color="A6A6A6" w:themeColor="background1" w:themeShade="A6"/>
            </w:tcBorders>
            <w:shd w:val="clear" w:color="auto" w:fill="E7E6E6"/>
          </w:tcPr>
          <w:p w14:paraId="1F664B7D" w14:textId="77777777" w:rsidR="00FA7EBF" w:rsidRPr="007939DD" w:rsidRDefault="00FA7EBF" w:rsidP="006944B3">
            <w:pPr>
              <w:pStyle w:val="ARfintablebodyright"/>
              <w:spacing w:before="30"/>
              <w:rPr>
                <w:lang w:eastAsia="en-AU"/>
              </w:rPr>
            </w:pPr>
            <w:r w:rsidRPr="00532C5E">
              <w:t>2.1</w:t>
            </w:r>
          </w:p>
        </w:tc>
        <w:tc>
          <w:tcPr>
            <w:tcW w:w="1134" w:type="dxa"/>
            <w:tcBorders>
              <w:bottom w:val="single" w:sz="4" w:space="0" w:color="A6A6A6" w:themeColor="background1" w:themeShade="A6"/>
            </w:tcBorders>
          </w:tcPr>
          <w:p w14:paraId="326AD094" w14:textId="77777777" w:rsidR="00FA7EBF" w:rsidRPr="007939DD" w:rsidRDefault="00FA7EBF" w:rsidP="006944B3">
            <w:pPr>
              <w:pStyle w:val="ARfintablebodyright"/>
              <w:spacing w:before="30"/>
              <w:rPr>
                <w:lang w:eastAsia="en-AU"/>
              </w:rPr>
            </w:pPr>
            <w:r w:rsidRPr="00532C5E">
              <w:t>–</w:t>
            </w:r>
          </w:p>
        </w:tc>
      </w:tr>
      <w:tr w:rsidR="00FA7EBF" w:rsidRPr="007939DD" w14:paraId="260EA5D7"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4AAE2E7B" w14:textId="77777777" w:rsidR="00FA7EBF" w:rsidRPr="007939DD" w:rsidRDefault="00FA7EBF" w:rsidP="006944B3">
            <w:pPr>
              <w:pStyle w:val="ARfintablebody"/>
              <w:spacing w:before="30"/>
              <w:rPr>
                <w:lang w:eastAsia="en-AU"/>
              </w:rPr>
            </w:pPr>
            <w:r w:rsidRPr="00532C5E">
              <w:t>Buildings received at fair value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73A06EB" w14:textId="77777777" w:rsidR="00FA7EBF" w:rsidRPr="007939DD" w:rsidRDefault="00FA7EBF" w:rsidP="006944B3">
            <w:pPr>
              <w:pStyle w:val="ARfintablebodyright"/>
              <w:spacing w:before="30"/>
              <w:rPr>
                <w:lang w:eastAsia="en-AU"/>
              </w:rPr>
            </w:pPr>
            <w:r w:rsidRPr="00532C5E">
              <w:t>0.6</w:t>
            </w:r>
          </w:p>
        </w:tc>
        <w:tc>
          <w:tcPr>
            <w:tcW w:w="1134" w:type="dxa"/>
            <w:tcBorders>
              <w:top w:val="single" w:sz="4" w:space="0" w:color="A6A6A6" w:themeColor="background1" w:themeShade="A6"/>
              <w:bottom w:val="single" w:sz="4" w:space="0" w:color="A6A6A6" w:themeColor="background1" w:themeShade="A6"/>
            </w:tcBorders>
          </w:tcPr>
          <w:p w14:paraId="28281DDE" w14:textId="77777777" w:rsidR="00FA7EBF" w:rsidRPr="007939DD" w:rsidRDefault="00FA7EBF" w:rsidP="006944B3">
            <w:pPr>
              <w:pStyle w:val="ARfintablebodyright"/>
              <w:spacing w:before="30"/>
              <w:rPr>
                <w:lang w:eastAsia="en-AU"/>
              </w:rPr>
            </w:pPr>
            <w:r w:rsidRPr="00532C5E">
              <w:t>0.2</w:t>
            </w:r>
          </w:p>
        </w:tc>
      </w:tr>
      <w:tr w:rsidR="00FA7EBF" w:rsidRPr="007939DD" w14:paraId="6BFBD4C7"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AFCFAEE" w14:textId="77777777" w:rsidR="00FA7EBF" w:rsidRPr="007939DD" w:rsidRDefault="00FA7EBF" w:rsidP="006944B3">
            <w:pPr>
              <w:pStyle w:val="ARfintablebody"/>
              <w:spacing w:before="30"/>
              <w:rPr>
                <w:lang w:eastAsia="en-AU"/>
              </w:rPr>
            </w:pPr>
            <w:r w:rsidRPr="00532C5E">
              <w:t>Plant and equipment received at fair value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6333D6C" w14:textId="77777777" w:rsidR="00FA7EBF" w:rsidRPr="007939DD" w:rsidRDefault="00FA7EBF" w:rsidP="006944B3">
            <w:pPr>
              <w:pStyle w:val="ARfintablebodyright"/>
              <w:spacing w:before="30"/>
              <w:rPr>
                <w:lang w:eastAsia="en-AU"/>
              </w:rPr>
            </w:pPr>
            <w:r w:rsidRPr="00532C5E">
              <w:t>0.2</w:t>
            </w:r>
          </w:p>
        </w:tc>
        <w:tc>
          <w:tcPr>
            <w:tcW w:w="1134" w:type="dxa"/>
            <w:tcBorders>
              <w:top w:val="single" w:sz="4" w:space="0" w:color="A6A6A6" w:themeColor="background1" w:themeShade="A6"/>
              <w:bottom w:val="single" w:sz="4" w:space="0" w:color="A6A6A6" w:themeColor="background1" w:themeShade="A6"/>
            </w:tcBorders>
          </w:tcPr>
          <w:p w14:paraId="26C84495" w14:textId="77777777" w:rsidR="00FA7EBF" w:rsidRPr="007939DD" w:rsidRDefault="00FA7EBF" w:rsidP="006944B3">
            <w:pPr>
              <w:pStyle w:val="ARfintablebodyright"/>
              <w:spacing w:before="30"/>
              <w:rPr>
                <w:lang w:eastAsia="en-AU"/>
              </w:rPr>
            </w:pPr>
            <w:r w:rsidRPr="00532C5E">
              <w:t>1.2</w:t>
            </w:r>
          </w:p>
        </w:tc>
      </w:tr>
      <w:tr w:rsidR="00FA7EBF" w:rsidRPr="007939DD" w14:paraId="69DB5501"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371ECF87" w14:textId="77777777" w:rsidR="00FA7EBF" w:rsidRPr="007939DD" w:rsidRDefault="00FA7EBF" w:rsidP="006944B3">
            <w:pPr>
              <w:pStyle w:val="ARfintablebody"/>
              <w:spacing w:before="30"/>
              <w:rPr>
                <w:lang w:eastAsia="en-AU"/>
              </w:rPr>
            </w:pPr>
            <w:r w:rsidRPr="00532C5E">
              <w:t>Other assets received free of charge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40C43FD" w14:textId="77777777" w:rsidR="00FA7EBF" w:rsidRPr="007939DD" w:rsidRDefault="00FA7EBF" w:rsidP="006944B3">
            <w:pPr>
              <w:pStyle w:val="ARfintablebodyright"/>
              <w:spacing w:before="30"/>
              <w:rPr>
                <w:lang w:eastAsia="en-AU"/>
              </w:rPr>
            </w:pPr>
            <w:r w:rsidRPr="00532C5E">
              <w:t>2.4</w:t>
            </w:r>
          </w:p>
        </w:tc>
        <w:tc>
          <w:tcPr>
            <w:tcW w:w="1134" w:type="dxa"/>
            <w:tcBorders>
              <w:top w:val="single" w:sz="4" w:space="0" w:color="A6A6A6" w:themeColor="background1" w:themeShade="A6"/>
              <w:bottom w:val="single" w:sz="4" w:space="0" w:color="A6A6A6" w:themeColor="background1" w:themeShade="A6"/>
            </w:tcBorders>
          </w:tcPr>
          <w:p w14:paraId="5599017F" w14:textId="77777777" w:rsidR="00FA7EBF" w:rsidRPr="007939DD" w:rsidRDefault="00FA7EBF" w:rsidP="006944B3">
            <w:pPr>
              <w:pStyle w:val="ARfintablebodyright"/>
              <w:spacing w:before="30"/>
              <w:rPr>
                <w:lang w:eastAsia="en-AU"/>
              </w:rPr>
            </w:pPr>
            <w:r w:rsidRPr="00532C5E">
              <w:t>1.0</w:t>
            </w:r>
          </w:p>
        </w:tc>
      </w:tr>
      <w:tr w:rsidR="00FA7EBF" w:rsidRPr="007939DD" w14:paraId="2BA0A549"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E58E879" w14:textId="77777777" w:rsidR="00FA7EBF" w:rsidRPr="007939DD" w:rsidRDefault="00FA7EBF" w:rsidP="006944B3">
            <w:pPr>
              <w:pStyle w:val="ARfintablebody"/>
              <w:spacing w:before="30"/>
              <w:rPr>
                <w:lang w:eastAsia="en-AU"/>
              </w:rPr>
            </w:pPr>
            <w:r w:rsidRPr="00532C5E">
              <w:t>Resources received free of charge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3DB2D04" w14:textId="77777777" w:rsidR="00FA7EBF" w:rsidRPr="007939DD" w:rsidRDefault="00FA7EBF" w:rsidP="006944B3">
            <w:pPr>
              <w:pStyle w:val="ARfintablebodyright"/>
              <w:spacing w:before="30"/>
              <w:rPr>
                <w:lang w:eastAsia="en-AU"/>
              </w:rPr>
            </w:pPr>
            <w:r w:rsidRPr="00532C5E">
              <w:t>4.9</w:t>
            </w:r>
          </w:p>
        </w:tc>
        <w:tc>
          <w:tcPr>
            <w:tcW w:w="1134" w:type="dxa"/>
            <w:tcBorders>
              <w:top w:val="single" w:sz="4" w:space="0" w:color="A6A6A6" w:themeColor="background1" w:themeShade="A6"/>
              <w:bottom w:val="single" w:sz="4" w:space="0" w:color="A6A6A6" w:themeColor="background1" w:themeShade="A6"/>
            </w:tcBorders>
          </w:tcPr>
          <w:p w14:paraId="1A5AE219" w14:textId="77777777" w:rsidR="00FA7EBF" w:rsidRPr="007939DD" w:rsidRDefault="00FA7EBF" w:rsidP="006944B3">
            <w:pPr>
              <w:pStyle w:val="ARfintablebodyright"/>
              <w:spacing w:before="30"/>
              <w:rPr>
                <w:lang w:eastAsia="en-AU"/>
              </w:rPr>
            </w:pPr>
            <w:r w:rsidRPr="00532C5E">
              <w:t>1.1</w:t>
            </w:r>
          </w:p>
        </w:tc>
      </w:tr>
      <w:tr w:rsidR="00FA7EBF" w:rsidRPr="007939DD" w14:paraId="23AA385D" w14:textId="77777777" w:rsidTr="007B207C">
        <w:trPr>
          <w:cantSplit/>
        </w:trPr>
        <w:tc>
          <w:tcPr>
            <w:tcW w:w="7371" w:type="dxa"/>
          </w:tcPr>
          <w:p w14:paraId="4CF1B0F1" w14:textId="77777777" w:rsidR="00FA7EBF" w:rsidRPr="007939DD" w:rsidRDefault="00FA7EBF" w:rsidP="006944B3">
            <w:pPr>
              <w:pStyle w:val="ARfintablebodybold"/>
              <w:spacing w:before="30"/>
              <w:rPr>
                <w:lang w:eastAsia="en-AU"/>
              </w:rPr>
            </w:pPr>
            <w:r w:rsidRPr="00532C5E">
              <w:t>Total fair value of assets and services received free of charge or for nominal consideration</w:t>
            </w:r>
          </w:p>
        </w:tc>
        <w:tc>
          <w:tcPr>
            <w:tcW w:w="1134" w:type="dxa"/>
            <w:shd w:val="clear" w:color="auto" w:fill="E7E6E6"/>
          </w:tcPr>
          <w:p w14:paraId="6F1DFC11" w14:textId="77777777" w:rsidR="00FA7EBF" w:rsidRPr="007939DD" w:rsidRDefault="00FA7EBF" w:rsidP="006944B3">
            <w:pPr>
              <w:pStyle w:val="ARfintablebodyrightbold"/>
              <w:spacing w:before="30"/>
              <w:rPr>
                <w:lang w:eastAsia="en-AU"/>
              </w:rPr>
            </w:pPr>
            <w:r w:rsidRPr="00532C5E">
              <w:t>10.1</w:t>
            </w:r>
          </w:p>
        </w:tc>
        <w:tc>
          <w:tcPr>
            <w:tcW w:w="1134" w:type="dxa"/>
          </w:tcPr>
          <w:p w14:paraId="6C5C154E" w14:textId="77777777" w:rsidR="00FA7EBF" w:rsidRPr="007939DD" w:rsidRDefault="00FA7EBF" w:rsidP="006944B3">
            <w:pPr>
              <w:pStyle w:val="ARfintablebodyrightbold"/>
              <w:spacing w:before="30"/>
              <w:rPr>
                <w:rStyle w:val="Strong"/>
              </w:rPr>
            </w:pPr>
            <w:r w:rsidRPr="00532C5E">
              <w:t>3.5</w:t>
            </w:r>
          </w:p>
        </w:tc>
      </w:tr>
    </w:tbl>
    <w:p w14:paraId="54411855" w14:textId="77777777" w:rsidR="00FA7EBF" w:rsidRDefault="00FA7EBF" w:rsidP="00CA66FD">
      <w:pPr>
        <w:pStyle w:val="ARfinbodyaftertable"/>
      </w:pPr>
      <w:r w:rsidRPr="00181119">
        <w:rPr>
          <w:rStyle w:val="Strong"/>
          <w:bCs w:val="0"/>
        </w:rPr>
        <w:t>Contributions of resources received free of charge or for nominal consideration</w:t>
      </w:r>
      <w:r w:rsidRPr="00194D78">
        <w:t xml:space="preserve"> are recognised at their fair value when control is obtained over them, irrespective of whether these contributions are subject to restrictions or conditions over their use, unless received from another government department or agency as a consequence of a restructuring of administrative arrangements. In the latter case, such a transfer is recognised at its carrying value.</w:t>
      </w:r>
    </w:p>
    <w:p w14:paraId="604F58D5" w14:textId="77777777" w:rsidR="00FA7EBF" w:rsidRPr="00194D78" w:rsidRDefault="00FA7EBF" w:rsidP="00CA66FD">
      <w:pPr>
        <w:pStyle w:val="ARfinbody"/>
      </w:pPr>
      <w:r w:rsidRPr="00194D78">
        <w:t>Contributions in the form of services are only recognised when a fair value can be reliably determined and the services would have been purchased if not received as a donation.</w:t>
      </w:r>
    </w:p>
    <w:p w14:paraId="5F0FC90E" w14:textId="77777777" w:rsidR="00FA7EBF" w:rsidRDefault="00FA7EBF" w:rsidP="006944B3">
      <w:pPr>
        <w:pStyle w:val="Heading5"/>
        <w:spacing w:before="160" w:after="40"/>
        <w:rPr>
          <w:lang w:eastAsia="en-AU"/>
        </w:rPr>
      </w:pPr>
      <w:r w:rsidRPr="00194D78">
        <w:rPr>
          <w:lang w:eastAsia="en-AU"/>
        </w:rPr>
        <w:t>2.4.5 Other income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14935537" w14:textId="77777777" w:rsidTr="007B207C">
        <w:trPr>
          <w:cantSplit/>
          <w:tblHeader/>
        </w:trPr>
        <w:tc>
          <w:tcPr>
            <w:tcW w:w="7371" w:type="dxa"/>
            <w:vAlign w:val="bottom"/>
          </w:tcPr>
          <w:p w14:paraId="7BA10A94" w14:textId="77777777" w:rsidR="00FA7EBF" w:rsidRPr="007939DD" w:rsidRDefault="00FA7EBF" w:rsidP="007B207C">
            <w:pPr>
              <w:autoSpaceDE w:val="0"/>
              <w:autoSpaceDN w:val="0"/>
              <w:adjustRightInd w:val="0"/>
              <w:spacing w:beforeLines="40" w:before="96" w:afterLines="20" w:after="48"/>
              <w:rPr>
                <w:rFonts w:cs="Arial"/>
                <w:color w:val="000000"/>
                <w:sz w:val="16"/>
                <w:szCs w:val="16"/>
              </w:rPr>
            </w:pPr>
          </w:p>
        </w:tc>
        <w:tc>
          <w:tcPr>
            <w:tcW w:w="1134" w:type="dxa"/>
            <w:shd w:val="clear" w:color="auto" w:fill="E7E6E6"/>
            <w:vAlign w:val="bottom"/>
          </w:tcPr>
          <w:p w14:paraId="6C1FD091" w14:textId="77777777" w:rsidR="00FA7EBF" w:rsidRPr="003278EE" w:rsidRDefault="00FA7EBF" w:rsidP="007B207C">
            <w:pPr>
              <w:pStyle w:val="ARfintablecolheadright"/>
            </w:pPr>
            <w:r w:rsidRPr="003278EE">
              <w:t>2019</w:t>
            </w:r>
          </w:p>
          <w:p w14:paraId="1B912DCF" w14:textId="77777777" w:rsidR="00FA7EBF" w:rsidRPr="003278EE" w:rsidRDefault="00FA7EBF" w:rsidP="007B207C">
            <w:pPr>
              <w:pStyle w:val="ARfintablecolheadright"/>
            </w:pPr>
            <w:r w:rsidRPr="003278EE">
              <w:t>$M</w:t>
            </w:r>
          </w:p>
        </w:tc>
        <w:tc>
          <w:tcPr>
            <w:tcW w:w="1134" w:type="dxa"/>
            <w:vAlign w:val="bottom"/>
          </w:tcPr>
          <w:p w14:paraId="2B971DAA" w14:textId="77777777" w:rsidR="00FA7EBF" w:rsidRPr="003278EE" w:rsidRDefault="00FA7EBF" w:rsidP="007B207C">
            <w:pPr>
              <w:pStyle w:val="ARfintablecolheadright"/>
            </w:pPr>
            <w:r w:rsidRPr="003278EE">
              <w:t>2018</w:t>
            </w:r>
          </w:p>
          <w:p w14:paraId="5F59D6D3" w14:textId="77777777" w:rsidR="00FA7EBF" w:rsidRPr="003278EE" w:rsidRDefault="00FA7EBF" w:rsidP="007B207C">
            <w:pPr>
              <w:pStyle w:val="ARfintablecolheadright"/>
            </w:pPr>
            <w:r w:rsidRPr="003278EE">
              <w:t>$M</w:t>
            </w:r>
          </w:p>
        </w:tc>
      </w:tr>
      <w:tr w:rsidR="00FA7EBF" w:rsidRPr="007939DD" w14:paraId="23CC4ABA" w14:textId="77777777" w:rsidTr="007B207C">
        <w:trPr>
          <w:cantSplit/>
        </w:trPr>
        <w:tc>
          <w:tcPr>
            <w:tcW w:w="7371" w:type="dxa"/>
            <w:tcBorders>
              <w:bottom w:val="single" w:sz="4" w:space="0" w:color="A6A6A6" w:themeColor="background1" w:themeShade="A6"/>
            </w:tcBorders>
          </w:tcPr>
          <w:p w14:paraId="7338DC6B" w14:textId="77777777" w:rsidR="00FA7EBF" w:rsidRPr="007939DD" w:rsidRDefault="00FA7EBF" w:rsidP="007B207C">
            <w:pPr>
              <w:pStyle w:val="ARfintablebody"/>
              <w:rPr>
                <w:lang w:eastAsia="en-AU"/>
              </w:rPr>
            </w:pPr>
            <w:r w:rsidRPr="00817AE3">
              <w:t>State trust accounts</w:t>
            </w:r>
          </w:p>
        </w:tc>
        <w:tc>
          <w:tcPr>
            <w:tcW w:w="1134" w:type="dxa"/>
            <w:tcBorders>
              <w:bottom w:val="single" w:sz="4" w:space="0" w:color="A6A6A6" w:themeColor="background1" w:themeShade="A6"/>
            </w:tcBorders>
            <w:shd w:val="clear" w:color="auto" w:fill="E7E6E6"/>
          </w:tcPr>
          <w:p w14:paraId="676CF2F9" w14:textId="77777777" w:rsidR="00FA7EBF" w:rsidRPr="007939DD" w:rsidRDefault="00FA7EBF" w:rsidP="007B207C">
            <w:pPr>
              <w:pStyle w:val="ARfintablebodyright"/>
              <w:rPr>
                <w:lang w:eastAsia="en-AU"/>
              </w:rPr>
            </w:pPr>
            <w:r w:rsidRPr="00817AE3">
              <w:t>8.9</w:t>
            </w:r>
          </w:p>
        </w:tc>
        <w:tc>
          <w:tcPr>
            <w:tcW w:w="1134" w:type="dxa"/>
            <w:tcBorders>
              <w:bottom w:val="single" w:sz="4" w:space="0" w:color="A6A6A6" w:themeColor="background1" w:themeShade="A6"/>
            </w:tcBorders>
          </w:tcPr>
          <w:p w14:paraId="59B22F45" w14:textId="77777777" w:rsidR="00FA7EBF" w:rsidRPr="007939DD" w:rsidRDefault="00FA7EBF" w:rsidP="007B207C">
            <w:pPr>
              <w:pStyle w:val="ARfintablebodyright"/>
              <w:rPr>
                <w:lang w:eastAsia="en-AU"/>
              </w:rPr>
            </w:pPr>
            <w:r w:rsidRPr="00817AE3">
              <w:t>41.5</w:t>
            </w:r>
          </w:p>
        </w:tc>
      </w:tr>
      <w:tr w:rsidR="00FA7EBF" w:rsidRPr="007939DD" w14:paraId="1596A5B0"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6F5B812F" w14:textId="77777777" w:rsidR="00FA7EBF" w:rsidRPr="007939DD" w:rsidRDefault="00FA7EBF" w:rsidP="007B207C">
            <w:pPr>
              <w:pStyle w:val="ARfintablebody"/>
              <w:rPr>
                <w:lang w:eastAsia="en-AU"/>
              </w:rPr>
            </w:pPr>
            <w:r w:rsidRPr="00817AE3">
              <w:t>Interstate patients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477CA15" w14:textId="77777777" w:rsidR="00FA7EBF" w:rsidRPr="007939DD" w:rsidRDefault="00FA7EBF" w:rsidP="007B207C">
            <w:pPr>
              <w:pStyle w:val="ARfintablebodyright"/>
              <w:rPr>
                <w:lang w:eastAsia="en-AU"/>
              </w:rPr>
            </w:pPr>
            <w:r w:rsidRPr="00817AE3">
              <w:t>57.0</w:t>
            </w:r>
          </w:p>
        </w:tc>
        <w:tc>
          <w:tcPr>
            <w:tcW w:w="1134" w:type="dxa"/>
            <w:tcBorders>
              <w:top w:val="single" w:sz="4" w:space="0" w:color="A6A6A6" w:themeColor="background1" w:themeShade="A6"/>
              <w:bottom w:val="single" w:sz="4" w:space="0" w:color="A6A6A6" w:themeColor="background1" w:themeShade="A6"/>
            </w:tcBorders>
          </w:tcPr>
          <w:p w14:paraId="22905196" w14:textId="77777777" w:rsidR="00FA7EBF" w:rsidRPr="007939DD" w:rsidRDefault="00FA7EBF" w:rsidP="007B207C">
            <w:pPr>
              <w:pStyle w:val="ARfintablebodyright"/>
              <w:rPr>
                <w:lang w:eastAsia="en-AU"/>
              </w:rPr>
            </w:pPr>
            <w:r w:rsidRPr="00817AE3">
              <w:t>13.9</w:t>
            </w:r>
          </w:p>
        </w:tc>
      </w:tr>
      <w:tr w:rsidR="00FA7EBF" w:rsidRPr="007939DD" w14:paraId="277AE8EF" w14:textId="77777777" w:rsidTr="007B207C">
        <w:trPr>
          <w:cantSplit/>
        </w:trPr>
        <w:tc>
          <w:tcPr>
            <w:tcW w:w="7371" w:type="dxa"/>
            <w:tcBorders>
              <w:top w:val="single" w:sz="4" w:space="0" w:color="A6A6A6" w:themeColor="background1" w:themeShade="A6"/>
            </w:tcBorders>
          </w:tcPr>
          <w:p w14:paraId="4F5EFB45" w14:textId="77777777" w:rsidR="00FA7EBF" w:rsidRPr="007939DD" w:rsidRDefault="00FA7EBF" w:rsidP="007B207C">
            <w:pPr>
              <w:pStyle w:val="ARfintablebody"/>
              <w:rPr>
                <w:lang w:eastAsia="en-AU"/>
              </w:rPr>
            </w:pPr>
            <w:r w:rsidRPr="00817AE3">
              <w:t>Other</w:t>
            </w:r>
          </w:p>
        </w:tc>
        <w:tc>
          <w:tcPr>
            <w:tcW w:w="1134" w:type="dxa"/>
            <w:tcBorders>
              <w:top w:val="single" w:sz="4" w:space="0" w:color="A6A6A6" w:themeColor="background1" w:themeShade="A6"/>
            </w:tcBorders>
            <w:shd w:val="clear" w:color="auto" w:fill="E7E6E6"/>
          </w:tcPr>
          <w:p w14:paraId="09DA77F6" w14:textId="77777777" w:rsidR="00FA7EBF" w:rsidRPr="007939DD" w:rsidRDefault="00FA7EBF" w:rsidP="007B207C">
            <w:pPr>
              <w:pStyle w:val="ARfintablebodyright"/>
              <w:rPr>
                <w:lang w:eastAsia="en-AU"/>
              </w:rPr>
            </w:pPr>
            <w:r w:rsidRPr="00817AE3">
              <w:t>6.8</w:t>
            </w:r>
          </w:p>
        </w:tc>
        <w:tc>
          <w:tcPr>
            <w:tcW w:w="1134" w:type="dxa"/>
            <w:tcBorders>
              <w:top w:val="single" w:sz="4" w:space="0" w:color="A6A6A6" w:themeColor="background1" w:themeShade="A6"/>
            </w:tcBorders>
          </w:tcPr>
          <w:p w14:paraId="1D38CF71" w14:textId="77777777" w:rsidR="00FA7EBF" w:rsidRPr="007939DD" w:rsidRDefault="00FA7EBF" w:rsidP="007B207C">
            <w:pPr>
              <w:pStyle w:val="ARfintablebodyright"/>
              <w:rPr>
                <w:lang w:eastAsia="en-AU"/>
              </w:rPr>
            </w:pPr>
            <w:r w:rsidRPr="00817AE3">
              <w:t>1.1</w:t>
            </w:r>
          </w:p>
        </w:tc>
      </w:tr>
      <w:tr w:rsidR="00FA7EBF" w:rsidRPr="007939DD" w14:paraId="189FD77C" w14:textId="77777777" w:rsidTr="007B207C">
        <w:trPr>
          <w:cantSplit/>
        </w:trPr>
        <w:tc>
          <w:tcPr>
            <w:tcW w:w="7371" w:type="dxa"/>
          </w:tcPr>
          <w:p w14:paraId="3146EC38" w14:textId="77777777" w:rsidR="00FA7EBF" w:rsidRPr="007939DD" w:rsidRDefault="00FA7EBF" w:rsidP="007B207C">
            <w:pPr>
              <w:pStyle w:val="ARfintablebodybold"/>
              <w:rPr>
                <w:lang w:eastAsia="en-AU"/>
              </w:rPr>
            </w:pPr>
            <w:r w:rsidRPr="00817AE3">
              <w:t>Total other income</w:t>
            </w:r>
          </w:p>
        </w:tc>
        <w:tc>
          <w:tcPr>
            <w:tcW w:w="1134" w:type="dxa"/>
            <w:shd w:val="clear" w:color="auto" w:fill="E7E6E6"/>
          </w:tcPr>
          <w:p w14:paraId="08E1008E" w14:textId="77777777" w:rsidR="00FA7EBF" w:rsidRPr="007939DD" w:rsidRDefault="00FA7EBF" w:rsidP="007B207C">
            <w:pPr>
              <w:pStyle w:val="ARfintablebodyrightbold"/>
              <w:rPr>
                <w:lang w:eastAsia="en-AU"/>
              </w:rPr>
            </w:pPr>
            <w:r w:rsidRPr="00817AE3">
              <w:t>72.7</w:t>
            </w:r>
          </w:p>
        </w:tc>
        <w:tc>
          <w:tcPr>
            <w:tcW w:w="1134" w:type="dxa"/>
          </w:tcPr>
          <w:p w14:paraId="3ADF03C1" w14:textId="77777777" w:rsidR="00FA7EBF" w:rsidRPr="007939DD" w:rsidRDefault="00FA7EBF" w:rsidP="007B207C">
            <w:pPr>
              <w:pStyle w:val="ARfintablebodyrightbold"/>
              <w:rPr>
                <w:rStyle w:val="Strong"/>
              </w:rPr>
            </w:pPr>
            <w:r w:rsidRPr="00817AE3">
              <w:t>56.5</w:t>
            </w:r>
          </w:p>
        </w:tc>
      </w:tr>
    </w:tbl>
    <w:p w14:paraId="471A77C1" w14:textId="77777777" w:rsidR="00FA7EBF" w:rsidRDefault="00FA7EBF" w:rsidP="00CA66FD">
      <w:pPr>
        <w:pStyle w:val="ARfinbodyaftertable"/>
      </w:pPr>
      <w:r w:rsidRPr="00181119">
        <w:rPr>
          <w:rStyle w:val="Strong"/>
          <w:bCs w:val="0"/>
        </w:rPr>
        <w:t>Other income</w:t>
      </w:r>
      <w:r w:rsidRPr="00194D78">
        <w:t xml:space="preserve"> includes income received from departmental controlled trust funds and is recognised when the department gains control over the funds.</w:t>
      </w:r>
    </w:p>
    <w:p w14:paraId="5D70FA6F" w14:textId="77777777" w:rsidR="00FA7EBF" w:rsidRPr="00194D78" w:rsidRDefault="00FA7EBF" w:rsidP="00CA66FD">
      <w:pPr>
        <w:pStyle w:val="ARfinbody"/>
      </w:pPr>
      <w:r w:rsidRPr="00194D78">
        <w:t>It also includes income received from treasury trusts and from services provided to interstate patients. Other income from services provided to interstate patients is recognised as per agreements for cost reimbursements established between the states on a state-by-state basis.</w:t>
      </w:r>
    </w:p>
    <w:p w14:paraId="52444D90" w14:textId="77777777" w:rsidR="00FA7EBF" w:rsidRPr="00194D78" w:rsidRDefault="00FA7EBF" w:rsidP="00CA66FD">
      <w:pPr>
        <w:pStyle w:val="ARfinbody"/>
      </w:pPr>
      <w:r w:rsidRPr="00194D78">
        <w:t>Where payment is received before services are provided, it is recorded as income in advance in the balance sheet and then recognised as revenue when the service is provided.</w:t>
      </w:r>
    </w:p>
    <w:p w14:paraId="216073F7" w14:textId="77777777" w:rsidR="00FA7EBF" w:rsidRPr="00194D78" w:rsidRDefault="00FA7EBF" w:rsidP="00887F60">
      <w:pPr>
        <w:pStyle w:val="Heading4"/>
        <w:spacing w:before="160" w:after="40"/>
        <w:rPr>
          <w:lang w:eastAsia="en-AU"/>
        </w:rPr>
      </w:pPr>
      <w:r w:rsidRPr="00194D78">
        <w:rPr>
          <w:lang w:eastAsia="en-AU"/>
        </w:rPr>
        <w:t>2.5 Annotated income agreements</w:t>
      </w:r>
    </w:p>
    <w:p w14:paraId="0C4D9EBB" w14:textId="77777777" w:rsidR="00FA7EBF" w:rsidRPr="00194D78" w:rsidRDefault="00FA7EBF" w:rsidP="00CA66FD">
      <w:pPr>
        <w:pStyle w:val="ARfinbody"/>
      </w:pPr>
      <w:r w:rsidRPr="00194D78">
        <w:t xml:space="preserve">The department is permitted under </w:t>
      </w:r>
      <w:r>
        <w:t>s.</w:t>
      </w:r>
      <w:r w:rsidRPr="00194D78">
        <w:t xml:space="preserve"> 29 of the </w:t>
      </w:r>
      <w:r w:rsidRPr="00743D91">
        <w:rPr>
          <w:rStyle w:val="Emphasis"/>
          <w:iCs w:val="0"/>
        </w:rPr>
        <w:t>Financial Management Act 1994</w:t>
      </w:r>
      <w:r w:rsidRPr="00194D78">
        <w:t xml:space="preserve"> to have certain income annotated to the annual appropriation. The income which forms part of a </w:t>
      </w:r>
      <w:r>
        <w:t>s.</w:t>
      </w:r>
      <w:r w:rsidRPr="00194D78">
        <w:t xml:space="preserve"> 29 agreement is recognised by the department and the receipts paid into the consolidated fund as an administered item. At the point of income recognition, </w:t>
      </w:r>
      <w:r>
        <w:t>s.</w:t>
      </w:r>
      <w:r w:rsidRPr="00194D78">
        <w:t xml:space="preserve"> 29 provides for an equivalent amount to be added to the annual appropriation.</w:t>
      </w:r>
    </w:p>
    <w:p w14:paraId="18CF10CD" w14:textId="77777777" w:rsidR="00FA7EBF" w:rsidRDefault="00FA7EBF" w:rsidP="00CA66FD">
      <w:pPr>
        <w:pStyle w:val="ARfinbody"/>
      </w:pPr>
      <w:r w:rsidRPr="00194D78">
        <w:t xml:space="preserve">The following is a listing of annotated income agreements under </w:t>
      </w:r>
      <w:r>
        <w:t>s.</w:t>
      </w:r>
      <w:r w:rsidRPr="00194D78">
        <w:t xml:space="preserve"> 29 of the </w:t>
      </w:r>
      <w:r w:rsidRPr="00743D91">
        <w:rPr>
          <w:rStyle w:val="Emphasis"/>
          <w:iCs w:val="0"/>
        </w:rPr>
        <w:t>Financial Management Act 1994</w:t>
      </w:r>
      <w:r w:rsidRPr="00194D78">
        <w:t xml:space="preserve"> approved by the Treasurer:</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1"/>
        <w:gridCol w:w="1134"/>
        <w:gridCol w:w="1134"/>
      </w:tblGrid>
      <w:tr w:rsidR="00FA7EBF" w:rsidRPr="007939DD" w14:paraId="1E510B62" w14:textId="77777777" w:rsidTr="007B207C">
        <w:trPr>
          <w:cantSplit/>
          <w:tblHeader/>
        </w:trPr>
        <w:tc>
          <w:tcPr>
            <w:tcW w:w="7371" w:type="dxa"/>
            <w:vAlign w:val="bottom"/>
          </w:tcPr>
          <w:p w14:paraId="5AC44A09" w14:textId="77777777" w:rsidR="00FA7EBF" w:rsidRPr="007939DD" w:rsidRDefault="00FA7EBF" w:rsidP="00887F60">
            <w:pPr>
              <w:pStyle w:val="ARfintablecolhead"/>
              <w:spacing w:before="30" w:after="20"/>
            </w:pPr>
          </w:p>
        </w:tc>
        <w:tc>
          <w:tcPr>
            <w:tcW w:w="1134" w:type="dxa"/>
            <w:shd w:val="clear" w:color="auto" w:fill="E7E6E6"/>
            <w:vAlign w:val="bottom"/>
          </w:tcPr>
          <w:p w14:paraId="375912A3" w14:textId="77777777" w:rsidR="00FA7EBF" w:rsidRPr="007939DD" w:rsidRDefault="00FA7EBF" w:rsidP="00887F60">
            <w:pPr>
              <w:pStyle w:val="ARfintablecolheadright"/>
              <w:spacing w:before="30" w:after="20"/>
            </w:pPr>
            <w:r w:rsidRPr="007939DD">
              <w:t>201</w:t>
            </w:r>
            <w:r>
              <w:t>9</w:t>
            </w:r>
          </w:p>
          <w:p w14:paraId="6F2CC91C" w14:textId="77777777" w:rsidR="00FA7EBF" w:rsidRPr="007939DD" w:rsidRDefault="00FA7EBF" w:rsidP="00887F60">
            <w:pPr>
              <w:pStyle w:val="ARfintablecolheadright"/>
              <w:spacing w:before="30" w:after="20"/>
            </w:pPr>
            <w:r w:rsidRPr="007939DD">
              <w:t>$M</w:t>
            </w:r>
          </w:p>
        </w:tc>
        <w:tc>
          <w:tcPr>
            <w:tcW w:w="1134" w:type="dxa"/>
            <w:vAlign w:val="bottom"/>
          </w:tcPr>
          <w:p w14:paraId="242C2578" w14:textId="77777777" w:rsidR="00FA7EBF" w:rsidRPr="007939DD" w:rsidRDefault="00FA7EBF" w:rsidP="00887F60">
            <w:pPr>
              <w:pStyle w:val="ARfintablecolheadright"/>
              <w:spacing w:before="30" w:after="20"/>
            </w:pPr>
            <w:r w:rsidRPr="007939DD">
              <w:t>201</w:t>
            </w:r>
            <w:r>
              <w:t>8</w:t>
            </w:r>
          </w:p>
          <w:p w14:paraId="4CA62E75" w14:textId="77777777" w:rsidR="00FA7EBF" w:rsidRPr="007939DD" w:rsidRDefault="00FA7EBF" w:rsidP="00887F60">
            <w:pPr>
              <w:pStyle w:val="ARfintablecolheadright"/>
              <w:spacing w:before="30" w:after="20"/>
            </w:pPr>
            <w:r w:rsidRPr="007939DD">
              <w:t>$M</w:t>
            </w:r>
          </w:p>
        </w:tc>
      </w:tr>
      <w:tr w:rsidR="00FA7EBF" w:rsidRPr="007939DD" w14:paraId="5E8C12E2" w14:textId="77777777" w:rsidTr="007B207C">
        <w:trPr>
          <w:cantSplit/>
        </w:trPr>
        <w:tc>
          <w:tcPr>
            <w:tcW w:w="9639" w:type="dxa"/>
            <w:gridSpan w:val="3"/>
            <w:tcBorders>
              <w:bottom w:val="single" w:sz="4" w:space="0" w:color="A6A6A6" w:themeColor="background1" w:themeShade="A6"/>
            </w:tcBorders>
          </w:tcPr>
          <w:p w14:paraId="262E7004" w14:textId="77777777" w:rsidR="00FA7EBF" w:rsidRPr="007939DD" w:rsidRDefault="00FA7EBF" w:rsidP="00887F60">
            <w:pPr>
              <w:pStyle w:val="ARfintablebodybold"/>
              <w:spacing w:before="30"/>
              <w:rPr>
                <w:lang w:eastAsia="en-AU"/>
              </w:rPr>
            </w:pPr>
            <w:r w:rsidRPr="003C1D5F">
              <w:t>User charges, or sales of goods and services</w:t>
            </w:r>
          </w:p>
        </w:tc>
      </w:tr>
      <w:tr w:rsidR="00FA7EBF" w:rsidRPr="007939DD" w14:paraId="1E380E32"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3EBD423E" w14:textId="77777777" w:rsidR="00FA7EBF" w:rsidRPr="007939DD" w:rsidRDefault="00FA7EBF" w:rsidP="00887F60">
            <w:pPr>
              <w:pStyle w:val="ARfintablebody"/>
              <w:spacing w:before="30"/>
              <w:rPr>
                <w:lang w:eastAsia="en-AU"/>
              </w:rPr>
            </w:pPr>
            <w:r w:rsidRPr="003C1D5F">
              <w:t>Albury Wodonga Health (Capital)</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DA30BB4" w14:textId="77777777" w:rsidR="00FA7EBF" w:rsidRPr="007939DD" w:rsidRDefault="00FA7EBF" w:rsidP="00887F60">
            <w:pPr>
              <w:pStyle w:val="ARfintablebodyright"/>
              <w:spacing w:before="30"/>
              <w:rPr>
                <w:lang w:eastAsia="en-AU"/>
              </w:rPr>
            </w:pPr>
            <w:r w:rsidRPr="003C1D5F">
              <w:t>1.6</w:t>
            </w:r>
          </w:p>
        </w:tc>
        <w:tc>
          <w:tcPr>
            <w:tcW w:w="1134" w:type="dxa"/>
            <w:tcBorders>
              <w:top w:val="single" w:sz="4" w:space="0" w:color="A6A6A6" w:themeColor="background1" w:themeShade="A6"/>
              <w:bottom w:val="single" w:sz="4" w:space="0" w:color="A6A6A6" w:themeColor="background1" w:themeShade="A6"/>
            </w:tcBorders>
          </w:tcPr>
          <w:p w14:paraId="7304E7A8" w14:textId="77777777" w:rsidR="00FA7EBF" w:rsidRPr="007939DD" w:rsidRDefault="00FA7EBF" w:rsidP="00887F60">
            <w:pPr>
              <w:pStyle w:val="ARfintablebodyright"/>
              <w:spacing w:before="30"/>
              <w:rPr>
                <w:lang w:eastAsia="en-AU"/>
              </w:rPr>
            </w:pPr>
            <w:r w:rsidRPr="003C1D5F">
              <w:t>1.5</w:t>
            </w:r>
          </w:p>
        </w:tc>
      </w:tr>
      <w:tr w:rsidR="00FA7EBF" w:rsidRPr="007939DD" w14:paraId="2E7BD071"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678558DF" w14:textId="77777777" w:rsidR="00FA7EBF" w:rsidRPr="007939DD" w:rsidRDefault="00FA7EBF" w:rsidP="00887F60">
            <w:pPr>
              <w:pStyle w:val="ARfintablebody"/>
              <w:spacing w:before="30"/>
              <w:rPr>
                <w:lang w:eastAsia="en-AU"/>
              </w:rPr>
            </w:pPr>
            <w:r w:rsidRPr="003C1D5F">
              <w:t>Albury Wodonga Health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1AF5282" w14:textId="77777777" w:rsidR="00FA7EBF" w:rsidRPr="007939DD" w:rsidRDefault="00FA7EBF" w:rsidP="00887F60">
            <w:pPr>
              <w:pStyle w:val="ARfintablebodyright"/>
              <w:spacing w:before="30"/>
              <w:rPr>
                <w:lang w:eastAsia="en-AU"/>
              </w:rPr>
            </w:pPr>
            <w:r w:rsidRPr="003C1D5F">
              <w:t>109.8</w:t>
            </w:r>
          </w:p>
        </w:tc>
        <w:tc>
          <w:tcPr>
            <w:tcW w:w="1134" w:type="dxa"/>
            <w:tcBorders>
              <w:top w:val="single" w:sz="4" w:space="0" w:color="A6A6A6" w:themeColor="background1" w:themeShade="A6"/>
              <w:bottom w:val="single" w:sz="4" w:space="0" w:color="A6A6A6" w:themeColor="background1" w:themeShade="A6"/>
            </w:tcBorders>
          </w:tcPr>
          <w:p w14:paraId="3DFD037E" w14:textId="77777777" w:rsidR="00FA7EBF" w:rsidRPr="007939DD" w:rsidRDefault="00FA7EBF" w:rsidP="00887F60">
            <w:pPr>
              <w:pStyle w:val="ARfintablebodyright"/>
              <w:spacing w:before="30"/>
              <w:rPr>
                <w:lang w:eastAsia="en-AU"/>
              </w:rPr>
            </w:pPr>
            <w:r w:rsidRPr="003C1D5F">
              <w:t>105.1</w:t>
            </w:r>
          </w:p>
        </w:tc>
      </w:tr>
      <w:tr w:rsidR="00FA7EBF" w:rsidRPr="007939DD" w14:paraId="73943492"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5EF85D75" w14:textId="77777777" w:rsidR="00FA7EBF" w:rsidRPr="007939DD" w:rsidRDefault="00FA7EBF" w:rsidP="00887F60">
            <w:pPr>
              <w:pStyle w:val="ARfintablebody"/>
              <w:spacing w:before="30"/>
              <w:rPr>
                <w:lang w:eastAsia="en-AU"/>
              </w:rPr>
            </w:pPr>
            <w:r w:rsidRPr="003C1D5F">
              <w:t>Community Residential Units Accommodation charges includes full Board and Lodging Model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9264C9C" w14:textId="77777777" w:rsidR="00FA7EBF" w:rsidRPr="007939DD" w:rsidRDefault="00FA7EBF" w:rsidP="00887F60">
            <w:pPr>
              <w:pStyle w:val="ARfintablebodyright"/>
              <w:spacing w:before="30"/>
              <w:rPr>
                <w:lang w:eastAsia="en-AU"/>
              </w:rPr>
            </w:pPr>
            <w:r w:rsidRPr="003C1D5F">
              <w:t>26.8</w:t>
            </w:r>
          </w:p>
        </w:tc>
        <w:tc>
          <w:tcPr>
            <w:tcW w:w="1134" w:type="dxa"/>
            <w:tcBorders>
              <w:top w:val="single" w:sz="4" w:space="0" w:color="A6A6A6" w:themeColor="background1" w:themeShade="A6"/>
              <w:bottom w:val="single" w:sz="4" w:space="0" w:color="A6A6A6" w:themeColor="background1" w:themeShade="A6"/>
            </w:tcBorders>
          </w:tcPr>
          <w:p w14:paraId="4D55E738" w14:textId="77777777" w:rsidR="00FA7EBF" w:rsidRPr="007939DD" w:rsidRDefault="00FA7EBF" w:rsidP="00887F60">
            <w:pPr>
              <w:pStyle w:val="ARfintablebodyright"/>
              <w:spacing w:before="30"/>
              <w:rPr>
                <w:lang w:eastAsia="en-AU"/>
              </w:rPr>
            </w:pPr>
            <w:r w:rsidRPr="003C1D5F">
              <w:t>27.7</w:t>
            </w:r>
          </w:p>
        </w:tc>
      </w:tr>
      <w:tr w:rsidR="00FA7EBF" w:rsidRPr="007939DD" w14:paraId="0A488AF1"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7B1AE17" w14:textId="77777777" w:rsidR="00FA7EBF" w:rsidRPr="007939DD" w:rsidRDefault="00FA7EBF" w:rsidP="00887F60">
            <w:pPr>
              <w:pStyle w:val="ARfintablebody"/>
              <w:spacing w:before="30"/>
              <w:rPr>
                <w:lang w:eastAsia="en-AU"/>
              </w:rPr>
            </w:pPr>
            <w:r w:rsidRPr="003C1D5F">
              <w:t>Department of Veteran Affairs Hospital Services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670754F" w14:textId="77777777" w:rsidR="00FA7EBF" w:rsidRPr="007939DD" w:rsidRDefault="00FA7EBF" w:rsidP="00887F60">
            <w:pPr>
              <w:pStyle w:val="ARfintablebodyright"/>
              <w:spacing w:before="30"/>
              <w:rPr>
                <w:lang w:eastAsia="en-AU"/>
              </w:rPr>
            </w:pPr>
            <w:r w:rsidRPr="003C1D5F">
              <w:t>78.2</w:t>
            </w:r>
          </w:p>
        </w:tc>
        <w:tc>
          <w:tcPr>
            <w:tcW w:w="1134" w:type="dxa"/>
            <w:tcBorders>
              <w:top w:val="single" w:sz="4" w:space="0" w:color="A6A6A6" w:themeColor="background1" w:themeShade="A6"/>
              <w:bottom w:val="single" w:sz="4" w:space="0" w:color="A6A6A6" w:themeColor="background1" w:themeShade="A6"/>
            </w:tcBorders>
          </w:tcPr>
          <w:p w14:paraId="73512014" w14:textId="77777777" w:rsidR="00FA7EBF" w:rsidRPr="007939DD" w:rsidRDefault="00FA7EBF" w:rsidP="00887F60">
            <w:pPr>
              <w:pStyle w:val="ARfintablebodyright"/>
              <w:spacing w:before="30"/>
              <w:rPr>
                <w:lang w:eastAsia="en-AU"/>
              </w:rPr>
            </w:pPr>
            <w:r w:rsidRPr="003C1D5F">
              <w:t>95.1</w:t>
            </w:r>
          </w:p>
        </w:tc>
      </w:tr>
      <w:tr w:rsidR="00FA7EBF" w:rsidRPr="007939DD" w14:paraId="13ED94C4"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C06F3C7" w14:textId="77777777" w:rsidR="00FA7EBF" w:rsidRPr="007939DD" w:rsidRDefault="00FA7EBF" w:rsidP="00887F60">
            <w:pPr>
              <w:pStyle w:val="ARfintablebody"/>
              <w:spacing w:before="30"/>
              <w:rPr>
                <w:lang w:eastAsia="en-AU"/>
              </w:rPr>
            </w:pPr>
            <w:r w:rsidRPr="003C1D5F">
              <w:t>Health Technology Services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1C2E3EC" w14:textId="77777777" w:rsidR="00FA7EBF" w:rsidRPr="007939DD" w:rsidRDefault="00FA7EBF" w:rsidP="00887F60">
            <w:pPr>
              <w:pStyle w:val="ARfintablebodyright"/>
              <w:spacing w:before="30"/>
              <w:rPr>
                <w:lang w:eastAsia="en-AU"/>
              </w:rPr>
            </w:pPr>
            <w:r w:rsidRPr="003C1D5F">
              <w:t>4.8</w:t>
            </w:r>
          </w:p>
        </w:tc>
        <w:tc>
          <w:tcPr>
            <w:tcW w:w="1134" w:type="dxa"/>
            <w:tcBorders>
              <w:top w:val="single" w:sz="4" w:space="0" w:color="A6A6A6" w:themeColor="background1" w:themeShade="A6"/>
              <w:bottom w:val="single" w:sz="4" w:space="0" w:color="A6A6A6" w:themeColor="background1" w:themeShade="A6"/>
            </w:tcBorders>
          </w:tcPr>
          <w:p w14:paraId="3CAEAB47" w14:textId="77777777" w:rsidR="00FA7EBF" w:rsidRPr="007939DD" w:rsidRDefault="00FA7EBF" w:rsidP="00887F60">
            <w:pPr>
              <w:pStyle w:val="ARfintablebodyright"/>
              <w:spacing w:before="30"/>
              <w:rPr>
                <w:lang w:eastAsia="en-AU"/>
              </w:rPr>
            </w:pPr>
            <w:r w:rsidRPr="003C1D5F">
              <w:t>5.6</w:t>
            </w:r>
          </w:p>
        </w:tc>
      </w:tr>
      <w:tr w:rsidR="00FA7EBF" w:rsidRPr="007939DD" w14:paraId="5C9E0736"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C70F21B" w14:textId="77777777" w:rsidR="00FA7EBF" w:rsidRPr="007939DD" w:rsidRDefault="00FA7EBF" w:rsidP="00887F60">
            <w:pPr>
              <w:pStyle w:val="ARfintablebody"/>
              <w:spacing w:before="30"/>
              <w:rPr>
                <w:lang w:eastAsia="en-AU"/>
              </w:rPr>
            </w:pPr>
            <w:r w:rsidRPr="003C1D5F">
              <w:t>Revenue for Services Provided for the National Disability Insurance Agency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404B38D" w14:textId="77777777" w:rsidR="00FA7EBF" w:rsidRPr="007939DD" w:rsidRDefault="00FA7EBF" w:rsidP="00887F60">
            <w:pPr>
              <w:pStyle w:val="ARfintablebodyright"/>
              <w:spacing w:before="30"/>
              <w:rPr>
                <w:lang w:eastAsia="en-AU"/>
              </w:rPr>
            </w:pPr>
            <w:r w:rsidRPr="003C1D5F">
              <w:t>35.0</w:t>
            </w:r>
          </w:p>
        </w:tc>
        <w:tc>
          <w:tcPr>
            <w:tcW w:w="1134" w:type="dxa"/>
            <w:tcBorders>
              <w:top w:val="single" w:sz="4" w:space="0" w:color="A6A6A6" w:themeColor="background1" w:themeShade="A6"/>
              <w:bottom w:val="single" w:sz="4" w:space="0" w:color="A6A6A6" w:themeColor="background1" w:themeShade="A6"/>
            </w:tcBorders>
          </w:tcPr>
          <w:p w14:paraId="3368F57A" w14:textId="77777777" w:rsidR="00FA7EBF" w:rsidRPr="007939DD" w:rsidRDefault="00FA7EBF" w:rsidP="00887F60">
            <w:pPr>
              <w:pStyle w:val="ARfintablebodyright"/>
              <w:spacing w:before="30"/>
              <w:rPr>
                <w:lang w:eastAsia="en-AU"/>
              </w:rPr>
            </w:pPr>
            <w:r w:rsidRPr="003C1D5F">
              <w:t>12.9</w:t>
            </w:r>
          </w:p>
        </w:tc>
      </w:tr>
      <w:tr w:rsidR="00FA7EBF" w:rsidRPr="007939DD" w14:paraId="06DAB58A"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35877DCE" w14:textId="77777777" w:rsidR="00FA7EBF" w:rsidRPr="007939DD" w:rsidRDefault="00FA7EBF" w:rsidP="00887F60">
            <w:pPr>
              <w:pStyle w:val="ARfintablebody"/>
              <w:spacing w:before="30"/>
              <w:rPr>
                <w:lang w:eastAsia="en-AU"/>
              </w:rPr>
            </w:pPr>
            <w:r w:rsidRPr="003C1D5F">
              <w:t>Seniors Card Directory Advertising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9F223D9" w14:textId="77777777" w:rsidR="00FA7EBF" w:rsidRPr="007939DD" w:rsidRDefault="00FA7EBF" w:rsidP="00887F60">
            <w:pPr>
              <w:pStyle w:val="ARfintablebodyright"/>
              <w:spacing w:before="30"/>
              <w:rPr>
                <w:lang w:eastAsia="en-AU"/>
              </w:rPr>
            </w:pPr>
            <w:r w:rsidRPr="003C1D5F">
              <w:t>0.5</w:t>
            </w:r>
          </w:p>
        </w:tc>
        <w:tc>
          <w:tcPr>
            <w:tcW w:w="1134" w:type="dxa"/>
            <w:tcBorders>
              <w:top w:val="single" w:sz="4" w:space="0" w:color="A6A6A6" w:themeColor="background1" w:themeShade="A6"/>
              <w:bottom w:val="single" w:sz="4" w:space="0" w:color="A6A6A6" w:themeColor="background1" w:themeShade="A6"/>
            </w:tcBorders>
          </w:tcPr>
          <w:p w14:paraId="495617C5" w14:textId="77777777" w:rsidR="00FA7EBF" w:rsidRPr="007939DD" w:rsidRDefault="00FA7EBF" w:rsidP="00887F60">
            <w:pPr>
              <w:pStyle w:val="ARfintablebodyright"/>
              <w:spacing w:before="30"/>
              <w:rPr>
                <w:lang w:eastAsia="en-AU"/>
              </w:rPr>
            </w:pPr>
            <w:r w:rsidRPr="003C1D5F">
              <w:t>0.6</w:t>
            </w:r>
          </w:p>
        </w:tc>
      </w:tr>
      <w:tr w:rsidR="00FA7EBF" w:rsidRPr="007939DD" w14:paraId="4C0FA69E"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0F7321DD" w14:textId="77777777" w:rsidR="00FA7EBF" w:rsidRPr="007939DD" w:rsidRDefault="00FA7EBF" w:rsidP="00887F60">
            <w:pPr>
              <w:pStyle w:val="ARfintablebody"/>
              <w:spacing w:before="30"/>
              <w:rPr>
                <w:lang w:eastAsia="en-AU"/>
              </w:rPr>
            </w:pPr>
            <w:r w:rsidRPr="003C1D5F">
              <w:t>Seniors Festival Advertising and Sponsorship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EE6CDA3" w14:textId="77777777" w:rsidR="00FA7EBF" w:rsidRPr="007939DD" w:rsidRDefault="00FA7EBF" w:rsidP="00887F60">
            <w:pPr>
              <w:pStyle w:val="ARfintablebodyright"/>
              <w:spacing w:before="30"/>
              <w:rPr>
                <w:lang w:eastAsia="en-AU"/>
              </w:rPr>
            </w:pPr>
            <w:r w:rsidRPr="003C1D5F">
              <w:t>0.2</w:t>
            </w:r>
          </w:p>
        </w:tc>
        <w:tc>
          <w:tcPr>
            <w:tcW w:w="1134" w:type="dxa"/>
            <w:tcBorders>
              <w:top w:val="single" w:sz="4" w:space="0" w:color="A6A6A6" w:themeColor="background1" w:themeShade="A6"/>
              <w:bottom w:val="single" w:sz="4" w:space="0" w:color="A6A6A6" w:themeColor="background1" w:themeShade="A6"/>
            </w:tcBorders>
          </w:tcPr>
          <w:p w14:paraId="076BC275" w14:textId="77777777" w:rsidR="00FA7EBF" w:rsidRPr="007939DD" w:rsidRDefault="00FA7EBF" w:rsidP="00887F60">
            <w:pPr>
              <w:pStyle w:val="ARfintablebodyright"/>
              <w:spacing w:before="30"/>
              <w:rPr>
                <w:lang w:eastAsia="en-AU"/>
              </w:rPr>
            </w:pPr>
            <w:r w:rsidRPr="003C1D5F">
              <w:t>0.2</w:t>
            </w:r>
          </w:p>
        </w:tc>
      </w:tr>
      <w:tr w:rsidR="00FA7EBF" w:rsidRPr="007939DD" w14:paraId="017366FA" w14:textId="77777777" w:rsidTr="007B207C">
        <w:trPr>
          <w:cantSplit/>
        </w:trPr>
        <w:tc>
          <w:tcPr>
            <w:tcW w:w="7371" w:type="dxa"/>
            <w:tcBorders>
              <w:top w:val="single" w:sz="4" w:space="0" w:color="A6A6A6" w:themeColor="background1" w:themeShade="A6"/>
            </w:tcBorders>
          </w:tcPr>
          <w:p w14:paraId="0F77EA5F" w14:textId="77777777" w:rsidR="00FA7EBF" w:rsidRPr="007939DD" w:rsidRDefault="00FA7EBF" w:rsidP="00887F60">
            <w:pPr>
              <w:pStyle w:val="ARfintablebody"/>
              <w:spacing w:before="30"/>
              <w:rPr>
                <w:lang w:eastAsia="en-AU"/>
              </w:rPr>
            </w:pPr>
            <w:r w:rsidRPr="003C1D5F">
              <w:t>Transport Accident Commission Agreement (Output)</w:t>
            </w:r>
          </w:p>
        </w:tc>
        <w:tc>
          <w:tcPr>
            <w:tcW w:w="1134" w:type="dxa"/>
            <w:tcBorders>
              <w:top w:val="single" w:sz="4" w:space="0" w:color="A6A6A6" w:themeColor="background1" w:themeShade="A6"/>
            </w:tcBorders>
            <w:shd w:val="clear" w:color="auto" w:fill="E7E6E6"/>
          </w:tcPr>
          <w:p w14:paraId="0666F25E" w14:textId="77777777" w:rsidR="00FA7EBF" w:rsidRPr="007939DD" w:rsidRDefault="00FA7EBF" w:rsidP="00887F60">
            <w:pPr>
              <w:pStyle w:val="ARfintablebodyright"/>
              <w:spacing w:before="30"/>
              <w:rPr>
                <w:lang w:eastAsia="en-AU"/>
              </w:rPr>
            </w:pPr>
            <w:r w:rsidRPr="003C1D5F">
              <w:t>102.1</w:t>
            </w:r>
          </w:p>
        </w:tc>
        <w:tc>
          <w:tcPr>
            <w:tcW w:w="1134" w:type="dxa"/>
            <w:tcBorders>
              <w:top w:val="single" w:sz="4" w:space="0" w:color="A6A6A6" w:themeColor="background1" w:themeShade="A6"/>
            </w:tcBorders>
          </w:tcPr>
          <w:p w14:paraId="366CA7F0" w14:textId="77777777" w:rsidR="00FA7EBF" w:rsidRPr="007939DD" w:rsidRDefault="00FA7EBF" w:rsidP="00887F60">
            <w:pPr>
              <w:pStyle w:val="ARfintablebodyright"/>
              <w:spacing w:before="30"/>
              <w:rPr>
                <w:lang w:eastAsia="en-AU"/>
              </w:rPr>
            </w:pPr>
            <w:r w:rsidRPr="003C1D5F">
              <w:t>90.8</w:t>
            </w:r>
          </w:p>
        </w:tc>
      </w:tr>
      <w:tr w:rsidR="00FA7EBF" w:rsidRPr="007939DD" w14:paraId="2E0EC6F0" w14:textId="77777777" w:rsidTr="007B207C">
        <w:trPr>
          <w:cantSplit/>
        </w:trPr>
        <w:tc>
          <w:tcPr>
            <w:tcW w:w="7371" w:type="dxa"/>
          </w:tcPr>
          <w:p w14:paraId="43422E8E" w14:textId="77777777" w:rsidR="00FA7EBF" w:rsidRPr="007939DD" w:rsidRDefault="00FA7EBF" w:rsidP="00887F60">
            <w:pPr>
              <w:pStyle w:val="ARfintablebody"/>
              <w:spacing w:before="30"/>
              <w:rPr>
                <w:lang w:eastAsia="en-AU"/>
              </w:rPr>
            </w:pPr>
          </w:p>
        </w:tc>
        <w:tc>
          <w:tcPr>
            <w:tcW w:w="1134" w:type="dxa"/>
            <w:shd w:val="clear" w:color="auto" w:fill="E7E6E6"/>
          </w:tcPr>
          <w:p w14:paraId="5D00DE18" w14:textId="77777777" w:rsidR="00FA7EBF" w:rsidRPr="007939DD" w:rsidRDefault="00FA7EBF" w:rsidP="00887F60">
            <w:pPr>
              <w:pStyle w:val="ARfintablebodyrightbold"/>
              <w:spacing w:before="30"/>
              <w:rPr>
                <w:lang w:eastAsia="en-AU"/>
              </w:rPr>
            </w:pPr>
            <w:r w:rsidRPr="003C1D5F">
              <w:t>358.9</w:t>
            </w:r>
          </w:p>
        </w:tc>
        <w:tc>
          <w:tcPr>
            <w:tcW w:w="1134" w:type="dxa"/>
          </w:tcPr>
          <w:p w14:paraId="0555223A" w14:textId="77777777" w:rsidR="00FA7EBF" w:rsidRPr="007939DD" w:rsidRDefault="00FA7EBF" w:rsidP="00887F60">
            <w:pPr>
              <w:pStyle w:val="ARfintablebodyrightbold"/>
              <w:spacing w:before="30"/>
              <w:rPr>
                <w:rStyle w:val="Strong"/>
              </w:rPr>
            </w:pPr>
            <w:r w:rsidRPr="003C1D5F">
              <w:t>339.6</w:t>
            </w:r>
          </w:p>
        </w:tc>
      </w:tr>
      <w:tr w:rsidR="00FA7EBF" w:rsidRPr="007939DD" w14:paraId="0757D88E" w14:textId="77777777" w:rsidTr="007B207C">
        <w:trPr>
          <w:cantSplit/>
        </w:trPr>
        <w:tc>
          <w:tcPr>
            <w:tcW w:w="9639" w:type="dxa"/>
            <w:gridSpan w:val="3"/>
            <w:tcBorders>
              <w:bottom w:val="single" w:sz="4" w:space="0" w:color="A6A6A6" w:themeColor="background1" w:themeShade="A6"/>
            </w:tcBorders>
          </w:tcPr>
          <w:p w14:paraId="07F2C40D" w14:textId="77777777" w:rsidR="00FA7EBF" w:rsidRPr="007939DD" w:rsidRDefault="00FA7EBF" w:rsidP="00887F60">
            <w:pPr>
              <w:pStyle w:val="ARfintablebodybold"/>
              <w:spacing w:before="30"/>
              <w:rPr>
                <w:lang w:eastAsia="en-AU"/>
              </w:rPr>
            </w:pPr>
            <w:r w:rsidRPr="003C1D5F">
              <w:t>Asset sales</w:t>
            </w:r>
          </w:p>
        </w:tc>
      </w:tr>
      <w:tr w:rsidR="00FA7EBF" w:rsidRPr="007939DD" w14:paraId="0DE57538" w14:textId="77777777" w:rsidTr="007B207C">
        <w:trPr>
          <w:cantSplit/>
        </w:trPr>
        <w:tc>
          <w:tcPr>
            <w:tcW w:w="7371" w:type="dxa"/>
            <w:tcBorders>
              <w:top w:val="single" w:sz="4" w:space="0" w:color="A6A6A6" w:themeColor="background1" w:themeShade="A6"/>
            </w:tcBorders>
          </w:tcPr>
          <w:p w14:paraId="501B6B0B" w14:textId="77777777" w:rsidR="00FA7EBF" w:rsidRPr="007939DD" w:rsidRDefault="00FA7EBF" w:rsidP="00887F60">
            <w:pPr>
              <w:pStyle w:val="ARfintablebody"/>
              <w:spacing w:before="30"/>
              <w:rPr>
                <w:lang w:eastAsia="en-AU"/>
              </w:rPr>
            </w:pPr>
            <w:r w:rsidRPr="003C1D5F">
              <w:t>Proceeds from sale of land and buildings (Capital)</w:t>
            </w:r>
          </w:p>
        </w:tc>
        <w:tc>
          <w:tcPr>
            <w:tcW w:w="1134" w:type="dxa"/>
            <w:tcBorders>
              <w:top w:val="single" w:sz="4" w:space="0" w:color="A6A6A6" w:themeColor="background1" w:themeShade="A6"/>
            </w:tcBorders>
            <w:shd w:val="clear" w:color="auto" w:fill="E7E6E6"/>
          </w:tcPr>
          <w:p w14:paraId="46E66C52" w14:textId="77777777" w:rsidR="00FA7EBF" w:rsidRPr="007939DD" w:rsidRDefault="00FA7EBF" w:rsidP="00887F60">
            <w:pPr>
              <w:pStyle w:val="ARfintablebodyright"/>
              <w:spacing w:before="30"/>
              <w:rPr>
                <w:lang w:eastAsia="en-AU"/>
              </w:rPr>
            </w:pPr>
            <w:r w:rsidRPr="003C1D5F">
              <w:t>0.1</w:t>
            </w:r>
          </w:p>
        </w:tc>
        <w:tc>
          <w:tcPr>
            <w:tcW w:w="1134" w:type="dxa"/>
            <w:tcBorders>
              <w:top w:val="single" w:sz="4" w:space="0" w:color="A6A6A6" w:themeColor="background1" w:themeShade="A6"/>
            </w:tcBorders>
          </w:tcPr>
          <w:p w14:paraId="10D67223" w14:textId="77777777" w:rsidR="00FA7EBF" w:rsidRPr="007939DD" w:rsidRDefault="00FA7EBF" w:rsidP="00887F60">
            <w:pPr>
              <w:pStyle w:val="ARfintablebodyright"/>
              <w:spacing w:before="30"/>
              <w:rPr>
                <w:lang w:eastAsia="en-AU"/>
              </w:rPr>
            </w:pPr>
            <w:r w:rsidRPr="003C1D5F">
              <w:t>0.9</w:t>
            </w:r>
          </w:p>
        </w:tc>
      </w:tr>
      <w:tr w:rsidR="00FA7EBF" w:rsidRPr="007939DD" w14:paraId="1D2546F3" w14:textId="77777777" w:rsidTr="007B207C">
        <w:trPr>
          <w:cantSplit/>
        </w:trPr>
        <w:tc>
          <w:tcPr>
            <w:tcW w:w="7371" w:type="dxa"/>
          </w:tcPr>
          <w:p w14:paraId="36CEAA47" w14:textId="77777777" w:rsidR="00FA7EBF" w:rsidRPr="007939DD" w:rsidRDefault="00FA7EBF" w:rsidP="00887F60">
            <w:pPr>
              <w:pStyle w:val="ARfintablebody"/>
              <w:spacing w:before="30"/>
              <w:rPr>
                <w:lang w:eastAsia="en-AU"/>
              </w:rPr>
            </w:pPr>
          </w:p>
        </w:tc>
        <w:tc>
          <w:tcPr>
            <w:tcW w:w="1134" w:type="dxa"/>
            <w:shd w:val="clear" w:color="auto" w:fill="E7E6E6"/>
          </w:tcPr>
          <w:p w14:paraId="316743D4" w14:textId="77777777" w:rsidR="00FA7EBF" w:rsidRPr="007939DD" w:rsidRDefault="00FA7EBF" w:rsidP="00887F60">
            <w:pPr>
              <w:pStyle w:val="ARfintablebodyrightbold"/>
              <w:spacing w:before="30"/>
              <w:rPr>
                <w:lang w:eastAsia="en-AU"/>
              </w:rPr>
            </w:pPr>
            <w:r w:rsidRPr="003C1D5F">
              <w:t>0.1</w:t>
            </w:r>
          </w:p>
        </w:tc>
        <w:tc>
          <w:tcPr>
            <w:tcW w:w="1134" w:type="dxa"/>
          </w:tcPr>
          <w:p w14:paraId="61A1F448" w14:textId="77777777" w:rsidR="00FA7EBF" w:rsidRPr="007939DD" w:rsidRDefault="00FA7EBF" w:rsidP="00887F60">
            <w:pPr>
              <w:pStyle w:val="ARfintablebodyrightbold"/>
              <w:spacing w:before="30"/>
              <w:rPr>
                <w:rStyle w:val="Strong"/>
              </w:rPr>
            </w:pPr>
            <w:r w:rsidRPr="003C1D5F">
              <w:t>0.9</w:t>
            </w:r>
          </w:p>
        </w:tc>
      </w:tr>
      <w:tr w:rsidR="00FA7EBF" w:rsidRPr="007939DD" w14:paraId="68A88C9E" w14:textId="77777777" w:rsidTr="007B207C">
        <w:trPr>
          <w:cantSplit/>
        </w:trPr>
        <w:tc>
          <w:tcPr>
            <w:tcW w:w="9639" w:type="dxa"/>
            <w:gridSpan w:val="3"/>
            <w:tcBorders>
              <w:bottom w:val="single" w:sz="4" w:space="0" w:color="A6A6A6" w:themeColor="background1" w:themeShade="A6"/>
            </w:tcBorders>
          </w:tcPr>
          <w:p w14:paraId="3A1F951F" w14:textId="77777777" w:rsidR="00FA7EBF" w:rsidRPr="007939DD" w:rsidRDefault="00FA7EBF" w:rsidP="00887F60">
            <w:pPr>
              <w:pStyle w:val="ARfintablebodybold"/>
              <w:spacing w:before="30"/>
              <w:rPr>
                <w:lang w:eastAsia="en-AU"/>
              </w:rPr>
            </w:pPr>
            <w:r w:rsidRPr="003C1D5F">
              <w:t>Commonwealth Specific Purpose Payments</w:t>
            </w:r>
          </w:p>
        </w:tc>
      </w:tr>
      <w:tr w:rsidR="00FA7EBF" w:rsidRPr="007939DD" w14:paraId="764FE7B6" w14:textId="77777777" w:rsidTr="007B207C">
        <w:trPr>
          <w:cantSplit/>
        </w:trPr>
        <w:tc>
          <w:tcPr>
            <w:tcW w:w="9639" w:type="dxa"/>
            <w:gridSpan w:val="3"/>
            <w:tcBorders>
              <w:top w:val="single" w:sz="4" w:space="0" w:color="A6A6A6" w:themeColor="background1" w:themeShade="A6"/>
              <w:bottom w:val="single" w:sz="4" w:space="0" w:color="A6A6A6" w:themeColor="background1" w:themeShade="A6"/>
            </w:tcBorders>
          </w:tcPr>
          <w:p w14:paraId="252778BE" w14:textId="77777777" w:rsidR="00FA7EBF" w:rsidRPr="007939DD" w:rsidRDefault="00FA7EBF" w:rsidP="00887F60">
            <w:pPr>
              <w:pStyle w:val="ARfintablebody"/>
              <w:spacing w:before="30"/>
              <w:rPr>
                <w:lang w:eastAsia="en-AU"/>
              </w:rPr>
            </w:pPr>
            <w:r w:rsidRPr="003C1D5F">
              <w:t>National Partnership Agreements</w:t>
            </w:r>
          </w:p>
        </w:tc>
      </w:tr>
      <w:tr w:rsidR="00FA7EBF" w:rsidRPr="007939DD" w14:paraId="4AD1827F"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2793763" w14:textId="77777777" w:rsidR="00FA7EBF" w:rsidRPr="007939DD" w:rsidRDefault="00FA7EBF" w:rsidP="00887F60">
            <w:pPr>
              <w:pStyle w:val="ARfintablebodyindent"/>
              <w:spacing w:before="30"/>
            </w:pPr>
            <w:r w:rsidRPr="003C1D5F">
              <w:t>Adult Public Dental Services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F4EBDFD" w14:textId="77777777" w:rsidR="00FA7EBF" w:rsidRPr="007939DD" w:rsidRDefault="00FA7EBF" w:rsidP="00887F60">
            <w:pPr>
              <w:pStyle w:val="ARfintablebodyright"/>
              <w:spacing w:before="30"/>
              <w:rPr>
                <w:lang w:eastAsia="en-AU"/>
              </w:rPr>
            </w:pPr>
            <w:r w:rsidRPr="003C1D5F">
              <w:t>26.9</w:t>
            </w:r>
          </w:p>
        </w:tc>
        <w:tc>
          <w:tcPr>
            <w:tcW w:w="1134" w:type="dxa"/>
            <w:tcBorders>
              <w:top w:val="single" w:sz="4" w:space="0" w:color="A6A6A6" w:themeColor="background1" w:themeShade="A6"/>
              <w:bottom w:val="single" w:sz="4" w:space="0" w:color="A6A6A6" w:themeColor="background1" w:themeShade="A6"/>
            </w:tcBorders>
          </w:tcPr>
          <w:p w14:paraId="7ADB5179" w14:textId="77777777" w:rsidR="00FA7EBF" w:rsidRPr="007939DD" w:rsidRDefault="00FA7EBF" w:rsidP="00887F60">
            <w:pPr>
              <w:pStyle w:val="ARfintablebodyright"/>
              <w:spacing w:before="30"/>
              <w:rPr>
                <w:lang w:eastAsia="en-AU"/>
              </w:rPr>
            </w:pPr>
            <w:r w:rsidRPr="003C1D5F">
              <w:t>33.6</w:t>
            </w:r>
          </w:p>
        </w:tc>
      </w:tr>
      <w:tr w:rsidR="00FA7EBF" w:rsidRPr="007939DD" w14:paraId="7E0E2136"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62881F92" w14:textId="77777777" w:rsidR="00FA7EBF" w:rsidRPr="007939DD" w:rsidRDefault="00FA7EBF" w:rsidP="00887F60">
            <w:pPr>
              <w:pStyle w:val="ARfintablebodyindent"/>
              <w:spacing w:before="30"/>
            </w:pPr>
            <w:r w:rsidRPr="003C1D5F">
              <w:t>Albury-Wodonga Cardiac Catheterisation Laboratory (Capital)</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B301149" w14:textId="77777777" w:rsidR="00FA7EBF" w:rsidRPr="007939DD" w:rsidRDefault="00FA7EBF" w:rsidP="00887F60">
            <w:pPr>
              <w:pStyle w:val="ARfintablebodyright"/>
              <w:spacing w:before="30"/>
              <w:rPr>
                <w:lang w:eastAsia="en-AU"/>
              </w:rPr>
            </w:pPr>
            <w:r w:rsidRPr="003C1D5F">
              <w:t>1.0</w:t>
            </w:r>
          </w:p>
        </w:tc>
        <w:tc>
          <w:tcPr>
            <w:tcW w:w="1134" w:type="dxa"/>
            <w:tcBorders>
              <w:top w:val="single" w:sz="4" w:space="0" w:color="A6A6A6" w:themeColor="background1" w:themeShade="A6"/>
              <w:bottom w:val="single" w:sz="4" w:space="0" w:color="A6A6A6" w:themeColor="background1" w:themeShade="A6"/>
            </w:tcBorders>
          </w:tcPr>
          <w:p w14:paraId="1E13F0EB" w14:textId="77777777" w:rsidR="00FA7EBF" w:rsidRPr="007939DD" w:rsidRDefault="00FA7EBF" w:rsidP="00887F60">
            <w:pPr>
              <w:pStyle w:val="ARfintablebodyright"/>
              <w:spacing w:before="30"/>
              <w:rPr>
                <w:lang w:eastAsia="en-AU"/>
              </w:rPr>
            </w:pPr>
            <w:r w:rsidRPr="003C1D5F">
              <w:t>0.5</w:t>
            </w:r>
          </w:p>
        </w:tc>
      </w:tr>
      <w:tr w:rsidR="00FA7EBF" w:rsidRPr="007939DD" w14:paraId="77F654FB"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F1D1D82" w14:textId="77777777" w:rsidR="00FA7EBF" w:rsidRPr="007939DD" w:rsidRDefault="00FA7EBF" w:rsidP="00887F60">
            <w:pPr>
              <w:pStyle w:val="ARfintablebodyindent"/>
              <w:spacing w:before="30"/>
            </w:pPr>
            <w:r w:rsidRPr="003C1D5F">
              <w:t>Encouraging More Clinical Trials in Australia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B01FF09" w14:textId="77777777" w:rsidR="00FA7EBF" w:rsidRPr="007939DD" w:rsidRDefault="00FA7EBF" w:rsidP="00887F60">
            <w:pPr>
              <w:pStyle w:val="ARfintablebodyright"/>
              <w:spacing w:before="30"/>
              <w:rPr>
                <w:lang w:eastAsia="en-AU"/>
              </w:rPr>
            </w:pPr>
            <w:r w:rsidRPr="003C1D5F">
              <w:t>0.2</w:t>
            </w:r>
          </w:p>
        </w:tc>
        <w:tc>
          <w:tcPr>
            <w:tcW w:w="1134" w:type="dxa"/>
            <w:tcBorders>
              <w:top w:val="single" w:sz="4" w:space="0" w:color="A6A6A6" w:themeColor="background1" w:themeShade="A6"/>
              <w:bottom w:val="single" w:sz="4" w:space="0" w:color="A6A6A6" w:themeColor="background1" w:themeShade="A6"/>
            </w:tcBorders>
          </w:tcPr>
          <w:p w14:paraId="36A1CB05" w14:textId="77777777" w:rsidR="00FA7EBF" w:rsidRPr="007939DD" w:rsidRDefault="00FA7EBF" w:rsidP="00887F60">
            <w:pPr>
              <w:pStyle w:val="ARfintablebodyright"/>
              <w:spacing w:before="30"/>
              <w:rPr>
                <w:lang w:eastAsia="en-AU"/>
              </w:rPr>
            </w:pPr>
            <w:r w:rsidRPr="003C1D5F">
              <w:t>0.4</w:t>
            </w:r>
          </w:p>
        </w:tc>
      </w:tr>
      <w:tr w:rsidR="00FA7EBF" w:rsidRPr="007939DD" w14:paraId="009B78AB"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40271D0A" w14:textId="77777777" w:rsidR="00FA7EBF" w:rsidRPr="007939DD" w:rsidRDefault="00FA7EBF" w:rsidP="00887F60">
            <w:pPr>
              <w:pStyle w:val="ARfintablebodyindent"/>
              <w:spacing w:before="30"/>
            </w:pPr>
            <w:r w:rsidRPr="003C1D5F">
              <w:t>Essential Vaccines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791EC37" w14:textId="77777777" w:rsidR="00FA7EBF" w:rsidRPr="007939DD" w:rsidRDefault="00FA7EBF" w:rsidP="00887F60">
            <w:pPr>
              <w:pStyle w:val="ARfintablebodyright"/>
              <w:spacing w:before="30"/>
              <w:rPr>
                <w:lang w:eastAsia="en-AU"/>
              </w:rPr>
            </w:pPr>
            <w:r w:rsidRPr="003C1D5F">
              <w:t>3.6</w:t>
            </w:r>
          </w:p>
        </w:tc>
        <w:tc>
          <w:tcPr>
            <w:tcW w:w="1134" w:type="dxa"/>
            <w:tcBorders>
              <w:top w:val="single" w:sz="4" w:space="0" w:color="A6A6A6" w:themeColor="background1" w:themeShade="A6"/>
              <w:bottom w:val="single" w:sz="4" w:space="0" w:color="A6A6A6" w:themeColor="background1" w:themeShade="A6"/>
            </w:tcBorders>
          </w:tcPr>
          <w:p w14:paraId="741FBCD0" w14:textId="77777777" w:rsidR="00FA7EBF" w:rsidRPr="007939DD" w:rsidRDefault="00FA7EBF" w:rsidP="00887F60">
            <w:pPr>
              <w:pStyle w:val="ARfintablebodyright"/>
              <w:spacing w:before="30"/>
              <w:rPr>
                <w:lang w:eastAsia="en-AU"/>
              </w:rPr>
            </w:pPr>
            <w:r w:rsidRPr="003C1D5F">
              <w:t>12.2</w:t>
            </w:r>
          </w:p>
        </w:tc>
      </w:tr>
      <w:tr w:rsidR="00FA7EBF" w:rsidRPr="007939DD" w14:paraId="3B7F26B5"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6770EA65" w14:textId="77777777" w:rsidR="00FA7EBF" w:rsidRPr="007939DD" w:rsidRDefault="00FA7EBF" w:rsidP="00887F60">
            <w:pPr>
              <w:pStyle w:val="ARfintablebodyindent"/>
              <w:spacing w:before="30"/>
            </w:pPr>
            <w:r w:rsidRPr="003C1D5F">
              <w:t>Expansion of the BreastScreen Australia Program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1DD2052" w14:textId="77777777" w:rsidR="00FA7EBF" w:rsidRPr="007939DD" w:rsidRDefault="00FA7EBF" w:rsidP="00887F60">
            <w:pPr>
              <w:pStyle w:val="ARfintablebodyright"/>
              <w:spacing w:before="30"/>
              <w:rPr>
                <w:lang w:eastAsia="en-AU"/>
              </w:rPr>
            </w:pPr>
            <w:r w:rsidRPr="003C1D5F">
              <w:t>7.5</w:t>
            </w:r>
          </w:p>
        </w:tc>
        <w:tc>
          <w:tcPr>
            <w:tcW w:w="1134" w:type="dxa"/>
            <w:tcBorders>
              <w:top w:val="single" w:sz="4" w:space="0" w:color="A6A6A6" w:themeColor="background1" w:themeShade="A6"/>
              <w:bottom w:val="single" w:sz="4" w:space="0" w:color="A6A6A6" w:themeColor="background1" w:themeShade="A6"/>
            </w:tcBorders>
          </w:tcPr>
          <w:p w14:paraId="4B2DEA37" w14:textId="77777777" w:rsidR="00FA7EBF" w:rsidRPr="007939DD" w:rsidRDefault="00FA7EBF" w:rsidP="00887F60">
            <w:pPr>
              <w:pStyle w:val="ARfintablebodyright"/>
              <w:spacing w:before="30"/>
              <w:rPr>
                <w:lang w:eastAsia="en-AU"/>
              </w:rPr>
            </w:pPr>
            <w:r w:rsidRPr="003C1D5F">
              <w:t>–</w:t>
            </w:r>
          </w:p>
        </w:tc>
      </w:tr>
      <w:tr w:rsidR="00FA7EBF" w:rsidRPr="007939DD" w14:paraId="1DCC949D"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7FCC8B8" w14:textId="77777777" w:rsidR="00FA7EBF" w:rsidRPr="007939DD" w:rsidRDefault="00FA7EBF" w:rsidP="00887F60">
            <w:pPr>
              <w:pStyle w:val="ARfintablebodyindent"/>
              <w:spacing w:before="30"/>
            </w:pPr>
            <w:r w:rsidRPr="003C1D5F">
              <w:t>Health and Hospitals Fund – Albury-Wodonga Regional Cancer Centre (Capital)</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7AD01F3" w14:textId="77777777" w:rsidR="00FA7EBF" w:rsidRPr="007939DD" w:rsidRDefault="00FA7EBF" w:rsidP="00887F60">
            <w:pPr>
              <w:pStyle w:val="ARfintablebodyright"/>
              <w:spacing w:before="30"/>
              <w:rPr>
                <w:lang w:eastAsia="en-AU"/>
              </w:rPr>
            </w:pPr>
            <w:r w:rsidRPr="003C1D5F">
              <w:t>–</w:t>
            </w:r>
          </w:p>
        </w:tc>
        <w:tc>
          <w:tcPr>
            <w:tcW w:w="1134" w:type="dxa"/>
            <w:tcBorders>
              <w:top w:val="single" w:sz="4" w:space="0" w:color="A6A6A6" w:themeColor="background1" w:themeShade="A6"/>
              <w:bottom w:val="single" w:sz="4" w:space="0" w:color="A6A6A6" w:themeColor="background1" w:themeShade="A6"/>
            </w:tcBorders>
          </w:tcPr>
          <w:p w14:paraId="2330AF94" w14:textId="77777777" w:rsidR="00FA7EBF" w:rsidRPr="007939DD" w:rsidRDefault="00FA7EBF" w:rsidP="00887F60">
            <w:pPr>
              <w:pStyle w:val="ARfintablebodyright"/>
              <w:spacing w:before="30"/>
              <w:rPr>
                <w:lang w:eastAsia="en-AU"/>
              </w:rPr>
            </w:pPr>
            <w:r w:rsidRPr="003C1D5F">
              <w:t>1.1</w:t>
            </w:r>
          </w:p>
        </w:tc>
      </w:tr>
      <w:tr w:rsidR="00FA7EBF" w:rsidRPr="007939DD" w14:paraId="5D2F96B8"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4C6E0853" w14:textId="77777777" w:rsidR="00FA7EBF" w:rsidRPr="007939DD" w:rsidRDefault="00FA7EBF" w:rsidP="00887F60">
            <w:pPr>
              <w:pStyle w:val="ARfintablebodyindent"/>
              <w:spacing w:before="30"/>
            </w:pPr>
            <w:r w:rsidRPr="003C1D5F">
              <w:t>Health and Hospitals Fund – Leongatha Integrated Primary Care Centre (Capital)</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4424852" w14:textId="77777777" w:rsidR="00FA7EBF" w:rsidRPr="007939DD" w:rsidRDefault="00FA7EBF" w:rsidP="00887F60">
            <w:pPr>
              <w:pStyle w:val="ARfintablebodyright"/>
              <w:spacing w:before="30"/>
              <w:rPr>
                <w:lang w:eastAsia="en-AU"/>
              </w:rPr>
            </w:pPr>
            <w:r w:rsidRPr="003C1D5F">
              <w:t>–</w:t>
            </w:r>
          </w:p>
        </w:tc>
        <w:tc>
          <w:tcPr>
            <w:tcW w:w="1134" w:type="dxa"/>
            <w:tcBorders>
              <w:top w:val="single" w:sz="4" w:space="0" w:color="A6A6A6" w:themeColor="background1" w:themeShade="A6"/>
              <w:bottom w:val="single" w:sz="4" w:space="0" w:color="A6A6A6" w:themeColor="background1" w:themeShade="A6"/>
            </w:tcBorders>
          </w:tcPr>
          <w:p w14:paraId="6DDD4867" w14:textId="77777777" w:rsidR="00FA7EBF" w:rsidRPr="007939DD" w:rsidRDefault="00FA7EBF" w:rsidP="00887F60">
            <w:pPr>
              <w:pStyle w:val="ARfintablebodyright"/>
              <w:spacing w:before="30"/>
              <w:rPr>
                <w:lang w:eastAsia="en-AU"/>
              </w:rPr>
            </w:pPr>
            <w:r w:rsidRPr="003C1D5F">
              <w:t>2.3</w:t>
            </w:r>
          </w:p>
        </w:tc>
      </w:tr>
      <w:tr w:rsidR="00FA7EBF" w:rsidRPr="007939DD" w14:paraId="39524848"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05B60210" w14:textId="77777777" w:rsidR="00FA7EBF" w:rsidRPr="007939DD" w:rsidRDefault="00FA7EBF" w:rsidP="00887F60">
            <w:pPr>
              <w:pStyle w:val="ARfintablebodyindent"/>
              <w:spacing w:before="30"/>
            </w:pPr>
            <w:r w:rsidRPr="003C1D5F">
              <w:t>Health Services – National Bowel Cancer Screening Program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279E4E6" w14:textId="77777777" w:rsidR="00FA7EBF" w:rsidRPr="007939DD" w:rsidRDefault="00FA7EBF" w:rsidP="00887F60">
            <w:pPr>
              <w:pStyle w:val="ARfintablebodyright"/>
              <w:spacing w:before="30"/>
              <w:rPr>
                <w:lang w:eastAsia="en-AU"/>
              </w:rPr>
            </w:pPr>
            <w:r w:rsidRPr="003C1D5F">
              <w:t>1.9</w:t>
            </w:r>
          </w:p>
        </w:tc>
        <w:tc>
          <w:tcPr>
            <w:tcW w:w="1134" w:type="dxa"/>
            <w:tcBorders>
              <w:top w:val="single" w:sz="4" w:space="0" w:color="A6A6A6" w:themeColor="background1" w:themeShade="A6"/>
              <w:bottom w:val="single" w:sz="4" w:space="0" w:color="A6A6A6" w:themeColor="background1" w:themeShade="A6"/>
            </w:tcBorders>
          </w:tcPr>
          <w:p w14:paraId="094F112B" w14:textId="77777777" w:rsidR="00FA7EBF" w:rsidRPr="007939DD" w:rsidRDefault="00FA7EBF" w:rsidP="00887F60">
            <w:pPr>
              <w:pStyle w:val="ARfintablebodyright"/>
              <w:spacing w:before="30"/>
              <w:rPr>
                <w:lang w:eastAsia="en-AU"/>
              </w:rPr>
            </w:pPr>
            <w:r w:rsidRPr="003C1D5F">
              <w:t>1.5</w:t>
            </w:r>
          </w:p>
        </w:tc>
      </w:tr>
      <w:tr w:rsidR="00FA7EBF" w:rsidRPr="007939DD" w14:paraId="4EE32ED8"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4ABCBB3" w14:textId="77777777" w:rsidR="00FA7EBF" w:rsidRPr="007939DD" w:rsidRDefault="00FA7EBF" w:rsidP="00887F60">
            <w:pPr>
              <w:pStyle w:val="ARfintablebodyindent"/>
              <w:spacing w:before="30"/>
            </w:pPr>
            <w:r w:rsidRPr="003C1D5F">
              <w:t>Health Services – OzFoodNet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DB247D3" w14:textId="77777777" w:rsidR="00FA7EBF" w:rsidRPr="007939DD" w:rsidRDefault="00FA7EBF" w:rsidP="00887F60">
            <w:pPr>
              <w:pStyle w:val="ARfintablebodyright"/>
              <w:spacing w:before="30"/>
              <w:rPr>
                <w:lang w:eastAsia="en-AU"/>
              </w:rPr>
            </w:pPr>
            <w:r w:rsidRPr="003C1D5F">
              <w:t>0.3</w:t>
            </w:r>
          </w:p>
        </w:tc>
        <w:tc>
          <w:tcPr>
            <w:tcW w:w="1134" w:type="dxa"/>
            <w:tcBorders>
              <w:top w:val="single" w:sz="4" w:space="0" w:color="A6A6A6" w:themeColor="background1" w:themeShade="A6"/>
              <w:bottom w:val="single" w:sz="4" w:space="0" w:color="A6A6A6" w:themeColor="background1" w:themeShade="A6"/>
            </w:tcBorders>
          </w:tcPr>
          <w:p w14:paraId="6B7A5386" w14:textId="77777777" w:rsidR="00FA7EBF" w:rsidRPr="007939DD" w:rsidRDefault="00FA7EBF" w:rsidP="00887F60">
            <w:pPr>
              <w:pStyle w:val="ARfintablebodyright"/>
              <w:spacing w:before="30"/>
              <w:rPr>
                <w:lang w:eastAsia="en-AU"/>
              </w:rPr>
            </w:pPr>
            <w:r w:rsidRPr="003C1D5F">
              <w:t>0.5</w:t>
            </w:r>
          </w:p>
        </w:tc>
      </w:tr>
      <w:tr w:rsidR="00FA7EBF" w:rsidRPr="007939DD" w14:paraId="142A0E35"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C88F559" w14:textId="77777777" w:rsidR="00FA7EBF" w:rsidRPr="007939DD" w:rsidRDefault="00FA7EBF" w:rsidP="00887F60">
            <w:pPr>
              <w:pStyle w:val="ARfintablebodyindent"/>
              <w:spacing w:before="30"/>
            </w:pPr>
            <w:r w:rsidRPr="003C1D5F">
              <w:t>Health Services – Vaccine-Preventable Diseases Surveillance Program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D395237" w14:textId="77777777" w:rsidR="00FA7EBF" w:rsidRPr="007939DD" w:rsidRDefault="00FA7EBF" w:rsidP="00887F60">
            <w:pPr>
              <w:pStyle w:val="ARfintablebodyright"/>
              <w:spacing w:before="30"/>
              <w:rPr>
                <w:lang w:eastAsia="en-AU"/>
              </w:rPr>
            </w:pPr>
            <w:r w:rsidRPr="003C1D5F">
              <w:t>0.2</w:t>
            </w:r>
          </w:p>
        </w:tc>
        <w:tc>
          <w:tcPr>
            <w:tcW w:w="1134" w:type="dxa"/>
            <w:tcBorders>
              <w:top w:val="single" w:sz="4" w:space="0" w:color="A6A6A6" w:themeColor="background1" w:themeShade="A6"/>
              <w:bottom w:val="single" w:sz="4" w:space="0" w:color="A6A6A6" w:themeColor="background1" w:themeShade="A6"/>
            </w:tcBorders>
          </w:tcPr>
          <w:p w14:paraId="0B13DDA1" w14:textId="77777777" w:rsidR="00FA7EBF" w:rsidRPr="007939DD" w:rsidRDefault="00FA7EBF" w:rsidP="00887F60">
            <w:pPr>
              <w:pStyle w:val="ARfintablebodyright"/>
              <w:spacing w:before="30"/>
              <w:rPr>
                <w:lang w:eastAsia="en-AU"/>
              </w:rPr>
            </w:pPr>
            <w:r w:rsidRPr="003C1D5F">
              <w:t>0.2</w:t>
            </w:r>
          </w:p>
        </w:tc>
      </w:tr>
      <w:tr w:rsidR="00FA7EBF" w:rsidRPr="007939DD" w14:paraId="30F799A9"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C6FBAE2" w14:textId="77777777" w:rsidR="00FA7EBF" w:rsidRPr="007939DD" w:rsidRDefault="00FA7EBF" w:rsidP="00887F60">
            <w:pPr>
              <w:pStyle w:val="ARfintablebodyindent"/>
              <w:spacing w:before="30"/>
            </w:pPr>
            <w:r w:rsidRPr="003C1D5F">
              <w:t>Health Services – Victorian Cytology Service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5612959" w14:textId="77777777" w:rsidR="00FA7EBF" w:rsidRPr="007939DD" w:rsidRDefault="00FA7EBF" w:rsidP="00887F60">
            <w:pPr>
              <w:pStyle w:val="ARfintablebodyright"/>
              <w:spacing w:before="30"/>
              <w:rPr>
                <w:lang w:eastAsia="en-AU"/>
              </w:rPr>
            </w:pPr>
            <w:r w:rsidRPr="003C1D5F">
              <w:t>10.3</w:t>
            </w:r>
          </w:p>
        </w:tc>
        <w:tc>
          <w:tcPr>
            <w:tcW w:w="1134" w:type="dxa"/>
            <w:tcBorders>
              <w:top w:val="single" w:sz="4" w:space="0" w:color="A6A6A6" w:themeColor="background1" w:themeShade="A6"/>
              <w:bottom w:val="single" w:sz="4" w:space="0" w:color="A6A6A6" w:themeColor="background1" w:themeShade="A6"/>
            </w:tcBorders>
          </w:tcPr>
          <w:p w14:paraId="0B7C0C7C" w14:textId="77777777" w:rsidR="00FA7EBF" w:rsidRPr="007939DD" w:rsidRDefault="00FA7EBF" w:rsidP="00887F60">
            <w:pPr>
              <w:pStyle w:val="ARfintablebodyright"/>
              <w:spacing w:before="30"/>
              <w:rPr>
                <w:lang w:eastAsia="en-AU"/>
              </w:rPr>
            </w:pPr>
            <w:r w:rsidRPr="003C1D5F">
              <w:t>10.2</w:t>
            </w:r>
          </w:p>
        </w:tc>
      </w:tr>
      <w:tr w:rsidR="00FA7EBF" w:rsidRPr="007939DD" w14:paraId="60598D97"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5CEAD1B" w14:textId="77777777" w:rsidR="00FA7EBF" w:rsidRPr="007939DD" w:rsidRDefault="00FA7EBF" w:rsidP="00887F60">
            <w:pPr>
              <w:pStyle w:val="ARfintablebodyindent"/>
              <w:spacing w:before="30"/>
            </w:pPr>
            <w:r w:rsidRPr="003C1D5F">
              <w:t>Homes for the Homeless – Homelessness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4D3ADF1" w14:textId="77777777" w:rsidR="00FA7EBF" w:rsidRPr="007939DD" w:rsidRDefault="00FA7EBF" w:rsidP="00887F60">
            <w:pPr>
              <w:pStyle w:val="ARfintablebodyright"/>
              <w:spacing w:before="30"/>
              <w:rPr>
                <w:lang w:eastAsia="en-AU"/>
              </w:rPr>
            </w:pPr>
            <w:r w:rsidRPr="003C1D5F">
              <w:t>–</w:t>
            </w:r>
          </w:p>
        </w:tc>
        <w:tc>
          <w:tcPr>
            <w:tcW w:w="1134" w:type="dxa"/>
            <w:tcBorders>
              <w:top w:val="single" w:sz="4" w:space="0" w:color="A6A6A6" w:themeColor="background1" w:themeShade="A6"/>
              <w:bottom w:val="single" w:sz="4" w:space="0" w:color="A6A6A6" w:themeColor="background1" w:themeShade="A6"/>
            </w:tcBorders>
          </w:tcPr>
          <w:p w14:paraId="47C4B4D1" w14:textId="77777777" w:rsidR="00FA7EBF" w:rsidRPr="007939DD" w:rsidRDefault="00FA7EBF" w:rsidP="00887F60">
            <w:pPr>
              <w:pStyle w:val="ARfintablebodyright"/>
              <w:spacing w:before="30"/>
              <w:rPr>
                <w:lang w:eastAsia="en-AU"/>
              </w:rPr>
            </w:pPr>
            <w:r w:rsidRPr="003C1D5F">
              <w:t>23.2</w:t>
            </w:r>
          </w:p>
        </w:tc>
      </w:tr>
      <w:tr w:rsidR="00FA7EBF" w:rsidRPr="007939DD" w14:paraId="4C922403"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6699C7A0" w14:textId="77777777" w:rsidR="00FA7EBF" w:rsidRPr="007939DD" w:rsidRDefault="00FA7EBF" w:rsidP="00887F60">
            <w:pPr>
              <w:pStyle w:val="ARfintablebodyindent"/>
              <w:spacing w:before="30"/>
            </w:pPr>
            <w:r w:rsidRPr="003C1D5F">
              <w:t>Improving Local Access to Health Care on Phillip Island (Capital)</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48C22F0" w14:textId="77777777" w:rsidR="00FA7EBF" w:rsidRPr="007939DD" w:rsidRDefault="00FA7EBF" w:rsidP="00887F60">
            <w:pPr>
              <w:pStyle w:val="ARfintablebodyright"/>
              <w:spacing w:before="30"/>
              <w:rPr>
                <w:lang w:eastAsia="en-AU"/>
              </w:rPr>
            </w:pPr>
            <w:r w:rsidRPr="003C1D5F">
              <w:t>–</w:t>
            </w:r>
          </w:p>
        </w:tc>
        <w:tc>
          <w:tcPr>
            <w:tcW w:w="1134" w:type="dxa"/>
            <w:tcBorders>
              <w:top w:val="single" w:sz="4" w:space="0" w:color="A6A6A6" w:themeColor="background1" w:themeShade="A6"/>
              <w:bottom w:val="single" w:sz="4" w:space="0" w:color="A6A6A6" w:themeColor="background1" w:themeShade="A6"/>
            </w:tcBorders>
          </w:tcPr>
          <w:p w14:paraId="7F25148B" w14:textId="77777777" w:rsidR="00FA7EBF" w:rsidRPr="007939DD" w:rsidRDefault="00FA7EBF" w:rsidP="00887F60">
            <w:pPr>
              <w:pStyle w:val="ARfintablebodyright"/>
              <w:spacing w:before="30"/>
              <w:rPr>
                <w:lang w:eastAsia="en-AU"/>
              </w:rPr>
            </w:pPr>
            <w:r w:rsidRPr="003C1D5F">
              <w:t>2.0</w:t>
            </w:r>
          </w:p>
        </w:tc>
      </w:tr>
      <w:tr w:rsidR="00FA7EBF" w:rsidRPr="007939DD" w14:paraId="12E226F6"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D7C6953" w14:textId="77777777" w:rsidR="00FA7EBF" w:rsidRPr="007939DD" w:rsidRDefault="00FA7EBF" w:rsidP="00887F60">
            <w:pPr>
              <w:pStyle w:val="ARfintablebodyindent"/>
              <w:spacing w:before="30"/>
            </w:pPr>
            <w:r w:rsidRPr="003C1D5F">
              <w:t>National Housing and Homelessness Agreement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8E14DA6" w14:textId="77777777" w:rsidR="00FA7EBF" w:rsidRPr="007939DD" w:rsidRDefault="00FA7EBF" w:rsidP="00887F60">
            <w:pPr>
              <w:pStyle w:val="ARfintablebodyright"/>
              <w:spacing w:before="30"/>
              <w:rPr>
                <w:lang w:eastAsia="en-AU"/>
              </w:rPr>
            </w:pPr>
            <w:r w:rsidRPr="003C1D5F">
              <w:t>395.4</w:t>
            </w:r>
          </w:p>
        </w:tc>
        <w:tc>
          <w:tcPr>
            <w:tcW w:w="1134" w:type="dxa"/>
            <w:tcBorders>
              <w:top w:val="single" w:sz="4" w:space="0" w:color="A6A6A6" w:themeColor="background1" w:themeShade="A6"/>
              <w:bottom w:val="single" w:sz="4" w:space="0" w:color="A6A6A6" w:themeColor="background1" w:themeShade="A6"/>
            </w:tcBorders>
          </w:tcPr>
          <w:p w14:paraId="066CB180" w14:textId="77777777" w:rsidR="00FA7EBF" w:rsidRPr="007939DD" w:rsidRDefault="00FA7EBF" w:rsidP="00887F60">
            <w:pPr>
              <w:pStyle w:val="ARfintablebodyright"/>
              <w:spacing w:before="30"/>
              <w:rPr>
                <w:lang w:eastAsia="en-AU"/>
              </w:rPr>
            </w:pPr>
            <w:r w:rsidRPr="003C1D5F">
              <w:t>–</w:t>
            </w:r>
          </w:p>
        </w:tc>
      </w:tr>
      <w:tr w:rsidR="00FA7EBF" w:rsidRPr="007939DD" w14:paraId="12E93A65"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08FD6C55" w14:textId="77777777" w:rsidR="00FA7EBF" w:rsidRPr="007939DD" w:rsidRDefault="00FA7EBF" w:rsidP="00887F60">
            <w:pPr>
              <w:pStyle w:val="ARfintablebodyindent"/>
              <w:spacing w:before="30"/>
            </w:pPr>
            <w:r w:rsidRPr="003C1D5F">
              <w:t>Pay Equity for the Social and Community Services Sector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D31BEDC" w14:textId="77777777" w:rsidR="00FA7EBF" w:rsidRPr="007939DD" w:rsidRDefault="00FA7EBF" w:rsidP="00887F60">
            <w:pPr>
              <w:pStyle w:val="ARfintablebodyright"/>
              <w:spacing w:before="30"/>
              <w:rPr>
                <w:lang w:eastAsia="en-AU"/>
              </w:rPr>
            </w:pPr>
            <w:r w:rsidRPr="003C1D5F">
              <w:t>45.8</w:t>
            </w:r>
          </w:p>
        </w:tc>
        <w:tc>
          <w:tcPr>
            <w:tcW w:w="1134" w:type="dxa"/>
            <w:tcBorders>
              <w:top w:val="single" w:sz="4" w:space="0" w:color="A6A6A6" w:themeColor="background1" w:themeShade="A6"/>
              <w:bottom w:val="single" w:sz="4" w:space="0" w:color="A6A6A6" w:themeColor="background1" w:themeShade="A6"/>
            </w:tcBorders>
          </w:tcPr>
          <w:p w14:paraId="7873F0C9" w14:textId="77777777" w:rsidR="00FA7EBF" w:rsidRPr="007939DD" w:rsidRDefault="00FA7EBF" w:rsidP="00887F60">
            <w:pPr>
              <w:pStyle w:val="ARfintablebodyright"/>
              <w:spacing w:before="30"/>
              <w:rPr>
                <w:lang w:eastAsia="en-AU"/>
              </w:rPr>
            </w:pPr>
            <w:r w:rsidRPr="003C1D5F">
              <w:t>92.5</w:t>
            </w:r>
          </w:p>
        </w:tc>
      </w:tr>
      <w:tr w:rsidR="00FA7EBF" w:rsidRPr="007939DD" w14:paraId="1BF05ADC"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871F369" w14:textId="77777777" w:rsidR="00FA7EBF" w:rsidRPr="007939DD" w:rsidRDefault="00FA7EBF" w:rsidP="00887F60">
            <w:pPr>
              <w:pStyle w:val="ARfintablebodyindent"/>
              <w:spacing w:before="30"/>
            </w:pPr>
            <w:r w:rsidRPr="003C1D5F">
              <w:t>Specialist Disability Services for over 65s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693B7E4" w14:textId="77777777" w:rsidR="00FA7EBF" w:rsidRPr="007939DD" w:rsidRDefault="00FA7EBF" w:rsidP="00887F60">
            <w:pPr>
              <w:pStyle w:val="ARfintablebodyright"/>
              <w:spacing w:before="30"/>
              <w:rPr>
                <w:lang w:eastAsia="en-AU"/>
              </w:rPr>
            </w:pPr>
            <w:r w:rsidRPr="003C1D5F">
              <w:t>76.6</w:t>
            </w:r>
          </w:p>
        </w:tc>
        <w:tc>
          <w:tcPr>
            <w:tcW w:w="1134" w:type="dxa"/>
            <w:tcBorders>
              <w:top w:val="single" w:sz="4" w:space="0" w:color="A6A6A6" w:themeColor="background1" w:themeShade="A6"/>
              <w:bottom w:val="single" w:sz="4" w:space="0" w:color="A6A6A6" w:themeColor="background1" w:themeShade="A6"/>
            </w:tcBorders>
          </w:tcPr>
          <w:p w14:paraId="4C02A13C" w14:textId="77777777" w:rsidR="00FA7EBF" w:rsidRPr="007939DD" w:rsidRDefault="00FA7EBF" w:rsidP="00887F60">
            <w:pPr>
              <w:pStyle w:val="ARfintablebodyright"/>
              <w:spacing w:before="30"/>
              <w:rPr>
                <w:lang w:eastAsia="en-AU"/>
              </w:rPr>
            </w:pPr>
            <w:r w:rsidRPr="003C1D5F">
              <w:t>74.0</w:t>
            </w:r>
          </w:p>
        </w:tc>
      </w:tr>
      <w:tr w:rsidR="00FA7EBF" w:rsidRPr="007939DD" w14:paraId="4974ACC7" w14:textId="77777777" w:rsidTr="007B207C">
        <w:trPr>
          <w:cantSplit/>
        </w:trPr>
        <w:tc>
          <w:tcPr>
            <w:tcW w:w="9639" w:type="dxa"/>
            <w:gridSpan w:val="3"/>
            <w:tcBorders>
              <w:top w:val="single" w:sz="4" w:space="0" w:color="A6A6A6" w:themeColor="background1" w:themeShade="A6"/>
              <w:bottom w:val="single" w:sz="4" w:space="0" w:color="A6A6A6" w:themeColor="background1" w:themeShade="A6"/>
            </w:tcBorders>
          </w:tcPr>
          <w:p w14:paraId="6EDA5826" w14:textId="77777777" w:rsidR="00FA7EBF" w:rsidRPr="007939DD" w:rsidRDefault="00FA7EBF" w:rsidP="00887F60">
            <w:pPr>
              <w:pStyle w:val="ARfintablebody"/>
              <w:spacing w:before="30"/>
              <w:rPr>
                <w:lang w:eastAsia="en-AU"/>
              </w:rPr>
            </w:pPr>
            <w:r w:rsidRPr="003C1D5F">
              <w:t>Other</w:t>
            </w:r>
          </w:p>
        </w:tc>
      </w:tr>
      <w:tr w:rsidR="00FA7EBF" w:rsidRPr="007939DD" w14:paraId="6F79090E"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C153B9E" w14:textId="77777777" w:rsidR="00FA7EBF" w:rsidRPr="007939DD" w:rsidRDefault="00FA7EBF" w:rsidP="00887F60">
            <w:pPr>
              <w:pStyle w:val="ARfintablebodyindent"/>
              <w:spacing w:before="30"/>
            </w:pPr>
            <w:r w:rsidRPr="003C1D5F">
              <w:t>Aged Care Assessment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59CD065" w14:textId="77777777" w:rsidR="00FA7EBF" w:rsidRPr="007939DD" w:rsidRDefault="00FA7EBF" w:rsidP="00887F60">
            <w:pPr>
              <w:pStyle w:val="ARfintablebodyright"/>
              <w:spacing w:before="30"/>
              <w:rPr>
                <w:lang w:eastAsia="en-AU"/>
              </w:rPr>
            </w:pPr>
            <w:r w:rsidRPr="003C1D5F">
              <w:t>30.9</w:t>
            </w:r>
          </w:p>
        </w:tc>
        <w:tc>
          <w:tcPr>
            <w:tcW w:w="1134" w:type="dxa"/>
            <w:tcBorders>
              <w:top w:val="single" w:sz="4" w:space="0" w:color="A6A6A6" w:themeColor="background1" w:themeShade="A6"/>
              <w:bottom w:val="single" w:sz="4" w:space="0" w:color="A6A6A6" w:themeColor="background1" w:themeShade="A6"/>
            </w:tcBorders>
          </w:tcPr>
          <w:p w14:paraId="1BF3B525" w14:textId="77777777" w:rsidR="00FA7EBF" w:rsidRPr="007939DD" w:rsidRDefault="00FA7EBF" w:rsidP="00887F60">
            <w:pPr>
              <w:pStyle w:val="ARfintablebodyright"/>
              <w:spacing w:before="30"/>
              <w:rPr>
                <w:lang w:eastAsia="en-AU"/>
              </w:rPr>
            </w:pPr>
            <w:r w:rsidRPr="003C1D5F">
              <w:t>30.8</w:t>
            </w:r>
          </w:p>
        </w:tc>
      </w:tr>
      <w:tr w:rsidR="00FA7EBF" w:rsidRPr="007939DD" w14:paraId="749B6D91"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15D5C45" w14:textId="77777777" w:rsidR="00FA7EBF" w:rsidRPr="007939DD" w:rsidRDefault="00FA7EBF" w:rsidP="00887F60">
            <w:pPr>
              <w:pStyle w:val="ARfintablebodyindent"/>
              <w:spacing w:before="30"/>
            </w:pPr>
            <w:r w:rsidRPr="003C1D5F">
              <w:t>Home Support Program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5A9720C" w14:textId="77777777" w:rsidR="00FA7EBF" w:rsidRPr="007939DD" w:rsidRDefault="00FA7EBF" w:rsidP="00887F60">
            <w:pPr>
              <w:pStyle w:val="ARfintablebodyright"/>
              <w:spacing w:before="30"/>
              <w:rPr>
                <w:lang w:eastAsia="en-AU"/>
              </w:rPr>
            </w:pPr>
            <w:r w:rsidRPr="003C1D5F">
              <w:t>4.5</w:t>
            </w:r>
          </w:p>
        </w:tc>
        <w:tc>
          <w:tcPr>
            <w:tcW w:w="1134" w:type="dxa"/>
            <w:tcBorders>
              <w:top w:val="single" w:sz="4" w:space="0" w:color="A6A6A6" w:themeColor="background1" w:themeShade="A6"/>
              <w:bottom w:val="single" w:sz="4" w:space="0" w:color="A6A6A6" w:themeColor="background1" w:themeShade="A6"/>
            </w:tcBorders>
          </w:tcPr>
          <w:p w14:paraId="10890BEE" w14:textId="77777777" w:rsidR="00FA7EBF" w:rsidRPr="007939DD" w:rsidRDefault="00FA7EBF" w:rsidP="00887F60">
            <w:pPr>
              <w:pStyle w:val="ARfintablebodyright"/>
              <w:spacing w:before="30"/>
              <w:rPr>
                <w:lang w:eastAsia="en-AU"/>
              </w:rPr>
            </w:pPr>
            <w:r w:rsidRPr="003C1D5F">
              <w:t>0.9</w:t>
            </w:r>
          </w:p>
        </w:tc>
      </w:tr>
      <w:tr w:rsidR="00FA7EBF" w:rsidRPr="007939DD" w14:paraId="2B0A828E"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09C75827" w14:textId="77777777" w:rsidR="00FA7EBF" w:rsidRPr="007939DD" w:rsidRDefault="00FA7EBF" w:rsidP="00887F60">
            <w:pPr>
              <w:pStyle w:val="ARfintablebodyindent"/>
              <w:spacing w:before="30"/>
            </w:pPr>
            <w:r w:rsidRPr="003C1D5F">
              <w:t>Regional Assessment Services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F8D890A" w14:textId="77777777" w:rsidR="00FA7EBF" w:rsidRPr="007939DD" w:rsidRDefault="00FA7EBF" w:rsidP="00887F60">
            <w:pPr>
              <w:pStyle w:val="ARfintablebodyright"/>
              <w:spacing w:before="30"/>
              <w:rPr>
                <w:lang w:eastAsia="en-AU"/>
              </w:rPr>
            </w:pPr>
            <w:r w:rsidRPr="003C1D5F">
              <w:t>33.5</w:t>
            </w:r>
          </w:p>
        </w:tc>
        <w:tc>
          <w:tcPr>
            <w:tcW w:w="1134" w:type="dxa"/>
            <w:tcBorders>
              <w:top w:val="single" w:sz="4" w:space="0" w:color="A6A6A6" w:themeColor="background1" w:themeShade="A6"/>
              <w:bottom w:val="single" w:sz="4" w:space="0" w:color="A6A6A6" w:themeColor="background1" w:themeShade="A6"/>
            </w:tcBorders>
          </w:tcPr>
          <w:p w14:paraId="33CF194E" w14:textId="77777777" w:rsidR="00FA7EBF" w:rsidRPr="007939DD" w:rsidRDefault="00FA7EBF" w:rsidP="00887F60">
            <w:pPr>
              <w:pStyle w:val="ARfintablebodyright"/>
              <w:spacing w:before="30"/>
              <w:rPr>
                <w:lang w:eastAsia="en-AU"/>
              </w:rPr>
            </w:pPr>
            <w:r w:rsidRPr="003C1D5F">
              <w:t>34.0</w:t>
            </w:r>
          </w:p>
        </w:tc>
      </w:tr>
      <w:tr w:rsidR="00FA7EBF" w:rsidRPr="007939DD" w14:paraId="5A29FE7A"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4D3F446C" w14:textId="77777777" w:rsidR="00FA7EBF" w:rsidRPr="007939DD" w:rsidRDefault="00FA7EBF" w:rsidP="00887F60">
            <w:pPr>
              <w:pStyle w:val="ARfintablebodyindent"/>
              <w:spacing w:before="30"/>
            </w:pPr>
            <w:r w:rsidRPr="003C1D5F">
              <w:t>Human Quarantine Services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F30BDFA" w14:textId="77777777" w:rsidR="00FA7EBF" w:rsidRPr="007939DD" w:rsidRDefault="00FA7EBF" w:rsidP="00887F60">
            <w:pPr>
              <w:pStyle w:val="ARfintablebodyright"/>
              <w:spacing w:before="30"/>
              <w:rPr>
                <w:lang w:eastAsia="en-AU"/>
              </w:rPr>
            </w:pPr>
            <w:r w:rsidRPr="003C1D5F">
              <w:t>0.1</w:t>
            </w:r>
          </w:p>
        </w:tc>
        <w:tc>
          <w:tcPr>
            <w:tcW w:w="1134" w:type="dxa"/>
            <w:tcBorders>
              <w:top w:val="single" w:sz="4" w:space="0" w:color="A6A6A6" w:themeColor="background1" w:themeShade="A6"/>
              <w:bottom w:val="single" w:sz="4" w:space="0" w:color="A6A6A6" w:themeColor="background1" w:themeShade="A6"/>
            </w:tcBorders>
          </w:tcPr>
          <w:p w14:paraId="5BF4D205" w14:textId="77777777" w:rsidR="00FA7EBF" w:rsidRPr="007939DD" w:rsidRDefault="00FA7EBF" w:rsidP="00887F60">
            <w:pPr>
              <w:pStyle w:val="ARfintablebodyright"/>
              <w:spacing w:before="30"/>
              <w:rPr>
                <w:lang w:eastAsia="en-AU"/>
              </w:rPr>
            </w:pPr>
            <w:r w:rsidRPr="003C1D5F">
              <w:t>0.1</w:t>
            </w:r>
          </w:p>
        </w:tc>
      </w:tr>
      <w:tr w:rsidR="00FA7EBF" w:rsidRPr="007939DD" w14:paraId="650CF0F4"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8148768" w14:textId="77777777" w:rsidR="00FA7EBF" w:rsidRPr="007939DD" w:rsidRDefault="00FA7EBF" w:rsidP="00887F60">
            <w:pPr>
              <w:pStyle w:val="ARfintablebodyindent"/>
              <w:spacing w:before="30"/>
            </w:pPr>
            <w:r w:rsidRPr="003C1D5F">
              <w:t>Mental Health Professi</w:t>
            </w:r>
            <w:r>
              <w:t>on</w:t>
            </w:r>
            <w:r w:rsidRPr="003C1D5F">
              <w:t>al Online Development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69B68A3" w14:textId="77777777" w:rsidR="00FA7EBF" w:rsidRPr="007939DD" w:rsidRDefault="00FA7EBF" w:rsidP="00887F60">
            <w:pPr>
              <w:pStyle w:val="ARfintablebodyright"/>
              <w:spacing w:before="30"/>
              <w:rPr>
                <w:lang w:eastAsia="en-AU"/>
              </w:rPr>
            </w:pPr>
            <w:r w:rsidRPr="003C1D5F">
              <w:t>1.2</w:t>
            </w:r>
          </w:p>
        </w:tc>
        <w:tc>
          <w:tcPr>
            <w:tcW w:w="1134" w:type="dxa"/>
            <w:tcBorders>
              <w:top w:val="single" w:sz="4" w:space="0" w:color="A6A6A6" w:themeColor="background1" w:themeShade="A6"/>
              <w:bottom w:val="single" w:sz="4" w:space="0" w:color="A6A6A6" w:themeColor="background1" w:themeShade="A6"/>
            </w:tcBorders>
          </w:tcPr>
          <w:p w14:paraId="730A1678" w14:textId="77777777" w:rsidR="00FA7EBF" w:rsidRPr="007939DD" w:rsidRDefault="00FA7EBF" w:rsidP="00887F60">
            <w:pPr>
              <w:pStyle w:val="ARfintablebodyright"/>
              <w:spacing w:before="30"/>
              <w:rPr>
                <w:lang w:eastAsia="en-AU"/>
              </w:rPr>
            </w:pPr>
            <w:r w:rsidRPr="003C1D5F">
              <w:t>–</w:t>
            </w:r>
          </w:p>
        </w:tc>
      </w:tr>
      <w:tr w:rsidR="00FA7EBF" w:rsidRPr="007939DD" w14:paraId="0D165CE9"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3C84A81E" w14:textId="77777777" w:rsidR="00FA7EBF" w:rsidRPr="007939DD" w:rsidRDefault="00FA7EBF" w:rsidP="00887F60">
            <w:pPr>
              <w:pStyle w:val="ARfintablebodyindent"/>
              <w:spacing w:before="30"/>
            </w:pPr>
            <w:r w:rsidRPr="003C1D5F">
              <w:t>National Reform Agenda for Organ and Tissue Donation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8325AD1" w14:textId="77777777" w:rsidR="00FA7EBF" w:rsidRPr="007939DD" w:rsidRDefault="00FA7EBF" w:rsidP="00887F60">
            <w:pPr>
              <w:pStyle w:val="ARfintablebodyright"/>
              <w:spacing w:before="30"/>
              <w:rPr>
                <w:lang w:eastAsia="en-AU"/>
              </w:rPr>
            </w:pPr>
            <w:r w:rsidRPr="003C1D5F">
              <w:t>10.0</w:t>
            </w:r>
          </w:p>
        </w:tc>
        <w:tc>
          <w:tcPr>
            <w:tcW w:w="1134" w:type="dxa"/>
            <w:tcBorders>
              <w:top w:val="single" w:sz="4" w:space="0" w:color="A6A6A6" w:themeColor="background1" w:themeShade="A6"/>
              <w:bottom w:val="single" w:sz="4" w:space="0" w:color="A6A6A6" w:themeColor="background1" w:themeShade="A6"/>
            </w:tcBorders>
          </w:tcPr>
          <w:p w14:paraId="4ED2EE8C" w14:textId="77777777" w:rsidR="00FA7EBF" w:rsidRPr="007939DD" w:rsidRDefault="00FA7EBF" w:rsidP="00887F60">
            <w:pPr>
              <w:pStyle w:val="ARfintablebodyright"/>
              <w:spacing w:before="30"/>
              <w:rPr>
                <w:lang w:eastAsia="en-AU"/>
              </w:rPr>
            </w:pPr>
            <w:r w:rsidRPr="003C1D5F">
              <w:t>9.5</w:t>
            </w:r>
          </w:p>
        </w:tc>
      </w:tr>
      <w:tr w:rsidR="00FA7EBF" w:rsidRPr="007939DD" w14:paraId="0A21BE94"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DF70746" w14:textId="77777777" w:rsidR="00FA7EBF" w:rsidRPr="007939DD" w:rsidRDefault="00FA7EBF" w:rsidP="00887F60">
            <w:pPr>
              <w:pStyle w:val="ARfintablebodyindent"/>
              <w:spacing w:before="30"/>
            </w:pPr>
            <w:r w:rsidRPr="003C1D5F">
              <w:t>Unattached Refugee Children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8DEDDD8" w14:textId="77777777" w:rsidR="00FA7EBF" w:rsidRPr="007939DD" w:rsidRDefault="00FA7EBF" w:rsidP="00887F60">
            <w:pPr>
              <w:pStyle w:val="ARfintablebodyright"/>
              <w:spacing w:before="30"/>
              <w:rPr>
                <w:lang w:eastAsia="en-AU"/>
              </w:rPr>
            </w:pPr>
            <w:r w:rsidRPr="003C1D5F">
              <w:t>1.4</w:t>
            </w:r>
          </w:p>
        </w:tc>
        <w:tc>
          <w:tcPr>
            <w:tcW w:w="1134" w:type="dxa"/>
            <w:tcBorders>
              <w:top w:val="single" w:sz="4" w:space="0" w:color="A6A6A6" w:themeColor="background1" w:themeShade="A6"/>
              <w:bottom w:val="single" w:sz="4" w:space="0" w:color="A6A6A6" w:themeColor="background1" w:themeShade="A6"/>
            </w:tcBorders>
          </w:tcPr>
          <w:p w14:paraId="18F1AA5F" w14:textId="77777777" w:rsidR="00FA7EBF" w:rsidRPr="007939DD" w:rsidRDefault="00FA7EBF" w:rsidP="00887F60">
            <w:pPr>
              <w:pStyle w:val="ARfintablebodyright"/>
              <w:spacing w:before="30"/>
              <w:rPr>
                <w:lang w:eastAsia="en-AU"/>
              </w:rPr>
            </w:pPr>
            <w:r w:rsidRPr="003C1D5F">
              <w:t>1.4</w:t>
            </w:r>
          </w:p>
        </w:tc>
      </w:tr>
      <w:tr w:rsidR="00FA7EBF" w:rsidRPr="007939DD" w14:paraId="4420BF3D"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4B98F2DB" w14:textId="77777777" w:rsidR="00FA7EBF" w:rsidRPr="007939DD" w:rsidRDefault="00FA7EBF" w:rsidP="00887F60">
            <w:pPr>
              <w:pStyle w:val="ARfintablebodyindent"/>
              <w:spacing w:before="30"/>
            </w:pPr>
            <w:r w:rsidRPr="003C1D5F">
              <w:t>Women’s Safety Measures – Keeping Women Safe in Their Homes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5A99326" w14:textId="77777777" w:rsidR="00FA7EBF" w:rsidRPr="007939DD" w:rsidRDefault="00FA7EBF" w:rsidP="00887F60">
            <w:pPr>
              <w:pStyle w:val="ARfintablebodyright"/>
              <w:spacing w:before="30"/>
              <w:rPr>
                <w:lang w:eastAsia="en-AU"/>
              </w:rPr>
            </w:pPr>
            <w:r w:rsidRPr="003C1D5F">
              <w:t>–</w:t>
            </w:r>
          </w:p>
        </w:tc>
        <w:tc>
          <w:tcPr>
            <w:tcW w:w="1134" w:type="dxa"/>
            <w:tcBorders>
              <w:top w:val="single" w:sz="4" w:space="0" w:color="A6A6A6" w:themeColor="background1" w:themeShade="A6"/>
              <w:bottom w:val="single" w:sz="4" w:space="0" w:color="A6A6A6" w:themeColor="background1" w:themeShade="A6"/>
            </w:tcBorders>
          </w:tcPr>
          <w:p w14:paraId="157EFF9C" w14:textId="77777777" w:rsidR="00FA7EBF" w:rsidRPr="007939DD" w:rsidRDefault="00FA7EBF" w:rsidP="00887F60">
            <w:pPr>
              <w:pStyle w:val="ARfintablebodyright"/>
              <w:spacing w:before="30"/>
              <w:rPr>
                <w:lang w:eastAsia="en-AU"/>
              </w:rPr>
            </w:pPr>
            <w:r w:rsidRPr="003C1D5F">
              <w:t>1.0</w:t>
            </w:r>
          </w:p>
        </w:tc>
      </w:tr>
      <w:tr w:rsidR="00FA7EBF" w:rsidRPr="007939DD" w14:paraId="3C54FA93"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37557083" w14:textId="77777777" w:rsidR="00FA7EBF" w:rsidRPr="007939DD" w:rsidRDefault="00FA7EBF" w:rsidP="00887F60">
            <w:pPr>
              <w:pStyle w:val="ARfintablebodyindent"/>
              <w:spacing w:before="30"/>
            </w:pPr>
            <w:r w:rsidRPr="003C1D5F">
              <w:t>Women’s Safety Measures – Local Support Coordinator (Output)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3CA13E6" w14:textId="77777777" w:rsidR="00FA7EBF" w:rsidRPr="007939DD" w:rsidRDefault="00FA7EBF" w:rsidP="00887F60">
            <w:pPr>
              <w:pStyle w:val="ARfintablebodyright"/>
              <w:spacing w:before="30"/>
              <w:rPr>
                <w:lang w:eastAsia="en-AU"/>
              </w:rPr>
            </w:pPr>
            <w:r w:rsidRPr="003C1D5F">
              <w:t>0.2</w:t>
            </w:r>
          </w:p>
        </w:tc>
        <w:tc>
          <w:tcPr>
            <w:tcW w:w="1134" w:type="dxa"/>
            <w:tcBorders>
              <w:top w:val="single" w:sz="4" w:space="0" w:color="A6A6A6" w:themeColor="background1" w:themeShade="A6"/>
              <w:bottom w:val="single" w:sz="4" w:space="0" w:color="A6A6A6" w:themeColor="background1" w:themeShade="A6"/>
            </w:tcBorders>
          </w:tcPr>
          <w:p w14:paraId="5A6A553D" w14:textId="77777777" w:rsidR="00FA7EBF" w:rsidRPr="007939DD" w:rsidRDefault="00FA7EBF" w:rsidP="00887F60">
            <w:pPr>
              <w:pStyle w:val="ARfintablebodyright"/>
              <w:spacing w:before="30"/>
              <w:rPr>
                <w:lang w:eastAsia="en-AU"/>
              </w:rPr>
            </w:pPr>
            <w:r w:rsidRPr="003C1D5F">
              <w:t>0.2</w:t>
            </w:r>
          </w:p>
        </w:tc>
      </w:tr>
      <w:tr w:rsidR="00FA7EBF" w:rsidRPr="007939DD" w14:paraId="6E8CF57C" w14:textId="77777777" w:rsidTr="007B207C">
        <w:trPr>
          <w:cantSplit/>
        </w:trPr>
        <w:tc>
          <w:tcPr>
            <w:tcW w:w="7371" w:type="dxa"/>
          </w:tcPr>
          <w:p w14:paraId="231DA515" w14:textId="77777777" w:rsidR="00FA7EBF" w:rsidRPr="007939DD" w:rsidRDefault="00FA7EBF" w:rsidP="00887F60">
            <w:pPr>
              <w:pStyle w:val="ARfintablebody"/>
              <w:spacing w:before="30"/>
              <w:rPr>
                <w:lang w:eastAsia="en-AU"/>
              </w:rPr>
            </w:pPr>
          </w:p>
        </w:tc>
        <w:tc>
          <w:tcPr>
            <w:tcW w:w="1134" w:type="dxa"/>
            <w:shd w:val="clear" w:color="auto" w:fill="E7E6E6"/>
          </w:tcPr>
          <w:p w14:paraId="4352DBA3" w14:textId="77777777" w:rsidR="00FA7EBF" w:rsidRPr="007939DD" w:rsidRDefault="00FA7EBF" w:rsidP="00887F60">
            <w:pPr>
              <w:pStyle w:val="ARfintablebodyrightbold"/>
              <w:spacing w:before="30"/>
              <w:rPr>
                <w:lang w:eastAsia="en-AU"/>
              </w:rPr>
            </w:pPr>
            <w:r w:rsidRPr="003C1D5F">
              <w:t>651.4</w:t>
            </w:r>
          </w:p>
        </w:tc>
        <w:tc>
          <w:tcPr>
            <w:tcW w:w="1134" w:type="dxa"/>
          </w:tcPr>
          <w:p w14:paraId="5CC0E137" w14:textId="77777777" w:rsidR="00FA7EBF" w:rsidRPr="007939DD" w:rsidRDefault="00FA7EBF" w:rsidP="00887F60">
            <w:pPr>
              <w:pStyle w:val="ARfintablebodyrightbold"/>
              <w:spacing w:before="30"/>
              <w:rPr>
                <w:rStyle w:val="Strong"/>
              </w:rPr>
            </w:pPr>
            <w:r w:rsidRPr="003C1D5F">
              <w:t>331.8</w:t>
            </w:r>
          </w:p>
        </w:tc>
      </w:tr>
      <w:tr w:rsidR="00FA7EBF" w:rsidRPr="007939DD" w14:paraId="64AA2CCE" w14:textId="77777777" w:rsidTr="007B207C">
        <w:trPr>
          <w:cantSplit/>
        </w:trPr>
        <w:tc>
          <w:tcPr>
            <w:tcW w:w="7371" w:type="dxa"/>
          </w:tcPr>
          <w:p w14:paraId="30B29593" w14:textId="77777777" w:rsidR="00FA7EBF" w:rsidRPr="007939DD" w:rsidRDefault="00FA7EBF" w:rsidP="00887F60">
            <w:pPr>
              <w:pStyle w:val="ARfintablebodybold"/>
              <w:spacing w:before="30"/>
              <w:rPr>
                <w:rStyle w:val="Strong"/>
              </w:rPr>
            </w:pPr>
            <w:r w:rsidRPr="003C1D5F">
              <w:t>Total annotated income agreements</w:t>
            </w:r>
          </w:p>
        </w:tc>
        <w:tc>
          <w:tcPr>
            <w:tcW w:w="1134" w:type="dxa"/>
            <w:shd w:val="clear" w:color="auto" w:fill="E7E6E6"/>
          </w:tcPr>
          <w:p w14:paraId="4E21083C" w14:textId="77777777" w:rsidR="00FA7EBF" w:rsidRPr="007939DD" w:rsidRDefault="00FA7EBF" w:rsidP="00887F60">
            <w:pPr>
              <w:pStyle w:val="ARfintablebodyrightbold"/>
              <w:spacing w:before="30"/>
              <w:rPr>
                <w:lang w:eastAsia="en-AU"/>
              </w:rPr>
            </w:pPr>
            <w:r w:rsidRPr="003C1D5F">
              <w:t>1,010.3</w:t>
            </w:r>
          </w:p>
        </w:tc>
        <w:tc>
          <w:tcPr>
            <w:tcW w:w="1134" w:type="dxa"/>
          </w:tcPr>
          <w:p w14:paraId="6445CBD9" w14:textId="77777777" w:rsidR="00FA7EBF" w:rsidRPr="007939DD" w:rsidRDefault="00FA7EBF" w:rsidP="00887F60">
            <w:pPr>
              <w:pStyle w:val="ARfintablebodyrightbold"/>
              <w:spacing w:before="30"/>
              <w:rPr>
                <w:rStyle w:val="Strong"/>
              </w:rPr>
            </w:pPr>
            <w:r w:rsidRPr="003C1D5F">
              <w:t>672.3</w:t>
            </w:r>
          </w:p>
        </w:tc>
      </w:tr>
    </w:tbl>
    <w:p w14:paraId="6F85C708" w14:textId="77777777" w:rsidR="00FA7EBF" w:rsidRPr="002D724F" w:rsidRDefault="00FA7EBF" w:rsidP="00CA66FD">
      <w:pPr>
        <w:pStyle w:val="Heading3"/>
      </w:pPr>
      <w:bookmarkStart w:id="251" w:name="_Toc17971173"/>
      <w:bookmarkStart w:id="252" w:name="_Toc19795294"/>
      <w:r w:rsidRPr="002D724F">
        <w:t>3. The cost of delivering services</w:t>
      </w:r>
      <w:bookmarkEnd w:id="251"/>
      <w:bookmarkEnd w:id="252"/>
    </w:p>
    <w:p w14:paraId="7A3162D5" w14:textId="77777777" w:rsidR="00FA7EBF" w:rsidRPr="00194D78" w:rsidRDefault="00FA7EBF" w:rsidP="00CA66FD">
      <w:pPr>
        <w:pStyle w:val="Heading4"/>
        <w:rPr>
          <w:lang w:eastAsia="en-AU"/>
        </w:rPr>
      </w:pPr>
      <w:r w:rsidRPr="00194D78">
        <w:rPr>
          <w:lang w:eastAsia="en-AU"/>
        </w:rPr>
        <w:t>Introduction</w:t>
      </w:r>
    </w:p>
    <w:p w14:paraId="53A978FE" w14:textId="77777777" w:rsidR="00FA7EBF" w:rsidRPr="00194D78" w:rsidRDefault="00FA7EBF" w:rsidP="00CA66FD">
      <w:pPr>
        <w:pStyle w:val="ARfinbody"/>
      </w:pPr>
      <w:r w:rsidRPr="00194D78">
        <w:t xml:space="preserve">This section provides an account of the expenses incurred by the department in delivering services and outputs. In </w:t>
      </w:r>
      <w:r>
        <w:t>s</w:t>
      </w:r>
      <w:r w:rsidRPr="00194D78">
        <w:t>ection 2</w:t>
      </w:r>
      <w:r>
        <w:t xml:space="preserve"> ‘Funding delivery of our services’</w:t>
      </w:r>
      <w:r w:rsidRPr="00194D78">
        <w:t xml:space="preserve">, the funds that enable the provision of services were disclosed and in this note the cost associated with provision of services are recorded. Section 4 </w:t>
      </w:r>
      <w:r>
        <w:t xml:space="preserve">‘Disaggregated financial information by output’ </w:t>
      </w:r>
      <w:r w:rsidRPr="00194D78">
        <w:t>discloses aggregated information in relation to the income and expenses by output.</w:t>
      </w:r>
    </w:p>
    <w:p w14:paraId="27938C9B" w14:textId="77777777" w:rsidR="00FA7EBF" w:rsidRPr="00194D78" w:rsidRDefault="00FA7EBF" w:rsidP="00CA66FD">
      <w:pPr>
        <w:pStyle w:val="Heading4"/>
        <w:rPr>
          <w:lang w:eastAsia="en-AU"/>
        </w:rPr>
      </w:pPr>
      <w:r w:rsidRPr="00194D78">
        <w:rPr>
          <w:lang w:eastAsia="en-AU"/>
        </w:rPr>
        <w:t>Structure</w:t>
      </w:r>
    </w:p>
    <w:p w14:paraId="6285D219" w14:textId="77777777" w:rsidR="00FA7EBF" w:rsidRPr="00194D78" w:rsidRDefault="00FA7EBF" w:rsidP="00CA66FD">
      <w:pPr>
        <w:pStyle w:val="ARfinstructure1"/>
      </w:pPr>
      <w:r w:rsidRPr="00194D78">
        <w:t>3.1</w:t>
      </w:r>
      <w:r>
        <w:tab/>
      </w:r>
      <w:r w:rsidRPr="00194D78">
        <w:t>Expenses incurred in delivery of services</w:t>
      </w:r>
    </w:p>
    <w:p w14:paraId="42DA0756" w14:textId="77777777" w:rsidR="00FA7EBF" w:rsidRDefault="00FA7EBF" w:rsidP="00CA66FD">
      <w:pPr>
        <w:pStyle w:val="ARfinstructure2"/>
      </w:pPr>
      <w:r w:rsidRPr="00194D78">
        <w:t>3.1.1</w:t>
      </w:r>
      <w:r>
        <w:tab/>
      </w:r>
      <w:r w:rsidRPr="00194D78">
        <w:t>Employee benefits</w:t>
      </w:r>
    </w:p>
    <w:p w14:paraId="41584A8E" w14:textId="77777777" w:rsidR="00FA7EBF" w:rsidRDefault="00FA7EBF" w:rsidP="00CA66FD">
      <w:pPr>
        <w:pStyle w:val="ARfinstructure2"/>
      </w:pPr>
      <w:r w:rsidRPr="00194D78">
        <w:t>3.1.2</w:t>
      </w:r>
      <w:r>
        <w:tab/>
      </w:r>
      <w:r w:rsidRPr="00194D78">
        <w:t>Grants and other expense transfers</w:t>
      </w:r>
    </w:p>
    <w:p w14:paraId="7330FB08" w14:textId="77777777" w:rsidR="00FA7EBF" w:rsidRDefault="00FA7EBF" w:rsidP="00CA66FD">
      <w:pPr>
        <w:pStyle w:val="ARfinstructure2"/>
      </w:pPr>
      <w:r w:rsidRPr="00194D78">
        <w:t>3.1.3</w:t>
      </w:r>
      <w:r>
        <w:tab/>
      </w:r>
      <w:r w:rsidRPr="00194D78">
        <w:t>Capital asset charge</w:t>
      </w:r>
    </w:p>
    <w:p w14:paraId="391B4CC1" w14:textId="77777777" w:rsidR="00FA7EBF" w:rsidRDefault="00FA7EBF" w:rsidP="00CA66FD">
      <w:pPr>
        <w:pStyle w:val="ARfinstructure2"/>
      </w:pPr>
      <w:r w:rsidRPr="00194D78">
        <w:t>3.1.4</w:t>
      </w:r>
      <w:r>
        <w:tab/>
      </w:r>
      <w:r w:rsidRPr="00194D78">
        <w:t>Fair value of assets and services provided free of charge or for nominal consideration</w:t>
      </w:r>
    </w:p>
    <w:p w14:paraId="675C62D9" w14:textId="77777777" w:rsidR="00FA7EBF" w:rsidRDefault="00FA7EBF" w:rsidP="00CA66FD">
      <w:pPr>
        <w:pStyle w:val="ARfinstructure2"/>
      </w:pPr>
      <w:r w:rsidRPr="00194D78">
        <w:t>3.1.5</w:t>
      </w:r>
      <w:r>
        <w:tab/>
      </w:r>
      <w:r w:rsidRPr="00194D78">
        <w:t>Other operating expenses</w:t>
      </w:r>
    </w:p>
    <w:p w14:paraId="5E491DC2" w14:textId="77777777" w:rsidR="00FA7EBF" w:rsidRPr="00194D78" w:rsidRDefault="00FA7EBF" w:rsidP="00CA66FD">
      <w:pPr>
        <w:pStyle w:val="ARfinstructure2"/>
        <w:rPr>
          <w:b/>
          <w:bCs/>
        </w:rPr>
      </w:pPr>
      <w:r w:rsidRPr="00194D78">
        <w:t>3.1.6</w:t>
      </w:r>
      <w:r>
        <w:tab/>
      </w:r>
      <w:r w:rsidRPr="00194D78">
        <w:t>Other property management expenses</w:t>
      </w:r>
    </w:p>
    <w:p w14:paraId="36079024" w14:textId="77777777" w:rsidR="00FA7EBF" w:rsidRDefault="00FA7EBF" w:rsidP="00CA66FD">
      <w:pPr>
        <w:pStyle w:val="Heading4"/>
        <w:rPr>
          <w:lang w:eastAsia="en-AU"/>
        </w:rPr>
      </w:pPr>
      <w:r w:rsidRPr="00194D78">
        <w:rPr>
          <w:lang w:eastAsia="en-AU"/>
        </w:rPr>
        <w:t>3.1 Expenses incurred in delivery of services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691"/>
        <w:gridCol w:w="680"/>
        <w:gridCol w:w="1134"/>
        <w:gridCol w:w="1134"/>
      </w:tblGrid>
      <w:tr w:rsidR="00FA7EBF" w:rsidRPr="007939DD" w14:paraId="2F2C9E86" w14:textId="77777777" w:rsidTr="007B207C">
        <w:trPr>
          <w:cantSplit/>
          <w:tblHeader/>
        </w:trPr>
        <w:tc>
          <w:tcPr>
            <w:tcW w:w="6691" w:type="dxa"/>
            <w:vAlign w:val="bottom"/>
          </w:tcPr>
          <w:p w14:paraId="5B3187CC" w14:textId="77777777" w:rsidR="00FA7EBF" w:rsidRPr="007939DD" w:rsidRDefault="00FA7EBF" w:rsidP="007B207C">
            <w:pPr>
              <w:pStyle w:val="ARfintablecolhead"/>
            </w:pPr>
          </w:p>
        </w:tc>
        <w:tc>
          <w:tcPr>
            <w:tcW w:w="680" w:type="dxa"/>
            <w:vAlign w:val="bottom"/>
          </w:tcPr>
          <w:p w14:paraId="16338B55" w14:textId="77777777" w:rsidR="00FA7EBF" w:rsidRPr="007939DD" w:rsidRDefault="00FA7EBF" w:rsidP="007B207C">
            <w:pPr>
              <w:pStyle w:val="ARfintablecolheadright"/>
            </w:pPr>
            <w:r w:rsidRPr="007939DD">
              <w:t>Note</w:t>
            </w:r>
          </w:p>
        </w:tc>
        <w:tc>
          <w:tcPr>
            <w:tcW w:w="1134" w:type="dxa"/>
            <w:shd w:val="clear" w:color="auto" w:fill="E7E6E6"/>
            <w:vAlign w:val="bottom"/>
          </w:tcPr>
          <w:p w14:paraId="5274F6C6" w14:textId="77777777" w:rsidR="00FA7EBF" w:rsidRPr="007939DD" w:rsidRDefault="00FA7EBF" w:rsidP="007B207C">
            <w:pPr>
              <w:pStyle w:val="ARfintablecolheadright"/>
            </w:pPr>
            <w:r w:rsidRPr="007939DD">
              <w:t>201</w:t>
            </w:r>
            <w:r>
              <w:t>9</w:t>
            </w:r>
          </w:p>
          <w:p w14:paraId="6C2BDAED" w14:textId="77777777" w:rsidR="00FA7EBF" w:rsidRPr="007939DD" w:rsidRDefault="00FA7EBF" w:rsidP="007B207C">
            <w:pPr>
              <w:pStyle w:val="ARfintablecolheadright"/>
            </w:pPr>
            <w:r w:rsidRPr="007939DD">
              <w:t>$M</w:t>
            </w:r>
          </w:p>
        </w:tc>
        <w:tc>
          <w:tcPr>
            <w:tcW w:w="1134" w:type="dxa"/>
            <w:vAlign w:val="bottom"/>
          </w:tcPr>
          <w:p w14:paraId="697A9D7F" w14:textId="77777777" w:rsidR="00FA7EBF" w:rsidRPr="007939DD" w:rsidRDefault="00FA7EBF" w:rsidP="007B207C">
            <w:pPr>
              <w:pStyle w:val="ARfintablecolheadright"/>
            </w:pPr>
            <w:r w:rsidRPr="007939DD">
              <w:t>201</w:t>
            </w:r>
            <w:r>
              <w:t>8</w:t>
            </w:r>
          </w:p>
          <w:p w14:paraId="1FF90474" w14:textId="77777777" w:rsidR="00FA7EBF" w:rsidRPr="007939DD" w:rsidRDefault="00FA7EBF" w:rsidP="007B207C">
            <w:pPr>
              <w:pStyle w:val="ARfintablecolheadright"/>
            </w:pPr>
            <w:r w:rsidRPr="007939DD">
              <w:t>$M</w:t>
            </w:r>
          </w:p>
        </w:tc>
      </w:tr>
      <w:tr w:rsidR="00FA7EBF" w:rsidRPr="007939DD" w14:paraId="4D7E4F53" w14:textId="77777777" w:rsidTr="007B207C">
        <w:trPr>
          <w:cantSplit/>
        </w:trPr>
        <w:tc>
          <w:tcPr>
            <w:tcW w:w="6691" w:type="dxa"/>
            <w:tcBorders>
              <w:bottom w:val="single" w:sz="4" w:space="0" w:color="A6A6A6" w:themeColor="background1" w:themeShade="A6"/>
            </w:tcBorders>
          </w:tcPr>
          <w:p w14:paraId="5DCA3FFD" w14:textId="77777777" w:rsidR="00FA7EBF" w:rsidRPr="007939DD" w:rsidRDefault="00FA7EBF" w:rsidP="007B207C">
            <w:pPr>
              <w:pStyle w:val="ARfintablebody"/>
              <w:rPr>
                <w:lang w:eastAsia="en-AU"/>
              </w:rPr>
            </w:pPr>
            <w:r w:rsidRPr="00ED0FAE">
              <w:t>Employee expenses</w:t>
            </w:r>
          </w:p>
        </w:tc>
        <w:tc>
          <w:tcPr>
            <w:tcW w:w="680" w:type="dxa"/>
            <w:tcBorders>
              <w:bottom w:val="single" w:sz="4" w:space="0" w:color="A6A6A6" w:themeColor="background1" w:themeShade="A6"/>
            </w:tcBorders>
          </w:tcPr>
          <w:p w14:paraId="3305A76D" w14:textId="77777777" w:rsidR="00FA7EBF" w:rsidRPr="007939DD" w:rsidRDefault="00FA7EBF" w:rsidP="007B207C">
            <w:pPr>
              <w:pStyle w:val="ARfintablebodyright"/>
              <w:rPr>
                <w:lang w:eastAsia="en-AU"/>
              </w:rPr>
            </w:pPr>
            <w:r w:rsidRPr="00ED0FAE">
              <w:t>3.1.1</w:t>
            </w:r>
          </w:p>
        </w:tc>
        <w:tc>
          <w:tcPr>
            <w:tcW w:w="1134" w:type="dxa"/>
            <w:tcBorders>
              <w:bottom w:val="single" w:sz="4" w:space="0" w:color="A6A6A6" w:themeColor="background1" w:themeShade="A6"/>
            </w:tcBorders>
            <w:shd w:val="clear" w:color="auto" w:fill="E7E6E6"/>
          </w:tcPr>
          <w:p w14:paraId="7AF4C441" w14:textId="77777777" w:rsidR="00FA7EBF" w:rsidRPr="007939DD" w:rsidRDefault="00FA7EBF" w:rsidP="007B207C">
            <w:pPr>
              <w:pStyle w:val="ARfintablebodyright"/>
              <w:rPr>
                <w:lang w:eastAsia="en-AU"/>
              </w:rPr>
            </w:pPr>
            <w:r w:rsidRPr="00ED0FAE">
              <w:t>1,479.7</w:t>
            </w:r>
          </w:p>
        </w:tc>
        <w:tc>
          <w:tcPr>
            <w:tcW w:w="1134" w:type="dxa"/>
            <w:tcBorders>
              <w:bottom w:val="single" w:sz="4" w:space="0" w:color="A6A6A6" w:themeColor="background1" w:themeShade="A6"/>
            </w:tcBorders>
          </w:tcPr>
          <w:p w14:paraId="1B19F2A4" w14:textId="77777777" w:rsidR="00FA7EBF" w:rsidRPr="007939DD" w:rsidRDefault="00FA7EBF" w:rsidP="007B207C">
            <w:pPr>
              <w:pStyle w:val="ARfintablebodyright"/>
              <w:rPr>
                <w:lang w:eastAsia="en-AU"/>
              </w:rPr>
            </w:pPr>
            <w:r w:rsidRPr="00ED0FAE">
              <w:t>1,325.9</w:t>
            </w:r>
          </w:p>
        </w:tc>
      </w:tr>
      <w:tr w:rsidR="00FA7EBF" w:rsidRPr="007939DD" w14:paraId="718DB576" w14:textId="77777777" w:rsidTr="007B207C">
        <w:trPr>
          <w:cantSplit/>
        </w:trPr>
        <w:tc>
          <w:tcPr>
            <w:tcW w:w="6691" w:type="dxa"/>
            <w:tcBorders>
              <w:top w:val="single" w:sz="4" w:space="0" w:color="A6A6A6" w:themeColor="background1" w:themeShade="A6"/>
              <w:bottom w:val="single" w:sz="4" w:space="0" w:color="A6A6A6" w:themeColor="background1" w:themeShade="A6"/>
            </w:tcBorders>
          </w:tcPr>
          <w:p w14:paraId="01B60384" w14:textId="77777777" w:rsidR="00FA7EBF" w:rsidRPr="007939DD" w:rsidRDefault="00FA7EBF" w:rsidP="007B207C">
            <w:pPr>
              <w:pStyle w:val="ARfintablebody"/>
              <w:rPr>
                <w:lang w:eastAsia="en-AU"/>
              </w:rPr>
            </w:pPr>
            <w:r w:rsidRPr="00ED0FAE">
              <w:t>Grants and other expense transfers</w:t>
            </w:r>
          </w:p>
        </w:tc>
        <w:tc>
          <w:tcPr>
            <w:tcW w:w="680" w:type="dxa"/>
            <w:tcBorders>
              <w:top w:val="single" w:sz="4" w:space="0" w:color="A6A6A6" w:themeColor="background1" w:themeShade="A6"/>
              <w:bottom w:val="single" w:sz="4" w:space="0" w:color="A6A6A6" w:themeColor="background1" w:themeShade="A6"/>
            </w:tcBorders>
          </w:tcPr>
          <w:p w14:paraId="3EB182B2" w14:textId="77777777" w:rsidR="00FA7EBF" w:rsidRPr="007939DD" w:rsidRDefault="00FA7EBF" w:rsidP="007B207C">
            <w:pPr>
              <w:pStyle w:val="ARfintablebodyright"/>
              <w:rPr>
                <w:lang w:eastAsia="en-AU"/>
              </w:rPr>
            </w:pPr>
            <w:r w:rsidRPr="00ED0FAE">
              <w:t>3.1.2</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AEFB2CB" w14:textId="77777777" w:rsidR="00FA7EBF" w:rsidRPr="007939DD" w:rsidRDefault="00FA7EBF" w:rsidP="007B207C">
            <w:pPr>
              <w:pStyle w:val="ARfintablebodyright"/>
              <w:rPr>
                <w:lang w:eastAsia="en-AU"/>
              </w:rPr>
            </w:pPr>
            <w:r w:rsidRPr="00ED0FAE">
              <w:t>15,131.5</w:t>
            </w:r>
          </w:p>
        </w:tc>
        <w:tc>
          <w:tcPr>
            <w:tcW w:w="1134" w:type="dxa"/>
            <w:tcBorders>
              <w:top w:val="single" w:sz="4" w:space="0" w:color="A6A6A6" w:themeColor="background1" w:themeShade="A6"/>
              <w:bottom w:val="single" w:sz="4" w:space="0" w:color="A6A6A6" w:themeColor="background1" w:themeShade="A6"/>
            </w:tcBorders>
          </w:tcPr>
          <w:p w14:paraId="18AAF535" w14:textId="77777777" w:rsidR="00FA7EBF" w:rsidRPr="007939DD" w:rsidRDefault="00FA7EBF" w:rsidP="007B207C">
            <w:pPr>
              <w:pStyle w:val="ARfintablebodyright"/>
              <w:rPr>
                <w:lang w:eastAsia="en-AU"/>
              </w:rPr>
            </w:pPr>
            <w:r w:rsidRPr="00ED0FAE">
              <w:t>13,905.6</w:t>
            </w:r>
          </w:p>
        </w:tc>
      </w:tr>
      <w:tr w:rsidR="00FA7EBF" w:rsidRPr="007939DD" w14:paraId="0730997B" w14:textId="77777777" w:rsidTr="007B207C">
        <w:trPr>
          <w:cantSplit/>
        </w:trPr>
        <w:tc>
          <w:tcPr>
            <w:tcW w:w="6691" w:type="dxa"/>
            <w:tcBorders>
              <w:top w:val="single" w:sz="4" w:space="0" w:color="A6A6A6" w:themeColor="background1" w:themeShade="A6"/>
              <w:bottom w:val="single" w:sz="4" w:space="0" w:color="A6A6A6" w:themeColor="background1" w:themeShade="A6"/>
            </w:tcBorders>
          </w:tcPr>
          <w:p w14:paraId="64776D72" w14:textId="77777777" w:rsidR="00FA7EBF" w:rsidRPr="007939DD" w:rsidRDefault="00FA7EBF" w:rsidP="007B207C">
            <w:pPr>
              <w:pStyle w:val="ARfintablebody"/>
              <w:rPr>
                <w:lang w:eastAsia="en-AU"/>
              </w:rPr>
            </w:pPr>
            <w:r w:rsidRPr="00ED0FAE">
              <w:t>Capital asset charge</w:t>
            </w:r>
          </w:p>
        </w:tc>
        <w:tc>
          <w:tcPr>
            <w:tcW w:w="680" w:type="dxa"/>
            <w:tcBorders>
              <w:top w:val="single" w:sz="4" w:space="0" w:color="A6A6A6" w:themeColor="background1" w:themeShade="A6"/>
              <w:bottom w:val="single" w:sz="4" w:space="0" w:color="A6A6A6" w:themeColor="background1" w:themeShade="A6"/>
            </w:tcBorders>
          </w:tcPr>
          <w:p w14:paraId="54AE98BD" w14:textId="77777777" w:rsidR="00FA7EBF" w:rsidRPr="007939DD" w:rsidRDefault="00FA7EBF" w:rsidP="007B207C">
            <w:pPr>
              <w:pStyle w:val="ARfintablebodyright"/>
              <w:rPr>
                <w:lang w:eastAsia="en-AU"/>
              </w:rPr>
            </w:pPr>
            <w:r w:rsidRPr="00ED0FAE">
              <w:t>3.1.3</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9265AD5" w14:textId="77777777" w:rsidR="00FA7EBF" w:rsidRPr="007939DD" w:rsidRDefault="00FA7EBF" w:rsidP="007B207C">
            <w:pPr>
              <w:pStyle w:val="ARfintablebodyright"/>
              <w:rPr>
                <w:lang w:eastAsia="en-AU"/>
              </w:rPr>
            </w:pPr>
            <w:r w:rsidRPr="00ED0FAE">
              <w:t>1,266.0</w:t>
            </w:r>
          </w:p>
        </w:tc>
        <w:tc>
          <w:tcPr>
            <w:tcW w:w="1134" w:type="dxa"/>
            <w:tcBorders>
              <w:top w:val="single" w:sz="4" w:space="0" w:color="A6A6A6" w:themeColor="background1" w:themeShade="A6"/>
              <w:bottom w:val="single" w:sz="4" w:space="0" w:color="A6A6A6" w:themeColor="background1" w:themeShade="A6"/>
            </w:tcBorders>
          </w:tcPr>
          <w:p w14:paraId="5F7784DA" w14:textId="77777777" w:rsidR="00FA7EBF" w:rsidRPr="007939DD" w:rsidRDefault="00FA7EBF" w:rsidP="007B207C">
            <w:pPr>
              <w:pStyle w:val="ARfintablebodyright"/>
              <w:rPr>
                <w:lang w:eastAsia="en-AU"/>
              </w:rPr>
            </w:pPr>
            <w:r w:rsidRPr="00ED0FAE">
              <w:t>1,201.4</w:t>
            </w:r>
          </w:p>
        </w:tc>
      </w:tr>
      <w:tr w:rsidR="00FA7EBF" w:rsidRPr="007939DD" w14:paraId="7CC09C9A" w14:textId="77777777" w:rsidTr="007B207C">
        <w:trPr>
          <w:cantSplit/>
        </w:trPr>
        <w:tc>
          <w:tcPr>
            <w:tcW w:w="6691" w:type="dxa"/>
            <w:tcBorders>
              <w:top w:val="single" w:sz="4" w:space="0" w:color="A6A6A6" w:themeColor="background1" w:themeShade="A6"/>
              <w:bottom w:val="single" w:sz="4" w:space="0" w:color="A6A6A6" w:themeColor="background1" w:themeShade="A6"/>
            </w:tcBorders>
          </w:tcPr>
          <w:p w14:paraId="6E7CC7F1" w14:textId="77777777" w:rsidR="00FA7EBF" w:rsidRPr="007939DD" w:rsidRDefault="00FA7EBF" w:rsidP="007B207C">
            <w:pPr>
              <w:pStyle w:val="ARfintablebody"/>
              <w:rPr>
                <w:lang w:eastAsia="en-AU"/>
              </w:rPr>
            </w:pPr>
            <w:r w:rsidRPr="00ED0FAE">
              <w:t>Maintenance</w:t>
            </w:r>
          </w:p>
        </w:tc>
        <w:tc>
          <w:tcPr>
            <w:tcW w:w="680" w:type="dxa"/>
            <w:tcBorders>
              <w:top w:val="single" w:sz="4" w:space="0" w:color="A6A6A6" w:themeColor="background1" w:themeShade="A6"/>
              <w:bottom w:val="single" w:sz="4" w:space="0" w:color="A6A6A6" w:themeColor="background1" w:themeShade="A6"/>
            </w:tcBorders>
          </w:tcPr>
          <w:p w14:paraId="440F5499" w14:textId="77777777" w:rsidR="00FA7EBF" w:rsidRPr="007939DD" w:rsidRDefault="00FA7EBF" w:rsidP="007B207C">
            <w:pPr>
              <w:pStyle w:val="ARfintablebodyright"/>
              <w:rPr>
                <w:lang w:eastAsia="en-AU"/>
              </w:rPr>
            </w:pP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B2D48BA" w14:textId="77777777" w:rsidR="00FA7EBF" w:rsidRPr="007939DD" w:rsidRDefault="00FA7EBF" w:rsidP="007B207C">
            <w:pPr>
              <w:pStyle w:val="ARfintablebodyright"/>
              <w:rPr>
                <w:lang w:eastAsia="en-AU"/>
              </w:rPr>
            </w:pPr>
            <w:r w:rsidRPr="00ED0FAE">
              <w:t>231.5</w:t>
            </w:r>
          </w:p>
        </w:tc>
        <w:tc>
          <w:tcPr>
            <w:tcW w:w="1134" w:type="dxa"/>
            <w:tcBorders>
              <w:top w:val="single" w:sz="4" w:space="0" w:color="A6A6A6" w:themeColor="background1" w:themeShade="A6"/>
              <w:bottom w:val="single" w:sz="4" w:space="0" w:color="A6A6A6" w:themeColor="background1" w:themeShade="A6"/>
            </w:tcBorders>
          </w:tcPr>
          <w:p w14:paraId="334BC490" w14:textId="77777777" w:rsidR="00FA7EBF" w:rsidRPr="007939DD" w:rsidRDefault="00FA7EBF" w:rsidP="007B207C">
            <w:pPr>
              <w:pStyle w:val="ARfintablebodyright"/>
              <w:rPr>
                <w:lang w:eastAsia="en-AU"/>
              </w:rPr>
            </w:pPr>
            <w:r w:rsidRPr="00ED0FAE">
              <w:t>188.2</w:t>
            </w:r>
          </w:p>
        </w:tc>
      </w:tr>
      <w:tr w:rsidR="00FA7EBF" w:rsidRPr="007939DD" w14:paraId="02B9600A" w14:textId="77777777" w:rsidTr="007B207C">
        <w:trPr>
          <w:cantSplit/>
        </w:trPr>
        <w:tc>
          <w:tcPr>
            <w:tcW w:w="6691" w:type="dxa"/>
            <w:tcBorders>
              <w:top w:val="single" w:sz="4" w:space="0" w:color="A6A6A6" w:themeColor="background1" w:themeShade="A6"/>
              <w:bottom w:val="single" w:sz="4" w:space="0" w:color="A6A6A6" w:themeColor="background1" w:themeShade="A6"/>
            </w:tcBorders>
          </w:tcPr>
          <w:p w14:paraId="0444CD6A" w14:textId="77777777" w:rsidR="00FA7EBF" w:rsidRPr="007939DD" w:rsidRDefault="00FA7EBF" w:rsidP="007B207C">
            <w:pPr>
              <w:pStyle w:val="ARfintablebody"/>
              <w:rPr>
                <w:lang w:eastAsia="en-AU"/>
              </w:rPr>
            </w:pPr>
            <w:r w:rsidRPr="00ED0FAE">
              <w:t>Fair value of assets and services provided free of charge or for nominal consideration</w:t>
            </w:r>
          </w:p>
        </w:tc>
        <w:tc>
          <w:tcPr>
            <w:tcW w:w="680" w:type="dxa"/>
            <w:tcBorders>
              <w:top w:val="single" w:sz="4" w:space="0" w:color="A6A6A6" w:themeColor="background1" w:themeShade="A6"/>
              <w:bottom w:val="single" w:sz="4" w:space="0" w:color="A6A6A6" w:themeColor="background1" w:themeShade="A6"/>
            </w:tcBorders>
          </w:tcPr>
          <w:p w14:paraId="5E890C96" w14:textId="77777777" w:rsidR="00FA7EBF" w:rsidRPr="007939DD" w:rsidRDefault="00FA7EBF" w:rsidP="007B207C">
            <w:pPr>
              <w:pStyle w:val="ARfintablebodyright"/>
              <w:rPr>
                <w:lang w:eastAsia="en-AU"/>
              </w:rPr>
            </w:pPr>
            <w:r w:rsidRPr="00ED0FAE">
              <w:t>3.1.4</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AB4AF5B" w14:textId="77777777" w:rsidR="00FA7EBF" w:rsidRPr="007939DD" w:rsidRDefault="00FA7EBF" w:rsidP="007B207C">
            <w:pPr>
              <w:pStyle w:val="ARfintablebodyright"/>
              <w:rPr>
                <w:lang w:eastAsia="en-AU"/>
              </w:rPr>
            </w:pPr>
            <w:r w:rsidRPr="00ED0FAE">
              <w:t>121.3</w:t>
            </w:r>
          </w:p>
        </w:tc>
        <w:tc>
          <w:tcPr>
            <w:tcW w:w="1134" w:type="dxa"/>
            <w:tcBorders>
              <w:top w:val="single" w:sz="4" w:space="0" w:color="A6A6A6" w:themeColor="background1" w:themeShade="A6"/>
              <w:bottom w:val="single" w:sz="4" w:space="0" w:color="A6A6A6" w:themeColor="background1" w:themeShade="A6"/>
            </w:tcBorders>
          </w:tcPr>
          <w:p w14:paraId="10B8203C" w14:textId="77777777" w:rsidR="00FA7EBF" w:rsidRPr="007939DD" w:rsidRDefault="00FA7EBF" w:rsidP="007B207C">
            <w:pPr>
              <w:pStyle w:val="ARfintablebodyright"/>
              <w:rPr>
                <w:lang w:eastAsia="en-AU"/>
              </w:rPr>
            </w:pPr>
            <w:r w:rsidRPr="00ED0FAE">
              <w:t>93.7</w:t>
            </w:r>
          </w:p>
        </w:tc>
      </w:tr>
      <w:tr w:rsidR="00FA7EBF" w:rsidRPr="007939DD" w14:paraId="735213E2" w14:textId="77777777" w:rsidTr="007B207C">
        <w:trPr>
          <w:cantSplit/>
        </w:trPr>
        <w:tc>
          <w:tcPr>
            <w:tcW w:w="6691" w:type="dxa"/>
            <w:tcBorders>
              <w:top w:val="single" w:sz="4" w:space="0" w:color="A6A6A6" w:themeColor="background1" w:themeShade="A6"/>
              <w:bottom w:val="single" w:sz="4" w:space="0" w:color="A6A6A6" w:themeColor="background1" w:themeShade="A6"/>
            </w:tcBorders>
          </w:tcPr>
          <w:p w14:paraId="1CA602A0" w14:textId="77777777" w:rsidR="00FA7EBF" w:rsidRPr="007939DD" w:rsidRDefault="00FA7EBF" w:rsidP="007B207C">
            <w:pPr>
              <w:pStyle w:val="ARfintablebody"/>
              <w:rPr>
                <w:lang w:eastAsia="en-AU"/>
              </w:rPr>
            </w:pPr>
            <w:r w:rsidRPr="00ED0FAE">
              <w:t>Other operating expenses</w:t>
            </w:r>
          </w:p>
        </w:tc>
        <w:tc>
          <w:tcPr>
            <w:tcW w:w="680" w:type="dxa"/>
            <w:tcBorders>
              <w:top w:val="single" w:sz="4" w:space="0" w:color="A6A6A6" w:themeColor="background1" w:themeShade="A6"/>
              <w:bottom w:val="single" w:sz="4" w:space="0" w:color="A6A6A6" w:themeColor="background1" w:themeShade="A6"/>
            </w:tcBorders>
          </w:tcPr>
          <w:p w14:paraId="27BF874D" w14:textId="77777777" w:rsidR="00FA7EBF" w:rsidRPr="007939DD" w:rsidRDefault="00FA7EBF" w:rsidP="007B207C">
            <w:pPr>
              <w:pStyle w:val="ARfintablebodyright"/>
              <w:rPr>
                <w:lang w:eastAsia="en-AU"/>
              </w:rPr>
            </w:pPr>
            <w:r w:rsidRPr="00ED0FAE">
              <w:t>3.1.5</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9B650E9" w14:textId="77777777" w:rsidR="00FA7EBF" w:rsidRPr="007939DD" w:rsidRDefault="00FA7EBF" w:rsidP="007B207C">
            <w:pPr>
              <w:pStyle w:val="ARfintablebodyright"/>
              <w:rPr>
                <w:lang w:eastAsia="en-AU"/>
              </w:rPr>
            </w:pPr>
            <w:r w:rsidRPr="00ED0FAE">
              <w:t>611.3</w:t>
            </w:r>
          </w:p>
        </w:tc>
        <w:tc>
          <w:tcPr>
            <w:tcW w:w="1134" w:type="dxa"/>
            <w:tcBorders>
              <w:top w:val="single" w:sz="4" w:space="0" w:color="A6A6A6" w:themeColor="background1" w:themeShade="A6"/>
              <w:bottom w:val="single" w:sz="4" w:space="0" w:color="A6A6A6" w:themeColor="background1" w:themeShade="A6"/>
            </w:tcBorders>
          </w:tcPr>
          <w:p w14:paraId="624B06D5" w14:textId="77777777" w:rsidR="00FA7EBF" w:rsidRPr="007939DD" w:rsidRDefault="00FA7EBF" w:rsidP="007B207C">
            <w:pPr>
              <w:pStyle w:val="ARfintablebodyright"/>
              <w:rPr>
                <w:lang w:eastAsia="en-AU"/>
              </w:rPr>
            </w:pPr>
            <w:r w:rsidRPr="00ED0FAE">
              <w:t>568.3</w:t>
            </w:r>
          </w:p>
        </w:tc>
      </w:tr>
      <w:tr w:rsidR="00FA7EBF" w:rsidRPr="007939DD" w14:paraId="2BA9D377" w14:textId="77777777" w:rsidTr="007B207C">
        <w:trPr>
          <w:cantSplit/>
        </w:trPr>
        <w:tc>
          <w:tcPr>
            <w:tcW w:w="6691" w:type="dxa"/>
            <w:tcBorders>
              <w:top w:val="single" w:sz="4" w:space="0" w:color="A6A6A6" w:themeColor="background1" w:themeShade="A6"/>
            </w:tcBorders>
          </w:tcPr>
          <w:p w14:paraId="2ED1C4A2" w14:textId="77777777" w:rsidR="00FA7EBF" w:rsidRPr="007939DD" w:rsidRDefault="00FA7EBF" w:rsidP="007B207C">
            <w:pPr>
              <w:pStyle w:val="ARfintablebody"/>
              <w:rPr>
                <w:lang w:eastAsia="en-AU"/>
              </w:rPr>
            </w:pPr>
            <w:r w:rsidRPr="00ED0FAE">
              <w:t>Other property management expenses</w:t>
            </w:r>
          </w:p>
        </w:tc>
        <w:tc>
          <w:tcPr>
            <w:tcW w:w="680" w:type="dxa"/>
            <w:tcBorders>
              <w:top w:val="single" w:sz="4" w:space="0" w:color="A6A6A6" w:themeColor="background1" w:themeShade="A6"/>
            </w:tcBorders>
          </w:tcPr>
          <w:p w14:paraId="40713452" w14:textId="77777777" w:rsidR="00FA7EBF" w:rsidRPr="007939DD" w:rsidRDefault="00FA7EBF" w:rsidP="007B207C">
            <w:pPr>
              <w:pStyle w:val="ARfintablebodyright"/>
              <w:rPr>
                <w:lang w:eastAsia="en-AU"/>
              </w:rPr>
            </w:pPr>
            <w:r w:rsidRPr="00ED0FAE">
              <w:t>3.1.6</w:t>
            </w:r>
          </w:p>
        </w:tc>
        <w:tc>
          <w:tcPr>
            <w:tcW w:w="1134" w:type="dxa"/>
            <w:tcBorders>
              <w:top w:val="single" w:sz="4" w:space="0" w:color="A6A6A6" w:themeColor="background1" w:themeShade="A6"/>
            </w:tcBorders>
            <w:shd w:val="clear" w:color="auto" w:fill="E7E6E6"/>
          </w:tcPr>
          <w:p w14:paraId="51F113D7" w14:textId="77777777" w:rsidR="00FA7EBF" w:rsidRPr="007939DD" w:rsidRDefault="00FA7EBF" w:rsidP="007B207C">
            <w:pPr>
              <w:pStyle w:val="ARfintablebodyright"/>
              <w:rPr>
                <w:lang w:eastAsia="en-AU"/>
              </w:rPr>
            </w:pPr>
            <w:r w:rsidRPr="00ED0FAE">
              <w:t>209.1</w:t>
            </w:r>
          </w:p>
        </w:tc>
        <w:tc>
          <w:tcPr>
            <w:tcW w:w="1134" w:type="dxa"/>
            <w:tcBorders>
              <w:top w:val="single" w:sz="4" w:space="0" w:color="A6A6A6" w:themeColor="background1" w:themeShade="A6"/>
            </w:tcBorders>
          </w:tcPr>
          <w:p w14:paraId="28930815" w14:textId="77777777" w:rsidR="00FA7EBF" w:rsidRPr="007939DD" w:rsidRDefault="00FA7EBF" w:rsidP="007B207C">
            <w:pPr>
              <w:pStyle w:val="ARfintablebodyright"/>
              <w:rPr>
                <w:lang w:eastAsia="en-AU"/>
              </w:rPr>
            </w:pPr>
            <w:r w:rsidRPr="00ED0FAE">
              <w:t>193.2</w:t>
            </w:r>
          </w:p>
        </w:tc>
      </w:tr>
      <w:tr w:rsidR="00FA7EBF" w:rsidRPr="007939DD" w14:paraId="588B9714" w14:textId="77777777" w:rsidTr="007B207C">
        <w:trPr>
          <w:cantSplit/>
        </w:trPr>
        <w:tc>
          <w:tcPr>
            <w:tcW w:w="6691" w:type="dxa"/>
          </w:tcPr>
          <w:p w14:paraId="2D223ACC" w14:textId="77777777" w:rsidR="00FA7EBF" w:rsidRPr="007939DD" w:rsidRDefault="00FA7EBF" w:rsidP="007B207C">
            <w:pPr>
              <w:pStyle w:val="ARfintablebodybold"/>
              <w:rPr>
                <w:lang w:eastAsia="en-AU"/>
              </w:rPr>
            </w:pPr>
            <w:r w:rsidRPr="00ED0FAE">
              <w:t>Total expenses incurred in delivery of services</w:t>
            </w:r>
          </w:p>
        </w:tc>
        <w:tc>
          <w:tcPr>
            <w:tcW w:w="680" w:type="dxa"/>
          </w:tcPr>
          <w:p w14:paraId="1536714A" w14:textId="77777777" w:rsidR="00FA7EBF" w:rsidRPr="007939DD" w:rsidRDefault="00FA7EBF" w:rsidP="007B207C">
            <w:pPr>
              <w:pStyle w:val="ARfintablebodyright"/>
              <w:rPr>
                <w:b/>
                <w:bCs/>
                <w:lang w:eastAsia="en-AU"/>
              </w:rPr>
            </w:pPr>
          </w:p>
        </w:tc>
        <w:tc>
          <w:tcPr>
            <w:tcW w:w="1134" w:type="dxa"/>
            <w:shd w:val="clear" w:color="auto" w:fill="E7E6E6"/>
          </w:tcPr>
          <w:p w14:paraId="64A4DACE" w14:textId="77777777" w:rsidR="00FA7EBF" w:rsidRPr="007939DD" w:rsidRDefault="00FA7EBF" w:rsidP="007B207C">
            <w:pPr>
              <w:pStyle w:val="ARfintablebodyrightbold"/>
              <w:rPr>
                <w:lang w:eastAsia="en-AU"/>
              </w:rPr>
            </w:pPr>
            <w:r w:rsidRPr="00ED0FAE">
              <w:t>19,050.3</w:t>
            </w:r>
          </w:p>
        </w:tc>
        <w:tc>
          <w:tcPr>
            <w:tcW w:w="1134" w:type="dxa"/>
          </w:tcPr>
          <w:p w14:paraId="236AF026" w14:textId="77777777" w:rsidR="00FA7EBF" w:rsidRPr="007939DD" w:rsidRDefault="00FA7EBF" w:rsidP="007B207C">
            <w:pPr>
              <w:pStyle w:val="ARfintablebodyrightbold"/>
              <w:rPr>
                <w:rStyle w:val="Strong"/>
              </w:rPr>
            </w:pPr>
            <w:r w:rsidRPr="00ED0FAE">
              <w:t>17,476.2</w:t>
            </w:r>
          </w:p>
        </w:tc>
      </w:tr>
    </w:tbl>
    <w:p w14:paraId="7E2FB9B9" w14:textId="77777777" w:rsidR="00FA7EBF" w:rsidRPr="00194D78" w:rsidRDefault="00FA7EBF" w:rsidP="00CA66FD">
      <w:pPr>
        <w:pStyle w:val="Heading5"/>
        <w:rPr>
          <w:lang w:eastAsia="en-AU"/>
        </w:rPr>
      </w:pPr>
      <w:r w:rsidRPr="00194D78">
        <w:rPr>
          <w:lang w:eastAsia="en-AU"/>
        </w:rPr>
        <w:t>3.1.1 Employee benefits</w:t>
      </w:r>
    </w:p>
    <w:p w14:paraId="07F4D7C9" w14:textId="77777777" w:rsidR="00FA7EBF" w:rsidRDefault="00FA7EBF" w:rsidP="00CA66FD">
      <w:pPr>
        <w:pStyle w:val="Heading6"/>
        <w:rPr>
          <w:lang w:eastAsia="en-AU"/>
        </w:rPr>
      </w:pPr>
      <w:r w:rsidRPr="00194D78">
        <w:rPr>
          <w:lang w:eastAsia="en-AU"/>
        </w:rPr>
        <w:t>3.1.1(a) Employee benefits</w:t>
      </w:r>
      <w:r>
        <w:rPr>
          <w:lang w:eastAsia="en-AU"/>
        </w:rPr>
        <w:t xml:space="preserve"> – </w:t>
      </w:r>
      <w:r w:rsidRPr="00194D78">
        <w:rPr>
          <w:lang w:eastAsia="en-AU"/>
        </w:rPr>
        <w:t>comprehensive operating statement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12EC34C3" w14:textId="77777777" w:rsidTr="007B207C">
        <w:trPr>
          <w:tblHeader/>
        </w:trPr>
        <w:tc>
          <w:tcPr>
            <w:tcW w:w="7371" w:type="dxa"/>
            <w:vAlign w:val="bottom"/>
          </w:tcPr>
          <w:p w14:paraId="5706EAF2" w14:textId="77777777" w:rsidR="00FA7EBF" w:rsidRPr="007939DD" w:rsidRDefault="00FA7EBF" w:rsidP="007B207C">
            <w:pPr>
              <w:pStyle w:val="ARfintablecolhead"/>
            </w:pPr>
          </w:p>
        </w:tc>
        <w:tc>
          <w:tcPr>
            <w:tcW w:w="1134" w:type="dxa"/>
            <w:shd w:val="clear" w:color="auto" w:fill="E7E6E6"/>
            <w:vAlign w:val="bottom"/>
          </w:tcPr>
          <w:p w14:paraId="3F703735" w14:textId="77777777" w:rsidR="00FA7EBF" w:rsidRPr="007939DD" w:rsidRDefault="00FA7EBF" w:rsidP="007B207C">
            <w:pPr>
              <w:pStyle w:val="ARfintablecolheadright"/>
            </w:pPr>
            <w:r w:rsidRPr="007939DD">
              <w:t>201</w:t>
            </w:r>
            <w:r>
              <w:t>9</w:t>
            </w:r>
          </w:p>
          <w:p w14:paraId="4F02B84E" w14:textId="77777777" w:rsidR="00FA7EBF" w:rsidRPr="007939DD" w:rsidRDefault="00FA7EBF" w:rsidP="007B207C">
            <w:pPr>
              <w:pStyle w:val="ARfintablecolheadright"/>
            </w:pPr>
            <w:r w:rsidRPr="007939DD">
              <w:t>$M</w:t>
            </w:r>
          </w:p>
        </w:tc>
        <w:tc>
          <w:tcPr>
            <w:tcW w:w="1134" w:type="dxa"/>
            <w:vAlign w:val="bottom"/>
          </w:tcPr>
          <w:p w14:paraId="36657030" w14:textId="77777777" w:rsidR="00FA7EBF" w:rsidRPr="007939DD" w:rsidRDefault="00FA7EBF" w:rsidP="007B207C">
            <w:pPr>
              <w:pStyle w:val="ARfintablecolheadright"/>
            </w:pPr>
            <w:r w:rsidRPr="007939DD">
              <w:t>201</w:t>
            </w:r>
            <w:r>
              <w:t>8</w:t>
            </w:r>
          </w:p>
          <w:p w14:paraId="6C8DB1D5" w14:textId="77777777" w:rsidR="00FA7EBF" w:rsidRPr="007939DD" w:rsidRDefault="00FA7EBF" w:rsidP="007B207C">
            <w:pPr>
              <w:pStyle w:val="ARfintablecolheadright"/>
            </w:pPr>
            <w:r w:rsidRPr="007939DD">
              <w:t>$M</w:t>
            </w:r>
          </w:p>
        </w:tc>
      </w:tr>
      <w:tr w:rsidR="00FA7EBF" w:rsidRPr="007939DD" w14:paraId="21078B87" w14:textId="77777777" w:rsidTr="007B207C">
        <w:tc>
          <w:tcPr>
            <w:tcW w:w="7371" w:type="dxa"/>
            <w:tcBorders>
              <w:bottom w:val="single" w:sz="4" w:space="0" w:color="A6A6A6" w:themeColor="background1" w:themeShade="A6"/>
            </w:tcBorders>
          </w:tcPr>
          <w:p w14:paraId="0AB0E466" w14:textId="77777777" w:rsidR="00FA7EBF" w:rsidRPr="007939DD" w:rsidRDefault="00FA7EBF" w:rsidP="007B207C">
            <w:pPr>
              <w:pStyle w:val="ARfintablebody"/>
              <w:rPr>
                <w:lang w:eastAsia="en-AU"/>
              </w:rPr>
            </w:pPr>
            <w:r w:rsidRPr="004E5A95">
              <w:t>Defined contribution superannuation expense</w:t>
            </w:r>
          </w:p>
        </w:tc>
        <w:tc>
          <w:tcPr>
            <w:tcW w:w="1134" w:type="dxa"/>
            <w:tcBorders>
              <w:bottom w:val="single" w:sz="4" w:space="0" w:color="A6A6A6" w:themeColor="background1" w:themeShade="A6"/>
            </w:tcBorders>
            <w:shd w:val="clear" w:color="auto" w:fill="E7E6E6"/>
          </w:tcPr>
          <w:p w14:paraId="3F36E270" w14:textId="77777777" w:rsidR="00FA7EBF" w:rsidRPr="007939DD" w:rsidRDefault="00FA7EBF" w:rsidP="007B207C">
            <w:pPr>
              <w:pStyle w:val="ARfintablebodyright"/>
              <w:rPr>
                <w:lang w:eastAsia="en-AU"/>
              </w:rPr>
            </w:pPr>
            <w:r w:rsidRPr="004E5A95">
              <w:t>98.0</w:t>
            </w:r>
          </w:p>
        </w:tc>
        <w:tc>
          <w:tcPr>
            <w:tcW w:w="1134" w:type="dxa"/>
            <w:tcBorders>
              <w:bottom w:val="single" w:sz="4" w:space="0" w:color="A6A6A6" w:themeColor="background1" w:themeShade="A6"/>
            </w:tcBorders>
          </w:tcPr>
          <w:p w14:paraId="3799C42C" w14:textId="77777777" w:rsidR="00FA7EBF" w:rsidRPr="007939DD" w:rsidRDefault="00FA7EBF" w:rsidP="007B207C">
            <w:pPr>
              <w:pStyle w:val="ARfintablebodyright"/>
              <w:rPr>
                <w:lang w:eastAsia="en-AU"/>
              </w:rPr>
            </w:pPr>
            <w:r w:rsidRPr="004E5A95">
              <w:t>87.9</w:t>
            </w:r>
          </w:p>
        </w:tc>
      </w:tr>
      <w:tr w:rsidR="00FA7EBF" w:rsidRPr="007939DD" w14:paraId="00A34A72" w14:textId="77777777" w:rsidTr="007B207C">
        <w:tc>
          <w:tcPr>
            <w:tcW w:w="7371" w:type="dxa"/>
            <w:tcBorders>
              <w:top w:val="single" w:sz="4" w:space="0" w:color="A6A6A6" w:themeColor="background1" w:themeShade="A6"/>
              <w:bottom w:val="single" w:sz="4" w:space="0" w:color="A6A6A6" w:themeColor="background1" w:themeShade="A6"/>
            </w:tcBorders>
          </w:tcPr>
          <w:p w14:paraId="39806EB8" w14:textId="77777777" w:rsidR="00FA7EBF" w:rsidRPr="007939DD" w:rsidRDefault="00FA7EBF" w:rsidP="007B207C">
            <w:pPr>
              <w:pStyle w:val="ARfintablebody"/>
              <w:rPr>
                <w:lang w:eastAsia="en-AU"/>
              </w:rPr>
            </w:pPr>
            <w:r w:rsidRPr="004E5A95">
              <w:t>Defined benefit superannuation expense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F2456EC" w14:textId="77777777" w:rsidR="00FA7EBF" w:rsidRPr="007939DD" w:rsidRDefault="00FA7EBF" w:rsidP="007B207C">
            <w:pPr>
              <w:pStyle w:val="ARfintablebodyright"/>
              <w:rPr>
                <w:lang w:eastAsia="en-AU"/>
              </w:rPr>
            </w:pPr>
            <w:r w:rsidRPr="004E5A95">
              <w:t>11.6</w:t>
            </w:r>
          </w:p>
        </w:tc>
        <w:tc>
          <w:tcPr>
            <w:tcW w:w="1134" w:type="dxa"/>
            <w:tcBorders>
              <w:top w:val="single" w:sz="4" w:space="0" w:color="A6A6A6" w:themeColor="background1" w:themeShade="A6"/>
              <w:bottom w:val="single" w:sz="4" w:space="0" w:color="A6A6A6" w:themeColor="background1" w:themeShade="A6"/>
            </w:tcBorders>
          </w:tcPr>
          <w:p w14:paraId="0027598E" w14:textId="77777777" w:rsidR="00FA7EBF" w:rsidRPr="007939DD" w:rsidRDefault="00FA7EBF" w:rsidP="007B207C">
            <w:pPr>
              <w:pStyle w:val="ARfintablebodyright"/>
              <w:rPr>
                <w:lang w:eastAsia="en-AU"/>
              </w:rPr>
            </w:pPr>
            <w:r w:rsidRPr="004E5A95">
              <w:t>13.1</w:t>
            </w:r>
          </w:p>
        </w:tc>
      </w:tr>
      <w:tr w:rsidR="00FA7EBF" w:rsidRPr="007939DD" w14:paraId="159B4866" w14:textId="77777777" w:rsidTr="007B207C">
        <w:tc>
          <w:tcPr>
            <w:tcW w:w="7371" w:type="dxa"/>
            <w:tcBorders>
              <w:top w:val="single" w:sz="4" w:space="0" w:color="A6A6A6" w:themeColor="background1" w:themeShade="A6"/>
              <w:bottom w:val="single" w:sz="4" w:space="0" w:color="A6A6A6" w:themeColor="background1" w:themeShade="A6"/>
            </w:tcBorders>
          </w:tcPr>
          <w:p w14:paraId="136BB130" w14:textId="77777777" w:rsidR="00FA7EBF" w:rsidRPr="007939DD" w:rsidRDefault="00FA7EBF" w:rsidP="007B207C">
            <w:pPr>
              <w:pStyle w:val="ARfintablebody"/>
              <w:rPr>
                <w:lang w:eastAsia="en-AU"/>
              </w:rPr>
            </w:pPr>
            <w:r w:rsidRPr="004E5A95">
              <w:t>Termination benefits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5794203" w14:textId="77777777" w:rsidR="00FA7EBF" w:rsidRPr="007939DD" w:rsidRDefault="00FA7EBF" w:rsidP="007B207C">
            <w:pPr>
              <w:pStyle w:val="ARfintablebodyright"/>
              <w:rPr>
                <w:lang w:eastAsia="en-AU"/>
              </w:rPr>
            </w:pPr>
            <w:r w:rsidRPr="004E5A95">
              <w:t>2.6</w:t>
            </w:r>
          </w:p>
        </w:tc>
        <w:tc>
          <w:tcPr>
            <w:tcW w:w="1134" w:type="dxa"/>
            <w:tcBorders>
              <w:top w:val="single" w:sz="4" w:space="0" w:color="A6A6A6" w:themeColor="background1" w:themeShade="A6"/>
              <w:bottom w:val="single" w:sz="4" w:space="0" w:color="A6A6A6" w:themeColor="background1" w:themeShade="A6"/>
            </w:tcBorders>
          </w:tcPr>
          <w:p w14:paraId="37E63565" w14:textId="77777777" w:rsidR="00FA7EBF" w:rsidRPr="007939DD" w:rsidRDefault="00FA7EBF" w:rsidP="007B207C">
            <w:pPr>
              <w:pStyle w:val="ARfintablebodyright"/>
              <w:rPr>
                <w:lang w:eastAsia="en-AU"/>
              </w:rPr>
            </w:pPr>
            <w:r w:rsidRPr="004E5A95">
              <w:t>2.4</w:t>
            </w:r>
          </w:p>
        </w:tc>
      </w:tr>
      <w:tr w:rsidR="00FA7EBF" w:rsidRPr="007939DD" w14:paraId="2FED4AD9" w14:textId="77777777" w:rsidTr="007B207C">
        <w:tc>
          <w:tcPr>
            <w:tcW w:w="7371" w:type="dxa"/>
            <w:tcBorders>
              <w:top w:val="single" w:sz="4" w:space="0" w:color="A6A6A6" w:themeColor="background1" w:themeShade="A6"/>
            </w:tcBorders>
          </w:tcPr>
          <w:p w14:paraId="01352954" w14:textId="77777777" w:rsidR="00FA7EBF" w:rsidRPr="007939DD" w:rsidRDefault="00FA7EBF" w:rsidP="007B207C">
            <w:pPr>
              <w:pStyle w:val="ARfintablebody"/>
              <w:rPr>
                <w:lang w:eastAsia="en-AU"/>
              </w:rPr>
            </w:pPr>
            <w:r w:rsidRPr="004E5A95">
              <w:t>Salaries and wages, annual leave and long service leave</w:t>
            </w:r>
          </w:p>
        </w:tc>
        <w:tc>
          <w:tcPr>
            <w:tcW w:w="1134" w:type="dxa"/>
            <w:tcBorders>
              <w:top w:val="single" w:sz="4" w:space="0" w:color="A6A6A6" w:themeColor="background1" w:themeShade="A6"/>
            </w:tcBorders>
            <w:shd w:val="clear" w:color="auto" w:fill="E7E6E6"/>
          </w:tcPr>
          <w:p w14:paraId="6F7F3ECC" w14:textId="77777777" w:rsidR="00FA7EBF" w:rsidRPr="007939DD" w:rsidRDefault="00FA7EBF" w:rsidP="007B207C">
            <w:pPr>
              <w:pStyle w:val="ARfintablebodyright"/>
              <w:rPr>
                <w:lang w:eastAsia="en-AU"/>
              </w:rPr>
            </w:pPr>
            <w:r w:rsidRPr="004E5A95">
              <w:t>1,367.5</w:t>
            </w:r>
          </w:p>
        </w:tc>
        <w:tc>
          <w:tcPr>
            <w:tcW w:w="1134" w:type="dxa"/>
            <w:tcBorders>
              <w:top w:val="single" w:sz="4" w:space="0" w:color="A6A6A6" w:themeColor="background1" w:themeShade="A6"/>
            </w:tcBorders>
          </w:tcPr>
          <w:p w14:paraId="7F991CA8" w14:textId="77777777" w:rsidR="00FA7EBF" w:rsidRPr="007939DD" w:rsidRDefault="00FA7EBF" w:rsidP="007B207C">
            <w:pPr>
              <w:pStyle w:val="ARfintablebodyright"/>
              <w:rPr>
                <w:lang w:eastAsia="en-AU"/>
              </w:rPr>
            </w:pPr>
            <w:r w:rsidRPr="004E5A95">
              <w:t>1,222.6</w:t>
            </w:r>
          </w:p>
        </w:tc>
      </w:tr>
      <w:tr w:rsidR="00FA7EBF" w:rsidRPr="007939DD" w14:paraId="302C160A" w14:textId="77777777" w:rsidTr="007B207C">
        <w:tc>
          <w:tcPr>
            <w:tcW w:w="7371" w:type="dxa"/>
          </w:tcPr>
          <w:p w14:paraId="3D5D3D60" w14:textId="77777777" w:rsidR="00FA7EBF" w:rsidRPr="007939DD" w:rsidRDefault="00FA7EBF" w:rsidP="007B207C">
            <w:pPr>
              <w:pStyle w:val="ARfintablebodybold"/>
              <w:rPr>
                <w:rStyle w:val="Strong"/>
              </w:rPr>
            </w:pPr>
            <w:r w:rsidRPr="004E5A95">
              <w:t>Total employee expenses</w:t>
            </w:r>
          </w:p>
        </w:tc>
        <w:tc>
          <w:tcPr>
            <w:tcW w:w="1134" w:type="dxa"/>
            <w:shd w:val="clear" w:color="auto" w:fill="E7E6E6"/>
          </w:tcPr>
          <w:p w14:paraId="3D085DD9" w14:textId="77777777" w:rsidR="00FA7EBF" w:rsidRPr="007939DD" w:rsidRDefault="00FA7EBF" w:rsidP="007B207C">
            <w:pPr>
              <w:pStyle w:val="ARfintablebodyrightbold"/>
              <w:rPr>
                <w:lang w:eastAsia="en-AU"/>
              </w:rPr>
            </w:pPr>
            <w:r w:rsidRPr="004E5A95">
              <w:t>1,479.7</w:t>
            </w:r>
          </w:p>
        </w:tc>
        <w:tc>
          <w:tcPr>
            <w:tcW w:w="1134" w:type="dxa"/>
          </w:tcPr>
          <w:p w14:paraId="05051CBC" w14:textId="77777777" w:rsidR="00FA7EBF" w:rsidRPr="007939DD" w:rsidRDefault="00FA7EBF" w:rsidP="007B207C">
            <w:pPr>
              <w:pStyle w:val="ARfintablebodyrightbold"/>
              <w:rPr>
                <w:rStyle w:val="Strong"/>
              </w:rPr>
            </w:pPr>
            <w:r w:rsidRPr="004E5A95">
              <w:t>1,325.9</w:t>
            </w:r>
          </w:p>
        </w:tc>
      </w:tr>
    </w:tbl>
    <w:p w14:paraId="26564AE3" w14:textId="77777777" w:rsidR="00FA7EBF" w:rsidRPr="00194D78" w:rsidRDefault="00FA7EBF" w:rsidP="00CA66FD">
      <w:pPr>
        <w:pStyle w:val="ARfinbodyaftertable"/>
        <w:rPr>
          <w:strike/>
        </w:rPr>
      </w:pPr>
      <w:r w:rsidRPr="00194D78">
        <w:t>Employee expenses include all costs related to employment including salaries and wages, leave entitlements, fringe benefits tax, redundancy payments, payroll tax and WorkCover premiums.</w:t>
      </w:r>
    </w:p>
    <w:p w14:paraId="5783A45B" w14:textId="77777777" w:rsidR="00FA7EBF" w:rsidRPr="00194D78" w:rsidRDefault="00FA7EBF" w:rsidP="00CA66FD">
      <w:pPr>
        <w:pStyle w:val="ARfinbody"/>
      </w:pPr>
      <w:r w:rsidRPr="00194D78">
        <w:t>The amount recognised in the comprehensive operating statement in relation to superannuation is employer contributions for members of both defined benefit and defined contribution superannuation plans that are paid or payable during the reporting period. Excluding former employees of the Director of Housing, the department does not recognise any defined benefit liabilities because it has no legal or constructive obligation to pay future benefits relating to its employees. Instead, the Department of Treasury and Finance discloses in its annual financial statements the net defined benefit cost related to the members of these plans as an administered liability (on behalf of the state as the sponsoring employer).</w:t>
      </w:r>
    </w:p>
    <w:p w14:paraId="7045123E" w14:textId="77777777" w:rsidR="00FA7EBF" w:rsidRPr="00194D78" w:rsidRDefault="00FA7EBF" w:rsidP="00CA66FD">
      <w:pPr>
        <w:pStyle w:val="ARfinbody"/>
      </w:pPr>
      <w:r w:rsidRPr="00194D78">
        <w:t>Termination benefits are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 present value.</w:t>
      </w:r>
    </w:p>
    <w:p w14:paraId="24D9D6E7" w14:textId="77777777" w:rsidR="00FA7EBF" w:rsidRPr="002D724F" w:rsidRDefault="00FA7EBF" w:rsidP="00CA66FD">
      <w:pPr>
        <w:pStyle w:val="ARfinbody"/>
      </w:pPr>
      <w:r w:rsidRPr="002D724F">
        <w:br w:type="page"/>
      </w:r>
    </w:p>
    <w:p w14:paraId="5416117E" w14:textId="77777777" w:rsidR="00FA7EBF" w:rsidRPr="00194D78" w:rsidRDefault="00FA7EBF" w:rsidP="00CA66FD">
      <w:pPr>
        <w:pStyle w:val="Heading6"/>
        <w:rPr>
          <w:lang w:eastAsia="en-AU"/>
        </w:rPr>
      </w:pPr>
      <w:r w:rsidRPr="00194D78">
        <w:rPr>
          <w:lang w:eastAsia="en-AU"/>
        </w:rPr>
        <w:t>3.1.1(b) Employee benefits in the balance sheet</w:t>
      </w:r>
    </w:p>
    <w:p w14:paraId="6DA9E3BD" w14:textId="191DA52D" w:rsidR="00FA7EBF" w:rsidRDefault="00FA7EBF" w:rsidP="00CA66FD">
      <w:pPr>
        <w:pStyle w:val="ARfinbodylargespace"/>
      </w:pPr>
      <w:r w:rsidRPr="00194D78">
        <w:t>Provision is made for benefits accruing to employees in respect of annual leave and long service leave (LSL) for services rendered to</w:t>
      </w:r>
      <w:r w:rsidR="00B33865">
        <w:t> </w:t>
      </w:r>
      <w:r w:rsidRPr="00194D78">
        <w:t>the reporting date and recorded as an expense during the period the services are delivered.</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2A5A3CC7" w14:textId="77777777" w:rsidTr="007B207C">
        <w:trPr>
          <w:cantSplit/>
          <w:tblHeader/>
        </w:trPr>
        <w:tc>
          <w:tcPr>
            <w:tcW w:w="7371" w:type="dxa"/>
            <w:vAlign w:val="bottom"/>
          </w:tcPr>
          <w:p w14:paraId="2992C91D" w14:textId="77777777" w:rsidR="00FA7EBF" w:rsidRPr="007939DD" w:rsidRDefault="00FA7EBF" w:rsidP="007B207C">
            <w:pPr>
              <w:pStyle w:val="ARfintablecolhead"/>
            </w:pPr>
          </w:p>
        </w:tc>
        <w:tc>
          <w:tcPr>
            <w:tcW w:w="1134" w:type="dxa"/>
            <w:shd w:val="clear" w:color="auto" w:fill="E7E6E6"/>
            <w:vAlign w:val="bottom"/>
          </w:tcPr>
          <w:p w14:paraId="7F3A3652" w14:textId="77777777" w:rsidR="00FA7EBF" w:rsidRPr="007939DD" w:rsidRDefault="00FA7EBF" w:rsidP="007B207C">
            <w:pPr>
              <w:pStyle w:val="ARfintablecolheadright"/>
            </w:pPr>
            <w:r w:rsidRPr="007939DD">
              <w:t>201</w:t>
            </w:r>
            <w:r>
              <w:t>9</w:t>
            </w:r>
          </w:p>
          <w:p w14:paraId="7742F15B" w14:textId="77777777" w:rsidR="00FA7EBF" w:rsidRPr="007939DD" w:rsidRDefault="00FA7EBF" w:rsidP="007B207C">
            <w:pPr>
              <w:pStyle w:val="ARfintablecolheadright"/>
            </w:pPr>
            <w:r w:rsidRPr="007939DD">
              <w:t>$M</w:t>
            </w:r>
          </w:p>
        </w:tc>
        <w:tc>
          <w:tcPr>
            <w:tcW w:w="1134" w:type="dxa"/>
            <w:vAlign w:val="bottom"/>
          </w:tcPr>
          <w:p w14:paraId="5E321CC7" w14:textId="77777777" w:rsidR="00FA7EBF" w:rsidRPr="007939DD" w:rsidRDefault="00FA7EBF" w:rsidP="007B207C">
            <w:pPr>
              <w:pStyle w:val="ARfintablecolheadright"/>
            </w:pPr>
            <w:r w:rsidRPr="007939DD">
              <w:t>201</w:t>
            </w:r>
            <w:r>
              <w:t>8</w:t>
            </w:r>
          </w:p>
          <w:p w14:paraId="4386EDB6" w14:textId="77777777" w:rsidR="00FA7EBF" w:rsidRPr="007939DD" w:rsidRDefault="00FA7EBF" w:rsidP="007B207C">
            <w:pPr>
              <w:pStyle w:val="ARfintablecolheadright"/>
            </w:pPr>
            <w:r w:rsidRPr="007939DD">
              <w:t>$M</w:t>
            </w:r>
          </w:p>
        </w:tc>
      </w:tr>
      <w:tr w:rsidR="00FA7EBF" w:rsidRPr="007939DD" w14:paraId="728A3EA8" w14:textId="77777777" w:rsidTr="007B207C">
        <w:trPr>
          <w:cantSplit/>
        </w:trPr>
        <w:tc>
          <w:tcPr>
            <w:tcW w:w="9639" w:type="dxa"/>
            <w:gridSpan w:val="3"/>
            <w:tcBorders>
              <w:bottom w:val="single" w:sz="4" w:space="0" w:color="A6A6A6" w:themeColor="background1" w:themeShade="A6"/>
            </w:tcBorders>
          </w:tcPr>
          <w:p w14:paraId="62DA7A14" w14:textId="77777777" w:rsidR="00FA7EBF" w:rsidRPr="007939DD" w:rsidRDefault="00FA7EBF" w:rsidP="007B207C">
            <w:pPr>
              <w:pStyle w:val="ARfintablebodybold"/>
              <w:rPr>
                <w:lang w:eastAsia="en-AU"/>
              </w:rPr>
            </w:pPr>
            <w:r w:rsidRPr="006120A5">
              <w:t>Current provisions</w:t>
            </w:r>
          </w:p>
        </w:tc>
      </w:tr>
      <w:tr w:rsidR="00FA7EBF" w:rsidRPr="007939DD" w14:paraId="6412499C" w14:textId="77777777" w:rsidTr="007B207C">
        <w:trPr>
          <w:cantSplit/>
        </w:trPr>
        <w:tc>
          <w:tcPr>
            <w:tcW w:w="9639" w:type="dxa"/>
            <w:gridSpan w:val="3"/>
            <w:tcBorders>
              <w:top w:val="single" w:sz="4" w:space="0" w:color="A6A6A6" w:themeColor="background1" w:themeShade="A6"/>
              <w:bottom w:val="single" w:sz="4" w:space="0" w:color="A6A6A6" w:themeColor="background1" w:themeShade="A6"/>
            </w:tcBorders>
          </w:tcPr>
          <w:p w14:paraId="3C92BABA" w14:textId="77777777" w:rsidR="00FA7EBF" w:rsidRPr="007939DD" w:rsidRDefault="00FA7EBF" w:rsidP="007B207C">
            <w:pPr>
              <w:pStyle w:val="ARfintablebody"/>
            </w:pPr>
            <w:r w:rsidRPr="006120A5">
              <w:t>Annual leave</w:t>
            </w:r>
          </w:p>
        </w:tc>
      </w:tr>
      <w:tr w:rsidR="00FA7EBF" w:rsidRPr="007939DD" w14:paraId="0A26ED91"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C9ECFEC" w14:textId="77777777" w:rsidR="00FA7EBF" w:rsidRPr="007939DD" w:rsidRDefault="00FA7EBF" w:rsidP="007B207C">
            <w:pPr>
              <w:pStyle w:val="ARfintablebodyindent"/>
            </w:pPr>
            <w:r w:rsidRPr="006120A5">
              <w:t>Unconditional and expected to be settled within 12 months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39B59F0" w14:textId="77777777" w:rsidR="00FA7EBF" w:rsidRPr="007939DD" w:rsidRDefault="00FA7EBF" w:rsidP="007B207C">
            <w:pPr>
              <w:pStyle w:val="ARfintablebodyright"/>
              <w:rPr>
                <w:lang w:eastAsia="en-AU"/>
              </w:rPr>
            </w:pPr>
            <w:r w:rsidRPr="006120A5">
              <w:t>78.7</w:t>
            </w:r>
          </w:p>
        </w:tc>
        <w:tc>
          <w:tcPr>
            <w:tcW w:w="1134" w:type="dxa"/>
            <w:tcBorders>
              <w:top w:val="single" w:sz="4" w:space="0" w:color="A6A6A6" w:themeColor="background1" w:themeShade="A6"/>
              <w:bottom w:val="single" w:sz="4" w:space="0" w:color="A6A6A6" w:themeColor="background1" w:themeShade="A6"/>
            </w:tcBorders>
          </w:tcPr>
          <w:p w14:paraId="59D637C9" w14:textId="77777777" w:rsidR="00FA7EBF" w:rsidRPr="007939DD" w:rsidRDefault="00FA7EBF" w:rsidP="007B207C">
            <w:pPr>
              <w:pStyle w:val="ARfintablebodyright"/>
              <w:rPr>
                <w:lang w:eastAsia="en-AU"/>
              </w:rPr>
            </w:pPr>
            <w:r w:rsidRPr="006120A5">
              <w:t>72.7</w:t>
            </w:r>
          </w:p>
        </w:tc>
      </w:tr>
      <w:tr w:rsidR="00FA7EBF" w:rsidRPr="007939DD" w14:paraId="72F83E4F"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2749B76" w14:textId="77777777" w:rsidR="00FA7EBF" w:rsidRPr="007939DD" w:rsidRDefault="00FA7EBF" w:rsidP="007B207C">
            <w:pPr>
              <w:pStyle w:val="ARfintablebodyindent"/>
            </w:pPr>
            <w:r w:rsidRPr="006120A5">
              <w:t>Unconditional and expected to be settled after 12 months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E7CB1CB" w14:textId="77777777" w:rsidR="00FA7EBF" w:rsidRPr="007939DD" w:rsidRDefault="00FA7EBF" w:rsidP="007B207C">
            <w:pPr>
              <w:pStyle w:val="ARfintablebodyright"/>
              <w:rPr>
                <w:lang w:eastAsia="en-AU"/>
              </w:rPr>
            </w:pPr>
            <w:r w:rsidRPr="006120A5">
              <w:t>35.9</w:t>
            </w:r>
          </w:p>
        </w:tc>
        <w:tc>
          <w:tcPr>
            <w:tcW w:w="1134" w:type="dxa"/>
            <w:tcBorders>
              <w:top w:val="single" w:sz="4" w:space="0" w:color="A6A6A6" w:themeColor="background1" w:themeShade="A6"/>
              <w:bottom w:val="single" w:sz="4" w:space="0" w:color="A6A6A6" w:themeColor="background1" w:themeShade="A6"/>
            </w:tcBorders>
          </w:tcPr>
          <w:p w14:paraId="30BD8DDE" w14:textId="77777777" w:rsidR="00FA7EBF" w:rsidRPr="007939DD" w:rsidRDefault="00FA7EBF" w:rsidP="007B207C">
            <w:pPr>
              <w:pStyle w:val="ARfintablebodyright"/>
              <w:rPr>
                <w:lang w:eastAsia="en-AU"/>
              </w:rPr>
            </w:pPr>
            <w:r w:rsidRPr="006120A5">
              <w:t>33.0</w:t>
            </w:r>
          </w:p>
        </w:tc>
      </w:tr>
      <w:tr w:rsidR="00FA7EBF" w:rsidRPr="007939DD" w14:paraId="6E408BE7" w14:textId="77777777" w:rsidTr="007B207C">
        <w:trPr>
          <w:cantSplit/>
        </w:trPr>
        <w:tc>
          <w:tcPr>
            <w:tcW w:w="9639" w:type="dxa"/>
            <w:gridSpan w:val="3"/>
            <w:tcBorders>
              <w:top w:val="single" w:sz="4" w:space="0" w:color="A6A6A6" w:themeColor="background1" w:themeShade="A6"/>
              <w:bottom w:val="single" w:sz="4" w:space="0" w:color="A6A6A6" w:themeColor="background1" w:themeShade="A6"/>
            </w:tcBorders>
          </w:tcPr>
          <w:p w14:paraId="387B5389" w14:textId="77777777" w:rsidR="00FA7EBF" w:rsidRPr="007939DD" w:rsidRDefault="00FA7EBF" w:rsidP="007B207C">
            <w:pPr>
              <w:pStyle w:val="ARfintablebody"/>
              <w:rPr>
                <w:lang w:eastAsia="en-AU"/>
              </w:rPr>
            </w:pPr>
            <w:r w:rsidRPr="006120A5">
              <w:t>Maternity leave</w:t>
            </w:r>
          </w:p>
        </w:tc>
      </w:tr>
      <w:tr w:rsidR="00FA7EBF" w:rsidRPr="007939DD" w14:paraId="1BAC723A"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3D4414A7" w14:textId="77777777" w:rsidR="00FA7EBF" w:rsidRPr="007939DD" w:rsidRDefault="00FA7EBF" w:rsidP="007B207C">
            <w:pPr>
              <w:pStyle w:val="ARfintablebodyindent"/>
            </w:pPr>
            <w:r w:rsidRPr="006120A5">
              <w:t>Unconditional and expected to be settled within 12 months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7D92EB2" w14:textId="77777777" w:rsidR="00FA7EBF" w:rsidRPr="007939DD" w:rsidRDefault="00FA7EBF" w:rsidP="007B207C">
            <w:pPr>
              <w:pStyle w:val="ARfintablebodyright"/>
              <w:rPr>
                <w:lang w:eastAsia="en-AU"/>
              </w:rPr>
            </w:pPr>
            <w:r w:rsidRPr="006120A5">
              <w:t>6.4</w:t>
            </w:r>
          </w:p>
        </w:tc>
        <w:tc>
          <w:tcPr>
            <w:tcW w:w="1134" w:type="dxa"/>
            <w:tcBorders>
              <w:top w:val="single" w:sz="4" w:space="0" w:color="A6A6A6" w:themeColor="background1" w:themeShade="A6"/>
              <w:bottom w:val="single" w:sz="4" w:space="0" w:color="A6A6A6" w:themeColor="background1" w:themeShade="A6"/>
            </w:tcBorders>
          </w:tcPr>
          <w:p w14:paraId="61E14F4F" w14:textId="77777777" w:rsidR="00FA7EBF" w:rsidRPr="007939DD" w:rsidRDefault="00FA7EBF" w:rsidP="007B207C">
            <w:pPr>
              <w:pStyle w:val="ARfintablebodyright"/>
              <w:rPr>
                <w:lang w:eastAsia="en-AU"/>
              </w:rPr>
            </w:pPr>
            <w:r w:rsidRPr="006120A5">
              <w:t>6.2</w:t>
            </w:r>
          </w:p>
        </w:tc>
      </w:tr>
      <w:tr w:rsidR="00FA7EBF" w:rsidRPr="007939DD" w14:paraId="398AA8CC" w14:textId="77777777" w:rsidTr="007B207C">
        <w:trPr>
          <w:cantSplit/>
        </w:trPr>
        <w:tc>
          <w:tcPr>
            <w:tcW w:w="9639" w:type="dxa"/>
            <w:gridSpan w:val="3"/>
            <w:tcBorders>
              <w:top w:val="single" w:sz="4" w:space="0" w:color="A6A6A6" w:themeColor="background1" w:themeShade="A6"/>
              <w:bottom w:val="single" w:sz="4" w:space="0" w:color="A6A6A6" w:themeColor="background1" w:themeShade="A6"/>
            </w:tcBorders>
          </w:tcPr>
          <w:p w14:paraId="41A6DD75" w14:textId="77777777" w:rsidR="00FA7EBF" w:rsidRPr="007939DD" w:rsidRDefault="00FA7EBF" w:rsidP="007B207C">
            <w:pPr>
              <w:pStyle w:val="ARfintablebody"/>
            </w:pPr>
            <w:r w:rsidRPr="006120A5">
              <w:t>Long service leave</w:t>
            </w:r>
          </w:p>
        </w:tc>
      </w:tr>
      <w:tr w:rsidR="00FA7EBF" w:rsidRPr="007939DD" w14:paraId="5B1DFEFF"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77A650A" w14:textId="77777777" w:rsidR="00FA7EBF" w:rsidRPr="007939DD" w:rsidRDefault="00FA7EBF" w:rsidP="007B207C">
            <w:pPr>
              <w:pStyle w:val="ARfintablebodyindent"/>
            </w:pPr>
            <w:r w:rsidRPr="006120A5">
              <w:t>Unconditional and expected to be settled within 12 months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D82FCAF" w14:textId="77777777" w:rsidR="00FA7EBF" w:rsidRPr="007939DD" w:rsidRDefault="00FA7EBF" w:rsidP="007B207C">
            <w:pPr>
              <w:pStyle w:val="ARfintablebodyright"/>
              <w:rPr>
                <w:lang w:eastAsia="en-AU"/>
              </w:rPr>
            </w:pPr>
            <w:r w:rsidRPr="006120A5">
              <w:t>20.8</w:t>
            </w:r>
          </w:p>
        </w:tc>
        <w:tc>
          <w:tcPr>
            <w:tcW w:w="1134" w:type="dxa"/>
            <w:tcBorders>
              <w:top w:val="single" w:sz="4" w:space="0" w:color="A6A6A6" w:themeColor="background1" w:themeShade="A6"/>
              <w:bottom w:val="single" w:sz="4" w:space="0" w:color="A6A6A6" w:themeColor="background1" w:themeShade="A6"/>
            </w:tcBorders>
          </w:tcPr>
          <w:p w14:paraId="3524AD6D" w14:textId="77777777" w:rsidR="00FA7EBF" w:rsidRPr="007939DD" w:rsidRDefault="00FA7EBF" w:rsidP="007B207C">
            <w:pPr>
              <w:pStyle w:val="ARfintablebodyright"/>
              <w:rPr>
                <w:lang w:eastAsia="en-AU"/>
              </w:rPr>
            </w:pPr>
            <w:r w:rsidRPr="006120A5">
              <w:t>19.3</w:t>
            </w:r>
          </w:p>
        </w:tc>
      </w:tr>
      <w:tr w:rsidR="00FA7EBF" w:rsidRPr="007939DD" w14:paraId="1C1441A5"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8CC52A8" w14:textId="77777777" w:rsidR="00FA7EBF" w:rsidRPr="007939DD" w:rsidRDefault="00FA7EBF" w:rsidP="007B207C">
            <w:pPr>
              <w:pStyle w:val="ARfintablebodyindent"/>
            </w:pPr>
            <w:r w:rsidRPr="006120A5">
              <w:t>Unconditional and expected to be settled after 12 months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18BBE97" w14:textId="77777777" w:rsidR="00FA7EBF" w:rsidRPr="007939DD" w:rsidRDefault="00FA7EBF" w:rsidP="007B207C">
            <w:pPr>
              <w:pStyle w:val="ARfintablebodyright"/>
              <w:rPr>
                <w:lang w:eastAsia="en-AU"/>
              </w:rPr>
            </w:pPr>
            <w:r w:rsidRPr="006120A5">
              <w:t>188.2</w:t>
            </w:r>
          </w:p>
        </w:tc>
        <w:tc>
          <w:tcPr>
            <w:tcW w:w="1134" w:type="dxa"/>
            <w:tcBorders>
              <w:top w:val="single" w:sz="4" w:space="0" w:color="A6A6A6" w:themeColor="background1" w:themeShade="A6"/>
              <w:bottom w:val="single" w:sz="4" w:space="0" w:color="A6A6A6" w:themeColor="background1" w:themeShade="A6"/>
            </w:tcBorders>
          </w:tcPr>
          <w:p w14:paraId="291B6C3E" w14:textId="77777777" w:rsidR="00FA7EBF" w:rsidRPr="007939DD" w:rsidRDefault="00FA7EBF" w:rsidP="007B207C">
            <w:pPr>
              <w:pStyle w:val="ARfintablebodyright"/>
              <w:rPr>
                <w:lang w:eastAsia="en-AU"/>
              </w:rPr>
            </w:pPr>
            <w:r w:rsidRPr="006120A5">
              <w:t>162.5</w:t>
            </w:r>
          </w:p>
        </w:tc>
      </w:tr>
      <w:tr w:rsidR="00FA7EBF" w:rsidRPr="007939DD" w14:paraId="069647BA" w14:textId="77777777" w:rsidTr="007B207C">
        <w:trPr>
          <w:cantSplit/>
        </w:trPr>
        <w:tc>
          <w:tcPr>
            <w:tcW w:w="9639" w:type="dxa"/>
            <w:gridSpan w:val="3"/>
            <w:tcBorders>
              <w:top w:val="single" w:sz="4" w:space="0" w:color="A6A6A6" w:themeColor="background1" w:themeShade="A6"/>
              <w:bottom w:val="single" w:sz="4" w:space="0" w:color="A6A6A6" w:themeColor="background1" w:themeShade="A6"/>
            </w:tcBorders>
          </w:tcPr>
          <w:p w14:paraId="5027167B" w14:textId="77777777" w:rsidR="00FA7EBF" w:rsidRPr="007939DD" w:rsidRDefault="00FA7EBF" w:rsidP="007B207C">
            <w:pPr>
              <w:pStyle w:val="ARfintablebody"/>
              <w:rPr>
                <w:lang w:eastAsia="en-AU"/>
              </w:rPr>
            </w:pPr>
            <w:r w:rsidRPr="006120A5">
              <w:t>Superannuation</w:t>
            </w:r>
          </w:p>
        </w:tc>
      </w:tr>
      <w:tr w:rsidR="00FA7EBF" w:rsidRPr="007939DD" w14:paraId="05314201"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4E4A5248" w14:textId="77777777" w:rsidR="00FA7EBF" w:rsidRPr="007939DD" w:rsidRDefault="00FA7EBF" w:rsidP="007B207C">
            <w:pPr>
              <w:pStyle w:val="ARfintablebodyindent"/>
            </w:pPr>
            <w:r w:rsidRPr="006120A5">
              <w:t>Unconditional and expected to be settled within 12 months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4437857" w14:textId="77777777" w:rsidR="00FA7EBF" w:rsidRPr="007939DD" w:rsidRDefault="00FA7EBF" w:rsidP="007B207C">
            <w:pPr>
              <w:pStyle w:val="ARfintablebodyright"/>
              <w:rPr>
                <w:lang w:eastAsia="en-AU"/>
              </w:rPr>
            </w:pPr>
            <w:r w:rsidRPr="006120A5">
              <w:t>2.7</w:t>
            </w:r>
          </w:p>
        </w:tc>
        <w:tc>
          <w:tcPr>
            <w:tcW w:w="1134" w:type="dxa"/>
            <w:tcBorders>
              <w:top w:val="single" w:sz="4" w:space="0" w:color="A6A6A6" w:themeColor="background1" w:themeShade="A6"/>
              <w:bottom w:val="single" w:sz="4" w:space="0" w:color="A6A6A6" w:themeColor="background1" w:themeShade="A6"/>
            </w:tcBorders>
          </w:tcPr>
          <w:p w14:paraId="7B6C4F75" w14:textId="77777777" w:rsidR="00FA7EBF" w:rsidRPr="007939DD" w:rsidRDefault="00FA7EBF" w:rsidP="007B207C">
            <w:pPr>
              <w:pStyle w:val="ARfintablebodyright"/>
              <w:rPr>
                <w:lang w:eastAsia="en-AU"/>
              </w:rPr>
            </w:pPr>
            <w:r w:rsidRPr="006120A5">
              <w:t>2.8</w:t>
            </w:r>
          </w:p>
        </w:tc>
      </w:tr>
      <w:tr w:rsidR="00FA7EBF" w:rsidRPr="007939DD" w14:paraId="06B9ADAD" w14:textId="77777777" w:rsidTr="007B207C">
        <w:trPr>
          <w:cantSplit/>
        </w:trPr>
        <w:tc>
          <w:tcPr>
            <w:tcW w:w="9639" w:type="dxa"/>
            <w:gridSpan w:val="3"/>
            <w:tcBorders>
              <w:top w:val="single" w:sz="4" w:space="0" w:color="A6A6A6" w:themeColor="background1" w:themeShade="A6"/>
              <w:bottom w:val="single" w:sz="4" w:space="0" w:color="A6A6A6" w:themeColor="background1" w:themeShade="A6"/>
            </w:tcBorders>
          </w:tcPr>
          <w:p w14:paraId="4DBDD5A3" w14:textId="77777777" w:rsidR="00FA7EBF" w:rsidRPr="007939DD" w:rsidRDefault="00FA7EBF" w:rsidP="007B207C">
            <w:pPr>
              <w:pStyle w:val="ARfintablebody"/>
              <w:rPr>
                <w:lang w:eastAsia="en-AU"/>
              </w:rPr>
            </w:pPr>
            <w:r w:rsidRPr="006120A5">
              <w:t>Provisions for on-costs</w:t>
            </w:r>
          </w:p>
        </w:tc>
      </w:tr>
      <w:tr w:rsidR="00FA7EBF" w:rsidRPr="007939DD" w14:paraId="1A633CCE"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C488910" w14:textId="77777777" w:rsidR="00FA7EBF" w:rsidRPr="007939DD" w:rsidRDefault="00FA7EBF" w:rsidP="007B207C">
            <w:pPr>
              <w:pStyle w:val="ARfintablebodyindent"/>
            </w:pPr>
            <w:r w:rsidRPr="006120A5">
              <w:t>Unconditional and expected to be settled within 12 months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5BEDBAB" w14:textId="77777777" w:rsidR="00FA7EBF" w:rsidRPr="007939DD" w:rsidRDefault="00FA7EBF" w:rsidP="007B207C">
            <w:pPr>
              <w:pStyle w:val="ARfintablebodyright"/>
              <w:rPr>
                <w:lang w:eastAsia="en-AU"/>
              </w:rPr>
            </w:pPr>
            <w:r w:rsidRPr="006120A5">
              <w:t>17.3</w:t>
            </w:r>
          </w:p>
        </w:tc>
        <w:tc>
          <w:tcPr>
            <w:tcW w:w="1134" w:type="dxa"/>
            <w:tcBorders>
              <w:top w:val="single" w:sz="4" w:space="0" w:color="A6A6A6" w:themeColor="background1" w:themeShade="A6"/>
              <w:bottom w:val="single" w:sz="4" w:space="0" w:color="A6A6A6" w:themeColor="background1" w:themeShade="A6"/>
            </w:tcBorders>
          </w:tcPr>
          <w:p w14:paraId="25FDF315" w14:textId="77777777" w:rsidR="00FA7EBF" w:rsidRPr="007939DD" w:rsidRDefault="00FA7EBF" w:rsidP="007B207C">
            <w:pPr>
              <w:pStyle w:val="ARfintablebodyright"/>
              <w:rPr>
                <w:lang w:eastAsia="en-AU"/>
              </w:rPr>
            </w:pPr>
            <w:r w:rsidRPr="006120A5">
              <w:t>16.0</w:t>
            </w:r>
          </w:p>
        </w:tc>
      </w:tr>
      <w:tr w:rsidR="00FA7EBF" w:rsidRPr="007939DD" w14:paraId="10AE9812" w14:textId="77777777" w:rsidTr="007B207C">
        <w:trPr>
          <w:cantSplit/>
        </w:trPr>
        <w:tc>
          <w:tcPr>
            <w:tcW w:w="7371" w:type="dxa"/>
            <w:tcBorders>
              <w:top w:val="single" w:sz="4" w:space="0" w:color="A6A6A6" w:themeColor="background1" w:themeShade="A6"/>
            </w:tcBorders>
          </w:tcPr>
          <w:p w14:paraId="6C206BF2" w14:textId="77777777" w:rsidR="00FA7EBF" w:rsidRPr="007939DD" w:rsidRDefault="00FA7EBF" w:rsidP="007B207C">
            <w:pPr>
              <w:pStyle w:val="ARfintablebodyindent"/>
            </w:pPr>
            <w:r w:rsidRPr="006120A5">
              <w:t>Unconditional and expected to be settled after 12 months</w:t>
            </w:r>
          </w:p>
        </w:tc>
        <w:tc>
          <w:tcPr>
            <w:tcW w:w="1134" w:type="dxa"/>
            <w:tcBorders>
              <w:top w:val="single" w:sz="4" w:space="0" w:color="A6A6A6" w:themeColor="background1" w:themeShade="A6"/>
            </w:tcBorders>
            <w:shd w:val="clear" w:color="auto" w:fill="E7E6E6"/>
          </w:tcPr>
          <w:p w14:paraId="32DA1D33" w14:textId="77777777" w:rsidR="00FA7EBF" w:rsidRPr="007939DD" w:rsidRDefault="00FA7EBF" w:rsidP="007B207C">
            <w:pPr>
              <w:pStyle w:val="ARfintablebodyright"/>
              <w:rPr>
                <w:lang w:eastAsia="en-AU"/>
              </w:rPr>
            </w:pPr>
            <w:r w:rsidRPr="006120A5">
              <w:t>39.2</w:t>
            </w:r>
          </w:p>
        </w:tc>
        <w:tc>
          <w:tcPr>
            <w:tcW w:w="1134" w:type="dxa"/>
            <w:tcBorders>
              <w:top w:val="single" w:sz="4" w:space="0" w:color="A6A6A6" w:themeColor="background1" w:themeShade="A6"/>
            </w:tcBorders>
          </w:tcPr>
          <w:p w14:paraId="749EF1C9" w14:textId="77777777" w:rsidR="00FA7EBF" w:rsidRPr="007939DD" w:rsidRDefault="00FA7EBF" w:rsidP="007B207C">
            <w:pPr>
              <w:pStyle w:val="ARfintablebodyright"/>
              <w:rPr>
                <w:lang w:eastAsia="en-AU"/>
              </w:rPr>
            </w:pPr>
            <w:r w:rsidRPr="006120A5">
              <w:t>34.1</w:t>
            </w:r>
          </w:p>
        </w:tc>
      </w:tr>
      <w:tr w:rsidR="00FA7EBF" w:rsidRPr="007939DD" w14:paraId="11702A62" w14:textId="77777777" w:rsidTr="007B207C">
        <w:trPr>
          <w:cantSplit/>
        </w:trPr>
        <w:tc>
          <w:tcPr>
            <w:tcW w:w="7371" w:type="dxa"/>
          </w:tcPr>
          <w:p w14:paraId="150C9B52" w14:textId="77777777" w:rsidR="00FA7EBF" w:rsidRPr="007939DD" w:rsidRDefault="00FA7EBF" w:rsidP="007B207C">
            <w:pPr>
              <w:pStyle w:val="ARfintablebodybold"/>
              <w:rPr>
                <w:rStyle w:val="Strong"/>
              </w:rPr>
            </w:pPr>
            <w:r w:rsidRPr="006120A5">
              <w:t>Total current provisions for employee benefits</w:t>
            </w:r>
          </w:p>
        </w:tc>
        <w:tc>
          <w:tcPr>
            <w:tcW w:w="1134" w:type="dxa"/>
            <w:shd w:val="clear" w:color="auto" w:fill="E7E6E6"/>
          </w:tcPr>
          <w:p w14:paraId="1FAF55C8" w14:textId="77777777" w:rsidR="00FA7EBF" w:rsidRPr="007939DD" w:rsidRDefault="00FA7EBF" w:rsidP="007B207C">
            <w:pPr>
              <w:pStyle w:val="ARfintablebodyrightbold"/>
              <w:rPr>
                <w:lang w:eastAsia="en-AU"/>
              </w:rPr>
            </w:pPr>
            <w:r w:rsidRPr="006120A5">
              <w:t>389.3</w:t>
            </w:r>
          </w:p>
        </w:tc>
        <w:tc>
          <w:tcPr>
            <w:tcW w:w="1134" w:type="dxa"/>
          </w:tcPr>
          <w:p w14:paraId="247AADF4" w14:textId="77777777" w:rsidR="00FA7EBF" w:rsidRPr="007939DD" w:rsidRDefault="00FA7EBF" w:rsidP="007B207C">
            <w:pPr>
              <w:pStyle w:val="ARfintablebodyrightbold"/>
              <w:rPr>
                <w:rStyle w:val="Strong"/>
              </w:rPr>
            </w:pPr>
            <w:r w:rsidRPr="006120A5">
              <w:t>346.7</w:t>
            </w:r>
          </w:p>
        </w:tc>
      </w:tr>
      <w:tr w:rsidR="00FA7EBF" w:rsidRPr="007939DD" w14:paraId="5A6BC613" w14:textId="77777777" w:rsidTr="007B207C">
        <w:trPr>
          <w:cantSplit/>
        </w:trPr>
        <w:tc>
          <w:tcPr>
            <w:tcW w:w="9639" w:type="dxa"/>
            <w:gridSpan w:val="3"/>
            <w:tcBorders>
              <w:bottom w:val="single" w:sz="4" w:space="0" w:color="A6A6A6" w:themeColor="background1" w:themeShade="A6"/>
            </w:tcBorders>
          </w:tcPr>
          <w:p w14:paraId="1716A2AF" w14:textId="77777777" w:rsidR="00FA7EBF" w:rsidRPr="007939DD" w:rsidRDefault="00FA7EBF" w:rsidP="007B207C">
            <w:pPr>
              <w:pStyle w:val="ARfintablebodybold"/>
              <w:rPr>
                <w:lang w:eastAsia="en-AU"/>
              </w:rPr>
            </w:pPr>
            <w:r w:rsidRPr="006120A5">
              <w:t>Non-current provisions</w:t>
            </w:r>
          </w:p>
        </w:tc>
      </w:tr>
      <w:tr w:rsidR="00FA7EBF" w:rsidRPr="007939DD" w14:paraId="195D1B84"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39AB113" w14:textId="77777777" w:rsidR="00FA7EBF" w:rsidRPr="007939DD" w:rsidRDefault="00FA7EBF" w:rsidP="007B207C">
            <w:pPr>
              <w:pStyle w:val="ARfintablebody"/>
              <w:rPr>
                <w:lang w:eastAsia="en-AU"/>
              </w:rPr>
            </w:pPr>
            <w:r w:rsidRPr="006120A5">
              <w:t>Conditional long service leave entitlements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0880E81" w14:textId="77777777" w:rsidR="00FA7EBF" w:rsidRPr="007939DD" w:rsidRDefault="00FA7EBF" w:rsidP="007B207C">
            <w:pPr>
              <w:pStyle w:val="ARfintablebodyright"/>
              <w:rPr>
                <w:lang w:eastAsia="en-AU"/>
              </w:rPr>
            </w:pPr>
            <w:r w:rsidRPr="006120A5">
              <w:t>28.7</w:t>
            </w:r>
          </w:p>
        </w:tc>
        <w:tc>
          <w:tcPr>
            <w:tcW w:w="1134" w:type="dxa"/>
            <w:tcBorders>
              <w:top w:val="single" w:sz="4" w:space="0" w:color="A6A6A6" w:themeColor="background1" w:themeShade="A6"/>
              <w:bottom w:val="single" w:sz="4" w:space="0" w:color="A6A6A6" w:themeColor="background1" w:themeShade="A6"/>
            </w:tcBorders>
          </w:tcPr>
          <w:p w14:paraId="4EA13438" w14:textId="77777777" w:rsidR="00FA7EBF" w:rsidRPr="007939DD" w:rsidRDefault="00FA7EBF" w:rsidP="007B207C">
            <w:pPr>
              <w:pStyle w:val="ARfintablebodyright"/>
              <w:rPr>
                <w:lang w:eastAsia="en-AU"/>
              </w:rPr>
            </w:pPr>
            <w:r w:rsidRPr="006120A5">
              <w:t>21.3</w:t>
            </w:r>
          </w:p>
        </w:tc>
      </w:tr>
      <w:tr w:rsidR="00FA7EBF" w:rsidRPr="007939DD" w14:paraId="4593403A"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3F56242" w14:textId="77777777" w:rsidR="00FA7EBF" w:rsidRPr="007939DD" w:rsidRDefault="00FA7EBF" w:rsidP="007B207C">
            <w:pPr>
              <w:pStyle w:val="ARfintablebody"/>
              <w:rPr>
                <w:lang w:eastAsia="en-AU"/>
              </w:rPr>
            </w:pPr>
            <w:r w:rsidRPr="006120A5">
              <w:t>Superannuation</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7C74683" w14:textId="77777777" w:rsidR="00FA7EBF" w:rsidRPr="007939DD" w:rsidRDefault="00FA7EBF" w:rsidP="007B207C">
            <w:pPr>
              <w:pStyle w:val="ARfintablebodyright"/>
              <w:rPr>
                <w:lang w:eastAsia="en-AU"/>
              </w:rPr>
            </w:pPr>
            <w:r w:rsidRPr="006120A5">
              <w:t>32.0</w:t>
            </w:r>
          </w:p>
        </w:tc>
        <w:tc>
          <w:tcPr>
            <w:tcW w:w="1134" w:type="dxa"/>
            <w:tcBorders>
              <w:top w:val="single" w:sz="4" w:space="0" w:color="A6A6A6" w:themeColor="background1" w:themeShade="A6"/>
              <w:bottom w:val="single" w:sz="4" w:space="0" w:color="A6A6A6" w:themeColor="background1" w:themeShade="A6"/>
            </w:tcBorders>
          </w:tcPr>
          <w:p w14:paraId="52E8BC79" w14:textId="77777777" w:rsidR="00FA7EBF" w:rsidRPr="007939DD" w:rsidRDefault="00FA7EBF" w:rsidP="007B207C">
            <w:pPr>
              <w:pStyle w:val="ARfintablebodyright"/>
              <w:rPr>
                <w:lang w:eastAsia="en-AU"/>
              </w:rPr>
            </w:pPr>
            <w:r w:rsidRPr="006120A5">
              <w:t>31.1</w:t>
            </w:r>
          </w:p>
        </w:tc>
      </w:tr>
      <w:tr w:rsidR="00FA7EBF" w:rsidRPr="007939DD" w14:paraId="118007FB" w14:textId="77777777" w:rsidTr="007B207C">
        <w:trPr>
          <w:cantSplit/>
        </w:trPr>
        <w:tc>
          <w:tcPr>
            <w:tcW w:w="7371" w:type="dxa"/>
            <w:tcBorders>
              <w:top w:val="single" w:sz="4" w:space="0" w:color="A6A6A6" w:themeColor="background1" w:themeShade="A6"/>
            </w:tcBorders>
          </w:tcPr>
          <w:p w14:paraId="3D13DBD8" w14:textId="77777777" w:rsidR="00FA7EBF" w:rsidRPr="007939DD" w:rsidRDefault="00FA7EBF" w:rsidP="007B207C">
            <w:pPr>
              <w:pStyle w:val="ARfintablebody"/>
              <w:rPr>
                <w:lang w:eastAsia="en-AU"/>
              </w:rPr>
            </w:pPr>
            <w:r w:rsidRPr="006120A5">
              <w:t>Provisions for on-costs</w:t>
            </w:r>
          </w:p>
        </w:tc>
        <w:tc>
          <w:tcPr>
            <w:tcW w:w="1134" w:type="dxa"/>
            <w:tcBorders>
              <w:top w:val="single" w:sz="4" w:space="0" w:color="A6A6A6" w:themeColor="background1" w:themeShade="A6"/>
            </w:tcBorders>
            <w:shd w:val="clear" w:color="auto" w:fill="E7E6E6"/>
          </w:tcPr>
          <w:p w14:paraId="3DE5C117" w14:textId="77777777" w:rsidR="00FA7EBF" w:rsidRPr="007939DD" w:rsidRDefault="00FA7EBF" w:rsidP="007B207C">
            <w:pPr>
              <w:pStyle w:val="ARfintablebodyright"/>
              <w:rPr>
                <w:lang w:eastAsia="en-AU"/>
              </w:rPr>
            </w:pPr>
            <w:r w:rsidRPr="006120A5">
              <w:t>5.0</w:t>
            </w:r>
          </w:p>
        </w:tc>
        <w:tc>
          <w:tcPr>
            <w:tcW w:w="1134" w:type="dxa"/>
            <w:tcBorders>
              <w:top w:val="single" w:sz="4" w:space="0" w:color="A6A6A6" w:themeColor="background1" w:themeShade="A6"/>
            </w:tcBorders>
          </w:tcPr>
          <w:p w14:paraId="322D5E1B" w14:textId="77777777" w:rsidR="00FA7EBF" w:rsidRPr="007939DD" w:rsidRDefault="00FA7EBF" w:rsidP="007B207C">
            <w:pPr>
              <w:pStyle w:val="ARfintablebodyright"/>
              <w:rPr>
                <w:lang w:eastAsia="en-AU"/>
              </w:rPr>
            </w:pPr>
            <w:r w:rsidRPr="006120A5">
              <w:t>3.7</w:t>
            </w:r>
          </w:p>
        </w:tc>
      </w:tr>
      <w:tr w:rsidR="00FA7EBF" w:rsidRPr="007939DD" w14:paraId="01846238" w14:textId="77777777" w:rsidTr="007B207C">
        <w:trPr>
          <w:cantSplit/>
        </w:trPr>
        <w:tc>
          <w:tcPr>
            <w:tcW w:w="7371" w:type="dxa"/>
          </w:tcPr>
          <w:p w14:paraId="77BED74F" w14:textId="77777777" w:rsidR="00FA7EBF" w:rsidRPr="007939DD" w:rsidRDefault="00FA7EBF" w:rsidP="007B207C">
            <w:pPr>
              <w:pStyle w:val="ARfintablebodybold"/>
              <w:rPr>
                <w:lang w:eastAsia="en-AU"/>
              </w:rPr>
            </w:pPr>
            <w:r w:rsidRPr="006120A5">
              <w:t>Total non-current provisions for employee benefits</w:t>
            </w:r>
          </w:p>
        </w:tc>
        <w:tc>
          <w:tcPr>
            <w:tcW w:w="1134" w:type="dxa"/>
            <w:shd w:val="clear" w:color="auto" w:fill="E7E6E6"/>
          </w:tcPr>
          <w:p w14:paraId="6F56FB91" w14:textId="77777777" w:rsidR="00FA7EBF" w:rsidRPr="007939DD" w:rsidRDefault="00FA7EBF" w:rsidP="007B207C">
            <w:pPr>
              <w:pStyle w:val="ARfintablebodyrightbold"/>
              <w:rPr>
                <w:lang w:eastAsia="en-AU"/>
              </w:rPr>
            </w:pPr>
            <w:r w:rsidRPr="006120A5">
              <w:t>65.7</w:t>
            </w:r>
          </w:p>
        </w:tc>
        <w:tc>
          <w:tcPr>
            <w:tcW w:w="1134" w:type="dxa"/>
          </w:tcPr>
          <w:p w14:paraId="76FDCBE7" w14:textId="77777777" w:rsidR="00FA7EBF" w:rsidRPr="007939DD" w:rsidRDefault="00FA7EBF" w:rsidP="007B207C">
            <w:pPr>
              <w:pStyle w:val="ARfintablebodyrightbold"/>
              <w:rPr>
                <w:rStyle w:val="Strong"/>
              </w:rPr>
            </w:pPr>
            <w:r w:rsidRPr="006120A5">
              <w:t>56.2</w:t>
            </w:r>
          </w:p>
        </w:tc>
      </w:tr>
      <w:tr w:rsidR="00FA7EBF" w:rsidRPr="007939DD" w14:paraId="01F91F85" w14:textId="77777777" w:rsidTr="007B207C">
        <w:trPr>
          <w:cantSplit/>
        </w:trPr>
        <w:tc>
          <w:tcPr>
            <w:tcW w:w="7371" w:type="dxa"/>
          </w:tcPr>
          <w:p w14:paraId="4EB8B737" w14:textId="77777777" w:rsidR="00FA7EBF" w:rsidRPr="007939DD" w:rsidRDefault="00FA7EBF" w:rsidP="007B207C">
            <w:pPr>
              <w:pStyle w:val="ARfintablebodybold"/>
              <w:rPr>
                <w:lang w:eastAsia="en-AU"/>
              </w:rPr>
            </w:pPr>
            <w:r w:rsidRPr="006120A5">
              <w:t>Total provisions for employee benefits</w:t>
            </w:r>
          </w:p>
        </w:tc>
        <w:tc>
          <w:tcPr>
            <w:tcW w:w="1134" w:type="dxa"/>
            <w:shd w:val="clear" w:color="auto" w:fill="E7E6E6"/>
          </w:tcPr>
          <w:p w14:paraId="1F598DA7" w14:textId="77777777" w:rsidR="00FA7EBF" w:rsidRPr="007939DD" w:rsidRDefault="00FA7EBF" w:rsidP="007B207C">
            <w:pPr>
              <w:pStyle w:val="ARfintablebodyrightbold"/>
              <w:rPr>
                <w:lang w:eastAsia="en-AU"/>
              </w:rPr>
            </w:pPr>
            <w:r w:rsidRPr="006120A5">
              <w:t>455.0</w:t>
            </w:r>
          </w:p>
        </w:tc>
        <w:tc>
          <w:tcPr>
            <w:tcW w:w="1134" w:type="dxa"/>
          </w:tcPr>
          <w:p w14:paraId="499C0859" w14:textId="77777777" w:rsidR="00FA7EBF" w:rsidRPr="007939DD" w:rsidRDefault="00FA7EBF" w:rsidP="007B207C">
            <w:pPr>
              <w:pStyle w:val="ARfintablebodyrightbold"/>
              <w:rPr>
                <w:rStyle w:val="Strong"/>
              </w:rPr>
            </w:pPr>
            <w:r w:rsidRPr="006120A5">
              <w:t>402.8</w:t>
            </w:r>
          </w:p>
        </w:tc>
      </w:tr>
    </w:tbl>
    <w:p w14:paraId="4D3AD4FB" w14:textId="77777777" w:rsidR="00FA7EBF" w:rsidRDefault="00FA7EBF" w:rsidP="00CA66FD">
      <w:pPr>
        <w:pStyle w:val="Heading7"/>
        <w:rPr>
          <w:lang w:val="x-none"/>
        </w:rPr>
      </w:pPr>
      <w:r w:rsidRPr="00194D78">
        <w:rPr>
          <w:lang w:val="x-none"/>
        </w:rPr>
        <w:t>Reconciliation of movement in on-cost provision</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8505"/>
        <w:gridCol w:w="1134"/>
      </w:tblGrid>
      <w:tr w:rsidR="00FA7EBF" w:rsidRPr="007939DD" w14:paraId="2E363F01" w14:textId="77777777" w:rsidTr="007B207C">
        <w:trPr>
          <w:cantSplit/>
          <w:tblHeader/>
        </w:trPr>
        <w:tc>
          <w:tcPr>
            <w:tcW w:w="8505" w:type="dxa"/>
            <w:vAlign w:val="bottom"/>
          </w:tcPr>
          <w:p w14:paraId="65098CB5" w14:textId="77777777" w:rsidR="00FA7EBF" w:rsidRPr="007939DD" w:rsidRDefault="00FA7EBF" w:rsidP="007B207C">
            <w:pPr>
              <w:pStyle w:val="ARfintablecolhead"/>
            </w:pPr>
          </w:p>
        </w:tc>
        <w:tc>
          <w:tcPr>
            <w:tcW w:w="1134" w:type="dxa"/>
            <w:vAlign w:val="bottom"/>
          </w:tcPr>
          <w:p w14:paraId="3A67DF56" w14:textId="77777777" w:rsidR="00FA7EBF" w:rsidRPr="007939DD" w:rsidRDefault="00FA7EBF" w:rsidP="007B207C">
            <w:pPr>
              <w:pStyle w:val="ARfintablecolheadright"/>
            </w:pPr>
            <w:r w:rsidRPr="007939DD">
              <w:t>201</w:t>
            </w:r>
            <w:r>
              <w:t>9</w:t>
            </w:r>
          </w:p>
          <w:p w14:paraId="3DEFA914" w14:textId="77777777" w:rsidR="00FA7EBF" w:rsidRPr="007939DD" w:rsidRDefault="00FA7EBF" w:rsidP="007B207C">
            <w:pPr>
              <w:pStyle w:val="ARfintablecolheadright"/>
            </w:pPr>
            <w:r w:rsidRPr="007939DD">
              <w:t>$M</w:t>
            </w:r>
          </w:p>
        </w:tc>
      </w:tr>
      <w:tr w:rsidR="00FA7EBF" w:rsidRPr="007939DD" w14:paraId="39964CA3" w14:textId="77777777" w:rsidTr="007B207C">
        <w:trPr>
          <w:cantSplit/>
        </w:trPr>
        <w:tc>
          <w:tcPr>
            <w:tcW w:w="8505" w:type="dxa"/>
            <w:tcBorders>
              <w:bottom w:val="single" w:sz="4" w:space="0" w:color="A6A6A6" w:themeColor="background1" w:themeShade="A6"/>
            </w:tcBorders>
          </w:tcPr>
          <w:p w14:paraId="721BE1ED" w14:textId="77777777" w:rsidR="00FA7EBF" w:rsidRPr="007939DD" w:rsidRDefault="00FA7EBF" w:rsidP="007B207C">
            <w:pPr>
              <w:pStyle w:val="ARfintablebodybold"/>
              <w:rPr>
                <w:rStyle w:val="Strong"/>
                <w:bCs/>
              </w:rPr>
            </w:pPr>
            <w:r w:rsidRPr="000E68B9">
              <w:t>Opening balance</w:t>
            </w:r>
          </w:p>
        </w:tc>
        <w:tc>
          <w:tcPr>
            <w:tcW w:w="1134" w:type="dxa"/>
            <w:tcBorders>
              <w:bottom w:val="single" w:sz="4" w:space="0" w:color="A6A6A6" w:themeColor="background1" w:themeShade="A6"/>
            </w:tcBorders>
          </w:tcPr>
          <w:p w14:paraId="32B735C3" w14:textId="77777777" w:rsidR="00FA7EBF" w:rsidRPr="004862B6" w:rsidRDefault="00FA7EBF" w:rsidP="004862B6">
            <w:pPr>
              <w:pStyle w:val="ARfintablebodyrightbold"/>
            </w:pPr>
            <w:r w:rsidRPr="004862B6">
              <w:t>53.9</w:t>
            </w:r>
          </w:p>
        </w:tc>
      </w:tr>
      <w:tr w:rsidR="00FA7EBF" w:rsidRPr="007939DD" w14:paraId="51E15AF0" w14:textId="77777777" w:rsidTr="007B207C">
        <w:trPr>
          <w:cantSplit/>
        </w:trPr>
        <w:tc>
          <w:tcPr>
            <w:tcW w:w="8505" w:type="dxa"/>
            <w:tcBorders>
              <w:top w:val="single" w:sz="4" w:space="0" w:color="A6A6A6" w:themeColor="background1" w:themeShade="A6"/>
              <w:bottom w:val="single" w:sz="4" w:space="0" w:color="A6A6A6" w:themeColor="background1" w:themeShade="A6"/>
            </w:tcBorders>
          </w:tcPr>
          <w:p w14:paraId="5606D80A" w14:textId="77777777" w:rsidR="00FA7EBF" w:rsidRPr="007939DD" w:rsidRDefault="00FA7EBF" w:rsidP="007B207C">
            <w:pPr>
              <w:pStyle w:val="ARfintablebody"/>
              <w:rPr>
                <w:lang w:eastAsia="en-AU"/>
              </w:rPr>
            </w:pPr>
            <w:r w:rsidRPr="000E68B9">
              <w:t>Additional provisions recognised</w:t>
            </w:r>
          </w:p>
        </w:tc>
        <w:tc>
          <w:tcPr>
            <w:tcW w:w="1134" w:type="dxa"/>
            <w:tcBorders>
              <w:top w:val="single" w:sz="4" w:space="0" w:color="A6A6A6" w:themeColor="background1" w:themeShade="A6"/>
              <w:bottom w:val="single" w:sz="4" w:space="0" w:color="A6A6A6" w:themeColor="background1" w:themeShade="A6"/>
            </w:tcBorders>
          </w:tcPr>
          <w:p w14:paraId="5F9AD4C4" w14:textId="77777777" w:rsidR="00FA7EBF" w:rsidRPr="007939DD" w:rsidRDefault="00FA7EBF" w:rsidP="007B207C">
            <w:pPr>
              <w:pStyle w:val="ARfintablebodyright"/>
            </w:pPr>
            <w:r w:rsidRPr="000E68B9">
              <w:t>5.3</w:t>
            </w:r>
          </w:p>
        </w:tc>
      </w:tr>
      <w:tr w:rsidR="00FA7EBF" w:rsidRPr="007939DD" w14:paraId="5F4605B8" w14:textId="77777777" w:rsidTr="007B207C">
        <w:trPr>
          <w:cantSplit/>
        </w:trPr>
        <w:tc>
          <w:tcPr>
            <w:tcW w:w="8505" w:type="dxa"/>
            <w:tcBorders>
              <w:top w:val="single" w:sz="4" w:space="0" w:color="A6A6A6" w:themeColor="background1" w:themeShade="A6"/>
              <w:bottom w:val="single" w:sz="4" w:space="0" w:color="A6A6A6" w:themeColor="background1" w:themeShade="A6"/>
            </w:tcBorders>
          </w:tcPr>
          <w:p w14:paraId="4D6A8D11" w14:textId="77777777" w:rsidR="00FA7EBF" w:rsidRPr="007939DD" w:rsidRDefault="00FA7EBF" w:rsidP="007B207C">
            <w:pPr>
              <w:pStyle w:val="ARfintablebody"/>
              <w:rPr>
                <w:lang w:eastAsia="en-AU"/>
              </w:rPr>
            </w:pPr>
            <w:r w:rsidRPr="000E68B9">
              <w:t>Unwind of discount and effect of changes in the discount rate</w:t>
            </w:r>
          </w:p>
        </w:tc>
        <w:tc>
          <w:tcPr>
            <w:tcW w:w="1134" w:type="dxa"/>
            <w:tcBorders>
              <w:top w:val="single" w:sz="4" w:space="0" w:color="A6A6A6" w:themeColor="background1" w:themeShade="A6"/>
              <w:bottom w:val="single" w:sz="4" w:space="0" w:color="A6A6A6" w:themeColor="background1" w:themeShade="A6"/>
            </w:tcBorders>
          </w:tcPr>
          <w:p w14:paraId="0BB2A3E3" w14:textId="77777777" w:rsidR="00FA7EBF" w:rsidRPr="007939DD" w:rsidRDefault="00FA7EBF" w:rsidP="007B207C">
            <w:pPr>
              <w:pStyle w:val="ARfintablebodyright"/>
            </w:pPr>
            <w:r w:rsidRPr="000E68B9">
              <w:t>2.4</w:t>
            </w:r>
          </w:p>
        </w:tc>
      </w:tr>
      <w:tr w:rsidR="00FA7EBF" w:rsidRPr="007939DD" w14:paraId="7C796BF2" w14:textId="77777777" w:rsidTr="007B207C">
        <w:trPr>
          <w:cantSplit/>
        </w:trPr>
        <w:tc>
          <w:tcPr>
            <w:tcW w:w="8505" w:type="dxa"/>
            <w:tcBorders>
              <w:top w:val="single" w:sz="4" w:space="0" w:color="A6A6A6" w:themeColor="background1" w:themeShade="A6"/>
            </w:tcBorders>
          </w:tcPr>
          <w:p w14:paraId="1C563DE9" w14:textId="77777777" w:rsidR="00FA7EBF" w:rsidRPr="007939DD" w:rsidRDefault="00FA7EBF" w:rsidP="007B207C">
            <w:pPr>
              <w:pStyle w:val="ARfintablebody"/>
              <w:rPr>
                <w:lang w:eastAsia="en-AU"/>
              </w:rPr>
            </w:pPr>
            <w:r w:rsidRPr="000E68B9">
              <w:t>Reduction due to transfer out</w:t>
            </w:r>
          </w:p>
        </w:tc>
        <w:tc>
          <w:tcPr>
            <w:tcW w:w="1134" w:type="dxa"/>
            <w:tcBorders>
              <w:top w:val="single" w:sz="4" w:space="0" w:color="A6A6A6" w:themeColor="background1" w:themeShade="A6"/>
            </w:tcBorders>
          </w:tcPr>
          <w:p w14:paraId="3391D3DC" w14:textId="77777777" w:rsidR="00FA7EBF" w:rsidRPr="007939DD" w:rsidRDefault="00FA7EBF" w:rsidP="007B207C">
            <w:pPr>
              <w:pStyle w:val="ARfintablebodyright"/>
            </w:pPr>
            <w:r>
              <w:t>–</w:t>
            </w:r>
          </w:p>
        </w:tc>
      </w:tr>
      <w:tr w:rsidR="00FA7EBF" w:rsidRPr="007939DD" w14:paraId="23A73C9C" w14:textId="77777777" w:rsidTr="007B207C">
        <w:trPr>
          <w:cantSplit/>
        </w:trPr>
        <w:tc>
          <w:tcPr>
            <w:tcW w:w="8505" w:type="dxa"/>
            <w:tcBorders>
              <w:bottom w:val="single" w:sz="4" w:space="0" w:color="A6A6A6" w:themeColor="background1" w:themeShade="A6"/>
            </w:tcBorders>
          </w:tcPr>
          <w:p w14:paraId="592F18A0" w14:textId="77777777" w:rsidR="00FA7EBF" w:rsidRPr="007939DD" w:rsidRDefault="00FA7EBF" w:rsidP="007B207C">
            <w:pPr>
              <w:pStyle w:val="ARfintablebodybold"/>
              <w:rPr>
                <w:lang w:eastAsia="en-AU"/>
              </w:rPr>
            </w:pPr>
            <w:r w:rsidRPr="000E68B9">
              <w:t>Closing balance</w:t>
            </w:r>
          </w:p>
        </w:tc>
        <w:tc>
          <w:tcPr>
            <w:tcW w:w="1134" w:type="dxa"/>
            <w:tcBorders>
              <w:bottom w:val="single" w:sz="4" w:space="0" w:color="A6A6A6" w:themeColor="background1" w:themeShade="A6"/>
            </w:tcBorders>
          </w:tcPr>
          <w:p w14:paraId="7ED099BF" w14:textId="77777777" w:rsidR="00FA7EBF" w:rsidRPr="007939DD" w:rsidRDefault="00FA7EBF" w:rsidP="004862B6">
            <w:pPr>
              <w:pStyle w:val="ARfintablebodyrightbold"/>
              <w:rPr>
                <w:rStyle w:val="Strong"/>
                <w:bCs w:val="0"/>
              </w:rPr>
            </w:pPr>
            <w:r w:rsidRPr="000E68B9">
              <w:t>61.6</w:t>
            </w:r>
          </w:p>
        </w:tc>
      </w:tr>
      <w:tr w:rsidR="00FA7EBF" w:rsidRPr="007939DD" w14:paraId="536E9407" w14:textId="77777777" w:rsidTr="007B207C">
        <w:trPr>
          <w:cantSplit/>
        </w:trPr>
        <w:tc>
          <w:tcPr>
            <w:tcW w:w="8505" w:type="dxa"/>
            <w:tcBorders>
              <w:top w:val="single" w:sz="4" w:space="0" w:color="A6A6A6" w:themeColor="background1" w:themeShade="A6"/>
              <w:bottom w:val="single" w:sz="4" w:space="0" w:color="A6A6A6" w:themeColor="background1" w:themeShade="A6"/>
            </w:tcBorders>
          </w:tcPr>
          <w:p w14:paraId="61CCE8D6" w14:textId="77777777" w:rsidR="00FA7EBF" w:rsidRPr="007939DD" w:rsidRDefault="00FA7EBF" w:rsidP="007B207C">
            <w:pPr>
              <w:pStyle w:val="ARfintablebody"/>
              <w:rPr>
                <w:lang w:eastAsia="en-AU"/>
              </w:rPr>
            </w:pPr>
            <w:r w:rsidRPr="000E68B9">
              <w:t>Current</w:t>
            </w:r>
          </w:p>
        </w:tc>
        <w:tc>
          <w:tcPr>
            <w:tcW w:w="1134" w:type="dxa"/>
            <w:tcBorders>
              <w:top w:val="single" w:sz="4" w:space="0" w:color="A6A6A6" w:themeColor="background1" w:themeShade="A6"/>
              <w:bottom w:val="single" w:sz="4" w:space="0" w:color="A6A6A6" w:themeColor="background1" w:themeShade="A6"/>
            </w:tcBorders>
          </w:tcPr>
          <w:p w14:paraId="0D0D547A" w14:textId="77777777" w:rsidR="00FA7EBF" w:rsidRPr="007939DD" w:rsidRDefault="00FA7EBF" w:rsidP="007B207C">
            <w:pPr>
              <w:pStyle w:val="ARfintablebodyright"/>
              <w:rPr>
                <w:rStyle w:val="Strong"/>
                <w:bCs w:val="0"/>
              </w:rPr>
            </w:pPr>
            <w:r w:rsidRPr="000E68B9">
              <w:t>56.6</w:t>
            </w:r>
          </w:p>
        </w:tc>
      </w:tr>
      <w:tr w:rsidR="00FA7EBF" w:rsidRPr="007939DD" w14:paraId="2ACDB155" w14:textId="77777777" w:rsidTr="007B207C">
        <w:trPr>
          <w:cantSplit/>
        </w:trPr>
        <w:tc>
          <w:tcPr>
            <w:tcW w:w="8505" w:type="dxa"/>
            <w:tcBorders>
              <w:top w:val="single" w:sz="4" w:space="0" w:color="A6A6A6" w:themeColor="background1" w:themeShade="A6"/>
            </w:tcBorders>
          </w:tcPr>
          <w:p w14:paraId="5431A3DD" w14:textId="77777777" w:rsidR="00FA7EBF" w:rsidRPr="007939DD" w:rsidRDefault="00FA7EBF" w:rsidP="007B207C">
            <w:pPr>
              <w:pStyle w:val="ARfintablebody"/>
              <w:rPr>
                <w:lang w:eastAsia="en-AU"/>
              </w:rPr>
            </w:pPr>
            <w:r w:rsidRPr="000E68B9">
              <w:t>Non-current</w:t>
            </w:r>
          </w:p>
        </w:tc>
        <w:tc>
          <w:tcPr>
            <w:tcW w:w="1134" w:type="dxa"/>
            <w:tcBorders>
              <w:top w:val="single" w:sz="4" w:space="0" w:color="A6A6A6" w:themeColor="background1" w:themeShade="A6"/>
            </w:tcBorders>
          </w:tcPr>
          <w:p w14:paraId="0F682E87" w14:textId="77777777" w:rsidR="00FA7EBF" w:rsidRPr="007939DD" w:rsidRDefault="00FA7EBF" w:rsidP="007B207C">
            <w:pPr>
              <w:pStyle w:val="ARfintablebodyright"/>
              <w:rPr>
                <w:rStyle w:val="Strong"/>
                <w:bCs w:val="0"/>
              </w:rPr>
            </w:pPr>
            <w:r w:rsidRPr="000E68B9">
              <w:t>5.0</w:t>
            </w:r>
          </w:p>
        </w:tc>
      </w:tr>
    </w:tbl>
    <w:p w14:paraId="3018DDE0" w14:textId="77777777" w:rsidR="00FA7EBF" w:rsidRPr="00194D78" w:rsidRDefault="00FA7EBF" w:rsidP="007B207C">
      <w:pPr>
        <w:pStyle w:val="ARfinbodyaftertable"/>
        <w:spacing w:before="80" w:after="40"/>
      </w:pPr>
      <w:r w:rsidRPr="00181119">
        <w:rPr>
          <w:rStyle w:val="Strong"/>
          <w:bCs w:val="0"/>
        </w:rPr>
        <w:t>Annual leave and sick leave</w:t>
      </w:r>
      <w:r w:rsidRPr="00194D78">
        <w:t xml:space="preserve">: Liabilities for annual leave and on-costs are recognised as part of the provisions for employee benefits as </w:t>
      </w:r>
      <w:r>
        <w:t>‘</w:t>
      </w:r>
      <w:r w:rsidRPr="00194D78">
        <w:t>current liabilities</w:t>
      </w:r>
      <w:r>
        <w:t>’</w:t>
      </w:r>
      <w:r w:rsidRPr="00194D78">
        <w:t xml:space="preserve">, because the </w:t>
      </w:r>
      <w:r>
        <w:t>s</w:t>
      </w:r>
      <w:r w:rsidRPr="00194D78">
        <w:t>tate does not have an unconditional right to defer settlements of these liabilities.</w:t>
      </w:r>
    </w:p>
    <w:p w14:paraId="4504A59A" w14:textId="77777777" w:rsidR="00FA7EBF" w:rsidRDefault="00FA7EBF" w:rsidP="007B207C">
      <w:pPr>
        <w:pStyle w:val="ARfinbody"/>
        <w:spacing w:after="40"/>
      </w:pPr>
      <w:r w:rsidRPr="00194D78">
        <w:t>The annual leave liability is classified as a current liability and measured at the undiscounted amount expected to be paid, as the department does not have an unconditional right to defer settlement of the liability for at least 12 months after the end of the reporting period.</w:t>
      </w:r>
    </w:p>
    <w:p w14:paraId="5E51ECDF" w14:textId="77777777" w:rsidR="00FA7EBF" w:rsidRDefault="00FA7EBF" w:rsidP="007B207C">
      <w:pPr>
        <w:pStyle w:val="ARfinbody"/>
        <w:spacing w:after="40"/>
      </w:pPr>
      <w:r w:rsidRPr="00194D78">
        <w:t xml:space="preserve">No provision has been made for sick leave as all sick leave is non-vesting and it is not considered probable that the average sick leave taken in the future will be greater than the benefits accrued in the future. As sick leave is non-vesting, an expense is recognised in the </w:t>
      </w:r>
      <w:r>
        <w:t>c</w:t>
      </w:r>
      <w:r w:rsidRPr="00194D78">
        <w:t xml:space="preserve">omprehensive </w:t>
      </w:r>
      <w:r>
        <w:t>o</w:t>
      </w:r>
      <w:r w:rsidRPr="00194D78">
        <w:t xml:space="preserve">perating </w:t>
      </w:r>
      <w:r>
        <w:t>s</w:t>
      </w:r>
      <w:r w:rsidRPr="00194D78">
        <w:t>tatement as it is taken.</w:t>
      </w:r>
    </w:p>
    <w:p w14:paraId="07F8FE62" w14:textId="77777777" w:rsidR="00FA7EBF" w:rsidRDefault="00FA7EBF" w:rsidP="007B207C">
      <w:pPr>
        <w:pStyle w:val="ARfinbody"/>
        <w:spacing w:after="40"/>
      </w:pPr>
      <w:r w:rsidRPr="00194D78">
        <w:t>Employment on-costs such as payroll tax, workers compensation and superannuation are not employee benefits. They are disclosed separately as a component of the provision for employee benefits when the employment to which they relate has occurred.</w:t>
      </w:r>
    </w:p>
    <w:p w14:paraId="7643A122" w14:textId="77777777" w:rsidR="00FA7EBF" w:rsidRPr="00194D78" w:rsidRDefault="00FA7EBF" w:rsidP="007B207C">
      <w:pPr>
        <w:pStyle w:val="ARfinbody"/>
        <w:spacing w:after="40"/>
      </w:pPr>
      <w:r w:rsidRPr="00194D78">
        <w:t xml:space="preserve">Any gain or loss following the revaluation of the present value of non-current LSL liability is recognised as a transaction, except to the extent that a gain or loss arises due to changes in bond interest rates for which it is then recognised as an </w:t>
      </w:r>
      <w:r>
        <w:t>‘</w:t>
      </w:r>
      <w:r w:rsidRPr="00194D78">
        <w:t>other economic flow</w:t>
      </w:r>
      <w:r>
        <w:t>’</w:t>
      </w:r>
      <w:r w:rsidRPr="00194D78">
        <w:t xml:space="preserve"> in the net result.</w:t>
      </w:r>
    </w:p>
    <w:p w14:paraId="1B8983A6" w14:textId="77777777" w:rsidR="00FA7EBF" w:rsidRDefault="00FA7EBF" w:rsidP="007B207C">
      <w:pPr>
        <w:pStyle w:val="ARfinbody"/>
        <w:spacing w:after="40"/>
      </w:pPr>
      <w:r w:rsidRPr="00181119">
        <w:rPr>
          <w:rStyle w:val="Strong"/>
          <w:bCs w:val="0"/>
        </w:rPr>
        <w:t>Unconditional LSL</w:t>
      </w:r>
      <w:r w:rsidRPr="00194D78">
        <w:rPr>
          <w:b/>
          <w:bCs/>
        </w:rPr>
        <w:t xml:space="preserve"> </w:t>
      </w:r>
      <w:r w:rsidRPr="00194D78">
        <w:t>is disclosed as a current liability; even where the department does not expect to settle the liability within 12 months because it will not have the unconditional right to defer the settlement of the entitlement should an employee take leave within 12</w:t>
      </w:r>
      <w:r>
        <w:t> </w:t>
      </w:r>
      <w:r w:rsidRPr="00194D78">
        <w:t>months.</w:t>
      </w:r>
    </w:p>
    <w:p w14:paraId="058C392C" w14:textId="77777777" w:rsidR="00FA7EBF" w:rsidRPr="00194D78" w:rsidRDefault="00FA7EBF" w:rsidP="007B207C">
      <w:pPr>
        <w:pStyle w:val="ARfinbody"/>
        <w:spacing w:after="40"/>
      </w:pPr>
      <w:r w:rsidRPr="00194D78">
        <w:t>The components of this current LSL liability are measured at present value because the department does not expect to wholly settle within 12 months. The component of current LSL liability are measured at nominal value where the department expect to settle within 12</w:t>
      </w:r>
      <w:r>
        <w:t> </w:t>
      </w:r>
      <w:r w:rsidRPr="00194D78">
        <w:t>months.</w:t>
      </w:r>
    </w:p>
    <w:p w14:paraId="6F79F37F" w14:textId="77777777" w:rsidR="00FA7EBF" w:rsidRPr="00194D78" w:rsidRDefault="00FA7EBF" w:rsidP="00CA66FD">
      <w:pPr>
        <w:pStyle w:val="ARfinbody"/>
      </w:pPr>
      <w:r w:rsidRPr="00181119">
        <w:rPr>
          <w:rStyle w:val="Strong"/>
          <w:bCs w:val="0"/>
        </w:rPr>
        <w:t>Conditional LSL</w:t>
      </w:r>
      <w:r w:rsidRPr="00194D78">
        <w:t xml:space="preserve"> is disclosed as a non-current liability. There is an unconditional right to defer the settlement of the entitlement until the employee has completed the requisite years of service. This non-current LSL liability is measured at present value.</w:t>
      </w:r>
    </w:p>
    <w:p w14:paraId="347F36EA" w14:textId="77777777" w:rsidR="00FA7EBF" w:rsidRPr="00194D78" w:rsidRDefault="00FA7EBF" w:rsidP="00CA66FD">
      <w:pPr>
        <w:pStyle w:val="Heading7"/>
        <w:rPr>
          <w:lang w:val="x-none"/>
        </w:rPr>
      </w:pPr>
      <w:bookmarkStart w:id="253" w:name="_Ref21958061"/>
      <w:r w:rsidRPr="00194D78">
        <w:rPr>
          <w:lang w:val="x-none"/>
        </w:rPr>
        <w:t>Superannuation</w:t>
      </w:r>
      <w:bookmarkEnd w:id="253"/>
    </w:p>
    <w:p w14:paraId="0F6A7884" w14:textId="77777777" w:rsidR="00FA7EBF" w:rsidRDefault="00FA7EBF" w:rsidP="00CA66FD">
      <w:pPr>
        <w:pStyle w:val="ARfinbody"/>
      </w:pPr>
      <w:r w:rsidRPr="00194D78">
        <w:t>The department reports a liability for unfunded superannuation in respect of former employees of the Director of Housing for the shortfall of superannuation benefits paid to former housing staff who retired or resigned on or before 14 December 1987 or were employed by the Director of Housing as at 14 December 1987 and retired or resigned prior to or on 30 June 1994.</w:t>
      </w:r>
    </w:p>
    <w:p w14:paraId="029E1AB3" w14:textId="77777777" w:rsidR="00FA7EBF" w:rsidRDefault="00FA7EBF" w:rsidP="00CA66FD">
      <w:pPr>
        <w:pStyle w:val="ARfinbodylargespace"/>
      </w:pPr>
      <w:r w:rsidRPr="00194D78">
        <w:t>This liability represents the shortfall between the total net assets of the superannuation fund at 30 June 2019 and the total benefits that members have accrued up to that date, determined by an actuarial assessment. Information relating to the fund based on the latest actuarial assessment for 30 June 2019 is set out below. The amount expensed in respect of unfunded superannuation represents the contributions made by the department to the superannuation fund, adjusted by the movement in the liability or asset.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642A1D2D" w14:textId="77777777" w:rsidTr="007B207C">
        <w:trPr>
          <w:cantSplit/>
          <w:tblHeader/>
        </w:trPr>
        <w:tc>
          <w:tcPr>
            <w:tcW w:w="7371" w:type="dxa"/>
            <w:vAlign w:val="bottom"/>
          </w:tcPr>
          <w:p w14:paraId="06730818" w14:textId="77777777" w:rsidR="00FA7EBF" w:rsidRPr="007939DD" w:rsidRDefault="00FA7EBF" w:rsidP="007B207C">
            <w:pPr>
              <w:pStyle w:val="ARfintablecolhead"/>
            </w:pPr>
          </w:p>
        </w:tc>
        <w:tc>
          <w:tcPr>
            <w:tcW w:w="1134" w:type="dxa"/>
            <w:shd w:val="clear" w:color="auto" w:fill="E7E6E6"/>
            <w:vAlign w:val="bottom"/>
          </w:tcPr>
          <w:p w14:paraId="060A23A4" w14:textId="77777777" w:rsidR="00FA7EBF" w:rsidRPr="007939DD" w:rsidRDefault="00FA7EBF" w:rsidP="007B207C">
            <w:pPr>
              <w:pStyle w:val="ARfintablecolheadright"/>
            </w:pPr>
            <w:r w:rsidRPr="007939DD">
              <w:t>201</w:t>
            </w:r>
            <w:r>
              <w:t>9</w:t>
            </w:r>
          </w:p>
          <w:p w14:paraId="4E060769" w14:textId="77777777" w:rsidR="00FA7EBF" w:rsidRPr="007939DD" w:rsidRDefault="00FA7EBF" w:rsidP="007B207C">
            <w:pPr>
              <w:pStyle w:val="ARfintablecolheadright"/>
            </w:pPr>
            <w:r w:rsidRPr="007939DD">
              <w:t>$M</w:t>
            </w:r>
          </w:p>
        </w:tc>
        <w:tc>
          <w:tcPr>
            <w:tcW w:w="1134" w:type="dxa"/>
            <w:vAlign w:val="bottom"/>
          </w:tcPr>
          <w:p w14:paraId="5857249B" w14:textId="77777777" w:rsidR="00FA7EBF" w:rsidRPr="007939DD" w:rsidRDefault="00FA7EBF" w:rsidP="007B207C">
            <w:pPr>
              <w:pStyle w:val="ARfintablecolheadright"/>
            </w:pPr>
            <w:r w:rsidRPr="007939DD">
              <w:t>201</w:t>
            </w:r>
            <w:r>
              <w:t>8</w:t>
            </w:r>
          </w:p>
          <w:p w14:paraId="222442F9" w14:textId="77777777" w:rsidR="00FA7EBF" w:rsidRPr="007939DD" w:rsidRDefault="00FA7EBF" w:rsidP="007B207C">
            <w:pPr>
              <w:pStyle w:val="ARfintablecolheadright"/>
            </w:pPr>
            <w:r w:rsidRPr="007939DD">
              <w:t>$M</w:t>
            </w:r>
          </w:p>
        </w:tc>
      </w:tr>
      <w:tr w:rsidR="00FA7EBF" w:rsidRPr="007939DD" w14:paraId="3C49DCEF" w14:textId="77777777" w:rsidTr="007B207C">
        <w:trPr>
          <w:cantSplit/>
        </w:trPr>
        <w:tc>
          <w:tcPr>
            <w:tcW w:w="9639" w:type="dxa"/>
            <w:gridSpan w:val="3"/>
            <w:tcBorders>
              <w:bottom w:val="single" w:sz="4" w:space="0" w:color="A6A6A6"/>
            </w:tcBorders>
          </w:tcPr>
          <w:p w14:paraId="3EAE3591" w14:textId="77777777" w:rsidR="00FA7EBF" w:rsidRPr="007939DD" w:rsidRDefault="00FA7EBF" w:rsidP="007B207C">
            <w:pPr>
              <w:pStyle w:val="ARfintablebodybold"/>
              <w:rPr>
                <w:lang w:eastAsia="en-AU"/>
              </w:rPr>
            </w:pPr>
            <w:r w:rsidRPr="00721D6C">
              <w:t>Reconciliation of the superannuation liability in the balance sheet</w:t>
            </w:r>
          </w:p>
        </w:tc>
      </w:tr>
      <w:tr w:rsidR="00FA7EBF" w:rsidRPr="007939DD" w14:paraId="703704FE" w14:textId="77777777" w:rsidTr="007B207C">
        <w:trPr>
          <w:cantSplit/>
        </w:trPr>
        <w:tc>
          <w:tcPr>
            <w:tcW w:w="7371" w:type="dxa"/>
            <w:tcBorders>
              <w:top w:val="single" w:sz="4" w:space="0" w:color="A6A6A6"/>
            </w:tcBorders>
          </w:tcPr>
          <w:p w14:paraId="78AD8DD2" w14:textId="77777777" w:rsidR="00FA7EBF" w:rsidRPr="007939DD" w:rsidRDefault="00FA7EBF" w:rsidP="007B207C">
            <w:pPr>
              <w:pStyle w:val="ARfintablebody"/>
              <w:rPr>
                <w:lang w:eastAsia="en-AU"/>
              </w:rPr>
            </w:pPr>
            <w:r w:rsidRPr="00721D6C">
              <w:t>Defined benefit obligation</w:t>
            </w:r>
          </w:p>
        </w:tc>
        <w:tc>
          <w:tcPr>
            <w:tcW w:w="1134" w:type="dxa"/>
            <w:tcBorders>
              <w:top w:val="single" w:sz="4" w:space="0" w:color="A6A6A6"/>
            </w:tcBorders>
            <w:shd w:val="clear" w:color="auto" w:fill="E7E6E6"/>
          </w:tcPr>
          <w:p w14:paraId="352698B1" w14:textId="77777777" w:rsidR="00FA7EBF" w:rsidRPr="007939DD" w:rsidRDefault="00FA7EBF" w:rsidP="007B207C">
            <w:pPr>
              <w:pStyle w:val="ARfintablebodyright"/>
              <w:rPr>
                <w:lang w:eastAsia="en-AU"/>
              </w:rPr>
            </w:pPr>
            <w:r w:rsidRPr="00721D6C">
              <w:t>34.7</w:t>
            </w:r>
          </w:p>
        </w:tc>
        <w:tc>
          <w:tcPr>
            <w:tcW w:w="1134" w:type="dxa"/>
            <w:tcBorders>
              <w:top w:val="single" w:sz="4" w:space="0" w:color="A6A6A6"/>
            </w:tcBorders>
          </w:tcPr>
          <w:p w14:paraId="24BC8B41" w14:textId="77777777" w:rsidR="00FA7EBF" w:rsidRPr="007939DD" w:rsidRDefault="00FA7EBF" w:rsidP="007B207C">
            <w:pPr>
              <w:pStyle w:val="ARfintablebodyright"/>
              <w:rPr>
                <w:lang w:eastAsia="en-AU"/>
              </w:rPr>
            </w:pPr>
            <w:r w:rsidRPr="00721D6C">
              <w:t>33.9</w:t>
            </w:r>
          </w:p>
        </w:tc>
      </w:tr>
      <w:tr w:rsidR="00FA7EBF" w:rsidRPr="007939DD" w14:paraId="35B8B451" w14:textId="77777777" w:rsidTr="007B207C">
        <w:trPr>
          <w:cantSplit/>
        </w:trPr>
        <w:tc>
          <w:tcPr>
            <w:tcW w:w="7371" w:type="dxa"/>
            <w:tcBorders>
              <w:bottom w:val="single" w:sz="4" w:space="0" w:color="A6A6A6" w:themeColor="background1" w:themeShade="A6"/>
            </w:tcBorders>
          </w:tcPr>
          <w:p w14:paraId="09C76FF3" w14:textId="77777777" w:rsidR="00FA7EBF" w:rsidRPr="007939DD" w:rsidRDefault="00FA7EBF" w:rsidP="007B207C">
            <w:pPr>
              <w:pStyle w:val="ARfintablebodybold"/>
              <w:rPr>
                <w:lang w:eastAsia="en-AU"/>
              </w:rPr>
            </w:pPr>
            <w:r w:rsidRPr="00721D6C">
              <w:t>Net liability/(asset)</w:t>
            </w:r>
          </w:p>
        </w:tc>
        <w:tc>
          <w:tcPr>
            <w:tcW w:w="1134" w:type="dxa"/>
            <w:tcBorders>
              <w:bottom w:val="single" w:sz="4" w:space="0" w:color="A6A6A6" w:themeColor="background1" w:themeShade="A6"/>
            </w:tcBorders>
            <w:shd w:val="clear" w:color="auto" w:fill="E7E6E6"/>
          </w:tcPr>
          <w:p w14:paraId="431E7181" w14:textId="77777777" w:rsidR="00FA7EBF" w:rsidRPr="007939DD" w:rsidRDefault="00FA7EBF" w:rsidP="007B207C">
            <w:pPr>
              <w:pStyle w:val="ARfintablebodyrightbold"/>
              <w:rPr>
                <w:lang w:eastAsia="en-AU"/>
              </w:rPr>
            </w:pPr>
            <w:r w:rsidRPr="00721D6C">
              <w:t>34.7</w:t>
            </w:r>
          </w:p>
        </w:tc>
        <w:tc>
          <w:tcPr>
            <w:tcW w:w="1134" w:type="dxa"/>
            <w:tcBorders>
              <w:bottom w:val="single" w:sz="4" w:space="0" w:color="A6A6A6" w:themeColor="background1" w:themeShade="A6"/>
            </w:tcBorders>
          </w:tcPr>
          <w:p w14:paraId="01F52C7F" w14:textId="77777777" w:rsidR="00FA7EBF" w:rsidRPr="007939DD" w:rsidRDefault="00FA7EBF" w:rsidP="007B207C">
            <w:pPr>
              <w:pStyle w:val="ARfintablebodyrightbold"/>
              <w:rPr>
                <w:rStyle w:val="Strong"/>
                <w:bCs w:val="0"/>
              </w:rPr>
            </w:pPr>
            <w:r w:rsidRPr="00721D6C">
              <w:t>33.9</w:t>
            </w:r>
          </w:p>
        </w:tc>
      </w:tr>
      <w:tr w:rsidR="00FA7EBF" w:rsidRPr="007939DD" w14:paraId="62EE5925" w14:textId="77777777" w:rsidTr="007B207C">
        <w:trPr>
          <w:cantSplit/>
        </w:trPr>
        <w:tc>
          <w:tcPr>
            <w:tcW w:w="7371" w:type="dxa"/>
          </w:tcPr>
          <w:p w14:paraId="09EA5967" w14:textId="77777777" w:rsidR="00FA7EBF" w:rsidRPr="007939DD" w:rsidRDefault="00FA7EBF" w:rsidP="007B207C">
            <w:pPr>
              <w:pStyle w:val="ARfintablebodybold"/>
              <w:rPr>
                <w:lang w:eastAsia="en-AU"/>
              </w:rPr>
            </w:pPr>
            <w:r w:rsidRPr="00721D6C">
              <w:t>Total obligation and liability in the balance sheet</w:t>
            </w:r>
          </w:p>
        </w:tc>
        <w:tc>
          <w:tcPr>
            <w:tcW w:w="1134" w:type="dxa"/>
            <w:shd w:val="clear" w:color="auto" w:fill="E7E6E6"/>
          </w:tcPr>
          <w:p w14:paraId="7E7483F4" w14:textId="77777777" w:rsidR="00FA7EBF" w:rsidRPr="007939DD" w:rsidRDefault="00FA7EBF" w:rsidP="007B207C">
            <w:pPr>
              <w:pStyle w:val="ARfintablebodyrightbold"/>
              <w:rPr>
                <w:lang w:eastAsia="en-AU"/>
              </w:rPr>
            </w:pPr>
            <w:r w:rsidRPr="00721D6C">
              <w:t>34.7</w:t>
            </w:r>
          </w:p>
        </w:tc>
        <w:tc>
          <w:tcPr>
            <w:tcW w:w="1134" w:type="dxa"/>
          </w:tcPr>
          <w:p w14:paraId="56F7290A" w14:textId="77777777" w:rsidR="00FA7EBF" w:rsidRPr="007939DD" w:rsidRDefault="00FA7EBF" w:rsidP="007B207C">
            <w:pPr>
              <w:pStyle w:val="ARfintablebodyrightbold"/>
              <w:rPr>
                <w:rStyle w:val="Strong"/>
                <w:bCs w:val="0"/>
              </w:rPr>
            </w:pPr>
            <w:r w:rsidRPr="00721D6C">
              <w:t>33.9</w:t>
            </w:r>
          </w:p>
        </w:tc>
      </w:tr>
      <w:tr w:rsidR="00FA7EBF" w:rsidRPr="007939DD" w14:paraId="3A352FF4" w14:textId="77777777" w:rsidTr="007B207C">
        <w:trPr>
          <w:cantSplit/>
        </w:trPr>
        <w:tc>
          <w:tcPr>
            <w:tcW w:w="9639" w:type="dxa"/>
            <w:gridSpan w:val="3"/>
            <w:tcBorders>
              <w:bottom w:val="single" w:sz="4" w:space="0" w:color="A6A6A6" w:themeColor="background1" w:themeShade="A6"/>
            </w:tcBorders>
          </w:tcPr>
          <w:p w14:paraId="6CDECB96" w14:textId="77777777" w:rsidR="00FA7EBF" w:rsidRPr="007939DD" w:rsidRDefault="00FA7EBF" w:rsidP="007B207C">
            <w:pPr>
              <w:pStyle w:val="ARfintablebodybold"/>
              <w:rPr>
                <w:lang w:eastAsia="en-AU"/>
              </w:rPr>
            </w:pPr>
            <w:r w:rsidRPr="00721D6C">
              <w:t>Represented by:</w:t>
            </w:r>
          </w:p>
        </w:tc>
      </w:tr>
      <w:tr w:rsidR="00FA7EBF" w:rsidRPr="007939DD" w14:paraId="74DDF940"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57D843A" w14:textId="77777777" w:rsidR="00FA7EBF" w:rsidRPr="007939DD" w:rsidRDefault="00FA7EBF" w:rsidP="007B207C">
            <w:pPr>
              <w:pStyle w:val="ARfintablebody"/>
              <w:rPr>
                <w:lang w:eastAsia="en-AU"/>
              </w:rPr>
            </w:pPr>
            <w:r w:rsidRPr="00721D6C">
              <w:t>Current liability</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B465DB7" w14:textId="77777777" w:rsidR="00FA7EBF" w:rsidRPr="007939DD" w:rsidRDefault="00FA7EBF" w:rsidP="007B207C">
            <w:pPr>
              <w:pStyle w:val="ARfintablebodyright"/>
              <w:rPr>
                <w:lang w:eastAsia="en-AU"/>
              </w:rPr>
            </w:pPr>
            <w:r w:rsidRPr="00721D6C">
              <w:t>2.7</w:t>
            </w:r>
          </w:p>
        </w:tc>
        <w:tc>
          <w:tcPr>
            <w:tcW w:w="1134" w:type="dxa"/>
            <w:tcBorders>
              <w:top w:val="single" w:sz="4" w:space="0" w:color="A6A6A6" w:themeColor="background1" w:themeShade="A6"/>
              <w:bottom w:val="single" w:sz="4" w:space="0" w:color="A6A6A6" w:themeColor="background1" w:themeShade="A6"/>
            </w:tcBorders>
          </w:tcPr>
          <w:p w14:paraId="35861B9C" w14:textId="77777777" w:rsidR="00FA7EBF" w:rsidRPr="007939DD" w:rsidRDefault="00FA7EBF" w:rsidP="007B207C">
            <w:pPr>
              <w:pStyle w:val="ARfintablebodyright"/>
              <w:rPr>
                <w:lang w:eastAsia="en-AU"/>
              </w:rPr>
            </w:pPr>
            <w:r w:rsidRPr="00721D6C">
              <w:t>2.8</w:t>
            </w:r>
          </w:p>
        </w:tc>
      </w:tr>
      <w:tr w:rsidR="00FA7EBF" w:rsidRPr="007939DD" w14:paraId="693DB977" w14:textId="77777777" w:rsidTr="007B207C">
        <w:trPr>
          <w:cantSplit/>
        </w:trPr>
        <w:tc>
          <w:tcPr>
            <w:tcW w:w="7371" w:type="dxa"/>
            <w:tcBorders>
              <w:top w:val="single" w:sz="4" w:space="0" w:color="A6A6A6" w:themeColor="background1" w:themeShade="A6"/>
            </w:tcBorders>
          </w:tcPr>
          <w:p w14:paraId="02AFF454" w14:textId="77777777" w:rsidR="00FA7EBF" w:rsidRPr="007939DD" w:rsidRDefault="00FA7EBF" w:rsidP="007B207C">
            <w:pPr>
              <w:pStyle w:val="ARfintablebody"/>
              <w:rPr>
                <w:lang w:eastAsia="en-AU"/>
              </w:rPr>
            </w:pPr>
            <w:r w:rsidRPr="00721D6C">
              <w:t>Non-current liability</w:t>
            </w:r>
          </w:p>
        </w:tc>
        <w:tc>
          <w:tcPr>
            <w:tcW w:w="1134" w:type="dxa"/>
            <w:tcBorders>
              <w:top w:val="single" w:sz="4" w:space="0" w:color="A6A6A6" w:themeColor="background1" w:themeShade="A6"/>
            </w:tcBorders>
            <w:shd w:val="clear" w:color="auto" w:fill="E7E6E6"/>
          </w:tcPr>
          <w:p w14:paraId="333CF988" w14:textId="77777777" w:rsidR="00FA7EBF" w:rsidRPr="007939DD" w:rsidRDefault="00FA7EBF" w:rsidP="007B207C">
            <w:pPr>
              <w:pStyle w:val="ARfintablebodyright"/>
              <w:rPr>
                <w:lang w:eastAsia="en-AU"/>
              </w:rPr>
            </w:pPr>
            <w:r w:rsidRPr="00721D6C">
              <w:t>32.0</w:t>
            </w:r>
          </w:p>
        </w:tc>
        <w:tc>
          <w:tcPr>
            <w:tcW w:w="1134" w:type="dxa"/>
            <w:tcBorders>
              <w:top w:val="single" w:sz="4" w:space="0" w:color="A6A6A6" w:themeColor="background1" w:themeShade="A6"/>
            </w:tcBorders>
          </w:tcPr>
          <w:p w14:paraId="453DA708" w14:textId="77777777" w:rsidR="00FA7EBF" w:rsidRPr="007939DD" w:rsidRDefault="00FA7EBF" w:rsidP="007B207C">
            <w:pPr>
              <w:pStyle w:val="ARfintablebodyright"/>
              <w:rPr>
                <w:lang w:eastAsia="en-AU"/>
              </w:rPr>
            </w:pPr>
            <w:r w:rsidRPr="00721D6C">
              <w:t>31.1</w:t>
            </w:r>
          </w:p>
        </w:tc>
      </w:tr>
      <w:tr w:rsidR="00FA7EBF" w:rsidRPr="007939DD" w14:paraId="387891FB" w14:textId="77777777" w:rsidTr="007B207C">
        <w:trPr>
          <w:cantSplit/>
        </w:trPr>
        <w:tc>
          <w:tcPr>
            <w:tcW w:w="7371" w:type="dxa"/>
          </w:tcPr>
          <w:p w14:paraId="00010917" w14:textId="77777777" w:rsidR="00FA7EBF" w:rsidRPr="007939DD" w:rsidRDefault="00FA7EBF" w:rsidP="007B207C">
            <w:pPr>
              <w:pStyle w:val="ARfintablebodybold"/>
              <w:rPr>
                <w:lang w:eastAsia="en-AU"/>
              </w:rPr>
            </w:pPr>
            <w:r w:rsidRPr="00721D6C">
              <w:t>Total liability</w:t>
            </w:r>
          </w:p>
        </w:tc>
        <w:tc>
          <w:tcPr>
            <w:tcW w:w="1134" w:type="dxa"/>
            <w:shd w:val="clear" w:color="auto" w:fill="E7E6E6"/>
          </w:tcPr>
          <w:p w14:paraId="42C65853" w14:textId="77777777" w:rsidR="00FA7EBF" w:rsidRPr="007939DD" w:rsidRDefault="00FA7EBF" w:rsidP="007B207C">
            <w:pPr>
              <w:pStyle w:val="ARfintablebodyrightbold"/>
              <w:rPr>
                <w:lang w:eastAsia="en-AU"/>
              </w:rPr>
            </w:pPr>
            <w:r w:rsidRPr="00721D6C">
              <w:t>34.7</w:t>
            </w:r>
          </w:p>
        </w:tc>
        <w:tc>
          <w:tcPr>
            <w:tcW w:w="1134" w:type="dxa"/>
          </w:tcPr>
          <w:p w14:paraId="4E373EFF" w14:textId="77777777" w:rsidR="00FA7EBF" w:rsidRPr="007939DD" w:rsidRDefault="00FA7EBF" w:rsidP="007B207C">
            <w:pPr>
              <w:pStyle w:val="ARfintablebodyrightbold"/>
              <w:rPr>
                <w:rStyle w:val="Strong"/>
                <w:bCs w:val="0"/>
              </w:rPr>
            </w:pPr>
            <w:r w:rsidRPr="00721D6C">
              <w:t>33.9</w:t>
            </w:r>
          </w:p>
        </w:tc>
      </w:tr>
      <w:tr w:rsidR="00FA7EBF" w:rsidRPr="007939DD" w14:paraId="021FF33A" w14:textId="77777777" w:rsidTr="007B207C">
        <w:trPr>
          <w:cantSplit/>
        </w:trPr>
        <w:tc>
          <w:tcPr>
            <w:tcW w:w="9639" w:type="dxa"/>
            <w:gridSpan w:val="3"/>
            <w:tcBorders>
              <w:bottom w:val="single" w:sz="4" w:space="0" w:color="A6A6A6" w:themeColor="background1" w:themeShade="A6"/>
            </w:tcBorders>
          </w:tcPr>
          <w:p w14:paraId="04851FC1" w14:textId="77777777" w:rsidR="00FA7EBF" w:rsidRPr="007939DD" w:rsidRDefault="00FA7EBF" w:rsidP="007B207C">
            <w:pPr>
              <w:pStyle w:val="ARfintablebodybold"/>
              <w:rPr>
                <w:lang w:eastAsia="en-AU"/>
              </w:rPr>
            </w:pPr>
            <w:r w:rsidRPr="00721D6C">
              <w:t>Principal actuarial assumptions</w:t>
            </w:r>
          </w:p>
        </w:tc>
      </w:tr>
      <w:tr w:rsidR="00FA7EBF" w:rsidRPr="007939DD" w14:paraId="39D44931"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EC2AFD2" w14:textId="77777777" w:rsidR="00FA7EBF" w:rsidRPr="007939DD" w:rsidRDefault="00FA7EBF" w:rsidP="007B207C">
            <w:pPr>
              <w:pStyle w:val="ARfintablebody"/>
              <w:rPr>
                <w:lang w:eastAsia="en-AU"/>
              </w:rPr>
            </w:pPr>
            <w:r w:rsidRPr="00721D6C">
              <w:t>Discount rate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DDFC42A" w14:textId="77777777" w:rsidR="00FA7EBF" w:rsidRPr="007939DD" w:rsidRDefault="00FA7EBF" w:rsidP="007B207C">
            <w:pPr>
              <w:pStyle w:val="ARfintablebodyright"/>
              <w:rPr>
                <w:lang w:eastAsia="en-AU"/>
              </w:rPr>
            </w:pPr>
            <w:r w:rsidRPr="00721D6C">
              <w:t>1.6%</w:t>
            </w:r>
          </w:p>
        </w:tc>
        <w:tc>
          <w:tcPr>
            <w:tcW w:w="1134" w:type="dxa"/>
            <w:tcBorders>
              <w:top w:val="single" w:sz="4" w:space="0" w:color="A6A6A6" w:themeColor="background1" w:themeShade="A6"/>
              <w:bottom w:val="single" w:sz="4" w:space="0" w:color="A6A6A6" w:themeColor="background1" w:themeShade="A6"/>
            </w:tcBorders>
          </w:tcPr>
          <w:p w14:paraId="7C754490" w14:textId="77777777" w:rsidR="00FA7EBF" w:rsidRPr="007939DD" w:rsidRDefault="00FA7EBF" w:rsidP="007B207C">
            <w:pPr>
              <w:pStyle w:val="ARfintablebodyright"/>
              <w:rPr>
                <w:lang w:eastAsia="en-AU"/>
              </w:rPr>
            </w:pPr>
            <w:r w:rsidRPr="00721D6C">
              <w:t>2.9%</w:t>
            </w:r>
          </w:p>
        </w:tc>
      </w:tr>
      <w:tr w:rsidR="00FA7EBF" w:rsidRPr="007939DD" w14:paraId="2DF830C9"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008A077" w14:textId="77777777" w:rsidR="00FA7EBF" w:rsidRPr="007939DD" w:rsidRDefault="00FA7EBF" w:rsidP="007B207C">
            <w:pPr>
              <w:pStyle w:val="ARfintablebody"/>
              <w:rPr>
                <w:lang w:eastAsia="en-AU"/>
              </w:rPr>
            </w:pPr>
            <w:r w:rsidRPr="00721D6C">
              <w:t>Expected return on plan assets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600A989" w14:textId="77777777" w:rsidR="00FA7EBF" w:rsidRPr="007939DD" w:rsidRDefault="00FA7EBF" w:rsidP="007B207C">
            <w:pPr>
              <w:pStyle w:val="ARfintablebodyright"/>
              <w:rPr>
                <w:lang w:eastAsia="en-AU"/>
              </w:rPr>
            </w:pPr>
            <w:r w:rsidRPr="00721D6C">
              <w:t>6.8%</w:t>
            </w:r>
          </w:p>
        </w:tc>
        <w:tc>
          <w:tcPr>
            <w:tcW w:w="1134" w:type="dxa"/>
            <w:tcBorders>
              <w:top w:val="single" w:sz="4" w:space="0" w:color="A6A6A6" w:themeColor="background1" w:themeShade="A6"/>
              <w:bottom w:val="single" w:sz="4" w:space="0" w:color="A6A6A6" w:themeColor="background1" w:themeShade="A6"/>
            </w:tcBorders>
          </w:tcPr>
          <w:p w14:paraId="62749800" w14:textId="77777777" w:rsidR="00FA7EBF" w:rsidRPr="007939DD" w:rsidRDefault="00FA7EBF" w:rsidP="007B207C">
            <w:pPr>
              <w:pStyle w:val="ARfintablebodyright"/>
              <w:rPr>
                <w:lang w:eastAsia="en-AU"/>
              </w:rPr>
            </w:pPr>
            <w:r w:rsidRPr="00721D6C">
              <w:t>7.0%</w:t>
            </w:r>
          </w:p>
        </w:tc>
      </w:tr>
      <w:tr w:rsidR="00FA7EBF" w:rsidRPr="007939DD" w14:paraId="76E3D3B1"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574615E" w14:textId="77777777" w:rsidR="00FA7EBF" w:rsidRPr="007939DD" w:rsidRDefault="00FA7EBF" w:rsidP="007B207C">
            <w:pPr>
              <w:pStyle w:val="ARfintablebody"/>
              <w:rPr>
                <w:lang w:eastAsia="en-AU"/>
              </w:rPr>
            </w:pPr>
            <w:r w:rsidRPr="00721D6C">
              <w:t>Expected rate of salary increase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CC81E86" w14:textId="77777777" w:rsidR="00FA7EBF" w:rsidRPr="007939DD" w:rsidRDefault="00FA7EBF" w:rsidP="007B207C">
            <w:pPr>
              <w:pStyle w:val="ARfintablebodyright"/>
              <w:rPr>
                <w:lang w:eastAsia="en-AU"/>
              </w:rPr>
            </w:pPr>
            <w:r w:rsidRPr="00721D6C">
              <w:t>2.9%</w:t>
            </w:r>
          </w:p>
        </w:tc>
        <w:tc>
          <w:tcPr>
            <w:tcW w:w="1134" w:type="dxa"/>
            <w:tcBorders>
              <w:top w:val="single" w:sz="4" w:space="0" w:color="A6A6A6" w:themeColor="background1" w:themeShade="A6"/>
              <w:bottom w:val="single" w:sz="4" w:space="0" w:color="A6A6A6" w:themeColor="background1" w:themeShade="A6"/>
            </w:tcBorders>
          </w:tcPr>
          <w:p w14:paraId="2447F08B" w14:textId="77777777" w:rsidR="00FA7EBF" w:rsidRPr="007939DD" w:rsidRDefault="00FA7EBF" w:rsidP="007B207C">
            <w:pPr>
              <w:pStyle w:val="ARfintablebodyright"/>
              <w:rPr>
                <w:lang w:eastAsia="en-AU"/>
              </w:rPr>
            </w:pPr>
            <w:r w:rsidRPr="00721D6C">
              <w:t>3.3%</w:t>
            </w:r>
          </w:p>
        </w:tc>
      </w:tr>
      <w:tr w:rsidR="00FA7EBF" w:rsidRPr="007939DD" w14:paraId="3759F683" w14:textId="77777777" w:rsidTr="007B207C">
        <w:trPr>
          <w:cantSplit/>
        </w:trPr>
        <w:tc>
          <w:tcPr>
            <w:tcW w:w="7371" w:type="dxa"/>
            <w:tcBorders>
              <w:top w:val="single" w:sz="4" w:space="0" w:color="A6A6A6" w:themeColor="background1" w:themeShade="A6"/>
            </w:tcBorders>
          </w:tcPr>
          <w:p w14:paraId="1D3D2D48" w14:textId="77777777" w:rsidR="00FA7EBF" w:rsidRPr="007939DD" w:rsidRDefault="00FA7EBF" w:rsidP="007B207C">
            <w:pPr>
              <w:pStyle w:val="ARfintablebody"/>
              <w:rPr>
                <w:lang w:eastAsia="en-AU"/>
              </w:rPr>
            </w:pPr>
            <w:r w:rsidRPr="00721D6C">
              <w:t>Inflation</w:t>
            </w:r>
          </w:p>
        </w:tc>
        <w:tc>
          <w:tcPr>
            <w:tcW w:w="1134" w:type="dxa"/>
            <w:tcBorders>
              <w:top w:val="single" w:sz="4" w:space="0" w:color="A6A6A6" w:themeColor="background1" w:themeShade="A6"/>
            </w:tcBorders>
            <w:shd w:val="clear" w:color="auto" w:fill="E7E6E6"/>
          </w:tcPr>
          <w:p w14:paraId="4EFEDFEC" w14:textId="77777777" w:rsidR="00FA7EBF" w:rsidRPr="007939DD" w:rsidRDefault="00FA7EBF" w:rsidP="007B207C">
            <w:pPr>
              <w:pStyle w:val="ARfintablebodyright"/>
              <w:rPr>
                <w:lang w:eastAsia="en-AU"/>
              </w:rPr>
            </w:pPr>
            <w:r w:rsidRPr="00721D6C">
              <w:t>1.4%</w:t>
            </w:r>
          </w:p>
        </w:tc>
        <w:tc>
          <w:tcPr>
            <w:tcW w:w="1134" w:type="dxa"/>
            <w:tcBorders>
              <w:top w:val="single" w:sz="4" w:space="0" w:color="A6A6A6" w:themeColor="background1" w:themeShade="A6"/>
            </w:tcBorders>
          </w:tcPr>
          <w:p w14:paraId="22E1467D" w14:textId="77777777" w:rsidR="00FA7EBF" w:rsidRPr="007939DD" w:rsidRDefault="00FA7EBF" w:rsidP="007B207C">
            <w:pPr>
              <w:pStyle w:val="ARfintablebodyright"/>
              <w:rPr>
                <w:lang w:eastAsia="en-AU"/>
              </w:rPr>
            </w:pPr>
            <w:r w:rsidRPr="00721D6C">
              <w:t>1.8%</w:t>
            </w:r>
          </w:p>
        </w:tc>
      </w:tr>
    </w:tbl>
    <w:p w14:paraId="1152D5E9" w14:textId="77777777" w:rsidR="00FA7EBF" w:rsidRPr="00194D78" w:rsidRDefault="00FA7EBF" w:rsidP="00CA66FD">
      <w:pPr>
        <w:pStyle w:val="ARfinbodyaftertable"/>
      </w:pPr>
      <w:r w:rsidRPr="00194D78">
        <w:t>The expected return on assets assumption is determined by weighting the expected long-term return for each asset class by the target allocation of assets to each asset class and allowing for the correlations of the investment returns between asset classes. The returns used for each asset class are net of investment tax (where applicable) and investment fees.</w:t>
      </w:r>
    </w:p>
    <w:p w14:paraId="31E508B6" w14:textId="77777777" w:rsidR="00FA7EBF" w:rsidRPr="00194D78" w:rsidRDefault="00FA7EBF" w:rsidP="00CA66FD">
      <w:pPr>
        <w:pStyle w:val="Heading7"/>
        <w:rPr>
          <w:lang w:val="x-none"/>
        </w:rPr>
      </w:pPr>
      <w:r w:rsidRPr="00194D78">
        <w:rPr>
          <w:lang w:val="x-none"/>
        </w:rPr>
        <w:t>Reconciliation of opening and closing balances of the present value of the defined benefit obligation</w:t>
      </w:r>
    </w:p>
    <w:p w14:paraId="3A8C0961" w14:textId="77777777" w:rsidR="00FA7EBF" w:rsidRDefault="00FA7EBF" w:rsidP="00CA66FD">
      <w:pPr>
        <w:pStyle w:val="ARfinbodylargespace"/>
      </w:pPr>
      <w:r w:rsidRPr="00194D78">
        <w:t>Movements in the present value of the defined benefit obligations in the current period were as follows: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1"/>
        <w:gridCol w:w="1134"/>
        <w:gridCol w:w="1134"/>
      </w:tblGrid>
      <w:tr w:rsidR="00FA7EBF" w:rsidRPr="007939DD" w14:paraId="2ACA221C" w14:textId="77777777" w:rsidTr="007B207C">
        <w:trPr>
          <w:cantSplit/>
          <w:tblHeader/>
        </w:trPr>
        <w:tc>
          <w:tcPr>
            <w:tcW w:w="7371" w:type="dxa"/>
            <w:vAlign w:val="bottom"/>
          </w:tcPr>
          <w:p w14:paraId="2950B138" w14:textId="77777777" w:rsidR="00FA7EBF" w:rsidRPr="007939DD" w:rsidRDefault="00FA7EBF" w:rsidP="007B207C">
            <w:pPr>
              <w:pStyle w:val="ARfintablebodybold"/>
              <w:rPr>
                <w:rStyle w:val="Strong"/>
              </w:rPr>
            </w:pPr>
          </w:p>
        </w:tc>
        <w:tc>
          <w:tcPr>
            <w:tcW w:w="1134" w:type="dxa"/>
            <w:shd w:val="clear" w:color="auto" w:fill="E7E6E6"/>
            <w:vAlign w:val="bottom"/>
          </w:tcPr>
          <w:p w14:paraId="17AB892A" w14:textId="77777777" w:rsidR="00FA7EBF" w:rsidRPr="007939DD" w:rsidRDefault="00FA7EBF" w:rsidP="007B207C">
            <w:pPr>
              <w:pStyle w:val="ARfintablecolheadright"/>
            </w:pPr>
            <w:r w:rsidRPr="007939DD">
              <w:t>201</w:t>
            </w:r>
            <w:r>
              <w:t>9</w:t>
            </w:r>
          </w:p>
          <w:p w14:paraId="2AB9BF3D" w14:textId="77777777" w:rsidR="00FA7EBF" w:rsidRPr="007939DD" w:rsidRDefault="00FA7EBF" w:rsidP="007B207C">
            <w:pPr>
              <w:pStyle w:val="ARfintablecolheadright"/>
              <w:rPr>
                <w:rStyle w:val="Strong"/>
              </w:rPr>
            </w:pPr>
            <w:r w:rsidRPr="007939DD">
              <w:t>$M</w:t>
            </w:r>
          </w:p>
        </w:tc>
        <w:tc>
          <w:tcPr>
            <w:tcW w:w="1134" w:type="dxa"/>
            <w:vAlign w:val="bottom"/>
          </w:tcPr>
          <w:p w14:paraId="32EA5CBB" w14:textId="77777777" w:rsidR="00FA7EBF" w:rsidRPr="007939DD" w:rsidRDefault="00FA7EBF" w:rsidP="007B207C">
            <w:pPr>
              <w:pStyle w:val="ARfintablecolheadright"/>
            </w:pPr>
            <w:r w:rsidRPr="007939DD">
              <w:t>201</w:t>
            </w:r>
            <w:r>
              <w:t>8</w:t>
            </w:r>
          </w:p>
          <w:p w14:paraId="63F4360B" w14:textId="77777777" w:rsidR="00FA7EBF" w:rsidRPr="007939DD" w:rsidRDefault="00FA7EBF" w:rsidP="007B207C">
            <w:pPr>
              <w:pStyle w:val="ARfintablecolheadright"/>
              <w:rPr>
                <w:rStyle w:val="Strong"/>
              </w:rPr>
            </w:pPr>
            <w:r w:rsidRPr="007939DD">
              <w:t>$M</w:t>
            </w:r>
          </w:p>
        </w:tc>
      </w:tr>
      <w:tr w:rsidR="00FA7EBF" w:rsidRPr="007939DD" w14:paraId="10E7B872" w14:textId="77777777" w:rsidTr="007B207C">
        <w:trPr>
          <w:cantSplit/>
        </w:trPr>
        <w:tc>
          <w:tcPr>
            <w:tcW w:w="7371" w:type="dxa"/>
            <w:tcBorders>
              <w:bottom w:val="single" w:sz="4" w:space="0" w:color="BFBFBF" w:themeColor="accent4"/>
            </w:tcBorders>
          </w:tcPr>
          <w:p w14:paraId="278B450B" w14:textId="77777777" w:rsidR="00FA7EBF" w:rsidRPr="007939DD" w:rsidRDefault="00FA7EBF" w:rsidP="007B207C">
            <w:pPr>
              <w:pStyle w:val="ARfintablebodybold"/>
              <w:rPr>
                <w:lang w:eastAsia="en-AU"/>
              </w:rPr>
            </w:pPr>
            <w:r w:rsidRPr="0025516B">
              <w:t>Opening balance of defined benefit obligation</w:t>
            </w:r>
          </w:p>
        </w:tc>
        <w:tc>
          <w:tcPr>
            <w:tcW w:w="1134" w:type="dxa"/>
            <w:tcBorders>
              <w:bottom w:val="single" w:sz="4" w:space="0" w:color="BFBFBF" w:themeColor="accent4"/>
            </w:tcBorders>
            <w:shd w:val="clear" w:color="auto" w:fill="E7E6E6"/>
          </w:tcPr>
          <w:p w14:paraId="24E48BAB" w14:textId="77777777" w:rsidR="00FA7EBF" w:rsidRPr="007939DD" w:rsidRDefault="00FA7EBF" w:rsidP="007B207C">
            <w:pPr>
              <w:pStyle w:val="ARfintablebodyrightbold"/>
              <w:rPr>
                <w:lang w:eastAsia="en-AU"/>
              </w:rPr>
            </w:pPr>
            <w:r w:rsidRPr="0025516B">
              <w:t>33.9</w:t>
            </w:r>
          </w:p>
        </w:tc>
        <w:tc>
          <w:tcPr>
            <w:tcW w:w="1134" w:type="dxa"/>
            <w:tcBorders>
              <w:bottom w:val="single" w:sz="4" w:space="0" w:color="BFBFBF" w:themeColor="accent4"/>
            </w:tcBorders>
          </w:tcPr>
          <w:p w14:paraId="6ECEDC56" w14:textId="77777777" w:rsidR="00FA7EBF" w:rsidRPr="007939DD" w:rsidRDefault="00FA7EBF" w:rsidP="007B207C">
            <w:pPr>
              <w:pStyle w:val="ARfintablebodyrightbold"/>
              <w:rPr>
                <w:rStyle w:val="Strong"/>
                <w:bCs w:val="0"/>
              </w:rPr>
            </w:pPr>
            <w:r w:rsidRPr="0025516B">
              <w:t>35.6</w:t>
            </w:r>
          </w:p>
        </w:tc>
      </w:tr>
      <w:tr w:rsidR="00FA7EBF" w:rsidRPr="007939DD" w14:paraId="1669427E" w14:textId="77777777" w:rsidTr="007B207C">
        <w:trPr>
          <w:cantSplit/>
        </w:trPr>
        <w:tc>
          <w:tcPr>
            <w:tcW w:w="7371" w:type="dxa"/>
            <w:tcBorders>
              <w:top w:val="single" w:sz="4" w:space="0" w:color="BFBFBF" w:themeColor="accent4"/>
              <w:bottom w:val="single" w:sz="4" w:space="0" w:color="A6A6A6" w:themeColor="background1" w:themeShade="A6"/>
            </w:tcBorders>
          </w:tcPr>
          <w:p w14:paraId="249BA1CA" w14:textId="77777777" w:rsidR="00FA7EBF" w:rsidRPr="007939DD" w:rsidRDefault="00FA7EBF" w:rsidP="007B207C">
            <w:pPr>
              <w:pStyle w:val="ARfintablebody"/>
              <w:rPr>
                <w:lang w:eastAsia="en-AU"/>
              </w:rPr>
            </w:pPr>
            <w:r w:rsidRPr="0025516B">
              <w:t>Interest cost</w:t>
            </w:r>
          </w:p>
        </w:tc>
        <w:tc>
          <w:tcPr>
            <w:tcW w:w="1134" w:type="dxa"/>
            <w:tcBorders>
              <w:top w:val="single" w:sz="4" w:space="0" w:color="BFBFBF" w:themeColor="accent4"/>
              <w:bottom w:val="single" w:sz="4" w:space="0" w:color="A6A6A6" w:themeColor="background1" w:themeShade="A6"/>
            </w:tcBorders>
            <w:shd w:val="clear" w:color="auto" w:fill="E7E6E6"/>
          </w:tcPr>
          <w:p w14:paraId="019A9AF4" w14:textId="77777777" w:rsidR="00FA7EBF" w:rsidRPr="007939DD" w:rsidRDefault="00FA7EBF" w:rsidP="007B207C">
            <w:pPr>
              <w:pStyle w:val="ARfintablebodyright"/>
              <w:rPr>
                <w:lang w:eastAsia="en-AU"/>
              </w:rPr>
            </w:pPr>
            <w:r w:rsidRPr="0025516B">
              <w:t>0.9</w:t>
            </w:r>
          </w:p>
        </w:tc>
        <w:tc>
          <w:tcPr>
            <w:tcW w:w="1134" w:type="dxa"/>
            <w:tcBorders>
              <w:top w:val="single" w:sz="4" w:space="0" w:color="BFBFBF" w:themeColor="accent4"/>
              <w:bottom w:val="single" w:sz="4" w:space="0" w:color="A6A6A6" w:themeColor="background1" w:themeShade="A6"/>
            </w:tcBorders>
          </w:tcPr>
          <w:p w14:paraId="23372A94" w14:textId="77777777" w:rsidR="00FA7EBF" w:rsidRPr="007939DD" w:rsidRDefault="00FA7EBF" w:rsidP="007B207C">
            <w:pPr>
              <w:pStyle w:val="ARfintablebodyright"/>
              <w:rPr>
                <w:lang w:eastAsia="en-AU"/>
              </w:rPr>
            </w:pPr>
            <w:r w:rsidRPr="0025516B">
              <w:t>1.0</w:t>
            </w:r>
          </w:p>
        </w:tc>
      </w:tr>
      <w:tr w:rsidR="00FA7EBF" w:rsidRPr="007939DD" w14:paraId="16577E61"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5F2888C4" w14:textId="77777777" w:rsidR="00FA7EBF" w:rsidRPr="007939DD" w:rsidRDefault="00FA7EBF" w:rsidP="007B207C">
            <w:pPr>
              <w:pStyle w:val="ARfintablebody"/>
              <w:rPr>
                <w:lang w:eastAsia="en-AU"/>
              </w:rPr>
            </w:pPr>
            <w:r w:rsidRPr="0025516B">
              <w:t>Actuarial losses/(gains)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113B71C" w14:textId="77777777" w:rsidR="00FA7EBF" w:rsidRPr="007939DD" w:rsidRDefault="00FA7EBF" w:rsidP="007B207C">
            <w:pPr>
              <w:pStyle w:val="ARfintablebodyright"/>
              <w:rPr>
                <w:lang w:eastAsia="en-AU"/>
              </w:rPr>
            </w:pPr>
            <w:r w:rsidRPr="0025516B">
              <w:t>2.5</w:t>
            </w:r>
          </w:p>
        </w:tc>
        <w:tc>
          <w:tcPr>
            <w:tcW w:w="1134" w:type="dxa"/>
            <w:tcBorders>
              <w:top w:val="single" w:sz="4" w:space="0" w:color="A6A6A6" w:themeColor="background1" w:themeShade="A6"/>
              <w:bottom w:val="single" w:sz="4" w:space="0" w:color="A6A6A6" w:themeColor="background1" w:themeShade="A6"/>
            </w:tcBorders>
          </w:tcPr>
          <w:p w14:paraId="5C647E8B" w14:textId="77777777" w:rsidR="00FA7EBF" w:rsidRPr="007939DD" w:rsidRDefault="00FA7EBF" w:rsidP="007B207C">
            <w:pPr>
              <w:pStyle w:val="ARfintablebodyright"/>
              <w:rPr>
                <w:lang w:eastAsia="en-AU"/>
              </w:rPr>
            </w:pPr>
            <w:r w:rsidRPr="0025516B">
              <w:t>0.3</w:t>
            </w:r>
          </w:p>
        </w:tc>
      </w:tr>
      <w:tr w:rsidR="00FA7EBF" w:rsidRPr="007939DD" w14:paraId="4B799E5B" w14:textId="77777777" w:rsidTr="007B207C">
        <w:trPr>
          <w:cantSplit/>
        </w:trPr>
        <w:tc>
          <w:tcPr>
            <w:tcW w:w="7371" w:type="dxa"/>
            <w:tcBorders>
              <w:top w:val="single" w:sz="4" w:space="0" w:color="A6A6A6" w:themeColor="background1" w:themeShade="A6"/>
            </w:tcBorders>
          </w:tcPr>
          <w:p w14:paraId="35980796" w14:textId="77777777" w:rsidR="00FA7EBF" w:rsidRPr="007939DD" w:rsidRDefault="00FA7EBF" w:rsidP="007B207C">
            <w:pPr>
              <w:pStyle w:val="ARfintablebody"/>
              <w:rPr>
                <w:lang w:eastAsia="en-AU"/>
              </w:rPr>
            </w:pPr>
            <w:r w:rsidRPr="0025516B">
              <w:t>Benefits paid</w:t>
            </w:r>
          </w:p>
        </w:tc>
        <w:tc>
          <w:tcPr>
            <w:tcW w:w="1134" w:type="dxa"/>
            <w:tcBorders>
              <w:top w:val="single" w:sz="4" w:space="0" w:color="A6A6A6" w:themeColor="background1" w:themeShade="A6"/>
            </w:tcBorders>
            <w:shd w:val="clear" w:color="auto" w:fill="E7E6E6"/>
          </w:tcPr>
          <w:p w14:paraId="2467CFC0" w14:textId="77777777" w:rsidR="00FA7EBF" w:rsidRPr="007939DD" w:rsidRDefault="00FA7EBF" w:rsidP="007B207C">
            <w:pPr>
              <w:pStyle w:val="ARfintablebodyright"/>
              <w:rPr>
                <w:lang w:eastAsia="en-AU"/>
              </w:rPr>
            </w:pPr>
            <w:r w:rsidRPr="0025516B">
              <w:t>(2.8)</w:t>
            </w:r>
          </w:p>
        </w:tc>
        <w:tc>
          <w:tcPr>
            <w:tcW w:w="1134" w:type="dxa"/>
            <w:tcBorders>
              <w:top w:val="single" w:sz="4" w:space="0" w:color="A6A6A6" w:themeColor="background1" w:themeShade="A6"/>
            </w:tcBorders>
          </w:tcPr>
          <w:p w14:paraId="3D99AC73" w14:textId="77777777" w:rsidR="00FA7EBF" w:rsidRPr="007939DD" w:rsidRDefault="00FA7EBF" w:rsidP="007B207C">
            <w:pPr>
              <w:pStyle w:val="ARfintablebodyright"/>
              <w:rPr>
                <w:lang w:eastAsia="en-AU"/>
              </w:rPr>
            </w:pPr>
            <w:r w:rsidRPr="0025516B">
              <w:t>(2.9)</w:t>
            </w:r>
          </w:p>
        </w:tc>
      </w:tr>
      <w:tr w:rsidR="00FA7EBF" w:rsidRPr="007939DD" w14:paraId="61B9C76B" w14:textId="77777777" w:rsidTr="007B207C">
        <w:trPr>
          <w:cantSplit/>
        </w:trPr>
        <w:tc>
          <w:tcPr>
            <w:tcW w:w="7371" w:type="dxa"/>
          </w:tcPr>
          <w:p w14:paraId="13BCD617" w14:textId="77777777" w:rsidR="00FA7EBF" w:rsidRPr="007939DD" w:rsidRDefault="00FA7EBF" w:rsidP="007B207C">
            <w:pPr>
              <w:pStyle w:val="ARfintablebodybold"/>
              <w:rPr>
                <w:lang w:eastAsia="en-AU"/>
              </w:rPr>
            </w:pPr>
            <w:r w:rsidRPr="0025516B">
              <w:t>Closing balance of defined benefit obligation</w:t>
            </w:r>
          </w:p>
        </w:tc>
        <w:tc>
          <w:tcPr>
            <w:tcW w:w="1134" w:type="dxa"/>
            <w:shd w:val="clear" w:color="auto" w:fill="E7E6E6"/>
          </w:tcPr>
          <w:p w14:paraId="4E6DD957" w14:textId="77777777" w:rsidR="00FA7EBF" w:rsidRPr="007939DD" w:rsidRDefault="00FA7EBF" w:rsidP="007B207C">
            <w:pPr>
              <w:pStyle w:val="ARfintablebodyrightbold"/>
              <w:rPr>
                <w:lang w:eastAsia="en-AU"/>
              </w:rPr>
            </w:pPr>
            <w:r w:rsidRPr="0025516B">
              <w:t>34.7</w:t>
            </w:r>
          </w:p>
        </w:tc>
        <w:tc>
          <w:tcPr>
            <w:tcW w:w="1134" w:type="dxa"/>
          </w:tcPr>
          <w:p w14:paraId="6737C628" w14:textId="77777777" w:rsidR="00FA7EBF" w:rsidRPr="007939DD" w:rsidRDefault="00FA7EBF" w:rsidP="007B207C">
            <w:pPr>
              <w:pStyle w:val="ARfintablebodyrightbold"/>
              <w:rPr>
                <w:rStyle w:val="Strong"/>
                <w:bCs w:val="0"/>
              </w:rPr>
            </w:pPr>
            <w:r w:rsidRPr="0025516B">
              <w:t>33.9</w:t>
            </w:r>
          </w:p>
        </w:tc>
      </w:tr>
    </w:tbl>
    <w:p w14:paraId="2F243A60" w14:textId="77777777" w:rsidR="00FA7EBF" w:rsidRPr="00194D78" w:rsidRDefault="00FA7EBF" w:rsidP="00CA66FD">
      <w:pPr>
        <w:pStyle w:val="Heading7"/>
        <w:rPr>
          <w:lang w:val="x-none"/>
        </w:rPr>
      </w:pPr>
      <w:r w:rsidRPr="00194D78">
        <w:rPr>
          <w:lang w:val="x-none"/>
        </w:rPr>
        <w:t>Reconciliation of opening and closing balances of the fair value of plan assets</w:t>
      </w:r>
    </w:p>
    <w:p w14:paraId="1BE03AEF" w14:textId="77777777" w:rsidR="00FA7EBF" w:rsidRDefault="00FA7EBF" w:rsidP="00CA66FD">
      <w:pPr>
        <w:pStyle w:val="ARfinbodylargespace"/>
      </w:pPr>
      <w:r w:rsidRPr="00194D78">
        <w:t>Movements in the present value of the plan assets in the current period were as follows: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1"/>
        <w:gridCol w:w="1134"/>
        <w:gridCol w:w="1134"/>
      </w:tblGrid>
      <w:tr w:rsidR="00FA7EBF" w:rsidRPr="007939DD" w14:paraId="705C3F56" w14:textId="77777777" w:rsidTr="007B207C">
        <w:trPr>
          <w:cantSplit/>
          <w:tblHeader/>
        </w:trPr>
        <w:tc>
          <w:tcPr>
            <w:tcW w:w="7371" w:type="dxa"/>
            <w:tcBorders>
              <w:top w:val="nil"/>
            </w:tcBorders>
            <w:vAlign w:val="bottom"/>
          </w:tcPr>
          <w:p w14:paraId="0441B64C" w14:textId="77777777" w:rsidR="00FA7EBF" w:rsidRPr="007939DD" w:rsidRDefault="00FA7EBF" w:rsidP="007B207C">
            <w:pPr>
              <w:pStyle w:val="ARfintablebody"/>
              <w:rPr>
                <w:lang w:eastAsia="en-AU"/>
              </w:rPr>
            </w:pPr>
          </w:p>
        </w:tc>
        <w:tc>
          <w:tcPr>
            <w:tcW w:w="1134" w:type="dxa"/>
            <w:tcBorders>
              <w:top w:val="nil"/>
            </w:tcBorders>
            <w:shd w:val="clear" w:color="auto" w:fill="E7E6E6"/>
            <w:vAlign w:val="bottom"/>
          </w:tcPr>
          <w:p w14:paraId="67FB426C" w14:textId="77777777" w:rsidR="00FA7EBF" w:rsidRPr="007939DD" w:rsidRDefault="00FA7EBF" w:rsidP="007B207C">
            <w:pPr>
              <w:pStyle w:val="ARfintablecolheadright"/>
            </w:pPr>
            <w:r w:rsidRPr="007939DD">
              <w:t>201</w:t>
            </w:r>
            <w:r>
              <w:t>9</w:t>
            </w:r>
          </w:p>
          <w:p w14:paraId="2D3007A5" w14:textId="77777777" w:rsidR="00FA7EBF" w:rsidRPr="007939DD" w:rsidRDefault="00FA7EBF" w:rsidP="007B207C">
            <w:pPr>
              <w:pStyle w:val="ARfintablecolheadright"/>
            </w:pPr>
            <w:r w:rsidRPr="007939DD">
              <w:t>$M</w:t>
            </w:r>
          </w:p>
        </w:tc>
        <w:tc>
          <w:tcPr>
            <w:tcW w:w="1134" w:type="dxa"/>
            <w:tcBorders>
              <w:top w:val="nil"/>
            </w:tcBorders>
            <w:vAlign w:val="bottom"/>
          </w:tcPr>
          <w:p w14:paraId="26A219B0" w14:textId="77777777" w:rsidR="00FA7EBF" w:rsidRPr="007939DD" w:rsidRDefault="00FA7EBF" w:rsidP="007B207C">
            <w:pPr>
              <w:pStyle w:val="ARfintablecolheadright"/>
            </w:pPr>
            <w:r w:rsidRPr="007939DD">
              <w:t>201</w:t>
            </w:r>
            <w:r>
              <w:t>8</w:t>
            </w:r>
          </w:p>
          <w:p w14:paraId="33C03920" w14:textId="77777777" w:rsidR="00FA7EBF" w:rsidRPr="007939DD" w:rsidRDefault="00FA7EBF" w:rsidP="007B207C">
            <w:pPr>
              <w:pStyle w:val="ARfintablecolheadright"/>
            </w:pPr>
            <w:r w:rsidRPr="007939DD">
              <w:t>$M</w:t>
            </w:r>
          </w:p>
        </w:tc>
      </w:tr>
      <w:tr w:rsidR="00FA7EBF" w:rsidRPr="007939DD" w14:paraId="570F7F46" w14:textId="77777777" w:rsidTr="007B207C">
        <w:trPr>
          <w:cantSplit/>
        </w:trPr>
        <w:tc>
          <w:tcPr>
            <w:tcW w:w="7371" w:type="dxa"/>
            <w:tcBorders>
              <w:bottom w:val="single" w:sz="4" w:space="0" w:color="A6A6A6" w:themeColor="background1" w:themeShade="A6"/>
            </w:tcBorders>
          </w:tcPr>
          <w:p w14:paraId="1DF6C7B8" w14:textId="77777777" w:rsidR="00FA7EBF" w:rsidRPr="007939DD" w:rsidRDefault="00FA7EBF" w:rsidP="007B207C">
            <w:pPr>
              <w:pStyle w:val="ARfintablebody"/>
              <w:rPr>
                <w:lang w:eastAsia="en-AU"/>
              </w:rPr>
            </w:pPr>
            <w:r w:rsidRPr="00125E55">
              <w:t>Contributions from the employer</w:t>
            </w:r>
          </w:p>
        </w:tc>
        <w:tc>
          <w:tcPr>
            <w:tcW w:w="1134" w:type="dxa"/>
            <w:tcBorders>
              <w:bottom w:val="single" w:sz="4" w:space="0" w:color="A6A6A6" w:themeColor="background1" w:themeShade="A6"/>
            </w:tcBorders>
            <w:shd w:val="clear" w:color="auto" w:fill="E7E6E6"/>
          </w:tcPr>
          <w:p w14:paraId="1F58B2E4" w14:textId="77777777" w:rsidR="00FA7EBF" w:rsidRPr="007939DD" w:rsidRDefault="00FA7EBF" w:rsidP="007B207C">
            <w:pPr>
              <w:pStyle w:val="ARfintablebodyright"/>
              <w:rPr>
                <w:lang w:eastAsia="en-AU"/>
              </w:rPr>
            </w:pPr>
            <w:r w:rsidRPr="00125E55">
              <w:t>2.8</w:t>
            </w:r>
          </w:p>
        </w:tc>
        <w:tc>
          <w:tcPr>
            <w:tcW w:w="1134" w:type="dxa"/>
            <w:tcBorders>
              <w:bottom w:val="single" w:sz="4" w:space="0" w:color="A6A6A6" w:themeColor="background1" w:themeShade="A6"/>
            </w:tcBorders>
          </w:tcPr>
          <w:p w14:paraId="28D38E86" w14:textId="77777777" w:rsidR="00FA7EBF" w:rsidRPr="007939DD" w:rsidRDefault="00FA7EBF" w:rsidP="007B207C">
            <w:pPr>
              <w:pStyle w:val="ARfintablebodyright"/>
              <w:rPr>
                <w:lang w:eastAsia="en-AU"/>
              </w:rPr>
            </w:pPr>
            <w:r w:rsidRPr="00125E55">
              <w:t>2.9</w:t>
            </w:r>
          </w:p>
        </w:tc>
      </w:tr>
      <w:tr w:rsidR="00FA7EBF" w:rsidRPr="007939DD" w14:paraId="6D761E99" w14:textId="77777777" w:rsidTr="007B207C">
        <w:trPr>
          <w:cantSplit/>
        </w:trPr>
        <w:tc>
          <w:tcPr>
            <w:tcW w:w="7371" w:type="dxa"/>
            <w:tcBorders>
              <w:top w:val="single" w:sz="4" w:space="0" w:color="A6A6A6" w:themeColor="background1" w:themeShade="A6"/>
            </w:tcBorders>
          </w:tcPr>
          <w:p w14:paraId="08927D0B" w14:textId="77777777" w:rsidR="00FA7EBF" w:rsidRPr="007939DD" w:rsidRDefault="00FA7EBF" w:rsidP="007B207C">
            <w:pPr>
              <w:pStyle w:val="ARfintablebody"/>
              <w:rPr>
                <w:lang w:eastAsia="en-AU"/>
              </w:rPr>
            </w:pPr>
            <w:r w:rsidRPr="00125E55">
              <w:t>Benefits paid</w:t>
            </w:r>
          </w:p>
        </w:tc>
        <w:tc>
          <w:tcPr>
            <w:tcW w:w="1134" w:type="dxa"/>
            <w:tcBorders>
              <w:top w:val="single" w:sz="4" w:space="0" w:color="A6A6A6" w:themeColor="background1" w:themeShade="A6"/>
            </w:tcBorders>
            <w:shd w:val="clear" w:color="auto" w:fill="E7E6E6"/>
          </w:tcPr>
          <w:p w14:paraId="76D3D5F3" w14:textId="77777777" w:rsidR="00FA7EBF" w:rsidRPr="007939DD" w:rsidRDefault="00FA7EBF" w:rsidP="007B207C">
            <w:pPr>
              <w:pStyle w:val="ARfintablebodyright"/>
              <w:rPr>
                <w:lang w:eastAsia="en-AU"/>
              </w:rPr>
            </w:pPr>
            <w:r w:rsidRPr="00125E55">
              <w:t>(2.8)</w:t>
            </w:r>
          </w:p>
        </w:tc>
        <w:tc>
          <w:tcPr>
            <w:tcW w:w="1134" w:type="dxa"/>
            <w:tcBorders>
              <w:top w:val="single" w:sz="4" w:space="0" w:color="A6A6A6" w:themeColor="background1" w:themeShade="A6"/>
            </w:tcBorders>
          </w:tcPr>
          <w:p w14:paraId="37C3CC01" w14:textId="77777777" w:rsidR="00FA7EBF" w:rsidRPr="007939DD" w:rsidRDefault="00FA7EBF" w:rsidP="007B207C">
            <w:pPr>
              <w:pStyle w:val="ARfintablebodyright"/>
              <w:rPr>
                <w:lang w:eastAsia="en-AU"/>
              </w:rPr>
            </w:pPr>
            <w:r w:rsidRPr="00125E55">
              <w:t>(2.9)</w:t>
            </w:r>
          </w:p>
        </w:tc>
      </w:tr>
      <w:tr w:rsidR="00FA7EBF" w:rsidRPr="007939DD" w14:paraId="344200BE" w14:textId="77777777" w:rsidTr="007B207C">
        <w:trPr>
          <w:cantSplit/>
        </w:trPr>
        <w:tc>
          <w:tcPr>
            <w:tcW w:w="7371" w:type="dxa"/>
          </w:tcPr>
          <w:p w14:paraId="6780C46C" w14:textId="77777777" w:rsidR="00FA7EBF" w:rsidRPr="007939DD" w:rsidRDefault="00FA7EBF" w:rsidP="007B207C">
            <w:pPr>
              <w:pStyle w:val="ARfintablebodybold"/>
              <w:rPr>
                <w:lang w:eastAsia="en-AU"/>
              </w:rPr>
            </w:pPr>
            <w:r w:rsidRPr="00125E55">
              <w:t>Closing balance of plan assets</w:t>
            </w:r>
          </w:p>
        </w:tc>
        <w:tc>
          <w:tcPr>
            <w:tcW w:w="1134" w:type="dxa"/>
            <w:shd w:val="clear" w:color="auto" w:fill="E7E6E6"/>
          </w:tcPr>
          <w:p w14:paraId="51FC525A" w14:textId="77777777" w:rsidR="00FA7EBF" w:rsidRPr="007939DD" w:rsidRDefault="00FA7EBF" w:rsidP="007B207C">
            <w:pPr>
              <w:pStyle w:val="ARfintablebodyrightbold"/>
              <w:rPr>
                <w:lang w:eastAsia="en-AU"/>
              </w:rPr>
            </w:pPr>
            <w:r w:rsidRPr="00125E55">
              <w:t>–</w:t>
            </w:r>
          </w:p>
        </w:tc>
        <w:tc>
          <w:tcPr>
            <w:tcW w:w="1134" w:type="dxa"/>
          </w:tcPr>
          <w:p w14:paraId="57F02ED8" w14:textId="77777777" w:rsidR="00FA7EBF" w:rsidRPr="007939DD" w:rsidRDefault="00FA7EBF" w:rsidP="007B207C">
            <w:pPr>
              <w:pStyle w:val="ARfintablebodyrightbold"/>
              <w:rPr>
                <w:rStyle w:val="Strong"/>
                <w:bCs w:val="0"/>
              </w:rPr>
            </w:pPr>
            <w:r w:rsidRPr="00125E55">
              <w:t>–</w:t>
            </w:r>
          </w:p>
        </w:tc>
      </w:tr>
    </w:tbl>
    <w:p w14:paraId="63233E8E" w14:textId="77777777" w:rsidR="00FA7EBF" w:rsidRPr="00D6283A" w:rsidRDefault="00FA7EBF" w:rsidP="00CA66FD">
      <w:pPr>
        <w:pStyle w:val="Heading7"/>
      </w:pPr>
      <w:bookmarkStart w:id="254" w:name="_Ref21958002"/>
      <w:r w:rsidRPr="00D6283A">
        <w:t>Superannuation expense recognised in the comprehensive operating statement</w:t>
      </w:r>
      <w:bookmarkEnd w:id="254"/>
    </w:p>
    <w:tbl>
      <w:tblPr>
        <w:tblStyle w:val="TableGrid"/>
        <w:tblW w:w="9639" w:type="dxa"/>
        <w:tblLayout w:type="fixed"/>
        <w:tblLook w:val="06A0" w:firstRow="1" w:lastRow="0" w:firstColumn="1" w:lastColumn="0" w:noHBand="1" w:noVBand="1"/>
      </w:tblPr>
      <w:tblGrid>
        <w:gridCol w:w="7371"/>
        <w:gridCol w:w="1134"/>
        <w:gridCol w:w="1134"/>
      </w:tblGrid>
      <w:tr w:rsidR="00FA7EBF" w:rsidRPr="007939DD" w14:paraId="6B7345F8" w14:textId="77777777" w:rsidTr="007B207C">
        <w:trPr>
          <w:cnfStyle w:val="100000000000" w:firstRow="1" w:lastRow="0" w:firstColumn="0" w:lastColumn="0" w:oddVBand="0" w:evenVBand="0" w:oddHBand="0" w:evenHBand="0" w:firstRowFirstColumn="0" w:firstRowLastColumn="0" w:lastRowFirstColumn="0" w:lastRowLastColumn="0"/>
          <w:tblHeader/>
        </w:trPr>
        <w:tc>
          <w:tcPr>
            <w:tcW w:w="7371" w:type="dxa"/>
          </w:tcPr>
          <w:p w14:paraId="5A23BD01" w14:textId="77777777" w:rsidR="00FA7EBF" w:rsidRPr="007939DD" w:rsidRDefault="00FA7EBF" w:rsidP="007B207C">
            <w:pPr>
              <w:pStyle w:val="ARfintablebody"/>
              <w:rPr>
                <w:lang w:eastAsia="en-AU"/>
              </w:rPr>
            </w:pPr>
          </w:p>
        </w:tc>
        <w:tc>
          <w:tcPr>
            <w:tcW w:w="1134" w:type="dxa"/>
            <w:shd w:val="clear" w:color="auto" w:fill="E7E6E6"/>
          </w:tcPr>
          <w:p w14:paraId="2816AD07" w14:textId="77777777" w:rsidR="00FA7EBF" w:rsidRPr="007939DD" w:rsidRDefault="00FA7EBF" w:rsidP="007B207C">
            <w:pPr>
              <w:pStyle w:val="ARfintablecolheadright"/>
            </w:pPr>
            <w:r w:rsidRPr="007939DD">
              <w:t>201</w:t>
            </w:r>
            <w:r>
              <w:t>9</w:t>
            </w:r>
          </w:p>
          <w:p w14:paraId="08F89AF8" w14:textId="77777777" w:rsidR="00FA7EBF" w:rsidRPr="007939DD" w:rsidRDefault="00FA7EBF" w:rsidP="007B207C">
            <w:pPr>
              <w:pStyle w:val="ARfintablecolheadright"/>
            </w:pPr>
            <w:r w:rsidRPr="007939DD">
              <w:t>$M</w:t>
            </w:r>
          </w:p>
        </w:tc>
        <w:tc>
          <w:tcPr>
            <w:tcW w:w="1134" w:type="dxa"/>
          </w:tcPr>
          <w:p w14:paraId="445DE320" w14:textId="77777777" w:rsidR="00FA7EBF" w:rsidRPr="007939DD" w:rsidRDefault="00FA7EBF" w:rsidP="007B207C">
            <w:pPr>
              <w:pStyle w:val="ARfintablecolheadright"/>
            </w:pPr>
            <w:r w:rsidRPr="007939DD">
              <w:t>201</w:t>
            </w:r>
            <w:r>
              <w:t>8</w:t>
            </w:r>
          </w:p>
          <w:p w14:paraId="60DF23F5" w14:textId="77777777" w:rsidR="00FA7EBF" w:rsidRPr="007939DD" w:rsidRDefault="00FA7EBF" w:rsidP="007B207C">
            <w:pPr>
              <w:pStyle w:val="ARfintablecolheadright"/>
            </w:pPr>
            <w:r w:rsidRPr="007939DD">
              <w:t>$M</w:t>
            </w:r>
          </w:p>
        </w:tc>
      </w:tr>
      <w:tr w:rsidR="00FA7EBF" w:rsidRPr="007939DD" w14:paraId="2AEB3FB5" w14:textId="77777777" w:rsidTr="007B207C">
        <w:tc>
          <w:tcPr>
            <w:tcW w:w="7371" w:type="dxa"/>
          </w:tcPr>
          <w:p w14:paraId="40501E60" w14:textId="77777777" w:rsidR="00FA7EBF" w:rsidRPr="007939DD" w:rsidRDefault="00FA7EBF" w:rsidP="007B207C">
            <w:pPr>
              <w:pStyle w:val="ARfintablebody"/>
              <w:rPr>
                <w:lang w:eastAsia="en-AU"/>
              </w:rPr>
            </w:pPr>
            <w:r w:rsidRPr="004E3B3F">
              <w:t>Interest cost</w:t>
            </w:r>
          </w:p>
        </w:tc>
        <w:tc>
          <w:tcPr>
            <w:tcW w:w="1134" w:type="dxa"/>
            <w:shd w:val="clear" w:color="auto" w:fill="E7E6E6"/>
          </w:tcPr>
          <w:p w14:paraId="5CAA1646" w14:textId="77777777" w:rsidR="00FA7EBF" w:rsidRPr="007939DD" w:rsidRDefault="00FA7EBF" w:rsidP="007B207C">
            <w:pPr>
              <w:pStyle w:val="ARfintablebodyright"/>
              <w:rPr>
                <w:lang w:eastAsia="en-AU"/>
              </w:rPr>
            </w:pPr>
            <w:r w:rsidRPr="004E3B3F">
              <w:t>0.9</w:t>
            </w:r>
          </w:p>
        </w:tc>
        <w:tc>
          <w:tcPr>
            <w:tcW w:w="1134" w:type="dxa"/>
          </w:tcPr>
          <w:p w14:paraId="04256DA0" w14:textId="77777777" w:rsidR="00FA7EBF" w:rsidRPr="007939DD" w:rsidRDefault="00FA7EBF" w:rsidP="007B207C">
            <w:pPr>
              <w:pStyle w:val="ARfintablebodyright"/>
              <w:rPr>
                <w:lang w:eastAsia="en-AU"/>
              </w:rPr>
            </w:pPr>
            <w:r w:rsidRPr="004E3B3F">
              <w:t>1.0</w:t>
            </w:r>
          </w:p>
        </w:tc>
      </w:tr>
      <w:tr w:rsidR="00FA7EBF" w:rsidRPr="007939DD" w14:paraId="0243827B" w14:textId="77777777" w:rsidTr="007B207C">
        <w:tc>
          <w:tcPr>
            <w:tcW w:w="7371" w:type="dxa"/>
          </w:tcPr>
          <w:p w14:paraId="1DF7DF84" w14:textId="77777777" w:rsidR="00FA7EBF" w:rsidRPr="007939DD" w:rsidRDefault="00FA7EBF" w:rsidP="007B207C">
            <w:pPr>
              <w:pStyle w:val="ARfintablebody"/>
              <w:rPr>
                <w:lang w:eastAsia="en-AU"/>
              </w:rPr>
            </w:pPr>
            <w:r w:rsidRPr="004E3B3F">
              <w:t>Actuarial losses/(gains)</w:t>
            </w:r>
          </w:p>
        </w:tc>
        <w:tc>
          <w:tcPr>
            <w:tcW w:w="1134" w:type="dxa"/>
            <w:shd w:val="clear" w:color="auto" w:fill="E7E6E6"/>
          </w:tcPr>
          <w:p w14:paraId="49469FD9" w14:textId="77777777" w:rsidR="00FA7EBF" w:rsidRPr="007939DD" w:rsidRDefault="00FA7EBF" w:rsidP="007B207C">
            <w:pPr>
              <w:pStyle w:val="ARfintablebodyright"/>
              <w:rPr>
                <w:lang w:eastAsia="en-AU"/>
              </w:rPr>
            </w:pPr>
            <w:r w:rsidRPr="004E3B3F">
              <w:t>2.5</w:t>
            </w:r>
          </w:p>
        </w:tc>
        <w:tc>
          <w:tcPr>
            <w:tcW w:w="1134" w:type="dxa"/>
          </w:tcPr>
          <w:p w14:paraId="356F19F4" w14:textId="77777777" w:rsidR="00FA7EBF" w:rsidRPr="007939DD" w:rsidRDefault="00FA7EBF" w:rsidP="007B207C">
            <w:pPr>
              <w:pStyle w:val="ARfintablebodyright"/>
              <w:rPr>
                <w:lang w:eastAsia="en-AU"/>
              </w:rPr>
            </w:pPr>
            <w:r w:rsidRPr="004E3B3F">
              <w:t>0.3</w:t>
            </w:r>
          </w:p>
        </w:tc>
      </w:tr>
      <w:tr w:rsidR="00FA7EBF" w:rsidRPr="007939DD" w14:paraId="632DFE2C" w14:textId="77777777" w:rsidTr="007B207C">
        <w:tc>
          <w:tcPr>
            <w:tcW w:w="7371" w:type="dxa"/>
          </w:tcPr>
          <w:p w14:paraId="72F15E2E" w14:textId="77777777" w:rsidR="00FA7EBF" w:rsidRPr="007939DD" w:rsidRDefault="00FA7EBF" w:rsidP="007B207C">
            <w:pPr>
              <w:pStyle w:val="ARfintablebodybold"/>
              <w:rPr>
                <w:lang w:eastAsia="en-AU"/>
              </w:rPr>
            </w:pPr>
            <w:r w:rsidRPr="00DA6DCA">
              <w:t>Total expense recognised in respect of defined benefit plans</w:t>
            </w:r>
          </w:p>
        </w:tc>
        <w:tc>
          <w:tcPr>
            <w:tcW w:w="1134" w:type="dxa"/>
            <w:shd w:val="clear" w:color="auto" w:fill="E7E6E6"/>
          </w:tcPr>
          <w:p w14:paraId="30B6FF14" w14:textId="77777777" w:rsidR="00FA7EBF" w:rsidRPr="007939DD" w:rsidRDefault="00FA7EBF" w:rsidP="007B207C">
            <w:pPr>
              <w:pStyle w:val="ARfintablebodyrightbold"/>
              <w:rPr>
                <w:lang w:eastAsia="en-AU"/>
              </w:rPr>
            </w:pPr>
            <w:r w:rsidRPr="00DA6DCA">
              <w:t>3.5</w:t>
            </w:r>
          </w:p>
        </w:tc>
        <w:tc>
          <w:tcPr>
            <w:tcW w:w="1134" w:type="dxa"/>
          </w:tcPr>
          <w:p w14:paraId="7764701D" w14:textId="77777777" w:rsidR="00FA7EBF" w:rsidRPr="007939DD" w:rsidRDefault="00FA7EBF" w:rsidP="007B207C">
            <w:pPr>
              <w:pStyle w:val="ARfintablebodyrightbold"/>
              <w:rPr>
                <w:rStyle w:val="Strong"/>
                <w:bCs w:val="0"/>
              </w:rPr>
            </w:pPr>
            <w:r w:rsidRPr="00DA6DCA">
              <w:t>1.2</w:t>
            </w:r>
          </w:p>
        </w:tc>
      </w:tr>
    </w:tbl>
    <w:p w14:paraId="767CBEB7" w14:textId="77777777" w:rsidR="00FA7EBF" w:rsidRPr="00194D78" w:rsidRDefault="00FA7EBF" w:rsidP="00CA66FD">
      <w:pPr>
        <w:pStyle w:val="ARfinbodyaftertable"/>
      </w:pPr>
      <w:r w:rsidRPr="00194D78">
        <w:t>Net actuarial gains or losses reflect the change in superannuation liability that arises due to differences between the assumptions used to calculate the superannuation expense from transactions and actual outcomes. The effect of any change in actuarial assumptions during the period is also included. Net actuarial gains or losses are recognised in the period in which they occur.</w:t>
      </w:r>
    </w:p>
    <w:p w14:paraId="2AAD5F6E" w14:textId="77777777" w:rsidR="00FA7EBF" w:rsidRPr="00194D78" w:rsidRDefault="00FA7EBF" w:rsidP="00CA66FD">
      <w:pPr>
        <w:pStyle w:val="Heading6"/>
        <w:rPr>
          <w:lang w:eastAsia="en-AU"/>
        </w:rPr>
      </w:pPr>
      <w:r w:rsidRPr="00194D78">
        <w:rPr>
          <w:lang w:eastAsia="en-AU"/>
        </w:rPr>
        <w:t>3.1.1(c) Superannuation contributions</w:t>
      </w:r>
    </w:p>
    <w:p w14:paraId="5832B6A2" w14:textId="77777777" w:rsidR="00FA7EBF" w:rsidRPr="00194D78" w:rsidRDefault="00FA7EBF" w:rsidP="00CA66FD">
      <w:pPr>
        <w:pStyle w:val="ARfinbody"/>
      </w:pPr>
      <w:r w:rsidRPr="00194D78">
        <w:t>Employees of the department are entitled to receive superannuation benefits and the department contributes to both defined benefit and defined contribution plans. The defined benefit plan(s) provide benefits based on years of service and final average salary.</w:t>
      </w:r>
    </w:p>
    <w:p w14:paraId="2C953D1E" w14:textId="77777777" w:rsidR="00FA7EBF" w:rsidRDefault="00FA7EBF" w:rsidP="00CA66FD">
      <w:pPr>
        <w:pStyle w:val="ARfinbody"/>
      </w:pPr>
      <w:r w:rsidRPr="00194D78">
        <w:t>As noted before, other than former employees of the Director of Housing, the defined benefit liability is recognised in the Department of Treasury and Finance as an administered liability. However, superannuation contributions paid or payable for the reporting period are included as part of employee benefits in the comprehensive operating statement of the department.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1134"/>
        <w:gridCol w:w="1134"/>
        <w:gridCol w:w="1134"/>
        <w:gridCol w:w="1134"/>
      </w:tblGrid>
      <w:tr w:rsidR="00FA7EBF" w:rsidRPr="007939DD" w14:paraId="4DD40974" w14:textId="77777777" w:rsidTr="007B207C">
        <w:trPr>
          <w:cantSplit/>
          <w:tblHeader/>
        </w:trPr>
        <w:tc>
          <w:tcPr>
            <w:tcW w:w="5103" w:type="dxa"/>
            <w:vMerge w:val="restart"/>
            <w:vAlign w:val="bottom"/>
          </w:tcPr>
          <w:p w14:paraId="745680B0" w14:textId="77777777" w:rsidR="00FA7EBF" w:rsidRPr="007939DD" w:rsidRDefault="00FA7EBF" w:rsidP="007B207C">
            <w:pPr>
              <w:pStyle w:val="ARfintablecolhead"/>
            </w:pPr>
          </w:p>
        </w:tc>
        <w:tc>
          <w:tcPr>
            <w:tcW w:w="2268" w:type="dxa"/>
            <w:gridSpan w:val="2"/>
            <w:vAlign w:val="bottom"/>
          </w:tcPr>
          <w:p w14:paraId="3593C325" w14:textId="77777777" w:rsidR="00FA7EBF" w:rsidRPr="007939DD" w:rsidRDefault="00FA7EBF" w:rsidP="007B207C">
            <w:pPr>
              <w:pStyle w:val="ARfintablecolheadcentre"/>
            </w:pPr>
            <w:r w:rsidRPr="007939DD">
              <w:t xml:space="preserve">Paid contribution </w:t>
            </w:r>
            <w:r w:rsidRPr="007939DD">
              <w:br/>
              <w:t>for the year</w:t>
            </w:r>
          </w:p>
        </w:tc>
        <w:tc>
          <w:tcPr>
            <w:tcW w:w="2268" w:type="dxa"/>
            <w:gridSpan w:val="2"/>
            <w:vAlign w:val="bottom"/>
          </w:tcPr>
          <w:p w14:paraId="00B228CE" w14:textId="77777777" w:rsidR="00FA7EBF" w:rsidRPr="007939DD" w:rsidRDefault="00FA7EBF" w:rsidP="007B207C">
            <w:pPr>
              <w:pStyle w:val="ARfintablecolheadcentre"/>
            </w:pPr>
            <w:r w:rsidRPr="007939DD">
              <w:t xml:space="preserve">Contribution outstanding </w:t>
            </w:r>
            <w:r w:rsidRPr="007939DD">
              <w:br/>
              <w:t>at year end</w:t>
            </w:r>
          </w:p>
        </w:tc>
      </w:tr>
      <w:tr w:rsidR="00FA7EBF" w:rsidRPr="007939DD" w14:paraId="08830236" w14:textId="77777777" w:rsidTr="007B207C">
        <w:trPr>
          <w:cantSplit/>
          <w:tblHeader/>
        </w:trPr>
        <w:tc>
          <w:tcPr>
            <w:tcW w:w="5103" w:type="dxa"/>
            <w:vMerge/>
            <w:vAlign w:val="bottom"/>
          </w:tcPr>
          <w:p w14:paraId="5A7B7DD5" w14:textId="77777777" w:rsidR="00FA7EBF" w:rsidRPr="007939DD" w:rsidRDefault="00FA7EBF" w:rsidP="007B207C">
            <w:pPr>
              <w:pStyle w:val="ARfintablecolheadright"/>
            </w:pPr>
          </w:p>
        </w:tc>
        <w:tc>
          <w:tcPr>
            <w:tcW w:w="1134" w:type="dxa"/>
            <w:shd w:val="clear" w:color="auto" w:fill="E7E6E6"/>
            <w:vAlign w:val="bottom"/>
          </w:tcPr>
          <w:p w14:paraId="4E973FC0" w14:textId="77777777" w:rsidR="00FA7EBF" w:rsidRPr="007939DD" w:rsidRDefault="00FA7EBF" w:rsidP="007B207C">
            <w:pPr>
              <w:pStyle w:val="ARfintablecolheadright"/>
            </w:pPr>
            <w:r w:rsidRPr="007939DD">
              <w:t>201</w:t>
            </w:r>
            <w:r>
              <w:t>9</w:t>
            </w:r>
          </w:p>
          <w:p w14:paraId="1B758DC2" w14:textId="77777777" w:rsidR="00FA7EBF" w:rsidRPr="007939DD" w:rsidRDefault="00FA7EBF" w:rsidP="007B207C">
            <w:pPr>
              <w:pStyle w:val="ARfintablecolheadright"/>
            </w:pPr>
            <w:r w:rsidRPr="007939DD">
              <w:t>$M</w:t>
            </w:r>
          </w:p>
        </w:tc>
        <w:tc>
          <w:tcPr>
            <w:tcW w:w="1134" w:type="dxa"/>
            <w:vAlign w:val="bottom"/>
          </w:tcPr>
          <w:p w14:paraId="07CBF943" w14:textId="77777777" w:rsidR="00FA7EBF" w:rsidRPr="007939DD" w:rsidRDefault="00FA7EBF" w:rsidP="007B207C">
            <w:pPr>
              <w:pStyle w:val="ARfintablecolheadright"/>
            </w:pPr>
            <w:r w:rsidRPr="007939DD">
              <w:t>201</w:t>
            </w:r>
            <w:r>
              <w:t>8</w:t>
            </w:r>
          </w:p>
          <w:p w14:paraId="37263224" w14:textId="77777777" w:rsidR="00FA7EBF" w:rsidRPr="007939DD" w:rsidRDefault="00FA7EBF" w:rsidP="007B207C">
            <w:pPr>
              <w:pStyle w:val="ARfintablecolheadright"/>
            </w:pPr>
            <w:r w:rsidRPr="007939DD">
              <w:t>$M</w:t>
            </w:r>
          </w:p>
        </w:tc>
        <w:tc>
          <w:tcPr>
            <w:tcW w:w="1134" w:type="dxa"/>
            <w:shd w:val="clear" w:color="auto" w:fill="E7E6E6"/>
            <w:vAlign w:val="bottom"/>
          </w:tcPr>
          <w:p w14:paraId="4F5E6EC3" w14:textId="77777777" w:rsidR="00FA7EBF" w:rsidRPr="007939DD" w:rsidRDefault="00FA7EBF" w:rsidP="007B207C">
            <w:pPr>
              <w:pStyle w:val="ARfintablecolheadright"/>
            </w:pPr>
            <w:r w:rsidRPr="007939DD">
              <w:t>201</w:t>
            </w:r>
            <w:r>
              <w:t>9</w:t>
            </w:r>
          </w:p>
          <w:p w14:paraId="74CC06F4" w14:textId="77777777" w:rsidR="00FA7EBF" w:rsidRPr="007939DD" w:rsidRDefault="00FA7EBF" w:rsidP="007B207C">
            <w:pPr>
              <w:pStyle w:val="ARfintablecolheadright"/>
            </w:pPr>
            <w:r w:rsidRPr="007939DD">
              <w:t>$M</w:t>
            </w:r>
          </w:p>
        </w:tc>
        <w:tc>
          <w:tcPr>
            <w:tcW w:w="1134" w:type="dxa"/>
            <w:vAlign w:val="bottom"/>
          </w:tcPr>
          <w:p w14:paraId="5233AFDB" w14:textId="77777777" w:rsidR="00FA7EBF" w:rsidRPr="007939DD" w:rsidRDefault="00FA7EBF" w:rsidP="007B207C">
            <w:pPr>
              <w:pStyle w:val="ARfintablecolheadright"/>
            </w:pPr>
            <w:r w:rsidRPr="007939DD">
              <w:t>201</w:t>
            </w:r>
            <w:r>
              <w:t>8</w:t>
            </w:r>
          </w:p>
          <w:p w14:paraId="23EE5015" w14:textId="77777777" w:rsidR="00FA7EBF" w:rsidRPr="007939DD" w:rsidRDefault="00FA7EBF" w:rsidP="007B207C">
            <w:pPr>
              <w:pStyle w:val="ARfintablecolheadright"/>
            </w:pPr>
            <w:r w:rsidRPr="007939DD">
              <w:t>$M</w:t>
            </w:r>
          </w:p>
        </w:tc>
      </w:tr>
      <w:tr w:rsidR="00FA7EBF" w:rsidRPr="007939DD" w14:paraId="6B001371" w14:textId="77777777" w:rsidTr="007B207C">
        <w:trPr>
          <w:cantSplit/>
        </w:trPr>
        <w:tc>
          <w:tcPr>
            <w:tcW w:w="9639" w:type="dxa"/>
            <w:gridSpan w:val="5"/>
            <w:tcBorders>
              <w:bottom w:val="single" w:sz="4" w:space="0" w:color="A6A6A6" w:themeColor="background1" w:themeShade="A6"/>
            </w:tcBorders>
          </w:tcPr>
          <w:p w14:paraId="24F87729" w14:textId="77777777" w:rsidR="00FA7EBF" w:rsidRPr="007939DD" w:rsidRDefault="00FA7EBF" w:rsidP="007B207C">
            <w:pPr>
              <w:pStyle w:val="ARfintablebodybold"/>
              <w:rPr>
                <w:lang w:eastAsia="en-AU"/>
              </w:rPr>
            </w:pPr>
            <w:r w:rsidRPr="00536298">
              <w:t>Defined benefit plans</w:t>
            </w:r>
          </w:p>
        </w:tc>
      </w:tr>
      <w:tr w:rsidR="00FA7EBF" w:rsidRPr="007939DD" w14:paraId="77F4C410" w14:textId="77777777" w:rsidTr="007B207C">
        <w:trPr>
          <w:cantSplit/>
        </w:trPr>
        <w:tc>
          <w:tcPr>
            <w:tcW w:w="5103" w:type="dxa"/>
            <w:tcBorders>
              <w:top w:val="single" w:sz="4" w:space="0" w:color="A6A6A6" w:themeColor="background1" w:themeShade="A6"/>
              <w:bottom w:val="single" w:sz="4" w:space="0" w:color="A6A6A6" w:themeColor="background1" w:themeShade="A6"/>
            </w:tcBorders>
          </w:tcPr>
          <w:p w14:paraId="7CF6D50D" w14:textId="77777777" w:rsidR="00FA7EBF" w:rsidRPr="007939DD" w:rsidRDefault="00FA7EBF" w:rsidP="007B207C">
            <w:pPr>
              <w:pStyle w:val="ARfintablebody"/>
              <w:rPr>
                <w:lang w:eastAsia="en-AU"/>
              </w:rPr>
            </w:pPr>
            <w:r w:rsidRPr="00536298">
              <w:t>State superannuation fund</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4584F6E" w14:textId="77777777" w:rsidR="00FA7EBF" w:rsidRPr="007939DD" w:rsidRDefault="00FA7EBF" w:rsidP="007B207C">
            <w:pPr>
              <w:pStyle w:val="ARfintablebodyright"/>
            </w:pPr>
            <w:r w:rsidRPr="00536298">
              <w:t>7.4</w:t>
            </w:r>
          </w:p>
        </w:tc>
        <w:tc>
          <w:tcPr>
            <w:tcW w:w="1134" w:type="dxa"/>
            <w:tcBorders>
              <w:top w:val="single" w:sz="4" w:space="0" w:color="A6A6A6" w:themeColor="background1" w:themeShade="A6"/>
              <w:bottom w:val="single" w:sz="4" w:space="0" w:color="A6A6A6" w:themeColor="background1" w:themeShade="A6"/>
            </w:tcBorders>
          </w:tcPr>
          <w:p w14:paraId="6AEC049A" w14:textId="77777777" w:rsidR="00FA7EBF" w:rsidRPr="007939DD" w:rsidRDefault="00FA7EBF" w:rsidP="007B207C">
            <w:pPr>
              <w:pStyle w:val="ARfintablebodyright"/>
              <w:rPr>
                <w:lang w:eastAsia="en-AU"/>
              </w:rPr>
            </w:pPr>
            <w:r w:rsidRPr="00536298">
              <w:t>10.8</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B797962" w14:textId="77777777" w:rsidR="00FA7EBF" w:rsidRPr="007939DD" w:rsidRDefault="00FA7EBF" w:rsidP="007B207C">
            <w:pPr>
              <w:pStyle w:val="ARfintablebodyright"/>
              <w:rPr>
                <w:lang w:eastAsia="en-AU"/>
              </w:rPr>
            </w:pPr>
            <w:r w:rsidRPr="00536298">
              <w:t>2.6</w:t>
            </w:r>
          </w:p>
        </w:tc>
        <w:tc>
          <w:tcPr>
            <w:tcW w:w="1134" w:type="dxa"/>
            <w:tcBorders>
              <w:top w:val="single" w:sz="4" w:space="0" w:color="A6A6A6" w:themeColor="background1" w:themeShade="A6"/>
              <w:bottom w:val="single" w:sz="4" w:space="0" w:color="A6A6A6" w:themeColor="background1" w:themeShade="A6"/>
            </w:tcBorders>
          </w:tcPr>
          <w:p w14:paraId="7E32A51A" w14:textId="77777777" w:rsidR="00FA7EBF" w:rsidRPr="007939DD" w:rsidRDefault="00FA7EBF" w:rsidP="007B207C">
            <w:pPr>
              <w:pStyle w:val="ARfintablebodyright"/>
              <w:rPr>
                <w:lang w:eastAsia="en-AU"/>
              </w:rPr>
            </w:pPr>
            <w:r w:rsidRPr="00536298">
              <w:t>–</w:t>
            </w:r>
          </w:p>
        </w:tc>
      </w:tr>
      <w:tr w:rsidR="00FA7EBF" w:rsidRPr="007939DD" w14:paraId="304DD26E" w14:textId="77777777" w:rsidTr="007B207C">
        <w:trPr>
          <w:cantSplit/>
        </w:trPr>
        <w:tc>
          <w:tcPr>
            <w:tcW w:w="5103" w:type="dxa"/>
            <w:tcBorders>
              <w:top w:val="single" w:sz="4" w:space="0" w:color="A6A6A6" w:themeColor="background1" w:themeShade="A6"/>
              <w:bottom w:val="single" w:sz="4" w:space="0" w:color="A6A6A6" w:themeColor="background1" w:themeShade="A6"/>
            </w:tcBorders>
          </w:tcPr>
          <w:p w14:paraId="04129021" w14:textId="77777777" w:rsidR="00FA7EBF" w:rsidRPr="007939DD" w:rsidRDefault="00FA7EBF" w:rsidP="007B207C">
            <w:pPr>
              <w:pStyle w:val="ARfintablebody"/>
              <w:rPr>
                <w:lang w:eastAsia="en-AU"/>
              </w:rPr>
            </w:pPr>
            <w:r w:rsidRPr="00536298">
              <w:t>Other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72FEE45" w14:textId="77777777" w:rsidR="00FA7EBF" w:rsidRPr="007939DD" w:rsidRDefault="00FA7EBF" w:rsidP="007B207C">
            <w:pPr>
              <w:pStyle w:val="ARfintablebodyright"/>
            </w:pPr>
            <w:r w:rsidRPr="00536298">
              <w:t>0.5</w:t>
            </w:r>
          </w:p>
        </w:tc>
        <w:tc>
          <w:tcPr>
            <w:tcW w:w="1134" w:type="dxa"/>
            <w:tcBorders>
              <w:top w:val="single" w:sz="4" w:space="0" w:color="A6A6A6" w:themeColor="background1" w:themeShade="A6"/>
              <w:bottom w:val="single" w:sz="4" w:space="0" w:color="A6A6A6" w:themeColor="background1" w:themeShade="A6"/>
            </w:tcBorders>
          </w:tcPr>
          <w:p w14:paraId="64D4B451" w14:textId="77777777" w:rsidR="00FA7EBF" w:rsidRPr="007939DD" w:rsidRDefault="00FA7EBF" w:rsidP="007B207C">
            <w:pPr>
              <w:pStyle w:val="ARfintablebodyright"/>
              <w:rPr>
                <w:lang w:eastAsia="en-AU"/>
              </w:rPr>
            </w:pPr>
            <w:r w:rsidRPr="00536298">
              <w:t>0.6</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F166CCE" w14:textId="77777777" w:rsidR="00FA7EBF" w:rsidRPr="007939DD" w:rsidRDefault="00FA7EBF" w:rsidP="007B207C">
            <w:pPr>
              <w:pStyle w:val="ARfintablebodyright"/>
              <w:rPr>
                <w:lang w:eastAsia="en-AU"/>
              </w:rPr>
            </w:pPr>
            <w:r w:rsidRPr="00536298">
              <w:t>–</w:t>
            </w:r>
          </w:p>
        </w:tc>
        <w:tc>
          <w:tcPr>
            <w:tcW w:w="1134" w:type="dxa"/>
            <w:tcBorders>
              <w:top w:val="single" w:sz="4" w:space="0" w:color="A6A6A6" w:themeColor="background1" w:themeShade="A6"/>
              <w:bottom w:val="single" w:sz="4" w:space="0" w:color="A6A6A6" w:themeColor="background1" w:themeShade="A6"/>
            </w:tcBorders>
          </w:tcPr>
          <w:p w14:paraId="2A58EB76" w14:textId="77777777" w:rsidR="00FA7EBF" w:rsidRPr="007939DD" w:rsidRDefault="00FA7EBF" w:rsidP="007B207C">
            <w:pPr>
              <w:pStyle w:val="ARfintablebodyright"/>
              <w:rPr>
                <w:lang w:eastAsia="en-AU"/>
              </w:rPr>
            </w:pPr>
            <w:r w:rsidRPr="00536298">
              <w:t>–</w:t>
            </w:r>
          </w:p>
        </w:tc>
      </w:tr>
      <w:tr w:rsidR="00FA7EBF" w:rsidRPr="007939DD" w14:paraId="59FDA20A" w14:textId="77777777" w:rsidTr="007B207C">
        <w:trPr>
          <w:cantSplit/>
        </w:trPr>
        <w:tc>
          <w:tcPr>
            <w:tcW w:w="9639" w:type="dxa"/>
            <w:gridSpan w:val="5"/>
            <w:tcBorders>
              <w:top w:val="single" w:sz="4" w:space="0" w:color="A6A6A6" w:themeColor="background1" w:themeShade="A6"/>
              <w:bottom w:val="single" w:sz="4" w:space="0" w:color="A6A6A6" w:themeColor="background1" w:themeShade="A6"/>
            </w:tcBorders>
          </w:tcPr>
          <w:p w14:paraId="348E8128" w14:textId="77777777" w:rsidR="00FA7EBF" w:rsidRPr="007939DD" w:rsidRDefault="00FA7EBF" w:rsidP="007B207C">
            <w:pPr>
              <w:pStyle w:val="ARfintablebodybold"/>
              <w:rPr>
                <w:rStyle w:val="Strong"/>
                <w:bCs/>
              </w:rPr>
            </w:pPr>
            <w:r w:rsidRPr="00536298">
              <w:t>Defined contribution plans</w:t>
            </w:r>
          </w:p>
        </w:tc>
      </w:tr>
      <w:tr w:rsidR="00FA7EBF" w:rsidRPr="007939DD" w14:paraId="7FBA569D" w14:textId="77777777" w:rsidTr="007B207C">
        <w:trPr>
          <w:cantSplit/>
        </w:trPr>
        <w:tc>
          <w:tcPr>
            <w:tcW w:w="5103" w:type="dxa"/>
            <w:tcBorders>
              <w:top w:val="single" w:sz="4" w:space="0" w:color="A6A6A6" w:themeColor="background1" w:themeShade="A6"/>
              <w:bottom w:val="single" w:sz="4" w:space="0" w:color="A6A6A6" w:themeColor="background1" w:themeShade="A6"/>
            </w:tcBorders>
          </w:tcPr>
          <w:p w14:paraId="723E308C" w14:textId="77777777" w:rsidR="00FA7EBF" w:rsidRPr="007939DD" w:rsidRDefault="00FA7EBF" w:rsidP="007B207C">
            <w:pPr>
              <w:pStyle w:val="ARfintablebody"/>
              <w:rPr>
                <w:lang w:eastAsia="en-AU"/>
              </w:rPr>
            </w:pPr>
            <w:r w:rsidRPr="00536298">
              <w:t>VicSuper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6D95FAC" w14:textId="77777777" w:rsidR="00FA7EBF" w:rsidRPr="007939DD" w:rsidRDefault="00FA7EBF" w:rsidP="007B207C">
            <w:pPr>
              <w:pStyle w:val="ARfintablebodyright"/>
            </w:pPr>
            <w:r w:rsidRPr="00536298">
              <w:t>64.9</w:t>
            </w:r>
          </w:p>
        </w:tc>
        <w:tc>
          <w:tcPr>
            <w:tcW w:w="1134" w:type="dxa"/>
            <w:tcBorders>
              <w:top w:val="single" w:sz="4" w:space="0" w:color="A6A6A6" w:themeColor="background1" w:themeShade="A6"/>
              <w:bottom w:val="single" w:sz="4" w:space="0" w:color="A6A6A6" w:themeColor="background1" w:themeShade="A6"/>
            </w:tcBorders>
          </w:tcPr>
          <w:p w14:paraId="6C382A37" w14:textId="77777777" w:rsidR="00FA7EBF" w:rsidRPr="007939DD" w:rsidRDefault="00FA7EBF" w:rsidP="007B207C">
            <w:pPr>
              <w:pStyle w:val="ARfintablebodyright"/>
              <w:rPr>
                <w:lang w:eastAsia="en-AU"/>
              </w:rPr>
            </w:pPr>
            <w:r w:rsidRPr="00536298">
              <w:t>61.1</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1B86CED" w14:textId="77777777" w:rsidR="00FA7EBF" w:rsidRPr="007939DD" w:rsidRDefault="00FA7EBF" w:rsidP="007B207C">
            <w:pPr>
              <w:pStyle w:val="ARfintablebodyright"/>
              <w:rPr>
                <w:lang w:eastAsia="en-AU"/>
              </w:rPr>
            </w:pPr>
            <w:r w:rsidRPr="00536298">
              <w:t>–</w:t>
            </w:r>
          </w:p>
        </w:tc>
        <w:tc>
          <w:tcPr>
            <w:tcW w:w="1134" w:type="dxa"/>
            <w:tcBorders>
              <w:top w:val="single" w:sz="4" w:space="0" w:color="A6A6A6" w:themeColor="background1" w:themeShade="A6"/>
              <w:bottom w:val="single" w:sz="4" w:space="0" w:color="A6A6A6" w:themeColor="background1" w:themeShade="A6"/>
            </w:tcBorders>
          </w:tcPr>
          <w:p w14:paraId="5B379E22" w14:textId="77777777" w:rsidR="00FA7EBF" w:rsidRPr="007939DD" w:rsidRDefault="00FA7EBF" w:rsidP="007B207C">
            <w:pPr>
              <w:pStyle w:val="ARfintablebodyright"/>
              <w:rPr>
                <w:lang w:eastAsia="en-AU"/>
              </w:rPr>
            </w:pPr>
            <w:r w:rsidRPr="00536298">
              <w:t>–</w:t>
            </w:r>
          </w:p>
        </w:tc>
      </w:tr>
      <w:tr w:rsidR="00FA7EBF" w:rsidRPr="007939DD" w14:paraId="580F894E" w14:textId="77777777" w:rsidTr="007B207C">
        <w:trPr>
          <w:cantSplit/>
        </w:trPr>
        <w:tc>
          <w:tcPr>
            <w:tcW w:w="5103" w:type="dxa"/>
            <w:tcBorders>
              <w:top w:val="single" w:sz="4" w:space="0" w:color="A6A6A6" w:themeColor="background1" w:themeShade="A6"/>
            </w:tcBorders>
          </w:tcPr>
          <w:p w14:paraId="2A99C431" w14:textId="77777777" w:rsidR="00FA7EBF" w:rsidRPr="007939DD" w:rsidRDefault="00FA7EBF" w:rsidP="007B207C">
            <w:pPr>
              <w:pStyle w:val="ARfintablebody"/>
              <w:rPr>
                <w:lang w:eastAsia="en-AU"/>
              </w:rPr>
            </w:pPr>
            <w:r w:rsidRPr="00536298">
              <w:t>Other</w:t>
            </w:r>
          </w:p>
        </w:tc>
        <w:tc>
          <w:tcPr>
            <w:tcW w:w="1134" w:type="dxa"/>
            <w:tcBorders>
              <w:top w:val="single" w:sz="4" w:space="0" w:color="A6A6A6" w:themeColor="background1" w:themeShade="A6"/>
            </w:tcBorders>
            <w:shd w:val="clear" w:color="auto" w:fill="E7E6E6"/>
          </w:tcPr>
          <w:p w14:paraId="680848B7" w14:textId="77777777" w:rsidR="00FA7EBF" w:rsidRPr="007939DD" w:rsidRDefault="00FA7EBF" w:rsidP="007B207C">
            <w:pPr>
              <w:pStyle w:val="ARfintablebodyright"/>
            </w:pPr>
            <w:r w:rsidRPr="00536298">
              <w:t>34.0</w:t>
            </w:r>
          </w:p>
        </w:tc>
        <w:tc>
          <w:tcPr>
            <w:tcW w:w="1134" w:type="dxa"/>
            <w:tcBorders>
              <w:top w:val="single" w:sz="4" w:space="0" w:color="A6A6A6" w:themeColor="background1" w:themeShade="A6"/>
            </w:tcBorders>
          </w:tcPr>
          <w:p w14:paraId="20DA882C" w14:textId="77777777" w:rsidR="00FA7EBF" w:rsidRPr="007939DD" w:rsidRDefault="00FA7EBF" w:rsidP="007B207C">
            <w:pPr>
              <w:pStyle w:val="ARfintablebodyright"/>
              <w:rPr>
                <w:lang w:eastAsia="en-AU"/>
              </w:rPr>
            </w:pPr>
            <w:r w:rsidRPr="00536298">
              <w:t>28.4</w:t>
            </w:r>
          </w:p>
        </w:tc>
        <w:tc>
          <w:tcPr>
            <w:tcW w:w="1134" w:type="dxa"/>
            <w:tcBorders>
              <w:top w:val="single" w:sz="4" w:space="0" w:color="A6A6A6" w:themeColor="background1" w:themeShade="A6"/>
            </w:tcBorders>
            <w:shd w:val="clear" w:color="auto" w:fill="E7E6E6"/>
          </w:tcPr>
          <w:p w14:paraId="7AA6C4D7" w14:textId="77777777" w:rsidR="00FA7EBF" w:rsidRPr="007939DD" w:rsidRDefault="00FA7EBF" w:rsidP="007B207C">
            <w:pPr>
              <w:pStyle w:val="ARfintablebodyright"/>
              <w:rPr>
                <w:lang w:eastAsia="en-AU"/>
              </w:rPr>
            </w:pPr>
            <w:r w:rsidRPr="00536298">
              <w:t>–</w:t>
            </w:r>
          </w:p>
        </w:tc>
        <w:tc>
          <w:tcPr>
            <w:tcW w:w="1134" w:type="dxa"/>
            <w:tcBorders>
              <w:top w:val="single" w:sz="4" w:space="0" w:color="A6A6A6" w:themeColor="background1" w:themeShade="A6"/>
            </w:tcBorders>
          </w:tcPr>
          <w:p w14:paraId="6ADA6988" w14:textId="77777777" w:rsidR="00FA7EBF" w:rsidRPr="007939DD" w:rsidRDefault="00FA7EBF" w:rsidP="007B207C">
            <w:pPr>
              <w:pStyle w:val="ARfintablebodyright"/>
              <w:rPr>
                <w:lang w:eastAsia="en-AU"/>
              </w:rPr>
            </w:pPr>
            <w:r w:rsidRPr="00536298">
              <w:t>–</w:t>
            </w:r>
          </w:p>
        </w:tc>
      </w:tr>
      <w:tr w:rsidR="00FA7EBF" w:rsidRPr="007939DD" w14:paraId="27599FD7" w14:textId="77777777" w:rsidTr="007B207C">
        <w:trPr>
          <w:cantSplit/>
        </w:trPr>
        <w:tc>
          <w:tcPr>
            <w:tcW w:w="5103" w:type="dxa"/>
          </w:tcPr>
          <w:p w14:paraId="67135BC3" w14:textId="77777777" w:rsidR="00FA7EBF" w:rsidRPr="007939DD" w:rsidRDefault="00FA7EBF" w:rsidP="007B207C">
            <w:pPr>
              <w:pStyle w:val="ARfintablebodybold"/>
              <w:rPr>
                <w:lang w:eastAsia="en-AU"/>
              </w:rPr>
            </w:pPr>
            <w:r w:rsidRPr="00536298">
              <w:t>Total</w:t>
            </w:r>
          </w:p>
        </w:tc>
        <w:tc>
          <w:tcPr>
            <w:tcW w:w="1134" w:type="dxa"/>
            <w:shd w:val="clear" w:color="auto" w:fill="E7E6E6"/>
          </w:tcPr>
          <w:p w14:paraId="6CB42D4A" w14:textId="77777777" w:rsidR="00FA7EBF" w:rsidRPr="007939DD" w:rsidRDefault="00FA7EBF" w:rsidP="007B207C">
            <w:pPr>
              <w:pStyle w:val="ARfintablebodyrightbold"/>
              <w:rPr>
                <w:rStyle w:val="Strong"/>
                <w:bCs w:val="0"/>
              </w:rPr>
            </w:pPr>
            <w:r w:rsidRPr="00536298">
              <w:t>106.8</w:t>
            </w:r>
          </w:p>
        </w:tc>
        <w:tc>
          <w:tcPr>
            <w:tcW w:w="1134" w:type="dxa"/>
          </w:tcPr>
          <w:p w14:paraId="573A6DD6" w14:textId="77777777" w:rsidR="00FA7EBF" w:rsidRPr="007939DD" w:rsidRDefault="00FA7EBF" w:rsidP="007B207C">
            <w:pPr>
              <w:pStyle w:val="ARfintablebodyrightbold"/>
              <w:rPr>
                <w:lang w:eastAsia="en-AU"/>
              </w:rPr>
            </w:pPr>
            <w:r w:rsidRPr="00536298">
              <w:t>100.9</w:t>
            </w:r>
          </w:p>
        </w:tc>
        <w:tc>
          <w:tcPr>
            <w:tcW w:w="1134" w:type="dxa"/>
            <w:shd w:val="clear" w:color="auto" w:fill="E7E6E6"/>
          </w:tcPr>
          <w:p w14:paraId="7794919E" w14:textId="77777777" w:rsidR="00FA7EBF" w:rsidRPr="007939DD" w:rsidRDefault="00FA7EBF" w:rsidP="007B207C">
            <w:pPr>
              <w:pStyle w:val="ARfintablebodyrightbold"/>
              <w:rPr>
                <w:lang w:eastAsia="en-AU"/>
              </w:rPr>
            </w:pPr>
            <w:r w:rsidRPr="00536298">
              <w:t>2.6</w:t>
            </w:r>
          </w:p>
        </w:tc>
        <w:tc>
          <w:tcPr>
            <w:tcW w:w="1134" w:type="dxa"/>
          </w:tcPr>
          <w:p w14:paraId="19A3434D" w14:textId="77777777" w:rsidR="00FA7EBF" w:rsidRPr="007939DD" w:rsidRDefault="00FA7EBF" w:rsidP="007B207C">
            <w:pPr>
              <w:pStyle w:val="ARfintablebodyrightbold"/>
              <w:rPr>
                <w:rStyle w:val="Strong"/>
                <w:bCs w:val="0"/>
              </w:rPr>
            </w:pPr>
            <w:r w:rsidRPr="00536298">
              <w:t>–</w:t>
            </w:r>
          </w:p>
        </w:tc>
      </w:tr>
    </w:tbl>
    <w:p w14:paraId="3455BDCB" w14:textId="77777777" w:rsidR="00FA7EBF" w:rsidRDefault="00FA7EBF" w:rsidP="00CA66FD">
      <w:pPr>
        <w:pStyle w:val="Heading5"/>
        <w:rPr>
          <w:lang w:eastAsia="en-AU"/>
        </w:rPr>
      </w:pPr>
      <w:r w:rsidRPr="00194D78">
        <w:rPr>
          <w:lang w:eastAsia="en-AU"/>
        </w:rPr>
        <w:t>3.1.2 Grants and other expense transfers</w:t>
      </w:r>
    </w:p>
    <w:tbl>
      <w:tblPr>
        <w:tblStyle w:val="TableGrid"/>
        <w:tblW w:w="9639" w:type="dxa"/>
        <w:tblLook w:val="06A0" w:firstRow="1" w:lastRow="0" w:firstColumn="1" w:lastColumn="0" w:noHBand="1" w:noVBand="1"/>
      </w:tblPr>
      <w:tblGrid>
        <w:gridCol w:w="7371"/>
        <w:gridCol w:w="1134"/>
        <w:gridCol w:w="1134"/>
      </w:tblGrid>
      <w:tr w:rsidR="00FA7EBF" w:rsidRPr="007939DD" w14:paraId="6EE78426" w14:textId="77777777" w:rsidTr="007B207C">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585EE18C" w14:textId="77777777" w:rsidR="00FA7EBF" w:rsidRPr="007939DD" w:rsidRDefault="00FA7EBF" w:rsidP="007B207C">
            <w:pPr>
              <w:pStyle w:val="ARfintablecolhead"/>
            </w:pPr>
          </w:p>
        </w:tc>
        <w:tc>
          <w:tcPr>
            <w:tcW w:w="1134" w:type="dxa"/>
            <w:shd w:val="clear" w:color="auto" w:fill="E7E6E6"/>
            <w:noWrap/>
            <w:hideMark/>
          </w:tcPr>
          <w:p w14:paraId="4AFF98AB" w14:textId="77777777" w:rsidR="00FA7EBF" w:rsidRPr="007939DD" w:rsidRDefault="00FA7EBF" w:rsidP="007B207C">
            <w:pPr>
              <w:pStyle w:val="ARfintablecolheadright"/>
            </w:pPr>
            <w:r w:rsidRPr="007939DD">
              <w:t>201</w:t>
            </w:r>
            <w:r>
              <w:t>9</w:t>
            </w:r>
          </w:p>
          <w:p w14:paraId="4A90A5AC" w14:textId="77777777" w:rsidR="00FA7EBF" w:rsidRPr="007939DD" w:rsidRDefault="00FA7EBF" w:rsidP="007B207C">
            <w:pPr>
              <w:pStyle w:val="ARfintablecolheadright"/>
            </w:pPr>
            <w:r w:rsidRPr="007939DD">
              <w:t>$M</w:t>
            </w:r>
          </w:p>
        </w:tc>
        <w:tc>
          <w:tcPr>
            <w:tcW w:w="1134" w:type="dxa"/>
            <w:noWrap/>
            <w:hideMark/>
          </w:tcPr>
          <w:p w14:paraId="2A309140" w14:textId="77777777" w:rsidR="00FA7EBF" w:rsidRPr="007939DD" w:rsidRDefault="00FA7EBF" w:rsidP="007B207C">
            <w:pPr>
              <w:pStyle w:val="ARfintablecolheadright"/>
            </w:pPr>
            <w:r w:rsidRPr="007939DD">
              <w:t>201</w:t>
            </w:r>
            <w:r>
              <w:t>8</w:t>
            </w:r>
          </w:p>
          <w:p w14:paraId="24410EF5" w14:textId="77777777" w:rsidR="00FA7EBF" w:rsidRPr="007939DD" w:rsidRDefault="00FA7EBF" w:rsidP="007B207C">
            <w:pPr>
              <w:pStyle w:val="ARfintablecolheadright"/>
            </w:pPr>
            <w:r w:rsidRPr="007939DD">
              <w:t>$M</w:t>
            </w:r>
          </w:p>
        </w:tc>
      </w:tr>
      <w:tr w:rsidR="00FA7EBF" w:rsidRPr="007939DD" w14:paraId="57F55316" w14:textId="77777777" w:rsidTr="007B207C">
        <w:tc>
          <w:tcPr>
            <w:tcW w:w="7371" w:type="dxa"/>
            <w:hideMark/>
          </w:tcPr>
          <w:p w14:paraId="42C59A05" w14:textId="77777777" w:rsidR="00FA7EBF" w:rsidRPr="007939DD" w:rsidRDefault="00FA7EBF" w:rsidP="007B207C">
            <w:pPr>
              <w:pStyle w:val="ARfintablebody"/>
              <w:rPr>
                <w:lang w:eastAsia="en-AU"/>
              </w:rPr>
            </w:pPr>
            <w:r w:rsidRPr="00572E7A">
              <w:t>State contributions to the Administrator of the Victoria Health Funding Pool</w:t>
            </w:r>
          </w:p>
        </w:tc>
        <w:tc>
          <w:tcPr>
            <w:tcW w:w="1134" w:type="dxa"/>
            <w:shd w:val="clear" w:color="auto" w:fill="E7E6E6"/>
            <w:noWrap/>
            <w:hideMark/>
          </w:tcPr>
          <w:p w14:paraId="31B2812B" w14:textId="77777777" w:rsidR="00FA7EBF" w:rsidRPr="007939DD" w:rsidRDefault="00FA7EBF" w:rsidP="007B207C">
            <w:pPr>
              <w:pStyle w:val="ARfintablebodyright"/>
              <w:rPr>
                <w:lang w:eastAsia="en-AU"/>
              </w:rPr>
            </w:pPr>
            <w:r w:rsidRPr="00572E7A">
              <w:t>5,308.5</w:t>
            </w:r>
          </w:p>
        </w:tc>
        <w:tc>
          <w:tcPr>
            <w:tcW w:w="1134" w:type="dxa"/>
            <w:noWrap/>
            <w:hideMark/>
          </w:tcPr>
          <w:p w14:paraId="28120FCF" w14:textId="77777777" w:rsidR="00FA7EBF" w:rsidRPr="007939DD" w:rsidRDefault="00FA7EBF" w:rsidP="007B207C">
            <w:pPr>
              <w:pStyle w:val="ARfintablebodyright"/>
              <w:rPr>
                <w:lang w:eastAsia="en-AU"/>
              </w:rPr>
            </w:pPr>
            <w:r w:rsidRPr="00572E7A">
              <w:t>4,853.1</w:t>
            </w:r>
          </w:p>
        </w:tc>
      </w:tr>
      <w:tr w:rsidR="00FA7EBF" w:rsidRPr="007939DD" w14:paraId="72532331" w14:textId="77777777" w:rsidTr="007B207C">
        <w:tc>
          <w:tcPr>
            <w:tcW w:w="9639" w:type="dxa"/>
            <w:gridSpan w:val="3"/>
            <w:tcBorders>
              <w:bottom w:val="single" w:sz="4" w:space="0" w:color="A6A6A6"/>
            </w:tcBorders>
            <w:noWrap/>
            <w:hideMark/>
          </w:tcPr>
          <w:p w14:paraId="7981597E" w14:textId="77777777" w:rsidR="00FA7EBF" w:rsidRPr="007939DD" w:rsidRDefault="00FA7EBF" w:rsidP="007B207C">
            <w:pPr>
              <w:pStyle w:val="ARfintablebodybold"/>
              <w:rPr>
                <w:rStyle w:val="Strong"/>
                <w:bCs/>
              </w:rPr>
            </w:pPr>
            <w:r w:rsidRPr="00572E7A">
              <w:t>Public hospitals</w:t>
            </w:r>
          </w:p>
        </w:tc>
      </w:tr>
      <w:tr w:rsidR="00FA7EBF" w:rsidRPr="007939DD" w14:paraId="595A4759" w14:textId="77777777" w:rsidTr="007B207C">
        <w:tc>
          <w:tcPr>
            <w:tcW w:w="7371" w:type="dxa"/>
            <w:tcBorders>
              <w:top w:val="single" w:sz="4" w:space="0" w:color="A6A6A6"/>
              <w:bottom w:val="single" w:sz="4" w:space="0" w:color="A6A6A6"/>
            </w:tcBorders>
            <w:noWrap/>
            <w:hideMark/>
          </w:tcPr>
          <w:p w14:paraId="7A7A08B5" w14:textId="77777777" w:rsidR="00FA7EBF" w:rsidRPr="007939DD" w:rsidRDefault="00FA7EBF" w:rsidP="007B207C">
            <w:pPr>
              <w:pStyle w:val="ARfintablebody"/>
              <w:rPr>
                <w:lang w:eastAsia="en-AU"/>
              </w:rPr>
            </w:pPr>
            <w:r w:rsidRPr="00572E7A">
              <w:t>Monash Health</w:t>
            </w:r>
          </w:p>
        </w:tc>
        <w:tc>
          <w:tcPr>
            <w:tcW w:w="1134" w:type="dxa"/>
            <w:tcBorders>
              <w:top w:val="single" w:sz="4" w:space="0" w:color="A6A6A6"/>
              <w:bottom w:val="single" w:sz="4" w:space="0" w:color="A6A6A6"/>
            </w:tcBorders>
            <w:shd w:val="clear" w:color="auto" w:fill="E7E6E6"/>
            <w:noWrap/>
            <w:hideMark/>
          </w:tcPr>
          <w:p w14:paraId="36ACF5F9" w14:textId="77777777" w:rsidR="00FA7EBF" w:rsidRPr="007939DD" w:rsidRDefault="00FA7EBF" w:rsidP="007B207C">
            <w:pPr>
              <w:pStyle w:val="ARfintablebodyright"/>
              <w:rPr>
                <w:lang w:eastAsia="en-AU"/>
              </w:rPr>
            </w:pPr>
            <w:r w:rsidRPr="00572E7A">
              <w:t>438.1</w:t>
            </w:r>
          </w:p>
        </w:tc>
        <w:tc>
          <w:tcPr>
            <w:tcW w:w="1134" w:type="dxa"/>
            <w:tcBorders>
              <w:top w:val="single" w:sz="4" w:space="0" w:color="A6A6A6"/>
              <w:bottom w:val="single" w:sz="4" w:space="0" w:color="A6A6A6"/>
            </w:tcBorders>
            <w:noWrap/>
            <w:hideMark/>
          </w:tcPr>
          <w:p w14:paraId="246532CA" w14:textId="77777777" w:rsidR="00FA7EBF" w:rsidRPr="007939DD" w:rsidRDefault="00FA7EBF" w:rsidP="007B207C">
            <w:pPr>
              <w:pStyle w:val="ARfintablebodyright"/>
              <w:rPr>
                <w:lang w:eastAsia="en-AU"/>
              </w:rPr>
            </w:pPr>
            <w:r w:rsidRPr="00572E7A">
              <w:t>295.1</w:t>
            </w:r>
          </w:p>
        </w:tc>
      </w:tr>
      <w:tr w:rsidR="00FA7EBF" w:rsidRPr="007939DD" w14:paraId="5C6AFD02" w14:textId="77777777" w:rsidTr="007B207C">
        <w:tc>
          <w:tcPr>
            <w:tcW w:w="7371" w:type="dxa"/>
            <w:tcBorders>
              <w:top w:val="single" w:sz="4" w:space="0" w:color="A6A6A6"/>
              <w:bottom w:val="single" w:sz="4" w:space="0" w:color="A6A6A6"/>
            </w:tcBorders>
            <w:noWrap/>
            <w:hideMark/>
          </w:tcPr>
          <w:p w14:paraId="7770049C" w14:textId="77777777" w:rsidR="00FA7EBF" w:rsidRPr="007939DD" w:rsidRDefault="00FA7EBF" w:rsidP="007B207C">
            <w:pPr>
              <w:pStyle w:val="ARfintablebody"/>
              <w:rPr>
                <w:lang w:eastAsia="en-AU"/>
              </w:rPr>
            </w:pPr>
            <w:r w:rsidRPr="00572E7A">
              <w:t>Melbourne Health</w:t>
            </w:r>
          </w:p>
        </w:tc>
        <w:tc>
          <w:tcPr>
            <w:tcW w:w="1134" w:type="dxa"/>
            <w:tcBorders>
              <w:top w:val="single" w:sz="4" w:space="0" w:color="A6A6A6"/>
              <w:bottom w:val="single" w:sz="4" w:space="0" w:color="A6A6A6"/>
            </w:tcBorders>
            <w:shd w:val="clear" w:color="auto" w:fill="E7E6E6"/>
            <w:noWrap/>
            <w:hideMark/>
          </w:tcPr>
          <w:p w14:paraId="1F6DC85D" w14:textId="77777777" w:rsidR="00FA7EBF" w:rsidRPr="007939DD" w:rsidRDefault="00FA7EBF" w:rsidP="007B207C">
            <w:pPr>
              <w:pStyle w:val="ARfintablebodyright"/>
              <w:rPr>
                <w:lang w:eastAsia="en-AU"/>
              </w:rPr>
            </w:pPr>
            <w:r w:rsidRPr="00572E7A">
              <w:t>335.5</w:t>
            </w:r>
          </w:p>
        </w:tc>
        <w:tc>
          <w:tcPr>
            <w:tcW w:w="1134" w:type="dxa"/>
            <w:tcBorders>
              <w:top w:val="single" w:sz="4" w:space="0" w:color="A6A6A6"/>
              <w:bottom w:val="single" w:sz="4" w:space="0" w:color="A6A6A6"/>
            </w:tcBorders>
            <w:noWrap/>
            <w:hideMark/>
          </w:tcPr>
          <w:p w14:paraId="51AC5CA5" w14:textId="77777777" w:rsidR="00FA7EBF" w:rsidRPr="007939DD" w:rsidRDefault="00FA7EBF" w:rsidP="007B207C">
            <w:pPr>
              <w:pStyle w:val="ARfintablebodyright"/>
              <w:rPr>
                <w:lang w:eastAsia="en-AU"/>
              </w:rPr>
            </w:pPr>
            <w:r w:rsidRPr="00572E7A">
              <w:t>297.5</w:t>
            </w:r>
          </w:p>
        </w:tc>
      </w:tr>
      <w:tr w:rsidR="00FA7EBF" w:rsidRPr="007939DD" w14:paraId="48597853" w14:textId="77777777" w:rsidTr="007B207C">
        <w:tc>
          <w:tcPr>
            <w:tcW w:w="7371" w:type="dxa"/>
            <w:tcBorders>
              <w:top w:val="single" w:sz="4" w:space="0" w:color="A6A6A6"/>
              <w:bottom w:val="single" w:sz="4" w:space="0" w:color="A6A6A6"/>
            </w:tcBorders>
            <w:noWrap/>
            <w:hideMark/>
          </w:tcPr>
          <w:p w14:paraId="0F79121E" w14:textId="77777777" w:rsidR="00FA7EBF" w:rsidRPr="007939DD" w:rsidRDefault="00FA7EBF" w:rsidP="007B207C">
            <w:pPr>
              <w:pStyle w:val="ARfintablebody"/>
              <w:rPr>
                <w:lang w:eastAsia="en-AU"/>
              </w:rPr>
            </w:pPr>
            <w:r w:rsidRPr="00572E7A">
              <w:t>Peter MacCallum Cancer Centre</w:t>
            </w:r>
          </w:p>
        </w:tc>
        <w:tc>
          <w:tcPr>
            <w:tcW w:w="1134" w:type="dxa"/>
            <w:tcBorders>
              <w:top w:val="single" w:sz="4" w:space="0" w:color="A6A6A6"/>
              <w:bottom w:val="single" w:sz="4" w:space="0" w:color="A6A6A6"/>
            </w:tcBorders>
            <w:shd w:val="clear" w:color="auto" w:fill="E7E6E6"/>
            <w:noWrap/>
            <w:hideMark/>
          </w:tcPr>
          <w:p w14:paraId="32B8BAF4" w14:textId="77777777" w:rsidR="00FA7EBF" w:rsidRPr="007939DD" w:rsidRDefault="00FA7EBF" w:rsidP="007B207C">
            <w:pPr>
              <w:pStyle w:val="ARfintablebodyright"/>
              <w:rPr>
                <w:lang w:eastAsia="en-AU"/>
              </w:rPr>
            </w:pPr>
            <w:r w:rsidRPr="00572E7A">
              <w:t>235.2</w:t>
            </w:r>
          </w:p>
        </w:tc>
        <w:tc>
          <w:tcPr>
            <w:tcW w:w="1134" w:type="dxa"/>
            <w:tcBorders>
              <w:top w:val="single" w:sz="4" w:space="0" w:color="A6A6A6"/>
              <w:bottom w:val="single" w:sz="4" w:space="0" w:color="A6A6A6"/>
            </w:tcBorders>
            <w:noWrap/>
            <w:hideMark/>
          </w:tcPr>
          <w:p w14:paraId="73E8E300" w14:textId="77777777" w:rsidR="00FA7EBF" w:rsidRPr="007939DD" w:rsidRDefault="00FA7EBF" w:rsidP="007B207C">
            <w:pPr>
              <w:pStyle w:val="ARfintablebodyright"/>
              <w:rPr>
                <w:lang w:eastAsia="en-AU"/>
              </w:rPr>
            </w:pPr>
            <w:r w:rsidRPr="00572E7A">
              <w:t>260.2</w:t>
            </w:r>
          </w:p>
        </w:tc>
      </w:tr>
      <w:tr w:rsidR="00FA7EBF" w:rsidRPr="007939DD" w14:paraId="7AD9CB17" w14:textId="77777777" w:rsidTr="007B207C">
        <w:tc>
          <w:tcPr>
            <w:tcW w:w="7371" w:type="dxa"/>
            <w:tcBorders>
              <w:top w:val="single" w:sz="4" w:space="0" w:color="A6A6A6"/>
              <w:bottom w:val="single" w:sz="4" w:space="0" w:color="A6A6A6"/>
            </w:tcBorders>
            <w:noWrap/>
            <w:hideMark/>
          </w:tcPr>
          <w:p w14:paraId="2B69F5C6" w14:textId="77777777" w:rsidR="00FA7EBF" w:rsidRPr="007939DD" w:rsidRDefault="00FA7EBF" w:rsidP="007B207C">
            <w:pPr>
              <w:pStyle w:val="ARfintablebody"/>
              <w:rPr>
                <w:lang w:eastAsia="en-AU"/>
              </w:rPr>
            </w:pPr>
            <w:r w:rsidRPr="00572E7A">
              <w:t>Western Health</w:t>
            </w:r>
          </w:p>
        </w:tc>
        <w:tc>
          <w:tcPr>
            <w:tcW w:w="1134" w:type="dxa"/>
            <w:tcBorders>
              <w:top w:val="single" w:sz="4" w:space="0" w:color="A6A6A6"/>
              <w:bottom w:val="single" w:sz="4" w:space="0" w:color="A6A6A6"/>
            </w:tcBorders>
            <w:shd w:val="clear" w:color="auto" w:fill="E7E6E6"/>
            <w:noWrap/>
            <w:hideMark/>
          </w:tcPr>
          <w:p w14:paraId="1B067CCE" w14:textId="77777777" w:rsidR="00FA7EBF" w:rsidRPr="007939DD" w:rsidRDefault="00FA7EBF" w:rsidP="007B207C">
            <w:pPr>
              <w:pStyle w:val="ARfintablebodyright"/>
              <w:rPr>
                <w:lang w:eastAsia="en-AU"/>
              </w:rPr>
            </w:pPr>
            <w:r w:rsidRPr="00572E7A">
              <w:t>228.1</w:t>
            </w:r>
          </w:p>
        </w:tc>
        <w:tc>
          <w:tcPr>
            <w:tcW w:w="1134" w:type="dxa"/>
            <w:tcBorders>
              <w:top w:val="single" w:sz="4" w:space="0" w:color="A6A6A6"/>
              <w:bottom w:val="single" w:sz="4" w:space="0" w:color="A6A6A6"/>
            </w:tcBorders>
            <w:noWrap/>
            <w:hideMark/>
          </w:tcPr>
          <w:p w14:paraId="62EEB670" w14:textId="77777777" w:rsidR="00FA7EBF" w:rsidRPr="007939DD" w:rsidRDefault="00FA7EBF" w:rsidP="007B207C">
            <w:pPr>
              <w:pStyle w:val="ARfintablebodyright"/>
              <w:rPr>
                <w:lang w:eastAsia="en-AU"/>
              </w:rPr>
            </w:pPr>
            <w:r w:rsidRPr="00572E7A">
              <w:t>148.3</w:t>
            </w:r>
          </w:p>
        </w:tc>
      </w:tr>
      <w:tr w:rsidR="00FA7EBF" w:rsidRPr="007939DD" w14:paraId="19CDD6D6" w14:textId="77777777" w:rsidTr="007B207C">
        <w:tc>
          <w:tcPr>
            <w:tcW w:w="7371" w:type="dxa"/>
            <w:tcBorders>
              <w:top w:val="single" w:sz="4" w:space="0" w:color="A6A6A6"/>
              <w:bottom w:val="single" w:sz="4" w:space="0" w:color="A6A6A6"/>
            </w:tcBorders>
            <w:noWrap/>
            <w:hideMark/>
          </w:tcPr>
          <w:p w14:paraId="10511A7C" w14:textId="77777777" w:rsidR="00FA7EBF" w:rsidRPr="007939DD" w:rsidRDefault="00FA7EBF" w:rsidP="007B207C">
            <w:pPr>
              <w:pStyle w:val="ARfintablebody"/>
              <w:rPr>
                <w:lang w:eastAsia="en-AU"/>
              </w:rPr>
            </w:pPr>
            <w:r w:rsidRPr="00572E7A">
              <w:t>Alfred Health</w:t>
            </w:r>
          </w:p>
        </w:tc>
        <w:tc>
          <w:tcPr>
            <w:tcW w:w="1134" w:type="dxa"/>
            <w:tcBorders>
              <w:top w:val="single" w:sz="4" w:space="0" w:color="A6A6A6"/>
              <w:bottom w:val="single" w:sz="4" w:space="0" w:color="A6A6A6"/>
            </w:tcBorders>
            <w:shd w:val="clear" w:color="auto" w:fill="E7E6E6"/>
            <w:noWrap/>
            <w:hideMark/>
          </w:tcPr>
          <w:p w14:paraId="1271B488" w14:textId="77777777" w:rsidR="00FA7EBF" w:rsidRPr="007939DD" w:rsidRDefault="00FA7EBF" w:rsidP="007B207C">
            <w:pPr>
              <w:pStyle w:val="ARfintablebodyright"/>
              <w:rPr>
                <w:lang w:eastAsia="en-AU"/>
              </w:rPr>
            </w:pPr>
            <w:r w:rsidRPr="00572E7A">
              <w:t>190.1</w:t>
            </w:r>
          </w:p>
        </w:tc>
        <w:tc>
          <w:tcPr>
            <w:tcW w:w="1134" w:type="dxa"/>
            <w:tcBorders>
              <w:top w:val="single" w:sz="4" w:space="0" w:color="A6A6A6"/>
              <w:bottom w:val="single" w:sz="4" w:space="0" w:color="A6A6A6"/>
            </w:tcBorders>
            <w:noWrap/>
            <w:hideMark/>
          </w:tcPr>
          <w:p w14:paraId="2F2782B3" w14:textId="77777777" w:rsidR="00FA7EBF" w:rsidRPr="007939DD" w:rsidRDefault="00FA7EBF" w:rsidP="007B207C">
            <w:pPr>
              <w:pStyle w:val="ARfintablebodyright"/>
              <w:rPr>
                <w:lang w:eastAsia="en-AU"/>
              </w:rPr>
            </w:pPr>
            <w:r w:rsidRPr="00572E7A">
              <w:t>179.2</w:t>
            </w:r>
          </w:p>
        </w:tc>
      </w:tr>
      <w:tr w:rsidR="00FA7EBF" w:rsidRPr="007939DD" w14:paraId="199D12FB" w14:textId="77777777" w:rsidTr="007B207C">
        <w:tc>
          <w:tcPr>
            <w:tcW w:w="7371" w:type="dxa"/>
            <w:tcBorders>
              <w:top w:val="single" w:sz="4" w:space="0" w:color="A6A6A6"/>
              <w:bottom w:val="single" w:sz="4" w:space="0" w:color="A6A6A6"/>
            </w:tcBorders>
            <w:noWrap/>
            <w:hideMark/>
          </w:tcPr>
          <w:p w14:paraId="08B78000" w14:textId="77777777" w:rsidR="00FA7EBF" w:rsidRPr="007939DD" w:rsidRDefault="00FA7EBF" w:rsidP="007B207C">
            <w:pPr>
              <w:pStyle w:val="ARfintablebody"/>
              <w:rPr>
                <w:lang w:eastAsia="en-AU"/>
              </w:rPr>
            </w:pPr>
            <w:r w:rsidRPr="00572E7A">
              <w:t>The Royal Children’s Hospital</w:t>
            </w:r>
          </w:p>
        </w:tc>
        <w:tc>
          <w:tcPr>
            <w:tcW w:w="1134" w:type="dxa"/>
            <w:tcBorders>
              <w:top w:val="single" w:sz="4" w:space="0" w:color="A6A6A6"/>
              <w:bottom w:val="single" w:sz="4" w:space="0" w:color="A6A6A6"/>
            </w:tcBorders>
            <w:shd w:val="clear" w:color="auto" w:fill="E7E6E6"/>
            <w:noWrap/>
            <w:hideMark/>
          </w:tcPr>
          <w:p w14:paraId="02B63295" w14:textId="77777777" w:rsidR="00FA7EBF" w:rsidRPr="007939DD" w:rsidRDefault="00FA7EBF" w:rsidP="007B207C">
            <w:pPr>
              <w:pStyle w:val="ARfintablebodyright"/>
              <w:rPr>
                <w:lang w:eastAsia="en-AU"/>
              </w:rPr>
            </w:pPr>
            <w:r w:rsidRPr="00572E7A">
              <w:t>187.7</w:t>
            </w:r>
          </w:p>
        </w:tc>
        <w:tc>
          <w:tcPr>
            <w:tcW w:w="1134" w:type="dxa"/>
            <w:tcBorders>
              <w:top w:val="single" w:sz="4" w:space="0" w:color="A6A6A6"/>
              <w:bottom w:val="single" w:sz="4" w:space="0" w:color="A6A6A6"/>
            </w:tcBorders>
            <w:noWrap/>
            <w:hideMark/>
          </w:tcPr>
          <w:p w14:paraId="22BF228C" w14:textId="77777777" w:rsidR="00FA7EBF" w:rsidRPr="007939DD" w:rsidRDefault="00FA7EBF" w:rsidP="007B207C">
            <w:pPr>
              <w:pStyle w:val="ARfintablebodyright"/>
              <w:rPr>
                <w:lang w:eastAsia="en-AU"/>
              </w:rPr>
            </w:pPr>
            <w:r w:rsidRPr="00572E7A">
              <w:t>175.9</w:t>
            </w:r>
          </w:p>
        </w:tc>
      </w:tr>
      <w:tr w:rsidR="00FA7EBF" w:rsidRPr="007939DD" w14:paraId="1F5E5BA2" w14:textId="77777777" w:rsidTr="007B207C">
        <w:tc>
          <w:tcPr>
            <w:tcW w:w="7371" w:type="dxa"/>
            <w:tcBorders>
              <w:top w:val="single" w:sz="4" w:space="0" w:color="A6A6A6"/>
              <w:bottom w:val="single" w:sz="4" w:space="0" w:color="A6A6A6"/>
            </w:tcBorders>
            <w:noWrap/>
            <w:hideMark/>
          </w:tcPr>
          <w:p w14:paraId="39EDE18E" w14:textId="77777777" w:rsidR="00FA7EBF" w:rsidRPr="007939DD" w:rsidRDefault="00FA7EBF" w:rsidP="007B207C">
            <w:pPr>
              <w:pStyle w:val="ARfintablebody"/>
              <w:rPr>
                <w:lang w:eastAsia="en-AU"/>
              </w:rPr>
            </w:pPr>
            <w:r w:rsidRPr="00572E7A">
              <w:t>Eastern Health</w:t>
            </w:r>
          </w:p>
        </w:tc>
        <w:tc>
          <w:tcPr>
            <w:tcW w:w="1134" w:type="dxa"/>
            <w:tcBorders>
              <w:top w:val="single" w:sz="4" w:space="0" w:color="A6A6A6"/>
              <w:bottom w:val="single" w:sz="4" w:space="0" w:color="A6A6A6"/>
            </w:tcBorders>
            <w:shd w:val="clear" w:color="auto" w:fill="E7E6E6"/>
            <w:noWrap/>
            <w:hideMark/>
          </w:tcPr>
          <w:p w14:paraId="75F2CB2A" w14:textId="77777777" w:rsidR="00FA7EBF" w:rsidRPr="007939DD" w:rsidRDefault="00FA7EBF" w:rsidP="007B207C">
            <w:pPr>
              <w:pStyle w:val="ARfintablebodyright"/>
              <w:rPr>
                <w:lang w:eastAsia="en-AU"/>
              </w:rPr>
            </w:pPr>
            <w:r w:rsidRPr="00572E7A">
              <w:t>186.4</w:t>
            </w:r>
          </w:p>
        </w:tc>
        <w:tc>
          <w:tcPr>
            <w:tcW w:w="1134" w:type="dxa"/>
            <w:tcBorders>
              <w:top w:val="single" w:sz="4" w:space="0" w:color="A6A6A6"/>
              <w:bottom w:val="single" w:sz="4" w:space="0" w:color="A6A6A6"/>
            </w:tcBorders>
            <w:noWrap/>
            <w:hideMark/>
          </w:tcPr>
          <w:p w14:paraId="7E690E81" w14:textId="77777777" w:rsidR="00FA7EBF" w:rsidRPr="007939DD" w:rsidRDefault="00FA7EBF" w:rsidP="007B207C">
            <w:pPr>
              <w:pStyle w:val="ARfintablebodyright"/>
              <w:rPr>
                <w:lang w:eastAsia="en-AU"/>
              </w:rPr>
            </w:pPr>
            <w:r w:rsidRPr="00572E7A">
              <w:t>200.6</w:t>
            </w:r>
          </w:p>
        </w:tc>
      </w:tr>
      <w:tr w:rsidR="00FA7EBF" w:rsidRPr="007939DD" w14:paraId="69FCA7C4" w14:textId="77777777" w:rsidTr="007B207C">
        <w:tc>
          <w:tcPr>
            <w:tcW w:w="7371" w:type="dxa"/>
            <w:tcBorders>
              <w:top w:val="single" w:sz="4" w:space="0" w:color="A6A6A6"/>
              <w:bottom w:val="single" w:sz="4" w:space="0" w:color="A6A6A6"/>
            </w:tcBorders>
            <w:noWrap/>
            <w:hideMark/>
          </w:tcPr>
          <w:p w14:paraId="01EE1791" w14:textId="77777777" w:rsidR="00FA7EBF" w:rsidRPr="007939DD" w:rsidRDefault="00FA7EBF" w:rsidP="007B207C">
            <w:pPr>
              <w:pStyle w:val="ARfintablebody"/>
              <w:rPr>
                <w:lang w:eastAsia="en-AU"/>
              </w:rPr>
            </w:pPr>
            <w:r w:rsidRPr="00572E7A">
              <w:t>Barwon Health</w:t>
            </w:r>
          </w:p>
        </w:tc>
        <w:tc>
          <w:tcPr>
            <w:tcW w:w="1134" w:type="dxa"/>
            <w:tcBorders>
              <w:top w:val="single" w:sz="4" w:space="0" w:color="A6A6A6"/>
              <w:bottom w:val="single" w:sz="4" w:space="0" w:color="A6A6A6"/>
            </w:tcBorders>
            <w:shd w:val="clear" w:color="auto" w:fill="E7E6E6"/>
            <w:noWrap/>
            <w:hideMark/>
          </w:tcPr>
          <w:p w14:paraId="260AD49E" w14:textId="77777777" w:rsidR="00FA7EBF" w:rsidRPr="007939DD" w:rsidRDefault="00FA7EBF" w:rsidP="007B207C">
            <w:pPr>
              <w:pStyle w:val="ARfintablebodyright"/>
              <w:rPr>
                <w:lang w:eastAsia="en-AU"/>
              </w:rPr>
            </w:pPr>
            <w:r w:rsidRPr="00572E7A">
              <w:t>176.2</w:t>
            </w:r>
          </w:p>
        </w:tc>
        <w:tc>
          <w:tcPr>
            <w:tcW w:w="1134" w:type="dxa"/>
            <w:tcBorders>
              <w:top w:val="single" w:sz="4" w:space="0" w:color="A6A6A6"/>
              <w:bottom w:val="single" w:sz="4" w:space="0" w:color="A6A6A6"/>
            </w:tcBorders>
            <w:noWrap/>
            <w:hideMark/>
          </w:tcPr>
          <w:p w14:paraId="088B7B0F" w14:textId="77777777" w:rsidR="00FA7EBF" w:rsidRPr="007939DD" w:rsidRDefault="00FA7EBF" w:rsidP="007B207C">
            <w:pPr>
              <w:pStyle w:val="ARfintablebodyright"/>
              <w:rPr>
                <w:lang w:eastAsia="en-AU"/>
              </w:rPr>
            </w:pPr>
            <w:r w:rsidRPr="00572E7A">
              <w:t>120.3</w:t>
            </w:r>
          </w:p>
        </w:tc>
      </w:tr>
      <w:tr w:rsidR="00FA7EBF" w:rsidRPr="007939DD" w14:paraId="3DDC7AF8" w14:textId="77777777" w:rsidTr="007B207C">
        <w:tc>
          <w:tcPr>
            <w:tcW w:w="7371" w:type="dxa"/>
            <w:tcBorders>
              <w:top w:val="single" w:sz="4" w:space="0" w:color="A6A6A6"/>
              <w:bottom w:val="single" w:sz="4" w:space="0" w:color="A6A6A6"/>
            </w:tcBorders>
            <w:noWrap/>
            <w:hideMark/>
          </w:tcPr>
          <w:p w14:paraId="1CBD08AF" w14:textId="77777777" w:rsidR="00FA7EBF" w:rsidRPr="007939DD" w:rsidRDefault="00FA7EBF" w:rsidP="007B207C">
            <w:pPr>
              <w:pStyle w:val="ARfintablebody"/>
              <w:rPr>
                <w:lang w:eastAsia="en-AU"/>
              </w:rPr>
            </w:pPr>
            <w:r w:rsidRPr="00572E7A">
              <w:t>Austin Health</w:t>
            </w:r>
          </w:p>
        </w:tc>
        <w:tc>
          <w:tcPr>
            <w:tcW w:w="1134" w:type="dxa"/>
            <w:tcBorders>
              <w:top w:val="single" w:sz="4" w:space="0" w:color="A6A6A6"/>
              <w:bottom w:val="single" w:sz="4" w:space="0" w:color="A6A6A6"/>
            </w:tcBorders>
            <w:shd w:val="clear" w:color="auto" w:fill="E7E6E6"/>
            <w:noWrap/>
            <w:hideMark/>
          </w:tcPr>
          <w:p w14:paraId="1B02EC6E" w14:textId="77777777" w:rsidR="00FA7EBF" w:rsidRPr="007939DD" w:rsidRDefault="00FA7EBF" w:rsidP="007B207C">
            <w:pPr>
              <w:pStyle w:val="ARfintablebodyright"/>
              <w:rPr>
                <w:lang w:eastAsia="en-AU"/>
              </w:rPr>
            </w:pPr>
            <w:r w:rsidRPr="00572E7A">
              <w:t>142.3</w:t>
            </w:r>
          </w:p>
        </w:tc>
        <w:tc>
          <w:tcPr>
            <w:tcW w:w="1134" w:type="dxa"/>
            <w:tcBorders>
              <w:top w:val="single" w:sz="4" w:space="0" w:color="A6A6A6"/>
              <w:bottom w:val="single" w:sz="4" w:space="0" w:color="A6A6A6"/>
            </w:tcBorders>
            <w:noWrap/>
            <w:hideMark/>
          </w:tcPr>
          <w:p w14:paraId="5A34FD0B" w14:textId="77777777" w:rsidR="00FA7EBF" w:rsidRPr="007939DD" w:rsidRDefault="00FA7EBF" w:rsidP="007B207C">
            <w:pPr>
              <w:pStyle w:val="ARfintablebodyright"/>
              <w:rPr>
                <w:lang w:eastAsia="en-AU"/>
              </w:rPr>
            </w:pPr>
            <w:r w:rsidRPr="00572E7A">
              <w:t>149.4</w:t>
            </w:r>
          </w:p>
        </w:tc>
      </w:tr>
      <w:tr w:rsidR="00FA7EBF" w:rsidRPr="007939DD" w14:paraId="293F96B5" w14:textId="77777777" w:rsidTr="007B207C">
        <w:tc>
          <w:tcPr>
            <w:tcW w:w="7371" w:type="dxa"/>
            <w:tcBorders>
              <w:top w:val="single" w:sz="4" w:space="0" w:color="A6A6A6"/>
              <w:bottom w:val="single" w:sz="4" w:space="0" w:color="A6A6A6"/>
            </w:tcBorders>
            <w:noWrap/>
            <w:hideMark/>
          </w:tcPr>
          <w:p w14:paraId="4E664C1E" w14:textId="77777777" w:rsidR="00FA7EBF" w:rsidRPr="007939DD" w:rsidRDefault="00FA7EBF" w:rsidP="007B207C">
            <w:pPr>
              <w:pStyle w:val="ARfintablebody"/>
              <w:rPr>
                <w:lang w:eastAsia="en-AU"/>
              </w:rPr>
            </w:pPr>
            <w:r w:rsidRPr="00572E7A">
              <w:t>Bendigo Healthcare Group</w:t>
            </w:r>
          </w:p>
        </w:tc>
        <w:tc>
          <w:tcPr>
            <w:tcW w:w="1134" w:type="dxa"/>
            <w:tcBorders>
              <w:top w:val="single" w:sz="4" w:space="0" w:color="A6A6A6"/>
              <w:bottom w:val="single" w:sz="4" w:space="0" w:color="A6A6A6"/>
            </w:tcBorders>
            <w:shd w:val="clear" w:color="auto" w:fill="E7E6E6"/>
            <w:noWrap/>
            <w:hideMark/>
          </w:tcPr>
          <w:p w14:paraId="4582F470" w14:textId="77777777" w:rsidR="00FA7EBF" w:rsidRPr="007939DD" w:rsidRDefault="00FA7EBF" w:rsidP="007B207C">
            <w:pPr>
              <w:pStyle w:val="ARfintablebodyright"/>
              <w:rPr>
                <w:lang w:eastAsia="en-AU"/>
              </w:rPr>
            </w:pPr>
            <w:r w:rsidRPr="00572E7A">
              <w:t>141.5</w:t>
            </w:r>
          </w:p>
        </w:tc>
        <w:tc>
          <w:tcPr>
            <w:tcW w:w="1134" w:type="dxa"/>
            <w:tcBorders>
              <w:top w:val="single" w:sz="4" w:space="0" w:color="A6A6A6"/>
              <w:bottom w:val="single" w:sz="4" w:space="0" w:color="A6A6A6"/>
            </w:tcBorders>
            <w:noWrap/>
            <w:hideMark/>
          </w:tcPr>
          <w:p w14:paraId="4BE848D9" w14:textId="77777777" w:rsidR="00FA7EBF" w:rsidRPr="007939DD" w:rsidRDefault="00FA7EBF" w:rsidP="007B207C">
            <w:pPr>
              <w:pStyle w:val="ARfintablebodyright"/>
              <w:rPr>
                <w:lang w:eastAsia="en-AU"/>
              </w:rPr>
            </w:pPr>
            <w:r w:rsidRPr="00572E7A">
              <w:t>131.6</w:t>
            </w:r>
          </w:p>
        </w:tc>
      </w:tr>
      <w:tr w:rsidR="00FA7EBF" w:rsidRPr="007939DD" w14:paraId="32547E16" w14:textId="77777777" w:rsidTr="007B207C">
        <w:tc>
          <w:tcPr>
            <w:tcW w:w="7371" w:type="dxa"/>
            <w:tcBorders>
              <w:top w:val="single" w:sz="4" w:space="0" w:color="A6A6A6"/>
              <w:bottom w:val="single" w:sz="4" w:space="0" w:color="A6A6A6"/>
            </w:tcBorders>
            <w:noWrap/>
            <w:hideMark/>
          </w:tcPr>
          <w:p w14:paraId="07856A7C" w14:textId="77777777" w:rsidR="00FA7EBF" w:rsidRPr="007939DD" w:rsidRDefault="00FA7EBF" w:rsidP="007B207C">
            <w:pPr>
              <w:pStyle w:val="ARfintablebody"/>
              <w:rPr>
                <w:lang w:eastAsia="en-AU"/>
              </w:rPr>
            </w:pPr>
            <w:r w:rsidRPr="00572E7A">
              <w:t>Albury Wodonga Health</w:t>
            </w:r>
          </w:p>
        </w:tc>
        <w:tc>
          <w:tcPr>
            <w:tcW w:w="1134" w:type="dxa"/>
            <w:tcBorders>
              <w:top w:val="single" w:sz="4" w:space="0" w:color="A6A6A6"/>
              <w:bottom w:val="single" w:sz="4" w:space="0" w:color="A6A6A6"/>
            </w:tcBorders>
            <w:shd w:val="clear" w:color="auto" w:fill="E7E6E6"/>
            <w:noWrap/>
            <w:hideMark/>
          </w:tcPr>
          <w:p w14:paraId="2452CA86" w14:textId="77777777" w:rsidR="00FA7EBF" w:rsidRPr="007939DD" w:rsidRDefault="00FA7EBF" w:rsidP="007B207C">
            <w:pPr>
              <w:pStyle w:val="ARfintablebodyright"/>
              <w:rPr>
                <w:lang w:eastAsia="en-AU"/>
              </w:rPr>
            </w:pPr>
            <w:r w:rsidRPr="00572E7A">
              <w:t>139.4</w:t>
            </w:r>
          </w:p>
        </w:tc>
        <w:tc>
          <w:tcPr>
            <w:tcW w:w="1134" w:type="dxa"/>
            <w:tcBorders>
              <w:top w:val="single" w:sz="4" w:space="0" w:color="A6A6A6"/>
              <w:bottom w:val="single" w:sz="4" w:space="0" w:color="A6A6A6"/>
            </w:tcBorders>
            <w:noWrap/>
            <w:hideMark/>
          </w:tcPr>
          <w:p w14:paraId="1730485B" w14:textId="77777777" w:rsidR="00FA7EBF" w:rsidRPr="007939DD" w:rsidRDefault="00FA7EBF" w:rsidP="007B207C">
            <w:pPr>
              <w:pStyle w:val="ARfintablebodyright"/>
              <w:rPr>
                <w:lang w:eastAsia="en-AU"/>
              </w:rPr>
            </w:pPr>
            <w:r w:rsidRPr="00572E7A">
              <w:t>141.0</w:t>
            </w:r>
          </w:p>
        </w:tc>
      </w:tr>
      <w:tr w:rsidR="00FA7EBF" w:rsidRPr="007939DD" w14:paraId="7C168F33" w14:textId="77777777" w:rsidTr="007B207C">
        <w:tc>
          <w:tcPr>
            <w:tcW w:w="7371" w:type="dxa"/>
            <w:tcBorders>
              <w:top w:val="single" w:sz="4" w:space="0" w:color="A6A6A6"/>
              <w:bottom w:val="single" w:sz="4" w:space="0" w:color="A6A6A6"/>
            </w:tcBorders>
            <w:noWrap/>
            <w:hideMark/>
          </w:tcPr>
          <w:p w14:paraId="6E75E037" w14:textId="77777777" w:rsidR="00FA7EBF" w:rsidRPr="007939DD" w:rsidRDefault="00FA7EBF" w:rsidP="007B207C">
            <w:pPr>
              <w:pStyle w:val="ARfintablebody"/>
              <w:rPr>
                <w:lang w:eastAsia="en-AU"/>
              </w:rPr>
            </w:pPr>
            <w:r w:rsidRPr="00572E7A">
              <w:t>Peninsula Health</w:t>
            </w:r>
          </w:p>
        </w:tc>
        <w:tc>
          <w:tcPr>
            <w:tcW w:w="1134" w:type="dxa"/>
            <w:tcBorders>
              <w:top w:val="single" w:sz="4" w:space="0" w:color="A6A6A6"/>
              <w:bottom w:val="single" w:sz="4" w:space="0" w:color="A6A6A6"/>
            </w:tcBorders>
            <w:shd w:val="clear" w:color="auto" w:fill="E7E6E6"/>
            <w:noWrap/>
            <w:hideMark/>
          </w:tcPr>
          <w:p w14:paraId="3B279019" w14:textId="77777777" w:rsidR="00FA7EBF" w:rsidRPr="007939DD" w:rsidRDefault="00FA7EBF" w:rsidP="007B207C">
            <w:pPr>
              <w:pStyle w:val="ARfintablebodyright"/>
              <w:rPr>
                <w:lang w:eastAsia="en-AU"/>
              </w:rPr>
            </w:pPr>
            <w:r w:rsidRPr="00572E7A">
              <w:t>99.6</w:t>
            </w:r>
          </w:p>
        </w:tc>
        <w:tc>
          <w:tcPr>
            <w:tcW w:w="1134" w:type="dxa"/>
            <w:tcBorders>
              <w:top w:val="single" w:sz="4" w:space="0" w:color="A6A6A6"/>
              <w:bottom w:val="single" w:sz="4" w:space="0" w:color="A6A6A6"/>
            </w:tcBorders>
            <w:noWrap/>
            <w:hideMark/>
          </w:tcPr>
          <w:p w14:paraId="77CFDB22" w14:textId="77777777" w:rsidR="00FA7EBF" w:rsidRPr="007939DD" w:rsidRDefault="00FA7EBF" w:rsidP="007B207C">
            <w:pPr>
              <w:pStyle w:val="ARfintablebodyright"/>
              <w:rPr>
                <w:lang w:eastAsia="en-AU"/>
              </w:rPr>
            </w:pPr>
            <w:r w:rsidRPr="00572E7A">
              <w:t>97.0</w:t>
            </w:r>
          </w:p>
        </w:tc>
      </w:tr>
      <w:tr w:rsidR="00FA7EBF" w:rsidRPr="007939DD" w14:paraId="1FAADB01" w14:textId="77777777" w:rsidTr="007B207C">
        <w:tc>
          <w:tcPr>
            <w:tcW w:w="7371" w:type="dxa"/>
            <w:tcBorders>
              <w:top w:val="single" w:sz="4" w:space="0" w:color="A6A6A6"/>
              <w:bottom w:val="single" w:sz="4" w:space="0" w:color="A6A6A6"/>
            </w:tcBorders>
            <w:noWrap/>
            <w:hideMark/>
          </w:tcPr>
          <w:p w14:paraId="08808E71" w14:textId="77777777" w:rsidR="00FA7EBF" w:rsidRPr="007939DD" w:rsidRDefault="00FA7EBF" w:rsidP="007B207C">
            <w:pPr>
              <w:pStyle w:val="ARfintablebody"/>
              <w:rPr>
                <w:lang w:eastAsia="en-AU"/>
              </w:rPr>
            </w:pPr>
            <w:r w:rsidRPr="00572E7A">
              <w:t>Goulburn Valley Health</w:t>
            </w:r>
          </w:p>
        </w:tc>
        <w:tc>
          <w:tcPr>
            <w:tcW w:w="1134" w:type="dxa"/>
            <w:tcBorders>
              <w:top w:val="single" w:sz="4" w:space="0" w:color="A6A6A6"/>
              <w:bottom w:val="single" w:sz="4" w:space="0" w:color="A6A6A6"/>
            </w:tcBorders>
            <w:shd w:val="clear" w:color="auto" w:fill="E7E6E6"/>
            <w:noWrap/>
            <w:hideMark/>
          </w:tcPr>
          <w:p w14:paraId="46E542B7" w14:textId="77777777" w:rsidR="00FA7EBF" w:rsidRPr="007939DD" w:rsidRDefault="00FA7EBF" w:rsidP="007B207C">
            <w:pPr>
              <w:pStyle w:val="ARfintablebodyright"/>
              <w:rPr>
                <w:lang w:eastAsia="en-AU"/>
              </w:rPr>
            </w:pPr>
            <w:r w:rsidRPr="00572E7A">
              <w:t>94.1</w:t>
            </w:r>
          </w:p>
        </w:tc>
        <w:tc>
          <w:tcPr>
            <w:tcW w:w="1134" w:type="dxa"/>
            <w:tcBorders>
              <w:top w:val="single" w:sz="4" w:space="0" w:color="A6A6A6"/>
              <w:bottom w:val="single" w:sz="4" w:space="0" w:color="A6A6A6"/>
            </w:tcBorders>
            <w:noWrap/>
            <w:hideMark/>
          </w:tcPr>
          <w:p w14:paraId="643D5320" w14:textId="77777777" w:rsidR="00FA7EBF" w:rsidRPr="007939DD" w:rsidRDefault="00FA7EBF" w:rsidP="007B207C">
            <w:pPr>
              <w:pStyle w:val="ARfintablebodyright"/>
              <w:rPr>
                <w:lang w:eastAsia="en-AU"/>
              </w:rPr>
            </w:pPr>
            <w:r w:rsidRPr="00572E7A">
              <w:t>71.7</w:t>
            </w:r>
          </w:p>
        </w:tc>
      </w:tr>
      <w:tr w:rsidR="00FA7EBF" w:rsidRPr="007939DD" w14:paraId="2B4F324F" w14:textId="77777777" w:rsidTr="007B207C">
        <w:tc>
          <w:tcPr>
            <w:tcW w:w="7371" w:type="dxa"/>
            <w:tcBorders>
              <w:top w:val="single" w:sz="4" w:space="0" w:color="A6A6A6"/>
              <w:bottom w:val="single" w:sz="4" w:space="0" w:color="A6A6A6"/>
            </w:tcBorders>
            <w:noWrap/>
            <w:hideMark/>
          </w:tcPr>
          <w:p w14:paraId="78A069CF" w14:textId="77777777" w:rsidR="00FA7EBF" w:rsidRPr="007939DD" w:rsidRDefault="00FA7EBF" w:rsidP="007B207C">
            <w:pPr>
              <w:pStyle w:val="ARfintablebody"/>
              <w:rPr>
                <w:lang w:eastAsia="en-AU"/>
              </w:rPr>
            </w:pPr>
            <w:r w:rsidRPr="00572E7A">
              <w:t>Ballarat Health Services</w:t>
            </w:r>
          </w:p>
        </w:tc>
        <w:tc>
          <w:tcPr>
            <w:tcW w:w="1134" w:type="dxa"/>
            <w:tcBorders>
              <w:top w:val="single" w:sz="4" w:space="0" w:color="A6A6A6"/>
              <w:bottom w:val="single" w:sz="4" w:space="0" w:color="A6A6A6"/>
            </w:tcBorders>
            <w:shd w:val="clear" w:color="auto" w:fill="E7E6E6"/>
            <w:noWrap/>
            <w:hideMark/>
          </w:tcPr>
          <w:p w14:paraId="3D083019" w14:textId="77777777" w:rsidR="00FA7EBF" w:rsidRPr="007939DD" w:rsidRDefault="00FA7EBF" w:rsidP="007B207C">
            <w:pPr>
              <w:pStyle w:val="ARfintablebodyright"/>
              <w:rPr>
                <w:lang w:eastAsia="en-AU"/>
              </w:rPr>
            </w:pPr>
            <w:r w:rsidRPr="00572E7A">
              <w:t>92.0</w:t>
            </w:r>
          </w:p>
        </w:tc>
        <w:tc>
          <w:tcPr>
            <w:tcW w:w="1134" w:type="dxa"/>
            <w:tcBorders>
              <w:top w:val="single" w:sz="4" w:space="0" w:color="A6A6A6"/>
              <w:bottom w:val="single" w:sz="4" w:space="0" w:color="A6A6A6"/>
            </w:tcBorders>
            <w:noWrap/>
            <w:hideMark/>
          </w:tcPr>
          <w:p w14:paraId="7E29F955" w14:textId="77777777" w:rsidR="00FA7EBF" w:rsidRPr="007939DD" w:rsidRDefault="00FA7EBF" w:rsidP="007B207C">
            <w:pPr>
              <w:pStyle w:val="ARfintablebodyright"/>
              <w:rPr>
                <w:lang w:eastAsia="en-AU"/>
              </w:rPr>
            </w:pPr>
            <w:r w:rsidRPr="00572E7A">
              <w:t>102.3</w:t>
            </w:r>
          </w:p>
        </w:tc>
      </w:tr>
      <w:tr w:rsidR="00FA7EBF" w:rsidRPr="007939DD" w14:paraId="38BDCB5B" w14:textId="77777777" w:rsidTr="007B207C">
        <w:tc>
          <w:tcPr>
            <w:tcW w:w="7371" w:type="dxa"/>
            <w:tcBorders>
              <w:top w:val="single" w:sz="4" w:space="0" w:color="A6A6A6"/>
              <w:bottom w:val="single" w:sz="4" w:space="0" w:color="A6A6A6"/>
            </w:tcBorders>
            <w:noWrap/>
            <w:hideMark/>
          </w:tcPr>
          <w:p w14:paraId="1849C111" w14:textId="77777777" w:rsidR="00FA7EBF" w:rsidRPr="007939DD" w:rsidRDefault="00FA7EBF" w:rsidP="007B207C">
            <w:pPr>
              <w:pStyle w:val="ARfintablebody"/>
              <w:rPr>
                <w:lang w:eastAsia="en-AU"/>
              </w:rPr>
            </w:pPr>
            <w:r w:rsidRPr="00572E7A">
              <w:t>Northern Health</w:t>
            </w:r>
          </w:p>
        </w:tc>
        <w:tc>
          <w:tcPr>
            <w:tcW w:w="1134" w:type="dxa"/>
            <w:tcBorders>
              <w:top w:val="single" w:sz="4" w:space="0" w:color="A6A6A6"/>
              <w:bottom w:val="single" w:sz="4" w:space="0" w:color="A6A6A6"/>
            </w:tcBorders>
            <w:shd w:val="clear" w:color="auto" w:fill="E7E6E6"/>
            <w:noWrap/>
            <w:hideMark/>
          </w:tcPr>
          <w:p w14:paraId="60805DC6" w14:textId="77777777" w:rsidR="00FA7EBF" w:rsidRPr="007939DD" w:rsidRDefault="00FA7EBF" w:rsidP="007B207C">
            <w:pPr>
              <w:pStyle w:val="ARfintablebodyright"/>
              <w:rPr>
                <w:lang w:eastAsia="en-AU"/>
              </w:rPr>
            </w:pPr>
            <w:r w:rsidRPr="00572E7A">
              <w:t>60.8</w:t>
            </w:r>
          </w:p>
        </w:tc>
        <w:tc>
          <w:tcPr>
            <w:tcW w:w="1134" w:type="dxa"/>
            <w:tcBorders>
              <w:top w:val="single" w:sz="4" w:space="0" w:color="A6A6A6"/>
              <w:bottom w:val="single" w:sz="4" w:space="0" w:color="A6A6A6"/>
            </w:tcBorders>
            <w:noWrap/>
            <w:hideMark/>
          </w:tcPr>
          <w:p w14:paraId="379A6267" w14:textId="77777777" w:rsidR="00FA7EBF" w:rsidRPr="007939DD" w:rsidRDefault="00FA7EBF" w:rsidP="007B207C">
            <w:pPr>
              <w:pStyle w:val="ARfintablebodyright"/>
              <w:rPr>
                <w:lang w:eastAsia="en-AU"/>
              </w:rPr>
            </w:pPr>
            <w:r w:rsidRPr="00572E7A">
              <w:t>44.6</w:t>
            </w:r>
          </w:p>
        </w:tc>
      </w:tr>
      <w:tr w:rsidR="00FA7EBF" w:rsidRPr="007939DD" w14:paraId="509E06DF" w14:textId="77777777" w:rsidTr="007B207C">
        <w:tc>
          <w:tcPr>
            <w:tcW w:w="7371" w:type="dxa"/>
            <w:tcBorders>
              <w:top w:val="single" w:sz="4" w:space="0" w:color="A6A6A6"/>
              <w:bottom w:val="single" w:sz="4" w:space="0" w:color="A6A6A6"/>
            </w:tcBorders>
            <w:noWrap/>
            <w:hideMark/>
          </w:tcPr>
          <w:p w14:paraId="642F35E7" w14:textId="77777777" w:rsidR="00FA7EBF" w:rsidRPr="007939DD" w:rsidRDefault="00FA7EBF" w:rsidP="007B207C">
            <w:pPr>
              <w:pStyle w:val="ARfintablebody"/>
              <w:rPr>
                <w:lang w:eastAsia="en-AU"/>
              </w:rPr>
            </w:pPr>
            <w:r w:rsidRPr="00572E7A">
              <w:t>Latrobe Regional Hospital</w:t>
            </w:r>
          </w:p>
        </w:tc>
        <w:tc>
          <w:tcPr>
            <w:tcW w:w="1134" w:type="dxa"/>
            <w:tcBorders>
              <w:top w:val="single" w:sz="4" w:space="0" w:color="A6A6A6"/>
              <w:bottom w:val="single" w:sz="4" w:space="0" w:color="A6A6A6"/>
            </w:tcBorders>
            <w:shd w:val="clear" w:color="auto" w:fill="E7E6E6"/>
            <w:noWrap/>
            <w:hideMark/>
          </w:tcPr>
          <w:p w14:paraId="0233C294" w14:textId="77777777" w:rsidR="00FA7EBF" w:rsidRPr="007939DD" w:rsidRDefault="00FA7EBF" w:rsidP="007B207C">
            <w:pPr>
              <w:pStyle w:val="ARfintablebodyright"/>
              <w:rPr>
                <w:lang w:eastAsia="en-AU"/>
              </w:rPr>
            </w:pPr>
            <w:r w:rsidRPr="00572E7A">
              <w:t>52.1</w:t>
            </w:r>
          </w:p>
        </w:tc>
        <w:tc>
          <w:tcPr>
            <w:tcW w:w="1134" w:type="dxa"/>
            <w:tcBorders>
              <w:top w:val="single" w:sz="4" w:space="0" w:color="A6A6A6"/>
              <w:bottom w:val="single" w:sz="4" w:space="0" w:color="A6A6A6"/>
            </w:tcBorders>
            <w:noWrap/>
            <w:hideMark/>
          </w:tcPr>
          <w:p w14:paraId="16BC4B36" w14:textId="77777777" w:rsidR="00FA7EBF" w:rsidRPr="007939DD" w:rsidRDefault="00FA7EBF" w:rsidP="007B207C">
            <w:pPr>
              <w:pStyle w:val="ARfintablebodyright"/>
              <w:rPr>
                <w:lang w:eastAsia="en-AU"/>
              </w:rPr>
            </w:pPr>
            <w:r w:rsidRPr="00572E7A">
              <w:t>60.8</w:t>
            </w:r>
          </w:p>
        </w:tc>
      </w:tr>
      <w:tr w:rsidR="00FA7EBF" w:rsidRPr="007939DD" w14:paraId="6DEA35AC" w14:textId="77777777" w:rsidTr="007B207C">
        <w:tc>
          <w:tcPr>
            <w:tcW w:w="7371" w:type="dxa"/>
            <w:tcBorders>
              <w:top w:val="single" w:sz="4" w:space="0" w:color="A6A6A6"/>
              <w:bottom w:val="single" w:sz="4" w:space="0" w:color="A6A6A6"/>
            </w:tcBorders>
            <w:noWrap/>
            <w:hideMark/>
          </w:tcPr>
          <w:p w14:paraId="597A88F4" w14:textId="77777777" w:rsidR="00FA7EBF" w:rsidRPr="007939DD" w:rsidRDefault="00FA7EBF" w:rsidP="007B207C">
            <w:pPr>
              <w:pStyle w:val="ARfintablebody"/>
              <w:rPr>
                <w:lang w:eastAsia="en-AU"/>
              </w:rPr>
            </w:pPr>
            <w:r w:rsidRPr="00572E7A">
              <w:t>The Royal Women’s Hospital</w:t>
            </w:r>
          </w:p>
        </w:tc>
        <w:tc>
          <w:tcPr>
            <w:tcW w:w="1134" w:type="dxa"/>
            <w:tcBorders>
              <w:top w:val="single" w:sz="4" w:space="0" w:color="A6A6A6"/>
              <w:bottom w:val="single" w:sz="4" w:space="0" w:color="A6A6A6"/>
            </w:tcBorders>
            <w:shd w:val="clear" w:color="auto" w:fill="E7E6E6"/>
            <w:noWrap/>
            <w:hideMark/>
          </w:tcPr>
          <w:p w14:paraId="4CE4E0B7" w14:textId="77777777" w:rsidR="00FA7EBF" w:rsidRPr="007939DD" w:rsidRDefault="00FA7EBF" w:rsidP="007B207C">
            <w:pPr>
              <w:pStyle w:val="ARfintablebodyright"/>
              <w:rPr>
                <w:lang w:eastAsia="en-AU"/>
              </w:rPr>
            </w:pPr>
            <w:r w:rsidRPr="00572E7A">
              <w:t>48.2</w:t>
            </w:r>
          </w:p>
        </w:tc>
        <w:tc>
          <w:tcPr>
            <w:tcW w:w="1134" w:type="dxa"/>
            <w:tcBorders>
              <w:top w:val="single" w:sz="4" w:space="0" w:color="A6A6A6"/>
              <w:bottom w:val="single" w:sz="4" w:space="0" w:color="A6A6A6"/>
            </w:tcBorders>
            <w:noWrap/>
            <w:hideMark/>
          </w:tcPr>
          <w:p w14:paraId="038DB1CA" w14:textId="77777777" w:rsidR="00FA7EBF" w:rsidRPr="007939DD" w:rsidRDefault="00FA7EBF" w:rsidP="007B207C">
            <w:pPr>
              <w:pStyle w:val="ARfintablebodyright"/>
              <w:rPr>
                <w:lang w:eastAsia="en-AU"/>
              </w:rPr>
            </w:pPr>
            <w:r w:rsidRPr="00572E7A">
              <w:t>56.4</w:t>
            </w:r>
          </w:p>
        </w:tc>
      </w:tr>
      <w:tr w:rsidR="00FA7EBF" w:rsidRPr="007939DD" w14:paraId="2D09F789" w14:textId="77777777" w:rsidTr="007B207C">
        <w:tc>
          <w:tcPr>
            <w:tcW w:w="7371" w:type="dxa"/>
            <w:tcBorders>
              <w:top w:val="single" w:sz="4" w:space="0" w:color="A6A6A6"/>
              <w:bottom w:val="single" w:sz="4" w:space="0" w:color="A6A6A6"/>
            </w:tcBorders>
            <w:noWrap/>
            <w:hideMark/>
          </w:tcPr>
          <w:p w14:paraId="4D19F687" w14:textId="77777777" w:rsidR="00FA7EBF" w:rsidRPr="007939DD" w:rsidRDefault="00FA7EBF" w:rsidP="007B207C">
            <w:pPr>
              <w:pStyle w:val="ARfintablebody"/>
              <w:rPr>
                <w:lang w:eastAsia="en-AU"/>
              </w:rPr>
            </w:pPr>
            <w:r w:rsidRPr="00572E7A">
              <w:t>South West Healthcare</w:t>
            </w:r>
          </w:p>
        </w:tc>
        <w:tc>
          <w:tcPr>
            <w:tcW w:w="1134" w:type="dxa"/>
            <w:tcBorders>
              <w:top w:val="single" w:sz="4" w:space="0" w:color="A6A6A6"/>
              <w:bottom w:val="single" w:sz="4" w:space="0" w:color="A6A6A6"/>
            </w:tcBorders>
            <w:shd w:val="clear" w:color="auto" w:fill="E7E6E6"/>
            <w:noWrap/>
            <w:hideMark/>
          </w:tcPr>
          <w:p w14:paraId="78137A5F" w14:textId="77777777" w:rsidR="00FA7EBF" w:rsidRPr="007939DD" w:rsidRDefault="00FA7EBF" w:rsidP="007B207C">
            <w:pPr>
              <w:pStyle w:val="ARfintablebodyright"/>
              <w:rPr>
                <w:lang w:eastAsia="en-AU"/>
              </w:rPr>
            </w:pPr>
            <w:r w:rsidRPr="00572E7A">
              <w:t>35.3</w:t>
            </w:r>
          </w:p>
        </w:tc>
        <w:tc>
          <w:tcPr>
            <w:tcW w:w="1134" w:type="dxa"/>
            <w:tcBorders>
              <w:top w:val="single" w:sz="4" w:space="0" w:color="A6A6A6"/>
              <w:bottom w:val="single" w:sz="4" w:space="0" w:color="A6A6A6"/>
            </w:tcBorders>
            <w:noWrap/>
            <w:hideMark/>
          </w:tcPr>
          <w:p w14:paraId="1E4A8CD8" w14:textId="77777777" w:rsidR="00FA7EBF" w:rsidRPr="007939DD" w:rsidRDefault="00FA7EBF" w:rsidP="007B207C">
            <w:pPr>
              <w:pStyle w:val="ARfintablebodyright"/>
              <w:rPr>
                <w:lang w:eastAsia="en-AU"/>
              </w:rPr>
            </w:pPr>
            <w:r w:rsidRPr="00572E7A">
              <w:t>32.9</w:t>
            </w:r>
          </w:p>
        </w:tc>
      </w:tr>
      <w:tr w:rsidR="00FA7EBF" w:rsidRPr="007939DD" w14:paraId="1BDA7E73" w14:textId="77777777" w:rsidTr="007B207C">
        <w:tc>
          <w:tcPr>
            <w:tcW w:w="7371" w:type="dxa"/>
            <w:tcBorders>
              <w:top w:val="single" w:sz="4" w:space="0" w:color="A6A6A6"/>
              <w:bottom w:val="single" w:sz="4" w:space="0" w:color="A6A6A6"/>
            </w:tcBorders>
            <w:noWrap/>
            <w:hideMark/>
          </w:tcPr>
          <w:p w14:paraId="726A1E08" w14:textId="77777777" w:rsidR="00FA7EBF" w:rsidRPr="007939DD" w:rsidRDefault="00FA7EBF" w:rsidP="007B207C">
            <w:pPr>
              <w:pStyle w:val="ARfintablebody"/>
              <w:rPr>
                <w:lang w:eastAsia="en-AU"/>
              </w:rPr>
            </w:pPr>
            <w:r w:rsidRPr="00572E7A">
              <w:t>The Royal Victorian Eye and Ear Hospital</w:t>
            </w:r>
          </w:p>
        </w:tc>
        <w:tc>
          <w:tcPr>
            <w:tcW w:w="1134" w:type="dxa"/>
            <w:tcBorders>
              <w:top w:val="single" w:sz="4" w:space="0" w:color="A6A6A6"/>
              <w:bottom w:val="single" w:sz="4" w:space="0" w:color="A6A6A6"/>
            </w:tcBorders>
            <w:shd w:val="clear" w:color="auto" w:fill="E7E6E6"/>
            <w:noWrap/>
            <w:hideMark/>
          </w:tcPr>
          <w:p w14:paraId="6C0EFBE2" w14:textId="77777777" w:rsidR="00FA7EBF" w:rsidRPr="007939DD" w:rsidRDefault="00FA7EBF" w:rsidP="007B207C">
            <w:pPr>
              <w:pStyle w:val="ARfintablebodyright"/>
              <w:rPr>
                <w:lang w:eastAsia="en-AU"/>
              </w:rPr>
            </w:pPr>
            <w:r w:rsidRPr="00572E7A">
              <w:t>32.8</w:t>
            </w:r>
          </w:p>
        </w:tc>
        <w:tc>
          <w:tcPr>
            <w:tcW w:w="1134" w:type="dxa"/>
            <w:tcBorders>
              <w:top w:val="single" w:sz="4" w:space="0" w:color="A6A6A6"/>
              <w:bottom w:val="single" w:sz="4" w:space="0" w:color="A6A6A6"/>
            </w:tcBorders>
            <w:noWrap/>
            <w:hideMark/>
          </w:tcPr>
          <w:p w14:paraId="15E20B5C" w14:textId="77777777" w:rsidR="00FA7EBF" w:rsidRPr="007939DD" w:rsidRDefault="00FA7EBF" w:rsidP="007B207C">
            <w:pPr>
              <w:pStyle w:val="ARfintablebodyright"/>
              <w:rPr>
                <w:lang w:eastAsia="en-AU"/>
              </w:rPr>
            </w:pPr>
            <w:r w:rsidRPr="00572E7A">
              <w:t>46.3</w:t>
            </w:r>
          </w:p>
        </w:tc>
      </w:tr>
      <w:tr w:rsidR="00FA7EBF" w:rsidRPr="007939DD" w14:paraId="26A99A05" w14:textId="77777777" w:rsidTr="007B207C">
        <w:tc>
          <w:tcPr>
            <w:tcW w:w="7371" w:type="dxa"/>
            <w:tcBorders>
              <w:top w:val="single" w:sz="4" w:space="0" w:color="A6A6A6"/>
            </w:tcBorders>
            <w:noWrap/>
            <w:hideMark/>
          </w:tcPr>
          <w:p w14:paraId="2831B3D5" w14:textId="77777777" w:rsidR="00FA7EBF" w:rsidRPr="007939DD" w:rsidRDefault="00FA7EBF" w:rsidP="007B207C">
            <w:pPr>
              <w:pStyle w:val="ARfintablebody"/>
              <w:rPr>
                <w:lang w:eastAsia="en-AU"/>
              </w:rPr>
            </w:pPr>
            <w:r w:rsidRPr="00572E7A">
              <w:t>Other public hospitals with payments totalling less than $30 million</w:t>
            </w:r>
          </w:p>
        </w:tc>
        <w:tc>
          <w:tcPr>
            <w:tcW w:w="1134" w:type="dxa"/>
            <w:tcBorders>
              <w:top w:val="single" w:sz="4" w:space="0" w:color="A6A6A6"/>
            </w:tcBorders>
            <w:shd w:val="clear" w:color="auto" w:fill="E7E6E6"/>
            <w:noWrap/>
            <w:hideMark/>
          </w:tcPr>
          <w:p w14:paraId="15CCB2BF" w14:textId="77777777" w:rsidR="00FA7EBF" w:rsidRPr="007939DD" w:rsidRDefault="00FA7EBF" w:rsidP="007B207C">
            <w:pPr>
              <w:pStyle w:val="ARfintablebodyright"/>
              <w:rPr>
                <w:lang w:eastAsia="en-AU"/>
              </w:rPr>
            </w:pPr>
            <w:r w:rsidRPr="00572E7A">
              <w:t>551.8</w:t>
            </w:r>
          </w:p>
        </w:tc>
        <w:tc>
          <w:tcPr>
            <w:tcW w:w="1134" w:type="dxa"/>
            <w:tcBorders>
              <w:top w:val="single" w:sz="4" w:space="0" w:color="A6A6A6"/>
            </w:tcBorders>
            <w:noWrap/>
            <w:hideMark/>
          </w:tcPr>
          <w:p w14:paraId="68F1FDFC" w14:textId="77777777" w:rsidR="00FA7EBF" w:rsidRPr="007939DD" w:rsidRDefault="00FA7EBF" w:rsidP="007B207C">
            <w:pPr>
              <w:pStyle w:val="ARfintablebodyright"/>
              <w:rPr>
                <w:lang w:eastAsia="en-AU"/>
              </w:rPr>
            </w:pPr>
            <w:r w:rsidRPr="00572E7A">
              <w:t>508.8</w:t>
            </w:r>
          </w:p>
        </w:tc>
      </w:tr>
      <w:tr w:rsidR="00FA7EBF" w:rsidRPr="007939DD" w14:paraId="74494532" w14:textId="77777777" w:rsidTr="007B207C">
        <w:tc>
          <w:tcPr>
            <w:tcW w:w="7371" w:type="dxa"/>
            <w:tcBorders>
              <w:bottom w:val="single" w:sz="4" w:space="0" w:color="A6A6A6"/>
            </w:tcBorders>
            <w:noWrap/>
            <w:hideMark/>
          </w:tcPr>
          <w:p w14:paraId="538673C1" w14:textId="77777777" w:rsidR="00FA7EBF" w:rsidRPr="007939DD" w:rsidRDefault="00FA7EBF" w:rsidP="007B207C">
            <w:pPr>
              <w:pStyle w:val="ARfintablebody"/>
              <w:rPr>
                <w:lang w:eastAsia="en-AU"/>
              </w:rPr>
            </w:pPr>
          </w:p>
        </w:tc>
        <w:tc>
          <w:tcPr>
            <w:tcW w:w="1134" w:type="dxa"/>
            <w:tcBorders>
              <w:bottom w:val="single" w:sz="4" w:space="0" w:color="A6A6A6"/>
            </w:tcBorders>
            <w:shd w:val="clear" w:color="auto" w:fill="E7E6E6"/>
            <w:noWrap/>
            <w:hideMark/>
          </w:tcPr>
          <w:p w14:paraId="681386F5" w14:textId="77777777" w:rsidR="00FA7EBF" w:rsidRPr="007939DD" w:rsidRDefault="00FA7EBF" w:rsidP="007B207C">
            <w:pPr>
              <w:pStyle w:val="ARfintablebodyrightbold"/>
              <w:rPr>
                <w:lang w:eastAsia="en-AU"/>
              </w:rPr>
            </w:pPr>
            <w:r w:rsidRPr="00572E7A">
              <w:t>8,775.5</w:t>
            </w:r>
          </w:p>
        </w:tc>
        <w:tc>
          <w:tcPr>
            <w:tcW w:w="1134" w:type="dxa"/>
            <w:tcBorders>
              <w:bottom w:val="single" w:sz="4" w:space="0" w:color="A6A6A6"/>
            </w:tcBorders>
            <w:noWrap/>
            <w:hideMark/>
          </w:tcPr>
          <w:p w14:paraId="502D48A8" w14:textId="77777777" w:rsidR="00FA7EBF" w:rsidRPr="007939DD" w:rsidRDefault="00FA7EBF" w:rsidP="007B207C">
            <w:pPr>
              <w:pStyle w:val="ARfintablebodyrightbold"/>
              <w:rPr>
                <w:rStyle w:val="Strong"/>
                <w:bCs w:val="0"/>
              </w:rPr>
            </w:pPr>
            <w:r w:rsidRPr="00572E7A">
              <w:t>7,972.8</w:t>
            </w:r>
          </w:p>
        </w:tc>
      </w:tr>
      <w:tr w:rsidR="00FA7EBF" w:rsidRPr="007939DD" w14:paraId="5C3D4061" w14:textId="77777777" w:rsidTr="007B207C">
        <w:tc>
          <w:tcPr>
            <w:tcW w:w="9639" w:type="dxa"/>
            <w:gridSpan w:val="3"/>
            <w:tcBorders>
              <w:top w:val="single" w:sz="4" w:space="0" w:color="A6A6A6"/>
              <w:bottom w:val="single" w:sz="4" w:space="0" w:color="A6A6A6"/>
            </w:tcBorders>
            <w:noWrap/>
            <w:hideMark/>
          </w:tcPr>
          <w:p w14:paraId="39F08C25" w14:textId="77777777" w:rsidR="00FA7EBF" w:rsidRPr="007939DD" w:rsidRDefault="00FA7EBF" w:rsidP="007B207C">
            <w:pPr>
              <w:pStyle w:val="ARfintablebodybold"/>
              <w:rPr>
                <w:rStyle w:val="Strong"/>
                <w:bCs/>
              </w:rPr>
            </w:pPr>
            <w:r w:rsidRPr="00572E7A">
              <w:t>Denominational hospitals</w:t>
            </w:r>
          </w:p>
        </w:tc>
      </w:tr>
      <w:tr w:rsidR="00FA7EBF" w:rsidRPr="007939DD" w14:paraId="51107A0D" w14:textId="77777777" w:rsidTr="007B207C">
        <w:tc>
          <w:tcPr>
            <w:tcW w:w="7371" w:type="dxa"/>
            <w:tcBorders>
              <w:top w:val="single" w:sz="4" w:space="0" w:color="A6A6A6"/>
              <w:bottom w:val="single" w:sz="4" w:space="0" w:color="A6A6A6"/>
            </w:tcBorders>
            <w:noWrap/>
            <w:hideMark/>
          </w:tcPr>
          <w:p w14:paraId="34DBBA62" w14:textId="77777777" w:rsidR="00FA7EBF" w:rsidRPr="007939DD" w:rsidRDefault="00FA7EBF" w:rsidP="007B207C">
            <w:pPr>
              <w:pStyle w:val="ARfintablebody"/>
              <w:rPr>
                <w:lang w:eastAsia="en-AU"/>
              </w:rPr>
            </w:pPr>
            <w:r w:rsidRPr="00572E7A">
              <w:t>St Vincent’s Hospital (Melbourne) Limited</w:t>
            </w:r>
          </w:p>
        </w:tc>
        <w:tc>
          <w:tcPr>
            <w:tcW w:w="1134" w:type="dxa"/>
            <w:tcBorders>
              <w:top w:val="single" w:sz="4" w:space="0" w:color="A6A6A6"/>
              <w:bottom w:val="single" w:sz="4" w:space="0" w:color="A6A6A6"/>
            </w:tcBorders>
            <w:shd w:val="clear" w:color="auto" w:fill="E7E6E6"/>
            <w:noWrap/>
            <w:hideMark/>
          </w:tcPr>
          <w:p w14:paraId="6C89FFB7" w14:textId="77777777" w:rsidR="00FA7EBF" w:rsidRPr="007939DD" w:rsidRDefault="00FA7EBF" w:rsidP="007B207C">
            <w:pPr>
              <w:pStyle w:val="ARfintablebodyright"/>
              <w:rPr>
                <w:lang w:eastAsia="en-AU"/>
              </w:rPr>
            </w:pPr>
            <w:r w:rsidRPr="00572E7A">
              <w:t>106.2</w:t>
            </w:r>
          </w:p>
        </w:tc>
        <w:tc>
          <w:tcPr>
            <w:tcW w:w="1134" w:type="dxa"/>
            <w:tcBorders>
              <w:top w:val="single" w:sz="4" w:space="0" w:color="A6A6A6"/>
              <w:bottom w:val="single" w:sz="4" w:space="0" w:color="A6A6A6"/>
            </w:tcBorders>
            <w:noWrap/>
            <w:hideMark/>
          </w:tcPr>
          <w:p w14:paraId="0523FF94" w14:textId="77777777" w:rsidR="00FA7EBF" w:rsidRPr="007939DD" w:rsidRDefault="00FA7EBF" w:rsidP="007B207C">
            <w:pPr>
              <w:pStyle w:val="ARfintablebodyright"/>
              <w:rPr>
                <w:lang w:eastAsia="en-AU"/>
              </w:rPr>
            </w:pPr>
            <w:r w:rsidRPr="00572E7A">
              <w:t>104.6</w:t>
            </w:r>
          </w:p>
        </w:tc>
      </w:tr>
      <w:tr w:rsidR="00FA7EBF" w:rsidRPr="007939DD" w14:paraId="6552DB84" w14:textId="77777777" w:rsidTr="007B207C">
        <w:tc>
          <w:tcPr>
            <w:tcW w:w="7371" w:type="dxa"/>
            <w:tcBorders>
              <w:top w:val="single" w:sz="4" w:space="0" w:color="A6A6A6"/>
              <w:bottom w:val="single" w:sz="4" w:space="0" w:color="A6A6A6"/>
            </w:tcBorders>
            <w:noWrap/>
            <w:hideMark/>
          </w:tcPr>
          <w:p w14:paraId="002721CA" w14:textId="77777777" w:rsidR="00FA7EBF" w:rsidRPr="007939DD" w:rsidRDefault="00FA7EBF" w:rsidP="007B207C">
            <w:pPr>
              <w:pStyle w:val="ARfintablebody"/>
              <w:rPr>
                <w:lang w:eastAsia="en-AU"/>
              </w:rPr>
            </w:pPr>
            <w:r w:rsidRPr="00572E7A">
              <w:t>Mercy Hospitals Victoria Limited</w:t>
            </w:r>
          </w:p>
        </w:tc>
        <w:tc>
          <w:tcPr>
            <w:tcW w:w="1134" w:type="dxa"/>
            <w:tcBorders>
              <w:top w:val="single" w:sz="4" w:space="0" w:color="A6A6A6"/>
              <w:bottom w:val="single" w:sz="4" w:space="0" w:color="A6A6A6"/>
            </w:tcBorders>
            <w:shd w:val="clear" w:color="auto" w:fill="E7E6E6"/>
            <w:noWrap/>
            <w:hideMark/>
          </w:tcPr>
          <w:p w14:paraId="7847E66C" w14:textId="77777777" w:rsidR="00FA7EBF" w:rsidRPr="007939DD" w:rsidRDefault="00FA7EBF" w:rsidP="007B207C">
            <w:pPr>
              <w:pStyle w:val="ARfintablebodyright"/>
              <w:rPr>
                <w:lang w:eastAsia="en-AU"/>
              </w:rPr>
            </w:pPr>
            <w:r w:rsidRPr="00572E7A">
              <w:t>58.8</w:t>
            </w:r>
          </w:p>
        </w:tc>
        <w:tc>
          <w:tcPr>
            <w:tcW w:w="1134" w:type="dxa"/>
            <w:tcBorders>
              <w:top w:val="single" w:sz="4" w:space="0" w:color="A6A6A6"/>
              <w:bottom w:val="single" w:sz="4" w:space="0" w:color="A6A6A6"/>
            </w:tcBorders>
            <w:noWrap/>
            <w:hideMark/>
          </w:tcPr>
          <w:p w14:paraId="795FA53C" w14:textId="77777777" w:rsidR="00FA7EBF" w:rsidRPr="007939DD" w:rsidRDefault="00FA7EBF" w:rsidP="007B207C">
            <w:pPr>
              <w:pStyle w:val="ARfintablebodyright"/>
              <w:rPr>
                <w:lang w:eastAsia="en-AU"/>
              </w:rPr>
            </w:pPr>
            <w:r w:rsidRPr="00572E7A">
              <w:t>51.2</w:t>
            </w:r>
          </w:p>
        </w:tc>
      </w:tr>
      <w:tr w:rsidR="00FA7EBF" w:rsidRPr="007939DD" w14:paraId="5F240209" w14:textId="77777777" w:rsidTr="007B207C">
        <w:tc>
          <w:tcPr>
            <w:tcW w:w="7371" w:type="dxa"/>
            <w:tcBorders>
              <w:top w:val="single" w:sz="4" w:space="0" w:color="A6A6A6"/>
            </w:tcBorders>
            <w:noWrap/>
            <w:hideMark/>
          </w:tcPr>
          <w:p w14:paraId="36BC465F" w14:textId="77777777" w:rsidR="00FA7EBF" w:rsidRPr="007939DD" w:rsidRDefault="00FA7EBF" w:rsidP="007B207C">
            <w:pPr>
              <w:pStyle w:val="ARfintablebody"/>
              <w:rPr>
                <w:lang w:eastAsia="en-AU"/>
              </w:rPr>
            </w:pPr>
            <w:r w:rsidRPr="00572E7A">
              <w:t>Other denominational hospitals with payments totalling less than $30 million</w:t>
            </w:r>
          </w:p>
        </w:tc>
        <w:tc>
          <w:tcPr>
            <w:tcW w:w="1134" w:type="dxa"/>
            <w:tcBorders>
              <w:top w:val="single" w:sz="4" w:space="0" w:color="A6A6A6"/>
            </w:tcBorders>
            <w:shd w:val="clear" w:color="auto" w:fill="E7E6E6"/>
            <w:noWrap/>
            <w:hideMark/>
          </w:tcPr>
          <w:p w14:paraId="6FE4882B" w14:textId="77777777" w:rsidR="00FA7EBF" w:rsidRPr="007939DD" w:rsidRDefault="00FA7EBF" w:rsidP="007B207C">
            <w:pPr>
              <w:pStyle w:val="ARfintablebodyright"/>
              <w:rPr>
                <w:lang w:eastAsia="en-AU"/>
              </w:rPr>
            </w:pPr>
            <w:r w:rsidRPr="00572E7A">
              <w:t>10.6</w:t>
            </w:r>
          </w:p>
        </w:tc>
        <w:tc>
          <w:tcPr>
            <w:tcW w:w="1134" w:type="dxa"/>
            <w:tcBorders>
              <w:top w:val="single" w:sz="4" w:space="0" w:color="A6A6A6"/>
            </w:tcBorders>
            <w:noWrap/>
            <w:hideMark/>
          </w:tcPr>
          <w:p w14:paraId="2D48DBC6" w14:textId="77777777" w:rsidR="00FA7EBF" w:rsidRPr="007939DD" w:rsidRDefault="00FA7EBF" w:rsidP="007B207C">
            <w:pPr>
              <w:pStyle w:val="ARfintablebodyright"/>
              <w:rPr>
                <w:lang w:eastAsia="en-AU"/>
              </w:rPr>
            </w:pPr>
            <w:r w:rsidRPr="00572E7A">
              <w:t>9.8</w:t>
            </w:r>
          </w:p>
        </w:tc>
      </w:tr>
      <w:tr w:rsidR="00FA7EBF" w:rsidRPr="007939DD" w14:paraId="4B323448" w14:textId="77777777" w:rsidTr="007B207C">
        <w:tc>
          <w:tcPr>
            <w:tcW w:w="7371" w:type="dxa"/>
            <w:noWrap/>
            <w:hideMark/>
          </w:tcPr>
          <w:p w14:paraId="036EFB93" w14:textId="77777777" w:rsidR="00FA7EBF" w:rsidRPr="007939DD" w:rsidRDefault="00FA7EBF" w:rsidP="007B207C">
            <w:pPr>
              <w:pStyle w:val="ARfintablebody"/>
              <w:rPr>
                <w:lang w:eastAsia="en-AU"/>
              </w:rPr>
            </w:pPr>
          </w:p>
        </w:tc>
        <w:tc>
          <w:tcPr>
            <w:tcW w:w="1134" w:type="dxa"/>
            <w:shd w:val="clear" w:color="auto" w:fill="E7E6E6"/>
            <w:noWrap/>
            <w:hideMark/>
          </w:tcPr>
          <w:p w14:paraId="53B5E3E2" w14:textId="77777777" w:rsidR="00FA7EBF" w:rsidRPr="007939DD" w:rsidRDefault="00FA7EBF" w:rsidP="007B207C">
            <w:pPr>
              <w:pStyle w:val="ARfintablebodyrightbold"/>
              <w:rPr>
                <w:lang w:eastAsia="en-AU"/>
              </w:rPr>
            </w:pPr>
            <w:r w:rsidRPr="00572E7A">
              <w:t>175.6</w:t>
            </w:r>
          </w:p>
        </w:tc>
        <w:tc>
          <w:tcPr>
            <w:tcW w:w="1134" w:type="dxa"/>
            <w:noWrap/>
            <w:hideMark/>
          </w:tcPr>
          <w:p w14:paraId="03F438C3" w14:textId="77777777" w:rsidR="00FA7EBF" w:rsidRPr="007939DD" w:rsidRDefault="00FA7EBF" w:rsidP="007B207C">
            <w:pPr>
              <w:pStyle w:val="ARfintablebodyrightbold"/>
              <w:rPr>
                <w:rStyle w:val="Strong"/>
                <w:bCs w:val="0"/>
              </w:rPr>
            </w:pPr>
            <w:r w:rsidRPr="00572E7A">
              <w:t>165.5</w:t>
            </w:r>
          </w:p>
        </w:tc>
      </w:tr>
      <w:tr w:rsidR="00FA7EBF" w:rsidRPr="007939DD" w14:paraId="5B4E78DE" w14:textId="77777777" w:rsidTr="007B207C">
        <w:tc>
          <w:tcPr>
            <w:tcW w:w="9639" w:type="dxa"/>
            <w:gridSpan w:val="3"/>
            <w:tcBorders>
              <w:bottom w:val="single" w:sz="4" w:space="0" w:color="A6A6A6"/>
            </w:tcBorders>
            <w:noWrap/>
            <w:hideMark/>
          </w:tcPr>
          <w:p w14:paraId="600C84C6" w14:textId="77777777" w:rsidR="00FA7EBF" w:rsidRPr="007939DD" w:rsidRDefault="00FA7EBF" w:rsidP="007B207C">
            <w:pPr>
              <w:pStyle w:val="ARfintablebodybold"/>
              <w:rPr>
                <w:lang w:eastAsia="en-AU"/>
              </w:rPr>
            </w:pPr>
            <w:r w:rsidRPr="00572E7A">
              <w:t>Ambulance services</w:t>
            </w:r>
          </w:p>
        </w:tc>
      </w:tr>
      <w:tr w:rsidR="00FA7EBF" w:rsidRPr="007939DD" w14:paraId="01FCC30D" w14:textId="77777777" w:rsidTr="007B207C">
        <w:tc>
          <w:tcPr>
            <w:tcW w:w="7371" w:type="dxa"/>
            <w:tcBorders>
              <w:top w:val="single" w:sz="4" w:space="0" w:color="A6A6A6"/>
            </w:tcBorders>
            <w:noWrap/>
            <w:hideMark/>
          </w:tcPr>
          <w:p w14:paraId="6C7FCDCA" w14:textId="77777777" w:rsidR="00FA7EBF" w:rsidRPr="007939DD" w:rsidRDefault="00FA7EBF" w:rsidP="007B207C">
            <w:pPr>
              <w:pStyle w:val="ARfintablebody"/>
              <w:rPr>
                <w:lang w:eastAsia="en-AU"/>
              </w:rPr>
            </w:pPr>
            <w:r w:rsidRPr="00572E7A">
              <w:t>Ambulance Victoria</w:t>
            </w:r>
          </w:p>
        </w:tc>
        <w:tc>
          <w:tcPr>
            <w:tcW w:w="1134" w:type="dxa"/>
            <w:tcBorders>
              <w:top w:val="single" w:sz="4" w:space="0" w:color="A6A6A6"/>
            </w:tcBorders>
            <w:shd w:val="clear" w:color="auto" w:fill="E7E6E6"/>
            <w:noWrap/>
            <w:hideMark/>
          </w:tcPr>
          <w:p w14:paraId="7E06A2DC" w14:textId="77777777" w:rsidR="00FA7EBF" w:rsidRPr="007939DD" w:rsidRDefault="00FA7EBF" w:rsidP="007B207C">
            <w:pPr>
              <w:pStyle w:val="ARfintablebodyright"/>
              <w:rPr>
                <w:lang w:eastAsia="en-AU"/>
              </w:rPr>
            </w:pPr>
            <w:r w:rsidRPr="00572E7A">
              <w:t>821.9</w:t>
            </w:r>
          </w:p>
        </w:tc>
        <w:tc>
          <w:tcPr>
            <w:tcW w:w="1134" w:type="dxa"/>
            <w:tcBorders>
              <w:top w:val="single" w:sz="4" w:space="0" w:color="A6A6A6"/>
            </w:tcBorders>
            <w:noWrap/>
            <w:hideMark/>
          </w:tcPr>
          <w:p w14:paraId="5FA2C217" w14:textId="77777777" w:rsidR="00FA7EBF" w:rsidRPr="007939DD" w:rsidRDefault="00FA7EBF" w:rsidP="007B207C">
            <w:pPr>
              <w:pStyle w:val="ARfintablebodyright"/>
              <w:rPr>
                <w:lang w:eastAsia="en-AU"/>
              </w:rPr>
            </w:pPr>
            <w:r w:rsidRPr="00572E7A">
              <w:t>733.8</w:t>
            </w:r>
          </w:p>
        </w:tc>
      </w:tr>
      <w:tr w:rsidR="00FA7EBF" w:rsidRPr="007939DD" w14:paraId="6FBF5E51" w14:textId="77777777" w:rsidTr="007B207C">
        <w:tc>
          <w:tcPr>
            <w:tcW w:w="7371" w:type="dxa"/>
            <w:noWrap/>
            <w:hideMark/>
          </w:tcPr>
          <w:p w14:paraId="58D38344" w14:textId="77777777" w:rsidR="00FA7EBF" w:rsidRPr="007939DD" w:rsidRDefault="00FA7EBF" w:rsidP="007B207C">
            <w:pPr>
              <w:pStyle w:val="ARfintablebody"/>
              <w:rPr>
                <w:lang w:eastAsia="en-AU"/>
              </w:rPr>
            </w:pPr>
          </w:p>
        </w:tc>
        <w:tc>
          <w:tcPr>
            <w:tcW w:w="1134" w:type="dxa"/>
            <w:shd w:val="clear" w:color="auto" w:fill="E7E6E6"/>
            <w:noWrap/>
            <w:hideMark/>
          </w:tcPr>
          <w:p w14:paraId="455FB4BA" w14:textId="77777777" w:rsidR="00FA7EBF" w:rsidRPr="007939DD" w:rsidRDefault="00FA7EBF" w:rsidP="007B207C">
            <w:pPr>
              <w:pStyle w:val="ARfintablebodyrightbold"/>
              <w:rPr>
                <w:lang w:eastAsia="en-AU"/>
              </w:rPr>
            </w:pPr>
            <w:r w:rsidRPr="00572E7A">
              <w:t>821.9</w:t>
            </w:r>
          </w:p>
        </w:tc>
        <w:tc>
          <w:tcPr>
            <w:tcW w:w="1134" w:type="dxa"/>
            <w:noWrap/>
            <w:hideMark/>
          </w:tcPr>
          <w:p w14:paraId="03A51911" w14:textId="77777777" w:rsidR="00FA7EBF" w:rsidRPr="007939DD" w:rsidRDefault="00FA7EBF" w:rsidP="007B207C">
            <w:pPr>
              <w:pStyle w:val="ARfintablebodyrightbold"/>
              <w:rPr>
                <w:rStyle w:val="Strong"/>
                <w:bCs w:val="0"/>
              </w:rPr>
            </w:pPr>
            <w:r w:rsidRPr="00572E7A">
              <w:t>733.8</w:t>
            </w:r>
          </w:p>
        </w:tc>
      </w:tr>
      <w:tr w:rsidR="00FA7EBF" w:rsidRPr="007939DD" w14:paraId="51A1AAF7" w14:textId="77777777" w:rsidTr="007B207C">
        <w:tc>
          <w:tcPr>
            <w:tcW w:w="9639" w:type="dxa"/>
            <w:gridSpan w:val="3"/>
            <w:tcBorders>
              <w:bottom w:val="single" w:sz="4" w:space="0" w:color="A6A6A6"/>
            </w:tcBorders>
            <w:noWrap/>
            <w:hideMark/>
          </w:tcPr>
          <w:p w14:paraId="1B922BA9" w14:textId="77777777" w:rsidR="00FA7EBF" w:rsidRPr="007939DD" w:rsidRDefault="00FA7EBF" w:rsidP="007B207C">
            <w:pPr>
              <w:pStyle w:val="ARfintablebodybold"/>
              <w:pageBreakBefore/>
              <w:rPr>
                <w:lang w:eastAsia="en-AU"/>
              </w:rPr>
            </w:pPr>
            <w:r w:rsidRPr="00572E7A">
              <w:t>Other state government agencies</w:t>
            </w:r>
          </w:p>
        </w:tc>
      </w:tr>
      <w:tr w:rsidR="00FA7EBF" w:rsidRPr="007939DD" w14:paraId="2522A7DA" w14:textId="77777777" w:rsidTr="007B207C">
        <w:tc>
          <w:tcPr>
            <w:tcW w:w="7371" w:type="dxa"/>
            <w:tcBorders>
              <w:top w:val="single" w:sz="4" w:space="0" w:color="A6A6A6"/>
              <w:bottom w:val="single" w:sz="4" w:space="0" w:color="A6A6A6"/>
            </w:tcBorders>
            <w:noWrap/>
            <w:hideMark/>
          </w:tcPr>
          <w:p w14:paraId="4228A4E4" w14:textId="77777777" w:rsidR="00FA7EBF" w:rsidRPr="007939DD" w:rsidRDefault="00FA7EBF" w:rsidP="007B207C">
            <w:pPr>
              <w:pStyle w:val="ARfintablebody"/>
              <w:rPr>
                <w:lang w:eastAsia="en-AU"/>
              </w:rPr>
            </w:pPr>
            <w:r w:rsidRPr="00572E7A">
              <w:t>Dental Health Services Victoria</w:t>
            </w:r>
          </w:p>
        </w:tc>
        <w:tc>
          <w:tcPr>
            <w:tcW w:w="1134" w:type="dxa"/>
            <w:tcBorders>
              <w:top w:val="single" w:sz="4" w:space="0" w:color="A6A6A6"/>
              <w:bottom w:val="single" w:sz="4" w:space="0" w:color="A6A6A6"/>
            </w:tcBorders>
            <w:shd w:val="clear" w:color="auto" w:fill="E7E6E6"/>
            <w:noWrap/>
            <w:hideMark/>
          </w:tcPr>
          <w:p w14:paraId="2C4A8C88" w14:textId="77777777" w:rsidR="00FA7EBF" w:rsidRPr="007939DD" w:rsidRDefault="00FA7EBF" w:rsidP="007B207C">
            <w:pPr>
              <w:pStyle w:val="ARfintablebodyright"/>
              <w:rPr>
                <w:lang w:eastAsia="en-AU"/>
              </w:rPr>
            </w:pPr>
            <w:r w:rsidRPr="00572E7A">
              <w:t>185.5</w:t>
            </w:r>
          </w:p>
        </w:tc>
        <w:tc>
          <w:tcPr>
            <w:tcW w:w="1134" w:type="dxa"/>
            <w:tcBorders>
              <w:top w:val="single" w:sz="4" w:space="0" w:color="A6A6A6"/>
              <w:bottom w:val="single" w:sz="4" w:space="0" w:color="A6A6A6"/>
            </w:tcBorders>
            <w:noWrap/>
            <w:hideMark/>
          </w:tcPr>
          <w:p w14:paraId="42FDFEBE" w14:textId="77777777" w:rsidR="00FA7EBF" w:rsidRPr="007939DD" w:rsidRDefault="00FA7EBF" w:rsidP="007B207C">
            <w:pPr>
              <w:pStyle w:val="ARfintablebodyright"/>
              <w:rPr>
                <w:lang w:eastAsia="en-AU"/>
              </w:rPr>
            </w:pPr>
            <w:r w:rsidRPr="00572E7A">
              <w:t>193.1</w:t>
            </w:r>
          </w:p>
        </w:tc>
      </w:tr>
      <w:tr w:rsidR="00FA7EBF" w:rsidRPr="007939DD" w14:paraId="4CDC47EC" w14:textId="77777777" w:rsidTr="007B207C">
        <w:tc>
          <w:tcPr>
            <w:tcW w:w="7371" w:type="dxa"/>
            <w:tcBorders>
              <w:top w:val="single" w:sz="4" w:space="0" w:color="A6A6A6"/>
              <w:bottom w:val="single" w:sz="4" w:space="0" w:color="A6A6A6"/>
            </w:tcBorders>
            <w:noWrap/>
            <w:hideMark/>
          </w:tcPr>
          <w:p w14:paraId="3D8E0E18" w14:textId="77777777" w:rsidR="00FA7EBF" w:rsidRPr="007939DD" w:rsidRDefault="00FA7EBF" w:rsidP="007B207C">
            <w:pPr>
              <w:pStyle w:val="ARfintablebody"/>
              <w:rPr>
                <w:lang w:eastAsia="en-AU"/>
              </w:rPr>
            </w:pPr>
            <w:r w:rsidRPr="00572E7A">
              <w:t>Victorian Institute of Forensic Mental Health</w:t>
            </w:r>
          </w:p>
        </w:tc>
        <w:tc>
          <w:tcPr>
            <w:tcW w:w="1134" w:type="dxa"/>
            <w:tcBorders>
              <w:top w:val="single" w:sz="4" w:space="0" w:color="A6A6A6"/>
              <w:bottom w:val="single" w:sz="4" w:space="0" w:color="A6A6A6"/>
            </w:tcBorders>
            <w:shd w:val="clear" w:color="auto" w:fill="E7E6E6"/>
            <w:noWrap/>
            <w:hideMark/>
          </w:tcPr>
          <w:p w14:paraId="0DBF7588" w14:textId="77777777" w:rsidR="00FA7EBF" w:rsidRPr="007939DD" w:rsidRDefault="00FA7EBF" w:rsidP="007B207C">
            <w:pPr>
              <w:pStyle w:val="ARfintablebodyright"/>
              <w:rPr>
                <w:lang w:eastAsia="en-AU"/>
              </w:rPr>
            </w:pPr>
            <w:r w:rsidRPr="00572E7A">
              <w:t>75.3</w:t>
            </w:r>
          </w:p>
        </w:tc>
        <w:tc>
          <w:tcPr>
            <w:tcW w:w="1134" w:type="dxa"/>
            <w:tcBorders>
              <w:top w:val="single" w:sz="4" w:space="0" w:color="A6A6A6"/>
              <w:bottom w:val="single" w:sz="4" w:space="0" w:color="A6A6A6"/>
            </w:tcBorders>
            <w:noWrap/>
            <w:hideMark/>
          </w:tcPr>
          <w:p w14:paraId="050C8879" w14:textId="77777777" w:rsidR="00FA7EBF" w:rsidRPr="007939DD" w:rsidRDefault="00FA7EBF" w:rsidP="007B207C">
            <w:pPr>
              <w:pStyle w:val="ARfintablebodyright"/>
              <w:rPr>
                <w:lang w:eastAsia="en-AU"/>
              </w:rPr>
            </w:pPr>
            <w:r w:rsidRPr="00572E7A">
              <w:t>71.7</w:t>
            </w:r>
          </w:p>
        </w:tc>
      </w:tr>
      <w:tr w:rsidR="00FA7EBF" w:rsidRPr="007939DD" w14:paraId="6A2FE6FA" w14:textId="77777777" w:rsidTr="007B207C">
        <w:tc>
          <w:tcPr>
            <w:tcW w:w="7371" w:type="dxa"/>
            <w:tcBorders>
              <w:top w:val="single" w:sz="4" w:space="0" w:color="A6A6A6"/>
              <w:bottom w:val="single" w:sz="4" w:space="0" w:color="A6A6A6"/>
            </w:tcBorders>
            <w:noWrap/>
            <w:hideMark/>
          </w:tcPr>
          <w:p w14:paraId="39C00AE4" w14:textId="77777777" w:rsidR="00FA7EBF" w:rsidRPr="007939DD" w:rsidRDefault="00FA7EBF" w:rsidP="007B207C">
            <w:pPr>
              <w:pStyle w:val="ARfintablebody"/>
              <w:rPr>
                <w:lang w:eastAsia="en-AU"/>
              </w:rPr>
            </w:pPr>
            <w:r w:rsidRPr="00572E7A">
              <w:t>Victorian Health Promotion Foundation</w:t>
            </w:r>
          </w:p>
        </w:tc>
        <w:tc>
          <w:tcPr>
            <w:tcW w:w="1134" w:type="dxa"/>
            <w:tcBorders>
              <w:top w:val="single" w:sz="4" w:space="0" w:color="A6A6A6"/>
              <w:bottom w:val="single" w:sz="4" w:space="0" w:color="A6A6A6"/>
            </w:tcBorders>
            <w:shd w:val="clear" w:color="auto" w:fill="E7E6E6"/>
            <w:noWrap/>
            <w:hideMark/>
          </w:tcPr>
          <w:p w14:paraId="176EA4B9" w14:textId="77777777" w:rsidR="00FA7EBF" w:rsidRPr="007939DD" w:rsidRDefault="00FA7EBF" w:rsidP="007B207C">
            <w:pPr>
              <w:pStyle w:val="ARfintablebodyright"/>
              <w:rPr>
                <w:lang w:eastAsia="en-AU"/>
              </w:rPr>
            </w:pPr>
            <w:r w:rsidRPr="00572E7A">
              <w:t>40.2</w:t>
            </w:r>
          </w:p>
        </w:tc>
        <w:tc>
          <w:tcPr>
            <w:tcW w:w="1134" w:type="dxa"/>
            <w:tcBorders>
              <w:top w:val="single" w:sz="4" w:space="0" w:color="A6A6A6"/>
              <w:bottom w:val="single" w:sz="4" w:space="0" w:color="A6A6A6"/>
            </w:tcBorders>
            <w:noWrap/>
            <w:hideMark/>
          </w:tcPr>
          <w:p w14:paraId="0AB20329" w14:textId="77777777" w:rsidR="00FA7EBF" w:rsidRPr="007939DD" w:rsidRDefault="00FA7EBF" w:rsidP="007B207C">
            <w:pPr>
              <w:pStyle w:val="ARfintablebodyright"/>
              <w:rPr>
                <w:lang w:eastAsia="en-AU"/>
              </w:rPr>
            </w:pPr>
            <w:r w:rsidRPr="00572E7A">
              <w:t>39.4</w:t>
            </w:r>
          </w:p>
        </w:tc>
      </w:tr>
      <w:tr w:rsidR="00FA7EBF" w:rsidRPr="007939DD" w14:paraId="37C7BAEE" w14:textId="77777777" w:rsidTr="007B207C">
        <w:tc>
          <w:tcPr>
            <w:tcW w:w="7371" w:type="dxa"/>
            <w:tcBorders>
              <w:top w:val="single" w:sz="4" w:space="0" w:color="A6A6A6"/>
              <w:bottom w:val="single" w:sz="4" w:space="0" w:color="A6A6A6"/>
            </w:tcBorders>
            <w:noWrap/>
            <w:hideMark/>
          </w:tcPr>
          <w:p w14:paraId="4ABCEFAB" w14:textId="77777777" w:rsidR="00FA7EBF" w:rsidRPr="007939DD" w:rsidRDefault="00FA7EBF" w:rsidP="007B207C">
            <w:pPr>
              <w:pStyle w:val="ARfintablebody"/>
              <w:rPr>
                <w:lang w:eastAsia="en-AU"/>
              </w:rPr>
            </w:pPr>
            <w:r w:rsidRPr="00572E7A">
              <w:t>BreastScreen Victoria Inc</w:t>
            </w:r>
          </w:p>
        </w:tc>
        <w:tc>
          <w:tcPr>
            <w:tcW w:w="1134" w:type="dxa"/>
            <w:tcBorders>
              <w:top w:val="single" w:sz="4" w:space="0" w:color="A6A6A6"/>
              <w:bottom w:val="single" w:sz="4" w:space="0" w:color="A6A6A6"/>
            </w:tcBorders>
            <w:shd w:val="clear" w:color="auto" w:fill="E7E6E6"/>
            <w:noWrap/>
            <w:hideMark/>
          </w:tcPr>
          <w:p w14:paraId="4D434DB5" w14:textId="77777777" w:rsidR="00FA7EBF" w:rsidRPr="007939DD" w:rsidRDefault="00FA7EBF" w:rsidP="007B207C">
            <w:pPr>
              <w:pStyle w:val="ARfintablebodyright"/>
              <w:rPr>
                <w:lang w:eastAsia="en-AU"/>
              </w:rPr>
            </w:pPr>
            <w:r w:rsidRPr="00572E7A">
              <w:t>47.5</w:t>
            </w:r>
          </w:p>
        </w:tc>
        <w:tc>
          <w:tcPr>
            <w:tcW w:w="1134" w:type="dxa"/>
            <w:tcBorders>
              <w:top w:val="single" w:sz="4" w:space="0" w:color="A6A6A6"/>
              <w:bottom w:val="single" w:sz="4" w:space="0" w:color="A6A6A6"/>
            </w:tcBorders>
            <w:noWrap/>
            <w:hideMark/>
          </w:tcPr>
          <w:p w14:paraId="2A0909BF" w14:textId="77777777" w:rsidR="00FA7EBF" w:rsidRPr="007939DD" w:rsidRDefault="00FA7EBF" w:rsidP="007B207C">
            <w:pPr>
              <w:pStyle w:val="ARfintablebodyright"/>
              <w:rPr>
                <w:lang w:eastAsia="en-AU"/>
              </w:rPr>
            </w:pPr>
            <w:r w:rsidRPr="00572E7A">
              <w:t>47.9</w:t>
            </w:r>
          </w:p>
        </w:tc>
      </w:tr>
      <w:tr w:rsidR="00FA7EBF" w:rsidRPr="007939DD" w14:paraId="388AEDD0" w14:textId="77777777" w:rsidTr="007B207C">
        <w:tc>
          <w:tcPr>
            <w:tcW w:w="7371" w:type="dxa"/>
            <w:tcBorders>
              <w:top w:val="single" w:sz="4" w:space="0" w:color="A6A6A6"/>
            </w:tcBorders>
            <w:noWrap/>
            <w:hideMark/>
          </w:tcPr>
          <w:p w14:paraId="045B0E70" w14:textId="77777777" w:rsidR="00FA7EBF" w:rsidRPr="007939DD" w:rsidRDefault="00FA7EBF" w:rsidP="007B207C">
            <w:pPr>
              <w:pStyle w:val="ARfintablebody"/>
              <w:rPr>
                <w:lang w:eastAsia="en-AU"/>
              </w:rPr>
            </w:pPr>
            <w:r w:rsidRPr="00572E7A">
              <w:t>Other state government agencies with payments totalling less than $30 million</w:t>
            </w:r>
          </w:p>
        </w:tc>
        <w:tc>
          <w:tcPr>
            <w:tcW w:w="1134" w:type="dxa"/>
            <w:tcBorders>
              <w:top w:val="single" w:sz="4" w:space="0" w:color="A6A6A6"/>
            </w:tcBorders>
            <w:shd w:val="clear" w:color="auto" w:fill="E7E6E6"/>
            <w:noWrap/>
            <w:hideMark/>
          </w:tcPr>
          <w:p w14:paraId="3445873A" w14:textId="77777777" w:rsidR="00FA7EBF" w:rsidRPr="007939DD" w:rsidRDefault="00FA7EBF" w:rsidP="007B207C">
            <w:pPr>
              <w:pStyle w:val="ARfintablebodyright"/>
              <w:rPr>
                <w:lang w:eastAsia="en-AU"/>
              </w:rPr>
            </w:pPr>
            <w:r w:rsidRPr="00572E7A">
              <w:t>90.8</w:t>
            </w:r>
          </w:p>
        </w:tc>
        <w:tc>
          <w:tcPr>
            <w:tcW w:w="1134" w:type="dxa"/>
            <w:tcBorders>
              <w:top w:val="single" w:sz="4" w:space="0" w:color="A6A6A6"/>
            </w:tcBorders>
            <w:noWrap/>
            <w:hideMark/>
          </w:tcPr>
          <w:p w14:paraId="6A6179CF" w14:textId="77777777" w:rsidR="00FA7EBF" w:rsidRPr="007939DD" w:rsidRDefault="00FA7EBF" w:rsidP="007B207C">
            <w:pPr>
              <w:pStyle w:val="ARfintablebodyright"/>
              <w:rPr>
                <w:lang w:eastAsia="en-AU"/>
              </w:rPr>
            </w:pPr>
            <w:r w:rsidRPr="00572E7A">
              <w:t>53.1</w:t>
            </w:r>
          </w:p>
        </w:tc>
      </w:tr>
      <w:tr w:rsidR="00FA7EBF" w:rsidRPr="007939DD" w14:paraId="035CD7CD" w14:textId="77777777" w:rsidTr="007B207C">
        <w:tc>
          <w:tcPr>
            <w:tcW w:w="7371" w:type="dxa"/>
            <w:tcBorders>
              <w:bottom w:val="single" w:sz="4" w:space="0" w:color="A6A6A6"/>
            </w:tcBorders>
            <w:noWrap/>
            <w:hideMark/>
          </w:tcPr>
          <w:p w14:paraId="44D228D1" w14:textId="77777777" w:rsidR="00FA7EBF" w:rsidRPr="007939DD" w:rsidRDefault="00FA7EBF" w:rsidP="007B207C">
            <w:pPr>
              <w:pStyle w:val="ARfintablebody"/>
              <w:rPr>
                <w:lang w:eastAsia="en-AU"/>
              </w:rPr>
            </w:pPr>
          </w:p>
        </w:tc>
        <w:tc>
          <w:tcPr>
            <w:tcW w:w="1134" w:type="dxa"/>
            <w:tcBorders>
              <w:bottom w:val="single" w:sz="4" w:space="0" w:color="A6A6A6"/>
            </w:tcBorders>
            <w:shd w:val="clear" w:color="auto" w:fill="E7E6E6"/>
            <w:noWrap/>
            <w:hideMark/>
          </w:tcPr>
          <w:p w14:paraId="4D74B51D" w14:textId="77777777" w:rsidR="00FA7EBF" w:rsidRPr="007939DD" w:rsidRDefault="00FA7EBF" w:rsidP="007B207C">
            <w:pPr>
              <w:pStyle w:val="ARfintablebodyrightbold"/>
              <w:rPr>
                <w:lang w:eastAsia="en-AU"/>
              </w:rPr>
            </w:pPr>
            <w:r w:rsidRPr="00572E7A">
              <w:t>439.4</w:t>
            </w:r>
          </w:p>
        </w:tc>
        <w:tc>
          <w:tcPr>
            <w:tcW w:w="1134" w:type="dxa"/>
            <w:tcBorders>
              <w:bottom w:val="single" w:sz="4" w:space="0" w:color="A6A6A6"/>
            </w:tcBorders>
            <w:noWrap/>
            <w:hideMark/>
          </w:tcPr>
          <w:p w14:paraId="1154F58D" w14:textId="77777777" w:rsidR="00FA7EBF" w:rsidRPr="007939DD" w:rsidRDefault="00FA7EBF" w:rsidP="007B207C">
            <w:pPr>
              <w:pStyle w:val="ARfintablebodyrightbold"/>
              <w:rPr>
                <w:rStyle w:val="Strong"/>
                <w:bCs w:val="0"/>
              </w:rPr>
            </w:pPr>
            <w:r w:rsidRPr="00572E7A">
              <w:t>405.2</w:t>
            </w:r>
          </w:p>
        </w:tc>
      </w:tr>
      <w:tr w:rsidR="00FA7EBF" w:rsidRPr="007939DD" w14:paraId="02BE125C" w14:textId="77777777" w:rsidTr="007B207C">
        <w:tc>
          <w:tcPr>
            <w:tcW w:w="9639" w:type="dxa"/>
            <w:gridSpan w:val="3"/>
            <w:tcBorders>
              <w:top w:val="single" w:sz="4" w:space="0" w:color="A6A6A6"/>
              <w:bottom w:val="single" w:sz="4" w:space="0" w:color="A6A6A6"/>
            </w:tcBorders>
            <w:noWrap/>
            <w:hideMark/>
          </w:tcPr>
          <w:p w14:paraId="1BCF8215" w14:textId="77777777" w:rsidR="00FA7EBF" w:rsidRPr="007939DD" w:rsidRDefault="00FA7EBF" w:rsidP="007B207C">
            <w:pPr>
              <w:pStyle w:val="ARfintablebodybold"/>
              <w:rPr>
                <w:lang w:eastAsia="en-AU"/>
              </w:rPr>
            </w:pPr>
            <w:r w:rsidRPr="00572E7A">
              <w:t>Local councils</w:t>
            </w:r>
          </w:p>
        </w:tc>
      </w:tr>
      <w:tr w:rsidR="00FA7EBF" w:rsidRPr="007939DD" w14:paraId="113BD35A" w14:textId="77777777" w:rsidTr="007B207C">
        <w:tc>
          <w:tcPr>
            <w:tcW w:w="7371" w:type="dxa"/>
            <w:tcBorders>
              <w:top w:val="single" w:sz="4" w:space="0" w:color="A6A6A6"/>
              <w:bottom w:val="single" w:sz="4" w:space="0" w:color="A6A6A6"/>
            </w:tcBorders>
            <w:noWrap/>
            <w:hideMark/>
          </w:tcPr>
          <w:p w14:paraId="50D305C6" w14:textId="77777777" w:rsidR="00FA7EBF" w:rsidRPr="007939DD" w:rsidRDefault="00FA7EBF" w:rsidP="007B207C">
            <w:pPr>
              <w:pStyle w:val="ARfintablebody"/>
              <w:rPr>
                <w:lang w:eastAsia="en-AU"/>
              </w:rPr>
            </w:pPr>
            <w:r w:rsidRPr="00572E7A">
              <w:t>Casey City Council</w:t>
            </w:r>
          </w:p>
        </w:tc>
        <w:tc>
          <w:tcPr>
            <w:tcW w:w="1134" w:type="dxa"/>
            <w:tcBorders>
              <w:top w:val="single" w:sz="4" w:space="0" w:color="A6A6A6"/>
              <w:bottom w:val="single" w:sz="4" w:space="0" w:color="A6A6A6"/>
            </w:tcBorders>
            <w:shd w:val="clear" w:color="auto" w:fill="E7E6E6"/>
            <w:noWrap/>
            <w:hideMark/>
          </w:tcPr>
          <w:p w14:paraId="4A91592B" w14:textId="77777777" w:rsidR="00FA7EBF" w:rsidRPr="007939DD" w:rsidRDefault="00FA7EBF" w:rsidP="007B207C">
            <w:pPr>
              <w:pStyle w:val="ARfintablebodyright"/>
              <w:rPr>
                <w:lang w:eastAsia="en-AU"/>
              </w:rPr>
            </w:pPr>
            <w:r w:rsidRPr="00572E7A">
              <w:t>7.3</w:t>
            </w:r>
          </w:p>
        </w:tc>
        <w:tc>
          <w:tcPr>
            <w:tcW w:w="1134" w:type="dxa"/>
            <w:tcBorders>
              <w:top w:val="single" w:sz="4" w:space="0" w:color="A6A6A6"/>
              <w:bottom w:val="single" w:sz="4" w:space="0" w:color="A6A6A6"/>
            </w:tcBorders>
            <w:noWrap/>
            <w:hideMark/>
          </w:tcPr>
          <w:p w14:paraId="4516A81A" w14:textId="77777777" w:rsidR="00FA7EBF" w:rsidRPr="007939DD" w:rsidRDefault="00FA7EBF" w:rsidP="007B207C">
            <w:pPr>
              <w:pStyle w:val="ARfintablebodyright"/>
              <w:rPr>
                <w:lang w:eastAsia="en-AU"/>
              </w:rPr>
            </w:pPr>
            <w:r w:rsidRPr="00572E7A">
              <w:t>8.2</w:t>
            </w:r>
          </w:p>
        </w:tc>
      </w:tr>
      <w:tr w:rsidR="00FA7EBF" w:rsidRPr="007939DD" w14:paraId="5017D2C7" w14:textId="77777777" w:rsidTr="007B207C">
        <w:tc>
          <w:tcPr>
            <w:tcW w:w="7371" w:type="dxa"/>
            <w:tcBorders>
              <w:top w:val="single" w:sz="4" w:space="0" w:color="A6A6A6"/>
              <w:bottom w:val="single" w:sz="4" w:space="0" w:color="A6A6A6"/>
            </w:tcBorders>
            <w:noWrap/>
            <w:hideMark/>
          </w:tcPr>
          <w:p w14:paraId="3F27D85F" w14:textId="77777777" w:rsidR="00FA7EBF" w:rsidRPr="007939DD" w:rsidRDefault="00FA7EBF" w:rsidP="007B207C">
            <w:pPr>
              <w:pStyle w:val="ARfintablebody"/>
              <w:rPr>
                <w:lang w:eastAsia="en-AU"/>
              </w:rPr>
            </w:pPr>
            <w:r w:rsidRPr="00572E7A">
              <w:t>Moonee Valley City Council</w:t>
            </w:r>
          </w:p>
        </w:tc>
        <w:tc>
          <w:tcPr>
            <w:tcW w:w="1134" w:type="dxa"/>
            <w:tcBorders>
              <w:top w:val="single" w:sz="4" w:space="0" w:color="A6A6A6"/>
              <w:bottom w:val="single" w:sz="4" w:space="0" w:color="A6A6A6"/>
            </w:tcBorders>
            <w:shd w:val="clear" w:color="auto" w:fill="E7E6E6"/>
            <w:noWrap/>
            <w:hideMark/>
          </w:tcPr>
          <w:p w14:paraId="76A48296" w14:textId="77777777" w:rsidR="00FA7EBF" w:rsidRPr="007939DD" w:rsidRDefault="00FA7EBF" w:rsidP="007B207C">
            <w:pPr>
              <w:pStyle w:val="ARfintablebodyright"/>
              <w:rPr>
                <w:lang w:eastAsia="en-AU"/>
              </w:rPr>
            </w:pPr>
            <w:r w:rsidRPr="00572E7A">
              <w:t>5.5</w:t>
            </w:r>
          </w:p>
        </w:tc>
        <w:tc>
          <w:tcPr>
            <w:tcW w:w="1134" w:type="dxa"/>
            <w:tcBorders>
              <w:top w:val="single" w:sz="4" w:space="0" w:color="A6A6A6"/>
              <w:bottom w:val="single" w:sz="4" w:space="0" w:color="A6A6A6"/>
            </w:tcBorders>
            <w:noWrap/>
            <w:hideMark/>
          </w:tcPr>
          <w:p w14:paraId="203298AC" w14:textId="77777777" w:rsidR="00FA7EBF" w:rsidRPr="007939DD" w:rsidRDefault="00FA7EBF" w:rsidP="007B207C">
            <w:pPr>
              <w:pStyle w:val="ARfintablebodyright"/>
              <w:rPr>
                <w:lang w:eastAsia="en-AU"/>
              </w:rPr>
            </w:pPr>
            <w:r w:rsidRPr="00572E7A">
              <w:t>2.8</w:t>
            </w:r>
          </w:p>
        </w:tc>
      </w:tr>
      <w:tr w:rsidR="00FA7EBF" w:rsidRPr="007939DD" w14:paraId="2D370E4E" w14:textId="77777777" w:rsidTr="007B207C">
        <w:tc>
          <w:tcPr>
            <w:tcW w:w="7371" w:type="dxa"/>
            <w:tcBorders>
              <w:top w:val="single" w:sz="4" w:space="0" w:color="A6A6A6"/>
              <w:bottom w:val="single" w:sz="4" w:space="0" w:color="A6A6A6"/>
            </w:tcBorders>
            <w:noWrap/>
          </w:tcPr>
          <w:p w14:paraId="3CFE0365" w14:textId="77777777" w:rsidR="00FA7EBF" w:rsidRPr="007939DD" w:rsidRDefault="00FA7EBF" w:rsidP="007B207C">
            <w:pPr>
              <w:pStyle w:val="ARfintablebody"/>
              <w:rPr>
                <w:lang w:eastAsia="en-AU"/>
              </w:rPr>
            </w:pPr>
            <w:r w:rsidRPr="00572E7A">
              <w:t>City of Greater Geelong</w:t>
            </w:r>
          </w:p>
        </w:tc>
        <w:tc>
          <w:tcPr>
            <w:tcW w:w="1134" w:type="dxa"/>
            <w:tcBorders>
              <w:top w:val="single" w:sz="4" w:space="0" w:color="A6A6A6"/>
              <w:bottom w:val="single" w:sz="4" w:space="0" w:color="A6A6A6"/>
            </w:tcBorders>
            <w:shd w:val="clear" w:color="auto" w:fill="E7E6E6"/>
            <w:noWrap/>
          </w:tcPr>
          <w:p w14:paraId="77D51121" w14:textId="77777777" w:rsidR="00FA7EBF" w:rsidRPr="007939DD" w:rsidRDefault="00FA7EBF" w:rsidP="007B207C">
            <w:pPr>
              <w:pStyle w:val="ARfintablebodyright"/>
              <w:rPr>
                <w:lang w:eastAsia="en-AU"/>
              </w:rPr>
            </w:pPr>
            <w:r w:rsidRPr="00572E7A">
              <w:t>5.3</w:t>
            </w:r>
          </w:p>
        </w:tc>
        <w:tc>
          <w:tcPr>
            <w:tcW w:w="1134" w:type="dxa"/>
            <w:tcBorders>
              <w:top w:val="single" w:sz="4" w:space="0" w:color="A6A6A6"/>
              <w:bottom w:val="single" w:sz="4" w:space="0" w:color="A6A6A6"/>
            </w:tcBorders>
            <w:noWrap/>
          </w:tcPr>
          <w:p w14:paraId="43FF1E37" w14:textId="77777777" w:rsidR="00FA7EBF" w:rsidRPr="007939DD" w:rsidRDefault="00FA7EBF" w:rsidP="007B207C">
            <w:pPr>
              <w:pStyle w:val="ARfintablebodyright"/>
              <w:rPr>
                <w:lang w:eastAsia="en-AU"/>
              </w:rPr>
            </w:pPr>
            <w:r w:rsidRPr="00572E7A">
              <w:t>5.5</w:t>
            </w:r>
          </w:p>
        </w:tc>
      </w:tr>
      <w:tr w:rsidR="00FA7EBF" w:rsidRPr="007939DD" w14:paraId="2FD21A53" w14:textId="77777777" w:rsidTr="007B207C">
        <w:tc>
          <w:tcPr>
            <w:tcW w:w="7371" w:type="dxa"/>
            <w:tcBorders>
              <w:top w:val="single" w:sz="4" w:space="0" w:color="A6A6A6"/>
              <w:bottom w:val="single" w:sz="4" w:space="0" w:color="A6A6A6"/>
            </w:tcBorders>
            <w:noWrap/>
          </w:tcPr>
          <w:p w14:paraId="342C9683" w14:textId="77777777" w:rsidR="00FA7EBF" w:rsidRPr="007939DD" w:rsidRDefault="00FA7EBF" w:rsidP="007B207C">
            <w:pPr>
              <w:pStyle w:val="ARfintablebody"/>
              <w:rPr>
                <w:lang w:eastAsia="en-AU"/>
              </w:rPr>
            </w:pPr>
            <w:r w:rsidRPr="00572E7A">
              <w:t>City of Kingston</w:t>
            </w:r>
          </w:p>
        </w:tc>
        <w:tc>
          <w:tcPr>
            <w:tcW w:w="1134" w:type="dxa"/>
            <w:tcBorders>
              <w:top w:val="single" w:sz="4" w:space="0" w:color="A6A6A6"/>
              <w:bottom w:val="single" w:sz="4" w:space="0" w:color="A6A6A6"/>
            </w:tcBorders>
            <w:shd w:val="clear" w:color="auto" w:fill="E7E6E6"/>
            <w:noWrap/>
          </w:tcPr>
          <w:p w14:paraId="2D96E0B4" w14:textId="77777777" w:rsidR="00FA7EBF" w:rsidRPr="007939DD" w:rsidRDefault="00FA7EBF" w:rsidP="007B207C">
            <w:pPr>
              <w:pStyle w:val="ARfintablebodyright"/>
              <w:rPr>
                <w:lang w:eastAsia="en-AU"/>
              </w:rPr>
            </w:pPr>
            <w:r w:rsidRPr="00572E7A">
              <w:t>5.2</w:t>
            </w:r>
          </w:p>
        </w:tc>
        <w:tc>
          <w:tcPr>
            <w:tcW w:w="1134" w:type="dxa"/>
            <w:tcBorders>
              <w:top w:val="single" w:sz="4" w:space="0" w:color="A6A6A6"/>
              <w:bottom w:val="single" w:sz="4" w:space="0" w:color="A6A6A6"/>
            </w:tcBorders>
            <w:noWrap/>
          </w:tcPr>
          <w:p w14:paraId="10372D50" w14:textId="77777777" w:rsidR="00FA7EBF" w:rsidRPr="007939DD" w:rsidRDefault="00FA7EBF" w:rsidP="007B207C">
            <w:pPr>
              <w:pStyle w:val="ARfintablebodyright"/>
              <w:rPr>
                <w:lang w:eastAsia="en-AU"/>
              </w:rPr>
            </w:pPr>
            <w:r w:rsidRPr="00572E7A">
              <w:t>6.3</w:t>
            </w:r>
          </w:p>
        </w:tc>
      </w:tr>
      <w:tr w:rsidR="00FA7EBF" w:rsidRPr="007939DD" w14:paraId="5FA11104" w14:textId="77777777" w:rsidTr="007B207C">
        <w:tc>
          <w:tcPr>
            <w:tcW w:w="7371" w:type="dxa"/>
            <w:tcBorders>
              <w:top w:val="single" w:sz="4" w:space="0" w:color="A6A6A6"/>
              <w:bottom w:val="single" w:sz="4" w:space="0" w:color="A6A6A6"/>
            </w:tcBorders>
            <w:noWrap/>
            <w:hideMark/>
          </w:tcPr>
          <w:p w14:paraId="2A48A7D6" w14:textId="77777777" w:rsidR="00FA7EBF" w:rsidRPr="007939DD" w:rsidRDefault="00FA7EBF" w:rsidP="007B207C">
            <w:pPr>
              <w:pStyle w:val="ARfintablebody"/>
              <w:rPr>
                <w:lang w:eastAsia="en-AU"/>
              </w:rPr>
            </w:pPr>
            <w:r w:rsidRPr="00572E7A">
              <w:t>City of Greater Dandenong</w:t>
            </w:r>
          </w:p>
        </w:tc>
        <w:tc>
          <w:tcPr>
            <w:tcW w:w="1134" w:type="dxa"/>
            <w:tcBorders>
              <w:top w:val="single" w:sz="4" w:space="0" w:color="A6A6A6"/>
              <w:bottom w:val="single" w:sz="4" w:space="0" w:color="A6A6A6"/>
            </w:tcBorders>
            <w:shd w:val="clear" w:color="auto" w:fill="E7E6E6"/>
            <w:noWrap/>
            <w:hideMark/>
          </w:tcPr>
          <w:p w14:paraId="405B93BC" w14:textId="77777777" w:rsidR="00FA7EBF" w:rsidRPr="007939DD" w:rsidRDefault="00FA7EBF" w:rsidP="007B207C">
            <w:pPr>
              <w:pStyle w:val="ARfintablebodyright"/>
              <w:rPr>
                <w:lang w:eastAsia="en-AU"/>
              </w:rPr>
            </w:pPr>
            <w:r w:rsidRPr="00572E7A">
              <w:t>5.0</w:t>
            </w:r>
          </w:p>
        </w:tc>
        <w:tc>
          <w:tcPr>
            <w:tcW w:w="1134" w:type="dxa"/>
            <w:tcBorders>
              <w:top w:val="single" w:sz="4" w:space="0" w:color="A6A6A6"/>
              <w:bottom w:val="single" w:sz="4" w:space="0" w:color="A6A6A6"/>
            </w:tcBorders>
            <w:noWrap/>
            <w:hideMark/>
          </w:tcPr>
          <w:p w14:paraId="143F68B8" w14:textId="77777777" w:rsidR="00FA7EBF" w:rsidRPr="007939DD" w:rsidRDefault="00FA7EBF" w:rsidP="007B207C">
            <w:pPr>
              <w:pStyle w:val="ARfintablebodyright"/>
              <w:rPr>
                <w:lang w:eastAsia="en-AU"/>
              </w:rPr>
            </w:pPr>
            <w:r w:rsidRPr="00572E7A">
              <w:t>4.6</w:t>
            </w:r>
          </w:p>
        </w:tc>
      </w:tr>
      <w:tr w:rsidR="00FA7EBF" w:rsidRPr="007939DD" w14:paraId="117246EE" w14:textId="77777777" w:rsidTr="007B207C">
        <w:tc>
          <w:tcPr>
            <w:tcW w:w="7371" w:type="dxa"/>
            <w:tcBorders>
              <w:top w:val="single" w:sz="4" w:space="0" w:color="A6A6A6"/>
            </w:tcBorders>
            <w:noWrap/>
            <w:hideMark/>
          </w:tcPr>
          <w:p w14:paraId="4116ACCE" w14:textId="77777777" w:rsidR="00FA7EBF" w:rsidRPr="007939DD" w:rsidRDefault="00FA7EBF" w:rsidP="007B207C">
            <w:pPr>
              <w:pStyle w:val="ARfintablebody"/>
              <w:rPr>
                <w:lang w:eastAsia="en-AU"/>
              </w:rPr>
            </w:pPr>
            <w:r w:rsidRPr="00572E7A">
              <w:t>Other local councils with payments totalling less than $5 million</w:t>
            </w:r>
          </w:p>
        </w:tc>
        <w:tc>
          <w:tcPr>
            <w:tcW w:w="1134" w:type="dxa"/>
            <w:tcBorders>
              <w:top w:val="single" w:sz="4" w:space="0" w:color="A6A6A6"/>
            </w:tcBorders>
            <w:shd w:val="clear" w:color="auto" w:fill="E7E6E6"/>
            <w:noWrap/>
            <w:hideMark/>
          </w:tcPr>
          <w:p w14:paraId="1DF03953" w14:textId="77777777" w:rsidR="00FA7EBF" w:rsidRPr="007939DD" w:rsidRDefault="00FA7EBF" w:rsidP="007B207C">
            <w:pPr>
              <w:pStyle w:val="ARfintablebodyright"/>
              <w:rPr>
                <w:lang w:eastAsia="en-AU"/>
              </w:rPr>
            </w:pPr>
            <w:r w:rsidRPr="00572E7A">
              <w:t>117.3</w:t>
            </w:r>
          </w:p>
        </w:tc>
        <w:tc>
          <w:tcPr>
            <w:tcW w:w="1134" w:type="dxa"/>
            <w:tcBorders>
              <w:top w:val="single" w:sz="4" w:space="0" w:color="A6A6A6"/>
            </w:tcBorders>
            <w:noWrap/>
            <w:hideMark/>
          </w:tcPr>
          <w:p w14:paraId="23D3DA81" w14:textId="77777777" w:rsidR="00FA7EBF" w:rsidRPr="007939DD" w:rsidRDefault="00FA7EBF" w:rsidP="007B207C">
            <w:pPr>
              <w:pStyle w:val="ARfintablebodyright"/>
              <w:rPr>
                <w:lang w:eastAsia="en-AU"/>
              </w:rPr>
            </w:pPr>
            <w:r w:rsidRPr="00572E7A">
              <w:t>133.1</w:t>
            </w:r>
          </w:p>
        </w:tc>
      </w:tr>
      <w:tr w:rsidR="00FA7EBF" w:rsidRPr="007939DD" w14:paraId="4BFC46B7" w14:textId="77777777" w:rsidTr="007B207C">
        <w:tc>
          <w:tcPr>
            <w:tcW w:w="7371" w:type="dxa"/>
            <w:tcBorders>
              <w:bottom w:val="single" w:sz="4" w:space="0" w:color="A6A6A6"/>
            </w:tcBorders>
            <w:noWrap/>
            <w:hideMark/>
          </w:tcPr>
          <w:p w14:paraId="6817D78C" w14:textId="77777777" w:rsidR="00FA7EBF" w:rsidRPr="007939DD" w:rsidRDefault="00FA7EBF" w:rsidP="007B207C">
            <w:pPr>
              <w:pStyle w:val="ARfintablebody"/>
              <w:rPr>
                <w:lang w:eastAsia="en-AU"/>
              </w:rPr>
            </w:pPr>
          </w:p>
        </w:tc>
        <w:tc>
          <w:tcPr>
            <w:tcW w:w="1134" w:type="dxa"/>
            <w:tcBorders>
              <w:bottom w:val="single" w:sz="4" w:space="0" w:color="A6A6A6"/>
            </w:tcBorders>
            <w:shd w:val="clear" w:color="auto" w:fill="E7E6E6"/>
            <w:noWrap/>
            <w:hideMark/>
          </w:tcPr>
          <w:p w14:paraId="75B513D0" w14:textId="77777777" w:rsidR="00FA7EBF" w:rsidRPr="007939DD" w:rsidRDefault="00FA7EBF" w:rsidP="007B207C">
            <w:pPr>
              <w:pStyle w:val="ARfintablebodyrightbold"/>
              <w:rPr>
                <w:lang w:eastAsia="en-AU"/>
              </w:rPr>
            </w:pPr>
            <w:r w:rsidRPr="00572E7A">
              <w:t>145.7</w:t>
            </w:r>
          </w:p>
        </w:tc>
        <w:tc>
          <w:tcPr>
            <w:tcW w:w="1134" w:type="dxa"/>
            <w:tcBorders>
              <w:bottom w:val="single" w:sz="4" w:space="0" w:color="A6A6A6"/>
            </w:tcBorders>
            <w:noWrap/>
            <w:hideMark/>
          </w:tcPr>
          <w:p w14:paraId="3EC5F95D" w14:textId="77777777" w:rsidR="00FA7EBF" w:rsidRPr="007939DD" w:rsidRDefault="00FA7EBF" w:rsidP="007B207C">
            <w:pPr>
              <w:pStyle w:val="ARfintablebodyrightbold"/>
              <w:rPr>
                <w:rStyle w:val="Strong"/>
                <w:bCs w:val="0"/>
              </w:rPr>
            </w:pPr>
            <w:r w:rsidRPr="00572E7A">
              <w:t>160.3</w:t>
            </w:r>
          </w:p>
        </w:tc>
      </w:tr>
      <w:tr w:rsidR="00FA7EBF" w:rsidRPr="007939DD" w14:paraId="183284B1" w14:textId="77777777" w:rsidTr="007B207C">
        <w:tc>
          <w:tcPr>
            <w:tcW w:w="9639" w:type="dxa"/>
            <w:gridSpan w:val="3"/>
            <w:tcBorders>
              <w:top w:val="single" w:sz="4" w:space="0" w:color="A6A6A6"/>
              <w:bottom w:val="single" w:sz="4" w:space="0" w:color="A6A6A6"/>
            </w:tcBorders>
            <w:noWrap/>
            <w:hideMark/>
          </w:tcPr>
          <w:p w14:paraId="2831C3D5" w14:textId="77777777" w:rsidR="00FA7EBF" w:rsidRPr="007939DD" w:rsidRDefault="00FA7EBF" w:rsidP="007B207C">
            <w:pPr>
              <w:pStyle w:val="ARfintablebodybold"/>
              <w:rPr>
                <w:rStyle w:val="Strong"/>
                <w:bCs/>
              </w:rPr>
            </w:pPr>
            <w:r w:rsidRPr="00572E7A">
              <w:t xml:space="preserve">Commonwealth </w:t>
            </w:r>
            <w:r>
              <w:t>G</w:t>
            </w:r>
            <w:r w:rsidRPr="00572E7A">
              <w:t>overnment</w:t>
            </w:r>
          </w:p>
        </w:tc>
      </w:tr>
      <w:tr w:rsidR="00FA7EBF" w:rsidRPr="007939DD" w14:paraId="0038368E" w14:textId="77777777" w:rsidTr="007B207C">
        <w:tc>
          <w:tcPr>
            <w:tcW w:w="7371" w:type="dxa"/>
            <w:tcBorders>
              <w:top w:val="single" w:sz="4" w:space="0" w:color="A6A6A6"/>
              <w:bottom w:val="single" w:sz="4" w:space="0" w:color="A6A6A6"/>
            </w:tcBorders>
            <w:noWrap/>
            <w:hideMark/>
          </w:tcPr>
          <w:p w14:paraId="65194A9F" w14:textId="77777777" w:rsidR="00FA7EBF" w:rsidRPr="007939DD" w:rsidRDefault="00FA7EBF" w:rsidP="007B207C">
            <w:pPr>
              <w:pStyle w:val="ARfintablebody"/>
              <w:rPr>
                <w:lang w:eastAsia="en-AU"/>
              </w:rPr>
            </w:pPr>
            <w:r w:rsidRPr="00572E7A">
              <w:t>National Blood Authority</w:t>
            </w:r>
          </w:p>
        </w:tc>
        <w:tc>
          <w:tcPr>
            <w:tcW w:w="1134" w:type="dxa"/>
            <w:tcBorders>
              <w:top w:val="single" w:sz="4" w:space="0" w:color="A6A6A6"/>
              <w:bottom w:val="single" w:sz="4" w:space="0" w:color="A6A6A6"/>
            </w:tcBorders>
            <w:shd w:val="clear" w:color="auto" w:fill="E7E6E6"/>
            <w:noWrap/>
            <w:hideMark/>
          </w:tcPr>
          <w:p w14:paraId="1650AB2D" w14:textId="77777777" w:rsidR="00FA7EBF" w:rsidRPr="007939DD" w:rsidRDefault="00FA7EBF" w:rsidP="007B207C">
            <w:pPr>
              <w:pStyle w:val="ARfintablebodyright"/>
              <w:rPr>
                <w:lang w:eastAsia="en-AU"/>
              </w:rPr>
            </w:pPr>
            <w:r w:rsidRPr="00572E7A">
              <w:t>108.5</w:t>
            </w:r>
          </w:p>
        </w:tc>
        <w:tc>
          <w:tcPr>
            <w:tcW w:w="1134" w:type="dxa"/>
            <w:tcBorders>
              <w:top w:val="single" w:sz="4" w:space="0" w:color="A6A6A6"/>
              <w:bottom w:val="single" w:sz="4" w:space="0" w:color="A6A6A6"/>
            </w:tcBorders>
            <w:noWrap/>
            <w:hideMark/>
          </w:tcPr>
          <w:p w14:paraId="2FC3A907" w14:textId="77777777" w:rsidR="00FA7EBF" w:rsidRPr="007939DD" w:rsidRDefault="00FA7EBF" w:rsidP="007B207C">
            <w:pPr>
              <w:pStyle w:val="ARfintablebodyright"/>
              <w:rPr>
                <w:lang w:eastAsia="en-AU"/>
              </w:rPr>
            </w:pPr>
            <w:r w:rsidRPr="00572E7A">
              <w:t>100.9</w:t>
            </w:r>
          </w:p>
        </w:tc>
      </w:tr>
      <w:tr w:rsidR="00FA7EBF" w:rsidRPr="007939DD" w14:paraId="115BF26F" w14:textId="77777777" w:rsidTr="007B207C">
        <w:tc>
          <w:tcPr>
            <w:tcW w:w="7371" w:type="dxa"/>
            <w:tcBorders>
              <w:top w:val="single" w:sz="4" w:space="0" w:color="A6A6A6"/>
              <w:bottom w:val="single" w:sz="4" w:space="0" w:color="A6A6A6"/>
            </w:tcBorders>
            <w:noWrap/>
            <w:hideMark/>
          </w:tcPr>
          <w:p w14:paraId="0791A43B" w14:textId="77777777" w:rsidR="00FA7EBF" w:rsidRPr="007939DD" w:rsidRDefault="00FA7EBF" w:rsidP="007B207C">
            <w:pPr>
              <w:pStyle w:val="ARfintablebody"/>
              <w:rPr>
                <w:lang w:eastAsia="en-AU"/>
              </w:rPr>
            </w:pPr>
            <w:r w:rsidRPr="00572E7A">
              <w:t>Department of Health and Ageing</w:t>
            </w:r>
          </w:p>
        </w:tc>
        <w:tc>
          <w:tcPr>
            <w:tcW w:w="1134" w:type="dxa"/>
            <w:tcBorders>
              <w:top w:val="single" w:sz="4" w:space="0" w:color="A6A6A6"/>
              <w:bottom w:val="single" w:sz="4" w:space="0" w:color="A6A6A6"/>
            </w:tcBorders>
            <w:shd w:val="clear" w:color="auto" w:fill="E7E6E6"/>
            <w:noWrap/>
            <w:hideMark/>
          </w:tcPr>
          <w:p w14:paraId="79561937" w14:textId="77777777" w:rsidR="00FA7EBF" w:rsidRPr="007939DD" w:rsidRDefault="00FA7EBF" w:rsidP="007B207C">
            <w:pPr>
              <w:pStyle w:val="ARfintablebodyright"/>
              <w:rPr>
                <w:lang w:eastAsia="en-AU"/>
              </w:rPr>
            </w:pPr>
            <w:r w:rsidRPr="00572E7A">
              <w:t>40.5</w:t>
            </w:r>
          </w:p>
        </w:tc>
        <w:tc>
          <w:tcPr>
            <w:tcW w:w="1134" w:type="dxa"/>
            <w:tcBorders>
              <w:top w:val="single" w:sz="4" w:space="0" w:color="A6A6A6"/>
              <w:bottom w:val="single" w:sz="4" w:space="0" w:color="A6A6A6"/>
            </w:tcBorders>
            <w:noWrap/>
            <w:hideMark/>
          </w:tcPr>
          <w:p w14:paraId="77123A85" w14:textId="77777777" w:rsidR="00FA7EBF" w:rsidRPr="007939DD" w:rsidRDefault="00FA7EBF" w:rsidP="007B207C">
            <w:pPr>
              <w:pStyle w:val="ARfintablebodyright"/>
              <w:rPr>
                <w:lang w:eastAsia="en-AU"/>
              </w:rPr>
            </w:pPr>
            <w:r w:rsidRPr="00572E7A">
              <w:t>63.0</w:t>
            </w:r>
          </w:p>
        </w:tc>
      </w:tr>
      <w:tr w:rsidR="00FA7EBF" w:rsidRPr="007939DD" w14:paraId="40F4651D" w14:textId="77777777" w:rsidTr="007B207C">
        <w:tc>
          <w:tcPr>
            <w:tcW w:w="7371" w:type="dxa"/>
            <w:tcBorders>
              <w:top w:val="single" w:sz="4" w:space="0" w:color="A6A6A6"/>
            </w:tcBorders>
            <w:noWrap/>
            <w:hideMark/>
          </w:tcPr>
          <w:p w14:paraId="0F705861" w14:textId="77777777" w:rsidR="00FA7EBF" w:rsidRPr="007939DD" w:rsidRDefault="00FA7EBF" w:rsidP="007B207C">
            <w:pPr>
              <w:pStyle w:val="ARfintablebody"/>
              <w:rPr>
                <w:lang w:eastAsia="en-AU"/>
              </w:rPr>
            </w:pPr>
            <w:r w:rsidRPr="00572E7A">
              <w:t xml:space="preserve">Other Commonwealth </w:t>
            </w:r>
            <w:r>
              <w:t xml:space="preserve">Government </w:t>
            </w:r>
            <w:r w:rsidRPr="00572E7A">
              <w:t>with payments totalling less than $30 million</w:t>
            </w:r>
          </w:p>
        </w:tc>
        <w:tc>
          <w:tcPr>
            <w:tcW w:w="1134" w:type="dxa"/>
            <w:tcBorders>
              <w:top w:val="single" w:sz="4" w:space="0" w:color="A6A6A6"/>
            </w:tcBorders>
            <w:shd w:val="clear" w:color="auto" w:fill="E7E6E6"/>
            <w:noWrap/>
            <w:hideMark/>
          </w:tcPr>
          <w:p w14:paraId="63FB42B9" w14:textId="77777777" w:rsidR="00FA7EBF" w:rsidRPr="007939DD" w:rsidRDefault="00FA7EBF" w:rsidP="007B207C">
            <w:pPr>
              <w:pStyle w:val="ARfintablebodyright"/>
              <w:rPr>
                <w:lang w:eastAsia="en-AU"/>
              </w:rPr>
            </w:pPr>
            <w:r w:rsidRPr="00572E7A">
              <w:t>4.1</w:t>
            </w:r>
          </w:p>
        </w:tc>
        <w:tc>
          <w:tcPr>
            <w:tcW w:w="1134" w:type="dxa"/>
            <w:tcBorders>
              <w:top w:val="single" w:sz="4" w:space="0" w:color="A6A6A6"/>
            </w:tcBorders>
            <w:noWrap/>
            <w:hideMark/>
          </w:tcPr>
          <w:p w14:paraId="393BA9F8" w14:textId="77777777" w:rsidR="00FA7EBF" w:rsidRPr="007939DD" w:rsidRDefault="00FA7EBF" w:rsidP="007B207C">
            <w:pPr>
              <w:pStyle w:val="ARfintablebodyright"/>
              <w:rPr>
                <w:lang w:eastAsia="en-AU"/>
              </w:rPr>
            </w:pPr>
            <w:r w:rsidRPr="00572E7A">
              <w:t>20.8</w:t>
            </w:r>
          </w:p>
        </w:tc>
      </w:tr>
      <w:tr w:rsidR="00FA7EBF" w:rsidRPr="007939DD" w14:paraId="2970FABE" w14:textId="77777777" w:rsidTr="007B207C">
        <w:tc>
          <w:tcPr>
            <w:tcW w:w="7371" w:type="dxa"/>
            <w:tcBorders>
              <w:bottom w:val="single" w:sz="4" w:space="0" w:color="A6A6A6"/>
            </w:tcBorders>
            <w:noWrap/>
            <w:hideMark/>
          </w:tcPr>
          <w:p w14:paraId="7AD7D117" w14:textId="77777777" w:rsidR="00FA7EBF" w:rsidRPr="007939DD" w:rsidRDefault="00FA7EBF" w:rsidP="007B207C">
            <w:pPr>
              <w:pStyle w:val="ARfintablebody"/>
              <w:rPr>
                <w:lang w:eastAsia="en-AU"/>
              </w:rPr>
            </w:pPr>
          </w:p>
        </w:tc>
        <w:tc>
          <w:tcPr>
            <w:tcW w:w="1134" w:type="dxa"/>
            <w:tcBorders>
              <w:bottom w:val="single" w:sz="4" w:space="0" w:color="A6A6A6"/>
            </w:tcBorders>
            <w:shd w:val="clear" w:color="auto" w:fill="E7E6E6"/>
            <w:noWrap/>
            <w:hideMark/>
          </w:tcPr>
          <w:p w14:paraId="447D4B1A" w14:textId="77777777" w:rsidR="00FA7EBF" w:rsidRPr="007939DD" w:rsidRDefault="00FA7EBF" w:rsidP="007B207C">
            <w:pPr>
              <w:pStyle w:val="ARfintablebodyrightbold"/>
              <w:rPr>
                <w:lang w:eastAsia="en-AU"/>
              </w:rPr>
            </w:pPr>
            <w:r w:rsidRPr="00572E7A">
              <w:t>153.1</w:t>
            </w:r>
          </w:p>
        </w:tc>
        <w:tc>
          <w:tcPr>
            <w:tcW w:w="1134" w:type="dxa"/>
            <w:tcBorders>
              <w:bottom w:val="single" w:sz="4" w:space="0" w:color="A6A6A6"/>
            </w:tcBorders>
            <w:noWrap/>
            <w:hideMark/>
          </w:tcPr>
          <w:p w14:paraId="15B70614" w14:textId="77777777" w:rsidR="00FA7EBF" w:rsidRPr="007939DD" w:rsidRDefault="00FA7EBF" w:rsidP="007B207C">
            <w:pPr>
              <w:pStyle w:val="ARfintablebodyrightbold"/>
              <w:rPr>
                <w:rStyle w:val="Strong"/>
                <w:bCs w:val="0"/>
              </w:rPr>
            </w:pPr>
            <w:r w:rsidRPr="00572E7A">
              <w:t>184.8</w:t>
            </w:r>
          </w:p>
        </w:tc>
      </w:tr>
      <w:tr w:rsidR="00FA7EBF" w:rsidRPr="007939DD" w14:paraId="1294D01E" w14:textId="77777777" w:rsidTr="007B207C">
        <w:tc>
          <w:tcPr>
            <w:tcW w:w="9639" w:type="dxa"/>
            <w:gridSpan w:val="3"/>
            <w:tcBorders>
              <w:top w:val="single" w:sz="4" w:space="0" w:color="A6A6A6"/>
              <w:bottom w:val="single" w:sz="4" w:space="0" w:color="A6A6A6"/>
            </w:tcBorders>
            <w:noWrap/>
            <w:hideMark/>
          </w:tcPr>
          <w:p w14:paraId="6E501DD1" w14:textId="77777777" w:rsidR="00FA7EBF" w:rsidRPr="007939DD" w:rsidRDefault="00FA7EBF" w:rsidP="007B207C">
            <w:pPr>
              <w:pStyle w:val="ARfintablebodybold"/>
              <w:rPr>
                <w:lang w:eastAsia="en-AU"/>
              </w:rPr>
            </w:pPr>
            <w:r w:rsidRPr="00572E7A">
              <w:t>Non-government agencies and individuals</w:t>
            </w:r>
          </w:p>
        </w:tc>
      </w:tr>
      <w:tr w:rsidR="00FA7EBF" w:rsidRPr="007939DD" w14:paraId="6E4F9023" w14:textId="77777777" w:rsidTr="007B207C">
        <w:tc>
          <w:tcPr>
            <w:tcW w:w="7371" w:type="dxa"/>
            <w:tcBorders>
              <w:top w:val="single" w:sz="4" w:space="0" w:color="A6A6A6"/>
              <w:bottom w:val="single" w:sz="4" w:space="0" w:color="A6A6A6"/>
            </w:tcBorders>
            <w:noWrap/>
            <w:hideMark/>
          </w:tcPr>
          <w:p w14:paraId="7200C5AB" w14:textId="77777777" w:rsidR="00FA7EBF" w:rsidRPr="007939DD" w:rsidRDefault="00FA7EBF" w:rsidP="007B207C">
            <w:pPr>
              <w:pStyle w:val="ARfintablebody"/>
              <w:rPr>
                <w:lang w:eastAsia="en-AU"/>
              </w:rPr>
            </w:pPr>
            <w:r w:rsidRPr="00572E7A">
              <w:t>Wesley Mission Victoria</w:t>
            </w:r>
          </w:p>
        </w:tc>
        <w:tc>
          <w:tcPr>
            <w:tcW w:w="1134" w:type="dxa"/>
            <w:tcBorders>
              <w:top w:val="single" w:sz="4" w:space="0" w:color="A6A6A6"/>
              <w:bottom w:val="single" w:sz="4" w:space="0" w:color="A6A6A6"/>
            </w:tcBorders>
            <w:shd w:val="clear" w:color="auto" w:fill="E7E6E6"/>
            <w:noWrap/>
            <w:hideMark/>
          </w:tcPr>
          <w:p w14:paraId="22AC28DC" w14:textId="77777777" w:rsidR="00FA7EBF" w:rsidRPr="007939DD" w:rsidRDefault="00FA7EBF" w:rsidP="007B207C">
            <w:pPr>
              <w:pStyle w:val="ARfintablebodyright"/>
              <w:rPr>
                <w:lang w:eastAsia="en-AU"/>
              </w:rPr>
            </w:pPr>
            <w:r w:rsidRPr="00572E7A">
              <w:t>136.2</w:t>
            </w:r>
          </w:p>
        </w:tc>
        <w:tc>
          <w:tcPr>
            <w:tcW w:w="1134" w:type="dxa"/>
            <w:tcBorders>
              <w:top w:val="single" w:sz="4" w:space="0" w:color="A6A6A6"/>
              <w:bottom w:val="single" w:sz="4" w:space="0" w:color="A6A6A6"/>
            </w:tcBorders>
            <w:noWrap/>
            <w:hideMark/>
          </w:tcPr>
          <w:p w14:paraId="41A83D97" w14:textId="77777777" w:rsidR="00FA7EBF" w:rsidRPr="007939DD" w:rsidRDefault="00FA7EBF" w:rsidP="007B207C">
            <w:pPr>
              <w:pStyle w:val="ARfintablebodyright"/>
              <w:rPr>
                <w:lang w:eastAsia="en-AU"/>
              </w:rPr>
            </w:pPr>
            <w:r w:rsidRPr="00572E7A">
              <w:t>146.9</w:t>
            </w:r>
          </w:p>
        </w:tc>
      </w:tr>
      <w:tr w:rsidR="00FA7EBF" w:rsidRPr="007939DD" w14:paraId="65C3478B" w14:textId="77777777" w:rsidTr="007B207C">
        <w:tc>
          <w:tcPr>
            <w:tcW w:w="7371" w:type="dxa"/>
            <w:tcBorders>
              <w:top w:val="single" w:sz="4" w:space="0" w:color="A6A6A6"/>
              <w:bottom w:val="single" w:sz="4" w:space="0" w:color="A6A6A6"/>
            </w:tcBorders>
            <w:noWrap/>
            <w:hideMark/>
          </w:tcPr>
          <w:p w14:paraId="7D597716" w14:textId="77777777" w:rsidR="00FA7EBF" w:rsidRPr="007939DD" w:rsidRDefault="00FA7EBF" w:rsidP="007B207C">
            <w:pPr>
              <w:pStyle w:val="ARfintablebody"/>
              <w:rPr>
                <w:lang w:eastAsia="en-AU"/>
              </w:rPr>
            </w:pPr>
            <w:r w:rsidRPr="00572E7A">
              <w:t>Anglicare Victoria</w:t>
            </w:r>
          </w:p>
        </w:tc>
        <w:tc>
          <w:tcPr>
            <w:tcW w:w="1134" w:type="dxa"/>
            <w:tcBorders>
              <w:top w:val="single" w:sz="4" w:space="0" w:color="A6A6A6"/>
              <w:bottom w:val="single" w:sz="4" w:space="0" w:color="A6A6A6"/>
            </w:tcBorders>
            <w:shd w:val="clear" w:color="auto" w:fill="E7E6E6"/>
            <w:noWrap/>
            <w:hideMark/>
          </w:tcPr>
          <w:p w14:paraId="6C3A883E" w14:textId="77777777" w:rsidR="00FA7EBF" w:rsidRPr="007939DD" w:rsidRDefault="00FA7EBF" w:rsidP="007B207C">
            <w:pPr>
              <w:pStyle w:val="ARfintablebodyright"/>
              <w:rPr>
                <w:lang w:eastAsia="en-AU"/>
              </w:rPr>
            </w:pPr>
            <w:r w:rsidRPr="00572E7A">
              <w:t>122.1</w:t>
            </w:r>
          </w:p>
        </w:tc>
        <w:tc>
          <w:tcPr>
            <w:tcW w:w="1134" w:type="dxa"/>
            <w:tcBorders>
              <w:top w:val="single" w:sz="4" w:space="0" w:color="A6A6A6"/>
              <w:bottom w:val="single" w:sz="4" w:space="0" w:color="A6A6A6"/>
            </w:tcBorders>
            <w:noWrap/>
            <w:hideMark/>
          </w:tcPr>
          <w:p w14:paraId="1C89991A" w14:textId="77777777" w:rsidR="00FA7EBF" w:rsidRPr="007939DD" w:rsidRDefault="00FA7EBF" w:rsidP="007B207C">
            <w:pPr>
              <w:pStyle w:val="ARfintablebodyright"/>
              <w:rPr>
                <w:lang w:eastAsia="en-AU"/>
              </w:rPr>
            </w:pPr>
            <w:r w:rsidRPr="00572E7A">
              <w:t>107.5</w:t>
            </w:r>
          </w:p>
        </w:tc>
      </w:tr>
      <w:tr w:rsidR="00FA7EBF" w:rsidRPr="007939DD" w14:paraId="6A867890" w14:textId="77777777" w:rsidTr="007B207C">
        <w:tc>
          <w:tcPr>
            <w:tcW w:w="7371" w:type="dxa"/>
            <w:tcBorders>
              <w:top w:val="single" w:sz="4" w:space="0" w:color="A6A6A6"/>
              <w:bottom w:val="single" w:sz="4" w:space="0" w:color="A6A6A6"/>
            </w:tcBorders>
            <w:noWrap/>
            <w:hideMark/>
          </w:tcPr>
          <w:p w14:paraId="0F9C9C2E" w14:textId="77777777" w:rsidR="00FA7EBF" w:rsidRPr="007939DD" w:rsidRDefault="00FA7EBF" w:rsidP="007B207C">
            <w:pPr>
              <w:pStyle w:val="ARfintablebody"/>
              <w:rPr>
                <w:lang w:eastAsia="en-AU"/>
              </w:rPr>
            </w:pPr>
            <w:r w:rsidRPr="00572E7A">
              <w:t>Salvation Army Property Trust</w:t>
            </w:r>
          </w:p>
        </w:tc>
        <w:tc>
          <w:tcPr>
            <w:tcW w:w="1134" w:type="dxa"/>
            <w:tcBorders>
              <w:top w:val="single" w:sz="4" w:space="0" w:color="A6A6A6"/>
              <w:bottom w:val="single" w:sz="4" w:space="0" w:color="A6A6A6"/>
            </w:tcBorders>
            <w:shd w:val="clear" w:color="auto" w:fill="E7E6E6"/>
            <w:noWrap/>
            <w:hideMark/>
          </w:tcPr>
          <w:p w14:paraId="06204DC8" w14:textId="77777777" w:rsidR="00FA7EBF" w:rsidRPr="007939DD" w:rsidRDefault="00FA7EBF" w:rsidP="007B207C">
            <w:pPr>
              <w:pStyle w:val="ARfintablebodyright"/>
              <w:rPr>
                <w:lang w:eastAsia="en-AU"/>
              </w:rPr>
            </w:pPr>
            <w:r w:rsidRPr="00572E7A">
              <w:t>84.4</w:t>
            </w:r>
          </w:p>
        </w:tc>
        <w:tc>
          <w:tcPr>
            <w:tcW w:w="1134" w:type="dxa"/>
            <w:tcBorders>
              <w:top w:val="single" w:sz="4" w:space="0" w:color="A6A6A6"/>
              <w:bottom w:val="single" w:sz="4" w:space="0" w:color="A6A6A6"/>
            </w:tcBorders>
            <w:noWrap/>
            <w:hideMark/>
          </w:tcPr>
          <w:p w14:paraId="2054A68F" w14:textId="77777777" w:rsidR="00FA7EBF" w:rsidRPr="007939DD" w:rsidRDefault="00FA7EBF" w:rsidP="007B207C">
            <w:pPr>
              <w:pStyle w:val="ARfintablebodyright"/>
              <w:rPr>
                <w:lang w:eastAsia="en-AU"/>
              </w:rPr>
            </w:pPr>
            <w:r w:rsidRPr="00572E7A">
              <w:t>94.1</w:t>
            </w:r>
          </w:p>
        </w:tc>
      </w:tr>
      <w:tr w:rsidR="00FA7EBF" w:rsidRPr="007939DD" w14:paraId="33B0C4B4" w14:textId="77777777" w:rsidTr="007B207C">
        <w:tc>
          <w:tcPr>
            <w:tcW w:w="7371" w:type="dxa"/>
            <w:tcBorders>
              <w:top w:val="single" w:sz="4" w:space="0" w:color="A6A6A6"/>
              <w:bottom w:val="single" w:sz="4" w:space="0" w:color="A6A6A6"/>
            </w:tcBorders>
            <w:noWrap/>
            <w:hideMark/>
          </w:tcPr>
          <w:p w14:paraId="43CC2A7E" w14:textId="77777777" w:rsidR="00FA7EBF" w:rsidRPr="007939DD" w:rsidRDefault="00FA7EBF" w:rsidP="007B207C">
            <w:pPr>
              <w:pStyle w:val="ARfintablebody"/>
              <w:rPr>
                <w:lang w:eastAsia="en-AU"/>
              </w:rPr>
            </w:pPr>
            <w:r w:rsidRPr="00572E7A">
              <w:t>Berry Street Victoria Incorporated</w:t>
            </w:r>
          </w:p>
        </w:tc>
        <w:tc>
          <w:tcPr>
            <w:tcW w:w="1134" w:type="dxa"/>
            <w:tcBorders>
              <w:top w:val="single" w:sz="4" w:space="0" w:color="A6A6A6"/>
              <w:bottom w:val="single" w:sz="4" w:space="0" w:color="A6A6A6"/>
            </w:tcBorders>
            <w:shd w:val="clear" w:color="auto" w:fill="E7E6E6"/>
            <w:noWrap/>
            <w:hideMark/>
          </w:tcPr>
          <w:p w14:paraId="0A86F91F" w14:textId="77777777" w:rsidR="00FA7EBF" w:rsidRPr="007939DD" w:rsidRDefault="00FA7EBF" w:rsidP="007B207C">
            <w:pPr>
              <w:pStyle w:val="ARfintablebodyright"/>
              <w:rPr>
                <w:lang w:eastAsia="en-AU"/>
              </w:rPr>
            </w:pPr>
            <w:r w:rsidRPr="00572E7A">
              <w:t>97.8</w:t>
            </w:r>
          </w:p>
        </w:tc>
        <w:tc>
          <w:tcPr>
            <w:tcW w:w="1134" w:type="dxa"/>
            <w:tcBorders>
              <w:top w:val="single" w:sz="4" w:space="0" w:color="A6A6A6"/>
              <w:bottom w:val="single" w:sz="4" w:space="0" w:color="A6A6A6"/>
            </w:tcBorders>
            <w:noWrap/>
            <w:hideMark/>
          </w:tcPr>
          <w:p w14:paraId="770FC977" w14:textId="77777777" w:rsidR="00FA7EBF" w:rsidRPr="007939DD" w:rsidRDefault="00FA7EBF" w:rsidP="007B207C">
            <w:pPr>
              <w:pStyle w:val="ARfintablebodyright"/>
              <w:rPr>
                <w:lang w:eastAsia="en-AU"/>
              </w:rPr>
            </w:pPr>
            <w:r w:rsidRPr="00572E7A">
              <w:t>90.6</w:t>
            </w:r>
          </w:p>
        </w:tc>
      </w:tr>
      <w:tr w:rsidR="00FA7EBF" w:rsidRPr="007939DD" w14:paraId="6A11A383" w14:textId="77777777" w:rsidTr="007B207C">
        <w:tc>
          <w:tcPr>
            <w:tcW w:w="7371" w:type="dxa"/>
            <w:tcBorders>
              <w:top w:val="single" w:sz="4" w:space="0" w:color="A6A6A6"/>
              <w:bottom w:val="single" w:sz="4" w:space="0" w:color="A6A6A6"/>
            </w:tcBorders>
            <w:noWrap/>
            <w:hideMark/>
          </w:tcPr>
          <w:p w14:paraId="1F770B94" w14:textId="77777777" w:rsidR="00FA7EBF" w:rsidRPr="007939DD" w:rsidRDefault="00FA7EBF" w:rsidP="007B207C">
            <w:pPr>
              <w:pStyle w:val="ARfintablebody"/>
              <w:rPr>
                <w:lang w:eastAsia="en-AU"/>
              </w:rPr>
            </w:pPr>
            <w:r w:rsidRPr="00572E7A">
              <w:t>Moira Inc</w:t>
            </w:r>
          </w:p>
        </w:tc>
        <w:tc>
          <w:tcPr>
            <w:tcW w:w="1134" w:type="dxa"/>
            <w:tcBorders>
              <w:top w:val="single" w:sz="4" w:space="0" w:color="A6A6A6"/>
              <w:bottom w:val="single" w:sz="4" w:space="0" w:color="A6A6A6"/>
            </w:tcBorders>
            <w:shd w:val="clear" w:color="auto" w:fill="E7E6E6"/>
            <w:noWrap/>
            <w:hideMark/>
          </w:tcPr>
          <w:p w14:paraId="3503EC9B" w14:textId="77777777" w:rsidR="00FA7EBF" w:rsidRPr="007939DD" w:rsidRDefault="00FA7EBF" w:rsidP="007B207C">
            <w:pPr>
              <w:pStyle w:val="ARfintablebodyright"/>
              <w:rPr>
                <w:lang w:eastAsia="en-AU"/>
              </w:rPr>
            </w:pPr>
            <w:r w:rsidRPr="00572E7A">
              <w:t>48.0</w:t>
            </w:r>
          </w:p>
        </w:tc>
        <w:tc>
          <w:tcPr>
            <w:tcW w:w="1134" w:type="dxa"/>
            <w:tcBorders>
              <w:top w:val="single" w:sz="4" w:space="0" w:color="A6A6A6"/>
              <w:bottom w:val="single" w:sz="4" w:space="0" w:color="A6A6A6"/>
            </w:tcBorders>
            <w:noWrap/>
            <w:hideMark/>
          </w:tcPr>
          <w:p w14:paraId="7298C6DB" w14:textId="77777777" w:rsidR="00FA7EBF" w:rsidRPr="007939DD" w:rsidRDefault="00FA7EBF" w:rsidP="007B207C">
            <w:pPr>
              <w:pStyle w:val="ARfintablebodyright"/>
              <w:rPr>
                <w:lang w:eastAsia="en-AU"/>
              </w:rPr>
            </w:pPr>
            <w:r w:rsidRPr="00572E7A">
              <w:t>69.0</w:t>
            </w:r>
          </w:p>
        </w:tc>
      </w:tr>
      <w:tr w:rsidR="00FA7EBF" w:rsidRPr="007939DD" w14:paraId="4294C831" w14:textId="77777777" w:rsidTr="007B207C">
        <w:tc>
          <w:tcPr>
            <w:tcW w:w="7371" w:type="dxa"/>
            <w:tcBorders>
              <w:top w:val="single" w:sz="4" w:space="0" w:color="A6A6A6"/>
              <w:bottom w:val="single" w:sz="4" w:space="0" w:color="A6A6A6"/>
            </w:tcBorders>
            <w:noWrap/>
            <w:hideMark/>
          </w:tcPr>
          <w:p w14:paraId="41BABE6B" w14:textId="77777777" w:rsidR="00FA7EBF" w:rsidRPr="007939DD" w:rsidRDefault="00FA7EBF" w:rsidP="007B207C">
            <w:pPr>
              <w:pStyle w:val="ARfintablebody"/>
              <w:rPr>
                <w:lang w:eastAsia="en-AU"/>
              </w:rPr>
            </w:pPr>
            <w:r w:rsidRPr="00572E7A">
              <w:t>Life Without Barriers</w:t>
            </w:r>
          </w:p>
        </w:tc>
        <w:tc>
          <w:tcPr>
            <w:tcW w:w="1134" w:type="dxa"/>
            <w:tcBorders>
              <w:top w:val="single" w:sz="4" w:space="0" w:color="A6A6A6"/>
              <w:bottom w:val="single" w:sz="4" w:space="0" w:color="A6A6A6"/>
            </w:tcBorders>
            <w:shd w:val="clear" w:color="auto" w:fill="E7E6E6"/>
            <w:noWrap/>
            <w:hideMark/>
          </w:tcPr>
          <w:p w14:paraId="3427E2F1" w14:textId="77777777" w:rsidR="00FA7EBF" w:rsidRPr="007939DD" w:rsidRDefault="00FA7EBF" w:rsidP="007B207C">
            <w:pPr>
              <w:pStyle w:val="ARfintablebodyright"/>
              <w:rPr>
                <w:lang w:eastAsia="en-AU"/>
              </w:rPr>
            </w:pPr>
            <w:r w:rsidRPr="00572E7A">
              <w:t>36.0</w:t>
            </w:r>
          </w:p>
        </w:tc>
        <w:tc>
          <w:tcPr>
            <w:tcW w:w="1134" w:type="dxa"/>
            <w:tcBorders>
              <w:top w:val="single" w:sz="4" w:space="0" w:color="A6A6A6"/>
              <w:bottom w:val="single" w:sz="4" w:space="0" w:color="A6A6A6"/>
            </w:tcBorders>
            <w:noWrap/>
            <w:hideMark/>
          </w:tcPr>
          <w:p w14:paraId="793A09BE" w14:textId="77777777" w:rsidR="00FA7EBF" w:rsidRPr="007939DD" w:rsidRDefault="00FA7EBF" w:rsidP="007B207C">
            <w:pPr>
              <w:pStyle w:val="ARfintablebodyright"/>
              <w:rPr>
                <w:lang w:eastAsia="en-AU"/>
              </w:rPr>
            </w:pPr>
            <w:r w:rsidRPr="00572E7A">
              <w:t>8.1</w:t>
            </w:r>
          </w:p>
        </w:tc>
      </w:tr>
      <w:tr w:rsidR="00FA7EBF" w:rsidRPr="007939DD" w14:paraId="1A1CD621" w14:textId="77777777" w:rsidTr="007B207C">
        <w:tc>
          <w:tcPr>
            <w:tcW w:w="7371" w:type="dxa"/>
            <w:tcBorders>
              <w:top w:val="single" w:sz="4" w:space="0" w:color="A6A6A6"/>
              <w:bottom w:val="single" w:sz="4" w:space="0" w:color="A6A6A6"/>
            </w:tcBorders>
            <w:noWrap/>
            <w:hideMark/>
          </w:tcPr>
          <w:p w14:paraId="60D0D78A" w14:textId="77777777" w:rsidR="00FA7EBF" w:rsidRPr="007939DD" w:rsidRDefault="00FA7EBF" w:rsidP="007B207C">
            <w:pPr>
              <w:pStyle w:val="ARfintablebody"/>
              <w:rPr>
                <w:lang w:eastAsia="en-AU"/>
              </w:rPr>
            </w:pPr>
            <w:r w:rsidRPr="00572E7A">
              <w:t>Mackillop Family Services Limited</w:t>
            </w:r>
          </w:p>
        </w:tc>
        <w:tc>
          <w:tcPr>
            <w:tcW w:w="1134" w:type="dxa"/>
            <w:tcBorders>
              <w:top w:val="single" w:sz="4" w:space="0" w:color="A6A6A6"/>
              <w:bottom w:val="single" w:sz="4" w:space="0" w:color="A6A6A6"/>
            </w:tcBorders>
            <w:shd w:val="clear" w:color="auto" w:fill="E7E6E6"/>
            <w:noWrap/>
            <w:hideMark/>
          </w:tcPr>
          <w:p w14:paraId="46E9BDDF" w14:textId="77777777" w:rsidR="00FA7EBF" w:rsidRPr="007939DD" w:rsidRDefault="00FA7EBF" w:rsidP="007B207C">
            <w:pPr>
              <w:pStyle w:val="ARfintablebodyright"/>
              <w:rPr>
                <w:lang w:eastAsia="en-AU"/>
              </w:rPr>
            </w:pPr>
            <w:r w:rsidRPr="00572E7A">
              <w:t>71.3</w:t>
            </w:r>
          </w:p>
        </w:tc>
        <w:tc>
          <w:tcPr>
            <w:tcW w:w="1134" w:type="dxa"/>
            <w:tcBorders>
              <w:top w:val="single" w:sz="4" w:space="0" w:color="A6A6A6"/>
              <w:bottom w:val="single" w:sz="4" w:space="0" w:color="A6A6A6"/>
            </w:tcBorders>
            <w:noWrap/>
            <w:hideMark/>
          </w:tcPr>
          <w:p w14:paraId="1025EDB4" w14:textId="77777777" w:rsidR="00FA7EBF" w:rsidRPr="007939DD" w:rsidRDefault="00FA7EBF" w:rsidP="007B207C">
            <w:pPr>
              <w:pStyle w:val="ARfintablebodyright"/>
              <w:rPr>
                <w:lang w:eastAsia="en-AU"/>
              </w:rPr>
            </w:pPr>
            <w:r w:rsidRPr="00572E7A">
              <w:t>62.7</w:t>
            </w:r>
          </w:p>
        </w:tc>
      </w:tr>
      <w:tr w:rsidR="00FA7EBF" w:rsidRPr="007939DD" w14:paraId="1E84BA04" w14:textId="77777777" w:rsidTr="007B207C">
        <w:tc>
          <w:tcPr>
            <w:tcW w:w="7371" w:type="dxa"/>
            <w:tcBorders>
              <w:top w:val="single" w:sz="4" w:space="0" w:color="A6A6A6"/>
              <w:bottom w:val="single" w:sz="4" w:space="0" w:color="A6A6A6"/>
            </w:tcBorders>
            <w:noWrap/>
            <w:hideMark/>
          </w:tcPr>
          <w:p w14:paraId="5F4F6B41" w14:textId="77777777" w:rsidR="00FA7EBF" w:rsidRPr="007939DD" w:rsidRDefault="00FA7EBF" w:rsidP="007B207C">
            <w:pPr>
              <w:pStyle w:val="ARfintablebody"/>
              <w:rPr>
                <w:lang w:eastAsia="en-AU"/>
              </w:rPr>
            </w:pPr>
            <w:r w:rsidRPr="00572E7A">
              <w:t>Scope Vic Ltd</w:t>
            </w:r>
          </w:p>
        </w:tc>
        <w:tc>
          <w:tcPr>
            <w:tcW w:w="1134" w:type="dxa"/>
            <w:tcBorders>
              <w:top w:val="single" w:sz="4" w:space="0" w:color="A6A6A6"/>
              <w:bottom w:val="single" w:sz="4" w:space="0" w:color="A6A6A6"/>
            </w:tcBorders>
            <w:shd w:val="clear" w:color="auto" w:fill="E7E6E6"/>
            <w:noWrap/>
            <w:hideMark/>
          </w:tcPr>
          <w:p w14:paraId="04D29075" w14:textId="77777777" w:rsidR="00FA7EBF" w:rsidRPr="007939DD" w:rsidRDefault="00FA7EBF" w:rsidP="007B207C">
            <w:pPr>
              <w:pStyle w:val="ARfintablebodyright"/>
              <w:rPr>
                <w:lang w:eastAsia="en-AU"/>
              </w:rPr>
            </w:pPr>
            <w:r w:rsidRPr="00572E7A">
              <w:t>49.6</w:t>
            </w:r>
          </w:p>
        </w:tc>
        <w:tc>
          <w:tcPr>
            <w:tcW w:w="1134" w:type="dxa"/>
            <w:tcBorders>
              <w:top w:val="single" w:sz="4" w:space="0" w:color="A6A6A6"/>
              <w:bottom w:val="single" w:sz="4" w:space="0" w:color="A6A6A6"/>
            </w:tcBorders>
            <w:noWrap/>
            <w:hideMark/>
          </w:tcPr>
          <w:p w14:paraId="1CFC84F0" w14:textId="77777777" w:rsidR="00FA7EBF" w:rsidRPr="007939DD" w:rsidRDefault="00FA7EBF" w:rsidP="007B207C">
            <w:pPr>
              <w:pStyle w:val="ARfintablebodyright"/>
              <w:rPr>
                <w:lang w:eastAsia="en-AU"/>
              </w:rPr>
            </w:pPr>
            <w:r w:rsidRPr="00572E7A">
              <w:t>56.4</w:t>
            </w:r>
          </w:p>
        </w:tc>
      </w:tr>
      <w:tr w:rsidR="00FA7EBF" w:rsidRPr="007939DD" w14:paraId="74034F2B" w14:textId="77777777" w:rsidTr="007B207C">
        <w:tc>
          <w:tcPr>
            <w:tcW w:w="7371" w:type="dxa"/>
            <w:tcBorders>
              <w:top w:val="single" w:sz="4" w:space="0" w:color="A6A6A6"/>
              <w:bottom w:val="single" w:sz="4" w:space="0" w:color="A6A6A6"/>
            </w:tcBorders>
            <w:noWrap/>
            <w:hideMark/>
          </w:tcPr>
          <w:p w14:paraId="64E0E239" w14:textId="77777777" w:rsidR="00FA7EBF" w:rsidRPr="007939DD" w:rsidRDefault="00FA7EBF" w:rsidP="007B207C">
            <w:pPr>
              <w:pStyle w:val="ARfintablebody"/>
              <w:rPr>
                <w:lang w:eastAsia="en-AU"/>
              </w:rPr>
            </w:pPr>
            <w:r w:rsidRPr="00572E7A">
              <w:t>Victorian Aboriginal Child Care Agency</w:t>
            </w:r>
          </w:p>
        </w:tc>
        <w:tc>
          <w:tcPr>
            <w:tcW w:w="1134" w:type="dxa"/>
            <w:tcBorders>
              <w:top w:val="single" w:sz="4" w:space="0" w:color="A6A6A6"/>
              <w:bottom w:val="single" w:sz="4" w:space="0" w:color="A6A6A6"/>
            </w:tcBorders>
            <w:shd w:val="clear" w:color="auto" w:fill="E7E6E6"/>
            <w:noWrap/>
            <w:hideMark/>
          </w:tcPr>
          <w:p w14:paraId="22539C72" w14:textId="77777777" w:rsidR="00FA7EBF" w:rsidRPr="007939DD" w:rsidRDefault="00FA7EBF" w:rsidP="007B207C">
            <w:pPr>
              <w:pStyle w:val="ARfintablebodyright"/>
              <w:rPr>
                <w:lang w:eastAsia="en-AU"/>
              </w:rPr>
            </w:pPr>
            <w:r w:rsidRPr="00572E7A">
              <w:t>50.3</w:t>
            </w:r>
          </w:p>
        </w:tc>
        <w:tc>
          <w:tcPr>
            <w:tcW w:w="1134" w:type="dxa"/>
            <w:tcBorders>
              <w:top w:val="single" w:sz="4" w:space="0" w:color="A6A6A6"/>
              <w:bottom w:val="single" w:sz="4" w:space="0" w:color="A6A6A6"/>
            </w:tcBorders>
            <w:noWrap/>
            <w:hideMark/>
          </w:tcPr>
          <w:p w14:paraId="7CA57EED" w14:textId="77777777" w:rsidR="00FA7EBF" w:rsidRPr="007939DD" w:rsidRDefault="00FA7EBF" w:rsidP="007B207C">
            <w:pPr>
              <w:pStyle w:val="ARfintablebodyright"/>
              <w:rPr>
                <w:lang w:eastAsia="en-AU"/>
              </w:rPr>
            </w:pPr>
            <w:r w:rsidRPr="00572E7A">
              <w:t>42.0</w:t>
            </w:r>
          </w:p>
        </w:tc>
      </w:tr>
      <w:tr w:rsidR="00FA7EBF" w:rsidRPr="007939DD" w14:paraId="6F260B6F" w14:textId="77777777" w:rsidTr="007B207C">
        <w:tc>
          <w:tcPr>
            <w:tcW w:w="7371" w:type="dxa"/>
            <w:tcBorders>
              <w:top w:val="single" w:sz="4" w:space="0" w:color="A6A6A6"/>
              <w:bottom w:val="single" w:sz="4" w:space="0" w:color="A6A6A6"/>
            </w:tcBorders>
            <w:noWrap/>
            <w:hideMark/>
          </w:tcPr>
          <w:p w14:paraId="3E01153D" w14:textId="77777777" w:rsidR="00FA7EBF" w:rsidRPr="007939DD" w:rsidRDefault="00FA7EBF" w:rsidP="007B207C">
            <w:pPr>
              <w:pStyle w:val="ARfintablebody"/>
              <w:rPr>
                <w:lang w:eastAsia="en-AU"/>
              </w:rPr>
            </w:pPr>
            <w:r w:rsidRPr="00572E7A">
              <w:t>Launch Housing Limited</w:t>
            </w:r>
          </w:p>
        </w:tc>
        <w:tc>
          <w:tcPr>
            <w:tcW w:w="1134" w:type="dxa"/>
            <w:tcBorders>
              <w:top w:val="single" w:sz="4" w:space="0" w:color="A6A6A6"/>
              <w:bottom w:val="single" w:sz="4" w:space="0" w:color="A6A6A6"/>
            </w:tcBorders>
            <w:shd w:val="clear" w:color="auto" w:fill="E7E6E6"/>
            <w:noWrap/>
            <w:hideMark/>
          </w:tcPr>
          <w:p w14:paraId="4A989F4C" w14:textId="77777777" w:rsidR="00FA7EBF" w:rsidRPr="007939DD" w:rsidRDefault="00FA7EBF" w:rsidP="007B207C">
            <w:pPr>
              <w:pStyle w:val="ARfintablebodyright"/>
              <w:rPr>
                <w:lang w:eastAsia="en-AU"/>
              </w:rPr>
            </w:pPr>
            <w:r w:rsidRPr="00572E7A">
              <w:t>40.0</w:t>
            </w:r>
          </w:p>
        </w:tc>
        <w:tc>
          <w:tcPr>
            <w:tcW w:w="1134" w:type="dxa"/>
            <w:tcBorders>
              <w:top w:val="single" w:sz="4" w:space="0" w:color="A6A6A6"/>
              <w:bottom w:val="single" w:sz="4" w:space="0" w:color="A6A6A6"/>
            </w:tcBorders>
            <w:noWrap/>
            <w:hideMark/>
          </w:tcPr>
          <w:p w14:paraId="5C241427" w14:textId="77777777" w:rsidR="00FA7EBF" w:rsidRPr="007939DD" w:rsidRDefault="00FA7EBF" w:rsidP="007B207C">
            <w:pPr>
              <w:pStyle w:val="ARfintablebodyright"/>
              <w:rPr>
                <w:lang w:eastAsia="en-AU"/>
              </w:rPr>
            </w:pPr>
            <w:r w:rsidRPr="00572E7A">
              <w:t>40.4</w:t>
            </w:r>
          </w:p>
        </w:tc>
      </w:tr>
      <w:tr w:rsidR="00FA7EBF" w:rsidRPr="007939DD" w14:paraId="7D3D8FDC" w14:textId="77777777" w:rsidTr="007B207C">
        <w:tc>
          <w:tcPr>
            <w:tcW w:w="7371" w:type="dxa"/>
            <w:tcBorders>
              <w:top w:val="single" w:sz="4" w:space="0" w:color="A6A6A6"/>
              <w:bottom w:val="single" w:sz="4" w:space="0" w:color="A6A6A6"/>
            </w:tcBorders>
            <w:noWrap/>
            <w:hideMark/>
          </w:tcPr>
          <w:p w14:paraId="2191976A" w14:textId="77777777" w:rsidR="00FA7EBF" w:rsidRPr="007939DD" w:rsidRDefault="00FA7EBF" w:rsidP="007B207C">
            <w:pPr>
              <w:pStyle w:val="ARfintablebody"/>
              <w:rPr>
                <w:lang w:eastAsia="en-AU"/>
              </w:rPr>
            </w:pPr>
            <w:r w:rsidRPr="00572E7A">
              <w:t>Cohealth Ltd</w:t>
            </w:r>
          </w:p>
        </w:tc>
        <w:tc>
          <w:tcPr>
            <w:tcW w:w="1134" w:type="dxa"/>
            <w:tcBorders>
              <w:top w:val="single" w:sz="4" w:space="0" w:color="A6A6A6"/>
              <w:bottom w:val="single" w:sz="4" w:space="0" w:color="A6A6A6"/>
            </w:tcBorders>
            <w:shd w:val="clear" w:color="auto" w:fill="E7E6E6"/>
            <w:noWrap/>
            <w:hideMark/>
          </w:tcPr>
          <w:p w14:paraId="696A7B2C" w14:textId="77777777" w:rsidR="00FA7EBF" w:rsidRPr="007939DD" w:rsidRDefault="00FA7EBF" w:rsidP="007B207C">
            <w:pPr>
              <w:pStyle w:val="ARfintablebodyright"/>
              <w:rPr>
                <w:lang w:eastAsia="en-AU"/>
              </w:rPr>
            </w:pPr>
            <w:r w:rsidRPr="00572E7A">
              <w:t>44.4</w:t>
            </w:r>
          </w:p>
        </w:tc>
        <w:tc>
          <w:tcPr>
            <w:tcW w:w="1134" w:type="dxa"/>
            <w:tcBorders>
              <w:top w:val="single" w:sz="4" w:space="0" w:color="A6A6A6"/>
              <w:bottom w:val="single" w:sz="4" w:space="0" w:color="A6A6A6"/>
            </w:tcBorders>
            <w:noWrap/>
            <w:hideMark/>
          </w:tcPr>
          <w:p w14:paraId="350433A2" w14:textId="77777777" w:rsidR="00FA7EBF" w:rsidRPr="007939DD" w:rsidRDefault="00FA7EBF" w:rsidP="007B207C">
            <w:pPr>
              <w:pStyle w:val="ARfintablebodyright"/>
              <w:rPr>
                <w:lang w:eastAsia="en-AU"/>
              </w:rPr>
            </w:pPr>
            <w:r w:rsidRPr="00572E7A">
              <w:t>40.2</w:t>
            </w:r>
          </w:p>
        </w:tc>
      </w:tr>
      <w:tr w:rsidR="00FA7EBF" w:rsidRPr="007939DD" w14:paraId="58F6E5DC" w14:textId="77777777" w:rsidTr="007B207C">
        <w:tc>
          <w:tcPr>
            <w:tcW w:w="7371" w:type="dxa"/>
            <w:tcBorders>
              <w:top w:val="single" w:sz="4" w:space="0" w:color="A6A6A6"/>
              <w:bottom w:val="single" w:sz="4" w:space="0" w:color="A6A6A6"/>
            </w:tcBorders>
            <w:noWrap/>
            <w:hideMark/>
          </w:tcPr>
          <w:p w14:paraId="3DC4EC19" w14:textId="77777777" w:rsidR="00FA7EBF" w:rsidRPr="007939DD" w:rsidRDefault="00FA7EBF" w:rsidP="007B207C">
            <w:pPr>
              <w:pStyle w:val="ARfintablebody"/>
              <w:rPr>
                <w:lang w:eastAsia="en-AU"/>
              </w:rPr>
            </w:pPr>
            <w:r w:rsidRPr="00572E7A">
              <w:t>Melbourne City Mission Inc</w:t>
            </w:r>
          </w:p>
        </w:tc>
        <w:tc>
          <w:tcPr>
            <w:tcW w:w="1134" w:type="dxa"/>
            <w:tcBorders>
              <w:top w:val="single" w:sz="4" w:space="0" w:color="A6A6A6"/>
              <w:bottom w:val="single" w:sz="4" w:space="0" w:color="A6A6A6"/>
            </w:tcBorders>
            <w:shd w:val="clear" w:color="auto" w:fill="E7E6E6"/>
            <w:noWrap/>
            <w:hideMark/>
          </w:tcPr>
          <w:p w14:paraId="46A25A9E" w14:textId="77777777" w:rsidR="00FA7EBF" w:rsidRPr="007939DD" w:rsidRDefault="00FA7EBF" w:rsidP="007B207C">
            <w:pPr>
              <w:pStyle w:val="ARfintablebodyright"/>
              <w:rPr>
                <w:lang w:eastAsia="en-AU"/>
              </w:rPr>
            </w:pPr>
            <w:r w:rsidRPr="00572E7A">
              <w:t>38.2</w:t>
            </w:r>
          </w:p>
        </w:tc>
        <w:tc>
          <w:tcPr>
            <w:tcW w:w="1134" w:type="dxa"/>
            <w:tcBorders>
              <w:top w:val="single" w:sz="4" w:space="0" w:color="A6A6A6"/>
              <w:bottom w:val="single" w:sz="4" w:space="0" w:color="A6A6A6"/>
            </w:tcBorders>
            <w:noWrap/>
            <w:hideMark/>
          </w:tcPr>
          <w:p w14:paraId="5D7B2993" w14:textId="77777777" w:rsidR="00FA7EBF" w:rsidRPr="007939DD" w:rsidRDefault="00FA7EBF" w:rsidP="007B207C">
            <w:pPr>
              <w:pStyle w:val="ARfintablebodyright"/>
              <w:rPr>
                <w:lang w:eastAsia="en-AU"/>
              </w:rPr>
            </w:pPr>
            <w:r w:rsidRPr="00572E7A">
              <w:t>38.9</w:t>
            </w:r>
          </w:p>
        </w:tc>
      </w:tr>
      <w:tr w:rsidR="00FA7EBF" w:rsidRPr="007939DD" w14:paraId="2F721F08" w14:textId="77777777" w:rsidTr="007B207C">
        <w:tc>
          <w:tcPr>
            <w:tcW w:w="7371" w:type="dxa"/>
            <w:tcBorders>
              <w:top w:val="single" w:sz="4" w:space="0" w:color="A6A6A6"/>
              <w:bottom w:val="single" w:sz="4" w:space="0" w:color="A6A6A6"/>
            </w:tcBorders>
            <w:noWrap/>
            <w:hideMark/>
          </w:tcPr>
          <w:p w14:paraId="12DD139F" w14:textId="77777777" w:rsidR="00FA7EBF" w:rsidRPr="007939DD" w:rsidRDefault="00FA7EBF" w:rsidP="007B207C">
            <w:pPr>
              <w:pStyle w:val="ARfintablebody"/>
              <w:rPr>
                <w:lang w:eastAsia="en-AU"/>
              </w:rPr>
            </w:pPr>
            <w:r w:rsidRPr="00572E7A">
              <w:t>Eastern Access Community Health Inc</w:t>
            </w:r>
          </w:p>
        </w:tc>
        <w:tc>
          <w:tcPr>
            <w:tcW w:w="1134" w:type="dxa"/>
            <w:tcBorders>
              <w:top w:val="single" w:sz="4" w:space="0" w:color="A6A6A6"/>
              <w:bottom w:val="single" w:sz="4" w:space="0" w:color="A6A6A6"/>
            </w:tcBorders>
            <w:shd w:val="clear" w:color="auto" w:fill="E7E6E6"/>
            <w:noWrap/>
            <w:hideMark/>
          </w:tcPr>
          <w:p w14:paraId="4646876A" w14:textId="77777777" w:rsidR="00FA7EBF" w:rsidRPr="007939DD" w:rsidRDefault="00FA7EBF" w:rsidP="007B207C">
            <w:pPr>
              <w:pStyle w:val="ARfintablebodyright"/>
              <w:rPr>
                <w:lang w:eastAsia="en-AU"/>
              </w:rPr>
            </w:pPr>
            <w:r w:rsidRPr="00572E7A">
              <w:t>31.0</w:t>
            </w:r>
          </w:p>
        </w:tc>
        <w:tc>
          <w:tcPr>
            <w:tcW w:w="1134" w:type="dxa"/>
            <w:tcBorders>
              <w:top w:val="single" w:sz="4" w:space="0" w:color="A6A6A6"/>
              <w:bottom w:val="single" w:sz="4" w:space="0" w:color="A6A6A6"/>
            </w:tcBorders>
            <w:noWrap/>
            <w:hideMark/>
          </w:tcPr>
          <w:p w14:paraId="1AC5C062" w14:textId="77777777" w:rsidR="00FA7EBF" w:rsidRPr="007939DD" w:rsidRDefault="00FA7EBF" w:rsidP="007B207C">
            <w:pPr>
              <w:pStyle w:val="ARfintablebodyright"/>
              <w:rPr>
                <w:lang w:eastAsia="en-AU"/>
              </w:rPr>
            </w:pPr>
            <w:r w:rsidRPr="00572E7A">
              <w:t>38.0</w:t>
            </w:r>
          </w:p>
        </w:tc>
      </w:tr>
      <w:tr w:rsidR="00FA7EBF" w:rsidRPr="007939DD" w14:paraId="2F32901A" w14:textId="77777777" w:rsidTr="007B207C">
        <w:tc>
          <w:tcPr>
            <w:tcW w:w="7371" w:type="dxa"/>
            <w:tcBorders>
              <w:top w:val="single" w:sz="4" w:space="0" w:color="A6A6A6"/>
              <w:bottom w:val="single" w:sz="4" w:space="0" w:color="A6A6A6"/>
            </w:tcBorders>
            <w:noWrap/>
            <w:hideMark/>
          </w:tcPr>
          <w:p w14:paraId="481D4EEC" w14:textId="77777777" w:rsidR="00FA7EBF" w:rsidRPr="007939DD" w:rsidRDefault="00FA7EBF" w:rsidP="007B207C">
            <w:pPr>
              <w:pStyle w:val="ARfintablebody"/>
              <w:rPr>
                <w:lang w:eastAsia="en-AU"/>
              </w:rPr>
            </w:pPr>
            <w:r w:rsidRPr="00572E7A">
              <w:t>Australian Community Support Organisation</w:t>
            </w:r>
          </w:p>
        </w:tc>
        <w:tc>
          <w:tcPr>
            <w:tcW w:w="1134" w:type="dxa"/>
            <w:tcBorders>
              <w:top w:val="single" w:sz="4" w:space="0" w:color="A6A6A6"/>
              <w:bottom w:val="single" w:sz="4" w:space="0" w:color="A6A6A6"/>
            </w:tcBorders>
            <w:shd w:val="clear" w:color="auto" w:fill="E7E6E6"/>
            <w:noWrap/>
            <w:hideMark/>
          </w:tcPr>
          <w:p w14:paraId="2769857C" w14:textId="77777777" w:rsidR="00FA7EBF" w:rsidRPr="007939DD" w:rsidRDefault="00FA7EBF" w:rsidP="007B207C">
            <w:pPr>
              <w:pStyle w:val="ARfintablebodyright"/>
              <w:rPr>
                <w:lang w:eastAsia="en-AU"/>
              </w:rPr>
            </w:pPr>
            <w:r w:rsidRPr="00572E7A">
              <w:t>31.8</w:t>
            </w:r>
          </w:p>
        </w:tc>
        <w:tc>
          <w:tcPr>
            <w:tcW w:w="1134" w:type="dxa"/>
            <w:tcBorders>
              <w:top w:val="single" w:sz="4" w:space="0" w:color="A6A6A6"/>
              <w:bottom w:val="single" w:sz="4" w:space="0" w:color="A6A6A6"/>
            </w:tcBorders>
            <w:noWrap/>
            <w:hideMark/>
          </w:tcPr>
          <w:p w14:paraId="1632A00B" w14:textId="77777777" w:rsidR="00FA7EBF" w:rsidRPr="007939DD" w:rsidRDefault="00FA7EBF" w:rsidP="007B207C">
            <w:pPr>
              <w:pStyle w:val="ARfintablebodyright"/>
              <w:rPr>
                <w:lang w:eastAsia="en-AU"/>
              </w:rPr>
            </w:pPr>
            <w:r w:rsidRPr="00572E7A">
              <w:t>30.7</w:t>
            </w:r>
          </w:p>
        </w:tc>
      </w:tr>
      <w:tr w:rsidR="00FA7EBF" w:rsidRPr="007939DD" w14:paraId="0CC73AEC" w14:textId="77777777" w:rsidTr="007B207C">
        <w:tc>
          <w:tcPr>
            <w:tcW w:w="7371" w:type="dxa"/>
            <w:tcBorders>
              <w:top w:val="single" w:sz="4" w:space="0" w:color="A6A6A6"/>
              <w:bottom w:val="single" w:sz="4" w:space="0" w:color="A6A6A6"/>
            </w:tcBorders>
            <w:noWrap/>
            <w:hideMark/>
          </w:tcPr>
          <w:p w14:paraId="41CF0193" w14:textId="77777777" w:rsidR="00FA7EBF" w:rsidRPr="007939DD" w:rsidRDefault="00FA7EBF" w:rsidP="007B207C">
            <w:pPr>
              <w:pStyle w:val="ARfintablebody"/>
              <w:rPr>
                <w:lang w:eastAsia="en-AU"/>
              </w:rPr>
            </w:pPr>
            <w:r w:rsidRPr="00572E7A">
              <w:t>Client/Assistance Payments</w:t>
            </w:r>
          </w:p>
        </w:tc>
        <w:tc>
          <w:tcPr>
            <w:tcW w:w="1134" w:type="dxa"/>
            <w:tcBorders>
              <w:top w:val="single" w:sz="4" w:space="0" w:color="A6A6A6"/>
              <w:bottom w:val="single" w:sz="4" w:space="0" w:color="A6A6A6"/>
            </w:tcBorders>
            <w:shd w:val="clear" w:color="auto" w:fill="E7E6E6"/>
            <w:noWrap/>
            <w:hideMark/>
          </w:tcPr>
          <w:p w14:paraId="3D7C2CDC" w14:textId="77777777" w:rsidR="00FA7EBF" w:rsidRPr="007939DD" w:rsidRDefault="00FA7EBF" w:rsidP="007B207C">
            <w:pPr>
              <w:pStyle w:val="ARfintablebodyright"/>
              <w:rPr>
                <w:lang w:eastAsia="en-AU"/>
              </w:rPr>
            </w:pPr>
            <w:r w:rsidRPr="00572E7A">
              <w:t>722.6</w:t>
            </w:r>
          </w:p>
        </w:tc>
        <w:tc>
          <w:tcPr>
            <w:tcW w:w="1134" w:type="dxa"/>
            <w:tcBorders>
              <w:top w:val="single" w:sz="4" w:space="0" w:color="A6A6A6"/>
              <w:bottom w:val="single" w:sz="4" w:space="0" w:color="A6A6A6"/>
            </w:tcBorders>
            <w:noWrap/>
            <w:hideMark/>
          </w:tcPr>
          <w:p w14:paraId="5FD1C032" w14:textId="77777777" w:rsidR="00FA7EBF" w:rsidRPr="007939DD" w:rsidRDefault="00FA7EBF" w:rsidP="007B207C">
            <w:pPr>
              <w:pStyle w:val="ARfintablebodyright"/>
              <w:rPr>
                <w:lang w:eastAsia="en-AU"/>
              </w:rPr>
            </w:pPr>
            <w:r w:rsidRPr="00572E7A">
              <w:t>708.7</w:t>
            </w:r>
          </w:p>
        </w:tc>
      </w:tr>
      <w:tr w:rsidR="00FA7EBF" w:rsidRPr="007939DD" w14:paraId="52EF5877" w14:textId="77777777" w:rsidTr="007B207C">
        <w:tc>
          <w:tcPr>
            <w:tcW w:w="7371" w:type="dxa"/>
            <w:tcBorders>
              <w:top w:val="single" w:sz="4" w:space="0" w:color="A6A6A6"/>
            </w:tcBorders>
            <w:noWrap/>
            <w:hideMark/>
          </w:tcPr>
          <w:p w14:paraId="522C33C5" w14:textId="77777777" w:rsidR="00FA7EBF" w:rsidRPr="007939DD" w:rsidRDefault="00FA7EBF" w:rsidP="007B207C">
            <w:pPr>
              <w:pStyle w:val="ARfintablebody"/>
              <w:rPr>
                <w:lang w:eastAsia="en-AU"/>
              </w:rPr>
            </w:pPr>
            <w:r w:rsidRPr="00572E7A">
              <w:t>Other non-government agencies with payments totalling less than $30 million</w:t>
            </w:r>
          </w:p>
        </w:tc>
        <w:tc>
          <w:tcPr>
            <w:tcW w:w="1134" w:type="dxa"/>
            <w:tcBorders>
              <w:top w:val="single" w:sz="4" w:space="0" w:color="A6A6A6"/>
            </w:tcBorders>
            <w:shd w:val="clear" w:color="auto" w:fill="E7E6E6"/>
            <w:noWrap/>
            <w:hideMark/>
          </w:tcPr>
          <w:p w14:paraId="04CAE3B6" w14:textId="77777777" w:rsidR="00FA7EBF" w:rsidRPr="007939DD" w:rsidRDefault="00FA7EBF" w:rsidP="007B207C">
            <w:pPr>
              <w:pStyle w:val="ARfintablebodyright"/>
              <w:rPr>
                <w:lang w:eastAsia="en-AU"/>
              </w:rPr>
            </w:pPr>
            <w:r w:rsidRPr="00572E7A">
              <w:t>3,016.5</w:t>
            </w:r>
          </w:p>
        </w:tc>
        <w:tc>
          <w:tcPr>
            <w:tcW w:w="1134" w:type="dxa"/>
            <w:tcBorders>
              <w:top w:val="single" w:sz="4" w:space="0" w:color="A6A6A6"/>
            </w:tcBorders>
            <w:noWrap/>
            <w:hideMark/>
          </w:tcPr>
          <w:p w14:paraId="768E7A1B" w14:textId="77777777" w:rsidR="00FA7EBF" w:rsidRPr="007939DD" w:rsidRDefault="00FA7EBF" w:rsidP="007B207C">
            <w:pPr>
              <w:pStyle w:val="ARfintablebodyright"/>
              <w:rPr>
                <w:lang w:eastAsia="en-AU"/>
              </w:rPr>
            </w:pPr>
            <w:r w:rsidRPr="00572E7A">
              <w:t>2,708.9</w:t>
            </w:r>
          </w:p>
        </w:tc>
      </w:tr>
      <w:tr w:rsidR="00FA7EBF" w:rsidRPr="007939DD" w14:paraId="4741531E" w14:textId="77777777" w:rsidTr="007B207C">
        <w:tc>
          <w:tcPr>
            <w:tcW w:w="7371" w:type="dxa"/>
            <w:noWrap/>
            <w:hideMark/>
          </w:tcPr>
          <w:p w14:paraId="4321B468" w14:textId="77777777" w:rsidR="00FA7EBF" w:rsidRPr="007939DD" w:rsidRDefault="00FA7EBF" w:rsidP="007B207C">
            <w:pPr>
              <w:pStyle w:val="ARfintablebody"/>
              <w:rPr>
                <w:lang w:eastAsia="en-AU"/>
              </w:rPr>
            </w:pPr>
          </w:p>
        </w:tc>
        <w:tc>
          <w:tcPr>
            <w:tcW w:w="1134" w:type="dxa"/>
            <w:shd w:val="clear" w:color="auto" w:fill="E7E6E6"/>
            <w:noWrap/>
            <w:hideMark/>
          </w:tcPr>
          <w:p w14:paraId="7F12D830" w14:textId="77777777" w:rsidR="00FA7EBF" w:rsidRPr="007939DD" w:rsidRDefault="00FA7EBF" w:rsidP="007B207C">
            <w:pPr>
              <w:pStyle w:val="ARfintablebodyrightbold"/>
              <w:rPr>
                <w:lang w:eastAsia="en-AU"/>
              </w:rPr>
            </w:pPr>
            <w:r w:rsidRPr="00572E7A">
              <w:t>4,620.4</w:t>
            </w:r>
          </w:p>
        </w:tc>
        <w:tc>
          <w:tcPr>
            <w:tcW w:w="1134" w:type="dxa"/>
            <w:noWrap/>
            <w:hideMark/>
          </w:tcPr>
          <w:p w14:paraId="10FCA48C" w14:textId="77777777" w:rsidR="00FA7EBF" w:rsidRPr="007939DD" w:rsidRDefault="00FA7EBF" w:rsidP="007B207C">
            <w:pPr>
              <w:pStyle w:val="ARfintablebodyrightbold"/>
              <w:rPr>
                <w:rStyle w:val="Strong"/>
                <w:bCs w:val="0"/>
              </w:rPr>
            </w:pPr>
            <w:r w:rsidRPr="00572E7A">
              <w:t>4,283.1</w:t>
            </w:r>
          </w:p>
        </w:tc>
      </w:tr>
      <w:tr w:rsidR="00FA7EBF" w:rsidRPr="007939DD" w14:paraId="60C88390" w14:textId="77777777" w:rsidTr="007B207C">
        <w:tc>
          <w:tcPr>
            <w:tcW w:w="7371" w:type="dxa"/>
            <w:noWrap/>
            <w:hideMark/>
          </w:tcPr>
          <w:p w14:paraId="301E91F2" w14:textId="77777777" w:rsidR="00FA7EBF" w:rsidRPr="007939DD" w:rsidRDefault="00FA7EBF" w:rsidP="007B207C">
            <w:pPr>
              <w:pStyle w:val="ARfintablebodybold"/>
              <w:rPr>
                <w:lang w:eastAsia="en-AU"/>
              </w:rPr>
            </w:pPr>
            <w:r w:rsidRPr="00572E7A">
              <w:t>Total grants and other expense transfers</w:t>
            </w:r>
          </w:p>
        </w:tc>
        <w:tc>
          <w:tcPr>
            <w:tcW w:w="1134" w:type="dxa"/>
            <w:shd w:val="clear" w:color="auto" w:fill="E7E6E6"/>
            <w:noWrap/>
            <w:hideMark/>
          </w:tcPr>
          <w:p w14:paraId="1FD1C7E8" w14:textId="77777777" w:rsidR="00FA7EBF" w:rsidRPr="007939DD" w:rsidRDefault="00FA7EBF" w:rsidP="007B207C">
            <w:pPr>
              <w:pStyle w:val="ARfintablebodyrightbold"/>
              <w:rPr>
                <w:lang w:eastAsia="en-AU"/>
              </w:rPr>
            </w:pPr>
            <w:r w:rsidRPr="00572E7A">
              <w:t>15,131.5</w:t>
            </w:r>
          </w:p>
        </w:tc>
        <w:tc>
          <w:tcPr>
            <w:tcW w:w="1134" w:type="dxa"/>
            <w:noWrap/>
            <w:hideMark/>
          </w:tcPr>
          <w:p w14:paraId="4DEEE4B3" w14:textId="77777777" w:rsidR="00FA7EBF" w:rsidRPr="007939DD" w:rsidRDefault="00FA7EBF" w:rsidP="007B207C">
            <w:pPr>
              <w:pStyle w:val="ARfintablebodyrightbold"/>
              <w:rPr>
                <w:rStyle w:val="Strong"/>
                <w:bCs w:val="0"/>
              </w:rPr>
            </w:pPr>
            <w:r w:rsidRPr="00572E7A">
              <w:t>13,905.6</w:t>
            </w:r>
          </w:p>
        </w:tc>
      </w:tr>
    </w:tbl>
    <w:p w14:paraId="076C11AB" w14:textId="77777777" w:rsidR="00FA7EBF" w:rsidRDefault="00FA7EBF" w:rsidP="00CA66FD">
      <w:pPr>
        <w:pStyle w:val="ARfinbodyaftertable"/>
      </w:pPr>
      <w:r w:rsidRPr="00194D78">
        <w:t xml:space="preserve">Transactions in which the department provides goods, services, assets (or extinguishes a liability) or labour to another party without receiving approximately equal value in return are categorised as </w:t>
      </w:r>
      <w:r>
        <w:t>‘</w:t>
      </w:r>
      <w:r w:rsidRPr="00194D78">
        <w:t>Grant and other expense transfers</w:t>
      </w:r>
      <w:r>
        <w:t>’</w:t>
      </w:r>
      <w:r w:rsidRPr="00194D78">
        <w:t>. Grants can either be operating or capital in nature.</w:t>
      </w:r>
    </w:p>
    <w:p w14:paraId="57EE853E" w14:textId="77777777" w:rsidR="00FA7EBF" w:rsidRDefault="00FA7EBF" w:rsidP="00CA66FD">
      <w:pPr>
        <w:pStyle w:val="ARfinbody"/>
      </w:pPr>
      <w:r w:rsidRPr="00194D78">
        <w:t>Grants and other transfers to third parties (other than contribution to owners) are recognised as an expense in the reporting period in which they are paid or payable. They include transactions such as grants, subsidies and other transfer payments to public and denominational hospitals, other state government agencies, local councils and non-government agencies and individuals and the state contribution to the National Health Funding Pool.</w:t>
      </w:r>
    </w:p>
    <w:p w14:paraId="747A773C" w14:textId="77777777" w:rsidR="00FA7EBF" w:rsidRPr="00194D78" w:rsidRDefault="00FA7EBF" w:rsidP="00CA66FD">
      <w:pPr>
        <w:pStyle w:val="ARfinbody"/>
      </w:pPr>
      <w:r w:rsidRPr="00194D78">
        <w:t>State funds in the National Health Funding Pool are paid to health agencies for Activity Based Funding initiatives. There are, however, a range of grant payments that remain out of scope for National Health Reform, such as aged care subsidies, home and community care payments and community</w:t>
      </w:r>
      <w:r>
        <w:t>-</w:t>
      </w:r>
      <w:r w:rsidRPr="00194D78">
        <w:t>based drug and alcohol services that continue to be paid directly to health agencies.</w:t>
      </w:r>
    </w:p>
    <w:p w14:paraId="193D1F3A" w14:textId="77777777" w:rsidR="00FA7EBF" w:rsidRPr="00100DAD" w:rsidRDefault="00FA7EBF" w:rsidP="00CA66FD">
      <w:pPr>
        <w:pStyle w:val="ARfinbody"/>
      </w:pPr>
      <w:r w:rsidRPr="00100DAD">
        <w:br w:type="page"/>
      </w:r>
    </w:p>
    <w:p w14:paraId="58E3B33C" w14:textId="77777777" w:rsidR="00FA7EBF" w:rsidRDefault="00FA7EBF" w:rsidP="00CA66FD">
      <w:pPr>
        <w:pStyle w:val="Heading5"/>
        <w:rPr>
          <w:lang w:eastAsia="en-AU"/>
        </w:rPr>
      </w:pPr>
      <w:r w:rsidRPr="00194D78">
        <w:rPr>
          <w:lang w:eastAsia="en-AU"/>
        </w:rPr>
        <w:t>3.1.3 Capital asset charge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6E913D03" w14:textId="77777777" w:rsidTr="007B207C">
        <w:trPr>
          <w:cantSplit/>
          <w:tblHeader/>
        </w:trPr>
        <w:tc>
          <w:tcPr>
            <w:tcW w:w="7371" w:type="dxa"/>
            <w:vAlign w:val="bottom"/>
          </w:tcPr>
          <w:p w14:paraId="325FE35C" w14:textId="77777777" w:rsidR="00FA7EBF" w:rsidRPr="007939DD" w:rsidRDefault="00FA7EBF" w:rsidP="007B207C">
            <w:pPr>
              <w:pStyle w:val="ARfintablecolhead"/>
            </w:pPr>
          </w:p>
        </w:tc>
        <w:tc>
          <w:tcPr>
            <w:tcW w:w="1134" w:type="dxa"/>
            <w:shd w:val="clear" w:color="auto" w:fill="E7E6E6"/>
            <w:vAlign w:val="bottom"/>
          </w:tcPr>
          <w:p w14:paraId="23A1FCBE" w14:textId="77777777" w:rsidR="00FA7EBF" w:rsidRPr="007939DD" w:rsidRDefault="00FA7EBF" w:rsidP="007B207C">
            <w:pPr>
              <w:pStyle w:val="ARfintablecolheadright"/>
            </w:pPr>
            <w:r w:rsidRPr="007939DD">
              <w:t>201</w:t>
            </w:r>
            <w:r>
              <w:t>9</w:t>
            </w:r>
          </w:p>
          <w:p w14:paraId="1869C0F8" w14:textId="77777777" w:rsidR="00FA7EBF" w:rsidRPr="007939DD" w:rsidRDefault="00FA7EBF" w:rsidP="007B207C">
            <w:pPr>
              <w:pStyle w:val="ARfintablecolheadright"/>
            </w:pPr>
            <w:r w:rsidRPr="007939DD">
              <w:t>$M</w:t>
            </w:r>
          </w:p>
        </w:tc>
        <w:tc>
          <w:tcPr>
            <w:tcW w:w="1134" w:type="dxa"/>
            <w:vAlign w:val="bottom"/>
          </w:tcPr>
          <w:p w14:paraId="2C1CA98F" w14:textId="77777777" w:rsidR="00FA7EBF" w:rsidRPr="007939DD" w:rsidRDefault="00FA7EBF" w:rsidP="007B207C">
            <w:pPr>
              <w:pStyle w:val="ARfintablecolheadright"/>
            </w:pPr>
            <w:r w:rsidRPr="007939DD">
              <w:t>201</w:t>
            </w:r>
            <w:r>
              <w:t>8</w:t>
            </w:r>
          </w:p>
          <w:p w14:paraId="62A1A704" w14:textId="77777777" w:rsidR="00FA7EBF" w:rsidRPr="007939DD" w:rsidRDefault="00FA7EBF" w:rsidP="007B207C">
            <w:pPr>
              <w:pStyle w:val="ARfintablecolheadright"/>
            </w:pPr>
            <w:r w:rsidRPr="007939DD">
              <w:t>$M</w:t>
            </w:r>
          </w:p>
        </w:tc>
      </w:tr>
      <w:tr w:rsidR="00FA7EBF" w:rsidRPr="007939DD" w14:paraId="5C77245D" w14:textId="77777777" w:rsidTr="007B207C">
        <w:trPr>
          <w:cantSplit/>
        </w:trPr>
        <w:tc>
          <w:tcPr>
            <w:tcW w:w="7371" w:type="dxa"/>
          </w:tcPr>
          <w:p w14:paraId="54DE7FE5" w14:textId="77777777" w:rsidR="00FA7EBF" w:rsidRPr="007939DD" w:rsidRDefault="00FA7EBF" w:rsidP="007B207C">
            <w:pPr>
              <w:pStyle w:val="ARfintablebody"/>
              <w:rPr>
                <w:lang w:eastAsia="en-AU"/>
              </w:rPr>
            </w:pPr>
            <w:r w:rsidRPr="005D7139">
              <w:t>Capital asset charge</w:t>
            </w:r>
          </w:p>
        </w:tc>
        <w:tc>
          <w:tcPr>
            <w:tcW w:w="1134" w:type="dxa"/>
            <w:shd w:val="clear" w:color="auto" w:fill="E7E6E6"/>
          </w:tcPr>
          <w:p w14:paraId="76DD4BEE" w14:textId="77777777" w:rsidR="00FA7EBF" w:rsidRPr="007939DD" w:rsidRDefault="00FA7EBF" w:rsidP="007B207C">
            <w:pPr>
              <w:pStyle w:val="ARfintablebodyright"/>
              <w:rPr>
                <w:lang w:eastAsia="en-AU"/>
              </w:rPr>
            </w:pPr>
            <w:r w:rsidRPr="005D7139">
              <w:t>1,266.0</w:t>
            </w:r>
          </w:p>
        </w:tc>
        <w:tc>
          <w:tcPr>
            <w:tcW w:w="1134" w:type="dxa"/>
          </w:tcPr>
          <w:p w14:paraId="22B6DE34" w14:textId="77777777" w:rsidR="00FA7EBF" w:rsidRPr="007939DD" w:rsidRDefault="00FA7EBF" w:rsidP="007B207C">
            <w:pPr>
              <w:pStyle w:val="ARfintablebodyright"/>
              <w:rPr>
                <w:lang w:eastAsia="en-AU"/>
              </w:rPr>
            </w:pPr>
            <w:r w:rsidRPr="005D7139">
              <w:t>1,201.4</w:t>
            </w:r>
          </w:p>
        </w:tc>
      </w:tr>
    </w:tbl>
    <w:p w14:paraId="61BAFBD2" w14:textId="77777777" w:rsidR="00FA7EBF" w:rsidRPr="00194D78" w:rsidRDefault="00FA7EBF" w:rsidP="00CA66FD">
      <w:pPr>
        <w:pStyle w:val="ARfinbodyaftertable"/>
      </w:pPr>
      <w:r w:rsidRPr="00194D78">
        <w:t xml:space="preserve">A </w:t>
      </w:r>
      <w:r w:rsidRPr="00181119">
        <w:rPr>
          <w:rStyle w:val="Strong"/>
          <w:bCs w:val="0"/>
        </w:rPr>
        <w:t>capital asset charge</w:t>
      </w:r>
      <w:r w:rsidRPr="00194D78">
        <w:rPr>
          <w:b/>
          <w:bCs/>
        </w:rPr>
        <w:t xml:space="preserve"> </w:t>
      </w:r>
      <w:r w:rsidRPr="00194D78">
        <w:t>is a charge levied on the written down value of controlled non-current physical assets in a department</w:t>
      </w:r>
      <w:r>
        <w:t>’</w:t>
      </w:r>
      <w:r w:rsidRPr="00194D78">
        <w:t>s balance sheet. It aims to attribute to the department outputs, a cost of capital used in service delivery. Imposing this charge provides incentives for the department to identify and dispose of underutilised or surplus non-current physical assets.</w:t>
      </w:r>
    </w:p>
    <w:p w14:paraId="5D5B80AD" w14:textId="77777777" w:rsidR="00FA7EBF" w:rsidRPr="00194D78" w:rsidRDefault="00FA7EBF" w:rsidP="00CA66FD">
      <w:pPr>
        <w:pStyle w:val="ARfinbody"/>
      </w:pPr>
      <w:r w:rsidRPr="00194D78">
        <w:t>The capital asset charge is calculated on the budgeted carrying amount of applicable non-financial physical assets.</w:t>
      </w:r>
    </w:p>
    <w:p w14:paraId="1A646170" w14:textId="77777777" w:rsidR="00FA7EBF" w:rsidRDefault="00FA7EBF" w:rsidP="00CA66FD">
      <w:pPr>
        <w:pStyle w:val="Heading5"/>
        <w:rPr>
          <w:lang w:eastAsia="en-AU"/>
        </w:rPr>
      </w:pPr>
      <w:r w:rsidRPr="00194D78">
        <w:rPr>
          <w:lang w:eastAsia="en-AU"/>
        </w:rPr>
        <w:t>3.1.4 Fair value of assets and services provided free of charge or for nominal consideration</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566CE6A6" w14:textId="77777777" w:rsidTr="007B207C">
        <w:trPr>
          <w:cantSplit/>
          <w:tblHeader/>
        </w:trPr>
        <w:tc>
          <w:tcPr>
            <w:tcW w:w="7371" w:type="dxa"/>
            <w:vAlign w:val="bottom"/>
          </w:tcPr>
          <w:p w14:paraId="17FAD171" w14:textId="77777777" w:rsidR="00FA7EBF" w:rsidRPr="007939DD" w:rsidRDefault="00FA7EBF" w:rsidP="007B207C">
            <w:pPr>
              <w:pStyle w:val="ARfintablecolhead"/>
            </w:pPr>
          </w:p>
        </w:tc>
        <w:tc>
          <w:tcPr>
            <w:tcW w:w="1134" w:type="dxa"/>
            <w:shd w:val="clear" w:color="auto" w:fill="E7E6E6"/>
            <w:vAlign w:val="bottom"/>
          </w:tcPr>
          <w:p w14:paraId="0C41A808" w14:textId="77777777" w:rsidR="00FA7EBF" w:rsidRPr="007939DD" w:rsidRDefault="00FA7EBF" w:rsidP="007B207C">
            <w:pPr>
              <w:pStyle w:val="ARfintablecolheadright"/>
            </w:pPr>
            <w:r w:rsidRPr="007939DD">
              <w:t>201</w:t>
            </w:r>
            <w:r>
              <w:t>9</w:t>
            </w:r>
          </w:p>
          <w:p w14:paraId="4DD7F56D" w14:textId="77777777" w:rsidR="00FA7EBF" w:rsidRPr="007939DD" w:rsidRDefault="00FA7EBF" w:rsidP="007B207C">
            <w:pPr>
              <w:pStyle w:val="ARfintablecolheadright"/>
            </w:pPr>
            <w:r w:rsidRPr="007939DD">
              <w:t>$M</w:t>
            </w:r>
          </w:p>
        </w:tc>
        <w:tc>
          <w:tcPr>
            <w:tcW w:w="1134" w:type="dxa"/>
            <w:vAlign w:val="bottom"/>
          </w:tcPr>
          <w:p w14:paraId="70EF2B1D" w14:textId="77777777" w:rsidR="00FA7EBF" w:rsidRPr="007939DD" w:rsidRDefault="00FA7EBF" w:rsidP="007B207C">
            <w:pPr>
              <w:pStyle w:val="ARfintablecolheadright"/>
            </w:pPr>
            <w:r w:rsidRPr="007939DD">
              <w:t>201</w:t>
            </w:r>
            <w:r>
              <w:t>8</w:t>
            </w:r>
          </w:p>
          <w:p w14:paraId="2255F38B" w14:textId="77777777" w:rsidR="00FA7EBF" w:rsidRPr="007939DD" w:rsidRDefault="00FA7EBF" w:rsidP="007B207C">
            <w:pPr>
              <w:pStyle w:val="ARfintablecolheadright"/>
            </w:pPr>
            <w:r w:rsidRPr="007939DD">
              <w:t>$M</w:t>
            </w:r>
          </w:p>
        </w:tc>
      </w:tr>
      <w:tr w:rsidR="00FA7EBF" w:rsidRPr="007939DD" w14:paraId="58994F96" w14:textId="77777777" w:rsidTr="007B207C">
        <w:trPr>
          <w:cantSplit/>
        </w:trPr>
        <w:tc>
          <w:tcPr>
            <w:tcW w:w="7371" w:type="dxa"/>
            <w:tcBorders>
              <w:bottom w:val="single" w:sz="4" w:space="0" w:color="A6A6A6" w:themeColor="background1" w:themeShade="A6"/>
            </w:tcBorders>
          </w:tcPr>
          <w:p w14:paraId="2AD94F43" w14:textId="77777777" w:rsidR="00FA7EBF" w:rsidRPr="007939DD" w:rsidRDefault="00FA7EBF" w:rsidP="007B207C">
            <w:pPr>
              <w:pStyle w:val="ARfintablebody"/>
              <w:rPr>
                <w:lang w:eastAsia="en-AU"/>
              </w:rPr>
            </w:pPr>
            <w:r w:rsidRPr="00FC5A52">
              <w:t xml:space="preserve">Land at fair value </w:t>
            </w:r>
            <w:r w:rsidRPr="00201B40">
              <w:rPr>
                <w:rStyle w:val="Superscript"/>
              </w:rPr>
              <w:t>(i)</w:t>
            </w:r>
          </w:p>
        </w:tc>
        <w:tc>
          <w:tcPr>
            <w:tcW w:w="1134" w:type="dxa"/>
            <w:tcBorders>
              <w:bottom w:val="single" w:sz="4" w:space="0" w:color="A6A6A6" w:themeColor="background1" w:themeShade="A6"/>
            </w:tcBorders>
            <w:shd w:val="clear" w:color="auto" w:fill="E7E6E6"/>
          </w:tcPr>
          <w:p w14:paraId="6DC298D3" w14:textId="77777777" w:rsidR="00FA7EBF" w:rsidRPr="007939DD" w:rsidRDefault="00FA7EBF" w:rsidP="007B207C">
            <w:pPr>
              <w:pStyle w:val="ARfintablebodyright"/>
              <w:rPr>
                <w:lang w:eastAsia="en-AU"/>
              </w:rPr>
            </w:pPr>
            <w:r w:rsidRPr="00FC5A52">
              <w:t>58.6</w:t>
            </w:r>
          </w:p>
        </w:tc>
        <w:tc>
          <w:tcPr>
            <w:tcW w:w="1134" w:type="dxa"/>
            <w:tcBorders>
              <w:bottom w:val="single" w:sz="4" w:space="0" w:color="A6A6A6" w:themeColor="background1" w:themeShade="A6"/>
            </w:tcBorders>
          </w:tcPr>
          <w:p w14:paraId="5D6DCE89" w14:textId="77777777" w:rsidR="00FA7EBF" w:rsidRPr="007939DD" w:rsidRDefault="00FA7EBF" w:rsidP="007B207C">
            <w:pPr>
              <w:pStyle w:val="ARfintablebodyright"/>
              <w:rPr>
                <w:lang w:eastAsia="en-AU"/>
              </w:rPr>
            </w:pPr>
            <w:r w:rsidRPr="00FC5A52">
              <w:t>36.6</w:t>
            </w:r>
          </w:p>
        </w:tc>
      </w:tr>
      <w:tr w:rsidR="00FA7EBF" w:rsidRPr="007939DD" w14:paraId="4557AF23"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0C8F03F7" w14:textId="77777777" w:rsidR="00FA7EBF" w:rsidRPr="007939DD" w:rsidRDefault="00FA7EBF" w:rsidP="007B207C">
            <w:pPr>
              <w:pStyle w:val="ARfintablebody"/>
              <w:rPr>
                <w:lang w:eastAsia="en-AU"/>
              </w:rPr>
            </w:pPr>
            <w:r w:rsidRPr="00FC5A52">
              <w:t xml:space="preserve">Buildings at fair value </w:t>
            </w:r>
            <w:r w:rsidRPr="00201B40">
              <w:rPr>
                <w:rStyle w:val="Superscript"/>
              </w:rPr>
              <w:t>(ii)</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597BF5E" w14:textId="77777777" w:rsidR="00FA7EBF" w:rsidRPr="007939DD" w:rsidRDefault="00FA7EBF" w:rsidP="007B207C">
            <w:pPr>
              <w:pStyle w:val="ARfintablebodyright"/>
              <w:rPr>
                <w:lang w:eastAsia="en-AU"/>
              </w:rPr>
            </w:pPr>
            <w:r w:rsidRPr="00FC5A52">
              <w:t>57.6</w:t>
            </w:r>
          </w:p>
        </w:tc>
        <w:tc>
          <w:tcPr>
            <w:tcW w:w="1134" w:type="dxa"/>
            <w:tcBorders>
              <w:top w:val="single" w:sz="4" w:space="0" w:color="A6A6A6" w:themeColor="background1" w:themeShade="A6"/>
              <w:bottom w:val="single" w:sz="4" w:space="0" w:color="A6A6A6" w:themeColor="background1" w:themeShade="A6"/>
            </w:tcBorders>
          </w:tcPr>
          <w:p w14:paraId="09957289" w14:textId="77777777" w:rsidR="00FA7EBF" w:rsidRPr="007939DD" w:rsidRDefault="00FA7EBF" w:rsidP="007B207C">
            <w:pPr>
              <w:pStyle w:val="ARfintablebodyright"/>
              <w:rPr>
                <w:lang w:eastAsia="en-AU"/>
              </w:rPr>
            </w:pPr>
            <w:r w:rsidRPr="00FC5A52">
              <w:t>55.8</w:t>
            </w:r>
          </w:p>
        </w:tc>
      </w:tr>
      <w:tr w:rsidR="00FA7EBF" w:rsidRPr="007939DD" w14:paraId="1AAD9CD7" w14:textId="77777777" w:rsidTr="007B207C">
        <w:trPr>
          <w:cantSplit/>
        </w:trPr>
        <w:tc>
          <w:tcPr>
            <w:tcW w:w="7371" w:type="dxa"/>
            <w:tcBorders>
              <w:top w:val="single" w:sz="4" w:space="0" w:color="A6A6A6" w:themeColor="background1" w:themeShade="A6"/>
            </w:tcBorders>
          </w:tcPr>
          <w:p w14:paraId="4FE6A27D" w14:textId="77777777" w:rsidR="00FA7EBF" w:rsidRPr="007939DD" w:rsidRDefault="00FA7EBF" w:rsidP="007B207C">
            <w:pPr>
              <w:pStyle w:val="ARfintablebody"/>
              <w:rPr>
                <w:lang w:eastAsia="en-AU"/>
              </w:rPr>
            </w:pPr>
            <w:r w:rsidRPr="00FC5A52">
              <w:t xml:space="preserve">Resources </w:t>
            </w:r>
            <w:r>
              <w:t>provided</w:t>
            </w:r>
            <w:r w:rsidRPr="00FC5A52">
              <w:t xml:space="preserve"> free of charge</w:t>
            </w:r>
          </w:p>
        </w:tc>
        <w:tc>
          <w:tcPr>
            <w:tcW w:w="1134" w:type="dxa"/>
            <w:tcBorders>
              <w:top w:val="single" w:sz="4" w:space="0" w:color="A6A6A6" w:themeColor="background1" w:themeShade="A6"/>
            </w:tcBorders>
            <w:shd w:val="clear" w:color="auto" w:fill="E7E6E6"/>
          </w:tcPr>
          <w:p w14:paraId="5DF467E8" w14:textId="77777777" w:rsidR="00FA7EBF" w:rsidRPr="007939DD" w:rsidRDefault="00FA7EBF" w:rsidP="007B207C">
            <w:pPr>
              <w:pStyle w:val="ARfintablebodyright"/>
              <w:rPr>
                <w:lang w:eastAsia="en-AU"/>
              </w:rPr>
            </w:pPr>
            <w:r w:rsidRPr="00FC5A52">
              <w:t>5.1</w:t>
            </w:r>
          </w:p>
        </w:tc>
        <w:tc>
          <w:tcPr>
            <w:tcW w:w="1134" w:type="dxa"/>
            <w:tcBorders>
              <w:top w:val="single" w:sz="4" w:space="0" w:color="A6A6A6" w:themeColor="background1" w:themeShade="A6"/>
            </w:tcBorders>
          </w:tcPr>
          <w:p w14:paraId="0443089A" w14:textId="77777777" w:rsidR="00FA7EBF" w:rsidRPr="007939DD" w:rsidRDefault="00FA7EBF" w:rsidP="007B207C">
            <w:pPr>
              <w:pStyle w:val="ARfintablebodyright"/>
              <w:rPr>
                <w:lang w:eastAsia="en-AU"/>
              </w:rPr>
            </w:pPr>
            <w:r w:rsidRPr="00FC5A52">
              <w:t>1.3</w:t>
            </w:r>
          </w:p>
        </w:tc>
      </w:tr>
      <w:tr w:rsidR="00FA7EBF" w:rsidRPr="007939DD" w14:paraId="2164565C" w14:textId="77777777" w:rsidTr="007B207C">
        <w:trPr>
          <w:cantSplit/>
        </w:trPr>
        <w:tc>
          <w:tcPr>
            <w:tcW w:w="7371" w:type="dxa"/>
          </w:tcPr>
          <w:p w14:paraId="1166B3FB" w14:textId="77777777" w:rsidR="00FA7EBF" w:rsidRPr="007939DD" w:rsidRDefault="00FA7EBF" w:rsidP="007B207C">
            <w:pPr>
              <w:pStyle w:val="ARfintablebodybold"/>
              <w:rPr>
                <w:lang w:eastAsia="en-AU"/>
              </w:rPr>
            </w:pPr>
            <w:r w:rsidRPr="00FC5A52">
              <w:t>Total fair value of assets provided free of charge or for nominal consideration</w:t>
            </w:r>
          </w:p>
        </w:tc>
        <w:tc>
          <w:tcPr>
            <w:tcW w:w="1134" w:type="dxa"/>
            <w:shd w:val="clear" w:color="auto" w:fill="E7E6E6"/>
          </w:tcPr>
          <w:p w14:paraId="2C136FCA" w14:textId="77777777" w:rsidR="00FA7EBF" w:rsidRPr="007939DD" w:rsidRDefault="00FA7EBF" w:rsidP="007B207C">
            <w:pPr>
              <w:pStyle w:val="ARfintablebodyrightbold"/>
              <w:rPr>
                <w:lang w:eastAsia="en-AU"/>
              </w:rPr>
            </w:pPr>
            <w:r w:rsidRPr="00FC5A52">
              <w:t>121.3</w:t>
            </w:r>
          </w:p>
        </w:tc>
        <w:tc>
          <w:tcPr>
            <w:tcW w:w="1134" w:type="dxa"/>
          </w:tcPr>
          <w:p w14:paraId="00B4566D" w14:textId="77777777" w:rsidR="00FA7EBF" w:rsidRPr="007939DD" w:rsidRDefault="00FA7EBF" w:rsidP="007B207C">
            <w:pPr>
              <w:pStyle w:val="ARfintablebodyrightbold"/>
              <w:rPr>
                <w:rStyle w:val="Strong"/>
                <w:bCs w:val="0"/>
              </w:rPr>
            </w:pPr>
            <w:r w:rsidRPr="00FC5A52">
              <w:t>93.7</w:t>
            </w:r>
          </w:p>
        </w:tc>
      </w:tr>
    </w:tbl>
    <w:p w14:paraId="2151DB32" w14:textId="77777777" w:rsidR="00FA7EBF" w:rsidRPr="00194D78" w:rsidRDefault="00FA7EBF" w:rsidP="00CA66FD">
      <w:pPr>
        <w:pStyle w:val="ARfintablefootnote"/>
        <w:rPr>
          <w:lang w:eastAsia="en-AU"/>
        </w:rPr>
      </w:pPr>
      <w:r w:rsidRPr="00194D78">
        <w:rPr>
          <w:lang w:eastAsia="en-AU"/>
        </w:rPr>
        <w:t>Note</w:t>
      </w:r>
      <w:r>
        <w:rPr>
          <w:lang w:eastAsia="en-AU"/>
        </w:rPr>
        <w:t>s</w:t>
      </w:r>
      <w:r w:rsidRPr="00194D78">
        <w:rPr>
          <w:lang w:eastAsia="en-AU"/>
        </w:rPr>
        <w:t>:</w:t>
      </w:r>
    </w:p>
    <w:p w14:paraId="5C52CEFD" w14:textId="77777777" w:rsidR="00FA7EBF" w:rsidRPr="00194D78" w:rsidRDefault="00FA7EBF" w:rsidP="00CA66FD">
      <w:pPr>
        <w:pStyle w:val="ARfintablefootnoteindent"/>
      </w:pPr>
      <w:r w:rsidRPr="00194D78">
        <w:t>(i)</w:t>
      </w:r>
      <w:r>
        <w:tab/>
        <w:t>F</w:t>
      </w:r>
      <w:r w:rsidRPr="00194D78">
        <w:t>igures includes the transfer of Director of Housing owned land of $58.5 million in 2019 (2018: $36.6 million) to Aboriginal Housing Victoria.</w:t>
      </w:r>
    </w:p>
    <w:p w14:paraId="6FDB9C7B" w14:textId="77777777" w:rsidR="00FA7EBF" w:rsidRPr="00194D78" w:rsidRDefault="00FA7EBF" w:rsidP="00CA66FD">
      <w:pPr>
        <w:pStyle w:val="ARfintablefootnoteindent"/>
      </w:pPr>
      <w:r w:rsidRPr="00194D78">
        <w:t>(ii)</w:t>
      </w:r>
      <w:r>
        <w:tab/>
        <w:t>F</w:t>
      </w:r>
      <w:r w:rsidRPr="00194D78">
        <w:t>igures includes the transfer of Director of Housing owned buildings of $57.6 million in 2019 (2018: $55.7 million) to Aboriginal Housing Victoria.</w:t>
      </w:r>
    </w:p>
    <w:p w14:paraId="570F17AA" w14:textId="77777777" w:rsidR="00FA7EBF" w:rsidRPr="00194D78" w:rsidRDefault="00FA7EBF" w:rsidP="00CA66FD">
      <w:pPr>
        <w:pStyle w:val="ARfinbodyaftertable"/>
      </w:pPr>
      <w:r w:rsidRPr="00181119">
        <w:rPr>
          <w:rStyle w:val="Strong"/>
          <w:bCs w:val="0"/>
        </w:rPr>
        <w:t>Contributions of resources provided free of charge or for nominal consideration</w:t>
      </w:r>
      <w:r w:rsidRPr="00194D78">
        <w:t xml:space="preserve"> are recognised at their fair value when the recipient obtains control over the resources, irrespective of whether restrictions or conditions are imposed over the use of the contributions. The exception to this would be when the resource is received from another government department (or agency) as a consequence of a restructuring of administrative arrangements, in which case such a transfer will be recognised at its carrying value in the transferring department or agency.</w:t>
      </w:r>
    </w:p>
    <w:p w14:paraId="790BADB2" w14:textId="77777777" w:rsidR="00FA7EBF" w:rsidRDefault="00FA7EBF" w:rsidP="00CA66FD">
      <w:pPr>
        <w:pStyle w:val="ARfinbody"/>
      </w:pPr>
      <w:r w:rsidRPr="00194D78">
        <w:t>Contributions in the form of services are only recognised when a fair value can be reliably determined and the services would have been purchased if not donated.</w:t>
      </w:r>
    </w:p>
    <w:p w14:paraId="501376CE" w14:textId="77777777" w:rsidR="00FA7EBF" w:rsidRDefault="00FA7EBF" w:rsidP="00CA66FD">
      <w:pPr>
        <w:pStyle w:val="Heading5"/>
        <w:rPr>
          <w:lang w:eastAsia="en-AU"/>
        </w:rPr>
      </w:pPr>
      <w:r w:rsidRPr="00194D78">
        <w:rPr>
          <w:lang w:eastAsia="en-AU"/>
        </w:rPr>
        <w:t>3.1.5 Other operating expenses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3C5721B1" w14:textId="77777777" w:rsidTr="007B207C">
        <w:trPr>
          <w:cantSplit/>
          <w:tblHeader/>
        </w:trPr>
        <w:tc>
          <w:tcPr>
            <w:tcW w:w="7371" w:type="dxa"/>
            <w:vAlign w:val="bottom"/>
          </w:tcPr>
          <w:p w14:paraId="15C1A178" w14:textId="77777777" w:rsidR="00FA7EBF" w:rsidRPr="007939DD" w:rsidRDefault="00FA7EBF" w:rsidP="007B207C">
            <w:pPr>
              <w:pStyle w:val="ARfintablecolhead"/>
            </w:pPr>
          </w:p>
        </w:tc>
        <w:tc>
          <w:tcPr>
            <w:tcW w:w="1134" w:type="dxa"/>
            <w:shd w:val="clear" w:color="auto" w:fill="E7E6E6"/>
            <w:vAlign w:val="bottom"/>
          </w:tcPr>
          <w:p w14:paraId="405C29E6" w14:textId="77777777" w:rsidR="00FA7EBF" w:rsidRPr="007939DD" w:rsidRDefault="00FA7EBF" w:rsidP="007B207C">
            <w:pPr>
              <w:pStyle w:val="ARfintablecolheadright"/>
            </w:pPr>
            <w:r w:rsidRPr="007939DD">
              <w:t>201</w:t>
            </w:r>
            <w:r>
              <w:t>9</w:t>
            </w:r>
          </w:p>
          <w:p w14:paraId="2AC023F7" w14:textId="77777777" w:rsidR="00FA7EBF" w:rsidRPr="007939DD" w:rsidRDefault="00FA7EBF" w:rsidP="007B207C">
            <w:pPr>
              <w:pStyle w:val="ARfintablecolheadright"/>
            </w:pPr>
            <w:r w:rsidRPr="007939DD">
              <w:t>$M</w:t>
            </w:r>
          </w:p>
        </w:tc>
        <w:tc>
          <w:tcPr>
            <w:tcW w:w="1134" w:type="dxa"/>
            <w:vAlign w:val="bottom"/>
          </w:tcPr>
          <w:p w14:paraId="2830722E" w14:textId="77777777" w:rsidR="00FA7EBF" w:rsidRPr="007939DD" w:rsidRDefault="00FA7EBF" w:rsidP="007B207C">
            <w:pPr>
              <w:pStyle w:val="ARfintablecolheadright"/>
            </w:pPr>
            <w:r w:rsidRPr="007939DD">
              <w:t>201</w:t>
            </w:r>
            <w:r>
              <w:t>8</w:t>
            </w:r>
          </w:p>
          <w:p w14:paraId="65991212" w14:textId="77777777" w:rsidR="00FA7EBF" w:rsidRPr="007939DD" w:rsidRDefault="00FA7EBF" w:rsidP="007B207C">
            <w:pPr>
              <w:pStyle w:val="ARfintablecolheadright"/>
            </w:pPr>
            <w:r w:rsidRPr="007939DD">
              <w:t>$M</w:t>
            </w:r>
          </w:p>
        </w:tc>
      </w:tr>
      <w:tr w:rsidR="00FA7EBF" w:rsidRPr="007939DD" w14:paraId="6AEDA39B" w14:textId="77777777" w:rsidTr="007B207C">
        <w:trPr>
          <w:cantSplit/>
        </w:trPr>
        <w:tc>
          <w:tcPr>
            <w:tcW w:w="7371" w:type="dxa"/>
            <w:tcBorders>
              <w:bottom w:val="single" w:sz="4" w:space="0" w:color="A6A6A6" w:themeColor="background1" w:themeShade="A6"/>
            </w:tcBorders>
          </w:tcPr>
          <w:p w14:paraId="75B46561" w14:textId="77777777" w:rsidR="00FA7EBF" w:rsidRPr="007939DD" w:rsidRDefault="00FA7EBF" w:rsidP="007B207C">
            <w:pPr>
              <w:pStyle w:val="ARfintablebody"/>
              <w:rPr>
                <w:lang w:eastAsia="en-AU"/>
              </w:rPr>
            </w:pPr>
            <w:r w:rsidRPr="00A33913">
              <w:t>Accommodation and property services</w:t>
            </w:r>
          </w:p>
        </w:tc>
        <w:tc>
          <w:tcPr>
            <w:tcW w:w="1134" w:type="dxa"/>
            <w:tcBorders>
              <w:bottom w:val="single" w:sz="4" w:space="0" w:color="A6A6A6" w:themeColor="background1" w:themeShade="A6"/>
            </w:tcBorders>
            <w:shd w:val="clear" w:color="auto" w:fill="E7E6E6"/>
          </w:tcPr>
          <w:p w14:paraId="24A23187" w14:textId="77777777" w:rsidR="00FA7EBF" w:rsidRPr="007939DD" w:rsidRDefault="00FA7EBF" w:rsidP="007B207C">
            <w:pPr>
              <w:pStyle w:val="ARfintablebodyright"/>
              <w:rPr>
                <w:lang w:eastAsia="en-AU"/>
              </w:rPr>
            </w:pPr>
            <w:r w:rsidRPr="00A33913">
              <w:t>87.7</w:t>
            </w:r>
          </w:p>
        </w:tc>
        <w:tc>
          <w:tcPr>
            <w:tcW w:w="1134" w:type="dxa"/>
            <w:tcBorders>
              <w:bottom w:val="single" w:sz="4" w:space="0" w:color="A6A6A6" w:themeColor="background1" w:themeShade="A6"/>
            </w:tcBorders>
          </w:tcPr>
          <w:p w14:paraId="7D52C21C" w14:textId="77777777" w:rsidR="00FA7EBF" w:rsidRPr="007939DD" w:rsidRDefault="00FA7EBF" w:rsidP="007B207C">
            <w:pPr>
              <w:pStyle w:val="ARfintablebodyright"/>
              <w:rPr>
                <w:lang w:eastAsia="en-AU"/>
              </w:rPr>
            </w:pPr>
            <w:r w:rsidRPr="00A33913">
              <w:t>75.9</w:t>
            </w:r>
          </w:p>
        </w:tc>
      </w:tr>
      <w:tr w:rsidR="00FA7EBF" w:rsidRPr="007939DD" w14:paraId="36154533"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39AA5FD4" w14:textId="77777777" w:rsidR="00FA7EBF" w:rsidRPr="007939DD" w:rsidRDefault="00FA7EBF" w:rsidP="007B207C">
            <w:pPr>
              <w:pStyle w:val="ARfintablebody"/>
              <w:rPr>
                <w:lang w:eastAsia="en-AU"/>
              </w:rPr>
            </w:pPr>
            <w:r w:rsidRPr="00A33913">
              <w:t>Administrative costs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82B1EDB" w14:textId="77777777" w:rsidR="00FA7EBF" w:rsidRPr="007939DD" w:rsidRDefault="00FA7EBF" w:rsidP="007B207C">
            <w:pPr>
              <w:pStyle w:val="ARfintablebodyright"/>
              <w:rPr>
                <w:lang w:eastAsia="en-AU"/>
              </w:rPr>
            </w:pPr>
            <w:r w:rsidRPr="00A33913">
              <w:t>270.7</w:t>
            </w:r>
          </w:p>
        </w:tc>
        <w:tc>
          <w:tcPr>
            <w:tcW w:w="1134" w:type="dxa"/>
            <w:tcBorders>
              <w:top w:val="single" w:sz="4" w:space="0" w:color="A6A6A6" w:themeColor="background1" w:themeShade="A6"/>
              <w:bottom w:val="single" w:sz="4" w:space="0" w:color="A6A6A6" w:themeColor="background1" w:themeShade="A6"/>
            </w:tcBorders>
          </w:tcPr>
          <w:p w14:paraId="094BA568" w14:textId="77777777" w:rsidR="00FA7EBF" w:rsidRPr="007939DD" w:rsidRDefault="00FA7EBF" w:rsidP="007B207C">
            <w:pPr>
              <w:pStyle w:val="ARfintablebodyright"/>
              <w:rPr>
                <w:lang w:eastAsia="en-AU"/>
              </w:rPr>
            </w:pPr>
            <w:r w:rsidRPr="00A33913">
              <w:t>271.8</w:t>
            </w:r>
          </w:p>
        </w:tc>
      </w:tr>
      <w:tr w:rsidR="00FA7EBF" w:rsidRPr="007939DD" w14:paraId="33144075"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690C74C4" w14:textId="77777777" w:rsidR="00FA7EBF" w:rsidRPr="007939DD" w:rsidRDefault="00FA7EBF" w:rsidP="007B207C">
            <w:pPr>
              <w:pStyle w:val="ARfintablebody"/>
              <w:rPr>
                <w:lang w:eastAsia="en-AU"/>
              </w:rPr>
            </w:pPr>
            <w:r w:rsidRPr="00A33913">
              <w:t>Information, communications and technology costs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DE868BC" w14:textId="77777777" w:rsidR="00FA7EBF" w:rsidRPr="007939DD" w:rsidRDefault="00FA7EBF" w:rsidP="007B207C">
            <w:pPr>
              <w:pStyle w:val="ARfintablebodyright"/>
              <w:rPr>
                <w:lang w:eastAsia="en-AU"/>
              </w:rPr>
            </w:pPr>
            <w:r w:rsidRPr="00A33913">
              <w:t>176.6</w:t>
            </w:r>
          </w:p>
        </w:tc>
        <w:tc>
          <w:tcPr>
            <w:tcW w:w="1134" w:type="dxa"/>
            <w:tcBorders>
              <w:top w:val="single" w:sz="4" w:space="0" w:color="A6A6A6" w:themeColor="background1" w:themeShade="A6"/>
              <w:bottom w:val="single" w:sz="4" w:space="0" w:color="A6A6A6" w:themeColor="background1" w:themeShade="A6"/>
            </w:tcBorders>
          </w:tcPr>
          <w:p w14:paraId="7806AC7D" w14:textId="77777777" w:rsidR="00FA7EBF" w:rsidRPr="007939DD" w:rsidRDefault="00FA7EBF" w:rsidP="007B207C">
            <w:pPr>
              <w:pStyle w:val="ARfintablebodyright"/>
              <w:rPr>
                <w:lang w:eastAsia="en-AU"/>
              </w:rPr>
            </w:pPr>
            <w:r w:rsidRPr="00A33913">
              <w:t>148.5</w:t>
            </w:r>
          </w:p>
        </w:tc>
      </w:tr>
      <w:tr w:rsidR="00FA7EBF" w:rsidRPr="007939DD" w14:paraId="01C5769F"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AF98486" w14:textId="77777777" w:rsidR="00FA7EBF" w:rsidRPr="007939DD" w:rsidRDefault="00FA7EBF" w:rsidP="007B207C">
            <w:pPr>
              <w:pStyle w:val="ARfintablebody"/>
              <w:rPr>
                <w:lang w:eastAsia="en-AU"/>
              </w:rPr>
            </w:pPr>
            <w:r w:rsidRPr="00A33913">
              <w:t>Medicines and drugs / pharmacy supplies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15DCF1D" w14:textId="77777777" w:rsidR="00FA7EBF" w:rsidRPr="007939DD" w:rsidRDefault="00FA7EBF" w:rsidP="007B207C">
            <w:pPr>
              <w:pStyle w:val="ARfintablebodyright"/>
              <w:rPr>
                <w:lang w:eastAsia="en-AU"/>
              </w:rPr>
            </w:pPr>
            <w:r w:rsidRPr="00A33913">
              <w:t>10.6</w:t>
            </w:r>
          </w:p>
        </w:tc>
        <w:tc>
          <w:tcPr>
            <w:tcW w:w="1134" w:type="dxa"/>
            <w:tcBorders>
              <w:top w:val="single" w:sz="4" w:space="0" w:color="A6A6A6" w:themeColor="background1" w:themeShade="A6"/>
              <w:bottom w:val="single" w:sz="4" w:space="0" w:color="A6A6A6" w:themeColor="background1" w:themeShade="A6"/>
            </w:tcBorders>
          </w:tcPr>
          <w:p w14:paraId="46DF5B7C" w14:textId="77777777" w:rsidR="00FA7EBF" w:rsidRPr="007939DD" w:rsidRDefault="00FA7EBF" w:rsidP="007B207C">
            <w:pPr>
              <w:pStyle w:val="ARfintablebodyright"/>
              <w:rPr>
                <w:lang w:eastAsia="en-AU"/>
              </w:rPr>
            </w:pPr>
            <w:r w:rsidRPr="00A33913">
              <w:t>13.8</w:t>
            </w:r>
          </w:p>
        </w:tc>
      </w:tr>
      <w:tr w:rsidR="00FA7EBF" w:rsidRPr="007939DD" w14:paraId="7E974786"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0F646BAF" w14:textId="77777777" w:rsidR="00FA7EBF" w:rsidRPr="007939DD" w:rsidRDefault="00FA7EBF" w:rsidP="007B207C">
            <w:pPr>
              <w:pStyle w:val="ARfintablebody"/>
              <w:rPr>
                <w:lang w:eastAsia="en-AU"/>
              </w:rPr>
            </w:pPr>
            <w:r w:rsidRPr="00A33913">
              <w:t>Direct care operating costs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A83DBB7" w14:textId="77777777" w:rsidR="00FA7EBF" w:rsidRPr="007939DD" w:rsidRDefault="00FA7EBF" w:rsidP="007B207C">
            <w:pPr>
              <w:pStyle w:val="ARfintablebodyright"/>
              <w:rPr>
                <w:lang w:eastAsia="en-AU"/>
              </w:rPr>
            </w:pPr>
            <w:r w:rsidRPr="00A33913">
              <w:t>65.6</w:t>
            </w:r>
          </w:p>
        </w:tc>
        <w:tc>
          <w:tcPr>
            <w:tcW w:w="1134" w:type="dxa"/>
            <w:tcBorders>
              <w:top w:val="single" w:sz="4" w:space="0" w:color="A6A6A6" w:themeColor="background1" w:themeShade="A6"/>
              <w:bottom w:val="single" w:sz="4" w:space="0" w:color="A6A6A6" w:themeColor="background1" w:themeShade="A6"/>
            </w:tcBorders>
          </w:tcPr>
          <w:p w14:paraId="4F90BC5E" w14:textId="77777777" w:rsidR="00FA7EBF" w:rsidRPr="007939DD" w:rsidRDefault="00FA7EBF" w:rsidP="007B207C">
            <w:pPr>
              <w:pStyle w:val="ARfintablebodyright"/>
              <w:rPr>
                <w:lang w:eastAsia="en-AU"/>
              </w:rPr>
            </w:pPr>
            <w:r w:rsidRPr="00A33913">
              <w:t>58.3</w:t>
            </w:r>
          </w:p>
        </w:tc>
      </w:tr>
      <w:tr w:rsidR="00FA7EBF" w:rsidRPr="007939DD" w14:paraId="05D0A23A" w14:textId="77777777" w:rsidTr="007B207C">
        <w:trPr>
          <w:cantSplit/>
        </w:trPr>
        <w:tc>
          <w:tcPr>
            <w:tcW w:w="7371" w:type="dxa"/>
          </w:tcPr>
          <w:p w14:paraId="0C9FD6AB" w14:textId="77777777" w:rsidR="00FA7EBF" w:rsidRPr="007939DD" w:rsidRDefault="00FA7EBF" w:rsidP="007B207C">
            <w:pPr>
              <w:pStyle w:val="ARfintablebodybold"/>
              <w:rPr>
                <w:lang w:eastAsia="en-AU"/>
              </w:rPr>
            </w:pPr>
            <w:r w:rsidRPr="00A33913">
              <w:t>Total other operating expenses</w:t>
            </w:r>
          </w:p>
        </w:tc>
        <w:tc>
          <w:tcPr>
            <w:tcW w:w="1134" w:type="dxa"/>
            <w:shd w:val="clear" w:color="auto" w:fill="E7E6E6"/>
          </w:tcPr>
          <w:p w14:paraId="6AFB22AE" w14:textId="77777777" w:rsidR="00FA7EBF" w:rsidRPr="007939DD" w:rsidRDefault="00FA7EBF" w:rsidP="007B207C">
            <w:pPr>
              <w:pStyle w:val="ARfintablebodyrightbold"/>
              <w:rPr>
                <w:lang w:eastAsia="en-AU"/>
              </w:rPr>
            </w:pPr>
            <w:r w:rsidRPr="00A33913">
              <w:t>611.3</w:t>
            </w:r>
          </w:p>
        </w:tc>
        <w:tc>
          <w:tcPr>
            <w:tcW w:w="1134" w:type="dxa"/>
          </w:tcPr>
          <w:p w14:paraId="3F6E4EC5" w14:textId="77777777" w:rsidR="00FA7EBF" w:rsidRPr="007939DD" w:rsidRDefault="00FA7EBF" w:rsidP="007B207C">
            <w:pPr>
              <w:pStyle w:val="ARfintablebodyrightbold"/>
              <w:rPr>
                <w:rStyle w:val="Strong"/>
                <w:bCs w:val="0"/>
              </w:rPr>
            </w:pPr>
            <w:r w:rsidRPr="00A33913">
              <w:t>568.3</w:t>
            </w:r>
          </w:p>
        </w:tc>
      </w:tr>
    </w:tbl>
    <w:p w14:paraId="2FEC4990" w14:textId="77777777" w:rsidR="00FA7EBF" w:rsidRPr="00194D78" w:rsidRDefault="00FA7EBF" w:rsidP="00CA66FD">
      <w:pPr>
        <w:pStyle w:val="ARfinbodyaftertable"/>
      </w:pPr>
      <w:r w:rsidRPr="00B82ED9">
        <w:rPr>
          <w:rStyle w:val="Strong"/>
          <w:bCs w:val="0"/>
        </w:rPr>
        <w:t>Other operating expenses</w:t>
      </w:r>
      <w:r w:rsidRPr="00194D78">
        <w:t xml:space="preserve"> generally represent the day-to-day running costs incurred in normal operations. It also includes bad debts expense from transactions that are mutually agreed.</w:t>
      </w:r>
    </w:p>
    <w:p w14:paraId="16CEDF86" w14:textId="77777777" w:rsidR="00FA7EBF" w:rsidRPr="00194D78" w:rsidRDefault="00FA7EBF" w:rsidP="00CA66FD">
      <w:pPr>
        <w:pStyle w:val="ARfinbody"/>
      </w:pPr>
      <w:r w:rsidRPr="00194D78">
        <w:t>Supplies and services are recognised as an expense in the reporting period in which they are incurred.</w:t>
      </w:r>
    </w:p>
    <w:p w14:paraId="1961D2BA" w14:textId="77777777" w:rsidR="00FA7EBF" w:rsidRDefault="00FA7EBF" w:rsidP="00CA66FD">
      <w:pPr>
        <w:pStyle w:val="Heading5"/>
        <w:rPr>
          <w:lang w:eastAsia="en-AU"/>
        </w:rPr>
      </w:pPr>
      <w:r w:rsidRPr="00194D78">
        <w:rPr>
          <w:lang w:eastAsia="en-AU"/>
        </w:rPr>
        <w:t>3.1.6 Other property management expenses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16682EC1" w14:textId="77777777" w:rsidTr="007B207C">
        <w:trPr>
          <w:cantSplit/>
          <w:tblHeader/>
        </w:trPr>
        <w:tc>
          <w:tcPr>
            <w:tcW w:w="7371" w:type="dxa"/>
            <w:vAlign w:val="bottom"/>
          </w:tcPr>
          <w:p w14:paraId="58DDE224" w14:textId="77777777" w:rsidR="00FA7EBF" w:rsidRPr="007939DD" w:rsidRDefault="00FA7EBF" w:rsidP="007B207C">
            <w:pPr>
              <w:pStyle w:val="ARfintablecolhead"/>
            </w:pPr>
          </w:p>
        </w:tc>
        <w:tc>
          <w:tcPr>
            <w:tcW w:w="1134" w:type="dxa"/>
            <w:shd w:val="clear" w:color="auto" w:fill="E7E6E6"/>
            <w:vAlign w:val="bottom"/>
          </w:tcPr>
          <w:p w14:paraId="53395E3C" w14:textId="77777777" w:rsidR="00FA7EBF" w:rsidRPr="007939DD" w:rsidRDefault="00FA7EBF" w:rsidP="007B207C">
            <w:pPr>
              <w:pStyle w:val="ARfintablecolheadright"/>
            </w:pPr>
            <w:r w:rsidRPr="007939DD">
              <w:t>201</w:t>
            </w:r>
            <w:r>
              <w:t>9</w:t>
            </w:r>
          </w:p>
          <w:p w14:paraId="5AE117DC" w14:textId="77777777" w:rsidR="00FA7EBF" w:rsidRPr="007939DD" w:rsidRDefault="00FA7EBF" w:rsidP="007B207C">
            <w:pPr>
              <w:pStyle w:val="ARfintablecolheadright"/>
            </w:pPr>
            <w:r w:rsidRPr="007939DD">
              <w:t>$M</w:t>
            </w:r>
          </w:p>
        </w:tc>
        <w:tc>
          <w:tcPr>
            <w:tcW w:w="1134" w:type="dxa"/>
            <w:vAlign w:val="bottom"/>
          </w:tcPr>
          <w:p w14:paraId="085D3AA0" w14:textId="77777777" w:rsidR="00FA7EBF" w:rsidRPr="007939DD" w:rsidRDefault="00FA7EBF" w:rsidP="007B207C">
            <w:pPr>
              <w:pStyle w:val="ARfintablecolheadright"/>
            </w:pPr>
            <w:r w:rsidRPr="007939DD">
              <w:t>201</w:t>
            </w:r>
            <w:r>
              <w:t>8</w:t>
            </w:r>
          </w:p>
          <w:p w14:paraId="7B9ECE95" w14:textId="77777777" w:rsidR="00FA7EBF" w:rsidRPr="007939DD" w:rsidRDefault="00FA7EBF" w:rsidP="007B207C">
            <w:pPr>
              <w:pStyle w:val="ARfintablecolheadright"/>
            </w:pPr>
            <w:r w:rsidRPr="007939DD">
              <w:t>$M</w:t>
            </w:r>
          </w:p>
        </w:tc>
      </w:tr>
      <w:tr w:rsidR="00FA7EBF" w:rsidRPr="007939DD" w14:paraId="4F315458" w14:textId="77777777" w:rsidTr="007B207C">
        <w:trPr>
          <w:cantSplit/>
        </w:trPr>
        <w:tc>
          <w:tcPr>
            <w:tcW w:w="7371" w:type="dxa"/>
            <w:tcBorders>
              <w:bottom w:val="single" w:sz="4" w:space="0" w:color="A6A6A6" w:themeColor="background1" w:themeShade="A6"/>
            </w:tcBorders>
          </w:tcPr>
          <w:p w14:paraId="35D66912" w14:textId="77777777" w:rsidR="00FA7EBF" w:rsidRPr="007939DD" w:rsidRDefault="00FA7EBF" w:rsidP="007B207C">
            <w:pPr>
              <w:pStyle w:val="ARfintablebody"/>
              <w:rPr>
                <w:lang w:eastAsia="en-AU"/>
              </w:rPr>
            </w:pPr>
            <w:r w:rsidRPr="009D402C">
              <w:t>Rates to local authorities</w:t>
            </w:r>
          </w:p>
        </w:tc>
        <w:tc>
          <w:tcPr>
            <w:tcW w:w="1134" w:type="dxa"/>
            <w:tcBorders>
              <w:bottom w:val="single" w:sz="4" w:space="0" w:color="A6A6A6" w:themeColor="background1" w:themeShade="A6"/>
            </w:tcBorders>
            <w:shd w:val="clear" w:color="auto" w:fill="E7E6E6"/>
          </w:tcPr>
          <w:p w14:paraId="7D89B1E6" w14:textId="77777777" w:rsidR="00FA7EBF" w:rsidRPr="007939DD" w:rsidRDefault="00FA7EBF" w:rsidP="007B207C">
            <w:pPr>
              <w:pStyle w:val="ARfintablebodyright"/>
              <w:rPr>
                <w:lang w:eastAsia="en-AU"/>
              </w:rPr>
            </w:pPr>
            <w:r w:rsidRPr="009D402C">
              <w:t>117.6</w:t>
            </w:r>
          </w:p>
        </w:tc>
        <w:tc>
          <w:tcPr>
            <w:tcW w:w="1134" w:type="dxa"/>
            <w:tcBorders>
              <w:bottom w:val="single" w:sz="4" w:space="0" w:color="A6A6A6" w:themeColor="background1" w:themeShade="A6"/>
            </w:tcBorders>
          </w:tcPr>
          <w:p w14:paraId="267AC702" w14:textId="77777777" w:rsidR="00FA7EBF" w:rsidRPr="007939DD" w:rsidRDefault="00FA7EBF" w:rsidP="007B207C">
            <w:pPr>
              <w:pStyle w:val="ARfintablebodyright"/>
              <w:rPr>
                <w:lang w:eastAsia="en-AU"/>
              </w:rPr>
            </w:pPr>
            <w:r w:rsidRPr="009D402C">
              <w:t>116.5</w:t>
            </w:r>
          </w:p>
        </w:tc>
      </w:tr>
      <w:tr w:rsidR="00FA7EBF" w:rsidRPr="007939DD" w14:paraId="25FB432C"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327D8BC9" w14:textId="77777777" w:rsidR="00FA7EBF" w:rsidRPr="007939DD" w:rsidRDefault="00FA7EBF" w:rsidP="007B207C">
            <w:pPr>
              <w:pStyle w:val="ARfintablebody"/>
              <w:rPr>
                <w:lang w:eastAsia="en-AU"/>
              </w:rPr>
            </w:pPr>
            <w:r w:rsidRPr="009D402C">
              <w:t>Rental property lease expenses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568735E" w14:textId="77777777" w:rsidR="00FA7EBF" w:rsidRPr="007939DD" w:rsidRDefault="00FA7EBF" w:rsidP="007B207C">
            <w:pPr>
              <w:pStyle w:val="ARfintablebodyright"/>
              <w:rPr>
                <w:lang w:eastAsia="en-AU"/>
              </w:rPr>
            </w:pPr>
            <w:r w:rsidRPr="009D402C">
              <w:t>16.9</w:t>
            </w:r>
          </w:p>
        </w:tc>
        <w:tc>
          <w:tcPr>
            <w:tcW w:w="1134" w:type="dxa"/>
            <w:tcBorders>
              <w:top w:val="single" w:sz="4" w:space="0" w:color="A6A6A6" w:themeColor="background1" w:themeShade="A6"/>
              <w:bottom w:val="single" w:sz="4" w:space="0" w:color="A6A6A6" w:themeColor="background1" w:themeShade="A6"/>
            </w:tcBorders>
          </w:tcPr>
          <w:p w14:paraId="631E8C5A" w14:textId="77777777" w:rsidR="00FA7EBF" w:rsidRPr="007939DD" w:rsidRDefault="00FA7EBF" w:rsidP="007B207C">
            <w:pPr>
              <w:pStyle w:val="ARfintablebodyright"/>
              <w:rPr>
                <w:lang w:eastAsia="en-AU"/>
              </w:rPr>
            </w:pPr>
            <w:r w:rsidRPr="009D402C">
              <w:t>11.7</w:t>
            </w:r>
          </w:p>
        </w:tc>
      </w:tr>
      <w:tr w:rsidR="00FA7EBF" w:rsidRPr="007939DD" w14:paraId="60D87376" w14:textId="77777777" w:rsidTr="007B207C">
        <w:trPr>
          <w:cantSplit/>
        </w:trPr>
        <w:tc>
          <w:tcPr>
            <w:tcW w:w="7371" w:type="dxa"/>
            <w:tcBorders>
              <w:top w:val="single" w:sz="4" w:space="0" w:color="A6A6A6" w:themeColor="background1" w:themeShade="A6"/>
            </w:tcBorders>
          </w:tcPr>
          <w:p w14:paraId="334CA6BB" w14:textId="77777777" w:rsidR="00FA7EBF" w:rsidRPr="007939DD" w:rsidRDefault="00FA7EBF" w:rsidP="007B207C">
            <w:pPr>
              <w:pStyle w:val="ARfintablebody"/>
              <w:rPr>
                <w:lang w:eastAsia="en-AU"/>
              </w:rPr>
            </w:pPr>
            <w:r w:rsidRPr="009D402C">
              <w:t>Tenant utilities and other expenses</w:t>
            </w:r>
          </w:p>
        </w:tc>
        <w:tc>
          <w:tcPr>
            <w:tcW w:w="1134" w:type="dxa"/>
            <w:tcBorders>
              <w:top w:val="single" w:sz="4" w:space="0" w:color="A6A6A6" w:themeColor="background1" w:themeShade="A6"/>
            </w:tcBorders>
            <w:shd w:val="clear" w:color="auto" w:fill="E7E6E6"/>
          </w:tcPr>
          <w:p w14:paraId="1EA5332B" w14:textId="77777777" w:rsidR="00FA7EBF" w:rsidRPr="007939DD" w:rsidRDefault="00FA7EBF" w:rsidP="007B207C">
            <w:pPr>
              <w:pStyle w:val="ARfintablebodyright"/>
              <w:rPr>
                <w:lang w:eastAsia="en-AU"/>
              </w:rPr>
            </w:pPr>
            <w:r w:rsidRPr="009D402C">
              <w:t>74.5</w:t>
            </w:r>
          </w:p>
        </w:tc>
        <w:tc>
          <w:tcPr>
            <w:tcW w:w="1134" w:type="dxa"/>
            <w:tcBorders>
              <w:top w:val="single" w:sz="4" w:space="0" w:color="A6A6A6" w:themeColor="background1" w:themeShade="A6"/>
            </w:tcBorders>
          </w:tcPr>
          <w:p w14:paraId="42A8CD4A" w14:textId="77777777" w:rsidR="00FA7EBF" w:rsidRPr="007939DD" w:rsidRDefault="00FA7EBF" w:rsidP="007B207C">
            <w:pPr>
              <w:pStyle w:val="ARfintablebodyright"/>
              <w:rPr>
                <w:lang w:eastAsia="en-AU"/>
              </w:rPr>
            </w:pPr>
            <w:r w:rsidRPr="009D402C">
              <w:t>65.0</w:t>
            </w:r>
          </w:p>
        </w:tc>
      </w:tr>
      <w:tr w:rsidR="00FA7EBF" w:rsidRPr="007939DD" w14:paraId="0CDC4B94" w14:textId="77777777" w:rsidTr="007B207C">
        <w:trPr>
          <w:cantSplit/>
        </w:trPr>
        <w:tc>
          <w:tcPr>
            <w:tcW w:w="7371" w:type="dxa"/>
          </w:tcPr>
          <w:p w14:paraId="6AD25F10" w14:textId="77777777" w:rsidR="00FA7EBF" w:rsidRPr="007939DD" w:rsidRDefault="00FA7EBF" w:rsidP="007B207C">
            <w:pPr>
              <w:pStyle w:val="ARfintablebodybold"/>
              <w:rPr>
                <w:rStyle w:val="Strong"/>
                <w:bCs/>
              </w:rPr>
            </w:pPr>
            <w:r w:rsidRPr="009D402C">
              <w:t>Total other property management expenses</w:t>
            </w:r>
          </w:p>
        </w:tc>
        <w:tc>
          <w:tcPr>
            <w:tcW w:w="1134" w:type="dxa"/>
            <w:shd w:val="clear" w:color="auto" w:fill="E7E6E6"/>
          </w:tcPr>
          <w:p w14:paraId="2395E9EA" w14:textId="77777777" w:rsidR="00FA7EBF" w:rsidRPr="007939DD" w:rsidRDefault="00FA7EBF" w:rsidP="007B207C">
            <w:pPr>
              <w:pStyle w:val="ARfintablebodyrightbold"/>
              <w:rPr>
                <w:lang w:eastAsia="en-AU"/>
              </w:rPr>
            </w:pPr>
            <w:r w:rsidRPr="009D402C">
              <w:t>209.1</w:t>
            </w:r>
          </w:p>
        </w:tc>
        <w:tc>
          <w:tcPr>
            <w:tcW w:w="1134" w:type="dxa"/>
          </w:tcPr>
          <w:p w14:paraId="493B8EA6" w14:textId="77777777" w:rsidR="00FA7EBF" w:rsidRPr="007939DD" w:rsidRDefault="00FA7EBF" w:rsidP="007B207C">
            <w:pPr>
              <w:pStyle w:val="ARfintablebodyrightbold"/>
              <w:rPr>
                <w:rStyle w:val="Strong"/>
                <w:bCs w:val="0"/>
              </w:rPr>
            </w:pPr>
            <w:r w:rsidRPr="009D402C">
              <w:t>193.2</w:t>
            </w:r>
          </w:p>
        </w:tc>
      </w:tr>
    </w:tbl>
    <w:p w14:paraId="7A4C1500" w14:textId="77777777" w:rsidR="00FA7EBF" w:rsidRPr="00194D78" w:rsidRDefault="00FA7EBF" w:rsidP="00CA66FD">
      <w:pPr>
        <w:pStyle w:val="ARfinbodyaftertable"/>
      </w:pPr>
      <w:r w:rsidRPr="00B82ED9">
        <w:rPr>
          <w:rStyle w:val="Strong"/>
          <w:bCs w:val="0"/>
        </w:rPr>
        <w:t>Other property management expenses</w:t>
      </w:r>
      <w:r w:rsidRPr="00194D78">
        <w:t xml:space="preserve"> generally includes all costs and incidental expenses associated with the management of properties. The bulk of these expenses are rates and utilities.</w:t>
      </w:r>
    </w:p>
    <w:p w14:paraId="53CE8F98" w14:textId="77777777" w:rsidR="00FA7EBF" w:rsidRPr="00194D78" w:rsidRDefault="00FA7EBF" w:rsidP="00CA66FD">
      <w:pPr>
        <w:pStyle w:val="ARfinbody"/>
      </w:pPr>
      <w:r w:rsidRPr="00194D78">
        <w:t xml:space="preserve">Home finance operating costs </w:t>
      </w:r>
      <w:r>
        <w:t>that</w:t>
      </w:r>
      <w:r w:rsidRPr="00194D78">
        <w:t xml:space="preserve"> were previously reported as a separate line item </w:t>
      </w:r>
      <w:r>
        <w:t>are</w:t>
      </w:r>
      <w:r w:rsidRPr="00194D78">
        <w:t xml:space="preserve"> now included in tenant utilities and other expenses.</w:t>
      </w:r>
    </w:p>
    <w:p w14:paraId="366797F4" w14:textId="77777777" w:rsidR="00FA7EBF" w:rsidRPr="00194D78" w:rsidRDefault="00FA7EBF" w:rsidP="00CA66FD">
      <w:pPr>
        <w:pStyle w:val="ARfinbody"/>
      </w:pPr>
      <w:r w:rsidRPr="00194D78">
        <w:br w:type="page"/>
      </w:r>
    </w:p>
    <w:p w14:paraId="3F3D4E66" w14:textId="77777777" w:rsidR="00FA7EBF" w:rsidRPr="00194D78" w:rsidRDefault="00FA7EBF" w:rsidP="00CA66FD">
      <w:pPr>
        <w:pStyle w:val="Heading3"/>
      </w:pPr>
      <w:bookmarkStart w:id="255" w:name="_Toc17971174"/>
      <w:bookmarkStart w:id="256" w:name="_Toc19795295"/>
      <w:r w:rsidRPr="00194D78">
        <w:t>4. Disaggregated financial information by output</w:t>
      </w:r>
      <w:bookmarkEnd w:id="255"/>
      <w:bookmarkEnd w:id="256"/>
    </w:p>
    <w:p w14:paraId="2DF561F8" w14:textId="77777777" w:rsidR="00FA7EBF" w:rsidRPr="00194D78" w:rsidRDefault="00FA7EBF" w:rsidP="00CA66FD">
      <w:pPr>
        <w:pStyle w:val="Heading4"/>
        <w:rPr>
          <w:lang w:eastAsia="en-AU"/>
        </w:rPr>
      </w:pPr>
      <w:r w:rsidRPr="00194D78">
        <w:rPr>
          <w:lang w:eastAsia="en-AU"/>
        </w:rPr>
        <w:t>Introduction</w:t>
      </w:r>
    </w:p>
    <w:p w14:paraId="39BC2270" w14:textId="77777777" w:rsidR="00FA7EBF" w:rsidRPr="00194D78" w:rsidRDefault="00FA7EBF" w:rsidP="00CA66FD">
      <w:pPr>
        <w:pStyle w:val="ARfinbody"/>
      </w:pPr>
      <w:r w:rsidRPr="00194D78">
        <w:t xml:space="preserve">The Department of Health and Human Services is predominantly funded by accrual-based parliamentary appropriations for the provision of outputs. This section provides a description of the departmental outputs delivered during the year ended 30 June </w:t>
      </w:r>
      <w:r>
        <w:t>2019</w:t>
      </w:r>
      <w:r w:rsidRPr="00194D78">
        <w:t xml:space="preserve"> along with the objectives of those outputs.</w:t>
      </w:r>
    </w:p>
    <w:p w14:paraId="0181F723" w14:textId="77777777" w:rsidR="00FA7EBF" w:rsidRPr="00194D78" w:rsidRDefault="00FA7EBF" w:rsidP="00CA66FD">
      <w:pPr>
        <w:pStyle w:val="ARfinbody"/>
      </w:pPr>
      <w:r w:rsidRPr="00194D78">
        <w:t xml:space="preserve">This section disaggregates revenue and expenses that enables the delivery of services (described in </w:t>
      </w:r>
      <w:r>
        <w:t>s</w:t>
      </w:r>
      <w:r w:rsidRPr="00194D78">
        <w:t>ection 2</w:t>
      </w:r>
      <w:r>
        <w:t xml:space="preserve"> ‘Funding delivery of our services’</w:t>
      </w:r>
      <w:r w:rsidRPr="00194D78">
        <w:t xml:space="preserve">) by output and records the allocation of expenses incurred (described in </w:t>
      </w:r>
      <w:r>
        <w:t>s</w:t>
      </w:r>
      <w:r w:rsidRPr="00194D78">
        <w:t>ection 3</w:t>
      </w:r>
      <w:r>
        <w:t xml:space="preserve"> ‘The cost of delivering services’</w:t>
      </w:r>
      <w:r w:rsidRPr="00194D78">
        <w:t>) also by output, which form part of controlled balances of the department.</w:t>
      </w:r>
    </w:p>
    <w:p w14:paraId="71F2A206" w14:textId="77777777" w:rsidR="00FA7EBF" w:rsidRDefault="00FA7EBF" w:rsidP="00CA66FD">
      <w:pPr>
        <w:pStyle w:val="ARfinbody"/>
      </w:pPr>
      <w:r w:rsidRPr="00194D78">
        <w:t>It also provides information on items administered in connection with these outputs.</w:t>
      </w:r>
    </w:p>
    <w:p w14:paraId="043EB5BF" w14:textId="77777777" w:rsidR="00FA7EBF" w:rsidRPr="00194D78" w:rsidRDefault="00FA7EBF" w:rsidP="00CA66FD">
      <w:pPr>
        <w:pStyle w:val="ARfinbody"/>
      </w:pPr>
      <w:r w:rsidRPr="00194D78">
        <w:t>Judgement is required in allocating income and expenditure to specific outputs. For the period under review there were no amounts unallocated.</w:t>
      </w:r>
    </w:p>
    <w:p w14:paraId="74CF1F40" w14:textId="77777777" w:rsidR="00FA7EBF" w:rsidRPr="00194D78" w:rsidRDefault="00FA7EBF" w:rsidP="00CA66FD">
      <w:pPr>
        <w:pStyle w:val="ARfinbody"/>
      </w:pPr>
      <w:r w:rsidRPr="00194D78">
        <w:t>The distinction between controlled and administered items is drawn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financial statements.</w:t>
      </w:r>
    </w:p>
    <w:p w14:paraId="48EEC34D" w14:textId="77777777" w:rsidR="00FA7EBF" w:rsidRPr="00194D78" w:rsidRDefault="00FA7EBF" w:rsidP="00CA66FD">
      <w:pPr>
        <w:pStyle w:val="Heading4"/>
        <w:rPr>
          <w:lang w:eastAsia="en-AU"/>
        </w:rPr>
      </w:pPr>
      <w:r w:rsidRPr="00194D78">
        <w:rPr>
          <w:lang w:eastAsia="en-AU"/>
        </w:rPr>
        <w:t>Structure</w:t>
      </w:r>
    </w:p>
    <w:p w14:paraId="0AC72DED" w14:textId="77777777" w:rsidR="00FA7EBF" w:rsidRDefault="00FA7EBF" w:rsidP="00CA66FD">
      <w:pPr>
        <w:pStyle w:val="ARfinstructure1"/>
      </w:pPr>
      <w:r w:rsidRPr="00194D78">
        <w:t>4.1</w:t>
      </w:r>
      <w:r>
        <w:tab/>
      </w:r>
      <w:r w:rsidRPr="00194D78">
        <w:t>Departmental outputs</w:t>
      </w:r>
    </w:p>
    <w:p w14:paraId="1639A57B" w14:textId="77777777" w:rsidR="00FA7EBF" w:rsidRDefault="00FA7EBF" w:rsidP="00CA66FD">
      <w:pPr>
        <w:pStyle w:val="ARfinstructure2"/>
      </w:pPr>
      <w:r w:rsidRPr="00194D78">
        <w:t>4.1.1</w:t>
      </w:r>
      <w:r>
        <w:tab/>
      </w:r>
      <w:r w:rsidRPr="00194D78">
        <w:t>Descriptions and objectives</w:t>
      </w:r>
    </w:p>
    <w:p w14:paraId="3C8E24FE" w14:textId="77777777" w:rsidR="00FA7EBF" w:rsidRPr="00194D78" w:rsidRDefault="00FA7EBF" w:rsidP="00CA66FD">
      <w:pPr>
        <w:pStyle w:val="ARfinstructure2"/>
      </w:pPr>
      <w:r w:rsidRPr="00194D78">
        <w:t>4.1.2</w:t>
      </w:r>
      <w:r>
        <w:tab/>
      </w:r>
      <w:r w:rsidRPr="00194D78">
        <w:t>Controlled income and expenses</w:t>
      </w:r>
    </w:p>
    <w:p w14:paraId="342DFECA" w14:textId="77777777" w:rsidR="00FA7EBF" w:rsidRDefault="00FA7EBF" w:rsidP="00CA66FD">
      <w:pPr>
        <w:pStyle w:val="ARfinstructure1"/>
      </w:pPr>
      <w:r w:rsidRPr="00194D78">
        <w:t>4.2</w:t>
      </w:r>
      <w:r>
        <w:tab/>
      </w:r>
      <w:r w:rsidRPr="00194D78">
        <w:t>Administered (non-controlled) items</w:t>
      </w:r>
    </w:p>
    <w:p w14:paraId="63944F0B" w14:textId="77777777" w:rsidR="00FA7EBF" w:rsidRDefault="00FA7EBF" w:rsidP="00CA66FD">
      <w:pPr>
        <w:pStyle w:val="ARfinstructure2"/>
      </w:pPr>
      <w:r w:rsidRPr="00194D78">
        <w:t>4.2.1</w:t>
      </w:r>
      <w:r>
        <w:tab/>
      </w:r>
      <w:r w:rsidRPr="00194D78">
        <w:t>Administered income and expenses</w:t>
      </w:r>
    </w:p>
    <w:p w14:paraId="4BA933A9" w14:textId="77777777" w:rsidR="00FA7EBF" w:rsidRPr="00194D78" w:rsidRDefault="00FA7EBF" w:rsidP="00CA66FD">
      <w:pPr>
        <w:pStyle w:val="ARfinstructure2"/>
      </w:pPr>
      <w:r w:rsidRPr="00194D78">
        <w:t>4.2.2</w:t>
      </w:r>
      <w:r>
        <w:tab/>
      </w:r>
      <w:r w:rsidRPr="00194D78">
        <w:t>Administered assets and liabilities</w:t>
      </w:r>
    </w:p>
    <w:p w14:paraId="352FABFE" w14:textId="77777777" w:rsidR="00FA7EBF" w:rsidRPr="00194D78" w:rsidRDefault="00FA7EBF" w:rsidP="00CA66FD">
      <w:pPr>
        <w:pStyle w:val="ARfinstructure1"/>
        <w:rPr>
          <w:b/>
          <w:bCs/>
        </w:rPr>
      </w:pPr>
      <w:r w:rsidRPr="00194D78">
        <w:t>4.3</w:t>
      </w:r>
      <w:r>
        <w:tab/>
      </w:r>
      <w:r w:rsidRPr="00194D78">
        <w:t>Restructuring of administrative arrangements</w:t>
      </w:r>
    </w:p>
    <w:p w14:paraId="00E601B3" w14:textId="77777777" w:rsidR="00FA7EBF" w:rsidRPr="00194D78" w:rsidRDefault="00FA7EBF" w:rsidP="00CA66FD">
      <w:pPr>
        <w:pStyle w:val="Heading4"/>
        <w:rPr>
          <w:lang w:eastAsia="en-AU"/>
        </w:rPr>
      </w:pPr>
      <w:r w:rsidRPr="00194D78">
        <w:rPr>
          <w:lang w:eastAsia="en-AU"/>
        </w:rPr>
        <w:t>4.1.1 Departmental outputs</w:t>
      </w:r>
    </w:p>
    <w:p w14:paraId="12DBDC03" w14:textId="77777777" w:rsidR="00FA7EBF" w:rsidRPr="00194D78" w:rsidRDefault="00FA7EBF" w:rsidP="00CA66FD">
      <w:pPr>
        <w:pStyle w:val="Heading5"/>
        <w:rPr>
          <w:lang w:eastAsia="en-AU"/>
        </w:rPr>
      </w:pPr>
      <w:r w:rsidRPr="00194D78">
        <w:rPr>
          <w:lang w:eastAsia="en-AU"/>
        </w:rPr>
        <w:t>4.1.1 Departmental outputs</w:t>
      </w:r>
      <w:r>
        <w:rPr>
          <w:lang w:eastAsia="en-AU"/>
        </w:rPr>
        <w:t xml:space="preserve"> – </w:t>
      </w:r>
      <w:r w:rsidRPr="00194D78">
        <w:rPr>
          <w:lang w:eastAsia="en-AU"/>
        </w:rPr>
        <w:t>Descriptions and objectives</w:t>
      </w:r>
    </w:p>
    <w:p w14:paraId="17942A79" w14:textId="77777777" w:rsidR="00FA7EBF" w:rsidRPr="00194D78" w:rsidRDefault="00FA7EBF" w:rsidP="00CA66FD">
      <w:pPr>
        <w:pStyle w:val="Heading6"/>
        <w:rPr>
          <w:lang w:eastAsia="en-AU"/>
        </w:rPr>
      </w:pPr>
      <w:r w:rsidRPr="00194D78">
        <w:rPr>
          <w:lang w:eastAsia="en-AU"/>
        </w:rPr>
        <w:t>Output group 1: Acute Health Services</w:t>
      </w:r>
    </w:p>
    <w:p w14:paraId="2A2E1899" w14:textId="77777777" w:rsidR="00FA7EBF" w:rsidRDefault="00FA7EBF" w:rsidP="00CA66FD">
      <w:pPr>
        <w:pStyle w:val="ARfinbody"/>
      </w:pPr>
      <w:r w:rsidRPr="00194D78">
        <w:t>Acute Health Services outputs include a range of timely and high</w:t>
      </w:r>
      <w:r>
        <w:t>-</w:t>
      </w:r>
      <w:r w:rsidRPr="00194D78">
        <w:t>quality acute hospital inpatient, ambulatory, emergency, community-based and specialist services.</w:t>
      </w:r>
    </w:p>
    <w:p w14:paraId="45725CFE" w14:textId="77777777" w:rsidR="00FA7EBF" w:rsidRPr="00194D78" w:rsidRDefault="00FA7EBF" w:rsidP="00CA66FD">
      <w:pPr>
        <w:pStyle w:val="Heading6"/>
        <w:rPr>
          <w:lang w:eastAsia="en-AU"/>
        </w:rPr>
      </w:pPr>
      <w:r w:rsidRPr="00194D78">
        <w:rPr>
          <w:lang w:eastAsia="en-AU"/>
        </w:rPr>
        <w:t>Output group 2: Ambulance Services</w:t>
      </w:r>
    </w:p>
    <w:p w14:paraId="4F664F55" w14:textId="77777777" w:rsidR="00FA7EBF" w:rsidRPr="00194D78" w:rsidRDefault="00FA7EBF" w:rsidP="00CA66FD">
      <w:pPr>
        <w:pStyle w:val="ARfinbody"/>
      </w:pPr>
      <w:r w:rsidRPr="00194D78">
        <w:t>Ambulance Services outputs include emergency and non-emergency ambulance services.</w:t>
      </w:r>
    </w:p>
    <w:p w14:paraId="22FE43F3" w14:textId="77777777" w:rsidR="00FA7EBF" w:rsidRPr="00194D78" w:rsidRDefault="00FA7EBF" w:rsidP="00CA66FD">
      <w:pPr>
        <w:pStyle w:val="Heading6"/>
        <w:rPr>
          <w:lang w:eastAsia="en-AU"/>
        </w:rPr>
      </w:pPr>
      <w:r w:rsidRPr="00194D78">
        <w:rPr>
          <w:lang w:eastAsia="en-AU"/>
        </w:rPr>
        <w:t>Output group 3: Mental Health</w:t>
      </w:r>
    </w:p>
    <w:p w14:paraId="0F81937A" w14:textId="77777777" w:rsidR="00FA7EBF" w:rsidRPr="00194D78" w:rsidRDefault="00FA7EBF" w:rsidP="00CA66FD">
      <w:pPr>
        <w:pStyle w:val="ARfinbody"/>
      </w:pPr>
      <w:r w:rsidRPr="00194D78">
        <w:t>Mental Health outputs include a range of inpatient, community-based residential and ambulatory services which treat and support people with a mental illness and their families and carers.</w:t>
      </w:r>
    </w:p>
    <w:p w14:paraId="79036CC2" w14:textId="77777777" w:rsidR="00FA7EBF" w:rsidRPr="00194D78" w:rsidRDefault="00FA7EBF" w:rsidP="00CA66FD">
      <w:pPr>
        <w:pStyle w:val="Heading6"/>
        <w:rPr>
          <w:lang w:eastAsia="en-AU"/>
        </w:rPr>
      </w:pPr>
      <w:r w:rsidRPr="00194D78">
        <w:rPr>
          <w:lang w:eastAsia="en-AU"/>
        </w:rPr>
        <w:t>Output group 4: Ageing, Aged and Home Care</w:t>
      </w:r>
    </w:p>
    <w:p w14:paraId="13704C95" w14:textId="77777777" w:rsidR="00FA7EBF" w:rsidRPr="00194D78" w:rsidRDefault="00FA7EBF" w:rsidP="00CA66FD">
      <w:pPr>
        <w:pStyle w:val="ARfinbody"/>
      </w:pPr>
      <w:r w:rsidRPr="00194D78">
        <w:t>Ageing, Aged and Home Care outputs encompass leading and coordinating the whole</w:t>
      </w:r>
      <w:r>
        <w:t>-</w:t>
      </w:r>
      <w:r w:rsidRPr="00194D78">
        <w:t>of</w:t>
      </w:r>
      <w:r>
        <w:t>-</w:t>
      </w:r>
      <w:r w:rsidRPr="00194D78">
        <w:t>government policy on issues affecting our ageing community. It includes a range of in</w:t>
      </w:r>
      <w:r>
        <w:t>-</w:t>
      </w:r>
      <w:r w:rsidRPr="00194D78">
        <w:t>home, specialist geriatric, residential care and community-based programs, such as Home and Community Care (HACC), that are targeted to older people, people with a disability, and their carers.</w:t>
      </w:r>
    </w:p>
    <w:p w14:paraId="5636BE94" w14:textId="77777777" w:rsidR="00FA7EBF" w:rsidRPr="00194D78" w:rsidRDefault="00FA7EBF" w:rsidP="00CA66FD">
      <w:pPr>
        <w:pStyle w:val="Heading6"/>
        <w:rPr>
          <w:lang w:eastAsia="en-AU"/>
        </w:rPr>
      </w:pPr>
      <w:r w:rsidRPr="00194D78">
        <w:rPr>
          <w:lang w:eastAsia="en-AU"/>
        </w:rPr>
        <w:t>Output group 5: Primary, Community and Dental Health</w:t>
      </w:r>
    </w:p>
    <w:p w14:paraId="0D3A146D" w14:textId="77777777" w:rsidR="00FA7EBF" w:rsidRPr="00194D78" w:rsidRDefault="00FA7EBF" w:rsidP="00CA66FD">
      <w:pPr>
        <w:pStyle w:val="ARfinbody"/>
      </w:pPr>
      <w:r w:rsidRPr="00194D78">
        <w:t>Primary, Community and Dental Health outputs include a range of in</w:t>
      </w:r>
      <w:r>
        <w:t>-</w:t>
      </w:r>
      <w:r w:rsidRPr="00194D78">
        <w:t xml:space="preserve">home, community-based </w:t>
      </w:r>
      <w:r>
        <w:t>(</w:t>
      </w:r>
      <w:r w:rsidRPr="00194D78">
        <w:t>including maternal and child health services</w:t>
      </w:r>
      <w:r>
        <w:t>)</w:t>
      </w:r>
      <w:r w:rsidRPr="00194D78">
        <w:t>, community, primary health and dental services designed to promote health and wellbeing and prevent the onset of more serious illnesses.</w:t>
      </w:r>
    </w:p>
    <w:p w14:paraId="082E5937" w14:textId="77777777" w:rsidR="00FA7EBF" w:rsidRPr="00194D78" w:rsidRDefault="00FA7EBF" w:rsidP="00CA66FD">
      <w:pPr>
        <w:pStyle w:val="Heading6"/>
        <w:rPr>
          <w:lang w:eastAsia="en-AU"/>
        </w:rPr>
      </w:pPr>
      <w:r w:rsidRPr="00194D78">
        <w:rPr>
          <w:lang w:eastAsia="en-AU"/>
        </w:rPr>
        <w:t>Output group 6: Small Rural Services</w:t>
      </w:r>
    </w:p>
    <w:p w14:paraId="75214E9F" w14:textId="77777777" w:rsidR="00FA7EBF" w:rsidRPr="00194D78" w:rsidRDefault="00FA7EBF" w:rsidP="00CA66FD">
      <w:pPr>
        <w:pStyle w:val="ARfinbody"/>
      </w:pPr>
      <w:r w:rsidRPr="00194D78">
        <w:t>Small Rural Services includes a range of health and aged care services delivered in small rural towns. The funding and service delivery approach focuses on achieving a sustainable, flexible service mix that is responsive to local needs. Service providers include small rural hospitals, community health services, bush nursing centres, multipurpose services and public sector residential aged care services.</w:t>
      </w:r>
    </w:p>
    <w:p w14:paraId="19D21A15" w14:textId="77777777" w:rsidR="00FA7EBF" w:rsidRPr="00194D78" w:rsidRDefault="00FA7EBF" w:rsidP="00CA66FD">
      <w:pPr>
        <w:pStyle w:val="Heading6"/>
        <w:rPr>
          <w:lang w:eastAsia="en-AU"/>
        </w:rPr>
      </w:pPr>
      <w:r w:rsidRPr="00194D78">
        <w:rPr>
          <w:lang w:eastAsia="en-AU"/>
        </w:rPr>
        <w:t>Output group 7: Public Health</w:t>
      </w:r>
    </w:p>
    <w:p w14:paraId="2C3F55E5" w14:textId="77777777" w:rsidR="00FA7EBF" w:rsidRDefault="00FA7EBF" w:rsidP="00CA66FD">
      <w:pPr>
        <w:pStyle w:val="ARfinbody"/>
      </w:pPr>
      <w:r w:rsidRPr="00194D78">
        <w:t>Public Health outputs encompass services and support, including screening for health conditions and safety inspections that promote and protect the health and wellbeing of all Victorians.</w:t>
      </w:r>
    </w:p>
    <w:p w14:paraId="14CF09DC" w14:textId="77777777" w:rsidR="00FA7EBF" w:rsidRPr="00194D78" w:rsidRDefault="00FA7EBF" w:rsidP="00CA66FD">
      <w:pPr>
        <w:pStyle w:val="Heading6"/>
        <w:rPr>
          <w:lang w:eastAsia="en-AU"/>
        </w:rPr>
      </w:pPr>
      <w:r w:rsidRPr="00194D78">
        <w:rPr>
          <w:lang w:eastAsia="en-AU"/>
        </w:rPr>
        <w:t>Output group 8: Drug Services</w:t>
      </w:r>
    </w:p>
    <w:p w14:paraId="65BA0454" w14:textId="77777777" w:rsidR="00FA7EBF" w:rsidRPr="00194D78" w:rsidRDefault="00FA7EBF" w:rsidP="00CA66FD">
      <w:pPr>
        <w:pStyle w:val="ARfinbody"/>
      </w:pPr>
      <w:r w:rsidRPr="00194D78">
        <w:t>Drug Services outputs include programs and services aimed at promoting and protecting health by reducing death, disease and social harm caused by the use and misuse of licit and illicit drugs.</w:t>
      </w:r>
    </w:p>
    <w:p w14:paraId="2C44E854" w14:textId="77777777" w:rsidR="00FA7EBF" w:rsidRPr="00194D78" w:rsidRDefault="00FA7EBF" w:rsidP="00CA66FD">
      <w:pPr>
        <w:pStyle w:val="Heading6"/>
        <w:rPr>
          <w:lang w:eastAsia="en-AU"/>
        </w:rPr>
      </w:pPr>
      <w:r w:rsidRPr="00194D78">
        <w:rPr>
          <w:lang w:eastAsia="en-AU"/>
        </w:rPr>
        <w:t>Output group 9: Disability Services</w:t>
      </w:r>
    </w:p>
    <w:p w14:paraId="6A91A1E0" w14:textId="77777777" w:rsidR="00FA7EBF" w:rsidRPr="00194D78" w:rsidRDefault="00FA7EBF" w:rsidP="00CA66FD">
      <w:pPr>
        <w:pStyle w:val="ARfinbody"/>
      </w:pPr>
      <w:r w:rsidRPr="00194D78">
        <w:t>Disability Services outputs include provision of continuing care and support services for people with disabilities, their carers and their families, and aims to make a positive difference for Victorians experiencing disadvantage.</w:t>
      </w:r>
    </w:p>
    <w:p w14:paraId="6FFBF387" w14:textId="77777777" w:rsidR="00FA7EBF" w:rsidRPr="00194D78" w:rsidRDefault="00FA7EBF" w:rsidP="00CA66FD">
      <w:pPr>
        <w:pStyle w:val="Heading6"/>
        <w:rPr>
          <w:lang w:eastAsia="en-AU"/>
        </w:rPr>
      </w:pPr>
      <w:r w:rsidRPr="00194D78">
        <w:rPr>
          <w:lang w:eastAsia="en-AU"/>
        </w:rPr>
        <w:t>Output group 10: Child Protection and Family Services</w:t>
      </w:r>
    </w:p>
    <w:p w14:paraId="2FBA6420" w14:textId="77777777" w:rsidR="00FA7EBF" w:rsidRPr="00194D78" w:rsidRDefault="00FA7EBF" w:rsidP="00CA66FD">
      <w:pPr>
        <w:pStyle w:val="ARfinbody"/>
      </w:pPr>
      <w:r w:rsidRPr="00194D78">
        <w:t>Child Protection and Family Services outputs fund statutory child protection services, family support and parenting services, family violence and sexual assault services, adoption and placement care services and specialist support services to ensure the safety and wellbeing of adolescents and children at risk of harm, abuse and neglect.</w:t>
      </w:r>
    </w:p>
    <w:p w14:paraId="1C9FF0A0" w14:textId="77777777" w:rsidR="00FA7EBF" w:rsidRPr="00194D78" w:rsidRDefault="00FA7EBF" w:rsidP="00CA66FD">
      <w:pPr>
        <w:pStyle w:val="Heading6"/>
        <w:rPr>
          <w:lang w:eastAsia="en-AU"/>
        </w:rPr>
      </w:pPr>
      <w:r w:rsidRPr="00194D78">
        <w:rPr>
          <w:lang w:eastAsia="en-AU"/>
        </w:rPr>
        <w:t>Output group 11: Concessions to Pensioners and Beneficiaries</w:t>
      </w:r>
    </w:p>
    <w:p w14:paraId="3EDEEB2A" w14:textId="77777777" w:rsidR="00FA7EBF" w:rsidRPr="00194D78" w:rsidRDefault="00FA7EBF" w:rsidP="00CA66FD">
      <w:pPr>
        <w:pStyle w:val="ARfinbody"/>
      </w:pPr>
      <w:r w:rsidRPr="00194D78">
        <w:t>Concessions to Pensioners and Beneficiaries outputs include the development and coordination of the delivery of concessions and relief grants to eligible consumers and concession card holders.</w:t>
      </w:r>
    </w:p>
    <w:p w14:paraId="08F07736" w14:textId="77777777" w:rsidR="00FA7EBF" w:rsidRPr="00194D78" w:rsidRDefault="00FA7EBF" w:rsidP="00CA66FD">
      <w:pPr>
        <w:pStyle w:val="Heading6"/>
        <w:rPr>
          <w:lang w:eastAsia="en-AU"/>
        </w:rPr>
      </w:pPr>
      <w:r w:rsidRPr="00194D78">
        <w:rPr>
          <w:lang w:eastAsia="en-AU"/>
        </w:rPr>
        <w:t>Output group 12: Empowering Individuals and Communities</w:t>
      </w:r>
    </w:p>
    <w:p w14:paraId="0C1A1B00" w14:textId="77777777" w:rsidR="00FA7EBF" w:rsidRPr="00194D78" w:rsidRDefault="00FA7EBF" w:rsidP="00CA66FD">
      <w:pPr>
        <w:pStyle w:val="ARfinbody"/>
      </w:pPr>
      <w:r w:rsidRPr="00194D78">
        <w:t>Empowering Individuals and Communities outputs fund programs that support community participation including Neighbourhood Houses, Men</w:t>
      </w:r>
      <w:r>
        <w:t>’</w:t>
      </w:r>
      <w:r w:rsidRPr="00194D78">
        <w:t>s Sheds, community support projects and community sport and recreation and programs for youth and people with a disability.</w:t>
      </w:r>
    </w:p>
    <w:p w14:paraId="608A944F" w14:textId="77777777" w:rsidR="00FA7EBF" w:rsidRPr="00194D78" w:rsidRDefault="00FA7EBF" w:rsidP="00CA66FD">
      <w:pPr>
        <w:pStyle w:val="Heading6"/>
        <w:rPr>
          <w:lang w:eastAsia="en-AU"/>
        </w:rPr>
      </w:pPr>
      <w:r w:rsidRPr="00194D78">
        <w:rPr>
          <w:lang w:eastAsia="en-AU"/>
        </w:rPr>
        <w:t>Output group 13: Gender Equality and the Prevention of Family Violence</w:t>
      </w:r>
    </w:p>
    <w:p w14:paraId="3F687537" w14:textId="77777777" w:rsidR="00FA7EBF" w:rsidRPr="00194D78" w:rsidRDefault="00FA7EBF" w:rsidP="00CA66FD">
      <w:pPr>
        <w:pStyle w:val="ARfinbody"/>
      </w:pPr>
      <w:r w:rsidRPr="00194D78">
        <w:t>Gender Equality and the Prevention of Family Violence outputs provide initiatives that support women and the prevention of family violence and support the economic, social and civic participation and inclusion of all Victorians.</w:t>
      </w:r>
    </w:p>
    <w:p w14:paraId="256582A5" w14:textId="77777777" w:rsidR="00FA7EBF" w:rsidRPr="00194D78" w:rsidRDefault="00FA7EBF" w:rsidP="00CA66FD">
      <w:pPr>
        <w:pStyle w:val="Heading6"/>
        <w:rPr>
          <w:lang w:eastAsia="en-AU"/>
        </w:rPr>
      </w:pPr>
      <w:r w:rsidRPr="00194D78">
        <w:rPr>
          <w:lang w:eastAsia="en-AU"/>
        </w:rPr>
        <w:t>Output group 14: Family Violence Service Delivery</w:t>
      </w:r>
    </w:p>
    <w:p w14:paraId="4251A83E" w14:textId="77777777" w:rsidR="00FA7EBF" w:rsidRPr="00194D78" w:rsidRDefault="00FA7EBF" w:rsidP="00CA66FD">
      <w:pPr>
        <w:pStyle w:val="ARfinbody"/>
      </w:pPr>
      <w:r w:rsidRPr="00194D78">
        <w:t>Family Violence Service Delivery output</w:t>
      </w:r>
      <w:r>
        <w:t>s</w:t>
      </w:r>
      <w:r w:rsidRPr="00194D78">
        <w:t xml:space="preserve"> lead and coordinate whole</w:t>
      </w:r>
      <w:r>
        <w:t>-</w:t>
      </w:r>
      <w:r w:rsidRPr="00194D78">
        <w:t>of</w:t>
      </w:r>
      <w:r>
        <w:t>-</w:t>
      </w:r>
      <w:r w:rsidRPr="00194D78">
        <w:t xml:space="preserve">government family violence policy, and implement and deliver the </w:t>
      </w:r>
      <w:r>
        <w:t>g</w:t>
      </w:r>
      <w:r w:rsidRPr="00194D78">
        <w:t>overnment</w:t>
      </w:r>
      <w:r>
        <w:t>’</w:t>
      </w:r>
      <w:r w:rsidRPr="00194D78">
        <w:t>s family violence reform agenda.</w:t>
      </w:r>
    </w:p>
    <w:p w14:paraId="51B0241F" w14:textId="77777777" w:rsidR="00FA7EBF" w:rsidRPr="00194D78" w:rsidRDefault="00FA7EBF" w:rsidP="00CA66FD">
      <w:pPr>
        <w:pStyle w:val="Heading6"/>
        <w:rPr>
          <w:lang w:eastAsia="en-AU"/>
        </w:rPr>
      </w:pPr>
      <w:r w:rsidRPr="00194D78">
        <w:rPr>
          <w:lang w:eastAsia="en-AU"/>
        </w:rPr>
        <w:t>Output group 15: Housing Assistance</w:t>
      </w:r>
    </w:p>
    <w:p w14:paraId="6D668BAE" w14:textId="77777777" w:rsidR="00FA7EBF" w:rsidRPr="00194D78" w:rsidRDefault="00FA7EBF" w:rsidP="00CA66FD">
      <w:pPr>
        <w:pStyle w:val="ARfinbody"/>
      </w:pPr>
      <w:r w:rsidRPr="00194D78">
        <w:t>Housing Assistance outputs include the provision of homelessness services, crisis and transitional accommodation and long-term adequate, affordable and accessible housing assistance, coordinated with support services where required, home renovation assistance and the management of the home loan portfolio.</w:t>
      </w:r>
    </w:p>
    <w:p w14:paraId="12098AEC" w14:textId="77777777" w:rsidR="00FA7EBF" w:rsidRPr="00194D78" w:rsidRDefault="00FA7EBF" w:rsidP="00CA66FD">
      <w:pPr>
        <w:pStyle w:val="Heading6"/>
        <w:rPr>
          <w:lang w:eastAsia="en-AU"/>
        </w:rPr>
      </w:pPr>
      <w:r w:rsidRPr="00194D78">
        <w:rPr>
          <w:lang w:eastAsia="en-AU"/>
        </w:rPr>
        <w:t>Output group 16: Shared Services</w:t>
      </w:r>
    </w:p>
    <w:p w14:paraId="13234B31" w14:textId="77777777" w:rsidR="00FA7EBF" w:rsidRPr="00194D78" w:rsidRDefault="00FA7EBF" w:rsidP="00CA66FD">
      <w:pPr>
        <w:pStyle w:val="ARfinbody"/>
      </w:pPr>
      <w:r w:rsidRPr="00194D78">
        <w:t xml:space="preserve">Shared </w:t>
      </w:r>
      <w:r>
        <w:t>S</w:t>
      </w:r>
      <w:r w:rsidRPr="00194D78">
        <w:t xml:space="preserve">ervices </w:t>
      </w:r>
      <w:r>
        <w:t xml:space="preserve">outputs </w:t>
      </w:r>
      <w:r w:rsidRPr="00194D78">
        <w:t>reflect the range of corporate services that the department provides to the Department of Education and Training.</w:t>
      </w:r>
    </w:p>
    <w:p w14:paraId="4C0846E8" w14:textId="77777777" w:rsidR="00FA7EBF" w:rsidRPr="00194D78" w:rsidRDefault="00FA7EBF" w:rsidP="00CA66FD">
      <w:pPr>
        <w:pStyle w:val="ARfinbody"/>
      </w:pPr>
      <w:r w:rsidRPr="00194D78">
        <w:t xml:space="preserve">Further details on objectives of each output can be found in </w:t>
      </w:r>
      <w:r w:rsidRPr="00E73856">
        <w:t>Budget Paper No. 3</w:t>
      </w:r>
      <w:r w:rsidRPr="001A18E6">
        <w:t xml:space="preserve"> Service Delivery</w:t>
      </w:r>
      <w:r w:rsidRPr="00194D78">
        <w:t>.</w:t>
      </w:r>
    </w:p>
    <w:p w14:paraId="7494FD48" w14:textId="77777777" w:rsidR="00FA7EBF" w:rsidRPr="00194D78" w:rsidRDefault="00FA7EBF" w:rsidP="00CA66FD">
      <w:pPr>
        <w:pStyle w:val="ARfinbody"/>
      </w:pPr>
      <w:r w:rsidRPr="00194D78">
        <w:br w:type="page"/>
      </w:r>
    </w:p>
    <w:p w14:paraId="12C5AC8B" w14:textId="77777777" w:rsidR="00FA7EBF" w:rsidRDefault="00FA7EBF" w:rsidP="00CA66FD">
      <w:pPr>
        <w:pStyle w:val="ARfinbody"/>
        <w:sectPr w:rsidR="00FA7EBF" w:rsidSect="007B207C">
          <w:footerReference w:type="even" r:id="rId187"/>
          <w:footerReference w:type="default" r:id="rId188"/>
          <w:endnotePr>
            <w:numFmt w:val="decimal"/>
          </w:endnotePr>
          <w:pgSz w:w="11906" w:h="16838" w:code="9"/>
          <w:pgMar w:top="1531" w:right="851" w:bottom="851" w:left="1418" w:header="510" w:footer="340" w:gutter="0"/>
          <w:paperSrc w:first="258"/>
          <w:cols w:space="454"/>
          <w:docGrid w:linePitch="326"/>
        </w:sectPr>
      </w:pPr>
    </w:p>
    <w:p w14:paraId="44790DDD" w14:textId="77777777" w:rsidR="00FA7EBF" w:rsidRDefault="00FA7EBF" w:rsidP="00CA66FD">
      <w:pPr>
        <w:pStyle w:val="Heading5"/>
        <w:spacing w:before="0"/>
        <w:rPr>
          <w:lang w:eastAsia="en-AU"/>
        </w:rPr>
      </w:pPr>
      <w:r w:rsidRPr="00194D78">
        <w:rPr>
          <w:lang w:eastAsia="en-AU"/>
        </w:rPr>
        <w:t>4.1.2 Departmental outputs</w:t>
      </w:r>
      <w:r>
        <w:rPr>
          <w:lang w:eastAsia="en-AU"/>
        </w:rPr>
        <w:t xml:space="preserve"> – </w:t>
      </w:r>
      <w:r w:rsidRPr="00194D78">
        <w:rPr>
          <w:lang w:eastAsia="en-AU"/>
        </w:rPr>
        <w:t>Controlled income and expenses</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right w:w="57" w:type="dxa"/>
        </w:tblCellMar>
        <w:tblLook w:val="00A0" w:firstRow="1" w:lastRow="0" w:firstColumn="1" w:lastColumn="0" w:noHBand="0" w:noVBand="0"/>
      </w:tblPr>
      <w:tblGrid>
        <w:gridCol w:w="2975"/>
        <w:gridCol w:w="629"/>
        <w:gridCol w:w="629"/>
        <w:gridCol w:w="629"/>
        <w:gridCol w:w="629"/>
        <w:gridCol w:w="630"/>
        <w:gridCol w:w="630"/>
        <w:gridCol w:w="630"/>
        <w:gridCol w:w="630"/>
        <w:gridCol w:w="630"/>
        <w:gridCol w:w="630"/>
        <w:gridCol w:w="630"/>
        <w:gridCol w:w="630"/>
        <w:gridCol w:w="630"/>
        <w:gridCol w:w="630"/>
        <w:gridCol w:w="630"/>
        <w:gridCol w:w="630"/>
        <w:gridCol w:w="630"/>
        <w:gridCol w:w="778"/>
      </w:tblGrid>
      <w:tr w:rsidR="00FA7EBF" w:rsidRPr="007939DD" w14:paraId="2A709957" w14:textId="77777777" w:rsidTr="007B207C">
        <w:trPr>
          <w:cantSplit/>
          <w:tblHeader/>
        </w:trPr>
        <w:tc>
          <w:tcPr>
            <w:tcW w:w="2975" w:type="dxa"/>
            <w:vAlign w:val="bottom"/>
          </w:tcPr>
          <w:p w14:paraId="7315A80E" w14:textId="77777777" w:rsidR="00FA7EBF" w:rsidRPr="004750CB" w:rsidRDefault="00FA7EBF" w:rsidP="007B207C">
            <w:pPr>
              <w:pStyle w:val="ARfintablecolhead"/>
            </w:pPr>
            <w:r w:rsidRPr="004750CB">
              <w:t xml:space="preserve">Output group </w:t>
            </w:r>
            <w:r w:rsidRPr="004750CB">
              <w:rPr>
                <w:rStyle w:val="Superscriptbold"/>
              </w:rPr>
              <w:t>(i)</w:t>
            </w:r>
          </w:p>
          <w:p w14:paraId="20DD19F3" w14:textId="77777777" w:rsidR="00FA7EBF" w:rsidRPr="007939DD" w:rsidRDefault="00FA7EBF" w:rsidP="007B207C">
            <w:pPr>
              <w:pStyle w:val="ARfintablecolhead"/>
              <w:rPr>
                <w:sz w:val="13"/>
                <w:szCs w:val="13"/>
              </w:rPr>
            </w:pPr>
            <w:r w:rsidRPr="004750CB">
              <w:t>2019</w:t>
            </w:r>
          </w:p>
        </w:tc>
        <w:tc>
          <w:tcPr>
            <w:tcW w:w="629" w:type="dxa"/>
            <w:vAlign w:val="bottom"/>
          </w:tcPr>
          <w:p w14:paraId="5D39324D" w14:textId="77777777" w:rsidR="00FA7EBF" w:rsidRPr="001D2FFF" w:rsidRDefault="00FA7EBF" w:rsidP="007B207C">
            <w:pPr>
              <w:pStyle w:val="ARfintablecolheadright"/>
              <w:ind w:right="0"/>
              <w:rPr>
                <w:sz w:val="15"/>
                <w:szCs w:val="15"/>
              </w:rPr>
            </w:pPr>
            <w:r w:rsidRPr="001D2FFF">
              <w:rPr>
                <w:sz w:val="15"/>
                <w:szCs w:val="15"/>
              </w:rPr>
              <w:t>1</w:t>
            </w:r>
          </w:p>
          <w:p w14:paraId="764BA88F" w14:textId="77777777" w:rsidR="00FA7EBF" w:rsidRPr="001D2FFF" w:rsidRDefault="00FA7EBF" w:rsidP="007B207C">
            <w:pPr>
              <w:pStyle w:val="ARfintablecolheadright"/>
              <w:ind w:right="0"/>
              <w:rPr>
                <w:sz w:val="15"/>
                <w:szCs w:val="15"/>
              </w:rPr>
            </w:pPr>
            <w:r w:rsidRPr="001D2FFF">
              <w:rPr>
                <w:sz w:val="15"/>
                <w:szCs w:val="15"/>
              </w:rPr>
              <w:t>$M</w:t>
            </w:r>
          </w:p>
        </w:tc>
        <w:tc>
          <w:tcPr>
            <w:tcW w:w="629" w:type="dxa"/>
            <w:vAlign w:val="bottom"/>
          </w:tcPr>
          <w:p w14:paraId="4F8E6810" w14:textId="77777777" w:rsidR="00FA7EBF" w:rsidRPr="001D2FFF" w:rsidRDefault="00FA7EBF" w:rsidP="007B207C">
            <w:pPr>
              <w:pStyle w:val="ARfintablecolheadright"/>
              <w:ind w:right="0"/>
              <w:rPr>
                <w:sz w:val="15"/>
                <w:szCs w:val="15"/>
              </w:rPr>
            </w:pPr>
            <w:r w:rsidRPr="001D2FFF">
              <w:rPr>
                <w:sz w:val="15"/>
                <w:szCs w:val="15"/>
              </w:rPr>
              <w:t>2</w:t>
            </w:r>
          </w:p>
          <w:p w14:paraId="253B203B" w14:textId="77777777" w:rsidR="00FA7EBF" w:rsidRPr="001D2FFF" w:rsidRDefault="00FA7EBF" w:rsidP="007B207C">
            <w:pPr>
              <w:pStyle w:val="ARfintablecolheadright"/>
              <w:ind w:right="0"/>
              <w:rPr>
                <w:sz w:val="15"/>
                <w:szCs w:val="15"/>
              </w:rPr>
            </w:pPr>
            <w:r w:rsidRPr="001D2FFF">
              <w:rPr>
                <w:sz w:val="15"/>
                <w:szCs w:val="15"/>
              </w:rPr>
              <w:t>$M</w:t>
            </w:r>
          </w:p>
        </w:tc>
        <w:tc>
          <w:tcPr>
            <w:tcW w:w="629" w:type="dxa"/>
            <w:vAlign w:val="bottom"/>
          </w:tcPr>
          <w:p w14:paraId="685038EB" w14:textId="77777777" w:rsidR="00FA7EBF" w:rsidRPr="001D2FFF" w:rsidRDefault="00FA7EBF" w:rsidP="007B207C">
            <w:pPr>
              <w:pStyle w:val="ARfintablecolheadright"/>
              <w:ind w:right="0"/>
              <w:rPr>
                <w:sz w:val="15"/>
                <w:szCs w:val="15"/>
              </w:rPr>
            </w:pPr>
            <w:r w:rsidRPr="001D2FFF">
              <w:rPr>
                <w:sz w:val="15"/>
                <w:szCs w:val="15"/>
              </w:rPr>
              <w:t>3</w:t>
            </w:r>
          </w:p>
          <w:p w14:paraId="68A48621" w14:textId="77777777" w:rsidR="00FA7EBF" w:rsidRPr="001D2FFF" w:rsidRDefault="00FA7EBF" w:rsidP="007B207C">
            <w:pPr>
              <w:pStyle w:val="ARfintablecolheadright"/>
              <w:ind w:right="0"/>
              <w:rPr>
                <w:sz w:val="15"/>
                <w:szCs w:val="15"/>
              </w:rPr>
            </w:pPr>
            <w:r w:rsidRPr="001D2FFF">
              <w:rPr>
                <w:sz w:val="15"/>
                <w:szCs w:val="15"/>
              </w:rPr>
              <w:t>$M</w:t>
            </w:r>
          </w:p>
        </w:tc>
        <w:tc>
          <w:tcPr>
            <w:tcW w:w="629" w:type="dxa"/>
            <w:vAlign w:val="bottom"/>
          </w:tcPr>
          <w:p w14:paraId="0ABA9C5F" w14:textId="77777777" w:rsidR="00FA7EBF" w:rsidRPr="001D2FFF" w:rsidRDefault="00FA7EBF" w:rsidP="007B207C">
            <w:pPr>
              <w:pStyle w:val="ARfintablecolheadright"/>
              <w:ind w:right="0"/>
              <w:rPr>
                <w:sz w:val="15"/>
                <w:szCs w:val="15"/>
              </w:rPr>
            </w:pPr>
            <w:r w:rsidRPr="001D2FFF">
              <w:rPr>
                <w:sz w:val="15"/>
                <w:szCs w:val="15"/>
              </w:rPr>
              <w:t>4</w:t>
            </w:r>
          </w:p>
          <w:p w14:paraId="340DB012"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0C2867ED" w14:textId="77777777" w:rsidR="00FA7EBF" w:rsidRPr="001D2FFF" w:rsidRDefault="00FA7EBF" w:rsidP="007B207C">
            <w:pPr>
              <w:pStyle w:val="ARfintablecolheadright"/>
              <w:ind w:right="0"/>
              <w:rPr>
                <w:sz w:val="15"/>
                <w:szCs w:val="15"/>
              </w:rPr>
            </w:pPr>
            <w:r w:rsidRPr="001D2FFF">
              <w:rPr>
                <w:sz w:val="15"/>
                <w:szCs w:val="15"/>
              </w:rPr>
              <w:t>5</w:t>
            </w:r>
          </w:p>
          <w:p w14:paraId="0527AA38"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5DB9E5E2" w14:textId="77777777" w:rsidR="00FA7EBF" w:rsidRPr="001D2FFF" w:rsidRDefault="00FA7EBF" w:rsidP="007B207C">
            <w:pPr>
              <w:pStyle w:val="ARfintablecolheadright"/>
              <w:ind w:right="0"/>
              <w:rPr>
                <w:sz w:val="15"/>
                <w:szCs w:val="15"/>
              </w:rPr>
            </w:pPr>
            <w:r w:rsidRPr="001D2FFF">
              <w:rPr>
                <w:sz w:val="15"/>
                <w:szCs w:val="15"/>
              </w:rPr>
              <w:t>6</w:t>
            </w:r>
          </w:p>
          <w:p w14:paraId="3FB4EA24"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1A873528" w14:textId="77777777" w:rsidR="00FA7EBF" w:rsidRPr="001D2FFF" w:rsidRDefault="00FA7EBF" w:rsidP="007B207C">
            <w:pPr>
              <w:pStyle w:val="ARfintablecolheadright"/>
              <w:ind w:right="0"/>
              <w:rPr>
                <w:sz w:val="15"/>
                <w:szCs w:val="15"/>
              </w:rPr>
            </w:pPr>
            <w:r w:rsidRPr="001D2FFF">
              <w:rPr>
                <w:sz w:val="15"/>
                <w:szCs w:val="15"/>
              </w:rPr>
              <w:t>7</w:t>
            </w:r>
          </w:p>
          <w:p w14:paraId="500EFD59"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6A1A138D" w14:textId="77777777" w:rsidR="00FA7EBF" w:rsidRPr="001D2FFF" w:rsidRDefault="00FA7EBF" w:rsidP="007B207C">
            <w:pPr>
              <w:pStyle w:val="ARfintablecolheadright"/>
              <w:ind w:right="0"/>
              <w:rPr>
                <w:sz w:val="15"/>
                <w:szCs w:val="15"/>
              </w:rPr>
            </w:pPr>
            <w:r w:rsidRPr="001D2FFF">
              <w:rPr>
                <w:sz w:val="15"/>
                <w:szCs w:val="15"/>
              </w:rPr>
              <w:t>8</w:t>
            </w:r>
          </w:p>
          <w:p w14:paraId="056CE85C"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3E1AC69F" w14:textId="77777777" w:rsidR="00FA7EBF" w:rsidRPr="001D2FFF" w:rsidRDefault="00FA7EBF" w:rsidP="007B207C">
            <w:pPr>
              <w:pStyle w:val="ARfintablecolheadright"/>
              <w:ind w:right="0"/>
              <w:rPr>
                <w:sz w:val="15"/>
                <w:szCs w:val="15"/>
              </w:rPr>
            </w:pPr>
            <w:r w:rsidRPr="001D2FFF">
              <w:rPr>
                <w:sz w:val="15"/>
                <w:szCs w:val="15"/>
              </w:rPr>
              <w:t>9</w:t>
            </w:r>
          </w:p>
          <w:p w14:paraId="24429A41"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2A2476F2" w14:textId="77777777" w:rsidR="00FA7EBF" w:rsidRPr="001D2FFF" w:rsidRDefault="00FA7EBF" w:rsidP="007B207C">
            <w:pPr>
              <w:pStyle w:val="ARfintablecolheadright"/>
              <w:ind w:right="0"/>
              <w:rPr>
                <w:sz w:val="15"/>
                <w:szCs w:val="15"/>
              </w:rPr>
            </w:pPr>
            <w:r w:rsidRPr="001D2FFF">
              <w:rPr>
                <w:sz w:val="15"/>
                <w:szCs w:val="15"/>
              </w:rPr>
              <w:t>10</w:t>
            </w:r>
          </w:p>
          <w:p w14:paraId="53F3F8C1"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519AF1F5" w14:textId="77777777" w:rsidR="00FA7EBF" w:rsidRPr="001D2FFF" w:rsidRDefault="00FA7EBF" w:rsidP="007B207C">
            <w:pPr>
              <w:pStyle w:val="ARfintablecolheadright"/>
              <w:ind w:right="0"/>
              <w:rPr>
                <w:sz w:val="15"/>
                <w:szCs w:val="15"/>
              </w:rPr>
            </w:pPr>
            <w:r w:rsidRPr="001D2FFF">
              <w:rPr>
                <w:sz w:val="15"/>
                <w:szCs w:val="15"/>
              </w:rPr>
              <w:t>11</w:t>
            </w:r>
          </w:p>
          <w:p w14:paraId="404128C8"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1EC66643" w14:textId="77777777" w:rsidR="00FA7EBF" w:rsidRPr="001D2FFF" w:rsidRDefault="00FA7EBF" w:rsidP="007B207C">
            <w:pPr>
              <w:pStyle w:val="ARfintablecolheadright"/>
              <w:ind w:right="0"/>
              <w:rPr>
                <w:sz w:val="15"/>
                <w:szCs w:val="15"/>
              </w:rPr>
            </w:pPr>
            <w:r w:rsidRPr="001D2FFF">
              <w:rPr>
                <w:sz w:val="15"/>
                <w:szCs w:val="15"/>
              </w:rPr>
              <w:t>12</w:t>
            </w:r>
          </w:p>
          <w:p w14:paraId="3C4DD781"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11514E6D" w14:textId="77777777" w:rsidR="00FA7EBF" w:rsidRPr="001D2FFF" w:rsidRDefault="00FA7EBF" w:rsidP="007B207C">
            <w:pPr>
              <w:pStyle w:val="ARfintablecolheadright"/>
              <w:ind w:right="0"/>
              <w:rPr>
                <w:sz w:val="15"/>
                <w:szCs w:val="15"/>
              </w:rPr>
            </w:pPr>
            <w:r w:rsidRPr="001D2FFF">
              <w:rPr>
                <w:sz w:val="15"/>
                <w:szCs w:val="15"/>
              </w:rPr>
              <w:t>13</w:t>
            </w:r>
          </w:p>
          <w:p w14:paraId="773A67E9"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16B15E51" w14:textId="77777777" w:rsidR="00FA7EBF" w:rsidRPr="001D2FFF" w:rsidRDefault="00FA7EBF" w:rsidP="007B207C">
            <w:pPr>
              <w:pStyle w:val="ARfintablecolheadright"/>
              <w:ind w:right="0"/>
              <w:rPr>
                <w:sz w:val="15"/>
                <w:szCs w:val="15"/>
              </w:rPr>
            </w:pPr>
            <w:r w:rsidRPr="001D2FFF">
              <w:rPr>
                <w:sz w:val="15"/>
                <w:szCs w:val="15"/>
              </w:rPr>
              <w:t>14</w:t>
            </w:r>
          </w:p>
          <w:p w14:paraId="2D7C08E4"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0A6DE6E7" w14:textId="77777777" w:rsidR="00FA7EBF" w:rsidRPr="001D2FFF" w:rsidRDefault="00FA7EBF" w:rsidP="007B207C">
            <w:pPr>
              <w:pStyle w:val="ARfintablecolheadright"/>
              <w:ind w:right="0"/>
              <w:rPr>
                <w:sz w:val="15"/>
                <w:szCs w:val="15"/>
              </w:rPr>
            </w:pPr>
            <w:r w:rsidRPr="001D2FFF">
              <w:rPr>
                <w:sz w:val="15"/>
                <w:szCs w:val="15"/>
              </w:rPr>
              <w:t>15</w:t>
            </w:r>
          </w:p>
          <w:p w14:paraId="353FD7C1"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6D44C48D" w14:textId="77777777" w:rsidR="00FA7EBF" w:rsidRPr="001D2FFF" w:rsidRDefault="00FA7EBF" w:rsidP="007B207C">
            <w:pPr>
              <w:pStyle w:val="ARfintablecolheadright"/>
              <w:ind w:right="0"/>
              <w:rPr>
                <w:sz w:val="15"/>
                <w:szCs w:val="15"/>
              </w:rPr>
            </w:pPr>
            <w:r w:rsidRPr="001D2FFF">
              <w:rPr>
                <w:sz w:val="15"/>
                <w:szCs w:val="15"/>
              </w:rPr>
              <w:t>16</w:t>
            </w:r>
          </w:p>
          <w:p w14:paraId="02355355"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52CA8BF7" w14:textId="77777777" w:rsidR="00FA7EBF" w:rsidRPr="001D2FFF" w:rsidRDefault="00FA7EBF" w:rsidP="007B207C">
            <w:pPr>
              <w:pStyle w:val="ARfintablecolheadright"/>
              <w:ind w:right="0"/>
              <w:rPr>
                <w:sz w:val="15"/>
                <w:szCs w:val="15"/>
              </w:rPr>
            </w:pPr>
            <w:r w:rsidRPr="001D2FFF">
              <w:rPr>
                <w:sz w:val="15"/>
                <w:szCs w:val="15"/>
              </w:rPr>
              <w:t>Elimin-ation</w:t>
            </w:r>
          </w:p>
          <w:p w14:paraId="3F686364" w14:textId="77777777" w:rsidR="00FA7EBF" w:rsidRPr="001D2FFF" w:rsidRDefault="00FA7EBF" w:rsidP="007B207C">
            <w:pPr>
              <w:pStyle w:val="ARfintablecolheadright"/>
              <w:ind w:right="0"/>
              <w:rPr>
                <w:sz w:val="15"/>
                <w:szCs w:val="15"/>
              </w:rPr>
            </w:pPr>
            <w:r w:rsidRPr="001D2FFF">
              <w:rPr>
                <w:sz w:val="15"/>
                <w:szCs w:val="15"/>
              </w:rPr>
              <w:t>$M</w:t>
            </w:r>
          </w:p>
        </w:tc>
        <w:tc>
          <w:tcPr>
            <w:tcW w:w="778" w:type="dxa"/>
            <w:vAlign w:val="bottom"/>
          </w:tcPr>
          <w:p w14:paraId="22B9C9F3" w14:textId="77777777" w:rsidR="00FA7EBF" w:rsidRPr="001D2FFF" w:rsidRDefault="00FA7EBF" w:rsidP="007B207C">
            <w:pPr>
              <w:pStyle w:val="ARfintablecolheadright"/>
              <w:ind w:right="0"/>
              <w:rPr>
                <w:sz w:val="15"/>
                <w:szCs w:val="15"/>
              </w:rPr>
            </w:pPr>
            <w:r w:rsidRPr="001D2FFF">
              <w:rPr>
                <w:sz w:val="15"/>
                <w:szCs w:val="15"/>
              </w:rPr>
              <w:t>Total</w:t>
            </w:r>
          </w:p>
          <w:p w14:paraId="4C8521DA" w14:textId="77777777" w:rsidR="00FA7EBF" w:rsidRPr="001D2FFF" w:rsidRDefault="00FA7EBF" w:rsidP="007B207C">
            <w:pPr>
              <w:pStyle w:val="ARfintablecolheadright"/>
              <w:ind w:right="0"/>
              <w:rPr>
                <w:sz w:val="15"/>
                <w:szCs w:val="15"/>
              </w:rPr>
            </w:pPr>
            <w:r w:rsidRPr="001D2FFF">
              <w:rPr>
                <w:sz w:val="15"/>
                <w:szCs w:val="15"/>
              </w:rPr>
              <w:t>$M</w:t>
            </w:r>
          </w:p>
        </w:tc>
      </w:tr>
      <w:tr w:rsidR="00FA7EBF" w:rsidRPr="007939DD" w14:paraId="616CEEEF" w14:textId="77777777" w:rsidTr="007B207C">
        <w:trPr>
          <w:cantSplit/>
        </w:trPr>
        <w:tc>
          <w:tcPr>
            <w:tcW w:w="14459" w:type="dxa"/>
            <w:gridSpan w:val="19"/>
            <w:tcBorders>
              <w:bottom w:val="single" w:sz="4" w:space="0" w:color="A6A6A6" w:themeColor="background1" w:themeShade="A6"/>
            </w:tcBorders>
          </w:tcPr>
          <w:p w14:paraId="3CB75CB9" w14:textId="77777777" w:rsidR="00FA7EBF" w:rsidRPr="001D2FFF" w:rsidRDefault="00FA7EBF" w:rsidP="007B207C">
            <w:pPr>
              <w:pStyle w:val="ARfintablebodybold"/>
              <w:rPr>
                <w:sz w:val="15"/>
                <w:szCs w:val="15"/>
                <w:lang w:eastAsia="en-AU"/>
              </w:rPr>
            </w:pPr>
            <w:r w:rsidRPr="00CD0B09">
              <w:t>Income from transactions</w:t>
            </w:r>
          </w:p>
        </w:tc>
      </w:tr>
      <w:tr w:rsidR="00FA7EBF" w:rsidRPr="007939DD" w14:paraId="6835B23E"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2B173CD6" w14:textId="77777777" w:rsidR="00FA7EBF" w:rsidRPr="007939DD" w:rsidRDefault="00FA7EBF" w:rsidP="007B207C">
            <w:pPr>
              <w:pStyle w:val="ARfintablebody"/>
              <w:rPr>
                <w:sz w:val="13"/>
                <w:szCs w:val="13"/>
                <w:lang w:eastAsia="en-AU"/>
              </w:rPr>
            </w:pPr>
            <w:r w:rsidRPr="00CD0B09">
              <w:t>Output appropriations</w:t>
            </w:r>
          </w:p>
        </w:tc>
        <w:tc>
          <w:tcPr>
            <w:tcW w:w="629" w:type="dxa"/>
            <w:tcBorders>
              <w:top w:val="single" w:sz="4" w:space="0" w:color="A6A6A6" w:themeColor="background1" w:themeShade="A6"/>
              <w:bottom w:val="single" w:sz="4" w:space="0" w:color="A6A6A6" w:themeColor="background1" w:themeShade="A6"/>
            </w:tcBorders>
          </w:tcPr>
          <w:p w14:paraId="3585BACE" w14:textId="77777777" w:rsidR="00FA7EBF" w:rsidRPr="001D2FFF" w:rsidRDefault="00FA7EBF" w:rsidP="007B207C">
            <w:pPr>
              <w:pStyle w:val="ARfintablebodyright"/>
              <w:ind w:right="0"/>
              <w:rPr>
                <w:sz w:val="15"/>
                <w:szCs w:val="15"/>
              </w:rPr>
            </w:pPr>
            <w:r w:rsidRPr="001D2FFF">
              <w:rPr>
                <w:sz w:val="15"/>
                <w:szCs w:val="15"/>
              </w:rPr>
              <w:t>7,273.0</w:t>
            </w:r>
          </w:p>
        </w:tc>
        <w:tc>
          <w:tcPr>
            <w:tcW w:w="629" w:type="dxa"/>
            <w:tcBorders>
              <w:top w:val="single" w:sz="4" w:space="0" w:color="A6A6A6" w:themeColor="background1" w:themeShade="A6"/>
              <w:bottom w:val="single" w:sz="4" w:space="0" w:color="A6A6A6" w:themeColor="background1" w:themeShade="A6"/>
            </w:tcBorders>
          </w:tcPr>
          <w:p w14:paraId="665C3B3D" w14:textId="77777777" w:rsidR="00FA7EBF" w:rsidRPr="001D2FFF" w:rsidRDefault="00FA7EBF" w:rsidP="007B207C">
            <w:pPr>
              <w:pStyle w:val="ARfintablebodyright"/>
              <w:ind w:right="0"/>
              <w:rPr>
                <w:sz w:val="15"/>
                <w:szCs w:val="15"/>
              </w:rPr>
            </w:pPr>
            <w:r w:rsidRPr="001D2FFF">
              <w:rPr>
                <w:sz w:val="15"/>
                <w:szCs w:val="15"/>
              </w:rPr>
              <w:t>747.4</w:t>
            </w:r>
          </w:p>
        </w:tc>
        <w:tc>
          <w:tcPr>
            <w:tcW w:w="629" w:type="dxa"/>
            <w:tcBorders>
              <w:top w:val="single" w:sz="4" w:space="0" w:color="A6A6A6" w:themeColor="background1" w:themeShade="A6"/>
              <w:bottom w:val="single" w:sz="4" w:space="0" w:color="A6A6A6" w:themeColor="background1" w:themeShade="A6"/>
            </w:tcBorders>
          </w:tcPr>
          <w:p w14:paraId="7B597B28" w14:textId="77777777" w:rsidR="00FA7EBF" w:rsidRPr="001D2FFF" w:rsidRDefault="00FA7EBF" w:rsidP="007B207C">
            <w:pPr>
              <w:pStyle w:val="ARfintablebodyright"/>
              <w:ind w:right="0"/>
              <w:rPr>
                <w:sz w:val="15"/>
                <w:szCs w:val="15"/>
              </w:rPr>
            </w:pPr>
            <w:r w:rsidRPr="001D2FFF">
              <w:rPr>
                <w:sz w:val="15"/>
                <w:szCs w:val="15"/>
              </w:rPr>
              <w:t>961.0</w:t>
            </w:r>
          </w:p>
        </w:tc>
        <w:tc>
          <w:tcPr>
            <w:tcW w:w="629" w:type="dxa"/>
            <w:tcBorders>
              <w:top w:val="single" w:sz="4" w:space="0" w:color="A6A6A6" w:themeColor="background1" w:themeShade="A6"/>
              <w:bottom w:val="single" w:sz="4" w:space="0" w:color="A6A6A6" w:themeColor="background1" w:themeShade="A6"/>
            </w:tcBorders>
          </w:tcPr>
          <w:p w14:paraId="32D6B23B" w14:textId="77777777" w:rsidR="00FA7EBF" w:rsidRPr="001D2FFF" w:rsidRDefault="00FA7EBF" w:rsidP="007B207C">
            <w:pPr>
              <w:pStyle w:val="ARfintablebodyright"/>
              <w:ind w:right="0"/>
              <w:rPr>
                <w:sz w:val="15"/>
                <w:szCs w:val="15"/>
              </w:rPr>
            </w:pPr>
            <w:r w:rsidRPr="001D2FFF">
              <w:rPr>
                <w:sz w:val="15"/>
                <w:szCs w:val="15"/>
              </w:rPr>
              <w:t>513.4</w:t>
            </w:r>
          </w:p>
        </w:tc>
        <w:tc>
          <w:tcPr>
            <w:tcW w:w="630" w:type="dxa"/>
            <w:tcBorders>
              <w:top w:val="single" w:sz="4" w:space="0" w:color="A6A6A6" w:themeColor="background1" w:themeShade="A6"/>
              <w:bottom w:val="single" w:sz="4" w:space="0" w:color="A6A6A6" w:themeColor="background1" w:themeShade="A6"/>
            </w:tcBorders>
          </w:tcPr>
          <w:p w14:paraId="71804F48" w14:textId="77777777" w:rsidR="00FA7EBF" w:rsidRPr="001D2FFF" w:rsidRDefault="00FA7EBF" w:rsidP="007B207C">
            <w:pPr>
              <w:pStyle w:val="ARfintablebodyright"/>
              <w:ind w:right="0"/>
              <w:rPr>
                <w:sz w:val="15"/>
                <w:szCs w:val="15"/>
              </w:rPr>
            </w:pPr>
            <w:r w:rsidRPr="001D2FFF">
              <w:rPr>
                <w:sz w:val="15"/>
                <w:szCs w:val="15"/>
              </w:rPr>
              <w:t>473.8</w:t>
            </w:r>
          </w:p>
        </w:tc>
        <w:tc>
          <w:tcPr>
            <w:tcW w:w="630" w:type="dxa"/>
            <w:tcBorders>
              <w:top w:val="single" w:sz="4" w:space="0" w:color="A6A6A6" w:themeColor="background1" w:themeShade="A6"/>
              <w:bottom w:val="single" w:sz="4" w:space="0" w:color="A6A6A6" w:themeColor="background1" w:themeShade="A6"/>
            </w:tcBorders>
          </w:tcPr>
          <w:p w14:paraId="626E72CB" w14:textId="77777777" w:rsidR="00FA7EBF" w:rsidRPr="001D2FFF" w:rsidRDefault="00FA7EBF" w:rsidP="007B207C">
            <w:pPr>
              <w:pStyle w:val="ARfintablebodyright"/>
              <w:ind w:right="0"/>
              <w:rPr>
                <w:sz w:val="15"/>
                <w:szCs w:val="15"/>
              </w:rPr>
            </w:pPr>
            <w:r w:rsidRPr="001D2FFF">
              <w:rPr>
                <w:sz w:val="15"/>
                <w:szCs w:val="15"/>
              </w:rPr>
              <w:t>336.4</w:t>
            </w:r>
          </w:p>
        </w:tc>
        <w:tc>
          <w:tcPr>
            <w:tcW w:w="630" w:type="dxa"/>
            <w:tcBorders>
              <w:top w:val="single" w:sz="4" w:space="0" w:color="A6A6A6" w:themeColor="background1" w:themeShade="A6"/>
              <w:bottom w:val="single" w:sz="4" w:space="0" w:color="A6A6A6" w:themeColor="background1" w:themeShade="A6"/>
            </w:tcBorders>
          </w:tcPr>
          <w:p w14:paraId="4236B67B" w14:textId="77777777" w:rsidR="00FA7EBF" w:rsidRPr="001D2FFF" w:rsidRDefault="00FA7EBF" w:rsidP="007B207C">
            <w:pPr>
              <w:pStyle w:val="ARfintablebodyright"/>
              <w:ind w:right="0"/>
              <w:rPr>
                <w:sz w:val="15"/>
                <w:szCs w:val="15"/>
              </w:rPr>
            </w:pPr>
            <w:r w:rsidRPr="001D2FFF">
              <w:rPr>
                <w:sz w:val="15"/>
                <w:szCs w:val="15"/>
              </w:rPr>
              <w:t>275.0</w:t>
            </w:r>
          </w:p>
        </w:tc>
        <w:tc>
          <w:tcPr>
            <w:tcW w:w="630" w:type="dxa"/>
            <w:tcBorders>
              <w:top w:val="single" w:sz="4" w:space="0" w:color="A6A6A6" w:themeColor="background1" w:themeShade="A6"/>
              <w:bottom w:val="single" w:sz="4" w:space="0" w:color="A6A6A6" w:themeColor="background1" w:themeShade="A6"/>
            </w:tcBorders>
          </w:tcPr>
          <w:p w14:paraId="48035344" w14:textId="77777777" w:rsidR="00FA7EBF" w:rsidRPr="001D2FFF" w:rsidRDefault="00FA7EBF" w:rsidP="007B207C">
            <w:pPr>
              <w:pStyle w:val="ARfintablebodyright"/>
              <w:ind w:right="0"/>
              <w:rPr>
                <w:sz w:val="15"/>
                <w:szCs w:val="15"/>
              </w:rPr>
            </w:pPr>
            <w:r w:rsidRPr="001D2FFF">
              <w:rPr>
                <w:sz w:val="15"/>
                <w:szCs w:val="15"/>
              </w:rPr>
              <w:t>175.8</w:t>
            </w:r>
          </w:p>
        </w:tc>
        <w:tc>
          <w:tcPr>
            <w:tcW w:w="630" w:type="dxa"/>
            <w:tcBorders>
              <w:top w:val="single" w:sz="4" w:space="0" w:color="A6A6A6" w:themeColor="background1" w:themeShade="A6"/>
              <w:bottom w:val="single" w:sz="4" w:space="0" w:color="A6A6A6" w:themeColor="background1" w:themeShade="A6"/>
            </w:tcBorders>
          </w:tcPr>
          <w:p w14:paraId="429E3597" w14:textId="77777777" w:rsidR="00FA7EBF" w:rsidRPr="001D2FFF" w:rsidRDefault="00FA7EBF" w:rsidP="007B207C">
            <w:pPr>
              <w:pStyle w:val="ARfintablebodyright"/>
              <w:ind w:right="0"/>
              <w:rPr>
                <w:sz w:val="15"/>
                <w:szCs w:val="15"/>
              </w:rPr>
            </w:pPr>
            <w:r w:rsidRPr="001D2FFF">
              <w:rPr>
                <w:sz w:val="15"/>
                <w:szCs w:val="15"/>
              </w:rPr>
              <w:t>2,175.6</w:t>
            </w:r>
          </w:p>
        </w:tc>
        <w:tc>
          <w:tcPr>
            <w:tcW w:w="630" w:type="dxa"/>
            <w:tcBorders>
              <w:top w:val="single" w:sz="4" w:space="0" w:color="A6A6A6" w:themeColor="background1" w:themeShade="A6"/>
              <w:bottom w:val="single" w:sz="4" w:space="0" w:color="A6A6A6" w:themeColor="background1" w:themeShade="A6"/>
            </w:tcBorders>
          </w:tcPr>
          <w:p w14:paraId="4A7AAC2F" w14:textId="77777777" w:rsidR="00FA7EBF" w:rsidRPr="001D2FFF" w:rsidRDefault="00FA7EBF" w:rsidP="007B207C">
            <w:pPr>
              <w:pStyle w:val="ARfintablebodyright"/>
              <w:ind w:right="0"/>
              <w:rPr>
                <w:sz w:val="15"/>
                <w:szCs w:val="15"/>
              </w:rPr>
            </w:pPr>
            <w:r w:rsidRPr="001D2FFF">
              <w:rPr>
                <w:sz w:val="15"/>
                <w:szCs w:val="15"/>
              </w:rPr>
              <w:t>1,604.9</w:t>
            </w:r>
          </w:p>
        </w:tc>
        <w:tc>
          <w:tcPr>
            <w:tcW w:w="630" w:type="dxa"/>
            <w:tcBorders>
              <w:top w:val="single" w:sz="4" w:space="0" w:color="A6A6A6" w:themeColor="background1" w:themeShade="A6"/>
              <w:bottom w:val="single" w:sz="4" w:space="0" w:color="A6A6A6" w:themeColor="background1" w:themeShade="A6"/>
            </w:tcBorders>
          </w:tcPr>
          <w:p w14:paraId="5F2C681B" w14:textId="77777777" w:rsidR="00FA7EBF" w:rsidRPr="001D2FFF" w:rsidRDefault="00FA7EBF" w:rsidP="007B207C">
            <w:pPr>
              <w:pStyle w:val="ARfintablebodyright"/>
              <w:ind w:right="0"/>
              <w:rPr>
                <w:sz w:val="15"/>
                <w:szCs w:val="15"/>
              </w:rPr>
            </w:pPr>
            <w:r w:rsidRPr="001D2FFF">
              <w:rPr>
                <w:sz w:val="15"/>
                <w:szCs w:val="15"/>
              </w:rPr>
              <w:t>737.4</w:t>
            </w:r>
          </w:p>
        </w:tc>
        <w:tc>
          <w:tcPr>
            <w:tcW w:w="630" w:type="dxa"/>
            <w:tcBorders>
              <w:top w:val="single" w:sz="4" w:space="0" w:color="A6A6A6" w:themeColor="background1" w:themeShade="A6"/>
              <w:bottom w:val="single" w:sz="4" w:space="0" w:color="A6A6A6" w:themeColor="background1" w:themeShade="A6"/>
            </w:tcBorders>
          </w:tcPr>
          <w:p w14:paraId="45A2B644" w14:textId="77777777" w:rsidR="00FA7EBF" w:rsidRPr="001D2FFF" w:rsidRDefault="00FA7EBF" w:rsidP="007B207C">
            <w:pPr>
              <w:pStyle w:val="ARfintablebodyright"/>
              <w:ind w:right="0"/>
              <w:rPr>
                <w:sz w:val="15"/>
                <w:szCs w:val="15"/>
              </w:rPr>
            </w:pPr>
            <w:r w:rsidRPr="001D2FFF">
              <w:rPr>
                <w:sz w:val="15"/>
                <w:szCs w:val="15"/>
              </w:rPr>
              <w:t>152.6</w:t>
            </w:r>
          </w:p>
        </w:tc>
        <w:tc>
          <w:tcPr>
            <w:tcW w:w="630" w:type="dxa"/>
            <w:tcBorders>
              <w:top w:val="single" w:sz="4" w:space="0" w:color="A6A6A6" w:themeColor="background1" w:themeShade="A6"/>
              <w:bottom w:val="single" w:sz="4" w:space="0" w:color="A6A6A6" w:themeColor="background1" w:themeShade="A6"/>
            </w:tcBorders>
          </w:tcPr>
          <w:p w14:paraId="0E371C1B" w14:textId="77777777" w:rsidR="00FA7EBF" w:rsidRPr="001D2FFF" w:rsidRDefault="00FA7EBF" w:rsidP="007B207C">
            <w:pPr>
              <w:pStyle w:val="ARfintablebodyright"/>
              <w:ind w:right="0"/>
              <w:rPr>
                <w:sz w:val="15"/>
                <w:szCs w:val="15"/>
              </w:rPr>
            </w:pPr>
            <w:r w:rsidRPr="001D2FFF">
              <w:rPr>
                <w:sz w:val="15"/>
                <w:szCs w:val="15"/>
              </w:rPr>
              <w:t>18.6</w:t>
            </w:r>
          </w:p>
        </w:tc>
        <w:tc>
          <w:tcPr>
            <w:tcW w:w="630" w:type="dxa"/>
            <w:tcBorders>
              <w:top w:val="single" w:sz="4" w:space="0" w:color="A6A6A6" w:themeColor="background1" w:themeShade="A6"/>
              <w:bottom w:val="single" w:sz="4" w:space="0" w:color="A6A6A6" w:themeColor="background1" w:themeShade="A6"/>
            </w:tcBorders>
          </w:tcPr>
          <w:p w14:paraId="733E03A2" w14:textId="77777777" w:rsidR="00FA7EBF" w:rsidRPr="001D2FFF" w:rsidRDefault="00FA7EBF" w:rsidP="007B207C">
            <w:pPr>
              <w:pStyle w:val="ARfintablebodyright"/>
              <w:ind w:right="0"/>
              <w:rPr>
                <w:sz w:val="15"/>
                <w:szCs w:val="15"/>
              </w:rPr>
            </w:pPr>
            <w:r w:rsidRPr="001D2FFF">
              <w:rPr>
                <w:sz w:val="15"/>
                <w:szCs w:val="15"/>
              </w:rPr>
              <w:t>119.2</w:t>
            </w:r>
          </w:p>
        </w:tc>
        <w:tc>
          <w:tcPr>
            <w:tcW w:w="630" w:type="dxa"/>
            <w:tcBorders>
              <w:top w:val="single" w:sz="4" w:space="0" w:color="A6A6A6" w:themeColor="background1" w:themeShade="A6"/>
              <w:bottom w:val="single" w:sz="4" w:space="0" w:color="A6A6A6" w:themeColor="background1" w:themeShade="A6"/>
            </w:tcBorders>
          </w:tcPr>
          <w:p w14:paraId="2D1E5729" w14:textId="77777777" w:rsidR="00FA7EBF" w:rsidRPr="001D2FFF" w:rsidRDefault="00FA7EBF" w:rsidP="007B207C">
            <w:pPr>
              <w:pStyle w:val="ARfintablebodyright"/>
              <w:ind w:right="0"/>
              <w:rPr>
                <w:sz w:val="15"/>
                <w:szCs w:val="15"/>
              </w:rPr>
            </w:pPr>
            <w:r w:rsidRPr="001D2FFF">
              <w:rPr>
                <w:sz w:val="15"/>
                <w:szCs w:val="15"/>
              </w:rPr>
              <w:t>618.8</w:t>
            </w:r>
          </w:p>
        </w:tc>
        <w:tc>
          <w:tcPr>
            <w:tcW w:w="630" w:type="dxa"/>
            <w:tcBorders>
              <w:top w:val="single" w:sz="4" w:space="0" w:color="A6A6A6" w:themeColor="background1" w:themeShade="A6"/>
              <w:bottom w:val="single" w:sz="4" w:space="0" w:color="A6A6A6" w:themeColor="background1" w:themeShade="A6"/>
            </w:tcBorders>
          </w:tcPr>
          <w:p w14:paraId="00029CBC"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F438DCB" w14:textId="77777777" w:rsidR="00FA7EBF" w:rsidRPr="001D2FFF" w:rsidRDefault="00FA7EBF" w:rsidP="007B207C">
            <w:pPr>
              <w:pStyle w:val="ARfintablebodyright"/>
              <w:ind w:right="0"/>
              <w:rPr>
                <w:sz w:val="15"/>
                <w:szCs w:val="15"/>
              </w:rPr>
            </w:pPr>
            <w:r>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5DA3991C" w14:textId="77777777" w:rsidR="00FA7EBF" w:rsidRPr="001D2FFF" w:rsidRDefault="00FA7EBF" w:rsidP="007B207C">
            <w:pPr>
              <w:pStyle w:val="ARfintablebodyright"/>
              <w:ind w:right="0"/>
              <w:rPr>
                <w:sz w:val="15"/>
                <w:szCs w:val="15"/>
              </w:rPr>
            </w:pPr>
            <w:r w:rsidRPr="001D2FFF">
              <w:rPr>
                <w:sz w:val="15"/>
                <w:szCs w:val="15"/>
              </w:rPr>
              <w:t>16,182.9</w:t>
            </w:r>
          </w:p>
        </w:tc>
      </w:tr>
      <w:tr w:rsidR="00FA7EBF" w:rsidRPr="007939DD" w14:paraId="03DF34DC"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6F03E404" w14:textId="77777777" w:rsidR="00FA7EBF" w:rsidRPr="007939DD" w:rsidRDefault="00FA7EBF" w:rsidP="007B207C">
            <w:pPr>
              <w:pStyle w:val="ARfintablebody"/>
              <w:rPr>
                <w:sz w:val="13"/>
                <w:szCs w:val="13"/>
                <w:lang w:eastAsia="en-AU"/>
              </w:rPr>
            </w:pPr>
            <w:r w:rsidRPr="00CD0B09">
              <w:t>Special appropriations</w:t>
            </w:r>
          </w:p>
        </w:tc>
        <w:tc>
          <w:tcPr>
            <w:tcW w:w="629" w:type="dxa"/>
            <w:tcBorders>
              <w:top w:val="single" w:sz="4" w:space="0" w:color="A6A6A6" w:themeColor="background1" w:themeShade="A6"/>
              <w:bottom w:val="single" w:sz="4" w:space="0" w:color="A6A6A6" w:themeColor="background1" w:themeShade="A6"/>
            </w:tcBorders>
          </w:tcPr>
          <w:p w14:paraId="034F5216" w14:textId="77777777" w:rsidR="00FA7EBF" w:rsidRPr="001D2FFF" w:rsidRDefault="00FA7EBF" w:rsidP="007B207C">
            <w:pPr>
              <w:pStyle w:val="ARfintablebodyright"/>
              <w:ind w:right="0"/>
              <w:rPr>
                <w:sz w:val="15"/>
                <w:szCs w:val="15"/>
              </w:rPr>
            </w:pPr>
            <w:r w:rsidRPr="001D2FFF">
              <w:rPr>
                <w:sz w:val="15"/>
                <w:szCs w:val="15"/>
              </w:rPr>
              <w:t>1,230.4</w:t>
            </w:r>
          </w:p>
        </w:tc>
        <w:tc>
          <w:tcPr>
            <w:tcW w:w="629" w:type="dxa"/>
            <w:tcBorders>
              <w:top w:val="single" w:sz="4" w:space="0" w:color="A6A6A6" w:themeColor="background1" w:themeShade="A6"/>
              <w:bottom w:val="single" w:sz="4" w:space="0" w:color="A6A6A6" w:themeColor="background1" w:themeShade="A6"/>
            </w:tcBorders>
          </w:tcPr>
          <w:p w14:paraId="150CC75F" w14:textId="77777777" w:rsidR="00FA7EBF" w:rsidRPr="001D2FFF" w:rsidRDefault="00FA7EBF" w:rsidP="007B207C">
            <w:pPr>
              <w:pStyle w:val="ARfintablebodyright"/>
              <w:ind w:right="0"/>
              <w:rPr>
                <w:sz w:val="15"/>
                <w:szCs w:val="15"/>
              </w:rPr>
            </w:pPr>
            <w:r w:rsidRPr="001D2FFF">
              <w:rPr>
                <w:sz w:val="15"/>
                <w:szCs w:val="15"/>
              </w:rPr>
              <w:t>62.6</w:t>
            </w:r>
          </w:p>
        </w:tc>
        <w:tc>
          <w:tcPr>
            <w:tcW w:w="629" w:type="dxa"/>
            <w:tcBorders>
              <w:top w:val="single" w:sz="4" w:space="0" w:color="A6A6A6" w:themeColor="background1" w:themeShade="A6"/>
              <w:bottom w:val="single" w:sz="4" w:space="0" w:color="A6A6A6" w:themeColor="background1" w:themeShade="A6"/>
            </w:tcBorders>
          </w:tcPr>
          <w:p w14:paraId="264955E4" w14:textId="77777777" w:rsidR="00FA7EBF" w:rsidRPr="001D2FFF" w:rsidRDefault="00FA7EBF" w:rsidP="007B207C">
            <w:pPr>
              <w:pStyle w:val="ARfintablebodyright"/>
              <w:ind w:right="0"/>
              <w:rPr>
                <w:sz w:val="15"/>
                <w:szCs w:val="15"/>
              </w:rPr>
            </w:pPr>
            <w:r w:rsidRPr="001D2FFF">
              <w:rPr>
                <w:sz w:val="15"/>
                <w:szCs w:val="15"/>
              </w:rPr>
              <w:t>45.3</w:t>
            </w:r>
          </w:p>
        </w:tc>
        <w:tc>
          <w:tcPr>
            <w:tcW w:w="629" w:type="dxa"/>
            <w:tcBorders>
              <w:top w:val="single" w:sz="4" w:space="0" w:color="A6A6A6" w:themeColor="background1" w:themeShade="A6"/>
              <w:bottom w:val="single" w:sz="4" w:space="0" w:color="A6A6A6" w:themeColor="background1" w:themeShade="A6"/>
            </w:tcBorders>
          </w:tcPr>
          <w:p w14:paraId="6670D628" w14:textId="77777777" w:rsidR="00FA7EBF" w:rsidRPr="001D2FFF" w:rsidRDefault="00FA7EBF" w:rsidP="007B207C">
            <w:pPr>
              <w:pStyle w:val="ARfintablebodyright"/>
              <w:ind w:right="0"/>
              <w:rPr>
                <w:sz w:val="15"/>
                <w:szCs w:val="15"/>
              </w:rPr>
            </w:pPr>
            <w:r w:rsidRPr="001D2FFF">
              <w:rPr>
                <w:sz w:val="15"/>
                <w:szCs w:val="15"/>
              </w:rPr>
              <w:t>26.6</w:t>
            </w:r>
          </w:p>
        </w:tc>
        <w:tc>
          <w:tcPr>
            <w:tcW w:w="630" w:type="dxa"/>
            <w:tcBorders>
              <w:top w:val="single" w:sz="4" w:space="0" w:color="A6A6A6" w:themeColor="background1" w:themeShade="A6"/>
              <w:bottom w:val="single" w:sz="4" w:space="0" w:color="A6A6A6" w:themeColor="background1" w:themeShade="A6"/>
            </w:tcBorders>
          </w:tcPr>
          <w:p w14:paraId="11D49D91" w14:textId="77777777" w:rsidR="00FA7EBF" w:rsidRPr="001D2FFF" w:rsidRDefault="00FA7EBF" w:rsidP="007B207C">
            <w:pPr>
              <w:pStyle w:val="ARfintablebodyright"/>
              <w:ind w:right="0"/>
              <w:rPr>
                <w:sz w:val="15"/>
                <w:szCs w:val="15"/>
              </w:rPr>
            </w:pPr>
            <w:r w:rsidRPr="001D2FFF">
              <w:rPr>
                <w:sz w:val="15"/>
                <w:szCs w:val="15"/>
              </w:rPr>
              <w:t>52.4</w:t>
            </w:r>
          </w:p>
        </w:tc>
        <w:tc>
          <w:tcPr>
            <w:tcW w:w="630" w:type="dxa"/>
            <w:tcBorders>
              <w:top w:val="single" w:sz="4" w:space="0" w:color="A6A6A6" w:themeColor="background1" w:themeShade="A6"/>
              <w:bottom w:val="single" w:sz="4" w:space="0" w:color="A6A6A6" w:themeColor="background1" w:themeShade="A6"/>
            </w:tcBorders>
          </w:tcPr>
          <w:p w14:paraId="24AD7FC5" w14:textId="77777777" w:rsidR="00FA7EBF" w:rsidRPr="001D2FFF" w:rsidRDefault="00FA7EBF" w:rsidP="007B207C">
            <w:pPr>
              <w:pStyle w:val="ARfintablebodyright"/>
              <w:ind w:right="0"/>
              <w:rPr>
                <w:sz w:val="15"/>
                <w:szCs w:val="15"/>
              </w:rPr>
            </w:pPr>
            <w:r w:rsidRPr="001D2FFF">
              <w:rPr>
                <w:sz w:val="15"/>
                <w:szCs w:val="15"/>
              </w:rPr>
              <w:t>9.5</w:t>
            </w:r>
          </w:p>
        </w:tc>
        <w:tc>
          <w:tcPr>
            <w:tcW w:w="630" w:type="dxa"/>
            <w:tcBorders>
              <w:top w:val="single" w:sz="4" w:space="0" w:color="A6A6A6" w:themeColor="background1" w:themeShade="A6"/>
              <w:bottom w:val="single" w:sz="4" w:space="0" w:color="A6A6A6" w:themeColor="background1" w:themeShade="A6"/>
            </w:tcBorders>
          </w:tcPr>
          <w:p w14:paraId="2F0B75F8" w14:textId="77777777" w:rsidR="00FA7EBF" w:rsidRPr="001D2FFF" w:rsidRDefault="00FA7EBF" w:rsidP="007B207C">
            <w:pPr>
              <w:pStyle w:val="ARfintablebodyright"/>
              <w:ind w:right="0"/>
              <w:rPr>
                <w:sz w:val="15"/>
                <w:szCs w:val="15"/>
              </w:rPr>
            </w:pPr>
            <w:r w:rsidRPr="001D2FFF">
              <w:rPr>
                <w:sz w:val="15"/>
                <w:szCs w:val="15"/>
              </w:rPr>
              <w:t>14.1</w:t>
            </w:r>
          </w:p>
        </w:tc>
        <w:tc>
          <w:tcPr>
            <w:tcW w:w="630" w:type="dxa"/>
            <w:tcBorders>
              <w:top w:val="single" w:sz="4" w:space="0" w:color="A6A6A6" w:themeColor="background1" w:themeShade="A6"/>
              <w:bottom w:val="single" w:sz="4" w:space="0" w:color="A6A6A6" w:themeColor="background1" w:themeShade="A6"/>
            </w:tcBorders>
          </w:tcPr>
          <w:p w14:paraId="65B976EB" w14:textId="77777777" w:rsidR="00FA7EBF" w:rsidRPr="001D2FFF" w:rsidRDefault="00FA7EBF" w:rsidP="007B207C">
            <w:pPr>
              <w:pStyle w:val="ARfintablebodyright"/>
              <w:ind w:right="0"/>
              <w:rPr>
                <w:sz w:val="15"/>
                <w:szCs w:val="15"/>
              </w:rPr>
            </w:pPr>
            <w:r w:rsidRPr="001D2FFF">
              <w:rPr>
                <w:sz w:val="15"/>
                <w:szCs w:val="15"/>
              </w:rPr>
              <w:t>8.3</w:t>
            </w:r>
          </w:p>
        </w:tc>
        <w:tc>
          <w:tcPr>
            <w:tcW w:w="630" w:type="dxa"/>
            <w:tcBorders>
              <w:top w:val="single" w:sz="4" w:space="0" w:color="A6A6A6" w:themeColor="background1" w:themeShade="A6"/>
              <w:bottom w:val="single" w:sz="4" w:space="0" w:color="A6A6A6" w:themeColor="background1" w:themeShade="A6"/>
            </w:tcBorders>
          </w:tcPr>
          <w:p w14:paraId="17140EAF" w14:textId="77777777" w:rsidR="00FA7EBF" w:rsidRPr="001D2FFF" w:rsidRDefault="00FA7EBF" w:rsidP="007B207C">
            <w:pPr>
              <w:pStyle w:val="ARfintablebodyright"/>
              <w:ind w:right="0"/>
              <w:rPr>
                <w:sz w:val="15"/>
                <w:szCs w:val="15"/>
              </w:rPr>
            </w:pPr>
            <w:r w:rsidRPr="001D2FFF">
              <w:rPr>
                <w:sz w:val="15"/>
                <w:szCs w:val="15"/>
              </w:rPr>
              <w:t>63.9</w:t>
            </w:r>
          </w:p>
        </w:tc>
        <w:tc>
          <w:tcPr>
            <w:tcW w:w="630" w:type="dxa"/>
            <w:tcBorders>
              <w:top w:val="single" w:sz="4" w:space="0" w:color="A6A6A6" w:themeColor="background1" w:themeShade="A6"/>
              <w:bottom w:val="single" w:sz="4" w:space="0" w:color="A6A6A6" w:themeColor="background1" w:themeShade="A6"/>
            </w:tcBorders>
          </w:tcPr>
          <w:p w14:paraId="778405F8"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1EE5F65A"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728ACE3" w14:textId="77777777" w:rsidR="00FA7EBF" w:rsidRPr="001D2FFF" w:rsidRDefault="00FA7EBF" w:rsidP="007B207C">
            <w:pPr>
              <w:pStyle w:val="ARfintablebodyright"/>
              <w:ind w:right="0"/>
              <w:rPr>
                <w:sz w:val="15"/>
                <w:szCs w:val="15"/>
              </w:rPr>
            </w:pPr>
            <w:r w:rsidRPr="001D2FFF">
              <w:rPr>
                <w:sz w:val="15"/>
                <w:szCs w:val="15"/>
              </w:rPr>
              <w:t>0.3</w:t>
            </w:r>
          </w:p>
        </w:tc>
        <w:tc>
          <w:tcPr>
            <w:tcW w:w="630" w:type="dxa"/>
            <w:tcBorders>
              <w:top w:val="single" w:sz="4" w:space="0" w:color="A6A6A6" w:themeColor="background1" w:themeShade="A6"/>
              <w:bottom w:val="single" w:sz="4" w:space="0" w:color="A6A6A6" w:themeColor="background1" w:themeShade="A6"/>
            </w:tcBorders>
          </w:tcPr>
          <w:p w14:paraId="6E7D8AA1"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13C4097"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5F86D5AB"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52BFE1C7"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6457546" w14:textId="77777777" w:rsidR="00FA7EBF" w:rsidRPr="001D2FFF" w:rsidRDefault="00FA7EBF" w:rsidP="007B207C">
            <w:pPr>
              <w:pStyle w:val="ARfintablebodyright"/>
              <w:ind w:right="0"/>
              <w:rPr>
                <w:sz w:val="15"/>
                <w:szCs w:val="15"/>
              </w:rPr>
            </w:pPr>
            <w:r>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51B0BA12" w14:textId="77777777" w:rsidR="00FA7EBF" w:rsidRPr="001D2FFF" w:rsidRDefault="00FA7EBF" w:rsidP="007B207C">
            <w:pPr>
              <w:pStyle w:val="ARfintablebodyright"/>
              <w:ind w:right="0"/>
              <w:rPr>
                <w:sz w:val="15"/>
                <w:szCs w:val="15"/>
              </w:rPr>
            </w:pPr>
            <w:r w:rsidRPr="001D2FFF">
              <w:rPr>
                <w:sz w:val="15"/>
                <w:szCs w:val="15"/>
              </w:rPr>
              <w:t>1,513.4</w:t>
            </w:r>
          </w:p>
        </w:tc>
      </w:tr>
      <w:tr w:rsidR="00FA7EBF" w:rsidRPr="007939DD" w14:paraId="7F509C3E"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24FB9A1D" w14:textId="77777777" w:rsidR="00FA7EBF" w:rsidRPr="007939DD" w:rsidRDefault="00FA7EBF" w:rsidP="007B207C">
            <w:pPr>
              <w:pStyle w:val="ARfintablebody"/>
              <w:rPr>
                <w:sz w:val="13"/>
                <w:szCs w:val="13"/>
                <w:lang w:eastAsia="en-AU"/>
              </w:rPr>
            </w:pPr>
            <w:r w:rsidRPr="00CD0B09">
              <w:t>Interest income</w:t>
            </w:r>
          </w:p>
        </w:tc>
        <w:tc>
          <w:tcPr>
            <w:tcW w:w="629" w:type="dxa"/>
            <w:tcBorders>
              <w:top w:val="single" w:sz="4" w:space="0" w:color="A6A6A6" w:themeColor="background1" w:themeShade="A6"/>
              <w:bottom w:val="single" w:sz="4" w:space="0" w:color="A6A6A6" w:themeColor="background1" w:themeShade="A6"/>
            </w:tcBorders>
          </w:tcPr>
          <w:p w14:paraId="63541B3B" w14:textId="77777777" w:rsidR="00FA7EBF" w:rsidRPr="001D2FFF" w:rsidRDefault="00FA7EBF" w:rsidP="007B207C">
            <w:pPr>
              <w:pStyle w:val="ARfintablebodyright"/>
              <w:ind w:right="0"/>
              <w:rPr>
                <w:sz w:val="15"/>
                <w:szCs w:val="15"/>
              </w:rPr>
            </w:pPr>
            <w:r>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2CA59853" w14:textId="77777777" w:rsidR="00FA7EBF" w:rsidRPr="001D2FFF" w:rsidRDefault="00FA7EBF" w:rsidP="007B207C">
            <w:pPr>
              <w:pStyle w:val="ARfintablebodyright"/>
              <w:ind w:right="0"/>
              <w:rPr>
                <w:sz w:val="15"/>
                <w:szCs w:val="15"/>
              </w:rPr>
            </w:pPr>
            <w:r>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67D18596" w14:textId="77777777" w:rsidR="00FA7EBF" w:rsidRPr="001D2FFF" w:rsidRDefault="00FA7EBF" w:rsidP="007B207C">
            <w:pPr>
              <w:pStyle w:val="ARfintablebodyright"/>
              <w:ind w:right="0"/>
              <w:rPr>
                <w:sz w:val="15"/>
                <w:szCs w:val="15"/>
              </w:rPr>
            </w:pPr>
            <w:r>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6BFEB8BC"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601FE0F"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57C3F5F"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A97E2A5"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FDECA8E"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110D71BF"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BD15CCA"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9E19843"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1E9B04E1"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C16EA9B"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5632FEFE"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D6D496F" w14:textId="77777777" w:rsidR="00FA7EBF" w:rsidRPr="001D2FFF" w:rsidRDefault="00FA7EBF" w:rsidP="007B207C">
            <w:pPr>
              <w:pStyle w:val="ARfintablebodyright"/>
              <w:ind w:right="0"/>
              <w:rPr>
                <w:sz w:val="15"/>
                <w:szCs w:val="15"/>
              </w:rPr>
            </w:pPr>
            <w:r w:rsidRPr="001D2FFF">
              <w:rPr>
                <w:sz w:val="15"/>
                <w:szCs w:val="15"/>
              </w:rPr>
              <w:t>13.2</w:t>
            </w:r>
          </w:p>
        </w:tc>
        <w:tc>
          <w:tcPr>
            <w:tcW w:w="630" w:type="dxa"/>
            <w:tcBorders>
              <w:top w:val="single" w:sz="4" w:space="0" w:color="A6A6A6" w:themeColor="background1" w:themeShade="A6"/>
              <w:bottom w:val="single" w:sz="4" w:space="0" w:color="A6A6A6" w:themeColor="background1" w:themeShade="A6"/>
            </w:tcBorders>
          </w:tcPr>
          <w:p w14:paraId="64A72E7E"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CAF8BAF" w14:textId="77777777" w:rsidR="00FA7EBF" w:rsidRPr="001D2FFF" w:rsidRDefault="00FA7EBF" w:rsidP="007B207C">
            <w:pPr>
              <w:pStyle w:val="ARfintablebodyright"/>
              <w:ind w:right="0"/>
              <w:rPr>
                <w:sz w:val="15"/>
                <w:szCs w:val="15"/>
              </w:rPr>
            </w:pPr>
            <w:r>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758EB8B3" w14:textId="77777777" w:rsidR="00FA7EBF" w:rsidRPr="001D2FFF" w:rsidRDefault="00FA7EBF" w:rsidP="007B207C">
            <w:pPr>
              <w:pStyle w:val="ARfintablebodyright"/>
              <w:ind w:right="0"/>
              <w:rPr>
                <w:sz w:val="15"/>
                <w:szCs w:val="15"/>
              </w:rPr>
            </w:pPr>
            <w:r w:rsidRPr="001D2FFF">
              <w:rPr>
                <w:sz w:val="15"/>
                <w:szCs w:val="15"/>
              </w:rPr>
              <w:t>13.2</w:t>
            </w:r>
          </w:p>
        </w:tc>
      </w:tr>
      <w:tr w:rsidR="00FA7EBF" w:rsidRPr="007939DD" w14:paraId="26649EF6"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5286E20B" w14:textId="77777777" w:rsidR="00FA7EBF" w:rsidRPr="007939DD" w:rsidRDefault="00FA7EBF" w:rsidP="007B207C">
            <w:pPr>
              <w:pStyle w:val="ARfintablebody"/>
              <w:rPr>
                <w:sz w:val="13"/>
                <w:szCs w:val="13"/>
                <w:lang w:eastAsia="en-AU"/>
              </w:rPr>
            </w:pPr>
            <w:r w:rsidRPr="00CD0B09">
              <w:t>Rental income and income from services</w:t>
            </w:r>
          </w:p>
        </w:tc>
        <w:tc>
          <w:tcPr>
            <w:tcW w:w="629" w:type="dxa"/>
            <w:tcBorders>
              <w:top w:val="single" w:sz="4" w:space="0" w:color="A6A6A6" w:themeColor="background1" w:themeShade="A6"/>
              <w:bottom w:val="single" w:sz="4" w:space="0" w:color="A6A6A6" w:themeColor="background1" w:themeShade="A6"/>
            </w:tcBorders>
          </w:tcPr>
          <w:p w14:paraId="1B9AB303" w14:textId="77777777" w:rsidR="00FA7EBF" w:rsidRPr="001D2FFF" w:rsidRDefault="00FA7EBF" w:rsidP="007B207C">
            <w:pPr>
              <w:pStyle w:val="ARfintablebodyright"/>
              <w:ind w:right="0"/>
              <w:rPr>
                <w:sz w:val="15"/>
                <w:szCs w:val="15"/>
              </w:rPr>
            </w:pPr>
            <w:r>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18D24CF7" w14:textId="77777777" w:rsidR="00FA7EBF" w:rsidRPr="001D2FFF" w:rsidRDefault="00FA7EBF" w:rsidP="007B207C">
            <w:pPr>
              <w:pStyle w:val="ARfintablebodyright"/>
              <w:ind w:right="0"/>
              <w:rPr>
                <w:sz w:val="15"/>
                <w:szCs w:val="15"/>
              </w:rPr>
            </w:pPr>
            <w:r>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56DF4F29" w14:textId="77777777" w:rsidR="00FA7EBF" w:rsidRPr="001D2FFF" w:rsidRDefault="00FA7EBF" w:rsidP="007B207C">
            <w:pPr>
              <w:pStyle w:val="ARfintablebodyright"/>
              <w:ind w:right="0"/>
              <w:rPr>
                <w:sz w:val="15"/>
                <w:szCs w:val="15"/>
              </w:rPr>
            </w:pPr>
            <w:r>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4FECB0E9"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64BAC64"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02158AF"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A54220A"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8AACC20"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1B65B015"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720E1E8"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38757AD"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A3B4BE1"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FDAF43D"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DD8D1E2"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51F8792F" w14:textId="77777777" w:rsidR="00FA7EBF" w:rsidRPr="001D2FFF" w:rsidRDefault="00FA7EBF" w:rsidP="007B207C">
            <w:pPr>
              <w:pStyle w:val="ARfintablebodyright"/>
              <w:ind w:right="0"/>
              <w:rPr>
                <w:sz w:val="15"/>
                <w:szCs w:val="15"/>
              </w:rPr>
            </w:pPr>
            <w:r w:rsidRPr="001D2FFF">
              <w:rPr>
                <w:sz w:val="15"/>
                <w:szCs w:val="15"/>
              </w:rPr>
              <w:t>491.1</w:t>
            </w:r>
          </w:p>
        </w:tc>
        <w:tc>
          <w:tcPr>
            <w:tcW w:w="630" w:type="dxa"/>
            <w:tcBorders>
              <w:top w:val="single" w:sz="4" w:space="0" w:color="A6A6A6" w:themeColor="background1" w:themeShade="A6"/>
              <w:bottom w:val="single" w:sz="4" w:space="0" w:color="A6A6A6" w:themeColor="background1" w:themeShade="A6"/>
            </w:tcBorders>
          </w:tcPr>
          <w:p w14:paraId="444DCEC0"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8016AF2" w14:textId="77777777" w:rsidR="00FA7EBF" w:rsidRPr="001D2FFF" w:rsidRDefault="00FA7EBF" w:rsidP="007B207C">
            <w:pPr>
              <w:pStyle w:val="ARfintablebodyright"/>
              <w:ind w:right="0"/>
              <w:rPr>
                <w:sz w:val="15"/>
                <w:szCs w:val="15"/>
              </w:rPr>
            </w:pPr>
            <w:r>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6970C5E4" w14:textId="77777777" w:rsidR="00FA7EBF" w:rsidRPr="001D2FFF" w:rsidRDefault="00FA7EBF" w:rsidP="007B207C">
            <w:pPr>
              <w:pStyle w:val="ARfintablebodyright"/>
              <w:ind w:right="0"/>
              <w:rPr>
                <w:sz w:val="15"/>
                <w:szCs w:val="15"/>
              </w:rPr>
            </w:pPr>
            <w:r w:rsidRPr="001D2FFF">
              <w:rPr>
                <w:sz w:val="15"/>
                <w:szCs w:val="15"/>
              </w:rPr>
              <w:t>491.1</w:t>
            </w:r>
          </w:p>
        </w:tc>
      </w:tr>
      <w:tr w:rsidR="00FA7EBF" w:rsidRPr="007939DD" w14:paraId="28CBE32C"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7D3302C1" w14:textId="77777777" w:rsidR="00FA7EBF" w:rsidRPr="007939DD" w:rsidRDefault="00FA7EBF" w:rsidP="007B207C">
            <w:pPr>
              <w:pStyle w:val="ARfintablebody"/>
              <w:rPr>
                <w:sz w:val="13"/>
                <w:szCs w:val="13"/>
                <w:lang w:eastAsia="en-AU"/>
              </w:rPr>
            </w:pPr>
            <w:r w:rsidRPr="00CD0B09">
              <w:t>Grants and other income transfers</w:t>
            </w:r>
          </w:p>
        </w:tc>
        <w:tc>
          <w:tcPr>
            <w:tcW w:w="629" w:type="dxa"/>
            <w:tcBorders>
              <w:top w:val="single" w:sz="4" w:space="0" w:color="A6A6A6" w:themeColor="background1" w:themeShade="A6"/>
              <w:bottom w:val="single" w:sz="4" w:space="0" w:color="A6A6A6" w:themeColor="background1" w:themeShade="A6"/>
            </w:tcBorders>
          </w:tcPr>
          <w:p w14:paraId="28FD9994" w14:textId="77777777" w:rsidR="00FA7EBF" w:rsidRPr="001D2FFF" w:rsidRDefault="00FA7EBF" w:rsidP="007B207C">
            <w:pPr>
              <w:pStyle w:val="ARfintablebodyright"/>
              <w:ind w:right="0"/>
              <w:rPr>
                <w:sz w:val="15"/>
                <w:szCs w:val="15"/>
              </w:rPr>
            </w:pPr>
            <w:r w:rsidRPr="001D2FFF">
              <w:rPr>
                <w:sz w:val="15"/>
                <w:szCs w:val="15"/>
              </w:rPr>
              <w:t>359.8</w:t>
            </w:r>
          </w:p>
        </w:tc>
        <w:tc>
          <w:tcPr>
            <w:tcW w:w="629" w:type="dxa"/>
            <w:tcBorders>
              <w:top w:val="single" w:sz="4" w:space="0" w:color="A6A6A6" w:themeColor="background1" w:themeShade="A6"/>
              <w:bottom w:val="single" w:sz="4" w:space="0" w:color="A6A6A6" w:themeColor="background1" w:themeShade="A6"/>
            </w:tcBorders>
          </w:tcPr>
          <w:p w14:paraId="23F99929" w14:textId="77777777" w:rsidR="00FA7EBF" w:rsidRPr="001D2FFF" w:rsidRDefault="00FA7EBF" w:rsidP="007B207C">
            <w:pPr>
              <w:pStyle w:val="ARfintablebodyright"/>
              <w:ind w:right="0"/>
              <w:rPr>
                <w:sz w:val="15"/>
                <w:szCs w:val="15"/>
              </w:rPr>
            </w:pPr>
            <w:r w:rsidRPr="001D2FFF">
              <w:rPr>
                <w:sz w:val="15"/>
                <w:szCs w:val="15"/>
              </w:rPr>
              <w:t>5.7</w:t>
            </w:r>
          </w:p>
        </w:tc>
        <w:tc>
          <w:tcPr>
            <w:tcW w:w="629" w:type="dxa"/>
            <w:tcBorders>
              <w:top w:val="single" w:sz="4" w:space="0" w:color="A6A6A6" w:themeColor="background1" w:themeShade="A6"/>
              <w:bottom w:val="single" w:sz="4" w:space="0" w:color="A6A6A6" w:themeColor="background1" w:themeShade="A6"/>
            </w:tcBorders>
          </w:tcPr>
          <w:p w14:paraId="39757DEE" w14:textId="77777777" w:rsidR="00FA7EBF" w:rsidRPr="001D2FFF" w:rsidRDefault="00FA7EBF" w:rsidP="007B207C">
            <w:pPr>
              <w:pStyle w:val="ARfintablebodyright"/>
              <w:ind w:right="0"/>
              <w:rPr>
                <w:sz w:val="15"/>
                <w:szCs w:val="15"/>
              </w:rPr>
            </w:pPr>
            <w:r w:rsidRPr="001D2FFF">
              <w:rPr>
                <w:sz w:val="15"/>
                <w:szCs w:val="15"/>
              </w:rPr>
              <w:t>400.9</w:t>
            </w:r>
          </w:p>
        </w:tc>
        <w:tc>
          <w:tcPr>
            <w:tcW w:w="629" w:type="dxa"/>
            <w:tcBorders>
              <w:top w:val="single" w:sz="4" w:space="0" w:color="A6A6A6" w:themeColor="background1" w:themeShade="A6"/>
              <w:bottom w:val="single" w:sz="4" w:space="0" w:color="A6A6A6" w:themeColor="background1" w:themeShade="A6"/>
            </w:tcBorders>
          </w:tcPr>
          <w:p w14:paraId="6B6CEA9A" w14:textId="77777777" w:rsidR="00FA7EBF" w:rsidRPr="001D2FFF" w:rsidRDefault="00FA7EBF" w:rsidP="007B207C">
            <w:pPr>
              <w:pStyle w:val="ARfintablebodyright"/>
              <w:ind w:right="0"/>
              <w:rPr>
                <w:sz w:val="15"/>
                <w:szCs w:val="15"/>
              </w:rPr>
            </w:pPr>
            <w:r w:rsidRPr="001D2FFF">
              <w:rPr>
                <w:sz w:val="15"/>
                <w:szCs w:val="15"/>
              </w:rPr>
              <w:t>0.9</w:t>
            </w:r>
          </w:p>
        </w:tc>
        <w:tc>
          <w:tcPr>
            <w:tcW w:w="630" w:type="dxa"/>
            <w:tcBorders>
              <w:top w:val="single" w:sz="4" w:space="0" w:color="A6A6A6" w:themeColor="background1" w:themeShade="A6"/>
              <w:bottom w:val="single" w:sz="4" w:space="0" w:color="A6A6A6" w:themeColor="background1" w:themeShade="A6"/>
            </w:tcBorders>
          </w:tcPr>
          <w:p w14:paraId="4C70F94D"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518D36B" w14:textId="77777777" w:rsidR="00FA7EBF" w:rsidRPr="001D2FFF" w:rsidRDefault="00FA7EBF" w:rsidP="007B207C">
            <w:pPr>
              <w:pStyle w:val="ARfintablebodyright"/>
              <w:ind w:right="0"/>
              <w:rPr>
                <w:sz w:val="15"/>
                <w:szCs w:val="15"/>
              </w:rPr>
            </w:pPr>
            <w:r w:rsidRPr="001D2FFF">
              <w:rPr>
                <w:sz w:val="15"/>
                <w:szCs w:val="15"/>
              </w:rPr>
              <w:t>92.1</w:t>
            </w:r>
          </w:p>
        </w:tc>
        <w:tc>
          <w:tcPr>
            <w:tcW w:w="630" w:type="dxa"/>
            <w:tcBorders>
              <w:top w:val="single" w:sz="4" w:space="0" w:color="A6A6A6" w:themeColor="background1" w:themeShade="A6"/>
              <w:bottom w:val="single" w:sz="4" w:space="0" w:color="A6A6A6" w:themeColor="background1" w:themeShade="A6"/>
            </w:tcBorders>
          </w:tcPr>
          <w:p w14:paraId="44737E8C" w14:textId="77777777" w:rsidR="00FA7EBF" w:rsidRPr="001D2FFF" w:rsidRDefault="00FA7EBF" w:rsidP="007B207C">
            <w:pPr>
              <w:pStyle w:val="ARfintablebodyright"/>
              <w:ind w:right="0"/>
              <w:rPr>
                <w:sz w:val="15"/>
                <w:szCs w:val="15"/>
              </w:rPr>
            </w:pPr>
            <w:r w:rsidRPr="001D2FFF">
              <w:rPr>
                <w:sz w:val="15"/>
                <w:szCs w:val="15"/>
              </w:rPr>
              <w:t>147.5</w:t>
            </w:r>
          </w:p>
        </w:tc>
        <w:tc>
          <w:tcPr>
            <w:tcW w:w="630" w:type="dxa"/>
            <w:tcBorders>
              <w:top w:val="single" w:sz="4" w:space="0" w:color="A6A6A6" w:themeColor="background1" w:themeShade="A6"/>
              <w:bottom w:val="single" w:sz="4" w:space="0" w:color="A6A6A6" w:themeColor="background1" w:themeShade="A6"/>
            </w:tcBorders>
          </w:tcPr>
          <w:p w14:paraId="1DCA9010" w14:textId="77777777" w:rsidR="00FA7EBF" w:rsidRPr="001D2FFF" w:rsidRDefault="00FA7EBF" w:rsidP="007B207C">
            <w:pPr>
              <w:pStyle w:val="ARfintablebodyright"/>
              <w:ind w:right="0"/>
              <w:rPr>
                <w:sz w:val="15"/>
                <w:szCs w:val="15"/>
              </w:rPr>
            </w:pPr>
            <w:r w:rsidRPr="001D2FFF">
              <w:rPr>
                <w:sz w:val="15"/>
                <w:szCs w:val="15"/>
              </w:rPr>
              <w:t>87.3</w:t>
            </w:r>
          </w:p>
        </w:tc>
        <w:tc>
          <w:tcPr>
            <w:tcW w:w="630" w:type="dxa"/>
            <w:tcBorders>
              <w:top w:val="single" w:sz="4" w:space="0" w:color="A6A6A6" w:themeColor="background1" w:themeShade="A6"/>
              <w:bottom w:val="single" w:sz="4" w:space="0" w:color="A6A6A6" w:themeColor="background1" w:themeShade="A6"/>
            </w:tcBorders>
          </w:tcPr>
          <w:p w14:paraId="7F05690F" w14:textId="77777777" w:rsidR="00FA7EBF" w:rsidRPr="001D2FFF" w:rsidRDefault="00FA7EBF" w:rsidP="007B207C">
            <w:pPr>
              <w:pStyle w:val="ARfintablebodyright"/>
              <w:ind w:right="0"/>
              <w:rPr>
                <w:sz w:val="15"/>
                <w:szCs w:val="15"/>
              </w:rPr>
            </w:pPr>
            <w:r w:rsidRPr="001D2FFF">
              <w:rPr>
                <w:sz w:val="15"/>
                <w:szCs w:val="15"/>
              </w:rPr>
              <w:t>4.4</w:t>
            </w:r>
          </w:p>
        </w:tc>
        <w:tc>
          <w:tcPr>
            <w:tcW w:w="630" w:type="dxa"/>
            <w:tcBorders>
              <w:top w:val="single" w:sz="4" w:space="0" w:color="A6A6A6" w:themeColor="background1" w:themeShade="A6"/>
              <w:bottom w:val="single" w:sz="4" w:space="0" w:color="A6A6A6" w:themeColor="background1" w:themeShade="A6"/>
            </w:tcBorders>
          </w:tcPr>
          <w:p w14:paraId="0D9C6DF2" w14:textId="77777777" w:rsidR="00FA7EBF" w:rsidRPr="001D2FFF" w:rsidRDefault="00FA7EBF" w:rsidP="007B207C">
            <w:pPr>
              <w:pStyle w:val="ARfintablebodyright"/>
              <w:ind w:right="0"/>
              <w:rPr>
                <w:sz w:val="15"/>
                <w:szCs w:val="15"/>
              </w:rPr>
            </w:pPr>
            <w:r w:rsidRPr="001D2FFF">
              <w:rPr>
                <w:sz w:val="15"/>
                <w:szCs w:val="15"/>
              </w:rPr>
              <w:t>9.6</w:t>
            </w:r>
          </w:p>
        </w:tc>
        <w:tc>
          <w:tcPr>
            <w:tcW w:w="630" w:type="dxa"/>
            <w:tcBorders>
              <w:top w:val="single" w:sz="4" w:space="0" w:color="A6A6A6" w:themeColor="background1" w:themeShade="A6"/>
              <w:bottom w:val="single" w:sz="4" w:space="0" w:color="A6A6A6" w:themeColor="background1" w:themeShade="A6"/>
            </w:tcBorders>
          </w:tcPr>
          <w:p w14:paraId="45329C61"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1A6094F" w14:textId="77777777" w:rsidR="00FA7EBF" w:rsidRPr="001D2FFF" w:rsidRDefault="00FA7EBF" w:rsidP="007B207C">
            <w:pPr>
              <w:pStyle w:val="ARfintablebodyright"/>
              <w:ind w:right="0"/>
              <w:rPr>
                <w:sz w:val="15"/>
                <w:szCs w:val="15"/>
              </w:rPr>
            </w:pPr>
            <w:r w:rsidRPr="001D2FFF">
              <w:rPr>
                <w:sz w:val="15"/>
                <w:szCs w:val="15"/>
              </w:rPr>
              <w:t>2.2</w:t>
            </w:r>
          </w:p>
        </w:tc>
        <w:tc>
          <w:tcPr>
            <w:tcW w:w="630" w:type="dxa"/>
            <w:tcBorders>
              <w:top w:val="single" w:sz="4" w:space="0" w:color="A6A6A6" w:themeColor="background1" w:themeShade="A6"/>
              <w:bottom w:val="single" w:sz="4" w:space="0" w:color="A6A6A6" w:themeColor="background1" w:themeShade="A6"/>
            </w:tcBorders>
          </w:tcPr>
          <w:p w14:paraId="19BFEDE6"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3164DFE" w14:textId="77777777" w:rsidR="00FA7EBF" w:rsidRPr="001D2FFF" w:rsidRDefault="00FA7EBF" w:rsidP="007B207C">
            <w:pPr>
              <w:pStyle w:val="ARfintablebodyright"/>
              <w:ind w:right="0"/>
              <w:rPr>
                <w:sz w:val="15"/>
                <w:szCs w:val="15"/>
              </w:rPr>
            </w:pPr>
            <w:r w:rsidRPr="001D2FFF">
              <w:rPr>
                <w:sz w:val="15"/>
                <w:szCs w:val="15"/>
              </w:rPr>
              <w:t>18.8</w:t>
            </w:r>
          </w:p>
        </w:tc>
        <w:tc>
          <w:tcPr>
            <w:tcW w:w="630" w:type="dxa"/>
            <w:tcBorders>
              <w:top w:val="single" w:sz="4" w:space="0" w:color="A6A6A6" w:themeColor="background1" w:themeShade="A6"/>
              <w:bottom w:val="single" w:sz="4" w:space="0" w:color="A6A6A6" w:themeColor="background1" w:themeShade="A6"/>
            </w:tcBorders>
          </w:tcPr>
          <w:p w14:paraId="39BB0761" w14:textId="77777777" w:rsidR="00FA7EBF" w:rsidRPr="001D2FFF" w:rsidRDefault="00FA7EBF" w:rsidP="007B207C">
            <w:pPr>
              <w:pStyle w:val="ARfintablebodyright"/>
              <w:ind w:right="0"/>
              <w:rPr>
                <w:sz w:val="15"/>
                <w:szCs w:val="15"/>
              </w:rPr>
            </w:pPr>
            <w:r w:rsidRPr="001D2FFF">
              <w:rPr>
                <w:sz w:val="15"/>
                <w:szCs w:val="15"/>
              </w:rPr>
              <w:t>11.4</w:t>
            </w:r>
          </w:p>
        </w:tc>
        <w:tc>
          <w:tcPr>
            <w:tcW w:w="630" w:type="dxa"/>
            <w:tcBorders>
              <w:top w:val="single" w:sz="4" w:space="0" w:color="A6A6A6" w:themeColor="background1" w:themeShade="A6"/>
              <w:bottom w:val="single" w:sz="4" w:space="0" w:color="A6A6A6" w:themeColor="background1" w:themeShade="A6"/>
            </w:tcBorders>
          </w:tcPr>
          <w:p w14:paraId="5716E2B0" w14:textId="77777777" w:rsidR="00FA7EBF" w:rsidRPr="001D2FFF" w:rsidRDefault="00FA7EBF" w:rsidP="007B207C">
            <w:pPr>
              <w:pStyle w:val="ARfintablebodyright"/>
              <w:ind w:right="0"/>
              <w:rPr>
                <w:sz w:val="15"/>
                <w:szCs w:val="15"/>
              </w:rPr>
            </w:pPr>
            <w:r w:rsidRPr="001D2FFF">
              <w:rPr>
                <w:sz w:val="15"/>
                <w:szCs w:val="15"/>
              </w:rPr>
              <w:t>2.4</w:t>
            </w:r>
          </w:p>
        </w:tc>
        <w:tc>
          <w:tcPr>
            <w:tcW w:w="630" w:type="dxa"/>
            <w:tcBorders>
              <w:top w:val="single" w:sz="4" w:space="0" w:color="A6A6A6" w:themeColor="background1" w:themeShade="A6"/>
              <w:bottom w:val="single" w:sz="4" w:space="0" w:color="A6A6A6" w:themeColor="background1" w:themeShade="A6"/>
            </w:tcBorders>
          </w:tcPr>
          <w:p w14:paraId="24035A99" w14:textId="77777777" w:rsidR="00FA7EBF" w:rsidRPr="001D2FFF" w:rsidRDefault="00FA7EBF" w:rsidP="007B207C">
            <w:pPr>
              <w:pStyle w:val="ARfintablebodyright"/>
              <w:ind w:right="0"/>
              <w:rPr>
                <w:sz w:val="15"/>
                <w:szCs w:val="15"/>
              </w:rPr>
            </w:pPr>
            <w:r w:rsidRPr="001D2FFF">
              <w:rPr>
                <w:sz w:val="15"/>
                <w:szCs w:val="15"/>
              </w:rPr>
              <w:t>(9.5)</w:t>
            </w:r>
          </w:p>
        </w:tc>
        <w:tc>
          <w:tcPr>
            <w:tcW w:w="778" w:type="dxa"/>
            <w:tcBorders>
              <w:top w:val="single" w:sz="4" w:space="0" w:color="A6A6A6" w:themeColor="background1" w:themeShade="A6"/>
              <w:bottom w:val="single" w:sz="4" w:space="0" w:color="A6A6A6" w:themeColor="background1" w:themeShade="A6"/>
            </w:tcBorders>
          </w:tcPr>
          <w:p w14:paraId="2FB75F33" w14:textId="77777777" w:rsidR="00FA7EBF" w:rsidRPr="001D2FFF" w:rsidRDefault="00FA7EBF" w:rsidP="007B207C">
            <w:pPr>
              <w:pStyle w:val="ARfintablebodyright"/>
              <w:ind w:right="0"/>
              <w:rPr>
                <w:sz w:val="15"/>
                <w:szCs w:val="15"/>
              </w:rPr>
            </w:pPr>
            <w:r w:rsidRPr="001D2FFF">
              <w:rPr>
                <w:sz w:val="15"/>
                <w:szCs w:val="15"/>
              </w:rPr>
              <w:t>1,133.6</w:t>
            </w:r>
          </w:p>
        </w:tc>
      </w:tr>
      <w:tr w:rsidR="00FA7EBF" w:rsidRPr="007939DD" w14:paraId="0F4666FF"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30D6D8F1" w14:textId="77777777" w:rsidR="00FA7EBF" w:rsidRPr="007939DD" w:rsidRDefault="00FA7EBF" w:rsidP="007B207C">
            <w:pPr>
              <w:pStyle w:val="ARfintablebody"/>
              <w:rPr>
                <w:sz w:val="13"/>
                <w:szCs w:val="13"/>
                <w:lang w:eastAsia="en-AU"/>
              </w:rPr>
            </w:pPr>
            <w:r w:rsidRPr="00CD0B09">
              <w:t>Other income</w:t>
            </w:r>
          </w:p>
        </w:tc>
        <w:tc>
          <w:tcPr>
            <w:tcW w:w="629" w:type="dxa"/>
            <w:tcBorders>
              <w:top w:val="single" w:sz="4" w:space="0" w:color="A6A6A6" w:themeColor="background1" w:themeShade="A6"/>
              <w:bottom w:val="single" w:sz="4" w:space="0" w:color="A6A6A6" w:themeColor="background1" w:themeShade="A6"/>
            </w:tcBorders>
          </w:tcPr>
          <w:p w14:paraId="3D4D53BE" w14:textId="77777777" w:rsidR="00FA7EBF" w:rsidRPr="001D2FFF" w:rsidRDefault="00FA7EBF" w:rsidP="007B207C">
            <w:pPr>
              <w:pStyle w:val="ARfintablebodyright"/>
              <w:ind w:right="0"/>
              <w:rPr>
                <w:sz w:val="15"/>
                <w:szCs w:val="15"/>
              </w:rPr>
            </w:pPr>
            <w:r w:rsidRPr="001D2FFF">
              <w:rPr>
                <w:sz w:val="15"/>
                <w:szCs w:val="15"/>
              </w:rPr>
              <w:t>63.5</w:t>
            </w:r>
          </w:p>
        </w:tc>
        <w:tc>
          <w:tcPr>
            <w:tcW w:w="629" w:type="dxa"/>
            <w:tcBorders>
              <w:top w:val="single" w:sz="4" w:space="0" w:color="A6A6A6" w:themeColor="background1" w:themeShade="A6"/>
              <w:bottom w:val="single" w:sz="4" w:space="0" w:color="A6A6A6" w:themeColor="background1" w:themeShade="A6"/>
            </w:tcBorders>
          </w:tcPr>
          <w:p w14:paraId="5A9270B8" w14:textId="77777777" w:rsidR="00FA7EBF" w:rsidRPr="001D2FFF" w:rsidRDefault="00FA7EBF" w:rsidP="007B207C">
            <w:pPr>
              <w:pStyle w:val="ARfintablebodyright"/>
              <w:ind w:right="0"/>
              <w:rPr>
                <w:sz w:val="15"/>
                <w:szCs w:val="15"/>
              </w:rPr>
            </w:pPr>
            <w:r>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3EFB34BC" w14:textId="77777777" w:rsidR="00FA7EBF" w:rsidRPr="001D2FFF" w:rsidRDefault="00FA7EBF" w:rsidP="007B207C">
            <w:pPr>
              <w:pStyle w:val="ARfintablebodyright"/>
              <w:ind w:right="0"/>
              <w:rPr>
                <w:sz w:val="15"/>
                <w:szCs w:val="15"/>
              </w:rPr>
            </w:pPr>
            <w:r>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4622EDBB"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5070C2E"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A6B141B" w14:textId="77777777" w:rsidR="00FA7EBF" w:rsidRPr="001D2FFF" w:rsidRDefault="00FA7EBF" w:rsidP="007B207C">
            <w:pPr>
              <w:pStyle w:val="ARfintablebodyright"/>
              <w:ind w:right="0"/>
              <w:rPr>
                <w:sz w:val="15"/>
                <w:szCs w:val="15"/>
              </w:rPr>
            </w:pPr>
            <w:r w:rsidRPr="001D2FFF">
              <w:rPr>
                <w:sz w:val="15"/>
                <w:szCs w:val="15"/>
              </w:rPr>
              <w:t>0.1</w:t>
            </w:r>
          </w:p>
        </w:tc>
        <w:tc>
          <w:tcPr>
            <w:tcW w:w="630" w:type="dxa"/>
            <w:tcBorders>
              <w:top w:val="single" w:sz="4" w:space="0" w:color="A6A6A6" w:themeColor="background1" w:themeShade="A6"/>
              <w:bottom w:val="single" w:sz="4" w:space="0" w:color="A6A6A6" w:themeColor="background1" w:themeShade="A6"/>
            </w:tcBorders>
          </w:tcPr>
          <w:p w14:paraId="38EF3004" w14:textId="77777777" w:rsidR="00FA7EBF" w:rsidRPr="001D2FFF" w:rsidRDefault="00FA7EBF" w:rsidP="007B207C">
            <w:pPr>
              <w:pStyle w:val="ARfintablebodyright"/>
              <w:ind w:right="0"/>
              <w:rPr>
                <w:sz w:val="15"/>
                <w:szCs w:val="15"/>
              </w:rPr>
            </w:pPr>
            <w:r w:rsidRPr="001D2FFF">
              <w:rPr>
                <w:sz w:val="15"/>
                <w:szCs w:val="15"/>
              </w:rPr>
              <w:t>1.5</w:t>
            </w:r>
          </w:p>
        </w:tc>
        <w:tc>
          <w:tcPr>
            <w:tcW w:w="630" w:type="dxa"/>
            <w:tcBorders>
              <w:top w:val="single" w:sz="4" w:space="0" w:color="A6A6A6" w:themeColor="background1" w:themeShade="A6"/>
              <w:bottom w:val="single" w:sz="4" w:space="0" w:color="A6A6A6" w:themeColor="background1" w:themeShade="A6"/>
            </w:tcBorders>
          </w:tcPr>
          <w:p w14:paraId="4B11EBFC"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996F6EB" w14:textId="77777777" w:rsidR="00FA7EBF" w:rsidRPr="001D2FFF" w:rsidRDefault="00FA7EBF" w:rsidP="007B207C">
            <w:pPr>
              <w:pStyle w:val="ARfintablebodyright"/>
              <w:ind w:right="0"/>
              <w:rPr>
                <w:sz w:val="15"/>
                <w:szCs w:val="15"/>
              </w:rPr>
            </w:pPr>
            <w:r w:rsidRPr="001D2FFF">
              <w:rPr>
                <w:sz w:val="15"/>
                <w:szCs w:val="15"/>
              </w:rPr>
              <w:t>0.5</w:t>
            </w:r>
          </w:p>
        </w:tc>
        <w:tc>
          <w:tcPr>
            <w:tcW w:w="630" w:type="dxa"/>
            <w:tcBorders>
              <w:top w:val="single" w:sz="4" w:space="0" w:color="A6A6A6" w:themeColor="background1" w:themeShade="A6"/>
              <w:bottom w:val="single" w:sz="4" w:space="0" w:color="A6A6A6" w:themeColor="background1" w:themeShade="A6"/>
            </w:tcBorders>
          </w:tcPr>
          <w:p w14:paraId="7F8B5D13" w14:textId="77777777" w:rsidR="00FA7EBF" w:rsidRPr="001D2FFF" w:rsidRDefault="00FA7EBF" w:rsidP="007B207C">
            <w:pPr>
              <w:pStyle w:val="ARfintablebodyright"/>
              <w:ind w:right="0"/>
              <w:rPr>
                <w:sz w:val="15"/>
                <w:szCs w:val="15"/>
              </w:rPr>
            </w:pPr>
            <w:r w:rsidRPr="001D2FFF">
              <w:rPr>
                <w:sz w:val="15"/>
                <w:szCs w:val="15"/>
              </w:rPr>
              <w:t>0.8</w:t>
            </w:r>
          </w:p>
        </w:tc>
        <w:tc>
          <w:tcPr>
            <w:tcW w:w="630" w:type="dxa"/>
            <w:tcBorders>
              <w:top w:val="single" w:sz="4" w:space="0" w:color="A6A6A6" w:themeColor="background1" w:themeShade="A6"/>
              <w:bottom w:val="single" w:sz="4" w:space="0" w:color="A6A6A6" w:themeColor="background1" w:themeShade="A6"/>
            </w:tcBorders>
          </w:tcPr>
          <w:p w14:paraId="207E9B97"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423A2BC" w14:textId="77777777" w:rsidR="00FA7EBF" w:rsidRPr="001D2FFF" w:rsidRDefault="00FA7EBF" w:rsidP="007B207C">
            <w:pPr>
              <w:pStyle w:val="ARfintablebodyright"/>
              <w:ind w:right="0"/>
              <w:rPr>
                <w:sz w:val="15"/>
                <w:szCs w:val="15"/>
              </w:rPr>
            </w:pPr>
            <w:r w:rsidRPr="001D2FFF">
              <w:rPr>
                <w:sz w:val="15"/>
                <w:szCs w:val="15"/>
              </w:rPr>
              <w:t>2.8</w:t>
            </w:r>
          </w:p>
        </w:tc>
        <w:tc>
          <w:tcPr>
            <w:tcW w:w="630" w:type="dxa"/>
            <w:tcBorders>
              <w:top w:val="single" w:sz="4" w:space="0" w:color="A6A6A6" w:themeColor="background1" w:themeShade="A6"/>
              <w:bottom w:val="single" w:sz="4" w:space="0" w:color="A6A6A6" w:themeColor="background1" w:themeShade="A6"/>
            </w:tcBorders>
          </w:tcPr>
          <w:p w14:paraId="5626C696"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89D3C7D"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32652A4" w14:textId="77777777" w:rsidR="00FA7EBF" w:rsidRPr="001D2FFF" w:rsidRDefault="00FA7EBF" w:rsidP="007B207C">
            <w:pPr>
              <w:pStyle w:val="ARfintablebodyright"/>
              <w:ind w:right="0"/>
              <w:rPr>
                <w:sz w:val="15"/>
                <w:szCs w:val="15"/>
              </w:rPr>
            </w:pPr>
            <w:r w:rsidRPr="001D2FFF">
              <w:rPr>
                <w:sz w:val="15"/>
                <w:szCs w:val="15"/>
              </w:rPr>
              <w:t>3.5</w:t>
            </w:r>
          </w:p>
        </w:tc>
        <w:tc>
          <w:tcPr>
            <w:tcW w:w="630" w:type="dxa"/>
            <w:tcBorders>
              <w:top w:val="single" w:sz="4" w:space="0" w:color="A6A6A6" w:themeColor="background1" w:themeShade="A6"/>
              <w:bottom w:val="single" w:sz="4" w:space="0" w:color="A6A6A6" w:themeColor="background1" w:themeShade="A6"/>
            </w:tcBorders>
          </w:tcPr>
          <w:p w14:paraId="603D1F24"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3E07F72" w14:textId="77777777" w:rsidR="00FA7EBF" w:rsidRPr="001D2FFF" w:rsidRDefault="00FA7EBF" w:rsidP="007B207C">
            <w:pPr>
              <w:pStyle w:val="ARfintablebodyright"/>
              <w:ind w:right="0"/>
              <w:rPr>
                <w:sz w:val="15"/>
                <w:szCs w:val="15"/>
              </w:rPr>
            </w:pPr>
            <w:r>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76860A4F" w14:textId="77777777" w:rsidR="00FA7EBF" w:rsidRPr="001D2FFF" w:rsidRDefault="00FA7EBF" w:rsidP="007B207C">
            <w:pPr>
              <w:pStyle w:val="ARfintablebodyright"/>
              <w:ind w:right="0"/>
              <w:rPr>
                <w:sz w:val="15"/>
                <w:szCs w:val="15"/>
              </w:rPr>
            </w:pPr>
            <w:r w:rsidRPr="001D2FFF">
              <w:rPr>
                <w:sz w:val="15"/>
                <w:szCs w:val="15"/>
              </w:rPr>
              <w:t>72.7</w:t>
            </w:r>
          </w:p>
        </w:tc>
      </w:tr>
      <w:tr w:rsidR="00FA7EBF" w:rsidRPr="007939DD" w14:paraId="43E93D4A" w14:textId="77777777" w:rsidTr="007B207C">
        <w:trPr>
          <w:cantSplit/>
        </w:trPr>
        <w:tc>
          <w:tcPr>
            <w:tcW w:w="2975" w:type="dxa"/>
            <w:tcBorders>
              <w:top w:val="single" w:sz="4" w:space="0" w:color="A6A6A6" w:themeColor="background1" w:themeShade="A6"/>
            </w:tcBorders>
          </w:tcPr>
          <w:p w14:paraId="1AEA0680" w14:textId="77777777" w:rsidR="00FA7EBF" w:rsidRPr="007939DD" w:rsidRDefault="00FA7EBF" w:rsidP="007B207C">
            <w:pPr>
              <w:pStyle w:val="ARfintablebody"/>
              <w:rPr>
                <w:sz w:val="13"/>
                <w:szCs w:val="13"/>
                <w:lang w:eastAsia="en-AU"/>
              </w:rPr>
            </w:pPr>
            <w:r w:rsidRPr="00CD0B09">
              <w:t>Fair value of assets and services received free of charge or for nominal consideration</w:t>
            </w:r>
          </w:p>
        </w:tc>
        <w:tc>
          <w:tcPr>
            <w:tcW w:w="629" w:type="dxa"/>
            <w:tcBorders>
              <w:top w:val="single" w:sz="4" w:space="0" w:color="A6A6A6" w:themeColor="background1" w:themeShade="A6"/>
            </w:tcBorders>
          </w:tcPr>
          <w:p w14:paraId="1F082961" w14:textId="77777777" w:rsidR="00FA7EBF" w:rsidRPr="001D2FFF" w:rsidRDefault="00FA7EBF" w:rsidP="007B207C">
            <w:pPr>
              <w:pStyle w:val="ARfintablebodyright"/>
              <w:ind w:right="0"/>
              <w:rPr>
                <w:sz w:val="15"/>
                <w:szCs w:val="15"/>
              </w:rPr>
            </w:pPr>
            <w:r w:rsidRPr="001D2FFF">
              <w:rPr>
                <w:sz w:val="15"/>
                <w:szCs w:val="15"/>
              </w:rPr>
              <w:t>2.4</w:t>
            </w:r>
          </w:p>
        </w:tc>
        <w:tc>
          <w:tcPr>
            <w:tcW w:w="629" w:type="dxa"/>
            <w:tcBorders>
              <w:top w:val="single" w:sz="4" w:space="0" w:color="A6A6A6" w:themeColor="background1" w:themeShade="A6"/>
            </w:tcBorders>
          </w:tcPr>
          <w:p w14:paraId="17282FA7" w14:textId="77777777" w:rsidR="00FA7EBF" w:rsidRPr="001D2FFF" w:rsidRDefault="00FA7EBF" w:rsidP="007B207C">
            <w:pPr>
              <w:pStyle w:val="ARfintablebodyright"/>
              <w:ind w:right="0"/>
              <w:rPr>
                <w:sz w:val="15"/>
                <w:szCs w:val="15"/>
              </w:rPr>
            </w:pPr>
            <w:r>
              <w:rPr>
                <w:sz w:val="15"/>
                <w:szCs w:val="15"/>
              </w:rPr>
              <w:t>–</w:t>
            </w:r>
          </w:p>
        </w:tc>
        <w:tc>
          <w:tcPr>
            <w:tcW w:w="629" w:type="dxa"/>
            <w:tcBorders>
              <w:top w:val="single" w:sz="4" w:space="0" w:color="A6A6A6" w:themeColor="background1" w:themeShade="A6"/>
            </w:tcBorders>
          </w:tcPr>
          <w:p w14:paraId="7BB8E318" w14:textId="77777777" w:rsidR="00FA7EBF" w:rsidRPr="001D2FFF" w:rsidRDefault="00FA7EBF" w:rsidP="007B207C">
            <w:pPr>
              <w:pStyle w:val="ARfintablebodyright"/>
              <w:ind w:right="0"/>
              <w:rPr>
                <w:sz w:val="15"/>
                <w:szCs w:val="15"/>
              </w:rPr>
            </w:pPr>
            <w:r>
              <w:rPr>
                <w:sz w:val="15"/>
                <w:szCs w:val="15"/>
              </w:rPr>
              <w:t>–</w:t>
            </w:r>
          </w:p>
        </w:tc>
        <w:tc>
          <w:tcPr>
            <w:tcW w:w="629" w:type="dxa"/>
            <w:tcBorders>
              <w:top w:val="single" w:sz="4" w:space="0" w:color="A6A6A6" w:themeColor="background1" w:themeShade="A6"/>
            </w:tcBorders>
          </w:tcPr>
          <w:p w14:paraId="7EED1038"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tcBorders>
          </w:tcPr>
          <w:p w14:paraId="679421F6"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tcBorders>
          </w:tcPr>
          <w:p w14:paraId="38E7D0AE"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tcBorders>
          </w:tcPr>
          <w:p w14:paraId="303D75C9"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tcBorders>
          </w:tcPr>
          <w:p w14:paraId="40DC59F0"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tcBorders>
          </w:tcPr>
          <w:p w14:paraId="607335AF" w14:textId="77777777" w:rsidR="00FA7EBF" w:rsidRPr="001D2FFF" w:rsidRDefault="00FA7EBF" w:rsidP="007B207C">
            <w:pPr>
              <w:pStyle w:val="ARfintablebodyright"/>
              <w:ind w:right="0"/>
              <w:rPr>
                <w:sz w:val="15"/>
                <w:szCs w:val="15"/>
              </w:rPr>
            </w:pPr>
            <w:r w:rsidRPr="001D2FFF">
              <w:rPr>
                <w:sz w:val="15"/>
                <w:szCs w:val="15"/>
              </w:rPr>
              <w:t>0.2</w:t>
            </w:r>
          </w:p>
        </w:tc>
        <w:tc>
          <w:tcPr>
            <w:tcW w:w="630" w:type="dxa"/>
            <w:tcBorders>
              <w:top w:val="single" w:sz="4" w:space="0" w:color="A6A6A6" w:themeColor="background1" w:themeShade="A6"/>
            </w:tcBorders>
          </w:tcPr>
          <w:p w14:paraId="3EDF7130"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tcBorders>
          </w:tcPr>
          <w:p w14:paraId="1D060685"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tcBorders>
          </w:tcPr>
          <w:p w14:paraId="0B34EC1E"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tcBorders>
          </w:tcPr>
          <w:p w14:paraId="0852FF89"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tcBorders>
          </w:tcPr>
          <w:p w14:paraId="7321ECEE"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tcBorders>
          </w:tcPr>
          <w:p w14:paraId="778B4F35" w14:textId="77777777" w:rsidR="00FA7EBF" w:rsidRPr="001D2FFF" w:rsidRDefault="00FA7EBF" w:rsidP="007B207C">
            <w:pPr>
              <w:pStyle w:val="ARfintablebodyright"/>
              <w:ind w:right="0"/>
              <w:rPr>
                <w:sz w:val="15"/>
                <w:szCs w:val="15"/>
              </w:rPr>
            </w:pPr>
            <w:r w:rsidRPr="001D2FFF">
              <w:rPr>
                <w:sz w:val="15"/>
                <w:szCs w:val="15"/>
              </w:rPr>
              <w:t>7.5</w:t>
            </w:r>
          </w:p>
        </w:tc>
        <w:tc>
          <w:tcPr>
            <w:tcW w:w="630" w:type="dxa"/>
            <w:tcBorders>
              <w:top w:val="single" w:sz="4" w:space="0" w:color="A6A6A6" w:themeColor="background1" w:themeShade="A6"/>
            </w:tcBorders>
          </w:tcPr>
          <w:p w14:paraId="366AA20F" w14:textId="77777777" w:rsidR="00FA7EBF" w:rsidRPr="001D2FFF" w:rsidRDefault="00FA7EBF" w:rsidP="007B207C">
            <w:pPr>
              <w:pStyle w:val="ARfintablebodyright"/>
              <w:ind w:right="0"/>
              <w:rPr>
                <w:sz w:val="15"/>
                <w:szCs w:val="15"/>
              </w:rPr>
            </w:pPr>
            <w:r>
              <w:rPr>
                <w:sz w:val="15"/>
                <w:szCs w:val="15"/>
              </w:rPr>
              <w:t>–</w:t>
            </w:r>
          </w:p>
        </w:tc>
        <w:tc>
          <w:tcPr>
            <w:tcW w:w="630" w:type="dxa"/>
            <w:tcBorders>
              <w:top w:val="single" w:sz="4" w:space="0" w:color="A6A6A6" w:themeColor="background1" w:themeShade="A6"/>
            </w:tcBorders>
          </w:tcPr>
          <w:p w14:paraId="33D7F264" w14:textId="77777777" w:rsidR="00FA7EBF" w:rsidRPr="001D2FFF" w:rsidRDefault="00FA7EBF" w:rsidP="007B207C">
            <w:pPr>
              <w:pStyle w:val="ARfintablebodyright"/>
              <w:ind w:right="0"/>
              <w:rPr>
                <w:sz w:val="15"/>
                <w:szCs w:val="15"/>
              </w:rPr>
            </w:pPr>
            <w:r>
              <w:rPr>
                <w:sz w:val="15"/>
                <w:szCs w:val="15"/>
              </w:rPr>
              <w:t>–</w:t>
            </w:r>
          </w:p>
        </w:tc>
        <w:tc>
          <w:tcPr>
            <w:tcW w:w="778" w:type="dxa"/>
            <w:tcBorders>
              <w:top w:val="single" w:sz="4" w:space="0" w:color="A6A6A6" w:themeColor="background1" w:themeShade="A6"/>
            </w:tcBorders>
          </w:tcPr>
          <w:p w14:paraId="7E7AB11A" w14:textId="77777777" w:rsidR="00FA7EBF" w:rsidRPr="001D2FFF" w:rsidRDefault="00FA7EBF" w:rsidP="007B207C">
            <w:pPr>
              <w:pStyle w:val="ARfintablebodyright"/>
              <w:ind w:right="0"/>
              <w:rPr>
                <w:sz w:val="15"/>
                <w:szCs w:val="15"/>
              </w:rPr>
            </w:pPr>
            <w:r w:rsidRPr="001D2FFF">
              <w:rPr>
                <w:sz w:val="15"/>
                <w:szCs w:val="15"/>
              </w:rPr>
              <w:t>10.1</w:t>
            </w:r>
          </w:p>
        </w:tc>
      </w:tr>
      <w:tr w:rsidR="00FA7EBF" w:rsidRPr="007939DD" w14:paraId="06603961" w14:textId="77777777" w:rsidTr="007B207C">
        <w:trPr>
          <w:cantSplit/>
        </w:trPr>
        <w:tc>
          <w:tcPr>
            <w:tcW w:w="2975" w:type="dxa"/>
          </w:tcPr>
          <w:p w14:paraId="65E109AF" w14:textId="77777777" w:rsidR="00FA7EBF" w:rsidRPr="007939DD" w:rsidRDefault="00FA7EBF" w:rsidP="007B207C">
            <w:pPr>
              <w:pStyle w:val="ARfintablebodybold"/>
              <w:rPr>
                <w:rStyle w:val="Strong"/>
                <w:bCs/>
                <w:sz w:val="13"/>
                <w:szCs w:val="13"/>
              </w:rPr>
            </w:pPr>
            <w:r w:rsidRPr="00CD0B09">
              <w:t>Total income from transactions</w:t>
            </w:r>
          </w:p>
        </w:tc>
        <w:tc>
          <w:tcPr>
            <w:tcW w:w="629" w:type="dxa"/>
          </w:tcPr>
          <w:p w14:paraId="053D7B8F" w14:textId="77777777" w:rsidR="00FA7EBF" w:rsidRPr="005A60A4" w:rsidRDefault="00FA7EBF" w:rsidP="005A60A4">
            <w:pPr>
              <w:pStyle w:val="ARfintablebodyrightbold"/>
              <w:ind w:right="0"/>
              <w:rPr>
                <w:sz w:val="15"/>
                <w:szCs w:val="15"/>
              </w:rPr>
            </w:pPr>
            <w:r w:rsidRPr="005A60A4">
              <w:rPr>
                <w:sz w:val="15"/>
                <w:szCs w:val="15"/>
              </w:rPr>
              <w:t>8,929.1</w:t>
            </w:r>
          </w:p>
        </w:tc>
        <w:tc>
          <w:tcPr>
            <w:tcW w:w="629" w:type="dxa"/>
          </w:tcPr>
          <w:p w14:paraId="22B9CF87" w14:textId="77777777" w:rsidR="00FA7EBF" w:rsidRPr="005A60A4" w:rsidRDefault="00FA7EBF" w:rsidP="005A60A4">
            <w:pPr>
              <w:pStyle w:val="ARfintablebodyrightbold"/>
              <w:ind w:right="0"/>
              <w:rPr>
                <w:sz w:val="15"/>
                <w:szCs w:val="15"/>
              </w:rPr>
            </w:pPr>
            <w:r w:rsidRPr="005A60A4">
              <w:rPr>
                <w:sz w:val="15"/>
                <w:szCs w:val="15"/>
              </w:rPr>
              <w:t>815.7</w:t>
            </w:r>
          </w:p>
        </w:tc>
        <w:tc>
          <w:tcPr>
            <w:tcW w:w="629" w:type="dxa"/>
          </w:tcPr>
          <w:p w14:paraId="4D5B38D2" w14:textId="77777777" w:rsidR="00FA7EBF" w:rsidRPr="005A60A4" w:rsidRDefault="00FA7EBF" w:rsidP="005A60A4">
            <w:pPr>
              <w:pStyle w:val="ARfintablebodyrightbold"/>
              <w:ind w:right="0"/>
              <w:rPr>
                <w:sz w:val="15"/>
                <w:szCs w:val="15"/>
              </w:rPr>
            </w:pPr>
            <w:r w:rsidRPr="005A60A4">
              <w:rPr>
                <w:sz w:val="15"/>
                <w:szCs w:val="15"/>
              </w:rPr>
              <w:t>1,407.2</w:t>
            </w:r>
          </w:p>
        </w:tc>
        <w:tc>
          <w:tcPr>
            <w:tcW w:w="629" w:type="dxa"/>
          </w:tcPr>
          <w:p w14:paraId="3F9FB4C5" w14:textId="77777777" w:rsidR="00FA7EBF" w:rsidRPr="005A60A4" w:rsidRDefault="00FA7EBF" w:rsidP="005A60A4">
            <w:pPr>
              <w:pStyle w:val="ARfintablebodyrightbold"/>
              <w:ind w:right="0"/>
              <w:rPr>
                <w:sz w:val="15"/>
                <w:szCs w:val="15"/>
              </w:rPr>
            </w:pPr>
            <w:r w:rsidRPr="005A60A4">
              <w:rPr>
                <w:sz w:val="15"/>
                <w:szCs w:val="15"/>
              </w:rPr>
              <w:t>540.9</w:t>
            </w:r>
          </w:p>
        </w:tc>
        <w:tc>
          <w:tcPr>
            <w:tcW w:w="630" w:type="dxa"/>
          </w:tcPr>
          <w:p w14:paraId="6CE6B34B" w14:textId="77777777" w:rsidR="00FA7EBF" w:rsidRPr="005A60A4" w:rsidRDefault="00FA7EBF" w:rsidP="005A60A4">
            <w:pPr>
              <w:pStyle w:val="ARfintablebodyrightbold"/>
              <w:ind w:right="0"/>
              <w:rPr>
                <w:sz w:val="15"/>
                <w:szCs w:val="15"/>
              </w:rPr>
            </w:pPr>
            <w:r w:rsidRPr="005A60A4">
              <w:rPr>
                <w:sz w:val="15"/>
                <w:szCs w:val="15"/>
              </w:rPr>
              <w:t>526.2</w:t>
            </w:r>
          </w:p>
        </w:tc>
        <w:tc>
          <w:tcPr>
            <w:tcW w:w="630" w:type="dxa"/>
          </w:tcPr>
          <w:p w14:paraId="69793A42" w14:textId="77777777" w:rsidR="00FA7EBF" w:rsidRPr="005A60A4" w:rsidRDefault="00FA7EBF" w:rsidP="005A60A4">
            <w:pPr>
              <w:pStyle w:val="ARfintablebodyrightbold"/>
              <w:ind w:right="0"/>
              <w:rPr>
                <w:sz w:val="15"/>
                <w:szCs w:val="15"/>
              </w:rPr>
            </w:pPr>
            <w:r w:rsidRPr="005A60A4">
              <w:rPr>
                <w:sz w:val="15"/>
                <w:szCs w:val="15"/>
              </w:rPr>
              <w:t>438.1</w:t>
            </w:r>
          </w:p>
        </w:tc>
        <w:tc>
          <w:tcPr>
            <w:tcW w:w="630" w:type="dxa"/>
          </w:tcPr>
          <w:p w14:paraId="6ABCD31C" w14:textId="77777777" w:rsidR="00FA7EBF" w:rsidRPr="005A60A4" w:rsidRDefault="00FA7EBF" w:rsidP="005A60A4">
            <w:pPr>
              <w:pStyle w:val="ARfintablebodyrightbold"/>
              <w:ind w:right="0"/>
              <w:rPr>
                <w:sz w:val="15"/>
                <w:szCs w:val="15"/>
              </w:rPr>
            </w:pPr>
            <w:r w:rsidRPr="005A60A4">
              <w:rPr>
                <w:sz w:val="15"/>
                <w:szCs w:val="15"/>
              </w:rPr>
              <w:t>438.1</w:t>
            </w:r>
          </w:p>
        </w:tc>
        <w:tc>
          <w:tcPr>
            <w:tcW w:w="630" w:type="dxa"/>
          </w:tcPr>
          <w:p w14:paraId="68FBD0E8" w14:textId="77777777" w:rsidR="00FA7EBF" w:rsidRPr="005A60A4" w:rsidRDefault="00FA7EBF" w:rsidP="005A60A4">
            <w:pPr>
              <w:pStyle w:val="ARfintablebodyrightbold"/>
              <w:ind w:right="0"/>
              <w:rPr>
                <w:sz w:val="15"/>
                <w:szCs w:val="15"/>
              </w:rPr>
            </w:pPr>
            <w:r w:rsidRPr="005A60A4">
              <w:rPr>
                <w:sz w:val="15"/>
                <w:szCs w:val="15"/>
              </w:rPr>
              <w:t>271.4</w:t>
            </w:r>
          </w:p>
        </w:tc>
        <w:tc>
          <w:tcPr>
            <w:tcW w:w="630" w:type="dxa"/>
          </w:tcPr>
          <w:p w14:paraId="1F8A382A" w14:textId="77777777" w:rsidR="00FA7EBF" w:rsidRPr="005A60A4" w:rsidRDefault="00FA7EBF" w:rsidP="005A60A4">
            <w:pPr>
              <w:pStyle w:val="ARfintablebodyrightbold"/>
              <w:ind w:right="0"/>
              <w:rPr>
                <w:sz w:val="15"/>
                <w:szCs w:val="15"/>
              </w:rPr>
            </w:pPr>
            <w:r w:rsidRPr="005A60A4">
              <w:rPr>
                <w:sz w:val="15"/>
                <w:szCs w:val="15"/>
              </w:rPr>
              <w:t>2,244.6</w:t>
            </w:r>
          </w:p>
        </w:tc>
        <w:tc>
          <w:tcPr>
            <w:tcW w:w="630" w:type="dxa"/>
          </w:tcPr>
          <w:p w14:paraId="14995B9B" w14:textId="77777777" w:rsidR="00FA7EBF" w:rsidRPr="005A60A4" w:rsidRDefault="00FA7EBF" w:rsidP="005A60A4">
            <w:pPr>
              <w:pStyle w:val="ARfintablebodyrightbold"/>
              <w:ind w:right="0"/>
              <w:rPr>
                <w:sz w:val="15"/>
                <w:szCs w:val="15"/>
              </w:rPr>
            </w:pPr>
            <w:r w:rsidRPr="005A60A4">
              <w:rPr>
                <w:sz w:val="15"/>
                <w:szCs w:val="15"/>
              </w:rPr>
              <w:t>1,615.3</w:t>
            </w:r>
          </w:p>
        </w:tc>
        <w:tc>
          <w:tcPr>
            <w:tcW w:w="630" w:type="dxa"/>
          </w:tcPr>
          <w:p w14:paraId="5A5C1390" w14:textId="77777777" w:rsidR="00FA7EBF" w:rsidRPr="005A60A4" w:rsidRDefault="00FA7EBF" w:rsidP="005A60A4">
            <w:pPr>
              <w:pStyle w:val="ARfintablebodyrightbold"/>
              <w:ind w:right="0"/>
              <w:rPr>
                <w:sz w:val="15"/>
                <w:szCs w:val="15"/>
              </w:rPr>
            </w:pPr>
            <w:r w:rsidRPr="005A60A4">
              <w:rPr>
                <w:sz w:val="15"/>
                <w:szCs w:val="15"/>
              </w:rPr>
              <w:t>737.4</w:t>
            </w:r>
          </w:p>
        </w:tc>
        <w:tc>
          <w:tcPr>
            <w:tcW w:w="630" w:type="dxa"/>
          </w:tcPr>
          <w:p w14:paraId="19675561" w14:textId="77777777" w:rsidR="00FA7EBF" w:rsidRPr="005A60A4" w:rsidRDefault="00FA7EBF" w:rsidP="005A60A4">
            <w:pPr>
              <w:pStyle w:val="ARfintablebodyrightbold"/>
              <w:ind w:right="0"/>
              <w:rPr>
                <w:sz w:val="15"/>
                <w:szCs w:val="15"/>
              </w:rPr>
            </w:pPr>
            <w:r w:rsidRPr="005A60A4">
              <w:rPr>
                <w:sz w:val="15"/>
                <w:szCs w:val="15"/>
              </w:rPr>
              <w:t>157.9</w:t>
            </w:r>
          </w:p>
        </w:tc>
        <w:tc>
          <w:tcPr>
            <w:tcW w:w="630" w:type="dxa"/>
          </w:tcPr>
          <w:p w14:paraId="2C432A74" w14:textId="77777777" w:rsidR="00FA7EBF" w:rsidRPr="005A60A4" w:rsidRDefault="00FA7EBF" w:rsidP="005A60A4">
            <w:pPr>
              <w:pStyle w:val="ARfintablebodyrightbold"/>
              <w:ind w:right="0"/>
              <w:rPr>
                <w:sz w:val="15"/>
                <w:szCs w:val="15"/>
              </w:rPr>
            </w:pPr>
            <w:r w:rsidRPr="005A60A4">
              <w:rPr>
                <w:sz w:val="15"/>
                <w:szCs w:val="15"/>
              </w:rPr>
              <w:t>18.6</w:t>
            </w:r>
          </w:p>
        </w:tc>
        <w:tc>
          <w:tcPr>
            <w:tcW w:w="630" w:type="dxa"/>
          </w:tcPr>
          <w:p w14:paraId="27C0712B" w14:textId="77777777" w:rsidR="00FA7EBF" w:rsidRPr="005A60A4" w:rsidRDefault="00FA7EBF" w:rsidP="005A60A4">
            <w:pPr>
              <w:pStyle w:val="ARfintablebodyrightbold"/>
              <w:ind w:right="0"/>
              <w:rPr>
                <w:sz w:val="15"/>
                <w:szCs w:val="15"/>
              </w:rPr>
            </w:pPr>
            <w:r w:rsidRPr="005A60A4">
              <w:rPr>
                <w:sz w:val="15"/>
                <w:szCs w:val="15"/>
              </w:rPr>
              <w:t>138.0</w:t>
            </w:r>
          </w:p>
        </w:tc>
        <w:tc>
          <w:tcPr>
            <w:tcW w:w="630" w:type="dxa"/>
          </w:tcPr>
          <w:p w14:paraId="1CC24DF9" w14:textId="77777777" w:rsidR="00FA7EBF" w:rsidRPr="005A60A4" w:rsidRDefault="00FA7EBF" w:rsidP="005A60A4">
            <w:pPr>
              <w:pStyle w:val="ARfintablebodyrightbold"/>
              <w:ind w:right="0"/>
              <w:rPr>
                <w:sz w:val="15"/>
                <w:szCs w:val="15"/>
              </w:rPr>
            </w:pPr>
            <w:r w:rsidRPr="005A60A4">
              <w:rPr>
                <w:sz w:val="15"/>
                <w:szCs w:val="15"/>
              </w:rPr>
              <w:t>1,145.7</w:t>
            </w:r>
          </w:p>
        </w:tc>
        <w:tc>
          <w:tcPr>
            <w:tcW w:w="630" w:type="dxa"/>
          </w:tcPr>
          <w:p w14:paraId="65360AA5" w14:textId="77777777" w:rsidR="00FA7EBF" w:rsidRPr="005A60A4" w:rsidRDefault="00FA7EBF" w:rsidP="005A60A4">
            <w:pPr>
              <w:pStyle w:val="ARfintablebodyrightbold"/>
              <w:ind w:right="0"/>
              <w:rPr>
                <w:sz w:val="15"/>
                <w:szCs w:val="15"/>
              </w:rPr>
            </w:pPr>
            <w:r w:rsidRPr="005A60A4">
              <w:rPr>
                <w:sz w:val="15"/>
                <w:szCs w:val="15"/>
              </w:rPr>
              <w:t>2.4</w:t>
            </w:r>
          </w:p>
        </w:tc>
        <w:tc>
          <w:tcPr>
            <w:tcW w:w="630" w:type="dxa"/>
          </w:tcPr>
          <w:p w14:paraId="654336D4" w14:textId="77777777" w:rsidR="00FA7EBF" w:rsidRPr="005A60A4" w:rsidRDefault="00FA7EBF" w:rsidP="005A60A4">
            <w:pPr>
              <w:pStyle w:val="ARfintablebodyrightbold"/>
              <w:ind w:right="0"/>
              <w:rPr>
                <w:sz w:val="15"/>
                <w:szCs w:val="15"/>
              </w:rPr>
            </w:pPr>
            <w:r w:rsidRPr="005A60A4">
              <w:rPr>
                <w:sz w:val="15"/>
                <w:szCs w:val="15"/>
              </w:rPr>
              <w:t>(9.5)</w:t>
            </w:r>
          </w:p>
        </w:tc>
        <w:tc>
          <w:tcPr>
            <w:tcW w:w="778" w:type="dxa"/>
          </w:tcPr>
          <w:p w14:paraId="5E9B4984" w14:textId="77777777" w:rsidR="00FA7EBF" w:rsidRPr="005A60A4" w:rsidRDefault="00FA7EBF" w:rsidP="005A60A4">
            <w:pPr>
              <w:pStyle w:val="ARfintablebodyrightbold"/>
              <w:ind w:right="0"/>
              <w:rPr>
                <w:sz w:val="15"/>
                <w:szCs w:val="15"/>
              </w:rPr>
            </w:pPr>
            <w:r w:rsidRPr="005A60A4">
              <w:rPr>
                <w:sz w:val="15"/>
                <w:szCs w:val="15"/>
              </w:rPr>
              <w:t>19,417.0</w:t>
            </w:r>
          </w:p>
        </w:tc>
      </w:tr>
      <w:tr w:rsidR="00FA7EBF" w:rsidRPr="007939DD" w14:paraId="10A27626" w14:textId="77777777" w:rsidTr="007B207C">
        <w:trPr>
          <w:cantSplit/>
        </w:trPr>
        <w:tc>
          <w:tcPr>
            <w:tcW w:w="14459" w:type="dxa"/>
            <w:gridSpan w:val="19"/>
            <w:tcBorders>
              <w:bottom w:val="single" w:sz="4" w:space="0" w:color="A6A6A6" w:themeColor="background1" w:themeShade="A6"/>
            </w:tcBorders>
          </w:tcPr>
          <w:p w14:paraId="3485EB59" w14:textId="77777777" w:rsidR="00FA7EBF" w:rsidRPr="005A60A4" w:rsidRDefault="00FA7EBF" w:rsidP="007B207C">
            <w:pPr>
              <w:pStyle w:val="ARfintablebodybold"/>
              <w:rPr>
                <w:sz w:val="15"/>
                <w:szCs w:val="15"/>
              </w:rPr>
            </w:pPr>
            <w:r w:rsidRPr="005A60A4">
              <w:rPr>
                <w:sz w:val="15"/>
                <w:szCs w:val="15"/>
              </w:rPr>
              <w:t>Expenses from transactions</w:t>
            </w:r>
          </w:p>
        </w:tc>
      </w:tr>
      <w:tr w:rsidR="00FA7EBF" w:rsidRPr="007939DD" w14:paraId="7004AF2E"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439B47DA" w14:textId="77777777" w:rsidR="00FA7EBF" w:rsidRPr="007939DD" w:rsidRDefault="00FA7EBF" w:rsidP="007B207C">
            <w:pPr>
              <w:pStyle w:val="ARfintablebody"/>
              <w:rPr>
                <w:sz w:val="13"/>
                <w:szCs w:val="13"/>
                <w:lang w:eastAsia="en-AU"/>
              </w:rPr>
            </w:pPr>
            <w:r w:rsidRPr="00CD0B09">
              <w:t>Employee expenses</w:t>
            </w:r>
          </w:p>
        </w:tc>
        <w:tc>
          <w:tcPr>
            <w:tcW w:w="629" w:type="dxa"/>
            <w:tcBorders>
              <w:top w:val="single" w:sz="4" w:space="0" w:color="A6A6A6" w:themeColor="background1" w:themeShade="A6"/>
              <w:bottom w:val="single" w:sz="4" w:space="0" w:color="A6A6A6" w:themeColor="background1" w:themeShade="A6"/>
            </w:tcBorders>
          </w:tcPr>
          <w:p w14:paraId="37204AF1" w14:textId="77777777" w:rsidR="00FA7EBF" w:rsidRPr="005A60A4" w:rsidRDefault="00FA7EBF" w:rsidP="007B207C">
            <w:pPr>
              <w:pStyle w:val="ARfintablebodyright"/>
              <w:ind w:right="0"/>
              <w:rPr>
                <w:sz w:val="15"/>
                <w:szCs w:val="15"/>
              </w:rPr>
            </w:pPr>
            <w:r w:rsidRPr="005A60A4">
              <w:rPr>
                <w:sz w:val="15"/>
                <w:szCs w:val="15"/>
              </w:rPr>
              <w:t>146.6</w:t>
            </w:r>
          </w:p>
        </w:tc>
        <w:tc>
          <w:tcPr>
            <w:tcW w:w="629" w:type="dxa"/>
            <w:tcBorders>
              <w:top w:val="single" w:sz="4" w:space="0" w:color="A6A6A6" w:themeColor="background1" w:themeShade="A6"/>
              <w:bottom w:val="single" w:sz="4" w:space="0" w:color="A6A6A6" w:themeColor="background1" w:themeShade="A6"/>
            </w:tcBorders>
          </w:tcPr>
          <w:p w14:paraId="6CE7C3BC" w14:textId="77777777" w:rsidR="00FA7EBF" w:rsidRPr="005A60A4" w:rsidRDefault="00FA7EBF" w:rsidP="007B207C">
            <w:pPr>
              <w:pStyle w:val="ARfintablebodyright"/>
              <w:ind w:right="0"/>
              <w:rPr>
                <w:sz w:val="15"/>
                <w:szCs w:val="15"/>
              </w:rPr>
            </w:pPr>
            <w:r w:rsidRPr="005A60A4">
              <w:rPr>
                <w:sz w:val="15"/>
                <w:szCs w:val="15"/>
              </w:rPr>
              <w:t>2.0</w:t>
            </w:r>
          </w:p>
        </w:tc>
        <w:tc>
          <w:tcPr>
            <w:tcW w:w="629" w:type="dxa"/>
            <w:tcBorders>
              <w:top w:val="single" w:sz="4" w:space="0" w:color="A6A6A6" w:themeColor="background1" w:themeShade="A6"/>
              <w:bottom w:val="single" w:sz="4" w:space="0" w:color="A6A6A6" w:themeColor="background1" w:themeShade="A6"/>
            </w:tcBorders>
          </w:tcPr>
          <w:p w14:paraId="124CE861" w14:textId="77777777" w:rsidR="00FA7EBF" w:rsidRPr="005A60A4" w:rsidRDefault="00FA7EBF" w:rsidP="007B207C">
            <w:pPr>
              <w:pStyle w:val="ARfintablebodyright"/>
              <w:ind w:right="0"/>
              <w:rPr>
                <w:sz w:val="15"/>
                <w:szCs w:val="15"/>
              </w:rPr>
            </w:pPr>
            <w:r w:rsidRPr="005A60A4">
              <w:rPr>
                <w:sz w:val="15"/>
                <w:szCs w:val="15"/>
              </w:rPr>
              <w:t>38.1</w:t>
            </w:r>
          </w:p>
        </w:tc>
        <w:tc>
          <w:tcPr>
            <w:tcW w:w="629" w:type="dxa"/>
            <w:tcBorders>
              <w:top w:val="single" w:sz="4" w:space="0" w:color="A6A6A6" w:themeColor="background1" w:themeShade="A6"/>
              <w:bottom w:val="single" w:sz="4" w:space="0" w:color="A6A6A6" w:themeColor="background1" w:themeShade="A6"/>
            </w:tcBorders>
          </w:tcPr>
          <w:p w14:paraId="2B7B8610" w14:textId="77777777" w:rsidR="00FA7EBF" w:rsidRPr="005A60A4" w:rsidRDefault="00FA7EBF" w:rsidP="007B207C">
            <w:pPr>
              <w:pStyle w:val="ARfintablebodyright"/>
              <w:ind w:right="0"/>
              <w:rPr>
                <w:sz w:val="15"/>
                <w:szCs w:val="15"/>
              </w:rPr>
            </w:pPr>
            <w:r w:rsidRPr="005A60A4">
              <w:rPr>
                <w:sz w:val="15"/>
                <w:szCs w:val="15"/>
              </w:rPr>
              <w:t>7.4</w:t>
            </w:r>
          </w:p>
        </w:tc>
        <w:tc>
          <w:tcPr>
            <w:tcW w:w="630" w:type="dxa"/>
            <w:tcBorders>
              <w:top w:val="single" w:sz="4" w:space="0" w:color="A6A6A6" w:themeColor="background1" w:themeShade="A6"/>
              <w:bottom w:val="single" w:sz="4" w:space="0" w:color="A6A6A6" w:themeColor="background1" w:themeShade="A6"/>
            </w:tcBorders>
          </w:tcPr>
          <w:p w14:paraId="3CD2EFD3" w14:textId="77777777" w:rsidR="00FA7EBF" w:rsidRPr="005A60A4" w:rsidRDefault="00FA7EBF" w:rsidP="007B207C">
            <w:pPr>
              <w:pStyle w:val="ARfintablebodyright"/>
              <w:ind w:right="0"/>
              <w:rPr>
                <w:sz w:val="15"/>
                <w:szCs w:val="15"/>
              </w:rPr>
            </w:pPr>
            <w:r w:rsidRPr="005A60A4">
              <w:rPr>
                <w:sz w:val="15"/>
                <w:szCs w:val="15"/>
              </w:rPr>
              <w:t>21.5</w:t>
            </w:r>
          </w:p>
        </w:tc>
        <w:tc>
          <w:tcPr>
            <w:tcW w:w="630" w:type="dxa"/>
            <w:tcBorders>
              <w:top w:val="single" w:sz="4" w:space="0" w:color="A6A6A6" w:themeColor="background1" w:themeShade="A6"/>
              <w:bottom w:val="single" w:sz="4" w:space="0" w:color="A6A6A6" w:themeColor="background1" w:themeShade="A6"/>
            </w:tcBorders>
          </w:tcPr>
          <w:p w14:paraId="03474D98" w14:textId="77777777" w:rsidR="00FA7EBF" w:rsidRPr="005A60A4" w:rsidRDefault="00FA7EBF" w:rsidP="007B207C">
            <w:pPr>
              <w:pStyle w:val="ARfintablebodyright"/>
              <w:ind w:right="0"/>
              <w:rPr>
                <w:sz w:val="15"/>
                <w:szCs w:val="15"/>
              </w:rPr>
            </w:pPr>
            <w:r w:rsidRPr="005A60A4">
              <w:rPr>
                <w:sz w:val="15"/>
                <w:szCs w:val="15"/>
              </w:rPr>
              <w:t>8.7</w:t>
            </w:r>
          </w:p>
        </w:tc>
        <w:tc>
          <w:tcPr>
            <w:tcW w:w="630" w:type="dxa"/>
            <w:tcBorders>
              <w:top w:val="single" w:sz="4" w:space="0" w:color="A6A6A6" w:themeColor="background1" w:themeShade="A6"/>
              <w:bottom w:val="single" w:sz="4" w:space="0" w:color="A6A6A6" w:themeColor="background1" w:themeShade="A6"/>
            </w:tcBorders>
          </w:tcPr>
          <w:p w14:paraId="61786ED3" w14:textId="77777777" w:rsidR="00FA7EBF" w:rsidRPr="005A60A4" w:rsidRDefault="00FA7EBF" w:rsidP="007B207C">
            <w:pPr>
              <w:pStyle w:val="ARfintablebodyright"/>
              <w:ind w:right="0"/>
              <w:rPr>
                <w:sz w:val="15"/>
                <w:szCs w:val="15"/>
              </w:rPr>
            </w:pPr>
            <w:r w:rsidRPr="005A60A4">
              <w:rPr>
                <w:sz w:val="15"/>
                <w:szCs w:val="15"/>
              </w:rPr>
              <w:t>56.1</w:t>
            </w:r>
          </w:p>
        </w:tc>
        <w:tc>
          <w:tcPr>
            <w:tcW w:w="630" w:type="dxa"/>
            <w:tcBorders>
              <w:top w:val="single" w:sz="4" w:space="0" w:color="A6A6A6" w:themeColor="background1" w:themeShade="A6"/>
              <w:bottom w:val="single" w:sz="4" w:space="0" w:color="A6A6A6" w:themeColor="background1" w:themeShade="A6"/>
            </w:tcBorders>
          </w:tcPr>
          <w:p w14:paraId="64406DBE" w14:textId="77777777" w:rsidR="00FA7EBF" w:rsidRPr="005A60A4" w:rsidRDefault="00FA7EBF" w:rsidP="007B207C">
            <w:pPr>
              <w:pStyle w:val="ARfintablebodyright"/>
              <w:ind w:right="0"/>
              <w:rPr>
                <w:sz w:val="15"/>
                <w:szCs w:val="15"/>
              </w:rPr>
            </w:pPr>
            <w:r w:rsidRPr="005A60A4">
              <w:rPr>
                <w:sz w:val="15"/>
                <w:szCs w:val="15"/>
              </w:rPr>
              <w:t>13.6</w:t>
            </w:r>
          </w:p>
        </w:tc>
        <w:tc>
          <w:tcPr>
            <w:tcW w:w="630" w:type="dxa"/>
            <w:tcBorders>
              <w:top w:val="single" w:sz="4" w:space="0" w:color="A6A6A6" w:themeColor="background1" w:themeShade="A6"/>
              <w:bottom w:val="single" w:sz="4" w:space="0" w:color="A6A6A6" w:themeColor="background1" w:themeShade="A6"/>
            </w:tcBorders>
          </w:tcPr>
          <w:p w14:paraId="16BF01BF" w14:textId="77777777" w:rsidR="00FA7EBF" w:rsidRPr="005A60A4" w:rsidRDefault="00FA7EBF" w:rsidP="007B207C">
            <w:pPr>
              <w:pStyle w:val="ARfintablebodyright"/>
              <w:ind w:right="0"/>
              <w:rPr>
                <w:sz w:val="15"/>
                <w:szCs w:val="15"/>
              </w:rPr>
            </w:pPr>
            <w:r w:rsidRPr="005A60A4">
              <w:rPr>
                <w:sz w:val="15"/>
                <w:szCs w:val="15"/>
              </w:rPr>
              <w:t>616.9</w:t>
            </w:r>
          </w:p>
        </w:tc>
        <w:tc>
          <w:tcPr>
            <w:tcW w:w="630" w:type="dxa"/>
            <w:tcBorders>
              <w:top w:val="single" w:sz="4" w:space="0" w:color="A6A6A6" w:themeColor="background1" w:themeShade="A6"/>
              <w:bottom w:val="single" w:sz="4" w:space="0" w:color="A6A6A6" w:themeColor="background1" w:themeShade="A6"/>
            </w:tcBorders>
          </w:tcPr>
          <w:p w14:paraId="38B2A932" w14:textId="77777777" w:rsidR="00FA7EBF" w:rsidRPr="005A60A4" w:rsidRDefault="00FA7EBF" w:rsidP="007B207C">
            <w:pPr>
              <w:pStyle w:val="ARfintablebodyright"/>
              <w:ind w:right="0"/>
              <w:rPr>
                <w:sz w:val="15"/>
                <w:szCs w:val="15"/>
              </w:rPr>
            </w:pPr>
            <w:r w:rsidRPr="005A60A4">
              <w:rPr>
                <w:sz w:val="15"/>
                <w:szCs w:val="15"/>
              </w:rPr>
              <w:t>391.8</w:t>
            </w:r>
          </w:p>
        </w:tc>
        <w:tc>
          <w:tcPr>
            <w:tcW w:w="630" w:type="dxa"/>
            <w:tcBorders>
              <w:top w:val="single" w:sz="4" w:space="0" w:color="A6A6A6" w:themeColor="background1" w:themeShade="A6"/>
              <w:bottom w:val="single" w:sz="4" w:space="0" w:color="A6A6A6" w:themeColor="background1" w:themeShade="A6"/>
            </w:tcBorders>
          </w:tcPr>
          <w:p w14:paraId="3911AE78" w14:textId="77777777" w:rsidR="00FA7EBF" w:rsidRPr="005A60A4" w:rsidRDefault="00FA7EBF" w:rsidP="007B207C">
            <w:pPr>
              <w:pStyle w:val="ARfintablebodyright"/>
              <w:ind w:right="0"/>
              <w:rPr>
                <w:sz w:val="15"/>
                <w:szCs w:val="15"/>
              </w:rPr>
            </w:pPr>
            <w:r w:rsidRPr="005A60A4">
              <w:rPr>
                <w:sz w:val="15"/>
                <w:szCs w:val="15"/>
              </w:rPr>
              <w:t>9.7</w:t>
            </w:r>
          </w:p>
        </w:tc>
        <w:tc>
          <w:tcPr>
            <w:tcW w:w="630" w:type="dxa"/>
            <w:tcBorders>
              <w:top w:val="single" w:sz="4" w:space="0" w:color="A6A6A6" w:themeColor="background1" w:themeShade="A6"/>
              <w:bottom w:val="single" w:sz="4" w:space="0" w:color="A6A6A6" w:themeColor="background1" w:themeShade="A6"/>
            </w:tcBorders>
          </w:tcPr>
          <w:p w14:paraId="765EFA1F" w14:textId="77777777" w:rsidR="00FA7EBF" w:rsidRPr="005A60A4" w:rsidRDefault="00FA7EBF" w:rsidP="007B207C">
            <w:pPr>
              <w:pStyle w:val="ARfintablebodyright"/>
              <w:ind w:right="0"/>
              <w:rPr>
                <w:sz w:val="15"/>
                <w:szCs w:val="15"/>
              </w:rPr>
            </w:pPr>
            <w:r w:rsidRPr="005A60A4">
              <w:rPr>
                <w:sz w:val="15"/>
                <w:szCs w:val="15"/>
              </w:rPr>
              <w:t>13.8</w:t>
            </w:r>
          </w:p>
        </w:tc>
        <w:tc>
          <w:tcPr>
            <w:tcW w:w="630" w:type="dxa"/>
            <w:tcBorders>
              <w:top w:val="single" w:sz="4" w:space="0" w:color="A6A6A6" w:themeColor="background1" w:themeShade="A6"/>
              <w:bottom w:val="single" w:sz="4" w:space="0" w:color="A6A6A6" w:themeColor="background1" w:themeShade="A6"/>
            </w:tcBorders>
          </w:tcPr>
          <w:p w14:paraId="34AE70DF" w14:textId="77777777" w:rsidR="00FA7EBF" w:rsidRPr="005A60A4" w:rsidRDefault="00FA7EBF" w:rsidP="007B207C">
            <w:pPr>
              <w:pStyle w:val="ARfintablebodyright"/>
              <w:ind w:right="0"/>
              <w:rPr>
                <w:sz w:val="15"/>
                <w:szCs w:val="15"/>
              </w:rPr>
            </w:pPr>
            <w:r w:rsidRPr="005A60A4">
              <w:rPr>
                <w:sz w:val="15"/>
                <w:szCs w:val="15"/>
              </w:rPr>
              <w:t>4.1</w:t>
            </w:r>
          </w:p>
        </w:tc>
        <w:tc>
          <w:tcPr>
            <w:tcW w:w="630" w:type="dxa"/>
            <w:tcBorders>
              <w:top w:val="single" w:sz="4" w:space="0" w:color="A6A6A6" w:themeColor="background1" w:themeShade="A6"/>
              <w:bottom w:val="single" w:sz="4" w:space="0" w:color="A6A6A6" w:themeColor="background1" w:themeShade="A6"/>
            </w:tcBorders>
          </w:tcPr>
          <w:p w14:paraId="232CED5C" w14:textId="77777777" w:rsidR="00FA7EBF" w:rsidRPr="005A60A4" w:rsidRDefault="00FA7EBF" w:rsidP="007B207C">
            <w:pPr>
              <w:pStyle w:val="ARfintablebodyright"/>
              <w:ind w:right="0"/>
              <w:rPr>
                <w:sz w:val="15"/>
                <w:szCs w:val="15"/>
              </w:rPr>
            </w:pPr>
            <w:r w:rsidRPr="005A60A4">
              <w:rPr>
                <w:sz w:val="15"/>
                <w:szCs w:val="15"/>
              </w:rPr>
              <w:t>33.1</w:t>
            </w:r>
          </w:p>
        </w:tc>
        <w:tc>
          <w:tcPr>
            <w:tcW w:w="630" w:type="dxa"/>
            <w:tcBorders>
              <w:top w:val="single" w:sz="4" w:space="0" w:color="A6A6A6" w:themeColor="background1" w:themeShade="A6"/>
              <w:bottom w:val="single" w:sz="4" w:space="0" w:color="A6A6A6" w:themeColor="background1" w:themeShade="A6"/>
            </w:tcBorders>
          </w:tcPr>
          <w:p w14:paraId="0D9AADCE" w14:textId="77777777" w:rsidR="00FA7EBF" w:rsidRPr="005A60A4" w:rsidRDefault="00FA7EBF" w:rsidP="007B207C">
            <w:pPr>
              <w:pStyle w:val="ARfintablebodyright"/>
              <w:ind w:right="0"/>
              <w:rPr>
                <w:sz w:val="15"/>
                <w:szCs w:val="15"/>
              </w:rPr>
            </w:pPr>
            <w:r w:rsidRPr="005A60A4">
              <w:rPr>
                <w:sz w:val="15"/>
                <w:szCs w:val="15"/>
              </w:rPr>
              <w:t>114.6</w:t>
            </w:r>
          </w:p>
        </w:tc>
        <w:tc>
          <w:tcPr>
            <w:tcW w:w="630" w:type="dxa"/>
            <w:tcBorders>
              <w:top w:val="single" w:sz="4" w:space="0" w:color="A6A6A6" w:themeColor="background1" w:themeShade="A6"/>
              <w:bottom w:val="single" w:sz="4" w:space="0" w:color="A6A6A6" w:themeColor="background1" w:themeShade="A6"/>
            </w:tcBorders>
          </w:tcPr>
          <w:p w14:paraId="020A60FA" w14:textId="77777777" w:rsidR="00FA7EBF" w:rsidRPr="005A60A4" w:rsidRDefault="00FA7EBF" w:rsidP="007B207C">
            <w:pPr>
              <w:pStyle w:val="ARfintablebodyright"/>
              <w:ind w:right="0"/>
              <w:rPr>
                <w:sz w:val="15"/>
                <w:szCs w:val="15"/>
              </w:rPr>
            </w:pPr>
            <w:r w:rsidRPr="005A60A4">
              <w:rPr>
                <w:sz w:val="15"/>
                <w:szCs w:val="15"/>
              </w:rPr>
              <w:t>1.6</w:t>
            </w:r>
          </w:p>
        </w:tc>
        <w:tc>
          <w:tcPr>
            <w:tcW w:w="630" w:type="dxa"/>
            <w:tcBorders>
              <w:top w:val="single" w:sz="4" w:space="0" w:color="A6A6A6" w:themeColor="background1" w:themeShade="A6"/>
              <w:bottom w:val="single" w:sz="4" w:space="0" w:color="A6A6A6" w:themeColor="background1" w:themeShade="A6"/>
            </w:tcBorders>
          </w:tcPr>
          <w:p w14:paraId="6336FF94" w14:textId="77777777" w:rsidR="00FA7EBF" w:rsidRPr="005A60A4" w:rsidRDefault="00FA7EBF" w:rsidP="007B207C">
            <w:pPr>
              <w:pStyle w:val="ARfintablebodyright"/>
              <w:ind w:right="0"/>
              <w:rPr>
                <w:sz w:val="15"/>
                <w:szCs w:val="15"/>
              </w:rPr>
            </w:pPr>
            <w:r w:rsidRPr="005A60A4">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4FF7C9C7" w14:textId="77777777" w:rsidR="00FA7EBF" w:rsidRPr="005A60A4" w:rsidRDefault="00FA7EBF" w:rsidP="007B207C">
            <w:pPr>
              <w:pStyle w:val="ARfintablebodyright"/>
              <w:ind w:right="0"/>
              <w:rPr>
                <w:sz w:val="15"/>
                <w:szCs w:val="15"/>
              </w:rPr>
            </w:pPr>
            <w:r w:rsidRPr="005A60A4">
              <w:rPr>
                <w:sz w:val="15"/>
                <w:szCs w:val="15"/>
              </w:rPr>
              <w:t>1,479.7</w:t>
            </w:r>
          </w:p>
        </w:tc>
      </w:tr>
      <w:tr w:rsidR="00FA7EBF" w:rsidRPr="007939DD" w14:paraId="7B28CF5F"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7EC17A62" w14:textId="77777777" w:rsidR="00FA7EBF" w:rsidRPr="007939DD" w:rsidRDefault="00FA7EBF" w:rsidP="007B207C">
            <w:pPr>
              <w:pStyle w:val="ARfintablebody"/>
              <w:rPr>
                <w:sz w:val="13"/>
                <w:szCs w:val="13"/>
                <w:lang w:eastAsia="en-AU"/>
              </w:rPr>
            </w:pPr>
            <w:r w:rsidRPr="00CD0B09">
              <w:t>Depreciation and amortisation</w:t>
            </w:r>
          </w:p>
        </w:tc>
        <w:tc>
          <w:tcPr>
            <w:tcW w:w="629" w:type="dxa"/>
            <w:tcBorders>
              <w:top w:val="single" w:sz="4" w:space="0" w:color="A6A6A6" w:themeColor="background1" w:themeShade="A6"/>
              <w:bottom w:val="single" w:sz="4" w:space="0" w:color="A6A6A6" w:themeColor="background1" w:themeShade="A6"/>
            </w:tcBorders>
          </w:tcPr>
          <w:p w14:paraId="5F80F969" w14:textId="77777777" w:rsidR="00FA7EBF" w:rsidRPr="005A60A4" w:rsidRDefault="00FA7EBF" w:rsidP="007B207C">
            <w:pPr>
              <w:pStyle w:val="ARfintablebodyright"/>
              <w:ind w:right="0"/>
              <w:rPr>
                <w:sz w:val="15"/>
                <w:szCs w:val="15"/>
              </w:rPr>
            </w:pPr>
            <w:r w:rsidRPr="005A60A4">
              <w:rPr>
                <w:sz w:val="15"/>
                <w:szCs w:val="15"/>
              </w:rPr>
              <w:t>14.2</w:t>
            </w:r>
          </w:p>
        </w:tc>
        <w:tc>
          <w:tcPr>
            <w:tcW w:w="629" w:type="dxa"/>
            <w:tcBorders>
              <w:top w:val="single" w:sz="4" w:space="0" w:color="A6A6A6" w:themeColor="background1" w:themeShade="A6"/>
              <w:bottom w:val="single" w:sz="4" w:space="0" w:color="A6A6A6" w:themeColor="background1" w:themeShade="A6"/>
            </w:tcBorders>
          </w:tcPr>
          <w:p w14:paraId="71ED1C11" w14:textId="77777777" w:rsidR="00FA7EBF" w:rsidRPr="005A60A4" w:rsidRDefault="00FA7EBF" w:rsidP="007B207C">
            <w:pPr>
              <w:pStyle w:val="ARfintablebodyright"/>
              <w:ind w:right="0"/>
              <w:rPr>
                <w:sz w:val="15"/>
                <w:szCs w:val="15"/>
              </w:rPr>
            </w:pPr>
            <w:r w:rsidRPr="005A60A4">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305A99BC" w14:textId="77777777" w:rsidR="00FA7EBF" w:rsidRPr="005A60A4" w:rsidRDefault="00FA7EBF" w:rsidP="007B207C">
            <w:pPr>
              <w:pStyle w:val="ARfintablebodyright"/>
              <w:ind w:right="0"/>
              <w:rPr>
                <w:sz w:val="15"/>
                <w:szCs w:val="15"/>
              </w:rPr>
            </w:pPr>
            <w:r w:rsidRPr="005A60A4">
              <w:rPr>
                <w:sz w:val="15"/>
                <w:szCs w:val="15"/>
              </w:rPr>
              <w:t>10.5</w:t>
            </w:r>
          </w:p>
        </w:tc>
        <w:tc>
          <w:tcPr>
            <w:tcW w:w="629" w:type="dxa"/>
            <w:tcBorders>
              <w:top w:val="single" w:sz="4" w:space="0" w:color="A6A6A6" w:themeColor="background1" w:themeShade="A6"/>
              <w:bottom w:val="single" w:sz="4" w:space="0" w:color="A6A6A6" w:themeColor="background1" w:themeShade="A6"/>
            </w:tcBorders>
          </w:tcPr>
          <w:p w14:paraId="1EC887F5" w14:textId="77777777" w:rsidR="00FA7EBF" w:rsidRPr="005A60A4" w:rsidRDefault="00FA7EBF" w:rsidP="007B207C">
            <w:pPr>
              <w:pStyle w:val="ARfintablebodyright"/>
              <w:ind w:right="0"/>
              <w:rPr>
                <w:sz w:val="15"/>
                <w:szCs w:val="15"/>
              </w:rPr>
            </w:pPr>
            <w:r w:rsidRPr="005A60A4">
              <w:rPr>
                <w:sz w:val="15"/>
                <w:szCs w:val="15"/>
              </w:rPr>
              <w:t>0.9</w:t>
            </w:r>
          </w:p>
        </w:tc>
        <w:tc>
          <w:tcPr>
            <w:tcW w:w="630" w:type="dxa"/>
            <w:tcBorders>
              <w:top w:val="single" w:sz="4" w:space="0" w:color="A6A6A6" w:themeColor="background1" w:themeShade="A6"/>
              <w:bottom w:val="single" w:sz="4" w:space="0" w:color="A6A6A6" w:themeColor="background1" w:themeShade="A6"/>
            </w:tcBorders>
          </w:tcPr>
          <w:p w14:paraId="0E14807F" w14:textId="77777777" w:rsidR="00FA7EBF" w:rsidRPr="005A60A4" w:rsidRDefault="00FA7EBF" w:rsidP="007B207C">
            <w:pPr>
              <w:pStyle w:val="ARfintablebodyright"/>
              <w:ind w:right="0"/>
              <w:rPr>
                <w:sz w:val="15"/>
                <w:szCs w:val="15"/>
              </w:rPr>
            </w:pPr>
            <w:r w:rsidRPr="005A60A4">
              <w:rPr>
                <w:sz w:val="15"/>
                <w:szCs w:val="15"/>
              </w:rPr>
              <w:t>1.8</w:t>
            </w:r>
          </w:p>
        </w:tc>
        <w:tc>
          <w:tcPr>
            <w:tcW w:w="630" w:type="dxa"/>
            <w:tcBorders>
              <w:top w:val="single" w:sz="4" w:space="0" w:color="A6A6A6" w:themeColor="background1" w:themeShade="A6"/>
              <w:bottom w:val="single" w:sz="4" w:space="0" w:color="A6A6A6" w:themeColor="background1" w:themeShade="A6"/>
            </w:tcBorders>
          </w:tcPr>
          <w:p w14:paraId="43924E58"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5ED46760" w14:textId="77777777" w:rsidR="00FA7EBF" w:rsidRPr="005A60A4" w:rsidRDefault="00FA7EBF" w:rsidP="007B207C">
            <w:pPr>
              <w:pStyle w:val="ARfintablebodyright"/>
              <w:ind w:right="0"/>
              <w:rPr>
                <w:sz w:val="15"/>
                <w:szCs w:val="15"/>
              </w:rPr>
            </w:pPr>
            <w:r w:rsidRPr="005A60A4">
              <w:rPr>
                <w:sz w:val="15"/>
                <w:szCs w:val="15"/>
              </w:rPr>
              <w:t>1.5</w:t>
            </w:r>
          </w:p>
        </w:tc>
        <w:tc>
          <w:tcPr>
            <w:tcW w:w="630" w:type="dxa"/>
            <w:tcBorders>
              <w:top w:val="single" w:sz="4" w:space="0" w:color="A6A6A6" w:themeColor="background1" w:themeShade="A6"/>
              <w:bottom w:val="single" w:sz="4" w:space="0" w:color="A6A6A6" w:themeColor="background1" w:themeShade="A6"/>
            </w:tcBorders>
          </w:tcPr>
          <w:p w14:paraId="158EACD0" w14:textId="77777777" w:rsidR="00FA7EBF" w:rsidRPr="005A60A4" w:rsidRDefault="00FA7EBF" w:rsidP="007B207C">
            <w:pPr>
              <w:pStyle w:val="ARfintablebodyright"/>
              <w:ind w:right="0"/>
              <w:rPr>
                <w:sz w:val="15"/>
                <w:szCs w:val="15"/>
              </w:rPr>
            </w:pPr>
            <w:r w:rsidRPr="005A60A4">
              <w:rPr>
                <w:sz w:val="15"/>
                <w:szCs w:val="15"/>
              </w:rPr>
              <w:t>0.3</w:t>
            </w:r>
          </w:p>
        </w:tc>
        <w:tc>
          <w:tcPr>
            <w:tcW w:w="630" w:type="dxa"/>
            <w:tcBorders>
              <w:top w:val="single" w:sz="4" w:space="0" w:color="A6A6A6" w:themeColor="background1" w:themeShade="A6"/>
              <w:bottom w:val="single" w:sz="4" w:space="0" w:color="A6A6A6" w:themeColor="background1" w:themeShade="A6"/>
            </w:tcBorders>
          </w:tcPr>
          <w:p w14:paraId="1D88605C" w14:textId="77777777" w:rsidR="00FA7EBF" w:rsidRPr="005A60A4" w:rsidRDefault="00FA7EBF" w:rsidP="007B207C">
            <w:pPr>
              <w:pStyle w:val="ARfintablebodyright"/>
              <w:ind w:right="0"/>
              <w:rPr>
                <w:sz w:val="15"/>
                <w:szCs w:val="15"/>
              </w:rPr>
            </w:pPr>
            <w:r w:rsidRPr="005A60A4">
              <w:rPr>
                <w:sz w:val="15"/>
                <w:szCs w:val="15"/>
              </w:rPr>
              <w:t>14.3</w:t>
            </w:r>
          </w:p>
        </w:tc>
        <w:tc>
          <w:tcPr>
            <w:tcW w:w="630" w:type="dxa"/>
            <w:tcBorders>
              <w:top w:val="single" w:sz="4" w:space="0" w:color="A6A6A6" w:themeColor="background1" w:themeShade="A6"/>
              <w:bottom w:val="single" w:sz="4" w:space="0" w:color="A6A6A6" w:themeColor="background1" w:themeShade="A6"/>
            </w:tcBorders>
          </w:tcPr>
          <w:p w14:paraId="13E57720" w14:textId="77777777" w:rsidR="00FA7EBF" w:rsidRPr="005A60A4" w:rsidRDefault="00FA7EBF" w:rsidP="007B207C">
            <w:pPr>
              <w:pStyle w:val="ARfintablebodyright"/>
              <w:ind w:right="0"/>
              <w:rPr>
                <w:sz w:val="15"/>
                <w:szCs w:val="15"/>
              </w:rPr>
            </w:pPr>
            <w:r w:rsidRPr="005A60A4">
              <w:rPr>
                <w:sz w:val="15"/>
                <w:szCs w:val="15"/>
              </w:rPr>
              <w:t>10.7</w:t>
            </w:r>
          </w:p>
        </w:tc>
        <w:tc>
          <w:tcPr>
            <w:tcW w:w="630" w:type="dxa"/>
            <w:tcBorders>
              <w:top w:val="single" w:sz="4" w:space="0" w:color="A6A6A6" w:themeColor="background1" w:themeShade="A6"/>
              <w:bottom w:val="single" w:sz="4" w:space="0" w:color="A6A6A6" w:themeColor="background1" w:themeShade="A6"/>
            </w:tcBorders>
          </w:tcPr>
          <w:p w14:paraId="6517C7F6"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5C5F1131" w14:textId="77777777" w:rsidR="00FA7EBF" w:rsidRPr="005A60A4" w:rsidRDefault="00FA7EBF" w:rsidP="007B207C">
            <w:pPr>
              <w:pStyle w:val="ARfintablebodyright"/>
              <w:ind w:right="0"/>
              <w:rPr>
                <w:sz w:val="15"/>
                <w:szCs w:val="15"/>
              </w:rPr>
            </w:pPr>
            <w:r w:rsidRPr="005A60A4">
              <w:rPr>
                <w:sz w:val="15"/>
                <w:szCs w:val="15"/>
              </w:rPr>
              <w:t>0.6</w:t>
            </w:r>
          </w:p>
        </w:tc>
        <w:tc>
          <w:tcPr>
            <w:tcW w:w="630" w:type="dxa"/>
            <w:tcBorders>
              <w:top w:val="single" w:sz="4" w:space="0" w:color="A6A6A6" w:themeColor="background1" w:themeShade="A6"/>
              <w:bottom w:val="single" w:sz="4" w:space="0" w:color="A6A6A6" w:themeColor="background1" w:themeShade="A6"/>
            </w:tcBorders>
          </w:tcPr>
          <w:p w14:paraId="4623630F"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569C239E" w14:textId="77777777" w:rsidR="00FA7EBF" w:rsidRPr="005A60A4" w:rsidRDefault="00FA7EBF" w:rsidP="007B207C">
            <w:pPr>
              <w:pStyle w:val="ARfintablebodyright"/>
              <w:ind w:right="0"/>
              <w:rPr>
                <w:sz w:val="15"/>
                <w:szCs w:val="15"/>
              </w:rPr>
            </w:pPr>
            <w:r w:rsidRPr="005A60A4">
              <w:rPr>
                <w:sz w:val="15"/>
                <w:szCs w:val="15"/>
              </w:rPr>
              <w:t>5.0</w:t>
            </w:r>
          </w:p>
        </w:tc>
        <w:tc>
          <w:tcPr>
            <w:tcW w:w="630" w:type="dxa"/>
            <w:tcBorders>
              <w:top w:val="single" w:sz="4" w:space="0" w:color="A6A6A6" w:themeColor="background1" w:themeShade="A6"/>
              <w:bottom w:val="single" w:sz="4" w:space="0" w:color="A6A6A6" w:themeColor="background1" w:themeShade="A6"/>
            </w:tcBorders>
          </w:tcPr>
          <w:p w14:paraId="3F0F5730" w14:textId="77777777" w:rsidR="00FA7EBF" w:rsidRPr="005A60A4" w:rsidRDefault="00FA7EBF" w:rsidP="007B207C">
            <w:pPr>
              <w:pStyle w:val="ARfintablebodyright"/>
              <w:ind w:right="0"/>
              <w:rPr>
                <w:sz w:val="15"/>
                <w:szCs w:val="15"/>
              </w:rPr>
            </w:pPr>
            <w:r w:rsidRPr="005A60A4">
              <w:rPr>
                <w:sz w:val="15"/>
                <w:szCs w:val="15"/>
              </w:rPr>
              <w:t>280.6</w:t>
            </w:r>
          </w:p>
        </w:tc>
        <w:tc>
          <w:tcPr>
            <w:tcW w:w="630" w:type="dxa"/>
            <w:tcBorders>
              <w:top w:val="single" w:sz="4" w:space="0" w:color="A6A6A6" w:themeColor="background1" w:themeShade="A6"/>
              <w:bottom w:val="single" w:sz="4" w:space="0" w:color="A6A6A6" w:themeColor="background1" w:themeShade="A6"/>
            </w:tcBorders>
          </w:tcPr>
          <w:p w14:paraId="4A90B0C4" w14:textId="77777777" w:rsidR="00FA7EBF" w:rsidRPr="005A60A4" w:rsidRDefault="00FA7EBF" w:rsidP="007B207C">
            <w:pPr>
              <w:pStyle w:val="ARfintablebodyright"/>
              <w:ind w:right="0"/>
              <w:rPr>
                <w:sz w:val="15"/>
                <w:szCs w:val="15"/>
              </w:rPr>
            </w:pPr>
            <w:r w:rsidRPr="005A60A4">
              <w:rPr>
                <w:sz w:val="15"/>
                <w:szCs w:val="15"/>
              </w:rPr>
              <w:t>0.2</w:t>
            </w:r>
          </w:p>
        </w:tc>
        <w:tc>
          <w:tcPr>
            <w:tcW w:w="630" w:type="dxa"/>
            <w:tcBorders>
              <w:top w:val="single" w:sz="4" w:space="0" w:color="A6A6A6" w:themeColor="background1" w:themeShade="A6"/>
              <w:bottom w:val="single" w:sz="4" w:space="0" w:color="A6A6A6" w:themeColor="background1" w:themeShade="A6"/>
            </w:tcBorders>
          </w:tcPr>
          <w:p w14:paraId="2BDA315C" w14:textId="77777777" w:rsidR="00FA7EBF" w:rsidRPr="005A60A4" w:rsidRDefault="00FA7EBF" w:rsidP="007B207C">
            <w:pPr>
              <w:pStyle w:val="ARfintablebodyright"/>
              <w:ind w:right="0"/>
              <w:rPr>
                <w:sz w:val="15"/>
                <w:szCs w:val="15"/>
              </w:rPr>
            </w:pPr>
            <w:r w:rsidRPr="005A60A4">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6CA46E4F" w14:textId="77777777" w:rsidR="00FA7EBF" w:rsidRPr="005A60A4" w:rsidRDefault="00FA7EBF" w:rsidP="007B207C">
            <w:pPr>
              <w:pStyle w:val="ARfintablebodyright"/>
              <w:ind w:right="0"/>
              <w:rPr>
                <w:sz w:val="15"/>
                <w:szCs w:val="15"/>
              </w:rPr>
            </w:pPr>
            <w:r w:rsidRPr="005A60A4">
              <w:rPr>
                <w:sz w:val="15"/>
                <w:szCs w:val="15"/>
              </w:rPr>
              <w:t>340.5</w:t>
            </w:r>
          </w:p>
        </w:tc>
      </w:tr>
      <w:tr w:rsidR="00FA7EBF" w:rsidRPr="007939DD" w14:paraId="23A6917A"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67A86752" w14:textId="77777777" w:rsidR="00FA7EBF" w:rsidRPr="007939DD" w:rsidRDefault="00FA7EBF" w:rsidP="007B207C">
            <w:pPr>
              <w:pStyle w:val="ARfintablebody"/>
              <w:rPr>
                <w:sz w:val="13"/>
                <w:szCs w:val="13"/>
                <w:lang w:eastAsia="en-AU"/>
              </w:rPr>
            </w:pPr>
            <w:r w:rsidRPr="00CD0B09">
              <w:t>Interest expense</w:t>
            </w:r>
          </w:p>
        </w:tc>
        <w:tc>
          <w:tcPr>
            <w:tcW w:w="629" w:type="dxa"/>
            <w:tcBorders>
              <w:top w:val="single" w:sz="4" w:space="0" w:color="A6A6A6" w:themeColor="background1" w:themeShade="A6"/>
              <w:bottom w:val="single" w:sz="4" w:space="0" w:color="A6A6A6" w:themeColor="background1" w:themeShade="A6"/>
            </w:tcBorders>
          </w:tcPr>
          <w:p w14:paraId="42909FB6" w14:textId="77777777" w:rsidR="00FA7EBF" w:rsidRPr="005A60A4" w:rsidRDefault="00FA7EBF" w:rsidP="007B207C">
            <w:pPr>
              <w:pStyle w:val="ARfintablebodyright"/>
              <w:ind w:right="0"/>
              <w:rPr>
                <w:sz w:val="15"/>
                <w:szCs w:val="15"/>
              </w:rPr>
            </w:pPr>
            <w:r w:rsidRPr="005A60A4">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414BEAAD" w14:textId="77777777" w:rsidR="00FA7EBF" w:rsidRPr="005A60A4" w:rsidRDefault="00FA7EBF" w:rsidP="007B207C">
            <w:pPr>
              <w:pStyle w:val="ARfintablebodyright"/>
              <w:ind w:right="0"/>
              <w:rPr>
                <w:sz w:val="15"/>
                <w:szCs w:val="15"/>
              </w:rPr>
            </w:pPr>
            <w:r w:rsidRPr="005A60A4">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1876B55C" w14:textId="77777777" w:rsidR="00FA7EBF" w:rsidRPr="005A60A4" w:rsidRDefault="00FA7EBF" w:rsidP="007B207C">
            <w:pPr>
              <w:pStyle w:val="ARfintablebodyright"/>
              <w:ind w:right="0"/>
              <w:rPr>
                <w:sz w:val="15"/>
                <w:szCs w:val="15"/>
              </w:rPr>
            </w:pPr>
            <w:r w:rsidRPr="005A60A4">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1D183AFA"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59B5745"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36FD2B9"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3F3E930"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5F459227"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B04D975" w14:textId="77777777" w:rsidR="00FA7EBF" w:rsidRPr="005A60A4" w:rsidRDefault="00FA7EBF" w:rsidP="007B207C">
            <w:pPr>
              <w:pStyle w:val="ARfintablebodyright"/>
              <w:ind w:right="0"/>
              <w:rPr>
                <w:sz w:val="15"/>
                <w:szCs w:val="15"/>
              </w:rPr>
            </w:pPr>
            <w:r w:rsidRPr="005A60A4">
              <w:rPr>
                <w:sz w:val="15"/>
                <w:szCs w:val="15"/>
              </w:rPr>
              <w:t>0.2</w:t>
            </w:r>
          </w:p>
        </w:tc>
        <w:tc>
          <w:tcPr>
            <w:tcW w:w="630" w:type="dxa"/>
            <w:tcBorders>
              <w:top w:val="single" w:sz="4" w:space="0" w:color="A6A6A6" w:themeColor="background1" w:themeShade="A6"/>
              <w:bottom w:val="single" w:sz="4" w:space="0" w:color="A6A6A6" w:themeColor="background1" w:themeShade="A6"/>
            </w:tcBorders>
          </w:tcPr>
          <w:p w14:paraId="54171793" w14:textId="77777777" w:rsidR="00FA7EBF" w:rsidRPr="005A60A4" w:rsidRDefault="00FA7EBF" w:rsidP="007B207C">
            <w:pPr>
              <w:pStyle w:val="ARfintablebodyright"/>
              <w:ind w:right="0"/>
              <w:rPr>
                <w:sz w:val="15"/>
                <w:szCs w:val="15"/>
              </w:rPr>
            </w:pPr>
            <w:r w:rsidRPr="005A60A4">
              <w:rPr>
                <w:sz w:val="15"/>
                <w:szCs w:val="15"/>
              </w:rPr>
              <w:t>0.4</w:t>
            </w:r>
          </w:p>
        </w:tc>
        <w:tc>
          <w:tcPr>
            <w:tcW w:w="630" w:type="dxa"/>
            <w:tcBorders>
              <w:top w:val="single" w:sz="4" w:space="0" w:color="A6A6A6" w:themeColor="background1" w:themeShade="A6"/>
              <w:bottom w:val="single" w:sz="4" w:space="0" w:color="A6A6A6" w:themeColor="background1" w:themeShade="A6"/>
            </w:tcBorders>
          </w:tcPr>
          <w:p w14:paraId="14F0337A"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5DF39753"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5013A58"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B283116"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FF00124"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568AE80"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5BFB37F8" w14:textId="77777777" w:rsidR="00FA7EBF" w:rsidRPr="005A60A4" w:rsidRDefault="00FA7EBF" w:rsidP="007B207C">
            <w:pPr>
              <w:pStyle w:val="ARfintablebodyright"/>
              <w:ind w:right="0"/>
              <w:rPr>
                <w:sz w:val="15"/>
                <w:szCs w:val="15"/>
              </w:rPr>
            </w:pPr>
            <w:r w:rsidRPr="005A60A4">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4F9F0C45" w14:textId="77777777" w:rsidR="00FA7EBF" w:rsidRPr="005A60A4" w:rsidRDefault="00FA7EBF" w:rsidP="007B207C">
            <w:pPr>
              <w:pStyle w:val="ARfintablebodyright"/>
              <w:ind w:right="0"/>
              <w:rPr>
                <w:sz w:val="15"/>
                <w:szCs w:val="15"/>
              </w:rPr>
            </w:pPr>
            <w:r w:rsidRPr="005A60A4">
              <w:rPr>
                <w:sz w:val="15"/>
                <w:szCs w:val="15"/>
              </w:rPr>
              <w:t>0.6</w:t>
            </w:r>
          </w:p>
        </w:tc>
      </w:tr>
      <w:tr w:rsidR="00FA7EBF" w:rsidRPr="007939DD" w14:paraId="4CD75245"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4827CA10" w14:textId="77777777" w:rsidR="00FA7EBF" w:rsidRPr="007939DD" w:rsidRDefault="00FA7EBF" w:rsidP="007B207C">
            <w:pPr>
              <w:pStyle w:val="ARfintablebody"/>
              <w:rPr>
                <w:sz w:val="13"/>
                <w:szCs w:val="13"/>
                <w:lang w:eastAsia="en-AU"/>
              </w:rPr>
            </w:pPr>
            <w:r w:rsidRPr="00CD0B09">
              <w:t>Maintenance</w:t>
            </w:r>
          </w:p>
        </w:tc>
        <w:tc>
          <w:tcPr>
            <w:tcW w:w="629" w:type="dxa"/>
            <w:tcBorders>
              <w:top w:val="single" w:sz="4" w:space="0" w:color="A6A6A6" w:themeColor="background1" w:themeShade="A6"/>
              <w:bottom w:val="single" w:sz="4" w:space="0" w:color="A6A6A6" w:themeColor="background1" w:themeShade="A6"/>
            </w:tcBorders>
          </w:tcPr>
          <w:p w14:paraId="397FB25C" w14:textId="77777777" w:rsidR="00FA7EBF" w:rsidRPr="005A60A4" w:rsidRDefault="00FA7EBF" w:rsidP="007B207C">
            <w:pPr>
              <w:pStyle w:val="ARfintablebodyright"/>
              <w:ind w:right="0"/>
              <w:rPr>
                <w:sz w:val="15"/>
                <w:szCs w:val="15"/>
              </w:rPr>
            </w:pPr>
            <w:r w:rsidRPr="005A60A4">
              <w:rPr>
                <w:sz w:val="15"/>
                <w:szCs w:val="15"/>
              </w:rPr>
              <w:t>0.4</w:t>
            </w:r>
          </w:p>
        </w:tc>
        <w:tc>
          <w:tcPr>
            <w:tcW w:w="629" w:type="dxa"/>
            <w:tcBorders>
              <w:top w:val="single" w:sz="4" w:space="0" w:color="A6A6A6" w:themeColor="background1" w:themeShade="A6"/>
              <w:bottom w:val="single" w:sz="4" w:space="0" w:color="A6A6A6" w:themeColor="background1" w:themeShade="A6"/>
            </w:tcBorders>
          </w:tcPr>
          <w:p w14:paraId="72EA587F" w14:textId="77777777" w:rsidR="00FA7EBF" w:rsidRPr="005A60A4" w:rsidRDefault="00FA7EBF" w:rsidP="007B207C">
            <w:pPr>
              <w:pStyle w:val="ARfintablebodyright"/>
              <w:ind w:right="0"/>
              <w:rPr>
                <w:sz w:val="15"/>
                <w:szCs w:val="15"/>
              </w:rPr>
            </w:pPr>
            <w:r w:rsidRPr="005A60A4">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2352019D" w14:textId="77777777" w:rsidR="00FA7EBF" w:rsidRPr="005A60A4" w:rsidRDefault="00FA7EBF" w:rsidP="007B207C">
            <w:pPr>
              <w:pStyle w:val="ARfintablebodyright"/>
              <w:ind w:right="0"/>
              <w:rPr>
                <w:sz w:val="15"/>
                <w:szCs w:val="15"/>
              </w:rPr>
            </w:pPr>
            <w:r w:rsidRPr="005A60A4">
              <w:rPr>
                <w:sz w:val="15"/>
                <w:szCs w:val="15"/>
              </w:rPr>
              <w:t>0.2</w:t>
            </w:r>
          </w:p>
        </w:tc>
        <w:tc>
          <w:tcPr>
            <w:tcW w:w="629" w:type="dxa"/>
            <w:tcBorders>
              <w:top w:val="single" w:sz="4" w:space="0" w:color="A6A6A6" w:themeColor="background1" w:themeShade="A6"/>
              <w:bottom w:val="single" w:sz="4" w:space="0" w:color="A6A6A6" w:themeColor="background1" w:themeShade="A6"/>
            </w:tcBorders>
          </w:tcPr>
          <w:p w14:paraId="1C14B915"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20D1452"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AD188BF"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377E400"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9729AF4" w14:textId="77777777" w:rsidR="00FA7EBF" w:rsidRPr="005A60A4" w:rsidRDefault="00FA7EBF" w:rsidP="007B207C">
            <w:pPr>
              <w:pStyle w:val="ARfintablebodyright"/>
              <w:ind w:right="0"/>
              <w:rPr>
                <w:sz w:val="15"/>
                <w:szCs w:val="15"/>
              </w:rPr>
            </w:pPr>
            <w:r w:rsidRPr="005A60A4">
              <w:rPr>
                <w:sz w:val="15"/>
                <w:szCs w:val="15"/>
              </w:rPr>
              <w:t>0.1</w:t>
            </w:r>
          </w:p>
        </w:tc>
        <w:tc>
          <w:tcPr>
            <w:tcW w:w="630" w:type="dxa"/>
            <w:tcBorders>
              <w:top w:val="single" w:sz="4" w:space="0" w:color="A6A6A6" w:themeColor="background1" w:themeShade="A6"/>
              <w:bottom w:val="single" w:sz="4" w:space="0" w:color="A6A6A6" w:themeColor="background1" w:themeShade="A6"/>
            </w:tcBorders>
          </w:tcPr>
          <w:p w14:paraId="6CAF835D" w14:textId="77777777" w:rsidR="00FA7EBF" w:rsidRPr="005A60A4" w:rsidRDefault="00FA7EBF" w:rsidP="007B207C">
            <w:pPr>
              <w:pStyle w:val="ARfintablebodyright"/>
              <w:ind w:right="0"/>
              <w:rPr>
                <w:sz w:val="15"/>
                <w:szCs w:val="15"/>
              </w:rPr>
            </w:pPr>
            <w:r w:rsidRPr="005A60A4">
              <w:rPr>
                <w:sz w:val="15"/>
                <w:szCs w:val="15"/>
              </w:rPr>
              <w:t>12.4</w:t>
            </w:r>
          </w:p>
        </w:tc>
        <w:tc>
          <w:tcPr>
            <w:tcW w:w="630" w:type="dxa"/>
            <w:tcBorders>
              <w:top w:val="single" w:sz="4" w:space="0" w:color="A6A6A6" w:themeColor="background1" w:themeShade="A6"/>
              <w:bottom w:val="single" w:sz="4" w:space="0" w:color="A6A6A6" w:themeColor="background1" w:themeShade="A6"/>
            </w:tcBorders>
          </w:tcPr>
          <w:p w14:paraId="244F893D" w14:textId="77777777" w:rsidR="00FA7EBF" w:rsidRPr="005A60A4" w:rsidRDefault="00FA7EBF" w:rsidP="007B207C">
            <w:pPr>
              <w:pStyle w:val="ARfintablebodyright"/>
              <w:ind w:right="0"/>
              <w:rPr>
                <w:sz w:val="15"/>
                <w:szCs w:val="15"/>
              </w:rPr>
            </w:pPr>
            <w:r w:rsidRPr="005A60A4">
              <w:rPr>
                <w:sz w:val="15"/>
                <w:szCs w:val="15"/>
              </w:rPr>
              <w:t>5.6</w:t>
            </w:r>
          </w:p>
        </w:tc>
        <w:tc>
          <w:tcPr>
            <w:tcW w:w="630" w:type="dxa"/>
            <w:tcBorders>
              <w:top w:val="single" w:sz="4" w:space="0" w:color="A6A6A6" w:themeColor="background1" w:themeShade="A6"/>
              <w:bottom w:val="single" w:sz="4" w:space="0" w:color="A6A6A6" w:themeColor="background1" w:themeShade="A6"/>
            </w:tcBorders>
          </w:tcPr>
          <w:p w14:paraId="1A50A5C8"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2F49B1C"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1CEF5685"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4D6DB86"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1B067CA" w14:textId="77777777" w:rsidR="00FA7EBF" w:rsidRPr="005A60A4" w:rsidRDefault="00FA7EBF" w:rsidP="007B207C">
            <w:pPr>
              <w:pStyle w:val="ARfintablebodyright"/>
              <w:ind w:right="0"/>
              <w:rPr>
                <w:sz w:val="15"/>
                <w:szCs w:val="15"/>
              </w:rPr>
            </w:pPr>
            <w:r w:rsidRPr="005A60A4">
              <w:rPr>
                <w:sz w:val="15"/>
                <w:szCs w:val="15"/>
              </w:rPr>
              <w:t>212.7</w:t>
            </w:r>
          </w:p>
        </w:tc>
        <w:tc>
          <w:tcPr>
            <w:tcW w:w="630" w:type="dxa"/>
            <w:tcBorders>
              <w:top w:val="single" w:sz="4" w:space="0" w:color="A6A6A6" w:themeColor="background1" w:themeShade="A6"/>
              <w:bottom w:val="single" w:sz="4" w:space="0" w:color="A6A6A6" w:themeColor="background1" w:themeShade="A6"/>
            </w:tcBorders>
          </w:tcPr>
          <w:p w14:paraId="478A8E7E"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9895702" w14:textId="77777777" w:rsidR="00FA7EBF" w:rsidRPr="005A60A4" w:rsidRDefault="00FA7EBF" w:rsidP="007B207C">
            <w:pPr>
              <w:pStyle w:val="ARfintablebodyright"/>
              <w:ind w:right="0"/>
              <w:rPr>
                <w:sz w:val="15"/>
                <w:szCs w:val="15"/>
              </w:rPr>
            </w:pPr>
            <w:r w:rsidRPr="005A60A4">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14DBBC66" w14:textId="77777777" w:rsidR="00FA7EBF" w:rsidRPr="005A60A4" w:rsidRDefault="00FA7EBF" w:rsidP="007B207C">
            <w:pPr>
              <w:pStyle w:val="ARfintablebodyright"/>
              <w:ind w:right="0"/>
              <w:rPr>
                <w:sz w:val="15"/>
                <w:szCs w:val="15"/>
              </w:rPr>
            </w:pPr>
            <w:r w:rsidRPr="005A60A4">
              <w:rPr>
                <w:sz w:val="15"/>
                <w:szCs w:val="15"/>
              </w:rPr>
              <w:t>231.5</w:t>
            </w:r>
          </w:p>
        </w:tc>
      </w:tr>
      <w:tr w:rsidR="00FA7EBF" w:rsidRPr="007939DD" w14:paraId="5815131E"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7B7C0A43" w14:textId="77777777" w:rsidR="00FA7EBF" w:rsidRPr="007939DD" w:rsidRDefault="00FA7EBF" w:rsidP="007B207C">
            <w:pPr>
              <w:pStyle w:val="ARfintablebody"/>
              <w:rPr>
                <w:sz w:val="13"/>
                <w:szCs w:val="13"/>
                <w:lang w:eastAsia="en-AU"/>
              </w:rPr>
            </w:pPr>
            <w:r w:rsidRPr="00CD0B09">
              <w:t>Fair value of assets and services provided free of charge or for nominal consideration</w:t>
            </w:r>
          </w:p>
        </w:tc>
        <w:tc>
          <w:tcPr>
            <w:tcW w:w="629" w:type="dxa"/>
            <w:tcBorders>
              <w:top w:val="single" w:sz="4" w:space="0" w:color="A6A6A6" w:themeColor="background1" w:themeShade="A6"/>
              <w:bottom w:val="single" w:sz="4" w:space="0" w:color="A6A6A6" w:themeColor="background1" w:themeShade="A6"/>
            </w:tcBorders>
          </w:tcPr>
          <w:p w14:paraId="60A2AD71" w14:textId="77777777" w:rsidR="00FA7EBF" w:rsidRPr="005A60A4" w:rsidRDefault="00FA7EBF" w:rsidP="007B207C">
            <w:pPr>
              <w:pStyle w:val="ARfintablebodyright"/>
              <w:ind w:right="0"/>
              <w:rPr>
                <w:sz w:val="15"/>
                <w:szCs w:val="15"/>
              </w:rPr>
            </w:pPr>
            <w:r w:rsidRPr="005A60A4">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5BE4A0B1" w14:textId="77777777" w:rsidR="00FA7EBF" w:rsidRPr="005A60A4" w:rsidRDefault="00FA7EBF" w:rsidP="007B207C">
            <w:pPr>
              <w:pStyle w:val="ARfintablebodyright"/>
              <w:ind w:right="0"/>
              <w:rPr>
                <w:sz w:val="15"/>
                <w:szCs w:val="15"/>
              </w:rPr>
            </w:pPr>
            <w:r w:rsidRPr="005A60A4">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6CF57B91" w14:textId="77777777" w:rsidR="00FA7EBF" w:rsidRPr="005A60A4" w:rsidRDefault="00FA7EBF" w:rsidP="007B207C">
            <w:pPr>
              <w:pStyle w:val="ARfintablebodyright"/>
              <w:ind w:right="0"/>
              <w:rPr>
                <w:sz w:val="15"/>
                <w:szCs w:val="15"/>
              </w:rPr>
            </w:pPr>
            <w:r w:rsidRPr="005A60A4">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20925EA4"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A4581E3"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7949FCE"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BC38079"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624653F"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D4CD9B5" w14:textId="77777777" w:rsidR="00FA7EBF" w:rsidRPr="005A60A4" w:rsidRDefault="00FA7EBF" w:rsidP="007B207C">
            <w:pPr>
              <w:pStyle w:val="ARfintablebodyright"/>
              <w:ind w:right="0"/>
              <w:rPr>
                <w:sz w:val="15"/>
                <w:szCs w:val="15"/>
              </w:rPr>
            </w:pPr>
            <w:r w:rsidRPr="005A60A4">
              <w:rPr>
                <w:sz w:val="15"/>
                <w:szCs w:val="15"/>
              </w:rPr>
              <w:t>5.0</w:t>
            </w:r>
          </w:p>
        </w:tc>
        <w:tc>
          <w:tcPr>
            <w:tcW w:w="630" w:type="dxa"/>
            <w:tcBorders>
              <w:top w:val="single" w:sz="4" w:space="0" w:color="A6A6A6" w:themeColor="background1" w:themeShade="A6"/>
              <w:bottom w:val="single" w:sz="4" w:space="0" w:color="A6A6A6" w:themeColor="background1" w:themeShade="A6"/>
            </w:tcBorders>
          </w:tcPr>
          <w:p w14:paraId="4848DAF5"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E04B98E"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64F3A2E"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877B607"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138EF0AE"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DB3F749" w14:textId="77777777" w:rsidR="00FA7EBF" w:rsidRPr="005A60A4" w:rsidRDefault="00FA7EBF" w:rsidP="007B207C">
            <w:pPr>
              <w:pStyle w:val="ARfintablebodyright"/>
              <w:ind w:right="0"/>
              <w:rPr>
                <w:sz w:val="15"/>
                <w:szCs w:val="15"/>
              </w:rPr>
            </w:pPr>
            <w:r w:rsidRPr="005A60A4">
              <w:rPr>
                <w:sz w:val="15"/>
                <w:szCs w:val="15"/>
              </w:rPr>
              <w:t>116.2</w:t>
            </w:r>
          </w:p>
        </w:tc>
        <w:tc>
          <w:tcPr>
            <w:tcW w:w="630" w:type="dxa"/>
            <w:tcBorders>
              <w:top w:val="single" w:sz="4" w:space="0" w:color="A6A6A6" w:themeColor="background1" w:themeShade="A6"/>
              <w:bottom w:val="single" w:sz="4" w:space="0" w:color="A6A6A6" w:themeColor="background1" w:themeShade="A6"/>
            </w:tcBorders>
          </w:tcPr>
          <w:p w14:paraId="2C228E94"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4C47C56" w14:textId="77777777" w:rsidR="00FA7EBF" w:rsidRPr="005A60A4" w:rsidRDefault="00FA7EBF" w:rsidP="007B207C">
            <w:pPr>
              <w:pStyle w:val="ARfintablebodyright"/>
              <w:ind w:right="0"/>
              <w:rPr>
                <w:sz w:val="15"/>
                <w:szCs w:val="15"/>
              </w:rPr>
            </w:pPr>
            <w:r w:rsidRPr="005A60A4">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40E2CE67" w14:textId="77777777" w:rsidR="00FA7EBF" w:rsidRPr="005A60A4" w:rsidRDefault="00FA7EBF" w:rsidP="007B207C">
            <w:pPr>
              <w:pStyle w:val="ARfintablebodyright"/>
              <w:ind w:right="0"/>
              <w:rPr>
                <w:sz w:val="15"/>
                <w:szCs w:val="15"/>
              </w:rPr>
            </w:pPr>
            <w:r w:rsidRPr="005A60A4">
              <w:rPr>
                <w:sz w:val="15"/>
                <w:szCs w:val="15"/>
              </w:rPr>
              <w:t>121.3</w:t>
            </w:r>
          </w:p>
        </w:tc>
      </w:tr>
      <w:tr w:rsidR="00FA7EBF" w:rsidRPr="007939DD" w14:paraId="5B7D080B"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3B8B4D9A" w14:textId="77777777" w:rsidR="00FA7EBF" w:rsidRPr="007939DD" w:rsidRDefault="00FA7EBF" w:rsidP="007B207C">
            <w:pPr>
              <w:pStyle w:val="ARfintablebody"/>
              <w:rPr>
                <w:sz w:val="13"/>
                <w:szCs w:val="13"/>
                <w:lang w:eastAsia="en-AU"/>
              </w:rPr>
            </w:pPr>
            <w:r w:rsidRPr="00CD0B09">
              <w:t>Other operating expenses</w:t>
            </w:r>
          </w:p>
        </w:tc>
        <w:tc>
          <w:tcPr>
            <w:tcW w:w="629" w:type="dxa"/>
            <w:tcBorders>
              <w:top w:val="single" w:sz="4" w:space="0" w:color="A6A6A6" w:themeColor="background1" w:themeShade="A6"/>
              <w:bottom w:val="single" w:sz="4" w:space="0" w:color="A6A6A6" w:themeColor="background1" w:themeShade="A6"/>
            </w:tcBorders>
          </w:tcPr>
          <w:p w14:paraId="6A2CCF68" w14:textId="77777777" w:rsidR="00FA7EBF" w:rsidRPr="005A60A4" w:rsidRDefault="00FA7EBF" w:rsidP="007B207C">
            <w:pPr>
              <w:pStyle w:val="ARfintablebodyright"/>
              <w:ind w:right="0"/>
              <w:rPr>
                <w:sz w:val="15"/>
                <w:szCs w:val="15"/>
              </w:rPr>
            </w:pPr>
            <w:r w:rsidRPr="005A60A4">
              <w:rPr>
                <w:sz w:val="15"/>
                <w:szCs w:val="15"/>
              </w:rPr>
              <w:t>154.5</w:t>
            </w:r>
          </w:p>
        </w:tc>
        <w:tc>
          <w:tcPr>
            <w:tcW w:w="629" w:type="dxa"/>
            <w:tcBorders>
              <w:top w:val="single" w:sz="4" w:space="0" w:color="A6A6A6" w:themeColor="background1" w:themeShade="A6"/>
              <w:bottom w:val="single" w:sz="4" w:space="0" w:color="A6A6A6" w:themeColor="background1" w:themeShade="A6"/>
            </w:tcBorders>
          </w:tcPr>
          <w:p w14:paraId="541DA70A" w14:textId="77777777" w:rsidR="00FA7EBF" w:rsidRPr="005A60A4" w:rsidRDefault="00FA7EBF" w:rsidP="007B207C">
            <w:pPr>
              <w:pStyle w:val="ARfintablebodyright"/>
              <w:ind w:right="0"/>
              <w:rPr>
                <w:sz w:val="15"/>
                <w:szCs w:val="15"/>
              </w:rPr>
            </w:pPr>
            <w:r w:rsidRPr="005A60A4">
              <w:rPr>
                <w:sz w:val="15"/>
                <w:szCs w:val="15"/>
              </w:rPr>
              <w:t>1.7</w:t>
            </w:r>
          </w:p>
        </w:tc>
        <w:tc>
          <w:tcPr>
            <w:tcW w:w="629" w:type="dxa"/>
            <w:tcBorders>
              <w:top w:val="single" w:sz="4" w:space="0" w:color="A6A6A6" w:themeColor="background1" w:themeShade="A6"/>
              <w:bottom w:val="single" w:sz="4" w:space="0" w:color="A6A6A6" w:themeColor="background1" w:themeShade="A6"/>
            </w:tcBorders>
          </w:tcPr>
          <w:p w14:paraId="109E17CE" w14:textId="77777777" w:rsidR="00FA7EBF" w:rsidRPr="005A60A4" w:rsidRDefault="00FA7EBF" w:rsidP="007B207C">
            <w:pPr>
              <w:pStyle w:val="ARfintablebodyright"/>
              <w:ind w:right="0"/>
              <w:rPr>
                <w:sz w:val="15"/>
                <w:szCs w:val="15"/>
              </w:rPr>
            </w:pPr>
            <w:r w:rsidRPr="005A60A4">
              <w:rPr>
                <w:sz w:val="15"/>
                <w:szCs w:val="15"/>
              </w:rPr>
              <w:t>13.2</w:t>
            </w:r>
          </w:p>
        </w:tc>
        <w:tc>
          <w:tcPr>
            <w:tcW w:w="629" w:type="dxa"/>
            <w:tcBorders>
              <w:top w:val="single" w:sz="4" w:space="0" w:color="A6A6A6" w:themeColor="background1" w:themeShade="A6"/>
              <w:bottom w:val="single" w:sz="4" w:space="0" w:color="A6A6A6" w:themeColor="background1" w:themeShade="A6"/>
            </w:tcBorders>
          </w:tcPr>
          <w:p w14:paraId="1C040644" w14:textId="77777777" w:rsidR="00FA7EBF" w:rsidRPr="005A60A4" w:rsidRDefault="00FA7EBF" w:rsidP="007B207C">
            <w:pPr>
              <w:pStyle w:val="ARfintablebodyright"/>
              <w:ind w:right="0"/>
              <w:rPr>
                <w:sz w:val="15"/>
                <w:szCs w:val="15"/>
              </w:rPr>
            </w:pPr>
            <w:r w:rsidRPr="005A60A4">
              <w:rPr>
                <w:sz w:val="15"/>
                <w:szCs w:val="15"/>
              </w:rPr>
              <w:t>15.2</w:t>
            </w:r>
          </w:p>
        </w:tc>
        <w:tc>
          <w:tcPr>
            <w:tcW w:w="630" w:type="dxa"/>
            <w:tcBorders>
              <w:top w:val="single" w:sz="4" w:space="0" w:color="A6A6A6" w:themeColor="background1" w:themeShade="A6"/>
              <w:bottom w:val="single" w:sz="4" w:space="0" w:color="A6A6A6" w:themeColor="background1" w:themeShade="A6"/>
            </w:tcBorders>
          </w:tcPr>
          <w:p w14:paraId="61711CAB" w14:textId="77777777" w:rsidR="00FA7EBF" w:rsidRPr="005A60A4" w:rsidRDefault="00FA7EBF" w:rsidP="007B207C">
            <w:pPr>
              <w:pStyle w:val="ARfintablebodyright"/>
              <w:ind w:right="0"/>
              <w:rPr>
                <w:sz w:val="15"/>
                <w:szCs w:val="15"/>
              </w:rPr>
            </w:pPr>
            <w:r w:rsidRPr="005A60A4">
              <w:rPr>
                <w:sz w:val="15"/>
                <w:szCs w:val="15"/>
              </w:rPr>
              <w:t>10.7</w:t>
            </w:r>
          </w:p>
        </w:tc>
        <w:tc>
          <w:tcPr>
            <w:tcW w:w="630" w:type="dxa"/>
            <w:tcBorders>
              <w:top w:val="single" w:sz="4" w:space="0" w:color="A6A6A6" w:themeColor="background1" w:themeShade="A6"/>
              <w:bottom w:val="single" w:sz="4" w:space="0" w:color="A6A6A6" w:themeColor="background1" w:themeShade="A6"/>
            </w:tcBorders>
          </w:tcPr>
          <w:p w14:paraId="4B65AE47" w14:textId="77777777" w:rsidR="00FA7EBF" w:rsidRPr="005A60A4" w:rsidRDefault="00FA7EBF" w:rsidP="007B207C">
            <w:pPr>
              <w:pStyle w:val="ARfintablebodyright"/>
              <w:ind w:right="0"/>
              <w:rPr>
                <w:sz w:val="15"/>
                <w:szCs w:val="15"/>
              </w:rPr>
            </w:pPr>
            <w:r w:rsidRPr="005A60A4">
              <w:rPr>
                <w:sz w:val="15"/>
                <w:szCs w:val="15"/>
              </w:rPr>
              <w:t>2.5</w:t>
            </w:r>
          </w:p>
        </w:tc>
        <w:tc>
          <w:tcPr>
            <w:tcW w:w="630" w:type="dxa"/>
            <w:tcBorders>
              <w:top w:val="single" w:sz="4" w:space="0" w:color="A6A6A6" w:themeColor="background1" w:themeShade="A6"/>
              <w:bottom w:val="single" w:sz="4" w:space="0" w:color="A6A6A6" w:themeColor="background1" w:themeShade="A6"/>
            </w:tcBorders>
          </w:tcPr>
          <w:p w14:paraId="16DBB1B0" w14:textId="77777777" w:rsidR="00FA7EBF" w:rsidRPr="005A60A4" w:rsidRDefault="00FA7EBF" w:rsidP="007B207C">
            <w:pPr>
              <w:pStyle w:val="ARfintablebodyright"/>
              <w:ind w:right="0"/>
              <w:rPr>
                <w:sz w:val="15"/>
                <w:szCs w:val="15"/>
              </w:rPr>
            </w:pPr>
            <w:r w:rsidRPr="005A60A4">
              <w:rPr>
                <w:sz w:val="15"/>
                <w:szCs w:val="15"/>
              </w:rPr>
              <w:t>52.4</w:t>
            </w:r>
          </w:p>
        </w:tc>
        <w:tc>
          <w:tcPr>
            <w:tcW w:w="630" w:type="dxa"/>
            <w:tcBorders>
              <w:top w:val="single" w:sz="4" w:space="0" w:color="A6A6A6" w:themeColor="background1" w:themeShade="A6"/>
              <w:bottom w:val="single" w:sz="4" w:space="0" w:color="A6A6A6" w:themeColor="background1" w:themeShade="A6"/>
            </w:tcBorders>
          </w:tcPr>
          <w:p w14:paraId="053C62E4" w14:textId="77777777" w:rsidR="00FA7EBF" w:rsidRPr="005A60A4" w:rsidRDefault="00FA7EBF" w:rsidP="007B207C">
            <w:pPr>
              <w:pStyle w:val="ARfintablebodyright"/>
              <w:ind w:right="0"/>
              <w:rPr>
                <w:sz w:val="15"/>
                <w:szCs w:val="15"/>
              </w:rPr>
            </w:pPr>
            <w:r w:rsidRPr="005A60A4">
              <w:rPr>
                <w:sz w:val="15"/>
                <w:szCs w:val="15"/>
              </w:rPr>
              <w:t>8.1</w:t>
            </w:r>
          </w:p>
        </w:tc>
        <w:tc>
          <w:tcPr>
            <w:tcW w:w="630" w:type="dxa"/>
            <w:tcBorders>
              <w:top w:val="single" w:sz="4" w:space="0" w:color="A6A6A6" w:themeColor="background1" w:themeShade="A6"/>
              <w:bottom w:val="single" w:sz="4" w:space="0" w:color="A6A6A6" w:themeColor="background1" w:themeShade="A6"/>
            </w:tcBorders>
          </w:tcPr>
          <w:p w14:paraId="78AA6FE9" w14:textId="77777777" w:rsidR="00FA7EBF" w:rsidRPr="005A60A4" w:rsidRDefault="00FA7EBF" w:rsidP="007B207C">
            <w:pPr>
              <w:pStyle w:val="ARfintablebodyright"/>
              <w:ind w:right="0"/>
              <w:rPr>
                <w:sz w:val="15"/>
                <w:szCs w:val="15"/>
              </w:rPr>
            </w:pPr>
            <w:r w:rsidRPr="005A60A4">
              <w:rPr>
                <w:sz w:val="15"/>
                <w:szCs w:val="15"/>
              </w:rPr>
              <w:t>126.8</w:t>
            </w:r>
          </w:p>
        </w:tc>
        <w:tc>
          <w:tcPr>
            <w:tcW w:w="630" w:type="dxa"/>
            <w:tcBorders>
              <w:top w:val="single" w:sz="4" w:space="0" w:color="A6A6A6" w:themeColor="background1" w:themeShade="A6"/>
              <w:bottom w:val="single" w:sz="4" w:space="0" w:color="A6A6A6" w:themeColor="background1" w:themeShade="A6"/>
            </w:tcBorders>
          </w:tcPr>
          <w:p w14:paraId="3D94287E" w14:textId="77777777" w:rsidR="00FA7EBF" w:rsidRPr="005A60A4" w:rsidRDefault="00FA7EBF" w:rsidP="007B207C">
            <w:pPr>
              <w:pStyle w:val="ARfintablebodyright"/>
              <w:ind w:right="0"/>
              <w:rPr>
                <w:sz w:val="15"/>
                <w:szCs w:val="15"/>
              </w:rPr>
            </w:pPr>
            <w:r w:rsidRPr="005A60A4">
              <w:rPr>
                <w:sz w:val="15"/>
                <w:szCs w:val="15"/>
              </w:rPr>
              <w:t>140.4</w:t>
            </w:r>
          </w:p>
        </w:tc>
        <w:tc>
          <w:tcPr>
            <w:tcW w:w="630" w:type="dxa"/>
            <w:tcBorders>
              <w:top w:val="single" w:sz="4" w:space="0" w:color="A6A6A6" w:themeColor="background1" w:themeShade="A6"/>
              <w:bottom w:val="single" w:sz="4" w:space="0" w:color="A6A6A6" w:themeColor="background1" w:themeShade="A6"/>
            </w:tcBorders>
          </w:tcPr>
          <w:p w14:paraId="77E24482" w14:textId="77777777" w:rsidR="00FA7EBF" w:rsidRPr="005A60A4" w:rsidRDefault="00FA7EBF" w:rsidP="007B207C">
            <w:pPr>
              <w:pStyle w:val="ARfintablebodyright"/>
              <w:ind w:right="0"/>
              <w:rPr>
                <w:sz w:val="15"/>
                <w:szCs w:val="15"/>
              </w:rPr>
            </w:pPr>
            <w:r w:rsidRPr="005A60A4">
              <w:rPr>
                <w:sz w:val="15"/>
                <w:szCs w:val="15"/>
              </w:rPr>
              <w:t>4.0</w:t>
            </w:r>
          </w:p>
        </w:tc>
        <w:tc>
          <w:tcPr>
            <w:tcW w:w="630" w:type="dxa"/>
            <w:tcBorders>
              <w:top w:val="single" w:sz="4" w:space="0" w:color="A6A6A6" w:themeColor="background1" w:themeShade="A6"/>
              <w:bottom w:val="single" w:sz="4" w:space="0" w:color="A6A6A6" w:themeColor="background1" w:themeShade="A6"/>
            </w:tcBorders>
          </w:tcPr>
          <w:p w14:paraId="3E6B2E28" w14:textId="77777777" w:rsidR="00FA7EBF" w:rsidRPr="005A60A4" w:rsidRDefault="00FA7EBF" w:rsidP="007B207C">
            <w:pPr>
              <w:pStyle w:val="ARfintablebodyright"/>
              <w:ind w:right="0"/>
              <w:rPr>
                <w:sz w:val="15"/>
                <w:szCs w:val="15"/>
              </w:rPr>
            </w:pPr>
            <w:r w:rsidRPr="005A60A4">
              <w:rPr>
                <w:sz w:val="15"/>
                <w:szCs w:val="15"/>
              </w:rPr>
              <w:t>4.5</w:t>
            </w:r>
          </w:p>
        </w:tc>
        <w:tc>
          <w:tcPr>
            <w:tcW w:w="630" w:type="dxa"/>
            <w:tcBorders>
              <w:top w:val="single" w:sz="4" w:space="0" w:color="A6A6A6" w:themeColor="background1" w:themeShade="A6"/>
              <w:bottom w:val="single" w:sz="4" w:space="0" w:color="A6A6A6" w:themeColor="background1" w:themeShade="A6"/>
            </w:tcBorders>
          </w:tcPr>
          <w:p w14:paraId="30D682FC" w14:textId="77777777" w:rsidR="00FA7EBF" w:rsidRPr="005A60A4" w:rsidRDefault="00FA7EBF" w:rsidP="007B207C">
            <w:pPr>
              <w:pStyle w:val="ARfintablebodyright"/>
              <w:ind w:right="0"/>
              <w:rPr>
                <w:sz w:val="15"/>
                <w:szCs w:val="15"/>
              </w:rPr>
            </w:pPr>
            <w:r w:rsidRPr="005A60A4">
              <w:rPr>
                <w:sz w:val="15"/>
                <w:szCs w:val="15"/>
              </w:rPr>
              <w:t>7.2</w:t>
            </w:r>
          </w:p>
        </w:tc>
        <w:tc>
          <w:tcPr>
            <w:tcW w:w="630" w:type="dxa"/>
            <w:tcBorders>
              <w:top w:val="single" w:sz="4" w:space="0" w:color="A6A6A6" w:themeColor="background1" w:themeShade="A6"/>
              <w:bottom w:val="single" w:sz="4" w:space="0" w:color="A6A6A6" w:themeColor="background1" w:themeShade="A6"/>
            </w:tcBorders>
          </w:tcPr>
          <w:p w14:paraId="306BB7D8" w14:textId="77777777" w:rsidR="00FA7EBF" w:rsidRPr="005A60A4" w:rsidRDefault="00FA7EBF" w:rsidP="007B207C">
            <w:pPr>
              <w:pStyle w:val="ARfintablebodyright"/>
              <w:ind w:right="0"/>
              <w:rPr>
                <w:sz w:val="15"/>
                <w:szCs w:val="15"/>
              </w:rPr>
            </w:pPr>
            <w:r w:rsidRPr="005A60A4">
              <w:rPr>
                <w:sz w:val="15"/>
                <w:szCs w:val="15"/>
              </w:rPr>
              <w:t>23.3</w:t>
            </w:r>
          </w:p>
        </w:tc>
        <w:tc>
          <w:tcPr>
            <w:tcW w:w="630" w:type="dxa"/>
            <w:tcBorders>
              <w:top w:val="single" w:sz="4" w:space="0" w:color="A6A6A6" w:themeColor="background1" w:themeShade="A6"/>
              <w:bottom w:val="single" w:sz="4" w:space="0" w:color="A6A6A6" w:themeColor="background1" w:themeShade="A6"/>
            </w:tcBorders>
          </w:tcPr>
          <w:p w14:paraId="2F789916" w14:textId="77777777" w:rsidR="00FA7EBF" w:rsidRPr="005A60A4" w:rsidRDefault="00FA7EBF" w:rsidP="007B207C">
            <w:pPr>
              <w:pStyle w:val="ARfintablebodyright"/>
              <w:ind w:right="0"/>
              <w:rPr>
                <w:sz w:val="15"/>
                <w:szCs w:val="15"/>
              </w:rPr>
            </w:pPr>
            <w:r w:rsidRPr="005A60A4">
              <w:rPr>
                <w:sz w:val="15"/>
                <w:szCs w:val="15"/>
              </w:rPr>
              <w:t>45.8</w:t>
            </w:r>
          </w:p>
        </w:tc>
        <w:tc>
          <w:tcPr>
            <w:tcW w:w="630" w:type="dxa"/>
            <w:tcBorders>
              <w:top w:val="single" w:sz="4" w:space="0" w:color="A6A6A6" w:themeColor="background1" w:themeShade="A6"/>
              <w:bottom w:val="single" w:sz="4" w:space="0" w:color="A6A6A6" w:themeColor="background1" w:themeShade="A6"/>
            </w:tcBorders>
          </w:tcPr>
          <w:p w14:paraId="40959CA3" w14:textId="77777777" w:rsidR="00FA7EBF" w:rsidRPr="005A60A4" w:rsidRDefault="00FA7EBF" w:rsidP="007B207C">
            <w:pPr>
              <w:pStyle w:val="ARfintablebodyright"/>
              <w:ind w:right="0"/>
              <w:rPr>
                <w:sz w:val="15"/>
                <w:szCs w:val="15"/>
              </w:rPr>
            </w:pPr>
            <w:r w:rsidRPr="005A60A4">
              <w:rPr>
                <w:sz w:val="15"/>
                <w:szCs w:val="15"/>
              </w:rPr>
              <w:t>0.9</w:t>
            </w:r>
          </w:p>
        </w:tc>
        <w:tc>
          <w:tcPr>
            <w:tcW w:w="630" w:type="dxa"/>
            <w:tcBorders>
              <w:top w:val="single" w:sz="4" w:space="0" w:color="A6A6A6" w:themeColor="background1" w:themeShade="A6"/>
              <w:bottom w:val="single" w:sz="4" w:space="0" w:color="A6A6A6" w:themeColor="background1" w:themeShade="A6"/>
            </w:tcBorders>
          </w:tcPr>
          <w:p w14:paraId="46A6E32B" w14:textId="77777777" w:rsidR="00FA7EBF" w:rsidRPr="005A60A4" w:rsidRDefault="00FA7EBF" w:rsidP="007B207C">
            <w:pPr>
              <w:pStyle w:val="ARfintablebodyright"/>
              <w:ind w:right="0"/>
              <w:rPr>
                <w:sz w:val="15"/>
                <w:szCs w:val="15"/>
              </w:rPr>
            </w:pPr>
            <w:r w:rsidRPr="005A60A4">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0B65CD2E" w14:textId="77777777" w:rsidR="00FA7EBF" w:rsidRPr="005A60A4" w:rsidRDefault="00FA7EBF" w:rsidP="007B207C">
            <w:pPr>
              <w:pStyle w:val="ARfintablebodyright"/>
              <w:ind w:right="0"/>
              <w:rPr>
                <w:sz w:val="15"/>
                <w:szCs w:val="15"/>
              </w:rPr>
            </w:pPr>
            <w:r w:rsidRPr="005A60A4">
              <w:rPr>
                <w:sz w:val="15"/>
                <w:szCs w:val="15"/>
              </w:rPr>
              <w:t>611.3</w:t>
            </w:r>
          </w:p>
        </w:tc>
      </w:tr>
      <w:tr w:rsidR="00FA7EBF" w:rsidRPr="007939DD" w14:paraId="64480A91"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66AA7FE3" w14:textId="77777777" w:rsidR="00FA7EBF" w:rsidRPr="007939DD" w:rsidRDefault="00FA7EBF" w:rsidP="007B207C">
            <w:pPr>
              <w:pStyle w:val="ARfintablebody"/>
              <w:rPr>
                <w:sz w:val="13"/>
                <w:szCs w:val="13"/>
                <w:lang w:eastAsia="en-AU"/>
              </w:rPr>
            </w:pPr>
            <w:r w:rsidRPr="00CD0B09">
              <w:t>Grants and other expense transfers</w:t>
            </w:r>
          </w:p>
        </w:tc>
        <w:tc>
          <w:tcPr>
            <w:tcW w:w="629" w:type="dxa"/>
            <w:tcBorders>
              <w:top w:val="single" w:sz="4" w:space="0" w:color="A6A6A6" w:themeColor="background1" w:themeShade="A6"/>
              <w:bottom w:val="single" w:sz="4" w:space="0" w:color="A6A6A6" w:themeColor="background1" w:themeShade="A6"/>
            </w:tcBorders>
          </w:tcPr>
          <w:p w14:paraId="35F904E7" w14:textId="77777777" w:rsidR="00FA7EBF" w:rsidRPr="005A60A4" w:rsidRDefault="00FA7EBF" w:rsidP="007B207C">
            <w:pPr>
              <w:pStyle w:val="ARfintablebodyright"/>
              <w:ind w:right="0"/>
              <w:rPr>
                <w:sz w:val="15"/>
                <w:szCs w:val="15"/>
              </w:rPr>
            </w:pPr>
            <w:r w:rsidRPr="005A60A4">
              <w:rPr>
                <w:sz w:val="15"/>
                <w:szCs w:val="15"/>
              </w:rPr>
              <w:t>7,480.0</w:t>
            </w:r>
          </w:p>
        </w:tc>
        <w:tc>
          <w:tcPr>
            <w:tcW w:w="629" w:type="dxa"/>
            <w:tcBorders>
              <w:top w:val="single" w:sz="4" w:space="0" w:color="A6A6A6" w:themeColor="background1" w:themeShade="A6"/>
              <w:bottom w:val="single" w:sz="4" w:space="0" w:color="A6A6A6" w:themeColor="background1" w:themeShade="A6"/>
            </w:tcBorders>
          </w:tcPr>
          <w:p w14:paraId="2D3DD8CD" w14:textId="77777777" w:rsidR="00FA7EBF" w:rsidRPr="005A60A4" w:rsidRDefault="00FA7EBF" w:rsidP="007B207C">
            <w:pPr>
              <w:pStyle w:val="ARfintablebodyright"/>
              <w:ind w:right="0"/>
              <w:rPr>
                <w:sz w:val="15"/>
                <w:szCs w:val="15"/>
              </w:rPr>
            </w:pPr>
            <w:r w:rsidRPr="005A60A4">
              <w:rPr>
                <w:sz w:val="15"/>
                <w:szCs w:val="15"/>
              </w:rPr>
              <w:t>792.1</w:t>
            </w:r>
          </w:p>
        </w:tc>
        <w:tc>
          <w:tcPr>
            <w:tcW w:w="629" w:type="dxa"/>
            <w:tcBorders>
              <w:top w:val="single" w:sz="4" w:space="0" w:color="A6A6A6" w:themeColor="background1" w:themeShade="A6"/>
              <w:bottom w:val="single" w:sz="4" w:space="0" w:color="A6A6A6" w:themeColor="background1" w:themeShade="A6"/>
            </w:tcBorders>
          </w:tcPr>
          <w:p w14:paraId="38B303DE" w14:textId="77777777" w:rsidR="00FA7EBF" w:rsidRPr="005A60A4" w:rsidRDefault="00FA7EBF" w:rsidP="007B207C">
            <w:pPr>
              <w:pStyle w:val="ARfintablebodyright"/>
              <w:ind w:right="0"/>
              <w:rPr>
                <w:sz w:val="15"/>
                <w:szCs w:val="15"/>
              </w:rPr>
            </w:pPr>
            <w:r w:rsidRPr="005A60A4">
              <w:rPr>
                <w:sz w:val="15"/>
                <w:szCs w:val="15"/>
              </w:rPr>
              <w:t>1,263.1</w:t>
            </w:r>
          </w:p>
        </w:tc>
        <w:tc>
          <w:tcPr>
            <w:tcW w:w="629" w:type="dxa"/>
            <w:tcBorders>
              <w:top w:val="single" w:sz="4" w:space="0" w:color="A6A6A6" w:themeColor="background1" w:themeShade="A6"/>
              <w:bottom w:val="single" w:sz="4" w:space="0" w:color="A6A6A6" w:themeColor="background1" w:themeShade="A6"/>
            </w:tcBorders>
          </w:tcPr>
          <w:p w14:paraId="46A83BDB" w14:textId="77777777" w:rsidR="00FA7EBF" w:rsidRPr="005A60A4" w:rsidRDefault="00FA7EBF" w:rsidP="007B207C">
            <w:pPr>
              <w:pStyle w:val="ARfintablebodyright"/>
              <w:ind w:right="0"/>
              <w:rPr>
                <w:sz w:val="15"/>
                <w:szCs w:val="15"/>
              </w:rPr>
            </w:pPr>
            <w:r w:rsidRPr="005A60A4">
              <w:rPr>
                <w:sz w:val="15"/>
                <w:szCs w:val="15"/>
              </w:rPr>
              <w:t>403.6</w:t>
            </w:r>
          </w:p>
        </w:tc>
        <w:tc>
          <w:tcPr>
            <w:tcW w:w="630" w:type="dxa"/>
            <w:tcBorders>
              <w:top w:val="single" w:sz="4" w:space="0" w:color="A6A6A6" w:themeColor="background1" w:themeShade="A6"/>
              <w:bottom w:val="single" w:sz="4" w:space="0" w:color="A6A6A6" w:themeColor="background1" w:themeShade="A6"/>
            </w:tcBorders>
          </w:tcPr>
          <w:p w14:paraId="3F0D2317" w14:textId="77777777" w:rsidR="00FA7EBF" w:rsidRPr="005A60A4" w:rsidRDefault="00FA7EBF" w:rsidP="007B207C">
            <w:pPr>
              <w:pStyle w:val="ARfintablebodyright"/>
              <w:ind w:right="0"/>
              <w:rPr>
                <w:sz w:val="15"/>
                <w:szCs w:val="15"/>
              </w:rPr>
            </w:pPr>
            <w:r w:rsidRPr="005A60A4">
              <w:rPr>
                <w:sz w:val="15"/>
                <w:szCs w:val="15"/>
              </w:rPr>
              <w:t>482.7</w:t>
            </w:r>
          </w:p>
        </w:tc>
        <w:tc>
          <w:tcPr>
            <w:tcW w:w="630" w:type="dxa"/>
            <w:tcBorders>
              <w:top w:val="single" w:sz="4" w:space="0" w:color="A6A6A6" w:themeColor="background1" w:themeShade="A6"/>
              <w:bottom w:val="single" w:sz="4" w:space="0" w:color="A6A6A6" w:themeColor="background1" w:themeShade="A6"/>
            </w:tcBorders>
          </w:tcPr>
          <w:p w14:paraId="7607FDB9" w14:textId="77777777" w:rsidR="00FA7EBF" w:rsidRPr="005A60A4" w:rsidRDefault="00FA7EBF" w:rsidP="007B207C">
            <w:pPr>
              <w:pStyle w:val="ARfintablebodyright"/>
              <w:ind w:right="0"/>
              <w:rPr>
                <w:sz w:val="15"/>
                <w:szCs w:val="15"/>
              </w:rPr>
            </w:pPr>
            <w:r w:rsidRPr="005A60A4">
              <w:rPr>
                <w:sz w:val="15"/>
                <w:szCs w:val="15"/>
              </w:rPr>
              <w:t>369.7</w:t>
            </w:r>
          </w:p>
        </w:tc>
        <w:tc>
          <w:tcPr>
            <w:tcW w:w="630" w:type="dxa"/>
            <w:tcBorders>
              <w:top w:val="single" w:sz="4" w:space="0" w:color="A6A6A6" w:themeColor="background1" w:themeShade="A6"/>
              <w:bottom w:val="single" w:sz="4" w:space="0" w:color="A6A6A6" w:themeColor="background1" w:themeShade="A6"/>
            </w:tcBorders>
          </w:tcPr>
          <w:p w14:paraId="2B9D9047" w14:textId="77777777" w:rsidR="00FA7EBF" w:rsidRPr="005A60A4" w:rsidRDefault="00FA7EBF" w:rsidP="007B207C">
            <w:pPr>
              <w:pStyle w:val="ARfintablebodyright"/>
              <w:ind w:right="0"/>
              <w:rPr>
                <w:sz w:val="15"/>
                <w:szCs w:val="15"/>
              </w:rPr>
            </w:pPr>
            <w:r w:rsidRPr="005A60A4">
              <w:rPr>
                <w:sz w:val="15"/>
                <w:szCs w:val="15"/>
              </w:rPr>
              <w:t>269.3</w:t>
            </w:r>
          </w:p>
        </w:tc>
        <w:tc>
          <w:tcPr>
            <w:tcW w:w="630" w:type="dxa"/>
            <w:tcBorders>
              <w:top w:val="single" w:sz="4" w:space="0" w:color="A6A6A6" w:themeColor="background1" w:themeShade="A6"/>
              <w:bottom w:val="single" w:sz="4" w:space="0" w:color="A6A6A6" w:themeColor="background1" w:themeShade="A6"/>
            </w:tcBorders>
          </w:tcPr>
          <w:p w14:paraId="56B4C730" w14:textId="77777777" w:rsidR="00FA7EBF" w:rsidRPr="005A60A4" w:rsidRDefault="00FA7EBF" w:rsidP="007B207C">
            <w:pPr>
              <w:pStyle w:val="ARfintablebodyright"/>
              <w:ind w:right="0"/>
              <w:rPr>
                <w:sz w:val="15"/>
                <w:szCs w:val="15"/>
              </w:rPr>
            </w:pPr>
            <w:r w:rsidRPr="005A60A4">
              <w:rPr>
                <w:sz w:val="15"/>
                <w:szCs w:val="15"/>
              </w:rPr>
              <w:t>241.1</w:t>
            </w:r>
          </w:p>
        </w:tc>
        <w:tc>
          <w:tcPr>
            <w:tcW w:w="630" w:type="dxa"/>
            <w:tcBorders>
              <w:top w:val="single" w:sz="4" w:space="0" w:color="A6A6A6" w:themeColor="background1" w:themeShade="A6"/>
              <w:bottom w:val="single" w:sz="4" w:space="0" w:color="A6A6A6" w:themeColor="background1" w:themeShade="A6"/>
            </w:tcBorders>
          </w:tcPr>
          <w:p w14:paraId="704A5CA5" w14:textId="77777777" w:rsidR="00FA7EBF" w:rsidRPr="005A60A4" w:rsidRDefault="00FA7EBF" w:rsidP="007B207C">
            <w:pPr>
              <w:pStyle w:val="ARfintablebodyright"/>
              <w:ind w:right="0"/>
              <w:rPr>
                <w:sz w:val="15"/>
                <w:szCs w:val="15"/>
              </w:rPr>
            </w:pPr>
            <w:r w:rsidRPr="005A60A4">
              <w:rPr>
                <w:sz w:val="15"/>
                <w:szCs w:val="15"/>
              </w:rPr>
              <w:t>1,421.7</w:t>
            </w:r>
          </w:p>
        </w:tc>
        <w:tc>
          <w:tcPr>
            <w:tcW w:w="630" w:type="dxa"/>
            <w:tcBorders>
              <w:top w:val="single" w:sz="4" w:space="0" w:color="A6A6A6" w:themeColor="background1" w:themeShade="A6"/>
              <w:bottom w:val="single" w:sz="4" w:space="0" w:color="A6A6A6" w:themeColor="background1" w:themeShade="A6"/>
            </w:tcBorders>
          </w:tcPr>
          <w:p w14:paraId="6FD10878" w14:textId="77777777" w:rsidR="00FA7EBF" w:rsidRPr="005A60A4" w:rsidRDefault="00FA7EBF" w:rsidP="007B207C">
            <w:pPr>
              <w:pStyle w:val="ARfintablebodyright"/>
              <w:ind w:right="0"/>
              <w:rPr>
                <w:sz w:val="15"/>
                <w:szCs w:val="15"/>
              </w:rPr>
            </w:pPr>
            <w:r w:rsidRPr="005A60A4">
              <w:rPr>
                <w:sz w:val="15"/>
                <w:szCs w:val="15"/>
              </w:rPr>
              <w:t>1,054.0</w:t>
            </w:r>
          </w:p>
        </w:tc>
        <w:tc>
          <w:tcPr>
            <w:tcW w:w="630" w:type="dxa"/>
            <w:tcBorders>
              <w:top w:val="single" w:sz="4" w:space="0" w:color="A6A6A6" w:themeColor="background1" w:themeShade="A6"/>
              <w:bottom w:val="single" w:sz="4" w:space="0" w:color="A6A6A6" w:themeColor="background1" w:themeShade="A6"/>
            </w:tcBorders>
          </w:tcPr>
          <w:p w14:paraId="413EDE67" w14:textId="77777777" w:rsidR="00FA7EBF" w:rsidRPr="005A60A4" w:rsidRDefault="00FA7EBF" w:rsidP="007B207C">
            <w:pPr>
              <w:pStyle w:val="ARfintablebodyright"/>
              <w:ind w:right="0"/>
              <w:rPr>
                <w:sz w:val="15"/>
                <w:szCs w:val="15"/>
              </w:rPr>
            </w:pPr>
            <w:r w:rsidRPr="005A60A4">
              <w:rPr>
                <w:sz w:val="15"/>
                <w:szCs w:val="15"/>
              </w:rPr>
              <w:t>722.7</w:t>
            </w:r>
          </w:p>
        </w:tc>
        <w:tc>
          <w:tcPr>
            <w:tcW w:w="630" w:type="dxa"/>
            <w:tcBorders>
              <w:top w:val="single" w:sz="4" w:space="0" w:color="A6A6A6" w:themeColor="background1" w:themeShade="A6"/>
              <w:bottom w:val="single" w:sz="4" w:space="0" w:color="A6A6A6" w:themeColor="background1" w:themeShade="A6"/>
            </w:tcBorders>
          </w:tcPr>
          <w:p w14:paraId="23E6E42B" w14:textId="77777777" w:rsidR="00FA7EBF" w:rsidRPr="005A60A4" w:rsidRDefault="00FA7EBF" w:rsidP="007B207C">
            <w:pPr>
              <w:pStyle w:val="ARfintablebodyright"/>
              <w:ind w:right="0"/>
              <w:rPr>
                <w:sz w:val="15"/>
                <w:szCs w:val="15"/>
              </w:rPr>
            </w:pPr>
            <w:r w:rsidRPr="005A60A4">
              <w:rPr>
                <w:sz w:val="15"/>
                <w:szCs w:val="15"/>
              </w:rPr>
              <w:t>147.4</w:t>
            </w:r>
          </w:p>
        </w:tc>
        <w:tc>
          <w:tcPr>
            <w:tcW w:w="630" w:type="dxa"/>
            <w:tcBorders>
              <w:top w:val="single" w:sz="4" w:space="0" w:color="A6A6A6" w:themeColor="background1" w:themeShade="A6"/>
              <w:bottom w:val="single" w:sz="4" w:space="0" w:color="A6A6A6" w:themeColor="background1" w:themeShade="A6"/>
            </w:tcBorders>
          </w:tcPr>
          <w:p w14:paraId="6BCC1BC9" w14:textId="77777777" w:rsidR="00FA7EBF" w:rsidRPr="005A60A4" w:rsidRDefault="00FA7EBF" w:rsidP="007B207C">
            <w:pPr>
              <w:pStyle w:val="ARfintablebodyright"/>
              <w:ind w:right="0"/>
              <w:rPr>
                <w:sz w:val="15"/>
                <w:szCs w:val="15"/>
              </w:rPr>
            </w:pPr>
            <w:r w:rsidRPr="005A60A4">
              <w:rPr>
                <w:sz w:val="15"/>
                <w:szCs w:val="15"/>
              </w:rPr>
              <w:t>7.3</w:t>
            </w:r>
          </w:p>
        </w:tc>
        <w:tc>
          <w:tcPr>
            <w:tcW w:w="630" w:type="dxa"/>
            <w:tcBorders>
              <w:top w:val="single" w:sz="4" w:space="0" w:color="A6A6A6" w:themeColor="background1" w:themeShade="A6"/>
              <w:bottom w:val="single" w:sz="4" w:space="0" w:color="A6A6A6" w:themeColor="background1" w:themeShade="A6"/>
            </w:tcBorders>
          </w:tcPr>
          <w:p w14:paraId="1052E9E1" w14:textId="77777777" w:rsidR="00FA7EBF" w:rsidRPr="005A60A4" w:rsidRDefault="00FA7EBF" w:rsidP="007B207C">
            <w:pPr>
              <w:pStyle w:val="ARfintablebodyright"/>
              <w:ind w:right="0"/>
              <w:rPr>
                <w:sz w:val="15"/>
                <w:szCs w:val="15"/>
              </w:rPr>
            </w:pPr>
            <w:r w:rsidRPr="005A60A4">
              <w:rPr>
                <w:sz w:val="15"/>
                <w:szCs w:val="15"/>
              </w:rPr>
              <w:t>59.9</w:t>
            </w:r>
          </w:p>
        </w:tc>
        <w:tc>
          <w:tcPr>
            <w:tcW w:w="630" w:type="dxa"/>
            <w:tcBorders>
              <w:top w:val="single" w:sz="4" w:space="0" w:color="A6A6A6" w:themeColor="background1" w:themeShade="A6"/>
              <w:bottom w:val="single" w:sz="4" w:space="0" w:color="A6A6A6" w:themeColor="background1" w:themeShade="A6"/>
            </w:tcBorders>
          </w:tcPr>
          <w:p w14:paraId="57E319F4" w14:textId="77777777" w:rsidR="00FA7EBF" w:rsidRPr="005A60A4" w:rsidRDefault="00FA7EBF" w:rsidP="007B207C">
            <w:pPr>
              <w:pStyle w:val="ARfintablebodyright"/>
              <w:ind w:right="0"/>
              <w:rPr>
                <w:sz w:val="15"/>
                <w:szCs w:val="15"/>
              </w:rPr>
            </w:pPr>
            <w:r w:rsidRPr="005A60A4">
              <w:rPr>
                <w:sz w:val="15"/>
                <w:szCs w:val="15"/>
              </w:rPr>
              <w:t>426.3</w:t>
            </w:r>
          </w:p>
        </w:tc>
        <w:tc>
          <w:tcPr>
            <w:tcW w:w="630" w:type="dxa"/>
            <w:tcBorders>
              <w:top w:val="single" w:sz="4" w:space="0" w:color="A6A6A6" w:themeColor="background1" w:themeShade="A6"/>
              <w:bottom w:val="single" w:sz="4" w:space="0" w:color="A6A6A6" w:themeColor="background1" w:themeShade="A6"/>
            </w:tcBorders>
          </w:tcPr>
          <w:p w14:paraId="3E678ED7"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5DFA8D8" w14:textId="77777777" w:rsidR="00FA7EBF" w:rsidRPr="005A60A4" w:rsidRDefault="00FA7EBF" w:rsidP="007B207C">
            <w:pPr>
              <w:pStyle w:val="ARfintablebodyright"/>
              <w:ind w:right="0"/>
              <w:rPr>
                <w:sz w:val="15"/>
                <w:szCs w:val="15"/>
              </w:rPr>
            </w:pPr>
            <w:r w:rsidRPr="005A60A4">
              <w:rPr>
                <w:sz w:val="15"/>
                <w:szCs w:val="15"/>
              </w:rPr>
              <w:t>(9.5)</w:t>
            </w:r>
          </w:p>
        </w:tc>
        <w:tc>
          <w:tcPr>
            <w:tcW w:w="778" w:type="dxa"/>
            <w:tcBorders>
              <w:top w:val="single" w:sz="4" w:space="0" w:color="A6A6A6" w:themeColor="background1" w:themeShade="A6"/>
              <w:bottom w:val="single" w:sz="4" w:space="0" w:color="A6A6A6" w:themeColor="background1" w:themeShade="A6"/>
            </w:tcBorders>
          </w:tcPr>
          <w:p w14:paraId="105D3F0A" w14:textId="77777777" w:rsidR="00FA7EBF" w:rsidRPr="005A60A4" w:rsidRDefault="00FA7EBF" w:rsidP="007B207C">
            <w:pPr>
              <w:pStyle w:val="ARfintablebodyright"/>
              <w:ind w:right="0"/>
              <w:rPr>
                <w:sz w:val="15"/>
                <w:szCs w:val="15"/>
              </w:rPr>
            </w:pPr>
            <w:r w:rsidRPr="005A60A4">
              <w:rPr>
                <w:sz w:val="15"/>
                <w:szCs w:val="15"/>
              </w:rPr>
              <w:t>15,131.5</w:t>
            </w:r>
          </w:p>
        </w:tc>
      </w:tr>
      <w:tr w:rsidR="00FA7EBF" w:rsidRPr="007939DD" w14:paraId="2A77D5E2"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3ACA55C3" w14:textId="77777777" w:rsidR="00FA7EBF" w:rsidRPr="007939DD" w:rsidRDefault="00FA7EBF" w:rsidP="007B207C">
            <w:pPr>
              <w:pStyle w:val="ARfintablebody"/>
              <w:rPr>
                <w:sz w:val="13"/>
                <w:szCs w:val="13"/>
                <w:lang w:eastAsia="en-AU"/>
              </w:rPr>
            </w:pPr>
            <w:r w:rsidRPr="00CD0B09">
              <w:t>Capital asset charge</w:t>
            </w:r>
          </w:p>
        </w:tc>
        <w:tc>
          <w:tcPr>
            <w:tcW w:w="629" w:type="dxa"/>
            <w:tcBorders>
              <w:top w:val="single" w:sz="4" w:space="0" w:color="A6A6A6" w:themeColor="background1" w:themeShade="A6"/>
              <w:bottom w:val="single" w:sz="4" w:space="0" w:color="A6A6A6" w:themeColor="background1" w:themeShade="A6"/>
            </w:tcBorders>
          </w:tcPr>
          <w:p w14:paraId="7F48E1B1" w14:textId="77777777" w:rsidR="00FA7EBF" w:rsidRPr="005A60A4" w:rsidRDefault="00FA7EBF" w:rsidP="007B207C">
            <w:pPr>
              <w:pStyle w:val="ARfintablebodyright"/>
              <w:ind w:right="0"/>
              <w:rPr>
                <w:sz w:val="15"/>
                <w:szCs w:val="15"/>
              </w:rPr>
            </w:pPr>
            <w:r w:rsidRPr="005A60A4">
              <w:rPr>
                <w:sz w:val="15"/>
                <w:szCs w:val="15"/>
              </w:rPr>
              <w:t>977.2</w:t>
            </w:r>
          </w:p>
        </w:tc>
        <w:tc>
          <w:tcPr>
            <w:tcW w:w="629" w:type="dxa"/>
            <w:tcBorders>
              <w:top w:val="single" w:sz="4" w:space="0" w:color="A6A6A6" w:themeColor="background1" w:themeShade="A6"/>
              <w:bottom w:val="single" w:sz="4" w:space="0" w:color="A6A6A6" w:themeColor="background1" w:themeShade="A6"/>
            </w:tcBorders>
          </w:tcPr>
          <w:p w14:paraId="2A074AEC" w14:textId="77777777" w:rsidR="00FA7EBF" w:rsidRPr="005A60A4" w:rsidRDefault="00FA7EBF" w:rsidP="007B207C">
            <w:pPr>
              <w:pStyle w:val="ARfintablebodyright"/>
              <w:ind w:right="0"/>
              <w:rPr>
                <w:sz w:val="15"/>
                <w:szCs w:val="15"/>
              </w:rPr>
            </w:pPr>
            <w:r w:rsidRPr="005A60A4">
              <w:rPr>
                <w:sz w:val="15"/>
                <w:szCs w:val="15"/>
              </w:rPr>
              <w:t>26.8</w:t>
            </w:r>
          </w:p>
        </w:tc>
        <w:tc>
          <w:tcPr>
            <w:tcW w:w="629" w:type="dxa"/>
            <w:tcBorders>
              <w:top w:val="single" w:sz="4" w:space="0" w:color="A6A6A6" w:themeColor="background1" w:themeShade="A6"/>
              <w:bottom w:val="single" w:sz="4" w:space="0" w:color="A6A6A6" w:themeColor="background1" w:themeShade="A6"/>
            </w:tcBorders>
          </w:tcPr>
          <w:p w14:paraId="74D210E1" w14:textId="77777777" w:rsidR="00FA7EBF" w:rsidRPr="005A60A4" w:rsidRDefault="00FA7EBF" w:rsidP="007B207C">
            <w:pPr>
              <w:pStyle w:val="ARfintablebodyright"/>
              <w:ind w:right="0"/>
              <w:rPr>
                <w:sz w:val="15"/>
                <w:szCs w:val="15"/>
              </w:rPr>
            </w:pPr>
            <w:r w:rsidRPr="005A60A4">
              <w:rPr>
                <w:sz w:val="15"/>
                <w:szCs w:val="15"/>
              </w:rPr>
              <w:t>81.3</w:t>
            </w:r>
          </w:p>
        </w:tc>
        <w:tc>
          <w:tcPr>
            <w:tcW w:w="629" w:type="dxa"/>
            <w:tcBorders>
              <w:top w:val="single" w:sz="4" w:space="0" w:color="A6A6A6" w:themeColor="background1" w:themeShade="A6"/>
              <w:bottom w:val="single" w:sz="4" w:space="0" w:color="A6A6A6" w:themeColor="background1" w:themeShade="A6"/>
            </w:tcBorders>
          </w:tcPr>
          <w:p w14:paraId="39DE7D14" w14:textId="77777777" w:rsidR="00FA7EBF" w:rsidRPr="005A60A4" w:rsidRDefault="00FA7EBF" w:rsidP="007B207C">
            <w:pPr>
              <w:pStyle w:val="ARfintablebodyright"/>
              <w:ind w:right="0"/>
              <w:rPr>
                <w:sz w:val="15"/>
                <w:szCs w:val="15"/>
              </w:rPr>
            </w:pPr>
            <w:r w:rsidRPr="005A60A4">
              <w:rPr>
                <w:sz w:val="15"/>
                <w:szCs w:val="15"/>
              </w:rPr>
              <w:t>55.6</w:t>
            </w:r>
          </w:p>
        </w:tc>
        <w:tc>
          <w:tcPr>
            <w:tcW w:w="630" w:type="dxa"/>
            <w:tcBorders>
              <w:top w:val="single" w:sz="4" w:space="0" w:color="A6A6A6" w:themeColor="background1" w:themeShade="A6"/>
              <w:bottom w:val="single" w:sz="4" w:space="0" w:color="A6A6A6" w:themeColor="background1" w:themeShade="A6"/>
            </w:tcBorders>
          </w:tcPr>
          <w:p w14:paraId="27712D20" w14:textId="77777777" w:rsidR="00FA7EBF" w:rsidRPr="005A60A4" w:rsidRDefault="00FA7EBF" w:rsidP="007B207C">
            <w:pPr>
              <w:pStyle w:val="ARfintablebodyright"/>
              <w:ind w:right="0"/>
              <w:rPr>
                <w:sz w:val="15"/>
                <w:szCs w:val="15"/>
              </w:rPr>
            </w:pPr>
            <w:r w:rsidRPr="005A60A4">
              <w:rPr>
                <w:sz w:val="15"/>
                <w:szCs w:val="15"/>
              </w:rPr>
              <w:t>26.4</w:t>
            </w:r>
          </w:p>
        </w:tc>
        <w:tc>
          <w:tcPr>
            <w:tcW w:w="630" w:type="dxa"/>
            <w:tcBorders>
              <w:top w:val="single" w:sz="4" w:space="0" w:color="A6A6A6" w:themeColor="background1" w:themeShade="A6"/>
              <w:bottom w:val="single" w:sz="4" w:space="0" w:color="A6A6A6" w:themeColor="background1" w:themeShade="A6"/>
            </w:tcBorders>
          </w:tcPr>
          <w:p w14:paraId="3BDCFBB1" w14:textId="77777777" w:rsidR="00FA7EBF" w:rsidRPr="005A60A4" w:rsidRDefault="00FA7EBF" w:rsidP="007B207C">
            <w:pPr>
              <w:pStyle w:val="ARfintablebodyright"/>
              <w:ind w:right="0"/>
              <w:rPr>
                <w:sz w:val="15"/>
                <w:szCs w:val="15"/>
              </w:rPr>
            </w:pPr>
            <w:r w:rsidRPr="005A60A4">
              <w:rPr>
                <w:sz w:val="15"/>
                <w:szCs w:val="15"/>
              </w:rPr>
              <w:t>35.8</w:t>
            </w:r>
          </w:p>
        </w:tc>
        <w:tc>
          <w:tcPr>
            <w:tcW w:w="630" w:type="dxa"/>
            <w:tcBorders>
              <w:top w:val="single" w:sz="4" w:space="0" w:color="A6A6A6" w:themeColor="background1" w:themeShade="A6"/>
              <w:bottom w:val="single" w:sz="4" w:space="0" w:color="A6A6A6" w:themeColor="background1" w:themeShade="A6"/>
            </w:tcBorders>
          </w:tcPr>
          <w:p w14:paraId="27B091B0" w14:textId="77777777" w:rsidR="00FA7EBF" w:rsidRPr="005A60A4" w:rsidRDefault="00FA7EBF" w:rsidP="007B207C">
            <w:pPr>
              <w:pStyle w:val="ARfintablebodyright"/>
              <w:ind w:right="0"/>
              <w:rPr>
                <w:sz w:val="15"/>
                <w:szCs w:val="15"/>
              </w:rPr>
            </w:pPr>
            <w:r w:rsidRPr="005A60A4">
              <w:rPr>
                <w:sz w:val="15"/>
                <w:szCs w:val="15"/>
              </w:rPr>
              <w:t>2.5</w:t>
            </w:r>
          </w:p>
        </w:tc>
        <w:tc>
          <w:tcPr>
            <w:tcW w:w="630" w:type="dxa"/>
            <w:tcBorders>
              <w:top w:val="single" w:sz="4" w:space="0" w:color="A6A6A6" w:themeColor="background1" w:themeShade="A6"/>
              <w:bottom w:val="single" w:sz="4" w:space="0" w:color="A6A6A6" w:themeColor="background1" w:themeShade="A6"/>
            </w:tcBorders>
          </w:tcPr>
          <w:p w14:paraId="3BD1E55A" w14:textId="77777777" w:rsidR="00FA7EBF" w:rsidRPr="005A60A4" w:rsidRDefault="00FA7EBF" w:rsidP="007B207C">
            <w:pPr>
              <w:pStyle w:val="ARfintablebodyright"/>
              <w:ind w:right="0"/>
              <w:rPr>
                <w:sz w:val="15"/>
                <w:szCs w:val="15"/>
              </w:rPr>
            </w:pPr>
            <w:r w:rsidRPr="005A60A4">
              <w:rPr>
                <w:sz w:val="15"/>
                <w:szCs w:val="15"/>
              </w:rPr>
              <w:t>3.6</w:t>
            </w:r>
          </w:p>
        </w:tc>
        <w:tc>
          <w:tcPr>
            <w:tcW w:w="630" w:type="dxa"/>
            <w:tcBorders>
              <w:top w:val="single" w:sz="4" w:space="0" w:color="A6A6A6" w:themeColor="background1" w:themeShade="A6"/>
              <w:bottom w:val="single" w:sz="4" w:space="0" w:color="A6A6A6" w:themeColor="background1" w:themeShade="A6"/>
            </w:tcBorders>
          </w:tcPr>
          <w:p w14:paraId="7E58946B" w14:textId="77777777" w:rsidR="00FA7EBF" w:rsidRPr="005A60A4" w:rsidRDefault="00FA7EBF" w:rsidP="007B207C">
            <w:pPr>
              <w:pStyle w:val="ARfintablebodyright"/>
              <w:ind w:right="0"/>
              <w:rPr>
                <w:sz w:val="15"/>
                <w:szCs w:val="15"/>
              </w:rPr>
            </w:pPr>
            <w:r w:rsidRPr="005A60A4">
              <w:rPr>
                <w:sz w:val="15"/>
                <w:szCs w:val="15"/>
              </w:rPr>
              <w:t>39.6</w:t>
            </w:r>
          </w:p>
        </w:tc>
        <w:tc>
          <w:tcPr>
            <w:tcW w:w="630" w:type="dxa"/>
            <w:tcBorders>
              <w:top w:val="single" w:sz="4" w:space="0" w:color="A6A6A6" w:themeColor="background1" w:themeShade="A6"/>
              <w:bottom w:val="single" w:sz="4" w:space="0" w:color="A6A6A6" w:themeColor="background1" w:themeShade="A6"/>
            </w:tcBorders>
          </w:tcPr>
          <w:p w14:paraId="2742CE33" w14:textId="77777777" w:rsidR="00FA7EBF" w:rsidRPr="005A60A4" w:rsidRDefault="00FA7EBF" w:rsidP="007B207C">
            <w:pPr>
              <w:pStyle w:val="ARfintablebodyright"/>
              <w:ind w:right="0"/>
              <w:rPr>
                <w:sz w:val="15"/>
                <w:szCs w:val="15"/>
              </w:rPr>
            </w:pPr>
            <w:r w:rsidRPr="005A60A4">
              <w:rPr>
                <w:sz w:val="15"/>
                <w:szCs w:val="15"/>
              </w:rPr>
              <w:t>14.6</w:t>
            </w:r>
          </w:p>
        </w:tc>
        <w:tc>
          <w:tcPr>
            <w:tcW w:w="630" w:type="dxa"/>
            <w:tcBorders>
              <w:top w:val="single" w:sz="4" w:space="0" w:color="A6A6A6" w:themeColor="background1" w:themeShade="A6"/>
              <w:bottom w:val="single" w:sz="4" w:space="0" w:color="A6A6A6" w:themeColor="background1" w:themeShade="A6"/>
            </w:tcBorders>
          </w:tcPr>
          <w:p w14:paraId="48ED41C9"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51018BE4" w14:textId="77777777" w:rsidR="00FA7EBF" w:rsidRPr="005A60A4" w:rsidRDefault="00FA7EBF" w:rsidP="007B207C">
            <w:pPr>
              <w:pStyle w:val="ARfintablebodyright"/>
              <w:ind w:right="0"/>
              <w:rPr>
                <w:sz w:val="15"/>
                <w:szCs w:val="15"/>
              </w:rPr>
            </w:pPr>
            <w:r w:rsidRPr="005A60A4">
              <w:rPr>
                <w:sz w:val="15"/>
                <w:szCs w:val="15"/>
              </w:rPr>
              <w:t>0.9</w:t>
            </w:r>
          </w:p>
        </w:tc>
        <w:tc>
          <w:tcPr>
            <w:tcW w:w="630" w:type="dxa"/>
            <w:tcBorders>
              <w:top w:val="single" w:sz="4" w:space="0" w:color="A6A6A6" w:themeColor="background1" w:themeShade="A6"/>
              <w:bottom w:val="single" w:sz="4" w:space="0" w:color="A6A6A6" w:themeColor="background1" w:themeShade="A6"/>
            </w:tcBorders>
          </w:tcPr>
          <w:p w14:paraId="43609BCB"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C459F26" w14:textId="77777777" w:rsidR="00FA7EBF" w:rsidRPr="005A60A4" w:rsidRDefault="00FA7EBF" w:rsidP="007B207C">
            <w:pPr>
              <w:pStyle w:val="ARfintablebodyright"/>
              <w:ind w:right="0"/>
              <w:rPr>
                <w:sz w:val="15"/>
                <w:szCs w:val="15"/>
              </w:rPr>
            </w:pPr>
            <w:r w:rsidRPr="005A60A4">
              <w:rPr>
                <w:sz w:val="15"/>
                <w:szCs w:val="15"/>
              </w:rPr>
              <w:t>1.9</w:t>
            </w:r>
          </w:p>
        </w:tc>
        <w:tc>
          <w:tcPr>
            <w:tcW w:w="630" w:type="dxa"/>
            <w:tcBorders>
              <w:top w:val="single" w:sz="4" w:space="0" w:color="A6A6A6" w:themeColor="background1" w:themeShade="A6"/>
              <w:bottom w:val="single" w:sz="4" w:space="0" w:color="A6A6A6" w:themeColor="background1" w:themeShade="A6"/>
            </w:tcBorders>
          </w:tcPr>
          <w:p w14:paraId="45F75DEE"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DDB474E"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04B5EFE" w14:textId="77777777" w:rsidR="00FA7EBF" w:rsidRPr="005A60A4" w:rsidRDefault="00FA7EBF" w:rsidP="007B207C">
            <w:pPr>
              <w:pStyle w:val="ARfintablebodyright"/>
              <w:ind w:right="0"/>
              <w:rPr>
                <w:sz w:val="15"/>
                <w:szCs w:val="15"/>
              </w:rPr>
            </w:pPr>
            <w:r w:rsidRPr="005A60A4">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06880015" w14:textId="77777777" w:rsidR="00FA7EBF" w:rsidRPr="005A60A4" w:rsidRDefault="00FA7EBF" w:rsidP="007B207C">
            <w:pPr>
              <w:pStyle w:val="ARfintablebodyright"/>
              <w:ind w:right="0"/>
              <w:rPr>
                <w:sz w:val="15"/>
                <w:szCs w:val="15"/>
              </w:rPr>
            </w:pPr>
            <w:r w:rsidRPr="005A60A4">
              <w:rPr>
                <w:sz w:val="15"/>
                <w:szCs w:val="15"/>
              </w:rPr>
              <w:t>1,266.0</w:t>
            </w:r>
          </w:p>
        </w:tc>
      </w:tr>
      <w:tr w:rsidR="00FA7EBF" w:rsidRPr="007939DD" w14:paraId="75D01B9E" w14:textId="77777777" w:rsidTr="007B207C">
        <w:trPr>
          <w:cantSplit/>
        </w:trPr>
        <w:tc>
          <w:tcPr>
            <w:tcW w:w="2975" w:type="dxa"/>
            <w:tcBorders>
              <w:top w:val="single" w:sz="4" w:space="0" w:color="A6A6A6" w:themeColor="background1" w:themeShade="A6"/>
            </w:tcBorders>
          </w:tcPr>
          <w:p w14:paraId="5255180A" w14:textId="77777777" w:rsidR="00FA7EBF" w:rsidRPr="007939DD" w:rsidRDefault="00FA7EBF" w:rsidP="007B207C">
            <w:pPr>
              <w:pStyle w:val="ARfintablebody"/>
              <w:rPr>
                <w:sz w:val="13"/>
                <w:szCs w:val="13"/>
                <w:lang w:eastAsia="en-AU"/>
              </w:rPr>
            </w:pPr>
            <w:r w:rsidRPr="00CD0B09">
              <w:t>Other property management expenses</w:t>
            </w:r>
          </w:p>
        </w:tc>
        <w:tc>
          <w:tcPr>
            <w:tcW w:w="629" w:type="dxa"/>
            <w:tcBorders>
              <w:top w:val="single" w:sz="4" w:space="0" w:color="A6A6A6" w:themeColor="background1" w:themeShade="A6"/>
            </w:tcBorders>
          </w:tcPr>
          <w:p w14:paraId="258828C7" w14:textId="77777777" w:rsidR="00FA7EBF" w:rsidRPr="005A60A4" w:rsidRDefault="00FA7EBF" w:rsidP="007B207C">
            <w:pPr>
              <w:pStyle w:val="ARfintablebodyright"/>
              <w:ind w:right="0"/>
              <w:rPr>
                <w:sz w:val="15"/>
                <w:szCs w:val="15"/>
              </w:rPr>
            </w:pPr>
            <w:r w:rsidRPr="005A60A4">
              <w:rPr>
                <w:sz w:val="15"/>
                <w:szCs w:val="15"/>
              </w:rPr>
              <w:t>–</w:t>
            </w:r>
          </w:p>
        </w:tc>
        <w:tc>
          <w:tcPr>
            <w:tcW w:w="629" w:type="dxa"/>
            <w:tcBorders>
              <w:top w:val="single" w:sz="4" w:space="0" w:color="A6A6A6" w:themeColor="background1" w:themeShade="A6"/>
            </w:tcBorders>
          </w:tcPr>
          <w:p w14:paraId="73911868" w14:textId="77777777" w:rsidR="00FA7EBF" w:rsidRPr="005A60A4" w:rsidRDefault="00FA7EBF" w:rsidP="007B207C">
            <w:pPr>
              <w:pStyle w:val="ARfintablebodyright"/>
              <w:ind w:right="0"/>
              <w:rPr>
                <w:sz w:val="15"/>
                <w:szCs w:val="15"/>
              </w:rPr>
            </w:pPr>
            <w:r w:rsidRPr="005A60A4">
              <w:rPr>
                <w:sz w:val="15"/>
                <w:szCs w:val="15"/>
              </w:rPr>
              <w:t>–</w:t>
            </w:r>
          </w:p>
        </w:tc>
        <w:tc>
          <w:tcPr>
            <w:tcW w:w="629" w:type="dxa"/>
            <w:tcBorders>
              <w:top w:val="single" w:sz="4" w:space="0" w:color="A6A6A6" w:themeColor="background1" w:themeShade="A6"/>
            </w:tcBorders>
          </w:tcPr>
          <w:p w14:paraId="20623DE0" w14:textId="77777777" w:rsidR="00FA7EBF" w:rsidRPr="005A60A4" w:rsidRDefault="00FA7EBF" w:rsidP="007B207C">
            <w:pPr>
              <w:pStyle w:val="ARfintablebodyright"/>
              <w:ind w:right="0"/>
              <w:rPr>
                <w:sz w:val="15"/>
                <w:szCs w:val="15"/>
              </w:rPr>
            </w:pPr>
            <w:r w:rsidRPr="005A60A4">
              <w:rPr>
                <w:sz w:val="15"/>
                <w:szCs w:val="15"/>
              </w:rPr>
              <w:t>–</w:t>
            </w:r>
          </w:p>
        </w:tc>
        <w:tc>
          <w:tcPr>
            <w:tcW w:w="629" w:type="dxa"/>
            <w:tcBorders>
              <w:top w:val="single" w:sz="4" w:space="0" w:color="A6A6A6" w:themeColor="background1" w:themeShade="A6"/>
            </w:tcBorders>
          </w:tcPr>
          <w:p w14:paraId="73EC8A05"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tcBorders>
          </w:tcPr>
          <w:p w14:paraId="5477E53D"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tcBorders>
          </w:tcPr>
          <w:p w14:paraId="16A24614"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tcBorders>
          </w:tcPr>
          <w:p w14:paraId="6A673CD6"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tcBorders>
          </w:tcPr>
          <w:p w14:paraId="1595DA33"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tcBorders>
          </w:tcPr>
          <w:p w14:paraId="30E0A50E" w14:textId="77777777" w:rsidR="00FA7EBF" w:rsidRPr="005A60A4" w:rsidRDefault="00FA7EBF" w:rsidP="007B207C">
            <w:pPr>
              <w:pStyle w:val="ARfintablebodyright"/>
              <w:ind w:right="0"/>
              <w:rPr>
                <w:sz w:val="15"/>
                <w:szCs w:val="15"/>
              </w:rPr>
            </w:pPr>
            <w:r w:rsidRPr="005A60A4">
              <w:rPr>
                <w:sz w:val="15"/>
                <w:szCs w:val="15"/>
              </w:rPr>
              <w:t>0.1</w:t>
            </w:r>
          </w:p>
        </w:tc>
        <w:tc>
          <w:tcPr>
            <w:tcW w:w="630" w:type="dxa"/>
            <w:tcBorders>
              <w:top w:val="single" w:sz="4" w:space="0" w:color="A6A6A6" w:themeColor="background1" w:themeShade="A6"/>
            </w:tcBorders>
          </w:tcPr>
          <w:p w14:paraId="3528CB59" w14:textId="77777777" w:rsidR="00FA7EBF" w:rsidRPr="005A60A4" w:rsidRDefault="00FA7EBF" w:rsidP="007B207C">
            <w:pPr>
              <w:pStyle w:val="ARfintablebodyright"/>
              <w:ind w:right="0"/>
              <w:rPr>
                <w:sz w:val="15"/>
                <w:szCs w:val="15"/>
              </w:rPr>
            </w:pPr>
            <w:r w:rsidRPr="005A60A4">
              <w:rPr>
                <w:sz w:val="15"/>
                <w:szCs w:val="15"/>
              </w:rPr>
              <w:t>0.1</w:t>
            </w:r>
          </w:p>
        </w:tc>
        <w:tc>
          <w:tcPr>
            <w:tcW w:w="630" w:type="dxa"/>
            <w:tcBorders>
              <w:top w:val="single" w:sz="4" w:space="0" w:color="A6A6A6" w:themeColor="background1" w:themeShade="A6"/>
            </w:tcBorders>
          </w:tcPr>
          <w:p w14:paraId="790DF72F"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tcBorders>
          </w:tcPr>
          <w:p w14:paraId="27D0CED2"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tcBorders>
          </w:tcPr>
          <w:p w14:paraId="109B14CD"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tcBorders>
          </w:tcPr>
          <w:p w14:paraId="2879AD07"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tcBorders>
          </w:tcPr>
          <w:p w14:paraId="5EEFB3FE" w14:textId="77777777" w:rsidR="00FA7EBF" w:rsidRPr="005A60A4" w:rsidRDefault="00FA7EBF" w:rsidP="007B207C">
            <w:pPr>
              <w:pStyle w:val="ARfintablebodyright"/>
              <w:ind w:right="0"/>
              <w:rPr>
                <w:sz w:val="15"/>
                <w:szCs w:val="15"/>
              </w:rPr>
            </w:pPr>
            <w:r w:rsidRPr="005A60A4">
              <w:rPr>
                <w:sz w:val="15"/>
                <w:szCs w:val="15"/>
              </w:rPr>
              <w:t>208.9</w:t>
            </w:r>
          </w:p>
        </w:tc>
        <w:tc>
          <w:tcPr>
            <w:tcW w:w="630" w:type="dxa"/>
            <w:tcBorders>
              <w:top w:val="single" w:sz="4" w:space="0" w:color="A6A6A6" w:themeColor="background1" w:themeShade="A6"/>
            </w:tcBorders>
          </w:tcPr>
          <w:p w14:paraId="2CD8F7EF" w14:textId="77777777" w:rsidR="00FA7EBF" w:rsidRPr="005A60A4" w:rsidRDefault="00FA7EBF" w:rsidP="007B207C">
            <w:pPr>
              <w:pStyle w:val="ARfintablebodyright"/>
              <w:ind w:right="0"/>
              <w:rPr>
                <w:sz w:val="15"/>
                <w:szCs w:val="15"/>
              </w:rPr>
            </w:pPr>
            <w:r w:rsidRPr="005A60A4">
              <w:rPr>
                <w:sz w:val="15"/>
                <w:szCs w:val="15"/>
              </w:rPr>
              <w:t>–</w:t>
            </w:r>
          </w:p>
        </w:tc>
        <w:tc>
          <w:tcPr>
            <w:tcW w:w="630" w:type="dxa"/>
            <w:tcBorders>
              <w:top w:val="single" w:sz="4" w:space="0" w:color="A6A6A6" w:themeColor="background1" w:themeShade="A6"/>
            </w:tcBorders>
          </w:tcPr>
          <w:p w14:paraId="1AAC4B71" w14:textId="77777777" w:rsidR="00FA7EBF" w:rsidRPr="005A60A4" w:rsidRDefault="00FA7EBF" w:rsidP="007B207C">
            <w:pPr>
              <w:pStyle w:val="ARfintablebodyright"/>
              <w:ind w:right="0"/>
              <w:rPr>
                <w:sz w:val="15"/>
                <w:szCs w:val="15"/>
              </w:rPr>
            </w:pPr>
            <w:r w:rsidRPr="005A60A4">
              <w:rPr>
                <w:sz w:val="15"/>
                <w:szCs w:val="15"/>
              </w:rPr>
              <w:t>–</w:t>
            </w:r>
          </w:p>
        </w:tc>
        <w:tc>
          <w:tcPr>
            <w:tcW w:w="778" w:type="dxa"/>
            <w:tcBorders>
              <w:top w:val="single" w:sz="4" w:space="0" w:color="A6A6A6" w:themeColor="background1" w:themeShade="A6"/>
            </w:tcBorders>
          </w:tcPr>
          <w:p w14:paraId="5ED6E9B1" w14:textId="77777777" w:rsidR="00FA7EBF" w:rsidRPr="005A60A4" w:rsidRDefault="00FA7EBF" w:rsidP="007B207C">
            <w:pPr>
              <w:pStyle w:val="ARfintablebodyright"/>
              <w:ind w:right="0"/>
              <w:rPr>
                <w:sz w:val="15"/>
                <w:szCs w:val="15"/>
              </w:rPr>
            </w:pPr>
            <w:r w:rsidRPr="005A60A4">
              <w:rPr>
                <w:sz w:val="15"/>
                <w:szCs w:val="15"/>
              </w:rPr>
              <w:t>209.1</w:t>
            </w:r>
          </w:p>
        </w:tc>
      </w:tr>
      <w:tr w:rsidR="00FA7EBF" w:rsidRPr="007939DD" w14:paraId="41C85FED" w14:textId="77777777" w:rsidTr="007B207C">
        <w:trPr>
          <w:cantSplit/>
        </w:trPr>
        <w:tc>
          <w:tcPr>
            <w:tcW w:w="2975" w:type="dxa"/>
          </w:tcPr>
          <w:p w14:paraId="4BC060F4" w14:textId="77777777" w:rsidR="00FA7EBF" w:rsidRPr="007939DD" w:rsidRDefault="00FA7EBF" w:rsidP="007B207C">
            <w:pPr>
              <w:pStyle w:val="ARfintablebodybold"/>
              <w:rPr>
                <w:rStyle w:val="Strong"/>
                <w:bCs/>
                <w:sz w:val="13"/>
                <w:szCs w:val="13"/>
              </w:rPr>
            </w:pPr>
            <w:r w:rsidRPr="00CD0B09">
              <w:t>Total expenses from transactions</w:t>
            </w:r>
          </w:p>
        </w:tc>
        <w:tc>
          <w:tcPr>
            <w:tcW w:w="629" w:type="dxa"/>
          </w:tcPr>
          <w:p w14:paraId="2E54417D" w14:textId="77777777" w:rsidR="00FA7EBF" w:rsidRPr="005A60A4" w:rsidRDefault="00FA7EBF" w:rsidP="005A60A4">
            <w:pPr>
              <w:pStyle w:val="ARfintablebodyrightbold"/>
              <w:ind w:right="0"/>
              <w:rPr>
                <w:sz w:val="15"/>
                <w:szCs w:val="15"/>
              </w:rPr>
            </w:pPr>
            <w:r w:rsidRPr="005A60A4">
              <w:rPr>
                <w:sz w:val="15"/>
                <w:szCs w:val="15"/>
              </w:rPr>
              <w:t>8,772.8</w:t>
            </w:r>
          </w:p>
        </w:tc>
        <w:tc>
          <w:tcPr>
            <w:tcW w:w="629" w:type="dxa"/>
          </w:tcPr>
          <w:p w14:paraId="716131DF" w14:textId="77777777" w:rsidR="00FA7EBF" w:rsidRPr="005A60A4" w:rsidRDefault="00FA7EBF" w:rsidP="005A60A4">
            <w:pPr>
              <w:pStyle w:val="ARfintablebodyrightbold"/>
              <w:ind w:right="0"/>
              <w:rPr>
                <w:sz w:val="15"/>
                <w:szCs w:val="15"/>
              </w:rPr>
            </w:pPr>
            <w:r w:rsidRPr="005A60A4">
              <w:rPr>
                <w:sz w:val="15"/>
                <w:szCs w:val="15"/>
              </w:rPr>
              <w:t>822.6</w:t>
            </w:r>
          </w:p>
        </w:tc>
        <w:tc>
          <w:tcPr>
            <w:tcW w:w="629" w:type="dxa"/>
          </w:tcPr>
          <w:p w14:paraId="38C33392" w14:textId="77777777" w:rsidR="00FA7EBF" w:rsidRPr="005A60A4" w:rsidRDefault="00FA7EBF" w:rsidP="005A60A4">
            <w:pPr>
              <w:pStyle w:val="ARfintablebodyrightbold"/>
              <w:ind w:right="0"/>
              <w:rPr>
                <w:sz w:val="15"/>
                <w:szCs w:val="15"/>
              </w:rPr>
            </w:pPr>
            <w:r w:rsidRPr="005A60A4">
              <w:rPr>
                <w:sz w:val="15"/>
                <w:szCs w:val="15"/>
              </w:rPr>
              <w:t>1,406.4</w:t>
            </w:r>
          </w:p>
        </w:tc>
        <w:tc>
          <w:tcPr>
            <w:tcW w:w="629" w:type="dxa"/>
          </w:tcPr>
          <w:p w14:paraId="339E2FBF" w14:textId="77777777" w:rsidR="00FA7EBF" w:rsidRPr="005A60A4" w:rsidRDefault="00FA7EBF" w:rsidP="005A60A4">
            <w:pPr>
              <w:pStyle w:val="ARfintablebodyrightbold"/>
              <w:ind w:right="0"/>
              <w:rPr>
                <w:sz w:val="15"/>
                <w:szCs w:val="15"/>
              </w:rPr>
            </w:pPr>
            <w:r w:rsidRPr="005A60A4">
              <w:rPr>
                <w:sz w:val="15"/>
                <w:szCs w:val="15"/>
              </w:rPr>
              <w:t>482.8</w:t>
            </w:r>
          </w:p>
        </w:tc>
        <w:tc>
          <w:tcPr>
            <w:tcW w:w="630" w:type="dxa"/>
          </w:tcPr>
          <w:p w14:paraId="569A85B5" w14:textId="77777777" w:rsidR="00FA7EBF" w:rsidRPr="005A60A4" w:rsidRDefault="00FA7EBF" w:rsidP="005A60A4">
            <w:pPr>
              <w:pStyle w:val="ARfintablebodyrightbold"/>
              <w:ind w:right="0"/>
              <w:rPr>
                <w:sz w:val="15"/>
                <w:szCs w:val="15"/>
              </w:rPr>
            </w:pPr>
            <w:r w:rsidRPr="005A60A4">
              <w:rPr>
                <w:sz w:val="15"/>
                <w:szCs w:val="15"/>
              </w:rPr>
              <w:t>543.1</w:t>
            </w:r>
          </w:p>
        </w:tc>
        <w:tc>
          <w:tcPr>
            <w:tcW w:w="630" w:type="dxa"/>
          </w:tcPr>
          <w:p w14:paraId="010849FF" w14:textId="77777777" w:rsidR="00FA7EBF" w:rsidRPr="005A60A4" w:rsidRDefault="00FA7EBF" w:rsidP="005A60A4">
            <w:pPr>
              <w:pStyle w:val="ARfintablebodyrightbold"/>
              <w:ind w:right="0"/>
              <w:rPr>
                <w:sz w:val="15"/>
                <w:szCs w:val="15"/>
              </w:rPr>
            </w:pPr>
            <w:r w:rsidRPr="005A60A4">
              <w:rPr>
                <w:sz w:val="15"/>
                <w:szCs w:val="15"/>
              </w:rPr>
              <w:t>416.7</w:t>
            </w:r>
          </w:p>
        </w:tc>
        <w:tc>
          <w:tcPr>
            <w:tcW w:w="630" w:type="dxa"/>
          </w:tcPr>
          <w:p w14:paraId="360B7BED" w14:textId="77777777" w:rsidR="00FA7EBF" w:rsidRPr="005A60A4" w:rsidRDefault="00FA7EBF" w:rsidP="005A60A4">
            <w:pPr>
              <w:pStyle w:val="ARfintablebodyrightbold"/>
              <w:ind w:right="0"/>
              <w:rPr>
                <w:sz w:val="15"/>
                <w:szCs w:val="15"/>
              </w:rPr>
            </w:pPr>
            <w:r w:rsidRPr="005A60A4">
              <w:rPr>
                <w:sz w:val="15"/>
                <w:szCs w:val="15"/>
              </w:rPr>
              <w:t>381.7</w:t>
            </w:r>
          </w:p>
        </w:tc>
        <w:tc>
          <w:tcPr>
            <w:tcW w:w="630" w:type="dxa"/>
          </w:tcPr>
          <w:p w14:paraId="719E0717" w14:textId="77777777" w:rsidR="00FA7EBF" w:rsidRPr="005A60A4" w:rsidRDefault="00FA7EBF" w:rsidP="005A60A4">
            <w:pPr>
              <w:pStyle w:val="ARfintablebodyrightbold"/>
              <w:ind w:right="0"/>
              <w:rPr>
                <w:sz w:val="15"/>
                <w:szCs w:val="15"/>
              </w:rPr>
            </w:pPr>
            <w:r w:rsidRPr="005A60A4">
              <w:rPr>
                <w:sz w:val="15"/>
                <w:szCs w:val="15"/>
              </w:rPr>
              <w:t>266.7</w:t>
            </w:r>
          </w:p>
        </w:tc>
        <w:tc>
          <w:tcPr>
            <w:tcW w:w="630" w:type="dxa"/>
          </w:tcPr>
          <w:p w14:paraId="5682FA69" w14:textId="77777777" w:rsidR="00FA7EBF" w:rsidRPr="005A60A4" w:rsidRDefault="00FA7EBF" w:rsidP="005A60A4">
            <w:pPr>
              <w:pStyle w:val="ARfintablebodyrightbold"/>
              <w:ind w:right="0"/>
              <w:rPr>
                <w:sz w:val="15"/>
                <w:szCs w:val="15"/>
              </w:rPr>
            </w:pPr>
            <w:r w:rsidRPr="005A60A4">
              <w:rPr>
                <w:sz w:val="15"/>
                <w:szCs w:val="15"/>
              </w:rPr>
              <w:t>2,237.0</w:t>
            </w:r>
          </w:p>
        </w:tc>
        <w:tc>
          <w:tcPr>
            <w:tcW w:w="630" w:type="dxa"/>
          </w:tcPr>
          <w:p w14:paraId="79CD6E20" w14:textId="77777777" w:rsidR="00FA7EBF" w:rsidRPr="005A60A4" w:rsidRDefault="00FA7EBF" w:rsidP="005A60A4">
            <w:pPr>
              <w:pStyle w:val="ARfintablebodyrightbold"/>
              <w:ind w:right="0"/>
              <w:rPr>
                <w:sz w:val="15"/>
                <w:szCs w:val="15"/>
              </w:rPr>
            </w:pPr>
            <w:r w:rsidRPr="005A60A4">
              <w:rPr>
                <w:sz w:val="15"/>
                <w:szCs w:val="15"/>
              </w:rPr>
              <w:t>1,617.7</w:t>
            </w:r>
          </w:p>
        </w:tc>
        <w:tc>
          <w:tcPr>
            <w:tcW w:w="630" w:type="dxa"/>
          </w:tcPr>
          <w:p w14:paraId="5906B59D" w14:textId="77777777" w:rsidR="00FA7EBF" w:rsidRPr="005A60A4" w:rsidRDefault="00FA7EBF" w:rsidP="005A60A4">
            <w:pPr>
              <w:pStyle w:val="ARfintablebodyrightbold"/>
              <w:ind w:right="0"/>
              <w:rPr>
                <w:sz w:val="15"/>
                <w:szCs w:val="15"/>
              </w:rPr>
            </w:pPr>
            <w:r w:rsidRPr="005A60A4">
              <w:rPr>
                <w:sz w:val="15"/>
                <w:szCs w:val="15"/>
              </w:rPr>
              <w:t>736.5</w:t>
            </w:r>
          </w:p>
        </w:tc>
        <w:tc>
          <w:tcPr>
            <w:tcW w:w="630" w:type="dxa"/>
          </w:tcPr>
          <w:p w14:paraId="717228C4" w14:textId="77777777" w:rsidR="00FA7EBF" w:rsidRPr="005A60A4" w:rsidRDefault="00FA7EBF" w:rsidP="005A60A4">
            <w:pPr>
              <w:pStyle w:val="ARfintablebodyrightbold"/>
              <w:ind w:right="0"/>
              <w:rPr>
                <w:sz w:val="15"/>
                <w:szCs w:val="15"/>
              </w:rPr>
            </w:pPr>
            <w:r w:rsidRPr="005A60A4">
              <w:rPr>
                <w:sz w:val="15"/>
                <w:szCs w:val="15"/>
              </w:rPr>
              <w:t>167.2</w:t>
            </w:r>
          </w:p>
        </w:tc>
        <w:tc>
          <w:tcPr>
            <w:tcW w:w="630" w:type="dxa"/>
          </w:tcPr>
          <w:p w14:paraId="4392D426" w14:textId="77777777" w:rsidR="00FA7EBF" w:rsidRPr="005A60A4" w:rsidRDefault="00FA7EBF" w:rsidP="005A60A4">
            <w:pPr>
              <w:pStyle w:val="ARfintablebodyrightbold"/>
              <w:ind w:right="0"/>
              <w:rPr>
                <w:sz w:val="15"/>
                <w:szCs w:val="15"/>
              </w:rPr>
            </w:pPr>
            <w:r w:rsidRPr="005A60A4">
              <w:rPr>
                <w:sz w:val="15"/>
                <w:szCs w:val="15"/>
              </w:rPr>
              <w:t>18.6</w:t>
            </w:r>
          </w:p>
        </w:tc>
        <w:tc>
          <w:tcPr>
            <w:tcW w:w="630" w:type="dxa"/>
          </w:tcPr>
          <w:p w14:paraId="72E193D6" w14:textId="77777777" w:rsidR="00FA7EBF" w:rsidRPr="005A60A4" w:rsidRDefault="00FA7EBF" w:rsidP="005A60A4">
            <w:pPr>
              <w:pStyle w:val="ARfintablebodyrightbold"/>
              <w:ind w:right="0"/>
              <w:rPr>
                <w:sz w:val="15"/>
                <w:szCs w:val="15"/>
              </w:rPr>
            </w:pPr>
            <w:r w:rsidRPr="005A60A4">
              <w:rPr>
                <w:sz w:val="15"/>
                <w:szCs w:val="15"/>
              </w:rPr>
              <w:t>123.2</w:t>
            </w:r>
          </w:p>
        </w:tc>
        <w:tc>
          <w:tcPr>
            <w:tcW w:w="630" w:type="dxa"/>
          </w:tcPr>
          <w:p w14:paraId="52F1775F" w14:textId="77777777" w:rsidR="00FA7EBF" w:rsidRPr="005A60A4" w:rsidRDefault="00FA7EBF" w:rsidP="005A60A4">
            <w:pPr>
              <w:pStyle w:val="ARfintablebodyrightbold"/>
              <w:ind w:right="0"/>
              <w:rPr>
                <w:sz w:val="15"/>
                <w:szCs w:val="15"/>
              </w:rPr>
            </w:pPr>
            <w:r w:rsidRPr="005A60A4">
              <w:rPr>
                <w:sz w:val="15"/>
                <w:szCs w:val="15"/>
              </w:rPr>
              <w:t>1,405.1</w:t>
            </w:r>
          </w:p>
        </w:tc>
        <w:tc>
          <w:tcPr>
            <w:tcW w:w="630" w:type="dxa"/>
          </w:tcPr>
          <w:p w14:paraId="147D5074" w14:textId="77777777" w:rsidR="00FA7EBF" w:rsidRPr="005A60A4" w:rsidRDefault="00FA7EBF" w:rsidP="005A60A4">
            <w:pPr>
              <w:pStyle w:val="ARfintablebodyrightbold"/>
              <w:ind w:right="0"/>
              <w:rPr>
                <w:sz w:val="15"/>
                <w:szCs w:val="15"/>
              </w:rPr>
            </w:pPr>
            <w:r w:rsidRPr="005A60A4">
              <w:rPr>
                <w:sz w:val="15"/>
                <w:szCs w:val="15"/>
              </w:rPr>
              <w:t>2.7</w:t>
            </w:r>
          </w:p>
        </w:tc>
        <w:tc>
          <w:tcPr>
            <w:tcW w:w="630" w:type="dxa"/>
          </w:tcPr>
          <w:p w14:paraId="26843CEC" w14:textId="77777777" w:rsidR="00FA7EBF" w:rsidRPr="005A60A4" w:rsidRDefault="00FA7EBF" w:rsidP="005A60A4">
            <w:pPr>
              <w:pStyle w:val="ARfintablebodyrightbold"/>
              <w:ind w:right="0"/>
              <w:rPr>
                <w:sz w:val="15"/>
                <w:szCs w:val="15"/>
              </w:rPr>
            </w:pPr>
            <w:r w:rsidRPr="005A60A4">
              <w:rPr>
                <w:sz w:val="15"/>
                <w:szCs w:val="15"/>
              </w:rPr>
              <w:t>(9.5)</w:t>
            </w:r>
          </w:p>
        </w:tc>
        <w:tc>
          <w:tcPr>
            <w:tcW w:w="778" w:type="dxa"/>
          </w:tcPr>
          <w:p w14:paraId="3A21E7DA" w14:textId="77777777" w:rsidR="00FA7EBF" w:rsidRPr="005A60A4" w:rsidRDefault="00FA7EBF" w:rsidP="005A60A4">
            <w:pPr>
              <w:pStyle w:val="ARfintablebodyrightbold"/>
              <w:ind w:right="0"/>
              <w:rPr>
                <w:sz w:val="15"/>
                <w:szCs w:val="15"/>
              </w:rPr>
            </w:pPr>
            <w:r w:rsidRPr="005A60A4">
              <w:rPr>
                <w:sz w:val="15"/>
                <w:szCs w:val="15"/>
              </w:rPr>
              <w:t>19,391.5</w:t>
            </w:r>
          </w:p>
        </w:tc>
      </w:tr>
      <w:tr w:rsidR="00FA7EBF" w:rsidRPr="007939DD" w14:paraId="0314ED11" w14:textId="77777777" w:rsidTr="007B207C">
        <w:trPr>
          <w:cantSplit/>
        </w:trPr>
        <w:tc>
          <w:tcPr>
            <w:tcW w:w="2975" w:type="dxa"/>
          </w:tcPr>
          <w:p w14:paraId="3F14D6BF" w14:textId="77777777" w:rsidR="00FA7EBF" w:rsidRPr="007939DD" w:rsidRDefault="00FA7EBF" w:rsidP="007B207C">
            <w:pPr>
              <w:pStyle w:val="ARfintablebodybold"/>
              <w:rPr>
                <w:rStyle w:val="Strong"/>
                <w:bCs/>
                <w:sz w:val="13"/>
                <w:szCs w:val="13"/>
              </w:rPr>
            </w:pPr>
            <w:r w:rsidRPr="00CD0B09">
              <w:t>Net result from transactions (net</w:t>
            </w:r>
            <w:r>
              <w:t> </w:t>
            </w:r>
            <w:r w:rsidRPr="00CD0B09">
              <w:t>operating balance)</w:t>
            </w:r>
          </w:p>
        </w:tc>
        <w:tc>
          <w:tcPr>
            <w:tcW w:w="629" w:type="dxa"/>
          </w:tcPr>
          <w:p w14:paraId="1D7F3A73" w14:textId="77777777" w:rsidR="00FA7EBF" w:rsidRPr="005A60A4" w:rsidRDefault="00FA7EBF" w:rsidP="005A60A4">
            <w:pPr>
              <w:pStyle w:val="ARfintablebodyrightbold"/>
              <w:ind w:right="0"/>
              <w:rPr>
                <w:sz w:val="15"/>
                <w:szCs w:val="15"/>
              </w:rPr>
            </w:pPr>
            <w:r w:rsidRPr="005A60A4">
              <w:rPr>
                <w:sz w:val="15"/>
                <w:szCs w:val="15"/>
              </w:rPr>
              <w:t>156.2</w:t>
            </w:r>
          </w:p>
        </w:tc>
        <w:tc>
          <w:tcPr>
            <w:tcW w:w="629" w:type="dxa"/>
          </w:tcPr>
          <w:p w14:paraId="34F2182F" w14:textId="77777777" w:rsidR="00FA7EBF" w:rsidRPr="005A60A4" w:rsidRDefault="00FA7EBF" w:rsidP="005A60A4">
            <w:pPr>
              <w:pStyle w:val="ARfintablebodyrightbold"/>
              <w:ind w:right="0"/>
              <w:rPr>
                <w:sz w:val="15"/>
                <w:szCs w:val="15"/>
              </w:rPr>
            </w:pPr>
            <w:r w:rsidRPr="005A60A4">
              <w:rPr>
                <w:sz w:val="15"/>
                <w:szCs w:val="15"/>
              </w:rPr>
              <w:t>(6.9)</w:t>
            </w:r>
          </w:p>
        </w:tc>
        <w:tc>
          <w:tcPr>
            <w:tcW w:w="629" w:type="dxa"/>
          </w:tcPr>
          <w:p w14:paraId="469684B6" w14:textId="77777777" w:rsidR="00FA7EBF" w:rsidRPr="005A60A4" w:rsidRDefault="00FA7EBF" w:rsidP="005A60A4">
            <w:pPr>
              <w:pStyle w:val="ARfintablebodyrightbold"/>
              <w:ind w:right="0"/>
              <w:rPr>
                <w:sz w:val="15"/>
                <w:szCs w:val="15"/>
              </w:rPr>
            </w:pPr>
            <w:r w:rsidRPr="005A60A4">
              <w:rPr>
                <w:sz w:val="15"/>
                <w:szCs w:val="15"/>
              </w:rPr>
              <w:t>0.8</w:t>
            </w:r>
          </w:p>
        </w:tc>
        <w:tc>
          <w:tcPr>
            <w:tcW w:w="629" w:type="dxa"/>
          </w:tcPr>
          <w:p w14:paraId="176E1874" w14:textId="77777777" w:rsidR="00FA7EBF" w:rsidRPr="005A60A4" w:rsidRDefault="00FA7EBF" w:rsidP="005A60A4">
            <w:pPr>
              <w:pStyle w:val="ARfintablebodyrightbold"/>
              <w:ind w:right="0"/>
              <w:rPr>
                <w:sz w:val="15"/>
                <w:szCs w:val="15"/>
              </w:rPr>
            </w:pPr>
            <w:r w:rsidRPr="005A60A4">
              <w:rPr>
                <w:sz w:val="15"/>
                <w:szCs w:val="15"/>
              </w:rPr>
              <w:t>58.1</w:t>
            </w:r>
          </w:p>
        </w:tc>
        <w:tc>
          <w:tcPr>
            <w:tcW w:w="630" w:type="dxa"/>
          </w:tcPr>
          <w:p w14:paraId="75ACE7EA" w14:textId="77777777" w:rsidR="00FA7EBF" w:rsidRPr="005A60A4" w:rsidRDefault="00FA7EBF" w:rsidP="005A60A4">
            <w:pPr>
              <w:pStyle w:val="ARfintablebodyrightbold"/>
              <w:ind w:right="0"/>
              <w:rPr>
                <w:sz w:val="15"/>
                <w:szCs w:val="15"/>
              </w:rPr>
            </w:pPr>
            <w:r w:rsidRPr="005A60A4">
              <w:rPr>
                <w:sz w:val="15"/>
                <w:szCs w:val="15"/>
              </w:rPr>
              <w:t>(16.8)</w:t>
            </w:r>
          </w:p>
        </w:tc>
        <w:tc>
          <w:tcPr>
            <w:tcW w:w="630" w:type="dxa"/>
          </w:tcPr>
          <w:p w14:paraId="0549EAAE" w14:textId="77777777" w:rsidR="00FA7EBF" w:rsidRPr="005A60A4" w:rsidRDefault="00FA7EBF" w:rsidP="005A60A4">
            <w:pPr>
              <w:pStyle w:val="ARfintablebodyrightbold"/>
              <w:ind w:right="0"/>
              <w:rPr>
                <w:sz w:val="15"/>
                <w:szCs w:val="15"/>
              </w:rPr>
            </w:pPr>
            <w:r w:rsidRPr="005A60A4">
              <w:rPr>
                <w:sz w:val="15"/>
                <w:szCs w:val="15"/>
              </w:rPr>
              <w:t>21.4</w:t>
            </w:r>
          </w:p>
        </w:tc>
        <w:tc>
          <w:tcPr>
            <w:tcW w:w="630" w:type="dxa"/>
          </w:tcPr>
          <w:p w14:paraId="7FBCD39F" w14:textId="77777777" w:rsidR="00FA7EBF" w:rsidRPr="005A60A4" w:rsidRDefault="00FA7EBF" w:rsidP="005A60A4">
            <w:pPr>
              <w:pStyle w:val="ARfintablebodyrightbold"/>
              <w:ind w:right="0"/>
              <w:rPr>
                <w:sz w:val="15"/>
                <w:szCs w:val="15"/>
              </w:rPr>
            </w:pPr>
            <w:r w:rsidRPr="005A60A4">
              <w:rPr>
                <w:sz w:val="15"/>
                <w:szCs w:val="15"/>
              </w:rPr>
              <w:t>56.4</w:t>
            </w:r>
          </w:p>
        </w:tc>
        <w:tc>
          <w:tcPr>
            <w:tcW w:w="630" w:type="dxa"/>
          </w:tcPr>
          <w:p w14:paraId="0A0F86BB" w14:textId="77777777" w:rsidR="00FA7EBF" w:rsidRPr="005A60A4" w:rsidRDefault="00FA7EBF" w:rsidP="005A60A4">
            <w:pPr>
              <w:pStyle w:val="ARfintablebodyrightbold"/>
              <w:ind w:right="0"/>
              <w:rPr>
                <w:sz w:val="15"/>
                <w:szCs w:val="15"/>
              </w:rPr>
            </w:pPr>
            <w:r w:rsidRPr="005A60A4">
              <w:rPr>
                <w:sz w:val="15"/>
                <w:szCs w:val="15"/>
              </w:rPr>
              <w:t>4.7</w:t>
            </w:r>
          </w:p>
        </w:tc>
        <w:tc>
          <w:tcPr>
            <w:tcW w:w="630" w:type="dxa"/>
          </w:tcPr>
          <w:p w14:paraId="10B0731A" w14:textId="77777777" w:rsidR="00FA7EBF" w:rsidRPr="005A60A4" w:rsidRDefault="00FA7EBF" w:rsidP="005A60A4">
            <w:pPr>
              <w:pStyle w:val="ARfintablebodyrightbold"/>
              <w:ind w:right="0"/>
              <w:rPr>
                <w:sz w:val="15"/>
                <w:szCs w:val="15"/>
              </w:rPr>
            </w:pPr>
            <w:r w:rsidRPr="005A60A4">
              <w:rPr>
                <w:sz w:val="15"/>
                <w:szCs w:val="15"/>
              </w:rPr>
              <w:t>7.5</w:t>
            </w:r>
          </w:p>
        </w:tc>
        <w:tc>
          <w:tcPr>
            <w:tcW w:w="630" w:type="dxa"/>
          </w:tcPr>
          <w:p w14:paraId="5C3C64A4" w14:textId="77777777" w:rsidR="00FA7EBF" w:rsidRPr="005A60A4" w:rsidRDefault="00FA7EBF" w:rsidP="005A60A4">
            <w:pPr>
              <w:pStyle w:val="ARfintablebodyrightbold"/>
              <w:ind w:right="0"/>
              <w:rPr>
                <w:sz w:val="15"/>
                <w:szCs w:val="15"/>
              </w:rPr>
            </w:pPr>
            <w:r w:rsidRPr="005A60A4">
              <w:rPr>
                <w:sz w:val="15"/>
                <w:szCs w:val="15"/>
              </w:rPr>
              <w:t>(2.4)</w:t>
            </w:r>
          </w:p>
        </w:tc>
        <w:tc>
          <w:tcPr>
            <w:tcW w:w="630" w:type="dxa"/>
          </w:tcPr>
          <w:p w14:paraId="13EDCA43" w14:textId="77777777" w:rsidR="00FA7EBF" w:rsidRPr="005A60A4" w:rsidRDefault="00FA7EBF" w:rsidP="005A60A4">
            <w:pPr>
              <w:pStyle w:val="ARfintablebodyrightbold"/>
              <w:ind w:right="0"/>
              <w:rPr>
                <w:sz w:val="15"/>
                <w:szCs w:val="15"/>
              </w:rPr>
            </w:pPr>
            <w:r w:rsidRPr="005A60A4">
              <w:rPr>
                <w:sz w:val="15"/>
                <w:szCs w:val="15"/>
              </w:rPr>
              <w:t>0.9</w:t>
            </w:r>
          </w:p>
        </w:tc>
        <w:tc>
          <w:tcPr>
            <w:tcW w:w="630" w:type="dxa"/>
          </w:tcPr>
          <w:p w14:paraId="24752849" w14:textId="77777777" w:rsidR="00FA7EBF" w:rsidRPr="005A60A4" w:rsidRDefault="00FA7EBF" w:rsidP="005A60A4">
            <w:pPr>
              <w:pStyle w:val="ARfintablebodyrightbold"/>
              <w:ind w:right="0"/>
              <w:rPr>
                <w:sz w:val="15"/>
                <w:szCs w:val="15"/>
              </w:rPr>
            </w:pPr>
            <w:r w:rsidRPr="005A60A4">
              <w:rPr>
                <w:sz w:val="15"/>
                <w:szCs w:val="15"/>
              </w:rPr>
              <w:t>(9.4)</w:t>
            </w:r>
          </w:p>
        </w:tc>
        <w:tc>
          <w:tcPr>
            <w:tcW w:w="630" w:type="dxa"/>
          </w:tcPr>
          <w:p w14:paraId="3D9737FC" w14:textId="77777777" w:rsidR="00FA7EBF" w:rsidRPr="005A60A4" w:rsidRDefault="00FA7EBF" w:rsidP="005A60A4">
            <w:pPr>
              <w:pStyle w:val="ARfintablebodyrightbold"/>
              <w:ind w:right="0"/>
              <w:rPr>
                <w:sz w:val="15"/>
                <w:szCs w:val="15"/>
              </w:rPr>
            </w:pPr>
            <w:r w:rsidRPr="005A60A4">
              <w:rPr>
                <w:sz w:val="15"/>
                <w:szCs w:val="15"/>
              </w:rPr>
              <w:t>–</w:t>
            </w:r>
          </w:p>
        </w:tc>
        <w:tc>
          <w:tcPr>
            <w:tcW w:w="630" w:type="dxa"/>
          </w:tcPr>
          <w:p w14:paraId="6D4B929D" w14:textId="77777777" w:rsidR="00FA7EBF" w:rsidRPr="005A60A4" w:rsidRDefault="00FA7EBF" w:rsidP="005A60A4">
            <w:pPr>
              <w:pStyle w:val="ARfintablebodyrightbold"/>
              <w:ind w:right="0"/>
              <w:rPr>
                <w:sz w:val="15"/>
                <w:szCs w:val="15"/>
              </w:rPr>
            </w:pPr>
            <w:r w:rsidRPr="005A60A4">
              <w:rPr>
                <w:sz w:val="15"/>
                <w:szCs w:val="15"/>
              </w:rPr>
              <w:t>14.8</w:t>
            </w:r>
          </w:p>
        </w:tc>
        <w:tc>
          <w:tcPr>
            <w:tcW w:w="630" w:type="dxa"/>
          </w:tcPr>
          <w:p w14:paraId="07448999" w14:textId="77777777" w:rsidR="00FA7EBF" w:rsidRPr="005A60A4" w:rsidRDefault="00FA7EBF" w:rsidP="005A60A4">
            <w:pPr>
              <w:pStyle w:val="ARfintablebodyrightbold"/>
              <w:ind w:right="0"/>
              <w:rPr>
                <w:sz w:val="15"/>
                <w:szCs w:val="15"/>
              </w:rPr>
            </w:pPr>
            <w:r w:rsidRPr="005A60A4">
              <w:rPr>
                <w:sz w:val="15"/>
                <w:szCs w:val="15"/>
              </w:rPr>
              <w:t>(259.5)</w:t>
            </w:r>
          </w:p>
        </w:tc>
        <w:tc>
          <w:tcPr>
            <w:tcW w:w="630" w:type="dxa"/>
          </w:tcPr>
          <w:p w14:paraId="6B5F7019" w14:textId="77777777" w:rsidR="00FA7EBF" w:rsidRPr="005A60A4" w:rsidRDefault="00FA7EBF" w:rsidP="005A60A4">
            <w:pPr>
              <w:pStyle w:val="ARfintablebodyrightbold"/>
              <w:ind w:right="0"/>
              <w:rPr>
                <w:sz w:val="15"/>
                <w:szCs w:val="15"/>
              </w:rPr>
            </w:pPr>
            <w:r w:rsidRPr="005A60A4">
              <w:rPr>
                <w:sz w:val="15"/>
                <w:szCs w:val="15"/>
              </w:rPr>
              <w:t>(0.3)</w:t>
            </w:r>
          </w:p>
        </w:tc>
        <w:tc>
          <w:tcPr>
            <w:tcW w:w="630" w:type="dxa"/>
          </w:tcPr>
          <w:p w14:paraId="475C4DCB" w14:textId="77777777" w:rsidR="00FA7EBF" w:rsidRPr="005A60A4" w:rsidRDefault="00FA7EBF" w:rsidP="005A60A4">
            <w:pPr>
              <w:pStyle w:val="ARfintablebodyrightbold"/>
              <w:ind w:right="0"/>
              <w:rPr>
                <w:sz w:val="15"/>
                <w:szCs w:val="15"/>
              </w:rPr>
            </w:pPr>
            <w:r w:rsidRPr="005A60A4">
              <w:rPr>
                <w:sz w:val="15"/>
                <w:szCs w:val="15"/>
              </w:rPr>
              <w:t>–</w:t>
            </w:r>
          </w:p>
        </w:tc>
        <w:tc>
          <w:tcPr>
            <w:tcW w:w="778" w:type="dxa"/>
          </w:tcPr>
          <w:p w14:paraId="3B212F00" w14:textId="77777777" w:rsidR="00FA7EBF" w:rsidRPr="005A60A4" w:rsidRDefault="00FA7EBF" w:rsidP="005A60A4">
            <w:pPr>
              <w:pStyle w:val="ARfintablebodyrightbold"/>
              <w:ind w:right="0"/>
              <w:rPr>
                <w:sz w:val="15"/>
                <w:szCs w:val="15"/>
              </w:rPr>
            </w:pPr>
            <w:r w:rsidRPr="005A60A4">
              <w:rPr>
                <w:sz w:val="15"/>
                <w:szCs w:val="15"/>
              </w:rPr>
              <w:t>25.5</w:t>
            </w:r>
          </w:p>
        </w:tc>
      </w:tr>
      <w:tr w:rsidR="00FA7EBF" w:rsidRPr="007939DD" w14:paraId="66597A5B" w14:textId="77777777" w:rsidTr="007B207C">
        <w:trPr>
          <w:cantSplit/>
        </w:trPr>
        <w:tc>
          <w:tcPr>
            <w:tcW w:w="14459" w:type="dxa"/>
            <w:gridSpan w:val="19"/>
            <w:tcBorders>
              <w:bottom w:val="single" w:sz="4" w:space="0" w:color="A6A6A6" w:themeColor="background1" w:themeShade="A6"/>
            </w:tcBorders>
          </w:tcPr>
          <w:p w14:paraId="54D76563" w14:textId="77777777" w:rsidR="00FA7EBF" w:rsidRPr="001D2FFF" w:rsidRDefault="00FA7EBF" w:rsidP="007B207C">
            <w:pPr>
              <w:pStyle w:val="ARfintablebodybold"/>
              <w:pageBreakBefore/>
              <w:rPr>
                <w:sz w:val="15"/>
                <w:szCs w:val="15"/>
              </w:rPr>
            </w:pPr>
            <w:r w:rsidRPr="00CD0B09">
              <w:t>Other economic flows included in</w:t>
            </w:r>
            <w:r>
              <w:t> </w:t>
            </w:r>
            <w:r w:rsidRPr="00CD0B09">
              <w:t>net result</w:t>
            </w:r>
          </w:p>
        </w:tc>
      </w:tr>
      <w:tr w:rsidR="00FA7EBF" w:rsidRPr="007939DD" w14:paraId="30930933"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11B7DB6A" w14:textId="77777777" w:rsidR="00FA7EBF" w:rsidRPr="007939DD" w:rsidRDefault="00FA7EBF" w:rsidP="007B207C">
            <w:pPr>
              <w:pStyle w:val="ARfintablebody"/>
              <w:rPr>
                <w:sz w:val="13"/>
                <w:szCs w:val="13"/>
                <w:lang w:eastAsia="en-AU"/>
              </w:rPr>
            </w:pPr>
            <w:r w:rsidRPr="00CD0B09">
              <w:t>Net gain/(loss) on non-financial assets</w:t>
            </w:r>
          </w:p>
        </w:tc>
        <w:tc>
          <w:tcPr>
            <w:tcW w:w="629" w:type="dxa"/>
            <w:tcBorders>
              <w:top w:val="single" w:sz="4" w:space="0" w:color="A6A6A6" w:themeColor="background1" w:themeShade="A6"/>
              <w:bottom w:val="single" w:sz="4" w:space="0" w:color="A6A6A6" w:themeColor="background1" w:themeShade="A6"/>
            </w:tcBorders>
          </w:tcPr>
          <w:p w14:paraId="556929A1" w14:textId="77777777" w:rsidR="00FA7EBF" w:rsidRPr="001D2FFF" w:rsidRDefault="00FA7EBF" w:rsidP="007B207C">
            <w:pPr>
              <w:pStyle w:val="ARfintablebodyright"/>
              <w:ind w:right="0"/>
              <w:rPr>
                <w:sz w:val="15"/>
                <w:szCs w:val="15"/>
              </w:rPr>
            </w:pPr>
            <w:r w:rsidRPr="001D2FFF">
              <w:rPr>
                <w:sz w:val="15"/>
                <w:szCs w:val="15"/>
              </w:rPr>
              <w:t>0.1</w:t>
            </w:r>
          </w:p>
        </w:tc>
        <w:tc>
          <w:tcPr>
            <w:tcW w:w="629" w:type="dxa"/>
            <w:tcBorders>
              <w:top w:val="single" w:sz="4" w:space="0" w:color="A6A6A6" w:themeColor="background1" w:themeShade="A6"/>
              <w:bottom w:val="single" w:sz="4" w:space="0" w:color="A6A6A6" w:themeColor="background1" w:themeShade="A6"/>
            </w:tcBorders>
          </w:tcPr>
          <w:p w14:paraId="3E6EE133" w14:textId="77777777" w:rsidR="00FA7EBF" w:rsidRPr="001D2FFF" w:rsidRDefault="00FA7EBF" w:rsidP="007B207C">
            <w:pPr>
              <w:pStyle w:val="ARfintablebodyright"/>
              <w:ind w:right="0"/>
              <w:rPr>
                <w:sz w:val="15"/>
                <w:szCs w:val="15"/>
              </w:rPr>
            </w:pPr>
            <w:r w:rsidRPr="001D2FFF">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3EC247F4" w14:textId="77777777" w:rsidR="00FA7EBF" w:rsidRPr="001D2FFF" w:rsidRDefault="00FA7EBF" w:rsidP="007B207C">
            <w:pPr>
              <w:pStyle w:val="ARfintablebodyright"/>
              <w:ind w:right="0"/>
              <w:rPr>
                <w:sz w:val="15"/>
                <w:szCs w:val="15"/>
              </w:rPr>
            </w:pPr>
            <w:r w:rsidRPr="001D2FFF">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3E4F4118" w14:textId="77777777" w:rsidR="00FA7EBF" w:rsidRPr="001D2FFF" w:rsidRDefault="00FA7EBF" w:rsidP="007B207C">
            <w:pPr>
              <w:pStyle w:val="ARfintablebodyright"/>
              <w:ind w:right="0"/>
              <w:rPr>
                <w:sz w:val="15"/>
                <w:szCs w:val="15"/>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1810D50" w14:textId="77777777" w:rsidR="00FA7EBF" w:rsidRPr="001D2FFF" w:rsidRDefault="00FA7EBF" w:rsidP="007B207C">
            <w:pPr>
              <w:pStyle w:val="ARfintablebodyright"/>
              <w:ind w:right="0"/>
              <w:rPr>
                <w:sz w:val="15"/>
                <w:szCs w:val="15"/>
              </w:rPr>
            </w:pPr>
            <w:r w:rsidRPr="00927196">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EE87680" w14:textId="77777777" w:rsidR="00FA7EBF" w:rsidRPr="001D2FFF" w:rsidRDefault="00FA7EBF" w:rsidP="007B207C">
            <w:pPr>
              <w:pStyle w:val="ARfintablebodyright"/>
              <w:ind w:right="0"/>
              <w:rPr>
                <w:sz w:val="15"/>
                <w:szCs w:val="15"/>
              </w:rPr>
            </w:pPr>
            <w:r w:rsidRPr="00927196">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716EE6F" w14:textId="77777777" w:rsidR="00FA7EBF" w:rsidRPr="001D2FFF" w:rsidRDefault="00FA7EBF" w:rsidP="007B207C">
            <w:pPr>
              <w:pStyle w:val="ARfintablebodyright"/>
              <w:ind w:right="0"/>
              <w:rPr>
                <w:sz w:val="15"/>
                <w:szCs w:val="15"/>
              </w:rPr>
            </w:pPr>
            <w:r w:rsidRPr="001D2FFF">
              <w:rPr>
                <w:sz w:val="15"/>
                <w:szCs w:val="15"/>
              </w:rPr>
              <w:t>0.1</w:t>
            </w:r>
          </w:p>
        </w:tc>
        <w:tc>
          <w:tcPr>
            <w:tcW w:w="630" w:type="dxa"/>
            <w:tcBorders>
              <w:top w:val="single" w:sz="4" w:space="0" w:color="A6A6A6" w:themeColor="background1" w:themeShade="A6"/>
              <w:bottom w:val="single" w:sz="4" w:space="0" w:color="A6A6A6" w:themeColor="background1" w:themeShade="A6"/>
            </w:tcBorders>
          </w:tcPr>
          <w:p w14:paraId="55C5E6C6" w14:textId="77777777" w:rsidR="00FA7EBF" w:rsidRPr="001D2FFF" w:rsidRDefault="00FA7EBF" w:rsidP="007B207C">
            <w:pPr>
              <w:pStyle w:val="ARfintablebodyright"/>
              <w:ind w:right="0"/>
              <w:rPr>
                <w:sz w:val="15"/>
                <w:szCs w:val="15"/>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4331A97" w14:textId="77777777" w:rsidR="00FA7EBF" w:rsidRPr="001D2FFF" w:rsidRDefault="00FA7EBF" w:rsidP="007B207C">
            <w:pPr>
              <w:pStyle w:val="ARfintablebodyright"/>
              <w:ind w:right="0"/>
              <w:rPr>
                <w:sz w:val="15"/>
                <w:szCs w:val="15"/>
              </w:rPr>
            </w:pPr>
            <w:r w:rsidRPr="001D2FFF">
              <w:rPr>
                <w:sz w:val="15"/>
                <w:szCs w:val="15"/>
              </w:rPr>
              <w:t>0.7</w:t>
            </w:r>
          </w:p>
        </w:tc>
        <w:tc>
          <w:tcPr>
            <w:tcW w:w="630" w:type="dxa"/>
            <w:tcBorders>
              <w:top w:val="single" w:sz="4" w:space="0" w:color="A6A6A6" w:themeColor="background1" w:themeShade="A6"/>
              <w:bottom w:val="single" w:sz="4" w:space="0" w:color="A6A6A6" w:themeColor="background1" w:themeShade="A6"/>
            </w:tcBorders>
          </w:tcPr>
          <w:p w14:paraId="578FD278" w14:textId="77777777" w:rsidR="00FA7EBF" w:rsidRPr="001D2FFF" w:rsidRDefault="00FA7EBF" w:rsidP="007B207C">
            <w:pPr>
              <w:pStyle w:val="ARfintablebodyright"/>
              <w:ind w:right="0"/>
              <w:rPr>
                <w:sz w:val="15"/>
                <w:szCs w:val="15"/>
              </w:rPr>
            </w:pPr>
            <w:r w:rsidRPr="001D2FFF">
              <w:rPr>
                <w:sz w:val="15"/>
                <w:szCs w:val="15"/>
              </w:rPr>
              <w:t>1.1</w:t>
            </w:r>
          </w:p>
        </w:tc>
        <w:tc>
          <w:tcPr>
            <w:tcW w:w="630" w:type="dxa"/>
            <w:tcBorders>
              <w:top w:val="single" w:sz="4" w:space="0" w:color="A6A6A6" w:themeColor="background1" w:themeShade="A6"/>
              <w:bottom w:val="single" w:sz="4" w:space="0" w:color="A6A6A6" w:themeColor="background1" w:themeShade="A6"/>
            </w:tcBorders>
          </w:tcPr>
          <w:p w14:paraId="438A279A" w14:textId="77777777" w:rsidR="00FA7EBF" w:rsidRPr="001D2FFF" w:rsidRDefault="00FA7EBF" w:rsidP="007B207C">
            <w:pPr>
              <w:pStyle w:val="ARfintablebodyright"/>
              <w:ind w:right="0"/>
              <w:rPr>
                <w:sz w:val="15"/>
                <w:szCs w:val="15"/>
              </w:rPr>
            </w:pPr>
            <w:r w:rsidRPr="00783B5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61E08E7" w14:textId="77777777" w:rsidR="00FA7EBF" w:rsidRPr="001D2FFF" w:rsidRDefault="00FA7EBF" w:rsidP="007B207C">
            <w:pPr>
              <w:pStyle w:val="ARfintablebodyright"/>
              <w:ind w:right="0"/>
              <w:rPr>
                <w:sz w:val="15"/>
                <w:szCs w:val="15"/>
              </w:rPr>
            </w:pPr>
            <w:r w:rsidRPr="00783B5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948441B" w14:textId="77777777" w:rsidR="00FA7EBF" w:rsidRPr="001D2FFF" w:rsidRDefault="00FA7EBF" w:rsidP="007B207C">
            <w:pPr>
              <w:pStyle w:val="ARfintablebodyright"/>
              <w:ind w:right="0"/>
              <w:rPr>
                <w:sz w:val="15"/>
                <w:szCs w:val="15"/>
              </w:rPr>
            </w:pPr>
            <w:r w:rsidRPr="00783B5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1469B6DF" w14:textId="77777777" w:rsidR="00FA7EBF" w:rsidRPr="001D2FFF" w:rsidRDefault="00FA7EBF" w:rsidP="007B207C">
            <w:pPr>
              <w:pStyle w:val="ARfintablebodyright"/>
              <w:ind w:right="0"/>
              <w:rPr>
                <w:sz w:val="15"/>
                <w:szCs w:val="15"/>
              </w:rPr>
            </w:pPr>
            <w:r w:rsidRPr="00783B5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699548A" w14:textId="77777777" w:rsidR="00FA7EBF" w:rsidRPr="001D2FFF" w:rsidRDefault="00FA7EBF" w:rsidP="007B207C">
            <w:pPr>
              <w:pStyle w:val="ARfintablebodyright"/>
              <w:ind w:right="0"/>
              <w:rPr>
                <w:sz w:val="15"/>
                <w:szCs w:val="15"/>
              </w:rPr>
            </w:pPr>
            <w:r w:rsidRPr="001D2FFF">
              <w:rPr>
                <w:sz w:val="15"/>
                <w:szCs w:val="15"/>
              </w:rPr>
              <w:t>(8.6)</w:t>
            </w:r>
          </w:p>
        </w:tc>
        <w:tc>
          <w:tcPr>
            <w:tcW w:w="630" w:type="dxa"/>
            <w:tcBorders>
              <w:top w:val="single" w:sz="4" w:space="0" w:color="A6A6A6" w:themeColor="background1" w:themeShade="A6"/>
              <w:bottom w:val="single" w:sz="4" w:space="0" w:color="A6A6A6" w:themeColor="background1" w:themeShade="A6"/>
            </w:tcBorders>
          </w:tcPr>
          <w:p w14:paraId="334D0F92" w14:textId="77777777" w:rsidR="00FA7EBF" w:rsidRPr="001D2FFF" w:rsidRDefault="00FA7EBF" w:rsidP="007B207C">
            <w:pPr>
              <w:pStyle w:val="ARfintablebodyright"/>
              <w:ind w:right="0"/>
              <w:rPr>
                <w:sz w:val="15"/>
                <w:szCs w:val="15"/>
              </w:rPr>
            </w:pPr>
            <w:r w:rsidRPr="00AC5276">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E5B1AEC" w14:textId="77777777" w:rsidR="00FA7EBF" w:rsidRPr="001D2FFF" w:rsidRDefault="00FA7EBF" w:rsidP="007B207C">
            <w:pPr>
              <w:pStyle w:val="ARfintablebodyright"/>
              <w:ind w:right="0"/>
              <w:rPr>
                <w:sz w:val="15"/>
                <w:szCs w:val="15"/>
              </w:rPr>
            </w:pPr>
            <w:r w:rsidRPr="00AC5276">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7824A320" w14:textId="77777777" w:rsidR="00FA7EBF" w:rsidRPr="001D2FFF" w:rsidRDefault="00FA7EBF" w:rsidP="007B207C">
            <w:pPr>
              <w:pStyle w:val="ARfintablebodyright"/>
              <w:ind w:right="0"/>
              <w:rPr>
                <w:sz w:val="15"/>
                <w:szCs w:val="15"/>
              </w:rPr>
            </w:pPr>
            <w:r w:rsidRPr="001D2FFF">
              <w:rPr>
                <w:sz w:val="15"/>
                <w:szCs w:val="15"/>
              </w:rPr>
              <w:t>(6.5)</w:t>
            </w:r>
          </w:p>
        </w:tc>
      </w:tr>
      <w:tr w:rsidR="00FA7EBF" w:rsidRPr="007939DD" w14:paraId="5D2BE25B"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13D4A5B3" w14:textId="77777777" w:rsidR="00FA7EBF" w:rsidRPr="007939DD" w:rsidRDefault="00FA7EBF" w:rsidP="007B207C">
            <w:pPr>
              <w:pStyle w:val="ARfintablebody"/>
              <w:rPr>
                <w:sz w:val="13"/>
                <w:szCs w:val="13"/>
                <w:lang w:eastAsia="en-AU"/>
              </w:rPr>
            </w:pPr>
            <w:r w:rsidRPr="00CD0B09">
              <w:t>Net gain/(loss) on financial instruments</w:t>
            </w:r>
          </w:p>
        </w:tc>
        <w:tc>
          <w:tcPr>
            <w:tcW w:w="629" w:type="dxa"/>
            <w:tcBorders>
              <w:top w:val="single" w:sz="4" w:space="0" w:color="A6A6A6" w:themeColor="background1" w:themeShade="A6"/>
              <w:bottom w:val="single" w:sz="4" w:space="0" w:color="A6A6A6" w:themeColor="background1" w:themeShade="A6"/>
            </w:tcBorders>
          </w:tcPr>
          <w:p w14:paraId="5FE57208" w14:textId="77777777" w:rsidR="00FA7EBF" w:rsidRPr="001D2FFF" w:rsidRDefault="00FA7EBF" w:rsidP="007B207C">
            <w:pPr>
              <w:pStyle w:val="ARfintablebodyright"/>
              <w:ind w:right="0"/>
              <w:rPr>
                <w:sz w:val="15"/>
                <w:szCs w:val="15"/>
              </w:rPr>
            </w:pPr>
            <w:r w:rsidRPr="001D2FFF">
              <w:rPr>
                <w:sz w:val="15"/>
                <w:szCs w:val="15"/>
              </w:rPr>
              <w:t>0.1</w:t>
            </w:r>
          </w:p>
        </w:tc>
        <w:tc>
          <w:tcPr>
            <w:tcW w:w="629" w:type="dxa"/>
            <w:tcBorders>
              <w:top w:val="single" w:sz="4" w:space="0" w:color="A6A6A6" w:themeColor="background1" w:themeShade="A6"/>
              <w:bottom w:val="single" w:sz="4" w:space="0" w:color="A6A6A6" w:themeColor="background1" w:themeShade="A6"/>
            </w:tcBorders>
          </w:tcPr>
          <w:p w14:paraId="00548AFB" w14:textId="77777777" w:rsidR="00FA7EBF" w:rsidRPr="001D2FFF" w:rsidRDefault="00FA7EBF" w:rsidP="007B207C">
            <w:pPr>
              <w:pStyle w:val="ARfintablebodyright"/>
              <w:ind w:right="0"/>
              <w:rPr>
                <w:sz w:val="15"/>
                <w:szCs w:val="15"/>
              </w:rPr>
            </w:pPr>
            <w:r w:rsidRPr="005B6DD8">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46646C24" w14:textId="77777777" w:rsidR="00FA7EBF" w:rsidRPr="001D2FFF" w:rsidRDefault="00FA7EBF" w:rsidP="007B207C">
            <w:pPr>
              <w:pStyle w:val="ARfintablebodyright"/>
              <w:ind w:right="0"/>
              <w:rPr>
                <w:sz w:val="15"/>
                <w:szCs w:val="15"/>
              </w:rPr>
            </w:pPr>
            <w:r w:rsidRPr="005B6DD8">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15957A52" w14:textId="77777777" w:rsidR="00FA7EBF" w:rsidRPr="001D2FFF" w:rsidRDefault="00FA7EBF" w:rsidP="007B207C">
            <w:pPr>
              <w:pStyle w:val="ARfintablebodyright"/>
              <w:ind w:right="0"/>
              <w:rPr>
                <w:sz w:val="15"/>
                <w:szCs w:val="15"/>
              </w:rPr>
            </w:pPr>
            <w:r w:rsidRPr="005B6DD8">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2826A77" w14:textId="77777777" w:rsidR="00FA7EBF" w:rsidRPr="001D2FFF" w:rsidRDefault="00FA7EBF" w:rsidP="007B207C">
            <w:pPr>
              <w:pStyle w:val="ARfintablebodyright"/>
              <w:ind w:right="0"/>
              <w:rPr>
                <w:sz w:val="15"/>
                <w:szCs w:val="15"/>
              </w:rPr>
            </w:pPr>
            <w:r w:rsidRPr="008D011B">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03B266F" w14:textId="77777777" w:rsidR="00FA7EBF" w:rsidRPr="001D2FFF" w:rsidRDefault="00FA7EBF" w:rsidP="007B207C">
            <w:pPr>
              <w:pStyle w:val="ARfintablebodyright"/>
              <w:ind w:right="0"/>
              <w:rPr>
                <w:sz w:val="15"/>
                <w:szCs w:val="15"/>
              </w:rPr>
            </w:pPr>
            <w:r w:rsidRPr="008D011B">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83E2392" w14:textId="77777777" w:rsidR="00FA7EBF" w:rsidRPr="001D2FFF" w:rsidRDefault="00FA7EBF" w:rsidP="007B207C">
            <w:pPr>
              <w:pStyle w:val="ARfintablebodyright"/>
              <w:ind w:right="0"/>
              <w:rPr>
                <w:sz w:val="15"/>
                <w:szCs w:val="15"/>
              </w:rPr>
            </w:pPr>
            <w:r w:rsidRPr="00FA684E">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2E7A18A" w14:textId="77777777" w:rsidR="00FA7EBF" w:rsidRPr="001D2FFF" w:rsidRDefault="00FA7EBF" w:rsidP="007B207C">
            <w:pPr>
              <w:pStyle w:val="ARfintablebodyright"/>
              <w:ind w:right="0"/>
              <w:rPr>
                <w:sz w:val="15"/>
                <w:szCs w:val="15"/>
              </w:rPr>
            </w:pPr>
            <w:r w:rsidRPr="00FA684E">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B2CD2A0" w14:textId="77777777" w:rsidR="00FA7EBF" w:rsidRPr="001D2FFF" w:rsidRDefault="00FA7EBF" w:rsidP="007B207C">
            <w:pPr>
              <w:pStyle w:val="ARfintablebodyright"/>
              <w:ind w:right="0"/>
              <w:rPr>
                <w:sz w:val="15"/>
                <w:szCs w:val="15"/>
              </w:rPr>
            </w:pPr>
            <w:r w:rsidRPr="001D2FFF">
              <w:rPr>
                <w:sz w:val="15"/>
                <w:szCs w:val="15"/>
              </w:rPr>
              <w:t>0.1</w:t>
            </w:r>
          </w:p>
        </w:tc>
        <w:tc>
          <w:tcPr>
            <w:tcW w:w="630" w:type="dxa"/>
            <w:tcBorders>
              <w:top w:val="single" w:sz="4" w:space="0" w:color="A6A6A6" w:themeColor="background1" w:themeShade="A6"/>
              <w:bottom w:val="single" w:sz="4" w:space="0" w:color="A6A6A6" w:themeColor="background1" w:themeShade="A6"/>
            </w:tcBorders>
          </w:tcPr>
          <w:p w14:paraId="5198ED0A" w14:textId="77777777" w:rsidR="00FA7EBF" w:rsidRPr="001D2FFF" w:rsidRDefault="00FA7EBF" w:rsidP="007B207C">
            <w:pPr>
              <w:pStyle w:val="ARfintablebodyright"/>
              <w:ind w:right="0"/>
              <w:rPr>
                <w:sz w:val="15"/>
                <w:szCs w:val="15"/>
              </w:rPr>
            </w:pPr>
            <w:r w:rsidRPr="00BF13D5">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2CA69D8" w14:textId="77777777" w:rsidR="00FA7EBF" w:rsidRPr="001D2FFF" w:rsidRDefault="00FA7EBF" w:rsidP="007B207C">
            <w:pPr>
              <w:pStyle w:val="ARfintablebodyright"/>
              <w:ind w:right="0"/>
              <w:rPr>
                <w:sz w:val="15"/>
                <w:szCs w:val="15"/>
              </w:rPr>
            </w:pPr>
            <w:r w:rsidRPr="00BF13D5">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5A4B707D" w14:textId="77777777" w:rsidR="00FA7EBF" w:rsidRPr="001D2FFF" w:rsidRDefault="00FA7EBF" w:rsidP="007B207C">
            <w:pPr>
              <w:pStyle w:val="ARfintablebodyright"/>
              <w:ind w:right="0"/>
              <w:rPr>
                <w:sz w:val="15"/>
                <w:szCs w:val="15"/>
              </w:rPr>
            </w:pPr>
            <w:r w:rsidRPr="00BF13D5">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1B275057" w14:textId="77777777" w:rsidR="00FA7EBF" w:rsidRPr="001D2FFF" w:rsidRDefault="00FA7EBF" w:rsidP="007B207C">
            <w:pPr>
              <w:pStyle w:val="ARfintablebodyright"/>
              <w:ind w:right="0"/>
              <w:rPr>
                <w:sz w:val="15"/>
                <w:szCs w:val="15"/>
              </w:rPr>
            </w:pPr>
            <w:r w:rsidRPr="00BF13D5">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E41E6C8" w14:textId="77777777" w:rsidR="00FA7EBF" w:rsidRPr="001D2FFF" w:rsidRDefault="00FA7EBF" w:rsidP="007B207C">
            <w:pPr>
              <w:pStyle w:val="ARfintablebodyright"/>
              <w:ind w:right="0"/>
              <w:rPr>
                <w:sz w:val="15"/>
                <w:szCs w:val="15"/>
              </w:rPr>
            </w:pPr>
            <w:r w:rsidRPr="00BF13D5">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513F63F1" w14:textId="77777777" w:rsidR="00FA7EBF" w:rsidRPr="001D2FFF" w:rsidRDefault="00FA7EBF" w:rsidP="007B207C">
            <w:pPr>
              <w:pStyle w:val="ARfintablebodyright"/>
              <w:ind w:right="0"/>
              <w:rPr>
                <w:sz w:val="15"/>
                <w:szCs w:val="15"/>
              </w:rPr>
            </w:pPr>
            <w:r w:rsidRPr="00BF13D5">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7E9F3DD" w14:textId="77777777" w:rsidR="00FA7EBF" w:rsidRPr="001D2FFF" w:rsidRDefault="00FA7EBF" w:rsidP="007B207C">
            <w:pPr>
              <w:pStyle w:val="ARfintablebodyright"/>
              <w:ind w:right="0"/>
              <w:rPr>
                <w:sz w:val="15"/>
                <w:szCs w:val="15"/>
              </w:rPr>
            </w:pPr>
            <w:r w:rsidRPr="00BF13D5">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53D1A8F" w14:textId="77777777" w:rsidR="00FA7EBF" w:rsidRPr="001D2FFF" w:rsidRDefault="00FA7EBF" w:rsidP="007B207C">
            <w:pPr>
              <w:pStyle w:val="ARfintablebodyright"/>
              <w:ind w:right="0"/>
              <w:rPr>
                <w:sz w:val="15"/>
                <w:szCs w:val="15"/>
              </w:rPr>
            </w:pPr>
            <w:r w:rsidRPr="00BF13D5">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0430BF69" w14:textId="77777777" w:rsidR="00FA7EBF" w:rsidRPr="001D2FFF" w:rsidRDefault="00FA7EBF" w:rsidP="007B207C">
            <w:pPr>
              <w:pStyle w:val="ARfintablebodyright"/>
              <w:ind w:right="0"/>
              <w:rPr>
                <w:sz w:val="15"/>
                <w:szCs w:val="15"/>
              </w:rPr>
            </w:pPr>
            <w:r w:rsidRPr="001D2FFF">
              <w:rPr>
                <w:sz w:val="15"/>
                <w:szCs w:val="15"/>
              </w:rPr>
              <w:t>0.2</w:t>
            </w:r>
          </w:p>
        </w:tc>
      </w:tr>
      <w:tr w:rsidR="00FA7EBF" w:rsidRPr="007939DD" w14:paraId="6CB36278" w14:textId="77777777" w:rsidTr="007B207C">
        <w:trPr>
          <w:cantSplit/>
        </w:trPr>
        <w:tc>
          <w:tcPr>
            <w:tcW w:w="2975" w:type="dxa"/>
            <w:tcBorders>
              <w:top w:val="single" w:sz="4" w:space="0" w:color="A6A6A6" w:themeColor="background1" w:themeShade="A6"/>
            </w:tcBorders>
          </w:tcPr>
          <w:p w14:paraId="77979446" w14:textId="77777777" w:rsidR="00FA7EBF" w:rsidRPr="007939DD" w:rsidRDefault="00FA7EBF" w:rsidP="007B207C">
            <w:pPr>
              <w:pStyle w:val="ARfintablebody"/>
              <w:rPr>
                <w:sz w:val="13"/>
                <w:szCs w:val="13"/>
                <w:lang w:eastAsia="en-AU"/>
              </w:rPr>
            </w:pPr>
            <w:r w:rsidRPr="00CD0B09">
              <w:t>Other gains/(losses) from other economic flows</w:t>
            </w:r>
          </w:p>
        </w:tc>
        <w:tc>
          <w:tcPr>
            <w:tcW w:w="629" w:type="dxa"/>
            <w:tcBorders>
              <w:top w:val="single" w:sz="4" w:space="0" w:color="A6A6A6" w:themeColor="background1" w:themeShade="A6"/>
            </w:tcBorders>
          </w:tcPr>
          <w:p w14:paraId="0D202BC2" w14:textId="77777777" w:rsidR="00FA7EBF" w:rsidRPr="001D2FFF" w:rsidRDefault="00FA7EBF" w:rsidP="007B207C">
            <w:pPr>
              <w:pStyle w:val="ARfintablebodyright"/>
              <w:ind w:right="0"/>
              <w:rPr>
                <w:sz w:val="15"/>
                <w:szCs w:val="15"/>
              </w:rPr>
            </w:pPr>
            <w:r w:rsidRPr="001D2FFF">
              <w:rPr>
                <w:sz w:val="15"/>
                <w:szCs w:val="15"/>
              </w:rPr>
              <w:t>(3.0)</w:t>
            </w:r>
          </w:p>
        </w:tc>
        <w:tc>
          <w:tcPr>
            <w:tcW w:w="629" w:type="dxa"/>
            <w:tcBorders>
              <w:top w:val="single" w:sz="4" w:space="0" w:color="A6A6A6" w:themeColor="background1" w:themeShade="A6"/>
            </w:tcBorders>
          </w:tcPr>
          <w:p w14:paraId="263B5B5D" w14:textId="77777777" w:rsidR="00FA7EBF" w:rsidRPr="001D2FFF" w:rsidRDefault="00FA7EBF" w:rsidP="007B207C">
            <w:pPr>
              <w:pStyle w:val="ARfintablebodyright"/>
              <w:ind w:right="0"/>
              <w:rPr>
                <w:sz w:val="15"/>
                <w:szCs w:val="15"/>
              </w:rPr>
            </w:pPr>
            <w:r w:rsidRPr="001D2FFF">
              <w:rPr>
                <w:sz w:val="15"/>
                <w:szCs w:val="15"/>
              </w:rPr>
              <w:t>–</w:t>
            </w:r>
          </w:p>
        </w:tc>
        <w:tc>
          <w:tcPr>
            <w:tcW w:w="629" w:type="dxa"/>
            <w:tcBorders>
              <w:top w:val="single" w:sz="4" w:space="0" w:color="A6A6A6" w:themeColor="background1" w:themeShade="A6"/>
            </w:tcBorders>
          </w:tcPr>
          <w:p w14:paraId="4E2CC6DE" w14:textId="77777777" w:rsidR="00FA7EBF" w:rsidRPr="001D2FFF" w:rsidRDefault="00FA7EBF" w:rsidP="007B207C">
            <w:pPr>
              <w:pStyle w:val="ARfintablebodyright"/>
              <w:ind w:right="0"/>
              <w:rPr>
                <w:sz w:val="15"/>
                <w:szCs w:val="15"/>
              </w:rPr>
            </w:pPr>
            <w:r w:rsidRPr="001D2FFF">
              <w:rPr>
                <w:sz w:val="15"/>
                <w:szCs w:val="15"/>
              </w:rPr>
              <w:t>(0.8)</w:t>
            </w:r>
          </w:p>
        </w:tc>
        <w:tc>
          <w:tcPr>
            <w:tcW w:w="629" w:type="dxa"/>
            <w:tcBorders>
              <w:top w:val="single" w:sz="4" w:space="0" w:color="A6A6A6" w:themeColor="background1" w:themeShade="A6"/>
            </w:tcBorders>
          </w:tcPr>
          <w:p w14:paraId="26D60273" w14:textId="77777777" w:rsidR="00FA7EBF" w:rsidRPr="001D2FFF" w:rsidRDefault="00FA7EBF" w:rsidP="007B207C">
            <w:pPr>
              <w:pStyle w:val="ARfintablebodyright"/>
              <w:ind w:right="0"/>
              <w:rPr>
                <w:sz w:val="15"/>
                <w:szCs w:val="15"/>
              </w:rPr>
            </w:pPr>
            <w:r w:rsidRPr="001D2FFF">
              <w:rPr>
                <w:sz w:val="15"/>
                <w:szCs w:val="15"/>
              </w:rPr>
              <w:t>(0.6)</w:t>
            </w:r>
          </w:p>
        </w:tc>
        <w:tc>
          <w:tcPr>
            <w:tcW w:w="630" w:type="dxa"/>
            <w:tcBorders>
              <w:top w:val="single" w:sz="4" w:space="0" w:color="A6A6A6" w:themeColor="background1" w:themeShade="A6"/>
            </w:tcBorders>
          </w:tcPr>
          <w:p w14:paraId="7B28BA69" w14:textId="77777777" w:rsidR="00FA7EBF" w:rsidRPr="001D2FFF" w:rsidRDefault="00FA7EBF" w:rsidP="007B207C">
            <w:pPr>
              <w:pStyle w:val="ARfintablebodyright"/>
              <w:ind w:right="0"/>
              <w:rPr>
                <w:sz w:val="15"/>
                <w:szCs w:val="15"/>
              </w:rPr>
            </w:pPr>
            <w:r w:rsidRPr="001D2FFF">
              <w:rPr>
                <w:sz w:val="15"/>
                <w:szCs w:val="15"/>
              </w:rPr>
              <w:t>(0.3)</w:t>
            </w:r>
          </w:p>
        </w:tc>
        <w:tc>
          <w:tcPr>
            <w:tcW w:w="630" w:type="dxa"/>
            <w:tcBorders>
              <w:top w:val="single" w:sz="4" w:space="0" w:color="A6A6A6" w:themeColor="background1" w:themeShade="A6"/>
            </w:tcBorders>
          </w:tcPr>
          <w:p w14:paraId="648436AB" w14:textId="77777777" w:rsidR="00FA7EBF" w:rsidRPr="001D2FFF" w:rsidRDefault="00FA7EBF" w:rsidP="007B207C">
            <w:pPr>
              <w:pStyle w:val="ARfintablebodyright"/>
              <w:ind w:right="0"/>
              <w:rPr>
                <w:sz w:val="15"/>
                <w:szCs w:val="15"/>
              </w:rPr>
            </w:pPr>
            <w:r w:rsidRPr="001D2FFF">
              <w:rPr>
                <w:sz w:val="15"/>
                <w:szCs w:val="15"/>
              </w:rPr>
              <w:t>(0.2)</w:t>
            </w:r>
          </w:p>
        </w:tc>
        <w:tc>
          <w:tcPr>
            <w:tcW w:w="630" w:type="dxa"/>
            <w:tcBorders>
              <w:top w:val="single" w:sz="4" w:space="0" w:color="A6A6A6" w:themeColor="background1" w:themeShade="A6"/>
            </w:tcBorders>
          </w:tcPr>
          <w:p w14:paraId="3F3226F2" w14:textId="77777777" w:rsidR="00FA7EBF" w:rsidRPr="001D2FFF" w:rsidRDefault="00FA7EBF" w:rsidP="007B207C">
            <w:pPr>
              <w:pStyle w:val="ARfintablebodyright"/>
              <w:ind w:right="0"/>
              <w:rPr>
                <w:sz w:val="15"/>
                <w:szCs w:val="15"/>
              </w:rPr>
            </w:pPr>
            <w:r w:rsidRPr="001D2FFF">
              <w:rPr>
                <w:sz w:val="15"/>
                <w:szCs w:val="15"/>
              </w:rPr>
              <w:t>(1.2)</w:t>
            </w:r>
          </w:p>
        </w:tc>
        <w:tc>
          <w:tcPr>
            <w:tcW w:w="630" w:type="dxa"/>
            <w:tcBorders>
              <w:top w:val="single" w:sz="4" w:space="0" w:color="A6A6A6" w:themeColor="background1" w:themeShade="A6"/>
            </w:tcBorders>
          </w:tcPr>
          <w:p w14:paraId="020CF02E" w14:textId="77777777" w:rsidR="00FA7EBF" w:rsidRPr="001D2FFF" w:rsidRDefault="00FA7EBF" w:rsidP="007B207C">
            <w:pPr>
              <w:pStyle w:val="ARfintablebodyright"/>
              <w:ind w:right="0"/>
              <w:rPr>
                <w:sz w:val="15"/>
                <w:szCs w:val="15"/>
              </w:rPr>
            </w:pPr>
            <w:r w:rsidRPr="001D2FFF">
              <w:rPr>
                <w:sz w:val="15"/>
                <w:szCs w:val="15"/>
              </w:rPr>
              <w:t>(0.2)</w:t>
            </w:r>
          </w:p>
        </w:tc>
        <w:tc>
          <w:tcPr>
            <w:tcW w:w="630" w:type="dxa"/>
            <w:tcBorders>
              <w:top w:val="single" w:sz="4" w:space="0" w:color="A6A6A6" w:themeColor="background1" w:themeShade="A6"/>
            </w:tcBorders>
          </w:tcPr>
          <w:p w14:paraId="4566B528" w14:textId="77777777" w:rsidR="00FA7EBF" w:rsidRPr="001D2FFF" w:rsidRDefault="00FA7EBF" w:rsidP="007B207C">
            <w:pPr>
              <w:pStyle w:val="ARfintablebodyright"/>
              <w:ind w:right="0"/>
              <w:rPr>
                <w:sz w:val="15"/>
                <w:szCs w:val="15"/>
              </w:rPr>
            </w:pPr>
            <w:r w:rsidRPr="001D2FFF">
              <w:rPr>
                <w:sz w:val="15"/>
                <w:szCs w:val="15"/>
              </w:rPr>
              <w:t>(9.6)</w:t>
            </w:r>
          </w:p>
        </w:tc>
        <w:tc>
          <w:tcPr>
            <w:tcW w:w="630" w:type="dxa"/>
            <w:tcBorders>
              <w:top w:val="single" w:sz="4" w:space="0" w:color="A6A6A6" w:themeColor="background1" w:themeShade="A6"/>
            </w:tcBorders>
          </w:tcPr>
          <w:p w14:paraId="10408BF7" w14:textId="77777777" w:rsidR="00FA7EBF" w:rsidRPr="001D2FFF" w:rsidRDefault="00FA7EBF" w:rsidP="007B207C">
            <w:pPr>
              <w:pStyle w:val="ARfintablebodyright"/>
              <w:ind w:right="0"/>
              <w:rPr>
                <w:sz w:val="15"/>
                <w:szCs w:val="15"/>
              </w:rPr>
            </w:pPr>
            <w:r w:rsidRPr="001D2FFF">
              <w:rPr>
                <w:sz w:val="15"/>
                <w:szCs w:val="15"/>
              </w:rPr>
              <w:t>(5.9)</w:t>
            </w:r>
          </w:p>
        </w:tc>
        <w:tc>
          <w:tcPr>
            <w:tcW w:w="630" w:type="dxa"/>
            <w:tcBorders>
              <w:top w:val="single" w:sz="4" w:space="0" w:color="A6A6A6" w:themeColor="background1" w:themeShade="A6"/>
            </w:tcBorders>
          </w:tcPr>
          <w:p w14:paraId="17463157" w14:textId="77777777" w:rsidR="00FA7EBF" w:rsidRPr="001D2FFF" w:rsidRDefault="00FA7EBF" w:rsidP="007B207C">
            <w:pPr>
              <w:pStyle w:val="ARfintablebodyright"/>
              <w:ind w:right="0"/>
              <w:rPr>
                <w:sz w:val="15"/>
                <w:szCs w:val="15"/>
              </w:rPr>
            </w:pPr>
            <w:r w:rsidRPr="001D2FFF">
              <w:rPr>
                <w:sz w:val="15"/>
                <w:szCs w:val="15"/>
              </w:rPr>
              <w:t>(0.1)</w:t>
            </w:r>
          </w:p>
        </w:tc>
        <w:tc>
          <w:tcPr>
            <w:tcW w:w="630" w:type="dxa"/>
            <w:tcBorders>
              <w:top w:val="single" w:sz="4" w:space="0" w:color="A6A6A6" w:themeColor="background1" w:themeShade="A6"/>
            </w:tcBorders>
          </w:tcPr>
          <w:p w14:paraId="7ADF8954" w14:textId="77777777" w:rsidR="00FA7EBF" w:rsidRPr="001D2FFF" w:rsidRDefault="00FA7EBF" w:rsidP="007B207C">
            <w:pPr>
              <w:pStyle w:val="ARfintablebodyright"/>
              <w:ind w:right="0"/>
              <w:rPr>
                <w:sz w:val="15"/>
                <w:szCs w:val="15"/>
              </w:rPr>
            </w:pPr>
            <w:r w:rsidRPr="001D2FFF">
              <w:rPr>
                <w:sz w:val="15"/>
                <w:szCs w:val="15"/>
              </w:rPr>
              <w:t>(0.1)</w:t>
            </w:r>
          </w:p>
        </w:tc>
        <w:tc>
          <w:tcPr>
            <w:tcW w:w="630" w:type="dxa"/>
            <w:tcBorders>
              <w:top w:val="single" w:sz="4" w:space="0" w:color="A6A6A6" w:themeColor="background1" w:themeShade="A6"/>
            </w:tcBorders>
          </w:tcPr>
          <w:p w14:paraId="6CA45A97" w14:textId="77777777" w:rsidR="00FA7EBF" w:rsidRPr="001D2FFF" w:rsidRDefault="00FA7EBF" w:rsidP="007B207C">
            <w:pPr>
              <w:pStyle w:val="ARfintablebodyright"/>
              <w:ind w:right="0"/>
              <w:rPr>
                <w:sz w:val="15"/>
                <w:szCs w:val="15"/>
              </w:rPr>
            </w:pPr>
            <w:r w:rsidRPr="001D2FFF">
              <w:rPr>
                <w:sz w:val="15"/>
                <w:szCs w:val="15"/>
              </w:rPr>
              <w:t>–</w:t>
            </w:r>
          </w:p>
        </w:tc>
        <w:tc>
          <w:tcPr>
            <w:tcW w:w="630" w:type="dxa"/>
            <w:tcBorders>
              <w:top w:val="single" w:sz="4" w:space="0" w:color="A6A6A6" w:themeColor="background1" w:themeShade="A6"/>
            </w:tcBorders>
          </w:tcPr>
          <w:p w14:paraId="78345574" w14:textId="77777777" w:rsidR="00FA7EBF" w:rsidRPr="001D2FFF" w:rsidRDefault="00FA7EBF" w:rsidP="007B207C">
            <w:pPr>
              <w:pStyle w:val="ARfintablebodyright"/>
              <w:ind w:right="0"/>
              <w:rPr>
                <w:sz w:val="15"/>
                <w:szCs w:val="15"/>
              </w:rPr>
            </w:pPr>
            <w:r w:rsidRPr="001D2FFF">
              <w:rPr>
                <w:sz w:val="15"/>
                <w:szCs w:val="15"/>
              </w:rPr>
              <w:t>(0.5)</w:t>
            </w:r>
          </w:p>
        </w:tc>
        <w:tc>
          <w:tcPr>
            <w:tcW w:w="630" w:type="dxa"/>
            <w:tcBorders>
              <w:top w:val="single" w:sz="4" w:space="0" w:color="A6A6A6" w:themeColor="background1" w:themeShade="A6"/>
            </w:tcBorders>
          </w:tcPr>
          <w:p w14:paraId="0ABF3410" w14:textId="77777777" w:rsidR="00FA7EBF" w:rsidRPr="001D2FFF" w:rsidRDefault="00FA7EBF" w:rsidP="007B207C">
            <w:pPr>
              <w:pStyle w:val="ARfintablebodyright"/>
              <w:ind w:right="0"/>
              <w:rPr>
                <w:sz w:val="15"/>
                <w:szCs w:val="15"/>
              </w:rPr>
            </w:pPr>
            <w:r w:rsidRPr="001D2FFF">
              <w:rPr>
                <w:sz w:val="15"/>
                <w:szCs w:val="15"/>
              </w:rPr>
              <w:t>(5.6)</w:t>
            </w:r>
          </w:p>
        </w:tc>
        <w:tc>
          <w:tcPr>
            <w:tcW w:w="630" w:type="dxa"/>
            <w:tcBorders>
              <w:top w:val="single" w:sz="4" w:space="0" w:color="A6A6A6" w:themeColor="background1" w:themeShade="A6"/>
            </w:tcBorders>
          </w:tcPr>
          <w:p w14:paraId="643CF319" w14:textId="77777777" w:rsidR="00FA7EBF" w:rsidRPr="001D2FFF" w:rsidRDefault="00FA7EBF" w:rsidP="007B207C">
            <w:pPr>
              <w:pStyle w:val="ARfintablebodyright"/>
              <w:ind w:right="0"/>
              <w:rPr>
                <w:sz w:val="15"/>
                <w:szCs w:val="15"/>
              </w:rPr>
            </w:pPr>
            <w:r w:rsidRPr="00361635">
              <w:rPr>
                <w:sz w:val="15"/>
                <w:szCs w:val="15"/>
              </w:rPr>
              <w:t>–</w:t>
            </w:r>
          </w:p>
        </w:tc>
        <w:tc>
          <w:tcPr>
            <w:tcW w:w="630" w:type="dxa"/>
            <w:tcBorders>
              <w:top w:val="single" w:sz="4" w:space="0" w:color="A6A6A6" w:themeColor="background1" w:themeShade="A6"/>
            </w:tcBorders>
          </w:tcPr>
          <w:p w14:paraId="1146E325" w14:textId="77777777" w:rsidR="00FA7EBF" w:rsidRPr="001D2FFF" w:rsidRDefault="00FA7EBF" w:rsidP="007B207C">
            <w:pPr>
              <w:pStyle w:val="ARfintablebodyright"/>
              <w:ind w:right="0"/>
              <w:rPr>
                <w:sz w:val="15"/>
                <w:szCs w:val="15"/>
              </w:rPr>
            </w:pPr>
            <w:r w:rsidRPr="00361635">
              <w:rPr>
                <w:sz w:val="15"/>
                <w:szCs w:val="15"/>
              </w:rPr>
              <w:t>–</w:t>
            </w:r>
          </w:p>
        </w:tc>
        <w:tc>
          <w:tcPr>
            <w:tcW w:w="778" w:type="dxa"/>
            <w:tcBorders>
              <w:top w:val="single" w:sz="4" w:space="0" w:color="A6A6A6" w:themeColor="background1" w:themeShade="A6"/>
            </w:tcBorders>
          </w:tcPr>
          <w:p w14:paraId="6784CCD8" w14:textId="77777777" w:rsidR="00FA7EBF" w:rsidRPr="001D2FFF" w:rsidRDefault="00FA7EBF" w:rsidP="007B207C">
            <w:pPr>
              <w:pStyle w:val="ARfintablebodyright"/>
              <w:ind w:right="0"/>
              <w:rPr>
                <w:sz w:val="15"/>
                <w:szCs w:val="15"/>
              </w:rPr>
            </w:pPr>
            <w:r w:rsidRPr="001D2FFF">
              <w:rPr>
                <w:sz w:val="15"/>
                <w:szCs w:val="15"/>
              </w:rPr>
              <w:t>(28.1)</w:t>
            </w:r>
          </w:p>
        </w:tc>
      </w:tr>
      <w:tr w:rsidR="00FA7EBF" w:rsidRPr="007939DD" w14:paraId="77A6474D" w14:textId="77777777" w:rsidTr="007B207C">
        <w:trPr>
          <w:cantSplit/>
        </w:trPr>
        <w:tc>
          <w:tcPr>
            <w:tcW w:w="2975" w:type="dxa"/>
          </w:tcPr>
          <w:p w14:paraId="38D573EE" w14:textId="77777777" w:rsidR="00FA7EBF" w:rsidRPr="007939DD" w:rsidRDefault="00FA7EBF" w:rsidP="007B207C">
            <w:pPr>
              <w:pStyle w:val="ARfintablebodybold"/>
              <w:rPr>
                <w:rStyle w:val="Strong"/>
                <w:bCs/>
                <w:sz w:val="13"/>
                <w:szCs w:val="13"/>
              </w:rPr>
            </w:pPr>
            <w:r w:rsidRPr="00CD0B09">
              <w:t>Total other economic flows included in net result</w:t>
            </w:r>
          </w:p>
        </w:tc>
        <w:tc>
          <w:tcPr>
            <w:tcW w:w="629" w:type="dxa"/>
          </w:tcPr>
          <w:p w14:paraId="6FCD3F4F" w14:textId="77777777" w:rsidR="00FA7EBF" w:rsidRPr="005A60A4" w:rsidRDefault="00FA7EBF" w:rsidP="005A60A4">
            <w:pPr>
              <w:pStyle w:val="ARfintablebodyrightbold"/>
              <w:ind w:right="0"/>
              <w:rPr>
                <w:sz w:val="15"/>
                <w:szCs w:val="15"/>
              </w:rPr>
            </w:pPr>
            <w:r w:rsidRPr="005A60A4">
              <w:rPr>
                <w:sz w:val="15"/>
                <w:szCs w:val="15"/>
              </w:rPr>
              <w:t>(2.9)</w:t>
            </w:r>
          </w:p>
        </w:tc>
        <w:tc>
          <w:tcPr>
            <w:tcW w:w="629" w:type="dxa"/>
          </w:tcPr>
          <w:p w14:paraId="3002AF57" w14:textId="77777777" w:rsidR="00FA7EBF" w:rsidRPr="005A60A4" w:rsidRDefault="00FA7EBF" w:rsidP="005A60A4">
            <w:pPr>
              <w:pStyle w:val="ARfintablebodyrightbold"/>
              <w:ind w:right="0"/>
              <w:rPr>
                <w:sz w:val="15"/>
                <w:szCs w:val="15"/>
              </w:rPr>
            </w:pPr>
            <w:r w:rsidRPr="005A60A4">
              <w:rPr>
                <w:sz w:val="15"/>
                <w:szCs w:val="15"/>
              </w:rPr>
              <w:t>–</w:t>
            </w:r>
          </w:p>
        </w:tc>
        <w:tc>
          <w:tcPr>
            <w:tcW w:w="629" w:type="dxa"/>
          </w:tcPr>
          <w:p w14:paraId="720D56F9" w14:textId="77777777" w:rsidR="00FA7EBF" w:rsidRPr="005A60A4" w:rsidRDefault="00FA7EBF" w:rsidP="005A60A4">
            <w:pPr>
              <w:pStyle w:val="ARfintablebodyrightbold"/>
              <w:ind w:right="0"/>
              <w:rPr>
                <w:sz w:val="15"/>
                <w:szCs w:val="15"/>
              </w:rPr>
            </w:pPr>
            <w:r w:rsidRPr="005A60A4">
              <w:rPr>
                <w:sz w:val="15"/>
                <w:szCs w:val="15"/>
              </w:rPr>
              <w:t>(0.8)</w:t>
            </w:r>
          </w:p>
        </w:tc>
        <w:tc>
          <w:tcPr>
            <w:tcW w:w="629" w:type="dxa"/>
          </w:tcPr>
          <w:p w14:paraId="04CE7B68" w14:textId="77777777" w:rsidR="00FA7EBF" w:rsidRPr="005A60A4" w:rsidRDefault="00FA7EBF" w:rsidP="005A60A4">
            <w:pPr>
              <w:pStyle w:val="ARfintablebodyrightbold"/>
              <w:ind w:right="0"/>
              <w:rPr>
                <w:sz w:val="15"/>
                <w:szCs w:val="15"/>
              </w:rPr>
            </w:pPr>
            <w:r w:rsidRPr="005A60A4">
              <w:rPr>
                <w:sz w:val="15"/>
                <w:szCs w:val="15"/>
              </w:rPr>
              <w:t>(0.5)</w:t>
            </w:r>
          </w:p>
        </w:tc>
        <w:tc>
          <w:tcPr>
            <w:tcW w:w="630" w:type="dxa"/>
          </w:tcPr>
          <w:p w14:paraId="0060FC75" w14:textId="77777777" w:rsidR="00FA7EBF" w:rsidRPr="005A60A4" w:rsidRDefault="00FA7EBF" w:rsidP="005A60A4">
            <w:pPr>
              <w:pStyle w:val="ARfintablebodyrightbold"/>
              <w:ind w:right="0"/>
              <w:rPr>
                <w:sz w:val="15"/>
                <w:szCs w:val="15"/>
              </w:rPr>
            </w:pPr>
            <w:r w:rsidRPr="005A60A4">
              <w:rPr>
                <w:sz w:val="15"/>
                <w:szCs w:val="15"/>
              </w:rPr>
              <w:t>(0.3)</w:t>
            </w:r>
          </w:p>
        </w:tc>
        <w:tc>
          <w:tcPr>
            <w:tcW w:w="630" w:type="dxa"/>
          </w:tcPr>
          <w:p w14:paraId="23C1C668" w14:textId="77777777" w:rsidR="00FA7EBF" w:rsidRPr="005A60A4" w:rsidRDefault="00FA7EBF" w:rsidP="005A60A4">
            <w:pPr>
              <w:pStyle w:val="ARfintablebodyrightbold"/>
              <w:ind w:right="0"/>
              <w:rPr>
                <w:sz w:val="15"/>
                <w:szCs w:val="15"/>
              </w:rPr>
            </w:pPr>
            <w:r w:rsidRPr="005A60A4">
              <w:rPr>
                <w:sz w:val="15"/>
                <w:szCs w:val="15"/>
              </w:rPr>
              <w:t>(0.2)</w:t>
            </w:r>
          </w:p>
        </w:tc>
        <w:tc>
          <w:tcPr>
            <w:tcW w:w="630" w:type="dxa"/>
          </w:tcPr>
          <w:p w14:paraId="5BE55C92" w14:textId="77777777" w:rsidR="00FA7EBF" w:rsidRPr="005A60A4" w:rsidRDefault="00FA7EBF" w:rsidP="005A60A4">
            <w:pPr>
              <w:pStyle w:val="ARfintablebodyrightbold"/>
              <w:ind w:right="0"/>
              <w:rPr>
                <w:sz w:val="15"/>
                <w:szCs w:val="15"/>
              </w:rPr>
            </w:pPr>
            <w:r w:rsidRPr="005A60A4">
              <w:rPr>
                <w:sz w:val="15"/>
                <w:szCs w:val="15"/>
              </w:rPr>
              <w:t>(1.1)</w:t>
            </w:r>
          </w:p>
        </w:tc>
        <w:tc>
          <w:tcPr>
            <w:tcW w:w="630" w:type="dxa"/>
          </w:tcPr>
          <w:p w14:paraId="091D3EA2" w14:textId="77777777" w:rsidR="00FA7EBF" w:rsidRPr="005A60A4" w:rsidRDefault="00FA7EBF" w:rsidP="005A60A4">
            <w:pPr>
              <w:pStyle w:val="ARfintablebodyrightbold"/>
              <w:ind w:right="0"/>
              <w:rPr>
                <w:sz w:val="15"/>
                <w:szCs w:val="15"/>
              </w:rPr>
            </w:pPr>
            <w:r w:rsidRPr="005A60A4">
              <w:rPr>
                <w:sz w:val="15"/>
                <w:szCs w:val="15"/>
              </w:rPr>
              <w:t>(0.2)</w:t>
            </w:r>
          </w:p>
        </w:tc>
        <w:tc>
          <w:tcPr>
            <w:tcW w:w="630" w:type="dxa"/>
          </w:tcPr>
          <w:p w14:paraId="41F88E6A" w14:textId="77777777" w:rsidR="00FA7EBF" w:rsidRPr="005A60A4" w:rsidRDefault="00FA7EBF" w:rsidP="005A60A4">
            <w:pPr>
              <w:pStyle w:val="ARfintablebodyrightbold"/>
              <w:ind w:right="0"/>
              <w:rPr>
                <w:sz w:val="15"/>
                <w:szCs w:val="15"/>
              </w:rPr>
            </w:pPr>
            <w:r w:rsidRPr="005A60A4">
              <w:rPr>
                <w:sz w:val="15"/>
                <w:szCs w:val="15"/>
              </w:rPr>
              <w:t>(8.8)</w:t>
            </w:r>
          </w:p>
        </w:tc>
        <w:tc>
          <w:tcPr>
            <w:tcW w:w="630" w:type="dxa"/>
          </w:tcPr>
          <w:p w14:paraId="777C4FDF" w14:textId="77777777" w:rsidR="00FA7EBF" w:rsidRPr="005A60A4" w:rsidRDefault="00FA7EBF" w:rsidP="005A60A4">
            <w:pPr>
              <w:pStyle w:val="ARfintablebodyrightbold"/>
              <w:ind w:right="0"/>
              <w:rPr>
                <w:sz w:val="15"/>
                <w:szCs w:val="15"/>
              </w:rPr>
            </w:pPr>
            <w:r w:rsidRPr="005A60A4">
              <w:rPr>
                <w:sz w:val="15"/>
                <w:szCs w:val="15"/>
              </w:rPr>
              <w:t>(4.8)</w:t>
            </w:r>
          </w:p>
        </w:tc>
        <w:tc>
          <w:tcPr>
            <w:tcW w:w="630" w:type="dxa"/>
          </w:tcPr>
          <w:p w14:paraId="77111645" w14:textId="77777777" w:rsidR="00FA7EBF" w:rsidRPr="005A60A4" w:rsidRDefault="00FA7EBF" w:rsidP="005A60A4">
            <w:pPr>
              <w:pStyle w:val="ARfintablebodyrightbold"/>
              <w:ind w:right="0"/>
              <w:rPr>
                <w:sz w:val="15"/>
                <w:szCs w:val="15"/>
              </w:rPr>
            </w:pPr>
            <w:r w:rsidRPr="005A60A4">
              <w:rPr>
                <w:sz w:val="15"/>
                <w:szCs w:val="15"/>
              </w:rPr>
              <w:t>(0.1)</w:t>
            </w:r>
          </w:p>
        </w:tc>
        <w:tc>
          <w:tcPr>
            <w:tcW w:w="630" w:type="dxa"/>
          </w:tcPr>
          <w:p w14:paraId="6590436F" w14:textId="77777777" w:rsidR="00FA7EBF" w:rsidRPr="005A60A4" w:rsidRDefault="00FA7EBF" w:rsidP="005A60A4">
            <w:pPr>
              <w:pStyle w:val="ARfintablebodyrightbold"/>
              <w:ind w:right="0"/>
              <w:rPr>
                <w:sz w:val="15"/>
                <w:szCs w:val="15"/>
              </w:rPr>
            </w:pPr>
            <w:r w:rsidRPr="005A60A4">
              <w:rPr>
                <w:sz w:val="15"/>
                <w:szCs w:val="15"/>
              </w:rPr>
              <w:t>(0.1)</w:t>
            </w:r>
          </w:p>
        </w:tc>
        <w:tc>
          <w:tcPr>
            <w:tcW w:w="630" w:type="dxa"/>
          </w:tcPr>
          <w:p w14:paraId="6A77E897" w14:textId="77777777" w:rsidR="00FA7EBF" w:rsidRPr="005A60A4" w:rsidRDefault="00FA7EBF" w:rsidP="005A60A4">
            <w:pPr>
              <w:pStyle w:val="ARfintablebodyrightbold"/>
              <w:ind w:right="0"/>
              <w:rPr>
                <w:sz w:val="15"/>
                <w:szCs w:val="15"/>
              </w:rPr>
            </w:pPr>
            <w:r w:rsidRPr="005A60A4">
              <w:rPr>
                <w:sz w:val="15"/>
                <w:szCs w:val="15"/>
              </w:rPr>
              <w:t>–</w:t>
            </w:r>
          </w:p>
        </w:tc>
        <w:tc>
          <w:tcPr>
            <w:tcW w:w="630" w:type="dxa"/>
          </w:tcPr>
          <w:p w14:paraId="1522DEF2" w14:textId="77777777" w:rsidR="00FA7EBF" w:rsidRPr="005A60A4" w:rsidRDefault="00FA7EBF" w:rsidP="005A60A4">
            <w:pPr>
              <w:pStyle w:val="ARfintablebodyrightbold"/>
              <w:ind w:right="0"/>
              <w:rPr>
                <w:sz w:val="15"/>
                <w:szCs w:val="15"/>
              </w:rPr>
            </w:pPr>
            <w:r w:rsidRPr="005A60A4">
              <w:rPr>
                <w:sz w:val="15"/>
                <w:szCs w:val="15"/>
              </w:rPr>
              <w:t>(0.5)</w:t>
            </w:r>
          </w:p>
        </w:tc>
        <w:tc>
          <w:tcPr>
            <w:tcW w:w="630" w:type="dxa"/>
          </w:tcPr>
          <w:p w14:paraId="75CFA794" w14:textId="77777777" w:rsidR="00FA7EBF" w:rsidRPr="005A60A4" w:rsidRDefault="00FA7EBF" w:rsidP="005A60A4">
            <w:pPr>
              <w:pStyle w:val="ARfintablebodyrightbold"/>
              <w:ind w:right="0"/>
              <w:rPr>
                <w:sz w:val="15"/>
                <w:szCs w:val="15"/>
              </w:rPr>
            </w:pPr>
            <w:r w:rsidRPr="005A60A4">
              <w:rPr>
                <w:sz w:val="15"/>
                <w:szCs w:val="15"/>
              </w:rPr>
              <w:t>(14.2)</w:t>
            </w:r>
          </w:p>
        </w:tc>
        <w:tc>
          <w:tcPr>
            <w:tcW w:w="630" w:type="dxa"/>
          </w:tcPr>
          <w:p w14:paraId="3A5CC56A" w14:textId="77777777" w:rsidR="00FA7EBF" w:rsidRPr="005A60A4" w:rsidRDefault="00FA7EBF" w:rsidP="005A60A4">
            <w:pPr>
              <w:pStyle w:val="ARfintablebodyrightbold"/>
              <w:ind w:right="0"/>
              <w:rPr>
                <w:sz w:val="15"/>
                <w:szCs w:val="15"/>
              </w:rPr>
            </w:pPr>
            <w:r w:rsidRPr="005A60A4">
              <w:rPr>
                <w:sz w:val="15"/>
                <w:szCs w:val="15"/>
              </w:rPr>
              <w:t>–</w:t>
            </w:r>
          </w:p>
        </w:tc>
        <w:tc>
          <w:tcPr>
            <w:tcW w:w="630" w:type="dxa"/>
          </w:tcPr>
          <w:p w14:paraId="140E35AC" w14:textId="77777777" w:rsidR="00FA7EBF" w:rsidRPr="005A60A4" w:rsidRDefault="00FA7EBF" w:rsidP="005A60A4">
            <w:pPr>
              <w:pStyle w:val="ARfintablebodyrightbold"/>
              <w:ind w:right="0"/>
              <w:rPr>
                <w:sz w:val="15"/>
                <w:szCs w:val="15"/>
              </w:rPr>
            </w:pPr>
            <w:r w:rsidRPr="005A60A4">
              <w:rPr>
                <w:sz w:val="15"/>
                <w:szCs w:val="15"/>
              </w:rPr>
              <w:t>–</w:t>
            </w:r>
          </w:p>
        </w:tc>
        <w:tc>
          <w:tcPr>
            <w:tcW w:w="778" w:type="dxa"/>
          </w:tcPr>
          <w:p w14:paraId="002DC9E0" w14:textId="77777777" w:rsidR="00FA7EBF" w:rsidRPr="005A60A4" w:rsidRDefault="00FA7EBF" w:rsidP="005A60A4">
            <w:pPr>
              <w:pStyle w:val="ARfintablebodyrightbold"/>
              <w:ind w:right="0"/>
              <w:rPr>
                <w:sz w:val="15"/>
                <w:szCs w:val="15"/>
              </w:rPr>
            </w:pPr>
            <w:r w:rsidRPr="005A60A4">
              <w:rPr>
                <w:sz w:val="15"/>
                <w:szCs w:val="15"/>
              </w:rPr>
              <w:t>(34.5)</w:t>
            </w:r>
          </w:p>
        </w:tc>
      </w:tr>
      <w:tr w:rsidR="00FA7EBF" w:rsidRPr="007939DD" w14:paraId="50FD5146" w14:textId="77777777" w:rsidTr="007B207C">
        <w:trPr>
          <w:cantSplit/>
        </w:trPr>
        <w:tc>
          <w:tcPr>
            <w:tcW w:w="2975" w:type="dxa"/>
          </w:tcPr>
          <w:p w14:paraId="410A4644" w14:textId="77777777" w:rsidR="00FA7EBF" w:rsidRPr="007939DD" w:rsidRDefault="00FA7EBF" w:rsidP="007B207C">
            <w:pPr>
              <w:pStyle w:val="ARfintablebodybold"/>
              <w:rPr>
                <w:rStyle w:val="Strong"/>
                <w:bCs/>
                <w:sz w:val="13"/>
                <w:szCs w:val="13"/>
              </w:rPr>
            </w:pPr>
            <w:r w:rsidRPr="00CD0B09">
              <w:t>Net result</w:t>
            </w:r>
          </w:p>
        </w:tc>
        <w:tc>
          <w:tcPr>
            <w:tcW w:w="629" w:type="dxa"/>
          </w:tcPr>
          <w:p w14:paraId="42367924" w14:textId="77777777" w:rsidR="00FA7EBF" w:rsidRPr="005A60A4" w:rsidRDefault="00FA7EBF" w:rsidP="007B207C">
            <w:pPr>
              <w:pStyle w:val="ARfintablebodyrightbold"/>
              <w:ind w:right="0"/>
              <w:rPr>
                <w:rStyle w:val="Strong"/>
                <w:bCs w:val="0"/>
                <w:sz w:val="15"/>
                <w:szCs w:val="15"/>
              </w:rPr>
            </w:pPr>
            <w:r w:rsidRPr="005A60A4">
              <w:rPr>
                <w:sz w:val="15"/>
                <w:szCs w:val="15"/>
              </w:rPr>
              <w:t>153.4</w:t>
            </w:r>
          </w:p>
        </w:tc>
        <w:tc>
          <w:tcPr>
            <w:tcW w:w="629" w:type="dxa"/>
          </w:tcPr>
          <w:p w14:paraId="3ED23D22" w14:textId="77777777" w:rsidR="00FA7EBF" w:rsidRPr="005A60A4" w:rsidRDefault="00FA7EBF" w:rsidP="007B207C">
            <w:pPr>
              <w:pStyle w:val="ARfintablebodyrightbold"/>
              <w:ind w:right="0"/>
              <w:rPr>
                <w:rStyle w:val="Strong"/>
                <w:bCs w:val="0"/>
                <w:sz w:val="15"/>
                <w:szCs w:val="15"/>
              </w:rPr>
            </w:pPr>
            <w:r w:rsidRPr="005A60A4">
              <w:rPr>
                <w:sz w:val="15"/>
                <w:szCs w:val="15"/>
              </w:rPr>
              <w:t>(6.9)</w:t>
            </w:r>
          </w:p>
        </w:tc>
        <w:tc>
          <w:tcPr>
            <w:tcW w:w="629" w:type="dxa"/>
          </w:tcPr>
          <w:p w14:paraId="22802023" w14:textId="77777777" w:rsidR="00FA7EBF" w:rsidRPr="005A60A4" w:rsidRDefault="00FA7EBF" w:rsidP="007B207C">
            <w:pPr>
              <w:pStyle w:val="ARfintablebodyrightbold"/>
              <w:ind w:right="0"/>
              <w:rPr>
                <w:rStyle w:val="Strong"/>
                <w:bCs w:val="0"/>
                <w:sz w:val="15"/>
                <w:szCs w:val="15"/>
              </w:rPr>
            </w:pPr>
            <w:r w:rsidRPr="005A60A4">
              <w:rPr>
                <w:sz w:val="15"/>
                <w:szCs w:val="15"/>
              </w:rPr>
              <w:t>–</w:t>
            </w:r>
          </w:p>
        </w:tc>
        <w:tc>
          <w:tcPr>
            <w:tcW w:w="629" w:type="dxa"/>
          </w:tcPr>
          <w:p w14:paraId="285DAFF0" w14:textId="77777777" w:rsidR="00FA7EBF" w:rsidRPr="005A60A4" w:rsidRDefault="00FA7EBF" w:rsidP="007B207C">
            <w:pPr>
              <w:pStyle w:val="ARfintablebodyrightbold"/>
              <w:ind w:right="0"/>
              <w:rPr>
                <w:rStyle w:val="Strong"/>
                <w:bCs w:val="0"/>
                <w:sz w:val="15"/>
                <w:szCs w:val="15"/>
              </w:rPr>
            </w:pPr>
            <w:r w:rsidRPr="005A60A4">
              <w:rPr>
                <w:sz w:val="15"/>
                <w:szCs w:val="15"/>
              </w:rPr>
              <w:t>57.6</w:t>
            </w:r>
          </w:p>
        </w:tc>
        <w:tc>
          <w:tcPr>
            <w:tcW w:w="630" w:type="dxa"/>
          </w:tcPr>
          <w:p w14:paraId="2D336022" w14:textId="77777777" w:rsidR="00FA7EBF" w:rsidRPr="005A60A4" w:rsidRDefault="00FA7EBF" w:rsidP="007B207C">
            <w:pPr>
              <w:pStyle w:val="ARfintablebodyrightbold"/>
              <w:ind w:right="0"/>
              <w:rPr>
                <w:rStyle w:val="Strong"/>
                <w:bCs w:val="0"/>
                <w:sz w:val="15"/>
                <w:szCs w:val="15"/>
              </w:rPr>
            </w:pPr>
            <w:r w:rsidRPr="005A60A4">
              <w:rPr>
                <w:sz w:val="15"/>
                <w:szCs w:val="15"/>
              </w:rPr>
              <w:t>(17.1)</w:t>
            </w:r>
          </w:p>
        </w:tc>
        <w:tc>
          <w:tcPr>
            <w:tcW w:w="630" w:type="dxa"/>
          </w:tcPr>
          <w:p w14:paraId="26FBB8F1" w14:textId="77777777" w:rsidR="00FA7EBF" w:rsidRPr="005A60A4" w:rsidRDefault="00FA7EBF" w:rsidP="007B207C">
            <w:pPr>
              <w:pStyle w:val="ARfintablebodyrightbold"/>
              <w:ind w:right="0"/>
              <w:rPr>
                <w:rStyle w:val="Strong"/>
                <w:bCs w:val="0"/>
                <w:sz w:val="15"/>
                <w:szCs w:val="15"/>
              </w:rPr>
            </w:pPr>
            <w:r w:rsidRPr="005A60A4">
              <w:rPr>
                <w:sz w:val="15"/>
                <w:szCs w:val="15"/>
              </w:rPr>
              <w:t>21.2</w:t>
            </w:r>
          </w:p>
        </w:tc>
        <w:tc>
          <w:tcPr>
            <w:tcW w:w="630" w:type="dxa"/>
          </w:tcPr>
          <w:p w14:paraId="21F2BF0F" w14:textId="77777777" w:rsidR="00FA7EBF" w:rsidRPr="005A60A4" w:rsidRDefault="00FA7EBF" w:rsidP="007B207C">
            <w:pPr>
              <w:pStyle w:val="ARfintablebodyrightbold"/>
              <w:ind w:right="0"/>
              <w:rPr>
                <w:rStyle w:val="Strong"/>
                <w:bCs w:val="0"/>
                <w:sz w:val="15"/>
                <w:szCs w:val="15"/>
              </w:rPr>
            </w:pPr>
            <w:r w:rsidRPr="005A60A4">
              <w:rPr>
                <w:sz w:val="15"/>
                <w:szCs w:val="15"/>
              </w:rPr>
              <w:t>55.3</w:t>
            </w:r>
          </w:p>
        </w:tc>
        <w:tc>
          <w:tcPr>
            <w:tcW w:w="630" w:type="dxa"/>
          </w:tcPr>
          <w:p w14:paraId="78985D31" w14:textId="77777777" w:rsidR="00FA7EBF" w:rsidRPr="005A60A4" w:rsidRDefault="00FA7EBF" w:rsidP="007B207C">
            <w:pPr>
              <w:pStyle w:val="ARfintablebodyrightbold"/>
              <w:ind w:right="0"/>
              <w:rPr>
                <w:rStyle w:val="Strong"/>
                <w:bCs w:val="0"/>
                <w:sz w:val="15"/>
                <w:szCs w:val="15"/>
              </w:rPr>
            </w:pPr>
            <w:r w:rsidRPr="005A60A4">
              <w:rPr>
                <w:sz w:val="15"/>
                <w:szCs w:val="15"/>
              </w:rPr>
              <w:t>4.5</w:t>
            </w:r>
          </w:p>
        </w:tc>
        <w:tc>
          <w:tcPr>
            <w:tcW w:w="630" w:type="dxa"/>
          </w:tcPr>
          <w:p w14:paraId="083C0A3B" w14:textId="77777777" w:rsidR="00FA7EBF" w:rsidRPr="005A60A4" w:rsidRDefault="00FA7EBF" w:rsidP="007B207C">
            <w:pPr>
              <w:pStyle w:val="ARfintablebodyrightbold"/>
              <w:ind w:right="0"/>
              <w:rPr>
                <w:rStyle w:val="Strong"/>
                <w:bCs w:val="0"/>
                <w:sz w:val="15"/>
                <w:szCs w:val="15"/>
              </w:rPr>
            </w:pPr>
            <w:r w:rsidRPr="005A60A4">
              <w:rPr>
                <w:sz w:val="15"/>
                <w:szCs w:val="15"/>
              </w:rPr>
              <w:t>(1.2)</w:t>
            </w:r>
          </w:p>
        </w:tc>
        <w:tc>
          <w:tcPr>
            <w:tcW w:w="630" w:type="dxa"/>
          </w:tcPr>
          <w:p w14:paraId="02611C6E" w14:textId="77777777" w:rsidR="00FA7EBF" w:rsidRPr="005A60A4" w:rsidRDefault="00FA7EBF" w:rsidP="007B207C">
            <w:pPr>
              <w:pStyle w:val="ARfintablebodyrightbold"/>
              <w:ind w:right="0"/>
              <w:rPr>
                <w:rStyle w:val="Strong"/>
                <w:bCs w:val="0"/>
                <w:sz w:val="15"/>
                <w:szCs w:val="15"/>
              </w:rPr>
            </w:pPr>
            <w:r w:rsidRPr="005A60A4">
              <w:rPr>
                <w:sz w:val="15"/>
                <w:szCs w:val="15"/>
              </w:rPr>
              <w:t>(7.2)</w:t>
            </w:r>
          </w:p>
        </w:tc>
        <w:tc>
          <w:tcPr>
            <w:tcW w:w="630" w:type="dxa"/>
          </w:tcPr>
          <w:p w14:paraId="628C54C4" w14:textId="77777777" w:rsidR="00FA7EBF" w:rsidRPr="005A60A4" w:rsidRDefault="00FA7EBF" w:rsidP="007B207C">
            <w:pPr>
              <w:pStyle w:val="ARfintablebodyrightbold"/>
              <w:ind w:right="0"/>
              <w:rPr>
                <w:rStyle w:val="Strong"/>
                <w:b/>
                <w:bCs w:val="0"/>
                <w:sz w:val="15"/>
                <w:szCs w:val="15"/>
              </w:rPr>
            </w:pPr>
            <w:r w:rsidRPr="005A60A4">
              <w:rPr>
                <w:sz w:val="15"/>
                <w:szCs w:val="15"/>
              </w:rPr>
              <w:t>0.7</w:t>
            </w:r>
          </w:p>
        </w:tc>
        <w:tc>
          <w:tcPr>
            <w:tcW w:w="630" w:type="dxa"/>
          </w:tcPr>
          <w:p w14:paraId="3C9CD4DF" w14:textId="77777777" w:rsidR="00FA7EBF" w:rsidRPr="005A60A4" w:rsidRDefault="00FA7EBF" w:rsidP="007B207C">
            <w:pPr>
              <w:pStyle w:val="ARfintablebodyrightbold"/>
              <w:ind w:right="0"/>
              <w:rPr>
                <w:rStyle w:val="Strong"/>
                <w:bCs w:val="0"/>
                <w:sz w:val="15"/>
                <w:szCs w:val="15"/>
              </w:rPr>
            </w:pPr>
            <w:r w:rsidRPr="005A60A4">
              <w:rPr>
                <w:sz w:val="15"/>
                <w:szCs w:val="15"/>
              </w:rPr>
              <w:t>(9.5)</w:t>
            </w:r>
          </w:p>
        </w:tc>
        <w:tc>
          <w:tcPr>
            <w:tcW w:w="630" w:type="dxa"/>
          </w:tcPr>
          <w:p w14:paraId="679F4E8B" w14:textId="77777777" w:rsidR="00FA7EBF" w:rsidRPr="005A60A4" w:rsidRDefault="00FA7EBF" w:rsidP="007B207C">
            <w:pPr>
              <w:pStyle w:val="ARfintablebodyrightbold"/>
              <w:ind w:right="0"/>
              <w:rPr>
                <w:rStyle w:val="Strong"/>
                <w:bCs w:val="0"/>
                <w:sz w:val="15"/>
                <w:szCs w:val="15"/>
              </w:rPr>
            </w:pPr>
            <w:r w:rsidRPr="005A60A4">
              <w:rPr>
                <w:sz w:val="15"/>
                <w:szCs w:val="15"/>
              </w:rPr>
              <w:t>–</w:t>
            </w:r>
          </w:p>
        </w:tc>
        <w:tc>
          <w:tcPr>
            <w:tcW w:w="630" w:type="dxa"/>
          </w:tcPr>
          <w:p w14:paraId="65951B09" w14:textId="77777777" w:rsidR="00FA7EBF" w:rsidRPr="005A60A4" w:rsidRDefault="00FA7EBF" w:rsidP="007B207C">
            <w:pPr>
              <w:pStyle w:val="ARfintablebodyrightbold"/>
              <w:ind w:right="0"/>
              <w:rPr>
                <w:rStyle w:val="Strong"/>
                <w:bCs w:val="0"/>
                <w:sz w:val="15"/>
                <w:szCs w:val="15"/>
              </w:rPr>
            </w:pPr>
            <w:r w:rsidRPr="005A60A4">
              <w:rPr>
                <w:sz w:val="15"/>
                <w:szCs w:val="15"/>
              </w:rPr>
              <w:t>14.3</w:t>
            </w:r>
          </w:p>
        </w:tc>
        <w:tc>
          <w:tcPr>
            <w:tcW w:w="630" w:type="dxa"/>
          </w:tcPr>
          <w:p w14:paraId="243B21BB" w14:textId="77777777" w:rsidR="00FA7EBF" w:rsidRPr="005A60A4" w:rsidRDefault="00FA7EBF" w:rsidP="007B207C">
            <w:pPr>
              <w:pStyle w:val="ARfintablebodyrightbold"/>
              <w:ind w:right="0"/>
              <w:rPr>
                <w:rStyle w:val="Strong"/>
                <w:bCs w:val="0"/>
                <w:sz w:val="15"/>
                <w:szCs w:val="15"/>
              </w:rPr>
            </w:pPr>
            <w:r w:rsidRPr="005A60A4">
              <w:rPr>
                <w:sz w:val="15"/>
                <w:szCs w:val="15"/>
              </w:rPr>
              <w:t>(273.7)</w:t>
            </w:r>
          </w:p>
        </w:tc>
        <w:tc>
          <w:tcPr>
            <w:tcW w:w="630" w:type="dxa"/>
          </w:tcPr>
          <w:p w14:paraId="0B89C746" w14:textId="77777777" w:rsidR="00FA7EBF" w:rsidRPr="005A60A4" w:rsidRDefault="00FA7EBF" w:rsidP="007B207C">
            <w:pPr>
              <w:pStyle w:val="ARfintablebodyrightbold"/>
              <w:ind w:right="0"/>
              <w:rPr>
                <w:rStyle w:val="Strong"/>
                <w:bCs w:val="0"/>
                <w:sz w:val="15"/>
                <w:szCs w:val="15"/>
              </w:rPr>
            </w:pPr>
            <w:r w:rsidRPr="005A60A4">
              <w:rPr>
                <w:sz w:val="15"/>
                <w:szCs w:val="15"/>
              </w:rPr>
              <w:t>(0.3)</w:t>
            </w:r>
          </w:p>
        </w:tc>
        <w:tc>
          <w:tcPr>
            <w:tcW w:w="630" w:type="dxa"/>
          </w:tcPr>
          <w:p w14:paraId="3FAE6EB8" w14:textId="77777777" w:rsidR="00FA7EBF" w:rsidRPr="005A60A4" w:rsidRDefault="00FA7EBF" w:rsidP="007B207C">
            <w:pPr>
              <w:pStyle w:val="ARfintablebodyrightbold"/>
              <w:ind w:right="0"/>
              <w:rPr>
                <w:rStyle w:val="Strong"/>
                <w:bCs w:val="0"/>
                <w:sz w:val="15"/>
                <w:szCs w:val="15"/>
              </w:rPr>
            </w:pPr>
            <w:r w:rsidRPr="005A60A4">
              <w:rPr>
                <w:sz w:val="15"/>
                <w:szCs w:val="15"/>
              </w:rPr>
              <w:t>–</w:t>
            </w:r>
          </w:p>
        </w:tc>
        <w:tc>
          <w:tcPr>
            <w:tcW w:w="778" w:type="dxa"/>
          </w:tcPr>
          <w:p w14:paraId="21DA5BB7" w14:textId="77777777" w:rsidR="00FA7EBF" w:rsidRPr="005A60A4" w:rsidRDefault="00FA7EBF" w:rsidP="007B207C">
            <w:pPr>
              <w:pStyle w:val="ARfintablebodyrightbold"/>
              <w:ind w:right="0"/>
              <w:rPr>
                <w:rStyle w:val="Strong"/>
                <w:bCs w:val="0"/>
                <w:sz w:val="15"/>
                <w:szCs w:val="15"/>
              </w:rPr>
            </w:pPr>
            <w:r w:rsidRPr="005A60A4">
              <w:rPr>
                <w:sz w:val="15"/>
                <w:szCs w:val="15"/>
              </w:rPr>
              <w:t>(9.0)</w:t>
            </w:r>
          </w:p>
        </w:tc>
      </w:tr>
    </w:tbl>
    <w:p w14:paraId="2123C372" w14:textId="77777777" w:rsidR="00FA7EBF" w:rsidRPr="00290CD0" w:rsidRDefault="00FA7EBF" w:rsidP="00CA66FD">
      <w:pPr>
        <w:pStyle w:val="ARfintablefootnote"/>
      </w:pPr>
      <w:r w:rsidRPr="00194D78">
        <w:t>Note:</w:t>
      </w:r>
    </w:p>
    <w:p w14:paraId="740DBE28" w14:textId="77777777" w:rsidR="00FA7EBF" w:rsidRDefault="00FA7EBF" w:rsidP="00CA66FD">
      <w:pPr>
        <w:pStyle w:val="ARfintablefootnoteindent"/>
      </w:pPr>
      <w:r w:rsidRPr="00194D78">
        <w:t>(i)</w:t>
      </w:r>
      <w:r>
        <w:tab/>
      </w:r>
      <w:r w:rsidRPr="00194D78">
        <w:t>Refer to Note 4.1.1 for output definitions.</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975"/>
        <w:gridCol w:w="629"/>
        <w:gridCol w:w="629"/>
        <w:gridCol w:w="629"/>
        <w:gridCol w:w="629"/>
        <w:gridCol w:w="630"/>
        <w:gridCol w:w="630"/>
        <w:gridCol w:w="630"/>
        <w:gridCol w:w="630"/>
        <w:gridCol w:w="630"/>
        <w:gridCol w:w="630"/>
        <w:gridCol w:w="630"/>
        <w:gridCol w:w="630"/>
        <w:gridCol w:w="630"/>
        <w:gridCol w:w="630"/>
        <w:gridCol w:w="630"/>
        <w:gridCol w:w="630"/>
        <w:gridCol w:w="630"/>
        <w:gridCol w:w="778"/>
      </w:tblGrid>
      <w:tr w:rsidR="00FA7EBF" w:rsidRPr="007939DD" w14:paraId="4A9BAE92" w14:textId="77777777" w:rsidTr="007B207C">
        <w:trPr>
          <w:cantSplit/>
          <w:tblHeader/>
        </w:trPr>
        <w:tc>
          <w:tcPr>
            <w:tcW w:w="2975" w:type="dxa"/>
            <w:vAlign w:val="bottom"/>
          </w:tcPr>
          <w:p w14:paraId="4E450B40" w14:textId="77777777" w:rsidR="00FA7EBF" w:rsidRPr="004E3D18" w:rsidRDefault="00FA7EBF" w:rsidP="007B207C">
            <w:pPr>
              <w:pStyle w:val="ARfintablecolhead"/>
            </w:pPr>
            <w:r w:rsidRPr="004E3D18">
              <w:t xml:space="preserve">Output group </w:t>
            </w:r>
            <w:r w:rsidRPr="004E3D18">
              <w:rPr>
                <w:rStyle w:val="Superscriptbold"/>
              </w:rPr>
              <w:t>(i)</w:t>
            </w:r>
          </w:p>
          <w:p w14:paraId="49CD86DE" w14:textId="77777777" w:rsidR="00FA7EBF" w:rsidRPr="004E3D18" w:rsidRDefault="00FA7EBF" w:rsidP="007B207C">
            <w:pPr>
              <w:pStyle w:val="ARfintablecolhead"/>
            </w:pPr>
            <w:r w:rsidRPr="004E3D18">
              <w:t>2018</w:t>
            </w:r>
          </w:p>
        </w:tc>
        <w:tc>
          <w:tcPr>
            <w:tcW w:w="629" w:type="dxa"/>
            <w:vAlign w:val="bottom"/>
          </w:tcPr>
          <w:p w14:paraId="6CBBCCB6" w14:textId="77777777" w:rsidR="00FA7EBF" w:rsidRPr="001D2FFF" w:rsidRDefault="00FA7EBF" w:rsidP="007B207C">
            <w:pPr>
              <w:pStyle w:val="ARfintablecolheadright"/>
              <w:ind w:right="0"/>
              <w:rPr>
                <w:sz w:val="15"/>
                <w:szCs w:val="15"/>
              </w:rPr>
            </w:pPr>
            <w:r w:rsidRPr="001D2FFF">
              <w:rPr>
                <w:sz w:val="15"/>
                <w:szCs w:val="15"/>
              </w:rPr>
              <w:t>1</w:t>
            </w:r>
          </w:p>
          <w:p w14:paraId="7BA948B1" w14:textId="77777777" w:rsidR="00FA7EBF" w:rsidRPr="001D2FFF" w:rsidRDefault="00FA7EBF" w:rsidP="007B207C">
            <w:pPr>
              <w:pStyle w:val="ARfintablecolheadright"/>
              <w:ind w:right="0"/>
              <w:rPr>
                <w:sz w:val="15"/>
                <w:szCs w:val="15"/>
              </w:rPr>
            </w:pPr>
            <w:r w:rsidRPr="001D2FFF">
              <w:rPr>
                <w:sz w:val="15"/>
                <w:szCs w:val="15"/>
              </w:rPr>
              <w:t>$M</w:t>
            </w:r>
          </w:p>
        </w:tc>
        <w:tc>
          <w:tcPr>
            <w:tcW w:w="629" w:type="dxa"/>
            <w:vAlign w:val="bottom"/>
          </w:tcPr>
          <w:p w14:paraId="2856A1C4" w14:textId="77777777" w:rsidR="00FA7EBF" w:rsidRPr="001D2FFF" w:rsidRDefault="00FA7EBF" w:rsidP="007B207C">
            <w:pPr>
              <w:pStyle w:val="ARfintablecolheadright"/>
              <w:ind w:right="0"/>
              <w:rPr>
                <w:sz w:val="15"/>
                <w:szCs w:val="15"/>
              </w:rPr>
            </w:pPr>
            <w:r w:rsidRPr="001D2FFF">
              <w:rPr>
                <w:sz w:val="15"/>
                <w:szCs w:val="15"/>
              </w:rPr>
              <w:t>2</w:t>
            </w:r>
          </w:p>
          <w:p w14:paraId="1E88B299" w14:textId="77777777" w:rsidR="00FA7EBF" w:rsidRPr="001D2FFF" w:rsidRDefault="00FA7EBF" w:rsidP="007B207C">
            <w:pPr>
              <w:pStyle w:val="ARfintablecolheadright"/>
              <w:ind w:right="0"/>
              <w:rPr>
                <w:sz w:val="15"/>
                <w:szCs w:val="15"/>
              </w:rPr>
            </w:pPr>
            <w:r w:rsidRPr="001D2FFF">
              <w:rPr>
                <w:sz w:val="15"/>
                <w:szCs w:val="15"/>
              </w:rPr>
              <w:t>$M</w:t>
            </w:r>
          </w:p>
        </w:tc>
        <w:tc>
          <w:tcPr>
            <w:tcW w:w="629" w:type="dxa"/>
            <w:vAlign w:val="bottom"/>
          </w:tcPr>
          <w:p w14:paraId="7D385B9D" w14:textId="77777777" w:rsidR="00FA7EBF" w:rsidRPr="001D2FFF" w:rsidRDefault="00FA7EBF" w:rsidP="007B207C">
            <w:pPr>
              <w:pStyle w:val="ARfintablecolheadright"/>
              <w:ind w:right="0"/>
              <w:rPr>
                <w:sz w:val="15"/>
                <w:szCs w:val="15"/>
              </w:rPr>
            </w:pPr>
            <w:r w:rsidRPr="001D2FFF">
              <w:rPr>
                <w:sz w:val="15"/>
                <w:szCs w:val="15"/>
              </w:rPr>
              <w:t>3</w:t>
            </w:r>
          </w:p>
          <w:p w14:paraId="761F9389" w14:textId="77777777" w:rsidR="00FA7EBF" w:rsidRPr="001D2FFF" w:rsidRDefault="00FA7EBF" w:rsidP="007B207C">
            <w:pPr>
              <w:pStyle w:val="ARfintablecolheadright"/>
              <w:ind w:right="0"/>
              <w:rPr>
                <w:sz w:val="15"/>
                <w:szCs w:val="15"/>
              </w:rPr>
            </w:pPr>
            <w:r w:rsidRPr="001D2FFF">
              <w:rPr>
                <w:sz w:val="15"/>
                <w:szCs w:val="15"/>
              </w:rPr>
              <w:t>$M</w:t>
            </w:r>
          </w:p>
        </w:tc>
        <w:tc>
          <w:tcPr>
            <w:tcW w:w="629" w:type="dxa"/>
            <w:vAlign w:val="bottom"/>
          </w:tcPr>
          <w:p w14:paraId="346BF890" w14:textId="77777777" w:rsidR="00FA7EBF" w:rsidRPr="001D2FFF" w:rsidRDefault="00FA7EBF" w:rsidP="007B207C">
            <w:pPr>
              <w:pStyle w:val="ARfintablecolheadright"/>
              <w:ind w:right="0"/>
              <w:rPr>
                <w:sz w:val="15"/>
                <w:szCs w:val="15"/>
              </w:rPr>
            </w:pPr>
            <w:r w:rsidRPr="001D2FFF">
              <w:rPr>
                <w:sz w:val="15"/>
                <w:szCs w:val="15"/>
              </w:rPr>
              <w:t>4</w:t>
            </w:r>
          </w:p>
          <w:p w14:paraId="2D2B87A7"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79FFD540" w14:textId="77777777" w:rsidR="00FA7EBF" w:rsidRPr="001D2FFF" w:rsidRDefault="00FA7EBF" w:rsidP="007B207C">
            <w:pPr>
              <w:pStyle w:val="ARfintablecolheadright"/>
              <w:ind w:right="0"/>
              <w:rPr>
                <w:sz w:val="15"/>
                <w:szCs w:val="15"/>
              </w:rPr>
            </w:pPr>
            <w:r w:rsidRPr="001D2FFF">
              <w:rPr>
                <w:sz w:val="15"/>
                <w:szCs w:val="15"/>
              </w:rPr>
              <w:t>5</w:t>
            </w:r>
          </w:p>
          <w:p w14:paraId="66A4F24E"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60F0967E" w14:textId="77777777" w:rsidR="00FA7EBF" w:rsidRPr="001D2FFF" w:rsidRDefault="00FA7EBF" w:rsidP="007B207C">
            <w:pPr>
              <w:pStyle w:val="ARfintablecolheadright"/>
              <w:ind w:right="0"/>
              <w:rPr>
                <w:sz w:val="15"/>
                <w:szCs w:val="15"/>
              </w:rPr>
            </w:pPr>
            <w:r w:rsidRPr="001D2FFF">
              <w:rPr>
                <w:sz w:val="15"/>
                <w:szCs w:val="15"/>
              </w:rPr>
              <w:t>6</w:t>
            </w:r>
          </w:p>
          <w:p w14:paraId="08CA38CB"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50F16F21" w14:textId="77777777" w:rsidR="00FA7EBF" w:rsidRPr="001D2FFF" w:rsidRDefault="00FA7EBF" w:rsidP="007B207C">
            <w:pPr>
              <w:pStyle w:val="ARfintablecolheadright"/>
              <w:ind w:right="0"/>
              <w:rPr>
                <w:sz w:val="15"/>
                <w:szCs w:val="15"/>
              </w:rPr>
            </w:pPr>
            <w:r w:rsidRPr="001D2FFF">
              <w:rPr>
                <w:sz w:val="15"/>
                <w:szCs w:val="15"/>
              </w:rPr>
              <w:t>7</w:t>
            </w:r>
          </w:p>
          <w:p w14:paraId="59412558"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33429170" w14:textId="77777777" w:rsidR="00FA7EBF" w:rsidRPr="001D2FFF" w:rsidRDefault="00FA7EBF" w:rsidP="007B207C">
            <w:pPr>
              <w:pStyle w:val="ARfintablecolheadright"/>
              <w:ind w:right="0"/>
              <w:rPr>
                <w:sz w:val="15"/>
                <w:szCs w:val="15"/>
              </w:rPr>
            </w:pPr>
            <w:r w:rsidRPr="001D2FFF">
              <w:rPr>
                <w:sz w:val="15"/>
                <w:szCs w:val="15"/>
              </w:rPr>
              <w:t>8</w:t>
            </w:r>
          </w:p>
          <w:p w14:paraId="1BD241D1"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6C33B761" w14:textId="77777777" w:rsidR="00FA7EBF" w:rsidRPr="001D2FFF" w:rsidRDefault="00FA7EBF" w:rsidP="007B207C">
            <w:pPr>
              <w:pStyle w:val="ARfintablecolheadright"/>
              <w:ind w:right="0"/>
              <w:rPr>
                <w:sz w:val="15"/>
                <w:szCs w:val="15"/>
              </w:rPr>
            </w:pPr>
            <w:r w:rsidRPr="001D2FFF">
              <w:rPr>
                <w:sz w:val="15"/>
                <w:szCs w:val="15"/>
              </w:rPr>
              <w:t>9</w:t>
            </w:r>
          </w:p>
          <w:p w14:paraId="170EF6E2"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3421EC48" w14:textId="77777777" w:rsidR="00FA7EBF" w:rsidRPr="001D2FFF" w:rsidRDefault="00FA7EBF" w:rsidP="007B207C">
            <w:pPr>
              <w:pStyle w:val="ARfintablecolheadright"/>
              <w:ind w:right="0"/>
              <w:rPr>
                <w:sz w:val="15"/>
                <w:szCs w:val="15"/>
              </w:rPr>
            </w:pPr>
            <w:r w:rsidRPr="001D2FFF">
              <w:rPr>
                <w:sz w:val="15"/>
                <w:szCs w:val="15"/>
              </w:rPr>
              <w:t>10</w:t>
            </w:r>
          </w:p>
          <w:p w14:paraId="14725821"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01ABB8E4" w14:textId="77777777" w:rsidR="00FA7EBF" w:rsidRPr="001D2FFF" w:rsidRDefault="00FA7EBF" w:rsidP="007B207C">
            <w:pPr>
              <w:pStyle w:val="ARfintablecolheadright"/>
              <w:ind w:right="0"/>
              <w:rPr>
                <w:sz w:val="15"/>
                <w:szCs w:val="15"/>
              </w:rPr>
            </w:pPr>
            <w:r w:rsidRPr="001D2FFF">
              <w:rPr>
                <w:sz w:val="15"/>
                <w:szCs w:val="15"/>
              </w:rPr>
              <w:t>11</w:t>
            </w:r>
          </w:p>
          <w:p w14:paraId="33E0C092"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50486E4B" w14:textId="77777777" w:rsidR="00FA7EBF" w:rsidRPr="001D2FFF" w:rsidRDefault="00FA7EBF" w:rsidP="007B207C">
            <w:pPr>
              <w:pStyle w:val="ARfintablecolheadright"/>
              <w:ind w:right="0"/>
              <w:rPr>
                <w:sz w:val="15"/>
                <w:szCs w:val="15"/>
              </w:rPr>
            </w:pPr>
            <w:r w:rsidRPr="001D2FFF">
              <w:rPr>
                <w:sz w:val="15"/>
                <w:szCs w:val="15"/>
              </w:rPr>
              <w:t>12</w:t>
            </w:r>
          </w:p>
          <w:p w14:paraId="05BC0825"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19911F34" w14:textId="77777777" w:rsidR="00FA7EBF" w:rsidRPr="001D2FFF" w:rsidRDefault="00FA7EBF" w:rsidP="007B207C">
            <w:pPr>
              <w:pStyle w:val="ARfintablecolheadright"/>
              <w:ind w:right="0"/>
              <w:rPr>
                <w:sz w:val="15"/>
                <w:szCs w:val="15"/>
              </w:rPr>
            </w:pPr>
            <w:r w:rsidRPr="001D2FFF">
              <w:rPr>
                <w:sz w:val="15"/>
                <w:szCs w:val="15"/>
              </w:rPr>
              <w:t>13</w:t>
            </w:r>
          </w:p>
          <w:p w14:paraId="6F66C45C"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5487FFA5" w14:textId="77777777" w:rsidR="00FA7EBF" w:rsidRPr="001D2FFF" w:rsidRDefault="00FA7EBF" w:rsidP="007B207C">
            <w:pPr>
              <w:pStyle w:val="ARfintablecolheadright"/>
              <w:ind w:right="0"/>
              <w:rPr>
                <w:sz w:val="15"/>
                <w:szCs w:val="15"/>
              </w:rPr>
            </w:pPr>
            <w:r w:rsidRPr="001D2FFF">
              <w:rPr>
                <w:sz w:val="15"/>
                <w:szCs w:val="15"/>
              </w:rPr>
              <w:t>14</w:t>
            </w:r>
          </w:p>
          <w:p w14:paraId="00675176"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16ACBA4A" w14:textId="77777777" w:rsidR="00FA7EBF" w:rsidRPr="001D2FFF" w:rsidRDefault="00FA7EBF" w:rsidP="007B207C">
            <w:pPr>
              <w:pStyle w:val="ARfintablecolheadright"/>
              <w:ind w:right="0"/>
              <w:rPr>
                <w:sz w:val="15"/>
                <w:szCs w:val="15"/>
              </w:rPr>
            </w:pPr>
            <w:r w:rsidRPr="001D2FFF">
              <w:rPr>
                <w:sz w:val="15"/>
                <w:szCs w:val="15"/>
              </w:rPr>
              <w:t>15</w:t>
            </w:r>
          </w:p>
          <w:p w14:paraId="7B7378FB"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17F52410" w14:textId="77777777" w:rsidR="00FA7EBF" w:rsidRPr="001D2FFF" w:rsidRDefault="00FA7EBF" w:rsidP="007B207C">
            <w:pPr>
              <w:pStyle w:val="ARfintablecolheadright"/>
              <w:ind w:right="0"/>
              <w:rPr>
                <w:sz w:val="15"/>
                <w:szCs w:val="15"/>
              </w:rPr>
            </w:pPr>
            <w:r w:rsidRPr="001D2FFF">
              <w:rPr>
                <w:sz w:val="15"/>
                <w:szCs w:val="15"/>
              </w:rPr>
              <w:t>16</w:t>
            </w:r>
          </w:p>
          <w:p w14:paraId="32752EA3" w14:textId="77777777" w:rsidR="00FA7EBF" w:rsidRPr="001D2FFF" w:rsidRDefault="00FA7EBF" w:rsidP="007B207C">
            <w:pPr>
              <w:pStyle w:val="ARfintablecolheadright"/>
              <w:ind w:right="0"/>
              <w:rPr>
                <w:sz w:val="15"/>
                <w:szCs w:val="15"/>
              </w:rPr>
            </w:pPr>
            <w:r w:rsidRPr="001D2FFF">
              <w:rPr>
                <w:sz w:val="15"/>
                <w:szCs w:val="15"/>
              </w:rPr>
              <w:t>$M</w:t>
            </w:r>
          </w:p>
        </w:tc>
        <w:tc>
          <w:tcPr>
            <w:tcW w:w="630" w:type="dxa"/>
            <w:vAlign w:val="bottom"/>
          </w:tcPr>
          <w:p w14:paraId="548AFF3A" w14:textId="77777777" w:rsidR="00FA7EBF" w:rsidRPr="001D2FFF" w:rsidRDefault="00FA7EBF" w:rsidP="007B207C">
            <w:pPr>
              <w:pStyle w:val="ARfintablecolheadright"/>
              <w:ind w:right="0"/>
              <w:rPr>
                <w:sz w:val="15"/>
                <w:szCs w:val="15"/>
              </w:rPr>
            </w:pPr>
            <w:r w:rsidRPr="001D2FFF">
              <w:rPr>
                <w:sz w:val="15"/>
                <w:szCs w:val="15"/>
              </w:rPr>
              <w:t>Elimin-ation</w:t>
            </w:r>
          </w:p>
          <w:p w14:paraId="736E3001" w14:textId="77777777" w:rsidR="00FA7EBF" w:rsidRPr="001D2FFF" w:rsidRDefault="00FA7EBF" w:rsidP="007B207C">
            <w:pPr>
              <w:pStyle w:val="ARfintablecolheadright"/>
              <w:ind w:right="0"/>
              <w:rPr>
                <w:sz w:val="15"/>
                <w:szCs w:val="15"/>
              </w:rPr>
            </w:pPr>
            <w:r w:rsidRPr="001D2FFF">
              <w:rPr>
                <w:sz w:val="15"/>
                <w:szCs w:val="15"/>
              </w:rPr>
              <w:t>$M</w:t>
            </w:r>
          </w:p>
        </w:tc>
        <w:tc>
          <w:tcPr>
            <w:tcW w:w="778" w:type="dxa"/>
            <w:vAlign w:val="bottom"/>
          </w:tcPr>
          <w:p w14:paraId="653491B1" w14:textId="77777777" w:rsidR="00FA7EBF" w:rsidRPr="001D2FFF" w:rsidRDefault="00FA7EBF" w:rsidP="007B207C">
            <w:pPr>
              <w:pStyle w:val="ARfintablecolheadright"/>
              <w:ind w:right="0"/>
              <w:rPr>
                <w:sz w:val="15"/>
                <w:szCs w:val="15"/>
              </w:rPr>
            </w:pPr>
            <w:r w:rsidRPr="001D2FFF">
              <w:rPr>
                <w:sz w:val="15"/>
                <w:szCs w:val="15"/>
              </w:rPr>
              <w:t>Total</w:t>
            </w:r>
          </w:p>
          <w:p w14:paraId="2CC632E8" w14:textId="77777777" w:rsidR="00FA7EBF" w:rsidRPr="001D2FFF" w:rsidRDefault="00FA7EBF" w:rsidP="007B207C">
            <w:pPr>
              <w:pStyle w:val="ARfintablecolheadright"/>
              <w:ind w:right="0"/>
              <w:rPr>
                <w:sz w:val="15"/>
                <w:szCs w:val="15"/>
              </w:rPr>
            </w:pPr>
            <w:r w:rsidRPr="001D2FFF">
              <w:rPr>
                <w:sz w:val="15"/>
                <w:szCs w:val="15"/>
              </w:rPr>
              <w:t>$M</w:t>
            </w:r>
          </w:p>
        </w:tc>
      </w:tr>
      <w:tr w:rsidR="00FA7EBF" w:rsidRPr="007939DD" w14:paraId="7339837F" w14:textId="77777777" w:rsidTr="007B207C">
        <w:trPr>
          <w:cantSplit/>
        </w:trPr>
        <w:tc>
          <w:tcPr>
            <w:tcW w:w="14459" w:type="dxa"/>
            <w:gridSpan w:val="19"/>
            <w:tcBorders>
              <w:bottom w:val="single" w:sz="4" w:space="0" w:color="A6A6A6" w:themeColor="background1" w:themeShade="A6"/>
            </w:tcBorders>
          </w:tcPr>
          <w:p w14:paraId="5184EB08" w14:textId="77777777" w:rsidR="00FA7EBF" w:rsidRPr="001D2FFF" w:rsidRDefault="00FA7EBF" w:rsidP="007B207C">
            <w:pPr>
              <w:pStyle w:val="ARfintablebodybold"/>
              <w:rPr>
                <w:sz w:val="15"/>
                <w:szCs w:val="15"/>
                <w:lang w:eastAsia="en-AU"/>
              </w:rPr>
            </w:pPr>
            <w:r w:rsidRPr="004E3D18">
              <w:t>Income from transactions</w:t>
            </w:r>
          </w:p>
        </w:tc>
      </w:tr>
      <w:tr w:rsidR="00FA7EBF" w:rsidRPr="007939DD" w14:paraId="4ADF5D36"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00768711" w14:textId="77777777" w:rsidR="00FA7EBF" w:rsidRPr="007939DD" w:rsidRDefault="00FA7EBF" w:rsidP="007B207C">
            <w:pPr>
              <w:pStyle w:val="ARfintablebody"/>
              <w:rPr>
                <w:sz w:val="13"/>
                <w:szCs w:val="13"/>
                <w:lang w:eastAsia="en-AU"/>
              </w:rPr>
            </w:pPr>
            <w:r w:rsidRPr="002E5E0F">
              <w:t>Output appropriations</w:t>
            </w:r>
          </w:p>
        </w:tc>
        <w:tc>
          <w:tcPr>
            <w:tcW w:w="629" w:type="dxa"/>
            <w:tcBorders>
              <w:top w:val="single" w:sz="4" w:space="0" w:color="A6A6A6" w:themeColor="background1" w:themeShade="A6"/>
              <w:bottom w:val="single" w:sz="4" w:space="0" w:color="A6A6A6" w:themeColor="background1" w:themeShade="A6"/>
            </w:tcBorders>
          </w:tcPr>
          <w:p w14:paraId="5E284841" w14:textId="77777777" w:rsidR="00FA7EBF" w:rsidRPr="001D2FFF" w:rsidRDefault="00FA7EBF" w:rsidP="007B207C">
            <w:pPr>
              <w:pStyle w:val="ARfintablebodyright"/>
              <w:ind w:right="0"/>
              <w:rPr>
                <w:sz w:val="15"/>
                <w:szCs w:val="15"/>
                <w:lang w:eastAsia="en-AU"/>
              </w:rPr>
            </w:pPr>
            <w:r w:rsidRPr="001D2FFF">
              <w:rPr>
                <w:sz w:val="15"/>
                <w:szCs w:val="15"/>
              </w:rPr>
              <w:t>6,822.6</w:t>
            </w:r>
          </w:p>
        </w:tc>
        <w:tc>
          <w:tcPr>
            <w:tcW w:w="629" w:type="dxa"/>
            <w:tcBorders>
              <w:top w:val="single" w:sz="4" w:space="0" w:color="A6A6A6" w:themeColor="background1" w:themeShade="A6"/>
              <w:bottom w:val="single" w:sz="4" w:space="0" w:color="A6A6A6" w:themeColor="background1" w:themeShade="A6"/>
            </w:tcBorders>
          </w:tcPr>
          <w:p w14:paraId="4A68BE7B" w14:textId="77777777" w:rsidR="00FA7EBF" w:rsidRPr="001D2FFF" w:rsidRDefault="00FA7EBF" w:rsidP="007B207C">
            <w:pPr>
              <w:pStyle w:val="ARfintablebodyright"/>
              <w:ind w:right="0"/>
              <w:rPr>
                <w:sz w:val="15"/>
                <w:szCs w:val="15"/>
                <w:lang w:eastAsia="en-AU"/>
              </w:rPr>
            </w:pPr>
            <w:r w:rsidRPr="001D2FFF">
              <w:rPr>
                <w:sz w:val="15"/>
                <w:szCs w:val="15"/>
              </w:rPr>
              <w:t>689.1</w:t>
            </w:r>
          </w:p>
        </w:tc>
        <w:tc>
          <w:tcPr>
            <w:tcW w:w="629" w:type="dxa"/>
            <w:tcBorders>
              <w:top w:val="single" w:sz="4" w:space="0" w:color="A6A6A6" w:themeColor="background1" w:themeShade="A6"/>
              <w:bottom w:val="single" w:sz="4" w:space="0" w:color="A6A6A6" w:themeColor="background1" w:themeShade="A6"/>
            </w:tcBorders>
          </w:tcPr>
          <w:p w14:paraId="2F6043F6" w14:textId="77777777" w:rsidR="00FA7EBF" w:rsidRPr="001D2FFF" w:rsidRDefault="00FA7EBF" w:rsidP="007B207C">
            <w:pPr>
              <w:pStyle w:val="ARfintablebodyright"/>
              <w:ind w:right="0"/>
              <w:rPr>
                <w:sz w:val="15"/>
                <w:szCs w:val="15"/>
                <w:lang w:eastAsia="en-AU"/>
              </w:rPr>
            </w:pPr>
            <w:r w:rsidRPr="001D2FFF">
              <w:rPr>
                <w:sz w:val="15"/>
                <w:szCs w:val="15"/>
              </w:rPr>
              <w:t>833.9</w:t>
            </w:r>
          </w:p>
        </w:tc>
        <w:tc>
          <w:tcPr>
            <w:tcW w:w="629" w:type="dxa"/>
            <w:tcBorders>
              <w:top w:val="single" w:sz="4" w:space="0" w:color="A6A6A6" w:themeColor="background1" w:themeShade="A6"/>
              <w:bottom w:val="single" w:sz="4" w:space="0" w:color="A6A6A6" w:themeColor="background1" w:themeShade="A6"/>
            </w:tcBorders>
          </w:tcPr>
          <w:p w14:paraId="1B1BEE97" w14:textId="77777777" w:rsidR="00FA7EBF" w:rsidRPr="001D2FFF" w:rsidRDefault="00FA7EBF" w:rsidP="007B207C">
            <w:pPr>
              <w:pStyle w:val="ARfintablebodyright"/>
              <w:ind w:right="0"/>
              <w:rPr>
                <w:sz w:val="15"/>
                <w:szCs w:val="15"/>
                <w:lang w:eastAsia="en-AU"/>
              </w:rPr>
            </w:pPr>
            <w:r w:rsidRPr="001D2FFF">
              <w:rPr>
                <w:sz w:val="15"/>
                <w:szCs w:val="15"/>
              </w:rPr>
              <w:t>525.8</w:t>
            </w:r>
          </w:p>
        </w:tc>
        <w:tc>
          <w:tcPr>
            <w:tcW w:w="630" w:type="dxa"/>
            <w:tcBorders>
              <w:top w:val="single" w:sz="4" w:space="0" w:color="A6A6A6" w:themeColor="background1" w:themeShade="A6"/>
              <w:bottom w:val="single" w:sz="4" w:space="0" w:color="A6A6A6" w:themeColor="background1" w:themeShade="A6"/>
            </w:tcBorders>
          </w:tcPr>
          <w:p w14:paraId="199CCF81" w14:textId="77777777" w:rsidR="00FA7EBF" w:rsidRPr="001D2FFF" w:rsidRDefault="00FA7EBF" w:rsidP="007B207C">
            <w:pPr>
              <w:pStyle w:val="ARfintablebodyright"/>
              <w:ind w:right="0"/>
              <w:rPr>
                <w:sz w:val="15"/>
                <w:szCs w:val="15"/>
                <w:lang w:eastAsia="en-AU"/>
              </w:rPr>
            </w:pPr>
            <w:r w:rsidRPr="001D2FFF">
              <w:rPr>
                <w:sz w:val="15"/>
                <w:szCs w:val="15"/>
              </w:rPr>
              <w:t>427.1</w:t>
            </w:r>
          </w:p>
        </w:tc>
        <w:tc>
          <w:tcPr>
            <w:tcW w:w="630" w:type="dxa"/>
            <w:tcBorders>
              <w:top w:val="single" w:sz="4" w:space="0" w:color="A6A6A6" w:themeColor="background1" w:themeShade="A6"/>
              <w:bottom w:val="single" w:sz="4" w:space="0" w:color="A6A6A6" w:themeColor="background1" w:themeShade="A6"/>
            </w:tcBorders>
          </w:tcPr>
          <w:p w14:paraId="2FD147A1" w14:textId="77777777" w:rsidR="00FA7EBF" w:rsidRPr="001D2FFF" w:rsidRDefault="00FA7EBF" w:rsidP="007B207C">
            <w:pPr>
              <w:pStyle w:val="ARfintablebodyright"/>
              <w:ind w:right="0"/>
              <w:rPr>
                <w:sz w:val="15"/>
                <w:szCs w:val="15"/>
                <w:lang w:eastAsia="en-AU"/>
              </w:rPr>
            </w:pPr>
            <w:r w:rsidRPr="001D2FFF">
              <w:rPr>
                <w:sz w:val="15"/>
                <w:szCs w:val="15"/>
              </w:rPr>
              <w:t>328.4</w:t>
            </w:r>
          </w:p>
        </w:tc>
        <w:tc>
          <w:tcPr>
            <w:tcW w:w="630" w:type="dxa"/>
            <w:tcBorders>
              <w:top w:val="single" w:sz="4" w:space="0" w:color="A6A6A6" w:themeColor="background1" w:themeShade="A6"/>
              <w:bottom w:val="single" w:sz="4" w:space="0" w:color="A6A6A6" w:themeColor="background1" w:themeShade="A6"/>
            </w:tcBorders>
          </w:tcPr>
          <w:p w14:paraId="0AB5B512" w14:textId="77777777" w:rsidR="00FA7EBF" w:rsidRPr="001D2FFF" w:rsidRDefault="00FA7EBF" w:rsidP="007B207C">
            <w:pPr>
              <w:pStyle w:val="ARfintablebodyright"/>
              <w:ind w:right="0"/>
              <w:rPr>
                <w:sz w:val="15"/>
                <w:szCs w:val="15"/>
                <w:lang w:eastAsia="en-AU"/>
              </w:rPr>
            </w:pPr>
            <w:r w:rsidRPr="001D2FFF">
              <w:rPr>
                <w:sz w:val="15"/>
                <w:szCs w:val="15"/>
              </w:rPr>
              <w:t>267.0</w:t>
            </w:r>
          </w:p>
        </w:tc>
        <w:tc>
          <w:tcPr>
            <w:tcW w:w="630" w:type="dxa"/>
            <w:tcBorders>
              <w:top w:val="single" w:sz="4" w:space="0" w:color="A6A6A6" w:themeColor="background1" w:themeShade="A6"/>
              <w:bottom w:val="single" w:sz="4" w:space="0" w:color="A6A6A6" w:themeColor="background1" w:themeShade="A6"/>
            </w:tcBorders>
          </w:tcPr>
          <w:p w14:paraId="77F03540" w14:textId="77777777" w:rsidR="00FA7EBF" w:rsidRPr="001D2FFF" w:rsidRDefault="00FA7EBF" w:rsidP="007B207C">
            <w:pPr>
              <w:pStyle w:val="ARfintablebodyright"/>
              <w:ind w:right="0"/>
              <w:rPr>
                <w:sz w:val="15"/>
                <w:szCs w:val="15"/>
                <w:lang w:eastAsia="en-AU"/>
              </w:rPr>
            </w:pPr>
            <w:r w:rsidRPr="001D2FFF">
              <w:rPr>
                <w:sz w:val="15"/>
                <w:szCs w:val="15"/>
              </w:rPr>
              <w:t>128.6</w:t>
            </w:r>
          </w:p>
        </w:tc>
        <w:tc>
          <w:tcPr>
            <w:tcW w:w="630" w:type="dxa"/>
            <w:tcBorders>
              <w:top w:val="single" w:sz="4" w:space="0" w:color="A6A6A6" w:themeColor="background1" w:themeShade="A6"/>
              <w:bottom w:val="single" w:sz="4" w:space="0" w:color="A6A6A6" w:themeColor="background1" w:themeShade="A6"/>
            </w:tcBorders>
          </w:tcPr>
          <w:p w14:paraId="5537BD8D" w14:textId="77777777" w:rsidR="00FA7EBF" w:rsidRPr="001D2FFF" w:rsidRDefault="00FA7EBF" w:rsidP="007B207C">
            <w:pPr>
              <w:pStyle w:val="ARfintablebodyright"/>
              <w:ind w:right="0"/>
              <w:rPr>
                <w:sz w:val="15"/>
                <w:szCs w:val="15"/>
                <w:lang w:eastAsia="en-AU"/>
              </w:rPr>
            </w:pPr>
            <w:r w:rsidRPr="001D2FFF">
              <w:rPr>
                <w:sz w:val="15"/>
                <w:szCs w:val="15"/>
              </w:rPr>
              <w:t>2,041.0</w:t>
            </w:r>
          </w:p>
        </w:tc>
        <w:tc>
          <w:tcPr>
            <w:tcW w:w="630" w:type="dxa"/>
            <w:tcBorders>
              <w:top w:val="single" w:sz="4" w:space="0" w:color="A6A6A6" w:themeColor="background1" w:themeShade="A6"/>
              <w:bottom w:val="single" w:sz="4" w:space="0" w:color="A6A6A6" w:themeColor="background1" w:themeShade="A6"/>
            </w:tcBorders>
          </w:tcPr>
          <w:p w14:paraId="566FBA3D" w14:textId="77777777" w:rsidR="00FA7EBF" w:rsidRPr="001D2FFF" w:rsidRDefault="00FA7EBF" w:rsidP="007B207C">
            <w:pPr>
              <w:pStyle w:val="ARfintablebodyright"/>
              <w:ind w:right="0"/>
              <w:rPr>
                <w:sz w:val="15"/>
                <w:szCs w:val="15"/>
                <w:lang w:eastAsia="en-AU"/>
              </w:rPr>
            </w:pPr>
            <w:r w:rsidRPr="001D2FFF">
              <w:rPr>
                <w:sz w:val="15"/>
                <w:szCs w:val="15"/>
              </w:rPr>
              <w:t>1,373.7</w:t>
            </w:r>
          </w:p>
        </w:tc>
        <w:tc>
          <w:tcPr>
            <w:tcW w:w="630" w:type="dxa"/>
            <w:tcBorders>
              <w:top w:val="single" w:sz="4" w:space="0" w:color="A6A6A6" w:themeColor="background1" w:themeShade="A6"/>
              <w:bottom w:val="single" w:sz="4" w:space="0" w:color="A6A6A6" w:themeColor="background1" w:themeShade="A6"/>
            </w:tcBorders>
          </w:tcPr>
          <w:p w14:paraId="1748A535" w14:textId="77777777" w:rsidR="00FA7EBF" w:rsidRPr="001D2FFF" w:rsidRDefault="00FA7EBF" w:rsidP="007B207C">
            <w:pPr>
              <w:pStyle w:val="ARfintablebodyright"/>
              <w:ind w:right="0"/>
              <w:rPr>
                <w:sz w:val="15"/>
                <w:szCs w:val="15"/>
                <w:lang w:eastAsia="en-AU"/>
              </w:rPr>
            </w:pPr>
            <w:r w:rsidRPr="001D2FFF">
              <w:rPr>
                <w:sz w:val="15"/>
                <w:szCs w:val="15"/>
              </w:rPr>
              <w:t>717.4</w:t>
            </w:r>
          </w:p>
        </w:tc>
        <w:tc>
          <w:tcPr>
            <w:tcW w:w="630" w:type="dxa"/>
            <w:tcBorders>
              <w:top w:val="single" w:sz="4" w:space="0" w:color="A6A6A6" w:themeColor="background1" w:themeShade="A6"/>
              <w:bottom w:val="single" w:sz="4" w:space="0" w:color="A6A6A6" w:themeColor="background1" w:themeShade="A6"/>
            </w:tcBorders>
          </w:tcPr>
          <w:p w14:paraId="58F69D12" w14:textId="77777777" w:rsidR="00FA7EBF" w:rsidRPr="001D2FFF" w:rsidRDefault="00FA7EBF" w:rsidP="007B207C">
            <w:pPr>
              <w:pStyle w:val="ARfintablebodyright"/>
              <w:ind w:right="0"/>
              <w:rPr>
                <w:sz w:val="15"/>
                <w:szCs w:val="15"/>
                <w:lang w:eastAsia="en-AU"/>
              </w:rPr>
            </w:pPr>
            <w:r w:rsidRPr="001D2FFF">
              <w:rPr>
                <w:sz w:val="15"/>
                <w:szCs w:val="15"/>
              </w:rPr>
              <w:t>182.0</w:t>
            </w:r>
          </w:p>
        </w:tc>
        <w:tc>
          <w:tcPr>
            <w:tcW w:w="630" w:type="dxa"/>
            <w:tcBorders>
              <w:top w:val="single" w:sz="4" w:space="0" w:color="A6A6A6" w:themeColor="background1" w:themeShade="A6"/>
              <w:bottom w:val="single" w:sz="4" w:space="0" w:color="A6A6A6" w:themeColor="background1" w:themeShade="A6"/>
            </w:tcBorders>
          </w:tcPr>
          <w:p w14:paraId="07F4ABEF" w14:textId="77777777" w:rsidR="00FA7EBF" w:rsidRPr="001D2FFF" w:rsidRDefault="00FA7EBF" w:rsidP="007B207C">
            <w:pPr>
              <w:pStyle w:val="ARfintablebodyright"/>
              <w:ind w:right="0"/>
              <w:rPr>
                <w:sz w:val="15"/>
                <w:szCs w:val="15"/>
                <w:lang w:eastAsia="en-AU"/>
              </w:rPr>
            </w:pPr>
            <w:r w:rsidRPr="001D2FFF">
              <w:rPr>
                <w:sz w:val="15"/>
                <w:szCs w:val="15"/>
              </w:rPr>
              <w:t>25.8</w:t>
            </w:r>
          </w:p>
        </w:tc>
        <w:tc>
          <w:tcPr>
            <w:tcW w:w="630" w:type="dxa"/>
            <w:tcBorders>
              <w:top w:val="single" w:sz="4" w:space="0" w:color="A6A6A6" w:themeColor="background1" w:themeShade="A6"/>
              <w:bottom w:val="single" w:sz="4" w:space="0" w:color="A6A6A6" w:themeColor="background1" w:themeShade="A6"/>
            </w:tcBorders>
          </w:tcPr>
          <w:p w14:paraId="5074B4FB" w14:textId="77777777" w:rsidR="00FA7EBF" w:rsidRPr="001D2FFF" w:rsidRDefault="00FA7EBF" w:rsidP="007B207C">
            <w:pPr>
              <w:pStyle w:val="ARfintablebodyright"/>
              <w:ind w:right="0"/>
              <w:rPr>
                <w:sz w:val="15"/>
                <w:szCs w:val="15"/>
                <w:lang w:eastAsia="en-AU"/>
              </w:rPr>
            </w:pPr>
            <w:r w:rsidRPr="001D2FFF">
              <w:rPr>
                <w:sz w:val="15"/>
                <w:szCs w:val="15"/>
              </w:rPr>
              <w:t>70.5</w:t>
            </w:r>
          </w:p>
        </w:tc>
        <w:tc>
          <w:tcPr>
            <w:tcW w:w="630" w:type="dxa"/>
            <w:tcBorders>
              <w:top w:val="single" w:sz="4" w:space="0" w:color="A6A6A6" w:themeColor="background1" w:themeShade="A6"/>
              <w:bottom w:val="single" w:sz="4" w:space="0" w:color="A6A6A6" w:themeColor="background1" w:themeShade="A6"/>
            </w:tcBorders>
          </w:tcPr>
          <w:p w14:paraId="284FF420" w14:textId="77777777" w:rsidR="00FA7EBF" w:rsidRPr="001D2FFF" w:rsidRDefault="00FA7EBF" w:rsidP="007B207C">
            <w:pPr>
              <w:pStyle w:val="ARfintablebodyright"/>
              <w:ind w:right="0"/>
              <w:rPr>
                <w:sz w:val="15"/>
                <w:szCs w:val="15"/>
                <w:lang w:eastAsia="en-AU"/>
              </w:rPr>
            </w:pPr>
            <w:r w:rsidRPr="001D2FFF">
              <w:rPr>
                <w:sz w:val="15"/>
                <w:szCs w:val="15"/>
              </w:rPr>
              <w:t>580.5</w:t>
            </w:r>
          </w:p>
        </w:tc>
        <w:tc>
          <w:tcPr>
            <w:tcW w:w="630" w:type="dxa"/>
            <w:tcBorders>
              <w:top w:val="single" w:sz="4" w:space="0" w:color="A6A6A6" w:themeColor="background1" w:themeShade="A6"/>
              <w:bottom w:val="single" w:sz="4" w:space="0" w:color="A6A6A6" w:themeColor="background1" w:themeShade="A6"/>
            </w:tcBorders>
          </w:tcPr>
          <w:p w14:paraId="1E553B88"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6D983F5"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21A826A5" w14:textId="77777777" w:rsidR="00FA7EBF" w:rsidRPr="001D2FFF" w:rsidRDefault="00FA7EBF" w:rsidP="007B207C">
            <w:pPr>
              <w:pStyle w:val="ARfintablebodyright"/>
              <w:ind w:right="0"/>
              <w:rPr>
                <w:sz w:val="15"/>
                <w:szCs w:val="15"/>
                <w:lang w:eastAsia="en-AU"/>
              </w:rPr>
            </w:pPr>
            <w:r w:rsidRPr="001D2FFF">
              <w:rPr>
                <w:sz w:val="15"/>
                <w:szCs w:val="15"/>
              </w:rPr>
              <w:t>15,013.3</w:t>
            </w:r>
          </w:p>
        </w:tc>
      </w:tr>
      <w:tr w:rsidR="00FA7EBF" w:rsidRPr="007939DD" w14:paraId="754CA696"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7607AF37" w14:textId="77777777" w:rsidR="00FA7EBF" w:rsidRPr="007939DD" w:rsidRDefault="00FA7EBF" w:rsidP="007B207C">
            <w:pPr>
              <w:pStyle w:val="ARfintablebody"/>
              <w:rPr>
                <w:sz w:val="13"/>
                <w:szCs w:val="13"/>
                <w:lang w:eastAsia="en-AU"/>
              </w:rPr>
            </w:pPr>
            <w:r w:rsidRPr="002E5E0F">
              <w:t>Special appropriations</w:t>
            </w:r>
          </w:p>
        </w:tc>
        <w:tc>
          <w:tcPr>
            <w:tcW w:w="629" w:type="dxa"/>
            <w:tcBorders>
              <w:top w:val="single" w:sz="4" w:space="0" w:color="A6A6A6" w:themeColor="background1" w:themeShade="A6"/>
              <w:bottom w:val="single" w:sz="4" w:space="0" w:color="A6A6A6" w:themeColor="background1" w:themeShade="A6"/>
            </w:tcBorders>
          </w:tcPr>
          <w:p w14:paraId="1FD9BF94" w14:textId="77777777" w:rsidR="00FA7EBF" w:rsidRPr="001D2FFF" w:rsidRDefault="00FA7EBF" w:rsidP="007B207C">
            <w:pPr>
              <w:pStyle w:val="ARfintablebodyright"/>
              <w:ind w:right="0"/>
              <w:rPr>
                <w:sz w:val="15"/>
                <w:szCs w:val="15"/>
                <w:lang w:eastAsia="en-AU"/>
              </w:rPr>
            </w:pPr>
            <w:r w:rsidRPr="001D2FFF">
              <w:rPr>
                <w:sz w:val="15"/>
                <w:szCs w:val="15"/>
              </w:rPr>
              <w:t>1,078.5</w:t>
            </w:r>
          </w:p>
        </w:tc>
        <w:tc>
          <w:tcPr>
            <w:tcW w:w="629" w:type="dxa"/>
            <w:tcBorders>
              <w:top w:val="single" w:sz="4" w:space="0" w:color="A6A6A6" w:themeColor="background1" w:themeShade="A6"/>
              <w:bottom w:val="single" w:sz="4" w:space="0" w:color="A6A6A6" w:themeColor="background1" w:themeShade="A6"/>
            </w:tcBorders>
          </w:tcPr>
          <w:p w14:paraId="7F974822" w14:textId="77777777" w:rsidR="00FA7EBF" w:rsidRPr="001D2FFF" w:rsidRDefault="00FA7EBF" w:rsidP="007B207C">
            <w:pPr>
              <w:pStyle w:val="ARfintablebodyright"/>
              <w:ind w:right="0"/>
              <w:rPr>
                <w:sz w:val="15"/>
                <w:szCs w:val="15"/>
                <w:lang w:eastAsia="en-AU"/>
              </w:rPr>
            </w:pPr>
            <w:r w:rsidRPr="001D2FFF">
              <w:rPr>
                <w:sz w:val="15"/>
                <w:szCs w:val="15"/>
              </w:rPr>
              <w:t>61.9</w:t>
            </w:r>
          </w:p>
        </w:tc>
        <w:tc>
          <w:tcPr>
            <w:tcW w:w="629" w:type="dxa"/>
            <w:tcBorders>
              <w:top w:val="single" w:sz="4" w:space="0" w:color="A6A6A6" w:themeColor="background1" w:themeShade="A6"/>
              <w:bottom w:val="single" w:sz="4" w:space="0" w:color="A6A6A6" w:themeColor="background1" w:themeShade="A6"/>
            </w:tcBorders>
          </w:tcPr>
          <w:p w14:paraId="69B74978" w14:textId="77777777" w:rsidR="00FA7EBF" w:rsidRPr="001D2FFF" w:rsidRDefault="00FA7EBF" w:rsidP="007B207C">
            <w:pPr>
              <w:pStyle w:val="ARfintablebodyright"/>
              <w:ind w:right="0"/>
              <w:rPr>
                <w:sz w:val="15"/>
                <w:szCs w:val="15"/>
                <w:lang w:eastAsia="en-AU"/>
              </w:rPr>
            </w:pPr>
            <w:r w:rsidRPr="001D2FFF">
              <w:rPr>
                <w:sz w:val="15"/>
                <w:szCs w:val="15"/>
              </w:rPr>
              <w:t>44.8</w:t>
            </w:r>
          </w:p>
        </w:tc>
        <w:tc>
          <w:tcPr>
            <w:tcW w:w="629" w:type="dxa"/>
            <w:tcBorders>
              <w:top w:val="single" w:sz="4" w:space="0" w:color="A6A6A6" w:themeColor="background1" w:themeShade="A6"/>
              <w:bottom w:val="single" w:sz="4" w:space="0" w:color="A6A6A6" w:themeColor="background1" w:themeShade="A6"/>
            </w:tcBorders>
          </w:tcPr>
          <w:p w14:paraId="378A6A05" w14:textId="77777777" w:rsidR="00FA7EBF" w:rsidRPr="001D2FFF" w:rsidRDefault="00FA7EBF" w:rsidP="007B207C">
            <w:pPr>
              <w:pStyle w:val="ARfintablebodyright"/>
              <w:ind w:right="0"/>
              <w:rPr>
                <w:sz w:val="15"/>
                <w:szCs w:val="15"/>
                <w:lang w:eastAsia="en-AU"/>
              </w:rPr>
            </w:pPr>
            <w:r w:rsidRPr="001D2FFF">
              <w:rPr>
                <w:sz w:val="15"/>
                <w:szCs w:val="15"/>
              </w:rPr>
              <w:t>26.3</w:t>
            </w:r>
          </w:p>
        </w:tc>
        <w:tc>
          <w:tcPr>
            <w:tcW w:w="630" w:type="dxa"/>
            <w:tcBorders>
              <w:top w:val="single" w:sz="4" w:space="0" w:color="A6A6A6" w:themeColor="background1" w:themeShade="A6"/>
              <w:bottom w:val="single" w:sz="4" w:space="0" w:color="A6A6A6" w:themeColor="background1" w:themeShade="A6"/>
            </w:tcBorders>
          </w:tcPr>
          <w:p w14:paraId="54120B18" w14:textId="77777777" w:rsidR="00FA7EBF" w:rsidRPr="001D2FFF" w:rsidRDefault="00FA7EBF" w:rsidP="007B207C">
            <w:pPr>
              <w:pStyle w:val="ARfintablebodyright"/>
              <w:ind w:right="0"/>
              <w:rPr>
                <w:sz w:val="15"/>
                <w:szCs w:val="15"/>
                <w:lang w:eastAsia="en-AU"/>
              </w:rPr>
            </w:pPr>
            <w:r w:rsidRPr="001D2FFF">
              <w:rPr>
                <w:sz w:val="15"/>
                <w:szCs w:val="15"/>
              </w:rPr>
              <w:t>51.5</w:t>
            </w:r>
          </w:p>
        </w:tc>
        <w:tc>
          <w:tcPr>
            <w:tcW w:w="630" w:type="dxa"/>
            <w:tcBorders>
              <w:top w:val="single" w:sz="4" w:space="0" w:color="A6A6A6" w:themeColor="background1" w:themeShade="A6"/>
              <w:bottom w:val="single" w:sz="4" w:space="0" w:color="A6A6A6" w:themeColor="background1" w:themeShade="A6"/>
            </w:tcBorders>
          </w:tcPr>
          <w:p w14:paraId="53408A49" w14:textId="77777777" w:rsidR="00FA7EBF" w:rsidRPr="001D2FFF" w:rsidRDefault="00FA7EBF" w:rsidP="007B207C">
            <w:pPr>
              <w:pStyle w:val="ARfintablebodyright"/>
              <w:ind w:right="0"/>
              <w:rPr>
                <w:sz w:val="15"/>
                <w:szCs w:val="15"/>
                <w:lang w:eastAsia="en-AU"/>
              </w:rPr>
            </w:pPr>
            <w:r w:rsidRPr="001D2FFF">
              <w:rPr>
                <w:sz w:val="15"/>
                <w:szCs w:val="15"/>
              </w:rPr>
              <w:t>9.4</w:t>
            </w:r>
          </w:p>
        </w:tc>
        <w:tc>
          <w:tcPr>
            <w:tcW w:w="630" w:type="dxa"/>
            <w:tcBorders>
              <w:top w:val="single" w:sz="4" w:space="0" w:color="A6A6A6" w:themeColor="background1" w:themeShade="A6"/>
              <w:bottom w:val="single" w:sz="4" w:space="0" w:color="A6A6A6" w:themeColor="background1" w:themeShade="A6"/>
            </w:tcBorders>
          </w:tcPr>
          <w:p w14:paraId="6E05E1F1" w14:textId="77777777" w:rsidR="00FA7EBF" w:rsidRPr="001D2FFF" w:rsidRDefault="00FA7EBF" w:rsidP="007B207C">
            <w:pPr>
              <w:pStyle w:val="ARfintablebodyright"/>
              <w:ind w:right="0"/>
              <w:rPr>
                <w:sz w:val="15"/>
                <w:szCs w:val="15"/>
                <w:lang w:eastAsia="en-AU"/>
              </w:rPr>
            </w:pPr>
            <w:r w:rsidRPr="001D2FFF">
              <w:rPr>
                <w:sz w:val="15"/>
                <w:szCs w:val="15"/>
              </w:rPr>
              <w:t>14.8</w:t>
            </w:r>
          </w:p>
        </w:tc>
        <w:tc>
          <w:tcPr>
            <w:tcW w:w="630" w:type="dxa"/>
            <w:tcBorders>
              <w:top w:val="single" w:sz="4" w:space="0" w:color="A6A6A6" w:themeColor="background1" w:themeShade="A6"/>
              <w:bottom w:val="single" w:sz="4" w:space="0" w:color="A6A6A6" w:themeColor="background1" w:themeShade="A6"/>
            </w:tcBorders>
          </w:tcPr>
          <w:p w14:paraId="72B9C911" w14:textId="77777777" w:rsidR="00FA7EBF" w:rsidRPr="001D2FFF" w:rsidRDefault="00FA7EBF" w:rsidP="007B207C">
            <w:pPr>
              <w:pStyle w:val="ARfintablebodyright"/>
              <w:ind w:right="0"/>
              <w:rPr>
                <w:sz w:val="15"/>
                <w:szCs w:val="15"/>
                <w:lang w:eastAsia="en-AU"/>
              </w:rPr>
            </w:pPr>
            <w:r w:rsidRPr="001D2FFF">
              <w:rPr>
                <w:sz w:val="15"/>
                <w:szCs w:val="15"/>
              </w:rPr>
              <w:t>8.2</w:t>
            </w:r>
          </w:p>
        </w:tc>
        <w:tc>
          <w:tcPr>
            <w:tcW w:w="630" w:type="dxa"/>
            <w:tcBorders>
              <w:top w:val="single" w:sz="4" w:space="0" w:color="A6A6A6" w:themeColor="background1" w:themeShade="A6"/>
              <w:bottom w:val="single" w:sz="4" w:space="0" w:color="A6A6A6" w:themeColor="background1" w:themeShade="A6"/>
            </w:tcBorders>
          </w:tcPr>
          <w:p w14:paraId="5C638E61" w14:textId="77777777" w:rsidR="00FA7EBF" w:rsidRPr="001D2FFF" w:rsidRDefault="00FA7EBF" w:rsidP="007B207C">
            <w:pPr>
              <w:pStyle w:val="ARfintablebodyright"/>
              <w:ind w:right="0"/>
              <w:rPr>
                <w:sz w:val="15"/>
                <w:szCs w:val="15"/>
                <w:lang w:eastAsia="en-AU"/>
              </w:rPr>
            </w:pPr>
            <w:r w:rsidRPr="001D2FFF">
              <w:rPr>
                <w:sz w:val="15"/>
                <w:szCs w:val="15"/>
              </w:rPr>
              <w:t>63.9</w:t>
            </w:r>
          </w:p>
        </w:tc>
        <w:tc>
          <w:tcPr>
            <w:tcW w:w="630" w:type="dxa"/>
            <w:tcBorders>
              <w:top w:val="single" w:sz="4" w:space="0" w:color="A6A6A6" w:themeColor="background1" w:themeShade="A6"/>
              <w:bottom w:val="single" w:sz="4" w:space="0" w:color="A6A6A6" w:themeColor="background1" w:themeShade="A6"/>
            </w:tcBorders>
          </w:tcPr>
          <w:p w14:paraId="725A0D28"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3B7A348"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6FFBC6D" w14:textId="77777777" w:rsidR="00FA7EBF" w:rsidRPr="001D2FFF" w:rsidRDefault="00FA7EBF" w:rsidP="007B207C">
            <w:pPr>
              <w:pStyle w:val="ARfintablebodyright"/>
              <w:ind w:right="0"/>
              <w:rPr>
                <w:sz w:val="15"/>
                <w:szCs w:val="15"/>
                <w:lang w:eastAsia="en-AU"/>
              </w:rPr>
            </w:pPr>
            <w:r w:rsidRPr="001D2FFF">
              <w:rPr>
                <w:sz w:val="15"/>
                <w:szCs w:val="15"/>
              </w:rPr>
              <w:t>0.5</w:t>
            </w:r>
          </w:p>
        </w:tc>
        <w:tc>
          <w:tcPr>
            <w:tcW w:w="630" w:type="dxa"/>
            <w:tcBorders>
              <w:top w:val="single" w:sz="4" w:space="0" w:color="A6A6A6" w:themeColor="background1" w:themeShade="A6"/>
              <w:bottom w:val="single" w:sz="4" w:space="0" w:color="A6A6A6" w:themeColor="background1" w:themeShade="A6"/>
            </w:tcBorders>
          </w:tcPr>
          <w:p w14:paraId="0BEC6F14"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86DFEB4"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ED0E7D9"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F5B7355"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2645553"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3E2A3C00" w14:textId="77777777" w:rsidR="00FA7EBF" w:rsidRPr="001D2FFF" w:rsidRDefault="00FA7EBF" w:rsidP="007B207C">
            <w:pPr>
              <w:pStyle w:val="ARfintablebodyright"/>
              <w:ind w:right="0"/>
              <w:rPr>
                <w:sz w:val="15"/>
                <w:szCs w:val="15"/>
                <w:lang w:eastAsia="en-AU"/>
              </w:rPr>
            </w:pPr>
            <w:r w:rsidRPr="001D2FFF">
              <w:rPr>
                <w:sz w:val="15"/>
                <w:szCs w:val="15"/>
              </w:rPr>
              <w:t>1,359.8</w:t>
            </w:r>
          </w:p>
        </w:tc>
      </w:tr>
      <w:tr w:rsidR="00FA7EBF" w:rsidRPr="007939DD" w14:paraId="4C682E41"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189FB97D" w14:textId="77777777" w:rsidR="00FA7EBF" w:rsidRPr="007939DD" w:rsidRDefault="00FA7EBF" w:rsidP="007B207C">
            <w:pPr>
              <w:pStyle w:val="ARfintablebody"/>
              <w:rPr>
                <w:sz w:val="13"/>
                <w:szCs w:val="13"/>
                <w:lang w:eastAsia="en-AU"/>
              </w:rPr>
            </w:pPr>
            <w:r w:rsidRPr="002E5E0F">
              <w:t>Interest income</w:t>
            </w:r>
          </w:p>
        </w:tc>
        <w:tc>
          <w:tcPr>
            <w:tcW w:w="629" w:type="dxa"/>
            <w:tcBorders>
              <w:top w:val="single" w:sz="4" w:space="0" w:color="A6A6A6" w:themeColor="background1" w:themeShade="A6"/>
              <w:bottom w:val="single" w:sz="4" w:space="0" w:color="A6A6A6" w:themeColor="background1" w:themeShade="A6"/>
            </w:tcBorders>
          </w:tcPr>
          <w:p w14:paraId="429BA097"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676C92D3"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4B499DEA"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623BFE1C"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2906BCA"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983E245"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38C729F"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E15F369"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B27DF14"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3A5FD98"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1FEAFD2"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2ABF204"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9705E6A"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6E2F5FA"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C036032" w14:textId="77777777" w:rsidR="00FA7EBF" w:rsidRPr="001D2FFF" w:rsidRDefault="00FA7EBF" w:rsidP="007B207C">
            <w:pPr>
              <w:pStyle w:val="ARfintablebodyright"/>
              <w:ind w:right="0"/>
              <w:rPr>
                <w:sz w:val="15"/>
                <w:szCs w:val="15"/>
                <w:lang w:eastAsia="en-AU"/>
              </w:rPr>
            </w:pPr>
            <w:r w:rsidRPr="001D2FFF">
              <w:rPr>
                <w:sz w:val="15"/>
                <w:szCs w:val="15"/>
              </w:rPr>
              <w:t>10.0</w:t>
            </w:r>
          </w:p>
        </w:tc>
        <w:tc>
          <w:tcPr>
            <w:tcW w:w="630" w:type="dxa"/>
            <w:tcBorders>
              <w:top w:val="single" w:sz="4" w:space="0" w:color="A6A6A6" w:themeColor="background1" w:themeShade="A6"/>
              <w:bottom w:val="single" w:sz="4" w:space="0" w:color="A6A6A6" w:themeColor="background1" w:themeShade="A6"/>
            </w:tcBorders>
          </w:tcPr>
          <w:p w14:paraId="188E38FB"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32CAE5B"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0429A33E" w14:textId="77777777" w:rsidR="00FA7EBF" w:rsidRPr="001D2FFF" w:rsidRDefault="00FA7EBF" w:rsidP="007B207C">
            <w:pPr>
              <w:pStyle w:val="ARfintablebodyright"/>
              <w:ind w:right="0"/>
              <w:rPr>
                <w:sz w:val="15"/>
                <w:szCs w:val="15"/>
                <w:lang w:eastAsia="en-AU"/>
              </w:rPr>
            </w:pPr>
            <w:r w:rsidRPr="001D2FFF">
              <w:rPr>
                <w:sz w:val="15"/>
                <w:szCs w:val="15"/>
              </w:rPr>
              <w:t>10.0</w:t>
            </w:r>
          </w:p>
        </w:tc>
      </w:tr>
      <w:tr w:rsidR="00FA7EBF" w:rsidRPr="007939DD" w14:paraId="34165FE8"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53C35E4F" w14:textId="77777777" w:rsidR="00FA7EBF" w:rsidRPr="007939DD" w:rsidRDefault="00FA7EBF" w:rsidP="007B207C">
            <w:pPr>
              <w:pStyle w:val="ARfintablebody"/>
              <w:rPr>
                <w:sz w:val="13"/>
                <w:szCs w:val="13"/>
                <w:lang w:eastAsia="en-AU"/>
              </w:rPr>
            </w:pPr>
            <w:r w:rsidRPr="002E5E0F">
              <w:t>Rental income and income from services</w:t>
            </w:r>
          </w:p>
        </w:tc>
        <w:tc>
          <w:tcPr>
            <w:tcW w:w="629" w:type="dxa"/>
            <w:tcBorders>
              <w:top w:val="single" w:sz="4" w:space="0" w:color="A6A6A6" w:themeColor="background1" w:themeShade="A6"/>
              <w:bottom w:val="single" w:sz="4" w:space="0" w:color="A6A6A6" w:themeColor="background1" w:themeShade="A6"/>
            </w:tcBorders>
          </w:tcPr>
          <w:p w14:paraId="0905EFB8"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43CA125A"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3A2EDC7D"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32CD806D"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10C4A759"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354BB53"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4A34F9F"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83252E4"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DA2BD49"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74465CB"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16021981"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9992DF9"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4858791"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1AEA4EA"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3F95351" w14:textId="77777777" w:rsidR="00FA7EBF" w:rsidRPr="001D2FFF" w:rsidRDefault="00FA7EBF" w:rsidP="007B207C">
            <w:pPr>
              <w:pStyle w:val="ARfintablebodyright"/>
              <w:ind w:right="0"/>
              <w:rPr>
                <w:sz w:val="15"/>
                <w:szCs w:val="15"/>
                <w:lang w:eastAsia="en-AU"/>
              </w:rPr>
            </w:pPr>
            <w:r w:rsidRPr="001D2FFF">
              <w:rPr>
                <w:sz w:val="15"/>
                <w:szCs w:val="15"/>
              </w:rPr>
              <w:t>486.3</w:t>
            </w:r>
          </w:p>
        </w:tc>
        <w:tc>
          <w:tcPr>
            <w:tcW w:w="630" w:type="dxa"/>
            <w:tcBorders>
              <w:top w:val="single" w:sz="4" w:space="0" w:color="A6A6A6" w:themeColor="background1" w:themeShade="A6"/>
              <w:bottom w:val="single" w:sz="4" w:space="0" w:color="A6A6A6" w:themeColor="background1" w:themeShade="A6"/>
            </w:tcBorders>
          </w:tcPr>
          <w:p w14:paraId="2EFE07A5" w14:textId="77777777" w:rsidR="00FA7EBF" w:rsidRPr="001D2FFF" w:rsidRDefault="00FA7EBF" w:rsidP="007B207C">
            <w:pPr>
              <w:pStyle w:val="ARfintablebodyright"/>
              <w:ind w:right="0"/>
              <w:rPr>
                <w:sz w:val="15"/>
                <w:szCs w:val="15"/>
                <w:lang w:eastAsia="en-AU"/>
              </w:rPr>
            </w:pPr>
            <w:r w:rsidRPr="001D2FFF">
              <w:rPr>
                <w:sz w:val="15"/>
                <w:szCs w:val="15"/>
              </w:rPr>
              <w:t>0.7</w:t>
            </w:r>
          </w:p>
        </w:tc>
        <w:tc>
          <w:tcPr>
            <w:tcW w:w="630" w:type="dxa"/>
            <w:tcBorders>
              <w:top w:val="single" w:sz="4" w:space="0" w:color="A6A6A6" w:themeColor="background1" w:themeShade="A6"/>
              <w:bottom w:val="single" w:sz="4" w:space="0" w:color="A6A6A6" w:themeColor="background1" w:themeShade="A6"/>
            </w:tcBorders>
          </w:tcPr>
          <w:p w14:paraId="62781EC7"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3541B054" w14:textId="77777777" w:rsidR="00FA7EBF" w:rsidRPr="001D2FFF" w:rsidRDefault="00FA7EBF" w:rsidP="007B207C">
            <w:pPr>
              <w:pStyle w:val="ARfintablebodyright"/>
              <w:ind w:right="0"/>
              <w:rPr>
                <w:sz w:val="15"/>
                <w:szCs w:val="15"/>
                <w:lang w:eastAsia="en-AU"/>
              </w:rPr>
            </w:pPr>
            <w:r w:rsidRPr="001D2FFF">
              <w:rPr>
                <w:sz w:val="15"/>
                <w:szCs w:val="15"/>
              </w:rPr>
              <w:t>487.0</w:t>
            </w:r>
          </w:p>
        </w:tc>
      </w:tr>
      <w:tr w:rsidR="00FA7EBF" w:rsidRPr="007939DD" w14:paraId="08FDCD87"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596A1581" w14:textId="77777777" w:rsidR="00FA7EBF" w:rsidRPr="007939DD" w:rsidRDefault="00FA7EBF" w:rsidP="007B207C">
            <w:pPr>
              <w:pStyle w:val="ARfintablebody"/>
              <w:rPr>
                <w:sz w:val="13"/>
                <w:szCs w:val="13"/>
                <w:lang w:eastAsia="en-AU"/>
              </w:rPr>
            </w:pPr>
            <w:r w:rsidRPr="002E5E0F">
              <w:t>Grants and other income transfers</w:t>
            </w:r>
          </w:p>
        </w:tc>
        <w:tc>
          <w:tcPr>
            <w:tcW w:w="629" w:type="dxa"/>
            <w:tcBorders>
              <w:top w:val="single" w:sz="4" w:space="0" w:color="A6A6A6" w:themeColor="background1" w:themeShade="A6"/>
              <w:bottom w:val="single" w:sz="4" w:space="0" w:color="A6A6A6" w:themeColor="background1" w:themeShade="A6"/>
            </w:tcBorders>
          </w:tcPr>
          <w:p w14:paraId="55C7E7FA" w14:textId="77777777" w:rsidR="00FA7EBF" w:rsidRPr="001D2FFF" w:rsidRDefault="00FA7EBF" w:rsidP="007B207C">
            <w:pPr>
              <w:pStyle w:val="ARfintablebodyright"/>
              <w:ind w:right="0"/>
              <w:rPr>
                <w:sz w:val="15"/>
                <w:szCs w:val="15"/>
                <w:lang w:eastAsia="en-AU"/>
              </w:rPr>
            </w:pPr>
            <w:r w:rsidRPr="001D2FFF">
              <w:rPr>
                <w:sz w:val="15"/>
                <w:szCs w:val="15"/>
              </w:rPr>
              <w:t>240.7</w:t>
            </w:r>
          </w:p>
        </w:tc>
        <w:tc>
          <w:tcPr>
            <w:tcW w:w="629" w:type="dxa"/>
            <w:tcBorders>
              <w:top w:val="single" w:sz="4" w:space="0" w:color="A6A6A6" w:themeColor="background1" w:themeShade="A6"/>
              <w:bottom w:val="single" w:sz="4" w:space="0" w:color="A6A6A6" w:themeColor="background1" w:themeShade="A6"/>
            </w:tcBorders>
          </w:tcPr>
          <w:p w14:paraId="711B5429" w14:textId="77777777" w:rsidR="00FA7EBF" w:rsidRPr="001D2FFF" w:rsidRDefault="00FA7EBF" w:rsidP="007B207C">
            <w:pPr>
              <w:pStyle w:val="ARfintablebodyright"/>
              <w:ind w:right="0"/>
              <w:rPr>
                <w:sz w:val="15"/>
                <w:szCs w:val="15"/>
                <w:lang w:eastAsia="en-AU"/>
              </w:rPr>
            </w:pPr>
            <w:r w:rsidRPr="001D2FFF">
              <w:rPr>
                <w:sz w:val="15"/>
                <w:szCs w:val="15"/>
              </w:rPr>
              <w:t>1.2</w:t>
            </w:r>
          </w:p>
        </w:tc>
        <w:tc>
          <w:tcPr>
            <w:tcW w:w="629" w:type="dxa"/>
            <w:tcBorders>
              <w:top w:val="single" w:sz="4" w:space="0" w:color="A6A6A6" w:themeColor="background1" w:themeShade="A6"/>
              <w:bottom w:val="single" w:sz="4" w:space="0" w:color="A6A6A6" w:themeColor="background1" w:themeShade="A6"/>
            </w:tcBorders>
          </w:tcPr>
          <w:p w14:paraId="407889C7" w14:textId="77777777" w:rsidR="00FA7EBF" w:rsidRPr="001D2FFF" w:rsidRDefault="00FA7EBF" w:rsidP="007B207C">
            <w:pPr>
              <w:pStyle w:val="ARfintablebodyright"/>
              <w:ind w:right="0"/>
              <w:rPr>
                <w:sz w:val="15"/>
                <w:szCs w:val="15"/>
                <w:lang w:eastAsia="en-AU"/>
              </w:rPr>
            </w:pPr>
            <w:r w:rsidRPr="001D2FFF">
              <w:rPr>
                <w:sz w:val="15"/>
                <w:szCs w:val="15"/>
              </w:rPr>
              <w:t>371.7</w:t>
            </w:r>
          </w:p>
        </w:tc>
        <w:tc>
          <w:tcPr>
            <w:tcW w:w="629" w:type="dxa"/>
            <w:tcBorders>
              <w:top w:val="single" w:sz="4" w:space="0" w:color="A6A6A6" w:themeColor="background1" w:themeShade="A6"/>
              <w:bottom w:val="single" w:sz="4" w:space="0" w:color="A6A6A6" w:themeColor="background1" w:themeShade="A6"/>
            </w:tcBorders>
          </w:tcPr>
          <w:p w14:paraId="6B4A6BE2" w14:textId="77777777" w:rsidR="00FA7EBF" w:rsidRPr="001D2FFF" w:rsidRDefault="00FA7EBF" w:rsidP="007B207C">
            <w:pPr>
              <w:pStyle w:val="ARfintablebodyright"/>
              <w:ind w:right="0"/>
              <w:rPr>
                <w:sz w:val="15"/>
                <w:szCs w:val="15"/>
                <w:lang w:eastAsia="en-AU"/>
              </w:rPr>
            </w:pPr>
            <w:r w:rsidRPr="001D2FFF">
              <w:rPr>
                <w:sz w:val="15"/>
                <w:szCs w:val="15"/>
              </w:rPr>
              <w:t>0.7</w:t>
            </w:r>
          </w:p>
        </w:tc>
        <w:tc>
          <w:tcPr>
            <w:tcW w:w="630" w:type="dxa"/>
            <w:tcBorders>
              <w:top w:val="single" w:sz="4" w:space="0" w:color="A6A6A6" w:themeColor="background1" w:themeShade="A6"/>
              <w:bottom w:val="single" w:sz="4" w:space="0" w:color="A6A6A6" w:themeColor="background1" w:themeShade="A6"/>
            </w:tcBorders>
          </w:tcPr>
          <w:p w14:paraId="2119C014" w14:textId="77777777" w:rsidR="00FA7EBF" w:rsidRPr="001D2FFF" w:rsidRDefault="00FA7EBF" w:rsidP="007B207C">
            <w:pPr>
              <w:pStyle w:val="ARfintablebodyright"/>
              <w:ind w:right="0"/>
              <w:rPr>
                <w:sz w:val="15"/>
                <w:szCs w:val="15"/>
                <w:lang w:eastAsia="en-AU"/>
              </w:rPr>
            </w:pPr>
            <w:r w:rsidRPr="001D2FFF">
              <w:rPr>
                <w:sz w:val="15"/>
                <w:szCs w:val="15"/>
              </w:rPr>
              <w:t>0.4</w:t>
            </w:r>
          </w:p>
        </w:tc>
        <w:tc>
          <w:tcPr>
            <w:tcW w:w="630" w:type="dxa"/>
            <w:tcBorders>
              <w:top w:val="single" w:sz="4" w:space="0" w:color="A6A6A6" w:themeColor="background1" w:themeShade="A6"/>
              <w:bottom w:val="single" w:sz="4" w:space="0" w:color="A6A6A6" w:themeColor="background1" w:themeShade="A6"/>
            </w:tcBorders>
          </w:tcPr>
          <w:p w14:paraId="73EA8638" w14:textId="77777777" w:rsidR="00FA7EBF" w:rsidRPr="001D2FFF" w:rsidRDefault="00FA7EBF" w:rsidP="007B207C">
            <w:pPr>
              <w:pStyle w:val="ARfintablebodyright"/>
              <w:ind w:right="0"/>
              <w:rPr>
                <w:sz w:val="15"/>
                <w:szCs w:val="15"/>
                <w:lang w:eastAsia="en-AU"/>
              </w:rPr>
            </w:pPr>
            <w:r w:rsidRPr="001D2FFF">
              <w:rPr>
                <w:sz w:val="15"/>
                <w:szCs w:val="15"/>
              </w:rPr>
              <w:t>87.4</w:t>
            </w:r>
          </w:p>
        </w:tc>
        <w:tc>
          <w:tcPr>
            <w:tcW w:w="630" w:type="dxa"/>
            <w:tcBorders>
              <w:top w:val="single" w:sz="4" w:space="0" w:color="A6A6A6" w:themeColor="background1" w:themeShade="A6"/>
              <w:bottom w:val="single" w:sz="4" w:space="0" w:color="A6A6A6" w:themeColor="background1" w:themeShade="A6"/>
            </w:tcBorders>
          </w:tcPr>
          <w:p w14:paraId="072C1313" w14:textId="77777777" w:rsidR="00FA7EBF" w:rsidRPr="001D2FFF" w:rsidRDefault="00FA7EBF" w:rsidP="007B207C">
            <w:pPr>
              <w:pStyle w:val="ARfintablebodyright"/>
              <w:ind w:right="0"/>
              <w:rPr>
                <w:sz w:val="15"/>
                <w:szCs w:val="15"/>
                <w:lang w:eastAsia="en-AU"/>
              </w:rPr>
            </w:pPr>
            <w:r w:rsidRPr="001D2FFF">
              <w:rPr>
                <w:sz w:val="15"/>
                <w:szCs w:val="15"/>
              </w:rPr>
              <w:t>129.0</w:t>
            </w:r>
          </w:p>
        </w:tc>
        <w:tc>
          <w:tcPr>
            <w:tcW w:w="630" w:type="dxa"/>
            <w:tcBorders>
              <w:top w:val="single" w:sz="4" w:space="0" w:color="A6A6A6" w:themeColor="background1" w:themeShade="A6"/>
              <w:bottom w:val="single" w:sz="4" w:space="0" w:color="A6A6A6" w:themeColor="background1" w:themeShade="A6"/>
            </w:tcBorders>
          </w:tcPr>
          <w:p w14:paraId="40E475C7" w14:textId="77777777" w:rsidR="00FA7EBF" w:rsidRPr="001D2FFF" w:rsidRDefault="00FA7EBF" w:rsidP="007B207C">
            <w:pPr>
              <w:pStyle w:val="ARfintablebodyright"/>
              <w:ind w:right="0"/>
              <w:rPr>
                <w:sz w:val="15"/>
                <w:szCs w:val="15"/>
                <w:lang w:eastAsia="en-AU"/>
              </w:rPr>
            </w:pPr>
            <w:r w:rsidRPr="001D2FFF">
              <w:rPr>
                <w:sz w:val="15"/>
                <w:szCs w:val="15"/>
              </w:rPr>
              <w:t>87.7</w:t>
            </w:r>
          </w:p>
        </w:tc>
        <w:tc>
          <w:tcPr>
            <w:tcW w:w="630" w:type="dxa"/>
            <w:tcBorders>
              <w:top w:val="single" w:sz="4" w:space="0" w:color="A6A6A6" w:themeColor="background1" w:themeShade="A6"/>
              <w:bottom w:val="single" w:sz="4" w:space="0" w:color="A6A6A6" w:themeColor="background1" w:themeShade="A6"/>
            </w:tcBorders>
          </w:tcPr>
          <w:p w14:paraId="17871DC6" w14:textId="77777777" w:rsidR="00FA7EBF" w:rsidRPr="001D2FFF" w:rsidRDefault="00FA7EBF" w:rsidP="007B207C">
            <w:pPr>
              <w:pStyle w:val="ARfintablebodyright"/>
              <w:ind w:right="0"/>
              <w:rPr>
                <w:sz w:val="15"/>
                <w:szCs w:val="15"/>
                <w:lang w:eastAsia="en-AU"/>
              </w:rPr>
            </w:pPr>
            <w:r w:rsidRPr="001D2FFF">
              <w:rPr>
                <w:sz w:val="15"/>
                <w:szCs w:val="15"/>
              </w:rPr>
              <w:t>4.7</w:t>
            </w:r>
          </w:p>
        </w:tc>
        <w:tc>
          <w:tcPr>
            <w:tcW w:w="630" w:type="dxa"/>
            <w:tcBorders>
              <w:top w:val="single" w:sz="4" w:space="0" w:color="A6A6A6" w:themeColor="background1" w:themeShade="A6"/>
              <w:bottom w:val="single" w:sz="4" w:space="0" w:color="A6A6A6" w:themeColor="background1" w:themeShade="A6"/>
            </w:tcBorders>
          </w:tcPr>
          <w:p w14:paraId="358DFD89" w14:textId="77777777" w:rsidR="00FA7EBF" w:rsidRPr="001D2FFF" w:rsidRDefault="00FA7EBF" w:rsidP="007B207C">
            <w:pPr>
              <w:pStyle w:val="ARfintablebodyright"/>
              <w:ind w:right="0"/>
              <w:rPr>
                <w:sz w:val="15"/>
                <w:szCs w:val="15"/>
                <w:lang w:eastAsia="en-AU"/>
              </w:rPr>
            </w:pPr>
            <w:r w:rsidRPr="001D2FFF">
              <w:rPr>
                <w:sz w:val="15"/>
                <w:szCs w:val="15"/>
              </w:rPr>
              <w:t>17.6</w:t>
            </w:r>
          </w:p>
        </w:tc>
        <w:tc>
          <w:tcPr>
            <w:tcW w:w="630" w:type="dxa"/>
            <w:tcBorders>
              <w:top w:val="single" w:sz="4" w:space="0" w:color="A6A6A6" w:themeColor="background1" w:themeShade="A6"/>
              <w:bottom w:val="single" w:sz="4" w:space="0" w:color="A6A6A6" w:themeColor="background1" w:themeShade="A6"/>
            </w:tcBorders>
          </w:tcPr>
          <w:p w14:paraId="23444AFC"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DFD73B3" w14:textId="77777777" w:rsidR="00FA7EBF" w:rsidRPr="001D2FFF" w:rsidRDefault="00FA7EBF" w:rsidP="007B207C">
            <w:pPr>
              <w:pStyle w:val="ARfintablebodyright"/>
              <w:ind w:right="0"/>
              <w:rPr>
                <w:sz w:val="15"/>
                <w:szCs w:val="15"/>
                <w:lang w:eastAsia="en-AU"/>
              </w:rPr>
            </w:pPr>
            <w:r w:rsidRPr="001D2FFF">
              <w:rPr>
                <w:sz w:val="15"/>
                <w:szCs w:val="15"/>
              </w:rPr>
              <w:t>14.3</w:t>
            </w:r>
          </w:p>
        </w:tc>
        <w:tc>
          <w:tcPr>
            <w:tcW w:w="630" w:type="dxa"/>
            <w:tcBorders>
              <w:top w:val="single" w:sz="4" w:space="0" w:color="A6A6A6" w:themeColor="background1" w:themeShade="A6"/>
              <w:bottom w:val="single" w:sz="4" w:space="0" w:color="A6A6A6" w:themeColor="background1" w:themeShade="A6"/>
            </w:tcBorders>
          </w:tcPr>
          <w:p w14:paraId="4F4C5ED0"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FDE21A9" w14:textId="77777777" w:rsidR="00FA7EBF" w:rsidRPr="001D2FFF" w:rsidRDefault="00FA7EBF" w:rsidP="007B207C">
            <w:pPr>
              <w:pStyle w:val="ARfintablebodyright"/>
              <w:ind w:right="0"/>
              <w:rPr>
                <w:sz w:val="15"/>
                <w:szCs w:val="15"/>
                <w:lang w:eastAsia="en-AU"/>
              </w:rPr>
            </w:pPr>
            <w:r w:rsidRPr="001D2FFF">
              <w:rPr>
                <w:sz w:val="15"/>
                <w:szCs w:val="15"/>
              </w:rPr>
              <w:t>19.2</w:t>
            </w:r>
          </w:p>
        </w:tc>
        <w:tc>
          <w:tcPr>
            <w:tcW w:w="630" w:type="dxa"/>
            <w:tcBorders>
              <w:top w:val="single" w:sz="4" w:space="0" w:color="A6A6A6" w:themeColor="background1" w:themeShade="A6"/>
              <w:bottom w:val="single" w:sz="4" w:space="0" w:color="A6A6A6" w:themeColor="background1" w:themeShade="A6"/>
            </w:tcBorders>
          </w:tcPr>
          <w:p w14:paraId="47BE30E7" w14:textId="77777777" w:rsidR="00FA7EBF" w:rsidRPr="001D2FFF" w:rsidRDefault="00FA7EBF" w:rsidP="007B207C">
            <w:pPr>
              <w:pStyle w:val="ARfintablebodyright"/>
              <w:ind w:right="0"/>
              <w:rPr>
                <w:sz w:val="15"/>
                <w:szCs w:val="15"/>
                <w:lang w:eastAsia="en-AU"/>
              </w:rPr>
            </w:pPr>
            <w:r w:rsidRPr="001D2FFF">
              <w:rPr>
                <w:sz w:val="15"/>
                <w:szCs w:val="15"/>
              </w:rPr>
              <w:t>24.8</w:t>
            </w:r>
          </w:p>
        </w:tc>
        <w:tc>
          <w:tcPr>
            <w:tcW w:w="630" w:type="dxa"/>
            <w:tcBorders>
              <w:top w:val="single" w:sz="4" w:space="0" w:color="A6A6A6" w:themeColor="background1" w:themeShade="A6"/>
              <w:bottom w:val="single" w:sz="4" w:space="0" w:color="A6A6A6" w:themeColor="background1" w:themeShade="A6"/>
            </w:tcBorders>
          </w:tcPr>
          <w:p w14:paraId="6666E5F5" w14:textId="77777777" w:rsidR="00FA7EBF" w:rsidRPr="001D2FFF" w:rsidRDefault="00FA7EBF" w:rsidP="007B207C">
            <w:pPr>
              <w:pStyle w:val="ARfintablebodyright"/>
              <w:ind w:right="0"/>
              <w:rPr>
                <w:sz w:val="15"/>
                <w:szCs w:val="15"/>
                <w:lang w:eastAsia="en-AU"/>
              </w:rPr>
            </w:pPr>
            <w:r w:rsidRPr="001D2FFF">
              <w:rPr>
                <w:sz w:val="15"/>
                <w:szCs w:val="15"/>
              </w:rPr>
              <w:t>2.1</w:t>
            </w:r>
          </w:p>
        </w:tc>
        <w:tc>
          <w:tcPr>
            <w:tcW w:w="630" w:type="dxa"/>
            <w:tcBorders>
              <w:top w:val="single" w:sz="4" w:space="0" w:color="A6A6A6" w:themeColor="background1" w:themeShade="A6"/>
              <w:bottom w:val="single" w:sz="4" w:space="0" w:color="A6A6A6" w:themeColor="background1" w:themeShade="A6"/>
            </w:tcBorders>
          </w:tcPr>
          <w:p w14:paraId="1490D241" w14:textId="77777777" w:rsidR="00FA7EBF" w:rsidRPr="001D2FFF" w:rsidRDefault="00FA7EBF" w:rsidP="007B207C">
            <w:pPr>
              <w:pStyle w:val="ARfintablebodyright"/>
              <w:ind w:right="0"/>
              <w:rPr>
                <w:sz w:val="15"/>
                <w:szCs w:val="15"/>
                <w:lang w:eastAsia="en-AU"/>
              </w:rPr>
            </w:pPr>
            <w:r w:rsidRPr="001D2FFF">
              <w:rPr>
                <w:sz w:val="15"/>
                <w:szCs w:val="15"/>
              </w:rPr>
              <w:t>(10.7)</w:t>
            </w:r>
          </w:p>
        </w:tc>
        <w:tc>
          <w:tcPr>
            <w:tcW w:w="778" w:type="dxa"/>
            <w:tcBorders>
              <w:top w:val="single" w:sz="4" w:space="0" w:color="A6A6A6" w:themeColor="background1" w:themeShade="A6"/>
              <w:bottom w:val="single" w:sz="4" w:space="0" w:color="A6A6A6" w:themeColor="background1" w:themeShade="A6"/>
            </w:tcBorders>
          </w:tcPr>
          <w:p w14:paraId="12DED0D2" w14:textId="77777777" w:rsidR="00FA7EBF" w:rsidRPr="001D2FFF" w:rsidRDefault="00FA7EBF" w:rsidP="007B207C">
            <w:pPr>
              <w:pStyle w:val="ARfintablebodyright"/>
              <w:ind w:right="0"/>
              <w:rPr>
                <w:sz w:val="15"/>
                <w:szCs w:val="15"/>
                <w:lang w:eastAsia="en-AU"/>
              </w:rPr>
            </w:pPr>
            <w:r w:rsidRPr="001D2FFF">
              <w:rPr>
                <w:sz w:val="15"/>
                <w:szCs w:val="15"/>
              </w:rPr>
              <w:t>991.0</w:t>
            </w:r>
          </w:p>
        </w:tc>
      </w:tr>
      <w:tr w:rsidR="00FA7EBF" w:rsidRPr="007939DD" w14:paraId="661D0FF2"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0BC2613A" w14:textId="77777777" w:rsidR="00FA7EBF" w:rsidRPr="007939DD" w:rsidRDefault="00FA7EBF" w:rsidP="007B207C">
            <w:pPr>
              <w:pStyle w:val="ARfintablebody"/>
              <w:rPr>
                <w:sz w:val="13"/>
                <w:szCs w:val="13"/>
                <w:lang w:eastAsia="en-AU"/>
              </w:rPr>
            </w:pPr>
            <w:r w:rsidRPr="002E5E0F">
              <w:t>Other income</w:t>
            </w:r>
          </w:p>
        </w:tc>
        <w:tc>
          <w:tcPr>
            <w:tcW w:w="629" w:type="dxa"/>
            <w:tcBorders>
              <w:top w:val="single" w:sz="4" w:space="0" w:color="A6A6A6" w:themeColor="background1" w:themeShade="A6"/>
              <w:bottom w:val="single" w:sz="4" w:space="0" w:color="A6A6A6" w:themeColor="background1" w:themeShade="A6"/>
            </w:tcBorders>
          </w:tcPr>
          <w:p w14:paraId="3B18B5DA" w14:textId="77777777" w:rsidR="00FA7EBF" w:rsidRPr="001D2FFF" w:rsidRDefault="00FA7EBF" w:rsidP="007B207C">
            <w:pPr>
              <w:pStyle w:val="ARfintablebodyright"/>
              <w:ind w:right="0"/>
              <w:rPr>
                <w:sz w:val="15"/>
                <w:szCs w:val="15"/>
                <w:lang w:eastAsia="en-AU"/>
              </w:rPr>
            </w:pPr>
            <w:r w:rsidRPr="001D2FFF">
              <w:rPr>
                <w:sz w:val="15"/>
                <w:szCs w:val="15"/>
              </w:rPr>
              <w:t>33.3</w:t>
            </w:r>
          </w:p>
        </w:tc>
        <w:tc>
          <w:tcPr>
            <w:tcW w:w="629" w:type="dxa"/>
            <w:tcBorders>
              <w:top w:val="single" w:sz="4" w:space="0" w:color="A6A6A6" w:themeColor="background1" w:themeShade="A6"/>
              <w:bottom w:val="single" w:sz="4" w:space="0" w:color="A6A6A6" w:themeColor="background1" w:themeShade="A6"/>
            </w:tcBorders>
          </w:tcPr>
          <w:p w14:paraId="3E05467C" w14:textId="77777777" w:rsidR="00FA7EBF" w:rsidRPr="001D2FFF" w:rsidRDefault="00FA7EBF" w:rsidP="007B207C">
            <w:pPr>
              <w:pStyle w:val="ARfintablebodyright"/>
              <w:ind w:right="0"/>
              <w:rPr>
                <w:sz w:val="15"/>
                <w:szCs w:val="15"/>
                <w:lang w:eastAsia="en-AU"/>
              </w:rPr>
            </w:pPr>
            <w:r w:rsidRPr="001D2FFF">
              <w:rPr>
                <w:sz w:val="15"/>
                <w:szCs w:val="15"/>
              </w:rPr>
              <w:t>0.3</w:t>
            </w:r>
          </w:p>
        </w:tc>
        <w:tc>
          <w:tcPr>
            <w:tcW w:w="629" w:type="dxa"/>
            <w:tcBorders>
              <w:top w:val="single" w:sz="4" w:space="0" w:color="A6A6A6" w:themeColor="background1" w:themeShade="A6"/>
              <w:bottom w:val="single" w:sz="4" w:space="0" w:color="A6A6A6" w:themeColor="background1" w:themeShade="A6"/>
            </w:tcBorders>
          </w:tcPr>
          <w:p w14:paraId="6B6DD82A" w14:textId="77777777" w:rsidR="00FA7EBF" w:rsidRPr="001D2FFF" w:rsidRDefault="00FA7EBF" w:rsidP="007B207C">
            <w:pPr>
              <w:pStyle w:val="ARfintablebodyright"/>
              <w:ind w:right="0"/>
              <w:rPr>
                <w:sz w:val="15"/>
                <w:szCs w:val="15"/>
                <w:lang w:eastAsia="en-AU"/>
              </w:rPr>
            </w:pPr>
            <w:r w:rsidRPr="001D2FFF">
              <w:rPr>
                <w:sz w:val="15"/>
                <w:szCs w:val="15"/>
              </w:rPr>
              <w:t>2.6</w:t>
            </w:r>
          </w:p>
        </w:tc>
        <w:tc>
          <w:tcPr>
            <w:tcW w:w="629" w:type="dxa"/>
            <w:tcBorders>
              <w:top w:val="single" w:sz="4" w:space="0" w:color="A6A6A6" w:themeColor="background1" w:themeShade="A6"/>
              <w:bottom w:val="single" w:sz="4" w:space="0" w:color="A6A6A6" w:themeColor="background1" w:themeShade="A6"/>
            </w:tcBorders>
          </w:tcPr>
          <w:p w14:paraId="700AAA48" w14:textId="77777777" w:rsidR="00FA7EBF" w:rsidRPr="001D2FFF" w:rsidRDefault="00FA7EBF" w:rsidP="007B207C">
            <w:pPr>
              <w:pStyle w:val="ARfintablebodyright"/>
              <w:ind w:right="0"/>
              <w:rPr>
                <w:sz w:val="15"/>
                <w:szCs w:val="15"/>
                <w:lang w:eastAsia="en-AU"/>
              </w:rPr>
            </w:pPr>
            <w:r w:rsidRPr="001D2FFF">
              <w:rPr>
                <w:sz w:val="15"/>
                <w:szCs w:val="15"/>
              </w:rPr>
              <w:t>2.6</w:t>
            </w:r>
          </w:p>
        </w:tc>
        <w:tc>
          <w:tcPr>
            <w:tcW w:w="630" w:type="dxa"/>
            <w:tcBorders>
              <w:top w:val="single" w:sz="4" w:space="0" w:color="A6A6A6" w:themeColor="background1" w:themeShade="A6"/>
              <w:bottom w:val="single" w:sz="4" w:space="0" w:color="A6A6A6" w:themeColor="background1" w:themeShade="A6"/>
            </w:tcBorders>
          </w:tcPr>
          <w:p w14:paraId="64338311" w14:textId="77777777" w:rsidR="00FA7EBF" w:rsidRPr="001D2FFF" w:rsidRDefault="00FA7EBF" w:rsidP="007B207C">
            <w:pPr>
              <w:pStyle w:val="ARfintablebodyright"/>
              <w:ind w:right="0"/>
              <w:rPr>
                <w:sz w:val="15"/>
                <w:szCs w:val="15"/>
                <w:lang w:eastAsia="en-AU"/>
              </w:rPr>
            </w:pPr>
            <w:r w:rsidRPr="001D2FFF">
              <w:rPr>
                <w:sz w:val="15"/>
                <w:szCs w:val="15"/>
              </w:rPr>
              <w:t>0.9</w:t>
            </w:r>
          </w:p>
        </w:tc>
        <w:tc>
          <w:tcPr>
            <w:tcW w:w="630" w:type="dxa"/>
            <w:tcBorders>
              <w:top w:val="single" w:sz="4" w:space="0" w:color="A6A6A6" w:themeColor="background1" w:themeShade="A6"/>
              <w:bottom w:val="single" w:sz="4" w:space="0" w:color="A6A6A6" w:themeColor="background1" w:themeShade="A6"/>
            </w:tcBorders>
          </w:tcPr>
          <w:p w14:paraId="27380735" w14:textId="77777777" w:rsidR="00FA7EBF" w:rsidRPr="001D2FFF" w:rsidRDefault="00FA7EBF" w:rsidP="007B207C">
            <w:pPr>
              <w:pStyle w:val="ARfintablebodyright"/>
              <w:ind w:right="0"/>
              <w:rPr>
                <w:sz w:val="15"/>
                <w:szCs w:val="15"/>
                <w:lang w:eastAsia="en-AU"/>
              </w:rPr>
            </w:pPr>
            <w:r w:rsidRPr="001D2FFF">
              <w:rPr>
                <w:sz w:val="15"/>
                <w:szCs w:val="15"/>
              </w:rPr>
              <w:t>0.9</w:t>
            </w:r>
          </w:p>
        </w:tc>
        <w:tc>
          <w:tcPr>
            <w:tcW w:w="630" w:type="dxa"/>
            <w:tcBorders>
              <w:top w:val="single" w:sz="4" w:space="0" w:color="A6A6A6" w:themeColor="background1" w:themeShade="A6"/>
              <w:bottom w:val="single" w:sz="4" w:space="0" w:color="A6A6A6" w:themeColor="background1" w:themeShade="A6"/>
            </w:tcBorders>
          </w:tcPr>
          <w:p w14:paraId="2B79428A" w14:textId="77777777" w:rsidR="00FA7EBF" w:rsidRPr="001D2FFF" w:rsidRDefault="00FA7EBF" w:rsidP="007B207C">
            <w:pPr>
              <w:pStyle w:val="ARfintablebodyright"/>
              <w:ind w:right="0"/>
              <w:rPr>
                <w:sz w:val="15"/>
                <w:szCs w:val="15"/>
                <w:lang w:eastAsia="en-AU"/>
              </w:rPr>
            </w:pPr>
            <w:r w:rsidRPr="001D2FFF">
              <w:rPr>
                <w:sz w:val="15"/>
                <w:szCs w:val="15"/>
              </w:rPr>
              <w:t>1.7</w:t>
            </w:r>
          </w:p>
        </w:tc>
        <w:tc>
          <w:tcPr>
            <w:tcW w:w="630" w:type="dxa"/>
            <w:tcBorders>
              <w:top w:val="single" w:sz="4" w:space="0" w:color="A6A6A6" w:themeColor="background1" w:themeShade="A6"/>
              <w:bottom w:val="single" w:sz="4" w:space="0" w:color="A6A6A6" w:themeColor="background1" w:themeShade="A6"/>
            </w:tcBorders>
          </w:tcPr>
          <w:p w14:paraId="65FA6A25" w14:textId="77777777" w:rsidR="00FA7EBF" w:rsidRPr="001D2FFF" w:rsidRDefault="00FA7EBF" w:rsidP="007B207C">
            <w:pPr>
              <w:pStyle w:val="ARfintablebodyright"/>
              <w:ind w:right="0"/>
              <w:rPr>
                <w:sz w:val="15"/>
                <w:szCs w:val="15"/>
                <w:lang w:eastAsia="en-AU"/>
              </w:rPr>
            </w:pPr>
            <w:r w:rsidRPr="001D2FFF">
              <w:rPr>
                <w:sz w:val="15"/>
                <w:szCs w:val="15"/>
              </w:rPr>
              <w:t>0.5</w:t>
            </w:r>
          </w:p>
        </w:tc>
        <w:tc>
          <w:tcPr>
            <w:tcW w:w="630" w:type="dxa"/>
            <w:tcBorders>
              <w:top w:val="single" w:sz="4" w:space="0" w:color="A6A6A6" w:themeColor="background1" w:themeShade="A6"/>
              <w:bottom w:val="single" w:sz="4" w:space="0" w:color="A6A6A6" w:themeColor="background1" w:themeShade="A6"/>
            </w:tcBorders>
          </w:tcPr>
          <w:p w14:paraId="52C6E841" w14:textId="77777777" w:rsidR="00FA7EBF" w:rsidRPr="001D2FFF" w:rsidRDefault="00FA7EBF" w:rsidP="007B207C">
            <w:pPr>
              <w:pStyle w:val="ARfintablebodyright"/>
              <w:ind w:right="0"/>
              <w:rPr>
                <w:sz w:val="15"/>
                <w:szCs w:val="15"/>
                <w:lang w:eastAsia="en-AU"/>
              </w:rPr>
            </w:pPr>
            <w:r w:rsidRPr="001D2FFF">
              <w:rPr>
                <w:sz w:val="15"/>
                <w:szCs w:val="15"/>
              </w:rPr>
              <w:t>6.5</w:t>
            </w:r>
          </w:p>
        </w:tc>
        <w:tc>
          <w:tcPr>
            <w:tcW w:w="630" w:type="dxa"/>
            <w:tcBorders>
              <w:top w:val="single" w:sz="4" w:space="0" w:color="A6A6A6" w:themeColor="background1" w:themeShade="A6"/>
              <w:bottom w:val="single" w:sz="4" w:space="0" w:color="A6A6A6" w:themeColor="background1" w:themeShade="A6"/>
            </w:tcBorders>
          </w:tcPr>
          <w:p w14:paraId="33C8E526" w14:textId="77777777" w:rsidR="00FA7EBF" w:rsidRPr="001D2FFF" w:rsidRDefault="00FA7EBF" w:rsidP="007B207C">
            <w:pPr>
              <w:pStyle w:val="ARfintablebodyright"/>
              <w:ind w:right="0"/>
              <w:rPr>
                <w:sz w:val="15"/>
                <w:szCs w:val="15"/>
                <w:lang w:eastAsia="en-AU"/>
              </w:rPr>
            </w:pPr>
            <w:r w:rsidRPr="001D2FFF">
              <w:rPr>
                <w:sz w:val="15"/>
                <w:szCs w:val="15"/>
              </w:rPr>
              <w:t>2.0</w:t>
            </w:r>
          </w:p>
        </w:tc>
        <w:tc>
          <w:tcPr>
            <w:tcW w:w="630" w:type="dxa"/>
            <w:tcBorders>
              <w:top w:val="single" w:sz="4" w:space="0" w:color="A6A6A6" w:themeColor="background1" w:themeShade="A6"/>
              <w:bottom w:val="single" w:sz="4" w:space="0" w:color="A6A6A6" w:themeColor="background1" w:themeShade="A6"/>
            </w:tcBorders>
          </w:tcPr>
          <w:p w14:paraId="3D0BACFC"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3F812A5" w14:textId="77777777" w:rsidR="00FA7EBF" w:rsidRPr="001D2FFF" w:rsidRDefault="00FA7EBF" w:rsidP="007B207C">
            <w:pPr>
              <w:pStyle w:val="ARfintablebodyright"/>
              <w:ind w:right="0"/>
              <w:rPr>
                <w:sz w:val="15"/>
                <w:szCs w:val="15"/>
                <w:lang w:eastAsia="en-AU"/>
              </w:rPr>
            </w:pPr>
            <w:r w:rsidRPr="001D2FFF">
              <w:rPr>
                <w:sz w:val="15"/>
                <w:szCs w:val="15"/>
              </w:rPr>
              <w:t>0.6</w:t>
            </w:r>
          </w:p>
        </w:tc>
        <w:tc>
          <w:tcPr>
            <w:tcW w:w="630" w:type="dxa"/>
            <w:tcBorders>
              <w:top w:val="single" w:sz="4" w:space="0" w:color="A6A6A6" w:themeColor="background1" w:themeShade="A6"/>
              <w:bottom w:val="single" w:sz="4" w:space="0" w:color="A6A6A6" w:themeColor="background1" w:themeShade="A6"/>
            </w:tcBorders>
          </w:tcPr>
          <w:p w14:paraId="5EF00846"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97A5872"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59FE049" w14:textId="77777777" w:rsidR="00FA7EBF" w:rsidRPr="001D2FFF" w:rsidRDefault="00FA7EBF" w:rsidP="007B207C">
            <w:pPr>
              <w:pStyle w:val="ARfintablebodyright"/>
              <w:ind w:right="0"/>
              <w:rPr>
                <w:sz w:val="15"/>
                <w:szCs w:val="15"/>
                <w:lang w:eastAsia="en-AU"/>
              </w:rPr>
            </w:pPr>
            <w:r w:rsidRPr="001D2FFF">
              <w:rPr>
                <w:sz w:val="15"/>
                <w:szCs w:val="15"/>
              </w:rPr>
              <w:t>4.4</w:t>
            </w:r>
          </w:p>
        </w:tc>
        <w:tc>
          <w:tcPr>
            <w:tcW w:w="630" w:type="dxa"/>
            <w:tcBorders>
              <w:top w:val="single" w:sz="4" w:space="0" w:color="A6A6A6" w:themeColor="background1" w:themeShade="A6"/>
              <w:bottom w:val="single" w:sz="4" w:space="0" w:color="A6A6A6" w:themeColor="background1" w:themeShade="A6"/>
            </w:tcBorders>
          </w:tcPr>
          <w:p w14:paraId="016C2651"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D06A414"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72D16503" w14:textId="77777777" w:rsidR="00FA7EBF" w:rsidRPr="001D2FFF" w:rsidRDefault="00FA7EBF" w:rsidP="007B207C">
            <w:pPr>
              <w:pStyle w:val="ARfintablebodyright"/>
              <w:ind w:right="0"/>
              <w:rPr>
                <w:sz w:val="15"/>
                <w:szCs w:val="15"/>
                <w:lang w:eastAsia="en-AU"/>
              </w:rPr>
            </w:pPr>
            <w:r w:rsidRPr="001D2FFF">
              <w:rPr>
                <w:sz w:val="15"/>
                <w:szCs w:val="15"/>
              </w:rPr>
              <w:t>56.5</w:t>
            </w:r>
          </w:p>
        </w:tc>
      </w:tr>
      <w:tr w:rsidR="00FA7EBF" w:rsidRPr="007939DD" w14:paraId="32727B35" w14:textId="77777777" w:rsidTr="007B207C">
        <w:trPr>
          <w:cantSplit/>
        </w:trPr>
        <w:tc>
          <w:tcPr>
            <w:tcW w:w="2975" w:type="dxa"/>
            <w:tcBorders>
              <w:top w:val="single" w:sz="4" w:space="0" w:color="A6A6A6" w:themeColor="background1" w:themeShade="A6"/>
            </w:tcBorders>
          </w:tcPr>
          <w:p w14:paraId="03F9B612" w14:textId="77777777" w:rsidR="00FA7EBF" w:rsidRPr="007939DD" w:rsidRDefault="00FA7EBF" w:rsidP="007B207C">
            <w:pPr>
              <w:pStyle w:val="ARfintablebody"/>
              <w:rPr>
                <w:sz w:val="13"/>
                <w:szCs w:val="13"/>
                <w:lang w:eastAsia="en-AU"/>
              </w:rPr>
            </w:pPr>
            <w:r w:rsidRPr="002E5E0F">
              <w:t>Fair value of assets and services received free of charge or for nominal consideration</w:t>
            </w:r>
          </w:p>
        </w:tc>
        <w:tc>
          <w:tcPr>
            <w:tcW w:w="629" w:type="dxa"/>
            <w:tcBorders>
              <w:top w:val="single" w:sz="4" w:space="0" w:color="A6A6A6" w:themeColor="background1" w:themeShade="A6"/>
            </w:tcBorders>
          </w:tcPr>
          <w:p w14:paraId="1DCA8D62" w14:textId="77777777" w:rsidR="00FA7EBF" w:rsidRPr="001D2FFF" w:rsidRDefault="00FA7EBF" w:rsidP="007B207C">
            <w:pPr>
              <w:pStyle w:val="ARfintablebodyright"/>
              <w:ind w:right="0"/>
              <w:rPr>
                <w:sz w:val="15"/>
                <w:szCs w:val="15"/>
                <w:lang w:eastAsia="en-AU"/>
              </w:rPr>
            </w:pPr>
            <w:r w:rsidRPr="001D2FFF">
              <w:rPr>
                <w:sz w:val="15"/>
                <w:szCs w:val="15"/>
              </w:rPr>
              <w:t>2.1</w:t>
            </w:r>
          </w:p>
        </w:tc>
        <w:tc>
          <w:tcPr>
            <w:tcW w:w="629" w:type="dxa"/>
            <w:tcBorders>
              <w:top w:val="single" w:sz="4" w:space="0" w:color="A6A6A6" w:themeColor="background1" w:themeShade="A6"/>
            </w:tcBorders>
          </w:tcPr>
          <w:p w14:paraId="7E9EAEF5"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29" w:type="dxa"/>
            <w:tcBorders>
              <w:top w:val="single" w:sz="4" w:space="0" w:color="A6A6A6" w:themeColor="background1" w:themeShade="A6"/>
            </w:tcBorders>
          </w:tcPr>
          <w:p w14:paraId="28AADC59"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29" w:type="dxa"/>
            <w:tcBorders>
              <w:top w:val="single" w:sz="4" w:space="0" w:color="A6A6A6" w:themeColor="background1" w:themeShade="A6"/>
            </w:tcBorders>
          </w:tcPr>
          <w:p w14:paraId="3DD4192D"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0CD69AD5"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1FFE9BCC"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05ABA05A"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24335BDD"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6157E57B" w14:textId="77777777" w:rsidR="00FA7EBF" w:rsidRPr="001D2FFF" w:rsidRDefault="00FA7EBF" w:rsidP="007B207C">
            <w:pPr>
              <w:pStyle w:val="ARfintablebodyright"/>
              <w:ind w:right="0"/>
              <w:rPr>
                <w:sz w:val="15"/>
                <w:szCs w:val="15"/>
                <w:lang w:eastAsia="en-AU"/>
              </w:rPr>
            </w:pPr>
            <w:r w:rsidRPr="001D2FFF">
              <w:rPr>
                <w:sz w:val="15"/>
                <w:szCs w:val="15"/>
              </w:rPr>
              <w:t>0.3</w:t>
            </w:r>
          </w:p>
        </w:tc>
        <w:tc>
          <w:tcPr>
            <w:tcW w:w="630" w:type="dxa"/>
            <w:tcBorders>
              <w:top w:val="single" w:sz="4" w:space="0" w:color="A6A6A6" w:themeColor="background1" w:themeShade="A6"/>
            </w:tcBorders>
          </w:tcPr>
          <w:p w14:paraId="040B825E"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48950C17"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18FDB430"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57F64325"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1D7AB4A4"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0770B506" w14:textId="77777777" w:rsidR="00FA7EBF" w:rsidRPr="001D2FFF" w:rsidRDefault="00FA7EBF" w:rsidP="007B207C">
            <w:pPr>
              <w:pStyle w:val="ARfintablebodyright"/>
              <w:ind w:right="0"/>
              <w:rPr>
                <w:sz w:val="15"/>
                <w:szCs w:val="15"/>
                <w:lang w:eastAsia="en-AU"/>
              </w:rPr>
            </w:pPr>
            <w:r w:rsidRPr="001D2FFF">
              <w:rPr>
                <w:sz w:val="15"/>
                <w:szCs w:val="15"/>
              </w:rPr>
              <w:t>1.1</w:t>
            </w:r>
          </w:p>
        </w:tc>
        <w:tc>
          <w:tcPr>
            <w:tcW w:w="630" w:type="dxa"/>
            <w:tcBorders>
              <w:top w:val="single" w:sz="4" w:space="0" w:color="A6A6A6" w:themeColor="background1" w:themeShade="A6"/>
            </w:tcBorders>
          </w:tcPr>
          <w:p w14:paraId="09DD5890"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0B9B3454"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778" w:type="dxa"/>
            <w:tcBorders>
              <w:top w:val="single" w:sz="4" w:space="0" w:color="A6A6A6" w:themeColor="background1" w:themeShade="A6"/>
            </w:tcBorders>
          </w:tcPr>
          <w:p w14:paraId="5C332DD7" w14:textId="77777777" w:rsidR="00FA7EBF" w:rsidRPr="001D2FFF" w:rsidRDefault="00FA7EBF" w:rsidP="007B207C">
            <w:pPr>
              <w:pStyle w:val="ARfintablebodyright"/>
              <w:ind w:right="0"/>
              <w:rPr>
                <w:sz w:val="15"/>
                <w:szCs w:val="15"/>
                <w:lang w:eastAsia="en-AU"/>
              </w:rPr>
            </w:pPr>
            <w:r w:rsidRPr="001D2FFF">
              <w:rPr>
                <w:sz w:val="15"/>
                <w:szCs w:val="15"/>
              </w:rPr>
              <w:t>3.5</w:t>
            </w:r>
          </w:p>
        </w:tc>
      </w:tr>
      <w:tr w:rsidR="00FA7EBF" w:rsidRPr="007939DD" w14:paraId="7442C8E9" w14:textId="77777777" w:rsidTr="007B207C">
        <w:trPr>
          <w:cantSplit/>
        </w:trPr>
        <w:tc>
          <w:tcPr>
            <w:tcW w:w="2975" w:type="dxa"/>
          </w:tcPr>
          <w:p w14:paraId="6CED5B85" w14:textId="77777777" w:rsidR="00FA7EBF" w:rsidRPr="007939DD" w:rsidRDefault="00FA7EBF" w:rsidP="007B207C">
            <w:pPr>
              <w:pStyle w:val="ARfintablebodybold"/>
              <w:rPr>
                <w:rStyle w:val="Strong"/>
                <w:sz w:val="13"/>
                <w:szCs w:val="13"/>
              </w:rPr>
            </w:pPr>
            <w:r w:rsidRPr="002E5E0F">
              <w:t>Total income from transactions</w:t>
            </w:r>
          </w:p>
        </w:tc>
        <w:tc>
          <w:tcPr>
            <w:tcW w:w="629" w:type="dxa"/>
          </w:tcPr>
          <w:p w14:paraId="68DCF127" w14:textId="77777777" w:rsidR="00FA7EBF" w:rsidRPr="005A60A4" w:rsidRDefault="00FA7EBF" w:rsidP="005A60A4">
            <w:pPr>
              <w:pStyle w:val="ARfintablebodyrightbold"/>
              <w:ind w:right="0"/>
              <w:rPr>
                <w:sz w:val="15"/>
                <w:szCs w:val="15"/>
                <w:lang w:eastAsia="en-AU"/>
              </w:rPr>
            </w:pPr>
            <w:r w:rsidRPr="005A60A4">
              <w:rPr>
                <w:sz w:val="15"/>
                <w:szCs w:val="15"/>
              </w:rPr>
              <w:t>8,177.1</w:t>
            </w:r>
          </w:p>
        </w:tc>
        <w:tc>
          <w:tcPr>
            <w:tcW w:w="629" w:type="dxa"/>
          </w:tcPr>
          <w:p w14:paraId="7F1C5E79" w14:textId="77777777" w:rsidR="00FA7EBF" w:rsidRPr="005A60A4" w:rsidRDefault="00FA7EBF" w:rsidP="005A60A4">
            <w:pPr>
              <w:pStyle w:val="ARfintablebodyrightbold"/>
              <w:ind w:right="0"/>
              <w:rPr>
                <w:sz w:val="15"/>
                <w:szCs w:val="15"/>
                <w:lang w:eastAsia="en-AU"/>
              </w:rPr>
            </w:pPr>
            <w:r w:rsidRPr="005A60A4">
              <w:rPr>
                <w:sz w:val="15"/>
                <w:szCs w:val="15"/>
              </w:rPr>
              <w:t>752.6</w:t>
            </w:r>
          </w:p>
        </w:tc>
        <w:tc>
          <w:tcPr>
            <w:tcW w:w="629" w:type="dxa"/>
          </w:tcPr>
          <w:p w14:paraId="7E614B14" w14:textId="77777777" w:rsidR="00FA7EBF" w:rsidRPr="005A60A4" w:rsidRDefault="00FA7EBF" w:rsidP="005A60A4">
            <w:pPr>
              <w:pStyle w:val="ARfintablebodyrightbold"/>
              <w:ind w:right="0"/>
              <w:rPr>
                <w:sz w:val="15"/>
                <w:szCs w:val="15"/>
                <w:lang w:eastAsia="en-AU"/>
              </w:rPr>
            </w:pPr>
            <w:r w:rsidRPr="005A60A4">
              <w:rPr>
                <w:sz w:val="15"/>
                <w:szCs w:val="15"/>
              </w:rPr>
              <w:t>1,253.0</w:t>
            </w:r>
          </w:p>
        </w:tc>
        <w:tc>
          <w:tcPr>
            <w:tcW w:w="629" w:type="dxa"/>
          </w:tcPr>
          <w:p w14:paraId="758A39AB" w14:textId="77777777" w:rsidR="00FA7EBF" w:rsidRPr="005A60A4" w:rsidRDefault="00FA7EBF" w:rsidP="005A60A4">
            <w:pPr>
              <w:pStyle w:val="ARfintablebodyrightbold"/>
              <w:ind w:right="0"/>
              <w:rPr>
                <w:sz w:val="15"/>
                <w:szCs w:val="15"/>
                <w:lang w:eastAsia="en-AU"/>
              </w:rPr>
            </w:pPr>
            <w:r w:rsidRPr="005A60A4">
              <w:rPr>
                <w:sz w:val="15"/>
                <w:szCs w:val="15"/>
              </w:rPr>
              <w:t>555.4</w:t>
            </w:r>
          </w:p>
        </w:tc>
        <w:tc>
          <w:tcPr>
            <w:tcW w:w="630" w:type="dxa"/>
          </w:tcPr>
          <w:p w14:paraId="52D35B9E" w14:textId="77777777" w:rsidR="00FA7EBF" w:rsidRPr="005A60A4" w:rsidRDefault="00FA7EBF" w:rsidP="005A60A4">
            <w:pPr>
              <w:pStyle w:val="ARfintablebodyrightbold"/>
              <w:ind w:right="0"/>
              <w:rPr>
                <w:sz w:val="15"/>
                <w:szCs w:val="15"/>
                <w:lang w:eastAsia="en-AU"/>
              </w:rPr>
            </w:pPr>
            <w:r w:rsidRPr="005A60A4">
              <w:rPr>
                <w:sz w:val="15"/>
                <w:szCs w:val="15"/>
              </w:rPr>
              <w:t>480.0</w:t>
            </w:r>
          </w:p>
        </w:tc>
        <w:tc>
          <w:tcPr>
            <w:tcW w:w="630" w:type="dxa"/>
          </w:tcPr>
          <w:p w14:paraId="116E980A" w14:textId="77777777" w:rsidR="00FA7EBF" w:rsidRPr="005A60A4" w:rsidRDefault="00FA7EBF" w:rsidP="005A60A4">
            <w:pPr>
              <w:pStyle w:val="ARfintablebodyrightbold"/>
              <w:ind w:right="0"/>
              <w:rPr>
                <w:sz w:val="15"/>
                <w:szCs w:val="15"/>
                <w:lang w:eastAsia="en-AU"/>
              </w:rPr>
            </w:pPr>
            <w:r w:rsidRPr="005A60A4">
              <w:rPr>
                <w:sz w:val="15"/>
                <w:szCs w:val="15"/>
              </w:rPr>
              <w:t>426.1</w:t>
            </w:r>
          </w:p>
        </w:tc>
        <w:tc>
          <w:tcPr>
            <w:tcW w:w="630" w:type="dxa"/>
          </w:tcPr>
          <w:p w14:paraId="5ACB70BA" w14:textId="77777777" w:rsidR="00FA7EBF" w:rsidRPr="005A60A4" w:rsidRDefault="00FA7EBF" w:rsidP="005A60A4">
            <w:pPr>
              <w:pStyle w:val="ARfintablebodyrightbold"/>
              <w:ind w:right="0"/>
              <w:rPr>
                <w:sz w:val="15"/>
                <w:szCs w:val="15"/>
                <w:lang w:eastAsia="en-AU"/>
              </w:rPr>
            </w:pPr>
            <w:r w:rsidRPr="005A60A4">
              <w:rPr>
                <w:sz w:val="15"/>
                <w:szCs w:val="15"/>
              </w:rPr>
              <w:t>412.4</w:t>
            </w:r>
          </w:p>
        </w:tc>
        <w:tc>
          <w:tcPr>
            <w:tcW w:w="630" w:type="dxa"/>
          </w:tcPr>
          <w:p w14:paraId="49B07925" w14:textId="77777777" w:rsidR="00FA7EBF" w:rsidRPr="005A60A4" w:rsidRDefault="00FA7EBF" w:rsidP="005A60A4">
            <w:pPr>
              <w:pStyle w:val="ARfintablebodyrightbold"/>
              <w:ind w:right="0"/>
              <w:rPr>
                <w:sz w:val="15"/>
                <w:szCs w:val="15"/>
                <w:lang w:eastAsia="en-AU"/>
              </w:rPr>
            </w:pPr>
            <w:r w:rsidRPr="005A60A4">
              <w:rPr>
                <w:sz w:val="15"/>
                <w:szCs w:val="15"/>
              </w:rPr>
              <w:t>225.1</w:t>
            </w:r>
          </w:p>
        </w:tc>
        <w:tc>
          <w:tcPr>
            <w:tcW w:w="630" w:type="dxa"/>
          </w:tcPr>
          <w:p w14:paraId="122457A9" w14:textId="77777777" w:rsidR="00FA7EBF" w:rsidRPr="005A60A4" w:rsidRDefault="00FA7EBF" w:rsidP="005A60A4">
            <w:pPr>
              <w:pStyle w:val="ARfintablebodyrightbold"/>
              <w:ind w:right="0"/>
              <w:rPr>
                <w:sz w:val="15"/>
                <w:szCs w:val="15"/>
                <w:lang w:eastAsia="en-AU"/>
              </w:rPr>
            </w:pPr>
            <w:r w:rsidRPr="005A60A4">
              <w:rPr>
                <w:sz w:val="15"/>
                <w:szCs w:val="15"/>
              </w:rPr>
              <w:t>2,116.5</w:t>
            </w:r>
          </w:p>
        </w:tc>
        <w:tc>
          <w:tcPr>
            <w:tcW w:w="630" w:type="dxa"/>
          </w:tcPr>
          <w:p w14:paraId="1743B25B" w14:textId="77777777" w:rsidR="00FA7EBF" w:rsidRPr="005A60A4" w:rsidRDefault="00FA7EBF" w:rsidP="005A60A4">
            <w:pPr>
              <w:pStyle w:val="ARfintablebodyrightbold"/>
              <w:ind w:right="0"/>
              <w:rPr>
                <w:sz w:val="15"/>
                <w:szCs w:val="15"/>
                <w:lang w:eastAsia="en-AU"/>
              </w:rPr>
            </w:pPr>
            <w:r w:rsidRPr="005A60A4">
              <w:rPr>
                <w:sz w:val="15"/>
                <w:szCs w:val="15"/>
              </w:rPr>
              <w:t>1,393.3</w:t>
            </w:r>
          </w:p>
        </w:tc>
        <w:tc>
          <w:tcPr>
            <w:tcW w:w="630" w:type="dxa"/>
          </w:tcPr>
          <w:p w14:paraId="1B1E1D3C" w14:textId="77777777" w:rsidR="00FA7EBF" w:rsidRPr="005A60A4" w:rsidRDefault="00FA7EBF" w:rsidP="005A60A4">
            <w:pPr>
              <w:pStyle w:val="ARfintablebodyrightbold"/>
              <w:ind w:right="0"/>
              <w:rPr>
                <w:sz w:val="15"/>
                <w:szCs w:val="15"/>
                <w:lang w:eastAsia="en-AU"/>
              </w:rPr>
            </w:pPr>
            <w:r w:rsidRPr="005A60A4">
              <w:rPr>
                <w:sz w:val="15"/>
                <w:szCs w:val="15"/>
              </w:rPr>
              <w:t>717.4</w:t>
            </w:r>
          </w:p>
        </w:tc>
        <w:tc>
          <w:tcPr>
            <w:tcW w:w="630" w:type="dxa"/>
          </w:tcPr>
          <w:p w14:paraId="6D5447E8" w14:textId="77777777" w:rsidR="00FA7EBF" w:rsidRPr="005A60A4" w:rsidRDefault="00FA7EBF" w:rsidP="005A60A4">
            <w:pPr>
              <w:pStyle w:val="ARfintablebodyrightbold"/>
              <w:ind w:right="0"/>
              <w:rPr>
                <w:sz w:val="15"/>
                <w:szCs w:val="15"/>
                <w:lang w:eastAsia="en-AU"/>
              </w:rPr>
            </w:pPr>
            <w:r w:rsidRPr="005A60A4">
              <w:rPr>
                <w:sz w:val="15"/>
                <w:szCs w:val="15"/>
              </w:rPr>
              <w:t>197.4</w:t>
            </w:r>
          </w:p>
        </w:tc>
        <w:tc>
          <w:tcPr>
            <w:tcW w:w="630" w:type="dxa"/>
          </w:tcPr>
          <w:p w14:paraId="55578990" w14:textId="77777777" w:rsidR="00FA7EBF" w:rsidRPr="005A60A4" w:rsidRDefault="00FA7EBF" w:rsidP="005A60A4">
            <w:pPr>
              <w:pStyle w:val="ARfintablebodyrightbold"/>
              <w:ind w:right="0"/>
              <w:rPr>
                <w:sz w:val="15"/>
                <w:szCs w:val="15"/>
                <w:lang w:eastAsia="en-AU"/>
              </w:rPr>
            </w:pPr>
            <w:r w:rsidRPr="005A60A4">
              <w:rPr>
                <w:sz w:val="15"/>
                <w:szCs w:val="15"/>
              </w:rPr>
              <w:t>25.8</w:t>
            </w:r>
          </w:p>
        </w:tc>
        <w:tc>
          <w:tcPr>
            <w:tcW w:w="630" w:type="dxa"/>
          </w:tcPr>
          <w:p w14:paraId="1A4543F0" w14:textId="77777777" w:rsidR="00FA7EBF" w:rsidRPr="005A60A4" w:rsidRDefault="00FA7EBF" w:rsidP="005A60A4">
            <w:pPr>
              <w:pStyle w:val="ARfintablebodyrightbold"/>
              <w:ind w:right="0"/>
              <w:rPr>
                <w:sz w:val="15"/>
                <w:szCs w:val="15"/>
                <w:lang w:eastAsia="en-AU"/>
              </w:rPr>
            </w:pPr>
            <w:r w:rsidRPr="005A60A4">
              <w:rPr>
                <w:sz w:val="15"/>
                <w:szCs w:val="15"/>
              </w:rPr>
              <w:t>89.7</w:t>
            </w:r>
          </w:p>
        </w:tc>
        <w:tc>
          <w:tcPr>
            <w:tcW w:w="630" w:type="dxa"/>
          </w:tcPr>
          <w:p w14:paraId="6E4C13DE" w14:textId="77777777" w:rsidR="00FA7EBF" w:rsidRPr="005A60A4" w:rsidRDefault="00FA7EBF" w:rsidP="005A60A4">
            <w:pPr>
              <w:pStyle w:val="ARfintablebodyrightbold"/>
              <w:ind w:right="0"/>
              <w:rPr>
                <w:sz w:val="15"/>
                <w:szCs w:val="15"/>
                <w:lang w:eastAsia="en-AU"/>
              </w:rPr>
            </w:pPr>
            <w:r w:rsidRPr="005A60A4">
              <w:rPr>
                <w:sz w:val="15"/>
                <w:szCs w:val="15"/>
              </w:rPr>
              <w:t>1,107.1</w:t>
            </w:r>
          </w:p>
        </w:tc>
        <w:tc>
          <w:tcPr>
            <w:tcW w:w="630" w:type="dxa"/>
          </w:tcPr>
          <w:p w14:paraId="77A32900" w14:textId="77777777" w:rsidR="00FA7EBF" w:rsidRPr="005A60A4" w:rsidRDefault="00FA7EBF" w:rsidP="005A60A4">
            <w:pPr>
              <w:pStyle w:val="ARfintablebodyrightbold"/>
              <w:ind w:right="0"/>
              <w:rPr>
                <w:sz w:val="15"/>
                <w:szCs w:val="15"/>
                <w:lang w:eastAsia="en-AU"/>
              </w:rPr>
            </w:pPr>
            <w:r w:rsidRPr="005A60A4">
              <w:rPr>
                <w:sz w:val="15"/>
                <w:szCs w:val="15"/>
              </w:rPr>
              <w:t>2.8</w:t>
            </w:r>
          </w:p>
        </w:tc>
        <w:tc>
          <w:tcPr>
            <w:tcW w:w="630" w:type="dxa"/>
          </w:tcPr>
          <w:p w14:paraId="4968E0DB" w14:textId="77777777" w:rsidR="00FA7EBF" w:rsidRPr="005A60A4" w:rsidRDefault="00FA7EBF" w:rsidP="005A60A4">
            <w:pPr>
              <w:pStyle w:val="ARfintablebodyrightbold"/>
              <w:ind w:right="0"/>
              <w:rPr>
                <w:sz w:val="15"/>
                <w:szCs w:val="15"/>
                <w:lang w:eastAsia="en-AU"/>
              </w:rPr>
            </w:pPr>
            <w:r w:rsidRPr="005A60A4">
              <w:rPr>
                <w:sz w:val="15"/>
                <w:szCs w:val="15"/>
              </w:rPr>
              <w:t>(10.7)</w:t>
            </w:r>
          </w:p>
        </w:tc>
        <w:tc>
          <w:tcPr>
            <w:tcW w:w="778" w:type="dxa"/>
          </w:tcPr>
          <w:p w14:paraId="57871523" w14:textId="77777777" w:rsidR="00FA7EBF" w:rsidRPr="005A60A4" w:rsidRDefault="00FA7EBF" w:rsidP="005A60A4">
            <w:pPr>
              <w:pStyle w:val="ARfintablebodyrightbold"/>
              <w:ind w:right="0"/>
              <w:rPr>
                <w:sz w:val="15"/>
                <w:szCs w:val="15"/>
                <w:lang w:eastAsia="en-AU"/>
              </w:rPr>
            </w:pPr>
            <w:r w:rsidRPr="005A60A4">
              <w:rPr>
                <w:sz w:val="15"/>
                <w:szCs w:val="15"/>
              </w:rPr>
              <w:t>17,921.1</w:t>
            </w:r>
          </w:p>
        </w:tc>
      </w:tr>
      <w:tr w:rsidR="00FA7EBF" w:rsidRPr="007939DD" w14:paraId="668ADF06" w14:textId="77777777" w:rsidTr="007B207C">
        <w:trPr>
          <w:cantSplit/>
        </w:trPr>
        <w:tc>
          <w:tcPr>
            <w:tcW w:w="14459" w:type="dxa"/>
            <w:gridSpan w:val="19"/>
            <w:tcBorders>
              <w:bottom w:val="single" w:sz="4" w:space="0" w:color="A6A6A6" w:themeColor="background1" w:themeShade="A6"/>
            </w:tcBorders>
          </w:tcPr>
          <w:p w14:paraId="412293BF" w14:textId="77777777" w:rsidR="00FA7EBF" w:rsidRPr="001D2FFF" w:rsidRDefault="00FA7EBF" w:rsidP="007B207C">
            <w:pPr>
              <w:pStyle w:val="ARfintablebodybold"/>
              <w:rPr>
                <w:sz w:val="15"/>
                <w:szCs w:val="15"/>
                <w:lang w:eastAsia="en-AU"/>
              </w:rPr>
            </w:pPr>
            <w:r w:rsidRPr="002E5E0F">
              <w:t>Expenses from transactions</w:t>
            </w:r>
          </w:p>
        </w:tc>
      </w:tr>
      <w:tr w:rsidR="00FA7EBF" w:rsidRPr="007939DD" w14:paraId="0766E139"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789AE4CF" w14:textId="77777777" w:rsidR="00FA7EBF" w:rsidRPr="007939DD" w:rsidRDefault="00FA7EBF" w:rsidP="007B207C">
            <w:pPr>
              <w:pStyle w:val="ARfintablebody"/>
              <w:rPr>
                <w:sz w:val="13"/>
                <w:szCs w:val="13"/>
                <w:lang w:eastAsia="en-AU"/>
              </w:rPr>
            </w:pPr>
            <w:r w:rsidRPr="002E5E0F">
              <w:t>Employee expenses</w:t>
            </w:r>
          </w:p>
        </w:tc>
        <w:tc>
          <w:tcPr>
            <w:tcW w:w="629" w:type="dxa"/>
            <w:tcBorders>
              <w:top w:val="single" w:sz="4" w:space="0" w:color="A6A6A6" w:themeColor="background1" w:themeShade="A6"/>
              <w:bottom w:val="single" w:sz="4" w:space="0" w:color="A6A6A6" w:themeColor="background1" w:themeShade="A6"/>
            </w:tcBorders>
          </w:tcPr>
          <w:p w14:paraId="6948CE29" w14:textId="77777777" w:rsidR="00FA7EBF" w:rsidRPr="001D2FFF" w:rsidRDefault="00FA7EBF" w:rsidP="007B207C">
            <w:pPr>
              <w:pStyle w:val="ARfintablebodyright"/>
              <w:ind w:right="0"/>
              <w:rPr>
                <w:sz w:val="15"/>
                <w:szCs w:val="15"/>
                <w:lang w:eastAsia="en-AU"/>
              </w:rPr>
            </w:pPr>
            <w:r w:rsidRPr="001D2FFF">
              <w:rPr>
                <w:sz w:val="15"/>
                <w:szCs w:val="15"/>
              </w:rPr>
              <w:t>114.0</w:t>
            </w:r>
          </w:p>
        </w:tc>
        <w:tc>
          <w:tcPr>
            <w:tcW w:w="629" w:type="dxa"/>
            <w:tcBorders>
              <w:top w:val="single" w:sz="4" w:space="0" w:color="A6A6A6" w:themeColor="background1" w:themeShade="A6"/>
              <w:bottom w:val="single" w:sz="4" w:space="0" w:color="A6A6A6" w:themeColor="background1" w:themeShade="A6"/>
            </w:tcBorders>
          </w:tcPr>
          <w:p w14:paraId="2919E991" w14:textId="77777777" w:rsidR="00FA7EBF" w:rsidRPr="001D2FFF" w:rsidRDefault="00FA7EBF" w:rsidP="007B207C">
            <w:pPr>
              <w:pStyle w:val="ARfintablebodyright"/>
              <w:ind w:right="0"/>
              <w:rPr>
                <w:sz w:val="15"/>
                <w:szCs w:val="15"/>
                <w:lang w:eastAsia="en-AU"/>
              </w:rPr>
            </w:pPr>
            <w:r w:rsidRPr="001D2FFF">
              <w:rPr>
                <w:sz w:val="15"/>
                <w:szCs w:val="15"/>
              </w:rPr>
              <w:t>1.6</w:t>
            </w:r>
          </w:p>
        </w:tc>
        <w:tc>
          <w:tcPr>
            <w:tcW w:w="629" w:type="dxa"/>
            <w:tcBorders>
              <w:top w:val="single" w:sz="4" w:space="0" w:color="A6A6A6" w:themeColor="background1" w:themeShade="A6"/>
              <w:bottom w:val="single" w:sz="4" w:space="0" w:color="A6A6A6" w:themeColor="background1" w:themeShade="A6"/>
            </w:tcBorders>
          </w:tcPr>
          <w:p w14:paraId="62221E04" w14:textId="77777777" w:rsidR="00FA7EBF" w:rsidRPr="001D2FFF" w:rsidRDefault="00FA7EBF" w:rsidP="007B207C">
            <w:pPr>
              <w:pStyle w:val="ARfintablebodyright"/>
              <w:ind w:right="0"/>
              <w:rPr>
                <w:sz w:val="15"/>
                <w:szCs w:val="15"/>
                <w:lang w:eastAsia="en-AU"/>
              </w:rPr>
            </w:pPr>
            <w:r w:rsidRPr="001D2FFF">
              <w:rPr>
                <w:sz w:val="15"/>
                <w:szCs w:val="15"/>
              </w:rPr>
              <w:t>31.5</w:t>
            </w:r>
          </w:p>
        </w:tc>
        <w:tc>
          <w:tcPr>
            <w:tcW w:w="629" w:type="dxa"/>
            <w:tcBorders>
              <w:top w:val="single" w:sz="4" w:space="0" w:color="A6A6A6" w:themeColor="background1" w:themeShade="A6"/>
              <w:bottom w:val="single" w:sz="4" w:space="0" w:color="A6A6A6" w:themeColor="background1" w:themeShade="A6"/>
            </w:tcBorders>
          </w:tcPr>
          <w:p w14:paraId="51E65E16" w14:textId="77777777" w:rsidR="00FA7EBF" w:rsidRPr="001D2FFF" w:rsidRDefault="00FA7EBF" w:rsidP="007B207C">
            <w:pPr>
              <w:pStyle w:val="ARfintablebodyright"/>
              <w:ind w:right="0"/>
              <w:rPr>
                <w:sz w:val="15"/>
                <w:szCs w:val="15"/>
                <w:lang w:eastAsia="en-AU"/>
              </w:rPr>
            </w:pPr>
            <w:r w:rsidRPr="001D2FFF">
              <w:rPr>
                <w:sz w:val="15"/>
                <w:szCs w:val="15"/>
              </w:rPr>
              <w:t>8.2</w:t>
            </w:r>
          </w:p>
        </w:tc>
        <w:tc>
          <w:tcPr>
            <w:tcW w:w="630" w:type="dxa"/>
            <w:tcBorders>
              <w:top w:val="single" w:sz="4" w:space="0" w:color="A6A6A6" w:themeColor="background1" w:themeShade="A6"/>
              <w:bottom w:val="single" w:sz="4" w:space="0" w:color="A6A6A6" w:themeColor="background1" w:themeShade="A6"/>
            </w:tcBorders>
          </w:tcPr>
          <w:p w14:paraId="0DB45BA5" w14:textId="77777777" w:rsidR="00FA7EBF" w:rsidRPr="001D2FFF" w:rsidRDefault="00FA7EBF" w:rsidP="007B207C">
            <w:pPr>
              <w:pStyle w:val="ARfintablebodyright"/>
              <w:ind w:right="0"/>
              <w:rPr>
                <w:sz w:val="15"/>
                <w:szCs w:val="15"/>
                <w:lang w:eastAsia="en-AU"/>
              </w:rPr>
            </w:pPr>
            <w:r w:rsidRPr="001D2FFF">
              <w:rPr>
                <w:sz w:val="15"/>
                <w:szCs w:val="15"/>
              </w:rPr>
              <w:t>15.4</w:t>
            </w:r>
          </w:p>
        </w:tc>
        <w:tc>
          <w:tcPr>
            <w:tcW w:w="630" w:type="dxa"/>
            <w:tcBorders>
              <w:top w:val="single" w:sz="4" w:space="0" w:color="A6A6A6" w:themeColor="background1" w:themeShade="A6"/>
              <w:bottom w:val="single" w:sz="4" w:space="0" w:color="A6A6A6" w:themeColor="background1" w:themeShade="A6"/>
            </w:tcBorders>
          </w:tcPr>
          <w:p w14:paraId="5B2C80C3" w14:textId="77777777" w:rsidR="00FA7EBF" w:rsidRPr="001D2FFF" w:rsidRDefault="00FA7EBF" w:rsidP="007B207C">
            <w:pPr>
              <w:pStyle w:val="ARfintablebodyright"/>
              <w:ind w:right="0"/>
              <w:rPr>
                <w:sz w:val="15"/>
                <w:szCs w:val="15"/>
                <w:lang w:eastAsia="en-AU"/>
              </w:rPr>
            </w:pPr>
            <w:r w:rsidRPr="001D2FFF">
              <w:rPr>
                <w:sz w:val="15"/>
                <w:szCs w:val="15"/>
              </w:rPr>
              <w:t>6.5</w:t>
            </w:r>
          </w:p>
        </w:tc>
        <w:tc>
          <w:tcPr>
            <w:tcW w:w="630" w:type="dxa"/>
            <w:tcBorders>
              <w:top w:val="single" w:sz="4" w:space="0" w:color="A6A6A6" w:themeColor="background1" w:themeShade="A6"/>
              <w:bottom w:val="single" w:sz="4" w:space="0" w:color="A6A6A6" w:themeColor="background1" w:themeShade="A6"/>
            </w:tcBorders>
          </w:tcPr>
          <w:p w14:paraId="55549F0B" w14:textId="77777777" w:rsidR="00FA7EBF" w:rsidRPr="001D2FFF" w:rsidRDefault="00FA7EBF" w:rsidP="007B207C">
            <w:pPr>
              <w:pStyle w:val="ARfintablebodyright"/>
              <w:ind w:right="0"/>
              <w:rPr>
                <w:sz w:val="15"/>
                <w:szCs w:val="15"/>
                <w:lang w:eastAsia="en-AU"/>
              </w:rPr>
            </w:pPr>
            <w:r w:rsidRPr="001D2FFF">
              <w:rPr>
                <w:sz w:val="15"/>
                <w:szCs w:val="15"/>
              </w:rPr>
              <w:t>51.1</w:t>
            </w:r>
          </w:p>
        </w:tc>
        <w:tc>
          <w:tcPr>
            <w:tcW w:w="630" w:type="dxa"/>
            <w:tcBorders>
              <w:top w:val="single" w:sz="4" w:space="0" w:color="A6A6A6" w:themeColor="background1" w:themeShade="A6"/>
              <w:bottom w:val="single" w:sz="4" w:space="0" w:color="A6A6A6" w:themeColor="background1" w:themeShade="A6"/>
            </w:tcBorders>
          </w:tcPr>
          <w:p w14:paraId="2A66398C" w14:textId="77777777" w:rsidR="00FA7EBF" w:rsidRPr="001D2FFF" w:rsidRDefault="00FA7EBF" w:rsidP="007B207C">
            <w:pPr>
              <w:pStyle w:val="ARfintablebodyright"/>
              <w:ind w:right="0"/>
              <w:rPr>
                <w:sz w:val="15"/>
                <w:szCs w:val="15"/>
                <w:lang w:eastAsia="en-AU"/>
              </w:rPr>
            </w:pPr>
            <w:r w:rsidRPr="001D2FFF">
              <w:rPr>
                <w:sz w:val="15"/>
                <w:szCs w:val="15"/>
              </w:rPr>
              <w:t>10.6</w:t>
            </w:r>
          </w:p>
        </w:tc>
        <w:tc>
          <w:tcPr>
            <w:tcW w:w="630" w:type="dxa"/>
            <w:tcBorders>
              <w:top w:val="single" w:sz="4" w:space="0" w:color="A6A6A6" w:themeColor="background1" w:themeShade="A6"/>
              <w:bottom w:val="single" w:sz="4" w:space="0" w:color="A6A6A6" w:themeColor="background1" w:themeShade="A6"/>
            </w:tcBorders>
          </w:tcPr>
          <w:p w14:paraId="2EBA6D74" w14:textId="77777777" w:rsidR="00FA7EBF" w:rsidRPr="001D2FFF" w:rsidRDefault="00FA7EBF" w:rsidP="007B207C">
            <w:pPr>
              <w:pStyle w:val="ARfintablebodyright"/>
              <w:ind w:right="0"/>
              <w:rPr>
                <w:sz w:val="15"/>
                <w:szCs w:val="15"/>
                <w:lang w:eastAsia="en-AU"/>
              </w:rPr>
            </w:pPr>
            <w:r w:rsidRPr="001D2FFF">
              <w:rPr>
                <w:sz w:val="15"/>
                <w:szCs w:val="15"/>
              </w:rPr>
              <w:t>578.9</w:t>
            </w:r>
          </w:p>
        </w:tc>
        <w:tc>
          <w:tcPr>
            <w:tcW w:w="630" w:type="dxa"/>
            <w:tcBorders>
              <w:top w:val="single" w:sz="4" w:space="0" w:color="A6A6A6" w:themeColor="background1" w:themeShade="A6"/>
              <w:bottom w:val="single" w:sz="4" w:space="0" w:color="A6A6A6" w:themeColor="background1" w:themeShade="A6"/>
            </w:tcBorders>
          </w:tcPr>
          <w:p w14:paraId="4105BA75" w14:textId="77777777" w:rsidR="00FA7EBF" w:rsidRPr="001D2FFF" w:rsidRDefault="00FA7EBF" w:rsidP="007B207C">
            <w:pPr>
              <w:pStyle w:val="ARfintablebodyright"/>
              <w:ind w:right="0"/>
              <w:rPr>
                <w:sz w:val="15"/>
                <w:szCs w:val="15"/>
                <w:lang w:eastAsia="en-AU"/>
              </w:rPr>
            </w:pPr>
            <w:r w:rsidRPr="001D2FFF">
              <w:rPr>
                <w:sz w:val="15"/>
                <w:szCs w:val="15"/>
              </w:rPr>
              <w:t>343.4</w:t>
            </w:r>
          </w:p>
        </w:tc>
        <w:tc>
          <w:tcPr>
            <w:tcW w:w="630" w:type="dxa"/>
            <w:tcBorders>
              <w:top w:val="single" w:sz="4" w:space="0" w:color="A6A6A6" w:themeColor="background1" w:themeShade="A6"/>
              <w:bottom w:val="single" w:sz="4" w:space="0" w:color="A6A6A6" w:themeColor="background1" w:themeShade="A6"/>
            </w:tcBorders>
          </w:tcPr>
          <w:p w14:paraId="13CEE0A4" w14:textId="77777777" w:rsidR="00FA7EBF" w:rsidRPr="001D2FFF" w:rsidRDefault="00FA7EBF" w:rsidP="007B207C">
            <w:pPr>
              <w:pStyle w:val="ARfintablebodyright"/>
              <w:ind w:right="0"/>
              <w:rPr>
                <w:sz w:val="15"/>
                <w:szCs w:val="15"/>
                <w:lang w:eastAsia="en-AU"/>
              </w:rPr>
            </w:pPr>
            <w:r w:rsidRPr="001D2FFF">
              <w:rPr>
                <w:sz w:val="15"/>
                <w:szCs w:val="15"/>
              </w:rPr>
              <w:t>8.2</w:t>
            </w:r>
          </w:p>
        </w:tc>
        <w:tc>
          <w:tcPr>
            <w:tcW w:w="630" w:type="dxa"/>
            <w:tcBorders>
              <w:top w:val="single" w:sz="4" w:space="0" w:color="A6A6A6" w:themeColor="background1" w:themeShade="A6"/>
              <w:bottom w:val="single" w:sz="4" w:space="0" w:color="A6A6A6" w:themeColor="background1" w:themeShade="A6"/>
            </w:tcBorders>
          </w:tcPr>
          <w:p w14:paraId="028CA7A8" w14:textId="77777777" w:rsidR="00FA7EBF" w:rsidRPr="001D2FFF" w:rsidRDefault="00FA7EBF" w:rsidP="007B207C">
            <w:pPr>
              <w:pStyle w:val="ARfintablebodyright"/>
              <w:ind w:right="0"/>
              <w:rPr>
                <w:sz w:val="15"/>
                <w:szCs w:val="15"/>
                <w:lang w:eastAsia="en-AU"/>
              </w:rPr>
            </w:pPr>
            <w:r w:rsidRPr="001D2FFF">
              <w:rPr>
                <w:sz w:val="15"/>
                <w:szCs w:val="15"/>
              </w:rPr>
              <w:t>18.1</w:t>
            </w:r>
          </w:p>
        </w:tc>
        <w:tc>
          <w:tcPr>
            <w:tcW w:w="630" w:type="dxa"/>
            <w:tcBorders>
              <w:top w:val="single" w:sz="4" w:space="0" w:color="A6A6A6" w:themeColor="background1" w:themeShade="A6"/>
              <w:bottom w:val="single" w:sz="4" w:space="0" w:color="A6A6A6" w:themeColor="background1" w:themeShade="A6"/>
            </w:tcBorders>
          </w:tcPr>
          <w:p w14:paraId="690894B9" w14:textId="77777777" w:rsidR="00FA7EBF" w:rsidRPr="001D2FFF" w:rsidRDefault="00FA7EBF" w:rsidP="007B207C">
            <w:pPr>
              <w:pStyle w:val="ARfintablebodyright"/>
              <w:ind w:right="0"/>
              <w:rPr>
                <w:sz w:val="15"/>
                <w:szCs w:val="15"/>
                <w:lang w:eastAsia="en-AU"/>
              </w:rPr>
            </w:pPr>
            <w:r w:rsidRPr="001D2FFF">
              <w:rPr>
                <w:sz w:val="15"/>
                <w:szCs w:val="15"/>
              </w:rPr>
              <w:t>4.0</w:t>
            </w:r>
          </w:p>
        </w:tc>
        <w:tc>
          <w:tcPr>
            <w:tcW w:w="630" w:type="dxa"/>
            <w:tcBorders>
              <w:top w:val="single" w:sz="4" w:space="0" w:color="A6A6A6" w:themeColor="background1" w:themeShade="A6"/>
              <w:bottom w:val="single" w:sz="4" w:space="0" w:color="A6A6A6" w:themeColor="background1" w:themeShade="A6"/>
            </w:tcBorders>
          </w:tcPr>
          <w:p w14:paraId="093E5BFF" w14:textId="77777777" w:rsidR="00FA7EBF" w:rsidRPr="001D2FFF" w:rsidRDefault="00FA7EBF" w:rsidP="007B207C">
            <w:pPr>
              <w:pStyle w:val="ARfintablebodyright"/>
              <w:ind w:right="0"/>
              <w:rPr>
                <w:sz w:val="15"/>
                <w:szCs w:val="15"/>
                <w:lang w:eastAsia="en-AU"/>
              </w:rPr>
            </w:pPr>
            <w:r w:rsidRPr="001D2FFF">
              <w:rPr>
                <w:sz w:val="15"/>
                <w:szCs w:val="15"/>
              </w:rPr>
              <w:t>22.2</w:t>
            </w:r>
          </w:p>
        </w:tc>
        <w:tc>
          <w:tcPr>
            <w:tcW w:w="630" w:type="dxa"/>
            <w:tcBorders>
              <w:top w:val="single" w:sz="4" w:space="0" w:color="A6A6A6" w:themeColor="background1" w:themeShade="A6"/>
              <w:bottom w:val="single" w:sz="4" w:space="0" w:color="A6A6A6" w:themeColor="background1" w:themeShade="A6"/>
            </w:tcBorders>
          </w:tcPr>
          <w:p w14:paraId="385C0780" w14:textId="77777777" w:rsidR="00FA7EBF" w:rsidRPr="001D2FFF" w:rsidRDefault="00FA7EBF" w:rsidP="007B207C">
            <w:pPr>
              <w:pStyle w:val="ARfintablebodyright"/>
              <w:ind w:right="0"/>
              <w:rPr>
                <w:sz w:val="15"/>
                <w:szCs w:val="15"/>
                <w:lang w:eastAsia="en-AU"/>
              </w:rPr>
            </w:pPr>
            <w:r w:rsidRPr="001D2FFF">
              <w:rPr>
                <w:sz w:val="15"/>
                <w:szCs w:val="15"/>
              </w:rPr>
              <w:t>110.6</w:t>
            </w:r>
          </w:p>
        </w:tc>
        <w:tc>
          <w:tcPr>
            <w:tcW w:w="630" w:type="dxa"/>
            <w:tcBorders>
              <w:top w:val="single" w:sz="4" w:space="0" w:color="A6A6A6" w:themeColor="background1" w:themeShade="A6"/>
              <w:bottom w:val="single" w:sz="4" w:space="0" w:color="A6A6A6" w:themeColor="background1" w:themeShade="A6"/>
            </w:tcBorders>
          </w:tcPr>
          <w:p w14:paraId="3D988660" w14:textId="77777777" w:rsidR="00FA7EBF" w:rsidRPr="001D2FFF" w:rsidRDefault="00FA7EBF" w:rsidP="007B207C">
            <w:pPr>
              <w:pStyle w:val="ARfintablebodyright"/>
              <w:ind w:right="0"/>
              <w:rPr>
                <w:sz w:val="15"/>
                <w:szCs w:val="15"/>
                <w:lang w:eastAsia="en-AU"/>
              </w:rPr>
            </w:pPr>
            <w:r w:rsidRPr="001D2FFF">
              <w:rPr>
                <w:sz w:val="15"/>
                <w:szCs w:val="15"/>
              </w:rPr>
              <w:t>1.7</w:t>
            </w:r>
          </w:p>
        </w:tc>
        <w:tc>
          <w:tcPr>
            <w:tcW w:w="630" w:type="dxa"/>
            <w:tcBorders>
              <w:top w:val="single" w:sz="4" w:space="0" w:color="A6A6A6" w:themeColor="background1" w:themeShade="A6"/>
              <w:bottom w:val="single" w:sz="4" w:space="0" w:color="A6A6A6" w:themeColor="background1" w:themeShade="A6"/>
            </w:tcBorders>
          </w:tcPr>
          <w:p w14:paraId="1F67F8A7"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72BAE818" w14:textId="77777777" w:rsidR="00FA7EBF" w:rsidRPr="001D2FFF" w:rsidRDefault="00FA7EBF" w:rsidP="007B207C">
            <w:pPr>
              <w:pStyle w:val="ARfintablebodyright"/>
              <w:ind w:right="0"/>
              <w:rPr>
                <w:sz w:val="15"/>
                <w:szCs w:val="15"/>
                <w:lang w:eastAsia="en-AU"/>
              </w:rPr>
            </w:pPr>
            <w:r w:rsidRPr="001D2FFF">
              <w:rPr>
                <w:sz w:val="15"/>
                <w:szCs w:val="15"/>
              </w:rPr>
              <w:t>1,325.9</w:t>
            </w:r>
          </w:p>
        </w:tc>
      </w:tr>
      <w:tr w:rsidR="00FA7EBF" w:rsidRPr="007939DD" w14:paraId="23A722BC"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10DB0EF8" w14:textId="77777777" w:rsidR="00FA7EBF" w:rsidRPr="007939DD" w:rsidRDefault="00FA7EBF" w:rsidP="007B207C">
            <w:pPr>
              <w:pStyle w:val="ARfintablebody"/>
              <w:rPr>
                <w:sz w:val="13"/>
                <w:szCs w:val="13"/>
                <w:lang w:eastAsia="en-AU"/>
              </w:rPr>
            </w:pPr>
            <w:r w:rsidRPr="002E5E0F">
              <w:t>Depreciation and amortisation</w:t>
            </w:r>
          </w:p>
        </w:tc>
        <w:tc>
          <w:tcPr>
            <w:tcW w:w="629" w:type="dxa"/>
            <w:tcBorders>
              <w:top w:val="single" w:sz="4" w:space="0" w:color="A6A6A6" w:themeColor="background1" w:themeShade="A6"/>
              <w:bottom w:val="single" w:sz="4" w:space="0" w:color="A6A6A6" w:themeColor="background1" w:themeShade="A6"/>
            </w:tcBorders>
          </w:tcPr>
          <w:p w14:paraId="3ED9E99B" w14:textId="77777777" w:rsidR="00FA7EBF" w:rsidRPr="001D2FFF" w:rsidRDefault="00FA7EBF" w:rsidP="007B207C">
            <w:pPr>
              <w:pStyle w:val="ARfintablebodyright"/>
              <w:ind w:right="0"/>
              <w:rPr>
                <w:sz w:val="15"/>
                <w:szCs w:val="15"/>
                <w:lang w:eastAsia="en-AU"/>
              </w:rPr>
            </w:pPr>
            <w:r w:rsidRPr="001D2FFF">
              <w:rPr>
                <w:sz w:val="15"/>
                <w:szCs w:val="15"/>
              </w:rPr>
              <w:t>10.1</w:t>
            </w:r>
          </w:p>
        </w:tc>
        <w:tc>
          <w:tcPr>
            <w:tcW w:w="629" w:type="dxa"/>
            <w:tcBorders>
              <w:top w:val="single" w:sz="4" w:space="0" w:color="A6A6A6" w:themeColor="background1" w:themeShade="A6"/>
              <w:bottom w:val="single" w:sz="4" w:space="0" w:color="A6A6A6" w:themeColor="background1" w:themeShade="A6"/>
            </w:tcBorders>
          </w:tcPr>
          <w:p w14:paraId="48E3AAE9"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6120910C" w14:textId="77777777" w:rsidR="00FA7EBF" w:rsidRPr="001D2FFF" w:rsidRDefault="00FA7EBF" w:rsidP="007B207C">
            <w:pPr>
              <w:pStyle w:val="ARfintablebodyright"/>
              <w:ind w:right="0"/>
              <w:rPr>
                <w:sz w:val="15"/>
                <w:szCs w:val="15"/>
                <w:lang w:eastAsia="en-AU"/>
              </w:rPr>
            </w:pPr>
            <w:r w:rsidRPr="001D2FFF">
              <w:rPr>
                <w:sz w:val="15"/>
                <w:szCs w:val="15"/>
              </w:rPr>
              <w:t>9.1</w:t>
            </w:r>
          </w:p>
        </w:tc>
        <w:tc>
          <w:tcPr>
            <w:tcW w:w="629" w:type="dxa"/>
            <w:tcBorders>
              <w:top w:val="single" w:sz="4" w:space="0" w:color="A6A6A6" w:themeColor="background1" w:themeShade="A6"/>
              <w:bottom w:val="single" w:sz="4" w:space="0" w:color="A6A6A6" w:themeColor="background1" w:themeShade="A6"/>
            </w:tcBorders>
          </w:tcPr>
          <w:p w14:paraId="3969627C" w14:textId="77777777" w:rsidR="00FA7EBF" w:rsidRPr="001D2FFF" w:rsidRDefault="00FA7EBF" w:rsidP="007B207C">
            <w:pPr>
              <w:pStyle w:val="ARfintablebodyright"/>
              <w:ind w:right="0"/>
              <w:rPr>
                <w:sz w:val="15"/>
                <w:szCs w:val="15"/>
                <w:lang w:eastAsia="en-AU"/>
              </w:rPr>
            </w:pPr>
            <w:r w:rsidRPr="001D2FFF">
              <w:rPr>
                <w:sz w:val="15"/>
                <w:szCs w:val="15"/>
              </w:rPr>
              <w:t>0.7</w:t>
            </w:r>
          </w:p>
        </w:tc>
        <w:tc>
          <w:tcPr>
            <w:tcW w:w="630" w:type="dxa"/>
            <w:tcBorders>
              <w:top w:val="single" w:sz="4" w:space="0" w:color="A6A6A6" w:themeColor="background1" w:themeShade="A6"/>
              <w:bottom w:val="single" w:sz="4" w:space="0" w:color="A6A6A6" w:themeColor="background1" w:themeShade="A6"/>
            </w:tcBorders>
          </w:tcPr>
          <w:p w14:paraId="1AF402D2" w14:textId="77777777" w:rsidR="00FA7EBF" w:rsidRPr="001D2FFF" w:rsidRDefault="00FA7EBF" w:rsidP="007B207C">
            <w:pPr>
              <w:pStyle w:val="ARfintablebodyright"/>
              <w:ind w:right="0"/>
              <w:rPr>
                <w:sz w:val="15"/>
                <w:szCs w:val="15"/>
                <w:lang w:eastAsia="en-AU"/>
              </w:rPr>
            </w:pPr>
            <w:r w:rsidRPr="001D2FFF">
              <w:rPr>
                <w:sz w:val="15"/>
                <w:szCs w:val="15"/>
              </w:rPr>
              <w:t>3.2</w:t>
            </w:r>
          </w:p>
        </w:tc>
        <w:tc>
          <w:tcPr>
            <w:tcW w:w="630" w:type="dxa"/>
            <w:tcBorders>
              <w:top w:val="single" w:sz="4" w:space="0" w:color="A6A6A6" w:themeColor="background1" w:themeShade="A6"/>
              <w:bottom w:val="single" w:sz="4" w:space="0" w:color="A6A6A6" w:themeColor="background1" w:themeShade="A6"/>
            </w:tcBorders>
          </w:tcPr>
          <w:p w14:paraId="1E1CE89D" w14:textId="77777777" w:rsidR="00FA7EBF" w:rsidRPr="001D2FFF" w:rsidRDefault="00FA7EBF" w:rsidP="007B207C">
            <w:pPr>
              <w:pStyle w:val="ARfintablebodyright"/>
              <w:ind w:right="0"/>
              <w:rPr>
                <w:sz w:val="15"/>
                <w:szCs w:val="15"/>
                <w:lang w:eastAsia="en-AU"/>
              </w:rPr>
            </w:pPr>
            <w:r w:rsidRPr="001D2FFF">
              <w:rPr>
                <w:sz w:val="15"/>
                <w:szCs w:val="15"/>
              </w:rPr>
              <w:t>(0.1)</w:t>
            </w:r>
          </w:p>
        </w:tc>
        <w:tc>
          <w:tcPr>
            <w:tcW w:w="630" w:type="dxa"/>
            <w:tcBorders>
              <w:top w:val="single" w:sz="4" w:space="0" w:color="A6A6A6" w:themeColor="background1" w:themeShade="A6"/>
              <w:bottom w:val="single" w:sz="4" w:space="0" w:color="A6A6A6" w:themeColor="background1" w:themeShade="A6"/>
            </w:tcBorders>
          </w:tcPr>
          <w:p w14:paraId="56149CF6" w14:textId="77777777" w:rsidR="00FA7EBF" w:rsidRPr="001D2FFF" w:rsidRDefault="00FA7EBF" w:rsidP="007B207C">
            <w:pPr>
              <w:pStyle w:val="ARfintablebodyright"/>
              <w:ind w:right="0"/>
              <w:rPr>
                <w:sz w:val="15"/>
                <w:szCs w:val="15"/>
                <w:lang w:eastAsia="en-AU"/>
              </w:rPr>
            </w:pPr>
            <w:r w:rsidRPr="001D2FFF">
              <w:rPr>
                <w:sz w:val="15"/>
                <w:szCs w:val="15"/>
              </w:rPr>
              <w:t>1.1</w:t>
            </w:r>
          </w:p>
        </w:tc>
        <w:tc>
          <w:tcPr>
            <w:tcW w:w="630" w:type="dxa"/>
            <w:tcBorders>
              <w:top w:val="single" w:sz="4" w:space="0" w:color="A6A6A6" w:themeColor="background1" w:themeShade="A6"/>
              <w:bottom w:val="single" w:sz="4" w:space="0" w:color="A6A6A6" w:themeColor="background1" w:themeShade="A6"/>
            </w:tcBorders>
          </w:tcPr>
          <w:p w14:paraId="6FD65F9B" w14:textId="77777777" w:rsidR="00FA7EBF" w:rsidRPr="001D2FFF" w:rsidRDefault="00FA7EBF" w:rsidP="007B207C">
            <w:pPr>
              <w:pStyle w:val="ARfintablebodyright"/>
              <w:ind w:right="0"/>
              <w:rPr>
                <w:sz w:val="15"/>
                <w:szCs w:val="15"/>
                <w:lang w:eastAsia="en-AU"/>
              </w:rPr>
            </w:pPr>
            <w:r w:rsidRPr="001D2FFF">
              <w:rPr>
                <w:sz w:val="15"/>
                <w:szCs w:val="15"/>
              </w:rPr>
              <w:t>0.2</w:t>
            </w:r>
          </w:p>
        </w:tc>
        <w:tc>
          <w:tcPr>
            <w:tcW w:w="630" w:type="dxa"/>
            <w:tcBorders>
              <w:top w:val="single" w:sz="4" w:space="0" w:color="A6A6A6" w:themeColor="background1" w:themeShade="A6"/>
              <w:bottom w:val="single" w:sz="4" w:space="0" w:color="A6A6A6" w:themeColor="background1" w:themeShade="A6"/>
            </w:tcBorders>
          </w:tcPr>
          <w:p w14:paraId="0E1EC023" w14:textId="77777777" w:rsidR="00FA7EBF" w:rsidRPr="001D2FFF" w:rsidRDefault="00FA7EBF" w:rsidP="007B207C">
            <w:pPr>
              <w:pStyle w:val="ARfintablebodyright"/>
              <w:ind w:right="0"/>
              <w:rPr>
                <w:sz w:val="15"/>
                <w:szCs w:val="15"/>
                <w:lang w:eastAsia="en-AU"/>
              </w:rPr>
            </w:pPr>
            <w:r w:rsidRPr="001D2FFF">
              <w:rPr>
                <w:sz w:val="15"/>
                <w:szCs w:val="15"/>
              </w:rPr>
              <w:t>18.0</w:t>
            </w:r>
          </w:p>
        </w:tc>
        <w:tc>
          <w:tcPr>
            <w:tcW w:w="630" w:type="dxa"/>
            <w:tcBorders>
              <w:top w:val="single" w:sz="4" w:space="0" w:color="A6A6A6" w:themeColor="background1" w:themeShade="A6"/>
              <w:bottom w:val="single" w:sz="4" w:space="0" w:color="A6A6A6" w:themeColor="background1" w:themeShade="A6"/>
            </w:tcBorders>
          </w:tcPr>
          <w:p w14:paraId="4CBDB7E2" w14:textId="77777777" w:rsidR="00FA7EBF" w:rsidRPr="001D2FFF" w:rsidRDefault="00FA7EBF" w:rsidP="007B207C">
            <w:pPr>
              <w:pStyle w:val="ARfintablebodyright"/>
              <w:ind w:right="0"/>
              <w:rPr>
                <w:sz w:val="15"/>
                <w:szCs w:val="15"/>
                <w:lang w:eastAsia="en-AU"/>
              </w:rPr>
            </w:pPr>
            <w:r w:rsidRPr="001D2FFF">
              <w:rPr>
                <w:sz w:val="15"/>
                <w:szCs w:val="15"/>
              </w:rPr>
              <w:t>12.8</w:t>
            </w:r>
          </w:p>
        </w:tc>
        <w:tc>
          <w:tcPr>
            <w:tcW w:w="630" w:type="dxa"/>
            <w:tcBorders>
              <w:top w:val="single" w:sz="4" w:space="0" w:color="A6A6A6" w:themeColor="background1" w:themeShade="A6"/>
              <w:bottom w:val="single" w:sz="4" w:space="0" w:color="A6A6A6" w:themeColor="background1" w:themeShade="A6"/>
            </w:tcBorders>
          </w:tcPr>
          <w:p w14:paraId="254449A5"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7CA1209" w14:textId="77777777" w:rsidR="00FA7EBF" w:rsidRPr="001D2FFF" w:rsidRDefault="00FA7EBF" w:rsidP="007B207C">
            <w:pPr>
              <w:pStyle w:val="ARfintablebodyright"/>
              <w:ind w:right="0"/>
              <w:rPr>
                <w:sz w:val="15"/>
                <w:szCs w:val="15"/>
                <w:lang w:eastAsia="en-AU"/>
              </w:rPr>
            </w:pPr>
            <w:r w:rsidRPr="001D2FFF">
              <w:rPr>
                <w:sz w:val="15"/>
                <w:szCs w:val="15"/>
              </w:rPr>
              <w:t>1.0</w:t>
            </w:r>
          </w:p>
        </w:tc>
        <w:tc>
          <w:tcPr>
            <w:tcW w:w="630" w:type="dxa"/>
            <w:tcBorders>
              <w:top w:val="single" w:sz="4" w:space="0" w:color="A6A6A6" w:themeColor="background1" w:themeShade="A6"/>
              <w:bottom w:val="single" w:sz="4" w:space="0" w:color="A6A6A6" w:themeColor="background1" w:themeShade="A6"/>
            </w:tcBorders>
          </w:tcPr>
          <w:p w14:paraId="2E22CDF8"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8446FC0" w14:textId="77777777" w:rsidR="00FA7EBF" w:rsidRPr="001D2FFF" w:rsidRDefault="00FA7EBF" w:rsidP="007B207C">
            <w:pPr>
              <w:pStyle w:val="ARfintablebodyright"/>
              <w:ind w:right="0"/>
              <w:rPr>
                <w:sz w:val="15"/>
                <w:szCs w:val="15"/>
                <w:lang w:eastAsia="en-AU"/>
              </w:rPr>
            </w:pPr>
            <w:r w:rsidRPr="001D2FFF">
              <w:rPr>
                <w:sz w:val="15"/>
                <w:szCs w:val="15"/>
              </w:rPr>
              <w:t>0.3</w:t>
            </w:r>
          </w:p>
        </w:tc>
        <w:tc>
          <w:tcPr>
            <w:tcW w:w="630" w:type="dxa"/>
            <w:tcBorders>
              <w:top w:val="single" w:sz="4" w:space="0" w:color="A6A6A6" w:themeColor="background1" w:themeShade="A6"/>
              <w:bottom w:val="single" w:sz="4" w:space="0" w:color="A6A6A6" w:themeColor="background1" w:themeShade="A6"/>
            </w:tcBorders>
          </w:tcPr>
          <w:p w14:paraId="447FC542" w14:textId="77777777" w:rsidR="00FA7EBF" w:rsidRPr="001D2FFF" w:rsidRDefault="00FA7EBF" w:rsidP="007B207C">
            <w:pPr>
              <w:pStyle w:val="ARfintablebodyright"/>
              <w:ind w:right="0"/>
              <w:rPr>
                <w:sz w:val="15"/>
                <w:szCs w:val="15"/>
                <w:lang w:eastAsia="en-AU"/>
              </w:rPr>
            </w:pPr>
            <w:r w:rsidRPr="001D2FFF">
              <w:rPr>
                <w:sz w:val="15"/>
                <w:szCs w:val="15"/>
              </w:rPr>
              <w:t>208.8</w:t>
            </w:r>
          </w:p>
        </w:tc>
        <w:tc>
          <w:tcPr>
            <w:tcW w:w="630" w:type="dxa"/>
            <w:tcBorders>
              <w:top w:val="single" w:sz="4" w:space="0" w:color="A6A6A6" w:themeColor="background1" w:themeShade="A6"/>
              <w:bottom w:val="single" w:sz="4" w:space="0" w:color="A6A6A6" w:themeColor="background1" w:themeShade="A6"/>
            </w:tcBorders>
          </w:tcPr>
          <w:p w14:paraId="74BF4AC4" w14:textId="77777777" w:rsidR="00FA7EBF" w:rsidRPr="001D2FFF" w:rsidRDefault="00FA7EBF" w:rsidP="007B207C">
            <w:pPr>
              <w:pStyle w:val="ARfintablebodyright"/>
              <w:ind w:right="0"/>
              <w:rPr>
                <w:sz w:val="15"/>
                <w:szCs w:val="15"/>
                <w:lang w:eastAsia="en-AU"/>
              </w:rPr>
            </w:pPr>
            <w:r w:rsidRPr="001D2FFF">
              <w:rPr>
                <w:sz w:val="15"/>
                <w:szCs w:val="15"/>
              </w:rPr>
              <w:t>0.5</w:t>
            </w:r>
          </w:p>
        </w:tc>
        <w:tc>
          <w:tcPr>
            <w:tcW w:w="630" w:type="dxa"/>
            <w:tcBorders>
              <w:top w:val="single" w:sz="4" w:space="0" w:color="A6A6A6" w:themeColor="background1" w:themeShade="A6"/>
              <w:bottom w:val="single" w:sz="4" w:space="0" w:color="A6A6A6" w:themeColor="background1" w:themeShade="A6"/>
            </w:tcBorders>
          </w:tcPr>
          <w:p w14:paraId="69A44094"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5D4E65E0" w14:textId="77777777" w:rsidR="00FA7EBF" w:rsidRPr="001D2FFF" w:rsidRDefault="00FA7EBF" w:rsidP="007B207C">
            <w:pPr>
              <w:pStyle w:val="ARfintablebodyright"/>
              <w:ind w:right="0"/>
              <w:rPr>
                <w:sz w:val="15"/>
                <w:szCs w:val="15"/>
                <w:lang w:eastAsia="en-AU"/>
              </w:rPr>
            </w:pPr>
            <w:r w:rsidRPr="001D2FFF">
              <w:rPr>
                <w:sz w:val="15"/>
                <w:szCs w:val="15"/>
              </w:rPr>
              <w:t>265.8</w:t>
            </w:r>
          </w:p>
        </w:tc>
      </w:tr>
      <w:tr w:rsidR="00FA7EBF" w:rsidRPr="007939DD" w14:paraId="0A39DBE6"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5DEC5066" w14:textId="77777777" w:rsidR="00FA7EBF" w:rsidRPr="007939DD" w:rsidRDefault="00FA7EBF" w:rsidP="007B207C">
            <w:pPr>
              <w:pStyle w:val="ARfintablebody"/>
              <w:rPr>
                <w:sz w:val="13"/>
                <w:szCs w:val="13"/>
                <w:lang w:eastAsia="en-AU"/>
              </w:rPr>
            </w:pPr>
            <w:r w:rsidRPr="002E5E0F">
              <w:t>Interest expense</w:t>
            </w:r>
          </w:p>
        </w:tc>
        <w:tc>
          <w:tcPr>
            <w:tcW w:w="629" w:type="dxa"/>
            <w:tcBorders>
              <w:top w:val="single" w:sz="4" w:space="0" w:color="A6A6A6" w:themeColor="background1" w:themeShade="A6"/>
              <w:bottom w:val="single" w:sz="4" w:space="0" w:color="A6A6A6" w:themeColor="background1" w:themeShade="A6"/>
            </w:tcBorders>
          </w:tcPr>
          <w:p w14:paraId="4DD54B8B" w14:textId="77777777" w:rsidR="00FA7EBF" w:rsidRPr="001D2FFF" w:rsidRDefault="00FA7EBF" w:rsidP="007B207C">
            <w:pPr>
              <w:pStyle w:val="ARfintablebodyright"/>
              <w:ind w:right="0"/>
              <w:rPr>
                <w:sz w:val="15"/>
                <w:szCs w:val="15"/>
                <w:lang w:eastAsia="en-AU"/>
              </w:rPr>
            </w:pPr>
            <w:r w:rsidRPr="001D2FFF">
              <w:rPr>
                <w:sz w:val="15"/>
                <w:szCs w:val="15"/>
              </w:rPr>
              <w:t>0.1</w:t>
            </w:r>
          </w:p>
        </w:tc>
        <w:tc>
          <w:tcPr>
            <w:tcW w:w="629" w:type="dxa"/>
            <w:tcBorders>
              <w:top w:val="single" w:sz="4" w:space="0" w:color="A6A6A6" w:themeColor="background1" w:themeShade="A6"/>
              <w:bottom w:val="single" w:sz="4" w:space="0" w:color="A6A6A6" w:themeColor="background1" w:themeShade="A6"/>
            </w:tcBorders>
          </w:tcPr>
          <w:p w14:paraId="0AC00252"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0325A9B5" w14:textId="77777777" w:rsidR="00FA7EBF" w:rsidRPr="001D2FFF" w:rsidRDefault="00FA7EBF" w:rsidP="007B207C">
            <w:pPr>
              <w:pStyle w:val="ARfintablebodyright"/>
              <w:ind w:right="0"/>
              <w:rPr>
                <w:sz w:val="15"/>
                <w:szCs w:val="15"/>
                <w:lang w:eastAsia="en-AU"/>
              </w:rPr>
            </w:pPr>
            <w:r w:rsidRPr="00CC0193">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56EC34C8" w14:textId="77777777" w:rsidR="00FA7EBF" w:rsidRPr="001D2FFF" w:rsidRDefault="00FA7EBF" w:rsidP="007B207C">
            <w:pPr>
              <w:pStyle w:val="ARfintablebodyright"/>
              <w:ind w:right="0"/>
              <w:rPr>
                <w:sz w:val="15"/>
                <w:szCs w:val="15"/>
                <w:lang w:eastAsia="en-AU"/>
              </w:rPr>
            </w:pPr>
            <w:r w:rsidRPr="00CC0193">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EB1C70F" w14:textId="77777777" w:rsidR="00FA7EBF" w:rsidRPr="001D2FFF" w:rsidRDefault="00FA7EBF" w:rsidP="007B207C">
            <w:pPr>
              <w:pStyle w:val="ARfintablebodyright"/>
              <w:ind w:right="0"/>
              <w:rPr>
                <w:sz w:val="15"/>
                <w:szCs w:val="15"/>
                <w:lang w:eastAsia="en-AU"/>
              </w:rPr>
            </w:pPr>
            <w:r w:rsidRPr="00CC0193">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52E523B" w14:textId="77777777" w:rsidR="00FA7EBF" w:rsidRPr="001D2FFF" w:rsidRDefault="00FA7EBF" w:rsidP="007B207C">
            <w:pPr>
              <w:pStyle w:val="ARfintablebodyright"/>
              <w:ind w:right="0"/>
              <w:rPr>
                <w:sz w:val="15"/>
                <w:szCs w:val="15"/>
                <w:lang w:eastAsia="en-AU"/>
              </w:rPr>
            </w:pPr>
            <w:r w:rsidRPr="00CC0193">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1D157BBA" w14:textId="77777777" w:rsidR="00FA7EBF" w:rsidRPr="001D2FFF" w:rsidRDefault="00FA7EBF" w:rsidP="007B207C">
            <w:pPr>
              <w:pStyle w:val="ARfintablebodyright"/>
              <w:ind w:right="0"/>
              <w:rPr>
                <w:sz w:val="15"/>
                <w:szCs w:val="15"/>
                <w:lang w:eastAsia="en-AU"/>
              </w:rPr>
            </w:pPr>
            <w:r w:rsidRPr="00CC0193">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5C383D53" w14:textId="77777777" w:rsidR="00FA7EBF" w:rsidRPr="001D2FFF" w:rsidRDefault="00FA7EBF" w:rsidP="007B207C">
            <w:pPr>
              <w:pStyle w:val="ARfintablebodyright"/>
              <w:ind w:right="0"/>
              <w:rPr>
                <w:sz w:val="15"/>
                <w:szCs w:val="15"/>
                <w:lang w:eastAsia="en-AU"/>
              </w:rPr>
            </w:pPr>
            <w:r w:rsidRPr="00CC0193">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495802D" w14:textId="77777777" w:rsidR="00FA7EBF" w:rsidRPr="001D2FFF" w:rsidRDefault="00FA7EBF" w:rsidP="007B207C">
            <w:pPr>
              <w:pStyle w:val="ARfintablebodyright"/>
              <w:ind w:right="0"/>
              <w:rPr>
                <w:sz w:val="15"/>
                <w:szCs w:val="15"/>
                <w:lang w:eastAsia="en-AU"/>
              </w:rPr>
            </w:pPr>
            <w:r w:rsidRPr="001D2FFF">
              <w:rPr>
                <w:sz w:val="15"/>
                <w:szCs w:val="15"/>
              </w:rPr>
              <w:t>0.3</w:t>
            </w:r>
          </w:p>
        </w:tc>
        <w:tc>
          <w:tcPr>
            <w:tcW w:w="630" w:type="dxa"/>
            <w:tcBorders>
              <w:top w:val="single" w:sz="4" w:space="0" w:color="A6A6A6" w:themeColor="background1" w:themeShade="A6"/>
              <w:bottom w:val="single" w:sz="4" w:space="0" w:color="A6A6A6" w:themeColor="background1" w:themeShade="A6"/>
            </w:tcBorders>
          </w:tcPr>
          <w:p w14:paraId="26633530" w14:textId="77777777" w:rsidR="00FA7EBF" w:rsidRPr="001D2FFF" w:rsidRDefault="00FA7EBF" w:rsidP="007B207C">
            <w:pPr>
              <w:pStyle w:val="ARfintablebodyright"/>
              <w:ind w:right="0"/>
              <w:rPr>
                <w:sz w:val="15"/>
                <w:szCs w:val="15"/>
                <w:lang w:eastAsia="en-AU"/>
              </w:rPr>
            </w:pPr>
            <w:r w:rsidRPr="001D2FFF">
              <w:rPr>
                <w:sz w:val="15"/>
                <w:szCs w:val="15"/>
              </w:rPr>
              <w:t>0.5</w:t>
            </w:r>
          </w:p>
        </w:tc>
        <w:tc>
          <w:tcPr>
            <w:tcW w:w="630" w:type="dxa"/>
            <w:tcBorders>
              <w:top w:val="single" w:sz="4" w:space="0" w:color="A6A6A6" w:themeColor="background1" w:themeShade="A6"/>
              <w:bottom w:val="single" w:sz="4" w:space="0" w:color="A6A6A6" w:themeColor="background1" w:themeShade="A6"/>
            </w:tcBorders>
          </w:tcPr>
          <w:p w14:paraId="46FC2936" w14:textId="77777777" w:rsidR="00FA7EBF" w:rsidRPr="001D2FFF" w:rsidRDefault="00FA7EBF" w:rsidP="007B207C">
            <w:pPr>
              <w:pStyle w:val="ARfintablebodyright"/>
              <w:ind w:right="0"/>
              <w:rPr>
                <w:sz w:val="15"/>
                <w:szCs w:val="15"/>
                <w:lang w:eastAsia="en-AU"/>
              </w:rPr>
            </w:pPr>
            <w:r w:rsidRPr="005A1347">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52C5CDFD" w14:textId="77777777" w:rsidR="00FA7EBF" w:rsidRPr="001D2FFF" w:rsidRDefault="00FA7EBF" w:rsidP="007B207C">
            <w:pPr>
              <w:pStyle w:val="ARfintablebodyright"/>
              <w:ind w:right="0"/>
              <w:rPr>
                <w:sz w:val="15"/>
                <w:szCs w:val="15"/>
                <w:lang w:eastAsia="en-AU"/>
              </w:rPr>
            </w:pPr>
            <w:r w:rsidRPr="005A1347">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97C46CB"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FB49217" w14:textId="77777777" w:rsidR="00FA7EBF" w:rsidRPr="001D2FFF" w:rsidRDefault="00FA7EBF" w:rsidP="007B207C">
            <w:pPr>
              <w:pStyle w:val="ARfintablebodyright"/>
              <w:ind w:right="0"/>
              <w:rPr>
                <w:sz w:val="15"/>
                <w:szCs w:val="15"/>
                <w:lang w:eastAsia="en-AU"/>
              </w:rPr>
            </w:pPr>
            <w:r w:rsidRPr="004C2672">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D556CF9" w14:textId="77777777" w:rsidR="00FA7EBF" w:rsidRPr="001D2FFF" w:rsidRDefault="00FA7EBF" w:rsidP="007B207C">
            <w:pPr>
              <w:pStyle w:val="ARfintablebodyright"/>
              <w:ind w:right="0"/>
              <w:rPr>
                <w:sz w:val="15"/>
                <w:szCs w:val="15"/>
                <w:lang w:eastAsia="en-AU"/>
              </w:rPr>
            </w:pPr>
            <w:r w:rsidRPr="004C2672">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1426698" w14:textId="77777777" w:rsidR="00FA7EBF" w:rsidRPr="001D2FFF" w:rsidRDefault="00FA7EBF" w:rsidP="007B207C">
            <w:pPr>
              <w:pStyle w:val="ARfintablebodyright"/>
              <w:ind w:right="0"/>
              <w:rPr>
                <w:sz w:val="15"/>
                <w:szCs w:val="15"/>
                <w:lang w:eastAsia="en-AU"/>
              </w:rPr>
            </w:pPr>
            <w:r w:rsidRPr="004C2672">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B66C2C3" w14:textId="77777777" w:rsidR="00FA7EBF" w:rsidRPr="001D2FFF" w:rsidRDefault="00FA7EBF" w:rsidP="007B207C">
            <w:pPr>
              <w:pStyle w:val="ARfintablebodyright"/>
              <w:ind w:right="0"/>
              <w:rPr>
                <w:sz w:val="15"/>
                <w:szCs w:val="15"/>
                <w:lang w:eastAsia="en-AU"/>
              </w:rPr>
            </w:pPr>
            <w:r w:rsidRPr="004C2672">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404AA21C" w14:textId="77777777" w:rsidR="00FA7EBF" w:rsidRPr="001D2FFF" w:rsidRDefault="00FA7EBF" w:rsidP="007B207C">
            <w:pPr>
              <w:pStyle w:val="ARfintablebodyright"/>
              <w:ind w:right="0"/>
              <w:rPr>
                <w:sz w:val="15"/>
                <w:szCs w:val="15"/>
                <w:lang w:eastAsia="en-AU"/>
              </w:rPr>
            </w:pPr>
            <w:r w:rsidRPr="001D2FFF">
              <w:rPr>
                <w:sz w:val="15"/>
                <w:szCs w:val="15"/>
              </w:rPr>
              <w:t>0.8</w:t>
            </w:r>
          </w:p>
        </w:tc>
      </w:tr>
      <w:tr w:rsidR="00FA7EBF" w:rsidRPr="007939DD" w14:paraId="566E2BB5"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68B5C438" w14:textId="77777777" w:rsidR="00FA7EBF" w:rsidRPr="007939DD" w:rsidRDefault="00FA7EBF" w:rsidP="007B207C">
            <w:pPr>
              <w:pStyle w:val="ARfintablebody"/>
              <w:rPr>
                <w:sz w:val="13"/>
                <w:szCs w:val="13"/>
                <w:lang w:eastAsia="en-AU"/>
              </w:rPr>
            </w:pPr>
            <w:r w:rsidRPr="002E5E0F">
              <w:t>Maintenance</w:t>
            </w:r>
          </w:p>
        </w:tc>
        <w:tc>
          <w:tcPr>
            <w:tcW w:w="629" w:type="dxa"/>
            <w:tcBorders>
              <w:top w:val="single" w:sz="4" w:space="0" w:color="A6A6A6" w:themeColor="background1" w:themeShade="A6"/>
              <w:bottom w:val="single" w:sz="4" w:space="0" w:color="A6A6A6" w:themeColor="background1" w:themeShade="A6"/>
            </w:tcBorders>
          </w:tcPr>
          <w:p w14:paraId="203584FE" w14:textId="77777777" w:rsidR="00FA7EBF" w:rsidRPr="001D2FFF" w:rsidRDefault="00FA7EBF" w:rsidP="007B207C">
            <w:pPr>
              <w:pStyle w:val="ARfintablebodyright"/>
              <w:ind w:right="0"/>
              <w:rPr>
                <w:sz w:val="15"/>
                <w:szCs w:val="15"/>
                <w:lang w:eastAsia="en-AU"/>
              </w:rPr>
            </w:pPr>
            <w:r w:rsidRPr="001D2FFF">
              <w:rPr>
                <w:sz w:val="15"/>
                <w:szCs w:val="15"/>
              </w:rPr>
              <w:t>0.2</w:t>
            </w:r>
          </w:p>
        </w:tc>
        <w:tc>
          <w:tcPr>
            <w:tcW w:w="629" w:type="dxa"/>
            <w:tcBorders>
              <w:top w:val="single" w:sz="4" w:space="0" w:color="A6A6A6" w:themeColor="background1" w:themeShade="A6"/>
              <w:bottom w:val="single" w:sz="4" w:space="0" w:color="A6A6A6" w:themeColor="background1" w:themeShade="A6"/>
            </w:tcBorders>
          </w:tcPr>
          <w:p w14:paraId="403BC649"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5032B955" w14:textId="77777777" w:rsidR="00FA7EBF" w:rsidRPr="001D2FFF" w:rsidRDefault="00FA7EBF" w:rsidP="007B207C">
            <w:pPr>
              <w:pStyle w:val="ARfintablebodyright"/>
              <w:ind w:right="0"/>
              <w:rPr>
                <w:sz w:val="15"/>
                <w:szCs w:val="15"/>
                <w:lang w:eastAsia="en-AU"/>
              </w:rPr>
            </w:pPr>
            <w:r w:rsidRPr="001D2FFF">
              <w:rPr>
                <w:sz w:val="15"/>
                <w:szCs w:val="15"/>
              </w:rPr>
              <w:t>0.1</w:t>
            </w:r>
          </w:p>
        </w:tc>
        <w:tc>
          <w:tcPr>
            <w:tcW w:w="629" w:type="dxa"/>
            <w:tcBorders>
              <w:top w:val="single" w:sz="4" w:space="0" w:color="A6A6A6" w:themeColor="background1" w:themeShade="A6"/>
              <w:bottom w:val="single" w:sz="4" w:space="0" w:color="A6A6A6" w:themeColor="background1" w:themeShade="A6"/>
            </w:tcBorders>
          </w:tcPr>
          <w:p w14:paraId="44FCD16A" w14:textId="77777777" w:rsidR="00FA7EBF" w:rsidRPr="001D2FFF" w:rsidRDefault="00FA7EBF" w:rsidP="007B207C">
            <w:pPr>
              <w:pStyle w:val="ARfintablebodyright"/>
              <w:ind w:right="0"/>
              <w:rPr>
                <w:sz w:val="15"/>
                <w:szCs w:val="15"/>
                <w:lang w:eastAsia="en-AU"/>
              </w:rPr>
            </w:pPr>
            <w:r w:rsidRPr="005D431A">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1FA99B0" w14:textId="77777777" w:rsidR="00FA7EBF" w:rsidRPr="001D2FFF" w:rsidRDefault="00FA7EBF" w:rsidP="007B207C">
            <w:pPr>
              <w:pStyle w:val="ARfintablebodyright"/>
              <w:ind w:right="0"/>
              <w:rPr>
                <w:sz w:val="15"/>
                <w:szCs w:val="15"/>
                <w:lang w:eastAsia="en-AU"/>
              </w:rPr>
            </w:pPr>
            <w:r w:rsidRPr="005D431A">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5E6C808" w14:textId="77777777" w:rsidR="00FA7EBF" w:rsidRPr="001D2FFF" w:rsidRDefault="00FA7EBF" w:rsidP="007B207C">
            <w:pPr>
              <w:pStyle w:val="ARfintablebodyright"/>
              <w:ind w:right="0"/>
              <w:rPr>
                <w:sz w:val="15"/>
                <w:szCs w:val="15"/>
                <w:lang w:eastAsia="en-AU"/>
              </w:rPr>
            </w:pPr>
            <w:r w:rsidRPr="005D431A">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194C59B" w14:textId="77777777" w:rsidR="00FA7EBF" w:rsidRPr="001D2FFF" w:rsidRDefault="00FA7EBF" w:rsidP="007B207C">
            <w:pPr>
              <w:pStyle w:val="ARfintablebodyright"/>
              <w:ind w:right="0"/>
              <w:rPr>
                <w:sz w:val="15"/>
                <w:szCs w:val="15"/>
                <w:lang w:eastAsia="en-AU"/>
              </w:rPr>
            </w:pPr>
            <w:r w:rsidRPr="005D431A">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36D97F6" w14:textId="77777777" w:rsidR="00FA7EBF" w:rsidRPr="001D2FFF" w:rsidRDefault="00FA7EBF" w:rsidP="007B207C">
            <w:pPr>
              <w:pStyle w:val="ARfintablebodyright"/>
              <w:ind w:right="0"/>
              <w:rPr>
                <w:sz w:val="15"/>
                <w:szCs w:val="15"/>
                <w:lang w:eastAsia="en-AU"/>
              </w:rPr>
            </w:pPr>
            <w:r w:rsidRPr="005D431A">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E6B8B3E" w14:textId="77777777" w:rsidR="00FA7EBF" w:rsidRPr="001D2FFF" w:rsidRDefault="00FA7EBF" w:rsidP="007B207C">
            <w:pPr>
              <w:pStyle w:val="ARfintablebodyright"/>
              <w:ind w:right="0"/>
              <w:rPr>
                <w:sz w:val="15"/>
                <w:szCs w:val="15"/>
                <w:lang w:eastAsia="en-AU"/>
              </w:rPr>
            </w:pPr>
            <w:r w:rsidRPr="001D2FFF">
              <w:rPr>
                <w:sz w:val="15"/>
                <w:szCs w:val="15"/>
              </w:rPr>
              <w:t>17.3</w:t>
            </w:r>
          </w:p>
        </w:tc>
        <w:tc>
          <w:tcPr>
            <w:tcW w:w="630" w:type="dxa"/>
            <w:tcBorders>
              <w:top w:val="single" w:sz="4" w:space="0" w:color="A6A6A6" w:themeColor="background1" w:themeShade="A6"/>
              <w:bottom w:val="single" w:sz="4" w:space="0" w:color="A6A6A6" w:themeColor="background1" w:themeShade="A6"/>
            </w:tcBorders>
          </w:tcPr>
          <w:p w14:paraId="4EC978F4" w14:textId="77777777" w:rsidR="00FA7EBF" w:rsidRPr="001D2FFF" w:rsidRDefault="00FA7EBF" w:rsidP="007B207C">
            <w:pPr>
              <w:pStyle w:val="ARfintablebodyright"/>
              <w:ind w:right="0"/>
              <w:rPr>
                <w:sz w:val="15"/>
                <w:szCs w:val="15"/>
                <w:lang w:eastAsia="en-AU"/>
              </w:rPr>
            </w:pPr>
            <w:r w:rsidRPr="001D2FFF">
              <w:rPr>
                <w:sz w:val="15"/>
                <w:szCs w:val="15"/>
              </w:rPr>
              <w:t>4.4</w:t>
            </w:r>
          </w:p>
        </w:tc>
        <w:tc>
          <w:tcPr>
            <w:tcW w:w="630" w:type="dxa"/>
            <w:tcBorders>
              <w:top w:val="single" w:sz="4" w:space="0" w:color="A6A6A6" w:themeColor="background1" w:themeShade="A6"/>
              <w:bottom w:val="single" w:sz="4" w:space="0" w:color="A6A6A6" w:themeColor="background1" w:themeShade="A6"/>
            </w:tcBorders>
          </w:tcPr>
          <w:p w14:paraId="223201A8" w14:textId="77777777" w:rsidR="00FA7EBF" w:rsidRPr="001D2FFF" w:rsidRDefault="00FA7EBF" w:rsidP="007B207C">
            <w:pPr>
              <w:pStyle w:val="ARfintablebodyright"/>
              <w:ind w:right="0"/>
              <w:rPr>
                <w:sz w:val="15"/>
                <w:szCs w:val="15"/>
                <w:lang w:eastAsia="en-AU"/>
              </w:rPr>
            </w:pPr>
            <w:r w:rsidRPr="003F7326">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3765BC6" w14:textId="77777777" w:rsidR="00FA7EBF" w:rsidRPr="001D2FFF" w:rsidRDefault="00FA7EBF" w:rsidP="007B207C">
            <w:pPr>
              <w:pStyle w:val="ARfintablebodyright"/>
              <w:ind w:right="0"/>
              <w:rPr>
                <w:sz w:val="15"/>
                <w:szCs w:val="15"/>
                <w:lang w:eastAsia="en-AU"/>
              </w:rPr>
            </w:pPr>
            <w:r w:rsidRPr="003F7326">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1EABC1A7"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E30EDEC" w14:textId="77777777" w:rsidR="00FA7EBF" w:rsidRPr="001D2FFF" w:rsidRDefault="00FA7EBF" w:rsidP="007B207C">
            <w:pPr>
              <w:pStyle w:val="ARfintablebodyright"/>
              <w:ind w:right="0"/>
              <w:rPr>
                <w:sz w:val="15"/>
                <w:szCs w:val="15"/>
                <w:lang w:eastAsia="en-AU"/>
              </w:rPr>
            </w:pPr>
            <w:r w:rsidRPr="001D2FFF">
              <w:rPr>
                <w:sz w:val="15"/>
                <w:szCs w:val="15"/>
              </w:rPr>
              <w:t>0.1</w:t>
            </w:r>
          </w:p>
        </w:tc>
        <w:tc>
          <w:tcPr>
            <w:tcW w:w="630" w:type="dxa"/>
            <w:tcBorders>
              <w:top w:val="single" w:sz="4" w:space="0" w:color="A6A6A6" w:themeColor="background1" w:themeShade="A6"/>
              <w:bottom w:val="single" w:sz="4" w:space="0" w:color="A6A6A6" w:themeColor="background1" w:themeShade="A6"/>
            </w:tcBorders>
          </w:tcPr>
          <w:p w14:paraId="762450CC" w14:textId="77777777" w:rsidR="00FA7EBF" w:rsidRPr="001D2FFF" w:rsidRDefault="00FA7EBF" w:rsidP="007B207C">
            <w:pPr>
              <w:pStyle w:val="ARfintablebodyright"/>
              <w:ind w:right="0"/>
              <w:rPr>
                <w:sz w:val="15"/>
                <w:szCs w:val="15"/>
                <w:lang w:eastAsia="en-AU"/>
              </w:rPr>
            </w:pPr>
            <w:r w:rsidRPr="001D2FFF">
              <w:rPr>
                <w:sz w:val="15"/>
                <w:szCs w:val="15"/>
              </w:rPr>
              <w:t>166.1</w:t>
            </w:r>
          </w:p>
        </w:tc>
        <w:tc>
          <w:tcPr>
            <w:tcW w:w="630" w:type="dxa"/>
            <w:tcBorders>
              <w:top w:val="single" w:sz="4" w:space="0" w:color="A6A6A6" w:themeColor="background1" w:themeShade="A6"/>
              <w:bottom w:val="single" w:sz="4" w:space="0" w:color="A6A6A6" w:themeColor="background1" w:themeShade="A6"/>
            </w:tcBorders>
          </w:tcPr>
          <w:p w14:paraId="6A3C88AF"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F54950A"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5AE676F3" w14:textId="77777777" w:rsidR="00FA7EBF" w:rsidRPr="001D2FFF" w:rsidRDefault="00FA7EBF" w:rsidP="007B207C">
            <w:pPr>
              <w:pStyle w:val="ARfintablebodyright"/>
              <w:ind w:right="0"/>
              <w:rPr>
                <w:sz w:val="15"/>
                <w:szCs w:val="15"/>
                <w:lang w:eastAsia="en-AU"/>
              </w:rPr>
            </w:pPr>
            <w:r w:rsidRPr="001D2FFF">
              <w:rPr>
                <w:sz w:val="15"/>
                <w:szCs w:val="15"/>
              </w:rPr>
              <w:t>188.2</w:t>
            </w:r>
          </w:p>
        </w:tc>
      </w:tr>
      <w:tr w:rsidR="00FA7EBF" w:rsidRPr="007939DD" w14:paraId="4F5D8A67"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5B8F9A04" w14:textId="77777777" w:rsidR="00FA7EBF" w:rsidRPr="007939DD" w:rsidRDefault="00FA7EBF" w:rsidP="007B207C">
            <w:pPr>
              <w:pStyle w:val="ARfintablebody"/>
              <w:rPr>
                <w:sz w:val="13"/>
                <w:szCs w:val="13"/>
                <w:lang w:eastAsia="en-AU"/>
              </w:rPr>
            </w:pPr>
            <w:r w:rsidRPr="002E5E0F">
              <w:t>Fair value of assets and services provided free of charge or for nominal consideration</w:t>
            </w:r>
          </w:p>
        </w:tc>
        <w:tc>
          <w:tcPr>
            <w:tcW w:w="629" w:type="dxa"/>
            <w:tcBorders>
              <w:top w:val="single" w:sz="4" w:space="0" w:color="A6A6A6" w:themeColor="background1" w:themeShade="A6"/>
              <w:bottom w:val="single" w:sz="4" w:space="0" w:color="A6A6A6" w:themeColor="background1" w:themeShade="A6"/>
            </w:tcBorders>
          </w:tcPr>
          <w:p w14:paraId="2F146E6F"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3DDD7024"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7323EA6B"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43E506CD"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442D118"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525C71C4"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F854332"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66FAA94"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4EFF2AB" w14:textId="77777777" w:rsidR="00FA7EBF" w:rsidRPr="001D2FFF" w:rsidRDefault="00FA7EBF" w:rsidP="007B207C">
            <w:pPr>
              <w:pStyle w:val="ARfintablebodyright"/>
              <w:ind w:right="0"/>
              <w:rPr>
                <w:sz w:val="15"/>
                <w:szCs w:val="15"/>
                <w:lang w:eastAsia="en-AU"/>
              </w:rPr>
            </w:pPr>
            <w:r w:rsidRPr="001D2FFF">
              <w:rPr>
                <w:sz w:val="15"/>
                <w:szCs w:val="15"/>
              </w:rPr>
              <w:t>0.4</w:t>
            </w:r>
          </w:p>
        </w:tc>
        <w:tc>
          <w:tcPr>
            <w:tcW w:w="630" w:type="dxa"/>
            <w:tcBorders>
              <w:top w:val="single" w:sz="4" w:space="0" w:color="A6A6A6" w:themeColor="background1" w:themeShade="A6"/>
              <w:bottom w:val="single" w:sz="4" w:space="0" w:color="A6A6A6" w:themeColor="background1" w:themeShade="A6"/>
            </w:tcBorders>
          </w:tcPr>
          <w:p w14:paraId="743D4A2F" w14:textId="77777777" w:rsidR="00FA7EBF" w:rsidRPr="001D2FFF" w:rsidRDefault="00FA7EBF" w:rsidP="007B207C">
            <w:pPr>
              <w:pStyle w:val="ARfintablebodyright"/>
              <w:ind w:right="0"/>
              <w:rPr>
                <w:sz w:val="15"/>
                <w:szCs w:val="15"/>
                <w:lang w:eastAsia="en-AU"/>
              </w:rPr>
            </w:pPr>
            <w:r w:rsidRPr="001D2FFF">
              <w:rPr>
                <w:sz w:val="15"/>
                <w:szCs w:val="15"/>
              </w:rPr>
              <w:t>0.9</w:t>
            </w:r>
          </w:p>
        </w:tc>
        <w:tc>
          <w:tcPr>
            <w:tcW w:w="630" w:type="dxa"/>
            <w:tcBorders>
              <w:top w:val="single" w:sz="4" w:space="0" w:color="A6A6A6" w:themeColor="background1" w:themeShade="A6"/>
              <w:bottom w:val="single" w:sz="4" w:space="0" w:color="A6A6A6" w:themeColor="background1" w:themeShade="A6"/>
            </w:tcBorders>
          </w:tcPr>
          <w:p w14:paraId="6E53D286"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0C05CC9"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EB45979"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7D93141"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2434A3B" w14:textId="77777777" w:rsidR="00FA7EBF" w:rsidRPr="001D2FFF" w:rsidRDefault="00FA7EBF" w:rsidP="007B207C">
            <w:pPr>
              <w:pStyle w:val="ARfintablebodyright"/>
              <w:ind w:right="0"/>
              <w:rPr>
                <w:sz w:val="15"/>
                <w:szCs w:val="15"/>
                <w:lang w:eastAsia="en-AU"/>
              </w:rPr>
            </w:pPr>
            <w:r w:rsidRPr="001D2FFF">
              <w:rPr>
                <w:sz w:val="15"/>
                <w:szCs w:val="15"/>
              </w:rPr>
              <w:t>92.4</w:t>
            </w:r>
          </w:p>
        </w:tc>
        <w:tc>
          <w:tcPr>
            <w:tcW w:w="630" w:type="dxa"/>
            <w:tcBorders>
              <w:top w:val="single" w:sz="4" w:space="0" w:color="A6A6A6" w:themeColor="background1" w:themeShade="A6"/>
              <w:bottom w:val="single" w:sz="4" w:space="0" w:color="A6A6A6" w:themeColor="background1" w:themeShade="A6"/>
            </w:tcBorders>
          </w:tcPr>
          <w:p w14:paraId="0A837515"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02F4A38"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613F2AE5" w14:textId="77777777" w:rsidR="00FA7EBF" w:rsidRPr="001D2FFF" w:rsidRDefault="00FA7EBF" w:rsidP="007B207C">
            <w:pPr>
              <w:pStyle w:val="ARfintablebodyright"/>
              <w:ind w:right="0"/>
              <w:rPr>
                <w:sz w:val="15"/>
                <w:szCs w:val="15"/>
                <w:lang w:eastAsia="en-AU"/>
              </w:rPr>
            </w:pPr>
            <w:r w:rsidRPr="001D2FFF">
              <w:rPr>
                <w:sz w:val="15"/>
                <w:szCs w:val="15"/>
              </w:rPr>
              <w:t>93.7</w:t>
            </w:r>
          </w:p>
        </w:tc>
      </w:tr>
      <w:tr w:rsidR="00FA7EBF" w:rsidRPr="007939DD" w14:paraId="03D91239"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52936AE2" w14:textId="77777777" w:rsidR="00FA7EBF" w:rsidRPr="007939DD" w:rsidRDefault="00FA7EBF" w:rsidP="007B207C">
            <w:pPr>
              <w:pStyle w:val="ARfintablebody"/>
              <w:rPr>
                <w:sz w:val="13"/>
                <w:szCs w:val="13"/>
                <w:lang w:eastAsia="en-AU"/>
              </w:rPr>
            </w:pPr>
            <w:r w:rsidRPr="002E5E0F">
              <w:t>Other operating expenses</w:t>
            </w:r>
          </w:p>
        </w:tc>
        <w:tc>
          <w:tcPr>
            <w:tcW w:w="629" w:type="dxa"/>
            <w:tcBorders>
              <w:top w:val="single" w:sz="4" w:space="0" w:color="A6A6A6" w:themeColor="background1" w:themeShade="A6"/>
              <w:bottom w:val="single" w:sz="4" w:space="0" w:color="A6A6A6" w:themeColor="background1" w:themeShade="A6"/>
            </w:tcBorders>
          </w:tcPr>
          <w:p w14:paraId="7C78354B" w14:textId="77777777" w:rsidR="00FA7EBF" w:rsidRPr="001D2FFF" w:rsidRDefault="00FA7EBF" w:rsidP="007B207C">
            <w:pPr>
              <w:pStyle w:val="ARfintablebodyright"/>
              <w:ind w:right="0"/>
              <w:rPr>
                <w:sz w:val="15"/>
                <w:szCs w:val="15"/>
                <w:lang w:eastAsia="en-AU"/>
              </w:rPr>
            </w:pPr>
            <w:r w:rsidRPr="001D2FFF">
              <w:rPr>
                <w:sz w:val="15"/>
                <w:szCs w:val="15"/>
              </w:rPr>
              <w:t>153.8</w:t>
            </w:r>
          </w:p>
        </w:tc>
        <w:tc>
          <w:tcPr>
            <w:tcW w:w="629" w:type="dxa"/>
            <w:tcBorders>
              <w:top w:val="single" w:sz="4" w:space="0" w:color="A6A6A6" w:themeColor="background1" w:themeShade="A6"/>
              <w:bottom w:val="single" w:sz="4" w:space="0" w:color="A6A6A6" w:themeColor="background1" w:themeShade="A6"/>
            </w:tcBorders>
          </w:tcPr>
          <w:p w14:paraId="2AA16C3E" w14:textId="77777777" w:rsidR="00FA7EBF" w:rsidRPr="001D2FFF" w:rsidRDefault="00FA7EBF" w:rsidP="007B207C">
            <w:pPr>
              <w:pStyle w:val="ARfintablebodyright"/>
              <w:ind w:right="0"/>
              <w:rPr>
                <w:sz w:val="15"/>
                <w:szCs w:val="15"/>
                <w:lang w:eastAsia="en-AU"/>
              </w:rPr>
            </w:pPr>
            <w:r w:rsidRPr="001D2FFF">
              <w:rPr>
                <w:sz w:val="15"/>
                <w:szCs w:val="15"/>
              </w:rPr>
              <w:t>3.5</w:t>
            </w:r>
          </w:p>
        </w:tc>
        <w:tc>
          <w:tcPr>
            <w:tcW w:w="629" w:type="dxa"/>
            <w:tcBorders>
              <w:top w:val="single" w:sz="4" w:space="0" w:color="A6A6A6" w:themeColor="background1" w:themeShade="A6"/>
              <w:bottom w:val="single" w:sz="4" w:space="0" w:color="A6A6A6" w:themeColor="background1" w:themeShade="A6"/>
            </w:tcBorders>
          </w:tcPr>
          <w:p w14:paraId="0DC252E1" w14:textId="77777777" w:rsidR="00FA7EBF" w:rsidRPr="001D2FFF" w:rsidRDefault="00FA7EBF" w:rsidP="007B207C">
            <w:pPr>
              <w:pStyle w:val="ARfintablebodyright"/>
              <w:ind w:right="0"/>
              <w:rPr>
                <w:sz w:val="15"/>
                <w:szCs w:val="15"/>
                <w:lang w:eastAsia="en-AU"/>
              </w:rPr>
            </w:pPr>
            <w:r w:rsidRPr="001D2FFF">
              <w:rPr>
                <w:sz w:val="15"/>
                <w:szCs w:val="15"/>
              </w:rPr>
              <w:t>15.2</w:t>
            </w:r>
          </w:p>
        </w:tc>
        <w:tc>
          <w:tcPr>
            <w:tcW w:w="629" w:type="dxa"/>
            <w:tcBorders>
              <w:top w:val="single" w:sz="4" w:space="0" w:color="A6A6A6" w:themeColor="background1" w:themeShade="A6"/>
              <w:bottom w:val="single" w:sz="4" w:space="0" w:color="A6A6A6" w:themeColor="background1" w:themeShade="A6"/>
            </w:tcBorders>
          </w:tcPr>
          <w:p w14:paraId="72F238BC" w14:textId="77777777" w:rsidR="00FA7EBF" w:rsidRPr="001D2FFF" w:rsidRDefault="00FA7EBF" w:rsidP="007B207C">
            <w:pPr>
              <w:pStyle w:val="ARfintablebodyright"/>
              <w:ind w:right="0"/>
              <w:rPr>
                <w:sz w:val="15"/>
                <w:szCs w:val="15"/>
                <w:lang w:eastAsia="en-AU"/>
              </w:rPr>
            </w:pPr>
            <w:r w:rsidRPr="001D2FFF">
              <w:rPr>
                <w:sz w:val="15"/>
                <w:szCs w:val="15"/>
              </w:rPr>
              <w:t>17.3</w:t>
            </w:r>
          </w:p>
        </w:tc>
        <w:tc>
          <w:tcPr>
            <w:tcW w:w="630" w:type="dxa"/>
            <w:tcBorders>
              <w:top w:val="single" w:sz="4" w:space="0" w:color="A6A6A6" w:themeColor="background1" w:themeShade="A6"/>
              <w:bottom w:val="single" w:sz="4" w:space="0" w:color="A6A6A6" w:themeColor="background1" w:themeShade="A6"/>
            </w:tcBorders>
          </w:tcPr>
          <w:p w14:paraId="51776A93" w14:textId="77777777" w:rsidR="00FA7EBF" w:rsidRPr="001D2FFF" w:rsidRDefault="00FA7EBF" w:rsidP="007B207C">
            <w:pPr>
              <w:pStyle w:val="ARfintablebodyright"/>
              <w:ind w:right="0"/>
              <w:rPr>
                <w:sz w:val="15"/>
                <w:szCs w:val="15"/>
                <w:lang w:eastAsia="en-AU"/>
              </w:rPr>
            </w:pPr>
            <w:r w:rsidRPr="001D2FFF">
              <w:rPr>
                <w:sz w:val="15"/>
                <w:szCs w:val="15"/>
              </w:rPr>
              <w:t>8.7</w:t>
            </w:r>
          </w:p>
        </w:tc>
        <w:tc>
          <w:tcPr>
            <w:tcW w:w="630" w:type="dxa"/>
            <w:tcBorders>
              <w:top w:val="single" w:sz="4" w:space="0" w:color="A6A6A6" w:themeColor="background1" w:themeShade="A6"/>
              <w:bottom w:val="single" w:sz="4" w:space="0" w:color="A6A6A6" w:themeColor="background1" w:themeShade="A6"/>
            </w:tcBorders>
          </w:tcPr>
          <w:p w14:paraId="6D4060FE" w14:textId="77777777" w:rsidR="00FA7EBF" w:rsidRPr="001D2FFF" w:rsidRDefault="00FA7EBF" w:rsidP="007B207C">
            <w:pPr>
              <w:pStyle w:val="ARfintablebodyright"/>
              <w:ind w:right="0"/>
              <w:rPr>
                <w:sz w:val="15"/>
                <w:szCs w:val="15"/>
                <w:lang w:eastAsia="en-AU"/>
              </w:rPr>
            </w:pPr>
            <w:r w:rsidRPr="001D2FFF">
              <w:rPr>
                <w:sz w:val="15"/>
                <w:szCs w:val="15"/>
              </w:rPr>
              <w:t>3.3</w:t>
            </w:r>
          </w:p>
        </w:tc>
        <w:tc>
          <w:tcPr>
            <w:tcW w:w="630" w:type="dxa"/>
            <w:tcBorders>
              <w:top w:val="single" w:sz="4" w:space="0" w:color="A6A6A6" w:themeColor="background1" w:themeShade="A6"/>
              <w:bottom w:val="single" w:sz="4" w:space="0" w:color="A6A6A6" w:themeColor="background1" w:themeShade="A6"/>
            </w:tcBorders>
          </w:tcPr>
          <w:p w14:paraId="59D5D713" w14:textId="77777777" w:rsidR="00FA7EBF" w:rsidRPr="001D2FFF" w:rsidRDefault="00FA7EBF" w:rsidP="007B207C">
            <w:pPr>
              <w:pStyle w:val="ARfintablebodyright"/>
              <w:ind w:right="0"/>
              <w:rPr>
                <w:sz w:val="15"/>
                <w:szCs w:val="15"/>
                <w:lang w:eastAsia="en-AU"/>
              </w:rPr>
            </w:pPr>
            <w:r w:rsidRPr="001D2FFF">
              <w:rPr>
                <w:sz w:val="15"/>
                <w:szCs w:val="15"/>
              </w:rPr>
              <w:t>55.8</w:t>
            </w:r>
          </w:p>
        </w:tc>
        <w:tc>
          <w:tcPr>
            <w:tcW w:w="630" w:type="dxa"/>
            <w:tcBorders>
              <w:top w:val="single" w:sz="4" w:space="0" w:color="A6A6A6" w:themeColor="background1" w:themeShade="A6"/>
              <w:bottom w:val="single" w:sz="4" w:space="0" w:color="A6A6A6" w:themeColor="background1" w:themeShade="A6"/>
            </w:tcBorders>
          </w:tcPr>
          <w:p w14:paraId="7BA8D5D5" w14:textId="77777777" w:rsidR="00FA7EBF" w:rsidRPr="001D2FFF" w:rsidRDefault="00FA7EBF" w:rsidP="007B207C">
            <w:pPr>
              <w:pStyle w:val="ARfintablebodyright"/>
              <w:ind w:right="0"/>
              <w:rPr>
                <w:sz w:val="15"/>
                <w:szCs w:val="15"/>
                <w:lang w:eastAsia="en-AU"/>
              </w:rPr>
            </w:pPr>
            <w:r w:rsidRPr="001D2FFF">
              <w:rPr>
                <w:sz w:val="15"/>
                <w:szCs w:val="15"/>
              </w:rPr>
              <w:t>9.2</w:t>
            </w:r>
          </w:p>
        </w:tc>
        <w:tc>
          <w:tcPr>
            <w:tcW w:w="630" w:type="dxa"/>
            <w:tcBorders>
              <w:top w:val="single" w:sz="4" w:space="0" w:color="A6A6A6" w:themeColor="background1" w:themeShade="A6"/>
              <w:bottom w:val="single" w:sz="4" w:space="0" w:color="A6A6A6" w:themeColor="background1" w:themeShade="A6"/>
            </w:tcBorders>
          </w:tcPr>
          <w:p w14:paraId="172035BB" w14:textId="77777777" w:rsidR="00FA7EBF" w:rsidRPr="001D2FFF" w:rsidRDefault="00FA7EBF" w:rsidP="007B207C">
            <w:pPr>
              <w:pStyle w:val="ARfintablebodyright"/>
              <w:ind w:right="0"/>
              <w:rPr>
                <w:sz w:val="15"/>
                <w:szCs w:val="15"/>
                <w:lang w:eastAsia="en-AU"/>
              </w:rPr>
            </w:pPr>
            <w:r w:rsidRPr="001D2FFF">
              <w:rPr>
                <w:sz w:val="15"/>
                <w:szCs w:val="15"/>
              </w:rPr>
              <w:t>107.2</w:t>
            </w:r>
          </w:p>
        </w:tc>
        <w:tc>
          <w:tcPr>
            <w:tcW w:w="630" w:type="dxa"/>
            <w:tcBorders>
              <w:top w:val="single" w:sz="4" w:space="0" w:color="A6A6A6" w:themeColor="background1" w:themeShade="A6"/>
              <w:bottom w:val="single" w:sz="4" w:space="0" w:color="A6A6A6" w:themeColor="background1" w:themeShade="A6"/>
            </w:tcBorders>
          </w:tcPr>
          <w:p w14:paraId="49BA0965" w14:textId="77777777" w:rsidR="00FA7EBF" w:rsidRPr="001D2FFF" w:rsidRDefault="00FA7EBF" w:rsidP="007B207C">
            <w:pPr>
              <w:pStyle w:val="ARfintablebodyright"/>
              <w:ind w:right="0"/>
              <w:rPr>
                <w:sz w:val="15"/>
                <w:szCs w:val="15"/>
                <w:lang w:eastAsia="en-AU"/>
              </w:rPr>
            </w:pPr>
            <w:r w:rsidRPr="001D2FFF">
              <w:rPr>
                <w:sz w:val="15"/>
                <w:szCs w:val="15"/>
              </w:rPr>
              <w:t>111.5</w:t>
            </w:r>
          </w:p>
        </w:tc>
        <w:tc>
          <w:tcPr>
            <w:tcW w:w="630" w:type="dxa"/>
            <w:tcBorders>
              <w:top w:val="single" w:sz="4" w:space="0" w:color="A6A6A6" w:themeColor="background1" w:themeShade="A6"/>
              <w:bottom w:val="single" w:sz="4" w:space="0" w:color="A6A6A6" w:themeColor="background1" w:themeShade="A6"/>
            </w:tcBorders>
          </w:tcPr>
          <w:p w14:paraId="010745F5" w14:textId="77777777" w:rsidR="00FA7EBF" w:rsidRPr="001D2FFF" w:rsidRDefault="00FA7EBF" w:rsidP="007B207C">
            <w:pPr>
              <w:pStyle w:val="ARfintablebodyright"/>
              <w:ind w:right="0"/>
              <w:rPr>
                <w:sz w:val="15"/>
                <w:szCs w:val="15"/>
                <w:lang w:eastAsia="en-AU"/>
              </w:rPr>
            </w:pPr>
            <w:r w:rsidRPr="001D2FFF">
              <w:rPr>
                <w:sz w:val="15"/>
                <w:szCs w:val="15"/>
              </w:rPr>
              <w:t>4.1</w:t>
            </w:r>
          </w:p>
        </w:tc>
        <w:tc>
          <w:tcPr>
            <w:tcW w:w="630" w:type="dxa"/>
            <w:tcBorders>
              <w:top w:val="single" w:sz="4" w:space="0" w:color="A6A6A6" w:themeColor="background1" w:themeShade="A6"/>
              <w:bottom w:val="single" w:sz="4" w:space="0" w:color="A6A6A6" w:themeColor="background1" w:themeShade="A6"/>
            </w:tcBorders>
          </w:tcPr>
          <w:p w14:paraId="0F136874" w14:textId="77777777" w:rsidR="00FA7EBF" w:rsidRPr="001D2FFF" w:rsidRDefault="00FA7EBF" w:rsidP="007B207C">
            <w:pPr>
              <w:pStyle w:val="ARfintablebodyright"/>
              <w:ind w:right="0"/>
              <w:rPr>
                <w:sz w:val="15"/>
                <w:szCs w:val="15"/>
                <w:lang w:eastAsia="en-AU"/>
              </w:rPr>
            </w:pPr>
            <w:r w:rsidRPr="001D2FFF">
              <w:rPr>
                <w:sz w:val="15"/>
                <w:szCs w:val="15"/>
              </w:rPr>
              <w:t>8.8</w:t>
            </w:r>
          </w:p>
        </w:tc>
        <w:tc>
          <w:tcPr>
            <w:tcW w:w="630" w:type="dxa"/>
            <w:tcBorders>
              <w:top w:val="single" w:sz="4" w:space="0" w:color="A6A6A6" w:themeColor="background1" w:themeShade="A6"/>
              <w:bottom w:val="single" w:sz="4" w:space="0" w:color="A6A6A6" w:themeColor="background1" w:themeShade="A6"/>
            </w:tcBorders>
          </w:tcPr>
          <w:p w14:paraId="769AD034" w14:textId="77777777" w:rsidR="00FA7EBF" w:rsidRPr="001D2FFF" w:rsidRDefault="00FA7EBF" w:rsidP="007B207C">
            <w:pPr>
              <w:pStyle w:val="ARfintablebodyright"/>
              <w:ind w:right="0"/>
              <w:rPr>
                <w:sz w:val="15"/>
                <w:szCs w:val="15"/>
                <w:lang w:eastAsia="en-AU"/>
              </w:rPr>
            </w:pPr>
            <w:r w:rsidRPr="001D2FFF">
              <w:rPr>
                <w:sz w:val="15"/>
                <w:szCs w:val="15"/>
              </w:rPr>
              <w:t>9.1</w:t>
            </w:r>
          </w:p>
        </w:tc>
        <w:tc>
          <w:tcPr>
            <w:tcW w:w="630" w:type="dxa"/>
            <w:tcBorders>
              <w:top w:val="single" w:sz="4" w:space="0" w:color="A6A6A6" w:themeColor="background1" w:themeShade="A6"/>
              <w:bottom w:val="single" w:sz="4" w:space="0" w:color="A6A6A6" w:themeColor="background1" w:themeShade="A6"/>
            </w:tcBorders>
          </w:tcPr>
          <w:p w14:paraId="2C324AB9" w14:textId="77777777" w:rsidR="00FA7EBF" w:rsidRPr="001D2FFF" w:rsidRDefault="00FA7EBF" w:rsidP="007B207C">
            <w:pPr>
              <w:pStyle w:val="ARfintablebodyright"/>
              <w:ind w:right="0"/>
              <w:rPr>
                <w:sz w:val="15"/>
                <w:szCs w:val="15"/>
                <w:lang w:eastAsia="en-AU"/>
              </w:rPr>
            </w:pPr>
            <w:r w:rsidRPr="001D2FFF">
              <w:rPr>
                <w:sz w:val="15"/>
                <w:szCs w:val="15"/>
              </w:rPr>
              <w:t>17.2</w:t>
            </w:r>
          </w:p>
        </w:tc>
        <w:tc>
          <w:tcPr>
            <w:tcW w:w="630" w:type="dxa"/>
            <w:tcBorders>
              <w:top w:val="single" w:sz="4" w:space="0" w:color="A6A6A6" w:themeColor="background1" w:themeShade="A6"/>
              <w:bottom w:val="single" w:sz="4" w:space="0" w:color="A6A6A6" w:themeColor="background1" w:themeShade="A6"/>
            </w:tcBorders>
          </w:tcPr>
          <w:p w14:paraId="206965C3" w14:textId="77777777" w:rsidR="00FA7EBF" w:rsidRPr="001D2FFF" w:rsidRDefault="00FA7EBF" w:rsidP="007B207C">
            <w:pPr>
              <w:pStyle w:val="ARfintablebodyright"/>
              <w:ind w:right="0"/>
              <w:rPr>
                <w:sz w:val="15"/>
                <w:szCs w:val="15"/>
                <w:lang w:eastAsia="en-AU"/>
              </w:rPr>
            </w:pPr>
            <w:r w:rsidRPr="001D2FFF">
              <w:rPr>
                <w:sz w:val="15"/>
                <w:szCs w:val="15"/>
              </w:rPr>
              <w:t>42.9</w:t>
            </w:r>
          </w:p>
        </w:tc>
        <w:tc>
          <w:tcPr>
            <w:tcW w:w="630" w:type="dxa"/>
            <w:tcBorders>
              <w:top w:val="single" w:sz="4" w:space="0" w:color="A6A6A6" w:themeColor="background1" w:themeShade="A6"/>
              <w:bottom w:val="single" w:sz="4" w:space="0" w:color="A6A6A6" w:themeColor="background1" w:themeShade="A6"/>
            </w:tcBorders>
          </w:tcPr>
          <w:p w14:paraId="0671B96B" w14:textId="77777777" w:rsidR="00FA7EBF" w:rsidRPr="001D2FFF" w:rsidRDefault="00FA7EBF" w:rsidP="007B207C">
            <w:pPr>
              <w:pStyle w:val="ARfintablebodyright"/>
              <w:ind w:right="0"/>
              <w:rPr>
                <w:sz w:val="15"/>
                <w:szCs w:val="15"/>
                <w:lang w:eastAsia="en-AU"/>
              </w:rPr>
            </w:pPr>
            <w:r w:rsidRPr="001D2FFF">
              <w:rPr>
                <w:sz w:val="15"/>
                <w:szCs w:val="15"/>
              </w:rPr>
              <w:t>0.8</w:t>
            </w:r>
          </w:p>
        </w:tc>
        <w:tc>
          <w:tcPr>
            <w:tcW w:w="630" w:type="dxa"/>
            <w:tcBorders>
              <w:top w:val="single" w:sz="4" w:space="0" w:color="A6A6A6" w:themeColor="background1" w:themeShade="A6"/>
              <w:bottom w:val="single" w:sz="4" w:space="0" w:color="A6A6A6" w:themeColor="background1" w:themeShade="A6"/>
            </w:tcBorders>
          </w:tcPr>
          <w:p w14:paraId="53E2ED99" w14:textId="77777777" w:rsidR="00FA7EBF" w:rsidRPr="001D2FFF" w:rsidRDefault="00FA7EBF" w:rsidP="007B207C">
            <w:pPr>
              <w:pStyle w:val="ARfintablebodyright"/>
              <w:ind w:right="0"/>
              <w:rPr>
                <w:sz w:val="15"/>
                <w:szCs w:val="15"/>
                <w:lang w:eastAsia="en-AU"/>
              </w:rPr>
            </w:pPr>
            <w:r w:rsidRPr="001D2FFF">
              <w:rPr>
                <w:sz w:val="15"/>
                <w:szCs w:val="15"/>
              </w:rPr>
              <w:t>(0.2)</w:t>
            </w:r>
          </w:p>
        </w:tc>
        <w:tc>
          <w:tcPr>
            <w:tcW w:w="778" w:type="dxa"/>
            <w:tcBorders>
              <w:top w:val="single" w:sz="4" w:space="0" w:color="A6A6A6" w:themeColor="background1" w:themeShade="A6"/>
              <w:bottom w:val="single" w:sz="4" w:space="0" w:color="A6A6A6" w:themeColor="background1" w:themeShade="A6"/>
            </w:tcBorders>
          </w:tcPr>
          <w:p w14:paraId="43C1FB78" w14:textId="77777777" w:rsidR="00FA7EBF" w:rsidRPr="001D2FFF" w:rsidRDefault="00FA7EBF" w:rsidP="007B207C">
            <w:pPr>
              <w:pStyle w:val="ARfintablebodyright"/>
              <w:ind w:right="0"/>
              <w:rPr>
                <w:sz w:val="15"/>
                <w:szCs w:val="15"/>
                <w:lang w:eastAsia="en-AU"/>
              </w:rPr>
            </w:pPr>
            <w:r w:rsidRPr="001D2FFF">
              <w:rPr>
                <w:sz w:val="15"/>
                <w:szCs w:val="15"/>
              </w:rPr>
              <w:t>568.3</w:t>
            </w:r>
          </w:p>
        </w:tc>
      </w:tr>
      <w:tr w:rsidR="00FA7EBF" w:rsidRPr="007939DD" w14:paraId="030D8539"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399CD033" w14:textId="77777777" w:rsidR="00FA7EBF" w:rsidRPr="007939DD" w:rsidRDefault="00FA7EBF" w:rsidP="007B207C">
            <w:pPr>
              <w:pStyle w:val="ARfintablebody"/>
              <w:rPr>
                <w:sz w:val="13"/>
                <w:szCs w:val="13"/>
                <w:lang w:eastAsia="en-AU"/>
              </w:rPr>
            </w:pPr>
            <w:r w:rsidRPr="002E5E0F">
              <w:t>Grants and other expense transfers</w:t>
            </w:r>
          </w:p>
        </w:tc>
        <w:tc>
          <w:tcPr>
            <w:tcW w:w="629" w:type="dxa"/>
            <w:tcBorders>
              <w:top w:val="single" w:sz="4" w:space="0" w:color="A6A6A6" w:themeColor="background1" w:themeShade="A6"/>
              <w:bottom w:val="single" w:sz="4" w:space="0" w:color="A6A6A6" w:themeColor="background1" w:themeShade="A6"/>
            </w:tcBorders>
          </w:tcPr>
          <w:p w14:paraId="4FEC16E8" w14:textId="77777777" w:rsidR="00FA7EBF" w:rsidRPr="001D2FFF" w:rsidRDefault="00FA7EBF" w:rsidP="007B207C">
            <w:pPr>
              <w:pStyle w:val="ARfintablebodyright"/>
              <w:ind w:right="0"/>
              <w:rPr>
                <w:sz w:val="15"/>
                <w:szCs w:val="15"/>
                <w:lang w:eastAsia="en-AU"/>
              </w:rPr>
            </w:pPr>
            <w:r w:rsidRPr="001D2FFF">
              <w:rPr>
                <w:sz w:val="15"/>
                <w:szCs w:val="15"/>
              </w:rPr>
              <w:t>6,812.2</w:t>
            </w:r>
          </w:p>
        </w:tc>
        <w:tc>
          <w:tcPr>
            <w:tcW w:w="629" w:type="dxa"/>
            <w:tcBorders>
              <w:top w:val="single" w:sz="4" w:space="0" w:color="A6A6A6" w:themeColor="background1" w:themeShade="A6"/>
              <w:bottom w:val="single" w:sz="4" w:space="0" w:color="A6A6A6" w:themeColor="background1" w:themeShade="A6"/>
            </w:tcBorders>
          </w:tcPr>
          <w:p w14:paraId="2F37AF14" w14:textId="77777777" w:rsidR="00FA7EBF" w:rsidRPr="001D2FFF" w:rsidRDefault="00FA7EBF" w:rsidP="007B207C">
            <w:pPr>
              <w:pStyle w:val="ARfintablebodyright"/>
              <w:ind w:right="0"/>
              <w:rPr>
                <w:sz w:val="15"/>
                <w:szCs w:val="15"/>
                <w:lang w:eastAsia="en-AU"/>
              </w:rPr>
            </w:pPr>
            <w:r w:rsidRPr="001D2FFF">
              <w:rPr>
                <w:sz w:val="15"/>
                <w:szCs w:val="15"/>
              </w:rPr>
              <w:t>716.9</w:t>
            </w:r>
          </w:p>
        </w:tc>
        <w:tc>
          <w:tcPr>
            <w:tcW w:w="629" w:type="dxa"/>
            <w:tcBorders>
              <w:top w:val="single" w:sz="4" w:space="0" w:color="A6A6A6" w:themeColor="background1" w:themeShade="A6"/>
              <w:bottom w:val="single" w:sz="4" w:space="0" w:color="A6A6A6" w:themeColor="background1" w:themeShade="A6"/>
            </w:tcBorders>
          </w:tcPr>
          <w:p w14:paraId="06446238" w14:textId="77777777" w:rsidR="00FA7EBF" w:rsidRPr="001D2FFF" w:rsidRDefault="00FA7EBF" w:rsidP="007B207C">
            <w:pPr>
              <w:pStyle w:val="ARfintablebodyright"/>
              <w:ind w:right="0"/>
              <w:rPr>
                <w:sz w:val="15"/>
                <w:szCs w:val="15"/>
                <w:lang w:eastAsia="en-AU"/>
              </w:rPr>
            </w:pPr>
            <w:r w:rsidRPr="001D2FFF">
              <w:rPr>
                <w:sz w:val="15"/>
                <w:szCs w:val="15"/>
              </w:rPr>
              <w:t>1,118.9</w:t>
            </w:r>
          </w:p>
        </w:tc>
        <w:tc>
          <w:tcPr>
            <w:tcW w:w="629" w:type="dxa"/>
            <w:tcBorders>
              <w:top w:val="single" w:sz="4" w:space="0" w:color="A6A6A6" w:themeColor="background1" w:themeShade="A6"/>
              <w:bottom w:val="single" w:sz="4" w:space="0" w:color="A6A6A6" w:themeColor="background1" w:themeShade="A6"/>
            </w:tcBorders>
          </w:tcPr>
          <w:p w14:paraId="0878AA8E" w14:textId="77777777" w:rsidR="00FA7EBF" w:rsidRPr="001D2FFF" w:rsidRDefault="00FA7EBF" w:rsidP="007B207C">
            <w:pPr>
              <w:pStyle w:val="ARfintablebodyright"/>
              <w:ind w:right="0"/>
              <w:rPr>
                <w:sz w:val="15"/>
                <w:szCs w:val="15"/>
                <w:lang w:eastAsia="en-AU"/>
              </w:rPr>
            </w:pPr>
            <w:r w:rsidRPr="001D2FFF">
              <w:rPr>
                <w:sz w:val="15"/>
                <w:szCs w:val="15"/>
              </w:rPr>
              <w:t>413.3</w:t>
            </w:r>
          </w:p>
        </w:tc>
        <w:tc>
          <w:tcPr>
            <w:tcW w:w="630" w:type="dxa"/>
            <w:tcBorders>
              <w:top w:val="single" w:sz="4" w:space="0" w:color="A6A6A6" w:themeColor="background1" w:themeShade="A6"/>
              <w:bottom w:val="single" w:sz="4" w:space="0" w:color="A6A6A6" w:themeColor="background1" w:themeShade="A6"/>
            </w:tcBorders>
          </w:tcPr>
          <w:p w14:paraId="1833C382" w14:textId="77777777" w:rsidR="00FA7EBF" w:rsidRPr="001D2FFF" w:rsidRDefault="00FA7EBF" w:rsidP="007B207C">
            <w:pPr>
              <w:pStyle w:val="ARfintablebodyright"/>
              <w:ind w:right="0"/>
              <w:rPr>
                <w:sz w:val="15"/>
                <w:szCs w:val="15"/>
                <w:lang w:eastAsia="en-AU"/>
              </w:rPr>
            </w:pPr>
            <w:r w:rsidRPr="001D2FFF">
              <w:rPr>
                <w:sz w:val="15"/>
                <w:szCs w:val="15"/>
              </w:rPr>
              <w:t>432.1</w:t>
            </w:r>
          </w:p>
        </w:tc>
        <w:tc>
          <w:tcPr>
            <w:tcW w:w="630" w:type="dxa"/>
            <w:tcBorders>
              <w:top w:val="single" w:sz="4" w:space="0" w:color="A6A6A6" w:themeColor="background1" w:themeShade="A6"/>
              <w:bottom w:val="single" w:sz="4" w:space="0" w:color="A6A6A6" w:themeColor="background1" w:themeShade="A6"/>
            </w:tcBorders>
          </w:tcPr>
          <w:p w14:paraId="14E0155E" w14:textId="77777777" w:rsidR="00FA7EBF" w:rsidRPr="001D2FFF" w:rsidRDefault="00FA7EBF" w:rsidP="007B207C">
            <w:pPr>
              <w:pStyle w:val="ARfintablebodyright"/>
              <w:ind w:right="0"/>
              <w:rPr>
                <w:sz w:val="15"/>
                <w:szCs w:val="15"/>
                <w:lang w:eastAsia="en-AU"/>
              </w:rPr>
            </w:pPr>
            <w:r w:rsidRPr="001D2FFF">
              <w:rPr>
                <w:sz w:val="15"/>
                <w:szCs w:val="15"/>
              </w:rPr>
              <w:t>341.0</w:t>
            </w:r>
          </w:p>
        </w:tc>
        <w:tc>
          <w:tcPr>
            <w:tcW w:w="630" w:type="dxa"/>
            <w:tcBorders>
              <w:top w:val="single" w:sz="4" w:space="0" w:color="A6A6A6" w:themeColor="background1" w:themeShade="A6"/>
              <w:bottom w:val="single" w:sz="4" w:space="0" w:color="A6A6A6" w:themeColor="background1" w:themeShade="A6"/>
            </w:tcBorders>
          </w:tcPr>
          <w:p w14:paraId="73A06108" w14:textId="77777777" w:rsidR="00FA7EBF" w:rsidRPr="001D2FFF" w:rsidRDefault="00FA7EBF" w:rsidP="007B207C">
            <w:pPr>
              <w:pStyle w:val="ARfintablebodyright"/>
              <w:ind w:right="0"/>
              <w:rPr>
                <w:sz w:val="15"/>
                <w:szCs w:val="15"/>
                <w:lang w:eastAsia="en-AU"/>
              </w:rPr>
            </w:pPr>
            <w:r w:rsidRPr="001D2FFF">
              <w:rPr>
                <w:sz w:val="15"/>
                <w:szCs w:val="15"/>
              </w:rPr>
              <w:t>269.8</w:t>
            </w:r>
          </w:p>
        </w:tc>
        <w:tc>
          <w:tcPr>
            <w:tcW w:w="630" w:type="dxa"/>
            <w:tcBorders>
              <w:top w:val="single" w:sz="4" w:space="0" w:color="A6A6A6" w:themeColor="background1" w:themeShade="A6"/>
              <w:bottom w:val="single" w:sz="4" w:space="0" w:color="A6A6A6" w:themeColor="background1" w:themeShade="A6"/>
            </w:tcBorders>
          </w:tcPr>
          <w:p w14:paraId="6AB75E59" w14:textId="77777777" w:rsidR="00FA7EBF" w:rsidRPr="001D2FFF" w:rsidRDefault="00FA7EBF" w:rsidP="007B207C">
            <w:pPr>
              <w:pStyle w:val="ARfintablebodyright"/>
              <w:ind w:right="0"/>
              <w:rPr>
                <w:sz w:val="15"/>
                <w:szCs w:val="15"/>
                <w:lang w:eastAsia="en-AU"/>
              </w:rPr>
            </w:pPr>
            <w:r w:rsidRPr="001D2FFF">
              <w:rPr>
                <w:sz w:val="15"/>
                <w:szCs w:val="15"/>
              </w:rPr>
              <w:t>209.6</w:t>
            </w:r>
          </w:p>
        </w:tc>
        <w:tc>
          <w:tcPr>
            <w:tcW w:w="630" w:type="dxa"/>
            <w:tcBorders>
              <w:top w:val="single" w:sz="4" w:space="0" w:color="A6A6A6" w:themeColor="background1" w:themeShade="A6"/>
              <w:bottom w:val="single" w:sz="4" w:space="0" w:color="A6A6A6" w:themeColor="background1" w:themeShade="A6"/>
            </w:tcBorders>
          </w:tcPr>
          <w:p w14:paraId="17AB72A6" w14:textId="77777777" w:rsidR="00FA7EBF" w:rsidRPr="001D2FFF" w:rsidRDefault="00FA7EBF" w:rsidP="007B207C">
            <w:pPr>
              <w:pStyle w:val="ARfintablebodyright"/>
              <w:ind w:right="0"/>
              <w:rPr>
                <w:sz w:val="15"/>
                <w:szCs w:val="15"/>
                <w:lang w:eastAsia="en-AU"/>
              </w:rPr>
            </w:pPr>
            <w:r w:rsidRPr="001D2FFF">
              <w:rPr>
                <w:sz w:val="15"/>
                <w:szCs w:val="15"/>
              </w:rPr>
              <w:t>1,371.4</w:t>
            </w:r>
          </w:p>
        </w:tc>
        <w:tc>
          <w:tcPr>
            <w:tcW w:w="630" w:type="dxa"/>
            <w:tcBorders>
              <w:top w:val="single" w:sz="4" w:space="0" w:color="A6A6A6" w:themeColor="background1" w:themeShade="A6"/>
              <w:bottom w:val="single" w:sz="4" w:space="0" w:color="A6A6A6" w:themeColor="background1" w:themeShade="A6"/>
            </w:tcBorders>
          </w:tcPr>
          <w:p w14:paraId="2759F684" w14:textId="77777777" w:rsidR="00FA7EBF" w:rsidRPr="001D2FFF" w:rsidRDefault="00FA7EBF" w:rsidP="007B207C">
            <w:pPr>
              <w:pStyle w:val="ARfintablebodyright"/>
              <w:ind w:right="0"/>
              <w:rPr>
                <w:sz w:val="15"/>
                <w:szCs w:val="15"/>
                <w:lang w:eastAsia="en-AU"/>
              </w:rPr>
            </w:pPr>
            <w:r w:rsidRPr="001D2FFF">
              <w:rPr>
                <w:sz w:val="15"/>
                <w:szCs w:val="15"/>
              </w:rPr>
              <w:t>904.9</w:t>
            </w:r>
          </w:p>
        </w:tc>
        <w:tc>
          <w:tcPr>
            <w:tcW w:w="630" w:type="dxa"/>
            <w:tcBorders>
              <w:top w:val="single" w:sz="4" w:space="0" w:color="A6A6A6" w:themeColor="background1" w:themeShade="A6"/>
              <w:bottom w:val="single" w:sz="4" w:space="0" w:color="A6A6A6" w:themeColor="background1" w:themeShade="A6"/>
            </w:tcBorders>
          </w:tcPr>
          <w:p w14:paraId="4152DFDF" w14:textId="77777777" w:rsidR="00FA7EBF" w:rsidRPr="001D2FFF" w:rsidRDefault="00FA7EBF" w:rsidP="007B207C">
            <w:pPr>
              <w:pStyle w:val="ARfintablebodyright"/>
              <w:ind w:right="0"/>
              <w:rPr>
                <w:sz w:val="15"/>
                <w:szCs w:val="15"/>
                <w:lang w:eastAsia="en-AU"/>
              </w:rPr>
            </w:pPr>
            <w:r w:rsidRPr="001D2FFF">
              <w:rPr>
                <w:sz w:val="15"/>
                <w:szCs w:val="15"/>
              </w:rPr>
              <w:t>705.0</w:t>
            </w:r>
          </w:p>
        </w:tc>
        <w:tc>
          <w:tcPr>
            <w:tcW w:w="630" w:type="dxa"/>
            <w:tcBorders>
              <w:top w:val="single" w:sz="4" w:space="0" w:color="A6A6A6" w:themeColor="background1" w:themeShade="A6"/>
              <w:bottom w:val="single" w:sz="4" w:space="0" w:color="A6A6A6" w:themeColor="background1" w:themeShade="A6"/>
            </w:tcBorders>
          </w:tcPr>
          <w:p w14:paraId="23635783" w14:textId="77777777" w:rsidR="00FA7EBF" w:rsidRPr="001D2FFF" w:rsidRDefault="00FA7EBF" w:rsidP="007B207C">
            <w:pPr>
              <w:pStyle w:val="ARfintablebodyright"/>
              <w:ind w:right="0"/>
              <w:rPr>
                <w:sz w:val="15"/>
                <w:szCs w:val="15"/>
                <w:lang w:eastAsia="en-AU"/>
              </w:rPr>
            </w:pPr>
            <w:r w:rsidRPr="001D2FFF">
              <w:rPr>
                <w:sz w:val="15"/>
                <w:szCs w:val="15"/>
              </w:rPr>
              <w:t>171.0</w:t>
            </w:r>
          </w:p>
        </w:tc>
        <w:tc>
          <w:tcPr>
            <w:tcW w:w="630" w:type="dxa"/>
            <w:tcBorders>
              <w:top w:val="single" w:sz="4" w:space="0" w:color="A6A6A6" w:themeColor="background1" w:themeShade="A6"/>
              <w:bottom w:val="single" w:sz="4" w:space="0" w:color="A6A6A6" w:themeColor="background1" w:themeShade="A6"/>
            </w:tcBorders>
          </w:tcPr>
          <w:p w14:paraId="35210CD7" w14:textId="77777777" w:rsidR="00FA7EBF" w:rsidRPr="001D2FFF" w:rsidRDefault="00FA7EBF" w:rsidP="007B207C">
            <w:pPr>
              <w:pStyle w:val="ARfintablebodyright"/>
              <w:ind w:right="0"/>
              <w:rPr>
                <w:sz w:val="15"/>
                <w:szCs w:val="15"/>
                <w:lang w:eastAsia="en-AU"/>
              </w:rPr>
            </w:pPr>
            <w:r w:rsidRPr="001D2FFF">
              <w:rPr>
                <w:sz w:val="15"/>
                <w:szCs w:val="15"/>
              </w:rPr>
              <w:t>13.3</w:t>
            </w:r>
          </w:p>
        </w:tc>
        <w:tc>
          <w:tcPr>
            <w:tcW w:w="630" w:type="dxa"/>
            <w:tcBorders>
              <w:top w:val="single" w:sz="4" w:space="0" w:color="A6A6A6" w:themeColor="background1" w:themeShade="A6"/>
              <w:bottom w:val="single" w:sz="4" w:space="0" w:color="A6A6A6" w:themeColor="background1" w:themeShade="A6"/>
            </w:tcBorders>
          </w:tcPr>
          <w:p w14:paraId="4FF65C30" w14:textId="77777777" w:rsidR="00FA7EBF" w:rsidRPr="001D2FFF" w:rsidRDefault="00FA7EBF" w:rsidP="007B207C">
            <w:pPr>
              <w:pStyle w:val="ARfintablebodyright"/>
              <w:ind w:right="0"/>
              <w:rPr>
                <w:sz w:val="15"/>
                <w:szCs w:val="15"/>
                <w:lang w:eastAsia="en-AU"/>
              </w:rPr>
            </w:pPr>
            <w:r w:rsidRPr="001D2FFF">
              <w:rPr>
                <w:sz w:val="15"/>
                <w:szCs w:val="15"/>
              </w:rPr>
              <w:t>36.9</w:t>
            </w:r>
          </w:p>
        </w:tc>
        <w:tc>
          <w:tcPr>
            <w:tcW w:w="630" w:type="dxa"/>
            <w:tcBorders>
              <w:top w:val="single" w:sz="4" w:space="0" w:color="A6A6A6" w:themeColor="background1" w:themeShade="A6"/>
              <w:bottom w:val="single" w:sz="4" w:space="0" w:color="A6A6A6" w:themeColor="background1" w:themeShade="A6"/>
            </w:tcBorders>
          </w:tcPr>
          <w:p w14:paraId="393B6D3D" w14:textId="77777777" w:rsidR="00FA7EBF" w:rsidRPr="001D2FFF" w:rsidRDefault="00FA7EBF" w:rsidP="007B207C">
            <w:pPr>
              <w:pStyle w:val="ARfintablebodyright"/>
              <w:ind w:right="0"/>
              <w:rPr>
                <w:sz w:val="15"/>
                <w:szCs w:val="15"/>
                <w:lang w:eastAsia="en-AU"/>
              </w:rPr>
            </w:pPr>
            <w:r w:rsidRPr="001D2FFF">
              <w:rPr>
                <w:sz w:val="15"/>
                <w:szCs w:val="15"/>
              </w:rPr>
              <w:t>399.9</w:t>
            </w:r>
          </w:p>
        </w:tc>
        <w:tc>
          <w:tcPr>
            <w:tcW w:w="630" w:type="dxa"/>
            <w:tcBorders>
              <w:top w:val="single" w:sz="4" w:space="0" w:color="A6A6A6" w:themeColor="background1" w:themeShade="A6"/>
              <w:bottom w:val="single" w:sz="4" w:space="0" w:color="A6A6A6" w:themeColor="background1" w:themeShade="A6"/>
            </w:tcBorders>
          </w:tcPr>
          <w:p w14:paraId="37DA81CC"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54B23145" w14:textId="77777777" w:rsidR="00FA7EBF" w:rsidRPr="001D2FFF" w:rsidRDefault="00FA7EBF" w:rsidP="007B207C">
            <w:pPr>
              <w:pStyle w:val="ARfintablebodyright"/>
              <w:ind w:right="0"/>
              <w:rPr>
                <w:sz w:val="15"/>
                <w:szCs w:val="15"/>
                <w:lang w:eastAsia="en-AU"/>
              </w:rPr>
            </w:pPr>
            <w:r w:rsidRPr="001D2FFF">
              <w:rPr>
                <w:sz w:val="15"/>
                <w:szCs w:val="15"/>
              </w:rPr>
              <w:t>(10.5)</w:t>
            </w:r>
          </w:p>
        </w:tc>
        <w:tc>
          <w:tcPr>
            <w:tcW w:w="778" w:type="dxa"/>
            <w:tcBorders>
              <w:top w:val="single" w:sz="4" w:space="0" w:color="A6A6A6" w:themeColor="background1" w:themeShade="A6"/>
              <w:bottom w:val="single" w:sz="4" w:space="0" w:color="A6A6A6" w:themeColor="background1" w:themeShade="A6"/>
            </w:tcBorders>
          </w:tcPr>
          <w:p w14:paraId="53190CD1" w14:textId="77777777" w:rsidR="00FA7EBF" w:rsidRPr="001D2FFF" w:rsidRDefault="00FA7EBF" w:rsidP="007B207C">
            <w:pPr>
              <w:pStyle w:val="ARfintablebodyright"/>
              <w:ind w:right="0"/>
              <w:rPr>
                <w:sz w:val="15"/>
                <w:szCs w:val="15"/>
                <w:lang w:eastAsia="en-AU"/>
              </w:rPr>
            </w:pPr>
            <w:r w:rsidRPr="001D2FFF">
              <w:rPr>
                <w:sz w:val="15"/>
                <w:szCs w:val="15"/>
              </w:rPr>
              <w:t>13,905.6</w:t>
            </w:r>
          </w:p>
        </w:tc>
      </w:tr>
      <w:tr w:rsidR="00FA7EBF" w:rsidRPr="007939DD" w14:paraId="23AFB799"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38BC8046" w14:textId="77777777" w:rsidR="00FA7EBF" w:rsidRPr="007939DD" w:rsidRDefault="00FA7EBF" w:rsidP="007B207C">
            <w:pPr>
              <w:pStyle w:val="ARfintablebody"/>
              <w:rPr>
                <w:sz w:val="13"/>
                <w:szCs w:val="13"/>
                <w:lang w:eastAsia="en-AU"/>
              </w:rPr>
            </w:pPr>
            <w:r w:rsidRPr="002E5E0F">
              <w:t>Capital asset charge</w:t>
            </w:r>
          </w:p>
        </w:tc>
        <w:tc>
          <w:tcPr>
            <w:tcW w:w="629" w:type="dxa"/>
            <w:tcBorders>
              <w:top w:val="single" w:sz="4" w:space="0" w:color="A6A6A6" w:themeColor="background1" w:themeShade="A6"/>
              <w:bottom w:val="single" w:sz="4" w:space="0" w:color="A6A6A6" w:themeColor="background1" w:themeShade="A6"/>
            </w:tcBorders>
          </w:tcPr>
          <w:p w14:paraId="3291C97C" w14:textId="77777777" w:rsidR="00FA7EBF" w:rsidRPr="001D2FFF" w:rsidRDefault="00FA7EBF" w:rsidP="007B207C">
            <w:pPr>
              <w:pStyle w:val="ARfintablebodyright"/>
              <w:ind w:right="0"/>
              <w:rPr>
                <w:sz w:val="15"/>
                <w:szCs w:val="15"/>
                <w:lang w:eastAsia="en-AU"/>
              </w:rPr>
            </w:pPr>
            <w:r w:rsidRPr="001D2FFF">
              <w:rPr>
                <w:sz w:val="15"/>
                <w:szCs w:val="15"/>
              </w:rPr>
              <w:t>926.6</w:t>
            </w:r>
          </w:p>
        </w:tc>
        <w:tc>
          <w:tcPr>
            <w:tcW w:w="629" w:type="dxa"/>
            <w:tcBorders>
              <w:top w:val="single" w:sz="4" w:space="0" w:color="A6A6A6" w:themeColor="background1" w:themeShade="A6"/>
              <w:bottom w:val="single" w:sz="4" w:space="0" w:color="A6A6A6" w:themeColor="background1" w:themeShade="A6"/>
            </w:tcBorders>
          </w:tcPr>
          <w:p w14:paraId="1DEB728A" w14:textId="77777777" w:rsidR="00FA7EBF" w:rsidRPr="001D2FFF" w:rsidRDefault="00FA7EBF" w:rsidP="007B207C">
            <w:pPr>
              <w:pStyle w:val="ARfintablebodyright"/>
              <w:ind w:right="0"/>
              <w:rPr>
                <w:sz w:val="15"/>
                <w:szCs w:val="15"/>
                <w:lang w:eastAsia="en-AU"/>
              </w:rPr>
            </w:pPr>
            <w:r w:rsidRPr="001D2FFF">
              <w:rPr>
                <w:sz w:val="15"/>
                <w:szCs w:val="15"/>
              </w:rPr>
              <w:t>23.8</w:t>
            </w:r>
          </w:p>
        </w:tc>
        <w:tc>
          <w:tcPr>
            <w:tcW w:w="629" w:type="dxa"/>
            <w:tcBorders>
              <w:top w:val="single" w:sz="4" w:space="0" w:color="A6A6A6" w:themeColor="background1" w:themeShade="A6"/>
              <w:bottom w:val="single" w:sz="4" w:space="0" w:color="A6A6A6" w:themeColor="background1" w:themeShade="A6"/>
            </w:tcBorders>
          </w:tcPr>
          <w:p w14:paraId="6C95DF76" w14:textId="77777777" w:rsidR="00FA7EBF" w:rsidRPr="001D2FFF" w:rsidRDefault="00FA7EBF" w:rsidP="007B207C">
            <w:pPr>
              <w:pStyle w:val="ARfintablebodyright"/>
              <w:ind w:right="0"/>
              <w:rPr>
                <w:sz w:val="15"/>
                <w:szCs w:val="15"/>
                <w:lang w:eastAsia="en-AU"/>
              </w:rPr>
            </w:pPr>
            <w:r w:rsidRPr="001D2FFF">
              <w:rPr>
                <w:sz w:val="15"/>
                <w:szCs w:val="15"/>
              </w:rPr>
              <w:t>73.7</w:t>
            </w:r>
          </w:p>
        </w:tc>
        <w:tc>
          <w:tcPr>
            <w:tcW w:w="629" w:type="dxa"/>
            <w:tcBorders>
              <w:top w:val="single" w:sz="4" w:space="0" w:color="A6A6A6" w:themeColor="background1" w:themeShade="A6"/>
              <w:bottom w:val="single" w:sz="4" w:space="0" w:color="A6A6A6" w:themeColor="background1" w:themeShade="A6"/>
            </w:tcBorders>
          </w:tcPr>
          <w:p w14:paraId="4CAAAF12" w14:textId="77777777" w:rsidR="00FA7EBF" w:rsidRPr="001D2FFF" w:rsidRDefault="00FA7EBF" w:rsidP="007B207C">
            <w:pPr>
              <w:pStyle w:val="ARfintablebodyright"/>
              <w:ind w:right="0"/>
              <w:rPr>
                <w:sz w:val="15"/>
                <w:szCs w:val="15"/>
                <w:lang w:eastAsia="en-AU"/>
              </w:rPr>
            </w:pPr>
            <w:r w:rsidRPr="001D2FFF">
              <w:rPr>
                <w:sz w:val="15"/>
                <w:szCs w:val="15"/>
              </w:rPr>
              <w:t>53.3</w:t>
            </w:r>
          </w:p>
        </w:tc>
        <w:tc>
          <w:tcPr>
            <w:tcW w:w="630" w:type="dxa"/>
            <w:tcBorders>
              <w:top w:val="single" w:sz="4" w:space="0" w:color="A6A6A6" w:themeColor="background1" w:themeShade="A6"/>
              <w:bottom w:val="single" w:sz="4" w:space="0" w:color="A6A6A6" w:themeColor="background1" w:themeShade="A6"/>
            </w:tcBorders>
          </w:tcPr>
          <w:p w14:paraId="4B0B3375" w14:textId="77777777" w:rsidR="00FA7EBF" w:rsidRPr="001D2FFF" w:rsidRDefault="00FA7EBF" w:rsidP="007B207C">
            <w:pPr>
              <w:pStyle w:val="ARfintablebodyright"/>
              <w:ind w:right="0"/>
              <w:rPr>
                <w:sz w:val="15"/>
                <w:szCs w:val="15"/>
                <w:lang w:eastAsia="en-AU"/>
              </w:rPr>
            </w:pPr>
            <w:r w:rsidRPr="001D2FFF">
              <w:rPr>
                <w:sz w:val="15"/>
                <w:szCs w:val="15"/>
              </w:rPr>
              <w:t>26.4</w:t>
            </w:r>
          </w:p>
        </w:tc>
        <w:tc>
          <w:tcPr>
            <w:tcW w:w="630" w:type="dxa"/>
            <w:tcBorders>
              <w:top w:val="single" w:sz="4" w:space="0" w:color="A6A6A6" w:themeColor="background1" w:themeShade="A6"/>
              <w:bottom w:val="single" w:sz="4" w:space="0" w:color="A6A6A6" w:themeColor="background1" w:themeShade="A6"/>
            </w:tcBorders>
          </w:tcPr>
          <w:p w14:paraId="07C1FB41" w14:textId="77777777" w:rsidR="00FA7EBF" w:rsidRPr="001D2FFF" w:rsidRDefault="00FA7EBF" w:rsidP="007B207C">
            <w:pPr>
              <w:pStyle w:val="ARfintablebodyright"/>
              <w:ind w:right="0"/>
              <w:rPr>
                <w:sz w:val="15"/>
                <w:szCs w:val="15"/>
                <w:lang w:eastAsia="en-AU"/>
              </w:rPr>
            </w:pPr>
            <w:r w:rsidRPr="001D2FFF">
              <w:rPr>
                <w:sz w:val="15"/>
                <w:szCs w:val="15"/>
              </w:rPr>
              <w:t>35.8</w:t>
            </w:r>
          </w:p>
        </w:tc>
        <w:tc>
          <w:tcPr>
            <w:tcW w:w="630" w:type="dxa"/>
            <w:tcBorders>
              <w:top w:val="single" w:sz="4" w:space="0" w:color="A6A6A6" w:themeColor="background1" w:themeShade="A6"/>
              <w:bottom w:val="single" w:sz="4" w:space="0" w:color="A6A6A6" w:themeColor="background1" w:themeShade="A6"/>
            </w:tcBorders>
          </w:tcPr>
          <w:p w14:paraId="37D0A7BC" w14:textId="77777777" w:rsidR="00FA7EBF" w:rsidRPr="001D2FFF" w:rsidRDefault="00FA7EBF" w:rsidP="007B207C">
            <w:pPr>
              <w:pStyle w:val="ARfintablebodyright"/>
              <w:ind w:right="0"/>
              <w:rPr>
                <w:sz w:val="15"/>
                <w:szCs w:val="15"/>
                <w:lang w:eastAsia="en-AU"/>
              </w:rPr>
            </w:pPr>
            <w:r w:rsidRPr="001D2FFF">
              <w:rPr>
                <w:sz w:val="15"/>
                <w:szCs w:val="15"/>
              </w:rPr>
              <w:t>2.5</w:t>
            </w:r>
          </w:p>
        </w:tc>
        <w:tc>
          <w:tcPr>
            <w:tcW w:w="630" w:type="dxa"/>
            <w:tcBorders>
              <w:top w:val="single" w:sz="4" w:space="0" w:color="A6A6A6" w:themeColor="background1" w:themeShade="A6"/>
              <w:bottom w:val="single" w:sz="4" w:space="0" w:color="A6A6A6" w:themeColor="background1" w:themeShade="A6"/>
            </w:tcBorders>
          </w:tcPr>
          <w:p w14:paraId="5ABF96D6" w14:textId="77777777" w:rsidR="00FA7EBF" w:rsidRPr="001D2FFF" w:rsidRDefault="00FA7EBF" w:rsidP="007B207C">
            <w:pPr>
              <w:pStyle w:val="ARfintablebodyright"/>
              <w:ind w:right="0"/>
              <w:rPr>
                <w:sz w:val="15"/>
                <w:szCs w:val="15"/>
                <w:lang w:eastAsia="en-AU"/>
              </w:rPr>
            </w:pPr>
            <w:r w:rsidRPr="001D2FFF">
              <w:rPr>
                <w:sz w:val="15"/>
                <w:szCs w:val="15"/>
              </w:rPr>
              <w:t>2.6</w:t>
            </w:r>
          </w:p>
        </w:tc>
        <w:tc>
          <w:tcPr>
            <w:tcW w:w="630" w:type="dxa"/>
            <w:tcBorders>
              <w:top w:val="single" w:sz="4" w:space="0" w:color="A6A6A6" w:themeColor="background1" w:themeShade="A6"/>
              <w:bottom w:val="single" w:sz="4" w:space="0" w:color="A6A6A6" w:themeColor="background1" w:themeShade="A6"/>
            </w:tcBorders>
          </w:tcPr>
          <w:p w14:paraId="030A6AC9" w14:textId="77777777" w:rsidR="00FA7EBF" w:rsidRPr="001D2FFF" w:rsidRDefault="00FA7EBF" w:rsidP="007B207C">
            <w:pPr>
              <w:pStyle w:val="ARfintablebodyright"/>
              <w:ind w:right="0"/>
              <w:rPr>
                <w:sz w:val="15"/>
                <w:szCs w:val="15"/>
                <w:lang w:eastAsia="en-AU"/>
              </w:rPr>
            </w:pPr>
            <w:r w:rsidRPr="001D2FFF">
              <w:rPr>
                <w:sz w:val="15"/>
                <w:szCs w:val="15"/>
              </w:rPr>
              <w:t>39.3</w:t>
            </w:r>
          </w:p>
        </w:tc>
        <w:tc>
          <w:tcPr>
            <w:tcW w:w="630" w:type="dxa"/>
            <w:tcBorders>
              <w:top w:val="single" w:sz="4" w:space="0" w:color="A6A6A6" w:themeColor="background1" w:themeShade="A6"/>
              <w:bottom w:val="single" w:sz="4" w:space="0" w:color="A6A6A6" w:themeColor="background1" w:themeShade="A6"/>
            </w:tcBorders>
          </w:tcPr>
          <w:p w14:paraId="41AF48BB" w14:textId="77777777" w:rsidR="00FA7EBF" w:rsidRPr="001D2FFF" w:rsidRDefault="00FA7EBF" w:rsidP="007B207C">
            <w:pPr>
              <w:pStyle w:val="ARfintablebodyright"/>
              <w:ind w:right="0"/>
              <w:rPr>
                <w:sz w:val="15"/>
                <w:szCs w:val="15"/>
                <w:lang w:eastAsia="en-AU"/>
              </w:rPr>
            </w:pPr>
            <w:r w:rsidRPr="001D2FFF">
              <w:rPr>
                <w:sz w:val="15"/>
                <w:szCs w:val="15"/>
              </w:rPr>
              <w:t>14.6</w:t>
            </w:r>
          </w:p>
        </w:tc>
        <w:tc>
          <w:tcPr>
            <w:tcW w:w="630" w:type="dxa"/>
            <w:tcBorders>
              <w:top w:val="single" w:sz="4" w:space="0" w:color="A6A6A6" w:themeColor="background1" w:themeShade="A6"/>
              <w:bottom w:val="single" w:sz="4" w:space="0" w:color="A6A6A6" w:themeColor="background1" w:themeShade="A6"/>
            </w:tcBorders>
          </w:tcPr>
          <w:p w14:paraId="7C86121D"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E71CDC2" w14:textId="77777777" w:rsidR="00FA7EBF" w:rsidRPr="001D2FFF" w:rsidRDefault="00FA7EBF" w:rsidP="007B207C">
            <w:pPr>
              <w:pStyle w:val="ARfintablebodyright"/>
              <w:ind w:right="0"/>
              <w:rPr>
                <w:sz w:val="15"/>
                <w:szCs w:val="15"/>
                <w:lang w:eastAsia="en-AU"/>
              </w:rPr>
            </w:pPr>
            <w:r w:rsidRPr="001D2FFF">
              <w:rPr>
                <w:sz w:val="15"/>
                <w:szCs w:val="15"/>
              </w:rPr>
              <w:t>1.7</w:t>
            </w:r>
          </w:p>
        </w:tc>
        <w:tc>
          <w:tcPr>
            <w:tcW w:w="630" w:type="dxa"/>
            <w:tcBorders>
              <w:top w:val="single" w:sz="4" w:space="0" w:color="A6A6A6" w:themeColor="background1" w:themeShade="A6"/>
              <w:bottom w:val="single" w:sz="4" w:space="0" w:color="A6A6A6" w:themeColor="background1" w:themeShade="A6"/>
            </w:tcBorders>
          </w:tcPr>
          <w:p w14:paraId="2EEF629F"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0A72AC1" w14:textId="77777777" w:rsidR="00FA7EBF" w:rsidRPr="001D2FFF" w:rsidRDefault="00FA7EBF" w:rsidP="007B207C">
            <w:pPr>
              <w:pStyle w:val="ARfintablebodyright"/>
              <w:ind w:right="0"/>
              <w:rPr>
                <w:sz w:val="15"/>
                <w:szCs w:val="15"/>
                <w:lang w:eastAsia="en-AU"/>
              </w:rPr>
            </w:pPr>
            <w:r w:rsidRPr="001D2FFF">
              <w:rPr>
                <w:sz w:val="15"/>
                <w:szCs w:val="15"/>
              </w:rPr>
              <w:t>1.0</w:t>
            </w:r>
          </w:p>
        </w:tc>
        <w:tc>
          <w:tcPr>
            <w:tcW w:w="630" w:type="dxa"/>
            <w:tcBorders>
              <w:top w:val="single" w:sz="4" w:space="0" w:color="A6A6A6" w:themeColor="background1" w:themeShade="A6"/>
              <w:bottom w:val="single" w:sz="4" w:space="0" w:color="A6A6A6" w:themeColor="background1" w:themeShade="A6"/>
            </w:tcBorders>
          </w:tcPr>
          <w:p w14:paraId="18200269"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1F0936E3"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F8B538B"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5F10D45C" w14:textId="77777777" w:rsidR="00FA7EBF" w:rsidRPr="001D2FFF" w:rsidRDefault="00FA7EBF" w:rsidP="007B207C">
            <w:pPr>
              <w:pStyle w:val="ARfintablebodyright"/>
              <w:ind w:right="0"/>
              <w:rPr>
                <w:sz w:val="15"/>
                <w:szCs w:val="15"/>
                <w:lang w:eastAsia="en-AU"/>
              </w:rPr>
            </w:pPr>
            <w:r w:rsidRPr="001D2FFF">
              <w:rPr>
                <w:sz w:val="15"/>
                <w:szCs w:val="15"/>
              </w:rPr>
              <w:t>1,201.4</w:t>
            </w:r>
          </w:p>
        </w:tc>
      </w:tr>
      <w:tr w:rsidR="00FA7EBF" w:rsidRPr="007939DD" w14:paraId="7F34E956" w14:textId="77777777" w:rsidTr="007B207C">
        <w:trPr>
          <w:cantSplit/>
        </w:trPr>
        <w:tc>
          <w:tcPr>
            <w:tcW w:w="2975" w:type="dxa"/>
            <w:tcBorders>
              <w:top w:val="single" w:sz="4" w:space="0" w:color="A6A6A6" w:themeColor="background1" w:themeShade="A6"/>
            </w:tcBorders>
          </w:tcPr>
          <w:p w14:paraId="27232AD2" w14:textId="77777777" w:rsidR="00FA7EBF" w:rsidRPr="007939DD" w:rsidRDefault="00FA7EBF" w:rsidP="007B207C">
            <w:pPr>
              <w:pStyle w:val="ARfintablebody"/>
              <w:rPr>
                <w:sz w:val="13"/>
                <w:szCs w:val="13"/>
                <w:lang w:eastAsia="en-AU"/>
              </w:rPr>
            </w:pPr>
            <w:r w:rsidRPr="002E5E0F">
              <w:t xml:space="preserve">Other </w:t>
            </w:r>
            <w:r>
              <w:t>p</w:t>
            </w:r>
            <w:r w:rsidRPr="002E5E0F">
              <w:t>roperty management expenses</w:t>
            </w:r>
          </w:p>
        </w:tc>
        <w:tc>
          <w:tcPr>
            <w:tcW w:w="629" w:type="dxa"/>
            <w:tcBorders>
              <w:top w:val="single" w:sz="4" w:space="0" w:color="A6A6A6" w:themeColor="background1" w:themeShade="A6"/>
            </w:tcBorders>
          </w:tcPr>
          <w:p w14:paraId="0B2E83A6"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29" w:type="dxa"/>
            <w:tcBorders>
              <w:top w:val="single" w:sz="4" w:space="0" w:color="A6A6A6" w:themeColor="background1" w:themeShade="A6"/>
            </w:tcBorders>
          </w:tcPr>
          <w:p w14:paraId="127D241D"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29" w:type="dxa"/>
            <w:tcBorders>
              <w:top w:val="single" w:sz="4" w:space="0" w:color="A6A6A6" w:themeColor="background1" w:themeShade="A6"/>
            </w:tcBorders>
          </w:tcPr>
          <w:p w14:paraId="65DF37D6"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29" w:type="dxa"/>
            <w:tcBorders>
              <w:top w:val="single" w:sz="4" w:space="0" w:color="A6A6A6" w:themeColor="background1" w:themeShade="A6"/>
            </w:tcBorders>
          </w:tcPr>
          <w:p w14:paraId="3F6DFBA3"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795B6F75"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43CFD423"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170A2DA4"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7C85A7C5"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2E821D70"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50B028AE"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111570A2"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7E8EAD05"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4290A588"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422B310A"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0E053649" w14:textId="77777777" w:rsidR="00FA7EBF" w:rsidRPr="001D2FFF" w:rsidRDefault="00FA7EBF" w:rsidP="007B207C">
            <w:pPr>
              <w:pStyle w:val="ARfintablebodyright"/>
              <w:ind w:right="0"/>
              <w:rPr>
                <w:sz w:val="15"/>
                <w:szCs w:val="15"/>
                <w:lang w:eastAsia="en-AU"/>
              </w:rPr>
            </w:pPr>
            <w:r w:rsidRPr="001D2FFF">
              <w:rPr>
                <w:sz w:val="15"/>
                <w:szCs w:val="15"/>
              </w:rPr>
              <w:t>193.2</w:t>
            </w:r>
          </w:p>
        </w:tc>
        <w:tc>
          <w:tcPr>
            <w:tcW w:w="630" w:type="dxa"/>
            <w:tcBorders>
              <w:top w:val="single" w:sz="4" w:space="0" w:color="A6A6A6" w:themeColor="background1" w:themeShade="A6"/>
            </w:tcBorders>
          </w:tcPr>
          <w:p w14:paraId="79004657"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630" w:type="dxa"/>
            <w:tcBorders>
              <w:top w:val="single" w:sz="4" w:space="0" w:color="A6A6A6" w:themeColor="background1" w:themeShade="A6"/>
            </w:tcBorders>
          </w:tcPr>
          <w:p w14:paraId="1A975DCF" w14:textId="77777777" w:rsidR="00FA7EBF" w:rsidRPr="001D2FFF" w:rsidRDefault="00FA7EBF" w:rsidP="007B207C">
            <w:pPr>
              <w:pStyle w:val="ARfintablebodyright"/>
              <w:ind w:right="0"/>
              <w:rPr>
                <w:sz w:val="15"/>
                <w:szCs w:val="15"/>
                <w:lang w:eastAsia="en-AU"/>
              </w:rPr>
            </w:pPr>
            <w:r w:rsidRPr="001D2FFF">
              <w:rPr>
                <w:sz w:val="15"/>
                <w:szCs w:val="15"/>
              </w:rPr>
              <w:t>–</w:t>
            </w:r>
          </w:p>
        </w:tc>
        <w:tc>
          <w:tcPr>
            <w:tcW w:w="778" w:type="dxa"/>
            <w:tcBorders>
              <w:top w:val="single" w:sz="4" w:space="0" w:color="A6A6A6" w:themeColor="background1" w:themeShade="A6"/>
            </w:tcBorders>
          </w:tcPr>
          <w:p w14:paraId="3BF69EBF" w14:textId="77777777" w:rsidR="00FA7EBF" w:rsidRPr="001D2FFF" w:rsidRDefault="00FA7EBF" w:rsidP="007B207C">
            <w:pPr>
              <w:pStyle w:val="ARfintablebodyright"/>
              <w:ind w:right="0"/>
              <w:rPr>
                <w:sz w:val="15"/>
                <w:szCs w:val="15"/>
                <w:lang w:eastAsia="en-AU"/>
              </w:rPr>
            </w:pPr>
            <w:r w:rsidRPr="001D2FFF">
              <w:rPr>
                <w:sz w:val="15"/>
                <w:szCs w:val="15"/>
              </w:rPr>
              <w:t>193.2</w:t>
            </w:r>
          </w:p>
        </w:tc>
      </w:tr>
      <w:tr w:rsidR="00FA7EBF" w:rsidRPr="007939DD" w14:paraId="63370CFF" w14:textId="77777777" w:rsidTr="007B207C">
        <w:trPr>
          <w:cantSplit/>
        </w:trPr>
        <w:tc>
          <w:tcPr>
            <w:tcW w:w="2975" w:type="dxa"/>
          </w:tcPr>
          <w:p w14:paraId="2BE89449" w14:textId="77777777" w:rsidR="00FA7EBF" w:rsidRPr="007939DD" w:rsidRDefault="00FA7EBF" w:rsidP="007B207C">
            <w:pPr>
              <w:pStyle w:val="ARfintablebodybold"/>
              <w:rPr>
                <w:rStyle w:val="Strong"/>
                <w:sz w:val="13"/>
                <w:szCs w:val="13"/>
              </w:rPr>
            </w:pPr>
            <w:r w:rsidRPr="002E5E0F">
              <w:t>Total expenses from transactions</w:t>
            </w:r>
          </w:p>
        </w:tc>
        <w:tc>
          <w:tcPr>
            <w:tcW w:w="629" w:type="dxa"/>
          </w:tcPr>
          <w:p w14:paraId="148D7ABB" w14:textId="77777777" w:rsidR="00FA7EBF" w:rsidRPr="005A60A4" w:rsidRDefault="00FA7EBF" w:rsidP="005A60A4">
            <w:pPr>
              <w:pStyle w:val="ARfintablebodyrightbold"/>
              <w:ind w:right="0"/>
              <w:rPr>
                <w:sz w:val="15"/>
                <w:szCs w:val="15"/>
                <w:lang w:eastAsia="en-AU"/>
              </w:rPr>
            </w:pPr>
            <w:r w:rsidRPr="005A60A4">
              <w:rPr>
                <w:sz w:val="15"/>
                <w:szCs w:val="15"/>
              </w:rPr>
              <w:t>8,017.0</w:t>
            </w:r>
          </w:p>
        </w:tc>
        <w:tc>
          <w:tcPr>
            <w:tcW w:w="629" w:type="dxa"/>
          </w:tcPr>
          <w:p w14:paraId="12AA12FB" w14:textId="77777777" w:rsidR="00FA7EBF" w:rsidRPr="005A60A4" w:rsidRDefault="00FA7EBF" w:rsidP="005A60A4">
            <w:pPr>
              <w:pStyle w:val="ARfintablebodyrightbold"/>
              <w:ind w:right="0"/>
              <w:rPr>
                <w:sz w:val="15"/>
                <w:szCs w:val="15"/>
                <w:lang w:eastAsia="en-AU"/>
              </w:rPr>
            </w:pPr>
            <w:r w:rsidRPr="005A60A4">
              <w:rPr>
                <w:sz w:val="15"/>
                <w:szCs w:val="15"/>
              </w:rPr>
              <w:t>745.8</w:t>
            </w:r>
          </w:p>
        </w:tc>
        <w:tc>
          <w:tcPr>
            <w:tcW w:w="629" w:type="dxa"/>
          </w:tcPr>
          <w:p w14:paraId="21A6DFC2" w14:textId="77777777" w:rsidR="00FA7EBF" w:rsidRPr="005A60A4" w:rsidRDefault="00FA7EBF" w:rsidP="005A60A4">
            <w:pPr>
              <w:pStyle w:val="ARfintablebodyrightbold"/>
              <w:ind w:right="0"/>
              <w:rPr>
                <w:sz w:val="15"/>
                <w:szCs w:val="15"/>
                <w:lang w:eastAsia="en-AU"/>
              </w:rPr>
            </w:pPr>
            <w:r w:rsidRPr="005A60A4">
              <w:rPr>
                <w:sz w:val="15"/>
                <w:szCs w:val="15"/>
              </w:rPr>
              <w:t>1,248.5</w:t>
            </w:r>
          </w:p>
        </w:tc>
        <w:tc>
          <w:tcPr>
            <w:tcW w:w="629" w:type="dxa"/>
          </w:tcPr>
          <w:p w14:paraId="19E2CE46" w14:textId="77777777" w:rsidR="00FA7EBF" w:rsidRPr="005A60A4" w:rsidRDefault="00FA7EBF" w:rsidP="005A60A4">
            <w:pPr>
              <w:pStyle w:val="ARfintablebodyrightbold"/>
              <w:ind w:right="0"/>
              <w:rPr>
                <w:sz w:val="15"/>
                <w:szCs w:val="15"/>
                <w:lang w:eastAsia="en-AU"/>
              </w:rPr>
            </w:pPr>
            <w:r w:rsidRPr="005A60A4">
              <w:rPr>
                <w:sz w:val="15"/>
                <w:szCs w:val="15"/>
              </w:rPr>
              <w:t>492.7</w:t>
            </w:r>
          </w:p>
        </w:tc>
        <w:tc>
          <w:tcPr>
            <w:tcW w:w="630" w:type="dxa"/>
          </w:tcPr>
          <w:p w14:paraId="2D102122" w14:textId="77777777" w:rsidR="00FA7EBF" w:rsidRPr="005A60A4" w:rsidRDefault="00FA7EBF" w:rsidP="005A60A4">
            <w:pPr>
              <w:pStyle w:val="ARfintablebodyrightbold"/>
              <w:ind w:right="0"/>
              <w:rPr>
                <w:sz w:val="15"/>
                <w:szCs w:val="15"/>
                <w:lang w:eastAsia="en-AU"/>
              </w:rPr>
            </w:pPr>
            <w:r w:rsidRPr="005A60A4">
              <w:rPr>
                <w:sz w:val="15"/>
                <w:szCs w:val="15"/>
              </w:rPr>
              <w:t>485.8</w:t>
            </w:r>
          </w:p>
        </w:tc>
        <w:tc>
          <w:tcPr>
            <w:tcW w:w="630" w:type="dxa"/>
          </w:tcPr>
          <w:p w14:paraId="5ED3D6B0" w14:textId="77777777" w:rsidR="00FA7EBF" w:rsidRPr="005A60A4" w:rsidRDefault="00FA7EBF" w:rsidP="005A60A4">
            <w:pPr>
              <w:pStyle w:val="ARfintablebodyrightbold"/>
              <w:ind w:right="0"/>
              <w:rPr>
                <w:sz w:val="15"/>
                <w:szCs w:val="15"/>
                <w:lang w:eastAsia="en-AU"/>
              </w:rPr>
            </w:pPr>
            <w:r w:rsidRPr="005A60A4">
              <w:rPr>
                <w:sz w:val="15"/>
                <w:szCs w:val="15"/>
              </w:rPr>
              <w:t>386.4</w:t>
            </w:r>
          </w:p>
        </w:tc>
        <w:tc>
          <w:tcPr>
            <w:tcW w:w="630" w:type="dxa"/>
          </w:tcPr>
          <w:p w14:paraId="7FE006C2" w14:textId="77777777" w:rsidR="00FA7EBF" w:rsidRPr="005A60A4" w:rsidRDefault="00FA7EBF" w:rsidP="005A60A4">
            <w:pPr>
              <w:pStyle w:val="ARfintablebodyrightbold"/>
              <w:ind w:right="0"/>
              <w:rPr>
                <w:sz w:val="15"/>
                <w:szCs w:val="15"/>
                <w:lang w:eastAsia="en-AU"/>
              </w:rPr>
            </w:pPr>
            <w:r w:rsidRPr="005A60A4">
              <w:rPr>
                <w:sz w:val="15"/>
                <w:szCs w:val="15"/>
              </w:rPr>
              <w:t>380.2</w:t>
            </w:r>
          </w:p>
        </w:tc>
        <w:tc>
          <w:tcPr>
            <w:tcW w:w="630" w:type="dxa"/>
          </w:tcPr>
          <w:p w14:paraId="50704519" w14:textId="77777777" w:rsidR="00FA7EBF" w:rsidRPr="005A60A4" w:rsidRDefault="00FA7EBF" w:rsidP="005A60A4">
            <w:pPr>
              <w:pStyle w:val="ARfintablebodyrightbold"/>
              <w:ind w:right="0"/>
              <w:rPr>
                <w:sz w:val="15"/>
                <w:szCs w:val="15"/>
                <w:lang w:eastAsia="en-AU"/>
              </w:rPr>
            </w:pPr>
            <w:r w:rsidRPr="005A60A4">
              <w:rPr>
                <w:sz w:val="15"/>
                <w:szCs w:val="15"/>
              </w:rPr>
              <w:t>232.4</w:t>
            </w:r>
          </w:p>
        </w:tc>
        <w:tc>
          <w:tcPr>
            <w:tcW w:w="630" w:type="dxa"/>
          </w:tcPr>
          <w:p w14:paraId="7E17BD66" w14:textId="77777777" w:rsidR="00FA7EBF" w:rsidRPr="005A60A4" w:rsidRDefault="00FA7EBF" w:rsidP="005A60A4">
            <w:pPr>
              <w:pStyle w:val="ARfintablebodyrightbold"/>
              <w:ind w:right="0"/>
              <w:rPr>
                <w:sz w:val="15"/>
                <w:szCs w:val="15"/>
                <w:lang w:eastAsia="en-AU"/>
              </w:rPr>
            </w:pPr>
            <w:r w:rsidRPr="005A60A4">
              <w:rPr>
                <w:sz w:val="15"/>
                <w:szCs w:val="15"/>
              </w:rPr>
              <w:t>2,132.7</w:t>
            </w:r>
          </w:p>
        </w:tc>
        <w:tc>
          <w:tcPr>
            <w:tcW w:w="630" w:type="dxa"/>
          </w:tcPr>
          <w:p w14:paraId="6FC9F2C7" w14:textId="77777777" w:rsidR="00FA7EBF" w:rsidRPr="005A60A4" w:rsidRDefault="00FA7EBF" w:rsidP="005A60A4">
            <w:pPr>
              <w:pStyle w:val="ARfintablebodyrightbold"/>
              <w:ind w:right="0"/>
              <w:rPr>
                <w:sz w:val="15"/>
                <w:szCs w:val="15"/>
                <w:lang w:eastAsia="en-AU"/>
              </w:rPr>
            </w:pPr>
            <w:r w:rsidRPr="005A60A4">
              <w:rPr>
                <w:sz w:val="15"/>
                <w:szCs w:val="15"/>
              </w:rPr>
              <w:t>1,392.9</w:t>
            </w:r>
          </w:p>
        </w:tc>
        <w:tc>
          <w:tcPr>
            <w:tcW w:w="630" w:type="dxa"/>
          </w:tcPr>
          <w:p w14:paraId="3173BEE5" w14:textId="77777777" w:rsidR="00FA7EBF" w:rsidRPr="005A60A4" w:rsidRDefault="00FA7EBF" w:rsidP="005A60A4">
            <w:pPr>
              <w:pStyle w:val="ARfintablebodyrightbold"/>
              <w:ind w:right="0"/>
              <w:rPr>
                <w:sz w:val="15"/>
                <w:szCs w:val="15"/>
                <w:lang w:eastAsia="en-AU"/>
              </w:rPr>
            </w:pPr>
            <w:r w:rsidRPr="005A60A4">
              <w:rPr>
                <w:sz w:val="15"/>
                <w:szCs w:val="15"/>
              </w:rPr>
              <w:t>717.4</w:t>
            </w:r>
          </w:p>
        </w:tc>
        <w:tc>
          <w:tcPr>
            <w:tcW w:w="630" w:type="dxa"/>
          </w:tcPr>
          <w:p w14:paraId="406F21BF" w14:textId="77777777" w:rsidR="00FA7EBF" w:rsidRPr="005A60A4" w:rsidRDefault="00FA7EBF" w:rsidP="005A60A4">
            <w:pPr>
              <w:pStyle w:val="ARfintablebodyrightbold"/>
              <w:ind w:right="0"/>
              <w:rPr>
                <w:sz w:val="15"/>
                <w:szCs w:val="15"/>
                <w:lang w:eastAsia="en-AU"/>
              </w:rPr>
            </w:pPr>
            <w:r w:rsidRPr="005A60A4">
              <w:rPr>
                <w:sz w:val="15"/>
                <w:szCs w:val="15"/>
              </w:rPr>
              <w:t>200.6</w:t>
            </w:r>
          </w:p>
        </w:tc>
        <w:tc>
          <w:tcPr>
            <w:tcW w:w="630" w:type="dxa"/>
          </w:tcPr>
          <w:p w14:paraId="026E6BF7" w14:textId="77777777" w:rsidR="00FA7EBF" w:rsidRPr="005A60A4" w:rsidRDefault="00FA7EBF" w:rsidP="005A60A4">
            <w:pPr>
              <w:pStyle w:val="ARfintablebodyrightbold"/>
              <w:ind w:right="0"/>
              <w:rPr>
                <w:sz w:val="15"/>
                <w:szCs w:val="15"/>
                <w:lang w:eastAsia="en-AU"/>
              </w:rPr>
            </w:pPr>
            <w:r w:rsidRPr="005A60A4">
              <w:rPr>
                <w:sz w:val="15"/>
                <w:szCs w:val="15"/>
              </w:rPr>
              <w:t>26.5</w:t>
            </w:r>
          </w:p>
        </w:tc>
        <w:tc>
          <w:tcPr>
            <w:tcW w:w="630" w:type="dxa"/>
          </w:tcPr>
          <w:p w14:paraId="61309275" w14:textId="77777777" w:rsidR="00FA7EBF" w:rsidRPr="005A60A4" w:rsidRDefault="00FA7EBF" w:rsidP="005A60A4">
            <w:pPr>
              <w:pStyle w:val="ARfintablebodyrightbold"/>
              <w:ind w:right="0"/>
              <w:rPr>
                <w:sz w:val="15"/>
                <w:szCs w:val="15"/>
                <w:lang w:eastAsia="en-AU"/>
              </w:rPr>
            </w:pPr>
            <w:r w:rsidRPr="005A60A4">
              <w:rPr>
                <w:sz w:val="15"/>
                <w:szCs w:val="15"/>
              </w:rPr>
              <w:t>77.5</w:t>
            </w:r>
          </w:p>
        </w:tc>
        <w:tc>
          <w:tcPr>
            <w:tcW w:w="630" w:type="dxa"/>
          </w:tcPr>
          <w:p w14:paraId="1F6F8766" w14:textId="77777777" w:rsidR="00FA7EBF" w:rsidRPr="005A60A4" w:rsidRDefault="00FA7EBF" w:rsidP="005A60A4">
            <w:pPr>
              <w:pStyle w:val="ARfintablebodyrightbold"/>
              <w:ind w:right="0"/>
              <w:rPr>
                <w:sz w:val="15"/>
                <w:szCs w:val="15"/>
                <w:lang w:eastAsia="en-AU"/>
              </w:rPr>
            </w:pPr>
            <w:r w:rsidRPr="005A60A4">
              <w:rPr>
                <w:sz w:val="15"/>
                <w:szCs w:val="15"/>
              </w:rPr>
              <w:t>1,213.9</w:t>
            </w:r>
          </w:p>
        </w:tc>
        <w:tc>
          <w:tcPr>
            <w:tcW w:w="630" w:type="dxa"/>
          </w:tcPr>
          <w:p w14:paraId="14AA05F6" w14:textId="77777777" w:rsidR="00FA7EBF" w:rsidRPr="005A60A4" w:rsidRDefault="00FA7EBF" w:rsidP="005A60A4">
            <w:pPr>
              <w:pStyle w:val="ARfintablebodyrightbold"/>
              <w:ind w:right="0"/>
              <w:rPr>
                <w:sz w:val="15"/>
                <w:szCs w:val="15"/>
                <w:lang w:eastAsia="en-AU"/>
              </w:rPr>
            </w:pPr>
            <w:r w:rsidRPr="005A60A4">
              <w:rPr>
                <w:sz w:val="15"/>
                <w:szCs w:val="15"/>
              </w:rPr>
              <w:t>3.0</w:t>
            </w:r>
          </w:p>
        </w:tc>
        <w:tc>
          <w:tcPr>
            <w:tcW w:w="630" w:type="dxa"/>
          </w:tcPr>
          <w:p w14:paraId="59B360CB" w14:textId="77777777" w:rsidR="00FA7EBF" w:rsidRPr="005A60A4" w:rsidRDefault="00FA7EBF" w:rsidP="005A60A4">
            <w:pPr>
              <w:pStyle w:val="ARfintablebodyrightbold"/>
              <w:ind w:right="0"/>
              <w:rPr>
                <w:sz w:val="15"/>
                <w:szCs w:val="15"/>
                <w:lang w:eastAsia="en-AU"/>
              </w:rPr>
            </w:pPr>
            <w:r w:rsidRPr="005A60A4">
              <w:rPr>
                <w:sz w:val="15"/>
                <w:szCs w:val="15"/>
              </w:rPr>
              <w:t>(10.7)</w:t>
            </w:r>
          </w:p>
        </w:tc>
        <w:tc>
          <w:tcPr>
            <w:tcW w:w="778" w:type="dxa"/>
          </w:tcPr>
          <w:p w14:paraId="51952EF3" w14:textId="77777777" w:rsidR="00FA7EBF" w:rsidRPr="005A60A4" w:rsidRDefault="00FA7EBF" w:rsidP="005A60A4">
            <w:pPr>
              <w:pStyle w:val="ARfintablebodyrightbold"/>
              <w:ind w:right="0"/>
              <w:rPr>
                <w:sz w:val="15"/>
                <w:szCs w:val="15"/>
                <w:lang w:eastAsia="en-AU"/>
              </w:rPr>
            </w:pPr>
            <w:r w:rsidRPr="005A60A4">
              <w:rPr>
                <w:sz w:val="15"/>
                <w:szCs w:val="15"/>
              </w:rPr>
              <w:t>17,742.8</w:t>
            </w:r>
          </w:p>
        </w:tc>
      </w:tr>
      <w:tr w:rsidR="00FA7EBF" w:rsidRPr="007939DD" w14:paraId="3D29C9EA" w14:textId="77777777" w:rsidTr="007B207C">
        <w:trPr>
          <w:cantSplit/>
        </w:trPr>
        <w:tc>
          <w:tcPr>
            <w:tcW w:w="2975" w:type="dxa"/>
          </w:tcPr>
          <w:p w14:paraId="51FA81FB" w14:textId="77777777" w:rsidR="00FA7EBF" w:rsidRPr="007939DD" w:rsidRDefault="00FA7EBF" w:rsidP="007B207C">
            <w:pPr>
              <w:pStyle w:val="ARfintablebodybold"/>
              <w:rPr>
                <w:rStyle w:val="Strong"/>
                <w:sz w:val="13"/>
                <w:szCs w:val="13"/>
              </w:rPr>
            </w:pPr>
            <w:r w:rsidRPr="002E5E0F">
              <w:t>Net result from transactions (net operating balance)</w:t>
            </w:r>
          </w:p>
        </w:tc>
        <w:tc>
          <w:tcPr>
            <w:tcW w:w="629" w:type="dxa"/>
          </w:tcPr>
          <w:p w14:paraId="125950E1" w14:textId="77777777" w:rsidR="00FA7EBF" w:rsidRPr="005A60A4" w:rsidRDefault="00FA7EBF" w:rsidP="005A60A4">
            <w:pPr>
              <w:pStyle w:val="ARfintablebodyrightbold"/>
              <w:ind w:right="0"/>
              <w:rPr>
                <w:sz w:val="15"/>
                <w:szCs w:val="15"/>
                <w:lang w:eastAsia="en-AU"/>
              </w:rPr>
            </w:pPr>
            <w:r w:rsidRPr="005A60A4">
              <w:rPr>
                <w:sz w:val="15"/>
                <w:szCs w:val="15"/>
              </w:rPr>
              <w:t>160.2</w:t>
            </w:r>
          </w:p>
        </w:tc>
        <w:tc>
          <w:tcPr>
            <w:tcW w:w="629" w:type="dxa"/>
          </w:tcPr>
          <w:p w14:paraId="07808149" w14:textId="77777777" w:rsidR="00FA7EBF" w:rsidRPr="005A60A4" w:rsidRDefault="00FA7EBF" w:rsidP="005A60A4">
            <w:pPr>
              <w:pStyle w:val="ARfintablebodyrightbold"/>
              <w:ind w:right="0"/>
              <w:rPr>
                <w:sz w:val="15"/>
                <w:szCs w:val="15"/>
                <w:lang w:eastAsia="en-AU"/>
              </w:rPr>
            </w:pPr>
            <w:r w:rsidRPr="005A60A4">
              <w:rPr>
                <w:sz w:val="15"/>
                <w:szCs w:val="15"/>
              </w:rPr>
              <w:t>6.8</w:t>
            </w:r>
          </w:p>
        </w:tc>
        <w:tc>
          <w:tcPr>
            <w:tcW w:w="629" w:type="dxa"/>
          </w:tcPr>
          <w:p w14:paraId="67EC942D" w14:textId="77777777" w:rsidR="00FA7EBF" w:rsidRPr="005A60A4" w:rsidRDefault="00FA7EBF" w:rsidP="005A60A4">
            <w:pPr>
              <w:pStyle w:val="ARfintablebodyrightbold"/>
              <w:ind w:right="0"/>
              <w:rPr>
                <w:sz w:val="15"/>
                <w:szCs w:val="15"/>
                <w:lang w:eastAsia="en-AU"/>
              </w:rPr>
            </w:pPr>
            <w:r w:rsidRPr="005A60A4">
              <w:rPr>
                <w:sz w:val="15"/>
                <w:szCs w:val="15"/>
              </w:rPr>
              <w:t>4.5</w:t>
            </w:r>
          </w:p>
        </w:tc>
        <w:tc>
          <w:tcPr>
            <w:tcW w:w="629" w:type="dxa"/>
          </w:tcPr>
          <w:p w14:paraId="79FD6733" w14:textId="77777777" w:rsidR="00FA7EBF" w:rsidRPr="005A60A4" w:rsidRDefault="00FA7EBF" w:rsidP="005A60A4">
            <w:pPr>
              <w:pStyle w:val="ARfintablebodyrightbold"/>
              <w:ind w:right="0"/>
              <w:rPr>
                <w:sz w:val="15"/>
                <w:szCs w:val="15"/>
                <w:lang w:eastAsia="en-AU"/>
              </w:rPr>
            </w:pPr>
            <w:r w:rsidRPr="005A60A4">
              <w:rPr>
                <w:sz w:val="15"/>
                <w:szCs w:val="15"/>
              </w:rPr>
              <w:t>62.7</w:t>
            </w:r>
          </w:p>
        </w:tc>
        <w:tc>
          <w:tcPr>
            <w:tcW w:w="630" w:type="dxa"/>
          </w:tcPr>
          <w:p w14:paraId="096CFC1A" w14:textId="77777777" w:rsidR="00FA7EBF" w:rsidRPr="005A60A4" w:rsidRDefault="00FA7EBF" w:rsidP="005A60A4">
            <w:pPr>
              <w:pStyle w:val="ARfintablebodyrightbold"/>
              <w:ind w:right="0"/>
              <w:rPr>
                <w:sz w:val="15"/>
                <w:szCs w:val="15"/>
                <w:lang w:eastAsia="en-AU"/>
              </w:rPr>
            </w:pPr>
            <w:r w:rsidRPr="005A60A4">
              <w:rPr>
                <w:sz w:val="15"/>
                <w:szCs w:val="15"/>
              </w:rPr>
              <w:t>(5.9)</w:t>
            </w:r>
          </w:p>
        </w:tc>
        <w:tc>
          <w:tcPr>
            <w:tcW w:w="630" w:type="dxa"/>
          </w:tcPr>
          <w:p w14:paraId="35102C91" w14:textId="77777777" w:rsidR="00FA7EBF" w:rsidRPr="005A60A4" w:rsidRDefault="00FA7EBF" w:rsidP="005A60A4">
            <w:pPr>
              <w:pStyle w:val="ARfintablebodyrightbold"/>
              <w:ind w:right="0"/>
              <w:rPr>
                <w:sz w:val="15"/>
                <w:szCs w:val="15"/>
                <w:lang w:eastAsia="en-AU"/>
              </w:rPr>
            </w:pPr>
            <w:r w:rsidRPr="005A60A4">
              <w:rPr>
                <w:sz w:val="15"/>
                <w:szCs w:val="15"/>
              </w:rPr>
              <w:t>39.7</w:t>
            </w:r>
          </w:p>
        </w:tc>
        <w:tc>
          <w:tcPr>
            <w:tcW w:w="630" w:type="dxa"/>
          </w:tcPr>
          <w:p w14:paraId="488A7637" w14:textId="77777777" w:rsidR="00FA7EBF" w:rsidRPr="005A60A4" w:rsidRDefault="00FA7EBF" w:rsidP="005A60A4">
            <w:pPr>
              <w:pStyle w:val="ARfintablebodyrightbold"/>
              <w:ind w:right="0"/>
              <w:rPr>
                <w:sz w:val="15"/>
                <w:szCs w:val="15"/>
                <w:lang w:eastAsia="en-AU"/>
              </w:rPr>
            </w:pPr>
            <w:r w:rsidRPr="005A60A4">
              <w:rPr>
                <w:sz w:val="15"/>
                <w:szCs w:val="15"/>
              </w:rPr>
              <w:t>32.2</w:t>
            </w:r>
          </w:p>
        </w:tc>
        <w:tc>
          <w:tcPr>
            <w:tcW w:w="630" w:type="dxa"/>
          </w:tcPr>
          <w:p w14:paraId="02E5F706" w14:textId="77777777" w:rsidR="00FA7EBF" w:rsidRPr="005A60A4" w:rsidRDefault="00FA7EBF" w:rsidP="005A60A4">
            <w:pPr>
              <w:pStyle w:val="ARfintablebodyrightbold"/>
              <w:ind w:right="0"/>
              <w:rPr>
                <w:sz w:val="15"/>
                <w:szCs w:val="15"/>
                <w:lang w:eastAsia="en-AU"/>
              </w:rPr>
            </w:pPr>
            <w:r w:rsidRPr="005A60A4">
              <w:rPr>
                <w:sz w:val="15"/>
                <w:szCs w:val="15"/>
              </w:rPr>
              <w:t>(7.3)</w:t>
            </w:r>
          </w:p>
        </w:tc>
        <w:tc>
          <w:tcPr>
            <w:tcW w:w="630" w:type="dxa"/>
          </w:tcPr>
          <w:p w14:paraId="4B4248E4" w14:textId="77777777" w:rsidR="00FA7EBF" w:rsidRPr="005A60A4" w:rsidRDefault="00FA7EBF" w:rsidP="005A60A4">
            <w:pPr>
              <w:pStyle w:val="ARfintablebodyrightbold"/>
              <w:ind w:right="0"/>
              <w:rPr>
                <w:sz w:val="15"/>
                <w:szCs w:val="15"/>
                <w:lang w:eastAsia="en-AU"/>
              </w:rPr>
            </w:pPr>
            <w:r w:rsidRPr="005A60A4">
              <w:rPr>
                <w:sz w:val="15"/>
                <w:szCs w:val="15"/>
              </w:rPr>
              <w:t>(16.2)</w:t>
            </w:r>
          </w:p>
        </w:tc>
        <w:tc>
          <w:tcPr>
            <w:tcW w:w="630" w:type="dxa"/>
          </w:tcPr>
          <w:p w14:paraId="48F33702" w14:textId="77777777" w:rsidR="00FA7EBF" w:rsidRPr="005A60A4" w:rsidRDefault="00FA7EBF" w:rsidP="005A60A4">
            <w:pPr>
              <w:pStyle w:val="ARfintablebodyrightbold"/>
              <w:ind w:right="0"/>
              <w:rPr>
                <w:sz w:val="15"/>
                <w:szCs w:val="15"/>
                <w:lang w:eastAsia="en-AU"/>
              </w:rPr>
            </w:pPr>
            <w:r w:rsidRPr="005A60A4">
              <w:rPr>
                <w:sz w:val="15"/>
                <w:szCs w:val="15"/>
              </w:rPr>
              <w:t>0.3</w:t>
            </w:r>
          </w:p>
        </w:tc>
        <w:tc>
          <w:tcPr>
            <w:tcW w:w="630" w:type="dxa"/>
          </w:tcPr>
          <w:p w14:paraId="359232F3" w14:textId="77777777" w:rsidR="00FA7EBF" w:rsidRPr="005A60A4" w:rsidRDefault="00FA7EBF" w:rsidP="005A60A4">
            <w:pPr>
              <w:pStyle w:val="ARfintablebodyrightbold"/>
              <w:ind w:right="0"/>
              <w:rPr>
                <w:sz w:val="15"/>
                <w:szCs w:val="15"/>
                <w:lang w:eastAsia="en-AU"/>
              </w:rPr>
            </w:pPr>
            <w:r w:rsidRPr="005A60A4">
              <w:rPr>
                <w:sz w:val="15"/>
                <w:szCs w:val="15"/>
              </w:rPr>
              <w:t>–</w:t>
            </w:r>
          </w:p>
        </w:tc>
        <w:tc>
          <w:tcPr>
            <w:tcW w:w="630" w:type="dxa"/>
          </w:tcPr>
          <w:p w14:paraId="44B96B58" w14:textId="77777777" w:rsidR="00FA7EBF" w:rsidRPr="005A60A4" w:rsidRDefault="00FA7EBF" w:rsidP="005A60A4">
            <w:pPr>
              <w:pStyle w:val="ARfintablebodyrightbold"/>
              <w:ind w:right="0"/>
              <w:rPr>
                <w:sz w:val="15"/>
                <w:szCs w:val="15"/>
                <w:lang w:eastAsia="en-AU"/>
              </w:rPr>
            </w:pPr>
            <w:r w:rsidRPr="005A60A4">
              <w:rPr>
                <w:sz w:val="15"/>
                <w:szCs w:val="15"/>
              </w:rPr>
              <w:t>(3.2)</w:t>
            </w:r>
          </w:p>
        </w:tc>
        <w:tc>
          <w:tcPr>
            <w:tcW w:w="630" w:type="dxa"/>
          </w:tcPr>
          <w:p w14:paraId="1857EB5C" w14:textId="77777777" w:rsidR="00FA7EBF" w:rsidRPr="005A60A4" w:rsidRDefault="00FA7EBF" w:rsidP="005A60A4">
            <w:pPr>
              <w:pStyle w:val="ARfintablebodyrightbold"/>
              <w:ind w:right="0"/>
              <w:rPr>
                <w:sz w:val="15"/>
                <w:szCs w:val="15"/>
                <w:lang w:eastAsia="en-AU"/>
              </w:rPr>
            </w:pPr>
            <w:r w:rsidRPr="005A60A4">
              <w:rPr>
                <w:sz w:val="15"/>
                <w:szCs w:val="15"/>
              </w:rPr>
              <w:t>(0.7)</w:t>
            </w:r>
          </w:p>
        </w:tc>
        <w:tc>
          <w:tcPr>
            <w:tcW w:w="630" w:type="dxa"/>
          </w:tcPr>
          <w:p w14:paraId="7FECDA78" w14:textId="77777777" w:rsidR="00FA7EBF" w:rsidRPr="005A60A4" w:rsidRDefault="00FA7EBF" w:rsidP="005A60A4">
            <w:pPr>
              <w:pStyle w:val="ARfintablebodyrightbold"/>
              <w:ind w:right="0"/>
              <w:rPr>
                <w:sz w:val="15"/>
                <w:szCs w:val="15"/>
                <w:lang w:eastAsia="en-AU"/>
              </w:rPr>
            </w:pPr>
            <w:r w:rsidRPr="005A60A4">
              <w:rPr>
                <w:sz w:val="15"/>
                <w:szCs w:val="15"/>
              </w:rPr>
              <w:t>12.2</w:t>
            </w:r>
          </w:p>
        </w:tc>
        <w:tc>
          <w:tcPr>
            <w:tcW w:w="630" w:type="dxa"/>
          </w:tcPr>
          <w:p w14:paraId="3C863AAF" w14:textId="77777777" w:rsidR="00FA7EBF" w:rsidRPr="005A60A4" w:rsidRDefault="00FA7EBF" w:rsidP="005A60A4">
            <w:pPr>
              <w:pStyle w:val="ARfintablebodyrightbold"/>
              <w:ind w:right="0"/>
              <w:rPr>
                <w:sz w:val="15"/>
                <w:szCs w:val="15"/>
                <w:lang w:eastAsia="en-AU"/>
              </w:rPr>
            </w:pPr>
            <w:r w:rsidRPr="005A60A4">
              <w:rPr>
                <w:sz w:val="15"/>
                <w:szCs w:val="15"/>
              </w:rPr>
              <w:t>(106.8)</w:t>
            </w:r>
          </w:p>
        </w:tc>
        <w:tc>
          <w:tcPr>
            <w:tcW w:w="630" w:type="dxa"/>
          </w:tcPr>
          <w:p w14:paraId="0486269E" w14:textId="77777777" w:rsidR="00FA7EBF" w:rsidRPr="005A60A4" w:rsidRDefault="00FA7EBF" w:rsidP="005A60A4">
            <w:pPr>
              <w:pStyle w:val="ARfintablebodyrightbold"/>
              <w:ind w:right="0"/>
              <w:rPr>
                <w:sz w:val="15"/>
                <w:szCs w:val="15"/>
                <w:lang w:eastAsia="en-AU"/>
              </w:rPr>
            </w:pPr>
            <w:r w:rsidRPr="005A60A4">
              <w:rPr>
                <w:sz w:val="15"/>
                <w:szCs w:val="15"/>
              </w:rPr>
              <w:t>(0.2)</w:t>
            </w:r>
          </w:p>
        </w:tc>
        <w:tc>
          <w:tcPr>
            <w:tcW w:w="630" w:type="dxa"/>
          </w:tcPr>
          <w:p w14:paraId="2984231D" w14:textId="77777777" w:rsidR="00FA7EBF" w:rsidRPr="005A60A4" w:rsidRDefault="00FA7EBF" w:rsidP="005A60A4">
            <w:pPr>
              <w:pStyle w:val="ARfintablebodyrightbold"/>
              <w:ind w:right="0"/>
              <w:rPr>
                <w:sz w:val="15"/>
                <w:szCs w:val="15"/>
                <w:lang w:eastAsia="en-AU"/>
              </w:rPr>
            </w:pPr>
            <w:r w:rsidRPr="005A60A4">
              <w:rPr>
                <w:sz w:val="15"/>
                <w:szCs w:val="15"/>
              </w:rPr>
              <w:t>–</w:t>
            </w:r>
          </w:p>
        </w:tc>
        <w:tc>
          <w:tcPr>
            <w:tcW w:w="778" w:type="dxa"/>
          </w:tcPr>
          <w:p w14:paraId="4D43CD5A" w14:textId="77777777" w:rsidR="00FA7EBF" w:rsidRPr="005A60A4" w:rsidRDefault="00FA7EBF" w:rsidP="005A60A4">
            <w:pPr>
              <w:pStyle w:val="ARfintablebodyrightbold"/>
              <w:ind w:right="0"/>
              <w:rPr>
                <w:sz w:val="15"/>
                <w:szCs w:val="15"/>
                <w:lang w:eastAsia="en-AU"/>
              </w:rPr>
            </w:pPr>
            <w:r w:rsidRPr="005A60A4">
              <w:rPr>
                <w:sz w:val="15"/>
                <w:szCs w:val="15"/>
              </w:rPr>
              <w:t>178.3</w:t>
            </w:r>
          </w:p>
        </w:tc>
      </w:tr>
      <w:tr w:rsidR="00FA7EBF" w:rsidRPr="007939DD" w14:paraId="6F769EA3" w14:textId="77777777" w:rsidTr="007B207C">
        <w:trPr>
          <w:cantSplit/>
        </w:trPr>
        <w:tc>
          <w:tcPr>
            <w:tcW w:w="14459" w:type="dxa"/>
            <w:gridSpan w:val="19"/>
            <w:tcBorders>
              <w:bottom w:val="single" w:sz="4" w:space="0" w:color="A6A6A6" w:themeColor="background1" w:themeShade="A6"/>
            </w:tcBorders>
          </w:tcPr>
          <w:p w14:paraId="0733F625" w14:textId="77777777" w:rsidR="00FA7EBF" w:rsidRPr="001D2FFF" w:rsidRDefault="00FA7EBF" w:rsidP="007B207C">
            <w:pPr>
              <w:pStyle w:val="ARfintablebodybold"/>
              <w:rPr>
                <w:sz w:val="15"/>
                <w:szCs w:val="15"/>
                <w:lang w:eastAsia="en-AU"/>
              </w:rPr>
            </w:pPr>
            <w:r w:rsidRPr="002E5E0F">
              <w:t>Other economic flows included in net result</w:t>
            </w:r>
          </w:p>
        </w:tc>
      </w:tr>
      <w:tr w:rsidR="00FA7EBF" w:rsidRPr="007939DD" w14:paraId="3060FE48"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34B0D212" w14:textId="77777777" w:rsidR="00FA7EBF" w:rsidRPr="007939DD" w:rsidRDefault="00FA7EBF" w:rsidP="007B207C">
            <w:pPr>
              <w:pStyle w:val="ARfintablebody"/>
              <w:rPr>
                <w:sz w:val="13"/>
                <w:szCs w:val="13"/>
                <w:lang w:eastAsia="en-AU"/>
              </w:rPr>
            </w:pPr>
            <w:r w:rsidRPr="002E5E0F">
              <w:t>Net gain/(loss) on non-financial assets</w:t>
            </w:r>
          </w:p>
        </w:tc>
        <w:tc>
          <w:tcPr>
            <w:tcW w:w="629" w:type="dxa"/>
            <w:tcBorders>
              <w:top w:val="single" w:sz="4" w:space="0" w:color="A6A6A6" w:themeColor="background1" w:themeShade="A6"/>
              <w:bottom w:val="single" w:sz="4" w:space="0" w:color="A6A6A6" w:themeColor="background1" w:themeShade="A6"/>
            </w:tcBorders>
          </w:tcPr>
          <w:p w14:paraId="7E77C3F1" w14:textId="77777777" w:rsidR="00FA7EBF" w:rsidRPr="00902878" w:rsidRDefault="00FA7EBF" w:rsidP="007B207C">
            <w:pPr>
              <w:pStyle w:val="ARfintablebodyright"/>
              <w:ind w:right="0"/>
              <w:rPr>
                <w:sz w:val="15"/>
                <w:szCs w:val="15"/>
                <w:lang w:eastAsia="en-AU"/>
              </w:rPr>
            </w:pPr>
            <w:r w:rsidRPr="00902878">
              <w:rPr>
                <w:sz w:val="15"/>
                <w:szCs w:val="15"/>
              </w:rPr>
              <w:t>(0.4)</w:t>
            </w:r>
          </w:p>
        </w:tc>
        <w:tc>
          <w:tcPr>
            <w:tcW w:w="629" w:type="dxa"/>
            <w:tcBorders>
              <w:top w:val="single" w:sz="4" w:space="0" w:color="A6A6A6" w:themeColor="background1" w:themeShade="A6"/>
              <w:bottom w:val="single" w:sz="4" w:space="0" w:color="A6A6A6" w:themeColor="background1" w:themeShade="A6"/>
            </w:tcBorders>
          </w:tcPr>
          <w:p w14:paraId="53A4F8B9"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7AE6BAED"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009E219E"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D7C6644"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86C1D90"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6B700F8"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55ACF3E6"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715952B" w14:textId="77777777" w:rsidR="00FA7EBF" w:rsidRPr="00902878" w:rsidRDefault="00FA7EBF" w:rsidP="007B207C">
            <w:pPr>
              <w:pStyle w:val="ARfintablebodyright"/>
              <w:ind w:right="0"/>
              <w:rPr>
                <w:sz w:val="15"/>
                <w:szCs w:val="15"/>
                <w:lang w:eastAsia="en-AU"/>
              </w:rPr>
            </w:pPr>
            <w:r w:rsidRPr="00902878">
              <w:rPr>
                <w:sz w:val="15"/>
                <w:szCs w:val="15"/>
              </w:rPr>
              <w:t>0.8</w:t>
            </w:r>
          </w:p>
        </w:tc>
        <w:tc>
          <w:tcPr>
            <w:tcW w:w="630" w:type="dxa"/>
            <w:tcBorders>
              <w:top w:val="single" w:sz="4" w:space="0" w:color="A6A6A6" w:themeColor="background1" w:themeShade="A6"/>
              <w:bottom w:val="single" w:sz="4" w:space="0" w:color="A6A6A6" w:themeColor="background1" w:themeShade="A6"/>
            </w:tcBorders>
          </w:tcPr>
          <w:p w14:paraId="420891ED" w14:textId="77777777" w:rsidR="00FA7EBF" w:rsidRPr="00902878" w:rsidRDefault="00FA7EBF" w:rsidP="007B207C">
            <w:pPr>
              <w:pStyle w:val="ARfintablebodyright"/>
              <w:ind w:right="0"/>
              <w:rPr>
                <w:sz w:val="15"/>
                <w:szCs w:val="15"/>
                <w:lang w:eastAsia="en-AU"/>
              </w:rPr>
            </w:pPr>
            <w:r w:rsidRPr="00902878">
              <w:rPr>
                <w:sz w:val="15"/>
                <w:szCs w:val="15"/>
              </w:rPr>
              <w:t>0.7</w:t>
            </w:r>
          </w:p>
        </w:tc>
        <w:tc>
          <w:tcPr>
            <w:tcW w:w="630" w:type="dxa"/>
            <w:tcBorders>
              <w:top w:val="single" w:sz="4" w:space="0" w:color="A6A6A6" w:themeColor="background1" w:themeShade="A6"/>
              <w:bottom w:val="single" w:sz="4" w:space="0" w:color="A6A6A6" w:themeColor="background1" w:themeShade="A6"/>
            </w:tcBorders>
          </w:tcPr>
          <w:p w14:paraId="5DD2FBE0"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215A4DC"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13622F4B"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8BCF989"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44BDCA78" w14:textId="77777777" w:rsidR="00FA7EBF" w:rsidRPr="00902878" w:rsidRDefault="00FA7EBF" w:rsidP="007B207C">
            <w:pPr>
              <w:pStyle w:val="ARfintablebodyright"/>
              <w:ind w:right="0"/>
              <w:rPr>
                <w:sz w:val="15"/>
                <w:szCs w:val="15"/>
                <w:lang w:eastAsia="en-AU"/>
              </w:rPr>
            </w:pPr>
            <w:r w:rsidRPr="00902878">
              <w:rPr>
                <w:sz w:val="15"/>
                <w:szCs w:val="15"/>
              </w:rPr>
              <w:t>12.5</w:t>
            </w:r>
          </w:p>
        </w:tc>
        <w:tc>
          <w:tcPr>
            <w:tcW w:w="630" w:type="dxa"/>
            <w:tcBorders>
              <w:top w:val="single" w:sz="4" w:space="0" w:color="A6A6A6" w:themeColor="background1" w:themeShade="A6"/>
              <w:bottom w:val="single" w:sz="4" w:space="0" w:color="A6A6A6" w:themeColor="background1" w:themeShade="A6"/>
            </w:tcBorders>
          </w:tcPr>
          <w:p w14:paraId="400D454B"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58283712"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19D58BCD" w14:textId="77777777" w:rsidR="00FA7EBF" w:rsidRPr="00902878" w:rsidRDefault="00FA7EBF" w:rsidP="007B207C">
            <w:pPr>
              <w:pStyle w:val="ARfintablebodyright"/>
              <w:ind w:right="0"/>
              <w:rPr>
                <w:sz w:val="15"/>
                <w:szCs w:val="15"/>
                <w:lang w:eastAsia="en-AU"/>
              </w:rPr>
            </w:pPr>
            <w:r w:rsidRPr="00902878">
              <w:rPr>
                <w:sz w:val="15"/>
                <w:szCs w:val="15"/>
              </w:rPr>
              <w:t>13.6</w:t>
            </w:r>
          </w:p>
        </w:tc>
      </w:tr>
      <w:tr w:rsidR="00FA7EBF" w:rsidRPr="007939DD" w14:paraId="2E888273" w14:textId="77777777" w:rsidTr="007B207C">
        <w:trPr>
          <w:cantSplit/>
        </w:trPr>
        <w:tc>
          <w:tcPr>
            <w:tcW w:w="2975" w:type="dxa"/>
            <w:tcBorders>
              <w:top w:val="single" w:sz="4" w:space="0" w:color="A6A6A6" w:themeColor="background1" w:themeShade="A6"/>
              <w:bottom w:val="single" w:sz="4" w:space="0" w:color="A6A6A6" w:themeColor="background1" w:themeShade="A6"/>
            </w:tcBorders>
          </w:tcPr>
          <w:p w14:paraId="1407DC96" w14:textId="77777777" w:rsidR="00FA7EBF" w:rsidRPr="007939DD" w:rsidRDefault="00FA7EBF" w:rsidP="007B207C">
            <w:pPr>
              <w:pStyle w:val="ARfintablebody"/>
              <w:rPr>
                <w:sz w:val="13"/>
                <w:szCs w:val="13"/>
                <w:lang w:eastAsia="en-AU"/>
              </w:rPr>
            </w:pPr>
            <w:r w:rsidRPr="002E5E0F">
              <w:t>Net gain/(loss) on financial instruments</w:t>
            </w:r>
          </w:p>
        </w:tc>
        <w:tc>
          <w:tcPr>
            <w:tcW w:w="629" w:type="dxa"/>
            <w:tcBorders>
              <w:top w:val="single" w:sz="4" w:space="0" w:color="A6A6A6" w:themeColor="background1" w:themeShade="A6"/>
              <w:bottom w:val="single" w:sz="4" w:space="0" w:color="A6A6A6" w:themeColor="background1" w:themeShade="A6"/>
            </w:tcBorders>
          </w:tcPr>
          <w:p w14:paraId="0CA62476" w14:textId="77777777" w:rsidR="00FA7EBF" w:rsidRPr="00902878" w:rsidRDefault="00FA7EBF" w:rsidP="007B207C">
            <w:pPr>
              <w:pStyle w:val="ARfintablebodyright"/>
              <w:ind w:right="0"/>
              <w:rPr>
                <w:sz w:val="15"/>
                <w:szCs w:val="15"/>
                <w:lang w:eastAsia="en-AU"/>
              </w:rPr>
            </w:pPr>
            <w:r w:rsidRPr="00902878">
              <w:rPr>
                <w:sz w:val="15"/>
                <w:szCs w:val="15"/>
              </w:rPr>
              <w:t>1.2</w:t>
            </w:r>
          </w:p>
        </w:tc>
        <w:tc>
          <w:tcPr>
            <w:tcW w:w="629" w:type="dxa"/>
            <w:tcBorders>
              <w:top w:val="single" w:sz="4" w:space="0" w:color="A6A6A6" w:themeColor="background1" w:themeShade="A6"/>
              <w:bottom w:val="single" w:sz="4" w:space="0" w:color="A6A6A6" w:themeColor="background1" w:themeShade="A6"/>
            </w:tcBorders>
          </w:tcPr>
          <w:p w14:paraId="5CD17EA9"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29" w:type="dxa"/>
            <w:tcBorders>
              <w:top w:val="single" w:sz="4" w:space="0" w:color="A6A6A6" w:themeColor="background1" w:themeShade="A6"/>
              <w:bottom w:val="single" w:sz="4" w:space="0" w:color="A6A6A6" w:themeColor="background1" w:themeShade="A6"/>
            </w:tcBorders>
          </w:tcPr>
          <w:p w14:paraId="6BF4F148" w14:textId="77777777" w:rsidR="00FA7EBF" w:rsidRPr="00902878" w:rsidRDefault="00FA7EBF" w:rsidP="007B207C">
            <w:pPr>
              <w:pStyle w:val="ARfintablebodyright"/>
              <w:ind w:right="0"/>
              <w:rPr>
                <w:sz w:val="15"/>
                <w:szCs w:val="15"/>
                <w:lang w:eastAsia="en-AU"/>
              </w:rPr>
            </w:pPr>
            <w:r w:rsidRPr="00902878">
              <w:rPr>
                <w:sz w:val="15"/>
                <w:szCs w:val="15"/>
              </w:rPr>
              <w:t>0.2</w:t>
            </w:r>
          </w:p>
        </w:tc>
        <w:tc>
          <w:tcPr>
            <w:tcW w:w="629" w:type="dxa"/>
            <w:tcBorders>
              <w:top w:val="single" w:sz="4" w:space="0" w:color="A6A6A6" w:themeColor="background1" w:themeShade="A6"/>
              <w:bottom w:val="single" w:sz="4" w:space="0" w:color="A6A6A6" w:themeColor="background1" w:themeShade="A6"/>
            </w:tcBorders>
          </w:tcPr>
          <w:p w14:paraId="2ED959D5" w14:textId="77777777" w:rsidR="00FA7EBF" w:rsidRPr="00902878" w:rsidRDefault="00FA7EBF" w:rsidP="007B207C">
            <w:pPr>
              <w:pStyle w:val="ARfintablebodyright"/>
              <w:ind w:right="0"/>
              <w:rPr>
                <w:sz w:val="15"/>
                <w:szCs w:val="15"/>
                <w:lang w:eastAsia="en-AU"/>
              </w:rPr>
            </w:pPr>
            <w:r w:rsidRPr="00902878">
              <w:rPr>
                <w:sz w:val="15"/>
                <w:szCs w:val="15"/>
              </w:rPr>
              <w:t>0.2</w:t>
            </w:r>
          </w:p>
        </w:tc>
        <w:tc>
          <w:tcPr>
            <w:tcW w:w="630" w:type="dxa"/>
            <w:tcBorders>
              <w:top w:val="single" w:sz="4" w:space="0" w:color="A6A6A6" w:themeColor="background1" w:themeShade="A6"/>
              <w:bottom w:val="single" w:sz="4" w:space="0" w:color="A6A6A6" w:themeColor="background1" w:themeShade="A6"/>
            </w:tcBorders>
          </w:tcPr>
          <w:p w14:paraId="635811D3" w14:textId="77777777" w:rsidR="00FA7EBF" w:rsidRPr="00902878" w:rsidRDefault="00FA7EBF" w:rsidP="007B207C">
            <w:pPr>
              <w:pStyle w:val="ARfintablebodyright"/>
              <w:ind w:right="0"/>
              <w:rPr>
                <w:sz w:val="15"/>
                <w:szCs w:val="15"/>
                <w:lang w:eastAsia="en-AU"/>
              </w:rPr>
            </w:pPr>
            <w:r w:rsidRPr="00902878">
              <w:rPr>
                <w:sz w:val="15"/>
                <w:szCs w:val="15"/>
              </w:rPr>
              <w:t>0.1</w:t>
            </w:r>
          </w:p>
        </w:tc>
        <w:tc>
          <w:tcPr>
            <w:tcW w:w="630" w:type="dxa"/>
            <w:tcBorders>
              <w:top w:val="single" w:sz="4" w:space="0" w:color="A6A6A6" w:themeColor="background1" w:themeShade="A6"/>
              <w:bottom w:val="single" w:sz="4" w:space="0" w:color="A6A6A6" w:themeColor="background1" w:themeShade="A6"/>
            </w:tcBorders>
          </w:tcPr>
          <w:p w14:paraId="44B0B680" w14:textId="77777777" w:rsidR="00FA7EBF" w:rsidRPr="00902878" w:rsidRDefault="00FA7EBF" w:rsidP="007B207C">
            <w:pPr>
              <w:pStyle w:val="ARfintablebodyright"/>
              <w:ind w:right="0"/>
              <w:rPr>
                <w:sz w:val="15"/>
                <w:szCs w:val="15"/>
                <w:lang w:eastAsia="en-AU"/>
              </w:rPr>
            </w:pPr>
            <w:r w:rsidRPr="00902878">
              <w:rPr>
                <w:sz w:val="15"/>
                <w:szCs w:val="15"/>
              </w:rPr>
              <w:t>0.1</w:t>
            </w:r>
          </w:p>
        </w:tc>
        <w:tc>
          <w:tcPr>
            <w:tcW w:w="630" w:type="dxa"/>
            <w:tcBorders>
              <w:top w:val="single" w:sz="4" w:space="0" w:color="A6A6A6" w:themeColor="background1" w:themeShade="A6"/>
              <w:bottom w:val="single" w:sz="4" w:space="0" w:color="A6A6A6" w:themeColor="background1" w:themeShade="A6"/>
            </w:tcBorders>
          </w:tcPr>
          <w:p w14:paraId="4A562717"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62667FB"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A700516"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6801553"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5ABF066A"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6D65F49C"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7B65F848"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11F2ECDA"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2F752310"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3BCEFBAC"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bottom w:val="single" w:sz="4" w:space="0" w:color="A6A6A6" w:themeColor="background1" w:themeShade="A6"/>
            </w:tcBorders>
          </w:tcPr>
          <w:p w14:paraId="0E99CDAE"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778" w:type="dxa"/>
            <w:tcBorders>
              <w:top w:val="single" w:sz="4" w:space="0" w:color="A6A6A6" w:themeColor="background1" w:themeShade="A6"/>
              <w:bottom w:val="single" w:sz="4" w:space="0" w:color="A6A6A6" w:themeColor="background1" w:themeShade="A6"/>
            </w:tcBorders>
          </w:tcPr>
          <w:p w14:paraId="3D7437AB" w14:textId="77777777" w:rsidR="00FA7EBF" w:rsidRPr="00902878" w:rsidRDefault="00FA7EBF" w:rsidP="007B207C">
            <w:pPr>
              <w:pStyle w:val="ARfintablebodyright"/>
              <w:ind w:right="0"/>
              <w:rPr>
                <w:sz w:val="15"/>
                <w:szCs w:val="15"/>
                <w:lang w:eastAsia="en-AU"/>
              </w:rPr>
            </w:pPr>
            <w:r w:rsidRPr="00902878">
              <w:rPr>
                <w:sz w:val="15"/>
                <w:szCs w:val="15"/>
              </w:rPr>
              <w:t>1.8</w:t>
            </w:r>
          </w:p>
        </w:tc>
      </w:tr>
      <w:tr w:rsidR="00FA7EBF" w:rsidRPr="007939DD" w14:paraId="2EF2B57C" w14:textId="77777777" w:rsidTr="007B207C">
        <w:trPr>
          <w:cantSplit/>
        </w:trPr>
        <w:tc>
          <w:tcPr>
            <w:tcW w:w="2975" w:type="dxa"/>
            <w:tcBorders>
              <w:top w:val="single" w:sz="4" w:space="0" w:color="A6A6A6" w:themeColor="background1" w:themeShade="A6"/>
            </w:tcBorders>
          </w:tcPr>
          <w:p w14:paraId="46013BC3" w14:textId="77777777" w:rsidR="00FA7EBF" w:rsidRPr="007939DD" w:rsidRDefault="00FA7EBF" w:rsidP="007B207C">
            <w:pPr>
              <w:pStyle w:val="ARfintablebody"/>
              <w:rPr>
                <w:sz w:val="13"/>
                <w:szCs w:val="13"/>
                <w:lang w:eastAsia="en-AU"/>
              </w:rPr>
            </w:pPr>
            <w:r w:rsidRPr="002E5E0F">
              <w:t>Other gains/(losses) from other economic flows</w:t>
            </w:r>
          </w:p>
        </w:tc>
        <w:tc>
          <w:tcPr>
            <w:tcW w:w="629" w:type="dxa"/>
            <w:tcBorders>
              <w:top w:val="single" w:sz="4" w:space="0" w:color="A6A6A6" w:themeColor="background1" w:themeShade="A6"/>
            </w:tcBorders>
          </w:tcPr>
          <w:p w14:paraId="385E7458" w14:textId="77777777" w:rsidR="00FA7EBF" w:rsidRPr="00902878" w:rsidRDefault="00FA7EBF" w:rsidP="007B207C">
            <w:pPr>
              <w:pStyle w:val="ARfintablebodyright"/>
              <w:ind w:right="0"/>
              <w:rPr>
                <w:sz w:val="15"/>
                <w:szCs w:val="15"/>
                <w:lang w:eastAsia="en-AU"/>
              </w:rPr>
            </w:pPr>
            <w:r w:rsidRPr="00902878">
              <w:rPr>
                <w:sz w:val="15"/>
                <w:szCs w:val="15"/>
              </w:rPr>
              <w:t>(3.2)</w:t>
            </w:r>
          </w:p>
        </w:tc>
        <w:tc>
          <w:tcPr>
            <w:tcW w:w="629" w:type="dxa"/>
            <w:tcBorders>
              <w:top w:val="single" w:sz="4" w:space="0" w:color="A6A6A6" w:themeColor="background1" w:themeShade="A6"/>
            </w:tcBorders>
          </w:tcPr>
          <w:p w14:paraId="1AA218E8" w14:textId="77777777" w:rsidR="00FA7EBF" w:rsidRPr="00902878" w:rsidRDefault="00FA7EBF" w:rsidP="007B207C">
            <w:pPr>
              <w:pStyle w:val="ARfintablebodyright"/>
              <w:ind w:right="0"/>
              <w:rPr>
                <w:sz w:val="15"/>
                <w:szCs w:val="15"/>
                <w:lang w:eastAsia="en-AU"/>
              </w:rPr>
            </w:pPr>
            <w:r w:rsidRPr="00902878">
              <w:rPr>
                <w:sz w:val="15"/>
                <w:szCs w:val="15"/>
              </w:rPr>
              <w:t>0.1</w:t>
            </w:r>
          </w:p>
        </w:tc>
        <w:tc>
          <w:tcPr>
            <w:tcW w:w="629" w:type="dxa"/>
            <w:tcBorders>
              <w:top w:val="single" w:sz="4" w:space="0" w:color="A6A6A6" w:themeColor="background1" w:themeShade="A6"/>
            </w:tcBorders>
          </w:tcPr>
          <w:p w14:paraId="57A233F4" w14:textId="77777777" w:rsidR="00FA7EBF" w:rsidRPr="00902878" w:rsidRDefault="00FA7EBF" w:rsidP="007B207C">
            <w:pPr>
              <w:pStyle w:val="ARfintablebodyright"/>
              <w:ind w:right="0"/>
              <w:rPr>
                <w:sz w:val="15"/>
                <w:szCs w:val="15"/>
                <w:lang w:eastAsia="en-AU"/>
              </w:rPr>
            </w:pPr>
            <w:r w:rsidRPr="00902878">
              <w:rPr>
                <w:sz w:val="15"/>
                <w:szCs w:val="15"/>
              </w:rPr>
              <w:t>0.6</w:t>
            </w:r>
          </w:p>
        </w:tc>
        <w:tc>
          <w:tcPr>
            <w:tcW w:w="629" w:type="dxa"/>
            <w:tcBorders>
              <w:top w:val="single" w:sz="4" w:space="0" w:color="A6A6A6" w:themeColor="background1" w:themeShade="A6"/>
            </w:tcBorders>
          </w:tcPr>
          <w:p w14:paraId="04AFEFE9" w14:textId="77777777" w:rsidR="00FA7EBF" w:rsidRPr="00902878" w:rsidRDefault="00FA7EBF" w:rsidP="007B207C">
            <w:pPr>
              <w:pStyle w:val="ARfintablebodyright"/>
              <w:ind w:right="0"/>
              <w:rPr>
                <w:sz w:val="15"/>
                <w:szCs w:val="15"/>
                <w:lang w:eastAsia="en-AU"/>
              </w:rPr>
            </w:pPr>
            <w:r w:rsidRPr="00902878">
              <w:rPr>
                <w:sz w:val="15"/>
                <w:szCs w:val="15"/>
              </w:rPr>
              <w:t>0.5</w:t>
            </w:r>
          </w:p>
        </w:tc>
        <w:tc>
          <w:tcPr>
            <w:tcW w:w="630" w:type="dxa"/>
            <w:tcBorders>
              <w:top w:val="single" w:sz="4" w:space="0" w:color="A6A6A6" w:themeColor="background1" w:themeShade="A6"/>
            </w:tcBorders>
          </w:tcPr>
          <w:p w14:paraId="6C937012" w14:textId="77777777" w:rsidR="00FA7EBF" w:rsidRPr="00902878" w:rsidRDefault="00FA7EBF" w:rsidP="007B207C">
            <w:pPr>
              <w:pStyle w:val="ARfintablebodyright"/>
              <w:ind w:right="0"/>
              <w:rPr>
                <w:sz w:val="15"/>
                <w:szCs w:val="15"/>
                <w:lang w:eastAsia="en-AU"/>
              </w:rPr>
            </w:pPr>
            <w:r w:rsidRPr="00902878">
              <w:rPr>
                <w:sz w:val="15"/>
                <w:szCs w:val="15"/>
              </w:rPr>
              <w:t>0.2</w:t>
            </w:r>
          </w:p>
        </w:tc>
        <w:tc>
          <w:tcPr>
            <w:tcW w:w="630" w:type="dxa"/>
            <w:tcBorders>
              <w:top w:val="single" w:sz="4" w:space="0" w:color="A6A6A6" w:themeColor="background1" w:themeShade="A6"/>
            </w:tcBorders>
          </w:tcPr>
          <w:p w14:paraId="6F3F45BE" w14:textId="77777777" w:rsidR="00FA7EBF" w:rsidRPr="00902878" w:rsidRDefault="00FA7EBF" w:rsidP="007B207C">
            <w:pPr>
              <w:pStyle w:val="ARfintablebodyright"/>
              <w:ind w:right="0"/>
              <w:rPr>
                <w:sz w:val="15"/>
                <w:szCs w:val="15"/>
                <w:lang w:eastAsia="en-AU"/>
              </w:rPr>
            </w:pPr>
            <w:r w:rsidRPr="00902878">
              <w:rPr>
                <w:sz w:val="15"/>
                <w:szCs w:val="15"/>
              </w:rPr>
              <w:t>0.2</w:t>
            </w:r>
          </w:p>
        </w:tc>
        <w:tc>
          <w:tcPr>
            <w:tcW w:w="630" w:type="dxa"/>
            <w:tcBorders>
              <w:top w:val="single" w:sz="4" w:space="0" w:color="A6A6A6" w:themeColor="background1" w:themeShade="A6"/>
            </w:tcBorders>
          </w:tcPr>
          <w:p w14:paraId="696376BE" w14:textId="77777777" w:rsidR="00FA7EBF" w:rsidRPr="00902878" w:rsidRDefault="00FA7EBF" w:rsidP="007B207C">
            <w:pPr>
              <w:pStyle w:val="ARfintablebodyright"/>
              <w:ind w:right="0"/>
              <w:rPr>
                <w:sz w:val="15"/>
                <w:szCs w:val="15"/>
                <w:lang w:eastAsia="en-AU"/>
              </w:rPr>
            </w:pPr>
            <w:r w:rsidRPr="00902878">
              <w:rPr>
                <w:sz w:val="15"/>
                <w:szCs w:val="15"/>
              </w:rPr>
              <w:t>0.2</w:t>
            </w:r>
          </w:p>
        </w:tc>
        <w:tc>
          <w:tcPr>
            <w:tcW w:w="630" w:type="dxa"/>
            <w:tcBorders>
              <w:top w:val="single" w:sz="4" w:space="0" w:color="A6A6A6" w:themeColor="background1" w:themeShade="A6"/>
            </w:tcBorders>
          </w:tcPr>
          <w:p w14:paraId="27CF4672" w14:textId="77777777" w:rsidR="00FA7EBF" w:rsidRPr="00902878" w:rsidRDefault="00FA7EBF" w:rsidP="007B207C">
            <w:pPr>
              <w:pStyle w:val="ARfintablebodyright"/>
              <w:ind w:right="0"/>
              <w:rPr>
                <w:sz w:val="15"/>
                <w:szCs w:val="15"/>
                <w:lang w:eastAsia="en-AU"/>
              </w:rPr>
            </w:pPr>
            <w:r w:rsidRPr="00902878">
              <w:rPr>
                <w:sz w:val="15"/>
                <w:szCs w:val="15"/>
              </w:rPr>
              <w:t>0.1</w:t>
            </w:r>
          </w:p>
        </w:tc>
        <w:tc>
          <w:tcPr>
            <w:tcW w:w="630" w:type="dxa"/>
            <w:tcBorders>
              <w:top w:val="single" w:sz="4" w:space="0" w:color="A6A6A6" w:themeColor="background1" w:themeShade="A6"/>
            </w:tcBorders>
          </w:tcPr>
          <w:p w14:paraId="55CE3AB6" w14:textId="77777777" w:rsidR="00FA7EBF" w:rsidRPr="00902878" w:rsidRDefault="00FA7EBF" w:rsidP="007B207C">
            <w:pPr>
              <w:pStyle w:val="ARfintablebodyright"/>
              <w:ind w:right="0"/>
              <w:rPr>
                <w:sz w:val="15"/>
                <w:szCs w:val="15"/>
                <w:lang w:eastAsia="en-AU"/>
              </w:rPr>
            </w:pPr>
            <w:r w:rsidRPr="00902878">
              <w:rPr>
                <w:sz w:val="15"/>
                <w:szCs w:val="15"/>
              </w:rPr>
              <w:t>(1.3)</w:t>
            </w:r>
          </w:p>
        </w:tc>
        <w:tc>
          <w:tcPr>
            <w:tcW w:w="630" w:type="dxa"/>
            <w:tcBorders>
              <w:top w:val="single" w:sz="4" w:space="0" w:color="A6A6A6" w:themeColor="background1" w:themeShade="A6"/>
            </w:tcBorders>
          </w:tcPr>
          <w:p w14:paraId="63AF33E7" w14:textId="77777777" w:rsidR="00FA7EBF" w:rsidRPr="00902878" w:rsidRDefault="00FA7EBF" w:rsidP="007B207C">
            <w:pPr>
              <w:pStyle w:val="ARfintablebodyright"/>
              <w:ind w:right="0"/>
              <w:rPr>
                <w:sz w:val="15"/>
                <w:szCs w:val="15"/>
                <w:lang w:eastAsia="en-AU"/>
              </w:rPr>
            </w:pPr>
            <w:r w:rsidRPr="00902878">
              <w:rPr>
                <w:sz w:val="15"/>
                <w:szCs w:val="15"/>
              </w:rPr>
              <w:t>(2.1)</w:t>
            </w:r>
          </w:p>
        </w:tc>
        <w:tc>
          <w:tcPr>
            <w:tcW w:w="630" w:type="dxa"/>
            <w:tcBorders>
              <w:top w:val="single" w:sz="4" w:space="0" w:color="A6A6A6" w:themeColor="background1" w:themeShade="A6"/>
            </w:tcBorders>
          </w:tcPr>
          <w:p w14:paraId="53671250" w14:textId="77777777" w:rsidR="00FA7EBF" w:rsidRPr="00902878" w:rsidRDefault="00FA7EBF" w:rsidP="007B207C">
            <w:pPr>
              <w:pStyle w:val="ARfintablebodyright"/>
              <w:ind w:right="0"/>
              <w:rPr>
                <w:sz w:val="15"/>
                <w:szCs w:val="15"/>
                <w:lang w:eastAsia="en-AU"/>
              </w:rPr>
            </w:pPr>
            <w:r w:rsidRPr="00902878">
              <w:rPr>
                <w:sz w:val="15"/>
                <w:szCs w:val="15"/>
              </w:rPr>
              <w:t>(0.4)</w:t>
            </w:r>
          </w:p>
        </w:tc>
        <w:tc>
          <w:tcPr>
            <w:tcW w:w="630" w:type="dxa"/>
            <w:tcBorders>
              <w:top w:val="single" w:sz="4" w:space="0" w:color="A6A6A6" w:themeColor="background1" w:themeShade="A6"/>
            </w:tcBorders>
          </w:tcPr>
          <w:p w14:paraId="34366865"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tcBorders>
          </w:tcPr>
          <w:p w14:paraId="264FC2A9"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tcBorders>
          </w:tcPr>
          <w:p w14:paraId="5CEB8A4F"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tcBorders>
          </w:tcPr>
          <w:p w14:paraId="5325EC63" w14:textId="77777777" w:rsidR="00FA7EBF" w:rsidRPr="00902878" w:rsidRDefault="00FA7EBF" w:rsidP="007B207C">
            <w:pPr>
              <w:pStyle w:val="ARfintablebodyright"/>
              <w:ind w:right="0"/>
              <w:rPr>
                <w:sz w:val="15"/>
                <w:szCs w:val="15"/>
                <w:lang w:eastAsia="en-AU"/>
              </w:rPr>
            </w:pPr>
            <w:r w:rsidRPr="00902878">
              <w:rPr>
                <w:sz w:val="15"/>
                <w:szCs w:val="15"/>
              </w:rPr>
              <w:t>(7.1)</w:t>
            </w:r>
          </w:p>
        </w:tc>
        <w:tc>
          <w:tcPr>
            <w:tcW w:w="630" w:type="dxa"/>
            <w:tcBorders>
              <w:top w:val="single" w:sz="4" w:space="0" w:color="A6A6A6" w:themeColor="background1" w:themeShade="A6"/>
            </w:tcBorders>
          </w:tcPr>
          <w:p w14:paraId="70EA7D2F"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630" w:type="dxa"/>
            <w:tcBorders>
              <w:top w:val="single" w:sz="4" w:space="0" w:color="A6A6A6" w:themeColor="background1" w:themeShade="A6"/>
            </w:tcBorders>
          </w:tcPr>
          <w:p w14:paraId="6ED17180" w14:textId="77777777" w:rsidR="00FA7EBF" w:rsidRPr="00902878" w:rsidRDefault="00FA7EBF" w:rsidP="007B207C">
            <w:pPr>
              <w:pStyle w:val="ARfintablebodyright"/>
              <w:ind w:right="0"/>
              <w:rPr>
                <w:sz w:val="15"/>
                <w:szCs w:val="15"/>
                <w:lang w:eastAsia="en-AU"/>
              </w:rPr>
            </w:pPr>
            <w:r w:rsidRPr="00902878">
              <w:rPr>
                <w:sz w:val="15"/>
                <w:szCs w:val="15"/>
              </w:rPr>
              <w:t>–</w:t>
            </w:r>
          </w:p>
        </w:tc>
        <w:tc>
          <w:tcPr>
            <w:tcW w:w="778" w:type="dxa"/>
            <w:tcBorders>
              <w:top w:val="single" w:sz="4" w:space="0" w:color="A6A6A6" w:themeColor="background1" w:themeShade="A6"/>
            </w:tcBorders>
          </w:tcPr>
          <w:p w14:paraId="73FC3E66" w14:textId="77777777" w:rsidR="00FA7EBF" w:rsidRPr="00902878" w:rsidRDefault="00FA7EBF" w:rsidP="007B207C">
            <w:pPr>
              <w:pStyle w:val="ARfintablebodyright"/>
              <w:ind w:right="0"/>
              <w:rPr>
                <w:sz w:val="15"/>
                <w:szCs w:val="15"/>
                <w:lang w:eastAsia="en-AU"/>
              </w:rPr>
            </w:pPr>
            <w:r w:rsidRPr="00902878">
              <w:rPr>
                <w:sz w:val="15"/>
                <w:szCs w:val="15"/>
              </w:rPr>
              <w:t>(12.0)</w:t>
            </w:r>
          </w:p>
        </w:tc>
      </w:tr>
      <w:tr w:rsidR="00FA7EBF" w:rsidRPr="007939DD" w14:paraId="41F53CE0" w14:textId="77777777" w:rsidTr="007B207C">
        <w:trPr>
          <w:cantSplit/>
        </w:trPr>
        <w:tc>
          <w:tcPr>
            <w:tcW w:w="2975" w:type="dxa"/>
          </w:tcPr>
          <w:p w14:paraId="30291536" w14:textId="77777777" w:rsidR="00FA7EBF" w:rsidRPr="007939DD" w:rsidRDefault="00FA7EBF" w:rsidP="007B207C">
            <w:pPr>
              <w:pStyle w:val="ARfintablebodybold"/>
              <w:rPr>
                <w:rStyle w:val="Strong"/>
                <w:sz w:val="13"/>
                <w:szCs w:val="13"/>
              </w:rPr>
            </w:pPr>
            <w:r w:rsidRPr="002E5E0F">
              <w:t>Total other economic flows included in net result</w:t>
            </w:r>
          </w:p>
        </w:tc>
        <w:tc>
          <w:tcPr>
            <w:tcW w:w="629" w:type="dxa"/>
          </w:tcPr>
          <w:p w14:paraId="331F972E" w14:textId="77777777" w:rsidR="00FA7EBF" w:rsidRPr="00902878" w:rsidRDefault="00FA7EBF" w:rsidP="005A60A4">
            <w:pPr>
              <w:pStyle w:val="ARfintablebodyrightbold"/>
              <w:ind w:right="0"/>
              <w:rPr>
                <w:sz w:val="15"/>
                <w:szCs w:val="15"/>
                <w:lang w:eastAsia="en-AU"/>
              </w:rPr>
            </w:pPr>
            <w:r w:rsidRPr="00902878">
              <w:rPr>
                <w:sz w:val="15"/>
                <w:szCs w:val="15"/>
              </w:rPr>
              <w:t>(2.4)</w:t>
            </w:r>
          </w:p>
        </w:tc>
        <w:tc>
          <w:tcPr>
            <w:tcW w:w="629" w:type="dxa"/>
          </w:tcPr>
          <w:p w14:paraId="5DF77C07" w14:textId="77777777" w:rsidR="00FA7EBF" w:rsidRPr="00902878" w:rsidRDefault="00FA7EBF" w:rsidP="005A60A4">
            <w:pPr>
              <w:pStyle w:val="ARfintablebodyrightbold"/>
              <w:ind w:right="0"/>
              <w:rPr>
                <w:sz w:val="15"/>
                <w:szCs w:val="15"/>
                <w:lang w:eastAsia="en-AU"/>
              </w:rPr>
            </w:pPr>
            <w:r w:rsidRPr="00902878">
              <w:rPr>
                <w:sz w:val="15"/>
                <w:szCs w:val="15"/>
              </w:rPr>
              <w:t>0.1</w:t>
            </w:r>
          </w:p>
        </w:tc>
        <w:tc>
          <w:tcPr>
            <w:tcW w:w="629" w:type="dxa"/>
          </w:tcPr>
          <w:p w14:paraId="7A5DFAD8" w14:textId="77777777" w:rsidR="00FA7EBF" w:rsidRPr="00902878" w:rsidRDefault="00FA7EBF" w:rsidP="005A60A4">
            <w:pPr>
              <w:pStyle w:val="ARfintablebodyrightbold"/>
              <w:ind w:right="0"/>
              <w:rPr>
                <w:sz w:val="15"/>
                <w:szCs w:val="15"/>
                <w:lang w:eastAsia="en-AU"/>
              </w:rPr>
            </w:pPr>
            <w:r w:rsidRPr="00902878">
              <w:rPr>
                <w:sz w:val="15"/>
                <w:szCs w:val="15"/>
              </w:rPr>
              <w:t>0.8</w:t>
            </w:r>
          </w:p>
        </w:tc>
        <w:tc>
          <w:tcPr>
            <w:tcW w:w="629" w:type="dxa"/>
          </w:tcPr>
          <w:p w14:paraId="026D3CAA" w14:textId="77777777" w:rsidR="00FA7EBF" w:rsidRPr="00902878" w:rsidRDefault="00FA7EBF" w:rsidP="005A60A4">
            <w:pPr>
              <w:pStyle w:val="ARfintablebodyrightbold"/>
              <w:ind w:right="0"/>
              <w:rPr>
                <w:sz w:val="15"/>
                <w:szCs w:val="15"/>
                <w:lang w:eastAsia="en-AU"/>
              </w:rPr>
            </w:pPr>
            <w:r w:rsidRPr="00902878">
              <w:rPr>
                <w:sz w:val="15"/>
                <w:szCs w:val="15"/>
              </w:rPr>
              <w:t>0.7</w:t>
            </w:r>
          </w:p>
        </w:tc>
        <w:tc>
          <w:tcPr>
            <w:tcW w:w="630" w:type="dxa"/>
          </w:tcPr>
          <w:p w14:paraId="33BCF38A" w14:textId="77777777" w:rsidR="00FA7EBF" w:rsidRPr="00902878" w:rsidRDefault="00FA7EBF" w:rsidP="005A60A4">
            <w:pPr>
              <w:pStyle w:val="ARfintablebodyrightbold"/>
              <w:ind w:right="0"/>
              <w:rPr>
                <w:sz w:val="15"/>
                <w:szCs w:val="15"/>
                <w:lang w:eastAsia="en-AU"/>
              </w:rPr>
            </w:pPr>
            <w:r w:rsidRPr="00902878">
              <w:rPr>
                <w:sz w:val="15"/>
                <w:szCs w:val="15"/>
              </w:rPr>
              <w:t>0.3</w:t>
            </w:r>
          </w:p>
        </w:tc>
        <w:tc>
          <w:tcPr>
            <w:tcW w:w="630" w:type="dxa"/>
          </w:tcPr>
          <w:p w14:paraId="72D7CE4C" w14:textId="77777777" w:rsidR="00FA7EBF" w:rsidRPr="00902878" w:rsidRDefault="00FA7EBF" w:rsidP="005A60A4">
            <w:pPr>
              <w:pStyle w:val="ARfintablebodyrightbold"/>
              <w:ind w:right="0"/>
              <w:rPr>
                <w:sz w:val="15"/>
                <w:szCs w:val="15"/>
                <w:lang w:eastAsia="en-AU"/>
              </w:rPr>
            </w:pPr>
            <w:r w:rsidRPr="00902878">
              <w:rPr>
                <w:sz w:val="15"/>
                <w:szCs w:val="15"/>
              </w:rPr>
              <w:t>0.3</w:t>
            </w:r>
          </w:p>
        </w:tc>
        <w:tc>
          <w:tcPr>
            <w:tcW w:w="630" w:type="dxa"/>
          </w:tcPr>
          <w:p w14:paraId="5C12304B" w14:textId="77777777" w:rsidR="00FA7EBF" w:rsidRPr="00902878" w:rsidRDefault="00FA7EBF" w:rsidP="005A60A4">
            <w:pPr>
              <w:pStyle w:val="ARfintablebodyrightbold"/>
              <w:ind w:right="0"/>
              <w:rPr>
                <w:sz w:val="15"/>
                <w:szCs w:val="15"/>
                <w:lang w:eastAsia="en-AU"/>
              </w:rPr>
            </w:pPr>
            <w:r w:rsidRPr="00902878">
              <w:rPr>
                <w:sz w:val="15"/>
                <w:szCs w:val="15"/>
              </w:rPr>
              <w:t>0.3</w:t>
            </w:r>
          </w:p>
        </w:tc>
        <w:tc>
          <w:tcPr>
            <w:tcW w:w="630" w:type="dxa"/>
          </w:tcPr>
          <w:p w14:paraId="40D3A2A9" w14:textId="77777777" w:rsidR="00FA7EBF" w:rsidRPr="00902878" w:rsidRDefault="00FA7EBF" w:rsidP="005A60A4">
            <w:pPr>
              <w:pStyle w:val="ARfintablebodyrightbold"/>
              <w:ind w:right="0"/>
              <w:rPr>
                <w:sz w:val="15"/>
                <w:szCs w:val="15"/>
                <w:lang w:eastAsia="en-AU"/>
              </w:rPr>
            </w:pPr>
            <w:r w:rsidRPr="00902878">
              <w:rPr>
                <w:sz w:val="15"/>
                <w:szCs w:val="15"/>
              </w:rPr>
              <w:t>0.2</w:t>
            </w:r>
          </w:p>
        </w:tc>
        <w:tc>
          <w:tcPr>
            <w:tcW w:w="630" w:type="dxa"/>
          </w:tcPr>
          <w:p w14:paraId="1213F913" w14:textId="77777777" w:rsidR="00FA7EBF" w:rsidRPr="00902878" w:rsidRDefault="00FA7EBF" w:rsidP="005A60A4">
            <w:pPr>
              <w:pStyle w:val="ARfintablebodyrightbold"/>
              <w:ind w:right="0"/>
              <w:rPr>
                <w:sz w:val="15"/>
                <w:szCs w:val="15"/>
                <w:lang w:eastAsia="en-AU"/>
              </w:rPr>
            </w:pPr>
            <w:r w:rsidRPr="00902878">
              <w:rPr>
                <w:sz w:val="15"/>
                <w:szCs w:val="15"/>
              </w:rPr>
              <w:t>(0.5)</w:t>
            </w:r>
          </w:p>
        </w:tc>
        <w:tc>
          <w:tcPr>
            <w:tcW w:w="630" w:type="dxa"/>
          </w:tcPr>
          <w:p w14:paraId="234712EA" w14:textId="77777777" w:rsidR="00FA7EBF" w:rsidRPr="00902878" w:rsidRDefault="00FA7EBF" w:rsidP="005A60A4">
            <w:pPr>
              <w:pStyle w:val="ARfintablebodyrightbold"/>
              <w:ind w:right="0"/>
              <w:rPr>
                <w:sz w:val="15"/>
                <w:szCs w:val="15"/>
                <w:lang w:eastAsia="en-AU"/>
              </w:rPr>
            </w:pPr>
            <w:r w:rsidRPr="00902878">
              <w:rPr>
                <w:sz w:val="15"/>
                <w:szCs w:val="15"/>
              </w:rPr>
              <w:t>(1.5)</w:t>
            </w:r>
          </w:p>
        </w:tc>
        <w:tc>
          <w:tcPr>
            <w:tcW w:w="630" w:type="dxa"/>
          </w:tcPr>
          <w:p w14:paraId="78AD59A5" w14:textId="77777777" w:rsidR="00FA7EBF" w:rsidRPr="00902878" w:rsidRDefault="00FA7EBF" w:rsidP="005A60A4">
            <w:pPr>
              <w:pStyle w:val="ARfintablebodyrightbold"/>
              <w:ind w:right="0"/>
              <w:rPr>
                <w:sz w:val="15"/>
                <w:szCs w:val="15"/>
                <w:lang w:eastAsia="en-AU"/>
              </w:rPr>
            </w:pPr>
            <w:r w:rsidRPr="00902878">
              <w:rPr>
                <w:sz w:val="15"/>
                <w:szCs w:val="15"/>
              </w:rPr>
              <w:t>(0.4)</w:t>
            </w:r>
          </w:p>
        </w:tc>
        <w:tc>
          <w:tcPr>
            <w:tcW w:w="630" w:type="dxa"/>
          </w:tcPr>
          <w:p w14:paraId="2D550973" w14:textId="77777777" w:rsidR="00FA7EBF" w:rsidRPr="00902878" w:rsidRDefault="00FA7EBF" w:rsidP="005A60A4">
            <w:pPr>
              <w:pStyle w:val="ARfintablebodyrightbold"/>
              <w:ind w:right="0"/>
              <w:rPr>
                <w:sz w:val="15"/>
                <w:szCs w:val="15"/>
                <w:lang w:eastAsia="en-AU"/>
              </w:rPr>
            </w:pPr>
            <w:r w:rsidRPr="00902878">
              <w:rPr>
                <w:sz w:val="15"/>
                <w:szCs w:val="15"/>
              </w:rPr>
              <w:t>–</w:t>
            </w:r>
          </w:p>
        </w:tc>
        <w:tc>
          <w:tcPr>
            <w:tcW w:w="630" w:type="dxa"/>
          </w:tcPr>
          <w:p w14:paraId="32585A05" w14:textId="77777777" w:rsidR="00FA7EBF" w:rsidRPr="00902878" w:rsidRDefault="00FA7EBF" w:rsidP="005A60A4">
            <w:pPr>
              <w:pStyle w:val="ARfintablebodyrightbold"/>
              <w:ind w:right="0"/>
              <w:rPr>
                <w:sz w:val="15"/>
                <w:szCs w:val="15"/>
                <w:lang w:eastAsia="en-AU"/>
              </w:rPr>
            </w:pPr>
            <w:r w:rsidRPr="00902878">
              <w:rPr>
                <w:sz w:val="15"/>
                <w:szCs w:val="15"/>
              </w:rPr>
              <w:t>–</w:t>
            </w:r>
          </w:p>
        </w:tc>
        <w:tc>
          <w:tcPr>
            <w:tcW w:w="630" w:type="dxa"/>
          </w:tcPr>
          <w:p w14:paraId="0282321C" w14:textId="77777777" w:rsidR="00FA7EBF" w:rsidRPr="00902878" w:rsidRDefault="00FA7EBF" w:rsidP="005A60A4">
            <w:pPr>
              <w:pStyle w:val="ARfintablebodyrightbold"/>
              <w:ind w:right="0"/>
              <w:rPr>
                <w:sz w:val="15"/>
                <w:szCs w:val="15"/>
                <w:lang w:eastAsia="en-AU"/>
              </w:rPr>
            </w:pPr>
            <w:r w:rsidRPr="00902878">
              <w:rPr>
                <w:sz w:val="15"/>
                <w:szCs w:val="15"/>
              </w:rPr>
              <w:t>–</w:t>
            </w:r>
          </w:p>
        </w:tc>
        <w:tc>
          <w:tcPr>
            <w:tcW w:w="630" w:type="dxa"/>
          </w:tcPr>
          <w:p w14:paraId="57C909CD" w14:textId="77777777" w:rsidR="00FA7EBF" w:rsidRPr="00902878" w:rsidRDefault="00FA7EBF" w:rsidP="005A60A4">
            <w:pPr>
              <w:pStyle w:val="ARfintablebodyrightbold"/>
              <w:ind w:right="0"/>
              <w:rPr>
                <w:sz w:val="15"/>
                <w:szCs w:val="15"/>
                <w:lang w:eastAsia="en-AU"/>
              </w:rPr>
            </w:pPr>
            <w:r w:rsidRPr="00902878">
              <w:rPr>
                <w:sz w:val="15"/>
                <w:szCs w:val="15"/>
              </w:rPr>
              <w:t>5.4</w:t>
            </w:r>
          </w:p>
        </w:tc>
        <w:tc>
          <w:tcPr>
            <w:tcW w:w="630" w:type="dxa"/>
          </w:tcPr>
          <w:p w14:paraId="5689EF11" w14:textId="77777777" w:rsidR="00FA7EBF" w:rsidRPr="00902878" w:rsidRDefault="00FA7EBF" w:rsidP="005A60A4">
            <w:pPr>
              <w:pStyle w:val="ARfintablebodyrightbold"/>
              <w:ind w:right="0"/>
              <w:rPr>
                <w:sz w:val="15"/>
                <w:szCs w:val="15"/>
                <w:lang w:eastAsia="en-AU"/>
              </w:rPr>
            </w:pPr>
            <w:r w:rsidRPr="00902878">
              <w:rPr>
                <w:sz w:val="15"/>
                <w:szCs w:val="15"/>
              </w:rPr>
              <w:t>–</w:t>
            </w:r>
          </w:p>
        </w:tc>
        <w:tc>
          <w:tcPr>
            <w:tcW w:w="630" w:type="dxa"/>
          </w:tcPr>
          <w:p w14:paraId="04A537BF" w14:textId="77777777" w:rsidR="00FA7EBF" w:rsidRPr="00902878" w:rsidRDefault="00FA7EBF" w:rsidP="005A60A4">
            <w:pPr>
              <w:pStyle w:val="ARfintablebodyrightbold"/>
              <w:ind w:right="0"/>
              <w:rPr>
                <w:sz w:val="15"/>
                <w:szCs w:val="15"/>
                <w:lang w:eastAsia="en-AU"/>
              </w:rPr>
            </w:pPr>
            <w:r w:rsidRPr="00902878">
              <w:rPr>
                <w:sz w:val="15"/>
                <w:szCs w:val="15"/>
              </w:rPr>
              <w:t>–</w:t>
            </w:r>
          </w:p>
        </w:tc>
        <w:tc>
          <w:tcPr>
            <w:tcW w:w="778" w:type="dxa"/>
          </w:tcPr>
          <w:p w14:paraId="51584253" w14:textId="77777777" w:rsidR="00FA7EBF" w:rsidRPr="00902878" w:rsidRDefault="00FA7EBF" w:rsidP="005A60A4">
            <w:pPr>
              <w:pStyle w:val="ARfintablebodyrightbold"/>
              <w:ind w:right="0"/>
              <w:rPr>
                <w:sz w:val="15"/>
                <w:szCs w:val="15"/>
                <w:lang w:eastAsia="en-AU"/>
              </w:rPr>
            </w:pPr>
            <w:r w:rsidRPr="00902878">
              <w:rPr>
                <w:sz w:val="15"/>
                <w:szCs w:val="15"/>
              </w:rPr>
              <w:t>3.4</w:t>
            </w:r>
          </w:p>
        </w:tc>
      </w:tr>
      <w:tr w:rsidR="00FA7EBF" w:rsidRPr="007939DD" w14:paraId="4219F3A8" w14:textId="77777777" w:rsidTr="007B207C">
        <w:trPr>
          <w:cantSplit/>
        </w:trPr>
        <w:tc>
          <w:tcPr>
            <w:tcW w:w="2975" w:type="dxa"/>
          </w:tcPr>
          <w:p w14:paraId="782D253A" w14:textId="77777777" w:rsidR="00FA7EBF" w:rsidRPr="007939DD" w:rsidRDefault="00FA7EBF" w:rsidP="007B207C">
            <w:pPr>
              <w:pStyle w:val="ARfintablebodybold"/>
              <w:rPr>
                <w:rStyle w:val="Strong"/>
                <w:sz w:val="13"/>
                <w:szCs w:val="13"/>
              </w:rPr>
            </w:pPr>
            <w:r w:rsidRPr="002E5E0F">
              <w:t>Net result</w:t>
            </w:r>
          </w:p>
        </w:tc>
        <w:tc>
          <w:tcPr>
            <w:tcW w:w="629" w:type="dxa"/>
          </w:tcPr>
          <w:p w14:paraId="76FA29B0" w14:textId="77777777" w:rsidR="00FA7EBF" w:rsidRPr="00902878" w:rsidRDefault="00FA7EBF" w:rsidP="007B207C">
            <w:pPr>
              <w:pStyle w:val="ARfintablebodyrightbold"/>
              <w:ind w:right="0"/>
              <w:rPr>
                <w:sz w:val="15"/>
                <w:szCs w:val="15"/>
                <w:lang w:eastAsia="en-AU"/>
              </w:rPr>
            </w:pPr>
            <w:r w:rsidRPr="00902878">
              <w:rPr>
                <w:sz w:val="15"/>
                <w:szCs w:val="15"/>
              </w:rPr>
              <w:t>157.8</w:t>
            </w:r>
          </w:p>
        </w:tc>
        <w:tc>
          <w:tcPr>
            <w:tcW w:w="629" w:type="dxa"/>
          </w:tcPr>
          <w:p w14:paraId="761E3C72" w14:textId="77777777" w:rsidR="00FA7EBF" w:rsidRPr="00902878" w:rsidRDefault="00FA7EBF" w:rsidP="007B207C">
            <w:pPr>
              <w:pStyle w:val="ARfintablebodyrightbold"/>
              <w:ind w:right="0"/>
              <w:rPr>
                <w:sz w:val="15"/>
                <w:szCs w:val="15"/>
                <w:lang w:eastAsia="en-AU"/>
              </w:rPr>
            </w:pPr>
            <w:r w:rsidRPr="00902878">
              <w:rPr>
                <w:sz w:val="15"/>
                <w:szCs w:val="15"/>
              </w:rPr>
              <w:t>6.9</w:t>
            </w:r>
          </w:p>
        </w:tc>
        <w:tc>
          <w:tcPr>
            <w:tcW w:w="629" w:type="dxa"/>
          </w:tcPr>
          <w:p w14:paraId="0101D6D5" w14:textId="77777777" w:rsidR="00FA7EBF" w:rsidRPr="00902878" w:rsidRDefault="00FA7EBF" w:rsidP="007B207C">
            <w:pPr>
              <w:pStyle w:val="ARfintablebodyrightbold"/>
              <w:ind w:right="0"/>
              <w:rPr>
                <w:sz w:val="15"/>
                <w:szCs w:val="15"/>
                <w:lang w:eastAsia="en-AU"/>
              </w:rPr>
            </w:pPr>
            <w:r w:rsidRPr="00902878">
              <w:rPr>
                <w:sz w:val="15"/>
                <w:szCs w:val="15"/>
              </w:rPr>
              <w:t>5.3</w:t>
            </w:r>
          </w:p>
        </w:tc>
        <w:tc>
          <w:tcPr>
            <w:tcW w:w="629" w:type="dxa"/>
          </w:tcPr>
          <w:p w14:paraId="3E9B4EC5" w14:textId="77777777" w:rsidR="00FA7EBF" w:rsidRPr="00902878" w:rsidRDefault="00FA7EBF" w:rsidP="007B207C">
            <w:pPr>
              <w:pStyle w:val="ARfintablebodyrightbold"/>
              <w:ind w:right="0"/>
              <w:rPr>
                <w:sz w:val="15"/>
                <w:szCs w:val="15"/>
                <w:lang w:eastAsia="en-AU"/>
              </w:rPr>
            </w:pPr>
            <w:r w:rsidRPr="00902878">
              <w:rPr>
                <w:sz w:val="15"/>
                <w:szCs w:val="15"/>
              </w:rPr>
              <w:t>63.4</w:t>
            </w:r>
          </w:p>
        </w:tc>
        <w:tc>
          <w:tcPr>
            <w:tcW w:w="630" w:type="dxa"/>
          </w:tcPr>
          <w:p w14:paraId="6729A78B" w14:textId="77777777" w:rsidR="00FA7EBF" w:rsidRPr="00902878" w:rsidRDefault="00FA7EBF" w:rsidP="007B207C">
            <w:pPr>
              <w:pStyle w:val="ARfintablebodyrightbold"/>
              <w:ind w:right="0"/>
              <w:rPr>
                <w:sz w:val="15"/>
                <w:szCs w:val="15"/>
                <w:lang w:eastAsia="en-AU"/>
              </w:rPr>
            </w:pPr>
            <w:r w:rsidRPr="00902878">
              <w:rPr>
                <w:sz w:val="15"/>
                <w:szCs w:val="15"/>
              </w:rPr>
              <w:t>(5.6)</w:t>
            </w:r>
          </w:p>
        </w:tc>
        <w:tc>
          <w:tcPr>
            <w:tcW w:w="630" w:type="dxa"/>
          </w:tcPr>
          <w:p w14:paraId="440D6BD8" w14:textId="77777777" w:rsidR="00FA7EBF" w:rsidRPr="00902878" w:rsidRDefault="00FA7EBF" w:rsidP="007B207C">
            <w:pPr>
              <w:pStyle w:val="ARfintablebodyrightbold"/>
              <w:ind w:right="0"/>
              <w:rPr>
                <w:sz w:val="15"/>
                <w:szCs w:val="15"/>
                <w:lang w:eastAsia="en-AU"/>
              </w:rPr>
            </w:pPr>
            <w:r w:rsidRPr="00902878">
              <w:rPr>
                <w:sz w:val="15"/>
                <w:szCs w:val="15"/>
              </w:rPr>
              <w:t>40.0</w:t>
            </w:r>
          </w:p>
        </w:tc>
        <w:tc>
          <w:tcPr>
            <w:tcW w:w="630" w:type="dxa"/>
          </w:tcPr>
          <w:p w14:paraId="51EF09F8" w14:textId="77777777" w:rsidR="00FA7EBF" w:rsidRPr="00902878" w:rsidRDefault="00FA7EBF" w:rsidP="007B207C">
            <w:pPr>
              <w:pStyle w:val="ARfintablebodyrightbold"/>
              <w:ind w:right="0"/>
              <w:rPr>
                <w:sz w:val="15"/>
                <w:szCs w:val="15"/>
                <w:lang w:eastAsia="en-AU"/>
              </w:rPr>
            </w:pPr>
            <w:r w:rsidRPr="00902878">
              <w:rPr>
                <w:sz w:val="15"/>
                <w:szCs w:val="15"/>
              </w:rPr>
              <w:t>32.5</w:t>
            </w:r>
          </w:p>
        </w:tc>
        <w:tc>
          <w:tcPr>
            <w:tcW w:w="630" w:type="dxa"/>
          </w:tcPr>
          <w:p w14:paraId="5A5E5A64" w14:textId="77777777" w:rsidR="00FA7EBF" w:rsidRPr="00902878" w:rsidRDefault="00FA7EBF" w:rsidP="007B207C">
            <w:pPr>
              <w:pStyle w:val="ARfintablebodyrightbold"/>
              <w:ind w:right="0"/>
              <w:rPr>
                <w:sz w:val="15"/>
                <w:szCs w:val="15"/>
                <w:lang w:eastAsia="en-AU"/>
              </w:rPr>
            </w:pPr>
            <w:r w:rsidRPr="00902878">
              <w:rPr>
                <w:sz w:val="15"/>
                <w:szCs w:val="15"/>
              </w:rPr>
              <w:t>(7.1)</w:t>
            </w:r>
          </w:p>
        </w:tc>
        <w:tc>
          <w:tcPr>
            <w:tcW w:w="630" w:type="dxa"/>
          </w:tcPr>
          <w:p w14:paraId="70BE8C5C" w14:textId="77777777" w:rsidR="00FA7EBF" w:rsidRPr="00902878" w:rsidRDefault="00FA7EBF" w:rsidP="007B207C">
            <w:pPr>
              <w:pStyle w:val="ARfintablebodyrightbold"/>
              <w:ind w:right="0"/>
              <w:rPr>
                <w:sz w:val="15"/>
                <w:szCs w:val="15"/>
                <w:lang w:eastAsia="en-AU"/>
              </w:rPr>
            </w:pPr>
            <w:r w:rsidRPr="00902878">
              <w:rPr>
                <w:sz w:val="15"/>
                <w:szCs w:val="15"/>
              </w:rPr>
              <w:t>(16.7)</w:t>
            </w:r>
          </w:p>
        </w:tc>
        <w:tc>
          <w:tcPr>
            <w:tcW w:w="630" w:type="dxa"/>
          </w:tcPr>
          <w:p w14:paraId="591BA40D" w14:textId="77777777" w:rsidR="00FA7EBF" w:rsidRPr="00902878" w:rsidRDefault="00FA7EBF" w:rsidP="007B207C">
            <w:pPr>
              <w:pStyle w:val="ARfintablebodyrightbold"/>
              <w:ind w:right="0"/>
              <w:rPr>
                <w:sz w:val="15"/>
                <w:szCs w:val="15"/>
                <w:lang w:eastAsia="en-AU"/>
              </w:rPr>
            </w:pPr>
            <w:r w:rsidRPr="00902878">
              <w:rPr>
                <w:sz w:val="15"/>
                <w:szCs w:val="15"/>
              </w:rPr>
              <w:t>(1.2)</w:t>
            </w:r>
          </w:p>
        </w:tc>
        <w:tc>
          <w:tcPr>
            <w:tcW w:w="630" w:type="dxa"/>
          </w:tcPr>
          <w:p w14:paraId="14715FAA" w14:textId="77777777" w:rsidR="00FA7EBF" w:rsidRPr="00902878" w:rsidRDefault="00FA7EBF" w:rsidP="007B207C">
            <w:pPr>
              <w:pStyle w:val="ARfintablebodyrightbold"/>
              <w:ind w:right="0"/>
              <w:rPr>
                <w:sz w:val="15"/>
                <w:szCs w:val="15"/>
                <w:lang w:eastAsia="en-AU"/>
              </w:rPr>
            </w:pPr>
            <w:r w:rsidRPr="00902878">
              <w:rPr>
                <w:sz w:val="15"/>
                <w:szCs w:val="15"/>
              </w:rPr>
              <w:t>(0.3)</w:t>
            </w:r>
          </w:p>
        </w:tc>
        <w:tc>
          <w:tcPr>
            <w:tcW w:w="630" w:type="dxa"/>
          </w:tcPr>
          <w:p w14:paraId="5C6FC789" w14:textId="77777777" w:rsidR="00FA7EBF" w:rsidRPr="00902878" w:rsidRDefault="00FA7EBF" w:rsidP="007B207C">
            <w:pPr>
              <w:pStyle w:val="ARfintablebodyrightbold"/>
              <w:ind w:right="0"/>
              <w:rPr>
                <w:sz w:val="15"/>
                <w:szCs w:val="15"/>
                <w:lang w:eastAsia="en-AU"/>
              </w:rPr>
            </w:pPr>
            <w:r w:rsidRPr="00902878">
              <w:rPr>
                <w:sz w:val="15"/>
                <w:szCs w:val="15"/>
              </w:rPr>
              <w:t>(3.2)</w:t>
            </w:r>
          </w:p>
        </w:tc>
        <w:tc>
          <w:tcPr>
            <w:tcW w:w="630" w:type="dxa"/>
          </w:tcPr>
          <w:p w14:paraId="4746B740" w14:textId="77777777" w:rsidR="00FA7EBF" w:rsidRPr="00902878" w:rsidRDefault="00FA7EBF" w:rsidP="007B207C">
            <w:pPr>
              <w:pStyle w:val="ARfintablebodyrightbold"/>
              <w:ind w:right="0"/>
              <w:rPr>
                <w:rStyle w:val="Strong"/>
                <w:sz w:val="15"/>
                <w:szCs w:val="15"/>
              </w:rPr>
            </w:pPr>
            <w:r w:rsidRPr="00902878">
              <w:rPr>
                <w:sz w:val="15"/>
                <w:szCs w:val="15"/>
              </w:rPr>
              <w:t>(0.7)</w:t>
            </w:r>
          </w:p>
        </w:tc>
        <w:tc>
          <w:tcPr>
            <w:tcW w:w="630" w:type="dxa"/>
          </w:tcPr>
          <w:p w14:paraId="7EF0DBFA" w14:textId="77777777" w:rsidR="00FA7EBF" w:rsidRPr="00902878" w:rsidRDefault="00FA7EBF" w:rsidP="00902878">
            <w:pPr>
              <w:pStyle w:val="ARfintablebodyrightbold"/>
              <w:ind w:right="0"/>
              <w:rPr>
                <w:sz w:val="15"/>
                <w:szCs w:val="15"/>
                <w:lang w:eastAsia="en-AU"/>
              </w:rPr>
            </w:pPr>
            <w:r w:rsidRPr="00902878">
              <w:rPr>
                <w:sz w:val="15"/>
                <w:szCs w:val="15"/>
              </w:rPr>
              <w:t>12.2</w:t>
            </w:r>
          </w:p>
        </w:tc>
        <w:tc>
          <w:tcPr>
            <w:tcW w:w="630" w:type="dxa"/>
          </w:tcPr>
          <w:p w14:paraId="7933FBD4" w14:textId="77777777" w:rsidR="00FA7EBF" w:rsidRPr="00902878" w:rsidRDefault="00FA7EBF" w:rsidP="00902878">
            <w:pPr>
              <w:pStyle w:val="ARfintablebodyrightbold"/>
              <w:ind w:right="0"/>
              <w:rPr>
                <w:sz w:val="15"/>
                <w:szCs w:val="15"/>
                <w:lang w:eastAsia="en-AU"/>
              </w:rPr>
            </w:pPr>
            <w:r w:rsidRPr="00902878">
              <w:rPr>
                <w:sz w:val="15"/>
                <w:szCs w:val="15"/>
              </w:rPr>
              <w:t>(101.4)</w:t>
            </w:r>
          </w:p>
        </w:tc>
        <w:tc>
          <w:tcPr>
            <w:tcW w:w="630" w:type="dxa"/>
          </w:tcPr>
          <w:p w14:paraId="5A50F783" w14:textId="77777777" w:rsidR="00FA7EBF" w:rsidRPr="00902878" w:rsidRDefault="00FA7EBF" w:rsidP="007B207C">
            <w:pPr>
              <w:pStyle w:val="ARfintablebodyrightbold"/>
              <w:ind w:right="0"/>
              <w:rPr>
                <w:sz w:val="15"/>
                <w:szCs w:val="15"/>
                <w:lang w:eastAsia="en-AU"/>
              </w:rPr>
            </w:pPr>
            <w:r w:rsidRPr="00902878">
              <w:rPr>
                <w:sz w:val="15"/>
                <w:szCs w:val="15"/>
              </w:rPr>
              <w:t>(0.2)</w:t>
            </w:r>
          </w:p>
        </w:tc>
        <w:tc>
          <w:tcPr>
            <w:tcW w:w="630" w:type="dxa"/>
          </w:tcPr>
          <w:p w14:paraId="6F345466" w14:textId="77777777" w:rsidR="00FA7EBF" w:rsidRPr="00902878" w:rsidRDefault="00FA7EBF" w:rsidP="007B207C">
            <w:pPr>
              <w:pStyle w:val="ARfintablebodyrightbold"/>
              <w:ind w:right="0"/>
              <w:rPr>
                <w:sz w:val="15"/>
                <w:szCs w:val="15"/>
                <w:lang w:eastAsia="en-AU"/>
              </w:rPr>
            </w:pPr>
            <w:r w:rsidRPr="00902878">
              <w:rPr>
                <w:sz w:val="15"/>
                <w:szCs w:val="15"/>
              </w:rPr>
              <w:t>–</w:t>
            </w:r>
          </w:p>
        </w:tc>
        <w:tc>
          <w:tcPr>
            <w:tcW w:w="778" w:type="dxa"/>
          </w:tcPr>
          <w:p w14:paraId="4596B7E7" w14:textId="77777777" w:rsidR="00FA7EBF" w:rsidRPr="00902878" w:rsidRDefault="00FA7EBF" w:rsidP="007B207C">
            <w:pPr>
              <w:pStyle w:val="ARfintablebodyrightbold"/>
              <w:ind w:right="0"/>
              <w:rPr>
                <w:rStyle w:val="Strong"/>
                <w:sz w:val="15"/>
                <w:szCs w:val="15"/>
              </w:rPr>
            </w:pPr>
            <w:r w:rsidRPr="00902878">
              <w:rPr>
                <w:sz w:val="15"/>
                <w:szCs w:val="15"/>
              </w:rPr>
              <w:t>181.7</w:t>
            </w:r>
          </w:p>
        </w:tc>
      </w:tr>
    </w:tbl>
    <w:p w14:paraId="78A54C98" w14:textId="77777777" w:rsidR="00FA7EBF" w:rsidRPr="00194D78" w:rsidRDefault="00FA7EBF" w:rsidP="00CA66FD">
      <w:pPr>
        <w:pStyle w:val="ARfintablefootnote"/>
        <w:rPr>
          <w:lang w:eastAsia="en-AU"/>
        </w:rPr>
      </w:pPr>
      <w:r w:rsidRPr="00194D78">
        <w:rPr>
          <w:lang w:eastAsia="en-AU"/>
        </w:rPr>
        <w:t>Note:</w:t>
      </w:r>
    </w:p>
    <w:p w14:paraId="787857E1" w14:textId="77777777" w:rsidR="00FA7EBF" w:rsidRPr="00194D78" w:rsidRDefault="00FA7EBF" w:rsidP="00CA66FD">
      <w:pPr>
        <w:pStyle w:val="ARfintablefootnoteindent"/>
      </w:pPr>
      <w:r w:rsidRPr="00194D78">
        <w:t>(i)</w:t>
      </w:r>
      <w:r>
        <w:tab/>
      </w:r>
      <w:r w:rsidRPr="00194D78">
        <w:t>Refer to Note 4.1.1 for output definitions.</w:t>
      </w:r>
    </w:p>
    <w:p w14:paraId="3BD04BE6" w14:textId="77777777" w:rsidR="00FA7EBF" w:rsidRPr="00194D78" w:rsidRDefault="00FA7EBF" w:rsidP="00CA66FD">
      <w:pPr>
        <w:pStyle w:val="ARfinbody"/>
      </w:pPr>
      <w:r w:rsidRPr="00194D78">
        <w:br w:type="page"/>
      </w:r>
    </w:p>
    <w:p w14:paraId="40FC8574" w14:textId="77777777" w:rsidR="00FA7EBF" w:rsidRDefault="00FA7EBF" w:rsidP="00CA66FD">
      <w:pPr>
        <w:pStyle w:val="Heading4"/>
        <w:rPr>
          <w:lang w:eastAsia="en-AU"/>
        </w:rPr>
      </w:pPr>
      <w:r w:rsidRPr="001D2FFF">
        <w:rPr>
          <w:lang w:eastAsia="en-AU"/>
        </w:rPr>
        <w:t>4.2 Administered (non-controlled) items</w:t>
      </w:r>
    </w:p>
    <w:p w14:paraId="3298973F" w14:textId="77777777" w:rsidR="00FA7EBF" w:rsidRPr="00194D78" w:rsidRDefault="00FA7EBF" w:rsidP="00CA66FD">
      <w:pPr>
        <w:pStyle w:val="Heading5"/>
        <w:rPr>
          <w:lang w:eastAsia="en-AU"/>
        </w:rPr>
      </w:pPr>
      <w:r w:rsidRPr="00194D78">
        <w:rPr>
          <w:lang w:eastAsia="en-AU"/>
        </w:rPr>
        <w:t>4.2.1 Administered income and expenses</w:t>
      </w:r>
    </w:p>
    <w:p w14:paraId="22EF1924" w14:textId="08FD7722" w:rsidR="00FA7EBF" w:rsidRPr="00194D78" w:rsidRDefault="00FA7EBF" w:rsidP="00CA66FD">
      <w:pPr>
        <w:pStyle w:val="ARfinbody"/>
      </w:pPr>
      <w:r w:rsidRPr="00194D78">
        <w:t>Administered income includes taxes, fees and fines and the proceeds from the sale of administered surplus land and buildings. Administered expenses includes payments made on behalf of the state and</w:t>
      </w:r>
      <w:r w:rsidR="00B33865">
        <w:t> </w:t>
      </w:r>
      <w:r w:rsidRPr="00194D78">
        <w:t>payments into the consolidated fund. Administered assets include government income earned but yet to be collected. Administered liabilities include government expenses incurred but yet to be paid. Except as otherwise disclosed, administered resources are accounted for on an accrual basis using the same accounting policies adopted for recognition of the departmental items in the financial statements. Both the controlled department financial statements and these administered items are consolidated into the financial statements of the state.</w:t>
      </w:r>
    </w:p>
    <w:p w14:paraId="49A437F8" w14:textId="77777777" w:rsidR="00FA7EBF" w:rsidRDefault="00FA7EBF" w:rsidP="00CA66FD">
      <w:pPr>
        <w:pStyle w:val="ARfinbodylargespace"/>
      </w:pPr>
      <w:r w:rsidRPr="00194D78">
        <w:t>The department does not gain control over assets arising from taxes, fines and regulatory fees, consequently no income is recognised in the department</w:t>
      </w:r>
      <w:r>
        <w:t>’</w:t>
      </w:r>
      <w:r w:rsidRPr="00194D78">
        <w:t>s financial statements. The department collects these amounts on behalf of the state. Accordingly, the amounts are disclosed as income in the schedule of Administered Items.</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208"/>
        <w:gridCol w:w="796"/>
        <w:gridCol w:w="642"/>
        <w:gridCol w:w="641"/>
        <w:gridCol w:w="641"/>
        <w:gridCol w:w="641"/>
        <w:gridCol w:w="641"/>
        <w:gridCol w:w="641"/>
        <w:gridCol w:w="641"/>
        <w:gridCol w:w="641"/>
        <w:gridCol w:w="641"/>
        <w:gridCol w:w="641"/>
        <w:gridCol w:w="641"/>
        <w:gridCol w:w="641"/>
        <w:gridCol w:w="641"/>
        <w:gridCol w:w="641"/>
        <w:gridCol w:w="641"/>
        <w:gridCol w:w="839"/>
      </w:tblGrid>
      <w:tr w:rsidR="00FA7EBF" w:rsidRPr="007939DD" w14:paraId="2A32FB42" w14:textId="77777777" w:rsidTr="007B207C">
        <w:trPr>
          <w:cantSplit/>
          <w:tblHeader/>
        </w:trPr>
        <w:tc>
          <w:tcPr>
            <w:tcW w:w="3208" w:type="dxa"/>
            <w:vAlign w:val="bottom"/>
          </w:tcPr>
          <w:p w14:paraId="3C040048" w14:textId="77777777" w:rsidR="00FA7EBF" w:rsidRPr="007939DD" w:rsidRDefault="00FA7EBF" w:rsidP="007B207C">
            <w:pPr>
              <w:pStyle w:val="ARfintablecolhead"/>
              <w:rPr>
                <w:sz w:val="14"/>
                <w:szCs w:val="14"/>
              </w:rPr>
            </w:pPr>
            <w:r w:rsidRPr="007939DD">
              <w:rPr>
                <w:sz w:val="14"/>
                <w:szCs w:val="14"/>
              </w:rPr>
              <w:t xml:space="preserve">Output group </w:t>
            </w:r>
            <w:r w:rsidRPr="007939DD">
              <w:rPr>
                <w:rStyle w:val="Superscriptbold"/>
                <w:sz w:val="14"/>
                <w:szCs w:val="14"/>
              </w:rPr>
              <w:t>(i)(ii)</w:t>
            </w:r>
          </w:p>
          <w:p w14:paraId="008BA62C" w14:textId="77777777" w:rsidR="00FA7EBF" w:rsidRPr="007939DD" w:rsidRDefault="00FA7EBF" w:rsidP="007B207C">
            <w:pPr>
              <w:pStyle w:val="ARfintablecolhead"/>
              <w:rPr>
                <w:sz w:val="14"/>
                <w:szCs w:val="14"/>
              </w:rPr>
            </w:pPr>
            <w:r w:rsidRPr="007939DD">
              <w:rPr>
                <w:sz w:val="14"/>
                <w:szCs w:val="14"/>
              </w:rPr>
              <w:t>201</w:t>
            </w:r>
            <w:r>
              <w:rPr>
                <w:sz w:val="14"/>
                <w:szCs w:val="14"/>
              </w:rPr>
              <w:t>9</w:t>
            </w:r>
          </w:p>
        </w:tc>
        <w:tc>
          <w:tcPr>
            <w:tcW w:w="796" w:type="dxa"/>
            <w:vAlign w:val="bottom"/>
          </w:tcPr>
          <w:p w14:paraId="08729B90" w14:textId="77777777" w:rsidR="00FA7EBF" w:rsidRPr="007939DD" w:rsidRDefault="00FA7EBF" w:rsidP="006944B3">
            <w:pPr>
              <w:pStyle w:val="ARfintablecolheadright"/>
              <w:ind w:right="0"/>
              <w:rPr>
                <w:sz w:val="14"/>
                <w:szCs w:val="14"/>
              </w:rPr>
            </w:pPr>
            <w:r w:rsidRPr="007939DD">
              <w:rPr>
                <w:sz w:val="14"/>
                <w:szCs w:val="14"/>
              </w:rPr>
              <w:t>1</w:t>
            </w:r>
          </w:p>
          <w:p w14:paraId="2FC691EC" w14:textId="77777777" w:rsidR="00FA7EBF" w:rsidRPr="007939DD" w:rsidRDefault="00FA7EBF" w:rsidP="006944B3">
            <w:pPr>
              <w:pStyle w:val="ARfintablecolheadright"/>
              <w:ind w:right="0"/>
              <w:rPr>
                <w:sz w:val="14"/>
                <w:szCs w:val="14"/>
              </w:rPr>
            </w:pPr>
            <w:r w:rsidRPr="007939DD">
              <w:rPr>
                <w:sz w:val="14"/>
                <w:szCs w:val="14"/>
              </w:rPr>
              <w:t>$M</w:t>
            </w:r>
          </w:p>
        </w:tc>
        <w:tc>
          <w:tcPr>
            <w:tcW w:w="642" w:type="dxa"/>
            <w:vAlign w:val="bottom"/>
          </w:tcPr>
          <w:p w14:paraId="6FD8C8F6" w14:textId="77777777" w:rsidR="00FA7EBF" w:rsidRPr="007939DD" w:rsidRDefault="00FA7EBF" w:rsidP="006944B3">
            <w:pPr>
              <w:pStyle w:val="ARfintablecolheadright"/>
              <w:ind w:right="0"/>
              <w:rPr>
                <w:sz w:val="14"/>
                <w:szCs w:val="14"/>
              </w:rPr>
            </w:pPr>
            <w:r w:rsidRPr="007939DD">
              <w:rPr>
                <w:sz w:val="14"/>
                <w:szCs w:val="14"/>
              </w:rPr>
              <w:t>2</w:t>
            </w:r>
          </w:p>
          <w:p w14:paraId="6AA26CBA" w14:textId="77777777" w:rsidR="00FA7EBF" w:rsidRPr="007939DD" w:rsidRDefault="00FA7EBF" w:rsidP="006944B3">
            <w:pPr>
              <w:pStyle w:val="ARfintablecolheadright"/>
              <w:ind w:right="0"/>
              <w:rPr>
                <w:sz w:val="14"/>
                <w:szCs w:val="14"/>
              </w:rPr>
            </w:pPr>
            <w:r w:rsidRPr="007939DD">
              <w:rPr>
                <w:sz w:val="14"/>
                <w:szCs w:val="14"/>
              </w:rPr>
              <w:t>$M</w:t>
            </w:r>
          </w:p>
        </w:tc>
        <w:tc>
          <w:tcPr>
            <w:tcW w:w="641" w:type="dxa"/>
            <w:vAlign w:val="bottom"/>
          </w:tcPr>
          <w:p w14:paraId="74321E9E" w14:textId="77777777" w:rsidR="00FA7EBF" w:rsidRPr="007939DD" w:rsidRDefault="00FA7EBF" w:rsidP="006944B3">
            <w:pPr>
              <w:pStyle w:val="ARfintablecolheadright"/>
              <w:ind w:right="0"/>
              <w:rPr>
                <w:sz w:val="14"/>
                <w:szCs w:val="14"/>
              </w:rPr>
            </w:pPr>
            <w:r w:rsidRPr="007939DD">
              <w:rPr>
                <w:sz w:val="14"/>
                <w:szCs w:val="14"/>
              </w:rPr>
              <w:t>3</w:t>
            </w:r>
          </w:p>
          <w:p w14:paraId="41CD87B0" w14:textId="77777777" w:rsidR="00FA7EBF" w:rsidRPr="007939DD" w:rsidRDefault="00FA7EBF" w:rsidP="006944B3">
            <w:pPr>
              <w:pStyle w:val="ARfintablecolheadright"/>
              <w:ind w:right="0"/>
              <w:rPr>
                <w:sz w:val="14"/>
                <w:szCs w:val="14"/>
              </w:rPr>
            </w:pPr>
            <w:r w:rsidRPr="007939DD">
              <w:rPr>
                <w:sz w:val="14"/>
                <w:szCs w:val="14"/>
              </w:rPr>
              <w:t>$M</w:t>
            </w:r>
          </w:p>
        </w:tc>
        <w:tc>
          <w:tcPr>
            <w:tcW w:w="641" w:type="dxa"/>
            <w:vAlign w:val="bottom"/>
          </w:tcPr>
          <w:p w14:paraId="04DB412F" w14:textId="77777777" w:rsidR="00FA7EBF" w:rsidRPr="007939DD" w:rsidRDefault="00FA7EBF" w:rsidP="006944B3">
            <w:pPr>
              <w:pStyle w:val="ARfintablecolheadright"/>
              <w:ind w:right="0"/>
              <w:rPr>
                <w:sz w:val="14"/>
                <w:szCs w:val="14"/>
              </w:rPr>
            </w:pPr>
            <w:r w:rsidRPr="007939DD">
              <w:rPr>
                <w:sz w:val="14"/>
                <w:szCs w:val="14"/>
              </w:rPr>
              <w:t>4</w:t>
            </w:r>
          </w:p>
          <w:p w14:paraId="6A605E2C" w14:textId="77777777" w:rsidR="00FA7EBF" w:rsidRPr="007939DD" w:rsidRDefault="00FA7EBF" w:rsidP="006944B3">
            <w:pPr>
              <w:pStyle w:val="ARfintablecolheadright"/>
              <w:ind w:right="0"/>
              <w:rPr>
                <w:sz w:val="14"/>
                <w:szCs w:val="14"/>
              </w:rPr>
            </w:pPr>
            <w:r w:rsidRPr="007939DD">
              <w:rPr>
                <w:sz w:val="14"/>
                <w:szCs w:val="14"/>
              </w:rPr>
              <w:t>$M</w:t>
            </w:r>
          </w:p>
        </w:tc>
        <w:tc>
          <w:tcPr>
            <w:tcW w:w="641" w:type="dxa"/>
            <w:vAlign w:val="bottom"/>
          </w:tcPr>
          <w:p w14:paraId="0E099D5F" w14:textId="77777777" w:rsidR="00FA7EBF" w:rsidRPr="007939DD" w:rsidRDefault="00FA7EBF" w:rsidP="006944B3">
            <w:pPr>
              <w:pStyle w:val="ARfintablecolheadright"/>
              <w:ind w:right="0"/>
              <w:rPr>
                <w:sz w:val="14"/>
                <w:szCs w:val="14"/>
              </w:rPr>
            </w:pPr>
            <w:r w:rsidRPr="007939DD">
              <w:rPr>
                <w:sz w:val="14"/>
                <w:szCs w:val="14"/>
              </w:rPr>
              <w:t>5</w:t>
            </w:r>
          </w:p>
          <w:p w14:paraId="21E701C2" w14:textId="77777777" w:rsidR="00FA7EBF" w:rsidRPr="007939DD" w:rsidRDefault="00FA7EBF" w:rsidP="006944B3">
            <w:pPr>
              <w:pStyle w:val="ARfintablecolheadright"/>
              <w:ind w:right="0"/>
              <w:rPr>
                <w:sz w:val="14"/>
                <w:szCs w:val="14"/>
              </w:rPr>
            </w:pPr>
            <w:r w:rsidRPr="007939DD">
              <w:rPr>
                <w:sz w:val="14"/>
                <w:szCs w:val="14"/>
              </w:rPr>
              <w:t>$M</w:t>
            </w:r>
          </w:p>
        </w:tc>
        <w:tc>
          <w:tcPr>
            <w:tcW w:w="641" w:type="dxa"/>
            <w:vAlign w:val="bottom"/>
          </w:tcPr>
          <w:p w14:paraId="363B2474" w14:textId="77777777" w:rsidR="00FA7EBF" w:rsidRPr="007939DD" w:rsidRDefault="00FA7EBF" w:rsidP="006944B3">
            <w:pPr>
              <w:pStyle w:val="ARfintablecolheadright"/>
              <w:ind w:right="0"/>
              <w:rPr>
                <w:sz w:val="14"/>
                <w:szCs w:val="14"/>
              </w:rPr>
            </w:pPr>
            <w:r w:rsidRPr="007939DD">
              <w:rPr>
                <w:sz w:val="14"/>
                <w:szCs w:val="14"/>
              </w:rPr>
              <w:t>6</w:t>
            </w:r>
          </w:p>
          <w:p w14:paraId="15F239BB" w14:textId="77777777" w:rsidR="00FA7EBF" w:rsidRPr="007939DD" w:rsidRDefault="00FA7EBF" w:rsidP="006944B3">
            <w:pPr>
              <w:pStyle w:val="ARfintablecolheadright"/>
              <w:ind w:right="0"/>
              <w:rPr>
                <w:sz w:val="14"/>
                <w:szCs w:val="14"/>
              </w:rPr>
            </w:pPr>
            <w:r w:rsidRPr="007939DD">
              <w:rPr>
                <w:sz w:val="14"/>
                <w:szCs w:val="14"/>
              </w:rPr>
              <w:t>$M</w:t>
            </w:r>
          </w:p>
        </w:tc>
        <w:tc>
          <w:tcPr>
            <w:tcW w:w="641" w:type="dxa"/>
            <w:vAlign w:val="bottom"/>
          </w:tcPr>
          <w:p w14:paraId="089D6845" w14:textId="77777777" w:rsidR="00FA7EBF" w:rsidRPr="007939DD" w:rsidRDefault="00FA7EBF" w:rsidP="006944B3">
            <w:pPr>
              <w:pStyle w:val="ARfintablecolheadright"/>
              <w:ind w:right="0"/>
              <w:rPr>
                <w:sz w:val="14"/>
                <w:szCs w:val="14"/>
              </w:rPr>
            </w:pPr>
            <w:r w:rsidRPr="007939DD">
              <w:rPr>
                <w:sz w:val="14"/>
                <w:szCs w:val="14"/>
              </w:rPr>
              <w:t>7</w:t>
            </w:r>
          </w:p>
          <w:p w14:paraId="19B5CE6C" w14:textId="77777777" w:rsidR="00FA7EBF" w:rsidRPr="007939DD" w:rsidRDefault="00FA7EBF" w:rsidP="006944B3">
            <w:pPr>
              <w:pStyle w:val="ARfintablecolheadright"/>
              <w:ind w:right="0"/>
              <w:rPr>
                <w:sz w:val="14"/>
                <w:szCs w:val="14"/>
              </w:rPr>
            </w:pPr>
            <w:r w:rsidRPr="007939DD">
              <w:rPr>
                <w:sz w:val="14"/>
                <w:szCs w:val="14"/>
              </w:rPr>
              <w:t>$M</w:t>
            </w:r>
          </w:p>
        </w:tc>
        <w:tc>
          <w:tcPr>
            <w:tcW w:w="641" w:type="dxa"/>
            <w:vAlign w:val="bottom"/>
          </w:tcPr>
          <w:p w14:paraId="6EBCD747" w14:textId="77777777" w:rsidR="00FA7EBF" w:rsidRPr="007939DD" w:rsidRDefault="00FA7EBF" w:rsidP="006944B3">
            <w:pPr>
              <w:pStyle w:val="ARfintablecolheadright"/>
              <w:ind w:right="0"/>
              <w:rPr>
                <w:sz w:val="14"/>
                <w:szCs w:val="14"/>
              </w:rPr>
            </w:pPr>
            <w:r w:rsidRPr="007939DD">
              <w:rPr>
                <w:sz w:val="14"/>
                <w:szCs w:val="14"/>
              </w:rPr>
              <w:t>8</w:t>
            </w:r>
          </w:p>
          <w:p w14:paraId="5D9BBB06" w14:textId="77777777" w:rsidR="00FA7EBF" w:rsidRPr="007939DD" w:rsidRDefault="00FA7EBF" w:rsidP="006944B3">
            <w:pPr>
              <w:pStyle w:val="ARfintablecolheadright"/>
              <w:ind w:right="0"/>
              <w:rPr>
                <w:sz w:val="14"/>
                <w:szCs w:val="14"/>
              </w:rPr>
            </w:pPr>
            <w:r w:rsidRPr="007939DD">
              <w:rPr>
                <w:sz w:val="14"/>
                <w:szCs w:val="14"/>
              </w:rPr>
              <w:t>$M</w:t>
            </w:r>
          </w:p>
        </w:tc>
        <w:tc>
          <w:tcPr>
            <w:tcW w:w="641" w:type="dxa"/>
            <w:vAlign w:val="bottom"/>
          </w:tcPr>
          <w:p w14:paraId="3A62B550" w14:textId="77777777" w:rsidR="00FA7EBF" w:rsidRPr="007939DD" w:rsidRDefault="00FA7EBF" w:rsidP="006944B3">
            <w:pPr>
              <w:pStyle w:val="ARfintablecolheadright"/>
              <w:ind w:right="0"/>
              <w:rPr>
                <w:sz w:val="14"/>
                <w:szCs w:val="14"/>
              </w:rPr>
            </w:pPr>
            <w:r w:rsidRPr="007939DD">
              <w:rPr>
                <w:sz w:val="14"/>
                <w:szCs w:val="14"/>
              </w:rPr>
              <w:t>9</w:t>
            </w:r>
          </w:p>
          <w:p w14:paraId="77D2999F" w14:textId="77777777" w:rsidR="00FA7EBF" w:rsidRPr="007939DD" w:rsidRDefault="00FA7EBF" w:rsidP="006944B3">
            <w:pPr>
              <w:pStyle w:val="ARfintablecolheadright"/>
              <w:ind w:right="0"/>
              <w:rPr>
                <w:sz w:val="14"/>
                <w:szCs w:val="14"/>
              </w:rPr>
            </w:pPr>
            <w:r w:rsidRPr="007939DD">
              <w:rPr>
                <w:sz w:val="14"/>
                <w:szCs w:val="14"/>
              </w:rPr>
              <w:t>$M</w:t>
            </w:r>
          </w:p>
        </w:tc>
        <w:tc>
          <w:tcPr>
            <w:tcW w:w="641" w:type="dxa"/>
            <w:vAlign w:val="bottom"/>
          </w:tcPr>
          <w:p w14:paraId="655C679D" w14:textId="77777777" w:rsidR="00FA7EBF" w:rsidRPr="007939DD" w:rsidRDefault="00FA7EBF" w:rsidP="006944B3">
            <w:pPr>
              <w:pStyle w:val="ARfintablecolheadright"/>
              <w:ind w:right="0"/>
              <w:rPr>
                <w:sz w:val="14"/>
                <w:szCs w:val="14"/>
              </w:rPr>
            </w:pPr>
            <w:r w:rsidRPr="007939DD">
              <w:rPr>
                <w:sz w:val="14"/>
                <w:szCs w:val="14"/>
              </w:rPr>
              <w:t>10</w:t>
            </w:r>
          </w:p>
          <w:p w14:paraId="24FFDFCF" w14:textId="77777777" w:rsidR="00FA7EBF" w:rsidRPr="007939DD" w:rsidRDefault="00FA7EBF" w:rsidP="006944B3">
            <w:pPr>
              <w:pStyle w:val="ARfintablecolheadright"/>
              <w:ind w:right="0"/>
              <w:rPr>
                <w:sz w:val="14"/>
                <w:szCs w:val="14"/>
              </w:rPr>
            </w:pPr>
            <w:r w:rsidRPr="007939DD">
              <w:rPr>
                <w:sz w:val="14"/>
                <w:szCs w:val="14"/>
              </w:rPr>
              <w:t>$M</w:t>
            </w:r>
          </w:p>
        </w:tc>
        <w:tc>
          <w:tcPr>
            <w:tcW w:w="641" w:type="dxa"/>
            <w:vAlign w:val="bottom"/>
          </w:tcPr>
          <w:p w14:paraId="0739BFA6" w14:textId="77777777" w:rsidR="00FA7EBF" w:rsidRPr="007939DD" w:rsidRDefault="00FA7EBF" w:rsidP="006944B3">
            <w:pPr>
              <w:pStyle w:val="ARfintablecolheadright"/>
              <w:ind w:right="0"/>
              <w:rPr>
                <w:sz w:val="14"/>
                <w:szCs w:val="14"/>
              </w:rPr>
            </w:pPr>
            <w:r w:rsidRPr="007939DD">
              <w:rPr>
                <w:sz w:val="14"/>
                <w:szCs w:val="14"/>
              </w:rPr>
              <w:t>11</w:t>
            </w:r>
          </w:p>
          <w:p w14:paraId="4D7A06AA" w14:textId="77777777" w:rsidR="00FA7EBF" w:rsidRPr="007939DD" w:rsidRDefault="00FA7EBF" w:rsidP="006944B3">
            <w:pPr>
              <w:pStyle w:val="ARfintablecolheadright"/>
              <w:ind w:right="0"/>
              <w:rPr>
                <w:sz w:val="14"/>
                <w:szCs w:val="14"/>
              </w:rPr>
            </w:pPr>
            <w:r w:rsidRPr="007939DD">
              <w:rPr>
                <w:sz w:val="14"/>
                <w:szCs w:val="14"/>
              </w:rPr>
              <w:t>$M</w:t>
            </w:r>
          </w:p>
        </w:tc>
        <w:tc>
          <w:tcPr>
            <w:tcW w:w="641" w:type="dxa"/>
            <w:vAlign w:val="bottom"/>
          </w:tcPr>
          <w:p w14:paraId="5D5E8CE9" w14:textId="77777777" w:rsidR="00FA7EBF" w:rsidRPr="007939DD" w:rsidRDefault="00FA7EBF" w:rsidP="006944B3">
            <w:pPr>
              <w:pStyle w:val="ARfintablecolheadright"/>
              <w:ind w:right="0"/>
              <w:rPr>
                <w:sz w:val="14"/>
                <w:szCs w:val="14"/>
              </w:rPr>
            </w:pPr>
            <w:r w:rsidRPr="007939DD">
              <w:rPr>
                <w:sz w:val="14"/>
                <w:szCs w:val="14"/>
              </w:rPr>
              <w:t>12</w:t>
            </w:r>
          </w:p>
          <w:p w14:paraId="0F50A8BB" w14:textId="77777777" w:rsidR="00FA7EBF" w:rsidRPr="007939DD" w:rsidRDefault="00FA7EBF" w:rsidP="006944B3">
            <w:pPr>
              <w:pStyle w:val="ARfintablecolheadright"/>
              <w:ind w:right="0"/>
              <w:rPr>
                <w:sz w:val="14"/>
                <w:szCs w:val="14"/>
              </w:rPr>
            </w:pPr>
            <w:r w:rsidRPr="007939DD">
              <w:rPr>
                <w:sz w:val="14"/>
                <w:szCs w:val="14"/>
              </w:rPr>
              <w:t>$M</w:t>
            </w:r>
          </w:p>
        </w:tc>
        <w:tc>
          <w:tcPr>
            <w:tcW w:w="641" w:type="dxa"/>
            <w:vAlign w:val="bottom"/>
          </w:tcPr>
          <w:p w14:paraId="2465B87F" w14:textId="77777777" w:rsidR="00FA7EBF" w:rsidRPr="007939DD" w:rsidRDefault="00FA7EBF" w:rsidP="006944B3">
            <w:pPr>
              <w:pStyle w:val="ARfintablecolheadright"/>
              <w:ind w:right="0"/>
              <w:rPr>
                <w:sz w:val="14"/>
                <w:szCs w:val="14"/>
              </w:rPr>
            </w:pPr>
            <w:r w:rsidRPr="007939DD">
              <w:rPr>
                <w:sz w:val="14"/>
                <w:szCs w:val="14"/>
              </w:rPr>
              <w:t>13</w:t>
            </w:r>
          </w:p>
          <w:p w14:paraId="6D639A34" w14:textId="77777777" w:rsidR="00FA7EBF" w:rsidRPr="007939DD" w:rsidRDefault="00FA7EBF" w:rsidP="006944B3">
            <w:pPr>
              <w:pStyle w:val="ARfintablecolheadright"/>
              <w:ind w:right="0"/>
              <w:rPr>
                <w:sz w:val="14"/>
                <w:szCs w:val="14"/>
              </w:rPr>
            </w:pPr>
            <w:r w:rsidRPr="007939DD">
              <w:rPr>
                <w:sz w:val="14"/>
                <w:szCs w:val="14"/>
              </w:rPr>
              <w:t>$M</w:t>
            </w:r>
          </w:p>
        </w:tc>
        <w:tc>
          <w:tcPr>
            <w:tcW w:w="641" w:type="dxa"/>
            <w:vAlign w:val="bottom"/>
          </w:tcPr>
          <w:p w14:paraId="211FB454" w14:textId="77777777" w:rsidR="00FA7EBF" w:rsidRPr="007939DD" w:rsidRDefault="00FA7EBF" w:rsidP="006944B3">
            <w:pPr>
              <w:pStyle w:val="ARfintablecolheadright"/>
              <w:ind w:right="0"/>
              <w:rPr>
                <w:sz w:val="14"/>
                <w:szCs w:val="14"/>
              </w:rPr>
            </w:pPr>
            <w:r w:rsidRPr="007939DD">
              <w:rPr>
                <w:sz w:val="14"/>
                <w:szCs w:val="14"/>
              </w:rPr>
              <w:t>14</w:t>
            </w:r>
          </w:p>
          <w:p w14:paraId="5855C2AC" w14:textId="77777777" w:rsidR="00FA7EBF" w:rsidRPr="007939DD" w:rsidRDefault="00FA7EBF" w:rsidP="006944B3">
            <w:pPr>
              <w:pStyle w:val="ARfintablecolheadright"/>
              <w:ind w:right="0"/>
              <w:rPr>
                <w:sz w:val="14"/>
                <w:szCs w:val="14"/>
              </w:rPr>
            </w:pPr>
            <w:r w:rsidRPr="007939DD">
              <w:rPr>
                <w:sz w:val="14"/>
                <w:szCs w:val="14"/>
              </w:rPr>
              <w:t>$M</w:t>
            </w:r>
          </w:p>
        </w:tc>
        <w:tc>
          <w:tcPr>
            <w:tcW w:w="641" w:type="dxa"/>
            <w:vAlign w:val="bottom"/>
          </w:tcPr>
          <w:p w14:paraId="6D1A1740" w14:textId="77777777" w:rsidR="00FA7EBF" w:rsidRPr="007939DD" w:rsidRDefault="00FA7EBF" w:rsidP="006944B3">
            <w:pPr>
              <w:pStyle w:val="ARfintablecolheadright"/>
              <w:ind w:right="0"/>
              <w:rPr>
                <w:sz w:val="14"/>
                <w:szCs w:val="14"/>
              </w:rPr>
            </w:pPr>
            <w:r w:rsidRPr="007939DD">
              <w:rPr>
                <w:sz w:val="14"/>
                <w:szCs w:val="14"/>
              </w:rPr>
              <w:t>15</w:t>
            </w:r>
          </w:p>
          <w:p w14:paraId="1CFAD921" w14:textId="77777777" w:rsidR="00FA7EBF" w:rsidRPr="007939DD" w:rsidRDefault="00FA7EBF" w:rsidP="006944B3">
            <w:pPr>
              <w:pStyle w:val="ARfintablecolheadright"/>
              <w:ind w:right="0"/>
              <w:rPr>
                <w:sz w:val="14"/>
                <w:szCs w:val="14"/>
              </w:rPr>
            </w:pPr>
            <w:r w:rsidRPr="007939DD">
              <w:rPr>
                <w:sz w:val="14"/>
                <w:szCs w:val="14"/>
              </w:rPr>
              <w:t>$M</w:t>
            </w:r>
          </w:p>
        </w:tc>
        <w:tc>
          <w:tcPr>
            <w:tcW w:w="641" w:type="dxa"/>
            <w:vAlign w:val="bottom"/>
          </w:tcPr>
          <w:p w14:paraId="5E688999" w14:textId="77777777" w:rsidR="00FA7EBF" w:rsidRPr="007939DD" w:rsidRDefault="00FA7EBF" w:rsidP="006944B3">
            <w:pPr>
              <w:pStyle w:val="ARfintablecolheadright"/>
              <w:ind w:right="0"/>
              <w:rPr>
                <w:sz w:val="14"/>
                <w:szCs w:val="14"/>
              </w:rPr>
            </w:pPr>
            <w:r w:rsidRPr="007939DD">
              <w:rPr>
                <w:sz w:val="14"/>
                <w:szCs w:val="14"/>
              </w:rPr>
              <w:t>16</w:t>
            </w:r>
          </w:p>
          <w:p w14:paraId="6B739EC7" w14:textId="77777777" w:rsidR="00FA7EBF" w:rsidRPr="007939DD" w:rsidRDefault="00FA7EBF" w:rsidP="006944B3">
            <w:pPr>
              <w:pStyle w:val="ARfintablecolheadright"/>
              <w:ind w:right="0"/>
              <w:rPr>
                <w:sz w:val="14"/>
                <w:szCs w:val="14"/>
              </w:rPr>
            </w:pPr>
            <w:r w:rsidRPr="007939DD">
              <w:rPr>
                <w:sz w:val="14"/>
                <w:szCs w:val="14"/>
              </w:rPr>
              <w:t>$M</w:t>
            </w:r>
          </w:p>
        </w:tc>
        <w:tc>
          <w:tcPr>
            <w:tcW w:w="839" w:type="dxa"/>
            <w:vAlign w:val="bottom"/>
          </w:tcPr>
          <w:p w14:paraId="4D9F1D39" w14:textId="77777777" w:rsidR="00FA7EBF" w:rsidRPr="007939DD" w:rsidRDefault="00FA7EBF" w:rsidP="006944B3">
            <w:pPr>
              <w:pStyle w:val="ARfintablecolheadright"/>
              <w:ind w:right="0"/>
              <w:rPr>
                <w:sz w:val="14"/>
                <w:szCs w:val="14"/>
              </w:rPr>
            </w:pPr>
            <w:r w:rsidRPr="007939DD">
              <w:rPr>
                <w:sz w:val="14"/>
                <w:szCs w:val="14"/>
              </w:rPr>
              <w:t>Total</w:t>
            </w:r>
          </w:p>
          <w:p w14:paraId="6C30E0F5" w14:textId="77777777" w:rsidR="00FA7EBF" w:rsidRPr="007939DD" w:rsidRDefault="00FA7EBF" w:rsidP="006944B3">
            <w:pPr>
              <w:pStyle w:val="ARfintablecolheadright"/>
              <w:ind w:right="0"/>
              <w:rPr>
                <w:sz w:val="14"/>
                <w:szCs w:val="14"/>
              </w:rPr>
            </w:pPr>
            <w:r w:rsidRPr="007939DD">
              <w:rPr>
                <w:sz w:val="14"/>
                <w:szCs w:val="14"/>
              </w:rPr>
              <w:t>$M</w:t>
            </w:r>
          </w:p>
        </w:tc>
      </w:tr>
      <w:tr w:rsidR="00FA7EBF" w:rsidRPr="007939DD" w14:paraId="5D0C5D02" w14:textId="77777777" w:rsidTr="007B207C">
        <w:trPr>
          <w:cantSplit/>
        </w:trPr>
        <w:tc>
          <w:tcPr>
            <w:tcW w:w="14459" w:type="dxa"/>
            <w:gridSpan w:val="18"/>
            <w:tcBorders>
              <w:bottom w:val="single" w:sz="4" w:space="0" w:color="A6A6A6" w:themeColor="background1" w:themeShade="A6"/>
            </w:tcBorders>
          </w:tcPr>
          <w:p w14:paraId="00DDEE51" w14:textId="77777777" w:rsidR="00FA7EBF" w:rsidRPr="004E3D18" w:rsidRDefault="00FA7EBF" w:rsidP="007B207C">
            <w:pPr>
              <w:pStyle w:val="ARfintablebodybold"/>
              <w:ind w:right="57"/>
              <w:rPr>
                <w:lang w:eastAsia="en-AU"/>
              </w:rPr>
            </w:pPr>
            <w:r w:rsidRPr="004E3D18">
              <w:t>Administered income from transactions</w:t>
            </w:r>
          </w:p>
        </w:tc>
      </w:tr>
      <w:tr w:rsidR="00FA7EBF" w:rsidRPr="007939DD" w14:paraId="38AB78BB" w14:textId="77777777" w:rsidTr="007B207C">
        <w:trPr>
          <w:cantSplit/>
        </w:trPr>
        <w:tc>
          <w:tcPr>
            <w:tcW w:w="3208" w:type="dxa"/>
            <w:tcBorders>
              <w:top w:val="single" w:sz="4" w:space="0" w:color="A6A6A6" w:themeColor="background1" w:themeShade="A6"/>
              <w:bottom w:val="single" w:sz="4" w:space="0" w:color="A6A6A6" w:themeColor="background1" w:themeShade="A6"/>
            </w:tcBorders>
          </w:tcPr>
          <w:p w14:paraId="3E590FC9" w14:textId="77777777" w:rsidR="00FA7EBF" w:rsidRPr="006944B3" w:rsidRDefault="00FA7EBF" w:rsidP="007B207C">
            <w:pPr>
              <w:pStyle w:val="ARfintablebody"/>
              <w:rPr>
                <w:sz w:val="15"/>
                <w:szCs w:val="15"/>
                <w:lang w:eastAsia="en-AU"/>
              </w:rPr>
            </w:pPr>
            <w:r w:rsidRPr="006944B3">
              <w:rPr>
                <w:sz w:val="15"/>
                <w:szCs w:val="15"/>
              </w:rPr>
              <w:t>Commonwealth contribution to the national health reform</w:t>
            </w:r>
          </w:p>
        </w:tc>
        <w:tc>
          <w:tcPr>
            <w:tcW w:w="796" w:type="dxa"/>
            <w:tcBorders>
              <w:top w:val="single" w:sz="4" w:space="0" w:color="A6A6A6" w:themeColor="background1" w:themeShade="A6"/>
              <w:bottom w:val="single" w:sz="4" w:space="0" w:color="A6A6A6" w:themeColor="background1" w:themeShade="A6"/>
            </w:tcBorders>
          </w:tcPr>
          <w:p w14:paraId="79BF7333" w14:textId="77777777" w:rsidR="00FA7EBF" w:rsidRPr="006944B3" w:rsidRDefault="00FA7EBF" w:rsidP="006944B3">
            <w:pPr>
              <w:pStyle w:val="ARfintablebodyright"/>
              <w:ind w:right="0"/>
              <w:rPr>
                <w:sz w:val="15"/>
                <w:szCs w:val="15"/>
                <w:lang w:eastAsia="en-AU"/>
              </w:rPr>
            </w:pPr>
            <w:r w:rsidRPr="006944B3">
              <w:rPr>
                <w:sz w:val="15"/>
                <w:szCs w:val="15"/>
              </w:rPr>
              <w:t>4,337.5</w:t>
            </w:r>
          </w:p>
        </w:tc>
        <w:tc>
          <w:tcPr>
            <w:tcW w:w="642" w:type="dxa"/>
            <w:tcBorders>
              <w:top w:val="single" w:sz="4" w:space="0" w:color="A6A6A6" w:themeColor="background1" w:themeShade="A6"/>
              <w:bottom w:val="single" w:sz="4" w:space="0" w:color="A6A6A6" w:themeColor="background1" w:themeShade="A6"/>
            </w:tcBorders>
          </w:tcPr>
          <w:p w14:paraId="40B35BEC" w14:textId="77777777" w:rsidR="00FA7EBF" w:rsidRPr="006944B3" w:rsidRDefault="00FA7EBF" w:rsidP="006944B3">
            <w:pPr>
              <w:pStyle w:val="ARfintablebodyright"/>
              <w:ind w:right="0"/>
              <w:rPr>
                <w:sz w:val="15"/>
                <w:szCs w:val="15"/>
                <w:lang w:eastAsia="en-AU"/>
              </w:rPr>
            </w:pPr>
            <w:r w:rsidRPr="006944B3">
              <w:rPr>
                <w:sz w:val="15"/>
                <w:szCs w:val="15"/>
                <w:lang w:eastAsia="en-AU"/>
              </w:rPr>
              <w:t>–</w:t>
            </w:r>
          </w:p>
        </w:tc>
        <w:tc>
          <w:tcPr>
            <w:tcW w:w="641" w:type="dxa"/>
            <w:tcBorders>
              <w:top w:val="single" w:sz="4" w:space="0" w:color="A6A6A6" w:themeColor="background1" w:themeShade="A6"/>
              <w:bottom w:val="single" w:sz="4" w:space="0" w:color="A6A6A6" w:themeColor="background1" w:themeShade="A6"/>
            </w:tcBorders>
          </w:tcPr>
          <w:p w14:paraId="3BDA31E5" w14:textId="77777777" w:rsidR="00FA7EBF" w:rsidRPr="006944B3" w:rsidRDefault="00FA7EBF" w:rsidP="006944B3">
            <w:pPr>
              <w:pStyle w:val="ARfintablebodyright"/>
              <w:ind w:right="0"/>
              <w:rPr>
                <w:sz w:val="15"/>
                <w:szCs w:val="15"/>
                <w:lang w:eastAsia="en-AU"/>
              </w:rPr>
            </w:pPr>
            <w:r w:rsidRPr="006944B3">
              <w:rPr>
                <w:sz w:val="15"/>
                <w:szCs w:val="15"/>
              </w:rPr>
              <w:t>561.3</w:t>
            </w:r>
          </w:p>
        </w:tc>
        <w:tc>
          <w:tcPr>
            <w:tcW w:w="641" w:type="dxa"/>
            <w:tcBorders>
              <w:top w:val="single" w:sz="4" w:space="0" w:color="A6A6A6" w:themeColor="background1" w:themeShade="A6"/>
              <w:bottom w:val="single" w:sz="4" w:space="0" w:color="A6A6A6" w:themeColor="background1" w:themeShade="A6"/>
            </w:tcBorders>
          </w:tcPr>
          <w:p w14:paraId="3CB8EAC5"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D135379"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975FC83" w14:textId="77777777" w:rsidR="00FA7EBF" w:rsidRPr="006944B3" w:rsidRDefault="00FA7EBF" w:rsidP="006944B3">
            <w:pPr>
              <w:pStyle w:val="ARfintablebodyright"/>
              <w:ind w:right="0"/>
              <w:rPr>
                <w:sz w:val="15"/>
                <w:szCs w:val="15"/>
                <w:lang w:eastAsia="en-AU"/>
              </w:rPr>
            </w:pPr>
            <w:r w:rsidRPr="006944B3">
              <w:rPr>
                <w:sz w:val="15"/>
                <w:szCs w:val="15"/>
              </w:rPr>
              <w:t>92.1</w:t>
            </w:r>
          </w:p>
        </w:tc>
        <w:tc>
          <w:tcPr>
            <w:tcW w:w="641" w:type="dxa"/>
            <w:tcBorders>
              <w:top w:val="single" w:sz="4" w:space="0" w:color="A6A6A6" w:themeColor="background1" w:themeShade="A6"/>
              <w:bottom w:val="single" w:sz="4" w:space="0" w:color="A6A6A6" w:themeColor="background1" w:themeShade="A6"/>
            </w:tcBorders>
          </w:tcPr>
          <w:p w14:paraId="0E64DFDF" w14:textId="77777777" w:rsidR="00FA7EBF" w:rsidRPr="006944B3" w:rsidRDefault="00FA7EBF" w:rsidP="006944B3">
            <w:pPr>
              <w:pStyle w:val="ARfintablebodyright"/>
              <w:ind w:right="0"/>
              <w:rPr>
                <w:sz w:val="15"/>
                <w:szCs w:val="15"/>
                <w:lang w:eastAsia="en-AU"/>
              </w:rPr>
            </w:pPr>
            <w:r w:rsidRPr="006944B3">
              <w:rPr>
                <w:sz w:val="15"/>
                <w:szCs w:val="15"/>
              </w:rPr>
              <w:t>105.3</w:t>
            </w:r>
          </w:p>
        </w:tc>
        <w:tc>
          <w:tcPr>
            <w:tcW w:w="641" w:type="dxa"/>
            <w:tcBorders>
              <w:top w:val="single" w:sz="4" w:space="0" w:color="A6A6A6" w:themeColor="background1" w:themeShade="A6"/>
              <w:bottom w:val="single" w:sz="4" w:space="0" w:color="A6A6A6" w:themeColor="background1" w:themeShade="A6"/>
            </w:tcBorders>
          </w:tcPr>
          <w:p w14:paraId="4EED1CEB"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97B31F8"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638E5B1"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4FD06EAC"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A329F3E"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5313D06F"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A301408"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17D4B59"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EC08A5F"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839" w:type="dxa"/>
            <w:tcBorders>
              <w:top w:val="single" w:sz="4" w:space="0" w:color="A6A6A6" w:themeColor="background1" w:themeShade="A6"/>
              <w:bottom w:val="single" w:sz="4" w:space="0" w:color="A6A6A6" w:themeColor="background1" w:themeShade="A6"/>
            </w:tcBorders>
          </w:tcPr>
          <w:p w14:paraId="5B892DB6" w14:textId="77777777" w:rsidR="00FA7EBF" w:rsidRPr="006944B3" w:rsidRDefault="00FA7EBF" w:rsidP="006944B3">
            <w:pPr>
              <w:pStyle w:val="ARfintablebodyright"/>
              <w:ind w:right="0"/>
              <w:rPr>
                <w:sz w:val="15"/>
                <w:szCs w:val="15"/>
                <w:lang w:eastAsia="en-AU"/>
              </w:rPr>
            </w:pPr>
            <w:r w:rsidRPr="006944B3">
              <w:rPr>
                <w:sz w:val="15"/>
                <w:szCs w:val="15"/>
              </w:rPr>
              <w:t>5,096.4</w:t>
            </w:r>
          </w:p>
        </w:tc>
      </w:tr>
      <w:tr w:rsidR="00FA7EBF" w:rsidRPr="007939DD" w14:paraId="2D0E28D8" w14:textId="77777777" w:rsidTr="007B207C">
        <w:trPr>
          <w:cantSplit/>
        </w:trPr>
        <w:tc>
          <w:tcPr>
            <w:tcW w:w="3208" w:type="dxa"/>
            <w:tcBorders>
              <w:top w:val="single" w:sz="4" w:space="0" w:color="A6A6A6" w:themeColor="background1" w:themeShade="A6"/>
              <w:bottom w:val="single" w:sz="4" w:space="0" w:color="A6A6A6" w:themeColor="background1" w:themeShade="A6"/>
            </w:tcBorders>
          </w:tcPr>
          <w:p w14:paraId="25438111" w14:textId="77777777" w:rsidR="00FA7EBF" w:rsidRPr="006944B3" w:rsidRDefault="00FA7EBF" w:rsidP="007B207C">
            <w:pPr>
              <w:pStyle w:val="ARfintablebody"/>
              <w:rPr>
                <w:sz w:val="15"/>
                <w:szCs w:val="15"/>
                <w:lang w:eastAsia="en-AU"/>
              </w:rPr>
            </w:pPr>
            <w:r w:rsidRPr="006944B3">
              <w:rPr>
                <w:sz w:val="15"/>
                <w:szCs w:val="15"/>
              </w:rPr>
              <w:t>State contribution to the national health reform</w:t>
            </w:r>
          </w:p>
        </w:tc>
        <w:tc>
          <w:tcPr>
            <w:tcW w:w="796" w:type="dxa"/>
            <w:tcBorders>
              <w:top w:val="single" w:sz="4" w:space="0" w:color="A6A6A6" w:themeColor="background1" w:themeShade="A6"/>
              <w:bottom w:val="single" w:sz="4" w:space="0" w:color="A6A6A6" w:themeColor="background1" w:themeShade="A6"/>
            </w:tcBorders>
          </w:tcPr>
          <w:p w14:paraId="29BB2891" w14:textId="77777777" w:rsidR="00FA7EBF" w:rsidRPr="006944B3" w:rsidRDefault="00FA7EBF" w:rsidP="006944B3">
            <w:pPr>
              <w:pStyle w:val="ARfintablebodyright"/>
              <w:ind w:right="0"/>
              <w:rPr>
                <w:sz w:val="15"/>
                <w:szCs w:val="15"/>
                <w:lang w:eastAsia="en-AU"/>
              </w:rPr>
            </w:pPr>
            <w:r w:rsidRPr="006944B3">
              <w:rPr>
                <w:sz w:val="15"/>
                <w:szCs w:val="15"/>
              </w:rPr>
              <w:t>5,157.2</w:t>
            </w:r>
          </w:p>
        </w:tc>
        <w:tc>
          <w:tcPr>
            <w:tcW w:w="642" w:type="dxa"/>
            <w:tcBorders>
              <w:top w:val="single" w:sz="4" w:space="0" w:color="A6A6A6" w:themeColor="background1" w:themeShade="A6"/>
              <w:bottom w:val="single" w:sz="4" w:space="0" w:color="A6A6A6" w:themeColor="background1" w:themeShade="A6"/>
            </w:tcBorders>
          </w:tcPr>
          <w:p w14:paraId="0C100FC8"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5F3A1B9C" w14:textId="77777777" w:rsidR="00FA7EBF" w:rsidRPr="006944B3" w:rsidRDefault="00FA7EBF" w:rsidP="006944B3">
            <w:pPr>
              <w:pStyle w:val="ARfintablebodyright"/>
              <w:ind w:right="0"/>
              <w:rPr>
                <w:sz w:val="15"/>
                <w:szCs w:val="15"/>
                <w:lang w:eastAsia="en-AU"/>
              </w:rPr>
            </w:pPr>
            <w:r w:rsidRPr="006944B3">
              <w:rPr>
                <w:sz w:val="15"/>
                <w:szCs w:val="15"/>
              </w:rPr>
              <w:t>201.3</w:t>
            </w:r>
          </w:p>
        </w:tc>
        <w:tc>
          <w:tcPr>
            <w:tcW w:w="641" w:type="dxa"/>
            <w:tcBorders>
              <w:top w:val="single" w:sz="4" w:space="0" w:color="A6A6A6" w:themeColor="background1" w:themeShade="A6"/>
              <w:bottom w:val="single" w:sz="4" w:space="0" w:color="A6A6A6" w:themeColor="background1" w:themeShade="A6"/>
            </w:tcBorders>
          </w:tcPr>
          <w:p w14:paraId="5342131A"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8E3A7B6"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40A5ADBC"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F06DD1D"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55D76E1"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5DA66B4E"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546F79CF"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53A0D84F"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5C972DEF"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EC9FE7F"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6350B5B"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C0164E6"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C887FEE"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839" w:type="dxa"/>
            <w:tcBorders>
              <w:top w:val="single" w:sz="4" w:space="0" w:color="A6A6A6" w:themeColor="background1" w:themeShade="A6"/>
              <w:bottom w:val="single" w:sz="4" w:space="0" w:color="A6A6A6" w:themeColor="background1" w:themeShade="A6"/>
            </w:tcBorders>
          </w:tcPr>
          <w:p w14:paraId="0BA0A608" w14:textId="77777777" w:rsidR="00FA7EBF" w:rsidRPr="006944B3" w:rsidRDefault="00FA7EBF" w:rsidP="006944B3">
            <w:pPr>
              <w:pStyle w:val="ARfintablebodyright"/>
              <w:ind w:right="0"/>
              <w:rPr>
                <w:sz w:val="15"/>
                <w:szCs w:val="15"/>
                <w:lang w:eastAsia="en-AU"/>
              </w:rPr>
            </w:pPr>
            <w:r w:rsidRPr="006944B3">
              <w:rPr>
                <w:sz w:val="15"/>
                <w:szCs w:val="15"/>
              </w:rPr>
              <w:t>5,358.4</w:t>
            </w:r>
          </w:p>
        </w:tc>
      </w:tr>
      <w:tr w:rsidR="00FA7EBF" w:rsidRPr="007939DD" w14:paraId="5C618A40" w14:textId="77777777" w:rsidTr="007B207C">
        <w:trPr>
          <w:cantSplit/>
        </w:trPr>
        <w:tc>
          <w:tcPr>
            <w:tcW w:w="3208" w:type="dxa"/>
            <w:tcBorders>
              <w:top w:val="single" w:sz="4" w:space="0" w:color="A6A6A6" w:themeColor="background1" w:themeShade="A6"/>
              <w:bottom w:val="single" w:sz="4" w:space="0" w:color="A6A6A6" w:themeColor="background1" w:themeShade="A6"/>
            </w:tcBorders>
          </w:tcPr>
          <w:p w14:paraId="1341B931" w14:textId="77777777" w:rsidR="00FA7EBF" w:rsidRPr="006944B3" w:rsidRDefault="00FA7EBF" w:rsidP="007B207C">
            <w:pPr>
              <w:pStyle w:val="ARfintablebody"/>
              <w:rPr>
                <w:sz w:val="15"/>
                <w:szCs w:val="15"/>
                <w:lang w:eastAsia="en-AU"/>
              </w:rPr>
            </w:pPr>
            <w:r w:rsidRPr="006944B3">
              <w:rPr>
                <w:sz w:val="15"/>
                <w:szCs w:val="15"/>
              </w:rPr>
              <w:t>State contribution to the National Disability Insurance Agency</w:t>
            </w:r>
          </w:p>
        </w:tc>
        <w:tc>
          <w:tcPr>
            <w:tcW w:w="796" w:type="dxa"/>
            <w:tcBorders>
              <w:top w:val="single" w:sz="4" w:space="0" w:color="A6A6A6" w:themeColor="background1" w:themeShade="A6"/>
              <w:bottom w:val="single" w:sz="4" w:space="0" w:color="A6A6A6" w:themeColor="background1" w:themeShade="A6"/>
            </w:tcBorders>
          </w:tcPr>
          <w:p w14:paraId="5B6A54A8"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2" w:type="dxa"/>
            <w:tcBorders>
              <w:top w:val="single" w:sz="4" w:space="0" w:color="A6A6A6" w:themeColor="background1" w:themeShade="A6"/>
              <w:bottom w:val="single" w:sz="4" w:space="0" w:color="A6A6A6" w:themeColor="background1" w:themeShade="A6"/>
            </w:tcBorders>
          </w:tcPr>
          <w:p w14:paraId="193E924A"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07EF1E2"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1122C23"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1342E07"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9D6B15D"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C5F0910"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54EB8134"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9C89249" w14:textId="77777777" w:rsidR="00FA7EBF" w:rsidRPr="006944B3" w:rsidRDefault="00FA7EBF" w:rsidP="006944B3">
            <w:pPr>
              <w:pStyle w:val="ARfintablebodyright"/>
              <w:ind w:right="0"/>
              <w:rPr>
                <w:sz w:val="15"/>
                <w:szCs w:val="15"/>
                <w:lang w:eastAsia="en-AU"/>
              </w:rPr>
            </w:pPr>
            <w:r w:rsidRPr="006944B3">
              <w:rPr>
                <w:sz w:val="15"/>
                <w:szCs w:val="15"/>
              </w:rPr>
              <w:t>909.4</w:t>
            </w:r>
          </w:p>
        </w:tc>
        <w:tc>
          <w:tcPr>
            <w:tcW w:w="641" w:type="dxa"/>
            <w:tcBorders>
              <w:top w:val="single" w:sz="4" w:space="0" w:color="A6A6A6" w:themeColor="background1" w:themeShade="A6"/>
              <w:bottom w:val="single" w:sz="4" w:space="0" w:color="A6A6A6" w:themeColor="background1" w:themeShade="A6"/>
            </w:tcBorders>
          </w:tcPr>
          <w:p w14:paraId="4EA0F806"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057E18A"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6741911"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EF261E9"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3A32573"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4E085B8"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476AEA0"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839" w:type="dxa"/>
            <w:tcBorders>
              <w:top w:val="single" w:sz="4" w:space="0" w:color="A6A6A6" w:themeColor="background1" w:themeShade="A6"/>
              <w:bottom w:val="single" w:sz="4" w:space="0" w:color="A6A6A6" w:themeColor="background1" w:themeShade="A6"/>
            </w:tcBorders>
          </w:tcPr>
          <w:p w14:paraId="5815EE3D" w14:textId="77777777" w:rsidR="00FA7EBF" w:rsidRPr="006944B3" w:rsidRDefault="00FA7EBF" w:rsidP="006944B3">
            <w:pPr>
              <w:pStyle w:val="ARfintablebodyright"/>
              <w:ind w:right="0"/>
              <w:rPr>
                <w:sz w:val="15"/>
                <w:szCs w:val="15"/>
                <w:lang w:eastAsia="en-AU"/>
              </w:rPr>
            </w:pPr>
            <w:r w:rsidRPr="006944B3">
              <w:rPr>
                <w:sz w:val="15"/>
                <w:szCs w:val="15"/>
              </w:rPr>
              <w:t>909.4</w:t>
            </w:r>
          </w:p>
        </w:tc>
      </w:tr>
      <w:tr w:rsidR="00FA7EBF" w:rsidRPr="007939DD" w14:paraId="7298DE0C" w14:textId="77777777" w:rsidTr="007B207C">
        <w:trPr>
          <w:cantSplit/>
        </w:trPr>
        <w:tc>
          <w:tcPr>
            <w:tcW w:w="3208" w:type="dxa"/>
            <w:tcBorders>
              <w:top w:val="single" w:sz="4" w:space="0" w:color="A6A6A6" w:themeColor="background1" w:themeShade="A6"/>
              <w:bottom w:val="single" w:sz="4" w:space="0" w:color="A6A6A6" w:themeColor="background1" w:themeShade="A6"/>
            </w:tcBorders>
          </w:tcPr>
          <w:p w14:paraId="2501AF44" w14:textId="77777777" w:rsidR="00FA7EBF" w:rsidRPr="006944B3" w:rsidRDefault="00FA7EBF" w:rsidP="007B207C">
            <w:pPr>
              <w:pStyle w:val="ARfintablebody"/>
              <w:rPr>
                <w:sz w:val="15"/>
                <w:szCs w:val="15"/>
                <w:lang w:eastAsia="en-AU"/>
              </w:rPr>
            </w:pPr>
            <w:r w:rsidRPr="006944B3">
              <w:rPr>
                <w:sz w:val="15"/>
                <w:szCs w:val="15"/>
              </w:rPr>
              <w:t>Commonwealth grants</w:t>
            </w:r>
          </w:p>
        </w:tc>
        <w:tc>
          <w:tcPr>
            <w:tcW w:w="796" w:type="dxa"/>
            <w:tcBorders>
              <w:top w:val="single" w:sz="4" w:space="0" w:color="A6A6A6" w:themeColor="background1" w:themeShade="A6"/>
              <w:bottom w:val="single" w:sz="4" w:space="0" w:color="A6A6A6" w:themeColor="background1" w:themeShade="A6"/>
            </w:tcBorders>
          </w:tcPr>
          <w:p w14:paraId="4CAD7A66" w14:textId="77777777" w:rsidR="00FA7EBF" w:rsidRPr="006944B3" w:rsidRDefault="00FA7EBF" w:rsidP="006944B3">
            <w:pPr>
              <w:pStyle w:val="ARfintablebodyright"/>
              <w:ind w:right="0"/>
              <w:rPr>
                <w:sz w:val="15"/>
                <w:szCs w:val="15"/>
                <w:lang w:eastAsia="en-AU"/>
              </w:rPr>
            </w:pPr>
            <w:r w:rsidRPr="006944B3">
              <w:rPr>
                <w:sz w:val="15"/>
                <w:szCs w:val="15"/>
              </w:rPr>
              <w:t>10.0</w:t>
            </w:r>
          </w:p>
        </w:tc>
        <w:tc>
          <w:tcPr>
            <w:tcW w:w="642" w:type="dxa"/>
            <w:tcBorders>
              <w:top w:val="single" w:sz="4" w:space="0" w:color="A6A6A6" w:themeColor="background1" w:themeShade="A6"/>
              <w:bottom w:val="single" w:sz="4" w:space="0" w:color="A6A6A6" w:themeColor="background1" w:themeShade="A6"/>
            </w:tcBorders>
          </w:tcPr>
          <w:p w14:paraId="363D8BD3"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229DF49" w14:textId="77777777" w:rsidR="00FA7EBF" w:rsidRPr="006944B3" w:rsidRDefault="00FA7EBF" w:rsidP="006944B3">
            <w:pPr>
              <w:pStyle w:val="ARfintablebodyright"/>
              <w:ind w:right="0"/>
              <w:rPr>
                <w:sz w:val="15"/>
                <w:szCs w:val="15"/>
                <w:lang w:eastAsia="en-AU"/>
              </w:rPr>
            </w:pPr>
            <w:r w:rsidRPr="006944B3">
              <w:rPr>
                <w:sz w:val="15"/>
                <w:szCs w:val="15"/>
              </w:rPr>
              <w:t>1.2</w:t>
            </w:r>
          </w:p>
        </w:tc>
        <w:tc>
          <w:tcPr>
            <w:tcW w:w="641" w:type="dxa"/>
            <w:tcBorders>
              <w:top w:val="single" w:sz="4" w:space="0" w:color="A6A6A6" w:themeColor="background1" w:themeShade="A6"/>
              <w:bottom w:val="single" w:sz="4" w:space="0" w:color="A6A6A6" w:themeColor="background1" w:themeShade="A6"/>
            </w:tcBorders>
          </w:tcPr>
          <w:p w14:paraId="4B67F838" w14:textId="77777777" w:rsidR="00FA7EBF" w:rsidRPr="006944B3" w:rsidRDefault="00FA7EBF" w:rsidP="006944B3">
            <w:pPr>
              <w:pStyle w:val="ARfintablebodyright"/>
              <w:ind w:right="0"/>
              <w:rPr>
                <w:sz w:val="15"/>
                <w:szCs w:val="15"/>
                <w:lang w:eastAsia="en-AU"/>
              </w:rPr>
            </w:pPr>
            <w:r w:rsidRPr="006944B3">
              <w:rPr>
                <w:sz w:val="15"/>
                <w:szCs w:val="15"/>
              </w:rPr>
              <w:t>68.9</w:t>
            </w:r>
          </w:p>
        </w:tc>
        <w:tc>
          <w:tcPr>
            <w:tcW w:w="641" w:type="dxa"/>
            <w:tcBorders>
              <w:top w:val="single" w:sz="4" w:space="0" w:color="A6A6A6" w:themeColor="background1" w:themeShade="A6"/>
              <w:bottom w:val="single" w:sz="4" w:space="0" w:color="A6A6A6" w:themeColor="background1" w:themeShade="A6"/>
            </w:tcBorders>
          </w:tcPr>
          <w:p w14:paraId="6EAA4A31"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5ED2F71"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4741BC6B" w14:textId="77777777" w:rsidR="00FA7EBF" w:rsidRPr="006944B3" w:rsidRDefault="00FA7EBF" w:rsidP="006944B3">
            <w:pPr>
              <w:pStyle w:val="ARfintablebodyright"/>
              <w:ind w:right="0"/>
              <w:rPr>
                <w:sz w:val="15"/>
                <w:szCs w:val="15"/>
                <w:lang w:eastAsia="en-AU"/>
              </w:rPr>
            </w:pPr>
            <w:r w:rsidRPr="006944B3">
              <w:rPr>
                <w:sz w:val="15"/>
                <w:szCs w:val="15"/>
              </w:rPr>
              <w:t>0.1</w:t>
            </w:r>
          </w:p>
        </w:tc>
        <w:tc>
          <w:tcPr>
            <w:tcW w:w="641" w:type="dxa"/>
            <w:tcBorders>
              <w:top w:val="single" w:sz="4" w:space="0" w:color="A6A6A6" w:themeColor="background1" w:themeShade="A6"/>
              <w:bottom w:val="single" w:sz="4" w:space="0" w:color="A6A6A6" w:themeColor="background1" w:themeShade="A6"/>
            </w:tcBorders>
          </w:tcPr>
          <w:p w14:paraId="3FE641D1"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F77CCCF" w14:textId="77777777" w:rsidR="00FA7EBF" w:rsidRPr="006944B3" w:rsidRDefault="00FA7EBF" w:rsidP="006944B3">
            <w:pPr>
              <w:pStyle w:val="ARfintablebodyright"/>
              <w:ind w:right="0"/>
              <w:rPr>
                <w:sz w:val="15"/>
                <w:szCs w:val="15"/>
                <w:lang w:eastAsia="en-AU"/>
              </w:rPr>
            </w:pPr>
            <w:r w:rsidRPr="006944B3">
              <w:rPr>
                <w:sz w:val="15"/>
                <w:szCs w:val="15"/>
              </w:rPr>
              <w:t>4.9</w:t>
            </w:r>
          </w:p>
        </w:tc>
        <w:tc>
          <w:tcPr>
            <w:tcW w:w="641" w:type="dxa"/>
            <w:tcBorders>
              <w:top w:val="single" w:sz="4" w:space="0" w:color="A6A6A6" w:themeColor="background1" w:themeShade="A6"/>
              <w:bottom w:val="single" w:sz="4" w:space="0" w:color="A6A6A6" w:themeColor="background1" w:themeShade="A6"/>
            </w:tcBorders>
          </w:tcPr>
          <w:p w14:paraId="31F911E4" w14:textId="77777777" w:rsidR="00FA7EBF" w:rsidRPr="006944B3" w:rsidRDefault="00FA7EBF" w:rsidP="006944B3">
            <w:pPr>
              <w:pStyle w:val="ARfintablebodyright"/>
              <w:ind w:right="0"/>
              <w:rPr>
                <w:sz w:val="15"/>
                <w:szCs w:val="15"/>
                <w:lang w:eastAsia="en-AU"/>
              </w:rPr>
            </w:pPr>
            <w:r w:rsidRPr="006944B3">
              <w:rPr>
                <w:sz w:val="15"/>
                <w:szCs w:val="15"/>
              </w:rPr>
              <w:t>1.6</w:t>
            </w:r>
          </w:p>
        </w:tc>
        <w:tc>
          <w:tcPr>
            <w:tcW w:w="641" w:type="dxa"/>
            <w:tcBorders>
              <w:top w:val="single" w:sz="4" w:space="0" w:color="A6A6A6" w:themeColor="background1" w:themeShade="A6"/>
              <w:bottom w:val="single" w:sz="4" w:space="0" w:color="A6A6A6" w:themeColor="background1" w:themeShade="A6"/>
            </w:tcBorders>
          </w:tcPr>
          <w:p w14:paraId="3B3038DC"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44023261"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35380A4"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557ADF68"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5D96BBA"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1069B54"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839" w:type="dxa"/>
            <w:tcBorders>
              <w:top w:val="single" w:sz="4" w:space="0" w:color="A6A6A6" w:themeColor="background1" w:themeShade="A6"/>
              <w:bottom w:val="single" w:sz="4" w:space="0" w:color="A6A6A6" w:themeColor="background1" w:themeShade="A6"/>
            </w:tcBorders>
          </w:tcPr>
          <w:p w14:paraId="5581E0C6" w14:textId="77777777" w:rsidR="00FA7EBF" w:rsidRPr="006944B3" w:rsidRDefault="00FA7EBF" w:rsidP="006944B3">
            <w:pPr>
              <w:pStyle w:val="ARfintablebodyright"/>
              <w:ind w:right="0"/>
              <w:rPr>
                <w:sz w:val="15"/>
                <w:szCs w:val="15"/>
                <w:lang w:eastAsia="en-AU"/>
              </w:rPr>
            </w:pPr>
            <w:r w:rsidRPr="006944B3">
              <w:rPr>
                <w:sz w:val="15"/>
                <w:szCs w:val="15"/>
              </w:rPr>
              <w:t>86.6</w:t>
            </w:r>
          </w:p>
        </w:tc>
      </w:tr>
      <w:tr w:rsidR="00FA7EBF" w:rsidRPr="007939DD" w14:paraId="76B34AFB" w14:textId="77777777" w:rsidTr="007B207C">
        <w:trPr>
          <w:cantSplit/>
        </w:trPr>
        <w:tc>
          <w:tcPr>
            <w:tcW w:w="3208" w:type="dxa"/>
            <w:tcBorders>
              <w:top w:val="single" w:sz="4" w:space="0" w:color="A6A6A6" w:themeColor="background1" w:themeShade="A6"/>
              <w:bottom w:val="single" w:sz="4" w:space="0" w:color="A6A6A6" w:themeColor="background1" w:themeShade="A6"/>
            </w:tcBorders>
          </w:tcPr>
          <w:p w14:paraId="6D8B758E" w14:textId="77777777" w:rsidR="00FA7EBF" w:rsidRPr="006944B3" w:rsidRDefault="00FA7EBF" w:rsidP="007B207C">
            <w:pPr>
              <w:pStyle w:val="ARfintablebody"/>
              <w:rPr>
                <w:sz w:val="15"/>
                <w:szCs w:val="15"/>
                <w:lang w:eastAsia="en-AU"/>
              </w:rPr>
            </w:pPr>
            <w:r w:rsidRPr="006944B3">
              <w:rPr>
                <w:sz w:val="15"/>
                <w:szCs w:val="15"/>
              </w:rPr>
              <w:t>Sales of goods and services</w:t>
            </w:r>
          </w:p>
        </w:tc>
        <w:tc>
          <w:tcPr>
            <w:tcW w:w="796" w:type="dxa"/>
            <w:tcBorders>
              <w:top w:val="single" w:sz="4" w:space="0" w:color="A6A6A6" w:themeColor="background1" w:themeShade="A6"/>
              <w:bottom w:val="single" w:sz="4" w:space="0" w:color="A6A6A6" w:themeColor="background1" w:themeShade="A6"/>
            </w:tcBorders>
          </w:tcPr>
          <w:p w14:paraId="1A29CAE4" w14:textId="77777777" w:rsidR="00FA7EBF" w:rsidRPr="006944B3" w:rsidRDefault="00FA7EBF" w:rsidP="006944B3">
            <w:pPr>
              <w:pStyle w:val="ARfintablebodyright"/>
              <w:ind w:right="0"/>
              <w:rPr>
                <w:sz w:val="15"/>
                <w:szCs w:val="15"/>
                <w:lang w:eastAsia="en-AU"/>
              </w:rPr>
            </w:pPr>
            <w:r w:rsidRPr="006944B3">
              <w:rPr>
                <w:sz w:val="15"/>
                <w:szCs w:val="15"/>
              </w:rPr>
              <w:t>272.3</w:t>
            </w:r>
          </w:p>
        </w:tc>
        <w:tc>
          <w:tcPr>
            <w:tcW w:w="642" w:type="dxa"/>
            <w:tcBorders>
              <w:top w:val="single" w:sz="4" w:space="0" w:color="A6A6A6" w:themeColor="background1" w:themeShade="A6"/>
              <w:bottom w:val="single" w:sz="4" w:space="0" w:color="A6A6A6" w:themeColor="background1" w:themeShade="A6"/>
            </w:tcBorders>
          </w:tcPr>
          <w:p w14:paraId="50593B82"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A4CCA4A" w14:textId="77777777" w:rsidR="00FA7EBF" w:rsidRPr="006944B3" w:rsidRDefault="00FA7EBF" w:rsidP="006944B3">
            <w:pPr>
              <w:pStyle w:val="ARfintablebodyright"/>
              <w:ind w:right="0"/>
              <w:rPr>
                <w:sz w:val="15"/>
                <w:szCs w:val="15"/>
                <w:lang w:eastAsia="en-AU"/>
              </w:rPr>
            </w:pPr>
            <w:r w:rsidRPr="006944B3">
              <w:rPr>
                <w:sz w:val="15"/>
                <w:szCs w:val="15"/>
              </w:rPr>
              <w:t>14.0</w:t>
            </w:r>
          </w:p>
        </w:tc>
        <w:tc>
          <w:tcPr>
            <w:tcW w:w="641" w:type="dxa"/>
            <w:tcBorders>
              <w:top w:val="single" w:sz="4" w:space="0" w:color="A6A6A6" w:themeColor="background1" w:themeShade="A6"/>
              <w:bottom w:val="single" w:sz="4" w:space="0" w:color="A6A6A6" w:themeColor="background1" w:themeShade="A6"/>
            </w:tcBorders>
          </w:tcPr>
          <w:p w14:paraId="3EF9271D" w14:textId="77777777" w:rsidR="00FA7EBF" w:rsidRPr="006944B3" w:rsidRDefault="00FA7EBF" w:rsidP="006944B3">
            <w:pPr>
              <w:pStyle w:val="ARfintablebodyright"/>
              <w:ind w:right="0"/>
              <w:rPr>
                <w:sz w:val="15"/>
                <w:szCs w:val="15"/>
                <w:lang w:eastAsia="en-AU"/>
              </w:rPr>
            </w:pPr>
            <w:r w:rsidRPr="006944B3">
              <w:rPr>
                <w:sz w:val="15"/>
                <w:szCs w:val="15"/>
              </w:rPr>
              <w:t>0.9</w:t>
            </w:r>
          </w:p>
        </w:tc>
        <w:tc>
          <w:tcPr>
            <w:tcW w:w="641" w:type="dxa"/>
            <w:tcBorders>
              <w:top w:val="single" w:sz="4" w:space="0" w:color="A6A6A6" w:themeColor="background1" w:themeShade="A6"/>
              <w:bottom w:val="single" w:sz="4" w:space="0" w:color="A6A6A6" w:themeColor="background1" w:themeShade="A6"/>
            </w:tcBorders>
          </w:tcPr>
          <w:p w14:paraId="775E6025" w14:textId="77777777" w:rsidR="00FA7EBF" w:rsidRPr="006944B3" w:rsidRDefault="00FA7EBF" w:rsidP="006944B3">
            <w:pPr>
              <w:pStyle w:val="ARfintablebodyright"/>
              <w:ind w:right="0"/>
              <w:rPr>
                <w:sz w:val="15"/>
                <w:szCs w:val="15"/>
                <w:lang w:eastAsia="en-AU"/>
              </w:rPr>
            </w:pPr>
            <w:r w:rsidRPr="006944B3">
              <w:rPr>
                <w:sz w:val="15"/>
                <w:szCs w:val="15"/>
              </w:rPr>
              <w:t>3.7</w:t>
            </w:r>
          </w:p>
        </w:tc>
        <w:tc>
          <w:tcPr>
            <w:tcW w:w="641" w:type="dxa"/>
            <w:tcBorders>
              <w:top w:val="single" w:sz="4" w:space="0" w:color="A6A6A6" w:themeColor="background1" w:themeShade="A6"/>
              <w:bottom w:val="single" w:sz="4" w:space="0" w:color="A6A6A6" w:themeColor="background1" w:themeShade="A6"/>
            </w:tcBorders>
          </w:tcPr>
          <w:p w14:paraId="7A9B58C2" w14:textId="77777777" w:rsidR="00FA7EBF" w:rsidRPr="006944B3" w:rsidRDefault="00FA7EBF" w:rsidP="006944B3">
            <w:pPr>
              <w:pStyle w:val="ARfintablebodyright"/>
              <w:ind w:right="0"/>
              <w:rPr>
                <w:sz w:val="15"/>
                <w:szCs w:val="15"/>
                <w:lang w:eastAsia="en-AU"/>
              </w:rPr>
            </w:pPr>
            <w:r w:rsidRPr="006944B3">
              <w:rPr>
                <w:sz w:val="15"/>
                <w:szCs w:val="15"/>
              </w:rPr>
              <w:t>4.9</w:t>
            </w:r>
          </w:p>
        </w:tc>
        <w:tc>
          <w:tcPr>
            <w:tcW w:w="641" w:type="dxa"/>
            <w:tcBorders>
              <w:top w:val="single" w:sz="4" w:space="0" w:color="A6A6A6" w:themeColor="background1" w:themeShade="A6"/>
              <w:bottom w:val="single" w:sz="4" w:space="0" w:color="A6A6A6" w:themeColor="background1" w:themeShade="A6"/>
            </w:tcBorders>
          </w:tcPr>
          <w:p w14:paraId="34A90B48"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542285EC" w14:textId="77777777" w:rsidR="00FA7EBF" w:rsidRPr="006944B3" w:rsidRDefault="00FA7EBF" w:rsidP="006944B3">
            <w:pPr>
              <w:pStyle w:val="ARfintablebodyright"/>
              <w:ind w:right="0"/>
              <w:rPr>
                <w:sz w:val="15"/>
                <w:szCs w:val="15"/>
                <w:lang w:eastAsia="en-AU"/>
              </w:rPr>
            </w:pPr>
            <w:r w:rsidRPr="006944B3">
              <w:rPr>
                <w:sz w:val="15"/>
                <w:szCs w:val="15"/>
              </w:rPr>
              <w:t>0.6</w:t>
            </w:r>
          </w:p>
        </w:tc>
        <w:tc>
          <w:tcPr>
            <w:tcW w:w="641" w:type="dxa"/>
            <w:tcBorders>
              <w:top w:val="single" w:sz="4" w:space="0" w:color="A6A6A6" w:themeColor="background1" w:themeShade="A6"/>
              <w:bottom w:val="single" w:sz="4" w:space="0" w:color="A6A6A6" w:themeColor="background1" w:themeShade="A6"/>
            </w:tcBorders>
          </w:tcPr>
          <w:p w14:paraId="4B78947D" w14:textId="77777777" w:rsidR="00FA7EBF" w:rsidRPr="006944B3" w:rsidRDefault="00FA7EBF" w:rsidP="006944B3">
            <w:pPr>
              <w:pStyle w:val="ARfintablebodyright"/>
              <w:ind w:right="0"/>
              <w:rPr>
                <w:sz w:val="15"/>
                <w:szCs w:val="15"/>
                <w:lang w:eastAsia="en-AU"/>
              </w:rPr>
            </w:pPr>
            <w:r w:rsidRPr="006944B3">
              <w:rPr>
                <w:sz w:val="15"/>
                <w:szCs w:val="15"/>
              </w:rPr>
              <w:t>62.4</w:t>
            </w:r>
          </w:p>
        </w:tc>
        <w:tc>
          <w:tcPr>
            <w:tcW w:w="641" w:type="dxa"/>
            <w:tcBorders>
              <w:top w:val="single" w:sz="4" w:space="0" w:color="A6A6A6" w:themeColor="background1" w:themeShade="A6"/>
              <w:bottom w:val="single" w:sz="4" w:space="0" w:color="A6A6A6" w:themeColor="background1" w:themeShade="A6"/>
            </w:tcBorders>
          </w:tcPr>
          <w:p w14:paraId="6BE54C82" w14:textId="77777777" w:rsidR="00FA7EBF" w:rsidRPr="006944B3" w:rsidRDefault="00FA7EBF" w:rsidP="006944B3">
            <w:pPr>
              <w:pStyle w:val="ARfintablebodyright"/>
              <w:ind w:right="0"/>
              <w:rPr>
                <w:sz w:val="15"/>
                <w:szCs w:val="15"/>
                <w:lang w:eastAsia="en-AU"/>
              </w:rPr>
            </w:pPr>
            <w:r w:rsidRPr="006944B3">
              <w:rPr>
                <w:sz w:val="15"/>
                <w:szCs w:val="15"/>
              </w:rPr>
              <w:t>0.1</w:t>
            </w:r>
          </w:p>
        </w:tc>
        <w:tc>
          <w:tcPr>
            <w:tcW w:w="641" w:type="dxa"/>
            <w:tcBorders>
              <w:top w:val="single" w:sz="4" w:space="0" w:color="A6A6A6" w:themeColor="background1" w:themeShade="A6"/>
              <w:bottom w:val="single" w:sz="4" w:space="0" w:color="A6A6A6" w:themeColor="background1" w:themeShade="A6"/>
            </w:tcBorders>
          </w:tcPr>
          <w:p w14:paraId="56B513E8"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BC98EB5" w14:textId="77777777" w:rsidR="00FA7EBF" w:rsidRPr="006944B3" w:rsidRDefault="00FA7EBF" w:rsidP="006944B3">
            <w:pPr>
              <w:pStyle w:val="ARfintablebodyright"/>
              <w:ind w:right="0"/>
              <w:rPr>
                <w:sz w:val="15"/>
                <w:szCs w:val="15"/>
                <w:lang w:eastAsia="en-AU"/>
              </w:rPr>
            </w:pPr>
            <w:r w:rsidRPr="006944B3">
              <w:rPr>
                <w:sz w:val="15"/>
                <w:szCs w:val="15"/>
              </w:rPr>
              <w:t>0.1</w:t>
            </w:r>
          </w:p>
        </w:tc>
        <w:tc>
          <w:tcPr>
            <w:tcW w:w="641" w:type="dxa"/>
            <w:tcBorders>
              <w:top w:val="single" w:sz="4" w:space="0" w:color="A6A6A6" w:themeColor="background1" w:themeShade="A6"/>
              <w:bottom w:val="single" w:sz="4" w:space="0" w:color="A6A6A6" w:themeColor="background1" w:themeShade="A6"/>
            </w:tcBorders>
          </w:tcPr>
          <w:p w14:paraId="7E74B760"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5EABE75E"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3D7E6FB"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CC4D8E5"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839" w:type="dxa"/>
            <w:tcBorders>
              <w:top w:val="single" w:sz="4" w:space="0" w:color="A6A6A6" w:themeColor="background1" w:themeShade="A6"/>
              <w:bottom w:val="single" w:sz="4" w:space="0" w:color="A6A6A6" w:themeColor="background1" w:themeShade="A6"/>
            </w:tcBorders>
          </w:tcPr>
          <w:p w14:paraId="76C17505" w14:textId="77777777" w:rsidR="00FA7EBF" w:rsidRPr="006944B3" w:rsidRDefault="00FA7EBF" w:rsidP="006944B3">
            <w:pPr>
              <w:pStyle w:val="ARfintablebodyright"/>
              <w:ind w:right="0"/>
              <w:rPr>
                <w:sz w:val="15"/>
                <w:szCs w:val="15"/>
                <w:lang w:eastAsia="en-AU"/>
              </w:rPr>
            </w:pPr>
            <w:r w:rsidRPr="006944B3">
              <w:rPr>
                <w:sz w:val="15"/>
                <w:szCs w:val="15"/>
              </w:rPr>
              <w:t>359.0</w:t>
            </w:r>
          </w:p>
        </w:tc>
      </w:tr>
      <w:tr w:rsidR="00FA7EBF" w:rsidRPr="007939DD" w14:paraId="6CEEEBAE" w14:textId="77777777" w:rsidTr="007B207C">
        <w:trPr>
          <w:cantSplit/>
        </w:trPr>
        <w:tc>
          <w:tcPr>
            <w:tcW w:w="3208" w:type="dxa"/>
            <w:tcBorders>
              <w:top w:val="single" w:sz="4" w:space="0" w:color="A6A6A6" w:themeColor="background1" w:themeShade="A6"/>
              <w:bottom w:val="single" w:sz="4" w:space="0" w:color="A6A6A6" w:themeColor="background1" w:themeShade="A6"/>
            </w:tcBorders>
          </w:tcPr>
          <w:p w14:paraId="57507D49" w14:textId="77777777" w:rsidR="00FA7EBF" w:rsidRPr="006944B3" w:rsidRDefault="00FA7EBF" w:rsidP="007B207C">
            <w:pPr>
              <w:pStyle w:val="ARfintablebody"/>
              <w:rPr>
                <w:sz w:val="15"/>
                <w:szCs w:val="15"/>
                <w:lang w:eastAsia="en-AU"/>
              </w:rPr>
            </w:pPr>
            <w:r w:rsidRPr="006944B3">
              <w:rPr>
                <w:sz w:val="15"/>
                <w:szCs w:val="15"/>
              </w:rPr>
              <w:t>Appropriations – payments made on behalf of the state</w:t>
            </w:r>
          </w:p>
        </w:tc>
        <w:tc>
          <w:tcPr>
            <w:tcW w:w="796" w:type="dxa"/>
            <w:tcBorders>
              <w:top w:val="single" w:sz="4" w:space="0" w:color="A6A6A6" w:themeColor="background1" w:themeShade="A6"/>
              <w:bottom w:val="single" w:sz="4" w:space="0" w:color="A6A6A6" w:themeColor="background1" w:themeShade="A6"/>
            </w:tcBorders>
          </w:tcPr>
          <w:p w14:paraId="45E34E55"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2" w:type="dxa"/>
            <w:tcBorders>
              <w:top w:val="single" w:sz="4" w:space="0" w:color="A6A6A6" w:themeColor="background1" w:themeShade="A6"/>
              <w:bottom w:val="single" w:sz="4" w:space="0" w:color="A6A6A6" w:themeColor="background1" w:themeShade="A6"/>
            </w:tcBorders>
          </w:tcPr>
          <w:p w14:paraId="3C40F389"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2CBB4C0"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BE1E564" w14:textId="77777777" w:rsidR="00FA7EBF" w:rsidRPr="006944B3" w:rsidRDefault="00FA7EBF" w:rsidP="006944B3">
            <w:pPr>
              <w:pStyle w:val="ARfintablebodyright"/>
              <w:ind w:right="0"/>
              <w:rPr>
                <w:sz w:val="15"/>
                <w:szCs w:val="15"/>
                <w:lang w:eastAsia="en-AU"/>
              </w:rPr>
            </w:pPr>
            <w:r w:rsidRPr="006944B3">
              <w:rPr>
                <w:sz w:val="15"/>
                <w:szCs w:val="15"/>
              </w:rPr>
              <w:t>62.3</w:t>
            </w:r>
          </w:p>
        </w:tc>
        <w:tc>
          <w:tcPr>
            <w:tcW w:w="641" w:type="dxa"/>
            <w:tcBorders>
              <w:top w:val="single" w:sz="4" w:space="0" w:color="A6A6A6" w:themeColor="background1" w:themeShade="A6"/>
              <w:bottom w:val="single" w:sz="4" w:space="0" w:color="A6A6A6" w:themeColor="background1" w:themeShade="A6"/>
            </w:tcBorders>
          </w:tcPr>
          <w:p w14:paraId="242A1DA6"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EC02791"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CBAE3B5"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8BE5E50"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5A34E872"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AC63EE5"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267BD18"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40CE1CC2"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E320C8D"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1186167"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F5D80A3"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11CCD5A"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839" w:type="dxa"/>
            <w:tcBorders>
              <w:top w:val="single" w:sz="4" w:space="0" w:color="A6A6A6" w:themeColor="background1" w:themeShade="A6"/>
              <w:bottom w:val="single" w:sz="4" w:space="0" w:color="A6A6A6" w:themeColor="background1" w:themeShade="A6"/>
            </w:tcBorders>
          </w:tcPr>
          <w:p w14:paraId="48FEAAE5" w14:textId="77777777" w:rsidR="00FA7EBF" w:rsidRPr="006944B3" w:rsidRDefault="00FA7EBF" w:rsidP="006944B3">
            <w:pPr>
              <w:pStyle w:val="ARfintablebodyright"/>
              <w:ind w:right="0"/>
              <w:rPr>
                <w:sz w:val="15"/>
                <w:szCs w:val="15"/>
                <w:lang w:eastAsia="en-AU"/>
              </w:rPr>
            </w:pPr>
            <w:r w:rsidRPr="006944B3">
              <w:rPr>
                <w:sz w:val="15"/>
                <w:szCs w:val="15"/>
              </w:rPr>
              <w:t>62.3</w:t>
            </w:r>
          </w:p>
        </w:tc>
      </w:tr>
      <w:tr w:rsidR="00FA7EBF" w:rsidRPr="007939DD" w14:paraId="240B288B" w14:textId="77777777" w:rsidTr="007B207C">
        <w:trPr>
          <w:cantSplit/>
        </w:trPr>
        <w:tc>
          <w:tcPr>
            <w:tcW w:w="3208" w:type="dxa"/>
            <w:tcBorders>
              <w:top w:val="single" w:sz="4" w:space="0" w:color="A6A6A6" w:themeColor="background1" w:themeShade="A6"/>
              <w:bottom w:val="single" w:sz="4" w:space="0" w:color="A6A6A6" w:themeColor="background1" w:themeShade="A6"/>
            </w:tcBorders>
          </w:tcPr>
          <w:p w14:paraId="24D46B5F" w14:textId="77777777" w:rsidR="00FA7EBF" w:rsidRPr="006944B3" w:rsidRDefault="00FA7EBF" w:rsidP="007B207C">
            <w:pPr>
              <w:pStyle w:val="ARfintablebody"/>
              <w:rPr>
                <w:sz w:val="15"/>
                <w:szCs w:val="15"/>
                <w:lang w:eastAsia="en-AU"/>
              </w:rPr>
            </w:pPr>
            <w:r w:rsidRPr="006944B3">
              <w:rPr>
                <w:sz w:val="15"/>
                <w:szCs w:val="15"/>
              </w:rPr>
              <w:t>Interest income</w:t>
            </w:r>
          </w:p>
        </w:tc>
        <w:tc>
          <w:tcPr>
            <w:tcW w:w="796" w:type="dxa"/>
            <w:tcBorders>
              <w:top w:val="single" w:sz="4" w:space="0" w:color="A6A6A6" w:themeColor="background1" w:themeShade="A6"/>
              <w:bottom w:val="single" w:sz="4" w:space="0" w:color="A6A6A6" w:themeColor="background1" w:themeShade="A6"/>
            </w:tcBorders>
          </w:tcPr>
          <w:p w14:paraId="0427EA6A" w14:textId="77777777" w:rsidR="00FA7EBF" w:rsidRPr="006944B3" w:rsidRDefault="00FA7EBF" w:rsidP="006944B3">
            <w:pPr>
              <w:pStyle w:val="ARfintablebodyright"/>
              <w:ind w:right="0"/>
              <w:rPr>
                <w:sz w:val="15"/>
                <w:szCs w:val="15"/>
                <w:lang w:eastAsia="en-AU"/>
              </w:rPr>
            </w:pPr>
            <w:r w:rsidRPr="006944B3">
              <w:rPr>
                <w:sz w:val="15"/>
                <w:szCs w:val="15"/>
              </w:rPr>
              <w:t>1.7</w:t>
            </w:r>
          </w:p>
        </w:tc>
        <w:tc>
          <w:tcPr>
            <w:tcW w:w="642" w:type="dxa"/>
            <w:tcBorders>
              <w:top w:val="single" w:sz="4" w:space="0" w:color="A6A6A6" w:themeColor="background1" w:themeShade="A6"/>
              <w:bottom w:val="single" w:sz="4" w:space="0" w:color="A6A6A6" w:themeColor="background1" w:themeShade="A6"/>
            </w:tcBorders>
          </w:tcPr>
          <w:p w14:paraId="0A58A241"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5553E81"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24B98C1"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92FFF4E"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16208FC"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8FF877D"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4DFD7504"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F7EF38C"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451F437"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71297DB"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F58770A"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4FDB833D"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3469560"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5DD5207"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6A09B55"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839" w:type="dxa"/>
            <w:tcBorders>
              <w:top w:val="single" w:sz="4" w:space="0" w:color="A6A6A6" w:themeColor="background1" w:themeShade="A6"/>
              <w:bottom w:val="single" w:sz="4" w:space="0" w:color="A6A6A6" w:themeColor="background1" w:themeShade="A6"/>
            </w:tcBorders>
          </w:tcPr>
          <w:p w14:paraId="5A73B59D" w14:textId="77777777" w:rsidR="00FA7EBF" w:rsidRPr="006944B3" w:rsidRDefault="00FA7EBF" w:rsidP="006944B3">
            <w:pPr>
              <w:pStyle w:val="ARfintablebodyright"/>
              <w:ind w:right="0"/>
              <w:rPr>
                <w:sz w:val="15"/>
                <w:szCs w:val="15"/>
                <w:lang w:eastAsia="en-AU"/>
              </w:rPr>
            </w:pPr>
            <w:r w:rsidRPr="006944B3">
              <w:rPr>
                <w:sz w:val="15"/>
                <w:szCs w:val="15"/>
              </w:rPr>
              <w:t>1.7</w:t>
            </w:r>
          </w:p>
        </w:tc>
      </w:tr>
      <w:tr w:rsidR="00FA7EBF" w:rsidRPr="007939DD" w14:paraId="294E43A2" w14:textId="77777777" w:rsidTr="007B207C">
        <w:trPr>
          <w:cantSplit/>
        </w:trPr>
        <w:tc>
          <w:tcPr>
            <w:tcW w:w="3208" w:type="dxa"/>
            <w:tcBorders>
              <w:top w:val="single" w:sz="4" w:space="0" w:color="A6A6A6" w:themeColor="background1" w:themeShade="A6"/>
              <w:bottom w:val="single" w:sz="4" w:space="0" w:color="A6A6A6" w:themeColor="background1" w:themeShade="A6"/>
            </w:tcBorders>
          </w:tcPr>
          <w:p w14:paraId="5B1F3489" w14:textId="77777777" w:rsidR="00FA7EBF" w:rsidRPr="006944B3" w:rsidRDefault="00FA7EBF" w:rsidP="007B207C">
            <w:pPr>
              <w:pStyle w:val="ARfintablebody"/>
              <w:rPr>
                <w:sz w:val="15"/>
                <w:szCs w:val="15"/>
                <w:lang w:eastAsia="en-AU"/>
              </w:rPr>
            </w:pPr>
            <w:r w:rsidRPr="006944B3">
              <w:rPr>
                <w:sz w:val="15"/>
                <w:szCs w:val="15"/>
              </w:rPr>
              <w:t>Fees</w:t>
            </w:r>
          </w:p>
        </w:tc>
        <w:tc>
          <w:tcPr>
            <w:tcW w:w="796" w:type="dxa"/>
            <w:tcBorders>
              <w:top w:val="single" w:sz="4" w:space="0" w:color="A6A6A6" w:themeColor="background1" w:themeShade="A6"/>
              <w:bottom w:val="single" w:sz="4" w:space="0" w:color="A6A6A6" w:themeColor="background1" w:themeShade="A6"/>
            </w:tcBorders>
          </w:tcPr>
          <w:p w14:paraId="572F5604"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2" w:type="dxa"/>
            <w:tcBorders>
              <w:top w:val="single" w:sz="4" w:space="0" w:color="A6A6A6" w:themeColor="background1" w:themeShade="A6"/>
              <w:bottom w:val="single" w:sz="4" w:space="0" w:color="A6A6A6" w:themeColor="background1" w:themeShade="A6"/>
            </w:tcBorders>
          </w:tcPr>
          <w:p w14:paraId="4E03C705"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1F6F66B"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A58140D"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00624DF"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6C14A04"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0414E79" w14:textId="77777777" w:rsidR="00FA7EBF" w:rsidRPr="006944B3" w:rsidRDefault="00FA7EBF" w:rsidP="006944B3">
            <w:pPr>
              <w:pStyle w:val="ARfintablebodyright"/>
              <w:ind w:right="0"/>
              <w:rPr>
                <w:sz w:val="15"/>
                <w:szCs w:val="15"/>
                <w:lang w:eastAsia="en-AU"/>
              </w:rPr>
            </w:pPr>
            <w:r w:rsidRPr="006944B3">
              <w:rPr>
                <w:sz w:val="15"/>
                <w:szCs w:val="15"/>
              </w:rPr>
              <w:t>10.1</w:t>
            </w:r>
          </w:p>
        </w:tc>
        <w:tc>
          <w:tcPr>
            <w:tcW w:w="641" w:type="dxa"/>
            <w:tcBorders>
              <w:top w:val="single" w:sz="4" w:space="0" w:color="A6A6A6" w:themeColor="background1" w:themeShade="A6"/>
              <w:bottom w:val="single" w:sz="4" w:space="0" w:color="A6A6A6" w:themeColor="background1" w:themeShade="A6"/>
            </w:tcBorders>
          </w:tcPr>
          <w:p w14:paraId="446C5BB0" w14:textId="77777777" w:rsidR="00FA7EBF" w:rsidRPr="006944B3" w:rsidRDefault="00FA7EBF" w:rsidP="006944B3">
            <w:pPr>
              <w:pStyle w:val="ARfintablebodyright"/>
              <w:ind w:right="0"/>
              <w:rPr>
                <w:sz w:val="15"/>
                <w:szCs w:val="15"/>
                <w:lang w:eastAsia="en-AU"/>
              </w:rPr>
            </w:pPr>
            <w:r w:rsidRPr="006944B3">
              <w:rPr>
                <w:sz w:val="15"/>
                <w:szCs w:val="15"/>
              </w:rPr>
              <w:t>0.7</w:t>
            </w:r>
          </w:p>
        </w:tc>
        <w:tc>
          <w:tcPr>
            <w:tcW w:w="641" w:type="dxa"/>
            <w:tcBorders>
              <w:top w:val="single" w:sz="4" w:space="0" w:color="A6A6A6" w:themeColor="background1" w:themeShade="A6"/>
              <w:bottom w:val="single" w:sz="4" w:space="0" w:color="A6A6A6" w:themeColor="background1" w:themeShade="A6"/>
            </w:tcBorders>
          </w:tcPr>
          <w:p w14:paraId="0C063FB7"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6C6FB9C"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AAF8F59"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C1B36F4"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B17FE96"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28EB96D"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86C6B08"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252E2FB"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839" w:type="dxa"/>
            <w:tcBorders>
              <w:top w:val="single" w:sz="4" w:space="0" w:color="A6A6A6" w:themeColor="background1" w:themeShade="A6"/>
              <w:bottom w:val="single" w:sz="4" w:space="0" w:color="A6A6A6" w:themeColor="background1" w:themeShade="A6"/>
            </w:tcBorders>
          </w:tcPr>
          <w:p w14:paraId="10DA7F31" w14:textId="77777777" w:rsidR="00FA7EBF" w:rsidRPr="006944B3" w:rsidRDefault="00FA7EBF" w:rsidP="006944B3">
            <w:pPr>
              <w:pStyle w:val="ARfintablebodyright"/>
              <w:ind w:right="0"/>
              <w:rPr>
                <w:sz w:val="15"/>
                <w:szCs w:val="15"/>
                <w:lang w:eastAsia="en-AU"/>
              </w:rPr>
            </w:pPr>
            <w:r w:rsidRPr="006944B3">
              <w:rPr>
                <w:sz w:val="15"/>
                <w:szCs w:val="15"/>
              </w:rPr>
              <w:t>10.8</w:t>
            </w:r>
          </w:p>
        </w:tc>
      </w:tr>
      <w:tr w:rsidR="00FA7EBF" w:rsidRPr="007939DD" w14:paraId="7EF5548A" w14:textId="77777777" w:rsidTr="007B207C">
        <w:trPr>
          <w:cantSplit/>
        </w:trPr>
        <w:tc>
          <w:tcPr>
            <w:tcW w:w="3208" w:type="dxa"/>
            <w:tcBorders>
              <w:top w:val="single" w:sz="4" w:space="0" w:color="A6A6A6" w:themeColor="background1" w:themeShade="A6"/>
              <w:bottom w:val="single" w:sz="4" w:space="0" w:color="A6A6A6" w:themeColor="background1" w:themeShade="A6"/>
            </w:tcBorders>
          </w:tcPr>
          <w:p w14:paraId="3A85669C" w14:textId="77777777" w:rsidR="00FA7EBF" w:rsidRPr="006944B3" w:rsidRDefault="00FA7EBF" w:rsidP="007B207C">
            <w:pPr>
              <w:pStyle w:val="ARfintablebody"/>
              <w:rPr>
                <w:sz w:val="15"/>
                <w:szCs w:val="15"/>
                <w:lang w:eastAsia="en-AU"/>
              </w:rPr>
            </w:pPr>
            <w:r w:rsidRPr="006944B3">
              <w:rPr>
                <w:sz w:val="15"/>
                <w:szCs w:val="15"/>
              </w:rPr>
              <w:t>Grants and other income transfers</w:t>
            </w:r>
          </w:p>
        </w:tc>
        <w:tc>
          <w:tcPr>
            <w:tcW w:w="796" w:type="dxa"/>
            <w:tcBorders>
              <w:top w:val="single" w:sz="4" w:space="0" w:color="A6A6A6" w:themeColor="background1" w:themeShade="A6"/>
              <w:bottom w:val="single" w:sz="4" w:space="0" w:color="A6A6A6" w:themeColor="background1" w:themeShade="A6"/>
            </w:tcBorders>
          </w:tcPr>
          <w:p w14:paraId="2ABE3076" w14:textId="77777777" w:rsidR="00FA7EBF" w:rsidRPr="006944B3" w:rsidRDefault="00FA7EBF" w:rsidP="006944B3">
            <w:pPr>
              <w:pStyle w:val="ARfintablebodyright"/>
              <w:ind w:right="0"/>
              <w:rPr>
                <w:sz w:val="15"/>
                <w:szCs w:val="15"/>
                <w:lang w:eastAsia="en-AU"/>
              </w:rPr>
            </w:pPr>
            <w:r w:rsidRPr="006944B3">
              <w:rPr>
                <w:sz w:val="15"/>
                <w:szCs w:val="15"/>
              </w:rPr>
              <w:t>51.6</w:t>
            </w:r>
          </w:p>
        </w:tc>
        <w:tc>
          <w:tcPr>
            <w:tcW w:w="642" w:type="dxa"/>
            <w:tcBorders>
              <w:top w:val="single" w:sz="4" w:space="0" w:color="A6A6A6" w:themeColor="background1" w:themeShade="A6"/>
              <w:bottom w:val="single" w:sz="4" w:space="0" w:color="A6A6A6" w:themeColor="background1" w:themeShade="A6"/>
            </w:tcBorders>
          </w:tcPr>
          <w:p w14:paraId="5D55E4C6"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43366BD4" w14:textId="77777777" w:rsidR="00FA7EBF" w:rsidRPr="006944B3" w:rsidRDefault="00FA7EBF" w:rsidP="006944B3">
            <w:pPr>
              <w:pStyle w:val="ARfintablebodyright"/>
              <w:ind w:right="0"/>
              <w:rPr>
                <w:sz w:val="15"/>
                <w:szCs w:val="15"/>
                <w:lang w:eastAsia="en-AU"/>
              </w:rPr>
            </w:pPr>
            <w:r w:rsidRPr="006944B3">
              <w:rPr>
                <w:sz w:val="15"/>
                <w:szCs w:val="15"/>
              </w:rPr>
              <w:t>3.0</w:t>
            </w:r>
          </w:p>
        </w:tc>
        <w:tc>
          <w:tcPr>
            <w:tcW w:w="641" w:type="dxa"/>
            <w:tcBorders>
              <w:top w:val="single" w:sz="4" w:space="0" w:color="A6A6A6" w:themeColor="background1" w:themeShade="A6"/>
              <w:bottom w:val="single" w:sz="4" w:space="0" w:color="A6A6A6" w:themeColor="background1" w:themeShade="A6"/>
            </w:tcBorders>
          </w:tcPr>
          <w:p w14:paraId="19D36D13"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5F0C2933" w14:textId="77777777" w:rsidR="00FA7EBF" w:rsidRPr="006944B3" w:rsidRDefault="00FA7EBF" w:rsidP="006944B3">
            <w:pPr>
              <w:pStyle w:val="ARfintablebodyright"/>
              <w:ind w:right="0"/>
              <w:rPr>
                <w:sz w:val="15"/>
                <w:szCs w:val="15"/>
                <w:lang w:eastAsia="en-AU"/>
              </w:rPr>
            </w:pPr>
            <w:r w:rsidRPr="006944B3">
              <w:rPr>
                <w:sz w:val="15"/>
                <w:szCs w:val="15"/>
              </w:rPr>
              <w:t>0.2</w:t>
            </w:r>
          </w:p>
        </w:tc>
        <w:tc>
          <w:tcPr>
            <w:tcW w:w="641" w:type="dxa"/>
            <w:tcBorders>
              <w:top w:val="single" w:sz="4" w:space="0" w:color="A6A6A6" w:themeColor="background1" w:themeShade="A6"/>
              <w:bottom w:val="single" w:sz="4" w:space="0" w:color="A6A6A6" w:themeColor="background1" w:themeShade="A6"/>
            </w:tcBorders>
          </w:tcPr>
          <w:p w14:paraId="70956550"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E5C9B76"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1C4B8D6"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2F3C1B5" w14:textId="77777777" w:rsidR="00FA7EBF" w:rsidRPr="006944B3" w:rsidRDefault="00FA7EBF" w:rsidP="006944B3">
            <w:pPr>
              <w:pStyle w:val="ARfintablebodyright"/>
              <w:ind w:right="0"/>
              <w:rPr>
                <w:sz w:val="15"/>
                <w:szCs w:val="15"/>
                <w:lang w:eastAsia="en-AU"/>
              </w:rPr>
            </w:pPr>
            <w:r w:rsidRPr="006944B3">
              <w:rPr>
                <w:sz w:val="15"/>
                <w:szCs w:val="15"/>
              </w:rPr>
              <w:t>158.2</w:t>
            </w:r>
          </w:p>
        </w:tc>
        <w:tc>
          <w:tcPr>
            <w:tcW w:w="641" w:type="dxa"/>
            <w:tcBorders>
              <w:top w:val="single" w:sz="4" w:space="0" w:color="A6A6A6" w:themeColor="background1" w:themeShade="A6"/>
              <w:bottom w:val="single" w:sz="4" w:space="0" w:color="A6A6A6" w:themeColor="background1" w:themeShade="A6"/>
            </w:tcBorders>
          </w:tcPr>
          <w:p w14:paraId="3C5B2009"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EE8C699" w14:textId="77777777" w:rsidR="00FA7EBF" w:rsidRPr="006944B3" w:rsidRDefault="00FA7EBF" w:rsidP="006944B3">
            <w:pPr>
              <w:pStyle w:val="ARfintablebodyright"/>
              <w:ind w:right="0"/>
              <w:rPr>
                <w:sz w:val="15"/>
                <w:szCs w:val="15"/>
                <w:lang w:eastAsia="en-AU"/>
              </w:rPr>
            </w:pPr>
            <w:r w:rsidRPr="006944B3">
              <w:rPr>
                <w:sz w:val="15"/>
                <w:szCs w:val="15"/>
              </w:rPr>
              <w:t>1.6</w:t>
            </w:r>
          </w:p>
        </w:tc>
        <w:tc>
          <w:tcPr>
            <w:tcW w:w="641" w:type="dxa"/>
            <w:tcBorders>
              <w:top w:val="single" w:sz="4" w:space="0" w:color="A6A6A6" w:themeColor="background1" w:themeShade="A6"/>
              <w:bottom w:val="single" w:sz="4" w:space="0" w:color="A6A6A6" w:themeColor="background1" w:themeShade="A6"/>
            </w:tcBorders>
          </w:tcPr>
          <w:p w14:paraId="1317A072"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C72E61F"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EF2E949"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7EC6DF0"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442508E"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839" w:type="dxa"/>
            <w:tcBorders>
              <w:top w:val="single" w:sz="4" w:space="0" w:color="A6A6A6" w:themeColor="background1" w:themeShade="A6"/>
              <w:bottom w:val="single" w:sz="4" w:space="0" w:color="A6A6A6" w:themeColor="background1" w:themeShade="A6"/>
            </w:tcBorders>
          </w:tcPr>
          <w:p w14:paraId="7F190C2F" w14:textId="77777777" w:rsidR="00FA7EBF" w:rsidRPr="006944B3" w:rsidRDefault="00FA7EBF" w:rsidP="006944B3">
            <w:pPr>
              <w:pStyle w:val="ARfintablebodyright"/>
              <w:ind w:right="0"/>
              <w:rPr>
                <w:sz w:val="15"/>
                <w:szCs w:val="15"/>
                <w:lang w:eastAsia="en-AU"/>
              </w:rPr>
            </w:pPr>
            <w:r w:rsidRPr="006944B3">
              <w:rPr>
                <w:sz w:val="15"/>
                <w:szCs w:val="15"/>
              </w:rPr>
              <w:t>214.6</w:t>
            </w:r>
          </w:p>
        </w:tc>
      </w:tr>
      <w:tr w:rsidR="00FA7EBF" w:rsidRPr="007939DD" w14:paraId="1A0D74EC" w14:textId="77777777" w:rsidTr="007B207C">
        <w:trPr>
          <w:cantSplit/>
        </w:trPr>
        <w:tc>
          <w:tcPr>
            <w:tcW w:w="3208" w:type="dxa"/>
            <w:tcBorders>
              <w:top w:val="single" w:sz="4" w:space="0" w:color="A6A6A6" w:themeColor="background1" w:themeShade="A6"/>
              <w:bottom w:val="single" w:sz="4" w:space="0" w:color="A6A6A6" w:themeColor="background1" w:themeShade="A6"/>
            </w:tcBorders>
          </w:tcPr>
          <w:p w14:paraId="24B940E0" w14:textId="77777777" w:rsidR="00FA7EBF" w:rsidRPr="006944B3" w:rsidRDefault="00FA7EBF" w:rsidP="007B207C">
            <w:pPr>
              <w:pStyle w:val="ARfintablebody"/>
              <w:rPr>
                <w:sz w:val="15"/>
                <w:szCs w:val="15"/>
                <w:lang w:eastAsia="en-AU"/>
              </w:rPr>
            </w:pPr>
            <w:r w:rsidRPr="006944B3">
              <w:rPr>
                <w:sz w:val="15"/>
                <w:szCs w:val="15"/>
              </w:rPr>
              <w:t>Other</w:t>
            </w:r>
          </w:p>
        </w:tc>
        <w:tc>
          <w:tcPr>
            <w:tcW w:w="796" w:type="dxa"/>
            <w:tcBorders>
              <w:top w:val="single" w:sz="4" w:space="0" w:color="A6A6A6" w:themeColor="background1" w:themeShade="A6"/>
              <w:bottom w:val="single" w:sz="4" w:space="0" w:color="A6A6A6" w:themeColor="background1" w:themeShade="A6"/>
            </w:tcBorders>
          </w:tcPr>
          <w:p w14:paraId="71FA85E6" w14:textId="77777777" w:rsidR="00FA7EBF" w:rsidRPr="006944B3" w:rsidRDefault="00FA7EBF" w:rsidP="006944B3">
            <w:pPr>
              <w:pStyle w:val="ARfintablebodyright"/>
              <w:ind w:right="0"/>
              <w:rPr>
                <w:sz w:val="15"/>
                <w:szCs w:val="15"/>
                <w:lang w:eastAsia="en-AU"/>
              </w:rPr>
            </w:pPr>
            <w:r w:rsidRPr="006944B3">
              <w:rPr>
                <w:sz w:val="15"/>
                <w:szCs w:val="15"/>
              </w:rPr>
              <w:t>7.8</w:t>
            </w:r>
          </w:p>
        </w:tc>
        <w:tc>
          <w:tcPr>
            <w:tcW w:w="642" w:type="dxa"/>
            <w:tcBorders>
              <w:top w:val="single" w:sz="4" w:space="0" w:color="A6A6A6" w:themeColor="background1" w:themeShade="A6"/>
              <w:bottom w:val="single" w:sz="4" w:space="0" w:color="A6A6A6" w:themeColor="background1" w:themeShade="A6"/>
            </w:tcBorders>
          </w:tcPr>
          <w:p w14:paraId="32EFAF0F"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01B9882" w14:textId="77777777" w:rsidR="00FA7EBF" w:rsidRPr="006944B3" w:rsidRDefault="00FA7EBF" w:rsidP="006944B3">
            <w:pPr>
              <w:pStyle w:val="ARfintablebodyright"/>
              <w:ind w:right="0"/>
              <w:rPr>
                <w:sz w:val="15"/>
                <w:szCs w:val="15"/>
                <w:lang w:eastAsia="en-AU"/>
              </w:rPr>
            </w:pPr>
            <w:r w:rsidRPr="006944B3">
              <w:rPr>
                <w:sz w:val="15"/>
                <w:szCs w:val="15"/>
              </w:rPr>
              <w:t>0.1</w:t>
            </w:r>
          </w:p>
        </w:tc>
        <w:tc>
          <w:tcPr>
            <w:tcW w:w="641" w:type="dxa"/>
            <w:tcBorders>
              <w:top w:val="single" w:sz="4" w:space="0" w:color="A6A6A6" w:themeColor="background1" w:themeShade="A6"/>
              <w:bottom w:val="single" w:sz="4" w:space="0" w:color="A6A6A6" w:themeColor="background1" w:themeShade="A6"/>
            </w:tcBorders>
          </w:tcPr>
          <w:p w14:paraId="2DB686B3"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4E5A41D7" w14:textId="77777777" w:rsidR="00FA7EBF" w:rsidRPr="006944B3" w:rsidRDefault="00FA7EBF" w:rsidP="006944B3">
            <w:pPr>
              <w:pStyle w:val="ARfintablebodyright"/>
              <w:ind w:right="0"/>
              <w:rPr>
                <w:sz w:val="15"/>
                <w:szCs w:val="15"/>
                <w:lang w:eastAsia="en-AU"/>
              </w:rPr>
            </w:pPr>
            <w:r w:rsidRPr="006944B3">
              <w:rPr>
                <w:sz w:val="15"/>
                <w:szCs w:val="15"/>
              </w:rPr>
              <w:t>0.1</w:t>
            </w:r>
          </w:p>
        </w:tc>
        <w:tc>
          <w:tcPr>
            <w:tcW w:w="641" w:type="dxa"/>
            <w:tcBorders>
              <w:top w:val="single" w:sz="4" w:space="0" w:color="A6A6A6" w:themeColor="background1" w:themeShade="A6"/>
              <w:bottom w:val="single" w:sz="4" w:space="0" w:color="A6A6A6" w:themeColor="background1" w:themeShade="A6"/>
            </w:tcBorders>
          </w:tcPr>
          <w:p w14:paraId="779CB383"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519FA3B2" w14:textId="77777777" w:rsidR="00FA7EBF" w:rsidRPr="006944B3" w:rsidRDefault="00FA7EBF" w:rsidP="006944B3">
            <w:pPr>
              <w:pStyle w:val="ARfintablebodyright"/>
              <w:ind w:right="0"/>
              <w:rPr>
                <w:sz w:val="15"/>
                <w:szCs w:val="15"/>
                <w:lang w:eastAsia="en-AU"/>
              </w:rPr>
            </w:pPr>
            <w:r w:rsidRPr="006944B3">
              <w:rPr>
                <w:sz w:val="15"/>
                <w:szCs w:val="15"/>
              </w:rPr>
              <w:t>0.2</w:t>
            </w:r>
          </w:p>
        </w:tc>
        <w:tc>
          <w:tcPr>
            <w:tcW w:w="641" w:type="dxa"/>
            <w:tcBorders>
              <w:top w:val="single" w:sz="4" w:space="0" w:color="A6A6A6" w:themeColor="background1" w:themeShade="A6"/>
              <w:bottom w:val="single" w:sz="4" w:space="0" w:color="A6A6A6" w:themeColor="background1" w:themeShade="A6"/>
            </w:tcBorders>
          </w:tcPr>
          <w:p w14:paraId="7457CE49"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791B290" w14:textId="77777777" w:rsidR="00FA7EBF" w:rsidRPr="006944B3" w:rsidRDefault="00FA7EBF" w:rsidP="006944B3">
            <w:pPr>
              <w:pStyle w:val="ARfintablebodyright"/>
              <w:ind w:right="0"/>
              <w:rPr>
                <w:sz w:val="15"/>
                <w:szCs w:val="15"/>
                <w:lang w:eastAsia="en-AU"/>
              </w:rPr>
            </w:pPr>
            <w:r w:rsidRPr="006944B3">
              <w:rPr>
                <w:sz w:val="15"/>
                <w:szCs w:val="15"/>
              </w:rPr>
              <w:t>1.1</w:t>
            </w:r>
          </w:p>
        </w:tc>
        <w:tc>
          <w:tcPr>
            <w:tcW w:w="641" w:type="dxa"/>
            <w:tcBorders>
              <w:top w:val="single" w:sz="4" w:space="0" w:color="A6A6A6" w:themeColor="background1" w:themeShade="A6"/>
              <w:bottom w:val="single" w:sz="4" w:space="0" w:color="A6A6A6" w:themeColor="background1" w:themeShade="A6"/>
            </w:tcBorders>
          </w:tcPr>
          <w:p w14:paraId="5B7C3BD1" w14:textId="77777777" w:rsidR="00FA7EBF" w:rsidRPr="006944B3" w:rsidRDefault="00FA7EBF" w:rsidP="006944B3">
            <w:pPr>
              <w:pStyle w:val="ARfintablebodyright"/>
              <w:ind w:right="0"/>
              <w:rPr>
                <w:sz w:val="15"/>
                <w:szCs w:val="15"/>
                <w:lang w:eastAsia="en-AU"/>
              </w:rPr>
            </w:pPr>
            <w:r w:rsidRPr="006944B3">
              <w:rPr>
                <w:sz w:val="15"/>
                <w:szCs w:val="15"/>
              </w:rPr>
              <w:t>0.5</w:t>
            </w:r>
          </w:p>
        </w:tc>
        <w:tc>
          <w:tcPr>
            <w:tcW w:w="641" w:type="dxa"/>
            <w:tcBorders>
              <w:top w:val="single" w:sz="4" w:space="0" w:color="A6A6A6" w:themeColor="background1" w:themeShade="A6"/>
              <w:bottom w:val="single" w:sz="4" w:space="0" w:color="A6A6A6" w:themeColor="background1" w:themeShade="A6"/>
            </w:tcBorders>
          </w:tcPr>
          <w:p w14:paraId="480FA448"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B1E3274" w14:textId="77777777" w:rsidR="00FA7EBF" w:rsidRPr="006944B3" w:rsidRDefault="00FA7EBF" w:rsidP="006944B3">
            <w:pPr>
              <w:pStyle w:val="ARfintablebodyright"/>
              <w:ind w:right="0"/>
              <w:rPr>
                <w:sz w:val="15"/>
                <w:szCs w:val="15"/>
                <w:lang w:eastAsia="en-AU"/>
              </w:rPr>
            </w:pPr>
            <w:r w:rsidRPr="006944B3">
              <w:rPr>
                <w:sz w:val="15"/>
                <w:szCs w:val="15"/>
              </w:rPr>
              <w:t>0.1</w:t>
            </w:r>
          </w:p>
        </w:tc>
        <w:tc>
          <w:tcPr>
            <w:tcW w:w="641" w:type="dxa"/>
            <w:tcBorders>
              <w:top w:val="single" w:sz="4" w:space="0" w:color="A6A6A6" w:themeColor="background1" w:themeShade="A6"/>
              <w:bottom w:val="single" w:sz="4" w:space="0" w:color="A6A6A6" w:themeColor="background1" w:themeShade="A6"/>
            </w:tcBorders>
          </w:tcPr>
          <w:p w14:paraId="70824CE0"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51CC2B2E"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0A15CA7"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96C3D72"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839" w:type="dxa"/>
            <w:tcBorders>
              <w:top w:val="single" w:sz="4" w:space="0" w:color="A6A6A6" w:themeColor="background1" w:themeShade="A6"/>
              <w:bottom w:val="single" w:sz="4" w:space="0" w:color="A6A6A6" w:themeColor="background1" w:themeShade="A6"/>
            </w:tcBorders>
          </w:tcPr>
          <w:p w14:paraId="787E22E4" w14:textId="77777777" w:rsidR="00FA7EBF" w:rsidRPr="006944B3" w:rsidRDefault="00FA7EBF" w:rsidP="006944B3">
            <w:pPr>
              <w:pStyle w:val="ARfintablebodyright"/>
              <w:ind w:right="0"/>
              <w:rPr>
                <w:sz w:val="15"/>
                <w:szCs w:val="15"/>
                <w:lang w:eastAsia="en-AU"/>
              </w:rPr>
            </w:pPr>
            <w:r w:rsidRPr="006944B3">
              <w:rPr>
                <w:sz w:val="15"/>
                <w:szCs w:val="15"/>
              </w:rPr>
              <w:t>9.9</w:t>
            </w:r>
          </w:p>
        </w:tc>
      </w:tr>
      <w:tr w:rsidR="00FA7EBF" w:rsidRPr="007939DD" w14:paraId="5FBA4E5E" w14:textId="77777777" w:rsidTr="007B207C">
        <w:trPr>
          <w:cantSplit/>
        </w:trPr>
        <w:tc>
          <w:tcPr>
            <w:tcW w:w="3208" w:type="dxa"/>
            <w:tcBorders>
              <w:top w:val="single" w:sz="4" w:space="0" w:color="A6A6A6" w:themeColor="background1" w:themeShade="A6"/>
            </w:tcBorders>
          </w:tcPr>
          <w:p w14:paraId="114B5163" w14:textId="77777777" w:rsidR="00FA7EBF" w:rsidRPr="006944B3" w:rsidRDefault="00FA7EBF" w:rsidP="007B207C">
            <w:pPr>
              <w:pStyle w:val="ARfintablebody"/>
              <w:rPr>
                <w:sz w:val="15"/>
                <w:szCs w:val="15"/>
                <w:lang w:eastAsia="en-AU"/>
              </w:rPr>
            </w:pPr>
            <w:r w:rsidRPr="006944B3">
              <w:rPr>
                <w:sz w:val="15"/>
                <w:szCs w:val="15"/>
              </w:rPr>
              <w:t>Fair value of assets and services received free of charge or for nominal consideration</w:t>
            </w:r>
          </w:p>
        </w:tc>
        <w:tc>
          <w:tcPr>
            <w:tcW w:w="796" w:type="dxa"/>
            <w:tcBorders>
              <w:top w:val="single" w:sz="4" w:space="0" w:color="A6A6A6" w:themeColor="background1" w:themeShade="A6"/>
            </w:tcBorders>
          </w:tcPr>
          <w:p w14:paraId="117DF9AA"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2" w:type="dxa"/>
            <w:tcBorders>
              <w:top w:val="single" w:sz="4" w:space="0" w:color="A6A6A6" w:themeColor="background1" w:themeShade="A6"/>
            </w:tcBorders>
          </w:tcPr>
          <w:p w14:paraId="28DFB92A"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29CF41E6"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0F1FCC88"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51F624D1"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6AEF5498"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7A8D2FEB"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15744F5F"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2A15B2E0"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1D7BFA2B"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3838FF57"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7DA87D86"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43E4847A"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30BB0D78"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13008392"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15C43CC0"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839" w:type="dxa"/>
            <w:tcBorders>
              <w:top w:val="single" w:sz="4" w:space="0" w:color="A6A6A6" w:themeColor="background1" w:themeShade="A6"/>
            </w:tcBorders>
          </w:tcPr>
          <w:p w14:paraId="245B5AE2" w14:textId="77777777" w:rsidR="00FA7EBF" w:rsidRPr="006944B3" w:rsidRDefault="00FA7EBF" w:rsidP="006944B3">
            <w:pPr>
              <w:pStyle w:val="ARfintablebodyright"/>
              <w:ind w:right="0"/>
              <w:rPr>
                <w:sz w:val="15"/>
                <w:szCs w:val="15"/>
                <w:lang w:eastAsia="en-AU"/>
              </w:rPr>
            </w:pPr>
            <w:r w:rsidRPr="006944B3">
              <w:rPr>
                <w:sz w:val="15"/>
                <w:szCs w:val="15"/>
              </w:rPr>
              <w:t>–</w:t>
            </w:r>
          </w:p>
        </w:tc>
      </w:tr>
      <w:tr w:rsidR="00FA7EBF" w:rsidRPr="007939DD" w14:paraId="469C4116" w14:textId="77777777" w:rsidTr="007B207C">
        <w:trPr>
          <w:cantSplit/>
        </w:trPr>
        <w:tc>
          <w:tcPr>
            <w:tcW w:w="3208" w:type="dxa"/>
          </w:tcPr>
          <w:p w14:paraId="095D43D1" w14:textId="77777777" w:rsidR="00FA7EBF" w:rsidRPr="006944B3" w:rsidRDefault="00FA7EBF" w:rsidP="007B207C">
            <w:pPr>
              <w:pStyle w:val="ARfintablebodybold"/>
              <w:rPr>
                <w:rStyle w:val="Strong"/>
                <w:sz w:val="15"/>
                <w:szCs w:val="15"/>
              </w:rPr>
            </w:pPr>
            <w:r w:rsidRPr="006944B3">
              <w:rPr>
                <w:sz w:val="15"/>
                <w:szCs w:val="15"/>
              </w:rPr>
              <w:t>Total administered income from transactions</w:t>
            </w:r>
          </w:p>
        </w:tc>
        <w:tc>
          <w:tcPr>
            <w:tcW w:w="796" w:type="dxa"/>
          </w:tcPr>
          <w:p w14:paraId="59FF7055" w14:textId="77777777" w:rsidR="00FA7EBF" w:rsidRPr="006944B3" w:rsidRDefault="00FA7EBF" w:rsidP="006944B3">
            <w:pPr>
              <w:pStyle w:val="ARfintablebodyrightbold"/>
              <w:ind w:right="0"/>
              <w:rPr>
                <w:sz w:val="15"/>
                <w:szCs w:val="15"/>
                <w:lang w:eastAsia="en-AU"/>
              </w:rPr>
            </w:pPr>
            <w:r w:rsidRPr="006944B3">
              <w:rPr>
                <w:sz w:val="15"/>
                <w:szCs w:val="15"/>
              </w:rPr>
              <w:t>9,838.1</w:t>
            </w:r>
          </w:p>
        </w:tc>
        <w:tc>
          <w:tcPr>
            <w:tcW w:w="642" w:type="dxa"/>
          </w:tcPr>
          <w:p w14:paraId="37854AB1"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0F8F2BAA" w14:textId="77777777" w:rsidR="00FA7EBF" w:rsidRPr="006944B3" w:rsidRDefault="00FA7EBF" w:rsidP="006944B3">
            <w:pPr>
              <w:pStyle w:val="ARfintablebodyrightbold"/>
              <w:ind w:right="0"/>
              <w:rPr>
                <w:sz w:val="15"/>
                <w:szCs w:val="15"/>
                <w:lang w:eastAsia="en-AU"/>
              </w:rPr>
            </w:pPr>
            <w:r w:rsidRPr="006944B3">
              <w:rPr>
                <w:sz w:val="15"/>
                <w:szCs w:val="15"/>
              </w:rPr>
              <w:t>780.9</w:t>
            </w:r>
          </w:p>
        </w:tc>
        <w:tc>
          <w:tcPr>
            <w:tcW w:w="641" w:type="dxa"/>
          </w:tcPr>
          <w:p w14:paraId="028AD78D" w14:textId="77777777" w:rsidR="00FA7EBF" w:rsidRPr="006944B3" w:rsidRDefault="00FA7EBF" w:rsidP="006944B3">
            <w:pPr>
              <w:pStyle w:val="ARfintablebodyrightbold"/>
              <w:ind w:right="0"/>
              <w:rPr>
                <w:sz w:val="15"/>
                <w:szCs w:val="15"/>
                <w:lang w:eastAsia="en-AU"/>
              </w:rPr>
            </w:pPr>
            <w:r w:rsidRPr="006944B3">
              <w:rPr>
                <w:sz w:val="15"/>
                <w:szCs w:val="15"/>
              </w:rPr>
              <w:t>132.1</w:t>
            </w:r>
          </w:p>
        </w:tc>
        <w:tc>
          <w:tcPr>
            <w:tcW w:w="641" w:type="dxa"/>
          </w:tcPr>
          <w:p w14:paraId="237BF7F1" w14:textId="77777777" w:rsidR="00FA7EBF" w:rsidRPr="006944B3" w:rsidRDefault="00FA7EBF" w:rsidP="006944B3">
            <w:pPr>
              <w:pStyle w:val="ARfintablebodyrightbold"/>
              <w:ind w:right="0"/>
              <w:rPr>
                <w:sz w:val="15"/>
                <w:szCs w:val="15"/>
                <w:lang w:eastAsia="en-AU"/>
              </w:rPr>
            </w:pPr>
            <w:r w:rsidRPr="006944B3">
              <w:rPr>
                <w:sz w:val="15"/>
                <w:szCs w:val="15"/>
              </w:rPr>
              <w:t>4.0</w:t>
            </w:r>
          </w:p>
        </w:tc>
        <w:tc>
          <w:tcPr>
            <w:tcW w:w="641" w:type="dxa"/>
          </w:tcPr>
          <w:p w14:paraId="65E3A979" w14:textId="77777777" w:rsidR="00FA7EBF" w:rsidRPr="006944B3" w:rsidRDefault="00FA7EBF" w:rsidP="006944B3">
            <w:pPr>
              <w:pStyle w:val="ARfintablebodyrightbold"/>
              <w:ind w:right="0"/>
              <w:rPr>
                <w:sz w:val="15"/>
                <w:szCs w:val="15"/>
                <w:lang w:eastAsia="en-AU"/>
              </w:rPr>
            </w:pPr>
            <w:r w:rsidRPr="006944B3">
              <w:rPr>
                <w:sz w:val="15"/>
                <w:szCs w:val="15"/>
              </w:rPr>
              <w:t>97.0</w:t>
            </w:r>
          </w:p>
        </w:tc>
        <w:tc>
          <w:tcPr>
            <w:tcW w:w="641" w:type="dxa"/>
          </w:tcPr>
          <w:p w14:paraId="69E97E64" w14:textId="77777777" w:rsidR="00FA7EBF" w:rsidRPr="006944B3" w:rsidRDefault="00FA7EBF" w:rsidP="006944B3">
            <w:pPr>
              <w:pStyle w:val="ARfintablebodyrightbold"/>
              <w:ind w:right="0"/>
              <w:rPr>
                <w:sz w:val="15"/>
                <w:szCs w:val="15"/>
                <w:lang w:eastAsia="en-AU"/>
              </w:rPr>
            </w:pPr>
            <w:r w:rsidRPr="006944B3">
              <w:rPr>
                <w:sz w:val="15"/>
                <w:szCs w:val="15"/>
              </w:rPr>
              <w:t>115.7</w:t>
            </w:r>
          </w:p>
        </w:tc>
        <w:tc>
          <w:tcPr>
            <w:tcW w:w="641" w:type="dxa"/>
          </w:tcPr>
          <w:p w14:paraId="3DA2B0B3" w14:textId="77777777" w:rsidR="00FA7EBF" w:rsidRPr="006944B3" w:rsidRDefault="00FA7EBF" w:rsidP="006944B3">
            <w:pPr>
              <w:pStyle w:val="ARfintablebodyrightbold"/>
              <w:ind w:right="0"/>
              <w:rPr>
                <w:sz w:val="15"/>
                <w:szCs w:val="15"/>
                <w:lang w:eastAsia="en-AU"/>
              </w:rPr>
            </w:pPr>
            <w:r w:rsidRPr="006944B3">
              <w:rPr>
                <w:sz w:val="15"/>
                <w:szCs w:val="15"/>
              </w:rPr>
              <w:t>1.3</w:t>
            </w:r>
          </w:p>
        </w:tc>
        <w:tc>
          <w:tcPr>
            <w:tcW w:w="641" w:type="dxa"/>
          </w:tcPr>
          <w:p w14:paraId="25618BDC" w14:textId="77777777" w:rsidR="00FA7EBF" w:rsidRPr="006944B3" w:rsidRDefault="00FA7EBF" w:rsidP="006944B3">
            <w:pPr>
              <w:pStyle w:val="ARfintablebodyrightbold"/>
              <w:ind w:right="0"/>
              <w:rPr>
                <w:sz w:val="15"/>
                <w:szCs w:val="15"/>
                <w:lang w:eastAsia="en-AU"/>
              </w:rPr>
            </w:pPr>
            <w:r w:rsidRPr="006944B3">
              <w:rPr>
                <w:sz w:val="15"/>
                <w:szCs w:val="15"/>
              </w:rPr>
              <w:t>1,136.0</w:t>
            </w:r>
          </w:p>
        </w:tc>
        <w:tc>
          <w:tcPr>
            <w:tcW w:w="641" w:type="dxa"/>
          </w:tcPr>
          <w:p w14:paraId="2A3F3FAE" w14:textId="77777777" w:rsidR="00FA7EBF" w:rsidRPr="006944B3" w:rsidRDefault="00FA7EBF" w:rsidP="006944B3">
            <w:pPr>
              <w:pStyle w:val="ARfintablebodyrightbold"/>
              <w:ind w:right="0"/>
              <w:rPr>
                <w:sz w:val="15"/>
                <w:szCs w:val="15"/>
                <w:lang w:eastAsia="en-AU"/>
              </w:rPr>
            </w:pPr>
            <w:r w:rsidRPr="006944B3">
              <w:rPr>
                <w:sz w:val="15"/>
                <w:szCs w:val="15"/>
              </w:rPr>
              <w:t>2.1</w:t>
            </w:r>
          </w:p>
        </w:tc>
        <w:tc>
          <w:tcPr>
            <w:tcW w:w="641" w:type="dxa"/>
          </w:tcPr>
          <w:p w14:paraId="577AB7FF" w14:textId="77777777" w:rsidR="00FA7EBF" w:rsidRPr="006944B3" w:rsidRDefault="00FA7EBF" w:rsidP="006944B3">
            <w:pPr>
              <w:pStyle w:val="ARfintablebodyrightbold"/>
              <w:ind w:right="0"/>
              <w:rPr>
                <w:sz w:val="15"/>
                <w:szCs w:val="15"/>
                <w:lang w:eastAsia="en-AU"/>
              </w:rPr>
            </w:pPr>
            <w:r w:rsidRPr="006944B3">
              <w:rPr>
                <w:sz w:val="15"/>
                <w:szCs w:val="15"/>
              </w:rPr>
              <w:t>1.6</w:t>
            </w:r>
          </w:p>
        </w:tc>
        <w:tc>
          <w:tcPr>
            <w:tcW w:w="641" w:type="dxa"/>
          </w:tcPr>
          <w:p w14:paraId="19F19DE9" w14:textId="77777777" w:rsidR="00FA7EBF" w:rsidRPr="006944B3" w:rsidRDefault="00FA7EBF" w:rsidP="006944B3">
            <w:pPr>
              <w:pStyle w:val="ARfintablebodyrightbold"/>
              <w:ind w:right="0"/>
              <w:rPr>
                <w:sz w:val="15"/>
                <w:szCs w:val="15"/>
                <w:lang w:eastAsia="en-AU"/>
              </w:rPr>
            </w:pPr>
            <w:r w:rsidRPr="006944B3">
              <w:rPr>
                <w:sz w:val="15"/>
                <w:szCs w:val="15"/>
              </w:rPr>
              <w:t>0.2</w:t>
            </w:r>
          </w:p>
        </w:tc>
        <w:tc>
          <w:tcPr>
            <w:tcW w:w="641" w:type="dxa"/>
          </w:tcPr>
          <w:p w14:paraId="6543B92D"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7223E2C3"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65BF56DD"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78743838"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839" w:type="dxa"/>
          </w:tcPr>
          <w:p w14:paraId="1D9DB7AE" w14:textId="77777777" w:rsidR="00FA7EBF" w:rsidRPr="006944B3" w:rsidRDefault="00FA7EBF" w:rsidP="006944B3">
            <w:pPr>
              <w:pStyle w:val="ARfintablebodyrightbold"/>
              <w:ind w:right="0"/>
              <w:rPr>
                <w:sz w:val="15"/>
                <w:szCs w:val="15"/>
                <w:lang w:eastAsia="en-AU"/>
              </w:rPr>
            </w:pPr>
            <w:r w:rsidRPr="006944B3">
              <w:rPr>
                <w:sz w:val="15"/>
                <w:szCs w:val="15"/>
              </w:rPr>
              <w:t>12,109.1</w:t>
            </w:r>
          </w:p>
        </w:tc>
      </w:tr>
      <w:tr w:rsidR="00FA7EBF" w:rsidRPr="007939DD" w14:paraId="231FC0F0" w14:textId="77777777" w:rsidTr="007B207C">
        <w:trPr>
          <w:cantSplit/>
        </w:trPr>
        <w:tc>
          <w:tcPr>
            <w:tcW w:w="14459" w:type="dxa"/>
            <w:gridSpan w:val="18"/>
            <w:tcBorders>
              <w:bottom w:val="single" w:sz="4" w:space="0" w:color="A6A6A6" w:themeColor="background1" w:themeShade="A6"/>
            </w:tcBorders>
          </w:tcPr>
          <w:p w14:paraId="7379CFA4" w14:textId="77777777" w:rsidR="00FA7EBF" w:rsidRPr="004E3D18" w:rsidRDefault="00FA7EBF" w:rsidP="006944B3">
            <w:pPr>
              <w:pStyle w:val="ARfintablebodybold"/>
              <w:pageBreakBefore/>
              <w:rPr>
                <w:lang w:eastAsia="en-AU"/>
              </w:rPr>
            </w:pPr>
            <w:r w:rsidRPr="004E3D18">
              <w:t>Administered expenses from transactions</w:t>
            </w:r>
          </w:p>
        </w:tc>
      </w:tr>
      <w:tr w:rsidR="00FA7EBF" w:rsidRPr="007939DD" w14:paraId="10E5CF2E" w14:textId="77777777" w:rsidTr="007B207C">
        <w:trPr>
          <w:cantSplit/>
        </w:trPr>
        <w:tc>
          <w:tcPr>
            <w:tcW w:w="3208" w:type="dxa"/>
            <w:tcBorders>
              <w:top w:val="single" w:sz="4" w:space="0" w:color="A6A6A6" w:themeColor="background1" w:themeShade="A6"/>
              <w:bottom w:val="single" w:sz="4" w:space="0" w:color="A6A6A6" w:themeColor="background1" w:themeShade="A6"/>
            </w:tcBorders>
          </w:tcPr>
          <w:p w14:paraId="1439827E" w14:textId="77777777" w:rsidR="00FA7EBF" w:rsidRPr="006944B3" w:rsidRDefault="00FA7EBF" w:rsidP="007B207C">
            <w:pPr>
              <w:pStyle w:val="ARfintablebody"/>
              <w:rPr>
                <w:sz w:val="15"/>
                <w:szCs w:val="15"/>
                <w:lang w:eastAsia="en-AU"/>
              </w:rPr>
            </w:pPr>
            <w:r w:rsidRPr="006944B3">
              <w:rPr>
                <w:sz w:val="15"/>
                <w:szCs w:val="15"/>
              </w:rPr>
              <w:t>Grants and other expense transfers</w:t>
            </w:r>
          </w:p>
        </w:tc>
        <w:tc>
          <w:tcPr>
            <w:tcW w:w="796" w:type="dxa"/>
            <w:tcBorders>
              <w:top w:val="single" w:sz="4" w:space="0" w:color="A6A6A6" w:themeColor="background1" w:themeShade="A6"/>
              <w:bottom w:val="single" w:sz="4" w:space="0" w:color="A6A6A6" w:themeColor="background1" w:themeShade="A6"/>
            </w:tcBorders>
          </w:tcPr>
          <w:p w14:paraId="7D4FE44D" w14:textId="77777777" w:rsidR="00FA7EBF" w:rsidRPr="006944B3" w:rsidRDefault="00FA7EBF" w:rsidP="006944B3">
            <w:pPr>
              <w:pStyle w:val="ARfintablebodyright"/>
              <w:ind w:right="0"/>
              <w:rPr>
                <w:sz w:val="15"/>
                <w:szCs w:val="15"/>
                <w:lang w:eastAsia="en-AU"/>
              </w:rPr>
            </w:pPr>
            <w:r w:rsidRPr="006944B3">
              <w:rPr>
                <w:sz w:val="15"/>
                <w:szCs w:val="15"/>
              </w:rPr>
              <w:t>9,217.6</w:t>
            </w:r>
          </w:p>
        </w:tc>
        <w:tc>
          <w:tcPr>
            <w:tcW w:w="642" w:type="dxa"/>
            <w:tcBorders>
              <w:top w:val="single" w:sz="4" w:space="0" w:color="A6A6A6" w:themeColor="background1" w:themeShade="A6"/>
              <w:bottom w:val="single" w:sz="4" w:space="0" w:color="A6A6A6" w:themeColor="background1" w:themeShade="A6"/>
            </w:tcBorders>
          </w:tcPr>
          <w:p w14:paraId="7CF65794"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18AC17A" w14:textId="77777777" w:rsidR="00FA7EBF" w:rsidRPr="006944B3" w:rsidRDefault="00FA7EBF" w:rsidP="006944B3">
            <w:pPr>
              <w:pStyle w:val="ARfintablebodyright"/>
              <w:ind w:right="0"/>
              <w:rPr>
                <w:sz w:val="15"/>
                <w:szCs w:val="15"/>
                <w:lang w:eastAsia="en-AU"/>
              </w:rPr>
            </w:pPr>
            <w:r w:rsidRPr="006944B3">
              <w:rPr>
                <w:sz w:val="15"/>
                <w:szCs w:val="15"/>
              </w:rPr>
              <w:t>364.1</w:t>
            </w:r>
          </w:p>
        </w:tc>
        <w:tc>
          <w:tcPr>
            <w:tcW w:w="641" w:type="dxa"/>
            <w:tcBorders>
              <w:top w:val="single" w:sz="4" w:space="0" w:color="A6A6A6" w:themeColor="background1" w:themeShade="A6"/>
              <w:bottom w:val="single" w:sz="4" w:space="0" w:color="A6A6A6" w:themeColor="background1" w:themeShade="A6"/>
            </w:tcBorders>
          </w:tcPr>
          <w:p w14:paraId="132D30C7" w14:textId="77777777" w:rsidR="00FA7EBF" w:rsidRPr="006944B3" w:rsidRDefault="00FA7EBF" w:rsidP="006944B3">
            <w:pPr>
              <w:pStyle w:val="ARfintablebodyright"/>
              <w:ind w:right="0"/>
              <w:rPr>
                <w:sz w:val="15"/>
                <w:szCs w:val="15"/>
                <w:lang w:eastAsia="en-AU"/>
              </w:rPr>
            </w:pPr>
            <w:r w:rsidRPr="006944B3">
              <w:rPr>
                <w:sz w:val="15"/>
                <w:szCs w:val="15"/>
              </w:rPr>
              <w:t>62.3</w:t>
            </w:r>
          </w:p>
        </w:tc>
        <w:tc>
          <w:tcPr>
            <w:tcW w:w="641" w:type="dxa"/>
            <w:tcBorders>
              <w:top w:val="single" w:sz="4" w:space="0" w:color="A6A6A6" w:themeColor="background1" w:themeShade="A6"/>
              <w:bottom w:val="single" w:sz="4" w:space="0" w:color="A6A6A6" w:themeColor="background1" w:themeShade="A6"/>
            </w:tcBorders>
          </w:tcPr>
          <w:p w14:paraId="47B4F266"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3C3FE10"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0F65879"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55ACD753"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2CD5BEC" w14:textId="77777777" w:rsidR="00FA7EBF" w:rsidRPr="006944B3" w:rsidRDefault="00FA7EBF" w:rsidP="006944B3">
            <w:pPr>
              <w:pStyle w:val="ARfintablebodyright"/>
              <w:ind w:right="0"/>
              <w:rPr>
                <w:sz w:val="15"/>
                <w:szCs w:val="15"/>
                <w:lang w:eastAsia="en-AU"/>
              </w:rPr>
            </w:pPr>
            <w:r w:rsidRPr="006944B3">
              <w:rPr>
                <w:sz w:val="15"/>
                <w:szCs w:val="15"/>
              </w:rPr>
              <w:t>1,102.6</w:t>
            </w:r>
          </w:p>
        </w:tc>
        <w:tc>
          <w:tcPr>
            <w:tcW w:w="641" w:type="dxa"/>
            <w:tcBorders>
              <w:top w:val="single" w:sz="4" w:space="0" w:color="A6A6A6" w:themeColor="background1" w:themeShade="A6"/>
              <w:bottom w:val="single" w:sz="4" w:space="0" w:color="A6A6A6" w:themeColor="background1" w:themeShade="A6"/>
            </w:tcBorders>
          </w:tcPr>
          <w:p w14:paraId="7B4C6597"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CE25189" w14:textId="77777777" w:rsidR="00FA7EBF" w:rsidRPr="006944B3" w:rsidRDefault="00FA7EBF" w:rsidP="006944B3">
            <w:pPr>
              <w:pStyle w:val="ARfintablebodyright"/>
              <w:ind w:right="0"/>
              <w:rPr>
                <w:sz w:val="15"/>
                <w:szCs w:val="15"/>
                <w:lang w:eastAsia="en-AU"/>
              </w:rPr>
            </w:pPr>
            <w:r w:rsidRPr="006944B3">
              <w:rPr>
                <w:sz w:val="15"/>
                <w:szCs w:val="15"/>
              </w:rPr>
              <w:t>1.6</w:t>
            </w:r>
          </w:p>
        </w:tc>
        <w:tc>
          <w:tcPr>
            <w:tcW w:w="641" w:type="dxa"/>
            <w:tcBorders>
              <w:top w:val="single" w:sz="4" w:space="0" w:color="A6A6A6" w:themeColor="background1" w:themeShade="A6"/>
              <w:bottom w:val="single" w:sz="4" w:space="0" w:color="A6A6A6" w:themeColor="background1" w:themeShade="A6"/>
            </w:tcBorders>
          </w:tcPr>
          <w:p w14:paraId="515EBC07" w14:textId="77777777" w:rsidR="00FA7EBF" w:rsidRPr="006944B3" w:rsidRDefault="00FA7EBF" w:rsidP="006944B3">
            <w:pPr>
              <w:pStyle w:val="ARfintablebodyright"/>
              <w:ind w:right="0"/>
              <w:rPr>
                <w:sz w:val="15"/>
                <w:szCs w:val="15"/>
                <w:lang w:eastAsia="en-AU"/>
              </w:rPr>
            </w:pPr>
            <w:r w:rsidRPr="006944B3">
              <w:rPr>
                <w:sz w:val="15"/>
                <w:szCs w:val="15"/>
              </w:rPr>
              <w:t>0.4</w:t>
            </w:r>
          </w:p>
        </w:tc>
        <w:tc>
          <w:tcPr>
            <w:tcW w:w="641" w:type="dxa"/>
            <w:tcBorders>
              <w:top w:val="single" w:sz="4" w:space="0" w:color="A6A6A6" w:themeColor="background1" w:themeShade="A6"/>
              <w:bottom w:val="single" w:sz="4" w:space="0" w:color="A6A6A6" w:themeColor="background1" w:themeShade="A6"/>
            </w:tcBorders>
          </w:tcPr>
          <w:p w14:paraId="3A60286B"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5FB5C7A"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717725C"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98B1C8D"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839" w:type="dxa"/>
            <w:tcBorders>
              <w:top w:val="single" w:sz="4" w:space="0" w:color="A6A6A6" w:themeColor="background1" w:themeShade="A6"/>
              <w:bottom w:val="single" w:sz="4" w:space="0" w:color="A6A6A6" w:themeColor="background1" w:themeShade="A6"/>
            </w:tcBorders>
          </w:tcPr>
          <w:p w14:paraId="38D2FAA1" w14:textId="77777777" w:rsidR="00FA7EBF" w:rsidRPr="006944B3" w:rsidRDefault="00FA7EBF" w:rsidP="006944B3">
            <w:pPr>
              <w:pStyle w:val="ARfintablebodyright"/>
              <w:ind w:right="0"/>
              <w:rPr>
                <w:sz w:val="15"/>
                <w:szCs w:val="15"/>
                <w:lang w:eastAsia="en-AU"/>
              </w:rPr>
            </w:pPr>
            <w:r w:rsidRPr="006944B3">
              <w:rPr>
                <w:sz w:val="15"/>
                <w:szCs w:val="15"/>
              </w:rPr>
              <w:t>10,748.5</w:t>
            </w:r>
          </w:p>
        </w:tc>
      </w:tr>
      <w:tr w:rsidR="00FA7EBF" w:rsidRPr="007939DD" w14:paraId="15DD8019" w14:textId="77777777" w:rsidTr="007B207C">
        <w:trPr>
          <w:cantSplit/>
        </w:trPr>
        <w:tc>
          <w:tcPr>
            <w:tcW w:w="3208" w:type="dxa"/>
            <w:tcBorders>
              <w:top w:val="single" w:sz="4" w:space="0" w:color="A6A6A6" w:themeColor="background1" w:themeShade="A6"/>
              <w:bottom w:val="single" w:sz="4" w:space="0" w:color="A6A6A6" w:themeColor="background1" w:themeShade="A6"/>
            </w:tcBorders>
          </w:tcPr>
          <w:p w14:paraId="5B49BF46" w14:textId="77777777" w:rsidR="00FA7EBF" w:rsidRPr="006944B3" w:rsidRDefault="00FA7EBF" w:rsidP="007B207C">
            <w:pPr>
              <w:pStyle w:val="ARfintablebody"/>
              <w:rPr>
                <w:sz w:val="15"/>
                <w:szCs w:val="15"/>
                <w:lang w:eastAsia="en-AU"/>
              </w:rPr>
            </w:pPr>
            <w:r w:rsidRPr="006944B3">
              <w:rPr>
                <w:sz w:val="15"/>
                <w:szCs w:val="15"/>
              </w:rPr>
              <w:t>Employee expenses</w:t>
            </w:r>
          </w:p>
        </w:tc>
        <w:tc>
          <w:tcPr>
            <w:tcW w:w="796" w:type="dxa"/>
            <w:tcBorders>
              <w:top w:val="single" w:sz="4" w:space="0" w:color="A6A6A6" w:themeColor="background1" w:themeShade="A6"/>
              <w:bottom w:val="single" w:sz="4" w:space="0" w:color="A6A6A6" w:themeColor="background1" w:themeShade="A6"/>
            </w:tcBorders>
          </w:tcPr>
          <w:p w14:paraId="373BB6AC"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2" w:type="dxa"/>
            <w:tcBorders>
              <w:top w:val="single" w:sz="4" w:space="0" w:color="A6A6A6" w:themeColor="background1" w:themeShade="A6"/>
              <w:bottom w:val="single" w:sz="4" w:space="0" w:color="A6A6A6" w:themeColor="background1" w:themeShade="A6"/>
            </w:tcBorders>
          </w:tcPr>
          <w:p w14:paraId="08DBC0F3"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185E34C"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86DBD37"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500C251"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92B875F"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45F54192"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CE153C1"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B570B87"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561E99F"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484C5FB7"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500B923"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7CB3C64"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4AD8CFE0"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AAB8E7A"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285D0D0"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839" w:type="dxa"/>
            <w:tcBorders>
              <w:top w:val="single" w:sz="4" w:space="0" w:color="A6A6A6" w:themeColor="background1" w:themeShade="A6"/>
              <w:bottom w:val="single" w:sz="4" w:space="0" w:color="A6A6A6" w:themeColor="background1" w:themeShade="A6"/>
            </w:tcBorders>
          </w:tcPr>
          <w:p w14:paraId="02A88406" w14:textId="77777777" w:rsidR="00FA7EBF" w:rsidRPr="006944B3" w:rsidRDefault="00FA7EBF" w:rsidP="006944B3">
            <w:pPr>
              <w:pStyle w:val="ARfintablebodyright"/>
              <w:ind w:right="0"/>
              <w:rPr>
                <w:sz w:val="15"/>
                <w:szCs w:val="15"/>
                <w:lang w:eastAsia="en-AU"/>
              </w:rPr>
            </w:pPr>
            <w:r w:rsidRPr="006944B3">
              <w:rPr>
                <w:sz w:val="15"/>
                <w:szCs w:val="15"/>
              </w:rPr>
              <w:t>–</w:t>
            </w:r>
          </w:p>
        </w:tc>
      </w:tr>
      <w:tr w:rsidR="00FA7EBF" w:rsidRPr="007939DD" w14:paraId="06F6BD89" w14:textId="77777777" w:rsidTr="007B207C">
        <w:trPr>
          <w:cantSplit/>
        </w:trPr>
        <w:tc>
          <w:tcPr>
            <w:tcW w:w="3208" w:type="dxa"/>
            <w:tcBorders>
              <w:top w:val="single" w:sz="4" w:space="0" w:color="A6A6A6" w:themeColor="background1" w:themeShade="A6"/>
              <w:bottom w:val="single" w:sz="4" w:space="0" w:color="A6A6A6" w:themeColor="background1" w:themeShade="A6"/>
            </w:tcBorders>
          </w:tcPr>
          <w:p w14:paraId="6D87EF1C" w14:textId="77777777" w:rsidR="00FA7EBF" w:rsidRPr="006944B3" w:rsidRDefault="00FA7EBF" w:rsidP="007B207C">
            <w:pPr>
              <w:pStyle w:val="ARfintablebody"/>
              <w:rPr>
                <w:sz w:val="15"/>
                <w:szCs w:val="15"/>
                <w:lang w:eastAsia="en-AU"/>
              </w:rPr>
            </w:pPr>
            <w:r w:rsidRPr="006944B3">
              <w:rPr>
                <w:sz w:val="15"/>
                <w:szCs w:val="15"/>
              </w:rPr>
              <w:t>Other operating expenses</w:t>
            </w:r>
          </w:p>
        </w:tc>
        <w:tc>
          <w:tcPr>
            <w:tcW w:w="796" w:type="dxa"/>
            <w:tcBorders>
              <w:top w:val="single" w:sz="4" w:space="0" w:color="A6A6A6" w:themeColor="background1" w:themeShade="A6"/>
              <w:bottom w:val="single" w:sz="4" w:space="0" w:color="A6A6A6" w:themeColor="background1" w:themeShade="A6"/>
            </w:tcBorders>
          </w:tcPr>
          <w:p w14:paraId="12ED0693" w14:textId="77777777" w:rsidR="00FA7EBF" w:rsidRPr="006944B3" w:rsidRDefault="00FA7EBF" w:rsidP="006944B3">
            <w:pPr>
              <w:pStyle w:val="ARfintablebodyright"/>
              <w:ind w:right="0"/>
              <w:rPr>
                <w:sz w:val="15"/>
                <w:szCs w:val="15"/>
                <w:lang w:eastAsia="en-AU"/>
              </w:rPr>
            </w:pPr>
            <w:r w:rsidRPr="006944B3">
              <w:rPr>
                <w:sz w:val="15"/>
                <w:szCs w:val="15"/>
              </w:rPr>
              <w:t>0.4</w:t>
            </w:r>
          </w:p>
        </w:tc>
        <w:tc>
          <w:tcPr>
            <w:tcW w:w="642" w:type="dxa"/>
            <w:tcBorders>
              <w:top w:val="single" w:sz="4" w:space="0" w:color="A6A6A6" w:themeColor="background1" w:themeShade="A6"/>
              <w:bottom w:val="single" w:sz="4" w:space="0" w:color="A6A6A6" w:themeColor="background1" w:themeShade="A6"/>
            </w:tcBorders>
          </w:tcPr>
          <w:p w14:paraId="2A22038E"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5EF235E" w14:textId="77777777" w:rsidR="00FA7EBF" w:rsidRPr="006944B3" w:rsidRDefault="00FA7EBF" w:rsidP="006944B3">
            <w:pPr>
              <w:pStyle w:val="ARfintablebodyright"/>
              <w:ind w:right="0"/>
              <w:rPr>
                <w:sz w:val="15"/>
                <w:szCs w:val="15"/>
                <w:lang w:eastAsia="en-AU"/>
              </w:rPr>
            </w:pPr>
            <w:r w:rsidRPr="006944B3">
              <w:rPr>
                <w:sz w:val="15"/>
                <w:szCs w:val="15"/>
              </w:rPr>
              <w:t>0.1</w:t>
            </w:r>
          </w:p>
        </w:tc>
        <w:tc>
          <w:tcPr>
            <w:tcW w:w="641" w:type="dxa"/>
            <w:tcBorders>
              <w:top w:val="single" w:sz="4" w:space="0" w:color="A6A6A6" w:themeColor="background1" w:themeShade="A6"/>
              <w:bottom w:val="single" w:sz="4" w:space="0" w:color="A6A6A6" w:themeColor="background1" w:themeShade="A6"/>
            </w:tcBorders>
          </w:tcPr>
          <w:p w14:paraId="722CC39B"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A591841"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70454B3"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4C321DC2" w14:textId="77777777" w:rsidR="00FA7EBF" w:rsidRPr="006944B3" w:rsidRDefault="00FA7EBF" w:rsidP="006944B3">
            <w:pPr>
              <w:pStyle w:val="ARfintablebodyright"/>
              <w:ind w:right="0"/>
              <w:rPr>
                <w:sz w:val="15"/>
                <w:szCs w:val="15"/>
                <w:lang w:eastAsia="en-AU"/>
              </w:rPr>
            </w:pPr>
            <w:r w:rsidRPr="006944B3">
              <w:rPr>
                <w:sz w:val="15"/>
                <w:szCs w:val="15"/>
              </w:rPr>
              <w:t>0.2</w:t>
            </w:r>
          </w:p>
        </w:tc>
        <w:tc>
          <w:tcPr>
            <w:tcW w:w="641" w:type="dxa"/>
            <w:tcBorders>
              <w:top w:val="single" w:sz="4" w:space="0" w:color="A6A6A6" w:themeColor="background1" w:themeShade="A6"/>
              <w:bottom w:val="single" w:sz="4" w:space="0" w:color="A6A6A6" w:themeColor="background1" w:themeShade="A6"/>
            </w:tcBorders>
          </w:tcPr>
          <w:p w14:paraId="39AC874D"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ACF5710" w14:textId="77777777" w:rsidR="00FA7EBF" w:rsidRPr="006944B3" w:rsidRDefault="00FA7EBF" w:rsidP="006944B3">
            <w:pPr>
              <w:pStyle w:val="ARfintablebodyright"/>
              <w:ind w:right="0"/>
              <w:rPr>
                <w:sz w:val="15"/>
                <w:szCs w:val="15"/>
                <w:lang w:eastAsia="en-AU"/>
              </w:rPr>
            </w:pPr>
            <w:r w:rsidRPr="006944B3">
              <w:rPr>
                <w:sz w:val="15"/>
                <w:szCs w:val="15"/>
              </w:rPr>
              <w:t>0.5</w:t>
            </w:r>
          </w:p>
        </w:tc>
        <w:tc>
          <w:tcPr>
            <w:tcW w:w="641" w:type="dxa"/>
            <w:tcBorders>
              <w:top w:val="single" w:sz="4" w:space="0" w:color="A6A6A6" w:themeColor="background1" w:themeShade="A6"/>
              <w:bottom w:val="single" w:sz="4" w:space="0" w:color="A6A6A6" w:themeColor="background1" w:themeShade="A6"/>
            </w:tcBorders>
          </w:tcPr>
          <w:p w14:paraId="6F4BBC3A" w14:textId="77777777" w:rsidR="00FA7EBF" w:rsidRPr="006944B3" w:rsidRDefault="00FA7EBF" w:rsidP="006944B3">
            <w:pPr>
              <w:pStyle w:val="ARfintablebodyright"/>
              <w:ind w:right="0"/>
              <w:rPr>
                <w:sz w:val="15"/>
                <w:szCs w:val="15"/>
                <w:lang w:eastAsia="en-AU"/>
              </w:rPr>
            </w:pPr>
            <w:r w:rsidRPr="006944B3">
              <w:rPr>
                <w:sz w:val="15"/>
                <w:szCs w:val="15"/>
              </w:rPr>
              <w:t>0.4</w:t>
            </w:r>
          </w:p>
        </w:tc>
        <w:tc>
          <w:tcPr>
            <w:tcW w:w="641" w:type="dxa"/>
            <w:tcBorders>
              <w:top w:val="single" w:sz="4" w:space="0" w:color="A6A6A6" w:themeColor="background1" w:themeShade="A6"/>
              <w:bottom w:val="single" w:sz="4" w:space="0" w:color="A6A6A6" w:themeColor="background1" w:themeShade="A6"/>
            </w:tcBorders>
          </w:tcPr>
          <w:p w14:paraId="4780FED9"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ABD9563" w14:textId="77777777" w:rsidR="00FA7EBF" w:rsidRPr="006944B3" w:rsidRDefault="00FA7EBF" w:rsidP="006944B3">
            <w:pPr>
              <w:pStyle w:val="ARfintablebodyright"/>
              <w:ind w:right="0"/>
              <w:rPr>
                <w:sz w:val="15"/>
                <w:szCs w:val="15"/>
                <w:lang w:eastAsia="en-AU"/>
              </w:rPr>
            </w:pPr>
            <w:r w:rsidRPr="006944B3">
              <w:rPr>
                <w:sz w:val="15"/>
                <w:szCs w:val="15"/>
              </w:rPr>
              <w:t>0.1</w:t>
            </w:r>
          </w:p>
        </w:tc>
        <w:tc>
          <w:tcPr>
            <w:tcW w:w="641" w:type="dxa"/>
            <w:tcBorders>
              <w:top w:val="single" w:sz="4" w:space="0" w:color="A6A6A6" w:themeColor="background1" w:themeShade="A6"/>
              <w:bottom w:val="single" w:sz="4" w:space="0" w:color="A6A6A6" w:themeColor="background1" w:themeShade="A6"/>
            </w:tcBorders>
          </w:tcPr>
          <w:p w14:paraId="1618C68B"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4F85723A"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4D7BE998"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5BD53D9"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839" w:type="dxa"/>
            <w:tcBorders>
              <w:top w:val="single" w:sz="4" w:space="0" w:color="A6A6A6" w:themeColor="background1" w:themeShade="A6"/>
              <w:bottom w:val="single" w:sz="4" w:space="0" w:color="A6A6A6" w:themeColor="background1" w:themeShade="A6"/>
            </w:tcBorders>
          </w:tcPr>
          <w:p w14:paraId="6B466753" w14:textId="77777777" w:rsidR="00FA7EBF" w:rsidRPr="006944B3" w:rsidRDefault="00FA7EBF" w:rsidP="006944B3">
            <w:pPr>
              <w:pStyle w:val="ARfintablebodyright"/>
              <w:ind w:right="0"/>
              <w:rPr>
                <w:sz w:val="15"/>
                <w:szCs w:val="15"/>
                <w:lang w:eastAsia="en-AU"/>
              </w:rPr>
            </w:pPr>
            <w:r w:rsidRPr="006944B3">
              <w:rPr>
                <w:sz w:val="15"/>
                <w:szCs w:val="15"/>
              </w:rPr>
              <w:t>1.7</w:t>
            </w:r>
          </w:p>
        </w:tc>
      </w:tr>
      <w:tr w:rsidR="00FA7EBF" w:rsidRPr="007939DD" w14:paraId="580CF9D8" w14:textId="77777777" w:rsidTr="007B207C">
        <w:trPr>
          <w:cantSplit/>
        </w:trPr>
        <w:tc>
          <w:tcPr>
            <w:tcW w:w="3208" w:type="dxa"/>
            <w:tcBorders>
              <w:top w:val="single" w:sz="4" w:space="0" w:color="A6A6A6" w:themeColor="background1" w:themeShade="A6"/>
              <w:bottom w:val="single" w:sz="4" w:space="0" w:color="A6A6A6" w:themeColor="background1" w:themeShade="A6"/>
            </w:tcBorders>
          </w:tcPr>
          <w:p w14:paraId="42D1F747" w14:textId="77777777" w:rsidR="00FA7EBF" w:rsidRPr="006944B3" w:rsidRDefault="00FA7EBF" w:rsidP="007B207C">
            <w:pPr>
              <w:pStyle w:val="ARfintablebody"/>
              <w:rPr>
                <w:sz w:val="15"/>
                <w:szCs w:val="15"/>
                <w:lang w:eastAsia="en-AU"/>
              </w:rPr>
            </w:pPr>
            <w:r w:rsidRPr="006944B3">
              <w:rPr>
                <w:sz w:val="15"/>
                <w:szCs w:val="15"/>
              </w:rPr>
              <w:t>Payments into the consolidated fund</w:t>
            </w:r>
          </w:p>
        </w:tc>
        <w:tc>
          <w:tcPr>
            <w:tcW w:w="796" w:type="dxa"/>
            <w:tcBorders>
              <w:top w:val="single" w:sz="4" w:space="0" w:color="A6A6A6" w:themeColor="background1" w:themeShade="A6"/>
              <w:bottom w:val="single" w:sz="4" w:space="0" w:color="A6A6A6" w:themeColor="background1" w:themeShade="A6"/>
            </w:tcBorders>
          </w:tcPr>
          <w:p w14:paraId="0C0835B7" w14:textId="77777777" w:rsidR="00FA7EBF" w:rsidRPr="006944B3" w:rsidRDefault="00FA7EBF" w:rsidP="006944B3">
            <w:pPr>
              <w:pStyle w:val="ARfintablebodyright"/>
              <w:ind w:right="0"/>
              <w:rPr>
                <w:sz w:val="15"/>
                <w:szCs w:val="15"/>
                <w:lang w:eastAsia="en-AU"/>
              </w:rPr>
            </w:pPr>
            <w:r w:rsidRPr="006944B3">
              <w:rPr>
                <w:sz w:val="15"/>
                <w:szCs w:val="15"/>
              </w:rPr>
              <w:t>287.6</w:t>
            </w:r>
          </w:p>
        </w:tc>
        <w:tc>
          <w:tcPr>
            <w:tcW w:w="642" w:type="dxa"/>
            <w:tcBorders>
              <w:top w:val="single" w:sz="4" w:space="0" w:color="A6A6A6" w:themeColor="background1" w:themeShade="A6"/>
              <w:bottom w:val="single" w:sz="4" w:space="0" w:color="A6A6A6" w:themeColor="background1" w:themeShade="A6"/>
            </w:tcBorders>
          </w:tcPr>
          <w:p w14:paraId="32015591"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83C7C55" w14:textId="77777777" w:rsidR="00FA7EBF" w:rsidRPr="006944B3" w:rsidRDefault="00FA7EBF" w:rsidP="006944B3">
            <w:pPr>
              <w:pStyle w:val="ARfintablebodyright"/>
              <w:ind w:right="0"/>
              <w:rPr>
                <w:sz w:val="15"/>
                <w:szCs w:val="15"/>
                <w:lang w:eastAsia="en-AU"/>
              </w:rPr>
            </w:pPr>
            <w:r w:rsidRPr="006944B3">
              <w:rPr>
                <w:sz w:val="15"/>
                <w:szCs w:val="15"/>
              </w:rPr>
              <w:t>18.2</w:t>
            </w:r>
          </w:p>
        </w:tc>
        <w:tc>
          <w:tcPr>
            <w:tcW w:w="641" w:type="dxa"/>
            <w:tcBorders>
              <w:top w:val="single" w:sz="4" w:space="0" w:color="A6A6A6" w:themeColor="background1" w:themeShade="A6"/>
              <w:bottom w:val="single" w:sz="4" w:space="0" w:color="A6A6A6" w:themeColor="background1" w:themeShade="A6"/>
            </w:tcBorders>
          </w:tcPr>
          <w:p w14:paraId="437AAEDB" w14:textId="77777777" w:rsidR="00FA7EBF" w:rsidRPr="006944B3" w:rsidRDefault="00FA7EBF" w:rsidP="006944B3">
            <w:pPr>
              <w:pStyle w:val="ARfintablebodyright"/>
              <w:ind w:right="0"/>
              <w:rPr>
                <w:sz w:val="15"/>
                <w:szCs w:val="15"/>
                <w:lang w:eastAsia="en-AU"/>
              </w:rPr>
            </w:pPr>
            <w:r w:rsidRPr="006944B3">
              <w:rPr>
                <w:sz w:val="15"/>
                <w:szCs w:val="15"/>
              </w:rPr>
              <w:t>69.8</w:t>
            </w:r>
          </w:p>
        </w:tc>
        <w:tc>
          <w:tcPr>
            <w:tcW w:w="641" w:type="dxa"/>
            <w:tcBorders>
              <w:top w:val="single" w:sz="4" w:space="0" w:color="A6A6A6" w:themeColor="background1" w:themeShade="A6"/>
              <w:bottom w:val="single" w:sz="4" w:space="0" w:color="A6A6A6" w:themeColor="background1" w:themeShade="A6"/>
            </w:tcBorders>
          </w:tcPr>
          <w:p w14:paraId="5492E9A4" w14:textId="77777777" w:rsidR="00FA7EBF" w:rsidRPr="006944B3" w:rsidRDefault="00FA7EBF" w:rsidP="006944B3">
            <w:pPr>
              <w:pStyle w:val="ARfintablebodyright"/>
              <w:ind w:right="0"/>
              <w:rPr>
                <w:sz w:val="15"/>
                <w:szCs w:val="15"/>
                <w:lang w:eastAsia="en-AU"/>
              </w:rPr>
            </w:pPr>
            <w:r w:rsidRPr="006944B3">
              <w:rPr>
                <w:sz w:val="15"/>
                <w:szCs w:val="15"/>
              </w:rPr>
              <w:t>3.9</w:t>
            </w:r>
          </w:p>
        </w:tc>
        <w:tc>
          <w:tcPr>
            <w:tcW w:w="641" w:type="dxa"/>
            <w:tcBorders>
              <w:top w:val="single" w:sz="4" w:space="0" w:color="A6A6A6" w:themeColor="background1" w:themeShade="A6"/>
              <w:bottom w:val="single" w:sz="4" w:space="0" w:color="A6A6A6" w:themeColor="background1" w:themeShade="A6"/>
            </w:tcBorders>
          </w:tcPr>
          <w:p w14:paraId="231A0981" w14:textId="77777777" w:rsidR="00FA7EBF" w:rsidRPr="006944B3" w:rsidRDefault="00FA7EBF" w:rsidP="006944B3">
            <w:pPr>
              <w:pStyle w:val="ARfintablebodyright"/>
              <w:ind w:right="0"/>
              <w:rPr>
                <w:sz w:val="15"/>
                <w:szCs w:val="15"/>
                <w:lang w:eastAsia="en-AU"/>
              </w:rPr>
            </w:pPr>
            <w:r w:rsidRPr="006944B3">
              <w:rPr>
                <w:sz w:val="15"/>
                <w:szCs w:val="15"/>
              </w:rPr>
              <w:t>4.9</w:t>
            </w:r>
          </w:p>
        </w:tc>
        <w:tc>
          <w:tcPr>
            <w:tcW w:w="641" w:type="dxa"/>
            <w:tcBorders>
              <w:top w:val="single" w:sz="4" w:space="0" w:color="A6A6A6" w:themeColor="background1" w:themeShade="A6"/>
              <w:bottom w:val="single" w:sz="4" w:space="0" w:color="A6A6A6" w:themeColor="background1" w:themeShade="A6"/>
            </w:tcBorders>
          </w:tcPr>
          <w:p w14:paraId="38EB53EF" w14:textId="77777777" w:rsidR="00FA7EBF" w:rsidRPr="006944B3" w:rsidRDefault="00FA7EBF" w:rsidP="006944B3">
            <w:pPr>
              <w:pStyle w:val="ARfintablebodyright"/>
              <w:ind w:right="0"/>
              <w:rPr>
                <w:sz w:val="15"/>
                <w:szCs w:val="15"/>
                <w:lang w:eastAsia="en-AU"/>
              </w:rPr>
            </w:pPr>
            <w:r w:rsidRPr="006944B3">
              <w:rPr>
                <w:sz w:val="15"/>
                <w:szCs w:val="15"/>
              </w:rPr>
              <w:t>10.2</w:t>
            </w:r>
          </w:p>
        </w:tc>
        <w:tc>
          <w:tcPr>
            <w:tcW w:w="641" w:type="dxa"/>
            <w:tcBorders>
              <w:top w:val="single" w:sz="4" w:space="0" w:color="A6A6A6" w:themeColor="background1" w:themeShade="A6"/>
              <w:bottom w:val="single" w:sz="4" w:space="0" w:color="A6A6A6" w:themeColor="background1" w:themeShade="A6"/>
            </w:tcBorders>
          </w:tcPr>
          <w:p w14:paraId="36FFC8E6" w14:textId="77777777" w:rsidR="00FA7EBF" w:rsidRPr="006944B3" w:rsidRDefault="00FA7EBF" w:rsidP="006944B3">
            <w:pPr>
              <w:pStyle w:val="ARfintablebodyright"/>
              <w:ind w:right="0"/>
              <w:rPr>
                <w:sz w:val="15"/>
                <w:szCs w:val="15"/>
                <w:lang w:eastAsia="en-AU"/>
              </w:rPr>
            </w:pPr>
            <w:r w:rsidRPr="006944B3">
              <w:rPr>
                <w:sz w:val="15"/>
                <w:szCs w:val="15"/>
              </w:rPr>
              <w:t>1.3</w:t>
            </w:r>
          </w:p>
        </w:tc>
        <w:tc>
          <w:tcPr>
            <w:tcW w:w="641" w:type="dxa"/>
            <w:tcBorders>
              <w:top w:val="single" w:sz="4" w:space="0" w:color="A6A6A6" w:themeColor="background1" w:themeShade="A6"/>
              <w:bottom w:val="single" w:sz="4" w:space="0" w:color="A6A6A6" w:themeColor="background1" w:themeShade="A6"/>
            </w:tcBorders>
          </w:tcPr>
          <w:p w14:paraId="0DCAE790" w14:textId="77777777" w:rsidR="00FA7EBF" w:rsidRPr="006944B3" w:rsidRDefault="00FA7EBF" w:rsidP="006944B3">
            <w:pPr>
              <w:pStyle w:val="ARfintablebodyright"/>
              <w:ind w:right="0"/>
              <w:rPr>
                <w:sz w:val="15"/>
                <w:szCs w:val="15"/>
                <w:lang w:eastAsia="en-AU"/>
              </w:rPr>
            </w:pPr>
            <w:r w:rsidRPr="006944B3">
              <w:rPr>
                <w:sz w:val="15"/>
                <w:szCs w:val="15"/>
              </w:rPr>
              <w:t>68.1</w:t>
            </w:r>
          </w:p>
        </w:tc>
        <w:tc>
          <w:tcPr>
            <w:tcW w:w="641" w:type="dxa"/>
            <w:tcBorders>
              <w:top w:val="single" w:sz="4" w:space="0" w:color="A6A6A6" w:themeColor="background1" w:themeShade="A6"/>
              <w:bottom w:val="single" w:sz="4" w:space="0" w:color="A6A6A6" w:themeColor="background1" w:themeShade="A6"/>
            </w:tcBorders>
          </w:tcPr>
          <w:p w14:paraId="3C224825" w14:textId="77777777" w:rsidR="00FA7EBF" w:rsidRPr="006944B3" w:rsidRDefault="00FA7EBF" w:rsidP="006944B3">
            <w:pPr>
              <w:pStyle w:val="ARfintablebodyright"/>
              <w:ind w:right="0"/>
              <w:rPr>
                <w:sz w:val="15"/>
                <w:szCs w:val="15"/>
                <w:lang w:eastAsia="en-AU"/>
              </w:rPr>
            </w:pPr>
            <w:r w:rsidRPr="006944B3">
              <w:rPr>
                <w:sz w:val="15"/>
                <w:szCs w:val="15"/>
              </w:rPr>
              <w:t>2.2</w:t>
            </w:r>
          </w:p>
        </w:tc>
        <w:tc>
          <w:tcPr>
            <w:tcW w:w="641" w:type="dxa"/>
            <w:tcBorders>
              <w:top w:val="single" w:sz="4" w:space="0" w:color="A6A6A6" w:themeColor="background1" w:themeShade="A6"/>
              <w:bottom w:val="single" w:sz="4" w:space="0" w:color="A6A6A6" w:themeColor="background1" w:themeShade="A6"/>
            </w:tcBorders>
          </w:tcPr>
          <w:p w14:paraId="0A367C33"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7477250" w14:textId="77777777" w:rsidR="00FA7EBF" w:rsidRPr="006944B3" w:rsidRDefault="00FA7EBF" w:rsidP="006944B3">
            <w:pPr>
              <w:pStyle w:val="ARfintablebodyright"/>
              <w:ind w:right="0"/>
              <w:rPr>
                <w:sz w:val="15"/>
                <w:szCs w:val="15"/>
                <w:lang w:eastAsia="en-AU"/>
              </w:rPr>
            </w:pPr>
            <w:r w:rsidRPr="006944B3">
              <w:rPr>
                <w:sz w:val="15"/>
                <w:szCs w:val="15"/>
              </w:rPr>
              <w:t>0.1</w:t>
            </w:r>
          </w:p>
        </w:tc>
        <w:tc>
          <w:tcPr>
            <w:tcW w:w="641" w:type="dxa"/>
            <w:tcBorders>
              <w:top w:val="single" w:sz="4" w:space="0" w:color="A6A6A6" w:themeColor="background1" w:themeShade="A6"/>
              <w:bottom w:val="single" w:sz="4" w:space="0" w:color="A6A6A6" w:themeColor="background1" w:themeShade="A6"/>
            </w:tcBorders>
          </w:tcPr>
          <w:p w14:paraId="3AF95356"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9FECFC7"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F75CE5A"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57A09FE"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839" w:type="dxa"/>
            <w:tcBorders>
              <w:top w:val="single" w:sz="4" w:space="0" w:color="A6A6A6" w:themeColor="background1" w:themeShade="A6"/>
              <w:bottom w:val="single" w:sz="4" w:space="0" w:color="A6A6A6" w:themeColor="background1" w:themeShade="A6"/>
            </w:tcBorders>
          </w:tcPr>
          <w:p w14:paraId="25DE3110" w14:textId="77777777" w:rsidR="00FA7EBF" w:rsidRPr="006944B3" w:rsidRDefault="00FA7EBF" w:rsidP="006944B3">
            <w:pPr>
              <w:pStyle w:val="ARfintablebodyright"/>
              <w:ind w:right="0"/>
              <w:rPr>
                <w:sz w:val="15"/>
                <w:szCs w:val="15"/>
                <w:lang w:eastAsia="en-AU"/>
              </w:rPr>
            </w:pPr>
            <w:r w:rsidRPr="006944B3">
              <w:rPr>
                <w:sz w:val="15"/>
                <w:szCs w:val="15"/>
              </w:rPr>
              <w:t>466.2</w:t>
            </w:r>
          </w:p>
        </w:tc>
      </w:tr>
      <w:tr w:rsidR="00FA7EBF" w:rsidRPr="007939DD" w14:paraId="69FBAF16" w14:textId="77777777" w:rsidTr="007B207C">
        <w:trPr>
          <w:cantSplit/>
        </w:trPr>
        <w:tc>
          <w:tcPr>
            <w:tcW w:w="3208" w:type="dxa"/>
            <w:tcBorders>
              <w:top w:val="single" w:sz="4" w:space="0" w:color="A6A6A6" w:themeColor="background1" w:themeShade="A6"/>
              <w:bottom w:val="single" w:sz="4" w:space="0" w:color="A6A6A6" w:themeColor="background1" w:themeShade="A6"/>
            </w:tcBorders>
          </w:tcPr>
          <w:p w14:paraId="04D9B4CE" w14:textId="77777777" w:rsidR="00FA7EBF" w:rsidRPr="006944B3" w:rsidRDefault="00FA7EBF" w:rsidP="007B207C">
            <w:pPr>
              <w:pStyle w:val="ARfintablebody"/>
              <w:rPr>
                <w:sz w:val="15"/>
                <w:szCs w:val="15"/>
                <w:lang w:eastAsia="en-AU"/>
              </w:rPr>
            </w:pPr>
            <w:r w:rsidRPr="006944B3">
              <w:rPr>
                <w:sz w:val="15"/>
                <w:szCs w:val="15"/>
              </w:rPr>
              <w:t>Payment to the departmental controlled entity</w:t>
            </w:r>
          </w:p>
        </w:tc>
        <w:tc>
          <w:tcPr>
            <w:tcW w:w="796" w:type="dxa"/>
            <w:tcBorders>
              <w:top w:val="single" w:sz="4" w:space="0" w:color="A6A6A6" w:themeColor="background1" w:themeShade="A6"/>
              <w:bottom w:val="single" w:sz="4" w:space="0" w:color="A6A6A6" w:themeColor="background1" w:themeShade="A6"/>
            </w:tcBorders>
          </w:tcPr>
          <w:p w14:paraId="2EF9F471" w14:textId="77777777" w:rsidR="00FA7EBF" w:rsidRPr="006944B3" w:rsidRDefault="00FA7EBF" w:rsidP="006944B3">
            <w:pPr>
              <w:pStyle w:val="ARfintablebodyright"/>
              <w:ind w:right="0"/>
              <w:rPr>
                <w:sz w:val="15"/>
                <w:szCs w:val="15"/>
                <w:lang w:eastAsia="en-AU"/>
              </w:rPr>
            </w:pPr>
            <w:r w:rsidRPr="006944B3">
              <w:rPr>
                <w:sz w:val="15"/>
                <w:szCs w:val="15"/>
              </w:rPr>
              <w:t>325.4</w:t>
            </w:r>
          </w:p>
        </w:tc>
        <w:tc>
          <w:tcPr>
            <w:tcW w:w="642" w:type="dxa"/>
            <w:tcBorders>
              <w:top w:val="single" w:sz="4" w:space="0" w:color="A6A6A6" w:themeColor="background1" w:themeShade="A6"/>
              <w:bottom w:val="single" w:sz="4" w:space="0" w:color="A6A6A6" w:themeColor="background1" w:themeShade="A6"/>
            </w:tcBorders>
          </w:tcPr>
          <w:p w14:paraId="46234FF8"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53BFAA6B" w14:textId="77777777" w:rsidR="00FA7EBF" w:rsidRPr="006944B3" w:rsidRDefault="00FA7EBF" w:rsidP="006944B3">
            <w:pPr>
              <w:pStyle w:val="ARfintablebodyright"/>
              <w:ind w:right="0"/>
              <w:rPr>
                <w:sz w:val="15"/>
                <w:szCs w:val="15"/>
                <w:lang w:eastAsia="en-AU"/>
              </w:rPr>
            </w:pPr>
            <w:r w:rsidRPr="006944B3">
              <w:rPr>
                <w:sz w:val="15"/>
                <w:szCs w:val="15"/>
              </w:rPr>
              <w:t>398.5</w:t>
            </w:r>
          </w:p>
        </w:tc>
        <w:tc>
          <w:tcPr>
            <w:tcW w:w="641" w:type="dxa"/>
            <w:tcBorders>
              <w:top w:val="single" w:sz="4" w:space="0" w:color="A6A6A6" w:themeColor="background1" w:themeShade="A6"/>
              <w:bottom w:val="single" w:sz="4" w:space="0" w:color="A6A6A6" w:themeColor="background1" w:themeShade="A6"/>
            </w:tcBorders>
          </w:tcPr>
          <w:p w14:paraId="7AF9B617"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58CB8DC9"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40B348F" w14:textId="77777777" w:rsidR="00FA7EBF" w:rsidRPr="006944B3" w:rsidRDefault="00FA7EBF" w:rsidP="006944B3">
            <w:pPr>
              <w:pStyle w:val="ARfintablebodyright"/>
              <w:ind w:right="0"/>
              <w:rPr>
                <w:sz w:val="15"/>
                <w:szCs w:val="15"/>
                <w:lang w:eastAsia="en-AU"/>
              </w:rPr>
            </w:pPr>
            <w:r w:rsidRPr="006944B3">
              <w:rPr>
                <w:sz w:val="15"/>
                <w:szCs w:val="15"/>
              </w:rPr>
              <w:t>92.1</w:t>
            </w:r>
          </w:p>
        </w:tc>
        <w:tc>
          <w:tcPr>
            <w:tcW w:w="641" w:type="dxa"/>
            <w:tcBorders>
              <w:top w:val="single" w:sz="4" w:space="0" w:color="A6A6A6" w:themeColor="background1" w:themeShade="A6"/>
              <w:bottom w:val="single" w:sz="4" w:space="0" w:color="A6A6A6" w:themeColor="background1" w:themeShade="A6"/>
            </w:tcBorders>
          </w:tcPr>
          <w:p w14:paraId="0CEC11F1" w14:textId="77777777" w:rsidR="00FA7EBF" w:rsidRPr="006944B3" w:rsidRDefault="00FA7EBF" w:rsidP="006944B3">
            <w:pPr>
              <w:pStyle w:val="ARfintablebodyright"/>
              <w:ind w:right="0"/>
              <w:rPr>
                <w:sz w:val="15"/>
                <w:szCs w:val="15"/>
                <w:lang w:eastAsia="en-AU"/>
              </w:rPr>
            </w:pPr>
            <w:r w:rsidRPr="006944B3">
              <w:rPr>
                <w:sz w:val="15"/>
                <w:szCs w:val="15"/>
              </w:rPr>
              <w:t>105.3</w:t>
            </w:r>
          </w:p>
        </w:tc>
        <w:tc>
          <w:tcPr>
            <w:tcW w:w="641" w:type="dxa"/>
            <w:tcBorders>
              <w:top w:val="single" w:sz="4" w:space="0" w:color="A6A6A6" w:themeColor="background1" w:themeShade="A6"/>
              <w:bottom w:val="single" w:sz="4" w:space="0" w:color="A6A6A6" w:themeColor="background1" w:themeShade="A6"/>
            </w:tcBorders>
          </w:tcPr>
          <w:p w14:paraId="577902AC"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58685C32"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6A5D098"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2401650"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FA4AC4A"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B7279B0"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1B31081"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D8D0E37"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767164B"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839" w:type="dxa"/>
            <w:tcBorders>
              <w:top w:val="single" w:sz="4" w:space="0" w:color="A6A6A6" w:themeColor="background1" w:themeShade="A6"/>
              <w:bottom w:val="single" w:sz="4" w:space="0" w:color="A6A6A6" w:themeColor="background1" w:themeShade="A6"/>
            </w:tcBorders>
          </w:tcPr>
          <w:p w14:paraId="68CF0B91" w14:textId="77777777" w:rsidR="00FA7EBF" w:rsidRPr="006944B3" w:rsidRDefault="00FA7EBF" w:rsidP="006944B3">
            <w:pPr>
              <w:pStyle w:val="ARfintablebodyright"/>
              <w:ind w:right="0"/>
              <w:rPr>
                <w:sz w:val="15"/>
                <w:szCs w:val="15"/>
                <w:lang w:eastAsia="en-AU"/>
              </w:rPr>
            </w:pPr>
            <w:r w:rsidRPr="006944B3">
              <w:rPr>
                <w:sz w:val="15"/>
                <w:szCs w:val="15"/>
              </w:rPr>
              <w:t>921.4</w:t>
            </w:r>
          </w:p>
        </w:tc>
      </w:tr>
      <w:tr w:rsidR="00FA7EBF" w:rsidRPr="007939DD" w14:paraId="2D34B93C" w14:textId="77777777" w:rsidTr="007B207C">
        <w:trPr>
          <w:cantSplit/>
        </w:trPr>
        <w:tc>
          <w:tcPr>
            <w:tcW w:w="3208" w:type="dxa"/>
            <w:tcBorders>
              <w:top w:val="single" w:sz="4" w:space="0" w:color="A6A6A6" w:themeColor="background1" w:themeShade="A6"/>
              <w:bottom w:val="single" w:sz="4" w:space="0" w:color="A6A6A6" w:themeColor="background1" w:themeShade="A6"/>
            </w:tcBorders>
          </w:tcPr>
          <w:p w14:paraId="7778D108" w14:textId="77777777" w:rsidR="00FA7EBF" w:rsidRPr="006944B3" w:rsidRDefault="00FA7EBF" w:rsidP="007B207C">
            <w:pPr>
              <w:pStyle w:val="ARfintablebody"/>
              <w:rPr>
                <w:sz w:val="15"/>
                <w:szCs w:val="15"/>
                <w:lang w:eastAsia="en-AU"/>
              </w:rPr>
            </w:pPr>
            <w:r w:rsidRPr="006944B3">
              <w:rPr>
                <w:sz w:val="15"/>
                <w:szCs w:val="15"/>
              </w:rPr>
              <w:t>Fair value of assets and services provided free of charge or for nominal consideration</w:t>
            </w:r>
          </w:p>
        </w:tc>
        <w:tc>
          <w:tcPr>
            <w:tcW w:w="796" w:type="dxa"/>
            <w:tcBorders>
              <w:top w:val="single" w:sz="4" w:space="0" w:color="A6A6A6" w:themeColor="background1" w:themeShade="A6"/>
              <w:bottom w:val="single" w:sz="4" w:space="0" w:color="A6A6A6" w:themeColor="background1" w:themeShade="A6"/>
            </w:tcBorders>
          </w:tcPr>
          <w:p w14:paraId="70F80B47"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2" w:type="dxa"/>
            <w:tcBorders>
              <w:top w:val="single" w:sz="4" w:space="0" w:color="A6A6A6" w:themeColor="background1" w:themeShade="A6"/>
              <w:bottom w:val="single" w:sz="4" w:space="0" w:color="A6A6A6" w:themeColor="background1" w:themeShade="A6"/>
            </w:tcBorders>
          </w:tcPr>
          <w:p w14:paraId="76D587DE"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8CA5132"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499ED9E"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203D8305"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2D80844"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4C21468"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495D5CB"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3377177" w14:textId="77777777" w:rsidR="00FA7EBF" w:rsidRPr="006944B3" w:rsidRDefault="00FA7EBF" w:rsidP="006944B3">
            <w:pPr>
              <w:pStyle w:val="ARfintablebodyright"/>
              <w:ind w:right="0"/>
              <w:rPr>
                <w:sz w:val="15"/>
                <w:szCs w:val="15"/>
                <w:lang w:eastAsia="en-AU"/>
              </w:rPr>
            </w:pPr>
            <w:r w:rsidRPr="006944B3">
              <w:rPr>
                <w:sz w:val="15"/>
                <w:szCs w:val="15"/>
              </w:rPr>
              <w:t>10.0</w:t>
            </w:r>
          </w:p>
        </w:tc>
        <w:tc>
          <w:tcPr>
            <w:tcW w:w="641" w:type="dxa"/>
            <w:tcBorders>
              <w:top w:val="single" w:sz="4" w:space="0" w:color="A6A6A6" w:themeColor="background1" w:themeShade="A6"/>
              <w:bottom w:val="single" w:sz="4" w:space="0" w:color="A6A6A6" w:themeColor="background1" w:themeShade="A6"/>
            </w:tcBorders>
          </w:tcPr>
          <w:p w14:paraId="010895DC"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4169D22B"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13B0A3C5"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A876F5D"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38C848D5"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69EEB91"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49C011DC"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839" w:type="dxa"/>
            <w:tcBorders>
              <w:top w:val="single" w:sz="4" w:space="0" w:color="A6A6A6" w:themeColor="background1" w:themeShade="A6"/>
              <w:bottom w:val="single" w:sz="4" w:space="0" w:color="A6A6A6" w:themeColor="background1" w:themeShade="A6"/>
            </w:tcBorders>
          </w:tcPr>
          <w:p w14:paraId="687A0C3F" w14:textId="77777777" w:rsidR="00FA7EBF" w:rsidRPr="006944B3" w:rsidRDefault="00FA7EBF" w:rsidP="006944B3">
            <w:pPr>
              <w:pStyle w:val="ARfintablebodyright"/>
              <w:ind w:right="0"/>
              <w:rPr>
                <w:sz w:val="15"/>
                <w:szCs w:val="15"/>
                <w:lang w:eastAsia="en-AU"/>
              </w:rPr>
            </w:pPr>
            <w:r w:rsidRPr="006944B3">
              <w:rPr>
                <w:sz w:val="15"/>
                <w:szCs w:val="15"/>
              </w:rPr>
              <w:t>10.0</w:t>
            </w:r>
          </w:p>
        </w:tc>
      </w:tr>
      <w:tr w:rsidR="00FA7EBF" w:rsidRPr="007939DD" w14:paraId="504DD32B" w14:textId="77777777" w:rsidTr="007B207C">
        <w:trPr>
          <w:cantSplit/>
        </w:trPr>
        <w:tc>
          <w:tcPr>
            <w:tcW w:w="3208" w:type="dxa"/>
          </w:tcPr>
          <w:p w14:paraId="5AB2FF4C" w14:textId="77777777" w:rsidR="00FA7EBF" w:rsidRPr="006944B3" w:rsidRDefault="00FA7EBF" w:rsidP="007B207C">
            <w:pPr>
              <w:pStyle w:val="ARfintablebodybold"/>
              <w:rPr>
                <w:rStyle w:val="Strong"/>
                <w:sz w:val="15"/>
                <w:szCs w:val="15"/>
              </w:rPr>
            </w:pPr>
            <w:r w:rsidRPr="006944B3">
              <w:rPr>
                <w:sz w:val="15"/>
                <w:szCs w:val="15"/>
              </w:rPr>
              <w:t>Total administered expenses from transactions</w:t>
            </w:r>
          </w:p>
        </w:tc>
        <w:tc>
          <w:tcPr>
            <w:tcW w:w="796" w:type="dxa"/>
          </w:tcPr>
          <w:p w14:paraId="1FF8F1E9" w14:textId="77777777" w:rsidR="00FA7EBF" w:rsidRPr="006944B3" w:rsidRDefault="00FA7EBF" w:rsidP="006944B3">
            <w:pPr>
              <w:pStyle w:val="ARfintablebodyrightbold"/>
              <w:ind w:right="0"/>
              <w:rPr>
                <w:sz w:val="15"/>
                <w:szCs w:val="15"/>
                <w:lang w:eastAsia="en-AU"/>
              </w:rPr>
            </w:pPr>
            <w:r w:rsidRPr="006944B3">
              <w:rPr>
                <w:sz w:val="15"/>
                <w:szCs w:val="15"/>
              </w:rPr>
              <w:t>9,831.1</w:t>
            </w:r>
          </w:p>
        </w:tc>
        <w:tc>
          <w:tcPr>
            <w:tcW w:w="642" w:type="dxa"/>
          </w:tcPr>
          <w:p w14:paraId="2C652F51"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40D50EB1" w14:textId="77777777" w:rsidR="00FA7EBF" w:rsidRPr="006944B3" w:rsidRDefault="00FA7EBF" w:rsidP="006944B3">
            <w:pPr>
              <w:pStyle w:val="ARfintablebodyrightbold"/>
              <w:ind w:right="0"/>
              <w:rPr>
                <w:sz w:val="15"/>
                <w:szCs w:val="15"/>
                <w:lang w:eastAsia="en-AU"/>
              </w:rPr>
            </w:pPr>
            <w:r w:rsidRPr="006944B3">
              <w:rPr>
                <w:sz w:val="15"/>
                <w:szCs w:val="15"/>
              </w:rPr>
              <w:t>780.9</w:t>
            </w:r>
          </w:p>
        </w:tc>
        <w:tc>
          <w:tcPr>
            <w:tcW w:w="641" w:type="dxa"/>
          </w:tcPr>
          <w:p w14:paraId="48A17517" w14:textId="77777777" w:rsidR="00FA7EBF" w:rsidRPr="006944B3" w:rsidRDefault="00FA7EBF" w:rsidP="006944B3">
            <w:pPr>
              <w:pStyle w:val="ARfintablebodyrightbold"/>
              <w:ind w:right="0"/>
              <w:rPr>
                <w:sz w:val="15"/>
                <w:szCs w:val="15"/>
                <w:lang w:eastAsia="en-AU"/>
              </w:rPr>
            </w:pPr>
            <w:r w:rsidRPr="006944B3">
              <w:rPr>
                <w:sz w:val="15"/>
                <w:szCs w:val="15"/>
              </w:rPr>
              <w:t>132.1</w:t>
            </w:r>
          </w:p>
        </w:tc>
        <w:tc>
          <w:tcPr>
            <w:tcW w:w="641" w:type="dxa"/>
          </w:tcPr>
          <w:p w14:paraId="7515D68F" w14:textId="77777777" w:rsidR="00FA7EBF" w:rsidRPr="006944B3" w:rsidRDefault="00FA7EBF" w:rsidP="006944B3">
            <w:pPr>
              <w:pStyle w:val="ARfintablebodyrightbold"/>
              <w:ind w:right="0"/>
              <w:rPr>
                <w:sz w:val="15"/>
                <w:szCs w:val="15"/>
                <w:lang w:eastAsia="en-AU"/>
              </w:rPr>
            </w:pPr>
            <w:r w:rsidRPr="006944B3">
              <w:rPr>
                <w:sz w:val="15"/>
                <w:szCs w:val="15"/>
              </w:rPr>
              <w:t>4.0</w:t>
            </w:r>
          </w:p>
        </w:tc>
        <w:tc>
          <w:tcPr>
            <w:tcW w:w="641" w:type="dxa"/>
          </w:tcPr>
          <w:p w14:paraId="61D518AB" w14:textId="77777777" w:rsidR="00FA7EBF" w:rsidRPr="006944B3" w:rsidRDefault="00FA7EBF" w:rsidP="006944B3">
            <w:pPr>
              <w:pStyle w:val="ARfintablebodyrightbold"/>
              <w:ind w:right="0"/>
              <w:rPr>
                <w:sz w:val="15"/>
                <w:szCs w:val="15"/>
                <w:lang w:eastAsia="en-AU"/>
              </w:rPr>
            </w:pPr>
            <w:r w:rsidRPr="006944B3">
              <w:rPr>
                <w:sz w:val="15"/>
                <w:szCs w:val="15"/>
              </w:rPr>
              <w:t>97.0</w:t>
            </w:r>
          </w:p>
        </w:tc>
        <w:tc>
          <w:tcPr>
            <w:tcW w:w="641" w:type="dxa"/>
          </w:tcPr>
          <w:p w14:paraId="4720478A" w14:textId="77777777" w:rsidR="00FA7EBF" w:rsidRPr="006944B3" w:rsidRDefault="00FA7EBF" w:rsidP="006944B3">
            <w:pPr>
              <w:pStyle w:val="ARfintablebodyrightbold"/>
              <w:ind w:right="0"/>
              <w:rPr>
                <w:sz w:val="15"/>
                <w:szCs w:val="15"/>
                <w:lang w:eastAsia="en-AU"/>
              </w:rPr>
            </w:pPr>
            <w:r w:rsidRPr="006944B3">
              <w:rPr>
                <w:sz w:val="15"/>
                <w:szCs w:val="15"/>
              </w:rPr>
              <w:t>115.7</w:t>
            </w:r>
          </w:p>
        </w:tc>
        <w:tc>
          <w:tcPr>
            <w:tcW w:w="641" w:type="dxa"/>
          </w:tcPr>
          <w:p w14:paraId="3C6556CB" w14:textId="77777777" w:rsidR="00FA7EBF" w:rsidRPr="006944B3" w:rsidRDefault="00FA7EBF" w:rsidP="006944B3">
            <w:pPr>
              <w:pStyle w:val="ARfintablebodyrightbold"/>
              <w:ind w:right="0"/>
              <w:rPr>
                <w:sz w:val="15"/>
                <w:szCs w:val="15"/>
                <w:lang w:eastAsia="en-AU"/>
              </w:rPr>
            </w:pPr>
            <w:r w:rsidRPr="006944B3">
              <w:rPr>
                <w:sz w:val="15"/>
                <w:szCs w:val="15"/>
              </w:rPr>
              <w:t>1.3</w:t>
            </w:r>
          </w:p>
        </w:tc>
        <w:tc>
          <w:tcPr>
            <w:tcW w:w="641" w:type="dxa"/>
          </w:tcPr>
          <w:p w14:paraId="16BF8589" w14:textId="77777777" w:rsidR="00FA7EBF" w:rsidRPr="006944B3" w:rsidRDefault="00FA7EBF" w:rsidP="006944B3">
            <w:pPr>
              <w:pStyle w:val="ARfintablebodyrightbold"/>
              <w:ind w:right="0"/>
              <w:rPr>
                <w:sz w:val="15"/>
                <w:szCs w:val="15"/>
                <w:lang w:eastAsia="en-AU"/>
              </w:rPr>
            </w:pPr>
            <w:r w:rsidRPr="006944B3">
              <w:rPr>
                <w:sz w:val="15"/>
                <w:szCs w:val="15"/>
              </w:rPr>
              <w:t>1,181.1</w:t>
            </w:r>
          </w:p>
        </w:tc>
        <w:tc>
          <w:tcPr>
            <w:tcW w:w="641" w:type="dxa"/>
          </w:tcPr>
          <w:p w14:paraId="4C729FCD" w14:textId="77777777" w:rsidR="00FA7EBF" w:rsidRPr="006944B3" w:rsidRDefault="00FA7EBF" w:rsidP="006944B3">
            <w:pPr>
              <w:pStyle w:val="ARfintablebodyrightbold"/>
              <w:ind w:right="0"/>
              <w:rPr>
                <w:sz w:val="15"/>
                <w:szCs w:val="15"/>
                <w:lang w:eastAsia="en-AU"/>
              </w:rPr>
            </w:pPr>
            <w:r w:rsidRPr="006944B3">
              <w:rPr>
                <w:sz w:val="15"/>
                <w:szCs w:val="15"/>
              </w:rPr>
              <w:t>2.6</w:t>
            </w:r>
          </w:p>
        </w:tc>
        <w:tc>
          <w:tcPr>
            <w:tcW w:w="641" w:type="dxa"/>
          </w:tcPr>
          <w:p w14:paraId="64695CCD" w14:textId="77777777" w:rsidR="00FA7EBF" w:rsidRPr="006944B3" w:rsidRDefault="00FA7EBF" w:rsidP="006944B3">
            <w:pPr>
              <w:pStyle w:val="ARfintablebodyrightbold"/>
              <w:ind w:right="0"/>
              <w:rPr>
                <w:sz w:val="15"/>
                <w:szCs w:val="15"/>
                <w:lang w:eastAsia="en-AU"/>
              </w:rPr>
            </w:pPr>
            <w:r w:rsidRPr="006944B3">
              <w:rPr>
                <w:sz w:val="15"/>
                <w:szCs w:val="15"/>
              </w:rPr>
              <w:t>1.6</w:t>
            </w:r>
          </w:p>
        </w:tc>
        <w:tc>
          <w:tcPr>
            <w:tcW w:w="641" w:type="dxa"/>
          </w:tcPr>
          <w:p w14:paraId="391A22CD" w14:textId="77777777" w:rsidR="00FA7EBF" w:rsidRPr="006944B3" w:rsidRDefault="00FA7EBF" w:rsidP="006944B3">
            <w:pPr>
              <w:pStyle w:val="ARfintablebodyrightbold"/>
              <w:ind w:right="0"/>
              <w:rPr>
                <w:sz w:val="15"/>
                <w:szCs w:val="15"/>
                <w:lang w:eastAsia="en-AU"/>
              </w:rPr>
            </w:pPr>
            <w:r w:rsidRPr="006944B3">
              <w:rPr>
                <w:sz w:val="15"/>
                <w:szCs w:val="15"/>
              </w:rPr>
              <w:t>0.6</w:t>
            </w:r>
          </w:p>
        </w:tc>
        <w:tc>
          <w:tcPr>
            <w:tcW w:w="641" w:type="dxa"/>
          </w:tcPr>
          <w:p w14:paraId="3AB5F5C1"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71A1BA70"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647A45E8"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41D8D2C9"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839" w:type="dxa"/>
          </w:tcPr>
          <w:p w14:paraId="361B4C60" w14:textId="77777777" w:rsidR="00FA7EBF" w:rsidRPr="006944B3" w:rsidRDefault="00FA7EBF" w:rsidP="006944B3">
            <w:pPr>
              <w:pStyle w:val="ARfintablebodyrightbold"/>
              <w:ind w:right="0"/>
              <w:rPr>
                <w:sz w:val="15"/>
                <w:szCs w:val="15"/>
                <w:lang w:eastAsia="en-AU"/>
              </w:rPr>
            </w:pPr>
            <w:r w:rsidRPr="006944B3">
              <w:rPr>
                <w:sz w:val="15"/>
                <w:szCs w:val="15"/>
              </w:rPr>
              <w:t>12,148.0</w:t>
            </w:r>
          </w:p>
        </w:tc>
      </w:tr>
      <w:tr w:rsidR="00FA7EBF" w:rsidRPr="007939DD" w14:paraId="11A81656" w14:textId="77777777" w:rsidTr="007B207C">
        <w:trPr>
          <w:cantSplit/>
        </w:trPr>
        <w:tc>
          <w:tcPr>
            <w:tcW w:w="3208" w:type="dxa"/>
          </w:tcPr>
          <w:p w14:paraId="54AAFFB9" w14:textId="77777777" w:rsidR="00FA7EBF" w:rsidRPr="006944B3" w:rsidRDefault="00FA7EBF" w:rsidP="007B207C">
            <w:pPr>
              <w:pStyle w:val="ARfintablebodybold"/>
              <w:rPr>
                <w:rStyle w:val="Strong"/>
                <w:sz w:val="15"/>
                <w:szCs w:val="15"/>
              </w:rPr>
            </w:pPr>
            <w:r w:rsidRPr="006944B3">
              <w:rPr>
                <w:sz w:val="15"/>
                <w:szCs w:val="15"/>
              </w:rPr>
              <w:t>Total administered net result from transactions</w:t>
            </w:r>
          </w:p>
        </w:tc>
        <w:tc>
          <w:tcPr>
            <w:tcW w:w="796" w:type="dxa"/>
          </w:tcPr>
          <w:p w14:paraId="3F2133A6" w14:textId="77777777" w:rsidR="00FA7EBF" w:rsidRPr="006944B3" w:rsidRDefault="00FA7EBF" w:rsidP="006944B3">
            <w:pPr>
              <w:pStyle w:val="ARfintablebodyrightbold"/>
              <w:ind w:right="0"/>
              <w:rPr>
                <w:sz w:val="15"/>
                <w:szCs w:val="15"/>
                <w:lang w:eastAsia="en-AU"/>
              </w:rPr>
            </w:pPr>
            <w:r w:rsidRPr="006944B3">
              <w:rPr>
                <w:sz w:val="15"/>
                <w:szCs w:val="15"/>
              </w:rPr>
              <w:t>7.1</w:t>
            </w:r>
          </w:p>
        </w:tc>
        <w:tc>
          <w:tcPr>
            <w:tcW w:w="642" w:type="dxa"/>
          </w:tcPr>
          <w:p w14:paraId="77C7402B"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31F59BCC"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3666A36C"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1A98368F"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5C71DAFF"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16EB5AAE"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5E028A38"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227D6B59" w14:textId="77777777" w:rsidR="00FA7EBF" w:rsidRPr="006944B3" w:rsidRDefault="00FA7EBF" w:rsidP="006944B3">
            <w:pPr>
              <w:pStyle w:val="ARfintablebodyrightbold"/>
              <w:ind w:right="0"/>
              <w:rPr>
                <w:sz w:val="15"/>
                <w:szCs w:val="15"/>
                <w:lang w:eastAsia="en-AU"/>
              </w:rPr>
            </w:pPr>
            <w:r w:rsidRPr="006944B3">
              <w:rPr>
                <w:sz w:val="15"/>
                <w:szCs w:val="15"/>
              </w:rPr>
              <w:t>(45.1)</w:t>
            </w:r>
          </w:p>
        </w:tc>
        <w:tc>
          <w:tcPr>
            <w:tcW w:w="641" w:type="dxa"/>
          </w:tcPr>
          <w:p w14:paraId="408C097A" w14:textId="77777777" w:rsidR="00FA7EBF" w:rsidRPr="006944B3" w:rsidRDefault="00FA7EBF" w:rsidP="006944B3">
            <w:pPr>
              <w:pStyle w:val="ARfintablebodyrightbold"/>
              <w:ind w:right="0"/>
              <w:rPr>
                <w:sz w:val="15"/>
                <w:szCs w:val="15"/>
                <w:lang w:eastAsia="en-AU"/>
              </w:rPr>
            </w:pPr>
            <w:r w:rsidRPr="006944B3">
              <w:rPr>
                <w:sz w:val="15"/>
                <w:szCs w:val="15"/>
              </w:rPr>
              <w:t>(0.5)</w:t>
            </w:r>
          </w:p>
        </w:tc>
        <w:tc>
          <w:tcPr>
            <w:tcW w:w="641" w:type="dxa"/>
          </w:tcPr>
          <w:p w14:paraId="5754667C"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5BEC82BB" w14:textId="77777777" w:rsidR="00FA7EBF" w:rsidRPr="006944B3" w:rsidRDefault="00FA7EBF" w:rsidP="006944B3">
            <w:pPr>
              <w:pStyle w:val="ARfintablebodyrightbold"/>
              <w:ind w:right="0"/>
              <w:rPr>
                <w:sz w:val="15"/>
                <w:szCs w:val="15"/>
                <w:lang w:eastAsia="en-AU"/>
              </w:rPr>
            </w:pPr>
            <w:r w:rsidRPr="006944B3">
              <w:rPr>
                <w:sz w:val="15"/>
                <w:szCs w:val="15"/>
              </w:rPr>
              <w:t>(0.4)</w:t>
            </w:r>
          </w:p>
        </w:tc>
        <w:tc>
          <w:tcPr>
            <w:tcW w:w="641" w:type="dxa"/>
          </w:tcPr>
          <w:p w14:paraId="1B60180D"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50877593"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77B673D9"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2D8737CE"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839" w:type="dxa"/>
          </w:tcPr>
          <w:p w14:paraId="3774A9EF" w14:textId="77777777" w:rsidR="00FA7EBF" w:rsidRPr="006944B3" w:rsidRDefault="00FA7EBF" w:rsidP="006944B3">
            <w:pPr>
              <w:pStyle w:val="ARfintablebodyrightbold"/>
              <w:ind w:right="0"/>
              <w:rPr>
                <w:sz w:val="15"/>
                <w:szCs w:val="15"/>
                <w:lang w:eastAsia="en-AU"/>
              </w:rPr>
            </w:pPr>
            <w:r w:rsidRPr="006944B3">
              <w:rPr>
                <w:sz w:val="15"/>
                <w:szCs w:val="15"/>
              </w:rPr>
              <w:t>(38.9)</w:t>
            </w:r>
          </w:p>
        </w:tc>
      </w:tr>
      <w:tr w:rsidR="00FA7EBF" w:rsidRPr="007939DD" w14:paraId="1EAA2B9F" w14:textId="77777777" w:rsidTr="007B207C">
        <w:trPr>
          <w:cantSplit/>
        </w:trPr>
        <w:tc>
          <w:tcPr>
            <w:tcW w:w="14459" w:type="dxa"/>
            <w:gridSpan w:val="18"/>
            <w:tcBorders>
              <w:bottom w:val="single" w:sz="4" w:space="0" w:color="A6A6A6" w:themeColor="background1" w:themeShade="A6"/>
            </w:tcBorders>
          </w:tcPr>
          <w:p w14:paraId="786D92EB" w14:textId="77777777" w:rsidR="00FA7EBF" w:rsidRPr="004E3D18" w:rsidRDefault="00FA7EBF" w:rsidP="007B207C">
            <w:pPr>
              <w:pStyle w:val="ARfintablebodybold"/>
              <w:rPr>
                <w:lang w:eastAsia="en-AU"/>
              </w:rPr>
            </w:pPr>
            <w:r w:rsidRPr="004E3D18">
              <w:t>Administered other economic flows included in net result</w:t>
            </w:r>
          </w:p>
        </w:tc>
      </w:tr>
      <w:tr w:rsidR="00FA7EBF" w:rsidRPr="007939DD" w14:paraId="0A8F3B53" w14:textId="77777777" w:rsidTr="007B207C">
        <w:trPr>
          <w:cantSplit/>
        </w:trPr>
        <w:tc>
          <w:tcPr>
            <w:tcW w:w="3208" w:type="dxa"/>
            <w:tcBorders>
              <w:top w:val="single" w:sz="4" w:space="0" w:color="A6A6A6" w:themeColor="background1" w:themeShade="A6"/>
              <w:bottom w:val="single" w:sz="4" w:space="0" w:color="A6A6A6" w:themeColor="background1" w:themeShade="A6"/>
            </w:tcBorders>
          </w:tcPr>
          <w:p w14:paraId="01583C1F" w14:textId="77777777" w:rsidR="00FA7EBF" w:rsidRPr="006944B3" w:rsidRDefault="00FA7EBF" w:rsidP="007B207C">
            <w:pPr>
              <w:pStyle w:val="ARfintablebody"/>
              <w:rPr>
                <w:sz w:val="15"/>
                <w:szCs w:val="15"/>
                <w:lang w:eastAsia="en-AU"/>
              </w:rPr>
            </w:pPr>
            <w:r w:rsidRPr="006944B3">
              <w:rPr>
                <w:sz w:val="15"/>
                <w:szCs w:val="15"/>
              </w:rPr>
              <w:t>Net gain/(loss) on non-financial assets</w:t>
            </w:r>
          </w:p>
        </w:tc>
        <w:tc>
          <w:tcPr>
            <w:tcW w:w="796" w:type="dxa"/>
            <w:tcBorders>
              <w:top w:val="single" w:sz="4" w:space="0" w:color="A6A6A6" w:themeColor="background1" w:themeShade="A6"/>
              <w:bottom w:val="single" w:sz="4" w:space="0" w:color="A6A6A6" w:themeColor="background1" w:themeShade="A6"/>
            </w:tcBorders>
          </w:tcPr>
          <w:p w14:paraId="31071E12"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2" w:type="dxa"/>
            <w:tcBorders>
              <w:top w:val="single" w:sz="4" w:space="0" w:color="A6A6A6" w:themeColor="background1" w:themeShade="A6"/>
              <w:bottom w:val="single" w:sz="4" w:space="0" w:color="A6A6A6" w:themeColor="background1" w:themeShade="A6"/>
            </w:tcBorders>
          </w:tcPr>
          <w:p w14:paraId="791963D7"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5E182980" w14:textId="77777777" w:rsidR="00FA7EBF" w:rsidRPr="006944B3" w:rsidRDefault="00FA7EBF" w:rsidP="006944B3">
            <w:pPr>
              <w:pStyle w:val="ARfintablebodyright"/>
              <w:ind w:right="0"/>
              <w:rPr>
                <w:sz w:val="15"/>
                <w:szCs w:val="15"/>
                <w:lang w:eastAsia="en-AU"/>
              </w:rPr>
            </w:pPr>
            <w:r w:rsidRPr="006944B3">
              <w:rPr>
                <w:sz w:val="15"/>
                <w:szCs w:val="15"/>
              </w:rPr>
              <w:t>(0.1)</w:t>
            </w:r>
          </w:p>
        </w:tc>
        <w:tc>
          <w:tcPr>
            <w:tcW w:w="641" w:type="dxa"/>
            <w:tcBorders>
              <w:top w:val="single" w:sz="4" w:space="0" w:color="A6A6A6" w:themeColor="background1" w:themeShade="A6"/>
              <w:bottom w:val="single" w:sz="4" w:space="0" w:color="A6A6A6" w:themeColor="background1" w:themeShade="A6"/>
            </w:tcBorders>
          </w:tcPr>
          <w:p w14:paraId="5FFCF56E"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6606650" w14:textId="77777777" w:rsidR="00FA7EBF" w:rsidRPr="006944B3" w:rsidRDefault="00FA7EBF" w:rsidP="006944B3">
            <w:pPr>
              <w:pStyle w:val="ARfintablebodyright"/>
              <w:ind w:right="0"/>
              <w:rPr>
                <w:sz w:val="15"/>
                <w:szCs w:val="15"/>
                <w:lang w:eastAsia="en-AU"/>
              </w:rPr>
            </w:pPr>
            <w:r w:rsidRPr="006944B3">
              <w:rPr>
                <w:sz w:val="15"/>
                <w:szCs w:val="15"/>
              </w:rPr>
              <w:t>(0.1)</w:t>
            </w:r>
          </w:p>
        </w:tc>
        <w:tc>
          <w:tcPr>
            <w:tcW w:w="641" w:type="dxa"/>
            <w:tcBorders>
              <w:top w:val="single" w:sz="4" w:space="0" w:color="A6A6A6" w:themeColor="background1" w:themeShade="A6"/>
              <w:bottom w:val="single" w:sz="4" w:space="0" w:color="A6A6A6" w:themeColor="background1" w:themeShade="A6"/>
            </w:tcBorders>
          </w:tcPr>
          <w:p w14:paraId="3B41CD60"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670AC32"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B8AEF95"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6C15CC71" w14:textId="77777777" w:rsidR="00FA7EBF" w:rsidRPr="006944B3" w:rsidRDefault="00FA7EBF" w:rsidP="006944B3">
            <w:pPr>
              <w:pStyle w:val="ARfintablebodyright"/>
              <w:ind w:right="0"/>
              <w:rPr>
                <w:sz w:val="15"/>
                <w:szCs w:val="15"/>
                <w:lang w:eastAsia="en-AU"/>
              </w:rPr>
            </w:pPr>
            <w:r w:rsidRPr="006944B3">
              <w:rPr>
                <w:sz w:val="15"/>
                <w:szCs w:val="15"/>
              </w:rPr>
              <w:t>(5.7)</w:t>
            </w:r>
          </w:p>
        </w:tc>
        <w:tc>
          <w:tcPr>
            <w:tcW w:w="641" w:type="dxa"/>
            <w:tcBorders>
              <w:top w:val="single" w:sz="4" w:space="0" w:color="A6A6A6" w:themeColor="background1" w:themeShade="A6"/>
              <w:bottom w:val="single" w:sz="4" w:space="0" w:color="A6A6A6" w:themeColor="background1" w:themeShade="A6"/>
            </w:tcBorders>
          </w:tcPr>
          <w:p w14:paraId="1B50F66D" w14:textId="77777777" w:rsidR="00FA7EBF" w:rsidRPr="006944B3" w:rsidRDefault="00FA7EBF" w:rsidP="006944B3">
            <w:pPr>
              <w:pStyle w:val="ARfintablebodyright"/>
              <w:ind w:right="0"/>
              <w:rPr>
                <w:sz w:val="15"/>
                <w:szCs w:val="15"/>
                <w:lang w:eastAsia="en-AU"/>
              </w:rPr>
            </w:pPr>
            <w:r w:rsidRPr="006944B3">
              <w:rPr>
                <w:sz w:val="15"/>
                <w:szCs w:val="15"/>
              </w:rPr>
              <w:t>0.1</w:t>
            </w:r>
          </w:p>
        </w:tc>
        <w:tc>
          <w:tcPr>
            <w:tcW w:w="641" w:type="dxa"/>
            <w:tcBorders>
              <w:top w:val="single" w:sz="4" w:space="0" w:color="A6A6A6" w:themeColor="background1" w:themeShade="A6"/>
              <w:bottom w:val="single" w:sz="4" w:space="0" w:color="A6A6A6" w:themeColor="background1" w:themeShade="A6"/>
            </w:tcBorders>
          </w:tcPr>
          <w:p w14:paraId="0C0A7251"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07D0422E"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5B878D64"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A481562" w14:textId="77777777" w:rsidR="00FA7EBF" w:rsidRPr="006944B3" w:rsidRDefault="00FA7EBF" w:rsidP="006944B3">
            <w:pPr>
              <w:pStyle w:val="ARfintablebodyright"/>
              <w:ind w:right="0"/>
              <w:rPr>
                <w:sz w:val="15"/>
                <w:szCs w:val="15"/>
                <w:lang w:eastAsia="en-AU"/>
              </w:rPr>
            </w:pPr>
            <w:r w:rsidRPr="006944B3">
              <w:rPr>
                <w:sz w:val="15"/>
                <w:szCs w:val="15"/>
              </w:rPr>
              <w:t>(2.3)</w:t>
            </w:r>
          </w:p>
        </w:tc>
        <w:tc>
          <w:tcPr>
            <w:tcW w:w="641" w:type="dxa"/>
            <w:tcBorders>
              <w:top w:val="single" w:sz="4" w:space="0" w:color="A6A6A6" w:themeColor="background1" w:themeShade="A6"/>
              <w:bottom w:val="single" w:sz="4" w:space="0" w:color="A6A6A6" w:themeColor="background1" w:themeShade="A6"/>
            </w:tcBorders>
          </w:tcPr>
          <w:p w14:paraId="3A694B8F"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bottom w:val="single" w:sz="4" w:space="0" w:color="A6A6A6" w:themeColor="background1" w:themeShade="A6"/>
            </w:tcBorders>
          </w:tcPr>
          <w:p w14:paraId="748489A2"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839" w:type="dxa"/>
            <w:tcBorders>
              <w:top w:val="single" w:sz="4" w:space="0" w:color="A6A6A6" w:themeColor="background1" w:themeShade="A6"/>
              <w:bottom w:val="single" w:sz="4" w:space="0" w:color="A6A6A6" w:themeColor="background1" w:themeShade="A6"/>
            </w:tcBorders>
          </w:tcPr>
          <w:p w14:paraId="1BA10025" w14:textId="77777777" w:rsidR="00FA7EBF" w:rsidRPr="006944B3" w:rsidRDefault="00FA7EBF" w:rsidP="006944B3">
            <w:pPr>
              <w:pStyle w:val="ARfintablebodyright"/>
              <w:ind w:right="0"/>
              <w:rPr>
                <w:sz w:val="15"/>
                <w:szCs w:val="15"/>
                <w:lang w:eastAsia="en-AU"/>
              </w:rPr>
            </w:pPr>
            <w:r w:rsidRPr="006944B3">
              <w:rPr>
                <w:sz w:val="15"/>
                <w:szCs w:val="15"/>
              </w:rPr>
              <w:t>(8.1)</w:t>
            </w:r>
          </w:p>
        </w:tc>
      </w:tr>
      <w:tr w:rsidR="00FA7EBF" w:rsidRPr="007939DD" w14:paraId="1110E152" w14:textId="77777777" w:rsidTr="007B207C">
        <w:trPr>
          <w:cantSplit/>
        </w:trPr>
        <w:tc>
          <w:tcPr>
            <w:tcW w:w="3208" w:type="dxa"/>
            <w:tcBorders>
              <w:top w:val="single" w:sz="4" w:space="0" w:color="A6A6A6" w:themeColor="background1" w:themeShade="A6"/>
            </w:tcBorders>
          </w:tcPr>
          <w:p w14:paraId="33E39540" w14:textId="77777777" w:rsidR="00FA7EBF" w:rsidRPr="006944B3" w:rsidRDefault="00FA7EBF" w:rsidP="007B207C">
            <w:pPr>
              <w:pStyle w:val="ARfintablebody"/>
              <w:rPr>
                <w:sz w:val="15"/>
                <w:szCs w:val="15"/>
                <w:lang w:eastAsia="en-AU"/>
              </w:rPr>
            </w:pPr>
            <w:r w:rsidRPr="006944B3">
              <w:rPr>
                <w:sz w:val="15"/>
                <w:szCs w:val="15"/>
              </w:rPr>
              <w:t>Other gains/(losses) from other economic flows</w:t>
            </w:r>
          </w:p>
        </w:tc>
        <w:tc>
          <w:tcPr>
            <w:tcW w:w="796" w:type="dxa"/>
            <w:tcBorders>
              <w:top w:val="single" w:sz="4" w:space="0" w:color="A6A6A6" w:themeColor="background1" w:themeShade="A6"/>
            </w:tcBorders>
          </w:tcPr>
          <w:p w14:paraId="3CE197A2"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2" w:type="dxa"/>
            <w:tcBorders>
              <w:top w:val="single" w:sz="4" w:space="0" w:color="A6A6A6" w:themeColor="background1" w:themeShade="A6"/>
            </w:tcBorders>
          </w:tcPr>
          <w:p w14:paraId="35830475"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7E4ED7D7"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31BB3D0E"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772215ED"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71B02F1D"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0F0C5BDB"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682C9ED2"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12D5DC52" w14:textId="77777777" w:rsidR="00FA7EBF" w:rsidRPr="006944B3" w:rsidRDefault="00FA7EBF" w:rsidP="006944B3">
            <w:pPr>
              <w:pStyle w:val="ARfintablebodyright"/>
              <w:ind w:right="0"/>
              <w:rPr>
                <w:sz w:val="15"/>
                <w:szCs w:val="15"/>
                <w:lang w:eastAsia="en-AU"/>
              </w:rPr>
            </w:pPr>
            <w:r w:rsidRPr="006944B3">
              <w:rPr>
                <w:sz w:val="15"/>
                <w:szCs w:val="15"/>
              </w:rPr>
              <w:t>(3.9)</w:t>
            </w:r>
          </w:p>
        </w:tc>
        <w:tc>
          <w:tcPr>
            <w:tcW w:w="641" w:type="dxa"/>
            <w:tcBorders>
              <w:top w:val="single" w:sz="4" w:space="0" w:color="A6A6A6" w:themeColor="background1" w:themeShade="A6"/>
            </w:tcBorders>
          </w:tcPr>
          <w:p w14:paraId="3171FD32"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7D0B44F9"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3461EE2F"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2BFB3FF1"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60D0C33C"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43DEC7F6"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641" w:type="dxa"/>
            <w:tcBorders>
              <w:top w:val="single" w:sz="4" w:space="0" w:color="A6A6A6" w:themeColor="background1" w:themeShade="A6"/>
            </w:tcBorders>
          </w:tcPr>
          <w:p w14:paraId="54AA092C" w14:textId="77777777" w:rsidR="00FA7EBF" w:rsidRPr="006944B3" w:rsidRDefault="00FA7EBF" w:rsidP="006944B3">
            <w:pPr>
              <w:pStyle w:val="ARfintablebodyright"/>
              <w:ind w:right="0"/>
              <w:rPr>
                <w:sz w:val="15"/>
                <w:szCs w:val="15"/>
                <w:lang w:eastAsia="en-AU"/>
              </w:rPr>
            </w:pPr>
            <w:r w:rsidRPr="006944B3">
              <w:rPr>
                <w:sz w:val="15"/>
                <w:szCs w:val="15"/>
              </w:rPr>
              <w:t>–</w:t>
            </w:r>
          </w:p>
        </w:tc>
        <w:tc>
          <w:tcPr>
            <w:tcW w:w="839" w:type="dxa"/>
            <w:tcBorders>
              <w:top w:val="single" w:sz="4" w:space="0" w:color="A6A6A6" w:themeColor="background1" w:themeShade="A6"/>
            </w:tcBorders>
          </w:tcPr>
          <w:p w14:paraId="1A2ED0E7" w14:textId="77777777" w:rsidR="00FA7EBF" w:rsidRPr="006944B3" w:rsidRDefault="00FA7EBF" w:rsidP="006944B3">
            <w:pPr>
              <w:pStyle w:val="ARfintablebodyright"/>
              <w:ind w:right="0"/>
              <w:rPr>
                <w:sz w:val="15"/>
                <w:szCs w:val="15"/>
                <w:lang w:eastAsia="en-AU"/>
              </w:rPr>
            </w:pPr>
            <w:r w:rsidRPr="006944B3">
              <w:rPr>
                <w:sz w:val="15"/>
                <w:szCs w:val="15"/>
              </w:rPr>
              <w:t>(3.9)</w:t>
            </w:r>
          </w:p>
        </w:tc>
      </w:tr>
      <w:tr w:rsidR="00FA7EBF" w:rsidRPr="007939DD" w14:paraId="7BC19270" w14:textId="77777777" w:rsidTr="007B207C">
        <w:trPr>
          <w:cantSplit/>
        </w:trPr>
        <w:tc>
          <w:tcPr>
            <w:tcW w:w="3208" w:type="dxa"/>
          </w:tcPr>
          <w:p w14:paraId="4FA0D17E" w14:textId="77777777" w:rsidR="00FA7EBF" w:rsidRPr="006944B3" w:rsidRDefault="00FA7EBF" w:rsidP="007B207C">
            <w:pPr>
              <w:pStyle w:val="ARfintablebodybold"/>
              <w:rPr>
                <w:rStyle w:val="Strong"/>
                <w:sz w:val="15"/>
                <w:szCs w:val="15"/>
              </w:rPr>
            </w:pPr>
            <w:r w:rsidRPr="006944B3">
              <w:rPr>
                <w:sz w:val="15"/>
                <w:szCs w:val="15"/>
              </w:rPr>
              <w:t>Total administered other economic flows</w:t>
            </w:r>
          </w:p>
        </w:tc>
        <w:tc>
          <w:tcPr>
            <w:tcW w:w="796" w:type="dxa"/>
          </w:tcPr>
          <w:p w14:paraId="6791AC48"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2" w:type="dxa"/>
          </w:tcPr>
          <w:p w14:paraId="5A8B3A5E"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2A4B1DCA" w14:textId="77777777" w:rsidR="00FA7EBF" w:rsidRPr="006944B3" w:rsidRDefault="00FA7EBF" w:rsidP="006944B3">
            <w:pPr>
              <w:pStyle w:val="ARfintablebodyrightbold"/>
              <w:ind w:right="0"/>
              <w:rPr>
                <w:sz w:val="15"/>
                <w:szCs w:val="15"/>
                <w:lang w:eastAsia="en-AU"/>
              </w:rPr>
            </w:pPr>
            <w:r w:rsidRPr="006944B3">
              <w:rPr>
                <w:sz w:val="15"/>
                <w:szCs w:val="15"/>
              </w:rPr>
              <w:t>(0.1)</w:t>
            </w:r>
          </w:p>
        </w:tc>
        <w:tc>
          <w:tcPr>
            <w:tcW w:w="641" w:type="dxa"/>
          </w:tcPr>
          <w:p w14:paraId="1EC2889B"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27FF5AF5" w14:textId="77777777" w:rsidR="00FA7EBF" w:rsidRPr="006944B3" w:rsidRDefault="00FA7EBF" w:rsidP="006944B3">
            <w:pPr>
              <w:pStyle w:val="ARfintablebodyrightbold"/>
              <w:ind w:right="0"/>
              <w:rPr>
                <w:sz w:val="15"/>
                <w:szCs w:val="15"/>
                <w:lang w:eastAsia="en-AU"/>
              </w:rPr>
            </w:pPr>
            <w:r w:rsidRPr="006944B3">
              <w:rPr>
                <w:sz w:val="15"/>
                <w:szCs w:val="15"/>
              </w:rPr>
              <w:t>(0.1)</w:t>
            </w:r>
          </w:p>
        </w:tc>
        <w:tc>
          <w:tcPr>
            <w:tcW w:w="641" w:type="dxa"/>
          </w:tcPr>
          <w:p w14:paraId="0A5128C6"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6695D725"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1D6B8E85"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42474342" w14:textId="77777777" w:rsidR="00FA7EBF" w:rsidRPr="006944B3" w:rsidRDefault="00FA7EBF" w:rsidP="006944B3">
            <w:pPr>
              <w:pStyle w:val="ARfintablebodyrightbold"/>
              <w:ind w:right="0"/>
              <w:rPr>
                <w:sz w:val="15"/>
                <w:szCs w:val="15"/>
                <w:lang w:eastAsia="en-AU"/>
              </w:rPr>
            </w:pPr>
            <w:r w:rsidRPr="006944B3">
              <w:rPr>
                <w:sz w:val="15"/>
                <w:szCs w:val="15"/>
              </w:rPr>
              <w:t>(9.5)</w:t>
            </w:r>
          </w:p>
        </w:tc>
        <w:tc>
          <w:tcPr>
            <w:tcW w:w="641" w:type="dxa"/>
          </w:tcPr>
          <w:p w14:paraId="42EC04A2" w14:textId="77777777" w:rsidR="00FA7EBF" w:rsidRPr="006944B3" w:rsidRDefault="00FA7EBF" w:rsidP="006944B3">
            <w:pPr>
              <w:pStyle w:val="ARfintablebodyrightbold"/>
              <w:ind w:right="0"/>
              <w:rPr>
                <w:sz w:val="15"/>
                <w:szCs w:val="15"/>
                <w:lang w:eastAsia="en-AU"/>
              </w:rPr>
            </w:pPr>
            <w:r w:rsidRPr="006944B3">
              <w:rPr>
                <w:sz w:val="15"/>
                <w:szCs w:val="15"/>
              </w:rPr>
              <w:t>0.1</w:t>
            </w:r>
          </w:p>
        </w:tc>
        <w:tc>
          <w:tcPr>
            <w:tcW w:w="641" w:type="dxa"/>
          </w:tcPr>
          <w:p w14:paraId="737A8387"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3E14D997"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40EC3FF6"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425E8C7F" w14:textId="77777777" w:rsidR="00FA7EBF" w:rsidRPr="006944B3" w:rsidRDefault="00FA7EBF" w:rsidP="006944B3">
            <w:pPr>
              <w:pStyle w:val="ARfintablebodyrightbold"/>
              <w:ind w:right="0"/>
              <w:rPr>
                <w:sz w:val="15"/>
                <w:szCs w:val="15"/>
                <w:lang w:eastAsia="en-AU"/>
              </w:rPr>
            </w:pPr>
            <w:r w:rsidRPr="006944B3">
              <w:rPr>
                <w:sz w:val="15"/>
                <w:szCs w:val="15"/>
              </w:rPr>
              <w:t>(2.3)</w:t>
            </w:r>
          </w:p>
        </w:tc>
        <w:tc>
          <w:tcPr>
            <w:tcW w:w="641" w:type="dxa"/>
          </w:tcPr>
          <w:p w14:paraId="4040AC98"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0C2A0F80"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839" w:type="dxa"/>
          </w:tcPr>
          <w:p w14:paraId="44A15187" w14:textId="77777777" w:rsidR="00FA7EBF" w:rsidRPr="006944B3" w:rsidRDefault="00FA7EBF" w:rsidP="006944B3">
            <w:pPr>
              <w:pStyle w:val="ARfintablebodyrightbold"/>
              <w:ind w:right="0"/>
              <w:rPr>
                <w:sz w:val="15"/>
                <w:szCs w:val="15"/>
                <w:lang w:eastAsia="en-AU"/>
              </w:rPr>
            </w:pPr>
            <w:r w:rsidRPr="006944B3">
              <w:rPr>
                <w:sz w:val="15"/>
                <w:szCs w:val="15"/>
              </w:rPr>
              <w:t>(12.0)</w:t>
            </w:r>
          </w:p>
        </w:tc>
      </w:tr>
      <w:tr w:rsidR="00FA7EBF" w:rsidRPr="007939DD" w14:paraId="37F912B8" w14:textId="77777777" w:rsidTr="007B207C">
        <w:trPr>
          <w:cantSplit/>
        </w:trPr>
        <w:tc>
          <w:tcPr>
            <w:tcW w:w="3208" w:type="dxa"/>
          </w:tcPr>
          <w:p w14:paraId="4C1BD031" w14:textId="77777777" w:rsidR="00FA7EBF" w:rsidRPr="006944B3" w:rsidRDefault="00FA7EBF" w:rsidP="007B207C">
            <w:pPr>
              <w:pStyle w:val="ARfintablebodybold"/>
              <w:rPr>
                <w:sz w:val="15"/>
                <w:szCs w:val="15"/>
                <w:lang w:eastAsia="en-AU"/>
              </w:rPr>
            </w:pPr>
            <w:r w:rsidRPr="006944B3">
              <w:rPr>
                <w:sz w:val="15"/>
                <w:szCs w:val="15"/>
              </w:rPr>
              <w:t>Administered net result</w:t>
            </w:r>
          </w:p>
        </w:tc>
        <w:tc>
          <w:tcPr>
            <w:tcW w:w="796" w:type="dxa"/>
          </w:tcPr>
          <w:p w14:paraId="620ECB3B" w14:textId="77777777" w:rsidR="00FA7EBF" w:rsidRPr="006944B3" w:rsidRDefault="00FA7EBF" w:rsidP="006944B3">
            <w:pPr>
              <w:pStyle w:val="ARfintablebodyrightbold"/>
              <w:ind w:right="0"/>
              <w:rPr>
                <w:sz w:val="15"/>
                <w:szCs w:val="15"/>
                <w:lang w:eastAsia="en-AU"/>
              </w:rPr>
            </w:pPr>
            <w:r w:rsidRPr="006944B3">
              <w:rPr>
                <w:sz w:val="15"/>
                <w:szCs w:val="15"/>
              </w:rPr>
              <w:t>7.1</w:t>
            </w:r>
          </w:p>
        </w:tc>
        <w:tc>
          <w:tcPr>
            <w:tcW w:w="642" w:type="dxa"/>
          </w:tcPr>
          <w:p w14:paraId="6C9771B2"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08F19CA6" w14:textId="77777777" w:rsidR="00FA7EBF" w:rsidRPr="006944B3" w:rsidRDefault="00FA7EBF" w:rsidP="006944B3">
            <w:pPr>
              <w:pStyle w:val="ARfintablebodyrightbold"/>
              <w:ind w:right="0"/>
              <w:rPr>
                <w:sz w:val="15"/>
                <w:szCs w:val="15"/>
                <w:lang w:eastAsia="en-AU"/>
              </w:rPr>
            </w:pPr>
            <w:r w:rsidRPr="006944B3">
              <w:rPr>
                <w:sz w:val="15"/>
                <w:szCs w:val="15"/>
              </w:rPr>
              <w:t>(0.1)</w:t>
            </w:r>
          </w:p>
        </w:tc>
        <w:tc>
          <w:tcPr>
            <w:tcW w:w="641" w:type="dxa"/>
          </w:tcPr>
          <w:p w14:paraId="38133DD5"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5537F0B1" w14:textId="77777777" w:rsidR="00FA7EBF" w:rsidRPr="006944B3" w:rsidRDefault="00FA7EBF" w:rsidP="006944B3">
            <w:pPr>
              <w:pStyle w:val="ARfintablebodyrightbold"/>
              <w:ind w:right="0"/>
              <w:rPr>
                <w:sz w:val="15"/>
                <w:szCs w:val="15"/>
                <w:lang w:eastAsia="en-AU"/>
              </w:rPr>
            </w:pPr>
            <w:r w:rsidRPr="006944B3">
              <w:rPr>
                <w:sz w:val="15"/>
                <w:szCs w:val="15"/>
              </w:rPr>
              <w:t>(0.1)</w:t>
            </w:r>
          </w:p>
        </w:tc>
        <w:tc>
          <w:tcPr>
            <w:tcW w:w="641" w:type="dxa"/>
          </w:tcPr>
          <w:p w14:paraId="5E1987BF"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1479953D"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175EF963"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31921598" w14:textId="77777777" w:rsidR="00FA7EBF" w:rsidRPr="006944B3" w:rsidRDefault="00FA7EBF" w:rsidP="006944B3">
            <w:pPr>
              <w:pStyle w:val="ARfintablebodyrightbold"/>
              <w:ind w:right="0"/>
              <w:rPr>
                <w:sz w:val="15"/>
                <w:szCs w:val="15"/>
                <w:lang w:eastAsia="en-AU"/>
              </w:rPr>
            </w:pPr>
            <w:r w:rsidRPr="006944B3">
              <w:rPr>
                <w:sz w:val="15"/>
                <w:szCs w:val="15"/>
              </w:rPr>
              <w:t>(54.6)</w:t>
            </w:r>
          </w:p>
        </w:tc>
        <w:tc>
          <w:tcPr>
            <w:tcW w:w="641" w:type="dxa"/>
          </w:tcPr>
          <w:p w14:paraId="4C533EC3" w14:textId="77777777" w:rsidR="00FA7EBF" w:rsidRPr="006944B3" w:rsidRDefault="00FA7EBF" w:rsidP="006944B3">
            <w:pPr>
              <w:pStyle w:val="ARfintablebodyrightbold"/>
              <w:ind w:right="0"/>
              <w:rPr>
                <w:sz w:val="15"/>
                <w:szCs w:val="15"/>
                <w:lang w:eastAsia="en-AU"/>
              </w:rPr>
            </w:pPr>
            <w:r w:rsidRPr="006944B3">
              <w:rPr>
                <w:sz w:val="15"/>
                <w:szCs w:val="15"/>
              </w:rPr>
              <w:t>(0.4)</w:t>
            </w:r>
          </w:p>
        </w:tc>
        <w:tc>
          <w:tcPr>
            <w:tcW w:w="641" w:type="dxa"/>
          </w:tcPr>
          <w:p w14:paraId="309B90D0"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5B0F4A76" w14:textId="77777777" w:rsidR="00FA7EBF" w:rsidRPr="006944B3" w:rsidRDefault="00FA7EBF" w:rsidP="006944B3">
            <w:pPr>
              <w:pStyle w:val="ARfintablebodyrightbold"/>
              <w:ind w:right="0"/>
              <w:rPr>
                <w:sz w:val="15"/>
                <w:szCs w:val="15"/>
                <w:lang w:eastAsia="en-AU"/>
              </w:rPr>
            </w:pPr>
            <w:r w:rsidRPr="006944B3">
              <w:rPr>
                <w:sz w:val="15"/>
                <w:szCs w:val="15"/>
              </w:rPr>
              <w:t>(0.4)</w:t>
            </w:r>
          </w:p>
        </w:tc>
        <w:tc>
          <w:tcPr>
            <w:tcW w:w="641" w:type="dxa"/>
          </w:tcPr>
          <w:p w14:paraId="74A874F8"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7D9C41B4" w14:textId="77777777" w:rsidR="00FA7EBF" w:rsidRPr="006944B3" w:rsidRDefault="00FA7EBF" w:rsidP="006944B3">
            <w:pPr>
              <w:pStyle w:val="ARfintablebodyrightbold"/>
              <w:ind w:right="0"/>
              <w:rPr>
                <w:sz w:val="15"/>
                <w:szCs w:val="15"/>
                <w:lang w:eastAsia="en-AU"/>
              </w:rPr>
            </w:pPr>
            <w:r w:rsidRPr="006944B3">
              <w:rPr>
                <w:sz w:val="15"/>
                <w:szCs w:val="15"/>
              </w:rPr>
              <w:t>(2.3)</w:t>
            </w:r>
          </w:p>
        </w:tc>
        <w:tc>
          <w:tcPr>
            <w:tcW w:w="641" w:type="dxa"/>
          </w:tcPr>
          <w:p w14:paraId="6E91A115"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641" w:type="dxa"/>
          </w:tcPr>
          <w:p w14:paraId="63DD84DC" w14:textId="77777777" w:rsidR="00FA7EBF" w:rsidRPr="006944B3" w:rsidRDefault="00FA7EBF" w:rsidP="006944B3">
            <w:pPr>
              <w:pStyle w:val="ARfintablebodyrightbold"/>
              <w:ind w:right="0"/>
              <w:rPr>
                <w:sz w:val="15"/>
                <w:szCs w:val="15"/>
                <w:lang w:eastAsia="en-AU"/>
              </w:rPr>
            </w:pPr>
            <w:r w:rsidRPr="006944B3">
              <w:rPr>
                <w:sz w:val="15"/>
                <w:szCs w:val="15"/>
              </w:rPr>
              <w:t>–</w:t>
            </w:r>
          </w:p>
        </w:tc>
        <w:tc>
          <w:tcPr>
            <w:tcW w:w="839" w:type="dxa"/>
          </w:tcPr>
          <w:p w14:paraId="443ECADB" w14:textId="77777777" w:rsidR="00FA7EBF" w:rsidRPr="006944B3" w:rsidRDefault="00FA7EBF" w:rsidP="006944B3">
            <w:pPr>
              <w:pStyle w:val="ARfintablebodyrightbold"/>
              <w:ind w:right="0"/>
              <w:rPr>
                <w:rStyle w:val="Strong"/>
                <w:sz w:val="15"/>
                <w:szCs w:val="15"/>
              </w:rPr>
            </w:pPr>
            <w:r w:rsidRPr="006944B3">
              <w:rPr>
                <w:sz w:val="15"/>
                <w:szCs w:val="15"/>
              </w:rPr>
              <w:t>(50.8)</w:t>
            </w:r>
          </w:p>
        </w:tc>
      </w:tr>
    </w:tbl>
    <w:p w14:paraId="694FEA8B" w14:textId="77777777" w:rsidR="00FA7EBF" w:rsidRDefault="00FA7EBF" w:rsidP="00CA66FD">
      <w:pPr>
        <w:pStyle w:val="ARfintablefootnote"/>
        <w:rPr>
          <w:lang w:eastAsia="en-AU"/>
        </w:rPr>
      </w:pPr>
      <w:r w:rsidRPr="00194D78">
        <w:rPr>
          <w:lang w:eastAsia="en-AU"/>
        </w:rPr>
        <w:t>Notes:</w:t>
      </w:r>
    </w:p>
    <w:p w14:paraId="39E5BE33" w14:textId="77777777" w:rsidR="00FA7EBF" w:rsidRDefault="00FA7EBF" w:rsidP="00CA66FD">
      <w:pPr>
        <w:pStyle w:val="ARfintablefootnoteindent"/>
      </w:pPr>
      <w:r w:rsidRPr="00194D78">
        <w:t>(i)</w:t>
      </w:r>
      <w:r>
        <w:tab/>
      </w:r>
      <w:r w:rsidRPr="00194D78">
        <w:t>Refer to Note 4.1.1 for output group definitions</w:t>
      </w:r>
    </w:p>
    <w:p w14:paraId="3DBE6CFD" w14:textId="77777777" w:rsidR="00FA7EBF" w:rsidRDefault="00FA7EBF" w:rsidP="00CA66FD">
      <w:pPr>
        <w:pStyle w:val="ARfintablefootnoteindent"/>
        <w:spacing w:after="240"/>
      </w:pPr>
      <w:r w:rsidRPr="00194D78">
        <w:t>(ii)</w:t>
      </w:r>
      <w:r>
        <w:tab/>
      </w:r>
      <w:r w:rsidRPr="00194D78">
        <w:t>Output group 1</w:t>
      </w:r>
      <w:r>
        <w:t>6</w:t>
      </w:r>
      <w:r w:rsidRPr="00194D78">
        <w:t>: Shared Services is not applicable for administered activities.</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209"/>
        <w:gridCol w:w="796"/>
        <w:gridCol w:w="641"/>
        <w:gridCol w:w="641"/>
        <w:gridCol w:w="641"/>
        <w:gridCol w:w="641"/>
        <w:gridCol w:w="641"/>
        <w:gridCol w:w="641"/>
        <w:gridCol w:w="641"/>
        <w:gridCol w:w="641"/>
        <w:gridCol w:w="641"/>
        <w:gridCol w:w="641"/>
        <w:gridCol w:w="641"/>
        <w:gridCol w:w="641"/>
        <w:gridCol w:w="641"/>
        <w:gridCol w:w="641"/>
        <w:gridCol w:w="641"/>
        <w:gridCol w:w="839"/>
      </w:tblGrid>
      <w:tr w:rsidR="00FA7EBF" w14:paraId="06D917FB" w14:textId="77777777" w:rsidTr="007B207C">
        <w:trPr>
          <w:cantSplit/>
          <w:tblHeader/>
        </w:trPr>
        <w:tc>
          <w:tcPr>
            <w:tcW w:w="3209" w:type="dxa"/>
            <w:tcBorders>
              <w:top w:val="nil"/>
            </w:tcBorders>
            <w:vAlign w:val="bottom"/>
            <w:hideMark/>
          </w:tcPr>
          <w:p w14:paraId="4D68042B" w14:textId="77777777" w:rsidR="00FA7EBF" w:rsidRDefault="00FA7EBF" w:rsidP="007B207C">
            <w:pPr>
              <w:pStyle w:val="ARfintablecolhead"/>
              <w:rPr>
                <w:sz w:val="14"/>
                <w:szCs w:val="14"/>
              </w:rPr>
            </w:pPr>
            <w:r>
              <w:rPr>
                <w:sz w:val="14"/>
                <w:szCs w:val="14"/>
              </w:rPr>
              <w:t xml:space="preserve">Output group </w:t>
            </w:r>
            <w:r>
              <w:rPr>
                <w:rStyle w:val="Superscriptbold"/>
                <w:sz w:val="14"/>
                <w:szCs w:val="14"/>
              </w:rPr>
              <w:t>(i)(ii)</w:t>
            </w:r>
          </w:p>
          <w:p w14:paraId="2A74D2CB" w14:textId="77777777" w:rsidR="00FA7EBF" w:rsidRDefault="00FA7EBF" w:rsidP="007B207C">
            <w:pPr>
              <w:pStyle w:val="ARfintablecolhead"/>
              <w:rPr>
                <w:sz w:val="14"/>
                <w:szCs w:val="14"/>
              </w:rPr>
            </w:pPr>
            <w:r>
              <w:rPr>
                <w:sz w:val="14"/>
                <w:szCs w:val="14"/>
              </w:rPr>
              <w:t>2018</w:t>
            </w:r>
          </w:p>
        </w:tc>
        <w:tc>
          <w:tcPr>
            <w:tcW w:w="796" w:type="dxa"/>
            <w:tcBorders>
              <w:top w:val="nil"/>
            </w:tcBorders>
            <w:vAlign w:val="bottom"/>
            <w:hideMark/>
          </w:tcPr>
          <w:p w14:paraId="5EC7822C" w14:textId="77777777" w:rsidR="00FA7EBF" w:rsidRDefault="00FA7EBF" w:rsidP="005F6BEB">
            <w:pPr>
              <w:pStyle w:val="ARfintablecolheadright"/>
              <w:ind w:right="0"/>
              <w:rPr>
                <w:sz w:val="14"/>
                <w:szCs w:val="14"/>
              </w:rPr>
            </w:pPr>
            <w:r>
              <w:rPr>
                <w:sz w:val="14"/>
                <w:szCs w:val="14"/>
              </w:rPr>
              <w:t>1</w:t>
            </w:r>
          </w:p>
          <w:p w14:paraId="26D9B651" w14:textId="77777777" w:rsidR="00FA7EBF" w:rsidRDefault="00FA7EBF" w:rsidP="005F6BEB">
            <w:pPr>
              <w:pStyle w:val="ARfintablecolheadright"/>
              <w:ind w:right="0"/>
              <w:rPr>
                <w:sz w:val="14"/>
                <w:szCs w:val="14"/>
              </w:rPr>
            </w:pPr>
            <w:r>
              <w:rPr>
                <w:sz w:val="14"/>
                <w:szCs w:val="14"/>
              </w:rPr>
              <w:t>$M</w:t>
            </w:r>
          </w:p>
        </w:tc>
        <w:tc>
          <w:tcPr>
            <w:tcW w:w="641" w:type="dxa"/>
            <w:tcBorders>
              <w:top w:val="nil"/>
            </w:tcBorders>
            <w:vAlign w:val="bottom"/>
            <w:hideMark/>
          </w:tcPr>
          <w:p w14:paraId="0933FD39" w14:textId="77777777" w:rsidR="00FA7EBF" w:rsidRDefault="00FA7EBF" w:rsidP="005F6BEB">
            <w:pPr>
              <w:pStyle w:val="ARfintablecolheadright"/>
              <w:ind w:right="0"/>
              <w:rPr>
                <w:sz w:val="14"/>
                <w:szCs w:val="14"/>
              </w:rPr>
            </w:pPr>
            <w:r>
              <w:rPr>
                <w:sz w:val="14"/>
                <w:szCs w:val="14"/>
              </w:rPr>
              <w:t>2</w:t>
            </w:r>
          </w:p>
          <w:p w14:paraId="2A86253C" w14:textId="77777777" w:rsidR="00FA7EBF" w:rsidRDefault="00FA7EBF" w:rsidP="005F6BEB">
            <w:pPr>
              <w:pStyle w:val="ARfintablecolheadright"/>
              <w:ind w:right="0"/>
              <w:rPr>
                <w:sz w:val="14"/>
                <w:szCs w:val="14"/>
              </w:rPr>
            </w:pPr>
            <w:r>
              <w:rPr>
                <w:sz w:val="14"/>
                <w:szCs w:val="14"/>
              </w:rPr>
              <w:t>$M</w:t>
            </w:r>
          </w:p>
        </w:tc>
        <w:tc>
          <w:tcPr>
            <w:tcW w:w="641" w:type="dxa"/>
            <w:tcBorders>
              <w:top w:val="nil"/>
            </w:tcBorders>
            <w:vAlign w:val="bottom"/>
            <w:hideMark/>
          </w:tcPr>
          <w:p w14:paraId="774F4B1B" w14:textId="77777777" w:rsidR="00FA7EBF" w:rsidRDefault="00FA7EBF" w:rsidP="005F6BEB">
            <w:pPr>
              <w:pStyle w:val="ARfintablecolheadright"/>
              <w:ind w:right="0"/>
              <w:rPr>
                <w:sz w:val="14"/>
                <w:szCs w:val="14"/>
              </w:rPr>
            </w:pPr>
            <w:r>
              <w:rPr>
                <w:sz w:val="14"/>
                <w:szCs w:val="14"/>
              </w:rPr>
              <w:t>3</w:t>
            </w:r>
          </w:p>
          <w:p w14:paraId="3801429F" w14:textId="77777777" w:rsidR="00FA7EBF" w:rsidRDefault="00FA7EBF" w:rsidP="005F6BEB">
            <w:pPr>
              <w:pStyle w:val="ARfintablecolheadright"/>
              <w:ind w:right="0"/>
              <w:rPr>
                <w:sz w:val="14"/>
                <w:szCs w:val="14"/>
              </w:rPr>
            </w:pPr>
            <w:r>
              <w:rPr>
                <w:sz w:val="14"/>
                <w:szCs w:val="14"/>
              </w:rPr>
              <w:t>$M</w:t>
            </w:r>
          </w:p>
        </w:tc>
        <w:tc>
          <w:tcPr>
            <w:tcW w:w="641" w:type="dxa"/>
            <w:tcBorders>
              <w:top w:val="nil"/>
            </w:tcBorders>
            <w:vAlign w:val="bottom"/>
            <w:hideMark/>
          </w:tcPr>
          <w:p w14:paraId="23659253" w14:textId="77777777" w:rsidR="00FA7EBF" w:rsidRDefault="00FA7EBF" w:rsidP="005F6BEB">
            <w:pPr>
              <w:pStyle w:val="ARfintablecolheadright"/>
              <w:ind w:right="0"/>
              <w:rPr>
                <w:sz w:val="14"/>
                <w:szCs w:val="14"/>
              </w:rPr>
            </w:pPr>
            <w:r>
              <w:rPr>
                <w:sz w:val="14"/>
                <w:szCs w:val="14"/>
              </w:rPr>
              <w:t>4</w:t>
            </w:r>
          </w:p>
          <w:p w14:paraId="0AAB3559" w14:textId="77777777" w:rsidR="00FA7EBF" w:rsidRDefault="00FA7EBF" w:rsidP="005F6BEB">
            <w:pPr>
              <w:pStyle w:val="ARfintablecolheadright"/>
              <w:ind w:right="0"/>
              <w:rPr>
                <w:sz w:val="14"/>
                <w:szCs w:val="14"/>
              </w:rPr>
            </w:pPr>
            <w:r>
              <w:rPr>
                <w:sz w:val="14"/>
                <w:szCs w:val="14"/>
              </w:rPr>
              <w:t>$M</w:t>
            </w:r>
          </w:p>
        </w:tc>
        <w:tc>
          <w:tcPr>
            <w:tcW w:w="641" w:type="dxa"/>
            <w:tcBorders>
              <w:top w:val="nil"/>
            </w:tcBorders>
            <w:vAlign w:val="bottom"/>
            <w:hideMark/>
          </w:tcPr>
          <w:p w14:paraId="652A5DD6" w14:textId="77777777" w:rsidR="00FA7EBF" w:rsidRDefault="00FA7EBF" w:rsidP="005F6BEB">
            <w:pPr>
              <w:pStyle w:val="ARfintablecolheadright"/>
              <w:ind w:right="0"/>
              <w:rPr>
                <w:sz w:val="14"/>
                <w:szCs w:val="14"/>
              </w:rPr>
            </w:pPr>
            <w:r>
              <w:rPr>
                <w:sz w:val="14"/>
                <w:szCs w:val="14"/>
              </w:rPr>
              <w:t>5</w:t>
            </w:r>
          </w:p>
          <w:p w14:paraId="255ED806" w14:textId="77777777" w:rsidR="00FA7EBF" w:rsidRDefault="00FA7EBF" w:rsidP="005F6BEB">
            <w:pPr>
              <w:pStyle w:val="ARfintablecolheadright"/>
              <w:ind w:right="0"/>
              <w:rPr>
                <w:sz w:val="14"/>
                <w:szCs w:val="14"/>
              </w:rPr>
            </w:pPr>
            <w:r>
              <w:rPr>
                <w:sz w:val="14"/>
                <w:szCs w:val="14"/>
              </w:rPr>
              <w:t>$M</w:t>
            </w:r>
          </w:p>
        </w:tc>
        <w:tc>
          <w:tcPr>
            <w:tcW w:w="641" w:type="dxa"/>
            <w:tcBorders>
              <w:top w:val="nil"/>
            </w:tcBorders>
            <w:vAlign w:val="bottom"/>
            <w:hideMark/>
          </w:tcPr>
          <w:p w14:paraId="42922CA1" w14:textId="77777777" w:rsidR="00FA7EBF" w:rsidRDefault="00FA7EBF" w:rsidP="005F6BEB">
            <w:pPr>
              <w:pStyle w:val="ARfintablecolheadright"/>
              <w:ind w:right="0"/>
              <w:rPr>
                <w:sz w:val="14"/>
                <w:szCs w:val="14"/>
              </w:rPr>
            </w:pPr>
            <w:r>
              <w:rPr>
                <w:sz w:val="14"/>
                <w:szCs w:val="14"/>
              </w:rPr>
              <w:t>6</w:t>
            </w:r>
          </w:p>
          <w:p w14:paraId="7CC6FD24" w14:textId="77777777" w:rsidR="00FA7EBF" w:rsidRDefault="00FA7EBF" w:rsidP="005F6BEB">
            <w:pPr>
              <w:pStyle w:val="ARfintablecolheadright"/>
              <w:ind w:right="0"/>
              <w:rPr>
                <w:sz w:val="14"/>
                <w:szCs w:val="14"/>
              </w:rPr>
            </w:pPr>
            <w:r>
              <w:rPr>
                <w:sz w:val="14"/>
                <w:szCs w:val="14"/>
              </w:rPr>
              <w:t>$M</w:t>
            </w:r>
          </w:p>
        </w:tc>
        <w:tc>
          <w:tcPr>
            <w:tcW w:w="641" w:type="dxa"/>
            <w:tcBorders>
              <w:top w:val="nil"/>
            </w:tcBorders>
            <w:vAlign w:val="bottom"/>
            <w:hideMark/>
          </w:tcPr>
          <w:p w14:paraId="78EA5A6A" w14:textId="77777777" w:rsidR="00FA7EBF" w:rsidRDefault="00FA7EBF" w:rsidP="005F6BEB">
            <w:pPr>
              <w:pStyle w:val="ARfintablecolheadright"/>
              <w:ind w:right="0"/>
              <w:rPr>
                <w:sz w:val="14"/>
                <w:szCs w:val="14"/>
              </w:rPr>
            </w:pPr>
            <w:r>
              <w:rPr>
                <w:sz w:val="14"/>
                <w:szCs w:val="14"/>
              </w:rPr>
              <w:t>7</w:t>
            </w:r>
          </w:p>
          <w:p w14:paraId="519B9CF4" w14:textId="77777777" w:rsidR="00FA7EBF" w:rsidRDefault="00FA7EBF" w:rsidP="005F6BEB">
            <w:pPr>
              <w:pStyle w:val="ARfintablecolheadright"/>
              <w:ind w:right="0"/>
              <w:rPr>
                <w:sz w:val="14"/>
                <w:szCs w:val="14"/>
              </w:rPr>
            </w:pPr>
            <w:r>
              <w:rPr>
                <w:sz w:val="14"/>
                <w:szCs w:val="14"/>
              </w:rPr>
              <w:t>$M</w:t>
            </w:r>
          </w:p>
        </w:tc>
        <w:tc>
          <w:tcPr>
            <w:tcW w:w="641" w:type="dxa"/>
            <w:tcBorders>
              <w:top w:val="nil"/>
            </w:tcBorders>
            <w:vAlign w:val="bottom"/>
            <w:hideMark/>
          </w:tcPr>
          <w:p w14:paraId="59E10DA3" w14:textId="77777777" w:rsidR="00FA7EBF" w:rsidRDefault="00FA7EBF" w:rsidP="005F6BEB">
            <w:pPr>
              <w:pStyle w:val="ARfintablecolheadright"/>
              <w:ind w:right="0"/>
              <w:rPr>
                <w:sz w:val="14"/>
                <w:szCs w:val="14"/>
              </w:rPr>
            </w:pPr>
            <w:r>
              <w:rPr>
                <w:sz w:val="14"/>
                <w:szCs w:val="14"/>
              </w:rPr>
              <w:t>8</w:t>
            </w:r>
          </w:p>
          <w:p w14:paraId="29D50D9E" w14:textId="77777777" w:rsidR="00FA7EBF" w:rsidRDefault="00FA7EBF" w:rsidP="005F6BEB">
            <w:pPr>
              <w:pStyle w:val="ARfintablecolheadright"/>
              <w:ind w:right="0"/>
              <w:rPr>
                <w:sz w:val="14"/>
                <w:szCs w:val="14"/>
              </w:rPr>
            </w:pPr>
            <w:r>
              <w:rPr>
                <w:sz w:val="14"/>
                <w:szCs w:val="14"/>
              </w:rPr>
              <w:t>$M</w:t>
            </w:r>
          </w:p>
        </w:tc>
        <w:tc>
          <w:tcPr>
            <w:tcW w:w="641" w:type="dxa"/>
            <w:tcBorders>
              <w:top w:val="nil"/>
            </w:tcBorders>
            <w:vAlign w:val="bottom"/>
            <w:hideMark/>
          </w:tcPr>
          <w:p w14:paraId="6D783359" w14:textId="77777777" w:rsidR="00FA7EBF" w:rsidRDefault="00FA7EBF" w:rsidP="005F6BEB">
            <w:pPr>
              <w:pStyle w:val="ARfintablecolheadright"/>
              <w:ind w:right="0"/>
              <w:rPr>
                <w:sz w:val="14"/>
                <w:szCs w:val="14"/>
              </w:rPr>
            </w:pPr>
            <w:r>
              <w:rPr>
                <w:sz w:val="14"/>
                <w:szCs w:val="14"/>
              </w:rPr>
              <w:t>9</w:t>
            </w:r>
          </w:p>
          <w:p w14:paraId="3756CC14" w14:textId="77777777" w:rsidR="00FA7EBF" w:rsidRDefault="00FA7EBF" w:rsidP="005F6BEB">
            <w:pPr>
              <w:pStyle w:val="ARfintablecolheadright"/>
              <w:ind w:right="0"/>
              <w:rPr>
                <w:sz w:val="14"/>
                <w:szCs w:val="14"/>
              </w:rPr>
            </w:pPr>
            <w:r>
              <w:rPr>
                <w:sz w:val="14"/>
                <w:szCs w:val="14"/>
              </w:rPr>
              <w:t>$M</w:t>
            </w:r>
          </w:p>
        </w:tc>
        <w:tc>
          <w:tcPr>
            <w:tcW w:w="641" w:type="dxa"/>
            <w:tcBorders>
              <w:top w:val="nil"/>
            </w:tcBorders>
            <w:vAlign w:val="bottom"/>
            <w:hideMark/>
          </w:tcPr>
          <w:p w14:paraId="17DFE0BA" w14:textId="77777777" w:rsidR="00FA7EBF" w:rsidRDefault="00FA7EBF" w:rsidP="005F6BEB">
            <w:pPr>
              <w:pStyle w:val="ARfintablecolheadright"/>
              <w:ind w:right="0"/>
              <w:rPr>
                <w:sz w:val="14"/>
                <w:szCs w:val="14"/>
              </w:rPr>
            </w:pPr>
            <w:r>
              <w:rPr>
                <w:sz w:val="14"/>
                <w:szCs w:val="14"/>
              </w:rPr>
              <w:t>10</w:t>
            </w:r>
          </w:p>
          <w:p w14:paraId="02BD01A9" w14:textId="77777777" w:rsidR="00FA7EBF" w:rsidRDefault="00FA7EBF" w:rsidP="005F6BEB">
            <w:pPr>
              <w:pStyle w:val="ARfintablecolheadright"/>
              <w:ind w:right="0"/>
              <w:rPr>
                <w:sz w:val="14"/>
                <w:szCs w:val="14"/>
              </w:rPr>
            </w:pPr>
            <w:r>
              <w:rPr>
                <w:sz w:val="14"/>
                <w:szCs w:val="14"/>
              </w:rPr>
              <w:t>$M</w:t>
            </w:r>
          </w:p>
        </w:tc>
        <w:tc>
          <w:tcPr>
            <w:tcW w:w="641" w:type="dxa"/>
            <w:tcBorders>
              <w:top w:val="nil"/>
            </w:tcBorders>
            <w:vAlign w:val="bottom"/>
            <w:hideMark/>
          </w:tcPr>
          <w:p w14:paraId="27F56BD1" w14:textId="77777777" w:rsidR="00FA7EBF" w:rsidRDefault="00FA7EBF" w:rsidP="005F6BEB">
            <w:pPr>
              <w:pStyle w:val="ARfintablecolheadright"/>
              <w:ind w:right="0"/>
              <w:rPr>
                <w:sz w:val="14"/>
                <w:szCs w:val="14"/>
              </w:rPr>
            </w:pPr>
            <w:r>
              <w:rPr>
                <w:sz w:val="14"/>
                <w:szCs w:val="14"/>
              </w:rPr>
              <w:t>11</w:t>
            </w:r>
          </w:p>
          <w:p w14:paraId="0D35E5FB" w14:textId="77777777" w:rsidR="00FA7EBF" w:rsidRDefault="00FA7EBF" w:rsidP="005F6BEB">
            <w:pPr>
              <w:pStyle w:val="ARfintablecolheadright"/>
              <w:ind w:right="0"/>
              <w:rPr>
                <w:sz w:val="14"/>
                <w:szCs w:val="14"/>
              </w:rPr>
            </w:pPr>
            <w:r>
              <w:rPr>
                <w:sz w:val="14"/>
                <w:szCs w:val="14"/>
              </w:rPr>
              <w:t>$M</w:t>
            </w:r>
          </w:p>
        </w:tc>
        <w:tc>
          <w:tcPr>
            <w:tcW w:w="641" w:type="dxa"/>
            <w:tcBorders>
              <w:top w:val="nil"/>
            </w:tcBorders>
            <w:vAlign w:val="bottom"/>
            <w:hideMark/>
          </w:tcPr>
          <w:p w14:paraId="67C48960" w14:textId="77777777" w:rsidR="00FA7EBF" w:rsidRDefault="00FA7EBF" w:rsidP="005F6BEB">
            <w:pPr>
              <w:pStyle w:val="ARfintablecolheadright"/>
              <w:ind w:right="0"/>
              <w:rPr>
                <w:sz w:val="14"/>
                <w:szCs w:val="14"/>
              </w:rPr>
            </w:pPr>
            <w:r>
              <w:rPr>
                <w:sz w:val="14"/>
                <w:szCs w:val="14"/>
              </w:rPr>
              <w:t>12</w:t>
            </w:r>
          </w:p>
          <w:p w14:paraId="79D714BE" w14:textId="77777777" w:rsidR="00FA7EBF" w:rsidRDefault="00FA7EBF" w:rsidP="005F6BEB">
            <w:pPr>
              <w:pStyle w:val="ARfintablecolheadright"/>
              <w:ind w:right="0"/>
              <w:rPr>
                <w:sz w:val="14"/>
                <w:szCs w:val="14"/>
              </w:rPr>
            </w:pPr>
            <w:r>
              <w:rPr>
                <w:sz w:val="14"/>
                <w:szCs w:val="14"/>
              </w:rPr>
              <w:t>$M</w:t>
            </w:r>
          </w:p>
        </w:tc>
        <w:tc>
          <w:tcPr>
            <w:tcW w:w="641" w:type="dxa"/>
            <w:tcBorders>
              <w:top w:val="nil"/>
            </w:tcBorders>
            <w:vAlign w:val="bottom"/>
            <w:hideMark/>
          </w:tcPr>
          <w:p w14:paraId="4B43BA4E" w14:textId="77777777" w:rsidR="00FA7EBF" w:rsidRDefault="00FA7EBF" w:rsidP="005F6BEB">
            <w:pPr>
              <w:pStyle w:val="ARfintablecolheadright"/>
              <w:ind w:right="0"/>
              <w:rPr>
                <w:sz w:val="14"/>
                <w:szCs w:val="14"/>
              </w:rPr>
            </w:pPr>
            <w:r>
              <w:rPr>
                <w:sz w:val="14"/>
                <w:szCs w:val="14"/>
              </w:rPr>
              <w:t>13</w:t>
            </w:r>
          </w:p>
          <w:p w14:paraId="004F10CA" w14:textId="77777777" w:rsidR="00FA7EBF" w:rsidRDefault="00FA7EBF" w:rsidP="005F6BEB">
            <w:pPr>
              <w:pStyle w:val="ARfintablecolheadright"/>
              <w:ind w:right="0"/>
              <w:rPr>
                <w:sz w:val="14"/>
                <w:szCs w:val="14"/>
              </w:rPr>
            </w:pPr>
            <w:r>
              <w:rPr>
                <w:sz w:val="14"/>
                <w:szCs w:val="14"/>
              </w:rPr>
              <w:t>$M</w:t>
            </w:r>
          </w:p>
        </w:tc>
        <w:tc>
          <w:tcPr>
            <w:tcW w:w="641" w:type="dxa"/>
            <w:tcBorders>
              <w:top w:val="nil"/>
            </w:tcBorders>
            <w:vAlign w:val="bottom"/>
            <w:hideMark/>
          </w:tcPr>
          <w:p w14:paraId="7443CFAD" w14:textId="77777777" w:rsidR="00FA7EBF" w:rsidRDefault="00FA7EBF" w:rsidP="005F6BEB">
            <w:pPr>
              <w:pStyle w:val="ARfintablecolheadright"/>
              <w:ind w:right="0"/>
              <w:rPr>
                <w:sz w:val="14"/>
                <w:szCs w:val="14"/>
              </w:rPr>
            </w:pPr>
            <w:r>
              <w:rPr>
                <w:sz w:val="14"/>
                <w:szCs w:val="14"/>
              </w:rPr>
              <w:t>14</w:t>
            </w:r>
          </w:p>
          <w:p w14:paraId="688305D3" w14:textId="77777777" w:rsidR="00FA7EBF" w:rsidRDefault="00FA7EBF" w:rsidP="005F6BEB">
            <w:pPr>
              <w:pStyle w:val="ARfintablecolheadright"/>
              <w:ind w:right="0"/>
              <w:rPr>
                <w:sz w:val="14"/>
                <w:szCs w:val="14"/>
              </w:rPr>
            </w:pPr>
            <w:r>
              <w:rPr>
                <w:sz w:val="14"/>
                <w:szCs w:val="14"/>
              </w:rPr>
              <w:t>$M</w:t>
            </w:r>
          </w:p>
        </w:tc>
        <w:tc>
          <w:tcPr>
            <w:tcW w:w="641" w:type="dxa"/>
            <w:tcBorders>
              <w:top w:val="nil"/>
            </w:tcBorders>
            <w:vAlign w:val="bottom"/>
            <w:hideMark/>
          </w:tcPr>
          <w:p w14:paraId="05836020" w14:textId="77777777" w:rsidR="00FA7EBF" w:rsidRDefault="00FA7EBF" w:rsidP="005F6BEB">
            <w:pPr>
              <w:pStyle w:val="ARfintablecolheadright"/>
              <w:ind w:right="0"/>
              <w:rPr>
                <w:sz w:val="14"/>
                <w:szCs w:val="14"/>
              </w:rPr>
            </w:pPr>
            <w:r>
              <w:rPr>
                <w:sz w:val="14"/>
                <w:szCs w:val="14"/>
              </w:rPr>
              <w:t>15</w:t>
            </w:r>
          </w:p>
          <w:p w14:paraId="1C0B5164" w14:textId="77777777" w:rsidR="00FA7EBF" w:rsidRDefault="00FA7EBF" w:rsidP="005F6BEB">
            <w:pPr>
              <w:pStyle w:val="ARfintablecolheadright"/>
              <w:ind w:right="0"/>
              <w:rPr>
                <w:sz w:val="14"/>
                <w:szCs w:val="14"/>
              </w:rPr>
            </w:pPr>
            <w:r>
              <w:rPr>
                <w:sz w:val="14"/>
                <w:szCs w:val="14"/>
              </w:rPr>
              <w:t>$M</w:t>
            </w:r>
          </w:p>
        </w:tc>
        <w:tc>
          <w:tcPr>
            <w:tcW w:w="641" w:type="dxa"/>
            <w:tcBorders>
              <w:top w:val="nil"/>
            </w:tcBorders>
            <w:vAlign w:val="bottom"/>
            <w:hideMark/>
          </w:tcPr>
          <w:p w14:paraId="793E31C8" w14:textId="77777777" w:rsidR="00FA7EBF" w:rsidRDefault="00FA7EBF" w:rsidP="005F6BEB">
            <w:pPr>
              <w:pStyle w:val="ARfintablecolheadright"/>
              <w:ind w:right="0"/>
              <w:rPr>
                <w:sz w:val="14"/>
                <w:szCs w:val="14"/>
              </w:rPr>
            </w:pPr>
            <w:r>
              <w:rPr>
                <w:sz w:val="14"/>
                <w:szCs w:val="14"/>
              </w:rPr>
              <w:t>16</w:t>
            </w:r>
          </w:p>
          <w:p w14:paraId="6208B84B" w14:textId="77777777" w:rsidR="00FA7EBF" w:rsidRDefault="00FA7EBF" w:rsidP="005F6BEB">
            <w:pPr>
              <w:pStyle w:val="ARfintablecolheadright"/>
              <w:ind w:right="0"/>
              <w:rPr>
                <w:sz w:val="14"/>
                <w:szCs w:val="14"/>
              </w:rPr>
            </w:pPr>
            <w:r>
              <w:rPr>
                <w:sz w:val="14"/>
                <w:szCs w:val="14"/>
              </w:rPr>
              <w:t>$M</w:t>
            </w:r>
          </w:p>
        </w:tc>
        <w:tc>
          <w:tcPr>
            <w:tcW w:w="839" w:type="dxa"/>
            <w:tcBorders>
              <w:top w:val="nil"/>
            </w:tcBorders>
            <w:vAlign w:val="bottom"/>
            <w:hideMark/>
          </w:tcPr>
          <w:p w14:paraId="03931228" w14:textId="77777777" w:rsidR="00FA7EBF" w:rsidRDefault="00FA7EBF" w:rsidP="005F6BEB">
            <w:pPr>
              <w:pStyle w:val="ARfintablecolheadright"/>
              <w:ind w:right="0"/>
              <w:rPr>
                <w:sz w:val="14"/>
                <w:szCs w:val="14"/>
              </w:rPr>
            </w:pPr>
            <w:r>
              <w:rPr>
                <w:sz w:val="14"/>
                <w:szCs w:val="14"/>
              </w:rPr>
              <w:t>Total</w:t>
            </w:r>
          </w:p>
          <w:p w14:paraId="3C2C3424" w14:textId="77777777" w:rsidR="00FA7EBF" w:rsidRDefault="00FA7EBF" w:rsidP="005F6BEB">
            <w:pPr>
              <w:pStyle w:val="ARfintablecolheadright"/>
              <w:ind w:right="0"/>
              <w:rPr>
                <w:sz w:val="14"/>
                <w:szCs w:val="14"/>
              </w:rPr>
            </w:pPr>
            <w:r>
              <w:rPr>
                <w:sz w:val="14"/>
                <w:szCs w:val="14"/>
              </w:rPr>
              <w:t>$M</w:t>
            </w:r>
          </w:p>
        </w:tc>
      </w:tr>
      <w:tr w:rsidR="00FA7EBF" w14:paraId="45451259" w14:textId="77777777" w:rsidTr="007B207C">
        <w:trPr>
          <w:cantSplit/>
        </w:trPr>
        <w:tc>
          <w:tcPr>
            <w:tcW w:w="14459" w:type="dxa"/>
            <w:gridSpan w:val="18"/>
            <w:tcBorders>
              <w:bottom w:val="single" w:sz="4" w:space="0" w:color="A6A6A6" w:themeColor="background1" w:themeShade="A6"/>
            </w:tcBorders>
            <w:hideMark/>
          </w:tcPr>
          <w:p w14:paraId="5179B5EC" w14:textId="77777777" w:rsidR="00FA7EBF" w:rsidRPr="006906A1" w:rsidRDefault="00FA7EBF" w:rsidP="007B207C">
            <w:pPr>
              <w:pStyle w:val="ARfintablebodybold"/>
              <w:rPr>
                <w:lang w:eastAsia="en-AU"/>
              </w:rPr>
            </w:pPr>
            <w:r w:rsidRPr="006906A1">
              <w:t>Administered income from transactions</w:t>
            </w:r>
          </w:p>
        </w:tc>
      </w:tr>
      <w:tr w:rsidR="00FA7EBF" w14:paraId="561E3D48" w14:textId="77777777" w:rsidTr="007B207C">
        <w:trPr>
          <w:cantSplit/>
        </w:trPr>
        <w:tc>
          <w:tcPr>
            <w:tcW w:w="3209" w:type="dxa"/>
            <w:tcBorders>
              <w:top w:val="single" w:sz="4" w:space="0" w:color="A6A6A6" w:themeColor="background1" w:themeShade="A6"/>
              <w:bottom w:val="single" w:sz="4" w:space="0" w:color="A6A6A6" w:themeColor="background1" w:themeShade="A6"/>
            </w:tcBorders>
            <w:hideMark/>
          </w:tcPr>
          <w:p w14:paraId="05DDC497" w14:textId="77777777" w:rsidR="00FA7EBF" w:rsidRPr="005F6BEB" w:rsidRDefault="00FA7EBF" w:rsidP="005A60A4">
            <w:pPr>
              <w:pStyle w:val="ARfintablebody"/>
              <w:ind w:right="0"/>
              <w:rPr>
                <w:sz w:val="15"/>
                <w:szCs w:val="15"/>
                <w:lang w:eastAsia="en-AU"/>
              </w:rPr>
            </w:pPr>
            <w:r w:rsidRPr="005F6BEB">
              <w:rPr>
                <w:sz w:val="15"/>
                <w:szCs w:val="15"/>
              </w:rPr>
              <w:t>Commonwealth contribution to the national health reform</w:t>
            </w:r>
          </w:p>
        </w:tc>
        <w:tc>
          <w:tcPr>
            <w:tcW w:w="796" w:type="dxa"/>
            <w:tcBorders>
              <w:top w:val="single" w:sz="4" w:space="0" w:color="A6A6A6" w:themeColor="background1" w:themeShade="A6"/>
              <w:bottom w:val="single" w:sz="4" w:space="0" w:color="A6A6A6" w:themeColor="background1" w:themeShade="A6"/>
            </w:tcBorders>
            <w:hideMark/>
          </w:tcPr>
          <w:p w14:paraId="27CB89AF" w14:textId="77777777" w:rsidR="00FA7EBF" w:rsidRPr="005F6BEB" w:rsidRDefault="00FA7EBF" w:rsidP="005A60A4">
            <w:pPr>
              <w:pStyle w:val="ARfintablebodyright"/>
              <w:ind w:right="0"/>
              <w:rPr>
                <w:sz w:val="15"/>
                <w:szCs w:val="15"/>
                <w:lang w:eastAsia="en-AU"/>
              </w:rPr>
            </w:pPr>
            <w:r w:rsidRPr="005F6BEB">
              <w:rPr>
                <w:sz w:val="15"/>
                <w:szCs w:val="15"/>
              </w:rPr>
              <w:t>4,183.8</w:t>
            </w:r>
          </w:p>
        </w:tc>
        <w:tc>
          <w:tcPr>
            <w:tcW w:w="641" w:type="dxa"/>
            <w:tcBorders>
              <w:top w:val="single" w:sz="4" w:space="0" w:color="A6A6A6" w:themeColor="background1" w:themeShade="A6"/>
              <w:bottom w:val="single" w:sz="4" w:space="0" w:color="A6A6A6" w:themeColor="background1" w:themeShade="A6"/>
            </w:tcBorders>
            <w:hideMark/>
          </w:tcPr>
          <w:p w14:paraId="466DB439"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9A7CAA4" w14:textId="77777777" w:rsidR="00FA7EBF" w:rsidRPr="005F6BEB" w:rsidRDefault="00FA7EBF" w:rsidP="005A60A4">
            <w:pPr>
              <w:pStyle w:val="ARfintablebodyright"/>
              <w:ind w:right="0"/>
              <w:rPr>
                <w:sz w:val="15"/>
                <w:szCs w:val="15"/>
                <w:lang w:eastAsia="en-AU"/>
              </w:rPr>
            </w:pPr>
            <w:r w:rsidRPr="005F6BEB">
              <w:rPr>
                <w:sz w:val="15"/>
                <w:szCs w:val="15"/>
              </w:rPr>
              <w:t>519.5</w:t>
            </w:r>
          </w:p>
        </w:tc>
        <w:tc>
          <w:tcPr>
            <w:tcW w:w="641" w:type="dxa"/>
            <w:tcBorders>
              <w:top w:val="single" w:sz="4" w:space="0" w:color="A6A6A6" w:themeColor="background1" w:themeShade="A6"/>
              <w:bottom w:val="single" w:sz="4" w:space="0" w:color="A6A6A6" w:themeColor="background1" w:themeShade="A6"/>
            </w:tcBorders>
            <w:hideMark/>
          </w:tcPr>
          <w:p w14:paraId="3515F0E9"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5C7F3E3" w14:textId="77777777" w:rsidR="00FA7EBF" w:rsidRPr="005F6BEB" w:rsidRDefault="00FA7EBF" w:rsidP="005A60A4">
            <w:pPr>
              <w:pStyle w:val="ARfintablebodyright"/>
              <w:ind w:right="0"/>
              <w:rPr>
                <w:sz w:val="15"/>
                <w:szCs w:val="15"/>
                <w:lang w:eastAsia="en-AU"/>
              </w:rPr>
            </w:pPr>
            <w:r w:rsidRPr="005F6BEB">
              <w:rPr>
                <w:sz w:val="15"/>
                <w:szCs w:val="15"/>
              </w:rPr>
              <w:t>0.6</w:t>
            </w:r>
          </w:p>
        </w:tc>
        <w:tc>
          <w:tcPr>
            <w:tcW w:w="641" w:type="dxa"/>
            <w:tcBorders>
              <w:top w:val="single" w:sz="4" w:space="0" w:color="A6A6A6" w:themeColor="background1" w:themeShade="A6"/>
              <w:bottom w:val="single" w:sz="4" w:space="0" w:color="A6A6A6" w:themeColor="background1" w:themeShade="A6"/>
            </w:tcBorders>
            <w:hideMark/>
          </w:tcPr>
          <w:p w14:paraId="02E40BC2" w14:textId="77777777" w:rsidR="00FA7EBF" w:rsidRPr="005F6BEB" w:rsidRDefault="00FA7EBF" w:rsidP="005A60A4">
            <w:pPr>
              <w:pStyle w:val="ARfintablebodyright"/>
              <w:ind w:right="0"/>
              <w:rPr>
                <w:sz w:val="15"/>
                <w:szCs w:val="15"/>
                <w:lang w:eastAsia="en-AU"/>
              </w:rPr>
            </w:pPr>
            <w:r w:rsidRPr="005F6BEB">
              <w:rPr>
                <w:sz w:val="15"/>
                <w:szCs w:val="15"/>
              </w:rPr>
              <w:t>109.6</w:t>
            </w:r>
          </w:p>
        </w:tc>
        <w:tc>
          <w:tcPr>
            <w:tcW w:w="641" w:type="dxa"/>
            <w:tcBorders>
              <w:top w:val="single" w:sz="4" w:space="0" w:color="A6A6A6" w:themeColor="background1" w:themeShade="A6"/>
              <w:bottom w:val="single" w:sz="4" w:space="0" w:color="A6A6A6" w:themeColor="background1" w:themeShade="A6"/>
            </w:tcBorders>
            <w:hideMark/>
          </w:tcPr>
          <w:p w14:paraId="01A3BF1D" w14:textId="77777777" w:rsidR="00FA7EBF" w:rsidRPr="005F6BEB" w:rsidRDefault="00FA7EBF" w:rsidP="005A60A4">
            <w:pPr>
              <w:pStyle w:val="ARfintablebodyright"/>
              <w:ind w:right="0"/>
              <w:rPr>
                <w:sz w:val="15"/>
                <w:szCs w:val="15"/>
                <w:lang w:eastAsia="en-AU"/>
              </w:rPr>
            </w:pPr>
            <w:r w:rsidRPr="005F6BEB">
              <w:rPr>
                <w:sz w:val="15"/>
                <w:szCs w:val="15"/>
              </w:rPr>
              <w:t>99.8</w:t>
            </w:r>
          </w:p>
        </w:tc>
        <w:tc>
          <w:tcPr>
            <w:tcW w:w="641" w:type="dxa"/>
            <w:tcBorders>
              <w:top w:val="single" w:sz="4" w:space="0" w:color="A6A6A6" w:themeColor="background1" w:themeShade="A6"/>
              <w:bottom w:val="single" w:sz="4" w:space="0" w:color="A6A6A6" w:themeColor="background1" w:themeShade="A6"/>
            </w:tcBorders>
            <w:hideMark/>
          </w:tcPr>
          <w:p w14:paraId="01E76068" w14:textId="77777777" w:rsidR="00FA7EBF" w:rsidRPr="005F6BEB" w:rsidRDefault="00FA7EBF" w:rsidP="005A60A4">
            <w:pPr>
              <w:pStyle w:val="ARfintablebodyright"/>
              <w:ind w:right="0"/>
              <w:rPr>
                <w:sz w:val="15"/>
                <w:szCs w:val="15"/>
                <w:lang w:eastAsia="en-AU"/>
              </w:rPr>
            </w:pPr>
            <w:r w:rsidRPr="005F6BEB">
              <w:rPr>
                <w:sz w:val="15"/>
                <w:szCs w:val="15"/>
              </w:rPr>
              <w:t>12.3</w:t>
            </w:r>
          </w:p>
        </w:tc>
        <w:tc>
          <w:tcPr>
            <w:tcW w:w="641" w:type="dxa"/>
            <w:tcBorders>
              <w:top w:val="single" w:sz="4" w:space="0" w:color="A6A6A6" w:themeColor="background1" w:themeShade="A6"/>
              <w:bottom w:val="single" w:sz="4" w:space="0" w:color="A6A6A6" w:themeColor="background1" w:themeShade="A6"/>
            </w:tcBorders>
            <w:hideMark/>
          </w:tcPr>
          <w:p w14:paraId="246A27FB"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78C835D"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49845C4"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60B92A29"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3A9340B2"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3E25CE12"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4B5F6779"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6116C1E"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839" w:type="dxa"/>
            <w:tcBorders>
              <w:top w:val="single" w:sz="4" w:space="0" w:color="A6A6A6" w:themeColor="background1" w:themeShade="A6"/>
              <w:bottom w:val="single" w:sz="4" w:space="0" w:color="A6A6A6" w:themeColor="background1" w:themeShade="A6"/>
            </w:tcBorders>
            <w:hideMark/>
          </w:tcPr>
          <w:p w14:paraId="056D889A" w14:textId="77777777" w:rsidR="00FA7EBF" w:rsidRPr="005F6BEB" w:rsidRDefault="00FA7EBF" w:rsidP="005A60A4">
            <w:pPr>
              <w:pStyle w:val="ARfintablebodyright"/>
              <w:ind w:right="0"/>
              <w:rPr>
                <w:sz w:val="15"/>
                <w:szCs w:val="15"/>
                <w:lang w:eastAsia="en-AU"/>
              </w:rPr>
            </w:pPr>
            <w:r w:rsidRPr="005F6BEB">
              <w:rPr>
                <w:sz w:val="15"/>
                <w:szCs w:val="15"/>
              </w:rPr>
              <w:t>4,925.6</w:t>
            </w:r>
          </w:p>
        </w:tc>
      </w:tr>
      <w:tr w:rsidR="00FA7EBF" w14:paraId="0E0ED786" w14:textId="77777777" w:rsidTr="007B207C">
        <w:trPr>
          <w:cantSplit/>
        </w:trPr>
        <w:tc>
          <w:tcPr>
            <w:tcW w:w="3209" w:type="dxa"/>
            <w:tcBorders>
              <w:top w:val="single" w:sz="4" w:space="0" w:color="A6A6A6" w:themeColor="background1" w:themeShade="A6"/>
              <w:bottom w:val="single" w:sz="4" w:space="0" w:color="A6A6A6" w:themeColor="background1" w:themeShade="A6"/>
            </w:tcBorders>
            <w:hideMark/>
          </w:tcPr>
          <w:p w14:paraId="6121DBFB" w14:textId="77777777" w:rsidR="00FA7EBF" w:rsidRPr="005F6BEB" w:rsidRDefault="00FA7EBF" w:rsidP="005A60A4">
            <w:pPr>
              <w:pStyle w:val="ARfintablebody"/>
              <w:ind w:right="0"/>
              <w:rPr>
                <w:sz w:val="15"/>
                <w:szCs w:val="15"/>
                <w:lang w:eastAsia="en-AU"/>
              </w:rPr>
            </w:pPr>
            <w:r w:rsidRPr="005F6BEB">
              <w:rPr>
                <w:sz w:val="15"/>
                <w:szCs w:val="15"/>
              </w:rPr>
              <w:t>State contribution to the national health reform</w:t>
            </w:r>
          </w:p>
        </w:tc>
        <w:tc>
          <w:tcPr>
            <w:tcW w:w="796" w:type="dxa"/>
            <w:tcBorders>
              <w:top w:val="single" w:sz="4" w:space="0" w:color="A6A6A6" w:themeColor="background1" w:themeShade="A6"/>
              <w:bottom w:val="single" w:sz="4" w:space="0" w:color="A6A6A6" w:themeColor="background1" w:themeShade="A6"/>
            </w:tcBorders>
            <w:hideMark/>
          </w:tcPr>
          <w:p w14:paraId="6B010A71" w14:textId="77777777" w:rsidR="00FA7EBF" w:rsidRPr="005F6BEB" w:rsidRDefault="00FA7EBF" w:rsidP="005A60A4">
            <w:pPr>
              <w:pStyle w:val="ARfintablebodyright"/>
              <w:ind w:right="0"/>
              <w:rPr>
                <w:sz w:val="15"/>
                <w:szCs w:val="15"/>
                <w:lang w:eastAsia="en-AU"/>
              </w:rPr>
            </w:pPr>
            <w:r w:rsidRPr="005F6BEB">
              <w:rPr>
                <w:sz w:val="15"/>
                <w:szCs w:val="15"/>
              </w:rPr>
              <w:t>4,698.3</w:t>
            </w:r>
          </w:p>
        </w:tc>
        <w:tc>
          <w:tcPr>
            <w:tcW w:w="641" w:type="dxa"/>
            <w:tcBorders>
              <w:top w:val="single" w:sz="4" w:space="0" w:color="A6A6A6" w:themeColor="background1" w:themeShade="A6"/>
              <w:bottom w:val="single" w:sz="4" w:space="0" w:color="A6A6A6" w:themeColor="background1" w:themeShade="A6"/>
            </w:tcBorders>
            <w:hideMark/>
          </w:tcPr>
          <w:p w14:paraId="21FA7E39"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1C91D36" w14:textId="77777777" w:rsidR="00FA7EBF" w:rsidRPr="005F6BEB" w:rsidRDefault="00FA7EBF" w:rsidP="005A60A4">
            <w:pPr>
              <w:pStyle w:val="ARfintablebodyright"/>
              <w:ind w:right="0"/>
              <w:rPr>
                <w:sz w:val="15"/>
                <w:szCs w:val="15"/>
                <w:lang w:eastAsia="en-AU"/>
              </w:rPr>
            </w:pPr>
            <w:r w:rsidRPr="005F6BEB">
              <w:rPr>
                <w:sz w:val="15"/>
                <w:szCs w:val="15"/>
              </w:rPr>
              <w:t>154.7</w:t>
            </w:r>
          </w:p>
        </w:tc>
        <w:tc>
          <w:tcPr>
            <w:tcW w:w="641" w:type="dxa"/>
            <w:tcBorders>
              <w:top w:val="single" w:sz="4" w:space="0" w:color="A6A6A6" w:themeColor="background1" w:themeShade="A6"/>
              <w:bottom w:val="single" w:sz="4" w:space="0" w:color="A6A6A6" w:themeColor="background1" w:themeShade="A6"/>
            </w:tcBorders>
            <w:hideMark/>
          </w:tcPr>
          <w:p w14:paraId="3B72658D"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EAEB042"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EACAC3D"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41589F50"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FE4A357"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15B344D"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2F20C78"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3AD52EAA"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F6BF149"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B143E43"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2A5416C"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38CB7EBD"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1C9DC78"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839" w:type="dxa"/>
            <w:tcBorders>
              <w:top w:val="single" w:sz="4" w:space="0" w:color="A6A6A6" w:themeColor="background1" w:themeShade="A6"/>
              <w:bottom w:val="single" w:sz="4" w:space="0" w:color="A6A6A6" w:themeColor="background1" w:themeShade="A6"/>
            </w:tcBorders>
            <w:hideMark/>
          </w:tcPr>
          <w:p w14:paraId="681BD031" w14:textId="77777777" w:rsidR="00FA7EBF" w:rsidRPr="005F6BEB" w:rsidRDefault="00FA7EBF" w:rsidP="005A60A4">
            <w:pPr>
              <w:pStyle w:val="ARfintablebodyright"/>
              <w:ind w:right="0"/>
              <w:rPr>
                <w:sz w:val="15"/>
                <w:szCs w:val="15"/>
                <w:lang w:eastAsia="en-AU"/>
              </w:rPr>
            </w:pPr>
            <w:r w:rsidRPr="005F6BEB">
              <w:rPr>
                <w:sz w:val="15"/>
                <w:szCs w:val="15"/>
              </w:rPr>
              <w:t>4,853.1</w:t>
            </w:r>
          </w:p>
        </w:tc>
      </w:tr>
      <w:tr w:rsidR="00FA7EBF" w14:paraId="2DB88A5A" w14:textId="77777777" w:rsidTr="007B207C">
        <w:trPr>
          <w:cantSplit/>
        </w:trPr>
        <w:tc>
          <w:tcPr>
            <w:tcW w:w="3209" w:type="dxa"/>
            <w:tcBorders>
              <w:top w:val="single" w:sz="4" w:space="0" w:color="A6A6A6" w:themeColor="background1" w:themeShade="A6"/>
              <w:bottom w:val="single" w:sz="4" w:space="0" w:color="A6A6A6" w:themeColor="background1" w:themeShade="A6"/>
            </w:tcBorders>
            <w:hideMark/>
          </w:tcPr>
          <w:p w14:paraId="6A6EDC7C" w14:textId="77777777" w:rsidR="00FA7EBF" w:rsidRPr="005F6BEB" w:rsidRDefault="00FA7EBF" w:rsidP="005A60A4">
            <w:pPr>
              <w:pStyle w:val="ARfintablebody"/>
              <w:ind w:right="0"/>
              <w:rPr>
                <w:sz w:val="15"/>
                <w:szCs w:val="15"/>
                <w:lang w:eastAsia="en-AU"/>
              </w:rPr>
            </w:pPr>
            <w:r w:rsidRPr="005F6BEB">
              <w:rPr>
                <w:sz w:val="15"/>
                <w:szCs w:val="15"/>
              </w:rPr>
              <w:t>State contribution to the National Disability Insurance Agency</w:t>
            </w:r>
          </w:p>
        </w:tc>
        <w:tc>
          <w:tcPr>
            <w:tcW w:w="796" w:type="dxa"/>
            <w:tcBorders>
              <w:top w:val="single" w:sz="4" w:space="0" w:color="A6A6A6" w:themeColor="background1" w:themeShade="A6"/>
              <w:bottom w:val="single" w:sz="4" w:space="0" w:color="A6A6A6" w:themeColor="background1" w:themeShade="A6"/>
            </w:tcBorders>
            <w:hideMark/>
          </w:tcPr>
          <w:p w14:paraId="3A0D72B7"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30F69F03"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03F0957"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D55FA84"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36785E5D"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42C8F7C8"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32D694B1"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6D130664"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DE91E19" w14:textId="77777777" w:rsidR="00FA7EBF" w:rsidRPr="005F6BEB" w:rsidRDefault="00FA7EBF" w:rsidP="005A60A4">
            <w:pPr>
              <w:pStyle w:val="ARfintablebodyright"/>
              <w:ind w:right="0"/>
              <w:rPr>
                <w:sz w:val="15"/>
                <w:szCs w:val="15"/>
                <w:lang w:eastAsia="en-AU"/>
              </w:rPr>
            </w:pPr>
            <w:r w:rsidRPr="005F6BEB">
              <w:rPr>
                <w:sz w:val="15"/>
                <w:szCs w:val="15"/>
              </w:rPr>
              <w:t>425.3</w:t>
            </w:r>
          </w:p>
        </w:tc>
        <w:tc>
          <w:tcPr>
            <w:tcW w:w="641" w:type="dxa"/>
            <w:tcBorders>
              <w:top w:val="single" w:sz="4" w:space="0" w:color="A6A6A6" w:themeColor="background1" w:themeShade="A6"/>
              <w:bottom w:val="single" w:sz="4" w:space="0" w:color="A6A6A6" w:themeColor="background1" w:themeShade="A6"/>
            </w:tcBorders>
            <w:hideMark/>
          </w:tcPr>
          <w:p w14:paraId="43344A9F"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481F8FAD"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DD7B87C"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57CD68AD"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E35A9F5"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6BC61888"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9A8156A"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839" w:type="dxa"/>
            <w:tcBorders>
              <w:top w:val="single" w:sz="4" w:space="0" w:color="A6A6A6" w:themeColor="background1" w:themeShade="A6"/>
              <w:bottom w:val="single" w:sz="4" w:space="0" w:color="A6A6A6" w:themeColor="background1" w:themeShade="A6"/>
            </w:tcBorders>
            <w:hideMark/>
          </w:tcPr>
          <w:p w14:paraId="304A4EAA" w14:textId="77777777" w:rsidR="00FA7EBF" w:rsidRPr="005F6BEB" w:rsidRDefault="00FA7EBF" w:rsidP="005A60A4">
            <w:pPr>
              <w:pStyle w:val="ARfintablebodyright"/>
              <w:ind w:right="0"/>
              <w:rPr>
                <w:sz w:val="15"/>
                <w:szCs w:val="15"/>
                <w:lang w:eastAsia="en-AU"/>
              </w:rPr>
            </w:pPr>
            <w:r w:rsidRPr="005F6BEB">
              <w:rPr>
                <w:sz w:val="15"/>
                <w:szCs w:val="15"/>
              </w:rPr>
              <w:t>425.3</w:t>
            </w:r>
          </w:p>
        </w:tc>
      </w:tr>
      <w:tr w:rsidR="00FA7EBF" w14:paraId="2BA442A2" w14:textId="77777777" w:rsidTr="007B207C">
        <w:trPr>
          <w:cantSplit/>
        </w:trPr>
        <w:tc>
          <w:tcPr>
            <w:tcW w:w="3209" w:type="dxa"/>
            <w:tcBorders>
              <w:top w:val="single" w:sz="4" w:space="0" w:color="A6A6A6" w:themeColor="background1" w:themeShade="A6"/>
              <w:bottom w:val="single" w:sz="4" w:space="0" w:color="A6A6A6" w:themeColor="background1" w:themeShade="A6"/>
            </w:tcBorders>
            <w:hideMark/>
          </w:tcPr>
          <w:p w14:paraId="1BA07A2F" w14:textId="77777777" w:rsidR="00FA7EBF" w:rsidRPr="005F6BEB" w:rsidRDefault="00FA7EBF" w:rsidP="005A60A4">
            <w:pPr>
              <w:pStyle w:val="ARfintablebody"/>
              <w:ind w:right="0"/>
              <w:rPr>
                <w:sz w:val="15"/>
                <w:szCs w:val="15"/>
                <w:lang w:eastAsia="en-AU"/>
              </w:rPr>
            </w:pPr>
            <w:r w:rsidRPr="005F6BEB">
              <w:rPr>
                <w:sz w:val="15"/>
                <w:szCs w:val="15"/>
              </w:rPr>
              <w:t>Commonwealth grants</w:t>
            </w:r>
          </w:p>
        </w:tc>
        <w:tc>
          <w:tcPr>
            <w:tcW w:w="796" w:type="dxa"/>
            <w:tcBorders>
              <w:top w:val="single" w:sz="4" w:space="0" w:color="A6A6A6" w:themeColor="background1" w:themeShade="A6"/>
              <w:bottom w:val="single" w:sz="4" w:space="0" w:color="A6A6A6" w:themeColor="background1" w:themeShade="A6"/>
            </w:tcBorders>
            <w:hideMark/>
          </w:tcPr>
          <w:p w14:paraId="767C2E98" w14:textId="77777777" w:rsidR="00FA7EBF" w:rsidRPr="005F6BEB" w:rsidRDefault="00FA7EBF" w:rsidP="005A60A4">
            <w:pPr>
              <w:pStyle w:val="ARfintablebodyright"/>
              <w:ind w:right="0"/>
              <w:rPr>
                <w:sz w:val="15"/>
                <w:szCs w:val="15"/>
                <w:lang w:eastAsia="en-AU"/>
              </w:rPr>
            </w:pPr>
            <w:r w:rsidRPr="005F6BEB">
              <w:rPr>
                <w:sz w:val="15"/>
                <w:szCs w:val="15"/>
              </w:rPr>
              <w:t>9.5</w:t>
            </w:r>
          </w:p>
        </w:tc>
        <w:tc>
          <w:tcPr>
            <w:tcW w:w="641" w:type="dxa"/>
            <w:tcBorders>
              <w:top w:val="single" w:sz="4" w:space="0" w:color="A6A6A6" w:themeColor="background1" w:themeShade="A6"/>
              <w:bottom w:val="single" w:sz="4" w:space="0" w:color="A6A6A6" w:themeColor="background1" w:themeShade="A6"/>
            </w:tcBorders>
            <w:hideMark/>
          </w:tcPr>
          <w:p w14:paraId="15146F0A"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4BF482D0"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E4B3788" w14:textId="77777777" w:rsidR="00FA7EBF" w:rsidRPr="005F6BEB" w:rsidRDefault="00FA7EBF" w:rsidP="005A60A4">
            <w:pPr>
              <w:pStyle w:val="ARfintablebodyright"/>
              <w:ind w:right="0"/>
              <w:rPr>
                <w:sz w:val="15"/>
                <w:szCs w:val="15"/>
                <w:lang w:eastAsia="en-AU"/>
              </w:rPr>
            </w:pPr>
            <w:r w:rsidRPr="005F6BEB">
              <w:rPr>
                <w:sz w:val="15"/>
                <w:szCs w:val="15"/>
              </w:rPr>
              <w:t>65.7</w:t>
            </w:r>
          </w:p>
        </w:tc>
        <w:tc>
          <w:tcPr>
            <w:tcW w:w="641" w:type="dxa"/>
            <w:tcBorders>
              <w:top w:val="single" w:sz="4" w:space="0" w:color="A6A6A6" w:themeColor="background1" w:themeShade="A6"/>
              <w:bottom w:val="single" w:sz="4" w:space="0" w:color="A6A6A6" w:themeColor="background1" w:themeShade="A6"/>
            </w:tcBorders>
            <w:hideMark/>
          </w:tcPr>
          <w:p w14:paraId="269E51AC"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2AFF14D"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52C8EB31" w14:textId="77777777" w:rsidR="00FA7EBF" w:rsidRPr="005F6BEB" w:rsidRDefault="00FA7EBF" w:rsidP="005A60A4">
            <w:pPr>
              <w:pStyle w:val="ARfintablebodyright"/>
              <w:ind w:right="0"/>
              <w:rPr>
                <w:sz w:val="15"/>
                <w:szCs w:val="15"/>
                <w:lang w:eastAsia="en-AU"/>
              </w:rPr>
            </w:pPr>
            <w:r w:rsidRPr="005F6BEB">
              <w:rPr>
                <w:sz w:val="15"/>
                <w:szCs w:val="15"/>
              </w:rPr>
              <w:t>0.2</w:t>
            </w:r>
          </w:p>
        </w:tc>
        <w:tc>
          <w:tcPr>
            <w:tcW w:w="641" w:type="dxa"/>
            <w:tcBorders>
              <w:top w:val="single" w:sz="4" w:space="0" w:color="A6A6A6" w:themeColor="background1" w:themeShade="A6"/>
              <w:bottom w:val="single" w:sz="4" w:space="0" w:color="A6A6A6" w:themeColor="background1" w:themeShade="A6"/>
            </w:tcBorders>
            <w:hideMark/>
          </w:tcPr>
          <w:p w14:paraId="00F396F0"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BF22A64"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3450F075" w14:textId="77777777" w:rsidR="00FA7EBF" w:rsidRPr="005F6BEB" w:rsidRDefault="00FA7EBF" w:rsidP="005A60A4">
            <w:pPr>
              <w:pStyle w:val="ARfintablebodyright"/>
              <w:ind w:right="0"/>
              <w:rPr>
                <w:sz w:val="15"/>
                <w:szCs w:val="15"/>
                <w:lang w:eastAsia="en-AU"/>
              </w:rPr>
            </w:pPr>
            <w:r w:rsidRPr="005F6BEB">
              <w:rPr>
                <w:sz w:val="15"/>
                <w:szCs w:val="15"/>
              </w:rPr>
              <w:t>2.5</w:t>
            </w:r>
          </w:p>
        </w:tc>
        <w:tc>
          <w:tcPr>
            <w:tcW w:w="641" w:type="dxa"/>
            <w:tcBorders>
              <w:top w:val="single" w:sz="4" w:space="0" w:color="A6A6A6" w:themeColor="background1" w:themeShade="A6"/>
              <w:bottom w:val="single" w:sz="4" w:space="0" w:color="A6A6A6" w:themeColor="background1" w:themeShade="A6"/>
            </w:tcBorders>
            <w:hideMark/>
          </w:tcPr>
          <w:p w14:paraId="20258B57"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5B5F47BB"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14FBF30"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B668C53"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4822179B"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5EF06BC6"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839" w:type="dxa"/>
            <w:tcBorders>
              <w:top w:val="single" w:sz="4" w:space="0" w:color="A6A6A6" w:themeColor="background1" w:themeShade="A6"/>
              <w:bottom w:val="single" w:sz="4" w:space="0" w:color="A6A6A6" w:themeColor="background1" w:themeShade="A6"/>
            </w:tcBorders>
            <w:hideMark/>
          </w:tcPr>
          <w:p w14:paraId="48637C4C" w14:textId="77777777" w:rsidR="00FA7EBF" w:rsidRPr="005F6BEB" w:rsidRDefault="00FA7EBF" w:rsidP="005A60A4">
            <w:pPr>
              <w:pStyle w:val="ARfintablebodyright"/>
              <w:ind w:right="0"/>
              <w:rPr>
                <w:sz w:val="15"/>
                <w:szCs w:val="15"/>
                <w:lang w:eastAsia="en-AU"/>
              </w:rPr>
            </w:pPr>
            <w:r w:rsidRPr="005F6BEB">
              <w:rPr>
                <w:sz w:val="15"/>
                <w:szCs w:val="15"/>
              </w:rPr>
              <w:t>77.9</w:t>
            </w:r>
          </w:p>
        </w:tc>
      </w:tr>
      <w:tr w:rsidR="00FA7EBF" w14:paraId="21A6F1F1" w14:textId="77777777" w:rsidTr="007B207C">
        <w:trPr>
          <w:cantSplit/>
        </w:trPr>
        <w:tc>
          <w:tcPr>
            <w:tcW w:w="3209" w:type="dxa"/>
            <w:tcBorders>
              <w:top w:val="single" w:sz="4" w:space="0" w:color="A6A6A6" w:themeColor="background1" w:themeShade="A6"/>
              <w:bottom w:val="single" w:sz="4" w:space="0" w:color="A6A6A6" w:themeColor="background1" w:themeShade="A6"/>
            </w:tcBorders>
            <w:hideMark/>
          </w:tcPr>
          <w:p w14:paraId="579CFE37" w14:textId="77777777" w:rsidR="00FA7EBF" w:rsidRPr="005F6BEB" w:rsidRDefault="00FA7EBF" w:rsidP="005A60A4">
            <w:pPr>
              <w:pStyle w:val="ARfintablebody"/>
              <w:ind w:right="0"/>
              <w:rPr>
                <w:sz w:val="15"/>
                <w:szCs w:val="15"/>
                <w:lang w:eastAsia="en-AU"/>
              </w:rPr>
            </w:pPr>
            <w:r w:rsidRPr="005F6BEB">
              <w:rPr>
                <w:sz w:val="15"/>
                <w:szCs w:val="15"/>
              </w:rPr>
              <w:t>Sales of goods and services</w:t>
            </w:r>
          </w:p>
        </w:tc>
        <w:tc>
          <w:tcPr>
            <w:tcW w:w="796" w:type="dxa"/>
            <w:tcBorders>
              <w:top w:val="single" w:sz="4" w:space="0" w:color="A6A6A6" w:themeColor="background1" w:themeShade="A6"/>
              <w:bottom w:val="single" w:sz="4" w:space="0" w:color="A6A6A6" w:themeColor="background1" w:themeShade="A6"/>
            </w:tcBorders>
            <w:hideMark/>
          </w:tcPr>
          <w:p w14:paraId="3CD17B1E" w14:textId="77777777" w:rsidR="00FA7EBF" w:rsidRPr="005F6BEB" w:rsidRDefault="00FA7EBF" w:rsidP="005A60A4">
            <w:pPr>
              <w:pStyle w:val="ARfintablebodyright"/>
              <w:ind w:right="0"/>
              <w:rPr>
                <w:sz w:val="15"/>
                <w:szCs w:val="15"/>
                <w:lang w:eastAsia="en-AU"/>
              </w:rPr>
            </w:pPr>
            <w:r w:rsidRPr="005F6BEB">
              <w:rPr>
                <w:sz w:val="15"/>
                <w:szCs w:val="15"/>
              </w:rPr>
              <w:t>275.5</w:t>
            </w:r>
          </w:p>
        </w:tc>
        <w:tc>
          <w:tcPr>
            <w:tcW w:w="641" w:type="dxa"/>
            <w:tcBorders>
              <w:top w:val="single" w:sz="4" w:space="0" w:color="A6A6A6" w:themeColor="background1" w:themeShade="A6"/>
              <w:bottom w:val="single" w:sz="4" w:space="0" w:color="A6A6A6" w:themeColor="background1" w:themeShade="A6"/>
            </w:tcBorders>
            <w:hideMark/>
          </w:tcPr>
          <w:p w14:paraId="4B6D0065"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FB4FC02" w14:textId="77777777" w:rsidR="00FA7EBF" w:rsidRPr="005F6BEB" w:rsidRDefault="00FA7EBF" w:rsidP="005A60A4">
            <w:pPr>
              <w:pStyle w:val="ARfintablebodyright"/>
              <w:ind w:right="0"/>
              <w:rPr>
                <w:sz w:val="15"/>
                <w:szCs w:val="15"/>
                <w:lang w:eastAsia="en-AU"/>
              </w:rPr>
            </w:pPr>
            <w:r w:rsidRPr="005F6BEB">
              <w:rPr>
                <w:sz w:val="15"/>
                <w:szCs w:val="15"/>
              </w:rPr>
              <w:t>10.0</w:t>
            </w:r>
          </w:p>
        </w:tc>
        <w:tc>
          <w:tcPr>
            <w:tcW w:w="641" w:type="dxa"/>
            <w:tcBorders>
              <w:top w:val="single" w:sz="4" w:space="0" w:color="A6A6A6" w:themeColor="background1" w:themeShade="A6"/>
              <w:bottom w:val="single" w:sz="4" w:space="0" w:color="A6A6A6" w:themeColor="background1" w:themeShade="A6"/>
            </w:tcBorders>
            <w:hideMark/>
          </w:tcPr>
          <w:p w14:paraId="4D349FFC" w14:textId="77777777" w:rsidR="00FA7EBF" w:rsidRPr="005F6BEB" w:rsidRDefault="00FA7EBF" w:rsidP="005A60A4">
            <w:pPr>
              <w:pStyle w:val="ARfintablebodyright"/>
              <w:ind w:right="0"/>
              <w:rPr>
                <w:sz w:val="15"/>
                <w:szCs w:val="15"/>
                <w:lang w:eastAsia="en-AU"/>
              </w:rPr>
            </w:pPr>
            <w:r w:rsidRPr="005F6BEB">
              <w:rPr>
                <w:sz w:val="15"/>
                <w:szCs w:val="15"/>
              </w:rPr>
              <w:t>1.4</w:t>
            </w:r>
          </w:p>
        </w:tc>
        <w:tc>
          <w:tcPr>
            <w:tcW w:w="641" w:type="dxa"/>
            <w:tcBorders>
              <w:top w:val="single" w:sz="4" w:space="0" w:color="A6A6A6" w:themeColor="background1" w:themeShade="A6"/>
              <w:bottom w:val="single" w:sz="4" w:space="0" w:color="A6A6A6" w:themeColor="background1" w:themeShade="A6"/>
            </w:tcBorders>
            <w:hideMark/>
          </w:tcPr>
          <w:p w14:paraId="76EA566B" w14:textId="77777777" w:rsidR="00FA7EBF" w:rsidRPr="005F6BEB" w:rsidRDefault="00FA7EBF" w:rsidP="005A60A4">
            <w:pPr>
              <w:pStyle w:val="ARfintablebodyright"/>
              <w:ind w:right="0"/>
              <w:rPr>
                <w:sz w:val="15"/>
                <w:szCs w:val="15"/>
                <w:lang w:eastAsia="en-AU"/>
              </w:rPr>
            </w:pPr>
            <w:r w:rsidRPr="005F6BEB">
              <w:rPr>
                <w:sz w:val="15"/>
                <w:szCs w:val="15"/>
              </w:rPr>
              <w:t>3.6</w:t>
            </w:r>
          </w:p>
        </w:tc>
        <w:tc>
          <w:tcPr>
            <w:tcW w:w="641" w:type="dxa"/>
            <w:tcBorders>
              <w:top w:val="single" w:sz="4" w:space="0" w:color="A6A6A6" w:themeColor="background1" w:themeShade="A6"/>
              <w:bottom w:val="single" w:sz="4" w:space="0" w:color="A6A6A6" w:themeColor="background1" w:themeShade="A6"/>
            </w:tcBorders>
            <w:hideMark/>
          </w:tcPr>
          <w:p w14:paraId="170238D7" w14:textId="77777777" w:rsidR="00FA7EBF" w:rsidRPr="005F6BEB" w:rsidRDefault="00FA7EBF" w:rsidP="005A60A4">
            <w:pPr>
              <w:pStyle w:val="ARfintablebodyright"/>
              <w:ind w:right="0"/>
              <w:rPr>
                <w:sz w:val="15"/>
                <w:szCs w:val="15"/>
                <w:lang w:eastAsia="en-AU"/>
              </w:rPr>
            </w:pPr>
            <w:r w:rsidRPr="005F6BEB">
              <w:rPr>
                <w:sz w:val="15"/>
                <w:szCs w:val="15"/>
              </w:rPr>
              <w:t>7.2</w:t>
            </w:r>
          </w:p>
        </w:tc>
        <w:tc>
          <w:tcPr>
            <w:tcW w:w="641" w:type="dxa"/>
            <w:tcBorders>
              <w:top w:val="single" w:sz="4" w:space="0" w:color="A6A6A6" w:themeColor="background1" w:themeShade="A6"/>
              <w:bottom w:val="single" w:sz="4" w:space="0" w:color="A6A6A6" w:themeColor="background1" w:themeShade="A6"/>
            </w:tcBorders>
            <w:hideMark/>
          </w:tcPr>
          <w:p w14:paraId="4B4B4E38"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304AA70" w14:textId="77777777" w:rsidR="00FA7EBF" w:rsidRPr="005F6BEB" w:rsidRDefault="00FA7EBF" w:rsidP="005A60A4">
            <w:pPr>
              <w:pStyle w:val="ARfintablebodyright"/>
              <w:ind w:right="0"/>
              <w:rPr>
                <w:sz w:val="15"/>
                <w:szCs w:val="15"/>
                <w:lang w:eastAsia="en-AU"/>
              </w:rPr>
            </w:pPr>
            <w:r w:rsidRPr="005F6BEB">
              <w:rPr>
                <w:sz w:val="15"/>
                <w:szCs w:val="15"/>
              </w:rPr>
              <w:t>0.6</w:t>
            </w:r>
          </w:p>
        </w:tc>
        <w:tc>
          <w:tcPr>
            <w:tcW w:w="641" w:type="dxa"/>
            <w:tcBorders>
              <w:top w:val="single" w:sz="4" w:space="0" w:color="A6A6A6" w:themeColor="background1" w:themeShade="A6"/>
              <w:bottom w:val="single" w:sz="4" w:space="0" w:color="A6A6A6" w:themeColor="background1" w:themeShade="A6"/>
            </w:tcBorders>
            <w:hideMark/>
          </w:tcPr>
          <w:p w14:paraId="050B5A57" w14:textId="77777777" w:rsidR="00FA7EBF" w:rsidRPr="005F6BEB" w:rsidRDefault="00FA7EBF" w:rsidP="005A60A4">
            <w:pPr>
              <w:pStyle w:val="ARfintablebodyright"/>
              <w:ind w:right="0"/>
              <w:rPr>
                <w:sz w:val="15"/>
                <w:szCs w:val="15"/>
                <w:lang w:eastAsia="en-AU"/>
              </w:rPr>
            </w:pPr>
            <w:r w:rsidRPr="005F6BEB">
              <w:rPr>
                <w:sz w:val="15"/>
                <w:szCs w:val="15"/>
              </w:rPr>
              <w:t>41.5</w:t>
            </w:r>
          </w:p>
        </w:tc>
        <w:tc>
          <w:tcPr>
            <w:tcW w:w="641" w:type="dxa"/>
            <w:tcBorders>
              <w:top w:val="single" w:sz="4" w:space="0" w:color="A6A6A6" w:themeColor="background1" w:themeShade="A6"/>
              <w:bottom w:val="single" w:sz="4" w:space="0" w:color="A6A6A6" w:themeColor="background1" w:themeShade="A6"/>
            </w:tcBorders>
            <w:hideMark/>
          </w:tcPr>
          <w:p w14:paraId="1F95724E" w14:textId="77777777" w:rsidR="00FA7EBF" w:rsidRPr="005F6BEB" w:rsidRDefault="00FA7EBF" w:rsidP="005A60A4">
            <w:pPr>
              <w:pStyle w:val="ARfintablebodyright"/>
              <w:ind w:right="0"/>
              <w:rPr>
                <w:sz w:val="15"/>
                <w:szCs w:val="15"/>
                <w:lang w:eastAsia="en-AU"/>
              </w:rPr>
            </w:pPr>
            <w:r w:rsidRPr="005F6BEB">
              <w:rPr>
                <w:sz w:val="15"/>
                <w:szCs w:val="15"/>
              </w:rPr>
              <w:t>0.1</w:t>
            </w:r>
          </w:p>
        </w:tc>
        <w:tc>
          <w:tcPr>
            <w:tcW w:w="641" w:type="dxa"/>
            <w:tcBorders>
              <w:top w:val="single" w:sz="4" w:space="0" w:color="A6A6A6" w:themeColor="background1" w:themeShade="A6"/>
              <w:bottom w:val="single" w:sz="4" w:space="0" w:color="A6A6A6" w:themeColor="background1" w:themeShade="A6"/>
            </w:tcBorders>
            <w:hideMark/>
          </w:tcPr>
          <w:p w14:paraId="434EE4BD"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44AA0EA9" w14:textId="77777777" w:rsidR="00FA7EBF" w:rsidRPr="005F6BEB" w:rsidRDefault="00FA7EBF" w:rsidP="005A60A4">
            <w:pPr>
              <w:pStyle w:val="ARfintablebodyright"/>
              <w:ind w:right="0"/>
              <w:rPr>
                <w:sz w:val="15"/>
                <w:szCs w:val="15"/>
                <w:lang w:eastAsia="en-AU"/>
              </w:rPr>
            </w:pPr>
            <w:r w:rsidRPr="005F6BEB">
              <w:rPr>
                <w:sz w:val="15"/>
                <w:szCs w:val="15"/>
              </w:rPr>
              <w:t>0.1</w:t>
            </w:r>
          </w:p>
        </w:tc>
        <w:tc>
          <w:tcPr>
            <w:tcW w:w="641" w:type="dxa"/>
            <w:tcBorders>
              <w:top w:val="single" w:sz="4" w:space="0" w:color="A6A6A6" w:themeColor="background1" w:themeShade="A6"/>
              <w:bottom w:val="single" w:sz="4" w:space="0" w:color="A6A6A6" w:themeColor="background1" w:themeShade="A6"/>
            </w:tcBorders>
            <w:hideMark/>
          </w:tcPr>
          <w:p w14:paraId="4B0147BB"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B299EB6"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56BA746C"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4A1137F0"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839" w:type="dxa"/>
            <w:tcBorders>
              <w:top w:val="single" w:sz="4" w:space="0" w:color="A6A6A6" w:themeColor="background1" w:themeShade="A6"/>
              <w:bottom w:val="single" w:sz="4" w:space="0" w:color="A6A6A6" w:themeColor="background1" w:themeShade="A6"/>
            </w:tcBorders>
            <w:hideMark/>
          </w:tcPr>
          <w:p w14:paraId="119BD0D3" w14:textId="77777777" w:rsidR="00FA7EBF" w:rsidRPr="005F6BEB" w:rsidRDefault="00FA7EBF" w:rsidP="005A60A4">
            <w:pPr>
              <w:pStyle w:val="ARfintablebodyright"/>
              <w:ind w:right="0"/>
              <w:rPr>
                <w:sz w:val="15"/>
                <w:szCs w:val="15"/>
                <w:lang w:eastAsia="en-AU"/>
              </w:rPr>
            </w:pPr>
            <w:r w:rsidRPr="005F6BEB">
              <w:rPr>
                <w:sz w:val="15"/>
                <w:szCs w:val="15"/>
              </w:rPr>
              <w:t>340.1</w:t>
            </w:r>
          </w:p>
        </w:tc>
      </w:tr>
      <w:tr w:rsidR="00FA7EBF" w14:paraId="6B8FAFA5" w14:textId="77777777" w:rsidTr="007B207C">
        <w:trPr>
          <w:cantSplit/>
        </w:trPr>
        <w:tc>
          <w:tcPr>
            <w:tcW w:w="3209" w:type="dxa"/>
            <w:tcBorders>
              <w:top w:val="single" w:sz="4" w:space="0" w:color="A6A6A6" w:themeColor="background1" w:themeShade="A6"/>
              <w:bottom w:val="single" w:sz="4" w:space="0" w:color="A6A6A6" w:themeColor="background1" w:themeShade="A6"/>
            </w:tcBorders>
            <w:hideMark/>
          </w:tcPr>
          <w:p w14:paraId="1C9C6260" w14:textId="77777777" w:rsidR="00FA7EBF" w:rsidRPr="005F6BEB" w:rsidRDefault="00FA7EBF" w:rsidP="005A60A4">
            <w:pPr>
              <w:pStyle w:val="ARfintablebody"/>
              <w:ind w:right="0"/>
              <w:rPr>
                <w:sz w:val="15"/>
                <w:szCs w:val="15"/>
                <w:lang w:eastAsia="en-AU"/>
              </w:rPr>
            </w:pPr>
            <w:r w:rsidRPr="005F6BEB">
              <w:rPr>
                <w:sz w:val="15"/>
                <w:szCs w:val="15"/>
              </w:rPr>
              <w:t>Appropriations – payments made on behalf of the state</w:t>
            </w:r>
          </w:p>
        </w:tc>
        <w:tc>
          <w:tcPr>
            <w:tcW w:w="796" w:type="dxa"/>
            <w:tcBorders>
              <w:top w:val="single" w:sz="4" w:space="0" w:color="A6A6A6" w:themeColor="background1" w:themeShade="A6"/>
              <w:bottom w:val="single" w:sz="4" w:space="0" w:color="A6A6A6" w:themeColor="background1" w:themeShade="A6"/>
            </w:tcBorders>
            <w:hideMark/>
          </w:tcPr>
          <w:p w14:paraId="3676BCB7"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4328908"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1BFB580"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52A2AED0" w14:textId="77777777" w:rsidR="00FA7EBF" w:rsidRPr="005F6BEB" w:rsidRDefault="00FA7EBF" w:rsidP="005A60A4">
            <w:pPr>
              <w:pStyle w:val="ARfintablebodyright"/>
              <w:ind w:right="0"/>
              <w:rPr>
                <w:sz w:val="15"/>
                <w:szCs w:val="15"/>
                <w:lang w:eastAsia="en-AU"/>
              </w:rPr>
            </w:pPr>
            <w:r w:rsidRPr="005F6BEB">
              <w:rPr>
                <w:sz w:val="15"/>
                <w:szCs w:val="15"/>
              </w:rPr>
              <w:t>60.2</w:t>
            </w:r>
          </w:p>
        </w:tc>
        <w:tc>
          <w:tcPr>
            <w:tcW w:w="641" w:type="dxa"/>
            <w:tcBorders>
              <w:top w:val="single" w:sz="4" w:space="0" w:color="A6A6A6" w:themeColor="background1" w:themeShade="A6"/>
              <w:bottom w:val="single" w:sz="4" w:space="0" w:color="A6A6A6" w:themeColor="background1" w:themeShade="A6"/>
            </w:tcBorders>
            <w:hideMark/>
          </w:tcPr>
          <w:p w14:paraId="46194E0F"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53D46FE3"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7D53A86"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6A32DF19"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3CA5B9AB"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3CD0AB10"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C3F6BC4"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81607B6" w14:textId="77777777" w:rsidR="00FA7EBF" w:rsidRPr="005F6BEB" w:rsidRDefault="00FA7EBF" w:rsidP="005A60A4">
            <w:pPr>
              <w:pStyle w:val="ARfintablebodyright"/>
              <w:ind w:right="0"/>
              <w:rPr>
                <w:sz w:val="15"/>
                <w:szCs w:val="15"/>
                <w:lang w:eastAsia="en-AU"/>
              </w:rPr>
            </w:pPr>
            <w:r w:rsidRPr="005F6BEB">
              <w:rPr>
                <w:sz w:val="15"/>
                <w:szCs w:val="15"/>
              </w:rPr>
              <w:t>0.1</w:t>
            </w:r>
          </w:p>
        </w:tc>
        <w:tc>
          <w:tcPr>
            <w:tcW w:w="641" w:type="dxa"/>
            <w:tcBorders>
              <w:top w:val="single" w:sz="4" w:space="0" w:color="A6A6A6" w:themeColor="background1" w:themeShade="A6"/>
              <w:bottom w:val="single" w:sz="4" w:space="0" w:color="A6A6A6" w:themeColor="background1" w:themeShade="A6"/>
            </w:tcBorders>
            <w:hideMark/>
          </w:tcPr>
          <w:p w14:paraId="20328BDD"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4E2C6058"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778FF9D"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7F2F63D"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839" w:type="dxa"/>
            <w:tcBorders>
              <w:top w:val="single" w:sz="4" w:space="0" w:color="A6A6A6" w:themeColor="background1" w:themeShade="A6"/>
              <w:bottom w:val="single" w:sz="4" w:space="0" w:color="A6A6A6" w:themeColor="background1" w:themeShade="A6"/>
            </w:tcBorders>
            <w:hideMark/>
          </w:tcPr>
          <w:p w14:paraId="5EDD5195" w14:textId="77777777" w:rsidR="00FA7EBF" w:rsidRPr="005F6BEB" w:rsidRDefault="00FA7EBF" w:rsidP="005A60A4">
            <w:pPr>
              <w:pStyle w:val="ARfintablebodyright"/>
              <w:ind w:right="0"/>
              <w:rPr>
                <w:sz w:val="15"/>
                <w:szCs w:val="15"/>
                <w:lang w:eastAsia="en-AU"/>
              </w:rPr>
            </w:pPr>
            <w:r w:rsidRPr="005F6BEB">
              <w:rPr>
                <w:sz w:val="15"/>
                <w:szCs w:val="15"/>
              </w:rPr>
              <w:t>60.3</w:t>
            </w:r>
          </w:p>
        </w:tc>
      </w:tr>
      <w:tr w:rsidR="00FA7EBF" w14:paraId="77D063B8" w14:textId="77777777" w:rsidTr="007B207C">
        <w:trPr>
          <w:cantSplit/>
        </w:trPr>
        <w:tc>
          <w:tcPr>
            <w:tcW w:w="3209" w:type="dxa"/>
            <w:tcBorders>
              <w:top w:val="single" w:sz="4" w:space="0" w:color="A6A6A6" w:themeColor="background1" w:themeShade="A6"/>
              <w:bottom w:val="single" w:sz="4" w:space="0" w:color="A6A6A6" w:themeColor="background1" w:themeShade="A6"/>
            </w:tcBorders>
            <w:hideMark/>
          </w:tcPr>
          <w:p w14:paraId="02524A13" w14:textId="77777777" w:rsidR="00FA7EBF" w:rsidRPr="005F6BEB" w:rsidRDefault="00FA7EBF" w:rsidP="005A60A4">
            <w:pPr>
              <w:pStyle w:val="ARfintablebody"/>
              <w:ind w:right="0"/>
              <w:rPr>
                <w:sz w:val="15"/>
                <w:szCs w:val="15"/>
                <w:lang w:eastAsia="en-AU"/>
              </w:rPr>
            </w:pPr>
            <w:r w:rsidRPr="005F6BEB">
              <w:rPr>
                <w:sz w:val="15"/>
                <w:szCs w:val="15"/>
              </w:rPr>
              <w:t>Interest income</w:t>
            </w:r>
          </w:p>
        </w:tc>
        <w:tc>
          <w:tcPr>
            <w:tcW w:w="796" w:type="dxa"/>
            <w:tcBorders>
              <w:top w:val="single" w:sz="4" w:space="0" w:color="A6A6A6" w:themeColor="background1" w:themeShade="A6"/>
              <w:bottom w:val="single" w:sz="4" w:space="0" w:color="A6A6A6" w:themeColor="background1" w:themeShade="A6"/>
            </w:tcBorders>
            <w:hideMark/>
          </w:tcPr>
          <w:p w14:paraId="29F07B91" w14:textId="77777777" w:rsidR="00FA7EBF" w:rsidRPr="005F6BEB" w:rsidRDefault="00FA7EBF" w:rsidP="005A60A4">
            <w:pPr>
              <w:pStyle w:val="ARfintablebodyright"/>
              <w:ind w:right="0"/>
              <w:rPr>
                <w:sz w:val="15"/>
                <w:szCs w:val="15"/>
                <w:lang w:eastAsia="en-AU"/>
              </w:rPr>
            </w:pPr>
            <w:r w:rsidRPr="005F6BEB">
              <w:rPr>
                <w:sz w:val="15"/>
                <w:szCs w:val="15"/>
              </w:rPr>
              <w:t>0.8</w:t>
            </w:r>
          </w:p>
        </w:tc>
        <w:tc>
          <w:tcPr>
            <w:tcW w:w="641" w:type="dxa"/>
            <w:tcBorders>
              <w:top w:val="single" w:sz="4" w:space="0" w:color="A6A6A6" w:themeColor="background1" w:themeShade="A6"/>
              <w:bottom w:val="single" w:sz="4" w:space="0" w:color="A6A6A6" w:themeColor="background1" w:themeShade="A6"/>
            </w:tcBorders>
            <w:hideMark/>
          </w:tcPr>
          <w:p w14:paraId="09C13A28"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54E0B7CB"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4BF7C77A"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BAC8043"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3C18E97"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53880142"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3A528FB"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221DD28" w14:textId="77777777" w:rsidR="00FA7EBF" w:rsidRPr="005F6BEB" w:rsidRDefault="00FA7EBF" w:rsidP="005A60A4">
            <w:pPr>
              <w:pStyle w:val="ARfintablebodyright"/>
              <w:ind w:right="0"/>
              <w:rPr>
                <w:sz w:val="15"/>
                <w:szCs w:val="15"/>
                <w:lang w:eastAsia="en-AU"/>
              </w:rPr>
            </w:pPr>
            <w:r w:rsidRPr="005F6BEB">
              <w:rPr>
                <w:sz w:val="15"/>
                <w:szCs w:val="15"/>
              </w:rPr>
              <w:t>0.2</w:t>
            </w:r>
          </w:p>
        </w:tc>
        <w:tc>
          <w:tcPr>
            <w:tcW w:w="641" w:type="dxa"/>
            <w:tcBorders>
              <w:top w:val="single" w:sz="4" w:space="0" w:color="A6A6A6" w:themeColor="background1" w:themeShade="A6"/>
              <w:bottom w:val="single" w:sz="4" w:space="0" w:color="A6A6A6" w:themeColor="background1" w:themeShade="A6"/>
            </w:tcBorders>
            <w:hideMark/>
          </w:tcPr>
          <w:p w14:paraId="382E154F"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5AF44001"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67484B11"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5B74A9CF"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5A353DA"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5D48A05"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45BFA1A8"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839" w:type="dxa"/>
            <w:tcBorders>
              <w:top w:val="single" w:sz="4" w:space="0" w:color="A6A6A6" w:themeColor="background1" w:themeShade="A6"/>
              <w:bottom w:val="single" w:sz="4" w:space="0" w:color="A6A6A6" w:themeColor="background1" w:themeShade="A6"/>
            </w:tcBorders>
            <w:hideMark/>
          </w:tcPr>
          <w:p w14:paraId="63A97A94" w14:textId="77777777" w:rsidR="00FA7EBF" w:rsidRPr="005F6BEB" w:rsidRDefault="00FA7EBF" w:rsidP="005A60A4">
            <w:pPr>
              <w:pStyle w:val="ARfintablebodyright"/>
              <w:ind w:right="0"/>
              <w:rPr>
                <w:sz w:val="15"/>
                <w:szCs w:val="15"/>
                <w:lang w:eastAsia="en-AU"/>
              </w:rPr>
            </w:pPr>
            <w:r w:rsidRPr="005F6BEB">
              <w:rPr>
                <w:sz w:val="15"/>
                <w:szCs w:val="15"/>
              </w:rPr>
              <w:t>1.0</w:t>
            </w:r>
          </w:p>
        </w:tc>
      </w:tr>
      <w:tr w:rsidR="00FA7EBF" w14:paraId="19B2C6DF" w14:textId="77777777" w:rsidTr="007B207C">
        <w:trPr>
          <w:cantSplit/>
        </w:trPr>
        <w:tc>
          <w:tcPr>
            <w:tcW w:w="3209" w:type="dxa"/>
            <w:tcBorders>
              <w:top w:val="single" w:sz="4" w:space="0" w:color="A6A6A6" w:themeColor="background1" w:themeShade="A6"/>
              <w:bottom w:val="single" w:sz="4" w:space="0" w:color="A6A6A6" w:themeColor="background1" w:themeShade="A6"/>
            </w:tcBorders>
            <w:hideMark/>
          </w:tcPr>
          <w:p w14:paraId="108E6F86" w14:textId="77777777" w:rsidR="00FA7EBF" w:rsidRPr="005F6BEB" w:rsidRDefault="00FA7EBF" w:rsidP="005A60A4">
            <w:pPr>
              <w:pStyle w:val="ARfintablebody"/>
              <w:ind w:right="0"/>
              <w:rPr>
                <w:sz w:val="15"/>
                <w:szCs w:val="15"/>
                <w:lang w:eastAsia="en-AU"/>
              </w:rPr>
            </w:pPr>
            <w:r w:rsidRPr="005F6BEB">
              <w:rPr>
                <w:sz w:val="15"/>
                <w:szCs w:val="15"/>
              </w:rPr>
              <w:t>Fees</w:t>
            </w:r>
          </w:p>
        </w:tc>
        <w:tc>
          <w:tcPr>
            <w:tcW w:w="796" w:type="dxa"/>
            <w:tcBorders>
              <w:top w:val="single" w:sz="4" w:space="0" w:color="A6A6A6" w:themeColor="background1" w:themeShade="A6"/>
              <w:bottom w:val="single" w:sz="4" w:space="0" w:color="A6A6A6" w:themeColor="background1" w:themeShade="A6"/>
            </w:tcBorders>
            <w:hideMark/>
          </w:tcPr>
          <w:p w14:paraId="43592DE3"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4F423EDF"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3B72CFF2"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3EA05613"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812E49B"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7D8CFA5"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53A2D5C4" w14:textId="77777777" w:rsidR="00FA7EBF" w:rsidRPr="005F6BEB" w:rsidRDefault="00FA7EBF" w:rsidP="005A60A4">
            <w:pPr>
              <w:pStyle w:val="ARfintablebodyright"/>
              <w:ind w:right="0"/>
              <w:rPr>
                <w:sz w:val="15"/>
                <w:szCs w:val="15"/>
                <w:lang w:eastAsia="en-AU"/>
              </w:rPr>
            </w:pPr>
            <w:r w:rsidRPr="005F6BEB">
              <w:rPr>
                <w:sz w:val="15"/>
                <w:szCs w:val="15"/>
              </w:rPr>
              <w:t>10.0</w:t>
            </w:r>
          </w:p>
        </w:tc>
        <w:tc>
          <w:tcPr>
            <w:tcW w:w="641" w:type="dxa"/>
            <w:tcBorders>
              <w:top w:val="single" w:sz="4" w:space="0" w:color="A6A6A6" w:themeColor="background1" w:themeShade="A6"/>
              <w:bottom w:val="single" w:sz="4" w:space="0" w:color="A6A6A6" w:themeColor="background1" w:themeShade="A6"/>
            </w:tcBorders>
            <w:hideMark/>
          </w:tcPr>
          <w:p w14:paraId="28EF9E8A" w14:textId="77777777" w:rsidR="00FA7EBF" w:rsidRPr="005F6BEB" w:rsidRDefault="00FA7EBF" w:rsidP="005A60A4">
            <w:pPr>
              <w:pStyle w:val="ARfintablebodyright"/>
              <w:ind w:right="0"/>
              <w:rPr>
                <w:sz w:val="15"/>
                <w:szCs w:val="15"/>
                <w:lang w:eastAsia="en-AU"/>
              </w:rPr>
            </w:pPr>
            <w:r w:rsidRPr="005F6BEB">
              <w:rPr>
                <w:sz w:val="15"/>
                <w:szCs w:val="15"/>
              </w:rPr>
              <w:t>0.6</w:t>
            </w:r>
          </w:p>
        </w:tc>
        <w:tc>
          <w:tcPr>
            <w:tcW w:w="641" w:type="dxa"/>
            <w:tcBorders>
              <w:top w:val="single" w:sz="4" w:space="0" w:color="A6A6A6" w:themeColor="background1" w:themeShade="A6"/>
              <w:bottom w:val="single" w:sz="4" w:space="0" w:color="A6A6A6" w:themeColor="background1" w:themeShade="A6"/>
            </w:tcBorders>
            <w:hideMark/>
          </w:tcPr>
          <w:p w14:paraId="0BA1E1E9"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5C646FF3"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427A1FC"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4F7DF8D1"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EBF5393"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CF60C95"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64DBCB3"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6F4CC936"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839" w:type="dxa"/>
            <w:tcBorders>
              <w:top w:val="single" w:sz="4" w:space="0" w:color="A6A6A6" w:themeColor="background1" w:themeShade="A6"/>
              <w:bottom w:val="single" w:sz="4" w:space="0" w:color="A6A6A6" w:themeColor="background1" w:themeShade="A6"/>
            </w:tcBorders>
            <w:hideMark/>
          </w:tcPr>
          <w:p w14:paraId="6FD00092" w14:textId="77777777" w:rsidR="00FA7EBF" w:rsidRPr="005F6BEB" w:rsidRDefault="00FA7EBF" w:rsidP="005A60A4">
            <w:pPr>
              <w:pStyle w:val="ARfintablebodyright"/>
              <w:ind w:right="0"/>
              <w:rPr>
                <w:sz w:val="15"/>
                <w:szCs w:val="15"/>
                <w:lang w:eastAsia="en-AU"/>
              </w:rPr>
            </w:pPr>
            <w:r w:rsidRPr="005F6BEB">
              <w:rPr>
                <w:sz w:val="15"/>
                <w:szCs w:val="15"/>
              </w:rPr>
              <w:t>10.6</w:t>
            </w:r>
          </w:p>
        </w:tc>
      </w:tr>
      <w:tr w:rsidR="00FA7EBF" w14:paraId="212486EB" w14:textId="77777777" w:rsidTr="007B207C">
        <w:trPr>
          <w:cantSplit/>
        </w:trPr>
        <w:tc>
          <w:tcPr>
            <w:tcW w:w="3209" w:type="dxa"/>
            <w:tcBorders>
              <w:top w:val="single" w:sz="4" w:space="0" w:color="A6A6A6" w:themeColor="background1" w:themeShade="A6"/>
              <w:bottom w:val="single" w:sz="4" w:space="0" w:color="A6A6A6" w:themeColor="background1" w:themeShade="A6"/>
            </w:tcBorders>
            <w:hideMark/>
          </w:tcPr>
          <w:p w14:paraId="7A8406CA" w14:textId="77777777" w:rsidR="00FA7EBF" w:rsidRPr="005F6BEB" w:rsidRDefault="00FA7EBF" w:rsidP="005A60A4">
            <w:pPr>
              <w:pStyle w:val="ARfintablebody"/>
              <w:ind w:right="0"/>
              <w:rPr>
                <w:sz w:val="15"/>
                <w:szCs w:val="15"/>
                <w:lang w:eastAsia="en-AU"/>
              </w:rPr>
            </w:pPr>
            <w:r w:rsidRPr="005F6BEB">
              <w:rPr>
                <w:sz w:val="15"/>
                <w:szCs w:val="15"/>
              </w:rPr>
              <w:t>Grants and other income transfers</w:t>
            </w:r>
          </w:p>
        </w:tc>
        <w:tc>
          <w:tcPr>
            <w:tcW w:w="796" w:type="dxa"/>
            <w:tcBorders>
              <w:top w:val="single" w:sz="4" w:space="0" w:color="A6A6A6" w:themeColor="background1" w:themeShade="A6"/>
              <w:bottom w:val="single" w:sz="4" w:space="0" w:color="A6A6A6" w:themeColor="background1" w:themeShade="A6"/>
            </w:tcBorders>
            <w:hideMark/>
          </w:tcPr>
          <w:p w14:paraId="360572E9" w14:textId="77777777" w:rsidR="00FA7EBF" w:rsidRPr="005F6BEB" w:rsidRDefault="00FA7EBF" w:rsidP="005A60A4">
            <w:pPr>
              <w:pStyle w:val="ARfintablebodyright"/>
              <w:ind w:right="0"/>
              <w:rPr>
                <w:sz w:val="15"/>
                <w:szCs w:val="15"/>
                <w:lang w:eastAsia="en-AU"/>
              </w:rPr>
            </w:pPr>
            <w:r w:rsidRPr="005F6BEB">
              <w:rPr>
                <w:sz w:val="15"/>
                <w:szCs w:val="15"/>
              </w:rPr>
              <w:t>58.1</w:t>
            </w:r>
          </w:p>
        </w:tc>
        <w:tc>
          <w:tcPr>
            <w:tcW w:w="641" w:type="dxa"/>
            <w:tcBorders>
              <w:top w:val="single" w:sz="4" w:space="0" w:color="A6A6A6" w:themeColor="background1" w:themeShade="A6"/>
              <w:bottom w:val="single" w:sz="4" w:space="0" w:color="A6A6A6" w:themeColor="background1" w:themeShade="A6"/>
            </w:tcBorders>
            <w:hideMark/>
          </w:tcPr>
          <w:p w14:paraId="0A16347B"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0E81260" w14:textId="77777777" w:rsidR="00FA7EBF" w:rsidRPr="005F6BEB" w:rsidRDefault="00FA7EBF" w:rsidP="005A60A4">
            <w:pPr>
              <w:pStyle w:val="ARfintablebodyright"/>
              <w:ind w:right="0"/>
              <w:rPr>
                <w:sz w:val="15"/>
                <w:szCs w:val="15"/>
                <w:lang w:eastAsia="en-AU"/>
              </w:rPr>
            </w:pPr>
            <w:r w:rsidRPr="005F6BEB">
              <w:rPr>
                <w:sz w:val="15"/>
                <w:szCs w:val="15"/>
              </w:rPr>
              <w:t>2.0</w:t>
            </w:r>
          </w:p>
        </w:tc>
        <w:tc>
          <w:tcPr>
            <w:tcW w:w="641" w:type="dxa"/>
            <w:tcBorders>
              <w:top w:val="single" w:sz="4" w:space="0" w:color="A6A6A6" w:themeColor="background1" w:themeShade="A6"/>
              <w:bottom w:val="single" w:sz="4" w:space="0" w:color="A6A6A6" w:themeColor="background1" w:themeShade="A6"/>
            </w:tcBorders>
            <w:hideMark/>
          </w:tcPr>
          <w:p w14:paraId="3215AF7D"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4FA143F" w14:textId="77777777" w:rsidR="00FA7EBF" w:rsidRPr="005F6BEB" w:rsidRDefault="00FA7EBF" w:rsidP="005A60A4">
            <w:pPr>
              <w:pStyle w:val="ARfintablebodyright"/>
              <w:ind w:right="0"/>
              <w:rPr>
                <w:sz w:val="15"/>
                <w:szCs w:val="15"/>
                <w:lang w:eastAsia="en-AU"/>
              </w:rPr>
            </w:pPr>
            <w:r w:rsidRPr="005F6BEB">
              <w:rPr>
                <w:sz w:val="15"/>
                <w:szCs w:val="15"/>
              </w:rPr>
              <w:t>0.3</w:t>
            </w:r>
          </w:p>
        </w:tc>
        <w:tc>
          <w:tcPr>
            <w:tcW w:w="641" w:type="dxa"/>
            <w:tcBorders>
              <w:top w:val="single" w:sz="4" w:space="0" w:color="A6A6A6" w:themeColor="background1" w:themeShade="A6"/>
              <w:bottom w:val="single" w:sz="4" w:space="0" w:color="A6A6A6" w:themeColor="background1" w:themeShade="A6"/>
            </w:tcBorders>
            <w:hideMark/>
          </w:tcPr>
          <w:p w14:paraId="08E77375"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3244F651"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AAA5EB7"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5004B6E" w14:textId="77777777" w:rsidR="00FA7EBF" w:rsidRPr="005F6BEB" w:rsidRDefault="00FA7EBF" w:rsidP="005A60A4">
            <w:pPr>
              <w:pStyle w:val="ARfintablebodyright"/>
              <w:ind w:right="0"/>
              <w:rPr>
                <w:sz w:val="15"/>
                <w:szCs w:val="15"/>
                <w:lang w:eastAsia="en-AU"/>
              </w:rPr>
            </w:pPr>
            <w:r w:rsidRPr="005F6BEB">
              <w:rPr>
                <w:sz w:val="15"/>
                <w:szCs w:val="15"/>
              </w:rPr>
              <w:t>58.1</w:t>
            </w:r>
          </w:p>
        </w:tc>
        <w:tc>
          <w:tcPr>
            <w:tcW w:w="641" w:type="dxa"/>
            <w:tcBorders>
              <w:top w:val="single" w:sz="4" w:space="0" w:color="A6A6A6" w:themeColor="background1" w:themeShade="A6"/>
              <w:bottom w:val="single" w:sz="4" w:space="0" w:color="A6A6A6" w:themeColor="background1" w:themeShade="A6"/>
            </w:tcBorders>
            <w:hideMark/>
          </w:tcPr>
          <w:p w14:paraId="475A703C"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3908D41" w14:textId="77777777" w:rsidR="00FA7EBF" w:rsidRPr="005F6BEB" w:rsidRDefault="00FA7EBF" w:rsidP="005A60A4">
            <w:pPr>
              <w:pStyle w:val="ARfintablebodyright"/>
              <w:ind w:right="0"/>
              <w:rPr>
                <w:sz w:val="15"/>
                <w:szCs w:val="15"/>
                <w:lang w:eastAsia="en-AU"/>
              </w:rPr>
            </w:pPr>
            <w:r w:rsidRPr="005F6BEB">
              <w:rPr>
                <w:sz w:val="15"/>
                <w:szCs w:val="15"/>
              </w:rPr>
              <w:t>0.4</w:t>
            </w:r>
          </w:p>
        </w:tc>
        <w:tc>
          <w:tcPr>
            <w:tcW w:w="641" w:type="dxa"/>
            <w:tcBorders>
              <w:top w:val="single" w:sz="4" w:space="0" w:color="A6A6A6" w:themeColor="background1" w:themeShade="A6"/>
              <w:bottom w:val="single" w:sz="4" w:space="0" w:color="A6A6A6" w:themeColor="background1" w:themeShade="A6"/>
            </w:tcBorders>
            <w:hideMark/>
          </w:tcPr>
          <w:p w14:paraId="0B87E031"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6B068BA"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68AE98DC"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D2B2257"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4AD12518"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839" w:type="dxa"/>
            <w:tcBorders>
              <w:top w:val="single" w:sz="4" w:space="0" w:color="A6A6A6" w:themeColor="background1" w:themeShade="A6"/>
              <w:bottom w:val="single" w:sz="4" w:space="0" w:color="A6A6A6" w:themeColor="background1" w:themeShade="A6"/>
            </w:tcBorders>
            <w:hideMark/>
          </w:tcPr>
          <w:p w14:paraId="5488DA1E" w14:textId="77777777" w:rsidR="00FA7EBF" w:rsidRPr="005F6BEB" w:rsidRDefault="00FA7EBF" w:rsidP="005A60A4">
            <w:pPr>
              <w:pStyle w:val="ARfintablebodyright"/>
              <w:ind w:right="0"/>
              <w:rPr>
                <w:sz w:val="15"/>
                <w:szCs w:val="15"/>
                <w:lang w:eastAsia="en-AU"/>
              </w:rPr>
            </w:pPr>
            <w:r w:rsidRPr="005F6BEB">
              <w:rPr>
                <w:sz w:val="15"/>
                <w:szCs w:val="15"/>
              </w:rPr>
              <w:t>118.9</w:t>
            </w:r>
          </w:p>
        </w:tc>
      </w:tr>
      <w:tr w:rsidR="00FA7EBF" w14:paraId="6DC24F09" w14:textId="77777777" w:rsidTr="007B207C">
        <w:trPr>
          <w:cantSplit/>
        </w:trPr>
        <w:tc>
          <w:tcPr>
            <w:tcW w:w="3209" w:type="dxa"/>
            <w:tcBorders>
              <w:top w:val="single" w:sz="4" w:space="0" w:color="A6A6A6" w:themeColor="background1" w:themeShade="A6"/>
              <w:bottom w:val="single" w:sz="4" w:space="0" w:color="A6A6A6" w:themeColor="background1" w:themeShade="A6"/>
            </w:tcBorders>
            <w:hideMark/>
          </w:tcPr>
          <w:p w14:paraId="1158ACEE" w14:textId="77777777" w:rsidR="00FA7EBF" w:rsidRPr="005F6BEB" w:rsidRDefault="00FA7EBF" w:rsidP="005A60A4">
            <w:pPr>
              <w:pStyle w:val="ARfintablebody"/>
              <w:ind w:right="0"/>
              <w:rPr>
                <w:sz w:val="15"/>
                <w:szCs w:val="15"/>
                <w:lang w:eastAsia="en-AU"/>
              </w:rPr>
            </w:pPr>
            <w:r w:rsidRPr="005F6BEB">
              <w:rPr>
                <w:sz w:val="15"/>
                <w:szCs w:val="15"/>
              </w:rPr>
              <w:t>Other</w:t>
            </w:r>
          </w:p>
        </w:tc>
        <w:tc>
          <w:tcPr>
            <w:tcW w:w="796" w:type="dxa"/>
            <w:tcBorders>
              <w:top w:val="single" w:sz="4" w:space="0" w:color="A6A6A6" w:themeColor="background1" w:themeShade="A6"/>
              <w:bottom w:val="single" w:sz="4" w:space="0" w:color="A6A6A6" w:themeColor="background1" w:themeShade="A6"/>
            </w:tcBorders>
            <w:hideMark/>
          </w:tcPr>
          <w:p w14:paraId="11EEEBD9" w14:textId="77777777" w:rsidR="00FA7EBF" w:rsidRPr="005F6BEB" w:rsidRDefault="00FA7EBF" w:rsidP="005A60A4">
            <w:pPr>
              <w:pStyle w:val="ARfintablebodyright"/>
              <w:ind w:right="0"/>
              <w:rPr>
                <w:sz w:val="15"/>
                <w:szCs w:val="15"/>
                <w:lang w:eastAsia="en-AU"/>
              </w:rPr>
            </w:pPr>
            <w:r w:rsidRPr="005F6BEB">
              <w:rPr>
                <w:sz w:val="15"/>
                <w:szCs w:val="15"/>
              </w:rPr>
              <w:t>0.4</w:t>
            </w:r>
          </w:p>
        </w:tc>
        <w:tc>
          <w:tcPr>
            <w:tcW w:w="641" w:type="dxa"/>
            <w:tcBorders>
              <w:top w:val="single" w:sz="4" w:space="0" w:color="A6A6A6" w:themeColor="background1" w:themeShade="A6"/>
              <w:bottom w:val="single" w:sz="4" w:space="0" w:color="A6A6A6" w:themeColor="background1" w:themeShade="A6"/>
            </w:tcBorders>
            <w:hideMark/>
          </w:tcPr>
          <w:p w14:paraId="15DA9EF4"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F10B62D" w14:textId="77777777" w:rsidR="00FA7EBF" w:rsidRPr="005F6BEB" w:rsidRDefault="00FA7EBF" w:rsidP="005A60A4">
            <w:pPr>
              <w:pStyle w:val="ARfintablebodyright"/>
              <w:ind w:right="0"/>
              <w:rPr>
                <w:sz w:val="15"/>
                <w:szCs w:val="15"/>
                <w:lang w:eastAsia="en-AU"/>
              </w:rPr>
            </w:pPr>
            <w:r w:rsidRPr="005F6BEB">
              <w:rPr>
                <w:sz w:val="15"/>
                <w:szCs w:val="15"/>
              </w:rPr>
              <w:t>0.1</w:t>
            </w:r>
          </w:p>
        </w:tc>
        <w:tc>
          <w:tcPr>
            <w:tcW w:w="641" w:type="dxa"/>
            <w:tcBorders>
              <w:top w:val="single" w:sz="4" w:space="0" w:color="A6A6A6" w:themeColor="background1" w:themeShade="A6"/>
              <w:bottom w:val="single" w:sz="4" w:space="0" w:color="A6A6A6" w:themeColor="background1" w:themeShade="A6"/>
            </w:tcBorders>
            <w:hideMark/>
          </w:tcPr>
          <w:p w14:paraId="3F29DDC0"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442CDCE6"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8234EB5"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4D8F1F7D" w14:textId="77777777" w:rsidR="00FA7EBF" w:rsidRPr="005F6BEB" w:rsidRDefault="00FA7EBF" w:rsidP="005A60A4">
            <w:pPr>
              <w:pStyle w:val="ARfintablebodyright"/>
              <w:ind w:right="0"/>
              <w:rPr>
                <w:sz w:val="15"/>
                <w:szCs w:val="15"/>
                <w:lang w:eastAsia="en-AU"/>
              </w:rPr>
            </w:pPr>
            <w:r w:rsidRPr="005F6BEB">
              <w:rPr>
                <w:sz w:val="15"/>
                <w:szCs w:val="15"/>
              </w:rPr>
              <w:t>0.2</w:t>
            </w:r>
          </w:p>
        </w:tc>
        <w:tc>
          <w:tcPr>
            <w:tcW w:w="641" w:type="dxa"/>
            <w:tcBorders>
              <w:top w:val="single" w:sz="4" w:space="0" w:color="A6A6A6" w:themeColor="background1" w:themeShade="A6"/>
              <w:bottom w:val="single" w:sz="4" w:space="0" w:color="A6A6A6" w:themeColor="background1" w:themeShade="A6"/>
            </w:tcBorders>
            <w:hideMark/>
          </w:tcPr>
          <w:p w14:paraId="06B7DEEC"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56EFB569" w14:textId="77777777" w:rsidR="00FA7EBF" w:rsidRPr="005F6BEB" w:rsidRDefault="00FA7EBF" w:rsidP="005A60A4">
            <w:pPr>
              <w:pStyle w:val="ARfintablebodyright"/>
              <w:ind w:right="0"/>
              <w:rPr>
                <w:sz w:val="15"/>
                <w:szCs w:val="15"/>
                <w:lang w:eastAsia="en-AU"/>
              </w:rPr>
            </w:pPr>
            <w:r w:rsidRPr="005F6BEB">
              <w:rPr>
                <w:sz w:val="15"/>
                <w:szCs w:val="15"/>
              </w:rPr>
              <w:t>9.4</w:t>
            </w:r>
          </w:p>
        </w:tc>
        <w:tc>
          <w:tcPr>
            <w:tcW w:w="641" w:type="dxa"/>
            <w:tcBorders>
              <w:top w:val="single" w:sz="4" w:space="0" w:color="A6A6A6" w:themeColor="background1" w:themeShade="A6"/>
              <w:bottom w:val="single" w:sz="4" w:space="0" w:color="A6A6A6" w:themeColor="background1" w:themeShade="A6"/>
            </w:tcBorders>
            <w:hideMark/>
          </w:tcPr>
          <w:p w14:paraId="450F6765" w14:textId="77777777" w:rsidR="00FA7EBF" w:rsidRPr="005F6BEB" w:rsidRDefault="00FA7EBF" w:rsidP="005A60A4">
            <w:pPr>
              <w:pStyle w:val="ARfintablebodyright"/>
              <w:ind w:right="0"/>
              <w:rPr>
                <w:sz w:val="15"/>
                <w:szCs w:val="15"/>
                <w:lang w:eastAsia="en-AU"/>
              </w:rPr>
            </w:pPr>
            <w:r w:rsidRPr="005F6BEB">
              <w:rPr>
                <w:sz w:val="15"/>
                <w:szCs w:val="15"/>
              </w:rPr>
              <w:t>0.9</w:t>
            </w:r>
          </w:p>
        </w:tc>
        <w:tc>
          <w:tcPr>
            <w:tcW w:w="641" w:type="dxa"/>
            <w:tcBorders>
              <w:top w:val="single" w:sz="4" w:space="0" w:color="A6A6A6" w:themeColor="background1" w:themeShade="A6"/>
              <w:bottom w:val="single" w:sz="4" w:space="0" w:color="A6A6A6" w:themeColor="background1" w:themeShade="A6"/>
            </w:tcBorders>
            <w:hideMark/>
          </w:tcPr>
          <w:p w14:paraId="7AFE56E5" w14:textId="77777777" w:rsidR="00FA7EBF" w:rsidRPr="005F6BEB" w:rsidRDefault="00FA7EBF" w:rsidP="005A60A4">
            <w:pPr>
              <w:pStyle w:val="ARfintablebodyright"/>
              <w:ind w:right="0"/>
              <w:rPr>
                <w:sz w:val="15"/>
                <w:szCs w:val="15"/>
                <w:lang w:eastAsia="en-AU"/>
              </w:rPr>
            </w:pPr>
            <w:r w:rsidRPr="005F6BEB">
              <w:rPr>
                <w:sz w:val="15"/>
                <w:szCs w:val="15"/>
              </w:rPr>
              <w:t>0.8</w:t>
            </w:r>
          </w:p>
        </w:tc>
        <w:tc>
          <w:tcPr>
            <w:tcW w:w="641" w:type="dxa"/>
            <w:tcBorders>
              <w:top w:val="single" w:sz="4" w:space="0" w:color="A6A6A6" w:themeColor="background1" w:themeShade="A6"/>
              <w:bottom w:val="single" w:sz="4" w:space="0" w:color="A6A6A6" w:themeColor="background1" w:themeShade="A6"/>
            </w:tcBorders>
            <w:hideMark/>
          </w:tcPr>
          <w:p w14:paraId="0A587ACB" w14:textId="77777777" w:rsidR="00FA7EBF" w:rsidRPr="005F6BEB" w:rsidRDefault="00FA7EBF" w:rsidP="005A60A4">
            <w:pPr>
              <w:pStyle w:val="ARfintablebodyright"/>
              <w:ind w:right="0"/>
              <w:rPr>
                <w:sz w:val="15"/>
                <w:szCs w:val="15"/>
                <w:lang w:eastAsia="en-AU"/>
              </w:rPr>
            </w:pPr>
            <w:r w:rsidRPr="005F6BEB">
              <w:rPr>
                <w:sz w:val="15"/>
                <w:szCs w:val="15"/>
              </w:rPr>
              <w:t>0.3</w:t>
            </w:r>
          </w:p>
        </w:tc>
        <w:tc>
          <w:tcPr>
            <w:tcW w:w="641" w:type="dxa"/>
            <w:tcBorders>
              <w:top w:val="single" w:sz="4" w:space="0" w:color="A6A6A6" w:themeColor="background1" w:themeShade="A6"/>
              <w:bottom w:val="single" w:sz="4" w:space="0" w:color="A6A6A6" w:themeColor="background1" w:themeShade="A6"/>
            </w:tcBorders>
            <w:hideMark/>
          </w:tcPr>
          <w:p w14:paraId="7F6B6AED"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56F1F43E"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B33C8F7"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CB1686D"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839" w:type="dxa"/>
            <w:tcBorders>
              <w:top w:val="single" w:sz="4" w:space="0" w:color="A6A6A6" w:themeColor="background1" w:themeShade="A6"/>
              <w:bottom w:val="single" w:sz="4" w:space="0" w:color="A6A6A6" w:themeColor="background1" w:themeShade="A6"/>
            </w:tcBorders>
            <w:hideMark/>
          </w:tcPr>
          <w:p w14:paraId="2CFFD605" w14:textId="77777777" w:rsidR="00FA7EBF" w:rsidRPr="005F6BEB" w:rsidRDefault="00FA7EBF" w:rsidP="005A60A4">
            <w:pPr>
              <w:pStyle w:val="ARfintablebodyright"/>
              <w:ind w:right="0"/>
              <w:rPr>
                <w:sz w:val="15"/>
                <w:szCs w:val="15"/>
                <w:lang w:eastAsia="en-AU"/>
              </w:rPr>
            </w:pPr>
            <w:r w:rsidRPr="005F6BEB">
              <w:rPr>
                <w:sz w:val="15"/>
                <w:szCs w:val="15"/>
              </w:rPr>
              <w:t>12.2</w:t>
            </w:r>
          </w:p>
        </w:tc>
      </w:tr>
      <w:tr w:rsidR="00FA7EBF" w14:paraId="06BDDDB2" w14:textId="77777777" w:rsidTr="007B207C">
        <w:trPr>
          <w:cantSplit/>
        </w:trPr>
        <w:tc>
          <w:tcPr>
            <w:tcW w:w="3209" w:type="dxa"/>
            <w:tcBorders>
              <w:top w:val="single" w:sz="4" w:space="0" w:color="A6A6A6" w:themeColor="background1" w:themeShade="A6"/>
            </w:tcBorders>
            <w:hideMark/>
          </w:tcPr>
          <w:p w14:paraId="525F0893" w14:textId="77777777" w:rsidR="00FA7EBF" w:rsidRPr="005F6BEB" w:rsidRDefault="00FA7EBF" w:rsidP="005A60A4">
            <w:pPr>
              <w:pStyle w:val="ARfintablebody"/>
              <w:ind w:right="0"/>
              <w:rPr>
                <w:sz w:val="15"/>
                <w:szCs w:val="15"/>
                <w:lang w:eastAsia="en-AU"/>
              </w:rPr>
            </w:pPr>
            <w:r w:rsidRPr="005F6BEB">
              <w:rPr>
                <w:sz w:val="15"/>
                <w:szCs w:val="15"/>
              </w:rPr>
              <w:t>Fair value of assets and services received free of charge or for nominal consideration</w:t>
            </w:r>
          </w:p>
        </w:tc>
        <w:tc>
          <w:tcPr>
            <w:tcW w:w="796" w:type="dxa"/>
            <w:tcBorders>
              <w:top w:val="single" w:sz="4" w:space="0" w:color="A6A6A6" w:themeColor="background1" w:themeShade="A6"/>
            </w:tcBorders>
            <w:hideMark/>
          </w:tcPr>
          <w:p w14:paraId="22D8D66E"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tcBorders>
            <w:hideMark/>
          </w:tcPr>
          <w:p w14:paraId="73A70A6E"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tcBorders>
            <w:hideMark/>
          </w:tcPr>
          <w:p w14:paraId="6A48214F"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tcBorders>
            <w:hideMark/>
          </w:tcPr>
          <w:p w14:paraId="6C32BD92"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tcBorders>
            <w:hideMark/>
          </w:tcPr>
          <w:p w14:paraId="719F7D20"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tcBorders>
            <w:hideMark/>
          </w:tcPr>
          <w:p w14:paraId="0E9034D5"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tcBorders>
            <w:hideMark/>
          </w:tcPr>
          <w:p w14:paraId="4D477AC3"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tcBorders>
            <w:hideMark/>
          </w:tcPr>
          <w:p w14:paraId="4A3D6B33"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tcBorders>
            <w:hideMark/>
          </w:tcPr>
          <w:p w14:paraId="31464DA2"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tcBorders>
            <w:hideMark/>
          </w:tcPr>
          <w:p w14:paraId="711D0BFA"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tcBorders>
            <w:hideMark/>
          </w:tcPr>
          <w:p w14:paraId="026164A5"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tcBorders>
            <w:hideMark/>
          </w:tcPr>
          <w:p w14:paraId="6D5EB3ED"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tcBorders>
            <w:hideMark/>
          </w:tcPr>
          <w:p w14:paraId="65298ED2"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tcBorders>
            <w:hideMark/>
          </w:tcPr>
          <w:p w14:paraId="06590BA6"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tcBorders>
            <w:hideMark/>
          </w:tcPr>
          <w:p w14:paraId="21208E5D"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tcBorders>
            <w:hideMark/>
          </w:tcPr>
          <w:p w14:paraId="79023BF5" w14:textId="77777777" w:rsidR="00FA7EBF" w:rsidRPr="005F6BEB" w:rsidRDefault="00FA7EBF" w:rsidP="005A60A4">
            <w:pPr>
              <w:pStyle w:val="ARfintablebodyright"/>
              <w:ind w:right="0"/>
              <w:rPr>
                <w:sz w:val="15"/>
                <w:szCs w:val="15"/>
                <w:lang w:eastAsia="en-AU"/>
              </w:rPr>
            </w:pPr>
            <w:r w:rsidRPr="005F6BEB">
              <w:rPr>
                <w:sz w:val="15"/>
                <w:szCs w:val="15"/>
              </w:rPr>
              <w:t>–</w:t>
            </w:r>
          </w:p>
        </w:tc>
        <w:tc>
          <w:tcPr>
            <w:tcW w:w="839" w:type="dxa"/>
            <w:tcBorders>
              <w:top w:val="single" w:sz="4" w:space="0" w:color="A6A6A6" w:themeColor="background1" w:themeShade="A6"/>
            </w:tcBorders>
            <w:hideMark/>
          </w:tcPr>
          <w:p w14:paraId="65C30C5B" w14:textId="77777777" w:rsidR="00FA7EBF" w:rsidRPr="005F6BEB" w:rsidRDefault="00FA7EBF" w:rsidP="005A60A4">
            <w:pPr>
              <w:pStyle w:val="ARfintablebodyright"/>
              <w:ind w:right="0"/>
              <w:rPr>
                <w:sz w:val="15"/>
                <w:szCs w:val="15"/>
                <w:lang w:eastAsia="en-AU"/>
              </w:rPr>
            </w:pPr>
            <w:r w:rsidRPr="005F6BEB">
              <w:rPr>
                <w:sz w:val="15"/>
                <w:szCs w:val="15"/>
              </w:rPr>
              <w:t>–</w:t>
            </w:r>
          </w:p>
        </w:tc>
      </w:tr>
      <w:tr w:rsidR="00FA7EBF" w14:paraId="05263096" w14:textId="77777777" w:rsidTr="007B207C">
        <w:trPr>
          <w:cantSplit/>
        </w:trPr>
        <w:tc>
          <w:tcPr>
            <w:tcW w:w="3209" w:type="dxa"/>
            <w:hideMark/>
          </w:tcPr>
          <w:p w14:paraId="3CEEB8F3" w14:textId="77777777" w:rsidR="00FA7EBF" w:rsidRPr="005F6BEB" w:rsidRDefault="00FA7EBF" w:rsidP="005A60A4">
            <w:pPr>
              <w:pStyle w:val="ARfintablebodybold"/>
              <w:ind w:right="0"/>
              <w:rPr>
                <w:sz w:val="15"/>
                <w:szCs w:val="15"/>
                <w:lang w:eastAsia="en-AU"/>
              </w:rPr>
            </w:pPr>
            <w:r w:rsidRPr="005F6BEB">
              <w:rPr>
                <w:sz w:val="15"/>
                <w:szCs w:val="15"/>
              </w:rPr>
              <w:t>Total administered income from transactions</w:t>
            </w:r>
          </w:p>
        </w:tc>
        <w:tc>
          <w:tcPr>
            <w:tcW w:w="796" w:type="dxa"/>
            <w:hideMark/>
          </w:tcPr>
          <w:p w14:paraId="2D3A2077" w14:textId="77777777" w:rsidR="00FA7EBF" w:rsidRPr="005F6BEB" w:rsidRDefault="00FA7EBF" w:rsidP="005A60A4">
            <w:pPr>
              <w:pStyle w:val="ARfintablebodyrightbold"/>
              <w:ind w:right="0"/>
              <w:rPr>
                <w:sz w:val="15"/>
                <w:szCs w:val="15"/>
                <w:lang w:eastAsia="en-AU"/>
              </w:rPr>
            </w:pPr>
            <w:r w:rsidRPr="005F6BEB">
              <w:rPr>
                <w:sz w:val="15"/>
                <w:szCs w:val="15"/>
              </w:rPr>
              <w:t>9,226.4</w:t>
            </w:r>
          </w:p>
        </w:tc>
        <w:tc>
          <w:tcPr>
            <w:tcW w:w="641" w:type="dxa"/>
            <w:hideMark/>
          </w:tcPr>
          <w:p w14:paraId="29FC3512" w14:textId="77777777" w:rsidR="00FA7EBF" w:rsidRPr="005F6BEB" w:rsidRDefault="00FA7EBF" w:rsidP="005A60A4">
            <w:pPr>
              <w:pStyle w:val="ARfintablebodyrightbold"/>
              <w:ind w:right="0"/>
              <w:rPr>
                <w:sz w:val="15"/>
                <w:szCs w:val="15"/>
                <w:lang w:eastAsia="en-AU"/>
              </w:rPr>
            </w:pPr>
            <w:r w:rsidRPr="005F6BEB">
              <w:rPr>
                <w:sz w:val="15"/>
                <w:szCs w:val="15"/>
              </w:rPr>
              <w:t>–</w:t>
            </w:r>
          </w:p>
        </w:tc>
        <w:tc>
          <w:tcPr>
            <w:tcW w:w="641" w:type="dxa"/>
            <w:hideMark/>
          </w:tcPr>
          <w:p w14:paraId="4B8CC416" w14:textId="77777777" w:rsidR="00FA7EBF" w:rsidRPr="005F6BEB" w:rsidRDefault="00FA7EBF" w:rsidP="005A60A4">
            <w:pPr>
              <w:pStyle w:val="ARfintablebodyrightbold"/>
              <w:ind w:right="0"/>
              <w:rPr>
                <w:sz w:val="15"/>
                <w:szCs w:val="15"/>
                <w:lang w:eastAsia="en-AU"/>
              </w:rPr>
            </w:pPr>
            <w:r w:rsidRPr="005F6BEB">
              <w:rPr>
                <w:sz w:val="15"/>
                <w:szCs w:val="15"/>
              </w:rPr>
              <w:t>686.4</w:t>
            </w:r>
          </w:p>
        </w:tc>
        <w:tc>
          <w:tcPr>
            <w:tcW w:w="641" w:type="dxa"/>
            <w:hideMark/>
          </w:tcPr>
          <w:p w14:paraId="724B63F2" w14:textId="77777777" w:rsidR="00FA7EBF" w:rsidRPr="005F6BEB" w:rsidRDefault="00FA7EBF" w:rsidP="005A60A4">
            <w:pPr>
              <w:pStyle w:val="ARfintablebodyrightbold"/>
              <w:ind w:right="0"/>
              <w:rPr>
                <w:sz w:val="15"/>
                <w:szCs w:val="15"/>
                <w:lang w:eastAsia="en-AU"/>
              </w:rPr>
            </w:pPr>
            <w:r w:rsidRPr="005F6BEB">
              <w:rPr>
                <w:sz w:val="15"/>
                <w:szCs w:val="15"/>
              </w:rPr>
              <w:t>127.3</w:t>
            </w:r>
          </w:p>
        </w:tc>
        <w:tc>
          <w:tcPr>
            <w:tcW w:w="641" w:type="dxa"/>
            <w:hideMark/>
          </w:tcPr>
          <w:p w14:paraId="51462097" w14:textId="77777777" w:rsidR="00FA7EBF" w:rsidRPr="005F6BEB" w:rsidRDefault="00FA7EBF" w:rsidP="005A60A4">
            <w:pPr>
              <w:pStyle w:val="ARfintablebodyrightbold"/>
              <w:ind w:right="0"/>
              <w:rPr>
                <w:sz w:val="15"/>
                <w:szCs w:val="15"/>
                <w:lang w:eastAsia="en-AU"/>
              </w:rPr>
            </w:pPr>
            <w:r w:rsidRPr="005F6BEB">
              <w:rPr>
                <w:sz w:val="15"/>
                <w:szCs w:val="15"/>
              </w:rPr>
              <w:t>4.6</w:t>
            </w:r>
          </w:p>
        </w:tc>
        <w:tc>
          <w:tcPr>
            <w:tcW w:w="641" w:type="dxa"/>
            <w:hideMark/>
          </w:tcPr>
          <w:p w14:paraId="0A5D2D6E" w14:textId="77777777" w:rsidR="00FA7EBF" w:rsidRPr="005F6BEB" w:rsidRDefault="00FA7EBF" w:rsidP="005A60A4">
            <w:pPr>
              <w:pStyle w:val="ARfintablebodyrightbold"/>
              <w:ind w:right="0"/>
              <w:rPr>
                <w:sz w:val="15"/>
                <w:szCs w:val="15"/>
                <w:lang w:eastAsia="en-AU"/>
              </w:rPr>
            </w:pPr>
            <w:r w:rsidRPr="005F6BEB">
              <w:rPr>
                <w:sz w:val="15"/>
                <w:szCs w:val="15"/>
              </w:rPr>
              <w:t>116.8</w:t>
            </w:r>
          </w:p>
        </w:tc>
        <w:tc>
          <w:tcPr>
            <w:tcW w:w="641" w:type="dxa"/>
            <w:hideMark/>
          </w:tcPr>
          <w:p w14:paraId="33A49001" w14:textId="77777777" w:rsidR="00FA7EBF" w:rsidRPr="005F6BEB" w:rsidRDefault="00FA7EBF" w:rsidP="005A60A4">
            <w:pPr>
              <w:pStyle w:val="ARfintablebodyrightbold"/>
              <w:ind w:right="0"/>
              <w:rPr>
                <w:sz w:val="15"/>
                <w:szCs w:val="15"/>
                <w:lang w:eastAsia="en-AU"/>
              </w:rPr>
            </w:pPr>
            <w:r w:rsidRPr="005F6BEB">
              <w:rPr>
                <w:sz w:val="15"/>
                <w:szCs w:val="15"/>
              </w:rPr>
              <w:t>110.2</w:t>
            </w:r>
          </w:p>
        </w:tc>
        <w:tc>
          <w:tcPr>
            <w:tcW w:w="641" w:type="dxa"/>
            <w:hideMark/>
          </w:tcPr>
          <w:p w14:paraId="4B35554C" w14:textId="77777777" w:rsidR="00FA7EBF" w:rsidRPr="005F6BEB" w:rsidRDefault="00FA7EBF" w:rsidP="005A60A4">
            <w:pPr>
              <w:pStyle w:val="ARfintablebodyrightbold"/>
              <w:ind w:right="0"/>
              <w:rPr>
                <w:sz w:val="15"/>
                <w:szCs w:val="15"/>
                <w:lang w:eastAsia="en-AU"/>
              </w:rPr>
            </w:pPr>
            <w:r w:rsidRPr="005F6BEB">
              <w:rPr>
                <w:sz w:val="15"/>
                <w:szCs w:val="15"/>
              </w:rPr>
              <w:t>13.6</w:t>
            </w:r>
          </w:p>
        </w:tc>
        <w:tc>
          <w:tcPr>
            <w:tcW w:w="641" w:type="dxa"/>
            <w:hideMark/>
          </w:tcPr>
          <w:p w14:paraId="581623C4" w14:textId="77777777" w:rsidR="00FA7EBF" w:rsidRPr="005F6BEB" w:rsidRDefault="00FA7EBF" w:rsidP="005A60A4">
            <w:pPr>
              <w:pStyle w:val="ARfintablebodyrightbold"/>
              <w:ind w:right="0"/>
              <w:rPr>
                <w:sz w:val="15"/>
                <w:szCs w:val="15"/>
                <w:lang w:eastAsia="en-AU"/>
              </w:rPr>
            </w:pPr>
            <w:r w:rsidRPr="005F6BEB">
              <w:rPr>
                <w:sz w:val="15"/>
                <w:szCs w:val="15"/>
              </w:rPr>
              <w:t>534.5</w:t>
            </w:r>
          </w:p>
        </w:tc>
        <w:tc>
          <w:tcPr>
            <w:tcW w:w="641" w:type="dxa"/>
            <w:hideMark/>
          </w:tcPr>
          <w:p w14:paraId="64670A44" w14:textId="77777777" w:rsidR="00FA7EBF" w:rsidRPr="005F6BEB" w:rsidRDefault="00FA7EBF" w:rsidP="005A60A4">
            <w:pPr>
              <w:pStyle w:val="ARfintablebodyrightbold"/>
              <w:ind w:right="0"/>
              <w:rPr>
                <w:sz w:val="15"/>
                <w:szCs w:val="15"/>
                <w:lang w:eastAsia="en-AU"/>
              </w:rPr>
            </w:pPr>
            <w:r w:rsidRPr="005F6BEB">
              <w:rPr>
                <w:sz w:val="15"/>
                <w:szCs w:val="15"/>
              </w:rPr>
              <w:t>3.5</w:t>
            </w:r>
          </w:p>
        </w:tc>
        <w:tc>
          <w:tcPr>
            <w:tcW w:w="641" w:type="dxa"/>
            <w:hideMark/>
          </w:tcPr>
          <w:p w14:paraId="6001BA67" w14:textId="77777777" w:rsidR="00FA7EBF" w:rsidRPr="005F6BEB" w:rsidRDefault="00FA7EBF" w:rsidP="005A60A4">
            <w:pPr>
              <w:pStyle w:val="ARfintablebodyrightbold"/>
              <w:ind w:right="0"/>
              <w:rPr>
                <w:sz w:val="15"/>
                <w:szCs w:val="15"/>
                <w:lang w:eastAsia="en-AU"/>
              </w:rPr>
            </w:pPr>
            <w:r w:rsidRPr="005F6BEB">
              <w:rPr>
                <w:sz w:val="15"/>
                <w:szCs w:val="15"/>
              </w:rPr>
              <w:t>1.2</w:t>
            </w:r>
          </w:p>
        </w:tc>
        <w:tc>
          <w:tcPr>
            <w:tcW w:w="641" w:type="dxa"/>
            <w:hideMark/>
          </w:tcPr>
          <w:p w14:paraId="3D58EA3E" w14:textId="77777777" w:rsidR="00FA7EBF" w:rsidRPr="005F6BEB" w:rsidRDefault="00FA7EBF" w:rsidP="005A60A4">
            <w:pPr>
              <w:pStyle w:val="ARfintablebodyrightbold"/>
              <w:ind w:right="0"/>
              <w:rPr>
                <w:sz w:val="15"/>
                <w:szCs w:val="15"/>
                <w:lang w:eastAsia="en-AU"/>
              </w:rPr>
            </w:pPr>
            <w:r w:rsidRPr="005F6BEB">
              <w:rPr>
                <w:sz w:val="15"/>
                <w:szCs w:val="15"/>
              </w:rPr>
              <w:t>0.6</w:t>
            </w:r>
          </w:p>
        </w:tc>
        <w:tc>
          <w:tcPr>
            <w:tcW w:w="641" w:type="dxa"/>
            <w:hideMark/>
          </w:tcPr>
          <w:p w14:paraId="171F2AC9" w14:textId="77777777" w:rsidR="00FA7EBF" w:rsidRPr="005F6BEB" w:rsidRDefault="00FA7EBF" w:rsidP="005A60A4">
            <w:pPr>
              <w:pStyle w:val="ARfintablebodyrightbold"/>
              <w:ind w:right="0"/>
              <w:rPr>
                <w:sz w:val="15"/>
                <w:szCs w:val="15"/>
                <w:lang w:eastAsia="en-AU"/>
              </w:rPr>
            </w:pPr>
            <w:r w:rsidRPr="005F6BEB">
              <w:rPr>
                <w:sz w:val="15"/>
                <w:szCs w:val="15"/>
              </w:rPr>
              <w:t>–</w:t>
            </w:r>
          </w:p>
        </w:tc>
        <w:tc>
          <w:tcPr>
            <w:tcW w:w="641" w:type="dxa"/>
            <w:hideMark/>
          </w:tcPr>
          <w:p w14:paraId="21B927D4" w14:textId="77777777" w:rsidR="00FA7EBF" w:rsidRPr="005F6BEB" w:rsidRDefault="00FA7EBF" w:rsidP="005A60A4">
            <w:pPr>
              <w:pStyle w:val="ARfintablebodyrightbold"/>
              <w:ind w:right="0"/>
              <w:rPr>
                <w:sz w:val="15"/>
                <w:szCs w:val="15"/>
                <w:lang w:eastAsia="en-AU"/>
              </w:rPr>
            </w:pPr>
            <w:r w:rsidRPr="005F6BEB">
              <w:rPr>
                <w:sz w:val="15"/>
                <w:szCs w:val="15"/>
              </w:rPr>
              <w:t>–</w:t>
            </w:r>
          </w:p>
        </w:tc>
        <w:tc>
          <w:tcPr>
            <w:tcW w:w="641" w:type="dxa"/>
            <w:hideMark/>
          </w:tcPr>
          <w:p w14:paraId="5739BC71" w14:textId="77777777" w:rsidR="00FA7EBF" w:rsidRPr="005F6BEB" w:rsidRDefault="00FA7EBF" w:rsidP="005A60A4">
            <w:pPr>
              <w:pStyle w:val="ARfintablebodyrightbold"/>
              <w:ind w:right="0"/>
              <w:rPr>
                <w:sz w:val="15"/>
                <w:szCs w:val="15"/>
                <w:lang w:eastAsia="en-AU"/>
              </w:rPr>
            </w:pPr>
            <w:r w:rsidRPr="005F6BEB">
              <w:rPr>
                <w:sz w:val="15"/>
                <w:szCs w:val="15"/>
              </w:rPr>
              <w:t>–</w:t>
            </w:r>
          </w:p>
        </w:tc>
        <w:tc>
          <w:tcPr>
            <w:tcW w:w="641" w:type="dxa"/>
            <w:hideMark/>
          </w:tcPr>
          <w:p w14:paraId="5CFF1F61" w14:textId="77777777" w:rsidR="00FA7EBF" w:rsidRPr="005F6BEB" w:rsidRDefault="00FA7EBF" w:rsidP="005A60A4">
            <w:pPr>
              <w:pStyle w:val="ARfintablebodyrightbold"/>
              <w:ind w:right="0"/>
              <w:rPr>
                <w:sz w:val="15"/>
                <w:szCs w:val="15"/>
                <w:lang w:eastAsia="en-AU"/>
              </w:rPr>
            </w:pPr>
            <w:r w:rsidRPr="005F6BEB">
              <w:rPr>
                <w:sz w:val="15"/>
                <w:szCs w:val="15"/>
              </w:rPr>
              <w:t>–</w:t>
            </w:r>
          </w:p>
        </w:tc>
        <w:tc>
          <w:tcPr>
            <w:tcW w:w="839" w:type="dxa"/>
            <w:hideMark/>
          </w:tcPr>
          <w:p w14:paraId="4263AE65" w14:textId="77777777" w:rsidR="00FA7EBF" w:rsidRPr="005F6BEB" w:rsidRDefault="00FA7EBF" w:rsidP="005A60A4">
            <w:pPr>
              <w:pStyle w:val="ARfintablebodyrightbold"/>
              <w:ind w:right="0"/>
              <w:rPr>
                <w:sz w:val="15"/>
                <w:szCs w:val="15"/>
                <w:lang w:eastAsia="en-AU"/>
              </w:rPr>
            </w:pPr>
            <w:r w:rsidRPr="005F6BEB">
              <w:rPr>
                <w:sz w:val="15"/>
                <w:szCs w:val="15"/>
              </w:rPr>
              <w:t>10,825.0</w:t>
            </w:r>
          </w:p>
        </w:tc>
      </w:tr>
      <w:tr w:rsidR="00FA7EBF" w14:paraId="3C71E080" w14:textId="77777777" w:rsidTr="007B207C">
        <w:trPr>
          <w:cantSplit/>
        </w:trPr>
        <w:tc>
          <w:tcPr>
            <w:tcW w:w="14459" w:type="dxa"/>
            <w:gridSpan w:val="18"/>
            <w:tcBorders>
              <w:bottom w:val="single" w:sz="4" w:space="0" w:color="A6A6A6" w:themeColor="background1" w:themeShade="A6"/>
            </w:tcBorders>
            <w:hideMark/>
          </w:tcPr>
          <w:p w14:paraId="2522A071" w14:textId="77777777" w:rsidR="00FA7EBF" w:rsidRPr="006906A1" w:rsidRDefault="00FA7EBF" w:rsidP="007B207C">
            <w:pPr>
              <w:pStyle w:val="ARfintablebodybold"/>
              <w:rPr>
                <w:lang w:eastAsia="en-AU"/>
              </w:rPr>
            </w:pPr>
            <w:r w:rsidRPr="006906A1">
              <w:t>Administered expenses from transactions</w:t>
            </w:r>
          </w:p>
        </w:tc>
      </w:tr>
      <w:tr w:rsidR="00FA7EBF" w14:paraId="0A9B26AE" w14:textId="77777777" w:rsidTr="007B207C">
        <w:trPr>
          <w:cantSplit/>
        </w:trPr>
        <w:tc>
          <w:tcPr>
            <w:tcW w:w="3209" w:type="dxa"/>
            <w:tcBorders>
              <w:top w:val="single" w:sz="4" w:space="0" w:color="A6A6A6" w:themeColor="background1" w:themeShade="A6"/>
              <w:bottom w:val="single" w:sz="4" w:space="0" w:color="A6A6A6" w:themeColor="background1" w:themeShade="A6"/>
            </w:tcBorders>
            <w:hideMark/>
          </w:tcPr>
          <w:p w14:paraId="77BE52FB" w14:textId="77777777" w:rsidR="00FA7EBF" w:rsidRPr="005F6BEB" w:rsidRDefault="00FA7EBF" w:rsidP="007B207C">
            <w:pPr>
              <w:pStyle w:val="ARfintablebody"/>
              <w:rPr>
                <w:sz w:val="15"/>
                <w:szCs w:val="15"/>
                <w:lang w:eastAsia="en-AU"/>
              </w:rPr>
            </w:pPr>
            <w:r w:rsidRPr="005F6BEB">
              <w:rPr>
                <w:sz w:val="15"/>
                <w:szCs w:val="15"/>
              </w:rPr>
              <w:t>Grants and other expense transfers</w:t>
            </w:r>
          </w:p>
        </w:tc>
        <w:tc>
          <w:tcPr>
            <w:tcW w:w="796" w:type="dxa"/>
            <w:tcBorders>
              <w:top w:val="single" w:sz="4" w:space="0" w:color="A6A6A6" w:themeColor="background1" w:themeShade="A6"/>
              <w:bottom w:val="single" w:sz="4" w:space="0" w:color="A6A6A6" w:themeColor="background1" w:themeShade="A6"/>
            </w:tcBorders>
            <w:hideMark/>
          </w:tcPr>
          <w:p w14:paraId="5B826822" w14:textId="77777777" w:rsidR="00FA7EBF" w:rsidRPr="005F6BEB" w:rsidRDefault="00FA7EBF" w:rsidP="005F6BEB">
            <w:pPr>
              <w:pStyle w:val="ARfintablebodyright"/>
              <w:ind w:right="0"/>
              <w:rPr>
                <w:sz w:val="15"/>
                <w:szCs w:val="15"/>
                <w:lang w:eastAsia="en-AU"/>
              </w:rPr>
            </w:pPr>
            <w:r w:rsidRPr="005F6BEB">
              <w:rPr>
                <w:sz w:val="15"/>
                <w:szCs w:val="15"/>
              </w:rPr>
              <w:t>8,696.5</w:t>
            </w:r>
          </w:p>
        </w:tc>
        <w:tc>
          <w:tcPr>
            <w:tcW w:w="641" w:type="dxa"/>
            <w:tcBorders>
              <w:top w:val="single" w:sz="4" w:space="0" w:color="A6A6A6" w:themeColor="background1" w:themeShade="A6"/>
              <w:bottom w:val="single" w:sz="4" w:space="0" w:color="A6A6A6" w:themeColor="background1" w:themeShade="A6"/>
            </w:tcBorders>
            <w:hideMark/>
          </w:tcPr>
          <w:p w14:paraId="34E1D16B"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562BD361" w14:textId="77777777" w:rsidR="00FA7EBF" w:rsidRPr="005F6BEB" w:rsidRDefault="00FA7EBF" w:rsidP="005F6BEB">
            <w:pPr>
              <w:pStyle w:val="ARfintablebodyright"/>
              <w:ind w:right="0"/>
              <w:rPr>
                <w:sz w:val="15"/>
                <w:szCs w:val="15"/>
                <w:lang w:eastAsia="en-AU"/>
              </w:rPr>
            </w:pPr>
            <w:r w:rsidRPr="005F6BEB">
              <w:rPr>
                <w:sz w:val="15"/>
                <w:szCs w:val="15"/>
              </w:rPr>
              <w:t>350.4</w:t>
            </w:r>
          </w:p>
        </w:tc>
        <w:tc>
          <w:tcPr>
            <w:tcW w:w="641" w:type="dxa"/>
            <w:tcBorders>
              <w:top w:val="single" w:sz="4" w:space="0" w:color="A6A6A6" w:themeColor="background1" w:themeShade="A6"/>
              <w:bottom w:val="single" w:sz="4" w:space="0" w:color="A6A6A6" w:themeColor="background1" w:themeShade="A6"/>
            </w:tcBorders>
            <w:hideMark/>
          </w:tcPr>
          <w:p w14:paraId="6A592473" w14:textId="77777777" w:rsidR="00FA7EBF" w:rsidRPr="005F6BEB" w:rsidRDefault="00FA7EBF" w:rsidP="005F6BEB">
            <w:pPr>
              <w:pStyle w:val="ARfintablebodyright"/>
              <w:ind w:right="0"/>
              <w:rPr>
                <w:sz w:val="15"/>
                <w:szCs w:val="15"/>
                <w:lang w:eastAsia="en-AU"/>
              </w:rPr>
            </w:pPr>
            <w:r w:rsidRPr="005F6BEB">
              <w:rPr>
                <w:sz w:val="15"/>
                <w:szCs w:val="15"/>
              </w:rPr>
              <w:t>60.2</w:t>
            </w:r>
          </w:p>
        </w:tc>
        <w:tc>
          <w:tcPr>
            <w:tcW w:w="641" w:type="dxa"/>
            <w:tcBorders>
              <w:top w:val="single" w:sz="4" w:space="0" w:color="A6A6A6" w:themeColor="background1" w:themeShade="A6"/>
              <w:bottom w:val="single" w:sz="4" w:space="0" w:color="A6A6A6" w:themeColor="background1" w:themeShade="A6"/>
            </w:tcBorders>
            <w:hideMark/>
          </w:tcPr>
          <w:p w14:paraId="78D84569"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BEBD418"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41345571"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FBE96C9"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DAB627B" w14:textId="77777777" w:rsidR="00FA7EBF" w:rsidRPr="005F6BEB" w:rsidRDefault="00FA7EBF" w:rsidP="005F6BEB">
            <w:pPr>
              <w:pStyle w:val="ARfintablebodyright"/>
              <w:ind w:right="0"/>
              <w:rPr>
                <w:sz w:val="15"/>
                <w:szCs w:val="15"/>
                <w:lang w:eastAsia="en-AU"/>
              </w:rPr>
            </w:pPr>
            <w:r w:rsidRPr="005F6BEB">
              <w:rPr>
                <w:sz w:val="15"/>
                <w:szCs w:val="15"/>
              </w:rPr>
              <w:t>447.6</w:t>
            </w:r>
          </w:p>
        </w:tc>
        <w:tc>
          <w:tcPr>
            <w:tcW w:w="641" w:type="dxa"/>
            <w:tcBorders>
              <w:top w:val="single" w:sz="4" w:space="0" w:color="A6A6A6" w:themeColor="background1" w:themeShade="A6"/>
              <w:bottom w:val="single" w:sz="4" w:space="0" w:color="A6A6A6" w:themeColor="background1" w:themeShade="A6"/>
            </w:tcBorders>
            <w:hideMark/>
          </w:tcPr>
          <w:p w14:paraId="52EDCAC5"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788C95A" w14:textId="77777777" w:rsidR="00FA7EBF" w:rsidRPr="005F6BEB" w:rsidRDefault="00FA7EBF" w:rsidP="005F6BEB">
            <w:pPr>
              <w:pStyle w:val="ARfintablebodyright"/>
              <w:ind w:right="0"/>
              <w:rPr>
                <w:sz w:val="15"/>
                <w:szCs w:val="15"/>
                <w:lang w:eastAsia="en-AU"/>
              </w:rPr>
            </w:pPr>
            <w:r w:rsidRPr="005F6BEB">
              <w:rPr>
                <w:sz w:val="15"/>
                <w:szCs w:val="15"/>
              </w:rPr>
              <w:t>0.4</w:t>
            </w:r>
          </w:p>
        </w:tc>
        <w:tc>
          <w:tcPr>
            <w:tcW w:w="641" w:type="dxa"/>
            <w:tcBorders>
              <w:top w:val="single" w:sz="4" w:space="0" w:color="A6A6A6" w:themeColor="background1" w:themeShade="A6"/>
              <w:bottom w:val="single" w:sz="4" w:space="0" w:color="A6A6A6" w:themeColor="background1" w:themeShade="A6"/>
            </w:tcBorders>
            <w:hideMark/>
          </w:tcPr>
          <w:p w14:paraId="25A136BF" w14:textId="77777777" w:rsidR="00FA7EBF" w:rsidRPr="005F6BEB" w:rsidRDefault="00FA7EBF" w:rsidP="005F6BEB">
            <w:pPr>
              <w:pStyle w:val="ARfintablebodyright"/>
              <w:ind w:right="0"/>
              <w:rPr>
                <w:sz w:val="15"/>
                <w:szCs w:val="15"/>
                <w:lang w:eastAsia="en-AU"/>
              </w:rPr>
            </w:pPr>
            <w:r w:rsidRPr="005F6BEB">
              <w:rPr>
                <w:sz w:val="15"/>
                <w:szCs w:val="15"/>
              </w:rPr>
              <w:t>0.4</w:t>
            </w:r>
          </w:p>
        </w:tc>
        <w:tc>
          <w:tcPr>
            <w:tcW w:w="641" w:type="dxa"/>
            <w:tcBorders>
              <w:top w:val="single" w:sz="4" w:space="0" w:color="A6A6A6" w:themeColor="background1" w:themeShade="A6"/>
              <w:bottom w:val="single" w:sz="4" w:space="0" w:color="A6A6A6" w:themeColor="background1" w:themeShade="A6"/>
            </w:tcBorders>
            <w:hideMark/>
          </w:tcPr>
          <w:p w14:paraId="34BE07F1"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943781F"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C6439B8"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C071672"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839" w:type="dxa"/>
            <w:tcBorders>
              <w:top w:val="single" w:sz="4" w:space="0" w:color="A6A6A6" w:themeColor="background1" w:themeShade="A6"/>
              <w:bottom w:val="single" w:sz="4" w:space="0" w:color="A6A6A6" w:themeColor="background1" w:themeShade="A6"/>
            </w:tcBorders>
            <w:hideMark/>
          </w:tcPr>
          <w:p w14:paraId="56F4DBA5" w14:textId="77777777" w:rsidR="00FA7EBF" w:rsidRPr="005F6BEB" w:rsidRDefault="00FA7EBF" w:rsidP="005F6BEB">
            <w:pPr>
              <w:pStyle w:val="ARfintablebodyright"/>
              <w:ind w:right="0"/>
              <w:rPr>
                <w:sz w:val="15"/>
                <w:szCs w:val="15"/>
                <w:lang w:eastAsia="en-AU"/>
              </w:rPr>
            </w:pPr>
            <w:r w:rsidRPr="005F6BEB">
              <w:rPr>
                <w:sz w:val="15"/>
                <w:szCs w:val="15"/>
              </w:rPr>
              <w:t>9,555.5</w:t>
            </w:r>
          </w:p>
        </w:tc>
      </w:tr>
      <w:tr w:rsidR="00FA7EBF" w14:paraId="4717B4FE" w14:textId="77777777" w:rsidTr="007B207C">
        <w:trPr>
          <w:cantSplit/>
        </w:trPr>
        <w:tc>
          <w:tcPr>
            <w:tcW w:w="3209" w:type="dxa"/>
            <w:tcBorders>
              <w:top w:val="single" w:sz="4" w:space="0" w:color="A6A6A6" w:themeColor="background1" w:themeShade="A6"/>
              <w:bottom w:val="single" w:sz="4" w:space="0" w:color="A6A6A6" w:themeColor="background1" w:themeShade="A6"/>
            </w:tcBorders>
            <w:hideMark/>
          </w:tcPr>
          <w:p w14:paraId="7D279D9A" w14:textId="77777777" w:rsidR="00FA7EBF" w:rsidRPr="005F6BEB" w:rsidRDefault="00FA7EBF" w:rsidP="007B207C">
            <w:pPr>
              <w:pStyle w:val="ARfintablebody"/>
              <w:rPr>
                <w:sz w:val="15"/>
                <w:szCs w:val="15"/>
                <w:lang w:eastAsia="en-AU"/>
              </w:rPr>
            </w:pPr>
            <w:r w:rsidRPr="005F6BEB">
              <w:rPr>
                <w:sz w:val="15"/>
                <w:szCs w:val="15"/>
              </w:rPr>
              <w:t>Employee expenses</w:t>
            </w:r>
          </w:p>
        </w:tc>
        <w:tc>
          <w:tcPr>
            <w:tcW w:w="796" w:type="dxa"/>
            <w:tcBorders>
              <w:top w:val="single" w:sz="4" w:space="0" w:color="A6A6A6" w:themeColor="background1" w:themeShade="A6"/>
              <w:bottom w:val="single" w:sz="4" w:space="0" w:color="A6A6A6" w:themeColor="background1" w:themeShade="A6"/>
            </w:tcBorders>
            <w:hideMark/>
          </w:tcPr>
          <w:p w14:paraId="73D60637"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4B9741F"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9A8CB1E"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B84E922"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4F08FC6"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3BC87147"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3AE7C2D"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7DE737C"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C012B2C"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3E209A1"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41984CBD"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AC4D431"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3C0D13FF"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5CC50051"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CAA05BC"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1AABCC2"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839" w:type="dxa"/>
            <w:tcBorders>
              <w:top w:val="single" w:sz="4" w:space="0" w:color="A6A6A6" w:themeColor="background1" w:themeShade="A6"/>
              <w:bottom w:val="single" w:sz="4" w:space="0" w:color="A6A6A6" w:themeColor="background1" w:themeShade="A6"/>
            </w:tcBorders>
            <w:hideMark/>
          </w:tcPr>
          <w:p w14:paraId="3E1858E9" w14:textId="77777777" w:rsidR="00FA7EBF" w:rsidRPr="005F6BEB" w:rsidRDefault="00FA7EBF" w:rsidP="005F6BEB">
            <w:pPr>
              <w:pStyle w:val="ARfintablebodyright"/>
              <w:ind w:right="0"/>
              <w:rPr>
                <w:sz w:val="15"/>
                <w:szCs w:val="15"/>
                <w:lang w:eastAsia="en-AU"/>
              </w:rPr>
            </w:pPr>
            <w:r w:rsidRPr="005F6BEB">
              <w:rPr>
                <w:sz w:val="15"/>
                <w:szCs w:val="15"/>
              </w:rPr>
              <w:t>–</w:t>
            </w:r>
          </w:p>
        </w:tc>
      </w:tr>
      <w:tr w:rsidR="00FA7EBF" w14:paraId="1D057304" w14:textId="77777777" w:rsidTr="007B207C">
        <w:trPr>
          <w:cantSplit/>
        </w:trPr>
        <w:tc>
          <w:tcPr>
            <w:tcW w:w="3209" w:type="dxa"/>
            <w:tcBorders>
              <w:top w:val="single" w:sz="4" w:space="0" w:color="A6A6A6" w:themeColor="background1" w:themeShade="A6"/>
              <w:bottom w:val="single" w:sz="4" w:space="0" w:color="A6A6A6" w:themeColor="background1" w:themeShade="A6"/>
            </w:tcBorders>
            <w:hideMark/>
          </w:tcPr>
          <w:p w14:paraId="73873FA6" w14:textId="77777777" w:rsidR="00FA7EBF" w:rsidRPr="005F6BEB" w:rsidRDefault="00FA7EBF" w:rsidP="007B207C">
            <w:pPr>
              <w:pStyle w:val="ARfintablebody"/>
              <w:rPr>
                <w:sz w:val="15"/>
                <w:szCs w:val="15"/>
                <w:lang w:eastAsia="en-AU"/>
              </w:rPr>
            </w:pPr>
            <w:r w:rsidRPr="005F6BEB">
              <w:rPr>
                <w:sz w:val="15"/>
                <w:szCs w:val="15"/>
              </w:rPr>
              <w:t>Other operating expenses</w:t>
            </w:r>
          </w:p>
        </w:tc>
        <w:tc>
          <w:tcPr>
            <w:tcW w:w="796" w:type="dxa"/>
            <w:tcBorders>
              <w:top w:val="single" w:sz="4" w:space="0" w:color="A6A6A6" w:themeColor="background1" w:themeShade="A6"/>
              <w:bottom w:val="single" w:sz="4" w:space="0" w:color="A6A6A6" w:themeColor="background1" w:themeShade="A6"/>
            </w:tcBorders>
            <w:hideMark/>
          </w:tcPr>
          <w:p w14:paraId="26A1B92B" w14:textId="77777777" w:rsidR="00FA7EBF" w:rsidRPr="005F6BEB" w:rsidRDefault="00FA7EBF" w:rsidP="005F6BEB">
            <w:pPr>
              <w:pStyle w:val="ARfintablebodyright"/>
              <w:ind w:right="0"/>
              <w:rPr>
                <w:sz w:val="15"/>
                <w:szCs w:val="15"/>
                <w:lang w:eastAsia="en-AU"/>
              </w:rPr>
            </w:pPr>
            <w:r w:rsidRPr="005F6BEB">
              <w:rPr>
                <w:sz w:val="15"/>
                <w:szCs w:val="15"/>
              </w:rPr>
              <w:t>0.4</w:t>
            </w:r>
          </w:p>
        </w:tc>
        <w:tc>
          <w:tcPr>
            <w:tcW w:w="641" w:type="dxa"/>
            <w:tcBorders>
              <w:top w:val="single" w:sz="4" w:space="0" w:color="A6A6A6" w:themeColor="background1" w:themeShade="A6"/>
              <w:bottom w:val="single" w:sz="4" w:space="0" w:color="A6A6A6" w:themeColor="background1" w:themeShade="A6"/>
            </w:tcBorders>
            <w:hideMark/>
          </w:tcPr>
          <w:p w14:paraId="254975D2"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E39D2E8" w14:textId="77777777" w:rsidR="00FA7EBF" w:rsidRPr="005F6BEB" w:rsidRDefault="00FA7EBF" w:rsidP="005F6BEB">
            <w:pPr>
              <w:pStyle w:val="ARfintablebodyright"/>
              <w:ind w:right="0"/>
              <w:rPr>
                <w:sz w:val="15"/>
                <w:szCs w:val="15"/>
                <w:lang w:eastAsia="en-AU"/>
              </w:rPr>
            </w:pPr>
            <w:r w:rsidRPr="005F6BEB">
              <w:rPr>
                <w:sz w:val="15"/>
                <w:szCs w:val="15"/>
              </w:rPr>
              <w:t>0.1</w:t>
            </w:r>
          </w:p>
        </w:tc>
        <w:tc>
          <w:tcPr>
            <w:tcW w:w="641" w:type="dxa"/>
            <w:tcBorders>
              <w:top w:val="single" w:sz="4" w:space="0" w:color="A6A6A6" w:themeColor="background1" w:themeShade="A6"/>
              <w:bottom w:val="single" w:sz="4" w:space="0" w:color="A6A6A6" w:themeColor="background1" w:themeShade="A6"/>
            </w:tcBorders>
            <w:hideMark/>
          </w:tcPr>
          <w:p w14:paraId="5B5CCB0C"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1E6711D"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508E32A3"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A396D87" w14:textId="77777777" w:rsidR="00FA7EBF" w:rsidRPr="005F6BEB" w:rsidRDefault="00FA7EBF" w:rsidP="005F6BEB">
            <w:pPr>
              <w:pStyle w:val="ARfintablebodyright"/>
              <w:ind w:right="0"/>
              <w:rPr>
                <w:sz w:val="15"/>
                <w:szCs w:val="15"/>
                <w:lang w:eastAsia="en-AU"/>
              </w:rPr>
            </w:pPr>
            <w:r w:rsidRPr="005F6BEB">
              <w:rPr>
                <w:sz w:val="15"/>
                <w:szCs w:val="15"/>
              </w:rPr>
              <w:t>0.2</w:t>
            </w:r>
          </w:p>
        </w:tc>
        <w:tc>
          <w:tcPr>
            <w:tcW w:w="641" w:type="dxa"/>
            <w:tcBorders>
              <w:top w:val="single" w:sz="4" w:space="0" w:color="A6A6A6" w:themeColor="background1" w:themeShade="A6"/>
              <w:bottom w:val="single" w:sz="4" w:space="0" w:color="A6A6A6" w:themeColor="background1" w:themeShade="A6"/>
            </w:tcBorders>
            <w:hideMark/>
          </w:tcPr>
          <w:p w14:paraId="082BDDD7"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5EA3615" w14:textId="77777777" w:rsidR="00FA7EBF" w:rsidRPr="005F6BEB" w:rsidRDefault="00FA7EBF" w:rsidP="005F6BEB">
            <w:pPr>
              <w:pStyle w:val="ARfintablebodyright"/>
              <w:ind w:right="0"/>
              <w:rPr>
                <w:sz w:val="15"/>
                <w:szCs w:val="15"/>
                <w:lang w:eastAsia="en-AU"/>
              </w:rPr>
            </w:pPr>
            <w:r w:rsidRPr="005F6BEB">
              <w:rPr>
                <w:sz w:val="15"/>
                <w:szCs w:val="15"/>
              </w:rPr>
              <w:t>0.3</w:t>
            </w:r>
          </w:p>
        </w:tc>
        <w:tc>
          <w:tcPr>
            <w:tcW w:w="641" w:type="dxa"/>
            <w:tcBorders>
              <w:top w:val="single" w:sz="4" w:space="0" w:color="A6A6A6" w:themeColor="background1" w:themeShade="A6"/>
              <w:bottom w:val="single" w:sz="4" w:space="0" w:color="A6A6A6" w:themeColor="background1" w:themeShade="A6"/>
            </w:tcBorders>
            <w:hideMark/>
          </w:tcPr>
          <w:p w14:paraId="55298737" w14:textId="77777777" w:rsidR="00FA7EBF" w:rsidRPr="005F6BEB" w:rsidRDefault="00FA7EBF" w:rsidP="005F6BEB">
            <w:pPr>
              <w:pStyle w:val="ARfintablebodyright"/>
              <w:ind w:right="0"/>
              <w:rPr>
                <w:sz w:val="15"/>
                <w:szCs w:val="15"/>
                <w:lang w:eastAsia="en-AU"/>
              </w:rPr>
            </w:pPr>
            <w:r w:rsidRPr="005F6BEB">
              <w:rPr>
                <w:sz w:val="15"/>
                <w:szCs w:val="15"/>
              </w:rPr>
              <w:t>0.5</w:t>
            </w:r>
          </w:p>
        </w:tc>
        <w:tc>
          <w:tcPr>
            <w:tcW w:w="641" w:type="dxa"/>
            <w:tcBorders>
              <w:top w:val="single" w:sz="4" w:space="0" w:color="A6A6A6" w:themeColor="background1" w:themeShade="A6"/>
              <w:bottom w:val="single" w:sz="4" w:space="0" w:color="A6A6A6" w:themeColor="background1" w:themeShade="A6"/>
            </w:tcBorders>
            <w:hideMark/>
          </w:tcPr>
          <w:p w14:paraId="35351CAD"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5199EE91" w14:textId="77777777" w:rsidR="00FA7EBF" w:rsidRPr="005F6BEB" w:rsidRDefault="00FA7EBF" w:rsidP="005F6BEB">
            <w:pPr>
              <w:pStyle w:val="ARfintablebodyright"/>
              <w:ind w:right="0"/>
              <w:rPr>
                <w:sz w:val="15"/>
                <w:szCs w:val="15"/>
                <w:lang w:eastAsia="en-AU"/>
              </w:rPr>
            </w:pPr>
            <w:r w:rsidRPr="005F6BEB">
              <w:rPr>
                <w:sz w:val="15"/>
                <w:szCs w:val="15"/>
              </w:rPr>
              <w:t>0.1</w:t>
            </w:r>
          </w:p>
        </w:tc>
        <w:tc>
          <w:tcPr>
            <w:tcW w:w="641" w:type="dxa"/>
            <w:tcBorders>
              <w:top w:val="single" w:sz="4" w:space="0" w:color="A6A6A6" w:themeColor="background1" w:themeShade="A6"/>
              <w:bottom w:val="single" w:sz="4" w:space="0" w:color="A6A6A6" w:themeColor="background1" w:themeShade="A6"/>
            </w:tcBorders>
            <w:hideMark/>
          </w:tcPr>
          <w:p w14:paraId="196202BA"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600F4913"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45733DE3"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119FB16"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839" w:type="dxa"/>
            <w:tcBorders>
              <w:top w:val="single" w:sz="4" w:space="0" w:color="A6A6A6" w:themeColor="background1" w:themeShade="A6"/>
              <w:bottom w:val="single" w:sz="4" w:space="0" w:color="A6A6A6" w:themeColor="background1" w:themeShade="A6"/>
            </w:tcBorders>
            <w:hideMark/>
          </w:tcPr>
          <w:p w14:paraId="0CC28217" w14:textId="77777777" w:rsidR="00FA7EBF" w:rsidRPr="005F6BEB" w:rsidRDefault="00FA7EBF" w:rsidP="005F6BEB">
            <w:pPr>
              <w:pStyle w:val="ARfintablebodyright"/>
              <w:ind w:right="0"/>
              <w:rPr>
                <w:sz w:val="15"/>
                <w:szCs w:val="15"/>
                <w:lang w:eastAsia="en-AU"/>
              </w:rPr>
            </w:pPr>
            <w:r w:rsidRPr="005F6BEB">
              <w:rPr>
                <w:sz w:val="15"/>
                <w:szCs w:val="15"/>
              </w:rPr>
              <w:t>1.7</w:t>
            </w:r>
          </w:p>
        </w:tc>
      </w:tr>
      <w:tr w:rsidR="00FA7EBF" w14:paraId="47B898A2" w14:textId="77777777" w:rsidTr="007B207C">
        <w:trPr>
          <w:cantSplit/>
        </w:trPr>
        <w:tc>
          <w:tcPr>
            <w:tcW w:w="3209" w:type="dxa"/>
            <w:tcBorders>
              <w:top w:val="single" w:sz="4" w:space="0" w:color="A6A6A6" w:themeColor="background1" w:themeShade="A6"/>
              <w:bottom w:val="single" w:sz="4" w:space="0" w:color="A6A6A6" w:themeColor="background1" w:themeShade="A6"/>
            </w:tcBorders>
            <w:hideMark/>
          </w:tcPr>
          <w:p w14:paraId="751A1EF1" w14:textId="77777777" w:rsidR="00FA7EBF" w:rsidRPr="005F6BEB" w:rsidRDefault="00FA7EBF" w:rsidP="007B207C">
            <w:pPr>
              <w:pStyle w:val="ARfintablebody"/>
              <w:rPr>
                <w:sz w:val="15"/>
                <w:szCs w:val="15"/>
                <w:lang w:eastAsia="en-AU"/>
              </w:rPr>
            </w:pPr>
            <w:r w:rsidRPr="005F6BEB">
              <w:rPr>
                <w:sz w:val="15"/>
                <w:szCs w:val="15"/>
              </w:rPr>
              <w:t>Payments into the consolidated fund</w:t>
            </w:r>
          </w:p>
        </w:tc>
        <w:tc>
          <w:tcPr>
            <w:tcW w:w="796" w:type="dxa"/>
            <w:tcBorders>
              <w:top w:val="single" w:sz="4" w:space="0" w:color="A6A6A6" w:themeColor="background1" w:themeShade="A6"/>
              <w:bottom w:val="single" w:sz="4" w:space="0" w:color="A6A6A6" w:themeColor="background1" w:themeShade="A6"/>
            </w:tcBorders>
            <w:hideMark/>
          </w:tcPr>
          <w:p w14:paraId="0621F020" w14:textId="77777777" w:rsidR="00FA7EBF" w:rsidRPr="005F6BEB" w:rsidRDefault="00FA7EBF" w:rsidP="005F6BEB">
            <w:pPr>
              <w:pStyle w:val="ARfintablebodyright"/>
              <w:ind w:right="0"/>
              <w:rPr>
                <w:sz w:val="15"/>
                <w:szCs w:val="15"/>
                <w:lang w:eastAsia="en-AU"/>
              </w:rPr>
            </w:pPr>
            <w:r w:rsidRPr="005F6BEB">
              <w:rPr>
                <w:sz w:val="15"/>
                <w:szCs w:val="15"/>
              </w:rPr>
              <w:t>301.5</w:t>
            </w:r>
          </w:p>
        </w:tc>
        <w:tc>
          <w:tcPr>
            <w:tcW w:w="641" w:type="dxa"/>
            <w:tcBorders>
              <w:top w:val="single" w:sz="4" w:space="0" w:color="A6A6A6" w:themeColor="background1" w:themeShade="A6"/>
              <w:bottom w:val="single" w:sz="4" w:space="0" w:color="A6A6A6" w:themeColor="background1" w:themeShade="A6"/>
            </w:tcBorders>
            <w:hideMark/>
          </w:tcPr>
          <w:p w14:paraId="5F05B6BE"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9407CEC" w14:textId="77777777" w:rsidR="00FA7EBF" w:rsidRPr="005F6BEB" w:rsidRDefault="00FA7EBF" w:rsidP="005F6BEB">
            <w:pPr>
              <w:pStyle w:val="ARfintablebodyright"/>
              <w:ind w:right="0"/>
              <w:rPr>
                <w:sz w:val="15"/>
                <w:szCs w:val="15"/>
                <w:lang w:eastAsia="en-AU"/>
              </w:rPr>
            </w:pPr>
            <w:r w:rsidRPr="005F6BEB">
              <w:rPr>
                <w:sz w:val="15"/>
                <w:szCs w:val="15"/>
              </w:rPr>
              <w:t>12.0</w:t>
            </w:r>
          </w:p>
        </w:tc>
        <w:tc>
          <w:tcPr>
            <w:tcW w:w="641" w:type="dxa"/>
            <w:tcBorders>
              <w:top w:val="single" w:sz="4" w:space="0" w:color="A6A6A6" w:themeColor="background1" w:themeShade="A6"/>
              <w:bottom w:val="single" w:sz="4" w:space="0" w:color="A6A6A6" w:themeColor="background1" w:themeShade="A6"/>
            </w:tcBorders>
            <w:hideMark/>
          </w:tcPr>
          <w:p w14:paraId="3A056B23" w14:textId="77777777" w:rsidR="00FA7EBF" w:rsidRPr="005F6BEB" w:rsidRDefault="00FA7EBF" w:rsidP="005F6BEB">
            <w:pPr>
              <w:pStyle w:val="ARfintablebodyright"/>
              <w:ind w:right="0"/>
              <w:rPr>
                <w:sz w:val="15"/>
                <w:szCs w:val="15"/>
                <w:lang w:eastAsia="en-AU"/>
              </w:rPr>
            </w:pPr>
            <w:r w:rsidRPr="005F6BEB">
              <w:rPr>
                <w:sz w:val="15"/>
                <w:szCs w:val="15"/>
              </w:rPr>
              <w:t>67.1</w:t>
            </w:r>
          </w:p>
        </w:tc>
        <w:tc>
          <w:tcPr>
            <w:tcW w:w="641" w:type="dxa"/>
            <w:tcBorders>
              <w:top w:val="single" w:sz="4" w:space="0" w:color="A6A6A6" w:themeColor="background1" w:themeShade="A6"/>
              <w:bottom w:val="single" w:sz="4" w:space="0" w:color="A6A6A6" w:themeColor="background1" w:themeShade="A6"/>
            </w:tcBorders>
            <w:hideMark/>
          </w:tcPr>
          <w:p w14:paraId="7CEBEBDD" w14:textId="77777777" w:rsidR="00FA7EBF" w:rsidRPr="005F6BEB" w:rsidRDefault="00FA7EBF" w:rsidP="005F6BEB">
            <w:pPr>
              <w:pStyle w:val="ARfintablebodyright"/>
              <w:ind w:right="0"/>
              <w:rPr>
                <w:sz w:val="15"/>
                <w:szCs w:val="15"/>
                <w:lang w:eastAsia="en-AU"/>
              </w:rPr>
            </w:pPr>
            <w:r w:rsidRPr="005F6BEB">
              <w:rPr>
                <w:sz w:val="15"/>
                <w:szCs w:val="15"/>
              </w:rPr>
              <w:t>3.9</w:t>
            </w:r>
          </w:p>
        </w:tc>
        <w:tc>
          <w:tcPr>
            <w:tcW w:w="641" w:type="dxa"/>
            <w:tcBorders>
              <w:top w:val="single" w:sz="4" w:space="0" w:color="A6A6A6" w:themeColor="background1" w:themeShade="A6"/>
              <w:bottom w:val="single" w:sz="4" w:space="0" w:color="A6A6A6" w:themeColor="background1" w:themeShade="A6"/>
            </w:tcBorders>
            <w:hideMark/>
          </w:tcPr>
          <w:p w14:paraId="01C46870" w14:textId="77777777" w:rsidR="00FA7EBF" w:rsidRPr="005F6BEB" w:rsidRDefault="00FA7EBF" w:rsidP="005F6BEB">
            <w:pPr>
              <w:pStyle w:val="ARfintablebodyright"/>
              <w:ind w:right="0"/>
              <w:rPr>
                <w:sz w:val="15"/>
                <w:szCs w:val="15"/>
                <w:lang w:eastAsia="en-AU"/>
              </w:rPr>
            </w:pPr>
            <w:r w:rsidRPr="005F6BEB">
              <w:rPr>
                <w:sz w:val="15"/>
                <w:szCs w:val="15"/>
              </w:rPr>
              <w:t>7.2</w:t>
            </w:r>
          </w:p>
        </w:tc>
        <w:tc>
          <w:tcPr>
            <w:tcW w:w="641" w:type="dxa"/>
            <w:tcBorders>
              <w:top w:val="single" w:sz="4" w:space="0" w:color="A6A6A6" w:themeColor="background1" w:themeShade="A6"/>
              <w:bottom w:val="single" w:sz="4" w:space="0" w:color="A6A6A6" w:themeColor="background1" w:themeShade="A6"/>
            </w:tcBorders>
            <w:hideMark/>
          </w:tcPr>
          <w:p w14:paraId="66E73A92" w14:textId="77777777" w:rsidR="00FA7EBF" w:rsidRPr="005F6BEB" w:rsidRDefault="00FA7EBF" w:rsidP="005F6BEB">
            <w:pPr>
              <w:pStyle w:val="ARfintablebodyright"/>
              <w:ind w:right="0"/>
              <w:rPr>
                <w:sz w:val="15"/>
                <w:szCs w:val="15"/>
                <w:lang w:eastAsia="en-AU"/>
              </w:rPr>
            </w:pPr>
            <w:r w:rsidRPr="005F6BEB">
              <w:rPr>
                <w:sz w:val="15"/>
                <w:szCs w:val="15"/>
              </w:rPr>
              <w:t>10.2</w:t>
            </w:r>
          </w:p>
        </w:tc>
        <w:tc>
          <w:tcPr>
            <w:tcW w:w="641" w:type="dxa"/>
            <w:tcBorders>
              <w:top w:val="single" w:sz="4" w:space="0" w:color="A6A6A6" w:themeColor="background1" w:themeShade="A6"/>
              <w:bottom w:val="single" w:sz="4" w:space="0" w:color="A6A6A6" w:themeColor="background1" w:themeShade="A6"/>
            </w:tcBorders>
            <w:hideMark/>
          </w:tcPr>
          <w:p w14:paraId="4FBEE17C" w14:textId="77777777" w:rsidR="00FA7EBF" w:rsidRPr="005F6BEB" w:rsidRDefault="00FA7EBF" w:rsidP="005F6BEB">
            <w:pPr>
              <w:pStyle w:val="ARfintablebodyright"/>
              <w:ind w:right="0"/>
              <w:rPr>
                <w:sz w:val="15"/>
                <w:szCs w:val="15"/>
                <w:lang w:eastAsia="en-AU"/>
              </w:rPr>
            </w:pPr>
            <w:r w:rsidRPr="005F6BEB">
              <w:rPr>
                <w:sz w:val="15"/>
                <w:szCs w:val="15"/>
              </w:rPr>
              <w:t>1.2</w:t>
            </w:r>
          </w:p>
        </w:tc>
        <w:tc>
          <w:tcPr>
            <w:tcW w:w="641" w:type="dxa"/>
            <w:tcBorders>
              <w:top w:val="single" w:sz="4" w:space="0" w:color="A6A6A6" w:themeColor="background1" w:themeShade="A6"/>
              <w:bottom w:val="single" w:sz="4" w:space="0" w:color="A6A6A6" w:themeColor="background1" w:themeShade="A6"/>
            </w:tcBorders>
            <w:hideMark/>
          </w:tcPr>
          <w:p w14:paraId="68DD38D9" w14:textId="77777777" w:rsidR="00FA7EBF" w:rsidRPr="005F6BEB" w:rsidRDefault="00FA7EBF" w:rsidP="005F6BEB">
            <w:pPr>
              <w:pStyle w:val="ARfintablebodyright"/>
              <w:ind w:right="0"/>
              <w:rPr>
                <w:sz w:val="15"/>
                <w:szCs w:val="15"/>
                <w:lang w:eastAsia="en-AU"/>
              </w:rPr>
            </w:pPr>
            <w:r w:rsidRPr="005F6BEB">
              <w:rPr>
                <w:sz w:val="15"/>
                <w:szCs w:val="15"/>
              </w:rPr>
              <w:t>46.0</w:t>
            </w:r>
          </w:p>
        </w:tc>
        <w:tc>
          <w:tcPr>
            <w:tcW w:w="641" w:type="dxa"/>
            <w:tcBorders>
              <w:top w:val="single" w:sz="4" w:space="0" w:color="A6A6A6" w:themeColor="background1" w:themeShade="A6"/>
              <w:bottom w:val="single" w:sz="4" w:space="0" w:color="A6A6A6" w:themeColor="background1" w:themeShade="A6"/>
            </w:tcBorders>
            <w:hideMark/>
          </w:tcPr>
          <w:p w14:paraId="09DABEC4" w14:textId="77777777" w:rsidR="00FA7EBF" w:rsidRPr="005F6BEB" w:rsidRDefault="00FA7EBF" w:rsidP="005F6BEB">
            <w:pPr>
              <w:pStyle w:val="ARfintablebodyright"/>
              <w:ind w:right="0"/>
              <w:rPr>
                <w:sz w:val="15"/>
                <w:szCs w:val="15"/>
                <w:lang w:eastAsia="en-AU"/>
              </w:rPr>
            </w:pPr>
            <w:r w:rsidRPr="005F6BEB">
              <w:rPr>
                <w:sz w:val="15"/>
                <w:szCs w:val="15"/>
              </w:rPr>
              <w:t>3.9</w:t>
            </w:r>
          </w:p>
        </w:tc>
        <w:tc>
          <w:tcPr>
            <w:tcW w:w="641" w:type="dxa"/>
            <w:tcBorders>
              <w:top w:val="single" w:sz="4" w:space="0" w:color="A6A6A6" w:themeColor="background1" w:themeShade="A6"/>
              <w:bottom w:val="single" w:sz="4" w:space="0" w:color="A6A6A6" w:themeColor="background1" w:themeShade="A6"/>
            </w:tcBorders>
            <w:hideMark/>
          </w:tcPr>
          <w:p w14:paraId="27D52831" w14:textId="77777777" w:rsidR="00FA7EBF" w:rsidRPr="005F6BEB" w:rsidRDefault="00FA7EBF" w:rsidP="005F6BEB">
            <w:pPr>
              <w:pStyle w:val="ARfintablebodyright"/>
              <w:ind w:right="0"/>
              <w:rPr>
                <w:sz w:val="15"/>
                <w:szCs w:val="15"/>
                <w:lang w:eastAsia="en-AU"/>
              </w:rPr>
            </w:pPr>
            <w:r w:rsidRPr="005F6BEB">
              <w:rPr>
                <w:sz w:val="15"/>
                <w:szCs w:val="15"/>
              </w:rPr>
              <w:t>0.8</w:t>
            </w:r>
          </w:p>
        </w:tc>
        <w:tc>
          <w:tcPr>
            <w:tcW w:w="641" w:type="dxa"/>
            <w:tcBorders>
              <w:top w:val="single" w:sz="4" w:space="0" w:color="A6A6A6" w:themeColor="background1" w:themeShade="A6"/>
              <w:bottom w:val="single" w:sz="4" w:space="0" w:color="A6A6A6" w:themeColor="background1" w:themeShade="A6"/>
            </w:tcBorders>
            <w:hideMark/>
          </w:tcPr>
          <w:p w14:paraId="3773A21D" w14:textId="77777777" w:rsidR="00FA7EBF" w:rsidRPr="005F6BEB" w:rsidRDefault="00FA7EBF" w:rsidP="005F6BEB">
            <w:pPr>
              <w:pStyle w:val="ARfintablebodyright"/>
              <w:ind w:right="0"/>
              <w:rPr>
                <w:sz w:val="15"/>
                <w:szCs w:val="15"/>
                <w:lang w:eastAsia="en-AU"/>
              </w:rPr>
            </w:pPr>
            <w:r w:rsidRPr="005F6BEB">
              <w:rPr>
                <w:sz w:val="15"/>
                <w:szCs w:val="15"/>
              </w:rPr>
              <w:t>0.1</w:t>
            </w:r>
          </w:p>
        </w:tc>
        <w:tc>
          <w:tcPr>
            <w:tcW w:w="641" w:type="dxa"/>
            <w:tcBorders>
              <w:top w:val="single" w:sz="4" w:space="0" w:color="A6A6A6" w:themeColor="background1" w:themeShade="A6"/>
              <w:bottom w:val="single" w:sz="4" w:space="0" w:color="A6A6A6" w:themeColor="background1" w:themeShade="A6"/>
            </w:tcBorders>
            <w:hideMark/>
          </w:tcPr>
          <w:p w14:paraId="6A1F02DB"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42BD80F9"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B099C22"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3AB7AFB9"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839" w:type="dxa"/>
            <w:tcBorders>
              <w:top w:val="single" w:sz="4" w:space="0" w:color="A6A6A6" w:themeColor="background1" w:themeShade="A6"/>
              <w:bottom w:val="single" w:sz="4" w:space="0" w:color="A6A6A6" w:themeColor="background1" w:themeShade="A6"/>
            </w:tcBorders>
            <w:hideMark/>
          </w:tcPr>
          <w:p w14:paraId="33DD3149" w14:textId="77777777" w:rsidR="00FA7EBF" w:rsidRPr="005F6BEB" w:rsidRDefault="00FA7EBF" w:rsidP="005F6BEB">
            <w:pPr>
              <w:pStyle w:val="ARfintablebodyright"/>
              <w:ind w:right="0"/>
              <w:rPr>
                <w:sz w:val="15"/>
                <w:szCs w:val="15"/>
                <w:lang w:eastAsia="en-AU"/>
              </w:rPr>
            </w:pPr>
            <w:r w:rsidRPr="005F6BEB">
              <w:rPr>
                <w:sz w:val="15"/>
                <w:szCs w:val="15"/>
              </w:rPr>
              <w:t>453.9</w:t>
            </w:r>
          </w:p>
        </w:tc>
      </w:tr>
      <w:tr w:rsidR="00FA7EBF" w14:paraId="5AD894B0" w14:textId="77777777" w:rsidTr="007B207C">
        <w:trPr>
          <w:cantSplit/>
        </w:trPr>
        <w:tc>
          <w:tcPr>
            <w:tcW w:w="3209" w:type="dxa"/>
            <w:tcBorders>
              <w:top w:val="single" w:sz="4" w:space="0" w:color="A6A6A6" w:themeColor="background1" w:themeShade="A6"/>
              <w:bottom w:val="single" w:sz="4" w:space="0" w:color="A6A6A6" w:themeColor="background1" w:themeShade="A6"/>
            </w:tcBorders>
            <w:hideMark/>
          </w:tcPr>
          <w:p w14:paraId="0FC453E6" w14:textId="77777777" w:rsidR="00FA7EBF" w:rsidRPr="005F6BEB" w:rsidRDefault="00FA7EBF" w:rsidP="007B207C">
            <w:pPr>
              <w:pStyle w:val="ARfintablebody"/>
              <w:rPr>
                <w:sz w:val="15"/>
                <w:szCs w:val="15"/>
                <w:lang w:eastAsia="en-AU"/>
              </w:rPr>
            </w:pPr>
            <w:r w:rsidRPr="005F6BEB">
              <w:rPr>
                <w:sz w:val="15"/>
                <w:szCs w:val="15"/>
              </w:rPr>
              <w:t>Payment to the departmental controlled entity</w:t>
            </w:r>
          </w:p>
        </w:tc>
        <w:tc>
          <w:tcPr>
            <w:tcW w:w="796" w:type="dxa"/>
            <w:tcBorders>
              <w:top w:val="single" w:sz="4" w:space="0" w:color="A6A6A6" w:themeColor="background1" w:themeShade="A6"/>
              <w:bottom w:val="single" w:sz="4" w:space="0" w:color="A6A6A6" w:themeColor="background1" w:themeShade="A6"/>
            </w:tcBorders>
            <w:hideMark/>
          </w:tcPr>
          <w:p w14:paraId="79D3583F" w14:textId="77777777" w:rsidR="00FA7EBF" w:rsidRPr="005F6BEB" w:rsidRDefault="00FA7EBF" w:rsidP="005F6BEB">
            <w:pPr>
              <w:pStyle w:val="ARfintablebodyright"/>
              <w:ind w:right="0"/>
              <w:rPr>
                <w:sz w:val="15"/>
                <w:szCs w:val="15"/>
                <w:lang w:eastAsia="en-AU"/>
              </w:rPr>
            </w:pPr>
            <w:r w:rsidRPr="005F6BEB">
              <w:rPr>
                <w:sz w:val="15"/>
                <w:szCs w:val="15"/>
              </w:rPr>
              <w:t>239.6</w:t>
            </w:r>
          </w:p>
        </w:tc>
        <w:tc>
          <w:tcPr>
            <w:tcW w:w="641" w:type="dxa"/>
            <w:tcBorders>
              <w:top w:val="single" w:sz="4" w:space="0" w:color="A6A6A6" w:themeColor="background1" w:themeShade="A6"/>
              <w:bottom w:val="single" w:sz="4" w:space="0" w:color="A6A6A6" w:themeColor="background1" w:themeShade="A6"/>
            </w:tcBorders>
            <w:hideMark/>
          </w:tcPr>
          <w:p w14:paraId="3BED63D8"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D1C3228" w14:textId="77777777" w:rsidR="00FA7EBF" w:rsidRPr="005F6BEB" w:rsidRDefault="00FA7EBF" w:rsidP="005F6BEB">
            <w:pPr>
              <w:pStyle w:val="ARfintablebodyright"/>
              <w:ind w:right="0"/>
              <w:rPr>
                <w:sz w:val="15"/>
                <w:szCs w:val="15"/>
                <w:lang w:eastAsia="en-AU"/>
              </w:rPr>
            </w:pPr>
            <w:r w:rsidRPr="005F6BEB">
              <w:rPr>
                <w:sz w:val="15"/>
                <w:szCs w:val="15"/>
              </w:rPr>
              <w:t>323.8</w:t>
            </w:r>
          </w:p>
        </w:tc>
        <w:tc>
          <w:tcPr>
            <w:tcW w:w="641" w:type="dxa"/>
            <w:tcBorders>
              <w:top w:val="single" w:sz="4" w:space="0" w:color="A6A6A6" w:themeColor="background1" w:themeShade="A6"/>
              <w:bottom w:val="single" w:sz="4" w:space="0" w:color="A6A6A6" w:themeColor="background1" w:themeShade="A6"/>
            </w:tcBorders>
            <w:hideMark/>
          </w:tcPr>
          <w:p w14:paraId="5DBCF675"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3547BCBF" w14:textId="77777777" w:rsidR="00FA7EBF" w:rsidRPr="005F6BEB" w:rsidRDefault="00FA7EBF" w:rsidP="005F6BEB">
            <w:pPr>
              <w:pStyle w:val="ARfintablebodyright"/>
              <w:ind w:right="0"/>
              <w:rPr>
                <w:sz w:val="15"/>
                <w:szCs w:val="15"/>
                <w:lang w:eastAsia="en-AU"/>
              </w:rPr>
            </w:pPr>
            <w:r w:rsidRPr="005F6BEB">
              <w:rPr>
                <w:sz w:val="15"/>
                <w:szCs w:val="15"/>
              </w:rPr>
              <w:t>0.6</w:t>
            </w:r>
          </w:p>
        </w:tc>
        <w:tc>
          <w:tcPr>
            <w:tcW w:w="641" w:type="dxa"/>
            <w:tcBorders>
              <w:top w:val="single" w:sz="4" w:space="0" w:color="A6A6A6" w:themeColor="background1" w:themeShade="A6"/>
              <w:bottom w:val="single" w:sz="4" w:space="0" w:color="A6A6A6" w:themeColor="background1" w:themeShade="A6"/>
            </w:tcBorders>
            <w:hideMark/>
          </w:tcPr>
          <w:p w14:paraId="1C20C7DA" w14:textId="77777777" w:rsidR="00FA7EBF" w:rsidRPr="005F6BEB" w:rsidRDefault="00FA7EBF" w:rsidP="005F6BEB">
            <w:pPr>
              <w:pStyle w:val="ARfintablebodyright"/>
              <w:ind w:right="0"/>
              <w:rPr>
                <w:sz w:val="15"/>
                <w:szCs w:val="15"/>
                <w:lang w:eastAsia="en-AU"/>
              </w:rPr>
            </w:pPr>
            <w:r w:rsidRPr="005F6BEB">
              <w:rPr>
                <w:sz w:val="15"/>
                <w:szCs w:val="15"/>
              </w:rPr>
              <w:t>109.6</w:t>
            </w:r>
          </w:p>
        </w:tc>
        <w:tc>
          <w:tcPr>
            <w:tcW w:w="641" w:type="dxa"/>
            <w:tcBorders>
              <w:top w:val="single" w:sz="4" w:space="0" w:color="A6A6A6" w:themeColor="background1" w:themeShade="A6"/>
              <w:bottom w:val="single" w:sz="4" w:space="0" w:color="A6A6A6" w:themeColor="background1" w:themeShade="A6"/>
            </w:tcBorders>
            <w:hideMark/>
          </w:tcPr>
          <w:p w14:paraId="309FAF38" w14:textId="77777777" w:rsidR="00FA7EBF" w:rsidRPr="005F6BEB" w:rsidRDefault="00FA7EBF" w:rsidP="005F6BEB">
            <w:pPr>
              <w:pStyle w:val="ARfintablebodyright"/>
              <w:ind w:right="0"/>
              <w:rPr>
                <w:sz w:val="15"/>
                <w:szCs w:val="15"/>
                <w:lang w:eastAsia="en-AU"/>
              </w:rPr>
            </w:pPr>
            <w:r w:rsidRPr="005F6BEB">
              <w:rPr>
                <w:sz w:val="15"/>
                <w:szCs w:val="15"/>
              </w:rPr>
              <w:t>99.8</w:t>
            </w:r>
          </w:p>
        </w:tc>
        <w:tc>
          <w:tcPr>
            <w:tcW w:w="641" w:type="dxa"/>
            <w:tcBorders>
              <w:top w:val="single" w:sz="4" w:space="0" w:color="A6A6A6" w:themeColor="background1" w:themeShade="A6"/>
              <w:bottom w:val="single" w:sz="4" w:space="0" w:color="A6A6A6" w:themeColor="background1" w:themeShade="A6"/>
            </w:tcBorders>
            <w:hideMark/>
          </w:tcPr>
          <w:p w14:paraId="7911B395" w14:textId="77777777" w:rsidR="00FA7EBF" w:rsidRPr="005F6BEB" w:rsidRDefault="00FA7EBF" w:rsidP="005F6BEB">
            <w:pPr>
              <w:pStyle w:val="ARfintablebodyright"/>
              <w:ind w:right="0"/>
              <w:rPr>
                <w:sz w:val="15"/>
                <w:szCs w:val="15"/>
                <w:lang w:eastAsia="en-AU"/>
              </w:rPr>
            </w:pPr>
            <w:r w:rsidRPr="005F6BEB">
              <w:rPr>
                <w:sz w:val="15"/>
                <w:szCs w:val="15"/>
              </w:rPr>
              <w:t>12.3</w:t>
            </w:r>
          </w:p>
        </w:tc>
        <w:tc>
          <w:tcPr>
            <w:tcW w:w="641" w:type="dxa"/>
            <w:tcBorders>
              <w:top w:val="single" w:sz="4" w:space="0" w:color="A6A6A6" w:themeColor="background1" w:themeShade="A6"/>
              <w:bottom w:val="single" w:sz="4" w:space="0" w:color="A6A6A6" w:themeColor="background1" w:themeShade="A6"/>
            </w:tcBorders>
            <w:hideMark/>
          </w:tcPr>
          <w:p w14:paraId="37235CD5"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62AD1B0A"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5F3294C"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C841A34"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2EE35AC"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378E0032"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5DAA499E"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68D708DD"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839" w:type="dxa"/>
            <w:tcBorders>
              <w:top w:val="single" w:sz="4" w:space="0" w:color="A6A6A6" w:themeColor="background1" w:themeShade="A6"/>
              <w:bottom w:val="single" w:sz="4" w:space="0" w:color="A6A6A6" w:themeColor="background1" w:themeShade="A6"/>
            </w:tcBorders>
            <w:hideMark/>
          </w:tcPr>
          <w:p w14:paraId="1C7BF7A7" w14:textId="77777777" w:rsidR="00FA7EBF" w:rsidRPr="005F6BEB" w:rsidRDefault="00FA7EBF" w:rsidP="005F6BEB">
            <w:pPr>
              <w:pStyle w:val="ARfintablebodyright"/>
              <w:ind w:right="0"/>
              <w:rPr>
                <w:sz w:val="15"/>
                <w:szCs w:val="15"/>
                <w:lang w:eastAsia="en-AU"/>
              </w:rPr>
            </w:pPr>
            <w:r w:rsidRPr="005F6BEB">
              <w:rPr>
                <w:sz w:val="15"/>
                <w:szCs w:val="15"/>
              </w:rPr>
              <w:t>785.8</w:t>
            </w:r>
          </w:p>
        </w:tc>
      </w:tr>
      <w:tr w:rsidR="00FA7EBF" w14:paraId="50548401" w14:textId="77777777" w:rsidTr="007B207C">
        <w:trPr>
          <w:cantSplit/>
        </w:trPr>
        <w:tc>
          <w:tcPr>
            <w:tcW w:w="3209" w:type="dxa"/>
            <w:tcBorders>
              <w:top w:val="single" w:sz="4" w:space="0" w:color="A6A6A6" w:themeColor="background1" w:themeShade="A6"/>
              <w:bottom w:val="single" w:sz="4" w:space="0" w:color="A6A6A6" w:themeColor="background1" w:themeShade="A6"/>
            </w:tcBorders>
            <w:hideMark/>
          </w:tcPr>
          <w:p w14:paraId="41CD07AB" w14:textId="77777777" w:rsidR="00FA7EBF" w:rsidRPr="005F6BEB" w:rsidRDefault="00FA7EBF" w:rsidP="007B207C">
            <w:pPr>
              <w:pStyle w:val="ARfintablebody"/>
              <w:rPr>
                <w:sz w:val="15"/>
                <w:szCs w:val="15"/>
                <w:lang w:eastAsia="en-AU"/>
              </w:rPr>
            </w:pPr>
            <w:r w:rsidRPr="005F6BEB">
              <w:rPr>
                <w:sz w:val="15"/>
                <w:szCs w:val="15"/>
              </w:rPr>
              <w:t>Fair value of assets and services provided free of charge or for nominal consideration</w:t>
            </w:r>
          </w:p>
        </w:tc>
        <w:tc>
          <w:tcPr>
            <w:tcW w:w="796" w:type="dxa"/>
            <w:tcBorders>
              <w:top w:val="single" w:sz="4" w:space="0" w:color="A6A6A6" w:themeColor="background1" w:themeShade="A6"/>
              <w:bottom w:val="single" w:sz="4" w:space="0" w:color="A6A6A6" w:themeColor="background1" w:themeShade="A6"/>
            </w:tcBorders>
            <w:hideMark/>
          </w:tcPr>
          <w:p w14:paraId="71ABFBE4"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6DEB52AF"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7D00353"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21C7BD2"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9C6D3B9"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BB52F08"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0DA3A0B"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EF1A6D0"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7996C48"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3DBBD3A"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4FF74751"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5C77C1F8"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959353C"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6E5C3F72"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63FAF3F8"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D6E5F2A" w14:textId="77777777" w:rsidR="00FA7EBF" w:rsidRPr="005F6BEB" w:rsidRDefault="00FA7EBF" w:rsidP="005F6BEB">
            <w:pPr>
              <w:pStyle w:val="ARfintablebodyright"/>
              <w:ind w:right="0"/>
              <w:rPr>
                <w:sz w:val="15"/>
                <w:szCs w:val="15"/>
                <w:lang w:eastAsia="en-AU"/>
              </w:rPr>
            </w:pPr>
            <w:r w:rsidRPr="005F6BEB">
              <w:rPr>
                <w:sz w:val="15"/>
                <w:szCs w:val="15"/>
              </w:rPr>
              <w:t>–</w:t>
            </w:r>
          </w:p>
        </w:tc>
        <w:tc>
          <w:tcPr>
            <w:tcW w:w="839" w:type="dxa"/>
            <w:tcBorders>
              <w:top w:val="single" w:sz="4" w:space="0" w:color="A6A6A6" w:themeColor="background1" w:themeShade="A6"/>
              <w:bottom w:val="single" w:sz="4" w:space="0" w:color="A6A6A6" w:themeColor="background1" w:themeShade="A6"/>
            </w:tcBorders>
            <w:hideMark/>
          </w:tcPr>
          <w:p w14:paraId="7E45A193" w14:textId="77777777" w:rsidR="00FA7EBF" w:rsidRPr="005F6BEB" w:rsidRDefault="00FA7EBF" w:rsidP="005F6BEB">
            <w:pPr>
              <w:pStyle w:val="ARfintablebodyright"/>
              <w:ind w:right="0"/>
              <w:rPr>
                <w:sz w:val="15"/>
                <w:szCs w:val="15"/>
                <w:lang w:eastAsia="en-AU"/>
              </w:rPr>
            </w:pPr>
            <w:r w:rsidRPr="005F6BEB">
              <w:rPr>
                <w:sz w:val="15"/>
                <w:szCs w:val="15"/>
              </w:rPr>
              <w:t>–</w:t>
            </w:r>
          </w:p>
        </w:tc>
      </w:tr>
      <w:tr w:rsidR="00FA7EBF" w14:paraId="0A579A08" w14:textId="77777777" w:rsidTr="007B207C">
        <w:trPr>
          <w:cantSplit/>
        </w:trPr>
        <w:tc>
          <w:tcPr>
            <w:tcW w:w="3209" w:type="dxa"/>
            <w:hideMark/>
          </w:tcPr>
          <w:p w14:paraId="55590117" w14:textId="77777777" w:rsidR="00FA7EBF" w:rsidRPr="005F6BEB" w:rsidRDefault="00FA7EBF" w:rsidP="007B207C">
            <w:pPr>
              <w:pStyle w:val="ARfintablebodybold"/>
              <w:rPr>
                <w:sz w:val="15"/>
                <w:szCs w:val="15"/>
                <w:lang w:eastAsia="en-AU"/>
              </w:rPr>
            </w:pPr>
            <w:r w:rsidRPr="005F6BEB">
              <w:rPr>
                <w:sz w:val="15"/>
                <w:szCs w:val="15"/>
              </w:rPr>
              <w:t>Total administered expenses from transactions</w:t>
            </w:r>
          </w:p>
        </w:tc>
        <w:tc>
          <w:tcPr>
            <w:tcW w:w="796" w:type="dxa"/>
            <w:hideMark/>
          </w:tcPr>
          <w:p w14:paraId="528BAA51" w14:textId="77777777" w:rsidR="00FA7EBF" w:rsidRPr="005F6BEB" w:rsidRDefault="00FA7EBF" w:rsidP="005F6BEB">
            <w:pPr>
              <w:pStyle w:val="ARfintablebodyrightbold"/>
              <w:ind w:right="0"/>
              <w:rPr>
                <w:sz w:val="15"/>
                <w:szCs w:val="15"/>
                <w:lang w:eastAsia="en-AU"/>
              </w:rPr>
            </w:pPr>
            <w:r w:rsidRPr="005F6BEB">
              <w:rPr>
                <w:sz w:val="15"/>
                <w:szCs w:val="15"/>
              </w:rPr>
              <w:t>9,238.0</w:t>
            </w:r>
          </w:p>
        </w:tc>
        <w:tc>
          <w:tcPr>
            <w:tcW w:w="641" w:type="dxa"/>
            <w:hideMark/>
          </w:tcPr>
          <w:p w14:paraId="5311D2E5" w14:textId="77777777" w:rsidR="00FA7EBF" w:rsidRPr="005F6BEB" w:rsidRDefault="00FA7EBF" w:rsidP="005F6BEB">
            <w:pPr>
              <w:pStyle w:val="ARfintablebodyrightbold"/>
              <w:ind w:right="0"/>
              <w:rPr>
                <w:sz w:val="15"/>
                <w:szCs w:val="15"/>
                <w:lang w:eastAsia="en-AU"/>
              </w:rPr>
            </w:pPr>
            <w:r w:rsidRPr="005F6BEB">
              <w:rPr>
                <w:sz w:val="15"/>
                <w:szCs w:val="15"/>
              </w:rPr>
              <w:t>–</w:t>
            </w:r>
          </w:p>
        </w:tc>
        <w:tc>
          <w:tcPr>
            <w:tcW w:w="641" w:type="dxa"/>
            <w:hideMark/>
          </w:tcPr>
          <w:p w14:paraId="6DD4837D" w14:textId="77777777" w:rsidR="00FA7EBF" w:rsidRPr="005F6BEB" w:rsidRDefault="00FA7EBF" w:rsidP="005F6BEB">
            <w:pPr>
              <w:pStyle w:val="ARfintablebodyrightbold"/>
              <w:ind w:right="0"/>
              <w:rPr>
                <w:sz w:val="15"/>
                <w:szCs w:val="15"/>
                <w:lang w:eastAsia="en-AU"/>
              </w:rPr>
            </w:pPr>
            <w:r w:rsidRPr="005F6BEB">
              <w:rPr>
                <w:sz w:val="15"/>
                <w:szCs w:val="15"/>
              </w:rPr>
              <w:t>686.4</w:t>
            </w:r>
          </w:p>
        </w:tc>
        <w:tc>
          <w:tcPr>
            <w:tcW w:w="641" w:type="dxa"/>
            <w:hideMark/>
          </w:tcPr>
          <w:p w14:paraId="0CC54C9F" w14:textId="77777777" w:rsidR="00FA7EBF" w:rsidRPr="005F6BEB" w:rsidRDefault="00FA7EBF" w:rsidP="005F6BEB">
            <w:pPr>
              <w:pStyle w:val="ARfintablebodyrightbold"/>
              <w:ind w:right="0"/>
              <w:rPr>
                <w:sz w:val="15"/>
                <w:szCs w:val="15"/>
                <w:lang w:eastAsia="en-AU"/>
              </w:rPr>
            </w:pPr>
            <w:r w:rsidRPr="005F6BEB">
              <w:rPr>
                <w:sz w:val="15"/>
                <w:szCs w:val="15"/>
              </w:rPr>
              <w:t>127.3</w:t>
            </w:r>
          </w:p>
        </w:tc>
        <w:tc>
          <w:tcPr>
            <w:tcW w:w="641" w:type="dxa"/>
            <w:hideMark/>
          </w:tcPr>
          <w:p w14:paraId="08192D22" w14:textId="77777777" w:rsidR="00FA7EBF" w:rsidRPr="005F6BEB" w:rsidRDefault="00FA7EBF" w:rsidP="005F6BEB">
            <w:pPr>
              <w:pStyle w:val="ARfintablebodyrightbold"/>
              <w:ind w:right="0"/>
              <w:rPr>
                <w:sz w:val="15"/>
                <w:szCs w:val="15"/>
                <w:lang w:eastAsia="en-AU"/>
              </w:rPr>
            </w:pPr>
            <w:r w:rsidRPr="005F6BEB">
              <w:rPr>
                <w:sz w:val="15"/>
                <w:szCs w:val="15"/>
              </w:rPr>
              <w:t>4.6</w:t>
            </w:r>
          </w:p>
        </w:tc>
        <w:tc>
          <w:tcPr>
            <w:tcW w:w="641" w:type="dxa"/>
            <w:hideMark/>
          </w:tcPr>
          <w:p w14:paraId="48E51BC3" w14:textId="77777777" w:rsidR="00FA7EBF" w:rsidRPr="005F6BEB" w:rsidRDefault="00FA7EBF" w:rsidP="005F6BEB">
            <w:pPr>
              <w:pStyle w:val="ARfintablebodyrightbold"/>
              <w:ind w:right="0"/>
              <w:rPr>
                <w:sz w:val="15"/>
                <w:szCs w:val="15"/>
                <w:lang w:eastAsia="en-AU"/>
              </w:rPr>
            </w:pPr>
            <w:r w:rsidRPr="005F6BEB">
              <w:rPr>
                <w:sz w:val="15"/>
                <w:szCs w:val="15"/>
              </w:rPr>
              <w:t>116.8</w:t>
            </w:r>
          </w:p>
        </w:tc>
        <w:tc>
          <w:tcPr>
            <w:tcW w:w="641" w:type="dxa"/>
            <w:hideMark/>
          </w:tcPr>
          <w:p w14:paraId="1866DA57" w14:textId="77777777" w:rsidR="00FA7EBF" w:rsidRPr="005F6BEB" w:rsidRDefault="00FA7EBF" w:rsidP="005F6BEB">
            <w:pPr>
              <w:pStyle w:val="ARfintablebodyrightbold"/>
              <w:ind w:right="0"/>
              <w:rPr>
                <w:sz w:val="15"/>
                <w:szCs w:val="15"/>
                <w:lang w:eastAsia="en-AU"/>
              </w:rPr>
            </w:pPr>
            <w:r w:rsidRPr="005F6BEB">
              <w:rPr>
                <w:sz w:val="15"/>
                <w:szCs w:val="15"/>
              </w:rPr>
              <w:t>110.2</w:t>
            </w:r>
          </w:p>
        </w:tc>
        <w:tc>
          <w:tcPr>
            <w:tcW w:w="641" w:type="dxa"/>
            <w:hideMark/>
          </w:tcPr>
          <w:p w14:paraId="3CD2EE8F" w14:textId="77777777" w:rsidR="00FA7EBF" w:rsidRPr="005F6BEB" w:rsidRDefault="00FA7EBF" w:rsidP="005F6BEB">
            <w:pPr>
              <w:pStyle w:val="ARfintablebodyrightbold"/>
              <w:ind w:right="0"/>
              <w:rPr>
                <w:sz w:val="15"/>
                <w:szCs w:val="15"/>
                <w:lang w:eastAsia="en-AU"/>
              </w:rPr>
            </w:pPr>
            <w:r w:rsidRPr="005F6BEB">
              <w:rPr>
                <w:sz w:val="15"/>
                <w:szCs w:val="15"/>
              </w:rPr>
              <w:t>13.6</w:t>
            </w:r>
          </w:p>
        </w:tc>
        <w:tc>
          <w:tcPr>
            <w:tcW w:w="641" w:type="dxa"/>
            <w:hideMark/>
          </w:tcPr>
          <w:p w14:paraId="0316AB36" w14:textId="77777777" w:rsidR="00FA7EBF" w:rsidRPr="005F6BEB" w:rsidRDefault="00FA7EBF" w:rsidP="005F6BEB">
            <w:pPr>
              <w:pStyle w:val="ARfintablebodyrightbold"/>
              <w:ind w:right="0"/>
              <w:rPr>
                <w:sz w:val="15"/>
                <w:szCs w:val="15"/>
                <w:lang w:eastAsia="en-AU"/>
              </w:rPr>
            </w:pPr>
            <w:r w:rsidRPr="005F6BEB">
              <w:rPr>
                <w:sz w:val="15"/>
                <w:szCs w:val="15"/>
              </w:rPr>
              <w:t>493.9</w:t>
            </w:r>
          </w:p>
        </w:tc>
        <w:tc>
          <w:tcPr>
            <w:tcW w:w="641" w:type="dxa"/>
            <w:hideMark/>
          </w:tcPr>
          <w:p w14:paraId="17B2E021" w14:textId="77777777" w:rsidR="00FA7EBF" w:rsidRPr="005F6BEB" w:rsidRDefault="00FA7EBF" w:rsidP="005F6BEB">
            <w:pPr>
              <w:pStyle w:val="ARfintablebodyrightbold"/>
              <w:ind w:right="0"/>
              <w:rPr>
                <w:sz w:val="15"/>
                <w:szCs w:val="15"/>
                <w:lang w:eastAsia="en-AU"/>
              </w:rPr>
            </w:pPr>
            <w:r w:rsidRPr="005F6BEB">
              <w:rPr>
                <w:sz w:val="15"/>
                <w:szCs w:val="15"/>
              </w:rPr>
              <w:t>4.4</w:t>
            </w:r>
          </w:p>
        </w:tc>
        <w:tc>
          <w:tcPr>
            <w:tcW w:w="641" w:type="dxa"/>
            <w:hideMark/>
          </w:tcPr>
          <w:p w14:paraId="444D1D98" w14:textId="77777777" w:rsidR="00FA7EBF" w:rsidRPr="005F6BEB" w:rsidRDefault="00FA7EBF" w:rsidP="005F6BEB">
            <w:pPr>
              <w:pStyle w:val="ARfintablebodyrightbold"/>
              <w:ind w:right="0"/>
              <w:rPr>
                <w:sz w:val="15"/>
                <w:szCs w:val="15"/>
                <w:lang w:eastAsia="en-AU"/>
              </w:rPr>
            </w:pPr>
            <w:r w:rsidRPr="005F6BEB">
              <w:rPr>
                <w:sz w:val="15"/>
                <w:szCs w:val="15"/>
              </w:rPr>
              <w:t>1.2</w:t>
            </w:r>
          </w:p>
        </w:tc>
        <w:tc>
          <w:tcPr>
            <w:tcW w:w="641" w:type="dxa"/>
            <w:hideMark/>
          </w:tcPr>
          <w:p w14:paraId="5D752543" w14:textId="77777777" w:rsidR="00FA7EBF" w:rsidRPr="005F6BEB" w:rsidRDefault="00FA7EBF" w:rsidP="005F6BEB">
            <w:pPr>
              <w:pStyle w:val="ARfintablebodyrightbold"/>
              <w:ind w:right="0"/>
              <w:rPr>
                <w:sz w:val="15"/>
                <w:szCs w:val="15"/>
                <w:lang w:eastAsia="en-AU"/>
              </w:rPr>
            </w:pPr>
            <w:r w:rsidRPr="005F6BEB">
              <w:rPr>
                <w:sz w:val="15"/>
                <w:szCs w:val="15"/>
              </w:rPr>
              <w:t>0.5</w:t>
            </w:r>
          </w:p>
        </w:tc>
        <w:tc>
          <w:tcPr>
            <w:tcW w:w="641" w:type="dxa"/>
            <w:hideMark/>
          </w:tcPr>
          <w:p w14:paraId="72235B65" w14:textId="77777777" w:rsidR="00FA7EBF" w:rsidRPr="005F6BEB" w:rsidRDefault="00FA7EBF" w:rsidP="005F6BEB">
            <w:pPr>
              <w:pStyle w:val="ARfintablebodyrightbold"/>
              <w:ind w:right="0"/>
              <w:rPr>
                <w:sz w:val="15"/>
                <w:szCs w:val="15"/>
                <w:lang w:eastAsia="en-AU"/>
              </w:rPr>
            </w:pPr>
            <w:r w:rsidRPr="005F6BEB">
              <w:rPr>
                <w:sz w:val="15"/>
                <w:szCs w:val="15"/>
              </w:rPr>
              <w:t>–</w:t>
            </w:r>
          </w:p>
        </w:tc>
        <w:tc>
          <w:tcPr>
            <w:tcW w:w="641" w:type="dxa"/>
            <w:hideMark/>
          </w:tcPr>
          <w:p w14:paraId="51762CA6" w14:textId="77777777" w:rsidR="00FA7EBF" w:rsidRPr="005F6BEB" w:rsidRDefault="00FA7EBF" w:rsidP="005F6BEB">
            <w:pPr>
              <w:pStyle w:val="ARfintablebodyrightbold"/>
              <w:ind w:right="0"/>
              <w:rPr>
                <w:sz w:val="15"/>
                <w:szCs w:val="15"/>
                <w:lang w:eastAsia="en-AU"/>
              </w:rPr>
            </w:pPr>
            <w:r w:rsidRPr="005F6BEB">
              <w:rPr>
                <w:sz w:val="15"/>
                <w:szCs w:val="15"/>
              </w:rPr>
              <w:t>–</w:t>
            </w:r>
          </w:p>
        </w:tc>
        <w:tc>
          <w:tcPr>
            <w:tcW w:w="641" w:type="dxa"/>
            <w:hideMark/>
          </w:tcPr>
          <w:p w14:paraId="3D9BB8FE" w14:textId="77777777" w:rsidR="00FA7EBF" w:rsidRPr="005F6BEB" w:rsidRDefault="00FA7EBF" w:rsidP="005F6BEB">
            <w:pPr>
              <w:pStyle w:val="ARfintablebodyrightbold"/>
              <w:ind w:right="0"/>
              <w:rPr>
                <w:sz w:val="15"/>
                <w:szCs w:val="15"/>
                <w:lang w:eastAsia="en-AU"/>
              </w:rPr>
            </w:pPr>
            <w:r w:rsidRPr="005F6BEB">
              <w:rPr>
                <w:sz w:val="15"/>
                <w:szCs w:val="15"/>
              </w:rPr>
              <w:t>–</w:t>
            </w:r>
          </w:p>
        </w:tc>
        <w:tc>
          <w:tcPr>
            <w:tcW w:w="641" w:type="dxa"/>
            <w:hideMark/>
          </w:tcPr>
          <w:p w14:paraId="1A14B634" w14:textId="77777777" w:rsidR="00FA7EBF" w:rsidRPr="005F6BEB" w:rsidRDefault="00FA7EBF" w:rsidP="005F6BEB">
            <w:pPr>
              <w:pStyle w:val="ARfintablebodyrightbold"/>
              <w:ind w:right="0"/>
              <w:rPr>
                <w:sz w:val="15"/>
                <w:szCs w:val="15"/>
                <w:lang w:eastAsia="en-AU"/>
              </w:rPr>
            </w:pPr>
            <w:r w:rsidRPr="005F6BEB">
              <w:rPr>
                <w:sz w:val="15"/>
                <w:szCs w:val="15"/>
              </w:rPr>
              <w:t>–</w:t>
            </w:r>
          </w:p>
        </w:tc>
        <w:tc>
          <w:tcPr>
            <w:tcW w:w="839" w:type="dxa"/>
            <w:hideMark/>
          </w:tcPr>
          <w:p w14:paraId="279E98C6" w14:textId="77777777" w:rsidR="00FA7EBF" w:rsidRPr="005F6BEB" w:rsidRDefault="00FA7EBF" w:rsidP="005F6BEB">
            <w:pPr>
              <w:pStyle w:val="ARfintablebodyrightbold"/>
              <w:ind w:right="0"/>
              <w:rPr>
                <w:sz w:val="15"/>
                <w:szCs w:val="15"/>
                <w:lang w:eastAsia="en-AU"/>
              </w:rPr>
            </w:pPr>
            <w:r w:rsidRPr="005F6BEB">
              <w:rPr>
                <w:sz w:val="15"/>
                <w:szCs w:val="15"/>
              </w:rPr>
              <w:t>10,796.9</w:t>
            </w:r>
          </w:p>
        </w:tc>
      </w:tr>
      <w:tr w:rsidR="00FA7EBF" w14:paraId="4CCEBDBA" w14:textId="77777777" w:rsidTr="007B207C">
        <w:trPr>
          <w:cantSplit/>
        </w:trPr>
        <w:tc>
          <w:tcPr>
            <w:tcW w:w="3209" w:type="dxa"/>
            <w:hideMark/>
          </w:tcPr>
          <w:p w14:paraId="5DBCDDED" w14:textId="77777777" w:rsidR="00FA7EBF" w:rsidRPr="005F6BEB" w:rsidRDefault="00FA7EBF" w:rsidP="007B207C">
            <w:pPr>
              <w:pStyle w:val="ARfintablebodybold"/>
              <w:rPr>
                <w:sz w:val="15"/>
                <w:szCs w:val="15"/>
                <w:lang w:eastAsia="en-AU"/>
              </w:rPr>
            </w:pPr>
            <w:r w:rsidRPr="005F6BEB">
              <w:rPr>
                <w:sz w:val="15"/>
                <w:szCs w:val="15"/>
              </w:rPr>
              <w:t>Total administered net result from transactions</w:t>
            </w:r>
          </w:p>
        </w:tc>
        <w:tc>
          <w:tcPr>
            <w:tcW w:w="796" w:type="dxa"/>
            <w:hideMark/>
          </w:tcPr>
          <w:p w14:paraId="319AAFB4" w14:textId="77777777" w:rsidR="00FA7EBF" w:rsidRPr="005F6BEB" w:rsidRDefault="00FA7EBF" w:rsidP="005F6BEB">
            <w:pPr>
              <w:pStyle w:val="ARfintablebodyrightbold"/>
              <w:ind w:right="0"/>
              <w:rPr>
                <w:sz w:val="15"/>
                <w:szCs w:val="15"/>
                <w:lang w:eastAsia="en-AU"/>
              </w:rPr>
            </w:pPr>
            <w:r w:rsidRPr="005F6BEB">
              <w:rPr>
                <w:sz w:val="15"/>
                <w:szCs w:val="15"/>
              </w:rPr>
              <w:t>(11.6)</w:t>
            </w:r>
          </w:p>
        </w:tc>
        <w:tc>
          <w:tcPr>
            <w:tcW w:w="641" w:type="dxa"/>
            <w:hideMark/>
          </w:tcPr>
          <w:p w14:paraId="165367BB" w14:textId="77777777" w:rsidR="00FA7EBF" w:rsidRPr="005F6BEB" w:rsidRDefault="00FA7EBF" w:rsidP="005F6BEB">
            <w:pPr>
              <w:pStyle w:val="ARfintablebodyrightbold"/>
              <w:ind w:right="0"/>
              <w:rPr>
                <w:sz w:val="15"/>
                <w:szCs w:val="15"/>
                <w:lang w:eastAsia="en-AU"/>
              </w:rPr>
            </w:pPr>
            <w:r w:rsidRPr="005F6BEB">
              <w:rPr>
                <w:sz w:val="15"/>
                <w:szCs w:val="15"/>
              </w:rPr>
              <w:t>–</w:t>
            </w:r>
          </w:p>
        </w:tc>
        <w:tc>
          <w:tcPr>
            <w:tcW w:w="641" w:type="dxa"/>
            <w:hideMark/>
          </w:tcPr>
          <w:p w14:paraId="18BF3486" w14:textId="77777777" w:rsidR="00FA7EBF" w:rsidRPr="005F6BEB" w:rsidRDefault="00FA7EBF" w:rsidP="005F6BEB">
            <w:pPr>
              <w:pStyle w:val="ARfintablebodyrightbold"/>
              <w:ind w:right="0"/>
              <w:rPr>
                <w:sz w:val="15"/>
                <w:szCs w:val="15"/>
                <w:lang w:eastAsia="en-AU"/>
              </w:rPr>
            </w:pPr>
            <w:r w:rsidRPr="005F6BEB">
              <w:rPr>
                <w:sz w:val="15"/>
                <w:szCs w:val="15"/>
              </w:rPr>
              <w:t>–</w:t>
            </w:r>
          </w:p>
        </w:tc>
        <w:tc>
          <w:tcPr>
            <w:tcW w:w="641" w:type="dxa"/>
            <w:hideMark/>
          </w:tcPr>
          <w:p w14:paraId="7A4EA602" w14:textId="77777777" w:rsidR="00FA7EBF" w:rsidRPr="005F6BEB" w:rsidRDefault="00FA7EBF" w:rsidP="005F6BEB">
            <w:pPr>
              <w:pStyle w:val="ARfintablebodyrightbold"/>
              <w:ind w:right="0"/>
              <w:rPr>
                <w:sz w:val="15"/>
                <w:szCs w:val="15"/>
                <w:lang w:eastAsia="en-AU"/>
              </w:rPr>
            </w:pPr>
            <w:r w:rsidRPr="005F6BEB">
              <w:rPr>
                <w:sz w:val="15"/>
                <w:szCs w:val="15"/>
              </w:rPr>
              <w:t>–</w:t>
            </w:r>
          </w:p>
        </w:tc>
        <w:tc>
          <w:tcPr>
            <w:tcW w:w="641" w:type="dxa"/>
            <w:hideMark/>
          </w:tcPr>
          <w:p w14:paraId="364396CF" w14:textId="77777777" w:rsidR="00FA7EBF" w:rsidRPr="005F6BEB" w:rsidRDefault="00FA7EBF" w:rsidP="005F6BEB">
            <w:pPr>
              <w:pStyle w:val="ARfintablebodyrightbold"/>
              <w:ind w:right="0"/>
              <w:rPr>
                <w:sz w:val="15"/>
                <w:szCs w:val="15"/>
                <w:lang w:eastAsia="en-AU"/>
              </w:rPr>
            </w:pPr>
            <w:r w:rsidRPr="005F6BEB">
              <w:rPr>
                <w:sz w:val="15"/>
                <w:szCs w:val="15"/>
              </w:rPr>
              <w:t>–</w:t>
            </w:r>
          </w:p>
        </w:tc>
        <w:tc>
          <w:tcPr>
            <w:tcW w:w="641" w:type="dxa"/>
            <w:hideMark/>
          </w:tcPr>
          <w:p w14:paraId="59FD553F" w14:textId="77777777" w:rsidR="00FA7EBF" w:rsidRPr="005F6BEB" w:rsidRDefault="00FA7EBF" w:rsidP="005F6BEB">
            <w:pPr>
              <w:pStyle w:val="ARfintablebodyrightbold"/>
              <w:ind w:right="0"/>
              <w:rPr>
                <w:sz w:val="15"/>
                <w:szCs w:val="15"/>
                <w:lang w:eastAsia="en-AU"/>
              </w:rPr>
            </w:pPr>
            <w:r w:rsidRPr="005F6BEB">
              <w:rPr>
                <w:sz w:val="15"/>
                <w:szCs w:val="15"/>
              </w:rPr>
              <w:t>–</w:t>
            </w:r>
          </w:p>
        </w:tc>
        <w:tc>
          <w:tcPr>
            <w:tcW w:w="641" w:type="dxa"/>
            <w:hideMark/>
          </w:tcPr>
          <w:p w14:paraId="66BC27C1" w14:textId="77777777" w:rsidR="00FA7EBF" w:rsidRPr="005F6BEB" w:rsidRDefault="00FA7EBF" w:rsidP="005F6BEB">
            <w:pPr>
              <w:pStyle w:val="ARfintablebodyrightbold"/>
              <w:ind w:right="0"/>
              <w:rPr>
                <w:sz w:val="15"/>
                <w:szCs w:val="15"/>
                <w:lang w:eastAsia="en-AU"/>
              </w:rPr>
            </w:pPr>
            <w:r w:rsidRPr="005F6BEB">
              <w:rPr>
                <w:sz w:val="15"/>
                <w:szCs w:val="15"/>
              </w:rPr>
              <w:t>–</w:t>
            </w:r>
          </w:p>
        </w:tc>
        <w:tc>
          <w:tcPr>
            <w:tcW w:w="641" w:type="dxa"/>
            <w:hideMark/>
          </w:tcPr>
          <w:p w14:paraId="5B4DF718" w14:textId="77777777" w:rsidR="00FA7EBF" w:rsidRPr="005F6BEB" w:rsidRDefault="00FA7EBF" w:rsidP="005F6BEB">
            <w:pPr>
              <w:pStyle w:val="ARfintablebodyrightbold"/>
              <w:ind w:right="0"/>
              <w:rPr>
                <w:sz w:val="15"/>
                <w:szCs w:val="15"/>
                <w:lang w:eastAsia="en-AU"/>
              </w:rPr>
            </w:pPr>
            <w:r w:rsidRPr="005F6BEB">
              <w:rPr>
                <w:sz w:val="15"/>
                <w:szCs w:val="15"/>
              </w:rPr>
              <w:t>–</w:t>
            </w:r>
          </w:p>
        </w:tc>
        <w:tc>
          <w:tcPr>
            <w:tcW w:w="641" w:type="dxa"/>
            <w:hideMark/>
          </w:tcPr>
          <w:p w14:paraId="590D47B5" w14:textId="77777777" w:rsidR="00FA7EBF" w:rsidRPr="005F6BEB" w:rsidRDefault="00FA7EBF" w:rsidP="005F6BEB">
            <w:pPr>
              <w:pStyle w:val="ARfintablebodyrightbold"/>
              <w:ind w:right="0"/>
              <w:rPr>
                <w:sz w:val="15"/>
                <w:szCs w:val="15"/>
                <w:lang w:eastAsia="en-AU"/>
              </w:rPr>
            </w:pPr>
            <w:r w:rsidRPr="005F6BEB">
              <w:rPr>
                <w:sz w:val="15"/>
                <w:szCs w:val="15"/>
              </w:rPr>
              <w:t>40.6</w:t>
            </w:r>
          </w:p>
        </w:tc>
        <w:tc>
          <w:tcPr>
            <w:tcW w:w="641" w:type="dxa"/>
            <w:hideMark/>
          </w:tcPr>
          <w:p w14:paraId="6D84CB7C" w14:textId="77777777" w:rsidR="00FA7EBF" w:rsidRPr="005F6BEB" w:rsidRDefault="00FA7EBF" w:rsidP="005F6BEB">
            <w:pPr>
              <w:pStyle w:val="ARfintablebodyrightbold"/>
              <w:ind w:right="0"/>
              <w:rPr>
                <w:sz w:val="15"/>
                <w:szCs w:val="15"/>
                <w:lang w:eastAsia="en-AU"/>
              </w:rPr>
            </w:pPr>
            <w:r w:rsidRPr="005F6BEB">
              <w:rPr>
                <w:sz w:val="15"/>
                <w:szCs w:val="15"/>
              </w:rPr>
              <w:t>(0.9)</w:t>
            </w:r>
          </w:p>
        </w:tc>
        <w:tc>
          <w:tcPr>
            <w:tcW w:w="641" w:type="dxa"/>
            <w:hideMark/>
          </w:tcPr>
          <w:p w14:paraId="1A7F40FF" w14:textId="77777777" w:rsidR="00FA7EBF" w:rsidRPr="005F6BEB" w:rsidRDefault="00FA7EBF" w:rsidP="005F6BEB">
            <w:pPr>
              <w:pStyle w:val="ARfintablebodyrightbold"/>
              <w:ind w:right="0"/>
              <w:rPr>
                <w:sz w:val="15"/>
                <w:szCs w:val="15"/>
                <w:lang w:eastAsia="en-AU"/>
              </w:rPr>
            </w:pPr>
            <w:r w:rsidRPr="005F6BEB">
              <w:rPr>
                <w:sz w:val="15"/>
                <w:szCs w:val="15"/>
              </w:rPr>
              <w:t>–</w:t>
            </w:r>
          </w:p>
        </w:tc>
        <w:tc>
          <w:tcPr>
            <w:tcW w:w="641" w:type="dxa"/>
            <w:hideMark/>
          </w:tcPr>
          <w:p w14:paraId="1EED2E50" w14:textId="77777777" w:rsidR="00FA7EBF" w:rsidRPr="005F6BEB" w:rsidRDefault="00FA7EBF" w:rsidP="005F6BEB">
            <w:pPr>
              <w:pStyle w:val="ARfintablebodyrightbold"/>
              <w:ind w:right="0"/>
              <w:rPr>
                <w:sz w:val="15"/>
                <w:szCs w:val="15"/>
                <w:lang w:eastAsia="en-AU"/>
              </w:rPr>
            </w:pPr>
            <w:r w:rsidRPr="005F6BEB">
              <w:rPr>
                <w:sz w:val="15"/>
                <w:szCs w:val="15"/>
              </w:rPr>
              <w:t>–</w:t>
            </w:r>
          </w:p>
        </w:tc>
        <w:tc>
          <w:tcPr>
            <w:tcW w:w="641" w:type="dxa"/>
            <w:hideMark/>
          </w:tcPr>
          <w:p w14:paraId="0C1664F8" w14:textId="77777777" w:rsidR="00FA7EBF" w:rsidRPr="005F6BEB" w:rsidRDefault="00FA7EBF" w:rsidP="005F6BEB">
            <w:pPr>
              <w:pStyle w:val="ARfintablebodyrightbold"/>
              <w:ind w:right="0"/>
              <w:rPr>
                <w:sz w:val="15"/>
                <w:szCs w:val="15"/>
                <w:lang w:eastAsia="en-AU"/>
              </w:rPr>
            </w:pPr>
            <w:r w:rsidRPr="005F6BEB">
              <w:rPr>
                <w:sz w:val="15"/>
                <w:szCs w:val="15"/>
              </w:rPr>
              <w:t>–</w:t>
            </w:r>
          </w:p>
        </w:tc>
        <w:tc>
          <w:tcPr>
            <w:tcW w:w="641" w:type="dxa"/>
            <w:hideMark/>
          </w:tcPr>
          <w:p w14:paraId="522C3085" w14:textId="77777777" w:rsidR="00FA7EBF" w:rsidRPr="005F6BEB" w:rsidRDefault="00FA7EBF" w:rsidP="005F6BEB">
            <w:pPr>
              <w:pStyle w:val="ARfintablebodyrightbold"/>
              <w:ind w:right="0"/>
              <w:rPr>
                <w:sz w:val="15"/>
                <w:szCs w:val="15"/>
                <w:lang w:eastAsia="en-AU"/>
              </w:rPr>
            </w:pPr>
            <w:r w:rsidRPr="005F6BEB">
              <w:rPr>
                <w:sz w:val="15"/>
                <w:szCs w:val="15"/>
              </w:rPr>
              <w:t>–</w:t>
            </w:r>
          </w:p>
        </w:tc>
        <w:tc>
          <w:tcPr>
            <w:tcW w:w="641" w:type="dxa"/>
            <w:hideMark/>
          </w:tcPr>
          <w:p w14:paraId="044E4187" w14:textId="77777777" w:rsidR="00FA7EBF" w:rsidRPr="005F6BEB" w:rsidRDefault="00FA7EBF" w:rsidP="005F6BEB">
            <w:pPr>
              <w:pStyle w:val="ARfintablebodyrightbold"/>
              <w:ind w:right="0"/>
              <w:rPr>
                <w:sz w:val="15"/>
                <w:szCs w:val="15"/>
                <w:lang w:eastAsia="en-AU"/>
              </w:rPr>
            </w:pPr>
            <w:r w:rsidRPr="005F6BEB">
              <w:rPr>
                <w:sz w:val="15"/>
                <w:szCs w:val="15"/>
              </w:rPr>
              <w:t>–</w:t>
            </w:r>
          </w:p>
        </w:tc>
        <w:tc>
          <w:tcPr>
            <w:tcW w:w="641" w:type="dxa"/>
            <w:hideMark/>
          </w:tcPr>
          <w:p w14:paraId="4934780A" w14:textId="77777777" w:rsidR="00FA7EBF" w:rsidRPr="005F6BEB" w:rsidRDefault="00FA7EBF" w:rsidP="005F6BEB">
            <w:pPr>
              <w:pStyle w:val="ARfintablebodyrightbold"/>
              <w:ind w:right="0"/>
              <w:rPr>
                <w:sz w:val="15"/>
                <w:szCs w:val="15"/>
                <w:lang w:eastAsia="en-AU"/>
              </w:rPr>
            </w:pPr>
            <w:r w:rsidRPr="005F6BEB">
              <w:rPr>
                <w:sz w:val="15"/>
                <w:szCs w:val="15"/>
              </w:rPr>
              <w:t>–</w:t>
            </w:r>
          </w:p>
        </w:tc>
        <w:tc>
          <w:tcPr>
            <w:tcW w:w="839" w:type="dxa"/>
            <w:hideMark/>
          </w:tcPr>
          <w:p w14:paraId="7CEDE09C" w14:textId="77777777" w:rsidR="00FA7EBF" w:rsidRPr="005F6BEB" w:rsidRDefault="00FA7EBF" w:rsidP="005F6BEB">
            <w:pPr>
              <w:pStyle w:val="ARfintablebodyrightbold"/>
              <w:ind w:right="0"/>
              <w:rPr>
                <w:sz w:val="15"/>
                <w:szCs w:val="15"/>
                <w:lang w:eastAsia="en-AU"/>
              </w:rPr>
            </w:pPr>
            <w:r w:rsidRPr="005F6BEB">
              <w:rPr>
                <w:sz w:val="15"/>
                <w:szCs w:val="15"/>
              </w:rPr>
              <w:t>28.1</w:t>
            </w:r>
          </w:p>
        </w:tc>
      </w:tr>
      <w:tr w:rsidR="00FA7EBF" w14:paraId="7824DD35" w14:textId="77777777" w:rsidTr="007B207C">
        <w:trPr>
          <w:cantSplit/>
        </w:trPr>
        <w:tc>
          <w:tcPr>
            <w:tcW w:w="14459" w:type="dxa"/>
            <w:gridSpan w:val="18"/>
            <w:tcBorders>
              <w:bottom w:val="single" w:sz="4" w:space="0" w:color="A6A6A6" w:themeColor="background1" w:themeShade="A6"/>
            </w:tcBorders>
            <w:hideMark/>
          </w:tcPr>
          <w:p w14:paraId="3251688E" w14:textId="77777777" w:rsidR="00FA7EBF" w:rsidRPr="006906A1" w:rsidRDefault="00FA7EBF" w:rsidP="007B207C">
            <w:pPr>
              <w:pStyle w:val="ARfintablebodybold"/>
              <w:rPr>
                <w:lang w:eastAsia="en-AU"/>
              </w:rPr>
            </w:pPr>
            <w:r w:rsidRPr="006906A1">
              <w:t>Administered other economic flows included in net result</w:t>
            </w:r>
          </w:p>
        </w:tc>
      </w:tr>
      <w:tr w:rsidR="00FA7EBF" w14:paraId="56733490" w14:textId="77777777" w:rsidTr="007B207C">
        <w:trPr>
          <w:cantSplit/>
        </w:trPr>
        <w:tc>
          <w:tcPr>
            <w:tcW w:w="3209" w:type="dxa"/>
            <w:tcBorders>
              <w:top w:val="single" w:sz="4" w:space="0" w:color="A6A6A6" w:themeColor="background1" w:themeShade="A6"/>
              <w:bottom w:val="single" w:sz="4" w:space="0" w:color="A6A6A6" w:themeColor="background1" w:themeShade="A6"/>
            </w:tcBorders>
            <w:hideMark/>
          </w:tcPr>
          <w:p w14:paraId="3947415A" w14:textId="77777777" w:rsidR="00FA7EBF" w:rsidRPr="005A60A4" w:rsidRDefault="00FA7EBF" w:rsidP="007B207C">
            <w:pPr>
              <w:pStyle w:val="ARfintablebody"/>
              <w:rPr>
                <w:sz w:val="15"/>
                <w:szCs w:val="15"/>
                <w:lang w:eastAsia="en-AU"/>
              </w:rPr>
            </w:pPr>
            <w:r w:rsidRPr="005A60A4">
              <w:rPr>
                <w:sz w:val="15"/>
                <w:szCs w:val="15"/>
              </w:rPr>
              <w:t>Net gain/(loss) on non-financial assets</w:t>
            </w:r>
          </w:p>
        </w:tc>
        <w:tc>
          <w:tcPr>
            <w:tcW w:w="796" w:type="dxa"/>
            <w:tcBorders>
              <w:top w:val="single" w:sz="4" w:space="0" w:color="A6A6A6" w:themeColor="background1" w:themeShade="A6"/>
              <w:bottom w:val="single" w:sz="4" w:space="0" w:color="A6A6A6" w:themeColor="background1" w:themeShade="A6"/>
            </w:tcBorders>
            <w:hideMark/>
          </w:tcPr>
          <w:p w14:paraId="7DA2E059" w14:textId="77777777" w:rsidR="00FA7EBF" w:rsidRPr="005A60A4" w:rsidRDefault="00FA7EBF" w:rsidP="005F6BEB">
            <w:pPr>
              <w:pStyle w:val="ARfintablebodyright"/>
              <w:ind w:right="0"/>
              <w:rPr>
                <w:sz w:val="15"/>
                <w:szCs w:val="15"/>
                <w:lang w:eastAsia="en-AU"/>
              </w:rPr>
            </w:pPr>
            <w:r w:rsidRPr="005A60A4">
              <w:rPr>
                <w:sz w:val="15"/>
                <w:szCs w:val="15"/>
              </w:rPr>
              <w:t>(0.2)</w:t>
            </w:r>
          </w:p>
        </w:tc>
        <w:tc>
          <w:tcPr>
            <w:tcW w:w="641" w:type="dxa"/>
            <w:tcBorders>
              <w:top w:val="single" w:sz="4" w:space="0" w:color="A6A6A6" w:themeColor="background1" w:themeShade="A6"/>
              <w:bottom w:val="single" w:sz="4" w:space="0" w:color="A6A6A6" w:themeColor="background1" w:themeShade="A6"/>
            </w:tcBorders>
            <w:hideMark/>
          </w:tcPr>
          <w:p w14:paraId="6C85C18C"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625F0494"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23F912E"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BB195BD"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36CA293C"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49CB7C5"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0B42B34C"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8E51CF7" w14:textId="77777777" w:rsidR="00FA7EBF" w:rsidRPr="005A60A4" w:rsidRDefault="00FA7EBF" w:rsidP="005F6BEB">
            <w:pPr>
              <w:pStyle w:val="ARfintablebodyright"/>
              <w:ind w:right="0"/>
              <w:rPr>
                <w:sz w:val="15"/>
                <w:szCs w:val="15"/>
                <w:lang w:eastAsia="en-AU"/>
              </w:rPr>
            </w:pPr>
            <w:r w:rsidRPr="005A60A4">
              <w:rPr>
                <w:sz w:val="15"/>
                <w:szCs w:val="15"/>
              </w:rPr>
              <w:t>(0.3)</w:t>
            </w:r>
          </w:p>
        </w:tc>
        <w:tc>
          <w:tcPr>
            <w:tcW w:w="641" w:type="dxa"/>
            <w:tcBorders>
              <w:top w:val="single" w:sz="4" w:space="0" w:color="A6A6A6" w:themeColor="background1" w:themeShade="A6"/>
              <w:bottom w:val="single" w:sz="4" w:space="0" w:color="A6A6A6" w:themeColor="background1" w:themeShade="A6"/>
            </w:tcBorders>
            <w:hideMark/>
          </w:tcPr>
          <w:p w14:paraId="2894E59B" w14:textId="77777777" w:rsidR="00FA7EBF" w:rsidRPr="005A60A4" w:rsidRDefault="00FA7EBF" w:rsidP="005F6BEB">
            <w:pPr>
              <w:pStyle w:val="ARfintablebodyright"/>
              <w:ind w:right="0"/>
              <w:rPr>
                <w:sz w:val="15"/>
                <w:szCs w:val="15"/>
                <w:lang w:eastAsia="en-AU"/>
              </w:rPr>
            </w:pPr>
            <w:r w:rsidRPr="005A60A4">
              <w:rPr>
                <w:sz w:val="15"/>
                <w:szCs w:val="15"/>
              </w:rPr>
              <w:t>(0.1)</w:t>
            </w:r>
          </w:p>
        </w:tc>
        <w:tc>
          <w:tcPr>
            <w:tcW w:w="641" w:type="dxa"/>
            <w:tcBorders>
              <w:top w:val="single" w:sz="4" w:space="0" w:color="A6A6A6" w:themeColor="background1" w:themeShade="A6"/>
              <w:bottom w:val="single" w:sz="4" w:space="0" w:color="A6A6A6" w:themeColor="background1" w:themeShade="A6"/>
            </w:tcBorders>
            <w:hideMark/>
          </w:tcPr>
          <w:p w14:paraId="733935C9"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4D14EFC"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1CD01A34"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7689EBB8"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2424DFD7"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tcBorders>
              <w:top w:val="single" w:sz="4" w:space="0" w:color="A6A6A6" w:themeColor="background1" w:themeShade="A6"/>
              <w:bottom w:val="single" w:sz="4" w:space="0" w:color="A6A6A6" w:themeColor="background1" w:themeShade="A6"/>
            </w:tcBorders>
            <w:hideMark/>
          </w:tcPr>
          <w:p w14:paraId="35AC0775"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839" w:type="dxa"/>
            <w:tcBorders>
              <w:top w:val="single" w:sz="4" w:space="0" w:color="A6A6A6" w:themeColor="background1" w:themeShade="A6"/>
              <w:bottom w:val="single" w:sz="4" w:space="0" w:color="A6A6A6" w:themeColor="background1" w:themeShade="A6"/>
            </w:tcBorders>
            <w:hideMark/>
          </w:tcPr>
          <w:p w14:paraId="23A6F0DE" w14:textId="77777777" w:rsidR="00FA7EBF" w:rsidRPr="005A60A4" w:rsidRDefault="00FA7EBF" w:rsidP="005F6BEB">
            <w:pPr>
              <w:pStyle w:val="ARfintablebodyright"/>
              <w:ind w:right="0"/>
              <w:rPr>
                <w:sz w:val="15"/>
                <w:szCs w:val="15"/>
                <w:lang w:eastAsia="en-AU"/>
              </w:rPr>
            </w:pPr>
            <w:r w:rsidRPr="005A60A4">
              <w:rPr>
                <w:sz w:val="15"/>
                <w:szCs w:val="15"/>
              </w:rPr>
              <w:t>(0.6)</w:t>
            </w:r>
          </w:p>
        </w:tc>
      </w:tr>
      <w:tr w:rsidR="00FA7EBF" w14:paraId="079765D6" w14:textId="77777777" w:rsidTr="007B207C">
        <w:trPr>
          <w:cantSplit/>
        </w:trPr>
        <w:tc>
          <w:tcPr>
            <w:tcW w:w="3209" w:type="dxa"/>
            <w:hideMark/>
          </w:tcPr>
          <w:p w14:paraId="1CB44FD5" w14:textId="77777777" w:rsidR="00FA7EBF" w:rsidRPr="005A60A4" w:rsidRDefault="00FA7EBF" w:rsidP="007B207C">
            <w:pPr>
              <w:pStyle w:val="ARfintablebody"/>
              <w:rPr>
                <w:sz w:val="15"/>
                <w:szCs w:val="15"/>
                <w:lang w:eastAsia="en-AU"/>
              </w:rPr>
            </w:pPr>
            <w:r w:rsidRPr="005A60A4">
              <w:rPr>
                <w:sz w:val="15"/>
                <w:szCs w:val="15"/>
              </w:rPr>
              <w:t>Other gains/(losses) from other economic flows</w:t>
            </w:r>
          </w:p>
        </w:tc>
        <w:tc>
          <w:tcPr>
            <w:tcW w:w="796" w:type="dxa"/>
            <w:hideMark/>
          </w:tcPr>
          <w:p w14:paraId="4C6757D9"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hideMark/>
          </w:tcPr>
          <w:p w14:paraId="33A205E3"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hideMark/>
          </w:tcPr>
          <w:p w14:paraId="69C89813"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hideMark/>
          </w:tcPr>
          <w:p w14:paraId="4F7EFD19"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hideMark/>
          </w:tcPr>
          <w:p w14:paraId="55C08D02"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hideMark/>
          </w:tcPr>
          <w:p w14:paraId="56EE7944"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hideMark/>
          </w:tcPr>
          <w:p w14:paraId="15AF02FE"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hideMark/>
          </w:tcPr>
          <w:p w14:paraId="76128337"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hideMark/>
          </w:tcPr>
          <w:p w14:paraId="3F40D6FB" w14:textId="77777777" w:rsidR="00FA7EBF" w:rsidRPr="005A60A4" w:rsidRDefault="00FA7EBF" w:rsidP="005F6BEB">
            <w:pPr>
              <w:pStyle w:val="ARfintablebodyright"/>
              <w:ind w:right="0"/>
              <w:rPr>
                <w:sz w:val="15"/>
                <w:szCs w:val="15"/>
                <w:lang w:eastAsia="en-AU"/>
              </w:rPr>
            </w:pPr>
            <w:r w:rsidRPr="005A60A4">
              <w:rPr>
                <w:sz w:val="15"/>
                <w:szCs w:val="15"/>
              </w:rPr>
              <w:t>(0.1)</w:t>
            </w:r>
          </w:p>
        </w:tc>
        <w:tc>
          <w:tcPr>
            <w:tcW w:w="641" w:type="dxa"/>
            <w:hideMark/>
          </w:tcPr>
          <w:p w14:paraId="35843AB8"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hideMark/>
          </w:tcPr>
          <w:p w14:paraId="2CCD6F06"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hideMark/>
          </w:tcPr>
          <w:p w14:paraId="60290C46"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hideMark/>
          </w:tcPr>
          <w:p w14:paraId="21C8C421"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hideMark/>
          </w:tcPr>
          <w:p w14:paraId="2E18F2A4"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hideMark/>
          </w:tcPr>
          <w:p w14:paraId="0E215074"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641" w:type="dxa"/>
            <w:hideMark/>
          </w:tcPr>
          <w:p w14:paraId="2F182192" w14:textId="77777777" w:rsidR="00FA7EBF" w:rsidRPr="005A60A4" w:rsidRDefault="00FA7EBF" w:rsidP="005F6BEB">
            <w:pPr>
              <w:pStyle w:val="ARfintablebodyright"/>
              <w:ind w:right="0"/>
              <w:rPr>
                <w:sz w:val="15"/>
                <w:szCs w:val="15"/>
                <w:lang w:eastAsia="en-AU"/>
              </w:rPr>
            </w:pPr>
            <w:r w:rsidRPr="005A60A4">
              <w:rPr>
                <w:sz w:val="15"/>
                <w:szCs w:val="15"/>
              </w:rPr>
              <w:t>–</w:t>
            </w:r>
          </w:p>
        </w:tc>
        <w:tc>
          <w:tcPr>
            <w:tcW w:w="839" w:type="dxa"/>
            <w:hideMark/>
          </w:tcPr>
          <w:p w14:paraId="4BCCB70E" w14:textId="77777777" w:rsidR="00FA7EBF" w:rsidRPr="005A60A4" w:rsidRDefault="00FA7EBF" w:rsidP="005F6BEB">
            <w:pPr>
              <w:pStyle w:val="ARfintablebodyright"/>
              <w:ind w:right="0"/>
              <w:rPr>
                <w:sz w:val="15"/>
                <w:szCs w:val="15"/>
                <w:lang w:eastAsia="en-AU"/>
              </w:rPr>
            </w:pPr>
            <w:r w:rsidRPr="005A60A4">
              <w:rPr>
                <w:sz w:val="15"/>
                <w:szCs w:val="15"/>
              </w:rPr>
              <w:t>(0.2)</w:t>
            </w:r>
          </w:p>
        </w:tc>
      </w:tr>
      <w:tr w:rsidR="00FA7EBF" w14:paraId="31B58C37" w14:textId="77777777" w:rsidTr="007B207C">
        <w:trPr>
          <w:cantSplit/>
        </w:trPr>
        <w:tc>
          <w:tcPr>
            <w:tcW w:w="3209" w:type="dxa"/>
            <w:hideMark/>
          </w:tcPr>
          <w:p w14:paraId="562A7CBC" w14:textId="77777777" w:rsidR="00FA7EBF" w:rsidRPr="005A60A4" w:rsidRDefault="00FA7EBF" w:rsidP="007B207C">
            <w:pPr>
              <w:pStyle w:val="ARfintablebodybold"/>
              <w:rPr>
                <w:sz w:val="15"/>
                <w:szCs w:val="15"/>
                <w:lang w:eastAsia="en-AU"/>
              </w:rPr>
            </w:pPr>
            <w:r w:rsidRPr="005A60A4">
              <w:rPr>
                <w:sz w:val="15"/>
                <w:szCs w:val="15"/>
              </w:rPr>
              <w:t>Total administered other economic flows</w:t>
            </w:r>
          </w:p>
        </w:tc>
        <w:tc>
          <w:tcPr>
            <w:tcW w:w="796" w:type="dxa"/>
            <w:hideMark/>
          </w:tcPr>
          <w:p w14:paraId="370028C4" w14:textId="77777777" w:rsidR="00FA7EBF" w:rsidRPr="005A60A4" w:rsidRDefault="00FA7EBF" w:rsidP="005F6BEB">
            <w:pPr>
              <w:pStyle w:val="ARfintablebodyrightbold"/>
              <w:ind w:right="0"/>
              <w:rPr>
                <w:sz w:val="15"/>
                <w:szCs w:val="15"/>
                <w:lang w:eastAsia="en-AU"/>
              </w:rPr>
            </w:pPr>
            <w:r w:rsidRPr="005A60A4">
              <w:rPr>
                <w:sz w:val="15"/>
                <w:szCs w:val="15"/>
              </w:rPr>
              <w:t>(0.2)</w:t>
            </w:r>
          </w:p>
        </w:tc>
        <w:tc>
          <w:tcPr>
            <w:tcW w:w="641" w:type="dxa"/>
            <w:hideMark/>
          </w:tcPr>
          <w:p w14:paraId="1C28B355"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60748C55"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72388B84"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7E4D43B5"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752B6139"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1C3DCC42"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09D1BFE5"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4EBB6558" w14:textId="77777777" w:rsidR="00FA7EBF" w:rsidRPr="005A60A4" w:rsidRDefault="00FA7EBF" w:rsidP="005F6BEB">
            <w:pPr>
              <w:pStyle w:val="ARfintablebodyrightbold"/>
              <w:ind w:right="0"/>
              <w:rPr>
                <w:sz w:val="15"/>
                <w:szCs w:val="15"/>
                <w:lang w:eastAsia="en-AU"/>
              </w:rPr>
            </w:pPr>
            <w:r w:rsidRPr="005A60A4">
              <w:rPr>
                <w:sz w:val="15"/>
                <w:szCs w:val="15"/>
              </w:rPr>
              <w:t>(0.4)</w:t>
            </w:r>
          </w:p>
        </w:tc>
        <w:tc>
          <w:tcPr>
            <w:tcW w:w="641" w:type="dxa"/>
            <w:hideMark/>
          </w:tcPr>
          <w:p w14:paraId="062BC0CE" w14:textId="77777777" w:rsidR="00FA7EBF" w:rsidRPr="005A60A4" w:rsidRDefault="00FA7EBF" w:rsidP="005F6BEB">
            <w:pPr>
              <w:pStyle w:val="ARfintablebodyrightbold"/>
              <w:ind w:right="0"/>
              <w:rPr>
                <w:sz w:val="15"/>
                <w:szCs w:val="15"/>
                <w:lang w:eastAsia="en-AU"/>
              </w:rPr>
            </w:pPr>
            <w:r w:rsidRPr="005A60A4">
              <w:rPr>
                <w:sz w:val="15"/>
                <w:szCs w:val="15"/>
              </w:rPr>
              <w:t>(0.1)</w:t>
            </w:r>
          </w:p>
        </w:tc>
        <w:tc>
          <w:tcPr>
            <w:tcW w:w="641" w:type="dxa"/>
            <w:hideMark/>
          </w:tcPr>
          <w:p w14:paraId="57905E86"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588723A7"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536FA9DD"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7DD46836"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58AED328"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45E782F7"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839" w:type="dxa"/>
            <w:hideMark/>
          </w:tcPr>
          <w:p w14:paraId="5D982AF9" w14:textId="77777777" w:rsidR="00FA7EBF" w:rsidRPr="005A60A4" w:rsidRDefault="00FA7EBF" w:rsidP="005F6BEB">
            <w:pPr>
              <w:pStyle w:val="ARfintablebodyrightbold"/>
              <w:ind w:right="0"/>
              <w:rPr>
                <w:sz w:val="15"/>
                <w:szCs w:val="15"/>
                <w:lang w:eastAsia="en-AU"/>
              </w:rPr>
            </w:pPr>
            <w:r w:rsidRPr="005A60A4">
              <w:rPr>
                <w:sz w:val="15"/>
                <w:szCs w:val="15"/>
              </w:rPr>
              <w:t>(0.7)</w:t>
            </w:r>
          </w:p>
        </w:tc>
      </w:tr>
      <w:tr w:rsidR="00FA7EBF" w14:paraId="32778491" w14:textId="77777777" w:rsidTr="007B207C">
        <w:trPr>
          <w:cantSplit/>
        </w:trPr>
        <w:tc>
          <w:tcPr>
            <w:tcW w:w="3209" w:type="dxa"/>
            <w:hideMark/>
          </w:tcPr>
          <w:p w14:paraId="1CD0FA31" w14:textId="77777777" w:rsidR="00FA7EBF" w:rsidRPr="005A60A4" w:rsidRDefault="00FA7EBF" w:rsidP="007B207C">
            <w:pPr>
              <w:pStyle w:val="ARfintablebodybold"/>
              <w:rPr>
                <w:sz w:val="15"/>
                <w:szCs w:val="15"/>
                <w:lang w:eastAsia="en-AU"/>
              </w:rPr>
            </w:pPr>
            <w:r w:rsidRPr="005A60A4">
              <w:rPr>
                <w:sz w:val="15"/>
                <w:szCs w:val="15"/>
              </w:rPr>
              <w:t>Administered net result</w:t>
            </w:r>
          </w:p>
        </w:tc>
        <w:tc>
          <w:tcPr>
            <w:tcW w:w="796" w:type="dxa"/>
            <w:hideMark/>
          </w:tcPr>
          <w:p w14:paraId="181AE5F9" w14:textId="77777777" w:rsidR="00FA7EBF" w:rsidRPr="005A60A4" w:rsidRDefault="00FA7EBF" w:rsidP="005F6BEB">
            <w:pPr>
              <w:pStyle w:val="ARfintablebodyrightbold"/>
              <w:ind w:right="0"/>
              <w:rPr>
                <w:sz w:val="15"/>
                <w:szCs w:val="15"/>
                <w:lang w:eastAsia="en-AU"/>
              </w:rPr>
            </w:pPr>
            <w:r w:rsidRPr="005A60A4">
              <w:rPr>
                <w:sz w:val="15"/>
                <w:szCs w:val="15"/>
              </w:rPr>
              <w:t>(11.7)</w:t>
            </w:r>
          </w:p>
        </w:tc>
        <w:tc>
          <w:tcPr>
            <w:tcW w:w="641" w:type="dxa"/>
            <w:hideMark/>
          </w:tcPr>
          <w:p w14:paraId="5AF52F76"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0B2AAFF1"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7FAC5D81"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128C1D78"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245344F6"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298945F8"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124E0234"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55B746D4" w14:textId="77777777" w:rsidR="00FA7EBF" w:rsidRPr="005A60A4" w:rsidRDefault="00FA7EBF" w:rsidP="005F6BEB">
            <w:pPr>
              <w:pStyle w:val="ARfintablebodyrightbold"/>
              <w:ind w:right="0"/>
              <w:rPr>
                <w:sz w:val="15"/>
                <w:szCs w:val="15"/>
                <w:lang w:eastAsia="en-AU"/>
              </w:rPr>
            </w:pPr>
            <w:r w:rsidRPr="005A60A4">
              <w:rPr>
                <w:sz w:val="15"/>
                <w:szCs w:val="15"/>
              </w:rPr>
              <w:t>40.2</w:t>
            </w:r>
          </w:p>
        </w:tc>
        <w:tc>
          <w:tcPr>
            <w:tcW w:w="641" w:type="dxa"/>
            <w:hideMark/>
          </w:tcPr>
          <w:p w14:paraId="732506DC" w14:textId="77777777" w:rsidR="00FA7EBF" w:rsidRPr="005A60A4" w:rsidRDefault="00FA7EBF" w:rsidP="005F6BEB">
            <w:pPr>
              <w:pStyle w:val="ARfintablebodyrightbold"/>
              <w:ind w:right="0"/>
              <w:rPr>
                <w:sz w:val="15"/>
                <w:szCs w:val="15"/>
                <w:lang w:eastAsia="en-AU"/>
              </w:rPr>
            </w:pPr>
            <w:r w:rsidRPr="005A60A4">
              <w:rPr>
                <w:sz w:val="15"/>
                <w:szCs w:val="15"/>
              </w:rPr>
              <w:t>(1.0)</w:t>
            </w:r>
          </w:p>
        </w:tc>
        <w:tc>
          <w:tcPr>
            <w:tcW w:w="641" w:type="dxa"/>
            <w:hideMark/>
          </w:tcPr>
          <w:p w14:paraId="6E850993"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00CD3CB9"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5C9F4379"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64EC509F"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58DDDCFF"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641" w:type="dxa"/>
            <w:hideMark/>
          </w:tcPr>
          <w:p w14:paraId="5273F86E" w14:textId="77777777" w:rsidR="00FA7EBF" w:rsidRPr="005A60A4" w:rsidRDefault="00FA7EBF" w:rsidP="005F6BEB">
            <w:pPr>
              <w:pStyle w:val="ARfintablebodyrightbold"/>
              <w:ind w:right="0"/>
              <w:rPr>
                <w:sz w:val="15"/>
                <w:szCs w:val="15"/>
                <w:lang w:eastAsia="en-AU"/>
              </w:rPr>
            </w:pPr>
            <w:r w:rsidRPr="005A60A4">
              <w:rPr>
                <w:sz w:val="15"/>
                <w:szCs w:val="15"/>
              </w:rPr>
              <w:t>–</w:t>
            </w:r>
          </w:p>
        </w:tc>
        <w:tc>
          <w:tcPr>
            <w:tcW w:w="839" w:type="dxa"/>
            <w:hideMark/>
          </w:tcPr>
          <w:p w14:paraId="460E6CFA" w14:textId="77777777" w:rsidR="00FA7EBF" w:rsidRPr="005A60A4" w:rsidRDefault="00FA7EBF" w:rsidP="005F6BEB">
            <w:pPr>
              <w:pStyle w:val="ARfintablebodyrightbold"/>
              <w:ind w:right="0"/>
              <w:rPr>
                <w:rStyle w:val="Strong"/>
                <w:bCs w:val="0"/>
                <w:sz w:val="15"/>
                <w:szCs w:val="15"/>
              </w:rPr>
            </w:pPr>
            <w:r w:rsidRPr="005A60A4">
              <w:rPr>
                <w:sz w:val="15"/>
                <w:szCs w:val="15"/>
              </w:rPr>
              <w:t>27.4</w:t>
            </w:r>
          </w:p>
        </w:tc>
      </w:tr>
    </w:tbl>
    <w:p w14:paraId="2E258F09" w14:textId="77777777" w:rsidR="00FA7EBF" w:rsidRPr="00194D78" w:rsidRDefault="00FA7EBF" w:rsidP="00CA66FD">
      <w:pPr>
        <w:pStyle w:val="ARfintablefootnote"/>
        <w:rPr>
          <w:lang w:eastAsia="en-AU"/>
        </w:rPr>
      </w:pPr>
      <w:r w:rsidRPr="00194D78">
        <w:rPr>
          <w:lang w:eastAsia="en-AU"/>
        </w:rPr>
        <w:t>Notes:</w:t>
      </w:r>
    </w:p>
    <w:p w14:paraId="71ED165F" w14:textId="77777777" w:rsidR="00FA7EBF" w:rsidRPr="00194D78" w:rsidRDefault="00FA7EBF" w:rsidP="00CA66FD">
      <w:pPr>
        <w:pStyle w:val="ARfintablefootnoteindent"/>
      </w:pPr>
      <w:r w:rsidRPr="00194D78">
        <w:t>(i)</w:t>
      </w:r>
      <w:r>
        <w:tab/>
      </w:r>
      <w:r w:rsidRPr="00194D78">
        <w:t>Refer to Note 4.1.1 for output group definitions</w:t>
      </w:r>
    </w:p>
    <w:p w14:paraId="2F802D01" w14:textId="77777777" w:rsidR="00FA7EBF" w:rsidRDefault="00FA7EBF" w:rsidP="00CA66FD">
      <w:pPr>
        <w:pStyle w:val="ARfintablefootnoteindent"/>
      </w:pPr>
      <w:r w:rsidRPr="00194D78">
        <w:t>(ii)</w:t>
      </w:r>
      <w:r>
        <w:tab/>
      </w:r>
      <w:r w:rsidRPr="00194D78">
        <w:t>Output group 1</w:t>
      </w:r>
      <w:r>
        <w:t>6</w:t>
      </w:r>
      <w:r w:rsidRPr="00194D78">
        <w:t>: Shared Services is not applicable for administered activities.</w:t>
      </w:r>
    </w:p>
    <w:p w14:paraId="634B47D1" w14:textId="77777777" w:rsidR="00FA7EBF" w:rsidRDefault="00FA7EBF" w:rsidP="00CA66FD">
      <w:pPr>
        <w:pStyle w:val="ARfintablefootnoteindent"/>
        <w:sectPr w:rsidR="00FA7EBF" w:rsidSect="007B207C">
          <w:footerReference w:type="even" r:id="rId189"/>
          <w:endnotePr>
            <w:numFmt w:val="decimal"/>
          </w:endnotePr>
          <w:pgSz w:w="16838" w:h="11906" w:orient="landscape" w:code="9"/>
          <w:pgMar w:top="1418" w:right="1531" w:bottom="1418" w:left="851" w:header="851" w:footer="851" w:gutter="0"/>
          <w:paperSrc w:first="258"/>
          <w:cols w:space="454"/>
          <w:docGrid w:linePitch="326"/>
        </w:sectPr>
      </w:pPr>
    </w:p>
    <w:tbl>
      <w:tblPr>
        <w:tblStyle w:val="TableGrid"/>
        <w:tblW w:w="9633" w:type="dxa"/>
        <w:tblInd w:w="6" w:type="dxa"/>
        <w:tblLayout w:type="fixed"/>
        <w:tblLook w:val="04A0" w:firstRow="1" w:lastRow="0" w:firstColumn="1" w:lastColumn="0" w:noHBand="0" w:noVBand="1"/>
      </w:tblPr>
      <w:tblGrid>
        <w:gridCol w:w="7310"/>
        <w:gridCol w:w="1158"/>
        <w:gridCol w:w="1165"/>
      </w:tblGrid>
      <w:tr w:rsidR="00FA7EBF" w:rsidRPr="007939DD" w14:paraId="53DEDA7D" w14:textId="77777777" w:rsidTr="007B207C">
        <w:trPr>
          <w:cnfStyle w:val="100000000000" w:firstRow="1" w:lastRow="0" w:firstColumn="0" w:lastColumn="0" w:oddVBand="0" w:evenVBand="0" w:oddHBand="0" w:evenHBand="0" w:firstRowFirstColumn="0" w:firstRowLastColumn="0" w:lastRowFirstColumn="0" w:lastRowLastColumn="0"/>
          <w:tblHeader/>
        </w:trPr>
        <w:tc>
          <w:tcPr>
            <w:tcW w:w="7310" w:type="dxa"/>
          </w:tcPr>
          <w:p w14:paraId="5A0F0F91" w14:textId="77777777" w:rsidR="00FA7EBF" w:rsidRPr="00AD4225" w:rsidRDefault="00FA7EBF" w:rsidP="007B207C">
            <w:pPr>
              <w:pStyle w:val="ARfintablecolhead"/>
            </w:pPr>
            <w:r w:rsidRPr="00AD4225">
              <w:t>(b) Grants and other expense transfers</w:t>
            </w:r>
          </w:p>
        </w:tc>
        <w:tc>
          <w:tcPr>
            <w:tcW w:w="1158" w:type="dxa"/>
            <w:shd w:val="clear" w:color="auto" w:fill="E7E6E6"/>
          </w:tcPr>
          <w:p w14:paraId="0ED50412" w14:textId="77777777" w:rsidR="00FA7EBF" w:rsidRDefault="00FA7EBF" w:rsidP="007B207C">
            <w:pPr>
              <w:pStyle w:val="ARfintablecolheadright"/>
            </w:pPr>
            <w:r>
              <w:t>2019</w:t>
            </w:r>
          </w:p>
          <w:p w14:paraId="1D09EA94" w14:textId="77777777" w:rsidR="00FA7EBF" w:rsidRPr="007939DD" w:rsidRDefault="00FA7EBF" w:rsidP="007B207C">
            <w:pPr>
              <w:pStyle w:val="ARfintablecolheadright"/>
            </w:pPr>
            <w:r>
              <w:t>$M</w:t>
            </w:r>
          </w:p>
        </w:tc>
        <w:tc>
          <w:tcPr>
            <w:tcW w:w="1165" w:type="dxa"/>
          </w:tcPr>
          <w:p w14:paraId="2078E08C" w14:textId="77777777" w:rsidR="00FA7EBF" w:rsidRDefault="00FA7EBF" w:rsidP="007B207C">
            <w:pPr>
              <w:pStyle w:val="ARfintablecolheadright"/>
            </w:pPr>
            <w:r>
              <w:t>2018</w:t>
            </w:r>
          </w:p>
          <w:p w14:paraId="584B17DA" w14:textId="77777777" w:rsidR="00FA7EBF" w:rsidRPr="007939DD" w:rsidRDefault="00FA7EBF" w:rsidP="007B207C">
            <w:pPr>
              <w:pStyle w:val="ARfintablecolheadright"/>
            </w:pPr>
            <w:r>
              <w:t>$M</w:t>
            </w:r>
          </w:p>
        </w:tc>
      </w:tr>
      <w:tr w:rsidR="00FA7EBF" w:rsidRPr="007939DD" w14:paraId="2E957D08" w14:textId="77777777" w:rsidTr="007B207C">
        <w:tc>
          <w:tcPr>
            <w:tcW w:w="9633" w:type="dxa"/>
            <w:gridSpan w:val="3"/>
            <w:tcBorders>
              <w:bottom w:val="single" w:sz="4" w:space="0" w:color="BFBFBF" w:themeColor="accent4"/>
            </w:tcBorders>
          </w:tcPr>
          <w:p w14:paraId="2770D483" w14:textId="77777777" w:rsidR="00FA7EBF" w:rsidRPr="007939DD" w:rsidRDefault="00FA7EBF" w:rsidP="007B207C">
            <w:pPr>
              <w:pStyle w:val="ARfintablebodybold"/>
            </w:pPr>
            <w:r w:rsidRPr="00444622">
              <w:t>Public hospitals</w:t>
            </w:r>
          </w:p>
        </w:tc>
      </w:tr>
      <w:tr w:rsidR="00FA7EBF" w:rsidRPr="007939DD" w14:paraId="6F4BADB1" w14:textId="77777777" w:rsidTr="007B207C">
        <w:tc>
          <w:tcPr>
            <w:tcW w:w="7310" w:type="dxa"/>
            <w:tcBorders>
              <w:top w:val="single" w:sz="4" w:space="0" w:color="BFBFBF" w:themeColor="accent4"/>
              <w:bottom w:val="single" w:sz="4" w:space="0" w:color="BFBFBF" w:themeColor="accent4"/>
            </w:tcBorders>
          </w:tcPr>
          <w:p w14:paraId="37EA74C6" w14:textId="77777777" w:rsidR="00FA7EBF" w:rsidRPr="007939DD" w:rsidRDefault="00FA7EBF" w:rsidP="007B207C">
            <w:pPr>
              <w:pStyle w:val="ARfintablebodyindent"/>
            </w:pPr>
            <w:r w:rsidRPr="00444622">
              <w:t>Monash Health</w:t>
            </w:r>
          </w:p>
        </w:tc>
        <w:tc>
          <w:tcPr>
            <w:tcW w:w="1158" w:type="dxa"/>
            <w:tcBorders>
              <w:top w:val="single" w:sz="4" w:space="0" w:color="BFBFBF" w:themeColor="accent4"/>
              <w:bottom w:val="single" w:sz="4" w:space="0" w:color="BFBFBF" w:themeColor="accent4"/>
            </w:tcBorders>
            <w:shd w:val="clear" w:color="auto" w:fill="E7E6E6"/>
          </w:tcPr>
          <w:p w14:paraId="388E93BE" w14:textId="77777777" w:rsidR="00FA7EBF" w:rsidRPr="007939DD" w:rsidRDefault="00FA7EBF" w:rsidP="007B207C">
            <w:pPr>
              <w:pStyle w:val="ARfintablebodyright"/>
            </w:pPr>
            <w:r w:rsidRPr="00444622">
              <w:t>1,209.5</w:t>
            </w:r>
          </w:p>
        </w:tc>
        <w:tc>
          <w:tcPr>
            <w:tcW w:w="1165" w:type="dxa"/>
            <w:tcBorders>
              <w:top w:val="single" w:sz="4" w:space="0" w:color="BFBFBF" w:themeColor="accent4"/>
              <w:bottom w:val="single" w:sz="4" w:space="0" w:color="BFBFBF" w:themeColor="accent4"/>
            </w:tcBorders>
          </w:tcPr>
          <w:p w14:paraId="50C6A242" w14:textId="77777777" w:rsidR="00FA7EBF" w:rsidRPr="007939DD" w:rsidRDefault="00FA7EBF" w:rsidP="007B207C">
            <w:pPr>
              <w:pStyle w:val="ARfintablebodyright"/>
            </w:pPr>
            <w:r w:rsidRPr="00444622">
              <w:t>1,215.4</w:t>
            </w:r>
          </w:p>
        </w:tc>
      </w:tr>
      <w:tr w:rsidR="00FA7EBF" w:rsidRPr="007939DD" w14:paraId="4DC2D2DB" w14:textId="77777777" w:rsidTr="007B207C">
        <w:tc>
          <w:tcPr>
            <w:tcW w:w="7310" w:type="dxa"/>
            <w:tcBorders>
              <w:top w:val="single" w:sz="4" w:space="0" w:color="BFBFBF" w:themeColor="accent4"/>
              <w:bottom w:val="single" w:sz="4" w:space="0" w:color="BFBFBF" w:themeColor="accent4"/>
            </w:tcBorders>
          </w:tcPr>
          <w:p w14:paraId="455358D6" w14:textId="77777777" w:rsidR="00FA7EBF" w:rsidRPr="007939DD" w:rsidRDefault="00FA7EBF" w:rsidP="007B207C">
            <w:pPr>
              <w:pStyle w:val="ARfintablebodyindent"/>
            </w:pPr>
            <w:r w:rsidRPr="00444622">
              <w:t>Alfred Health</w:t>
            </w:r>
          </w:p>
        </w:tc>
        <w:tc>
          <w:tcPr>
            <w:tcW w:w="1158" w:type="dxa"/>
            <w:tcBorders>
              <w:top w:val="single" w:sz="4" w:space="0" w:color="BFBFBF" w:themeColor="accent4"/>
              <w:bottom w:val="single" w:sz="4" w:space="0" w:color="BFBFBF" w:themeColor="accent4"/>
            </w:tcBorders>
            <w:shd w:val="clear" w:color="auto" w:fill="E7E6E6"/>
          </w:tcPr>
          <w:p w14:paraId="2983D532" w14:textId="77777777" w:rsidR="00FA7EBF" w:rsidRPr="007939DD" w:rsidRDefault="00FA7EBF" w:rsidP="007B207C">
            <w:pPr>
              <w:pStyle w:val="ARfintablebodyright"/>
            </w:pPr>
            <w:r w:rsidRPr="00444622">
              <w:t>746.4</w:t>
            </w:r>
          </w:p>
        </w:tc>
        <w:tc>
          <w:tcPr>
            <w:tcW w:w="1165" w:type="dxa"/>
            <w:tcBorders>
              <w:top w:val="single" w:sz="4" w:space="0" w:color="BFBFBF" w:themeColor="accent4"/>
              <w:bottom w:val="single" w:sz="4" w:space="0" w:color="BFBFBF" w:themeColor="accent4"/>
            </w:tcBorders>
          </w:tcPr>
          <w:p w14:paraId="4196B5A2" w14:textId="77777777" w:rsidR="00FA7EBF" w:rsidRPr="007939DD" w:rsidRDefault="00FA7EBF" w:rsidP="007B207C">
            <w:pPr>
              <w:pStyle w:val="ARfintablebodyright"/>
            </w:pPr>
            <w:r w:rsidRPr="00444622">
              <w:t>711.9</w:t>
            </w:r>
          </w:p>
        </w:tc>
      </w:tr>
      <w:tr w:rsidR="00FA7EBF" w:rsidRPr="007939DD" w14:paraId="0B763425" w14:textId="77777777" w:rsidTr="007B207C">
        <w:tc>
          <w:tcPr>
            <w:tcW w:w="7310" w:type="dxa"/>
            <w:tcBorders>
              <w:top w:val="single" w:sz="4" w:space="0" w:color="BFBFBF" w:themeColor="accent4"/>
              <w:bottom w:val="single" w:sz="4" w:space="0" w:color="BFBFBF" w:themeColor="accent4"/>
            </w:tcBorders>
          </w:tcPr>
          <w:p w14:paraId="461FEE94" w14:textId="77777777" w:rsidR="00FA7EBF" w:rsidRPr="007939DD" w:rsidRDefault="00FA7EBF" w:rsidP="007B207C">
            <w:pPr>
              <w:pStyle w:val="ARfintablebodyindent"/>
            </w:pPr>
            <w:r w:rsidRPr="00444622">
              <w:t>Eastern Health</w:t>
            </w:r>
          </w:p>
        </w:tc>
        <w:tc>
          <w:tcPr>
            <w:tcW w:w="1158" w:type="dxa"/>
            <w:tcBorders>
              <w:top w:val="single" w:sz="4" w:space="0" w:color="BFBFBF" w:themeColor="accent4"/>
              <w:bottom w:val="single" w:sz="4" w:space="0" w:color="BFBFBF" w:themeColor="accent4"/>
            </w:tcBorders>
            <w:shd w:val="clear" w:color="auto" w:fill="E7E6E6"/>
          </w:tcPr>
          <w:p w14:paraId="5210877F" w14:textId="77777777" w:rsidR="00FA7EBF" w:rsidRPr="007939DD" w:rsidRDefault="00FA7EBF" w:rsidP="007B207C">
            <w:pPr>
              <w:pStyle w:val="ARfintablebodyright"/>
            </w:pPr>
            <w:r w:rsidRPr="00444622">
              <w:t>735.7</w:t>
            </w:r>
          </w:p>
        </w:tc>
        <w:tc>
          <w:tcPr>
            <w:tcW w:w="1165" w:type="dxa"/>
            <w:tcBorders>
              <w:top w:val="single" w:sz="4" w:space="0" w:color="BFBFBF" w:themeColor="accent4"/>
              <w:bottom w:val="single" w:sz="4" w:space="0" w:color="BFBFBF" w:themeColor="accent4"/>
            </w:tcBorders>
          </w:tcPr>
          <w:p w14:paraId="5F2AE3E8" w14:textId="77777777" w:rsidR="00FA7EBF" w:rsidRPr="007939DD" w:rsidRDefault="00FA7EBF" w:rsidP="007B207C">
            <w:pPr>
              <w:pStyle w:val="ARfintablebodyright"/>
            </w:pPr>
            <w:r w:rsidRPr="00444622">
              <w:t>690.0</w:t>
            </w:r>
          </w:p>
        </w:tc>
      </w:tr>
      <w:tr w:rsidR="00FA7EBF" w:rsidRPr="007939DD" w14:paraId="51B750C5" w14:textId="77777777" w:rsidTr="007B207C">
        <w:tc>
          <w:tcPr>
            <w:tcW w:w="7310" w:type="dxa"/>
            <w:tcBorders>
              <w:top w:val="single" w:sz="4" w:space="0" w:color="BFBFBF" w:themeColor="accent4"/>
              <w:bottom w:val="single" w:sz="4" w:space="0" w:color="BFBFBF" w:themeColor="accent4"/>
            </w:tcBorders>
          </w:tcPr>
          <w:p w14:paraId="50BB2264" w14:textId="77777777" w:rsidR="00FA7EBF" w:rsidRPr="007939DD" w:rsidRDefault="00FA7EBF" w:rsidP="007B207C">
            <w:pPr>
              <w:pStyle w:val="ARfintablebodyindent"/>
            </w:pPr>
            <w:r w:rsidRPr="00444622">
              <w:t>Melbourne Health</w:t>
            </w:r>
          </w:p>
        </w:tc>
        <w:tc>
          <w:tcPr>
            <w:tcW w:w="1158" w:type="dxa"/>
            <w:tcBorders>
              <w:top w:val="single" w:sz="4" w:space="0" w:color="BFBFBF" w:themeColor="accent4"/>
              <w:bottom w:val="single" w:sz="4" w:space="0" w:color="BFBFBF" w:themeColor="accent4"/>
            </w:tcBorders>
            <w:shd w:val="clear" w:color="auto" w:fill="E7E6E6"/>
          </w:tcPr>
          <w:p w14:paraId="362343F3" w14:textId="77777777" w:rsidR="00FA7EBF" w:rsidRPr="007939DD" w:rsidRDefault="00FA7EBF" w:rsidP="007B207C">
            <w:pPr>
              <w:pStyle w:val="ARfintablebodyright"/>
            </w:pPr>
            <w:r w:rsidRPr="00444622">
              <w:t>657.9</w:t>
            </w:r>
          </w:p>
        </w:tc>
        <w:tc>
          <w:tcPr>
            <w:tcW w:w="1165" w:type="dxa"/>
            <w:tcBorders>
              <w:top w:val="single" w:sz="4" w:space="0" w:color="BFBFBF" w:themeColor="accent4"/>
              <w:bottom w:val="single" w:sz="4" w:space="0" w:color="BFBFBF" w:themeColor="accent4"/>
            </w:tcBorders>
          </w:tcPr>
          <w:p w14:paraId="01F29128" w14:textId="77777777" w:rsidR="00FA7EBF" w:rsidRPr="007939DD" w:rsidRDefault="00FA7EBF" w:rsidP="007B207C">
            <w:pPr>
              <w:pStyle w:val="ARfintablebodyright"/>
            </w:pPr>
            <w:r w:rsidRPr="00444622">
              <w:t>632.2</w:t>
            </w:r>
          </w:p>
        </w:tc>
      </w:tr>
      <w:tr w:rsidR="00FA7EBF" w:rsidRPr="007939DD" w14:paraId="0293DD46" w14:textId="77777777" w:rsidTr="007B207C">
        <w:tc>
          <w:tcPr>
            <w:tcW w:w="7310" w:type="dxa"/>
            <w:tcBorders>
              <w:top w:val="single" w:sz="4" w:space="0" w:color="BFBFBF" w:themeColor="accent4"/>
              <w:bottom w:val="single" w:sz="4" w:space="0" w:color="BFBFBF" w:themeColor="accent4"/>
            </w:tcBorders>
          </w:tcPr>
          <w:p w14:paraId="00A279FA" w14:textId="77777777" w:rsidR="00FA7EBF" w:rsidRPr="007939DD" w:rsidRDefault="00FA7EBF" w:rsidP="007B207C">
            <w:pPr>
              <w:pStyle w:val="ARfintablebodyindent"/>
            </w:pPr>
            <w:r w:rsidRPr="00444622">
              <w:t>Western Health</w:t>
            </w:r>
          </w:p>
        </w:tc>
        <w:tc>
          <w:tcPr>
            <w:tcW w:w="1158" w:type="dxa"/>
            <w:tcBorders>
              <w:top w:val="single" w:sz="4" w:space="0" w:color="BFBFBF" w:themeColor="accent4"/>
              <w:bottom w:val="single" w:sz="4" w:space="0" w:color="BFBFBF" w:themeColor="accent4"/>
            </w:tcBorders>
            <w:shd w:val="clear" w:color="auto" w:fill="E7E6E6"/>
          </w:tcPr>
          <w:p w14:paraId="742E1F38" w14:textId="77777777" w:rsidR="00FA7EBF" w:rsidRPr="007939DD" w:rsidRDefault="00FA7EBF" w:rsidP="007B207C">
            <w:pPr>
              <w:pStyle w:val="ARfintablebodyright"/>
            </w:pPr>
            <w:r w:rsidRPr="00444622">
              <w:t>605.9</w:t>
            </w:r>
          </w:p>
        </w:tc>
        <w:tc>
          <w:tcPr>
            <w:tcW w:w="1165" w:type="dxa"/>
            <w:tcBorders>
              <w:top w:val="single" w:sz="4" w:space="0" w:color="BFBFBF" w:themeColor="accent4"/>
              <w:bottom w:val="single" w:sz="4" w:space="0" w:color="BFBFBF" w:themeColor="accent4"/>
            </w:tcBorders>
          </w:tcPr>
          <w:p w14:paraId="2870986A" w14:textId="77777777" w:rsidR="00FA7EBF" w:rsidRPr="007939DD" w:rsidRDefault="00FA7EBF" w:rsidP="007B207C">
            <w:pPr>
              <w:pStyle w:val="ARfintablebodyright"/>
            </w:pPr>
            <w:r w:rsidRPr="00444622">
              <w:t>600.8</w:t>
            </w:r>
          </w:p>
        </w:tc>
      </w:tr>
      <w:tr w:rsidR="00FA7EBF" w:rsidRPr="007939DD" w14:paraId="5BFDF514" w14:textId="77777777" w:rsidTr="007B207C">
        <w:tc>
          <w:tcPr>
            <w:tcW w:w="7310" w:type="dxa"/>
            <w:tcBorders>
              <w:top w:val="single" w:sz="4" w:space="0" w:color="BFBFBF" w:themeColor="accent4"/>
              <w:bottom w:val="single" w:sz="4" w:space="0" w:color="BFBFBF" w:themeColor="accent4"/>
            </w:tcBorders>
          </w:tcPr>
          <w:p w14:paraId="7D9C73D5" w14:textId="77777777" w:rsidR="00FA7EBF" w:rsidRPr="007939DD" w:rsidRDefault="00FA7EBF" w:rsidP="007B207C">
            <w:pPr>
              <w:pStyle w:val="ARfintablebodyindent"/>
            </w:pPr>
            <w:r w:rsidRPr="00444622">
              <w:t>Austin Health</w:t>
            </w:r>
          </w:p>
        </w:tc>
        <w:tc>
          <w:tcPr>
            <w:tcW w:w="1158" w:type="dxa"/>
            <w:tcBorders>
              <w:top w:val="single" w:sz="4" w:space="0" w:color="BFBFBF" w:themeColor="accent4"/>
              <w:bottom w:val="single" w:sz="4" w:space="0" w:color="BFBFBF" w:themeColor="accent4"/>
            </w:tcBorders>
            <w:shd w:val="clear" w:color="auto" w:fill="E7E6E6"/>
          </w:tcPr>
          <w:p w14:paraId="7614B56E" w14:textId="77777777" w:rsidR="00FA7EBF" w:rsidRPr="007939DD" w:rsidRDefault="00FA7EBF" w:rsidP="007B207C">
            <w:pPr>
              <w:pStyle w:val="ARfintablebodyright"/>
            </w:pPr>
            <w:r w:rsidRPr="00444622">
              <w:t>615.1</w:t>
            </w:r>
          </w:p>
        </w:tc>
        <w:tc>
          <w:tcPr>
            <w:tcW w:w="1165" w:type="dxa"/>
            <w:tcBorders>
              <w:top w:val="single" w:sz="4" w:space="0" w:color="BFBFBF" w:themeColor="accent4"/>
              <w:bottom w:val="single" w:sz="4" w:space="0" w:color="BFBFBF" w:themeColor="accent4"/>
            </w:tcBorders>
          </w:tcPr>
          <w:p w14:paraId="138121E4" w14:textId="77777777" w:rsidR="00FA7EBF" w:rsidRPr="007939DD" w:rsidRDefault="00FA7EBF" w:rsidP="007B207C">
            <w:pPr>
              <w:pStyle w:val="ARfintablebodyright"/>
            </w:pPr>
            <w:r w:rsidRPr="00444622">
              <w:t>578.4</w:t>
            </w:r>
          </w:p>
        </w:tc>
      </w:tr>
      <w:tr w:rsidR="00FA7EBF" w:rsidRPr="007939DD" w14:paraId="26B22250" w14:textId="77777777" w:rsidTr="007B207C">
        <w:tc>
          <w:tcPr>
            <w:tcW w:w="7310" w:type="dxa"/>
            <w:tcBorders>
              <w:top w:val="single" w:sz="4" w:space="0" w:color="BFBFBF" w:themeColor="accent4"/>
              <w:bottom w:val="single" w:sz="4" w:space="0" w:color="BFBFBF" w:themeColor="accent4"/>
            </w:tcBorders>
          </w:tcPr>
          <w:p w14:paraId="38AFE485" w14:textId="77777777" w:rsidR="00FA7EBF" w:rsidRPr="007939DD" w:rsidRDefault="00FA7EBF" w:rsidP="007B207C">
            <w:pPr>
              <w:pStyle w:val="ARfintablebodyindent"/>
            </w:pPr>
            <w:r w:rsidRPr="00444622">
              <w:t>Barwon Health</w:t>
            </w:r>
          </w:p>
        </w:tc>
        <w:tc>
          <w:tcPr>
            <w:tcW w:w="1158" w:type="dxa"/>
            <w:tcBorders>
              <w:top w:val="single" w:sz="4" w:space="0" w:color="BFBFBF" w:themeColor="accent4"/>
              <w:bottom w:val="single" w:sz="4" w:space="0" w:color="BFBFBF" w:themeColor="accent4"/>
            </w:tcBorders>
            <w:shd w:val="clear" w:color="auto" w:fill="E7E6E6"/>
          </w:tcPr>
          <w:p w14:paraId="4EDE9D81" w14:textId="77777777" w:rsidR="00FA7EBF" w:rsidRPr="007939DD" w:rsidRDefault="00FA7EBF" w:rsidP="007B207C">
            <w:pPr>
              <w:pStyle w:val="ARfintablebodyright"/>
            </w:pPr>
            <w:r w:rsidRPr="00444622">
              <w:t>447.9</w:t>
            </w:r>
          </w:p>
        </w:tc>
        <w:tc>
          <w:tcPr>
            <w:tcW w:w="1165" w:type="dxa"/>
            <w:tcBorders>
              <w:top w:val="single" w:sz="4" w:space="0" w:color="BFBFBF" w:themeColor="accent4"/>
              <w:bottom w:val="single" w:sz="4" w:space="0" w:color="BFBFBF" w:themeColor="accent4"/>
            </w:tcBorders>
          </w:tcPr>
          <w:p w14:paraId="4D4D39E0" w14:textId="77777777" w:rsidR="00FA7EBF" w:rsidRPr="007939DD" w:rsidRDefault="00FA7EBF" w:rsidP="007B207C">
            <w:pPr>
              <w:pStyle w:val="ARfintablebodyright"/>
            </w:pPr>
            <w:r w:rsidRPr="00444622">
              <w:t>434.3</w:t>
            </w:r>
          </w:p>
        </w:tc>
      </w:tr>
      <w:tr w:rsidR="00FA7EBF" w:rsidRPr="007939DD" w14:paraId="66AE4AEE" w14:textId="77777777" w:rsidTr="007B207C">
        <w:tc>
          <w:tcPr>
            <w:tcW w:w="7310" w:type="dxa"/>
            <w:tcBorders>
              <w:top w:val="single" w:sz="4" w:space="0" w:color="BFBFBF" w:themeColor="accent4"/>
              <w:bottom w:val="single" w:sz="4" w:space="0" w:color="BFBFBF" w:themeColor="accent4"/>
            </w:tcBorders>
          </w:tcPr>
          <w:p w14:paraId="1ADB2C09" w14:textId="77777777" w:rsidR="00FA7EBF" w:rsidRPr="007939DD" w:rsidRDefault="00FA7EBF" w:rsidP="007B207C">
            <w:pPr>
              <w:pStyle w:val="ARfintablebodyindent"/>
            </w:pPr>
            <w:r w:rsidRPr="00444622">
              <w:t>Northern Health</w:t>
            </w:r>
          </w:p>
        </w:tc>
        <w:tc>
          <w:tcPr>
            <w:tcW w:w="1158" w:type="dxa"/>
            <w:tcBorders>
              <w:top w:val="single" w:sz="4" w:space="0" w:color="BFBFBF" w:themeColor="accent4"/>
              <w:bottom w:val="single" w:sz="4" w:space="0" w:color="BFBFBF" w:themeColor="accent4"/>
            </w:tcBorders>
            <w:shd w:val="clear" w:color="auto" w:fill="E7E6E6"/>
          </w:tcPr>
          <w:p w14:paraId="653507FE" w14:textId="77777777" w:rsidR="00FA7EBF" w:rsidRPr="007939DD" w:rsidRDefault="00FA7EBF" w:rsidP="007B207C">
            <w:pPr>
              <w:pStyle w:val="ARfintablebodyright"/>
            </w:pPr>
            <w:r w:rsidRPr="00444622">
              <w:t>482.3</w:t>
            </w:r>
          </w:p>
        </w:tc>
        <w:tc>
          <w:tcPr>
            <w:tcW w:w="1165" w:type="dxa"/>
            <w:tcBorders>
              <w:top w:val="single" w:sz="4" w:space="0" w:color="BFBFBF" w:themeColor="accent4"/>
              <w:bottom w:val="single" w:sz="4" w:space="0" w:color="BFBFBF" w:themeColor="accent4"/>
            </w:tcBorders>
          </w:tcPr>
          <w:p w14:paraId="3E809A5A" w14:textId="77777777" w:rsidR="00FA7EBF" w:rsidRPr="007939DD" w:rsidRDefault="00FA7EBF" w:rsidP="007B207C">
            <w:pPr>
              <w:pStyle w:val="ARfintablebodyright"/>
            </w:pPr>
            <w:r w:rsidRPr="00444622">
              <w:t>430.3</w:t>
            </w:r>
          </w:p>
        </w:tc>
      </w:tr>
      <w:tr w:rsidR="00FA7EBF" w:rsidRPr="007939DD" w14:paraId="1587915B" w14:textId="77777777" w:rsidTr="007B207C">
        <w:tc>
          <w:tcPr>
            <w:tcW w:w="7310" w:type="dxa"/>
            <w:tcBorders>
              <w:top w:val="single" w:sz="4" w:space="0" w:color="BFBFBF" w:themeColor="accent4"/>
              <w:bottom w:val="single" w:sz="4" w:space="0" w:color="BFBFBF" w:themeColor="accent4"/>
            </w:tcBorders>
          </w:tcPr>
          <w:p w14:paraId="477D7D4E" w14:textId="77777777" w:rsidR="00FA7EBF" w:rsidRPr="007939DD" w:rsidRDefault="00FA7EBF" w:rsidP="007B207C">
            <w:pPr>
              <w:pStyle w:val="ARfintablebodyindent"/>
            </w:pPr>
            <w:r w:rsidRPr="00444622">
              <w:t>St Vincent’s Hospital (Melbourne) Limited</w:t>
            </w:r>
          </w:p>
        </w:tc>
        <w:tc>
          <w:tcPr>
            <w:tcW w:w="1158" w:type="dxa"/>
            <w:tcBorders>
              <w:top w:val="single" w:sz="4" w:space="0" w:color="BFBFBF" w:themeColor="accent4"/>
              <w:bottom w:val="single" w:sz="4" w:space="0" w:color="BFBFBF" w:themeColor="accent4"/>
            </w:tcBorders>
            <w:shd w:val="clear" w:color="auto" w:fill="E7E6E6"/>
          </w:tcPr>
          <w:p w14:paraId="343CE1F1" w14:textId="77777777" w:rsidR="00FA7EBF" w:rsidRPr="007939DD" w:rsidRDefault="00FA7EBF" w:rsidP="007B207C">
            <w:pPr>
              <w:pStyle w:val="ARfintablebodyright"/>
            </w:pPr>
            <w:r w:rsidRPr="00444622">
              <w:t>433.0</w:t>
            </w:r>
          </w:p>
        </w:tc>
        <w:tc>
          <w:tcPr>
            <w:tcW w:w="1165" w:type="dxa"/>
            <w:tcBorders>
              <w:top w:val="single" w:sz="4" w:space="0" w:color="BFBFBF" w:themeColor="accent4"/>
              <w:bottom w:val="single" w:sz="4" w:space="0" w:color="BFBFBF" w:themeColor="accent4"/>
            </w:tcBorders>
          </w:tcPr>
          <w:p w14:paraId="1EB4B4C4" w14:textId="77777777" w:rsidR="00FA7EBF" w:rsidRPr="007939DD" w:rsidRDefault="00FA7EBF" w:rsidP="007B207C">
            <w:pPr>
              <w:pStyle w:val="ARfintablebodyright"/>
            </w:pPr>
            <w:r w:rsidRPr="00444622">
              <w:t>411.7</w:t>
            </w:r>
          </w:p>
        </w:tc>
      </w:tr>
      <w:tr w:rsidR="00FA7EBF" w:rsidRPr="007939DD" w14:paraId="6917B41D" w14:textId="77777777" w:rsidTr="007B207C">
        <w:tc>
          <w:tcPr>
            <w:tcW w:w="7310" w:type="dxa"/>
            <w:tcBorders>
              <w:top w:val="single" w:sz="4" w:space="0" w:color="BFBFBF" w:themeColor="accent4"/>
              <w:bottom w:val="single" w:sz="4" w:space="0" w:color="BFBFBF" w:themeColor="accent4"/>
            </w:tcBorders>
          </w:tcPr>
          <w:p w14:paraId="0CE014D9" w14:textId="77777777" w:rsidR="00FA7EBF" w:rsidRPr="007939DD" w:rsidRDefault="00FA7EBF" w:rsidP="007B207C">
            <w:pPr>
              <w:pStyle w:val="ARfintablebodyindent"/>
            </w:pPr>
            <w:r w:rsidRPr="00444622">
              <w:t>The Royal Children’s Hospital</w:t>
            </w:r>
          </w:p>
        </w:tc>
        <w:tc>
          <w:tcPr>
            <w:tcW w:w="1158" w:type="dxa"/>
            <w:tcBorders>
              <w:top w:val="single" w:sz="4" w:space="0" w:color="BFBFBF" w:themeColor="accent4"/>
              <w:bottom w:val="single" w:sz="4" w:space="0" w:color="BFBFBF" w:themeColor="accent4"/>
            </w:tcBorders>
            <w:shd w:val="clear" w:color="auto" w:fill="E7E6E6"/>
          </w:tcPr>
          <w:p w14:paraId="0B8C7292" w14:textId="77777777" w:rsidR="00FA7EBF" w:rsidRPr="007939DD" w:rsidRDefault="00FA7EBF" w:rsidP="007B207C">
            <w:pPr>
              <w:pStyle w:val="ARfintablebodyright"/>
            </w:pPr>
            <w:r w:rsidRPr="00444622">
              <w:t>435.3</w:t>
            </w:r>
          </w:p>
        </w:tc>
        <w:tc>
          <w:tcPr>
            <w:tcW w:w="1165" w:type="dxa"/>
            <w:tcBorders>
              <w:top w:val="single" w:sz="4" w:space="0" w:color="BFBFBF" w:themeColor="accent4"/>
              <w:bottom w:val="single" w:sz="4" w:space="0" w:color="BFBFBF" w:themeColor="accent4"/>
            </w:tcBorders>
          </w:tcPr>
          <w:p w14:paraId="2614052F" w14:textId="77777777" w:rsidR="00FA7EBF" w:rsidRPr="007939DD" w:rsidRDefault="00FA7EBF" w:rsidP="007B207C">
            <w:pPr>
              <w:pStyle w:val="ARfintablebodyright"/>
            </w:pPr>
            <w:r w:rsidRPr="00444622">
              <w:t>410.2</w:t>
            </w:r>
          </w:p>
        </w:tc>
      </w:tr>
      <w:tr w:rsidR="00FA7EBF" w:rsidRPr="007939DD" w14:paraId="7A0CC7E1" w14:textId="77777777" w:rsidTr="007B207C">
        <w:tc>
          <w:tcPr>
            <w:tcW w:w="7310" w:type="dxa"/>
            <w:tcBorders>
              <w:top w:val="single" w:sz="4" w:space="0" w:color="BFBFBF" w:themeColor="accent4"/>
              <w:bottom w:val="single" w:sz="4" w:space="0" w:color="BFBFBF" w:themeColor="accent4"/>
            </w:tcBorders>
          </w:tcPr>
          <w:p w14:paraId="4D65A6C8" w14:textId="77777777" w:rsidR="00FA7EBF" w:rsidRPr="007939DD" w:rsidRDefault="00FA7EBF" w:rsidP="007B207C">
            <w:pPr>
              <w:pStyle w:val="ARfintablebodyindent"/>
            </w:pPr>
            <w:r w:rsidRPr="00444622">
              <w:t>Peninsula Health</w:t>
            </w:r>
          </w:p>
        </w:tc>
        <w:tc>
          <w:tcPr>
            <w:tcW w:w="1158" w:type="dxa"/>
            <w:tcBorders>
              <w:top w:val="single" w:sz="4" w:space="0" w:color="BFBFBF" w:themeColor="accent4"/>
              <w:bottom w:val="single" w:sz="4" w:space="0" w:color="BFBFBF" w:themeColor="accent4"/>
            </w:tcBorders>
            <w:shd w:val="clear" w:color="auto" w:fill="E7E6E6"/>
          </w:tcPr>
          <w:p w14:paraId="4FBC3639" w14:textId="77777777" w:rsidR="00FA7EBF" w:rsidRPr="007939DD" w:rsidRDefault="00FA7EBF" w:rsidP="007B207C">
            <w:pPr>
              <w:pStyle w:val="ARfintablebodyright"/>
            </w:pPr>
            <w:r w:rsidRPr="00444622">
              <w:t>437.6</w:t>
            </w:r>
          </w:p>
        </w:tc>
        <w:tc>
          <w:tcPr>
            <w:tcW w:w="1165" w:type="dxa"/>
            <w:tcBorders>
              <w:top w:val="single" w:sz="4" w:space="0" w:color="BFBFBF" w:themeColor="accent4"/>
              <w:bottom w:val="single" w:sz="4" w:space="0" w:color="BFBFBF" w:themeColor="accent4"/>
            </w:tcBorders>
          </w:tcPr>
          <w:p w14:paraId="0279144F" w14:textId="77777777" w:rsidR="00FA7EBF" w:rsidRPr="007939DD" w:rsidRDefault="00FA7EBF" w:rsidP="007B207C">
            <w:pPr>
              <w:pStyle w:val="ARfintablebodyright"/>
            </w:pPr>
            <w:r w:rsidRPr="00444622">
              <w:t>408.0</w:t>
            </w:r>
          </w:p>
        </w:tc>
      </w:tr>
      <w:tr w:rsidR="00FA7EBF" w:rsidRPr="007939DD" w14:paraId="7FCD77C3" w14:textId="77777777" w:rsidTr="007B207C">
        <w:tc>
          <w:tcPr>
            <w:tcW w:w="7310" w:type="dxa"/>
            <w:tcBorders>
              <w:top w:val="single" w:sz="4" w:space="0" w:color="BFBFBF" w:themeColor="accent4"/>
              <w:bottom w:val="single" w:sz="4" w:space="0" w:color="BFBFBF" w:themeColor="accent4"/>
            </w:tcBorders>
          </w:tcPr>
          <w:p w14:paraId="575CF0E2" w14:textId="77777777" w:rsidR="00FA7EBF" w:rsidRPr="007939DD" w:rsidRDefault="00FA7EBF" w:rsidP="007B207C">
            <w:pPr>
              <w:pStyle w:val="ARfintablebodyindent"/>
            </w:pPr>
            <w:r w:rsidRPr="00444622">
              <w:t>Mercy Hospitals Victoria Limited</w:t>
            </w:r>
          </w:p>
        </w:tc>
        <w:tc>
          <w:tcPr>
            <w:tcW w:w="1158" w:type="dxa"/>
            <w:tcBorders>
              <w:top w:val="single" w:sz="4" w:space="0" w:color="BFBFBF" w:themeColor="accent4"/>
              <w:bottom w:val="single" w:sz="4" w:space="0" w:color="BFBFBF" w:themeColor="accent4"/>
            </w:tcBorders>
            <w:shd w:val="clear" w:color="auto" w:fill="E7E6E6"/>
          </w:tcPr>
          <w:p w14:paraId="2391FF78" w14:textId="77777777" w:rsidR="00FA7EBF" w:rsidRPr="007939DD" w:rsidRDefault="00FA7EBF" w:rsidP="007B207C">
            <w:pPr>
              <w:pStyle w:val="ARfintablebodyright"/>
            </w:pPr>
            <w:r w:rsidRPr="00444622">
              <w:t>325.7</w:t>
            </w:r>
          </w:p>
        </w:tc>
        <w:tc>
          <w:tcPr>
            <w:tcW w:w="1165" w:type="dxa"/>
            <w:tcBorders>
              <w:top w:val="single" w:sz="4" w:space="0" w:color="BFBFBF" w:themeColor="accent4"/>
              <w:bottom w:val="single" w:sz="4" w:space="0" w:color="BFBFBF" w:themeColor="accent4"/>
            </w:tcBorders>
          </w:tcPr>
          <w:p w14:paraId="3302719E" w14:textId="77777777" w:rsidR="00FA7EBF" w:rsidRPr="007939DD" w:rsidRDefault="00FA7EBF" w:rsidP="007B207C">
            <w:pPr>
              <w:pStyle w:val="ARfintablebodyright"/>
            </w:pPr>
            <w:r w:rsidRPr="00444622">
              <w:t>290.4</w:t>
            </w:r>
          </w:p>
        </w:tc>
      </w:tr>
      <w:tr w:rsidR="00FA7EBF" w:rsidRPr="007939DD" w14:paraId="11BC0311" w14:textId="77777777" w:rsidTr="007B207C">
        <w:tc>
          <w:tcPr>
            <w:tcW w:w="7310" w:type="dxa"/>
            <w:tcBorders>
              <w:top w:val="single" w:sz="4" w:space="0" w:color="BFBFBF" w:themeColor="accent4"/>
              <w:bottom w:val="single" w:sz="4" w:space="0" w:color="BFBFBF" w:themeColor="accent4"/>
            </w:tcBorders>
          </w:tcPr>
          <w:p w14:paraId="08786AFB" w14:textId="77777777" w:rsidR="00FA7EBF" w:rsidRPr="007939DD" w:rsidRDefault="00FA7EBF" w:rsidP="007B207C">
            <w:pPr>
              <w:pStyle w:val="ARfintablebodyindent"/>
            </w:pPr>
            <w:r w:rsidRPr="00444622">
              <w:t>Bendigo Health</w:t>
            </w:r>
            <w:r>
              <w:t>c</w:t>
            </w:r>
            <w:r w:rsidRPr="00444622">
              <w:t>are Group</w:t>
            </w:r>
          </w:p>
        </w:tc>
        <w:tc>
          <w:tcPr>
            <w:tcW w:w="1158" w:type="dxa"/>
            <w:tcBorders>
              <w:top w:val="single" w:sz="4" w:space="0" w:color="BFBFBF" w:themeColor="accent4"/>
              <w:bottom w:val="single" w:sz="4" w:space="0" w:color="BFBFBF" w:themeColor="accent4"/>
            </w:tcBorders>
            <w:shd w:val="clear" w:color="auto" w:fill="E7E6E6"/>
          </w:tcPr>
          <w:p w14:paraId="0EACCB78" w14:textId="77777777" w:rsidR="00FA7EBF" w:rsidRPr="007939DD" w:rsidRDefault="00FA7EBF" w:rsidP="007B207C">
            <w:pPr>
              <w:pStyle w:val="ARfintablebodyright"/>
            </w:pPr>
            <w:r w:rsidRPr="00444622">
              <w:t>264.2</w:t>
            </w:r>
          </w:p>
        </w:tc>
        <w:tc>
          <w:tcPr>
            <w:tcW w:w="1165" w:type="dxa"/>
            <w:tcBorders>
              <w:top w:val="single" w:sz="4" w:space="0" w:color="BFBFBF" w:themeColor="accent4"/>
              <w:bottom w:val="single" w:sz="4" w:space="0" w:color="BFBFBF" w:themeColor="accent4"/>
            </w:tcBorders>
          </w:tcPr>
          <w:p w14:paraId="16067B7C" w14:textId="77777777" w:rsidR="00FA7EBF" w:rsidRPr="007939DD" w:rsidRDefault="00FA7EBF" w:rsidP="007B207C">
            <w:pPr>
              <w:pStyle w:val="ARfintablebodyright"/>
            </w:pPr>
            <w:r w:rsidRPr="00444622">
              <w:t>242.6</w:t>
            </w:r>
          </w:p>
        </w:tc>
      </w:tr>
      <w:tr w:rsidR="00FA7EBF" w:rsidRPr="007939DD" w14:paraId="7BE4BBCA" w14:textId="77777777" w:rsidTr="007B207C">
        <w:tc>
          <w:tcPr>
            <w:tcW w:w="7310" w:type="dxa"/>
            <w:tcBorders>
              <w:top w:val="single" w:sz="4" w:space="0" w:color="BFBFBF" w:themeColor="accent4"/>
              <w:bottom w:val="single" w:sz="4" w:space="0" w:color="BFBFBF" w:themeColor="accent4"/>
            </w:tcBorders>
          </w:tcPr>
          <w:p w14:paraId="74CE4D6F" w14:textId="77777777" w:rsidR="00FA7EBF" w:rsidRPr="007939DD" w:rsidRDefault="00FA7EBF" w:rsidP="007B207C">
            <w:pPr>
              <w:pStyle w:val="ARfintablebodyindent"/>
            </w:pPr>
            <w:r w:rsidRPr="00444622">
              <w:t>Ballarat Health Services</w:t>
            </w:r>
          </w:p>
        </w:tc>
        <w:tc>
          <w:tcPr>
            <w:tcW w:w="1158" w:type="dxa"/>
            <w:tcBorders>
              <w:top w:val="single" w:sz="4" w:space="0" w:color="BFBFBF" w:themeColor="accent4"/>
              <w:bottom w:val="single" w:sz="4" w:space="0" w:color="BFBFBF" w:themeColor="accent4"/>
            </w:tcBorders>
            <w:shd w:val="clear" w:color="auto" w:fill="E7E6E6"/>
          </w:tcPr>
          <w:p w14:paraId="297D8640" w14:textId="77777777" w:rsidR="00FA7EBF" w:rsidRPr="007939DD" w:rsidRDefault="00FA7EBF" w:rsidP="007B207C">
            <w:pPr>
              <w:pStyle w:val="ARfintablebodyright"/>
            </w:pPr>
            <w:r w:rsidRPr="00444622">
              <w:t>257.8</w:t>
            </w:r>
          </w:p>
        </w:tc>
        <w:tc>
          <w:tcPr>
            <w:tcW w:w="1165" w:type="dxa"/>
            <w:tcBorders>
              <w:top w:val="single" w:sz="4" w:space="0" w:color="BFBFBF" w:themeColor="accent4"/>
              <w:bottom w:val="single" w:sz="4" w:space="0" w:color="BFBFBF" w:themeColor="accent4"/>
            </w:tcBorders>
          </w:tcPr>
          <w:p w14:paraId="4F940085" w14:textId="77777777" w:rsidR="00FA7EBF" w:rsidRPr="007939DD" w:rsidRDefault="00FA7EBF" w:rsidP="007B207C">
            <w:pPr>
              <w:pStyle w:val="ARfintablebodyright"/>
            </w:pPr>
            <w:r w:rsidRPr="00444622">
              <w:t>231.8</w:t>
            </w:r>
          </w:p>
        </w:tc>
      </w:tr>
      <w:tr w:rsidR="00FA7EBF" w:rsidRPr="007939DD" w14:paraId="543F695C" w14:textId="77777777" w:rsidTr="007B207C">
        <w:tc>
          <w:tcPr>
            <w:tcW w:w="7310" w:type="dxa"/>
            <w:tcBorders>
              <w:top w:val="single" w:sz="4" w:space="0" w:color="BFBFBF" w:themeColor="accent4"/>
              <w:bottom w:val="single" w:sz="4" w:space="0" w:color="BFBFBF" w:themeColor="accent4"/>
            </w:tcBorders>
          </w:tcPr>
          <w:p w14:paraId="11052D8C" w14:textId="77777777" w:rsidR="00FA7EBF" w:rsidRPr="007939DD" w:rsidRDefault="00FA7EBF" w:rsidP="007B207C">
            <w:pPr>
              <w:pStyle w:val="ARfintablebodyindent"/>
            </w:pPr>
            <w:r w:rsidRPr="00444622">
              <w:t>The Royal Women’s Hospital</w:t>
            </w:r>
          </w:p>
        </w:tc>
        <w:tc>
          <w:tcPr>
            <w:tcW w:w="1158" w:type="dxa"/>
            <w:tcBorders>
              <w:top w:val="single" w:sz="4" w:space="0" w:color="BFBFBF" w:themeColor="accent4"/>
              <w:bottom w:val="single" w:sz="4" w:space="0" w:color="BFBFBF" w:themeColor="accent4"/>
            </w:tcBorders>
            <w:shd w:val="clear" w:color="auto" w:fill="E7E6E6"/>
          </w:tcPr>
          <w:p w14:paraId="0EB0FC66" w14:textId="77777777" w:rsidR="00FA7EBF" w:rsidRPr="007939DD" w:rsidRDefault="00FA7EBF" w:rsidP="007B207C">
            <w:pPr>
              <w:pStyle w:val="ARfintablebodyright"/>
            </w:pPr>
            <w:r w:rsidRPr="00444622">
              <w:t>209.6</w:t>
            </w:r>
          </w:p>
        </w:tc>
        <w:tc>
          <w:tcPr>
            <w:tcW w:w="1165" w:type="dxa"/>
            <w:tcBorders>
              <w:top w:val="single" w:sz="4" w:space="0" w:color="BFBFBF" w:themeColor="accent4"/>
              <w:bottom w:val="single" w:sz="4" w:space="0" w:color="BFBFBF" w:themeColor="accent4"/>
            </w:tcBorders>
          </w:tcPr>
          <w:p w14:paraId="36CF92CC" w14:textId="77777777" w:rsidR="00FA7EBF" w:rsidRPr="007939DD" w:rsidRDefault="00FA7EBF" w:rsidP="007B207C">
            <w:pPr>
              <w:pStyle w:val="ARfintablebodyright"/>
            </w:pPr>
            <w:r w:rsidRPr="00444622">
              <w:t>195.5</w:t>
            </w:r>
          </w:p>
        </w:tc>
      </w:tr>
      <w:tr w:rsidR="00FA7EBF" w:rsidRPr="007939DD" w14:paraId="16EB0919" w14:textId="77777777" w:rsidTr="007B207C">
        <w:tc>
          <w:tcPr>
            <w:tcW w:w="7310" w:type="dxa"/>
            <w:tcBorders>
              <w:top w:val="single" w:sz="4" w:space="0" w:color="BFBFBF" w:themeColor="accent4"/>
              <w:bottom w:val="single" w:sz="4" w:space="0" w:color="BFBFBF" w:themeColor="accent4"/>
            </w:tcBorders>
          </w:tcPr>
          <w:p w14:paraId="1FB9D2AE" w14:textId="77777777" w:rsidR="00FA7EBF" w:rsidRPr="007939DD" w:rsidRDefault="00FA7EBF" w:rsidP="007B207C">
            <w:pPr>
              <w:pStyle w:val="ARfintablebodyindent"/>
            </w:pPr>
            <w:r w:rsidRPr="00444622">
              <w:t>Latrobe Regional Hospital</w:t>
            </w:r>
          </w:p>
        </w:tc>
        <w:tc>
          <w:tcPr>
            <w:tcW w:w="1158" w:type="dxa"/>
            <w:tcBorders>
              <w:top w:val="single" w:sz="4" w:space="0" w:color="BFBFBF" w:themeColor="accent4"/>
              <w:bottom w:val="single" w:sz="4" w:space="0" w:color="BFBFBF" w:themeColor="accent4"/>
            </w:tcBorders>
            <w:shd w:val="clear" w:color="auto" w:fill="E7E6E6"/>
          </w:tcPr>
          <w:p w14:paraId="36D41209" w14:textId="77777777" w:rsidR="00FA7EBF" w:rsidRPr="007939DD" w:rsidRDefault="00FA7EBF" w:rsidP="007B207C">
            <w:pPr>
              <w:pStyle w:val="ARfintablebodyright"/>
            </w:pPr>
            <w:r w:rsidRPr="00444622">
              <w:t>179.6</w:t>
            </w:r>
          </w:p>
        </w:tc>
        <w:tc>
          <w:tcPr>
            <w:tcW w:w="1165" w:type="dxa"/>
            <w:tcBorders>
              <w:top w:val="single" w:sz="4" w:space="0" w:color="BFBFBF" w:themeColor="accent4"/>
              <w:bottom w:val="single" w:sz="4" w:space="0" w:color="BFBFBF" w:themeColor="accent4"/>
            </w:tcBorders>
          </w:tcPr>
          <w:p w14:paraId="00C4BF49" w14:textId="77777777" w:rsidR="00FA7EBF" w:rsidRPr="007939DD" w:rsidRDefault="00FA7EBF" w:rsidP="007B207C">
            <w:pPr>
              <w:pStyle w:val="ARfintablebodyright"/>
            </w:pPr>
            <w:r w:rsidRPr="00444622">
              <w:t>171.9</w:t>
            </w:r>
          </w:p>
        </w:tc>
      </w:tr>
      <w:tr w:rsidR="00FA7EBF" w:rsidRPr="007939DD" w14:paraId="06371A5F" w14:textId="77777777" w:rsidTr="007B207C">
        <w:tc>
          <w:tcPr>
            <w:tcW w:w="7310" w:type="dxa"/>
            <w:tcBorders>
              <w:top w:val="single" w:sz="4" w:space="0" w:color="BFBFBF" w:themeColor="accent4"/>
              <w:bottom w:val="single" w:sz="4" w:space="0" w:color="BFBFBF" w:themeColor="accent4"/>
            </w:tcBorders>
          </w:tcPr>
          <w:p w14:paraId="51C8B2B0" w14:textId="77777777" w:rsidR="00FA7EBF" w:rsidRPr="007939DD" w:rsidRDefault="00FA7EBF" w:rsidP="007B207C">
            <w:pPr>
              <w:pStyle w:val="ARfintablebodyindent"/>
            </w:pPr>
            <w:r w:rsidRPr="00444622">
              <w:t>Goulburn Valley Health</w:t>
            </w:r>
          </w:p>
        </w:tc>
        <w:tc>
          <w:tcPr>
            <w:tcW w:w="1158" w:type="dxa"/>
            <w:tcBorders>
              <w:top w:val="single" w:sz="4" w:space="0" w:color="BFBFBF" w:themeColor="accent4"/>
              <w:bottom w:val="single" w:sz="4" w:space="0" w:color="BFBFBF" w:themeColor="accent4"/>
            </w:tcBorders>
            <w:shd w:val="clear" w:color="auto" w:fill="E7E6E6"/>
          </w:tcPr>
          <w:p w14:paraId="1B7BEE88" w14:textId="77777777" w:rsidR="00FA7EBF" w:rsidRPr="007939DD" w:rsidRDefault="00FA7EBF" w:rsidP="007B207C">
            <w:pPr>
              <w:pStyle w:val="ARfintablebodyright"/>
            </w:pPr>
            <w:r w:rsidRPr="00444622">
              <w:t>165.9</w:t>
            </w:r>
          </w:p>
        </w:tc>
        <w:tc>
          <w:tcPr>
            <w:tcW w:w="1165" w:type="dxa"/>
            <w:tcBorders>
              <w:top w:val="single" w:sz="4" w:space="0" w:color="BFBFBF" w:themeColor="accent4"/>
              <w:bottom w:val="single" w:sz="4" w:space="0" w:color="BFBFBF" w:themeColor="accent4"/>
            </w:tcBorders>
          </w:tcPr>
          <w:p w14:paraId="7C7A9871" w14:textId="77777777" w:rsidR="00FA7EBF" w:rsidRPr="007939DD" w:rsidRDefault="00FA7EBF" w:rsidP="007B207C">
            <w:pPr>
              <w:pStyle w:val="ARfintablebodyright"/>
            </w:pPr>
            <w:r w:rsidRPr="00444622">
              <w:t>151.5</w:t>
            </w:r>
          </w:p>
        </w:tc>
      </w:tr>
      <w:tr w:rsidR="00FA7EBF" w:rsidRPr="007939DD" w14:paraId="14021E81" w14:textId="77777777" w:rsidTr="007B207C">
        <w:tc>
          <w:tcPr>
            <w:tcW w:w="7310" w:type="dxa"/>
            <w:tcBorders>
              <w:top w:val="single" w:sz="4" w:space="0" w:color="BFBFBF" w:themeColor="accent4"/>
              <w:bottom w:val="single" w:sz="4" w:space="0" w:color="BFBFBF" w:themeColor="accent4"/>
            </w:tcBorders>
          </w:tcPr>
          <w:p w14:paraId="0AFB509C" w14:textId="77777777" w:rsidR="00FA7EBF" w:rsidRPr="007939DD" w:rsidRDefault="00FA7EBF" w:rsidP="007B207C">
            <w:pPr>
              <w:pStyle w:val="ARfintablebodyindent"/>
            </w:pPr>
            <w:r w:rsidRPr="00444622">
              <w:t>Peter MacCallum Cancer Centre</w:t>
            </w:r>
          </w:p>
        </w:tc>
        <w:tc>
          <w:tcPr>
            <w:tcW w:w="1158" w:type="dxa"/>
            <w:tcBorders>
              <w:top w:val="single" w:sz="4" w:space="0" w:color="BFBFBF" w:themeColor="accent4"/>
              <w:bottom w:val="single" w:sz="4" w:space="0" w:color="BFBFBF" w:themeColor="accent4"/>
            </w:tcBorders>
            <w:shd w:val="clear" w:color="auto" w:fill="E7E6E6"/>
          </w:tcPr>
          <w:p w14:paraId="66501695" w14:textId="77777777" w:rsidR="00FA7EBF" w:rsidRPr="007939DD" w:rsidRDefault="00FA7EBF" w:rsidP="007B207C">
            <w:pPr>
              <w:pStyle w:val="ARfintablebodyright"/>
            </w:pPr>
            <w:r w:rsidRPr="00444622">
              <w:t>142.9</w:t>
            </w:r>
          </w:p>
        </w:tc>
        <w:tc>
          <w:tcPr>
            <w:tcW w:w="1165" w:type="dxa"/>
            <w:tcBorders>
              <w:top w:val="single" w:sz="4" w:space="0" w:color="BFBFBF" w:themeColor="accent4"/>
              <w:bottom w:val="single" w:sz="4" w:space="0" w:color="BFBFBF" w:themeColor="accent4"/>
            </w:tcBorders>
          </w:tcPr>
          <w:p w14:paraId="297F4EE3" w14:textId="77777777" w:rsidR="00FA7EBF" w:rsidRPr="007939DD" w:rsidRDefault="00FA7EBF" w:rsidP="007B207C">
            <w:pPr>
              <w:pStyle w:val="ARfintablebodyright"/>
            </w:pPr>
            <w:r w:rsidRPr="00444622">
              <w:t>126.5</w:t>
            </w:r>
          </w:p>
        </w:tc>
      </w:tr>
      <w:tr w:rsidR="00FA7EBF" w:rsidRPr="007939DD" w14:paraId="51179400" w14:textId="77777777" w:rsidTr="007B207C">
        <w:tc>
          <w:tcPr>
            <w:tcW w:w="7310" w:type="dxa"/>
            <w:tcBorders>
              <w:top w:val="single" w:sz="4" w:space="0" w:color="BFBFBF" w:themeColor="accent4"/>
              <w:bottom w:val="single" w:sz="4" w:space="0" w:color="BFBFBF" w:themeColor="accent4"/>
            </w:tcBorders>
          </w:tcPr>
          <w:p w14:paraId="3058EBA5" w14:textId="77777777" w:rsidR="00FA7EBF" w:rsidRPr="007939DD" w:rsidRDefault="00FA7EBF" w:rsidP="007B207C">
            <w:pPr>
              <w:pStyle w:val="ARfintablebodyindent"/>
            </w:pPr>
            <w:r w:rsidRPr="00444622">
              <w:t>South West Healthcare</w:t>
            </w:r>
          </w:p>
        </w:tc>
        <w:tc>
          <w:tcPr>
            <w:tcW w:w="1158" w:type="dxa"/>
            <w:tcBorders>
              <w:top w:val="single" w:sz="4" w:space="0" w:color="BFBFBF" w:themeColor="accent4"/>
              <w:bottom w:val="single" w:sz="4" w:space="0" w:color="BFBFBF" w:themeColor="accent4"/>
            </w:tcBorders>
            <w:shd w:val="clear" w:color="auto" w:fill="E7E6E6"/>
          </w:tcPr>
          <w:p w14:paraId="5E54D5EE" w14:textId="77777777" w:rsidR="00FA7EBF" w:rsidRPr="007939DD" w:rsidRDefault="00FA7EBF" w:rsidP="007B207C">
            <w:pPr>
              <w:pStyle w:val="ARfintablebodyright"/>
            </w:pPr>
            <w:r w:rsidRPr="00444622">
              <w:t>122.1</w:t>
            </w:r>
          </w:p>
        </w:tc>
        <w:tc>
          <w:tcPr>
            <w:tcW w:w="1165" w:type="dxa"/>
            <w:tcBorders>
              <w:top w:val="single" w:sz="4" w:space="0" w:color="BFBFBF" w:themeColor="accent4"/>
              <w:bottom w:val="single" w:sz="4" w:space="0" w:color="BFBFBF" w:themeColor="accent4"/>
            </w:tcBorders>
          </w:tcPr>
          <w:p w14:paraId="77A0061E" w14:textId="77777777" w:rsidR="00FA7EBF" w:rsidRPr="007939DD" w:rsidRDefault="00FA7EBF" w:rsidP="007B207C">
            <w:pPr>
              <w:pStyle w:val="ARfintablebodyright"/>
            </w:pPr>
            <w:r w:rsidRPr="00444622">
              <w:t>111.4</w:t>
            </w:r>
          </w:p>
        </w:tc>
      </w:tr>
      <w:tr w:rsidR="00FA7EBF" w:rsidRPr="007939DD" w14:paraId="4F14424F" w14:textId="77777777" w:rsidTr="007B207C">
        <w:tc>
          <w:tcPr>
            <w:tcW w:w="7310" w:type="dxa"/>
            <w:tcBorders>
              <w:top w:val="single" w:sz="4" w:space="0" w:color="BFBFBF" w:themeColor="accent4"/>
              <w:bottom w:val="single" w:sz="4" w:space="0" w:color="BFBFBF" w:themeColor="accent4"/>
            </w:tcBorders>
          </w:tcPr>
          <w:p w14:paraId="10959B72" w14:textId="77777777" w:rsidR="00FA7EBF" w:rsidRPr="007939DD" w:rsidRDefault="00FA7EBF" w:rsidP="007B207C">
            <w:pPr>
              <w:pStyle w:val="ARfintablebodyindent"/>
            </w:pPr>
            <w:r w:rsidRPr="00444622">
              <w:t>Albury Wodonga Health</w:t>
            </w:r>
          </w:p>
        </w:tc>
        <w:tc>
          <w:tcPr>
            <w:tcW w:w="1158" w:type="dxa"/>
            <w:tcBorders>
              <w:top w:val="single" w:sz="4" w:space="0" w:color="BFBFBF" w:themeColor="accent4"/>
              <w:bottom w:val="single" w:sz="4" w:space="0" w:color="BFBFBF" w:themeColor="accent4"/>
            </w:tcBorders>
            <w:shd w:val="clear" w:color="auto" w:fill="E7E6E6"/>
          </w:tcPr>
          <w:p w14:paraId="567916EA" w14:textId="77777777" w:rsidR="00FA7EBF" w:rsidRPr="007939DD" w:rsidRDefault="00FA7EBF" w:rsidP="007B207C">
            <w:pPr>
              <w:pStyle w:val="ARfintablebodyright"/>
            </w:pPr>
            <w:r w:rsidRPr="00444622">
              <w:t>123.5</w:t>
            </w:r>
          </w:p>
        </w:tc>
        <w:tc>
          <w:tcPr>
            <w:tcW w:w="1165" w:type="dxa"/>
            <w:tcBorders>
              <w:top w:val="single" w:sz="4" w:space="0" w:color="BFBFBF" w:themeColor="accent4"/>
              <w:bottom w:val="single" w:sz="4" w:space="0" w:color="BFBFBF" w:themeColor="accent4"/>
            </w:tcBorders>
          </w:tcPr>
          <w:p w14:paraId="7E70F92D" w14:textId="77777777" w:rsidR="00FA7EBF" w:rsidRPr="007939DD" w:rsidRDefault="00FA7EBF" w:rsidP="007B207C">
            <w:pPr>
              <w:pStyle w:val="ARfintablebodyright"/>
            </w:pPr>
            <w:r w:rsidRPr="00444622">
              <w:t>103.0</w:t>
            </w:r>
          </w:p>
        </w:tc>
      </w:tr>
      <w:tr w:rsidR="00FA7EBF" w:rsidRPr="007939DD" w14:paraId="5A75DB81" w14:textId="77777777" w:rsidTr="007B207C">
        <w:tc>
          <w:tcPr>
            <w:tcW w:w="7310" w:type="dxa"/>
            <w:tcBorders>
              <w:top w:val="single" w:sz="4" w:space="0" w:color="BFBFBF" w:themeColor="accent4"/>
              <w:bottom w:val="single" w:sz="4" w:space="0" w:color="BFBFBF" w:themeColor="accent4"/>
            </w:tcBorders>
          </w:tcPr>
          <w:p w14:paraId="5740C06B" w14:textId="77777777" w:rsidR="00FA7EBF" w:rsidRPr="007939DD" w:rsidRDefault="00FA7EBF" w:rsidP="007B207C">
            <w:pPr>
              <w:pStyle w:val="ARfintablebodyindent"/>
            </w:pPr>
            <w:r w:rsidRPr="00444622">
              <w:t>Northeast Health Wangaratta</w:t>
            </w:r>
          </w:p>
        </w:tc>
        <w:tc>
          <w:tcPr>
            <w:tcW w:w="1158" w:type="dxa"/>
            <w:tcBorders>
              <w:top w:val="single" w:sz="4" w:space="0" w:color="BFBFBF" w:themeColor="accent4"/>
              <w:bottom w:val="single" w:sz="4" w:space="0" w:color="BFBFBF" w:themeColor="accent4"/>
            </w:tcBorders>
            <w:shd w:val="clear" w:color="auto" w:fill="E7E6E6"/>
          </w:tcPr>
          <w:p w14:paraId="6A229C0A" w14:textId="77777777" w:rsidR="00FA7EBF" w:rsidRPr="007939DD" w:rsidRDefault="00FA7EBF" w:rsidP="007B207C">
            <w:pPr>
              <w:pStyle w:val="ARfintablebodyright"/>
            </w:pPr>
            <w:r w:rsidRPr="00444622">
              <w:t>102.8</w:t>
            </w:r>
          </w:p>
        </w:tc>
        <w:tc>
          <w:tcPr>
            <w:tcW w:w="1165" w:type="dxa"/>
            <w:tcBorders>
              <w:top w:val="single" w:sz="4" w:space="0" w:color="BFBFBF" w:themeColor="accent4"/>
              <w:bottom w:val="single" w:sz="4" w:space="0" w:color="BFBFBF" w:themeColor="accent4"/>
            </w:tcBorders>
          </w:tcPr>
          <w:p w14:paraId="4CC91D4C" w14:textId="77777777" w:rsidR="00FA7EBF" w:rsidRPr="007939DD" w:rsidRDefault="00FA7EBF" w:rsidP="007B207C">
            <w:pPr>
              <w:pStyle w:val="ARfintablebodyright"/>
            </w:pPr>
            <w:r w:rsidRPr="00444622">
              <w:t>92.9</w:t>
            </w:r>
          </w:p>
        </w:tc>
      </w:tr>
      <w:tr w:rsidR="00FA7EBF" w:rsidRPr="007939DD" w14:paraId="73C5BE03" w14:textId="77777777" w:rsidTr="007B207C">
        <w:tc>
          <w:tcPr>
            <w:tcW w:w="7310" w:type="dxa"/>
            <w:tcBorders>
              <w:top w:val="single" w:sz="4" w:space="0" w:color="BFBFBF" w:themeColor="accent4"/>
              <w:bottom w:val="single" w:sz="4" w:space="0" w:color="BFBFBF" w:themeColor="accent4"/>
            </w:tcBorders>
          </w:tcPr>
          <w:p w14:paraId="7672B71B" w14:textId="77777777" w:rsidR="00FA7EBF" w:rsidRPr="007939DD" w:rsidRDefault="00FA7EBF" w:rsidP="007B207C">
            <w:pPr>
              <w:pStyle w:val="ARfintablebodyindent"/>
            </w:pPr>
            <w:r w:rsidRPr="00444622">
              <w:t>Ramsay Health Care Limited</w:t>
            </w:r>
          </w:p>
        </w:tc>
        <w:tc>
          <w:tcPr>
            <w:tcW w:w="1158" w:type="dxa"/>
            <w:tcBorders>
              <w:top w:val="single" w:sz="4" w:space="0" w:color="BFBFBF" w:themeColor="accent4"/>
              <w:bottom w:val="single" w:sz="4" w:space="0" w:color="BFBFBF" w:themeColor="accent4"/>
            </w:tcBorders>
            <w:shd w:val="clear" w:color="auto" w:fill="E7E6E6"/>
          </w:tcPr>
          <w:p w14:paraId="29E77F72" w14:textId="77777777" w:rsidR="00FA7EBF" w:rsidRPr="007939DD" w:rsidRDefault="00FA7EBF" w:rsidP="007B207C">
            <w:pPr>
              <w:pStyle w:val="ARfintablebodyright"/>
            </w:pPr>
            <w:r w:rsidRPr="00444622">
              <w:t>97.8</w:t>
            </w:r>
          </w:p>
        </w:tc>
        <w:tc>
          <w:tcPr>
            <w:tcW w:w="1165" w:type="dxa"/>
            <w:tcBorders>
              <w:top w:val="single" w:sz="4" w:space="0" w:color="BFBFBF" w:themeColor="accent4"/>
              <w:bottom w:val="single" w:sz="4" w:space="0" w:color="BFBFBF" w:themeColor="accent4"/>
            </w:tcBorders>
          </w:tcPr>
          <w:p w14:paraId="3110FCFA" w14:textId="77777777" w:rsidR="00FA7EBF" w:rsidRPr="007939DD" w:rsidRDefault="00FA7EBF" w:rsidP="007B207C">
            <w:pPr>
              <w:pStyle w:val="ARfintablebodyright"/>
            </w:pPr>
            <w:r w:rsidRPr="00444622">
              <w:t>88.5</w:t>
            </w:r>
          </w:p>
        </w:tc>
      </w:tr>
      <w:tr w:rsidR="00FA7EBF" w:rsidRPr="007939DD" w14:paraId="5993C7A4" w14:textId="77777777" w:rsidTr="007B207C">
        <w:tc>
          <w:tcPr>
            <w:tcW w:w="7310" w:type="dxa"/>
            <w:tcBorders>
              <w:top w:val="single" w:sz="4" w:space="0" w:color="BFBFBF" w:themeColor="accent4"/>
              <w:bottom w:val="single" w:sz="4" w:space="0" w:color="BFBFBF" w:themeColor="accent4"/>
            </w:tcBorders>
          </w:tcPr>
          <w:p w14:paraId="041765F7" w14:textId="77777777" w:rsidR="00FA7EBF" w:rsidRPr="007939DD" w:rsidRDefault="00FA7EBF" w:rsidP="007B207C">
            <w:pPr>
              <w:pStyle w:val="ARfintablebodyindent"/>
            </w:pPr>
            <w:r w:rsidRPr="00444622">
              <w:t>The Royal Victorian Eye and Ear Hospital</w:t>
            </w:r>
          </w:p>
        </w:tc>
        <w:tc>
          <w:tcPr>
            <w:tcW w:w="1158" w:type="dxa"/>
            <w:tcBorders>
              <w:top w:val="single" w:sz="4" w:space="0" w:color="BFBFBF" w:themeColor="accent4"/>
              <w:bottom w:val="single" w:sz="4" w:space="0" w:color="BFBFBF" w:themeColor="accent4"/>
            </w:tcBorders>
            <w:shd w:val="clear" w:color="auto" w:fill="E7E6E6"/>
          </w:tcPr>
          <w:p w14:paraId="10AF655D" w14:textId="77777777" w:rsidR="00FA7EBF" w:rsidRPr="007939DD" w:rsidRDefault="00FA7EBF" w:rsidP="007B207C">
            <w:pPr>
              <w:pStyle w:val="ARfintablebodyright"/>
            </w:pPr>
            <w:r w:rsidRPr="00444622">
              <w:t>92.0</w:t>
            </w:r>
          </w:p>
        </w:tc>
        <w:tc>
          <w:tcPr>
            <w:tcW w:w="1165" w:type="dxa"/>
            <w:tcBorders>
              <w:top w:val="single" w:sz="4" w:space="0" w:color="BFBFBF" w:themeColor="accent4"/>
              <w:bottom w:val="single" w:sz="4" w:space="0" w:color="BFBFBF" w:themeColor="accent4"/>
            </w:tcBorders>
          </w:tcPr>
          <w:p w14:paraId="33D04FD7" w14:textId="77777777" w:rsidR="00FA7EBF" w:rsidRPr="007939DD" w:rsidRDefault="00FA7EBF" w:rsidP="007B207C">
            <w:pPr>
              <w:pStyle w:val="ARfintablebodyright"/>
            </w:pPr>
            <w:r w:rsidRPr="00444622">
              <w:t>83.0</w:t>
            </w:r>
          </w:p>
        </w:tc>
      </w:tr>
      <w:tr w:rsidR="00FA7EBF" w:rsidRPr="007939DD" w14:paraId="6C13BF8D" w14:textId="77777777" w:rsidTr="007B207C">
        <w:tc>
          <w:tcPr>
            <w:tcW w:w="7310" w:type="dxa"/>
            <w:tcBorders>
              <w:top w:val="single" w:sz="4" w:space="0" w:color="BFBFBF" w:themeColor="accent4"/>
              <w:bottom w:val="single" w:sz="4" w:space="0" w:color="BFBFBF" w:themeColor="accent4"/>
            </w:tcBorders>
          </w:tcPr>
          <w:p w14:paraId="155EC4EF" w14:textId="77777777" w:rsidR="00FA7EBF" w:rsidRPr="007939DD" w:rsidRDefault="00FA7EBF" w:rsidP="007B207C">
            <w:pPr>
              <w:pStyle w:val="ARfintablebodyindent"/>
            </w:pPr>
            <w:r w:rsidRPr="00444622">
              <w:t>West Gippsland Health Care Group</w:t>
            </w:r>
          </w:p>
        </w:tc>
        <w:tc>
          <w:tcPr>
            <w:tcW w:w="1158" w:type="dxa"/>
            <w:tcBorders>
              <w:top w:val="single" w:sz="4" w:space="0" w:color="BFBFBF" w:themeColor="accent4"/>
              <w:bottom w:val="single" w:sz="4" w:space="0" w:color="BFBFBF" w:themeColor="accent4"/>
            </w:tcBorders>
            <w:shd w:val="clear" w:color="auto" w:fill="E7E6E6"/>
          </w:tcPr>
          <w:p w14:paraId="6FB5BCF1" w14:textId="77777777" w:rsidR="00FA7EBF" w:rsidRPr="007939DD" w:rsidRDefault="00FA7EBF" w:rsidP="007B207C">
            <w:pPr>
              <w:pStyle w:val="ARfintablebodyright"/>
            </w:pPr>
            <w:r w:rsidRPr="00444622">
              <w:t>71.7</w:t>
            </w:r>
          </w:p>
        </w:tc>
        <w:tc>
          <w:tcPr>
            <w:tcW w:w="1165" w:type="dxa"/>
            <w:tcBorders>
              <w:top w:val="single" w:sz="4" w:space="0" w:color="BFBFBF" w:themeColor="accent4"/>
              <w:bottom w:val="single" w:sz="4" w:space="0" w:color="BFBFBF" w:themeColor="accent4"/>
            </w:tcBorders>
          </w:tcPr>
          <w:p w14:paraId="2A1E6BA1" w14:textId="77777777" w:rsidR="00FA7EBF" w:rsidRPr="007939DD" w:rsidRDefault="00FA7EBF" w:rsidP="007B207C">
            <w:pPr>
              <w:pStyle w:val="ARfintablebodyright"/>
            </w:pPr>
            <w:r w:rsidRPr="00444622">
              <w:t>68.6</w:t>
            </w:r>
          </w:p>
        </w:tc>
      </w:tr>
      <w:tr w:rsidR="00FA7EBF" w:rsidRPr="007939DD" w14:paraId="01E4F547" w14:textId="77777777" w:rsidTr="007B207C">
        <w:tc>
          <w:tcPr>
            <w:tcW w:w="7310" w:type="dxa"/>
            <w:tcBorders>
              <w:top w:val="single" w:sz="4" w:space="0" w:color="BFBFBF" w:themeColor="accent4"/>
              <w:bottom w:val="single" w:sz="4" w:space="0" w:color="BFBFBF" w:themeColor="accent4"/>
            </w:tcBorders>
          </w:tcPr>
          <w:p w14:paraId="4CA869AD" w14:textId="77777777" w:rsidR="00FA7EBF" w:rsidRPr="007939DD" w:rsidRDefault="00FA7EBF" w:rsidP="007B207C">
            <w:pPr>
              <w:pStyle w:val="ARfintablebodyindent"/>
            </w:pPr>
            <w:r w:rsidRPr="00444622">
              <w:t>Bairnsdale Regional Health Service</w:t>
            </w:r>
          </w:p>
        </w:tc>
        <w:tc>
          <w:tcPr>
            <w:tcW w:w="1158" w:type="dxa"/>
            <w:tcBorders>
              <w:top w:val="single" w:sz="4" w:space="0" w:color="BFBFBF" w:themeColor="accent4"/>
              <w:bottom w:val="single" w:sz="4" w:space="0" w:color="BFBFBF" w:themeColor="accent4"/>
            </w:tcBorders>
            <w:shd w:val="clear" w:color="auto" w:fill="E7E6E6"/>
          </w:tcPr>
          <w:p w14:paraId="73EAE996" w14:textId="77777777" w:rsidR="00FA7EBF" w:rsidRPr="007939DD" w:rsidRDefault="00FA7EBF" w:rsidP="007B207C">
            <w:pPr>
              <w:pStyle w:val="ARfintablebodyright"/>
            </w:pPr>
            <w:r w:rsidRPr="00444622">
              <w:t>60.6</w:t>
            </w:r>
          </w:p>
        </w:tc>
        <w:tc>
          <w:tcPr>
            <w:tcW w:w="1165" w:type="dxa"/>
            <w:tcBorders>
              <w:top w:val="single" w:sz="4" w:space="0" w:color="BFBFBF" w:themeColor="accent4"/>
              <w:bottom w:val="single" w:sz="4" w:space="0" w:color="BFBFBF" w:themeColor="accent4"/>
            </w:tcBorders>
          </w:tcPr>
          <w:p w14:paraId="1610143C" w14:textId="77777777" w:rsidR="00FA7EBF" w:rsidRPr="007939DD" w:rsidRDefault="00FA7EBF" w:rsidP="007B207C">
            <w:pPr>
              <w:pStyle w:val="ARfintablebodyright"/>
            </w:pPr>
            <w:r w:rsidRPr="00444622">
              <w:t>56.9</w:t>
            </w:r>
          </w:p>
        </w:tc>
      </w:tr>
      <w:tr w:rsidR="00FA7EBF" w:rsidRPr="007939DD" w14:paraId="2A222F25" w14:textId="77777777" w:rsidTr="007B207C">
        <w:tc>
          <w:tcPr>
            <w:tcW w:w="7310" w:type="dxa"/>
            <w:tcBorders>
              <w:top w:val="single" w:sz="4" w:space="0" w:color="BFBFBF" w:themeColor="accent4"/>
              <w:bottom w:val="single" w:sz="4" w:space="0" w:color="BFBFBF" w:themeColor="accent4"/>
            </w:tcBorders>
          </w:tcPr>
          <w:p w14:paraId="47A2501A" w14:textId="77777777" w:rsidR="00FA7EBF" w:rsidRPr="007939DD" w:rsidRDefault="00FA7EBF" w:rsidP="007B207C">
            <w:pPr>
              <w:pStyle w:val="ARfintablebodyindent"/>
            </w:pPr>
            <w:r w:rsidRPr="00444622">
              <w:t>Central Gippsland Health Service</w:t>
            </w:r>
          </w:p>
        </w:tc>
        <w:tc>
          <w:tcPr>
            <w:tcW w:w="1158" w:type="dxa"/>
            <w:tcBorders>
              <w:top w:val="single" w:sz="4" w:space="0" w:color="BFBFBF" w:themeColor="accent4"/>
              <w:bottom w:val="single" w:sz="4" w:space="0" w:color="BFBFBF" w:themeColor="accent4"/>
            </w:tcBorders>
            <w:shd w:val="clear" w:color="auto" w:fill="E7E6E6"/>
          </w:tcPr>
          <w:p w14:paraId="38E7CED6" w14:textId="77777777" w:rsidR="00FA7EBF" w:rsidRPr="007939DD" w:rsidRDefault="00FA7EBF" w:rsidP="007B207C">
            <w:pPr>
              <w:pStyle w:val="ARfintablebodyright"/>
            </w:pPr>
            <w:r w:rsidRPr="00444622">
              <w:t>57.6</w:t>
            </w:r>
          </w:p>
        </w:tc>
        <w:tc>
          <w:tcPr>
            <w:tcW w:w="1165" w:type="dxa"/>
            <w:tcBorders>
              <w:top w:val="single" w:sz="4" w:space="0" w:color="BFBFBF" w:themeColor="accent4"/>
              <w:bottom w:val="single" w:sz="4" w:space="0" w:color="BFBFBF" w:themeColor="accent4"/>
            </w:tcBorders>
          </w:tcPr>
          <w:p w14:paraId="2FF6CCF9" w14:textId="77777777" w:rsidR="00FA7EBF" w:rsidRPr="007939DD" w:rsidRDefault="00FA7EBF" w:rsidP="007B207C">
            <w:pPr>
              <w:pStyle w:val="ARfintablebodyright"/>
            </w:pPr>
            <w:r w:rsidRPr="00444622">
              <w:t>53.9</w:t>
            </w:r>
          </w:p>
        </w:tc>
      </w:tr>
      <w:tr w:rsidR="00FA7EBF" w:rsidRPr="007939DD" w14:paraId="5FF451B9" w14:textId="77777777" w:rsidTr="007B207C">
        <w:tc>
          <w:tcPr>
            <w:tcW w:w="7310" w:type="dxa"/>
            <w:tcBorders>
              <w:top w:val="single" w:sz="4" w:space="0" w:color="BFBFBF" w:themeColor="accent4"/>
              <w:bottom w:val="single" w:sz="4" w:space="0" w:color="BFBFBF" w:themeColor="accent4"/>
            </w:tcBorders>
          </w:tcPr>
          <w:p w14:paraId="7C776B3D" w14:textId="77777777" w:rsidR="00FA7EBF" w:rsidRPr="007939DD" w:rsidRDefault="00FA7EBF" w:rsidP="007B207C">
            <w:pPr>
              <w:pStyle w:val="ARfintablebodyindent"/>
            </w:pPr>
            <w:r w:rsidRPr="00444622">
              <w:t>Wimmera Health Care Group</w:t>
            </w:r>
          </w:p>
        </w:tc>
        <w:tc>
          <w:tcPr>
            <w:tcW w:w="1158" w:type="dxa"/>
            <w:tcBorders>
              <w:top w:val="single" w:sz="4" w:space="0" w:color="BFBFBF" w:themeColor="accent4"/>
              <w:bottom w:val="single" w:sz="4" w:space="0" w:color="BFBFBF" w:themeColor="accent4"/>
            </w:tcBorders>
            <w:shd w:val="clear" w:color="auto" w:fill="E7E6E6"/>
          </w:tcPr>
          <w:p w14:paraId="0C5A0A56" w14:textId="77777777" w:rsidR="00FA7EBF" w:rsidRPr="007939DD" w:rsidRDefault="00FA7EBF" w:rsidP="007B207C">
            <w:pPr>
              <w:pStyle w:val="ARfintablebodyright"/>
            </w:pPr>
            <w:r w:rsidRPr="00444622">
              <w:t>60.2</w:t>
            </w:r>
          </w:p>
        </w:tc>
        <w:tc>
          <w:tcPr>
            <w:tcW w:w="1165" w:type="dxa"/>
            <w:tcBorders>
              <w:top w:val="single" w:sz="4" w:space="0" w:color="BFBFBF" w:themeColor="accent4"/>
              <w:bottom w:val="single" w:sz="4" w:space="0" w:color="BFBFBF" w:themeColor="accent4"/>
            </w:tcBorders>
          </w:tcPr>
          <w:p w14:paraId="754B2C6D" w14:textId="77777777" w:rsidR="00FA7EBF" w:rsidRPr="007939DD" w:rsidRDefault="00FA7EBF" w:rsidP="007B207C">
            <w:pPr>
              <w:pStyle w:val="ARfintablebodyright"/>
            </w:pPr>
            <w:r w:rsidRPr="00444622">
              <w:t>53.3</w:t>
            </w:r>
          </w:p>
        </w:tc>
      </w:tr>
      <w:tr w:rsidR="00FA7EBF" w:rsidRPr="007939DD" w14:paraId="1BCC5B1A" w14:textId="77777777" w:rsidTr="007B207C">
        <w:tc>
          <w:tcPr>
            <w:tcW w:w="7310" w:type="dxa"/>
            <w:tcBorders>
              <w:top w:val="single" w:sz="4" w:space="0" w:color="BFBFBF" w:themeColor="accent4"/>
              <w:bottom w:val="single" w:sz="4" w:space="0" w:color="BFBFBF" w:themeColor="accent4"/>
            </w:tcBorders>
          </w:tcPr>
          <w:p w14:paraId="3AF0176D" w14:textId="77777777" w:rsidR="00FA7EBF" w:rsidRPr="007939DD" w:rsidRDefault="00FA7EBF" w:rsidP="007B207C">
            <w:pPr>
              <w:pStyle w:val="ARfintablebodyindent"/>
            </w:pPr>
            <w:r w:rsidRPr="00444622">
              <w:t>Echuca Regional Health</w:t>
            </w:r>
          </w:p>
        </w:tc>
        <w:tc>
          <w:tcPr>
            <w:tcW w:w="1158" w:type="dxa"/>
            <w:tcBorders>
              <w:top w:val="single" w:sz="4" w:space="0" w:color="BFBFBF" w:themeColor="accent4"/>
              <w:bottom w:val="single" w:sz="4" w:space="0" w:color="BFBFBF" w:themeColor="accent4"/>
            </w:tcBorders>
            <w:shd w:val="clear" w:color="auto" w:fill="E7E6E6"/>
          </w:tcPr>
          <w:p w14:paraId="27BF75AF" w14:textId="77777777" w:rsidR="00FA7EBF" w:rsidRPr="007939DD" w:rsidRDefault="00FA7EBF" w:rsidP="007B207C">
            <w:pPr>
              <w:pStyle w:val="ARfintablebodyright"/>
            </w:pPr>
            <w:r w:rsidRPr="00444622">
              <w:t>54.2</w:t>
            </w:r>
          </w:p>
        </w:tc>
        <w:tc>
          <w:tcPr>
            <w:tcW w:w="1165" w:type="dxa"/>
            <w:tcBorders>
              <w:top w:val="single" w:sz="4" w:space="0" w:color="BFBFBF" w:themeColor="accent4"/>
              <w:bottom w:val="single" w:sz="4" w:space="0" w:color="BFBFBF" w:themeColor="accent4"/>
            </w:tcBorders>
          </w:tcPr>
          <w:p w14:paraId="7712802E" w14:textId="77777777" w:rsidR="00FA7EBF" w:rsidRPr="007939DD" w:rsidRDefault="00FA7EBF" w:rsidP="007B207C">
            <w:pPr>
              <w:pStyle w:val="ARfintablebodyright"/>
            </w:pPr>
            <w:r w:rsidRPr="00444622">
              <w:t>47.4</w:t>
            </w:r>
          </w:p>
        </w:tc>
      </w:tr>
      <w:tr w:rsidR="00FA7EBF" w:rsidRPr="007939DD" w14:paraId="2CBEA27A" w14:textId="77777777" w:rsidTr="007B207C">
        <w:tc>
          <w:tcPr>
            <w:tcW w:w="7310" w:type="dxa"/>
            <w:tcBorders>
              <w:top w:val="single" w:sz="4" w:space="0" w:color="BFBFBF" w:themeColor="accent4"/>
              <w:bottom w:val="single" w:sz="4" w:space="0" w:color="BFBFBF" w:themeColor="accent4"/>
            </w:tcBorders>
          </w:tcPr>
          <w:p w14:paraId="09CFA7A0" w14:textId="77777777" w:rsidR="00FA7EBF" w:rsidRPr="007939DD" w:rsidRDefault="00FA7EBF" w:rsidP="007B207C">
            <w:pPr>
              <w:pStyle w:val="ARfintablebodyindent"/>
            </w:pPr>
            <w:r w:rsidRPr="00444622">
              <w:t>Djerriwarrh Health Services</w:t>
            </w:r>
          </w:p>
        </w:tc>
        <w:tc>
          <w:tcPr>
            <w:tcW w:w="1158" w:type="dxa"/>
            <w:tcBorders>
              <w:top w:val="single" w:sz="4" w:space="0" w:color="BFBFBF" w:themeColor="accent4"/>
              <w:bottom w:val="single" w:sz="4" w:space="0" w:color="BFBFBF" w:themeColor="accent4"/>
            </w:tcBorders>
            <w:shd w:val="clear" w:color="auto" w:fill="E7E6E6"/>
          </w:tcPr>
          <w:p w14:paraId="7E5E5AEC" w14:textId="77777777" w:rsidR="00FA7EBF" w:rsidRPr="007939DD" w:rsidRDefault="00FA7EBF" w:rsidP="007B207C">
            <w:pPr>
              <w:pStyle w:val="ARfintablebodyright"/>
            </w:pPr>
            <w:r w:rsidRPr="00444622">
              <w:t>47.7</w:t>
            </w:r>
          </w:p>
        </w:tc>
        <w:tc>
          <w:tcPr>
            <w:tcW w:w="1165" w:type="dxa"/>
            <w:tcBorders>
              <w:top w:val="single" w:sz="4" w:space="0" w:color="BFBFBF" w:themeColor="accent4"/>
              <w:bottom w:val="single" w:sz="4" w:space="0" w:color="BFBFBF" w:themeColor="accent4"/>
            </w:tcBorders>
          </w:tcPr>
          <w:p w14:paraId="04D2F99D" w14:textId="77777777" w:rsidR="00FA7EBF" w:rsidRPr="007939DD" w:rsidRDefault="00FA7EBF" w:rsidP="007B207C">
            <w:pPr>
              <w:pStyle w:val="ARfintablebodyright"/>
            </w:pPr>
            <w:r w:rsidRPr="00444622">
              <w:t>43.2</w:t>
            </w:r>
          </w:p>
        </w:tc>
      </w:tr>
      <w:tr w:rsidR="00FA7EBF" w:rsidRPr="007939DD" w14:paraId="592CEB71" w14:textId="77777777" w:rsidTr="007B207C">
        <w:tc>
          <w:tcPr>
            <w:tcW w:w="7310" w:type="dxa"/>
            <w:tcBorders>
              <w:top w:val="single" w:sz="4" w:space="0" w:color="BFBFBF" w:themeColor="accent4"/>
              <w:bottom w:val="single" w:sz="4" w:space="0" w:color="BFBFBF" w:themeColor="accent4"/>
            </w:tcBorders>
          </w:tcPr>
          <w:p w14:paraId="286BDCC4" w14:textId="77777777" w:rsidR="00FA7EBF" w:rsidRPr="007939DD" w:rsidRDefault="00FA7EBF" w:rsidP="007B207C">
            <w:pPr>
              <w:pStyle w:val="ARfintablebodyindent"/>
            </w:pPr>
            <w:r w:rsidRPr="00444622">
              <w:t>Bass Coast Health</w:t>
            </w:r>
          </w:p>
        </w:tc>
        <w:tc>
          <w:tcPr>
            <w:tcW w:w="1158" w:type="dxa"/>
            <w:tcBorders>
              <w:top w:val="single" w:sz="4" w:space="0" w:color="BFBFBF" w:themeColor="accent4"/>
              <w:bottom w:val="single" w:sz="4" w:space="0" w:color="BFBFBF" w:themeColor="accent4"/>
            </w:tcBorders>
            <w:shd w:val="clear" w:color="auto" w:fill="E7E6E6"/>
          </w:tcPr>
          <w:p w14:paraId="4D0118C1" w14:textId="77777777" w:rsidR="00FA7EBF" w:rsidRPr="007939DD" w:rsidRDefault="00FA7EBF" w:rsidP="007B207C">
            <w:pPr>
              <w:pStyle w:val="ARfintablebodyright"/>
            </w:pPr>
            <w:r w:rsidRPr="00444622">
              <w:t>46.0</w:t>
            </w:r>
          </w:p>
        </w:tc>
        <w:tc>
          <w:tcPr>
            <w:tcW w:w="1165" w:type="dxa"/>
            <w:tcBorders>
              <w:top w:val="single" w:sz="4" w:space="0" w:color="BFBFBF" w:themeColor="accent4"/>
              <w:bottom w:val="single" w:sz="4" w:space="0" w:color="BFBFBF" w:themeColor="accent4"/>
            </w:tcBorders>
          </w:tcPr>
          <w:p w14:paraId="3E1F7DE1" w14:textId="77777777" w:rsidR="00FA7EBF" w:rsidRPr="007939DD" w:rsidRDefault="00FA7EBF" w:rsidP="007B207C">
            <w:pPr>
              <w:pStyle w:val="ARfintablebodyright"/>
            </w:pPr>
            <w:r w:rsidRPr="00444622">
              <w:t>43.1</w:t>
            </w:r>
          </w:p>
        </w:tc>
      </w:tr>
      <w:tr w:rsidR="00FA7EBF" w:rsidRPr="007939DD" w14:paraId="48747CFD" w14:textId="77777777" w:rsidTr="007B207C">
        <w:tc>
          <w:tcPr>
            <w:tcW w:w="7310" w:type="dxa"/>
            <w:tcBorders>
              <w:top w:val="single" w:sz="4" w:space="0" w:color="BFBFBF" w:themeColor="accent4"/>
              <w:bottom w:val="single" w:sz="4" w:space="0" w:color="BFBFBF" w:themeColor="accent4"/>
            </w:tcBorders>
          </w:tcPr>
          <w:p w14:paraId="2B512B90" w14:textId="77777777" w:rsidR="00FA7EBF" w:rsidRPr="007939DD" w:rsidRDefault="00FA7EBF" w:rsidP="007B207C">
            <w:pPr>
              <w:pStyle w:val="ARfintablebodyindent"/>
            </w:pPr>
            <w:r w:rsidRPr="00444622">
              <w:t>Western District Health Service</w:t>
            </w:r>
          </w:p>
        </w:tc>
        <w:tc>
          <w:tcPr>
            <w:tcW w:w="1158" w:type="dxa"/>
            <w:tcBorders>
              <w:top w:val="single" w:sz="4" w:space="0" w:color="BFBFBF" w:themeColor="accent4"/>
              <w:bottom w:val="single" w:sz="4" w:space="0" w:color="BFBFBF" w:themeColor="accent4"/>
            </w:tcBorders>
            <w:shd w:val="clear" w:color="auto" w:fill="E7E6E6"/>
          </w:tcPr>
          <w:p w14:paraId="64010129" w14:textId="77777777" w:rsidR="00FA7EBF" w:rsidRPr="007939DD" w:rsidRDefault="00FA7EBF" w:rsidP="007B207C">
            <w:pPr>
              <w:pStyle w:val="ARfintablebodyright"/>
            </w:pPr>
            <w:r w:rsidRPr="00444622">
              <w:t>40.4</w:t>
            </w:r>
          </w:p>
        </w:tc>
        <w:tc>
          <w:tcPr>
            <w:tcW w:w="1165" w:type="dxa"/>
            <w:tcBorders>
              <w:top w:val="single" w:sz="4" w:space="0" w:color="BFBFBF" w:themeColor="accent4"/>
              <w:bottom w:val="single" w:sz="4" w:space="0" w:color="BFBFBF" w:themeColor="accent4"/>
            </w:tcBorders>
          </w:tcPr>
          <w:p w14:paraId="15967789" w14:textId="77777777" w:rsidR="00FA7EBF" w:rsidRPr="007939DD" w:rsidRDefault="00FA7EBF" w:rsidP="007B207C">
            <w:pPr>
              <w:pStyle w:val="ARfintablebodyright"/>
            </w:pPr>
            <w:r w:rsidRPr="00444622">
              <w:t>37.1</w:t>
            </w:r>
          </w:p>
        </w:tc>
      </w:tr>
      <w:tr w:rsidR="00FA7EBF" w:rsidRPr="007939DD" w14:paraId="46E7E87E" w14:textId="77777777" w:rsidTr="007B207C">
        <w:tc>
          <w:tcPr>
            <w:tcW w:w="7310" w:type="dxa"/>
            <w:tcBorders>
              <w:top w:val="single" w:sz="4" w:space="0" w:color="BFBFBF" w:themeColor="accent4"/>
              <w:bottom w:val="single" w:sz="4" w:space="0" w:color="BFBFBF" w:themeColor="accent4"/>
            </w:tcBorders>
          </w:tcPr>
          <w:p w14:paraId="37EBD4EC" w14:textId="77777777" w:rsidR="00FA7EBF" w:rsidRPr="007939DD" w:rsidRDefault="00FA7EBF" w:rsidP="007B207C">
            <w:pPr>
              <w:pStyle w:val="ARfintablebodyindent"/>
            </w:pPr>
            <w:r w:rsidRPr="00444622">
              <w:t>Swan Hill District Health</w:t>
            </w:r>
          </w:p>
        </w:tc>
        <w:tc>
          <w:tcPr>
            <w:tcW w:w="1158" w:type="dxa"/>
            <w:tcBorders>
              <w:top w:val="single" w:sz="4" w:space="0" w:color="BFBFBF" w:themeColor="accent4"/>
              <w:bottom w:val="single" w:sz="4" w:space="0" w:color="BFBFBF" w:themeColor="accent4"/>
            </w:tcBorders>
            <w:shd w:val="clear" w:color="auto" w:fill="E7E6E6"/>
          </w:tcPr>
          <w:p w14:paraId="6D54217F" w14:textId="77777777" w:rsidR="00FA7EBF" w:rsidRPr="007939DD" w:rsidRDefault="00FA7EBF" w:rsidP="007B207C">
            <w:pPr>
              <w:pStyle w:val="ARfintablebodyright"/>
            </w:pPr>
            <w:r w:rsidRPr="00444622">
              <w:t>36.7</w:t>
            </w:r>
          </w:p>
        </w:tc>
        <w:tc>
          <w:tcPr>
            <w:tcW w:w="1165" w:type="dxa"/>
            <w:tcBorders>
              <w:top w:val="single" w:sz="4" w:space="0" w:color="BFBFBF" w:themeColor="accent4"/>
              <w:bottom w:val="single" w:sz="4" w:space="0" w:color="BFBFBF" w:themeColor="accent4"/>
            </w:tcBorders>
          </w:tcPr>
          <w:p w14:paraId="4F95F514" w14:textId="77777777" w:rsidR="00FA7EBF" w:rsidRPr="007939DD" w:rsidRDefault="00FA7EBF" w:rsidP="007B207C">
            <w:pPr>
              <w:pStyle w:val="ARfintablebodyright"/>
            </w:pPr>
            <w:r w:rsidRPr="00444622">
              <w:t>32.9</w:t>
            </w:r>
          </w:p>
        </w:tc>
      </w:tr>
      <w:tr w:rsidR="00FA7EBF" w:rsidRPr="007939DD" w14:paraId="1DDFC297" w14:textId="77777777" w:rsidTr="007B207C">
        <w:tc>
          <w:tcPr>
            <w:tcW w:w="7310" w:type="dxa"/>
            <w:tcBorders>
              <w:top w:val="single" w:sz="4" w:space="0" w:color="BFBFBF" w:themeColor="accent4"/>
              <w:bottom w:val="single" w:sz="4" w:space="0" w:color="BFBFBF" w:themeColor="accent4"/>
            </w:tcBorders>
          </w:tcPr>
          <w:p w14:paraId="49CEF6A6" w14:textId="77777777" w:rsidR="00FA7EBF" w:rsidRPr="007939DD" w:rsidRDefault="00FA7EBF" w:rsidP="007B207C">
            <w:pPr>
              <w:pStyle w:val="ARfintablebodyindent"/>
            </w:pPr>
            <w:r w:rsidRPr="00444622">
              <w:t>Portland District Health</w:t>
            </w:r>
          </w:p>
        </w:tc>
        <w:tc>
          <w:tcPr>
            <w:tcW w:w="1158" w:type="dxa"/>
            <w:tcBorders>
              <w:top w:val="single" w:sz="4" w:space="0" w:color="BFBFBF" w:themeColor="accent4"/>
              <w:bottom w:val="single" w:sz="4" w:space="0" w:color="BFBFBF" w:themeColor="accent4"/>
            </w:tcBorders>
            <w:shd w:val="clear" w:color="auto" w:fill="E7E6E6"/>
          </w:tcPr>
          <w:p w14:paraId="23D92615" w14:textId="77777777" w:rsidR="00FA7EBF" w:rsidRPr="007939DD" w:rsidRDefault="00FA7EBF" w:rsidP="007B207C">
            <w:pPr>
              <w:pStyle w:val="ARfintablebodyright"/>
            </w:pPr>
            <w:r w:rsidRPr="00444622">
              <w:t>31.8</w:t>
            </w:r>
          </w:p>
        </w:tc>
        <w:tc>
          <w:tcPr>
            <w:tcW w:w="1165" w:type="dxa"/>
            <w:tcBorders>
              <w:top w:val="single" w:sz="4" w:space="0" w:color="BFBFBF" w:themeColor="accent4"/>
              <w:bottom w:val="single" w:sz="4" w:space="0" w:color="BFBFBF" w:themeColor="accent4"/>
            </w:tcBorders>
          </w:tcPr>
          <w:p w14:paraId="5C96BD0F" w14:textId="77777777" w:rsidR="00FA7EBF" w:rsidRPr="007939DD" w:rsidRDefault="00FA7EBF" w:rsidP="007B207C">
            <w:pPr>
              <w:pStyle w:val="ARfintablebodyright"/>
            </w:pPr>
            <w:r w:rsidRPr="00444622">
              <w:t>27.7</w:t>
            </w:r>
          </w:p>
        </w:tc>
      </w:tr>
      <w:tr w:rsidR="00FA7EBF" w:rsidRPr="007939DD" w14:paraId="03F11098" w14:textId="77777777" w:rsidTr="007B207C">
        <w:tc>
          <w:tcPr>
            <w:tcW w:w="7310" w:type="dxa"/>
            <w:tcBorders>
              <w:top w:val="single" w:sz="4" w:space="0" w:color="BFBFBF" w:themeColor="accent4"/>
            </w:tcBorders>
          </w:tcPr>
          <w:p w14:paraId="2C38E20A" w14:textId="77777777" w:rsidR="00FA7EBF" w:rsidRPr="007939DD" w:rsidRDefault="00FA7EBF" w:rsidP="007B207C">
            <w:pPr>
              <w:pStyle w:val="ARfintablebodyindent"/>
            </w:pPr>
            <w:r w:rsidRPr="00444622">
              <w:t>Other public hospitals with payment totalling less than $30 million</w:t>
            </w:r>
          </w:p>
        </w:tc>
        <w:tc>
          <w:tcPr>
            <w:tcW w:w="1158" w:type="dxa"/>
            <w:tcBorders>
              <w:top w:val="single" w:sz="4" w:space="0" w:color="BFBFBF" w:themeColor="accent4"/>
            </w:tcBorders>
            <w:shd w:val="clear" w:color="auto" w:fill="E7E6E6"/>
          </w:tcPr>
          <w:p w14:paraId="1D44628A" w14:textId="77777777" w:rsidR="00FA7EBF" w:rsidRPr="007939DD" w:rsidRDefault="00FA7EBF" w:rsidP="007B207C">
            <w:pPr>
              <w:pStyle w:val="ARfintablebodyright"/>
            </w:pPr>
            <w:r w:rsidRPr="00444622">
              <w:t>174.9</w:t>
            </w:r>
          </w:p>
        </w:tc>
        <w:tc>
          <w:tcPr>
            <w:tcW w:w="1165" w:type="dxa"/>
            <w:tcBorders>
              <w:top w:val="single" w:sz="4" w:space="0" w:color="BFBFBF" w:themeColor="accent4"/>
            </w:tcBorders>
          </w:tcPr>
          <w:p w14:paraId="638517DB" w14:textId="77777777" w:rsidR="00FA7EBF" w:rsidRPr="007939DD" w:rsidRDefault="00FA7EBF" w:rsidP="007B207C">
            <w:pPr>
              <w:pStyle w:val="ARfintablebodyright"/>
            </w:pPr>
            <w:r w:rsidRPr="00444622">
              <w:t>161.0</w:t>
            </w:r>
          </w:p>
        </w:tc>
      </w:tr>
      <w:tr w:rsidR="00FA7EBF" w:rsidRPr="007939DD" w14:paraId="66DFFC27" w14:textId="77777777" w:rsidTr="007B207C">
        <w:tc>
          <w:tcPr>
            <w:tcW w:w="7310" w:type="dxa"/>
          </w:tcPr>
          <w:p w14:paraId="52163723" w14:textId="77777777" w:rsidR="00FA7EBF" w:rsidRPr="007939DD" w:rsidRDefault="00FA7EBF" w:rsidP="007B207C">
            <w:pPr>
              <w:pStyle w:val="ARfintablebody"/>
            </w:pPr>
          </w:p>
        </w:tc>
        <w:tc>
          <w:tcPr>
            <w:tcW w:w="1158" w:type="dxa"/>
            <w:shd w:val="clear" w:color="auto" w:fill="E7E6E6"/>
          </w:tcPr>
          <w:p w14:paraId="394E2217" w14:textId="77777777" w:rsidR="00FA7EBF" w:rsidRPr="007939DD" w:rsidRDefault="00FA7EBF" w:rsidP="007B207C">
            <w:pPr>
              <w:pStyle w:val="ARfintablebodyright"/>
            </w:pPr>
            <w:r w:rsidRPr="00444622">
              <w:t>9,572.3</w:t>
            </w:r>
          </w:p>
        </w:tc>
        <w:tc>
          <w:tcPr>
            <w:tcW w:w="1165" w:type="dxa"/>
          </w:tcPr>
          <w:p w14:paraId="057EA72C" w14:textId="77777777" w:rsidR="00FA7EBF" w:rsidRPr="007939DD" w:rsidRDefault="00FA7EBF" w:rsidP="007B207C">
            <w:pPr>
              <w:pStyle w:val="ARfintablebodyright"/>
            </w:pPr>
            <w:r w:rsidRPr="00444622">
              <w:t>9,037.3</w:t>
            </w:r>
          </w:p>
        </w:tc>
      </w:tr>
      <w:tr w:rsidR="00FA7EBF" w:rsidRPr="007939DD" w14:paraId="61939D36" w14:textId="77777777" w:rsidTr="007B207C">
        <w:tc>
          <w:tcPr>
            <w:tcW w:w="9633" w:type="dxa"/>
            <w:gridSpan w:val="3"/>
            <w:tcBorders>
              <w:bottom w:val="single" w:sz="4" w:space="0" w:color="BFBFBF" w:themeColor="accent4"/>
            </w:tcBorders>
          </w:tcPr>
          <w:p w14:paraId="39D954B6" w14:textId="77777777" w:rsidR="00FA7EBF" w:rsidRPr="007939DD" w:rsidRDefault="00FA7EBF" w:rsidP="007B207C">
            <w:pPr>
              <w:pStyle w:val="ARfintablebodybold"/>
            </w:pPr>
            <w:r w:rsidRPr="00444622">
              <w:t xml:space="preserve">Commonwealth </w:t>
            </w:r>
            <w:r>
              <w:t>G</w:t>
            </w:r>
            <w:r w:rsidRPr="00444622">
              <w:t>overnment</w:t>
            </w:r>
          </w:p>
        </w:tc>
      </w:tr>
      <w:tr w:rsidR="00FA7EBF" w:rsidRPr="007939DD" w14:paraId="4D6BE561" w14:textId="77777777" w:rsidTr="007B207C">
        <w:tc>
          <w:tcPr>
            <w:tcW w:w="7310" w:type="dxa"/>
            <w:tcBorders>
              <w:top w:val="single" w:sz="4" w:space="0" w:color="BFBFBF" w:themeColor="accent4"/>
            </w:tcBorders>
          </w:tcPr>
          <w:p w14:paraId="77030B50" w14:textId="77777777" w:rsidR="00FA7EBF" w:rsidRPr="007939DD" w:rsidRDefault="00FA7EBF" w:rsidP="007B207C">
            <w:pPr>
              <w:pStyle w:val="ARfintablebodyindent"/>
            </w:pPr>
            <w:r w:rsidRPr="00444622">
              <w:t>National Disability Insurance Agency</w:t>
            </w:r>
          </w:p>
        </w:tc>
        <w:tc>
          <w:tcPr>
            <w:tcW w:w="1158" w:type="dxa"/>
            <w:tcBorders>
              <w:top w:val="single" w:sz="4" w:space="0" w:color="BFBFBF" w:themeColor="accent4"/>
            </w:tcBorders>
            <w:shd w:val="clear" w:color="auto" w:fill="E7E6E6"/>
          </w:tcPr>
          <w:p w14:paraId="4AD5EF14" w14:textId="77777777" w:rsidR="00FA7EBF" w:rsidRPr="007939DD" w:rsidRDefault="00FA7EBF" w:rsidP="007B207C">
            <w:pPr>
              <w:pStyle w:val="ARfintablebodyright"/>
            </w:pPr>
            <w:r w:rsidRPr="00444622">
              <w:t>1,164.8</w:t>
            </w:r>
          </w:p>
        </w:tc>
        <w:tc>
          <w:tcPr>
            <w:tcW w:w="1165" w:type="dxa"/>
            <w:tcBorders>
              <w:top w:val="single" w:sz="4" w:space="0" w:color="BFBFBF" w:themeColor="accent4"/>
            </w:tcBorders>
          </w:tcPr>
          <w:p w14:paraId="0C41A537" w14:textId="77777777" w:rsidR="00FA7EBF" w:rsidRPr="007939DD" w:rsidRDefault="00FA7EBF" w:rsidP="007B207C">
            <w:pPr>
              <w:pStyle w:val="ARfintablebodyright"/>
            </w:pPr>
            <w:r w:rsidRPr="00444622">
              <w:t>507.8</w:t>
            </w:r>
          </w:p>
        </w:tc>
      </w:tr>
      <w:tr w:rsidR="00FA7EBF" w:rsidRPr="007939DD" w14:paraId="50BEDD79" w14:textId="77777777" w:rsidTr="007B207C">
        <w:tc>
          <w:tcPr>
            <w:tcW w:w="9633" w:type="dxa"/>
            <w:gridSpan w:val="3"/>
            <w:tcBorders>
              <w:bottom w:val="single" w:sz="4" w:space="0" w:color="BFBFBF" w:themeColor="accent4"/>
            </w:tcBorders>
          </w:tcPr>
          <w:p w14:paraId="3F4B8F22" w14:textId="77777777" w:rsidR="00FA7EBF" w:rsidRPr="007939DD" w:rsidRDefault="00FA7EBF" w:rsidP="007B207C">
            <w:pPr>
              <w:pStyle w:val="ARfintablebodybold"/>
            </w:pPr>
            <w:r w:rsidRPr="00444622">
              <w:t>Other</w:t>
            </w:r>
          </w:p>
        </w:tc>
      </w:tr>
      <w:tr w:rsidR="00FA7EBF" w:rsidRPr="007939DD" w14:paraId="064D7BB3" w14:textId="77777777" w:rsidTr="007B207C">
        <w:tc>
          <w:tcPr>
            <w:tcW w:w="7310" w:type="dxa"/>
            <w:tcBorders>
              <w:top w:val="single" w:sz="4" w:space="0" w:color="BFBFBF" w:themeColor="accent4"/>
              <w:bottom w:val="single" w:sz="4" w:space="0" w:color="BFBFBF" w:themeColor="accent4"/>
            </w:tcBorders>
          </w:tcPr>
          <w:p w14:paraId="454347CB" w14:textId="77777777" w:rsidR="00FA7EBF" w:rsidRPr="007939DD" w:rsidRDefault="00FA7EBF" w:rsidP="007B207C">
            <w:pPr>
              <w:pStyle w:val="ARfintablebodyindent"/>
            </w:pPr>
            <w:r w:rsidRPr="00444622">
              <w:t>Cross Border payment to NSW Health</w:t>
            </w:r>
          </w:p>
        </w:tc>
        <w:tc>
          <w:tcPr>
            <w:tcW w:w="1158" w:type="dxa"/>
            <w:tcBorders>
              <w:top w:val="single" w:sz="4" w:space="0" w:color="BFBFBF" w:themeColor="accent4"/>
              <w:bottom w:val="single" w:sz="4" w:space="0" w:color="BFBFBF" w:themeColor="accent4"/>
            </w:tcBorders>
            <w:shd w:val="clear" w:color="auto" w:fill="E7E6E6"/>
          </w:tcPr>
          <w:p w14:paraId="4126129C" w14:textId="77777777" w:rsidR="00FA7EBF" w:rsidRPr="007939DD" w:rsidRDefault="00FA7EBF" w:rsidP="007B207C">
            <w:pPr>
              <w:pStyle w:val="ARfintablebodyright"/>
            </w:pPr>
            <w:r w:rsidRPr="00444622">
              <w:t>9.6</w:t>
            </w:r>
          </w:p>
        </w:tc>
        <w:tc>
          <w:tcPr>
            <w:tcW w:w="1165" w:type="dxa"/>
            <w:tcBorders>
              <w:top w:val="single" w:sz="4" w:space="0" w:color="BFBFBF" w:themeColor="accent4"/>
              <w:bottom w:val="single" w:sz="4" w:space="0" w:color="BFBFBF" w:themeColor="accent4"/>
            </w:tcBorders>
          </w:tcPr>
          <w:p w14:paraId="6CA4B8AB" w14:textId="77777777" w:rsidR="00FA7EBF" w:rsidRPr="007939DD" w:rsidRDefault="00FA7EBF" w:rsidP="007B207C">
            <w:pPr>
              <w:pStyle w:val="ARfintablebodyright"/>
            </w:pPr>
            <w:r w:rsidRPr="00444622">
              <w:t>9.6</w:t>
            </w:r>
          </w:p>
        </w:tc>
      </w:tr>
      <w:tr w:rsidR="00FA7EBF" w:rsidRPr="007939DD" w14:paraId="1722CB11" w14:textId="77777777" w:rsidTr="007B207C">
        <w:tc>
          <w:tcPr>
            <w:tcW w:w="7310" w:type="dxa"/>
            <w:tcBorders>
              <w:top w:val="single" w:sz="4" w:space="0" w:color="BFBFBF" w:themeColor="accent4"/>
            </w:tcBorders>
          </w:tcPr>
          <w:p w14:paraId="658F3401" w14:textId="77777777" w:rsidR="00FA7EBF" w:rsidRPr="007939DD" w:rsidRDefault="00FA7EBF" w:rsidP="007B207C">
            <w:pPr>
              <w:pStyle w:val="ARfintablebodyindent"/>
            </w:pPr>
            <w:r w:rsidRPr="00444622">
              <w:t>Other organisations with payment totalling less than $10 million</w:t>
            </w:r>
          </w:p>
        </w:tc>
        <w:tc>
          <w:tcPr>
            <w:tcW w:w="1158" w:type="dxa"/>
            <w:tcBorders>
              <w:top w:val="single" w:sz="4" w:space="0" w:color="BFBFBF" w:themeColor="accent4"/>
            </w:tcBorders>
            <w:shd w:val="clear" w:color="auto" w:fill="E7E6E6"/>
          </w:tcPr>
          <w:p w14:paraId="41CAEA1F" w14:textId="77777777" w:rsidR="00FA7EBF" w:rsidRPr="007939DD" w:rsidRDefault="00FA7EBF" w:rsidP="007B207C">
            <w:pPr>
              <w:pStyle w:val="ARfintablebodyright"/>
            </w:pPr>
            <w:r w:rsidRPr="00444622">
              <w:t>1.7</w:t>
            </w:r>
          </w:p>
        </w:tc>
        <w:tc>
          <w:tcPr>
            <w:tcW w:w="1165" w:type="dxa"/>
            <w:tcBorders>
              <w:top w:val="single" w:sz="4" w:space="0" w:color="BFBFBF" w:themeColor="accent4"/>
            </w:tcBorders>
          </w:tcPr>
          <w:p w14:paraId="20848659" w14:textId="77777777" w:rsidR="00FA7EBF" w:rsidRPr="007939DD" w:rsidRDefault="00FA7EBF" w:rsidP="007B207C">
            <w:pPr>
              <w:pStyle w:val="ARfintablebodyright"/>
            </w:pPr>
            <w:r w:rsidRPr="00444622">
              <w:t>0.8</w:t>
            </w:r>
          </w:p>
        </w:tc>
      </w:tr>
      <w:tr w:rsidR="00FA7EBF" w:rsidRPr="007939DD" w14:paraId="6C78DD86" w14:textId="77777777" w:rsidTr="007B207C">
        <w:tc>
          <w:tcPr>
            <w:tcW w:w="7310" w:type="dxa"/>
          </w:tcPr>
          <w:p w14:paraId="2CD510A3" w14:textId="77777777" w:rsidR="00FA7EBF" w:rsidRPr="007939DD" w:rsidRDefault="00FA7EBF" w:rsidP="007B207C">
            <w:pPr>
              <w:pStyle w:val="ARfintablebodybold"/>
            </w:pPr>
            <w:r w:rsidRPr="00444622">
              <w:t xml:space="preserve">Total </w:t>
            </w:r>
            <w:r>
              <w:t>g</w:t>
            </w:r>
            <w:r w:rsidRPr="00444622">
              <w:t>rants and other expense transfers</w:t>
            </w:r>
          </w:p>
        </w:tc>
        <w:tc>
          <w:tcPr>
            <w:tcW w:w="1158" w:type="dxa"/>
            <w:shd w:val="clear" w:color="auto" w:fill="E7E6E6"/>
          </w:tcPr>
          <w:p w14:paraId="04EBFF4E" w14:textId="77777777" w:rsidR="00FA7EBF" w:rsidRPr="007939DD" w:rsidRDefault="00FA7EBF" w:rsidP="007B207C">
            <w:pPr>
              <w:pStyle w:val="ARfintablebodyrightbold"/>
            </w:pPr>
            <w:r w:rsidRPr="00444622">
              <w:t>10,748.4</w:t>
            </w:r>
          </w:p>
        </w:tc>
        <w:tc>
          <w:tcPr>
            <w:tcW w:w="1165" w:type="dxa"/>
          </w:tcPr>
          <w:p w14:paraId="6CAE0EC0" w14:textId="77777777" w:rsidR="00FA7EBF" w:rsidRPr="007939DD" w:rsidRDefault="00FA7EBF" w:rsidP="007B207C">
            <w:pPr>
              <w:pStyle w:val="ARfintablebodyrightbold"/>
              <w:rPr>
                <w:rStyle w:val="Strong"/>
              </w:rPr>
            </w:pPr>
            <w:r w:rsidRPr="00444622">
              <w:t>9,555.5</w:t>
            </w:r>
          </w:p>
        </w:tc>
      </w:tr>
    </w:tbl>
    <w:p w14:paraId="73D74E98" w14:textId="77777777" w:rsidR="00FA7EBF" w:rsidRPr="00194D78" w:rsidRDefault="00FA7EBF" w:rsidP="00CA66FD">
      <w:pPr>
        <w:pStyle w:val="ARfinbody"/>
      </w:pPr>
      <w:r w:rsidRPr="00194D78">
        <w:br w:type="page"/>
      </w:r>
    </w:p>
    <w:p w14:paraId="25EF133C" w14:textId="77777777" w:rsidR="00FA7EBF" w:rsidRDefault="00FA7EBF" w:rsidP="00CA66FD">
      <w:pPr>
        <w:pStyle w:val="Heading5"/>
        <w:rPr>
          <w:lang w:eastAsia="en-AU"/>
        </w:rPr>
      </w:pPr>
      <w:bookmarkStart w:id="257" w:name="_Ref21957706"/>
      <w:r w:rsidRPr="00194D78">
        <w:rPr>
          <w:lang w:eastAsia="en-AU"/>
        </w:rPr>
        <w:t>4.2.2 Administered assets and liabilities</w:t>
      </w:r>
      <w:bookmarkEnd w:id="257"/>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6690D5B1" w14:textId="77777777" w:rsidTr="007B207C">
        <w:trPr>
          <w:cantSplit/>
          <w:tblHeader/>
        </w:trPr>
        <w:tc>
          <w:tcPr>
            <w:tcW w:w="7371" w:type="dxa"/>
            <w:vAlign w:val="bottom"/>
          </w:tcPr>
          <w:p w14:paraId="5FC19B91" w14:textId="77777777" w:rsidR="00FA7EBF" w:rsidRPr="007939DD" w:rsidRDefault="00FA7EBF" w:rsidP="007B207C">
            <w:pPr>
              <w:pStyle w:val="ARfintablecolhead"/>
            </w:pPr>
          </w:p>
        </w:tc>
        <w:tc>
          <w:tcPr>
            <w:tcW w:w="1134" w:type="dxa"/>
            <w:shd w:val="clear" w:color="auto" w:fill="E7E6E6"/>
            <w:vAlign w:val="bottom"/>
          </w:tcPr>
          <w:p w14:paraId="217A016A" w14:textId="77777777" w:rsidR="00FA7EBF" w:rsidRPr="007939DD" w:rsidRDefault="00FA7EBF" w:rsidP="007B207C">
            <w:pPr>
              <w:pStyle w:val="ARfintablecolheadright"/>
            </w:pPr>
            <w:r w:rsidRPr="007939DD">
              <w:t>201</w:t>
            </w:r>
            <w:r>
              <w:t>9</w:t>
            </w:r>
          </w:p>
          <w:p w14:paraId="6094FD06" w14:textId="77777777" w:rsidR="00FA7EBF" w:rsidRPr="007939DD" w:rsidRDefault="00FA7EBF" w:rsidP="007B207C">
            <w:pPr>
              <w:pStyle w:val="ARfintablecolheadright"/>
            </w:pPr>
            <w:r w:rsidRPr="007939DD">
              <w:t>$M</w:t>
            </w:r>
          </w:p>
        </w:tc>
        <w:tc>
          <w:tcPr>
            <w:tcW w:w="1134" w:type="dxa"/>
            <w:vAlign w:val="bottom"/>
          </w:tcPr>
          <w:p w14:paraId="4EBBADE3" w14:textId="77777777" w:rsidR="00FA7EBF" w:rsidRPr="007939DD" w:rsidRDefault="00FA7EBF" w:rsidP="007B207C">
            <w:pPr>
              <w:pStyle w:val="ARfintablecolheadright"/>
            </w:pPr>
            <w:r w:rsidRPr="007939DD">
              <w:t>201</w:t>
            </w:r>
            <w:r>
              <w:t>8</w:t>
            </w:r>
          </w:p>
          <w:p w14:paraId="110ACE16" w14:textId="77777777" w:rsidR="00FA7EBF" w:rsidRPr="007939DD" w:rsidRDefault="00FA7EBF" w:rsidP="007B207C">
            <w:pPr>
              <w:pStyle w:val="ARfintablecolheadright"/>
            </w:pPr>
            <w:r w:rsidRPr="007939DD">
              <w:t>$M</w:t>
            </w:r>
          </w:p>
        </w:tc>
      </w:tr>
      <w:tr w:rsidR="00FA7EBF" w:rsidRPr="007939DD" w14:paraId="3280FDC4" w14:textId="77777777" w:rsidTr="007B207C">
        <w:trPr>
          <w:cantSplit/>
        </w:trPr>
        <w:tc>
          <w:tcPr>
            <w:tcW w:w="9639" w:type="dxa"/>
            <w:gridSpan w:val="3"/>
            <w:tcBorders>
              <w:bottom w:val="single" w:sz="4" w:space="0" w:color="A6A6A6"/>
            </w:tcBorders>
          </w:tcPr>
          <w:p w14:paraId="5D62CDE0" w14:textId="77777777" w:rsidR="00FA7EBF" w:rsidRPr="007939DD" w:rsidRDefault="00FA7EBF" w:rsidP="007B207C">
            <w:pPr>
              <w:pStyle w:val="ARfintablebodybold"/>
              <w:rPr>
                <w:lang w:eastAsia="en-AU"/>
              </w:rPr>
            </w:pPr>
            <w:r w:rsidRPr="00214941">
              <w:t>Administered assets</w:t>
            </w:r>
          </w:p>
        </w:tc>
      </w:tr>
      <w:tr w:rsidR="00FA7EBF" w:rsidRPr="007939DD" w14:paraId="615863C6" w14:textId="77777777" w:rsidTr="007B207C">
        <w:trPr>
          <w:cantSplit/>
        </w:trPr>
        <w:tc>
          <w:tcPr>
            <w:tcW w:w="9639" w:type="dxa"/>
            <w:gridSpan w:val="3"/>
            <w:tcBorders>
              <w:top w:val="single" w:sz="4" w:space="0" w:color="A6A6A6"/>
              <w:bottom w:val="single" w:sz="4" w:space="0" w:color="A6A6A6" w:themeColor="background1" w:themeShade="A6"/>
            </w:tcBorders>
          </w:tcPr>
          <w:p w14:paraId="1994178E" w14:textId="77777777" w:rsidR="00FA7EBF" w:rsidRPr="007939DD" w:rsidRDefault="00FA7EBF" w:rsidP="007B207C">
            <w:pPr>
              <w:pStyle w:val="ARfintablebodybold"/>
              <w:rPr>
                <w:lang w:eastAsia="en-AU"/>
              </w:rPr>
            </w:pPr>
            <w:r w:rsidRPr="00214941">
              <w:t>Financial assets</w:t>
            </w:r>
          </w:p>
        </w:tc>
      </w:tr>
      <w:tr w:rsidR="00FA7EBF" w:rsidRPr="007939DD" w14:paraId="2B0CF64A"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6F87DD2" w14:textId="77777777" w:rsidR="00FA7EBF" w:rsidRPr="007939DD" w:rsidRDefault="00FA7EBF" w:rsidP="007B207C">
            <w:pPr>
              <w:pStyle w:val="ARfintablebody"/>
              <w:rPr>
                <w:lang w:eastAsia="en-AU"/>
              </w:rPr>
            </w:pPr>
            <w:r w:rsidRPr="00214941">
              <w:t>Cash and deposits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5FFA16D" w14:textId="77777777" w:rsidR="00FA7EBF" w:rsidRPr="007939DD" w:rsidRDefault="00FA7EBF" w:rsidP="007B207C">
            <w:pPr>
              <w:pStyle w:val="ARfintablebodyright"/>
              <w:rPr>
                <w:lang w:eastAsia="en-AU"/>
              </w:rPr>
            </w:pPr>
            <w:r w:rsidRPr="00214941">
              <w:t>44.3</w:t>
            </w:r>
          </w:p>
        </w:tc>
        <w:tc>
          <w:tcPr>
            <w:tcW w:w="1134" w:type="dxa"/>
            <w:tcBorders>
              <w:top w:val="single" w:sz="4" w:space="0" w:color="A6A6A6" w:themeColor="background1" w:themeShade="A6"/>
              <w:bottom w:val="single" w:sz="4" w:space="0" w:color="A6A6A6" w:themeColor="background1" w:themeShade="A6"/>
            </w:tcBorders>
          </w:tcPr>
          <w:p w14:paraId="4AE0BF05" w14:textId="77777777" w:rsidR="00FA7EBF" w:rsidRPr="007939DD" w:rsidRDefault="00FA7EBF" w:rsidP="007B207C">
            <w:pPr>
              <w:pStyle w:val="ARfintablebodyright"/>
              <w:rPr>
                <w:lang w:eastAsia="en-AU"/>
              </w:rPr>
            </w:pPr>
            <w:r>
              <w:t>–</w:t>
            </w:r>
          </w:p>
        </w:tc>
      </w:tr>
      <w:tr w:rsidR="00FA7EBF" w:rsidRPr="007939DD" w14:paraId="752EA97D"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B5135B3" w14:textId="77777777" w:rsidR="00FA7EBF" w:rsidRPr="007939DD" w:rsidRDefault="00FA7EBF" w:rsidP="007B207C">
            <w:pPr>
              <w:pStyle w:val="ARfintablebody"/>
              <w:rPr>
                <w:lang w:eastAsia="en-AU"/>
              </w:rPr>
            </w:pPr>
            <w:r w:rsidRPr="00214941">
              <w:t>Trust funds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585CC12" w14:textId="77777777" w:rsidR="00FA7EBF" w:rsidRPr="007939DD" w:rsidRDefault="00FA7EBF" w:rsidP="007B207C">
            <w:pPr>
              <w:pStyle w:val="ARfintablebodyright"/>
              <w:rPr>
                <w:lang w:eastAsia="en-AU"/>
              </w:rPr>
            </w:pPr>
            <w:r w:rsidRPr="00214941">
              <w:t>11.4</w:t>
            </w:r>
          </w:p>
        </w:tc>
        <w:tc>
          <w:tcPr>
            <w:tcW w:w="1134" w:type="dxa"/>
            <w:tcBorders>
              <w:top w:val="single" w:sz="4" w:space="0" w:color="A6A6A6" w:themeColor="background1" w:themeShade="A6"/>
              <w:bottom w:val="single" w:sz="4" w:space="0" w:color="A6A6A6" w:themeColor="background1" w:themeShade="A6"/>
            </w:tcBorders>
          </w:tcPr>
          <w:p w14:paraId="58F2C9A5" w14:textId="77777777" w:rsidR="00FA7EBF" w:rsidRPr="007939DD" w:rsidRDefault="00FA7EBF" w:rsidP="007B207C">
            <w:pPr>
              <w:pStyle w:val="ARfintablebodyright"/>
              <w:rPr>
                <w:lang w:eastAsia="en-AU"/>
              </w:rPr>
            </w:pPr>
            <w:r w:rsidRPr="00214941">
              <w:t>11.7</w:t>
            </w:r>
          </w:p>
        </w:tc>
      </w:tr>
      <w:tr w:rsidR="00FA7EBF" w:rsidRPr="007939DD" w14:paraId="7C398727"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A29057E" w14:textId="77777777" w:rsidR="00FA7EBF" w:rsidRPr="007939DD" w:rsidRDefault="00FA7EBF" w:rsidP="007B207C">
            <w:pPr>
              <w:pStyle w:val="ARfintablebody"/>
              <w:rPr>
                <w:lang w:eastAsia="en-AU"/>
              </w:rPr>
            </w:pPr>
            <w:r w:rsidRPr="00214941">
              <w:t>Receivables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2C46799" w14:textId="77777777" w:rsidR="00FA7EBF" w:rsidRPr="007939DD" w:rsidRDefault="00FA7EBF" w:rsidP="007B207C">
            <w:pPr>
              <w:pStyle w:val="ARfintablebodyright"/>
              <w:rPr>
                <w:lang w:eastAsia="en-AU"/>
              </w:rPr>
            </w:pPr>
            <w:r w:rsidRPr="00214941">
              <w:t>129.6</w:t>
            </w:r>
          </w:p>
        </w:tc>
        <w:tc>
          <w:tcPr>
            <w:tcW w:w="1134" w:type="dxa"/>
            <w:tcBorders>
              <w:top w:val="single" w:sz="4" w:space="0" w:color="A6A6A6" w:themeColor="background1" w:themeShade="A6"/>
              <w:bottom w:val="single" w:sz="4" w:space="0" w:color="A6A6A6" w:themeColor="background1" w:themeShade="A6"/>
            </w:tcBorders>
          </w:tcPr>
          <w:p w14:paraId="33C73498" w14:textId="77777777" w:rsidR="00FA7EBF" w:rsidRPr="007939DD" w:rsidRDefault="00FA7EBF" w:rsidP="007B207C">
            <w:pPr>
              <w:pStyle w:val="ARfintablebodyright"/>
              <w:rPr>
                <w:lang w:eastAsia="en-AU"/>
              </w:rPr>
            </w:pPr>
            <w:r w:rsidRPr="00214941">
              <w:t>103.4</w:t>
            </w:r>
          </w:p>
        </w:tc>
      </w:tr>
      <w:tr w:rsidR="00FA7EBF" w:rsidRPr="007939DD" w14:paraId="57575B35"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4602DE80" w14:textId="77777777" w:rsidR="00FA7EBF" w:rsidRPr="007939DD" w:rsidRDefault="00FA7EBF" w:rsidP="007B207C">
            <w:pPr>
              <w:pStyle w:val="ARfintablebody"/>
              <w:rPr>
                <w:lang w:eastAsia="en-AU"/>
              </w:rPr>
            </w:pPr>
            <w:r w:rsidRPr="00214941">
              <w:t>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71EADBD" w14:textId="77777777" w:rsidR="00FA7EBF" w:rsidRPr="007939DD" w:rsidRDefault="00FA7EBF" w:rsidP="007B207C">
            <w:pPr>
              <w:pStyle w:val="ARfintablebodyright"/>
              <w:rPr>
                <w:lang w:eastAsia="en-AU"/>
              </w:rPr>
            </w:pPr>
            <w:r w:rsidRPr="00214941">
              <w:t>3.3</w:t>
            </w:r>
          </w:p>
        </w:tc>
        <w:tc>
          <w:tcPr>
            <w:tcW w:w="1134" w:type="dxa"/>
            <w:tcBorders>
              <w:top w:val="single" w:sz="4" w:space="0" w:color="A6A6A6" w:themeColor="background1" w:themeShade="A6"/>
              <w:bottom w:val="single" w:sz="4" w:space="0" w:color="A6A6A6" w:themeColor="background1" w:themeShade="A6"/>
            </w:tcBorders>
          </w:tcPr>
          <w:p w14:paraId="6EFC124F" w14:textId="77777777" w:rsidR="00FA7EBF" w:rsidRPr="007939DD" w:rsidRDefault="00FA7EBF" w:rsidP="007B207C">
            <w:pPr>
              <w:pStyle w:val="ARfintablebodyright"/>
              <w:rPr>
                <w:lang w:eastAsia="en-AU"/>
              </w:rPr>
            </w:pPr>
            <w:r w:rsidRPr="00214941">
              <w:t>3.3</w:t>
            </w:r>
          </w:p>
        </w:tc>
      </w:tr>
      <w:tr w:rsidR="00FA7EBF" w:rsidRPr="007939DD" w14:paraId="5A93BC85" w14:textId="77777777" w:rsidTr="007B207C">
        <w:trPr>
          <w:cantSplit/>
        </w:trPr>
        <w:tc>
          <w:tcPr>
            <w:tcW w:w="7371" w:type="dxa"/>
          </w:tcPr>
          <w:p w14:paraId="4D52D97E" w14:textId="77777777" w:rsidR="00FA7EBF" w:rsidRPr="007939DD" w:rsidRDefault="00FA7EBF" w:rsidP="007B207C">
            <w:pPr>
              <w:pStyle w:val="ARfintablebodybold"/>
              <w:rPr>
                <w:rStyle w:val="Strong"/>
                <w:bCs/>
              </w:rPr>
            </w:pPr>
            <w:r w:rsidRPr="00214941">
              <w:t>Total administered assets</w:t>
            </w:r>
          </w:p>
        </w:tc>
        <w:tc>
          <w:tcPr>
            <w:tcW w:w="1134" w:type="dxa"/>
            <w:shd w:val="clear" w:color="auto" w:fill="E7E6E6"/>
          </w:tcPr>
          <w:p w14:paraId="7E6E9D6C" w14:textId="77777777" w:rsidR="00FA7EBF" w:rsidRPr="007939DD" w:rsidRDefault="00FA7EBF" w:rsidP="007B207C">
            <w:pPr>
              <w:pStyle w:val="ARfintablebodyrightbold"/>
              <w:rPr>
                <w:lang w:eastAsia="en-AU"/>
              </w:rPr>
            </w:pPr>
            <w:r w:rsidRPr="00214941">
              <w:t>188.6</w:t>
            </w:r>
          </w:p>
        </w:tc>
        <w:tc>
          <w:tcPr>
            <w:tcW w:w="1134" w:type="dxa"/>
          </w:tcPr>
          <w:p w14:paraId="749A3297" w14:textId="77777777" w:rsidR="00FA7EBF" w:rsidRPr="007939DD" w:rsidRDefault="00FA7EBF" w:rsidP="007B207C">
            <w:pPr>
              <w:pStyle w:val="ARfintablebodyrightbold"/>
              <w:rPr>
                <w:rStyle w:val="Strong"/>
                <w:bCs w:val="0"/>
              </w:rPr>
            </w:pPr>
            <w:r w:rsidRPr="00214941">
              <w:t>118.5</w:t>
            </w:r>
          </w:p>
        </w:tc>
      </w:tr>
      <w:tr w:rsidR="00FA7EBF" w:rsidRPr="007939DD" w14:paraId="4AA0AFBC" w14:textId="77777777" w:rsidTr="007B207C">
        <w:trPr>
          <w:cantSplit/>
        </w:trPr>
        <w:tc>
          <w:tcPr>
            <w:tcW w:w="9639" w:type="dxa"/>
            <w:gridSpan w:val="3"/>
            <w:tcBorders>
              <w:bottom w:val="single" w:sz="4" w:space="0" w:color="A6A6A6"/>
            </w:tcBorders>
          </w:tcPr>
          <w:p w14:paraId="70B42948" w14:textId="77777777" w:rsidR="00FA7EBF" w:rsidRPr="007939DD" w:rsidRDefault="00FA7EBF" w:rsidP="007B207C">
            <w:pPr>
              <w:pStyle w:val="ARfintablebodybold"/>
              <w:rPr>
                <w:lang w:eastAsia="en-AU"/>
              </w:rPr>
            </w:pPr>
            <w:r w:rsidRPr="00214941">
              <w:t>Administered liabilities</w:t>
            </w:r>
          </w:p>
        </w:tc>
      </w:tr>
      <w:tr w:rsidR="00FA7EBF" w:rsidRPr="007939DD" w14:paraId="5879398F" w14:textId="77777777" w:rsidTr="007B207C">
        <w:trPr>
          <w:cantSplit/>
        </w:trPr>
        <w:tc>
          <w:tcPr>
            <w:tcW w:w="9639" w:type="dxa"/>
            <w:gridSpan w:val="3"/>
            <w:tcBorders>
              <w:top w:val="single" w:sz="4" w:space="0" w:color="A6A6A6"/>
              <w:bottom w:val="single" w:sz="4" w:space="0" w:color="A6A6A6" w:themeColor="background1" w:themeShade="A6"/>
            </w:tcBorders>
          </w:tcPr>
          <w:p w14:paraId="11828D73" w14:textId="77777777" w:rsidR="00FA7EBF" w:rsidRPr="007939DD" w:rsidRDefault="00FA7EBF" w:rsidP="007B207C">
            <w:pPr>
              <w:pStyle w:val="ARfintablebodybold"/>
              <w:rPr>
                <w:lang w:eastAsia="en-AU"/>
              </w:rPr>
            </w:pPr>
            <w:r w:rsidRPr="00214941">
              <w:t>Financial liabilities</w:t>
            </w:r>
          </w:p>
        </w:tc>
      </w:tr>
      <w:tr w:rsidR="00FA7EBF" w:rsidRPr="007939DD" w14:paraId="5632A900"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3DA21969" w14:textId="77777777" w:rsidR="00FA7EBF" w:rsidRPr="007939DD" w:rsidRDefault="00FA7EBF" w:rsidP="007B207C">
            <w:pPr>
              <w:pStyle w:val="ARfintablebody"/>
              <w:rPr>
                <w:lang w:eastAsia="en-AU"/>
              </w:rPr>
            </w:pPr>
            <w:r w:rsidRPr="00214941">
              <w:t>Amounts payable to the consolidated fund</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EB5B1A8" w14:textId="77777777" w:rsidR="00FA7EBF" w:rsidRPr="007939DD" w:rsidRDefault="00FA7EBF" w:rsidP="007B207C">
            <w:pPr>
              <w:pStyle w:val="ARfintablebodyright"/>
              <w:rPr>
                <w:lang w:eastAsia="en-AU"/>
              </w:rPr>
            </w:pPr>
            <w:r w:rsidRPr="00214941">
              <w:t>1.4</w:t>
            </w:r>
          </w:p>
        </w:tc>
        <w:tc>
          <w:tcPr>
            <w:tcW w:w="1134" w:type="dxa"/>
            <w:tcBorders>
              <w:top w:val="single" w:sz="4" w:space="0" w:color="A6A6A6" w:themeColor="background1" w:themeShade="A6"/>
              <w:bottom w:val="single" w:sz="4" w:space="0" w:color="A6A6A6" w:themeColor="background1" w:themeShade="A6"/>
            </w:tcBorders>
          </w:tcPr>
          <w:p w14:paraId="6B6D2BB5" w14:textId="77777777" w:rsidR="00FA7EBF" w:rsidRPr="007939DD" w:rsidRDefault="00FA7EBF" w:rsidP="007B207C">
            <w:pPr>
              <w:pStyle w:val="ARfintablebodyright"/>
              <w:rPr>
                <w:lang w:eastAsia="en-AU"/>
              </w:rPr>
            </w:pPr>
            <w:r w:rsidRPr="00214941">
              <w:t>40.5</w:t>
            </w:r>
          </w:p>
        </w:tc>
      </w:tr>
      <w:tr w:rsidR="00FA7EBF" w:rsidRPr="007939DD" w14:paraId="2C3EA8C0"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08A54B7" w14:textId="77777777" w:rsidR="00FA7EBF" w:rsidRPr="007939DD" w:rsidRDefault="00FA7EBF" w:rsidP="007B207C">
            <w:pPr>
              <w:pStyle w:val="ARfintablebody"/>
              <w:rPr>
                <w:lang w:eastAsia="en-AU"/>
              </w:rPr>
            </w:pPr>
            <w:r w:rsidRPr="00214941">
              <w:t>Payables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5E0EA05" w14:textId="77777777" w:rsidR="00FA7EBF" w:rsidRPr="007939DD" w:rsidRDefault="00FA7EBF" w:rsidP="007B207C">
            <w:pPr>
              <w:pStyle w:val="ARfintablebodyright"/>
              <w:rPr>
                <w:lang w:eastAsia="en-AU"/>
              </w:rPr>
            </w:pPr>
            <w:r w:rsidRPr="00214941">
              <w:t>172.5</w:t>
            </w:r>
          </w:p>
        </w:tc>
        <w:tc>
          <w:tcPr>
            <w:tcW w:w="1134" w:type="dxa"/>
            <w:tcBorders>
              <w:top w:val="single" w:sz="4" w:space="0" w:color="A6A6A6" w:themeColor="background1" w:themeShade="A6"/>
              <w:bottom w:val="single" w:sz="4" w:space="0" w:color="A6A6A6" w:themeColor="background1" w:themeShade="A6"/>
            </w:tcBorders>
          </w:tcPr>
          <w:p w14:paraId="207E66E8" w14:textId="77777777" w:rsidR="00FA7EBF" w:rsidRPr="007939DD" w:rsidRDefault="00FA7EBF" w:rsidP="007B207C">
            <w:pPr>
              <w:pStyle w:val="ARfintablebodyright"/>
              <w:rPr>
                <w:lang w:eastAsia="en-AU"/>
              </w:rPr>
            </w:pPr>
            <w:r w:rsidRPr="00214941">
              <w:t>62.9</w:t>
            </w:r>
          </w:p>
        </w:tc>
      </w:tr>
      <w:tr w:rsidR="00FA7EBF" w:rsidRPr="007939DD" w14:paraId="47D9717A" w14:textId="77777777" w:rsidTr="007B207C">
        <w:trPr>
          <w:cantSplit/>
        </w:trPr>
        <w:tc>
          <w:tcPr>
            <w:tcW w:w="7371" w:type="dxa"/>
            <w:tcBorders>
              <w:top w:val="single" w:sz="4" w:space="0" w:color="A6A6A6" w:themeColor="background1" w:themeShade="A6"/>
            </w:tcBorders>
          </w:tcPr>
          <w:p w14:paraId="7ADC98C0" w14:textId="77777777" w:rsidR="00FA7EBF" w:rsidRPr="007939DD" w:rsidRDefault="00FA7EBF" w:rsidP="007B207C">
            <w:pPr>
              <w:pStyle w:val="ARfintablebody"/>
              <w:rPr>
                <w:lang w:eastAsia="en-AU"/>
              </w:rPr>
            </w:pPr>
            <w:r w:rsidRPr="00214941">
              <w:t>Other</w:t>
            </w:r>
          </w:p>
        </w:tc>
        <w:tc>
          <w:tcPr>
            <w:tcW w:w="1134" w:type="dxa"/>
            <w:tcBorders>
              <w:top w:val="single" w:sz="4" w:space="0" w:color="A6A6A6" w:themeColor="background1" w:themeShade="A6"/>
            </w:tcBorders>
            <w:shd w:val="clear" w:color="auto" w:fill="E7E6E6"/>
          </w:tcPr>
          <w:p w14:paraId="7BDCF721" w14:textId="77777777" w:rsidR="00FA7EBF" w:rsidRPr="007939DD" w:rsidRDefault="00FA7EBF" w:rsidP="007B207C">
            <w:pPr>
              <w:pStyle w:val="ARfintablebodyright"/>
              <w:rPr>
                <w:lang w:eastAsia="en-AU"/>
              </w:rPr>
            </w:pPr>
            <w:r w:rsidRPr="00214941">
              <w:t>14.7</w:t>
            </w:r>
          </w:p>
        </w:tc>
        <w:tc>
          <w:tcPr>
            <w:tcW w:w="1134" w:type="dxa"/>
            <w:tcBorders>
              <w:top w:val="single" w:sz="4" w:space="0" w:color="A6A6A6" w:themeColor="background1" w:themeShade="A6"/>
            </w:tcBorders>
          </w:tcPr>
          <w:p w14:paraId="6701B714" w14:textId="77777777" w:rsidR="00FA7EBF" w:rsidRPr="007939DD" w:rsidRDefault="00FA7EBF" w:rsidP="007B207C">
            <w:pPr>
              <w:pStyle w:val="ARfintablebodyright"/>
              <w:rPr>
                <w:lang w:eastAsia="en-AU"/>
              </w:rPr>
            </w:pPr>
            <w:r w:rsidRPr="00214941">
              <w:t>15.0</w:t>
            </w:r>
          </w:p>
        </w:tc>
      </w:tr>
      <w:tr w:rsidR="00FA7EBF" w:rsidRPr="007939DD" w14:paraId="78C57E41" w14:textId="77777777" w:rsidTr="007B207C">
        <w:trPr>
          <w:cantSplit/>
        </w:trPr>
        <w:tc>
          <w:tcPr>
            <w:tcW w:w="7371" w:type="dxa"/>
          </w:tcPr>
          <w:p w14:paraId="7BE32EC8" w14:textId="77777777" w:rsidR="00FA7EBF" w:rsidRPr="007939DD" w:rsidRDefault="00FA7EBF" w:rsidP="007B207C">
            <w:pPr>
              <w:pStyle w:val="ARfintablebodybold"/>
              <w:rPr>
                <w:rStyle w:val="Strong"/>
                <w:bCs/>
              </w:rPr>
            </w:pPr>
            <w:r w:rsidRPr="00214941">
              <w:t>Total administered liabilities</w:t>
            </w:r>
          </w:p>
        </w:tc>
        <w:tc>
          <w:tcPr>
            <w:tcW w:w="1134" w:type="dxa"/>
            <w:shd w:val="clear" w:color="auto" w:fill="E7E6E6"/>
          </w:tcPr>
          <w:p w14:paraId="5586AA36" w14:textId="77777777" w:rsidR="00FA7EBF" w:rsidRPr="007939DD" w:rsidRDefault="00FA7EBF" w:rsidP="007B207C">
            <w:pPr>
              <w:pStyle w:val="ARfintablebodyrightbold"/>
              <w:rPr>
                <w:lang w:eastAsia="en-AU"/>
              </w:rPr>
            </w:pPr>
            <w:r w:rsidRPr="00214941">
              <w:t>188.6</w:t>
            </w:r>
          </w:p>
        </w:tc>
        <w:tc>
          <w:tcPr>
            <w:tcW w:w="1134" w:type="dxa"/>
          </w:tcPr>
          <w:p w14:paraId="2A3CC7B0" w14:textId="77777777" w:rsidR="00FA7EBF" w:rsidRPr="007939DD" w:rsidRDefault="00FA7EBF" w:rsidP="007B207C">
            <w:pPr>
              <w:pStyle w:val="ARfintablebodyrightbold"/>
              <w:rPr>
                <w:rStyle w:val="Strong"/>
                <w:bCs w:val="0"/>
              </w:rPr>
            </w:pPr>
            <w:r w:rsidRPr="00214941">
              <w:t>118.5</w:t>
            </w:r>
          </w:p>
        </w:tc>
      </w:tr>
      <w:tr w:rsidR="00FA7EBF" w:rsidRPr="007939DD" w14:paraId="03FEFF1B" w14:textId="77777777" w:rsidTr="007B207C">
        <w:trPr>
          <w:cantSplit/>
        </w:trPr>
        <w:tc>
          <w:tcPr>
            <w:tcW w:w="7371" w:type="dxa"/>
          </w:tcPr>
          <w:p w14:paraId="4B898337" w14:textId="77777777" w:rsidR="00FA7EBF" w:rsidRPr="007939DD" w:rsidRDefault="00FA7EBF" w:rsidP="007B207C">
            <w:pPr>
              <w:pStyle w:val="ARfintablebodybold"/>
              <w:rPr>
                <w:lang w:eastAsia="en-AU"/>
              </w:rPr>
            </w:pPr>
            <w:r w:rsidRPr="00214941">
              <w:t>Total administered net assets</w:t>
            </w:r>
          </w:p>
        </w:tc>
        <w:tc>
          <w:tcPr>
            <w:tcW w:w="1134" w:type="dxa"/>
            <w:shd w:val="clear" w:color="auto" w:fill="E7E6E6"/>
          </w:tcPr>
          <w:p w14:paraId="757BBBB4" w14:textId="77777777" w:rsidR="00FA7EBF" w:rsidRPr="007939DD" w:rsidRDefault="00FA7EBF" w:rsidP="007B207C">
            <w:pPr>
              <w:pStyle w:val="ARfintablebodyrightbold"/>
              <w:rPr>
                <w:lang w:eastAsia="en-AU"/>
              </w:rPr>
            </w:pPr>
            <w:r>
              <w:t>–</w:t>
            </w:r>
          </w:p>
        </w:tc>
        <w:tc>
          <w:tcPr>
            <w:tcW w:w="1134" w:type="dxa"/>
          </w:tcPr>
          <w:p w14:paraId="26DCE9B8" w14:textId="77777777" w:rsidR="00FA7EBF" w:rsidRPr="007939DD" w:rsidRDefault="00FA7EBF" w:rsidP="007B207C">
            <w:pPr>
              <w:pStyle w:val="ARfintablebodyrightbold"/>
              <w:rPr>
                <w:rStyle w:val="Strong"/>
                <w:bCs w:val="0"/>
              </w:rPr>
            </w:pPr>
            <w:r>
              <w:t>–</w:t>
            </w:r>
          </w:p>
        </w:tc>
      </w:tr>
    </w:tbl>
    <w:p w14:paraId="688D5851" w14:textId="77777777" w:rsidR="00FA7EBF" w:rsidRPr="00194D78" w:rsidRDefault="00FA7EBF" w:rsidP="00CA66FD">
      <w:pPr>
        <w:pStyle w:val="Heading4"/>
        <w:rPr>
          <w:lang w:eastAsia="en-AU"/>
        </w:rPr>
      </w:pPr>
      <w:r w:rsidRPr="00194D78">
        <w:rPr>
          <w:lang w:eastAsia="en-AU"/>
        </w:rPr>
        <w:t>4.3 Restructuring of administrative arrangements</w:t>
      </w:r>
    </w:p>
    <w:p w14:paraId="11820D65" w14:textId="77777777" w:rsidR="00FA7EBF" w:rsidRPr="00194D78" w:rsidRDefault="00FA7EBF" w:rsidP="00CA66FD">
      <w:pPr>
        <w:pStyle w:val="ARfinbody"/>
      </w:pPr>
      <w:r w:rsidRPr="00194D78">
        <w:t>In December 2018, the Victorian Government issued an administrative order restructuring some of its activities via machinery of government changes, taking effect from 1 January 2019. As part of the machinery of government restructure, the department (as transferee) received the National Disability Insurance Scheme function from the Department of Premier and Cabinet (as transferor), and</w:t>
      </w:r>
      <w:r>
        <w:t> </w:t>
      </w:r>
      <w:r w:rsidRPr="00194D78">
        <w:t>Maternal and Child Health and Early Parenting function from the Department of Education and Training (as transferor).</w:t>
      </w:r>
    </w:p>
    <w:p w14:paraId="454899BB" w14:textId="77777777" w:rsidR="00FA7EBF" w:rsidRPr="00194D78" w:rsidRDefault="00FA7EBF" w:rsidP="00CA66FD">
      <w:pPr>
        <w:pStyle w:val="ARfinbody"/>
      </w:pPr>
      <w:r w:rsidRPr="00194D78">
        <w:t>In addition, the department (as transferor) provided the Sports and Recreation Victoria function to the Department of Jobs, Precincts and Regions (as transferee) and Office of Women and Office for Youth functions to the Department of Premier and Cabinet (as transferee) and Adoption Services to the Department of Justice and Community Safety (as transferee).</w:t>
      </w:r>
    </w:p>
    <w:p w14:paraId="0D3E8410" w14:textId="77777777" w:rsidR="00FA7EBF" w:rsidRPr="00194D78" w:rsidRDefault="00FA7EBF" w:rsidP="00CA66FD">
      <w:pPr>
        <w:pStyle w:val="ARfinbody"/>
      </w:pPr>
      <w:r w:rsidRPr="00194D78">
        <w:t>The combined income and expenses for the National Disability Insurance Scheme function and Maternal and Child Health and Early Parenting function are reported for the period 1 January 2019 to 30 June 2019.</w:t>
      </w:r>
    </w:p>
    <w:p w14:paraId="325D0738" w14:textId="77777777" w:rsidR="00FA7EBF" w:rsidRPr="00194D78" w:rsidRDefault="00FA7EBF" w:rsidP="00CA66FD">
      <w:pPr>
        <w:pStyle w:val="ARfinbody"/>
      </w:pPr>
      <w:r w:rsidRPr="00194D78">
        <w:t>The net assets assumed by the department for the National Disability Insurance Scheme function and Maternal and Child Health and Early Parenting function as a result of the administrative restructure are recognised in the balance sheet at the carrying amount of those assets in the transferor</w:t>
      </w:r>
      <w:r>
        <w:t>’</w:t>
      </w:r>
      <w:r w:rsidRPr="00194D78">
        <w:t>s balance sheet immediately before the transfer.</w:t>
      </w:r>
    </w:p>
    <w:p w14:paraId="35EACC08" w14:textId="77777777" w:rsidR="00FA7EBF" w:rsidRPr="00194D78" w:rsidRDefault="00FA7EBF" w:rsidP="00CA66FD">
      <w:pPr>
        <w:pStyle w:val="ARfinbody"/>
      </w:pPr>
      <w:r w:rsidRPr="00194D78">
        <w:t>The combined income and expenses for the Sports and Recreation Victoria function and Office of Women and Office for Youth functions are reported for the period 1 July 2018 to 31 December 2018.</w:t>
      </w:r>
    </w:p>
    <w:p w14:paraId="0BA21CD6" w14:textId="77777777" w:rsidR="00FA7EBF" w:rsidRPr="00194D78" w:rsidRDefault="00FA7EBF" w:rsidP="00CA66FD">
      <w:pPr>
        <w:pStyle w:val="ARfinbody"/>
      </w:pPr>
      <w:r w:rsidRPr="00194D78">
        <w:t>The net assets transferred by the department for the Sports and Recreation Victoria function and Office of Women and Office for Youth functions and Adoption Services as a result of the administrative restructure are recognised in the balance sheets at the carrying amount of those assets in the transferee</w:t>
      </w:r>
      <w:r>
        <w:t>’</w:t>
      </w:r>
      <w:r w:rsidRPr="00194D78">
        <w:t>s (Department of Jobs, Precincts and Regions, Department of Premier and Cabinet, and Department of Justice and Community Safety) balance sheets immediately after the transfer.</w:t>
      </w:r>
    </w:p>
    <w:p w14:paraId="6538ED9F" w14:textId="77777777" w:rsidR="00FA7EBF" w:rsidRDefault="00FA7EBF" w:rsidP="00CA66FD">
      <w:pPr>
        <w:pStyle w:val="ARfinbodylargespace"/>
      </w:pPr>
      <w:r w:rsidRPr="00194D78">
        <w:t>The net asset transfers were treated as a contribution of capital by the state.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5385"/>
        <w:gridCol w:w="1418"/>
        <w:gridCol w:w="1418"/>
        <w:gridCol w:w="1418"/>
      </w:tblGrid>
      <w:tr w:rsidR="00FA7EBF" w:rsidRPr="007939DD" w14:paraId="09D9F6EF" w14:textId="77777777" w:rsidTr="007B207C">
        <w:trPr>
          <w:cantSplit/>
          <w:tblHeader/>
        </w:trPr>
        <w:tc>
          <w:tcPr>
            <w:tcW w:w="5385" w:type="dxa"/>
            <w:vAlign w:val="bottom"/>
          </w:tcPr>
          <w:p w14:paraId="5400C939" w14:textId="77777777" w:rsidR="00FA7EBF" w:rsidRPr="007939DD" w:rsidRDefault="00FA7EBF" w:rsidP="007B207C">
            <w:pPr>
              <w:pStyle w:val="ARfintablecolhead"/>
            </w:pPr>
          </w:p>
        </w:tc>
        <w:tc>
          <w:tcPr>
            <w:tcW w:w="1418" w:type="dxa"/>
            <w:vAlign w:val="bottom"/>
          </w:tcPr>
          <w:p w14:paraId="3D346F17" w14:textId="77777777" w:rsidR="00FA7EBF" w:rsidRPr="007939DD" w:rsidRDefault="00FA7EBF" w:rsidP="007B207C">
            <w:pPr>
              <w:pStyle w:val="ARfintablecolheadright"/>
            </w:pPr>
            <w:r w:rsidRPr="007939DD">
              <w:t>201</w:t>
            </w:r>
            <w:r>
              <w:t>9</w:t>
            </w:r>
          </w:p>
          <w:p w14:paraId="1F96A7F7" w14:textId="77777777" w:rsidR="00FA7EBF" w:rsidRDefault="00FA7EBF" w:rsidP="007B207C">
            <w:pPr>
              <w:pStyle w:val="ARfintablecolheadright"/>
            </w:pPr>
            <w:r w:rsidRPr="007939DD">
              <w:t>Transfer in:</w:t>
            </w:r>
          </w:p>
          <w:p w14:paraId="71B663B4" w14:textId="77777777" w:rsidR="00FA7EBF" w:rsidRPr="007939DD" w:rsidRDefault="00FA7EBF" w:rsidP="007B207C">
            <w:pPr>
              <w:pStyle w:val="ARfintablecolheadright"/>
            </w:pPr>
            <w:r w:rsidRPr="007939DD">
              <w:t>$M</w:t>
            </w:r>
          </w:p>
        </w:tc>
        <w:tc>
          <w:tcPr>
            <w:tcW w:w="1418" w:type="dxa"/>
            <w:vAlign w:val="bottom"/>
          </w:tcPr>
          <w:p w14:paraId="7D1BDA56" w14:textId="77777777" w:rsidR="00FA7EBF" w:rsidRPr="007939DD" w:rsidRDefault="00FA7EBF" w:rsidP="007B207C">
            <w:pPr>
              <w:pStyle w:val="ARfintablecolheadright"/>
            </w:pPr>
            <w:r w:rsidRPr="007939DD">
              <w:t>201</w:t>
            </w:r>
            <w:r>
              <w:t>9</w:t>
            </w:r>
          </w:p>
          <w:p w14:paraId="30940F74" w14:textId="77777777" w:rsidR="00FA7EBF" w:rsidRPr="007939DD" w:rsidRDefault="00FA7EBF" w:rsidP="007B207C">
            <w:pPr>
              <w:pStyle w:val="ARfintablecolheadright"/>
            </w:pPr>
            <w:r w:rsidRPr="007939DD">
              <w:t xml:space="preserve">Transfer </w:t>
            </w:r>
            <w:r>
              <w:t>out</w:t>
            </w:r>
            <w:r w:rsidRPr="007939DD">
              <w:t>:</w:t>
            </w:r>
          </w:p>
          <w:p w14:paraId="3B219282" w14:textId="77777777" w:rsidR="00FA7EBF" w:rsidRPr="007939DD" w:rsidRDefault="00FA7EBF" w:rsidP="007B207C">
            <w:pPr>
              <w:pStyle w:val="ARfintablecolheadright"/>
            </w:pPr>
            <w:r w:rsidRPr="007939DD">
              <w:t>$M</w:t>
            </w:r>
          </w:p>
        </w:tc>
        <w:tc>
          <w:tcPr>
            <w:tcW w:w="1418" w:type="dxa"/>
            <w:vAlign w:val="bottom"/>
          </w:tcPr>
          <w:p w14:paraId="11FE5601" w14:textId="77777777" w:rsidR="00FA7EBF" w:rsidRPr="007939DD" w:rsidRDefault="00FA7EBF" w:rsidP="007B207C">
            <w:pPr>
              <w:pStyle w:val="ARfintablecolheadright"/>
            </w:pPr>
            <w:r w:rsidRPr="007939DD">
              <w:t>201</w:t>
            </w:r>
            <w:r>
              <w:t>9</w:t>
            </w:r>
          </w:p>
          <w:p w14:paraId="6536107E" w14:textId="77777777" w:rsidR="00FA7EBF" w:rsidRDefault="00FA7EBF" w:rsidP="007B207C">
            <w:pPr>
              <w:pStyle w:val="ARfintablecolheadright"/>
            </w:pPr>
            <w:r w:rsidRPr="007939DD">
              <w:t>Transfer:</w:t>
            </w:r>
          </w:p>
          <w:p w14:paraId="6623B173" w14:textId="77777777" w:rsidR="00FA7EBF" w:rsidRPr="007939DD" w:rsidRDefault="00FA7EBF" w:rsidP="007B207C">
            <w:pPr>
              <w:pStyle w:val="ARfintablecolheadright"/>
            </w:pPr>
            <w:r w:rsidRPr="007939DD">
              <w:t>Total</w:t>
            </w:r>
          </w:p>
          <w:p w14:paraId="025B7667" w14:textId="77777777" w:rsidR="00FA7EBF" w:rsidRPr="007939DD" w:rsidRDefault="00FA7EBF" w:rsidP="007B207C">
            <w:pPr>
              <w:pStyle w:val="ARfintablecolheadright"/>
            </w:pPr>
            <w:r w:rsidRPr="007939DD">
              <w:t>$M</w:t>
            </w:r>
          </w:p>
        </w:tc>
      </w:tr>
      <w:tr w:rsidR="00FA7EBF" w:rsidRPr="007939DD" w14:paraId="5DEE6535" w14:textId="77777777" w:rsidTr="007B207C">
        <w:trPr>
          <w:cantSplit/>
        </w:trPr>
        <w:tc>
          <w:tcPr>
            <w:tcW w:w="9639" w:type="dxa"/>
            <w:gridSpan w:val="4"/>
            <w:tcBorders>
              <w:bottom w:val="single" w:sz="4" w:space="0" w:color="A6A6A6" w:themeColor="background1" w:themeShade="A6"/>
            </w:tcBorders>
          </w:tcPr>
          <w:p w14:paraId="09E2D412" w14:textId="77777777" w:rsidR="00FA7EBF" w:rsidRPr="007939DD" w:rsidRDefault="00FA7EBF" w:rsidP="007B207C">
            <w:pPr>
              <w:pStyle w:val="ARfintablebodybold"/>
              <w:rPr>
                <w:rStyle w:val="Strong"/>
              </w:rPr>
            </w:pPr>
            <w:r w:rsidRPr="00A21D56">
              <w:t>Assets</w:t>
            </w:r>
          </w:p>
        </w:tc>
      </w:tr>
      <w:tr w:rsidR="00FA7EBF" w:rsidRPr="007939DD" w14:paraId="0973125C" w14:textId="77777777" w:rsidTr="007B207C">
        <w:trPr>
          <w:cantSplit/>
        </w:trPr>
        <w:tc>
          <w:tcPr>
            <w:tcW w:w="5385" w:type="dxa"/>
            <w:tcBorders>
              <w:top w:val="single" w:sz="4" w:space="0" w:color="A6A6A6" w:themeColor="background1" w:themeShade="A6"/>
              <w:bottom w:val="single" w:sz="4" w:space="0" w:color="A6A6A6" w:themeColor="background1" w:themeShade="A6"/>
            </w:tcBorders>
          </w:tcPr>
          <w:p w14:paraId="1DAD996C" w14:textId="77777777" w:rsidR="00FA7EBF" w:rsidRPr="007939DD" w:rsidRDefault="00FA7EBF" w:rsidP="007B207C">
            <w:pPr>
              <w:pStyle w:val="ARfintablebody"/>
              <w:rPr>
                <w:lang w:eastAsia="en-AU"/>
              </w:rPr>
            </w:pPr>
            <w:r w:rsidRPr="00A21D56">
              <w:t>Cash and deposits</w:t>
            </w:r>
          </w:p>
        </w:tc>
        <w:tc>
          <w:tcPr>
            <w:tcW w:w="1418" w:type="dxa"/>
            <w:tcBorders>
              <w:top w:val="single" w:sz="4" w:space="0" w:color="A6A6A6" w:themeColor="background1" w:themeShade="A6"/>
              <w:bottom w:val="single" w:sz="4" w:space="0" w:color="A6A6A6" w:themeColor="background1" w:themeShade="A6"/>
            </w:tcBorders>
          </w:tcPr>
          <w:p w14:paraId="27E377C9" w14:textId="77777777" w:rsidR="00FA7EBF" w:rsidRPr="007939DD" w:rsidRDefault="00FA7EBF" w:rsidP="007B207C">
            <w:pPr>
              <w:pStyle w:val="ARfintablebodyright"/>
              <w:rPr>
                <w:lang w:eastAsia="en-AU"/>
              </w:rPr>
            </w:pPr>
            <w:r w:rsidRPr="00A21D56">
              <w:t>5.1</w:t>
            </w:r>
          </w:p>
        </w:tc>
        <w:tc>
          <w:tcPr>
            <w:tcW w:w="1418" w:type="dxa"/>
            <w:tcBorders>
              <w:top w:val="single" w:sz="4" w:space="0" w:color="A6A6A6" w:themeColor="background1" w:themeShade="A6"/>
              <w:bottom w:val="single" w:sz="4" w:space="0" w:color="A6A6A6" w:themeColor="background1" w:themeShade="A6"/>
            </w:tcBorders>
          </w:tcPr>
          <w:p w14:paraId="5C7732A9" w14:textId="77777777" w:rsidR="00FA7EBF" w:rsidRPr="007939DD" w:rsidRDefault="00FA7EBF" w:rsidP="007B207C">
            <w:pPr>
              <w:pStyle w:val="ARfintablebodyright"/>
              <w:rPr>
                <w:lang w:eastAsia="en-AU"/>
              </w:rPr>
            </w:pPr>
            <w:r w:rsidRPr="00A21D56">
              <w:t>(7.0)</w:t>
            </w:r>
          </w:p>
        </w:tc>
        <w:tc>
          <w:tcPr>
            <w:tcW w:w="1418" w:type="dxa"/>
            <w:tcBorders>
              <w:top w:val="single" w:sz="4" w:space="0" w:color="A6A6A6" w:themeColor="background1" w:themeShade="A6"/>
              <w:bottom w:val="single" w:sz="4" w:space="0" w:color="A6A6A6" w:themeColor="background1" w:themeShade="A6"/>
            </w:tcBorders>
          </w:tcPr>
          <w:p w14:paraId="63DF52A9" w14:textId="77777777" w:rsidR="00FA7EBF" w:rsidRPr="007939DD" w:rsidRDefault="00FA7EBF" w:rsidP="007B207C">
            <w:pPr>
              <w:pStyle w:val="ARfintablebodyright"/>
              <w:rPr>
                <w:lang w:eastAsia="en-AU"/>
              </w:rPr>
            </w:pPr>
            <w:r w:rsidRPr="00A21D56">
              <w:t>(1.9)</w:t>
            </w:r>
          </w:p>
        </w:tc>
      </w:tr>
      <w:tr w:rsidR="00FA7EBF" w:rsidRPr="007939DD" w14:paraId="31BD83AF" w14:textId="77777777" w:rsidTr="007B207C">
        <w:trPr>
          <w:cantSplit/>
        </w:trPr>
        <w:tc>
          <w:tcPr>
            <w:tcW w:w="5385" w:type="dxa"/>
            <w:tcBorders>
              <w:top w:val="single" w:sz="4" w:space="0" w:color="A6A6A6" w:themeColor="background1" w:themeShade="A6"/>
              <w:bottom w:val="single" w:sz="4" w:space="0" w:color="A6A6A6" w:themeColor="background1" w:themeShade="A6"/>
            </w:tcBorders>
          </w:tcPr>
          <w:p w14:paraId="1E941BA8" w14:textId="77777777" w:rsidR="00FA7EBF" w:rsidRPr="007939DD" w:rsidRDefault="00FA7EBF" w:rsidP="007B207C">
            <w:pPr>
              <w:pStyle w:val="ARfintablebody"/>
              <w:rPr>
                <w:lang w:eastAsia="en-AU"/>
              </w:rPr>
            </w:pPr>
            <w:r w:rsidRPr="00A21D56">
              <w:t>Receivables</w:t>
            </w:r>
          </w:p>
        </w:tc>
        <w:tc>
          <w:tcPr>
            <w:tcW w:w="1418" w:type="dxa"/>
            <w:tcBorders>
              <w:top w:val="single" w:sz="4" w:space="0" w:color="A6A6A6" w:themeColor="background1" w:themeShade="A6"/>
              <w:bottom w:val="single" w:sz="4" w:space="0" w:color="A6A6A6" w:themeColor="background1" w:themeShade="A6"/>
            </w:tcBorders>
          </w:tcPr>
          <w:p w14:paraId="32F5B368" w14:textId="77777777" w:rsidR="00FA7EBF" w:rsidRPr="007939DD" w:rsidRDefault="00FA7EBF" w:rsidP="007B207C">
            <w:pPr>
              <w:pStyle w:val="ARfintablebodyright"/>
              <w:rPr>
                <w:lang w:eastAsia="en-AU"/>
              </w:rPr>
            </w:pPr>
            <w:r w:rsidRPr="00A21D56">
              <w:t>8.7</w:t>
            </w:r>
          </w:p>
        </w:tc>
        <w:tc>
          <w:tcPr>
            <w:tcW w:w="1418" w:type="dxa"/>
            <w:tcBorders>
              <w:top w:val="single" w:sz="4" w:space="0" w:color="A6A6A6" w:themeColor="background1" w:themeShade="A6"/>
              <w:bottom w:val="single" w:sz="4" w:space="0" w:color="A6A6A6" w:themeColor="background1" w:themeShade="A6"/>
            </w:tcBorders>
          </w:tcPr>
          <w:p w14:paraId="16F0592D" w14:textId="77777777" w:rsidR="00FA7EBF" w:rsidRPr="007939DD" w:rsidRDefault="00FA7EBF" w:rsidP="007B207C">
            <w:pPr>
              <w:pStyle w:val="ARfintablebodyright"/>
              <w:rPr>
                <w:lang w:eastAsia="en-AU"/>
              </w:rPr>
            </w:pPr>
            <w:r w:rsidRPr="00A21D56">
              <w:t>(8.0)</w:t>
            </w:r>
          </w:p>
        </w:tc>
        <w:tc>
          <w:tcPr>
            <w:tcW w:w="1418" w:type="dxa"/>
            <w:tcBorders>
              <w:top w:val="single" w:sz="4" w:space="0" w:color="A6A6A6" w:themeColor="background1" w:themeShade="A6"/>
              <w:bottom w:val="single" w:sz="4" w:space="0" w:color="A6A6A6" w:themeColor="background1" w:themeShade="A6"/>
            </w:tcBorders>
          </w:tcPr>
          <w:p w14:paraId="1D99D643" w14:textId="77777777" w:rsidR="00FA7EBF" w:rsidRPr="007939DD" w:rsidRDefault="00FA7EBF" w:rsidP="007B207C">
            <w:pPr>
              <w:pStyle w:val="ARfintablebodyright"/>
              <w:rPr>
                <w:lang w:eastAsia="en-AU"/>
              </w:rPr>
            </w:pPr>
            <w:r w:rsidRPr="00A21D56">
              <w:t>0.7</w:t>
            </w:r>
          </w:p>
        </w:tc>
      </w:tr>
      <w:tr w:rsidR="00FA7EBF" w:rsidRPr="007939DD" w14:paraId="7BB76289" w14:textId="77777777" w:rsidTr="007B207C">
        <w:trPr>
          <w:cantSplit/>
        </w:trPr>
        <w:tc>
          <w:tcPr>
            <w:tcW w:w="5385" w:type="dxa"/>
            <w:tcBorders>
              <w:top w:val="single" w:sz="4" w:space="0" w:color="A6A6A6" w:themeColor="background1" w:themeShade="A6"/>
              <w:bottom w:val="single" w:sz="4" w:space="0" w:color="A6A6A6" w:themeColor="background1" w:themeShade="A6"/>
            </w:tcBorders>
          </w:tcPr>
          <w:p w14:paraId="4E71A505" w14:textId="77777777" w:rsidR="00FA7EBF" w:rsidRPr="007939DD" w:rsidRDefault="00FA7EBF" w:rsidP="007B207C">
            <w:pPr>
              <w:pStyle w:val="ARfintablebody"/>
              <w:rPr>
                <w:lang w:eastAsia="en-AU"/>
              </w:rPr>
            </w:pPr>
            <w:r w:rsidRPr="00A21D56">
              <w:t>Loans</w:t>
            </w:r>
          </w:p>
        </w:tc>
        <w:tc>
          <w:tcPr>
            <w:tcW w:w="1418" w:type="dxa"/>
            <w:tcBorders>
              <w:top w:val="single" w:sz="4" w:space="0" w:color="A6A6A6" w:themeColor="background1" w:themeShade="A6"/>
              <w:bottom w:val="single" w:sz="4" w:space="0" w:color="A6A6A6" w:themeColor="background1" w:themeShade="A6"/>
            </w:tcBorders>
          </w:tcPr>
          <w:p w14:paraId="78D47F7D" w14:textId="77777777" w:rsidR="00FA7EBF" w:rsidRPr="007939DD" w:rsidRDefault="00FA7EBF" w:rsidP="007B207C">
            <w:pPr>
              <w:pStyle w:val="ARfintablebodyright"/>
              <w:rPr>
                <w:lang w:eastAsia="en-AU"/>
              </w:rPr>
            </w:pPr>
            <w:r w:rsidRPr="00A21D56">
              <w:t>–</w:t>
            </w:r>
          </w:p>
        </w:tc>
        <w:tc>
          <w:tcPr>
            <w:tcW w:w="1418" w:type="dxa"/>
            <w:tcBorders>
              <w:top w:val="single" w:sz="4" w:space="0" w:color="A6A6A6" w:themeColor="background1" w:themeShade="A6"/>
              <w:bottom w:val="single" w:sz="4" w:space="0" w:color="A6A6A6" w:themeColor="background1" w:themeShade="A6"/>
            </w:tcBorders>
          </w:tcPr>
          <w:p w14:paraId="0B2BD3FA" w14:textId="77777777" w:rsidR="00FA7EBF" w:rsidRPr="007939DD" w:rsidRDefault="00FA7EBF" w:rsidP="007B207C">
            <w:pPr>
              <w:pStyle w:val="ARfintablebodyright"/>
              <w:rPr>
                <w:lang w:eastAsia="en-AU"/>
              </w:rPr>
            </w:pPr>
            <w:r w:rsidRPr="00A21D56">
              <w:t>(1.9)</w:t>
            </w:r>
          </w:p>
        </w:tc>
        <w:tc>
          <w:tcPr>
            <w:tcW w:w="1418" w:type="dxa"/>
            <w:tcBorders>
              <w:top w:val="single" w:sz="4" w:space="0" w:color="A6A6A6" w:themeColor="background1" w:themeShade="A6"/>
              <w:bottom w:val="single" w:sz="4" w:space="0" w:color="A6A6A6" w:themeColor="background1" w:themeShade="A6"/>
            </w:tcBorders>
          </w:tcPr>
          <w:p w14:paraId="2B6FD126" w14:textId="77777777" w:rsidR="00FA7EBF" w:rsidRPr="007939DD" w:rsidRDefault="00FA7EBF" w:rsidP="007B207C">
            <w:pPr>
              <w:pStyle w:val="ARfintablebodyright"/>
              <w:rPr>
                <w:lang w:eastAsia="en-AU"/>
              </w:rPr>
            </w:pPr>
            <w:r w:rsidRPr="00A21D56">
              <w:t>(1.9)</w:t>
            </w:r>
          </w:p>
        </w:tc>
      </w:tr>
      <w:tr w:rsidR="00FA7EBF" w:rsidRPr="007939DD" w14:paraId="1D6B08A3" w14:textId="77777777" w:rsidTr="007B207C">
        <w:trPr>
          <w:cantSplit/>
        </w:trPr>
        <w:tc>
          <w:tcPr>
            <w:tcW w:w="5385" w:type="dxa"/>
            <w:tcBorders>
              <w:top w:val="single" w:sz="4" w:space="0" w:color="A6A6A6" w:themeColor="background1" w:themeShade="A6"/>
              <w:bottom w:val="single" w:sz="4" w:space="0" w:color="BFBFBF" w:themeColor="accent4"/>
            </w:tcBorders>
          </w:tcPr>
          <w:p w14:paraId="454C29C4" w14:textId="77777777" w:rsidR="00FA7EBF" w:rsidRPr="007939DD" w:rsidRDefault="00FA7EBF" w:rsidP="007B207C">
            <w:pPr>
              <w:pStyle w:val="ARfintablebody"/>
              <w:rPr>
                <w:lang w:eastAsia="en-AU"/>
              </w:rPr>
            </w:pPr>
            <w:r w:rsidRPr="00A21D56">
              <w:t>Property, plant and equipment</w:t>
            </w:r>
          </w:p>
        </w:tc>
        <w:tc>
          <w:tcPr>
            <w:tcW w:w="1418" w:type="dxa"/>
            <w:tcBorders>
              <w:top w:val="single" w:sz="4" w:space="0" w:color="A6A6A6" w:themeColor="background1" w:themeShade="A6"/>
              <w:bottom w:val="single" w:sz="4" w:space="0" w:color="BFBFBF" w:themeColor="accent4"/>
            </w:tcBorders>
          </w:tcPr>
          <w:p w14:paraId="15EB11C2" w14:textId="77777777" w:rsidR="00FA7EBF" w:rsidRPr="007939DD" w:rsidRDefault="00FA7EBF" w:rsidP="007B207C">
            <w:pPr>
              <w:pStyle w:val="ARfintablebodyright"/>
              <w:rPr>
                <w:lang w:eastAsia="en-AU"/>
              </w:rPr>
            </w:pPr>
            <w:r w:rsidRPr="00A21D56">
              <w:t>–</w:t>
            </w:r>
          </w:p>
        </w:tc>
        <w:tc>
          <w:tcPr>
            <w:tcW w:w="1418" w:type="dxa"/>
            <w:tcBorders>
              <w:top w:val="single" w:sz="4" w:space="0" w:color="A6A6A6" w:themeColor="background1" w:themeShade="A6"/>
              <w:bottom w:val="single" w:sz="4" w:space="0" w:color="BFBFBF" w:themeColor="accent4"/>
            </w:tcBorders>
          </w:tcPr>
          <w:p w14:paraId="7614F2E0" w14:textId="77777777" w:rsidR="00FA7EBF" w:rsidRPr="007939DD" w:rsidRDefault="00FA7EBF" w:rsidP="007B207C">
            <w:pPr>
              <w:pStyle w:val="ARfintablebodyright"/>
              <w:rPr>
                <w:lang w:eastAsia="en-AU"/>
              </w:rPr>
            </w:pPr>
            <w:r w:rsidRPr="00A21D56">
              <w:t>(34.0)</w:t>
            </w:r>
          </w:p>
        </w:tc>
        <w:tc>
          <w:tcPr>
            <w:tcW w:w="1418" w:type="dxa"/>
            <w:tcBorders>
              <w:top w:val="single" w:sz="4" w:space="0" w:color="A6A6A6" w:themeColor="background1" w:themeShade="A6"/>
              <w:bottom w:val="single" w:sz="4" w:space="0" w:color="BFBFBF" w:themeColor="accent4"/>
            </w:tcBorders>
          </w:tcPr>
          <w:p w14:paraId="1CB66C72" w14:textId="77777777" w:rsidR="00FA7EBF" w:rsidRPr="007939DD" w:rsidRDefault="00FA7EBF" w:rsidP="007B207C">
            <w:pPr>
              <w:pStyle w:val="ARfintablebodyright"/>
              <w:rPr>
                <w:lang w:eastAsia="en-AU"/>
              </w:rPr>
            </w:pPr>
            <w:r w:rsidRPr="00A21D56">
              <w:t>(34.0)</w:t>
            </w:r>
          </w:p>
        </w:tc>
      </w:tr>
      <w:tr w:rsidR="00FA7EBF" w:rsidRPr="007939DD" w14:paraId="1554666D" w14:textId="77777777" w:rsidTr="007B207C">
        <w:trPr>
          <w:cantSplit/>
        </w:trPr>
        <w:tc>
          <w:tcPr>
            <w:tcW w:w="9639" w:type="dxa"/>
            <w:gridSpan w:val="4"/>
            <w:tcBorders>
              <w:top w:val="single" w:sz="4" w:space="0" w:color="BFBFBF" w:themeColor="accent4"/>
              <w:bottom w:val="single" w:sz="4" w:space="0" w:color="A6A6A6" w:themeColor="background1" w:themeShade="A6"/>
            </w:tcBorders>
          </w:tcPr>
          <w:p w14:paraId="2E372A09" w14:textId="77777777" w:rsidR="00FA7EBF" w:rsidRPr="007939DD" w:rsidRDefault="00FA7EBF" w:rsidP="007B207C">
            <w:pPr>
              <w:pStyle w:val="ARfintablebodybold"/>
              <w:rPr>
                <w:lang w:eastAsia="en-AU"/>
              </w:rPr>
            </w:pPr>
            <w:r w:rsidRPr="00A21D56">
              <w:t>Liabilities</w:t>
            </w:r>
          </w:p>
        </w:tc>
      </w:tr>
      <w:tr w:rsidR="00FA7EBF" w:rsidRPr="007939DD" w14:paraId="6949B643" w14:textId="77777777" w:rsidTr="007B207C">
        <w:trPr>
          <w:cantSplit/>
        </w:trPr>
        <w:tc>
          <w:tcPr>
            <w:tcW w:w="5385" w:type="dxa"/>
            <w:tcBorders>
              <w:top w:val="single" w:sz="4" w:space="0" w:color="A6A6A6" w:themeColor="background1" w:themeShade="A6"/>
              <w:bottom w:val="single" w:sz="4" w:space="0" w:color="A6A6A6" w:themeColor="background1" w:themeShade="A6"/>
            </w:tcBorders>
          </w:tcPr>
          <w:p w14:paraId="61EA1E31" w14:textId="77777777" w:rsidR="00FA7EBF" w:rsidRPr="007939DD" w:rsidRDefault="00FA7EBF" w:rsidP="007B207C">
            <w:pPr>
              <w:pStyle w:val="ARfintablebody"/>
              <w:rPr>
                <w:lang w:eastAsia="en-AU"/>
              </w:rPr>
            </w:pPr>
            <w:r w:rsidRPr="00A21D56">
              <w:t>Borrowings</w:t>
            </w:r>
          </w:p>
        </w:tc>
        <w:tc>
          <w:tcPr>
            <w:tcW w:w="1418" w:type="dxa"/>
            <w:tcBorders>
              <w:top w:val="single" w:sz="4" w:space="0" w:color="A6A6A6" w:themeColor="background1" w:themeShade="A6"/>
              <w:bottom w:val="single" w:sz="4" w:space="0" w:color="A6A6A6" w:themeColor="background1" w:themeShade="A6"/>
            </w:tcBorders>
          </w:tcPr>
          <w:p w14:paraId="6D951949" w14:textId="77777777" w:rsidR="00FA7EBF" w:rsidRPr="007939DD" w:rsidRDefault="00FA7EBF" w:rsidP="007B207C">
            <w:pPr>
              <w:pStyle w:val="ARfintablebodyright"/>
              <w:rPr>
                <w:lang w:eastAsia="en-AU"/>
              </w:rPr>
            </w:pPr>
            <w:r w:rsidRPr="00A21D56">
              <w:t>–</w:t>
            </w:r>
          </w:p>
        </w:tc>
        <w:tc>
          <w:tcPr>
            <w:tcW w:w="1418" w:type="dxa"/>
            <w:tcBorders>
              <w:top w:val="single" w:sz="4" w:space="0" w:color="A6A6A6" w:themeColor="background1" w:themeShade="A6"/>
              <w:bottom w:val="single" w:sz="4" w:space="0" w:color="A6A6A6" w:themeColor="background1" w:themeShade="A6"/>
            </w:tcBorders>
          </w:tcPr>
          <w:p w14:paraId="0BF7FD69" w14:textId="77777777" w:rsidR="00FA7EBF" w:rsidRPr="007939DD" w:rsidRDefault="00FA7EBF" w:rsidP="007B207C">
            <w:pPr>
              <w:pStyle w:val="ARfintablebodyright"/>
              <w:rPr>
                <w:lang w:eastAsia="en-AU"/>
              </w:rPr>
            </w:pPr>
            <w:r w:rsidRPr="00A21D56">
              <w:t>(2.1)</w:t>
            </w:r>
          </w:p>
        </w:tc>
        <w:tc>
          <w:tcPr>
            <w:tcW w:w="1418" w:type="dxa"/>
            <w:tcBorders>
              <w:top w:val="single" w:sz="4" w:space="0" w:color="A6A6A6" w:themeColor="background1" w:themeShade="A6"/>
              <w:bottom w:val="single" w:sz="4" w:space="0" w:color="A6A6A6" w:themeColor="background1" w:themeShade="A6"/>
            </w:tcBorders>
          </w:tcPr>
          <w:p w14:paraId="43C14A3C" w14:textId="77777777" w:rsidR="00FA7EBF" w:rsidRPr="007939DD" w:rsidRDefault="00FA7EBF" w:rsidP="007B207C">
            <w:pPr>
              <w:pStyle w:val="ARfintablebodyright"/>
              <w:rPr>
                <w:lang w:eastAsia="en-AU"/>
              </w:rPr>
            </w:pPr>
            <w:r w:rsidRPr="00A21D56">
              <w:t>(2.1)</w:t>
            </w:r>
          </w:p>
        </w:tc>
      </w:tr>
      <w:tr w:rsidR="00FA7EBF" w:rsidRPr="007939DD" w14:paraId="50C0C21E" w14:textId="77777777" w:rsidTr="007B207C">
        <w:trPr>
          <w:cantSplit/>
        </w:trPr>
        <w:tc>
          <w:tcPr>
            <w:tcW w:w="5385" w:type="dxa"/>
            <w:tcBorders>
              <w:top w:val="single" w:sz="4" w:space="0" w:color="A6A6A6" w:themeColor="background1" w:themeShade="A6"/>
              <w:bottom w:val="single" w:sz="4" w:space="0" w:color="BFBFBF" w:themeColor="accent4"/>
            </w:tcBorders>
          </w:tcPr>
          <w:p w14:paraId="4BE219B5" w14:textId="77777777" w:rsidR="00FA7EBF" w:rsidRPr="007939DD" w:rsidRDefault="00FA7EBF" w:rsidP="007B207C">
            <w:pPr>
              <w:pStyle w:val="ARfintablebody"/>
              <w:rPr>
                <w:lang w:eastAsia="en-AU"/>
              </w:rPr>
            </w:pPr>
            <w:r w:rsidRPr="00A21D56">
              <w:t>Payables</w:t>
            </w:r>
          </w:p>
        </w:tc>
        <w:tc>
          <w:tcPr>
            <w:tcW w:w="1418" w:type="dxa"/>
            <w:tcBorders>
              <w:top w:val="single" w:sz="4" w:space="0" w:color="A6A6A6" w:themeColor="background1" w:themeShade="A6"/>
              <w:bottom w:val="single" w:sz="4" w:space="0" w:color="BFBFBF" w:themeColor="accent4"/>
            </w:tcBorders>
          </w:tcPr>
          <w:p w14:paraId="3C0107C6" w14:textId="77777777" w:rsidR="00FA7EBF" w:rsidRPr="007939DD" w:rsidRDefault="00FA7EBF" w:rsidP="007B207C">
            <w:pPr>
              <w:pStyle w:val="ARfintablebodyright"/>
              <w:rPr>
                <w:lang w:eastAsia="en-AU"/>
              </w:rPr>
            </w:pPr>
            <w:r w:rsidRPr="00A21D56">
              <w:t>0.6</w:t>
            </w:r>
          </w:p>
        </w:tc>
        <w:tc>
          <w:tcPr>
            <w:tcW w:w="1418" w:type="dxa"/>
            <w:tcBorders>
              <w:top w:val="single" w:sz="4" w:space="0" w:color="A6A6A6" w:themeColor="background1" w:themeShade="A6"/>
              <w:bottom w:val="single" w:sz="4" w:space="0" w:color="BFBFBF" w:themeColor="accent4"/>
            </w:tcBorders>
          </w:tcPr>
          <w:p w14:paraId="0E941AAA" w14:textId="77777777" w:rsidR="00FA7EBF" w:rsidRPr="007939DD" w:rsidRDefault="00FA7EBF" w:rsidP="007B207C">
            <w:pPr>
              <w:pStyle w:val="ARfintablebodyright"/>
              <w:rPr>
                <w:lang w:eastAsia="en-AU"/>
              </w:rPr>
            </w:pPr>
            <w:r w:rsidRPr="00A21D56">
              <w:t>–</w:t>
            </w:r>
          </w:p>
        </w:tc>
        <w:tc>
          <w:tcPr>
            <w:tcW w:w="1418" w:type="dxa"/>
            <w:tcBorders>
              <w:top w:val="single" w:sz="4" w:space="0" w:color="A6A6A6" w:themeColor="background1" w:themeShade="A6"/>
              <w:bottom w:val="single" w:sz="4" w:space="0" w:color="BFBFBF" w:themeColor="accent4"/>
            </w:tcBorders>
          </w:tcPr>
          <w:p w14:paraId="62CF962A" w14:textId="77777777" w:rsidR="00FA7EBF" w:rsidRPr="007939DD" w:rsidRDefault="00FA7EBF" w:rsidP="007B207C">
            <w:pPr>
              <w:pStyle w:val="ARfintablebodyright"/>
              <w:rPr>
                <w:lang w:eastAsia="en-AU"/>
              </w:rPr>
            </w:pPr>
            <w:r w:rsidRPr="00A21D56">
              <w:t>0.6</w:t>
            </w:r>
          </w:p>
        </w:tc>
      </w:tr>
      <w:tr w:rsidR="00FA7EBF" w:rsidRPr="007939DD" w14:paraId="60DD4228" w14:textId="77777777" w:rsidTr="007B207C">
        <w:trPr>
          <w:cantSplit/>
        </w:trPr>
        <w:tc>
          <w:tcPr>
            <w:tcW w:w="5385" w:type="dxa"/>
            <w:tcBorders>
              <w:top w:val="single" w:sz="4" w:space="0" w:color="BFBFBF" w:themeColor="accent4"/>
            </w:tcBorders>
          </w:tcPr>
          <w:p w14:paraId="0DE3D237" w14:textId="77777777" w:rsidR="00FA7EBF" w:rsidRPr="007939DD" w:rsidRDefault="00FA7EBF" w:rsidP="007B207C">
            <w:pPr>
              <w:pStyle w:val="ARfintablebody"/>
              <w:rPr>
                <w:lang w:eastAsia="en-AU"/>
              </w:rPr>
            </w:pPr>
            <w:r w:rsidRPr="00A21D56">
              <w:t>Employee related provisions</w:t>
            </w:r>
          </w:p>
        </w:tc>
        <w:tc>
          <w:tcPr>
            <w:tcW w:w="1418" w:type="dxa"/>
            <w:tcBorders>
              <w:top w:val="single" w:sz="4" w:space="0" w:color="BFBFBF" w:themeColor="accent4"/>
            </w:tcBorders>
          </w:tcPr>
          <w:p w14:paraId="78044F3C" w14:textId="77777777" w:rsidR="00FA7EBF" w:rsidRPr="007939DD" w:rsidRDefault="00FA7EBF" w:rsidP="007B207C">
            <w:pPr>
              <w:pStyle w:val="ARfintablebodyright"/>
              <w:rPr>
                <w:lang w:eastAsia="en-AU"/>
              </w:rPr>
            </w:pPr>
            <w:r w:rsidRPr="00A21D56">
              <w:t>2.2</w:t>
            </w:r>
          </w:p>
        </w:tc>
        <w:tc>
          <w:tcPr>
            <w:tcW w:w="1418" w:type="dxa"/>
            <w:tcBorders>
              <w:top w:val="single" w:sz="4" w:space="0" w:color="BFBFBF" w:themeColor="accent4"/>
            </w:tcBorders>
          </w:tcPr>
          <w:p w14:paraId="5860A708" w14:textId="77777777" w:rsidR="00FA7EBF" w:rsidRPr="007939DD" w:rsidRDefault="00FA7EBF" w:rsidP="007B207C">
            <w:pPr>
              <w:pStyle w:val="ARfintablebodyright"/>
              <w:rPr>
                <w:lang w:eastAsia="en-AU"/>
              </w:rPr>
            </w:pPr>
            <w:r w:rsidRPr="00A21D56">
              <w:t>(4.6)</w:t>
            </w:r>
          </w:p>
        </w:tc>
        <w:tc>
          <w:tcPr>
            <w:tcW w:w="1418" w:type="dxa"/>
            <w:tcBorders>
              <w:top w:val="single" w:sz="4" w:space="0" w:color="BFBFBF" w:themeColor="accent4"/>
            </w:tcBorders>
          </w:tcPr>
          <w:p w14:paraId="0EF4D006" w14:textId="77777777" w:rsidR="00FA7EBF" w:rsidRPr="007939DD" w:rsidRDefault="00FA7EBF" w:rsidP="007B207C">
            <w:pPr>
              <w:pStyle w:val="ARfintablebodyright"/>
              <w:rPr>
                <w:lang w:eastAsia="en-AU"/>
              </w:rPr>
            </w:pPr>
            <w:r w:rsidRPr="00A21D56">
              <w:t>(2.4)</w:t>
            </w:r>
          </w:p>
        </w:tc>
      </w:tr>
      <w:tr w:rsidR="00FA7EBF" w:rsidRPr="007939DD" w14:paraId="67825C17" w14:textId="77777777" w:rsidTr="007B207C">
        <w:trPr>
          <w:cantSplit/>
        </w:trPr>
        <w:tc>
          <w:tcPr>
            <w:tcW w:w="5385" w:type="dxa"/>
          </w:tcPr>
          <w:p w14:paraId="233FD96A" w14:textId="77777777" w:rsidR="00FA7EBF" w:rsidRPr="007939DD" w:rsidRDefault="00FA7EBF" w:rsidP="007B207C">
            <w:pPr>
              <w:pStyle w:val="ARfintablebodybold"/>
              <w:rPr>
                <w:lang w:eastAsia="en-AU"/>
              </w:rPr>
            </w:pPr>
            <w:r w:rsidRPr="00A21D56">
              <w:t>Net assets recognised/(transferred)</w:t>
            </w:r>
          </w:p>
        </w:tc>
        <w:tc>
          <w:tcPr>
            <w:tcW w:w="1418" w:type="dxa"/>
          </w:tcPr>
          <w:p w14:paraId="63848C06" w14:textId="77777777" w:rsidR="00FA7EBF" w:rsidRPr="007939DD" w:rsidRDefault="00FA7EBF" w:rsidP="007B207C">
            <w:pPr>
              <w:pStyle w:val="ARfintablebodyrightbold"/>
              <w:rPr>
                <w:lang w:eastAsia="en-AU"/>
              </w:rPr>
            </w:pPr>
            <w:r w:rsidRPr="00A21D56">
              <w:t>11.0</w:t>
            </w:r>
          </w:p>
        </w:tc>
        <w:tc>
          <w:tcPr>
            <w:tcW w:w="1418" w:type="dxa"/>
          </w:tcPr>
          <w:p w14:paraId="6EFCBE2F" w14:textId="77777777" w:rsidR="00FA7EBF" w:rsidRPr="007939DD" w:rsidRDefault="00FA7EBF" w:rsidP="007B207C">
            <w:pPr>
              <w:pStyle w:val="ARfintablebodyrightbold"/>
              <w:rPr>
                <w:rStyle w:val="Strong"/>
              </w:rPr>
            </w:pPr>
            <w:r w:rsidRPr="00A21D56">
              <w:t>(44.1)</w:t>
            </w:r>
          </w:p>
        </w:tc>
        <w:tc>
          <w:tcPr>
            <w:tcW w:w="1418" w:type="dxa"/>
          </w:tcPr>
          <w:p w14:paraId="71190283" w14:textId="77777777" w:rsidR="00FA7EBF" w:rsidRPr="007939DD" w:rsidRDefault="00FA7EBF" w:rsidP="007B207C">
            <w:pPr>
              <w:pStyle w:val="ARfintablebodyrightbold"/>
              <w:rPr>
                <w:rStyle w:val="Strong"/>
              </w:rPr>
            </w:pPr>
            <w:r w:rsidRPr="00A21D56">
              <w:t>(33.2)</w:t>
            </w:r>
          </w:p>
        </w:tc>
      </w:tr>
      <w:tr w:rsidR="00FA7EBF" w:rsidRPr="007939DD" w14:paraId="03A7E6F0" w14:textId="77777777" w:rsidTr="007B207C">
        <w:trPr>
          <w:cantSplit/>
        </w:trPr>
        <w:tc>
          <w:tcPr>
            <w:tcW w:w="5385" w:type="dxa"/>
          </w:tcPr>
          <w:p w14:paraId="0F13CBFB" w14:textId="77777777" w:rsidR="00FA7EBF" w:rsidRPr="007939DD" w:rsidRDefault="00FA7EBF" w:rsidP="007B207C">
            <w:pPr>
              <w:pStyle w:val="ARfintablebodybold"/>
              <w:rPr>
                <w:lang w:eastAsia="en-AU"/>
              </w:rPr>
            </w:pPr>
            <w:r w:rsidRPr="00A21D56">
              <w:t>Net capital contribution from the Crown</w:t>
            </w:r>
          </w:p>
        </w:tc>
        <w:tc>
          <w:tcPr>
            <w:tcW w:w="1418" w:type="dxa"/>
          </w:tcPr>
          <w:p w14:paraId="058505B3" w14:textId="77777777" w:rsidR="00FA7EBF" w:rsidRPr="007939DD" w:rsidRDefault="00FA7EBF" w:rsidP="007B207C">
            <w:pPr>
              <w:pStyle w:val="ARfintablebodyrightbold"/>
              <w:rPr>
                <w:lang w:eastAsia="en-AU"/>
              </w:rPr>
            </w:pPr>
          </w:p>
        </w:tc>
        <w:tc>
          <w:tcPr>
            <w:tcW w:w="1418" w:type="dxa"/>
          </w:tcPr>
          <w:p w14:paraId="5B384944" w14:textId="77777777" w:rsidR="00FA7EBF" w:rsidRPr="007939DD" w:rsidRDefault="00FA7EBF" w:rsidP="007B207C">
            <w:pPr>
              <w:pStyle w:val="ARfintablebodyrightbold"/>
              <w:rPr>
                <w:rStyle w:val="Strong"/>
              </w:rPr>
            </w:pPr>
          </w:p>
        </w:tc>
        <w:tc>
          <w:tcPr>
            <w:tcW w:w="1418" w:type="dxa"/>
          </w:tcPr>
          <w:p w14:paraId="195F9A1C" w14:textId="77777777" w:rsidR="00FA7EBF" w:rsidRPr="007939DD" w:rsidRDefault="00FA7EBF" w:rsidP="007B207C">
            <w:pPr>
              <w:pStyle w:val="ARfintablebodyrightbold"/>
              <w:rPr>
                <w:rStyle w:val="Strong"/>
              </w:rPr>
            </w:pPr>
            <w:r w:rsidRPr="00A21D56">
              <w:t>(33.2)</w:t>
            </w:r>
          </w:p>
        </w:tc>
      </w:tr>
    </w:tbl>
    <w:p w14:paraId="5B533298" w14:textId="77777777" w:rsidR="00FA7EBF" w:rsidRPr="00194D78" w:rsidRDefault="00FA7EBF" w:rsidP="00CA66FD">
      <w:pPr>
        <w:pStyle w:val="ARfinbody"/>
      </w:pPr>
      <w:r w:rsidRPr="00194D78">
        <w:br w:type="page"/>
      </w:r>
    </w:p>
    <w:p w14:paraId="21C8CDE8" w14:textId="77777777" w:rsidR="00FA7EBF" w:rsidRPr="00194D78" w:rsidRDefault="00FA7EBF" w:rsidP="00CA66FD">
      <w:pPr>
        <w:pStyle w:val="Heading3"/>
      </w:pPr>
      <w:bookmarkStart w:id="258" w:name="_Toc17971175"/>
      <w:bookmarkStart w:id="259" w:name="_Toc19795296"/>
      <w:r w:rsidRPr="00194D78">
        <w:t>5. Key assets available to support output delivery</w:t>
      </w:r>
      <w:bookmarkEnd w:id="258"/>
      <w:bookmarkEnd w:id="259"/>
    </w:p>
    <w:p w14:paraId="2F900B35" w14:textId="77777777" w:rsidR="00FA7EBF" w:rsidRPr="00194D78" w:rsidRDefault="00FA7EBF" w:rsidP="00CA66FD">
      <w:pPr>
        <w:pStyle w:val="Heading4"/>
        <w:rPr>
          <w:lang w:eastAsia="en-AU"/>
        </w:rPr>
      </w:pPr>
      <w:r w:rsidRPr="00194D78">
        <w:rPr>
          <w:lang w:eastAsia="en-AU"/>
        </w:rPr>
        <w:t>Introduction</w:t>
      </w:r>
    </w:p>
    <w:p w14:paraId="440AC67F" w14:textId="77777777" w:rsidR="00FA7EBF" w:rsidRPr="00194D78" w:rsidRDefault="00FA7EBF" w:rsidP="00CA66FD">
      <w:pPr>
        <w:pStyle w:val="ARfinbody"/>
      </w:pPr>
      <w:r w:rsidRPr="00194D78">
        <w:t>The Department of Health and Human Services controls infrastructure and other investments that are utilised in fulfilling its objectives and conducting its activities. They represent the key resources that have been entrusted to the department to be utilised for delivery of those outputs.</w:t>
      </w:r>
    </w:p>
    <w:p w14:paraId="6C6DD299" w14:textId="77777777" w:rsidR="00FA7EBF" w:rsidRPr="00194D78" w:rsidRDefault="00FA7EBF" w:rsidP="00CA66FD">
      <w:pPr>
        <w:pStyle w:val="Heading4"/>
        <w:rPr>
          <w:lang w:eastAsia="en-AU"/>
        </w:rPr>
      </w:pPr>
      <w:r w:rsidRPr="00194D78">
        <w:rPr>
          <w:lang w:eastAsia="en-AU"/>
        </w:rPr>
        <w:t>Structure</w:t>
      </w:r>
    </w:p>
    <w:p w14:paraId="4C3516F7" w14:textId="77777777" w:rsidR="00FA7EBF" w:rsidRDefault="00FA7EBF" w:rsidP="00CA66FD">
      <w:pPr>
        <w:pStyle w:val="ARfinstructure1"/>
      </w:pPr>
      <w:r w:rsidRPr="00194D78">
        <w:t>5.1</w:t>
      </w:r>
      <w:r>
        <w:tab/>
      </w:r>
      <w:r w:rsidRPr="00194D78">
        <w:t>Property, plant and equipment</w:t>
      </w:r>
    </w:p>
    <w:p w14:paraId="2BBEE46A" w14:textId="77777777" w:rsidR="00FA7EBF" w:rsidRDefault="00FA7EBF" w:rsidP="00CA66FD">
      <w:pPr>
        <w:pStyle w:val="ARfinstructure2"/>
      </w:pPr>
      <w:r w:rsidRPr="00194D78">
        <w:t>5.1.1</w:t>
      </w:r>
      <w:r>
        <w:tab/>
      </w:r>
      <w:r w:rsidRPr="00194D78">
        <w:t>Depreciation and amortisation</w:t>
      </w:r>
    </w:p>
    <w:p w14:paraId="554D7273" w14:textId="77777777" w:rsidR="00FA7EBF" w:rsidRDefault="00FA7EBF" w:rsidP="00CA66FD">
      <w:pPr>
        <w:pStyle w:val="ARfinstructure2"/>
      </w:pPr>
      <w:r w:rsidRPr="00194D78">
        <w:t>5.1.2</w:t>
      </w:r>
      <w:r>
        <w:tab/>
      </w:r>
      <w:r w:rsidRPr="00194D78">
        <w:t>Carrying values by purpose groups</w:t>
      </w:r>
    </w:p>
    <w:p w14:paraId="172C8B9C" w14:textId="77777777" w:rsidR="00FA7EBF" w:rsidRPr="00194D78" w:rsidRDefault="00FA7EBF" w:rsidP="00CA66FD">
      <w:pPr>
        <w:pStyle w:val="ARfinstructure2"/>
      </w:pPr>
      <w:r w:rsidRPr="00194D78">
        <w:t>5.1.3</w:t>
      </w:r>
      <w:r>
        <w:tab/>
      </w:r>
      <w:r w:rsidRPr="00194D78">
        <w:t>Reconciliation of movements in carrying values</w:t>
      </w:r>
    </w:p>
    <w:p w14:paraId="22F48D61" w14:textId="77777777" w:rsidR="00FA7EBF" w:rsidRPr="00194D78" w:rsidRDefault="00FA7EBF" w:rsidP="00CA66FD">
      <w:pPr>
        <w:pStyle w:val="ARfinstructure1"/>
      </w:pPr>
      <w:r w:rsidRPr="00194D78">
        <w:t>5.2</w:t>
      </w:r>
      <w:r>
        <w:tab/>
      </w:r>
      <w:r w:rsidRPr="00194D78">
        <w:t>Intangible assets</w:t>
      </w:r>
    </w:p>
    <w:p w14:paraId="1AE09470" w14:textId="77777777" w:rsidR="00FA7EBF" w:rsidRDefault="00FA7EBF" w:rsidP="00CA66FD">
      <w:pPr>
        <w:pStyle w:val="ARfinstructure1"/>
      </w:pPr>
      <w:r w:rsidRPr="00194D78">
        <w:t>5.3</w:t>
      </w:r>
      <w:r>
        <w:tab/>
      </w:r>
      <w:r w:rsidRPr="00194D78">
        <w:t>Investments accounted for using the equity method</w:t>
      </w:r>
    </w:p>
    <w:p w14:paraId="34AB4A21" w14:textId="77777777" w:rsidR="00FA7EBF" w:rsidRPr="00194D78" w:rsidRDefault="00FA7EBF" w:rsidP="00CA66FD">
      <w:pPr>
        <w:pStyle w:val="ARfinstructure2"/>
      </w:pPr>
      <w:r w:rsidRPr="00194D78">
        <w:t>5.3.1</w:t>
      </w:r>
      <w:r>
        <w:tab/>
      </w:r>
      <w:r w:rsidRPr="00194D78">
        <w:t>Details of joint venture</w:t>
      </w:r>
    </w:p>
    <w:p w14:paraId="2A47ABBB" w14:textId="77777777" w:rsidR="00FA7EBF" w:rsidRPr="00194D78" w:rsidRDefault="00FA7EBF" w:rsidP="00CA66FD">
      <w:pPr>
        <w:pStyle w:val="ARfinstructure1"/>
        <w:rPr>
          <w:b/>
          <w:bCs/>
        </w:rPr>
      </w:pPr>
      <w:r w:rsidRPr="00194D78">
        <w:t>5.4</w:t>
      </w:r>
      <w:r>
        <w:tab/>
      </w:r>
      <w:r w:rsidRPr="00194D78">
        <w:t>Short</w:t>
      </w:r>
      <w:r>
        <w:t>-</w:t>
      </w:r>
      <w:r w:rsidRPr="00194D78">
        <w:t>term investments</w:t>
      </w:r>
      <w:r>
        <w:t xml:space="preserve"> – </w:t>
      </w:r>
      <w:r w:rsidRPr="00194D78">
        <w:t>term deposits</w:t>
      </w:r>
    </w:p>
    <w:p w14:paraId="1A93F350" w14:textId="77777777" w:rsidR="00FA7EBF" w:rsidRDefault="00FA7EBF" w:rsidP="00CA66FD">
      <w:pPr>
        <w:pStyle w:val="Heading4"/>
        <w:rPr>
          <w:lang w:eastAsia="en-AU"/>
        </w:rPr>
      </w:pPr>
      <w:r w:rsidRPr="00194D78">
        <w:rPr>
          <w:lang w:eastAsia="en-AU"/>
        </w:rPr>
        <w:t>5.1 Total property, plant and equipment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513"/>
        <w:gridCol w:w="1021"/>
        <w:gridCol w:w="1021"/>
        <w:gridCol w:w="1021"/>
        <w:gridCol w:w="1021"/>
        <w:gridCol w:w="1021"/>
        <w:gridCol w:w="1021"/>
      </w:tblGrid>
      <w:tr w:rsidR="00FA7EBF" w:rsidRPr="007939DD" w14:paraId="52EE54A0" w14:textId="77777777" w:rsidTr="007B207C">
        <w:trPr>
          <w:cantSplit/>
          <w:tblHeader/>
        </w:trPr>
        <w:tc>
          <w:tcPr>
            <w:tcW w:w="3513" w:type="dxa"/>
            <w:vMerge w:val="restart"/>
            <w:vAlign w:val="bottom"/>
          </w:tcPr>
          <w:p w14:paraId="38E9F764" w14:textId="77777777" w:rsidR="00FA7EBF" w:rsidRPr="007939DD" w:rsidRDefault="00FA7EBF" w:rsidP="007B207C">
            <w:pPr>
              <w:pStyle w:val="ARfintablecolhead"/>
            </w:pPr>
          </w:p>
        </w:tc>
        <w:tc>
          <w:tcPr>
            <w:tcW w:w="2042" w:type="dxa"/>
            <w:gridSpan w:val="2"/>
            <w:vAlign w:val="bottom"/>
          </w:tcPr>
          <w:p w14:paraId="02C47B11" w14:textId="77777777" w:rsidR="00FA7EBF" w:rsidRPr="007939DD" w:rsidRDefault="00FA7EBF" w:rsidP="007B207C">
            <w:pPr>
              <w:pStyle w:val="ARfintablecolheadcentre"/>
              <w:rPr>
                <w:bCs/>
                <w:color w:val="000000"/>
              </w:rPr>
            </w:pPr>
            <w:r w:rsidRPr="007939DD">
              <w:t>Gross carrying</w:t>
            </w:r>
            <w:r w:rsidRPr="006E4233">
              <w:t xml:space="preserve"> </w:t>
            </w:r>
            <w:r w:rsidRPr="007939DD">
              <w:t>amount</w:t>
            </w:r>
          </w:p>
        </w:tc>
        <w:tc>
          <w:tcPr>
            <w:tcW w:w="2042" w:type="dxa"/>
            <w:gridSpan w:val="2"/>
            <w:vAlign w:val="bottom"/>
          </w:tcPr>
          <w:p w14:paraId="46B1F672" w14:textId="77777777" w:rsidR="00FA7EBF" w:rsidRPr="007939DD" w:rsidRDefault="00FA7EBF" w:rsidP="007B207C">
            <w:pPr>
              <w:pStyle w:val="ARfintablecolheadcentre"/>
              <w:rPr>
                <w:bCs/>
                <w:color w:val="000000"/>
              </w:rPr>
            </w:pPr>
            <w:r w:rsidRPr="007939DD">
              <w:rPr>
                <w:bCs/>
                <w:color w:val="000000"/>
              </w:rPr>
              <w:t>Accumulated depreciation</w:t>
            </w:r>
          </w:p>
        </w:tc>
        <w:tc>
          <w:tcPr>
            <w:tcW w:w="2042" w:type="dxa"/>
            <w:gridSpan w:val="2"/>
            <w:vAlign w:val="bottom"/>
          </w:tcPr>
          <w:p w14:paraId="344840E5" w14:textId="77777777" w:rsidR="00FA7EBF" w:rsidRPr="007939DD" w:rsidRDefault="00FA7EBF" w:rsidP="007B207C">
            <w:pPr>
              <w:pStyle w:val="ARfintablecolheadcentre"/>
              <w:rPr>
                <w:bCs/>
                <w:color w:val="000000"/>
              </w:rPr>
            </w:pPr>
            <w:r w:rsidRPr="007939DD">
              <w:rPr>
                <w:bCs/>
                <w:color w:val="000000"/>
              </w:rPr>
              <w:t>Net carrying amount</w:t>
            </w:r>
          </w:p>
        </w:tc>
      </w:tr>
      <w:tr w:rsidR="00FA7EBF" w:rsidRPr="007939DD" w14:paraId="05C6B122" w14:textId="77777777" w:rsidTr="007B207C">
        <w:trPr>
          <w:cantSplit/>
          <w:tblHeader/>
        </w:trPr>
        <w:tc>
          <w:tcPr>
            <w:tcW w:w="3513" w:type="dxa"/>
            <w:vMerge/>
            <w:vAlign w:val="bottom"/>
          </w:tcPr>
          <w:p w14:paraId="1C316A40" w14:textId="77777777" w:rsidR="00FA7EBF" w:rsidRPr="007939DD" w:rsidRDefault="00FA7EBF" w:rsidP="007B207C">
            <w:pPr>
              <w:pStyle w:val="ARfintablebody"/>
              <w:rPr>
                <w:lang w:eastAsia="en-AU"/>
              </w:rPr>
            </w:pPr>
          </w:p>
        </w:tc>
        <w:tc>
          <w:tcPr>
            <w:tcW w:w="1021" w:type="dxa"/>
            <w:shd w:val="clear" w:color="auto" w:fill="E7E6E6"/>
            <w:vAlign w:val="bottom"/>
          </w:tcPr>
          <w:p w14:paraId="2EC5D0D9" w14:textId="77777777" w:rsidR="00FA7EBF" w:rsidRPr="007939DD" w:rsidRDefault="00FA7EBF" w:rsidP="007B207C">
            <w:pPr>
              <w:pStyle w:val="ARfintablecolheadright"/>
            </w:pPr>
            <w:r w:rsidRPr="007939DD">
              <w:t>201</w:t>
            </w:r>
            <w:r>
              <w:t>9</w:t>
            </w:r>
          </w:p>
          <w:p w14:paraId="75E9E620" w14:textId="77777777" w:rsidR="00FA7EBF" w:rsidRPr="007939DD" w:rsidRDefault="00FA7EBF" w:rsidP="007B207C">
            <w:pPr>
              <w:pStyle w:val="ARfintablecolheadright"/>
            </w:pPr>
            <w:r w:rsidRPr="007939DD">
              <w:t>$M</w:t>
            </w:r>
          </w:p>
        </w:tc>
        <w:tc>
          <w:tcPr>
            <w:tcW w:w="1021" w:type="dxa"/>
            <w:vAlign w:val="bottom"/>
          </w:tcPr>
          <w:p w14:paraId="292E5CE7" w14:textId="77777777" w:rsidR="00FA7EBF" w:rsidRPr="007939DD" w:rsidRDefault="00FA7EBF" w:rsidP="007B207C">
            <w:pPr>
              <w:pStyle w:val="ARfintablecolheadright"/>
            </w:pPr>
            <w:r w:rsidRPr="007939DD">
              <w:t>201</w:t>
            </w:r>
            <w:r>
              <w:t>8</w:t>
            </w:r>
          </w:p>
          <w:p w14:paraId="72AEC662" w14:textId="77777777" w:rsidR="00FA7EBF" w:rsidRPr="007939DD" w:rsidRDefault="00FA7EBF" w:rsidP="007B207C">
            <w:pPr>
              <w:pStyle w:val="ARfintablecolheadright"/>
            </w:pPr>
            <w:r w:rsidRPr="007939DD">
              <w:t>$M</w:t>
            </w:r>
          </w:p>
        </w:tc>
        <w:tc>
          <w:tcPr>
            <w:tcW w:w="1021" w:type="dxa"/>
            <w:shd w:val="clear" w:color="auto" w:fill="E7E6E6"/>
            <w:vAlign w:val="bottom"/>
          </w:tcPr>
          <w:p w14:paraId="35FD8DD8" w14:textId="77777777" w:rsidR="00FA7EBF" w:rsidRPr="007939DD" w:rsidRDefault="00FA7EBF" w:rsidP="007B207C">
            <w:pPr>
              <w:pStyle w:val="ARfintablecolheadright"/>
            </w:pPr>
            <w:r w:rsidRPr="007939DD">
              <w:t>201</w:t>
            </w:r>
            <w:r>
              <w:t>9</w:t>
            </w:r>
          </w:p>
          <w:p w14:paraId="5B377534" w14:textId="77777777" w:rsidR="00FA7EBF" w:rsidRPr="007939DD" w:rsidRDefault="00FA7EBF" w:rsidP="007B207C">
            <w:pPr>
              <w:pStyle w:val="ARfintablecolheadright"/>
            </w:pPr>
            <w:r w:rsidRPr="007939DD">
              <w:t>$M</w:t>
            </w:r>
          </w:p>
        </w:tc>
        <w:tc>
          <w:tcPr>
            <w:tcW w:w="1021" w:type="dxa"/>
            <w:vAlign w:val="bottom"/>
          </w:tcPr>
          <w:p w14:paraId="79982EA5" w14:textId="77777777" w:rsidR="00FA7EBF" w:rsidRPr="007939DD" w:rsidRDefault="00FA7EBF" w:rsidP="007B207C">
            <w:pPr>
              <w:pStyle w:val="ARfintablecolheadright"/>
            </w:pPr>
            <w:r w:rsidRPr="007939DD">
              <w:t>201</w:t>
            </w:r>
            <w:r>
              <w:t>8</w:t>
            </w:r>
          </w:p>
          <w:p w14:paraId="5E425937" w14:textId="77777777" w:rsidR="00FA7EBF" w:rsidRPr="007939DD" w:rsidRDefault="00FA7EBF" w:rsidP="007B207C">
            <w:pPr>
              <w:pStyle w:val="ARfintablecolheadright"/>
            </w:pPr>
            <w:r w:rsidRPr="007939DD">
              <w:t>$M</w:t>
            </w:r>
          </w:p>
        </w:tc>
        <w:tc>
          <w:tcPr>
            <w:tcW w:w="1021" w:type="dxa"/>
            <w:shd w:val="clear" w:color="auto" w:fill="E7E6E6"/>
            <w:vAlign w:val="bottom"/>
          </w:tcPr>
          <w:p w14:paraId="326574C3" w14:textId="77777777" w:rsidR="00FA7EBF" w:rsidRPr="007939DD" w:rsidRDefault="00FA7EBF" w:rsidP="007B207C">
            <w:pPr>
              <w:pStyle w:val="ARfintablecolheadright"/>
            </w:pPr>
            <w:r w:rsidRPr="007939DD">
              <w:t>201</w:t>
            </w:r>
            <w:r>
              <w:t>9</w:t>
            </w:r>
          </w:p>
          <w:p w14:paraId="793D3840" w14:textId="77777777" w:rsidR="00FA7EBF" w:rsidRPr="007939DD" w:rsidRDefault="00FA7EBF" w:rsidP="007B207C">
            <w:pPr>
              <w:pStyle w:val="ARfintablecolheadright"/>
            </w:pPr>
            <w:r w:rsidRPr="007939DD">
              <w:t>$M</w:t>
            </w:r>
          </w:p>
        </w:tc>
        <w:tc>
          <w:tcPr>
            <w:tcW w:w="1021" w:type="dxa"/>
            <w:vAlign w:val="bottom"/>
          </w:tcPr>
          <w:p w14:paraId="3CA3E02B" w14:textId="77777777" w:rsidR="00FA7EBF" w:rsidRPr="007939DD" w:rsidRDefault="00FA7EBF" w:rsidP="007B207C">
            <w:pPr>
              <w:pStyle w:val="ARfintablecolheadright"/>
            </w:pPr>
            <w:r w:rsidRPr="007939DD">
              <w:t>201</w:t>
            </w:r>
            <w:r>
              <w:t>8</w:t>
            </w:r>
          </w:p>
          <w:p w14:paraId="75DBA144" w14:textId="77777777" w:rsidR="00FA7EBF" w:rsidRPr="007939DD" w:rsidRDefault="00FA7EBF" w:rsidP="007B207C">
            <w:pPr>
              <w:pStyle w:val="ARfintablecolheadright"/>
            </w:pPr>
            <w:r w:rsidRPr="007939DD">
              <w:t>$M</w:t>
            </w:r>
          </w:p>
        </w:tc>
      </w:tr>
      <w:tr w:rsidR="00FA7EBF" w:rsidRPr="007939DD" w14:paraId="6E219639" w14:textId="77777777" w:rsidTr="007B207C">
        <w:trPr>
          <w:cantSplit/>
        </w:trPr>
        <w:tc>
          <w:tcPr>
            <w:tcW w:w="3513" w:type="dxa"/>
            <w:tcBorders>
              <w:bottom w:val="single" w:sz="4" w:space="0" w:color="A6A6A6"/>
            </w:tcBorders>
          </w:tcPr>
          <w:p w14:paraId="3286098B" w14:textId="77777777" w:rsidR="00FA7EBF" w:rsidRPr="007939DD" w:rsidRDefault="00FA7EBF" w:rsidP="007B207C">
            <w:pPr>
              <w:pStyle w:val="ARfintablebody"/>
              <w:rPr>
                <w:lang w:eastAsia="en-AU"/>
              </w:rPr>
            </w:pPr>
            <w:r w:rsidRPr="00266EBE">
              <w:t>Land at fair value</w:t>
            </w:r>
          </w:p>
        </w:tc>
        <w:tc>
          <w:tcPr>
            <w:tcW w:w="1021" w:type="dxa"/>
            <w:tcBorders>
              <w:bottom w:val="single" w:sz="4" w:space="0" w:color="A6A6A6"/>
            </w:tcBorders>
            <w:shd w:val="clear" w:color="auto" w:fill="E7E6E6"/>
          </w:tcPr>
          <w:p w14:paraId="5B28E912" w14:textId="77777777" w:rsidR="00FA7EBF" w:rsidRPr="007939DD" w:rsidRDefault="00FA7EBF" w:rsidP="007B207C">
            <w:pPr>
              <w:pStyle w:val="ARfintablebodyright"/>
              <w:rPr>
                <w:lang w:eastAsia="en-AU"/>
              </w:rPr>
            </w:pPr>
            <w:r w:rsidRPr="00266EBE">
              <w:t>18,514.9</w:t>
            </w:r>
          </w:p>
        </w:tc>
        <w:tc>
          <w:tcPr>
            <w:tcW w:w="1021" w:type="dxa"/>
            <w:tcBorders>
              <w:bottom w:val="single" w:sz="4" w:space="0" w:color="A6A6A6"/>
            </w:tcBorders>
          </w:tcPr>
          <w:p w14:paraId="4B822DA2" w14:textId="77777777" w:rsidR="00FA7EBF" w:rsidRPr="007939DD" w:rsidRDefault="00FA7EBF" w:rsidP="007B207C">
            <w:pPr>
              <w:pStyle w:val="ARfintablebodyright"/>
              <w:rPr>
                <w:lang w:eastAsia="en-AU"/>
              </w:rPr>
            </w:pPr>
            <w:r w:rsidRPr="00266EBE">
              <w:t>20,811.1</w:t>
            </w:r>
          </w:p>
        </w:tc>
        <w:tc>
          <w:tcPr>
            <w:tcW w:w="1021" w:type="dxa"/>
            <w:tcBorders>
              <w:bottom w:val="single" w:sz="4" w:space="0" w:color="A6A6A6"/>
            </w:tcBorders>
            <w:shd w:val="clear" w:color="auto" w:fill="E7E6E6"/>
          </w:tcPr>
          <w:p w14:paraId="5C1D6E60" w14:textId="77777777" w:rsidR="00FA7EBF" w:rsidRPr="007939DD" w:rsidRDefault="00FA7EBF" w:rsidP="007B207C">
            <w:pPr>
              <w:pStyle w:val="ARfintablebodyright"/>
              <w:rPr>
                <w:lang w:eastAsia="en-AU"/>
              </w:rPr>
            </w:pPr>
            <w:r w:rsidRPr="00266EBE">
              <w:t>–</w:t>
            </w:r>
          </w:p>
        </w:tc>
        <w:tc>
          <w:tcPr>
            <w:tcW w:w="1021" w:type="dxa"/>
            <w:tcBorders>
              <w:bottom w:val="single" w:sz="4" w:space="0" w:color="A6A6A6"/>
            </w:tcBorders>
          </w:tcPr>
          <w:p w14:paraId="70204080" w14:textId="77777777" w:rsidR="00FA7EBF" w:rsidRPr="007939DD" w:rsidRDefault="00FA7EBF" w:rsidP="007B207C">
            <w:pPr>
              <w:pStyle w:val="ARfintablebodyright"/>
              <w:rPr>
                <w:lang w:eastAsia="en-AU"/>
              </w:rPr>
            </w:pPr>
            <w:r w:rsidRPr="00266EBE">
              <w:t>–</w:t>
            </w:r>
          </w:p>
        </w:tc>
        <w:tc>
          <w:tcPr>
            <w:tcW w:w="1021" w:type="dxa"/>
            <w:tcBorders>
              <w:bottom w:val="single" w:sz="4" w:space="0" w:color="A6A6A6"/>
            </w:tcBorders>
            <w:shd w:val="clear" w:color="auto" w:fill="E7E6E6"/>
          </w:tcPr>
          <w:p w14:paraId="2057505C" w14:textId="77777777" w:rsidR="00FA7EBF" w:rsidRPr="007939DD" w:rsidRDefault="00FA7EBF" w:rsidP="007B207C">
            <w:pPr>
              <w:pStyle w:val="ARfintablebodyright"/>
              <w:rPr>
                <w:lang w:eastAsia="en-AU"/>
              </w:rPr>
            </w:pPr>
            <w:r w:rsidRPr="00266EBE">
              <w:t>18,514.9</w:t>
            </w:r>
          </w:p>
        </w:tc>
        <w:tc>
          <w:tcPr>
            <w:tcW w:w="1021" w:type="dxa"/>
            <w:tcBorders>
              <w:bottom w:val="single" w:sz="4" w:space="0" w:color="A6A6A6"/>
            </w:tcBorders>
          </w:tcPr>
          <w:p w14:paraId="50B29597" w14:textId="77777777" w:rsidR="00FA7EBF" w:rsidRPr="007939DD" w:rsidRDefault="00FA7EBF" w:rsidP="007B207C">
            <w:pPr>
              <w:pStyle w:val="ARfintablebodyright"/>
              <w:rPr>
                <w:lang w:eastAsia="en-AU"/>
              </w:rPr>
            </w:pPr>
            <w:r w:rsidRPr="00266EBE">
              <w:t>20,811.1</w:t>
            </w:r>
          </w:p>
        </w:tc>
      </w:tr>
      <w:tr w:rsidR="00FA7EBF" w:rsidRPr="007939DD" w14:paraId="4751687C" w14:textId="77777777" w:rsidTr="007B207C">
        <w:trPr>
          <w:cantSplit/>
        </w:trPr>
        <w:tc>
          <w:tcPr>
            <w:tcW w:w="3513" w:type="dxa"/>
            <w:tcBorders>
              <w:top w:val="single" w:sz="4" w:space="0" w:color="A6A6A6"/>
              <w:bottom w:val="single" w:sz="4" w:space="0" w:color="A6A6A6"/>
            </w:tcBorders>
          </w:tcPr>
          <w:p w14:paraId="198CF6C8" w14:textId="77777777" w:rsidR="00FA7EBF" w:rsidRPr="007939DD" w:rsidRDefault="00FA7EBF" w:rsidP="007B207C">
            <w:pPr>
              <w:pStyle w:val="ARfintablebody"/>
              <w:rPr>
                <w:lang w:eastAsia="en-AU"/>
              </w:rPr>
            </w:pPr>
            <w:r w:rsidRPr="00266EBE">
              <w:t>Buildings at fair value</w:t>
            </w:r>
          </w:p>
        </w:tc>
        <w:tc>
          <w:tcPr>
            <w:tcW w:w="1021" w:type="dxa"/>
            <w:tcBorders>
              <w:top w:val="single" w:sz="4" w:space="0" w:color="A6A6A6"/>
              <w:bottom w:val="single" w:sz="4" w:space="0" w:color="A6A6A6"/>
            </w:tcBorders>
            <w:shd w:val="clear" w:color="auto" w:fill="E7E6E6"/>
          </w:tcPr>
          <w:p w14:paraId="4FE403B0" w14:textId="77777777" w:rsidR="00FA7EBF" w:rsidRPr="007939DD" w:rsidRDefault="00FA7EBF" w:rsidP="007B207C">
            <w:pPr>
              <w:pStyle w:val="ARfintablebodyright"/>
              <w:rPr>
                <w:lang w:eastAsia="en-AU"/>
              </w:rPr>
            </w:pPr>
            <w:r w:rsidRPr="00266EBE">
              <w:t>9,891.1</w:t>
            </w:r>
          </w:p>
        </w:tc>
        <w:tc>
          <w:tcPr>
            <w:tcW w:w="1021" w:type="dxa"/>
            <w:tcBorders>
              <w:top w:val="single" w:sz="4" w:space="0" w:color="A6A6A6"/>
              <w:bottom w:val="single" w:sz="4" w:space="0" w:color="A6A6A6"/>
            </w:tcBorders>
          </w:tcPr>
          <w:p w14:paraId="796E5724" w14:textId="77777777" w:rsidR="00FA7EBF" w:rsidRPr="007939DD" w:rsidRDefault="00FA7EBF" w:rsidP="007B207C">
            <w:pPr>
              <w:pStyle w:val="ARfintablebodyright"/>
              <w:rPr>
                <w:lang w:eastAsia="en-AU"/>
              </w:rPr>
            </w:pPr>
            <w:r w:rsidRPr="00266EBE">
              <w:t>9,819.5</w:t>
            </w:r>
          </w:p>
        </w:tc>
        <w:tc>
          <w:tcPr>
            <w:tcW w:w="1021" w:type="dxa"/>
            <w:tcBorders>
              <w:top w:val="single" w:sz="4" w:space="0" w:color="A6A6A6"/>
              <w:bottom w:val="single" w:sz="4" w:space="0" w:color="A6A6A6"/>
            </w:tcBorders>
            <w:shd w:val="clear" w:color="auto" w:fill="E7E6E6"/>
          </w:tcPr>
          <w:p w14:paraId="191208FA" w14:textId="77777777" w:rsidR="00FA7EBF" w:rsidRPr="007939DD" w:rsidRDefault="00FA7EBF" w:rsidP="007B207C">
            <w:pPr>
              <w:pStyle w:val="ARfintablebodyright"/>
              <w:rPr>
                <w:lang w:eastAsia="en-AU"/>
              </w:rPr>
            </w:pPr>
            <w:r w:rsidRPr="00266EBE">
              <w:t>(93.5)</w:t>
            </w:r>
          </w:p>
        </w:tc>
        <w:tc>
          <w:tcPr>
            <w:tcW w:w="1021" w:type="dxa"/>
            <w:tcBorders>
              <w:top w:val="single" w:sz="4" w:space="0" w:color="A6A6A6"/>
              <w:bottom w:val="single" w:sz="4" w:space="0" w:color="A6A6A6"/>
            </w:tcBorders>
          </w:tcPr>
          <w:p w14:paraId="63EF0CE6" w14:textId="77777777" w:rsidR="00FA7EBF" w:rsidRPr="007939DD" w:rsidRDefault="00FA7EBF" w:rsidP="007B207C">
            <w:pPr>
              <w:pStyle w:val="ARfintablebodyright"/>
              <w:rPr>
                <w:lang w:eastAsia="en-AU"/>
              </w:rPr>
            </w:pPr>
            <w:r w:rsidRPr="00266EBE">
              <w:t>(828.5)</w:t>
            </w:r>
          </w:p>
        </w:tc>
        <w:tc>
          <w:tcPr>
            <w:tcW w:w="1021" w:type="dxa"/>
            <w:tcBorders>
              <w:top w:val="single" w:sz="4" w:space="0" w:color="A6A6A6"/>
              <w:bottom w:val="single" w:sz="4" w:space="0" w:color="A6A6A6"/>
            </w:tcBorders>
            <w:shd w:val="clear" w:color="auto" w:fill="E7E6E6"/>
          </w:tcPr>
          <w:p w14:paraId="64CEC897" w14:textId="77777777" w:rsidR="00FA7EBF" w:rsidRPr="007939DD" w:rsidRDefault="00FA7EBF" w:rsidP="007B207C">
            <w:pPr>
              <w:pStyle w:val="ARfintablebodyright"/>
              <w:rPr>
                <w:lang w:eastAsia="en-AU"/>
              </w:rPr>
            </w:pPr>
            <w:r w:rsidRPr="00266EBE">
              <w:t>9,797.6</w:t>
            </w:r>
          </w:p>
        </w:tc>
        <w:tc>
          <w:tcPr>
            <w:tcW w:w="1021" w:type="dxa"/>
            <w:tcBorders>
              <w:top w:val="single" w:sz="4" w:space="0" w:color="A6A6A6"/>
              <w:bottom w:val="single" w:sz="4" w:space="0" w:color="A6A6A6"/>
            </w:tcBorders>
          </w:tcPr>
          <w:p w14:paraId="6BF23E6A" w14:textId="77777777" w:rsidR="00FA7EBF" w:rsidRPr="007939DD" w:rsidRDefault="00FA7EBF" w:rsidP="007B207C">
            <w:pPr>
              <w:pStyle w:val="ARfintablebodyright"/>
              <w:rPr>
                <w:lang w:eastAsia="en-AU"/>
              </w:rPr>
            </w:pPr>
            <w:r w:rsidRPr="00266EBE">
              <w:t>8,991.0</w:t>
            </w:r>
          </w:p>
        </w:tc>
      </w:tr>
      <w:tr w:rsidR="00FA7EBF" w:rsidRPr="007939DD" w14:paraId="20C67D7E" w14:textId="77777777" w:rsidTr="007B207C">
        <w:trPr>
          <w:cantSplit/>
        </w:trPr>
        <w:tc>
          <w:tcPr>
            <w:tcW w:w="3513" w:type="dxa"/>
            <w:tcBorders>
              <w:top w:val="single" w:sz="4" w:space="0" w:color="A6A6A6"/>
              <w:bottom w:val="single" w:sz="4" w:space="0" w:color="A6A6A6"/>
            </w:tcBorders>
          </w:tcPr>
          <w:p w14:paraId="1922402E" w14:textId="77777777" w:rsidR="00FA7EBF" w:rsidRPr="007939DD" w:rsidRDefault="00FA7EBF" w:rsidP="007B207C">
            <w:pPr>
              <w:pStyle w:val="ARfintablebody"/>
              <w:rPr>
                <w:lang w:eastAsia="en-AU"/>
              </w:rPr>
            </w:pPr>
            <w:r w:rsidRPr="00266EBE">
              <w:t>Plant, equipment and vehicles at fair value</w:t>
            </w:r>
          </w:p>
        </w:tc>
        <w:tc>
          <w:tcPr>
            <w:tcW w:w="1021" w:type="dxa"/>
            <w:tcBorders>
              <w:top w:val="single" w:sz="4" w:space="0" w:color="A6A6A6"/>
              <w:bottom w:val="single" w:sz="4" w:space="0" w:color="A6A6A6"/>
            </w:tcBorders>
            <w:shd w:val="clear" w:color="auto" w:fill="E7E6E6"/>
          </w:tcPr>
          <w:p w14:paraId="5204E419" w14:textId="77777777" w:rsidR="00FA7EBF" w:rsidRPr="007939DD" w:rsidRDefault="00FA7EBF" w:rsidP="007B207C">
            <w:pPr>
              <w:pStyle w:val="ARfintablebodyright"/>
              <w:rPr>
                <w:lang w:eastAsia="en-AU"/>
              </w:rPr>
            </w:pPr>
            <w:r w:rsidRPr="00266EBE">
              <w:t>48.4</w:t>
            </w:r>
          </w:p>
        </w:tc>
        <w:tc>
          <w:tcPr>
            <w:tcW w:w="1021" w:type="dxa"/>
            <w:tcBorders>
              <w:top w:val="single" w:sz="4" w:space="0" w:color="A6A6A6"/>
              <w:bottom w:val="single" w:sz="4" w:space="0" w:color="A6A6A6"/>
            </w:tcBorders>
          </w:tcPr>
          <w:p w14:paraId="20AF868C" w14:textId="77777777" w:rsidR="00FA7EBF" w:rsidRPr="007939DD" w:rsidRDefault="00FA7EBF" w:rsidP="007B207C">
            <w:pPr>
              <w:pStyle w:val="ARfintablebodyright"/>
              <w:rPr>
                <w:lang w:eastAsia="en-AU"/>
              </w:rPr>
            </w:pPr>
            <w:r w:rsidRPr="00266EBE">
              <w:t>48.3</w:t>
            </w:r>
          </w:p>
        </w:tc>
        <w:tc>
          <w:tcPr>
            <w:tcW w:w="1021" w:type="dxa"/>
            <w:tcBorders>
              <w:top w:val="single" w:sz="4" w:space="0" w:color="A6A6A6"/>
              <w:bottom w:val="single" w:sz="4" w:space="0" w:color="A6A6A6"/>
            </w:tcBorders>
            <w:shd w:val="clear" w:color="auto" w:fill="E7E6E6"/>
          </w:tcPr>
          <w:p w14:paraId="08C97F2E" w14:textId="77777777" w:rsidR="00FA7EBF" w:rsidRPr="007939DD" w:rsidRDefault="00FA7EBF" w:rsidP="007B207C">
            <w:pPr>
              <w:pStyle w:val="ARfintablebodyright"/>
              <w:rPr>
                <w:lang w:eastAsia="en-AU"/>
              </w:rPr>
            </w:pPr>
            <w:r w:rsidRPr="00266EBE">
              <w:t>(36.8)</w:t>
            </w:r>
          </w:p>
        </w:tc>
        <w:tc>
          <w:tcPr>
            <w:tcW w:w="1021" w:type="dxa"/>
            <w:tcBorders>
              <w:top w:val="single" w:sz="4" w:space="0" w:color="A6A6A6"/>
              <w:bottom w:val="single" w:sz="4" w:space="0" w:color="A6A6A6"/>
            </w:tcBorders>
          </w:tcPr>
          <w:p w14:paraId="3520C4C7" w14:textId="77777777" w:rsidR="00FA7EBF" w:rsidRPr="007939DD" w:rsidRDefault="00FA7EBF" w:rsidP="007B207C">
            <w:pPr>
              <w:pStyle w:val="ARfintablebodyright"/>
              <w:rPr>
                <w:lang w:eastAsia="en-AU"/>
              </w:rPr>
            </w:pPr>
            <w:r w:rsidRPr="00266EBE">
              <w:t>(32.6)</w:t>
            </w:r>
          </w:p>
        </w:tc>
        <w:tc>
          <w:tcPr>
            <w:tcW w:w="1021" w:type="dxa"/>
            <w:tcBorders>
              <w:top w:val="single" w:sz="4" w:space="0" w:color="A6A6A6"/>
              <w:bottom w:val="single" w:sz="4" w:space="0" w:color="A6A6A6"/>
            </w:tcBorders>
            <w:shd w:val="clear" w:color="auto" w:fill="E7E6E6"/>
          </w:tcPr>
          <w:p w14:paraId="4529E18E" w14:textId="77777777" w:rsidR="00FA7EBF" w:rsidRPr="007939DD" w:rsidRDefault="00FA7EBF" w:rsidP="007B207C">
            <w:pPr>
              <w:pStyle w:val="ARfintablebodyright"/>
              <w:rPr>
                <w:lang w:eastAsia="en-AU"/>
              </w:rPr>
            </w:pPr>
            <w:r w:rsidRPr="00266EBE">
              <w:t>11.6</w:t>
            </w:r>
          </w:p>
        </w:tc>
        <w:tc>
          <w:tcPr>
            <w:tcW w:w="1021" w:type="dxa"/>
            <w:tcBorders>
              <w:top w:val="single" w:sz="4" w:space="0" w:color="A6A6A6"/>
              <w:bottom w:val="single" w:sz="4" w:space="0" w:color="A6A6A6"/>
            </w:tcBorders>
          </w:tcPr>
          <w:p w14:paraId="72BEE790" w14:textId="77777777" w:rsidR="00FA7EBF" w:rsidRPr="007939DD" w:rsidRDefault="00FA7EBF" w:rsidP="007B207C">
            <w:pPr>
              <w:pStyle w:val="ARfintablebodyright"/>
              <w:rPr>
                <w:lang w:eastAsia="en-AU"/>
              </w:rPr>
            </w:pPr>
            <w:r w:rsidRPr="00266EBE">
              <w:t>15.7</w:t>
            </w:r>
          </w:p>
        </w:tc>
      </w:tr>
      <w:tr w:rsidR="00FA7EBF" w:rsidRPr="007939DD" w14:paraId="5CF5401E" w14:textId="77777777" w:rsidTr="007B207C">
        <w:trPr>
          <w:cantSplit/>
        </w:trPr>
        <w:tc>
          <w:tcPr>
            <w:tcW w:w="3513" w:type="dxa"/>
            <w:tcBorders>
              <w:top w:val="single" w:sz="4" w:space="0" w:color="A6A6A6"/>
              <w:bottom w:val="single" w:sz="4" w:space="0" w:color="A6A6A6"/>
            </w:tcBorders>
          </w:tcPr>
          <w:p w14:paraId="79C9201D" w14:textId="77777777" w:rsidR="00FA7EBF" w:rsidRPr="007939DD" w:rsidRDefault="00FA7EBF" w:rsidP="007B207C">
            <w:pPr>
              <w:pStyle w:val="ARfintablebody"/>
              <w:rPr>
                <w:lang w:eastAsia="en-AU"/>
              </w:rPr>
            </w:pPr>
            <w:r w:rsidRPr="00266EBE">
              <w:t>Motor vehicles under finance lease</w:t>
            </w:r>
          </w:p>
        </w:tc>
        <w:tc>
          <w:tcPr>
            <w:tcW w:w="1021" w:type="dxa"/>
            <w:tcBorders>
              <w:top w:val="single" w:sz="4" w:space="0" w:color="A6A6A6"/>
              <w:bottom w:val="single" w:sz="4" w:space="0" w:color="A6A6A6"/>
            </w:tcBorders>
            <w:shd w:val="clear" w:color="auto" w:fill="E7E6E6"/>
          </w:tcPr>
          <w:p w14:paraId="33E1F478" w14:textId="77777777" w:rsidR="00FA7EBF" w:rsidRPr="007939DD" w:rsidRDefault="00FA7EBF" w:rsidP="007B207C">
            <w:pPr>
              <w:pStyle w:val="ARfintablebodyright"/>
              <w:rPr>
                <w:lang w:eastAsia="en-AU"/>
              </w:rPr>
            </w:pPr>
            <w:r w:rsidRPr="00266EBE">
              <w:t>27.4</w:t>
            </w:r>
          </w:p>
        </w:tc>
        <w:tc>
          <w:tcPr>
            <w:tcW w:w="1021" w:type="dxa"/>
            <w:tcBorders>
              <w:top w:val="single" w:sz="4" w:space="0" w:color="A6A6A6"/>
              <w:bottom w:val="single" w:sz="4" w:space="0" w:color="A6A6A6"/>
            </w:tcBorders>
          </w:tcPr>
          <w:p w14:paraId="7E6C63DA" w14:textId="77777777" w:rsidR="00FA7EBF" w:rsidRPr="007939DD" w:rsidRDefault="00FA7EBF" w:rsidP="007B207C">
            <w:pPr>
              <w:pStyle w:val="ARfintablebodyright"/>
              <w:rPr>
                <w:lang w:eastAsia="en-AU"/>
              </w:rPr>
            </w:pPr>
            <w:r w:rsidRPr="00266EBE">
              <w:t>48.0</w:t>
            </w:r>
          </w:p>
        </w:tc>
        <w:tc>
          <w:tcPr>
            <w:tcW w:w="1021" w:type="dxa"/>
            <w:tcBorders>
              <w:top w:val="single" w:sz="4" w:space="0" w:color="A6A6A6"/>
              <w:bottom w:val="single" w:sz="4" w:space="0" w:color="A6A6A6"/>
            </w:tcBorders>
            <w:shd w:val="clear" w:color="auto" w:fill="E7E6E6"/>
          </w:tcPr>
          <w:p w14:paraId="1F3F8E3F" w14:textId="77777777" w:rsidR="00FA7EBF" w:rsidRPr="007939DD" w:rsidRDefault="00FA7EBF" w:rsidP="007B207C">
            <w:pPr>
              <w:pStyle w:val="ARfintablebodyright"/>
              <w:rPr>
                <w:lang w:eastAsia="en-AU"/>
              </w:rPr>
            </w:pPr>
            <w:r w:rsidRPr="00266EBE">
              <w:t>8.6</w:t>
            </w:r>
          </w:p>
        </w:tc>
        <w:tc>
          <w:tcPr>
            <w:tcW w:w="1021" w:type="dxa"/>
            <w:tcBorders>
              <w:top w:val="single" w:sz="4" w:space="0" w:color="A6A6A6"/>
              <w:bottom w:val="single" w:sz="4" w:space="0" w:color="A6A6A6"/>
            </w:tcBorders>
          </w:tcPr>
          <w:p w14:paraId="6440B7AA" w14:textId="77777777" w:rsidR="00FA7EBF" w:rsidRPr="007939DD" w:rsidRDefault="00FA7EBF" w:rsidP="007B207C">
            <w:pPr>
              <w:pStyle w:val="ARfintablebodyright"/>
              <w:rPr>
                <w:lang w:eastAsia="en-AU"/>
              </w:rPr>
            </w:pPr>
            <w:r w:rsidRPr="00266EBE">
              <w:t>1.0</w:t>
            </w:r>
          </w:p>
        </w:tc>
        <w:tc>
          <w:tcPr>
            <w:tcW w:w="1021" w:type="dxa"/>
            <w:tcBorders>
              <w:top w:val="single" w:sz="4" w:space="0" w:color="A6A6A6"/>
              <w:bottom w:val="single" w:sz="4" w:space="0" w:color="A6A6A6"/>
            </w:tcBorders>
            <w:shd w:val="clear" w:color="auto" w:fill="E7E6E6"/>
          </w:tcPr>
          <w:p w14:paraId="21D2D81D" w14:textId="77777777" w:rsidR="00FA7EBF" w:rsidRPr="007939DD" w:rsidRDefault="00FA7EBF" w:rsidP="007B207C">
            <w:pPr>
              <w:pStyle w:val="ARfintablebodyright"/>
              <w:rPr>
                <w:lang w:eastAsia="en-AU"/>
              </w:rPr>
            </w:pPr>
            <w:r w:rsidRPr="00266EBE">
              <w:t>36.1</w:t>
            </w:r>
          </w:p>
        </w:tc>
        <w:tc>
          <w:tcPr>
            <w:tcW w:w="1021" w:type="dxa"/>
            <w:tcBorders>
              <w:top w:val="single" w:sz="4" w:space="0" w:color="A6A6A6"/>
              <w:bottom w:val="single" w:sz="4" w:space="0" w:color="A6A6A6"/>
            </w:tcBorders>
          </w:tcPr>
          <w:p w14:paraId="30B9A4D5" w14:textId="77777777" w:rsidR="00FA7EBF" w:rsidRPr="007939DD" w:rsidRDefault="00FA7EBF" w:rsidP="007B207C">
            <w:pPr>
              <w:pStyle w:val="ARfintablebodyright"/>
              <w:rPr>
                <w:lang w:eastAsia="en-AU"/>
              </w:rPr>
            </w:pPr>
            <w:r w:rsidRPr="00266EBE">
              <w:t>49.1</w:t>
            </w:r>
          </w:p>
        </w:tc>
      </w:tr>
      <w:tr w:rsidR="00FA7EBF" w:rsidRPr="007939DD" w14:paraId="52866A5F" w14:textId="77777777" w:rsidTr="007B207C">
        <w:trPr>
          <w:cantSplit/>
        </w:trPr>
        <w:tc>
          <w:tcPr>
            <w:tcW w:w="3513" w:type="dxa"/>
            <w:tcBorders>
              <w:top w:val="single" w:sz="4" w:space="0" w:color="A6A6A6"/>
            </w:tcBorders>
          </w:tcPr>
          <w:p w14:paraId="47A99657" w14:textId="77777777" w:rsidR="00FA7EBF" w:rsidRPr="007939DD" w:rsidRDefault="00FA7EBF" w:rsidP="007B207C">
            <w:pPr>
              <w:pStyle w:val="ARfintablebody"/>
              <w:rPr>
                <w:lang w:eastAsia="en-AU"/>
              </w:rPr>
            </w:pPr>
            <w:r w:rsidRPr="00266EBE">
              <w:t>Assets under construction at cost</w:t>
            </w:r>
          </w:p>
        </w:tc>
        <w:tc>
          <w:tcPr>
            <w:tcW w:w="1021" w:type="dxa"/>
            <w:tcBorders>
              <w:top w:val="single" w:sz="4" w:space="0" w:color="A6A6A6"/>
            </w:tcBorders>
            <w:shd w:val="clear" w:color="auto" w:fill="E7E6E6"/>
          </w:tcPr>
          <w:p w14:paraId="4FF96078" w14:textId="77777777" w:rsidR="00FA7EBF" w:rsidRPr="007939DD" w:rsidRDefault="00FA7EBF" w:rsidP="007B207C">
            <w:pPr>
              <w:pStyle w:val="ARfintablebodyright"/>
              <w:rPr>
                <w:lang w:eastAsia="en-AU"/>
              </w:rPr>
            </w:pPr>
            <w:r w:rsidRPr="00266EBE">
              <w:t>458.0</w:t>
            </w:r>
          </w:p>
        </w:tc>
        <w:tc>
          <w:tcPr>
            <w:tcW w:w="1021" w:type="dxa"/>
            <w:tcBorders>
              <w:top w:val="single" w:sz="4" w:space="0" w:color="A6A6A6"/>
            </w:tcBorders>
          </w:tcPr>
          <w:p w14:paraId="2CF6C5C5" w14:textId="77777777" w:rsidR="00FA7EBF" w:rsidRPr="007939DD" w:rsidRDefault="00FA7EBF" w:rsidP="007B207C">
            <w:pPr>
              <w:pStyle w:val="ARfintablebodyright"/>
              <w:rPr>
                <w:lang w:eastAsia="en-AU"/>
              </w:rPr>
            </w:pPr>
            <w:r w:rsidRPr="00266EBE">
              <w:t>332.5</w:t>
            </w:r>
          </w:p>
        </w:tc>
        <w:tc>
          <w:tcPr>
            <w:tcW w:w="1021" w:type="dxa"/>
            <w:tcBorders>
              <w:top w:val="single" w:sz="4" w:space="0" w:color="A6A6A6"/>
            </w:tcBorders>
            <w:shd w:val="clear" w:color="auto" w:fill="E7E6E6"/>
          </w:tcPr>
          <w:p w14:paraId="120DD8CE" w14:textId="77777777" w:rsidR="00FA7EBF" w:rsidRPr="007939DD" w:rsidRDefault="00FA7EBF" w:rsidP="007B207C">
            <w:pPr>
              <w:pStyle w:val="ARfintablebodyright"/>
              <w:rPr>
                <w:lang w:eastAsia="en-AU"/>
              </w:rPr>
            </w:pPr>
            <w:r w:rsidRPr="00266EBE">
              <w:t>–</w:t>
            </w:r>
          </w:p>
        </w:tc>
        <w:tc>
          <w:tcPr>
            <w:tcW w:w="1021" w:type="dxa"/>
            <w:tcBorders>
              <w:top w:val="single" w:sz="4" w:space="0" w:color="A6A6A6"/>
            </w:tcBorders>
          </w:tcPr>
          <w:p w14:paraId="38432031" w14:textId="77777777" w:rsidR="00FA7EBF" w:rsidRPr="007939DD" w:rsidRDefault="00FA7EBF" w:rsidP="007B207C">
            <w:pPr>
              <w:pStyle w:val="ARfintablebodyright"/>
              <w:rPr>
                <w:lang w:eastAsia="en-AU"/>
              </w:rPr>
            </w:pPr>
            <w:r w:rsidRPr="00266EBE">
              <w:t>–</w:t>
            </w:r>
          </w:p>
        </w:tc>
        <w:tc>
          <w:tcPr>
            <w:tcW w:w="1021" w:type="dxa"/>
            <w:tcBorders>
              <w:top w:val="single" w:sz="4" w:space="0" w:color="A6A6A6"/>
            </w:tcBorders>
            <w:shd w:val="clear" w:color="auto" w:fill="E7E6E6"/>
          </w:tcPr>
          <w:p w14:paraId="0236CAFA" w14:textId="77777777" w:rsidR="00FA7EBF" w:rsidRPr="007939DD" w:rsidRDefault="00FA7EBF" w:rsidP="007B207C">
            <w:pPr>
              <w:pStyle w:val="ARfintablebodyright"/>
              <w:rPr>
                <w:lang w:eastAsia="en-AU"/>
              </w:rPr>
            </w:pPr>
            <w:r w:rsidRPr="00266EBE">
              <w:t>458.0</w:t>
            </w:r>
          </w:p>
        </w:tc>
        <w:tc>
          <w:tcPr>
            <w:tcW w:w="1021" w:type="dxa"/>
            <w:tcBorders>
              <w:top w:val="single" w:sz="4" w:space="0" w:color="A6A6A6"/>
            </w:tcBorders>
          </w:tcPr>
          <w:p w14:paraId="0B157DC3" w14:textId="77777777" w:rsidR="00FA7EBF" w:rsidRPr="007939DD" w:rsidRDefault="00FA7EBF" w:rsidP="007B207C">
            <w:pPr>
              <w:pStyle w:val="ARfintablebodyright"/>
              <w:rPr>
                <w:lang w:eastAsia="en-AU"/>
              </w:rPr>
            </w:pPr>
            <w:r w:rsidRPr="00266EBE">
              <w:t>332.5</w:t>
            </w:r>
          </w:p>
        </w:tc>
      </w:tr>
      <w:tr w:rsidR="00FA7EBF" w:rsidRPr="007939DD" w14:paraId="7EE6A345" w14:textId="77777777" w:rsidTr="007B207C">
        <w:trPr>
          <w:cantSplit/>
        </w:trPr>
        <w:tc>
          <w:tcPr>
            <w:tcW w:w="3513" w:type="dxa"/>
          </w:tcPr>
          <w:p w14:paraId="09ABA8C1" w14:textId="77777777" w:rsidR="00FA7EBF" w:rsidRPr="007939DD" w:rsidRDefault="00FA7EBF" w:rsidP="007B207C">
            <w:pPr>
              <w:pStyle w:val="ARfintablebodybold"/>
              <w:rPr>
                <w:lang w:eastAsia="en-AU"/>
              </w:rPr>
            </w:pPr>
            <w:r w:rsidRPr="00266EBE">
              <w:t>Net carrying amount</w:t>
            </w:r>
          </w:p>
        </w:tc>
        <w:tc>
          <w:tcPr>
            <w:tcW w:w="1021" w:type="dxa"/>
            <w:shd w:val="clear" w:color="auto" w:fill="E7E6E6"/>
          </w:tcPr>
          <w:p w14:paraId="1975AE09" w14:textId="77777777" w:rsidR="00FA7EBF" w:rsidRPr="007939DD" w:rsidRDefault="00FA7EBF" w:rsidP="007B207C">
            <w:pPr>
              <w:pStyle w:val="ARfintablebodyrightbold"/>
              <w:rPr>
                <w:lang w:eastAsia="en-AU"/>
              </w:rPr>
            </w:pPr>
            <w:r w:rsidRPr="00266EBE">
              <w:t>28,939.8</w:t>
            </w:r>
          </w:p>
        </w:tc>
        <w:tc>
          <w:tcPr>
            <w:tcW w:w="1021" w:type="dxa"/>
          </w:tcPr>
          <w:p w14:paraId="52A25268" w14:textId="77777777" w:rsidR="00FA7EBF" w:rsidRPr="007939DD" w:rsidRDefault="00FA7EBF" w:rsidP="007B207C">
            <w:pPr>
              <w:pStyle w:val="ARfintablebodyrightbold"/>
              <w:rPr>
                <w:lang w:eastAsia="en-AU"/>
              </w:rPr>
            </w:pPr>
            <w:r w:rsidRPr="00266EBE">
              <w:t>31,059.4</w:t>
            </w:r>
          </w:p>
        </w:tc>
        <w:tc>
          <w:tcPr>
            <w:tcW w:w="1021" w:type="dxa"/>
            <w:shd w:val="clear" w:color="auto" w:fill="E7E6E6"/>
          </w:tcPr>
          <w:p w14:paraId="38403008" w14:textId="77777777" w:rsidR="00FA7EBF" w:rsidRPr="007939DD" w:rsidRDefault="00FA7EBF" w:rsidP="007B207C">
            <w:pPr>
              <w:pStyle w:val="ARfintablebodyrightbold"/>
              <w:rPr>
                <w:lang w:eastAsia="en-AU"/>
              </w:rPr>
            </w:pPr>
            <w:r w:rsidRPr="00266EBE">
              <w:t>(121.6)</w:t>
            </w:r>
          </w:p>
        </w:tc>
        <w:tc>
          <w:tcPr>
            <w:tcW w:w="1021" w:type="dxa"/>
          </w:tcPr>
          <w:p w14:paraId="117F6AFE" w14:textId="77777777" w:rsidR="00FA7EBF" w:rsidRPr="007939DD" w:rsidRDefault="00FA7EBF" w:rsidP="007B207C">
            <w:pPr>
              <w:pStyle w:val="ARfintablebodyrightbold"/>
              <w:rPr>
                <w:lang w:eastAsia="en-AU"/>
              </w:rPr>
            </w:pPr>
            <w:r w:rsidRPr="00266EBE">
              <w:t>(860.1)</w:t>
            </w:r>
          </w:p>
        </w:tc>
        <w:tc>
          <w:tcPr>
            <w:tcW w:w="1021" w:type="dxa"/>
            <w:shd w:val="clear" w:color="auto" w:fill="E7E6E6"/>
          </w:tcPr>
          <w:p w14:paraId="60383BB5" w14:textId="77777777" w:rsidR="00FA7EBF" w:rsidRPr="007939DD" w:rsidRDefault="00FA7EBF" w:rsidP="007B207C">
            <w:pPr>
              <w:pStyle w:val="ARfintablebodyrightbold"/>
              <w:rPr>
                <w:lang w:eastAsia="en-AU"/>
              </w:rPr>
            </w:pPr>
            <w:r w:rsidRPr="00266EBE">
              <w:t>28,818.2</w:t>
            </w:r>
          </w:p>
        </w:tc>
        <w:tc>
          <w:tcPr>
            <w:tcW w:w="1021" w:type="dxa"/>
          </w:tcPr>
          <w:p w14:paraId="685779C0" w14:textId="77777777" w:rsidR="00FA7EBF" w:rsidRPr="007939DD" w:rsidRDefault="00FA7EBF" w:rsidP="007B207C">
            <w:pPr>
              <w:pStyle w:val="ARfintablebodyrightbold"/>
              <w:rPr>
                <w:rStyle w:val="Strong"/>
              </w:rPr>
            </w:pPr>
            <w:r w:rsidRPr="00266EBE">
              <w:t>30,199.3</w:t>
            </w:r>
          </w:p>
        </w:tc>
      </w:tr>
    </w:tbl>
    <w:p w14:paraId="71129D2D" w14:textId="77777777" w:rsidR="00FA7EBF" w:rsidRPr="00194D78" w:rsidRDefault="00FA7EBF" w:rsidP="00CA66FD">
      <w:pPr>
        <w:pStyle w:val="Heading5"/>
        <w:rPr>
          <w:lang w:eastAsia="en-AU"/>
        </w:rPr>
      </w:pPr>
      <w:r w:rsidRPr="00194D78">
        <w:rPr>
          <w:lang w:eastAsia="en-AU"/>
        </w:rPr>
        <w:t>Initial recognition</w:t>
      </w:r>
    </w:p>
    <w:p w14:paraId="7224C526" w14:textId="77777777" w:rsidR="00FA7EBF" w:rsidRDefault="00FA7EBF" w:rsidP="00CA66FD">
      <w:pPr>
        <w:pStyle w:val="ARfinbody"/>
      </w:pPr>
      <w:r w:rsidRPr="00194D78">
        <w:t>Items of property, plant and equipment, are measured initially at cost and subsequently revalued at fair value less accumulated depreciation and impairment. Where an asset is acquired for no or nominal consideration, the cost is the asset</w:t>
      </w:r>
      <w:r>
        <w:t>’</w:t>
      </w:r>
      <w:r w:rsidRPr="00194D78">
        <w:t>s fair value at the date of</w:t>
      </w:r>
      <w:r>
        <w:t> </w:t>
      </w:r>
      <w:r w:rsidRPr="00194D78">
        <w:t>acquisition. Assets transferred as part of a machinery of government change are transferred at their carrying amount.</w:t>
      </w:r>
    </w:p>
    <w:p w14:paraId="07AC421D" w14:textId="77777777" w:rsidR="00FA7EBF" w:rsidRDefault="00FA7EBF" w:rsidP="00CA66FD">
      <w:pPr>
        <w:pStyle w:val="ARfinbody"/>
      </w:pPr>
      <w:r w:rsidRPr="00194D78">
        <w:t>The cost of constructed non-financial physical assets includes the cost of all materials used in construction, direct labour on the project and an appropriate proportion of variable and fixed overheads.</w:t>
      </w:r>
    </w:p>
    <w:p w14:paraId="7670F706" w14:textId="77777777" w:rsidR="00FA7EBF" w:rsidRPr="00194D78" w:rsidRDefault="00FA7EBF" w:rsidP="00CA66FD">
      <w:pPr>
        <w:pStyle w:val="ARfinbody"/>
        <w:rPr>
          <w:strike/>
        </w:rPr>
      </w:pPr>
      <w:r w:rsidRPr="00194D78">
        <w:t>The cost of a leasehold improvement is capitalised and depreciated over the shorter of the remaining term of the lease or their estimated useful lives.</w:t>
      </w:r>
    </w:p>
    <w:p w14:paraId="66C18CA0" w14:textId="77777777" w:rsidR="00FA7EBF" w:rsidRDefault="00FA7EBF" w:rsidP="00CA66FD">
      <w:pPr>
        <w:pStyle w:val="ARfinbody"/>
      </w:pPr>
      <w:r w:rsidRPr="00194D78">
        <w:t>The initial cost of non-financial physical assets under a finance lease is measured at amounts equal to the fair value of the leased asset or, if lower, the present value of the minimum lease payments, each determined at the inception of the lease. Also noted that certain assets are acquired under finance leases, which may form part of a service concession arrangement (public private partnership).</w:t>
      </w:r>
    </w:p>
    <w:p w14:paraId="2A3CC240" w14:textId="77777777" w:rsidR="00FA7EBF" w:rsidRPr="00194D78" w:rsidRDefault="00FA7EBF" w:rsidP="00CA66FD">
      <w:pPr>
        <w:pStyle w:val="Heading5"/>
        <w:rPr>
          <w:lang w:eastAsia="en-AU"/>
        </w:rPr>
      </w:pPr>
      <w:r w:rsidRPr="00194D78">
        <w:rPr>
          <w:lang w:eastAsia="en-AU"/>
        </w:rPr>
        <w:t>Subsequent measurement</w:t>
      </w:r>
    </w:p>
    <w:p w14:paraId="77F4C8D8" w14:textId="77777777" w:rsidR="00FA7EBF" w:rsidRPr="00194D78" w:rsidRDefault="00FA7EBF" w:rsidP="00CA66FD">
      <w:pPr>
        <w:pStyle w:val="ARfinbody"/>
      </w:pPr>
      <w:r w:rsidRPr="00194D78">
        <w:t>Property, plant and equipment are subsequently measured at fair value less accumulated depreciation and impairment. Fair value is determined with regard to the asset</w:t>
      </w:r>
      <w:r>
        <w:t>’</w:t>
      </w:r>
      <w:r w:rsidRPr="00194D78">
        <w:t>s highest and best use (considering legal or physical restrictions imposed on the asset, public announcements or commitments made in relation to the intended use of the asset) and is summarised below by asset category.</w:t>
      </w:r>
    </w:p>
    <w:p w14:paraId="04C9FE22" w14:textId="77777777" w:rsidR="00FA7EBF" w:rsidRDefault="00FA7EBF" w:rsidP="00CA66FD">
      <w:pPr>
        <w:pStyle w:val="ARfinbody"/>
      </w:pPr>
      <w:r w:rsidRPr="00B82ED9">
        <w:rPr>
          <w:rStyle w:val="Strong"/>
          <w:bCs w:val="0"/>
        </w:rPr>
        <w:t>Non-specialised land and non-specialised buildings</w:t>
      </w:r>
      <w:r w:rsidRPr="00194D78">
        <w:t xml:space="preserve"> are valued using the market approach, whereby assets are compared to recent comparable sales or sales of comparable assets that are considered to have nominal value.</w:t>
      </w:r>
    </w:p>
    <w:p w14:paraId="542714F9" w14:textId="77777777" w:rsidR="00FA7EBF" w:rsidRDefault="00FA7EBF" w:rsidP="00CA66FD">
      <w:pPr>
        <w:pStyle w:val="ARfinbody"/>
      </w:pPr>
      <w:r w:rsidRPr="00B82ED9">
        <w:rPr>
          <w:rStyle w:val="Strong"/>
          <w:bCs w:val="0"/>
        </w:rPr>
        <w:t>Specialised land and specialised buildings</w:t>
      </w:r>
      <w:r w:rsidRPr="00B82ED9">
        <w:t>:</w:t>
      </w:r>
      <w:r w:rsidRPr="00194D78">
        <w:t xml:space="preserve"> The market approach is used for specialised land, although it may be adjusted for a community service obligation (CSO) to reflect the specialised nature of the land being valued.</w:t>
      </w:r>
    </w:p>
    <w:p w14:paraId="7A5C7E41" w14:textId="77777777" w:rsidR="00FA7EBF" w:rsidRDefault="00FA7EBF" w:rsidP="00CA66FD">
      <w:pPr>
        <w:pStyle w:val="ARfinbody"/>
      </w:pPr>
      <w:r w:rsidRPr="00194D78">
        <w:t>The CSO adjustment is a reflection of the valuer</w:t>
      </w:r>
      <w:r>
        <w:t>’</w:t>
      </w:r>
      <w:r w:rsidRPr="00194D78">
        <w:t>s assessment of the impact of restrictions associated with an asset to the extent that is also equally applicable to market participants.</w:t>
      </w:r>
    </w:p>
    <w:p w14:paraId="49646FBC" w14:textId="77777777" w:rsidR="00FA7EBF" w:rsidRPr="00194D78" w:rsidRDefault="00FA7EBF" w:rsidP="00CA66FD">
      <w:pPr>
        <w:pStyle w:val="ARfinbody"/>
      </w:pPr>
      <w:r w:rsidRPr="00194D78">
        <w:t>For the majority of the department</w:t>
      </w:r>
      <w:r>
        <w:t>’</w:t>
      </w:r>
      <w:r w:rsidRPr="00194D78">
        <w:t>s specialised buildings, the current replacement cost method is used, adjusting for the associated depreciation.</w:t>
      </w:r>
    </w:p>
    <w:p w14:paraId="2D1F5D55" w14:textId="77777777" w:rsidR="00FA7EBF" w:rsidRDefault="00FA7EBF" w:rsidP="00CA66FD">
      <w:pPr>
        <w:pStyle w:val="ARfinbody"/>
      </w:pPr>
      <w:r w:rsidRPr="00B82ED9">
        <w:rPr>
          <w:rStyle w:val="Strong"/>
          <w:bCs w:val="0"/>
        </w:rPr>
        <w:t>Vehicles</w:t>
      </w:r>
      <w:r w:rsidRPr="00194D78">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274C5E25" w14:textId="77777777" w:rsidR="00FA7EBF" w:rsidRPr="00194D78" w:rsidRDefault="00FA7EBF" w:rsidP="00CA66FD">
      <w:pPr>
        <w:pStyle w:val="ARfinbody"/>
      </w:pPr>
      <w:r w:rsidRPr="00194D78">
        <w:t xml:space="preserve">Fair value for </w:t>
      </w:r>
      <w:r w:rsidRPr="00B82ED9">
        <w:rPr>
          <w:rStyle w:val="Strong"/>
          <w:bCs w:val="0"/>
        </w:rPr>
        <w:t>plant and equipment</w:t>
      </w:r>
      <w:r w:rsidRPr="00194D78">
        <w:t xml:space="preserve"> is determined using the current replacement cost method.</w:t>
      </w:r>
    </w:p>
    <w:p w14:paraId="37C48A3B" w14:textId="77777777" w:rsidR="00FA7EBF" w:rsidRPr="00194D78" w:rsidRDefault="00FA7EBF" w:rsidP="00CA66FD">
      <w:pPr>
        <w:pStyle w:val="ARfinbody"/>
      </w:pPr>
      <w:r w:rsidRPr="00194D78">
        <w:t>Refer to Note 8.3 for additional information on fair value determination of property, plant and equipment.</w:t>
      </w:r>
    </w:p>
    <w:p w14:paraId="09F7DCA4" w14:textId="77777777" w:rsidR="00FA7EBF" w:rsidRPr="00194D78" w:rsidRDefault="00FA7EBF" w:rsidP="00CA66FD">
      <w:pPr>
        <w:pStyle w:val="Heading5"/>
        <w:rPr>
          <w:lang w:eastAsia="en-AU"/>
        </w:rPr>
      </w:pPr>
      <w:r w:rsidRPr="00194D78">
        <w:rPr>
          <w:lang w:eastAsia="en-AU"/>
        </w:rPr>
        <w:t>Impairment of property, plant and equipment</w:t>
      </w:r>
    </w:p>
    <w:p w14:paraId="04D845F1" w14:textId="77777777" w:rsidR="00FA7EBF" w:rsidRPr="00194D78" w:rsidRDefault="00FA7EBF" w:rsidP="00CA66FD">
      <w:pPr>
        <w:pStyle w:val="ARfinbody"/>
      </w:pPr>
      <w:r w:rsidRPr="00194D78">
        <w:t>The recoverable amount of primarily non-cash</w:t>
      </w:r>
      <w:r>
        <w:t xml:space="preserve"> </w:t>
      </w:r>
      <w:r w:rsidRPr="00194D78">
        <w:t xml:space="preserve">generating assets of not-for-profit entities, which are typically specialised in nature and held for continuing use of their service capacity, is expected to be materially the same as fair value determined under AASB 13 </w:t>
      </w:r>
      <w:r w:rsidRPr="001366E5">
        <w:rPr>
          <w:i/>
        </w:rPr>
        <w:t>Fair Value Measurement</w:t>
      </w:r>
      <w:r w:rsidRPr="00194D78">
        <w:t>, with the consequence that AASB 136 does not apply to such assets that are regularly revalued.</w:t>
      </w:r>
    </w:p>
    <w:p w14:paraId="77FFD12A" w14:textId="77777777" w:rsidR="00FA7EBF" w:rsidRPr="00194D78" w:rsidRDefault="00FA7EBF" w:rsidP="00CA66FD">
      <w:pPr>
        <w:pStyle w:val="Heading5"/>
        <w:rPr>
          <w:lang w:eastAsia="en-AU"/>
        </w:rPr>
      </w:pPr>
      <w:r w:rsidRPr="00194D78">
        <w:rPr>
          <w:lang w:eastAsia="en-AU"/>
        </w:rPr>
        <w:t>5.1.1 Depreciation and amortisation</w:t>
      </w:r>
    </w:p>
    <w:p w14:paraId="2C083551" w14:textId="77777777" w:rsidR="00FA7EBF" w:rsidRDefault="00FA7EBF" w:rsidP="00CA66FD">
      <w:pPr>
        <w:pStyle w:val="Heading6"/>
        <w:rPr>
          <w:lang w:eastAsia="en-AU"/>
        </w:rPr>
      </w:pPr>
      <w:r w:rsidRPr="00194D78">
        <w:rPr>
          <w:lang w:eastAsia="en-AU"/>
        </w:rPr>
        <w:t>Charge for the period</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1ACD2831" w14:textId="77777777" w:rsidTr="007B207C">
        <w:trPr>
          <w:cantSplit/>
          <w:tblHeader/>
        </w:trPr>
        <w:tc>
          <w:tcPr>
            <w:tcW w:w="7371" w:type="dxa"/>
            <w:vAlign w:val="bottom"/>
          </w:tcPr>
          <w:p w14:paraId="51F21E0B" w14:textId="77777777" w:rsidR="00FA7EBF" w:rsidRPr="007939DD" w:rsidRDefault="00FA7EBF" w:rsidP="007B207C">
            <w:pPr>
              <w:pStyle w:val="ARfintablecolhead"/>
            </w:pPr>
          </w:p>
        </w:tc>
        <w:tc>
          <w:tcPr>
            <w:tcW w:w="1134" w:type="dxa"/>
            <w:shd w:val="clear" w:color="auto" w:fill="E7E6E6"/>
            <w:vAlign w:val="bottom"/>
          </w:tcPr>
          <w:p w14:paraId="50777FFC" w14:textId="77777777" w:rsidR="00FA7EBF" w:rsidRPr="007939DD" w:rsidRDefault="00FA7EBF" w:rsidP="007B207C">
            <w:pPr>
              <w:pStyle w:val="ARfintablecolheadright"/>
            </w:pPr>
            <w:r w:rsidRPr="007939DD">
              <w:t>201</w:t>
            </w:r>
            <w:r>
              <w:t>9</w:t>
            </w:r>
          </w:p>
          <w:p w14:paraId="1375C748" w14:textId="77777777" w:rsidR="00FA7EBF" w:rsidRPr="007939DD" w:rsidRDefault="00FA7EBF" w:rsidP="007B207C">
            <w:pPr>
              <w:pStyle w:val="ARfintablecolheadright"/>
            </w:pPr>
            <w:r w:rsidRPr="007939DD">
              <w:t>$M</w:t>
            </w:r>
          </w:p>
        </w:tc>
        <w:tc>
          <w:tcPr>
            <w:tcW w:w="1134" w:type="dxa"/>
            <w:vAlign w:val="bottom"/>
          </w:tcPr>
          <w:p w14:paraId="286ADBBE" w14:textId="77777777" w:rsidR="00FA7EBF" w:rsidRPr="007939DD" w:rsidRDefault="00FA7EBF" w:rsidP="007B207C">
            <w:pPr>
              <w:pStyle w:val="ARfintablecolheadright"/>
            </w:pPr>
            <w:r w:rsidRPr="007939DD">
              <w:t>201</w:t>
            </w:r>
            <w:r>
              <w:t>8</w:t>
            </w:r>
          </w:p>
          <w:p w14:paraId="267CBF8C" w14:textId="77777777" w:rsidR="00FA7EBF" w:rsidRPr="007939DD" w:rsidRDefault="00FA7EBF" w:rsidP="007B207C">
            <w:pPr>
              <w:pStyle w:val="ARfintablecolheadright"/>
            </w:pPr>
            <w:r w:rsidRPr="007939DD">
              <w:t>$M</w:t>
            </w:r>
          </w:p>
        </w:tc>
      </w:tr>
      <w:tr w:rsidR="00FA7EBF" w:rsidRPr="007939DD" w14:paraId="4F19A774" w14:textId="77777777" w:rsidTr="007B207C">
        <w:trPr>
          <w:cantSplit/>
        </w:trPr>
        <w:tc>
          <w:tcPr>
            <w:tcW w:w="7371" w:type="dxa"/>
            <w:tcBorders>
              <w:bottom w:val="single" w:sz="4" w:space="0" w:color="A6A6A6" w:themeColor="background1" w:themeShade="A6"/>
            </w:tcBorders>
          </w:tcPr>
          <w:p w14:paraId="4B8B9A78" w14:textId="77777777" w:rsidR="00FA7EBF" w:rsidRPr="007939DD" w:rsidRDefault="00FA7EBF" w:rsidP="007B207C">
            <w:pPr>
              <w:pStyle w:val="ARfintablebody"/>
              <w:rPr>
                <w:lang w:eastAsia="en-AU"/>
              </w:rPr>
            </w:pPr>
            <w:r w:rsidRPr="009E63AC">
              <w:t>Buildings</w:t>
            </w:r>
          </w:p>
        </w:tc>
        <w:tc>
          <w:tcPr>
            <w:tcW w:w="1134" w:type="dxa"/>
            <w:tcBorders>
              <w:bottom w:val="single" w:sz="4" w:space="0" w:color="A6A6A6" w:themeColor="background1" w:themeShade="A6"/>
            </w:tcBorders>
            <w:shd w:val="clear" w:color="auto" w:fill="E7E6E6"/>
          </w:tcPr>
          <w:p w14:paraId="45B1D00D" w14:textId="77777777" w:rsidR="00FA7EBF" w:rsidRPr="007939DD" w:rsidRDefault="00FA7EBF" w:rsidP="007B207C">
            <w:pPr>
              <w:pStyle w:val="ARfintablebodyright"/>
              <w:rPr>
                <w:lang w:eastAsia="en-AU"/>
              </w:rPr>
            </w:pPr>
            <w:r w:rsidRPr="009E63AC">
              <w:t>303.2</w:t>
            </w:r>
          </w:p>
        </w:tc>
        <w:tc>
          <w:tcPr>
            <w:tcW w:w="1134" w:type="dxa"/>
            <w:tcBorders>
              <w:bottom w:val="single" w:sz="4" w:space="0" w:color="A6A6A6" w:themeColor="background1" w:themeShade="A6"/>
            </w:tcBorders>
          </w:tcPr>
          <w:p w14:paraId="5187501F" w14:textId="77777777" w:rsidR="00FA7EBF" w:rsidRPr="007939DD" w:rsidRDefault="00FA7EBF" w:rsidP="007B207C">
            <w:pPr>
              <w:pStyle w:val="ARfintablebodyright"/>
              <w:rPr>
                <w:lang w:eastAsia="en-AU"/>
              </w:rPr>
            </w:pPr>
            <w:r w:rsidRPr="009E63AC">
              <w:t>227.6</w:t>
            </w:r>
          </w:p>
        </w:tc>
      </w:tr>
      <w:tr w:rsidR="00FA7EBF" w:rsidRPr="007939DD" w14:paraId="473703D9"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639E017" w14:textId="77777777" w:rsidR="00FA7EBF" w:rsidRPr="007939DD" w:rsidRDefault="00FA7EBF" w:rsidP="007B207C">
            <w:pPr>
              <w:pStyle w:val="ARfintablebodyindent"/>
            </w:pPr>
            <w:r w:rsidRPr="009E63AC">
              <w:t>Health and Welfare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55688C2" w14:textId="77777777" w:rsidR="00FA7EBF" w:rsidRPr="007939DD" w:rsidRDefault="00FA7EBF" w:rsidP="007B207C">
            <w:pPr>
              <w:pStyle w:val="ARfintablebodyright"/>
              <w:rPr>
                <w:lang w:eastAsia="en-AU"/>
              </w:rPr>
            </w:pPr>
            <w:r w:rsidRPr="009E63AC">
              <w:t>29.8</w:t>
            </w:r>
          </w:p>
        </w:tc>
        <w:tc>
          <w:tcPr>
            <w:tcW w:w="1134" w:type="dxa"/>
            <w:tcBorders>
              <w:top w:val="single" w:sz="4" w:space="0" w:color="A6A6A6" w:themeColor="background1" w:themeShade="A6"/>
              <w:bottom w:val="single" w:sz="4" w:space="0" w:color="A6A6A6" w:themeColor="background1" w:themeShade="A6"/>
            </w:tcBorders>
          </w:tcPr>
          <w:p w14:paraId="33C92902" w14:textId="77777777" w:rsidR="00FA7EBF" w:rsidRPr="007939DD" w:rsidRDefault="00FA7EBF" w:rsidP="007B207C">
            <w:pPr>
              <w:pStyle w:val="ARfintablebodyright"/>
              <w:rPr>
                <w:lang w:eastAsia="en-AU"/>
              </w:rPr>
            </w:pPr>
            <w:r w:rsidRPr="009E63AC">
              <w:t>27.5</w:t>
            </w:r>
          </w:p>
        </w:tc>
      </w:tr>
      <w:tr w:rsidR="00FA7EBF" w:rsidRPr="007939DD" w14:paraId="11D57026"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49B78AC" w14:textId="77777777" w:rsidR="00FA7EBF" w:rsidRPr="007939DD" w:rsidRDefault="00FA7EBF" w:rsidP="007B207C">
            <w:pPr>
              <w:pStyle w:val="ARfintablebodyindent"/>
            </w:pPr>
            <w:r w:rsidRPr="009E63AC">
              <w:t>Public Administration</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B7113FB" w14:textId="77777777" w:rsidR="00FA7EBF" w:rsidRPr="007939DD" w:rsidRDefault="00FA7EBF" w:rsidP="007B207C">
            <w:pPr>
              <w:pStyle w:val="ARfintablebodyright"/>
              <w:rPr>
                <w:lang w:eastAsia="en-AU"/>
              </w:rPr>
            </w:pPr>
            <w:r w:rsidRPr="009E63AC">
              <w:t>0.6</w:t>
            </w:r>
          </w:p>
        </w:tc>
        <w:tc>
          <w:tcPr>
            <w:tcW w:w="1134" w:type="dxa"/>
            <w:tcBorders>
              <w:top w:val="single" w:sz="4" w:space="0" w:color="A6A6A6" w:themeColor="background1" w:themeShade="A6"/>
              <w:bottom w:val="single" w:sz="4" w:space="0" w:color="A6A6A6" w:themeColor="background1" w:themeShade="A6"/>
            </w:tcBorders>
          </w:tcPr>
          <w:p w14:paraId="3C18788C" w14:textId="77777777" w:rsidR="00FA7EBF" w:rsidRPr="007939DD" w:rsidRDefault="00FA7EBF" w:rsidP="007B207C">
            <w:pPr>
              <w:pStyle w:val="ARfintablebodyright"/>
              <w:rPr>
                <w:lang w:eastAsia="en-AU"/>
              </w:rPr>
            </w:pPr>
            <w:r w:rsidRPr="009E63AC">
              <w:t>1.0</w:t>
            </w:r>
          </w:p>
        </w:tc>
      </w:tr>
      <w:tr w:rsidR="00FA7EBF" w:rsidRPr="007939DD" w14:paraId="7714C4CE"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443C1AC0" w14:textId="77777777" w:rsidR="00FA7EBF" w:rsidRPr="007939DD" w:rsidRDefault="00FA7EBF" w:rsidP="007B207C">
            <w:pPr>
              <w:pStyle w:val="ARfintablebodyindent"/>
            </w:pPr>
            <w:r w:rsidRPr="009E63AC">
              <w:t>Housing</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0DB1363" w14:textId="77777777" w:rsidR="00FA7EBF" w:rsidRPr="007939DD" w:rsidRDefault="00FA7EBF" w:rsidP="007B207C">
            <w:pPr>
              <w:pStyle w:val="ARfintablebodyright"/>
              <w:rPr>
                <w:lang w:eastAsia="en-AU"/>
              </w:rPr>
            </w:pPr>
            <w:r w:rsidRPr="009E63AC">
              <w:t>272.8</w:t>
            </w:r>
          </w:p>
        </w:tc>
        <w:tc>
          <w:tcPr>
            <w:tcW w:w="1134" w:type="dxa"/>
            <w:tcBorders>
              <w:top w:val="single" w:sz="4" w:space="0" w:color="A6A6A6" w:themeColor="background1" w:themeShade="A6"/>
              <w:bottom w:val="single" w:sz="4" w:space="0" w:color="A6A6A6" w:themeColor="background1" w:themeShade="A6"/>
            </w:tcBorders>
          </w:tcPr>
          <w:p w14:paraId="7F839C6C" w14:textId="77777777" w:rsidR="00FA7EBF" w:rsidRPr="007939DD" w:rsidRDefault="00FA7EBF" w:rsidP="007B207C">
            <w:pPr>
              <w:pStyle w:val="ARfintablebodyright"/>
              <w:rPr>
                <w:lang w:eastAsia="en-AU"/>
              </w:rPr>
            </w:pPr>
            <w:r w:rsidRPr="009E63AC">
              <w:t>199.1</w:t>
            </w:r>
          </w:p>
        </w:tc>
      </w:tr>
      <w:tr w:rsidR="00FA7EBF" w:rsidRPr="007939DD" w14:paraId="027D0DAB"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2CF107D" w14:textId="77777777" w:rsidR="00FA7EBF" w:rsidRPr="007939DD" w:rsidRDefault="00FA7EBF" w:rsidP="007B207C">
            <w:pPr>
              <w:pStyle w:val="ARfintablebody"/>
              <w:rPr>
                <w:lang w:eastAsia="en-AU"/>
              </w:rPr>
            </w:pPr>
            <w:r w:rsidRPr="009E63AC">
              <w:t>Plant, equipment and vehicles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CB87CC8" w14:textId="77777777" w:rsidR="00FA7EBF" w:rsidRPr="007939DD" w:rsidRDefault="00FA7EBF" w:rsidP="007B207C">
            <w:pPr>
              <w:pStyle w:val="ARfintablebodyright"/>
              <w:rPr>
                <w:lang w:eastAsia="en-AU"/>
              </w:rPr>
            </w:pPr>
            <w:r w:rsidRPr="009E63AC">
              <w:t>5.2</w:t>
            </w:r>
          </w:p>
        </w:tc>
        <w:tc>
          <w:tcPr>
            <w:tcW w:w="1134" w:type="dxa"/>
            <w:tcBorders>
              <w:top w:val="single" w:sz="4" w:space="0" w:color="A6A6A6" w:themeColor="background1" w:themeShade="A6"/>
              <w:bottom w:val="single" w:sz="4" w:space="0" w:color="A6A6A6" w:themeColor="background1" w:themeShade="A6"/>
            </w:tcBorders>
          </w:tcPr>
          <w:p w14:paraId="1C97B164" w14:textId="77777777" w:rsidR="00FA7EBF" w:rsidRPr="007939DD" w:rsidRDefault="00FA7EBF" w:rsidP="007B207C">
            <w:pPr>
              <w:pStyle w:val="ARfintablebodyright"/>
              <w:rPr>
                <w:lang w:eastAsia="en-AU"/>
              </w:rPr>
            </w:pPr>
            <w:r w:rsidRPr="009E63AC">
              <w:t>4.9</w:t>
            </w:r>
          </w:p>
        </w:tc>
      </w:tr>
      <w:tr w:rsidR="00FA7EBF" w:rsidRPr="007939DD" w14:paraId="19A55733"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281FF6A" w14:textId="77777777" w:rsidR="00FA7EBF" w:rsidRPr="007939DD" w:rsidRDefault="00FA7EBF" w:rsidP="007B207C">
            <w:pPr>
              <w:pStyle w:val="ARfintablebodyindent"/>
            </w:pPr>
            <w:r w:rsidRPr="009E63AC">
              <w:t>Health and Welfare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0303205" w14:textId="77777777" w:rsidR="00FA7EBF" w:rsidRPr="007939DD" w:rsidRDefault="00FA7EBF" w:rsidP="007B207C">
            <w:pPr>
              <w:pStyle w:val="ARfintablebodyright"/>
              <w:rPr>
                <w:lang w:eastAsia="en-AU"/>
              </w:rPr>
            </w:pPr>
            <w:r w:rsidRPr="009E63AC">
              <w:t>4.6</w:t>
            </w:r>
          </w:p>
        </w:tc>
        <w:tc>
          <w:tcPr>
            <w:tcW w:w="1134" w:type="dxa"/>
            <w:tcBorders>
              <w:top w:val="single" w:sz="4" w:space="0" w:color="A6A6A6" w:themeColor="background1" w:themeShade="A6"/>
              <w:bottom w:val="single" w:sz="4" w:space="0" w:color="A6A6A6" w:themeColor="background1" w:themeShade="A6"/>
            </w:tcBorders>
          </w:tcPr>
          <w:p w14:paraId="73FBB03F" w14:textId="77777777" w:rsidR="00FA7EBF" w:rsidRPr="007939DD" w:rsidRDefault="00FA7EBF" w:rsidP="007B207C">
            <w:pPr>
              <w:pStyle w:val="ARfintablebodyright"/>
              <w:rPr>
                <w:lang w:eastAsia="en-AU"/>
              </w:rPr>
            </w:pPr>
            <w:r w:rsidRPr="009E63AC">
              <w:t>4.2</w:t>
            </w:r>
          </w:p>
        </w:tc>
      </w:tr>
      <w:tr w:rsidR="00FA7EBF" w:rsidRPr="007939DD" w14:paraId="092BD6B7"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70F122C" w14:textId="77777777" w:rsidR="00FA7EBF" w:rsidRPr="007939DD" w:rsidRDefault="00FA7EBF" w:rsidP="007B207C">
            <w:pPr>
              <w:pStyle w:val="ARfintablebodyindent"/>
            </w:pPr>
            <w:r w:rsidRPr="009E63AC">
              <w:t>Housing</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839093D" w14:textId="77777777" w:rsidR="00FA7EBF" w:rsidRPr="007939DD" w:rsidRDefault="00FA7EBF" w:rsidP="007B207C">
            <w:pPr>
              <w:pStyle w:val="ARfintablebodyright"/>
              <w:rPr>
                <w:lang w:eastAsia="en-AU"/>
              </w:rPr>
            </w:pPr>
            <w:r w:rsidRPr="009E63AC">
              <w:t>0.6</w:t>
            </w:r>
          </w:p>
        </w:tc>
        <w:tc>
          <w:tcPr>
            <w:tcW w:w="1134" w:type="dxa"/>
            <w:tcBorders>
              <w:top w:val="single" w:sz="4" w:space="0" w:color="A6A6A6" w:themeColor="background1" w:themeShade="A6"/>
              <w:bottom w:val="single" w:sz="4" w:space="0" w:color="A6A6A6" w:themeColor="background1" w:themeShade="A6"/>
            </w:tcBorders>
          </w:tcPr>
          <w:p w14:paraId="5F242853" w14:textId="77777777" w:rsidR="00FA7EBF" w:rsidRPr="007939DD" w:rsidRDefault="00FA7EBF" w:rsidP="007B207C">
            <w:pPr>
              <w:pStyle w:val="ARfintablebodyright"/>
              <w:rPr>
                <w:lang w:eastAsia="en-AU"/>
              </w:rPr>
            </w:pPr>
            <w:r w:rsidRPr="009E63AC">
              <w:t>0.7</w:t>
            </w:r>
          </w:p>
        </w:tc>
      </w:tr>
      <w:tr w:rsidR="00FA7EBF" w:rsidRPr="007939DD" w14:paraId="6EECF14F"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1D8E6CC" w14:textId="77777777" w:rsidR="00FA7EBF" w:rsidRPr="007939DD" w:rsidRDefault="00FA7EBF" w:rsidP="007B207C">
            <w:pPr>
              <w:pStyle w:val="ARfintablebody"/>
              <w:rPr>
                <w:lang w:eastAsia="en-AU"/>
              </w:rPr>
            </w:pPr>
            <w:r w:rsidRPr="009E63AC">
              <w:t>Intangible assets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91B026B" w14:textId="77777777" w:rsidR="00FA7EBF" w:rsidRPr="007939DD" w:rsidRDefault="00FA7EBF" w:rsidP="007B207C">
            <w:pPr>
              <w:pStyle w:val="ARfintablebodyright"/>
              <w:rPr>
                <w:lang w:eastAsia="en-AU"/>
              </w:rPr>
            </w:pPr>
            <w:r w:rsidRPr="009E63AC">
              <w:t>20.3</w:t>
            </w:r>
          </w:p>
        </w:tc>
        <w:tc>
          <w:tcPr>
            <w:tcW w:w="1134" w:type="dxa"/>
            <w:tcBorders>
              <w:top w:val="single" w:sz="4" w:space="0" w:color="A6A6A6" w:themeColor="background1" w:themeShade="A6"/>
              <w:bottom w:val="single" w:sz="4" w:space="0" w:color="A6A6A6" w:themeColor="background1" w:themeShade="A6"/>
            </w:tcBorders>
          </w:tcPr>
          <w:p w14:paraId="0C388257" w14:textId="77777777" w:rsidR="00FA7EBF" w:rsidRPr="007939DD" w:rsidRDefault="00FA7EBF" w:rsidP="007B207C">
            <w:pPr>
              <w:pStyle w:val="ARfintablebodyright"/>
              <w:rPr>
                <w:lang w:eastAsia="en-AU"/>
              </w:rPr>
            </w:pPr>
            <w:r w:rsidRPr="009E63AC">
              <w:t>21.3</w:t>
            </w:r>
          </w:p>
        </w:tc>
      </w:tr>
      <w:tr w:rsidR="00FA7EBF" w:rsidRPr="007939DD" w14:paraId="5C391C52"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2F25C43" w14:textId="77777777" w:rsidR="00FA7EBF" w:rsidRPr="007939DD" w:rsidRDefault="00FA7EBF" w:rsidP="007B207C">
            <w:pPr>
              <w:pStyle w:val="ARfintablebodyindent"/>
            </w:pPr>
            <w:r w:rsidRPr="009E63AC">
              <w:t>Health and Welfare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6CA33DA" w14:textId="77777777" w:rsidR="00FA7EBF" w:rsidRPr="007939DD" w:rsidRDefault="00FA7EBF" w:rsidP="007B207C">
            <w:pPr>
              <w:pStyle w:val="ARfintablebodyright"/>
              <w:rPr>
                <w:lang w:eastAsia="en-AU"/>
              </w:rPr>
            </w:pPr>
            <w:r w:rsidRPr="009E63AC">
              <w:t>12.0</w:t>
            </w:r>
          </w:p>
        </w:tc>
        <w:tc>
          <w:tcPr>
            <w:tcW w:w="1134" w:type="dxa"/>
            <w:tcBorders>
              <w:top w:val="single" w:sz="4" w:space="0" w:color="A6A6A6" w:themeColor="background1" w:themeShade="A6"/>
              <w:bottom w:val="single" w:sz="4" w:space="0" w:color="A6A6A6" w:themeColor="background1" w:themeShade="A6"/>
            </w:tcBorders>
          </w:tcPr>
          <w:p w14:paraId="46343745" w14:textId="77777777" w:rsidR="00FA7EBF" w:rsidRPr="007939DD" w:rsidRDefault="00FA7EBF" w:rsidP="007B207C">
            <w:pPr>
              <w:pStyle w:val="ARfintablebodyright"/>
              <w:rPr>
                <w:lang w:eastAsia="en-AU"/>
              </w:rPr>
            </w:pPr>
            <w:r w:rsidRPr="009E63AC">
              <w:t>10.7</w:t>
            </w:r>
          </w:p>
        </w:tc>
      </w:tr>
      <w:tr w:rsidR="00FA7EBF" w:rsidRPr="007939DD" w14:paraId="39FC825B"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6004FDB" w14:textId="77777777" w:rsidR="00FA7EBF" w:rsidRPr="007939DD" w:rsidRDefault="00FA7EBF" w:rsidP="007B207C">
            <w:pPr>
              <w:pStyle w:val="ARfintablebodyindent"/>
            </w:pPr>
            <w:r w:rsidRPr="009E63AC">
              <w:t>Housing</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50444C6" w14:textId="77777777" w:rsidR="00FA7EBF" w:rsidRPr="007939DD" w:rsidRDefault="00FA7EBF" w:rsidP="007B207C">
            <w:pPr>
              <w:pStyle w:val="ARfintablebodyright"/>
              <w:rPr>
                <w:lang w:eastAsia="en-AU"/>
              </w:rPr>
            </w:pPr>
            <w:r w:rsidRPr="009E63AC">
              <w:t>8.3</w:t>
            </w:r>
          </w:p>
        </w:tc>
        <w:tc>
          <w:tcPr>
            <w:tcW w:w="1134" w:type="dxa"/>
            <w:tcBorders>
              <w:top w:val="single" w:sz="4" w:space="0" w:color="A6A6A6" w:themeColor="background1" w:themeShade="A6"/>
              <w:bottom w:val="single" w:sz="4" w:space="0" w:color="A6A6A6" w:themeColor="background1" w:themeShade="A6"/>
            </w:tcBorders>
          </w:tcPr>
          <w:p w14:paraId="2FCF2CF5" w14:textId="77777777" w:rsidR="00FA7EBF" w:rsidRPr="007939DD" w:rsidRDefault="00FA7EBF" w:rsidP="007B207C">
            <w:pPr>
              <w:pStyle w:val="ARfintablebodyright"/>
              <w:rPr>
                <w:lang w:eastAsia="en-AU"/>
              </w:rPr>
            </w:pPr>
            <w:r w:rsidRPr="009E63AC">
              <w:t>10.5</w:t>
            </w:r>
          </w:p>
        </w:tc>
      </w:tr>
      <w:tr w:rsidR="00FA7EBF" w:rsidRPr="007939DD" w14:paraId="3B386B62"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7219E40" w14:textId="77777777" w:rsidR="00FA7EBF" w:rsidRPr="007939DD" w:rsidRDefault="00FA7EBF" w:rsidP="007B207C">
            <w:pPr>
              <w:pStyle w:val="ARfintablebody"/>
              <w:rPr>
                <w:lang w:eastAsia="en-AU"/>
              </w:rPr>
            </w:pPr>
            <w:r w:rsidRPr="009E63AC">
              <w:t>Motor vehicles under finance lease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FC0B1C6" w14:textId="77777777" w:rsidR="00FA7EBF" w:rsidRPr="007939DD" w:rsidRDefault="00FA7EBF" w:rsidP="007B207C">
            <w:pPr>
              <w:pStyle w:val="ARfintablebodyright"/>
              <w:rPr>
                <w:lang w:eastAsia="en-AU"/>
              </w:rPr>
            </w:pPr>
            <w:r w:rsidRPr="009E63AC">
              <w:t>12.9</w:t>
            </w:r>
          </w:p>
        </w:tc>
        <w:tc>
          <w:tcPr>
            <w:tcW w:w="1134" w:type="dxa"/>
            <w:tcBorders>
              <w:top w:val="single" w:sz="4" w:space="0" w:color="A6A6A6" w:themeColor="background1" w:themeShade="A6"/>
              <w:bottom w:val="single" w:sz="4" w:space="0" w:color="A6A6A6" w:themeColor="background1" w:themeShade="A6"/>
            </w:tcBorders>
          </w:tcPr>
          <w:p w14:paraId="2E70DF6F" w14:textId="77777777" w:rsidR="00FA7EBF" w:rsidRPr="007939DD" w:rsidRDefault="00FA7EBF" w:rsidP="007B207C">
            <w:pPr>
              <w:pStyle w:val="ARfintablebodyright"/>
              <w:rPr>
                <w:lang w:eastAsia="en-AU"/>
              </w:rPr>
            </w:pPr>
            <w:r w:rsidRPr="009E63AC">
              <w:t>13.5</w:t>
            </w:r>
          </w:p>
        </w:tc>
      </w:tr>
      <w:tr w:rsidR="00FA7EBF" w:rsidRPr="007939DD" w14:paraId="4902CC71" w14:textId="77777777" w:rsidTr="007B207C">
        <w:trPr>
          <w:cantSplit/>
        </w:trPr>
        <w:tc>
          <w:tcPr>
            <w:tcW w:w="7371" w:type="dxa"/>
            <w:tcBorders>
              <w:top w:val="single" w:sz="4" w:space="0" w:color="A6A6A6" w:themeColor="background1" w:themeShade="A6"/>
            </w:tcBorders>
          </w:tcPr>
          <w:p w14:paraId="7E7C6211" w14:textId="77777777" w:rsidR="00FA7EBF" w:rsidRPr="007939DD" w:rsidRDefault="00FA7EBF" w:rsidP="007B207C">
            <w:pPr>
              <w:pStyle w:val="ARfintablebodyindent"/>
            </w:pPr>
            <w:r w:rsidRPr="009E63AC">
              <w:t>Health and Welfare</w:t>
            </w:r>
          </w:p>
        </w:tc>
        <w:tc>
          <w:tcPr>
            <w:tcW w:w="1134" w:type="dxa"/>
            <w:tcBorders>
              <w:top w:val="single" w:sz="4" w:space="0" w:color="A6A6A6" w:themeColor="background1" w:themeShade="A6"/>
            </w:tcBorders>
            <w:shd w:val="clear" w:color="auto" w:fill="E7E6E6"/>
          </w:tcPr>
          <w:p w14:paraId="04CB33B8" w14:textId="77777777" w:rsidR="00FA7EBF" w:rsidRPr="007939DD" w:rsidRDefault="00FA7EBF" w:rsidP="007B207C">
            <w:pPr>
              <w:pStyle w:val="ARfintablebodyright"/>
              <w:rPr>
                <w:lang w:eastAsia="en-AU"/>
              </w:rPr>
            </w:pPr>
            <w:r w:rsidRPr="009E63AC">
              <w:t>12.9</w:t>
            </w:r>
          </w:p>
        </w:tc>
        <w:tc>
          <w:tcPr>
            <w:tcW w:w="1134" w:type="dxa"/>
            <w:tcBorders>
              <w:top w:val="single" w:sz="4" w:space="0" w:color="A6A6A6" w:themeColor="background1" w:themeShade="A6"/>
            </w:tcBorders>
          </w:tcPr>
          <w:p w14:paraId="028BD1F8" w14:textId="77777777" w:rsidR="00FA7EBF" w:rsidRPr="007939DD" w:rsidRDefault="00FA7EBF" w:rsidP="007B207C">
            <w:pPr>
              <w:pStyle w:val="ARfintablebodyright"/>
              <w:rPr>
                <w:lang w:eastAsia="en-AU"/>
              </w:rPr>
            </w:pPr>
            <w:r w:rsidRPr="009E63AC">
              <w:t>13.5</w:t>
            </w:r>
          </w:p>
        </w:tc>
      </w:tr>
      <w:tr w:rsidR="00FA7EBF" w:rsidRPr="007939DD" w14:paraId="0A82728E" w14:textId="77777777" w:rsidTr="007B207C">
        <w:trPr>
          <w:cantSplit/>
        </w:trPr>
        <w:tc>
          <w:tcPr>
            <w:tcW w:w="7371" w:type="dxa"/>
            <w:tcBorders>
              <w:bottom w:val="single" w:sz="4" w:space="0" w:color="BFBFBF" w:themeColor="accent4"/>
            </w:tcBorders>
          </w:tcPr>
          <w:p w14:paraId="0B69F17C" w14:textId="77777777" w:rsidR="00FA7EBF" w:rsidRPr="007939DD" w:rsidRDefault="00FA7EBF" w:rsidP="007B207C">
            <w:pPr>
              <w:pStyle w:val="ARfintablebodybold"/>
              <w:rPr>
                <w:lang w:eastAsia="en-AU"/>
              </w:rPr>
            </w:pPr>
            <w:r w:rsidRPr="009E63AC">
              <w:t>Aggregate depreciation and amortisation allocated</w:t>
            </w:r>
          </w:p>
        </w:tc>
        <w:tc>
          <w:tcPr>
            <w:tcW w:w="1134" w:type="dxa"/>
            <w:tcBorders>
              <w:bottom w:val="single" w:sz="4" w:space="0" w:color="BFBFBF" w:themeColor="accent4"/>
            </w:tcBorders>
            <w:shd w:val="clear" w:color="auto" w:fill="E7E6E6"/>
          </w:tcPr>
          <w:p w14:paraId="7A61D1C6" w14:textId="77777777" w:rsidR="00FA7EBF" w:rsidRPr="007939DD" w:rsidRDefault="00FA7EBF" w:rsidP="007B207C">
            <w:pPr>
              <w:pStyle w:val="ARfintablebodyrightbold"/>
              <w:rPr>
                <w:lang w:eastAsia="en-AU"/>
              </w:rPr>
            </w:pPr>
            <w:r w:rsidRPr="009E63AC">
              <w:t>341.7</w:t>
            </w:r>
          </w:p>
        </w:tc>
        <w:tc>
          <w:tcPr>
            <w:tcW w:w="1134" w:type="dxa"/>
            <w:tcBorders>
              <w:bottom w:val="single" w:sz="4" w:space="0" w:color="BFBFBF" w:themeColor="accent4"/>
            </w:tcBorders>
          </w:tcPr>
          <w:p w14:paraId="15B98DD2" w14:textId="77777777" w:rsidR="00FA7EBF" w:rsidRPr="007939DD" w:rsidRDefault="00FA7EBF" w:rsidP="007B207C">
            <w:pPr>
              <w:pStyle w:val="ARfintablebodyrightbold"/>
              <w:rPr>
                <w:rStyle w:val="Strong"/>
              </w:rPr>
            </w:pPr>
            <w:r w:rsidRPr="009E63AC">
              <w:t>267.2</w:t>
            </w:r>
          </w:p>
        </w:tc>
      </w:tr>
      <w:tr w:rsidR="00FA7EBF" w:rsidRPr="007939DD" w14:paraId="496E3A9C" w14:textId="77777777" w:rsidTr="007B207C">
        <w:trPr>
          <w:cantSplit/>
        </w:trPr>
        <w:tc>
          <w:tcPr>
            <w:tcW w:w="7371" w:type="dxa"/>
            <w:tcBorders>
              <w:top w:val="single" w:sz="4" w:space="0" w:color="BFBFBF" w:themeColor="accent4"/>
            </w:tcBorders>
          </w:tcPr>
          <w:p w14:paraId="49716D14" w14:textId="77777777" w:rsidR="00FA7EBF" w:rsidRPr="007939DD" w:rsidRDefault="00FA7EBF" w:rsidP="007B207C">
            <w:pPr>
              <w:pStyle w:val="ARfintablebody"/>
              <w:rPr>
                <w:lang w:eastAsia="en-AU"/>
              </w:rPr>
            </w:pPr>
            <w:r w:rsidRPr="009E63AC">
              <w:t>Less depreciation and amortisation capitalised to carrying amount of other assets during the year</w:t>
            </w:r>
          </w:p>
        </w:tc>
        <w:tc>
          <w:tcPr>
            <w:tcW w:w="1134" w:type="dxa"/>
            <w:tcBorders>
              <w:top w:val="single" w:sz="4" w:space="0" w:color="BFBFBF" w:themeColor="accent4"/>
            </w:tcBorders>
            <w:shd w:val="clear" w:color="auto" w:fill="E7E6E6"/>
          </w:tcPr>
          <w:p w14:paraId="1F727AA6" w14:textId="77777777" w:rsidR="00FA7EBF" w:rsidRPr="007939DD" w:rsidRDefault="00FA7EBF" w:rsidP="007B207C">
            <w:pPr>
              <w:pStyle w:val="ARfintablebodyright"/>
              <w:rPr>
                <w:lang w:eastAsia="en-AU"/>
              </w:rPr>
            </w:pPr>
            <w:r w:rsidRPr="009E63AC">
              <w:t>(1.2)</w:t>
            </w:r>
          </w:p>
        </w:tc>
        <w:tc>
          <w:tcPr>
            <w:tcW w:w="1134" w:type="dxa"/>
            <w:tcBorders>
              <w:top w:val="single" w:sz="4" w:space="0" w:color="BFBFBF" w:themeColor="accent4"/>
            </w:tcBorders>
          </w:tcPr>
          <w:p w14:paraId="05D7F8BE" w14:textId="77777777" w:rsidR="00FA7EBF" w:rsidRPr="007939DD" w:rsidRDefault="00FA7EBF" w:rsidP="007B207C">
            <w:pPr>
              <w:pStyle w:val="ARfintablebodyright"/>
              <w:rPr>
                <w:lang w:eastAsia="en-AU"/>
              </w:rPr>
            </w:pPr>
            <w:r w:rsidRPr="009E63AC">
              <w:t>(1.5)</w:t>
            </w:r>
          </w:p>
        </w:tc>
      </w:tr>
      <w:tr w:rsidR="00FA7EBF" w:rsidRPr="007939DD" w14:paraId="55FAAE7D" w14:textId="77777777" w:rsidTr="007B207C">
        <w:trPr>
          <w:cantSplit/>
        </w:trPr>
        <w:tc>
          <w:tcPr>
            <w:tcW w:w="7371" w:type="dxa"/>
          </w:tcPr>
          <w:p w14:paraId="24CB453F" w14:textId="77777777" w:rsidR="00FA7EBF" w:rsidRPr="007939DD" w:rsidRDefault="00FA7EBF" w:rsidP="007B207C">
            <w:pPr>
              <w:pStyle w:val="ARfintablebodybold"/>
              <w:rPr>
                <w:lang w:eastAsia="en-AU"/>
              </w:rPr>
            </w:pPr>
            <w:r w:rsidRPr="009E63AC">
              <w:t>Total depreciation and amortisation</w:t>
            </w:r>
          </w:p>
        </w:tc>
        <w:tc>
          <w:tcPr>
            <w:tcW w:w="1134" w:type="dxa"/>
            <w:shd w:val="clear" w:color="auto" w:fill="E7E6E6"/>
          </w:tcPr>
          <w:p w14:paraId="252C3BCF" w14:textId="77777777" w:rsidR="00FA7EBF" w:rsidRPr="007939DD" w:rsidRDefault="00FA7EBF" w:rsidP="007B207C">
            <w:pPr>
              <w:pStyle w:val="ARfintablebodyrightbold"/>
              <w:rPr>
                <w:lang w:eastAsia="en-AU"/>
              </w:rPr>
            </w:pPr>
            <w:r w:rsidRPr="009E63AC">
              <w:t>340.5</w:t>
            </w:r>
          </w:p>
        </w:tc>
        <w:tc>
          <w:tcPr>
            <w:tcW w:w="1134" w:type="dxa"/>
          </w:tcPr>
          <w:p w14:paraId="2CFF3756" w14:textId="77777777" w:rsidR="00FA7EBF" w:rsidRPr="007939DD" w:rsidRDefault="00FA7EBF" w:rsidP="007B207C">
            <w:pPr>
              <w:pStyle w:val="ARfintablebodyrightbold"/>
              <w:rPr>
                <w:rStyle w:val="Strong"/>
              </w:rPr>
            </w:pPr>
            <w:r w:rsidRPr="009E63AC">
              <w:t>265.8</w:t>
            </w:r>
          </w:p>
        </w:tc>
      </w:tr>
    </w:tbl>
    <w:p w14:paraId="0D04DFDC" w14:textId="77777777" w:rsidR="00FA7EBF" w:rsidRDefault="00FA7EBF" w:rsidP="00CA66FD">
      <w:pPr>
        <w:pStyle w:val="ARfinbodyaftertable"/>
      </w:pPr>
      <w:r w:rsidRPr="00194D78">
        <w:t>All buildings, plant, equipment, vehicles and other non-current physical assets that have finite useful lives are depreciated. The exceptions to this rule include items under operating leases, assets held for sale and land.</w:t>
      </w:r>
    </w:p>
    <w:p w14:paraId="0F0CA45C" w14:textId="77777777" w:rsidR="00FA7EBF" w:rsidRDefault="00FA7EBF" w:rsidP="00CA66FD">
      <w:pPr>
        <w:pStyle w:val="ARfinbody"/>
      </w:pPr>
      <w:r w:rsidRPr="00194D78">
        <w:t>Depreciation is calculated on a straight line basis at rates that allocate the asset</w:t>
      </w:r>
      <w:r>
        <w:t>’</w:t>
      </w:r>
      <w:r w:rsidRPr="00194D78">
        <w:t>s value, less any estimated residual value, over its estimated useful life.</w:t>
      </w:r>
    </w:p>
    <w:p w14:paraId="730A220E" w14:textId="77777777" w:rsidR="00FA7EBF" w:rsidRPr="00194D78" w:rsidRDefault="00FA7EBF" w:rsidP="00CA66FD">
      <w:pPr>
        <w:pStyle w:val="ARfinbodylargespace"/>
      </w:pPr>
      <w:r w:rsidRPr="00194D78">
        <w:t>Typical estimated useful lives for the different asset classes for the current and prior years are included in the table below:</w:t>
      </w:r>
    </w:p>
    <w:tbl>
      <w:tblPr>
        <w:tblStyle w:val="TableGrid"/>
        <w:tblW w:w="0" w:type="auto"/>
        <w:tblLook w:val="06A0" w:firstRow="1" w:lastRow="0" w:firstColumn="1" w:lastColumn="0" w:noHBand="1" w:noVBand="1"/>
      </w:tblPr>
      <w:tblGrid>
        <w:gridCol w:w="2982"/>
        <w:gridCol w:w="1559"/>
        <w:gridCol w:w="1559"/>
      </w:tblGrid>
      <w:tr w:rsidR="00FA7EBF" w:rsidRPr="007939DD" w14:paraId="143FB5DD" w14:textId="77777777" w:rsidTr="007B207C">
        <w:trPr>
          <w:cnfStyle w:val="100000000000" w:firstRow="1" w:lastRow="0" w:firstColumn="0" w:lastColumn="0" w:oddVBand="0" w:evenVBand="0" w:oddHBand="0" w:evenHBand="0" w:firstRowFirstColumn="0" w:firstRowLastColumn="0" w:lastRowFirstColumn="0" w:lastRowLastColumn="0"/>
          <w:tblHeader/>
        </w:trPr>
        <w:tc>
          <w:tcPr>
            <w:tcW w:w="2982" w:type="dxa"/>
          </w:tcPr>
          <w:p w14:paraId="66C95B9C" w14:textId="77777777" w:rsidR="00FA7EBF" w:rsidRPr="007939DD" w:rsidRDefault="00FA7EBF" w:rsidP="007B207C">
            <w:pPr>
              <w:pStyle w:val="ARfintablecolhead"/>
            </w:pPr>
            <w:r w:rsidRPr="007939DD">
              <w:t>Asset class</w:t>
            </w:r>
          </w:p>
        </w:tc>
        <w:tc>
          <w:tcPr>
            <w:tcW w:w="1559" w:type="dxa"/>
          </w:tcPr>
          <w:p w14:paraId="55CC587F" w14:textId="77777777" w:rsidR="00FA7EBF" w:rsidRPr="00EF06BD" w:rsidRDefault="00FA7EBF" w:rsidP="007B207C">
            <w:pPr>
              <w:pStyle w:val="ARfintablecolhead"/>
            </w:pPr>
            <w:r w:rsidRPr="00EF06BD">
              <w:t>2019</w:t>
            </w:r>
          </w:p>
        </w:tc>
        <w:tc>
          <w:tcPr>
            <w:tcW w:w="1559" w:type="dxa"/>
          </w:tcPr>
          <w:p w14:paraId="1B6BDE66" w14:textId="77777777" w:rsidR="00FA7EBF" w:rsidRPr="00EF06BD" w:rsidRDefault="00FA7EBF" w:rsidP="007B207C">
            <w:pPr>
              <w:pStyle w:val="ARfintablecolhead"/>
            </w:pPr>
            <w:r w:rsidRPr="00EF06BD">
              <w:t>2018</w:t>
            </w:r>
          </w:p>
        </w:tc>
      </w:tr>
      <w:tr w:rsidR="00FA7EBF" w:rsidRPr="007939DD" w14:paraId="45C8A4CD" w14:textId="77777777" w:rsidTr="007B207C">
        <w:tc>
          <w:tcPr>
            <w:tcW w:w="2982" w:type="dxa"/>
            <w:tcBorders>
              <w:bottom w:val="single" w:sz="4" w:space="0" w:color="BFBFBF" w:themeColor="accent4"/>
            </w:tcBorders>
          </w:tcPr>
          <w:p w14:paraId="6B30ABB6" w14:textId="77777777" w:rsidR="00FA7EBF" w:rsidRPr="007939DD" w:rsidRDefault="00FA7EBF" w:rsidP="007B207C">
            <w:pPr>
              <w:pStyle w:val="ARfintablebody"/>
              <w:rPr>
                <w:lang w:eastAsia="en-AU"/>
              </w:rPr>
            </w:pPr>
            <w:r w:rsidRPr="007939DD">
              <w:rPr>
                <w:lang w:eastAsia="en-AU"/>
              </w:rPr>
              <w:t>Buildings</w:t>
            </w:r>
          </w:p>
        </w:tc>
        <w:tc>
          <w:tcPr>
            <w:tcW w:w="1559" w:type="dxa"/>
            <w:tcBorders>
              <w:bottom w:val="single" w:sz="4" w:space="0" w:color="BFBFBF" w:themeColor="accent4"/>
            </w:tcBorders>
          </w:tcPr>
          <w:p w14:paraId="45384972" w14:textId="77777777" w:rsidR="00FA7EBF" w:rsidRPr="007939DD" w:rsidRDefault="00FA7EBF" w:rsidP="007B207C">
            <w:pPr>
              <w:pStyle w:val="ARfintablebody"/>
              <w:rPr>
                <w:lang w:eastAsia="en-AU"/>
              </w:rPr>
            </w:pPr>
            <w:r>
              <w:rPr>
                <w:lang w:eastAsia="en-AU"/>
              </w:rPr>
              <w:t>5 to 85 years</w:t>
            </w:r>
          </w:p>
        </w:tc>
        <w:tc>
          <w:tcPr>
            <w:tcW w:w="1559" w:type="dxa"/>
            <w:tcBorders>
              <w:bottom w:val="single" w:sz="4" w:space="0" w:color="BFBFBF" w:themeColor="accent4"/>
            </w:tcBorders>
          </w:tcPr>
          <w:p w14:paraId="1B667CA6" w14:textId="77777777" w:rsidR="00FA7EBF" w:rsidRPr="001366E5" w:rsidRDefault="00FA7EBF" w:rsidP="007B207C">
            <w:pPr>
              <w:pStyle w:val="ARfintablebody"/>
              <w:rPr>
                <w:rStyle w:val="CommentReference"/>
                <w:rFonts w:eastAsia="Times New Roman" w:cs="Times New Roman"/>
                <w:color w:val="auto"/>
              </w:rPr>
            </w:pPr>
            <w:r>
              <w:rPr>
                <w:rStyle w:val="CommentReference"/>
                <w:rFonts w:eastAsia="Times New Roman" w:cs="Times New Roman"/>
                <w:color w:val="auto"/>
              </w:rPr>
              <w:t>5</w:t>
            </w:r>
            <w:r>
              <w:rPr>
                <w:rStyle w:val="CommentReference"/>
              </w:rPr>
              <w:t xml:space="preserve"> to 60 years</w:t>
            </w:r>
          </w:p>
        </w:tc>
      </w:tr>
      <w:tr w:rsidR="00FA7EBF" w:rsidRPr="007939DD" w14:paraId="2A8096B4" w14:textId="77777777" w:rsidTr="007B207C">
        <w:tc>
          <w:tcPr>
            <w:tcW w:w="2982" w:type="dxa"/>
            <w:tcBorders>
              <w:top w:val="single" w:sz="4" w:space="0" w:color="BFBFBF" w:themeColor="accent4"/>
              <w:bottom w:val="single" w:sz="4" w:space="0" w:color="BFBFBF" w:themeColor="accent4"/>
            </w:tcBorders>
          </w:tcPr>
          <w:p w14:paraId="3D6724AA" w14:textId="77777777" w:rsidR="00FA7EBF" w:rsidRPr="007939DD" w:rsidRDefault="00FA7EBF" w:rsidP="007B207C">
            <w:pPr>
              <w:pStyle w:val="ARfintablebody"/>
              <w:rPr>
                <w:lang w:eastAsia="en-AU"/>
              </w:rPr>
            </w:pPr>
            <w:r w:rsidRPr="007939DD">
              <w:rPr>
                <w:lang w:eastAsia="en-AU"/>
              </w:rPr>
              <w:t>Plant, equipment and vehicles</w:t>
            </w:r>
          </w:p>
        </w:tc>
        <w:tc>
          <w:tcPr>
            <w:tcW w:w="1559" w:type="dxa"/>
            <w:tcBorders>
              <w:top w:val="single" w:sz="4" w:space="0" w:color="BFBFBF" w:themeColor="accent4"/>
              <w:bottom w:val="single" w:sz="4" w:space="0" w:color="BFBFBF" w:themeColor="accent4"/>
            </w:tcBorders>
          </w:tcPr>
          <w:p w14:paraId="38F65F95" w14:textId="77777777" w:rsidR="00FA7EBF" w:rsidRPr="007939DD" w:rsidRDefault="00FA7EBF" w:rsidP="007B207C">
            <w:pPr>
              <w:pStyle w:val="ARfintablebody"/>
              <w:rPr>
                <w:lang w:eastAsia="en-AU"/>
              </w:rPr>
            </w:pPr>
            <w:r>
              <w:rPr>
                <w:lang w:eastAsia="en-AU"/>
              </w:rPr>
              <w:t>3 to 15 years</w:t>
            </w:r>
          </w:p>
        </w:tc>
        <w:tc>
          <w:tcPr>
            <w:tcW w:w="1559" w:type="dxa"/>
            <w:tcBorders>
              <w:top w:val="single" w:sz="4" w:space="0" w:color="BFBFBF" w:themeColor="accent4"/>
              <w:bottom w:val="single" w:sz="4" w:space="0" w:color="BFBFBF" w:themeColor="accent4"/>
            </w:tcBorders>
          </w:tcPr>
          <w:p w14:paraId="5EBD9817" w14:textId="77777777" w:rsidR="00FA7EBF" w:rsidRPr="007939DD" w:rsidRDefault="00FA7EBF" w:rsidP="007B207C">
            <w:pPr>
              <w:pStyle w:val="ARfintablebody"/>
              <w:rPr>
                <w:lang w:eastAsia="en-AU"/>
              </w:rPr>
            </w:pPr>
            <w:r>
              <w:rPr>
                <w:lang w:eastAsia="en-AU"/>
              </w:rPr>
              <w:t>3 to 10 years</w:t>
            </w:r>
          </w:p>
        </w:tc>
      </w:tr>
      <w:tr w:rsidR="00FA7EBF" w:rsidRPr="007939DD" w14:paraId="3CE025A9" w14:textId="77777777" w:rsidTr="007B207C">
        <w:tc>
          <w:tcPr>
            <w:tcW w:w="2982" w:type="dxa"/>
            <w:tcBorders>
              <w:top w:val="single" w:sz="4" w:space="0" w:color="BFBFBF" w:themeColor="accent4"/>
            </w:tcBorders>
          </w:tcPr>
          <w:p w14:paraId="222243E5" w14:textId="77777777" w:rsidR="00FA7EBF" w:rsidRPr="007939DD" w:rsidRDefault="00FA7EBF" w:rsidP="007B207C">
            <w:pPr>
              <w:pStyle w:val="ARfintablebody"/>
              <w:rPr>
                <w:lang w:eastAsia="en-AU"/>
              </w:rPr>
            </w:pPr>
            <w:r w:rsidRPr="007939DD">
              <w:rPr>
                <w:lang w:eastAsia="en-AU"/>
              </w:rPr>
              <w:t>Intangible assets</w:t>
            </w:r>
          </w:p>
        </w:tc>
        <w:tc>
          <w:tcPr>
            <w:tcW w:w="1559" w:type="dxa"/>
            <w:tcBorders>
              <w:top w:val="single" w:sz="4" w:space="0" w:color="BFBFBF" w:themeColor="accent4"/>
            </w:tcBorders>
          </w:tcPr>
          <w:p w14:paraId="17936D21" w14:textId="77777777" w:rsidR="00FA7EBF" w:rsidRPr="007939DD" w:rsidRDefault="00FA7EBF" w:rsidP="007B207C">
            <w:pPr>
              <w:pStyle w:val="ARfintablebody"/>
              <w:rPr>
                <w:lang w:eastAsia="en-AU"/>
              </w:rPr>
            </w:pPr>
            <w:r>
              <w:rPr>
                <w:lang w:eastAsia="en-AU"/>
              </w:rPr>
              <w:t>4 to 10 years</w:t>
            </w:r>
          </w:p>
        </w:tc>
        <w:tc>
          <w:tcPr>
            <w:tcW w:w="1559" w:type="dxa"/>
            <w:tcBorders>
              <w:top w:val="single" w:sz="4" w:space="0" w:color="BFBFBF" w:themeColor="accent4"/>
            </w:tcBorders>
          </w:tcPr>
          <w:p w14:paraId="0DCE42AA" w14:textId="77777777" w:rsidR="00FA7EBF" w:rsidRPr="007939DD" w:rsidRDefault="00FA7EBF" w:rsidP="007B207C">
            <w:pPr>
              <w:pStyle w:val="ARfintablebody"/>
              <w:rPr>
                <w:lang w:eastAsia="en-AU"/>
              </w:rPr>
            </w:pPr>
            <w:r>
              <w:rPr>
                <w:lang w:eastAsia="en-AU"/>
              </w:rPr>
              <w:t>4 to 8 years</w:t>
            </w:r>
          </w:p>
        </w:tc>
      </w:tr>
    </w:tbl>
    <w:p w14:paraId="7E119D2E" w14:textId="77777777" w:rsidR="00FA7EBF" w:rsidRDefault="00FA7EBF" w:rsidP="00CA66FD">
      <w:pPr>
        <w:pStyle w:val="ARfinbodyaftertable"/>
      </w:pPr>
      <w:r w:rsidRPr="001D6625">
        <w:t xml:space="preserve">The estimated useful lives was reviewed and adjusted on 1 July 2018 to reflect the expected useful life of each asset class. The previous and revised useful lives are disclosed </w:t>
      </w:r>
      <w:r>
        <w:t>i</w:t>
      </w:r>
      <w:r w:rsidRPr="001D6625">
        <w:t xml:space="preserve">n the above table. The residual values and depreciation method are reviewed at the end of each annual reporting period, and adjustments are made where appropriate. The effect of the adjusted useful lives for the </w:t>
      </w:r>
      <w:r>
        <w:t>2018–</w:t>
      </w:r>
      <w:r w:rsidRPr="001D6625">
        <w:t>19 financial year is an increase in depreciation expenditure of 1 million.</w:t>
      </w:r>
    </w:p>
    <w:p w14:paraId="04C7F749" w14:textId="77777777" w:rsidR="00FA7EBF" w:rsidRPr="00194D78" w:rsidRDefault="00FA7EBF" w:rsidP="00CA66FD">
      <w:pPr>
        <w:pStyle w:val="ARfinbody"/>
      </w:pPr>
      <w:r w:rsidRPr="00194D78">
        <w:t>Leasehold improvements are depreciated over the shorter of the lease term and their useful lives.</w:t>
      </w:r>
    </w:p>
    <w:p w14:paraId="06664B85" w14:textId="77777777" w:rsidR="00FA7EBF" w:rsidRDefault="00FA7EBF" w:rsidP="00CA66FD">
      <w:pPr>
        <w:pStyle w:val="Heading5"/>
        <w:rPr>
          <w:lang w:eastAsia="en-AU"/>
        </w:rPr>
        <w:sectPr w:rsidR="00FA7EBF" w:rsidSect="007B207C">
          <w:footerReference w:type="even" r:id="rId190"/>
          <w:endnotePr>
            <w:numFmt w:val="decimal"/>
          </w:endnotePr>
          <w:pgSz w:w="11906" w:h="16838" w:code="9"/>
          <w:pgMar w:top="1531" w:right="851" w:bottom="851" w:left="1418" w:header="510" w:footer="340" w:gutter="0"/>
          <w:paperSrc w:first="258"/>
          <w:cols w:space="454"/>
          <w:docGrid w:linePitch="326"/>
        </w:sectPr>
      </w:pPr>
    </w:p>
    <w:p w14:paraId="1D6BCFF0" w14:textId="77777777" w:rsidR="00FA7EBF" w:rsidRDefault="00FA7EBF" w:rsidP="00CA66FD">
      <w:pPr>
        <w:pStyle w:val="Heading5"/>
        <w:spacing w:before="0"/>
        <w:rPr>
          <w:rStyle w:val="Superscript"/>
        </w:rPr>
      </w:pPr>
      <w:r w:rsidRPr="00194D78">
        <w:rPr>
          <w:lang w:eastAsia="en-AU"/>
        </w:rPr>
        <w:t xml:space="preserve">5.1.2 Carrying values by </w:t>
      </w:r>
      <w:r>
        <w:rPr>
          <w:lang w:eastAsia="en-AU"/>
        </w:rPr>
        <w:t>‘</w:t>
      </w:r>
      <w:r w:rsidRPr="00194D78">
        <w:rPr>
          <w:lang w:eastAsia="en-AU"/>
        </w:rPr>
        <w:t>purpose groups</w:t>
      </w:r>
      <w:r>
        <w:rPr>
          <w:lang w:eastAsia="en-AU"/>
        </w:rPr>
        <w:t>’</w:t>
      </w:r>
      <w:r w:rsidRPr="00194D78">
        <w:rPr>
          <w:lang w:eastAsia="en-AU"/>
        </w:rPr>
        <w:t xml:space="preserve"> </w:t>
      </w:r>
      <w:r w:rsidRPr="00A7709D">
        <w:rPr>
          <w:rStyle w:val="Superscript"/>
        </w:rPr>
        <w:t>(i)</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387"/>
        <w:gridCol w:w="1134"/>
        <w:gridCol w:w="1134"/>
        <w:gridCol w:w="1134"/>
        <w:gridCol w:w="1134"/>
        <w:gridCol w:w="1134"/>
        <w:gridCol w:w="1134"/>
        <w:gridCol w:w="1134"/>
        <w:gridCol w:w="1134"/>
      </w:tblGrid>
      <w:tr w:rsidR="00FA7EBF" w:rsidRPr="007939DD" w14:paraId="123B0952" w14:textId="77777777" w:rsidTr="007B207C">
        <w:trPr>
          <w:cantSplit/>
          <w:tblHeader/>
        </w:trPr>
        <w:tc>
          <w:tcPr>
            <w:tcW w:w="5387" w:type="dxa"/>
            <w:vMerge w:val="restart"/>
            <w:vAlign w:val="bottom"/>
          </w:tcPr>
          <w:p w14:paraId="4C14DA84" w14:textId="77777777" w:rsidR="00FA7EBF" w:rsidRPr="007939DD" w:rsidRDefault="00FA7EBF" w:rsidP="007B207C">
            <w:pPr>
              <w:pStyle w:val="ARfintablecolhead"/>
            </w:pPr>
            <w:r w:rsidRPr="007939DD">
              <w:t>Nature based classification</w:t>
            </w:r>
          </w:p>
        </w:tc>
        <w:tc>
          <w:tcPr>
            <w:tcW w:w="2268" w:type="dxa"/>
            <w:gridSpan w:val="2"/>
            <w:vAlign w:val="bottom"/>
          </w:tcPr>
          <w:p w14:paraId="570FD9DC" w14:textId="77777777" w:rsidR="00FA7EBF" w:rsidRPr="007939DD" w:rsidRDefault="00FA7EBF" w:rsidP="007B207C">
            <w:pPr>
              <w:pStyle w:val="ARfintablecolheadcentre"/>
            </w:pPr>
            <w:r w:rsidRPr="007939DD">
              <w:t>Health and Welfare</w:t>
            </w:r>
          </w:p>
        </w:tc>
        <w:tc>
          <w:tcPr>
            <w:tcW w:w="2268" w:type="dxa"/>
            <w:gridSpan w:val="2"/>
            <w:vAlign w:val="bottom"/>
          </w:tcPr>
          <w:p w14:paraId="1625B9F2" w14:textId="77777777" w:rsidR="00FA7EBF" w:rsidRPr="007939DD" w:rsidRDefault="00FA7EBF" w:rsidP="007B207C">
            <w:pPr>
              <w:pStyle w:val="ARfintablecolheadcentre"/>
            </w:pPr>
            <w:r w:rsidRPr="007939DD">
              <w:t>Housing</w:t>
            </w:r>
          </w:p>
        </w:tc>
        <w:tc>
          <w:tcPr>
            <w:tcW w:w="2268" w:type="dxa"/>
            <w:gridSpan w:val="2"/>
            <w:vAlign w:val="bottom"/>
          </w:tcPr>
          <w:p w14:paraId="405B3768" w14:textId="77777777" w:rsidR="00FA7EBF" w:rsidRPr="007939DD" w:rsidRDefault="00FA7EBF" w:rsidP="007B207C">
            <w:pPr>
              <w:pStyle w:val="ARfintablecolheadcentre"/>
            </w:pPr>
            <w:r w:rsidRPr="007939DD">
              <w:t>Public Administration</w:t>
            </w:r>
          </w:p>
        </w:tc>
        <w:tc>
          <w:tcPr>
            <w:tcW w:w="2268" w:type="dxa"/>
            <w:gridSpan w:val="2"/>
            <w:vAlign w:val="bottom"/>
          </w:tcPr>
          <w:p w14:paraId="066956FE" w14:textId="77777777" w:rsidR="00FA7EBF" w:rsidRPr="007939DD" w:rsidRDefault="00FA7EBF" w:rsidP="007B207C">
            <w:pPr>
              <w:pStyle w:val="ARfintablecolheadcentre"/>
            </w:pPr>
            <w:r w:rsidRPr="007939DD">
              <w:t>Total</w:t>
            </w:r>
          </w:p>
        </w:tc>
      </w:tr>
      <w:tr w:rsidR="00FA7EBF" w:rsidRPr="007939DD" w14:paraId="0D812490" w14:textId="77777777" w:rsidTr="007B207C">
        <w:trPr>
          <w:cantSplit/>
          <w:tblHeader/>
        </w:trPr>
        <w:tc>
          <w:tcPr>
            <w:tcW w:w="5387" w:type="dxa"/>
            <w:vMerge/>
            <w:vAlign w:val="bottom"/>
          </w:tcPr>
          <w:p w14:paraId="7DE1475B" w14:textId="77777777" w:rsidR="00FA7EBF" w:rsidRPr="007939DD" w:rsidRDefault="00FA7EBF" w:rsidP="007B207C">
            <w:pPr>
              <w:pStyle w:val="ARfintablecolhead"/>
            </w:pPr>
          </w:p>
        </w:tc>
        <w:tc>
          <w:tcPr>
            <w:tcW w:w="1134" w:type="dxa"/>
            <w:shd w:val="clear" w:color="auto" w:fill="E7E6E6"/>
            <w:vAlign w:val="bottom"/>
          </w:tcPr>
          <w:p w14:paraId="467B7395" w14:textId="77777777" w:rsidR="00FA7EBF" w:rsidRPr="007939DD" w:rsidRDefault="00FA7EBF" w:rsidP="007B207C">
            <w:pPr>
              <w:pStyle w:val="ARfintablecolheadright"/>
            </w:pPr>
            <w:r w:rsidRPr="007939DD">
              <w:t>201</w:t>
            </w:r>
            <w:r>
              <w:t>9</w:t>
            </w:r>
          </w:p>
          <w:p w14:paraId="090DE8FC" w14:textId="77777777" w:rsidR="00FA7EBF" w:rsidRPr="007939DD" w:rsidRDefault="00FA7EBF" w:rsidP="007B207C">
            <w:pPr>
              <w:pStyle w:val="ARfintablecolheadright"/>
            </w:pPr>
            <w:r w:rsidRPr="007939DD">
              <w:t>$M</w:t>
            </w:r>
          </w:p>
        </w:tc>
        <w:tc>
          <w:tcPr>
            <w:tcW w:w="1134" w:type="dxa"/>
            <w:vAlign w:val="bottom"/>
          </w:tcPr>
          <w:p w14:paraId="75AFB474" w14:textId="77777777" w:rsidR="00FA7EBF" w:rsidRPr="007939DD" w:rsidRDefault="00FA7EBF" w:rsidP="007B207C">
            <w:pPr>
              <w:pStyle w:val="ARfintablecolheadright"/>
            </w:pPr>
            <w:r w:rsidRPr="007939DD">
              <w:t>201</w:t>
            </w:r>
            <w:r>
              <w:t>8</w:t>
            </w:r>
          </w:p>
          <w:p w14:paraId="70AACD15" w14:textId="77777777" w:rsidR="00FA7EBF" w:rsidRPr="007939DD" w:rsidRDefault="00FA7EBF" w:rsidP="007B207C">
            <w:pPr>
              <w:pStyle w:val="ARfintablecolheadright"/>
            </w:pPr>
            <w:r w:rsidRPr="007939DD">
              <w:t>$M</w:t>
            </w:r>
          </w:p>
        </w:tc>
        <w:tc>
          <w:tcPr>
            <w:tcW w:w="1134" w:type="dxa"/>
            <w:shd w:val="clear" w:color="auto" w:fill="E7E6E6"/>
            <w:vAlign w:val="bottom"/>
          </w:tcPr>
          <w:p w14:paraId="638AA413" w14:textId="77777777" w:rsidR="00FA7EBF" w:rsidRPr="007939DD" w:rsidRDefault="00FA7EBF" w:rsidP="007B207C">
            <w:pPr>
              <w:pStyle w:val="ARfintablecolheadright"/>
            </w:pPr>
            <w:r w:rsidRPr="007939DD">
              <w:t>201</w:t>
            </w:r>
            <w:r>
              <w:t>9</w:t>
            </w:r>
          </w:p>
          <w:p w14:paraId="58C55A12" w14:textId="77777777" w:rsidR="00FA7EBF" w:rsidRPr="007939DD" w:rsidRDefault="00FA7EBF" w:rsidP="007B207C">
            <w:pPr>
              <w:pStyle w:val="ARfintablecolheadright"/>
            </w:pPr>
            <w:r w:rsidRPr="007939DD">
              <w:t>$M</w:t>
            </w:r>
          </w:p>
        </w:tc>
        <w:tc>
          <w:tcPr>
            <w:tcW w:w="1134" w:type="dxa"/>
            <w:vAlign w:val="bottom"/>
          </w:tcPr>
          <w:p w14:paraId="261D5755" w14:textId="77777777" w:rsidR="00FA7EBF" w:rsidRPr="007939DD" w:rsidRDefault="00FA7EBF" w:rsidP="007B207C">
            <w:pPr>
              <w:pStyle w:val="ARfintablecolheadright"/>
            </w:pPr>
            <w:r w:rsidRPr="007939DD">
              <w:t>201</w:t>
            </w:r>
            <w:r>
              <w:t>8</w:t>
            </w:r>
          </w:p>
          <w:p w14:paraId="4EAC15D8" w14:textId="77777777" w:rsidR="00FA7EBF" w:rsidRPr="007939DD" w:rsidRDefault="00FA7EBF" w:rsidP="007B207C">
            <w:pPr>
              <w:pStyle w:val="ARfintablecolheadright"/>
            </w:pPr>
            <w:r w:rsidRPr="007939DD">
              <w:t>$M</w:t>
            </w:r>
          </w:p>
        </w:tc>
        <w:tc>
          <w:tcPr>
            <w:tcW w:w="1134" w:type="dxa"/>
            <w:shd w:val="clear" w:color="auto" w:fill="E7E6E6"/>
            <w:vAlign w:val="bottom"/>
          </w:tcPr>
          <w:p w14:paraId="3ACEE1A0" w14:textId="77777777" w:rsidR="00FA7EBF" w:rsidRPr="007939DD" w:rsidRDefault="00FA7EBF" w:rsidP="007B207C">
            <w:pPr>
              <w:pStyle w:val="ARfintablecolheadright"/>
            </w:pPr>
            <w:r w:rsidRPr="007939DD">
              <w:t>201</w:t>
            </w:r>
            <w:r>
              <w:t>9</w:t>
            </w:r>
          </w:p>
          <w:p w14:paraId="2DB28F04" w14:textId="77777777" w:rsidR="00FA7EBF" w:rsidRPr="007939DD" w:rsidRDefault="00FA7EBF" w:rsidP="007B207C">
            <w:pPr>
              <w:pStyle w:val="ARfintablecolheadright"/>
            </w:pPr>
            <w:r w:rsidRPr="007939DD">
              <w:t>$M</w:t>
            </w:r>
          </w:p>
        </w:tc>
        <w:tc>
          <w:tcPr>
            <w:tcW w:w="1134" w:type="dxa"/>
            <w:vAlign w:val="bottom"/>
          </w:tcPr>
          <w:p w14:paraId="362568C4" w14:textId="77777777" w:rsidR="00FA7EBF" w:rsidRPr="007939DD" w:rsidRDefault="00FA7EBF" w:rsidP="007B207C">
            <w:pPr>
              <w:pStyle w:val="ARfintablecolheadright"/>
            </w:pPr>
            <w:r w:rsidRPr="007939DD">
              <w:t>201</w:t>
            </w:r>
            <w:r>
              <w:t>8</w:t>
            </w:r>
          </w:p>
          <w:p w14:paraId="5430F8A6" w14:textId="77777777" w:rsidR="00FA7EBF" w:rsidRPr="007939DD" w:rsidRDefault="00FA7EBF" w:rsidP="007B207C">
            <w:pPr>
              <w:pStyle w:val="ARfintablecolheadright"/>
            </w:pPr>
            <w:r w:rsidRPr="007939DD">
              <w:t>$M</w:t>
            </w:r>
          </w:p>
        </w:tc>
        <w:tc>
          <w:tcPr>
            <w:tcW w:w="1134" w:type="dxa"/>
            <w:shd w:val="clear" w:color="auto" w:fill="E7E6E6"/>
            <w:vAlign w:val="bottom"/>
          </w:tcPr>
          <w:p w14:paraId="75BFE326" w14:textId="77777777" w:rsidR="00FA7EBF" w:rsidRPr="007939DD" w:rsidRDefault="00FA7EBF" w:rsidP="007B207C">
            <w:pPr>
              <w:pStyle w:val="ARfintablecolheadright"/>
            </w:pPr>
            <w:r w:rsidRPr="007939DD">
              <w:t>201</w:t>
            </w:r>
            <w:r>
              <w:t>9</w:t>
            </w:r>
          </w:p>
          <w:p w14:paraId="5D7A29C1" w14:textId="77777777" w:rsidR="00FA7EBF" w:rsidRPr="007939DD" w:rsidRDefault="00FA7EBF" w:rsidP="007B207C">
            <w:pPr>
              <w:pStyle w:val="ARfintablecolheadright"/>
            </w:pPr>
            <w:r w:rsidRPr="007939DD">
              <w:t>$M</w:t>
            </w:r>
          </w:p>
        </w:tc>
        <w:tc>
          <w:tcPr>
            <w:tcW w:w="1134" w:type="dxa"/>
            <w:vAlign w:val="bottom"/>
          </w:tcPr>
          <w:p w14:paraId="32A0C22E" w14:textId="77777777" w:rsidR="00FA7EBF" w:rsidRPr="007939DD" w:rsidRDefault="00FA7EBF" w:rsidP="007B207C">
            <w:pPr>
              <w:pStyle w:val="ARfintablecolheadright"/>
            </w:pPr>
            <w:r w:rsidRPr="007939DD">
              <w:t>201</w:t>
            </w:r>
            <w:r>
              <w:t>8</w:t>
            </w:r>
          </w:p>
          <w:p w14:paraId="5C463C38" w14:textId="77777777" w:rsidR="00FA7EBF" w:rsidRPr="007939DD" w:rsidRDefault="00FA7EBF" w:rsidP="007B207C">
            <w:pPr>
              <w:pStyle w:val="ARfintablecolheadright"/>
            </w:pPr>
            <w:r w:rsidRPr="007939DD">
              <w:t>$M</w:t>
            </w:r>
          </w:p>
        </w:tc>
      </w:tr>
      <w:tr w:rsidR="00FA7EBF" w:rsidRPr="007939DD" w14:paraId="598CD84A" w14:textId="77777777" w:rsidTr="007B207C">
        <w:trPr>
          <w:cantSplit/>
        </w:trPr>
        <w:tc>
          <w:tcPr>
            <w:tcW w:w="14459" w:type="dxa"/>
            <w:gridSpan w:val="9"/>
            <w:tcBorders>
              <w:bottom w:val="single" w:sz="4" w:space="0" w:color="A6A6A6" w:themeColor="background1" w:themeShade="A6"/>
            </w:tcBorders>
          </w:tcPr>
          <w:p w14:paraId="2E64513A" w14:textId="77777777" w:rsidR="00FA7EBF" w:rsidRPr="007939DD" w:rsidRDefault="00FA7EBF" w:rsidP="007B207C">
            <w:pPr>
              <w:pStyle w:val="ARfintablebodybold"/>
              <w:rPr>
                <w:lang w:eastAsia="en-AU"/>
              </w:rPr>
            </w:pPr>
            <w:r w:rsidRPr="001160A3">
              <w:t>Land at fair value</w:t>
            </w:r>
          </w:p>
        </w:tc>
      </w:tr>
      <w:tr w:rsidR="00FA7EBF" w:rsidRPr="007939DD" w14:paraId="7FA3EC44" w14:textId="77777777" w:rsidTr="007B207C">
        <w:trPr>
          <w:cantSplit/>
        </w:trPr>
        <w:tc>
          <w:tcPr>
            <w:tcW w:w="5387" w:type="dxa"/>
            <w:tcBorders>
              <w:top w:val="single" w:sz="4" w:space="0" w:color="A6A6A6" w:themeColor="background1" w:themeShade="A6"/>
              <w:bottom w:val="single" w:sz="4" w:space="0" w:color="A6A6A6" w:themeColor="background1" w:themeShade="A6"/>
            </w:tcBorders>
          </w:tcPr>
          <w:p w14:paraId="0B526DE5" w14:textId="77777777" w:rsidR="00FA7EBF" w:rsidRPr="007939DD" w:rsidRDefault="00FA7EBF" w:rsidP="007B207C">
            <w:pPr>
              <w:pStyle w:val="ARfintablebody"/>
              <w:rPr>
                <w:lang w:eastAsia="en-AU"/>
              </w:rPr>
            </w:pPr>
            <w:r w:rsidRPr="001160A3">
              <w:t>Rental property</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44EA9F4"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A6A6A6" w:themeColor="background1" w:themeShade="A6"/>
            </w:tcBorders>
          </w:tcPr>
          <w:p w14:paraId="08DAE596"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0A66D5A" w14:textId="77777777" w:rsidR="00FA7EBF" w:rsidRPr="007939DD" w:rsidRDefault="00FA7EBF" w:rsidP="007B207C">
            <w:pPr>
              <w:pStyle w:val="ARfintablebodyright"/>
              <w:rPr>
                <w:lang w:eastAsia="en-AU"/>
              </w:rPr>
            </w:pPr>
            <w:r w:rsidRPr="001160A3">
              <w:t>17,341.5</w:t>
            </w:r>
          </w:p>
        </w:tc>
        <w:tc>
          <w:tcPr>
            <w:tcW w:w="1134" w:type="dxa"/>
            <w:tcBorders>
              <w:top w:val="single" w:sz="4" w:space="0" w:color="A6A6A6" w:themeColor="background1" w:themeShade="A6"/>
              <w:bottom w:val="single" w:sz="4" w:space="0" w:color="A6A6A6" w:themeColor="background1" w:themeShade="A6"/>
            </w:tcBorders>
          </w:tcPr>
          <w:p w14:paraId="1BBE08F0" w14:textId="77777777" w:rsidR="00FA7EBF" w:rsidRPr="007939DD" w:rsidRDefault="00FA7EBF" w:rsidP="007B207C">
            <w:pPr>
              <w:pStyle w:val="ARfintablebodyright"/>
              <w:rPr>
                <w:lang w:eastAsia="en-AU"/>
              </w:rPr>
            </w:pPr>
            <w:r w:rsidRPr="001160A3">
              <w:t>19,649.3</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469A099"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A6A6A6" w:themeColor="background1" w:themeShade="A6"/>
            </w:tcBorders>
          </w:tcPr>
          <w:p w14:paraId="4342FD60"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BFF2603" w14:textId="77777777" w:rsidR="00FA7EBF" w:rsidRPr="007939DD" w:rsidRDefault="00FA7EBF" w:rsidP="007B207C">
            <w:pPr>
              <w:pStyle w:val="ARfintablebodyright"/>
              <w:rPr>
                <w:lang w:eastAsia="en-AU"/>
              </w:rPr>
            </w:pPr>
            <w:r w:rsidRPr="001160A3">
              <w:t>17,341.5</w:t>
            </w:r>
          </w:p>
        </w:tc>
        <w:tc>
          <w:tcPr>
            <w:tcW w:w="1134" w:type="dxa"/>
            <w:tcBorders>
              <w:top w:val="single" w:sz="4" w:space="0" w:color="A6A6A6" w:themeColor="background1" w:themeShade="A6"/>
              <w:bottom w:val="single" w:sz="4" w:space="0" w:color="A6A6A6" w:themeColor="background1" w:themeShade="A6"/>
            </w:tcBorders>
          </w:tcPr>
          <w:p w14:paraId="06622EA4" w14:textId="77777777" w:rsidR="00FA7EBF" w:rsidRPr="007939DD" w:rsidRDefault="00FA7EBF" w:rsidP="007B207C">
            <w:pPr>
              <w:pStyle w:val="ARfintablebodyright"/>
              <w:rPr>
                <w:lang w:eastAsia="en-AU"/>
              </w:rPr>
            </w:pPr>
            <w:r w:rsidRPr="001160A3">
              <w:t>19,649.3</w:t>
            </w:r>
          </w:p>
        </w:tc>
      </w:tr>
      <w:tr w:rsidR="00FA7EBF" w:rsidRPr="007939DD" w14:paraId="063649CD" w14:textId="77777777" w:rsidTr="007B207C">
        <w:trPr>
          <w:cantSplit/>
        </w:trPr>
        <w:tc>
          <w:tcPr>
            <w:tcW w:w="5387" w:type="dxa"/>
            <w:tcBorders>
              <w:top w:val="single" w:sz="4" w:space="0" w:color="A6A6A6" w:themeColor="background1" w:themeShade="A6"/>
              <w:bottom w:val="single" w:sz="4" w:space="0" w:color="A6A6A6" w:themeColor="background1" w:themeShade="A6"/>
            </w:tcBorders>
          </w:tcPr>
          <w:p w14:paraId="4EABF0BA" w14:textId="77777777" w:rsidR="00FA7EBF" w:rsidRPr="007939DD" w:rsidRDefault="00FA7EBF" w:rsidP="007B207C">
            <w:pPr>
              <w:pStyle w:val="ARfintablebody"/>
              <w:rPr>
                <w:lang w:eastAsia="en-AU"/>
              </w:rPr>
            </w:pPr>
            <w:r w:rsidRPr="001160A3">
              <w:t>Community services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53EEB82" w14:textId="77777777" w:rsidR="00FA7EBF" w:rsidRPr="007939DD" w:rsidRDefault="00FA7EBF" w:rsidP="007B207C">
            <w:pPr>
              <w:pStyle w:val="ARfintablebodyright"/>
              <w:rPr>
                <w:lang w:eastAsia="en-AU"/>
              </w:rPr>
            </w:pPr>
            <w:r w:rsidRPr="001160A3">
              <w:t>1,177.2</w:t>
            </w:r>
          </w:p>
        </w:tc>
        <w:tc>
          <w:tcPr>
            <w:tcW w:w="1134" w:type="dxa"/>
            <w:tcBorders>
              <w:top w:val="single" w:sz="4" w:space="0" w:color="A6A6A6" w:themeColor="background1" w:themeShade="A6"/>
              <w:bottom w:val="single" w:sz="4" w:space="0" w:color="A6A6A6" w:themeColor="background1" w:themeShade="A6"/>
            </w:tcBorders>
          </w:tcPr>
          <w:p w14:paraId="49DDAF32" w14:textId="77777777" w:rsidR="00FA7EBF" w:rsidRPr="007939DD" w:rsidRDefault="00FA7EBF" w:rsidP="007B207C">
            <w:pPr>
              <w:pStyle w:val="ARfintablebodyright"/>
              <w:rPr>
                <w:lang w:eastAsia="en-AU"/>
              </w:rPr>
            </w:pPr>
            <w:r w:rsidRPr="001160A3">
              <w:t>1,156.1</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896EA41" w14:textId="77777777" w:rsidR="00FA7EBF" w:rsidRPr="007939DD" w:rsidRDefault="00FA7EBF" w:rsidP="007B207C">
            <w:pPr>
              <w:pStyle w:val="ARfintablebodyright"/>
              <w:rPr>
                <w:lang w:eastAsia="en-AU"/>
              </w:rPr>
            </w:pPr>
            <w:r>
              <w:t>–</w:t>
            </w:r>
          </w:p>
        </w:tc>
        <w:tc>
          <w:tcPr>
            <w:tcW w:w="1134" w:type="dxa"/>
            <w:tcBorders>
              <w:top w:val="single" w:sz="4" w:space="0" w:color="A6A6A6" w:themeColor="background1" w:themeShade="A6"/>
              <w:bottom w:val="single" w:sz="4" w:space="0" w:color="A6A6A6" w:themeColor="background1" w:themeShade="A6"/>
            </w:tcBorders>
          </w:tcPr>
          <w:p w14:paraId="30A59854" w14:textId="77777777" w:rsidR="00FA7EBF" w:rsidRPr="007939DD" w:rsidRDefault="00FA7EBF" w:rsidP="007B207C">
            <w:pPr>
              <w:pStyle w:val="ARfintablebodyright"/>
              <w:rPr>
                <w:lang w:eastAsia="en-AU"/>
              </w:rPr>
            </w:pPr>
            <w:r>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BD1AAC0" w14:textId="77777777" w:rsidR="00FA7EBF" w:rsidRPr="007939DD" w:rsidRDefault="00FA7EBF" w:rsidP="007B207C">
            <w:pPr>
              <w:pStyle w:val="ARfintablebodyright"/>
              <w:rPr>
                <w:lang w:eastAsia="en-AU"/>
              </w:rPr>
            </w:pPr>
            <w:r>
              <w:t>–</w:t>
            </w:r>
          </w:p>
        </w:tc>
        <w:tc>
          <w:tcPr>
            <w:tcW w:w="1134" w:type="dxa"/>
            <w:tcBorders>
              <w:top w:val="single" w:sz="4" w:space="0" w:color="A6A6A6" w:themeColor="background1" w:themeShade="A6"/>
              <w:bottom w:val="single" w:sz="4" w:space="0" w:color="A6A6A6" w:themeColor="background1" w:themeShade="A6"/>
            </w:tcBorders>
          </w:tcPr>
          <w:p w14:paraId="15907898" w14:textId="77777777" w:rsidR="00FA7EBF" w:rsidRPr="007939DD" w:rsidRDefault="00FA7EBF" w:rsidP="007B207C">
            <w:pPr>
              <w:pStyle w:val="ARfintablebodyright"/>
              <w:rPr>
                <w:lang w:eastAsia="en-AU"/>
              </w:rPr>
            </w:pPr>
            <w:r w:rsidRPr="001160A3">
              <w:t>9.5</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26F27D3" w14:textId="77777777" w:rsidR="00FA7EBF" w:rsidRPr="007939DD" w:rsidRDefault="00FA7EBF" w:rsidP="007B207C">
            <w:pPr>
              <w:pStyle w:val="ARfintablebodyright"/>
              <w:rPr>
                <w:lang w:eastAsia="en-AU"/>
              </w:rPr>
            </w:pPr>
            <w:r w:rsidRPr="001160A3">
              <w:t>1,177.2</w:t>
            </w:r>
          </w:p>
        </w:tc>
        <w:tc>
          <w:tcPr>
            <w:tcW w:w="1134" w:type="dxa"/>
            <w:tcBorders>
              <w:top w:val="single" w:sz="4" w:space="0" w:color="A6A6A6" w:themeColor="background1" w:themeShade="A6"/>
              <w:bottom w:val="single" w:sz="4" w:space="0" w:color="A6A6A6" w:themeColor="background1" w:themeShade="A6"/>
            </w:tcBorders>
          </w:tcPr>
          <w:p w14:paraId="5D57A3DD" w14:textId="77777777" w:rsidR="00FA7EBF" w:rsidRPr="007939DD" w:rsidRDefault="00FA7EBF" w:rsidP="007B207C">
            <w:pPr>
              <w:pStyle w:val="ARfintablebodyright"/>
              <w:rPr>
                <w:lang w:eastAsia="en-AU"/>
              </w:rPr>
            </w:pPr>
            <w:r w:rsidRPr="001160A3">
              <w:t>1,165.5</w:t>
            </w:r>
          </w:p>
        </w:tc>
      </w:tr>
      <w:tr w:rsidR="00FA7EBF" w:rsidRPr="007939DD" w14:paraId="6F55DBF6" w14:textId="77777777" w:rsidTr="007B207C">
        <w:trPr>
          <w:cantSplit/>
        </w:trPr>
        <w:tc>
          <w:tcPr>
            <w:tcW w:w="5387" w:type="dxa"/>
            <w:tcBorders>
              <w:top w:val="single" w:sz="4" w:space="0" w:color="A6A6A6" w:themeColor="background1" w:themeShade="A6"/>
            </w:tcBorders>
          </w:tcPr>
          <w:p w14:paraId="6BBA0241" w14:textId="77777777" w:rsidR="00FA7EBF" w:rsidRPr="00553F7D" w:rsidRDefault="00FA7EBF" w:rsidP="007B207C">
            <w:pPr>
              <w:pStyle w:val="ARfintablebody"/>
              <w:rPr>
                <w:rStyle w:val="Emphasis"/>
                <w:iCs w:val="0"/>
              </w:rPr>
            </w:pPr>
            <w:r w:rsidRPr="00553F7D">
              <w:rPr>
                <w:rStyle w:val="Emphasis"/>
                <w:iCs w:val="0"/>
              </w:rPr>
              <w:t>Less allowance for Shared Home Ownership Scheme equity conversion</w:t>
            </w:r>
          </w:p>
        </w:tc>
        <w:tc>
          <w:tcPr>
            <w:tcW w:w="1134" w:type="dxa"/>
            <w:tcBorders>
              <w:top w:val="single" w:sz="4" w:space="0" w:color="A6A6A6" w:themeColor="background1" w:themeShade="A6"/>
            </w:tcBorders>
            <w:shd w:val="clear" w:color="auto" w:fill="E7E6E6"/>
          </w:tcPr>
          <w:p w14:paraId="59F56E13" w14:textId="77777777" w:rsidR="00FA7EBF" w:rsidRPr="007939DD" w:rsidRDefault="00FA7EBF" w:rsidP="007B207C">
            <w:pPr>
              <w:pStyle w:val="ARfintablebodyright"/>
            </w:pPr>
            <w:r w:rsidRPr="001160A3">
              <w:t>–</w:t>
            </w:r>
          </w:p>
        </w:tc>
        <w:tc>
          <w:tcPr>
            <w:tcW w:w="1134" w:type="dxa"/>
            <w:tcBorders>
              <w:top w:val="single" w:sz="4" w:space="0" w:color="A6A6A6" w:themeColor="background1" w:themeShade="A6"/>
            </w:tcBorders>
          </w:tcPr>
          <w:p w14:paraId="378CAF7C" w14:textId="77777777" w:rsidR="00FA7EBF" w:rsidRPr="007939DD" w:rsidRDefault="00FA7EBF" w:rsidP="007B207C">
            <w:pPr>
              <w:pStyle w:val="ARfintablebodyright"/>
            </w:pPr>
            <w:r w:rsidRPr="001160A3">
              <w:t>–</w:t>
            </w:r>
          </w:p>
        </w:tc>
        <w:tc>
          <w:tcPr>
            <w:tcW w:w="1134" w:type="dxa"/>
            <w:tcBorders>
              <w:top w:val="single" w:sz="4" w:space="0" w:color="A6A6A6" w:themeColor="background1" w:themeShade="A6"/>
            </w:tcBorders>
            <w:shd w:val="clear" w:color="auto" w:fill="E7E6E6"/>
          </w:tcPr>
          <w:p w14:paraId="2B35070F" w14:textId="77777777" w:rsidR="00FA7EBF" w:rsidRPr="007939DD" w:rsidRDefault="00FA7EBF" w:rsidP="007B207C">
            <w:pPr>
              <w:pStyle w:val="ARfintablebodyright"/>
            </w:pPr>
            <w:r w:rsidRPr="001160A3">
              <w:t>(3.7)</w:t>
            </w:r>
          </w:p>
        </w:tc>
        <w:tc>
          <w:tcPr>
            <w:tcW w:w="1134" w:type="dxa"/>
            <w:tcBorders>
              <w:top w:val="single" w:sz="4" w:space="0" w:color="A6A6A6" w:themeColor="background1" w:themeShade="A6"/>
            </w:tcBorders>
          </w:tcPr>
          <w:p w14:paraId="2C5C8A37" w14:textId="77777777" w:rsidR="00FA7EBF" w:rsidRPr="007939DD" w:rsidRDefault="00FA7EBF" w:rsidP="007B207C">
            <w:pPr>
              <w:pStyle w:val="ARfintablebodyright"/>
            </w:pPr>
            <w:r w:rsidRPr="001160A3">
              <w:t>(3.8)</w:t>
            </w:r>
          </w:p>
        </w:tc>
        <w:tc>
          <w:tcPr>
            <w:tcW w:w="1134" w:type="dxa"/>
            <w:tcBorders>
              <w:top w:val="single" w:sz="4" w:space="0" w:color="A6A6A6" w:themeColor="background1" w:themeShade="A6"/>
            </w:tcBorders>
            <w:shd w:val="clear" w:color="auto" w:fill="E7E6E6"/>
          </w:tcPr>
          <w:p w14:paraId="752F298F" w14:textId="77777777" w:rsidR="00FA7EBF" w:rsidRPr="007939DD" w:rsidRDefault="00FA7EBF" w:rsidP="007B207C">
            <w:pPr>
              <w:pStyle w:val="ARfintablebodyright"/>
            </w:pPr>
            <w:r w:rsidRPr="001160A3">
              <w:t>–</w:t>
            </w:r>
          </w:p>
        </w:tc>
        <w:tc>
          <w:tcPr>
            <w:tcW w:w="1134" w:type="dxa"/>
            <w:tcBorders>
              <w:top w:val="single" w:sz="4" w:space="0" w:color="A6A6A6" w:themeColor="background1" w:themeShade="A6"/>
            </w:tcBorders>
          </w:tcPr>
          <w:p w14:paraId="2D5A3B07" w14:textId="77777777" w:rsidR="00FA7EBF" w:rsidRPr="007939DD" w:rsidRDefault="00FA7EBF" w:rsidP="007B207C">
            <w:pPr>
              <w:pStyle w:val="ARfintablebodyright"/>
            </w:pPr>
            <w:r w:rsidRPr="001160A3">
              <w:t>–</w:t>
            </w:r>
          </w:p>
        </w:tc>
        <w:tc>
          <w:tcPr>
            <w:tcW w:w="1134" w:type="dxa"/>
            <w:tcBorders>
              <w:top w:val="single" w:sz="4" w:space="0" w:color="A6A6A6" w:themeColor="background1" w:themeShade="A6"/>
            </w:tcBorders>
            <w:shd w:val="clear" w:color="auto" w:fill="E7E6E6"/>
          </w:tcPr>
          <w:p w14:paraId="79973A8E" w14:textId="77777777" w:rsidR="00FA7EBF" w:rsidRPr="007939DD" w:rsidRDefault="00FA7EBF" w:rsidP="007B207C">
            <w:pPr>
              <w:pStyle w:val="ARfintablebodyright"/>
            </w:pPr>
            <w:r w:rsidRPr="001160A3">
              <w:t>(3.7)</w:t>
            </w:r>
          </w:p>
        </w:tc>
        <w:tc>
          <w:tcPr>
            <w:tcW w:w="1134" w:type="dxa"/>
            <w:tcBorders>
              <w:top w:val="single" w:sz="4" w:space="0" w:color="A6A6A6" w:themeColor="background1" w:themeShade="A6"/>
            </w:tcBorders>
          </w:tcPr>
          <w:p w14:paraId="39AE5093" w14:textId="77777777" w:rsidR="00FA7EBF" w:rsidRPr="007939DD" w:rsidRDefault="00FA7EBF" w:rsidP="007B207C">
            <w:pPr>
              <w:pStyle w:val="ARfintablebodyright"/>
            </w:pPr>
            <w:r w:rsidRPr="001160A3">
              <w:t>(3.8)</w:t>
            </w:r>
          </w:p>
        </w:tc>
      </w:tr>
      <w:tr w:rsidR="00FA7EBF" w:rsidRPr="007939DD" w14:paraId="60C07552" w14:textId="77777777" w:rsidTr="007B207C">
        <w:trPr>
          <w:cantSplit/>
        </w:trPr>
        <w:tc>
          <w:tcPr>
            <w:tcW w:w="5387" w:type="dxa"/>
          </w:tcPr>
          <w:p w14:paraId="4BE44DEC" w14:textId="77777777" w:rsidR="00FA7EBF" w:rsidRPr="007939DD" w:rsidRDefault="00FA7EBF" w:rsidP="007B207C">
            <w:pPr>
              <w:pStyle w:val="ARfintablebodybold"/>
              <w:rPr>
                <w:rStyle w:val="Strong"/>
              </w:rPr>
            </w:pPr>
            <w:r w:rsidRPr="001160A3">
              <w:t>Total land at fair value</w:t>
            </w:r>
          </w:p>
        </w:tc>
        <w:tc>
          <w:tcPr>
            <w:tcW w:w="1134" w:type="dxa"/>
            <w:shd w:val="clear" w:color="auto" w:fill="E7E6E6"/>
          </w:tcPr>
          <w:p w14:paraId="108E43C2" w14:textId="77777777" w:rsidR="00FA7EBF" w:rsidRPr="007939DD" w:rsidRDefault="00FA7EBF" w:rsidP="007B207C">
            <w:pPr>
              <w:pStyle w:val="ARfintablebodyrightbold"/>
              <w:rPr>
                <w:lang w:eastAsia="en-AU"/>
              </w:rPr>
            </w:pPr>
            <w:r w:rsidRPr="001160A3">
              <w:t>1,177.2</w:t>
            </w:r>
          </w:p>
        </w:tc>
        <w:tc>
          <w:tcPr>
            <w:tcW w:w="1134" w:type="dxa"/>
          </w:tcPr>
          <w:p w14:paraId="3CCA27F8" w14:textId="77777777" w:rsidR="00FA7EBF" w:rsidRPr="007939DD" w:rsidRDefault="00FA7EBF" w:rsidP="007B207C">
            <w:pPr>
              <w:pStyle w:val="ARfintablebodyrightbold"/>
              <w:rPr>
                <w:lang w:eastAsia="en-AU"/>
              </w:rPr>
            </w:pPr>
            <w:r w:rsidRPr="001160A3">
              <w:t>1,156.1</w:t>
            </w:r>
          </w:p>
        </w:tc>
        <w:tc>
          <w:tcPr>
            <w:tcW w:w="1134" w:type="dxa"/>
            <w:shd w:val="clear" w:color="auto" w:fill="E7E6E6"/>
          </w:tcPr>
          <w:p w14:paraId="326C1B4D" w14:textId="77777777" w:rsidR="00FA7EBF" w:rsidRPr="007939DD" w:rsidRDefault="00FA7EBF" w:rsidP="007B207C">
            <w:pPr>
              <w:pStyle w:val="ARfintablebodyrightbold"/>
              <w:rPr>
                <w:lang w:eastAsia="en-AU"/>
              </w:rPr>
            </w:pPr>
            <w:r w:rsidRPr="001160A3">
              <w:t>17,337.7</w:t>
            </w:r>
          </w:p>
        </w:tc>
        <w:tc>
          <w:tcPr>
            <w:tcW w:w="1134" w:type="dxa"/>
          </w:tcPr>
          <w:p w14:paraId="78603A60" w14:textId="77777777" w:rsidR="00FA7EBF" w:rsidRPr="007939DD" w:rsidRDefault="00FA7EBF" w:rsidP="007B207C">
            <w:pPr>
              <w:pStyle w:val="ARfintablebodyrightbold"/>
              <w:rPr>
                <w:lang w:eastAsia="en-AU"/>
              </w:rPr>
            </w:pPr>
            <w:r w:rsidRPr="001160A3">
              <w:t>19,645.5</w:t>
            </w:r>
          </w:p>
        </w:tc>
        <w:tc>
          <w:tcPr>
            <w:tcW w:w="1134" w:type="dxa"/>
            <w:shd w:val="clear" w:color="auto" w:fill="E7E6E6"/>
          </w:tcPr>
          <w:p w14:paraId="1EAC7A2D" w14:textId="77777777" w:rsidR="00FA7EBF" w:rsidRPr="007939DD" w:rsidRDefault="00FA7EBF" w:rsidP="007B207C">
            <w:pPr>
              <w:pStyle w:val="ARfintablebodyrightbold"/>
              <w:rPr>
                <w:lang w:eastAsia="en-AU"/>
              </w:rPr>
            </w:pPr>
            <w:r>
              <w:t>–</w:t>
            </w:r>
          </w:p>
        </w:tc>
        <w:tc>
          <w:tcPr>
            <w:tcW w:w="1134" w:type="dxa"/>
          </w:tcPr>
          <w:p w14:paraId="59D7C938" w14:textId="77777777" w:rsidR="00FA7EBF" w:rsidRPr="007939DD" w:rsidRDefault="00FA7EBF" w:rsidP="007B207C">
            <w:pPr>
              <w:pStyle w:val="ARfintablebodyrightbold"/>
              <w:rPr>
                <w:lang w:eastAsia="en-AU"/>
              </w:rPr>
            </w:pPr>
            <w:r w:rsidRPr="001160A3">
              <w:t>9.5</w:t>
            </w:r>
          </w:p>
        </w:tc>
        <w:tc>
          <w:tcPr>
            <w:tcW w:w="1134" w:type="dxa"/>
            <w:shd w:val="clear" w:color="auto" w:fill="E7E6E6"/>
          </w:tcPr>
          <w:p w14:paraId="464F3E03" w14:textId="77777777" w:rsidR="00FA7EBF" w:rsidRPr="007939DD" w:rsidRDefault="00FA7EBF" w:rsidP="007B207C">
            <w:pPr>
              <w:pStyle w:val="ARfintablebodyrightbold"/>
              <w:rPr>
                <w:lang w:eastAsia="en-AU"/>
              </w:rPr>
            </w:pPr>
            <w:r w:rsidRPr="001160A3">
              <w:t>18,514.9</w:t>
            </w:r>
          </w:p>
        </w:tc>
        <w:tc>
          <w:tcPr>
            <w:tcW w:w="1134" w:type="dxa"/>
          </w:tcPr>
          <w:p w14:paraId="690ADCAB" w14:textId="77777777" w:rsidR="00FA7EBF" w:rsidRPr="007939DD" w:rsidRDefault="00FA7EBF" w:rsidP="007B207C">
            <w:pPr>
              <w:pStyle w:val="ARfintablebodyrightbold"/>
              <w:rPr>
                <w:rStyle w:val="Strong"/>
              </w:rPr>
            </w:pPr>
            <w:r w:rsidRPr="001160A3">
              <w:t>20,811.1</w:t>
            </w:r>
          </w:p>
        </w:tc>
      </w:tr>
      <w:tr w:rsidR="00FA7EBF" w:rsidRPr="007939DD" w14:paraId="0718049D" w14:textId="77777777" w:rsidTr="007B207C">
        <w:trPr>
          <w:cantSplit/>
        </w:trPr>
        <w:tc>
          <w:tcPr>
            <w:tcW w:w="14459" w:type="dxa"/>
            <w:gridSpan w:val="9"/>
            <w:tcBorders>
              <w:bottom w:val="single" w:sz="4" w:space="0" w:color="A6A6A6" w:themeColor="background1" w:themeShade="A6"/>
            </w:tcBorders>
          </w:tcPr>
          <w:p w14:paraId="5261A587" w14:textId="77777777" w:rsidR="00FA7EBF" w:rsidRPr="007939DD" w:rsidRDefault="00FA7EBF" w:rsidP="007B207C">
            <w:pPr>
              <w:pStyle w:val="ARfintablebodybold"/>
              <w:rPr>
                <w:lang w:eastAsia="en-AU"/>
              </w:rPr>
            </w:pPr>
            <w:r w:rsidRPr="001160A3">
              <w:t>Buildings at fair value</w:t>
            </w:r>
          </w:p>
        </w:tc>
      </w:tr>
      <w:tr w:rsidR="00FA7EBF" w:rsidRPr="007939DD" w14:paraId="0A2B05A5" w14:textId="77777777" w:rsidTr="007B207C">
        <w:trPr>
          <w:cantSplit/>
        </w:trPr>
        <w:tc>
          <w:tcPr>
            <w:tcW w:w="5387" w:type="dxa"/>
            <w:tcBorders>
              <w:top w:val="single" w:sz="4" w:space="0" w:color="A6A6A6" w:themeColor="background1" w:themeShade="A6"/>
              <w:bottom w:val="single" w:sz="4" w:space="0" w:color="A6A6A6" w:themeColor="background1" w:themeShade="A6"/>
            </w:tcBorders>
          </w:tcPr>
          <w:p w14:paraId="3F75A2F9" w14:textId="77777777" w:rsidR="00FA7EBF" w:rsidRPr="007939DD" w:rsidRDefault="00FA7EBF" w:rsidP="007B207C">
            <w:pPr>
              <w:pStyle w:val="ARfintablebody"/>
              <w:rPr>
                <w:lang w:eastAsia="en-AU"/>
              </w:rPr>
            </w:pPr>
            <w:r w:rsidRPr="001160A3">
              <w:t>Rental property</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EF9FD2E"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A6A6A6" w:themeColor="background1" w:themeShade="A6"/>
            </w:tcBorders>
          </w:tcPr>
          <w:p w14:paraId="77729590"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1E0BCF0" w14:textId="77777777" w:rsidR="00FA7EBF" w:rsidRPr="007939DD" w:rsidRDefault="00FA7EBF" w:rsidP="007B207C">
            <w:pPr>
              <w:pStyle w:val="ARfintablebodyright"/>
              <w:rPr>
                <w:lang w:eastAsia="en-AU"/>
              </w:rPr>
            </w:pPr>
            <w:r w:rsidRPr="001160A3">
              <w:t>8,811.2</w:t>
            </w:r>
          </w:p>
        </w:tc>
        <w:tc>
          <w:tcPr>
            <w:tcW w:w="1134" w:type="dxa"/>
            <w:tcBorders>
              <w:top w:val="single" w:sz="4" w:space="0" w:color="A6A6A6" w:themeColor="background1" w:themeShade="A6"/>
              <w:bottom w:val="single" w:sz="4" w:space="0" w:color="A6A6A6" w:themeColor="background1" w:themeShade="A6"/>
            </w:tcBorders>
          </w:tcPr>
          <w:p w14:paraId="25BCEDF9" w14:textId="77777777" w:rsidR="00FA7EBF" w:rsidRPr="007939DD" w:rsidRDefault="00FA7EBF" w:rsidP="007B207C">
            <w:pPr>
              <w:pStyle w:val="ARfintablebodyright"/>
              <w:rPr>
                <w:lang w:eastAsia="en-AU"/>
              </w:rPr>
            </w:pPr>
            <w:r w:rsidRPr="001160A3">
              <w:t>8,891.3</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C02386F"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A6A6A6" w:themeColor="background1" w:themeShade="A6"/>
            </w:tcBorders>
          </w:tcPr>
          <w:p w14:paraId="5C3BD609"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E8EFDB1" w14:textId="77777777" w:rsidR="00FA7EBF" w:rsidRPr="007939DD" w:rsidRDefault="00FA7EBF" w:rsidP="007B207C">
            <w:pPr>
              <w:pStyle w:val="ARfintablebodyright"/>
              <w:rPr>
                <w:lang w:eastAsia="en-AU"/>
              </w:rPr>
            </w:pPr>
            <w:r w:rsidRPr="001160A3">
              <w:t>8,811.2</w:t>
            </w:r>
          </w:p>
        </w:tc>
        <w:tc>
          <w:tcPr>
            <w:tcW w:w="1134" w:type="dxa"/>
            <w:tcBorders>
              <w:top w:val="single" w:sz="4" w:space="0" w:color="A6A6A6" w:themeColor="background1" w:themeShade="A6"/>
              <w:bottom w:val="single" w:sz="4" w:space="0" w:color="A6A6A6" w:themeColor="background1" w:themeShade="A6"/>
            </w:tcBorders>
          </w:tcPr>
          <w:p w14:paraId="4EA77B1E" w14:textId="77777777" w:rsidR="00FA7EBF" w:rsidRPr="007939DD" w:rsidRDefault="00FA7EBF" w:rsidP="007B207C">
            <w:pPr>
              <w:pStyle w:val="ARfintablebodyright"/>
              <w:rPr>
                <w:lang w:eastAsia="en-AU"/>
              </w:rPr>
            </w:pPr>
            <w:r w:rsidRPr="001160A3">
              <w:t>8,891.3</w:t>
            </w:r>
          </w:p>
        </w:tc>
      </w:tr>
      <w:tr w:rsidR="00FA7EBF" w:rsidRPr="007939DD" w14:paraId="4A3C222F" w14:textId="77777777" w:rsidTr="007B207C">
        <w:trPr>
          <w:cantSplit/>
        </w:trPr>
        <w:tc>
          <w:tcPr>
            <w:tcW w:w="5387" w:type="dxa"/>
            <w:tcBorders>
              <w:top w:val="single" w:sz="4" w:space="0" w:color="A6A6A6" w:themeColor="background1" w:themeShade="A6"/>
              <w:bottom w:val="single" w:sz="4" w:space="0" w:color="A6A6A6" w:themeColor="background1" w:themeShade="A6"/>
            </w:tcBorders>
          </w:tcPr>
          <w:p w14:paraId="2F8432F4" w14:textId="77777777" w:rsidR="00FA7EBF" w:rsidRPr="007939DD" w:rsidRDefault="00FA7EBF" w:rsidP="007B207C">
            <w:pPr>
              <w:pStyle w:val="ARfintablebody"/>
              <w:rPr>
                <w:lang w:eastAsia="en-AU"/>
              </w:rPr>
            </w:pPr>
            <w:r w:rsidRPr="001160A3">
              <w:t>Other property – regional offices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DA39454"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A6A6A6" w:themeColor="background1" w:themeShade="A6"/>
            </w:tcBorders>
          </w:tcPr>
          <w:p w14:paraId="077E449E"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21B1CAB" w14:textId="77777777" w:rsidR="00FA7EBF" w:rsidRPr="007939DD" w:rsidRDefault="00FA7EBF" w:rsidP="007B207C">
            <w:pPr>
              <w:pStyle w:val="ARfintablebodyright"/>
              <w:rPr>
                <w:lang w:eastAsia="en-AU"/>
              </w:rPr>
            </w:pPr>
            <w:r w:rsidRPr="001160A3">
              <w:t>3.5</w:t>
            </w:r>
          </w:p>
        </w:tc>
        <w:tc>
          <w:tcPr>
            <w:tcW w:w="1134" w:type="dxa"/>
            <w:tcBorders>
              <w:top w:val="single" w:sz="4" w:space="0" w:color="A6A6A6" w:themeColor="background1" w:themeShade="A6"/>
              <w:bottom w:val="single" w:sz="4" w:space="0" w:color="A6A6A6" w:themeColor="background1" w:themeShade="A6"/>
            </w:tcBorders>
          </w:tcPr>
          <w:p w14:paraId="35279999" w14:textId="77777777" w:rsidR="00FA7EBF" w:rsidRPr="007939DD" w:rsidRDefault="00FA7EBF" w:rsidP="007B207C">
            <w:pPr>
              <w:pStyle w:val="ARfintablebodyright"/>
              <w:rPr>
                <w:lang w:eastAsia="en-AU"/>
              </w:rPr>
            </w:pPr>
            <w:r w:rsidRPr="001160A3">
              <w:t>3.5</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B3C5561"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A6A6A6" w:themeColor="background1" w:themeShade="A6"/>
            </w:tcBorders>
          </w:tcPr>
          <w:p w14:paraId="64A43910"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B2DF7F4" w14:textId="77777777" w:rsidR="00FA7EBF" w:rsidRPr="007939DD" w:rsidRDefault="00FA7EBF" w:rsidP="007B207C">
            <w:pPr>
              <w:pStyle w:val="ARfintablebodyright"/>
              <w:rPr>
                <w:lang w:eastAsia="en-AU"/>
              </w:rPr>
            </w:pPr>
            <w:r w:rsidRPr="001160A3">
              <w:t>3.5</w:t>
            </w:r>
          </w:p>
        </w:tc>
        <w:tc>
          <w:tcPr>
            <w:tcW w:w="1134" w:type="dxa"/>
            <w:tcBorders>
              <w:top w:val="single" w:sz="4" w:space="0" w:color="A6A6A6" w:themeColor="background1" w:themeShade="A6"/>
              <w:bottom w:val="single" w:sz="4" w:space="0" w:color="A6A6A6" w:themeColor="background1" w:themeShade="A6"/>
            </w:tcBorders>
          </w:tcPr>
          <w:p w14:paraId="7D8DF6A5" w14:textId="77777777" w:rsidR="00FA7EBF" w:rsidRPr="007939DD" w:rsidRDefault="00FA7EBF" w:rsidP="007B207C">
            <w:pPr>
              <w:pStyle w:val="ARfintablebodyright"/>
              <w:rPr>
                <w:lang w:eastAsia="en-AU"/>
              </w:rPr>
            </w:pPr>
            <w:r w:rsidRPr="001160A3">
              <w:t>3.5</w:t>
            </w:r>
          </w:p>
        </w:tc>
      </w:tr>
      <w:tr w:rsidR="00FA7EBF" w:rsidRPr="007939DD" w14:paraId="578B7368" w14:textId="77777777" w:rsidTr="007B207C">
        <w:trPr>
          <w:cantSplit/>
        </w:trPr>
        <w:tc>
          <w:tcPr>
            <w:tcW w:w="5387" w:type="dxa"/>
            <w:tcBorders>
              <w:top w:val="single" w:sz="4" w:space="0" w:color="A6A6A6" w:themeColor="background1" w:themeShade="A6"/>
              <w:bottom w:val="single" w:sz="4" w:space="0" w:color="A6A6A6" w:themeColor="background1" w:themeShade="A6"/>
            </w:tcBorders>
          </w:tcPr>
          <w:p w14:paraId="7FF843DB" w14:textId="77777777" w:rsidR="00FA7EBF" w:rsidRPr="007939DD" w:rsidRDefault="00FA7EBF" w:rsidP="007B207C">
            <w:pPr>
              <w:pStyle w:val="ARfintablebody"/>
              <w:rPr>
                <w:lang w:eastAsia="en-AU"/>
              </w:rPr>
            </w:pPr>
            <w:r w:rsidRPr="001160A3">
              <w:t>Community services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2502024" w14:textId="77777777" w:rsidR="00FA7EBF" w:rsidRPr="007939DD" w:rsidRDefault="00FA7EBF" w:rsidP="007B207C">
            <w:pPr>
              <w:pStyle w:val="ARfintablebodyright"/>
              <w:rPr>
                <w:lang w:eastAsia="en-AU"/>
              </w:rPr>
            </w:pPr>
            <w:r w:rsidRPr="001160A3">
              <w:t>1,078.3</w:t>
            </w:r>
          </w:p>
        </w:tc>
        <w:tc>
          <w:tcPr>
            <w:tcW w:w="1134" w:type="dxa"/>
            <w:tcBorders>
              <w:top w:val="single" w:sz="4" w:space="0" w:color="A6A6A6" w:themeColor="background1" w:themeShade="A6"/>
              <w:bottom w:val="single" w:sz="4" w:space="0" w:color="A6A6A6" w:themeColor="background1" w:themeShade="A6"/>
            </w:tcBorders>
          </w:tcPr>
          <w:p w14:paraId="06EE0163" w14:textId="77777777" w:rsidR="00FA7EBF" w:rsidRPr="007939DD" w:rsidRDefault="00FA7EBF" w:rsidP="007B207C">
            <w:pPr>
              <w:pStyle w:val="ARfintablebodyright"/>
              <w:rPr>
                <w:lang w:eastAsia="en-AU"/>
              </w:rPr>
            </w:pPr>
            <w:r w:rsidRPr="001160A3">
              <w:t>901.9</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3B7F3A0"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A6A6A6" w:themeColor="background1" w:themeShade="A6"/>
            </w:tcBorders>
          </w:tcPr>
          <w:p w14:paraId="730A37F5"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A11B580" w14:textId="77777777" w:rsidR="00FA7EBF" w:rsidRPr="007939DD" w:rsidRDefault="00FA7EBF" w:rsidP="007B207C">
            <w:pPr>
              <w:pStyle w:val="ARfintablebodyright"/>
              <w:rPr>
                <w:lang w:eastAsia="en-AU"/>
              </w:rPr>
            </w:pPr>
            <w:r>
              <w:t>–</w:t>
            </w:r>
          </w:p>
        </w:tc>
        <w:tc>
          <w:tcPr>
            <w:tcW w:w="1134" w:type="dxa"/>
            <w:tcBorders>
              <w:top w:val="single" w:sz="4" w:space="0" w:color="A6A6A6" w:themeColor="background1" w:themeShade="A6"/>
              <w:bottom w:val="single" w:sz="4" w:space="0" w:color="A6A6A6" w:themeColor="background1" w:themeShade="A6"/>
            </w:tcBorders>
          </w:tcPr>
          <w:p w14:paraId="446CE74F" w14:textId="77777777" w:rsidR="00FA7EBF" w:rsidRPr="007939DD" w:rsidRDefault="00FA7EBF" w:rsidP="007B207C">
            <w:pPr>
              <w:pStyle w:val="ARfintablebodyright"/>
              <w:rPr>
                <w:lang w:eastAsia="en-AU"/>
              </w:rPr>
            </w:pPr>
            <w:r w:rsidRPr="001160A3">
              <w:t>24.8</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0F2AC8D" w14:textId="77777777" w:rsidR="00FA7EBF" w:rsidRPr="007939DD" w:rsidRDefault="00FA7EBF" w:rsidP="007B207C">
            <w:pPr>
              <w:pStyle w:val="ARfintablebodyright"/>
              <w:rPr>
                <w:lang w:eastAsia="en-AU"/>
              </w:rPr>
            </w:pPr>
            <w:r w:rsidRPr="001160A3">
              <w:t>1,078.3</w:t>
            </w:r>
          </w:p>
        </w:tc>
        <w:tc>
          <w:tcPr>
            <w:tcW w:w="1134" w:type="dxa"/>
            <w:tcBorders>
              <w:top w:val="single" w:sz="4" w:space="0" w:color="A6A6A6" w:themeColor="background1" w:themeShade="A6"/>
              <w:bottom w:val="single" w:sz="4" w:space="0" w:color="A6A6A6" w:themeColor="background1" w:themeShade="A6"/>
            </w:tcBorders>
          </w:tcPr>
          <w:p w14:paraId="18D25173" w14:textId="77777777" w:rsidR="00FA7EBF" w:rsidRPr="007939DD" w:rsidRDefault="00FA7EBF" w:rsidP="007B207C">
            <w:pPr>
              <w:pStyle w:val="ARfintablebodyright"/>
              <w:rPr>
                <w:lang w:eastAsia="en-AU"/>
              </w:rPr>
            </w:pPr>
            <w:r w:rsidRPr="001160A3">
              <w:t>926.7</w:t>
            </w:r>
          </w:p>
        </w:tc>
      </w:tr>
      <w:tr w:rsidR="00FA7EBF" w:rsidRPr="007939DD" w14:paraId="22911AC4" w14:textId="77777777" w:rsidTr="007B207C">
        <w:trPr>
          <w:cantSplit/>
        </w:trPr>
        <w:tc>
          <w:tcPr>
            <w:tcW w:w="5387" w:type="dxa"/>
            <w:tcBorders>
              <w:top w:val="single" w:sz="4" w:space="0" w:color="A6A6A6" w:themeColor="background1" w:themeShade="A6"/>
              <w:bottom w:val="single" w:sz="4" w:space="0" w:color="A6A6A6" w:themeColor="background1" w:themeShade="A6"/>
            </w:tcBorders>
          </w:tcPr>
          <w:p w14:paraId="1BD73353" w14:textId="77777777" w:rsidR="00FA7EBF" w:rsidRPr="00553F7D" w:rsidRDefault="00FA7EBF" w:rsidP="007B207C">
            <w:pPr>
              <w:pStyle w:val="ARfintablebody"/>
              <w:rPr>
                <w:rStyle w:val="Emphasis"/>
                <w:iCs w:val="0"/>
              </w:rPr>
            </w:pPr>
            <w:r w:rsidRPr="00553F7D">
              <w:rPr>
                <w:rStyle w:val="Emphasis"/>
                <w:iCs w:val="0"/>
              </w:rPr>
              <w:t>Less accumulated depreciation</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9D8C920" w14:textId="77777777" w:rsidR="00FA7EBF" w:rsidRPr="007939DD" w:rsidRDefault="00FA7EBF" w:rsidP="007B207C">
            <w:pPr>
              <w:pStyle w:val="ARfintablebodyright"/>
              <w:rPr>
                <w:lang w:eastAsia="en-AU"/>
              </w:rPr>
            </w:pPr>
            <w:r w:rsidRPr="001160A3">
              <w:t>(54.7)</w:t>
            </w:r>
          </w:p>
        </w:tc>
        <w:tc>
          <w:tcPr>
            <w:tcW w:w="1134" w:type="dxa"/>
            <w:tcBorders>
              <w:top w:val="single" w:sz="4" w:space="0" w:color="A6A6A6" w:themeColor="background1" w:themeShade="A6"/>
              <w:bottom w:val="single" w:sz="4" w:space="0" w:color="A6A6A6" w:themeColor="background1" w:themeShade="A6"/>
            </w:tcBorders>
          </w:tcPr>
          <w:p w14:paraId="7CA89F85" w14:textId="77777777" w:rsidR="00FA7EBF" w:rsidRPr="007939DD" w:rsidRDefault="00FA7EBF" w:rsidP="007B207C">
            <w:pPr>
              <w:pStyle w:val="ARfintablebodyright"/>
              <w:rPr>
                <w:lang w:eastAsia="en-AU"/>
              </w:rPr>
            </w:pPr>
            <w:r w:rsidRPr="001160A3">
              <w:t>(145.3)</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BFCBBC8" w14:textId="77777777" w:rsidR="00FA7EBF" w:rsidRPr="007939DD" w:rsidRDefault="00FA7EBF" w:rsidP="007B207C">
            <w:pPr>
              <w:pStyle w:val="ARfintablebodyright"/>
              <w:rPr>
                <w:lang w:eastAsia="en-AU"/>
              </w:rPr>
            </w:pPr>
            <w:r w:rsidRPr="001160A3">
              <w:t>(38.7)</w:t>
            </w:r>
          </w:p>
        </w:tc>
        <w:tc>
          <w:tcPr>
            <w:tcW w:w="1134" w:type="dxa"/>
            <w:tcBorders>
              <w:top w:val="single" w:sz="4" w:space="0" w:color="A6A6A6" w:themeColor="background1" w:themeShade="A6"/>
              <w:bottom w:val="single" w:sz="4" w:space="0" w:color="A6A6A6" w:themeColor="background1" w:themeShade="A6"/>
            </w:tcBorders>
          </w:tcPr>
          <w:p w14:paraId="59BCDB45" w14:textId="77777777" w:rsidR="00FA7EBF" w:rsidRPr="007939DD" w:rsidRDefault="00FA7EBF" w:rsidP="007B207C">
            <w:pPr>
              <w:pStyle w:val="ARfintablebodyright"/>
              <w:rPr>
                <w:lang w:eastAsia="en-AU"/>
              </w:rPr>
            </w:pPr>
            <w:r w:rsidRPr="001160A3">
              <w:t>(682.3)</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D34CA65" w14:textId="77777777" w:rsidR="00FA7EBF" w:rsidRPr="007939DD" w:rsidRDefault="00FA7EBF" w:rsidP="007B207C">
            <w:pPr>
              <w:pStyle w:val="ARfintablebodyright"/>
              <w:rPr>
                <w:lang w:eastAsia="en-AU"/>
              </w:rPr>
            </w:pPr>
            <w:r>
              <w:t>–</w:t>
            </w:r>
          </w:p>
        </w:tc>
        <w:tc>
          <w:tcPr>
            <w:tcW w:w="1134" w:type="dxa"/>
            <w:tcBorders>
              <w:top w:val="single" w:sz="4" w:space="0" w:color="A6A6A6" w:themeColor="background1" w:themeShade="A6"/>
              <w:bottom w:val="single" w:sz="4" w:space="0" w:color="A6A6A6" w:themeColor="background1" w:themeShade="A6"/>
            </w:tcBorders>
          </w:tcPr>
          <w:p w14:paraId="2D4566D9" w14:textId="77777777" w:rsidR="00FA7EBF" w:rsidRPr="007939DD" w:rsidRDefault="00FA7EBF" w:rsidP="007B207C">
            <w:pPr>
              <w:pStyle w:val="ARfintablebodyright"/>
              <w:rPr>
                <w:lang w:eastAsia="en-AU"/>
              </w:rPr>
            </w:pPr>
            <w:r w:rsidRPr="001160A3">
              <w:t>(1.0)</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A876AB9" w14:textId="77777777" w:rsidR="00FA7EBF" w:rsidRPr="007939DD" w:rsidRDefault="00FA7EBF" w:rsidP="007B207C">
            <w:pPr>
              <w:pStyle w:val="ARfintablebodyright"/>
              <w:rPr>
                <w:lang w:eastAsia="en-AU"/>
              </w:rPr>
            </w:pPr>
            <w:r w:rsidRPr="001160A3">
              <w:t>(93.5)</w:t>
            </w:r>
          </w:p>
        </w:tc>
        <w:tc>
          <w:tcPr>
            <w:tcW w:w="1134" w:type="dxa"/>
            <w:tcBorders>
              <w:top w:val="single" w:sz="4" w:space="0" w:color="A6A6A6" w:themeColor="background1" w:themeShade="A6"/>
              <w:bottom w:val="single" w:sz="4" w:space="0" w:color="A6A6A6" w:themeColor="background1" w:themeShade="A6"/>
            </w:tcBorders>
          </w:tcPr>
          <w:p w14:paraId="18161785" w14:textId="77777777" w:rsidR="00FA7EBF" w:rsidRPr="007939DD" w:rsidRDefault="00FA7EBF" w:rsidP="007B207C">
            <w:pPr>
              <w:pStyle w:val="ARfintablebodyright"/>
              <w:rPr>
                <w:lang w:eastAsia="en-AU"/>
              </w:rPr>
            </w:pPr>
            <w:r w:rsidRPr="001160A3">
              <w:t>(828.5)</w:t>
            </w:r>
          </w:p>
        </w:tc>
      </w:tr>
      <w:tr w:rsidR="00FA7EBF" w:rsidRPr="007939DD" w14:paraId="1FD2BD8F" w14:textId="77777777" w:rsidTr="007B207C">
        <w:trPr>
          <w:cantSplit/>
        </w:trPr>
        <w:tc>
          <w:tcPr>
            <w:tcW w:w="5387" w:type="dxa"/>
            <w:tcBorders>
              <w:top w:val="single" w:sz="4" w:space="0" w:color="A6A6A6" w:themeColor="background1" w:themeShade="A6"/>
            </w:tcBorders>
          </w:tcPr>
          <w:p w14:paraId="33BC95B0" w14:textId="77777777" w:rsidR="00FA7EBF" w:rsidRPr="00553F7D" w:rsidRDefault="00FA7EBF" w:rsidP="007B207C">
            <w:pPr>
              <w:pStyle w:val="ARfintablebody"/>
              <w:rPr>
                <w:rStyle w:val="Emphasis"/>
                <w:iCs w:val="0"/>
              </w:rPr>
            </w:pPr>
            <w:r w:rsidRPr="00553F7D">
              <w:rPr>
                <w:rStyle w:val="Emphasis"/>
                <w:iCs w:val="0"/>
              </w:rPr>
              <w:t>Less allowance for Shared Home Ownership Scheme equity conversion</w:t>
            </w:r>
          </w:p>
        </w:tc>
        <w:tc>
          <w:tcPr>
            <w:tcW w:w="1134" w:type="dxa"/>
            <w:tcBorders>
              <w:top w:val="single" w:sz="4" w:space="0" w:color="A6A6A6" w:themeColor="background1" w:themeShade="A6"/>
            </w:tcBorders>
            <w:shd w:val="clear" w:color="auto" w:fill="E7E6E6"/>
          </w:tcPr>
          <w:p w14:paraId="64C75B86"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tcBorders>
          </w:tcPr>
          <w:p w14:paraId="4F0F14AC"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tcBorders>
            <w:shd w:val="clear" w:color="auto" w:fill="E7E6E6"/>
          </w:tcPr>
          <w:p w14:paraId="1098E108" w14:textId="77777777" w:rsidR="00FA7EBF" w:rsidRPr="007939DD" w:rsidRDefault="00FA7EBF" w:rsidP="007B207C">
            <w:pPr>
              <w:pStyle w:val="ARfintablebodyright"/>
              <w:rPr>
                <w:lang w:eastAsia="en-AU"/>
              </w:rPr>
            </w:pPr>
            <w:r w:rsidRPr="001160A3">
              <w:t>(1.9)</w:t>
            </w:r>
          </w:p>
        </w:tc>
        <w:tc>
          <w:tcPr>
            <w:tcW w:w="1134" w:type="dxa"/>
            <w:tcBorders>
              <w:top w:val="single" w:sz="4" w:space="0" w:color="A6A6A6" w:themeColor="background1" w:themeShade="A6"/>
            </w:tcBorders>
          </w:tcPr>
          <w:p w14:paraId="53FD9B83" w14:textId="77777777" w:rsidR="00FA7EBF" w:rsidRPr="007939DD" w:rsidRDefault="00FA7EBF" w:rsidP="007B207C">
            <w:pPr>
              <w:pStyle w:val="ARfintablebodyright"/>
              <w:rPr>
                <w:lang w:eastAsia="en-AU"/>
              </w:rPr>
            </w:pPr>
            <w:r w:rsidRPr="001160A3">
              <w:t>(1.9)</w:t>
            </w:r>
          </w:p>
        </w:tc>
        <w:tc>
          <w:tcPr>
            <w:tcW w:w="1134" w:type="dxa"/>
            <w:tcBorders>
              <w:top w:val="single" w:sz="4" w:space="0" w:color="A6A6A6" w:themeColor="background1" w:themeShade="A6"/>
            </w:tcBorders>
            <w:shd w:val="clear" w:color="auto" w:fill="E7E6E6"/>
          </w:tcPr>
          <w:p w14:paraId="4343E5DA"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tcBorders>
          </w:tcPr>
          <w:p w14:paraId="1ED5C04D"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tcBorders>
            <w:shd w:val="clear" w:color="auto" w:fill="E7E6E6"/>
          </w:tcPr>
          <w:p w14:paraId="093F173A" w14:textId="77777777" w:rsidR="00FA7EBF" w:rsidRPr="007939DD" w:rsidRDefault="00FA7EBF" w:rsidP="007B207C">
            <w:pPr>
              <w:pStyle w:val="ARfintablebodyright"/>
              <w:rPr>
                <w:lang w:eastAsia="en-AU"/>
              </w:rPr>
            </w:pPr>
            <w:r w:rsidRPr="001160A3">
              <w:t>(1.9)</w:t>
            </w:r>
          </w:p>
        </w:tc>
        <w:tc>
          <w:tcPr>
            <w:tcW w:w="1134" w:type="dxa"/>
            <w:tcBorders>
              <w:top w:val="single" w:sz="4" w:space="0" w:color="A6A6A6" w:themeColor="background1" w:themeShade="A6"/>
            </w:tcBorders>
          </w:tcPr>
          <w:p w14:paraId="546AC9F6" w14:textId="77777777" w:rsidR="00FA7EBF" w:rsidRPr="007939DD" w:rsidRDefault="00FA7EBF" w:rsidP="007B207C">
            <w:pPr>
              <w:pStyle w:val="ARfintablebodyright"/>
              <w:rPr>
                <w:lang w:eastAsia="en-AU"/>
              </w:rPr>
            </w:pPr>
            <w:r w:rsidRPr="001160A3">
              <w:t>(1.9)</w:t>
            </w:r>
          </w:p>
        </w:tc>
      </w:tr>
      <w:tr w:rsidR="00FA7EBF" w:rsidRPr="007939DD" w14:paraId="3C9667FE" w14:textId="77777777" w:rsidTr="007B207C">
        <w:trPr>
          <w:cantSplit/>
        </w:trPr>
        <w:tc>
          <w:tcPr>
            <w:tcW w:w="5387" w:type="dxa"/>
          </w:tcPr>
          <w:p w14:paraId="72BECC98" w14:textId="77777777" w:rsidR="00FA7EBF" w:rsidRPr="007939DD" w:rsidRDefault="00FA7EBF" w:rsidP="007B207C">
            <w:pPr>
              <w:pStyle w:val="ARfintablebodybold"/>
              <w:rPr>
                <w:lang w:eastAsia="en-AU"/>
              </w:rPr>
            </w:pPr>
            <w:r w:rsidRPr="001160A3">
              <w:t>Total buildings at fair value</w:t>
            </w:r>
          </w:p>
        </w:tc>
        <w:tc>
          <w:tcPr>
            <w:tcW w:w="1134" w:type="dxa"/>
            <w:shd w:val="clear" w:color="auto" w:fill="E7E6E6"/>
          </w:tcPr>
          <w:p w14:paraId="1CBBE586" w14:textId="77777777" w:rsidR="00FA7EBF" w:rsidRPr="007939DD" w:rsidRDefault="00FA7EBF" w:rsidP="007B207C">
            <w:pPr>
              <w:pStyle w:val="ARfintablebodyrightbold"/>
              <w:rPr>
                <w:lang w:eastAsia="en-AU"/>
              </w:rPr>
            </w:pPr>
            <w:r w:rsidRPr="001160A3">
              <w:t>1,023.6</w:t>
            </w:r>
          </w:p>
        </w:tc>
        <w:tc>
          <w:tcPr>
            <w:tcW w:w="1134" w:type="dxa"/>
          </w:tcPr>
          <w:p w14:paraId="6F60F45C" w14:textId="77777777" w:rsidR="00FA7EBF" w:rsidRPr="007939DD" w:rsidRDefault="00FA7EBF" w:rsidP="007B207C">
            <w:pPr>
              <w:pStyle w:val="ARfintablebodyrightbold"/>
              <w:rPr>
                <w:lang w:eastAsia="en-AU"/>
              </w:rPr>
            </w:pPr>
            <w:r w:rsidRPr="001160A3">
              <w:t>756.6</w:t>
            </w:r>
          </w:p>
        </w:tc>
        <w:tc>
          <w:tcPr>
            <w:tcW w:w="1134" w:type="dxa"/>
            <w:shd w:val="clear" w:color="auto" w:fill="E7E6E6"/>
          </w:tcPr>
          <w:p w14:paraId="758B4D7A" w14:textId="77777777" w:rsidR="00FA7EBF" w:rsidRPr="007939DD" w:rsidRDefault="00FA7EBF" w:rsidP="007B207C">
            <w:pPr>
              <w:pStyle w:val="ARfintablebodyrightbold"/>
              <w:rPr>
                <w:lang w:eastAsia="en-AU"/>
              </w:rPr>
            </w:pPr>
            <w:r w:rsidRPr="001160A3">
              <w:t>8,774.0</w:t>
            </w:r>
          </w:p>
        </w:tc>
        <w:tc>
          <w:tcPr>
            <w:tcW w:w="1134" w:type="dxa"/>
          </w:tcPr>
          <w:p w14:paraId="7C283C6D" w14:textId="77777777" w:rsidR="00FA7EBF" w:rsidRPr="007939DD" w:rsidRDefault="00FA7EBF" w:rsidP="007B207C">
            <w:pPr>
              <w:pStyle w:val="ARfintablebodyrightbold"/>
              <w:rPr>
                <w:lang w:eastAsia="en-AU"/>
              </w:rPr>
            </w:pPr>
            <w:r w:rsidRPr="001160A3">
              <w:t>8,210.6</w:t>
            </w:r>
          </w:p>
        </w:tc>
        <w:tc>
          <w:tcPr>
            <w:tcW w:w="1134" w:type="dxa"/>
            <w:shd w:val="clear" w:color="auto" w:fill="E7E6E6"/>
          </w:tcPr>
          <w:p w14:paraId="2EA30C39" w14:textId="77777777" w:rsidR="00FA7EBF" w:rsidRPr="007939DD" w:rsidRDefault="00FA7EBF" w:rsidP="007B207C">
            <w:pPr>
              <w:pStyle w:val="ARfintablebodyrightbold"/>
              <w:rPr>
                <w:lang w:eastAsia="en-AU"/>
              </w:rPr>
            </w:pPr>
            <w:r>
              <w:t>–</w:t>
            </w:r>
          </w:p>
        </w:tc>
        <w:tc>
          <w:tcPr>
            <w:tcW w:w="1134" w:type="dxa"/>
          </w:tcPr>
          <w:p w14:paraId="4018AC77" w14:textId="77777777" w:rsidR="00FA7EBF" w:rsidRPr="007939DD" w:rsidRDefault="00FA7EBF" w:rsidP="007B207C">
            <w:pPr>
              <w:pStyle w:val="ARfintablebodyrightbold"/>
              <w:rPr>
                <w:lang w:eastAsia="en-AU"/>
              </w:rPr>
            </w:pPr>
            <w:r w:rsidRPr="001160A3">
              <w:t>23.8</w:t>
            </w:r>
          </w:p>
        </w:tc>
        <w:tc>
          <w:tcPr>
            <w:tcW w:w="1134" w:type="dxa"/>
            <w:shd w:val="clear" w:color="auto" w:fill="E7E6E6"/>
          </w:tcPr>
          <w:p w14:paraId="0D9D2F32" w14:textId="77777777" w:rsidR="00FA7EBF" w:rsidRPr="007939DD" w:rsidRDefault="00FA7EBF" w:rsidP="007B207C">
            <w:pPr>
              <w:pStyle w:val="ARfintablebodyrightbold"/>
              <w:rPr>
                <w:lang w:eastAsia="en-AU"/>
              </w:rPr>
            </w:pPr>
            <w:r w:rsidRPr="001160A3">
              <w:t>9,797.6</w:t>
            </w:r>
          </w:p>
        </w:tc>
        <w:tc>
          <w:tcPr>
            <w:tcW w:w="1134" w:type="dxa"/>
          </w:tcPr>
          <w:p w14:paraId="62283C19" w14:textId="77777777" w:rsidR="00FA7EBF" w:rsidRPr="007939DD" w:rsidRDefault="00FA7EBF" w:rsidP="007B207C">
            <w:pPr>
              <w:pStyle w:val="ARfintablebodyrightbold"/>
              <w:rPr>
                <w:rStyle w:val="Strong"/>
              </w:rPr>
            </w:pPr>
            <w:r w:rsidRPr="001160A3">
              <w:t>8,991.0</w:t>
            </w:r>
          </w:p>
        </w:tc>
      </w:tr>
      <w:tr w:rsidR="00FA7EBF" w:rsidRPr="007939DD" w14:paraId="01C6FBB1" w14:textId="77777777" w:rsidTr="007B207C">
        <w:trPr>
          <w:cantSplit/>
        </w:trPr>
        <w:tc>
          <w:tcPr>
            <w:tcW w:w="14459" w:type="dxa"/>
            <w:gridSpan w:val="9"/>
            <w:tcBorders>
              <w:bottom w:val="single" w:sz="4" w:space="0" w:color="A6A6A6" w:themeColor="background1" w:themeShade="A6"/>
            </w:tcBorders>
          </w:tcPr>
          <w:p w14:paraId="71205E1A" w14:textId="77777777" w:rsidR="00FA7EBF" w:rsidRPr="007939DD" w:rsidRDefault="00FA7EBF" w:rsidP="007B207C">
            <w:pPr>
              <w:pStyle w:val="ARfintablebodybold"/>
              <w:rPr>
                <w:lang w:eastAsia="en-AU"/>
              </w:rPr>
            </w:pPr>
            <w:r w:rsidRPr="001160A3">
              <w:t>Plant, equipment and vehicles at fair value</w:t>
            </w:r>
          </w:p>
        </w:tc>
      </w:tr>
      <w:tr w:rsidR="00FA7EBF" w:rsidRPr="007939DD" w14:paraId="49B08DF5" w14:textId="77777777" w:rsidTr="007B207C">
        <w:trPr>
          <w:cantSplit/>
        </w:trPr>
        <w:tc>
          <w:tcPr>
            <w:tcW w:w="5387" w:type="dxa"/>
            <w:tcBorders>
              <w:top w:val="single" w:sz="4" w:space="0" w:color="A6A6A6" w:themeColor="background1" w:themeShade="A6"/>
              <w:bottom w:val="single" w:sz="4" w:space="0" w:color="A6A6A6" w:themeColor="background1" w:themeShade="A6"/>
            </w:tcBorders>
          </w:tcPr>
          <w:p w14:paraId="49B26CAC" w14:textId="77777777" w:rsidR="00FA7EBF" w:rsidRPr="007939DD" w:rsidRDefault="00FA7EBF" w:rsidP="007B207C">
            <w:pPr>
              <w:pStyle w:val="ARfintablebody"/>
              <w:rPr>
                <w:lang w:eastAsia="en-AU"/>
              </w:rPr>
            </w:pPr>
            <w:r w:rsidRPr="001160A3">
              <w:t>Plant, equipment and vehicles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CFFE53E" w14:textId="77777777" w:rsidR="00FA7EBF" w:rsidRPr="007939DD" w:rsidRDefault="00FA7EBF" w:rsidP="007B207C">
            <w:pPr>
              <w:pStyle w:val="ARfintablebodyright"/>
              <w:rPr>
                <w:lang w:eastAsia="en-AU"/>
              </w:rPr>
            </w:pPr>
            <w:r w:rsidRPr="001160A3">
              <w:t>46.1</w:t>
            </w:r>
          </w:p>
        </w:tc>
        <w:tc>
          <w:tcPr>
            <w:tcW w:w="1134" w:type="dxa"/>
            <w:tcBorders>
              <w:top w:val="single" w:sz="4" w:space="0" w:color="A6A6A6" w:themeColor="background1" w:themeShade="A6"/>
              <w:bottom w:val="single" w:sz="4" w:space="0" w:color="A6A6A6" w:themeColor="background1" w:themeShade="A6"/>
            </w:tcBorders>
          </w:tcPr>
          <w:p w14:paraId="600A5570" w14:textId="77777777" w:rsidR="00FA7EBF" w:rsidRPr="007939DD" w:rsidRDefault="00FA7EBF" w:rsidP="007B207C">
            <w:pPr>
              <w:pStyle w:val="ARfintablebodyright"/>
              <w:rPr>
                <w:lang w:eastAsia="en-AU"/>
              </w:rPr>
            </w:pPr>
            <w:r w:rsidRPr="001160A3">
              <w:t>46.1</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77C8255" w14:textId="77777777" w:rsidR="00FA7EBF" w:rsidRPr="007939DD" w:rsidRDefault="00FA7EBF" w:rsidP="007B207C">
            <w:pPr>
              <w:pStyle w:val="ARfintablebodyright"/>
              <w:rPr>
                <w:lang w:eastAsia="en-AU"/>
              </w:rPr>
            </w:pPr>
            <w:r w:rsidRPr="001160A3">
              <w:t>2.3</w:t>
            </w:r>
          </w:p>
        </w:tc>
        <w:tc>
          <w:tcPr>
            <w:tcW w:w="1134" w:type="dxa"/>
            <w:tcBorders>
              <w:top w:val="single" w:sz="4" w:space="0" w:color="A6A6A6" w:themeColor="background1" w:themeShade="A6"/>
              <w:bottom w:val="single" w:sz="4" w:space="0" w:color="A6A6A6" w:themeColor="background1" w:themeShade="A6"/>
            </w:tcBorders>
          </w:tcPr>
          <w:p w14:paraId="4EA0A5C9" w14:textId="77777777" w:rsidR="00FA7EBF" w:rsidRPr="007939DD" w:rsidRDefault="00FA7EBF" w:rsidP="007B207C">
            <w:pPr>
              <w:pStyle w:val="ARfintablebodyright"/>
              <w:rPr>
                <w:lang w:eastAsia="en-AU"/>
              </w:rPr>
            </w:pPr>
            <w:r w:rsidRPr="001160A3">
              <w:t>2.3</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404DEA0"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A6A6A6" w:themeColor="background1" w:themeShade="A6"/>
            </w:tcBorders>
          </w:tcPr>
          <w:p w14:paraId="49DD41FE"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8398B02" w14:textId="77777777" w:rsidR="00FA7EBF" w:rsidRPr="007939DD" w:rsidRDefault="00FA7EBF" w:rsidP="007B207C">
            <w:pPr>
              <w:pStyle w:val="ARfintablebodyright"/>
              <w:rPr>
                <w:lang w:eastAsia="en-AU"/>
              </w:rPr>
            </w:pPr>
            <w:r w:rsidRPr="001160A3">
              <w:t>48.4</w:t>
            </w:r>
          </w:p>
        </w:tc>
        <w:tc>
          <w:tcPr>
            <w:tcW w:w="1134" w:type="dxa"/>
            <w:tcBorders>
              <w:top w:val="single" w:sz="4" w:space="0" w:color="A6A6A6" w:themeColor="background1" w:themeShade="A6"/>
              <w:bottom w:val="single" w:sz="4" w:space="0" w:color="A6A6A6" w:themeColor="background1" w:themeShade="A6"/>
            </w:tcBorders>
          </w:tcPr>
          <w:p w14:paraId="6296AE7B" w14:textId="77777777" w:rsidR="00FA7EBF" w:rsidRPr="007939DD" w:rsidRDefault="00FA7EBF" w:rsidP="007B207C">
            <w:pPr>
              <w:pStyle w:val="ARfintablebodyright"/>
              <w:rPr>
                <w:lang w:eastAsia="en-AU"/>
              </w:rPr>
            </w:pPr>
            <w:r w:rsidRPr="001160A3">
              <w:t>48.3</w:t>
            </w:r>
          </w:p>
        </w:tc>
      </w:tr>
      <w:tr w:rsidR="00FA7EBF" w:rsidRPr="007939DD" w14:paraId="16541103" w14:textId="77777777" w:rsidTr="007B207C">
        <w:trPr>
          <w:cantSplit/>
        </w:trPr>
        <w:tc>
          <w:tcPr>
            <w:tcW w:w="5387" w:type="dxa"/>
            <w:tcBorders>
              <w:top w:val="single" w:sz="4" w:space="0" w:color="A6A6A6" w:themeColor="background1" w:themeShade="A6"/>
              <w:bottom w:val="single" w:sz="4" w:space="0" w:color="000000"/>
            </w:tcBorders>
          </w:tcPr>
          <w:p w14:paraId="1542D1B7" w14:textId="77777777" w:rsidR="00FA7EBF" w:rsidRPr="00553F7D" w:rsidRDefault="00FA7EBF" w:rsidP="007B207C">
            <w:pPr>
              <w:pStyle w:val="ARfintablebody"/>
              <w:rPr>
                <w:rStyle w:val="Emphasis"/>
                <w:iCs w:val="0"/>
              </w:rPr>
            </w:pPr>
            <w:r w:rsidRPr="00553F7D">
              <w:rPr>
                <w:rStyle w:val="Emphasis"/>
                <w:iCs w:val="0"/>
              </w:rPr>
              <w:t>Less accumulated depreciation</w:t>
            </w:r>
          </w:p>
        </w:tc>
        <w:tc>
          <w:tcPr>
            <w:tcW w:w="1134" w:type="dxa"/>
            <w:tcBorders>
              <w:top w:val="single" w:sz="4" w:space="0" w:color="A6A6A6" w:themeColor="background1" w:themeShade="A6"/>
              <w:bottom w:val="single" w:sz="4" w:space="0" w:color="000000"/>
            </w:tcBorders>
            <w:shd w:val="clear" w:color="auto" w:fill="E7E6E6"/>
          </w:tcPr>
          <w:p w14:paraId="3F740790" w14:textId="77777777" w:rsidR="00FA7EBF" w:rsidRPr="007939DD" w:rsidRDefault="00FA7EBF" w:rsidP="007B207C">
            <w:pPr>
              <w:pStyle w:val="ARfintablebodyright"/>
              <w:rPr>
                <w:lang w:eastAsia="en-AU"/>
              </w:rPr>
            </w:pPr>
            <w:r w:rsidRPr="001160A3">
              <w:t>(34.8)</w:t>
            </w:r>
          </w:p>
        </w:tc>
        <w:tc>
          <w:tcPr>
            <w:tcW w:w="1134" w:type="dxa"/>
            <w:tcBorders>
              <w:top w:val="single" w:sz="4" w:space="0" w:color="A6A6A6" w:themeColor="background1" w:themeShade="A6"/>
              <w:bottom w:val="single" w:sz="4" w:space="0" w:color="000000"/>
            </w:tcBorders>
          </w:tcPr>
          <w:p w14:paraId="6152EDFC" w14:textId="77777777" w:rsidR="00FA7EBF" w:rsidRPr="007939DD" w:rsidRDefault="00FA7EBF" w:rsidP="007B207C">
            <w:pPr>
              <w:pStyle w:val="ARfintablebodyright"/>
              <w:rPr>
                <w:lang w:eastAsia="en-AU"/>
              </w:rPr>
            </w:pPr>
            <w:r w:rsidRPr="001160A3">
              <w:t>(31.2)</w:t>
            </w:r>
          </w:p>
        </w:tc>
        <w:tc>
          <w:tcPr>
            <w:tcW w:w="1134" w:type="dxa"/>
            <w:tcBorders>
              <w:top w:val="single" w:sz="4" w:space="0" w:color="A6A6A6" w:themeColor="background1" w:themeShade="A6"/>
              <w:bottom w:val="single" w:sz="4" w:space="0" w:color="000000"/>
            </w:tcBorders>
            <w:shd w:val="clear" w:color="auto" w:fill="E7E6E6"/>
          </w:tcPr>
          <w:p w14:paraId="4580D21C" w14:textId="77777777" w:rsidR="00FA7EBF" w:rsidRPr="007939DD" w:rsidRDefault="00FA7EBF" w:rsidP="007B207C">
            <w:pPr>
              <w:pStyle w:val="ARfintablebodyright"/>
              <w:rPr>
                <w:lang w:eastAsia="en-AU"/>
              </w:rPr>
            </w:pPr>
            <w:r w:rsidRPr="001160A3">
              <w:t>(2.0)</w:t>
            </w:r>
          </w:p>
        </w:tc>
        <w:tc>
          <w:tcPr>
            <w:tcW w:w="1134" w:type="dxa"/>
            <w:tcBorders>
              <w:top w:val="single" w:sz="4" w:space="0" w:color="A6A6A6" w:themeColor="background1" w:themeShade="A6"/>
              <w:bottom w:val="single" w:sz="4" w:space="0" w:color="000000"/>
            </w:tcBorders>
          </w:tcPr>
          <w:p w14:paraId="7A0955C8" w14:textId="77777777" w:rsidR="00FA7EBF" w:rsidRPr="007939DD" w:rsidRDefault="00FA7EBF" w:rsidP="007B207C">
            <w:pPr>
              <w:pStyle w:val="ARfintablebodyright"/>
              <w:rPr>
                <w:lang w:eastAsia="en-AU"/>
              </w:rPr>
            </w:pPr>
            <w:r w:rsidRPr="001160A3">
              <w:t>(1.4)</w:t>
            </w:r>
          </w:p>
        </w:tc>
        <w:tc>
          <w:tcPr>
            <w:tcW w:w="1134" w:type="dxa"/>
            <w:tcBorders>
              <w:top w:val="single" w:sz="4" w:space="0" w:color="A6A6A6" w:themeColor="background1" w:themeShade="A6"/>
              <w:bottom w:val="single" w:sz="4" w:space="0" w:color="000000"/>
            </w:tcBorders>
            <w:shd w:val="clear" w:color="auto" w:fill="E7E6E6"/>
          </w:tcPr>
          <w:p w14:paraId="532CE326"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000000"/>
            </w:tcBorders>
          </w:tcPr>
          <w:p w14:paraId="7C130EA1"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000000"/>
            </w:tcBorders>
            <w:shd w:val="clear" w:color="auto" w:fill="E7E6E6"/>
          </w:tcPr>
          <w:p w14:paraId="022530ED" w14:textId="77777777" w:rsidR="00FA7EBF" w:rsidRPr="007939DD" w:rsidRDefault="00FA7EBF" w:rsidP="007B207C">
            <w:pPr>
              <w:pStyle w:val="ARfintablebodyright"/>
              <w:rPr>
                <w:lang w:eastAsia="en-AU"/>
              </w:rPr>
            </w:pPr>
            <w:r w:rsidRPr="001160A3">
              <w:t>(36.8)</w:t>
            </w:r>
          </w:p>
        </w:tc>
        <w:tc>
          <w:tcPr>
            <w:tcW w:w="1134" w:type="dxa"/>
            <w:tcBorders>
              <w:top w:val="single" w:sz="4" w:space="0" w:color="A6A6A6" w:themeColor="background1" w:themeShade="A6"/>
              <w:bottom w:val="single" w:sz="4" w:space="0" w:color="000000"/>
            </w:tcBorders>
          </w:tcPr>
          <w:p w14:paraId="67D2A014" w14:textId="77777777" w:rsidR="00FA7EBF" w:rsidRPr="007939DD" w:rsidRDefault="00FA7EBF" w:rsidP="007B207C">
            <w:pPr>
              <w:pStyle w:val="ARfintablebodyright"/>
              <w:rPr>
                <w:lang w:eastAsia="en-AU"/>
              </w:rPr>
            </w:pPr>
            <w:r w:rsidRPr="001160A3">
              <w:t>(32.6)</w:t>
            </w:r>
          </w:p>
        </w:tc>
      </w:tr>
      <w:tr w:rsidR="00FA7EBF" w:rsidRPr="007939DD" w14:paraId="492336D2" w14:textId="77777777" w:rsidTr="007B207C">
        <w:trPr>
          <w:cantSplit/>
        </w:trPr>
        <w:tc>
          <w:tcPr>
            <w:tcW w:w="5387" w:type="dxa"/>
            <w:tcBorders>
              <w:top w:val="single" w:sz="4" w:space="0" w:color="000000"/>
              <w:bottom w:val="single" w:sz="4" w:space="0" w:color="000000"/>
            </w:tcBorders>
          </w:tcPr>
          <w:p w14:paraId="321D603B" w14:textId="77777777" w:rsidR="00FA7EBF" w:rsidRPr="007939DD" w:rsidRDefault="00FA7EBF" w:rsidP="007B207C">
            <w:pPr>
              <w:pStyle w:val="ARfintablebody"/>
              <w:rPr>
                <w:lang w:eastAsia="en-AU"/>
              </w:rPr>
            </w:pPr>
          </w:p>
        </w:tc>
        <w:tc>
          <w:tcPr>
            <w:tcW w:w="1134" w:type="dxa"/>
            <w:tcBorders>
              <w:top w:val="single" w:sz="4" w:space="0" w:color="000000"/>
              <w:bottom w:val="single" w:sz="4" w:space="0" w:color="000000"/>
            </w:tcBorders>
            <w:shd w:val="clear" w:color="auto" w:fill="E7E6E6"/>
          </w:tcPr>
          <w:p w14:paraId="2C017D7E" w14:textId="77777777" w:rsidR="00FA7EBF" w:rsidRPr="007939DD" w:rsidRDefault="00FA7EBF" w:rsidP="007B207C">
            <w:pPr>
              <w:pStyle w:val="ARfintablebodyrightbold"/>
              <w:rPr>
                <w:lang w:eastAsia="en-AU"/>
              </w:rPr>
            </w:pPr>
            <w:r w:rsidRPr="001160A3">
              <w:t>11.3</w:t>
            </w:r>
          </w:p>
        </w:tc>
        <w:tc>
          <w:tcPr>
            <w:tcW w:w="1134" w:type="dxa"/>
            <w:tcBorders>
              <w:top w:val="single" w:sz="4" w:space="0" w:color="000000"/>
              <w:bottom w:val="single" w:sz="4" w:space="0" w:color="000000"/>
            </w:tcBorders>
          </w:tcPr>
          <w:p w14:paraId="50381E3E" w14:textId="77777777" w:rsidR="00FA7EBF" w:rsidRPr="007939DD" w:rsidRDefault="00FA7EBF" w:rsidP="007B207C">
            <w:pPr>
              <w:pStyle w:val="ARfintablebodyrightbold"/>
              <w:rPr>
                <w:lang w:eastAsia="en-AU"/>
              </w:rPr>
            </w:pPr>
            <w:r w:rsidRPr="001160A3">
              <w:t>14.8</w:t>
            </w:r>
          </w:p>
        </w:tc>
        <w:tc>
          <w:tcPr>
            <w:tcW w:w="1134" w:type="dxa"/>
            <w:tcBorders>
              <w:top w:val="single" w:sz="4" w:space="0" w:color="000000"/>
              <w:bottom w:val="single" w:sz="4" w:space="0" w:color="000000"/>
            </w:tcBorders>
            <w:shd w:val="clear" w:color="auto" w:fill="E7E6E6"/>
          </w:tcPr>
          <w:p w14:paraId="13ED17B4" w14:textId="77777777" w:rsidR="00FA7EBF" w:rsidRPr="007939DD" w:rsidRDefault="00FA7EBF" w:rsidP="007B207C">
            <w:pPr>
              <w:pStyle w:val="ARfintablebodyrightbold"/>
              <w:rPr>
                <w:lang w:eastAsia="en-AU"/>
              </w:rPr>
            </w:pPr>
            <w:r w:rsidRPr="001160A3">
              <w:t>0.3</w:t>
            </w:r>
          </w:p>
        </w:tc>
        <w:tc>
          <w:tcPr>
            <w:tcW w:w="1134" w:type="dxa"/>
            <w:tcBorders>
              <w:top w:val="single" w:sz="4" w:space="0" w:color="000000"/>
              <w:bottom w:val="single" w:sz="4" w:space="0" w:color="000000"/>
            </w:tcBorders>
          </w:tcPr>
          <w:p w14:paraId="09B30C71" w14:textId="77777777" w:rsidR="00FA7EBF" w:rsidRPr="007939DD" w:rsidRDefault="00FA7EBF" w:rsidP="007B207C">
            <w:pPr>
              <w:pStyle w:val="ARfintablebodyrightbold"/>
              <w:rPr>
                <w:lang w:eastAsia="en-AU"/>
              </w:rPr>
            </w:pPr>
            <w:r w:rsidRPr="001160A3">
              <w:t>0.9</w:t>
            </w:r>
          </w:p>
        </w:tc>
        <w:tc>
          <w:tcPr>
            <w:tcW w:w="1134" w:type="dxa"/>
            <w:tcBorders>
              <w:top w:val="single" w:sz="4" w:space="0" w:color="000000"/>
              <w:bottom w:val="single" w:sz="4" w:space="0" w:color="000000"/>
            </w:tcBorders>
            <w:shd w:val="clear" w:color="auto" w:fill="E7E6E6"/>
          </w:tcPr>
          <w:p w14:paraId="34F0F96F" w14:textId="77777777" w:rsidR="00FA7EBF" w:rsidRPr="007939DD" w:rsidRDefault="00FA7EBF" w:rsidP="007B207C">
            <w:pPr>
              <w:pStyle w:val="ARfintablebodyrightbold"/>
              <w:rPr>
                <w:lang w:eastAsia="en-AU"/>
              </w:rPr>
            </w:pPr>
            <w:r>
              <w:t>–</w:t>
            </w:r>
          </w:p>
        </w:tc>
        <w:tc>
          <w:tcPr>
            <w:tcW w:w="1134" w:type="dxa"/>
            <w:tcBorders>
              <w:top w:val="single" w:sz="4" w:space="0" w:color="000000"/>
              <w:bottom w:val="single" w:sz="4" w:space="0" w:color="000000"/>
            </w:tcBorders>
          </w:tcPr>
          <w:p w14:paraId="1B9DDB83" w14:textId="77777777" w:rsidR="00FA7EBF" w:rsidRPr="007939DD" w:rsidRDefault="00FA7EBF" w:rsidP="007B207C">
            <w:pPr>
              <w:pStyle w:val="ARfintablebodyrightbold"/>
              <w:rPr>
                <w:lang w:eastAsia="en-AU"/>
              </w:rPr>
            </w:pPr>
            <w:r>
              <w:t>–</w:t>
            </w:r>
          </w:p>
        </w:tc>
        <w:tc>
          <w:tcPr>
            <w:tcW w:w="1134" w:type="dxa"/>
            <w:tcBorders>
              <w:top w:val="single" w:sz="4" w:space="0" w:color="000000"/>
              <w:bottom w:val="single" w:sz="4" w:space="0" w:color="000000"/>
            </w:tcBorders>
            <w:shd w:val="clear" w:color="auto" w:fill="E7E6E6"/>
          </w:tcPr>
          <w:p w14:paraId="11FAEF4F" w14:textId="77777777" w:rsidR="00FA7EBF" w:rsidRPr="007939DD" w:rsidRDefault="00FA7EBF" w:rsidP="007B207C">
            <w:pPr>
              <w:pStyle w:val="ARfintablebodyrightbold"/>
              <w:rPr>
                <w:lang w:eastAsia="en-AU"/>
              </w:rPr>
            </w:pPr>
            <w:r w:rsidRPr="001160A3">
              <w:t>11.6</w:t>
            </w:r>
          </w:p>
        </w:tc>
        <w:tc>
          <w:tcPr>
            <w:tcW w:w="1134" w:type="dxa"/>
            <w:tcBorders>
              <w:top w:val="single" w:sz="4" w:space="0" w:color="000000"/>
              <w:bottom w:val="single" w:sz="4" w:space="0" w:color="000000"/>
            </w:tcBorders>
          </w:tcPr>
          <w:p w14:paraId="62BB5E72" w14:textId="77777777" w:rsidR="00FA7EBF" w:rsidRPr="007939DD" w:rsidRDefault="00FA7EBF" w:rsidP="007B207C">
            <w:pPr>
              <w:pStyle w:val="ARfintablebodyrightbold"/>
              <w:rPr>
                <w:rStyle w:val="Strong"/>
              </w:rPr>
            </w:pPr>
            <w:r w:rsidRPr="001160A3">
              <w:t>15.7</w:t>
            </w:r>
          </w:p>
        </w:tc>
      </w:tr>
      <w:tr w:rsidR="00FA7EBF" w:rsidRPr="007939DD" w14:paraId="5576E61A" w14:textId="77777777" w:rsidTr="007B207C">
        <w:trPr>
          <w:cantSplit/>
        </w:trPr>
        <w:tc>
          <w:tcPr>
            <w:tcW w:w="5387" w:type="dxa"/>
            <w:tcBorders>
              <w:top w:val="single" w:sz="4" w:space="0" w:color="000000"/>
              <w:bottom w:val="single" w:sz="4" w:space="0" w:color="A6A6A6" w:themeColor="background1" w:themeShade="A6"/>
            </w:tcBorders>
          </w:tcPr>
          <w:p w14:paraId="66FAF658" w14:textId="77777777" w:rsidR="00FA7EBF" w:rsidRPr="007939DD" w:rsidRDefault="00FA7EBF" w:rsidP="007B207C">
            <w:pPr>
              <w:pStyle w:val="ARfintablebody"/>
              <w:rPr>
                <w:lang w:eastAsia="en-AU"/>
              </w:rPr>
            </w:pPr>
            <w:r w:rsidRPr="001160A3">
              <w:t>Motor vehicles under finance lease</w:t>
            </w:r>
          </w:p>
        </w:tc>
        <w:tc>
          <w:tcPr>
            <w:tcW w:w="1134" w:type="dxa"/>
            <w:tcBorders>
              <w:top w:val="single" w:sz="4" w:space="0" w:color="000000"/>
              <w:bottom w:val="single" w:sz="4" w:space="0" w:color="A6A6A6" w:themeColor="background1" w:themeShade="A6"/>
            </w:tcBorders>
            <w:shd w:val="clear" w:color="auto" w:fill="E7E6E6"/>
          </w:tcPr>
          <w:p w14:paraId="44C988ED" w14:textId="77777777" w:rsidR="00FA7EBF" w:rsidRPr="007939DD" w:rsidRDefault="00FA7EBF" w:rsidP="007B207C">
            <w:pPr>
              <w:pStyle w:val="ARfintablebodyright"/>
              <w:rPr>
                <w:lang w:eastAsia="en-AU"/>
              </w:rPr>
            </w:pPr>
            <w:r w:rsidRPr="001160A3">
              <w:t>27.4</w:t>
            </w:r>
          </w:p>
        </w:tc>
        <w:tc>
          <w:tcPr>
            <w:tcW w:w="1134" w:type="dxa"/>
            <w:tcBorders>
              <w:top w:val="single" w:sz="4" w:space="0" w:color="000000"/>
              <w:bottom w:val="single" w:sz="4" w:space="0" w:color="A6A6A6" w:themeColor="background1" w:themeShade="A6"/>
            </w:tcBorders>
          </w:tcPr>
          <w:p w14:paraId="0296C8B7" w14:textId="77777777" w:rsidR="00FA7EBF" w:rsidRPr="007939DD" w:rsidRDefault="00FA7EBF" w:rsidP="007B207C">
            <w:pPr>
              <w:pStyle w:val="ARfintablebodyright"/>
              <w:rPr>
                <w:lang w:eastAsia="en-AU"/>
              </w:rPr>
            </w:pPr>
            <w:r w:rsidRPr="001160A3">
              <w:t>48.0</w:t>
            </w:r>
          </w:p>
        </w:tc>
        <w:tc>
          <w:tcPr>
            <w:tcW w:w="1134" w:type="dxa"/>
            <w:tcBorders>
              <w:top w:val="single" w:sz="4" w:space="0" w:color="000000"/>
              <w:bottom w:val="single" w:sz="4" w:space="0" w:color="A6A6A6" w:themeColor="background1" w:themeShade="A6"/>
            </w:tcBorders>
            <w:shd w:val="clear" w:color="auto" w:fill="E7E6E6"/>
          </w:tcPr>
          <w:p w14:paraId="6D9EB512" w14:textId="77777777" w:rsidR="00FA7EBF" w:rsidRPr="007939DD" w:rsidRDefault="00FA7EBF" w:rsidP="007B207C">
            <w:pPr>
              <w:pStyle w:val="ARfintablebodyright"/>
              <w:rPr>
                <w:lang w:eastAsia="en-AU"/>
              </w:rPr>
            </w:pPr>
            <w:r w:rsidRPr="001160A3">
              <w:t>–</w:t>
            </w:r>
          </w:p>
        </w:tc>
        <w:tc>
          <w:tcPr>
            <w:tcW w:w="1134" w:type="dxa"/>
            <w:tcBorders>
              <w:top w:val="single" w:sz="4" w:space="0" w:color="000000"/>
              <w:bottom w:val="single" w:sz="4" w:space="0" w:color="A6A6A6" w:themeColor="background1" w:themeShade="A6"/>
            </w:tcBorders>
          </w:tcPr>
          <w:p w14:paraId="7C957444" w14:textId="77777777" w:rsidR="00FA7EBF" w:rsidRPr="007939DD" w:rsidRDefault="00FA7EBF" w:rsidP="007B207C">
            <w:pPr>
              <w:pStyle w:val="ARfintablebodyright"/>
              <w:rPr>
                <w:lang w:eastAsia="en-AU"/>
              </w:rPr>
            </w:pPr>
            <w:r w:rsidRPr="001160A3">
              <w:t>–</w:t>
            </w:r>
          </w:p>
        </w:tc>
        <w:tc>
          <w:tcPr>
            <w:tcW w:w="1134" w:type="dxa"/>
            <w:tcBorders>
              <w:top w:val="single" w:sz="4" w:space="0" w:color="000000"/>
              <w:bottom w:val="single" w:sz="4" w:space="0" w:color="A6A6A6" w:themeColor="background1" w:themeShade="A6"/>
            </w:tcBorders>
            <w:shd w:val="clear" w:color="auto" w:fill="E7E6E6"/>
          </w:tcPr>
          <w:p w14:paraId="0C9A47DF" w14:textId="77777777" w:rsidR="00FA7EBF" w:rsidRPr="007939DD" w:rsidRDefault="00FA7EBF" w:rsidP="007B207C">
            <w:pPr>
              <w:pStyle w:val="ARfintablebodyright"/>
              <w:rPr>
                <w:lang w:eastAsia="en-AU"/>
              </w:rPr>
            </w:pPr>
            <w:r w:rsidRPr="001160A3">
              <w:t>–</w:t>
            </w:r>
          </w:p>
        </w:tc>
        <w:tc>
          <w:tcPr>
            <w:tcW w:w="1134" w:type="dxa"/>
            <w:tcBorders>
              <w:top w:val="single" w:sz="4" w:space="0" w:color="000000"/>
              <w:bottom w:val="single" w:sz="4" w:space="0" w:color="A6A6A6" w:themeColor="background1" w:themeShade="A6"/>
            </w:tcBorders>
          </w:tcPr>
          <w:p w14:paraId="15C3F089" w14:textId="77777777" w:rsidR="00FA7EBF" w:rsidRPr="007939DD" w:rsidRDefault="00FA7EBF" w:rsidP="007B207C">
            <w:pPr>
              <w:pStyle w:val="ARfintablebodyright"/>
              <w:rPr>
                <w:lang w:eastAsia="en-AU"/>
              </w:rPr>
            </w:pPr>
            <w:r w:rsidRPr="001160A3">
              <w:t>–</w:t>
            </w:r>
          </w:p>
        </w:tc>
        <w:tc>
          <w:tcPr>
            <w:tcW w:w="1134" w:type="dxa"/>
            <w:tcBorders>
              <w:top w:val="single" w:sz="4" w:space="0" w:color="000000"/>
              <w:bottom w:val="single" w:sz="4" w:space="0" w:color="A6A6A6" w:themeColor="background1" w:themeShade="A6"/>
            </w:tcBorders>
            <w:shd w:val="clear" w:color="auto" w:fill="E7E6E6"/>
          </w:tcPr>
          <w:p w14:paraId="18EF65EE" w14:textId="77777777" w:rsidR="00FA7EBF" w:rsidRPr="007939DD" w:rsidRDefault="00FA7EBF" w:rsidP="007B207C">
            <w:pPr>
              <w:pStyle w:val="ARfintablebodyright"/>
              <w:rPr>
                <w:lang w:eastAsia="en-AU"/>
              </w:rPr>
            </w:pPr>
            <w:r w:rsidRPr="001160A3">
              <w:t>27.4</w:t>
            </w:r>
          </w:p>
        </w:tc>
        <w:tc>
          <w:tcPr>
            <w:tcW w:w="1134" w:type="dxa"/>
            <w:tcBorders>
              <w:top w:val="single" w:sz="4" w:space="0" w:color="000000"/>
              <w:bottom w:val="single" w:sz="4" w:space="0" w:color="A6A6A6" w:themeColor="background1" w:themeShade="A6"/>
            </w:tcBorders>
          </w:tcPr>
          <w:p w14:paraId="33260ABE" w14:textId="77777777" w:rsidR="00FA7EBF" w:rsidRPr="007939DD" w:rsidRDefault="00FA7EBF" w:rsidP="007B207C">
            <w:pPr>
              <w:pStyle w:val="ARfintablebodyright"/>
              <w:rPr>
                <w:lang w:eastAsia="en-AU"/>
              </w:rPr>
            </w:pPr>
            <w:r w:rsidRPr="001160A3">
              <w:t>48.0</w:t>
            </w:r>
          </w:p>
        </w:tc>
      </w:tr>
      <w:tr w:rsidR="00FA7EBF" w:rsidRPr="007939DD" w14:paraId="0F30D9A5" w14:textId="77777777" w:rsidTr="007B207C">
        <w:trPr>
          <w:cantSplit/>
        </w:trPr>
        <w:tc>
          <w:tcPr>
            <w:tcW w:w="5387" w:type="dxa"/>
            <w:tcBorders>
              <w:top w:val="single" w:sz="4" w:space="0" w:color="A6A6A6" w:themeColor="background1" w:themeShade="A6"/>
              <w:bottom w:val="single" w:sz="4" w:space="0" w:color="000000"/>
            </w:tcBorders>
          </w:tcPr>
          <w:p w14:paraId="4D664D6F" w14:textId="77777777" w:rsidR="00FA7EBF" w:rsidRPr="00553F7D" w:rsidRDefault="00FA7EBF" w:rsidP="007B207C">
            <w:pPr>
              <w:pStyle w:val="ARfintablebody"/>
              <w:rPr>
                <w:rStyle w:val="Emphasis"/>
                <w:iCs w:val="0"/>
              </w:rPr>
            </w:pPr>
            <w:r w:rsidRPr="00553F7D">
              <w:rPr>
                <w:rStyle w:val="Emphasis"/>
                <w:iCs w:val="0"/>
              </w:rPr>
              <w:t>Less accumulated depreciation</w:t>
            </w:r>
          </w:p>
        </w:tc>
        <w:tc>
          <w:tcPr>
            <w:tcW w:w="1134" w:type="dxa"/>
            <w:tcBorders>
              <w:top w:val="single" w:sz="4" w:space="0" w:color="A6A6A6" w:themeColor="background1" w:themeShade="A6"/>
              <w:bottom w:val="single" w:sz="4" w:space="0" w:color="000000"/>
            </w:tcBorders>
            <w:shd w:val="clear" w:color="auto" w:fill="E7E6E6"/>
          </w:tcPr>
          <w:p w14:paraId="68B57AEE" w14:textId="77777777" w:rsidR="00FA7EBF" w:rsidRPr="007939DD" w:rsidRDefault="00FA7EBF" w:rsidP="007B207C">
            <w:pPr>
              <w:pStyle w:val="ARfintablebodyright"/>
              <w:rPr>
                <w:lang w:eastAsia="en-AU"/>
              </w:rPr>
            </w:pPr>
            <w:r w:rsidRPr="001160A3">
              <w:t>8.6</w:t>
            </w:r>
          </w:p>
        </w:tc>
        <w:tc>
          <w:tcPr>
            <w:tcW w:w="1134" w:type="dxa"/>
            <w:tcBorders>
              <w:top w:val="single" w:sz="4" w:space="0" w:color="A6A6A6" w:themeColor="background1" w:themeShade="A6"/>
              <w:bottom w:val="single" w:sz="4" w:space="0" w:color="000000"/>
            </w:tcBorders>
          </w:tcPr>
          <w:p w14:paraId="1539F3F9" w14:textId="77777777" w:rsidR="00FA7EBF" w:rsidRPr="007939DD" w:rsidRDefault="00FA7EBF" w:rsidP="007B207C">
            <w:pPr>
              <w:pStyle w:val="ARfintablebodyright"/>
              <w:rPr>
                <w:lang w:eastAsia="en-AU"/>
              </w:rPr>
            </w:pPr>
            <w:r w:rsidRPr="001160A3">
              <w:t>1.0</w:t>
            </w:r>
          </w:p>
        </w:tc>
        <w:tc>
          <w:tcPr>
            <w:tcW w:w="1134" w:type="dxa"/>
            <w:tcBorders>
              <w:top w:val="single" w:sz="4" w:space="0" w:color="A6A6A6" w:themeColor="background1" w:themeShade="A6"/>
              <w:bottom w:val="single" w:sz="4" w:space="0" w:color="000000"/>
            </w:tcBorders>
            <w:shd w:val="clear" w:color="auto" w:fill="E7E6E6"/>
          </w:tcPr>
          <w:p w14:paraId="6B51666E"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000000"/>
            </w:tcBorders>
          </w:tcPr>
          <w:p w14:paraId="2CD37509"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000000"/>
            </w:tcBorders>
            <w:shd w:val="clear" w:color="auto" w:fill="E7E6E6"/>
          </w:tcPr>
          <w:p w14:paraId="473DA379"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000000"/>
            </w:tcBorders>
          </w:tcPr>
          <w:p w14:paraId="22B5448E"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000000"/>
            </w:tcBorders>
            <w:shd w:val="clear" w:color="auto" w:fill="E7E6E6"/>
          </w:tcPr>
          <w:p w14:paraId="1F13CF22" w14:textId="77777777" w:rsidR="00FA7EBF" w:rsidRPr="007939DD" w:rsidRDefault="00FA7EBF" w:rsidP="007B207C">
            <w:pPr>
              <w:pStyle w:val="ARfintablebodyright"/>
              <w:rPr>
                <w:lang w:eastAsia="en-AU"/>
              </w:rPr>
            </w:pPr>
            <w:r w:rsidRPr="001160A3">
              <w:t>8.6</w:t>
            </w:r>
          </w:p>
        </w:tc>
        <w:tc>
          <w:tcPr>
            <w:tcW w:w="1134" w:type="dxa"/>
            <w:tcBorders>
              <w:top w:val="single" w:sz="4" w:space="0" w:color="A6A6A6" w:themeColor="background1" w:themeShade="A6"/>
              <w:bottom w:val="single" w:sz="4" w:space="0" w:color="000000"/>
            </w:tcBorders>
          </w:tcPr>
          <w:p w14:paraId="55FE1322" w14:textId="77777777" w:rsidR="00FA7EBF" w:rsidRPr="007939DD" w:rsidRDefault="00FA7EBF" w:rsidP="007B207C">
            <w:pPr>
              <w:pStyle w:val="ARfintablebodyright"/>
              <w:rPr>
                <w:lang w:eastAsia="en-AU"/>
              </w:rPr>
            </w:pPr>
            <w:r w:rsidRPr="001160A3">
              <w:t>1.0</w:t>
            </w:r>
          </w:p>
        </w:tc>
      </w:tr>
      <w:tr w:rsidR="00FA7EBF" w:rsidRPr="007939DD" w14:paraId="5D21F8F8" w14:textId="77777777" w:rsidTr="007B207C">
        <w:trPr>
          <w:cantSplit/>
        </w:trPr>
        <w:tc>
          <w:tcPr>
            <w:tcW w:w="5387" w:type="dxa"/>
            <w:tcBorders>
              <w:top w:val="single" w:sz="4" w:space="0" w:color="000000"/>
            </w:tcBorders>
          </w:tcPr>
          <w:p w14:paraId="601A3DB2" w14:textId="77777777" w:rsidR="00FA7EBF" w:rsidRPr="007939DD" w:rsidRDefault="00FA7EBF" w:rsidP="007B207C">
            <w:pPr>
              <w:pStyle w:val="ARfintablebody"/>
              <w:rPr>
                <w:lang w:eastAsia="en-AU"/>
              </w:rPr>
            </w:pPr>
          </w:p>
        </w:tc>
        <w:tc>
          <w:tcPr>
            <w:tcW w:w="1134" w:type="dxa"/>
            <w:tcBorders>
              <w:top w:val="single" w:sz="4" w:space="0" w:color="000000"/>
            </w:tcBorders>
            <w:shd w:val="clear" w:color="auto" w:fill="E7E6E6"/>
          </w:tcPr>
          <w:p w14:paraId="69BDBCB0" w14:textId="77777777" w:rsidR="00FA7EBF" w:rsidRPr="007939DD" w:rsidRDefault="00FA7EBF" w:rsidP="007B207C">
            <w:pPr>
              <w:pStyle w:val="ARfintablebodyrightbold"/>
              <w:rPr>
                <w:lang w:eastAsia="en-AU"/>
              </w:rPr>
            </w:pPr>
            <w:r w:rsidRPr="001160A3">
              <w:t>36.1</w:t>
            </w:r>
          </w:p>
        </w:tc>
        <w:tc>
          <w:tcPr>
            <w:tcW w:w="1134" w:type="dxa"/>
            <w:tcBorders>
              <w:top w:val="single" w:sz="4" w:space="0" w:color="000000"/>
            </w:tcBorders>
          </w:tcPr>
          <w:p w14:paraId="2EFCA2C6" w14:textId="77777777" w:rsidR="00FA7EBF" w:rsidRPr="007939DD" w:rsidRDefault="00FA7EBF" w:rsidP="007B207C">
            <w:pPr>
              <w:pStyle w:val="ARfintablebodyrightbold"/>
              <w:rPr>
                <w:lang w:eastAsia="en-AU"/>
              </w:rPr>
            </w:pPr>
            <w:r w:rsidRPr="001160A3">
              <w:t>49.1</w:t>
            </w:r>
          </w:p>
        </w:tc>
        <w:tc>
          <w:tcPr>
            <w:tcW w:w="1134" w:type="dxa"/>
            <w:tcBorders>
              <w:top w:val="single" w:sz="4" w:space="0" w:color="000000"/>
            </w:tcBorders>
            <w:shd w:val="clear" w:color="auto" w:fill="E7E6E6"/>
          </w:tcPr>
          <w:p w14:paraId="2CFD62EB" w14:textId="77777777" w:rsidR="00FA7EBF" w:rsidRPr="007939DD" w:rsidRDefault="00FA7EBF" w:rsidP="007B207C">
            <w:pPr>
              <w:pStyle w:val="ARfintablebodyrightbold"/>
              <w:rPr>
                <w:lang w:eastAsia="en-AU"/>
              </w:rPr>
            </w:pPr>
            <w:r>
              <w:t>–</w:t>
            </w:r>
          </w:p>
        </w:tc>
        <w:tc>
          <w:tcPr>
            <w:tcW w:w="1134" w:type="dxa"/>
            <w:tcBorders>
              <w:top w:val="single" w:sz="4" w:space="0" w:color="000000"/>
            </w:tcBorders>
          </w:tcPr>
          <w:p w14:paraId="0FC894CF" w14:textId="77777777" w:rsidR="00FA7EBF" w:rsidRPr="007939DD" w:rsidRDefault="00FA7EBF" w:rsidP="007B207C">
            <w:pPr>
              <w:pStyle w:val="ARfintablebodyrightbold"/>
              <w:rPr>
                <w:lang w:eastAsia="en-AU"/>
              </w:rPr>
            </w:pPr>
            <w:r>
              <w:t>–</w:t>
            </w:r>
          </w:p>
        </w:tc>
        <w:tc>
          <w:tcPr>
            <w:tcW w:w="1134" w:type="dxa"/>
            <w:tcBorders>
              <w:top w:val="single" w:sz="4" w:space="0" w:color="000000"/>
            </w:tcBorders>
            <w:shd w:val="clear" w:color="auto" w:fill="E7E6E6"/>
          </w:tcPr>
          <w:p w14:paraId="1D018EF6" w14:textId="77777777" w:rsidR="00FA7EBF" w:rsidRPr="007939DD" w:rsidRDefault="00FA7EBF" w:rsidP="007B207C">
            <w:pPr>
              <w:pStyle w:val="ARfintablebodyrightbold"/>
              <w:rPr>
                <w:lang w:eastAsia="en-AU"/>
              </w:rPr>
            </w:pPr>
            <w:r>
              <w:t>–</w:t>
            </w:r>
          </w:p>
        </w:tc>
        <w:tc>
          <w:tcPr>
            <w:tcW w:w="1134" w:type="dxa"/>
            <w:tcBorders>
              <w:top w:val="single" w:sz="4" w:space="0" w:color="000000"/>
            </w:tcBorders>
          </w:tcPr>
          <w:p w14:paraId="5FD62AF6" w14:textId="77777777" w:rsidR="00FA7EBF" w:rsidRPr="007939DD" w:rsidRDefault="00FA7EBF" w:rsidP="007B207C">
            <w:pPr>
              <w:pStyle w:val="ARfintablebodyrightbold"/>
              <w:rPr>
                <w:lang w:eastAsia="en-AU"/>
              </w:rPr>
            </w:pPr>
            <w:r>
              <w:t>–</w:t>
            </w:r>
          </w:p>
        </w:tc>
        <w:tc>
          <w:tcPr>
            <w:tcW w:w="1134" w:type="dxa"/>
            <w:tcBorders>
              <w:top w:val="single" w:sz="4" w:space="0" w:color="000000"/>
            </w:tcBorders>
            <w:shd w:val="clear" w:color="auto" w:fill="E7E6E6"/>
          </w:tcPr>
          <w:p w14:paraId="363B1707" w14:textId="77777777" w:rsidR="00FA7EBF" w:rsidRPr="007939DD" w:rsidRDefault="00FA7EBF" w:rsidP="007B207C">
            <w:pPr>
              <w:pStyle w:val="ARfintablebodyrightbold"/>
              <w:rPr>
                <w:lang w:eastAsia="en-AU"/>
              </w:rPr>
            </w:pPr>
            <w:r w:rsidRPr="001160A3">
              <w:t>36.1</w:t>
            </w:r>
          </w:p>
        </w:tc>
        <w:tc>
          <w:tcPr>
            <w:tcW w:w="1134" w:type="dxa"/>
            <w:tcBorders>
              <w:top w:val="single" w:sz="4" w:space="0" w:color="000000"/>
            </w:tcBorders>
          </w:tcPr>
          <w:p w14:paraId="13EF4475" w14:textId="77777777" w:rsidR="00FA7EBF" w:rsidRPr="007939DD" w:rsidRDefault="00FA7EBF" w:rsidP="007B207C">
            <w:pPr>
              <w:pStyle w:val="ARfintablebodyrightbold"/>
              <w:rPr>
                <w:rStyle w:val="Strong"/>
              </w:rPr>
            </w:pPr>
            <w:r w:rsidRPr="001160A3">
              <w:t>49.1</w:t>
            </w:r>
          </w:p>
        </w:tc>
      </w:tr>
      <w:tr w:rsidR="00FA7EBF" w:rsidRPr="007939DD" w14:paraId="622436D0" w14:textId="77777777" w:rsidTr="007B207C">
        <w:trPr>
          <w:cantSplit/>
        </w:trPr>
        <w:tc>
          <w:tcPr>
            <w:tcW w:w="5387" w:type="dxa"/>
          </w:tcPr>
          <w:p w14:paraId="7B593255" w14:textId="77777777" w:rsidR="00FA7EBF" w:rsidRPr="007939DD" w:rsidRDefault="00FA7EBF" w:rsidP="007B207C">
            <w:pPr>
              <w:pStyle w:val="ARfintablebodybold"/>
              <w:rPr>
                <w:lang w:eastAsia="en-AU"/>
              </w:rPr>
            </w:pPr>
            <w:r w:rsidRPr="001160A3">
              <w:t>Total plant, equipment and vehicles at fair value</w:t>
            </w:r>
          </w:p>
        </w:tc>
        <w:tc>
          <w:tcPr>
            <w:tcW w:w="1134" w:type="dxa"/>
            <w:shd w:val="clear" w:color="auto" w:fill="E7E6E6"/>
          </w:tcPr>
          <w:p w14:paraId="27ECEAD4" w14:textId="77777777" w:rsidR="00FA7EBF" w:rsidRPr="007939DD" w:rsidRDefault="00FA7EBF" w:rsidP="007B207C">
            <w:pPr>
              <w:pStyle w:val="ARfintablebodyrightbold"/>
              <w:rPr>
                <w:lang w:eastAsia="en-AU"/>
              </w:rPr>
            </w:pPr>
            <w:r w:rsidRPr="001160A3">
              <w:t>47.4</w:t>
            </w:r>
          </w:p>
        </w:tc>
        <w:tc>
          <w:tcPr>
            <w:tcW w:w="1134" w:type="dxa"/>
          </w:tcPr>
          <w:p w14:paraId="46F99BE9" w14:textId="77777777" w:rsidR="00FA7EBF" w:rsidRPr="007939DD" w:rsidRDefault="00FA7EBF" w:rsidP="007B207C">
            <w:pPr>
              <w:pStyle w:val="ARfintablebodyrightbold"/>
              <w:rPr>
                <w:lang w:eastAsia="en-AU"/>
              </w:rPr>
            </w:pPr>
            <w:r w:rsidRPr="001160A3">
              <w:t>63.9</w:t>
            </w:r>
          </w:p>
        </w:tc>
        <w:tc>
          <w:tcPr>
            <w:tcW w:w="1134" w:type="dxa"/>
            <w:shd w:val="clear" w:color="auto" w:fill="E7E6E6"/>
          </w:tcPr>
          <w:p w14:paraId="70DF0BC3" w14:textId="77777777" w:rsidR="00FA7EBF" w:rsidRPr="007939DD" w:rsidRDefault="00FA7EBF" w:rsidP="007B207C">
            <w:pPr>
              <w:pStyle w:val="ARfintablebodyrightbold"/>
              <w:rPr>
                <w:lang w:eastAsia="en-AU"/>
              </w:rPr>
            </w:pPr>
            <w:r w:rsidRPr="001160A3">
              <w:t>0.3</w:t>
            </w:r>
          </w:p>
        </w:tc>
        <w:tc>
          <w:tcPr>
            <w:tcW w:w="1134" w:type="dxa"/>
          </w:tcPr>
          <w:p w14:paraId="37D33B0A" w14:textId="77777777" w:rsidR="00FA7EBF" w:rsidRPr="007939DD" w:rsidRDefault="00FA7EBF" w:rsidP="007B207C">
            <w:pPr>
              <w:pStyle w:val="ARfintablebodyrightbold"/>
              <w:rPr>
                <w:lang w:eastAsia="en-AU"/>
              </w:rPr>
            </w:pPr>
            <w:r w:rsidRPr="001160A3">
              <w:t>0.9</w:t>
            </w:r>
          </w:p>
        </w:tc>
        <w:tc>
          <w:tcPr>
            <w:tcW w:w="1134" w:type="dxa"/>
            <w:shd w:val="clear" w:color="auto" w:fill="E7E6E6"/>
          </w:tcPr>
          <w:p w14:paraId="3D8CCA92" w14:textId="77777777" w:rsidR="00FA7EBF" w:rsidRPr="007939DD" w:rsidRDefault="00FA7EBF" w:rsidP="007B207C">
            <w:pPr>
              <w:pStyle w:val="ARfintablebodyrightbold"/>
              <w:rPr>
                <w:lang w:eastAsia="en-AU"/>
              </w:rPr>
            </w:pPr>
            <w:r>
              <w:t>–</w:t>
            </w:r>
          </w:p>
        </w:tc>
        <w:tc>
          <w:tcPr>
            <w:tcW w:w="1134" w:type="dxa"/>
          </w:tcPr>
          <w:p w14:paraId="5D441802" w14:textId="77777777" w:rsidR="00FA7EBF" w:rsidRPr="007939DD" w:rsidRDefault="00FA7EBF" w:rsidP="007B207C">
            <w:pPr>
              <w:pStyle w:val="ARfintablebodyrightbold"/>
              <w:rPr>
                <w:lang w:eastAsia="en-AU"/>
              </w:rPr>
            </w:pPr>
            <w:r>
              <w:t>–</w:t>
            </w:r>
          </w:p>
        </w:tc>
        <w:tc>
          <w:tcPr>
            <w:tcW w:w="1134" w:type="dxa"/>
            <w:shd w:val="clear" w:color="auto" w:fill="E7E6E6"/>
          </w:tcPr>
          <w:p w14:paraId="1859DDD2" w14:textId="77777777" w:rsidR="00FA7EBF" w:rsidRPr="007939DD" w:rsidRDefault="00FA7EBF" w:rsidP="007B207C">
            <w:pPr>
              <w:pStyle w:val="ARfintablebodyrightbold"/>
              <w:rPr>
                <w:lang w:eastAsia="en-AU"/>
              </w:rPr>
            </w:pPr>
            <w:r w:rsidRPr="001160A3">
              <w:t>47.6</w:t>
            </w:r>
          </w:p>
        </w:tc>
        <w:tc>
          <w:tcPr>
            <w:tcW w:w="1134" w:type="dxa"/>
          </w:tcPr>
          <w:p w14:paraId="4A9F73A4" w14:textId="77777777" w:rsidR="00FA7EBF" w:rsidRPr="007939DD" w:rsidRDefault="00FA7EBF" w:rsidP="007B207C">
            <w:pPr>
              <w:pStyle w:val="ARfintablebodyrightbold"/>
              <w:rPr>
                <w:rStyle w:val="Strong"/>
              </w:rPr>
            </w:pPr>
            <w:r w:rsidRPr="001160A3">
              <w:t>64.8</w:t>
            </w:r>
          </w:p>
        </w:tc>
      </w:tr>
      <w:tr w:rsidR="00FA7EBF" w:rsidRPr="007939DD" w14:paraId="1A96F064" w14:textId="77777777" w:rsidTr="007B207C">
        <w:trPr>
          <w:cantSplit/>
        </w:trPr>
        <w:tc>
          <w:tcPr>
            <w:tcW w:w="14459" w:type="dxa"/>
            <w:gridSpan w:val="9"/>
            <w:tcBorders>
              <w:bottom w:val="single" w:sz="4" w:space="0" w:color="A6A6A6" w:themeColor="background1" w:themeShade="A6"/>
            </w:tcBorders>
          </w:tcPr>
          <w:p w14:paraId="2257BA68" w14:textId="77777777" w:rsidR="00FA7EBF" w:rsidRPr="007939DD" w:rsidRDefault="00FA7EBF" w:rsidP="007B207C">
            <w:pPr>
              <w:pStyle w:val="ARfintablebodybold"/>
              <w:rPr>
                <w:lang w:eastAsia="en-AU"/>
              </w:rPr>
            </w:pPr>
            <w:r w:rsidRPr="001160A3">
              <w:t>Assets under construction at cost</w:t>
            </w:r>
          </w:p>
        </w:tc>
      </w:tr>
      <w:tr w:rsidR="00FA7EBF" w:rsidRPr="007939DD" w14:paraId="788F4AD1" w14:textId="77777777" w:rsidTr="007B207C">
        <w:trPr>
          <w:cantSplit/>
        </w:trPr>
        <w:tc>
          <w:tcPr>
            <w:tcW w:w="5387" w:type="dxa"/>
            <w:tcBorders>
              <w:top w:val="single" w:sz="4" w:space="0" w:color="A6A6A6" w:themeColor="background1" w:themeShade="A6"/>
              <w:bottom w:val="single" w:sz="4" w:space="0" w:color="A6A6A6" w:themeColor="background1" w:themeShade="A6"/>
            </w:tcBorders>
          </w:tcPr>
          <w:p w14:paraId="2B90E02E" w14:textId="77777777" w:rsidR="00FA7EBF" w:rsidRPr="007939DD" w:rsidRDefault="00FA7EBF" w:rsidP="007B207C">
            <w:pPr>
              <w:pStyle w:val="ARfintablebody"/>
              <w:rPr>
                <w:lang w:eastAsia="en-AU"/>
              </w:rPr>
            </w:pPr>
            <w:r w:rsidRPr="001160A3">
              <w:t>Rental property</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FF512DC" w14:textId="77777777" w:rsidR="00FA7EBF" w:rsidRPr="007939DD" w:rsidRDefault="00FA7EBF" w:rsidP="007B207C">
            <w:pPr>
              <w:pStyle w:val="ARfintablebodyright"/>
              <w:rPr>
                <w:lang w:eastAsia="en-AU"/>
              </w:rPr>
            </w:pPr>
            <w:r>
              <w:t>–</w:t>
            </w:r>
          </w:p>
        </w:tc>
        <w:tc>
          <w:tcPr>
            <w:tcW w:w="1134" w:type="dxa"/>
            <w:tcBorders>
              <w:top w:val="single" w:sz="4" w:space="0" w:color="A6A6A6" w:themeColor="background1" w:themeShade="A6"/>
              <w:bottom w:val="single" w:sz="4" w:space="0" w:color="A6A6A6" w:themeColor="background1" w:themeShade="A6"/>
            </w:tcBorders>
          </w:tcPr>
          <w:p w14:paraId="27E16D12"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E221BCA" w14:textId="77777777" w:rsidR="00FA7EBF" w:rsidRPr="007939DD" w:rsidRDefault="00FA7EBF" w:rsidP="007B207C">
            <w:pPr>
              <w:pStyle w:val="ARfintablebodyright"/>
              <w:rPr>
                <w:lang w:eastAsia="en-AU"/>
              </w:rPr>
            </w:pPr>
            <w:r w:rsidRPr="001160A3">
              <w:t>376.1</w:t>
            </w:r>
          </w:p>
        </w:tc>
        <w:tc>
          <w:tcPr>
            <w:tcW w:w="1134" w:type="dxa"/>
            <w:tcBorders>
              <w:top w:val="single" w:sz="4" w:space="0" w:color="A6A6A6" w:themeColor="background1" w:themeShade="A6"/>
              <w:bottom w:val="single" w:sz="4" w:space="0" w:color="A6A6A6" w:themeColor="background1" w:themeShade="A6"/>
            </w:tcBorders>
          </w:tcPr>
          <w:p w14:paraId="4D90DC77" w14:textId="77777777" w:rsidR="00FA7EBF" w:rsidRPr="007939DD" w:rsidRDefault="00FA7EBF" w:rsidP="007B207C">
            <w:pPr>
              <w:pStyle w:val="ARfintablebodyright"/>
              <w:rPr>
                <w:lang w:eastAsia="en-AU"/>
              </w:rPr>
            </w:pPr>
            <w:r w:rsidRPr="001160A3">
              <w:t>282.1</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9669107"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A6A6A6" w:themeColor="background1" w:themeShade="A6"/>
            </w:tcBorders>
          </w:tcPr>
          <w:p w14:paraId="7ED6A489"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B732AA9" w14:textId="77777777" w:rsidR="00FA7EBF" w:rsidRPr="007939DD" w:rsidRDefault="00FA7EBF" w:rsidP="007B207C">
            <w:pPr>
              <w:pStyle w:val="ARfintablebodyright"/>
              <w:rPr>
                <w:lang w:eastAsia="en-AU"/>
              </w:rPr>
            </w:pPr>
            <w:r w:rsidRPr="001160A3">
              <w:t>376.1</w:t>
            </w:r>
          </w:p>
        </w:tc>
        <w:tc>
          <w:tcPr>
            <w:tcW w:w="1134" w:type="dxa"/>
            <w:tcBorders>
              <w:top w:val="single" w:sz="4" w:space="0" w:color="A6A6A6" w:themeColor="background1" w:themeShade="A6"/>
              <w:bottom w:val="single" w:sz="4" w:space="0" w:color="A6A6A6" w:themeColor="background1" w:themeShade="A6"/>
            </w:tcBorders>
          </w:tcPr>
          <w:p w14:paraId="5C3857DB" w14:textId="77777777" w:rsidR="00FA7EBF" w:rsidRPr="007939DD" w:rsidRDefault="00FA7EBF" w:rsidP="007B207C">
            <w:pPr>
              <w:pStyle w:val="ARfintablebodyright"/>
              <w:rPr>
                <w:lang w:eastAsia="en-AU"/>
              </w:rPr>
            </w:pPr>
            <w:r w:rsidRPr="001160A3">
              <w:t>282.1</w:t>
            </w:r>
          </w:p>
        </w:tc>
      </w:tr>
      <w:tr w:rsidR="00FA7EBF" w:rsidRPr="007939DD" w14:paraId="26FC65D6" w14:textId="77777777" w:rsidTr="007B207C">
        <w:trPr>
          <w:cantSplit/>
        </w:trPr>
        <w:tc>
          <w:tcPr>
            <w:tcW w:w="5387" w:type="dxa"/>
            <w:tcBorders>
              <w:top w:val="single" w:sz="4" w:space="0" w:color="A6A6A6" w:themeColor="background1" w:themeShade="A6"/>
            </w:tcBorders>
          </w:tcPr>
          <w:p w14:paraId="2C362119" w14:textId="77777777" w:rsidR="00FA7EBF" w:rsidRPr="007939DD" w:rsidRDefault="00FA7EBF" w:rsidP="007B207C">
            <w:pPr>
              <w:pStyle w:val="ARfintablebody"/>
              <w:rPr>
                <w:lang w:eastAsia="en-AU"/>
              </w:rPr>
            </w:pPr>
            <w:r w:rsidRPr="001160A3">
              <w:t>Other property</w:t>
            </w:r>
          </w:p>
        </w:tc>
        <w:tc>
          <w:tcPr>
            <w:tcW w:w="1134" w:type="dxa"/>
            <w:tcBorders>
              <w:top w:val="single" w:sz="4" w:space="0" w:color="A6A6A6" w:themeColor="background1" w:themeShade="A6"/>
            </w:tcBorders>
            <w:shd w:val="clear" w:color="auto" w:fill="E7E6E6"/>
          </w:tcPr>
          <w:p w14:paraId="33A08896" w14:textId="77777777" w:rsidR="00FA7EBF" w:rsidRPr="007939DD" w:rsidRDefault="00FA7EBF" w:rsidP="007B207C">
            <w:pPr>
              <w:pStyle w:val="ARfintablebodyright"/>
              <w:rPr>
                <w:lang w:eastAsia="en-AU"/>
              </w:rPr>
            </w:pPr>
            <w:r w:rsidRPr="001160A3">
              <w:t>81.2</w:t>
            </w:r>
          </w:p>
        </w:tc>
        <w:tc>
          <w:tcPr>
            <w:tcW w:w="1134" w:type="dxa"/>
            <w:tcBorders>
              <w:top w:val="single" w:sz="4" w:space="0" w:color="A6A6A6" w:themeColor="background1" w:themeShade="A6"/>
            </w:tcBorders>
          </w:tcPr>
          <w:p w14:paraId="30A4A76D" w14:textId="77777777" w:rsidR="00FA7EBF" w:rsidRPr="007939DD" w:rsidRDefault="00FA7EBF" w:rsidP="007B207C">
            <w:pPr>
              <w:pStyle w:val="ARfintablebodyright"/>
              <w:rPr>
                <w:lang w:eastAsia="en-AU"/>
              </w:rPr>
            </w:pPr>
            <w:r w:rsidRPr="001160A3">
              <w:t>49.5</w:t>
            </w:r>
          </w:p>
        </w:tc>
        <w:tc>
          <w:tcPr>
            <w:tcW w:w="1134" w:type="dxa"/>
            <w:tcBorders>
              <w:top w:val="single" w:sz="4" w:space="0" w:color="A6A6A6" w:themeColor="background1" w:themeShade="A6"/>
            </w:tcBorders>
            <w:shd w:val="clear" w:color="auto" w:fill="E7E6E6"/>
          </w:tcPr>
          <w:p w14:paraId="37B7DEA2" w14:textId="77777777" w:rsidR="00FA7EBF" w:rsidRPr="007939DD" w:rsidRDefault="00FA7EBF" w:rsidP="007B207C">
            <w:pPr>
              <w:pStyle w:val="ARfintablebodyright"/>
              <w:rPr>
                <w:lang w:eastAsia="en-AU"/>
              </w:rPr>
            </w:pPr>
            <w:r w:rsidRPr="001160A3">
              <w:t>0.7</w:t>
            </w:r>
          </w:p>
        </w:tc>
        <w:tc>
          <w:tcPr>
            <w:tcW w:w="1134" w:type="dxa"/>
            <w:tcBorders>
              <w:top w:val="single" w:sz="4" w:space="0" w:color="A6A6A6" w:themeColor="background1" w:themeShade="A6"/>
            </w:tcBorders>
          </w:tcPr>
          <w:p w14:paraId="23E4C51E" w14:textId="77777777" w:rsidR="00FA7EBF" w:rsidRPr="007939DD" w:rsidRDefault="00FA7EBF" w:rsidP="007B207C">
            <w:pPr>
              <w:pStyle w:val="ARfintablebodyright"/>
              <w:rPr>
                <w:lang w:eastAsia="en-AU"/>
              </w:rPr>
            </w:pPr>
            <w:r w:rsidRPr="001160A3">
              <w:t>0.8</w:t>
            </w:r>
          </w:p>
        </w:tc>
        <w:tc>
          <w:tcPr>
            <w:tcW w:w="1134" w:type="dxa"/>
            <w:tcBorders>
              <w:top w:val="single" w:sz="4" w:space="0" w:color="A6A6A6" w:themeColor="background1" w:themeShade="A6"/>
            </w:tcBorders>
            <w:shd w:val="clear" w:color="auto" w:fill="E7E6E6"/>
          </w:tcPr>
          <w:p w14:paraId="1A6AE8B1"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tcBorders>
          </w:tcPr>
          <w:p w14:paraId="126D8B25" w14:textId="77777777" w:rsidR="00FA7EBF" w:rsidRPr="007939DD" w:rsidRDefault="00FA7EBF" w:rsidP="007B207C">
            <w:pPr>
              <w:pStyle w:val="ARfintablebodyright"/>
              <w:rPr>
                <w:lang w:eastAsia="en-AU"/>
              </w:rPr>
            </w:pPr>
            <w:r w:rsidRPr="001160A3">
              <w:t>–</w:t>
            </w:r>
          </w:p>
        </w:tc>
        <w:tc>
          <w:tcPr>
            <w:tcW w:w="1134" w:type="dxa"/>
            <w:tcBorders>
              <w:top w:val="single" w:sz="4" w:space="0" w:color="A6A6A6" w:themeColor="background1" w:themeShade="A6"/>
            </w:tcBorders>
            <w:shd w:val="clear" w:color="auto" w:fill="E7E6E6"/>
          </w:tcPr>
          <w:p w14:paraId="0F7FD0CD" w14:textId="77777777" w:rsidR="00FA7EBF" w:rsidRPr="007939DD" w:rsidRDefault="00FA7EBF" w:rsidP="007B207C">
            <w:pPr>
              <w:pStyle w:val="ARfintablebodyright"/>
              <w:rPr>
                <w:lang w:eastAsia="en-AU"/>
              </w:rPr>
            </w:pPr>
            <w:r w:rsidRPr="001160A3">
              <w:t>81.9</w:t>
            </w:r>
          </w:p>
        </w:tc>
        <w:tc>
          <w:tcPr>
            <w:tcW w:w="1134" w:type="dxa"/>
            <w:tcBorders>
              <w:top w:val="single" w:sz="4" w:space="0" w:color="A6A6A6" w:themeColor="background1" w:themeShade="A6"/>
            </w:tcBorders>
          </w:tcPr>
          <w:p w14:paraId="357A1174" w14:textId="77777777" w:rsidR="00FA7EBF" w:rsidRPr="007939DD" w:rsidRDefault="00FA7EBF" w:rsidP="007B207C">
            <w:pPr>
              <w:pStyle w:val="ARfintablebodyright"/>
              <w:rPr>
                <w:lang w:eastAsia="en-AU"/>
              </w:rPr>
            </w:pPr>
            <w:r w:rsidRPr="001160A3">
              <w:t>50.3</w:t>
            </w:r>
          </w:p>
        </w:tc>
      </w:tr>
      <w:tr w:rsidR="00FA7EBF" w:rsidRPr="007939DD" w14:paraId="3B9580D6" w14:textId="77777777" w:rsidTr="007B207C">
        <w:trPr>
          <w:cantSplit/>
        </w:trPr>
        <w:tc>
          <w:tcPr>
            <w:tcW w:w="5387" w:type="dxa"/>
          </w:tcPr>
          <w:p w14:paraId="3BDB7C4A" w14:textId="77777777" w:rsidR="00FA7EBF" w:rsidRPr="007939DD" w:rsidRDefault="00FA7EBF" w:rsidP="007B207C">
            <w:pPr>
              <w:pStyle w:val="ARfintablebodybold"/>
              <w:rPr>
                <w:lang w:eastAsia="en-AU"/>
              </w:rPr>
            </w:pPr>
            <w:r w:rsidRPr="001160A3">
              <w:t>Total assets under construction at cost</w:t>
            </w:r>
          </w:p>
        </w:tc>
        <w:tc>
          <w:tcPr>
            <w:tcW w:w="1134" w:type="dxa"/>
            <w:shd w:val="clear" w:color="auto" w:fill="E7E6E6"/>
          </w:tcPr>
          <w:p w14:paraId="6E3BE98A" w14:textId="77777777" w:rsidR="00FA7EBF" w:rsidRPr="007939DD" w:rsidRDefault="00FA7EBF" w:rsidP="007B207C">
            <w:pPr>
              <w:pStyle w:val="ARfintablebodyrightbold"/>
              <w:rPr>
                <w:lang w:eastAsia="en-AU"/>
              </w:rPr>
            </w:pPr>
            <w:r w:rsidRPr="001160A3">
              <w:t>81.2</w:t>
            </w:r>
          </w:p>
        </w:tc>
        <w:tc>
          <w:tcPr>
            <w:tcW w:w="1134" w:type="dxa"/>
          </w:tcPr>
          <w:p w14:paraId="0B7B37FD" w14:textId="77777777" w:rsidR="00FA7EBF" w:rsidRPr="007939DD" w:rsidRDefault="00FA7EBF" w:rsidP="007B207C">
            <w:pPr>
              <w:pStyle w:val="ARfintablebodyrightbold"/>
              <w:rPr>
                <w:lang w:eastAsia="en-AU"/>
              </w:rPr>
            </w:pPr>
            <w:r w:rsidRPr="001160A3">
              <w:t>49.5</w:t>
            </w:r>
          </w:p>
        </w:tc>
        <w:tc>
          <w:tcPr>
            <w:tcW w:w="1134" w:type="dxa"/>
            <w:shd w:val="clear" w:color="auto" w:fill="E7E6E6"/>
          </w:tcPr>
          <w:p w14:paraId="111FAB45" w14:textId="77777777" w:rsidR="00FA7EBF" w:rsidRPr="007939DD" w:rsidRDefault="00FA7EBF" w:rsidP="007B207C">
            <w:pPr>
              <w:pStyle w:val="ARfintablebodyrightbold"/>
              <w:rPr>
                <w:lang w:eastAsia="en-AU"/>
              </w:rPr>
            </w:pPr>
            <w:r w:rsidRPr="001160A3">
              <w:t>376.8</w:t>
            </w:r>
          </w:p>
        </w:tc>
        <w:tc>
          <w:tcPr>
            <w:tcW w:w="1134" w:type="dxa"/>
          </w:tcPr>
          <w:p w14:paraId="06FA3F0D" w14:textId="77777777" w:rsidR="00FA7EBF" w:rsidRPr="007939DD" w:rsidRDefault="00FA7EBF" w:rsidP="007B207C">
            <w:pPr>
              <w:pStyle w:val="ARfintablebodyrightbold"/>
              <w:rPr>
                <w:lang w:eastAsia="en-AU"/>
              </w:rPr>
            </w:pPr>
            <w:r w:rsidRPr="001160A3">
              <w:t>282.9</w:t>
            </w:r>
          </w:p>
        </w:tc>
        <w:tc>
          <w:tcPr>
            <w:tcW w:w="1134" w:type="dxa"/>
            <w:shd w:val="clear" w:color="auto" w:fill="E7E6E6"/>
          </w:tcPr>
          <w:p w14:paraId="4951860D" w14:textId="77777777" w:rsidR="00FA7EBF" w:rsidRPr="007939DD" w:rsidRDefault="00FA7EBF" w:rsidP="007B207C">
            <w:pPr>
              <w:pStyle w:val="ARfintablebodyrightbold"/>
              <w:rPr>
                <w:lang w:eastAsia="en-AU"/>
              </w:rPr>
            </w:pPr>
            <w:r>
              <w:t>–</w:t>
            </w:r>
          </w:p>
        </w:tc>
        <w:tc>
          <w:tcPr>
            <w:tcW w:w="1134" w:type="dxa"/>
          </w:tcPr>
          <w:p w14:paraId="579080A1" w14:textId="77777777" w:rsidR="00FA7EBF" w:rsidRPr="007939DD" w:rsidRDefault="00FA7EBF" w:rsidP="007B207C">
            <w:pPr>
              <w:pStyle w:val="ARfintablebodyrightbold"/>
              <w:rPr>
                <w:lang w:eastAsia="en-AU"/>
              </w:rPr>
            </w:pPr>
            <w:r>
              <w:t>–</w:t>
            </w:r>
          </w:p>
        </w:tc>
        <w:tc>
          <w:tcPr>
            <w:tcW w:w="1134" w:type="dxa"/>
            <w:shd w:val="clear" w:color="auto" w:fill="E7E6E6"/>
          </w:tcPr>
          <w:p w14:paraId="5DA38D82" w14:textId="77777777" w:rsidR="00FA7EBF" w:rsidRPr="007939DD" w:rsidRDefault="00FA7EBF" w:rsidP="007B207C">
            <w:pPr>
              <w:pStyle w:val="ARfintablebodyrightbold"/>
              <w:rPr>
                <w:lang w:eastAsia="en-AU"/>
              </w:rPr>
            </w:pPr>
            <w:r w:rsidRPr="001160A3">
              <w:t>458.0</w:t>
            </w:r>
          </w:p>
        </w:tc>
        <w:tc>
          <w:tcPr>
            <w:tcW w:w="1134" w:type="dxa"/>
          </w:tcPr>
          <w:p w14:paraId="66789914" w14:textId="77777777" w:rsidR="00FA7EBF" w:rsidRPr="007939DD" w:rsidRDefault="00FA7EBF" w:rsidP="007B207C">
            <w:pPr>
              <w:pStyle w:val="ARfintablebodyrightbold"/>
              <w:rPr>
                <w:rStyle w:val="Strong"/>
              </w:rPr>
            </w:pPr>
            <w:r w:rsidRPr="001160A3">
              <w:t>332.5</w:t>
            </w:r>
          </w:p>
        </w:tc>
      </w:tr>
      <w:tr w:rsidR="00FA7EBF" w:rsidRPr="007939DD" w14:paraId="757A332E" w14:textId="77777777" w:rsidTr="007B207C">
        <w:trPr>
          <w:cantSplit/>
        </w:trPr>
        <w:tc>
          <w:tcPr>
            <w:tcW w:w="5387" w:type="dxa"/>
          </w:tcPr>
          <w:p w14:paraId="717C7325" w14:textId="77777777" w:rsidR="00FA7EBF" w:rsidRPr="007939DD" w:rsidRDefault="00FA7EBF" w:rsidP="007B207C">
            <w:pPr>
              <w:pStyle w:val="ARfintablebodybold"/>
              <w:rPr>
                <w:lang w:eastAsia="en-AU"/>
              </w:rPr>
            </w:pPr>
            <w:r w:rsidRPr="001160A3">
              <w:t>Net carrying amount of property, plant and equipment</w:t>
            </w:r>
          </w:p>
        </w:tc>
        <w:tc>
          <w:tcPr>
            <w:tcW w:w="1134" w:type="dxa"/>
            <w:shd w:val="clear" w:color="auto" w:fill="E7E6E6"/>
          </w:tcPr>
          <w:p w14:paraId="4E5A57BD" w14:textId="77777777" w:rsidR="00FA7EBF" w:rsidRPr="007939DD" w:rsidRDefault="00FA7EBF" w:rsidP="007B207C">
            <w:pPr>
              <w:pStyle w:val="ARfintablebodyrightbold"/>
              <w:rPr>
                <w:lang w:eastAsia="en-AU"/>
              </w:rPr>
            </w:pPr>
            <w:r w:rsidRPr="001160A3">
              <w:t>2,329.3</w:t>
            </w:r>
          </w:p>
        </w:tc>
        <w:tc>
          <w:tcPr>
            <w:tcW w:w="1134" w:type="dxa"/>
          </w:tcPr>
          <w:p w14:paraId="7AE4CCE4" w14:textId="77777777" w:rsidR="00FA7EBF" w:rsidRPr="007939DD" w:rsidRDefault="00FA7EBF" w:rsidP="007B207C">
            <w:pPr>
              <w:pStyle w:val="ARfintablebodyrightbold"/>
              <w:rPr>
                <w:lang w:eastAsia="en-AU"/>
              </w:rPr>
            </w:pPr>
            <w:r w:rsidRPr="001160A3">
              <w:t>2,026.1</w:t>
            </w:r>
          </w:p>
        </w:tc>
        <w:tc>
          <w:tcPr>
            <w:tcW w:w="1134" w:type="dxa"/>
            <w:shd w:val="clear" w:color="auto" w:fill="E7E6E6"/>
          </w:tcPr>
          <w:p w14:paraId="369541DC" w14:textId="77777777" w:rsidR="00FA7EBF" w:rsidRPr="007939DD" w:rsidRDefault="00FA7EBF" w:rsidP="007B207C">
            <w:pPr>
              <w:pStyle w:val="ARfintablebodyrightbold"/>
              <w:rPr>
                <w:lang w:eastAsia="en-AU"/>
              </w:rPr>
            </w:pPr>
            <w:r w:rsidRPr="001160A3">
              <w:t>26,488.8</w:t>
            </w:r>
          </w:p>
        </w:tc>
        <w:tc>
          <w:tcPr>
            <w:tcW w:w="1134" w:type="dxa"/>
          </w:tcPr>
          <w:p w14:paraId="170C78A7" w14:textId="77777777" w:rsidR="00FA7EBF" w:rsidRPr="007939DD" w:rsidRDefault="00FA7EBF" w:rsidP="007B207C">
            <w:pPr>
              <w:pStyle w:val="ARfintablebodyrightbold"/>
              <w:rPr>
                <w:lang w:eastAsia="en-AU"/>
              </w:rPr>
            </w:pPr>
            <w:r w:rsidRPr="001160A3">
              <w:t>28,140.0</w:t>
            </w:r>
          </w:p>
        </w:tc>
        <w:tc>
          <w:tcPr>
            <w:tcW w:w="1134" w:type="dxa"/>
            <w:shd w:val="clear" w:color="auto" w:fill="E7E6E6"/>
          </w:tcPr>
          <w:p w14:paraId="547D6F71" w14:textId="77777777" w:rsidR="00FA7EBF" w:rsidRPr="007939DD" w:rsidRDefault="00FA7EBF" w:rsidP="007B207C">
            <w:pPr>
              <w:pStyle w:val="ARfintablebodyrightbold"/>
              <w:rPr>
                <w:lang w:eastAsia="en-AU"/>
              </w:rPr>
            </w:pPr>
            <w:r>
              <w:t>–</w:t>
            </w:r>
          </w:p>
        </w:tc>
        <w:tc>
          <w:tcPr>
            <w:tcW w:w="1134" w:type="dxa"/>
          </w:tcPr>
          <w:p w14:paraId="6B29148B" w14:textId="77777777" w:rsidR="00FA7EBF" w:rsidRPr="007939DD" w:rsidRDefault="00FA7EBF" w:rsidP="007B207C">
            <w:pPr>
              <w:pStyle w:val="ARfintablebodyrightbold"/>
              <w:rPr>
                <w:lang w:eastAsia="en-AU"/>
              </w:rPr>
            </w:pPr>
            <w:r w:rsidRPr="001160A3">
              <w:t>33.2</w:t>
            </w:r>
          </w:p>
        </w:tc>
        <w:tc>
          <w:tcPr>
            <w:tcW w:w="1134" w:type="dxa"/>
            <w:shd w:val="clear" w:color="auto" w:fill="E7E6E6"/>
          </w:tcPr>
          <w:p w14:paraId="2206182D" w14:textId="77777777" w:rsidR="00FA7EBF" w:rsidRPr="007939DD" w:rsidRDefault="00FA7EBF" w:rsidP="007B207C">
            <w:pPr>
              <w:pStyle w:val="ARfintablebodyrightbold"/>
              <w:rPr>
                <w:lang w:eastAsia="en-AU"/>
              </w:rPr>
            </w:pPr>
            <w:r w:rsidRPr="001160A3">
              <w:t>28,818.2</w:t>
            </w:r>
          </w:p>
        </w:tc>
        <w:tc>
          <w:tcPr>
            <w:tcW w:w="1134" w:type="dxa"/>
          </w:tcPr>
          <w:p w14:paraId="5EDA3D9A" w14:textId="77777777" w:rsidR="00FA7EBF" w:rsidRPr="007939DD" w:rsidRDefault="00FA7EBF" w:rsidP="007B207C">
            <w:pPr>
              <w:pStyle w:val="ARfintablebodyrightbold"/>
              <w:rPr>
                <w:rStyle w:val="Strong"/>
              </w:rPr>
            </w:pPr>
            <w:r w:rsidRPr="001160A3">
              <w:t>30,199.3</w:t>
            </w:r>
          </w:p>
        </w:tc>
      </w:tr>
    </w:tbl>
    <w:p w14:paraId="6C0A5DAD" w14:textId="77777777" w:rsidR="00FA7EBF" w:rsidRPr="00194D78" w:rsidRDefault="00FA7EBF" w:rsidP="00CA66FD">
      <w:pPr>
        <w:pStyle w:val="ARfintablefootnote"/>
        <w:rPr>
          <w:lang w:eastAsia="en-AU"/>
        </w:rPr>
      </w:pPr>
      <w:r w:rsidRPr="00194D78">
        <w:rPr>
          <w:lang w:eastAsia="en-AU"/>
        </w:rPr>
        <w:t>Note:</w:t>
      </w:r>
    </w:p>
    <w:p w14:paraId="64B89A53" w14:textId="77777777" w:rsidR="00FA7EBF" w:rsidRDefault="00FA7EBF" w:rsidP="00CA66FD">
      <w:pPr>
        <w:pStyle w:val="ARfintablefootnoteindent"/>
      </w:pPr>
      <w:r w:rsidRPr="00194D78">
        <w:t>(i)</w:t>
      </w:r>
      <w:r>
        <w:tab/>
      </w:r>
      <w:r w:rsidRPr="00194D78">
        <w:t>Property, plant and equipment are classified primarily by the purpose for which the assets are used, according to one of six purpose groups based upon government purpose classifications. All assets within a purpose group are further subcategorised according to the assets</w:t>
      </w:r>
      <w:r>
        <w:t>’</w:t>
      </w:r>
      <w:r w:rsidRPr="00194D78">
        <w:t xml:space="preserve"> nature (for example buildings, plant and equipment), with each subcategory being classified as a separate class of asset for financial reporting purposes.</w:t>
      </w:r>
    </w:p>
    <w:p w14:paraId="19055253" w14:textId="77777777" w:rsidR="00FA7EBF" w:rsidRPr="00194D78" w:rsidRDefault="00FA7EBF" w:rsidP="00CA66FD">
      <w:pPr>
        <w:pStyle w:val="ARfintablefootnoteindent"/>
      </w:pPr>
    </w:p>
    <w:p w14:paraId="7C33EA67" w14:textId="77777777" w:rsidR="00FA7EBF" w:rsidRDefault="00FA7EBF" w:rsidP="00CA66FD">
      <w:pPr>
        <w:pStyle w:val="Heading5"/>
        <w:rPr>
          <w:lang w:eastAsia="en-AU"/>
        </w:rPr>
        <w:sectPr w:rsidR="00FA7EBF" w:rsidSect="007B207C">
          <w:footerReference w:type="even" r:id="rId191"/>
          <w:endnotePr>
            <w:numFmt w:val="decimal"/>
          </w:endnotePr>
          <w:pgSz w:w="16838" w:h="11906" w:orient="landscape" w:code="9"/>
          <w:pgMar w:top="1418" w:right="1531" w:bottom="1418" w:left="851" w:header="851" w:footer="851" w:gutter="0"/>
          <w:paperSrc w:first="258"/>
          <w:cols w:space="454"/>
          <w:docGrid w:linePitch="326"/>
        </w:sectPr>
      </w:pPr>
    </w:p>
    <w:p w14:paraId="6EB470B8" w14:textId="77777777" w:rsidR="00FA7EBF" w:rsidRDefault="00FA7EBF" w:rsidP="00CA66FD">
      <w:pPr>
        <w:pStyle w:val="Heading5"/>
        <w:spacing w:before="0"/>
        <w:rPr>
          <w:lang w:eastAsia="en-AU"/>
        </w:rPr>
      </w:pPr>
      <w:r w:rsidRPr="00194D78">
        <w:rPr>
          <w:lang w:eastAsia="en-AU"/>
        </w:rPr>
        <w:t>5.1.3 Reconciliation of movements in carrying values of property, plant and equipment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177"/>
        <w:gridCol w:w="1077"/>
        <w:gridCol w:w="1077"/>
        <w:gridCol w:w="1077"/>
        <w:gridCol w:w="1077"/>
        <w:gridCol w:w="1077"/>
        <w:gridCol w:w="1077"/>
      </w:tblGrid>
      <w:tr w:rsidR="00FA7EBF" w:rsidRPr="007939DD" w14:paraId="5B4D892D" w14:textId="77777777" w:rsidTr="007B207C">
        <w:trPr>
          <w:cantSplit/>
          <w:tblHeader/>
        </w:trPr>
        <w:tc>
          <w:tcPr>
            <w:tcW w:w="3177" w:type="dxa"/>
            <w:vAlign w:val="bottom"/>
          </w:tcPr>
          <w:p w14:paraId="1B553410" w14:textId="77777777" w:rsidR="00FA7EBF" w:rsidRPr="007939DD" w:rsidRDefault="00FA7EBF" w:rsidP="007B207C">
            <w:pPr>
              <w:pStyle w:val="ARfintablecolhead"/>
            </w:pPr>
          </w:p>
        </w:tc>
        <w:tc>
          <w:tcPr>
            <w:tcW w:w="1077" w:type="dxa"/>
            <w:vAlign w:val="bottom"/>
          </w:tcPr>
          <w:p w14:paraId="2EBB0EF9" w14:textId="77777777" w:rsidR="00FA7EBF" w:rsidRPr="007939DD" w:rsidRDefault="00FA7EBF" w:rsidP="007B207C">
            <w:pPr>
              <w:pStyle w:val="ARfintablecolheadright"/>
            </w:pPr>
            <w:r w:rsidRPr="007939DD">
              <w:t>Land at fair value</w:t>
            </w:r>
          </w:p>
          <w:p w14:paraId="593A3308" w14:textId="77777777" w:rsidR="00FA7EBF" w:rsidRPr="007939DD" w:rsidRDefault="00FA7EBF" w:rsidP="007B207C">
            <w:pPr>
              <w:pStyle w:val="ARfintablecolheadright"/>
            </w:pPr>
            <w:r w:rsidRPr="007939DD">
              <w:t>$M</w:t>
            </w:r>
          </w:p>
        </w:tc>
        <w:tc>
          <w:tcPr>
            <w:tcW w:w="1077" w:type="dxa"/>
            <w:vAlign w:val="bottom"/>
          </w:tcPr>
          <w:p w14:paraId="28C4AC2C" w14:textId="77777777" w:rsidR="00FA7EBF" w:rsidRPr="007939DD" w:rsidRDefault="00FA7EBF" w:rsidP="007B207C">
            <w:pPr>
              <w:pStyle w:val="ARfintablecolheadright"/>
            </w:pPr>
            <w:r w:rsidRPr="007939DD">
              <w:t>Buildings at fair value</w:t>
            </w:r>
          </w:p>
          <w:p w14:paraId="1C0DEDE7" w14:textId="77777777" w:rsidR="00FA7EBF" w:rsidRPr="007939DD" w:rsidRDefault="00FA7EBF" w:rsidP="007B207C">
            <w:pPr>
              <w:pStyle w:val="ARfintablecolheadright"/>
            </w:pPr>
            <w:r w:rsidRPr="007939DD">
              <w:t>$M</w:t>
            </w:r>
          </w:p>
        </w:tc>
        <w:tc>
          <w:tcPr>
            <w:tcW w:w="1077" w:type="dxa"/>
            <w:vAlign w:val="bottom"/>
          </w:tcPr>
          <w:p w14:paraId="5D6C6932" w14:textId="77777777" w:rsidR="00FA7EBF" w:rsidRPr="007939DD" w:rsidRDefault="00FA7EBF" w:rsidP="007B207C">
            <w:pPr>
              <w:pStyle w:val="ARfintablecolheadright"/>
            </w:pPr>
            <w:r w:rsidRPr="007939DD">
              <w:t>Plant, equipment and vehicles at fair value</w:t>
            </w:r>
          </w:p>
          <w:p w14:paraId="230C786F" w14:textId="77777777" w:rsidR="00FA7EBF" w:rsidRPr="007939DD" w:rsidRDefault="00FA7EBF" w:rsidP="007B207C">
            <w:pPr>
              <w:pStyle w:val="ARfintablecolheadright"/>
            </w:pPr>
            <w:r w:rsidRPr="007939DD">
              <w:t>$M</w:t>
            </w:r>
          </w:p>
        </w:tc>
        <w:tc>
          <w:tcPr>
            <w:tcW w:w="1077" w:type="dxa"/>
            <w:vAlign w:val="bottom"/>
          </w:tcPr>
          <w:p w14:paraId="307508ED" w14:textId="77777777" w:rsidR="00FA7EBF" w:rsidRDefault="00FA7EBF" w:rsidP="007B207C">
            <w:pPr>
              <w:pStyle w:val="ARfintablecolheadright"/>
            </w:pPr>
            <w:r>
              <w:t>Motor vehicles under finance lease</w:t>
            </w:r>
          </w:p>
          <w:p w14:paraId="14E43455" w14:textId="77777777" w:rsidR="00FA7EBF" w:rsidRPr="007939DD" w:rsidRDefault="00FA7EBF" w:rsidP="007B207C">
            <w:pPr>
              <w:pStyle w:val="ARfintablecolheadright"/>
            </w:pPr>
            <w:r>
              <w:t>$M</w:t>
            </w:r>
          </w:p>
        </w:tc>
        <w:tc>
          <w:tcPr>
            <w:tcW w:w="1077" w:type="dxa"/>
            <w:vAlign w:val="bottom"/>
          </w:tcPr>
          <w:p w14:paraId="11B85841" w14:textId="77777777" w:rsidR="00FA7EBF" w:rsidRPr="007939DD" w:rsidRDefault="00FA7EBF" w:rsidP="007B207C">
            <w:pPr>
              <w:pStyle w:val="ARfintablecolheadright"/>
            </w:pPr>
            <w:r w:rsidRPr="007939DD">
              <w:t>Assets under construc</w:t>
            </w:r>
            <w:r>
              <w:t>-</w:t>
            </w:r>
            <w:r w:rsidRPr="007939DD">
              <w:t>tion at cost</w:t>
            </w:r>
          </w:p>
          <w:p w14:paraId="681E7201" w14:textId="77777777" w:rsidR="00FA7EBF" w:rsidRPr="007939DD" w:rsidRDefault="00FA7EBF" w:rsidP="007B207C">
            <w:pPr>
              <w:pStyle w:val="ARfintablecolheadright"/>
            </w:pPr>
            <w:r w:rsidRPr="007939DD">
              <w:t>$M</w:t>
            </w:r>
          </w:p>
        </w:tc>
        <w:tc>
          <w:tcPr>
            <w:tcW w:w="1077" w:type="dxa"/>
            <w:vAlign w:val="bottom"/>
          </w:tcPr>
          <w:p w14:paraId="730879A2" w14:textId="77777777" w:rsidR="00FA7EBF" w:rsidRPr="007939DD" w:rsidRDefault="00FA7EBF" w:rsidP="007B207C">
            <w:pPr>
              <w:pStyle w:val="ARfintablecolheadright"/>
            </w:pPr>
            <w:r w:rsidRPr="007939DD">
              <w:t>Total</w:t>
            </w:r>
          </w:p>
          <w:p w14:paraId="272F43EC" w14:textId="77777777" w:rsidR="00FA7EBF" w:rsidRPr="007939DD" w:rsidRDefault="00FA7EBF" w:rsidP="007B207C">
            <w:pPr>
              <w:pStyle w:val="ARfintablecolheadright"/>
            </w:pPr>
            <w:r w:rsidRPr="007939DD">
              <w:t>$M</w:t>
            </w:r>
          </w:p>
        </w:tc>
      </w:tr>
      <w:tr w:rsidR="00FA7EBF" w:rsidRPr="007939DD" w14:paraId="429C03AE" w14:textId="77777777" w:rsidTr="007B207C">
        <w:trPr>
          <w:cantSplit/>
        </w:trPr>
        <w:tc>
          <w:tcPr>
            <w:tcW w:w="3177" w:type="dxa"/>
            <w:tcBorders>
              <w:bottom w:val="single" w:sz="4" w:space="0" w:color="A6A6A6" w:themeColor="background1" w:themeShade="A6"/>
            </w:tcBorders>
          </w:tcPr>
          <w:p w14:paraId="48947863" w14:textId="77777777" w:rsidR="00FA7EBF" w:rsidRPr="007939DD" w:rsidRDefault="00FA7EBF" w:rsidP="007B207C">
            <w:pPr>
              <w:pStyle w:val="ARfintablebodybold"/>
              <w:rPr>
                <w:rStyle w:val="Strong"/>
              </w:rPr>
            </w:pPr>
            <w:r w:rsidRPr="00B40C4D">
              <w:t>Balance at 1 July 2017</w:t>
            </w:r>
          </w:p>
        </w:tc>
        <w:tc>
          <w:tcPr>
            <w:tcW w:w="1077" w:type="dxa"/>
            <w:tcBorders>
              <w:bottom w:val="single" w:sz="4" w:space="0" w:color="A6A6A6" w:themeColor="background1" w:themeShade="A6"/>
            </w:tcBorders>
          </w:tcPr>
          <w:p w14:paraId="02DB3D2B" w14:textId="77777777" w:rsidR="00FA7EBF" w:rsidRPr="007939DD" w:rsidRDefault="00FA7EBF" w:rsidP="007B207C">
            <w:pPr>
              <w:pStyle w:val="ARfintablebodyrightbold"/>
              <w:rPr>
                <w:lang w:eastAsia="en-AU"/>
              </w:rPr>
            </w:pPr>
            <w:r w:rsidRPr="00B40C4D">
              <w:t>16,839.6</w:t>
            </w:r>
          </w:p>
        </w:tc>
        <w:tc>
          <w:tcPr>
            <w:tcW w:w="1077" w:type="dxa"/>
            <w:tcBorders>
              <w:bottom w:val="single" w:sz="4" w:space="0" w:color="A6A6A6" w:themeColor="background1" w:themeShade="A6"/>
            </w:tcBorders>
          </w:tcPr>
          <w:p w14:paraId="2FC64DE0" w14:textId="77777777" w:rsidR="00FA7EBF" w:rsidRPr="007939DD" w:rsidRDefault="00FA7EBF" w:rsidP="007B207C">
            <w:pPr>
              <w:pStyle w:val="ARfintablebodyrightbold"/>
              <w:rPr>
                <w:lang w:eastAsia="en-AU"/>
              </w:rPr>
            </w:pPr>
            <w:r w:rsidRPr="00B40C4D">
              <w:t>9,045.2</w:t>
            </w:r>
          </w:p>
        </w:tc>
        <w:tc>
          <w:tcPr>
            <w:tcW w:w="1077" w:type="dxa"/>
            <w:tcBorders>
              <w:bottom w:val="single" w:sz="4" w:space="0" w:color="A6A6A6" w:themeColor="background1" w:themeShade="A6"/>
            </w:tcBorders>
          </w:tcPr>
          <w:p w14:paraId="65A64724" w14:textId="77777777" w:rsidR="00FA7EBF" w:rsidRPr="007939DD" w:rsidRDefault="00FA7EBF" w:rsidP="007B207C">
            <w:pPr>
              <w:pStyle w:val="ARfintablebodyrightbold"/>
              <w:rPr>
                <w:lang w:eastAsia="en-AU"/>
              </w:rPr>
            </w:pPr>
            <w:r>
              <w:t>14.4</w:t>
            </w:r>
          </w:p>
        </w:tc>
        <w:tc>
          <w:tcPr>
            <w:tcW w:w="1077" w:type="dxa"/>
            <w:tcBorders>
              <w:bottom w:val="single" w:sz="4" w:space="0" w:color="A6A6A6" w:themeColor="background1" w:themeShade="A6"/>
            </w:tcBorders>
          </w:tcPr>
          <w:p w14:paraId="37042CD6" w14:textId="77777777" w:rsidR="00FA7EBF" w:rsidRPr="006E4233" w:rsidRDefault="00FA7EBF" w:rsidP="007B207C">
            <w:pPr>
              <w:pStyle w:val="ARfintablebodyrightbold"/>
            </w:pPr>
            <w:r w:rsidRPr="00B40C4D">
              <w:t>43.6</w:t>
            </w:r>
          </w:p>
        </w:tc>
        <w:tc>
          <w:tcPr>
            <w:tcW w:w="1077" w:type="dxa"/>
            <w:tcBorders>
              <w:bottom w:val="single" w:sz="4" w:space="0" w:color="A6A6A6" w:themeColor="background1" w:themeShade="A6"/>
            </w:tcBorders>
          </w:tcPr>
          <w:p w14:paraId="3638D1C7" w14:textId="77777777" w:rsidR="00FA7EBF" w:rsidRPr="007939DD" w:rsidRDefault="00FA7EBF" w:rsidP="007B207C">
            <w:pPr>
              <w:pStyle w:val="ARfintablebodyrightbold"/>
              <w:rPr>
                <w:lang w:eastAsia="en-AU"/>
              </w:rPr>
            </w:pPr>
            <w:r w:rsidRPr="00B40C4D">
              <w:t>195.9</w:t>
            </w:r>
          </w:p>
        </w:tc>
        <w:tc>
          <w:tcPr>
            <w:tcW w:w="1077" w:type="dxa"/>
            <w:tcBorders>
              <w:bottom w:val="single" w:sz="4" w:space="0" w:color="A6A6A6" w:themeColor="background1" w:themeShade="A6"/>
            </w:tcBorders>
          </w:tcPr>
          <w:p w14:paraId="3CD4966F" w14:textId="77777777" w:rsidR="00FA7EBF" w:rsidRPr="007939DD" w:rsidRDefault="00FA7EBF" w:rsidP="007B207C">
            <w:pPr>
              <w:pStyle w:val="ARfintablebodyrightbold"/>
              <w:rPr>
                <w:rStyle w:val="Strong"/>
              </w:rPr>
            </w:pPr>
            <w:r w:rsidRPr="00B40C4D">
              <w:t>26,138.7</w:t>
            </w:r>
          </w:p>
        </w:tc>
      </w:tr>
      <w:tr w:rsidR="00FA7EBF" w:rsidRPr="007939DD" w14:paraId="18876089" w14:textId="77777777" w:rsidTr="007B207C">
        <w:trPr>
          <w:cantSplit/>
        </w:trPr>
        <w:tc>
          <w:tcPr>
            <w:tcW w:w="3177" w:type="dxa"/>
            <w:tcBorders>
              <w:top w:val="single" w:sz="4" w:space="0" w:color="A6A6A6" w:themeColor="background1" w:themeShade="A6"/>
              <w:bottom w:val="single" w:sz="4" w:space="0" w:color="A6A6A6" w:themeColor="background1" w:themeShade="A6"/>
            </w:tcBorders>
          </w:tcPr>
          <w:p w14:paraId="7645FE81" w14:textId="77777777" w:rsidR="00FA7EBF" w:rsidRPr="007939DD" w:rsidRDefault="00FA7EBF" w:rsidP="007B207C">
            <w:pPr>
              <w:pStyle w:val="ARfintablebody"/>
              <w:rPr>
                <w:lang w:eastAsia="en-AU"/>
              </w:rPr>
            </w:pPr>
            <w:r w:rsidRPr="00B40C4D">
              <w:t>Capital contributed from asset transfers</w:t>
            </w:r>
          </w:p>
        </w:tc>
        <w:tc>
          <w:tcPr>
            <w:tcW w:w="1077" w:type="dxa"/>
            <w:tcBorders>
              <w:top w:val="single" w:sz="4" w:space="0" w:color="A6A6A6" w:themeColor="background1" w:themeShade="A6"/>
              <w:bottom w:val="single" w:sz="4" w:space="0" w:color="A6A6A6" w:themeColor="background1" w:themeShade="A6"/>
            </w:tcBorders>
          </w:tcPr>
          <w:p w14:paraId="764181F6"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4A23B82C"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575D48EC"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30C376E1"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55B453DA"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0201C24B" w14:textId="77777777" w:rsidR="00FA7EBF" w:rsidRPr="007939DD" w:rsidRDefault="00FA7EBF" w:rsidP="007B207C">
            <w:pPr>
              <w:pStyle w:val="ARfintablebodyright"/>
              <w:rPr>
                <w:lang w:eastAsia="en-AU"/>
              </w:rPr>
            </w:pPr>
            <w:r w:rsidRPr="00B40C4D">
              <w:t>–</w:t>
            </w:r>
          </w:p>
        </w:tc>
      </w:tr>
      <w:tr w:rsidR="00FA7EBF" w:rsidRPr="007939DD" w14:paraId="2F2F9EF5" w14:textId="77777777" w:rsidTr="007B207C">
        <w:trPr>
          <w:cantSplit/>
        </w:trPr>
        <w:tc>
          <w:tcPr>
            <w:tcW w:w="3177" w:type="dxa"/>
            <w:tcBorders>
              <w:top w:val="single" w:sz="4" w:space="0" w:color="A6A6A6" w:themeColor="background1" w:themeShade="A6"/>
              <w:bottom w:val="single" w:sz="4" w:space="0" w:color="A6A6A6" w:themeColor="background1" w:themeShade="A6"/>
            </w:tcBorders>
          </w:tcPr>
          <w:p w14:paraId="1C8F1E79" w14:textId="77777777" w:rsidR="00FA7EBF" w:rsidRPr="007939DD" w:rsidRDefault="00FA7EBF" w:rsidP="007B207C">
            <w:pPr>
              <w:pStyle w:val="ARfintablebody"/>
              <w:rPr>
                <w:lang w:eastAsia="en-AU"/>
              </w:rPr>
            </w:pPr>
            <w:r w:rsidRPr="00B40C4D">
              <w:t xml:space="preserve">Machinery of </w:t>
            </w:r>
            <w:r>
              <w:t>g</w:t>
            </w:r>
            <w:r w:rsidRPr="00B40C4D">
              <w:t>overnment transfer in/(out)</w:t>
            </w:r>
          </w:p>
        </w:tc>
        <w:tc>
          <w:tcPr>
            <w:tcW w:w="1077" w:type="dxa"/>
            <w:tcBorders>
              <w:top w:val="single" w:sz="4" w:space="0" w:color="A6A6A6" w:themeColor="background1" w:themeShade="A6"/>
              <w:bottom w:val="single" w:sz="4" w:space="0" w:color="A6A6A6" w:themeColor="background1" w:themeShade="A6"/>
            </w:tcBorders>
          </w:tcPr>
          <w:p w14:paraId="3990C300" w14:textId="77777777" w:rsidR="00FA7EBF" w:rsidRPr="007939DD" w:rsidRDefault="00FA7EBF" w:rsidP="007B207C">
            <w:pPr>
              <w:pStyle w:val="ARfintablebodyright"/>
              <w:rPr>
                <w:lang w:eastAsia="en-AU"/>
              </w:rPr>
            </w:pPr>
            <w:r w:rsidRPr="00B40C4D">
              <w:t>(0.7)</w:t>
            </w:r>
          </w:p>
        </w:tc>
        <w:tc>
          <w:tcPr>
            <w:tcW w:w="1077" w:type="dxa"/>
            <w:tcBorders>
              <w:top w:val="single" w:sz="4" w:space="0" w:color="A6A6A6" w:themeColor="background1" w:themeShade="A6"/>
              <w:bottom w:val="single" w:sz="4" w:space="0" w:color="A6A6A6" w:themeColor="background1" w:themeShade="A6"/>
            </w:tcBorders>
          </w:tcPr>
          <w:p w14:paraId="0195B5F0" w14:textId="77777777" w:rsidR="00FA7EBF" w:rsidRPr="007939DD" w:rsidRDefault="00FA7EBF" w:rsidP="007B207C">
            <w:pPr>
              <w:pStyle w:val="ARfintablebodyright"/>
              <w:rPr>
                <w:lang w:eastAsia="en-AU"/>
              </w:rPr>
            </w:pPr>
            <w:r w:rsidRPr="00B40C4D">
              <w:t>(0.4)</w:t>
            </w:r>
          </w:p>
        </w:tc>
        <w:tc>
          <w:tcPr>
            <w:tcW w:w="1077" w:type="dxa"/>
            <w:tcBorders>
              <w:top w:val="single" w:sz="4" w:space="0" w:color="A6A6A6" w:themeColor="background1" w:themeShade="A6"/>
              <w:bottom w:val="single" w:sz="4" w:space="0" w:color="A6A6A6" w:themeColor="background1" w:themeShade="A6"/>
            </w:tcBorders>
          </w:tcPr>
          <w:p w14:paraId="677170FB" w14:textId="77777777" w:rsidR="00FA7EBF" w:rsidRPr="007939DD" w:rsidRDefault="00FA7EBF" w:rsidP="007B207C">
            <w:pPr>
              <w:pStyle w:val="ARfintablebodyright"/>
              <w:rPr>
                <w:lang w:eastAsia="en-AU"/>
              </w:rPr>
            </w:pPr>
            <w:r>
              <w:t>(0.3)</w:t>
            </w:r>
          </w:p>
        </w:tc>
        <w:tc>
          <w:tcPr>
            <w:tcW w:w="1077" w:type="dxa"/>
            <w:tcBorders>
              <w:top w:val="single" w:sz="4" w:space="0" w:color="A6A6A6" w:themeColor="background1" w:themeShade="A6"/>
              <w:bottom w:val="single" w:sz="4" w:space="0" w:color="A6A6A6" w:themeColor="background1" w:themeShade="A6"/>
            </w:tcBorders>
          </w:tcPr>
          <w:p w14:paraId="06084141" w14:textId="77777777" w:rsidR="00FA7EBF" w:rsidRPr="007939DD" w:rsidRDefault="00FA7EBF" w:rsidP="007B207C">
            <w:pPr>
              <w:pStyle w:val="ARfintablebodyright"/>
              <w:rPr>
                <w:lang w:eastAsia="en-AU"/>
              </w:rPr>
            </w:pPr>
            <w:r w:rsidRPr="00B40C4D">
              <w:t>0.1</w:t>
            </w:r>
          </w:p>
        </w:tc>
        <w:tc>
          <w:tcPr>
            <w:tcW w:w="1077" w:type="dxa"/>
            <w:tcBorders>
              <w:top w:val="single" w:sz="4" w:space="0" w:color="A6A6A6" w:themeColor="background1" w:themeShade="A6"/>
              <w:bottom w:val="single" w:sz="4" w:space="0" w:color="A6A6A6" w:themeColor="background1" w:themeShade="A6"/>
            </w:tcBorders>
          </w:tcPr>
          <w:p w14:paraId="05BC010E"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18813088" w14:textId="77777777" w:rsidR="00FA7EBF" w:rsidRPr="007939DD" w:rsidRDefault="00FA7EBF" w:rsidP="007B207C">
            <w:pPr>
              <w:pStyle w:val="ARfintablebodyright"/>
              <w:rPr>
                <w:lang w:eastAsia="en-AU"/>
              </w:rPr>
            </w:pPr>
            <w:r>
              <w:t>(1.3)</w:t>
            </w:r>
          </w:p>
        </w:tc>
      </w:tr>
      <w:tr w:rsidR="00FA7EBF" w:rsidRPr="007939DD" w14:paraId="6532B867" w14:textId="77777777" w:rsidTr="007B207C">
        <w:trPr>
          <w:cantSplit/>
        </w:trPr>
        <w:tc>
          <w:tcPr>
            <w:tcW w:w="3177" w:type="dxa"/>
            <w:tcBorders>
              <w:top w:val="single" w:sz="4" w:space="0" w:color="A6A6A6" w:themeColor="background1" w:themeShade="A6"/>
              <w:bottom w:val="single" w:sz="4" w:space="0" w:color="A6A6A6" w:themeColor="background1" w:themeShade="A6"/>
            </w:tcBorders>
          </w:tcPr>
          <w:p w14:paraId="50F1F6C4" w14:textId="77777777" w:rsidR="00FA7EBF" w:rsidRPr="007939DD" w:rsidRDefault="00FA7EBF" w:rsidP="007B207C">
            <w:pPr>
              <w:pStyle w:val="ARfintablebody"/>
              <w:rPr>
                <w:lang w:eastAsia="en-AU"/>
              </w:rPr>
            </w:pPr>
            <w:r w:rsidRPr="00B40C4D">
              <w:t>Additions</w:t>
            </w:r>
          </w:p>
        </w:tc>
        <w:tc>
          <w:tcPr>
            <w:tcW w:w="1077" w:type="dxa"/>
            <w:tcBorders>
              <w:top w:val="single" w:sz="4" w:space="0" w:color="A6A6A6" w:themeColor="background1" w:themeShade="A6"/>
              <w:bottom w:val="single" w:sz="4" w:space="0" w:color="A6A6A6" w:themeColor="background1" w:themeShade="A6"/>
            </w:tcBorders>
          </w:tcPr>
          <w:p w14:paraId="6D94AE44"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7BEE6A93" w14:textId="77777777" w:rsidR="00FA7EBF" w:rsidRPr="007939DD" w:rsidRDefault="00FA7EBF" w:rsidP="007B207C">
            <w:pPr>
              <w:pStyle w:val="ARfintablebodyright"/>
              <w:rPr>
                <w:lang w:eastAsia="en-AU"/>
              </w:rPr>
            </w:pPr>
            <w:r w:rsidRPr="00B40C4D">
              <w:t>6.3</w:t>
            </w:r>
          </w:p>
        </w:tc>
        <w:tc>
          <w:tcPr>
            <w:tcW w:w="1077" w:type="dxa"/>
            <w:tcBorders>
              <w:top w:val="single" w:sz="4" w:space="0" w:color="A6A6A6" w:themeColor="background1" w:themeShade="A6"/>
              <w:bottom w:val="single" w:sz="4" w:space="0" w:color="A6A6A6" w:themeColor="background1" w:themeShade="A6"/>
            </w:tcBorders>
          </w:tcPr>
          <w:p w14:paraId="047B7D9F" w14:textId="77777777" w:rsidR="00FA7EBF" w:rsidRPr="007939DD" w:rsidRDefault="00FA7EBF" w:rsidP="007B207C">
            <w:pPr>
              <w:pStyle w:val="ARfintablebodyright"/>
              <w:rPr>
                <w:lang w:eastAsia="en-AU"/>
              </w:rPr>
            </w:pPr>
            <w:r>
              <w:t>5.5</w:t>
            </w:r>
          </w:p>
        </w:tc>
        <w:tc>
          <w:tcPr>
            <w:tcW w:w="1077" w:type="dxa"/>
            <w:tcBorders>
              <w:top w:val="single" w:sz="4" w:space="0" w:color="A6A6A6" w:themeColor="background1" w:themeShade="A6"/>
              <w:bottom w:val="single" w:sz="4" w:space="0" w:color="A6A6A6" w:themeColor="background1" w:themeShade="A6"/>
            </w:tcBorders>
          </w:tcPr>
          <w:p w14:paraId="108EE5C0" w14:textId="77777777" w:rsidR="00FA7EBF" w:rsidRPr="007939DD" w:rsidRDefault="00FA7EBF" w:rsidP="007B207C">
            <w:pPr>
              <w:pStyle w:val="ARfintablebodyright"/>
              <w:rPr>
                <w:lang w:eastAsia="en-AU"/>
              </w:rPr>
            </w:pPr>
            <w:r w:rsidRPr="00B40C4D">
              <w:t>28.9</w:t>
            </w:r>
          </w:p>
        </w:tc>
        <w:tc>
          <w:tcPr>
            <w:tcW w:w="1077" w:type="dxa"/>
            <w:tcBorders>
              <w:top w:val="single" w:sz="4" w:space="0" w:color="A6A6A6" w:themeColor="background1" w:themeShade="A6"/>
              <w:bottom w:val="single" w:sz="4" w:space="0" w:color="A6A6A6" w:themeColor="background1" w:themeShade="A6"/>
            </w:tcBorders>
          </w:tcPr>
          <w:p w14:paraId="5510B7F0" w14:textId="77777777" w:rsidR="00FA7EBF" w:rsidRPr="007939DD" w:rsidRDefault="00FA7EBF" w:rsidP="007B207C">
            <w:pPr>
              <w:pStyle w:val="ARfintablebodyright"/>
              <w:rPr>
                <w:lang w:eastAsia="en-AU"/>
              </w:rPr>
            </w:pPr>
            <w:r w:rsidRPr="00B40C4D">
              <w:t>425.8</w:t>
            </w:r>
          </w:p>
        </w:tc>
        <w:tc>
          <w:tcPr>
            <w:tcW w:w="1077" w:type="dxa"/>
            <w:tcBorders>
              <w:top w:val="single" w:sz="4" w:space="0" w:color="A6A6A6" w:themeColor="background1" w:themeShade="A6"/>
              <w:bottom w:val="single" w:sz="4" w:space="0" w:color="A6A6A6" w:themeColor="background1" w:themeShade="A6"/>
            </w:tcBorders>
          </w:tcPr>
          <w:p w14:paraId="7D6D4D12" w14:textId="77777777" w:rsidR="00FA7EBF" w:rsidRPr="007939DD" w:rsidRDefault="00FA7EBF" w:rsidP="007B207C">
            <w:pPr>
              <w:pStyle w:val="ARfintablebodyright"/>
              <w:rPr>
                <w:lang w:eastAsia="en-AU"/>
              </w:rPr>
            </w:pPr>
            <w:r>
              <w:t>466.5</w:t>
            </w:r>
          </w:p>
        </w:tc>
      </w:tr>
      <w:tr w:rsidR="00FA7EBF" w:rsidRPr="007939DD" w14:paraId="2032CAC0" w14:textId="77777777" w:rsidTr="007B207C">
        <w:trPr>
          <w:cantSplit/>
        </w:trPr>
        <w:tc>
          <w:tcPr>
            <w:tcW w:w="3177" w:type="dxa"/>
            <w:tcBorders>
              <w:top w:val="single" w:sz="4" w:space="0" w:color="A6A6A6" w:themeColor="background1" w:themeShade="A6"/>
              <w:bottom w:val="single" w:sz="4" w:space="0" w:color="A6A6A6" w:themeColor="background1" w:themeShade="A6"/>
            </w:tcBorders>
          </w:tcPr>
          <w:p w14:paraId="65D933D6" w14:textId="77777777" w:rsidR="00FA7EBF" w:rsidRPr="007939DD" w:rsidRDefault="00FA7EBF" w:rsidP="007B207C">
            <w:pPr>
              <w:pStyle w:val="ARfintablebody"/>
              <w:rPr>
                <w:lang w:eastAsia="en-AU"/>
              </w:rPr>
            </w:pPr>
            <w:r w:rsidRPr="00B40C4D">
              <w:t>Disposals</w:t>
            </w:r>
          </w:p>
        </w:tc>
        <w:tc>
          <w:tcPr>
            <w:tcW w:w="1077" w:type="dxa"/>
            <w:tcBorders>
              <w:top w:val="single" w:sz="4" w:space="0" w:color="A6A6A6" w:themeColor="background1" w:themeShade="A6"/>
              <w:bottom w:val="single" w:sz="4" w:space="0" w:color="A6A6A6" w:themeColor="background1" w:themeShade="A6"/>
            </w:tcBorders>
          </w:tcPr>
          <w:p w14:paraId="58A69293" w14:textId="77777777" w:rsidR="00FA7EBF" w:rsidRPr="007939DD" w:rsidRDefault="00FA7EBF" w:rsidP="007B207C">
            <w:pPr>
              <w:pStyle w:val="ARfintablebodyright"/>
              <w:rPr>
                <w:lang w:eastAsia="en-AU"/>
              </w:rPr>
            </w:pPr>
            <w:r w:rsidRPr="00B40C4D">
              <w:t>(23.0)</w:t>
            </w:r>
          </w:p>
        </w:tc>
        <w:tc>
          <w:tcPr>
            <w:tcW w:w="1077" w:type="dxa"/>
            <w:tcBorders>
              <w:top w:val="single" w:sz="4" w:space="0" w:color="A6A6A6" w:themeColor="background1" w:themeShade="A6"/>
              <w:bottom w:val="single" w:sz="4" w:space="0" w:color="A6A6A6" w:themeColor="background1" w:themeShade="A6"/>
            </w:tcBorders>
          </w:tcPr>
          <w:p w14:paraId="0951F895" w14:textId="77777777" w:rsidR="00FA7EBF" w:rsidRPr="007939DD" w:rsidRDefault="00FA7EBF" w:rsidP="007B207C">
            <w:pPr>
              <w:pStyle w:val="ARfintablebodyright"/>
              <w:rPr>
                <w:lang w:eastAsia="en-AU"/>
              </w:rPr>
            </w:pPr>
            <w:r w:rsidRPr="00B40C4D">
              <w:t>(37.4)</w:t>
            </w:r>
          </w:p>
        </w:tc>
        <w:tc>
          <w:tcPr>
            <w:tcW w:w="1077" w:type="dxa"/>
            <w:tcBorders>
              <w:top w:val="single" w:sz="4" w:space="0" w:color="A6A6A6" w:themeColor="background1" w:themeShade="A6"/>
              <w:bottom w:val="single" w:sz="4" w:space="0" w:color="A6A6A6" w:themeColor="background1" w:themeShade="A6"/>
            </w:tcBorders>
          </w:tcPr>
          <w:p w14:paraId="28BA242D" w14:textId="77777777" w:rsidR="00FA7EBF" w:rsidRPr="007939DD" w:rsidRDefault="00FA7EBF" w:rsidP="007B207C">
            <w:pPr>
              <w:pStyle w:val="ARfintablebodyright"/>
              <w:rPr>
                <w:lang w:eastAsia="en-AU"/>
              </w:rPr>
            </w:pPr>
            <w:r w:rsidRPr="00B40C4D">
              <w:t xml:space="preserve"> –</w:t>
            </w:r>
          </w:p>
        </w:tc>
        <w:tc>
          <w:tcPr>
            <w:tcW w:w="1077" w:type="dxa"/>
            <w:tcBorders>
              <w:top w:val="single" w:sz="4" w:space="0" w:color="A6A6A6" w:themeColor="background1" w:themeShade="A6"/>
              <w:bottom w:val="single" w:sz="4" w:space="0" w:color="A6A6A6" w:themeColor="background1" w:themeShade="A6"/>
            </w:tcBorders>
          </w:tcPr>
          <w:p w14:paraId="080AA718" w14:textId="77777777" w:rsidR="00FA7EBF" w:rsidRPr="007939DD" w:rsidRDefault="00FA7EBF" w:rsidP="007B207C">
            <w:pPr>
              <w:pStyle w:val="ARfintablebodyright"/>
              <w:rPr>
                <w:lang w:eastAsia="en-AU"/>
              </w:rPr>
            </w:pPr>
            <w:r w:rsidRPr="00B40C4D">
              <w:t>(8.7)</w:t>
            </w:r>
          </w:p>
        </w:tc>
        <w:tc>
          <w:tcPr>
            <w:tcW w:w="1077" w:type="dxa"/>
            <w:tcBorders>
              <w:top w:val="single" w:sz="4" w:space="0" w:color="A6A6A6" w:themeColor="background1" w:themeShade="A6"/>
              <w:bottom w:val="single" w:sz="4" w:space="0" w:color="A6A6A6" w:themeColor="background1" w:themeShade="A6"/>
            </w:tcBorders>
          </w:tcPr>
          <w:p w14:paraId="1BB907E8"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24710E00" w14:textId="77777777" w:rsidR="00FA7EBF" w:rsidRPr="007939DD" w:rsidRDefault="00FA7EBF" w:rsidP="007B207C">
            <w:pPr>
              <w:pStyle w:val="ARfintablebodyright"/>
              <w:rPr>
                <w:lang w:eastAsia="en-AU"/>
              </w:rPr>
            </w:pPr>
            <w:r>
              <w:t>(69.1)</w:t>
            </w:r>
          </w:p>
        </w:tc>
      </w:tr>
      <w:tr w:rsidR="00FA7EBF" w:rsidRPr="007939DD" w14:paraId="778FACB6" w14:textId="77777777" w:rsidTr="007B207C">
        <w:trPr>
          <w:cantSplit/>
        </w:trPr>
        <w:tc>
          <w:tcPr>
            <w:tcW w:w="3177" w:type="dxa"/>
            <w:tcBorders>
              <w:top w:val="single" w:sz="4" w:space="0" w:color="A6A6A6" w:themeColor="background1" w:themeShade="A6"/>
              <w:bottom w:val="single" w:sz="4" w:space="0" w:color="A6A6A6" w:themeColor="background1" w:themeShade="A6"/>
            </w:tcBorders>
          </w:tcPr>
          <w:p w14:paraId="5798FCCB" w14:textId="77777777" w:rsidR="00FA7EBF" w:rsidRPr="007939DD" w:rsidRDefault="00FA7EBF" w:rsidP="007B207C">
            <w:pPr>
              <w:pStyle w:val="ARfintablebody"/>
              <w:rPr>
                <w:lang w:eastAsia="en-AU"/>
              </w:rPr>
            </w:pPr>
            <w:r w:rsidRPr="00B40C4D">
              <w:t>Net revaluation increments/(decrements)</w:t>
            </w:r>
          </w:p>
        </w:tc>
        <w:tc>
          <w:tcPr>
            <w:tcW w:w="1077" w:type="dxa"/>
            <w:tcBorders>
              <w:top w:val="single" w:sz="4" w:space="0" w:color="A6A6A6" w:themeColor="background1" w:themeShade="A6"/>
              <w:bottom w:val="single" w:sz="4" w:space="0" w:color="A6A6A6" w:themeColor="background1" w:themeShade="A6"/>
            </w:tcBorders>
          </w:tcPr>
          <w:p w14:paraId="2326D7CE" w14:textId="77777777" w:rsidR="00FA7EBF" w:rsidRPr="007939DD" w:rsidRDefault="00FA7EBF" w:rsidP="007B207C">
            <w:pPr>
              <w:pStyle w:val="ARfintablebodyright"/>
              <w:rPr>
                <w:lang w:eastAsia="en-AU"/>
              </w:rPr>
            </w:pPr>
            <w:r w:rsidRPr="00B40C4D">
              <w:t>4,063.7</w:t>
            </w:r>
          </w:p>
        </w:tc>
        <w:tc>
          <w:tcPr>
            <w:tcW w:w="1077" w:type="dxa"/>
            <w:tcBorders>
              <w:top w:val="single" w:sz="4" w:space="0" w:color="A6A6A6" w:themeColor="background1" w:themeShade="A6"/>
              <w:bottom w:val="single" w:sz="4" w:space="0" w:color="A6A6A6" w:themeColor="background1" w:themeShade="A6"/>
            </w:tcBorders>
          </w:tcPr>
          <w:p w14:paraId="2431CE6F" w14:textId="77777777" w:rsidR="00FA7EBF" w:rsidRPr="007939DD" w:rsidRDefault="00FA7EBF" w:rsidP="007B207C">
            <w:pPr>
              <w:pStyle w:val="ARfintablebodyright"/>
              <w:rPr>
                <w:lang w:eastAsia="en-AU"/>
              </w:rPr>
            </w:pPr>
            <w:r w:rsidRPr="00B40C4D">
              <w:t>(4.1)</w:t>
            </w:r>
          </w:p>
        </w:tc>
        <w:tc>
          <w:tcPr>
            <w:tcW w:w="1077" w:type="dxa"/>
            <w:tcBorders>
              <w:top w:val="single" w:sz="4" w:space="0" w:color="A6A6A6" w:themeColor="background1" w:themeShade="A6"/>
              <w:bottom w:val="single" w:sz="4" w:space="0" w:color="A6A6A6" w:themeColor="background1" w:themeShade="A6"/>
            </w:tcBorders>
          </w:tcPr>
          <w:p w14:paraId="25C92E93"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320C845C"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253E97CA"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6D51D61B" w14:textId="77777777" w:rsidR="00FA7EBF" w:rsidRPr="007939DD" w:rsidRDefault="00FA7EBF" w:rsidP="007B207C">
            <w:pPr>
              <w:pStyle w:val="ARfintablebodyright"/>
              <w:rPr>
                <w:lang w:eastAsia="en-AU"/>
              </w:rPr>
            </w:pPr>
            <w:r w:rsidRPr="00B40C4D">
              <w:t>4,059.6</w:t>
            </w:r>
          </w:p>
        </w:tc>
      </w:tr>
      <w:tr w:rsidR="00FA7EBF" w:rsidRPr="007939DD" w14:paraId="4F281D84" w14:textId="77777777" w:rsidTr="007B207C">
        <w:trPr>
          <w:cantSplit/>
        </w:trPr>
        <w:tc>
          <w:tcPr>
            <w:tcW w:w="3177" w:type="dxa"/>
            <w:tcBorders>
              <w:top w:val="single" w:sz="4" w:space="0" w:color="A6A6A6" w:themeColor="background1" w:themeShade="A6"/>
              <w:bottom w:val="single" w:sz="4" w:space="0" w:color="A6A6A6" w:themeColor="background1" w:themeShade="A6"/>
            </w:tcBorders>
          </w:tcPr>
          <w:p w14:paraId="5DE1B954" w14:textId="77777777" w:rsidR="00FA7EBF" w:rsidRPr="007939DD" w:rsidRDefault="00FA7EBF" w:rsidP="007B207C">
            <w:pPr>
              <w:pStyle w:val="ARfintablebody"/>
              <w:rPr>
                <w:lang w:eastAsia="en-AU"/>
              </w:rPr>
            </w:pPr>
            <w:r w:rsidRPr="00B40C4D">
              <w:t>Depreciation and amortisation</w:t>
            </w:r>
          </w:p>
        </w:tc>
        <w:tc>
          <w:tcPr>
            <w:tcW w:w="1077" w:type="dxa"/>
            <w:tcBorders>
              <w:top w:val="single" w:sz="4" w:space="0" w:color="A6A6A6" w:themeColor="background1" w:themeShade="A6"/>
              <w:bottom w:val="single" w:sz="4" w:space="0" w:color="A6A6A6" w:themeColor="background1" w:themeShade="A6"/>
            </w:tcBorders>
          </w:tcPr>
          <w:p w14:paraId="378FA50E"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1CBBE640" w14:textId="77777777" w:rsidR="00FA7EBF" w:rsidRPr="007939DD" w:rsidRDefault="00FA7EBF" w:rsidP="007B207C">
            <w:pPr>
              <w:pStyle w:val="ARfintablebodyright"/>
              <w:rPr>
                <w:lang w:eastAsia="en-AU"/>
              </w:rPr>
            </w:pPr>
            <w:r w:rsidRPr="00B40C4D">
              <w:t>(227.6)</w:t>
            </w:r>
          </w:p>
        </w:tc>
        <w:tc>
          <w:tcPr>
            <w:tcW w:w="1077" w:type="dxa"/>
            <w:tcBorders>
              <w:top w:val="single" w:sz="4" w:space="0" w:color="A6A6A6" w:themeColor="background1" w:themeShade="A6"/>
              <w:bottom w:val="single" w:sz="4" w:space="0" w:color="A6A6A6" w:themeColor="background1" w:themeShade="A6"/>
            </w:tcBorders>
          </w:tcPr>
          <w:p w14:paraId="6F7CE8C2" w14:textId="77777777" w:rsidR="00FA7EBF" w:rsidRPr="007939DD" w:rsidRDefault="00FA7EBF" w:rsidP="007B207C">
            <w:pPr>
              <w:pStyle w:val="ARfintablebodyright"/>
              <w:rPr>
                <w:lang w:eastAsia="en-AU"/>
              </w:rPr>
            </w:pPr>
            <w:r w:rsidRPr="00B40C4D">
              <w:t xml:space="preserve"> </w:t>
            </w:r>
            <w:r>
              <w:t>(4.9)</w:t>
            </w:r>
          </w:p>
        </w:tc>
        <w:tc>
          <w:tcPr>
            <w:tcW w:w="1077" w:type="dxa"/>
            <w:tcBorders>
              <w:top w:val="single" w:sz="4" w:space="0" w:color="A6A6A6" w:themeColor="background1" w:themeShade="A6"/>
              <w:bottom w:val="single" w:sz="4" w:space="0" w:color="A6A6A6" w:themeColor="background1" w:themeShade="A6"/>
            </w:tcBorders>
          </w:tcPr>
          <w:p w14:paraId="25FA4D91" w14:textId="77777777" w:rsidR="00FA7EBF" w:rsidRPr="007939DD" w:rsidRDefault="00FA7EBF" w:rsidP="007B207C">
            <w:pPr>
              <w:pStyle w:val="ARfintablebodyright"/>
              <w:rPr>
                <w:lang w:eastAsia="en-AU"/>
              </w:rPr>
            </w:pPr>
            <w:r w:rsidRPr="00B40C4D">
              <w:t>(13.5)</w:t>
            </w:r>
          </w:p>
        </w:tc>
        <w:tc>
          <w:tcPr>
            <w:tcW w:w="1077" w:type="dxa"/>
            <w:tcBorders>
              <w:top w:val="single" w:sz="4" w:space="0" w:color="A6A6A6" w:themeColor="background1" w:themeShade="A6"/>
              <w:bottom w:val="single" w:sz="4" w:space="0" w:color="A6A6A6" w:themeColor="background1" w:themeShade="A6"/>
            </w:tcBorders>
          </w:tcPr>
          <w:p w14:paraId="0E7E8D85"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2807D2A0" w14:textId="77777777" w:rsidR="00FA7EBF" w:rsidRPr="007939DD" w:rsidRDefault="00FA7EBF" w:rsidP="007B207C">
            <w:pPr>
              <w:pStyle w:val="ARfintablebodyright"/>
              <w:rPr>
                <w:lang w:eastAsia="en-AU"/>
              </w:rPr>
            </w:pPr>
            <w:r>
              <w:t>(246.0)</w:t>
            </w:r>
          </w:p>
        </w:tc>
      </w:tr>
      <w:tr w:rsidR="00FA7EBF" w:rsidRPr="007939DD" w14:paraId="548BF22E" w14:textId="77777777" w:rsidTr="007B207C">
        <w:trPr>
          <w:cantSplit/>
        </w:trPr>
        <w:tc>
          <w:tcPr>
            <w:tcW w:w="3177" w:type="dxa"/>
            <w:tcBorders>
              <w:top w:val="single" w:sz="4" w:space="0" w:color="A6A6A6" w:themeColor="background1" w:themeShade="A6"/>
              <w:bottom w:val="single" w:sz="4" w:space="0" w:color="A6A6A6" w:themeColor="background1" w:themeShade="A6"/>
            </w:tcBorders>
          </w:tcPr>
          <w:p w14:paraId="51011F2D" w14:textId="77777777" w:rsidR="00FA7EBF" w:rsidRPr="007939DD" w:rsidRDefault="00FA7EBF" w:rsidP="007B207C">
            <w:pPr>
              <w:pStyle w:val="ARfintablebody"/>
              <w:rPr>
                <w:lang w:eastAsia="en-AU"/>
              </w:rPr>
            </w:pPr>
            <w:r w:rsidRPr="00B40C4D">
              <w:t>Fair value of assets received free of charge or for nominal considerations</w:t>
            </w:r>
          </w:p>
        </w:tc>
        <w:tc>
          <w:tcPr>
            <w:tcW w:w="1077" w:type="dxa"/>
            <w:tcBorders>
              <w:top w:val="single" w:sz="4" w:space="0" w:color="A6A6A6" w:themeColor="background1" w:themeShade="A6"/>
              <w:bottom w:val="single" w:sz="4" w:space="0" w:color="A6A6A6" w:themeColor="background1" w:themeShade="A6"/>
            </w:tcBorders>
          </w:tcPr>
          <w:p w14:paraId="3315F377"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6C29E835" w14:textId="77777777" w:rsidR="00FA7EBF" w:rsidRPr="007939DD" w:rsidRDefault="00FA7EBF" w:rsidP="007B207C">
            <w:pPr>
              <w:pStyle w:val="ARfintablebodyright"/>
              <w:rPr>
                <w:lang w:eastAsia="en-AU"/>
              </w:rPr>
            </w:pPr>
            <w:r w:rsidRPr="00B40C4D">
              <w:t>0.2</w:t>
            </w:r>
          </w:p>
        </w:tc>
        <w:tc>
          <w:tcPr>
            <w:tcW w:w="1077" w:type="dxa"/>
            <w:tcBorders>
              <w:top w:val="single" w:sz="4" w:space="0" w:color="A6A6A6" w:themeColor="background1" w:themeShade="A6"/>
              <w:bottom w:val="single" w:sz="4" w:space="0" w:color="A6A6A6" w:themeColor="background1" w:themeShade="A6"/>
            </w:tcBorders>
          </w:tcPr>
          <w:p w14:paraId="1EBE1A23" w14:textId="77777777" w:rsidR="00FA7EBF" w:rsidRPr="007939DD" w:rsidRDefault="00FA7EBF" w:rsidP="007B207C">
            <w:pPr>
              <w:pStyle w:val="ARfintablebodyright"/>
              <w:rPr>
                <w:lang w:eastAsia="en-AU"/>
              </w:rPr>
            </w:pPr>
            <w:r>
              <w:t>1.0</w:t>
            </w:r>
          </w:p>
        </w:tc>
        <w:tc>
          <w:tcPr>
            <w:tcW w:w="1077" w:type="dxa"/>
            <w:tcBorders>
              <w:top w:val="single" w:sz="4" w:space="0" w:color="A6A6A6" w:themeColor="background1" w:themeShade="A6"/>
              <w:bottom w:val="single" w:sz="4" w:space="0" w:color="A6A6A6" w:themeColor="background1" w:themeShade="A6"/>
            </w:tcBorders>
          </w:tcPr>
          <w:p w14:paraId="7DFD854E" w14:textId="77777777" w:rsidR="00FA7EBF" w:rsidRPr="007939DD" w:rsidRDefault="00FA7EBF" w:rsidP="007B207C">
            <w:pPr>
              <w:pStyle w:val="ARfintablebodyright"/>
              <w:rPr>
                <w:lang w:eastAsia="en-AU"/>
              </w:rPr>
            </w:pPr>
            <w:r w:rsidRPr="00B40C4D">
              <w:t>0.1</w:t>
            </w:r>
          </w:p>
        </w:tc>
        <w:tc>
          <w:tcPr>
            <w:tcW w:w="1077" w:type="dxa"/>
            <w:tcBorders>
              <w:top w:val="single" w:sz="4" w:space="0" w:color="A6A6A6" w:themeColor="background1" w:themeShade="A6"/>
              <w:bottom w:val="single" w:sz="4" w:space="0" w:color="A6A6A6" w:themeColor="background1" w:themeShade="A6"/>
            </w:tcBorders>
          </w:tcPr>
          <w:p w14:paraId="01F00451"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6FE23804" w14:textId="77777777" w:rsidR="00FA7EBF" w:rsidRPr="007939DD" w:rsidRDefault="00FA7EBF" w:rsidP="007B207C">
            <w:pPr>
              <w:pStyle w:val="ARfintablebodyright"/>
              <w:rPr>
                <w:lang w:eastAsia="en-AU"/>
              </w:rPr>
            </w:pPr>
            <w:r>
              <w:t>1.3</w:t>
            </w:r>
          </w:p>
        </w:tc>
      </w:tr>
      <w:tr w:rsidR="00FA7EBF" w:rsidRPr="007939DD" w14:paraId="02C1D3FC" w14:textId="77777777" w:rsidTr="007B207C">
        <w:trPr>
          <w:cantSplit/>
        </w:trPr>
        <w:tc>
          <w:tcPr>
            <w:tcW w:w="3177" w:type="dxa"/>
            <w:tcBorders>
              <w:top w:val="single" w:sz="4" w:space="0" w:color="A6A6A6" w:themeColor="background1" w:themeShade="A6"/>
              <w:bottom w:val="single" w:sz="4" w:space="0" w:color="A6A6A6" w:themeColor="background1" w:themeShade="A6"/>
            </w:tcBorders>
          </w:tcPr>
          <w:p w14:paraId="17D6C1E1" w14:textId="77777777" w:rsidR="00FA7EBF" w:rsidRPr="007939DD" w:rsidRDefault="00FA7EBF" w:rsidP="007B207C">
            <w:pPr>
              <w:pStyle w:val="ARfintablebody"/>
              <w:rPr>
                <w:lang w:eastAsia="en-AU"/>
              </w:rPr>
            </w:pPr>
            <w:r w:rsidRPr="00B40C4D">
              <w:t>Fair value of assets provided free of charge or for nominal considerations</w:t>
            </w:r>
          </w:p>
        </w:tc>
        <w:tc>
          <w:tcPr>
            <w:tcW w:w="1077" w:type="dxa"/>
            <w:tcBorders>
              <w:top w:val="single" w:sz="4" w:space="0" w:color="A6A6A6" w:themeColor="background1" w:themeShade="A6"/>
              <w:bottom w:val="single" w:sz="4" w:space="0" w:color="A6A6A6" w:themeColor="background1" w:themeShade="A6"/>
            </w:tcBorders>
          </w:tcPr>
          <w:p w14:paraId="24D88F2F" w14:textId="77777777" w:rsidR="00FA7EBF" w:rsidRPr="007939DD" w:rsidRDefault="00FA7EBF" w:rsidP="007B207C">
            <w:pPr>
              <w:pStyle w:val="ARfintablebodyright"/>
              <w:rPr>
                <w:lang w:eastAsia="en-AU"/>
              </w:rPr>
            </w:pPr>
            <w:r w:rsidRPr="00B40C4D">
              <w:t>(36.6)</w:t>
            </w:r>
          </w:p>
        </w:tc>
        <w:tc>
          <w:tcPr>
            <w:tcW w:w="1077" w:type="dxa"/>
            <w:tcBorders>
              <w:top w:val="single" w:sz="4" w:space="0" w:color="A6A6A6" w:themeColor="background1" w:themeShade="A6"/>
              <w:bottom w:val="single" w:sz="4" w:space="0" w:color="A6A6A6" w:themeColor="background1" w:themeShade="A6"/>
            </w:tcBorders>
          </w:tcPr>
          <w:p w14:paraId="22F9CBA1" w14:textId="77777777" w:rsidR="00FA7EBF" w:rsidRPr="007939DD" w:rsidRDefault="00FA7EBF" w:rsidP="007B207C">
            <w:pPr>
              <w:pStyle w:val="ARfintablebodyright"/>
              <w:rPr>
                <w:lang w:eastAsia="en-AU"/>
              </w:rPr>
            </w:pPr>
            <w:r w:rsidRPr="00B40C4D">
              <w:t>(55.8)</w:t>
            </w:r>
          </w:p>
        </w:tc>
        <w:tc>
          <w:tcPr>
            <w:tcW w:w="1077" w:type="dxa"/>
            <w:tcBorders>
              <w:top w:val="single" w:sz="4" w:space="0" w:color="A6A6A6" w:themeColor="background1" w:themeShade="A6"/>
              <w:bottom w:val="single" w:sz="4" w:space="0" w:color="A6A6A6" w:themeColor="background1" w:themeShade="A6"/>
            </w:tcBorders>
          </w:tcPr>
          <w:p w14:paraId="640592E3" w14:textId="77777777" w:rsidR="00FA7EBF" w:rsidRPr="007939DD" w:rsidRDefault="00FA7EBF" w:rsidP="007B207C">
            <w:pPr>
              <w:pStyle w:val="ARfintablebodyright"/>
              <w:rPr>
                <w:lang w:eastAsia="en-AU"/>
              </w:rPr>
            </w:pPr>
            <w:r w:rsidRPr="00B40C4D">
              <w:t xml:space="preserve"> –</w:t>
            </w:r>
          </w:p>
        </w:tc>
        <w:tc>
          <w:tcPr>
            <w:tcW w:w="1077" w:type="dxa"/>
            <w:tcBorders>
              <w:top w:val="single" w:sz="4" w:space="0" w:color="A6A6A6" w:themeColor="background1" w:themeShade="A6"/>
              <w:bottom w:val="single" w:sz="4" w:space="0" w:color="A6A6A6" w:themeColor="background1" w:themeShade="A6"/>
            </w:tcBorders>
          </w:tcPr>
          <w:p w14:paraId="44E0FF88" w14:textId="77777777" w:rsidR="00FA7EBF" w:rsidRPr="007939DD" w:rsidRDefault="00FA7EBF" w:rsidP="007B207C">
            <w:pPr>
              <w:pStyle w:val="ARfintablebodyright"/>
              <w:rPr>
                <w:lang w:eastAsia="en-AU"/>
              </w:rPr>
            </w:pPr>
            <w:r>
              <w:t>(0.1)</w:t>
            </w:r>
          </w:p>
        </w:tc>
        <w:tc>
          <w:tcPr>
            <w:tcW w:w="1077" w:type="dxa"/>
            <w:tcBorders>
              <w:top w:val="single" w:sz="4" w:space="0" w:color="A6A6A6" w:themeColor="background1" w:themeShade="A6"/>
              <w:bottom w:val="single" w:sz="4" w:space="0" w:color="A6A6A6" w:themeColor="background1" w:themeShade="A6"/>
            </w:tcBorders>
          </w:tcPr>
          <w:p w14:paraId="06B7E1EC"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5762C238" w14:textId="77777777" w:rsidR="00FA7EBF" w:rsidRPr="007939DD" w:rsidRDefault="00FA7EBF" w:rsidP="007B207C">
            <w:pPr>
              <w:pStyle w:val="ARfintablebodyright"/>
              <w:rPr>
                <w:lang w:eastAsia="en-AU"/>
              </w:rPr>
            </w:pPr>
            <w:r>
              <w:t>(92.5)</w:t>
            </w:r>
          </w:p>
        </w:tc>
      </w:tr>
      <w:tr w:rsidR="00FA7EBF" w:rsidRPr="007939DD" w14:paraId="77E4651F" w14:textId="77777777" w:rsidTr="007B207C">
        <w:trPr>
          <w:cantSplit/>
        </w:trPr>
        <w:tc>
          <w:tcPr>
            <w:tcW w:w="3177" w:type="dxa"/>
            <w:tcBorders>
              <w:top w:val="single" w:sz="4" w:space="0" w:color="A6A6A6" w:themeColor="background1" w:themeShade="A6"/>
              <w:bottom w:val="single" w:sz="4" w:space="0" w:color="A6A6A6" w:themeColor="background1" w:themeShade="A6"/>
            </w:tcBorders>
          </w:tcPr>
          <w:p w14:paraId="60EE24C4" w14:textId="77777777" w:rsidR="00FA7EBF" w:rsidRPr="007939DD" w:rsidRDefault="00FA7EBF" w:rsidP="007B207C">
            <w:pPr>
              <w:pStyle w:val="ARfintablebody"/>
              <w:rPr>
                <w:lang w:eastAsia="en-AU"/>
              </w:rPr>
            </w:pPr>
            <w:r w:rsidRPr="00B40C4D">
              <w:t>Transfers in/(out) of assets under construction</w:t>
            </w:r>
          </w:p>
        </w:tc>
        <w:tc>
          <w:tcPr>
            <w:tcW w:w="1077" w:type="dxa"/>
            <w:tcBorders>
              <w:top w:val="single" w:sz="4" w:space="0" w:color="A6A6A6" w:themeColor="background1" w:themeShade="A6"/>
              <w:bottom w:val="single" w:sz="4" w:space="0" w:color="A6A6A6" w:themeColor="background1" w:themeShade="A6"/>
            </w:tcBorders>
          </w:tcPr>
          <w:p w14:paraId="2B055237" w14:textId="77777777" w:rsidR="00FA7EBF" w:rsidRPr="007939DD" w:rsidRDefault="00FA7EBF" w:rsidP="007B207C">
            <w:pPr>
              <w:pStyle w:val="ARfintablebodyright"/>
              <w:rPr>
                <w:lang w:eastAsia="en-AU"/>
              </w:rPr>
            </w:pPr>
            <w:r w:rsidRPr="00B40C4D">
              <w:t>17.2</w:t>
            </w:r>
          </w:p>
        </w:tc>
        <w:tc>
          <w:tcPr>
            <w:tcW w:w="1077" w:type="dxa"/>
            <w:tcBorders>
              <w:top w:val="single" w:sz="4" w:space="0" w:color="A6A6A6" w:themeColor="background1" w:themeShade="A6"/>
              <w:bottom w:val="single" w:sz="4" w:space="0" w:color="A6A6A6" w:themeColor="background1" w:themeShade="A6"/>
            </w:tcBorders>
          </w:tcPr>
          <w:p w14:paraId="062FDEC0" w14:textId="77777777" w:rsidR="00FA7EBF" w:rsidRPr="007939DD" w:rsidRDefault="00FA7EBF" w:rsidP="007B207C">
            <w:pPr>
              <w:pStyle w:val="ARfintablebodyright"/>
              <w:rPr>
                <w:lang w:eastAsia="en-AU"/>
              </w:rPr>
            </w:pPr>
            <w:r w:rsidRPr="00B40C4D">
              <w:t>271.0</w:t>
            </w:r>
          </w:p>
        </w:tc>
        <w:tc>
          <w:tcPr>
            <w:tcW w:w="1077" w:type="dxa"/>
            <w:tcBorders>
              <w:top w:val="single" w:sz="4" w:space="0" w:color="A6A6A6" w:themeColor="background1" w:themeShade="A6"/>
              <w:bottom w:val="single" w:sz="4" w:space="0" w:color="A6A6A6" w:themeColor="background1" w:themeShade="A6"/>
            </w:tcBorders>
          </w:tcPr>
          <w:p w14:paraId="75812C43"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778BEF3D"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4E65DC63" w14:textId="77777777" w:rsidR="00FA7EBF" w:rsidRPr="007939DD" w:rsidRDefault="00FA7EBF" w:rsidP="007B207C">
            <w:pPr>
              <w:pStyle w:val="ARfintablebodyright"/>
              <w:rPr>
                <w:lang w:eastAsia="en-AU"/>
              </w:rPr>
            </w:pPr>
            <w:r w:rsidRPr="00B40C4D">
              <w:t>(288.2)</w:t>
            </w:r>
          </w:p>
        </w:tc>
        <w:tc>
          <w:tcPr>
            <w:tcW w:w="1077" w:type="dxa"/>
            <w:tcBorders>
              <w:top w:val="single" w:sz="4" w:space="0" w:color="A6A6A6" w:themeColor="background1" w:themeShade="A6"/>
              <w:bottom w:val="single" w:sz="4" w:space="0" w:color="A6A6A6" w:themeColor="background1" w:themeShade="A6"/>
            </w:tcBorders>
          </w:tcPr>
          <w:p w14:paraId="34C4AB17" w14:textId="77777777" w:rsidR="00FA7EBF" w:rsidRPr="007939DD" w:rsidRDefault="00FA7EBF" w:rsidP="007B207C">
            <w:pPr>
              <w:pStyle w:val="ARfintablebodyright"/>
              <w:rPr>
                <w:lang w:eastAsia="en-AU"/>
              </w:rPr>
            </w:pPr>
            <w:r>
              <w:t>–</w:t>
            </w:r>
          </w:p>
        </w:tc>
      </w:tr>
      <w:tr w:rsidR="00FA7EBF" w:rsidRPr="007939DD" w14:paraId="03C33D2F" w14:textId="77777777" w:rsidTr="007B207C">
        <w:trPr>
          <w:cantSplit/>
        </w:trPr>
        <w:tc>
          <w:tcPr>
            <w:tcW w:w="3177" w:type="dxa"/>
            <w:tcBorders>
              <w:top w:val="single" w:sz="4" w:space="0" w:color="A6A6A6" w:themeColor="background1" w:themeShade="A6"/>
              <w:bottom w:val="single" w:sz="4" w:space="0" w:color="A6A6A6" w:themeColor="background1" w:themeShade="A6"/>
            </w:tcBorders>
          </w:tcPr>
          <w:p w14:paraId="10085951" w14:textId="77777777" w:rsidR="00FA7EBF" w:rsidRPr="007939DD" w:rsidRDefault="00FA7EBF" w:rsidP="007B207C">
            <w:pPr>
              <w:pStyle w:val="ARfintablebody"/>
              <w:rPr>
                <w:lang w:eastAsia="en-AU"/>
              </w:rPr>
            </w:pPr>
            <w:r w:rsidRPr="00B40C4D">
              <w:t>Transfers (to)/from assets held for sale</w:t>
            </w:r>
          </w:p>
        </w:tc>
        <w:tc>
          <w:tcPr>
            <w:tcW w:w="1077" w:type="dxa"/>
            <w:tcBorders>
              <w:top w:val="single" w:sz="4" w:space="0" w:color="A6A6A6" w:themeColor="background1" w:themeShade="A6"/>
              <w:bottom w:val="single" w:sz="4" w:space="0" w:color="A6A6A6" w:themeColor="background1" w:themeShade="A6"/>
            </w:tcBorders>
          </w:tcPr>
          <w:p w14:paraId="2B572010" w14:textId="77777777" w:rsidR="00FA7EBF" w:rsidRPr="007939DD" w:rsidRDefault="00FA7EBF" w:rsidP="007B207C">
            <w:pPr>
              <w:pStyle w:val="ARfintablebodyright"/>
              <w:rPr>
                <w:lang w:eastAsia="en-AU"/>
              </w:rPr>
            </w:pPr>
            <w:r w:rsidRPr="00B40C4D">
              <w:t>(45.9)</w:t>
            </w:r>
          </w:p>
        </w:tc>
        <w:tc>
          <w:tcPr>
            <w:tcW w:w="1077" w:type="dxa"/>
            <w:tcBorders>
              <w:top w:val="single" w:sz="4" w:space="0" w:color="A6A6A6" w:themeColor="background1" w:themeShade="A6"/>
              <w:bottom w:val="single" w:sz="4" w:space="0" w:color="A6A6A6" w:themeColor="background1" w:themeShade="A6"/>
            </w:tcBorders>
          </w:tcPr>
          <w:p w14:paraId="4875E306" w14:textId="77777777" w:rsidR="00FA7EBF" w:rsidRPr="007939DD" w:rsidRDefault="00FA7EBF" w:rsidP="007B207C">
            <w:pPr>
              <w:pStyle w:val="ARfintablebodyright"/>
              <w:rPr>
                <w:lang w:eastAsia="en-AU"/>
              </w:rPr>
            </w:pPr>
            <w:r w:rsidRPr="00B40C4D">
              <w:t>(6.4)</w:t>
            </w:r>
          </w:p>
        </w:tc>
        <w:tc>
          <w:tcPr>
            <w:tcW w:w="1077" w:type="dxa"/>
            <w:tcBorders>
              <w:top w:val="single" w:sz="4" w:space="0" w:color="A6A6A6" w:themeColor="background1" w:themeShade="A6"/>
              <w:bottom w:val="single" w:sz="4" w:space="0" w:color="A6A6A6" w:themeColor="background1" w:themeShade="A6"/>
            </w:tcBorders>
          </w:tcPr>
          <w:p w14:paraId="6D933585"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43790F13"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16442B24"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5037B262" w14:textId="77777777" w:rsidR="00FA7EBF" w:rsidRPr="007939DD" w:rsidRDefault="00FA7EBF" w:rsidP="007B207C">
            <w:pPr>
              <w:pStyle w:val="ARfintablebodyright"/>
              <w:rPr>
                <w:lang w:eastAsia="en-AU"/>
              </w:rPr>
            </w:pPr>
            <w:r w:rsidRPr="00B40C4D">
              <w:t>(52.3)</w:t>
            </w:r>
          </w:p>
        </w:tc>
      </w:tr>
      <w:tr w:rsidR="00FA7EBF" w:rsidRPr="007939DD" w14:paraId="3EB2427C" w14:textId="77777777" w:rsidTr="007B207C">
        <w:trPr>
          <w:cantSplit/>
        </w:trPr>
        <w:tc>
          <w:tcPr>
            <w:tcW w:w="3177" w:type="dxa"/>
            <w:tcBorders>
              <w:top w:val="single" w:sz="4" w:space="0" w:color="A6A6A6" w:themeColor="background1" w:themeShade="A6"/>
            </w:tcBorders>
          </w:tcPr>
          <w:p w14:paraId="740EF6E8" w14:textId="77777777" w:rsidR="00FA7EBF" w:rsidRPr="007939DD" w:rsidRDefault="00FA7EBF" w:rsidP="007B207C">
            <w:pPr>
              <w:pStyle w:val="ARfintablebody"/>
              <w:rPr>
                <w:lang w:eastAsia="en-AU"/>
              </w:rPr>
            </w:pPr>
            <w:r w:rsidRPr="00B40C4D">
              <w:t>Other changes</w:t>
            </w:r>
          </w:p>
        </w:tc>
        <w:tc>
          <w:tcPr>
            <w:tcW w:w="1077" w:type="dxa"/>
            <w:tcBorders>
              <w:top w:val="single" w:sz="4" w:space="0" w:color="A6A6A6" w:themeColor="background1" w:themeShade="A6"/>
            </w:tcBorders>
          </w:tcPr>
          <w:p w14:paraId="7D232361" w14:textId="77777777" w:rsidR="00FA7EBF" w:rsidRPr="007939DD" w:rsidRDefault="00FA7EBF" w:rsidP="007B207C">
            <w:pPr>
              <w:pStyle w:val="ARfintablebodyright"/>
              <w:rPr>
                <w:lang w:eastAsia="en-AU"/>
              </w:rPr>
            </w:pPr>
            <w:r w:rsidRPr="00B40C4D">
              <w:t>(3.3)</w:t>
            </w:r>
          </w:p>
        </w:tc>
        <w:tc>
          <w:tcPr>
            <w:tcW w:w="1077" w:type="dxa"/>
            <w:tcBorders>
              <w:top w:val="single" w:sz="4" w:space="0" w:color="A6A6A6" w:themeColor="background1" w:themeShade="A6"/>
            </w:tcBorders>
          </w:tcPr>
          <w:p w14:paraId="48113F3E"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tcBorders>
          </w:tcPr>
          <w:p w14:paraId="58B402DE"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tcBorders>
          </w:tcPr>
          <w:p w14:paraId="0CDED438" w14:textId="77777777" w:rsidR="00FA7EBF" w:rsidRPr="007939DD" w:rsidRDefault="00FA7EBF" w:rsidP="007B207C">
            <w:pPr>
              <w:pStyle w:val="ARfintablebodyright"/>
              <w:rPr>
                <w:lang w:eastAsia="en-AU"/>
              </w:rPr>
            </w:pPr>
            <w:r w:rsidRPr="00B40C4D">
              <w:t>(1.2)</w:t>
            </w:r>
          </w:p>
        </w:tc>
        <w:tc>
          <w:tcPr>
            <w:tcW w:w="1077" w:type="dxa"/>
            <w:tcBorders>
              <w:top w:val="single" w:sz="4" w:space="0" w:color="A6A6A6" w:themeColor="background1" w:themeShade="A6"/>
            </w:tcBorders>
          </w:tcPr>
          <w:p w14:paraId="5B802C74" w14:textId="77777777" w:rsidR="00FA7EBF" w:rsidRPr="007939DD" w:rsidRDefault="00FA7EBF" w:rsidP="007B207C">
            <w:pPr>
              <w:pStyle w:val="ARfintablebodyright"/>
              <w:rPr>
                <w:lang w:eastAsia="en-AU"/>
              </w:rPr>
            </w:pPr>
            <w:r w:rsidRPr="00B40C4D">
              <w:t>(1.1)</w:t>
            </w:r>
          </w:p>
        </w:tc>
        <w:tc>
          <w:tcPr>
            <w:tcW w:w="1077" w:type="dxa"/>
            <w:tcBorders>
              <w:top w:val="single" w:sz="4" w:space="0" w:color="A6A6A6" w:themeColor="background1" w:themeShade="A6"/>
            </w:tcBorders>
          </w:tcPr>
          <w:p w14:paraId="5F363C40" w14:textId="77777777" w:rsidR="00FA7EBF" w:rsidRPr="007939DD" w:rsidRDefault="00FA7EBF" w:rsidP="007B207C">
            <w:pPr>
              <w:pStyle w:val="ARfintablebodyright"/>
              <w:rPr>
                <w:lang w:eastAsia="en-AU"/>
              </w:rPr>
            </w:pPr>
            <w:r w:rsidRPr="00B40C4D">
              <w:t>(5.6)</w:t>
            </w:r>
          </w:p>
        </w:tc>
      </w:tr>
      <w:tr w:rsidR="00FA7EBF" w:rsidRPr="007939DD" w14:paraId="1FCE3956" w14:textId="77777777" w:rsidTr="007B207C">
        <w:trPr>
          <w:cantSplit/>
        </w:trPr>
        <w:tc>
          <w:tcPr>
            <w:tcW w:w="3177" w:type="dxa"/>
          </w:tcPr>
          <w:p w14:paraId="57AD63B7" w14:textId="77777777" w:rsidR="00FA7EBF" w:rsidRPr="007939DD" w:rsidRDefault="00FA7EBF" w:rsidP="007B207C">
            <w:pPr>
              <w:pStyle w:val="ARfintablebodybold"/>
              <w:rPr>
                <w:rStyle w:val="Strong"/>
              </w:rPr>
            </w:pPr>
            <w:r w:rsidRPr="00B40C4D">
              <w:t>Balance at 1 July 2018</w:t>
            </w:r>
          </w:p>
        </w:tc>
        <w:tc>
          <w:tcPr>
            <w:tcW w:w="1077" w:type="dxa"/>
          </w:tcPr>
          <w:p w14:paraId="31D74710" w14:textId="77777777" w:rsidR="00FA7EBF" w:rsidRPr="007939DD" w:rsidRDefault="00FA7EBF" w:rsidP="007B207C">
            <w:pPr>
              <w:pStyle w:val="ARfintablebodyrightbold"/>
              <w:rPr>
                <w:lang w:eastAsia="en-AU"/>
              </w:rPr>
            </w:pPr>
            <w:r w:rsidRPr="00B40C4D">
              <w:t>20,811.1</w:t>
            </w:r>
          </w:p>
        </w:tc>
        <w:tc>
          <w:tcPr>
            <w:tcW w:w="1077" w:type="dxa"/>
          </w:tcPr>
          <w:p w14:paraId="2ACDF3A6" w14:textId="77777777" w:rsidR="00FA7EBF" w:rsidRPr="007939DD" w:rsidRDefault="00FA7EBF" w:rsidP="007B207C">
            <w:pPr>
              <w:pStyle w:val="ARfintablebodyrightbold"/>
              <w:rPr>
                <w:lang w:eastAsia="en-AU"/>
              </w:rPr>
            </w:pPr>
            <w:r w:rsidRPr="00B40C4D">
              <w:t>8,991.0</w:t>
            </w:r>
          </w:p>
        </w:tc>
        <w:tc>
          <w:tcPr>
            <w:tcW w:w="1077" w:type="dxa"/>
          </w:tcPr>
          <w:p w14:paraId="3A09020B" w14:textId="77777777" w:rsidR="00FA7EBF" w:rsidRPr="007939DD" w:rsidRDefault="00FA7EBF" w:rsidP="007B207C">
            <w:pPr>
              <w:pStyle w:val="ARfintablebodyrightbold"/>
              <w:rPr>
                <w:lang w:eastAsia="en-AU"/>
              </w:rPr>
            </w:pPr>
            <w:r w:rsidRPr="00B40C4D">
              <w:t>15.7</w:t>
            </w:r>
          </w:p>
        </w:tc>
        <w:tc>
          <w:tcPr>
            <w:tcW w:w="1077" w:type="dxa"/>
          </w:tcPr>
          <w:p w14:paraId="06A03891" w14:textId="77777777" w:rsidR="00FA7EBF" w:rsidRPr="006E4233" w:rsidRDefault="00FA7EBF" w:rsidP="007B207C">
            <w:pPr>
              <w:pStyle w:val="ARfintablebodyrightbold"/>
            </w:pPr>
            <w:r w:rsidRPr="00B40C4D">
              <w:t>49.1</w:t>
            </w:r>
          </w:p>
        </w:tc>
        <w:tc>
          <w:tcPr>
            <w:tcW w:w="1077" w:type="dxa"/>
          </w:tcPr>
          <w:p w14:paraId="4BA6BA9D" w14:textId="77777777" w:rsidR="00FA7EBF" w:rsidRPr="007939DD" w:rsidRDefault="00FA7EBF" w:rsidP="007B207C">
            <w:pPr>
              <w:pStyle w:val="ARfintablebodyrightbold"/>
              <w:rPr>
                <w:lang w:eastAsia="en-AU"/>
              </w:rPr>
            </w:pPr>
            <w:r w:rsidRPr="00B40C4D">
              <w:t>332.5</w:t>
            </w:r>
          </w:p>
        </w:tc>
        <w:tc>
          <w:tcPr>
            <w:tcW w:w="1077" w:type="dxa"/>
          </w:tcPr>
          <w:p w14:paraId="5651EBC1" w14:textId="77777777" w:rsidR="00FA7EBF" w:rsidRPr="007939DD" w:rsidRDefault="00FA7EBF" w:rsidP="007B207C">
            <w:pPr>
              <w:pStyle w:val="ARfintablebodyrightbold"/>
              <w:rPr>
                <w:rStyle w:val="Strong"/>
              </w:rPr>
            </w:pPr>
            <w:r w:rsidRPr="00B40C4D">
              <w:t>30,199.3</w:t>
            </w:r>
          </w:p>
        </w:tc>
      </w:tr>
      <w:tr w:rsidR="00FA7EBF" w:rsidRPr="007939DD" w14:paraId="1E01F9EA" w14:textId="77777777" w:rsidTr="007B207C">
        <w:trPr>
          <w:cantSplit/>
        </w:trPr>
        <w:tc>
          <w:tcPr>
            <w:tcW w:w="3177" w:type="dxa"/>
            <w:tcBorders>
              <w:bottom w:val="single" w:sz="4" w:space="0" w:color="A6A6A6" w:themeColor="background1" w:themeShade="A6"/>
            </w:tcBorders>
          </w:tcPr>
          <w:p w14:paraId="457A5323" w14:textId="77777777" w:rsidR="00FA7EBF" w:rsidRPr="007939DD" w:rsidRDefault="00FA7EBF" w:rsidP="007B207C">
            <w:pPr>
              <w:pStyle w:val="ARfintablebody"/>
              <w:rPr>
                <w:lang w:eastAsia="en-AU"/>
              </w:rPr>
            </w:pPr>
            <w:r w:rsidRPr="00B40C4D">
              <w:t>Capital contributed from asset transfers</w:t>
            </w:r>
          </w:p>
        </w:tc>
        <w:tc>
          <w:tcPr>
            <w:tcW w:w="1077" w:type="dxa"/>
            <w:tcBorders>
              <w:bottom w:val="single" w:sz="4" w:space="0" w:color="A6A6A6" w:themeColor="background1" w:themeShade="A6"/>
            </w:tcBorders>
          </w:tcPr>
          <w:p w14:paraId="00D436B7" w14:textId="77777777" w:rsidR="00FA7EBF" w:rsidRPr="007939DD" w:rsidRDefault="00FA7EBF" w:rsidP="007B207C">
            <w:pPr>
              <w:pStyle w:val="ARfintablebodyright"/>
              <w:rPr>
                <w:lang w:eastAsia="en-AU"/>
              </w:rPr>
            </w:pPr>
            <w:r w:rsidRPr="00B40C4D">
              <w:t>–</w:t>
            </w:r>
          </w:p>
        </w:tc>
        <w:tc>
          <w:tcPr>
            <w:tcW w:w="1077" w:type="dxa"/>
            <w:tcBorders>
              <w:bottom w:val="single" w:sz="4" w:space="0" w:color="A6A6A6" w:themeColor="background1" w:themeShade="A6"/>
            </w:tcBorders>
          </w:tcPr>
          <w:p w14:paraId="6843CB84" w14:textId="77777777" w:rsidR="00FA7EBF" w:rsidRPr="007939DD" w:rsidRDefault="00FA7EBF" w:rsidP="007B207C">
            <w:pPr>
              <w:pStyle w:val="ARfintablebodyright"/>
              <w:rPr>
                <w:lang w:eastAsia="en-AU"/>
              </w:rPr>
            </w:pPr>
            <w:r w:rsidRPr="00B40C4D">
              <w:t>–</w:t>
            </w:r>
          </w:p>
        </w:tc>
        <w:tc>
          <w:tcPr>
            <w:tcW w:w="1077" w:type="dxa"/>
            <w:tcBorders>
              <w:bottom w:val="single" w:sz="4" w:space="0" w:color="A6A6A6" w:themeColor="background1" w:themeShade="A6"/>
            </w:tcBorders>
          </w:tcPr>
          <w:p w14:paraId="0BE37A46" w14:textId="77777777" w:rsidR="00FA7EBF" w:rsidRPr="007939DD" w:rsidRDefault="00FA7EBF" w:rsidP="007B207C">
            <w:pPr>
              <w:pStyle w:val="ARfintablebodyright"/>
              <w:rPr>
                <w:lang w:eastAsia="en-AU"/>
              </w:rPr>
            </w:pPr>
            <w:r w:rsidRPr="00B40C4D">
              <w:t>–</w:t>
            </w:r>
          </w:p>
        </w:tc>
        <w:tc>
          <w:tcPr>
            <w:tcW w:w="1077" w:type="dxa"/>
            <w:tcBorders>
              <w:bottom w:val="single" w:sz="4" w:space="0" w:color="A6A6A6" w:themeColor="background1" w:themeShade="A6"/>
            </w:tcBorders>
          </w:tcPr>
          <w:p w14:paraId="30D67CEA" w14:textId="77777777" w:rsidR="00FA7EBF" w:rsidRPr="007939DD" w:rsidRDefault="00FA7EBF" w:rsidP="007B207C">
            <w:pPr>
              <w:pStyle w:val="ARfintablebodyright"/>
              <w:rPr>
                <w:lang w:eastAsia="en-AU"/>
              </w:rPr>
            </w:pPr>
            <w:r w:rsidRPr="00B40C4D">
              <w:t>–</w:t>
            </w:r>
          </w:p>
        </w:tc>
        <w:tc>
          <w:tcPr>
            <w:tcW w:w="1077" w:type="dxa"/>
            <w:tcBorders>
              <w:bottom w:val="single" w:sz="4" w:space="0" w:color="A6A6A6" w:themeColor="background1" w:themeShade="A6"/>
            </w:tcBorders>
          </w:tcPr>
          <w:p w14:paraId="2F82DA4D" w14:textId="77777777" w:rsidR="00FA7EBF" w:rsidRPr="007939DD" w:rsidRDefault="00FA7EBF" w:rsidP="007B207C">
            <w:pPr>
              <w:pStyle w:val="ARfintablebodyright"/>
              <w:rPr>
                <w:lang w:eastAsia="en-AU"/>
              </w:rPr>
            </w:pPr>
            <w:r w:rsidRPr="00B40C4D">
              <w:t>–</w:t>
            </w:r>
          </w:p>
        </w:tc>
        <w:tc>
          <w:tcPr>
            <w:tcW w:w="1077" w:type="dxa"/>
            <w:tcBorders>
              <w:bottom w:val="single" w:sz="4" w:space="0" w:color="A6A6A6" w:themeColor="background1" w:themeShade="A6"/>
            </w:tcBorders>
          </w:tcPr>
          <w:p w14:paraId="49FD85C7" w14:textId="77777777" w:rsidR="00FA7EBF" w:rsidRPr="007939DD" w:rsidRDefault="00FA7EBF" w:rsidP="007B207C">
            <w:pPr>
              <w:pStyle w:val="ARfintablebodyright"/>
              <w:rPr>
                <w:lang w:eastAsia="en-AU"/>
              </w:rPr>
            </w:pPr>
            <w:r w:rsidRPr="00B40C4D">
              <w:t>–</w:t>
            </w:r>
          </w:p>
        </w:tc>
      </w:tr>
      <w:tr w:rsidR="00FA7EBF" w:rsidRPr="007939DD" w14:paraId="02170D81" w14:textId="77777777" w:rsidTr="007B207C">
        <w:trPr>
          <w:cantSplit/>
        </w:trPr>
        <w:tc>
          <w:tcPr>
            <w:tcW w:w="3177" w:type="dxa"/>
            <w:tcBorders>
              <w:top w:val="single" w:sz="4" w:space="0" w:color="A6A6A6" w:themeColor="background1" w:themeShade="A6"/>
              <w:bottom w:val="single" w:sz="4" w:space="0" w:color="A6A6A6" w:themeColor="background1" w:themeShade="A6"/>
            </w:tcBorders>
          </w:tcPr>
          <w:p w14:paraId="4CDD3895" w14:textId="77777777" w:rsidR="00FA7EBF" w:rsidRPr="007939DD" w:rsidRDefault="00FA7EBF" w:rsidP="007B207C">
            <w:pPr>
              <w:pStyle w:val="ARfintablebody"/>
              <w:rPr>
                <w:lang w:eastAsia="en-AU"/>
              </w:rPr>
            </w:pPr>
            <w:r w:rsidRPr="00B40C4D">
              <w:t xml:space="preserve">Machinery of </w:t>
            </w:r>
            <w:r>
              <w:t>g</w:t>
            </w:r>
            <w:r w:rsidRPr="00B40C4D">
              <w:t>overnment transfer in/(out)</w:t>
            </w:r>
          </w:p>
        </w:tc>
        <w:tc>
          <w:tcPr>
            <w:tcW w:w="1077" w:type="dxa"/>
            <w:tcBorders>
              <w:top w:val="single" w:sz="4" w:space="0" w:color="A6A6A6" w:themeColor="background1" w:themeShade="A6"/>
              <w:bottom w:val="single" w:sz="4" w:space="0" w:color="A6A6A6" w:themeColor="background1" w:themeShade="A6"/>
            </w:tcBorders>
          </w:tcPr>
          <w:p w14:paraId="5DD09D45" w14:textId="77777777" w:rsidR="00FA7EBF" w:rsidRPr="007939DD" w:rsidRDefault="00FA7EBF" w:rsidP="007B207C">
            <w:pPr>
              <w:pStyle w:val="ARfintablebodyright"/>
              <w:rPr>
                <w:lang w:eastAsia="en-AU"/>
              </w:rPr>
            </w:pPr>
            <w:r w:rsidRPr="00B40C4D">
              <w:t>(9.5)</w:t>
            </w:r>
          </w:p>
        </w:tc>
        <w:tc>
          <w:tcPr>
            <w:tcW w:w="1077" w:type="dxa"/>
            <w:tcBorders>
              <w:top w:val="single" w:sz="4" w:space="0" w:color="A6A6A6" w:themeColor="background1" w:themeShade="A6"/>
              <w:bottom w:val="single" w:sz="4" w:space="0" w:color="A6A6A6" w:themeColor="background1" w:themeShade="A6"/>
            </w:tcBorders>
          </w:tcPr>
          <w:p w14:paraId="272E448C" w14:textId="77777777" w:rsidR="00FA7EBF" w:rsidRPr="007939DD" w:rsidRDefault="00FA7EBF" w:rsidP="007B207C">
            <w:pPr>
              <w:pStyle w:val="ARfintablebodyright"/>
              <w:rPr>
                <w:lang w:eastAsia="en-AU"/>
              </w:rPr>
            </w:pPr>
            <w:r w:rsidRPr="00B40C4D">
              <w:t>(23.2)</w:t>
            </w:r>
          </w:p>
        </w:tc>
        <w:tc>
          <w:tcPr>
            <w:tcW w:w="1077" w:type="dxa"/>
            <w:tcBorders>
              <w:top w:val="single" w:sz="4" w:space="0" w:color="A6A6A6" w:themeColor="background1" w:themeShade="A6"/>
              <w:bottom w:val="single" w:sz="4" w:space="0" w:color="A6A6A6" w:themeColor="background1" w:themeShade="A6"/>
            </w:tcBorders>
          </w:tcPr>
          <w:p w14:paraId="35087897"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21070882" w14:textId="77777777" w:rsidR="00FA7EBF" w:rsidRPr="007939DD" w:rsidRDefault="00FA7EBF" w:rsidP="007B207C">
            <w:pPr>
              <w:pStyle w:val="ARfintablebodyright"/>
              <w:rPr>
                <w:lang w:eastAsia="en-AU"/>
              </w:rPr>
            </w:pPr>
            <w:r w:rsidRPr="00B40C4D">
              <w:t>(0.1)</w:t>
            </w:r>
          </w:p>
        </w:tc>
        <w:tc>
          <w:tcPr>
            <w:tcW w:w="1077" w:type="dxa"/>
            <w:tcBorders>
              <w:top w:val="single" w:sz="4" w:space="0" w:color="A6A6A6" w:themeColor="background1" w:themeShade="A6"/>
              <w:bottom w:val="single" w:sz="4" w:space="0" w:color="A6A6A6" w:themeColor="background1" w:themeShade="A6"/>
            </w:tcBorders>
          </w:tcPr>
          <w:p w14:paraId="25DE19ED" w14:textId="77777777" w:rsidR="00FA7EBF" w:rsidRPr="007939DD" w:rsidRDefault="00FA7EBF" w:rsidP="007B207C">
            <w:pPr>
              <w:pStyle w:val="ARfintablebodyright"/>
              <w:rPr>
                <w:lang w:eastAsia="en-AU"/>
              </w:rPr>
            </w:pPr>
            <w:r w:rsidRPr="00B40C4D">
              <w:t>(1.2)</w:t>
            </w:r>
          </w:p>
        </w:tc>
        <w:tc>
          <w:tcPr>
            <w:tcW w:w="1077" w:type="dxa"/>
            <w:tcBorders>
              <w:top w:val="single" w:sz="4" w:space="0" w:color="A6A6A6" w:themeColor="background1" w:themeShade="A6"/>
              <w:bottom w:val="single" w:sz="4" w:space="0" w:color="A6A6A6" w:themeColor="background1" w:themeShade="A6"/>
            </w:tcBorders>
          </w:tcPr>
          <w:p w14:paraId="54956380" w14:textId="77777777" w:rsidR="00FA7EBF" w:rsidRPr="007939DD" w:rsidRDefault="00FA7EBF" w:rsidP="007B207C">
            <w:pPr>
              <w:pStyle w:val="ARfintablebodyright"/>
              <w:rPr>
                <w:lang w:eastAsia="en-AU"/>
              </w:rPr>
            </w:pPr>
            <w:r w:rsidRPr="00B40C4D">
              <w:t>(34.0)</w:t>
            </w:r>
          </w:p>
        </w:tc>
      </w:tr>
      <w:tr w:rsidR="00FA7EBF" w:rsidRPr="007939DD" w14:paraId="4369A635" w14:textId="77777777" w:rsidTr="007B207C">
        <w:trPr>
          <w:cantSplit/>
        </w:trPr>
        <w:tc>
          <w:tcPr>
            <w:tcW w:w="3177" w:type="dxa"/>
            <w:tcBorders>
              <w:top w:val="single" w:sz="4" w:space="0" w:color="A6A6A6" w:themeColor="background1" w:themeShade="A6"/>
              <w:bottom w:val="single" w:sz="4" w:space="0" w:color="A6A6A6" w:themeColor="background1" w:themeShade="A6"/>
            </w:tcBorders>
          </w:tcPr>
          <w:p w14:paraId="496DC5D6" w14:textId="77777777" w:rsidR="00FA7EBF" w:rsidRPr="007939DD" w:rsidRDefault="00FA7EBF" w:rsidP="007B207C">
            <w:pPr>
              <w:pStyle w:val="ARfintablebody"/>
              <w:rPr>
                <w:lang w:eastAsia="en-AU"/>
              </w:rPr>
            </w:pPr>
            <w:r w:rsidRPr="00B40C4D">
              <w:t>Additions</w:t>
            </w:r>
          </w:p>
        </w:tc>
        <w:tc>
          <w:tcPr>
            <w:tcW w:w="1077" w:type="dxa"/>
            <w:tcBorders>
              <w:top w:val="single" w:sz="4" w:space="0" w:color="A6A6A6" w:themeColor="background1" w:themeShade="A6"/>
              <w:bottom w:val="single" w:sz="4" w:space="0" w:color="A6A6A6" w:themeColor="background1" w:themeShade="A6"/>
            </w:tcBorders>
          </w:tcPr>
          <w:p w14:paraId="134B7086" w14:textId="77777777" w:rsidR="00FA7EBF" w:rsidRPr="007939DD" w:rsidRDefault="00FA7EBF" w:rsidP="007B207C">
            <w:pPr>
              <w:pStyle w:val="ARfintablebodyright"/>
              <w:rPr>
                <w:lang w:eastAsia="en-AU"/>
              </w:rPr>
            </w:pPr>
            <w:r w:rsidRPr="00B40C4D">
              <w:t>0.5</w:t>
            </w:r>
          </w:p>
        </w:tc>
        <w:tc>
          <w:tcPr>
            <w:tcW w:w="1077" w:type="dxa"/>
            <w:tcBorders>
              <w:top w:val="single" w:sz="4" w:space="0" w:color="A6A6A6" w:themeColor="background1" w:themeShade="A6"/>
              <w:bottom w:val="single" w:sz="4" w:space="0" w:color="A6A6A6" w:themeColor="background1" w:themeShade="A6"/>
            </w:tcBorders>
          </w:tcPr>
          <w:p w14:paraId="50287DA0" w14:textId="77777777" w:rsidR="00FA7EBF" w:rsidRPr="007939DD" w:rsidRDefault="00FA7EBF" w:rsidP="007B207C">
            <w:pPr>
              <w:pStyle w:val="ARfintablebodyright"/>
              <w:rPr>
                <w:lang w:eastAsia="en-AU"/>
              </w:rPr>
            </w:pPr>
            <w:r w:rsidRPr="00B40C4D">
              <w:t>7.6</w:t>
            </w:r>
          </w:p>
        </w:tc>
        <w:tc>
          <w:tcPr>
            <w:tcW w:w="1077" w:type="dxa"/>
            <w:tcBorders>
              <w:top w:val="single" w:sz="4" w:space="0" w:color="A6A6A6" w:themeColor="background1" w:themeShade="A6"/>
              <w:bottom w:val="single" w:sz="4" w:space="0" w:color="A6A6A6" w:themeColor="background1" w:themeShade="A6"/>
            </w:tcBorders>
          </w:tcPr>
          <w:p w14:paraId="3C683EC3" w14:textId="77777777" w:rsidR="00FA7EBF" w:rsidRPr="007939DD" w:rsidRDefault="00FA7EBF" w:rsidP="007B207C">
            <w:pPr>
              <w:pStyle w:val="ARfintablebodyright"/>
              <w:rPr>
                <w:lang w:eastAsia="en-AU"/>
              </w:rPr>
            </w:pPr>
            <w:r w:rsidRPr="00B40C4D">
              <w:t>2.1</w:t>
            </w:r>
          </w:p>
        </w:tc>
        <w:tc>
          <w:tcPr>
            <w:tcW w:w="1077" w:type="dxa"/>
            <w:tcBorders>
              <w:top w:val="single" w:sz="4" w:space="0" w:color="A6A6A6" w:themeColor="background1" w:themeShade="A6"/>
              <w:bottom w:val="single" w:sz="4" w:space="0" w:color="A6A6A6" w:themeColor="background1" w:themeShade="A6"/>
            </w:tcBorders>
          </w:tcPr>
          <w:p w14:paraId="063C9E4D" w14:textId="77777777" w:rsidR="00FA7EBF" w:rsidRPr="007939DD" w:rsidRDefault="00FA7EBF" w:rsidP="007B207C">
            <w:pPr>
              <w:pStyle w:val="ARfintablebodyright"/>
              <w:rPr>
                <w:lang w:eastAsia="en-AU"/>
              </w:rPr>
            </w:pPr>
            <w:r w:rsidRPr="00B40C4D">
              <w:t>21.6</w:t>
            </w:r>
          </w:p>
        </w:tc>
        <w:tc>
          <w:tcPr>
            <w:tcW w:w="1077" w:type="dxa"/>
            <w:tcBorders>
              <w:top w:val="single" w:sz="4" w:space="0" w:color="A6A6A6" w:themeColor="background1" w:themeShade="A6"/>
              <w:bottom w:val="single" w:sz="4" w:space="0" w:color="A6A6A6" w:themeColor="background1" w:themeShade="A6"/>
            </w:tcBorders>
          </w:tcPr>
          <w:p w14:paraId="5E91B32F" w14:textId="77777777" w:rsidR="00FA7EBF" w:rsidRPr="007939DD" w:rsidRDefault="00FA7EBF" w:rsidP="007B207C">
            <w:pPr>
              <w:pStyle w:val="ARfintablebodyright"/>
              <w:rPr>
                <w:lang w:eastAsia="en-AU"/>
              </w:rPr>
            </w:pPr>
            <w:r w:rsidRPr="00B40C4D">
              <w:t>351.7</w:t>
            </w:r>
          </w:p>
        </w:tc>
        <w:tc>
          <w:tcPr>
            <w:tcW w:w="1077" w:type="dxa"/>
            <w:tcBorders>
              <w:top w:val="single" w:sz="4" w:space="0" w:color="A6A6A6" w:themeColor="background1" w:themeShade="A6"/>
              <w:bottom w:val="single" w:sz="4" w:space="0" w:color="A6A6A6" w:themeColor="background1" w:themeShade="A6"/>
            </w:tcBorders>
          </w:tcPr>
          <w:p w14:paraId="1693E94B" w14:textId="77777777" w:rsidR="00FA7EBF" w:rsidRPr="007939DD" w:rsidRDefault="00FA7EBF" w:rsidP="007B207C">
            <w:pPr>
              <w:pStyle w:val="ARfintablebodyright"/>
              <w:rPr>
                <w:lang w:eastAsia="en-AU"/>
              </w:rPr>
            </w:pPr>
            <w:r w:rsidRPr="00B40C4D">
              <w:t>383.5</w:t>
            </w:r>
          </w:p>
        </w:tc>
      </w:tr>
      <w:tr w:rsidR="00FA7EBF" w:rsidRPr="007939DD" w14:paraId="4DEC814B" w14:textId="77777777" w:rsidTr="007B207C">
        <w:trPr>
          <w:cantSplit/>
        </w:trPr>
        <w:tc>
          <w:tcPr>
            <w:tcW w:w="3177" w:type="dxa"/>
            <w:tcBorders>
              <w:top w:val="single" w:sz="4" w:space="0" w:color="A6A6A6" w:themeColor="background1" w:themeShade="A6"/>
              <w:bottom w:val="single" w:sz="4" w:space="0" w:color="A6A6A6" w:themeColor="background1" w:themeShade="A6"/>
            </w:tcBorders>
          </w:tcPr>
          <w:p w14:paraId="471A0F6D" w14:textId="77777777" w:rsidR="00FA7EBF" w:rsidRPr="007939DD" w:rsidRDefault="00FA7EBF" w:rsidP="007B207C">
            <w:pPr>
              <w:pStyle w:val="ARfintablebody"/>
              <w:rPr>
                <w:lang w:eastAsia="en-AU"/>
              </w:rPr>
            </w:pPr>
            <w:r w:rsidRPr="00B40C4D">
              <w:t>Disposals</w:t>
            </w:r>
          </w:p>
        </w:tc>
        <w:tc>
          <w:tcPr>
            <w:tcW w:w="1077" w:type="dxa"/>
            <w:tcBorders>
              <w:top w:val="single" w:sz="4" w:space="0" w:color="A6A6A6" w:themeColor="background1" w:themeShade="A6"/>
              <w:bottom w:val="single" w:sz="4" w:space="0" w:color="A6A6A6" w:themeColor="background1" w:themeShade="A6"/>
            </w:tcBorders>
          </w:tcPr>
          <w:p w14:paraId="4DCEB013" w14:textId="77777777" w:rsidR="00FA7EBF" w:rsidRPr="007939DD" w:rsidRDefault="00FA7EBF" w:rsidP="007B207C">
            <w:pPr>
              <w:pStyle w:val="ARfintablebodyright"/>
              <w:rPr>
                <w:lang w:eastAsia="en-AU"/>
              </w:rPr>
            </w:pPr>
            <w:r w:rsidRPr="00B40C4D">
              <w:t>(16.2)</w:t>
            </w:r>
          </w:p>
        </w:tc>
        <w:tc>
          <w:tcPr>
            <w:tcW w:w="1077" w:type="dxa"/>
            <w:tcBorders>
              <w:top w:val="single" w:sz="4" w:space="0" w:color="A6A6A6" w:themeColor="background1" w:themeShade="A6"/>
              <w:bottom w:val="single" w:sz="4" w:space="0" w:color="A6A6A6" w:themeColor="background1" w:themeShade="A6"/>
            </w:tcBorders>
          </w:tcPr>
          <w:p w14:paraId="0D459CD3" w14:textId="77777777" w:rsidR="00FA7EBF" w:rsidRPr="007939DD" w:rsidRDefault="00FA7EBF" w:rsidP="007B207C">
            <w:pPr>
              <w:pStyle w:val="ARfintablebodyright"/>
              <w:rPr>
                <w:lang w:eastAsia="en-AU"/>
              </w:rPr>
            </w:pPr>
            <w:r w:rsidRPr="00B40C4D">
              <w:t>(9.8)</w:t>
            </w:r>
          </w:p>
        </w:tc>
        <w:tc>
          <w:tcPr>
            <w:tcW w:w="1077" w:type="dxa"/>
            <w:tcBorders>
              <w:top w:val="single" w:sz="4" w:space="0" w:color="A6A6A6" w:themeColor="background1" w:themeShade="A6"/>
              <w:bottom w:val="single" w:sz="4" w:space="0" w:color="A6A6A6" w:themeColor="background1" w:themeShade="A6"/>
            </w:tcBorders>
          </w:tcPr>
          <w:p w14:paraId="429E0EEA"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44AEECB1" w14:textId="77777777" w:rsidR="00FA7EBF" w:rsidRPr="007939DD" w:rsidRDefault="00FA7EBF" w:rsidP="007B207C">
            <w:pPr>
              <w:pStyle w:val="ARfintablebodyright"/>
              <w:rPr>
                <w:lang w:eastAsia="en-AU"/>
              </w:rPr>
            </w:pPr>
            <w:r w:rsidRPr="00B40C4D">
              <w:t>(11.7)</w:t>
            </w:r>
          </w:p>
        </w:tc>
        <w:tc>
          <w:tcPr>
            <w:tcW w:w="1077" w:type="dxa"/>
            <w:tcBorders>
              <w:top w:val="single" w:sz="4" w:space="0" w:color="A6A6A6" w:themeColor="background1" w:themeShade="A6"/>
              <w:bottom w:val="single" w:sz="4" w:space="0" w:color="A6A6A6" w:themeColor="background1" w:themeShade="A6"/>
            </w:tcBorders>
          </w:tcPr>
          <w:p w14:paraId="05BB194C"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75C627A9" w14:textId="77777777" w:rsidR="00FA7EBF" w:rsidRPr="007939DD" w:rsidRDefault="00FA7EBF" w:rsidP="007B207C">
            <w:pPr>
              <w:pStyle w:val="ARfintablebodyright"/>
              <w:rPr>
                <w:lang w:eastAsia="en-AU"/>
              </w:rPr>
            </w:pPr>
            <w:r w:rsidRPr="00B40C4D">
              <w:t>(37.8)</w:t>
            </w:r>
          </w:p>
        </w:tc>
      </w:tr>
      <w:tr w:rsidR="00FA7EBF" w:rsidRPr="007939DD" w14:paraId="3CE8784B" w14:textId="77777777" w:rsidTr="007B207C">
        <w:trPr>
          <w:cantSplit/>
        </w:trPr>
        <w:tc>
          <w:tcPr>
            <w:tcW w:w="3177" w:type="dxa"/>
            <w:tcBorders>
              <w:top w:val="single" w:sz="4" w:space="0" w:color="A6A6A6" w:themeColor="background1" w:themeShade="A6"/>
              <w:bottom w:val="single" w:sz="4" w:space="0" w:color="A6A6A6" w:themeColor="background1" w:themeShade="A6"/>
            </w:tcBorders>
          </w:tcPr>
          <w:p w14:paraId="052900AD" w14:textId="77777777" w:rsidR="00FA7EBF" w:rsidRPr="007939DD" w:rsidRDefault="00FA7EBF" w:rsidP="007B207C">
            <w:pPr>
              <w:pStyle w:val="ARfintablebody"/>
              <w:rPr>
                <w:lang w:eastAsia="en-AU"/>
              </w:rPr>
            </w:pPr>
            <w:r w:rsidRPr="00B40C4D">
              <w:t>Net revaluation increments/(decrements)</w:t>
            </w:r>
          </w:p>
        </w:tc>
        <w:tc>
          <w:tcPr>
            <w:tcW w:w="1077" w:type="dxa"/>
            <w:tcBorders>
              <w:top w:val="single" w:sz="4" w:space="0" w:color="A6A6A6" w:themeColor="background1" w:themeShade="A6"/>
              <w:bottom w:val="single" w:sz="4" w:space="0" w:color="A6A6A6" w:themeColor="background1" w:themeShade="A6"/>
            </w:tcBorders>
          </w:tcPr>
          <w:p w14:paraId="110BABF1" w14:textId="77777777" w:rsidR="00FA7EBF" w:rsidRPr="007939DD" w:rsidRDefault="00FA7EBF" w:rsidP="007B207C">
            <w:pPr>
              <w:pStyle w:val="ARfintablebodyright"/>
              <w:rPr>
                <w:lang w:eastAsia="en-AU"/>
              </w:rPr>
            </w:pPr>
            <w:r w:rsidRPr="00B40C4D">
              <w:t>(2,197.7)</w:t>
            </w:r>
          </w:p>
        </w:tc>
        <w:tc>
          <w:tcPr>
            <w:tcW w:w="1077" w:type="dxa"/>
            <w:tcBorders>
              <w:top w:val="single" w:sz="4" w:space="0" w:color="A6A6A6" w:themeColor="background1" w:themeShade="A6"/>
              <w:bottom w:val="single" w:sz="4" w:space="0" w:color="A6A6A6" w:themeColor="background1" w:themeShade="A6"/>
            </w:tcBorders>
          </w:tcPr>
          <w:p w14:paraId="07CFEDC8" w14:textId="77777777" w:rsidR="00FA7EBF" w:rsidRPr="007939DD" w:rsidRDefault="00FA7EBF" w:rsidP="007B207C">
            <w:pPr>
              <w:pStyle w:val="ARfintablebodyright"/>
              <w:rPr>
                <w:lang w:eastAsia="en-AU"/>
              </w:rPr>
            </w:pPr>
            <w:r w:rsidRPr="00B40C4D">
              <w:t>992.4</w:t>
            </w:r>
          </w:p>
        </w:tc>
        <w:tc>
          <w:tcPr>
            <w:tcW w:w="1077" w:type="dxa"/>
            <w:tcBorders>
              <w:top w:val="single" w:sz="4" w:space="0" w:color="A6A6A6" w:themeColor="background1" w:themeShade="A6"/>
              <w:bottom w:val="single" w:sz="4" w:space="0" w:color="A6A6A6" w:themeColor="background1" w:themeShade="A6"/>
            </w:tcBorders>
          </w:tcPr>
          <w:p w14:paraId="4EE1D218"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4845C4A6"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3795FDA8"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1030D859" w14:textId="77777777" w:rsidR="00FA7EBF" w:rsidRPr="007939DD" w:rsidRDefault="00FA7EBF" w:rsidP="007B207C">
            <w:pPr>
              <w:pStyle w:val="ARfintablebodyright"/>
              <w:rPr>
                <w:lang w:eastAsia="en-AU"/>
              </w:rPr>
            </w:pPr>
            <w:r w:rsidRPr="00B40C4D">
              <w:t>(1,205.3)</w:t>
            </w:r>
          </w:p>
        </w:tc>
      </w:tr>
      <w:tr w:rsidR="00FA7EBF" w:rsidRPr="007939DD" w14:paraId="0C4CE6A8" w14:textId="77777777" w:rsidTr="007B207C">
        <w:trPr>
          <w:cantSplit/>
        </w:trPr>
        <w:tc>
          <w:tcPr>
            <w:tcW w:w="3177" w:type="dxa"/>
            <w:tcBorders>
              <w:top w:val="single" w:sz="4" w:space="0" w:color="A6A6A6" w:themeColor="background1" w:themeShade="A6"/>
              <w:bottom w:val="single" w:sz="4" w:space="0" w:color="A6A6A6" w:themeColor="background1" w:themeShade="A6"/>
            </w:tcBorders>
          </w:tcPr>
          <w:p w14:paraId="3D5BA44C" w14:textId="77777777" w:rsidR="00FA7EBF" w:rsidRPr="007939DD" w:rsidRDefault="00FA7EBF" w:rsidP="007B207C">
            <w:pPr>
              <w:pStyle w:val="ARfintablebody"/>
              <w:rPr>
                <w:lang w:eastAsia="en-AU"/>
              </w:rPr>
            </w:pPr>
            <w:r w:rsidRPr="00B40C4D">
              <w:t>Asset impairment</w:t>
            </w:r>
          </w:p>
        </w:tc>
        <w:tc>
          <w:tcPr>
            <w:tcW w:w="1077" w:type="dxa"/>
            <w:tcBorders>
              <w:top w:val="single" w:sz="4" w:space="0" w:color="A6A6A6" w:themeColor="background1" w:themeShade="A6"/>
              <w:bottom w:val="single" w:sz="4" w:space="0" w:color="A6A6A6" w:themeColor="background1" w:themeShade="A6"/>
            </w:tcBorders>
          </w:tcPr>
          <w:p w14:paraId="7FBAC349"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3AE2B2E4"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25F5B9E9"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5EE9D464"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4B85FBBC"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6E173B5A" w14:textId="77777777" w:rsidR="00FA7EBF" w:rsidRPr="007939DD" w:rsidRDefault="00FA7EBF" w:rsidP="007B207C">
            <w:pPr>
              <w:pStyle w:val="ARfintablebodyright"/>
              <w:rPr>
                <w:lang w:eastAsia="en-AU"/>
              </w:rPr>
            </w:pPr>
            <w:r w:rsidRPr="00B40C4D">
              <w:t>–</w:t>
            </w:r>
          </w:p>
        </w:tc>
      </w:tr>
      <w:tr w:rsidR="00FA7EBF" w:rsidRPr="007939DD" w14:paraId="10140727" w14:textId="77777777" w:rsidTr="007B207C">
        <w:trPr>
          <w:cantSplit/>
        </w:trPr>
        <w:tc>
          <w:tcPr>
            <w:tcW w:w="3177" w:type="dxa"/>
            <w:tcBorders>
              <w:top w:val="single" w:sz="4" w:space="0" w:color="A6A6A6" w:themeColor="background1" w:themeShade="A6"/>
              <w:bottom w:val="single" w:sz="4" w:space="0" w:color="A6A6A6" w:themeColor="background1" w:themeShade="A6"/>
            </w:tcBorders>
          </w:tcPr>
          <w:p w14:paraId="7D39715A" w14:textId="77777777" w:rsidR="00FA7EBF" w:rsidRPr="007939DD" w:rsidRDefault="00FA7EBF" w:rsidP="007B207C">
            <w:pPr>
              <w:pStyle w:val="ARfintablebody"/>
              <w:rPr>
                <w:lang w:eastAsia="en-AU"/>
              </w:rPr>
            </w:pPr>
            <w:r w:rsidRPr="00B40C4D">
              <w:t>Depreciation and amortisation</w:t>
            </w:r>
          </w:p>
        </w:tc>
        <w:tc>
          <w:tcPr>
            <w:tcW w:w="1077" w:type="dxa"/>
            <w:tcBorders>
              <w:top w:val="single" w:sz="4" w:space="0" w:color="A6A6A6" w:themeColor="background1" w:themeShade="A6"/>
              <w:bottom w:val="single" w:sz="4" w:space="0" w:color="A6A6A6" w:themeColor="background1" w:themeShade="A6"/>
            </w:tcBorders>
          </w:tcPr>
          <w:p w14:paraId="1FBE7DFC"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69F402C9" w14:textId="77777777" w:rsidR="00FA7EBF" w:rsidRPr="007939DD" w:rsidRDefault="00FA7EBF" w:rsidP="007B207C">
            <w:pPr>
              <w:pStyle w:val="ARfintablebodyright"/>
              <w:rPr>
                <w:lang w:eastAsia="en-AU"/>
              </w:rPr>
            </w:pPr>
            <w:r w:rsidRPr="00B40C4D">
              <w:t>(303.2)</w:t>
            </w:r>
          </w:p>
        </w:tc>
        <w:tc>
          <w:tcPr>
            <w:tcW w:w="1077" w:type="dxa"/>
            <w:tcBorders>
              <w:top w:val="single" w:sz="4" w:space="0" w:color="A6A6A6" w:themeColor="background1" w:themeShade="A6"/>
              <w:bottom w:val="single" w:sz="4" w:space="0" w:color="A6A6A6" w:themeColor="background1" w:themeShade="A6"/>
            </w:tcBorders>
          </w:tcPr>
          <w:p w14:paraId="511BDBD8" w14:textId="77777777" w:rsidR="00FA7EBF" w:rsidRPr="007939DD" w:rsidRDefault="00FA7EBF" w:rsidP="007B207C">
            <w:pPr>
              <w:pStyle w:val="ARfintablebodyright"/>
              <w:rPr>
                <w:lang w:eastAsia="en-AU"/>
              </w:rPr>
            </w:pPr>
            <w:r w:rsidRPr="00B40C4D">
              <w:t>(5.2)</w:t>
            </w:r>
          </w:p>
        </w:tc>
        <w:tc>
          <w:tcPr>
            <w:tcW w:w="1077" w:type="dxa"/>
            <w:tcBorders>
              <w:top w:val="single" w:sz="4" w:space="0" w:color="A6A6A6" w:themeColor="background1" w:themeShade="A6"/>
              <w:bottom w:val="single" w:sz="4" w:space="0" w:color="A6A6A6" w:themeColor="background1" w:themeShade="A6"/>
            </w:tcBorders>
          </w:tcPr>
          <w:p w14:paraId="34CDCCDA" w14:textId="77777777" w:rsidR="00FA7EBF" w:rsidRPr="007939DD" w:rsidRDefault="00FA7EBF" w:rsidP="007B207C">
            <w:pPr>
              <w:pStyle w:val="ARfintablebodyright"/>
              <w:rPr>
                <w:lang w:eastAsia="en-AU"/>
              </w:rPr>
            </w:pPr>
            <w:r w:rsidRPr="00B40C4D">
              <w:t>(12.9)</w:t>
            </w:r>
          </w:p>
        </w:tc>
        <w:tc>
          <w:tcPr>
            <w:tcW w:w="1077" w:type="dxa"/>
            <w:tcBorders>
              <w:top w:val="single" w:sz="4" w:space="0" w:color="A6A6A6" w:themeColor="background1" w:themeShade="A6"/>
              <w:bottom w:val="single" w:sz="4" w:space="0" w:color="A6A6A6" w:themeColor="background1" w:themeShade="A6"/>
            </w:tcBorders>
          </w:tcPr>
          <w:p w14:paraId="5638A9CD"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56D6F8CF" w14:textId="77777777" w:rsidR="00FA7EBF" w:rsidRPr="007939DD" w:rsidRDefault="00FA7EBF" w:rsidP="007B207C">
            <w:pPr>
              <w:pStyle w:val="ARfintablebodyright"/>
              <w:rPr>
                <w:lang w:eastAsia="en-AU"/>
              </w:rPr>
            </w:pPr>
            <w:r w:rsidRPr="00B40C4D">
              <w:t>(321.4)</w:t>
            </w:r>
          </w:p>
        </w:tc>
      </w:tr>
      <w:tr w:rsidR="00FA7EBF" w:rsidRPr="007939DD" w14:paraId="7188903E" w14:textId="77777777" w:rsidTr="007B207C">
        <w:trPr>
          <w:cantSplit/>
        </w:trPr>
        <w:tc>
          <w:tcPr>
            <w:tcW w:w="3177" w:type="dxa"/>
            <w:tcBorders>
              <w:top w:val="single" w:sz="4" w:space="0" w:color="A6A6A6" w:themeColor="background1" w:themeShade="A6"/>
              <w:bottom w:val="single" w:sz="4" w:space="0" w:color="A6A6A6" w:themeColor="background1" w:themeShade="A6"/>
            </w:tcBorders>
          </w:tcPr>
          <w:p w14:paraId="6B63107F" w14:textId="77777777" w:rsidR="00FA7EBF" w:rsidRPr="007939DD" w:rsidRDefault="00FA7EBF" w:rsidP="007B207C">
            <w:pPr>
              <w:pStyle w:val="ARfintablebody"/>
              <w:rPr>
                <w:lang w:eastAsia="en-AU"/>
              </w:rPr>
            </w:pPr>
            <w:r w:rsidRPr="00B40C4D">
              <w:t>Fair value of assets received free of charge or for nominal considerations</w:t>
            </w:r>
          </w:p>
        </w:tc>
        <w:tc>
          <w:tcPr>
            <w:tcW w:w="1077" w:type="dxa"/>
            <w:tcBorders>
              <w:top w:val="single" w:sz="4" w:space="0" w:color="A6A6A6" w:themeColor="background1" w:themeShade="A6"/>
              <w:bottom w:val="single" w:sz="4" w:space="0" w:color="A6A6A6" w:themeColor="background1" w:themeShade="A6"/>
            </w:tcBorders>
          </w:tcPr>
          <w:p w14:paraId="527CD438" w14:textId="77777777" w:rsidR="00FA7EBF" w:rsidRPr="007939DD" w:rsidRDefault="00FA7EBF" w:rsidP="007B207C">
            <w:pPr>
              <w:pStyle w:val="ARfintablebodyright"/>
              <w:rPr>
                <w:lang w:eastAsia="en-AU"/>
              </w:rPr>
            </w:pPr>
            <w:r w:rsidRPr="00B40C4D">
              <w:t>2.1</w:t>
            </w:r>
          </w:p>
        </w:tc>
        <w:tc>
          <w:tcPr>
            <w:tcW w:w="1077" w:type="dxa"/>
            <w:tcBorders>
              <w:top w:val="single" w:sz="4" w:space="0" w:color="A6A6A6" w:themeColor="background1" w:themeShade="A6"/>
              <w:bottom w:val="single" w:sz="4" w:space="0" w:color="A6A6A6" w:themeColor="background1" w:themeShade="A6"/>
            </w:tcBorders>
          </w:tcPr>
          <w:p w14:paraId="19E63A65" w14:textId="77777777" w:rsidR="00FA7EBF" w:rsidRPr="007939DD" w:rsidRDefault="00FA7EBF" w:rsidP="007B207C">
            <w:pPr>
              <w:pStyle w:val="ARfintablebodyright"/>
              <w:rPr>
                <w:lang w:eastAsia="en-AU"/>
              </w:rPr>
            </w:pPr>
            <w:r w:rsidRPr="00B40C4D">
              <w:t>0.6</w:t>
            </w:r>
          </w:p>
        </w:tc>
        <w:tc>
          <w:tcPr>
            <w:tcW w:w="1077" w:type="dxa"/>
            <w:tcBorders>
              <w:top w:val="single" w:sz="4" w:space="0" w:color="A6A6A6" w:themeColor="background1" w:themeShade="A6"/>
              <w:bottom w:val="single" w:sz="4" w:space="0" w:color="A6A6A6" w:themeColor="background1" w:themeShade="A6"/>
            </w:tcBorders>
          </w:tcPr>
          <w:p w14:paraId="305AE432"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29F13226" w14:textId="77777777" w:rsidR="00FA7EBF" w:rsidRPr="007939DD" w:rsidRDefault="00FA7EBF" w:rsidP="007B207C">
            <w:pPr>
              <w:pStyle w:val="ARfintablebodyright"/>
              <w:rPr>
                <w:lang w:eastAsia="en-AU"/>
              </w:rPr>
            </w:pPr>
            <w:r w:rsidRPr="00B40C4D">
              <w:t>0.1</w:t>
            </w:r>
          </w:p>
        </w:tc>
        <w:tc>
          <w:tcPr>
            <w:tcW w:w="1077" w:type="dxa"/>
            <w:tcBorders>
              <w:top w:val="single" w:sz="4" w:space="0" w:color="A6A6A6" w:themeColor="background1" w:themeShade="A6"/>
              <w:bottom w:val="single" w:sz="4" w:space="0" w:color="A6A6A6" w:themeColor="background1" w:themeShade="A6"/>
            </w:tcBorders>
          </w:tcPr>
          <w:p w14:paraId="251DA96F" w14:textId="77777777" w:rsidR="00FA7EBF" w:rsidRPr="007939DD" w:rsidRDefault="00FA7EBF" w:rsidP="007B207C">
            <w:pPr>
              <w:pStyle w:val="ARfintablebodyright"/>
              <w:rPr>
                <w:lang w:eastAsia="en-AU"/>
              </w:rPr>
            </w:pPr>
            <w:r w:rsidRPr="00B40C4D">
              <w:t>4.9</w:t>
            </w:r>
          </w:p>
        </w:tc>
        <w:tc>
          <w:tcPr>
            <w:tcW w:w="1077" w:type="dxa"/>
            <w:tcBorders>
              <w:top w:val="single" w:sz="4" w:space="0" w:color="A6A6A6" w:themeColor="background1" w:themeShade="A6"/>
              <w:bottom w:val="single" w:sz="4" w:space="0" w:color="A6A6A6" w:themeColor="background1" w:themeShade="A6"/>
            </w:tcBorders>
          </w:tcPr>
          <w:p w14:paraId="7DF9C1B1" w14:textId="77777777" w:rsidR="00FA7EBF" w:rsidRPr="007939DD" w:rsidRDefault="00FA7EBF" w:rsidP="007B207C">
            <w:pPr>
              <w:pStyle w:val="ARfintablebodyright"/>
              <w:rPr>
                <w:lang w:eastAsia="en-AU"/>
              </w:rPr>
            </w:pPr>
            <w:r w:rsidRPr="00B40C4D">
              <w:t>7.6</w:t>
            </w:r>
          </w:p>
        </w:tc>
      </w:tr>
      <w:tr w:rsidR="00FA7EBF" w:rsidRPr="007939DD" w14:paraId="31B8D883" w14:textId="77777777" w:rsidTr="007B207C">
        <w:trPr>
          <w:cantSplit/>
        </w:trPr>
        <w:tc>
          <w:tcPr>
            <w:tcW w:w="3177" w:type="dxa"/>
            <w:tcBorders>
              <w:top w:val="single" w:sz="4" w:space="0" w:color="A6A6A6" w:themeColor="background1" w:themeShade="A6"/>
              <w:bottom w:val="single" w:sz="4" w:space="0" w:color="A6A6A6" w:themeColor="background1" w:themeShade="A6"/>
            </w:tcBorders>
          </w:tcPr>
          <w:p w14:paraId="1F129EED" w14:textId="77777777" w:rsidR="00FA7EBF" w:rsidRPr="007939DD" w:rsidRDefault="00FA7EBF" w:rsidP="007B207C">
            <w:pPr>
              <w:pStyle w:val="ARfintablebody"/>
              <w:rPr>
                <w:lang w:eastAsia="en-AU"/>
              </w:rPr>
            </w:pPr>
            <w:r w:rsidRPr="00B40C4D">
              <w:t>Fair value of assets provided free of charge or for nominal considerations</w:t>
            </w:r>
          </w:p>
        </w:tc>
        <w:tc>
          <w:tcPr>
            <w:tcW w:w="1077" w:type="dxa"/>
            <w:tcBorders>
              <w:top w:val="single" w:sz="4" w:space="0" w:color="A6A6A6" w:themeColor="background1" w:themeShade="A6"/>
              <w:bottom w:val="single" w:sz="4" w:space="0" w:color="A6A6A6" w:themeColor="background1" w:themeShade="A6"/>
            </w:tcBorders>
          </w:tcPr>
          <w:p w14:paraId="28679C14" w14:textId="77777777" w:rsidR="00FA7EBF" w:rsidRPr="007939DD" w:rsidRDefault="00FA7EBF" w:rsidP="007B207C">
            <w:pPr>
              <w:pStyle w:val="ARfintablebodyright"/>
              <w:rPr>
                <w:lang w:eastAsia="en-AU"/>
              </w:rPr>
            </w:pPr>
            <w:r w:rsidRPr="00B40C4D">
              <w:t>(58.6)</w:t>
            </w:r>
          </w:p>
        </w:tc>
        <w:tc>
          <w:tcPr>
            <w:tcW w:w="1077" w:type="dxa"/>
            <w:tcBorders>
              <w:top w:val="single" w:sz="4" w:space="0" w:color="A6A6A6" w:themeColor="background1" w:themeShade="A6"/>
              <w:bottom w:val="single" w:sz="4" w:space="0" w:color="A6A6A6" w:themeColor="background1" w:themeShade="A6"/>
            </w:tcBorders>
          </w:tcPr>
          <w:p w14:paraId="29DB64AA" w14:textId="77777777" w:rsidR="00FA7EBF" w:rsidRPr="007939DD" w:rsidRDefault="00FA7EBF" w:rsidP="007B207C">
            <w:pPr>
              <w:pStyle w:val="ARfintablebodyright"/>
              <w:rPr>
                <w:lang w:eastAsia="en-AU"/>
              </w:rPr>
            </w:pPr>
            <w:r w:rsidRPr="00B40C4D">
              <w:t>(57.6)</w:t>
            </w:r>
          </w:p>
        </w:tc>
        <w:tc>
          <w:tcPr>
            <w:tcW w:w="1077" w:type="dxa"/>
            <w:tcBorders>
              <w:top w:val="single" w:sz="4" w:space="0" w:color="A6A6A6" w:themeColor="background1" w:themeShade="A6"/>
              <w:bottom w:val="single" w:sz="4" w:space="0" w:color="A6A6A6" w:themeColor="background1" w:themeShade="A6"/>
            </w:tcBorders>
          </w:tcPr>
          <w:p w14:paraId="60B1867A"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1580E36B" w14:textId="77777777" w:rsidR="00FA7EBF" w:rsidRPr="007939DD" w:rsidRDefault="00FA7EBF" w:rsidP="007B207C">
            <w:pPr>
              <w:pStyle w:val="ARfintablebodyright"/>
              <w:rPr>
                <w:lang w:eastAsia="en-AU"/>
              </w:rPr>
            </w:pPr>
            <w:r w:rsidRPr="00B40C4D">
              <w:t>(9.2)</w:t>
            </w:r>
          </w:p>
        </w:tc>
        <w:tc>
          <w:tcPr>
            <w:tcW w:w="1077" w:type="dxa"/>
            <w:tcBorders>
              <w:top w:val="single" w:sz="4" w:space="0" w:color="A6A6A6" w:themeColor="background1" w:themeShade="A6"/>
              <w:bottom w:val="single" w:sz="4" w:space="0" w:color="A6A6A6" w:themeColor="background1" w:themeShade="A6"/>
            </w:tcBorders>
          </w:tcPr>
          <w:p w14:paraId="0CA14555" w14:textId="77777777" w:rsidR="00FA7EBF" w:rsidRPr="007939DD" w:rsidRDefault="00FA7EBF" w:rsidP="007B207C">
            <w:pPr>
              <w:pStyle w:val="ARfintablebodyright"/>
              <w:rPr>
                <w:lang w:eastAsia="en-AU"/>
              </w:rPr>
            </w:pPr>
            <w:r w:rsidRPr="00B40C4D">
              <w:t>(4.9)</w:t>
            </w:r>
          </w:p>
        </w:tc>
        <w:tc>
          <w:tcPr>
            <w:tcW w:w="1077" w:type="dxa"/>
            <w:tcBorders>
              <w:top w:val="single" w:sz="4" w:space="0" w:color="A6A6A6" w:themeColor="background1" w:themeShade="A6"/>
              <w:bottom w:val="single" w:sz="4" w:space="0" w:color="A6A6A6" w:themeColor="background1" w:themeShade="A6"/>
            </w:tcBorders>
          </w:tcPr>
          <w:p w14:paraId="21ED8FF8" w14:textId="77777777" w:rsidR="00FA7EBF" w:rsidRPr="007939DD" w:rsidRDefault="00FA7EBF" w:rsidP="007B207C">
            <w:pPr>
              <w:pStyle w:val="ARfintablebodyright"/>
              <w:rPr>
                <w:lang w:eastAsia="en-AU"/>
              </w:rPr>
            </w:pPr>
            <w:r w:rsidRPr="00B40C4D">
              <w:t>(130.2)</w:t>
            </w:r>
          </w:p>
        </w:tc>
      </w:tr>
      <w:tr w:rsidR="00FA7EBF" w:rsidRPr="007939DD" w14:paraId="77BED56C" w14:textId="77777777" w:rsidTr="007B207C">
        <w:trPr>
          <w:cantSplit/>
        </w:trPr>
        <w:tc>
          <w:tcPr>
            <w:tcW w:w="3177" w:type="dxa"/>
            <w:tcBorders>
              <w:top w:val="single" w:sz="4" w:space="0" w:color="A6A6A6" w:themeColor="background1" w:themeShade="A6"/>
              <w:bottom w:val="single" w:sz="4" w:space="0" w:color="A6A6A6" w:themeColor="background1" w:themeShade="A6"/>
            </w:tcBorders>
          </w:tcPr>
          <w:p w14:paraId="1B56F501" w14:textId="77777777" w:rsidR="00FA7EBF" w:rsidRPr="007939DD" w:rsidRDefault="00FA7EBF" w:rsidP="007B207C">
            <w:pPr>
              <w:pStyle w:val="ARfintablebody"/>
              <w:rPr>
                <w:lang w:eastAsia="en-AU"/>
              </w:rPr>
            </w:pPr>
            <w:r w:rsidRPr="00B40C4D">
              <w:t>Transfers in/(out) of assets under construction</w:t>
            </w:r>
          </w:p>
        </w:tc>
        <w:tc>
          <w:tcPr>
            <w:tcW w:w="1077" w:type="dxa"/>
            <w:tcBorders>
              <w:top w:val="single" w:sz="4" w:space="0" w:color="A6A6A6" w:themeColor="background1" w:themeShade="A6"/>
              <w:bottom w:val="single" w:sz="4" w:space="0" w:color="A6A6A6" w:themeColor="background1" w:themeShade="A6"/>
            </w:tcBorders>
          </w:tcPr>
          <w:p w14:paraId="7201F1EA" w14:textId="77777777" w:rsidR="00FA7EBF" w:rsidRPr="007939DD" w:rsidRDefault="00FA7EBF" w:rsidP="007B207C">
            <w:pPr>
              <w:pStyle w:val="ARfintablebodyright"/>
              <w:rPr>
                <w:lang w:eastAsia="en-AU"/>
              </w:rPr>
            </w:pPr>
            <w:r w:rsidRPr="00B40C4D">
              <w:t>14.3</w:t>
            </w:r>
          </w:p>
        </w:tc>
        <w:tc>
          <w:tcPr>
            <w:tcW w:w="1077" w:type="dxa"/>
            <w:tcBorders>
              <w:top w:val="single" w:sz="4" w:space="0" w:color="A6A6A6" w:themeColor="background1" w:themeShade="A6"/>
              <w:bottom w:val="single" w:sz="4" w:space="0" w:color="A6A6A6" w:themeColor="background1" w:themeShade="A6"/>
            </w:tcBorders>
          </w:tcPr>
          <w:p w14:paraId="4FAA93F2" w14:textId="77777777" w:rsidR="00FA7EBF" w:rsidRPr="007939DD" w:rsidRDefault="00FA7EBF" w:rsidP="007B207C">
            <w:pPr>
              <w:pStyle w:val="ARfintablebodyright"/>
              <w:rPr>
                <w:lang w:eastAsia="en-AU"/>
              </w:rPr>
            </w:pPr>
            <w:r w:rsidRPr="00B40C4D">
              <w:t>210.9</w:t>
            </w:r>
          </w:p>
        </w:tc>
        <w:tc>
          <w:tcPr>
            <w:tcW w:w="1077" w:type="dxa"/>
            <w:tcBorders>
              <w:top w:val="single" w:sz="4" w:space="0" w:color="A6A6A6" w:themeColor="background1" w:themeShade="A6"/>
              <w:bottom w:val="single" w:sz="4" w:space="0" w:color="A6A6A6" w:themeColor="background1" w:themeShade="A6"/>
            </w:tcBorders>
          </w:tcPr>
          <w:p w14:paraId="5DFA8128"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6E39B7FE"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37546AA8" w14:textId="77777777" w:rsidR="00FA7EBF" w:rsidRPr="007939DD" w:rsidRDefault="00FA7EBF" w:rsidP="007B207C">
            <w:pPr>
              <w:pStyle w:val="ARfintablebodyright"/>
              <w:rPr>
                <w:lang w:eastAsia="en-AU"/>
              </w:rPr>
            </w:pPr>
            <w:r w:rsidRPr="00B40C4D">
              <w:t>(225.3)</w:t>
            </w:r>
          </w:p>
        </w:tc>
        <w:tc>
          <w:tcPr>
            <w:tcW w:w="1077" w:type="dxa"/>
            <w:tcBorders>
              <w:top w:val="single" w:sz="4" w:space="0" w:color="A6A6A6" w:themeColor="background1" w:themeShade="A6"/>
              <w:bottom w:val="single" w:sz="4" w:space="0" w:color="A6A6A6" w:themeColor="background1" w:themeShade="A6"/>
            </w:tcBorders>
          </w:tcPr>
          <w:p w14:paraId="3C8C91B6" w14:textId="77777777" w:rsidR="00FA7EBF" w:rsidRPr="007939DD" w:rsidRDefault="00FA7EBF" w:rsidP="007B207C">
            <w:pPr>
              <w:pStyle w:val="ARfintablebodyright"/>
              <w:rPr>
                <w:lang w:eastAsia="en-AU"/>
              </w:rPr>
            </w:pPr>
            <w:r w:rsidRPr="00B40C4D">
              <w:t>–</w:t>
            </w:r>
          </w:p>
        </w:tc>
      </w:tr>
      <w:tr w:rsidR="00FA7EBF" w:rsidRPr="007939DD" w14:paraId="2AA1D4CC" w14:textId="77777777" w:rsidTr="007B207C">
        <w:trPr>
          <w:cantSplit/>
        </w:trPr>
        <w:tc>
          <w:tcPr>
            <w:tcW w:w="3177" w:type="dxa"/>
            <w:tcBorders>
              <w:top w:val="single" w:sz="4" w:space="0" w:color="A6A6A6" w:themeColor="background1" w:themeShade="A6"/>
              <w:bottom w:val="single" w:sz="4" w:space="0" w:color="A6A6A6" w:themeColor="background1" w:themeShade="A6"/>
            </w:tcBorders>
          </w:tcPr>
          <w:p w14:paraId="6F0E760F" w14:textId="77777777" w:rsidR="00FA7EBF" w:rsidRPr="007939DD" w:rsidRDefault="00FA7EBF" w:rsidP="007B207C">
            <w:pPr>
              <w:pStyle w:val="ARfintablebody"/>
              <w:rPr>
                <w:lang w:eastAsia="en-AU"/>
              </w:rPr>
            </w:pPr>
            <w:r w:rsidRPr="00B40C4D">
              <w:t>Transfers to provision for equity reduction</w:t>
            </w:r>
          </w:p>
        </w:tc>
        <w:tc>
          <w:tcPr>
            <w:tcW w:w="1077" w:type="dxa"/>
            <w:tcBorders>
              <w:top w:val="single" w:sz="4" w:space="0" w:color="A6A6A6" w:themeColor="background1" w:themeShade="A6"/>
              <w:bottom w:val="single" w:sz="4" w:space="0" w:color="A6A6A6" w:themeColor="background1" w:themeShade="A6"/>
            </w:tcBorders>
          </w:tcPr>
          <w:p w14:paraId="18D417F6"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1BA7EB3F" w14:textId="77777777" w:rsidR="00FA7EBF" w:rsidRPr="007939DD" w:rsidRDefault="00FA7EBF" w:rsidP="007B207C">
            <w:pPr>
              <w:pStyle w:val="ARfintablebodyright"/>
              <w:rPr>
                <w:lang w:eastAsia="en-AU"/>
              </w:rPr>
            </w:pPr>
            <w:r w:rsidRPr="00B40C4D">
              <w:t>(0.1)</w:t>
            </w:r>
          </w:p>
        </w:tc>
        <w:tc>
          <w:tcPr>
            <w:tcW w:w="1077" w:type="dxa"/>
            <w:tcBorders>
              <w:top w:val="single" w:sz="4" w:space="0" w:color="A6A6A6" w:themeColor="background1" w:themeShade="A6"/>
              <w:bottom w:val="single" w:sz="4" w:space="0" w:color="A6A6A6" w:themeColor="background1" w:themeShade="A6"/>
            </w:tcBorders>
          </w:tcPr>
          <w:p w14:paraId="13F8902E"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41BFE258"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795B1532"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36490717" w14:textId="77777777" w:rsidR="00FA7EBF" w:rsidRPr="007939DD" w:rsidRDefault="00FA7EBF" w:rsidP="007B207C">
            <w:pPr>
              <w:pStyle w:val="ARfintablebodyright"/>
              <w:rPr>
                <w:lang w:eastAsia="en-AU"/>
              </w:rPr>
            </w:pPr>
            <w:r w:rsidRPr="00B40C4D">
              <w:t>(0.1)</w:t>
            </w:r>
          </w:p>
        </w:tc>
      </w:tr>
      <w:tr w:rsidR="00FA7EBF" w:rsidRPr="007939DD" w14:paraId="1E2A9157" w14:textId="77777777" w:rsidTr="007B207C">
        <w:trPr>
          <w:cantSplit/>
        </w:trPr>
        <w:tc>
          <w:tcPr>
            <w:tcW w:w="3177" w:type="dxa"/>
            <w:tcBorders>
              <w:top w:val="single" w:sz="4" w:space="0" w:color="A6A6A6" w:themeColor="background1" w:themeShade="A6"/>
              <w:bottom w:val="single" w:sz="4" w:space="0" w:color="A6A6A6" w:themeColor="background1" w:themeShade="A6"/>
            </w:tcBorders>
          </w:tcPr>
          <w:p w14:paraId="1D6D6EFA" w14:textId="77777777" w:rsidR="00FA7EBF" w:rsidRPr="007939DD" w:rsidRDefault="00FA7EBF" w:rsidP="007B207C">
            <w:pPr>
              <w:pStyle w:val="ARfintablebody"/>
              <w:rPr>
                <w:lang w:eastAsia="en-AU"/>
              </w:rPr>
            </w:pPr>
            <w:r w:rsidRPr="00B40C4D">
              <w:t>Transfers (to)/from assets held for sale</w:t>
            </w:r>
          </w:p>
        </w:tc>
        <w:tc>
          <w:tcPr>
            <w:tcW w:w="1077" w:type="dxa"/>
            <w:tcBorders>
              <w:top w:val="single" w:sz="4" w:space="0" w:color="A6A6A6" w:themeColor="background1" w:themeShade="A6"/>
              <w:bottom w:val="single" w:sz="4" w:space="0" w:color="A6A6A6" w:themeColor="background1" w:themeShade="A6"/>
            </w:tcBorders>
          </w:tcPr>
          <w:p w14:paraId="0A4730A2" w14:textId="77777777" w:rsidR="00FA7EBF" w:rsidRPr="007939DD" w:rsidRDefault="00FA7EBF" w:rsidP="007B207C">
            <w:pPr>
              <w:pStyle w:val="ARfintablebodyright"/>
              <w:rPr>
                <w:lang w:eastAsia="en-AU"/>
              </w:rPr>
            </w:pPr>
            <w:r w:rsidRPr="00B40C4D">
              <w:t>(27.0)</w:t>
            </w:r>
          </w:p>
        </w:tc>
        <w:tc>
          <w:tcPr>
            <w:tcW w:w="1077" w:type="dxa"/>
            <w:tcBorders>
              <w:top w:val="single" w:sz="4" w:space="0" w:color="A6A6A6" w:themeColor="background1" w:themeShade="A6"/>
              <w:bottom w:val="single" w:sz="4" w:space="0" w:color="A6A6A6" w:themeColor="background1" w:themeShade="A6"/>
            </w:tcBorders>
          </w:tcPr>
          <w:p w14:paraId="68217916" w14:textId="77777777" w:rsidR="00FA7EBF" w:rsidRPr="007939DD" w:rsidRDefault="00FA7EBF" w:rsidP="007B207C">
            <w:pPr>
              <w:pStyle w:val="ARfintablebodyright"/>
              <w:rPr>
                <w:lang w:eastAsia="en-AU"/>
              </w:rPr>
            </w:pPr>
            <w:r w:rsidRPr="00B40C4D">
              <w:t>(8.6)</w:t>
            </w:r>
          </w:p>
        </w:tc>
        <w:tc>
          <w:tcPr>
            <w:tcW w:w="1077" w:type="dxa"/>
            <w:tcBorders>
              <w:top w:val="single" w:sz="4" w:space="0" w:color="A6A6A6" w:themeColor="background1" w:themeShade="A6"/>
              <w:bottom w:val="single" w:sz="4" w:space="0" w:color="A6A6A6" w:themeColor="background1" w:themeShade="A6"/>
            </w:tcBorders>
          </w:tcPr>
          <w:p w14:paraId="672F30B5"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186C894A"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16DBA730" w14:textId="77777777" w:rsidR="00FA7EBF" w:rsidRPr="007939DD" w:rsidRDefault="00FA7EBF" w:rsidP="007B207C">
            <w:pPr>
              <w:pStyle w:val="ARfintablebodyright"/>
              <w:rPr>
                <w:lang w:eastAsia="en-AU"/>
              </w:rPr>
            </w:pPr>
            <w:r w:rsidRPr="00B40C4D">
              <w:t>–</w:t>
            </w:r>
          </w:p>
        </w:tc>
        <w:tc>
          <w:tcPr>
            <w:tcW w:w="1077" w:type="dxa"/>
            <w:tcBorders>
              <w:top w:val="single" w:sz="4" w:space="0" w:color="A6A6A6" w:themeColor="background1" w:themeShade="A6"/>
              <w:bottom w:val="single" w:sz="4" w:space="0" w:color="A6A6A6" w:themeColor="background1" w:themeShade="A6"/>
            </w:tcBorders>
          </w:tcPr>
          <w:p w14:paraId="03A9A4F9" w14:textId="77777777" w:rsidR="00FA7EBF" w:rsidRPr="007939DD" w:rsidRDefault="00FA7EBF" w:rsidP="007B207C">
            <w:pPr>
              <w:pStyle w:val="ARfintablebodyright"/>
              <w:rPr>
                <w:lang w:eastAsia="en-AU"/>
              </w:rPr>
            </w:pPr>
            <w:r w:rsidRPr="00B40C4D">
              <w:t>(35.6)</w:t>
            </w:r>
          </w:p>
        </w:tc>
      </w:tr>
      <w:tr w:rsidR="00FA7EBF" w:rsidRPr="007939DD" w14:paraId="2BC0B59E" w14:textId="77777777" w:rsidTr="007B207C">
        <w:trPr>
          <w:cantSplit/>
        </w:trPr>
        <w:tc>
          <w:tcPr>
            <w:tcW w:w="3177" w:type="dxa"/>
            <w:tcBorders>
              <w:top w:val="single" w:sz="4" w:space="0" w:color="A6A6A6" w:themeColor="background1" w:themeShade="A6"/>
            </w:tcBorders>
          </w:tcPr>
          <w:p w14:paraId="621688E0" w14:textId="77777777" w:rsidR="00FA7EBF" w:rsidRPr="007939DD" w:rsidRDefault="00FA7EBF" w:rsidP="007B207C">
            <w:pPr>
              <w:pStyle w:val="ARfintablebody"/>
              <w:rPr>
                <w:lang w:eastAsia="en-AU"/>
              </w:rPr>
            </w:pPr>
            <w:r w:rsidRPr="00B40C4D">
              <w:t>Other changes</w:t>
            </w:r>
          </w:p>
        </w:tc>
        <w:tc>
          <w:tcPr>
            <w:tcW w:w="1077" w:type="dxa"/>
            <w:tcBorders>
              <w:top w:val="single" w:sz="4" w:space="0" w:color="A6A6A6" w:themeColor="background1" w:themeShade="A6"/>
            </w:tcBorders>
          </w:tcPr>
          <w:p w14:paraId="158DE427" w14:textId="77777777" w:rsidR="00FA7EBF" w:rsidRPr="007939DD" w:rsidRDefault="00FA7EBF" w:rsidP="007B207C">
            <w:pPr>
              <w:pStyle w:val="ARfintablebodyright"/>
              <w:rPr>
                <w:lang w:eastAsia="en-AU"/>
              </w:rPr>
            </w:pPr>
            <w:r w:rsidRPr="00B40C4D">
              <w:t>(4.0)</w:t>
            </w:r>
          </w:p>
        </w:tc>
        <w:tc>
          <w:tcPr>
            <w:tcW w:w="1077" w:type="dxa"/>
            <w:tcBorders>
              <w:top w:val="single" w:sz="4" w:space="0" w:color="A6A6A6" w:themeColor="background1" w:themeShade="A6"/>
            </w:tcBorders>
          </w:tcPr>
          <w:p w14:paraId="7F76596C" w14:textId="77777777" w:rsidR="00FA7EBF" w:rsidRPr="007939DD" w:rsidRDefault="00FA7EBF" w:rsidP="007B207C">
            <w:pPr>
              <w:pStyle w:val="ARfintablebodyright"/>
              <w:rPr>
                <w:lang w:eastAsia="en-AU"/>
              </w:rPr>
            </w:pPr>
            <w:r w:rsidRPr="00B40C4D">
              <w:t>(2.4)</w:t>
            </w:r>
          </w:p>
        </w:tc>
        <w:tc>
          <w:tcPr>
            <w:tcW w:w="1077" w:type="dxa"/>
            <w:tcBorders>
              <w:top w:val="single" w:sz="4" w:space="0" w:color="A6A6A6" w:themeColor="background1" w:themeShade="A6"/>
            </w:tcBorders>
          </w:tcPr>
          <w:p w14:paraId="7A517958" w14:textId="77777777" w:rsidR="00FA7EBF" w:rsidRPr="007939DD" w:rsidRDefault="00FA7EBF" w:rsidP="007B207C">
            <w:pPr>
              <w:pStyle w:val="ARfintablebodyright"/>
              <w:rPr>
                <w:lang w:eastAsia="en-AU"/>
              </w:rPr>
            </w:pPr>
            <w:r w:rsidRPr="00B40C4D">
              <w:t>(1.1)</w:t>
            </w:r>
          </w:p>
        </w:tc>
        <w:tc>
          <w:tcPr>
            <w:tcW w:w="1077" w:type="dxa"/>
            <w:tcBorders>
              <w:top w:val="single" w:sz="4" w:space="0" w:color="A6A6A6" w:themeColor="background1" w:themeShade="A6"/>
            </w:tcBorders>
          </w:tcPr>
          <w:p w14:paraId="22A92194" w14:textId="77777777" w:rsidR="00FA7EBF" w:rsidRPr="007939DD" w:rsidRDefault="00FA7EBF" w:rsidP="007B207C">
            <w:pPr>
              <w:pStyle w:val="ARfintablebodyright"/>
              <w:rPr>
                <w:lang w:eastAsia="en-AU"/>
              </w:rPr>
            </w:pPr>
            <w:r w:rsidRPr="00B40C4D">
              <w:t>(0.7)</w:t>
            </w:r>
          </w:p>
        </w:tc>
        <w:tc>
          <w:tcPr>
            <w:tcW w:w="1077" w:type="dxa"/>
            <w:tcBorders>
              <w:top w:val="single" w:sz="4" w:space="0" w:color="A6A6A6" w:themeColor="background1" w:themeShade="A6"/>
            </w:tcBorders>
          </w:tcPr>
          <w:p w14:paraId="4D79E0F0" w14:textId="77777777" w:rsidR="00FA7EBF" w:rsidRPr="007939DD" w:rsidRDefault="00FA7EBF" w:rsidP="007B207C">
            <w:pPr>
              <w:pStyle w:val="ARfintablebodyright"/>
              <w:rPr>
                <w:lang w:eastAsia="en-AU"/>
              </w:rPr>
            </w:pPr>
            <w:r w:rsidRPr="00B40C4D">
              <w:t>0.3</w:t>
            </w:r>
          </w:p>
        </w:tc>
        <w:tc>
          <w:tcPr>
            <w:tcW w:w="1077" w:type="dxa"/>
            <w:tcBorders>
              <w:top w:val="single" w:sz="4" w:space="0" w:color="A6A6A6" w:themeColor="background1" w:themeShade="A6"/>
            </w:tcBorders>
          </w:tcPr>
          <w:p w14:paraId="57B73D8A" w14:textId="77777777" w:rsidR="00FA7EBF" w:rsidRPr="007939DD" w:rsidRDefault="00FA7EBF" w:rsidP="007B207C">
            <w:pPr>
              <w:pStyle w:val="ARfintablebodyright"/>
              <w:rPr>
                <w:lang w:eastAsia="en-AU"/>
              </w:rPr>
            </w:pPr>
            <w:r w:rsidRPr="00B40C4D">
              <w:t>(7.8)</w:t>
            </w:r>
          </w:p>
        </w:tc>
      </w:tr>
      <w:tr w:rsidR="00FA7EBF" w:rsidRPr="007939DD" w14:paraId="1B9FB05C" w14:textId="77777777" w:rsidTr="007B207C">
        <w:trPr>
          <w:cantSplit/>
        </w:trPr>
        <w:tc>
          <w:tcPr>
            <w:tcW w:w="3177" w:type="dxa"/>
          </w:tcPr>
          <w:p w14:paraId="1B044A1D" w14:textId="77777777" w:rsidR="00FA7EBF" w:rsidRPr="007939DD" w:rsidRDefault="00FA7EBF" w:rsidP="007B207C">
            <w:pPr>
              <w:pStyle w:val="ARfintablebodybold"/>
              <w:rPr>
                <w:rStyle w:val="Strong"/>
              </w:rPr>
            </w:pPr>
            <w:r w:rsidRPr="00B40C4D">
              <w:t>Balance at 30 June 2019</w:t>
            </w:r>
          </w:p>
        </w:tc>
        <w:tc>
          <w:tcPr>
            <w:tcW w:w="1077" w:type="dxa"/>
          </w:tcPr>
          <w:p w14:paraId="0E9BFA9A" w14:textId="77777777" w:rsidR="00FA7EBF" w:rsidRPr="007939DD" w:rsidRDefault="00FA7EBF" w:rsidP="007B207C">
            <w:pPr>
              <w:pStyle w:val="ARfintablebodyrightbold"/>
              <w:rPr>
                <w:lang w:eastAsia="en-AU"/>
              </w:rPr>
            </w:pPr>
            <w:r w:rsidRPr="00B40C4D">
              <w:t>18,514.9</w:t>
            </w:r>
          </w:p>
        </w:tc>
        <w:tc>
          <w:tcPr>
            <w:tcW w:w="1077" w:type="dxa"/>
          </w:tcPr>
          <w:p w14:paraId="10E9A50A" w14:textId="77777777" w:rsidR="00FA7EBF" w:rsidRPr="007939DD" w:rsidRDefault="00FA7EBF" w:rsidP="007B207C">
            <w:pPr>
              <w:pStyle w:val="ARfintablebodyrightbold"/>
              <w:rPr>
                <w:lang w:eastAsia="en-AU"/>
              </w:rPr>
            </w:pPr>
            <w:r w:rsidRPr="00B40C4D">
              <w:t>9,797.6</w:t>
            </w:r>
          </w:p>
        </w:tc>
        <w:tc>
          <w:tcPr>
            <w:tcW w:w="1077" w:type="dxa"/>
          </w:tcPr>
          <w:p w14:paraId="6E6D21DC" w14:textId="77777777" w:rsidR="00FA7EBF" w:rsidRPr="007939DD" w:rsidRDefault="00FA7EBF" w:rsidP="007B207C">
            <w:pPr>
              <w:pStyle w:val="ARfintablebodyrightbold"/>
              <w:rPr>
                <w:lang w:eastAsia="en-AU"/>
              </w:rPr>
            </w:pPr>
            <w:r w:rsidRPr="00B40C4D">
              <w:t>11.6</w:t>
            </w:r>
          </w:p>
        </w:tc>
        <w:tc>
          <w:tcPr>
            <w:tcW w:w="1077" w:type="dxa"/>
          </w:tcPr>
          <w:p w14:paraId="6BB8DBB9" w14:textId="77777777" w:rsidR="00FA7EBF" w:rsidRPr="006E4233" w:rsidRDefault="00FA7EBF" w:rsidP="007B207C">
            <w:pPr>
              <w:pStyle w:val="ARfintablebodyrightbold"/>
            </w:pPr>
            <w:r w:rsidRPr="00B40C4D">
              <w:t>36.1</w:t>
            </w:r>
          </w:p>
        </w:tc>
        <w:tc>
          <w:tcPr>
            <w:tcW w:w="1077" w:type="dxa"/>
          </w:tcPr>
          <w:p w14:paraId="2DD22A24" w14:textId="77777777" w:rsidR="00FA7EBF" w:rsidRPr="007939DD" w:rsidRDefault="00FA7EBF" w:rsidP="007B207C">
            <w:pPr>
              <w:pStyle w:val="ARfintablebodyrightbold"/>
              <w:rPr>
                <w:lang w:eastAsia="en-AU"/>
              </w:rPr>
            </w:pPr>
            <w:r w:rsidRPr="00B40C4D">
              <w:t>458.0</w:t>
            </w:r>
          </w:p>
        </w:tc>
        <w:tc>
          <w:tcPr>
            <w:tcW w:w="1077" w:type="dxa"/>
          </w:tcPr>
          <w:p w14:paraId="72A76A23" w14:textId="77777777" w:rsidR="00FA7EBF" w:rsidRPr="007939DD" w:rsidRDefault="00FA7EBF" w:rsidP="007B207C">
            <w:pPr>
              <w:pStyle w:val="ARfintablebodyrightbold"/>
              <w:rPr>
                <w:rStyle w:val="Strong"/>
              </w:rPr>
            </w:pPr>
            <w:r w:rsidRPr="00B40C4D">
              <w:t>28,818.2</w:t>
            </w:r>
          </w:p>
        </w:tc>
      </w:tr>
    </w:tbl>
    <w:p w14:paraId="583D85C6" w14:textId="77777777" w:rsidR="00FA7EBF" w:rsidRDefault="00FA7EBF" w:rsidP="00CA66FD">
      <w:pPr>
        <w:pStyle w:val="Heading4"/>
        <w:rPr>
          <w:lang w:eastAsia="en-AU"/>
        </w:rPr>
      </w:pPr>
      <w:bookmarkStart w:id="260" w:name="_Ref21957915"/>
      <w:r w:rsidRPr="00194D78">
        <w:rPr>
          <w:lang w:eastAsia="en-AU"/>
        </w:rPr>
        <w:t>5.2 Intangible assets</w:t>
      </w:r>
      <w:bookmarkEnd w:id="260"/>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2CB4BDFD" w14:textId="77777777" w:rsidTr="007B207C">
        <w:trPr>
          <w:cantSplit/>
          <w:tblHeader/>
        </w:trPr>
        <w:tc>
          <w:tcPr>
            <w:tcW w:w="7371" w:type="dxa"/>
            <w:vAlign w:val="bottom"/>
          </w:tcPr>
          <w:p w14:paraId="4B41DA4A" w14:textId="77777777" w:rsidR="00FA7EBF" w:rsidRPr="007939DD" w:rsidRDefault="00FA7EBF" w:rsidP="007B207C">
            <w:pPr>
              <w:pStyle w:val="ARfintablecolhead"/>
            </w:pPr>
          </w:p>
        </w:tc>
        <w:tc>
          <w:tcPr>
            <w:tcW w:w="1134" w:type="dxa"/>
            <w:shd w:val="clear" w:color="auto" w:fill="E7E6E6"/>
            <w:vAlign w:val="bottom"/>
          </w:tcPr>
          <w:p w14:paraId="38602F29" w14:textId="77777777" w:rsidR="00FA7EBF" w:rsidRPr="007939DD" w:rsidRDefault="00FA7EBF" w:rsidP="007B207C">
            <w:pPr>
              <w:pStyle w:val="ARfintablecolheadright"/>
            </w:pPr>
            <w:r w:rsidRPr="007939DD">
              <w:t>201</w:t>
            </w:r>
            <w:r>
              <w:t>9</w:t>
            </w:r>
          </w:p>
          <w:p w14:paraId="5CFE0F69" w14:textId="77777777" w:rsidR="00FA7EBF" w:rsidRPr="007939DD" w:rsidRDefault="00FA7EBF" w:rsidP="007B207C">
            <w:pPr>
              <w:pStyle w:val="ARfintablecolheadright"/>
            </w:pPr>
            <w:r w:rsidRPr="007939DD">
              <w:t>$M</w:t>
            </w:r>
          </w:p>
        </w:tc>
        <w:tc>
          <w:tcPr>
            <w:tcW w:w="1134" w:type="dxa"/>
            <w:vAlign w:val="bottom"/>
          </w:tcPr>
          <w:p w14:paraId="19A20EFB" w14:textId="77777777" w:rsidR="00FA7EBF" w:rsidRPr="007939DD" w:rsidRDefault="00FA7EBF" w:rsidP="007B207C">
            <w:pPr>
              <w:pStyle w:val="ARfintablecolheadright"/>
            </w:pPr>
            <w:r w:rsidRPr="007939DD">
              <w:t>201</w:t>
            </w:r>
            <w:r>
              <w:t>8</w:t>
            </w:r>
          </w:p>
          <w:p w14:paraId="792572DF" w14:textId="77777777" w:rsidR="00FA7EBF" w:rsidRPr="007939DD" w:rsidRDefault="00FA7EBF" w:rsidP="007B207C">
            <w:pPr>
              <w:pStyle w:val="ARfintablecolheadright"/>
            </w:pPr>
            <w:r w:rsidRPr="007939DD">
              <w:t>$M</w:t>
            </w:r>
          </w:p>
        </w:tc>
      </w:tr>
      <w:tr w:rsidR="00FA7EBF" w:rsidRPr="007939DD" w14:paraId="0F0135D3" w14:textId="77777777" w:rsidTr="007B207C">
        <w:trPr>
          <w:cantSplit/>
        </w:trPr>
        <w:tc>
          <w:tcPr>
            <w:tcW w:w="9639" w:type="dxa"/>
            <w:gridSpan w:val="3"/>
            <w:tcBorders>
              <w:bottom w:val="single" w:sz="4" w:space="0" w:color="A6A6A6" w:themeColor="background1" w:themeShade="A6"/>
            </w:tcBorders>
          </w:tcPr>
          <w:p w14:paraId="2CE958D2" w14:textId="77777777" w:rsidR="00FA7EBF" w:rsidRPr="007939DD" w:rsidRDefault="00FA7EBF" w:rsidP="007B207C">
            <w:pPr>
              <w:pStyle w:val="ARfintablebodybold"/>
              <w:rPr>
                <w:lang w:eastAsia="en-AU"/>
              </w:rPr>
            </w:pPr>
            <w:r w:rsidRPr="00D041DD">
              <w:t>Gross carrying amount</w:t>
            </w:r>
          </w:p>
        </w:tc>
      </w:tr>
      <w:tr w:rsidR="00FA7EBF" w:rsidRPr="007939DD" w14:paraId="4D911DA4"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3C7AA8B5" w14:textId="77777777" w:rsidR="00FA7EBF" w:rsidRPr="007939DD" w:rsidRDefault="00FA7EBF" w:rsidP="007B207C">
            <w:pPr>
              <w:pStyle w:val="ARfintablebodybold"/>
              <w:rPr>
                <w:lang w:eastAsia="en-AU"/>
              </w:rPr>
            </w:pPr>
            <w:r w:rsidRPr="00D041DD">
              <w:t>Opening balance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8A7056A" w14:textId="77777777" w:rsidR="00FA7EBF" w:rsidRPr="007939DD" w:rsidRDefault="00FA7EBF" w:rsidP="007B207C">
            <w:pPr>
              <w:pStyle w:val="ARfintablebodyrightbold"/>
              <w:rPr>
                <w:rStyle w:val="Strong"/>
              </w:rPr>
            </w:pPr>
            <w:r w:rsidRPr="00D041DD">
              <w:t>161.3</w:t>
            </w:r>
          </w:p>
        </w:tc>
        <w:tc>
          <w:tcPr>
            <w:tcW w:w="1134" w:type="dxa"/>
            <w:tcBorders>
              <w:top w:val="single" w:sz="4" w:space="0" w:color="A6A6A6" w:themeColor="background1" w:themeShade="A6"/>
              <w:bottom w:val="single" w:sz="4" w:space="0" w:color="A6A6A6" w:themeColor="background1" w:themeShade="A6"/>
            </w:tcBorders>
          </w:tcPr>
          <w:p w14:paraId="4A878F4B" w14:textId="77777777" w:rsidR="00FA7EBF" w:rsidRPr="007939DD" w:rsidRDefault="00FA7EBF" w:rsidP="007B207C">
            <w:pPr>
              <w:pStyle w:val="ARfintablebodyrightbold"/>
              <w:rPr>
                <w:rStyle w:val="Strong"/>
              </w:rPr>
            </w:pPr>
            <w:r w:rsidRPr="00D041DD">
              <w:t>127.5</w:t>
            </w:r>
          </w:p>
        </w:tc>
      </w:tr>
      <w:tr w:rsidR="00FA7EBF" w:rsidRPr="007939DD" w14:paraId="6E87F7F7"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532AFDE9" w14:textId="77777777" w:rsidR="00FA7EBF" w:rsidRPr="007939DD" w:rsidRDefault="00FA7EBF" w:rsidP="007B207C">
            <w:pPr>
              <w:pStyle w:val="ARfintablebody"/>
              <w:rPr>
                <w:lang w:eastAsia="en-AU"/>
              </w:rPr>
            </w:pPr>
            <w:r w:rsidRPr="00D041DD">
              <w:t>Additions from internal development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35BAB9D" w14:textId="77777777" w:rsidR="00FA7EBF" w:rsidRPr="007939DD" w:rsidRDefault="00FA7EBF" w:rsidP="007B207C">
            <w:pPr>
              <w:pStyle w:val="ARfintablebodyright"/>
            </w:pPr>
            <w:r w:rsidRPr="00D041DD">
              <w:t>54.4</w:t>
            </w:r>
          </w:p>
        </w:tc>
        <w:tc>
          <w:tcPr>
            <w:tcW w:w="1134" w:type="dxa"/>
            <w:tcBorders>
              <w:top w:val="single" w:sz="4" w:space="0" w:color="A6A6A6" w:themeColor="background1" w:themeShade="A6"/>
              <w:bottom w:val="single" w:sz="4" w:space="0" w:color="A6A6A6" w:themeColor="background1" w:themeShade="A6"/>
            </w:tcBorders>
          </w:tcPr>
          <w:p w14:paraId="5ED362F3" w14:textId="77777777" w:rsidR="00FA7EBF" w:rsidRPr="007939DD" w:rsidRDefault="00FA7EBF" w:rsidP="007B207C">
            <w:pPr>
              <w:pStyle w:val="ARfintablebodyright"/>
            </w:pPr>
            <w:r w:rsidRPr="00D041DD">
              <w:t>33.8</w:t>
            </w:r>
          </w:p>
        </w:tc>
      </w:tr>
      <w:tr w:rsidR="00FA7EBF" w:rsidRPr="007939DD" w14:paraId="076A3F42" w14:textId="77777777" w:rsidTr="007B207C">
        <w:trPr>
          <w:cantSplit/>
        </w:trPr>
        <w:tc>
          <w:tcPr>
            <w:tcW w:w="7371" w:type="dxa"/>
            <w:tcBorders>
              <w:top w:val="single" w:sz="4" w:space="0" w:color="A6A6A6" w:themeColor="background1" w:themeShade="A6"/>
            </w:tcBorders>
          </w:tcPr>
          <w:p w14:paraId="7140A9F3" w14:textId="77777777" w:rsidR="00FA7EBF" w:rsidRPr="007939DD" w:rsidRDefault="00FA7EBF" w:rsidP="007B207C">
            <w:pPr>
              <w:pStyle w:val="ARfintablebody"/>
              <w:rPr>
                <w:lang w:eastAsia="en-AU"/>
              </w:rPr>
            </w:pPr>
            <w:r w:rsidRPr="00D041DD">
              <w:t>Disposals or classified as held for sale</w:t>
            </w:r>
          </w:p>
        </w:tc>
        <w:tc>
          <w:tcPr>
            <w:tcW w:w="1134" w:type="dxa"/>
            <w:tcBorders>
              <w:top w:val="single" w:sz="4" w:space="0" w:color="A6A6A6" w:themeColor="background1" w:themeShade="A6"/>
            </w:tcBorders>
            <w:shd w:val="clear" w:color="auto" w:fill="E7E6E6"/>
          </w:tcPr>
          <w:p w14:paraId="58C4CCC8" w14:textId="77777777" w:rsidR="00FA7EBF" w:rsidRPr="007939DD" w:rsidRDefault="00FA7EBF" w:rsidP="007B207C">
            <w:pPr>
              <w:pStyle w:val="ARfintablebodyright"/>
            </w:pPr>
            <w:r w:rsidRPr="00D041DD">
              <w:t>(2.3)</w:t>
            </w:r>
          </w:p>
        </w:tc>
        <w:tc>
          <w:tcPr>
            <w:tcW w:w="1134" w:type="dxa"/>
            <w:tcBorders>
              <w:top w:val="single" w:sz="4" w:space="0" w:color="A6A6A6" w:themeColor="background1" w:themeShade="A6"/>
            </w:tcBorders>
          </w:tcPr>
          <w:p w14:paraId="10F0F817" w14:textId="77777777" w:rsidR="00FA7EBF" w:rsidRPr="007939DD" w:rsidRDefault="00FA7EBF" w:rsidP="007B207C">
            <w:pPr>
              <w:pStyle w:val="ARfintablebodyright"/>
            </w:pPr>
            <w:r w:rsidRPr="00D041DD">
              <w:t>–</w:t>
            </w:r>
          </w:p>
        </w:tc>
      </w:tr>
      <w:tr w:rsidR="00FA7EBF" w:rsidRPr="007939DD" w14:paraId="0801789B" w14:textId="77777777" w:rsidTr="007B207C">
        <w:trPr>
          <w:cantSplit/>
        </w:trPr>
        <w:tc>
          <w:tcPr>
            <w:tcW w:w="7371" w:type="dxa"/>
          </w:tcPr>
          <w:p w14:paraId="12098399" w14:textId="77777777" w:rsidR="00FA7EBF" w:rsidRPr="007939DD" w:rsidRDefault="00FA7EBF" w:rsidP="007B207C">
            <w:pPr>
              <w:pStyle w:val="ARfintablebodybold"/>
              <w:rPr>
                <w:lang w:eastAsia="en-AU"/>
              </w:rPr>
            </w:pPr>
            <w:r w:rsidRPr="00D041DD">
              <w:t>Closing balance</w:t>
            </w:r>
          </w:p>
        </w:tc>
        <w:tc>
          <w:tcPr>
            <w:tcW w:w="1134" w:type="dxa"/>
            <w:shd w:val="clear" w:color="auto" w:fill="E7E6E6"/>
          </w:tcPr>
          <w:p w14:paraId="120A360A" w14:textId="77777777" w:rsidR="00FA7EBF" w:rsidRPr="007939DD" w:rsidRDefault="00FA7EBF" w:rsidP="007B207C">
            <w:pPr>
              <w:pStyle w:val="ARfintablebodyrightbold"/>
              <w:rPr>
                <w:rStyle w:val="Strong"/>
              </w:rPr>
            </w:pPr>
            <w:r w:rsidRPr="00D041DD">
              <w:t>213.4</w:t>
            </w:r>
          </w:p>
        </w:tc>
        <w:tc>
          <w:tcPr>
            <w:tcW w:w="1134" w:type="dxa"/>
          </w:tcPr>
          <w:p w14:paraId="2CC7CC9D" w14:textId="77777777" w:rsidR="00FA7EBF" w:rsidRPr="007939DD" w:rsidRDefault="00FA7EBF" w:rsidP="007B207C">
            <w:pPr>
              <w:pStyle w:val="ARfintablebodyrightbold"/>
              <w:rPr>
                <w:rStyle w:val="Strong"/>
              </w:rPr>
            </w:pPr>
            <w:r w:rsidRPr="00D041DD">
              <w:t>161.3</w:t>
            </w:r>
          </w:p>
        </w:tc>
      </w:tr>
      <w:tr w:rsidR="00FA7EBF" w:rsidRPr="007939DD" w14:paraId="35A364FB" w14:textId="77777777" w:rsidTr="007B207C">
        <w:trPr>
          <w:cantSplit/>
        </w:trPr>
        <w:tc>
          <w:tcPr>
            <w:tcW w:w="9639" w:type="dxa"/>
            <w:gridSpan w:val="3"/>
            <w:tcBorders>
              <w:bottom w:val="single" w:sz="4" w:space="0" w:color="A6A6A6" w:themeColor="background1" w:themeShade="A6"/>
            </w:tcBorders>
          </w:tcPr>
          <w:p w14:paraId="3B7C966B" w14:textId="77777777" w:rsidR="00FA7EBF" w:rsidRPr="007939DD" w:rsidRDefault="00FA7EBF" w:rsidP="007B207C">
            <w:pPr>
              <w:pStyle w:val="ARfintablebodybold"/>
            </w:pPr>
            <w:r w:rsidRPr="00D041DD">
              <w:t>Accumulated amortisation and impairment</w:t>
            </w:r>
          </w:p>
        </w:tc>
      </w:tr>
      <w:tr w:rsidR="00FA7EBF" w:rsidRPr="007939DD" w14:paraId="222F7152"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5865D06B" w14:textId="77777777" w:rsidR="00FA7EBF" w:rsidRPr="007939DD" w:rsidRDefault="00FA7EBF" w:rsidP="007B207C">
            <w:pPr>
              <w:pStyle w:val="ARfintablebodybold"/>
              <w:rPr>
                <w:rStyle w:val="Strong"/>
              </w:rPr>
            </w:pPr>
            <w:r w:rsidRPr="00D041DD">
              <w:t>Opening balance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4F96D8A" w14:textId="77777777" w:rsidR="00FA7EBF" w:rsidRPr="007939DD" w:rsidRDefault="00FA7EBF" w:rsidP="007B207C">
            <w:pPr>
              <w:pStyle w:val="ARfintablebodyright"/>
            </w:pPr>
            <w:r w:rsidRPr="00D041DD">
              <w:t>(84.7)</w:t>
            </w:r>
          </w:p>
        </w:tc>
        <w:tc>
          <w:tcPr>
            <w:tcW w:w="1134" w:type="dxa"/>
            <w:tcBorders>
              <w:top w:val="single" w:sz="4" w:space="0" w:color="A6A6A6" w:themeColor="background1" w:themeShade="A6"/>
              <w:bottom w:val="single" w:sz="4" w:space="0" w:color="A6A6A6" w:themeColor="background1" w:themeShade="A6"/>
            </w:tcBorders>
          </w:tcPr>
          <w:p w14:paraId="7FEC2AB5" w14:textId="77777777" w:rsidR="00FA7EBF" w:rsidRPr="007939DD" w:rsidRDefault="00FA7EBF" w:rsidP="007B207C">
            <w:pPr>
              <w:pStyle w:val="ARfintablebodyright"/>
            </w:pPr>
            <w:r w:rsidRPr="00D041DD">
              <w:t>(63.4)</w:t>
            </w:r>
          </w:p>
        </w:tc>
      </w:tr>
      <w:tr w:rsidR="00FA7EBF" w:rsidRPr="007939DD" w14:paraId="1959515D" w14:textId="77777777" w:rsidTr="007B207C">
        <w:trPr>
          <w:cantSplit/>
        </w:trPr>
        <w:tc>
          <w:tcPr>
            <w:tcW w:w="7371" w:type="dxa"/>
            <w:tcBorders>
              <w:top w:val="single" w:sz="4" w:space="0" w:color="A6A6A6" w:themeColor="background1" w:themeShade="A6"/>
            </w:tcBorders>
          </w:tcPr>
          <w:p w14:paraId="111B0B2B" w14:textId="77777777" w:rsidR="00FA7EBF" w:rsidRPr="007939DD" w:rsidRDefault="00FA7EBF" w:rsidP="007B207C">
            <w:pPr>
              <w:pStyle w:val="ARfintablebody"/>
              <w:rPr>
                <w:lang w:eastAsia="en-AU"/>
              </w:rPr>
            </w:pPr>
            <w:r w:rsidRPr="00D041DD">
              <w:t>Amortisation of intangible produced assets</w:t>
            </w:r>
          </w:p>
        </w:tc>
        <w:tc>
          <w:tcPr>
            <w:tcW w:w="1134" w:type="dxa"/>
            <w:tcBorders>
              <w:top w:val="single" w:sz="4" w:space="0" w:color="A6A6A6" w:themeColor="background1" w:themeShade="A6"/>
            </w:tcBorders>
            <w:shd w:val="clear" w:color="auto" w:fill="E7E6E6"/>
          </w:tcPr>
          <w:p w14:paraId="558822D2" w14:textId="77777777" w:rsidR="00FA7EBF" w:rsidRPr="007939DD" w:rsidRDefault="00FA7EBF" w:rsidP="007B207C">
            <w:pPr>
              <w:pStyle w:val="ARfintablebodyright"/>
            </w:pPr>
            <w:r w:rsidRPr="00D041DD">
              <w:t>(20.3)</w:t>
            </w:r>
          </w:p>
        </w:tc>
        <w:tc>
          <w:tcPr>
            <w:tcW w:w="1134" w:type="dxa"/>
            <w:tcBorders>
              <w:top w:val="single" w:sz="4" w:space="0" w:color="A6A6A6" w:themeColor="background1" w:themeShade="A6"/>
            </w:tcBorders>
          </w:tcPr>
          <w:p w14:paraId="62ACC6F3" w14:textId="77777777" w:rsidR="00FA7EBF" w:rsidRPr="007939DD" w:rsidRDefault="00FA7EBF" w:rsidP="007B207C">
            <w:pPr>
              <w:pStyle w:val="ARfintablebodyright"/>
            </w:pPr>
            <w:r w:rsidRPr="00D041DD">
              <w:t>(21.3)</w:t>
            </w:r>
          </w:p>
        </w:tc>
      </w:tr>
      <w:tr w:rsidR="00FA7EBF" w:rsidRPr="007939DD" w14:paraId="240F1C10" w14:textId="77777777" w:rsidTr="007B207C">
        <w:trPr>
          <w:cantSplit/>
        </w:trPr>
        <w:tc>
          <w:tcPr>
            <w:tcW w:w="7371" w:type="dxa"/>
          </w:tcPr>
          <w:p w14:paraId="129324A5" w14:textId="77777777" w:rsidR="00FA7EBF" w:rsidRPr="007939DD" w:rsidRDefault="00FA7EBF" w:rsidP="007B207C">
            <w:pPr>
              <w:pStyle w:val="ARfintablebodybold"/>
              <w:rPr>
                <w:lang w:eastAsia="en-AU"/>
              </w:rPr>
            </w:pPr>
            <w:r w:rsidRPr="00D041DD">
              <w:t>Closing balance</w:t>
            </w:r>
          </w:p>
        </w:tc>
        <w:tc>
          <w:tcPr>
            <w:tcW w:w="1134" w:type="dxa"/>
            <w:shd w:val="clear" w:color="auto" w:fill="E7E6E6"/>
          </w:tcPr>
          <w:p w14:paraId="31F188D6" w14:textId="77777777" w:rsidR="00FA7EBF" w:rsidRPr="007939DD" w:rsidRDefault="00FA7EBF" w:rsidP="007B207C">
            <w:pPr>
              <w:pStyle w:val="ARfintablebodyrightbold"/>
              <w:rPr>
                <w:rStyle w:val="Strong"/>
              </w:rPr>
            </w:pPr>
            <w:r w:rsidRPr="00D041DD">
              <w:t>(104.9)</w:t>
            </w:r>
          </w:p>
        </w:tc>
        <w:tc>
          <w:tcPr>
            <w:tcW w:w="1134" w:type="dxa"/>
          </w:tcPr>
          <w:p w14:paraId="1A1B4ABE" w14:textId="77777777" w:rsidR="00FA7EBF" w:rsidRPr="007939DD" w:rsidRDefault="00FA7EBF" w:rsidP="007B207C">
            <w:pPr>
              <w:pStyle w:val="ARfintablebodyrightbold"/>
              <w:rPr>
                <w:rStyle w:val="Strong"/>
              </w:rPr>
            </w:pPr>
            <w:r w:rsidRPr="00D041DD">
              <w:t>(84.7)</w:t>
            </w:r>
          </w:p>
        </w:tc>
      </w:tr>
      <w:tr w:rsidR="00FA7EBF" w:rsidRPr="007939DD" w14:paraId="5F32AABA" w14:textId="77777777" w:rsidTr="007B207C">
        <w:trPr>
          <w:cantSplit/>
        </w:trPr>
        <w:tc>
          <w:tcPr>
            <w:tcW w:w="7371" w:type="dxa"/>
          </w:tcPr>
          <w:p w14:paraId="72B45EC3" w14:textId="77777777" w:rsidR="00FA7EBF" w:rsidRPr="007939DD" w:rsidRDefault="00FA7EBF" w:rsidP="007B207C">
            <w:pPr>
              <w:pStyle w:val="ARfintablebodybold"/>
              <w:rPr>
                <w:lang w:eastAsia="en-AU"/>
              </w:rPr>
            </w:pPr>
            <w:r w:rsidRPr="00D041DD">
              <w:t>Net book value at end of financial year</w:t>
            </w:r>
          </w:p>
        </w:tc>
        <w:tc>
          <w:tcPr>
            <w:tcW w:w="1134" w:type="dxa"/>
            <w:shd w:val="clear" w:color="auto" w:fill="E7E6E6"/>
          </w:tcPr>
          <w:p w14:paraId="0CA44D96" w14:textId="77777777" w:rsidR="00FA7EBF" w:rsidRPr="007939DD" w:rsidRDefault="00FA7EBF" w:rsidP="007B207C">
            <w:pPr>
              <w:pStyle w:val="ARfintablebodyrightbold"/>
              <w:rPr>
                <w:rStyle w:val="Strong"/>
              </w:rPr>
            </w:pPr>
            <w:r w:rsidRPr="00D041DD">
              <w:t>108.4</w:t>
            </w:r>
          </w:p>
        </w:tc>
        <w:tc>
          <w:tcPr>
            <w:tcW w:w="1134" w:type="dxa"/>
          </w:tcPr>
          <w:p w14:paraId="164138F4" w14:textId="77777777" w:rsidR="00FA7EBF" w:rsidRPr="007939DD" w:rsidRDefault="00FA7EBF" w:rsidP="007B207C">
            <w:pPr>
              <w:pStyle w:val="ARfintablebodyrightbold"/>
              <w:rPr>
                <w:rStyle w:val="Strong"/>
              </w:rPr>
            </w:pPr>
            <w:r w:rsidRPr="00D041DD">
              <w:t>76.6</w:t>
            </w:r>
          </w:p>
        </w:tc>
      </w:tr>
    </w:tbl>
    <w:p w14:paraId="35CC835A" w14:textId="77777777" w:rsidR="00FA7EBF" w:rsidRPr="00FB3D33" w:rsidRDefault="00FA7EBF" w:rsidP="00CA66FD">
      <w:pPr>
        <w:pStyle w:val="ARfinbody"/>
      </w:pPr>
      <w:r w:rsidRPr="00FB3D33">
        <w:br w:type="page"/>
      </w:r>
    </w:p>
    <w:p w14:paraId="01D7EF1D" w14:textId="77777777" w:rsidR="00FA7EBF" w:rsidRPr="00194D78" w:rsidRDefault="00FA7EBF" w:rsidP="00CA66FD">
      <w:pPr>
        <w:pStyle w:val="Heading5"/>
        <w:rPr>
          <w:lang w:eastAsia="en-AU"/>
        </w:rPr>
      </w:pPr>
      <w:r w:rsidRPr="00FB3D33">
        <w:t>I</w:t>
      </w:r>
      <w:r w:rsidRPr="00194D78">
        <w:rPr>
          <w:lang w:eastAsia="en-AU"/>
        </w:rPr>
        <w:t>nitial recognition</w:t>
      </w:r>
    </w:p>
    <w:p w14:paraId="53FCCFBA" w14:textId="77777777" w:rsidR="00FA7EBF" w:rsidRDefault="00FA7EBF" w:rsidP="00CA66FD">
      <w:pPr>
        <w:pStyle w:val="ARfinbody"/>
      </w:pPr>
      <w:r w:rsidRPr="00B82ED9">
        <w:rPr>
          <w:rStyle w:val="Strong"/>
          <w:bCs w:val="0"/>
        </w:rPr>
        <w:t>Purchased intangible assets</w:t>
      </w:r>
      <w:r w:rsidRPr="00194D78">
        <w:t xml:space="preserve"> are initially recognised at cost. When the recognition criteria i</w:t>
      </w:r>
      <w:r w:rsidRPr="00902878">
        <w:t xml:space="preserve">n AASB 138 </w:t>
      </w:r>
      <w:r w:rsidRPr="00743D91">
        <w:rPr>
          <w:rStyle w:val="Emphasis"/>
          <w:iCs w:val="0"/>
        </w:rPr>
        <w:t>Intangible Assets</w:t>
      </w:r>
      <w:r w:rsidRPr="00194D78">
        <w:t xml:space="preserve"> is met, internally generated intangible assets are recognised at cost. Subsequently, intangible assets with finite useful lives are carried at cost less accumulated amortisation and accumulated impairment losses. Depreciation and amortisation begin when the asset is available for use, that is, when it is in the location and condition necessary for it to be capable of operating in the manner intended by management.</w:t>
      </w:r>
    </w:p>
    <w:p w14:paraId="24B9E226" w14:textId="77777777" w:rsidR="00FA7EBF" w:rsidRPr="00194D78" w:rsidRDefault="00FA7EBF" w:rsidP="00CA66FD">
      <w:pPr>
        <w:pStyle w:val="ARfinbody"/>
      </w:pPr>
      <w:r w:rsidRPr="00194D78">
        <w:t>An</w:t>
      </w:r>
      <w:r w:rsidRPr="00194D78">
        <w:rPr>
          <w:b/>
          <w:bCs/>
        </w:rPr>
        <w:t xml:space="preserve"> </w:t>
      </w:r>
      <w:r w:rsidRPr="00B82ED9">
        <w:rPr>
          <w:rStyle w:val="Strong"/>
          <w:bCs w:val="0"/>
        </w:rPr>
        <w:t>internally generated intangible asset</w:t>
      </w:r>
      <w:r w:rsidRPr="00194D78">
        <w:t xml:space="preserve"> arising from development (or from the development phase of an internal project) is recognised if, and only if, all of the following are demonstrated:</w:t>
      </w:r>
    </w:p>
    <w:p w14:paraId="0A25928A" w14:textId="77777777" w:rsidR="00FA7EBF" w:rsidRPr="00194D78" w:rsidRDefault="00FA7EBF" w:rsidP="00CA66FD">
      <w:pPr>
        <w:pStyle w:val="ARfinnumberalpha1"/>
        <w:numPr>
          <w:ilvl w:val="0"/>
          <w:numId w:val="23"/>
        </w:numPr>
      </w:pPr>
      <w:r w:rsidRPr="00194D78">
        <w:t>the technical feasibility of completing the intangible asset so that it will be available for use or sale</w:t>
      </w:r>
    </w:p>
    <w:p w14:paraId="5E737D97" w14:textId="77777777" w:rsidR="00FA7EBF" w:rsidRPr="00194D78" w:rsidRDefault="00FA7EBF" w:rsidP="00CA66FD">
      <w:pPr>
        <w:pStyle w:val="ARfinnumberalpha1"/>
        <w:numPr>
          <w:ilvl w:val="0"/>
          <w:numId w:val="23"/>
        </w:numPr>
      </w:pPr>
      <w:r w:rsidRPr="00194D78">
        <w:t>an intention to complete the intangible asset and use or sell it</w:t>
      </w:r>
    </w:p>
    <w:p w14:paraId="0FA5F24F" w14:textId="77777777" w:rsidR="00FA7EBF" w:rsidRPr="00194D78" w:rsidRDefault="00FA7EBF" w:rsidP="00CA66FD">
      <w:pPr>
        <w:pStyle w:val="ARfinnumberalpha1"/>
        <w:numPr>
          <w:ilvl w:val="0"/>
          <w:numId w:val="23"/>
        </w:numPr>
      </w:pPr>
      <w:r w:rsidRPr="00194D78">
        <w:t>the ability to use or sell the intangible asset</w:t>
      </w:r>
    </w:p>
    <w:p w14:paraId="6C4D7C1D" w14:textId="77777777" w:rsidR="00FA7EBF" w:rsidRPr="00194D78" w:rsidRDefault="00FA7EBF" w:rsidP="00CA66FD">
      <w:pPr>
        <w:pStyle w:val="ARfinnumberalpha1"/>
        <w:numPr>
          <w:ilvl w:val="0"/>
          <w:numId w:val="23"/>
        </w:numPr>
      </w:pPr>
      <w:r w:rsidRPr="00194D78">
        <w:t>the intangible asset will generate probable future economic benefits</w:t>
      </w:r>
    </w:p>
    <w:p w14:paraId="739F664F" w14:textId="77777777" w:rsidR="00FA7EBF" w:rsidRPr="00194D78" w:rsidRDefault="00FA7EBF" w:rsidP="00CA66FD">
      <w:pPr>
        <w:pStyle w:val="ARfinnumberalpha1"/>
        <w:numPr>
          <w:ilvl w:val="0"/>
          <w:numId w:val="23"/>
        </w:numPr>
      </w:pPr>
      <w:r w:rsidRPr="00194D78">
        <w:t>the availability of adequate technical, financial and other resources to complete the development and to use or sell the intangible asset</w:t>
      </w:r>
    </w:p>
    <w:p w14:paraId="4524D59E" w14:textId="77777777" w:rsidR="00FA7EBF" w:rsidRPr="00194D78" w:rsidRDefault="00FA7EBF" w:rsidP="00CA66FD">
      <w:pPr>
        <w:pStyle w:val="ARfinnumberalpha1"/>
        <w:numPr>
          <w:ilvl w:val="0"/>
          <w:numId w:val="23"/>
        </w:numPr>
      </w:pPr>
      <w:r w:rsidRPr="00194D78">
        <w:t>the ability to measure reliably the expenditure attributable to the intangible asset during its development.</w:t>
      </w:r>
    </w:p>
    <w:p w14:paraId="3123DE0C" w14:textId="77777777" w:rsidR="00FA7EBF" w:rsidRPr="00194D78" w:rsidRDefault="00FA7EBF" w:rsidP="00CA66FD">
      <w:pPr>
        <w:pStyle w:val="Heading5"/>
        <w:rPr>
          <w:lang w:eastAsia="en-AU"/>
        </w:rPr>
      </w:pPr>
      <w:r w:rsidRPr="00194D78">
        <w:rPr>
          <w:lang w:eastAsia="en-AU"/>
        </w:rPr>
        <w:t>Subsequent measurement</w:t>
      </w:r>
    </w:p>
    <w:p w14:paraId="480A4F6C" w14:textId="77777777" w:rsidR="00FA7EBF" w:rsidRPr="00194D78" w:rsidRDefault="00FA7EBF" w:rsidP="00CA66FD">
      <w:pPr>
        <w:pStyle w:val="ARfinbody"/>
      </w:pPr>
      <w:r w:rsidRPr="00194D78">
        <w:t xml:space="preserve">Intangible produced assets with finite useful lives, are amortised as an </w:t>
      </w:r>
      <w:r>
        <w:t>‘</w:t>
      </w:r>
      <w:r w:rsidRPr="00194D78">
        <w:t>expense from transactions</w:t>
      </w:r>
      <w:r>
        <w:t>’</w:t>
      </w:r>
      <w:r w:rsidRPr="00194D78">
        <w:t xml:space="preserve"> on a straight line basis over their useful lives.</w:t>
      </w:r>
    </w:p>
    <w:p w14:paraId="4E95ACA3" w14:textId="77777777" w:rsidR="00FA7EBF" w:rsidRPr="00194D78" w:rsidRDefault="00FA7EBF" w:rsidP="00CA66FD">
      <w:pPr>
        <w:pStyle w:val="Heading5"/>
        <w:rPr>
          <w:lang w:eastAsia="en-AU"/>
        </w:rPr>
      </w:pPr>
      <w:r w:rsidRPr="00194D78">
        <w:rPr>
          <w:lang w:eastAsia="en-AU"/>
        </w:rPr>
        <w:t>Impairment of intangible assets</w:t>
      </w:r>
    </w:p>
    <w:p w14:paraId="5F0CD137" w14:textId="77777777" w:rsidR="00FA7EBF" w:rsidRPr="00194D78" w:rsidRDefault="00FA7EBF" w:rsidP="00CA66FD">
      <w:pPr>
        <w:pStyle w:val="ARfinbody"/>
      </w:pPr>
      <w:r w:rsidRPr="00194D78">
        <w:t>Intangible assets with finite useful lives are tested for impairment whenever an indication of impairment is identified.</w:t>
      </w:r>
    </w:p>
    <w:p w14:paraId="09C30952" w14:textId="77777777" w:rsidR="00FA7EBF" w:rsidRPr="00194D78" w:rsidRDefault="00FA7EBF" w:rsidP="00CA66FD">
      <w:pPr>
        <w:pStyle w:val="Heading4"/>
        <w:rPr>
          <w:lang w:eastAsia="en-AU"/>
        </w:rPr>
      </w:pPr>
      <w:r w:rsidRPr="00194D78">
        <w:rPr>
          <w:lang w:eastAsia="en-AU"/>
        </w:rPr>
        <w:t>5.3 Investments accounted for using the equity method</w:t>
      </w:r>
    </w:p>
    <w:p w14:paraId="1A493634" w14:textId="77777777" w:rsidR="00FA7EBF" w:rsidRPr="00194D78" w:rsidRDefault="00FA7EBF" w:rsidP="00CA66FD">
      <w:pPr>
        <w:pStyle w:val="ARfinbody"/>
      </w:pPr>
      <w:r w:rsidRPr="00194D78">
        <w:t>The department has an interest in a joint venture with Monash University in the Australian Regenerative Medical Institute (ARMI). This investment is accounted at cost.</w:t>
      </w:r>
    </w:p>
    <w:p w14:paraId="05B13133" w14:textId="77777777" w:rsidR="00FA7EBF" w:rsidRPr="00194D78" w:rsidRDefault="00FA7EBF" w:rsidP="00CA66FD">
      <w:pPr>
        <w:pStyle w:val="Heading5"/>
        <w:rPr>
          <w:lang w:eastAsia="en-AU"/>
        </w:rPr>
      </w:pPr>
      <w:r w:rsidRPr="00194D78">
        <w:rPr>
          <w:lang w:eastAsia="en-AU"/>
        </w:rPr>
        <w:t>5.3.1 Details of joint venture</w:t>
      </w:r>
    </w:p>
    <w:p w14:paraId="79B92FDD" w14:textId="77777777" w:rsidR="00FA7EBF" w:rsidRDefault="00FA7EBF" w:rsidP="00CA66FD">
      <w:pPr>
        <w:pStyle w:val="ARfinbody"/>
      </w:pPr>
      <w:r w:rsidRPr="00194D78">
        <w:t>ARMI was established to construct and operate a facility which will promote Victoria as a global leader in regenerative medical research, foster and develop existing research collaboration on domestic and overseas projects, and provide a major site for undergraduate and postgraduate training programs.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1475"/>
        <w:gridCol w:w="2722"/>
        <w:gridCol w:w="2722"/>
        <w:gridCol w:w="680"/>
        <w:gridCol w:w="680"/>
        <w:gridCol w:w="680"/>
        <w:gridCol w:w="680"/>
      </w:tblGrid>
      <w:tr w:rsidR="00FA7EBF" w:rsidRPr="007939DD" w14:paraId="3FDF231C" w14:textId="77777777" w:rsidTr="007B207C">
        <w:trPr>
          <w:cantSplit/>
          <w:tblHeader/>
        </w:trPr>
        <w:tc>
          <w:tcPr>
            <w:tcW w:w="1475" w:type="dxa"/>
            <w:vMerge w:val="restart"/>
            <w:vAlign w:val="bottom"/>
          </w:tcPr>
          <w:p w14:paraId="506E3648" w14:textId="77777777" w:rsidR="00FA7EBF" w:rsidRPr="007939DD" w:rsidRDefault="00FA7EBF" w:rsidP="007B207C">
            <w:pPr>
              <w:pStyle w:val="ARfintablecolhead"/>
            </w:pPr>
            <w:r w:rsidRPr="007939DD">
              <w:t>Name of entity</w:t>
            </w:r>
          </w:p>
        </w:tc>
        <w:tc>
          <w:tcPr>
            <w:tcW w:w="2722" w:type="dxa"/>
            <w:vMerge w:val="restart"/>
            <w:vAlign w:val="bottom"/>
          </w:tcPr>
          <w:p w14:paraId="2F2551E2" w14:textId="77777777" w:rsidR="00FA7EBF" w:rsidRPr="007939DD" w:rsidRDefault="00FA7EBF" w:rsidP="007B207C">
            <w:pPr>
              <w:pStyle w:val="ARfintablecolhead"/>
            </w:pPr>
            <w:r w:rsidRPr="007939DD">
              <w:t>Country of incorporation</w:t>
            </w:r>
          </w:p>
        </w:tc>
        <w:tc>
          <w:tcPr>
            <w:tcW w:w="2722" w:type="dxa"/>
            <w:vMerge w:val="restart"/>
            <w:vAlign w:val="bottom"/>
          </w:tcPr>
          <w:p w14:paraId="45C309E4" w14:textId="77777777" w:rsidR="00FA7EBF" w:rsidRPr="007939DD" w:rsidRDefault="00FA7EBF" w:rsidP="007B207C">
            <w:pPr>
              <w:pStyle w:val="ARfintablecolhead"/>
            </w:pPr>
            <w:r w:rsidRPr="007939DD">
              <w:t>Measurement method</w:t>
            </w:r>
          </w:p>
        </w:tc>
        <w:tc>
          <w:tcPr>
            <w:tcW w:w="1360" w:type="dxa"/>
            <w:gridSpan w:val="2"/>
            <w:vAlign w:val="bottom"/>
          </w:tcPr>
          <w:p w14:paraId="665F51E8" w14:textId="77777777" w:rsidR="00FA7EBF" w:rsidRPr="007939DD" w:rsidRDefault="00FA7EBF" w:rsidP="007B207C">
            <w:pPr>
              <w:pStyle w:val="ARfintablecolheadcentre"/>
            </w:pPr>
            <w:r w:rsidRPr="007939DD">
              <w:t>Ownership interest (%)</w:t>
            </w:r>
          </w:p>
        </w:tc>
        <w:tc>
          <w:tcPr>
            <w:tcW w:w="1360" w:type="dxa"/>
            <w:gridSpan w:val="2"/>
            <w:vAlign w:val="bottom"/>
          </w:tcPr>
          <w:p w14:paraId="71D62890" w14:textId="77777777" w:rsidR="00FA7EBF" w:rsidRPr="007939DD" w:rsidRDefault="00FA7EBF" w:rsidP="007B207C">
            <w:pPr>
              <w:pStyle w:val="ARfintablecolheadcentre"/>
            </w:pPr>
            <w:r w:rsidRPr="007939DD">
              <w:t>Published fair value ($M)</w:t>
            </w:r>
          </w:p>
        </w:tc>
      </w:tr>
      <w:tr w:rsidR="00FA7EBF" w:rsidRPr="007939DD" w14:paraId="01BB1BC2" w14:textId="77777777" w:rsidTr="007B207C">
        <w:trPr>
          <w:cantSplit/>
          <w:tblHeader/>
        </w:trPr>
        <w:tc>
          <w:tcPr>
            <w:tcW w:w="1475" w:type="dxa"/>
            <w:vMerge/>
            <w:vAlign w:val="bottom"/>
          </w:tcPr>
          <w:p w14:paraId="6E52BA51" w14:textId="77777777" w:rsidR="00FA7EBF" w:rsidRPr="007939DD" w:rsidRDefault="00FA7EBF" w:rsidP="007B207C">
            <w:pPr>
              <w:autoSpaceDE w:val="0"/>
              <w:autoSpaceDN w:val="0"/>
              <w:adjustRightInd w:val="0"/>
              <w:spacing w:beforeLines="40" w:before="96" w:afterLines="20" w:after="48"/>
              <w:rPr>
                <w:rFonts w:cs="Arial"/>
                <w:b/>
                <w:bCs/>
                <w:color w:val="000000"/>
                <w:sz w:val="16"/>
                <w:szCs w:val="16"/>
              </w:rPr>
            </w:pPr>
          </w:p>
        </w:tc>
        <w:tc>
          <w:tcPr>
            <w:tcW w:w="2722" w:type="dxa"/>
            <w:vMerge/>
            <w:vAlign w:val="bottom"/>
          </w:tcPr>
          <w:p w14:paraId="76C2AAC3" w14:textId="77777777" w:rsidR="00FA7EBF" w:rsidRPr="007939DD" w:rsidRDefault="00FA7EBF" w:rsidP="007B207C">
            <w:pPr>
              <w:autoSpaceDE w:val="0"/>
              <w:autoSpaceDN w:val="0"/>
              <w:adjustRightInd w:val="0"/>
              <w:spacing w:beforeLines="40" w:before="96" w:afterLines="20" w:after="48"/>
              <w:rPr>
                <w:rFonts w:cs="Arial"/>
                <w:b/>
                <w:bCs/>
                <w:color w:val="000000"/>
                <w:sz w:val="16"/>
                <w:szCs w:val="16"/>
              </w:rPr>
            </w:pPr>
          </w:p>
        </w:tc>
        <w:tc>
          <w:tcPr>
            <w:tcW w:w="2722" w:type="dxa"/>
            <w:vMerge/>
            <w:vAlign w:val="bottom"/>
          </w:tcPr>
          <w:p w14:paraId="251DE610" w14:textId="77777777" w:rsidR="00FA7EBF" w:rsidRPr="007939DD" w:rsidRDefault="00FA7EBF" w:rsidP="007B207C">
            <w:pPr>
              <w:autoSpaceDE w:val="0"/>
              <w:autoSpaceDN w:val="0"/>
              <w:adjustRightInd w:val="0"/>
              <w:spacing w:beforeLines="40" w:before="96" w:afterLines="20" w:after="48"/>
              <w:rPr>
                <w:rFonts w:cs="Arial"/>
                <w:b/>
                <w:bCs/>
                <w:color w:val="000000"/>
                <w:sz w:val="16"/>
                <w:szCs w:val="16"/>
              </w:rPr>
            </w:pPr>
          </w:p>
        </w:tc>
        <w:tc>
          <w:tcPr>
            <w:tcW w:w="680" w:type="dxa"/>
            <w:shd w:val="clear" w:color="auto" w:fill="E7E6E6"/>
            <w:vAlign w:val="bottom"/>
          </w:tcPr>
          <w:p w14:paraId="070FCAF5" w14:textId="77777777" w:rsidR="00FA7EBF" w:rsidRPr="007939DD" w:rsidRDefault="00FA7EBF" w:rsidP="007B207C">
            <w:pPr>
              <w:pStyle w:val="ARfintablecolheadright"/>
            </w:pPr>
            <w:r w:rsidRPr="007939DD">
              <w:t>201</w:t>
            </w:r>
            <w:r>
              <w:t>9</w:t>
            </w:r>
          </w:p>
        </w:tc>
        <w:tc>
          <w:tcPr>
            <w:tcW w:w="680" w:type="dxa"/>
            <w:vAlign w:val="bottom"/>
          </w:tcPr>
          <w:p w14:paraId="03E9D600" w14:textId="77777777" w:rsidR="00FA7EBF" w:rsidRPr="007939DD" w:rsidRDefault="00FA7EBF" w:rsidP="007B207C">
            <w:pPr>
              <w:pStyle w:val="ARfintablecolheadright"/>
            </w:pPr>
            <w:r w:rsidRPr="007939DD">
              <w:t>201</w:t>
            </w:r>
            <w:r>
              <w:t>8</w:t>
            </w:r>
          </w:p>
        </w:tc>
        <w:tc>
          <w:tcPr>
            <w:tcW w:w="680" w:type="dxa"/>
            <w:shd w:val="clear" w:color="auto" w:fill="E7E6E6"/>
            <w:vAlign w:val="bottom"/>
          </w:tcPr>
          <w:p w14:paraId="3CC36BEE" w14:textId="77777777" w:rsidR="00FA7EBF" w:rsidRPr="007939DD" w:rsidRDefault="00FA7EBF" w:rsidP="007B207C">
            <w:pPr>
              <w:pStyle w:val="ARfintablecolheadright"/>
            </w:pPr>
            <w:r w:rsidRPr="007939DD">
              <w:t>201</w:t>
            </w:r>
            <w:r>
              <w:t>9</w:t>
            </w:r>
          </w:p>
        </w:tc>
        <w:tc>
          <w:tcPr>
            <w:tcW w:w="680" w:type="dxa"/>
            <w:vAlign w:val="bottom"/>
          </w:tcPr>
          <w:p w14:paraId="30107090" w14:textId="77777777" w:rsidR="00FA7EBF" w:rsidRPr="007939DD" w:rsidRDefault="00FA7EBF" w:rsidP="007B207C">
            <w:pPr>
              <w:pStyle w:val="ARfintablecolheadright"/>
            </w:pPr>
            <w:r w:rsidRPr="007939DD">
              <w:t>201</w:t>
            </w:r>
            <w:r>
              <w:t>8</w:t>
            </w:r>
          </w:p>
        </w:tc>
      </w:tr>
      <w:tr w:rsidR="00FA7EBF" w:rsidRPr="007939DD" w14:paraId="504DC7FF" w14:textId="77777777" w:rsidTr="007B207C">
        <w:trPr>
          <w:cantSplit/>
        </w:trPr>
        <w:tc>
          <w:tcPr>
            <w:tcW w:w="9639" w:type="dxa"/>
            <w:gridSpan w:val="7"/>
            <w:tcBorders>
              <w:bottom w:val="single" w:sz="4" w:space="0" w:color="A6A6A6" w:themeColor="background1" w:themeShade="A6"/>
            </w:tcBorders>
          </w:tcPr>
          <w:p w14:paraId="022493FB" w14:textId="77777777" w:rsidR="00FA7EBF" w:rsidRPr="007939DD" w:rsidRDefault="00FA7EBF" w:rsidP="007B207C">
            <w:pPr>
              <w:pStyle w:val="ARfintablebodybold"/>
              <w:rPr>
                <w:lang w:eastAsia="en-AU"/>
              </w:rPr>
            </w:pPr>
            <w:r w:rsidRPr="00E32C06">
              <w:t>Joint venture</w:t>
            </w:r>
          </w:p>
        </w:tc>
      </w:tr>
      <w:tr w:rsidR="00FA7EBF" w:rsidRPr="007939DD" w14:paraId="59968CB8" w14:textId="77777777" w:rsidTr="007B207C">
        <w:trPr>
          <w:cantSplit/>
        </w:trPr>
        <w:tc>
          <w:tcPr>
            <w:tcW w:w="1475" w:type="dxa"/>
            <w:tcBorders>
              <w:top w:val="single" w:sz="4" w:space="0" w:color="A6A6A6" w:themeColor="background1" w:themeShade="A6"/>
            </w:tcBorders>
          </w:tcPr>
          <w:p w14:paraId="52FE5ADF" w14:textId="77777777" w:rsidR="00FA7EBF" w:rsidRPr="007939DD" w:rsidRDefault="00FA7EBF" w:rsidP="007B207C">
            <w:pPr>
              <w:pStyle w:val="ARfintablebody"/>
              <w:rPr>
                <w:vertAlign w:val="superscript"/>
                <w:lang w:eastAsia="en-AU"/>
              </w:rPr>
            </w:pPr>
            <w:r w:rsidRPr="00E32C06">
              <w:t xml:space="preserve">ARMI </w:t>
            </w:r>
            <w:r w:rsidRPr="006C2156">
              <w:rPr>
                <w:rStyle w:val="Superscript"/>
              </w:rPr>
              <w:t>(i)</w:t>
            </w:r>
          </w:p>
        </w:tc>
        <w:tc>
          <w:tcPr>
            <w:tcW w:w="2722" w:type="dxa"/>
            <w:tcBorders>
              <w:top w:val="single" w:sz="4" w:space="0" w:color="A6A6A6" w:themeColor="background1" w:themeShade="A6"/>
            </w:tcBorders>
          </w:tcPr>
          <w:p w14:paraId="02F0FC06" w14:textId="77777777" w:rsidR="00FA7EBF" w:rsidRPr="007939DD" w:rsidRDefault="00FA7EBF" w:rsidP="007B207C">
            <w:pPr>
              <w:pStyle w:val="ARfintablebody"/>
              <w:rPr>
                <w:lang w:eastAsia="en-AU"/>
              </w:rPr>
            </w:pPr>
            <w:r w:rsidRPr="00E32C06">
              <w:t>Australia</w:t>
            </w:r>
          </w:p>
        </w:tc>
        <w:tc>
          <w:tcPr>
            <w:tcW w:w="2722" w:type="dxa"/>
            <w:tcBorders>
              <w:top w:val="single" w:sz="4" w:space="0" w:color="A6A6A6" w:themeColor="background1" w:themeShade="A6"/>
            </w:tcBorders>
          </w:tcPr>
          <w:p w14:paraId="720131F1" w14:textId="77777777" w:rsidR="00FA7EBF" w:rsidRPr="007939DD" w:rsidRDefault="00FA7EBF" w:rsidP="007B207C">
            <w:pPr>
              <w:pStyle w:val="ARfintablebody"/>
              <w:rPr>
                <w:lang w:eastAsia="en-AU"/>
              </w:rPr>
            </w:pPr>
            <w:r w:rsidRPr="00E32C06">
              <w:t>Equity method</w:t>
            </w:r>
          </w:p>
        </w:tc>
        <w:tc>
          <w:tcPr>
            <w:tcW w:w="680" w:type="dxa"/>
            <w:tcBorders>
              <w:top w:val="single" w:sz="4" w:space="0" w:color="A6A6A6" w:themeColor="background1" w:themeShade="A6"/>
            </w:tcBorders>
            <w:shd w:val="clear" w:color="auto" w:fill="E7E6E6"/>
          </w:tcPr>
          <w:p w14:paraId="32E5DA7F" w14:textId="77777777" w:rsidR="00FA7EBF" w:rsidRPr="007939DD" w:rsidRDefault="00FA7EBF" w:rsidP="007B207C">
            <w:pPr>
              <w:pStyle w:val="ARfintablebodyright"/>
            </w:pPr>
            <w:r w:rsidRPr="00E32C06">
              <w:t>20</w:t>
            </w:r>
          </w:p>
        </w:tc>
        <w:tc>
          <w:tcPr>
            <w:tcW w:w="680" w:type="dxa"/>
            <w:tcBorders>
              <w:top w:val="single" w:sz="4" w:space="0" w:color="A6A6A6" w:themeColor="background1" w:themeShade="A6"/>
            </w:tcBorders>
          </w:tcPr>
          <w:p w14:paraId="36FC12ED" w14:textId="77777777" w:rsidR="00FA7EBF" w:rsidRPr="007939DD" w:rsidRDefault="00FA7EBF" w:rsidP="007B207C">
            <w:pPr>
              <w:pStyle w:val="ARfintablebodyright"/>
            </w:pPr>
            <w:r w:rsidRPr="00E32C06">
              <w:t>20</w:t>
            </w:r>
          </w:p>
        </w:tc>
        <w:tc>
          <w:tcPr>
            <w:tcW w:w="680" w:type="dxa"/>
            <w:tcBorders>
              <w:top w:val="single" w:sz="4" w:space="0" w:color="A6A6A6" w:themeColor="background1" w:themeShade="A6"/>
            </w:tcBorders>
            <w:shd w:val="clear" w:color="auto" w:fill="E7E6E6"/>
          </w:tcPr>
          <w:p w14:paraId="7F6EF14D" w14:textId="77777777" w:rsidR="00FA7EBF" w:rsidRPr="007939DD" w:rsidRDefault="00FA7EBF" w:rsidP="007B207C">
            <w:pPr>
              <w:pStyle w:val="ARfintablebodyright"/>
            </w:pPr>
            <w:r w:rsidRPr="00E32C06">
              <w:t>35.0</w:t>
            </w:r>
          </w:p>
        </w:tc>
        <w:tc>
          <w:tcPr>
            <w:tcW w:w="680" w:type="dxa"/>
            <w:tcBorders>
              <w:top w:val="single" w:sz="4" w:space="0" w:color="A6A6A6" w:themeColor="background1" w:themeShade="A6"/>
            </w:tcBorders>
          </w:tcPr>
          <w:p w14:paraId="5E2C03B1" w14:textId="77777777" w:rsidR="00FA7EBF" w:rsidRPr="007939DD" w:rsidRDefault="00FA7EBF" w:rsidP="007B207C">
            <w:pPr>
              <w:pStyle w:val="ARfintablebodyright"/>
            </w:pPr>
            <w:r w:rsidRPr="00E32C06">
              <w:t>35.0</w:t>
            </w:r>
          </w:p>
        </w:tc>
      </w:tr>
    </w:tbl>
    <w:p w14:paraId="7FA14C80" w14:textId="77777777" w:rsidR="00FA7EBF" w:rsidRDefault="00FA7EBF" w:rsidP="00CA66FD">
      <w:pPr>
        <w:pStyle w:val="ARfintablefootnote"/>
        <w:rPr>
          <w:lang w:eastAsia="en-AU"/>
        </w:rPr>
      </w:pPr>
      <w:r>
        <w:rPr>
          <w:lang w:eastAsia="en-AU"/>
        </w:rPr>
        <w:t>Note:</w:t>
      </w:r>
    </w:p>
    <w:p w14:paraId="6A00CCA6" w14:textId="77777777" w:rsidR="00FA7EBF" w:rsidRPr="00194D78" w:rsidRDefault="00FA7EBF" w:rsidP="00CA66FD">
      <w:pPr>
        <w:pStyle w:val="ARfintablefootnoteindent"/>
      </w:pPr>
      <w:r w:rsidRPr="00194D78">
        <w:t>(i)</w:t>
      </w:r>
      <w:r>
        <w:tab/>
        <w:t>T</w:t>
      </w:r>
      <w:r w:rsidRPr="00194D78">
        <w:t>he interest of the department in the joint venture is 20 per cent in accordance with the agreement. The fair value of the ownership interest held by the department is equal to the value of cash invested in the joint venture.</w:t>
      </w:r>
    </w:p>
    <w:p w14:paraId="3BB7E9C7" w14:textId="77777777" w:rsidR="00FA7EBF" w:rsidRPr="00194D78" w:rsidRDefault="00FA7EBF" w:rsidP="00CA66FD">
      <w:pPr>
        <w:pStyle w:val="Heading4"/>
        <w:rPr>
          <w:lang w:eastAsia="en-AU"/>
        </w:rPr>
      </w:pPr>
      <w:r w:rsidRPr="00194D78">
        <w:rPr>
          <w:lang w:eastAsia="en-AU"/>
        </w:rPr>
        <w:t>5.4 Short</w:t>
      </w:r>
      <w:r>
        <w:rPr>
          <w:lang w:eastAsia="en-AU"/>
        </w:rPr>
        <w:t>-</w:t>
      </w:r>
      <w:r w:rsidRPr="00194D78">
        <w:rPr>
          <w:lang w:eastAsia="en-AU"/>
        </w:rPr>
        <w:t>term investments</w:t>
      </w:r>
      <w:r>
        <w:rPr>
          <w:lang w:eastAsia="en-AU"/>
        </w:rPr>
        <w:t xml:space="preserve"> – </w:t>
      </w:r>
      <w:r w:rsidRPr="00194D78">
        <w:rPr>
          <w:lang w:eastAsia="en-AU"/>
        </w:rPr>
        <w:t>term deposits</w:t>
      </w:r>
    </w:p>
    <w:p w14:paraId="1990393C" w14:textId="77777777" w:rsidR="00FA7EBF" w:rsidRPr="00194D78" w:rsidRDefault="00FA7EBF" w:rsidP="00CA66FD">
      <w:pPr>
        <w:pStyle w:val="ARfinbody"/>
      </w:pPr>
      <w:r w:rsidRPr="00194D78">
        <w:t xml:space="preserve">Investments consist of term deposits maturing more </w:t>
      </w:r>
      <w:r>
        <w:t>than</w:t>
      </w:r>
      <w:r w:rsidRPr="00194D78">
        <w:t xml:space="preserve"> 90 days from acquisition dates.</w:t>
      </w:r>
    </w:p>
    <w:tbl>
      <w:tblPr>
        <w:tblStyle w:val="TableGrid"/>
        <w:tblW w:w="9639" w:type="dxa"/>
        <w:tblLook w:val="04A0" w:firstRow="1" w:lastRow="0" w:firstColumn="1" w:lastColumn="0" w:noHBand="0" w:noVBand="1"/>
      </w:tblPr>
      <w:tblGrid>
        <w:gridCol w:w="7371"/>
        <w:gridCol w:w="1134"/>
        <w:gridCol w:w="1134"/>
      </w:tblGrid>
      <w:tr w:rsidR="00FA7EBF" w:rsidRPr="00194D78" w14:paraId="4CA5234B" w14:textId="77777777" w:rsidTr="007B207C">
        <w:trPr>
          <w:cnfStyle w:val="100000000000" w:firstRow="1" w:lastRow="0" w:firstColumn="0" w:lastColumn="0" w:oddVBand="0" w:evenVBand="0" w:oddHBand="0" w:evenHBand="0" w:firstRowFirstColumn="0" w:firstRowLastColumn="0" w:lastRowFirstColumn="0" w:lastRowLastColumn="0"/>
          <w:trHeight w:val="255"/>
          <w:tblHeader/>
        </w:trPr>
        <w:tc>
          <w:tcPr>
            <w:tcW w:w="7371" w:type="dxa"/>
            <w:noWrap/>
            <w:hideMark/>
          </w:tcPr>
          <w:p w14:paraId="4CF06047" w14:textId="77777777" w:rsidR="00FA7EBF" w:rsidRPr="00194D78" w:rsidRDefault="00FA7EBF" w:rsidP="007B207C">
            <w:pPr>
              <w:pStyle w:val="ARfintablecolhead"/>
            </w:pPr>
          </w:p>
        </w:tc>
        <w:tc>
          <w:tcPr>
            <w:tcW w:w="1134" w:type="dxa"/>
            <w:tcBorders>
              <w:top w:val="nil"/>
            </w:tcBorders>
            <w:shd w:val="clear" w:color="auto" w:fill="E7E6E6"/>
            <w:noWrap/>
            <w:hideMark/>
          </w:tcPr>
          <w:p w14:paraId="3CAA6773" w14:textId="77777777" w:rsidR="00FA7EBF" w:rsidRPr="00DC46DC" w:rsidRDefault="00FA7EBF" w:rsidP="007B207C">
            <w:pPr>
              <w:pStyle w:val="ARfintablecolheadright"/>
            </w:pPr>
            <w:r w:rsidRPr="00DC46DC">
              <w:t>2019</w:t>
            </w:r>
          </w:p>
          <w:p w14:paraId="704F7094" w14:textId="77777777" w:rsidR="00FA7EBF" w:rsidRPr="00DC46DC" w:rsidRDefault="00FA7EBF" w:rsidP="007B207C">
            <w:pPr>
              <w:pStyle w:val="ARfintablecolheadright"/>
            </w:pPr>
            <w:r w:rsidRPr="00DC46DC">
              <w:t>$M</w:t>
            </w:r>
          </w:p>
        </w:tc>
        <w:tc>
          <w:tcPr>
            <w:tcW w:w="1134" w:type="dxa"/>
            <w:noWrap/>
            <w:hideMark/>
          </w:tcPr>
          <w:p w14:paraId="329EDABF" w14:textId="77777777" w:rsidR="00FA7EBF" w:rsidRPr="00DC46DC" w:rsidRDefault="00FA7EBF" w:rsidP="007B207C">
            <w:pPr>
              <w:pStyle w:val="ARfintablecolheadright"/>
            </w:pPr>
            <w:r w:rsidRPr="00DC46DC">
              <w:t>2018</w:t>
            </w:r>
          </w:p>
          <w:p w14:paraId="133AAA54" w14:textId="77777777" w:rsidR="00FA7EBF" w:rsidRPr="00DC46DC" w:rsidRDefault="00FA7EBF" w:rsidP="007B207C">
            <w:pPr>
              <w:pStyle w:val="ARfintablecolheadright"/>
            </w:pPr>
            <w:r w:rsidRPr="00DC46DC">
              <w:t>$M</w:t>
            </w:r>
          </w:p>
        </w:tc>
      </w:tr>
      <w:tr w:rsidR="00FA7EBF" w:rsidRPr="00194D78" w14:paraId="770BEED2" w14:textId="77777777" w:rsidTr="007B207C">
        <w:trPr>
          <w:trHeight w:val="255"/>
        </w:trPr>
        <w:tc>
          <w:tcPr>
            <w:tcW w:w="7371" w:type="dxa"/>
            <w:noWrap/>
            <w:hideMark/>
          </w:tcPr>
          <w:p w14:paraId="7647D8B9" w14:textId="77777777" w:rsidR="00FA7EBF" w:rsidRPr="00194D78" w:rsidRDefault="00FA7EBF" w:rsidP="007B207C">
            <w:pPr>
              <w:pStyle w:val="ARfintablebody"/>
              <w:rPr>
                <w:lang w:eastAsia="en-AU"/>
              </w:rPr>
            </w:pPr>
            <w:r w:rsidRPr="00194D78">
              <w:rPr>
                <w:lang w:eastAsia="en-AU"/>
              </w:rPr>
              <w:t>Short-term investments</w:t>
            </w:r>
            <w:r>
              <w:rPr>
                <w:lang w:eastAsia="en-AU"/>
              </w:rPr>
              <w:t xml:space="preserve"> – </w:t>
            </w:r>
            <w:r w:rsidRPr="00194D78">
              <w:rPr>
                <w:lang w:eastAsia="en-AU"/>
              </w:rPr>
              <w:t>term deposits</w:t>
            </w:r>
          </w:p>
        </w:tc>
        <w:tc>
          <w:tcPr>
            <w:tcW w:w="1134" w:type="dxa"/>
            <w:shd w:val="clear" w:color="auto" w:fill="E7E6E6"/>
            <w:noWrap/>
            <w:hideMark/>
          </w:tcPr>
          <w:p w14:paraId="3D52214D" w14:textId="77777777" w:rsidR="00FA7EBF" w:rsidRPr="00194D78" w:rsidRDefault="00FA7EBF" w:rsidP="007B207C">
            <w:pPr>
              <w:pStyle w:val="ARfintablebodyright"/>
              <w:rPr>
                <w:lang w:eastAsia="en-AU"/>
              </w:rPr>
            </w:pPr>
            <w:r w:rsidRPr="00194D78">
              <w:rPr>
                <w:lang w:eastAsia="en-AU"/>
              </w:rPr>
              <w:t>100.0</w:t>
            </w:r>
          </w:p>
        </w:tc>
        <w:tc>
          <w:tcPr>
            <w:tcW w:w="1134" w:type="dxa"/>
            <w:noWrap/>
            <w:hideMark/>
          </w:tcPr>
          <w:p w14:paraId="12D456A0" w14:textId="77777777" w:rsidR="00FA7EBF" w:rsidRPr="00194D78" w:rsidRDefault="00FA7EBF" w:rsidP="007B207C">
            <w:pPr>
              <w:pStyle w:val="ARfintablebodyright"/>
              <w:rPr>
                <w:lang w:eastAsia="en-AU"/>
              </w:rPr>
            </w:pPr>
            <w:r w:rsidRPr="00194D78">
              <w:rPr>
                <w:lang w:eastAsia="en-AU"/>
              </w:rPr>
              <w:t>534.8</w:t>
            </w:r>
          </w:p>
        </w:tc>
      </w:tr>
      <w:tr w:rsidR="00FA7EBF" w:rsidRPr="00194D78" w14:paraId="5865342E" w14:textId="77777777" w:rsidTr="007B207C">
        <w:trPr>
          <w:trHeight w:val="263"/>
        </w:trPr>
        <w:tc>
          <w:tcPr>
            <w:tcW w:w="7371" w:type="dxa"/>
            <w:noWrap/>
            <w:hideMark/>
          </w:tcPr>
          <w:p w14:paraId="1FD5DF0F" w14:textId="77777777" w:rsidR="00FA7EBF" w:rsidRPr="00194D78" w:rsidRDefault="00FA7EBF" w:rsidP="007B207C">
            <w:pPr>
              <w:pStyle w:val="ARfintablebodybold"/>
              <w:rPr>
                <w:lang w:eastAsia="en-AU"/>
              </w:rPr>
            </w:pPr>
            <w:r w:rsidRPr="00194D78">
              <w:rPr>
                <w:lang w:eastAsia="en-AU"/>
              </w:rPr>
              <w:t>Total short-term investments</w:t>
            </w:r>
            <w:r>
              <w:rPr>
                <w:lang w:eastAsia="en-AU"/>
              </w:rPr>
              <w:t xml:space="preserve"> – </w:t>
            </w:r>
            <w:r w:rsidRPr="00194D78">
              <w:rPr>
                <w:lang w:eastAsia="en-AU"/>
              </w:rPr>
              <w:t>term deposits</w:t>
            </w:r>
          </w:p>
        </w:tc>
        <w:tc>
          <w:tcPr>
            <w:tcW w:w="1134" w:type="dxa"/>
            <w:shd w:val="clear" w:color="auto" w:fill="E7E6E6"/>
            <w:noWrap/>
            <w:hideMark/>
          </w:tcPr>
          <w:p w14:paraId="6ADB0429" w14:textId="77777777" w:rsidR="00FA7EBF" w:rsidRPr="00194D78" w:rsidRDefault="00FA7EBF" w:rsidP="007B207C">
            <w:pPr>
              <w:pStyle w:val="ARfintablebodyrightbold"/>
              <w:rPr>
                <w:lang w:eastAsia="en-AU"/>
              </w:rPr>
            </w:pPr>
            <w:r w:rsidRPr="00194D78">
              <w:rPr>
                <w:lang w:eastAsia="en-AU"/>
              </w:rPr>
              <w:t>100.0</w:t>
            </w:r>
          </w:p>
        </w:tc>
        <w:tc>
          <w:tcPr>
            <w:tcW w:w="1134" w:type="dxa"/>
            <w:noWrap/>
            <w:hideMark/>
          </w:tcPr>
          <w:p w14:paraId="6F3B7E32" w14:textId="77777777" w:rsidR="00FA7EBF" w:rsidRPr="00194D78" w:rsidRDefault="00FA7EBF" w:rsidP="007B207C">
            <w:pPr>
              <w:pStyle w:val="ARfintablebodyrightbold"/>
              <w:rPr>
                <w:lang w:eastAsia="en-AU"/>
              </w:rPr>
            </w:pPr>
            <w:r w:rsidRPr="00194D78">
              <w:rPr>
                <w:lang w:eastAsia="en-AU"/>
              </w:rPr>
              <w:t>534.8</w:t>
            </w:r>
          </w:p>
        </w:tc>
      </w:tr>
    </w:tbl>
    <w:p w14:paraId="3D8FB7D4" w14:textId="77777777" w:rsidR="00FA7EBF" w:rsidRPr="00194D78" w:rsidRDefault="00FA7EBF" w:rsidP="00CA66FD">
      <w:pPr>
        <w:pStyle w:val="ARfinbody"/>
      </w:pPr>
      <w:r w:rsidRPr="00194D78">
        <w:br w:type="page"/>
      </w:r>
    </w:p>
    <w:p w14:paraId="4D8C282A" w14:textId="77777777" w:rsidR="00FA7EBF" w:rsidRPr="00194D78" w:rsidRDefault="00FA7EBF" w:rsidP="00CA66FD">
      <w:pPr>
        <w:pStyle w:val="Heading3"/>
      </w:pPr>
      <w:bookmarkStart w:id="261" w:name="_Toc17971176"/>
      <w:bookmarkStart w:id="262" w:name="_Toc19795297"/>
      <w:r w:rsidRPr="00194D78">
        <w:t xml:space="preserve">6. </w:t>
      </w:r>
      <w:r>
        <w:t>O</w:t>
      </w:r>
      <w:r w:rsidRPr="00194D78">
        <w:t>ther assets and liabilities</w:t>
      </w:r>
      <w:bookmarkEnd w:id="261"/>
      <w:bookmarkEnd w:id="262"/>
    </w:p>
    <w:p w14:paraId="14EDBF88" w14:textId="77777777" w:rsidR="00FA7EBF" w:rsidRPr="00194D78" w:rsidRDefault="00FA7EBF" w:rsidP="00CA66FD">
      <w:pPr>
        <w:pStyle w:val="Heading4"/>
        <w:rPr>
          <w:lang w:eastAsia="en-AU"/>
        </w:rPr>
      </w:pPr>
      <w:r w:rsidRPr="00194D78">
        <w:rPr>
          <w:lang w:eastAsia="en-AU"/>
        </w:rPr>
        <w:t>Introduction</w:t>
      </w:r>
    </w:p>
    <w:p w14:paraId="7FD989F0" w14:textId="77777777" w:rsidR="00FA7EBF" w:rsidRPr="00194D78" w:rsidRDefault="00FA7EBF" w:rsidP="00CA66FD">
      <w:pPr>
        <w:pStyle w:val="ARfinbody"/>
      </w:pPr>
      <w:r w:rsidRPr="00194D78">
        <w:t>This section sets out those assets and liabilities that arose from the department</w:t>
      </w:r>
      <w:r>
        <w:t>’</w:t>
      </w:r>
      <w:r w:rsidRPr="00194D78">
        <w:t>s controlled operations.</w:t>
      </w:r>
    </w:p>
    <w:p w14:paraId="578DAB9B" w14:textId="77777777" w:rsidR="00FA7EBF" w:rsidRPr="00194D78" w:rsidRDefault="00FA7EBF" w:rsidP="00CA66FD">
      <w:pPr>
        <w:pStyle w:val="Heading4"/>
        <w:rPr>
          <w:lang w:eastAsia="en-AU"/>
        </w:rPr>
      </w:pPr>
      <w:r w:rsidRPr="00194D78">
        <w:rPr>
          <w:lang w:eastAsia="en-AU"/>
        </w:rPr>
        <w:t>Structure</w:t>
      </w:r>
    </w:p>
    <w:p w14:paraId="70FD370B" w14:textId="77777777" w:rsidR="00FA7EBF" w:rsidRPr="00194D78" w:rsidRDefault="00FA7EBF" w:rsidP="00CA66FD">
      <w:pPr>
        <w:pStyle w:val="ARfinstructure1"/>
      </w:pPr>
      <w:r w:rsidRPr="00194D78">
        <w:t>6.1</w:t>
      </w:r>
      <w:r>
        <w:tab/>
      </w:r>
      <w:r w:rsidRPr="00194D78">
        <w:t>Receivables</w:t>
      </w:r>
    </w:p>
    <w:p w14:paraId="3D3583C1" w14:textId="77777777" w:rsidR="00FA7EBF" w:rsidRDefault="00FA7EBF" w:rsidP="00CA66FD">
      <w:pPr>
        <w:pStyle w:val="ARfinstructure1"/>
      </w:pPr>
      <w:r w:rsidRPr="00194D78">
        <w:t>6.2</w:t>
      </w:r>
      <w:r>
        <w:tab/>
      </w:r>
      <w:r w:rsidRPr="00194D78">
        <w:t>Loans</w:t>
      </w:r>
    </w:p>
    <w:p w14:paraId="490C462D" w14:textId="77777777" w:rsidR="00FA7EBF" w:rsidRPr="00194D78" w:rsidRDefault="00FA7EBF" w:rsidP="00CA66FD">
      <w:pPr>
        <w:pStyle w:val="ARfinstructure2"/>
      </w:pPr>
      <w:r w:rsidRPr="00194D78">
        <w:t>6.2.</w:t>
      </w:r>
      <w:r>
        <w:t>1</w:t>
      </w:r>
      <w:r>
        <w:tab/>
      </w:r>
      <w:r w:rsidRPr="00194D78">
        <w:t>Ageing analysis of contractual loans</w:t>
      </w:r>
    </w:p>
    <w:p w14:paraId="76ECF5A0" w14:textId="77777777" w:rsidR="00FA7EBF" w:rsidRPr="00194D78" w:rsidRDefault="00FA7EBF" w:rsidP="00CA66FD">
      <w:pPr>
        <w:pStyle w:val="ARfinstructure1"/>
      </w:pPr>
      <w:r w:rsidRPr="00194D78">
        <w:t>6.3</w:t>
      </w:r>
      <w:r>
        <w:tab/>
      </w:r>
      <w:r w:rsidRPr="00194D78">
        <w:t>Prepayments</w:t>
      </w:r>
    </w:p>
    <w:p w14:paraId="7B97EDB0" w14:textId="77777777" w:rsidR="00FA7EBF" w:rsidRDefault="00FA7EBF" w:rsidP="00CA66FD">
      <w:pPr>
        <w:pStyle w:val="ARfinstructure1"/>
      </w:pPr>
      <w:r w:rsidRPr="00194D78">
        <w:t>6.4</w:t>
      </w:r>
      <w:r>
        <w:tab/>
      </w:r>
      <w:r w:rsidRPr="00194D78">
        <w:t>Payables</w:t>
      </w:r>
    </w:p>
    <w:p w14:paraId="0E866ECE" w14:textId="77777777" w:rsidR="00FA7EBF" w:rsidRPr="00194D78" w:rsidRDefault="00FA7EBF" w:rsidP="00CA66FD">
      <w:pPr>
        <w:pStyle w:val="ARfinstructure2"/>
      </w:pPr>
      <w:r w:rsidRPr="00194D78">
        <w:t>6.4.1</w:t>
      </w:r>
      <w:r>
        <w:tab/>
      </w:r>
      <w:r w:rsidRPr="00194D78">
        <w:t>Maturity analysis of contractual payables</w:t>
      </w:r>
    </w:p>
    <w:p w14:paraId="56557DAC" w14:textId="77777777" w:rsidR="00FA7EBF" w:rsidRDefault="00FA7EBF" w:rsidP="00CA66FD">
      <w:pPr>
        <w:pStyle w:val="ARfinstructure1"/>
      </w:pPr>
      <w:r w:rsidRPr="00194D78">
        <w:t>6.5</w:t>
      </w:r>
      <w:r>
        <w:tab/>
      </w:r>
      <w:r w:rsidRPr="00194D78">
        <w:t>Other provisions</w:t>
      </w:r>
    </w:p>
    <w:p w14:paraId="28C3091A" w14:textId="77777777" w:rsidR="00FA7EBF" w:rsidRPr="00194D78" w:rsidRDefault="00FA7EBF" w:rsidP="00CA66FD">
      <w:pPr>
        <w:pStyle w:val="ARfinstructure2"/>
        <w:rPr>
          <w:b/>
          <w:bCs/>
        </w:rPr>
      </w:pPr>
      <w:r w:rsidRPr="00194D78">
        <w:t>6.5.1</w:t>
      </w:r>
      <w:r>
        <w:tab/>
      </w:r>
      <w:r w:rsidRPr="00194D78">
        <w:t>Reconciliation of movements in other provisions</w:t>
      </w:r>
    </w:p>
    <w:p w14:paraId="5D40E736" w14:textId="77777777" w:rsidR="00FA7EBF" w:rsidRDefault="00FA7EBF" w:rsidP="00CA66FD">
      <w:pPr>
        <w:pStyle w:val="Heading4"/>
        <w:rPr>
          <w:lang w:eastAsia="en-AU"/>
        </w:rPr>
      </w:pPr>
      <w:r w:rsidRPr="00194D78">
        <w:rPr>
          <w:lang w:eastAsia="en-AU"/>
        </w:rPr>
        <w:t>6.1 Receivables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75218771" w14:textId="77777777" w:rsidTr="007B207C">
        <w:trPr>
          <w:cantSplit/>
          <w:tblHeader/>
        </w:trPr>
        <w:tc>
          <w:tcPr>
            <w:tcW w:w="7371" w:type="dxa"/>
            <w:vAlign w:val="bottom"/>
          </w:tcPr>
          <w:p w14:paraId="1DF2E85F" w14:textId="77777777" w:rsidR="00FA7EBF" w:rsidRPr="007939DD" w:rsidRDefault="00FA7EBF" w:rsidP="007B207C">
            <w:pPr>
              <w:pStyle w:val="ARfintablecolhead"/>
            </w:pPr>
          </w:p>
        </w:tc>
        <w:tc>
          <w:tcPr>
            <w:tcW w:w="1134" w:type="dxa"/>
            <w:shd w:val="clear" w:color="auto" w:fill="E7E6E6"/>
            <w:vAlign w:val="bottom"/>
          </w:tcPr>
          <w:p w14:paraId="0AC9519E" w14:textId="77777777" w:rsidR="00FA7EBF" w:rsidRPr="007939DD" w:rsidRDefault="00FA7EBF" w:rsidP="007B207C">
            <w:pPr>
              <w:pStyle w:val="ARfintablecolheadright"/>
            </w:pPr>
            <w:r w:rsidRPr="007939DD">
              <w:t>201</w:t>
            </w:r>
            <w:r>
              <w:t>9</w:t>
            </w:r>
          </w:p>
          <w:p w14:paraId="684CCA5A" w14:textId="77777777" w:rsidR="00FA7EBF" w:rsidRPr="007939DD" w:rsidRDefault="00FA7EBF" w:rsidP="007B207C">
            <w:pPr>
              <w:pStyle w:val="ARfintablecolheadright"/>
            </w:pPr>
            <w:r w:rsidRPr="007939DD">
              <w:t>$M</w:t>
            </w:r>
          </w:p>
        </w:tc>
        <w:tc>
          <w:tcPr>
            <w:tcW w:w="1134" w:type="dxa"/>
            <w:vAlign w:val="bottom"/>
          </w:tcPr>
          <w:p w14:paraId="64FBC220" w14:textId="77777777" w:rsidR="00FA7EBF" w:rsidRPr="007939DD" w:rsidRDefault="00FA7EBF" w:rsidP="007B207C">
            <w:pPr>
              <w:pStyle w:val="ARfintablecolheadright"/>
            </w:pPr>
            <w:r w:rsidRPr="007939DD">
              <w:t>201</w:t>
            </w:r>
            <w:r>
              <w:t>8</w:t>
            </w:r>
          </w:p>
          <w:p w14:paraId="295320E4" w14:textId="77777777" w:rsidR="00FA7EBF" w:rsidRPr="007939DD" w:rsidRDefault="00FA7EBF" w:rsidP="007B207C">
            <w:pPr>
              <w:pStyle w:val="ARfintablecolheadright"/>
            </w:pPr>
            <w:r w:rsidRPr="007939DD">
              <w:t>$M</w:t>
            </w:r>
          </w:p>
        </w:tc>
      </w:tr>
      <w:tr w:rsidR="00FA7EBF" w:rsidRPr="007939DD" w14:paraId="5720C4C7" w14:textId="77777777" w:rsidTr="007B207C">
        <w:trPr>
          <w:cantSplit/>
        </w:trPr>
        <w:tc>
          <w:tcPr>
            <w:tcW w:w="9639" w:type="dxa"/>
            <w:gridSpan w:val="3"/>
            <w:tcBorders>
              <w:bottom w:val="single" w:sz="4" w:space="0" w:color="A6A6A6" w:themeColor="background1" w:themeShade="A6"/>
            </w:tcBorders>
          </w:tcPr>
          <w:p w14:paraId="2255F83B" w14:textId="77777777" w:rsidR="00FA7EBF" w:rsidRPr="007939DD" w:rsidRDefault="00FA7EBF" w:rsidP="007B207C">
            <w:pPr>
              <w:pStyle w:val="ARfintablebodybold"/>
              <w:rPr>
                <w:lang w:eastAsia="en-AU"/>
              </w:rPr>
            </w:pPr>
            <w:r w:rsidRPr="00A70E16">
              <w:t>Current receivables</w:t>
            </w:r>
          </w:p>
        </w:tc>
      </w:tr>
      <w:tr w:rsidR="00FA7EBF" w:rsidRPr="007939DD" w14:paraId="23E47166" w14:textId="77777777" w:rsidTr="007B207C">
        <w:trPr>
          <w:cantSplit/>
        </w:trPr>
        <w:tc>
          <w:tcPr>
            <w:tcW w:w="9639" w:type="dxa"/>
            <w:gridSpan w:val="3"/>
            <w:tcBorders>
              <w:top w:val="single" w:sz="4" w:space="0" w:color="A6A6A6" w:themeColor="background1" w:themeShade="A6"/>
              <w:bottom w:val="single" w:sz="4" w:space="0" w:color="A6A6A6" w:themeColor="background1" w:themeShade="A6"/>
            </w:tcBorders>
          </w:tcPr>
          <w:p w14:paraId="1F29DBDD" w14:textId="77777777" w:rsidR="00FA7EBF" w:rsidRPr="007939DD" w:rsidRDefault="00FA7EBF" w:rsidP="007B207C">
            <w:pPr>
              <w:pStyle w:val="ARfintablebody"/>
              <w:rPr>
                <w:lang w:eastAsia="en-AU"/>
              </w:rPr>
            </w:pPr>
            <w:r w:rsidRPr="0039612F">
              <w:rPr>
                <w:rStyle w:val="Emphasis"/>
                <w:iCs w:val="0"/>
              </w:rPr>
              <w:t xml:space="preserve">Contractual </w:t>
            </w:r>
          </w:p>
        </w:tc>
      </w:tr>
      <w:tr w:rsidR="00FA7EBF" w:rsidRPr="007939DD" w14:paraId="521086D0"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0DDF0DCE" w14:textId="77777777" w:rsidR="00FA7EBF" w:rsidRPr="007939DD" w:rsidRDefault="00FA7EBF" w:rsidP="007B207C">
            <w:pPr>
              <w:pStyle w:val="ARfintablebody"/>
              <w:rPr>
                <w:lang w:eastAsia="en-AU"/>
              </w:rPr>
            </w:pPr>
            <w:r w:rsidRPr="00A70E16">
              <w:t>Tenants in arrears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12150B5" w14:textId="77777777" w:rsidR="00FA7EBF" w:rsidRPr="007939DD" w:rsidRDefault="00FA7EBF" w:rsidP="007B207C">
            <w:pPr>
              <w:pStyle w:val="ARfintablebodyright"/>
              <w:rPr>
                <w:lang w:eastAsia="en-AU"/>
              </w:rPr>
            </w:pPr>
            <w:r w:rsidRPr="00A70E16">
              <w:t>15.0</w:t>
            </w:r>
          </w:p>
        </w:tc>
        <w:tc>
          <w:tcPr>
            <w:tcW w:w="1134" w:type="dxa"/>
            <w:tcBorders>
              <w:top w:val="single" w:sz="4" w:space="0" w:color="A6A6A6" w:themeColor="background1" w:themeShade="A6"/>
              <w:bottom w:val="single" w:sz="4" w:space="0" w:color="A6A6A6" w:themeColor="background1" w:themeShade="A6"/>
            </w:tcBorders>
          </w:tcPr>
          <w:p w14:paraId="3622046C" w14:textId="77777777" w:rsidR="00FA7EBF" w:rsidRPr="007939DD" w:rsidRDefault="00FA7EBF" w:rsidP="007B207C">
            <w:pPr>
              <w:pStyle w:val="ARfintablebodyright"/>
              <w:rPr>
                <w:lang w:eastAsia="en-AU"/>
              </w:rPr>
            </w:pPr>
            <w:r w:rsidRPr="00A70E16">
              <w:t>13.4</w:t>
            </w:r>
          </w:p>
        </w:tc>
      </w:tr>
      <w:tr w:rsidR="00FA7EBF" w:rsidRPr="007939DD" w14:paraId="13AA6E2F"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5F10C2C3" w14:textId="77777777" w:rsidR="00FA7EBF" w:rsidRPr="007939DD" w:rsidRDefault="00FA7EBF" w:rsidP="007B207C">
            <w:pPr>
              <w:pStyle w:val="ARfintablebody"/>
              <w:rPr>
                <w:lang w:eastAsia="en-AU"/>
              </w:rPr>
            </w:pPr>
            <w:r w:rsidRPr="00A70E16">
              <w:t>Other receivables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10C8D95" w14:textId="77777777" w:rsidR="00FA7EBF" w:rsidRPr="007939DD" w:rsidRDefault="00FA7EBF" w:rsidP="007B207C">
            <w:pPr>
              <w:pStyle w:val="ARfintablebodyright"/>
              <w:rPr>
                <w:lang w:eastAsia="en-AU"/>
              </w:rPr>
            </w:pPr>
            <w:r w:rsidRPr="00A70E16">
              <w:t>323.1</w:t>
            </w:r>
          </w:p>
        </w:tc>
        <w:tc>
          <w:tcPr>
            <w:tcW w:w="1134" w:type="dxa"/>
            <w:tcBorders>
              <w:top w:val="single" w:sz="4" w:space="0" w:color="A6A6A6" w:themeColor="background1" w:themeShade="A6"/>
              <w:bottom w:val="single" w:sz="4" w:space="0" w:color="A6A6A6" w:themeColor="background1" w:themeShade="A6"/>
            </w:tcBorders>
          </w:tcPr>
          <w:p w14:paraId="79A03F54" w14:textId="77777777" w:rsidR="00FA7EBF" w:rsidRPr="007939DD" w:rsidRDefault="00FA7EBF" w:rsidP="007B207C">
            <w:pPr>
              <w:pStyle w:val="ARfintablebodyright"/>
              <w:rPr>
                <w:lang w:eastAsia="en-AU"/>
              </w:rPr>
            </w:pPr>
            <w:r w:rsidRPr="00A70E16">
              <w:t>83.4</w:t>
            </w:r>
          </w:p>
        </w:tc>
      </w:tr>
      <w:tr w:rsidR="00FA7EBF" w:rsidRPr="007939DD" w14:paraId="1F05774C" w14:textId="77777777" w:rsidTr="007B207C">
        <w:trPr>
          <w:cantSplit/>
        </w:trPr>
        <w:tc>
          <w:tcPr>
            <w:tcW w:w="7371" w:type="dxa"/>
            <w:tcBorders>
              <w:top w:val="single" w:sz="4" w:space="0" w:color="A6A6A6" w:themeColor="background1" w:themeShade="A6"/>
              <w:bottom w:val="single" w:sz="4" w:space="0" w:color="000000"/>
            </w:tcBorders>
          </w:tcPr>
          <w:p w14:paraId="0C51AD83" w14:textId="77777777" w:rsidR="00FA7EBF" w:rsidRPr="0039612F" w:rsidRDefault="00FA7EBF" w:rsidP="007B207C">
            <w:pPr>
              <w:pStyle w:val="ARfintablebody"/>
              <w:rPr>
                <w:rStyle w:val="Emphasis"/>
                <w:iCs w:val="0"/>
              </w:rPr>
            </w:pPr>
            <w:r w:rsidRPr="0039612F">
              <w:rPr>
                <w:rStyle w:val="Emphasis"/>
                <w:iCs w:val="0"/>
              </w:rPr>
              <w:t>Less allowance for impairment losses of contractual receivables</w:t>
            </w:r>
          </w:p>
        </w:tc>
        <w:tc>
          <w:tcPr>
            <w:tcW w:w="1134" w:type="dxa"/>
            <w:tcBorders>
              <w:top w:val="single" w:sz="4" w:space="0" w:color="A6A6A6" w:themeColor="background1" w:themeShade="A6"/>
              <w:bottom w:val="single" w:sz="4" w:space="0" w:color="000000"/>
            </w:tcBorders>
            <w:shd w:val="clear" w:color="auto" w:fill="E7E6E6"/>
          </w:tcPr>
          <w:p w14:paraId="347A230D" w14:textId="77777777" w:rsidR="00FA7EBF" w:rsidRPr="007939DD" w:rsidRDefault="00FA7EBF" w:rsidP="007B207C">
            <w:pPr>
              <w:pStyle w:val="ARfintablebodyright"/>
              <w:rPr>
                <w:lang w:eastAsia="en-AU"/>
              </w:rPr>
            </w:pPr>
            <w:r w:rsidRPr="00A70E16">
              <w:t>(13.1)</w:t>
            </w:r>
          </w:p>
        </w:tc>
        <w:tc>
          <w:tcPr>
            <w:tcW w:w="1134" w:type="dxa"/>
            <w:tcBorders>
              <w:top w:val="single" w:sz="4" w:space="0" w:color="A6A6A6" w:themeColor="background1" w:themeShade="A6"/>
              <w:bottom w:val="single" w:sz="4" w:space="0" w:color="000000"/>
            </w:tcBorders>
          </w:tcPr>
          <w:p w14:paraId="4C9F86DC" w14:textId="77777777" w:rsidR="00FA7EBF" w:rsidRPr="007939DD" w:rsidRDefault="00FA7EBF" w:rsidP="007B207C">
            <w:pPr>
              <w:pStyle w:val="ARfintablebodyright"/>
              <w:rPr>
                <w:lang w:eastAsia="en-AU"/>
              </w:rPr>
            </w:pPr>
            <w:r w:rsidRPr="00A70E16">
              <w:t>(8.6)</w:t>
            </w:r>
          </w:p>
        </w:tc>
      </w:tr>
      <w:tr w:rsidR="00FA7EBF" w:rsidRPr="007939DD" w14:paraId="5F1A0133" w14:textId="77777777" w:rsidTr="007B207C">
        <w:trPr>
          <w:cantSplit/>
        </w:trPr>
        <w:tc>
          <w:tcPr>
            <w:tcW w:w="7371" w:type="dxa"/>
            <w:tcBorders>
              <w:top w:val="single" w:sz="4" w:space="0" w:color="000000"/>
              <w:bottom w:val="single" w:sz="4" w:space="0" w:color="A6A6A6" w:themeColor="background1" w:themeShade="A6"/>
            </w:tcBorders>
          </w:tcPr>
          <w:p w14:paraId="2FBE5C20" w14:textId="77777777" w:rsidR="00FA7EBF" w:rsidRPr="007939DD" w:rsidRDefault="00FA7EBF" w:rsidP="007B207C">
            <w:pPr>
              <w:pStyle w:val="ARfintablebodybold"/>
              <w:rPr>
                <w:rStyle w:val="Strong"/>
              </w:rPr>
            </w:pPr>
          </w:p>
        </w:tc>
        <w:tc>
          <w:tcPr>
            <w:tcW w:w="1134" w:type="dxa"/>
            <w:tcBorders>
              <w:top w:val="single" w:sz="4" w:space="0" w:color="000000"/>
              <w:bottom w:val="single" w:sz="4" w:space="0" w:color="A6A6A6" w:themeColor="background1" w:themeShade="A6"/>
            </w:tcBorders>
            <w:shd w:val="clear" w:color="auto" w:fill="E7E6E6"/>
          </w:tcPr>
          <w:p w14:paraId="34E11656" w14:textId="77777777" w:rsidR="00FA7EBF" w:rsidRPr="007939DD" w:rsidRDefault="00FA7EBF" w:rsidP="007B207C">
            <w:pPr>
              <w:pStyle w:val="ARfintablebodyrightbold"/>
              <w:rPr>
                <w:lang w:eastAsia="en-AU"/>
              </w:rPr>
            </w:pPr>
            <w:r w:rsidRPr="00A70E16">
              <w:t>325.0</w:t>
            </w:r>
          </w:p>
        </w:tc>
        <w:tc>
          <w:tcPr>
            <w:tcW w:w="1134" w:type="dxa"/>
            <w:tcBorders>
              <w:top w:val="single" w:sz="4" w:space="0" w:color="000000"/>
              <w:bottom w:val="single" w:sz="4" w:space="0" w:color="A6A6A6" w:themeColor="background1" w:themeShade="A6"/>
            </w:tcBorders>
          </w:tcPr>
          <w:p w14:paraId="3A22AB7F" w14:textId="77777777" w:rsidR="00FA7EBF" w:rsidRPr="007939DD" w:rsidRDefault="00FA7EBF" w:rsidP="007B207C">
            <w:pPr>
              <w:pStyle w:val="ARfintablebodyrightbold"/>
              <w:rPr>
                <w:rStyle w:val="Strong"/>
              </w:rPr>
            </w:pPr>
            <w:r w:rsidRPr="00A70E16">
              <w:t>88.3</w:t>
            </w:r>
          </w:p>
        </w:tc>
      </w:tr>
      <w:tr w:rsidR="00FA7EBF" w:rsidRPr="007939DD" w14:paraId="1B5120D6" w14:textId="77777777" w:rsidTr="007B207C">
        <w:trPr>
          <w:cantSplit/>
        </w:trPr>
        <w:tc>
          <w:tcPr>
            <w:tcW w:w="9639" w:type="dxa"/>
            <w:gridSpan w:val="3"/>
            <w:tcBorders>
              <w:top w:val="single" w:sz="4" w:space="0" w:color="A6A6A6" w:themeColor="background1" w:themeShade="A6"/>
              <w:bottom w:val="single" w:sz="4" w:space="0" w:color="A6A6A6" w:themeColor="background1" w:themeShade="A6"/>
            </w:tcBorders>
          </w:tcPr>
          <w:p w14:paraId="03ACE81C" w14:textId="77777777" w:rsidR="00FA7EBF" w:rsidRPr="007939DD" w:rsidRDefault="00FA7EBF" w:rsidP="007B207C">
            <w:pPr>
              <w:pStyle w:val="ARfintablebody"/>
              <w:rPr>
                <w:lang w:eastAsia="en-AU"/>
              </w:rPr>
            </w:pPr>
            <w:r w:rsidRPr="0039612F">
              <w:rPr>
                <w:rStyle w:val="Emphasis"/>
                <w:iCs w:val="0"/>
              </w:rPr>
              <w:t>Statutory</w:t>
            </w:r>
          </w:p>
        </w:tc>
      </w:tr>
      <w:tr w:rsidR="00FA7EBF" w:rsidRPr="007939DD" w14:paraId="41488120"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2658118" w14:textId="77777777" w:rsidR="00FA7EBF" w:rsidRPr="007939DD" w:rsidRDefault="00FA7EBF" w:rsidP="007B207C">
            <w:pPr>
              <w:pStyle w:val="ARfintablebody"/>
              <w:rPr>
                <w:lang w:eastAsia="en-AU"/>
              </w:rPr>
            </w:pPr>
            <w:r w:rsidRPr="00A70E16">
              <w:t>Amounts owing from Victorian Government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B1636E8" w14:textId="77777777" w:rsidR="00FA7EBF" w:rsidRPr="007939DD" w:rsidRDefault="00FA7EBF" w:rsidP="007B207C">
            <w:pPr>
              <w:pStyle w:val="ARfintablebodyright"/>
              <w:rPr>
                <w:lang w:eastAsia="en-AU"/>
              </w:rPr>
            </w:pPr>
            <w:r w:rsidRPr="00A70E16">
              <w:t>1,133.3</w:t>
            </w:r>
          </w:p>
        </w:tc>
        <w:tc>
          <w:tcPr>
            <w:tcW w:w="1134" w:type="dxa"/>
            <w:tcBorders>
              <w:top w:val="single" w:sz="4" w:space="0" w:color="A6A6A6" w:themeColor="background1" w:themeShade="A6"/>
              <w:bottom w:val="single" w:sz="4" w:space="0" w:color="A6A6A6" w:themeColor="background1" w:themeShade="A6"/>
            </w:tcBorders>
          </w:tcPr>
          <w:p w14:paraId="7E453D2A" w14:textId="77777777" w:rsidR="00FA7EBF" w:rsidRPr="007939DD" w:rsidRDefault="00FA7EBF" w:rsidP="007B207C">
            <w:pPr>
              <w:pStyle w:val="ARfintablebodyright"/>
              <w:rPr>
                <w:lang w:eastAsia="en-AU"/>
              </w:rPr>
            </w:pPr>
            <w:r w:rsidRPr="00A70E16">
              <w:t>1,063.5</w:t>
            </w:r>
          </w:p>
        </w:tc>
      </w:tr>
      <w:tr w:rsidR="00FA7EBF" w:rsidRPr="007939DD" w14:paraId="4D450A65" w14:textId="77777777" w:rsidTr="007B207C">
        <w:trPr>
          <w:cantSplit/>
        </w:trPr>
        <w:tc>
          <w:tcPr>
            <w:tcW w:w="7371" w:type="dxa"/>
            <w:tcBorders>
              <w:top w:val="single" w:sz="4" w:space="0" w:color="A6A6A6" w:themeColor="background1" w:themeShade="A6"/>
              <w:bottom w:val="single" w:sz="4" w:space="0" w:color="000000"/>
            </w:tcBorders>
          </w:tcPr>
          <w:p w14:paraId="158E6EB0" w14:textId="77777777" w:rsidR="00FA7EBF" w:rsidRPr="007939DD" w:rsidRDefault="00FA7EBF" w:rsidP="007B207C">
            <w:pPr>
              <w:pStyle w:val="ARfintablebody"/>
              <w:rPr>
                <w:lang w:eastAsia="en-AU"/>
              </w:rPr>
            </w:pPr>
            <w:r w:rsidRPr="00A70E16">
              <w:t>GST input tax credit recoverable</w:t>
            </w:r>
          </w:p>
        </w:tc>
        <w:tc>
          <w:tcPr>
            <w:tcW w:w="1134" w:type="dxa"/>
            <w:tcBorders>
              <w:top w:val="single" w:sz="4" w:space="0" w:color="A6A6A6" w:themeColor="background1" w:themeShade="A6"/>
              <w:bottom w:val="single" w:sz="4" w:space="0" w:color="000000"/>
            </w:tcBorders>
            <w:shd w:val="clear" w:color="auto" w:fill="E7E6E6"/>
          </w:tcPr>
          <w:p w14:paraId="1439030C" w14:textId="77777777" w:rsidR="00FA7EBF" w:rsidRPr="007939DD" w:rsidRDefault="00FA7EBF" w:rsidP="007B207C">
            <w:pPr>
              <w:pStyle w:val="ARfintablebodyright"/>
              <w:rPr>
                <w:lang w:eastAsia="en-AU"/>
              </w:rPr>
            </w:pPr>
            <w:r w:rsidRPr="00A70E16">
              <w:t>55.8</w:t>
            </w:r>
          </w:p>
        </w:tc>
        <w:tc>
          <w:tcPr>
            <w:tcW w:w="1134" w:type="dxa"/>
            <w:tcBorders>
              <w:top w:val="single" w:sz="4" w:space="0" w:color="A6A6A6" w:themeColor="background1" w:themeShade="A6"/>
              <w:bottom w:val="single" w:sz="4" w:space="0" w:color="000000"/>
            </w:tcBorders>
          </w:tcPr>
          <w:p w14:paraId="6A36A42C" w14:textId="77777777" w:rsidR="00FA7EBF" w:rsidRPr="007939DD" w:rsidRDefault="00FA7EBF" w:rsidP="007B207C">
            <w:pPr>
              <w:pStyle w:val="ARfintablebodyright"/>
              <w:rPr>
                <w:lang w:eastAsia="en-AU"/>
              </w:rPr>
            </w:pPr>
            <w:r w:rsidRPr="00A70E16">
              <w:t>57.9</w:t>
            </w:r>
          </w:p>
        </w:tc>
      </w:tr>
      <w:tr w:rsidR="00FA7EBF" w:rsidRPr="007939DD" w14:paraId="7B3F0635" w14:textId="77777777" w:rsidTr="007B207C">
        <w:trPr>
          <w:cantSplit/>
        </w:trPr>
        <w:tc>
          <w:tcPr>
            <w:tcW w:w="7371" w:type="dxa"/>
            <w:tcBorders>
              <w:top w:val="single" w:sz="4" w:space="0" w:color="000000"/>
            </w:tcBorders>
          </w:tcPr>
          <w:p w14:paraId="6CAC996F" w14:textId="77777777" w:rsidR="00FA7EBF" w:rsidRPr="007939DD" w:rsidRDefault="00FA7EBF" w:rsidP="007B207C">
            <w:pPr>
              <w:pStyle w:val="ARfintablebody"/>
              <w:rPr>
                <w:lang w:eastAsia="en-AU"/>
              </w:rPr>
            </w:pPr>
          </w:p>
        </w:tc>
        <w:tc>
          <w:tcPr>
            <w:tcW w:w="1134" w:type="dxa"/>
            <w:tcBorders>
              <w:top w:val="single" w:sz="4" w:space="0" w:color="000000"/>
            </w:tcBorders>
            <w:shd w:val="clear" w:color="auto" w:fill="E7E6E6"/>
          </w:tcPr>
          <w:p w14:paraId="348721E0" w14:textId="77777777" w:rsidR="00FA7EBF" w:rsidRPr="007939DD" w:rsidRDefault="00FA7EBF" w:rsidP="007B207C">
            <w:pPr>
              <w:pStyle w:val="ARfintablebodyrightbold"/>
              <w:rPr>
                <w:lang w:eastAsia="en-AU"/>
              </w:rPr>
            </w:pPr>
            <w:r w:rsidRPr="00A70E16">
              <w:t>1,189.1</w:t>
            </w:r>
          </w:p>
        </w:tc>
        <w:tc>
          <w:tcPr>
            <w:tcW w:w="1134" w:type="dxa"/>
            <w:tcBorders>
              <w:top w:val="single" w:sz="4" w:space="0" w:color="000000"/>
            </w:tcBorders>
          </w:tcPr>
          <w:p w14:paraId="3F2B4D3D" w14:textId="77777777" w:rsidR="00FA7EBF" w:rsidRPr="007939DD" w:rsidRDefault="00FA7EBF" w:rsidP="007B207C">
            <w:pPr>
              <w:pStyle w:val="ARfintablebodyrightbold"/>
              <w:rPr>
                <w:rStyle w:val="Strong"/>
              </w:rPr>
            </w:pPr>
            <w:r w:rsidRPr="00A70E16">
              <w:t>1,121.3</w:t>
            </w:r>
          </w:p>
        </w:tc>
      </w:tr>
      <w:tr w:rsidR="00FA7EBF" w:rsidRPr="007939DD" w14:paraId="23EE277F" w14:textId="77777777" w:rsidTr="007B207C">
        <w:trPr>
          <w:cantSplit/>
        </w:trPr>
        <w:tc>
          <w:tcPr>
            <w:tcW w:w="7371" w:type="dxa"/>
          </w:tcPr>
          <w:p w14:paraId="3BDE126B" w14:textId="77777777" w:rsidR="00FA7EBF" w:rsidRPr="007939DD" w:rsidRDefault="00FA7EBF" w:rsidP="007B207C">
            <w:pPr>
              <w:pStyle w:val="ARfintablebodybold"/>
              <w:rPr>
                <w:rStyle w:val="Strong"/>
              </w:rPr>
            </w:pPr>
            <w:r w:rsidRPr="00A70E16">
              <w:t>Total current receivables</w:t>
            </w:r>
          </w:p>
        </w:tc>
        <w:tc>
          <w:tcPr>
            <w:tcW w:w="1134" w:type="dxa"/>
            <w:shd w:val="clear" w:color="auto" w:fill="E7E6E6"/>
          </w:tcPr>
          <w:p w14:paraId="517573C1" w14:textId="77777777" w:rsidR="00FA7EBF" w:rsidRPr="007939DD" w:rsidRDefault="00FA7EBF" w:rsidP="007B207C">
            <w:pPr>
              <w:pStyle w:val="ARfintablebodyrightbold"/>
              <w:rPr>
                <w:lang w:eastAsia="en-AU"/>
              </w:rPr>
            </w:pPr>
            <w:r w:rsidRPr="00A70E16">
              <w:t>1,514.1</w:t>
            </w:r>
          </w:p>
        </w:tc>
        <w:tc>
          <w:tcPr>
            <w:tcW w:w="1134" w:type="dxa"/>
          </w:tcPr>
          <w:p w14:paraId="21E687A2" w14:textId="77777777" w:rsidR="00FA7EBF" w:rsidRPr="007939DD" w:rsidRDefault="00FA7EBF" w:rsidP="007B207C">
            <w:pPr>
              <w:pStyle w:val="ARfintablebodyrightbold"/>
              <w:rPr>
                <w:rStyle w:val="Strong"/>
              </w:rPr>
            </w:pPr>
            <w:r w:rsidRPr="00A70E16">
              <w:t>1,209.6</w:t>
            </w:r>
          </w:p>
        </w:tc>
      </w:tr>
      <w:tr w:rsidR="00FA7EBF" w:rsidRPr="007939DD" w14:paraId="50BE5DF8" w14:textId="77777777" w:rsidTr="007B207C">
        <w:trPr>
          <w:cantSplit/>
        </w:trPr>
        <w:tc>
          <w:tcPr>
            <w:tcW w:w="9639" w:type="dxa"/>
            <w:gridSpan w:val="3"/>
            <w:tcBorders>
              <w:bottom w:val="single" w:sz="4" w:space="0" w:color="A6A6A6" w:themeColor="background1" w:themeShade="A6"/>
            </w:tcBorders>
          </w:tcPr>
          <w:p w14:paraId="026DFE38" w14:textId="77777777" w:rsidR="00FA7EBF" w:rsidRPr="007939DD" w:rsidRDefault="00FA7EBF" w:rsidP="007B207C">
            <w:pPr>
              <w:pStyle w:val="ARfintablebodybold"/>
              <w:rPr>
                <w:lang w:eastAsia="en-AU"/>
              </w:rPr>
            </w:pPr>
            <w:r w:rsidRPr="00A70E16">
              <w:t>Non-current receivables</w:t>
            </w:r>
          </w:p>
        </w:tc>
      </w:tr>
      <w:tr w:rsidR="00FA7EBF" w:rsidRPr="007939DD" w14:paraId="3CCB2B8B" w14:textId="77777777" w:rsidTr="007B207C">
        <w:trPr>
          <w:cantSplit/>
        </w:trPr>
        <w:tc>
          <w:tcPr>
            <w:tcW w:w="9639" w:type="dxa"/>
            <w:gridSpan w:val="3"/>
            <w:tcBorders>
              <w:top w:val="single" w:sz="4" w:space="0" w:color="A6A6A6" w:themeColor="background1" w:themeShade="A6"/>
              <w:bottom w:val="single" w:sz="4" w:space="0" w:color="A6A6A6" w:themeColor="background1" w:themeShade="A6"/>
            </w:tcBorders>
          </w:tcPr>
          <w:p w14:paraId="3227D2B5" w14:textId="77777777" w:rsidR="00FA7EBF" w:rsidRPr="007939DD" w:rsidRDefault="00FA7EBF" w:rsidP="007B207C">
            <w:pPr>
              <w:pStyle w:val="ARfintablebody"/>
              <w:rPr>
                <w:lang w:eastAsia="en-AU"/>
              </w:rPr>
            </w:pPr>
            <w:r w:rsidRPr="0039612F">
              <w:rPr>
                <w:rStyle w:val="Emphasis"/>
                <w:iCs w:val="0"/>
              </w:rPr>
              <w:t>Statutory</w:t>
            </w:r>
          </w:p>
        </w:tc>
      </w:tr>
      <w:tr w:rsidR="00FA7EBF" w:rsidRPr="007939DD" w14:paraId="39CA9858" w14:textId="77777777" w:rsidTr="007B207C">
        <w:trPr>
          <w:cantSplit/>
        </w:trPr>
        <w:tc>
          <w:tcPr>
            <w:tcW w:w="7371" w:type="dxa"/>
            <w:tcBorders>
              <w:top w:val="single" w:sz="4" w:space="0" w:color="A6A6A6" w:themeColor="background1" w:themeShade="A6"/>
              <w:bottom w:val="single" w:sz="4" w:space="0" w:color="000000"/>
            </w:tcBorders>
          </w:tcPr>
          <w:p w14:paraId="59523967" w14:textId="77777777" w:rsidR="00FA7EBF" w:rsidRPr="007939DD" w:rsidRDefault="00FA7EBF" w:rsidP="007B207C">
            <w:pPr>
              <w:pStyle w:val="ARfintablebody"/>
              <w:rPr>
                <w:lang w:eastAsia="en-AU"/>
              </w:rPr>
            </w:pPr>
            <w:r w:rsidRPr="00A70E16">
              <w:t>Amounts owing from Victorian Government</w:t>
            </w:r>
          </w:p>
        </w:tc>
        <w:tc>
          <w:tcPr>
            <w:tcW w:w="1134" w:type="dxa"/>
            <w:tcBorders>
              <w:top w:val="single" w:sz="4" w:space="0" w:color="A6A6A6" w:themeColor="background1" w:themeShade="A6"/>
              <w:bottom w:val="single" w:sz="4" w:space="0" w:color="000000"/>
            </w:tcBorders>
            <w:shd w:val="clear" w:color="auto" w:fill="E7E6E6"/>
          </w:tcPr>
          <w:p w14:paraId="42711051" w14:textId="77777777" w:rsidR="00FA7EBF" w:rsidRPr="007939DD" w:rsidRDefault="00FA7EBF" w:rsidP="007B207C">
            <w:pPr>
              <w:pStyle w:val="ARfintablebodyright"/>
              <w:rPr>
                <w:lang w:eastAsia="en-AU"/>
              </w:rPr>
            </w:pPr>
            <w:r w:rsidRPr="00A70E16">
              <w:t>1,855.7</w:t>
            </w:r>
          </w:p>
        </w:tc>
        <w:tc>
          <w:tcPr>
            <w:tcW w:w="1134" w:type="dxa"/>
            <w:tcBorders>
              <w:top w:val="single" w:sz="4" w:space="0" w:color="A6A6A6" w:themeColor="background1" w:themeShade="A6"/>
              <w:bottom w:val="single" w:sz="4" w:space="0" w:color="000000"/>
            </w:tcBorders>
          </w:tcPr>
          <w:p w14:paraId="068BBC7C" w14:textId="77777777" w:rsidR="00FA7EBF" w:rsidRPr="007939DD" w:rsidRDefault="00FA7EBF" w:rsidP="007B207C">
            <w:pPr>
              <w:pStyle w:val="ARfintablebodyright"/>
              <w:rPr>
                <w:lang w:eastAsia="en-AU"/>
              </w:rPr>
            </w:pPr>
            <w:r w:rsidRPr="00A70E16">
              <w:t>1,774.9</w:t>
            </w:r>
          </w:p>
        </w:tc>
      </w:tr>
      <w:tr w:rsidR="00FA7EBF" w:rsidRPr="007939DD" w14:paraId="064461EB" w14:textId="77777777" w:rsidTr="007B207C">
        <w:trPr>
          <w:cantSplit/>
        </w:trPr>
        <w:tc>
          <w:tcPr>
            <w:tcW w:w="7371" w:type="dxa"/>
            <w:tcBorders>
              <w:top w:val="single" w:sz="4" w:space="0" w:color="000000"/>
            </w:tcBorders>
          </w:tcPr>
          <w:p w14:paraId="2C4343C2" w14:textId="77777777" w:rsidR="00FA7EBF" w:rsidRPr="007939DD" w:rsidRDefault="00FA7EBF" w:rsidP="007B207C">
            <w:pPr>
              <w:pStyle w:val="ARfintablebodybold"/>
              <w:rPr>
                <w:rStyle w:val="Strong"/>
              </w:rPr>
            </w:pPr>
          </w:p>
        </w:tc>
        <w:tc>
          <w:tcPr>
            <w:tcW w:w="1134" w:type="dxa"/>
            <w:tcBorders>
              <w:top w:val="single" w:sz="4" w:space="0" w:color="000000"/>
            </w:tcBorders>
            <w:shd w:val="clear" w:color="auto" w:fill="E7E6E6"/>
          </w:tcPr>
          <w:p w14:paraId="2B8B3083" w14:textId="77777777" w:rsidR="00FA7EBF" w:rsidRPr="007939DD" w:rsidRDefault="00FA7EBF" w:rsidP="007B207C">
            <w:pPr>
              <w:pStyle w:val="ARfintablebodyright"/>
              <w:rPr>
                <w:lang w:eastAsia="en-AU"/>
              </w:rPr>
            </w:pPr>
            <w:r w:rsidRPr="00A70E16">
              <w:t>1,855.7</w:t>
            </w:r>
          </w:p>
        </w:tc>
        <w:tc>
          <w:tcPr>
            <w:tcW w:w="1134" w:type="dxa"/>
            <w:tcBorders>
              <w:top w:val="single" w:sz="4" w:space="0" w:color="000000"/>
            </w:tcBorders>
          </w:tcPr>
          <w:p w14:paraId="15D0CC90" w14:textId="77777777" w:rsidR="00FA7EBF" w:rsidRPr="007939DD" w:rsidRDefault="00FA7EBF" w:rsidP="007B207C">
            <w:pPr>
              <w:pStyle w:val="ARfintablebodyright"/>
              <w:rPr>
                <w:lang w:eastAsia="en-AU"/>
              </w:rPr>
            </w:pPr>
            <w:r w:rsidRPr="00A70E16">
              <w:t>1,774.9</w:t>
            </w:r>
          </w:p>
        </w:tc>
      </w:tr>
      <w:tr w:rsidR="00FA7EBF" w:rsidRPr="007939DD" w14:paraId="6ADB0462" w14:textId="77777777" w:rsidTr="007B207C">
        <w:trPr>
          <w:cantSplit/>
        </w:trPr>
        <w:tc>
          <w:tcPr>
            <w:tcW w:w="7371" w:type="dxa"/>
          </w:tcPr>
          <w:p w14:paraId="086D314B" w14:textId="77777777" w:rsidR="00FA7EBF" w:rsidRPr="007939DD" w:rsidRDefault="00FA7EBF" w:rsidP="007B207C">
            <w:pPr>
              <w:pStyle w:val="ARfintablebodybold"/>
              <w:rPr>
                <w:rStyle w:val="Strong"/>
              </w:rPr>
            </w:pPr>
            <w:r w:rsidRPr="00A70E16">
              <w:t>Total non-current receivables</w:t>
            </w:r>
          </w:p>
        </w:tc>
        <w:tc>
          <w:tcPr>
            <w:tcW w:w="1134" w:type="dxa"/>
            <w:shd w:val="clear" w:color="auto" w:fill="E7E6E6"/>
          </w:tcPr>
          <w:p w14:paraId="6008B135" w14:textId="77777777" w:rsidR="00FA7EBF" w:rsidRPr="007939DD" w:rsidRDefault="00FA7EBF" w:rsidP="007B207C">
            <w:pPr>
              <w:pStyle w:val="ARfintablebodyrightbold"/>
              <w:rPr>
                <w:lang w:eastAsia="en-AU"/>
              </w:rPr>
            </w:pPr>
            <w:r w:rsidRPr="00A70E16">
              <w:t>1,855.7</w:t>
            </w:r>
          </w:p>
        </w:tc>
        <w:tc>
          <w:tcPr>
            <w:tcW w:w="1134" w:type="dxa"/>
          </w:tcPr>
          <w:p w14:paraId="4883297A" w14:textId="77777777" w:rsidR="00FA7EBF" w:rsidRPr="007939DD" w:rsidRDefault="00FA7EBF" w:rsidP="007B207C">
            <w:pPr>
              <w:pStyle w:val="ARfintablebodyrightbold"/>
              <w:rPr>
                <w:rStyle w:val="Strong"/>
              </w:rPr>
            </w:pPr>
            <w:r w:rsidRPr="00A70E16">
              <w:t>1,774.9</w:t>
            </w:r>
          </w:p>
        </w:tc>
      </w:tr>
      <w:tr w:rsidR="00FA7EBF" w:rsidRPr="007939DD" w14:paraId="47B0CF47" w14:textId="77777777" w:rsidTr="007B207C">
        <w:trPr>
          <w:cantSplit/>
        </w:trPr>
        <w:tc>
          <w:tcPr>
            <w:tcW w:w="7371" w:type="dxa"/>
          </w:tcPr>
          <w:p w14:paraId="6F442659" w14:textId="77777777" w:rsidR="00FA7EBF" w:rsidRPr="007939DD" w:rsidRDefault="00FA7EBF" w:rsidP="007B207C">
            <w:pPr>
              <w:pStyle w:val="ARfintablebodybold"/>
              <w:rPr>
                <w:rStyle w:val="Strong"/>
              </w:rPr>
            </w:pPr>
            <w:r w:rsidRPr="00A70E16">
              <w:t>Total receivables</w:t>
            </w:r>
          </w:p>
        </w:tc>
        <w:tc>
          <w:tcPr>
            <w:tcW w:w="1134" w:type="dxa"/>
            <w:shd w:val="clear" w:color="auto" w:fill="E7E6E6"/>
          </w:tcPr>
          <w:p w14:paraId="24802330" w14:textId="77777777" w:rsidR="00FA7EBF" w:rsidRPr="007939DD" w:rsidRDefault="00FA7EBF" w:rsidP="007B207C">
            <w:pPr>
              <w:pStyle w:val="ARfintablebodyrightbold"/>
              <w:rPr>
                <w:lang w:eastAsia="en-AU"/>
              </w:rPr>
            </w:pPr>
            <w:r w:rsidRPr="00A70E16">
              <w:t>3,369.8</w:t>
            </w:r>
          </w:p>
        </w:tc>
        <w:tc>
          <w:tcPr>
            <w:tcW w:w="1134" w:type="dxa"/>
          </w:tcPr>
          <w:p w14:paraId="62D2AFD8" w14:textId="77777777" w:rsidR="00FA7EBF" w:rsidRPr="007939DD" w:rsidRDefault="00FA7EBF" w:rsidP="007B207C">
            <w:pPr>
              <w:pStyle w:val="ARfintablebodyrightbold"/>
              <w:rPr>
                <w:rStyle w:val="Strong"/>
              </w:rPr>
            </w:pPr>
            <w:r w:rsidRPr="00A70E16">
              <w:t>2,984.5</w:t>
            </w:r>
          </w:p>
        </w:tc>
      </w:tr>
    </w:tbl>
    <w:p w14:paraId="650CC084" w14:textId="77777777" w:rsidR="00FA7EBF" w:rsidRDefault="00FA7EBF" w:rsidP="00CA66FD">
      <w:pPr>
        <w:pStyle w:val="ARfinbodyaftertable"/>
      </w:pPr>
      <w:r w:rsidRPr="00B82ED9">
        <w:rPr>
          <w:rStyle w:val="Strong"/>
          <w:bCs w:val="0"/>
        </w:rPr>
        <w:t>Contractual receivables</w:t>
      </w:r>
      <w:r w:rsidRPr="00194D78">
        <w:t xml:space="preserve"> are classified as financial instruments and categorised as </w:t>
      </w:r>
      <w:r>
        <w:t>‘</w:t>
      </w:r>
      <w:r w:rsidRPr="00194D78">
        <w:t>financial assets at amortised costs</w:t>
      </w:r>
      <w:r>
        <w:t>’</w:t>
      </w:r>
      <w:r w:rsidRPr="00194D78">
        <w:t>. They are initially recognised at fair value plus any directly attributable transaction costs. The department holds the contractual receivables with the objective to collect the contractual cash flows and therefore subsequent to initial measurement they are measured at amortised cost using the effective interest method, less any impairment.</w:t>
      </w:r>
    </w:p>
    <w:p w14:paraId="35426D1B" w14:textId="77777777" w:rsidR="00FA7EBF" w:rsidRPr="00194D78" w:rsidRDefault="00FA7EBF" w:rsidP="00CA66FD">
      <w:pPr>
        <w:pStyle w:val="ARfinbody"/>
      </w:pPr>
      <w:r w:rsidRPr="00B82ED9">
        <w:rPr>
          <w:rStyle w:val="Strong"/>
          <w:bCs w:val="0"/>
        </w:rPr>
        <w:t>Statutory receivables</w:t>
      </w:r>
      <w:r w:rsidRPr="00194D78">
        <w:t xml:space="preserve"> do not arise from contracts and are recognised and measured similarly to contractual receivables (except for</w:t>
      </w:r>
      <w:r>
        <w:t> </w:t>
      </w:r>
      <w:r w:rsidRPr="00194D78">
        <w:t>impairment), but are not classified as financial instruments for disclosure purposes. The department applies AASB 9 for initial measurement at the statutory receivables and as a result statutory receivables are initially recognised at fair value plus any directly attributable transaction costs. Amounts recognised from the Victorian Government represent funding for all commitments incurred and are drawn from the Consolidated Fund as the commitments fall due.</w:t>
      </w:r>
    </w:p>
    <w:p w14:paraId="506086E4" w14:textId="77777777" w:rsidR="00FA7EBF" w:rsidRPr="00194D78" w:rsidRDefault="00FA7EBF" w:rsidP="00CA66FD">
      <w:pPr>
        <w:pStyle w:val="ARfinbody"/>
      </w:pPr>
      <w:r w:rsidRPr="00194D78">
        <w:t>Details about the department</w:t>
      </w:r>
      <w:r>
        <w:t>’</w:t>
      </w:r>
      <w:r w:rsidRPr="00194D78">
        <w:t>s impairment policies, the department</w:t>
      </w:r>
      <w:r>
        <w:t>’</w:t>
      </w:r>
      <w:r w:rsidRPr="00194D78">
        <w:t>s exposure to credit risks and the calculation of the loss allowance are set out in note 8.1.3.</w:t>
      </w:r>
    </w:p>
    <w:p w14:paraId="2223A9C1" w14:textId="77777777" w:rsidR="00FA7EBF" w:rsidRPr="00194D78" w:rsidRDefault="00FA7EBF" w:rsidP="00CA66FD">
      <w:pPr>
        <w:pStyle w:val="ARfinbody"/>
      </w:pPr>
      <w:r w:rsidRPr="00194D78">
        <w:br w:type="page"/>
      </w:r>
    </w:p>
    <w:p w14:paraId="4D340B2F" w14:textId="77777777" w:rsidR="00FA7EBF" w:rsidRDefault="00FA7EBF" w:rsidP="00CA66FD">
      <w:pPr>
        <w:pStyle w:val="Heading4"/>
        <w:rPr>
          <w:lang w:eastAsia="en-AU"/>
        </w:rPr>
      </w:pPr>
      <w:r w:rsidRPr="00194D78">
        <w:rPr>
          <w:lang w:eastAsia="en-AU"/>
        </w:rPr>
        <w:t>6.2 Loans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7F3A1873" w14:textId="77777777" w:rsidTr="007B207C">
        <w:trPr>
          <w:cantSplit/>
          <w:tblHeader/>
        </w:trPr>
        <w:tc>
          <w:tcPr>
            <w:tcW w:w="7371" w:type="dxa"/>
            <w:vAlign w:val="bottom"/>
          </w:tcPr>
          <w:p w14:paraId="609DDB25" w14:textId="77777777" w:rsidR="00FA7EBF" w:rsidRPr="007939DD" w:rsidRDefault="00FA7EBF" w:rsidP="007B207C">
            <w:pPr>
              <w:pStyle w:val="ARfintablecolhead"/>
            </w:pPr>
          </w:p>
        </w:tc>
        <w:tc>
          <w:tcPr>
            <w:tcW w:w="1134" w:type="dxa"/>
            <w:shd w:val="clear" w:color="auto" w:fill="E7E6E6"/>
            <w:vAlign w:val="bottom"/>
          </w:tcPr>
          <w:p w14:paraId="22ED08D0" w14:textId="77777777" w:rsidR="00FA7EBF" w:rsidRPr="007939DD" w:rsidRDefault="00FA7EBF" w:rsidP="007B207C">
            <w:pPr>
              <w:pStyle w:val="ARfintablecolheadright"/>
            </w:pPr>
            <w:r w:rsidRPr="007939DD">
              <w:t>201</w:t>
            </w:r>
            <w:r>
              <w:t>9</w:t>
            </w:r>
          </w:p>
          <w:p w14:paraId="7A77DC64" w14:textId="77777777" w:rsidR="00FA7EBF" w:rsidRPr="007939DD" w:rsidRDefault="00FA7EBF" w:rsidP="007B207C">
            <w:pPr>
              <w:pStyle w:val="ARfintablecolheadright"/>
            </w:pPr>
            <w:r w:rsidRPr="007939DD">
              <w:t>$M</w:t>
            </w:r>
          </w:p>
        </w:tc>
        <w:tc>
          <w:tcPr>
            <w:tcW w:w="1134" w:type="dxa"/>
            <w:vAlign w:val="bottom"/>
          </w:tcPr>
          <w:p w14:paraId="634ED772" w14:textId="77777777" w:rsidR="00FA7EBF" w:rsidRPr="007939DD" w:rsidRDefault="00FA7EBF" w:rsidP="007B207C">
            <w:pPr>
              <w:pStyle w:val="ARfintablecolheadright"/>
            </w:pPr>
            <w:r w:rsidRPr="007939DD">
              <w:t>201</w:t>
            </w:r>
            <w:r>
              <w:t>8</w:t>
            </w:r>
          </w:p>
          <w:p w14:paraId="62AC18A3" w14:textId="77777777" w:rsidR="00FA7EBF" w:rsidRPr="007939DD" w:rsidRDefault="00FA7EBF" w:rsidP="007B207C">
            <w:pPr>
              <w:pStyle w:val="ARfintablecolheadright"/>
            </w:pPr>
            <w:r w:rsidRPr="007939DD">
              <w:t>$M</w:t>
            </w:r>
          </w:p>
        </w:tc>
      </w:tr>
      <w:tr w:rsidR="00FA7EBF" w:rsidRPr="007939DD" w14:paraId="245B5DE1" w14:textId="77777777" w:rsidTr="007B207C">
        <w:trPr>
          <w:cantSplit/>
        </w:trPr>
        <w:tc>
          <w:tcPr>
            <w:tcW w:w="9639" w:type="dxa"/>
            <w:gridSpan w:val="3"/>
            <w:tcBorders>
              <w:bottom w:val="single" w:sz="4" w:space="0" w:color="A6A6A6" w:themeColor="background1" w:themeShade="A6"/>
            </w:tcBorders>
          </w:tcPr>
          <w:p w14:paraId="72C901EA" w14:textId="77777777" w:rsidR="00FA7EBF" w:rsidRPr="007939DD" w:rsidRDefault="00FA7EBF" w:rsidP="007B207C">
            <w:pPr>
              <w:pStyle w:val="ARfintablebodybold"/>
              <w:rPr>
                <w:lang w:eastAsia="en-AU"/>
              </w:rPr>
            </w:pPr>
            <w:r w:rsidRPr="0035087B">
              <w:t>Current loans</w:t>
            </w:r>
          </w:p>
        </w:tc>
      </w:tr>
      <w:tr w:rsidR="00FA7EBF" w:rsidRPr="007939DD" w14:paraId="4252A6FB" w14:textId="77777777" w:rsidTr="007B207C">
        <w:trPr>
          <w:cantSplit/>
        </w:trPr>
        <w:tc>
          <w:tcPr>
            <w:tcW w:w="9639" w:type="dxa"/>
            <w:gridSpan w:val="3"/>
            <w:tcBorders>
              <w:top w:val="single" w:sz="4" w:space="0" w:color="A6A6A6" w:themeColor="background1" w:themeShade="A6"/>
              <w:bottom w:val="single" w:sz="4" w:space="0" w:color="A6A6A6" w:themeColor="background1" w:themeShade="A6"/>
            </w:tcBorders>
          </w:tcPr>
          <w:p w14:paraId="602D3B8E" w14:textId="77777777" w:rsidR="00FA7EBF" w:rsidRPr="007939DD" w:rsidRDefault="00FA7EBF" w:rsidP="007B207C">
            <w:pPr>
              <w:pStyle w:val="ARfintablebody"/>
            </w:pPr>
            <w:r w:rsidRPr="00222B2C">
              <w:rPr>
                <w:rStyle w:val="Emphasis"/>
                <w:iCs w:val="0"/>
              </w:rPr>
              <w:t>Contractual</w:t>
            </w:r>
          </w:p>
        </w:tc>
      </w:tr>
      <w:tr w:rsidR="00FA7EBF" w:rsidRPr="007939DD" w14:paraId="451B0C7F"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7DCB057" w14:textId="77777777" w:rsidR="00FA7EBF" w:rsidRPr="007939DD" w:rsidRDefault="00FA7EBF" w:rsidP="007B207C">
            <w:pPr>
              <w:pStyle w:val="ARfintablebody"/>
              <w:spacing w:before="36" w:after="16"/>
              <w:rPr>
                <w:lang w:eastAsia="en-AU"/>
              </w:rPr>
            </w:pPr>
            <w:r w:rsidRPr="0035087B">
              <w:t>Fixed interest home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865EC8B" w14:textId="77777777" w:rsidR="00FA7EBF" w:rsidRPr="007939DD" w:rsidRDefault="00FA7EBF" w:rsidP="007B207C">
            <w:pPr>
              <w:pStyle w:val="ARfintablebodyright"/>
              <w:spacing w:before="36" w:after="16"/>
              <w:rPr>
                <w:lang w:eastAsia="en-AU"/>
              </w:rPr>
            </w:pPr>
            <w:r w:rsidRPr="0035087B">
              <w:t>0.8</w:t>
            </w:r>
          </w:p>
        </w:tc>
        <w:tc>
          <w:tcPr>
            <w:tcW w:w="1134" w:type="dxa"/>
            <w:tcBorders>
              <w:top w:val="single" w:sz="4" w:space="0" w:color="A6A6A6" w:themeColor="background1" w:themeShade="A6"/>
              <w:bottom w:val="single" w:sz="4" w:space="0" w:color="A6A6A6" w:themeColor="background1" w:themeShade="A6"/>
            </w:tcBorders>
          </w:tcPr>
          <w:p w14:paraId="293082EA" w14:textId="77777777" w:rsidR="00FA7EBF" w:rsidRPr="007939DD" w:rsidRDefault="00FA7EBF" w:rsidP="007B207C">
            <w:pPr>
              <w:pStyle w:val="ARfintablebodyright"/>
              <w:spacing w:before="36" w:after="16"/>
              <w:rPr>
                <w:lang w:eastAsia="en-AU"/>
              </w:rPr>
            </w:pPr>
            <w:r w:rsidRPr="0035087B">
              <w:t>1.0</w:t>
            </w:r>
          </w:p>
        </w:tc>
      </w:tr>
      <w:tr w:rsidR="00FA7EBF" w:rsidRPr="007939DD" w14:paraId="6CBF47EF"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39BB3489" w14:textId="77777777" w:rsidR="00FA7EBF" w:rsidRPr="007939DD" w:rsidRDefault="00FA7EBF" w:rsidP="007B207C">
            <w:pPr>
              <w:pStyle w:val="ARfintablebody"/>
              <w:spacing w:before="36" w:after="16"/>
              <w:rPr>
                <w:lang w:eastAsia="en-AU"/>
              </w:rPr>
            </w:pPr>
            <w:r w:rsidRPr="0035087B">
              <w:t>Indexed interest home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DDB41C9" w14:textId="77777777" w:rsidR="00FA7EBF" w:rsidRPr="007939DD" w:rsidRDefault="00FA7EBF" w:rsidP="007B207C">
            <w:pPr>
              <w:pStyle w:val="ARfintablebodyright"/>
              <w:spacing w:before="36" w:after="16"/>
              <w:rPr>
                <w:lang w:eastAsia="en-AU"/>
              </w:rPr>
            </w:pPr>
            <w:r w:rsidRPr="0035087B">
              <w:t>8.2</w:t>
            </w:r>
          </w:p>
        </w:tc>
        <w:tc>
          <w:tcPr>
            <w:tcW w:w="1134" w:type="dxa"/>
            <w:tcBorders>
              <w:top w:val="single" w:sz="4" w:space="0" w:color="A6A6A6" w:themeColor="background1" w:themeShade="A6"/>
              <w:bottom w:val="single" w:sz="4" w:space="0" w:color="A6A6A6" w:themeColor="background1" w:themeShade="A6"/>
            </w:tcBorders>
          </w:tcPr>
          <w:p w14:paraId="3F77A9F1" w14:textId="77777777" w:rsidR="00FA7EBF" w:rsidRPr="007939DD" w:rsidRDefault="00FA7EBF" w:rsidP="007B207C">
            <w:pPr>
              <w:pStyle w:val="ARfintablebodyright"/>
              <w:spacing w:before="36" w:after="16"/>
              <w:rPr>
                <w:lang w:eastAsia="en-AU"/>
              </w:rPr>
            </w:pPr>
            <w:r w:rsidRPr="0035087B">
              <w:t>8.4</w:t>
            </w:r>
          </w:p>
        </w:tc>
      </w:tr>
      <w:tr w:rsidR="00FA7EBF" w:rsidRPr="007939DD" w14:paraId="61FBC1F5"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01377D4F" w14:textId="77777777" w:rsidR="00FA7EBF" w:rsidRPr="007939DD" w:rsidRDefault="00FA7EBF" w:rsidP="007B207C">
            <w:pPr>
              <w:pStyle w:val="ARfintablebody"/>
              <w:spacing w:before="36" w:after="16"/>
              <w:rPr>
                <w:lang w:eastAsia="en-AU"/>
              </w:rPr>
            </w:pPr>
            <w:r w:rsidRPr="0035087B">
              <w:t>Variable interest home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8CEFF50" w14:textId="77777777" w:rsidR="00FA7EBF" w:rsidRPr="007939DD" w:rsidRDefault="00FA7EBF" w:rsidP="007B207C">
            <w:pPr>
              <w:pStyle w:val="ARfintablebodyright"/>
              <w:spacing w:before="36" w:after="16"/>
              <w:rPr>
                <w:lang w:eastAsia="en-AU"/>
              </w:rPr>
            </w:pPr>
            <w:r>
              <w:t>–</w:t>
            </w:r>
          </w:p>
        </w:tc>
        <w:tc>
          <w:tcPr>
            <w:tcW w:w="1134" w:type="dxa"/>
            <w:tcBorders>
              <w:top w:val="single" w:sz="4" w:space="0" w:color="A6A6A6" w:themeColor="background1" w:themeShade="A6"/>
              <w:bottom w:val="single" w:sz="4" w:space="0" w:color="A6A6A6" w:themeColor="background1" w:themeShade="A6"/>
            </w:tcBorders>
          </w:tcPr>
          <w:p w14:paraId="48258212" w14:textId="77777777" w:rsidR="00FA7EBF" w:rsidRPr="007939DD" w:rsidRDefault="00FA7EBF" w:rsidP="007B207C">
            <w:pPr>
              <w:pStyle w:val="ARfintablebodyright"/>
              <w:spacing w:before="36" w:after="16"/>
              <w:rPr>
                <w:lang w:eastAsia="en-AU"/>
              </w:rPr>
            </w:pPr>
            <w:r w:rsidRPr="0035087B">
              <w:t>0.1</w:t>
            </w:r>
          </w:p>
        </w:tc>
      </w:tr>
      <w:tr w:rsidR="00FA7EBF" w:rsidRPr="007939DD" w14:paraId="7940A81E" w14:textId="77777777" w:rsidTr="007B207C">
        <w:trPr>
          <w:cantSplit/>
        </w:trPr>
        <w:tc>
          <w:tcPr>
            <w:tcW w:w="7371" w:type="dxa"/>
            <w:tcBorders>
              <w:top w:val="single" w:sz="4" w:space="0" w:color="A6A6A6" w:themeColor="background1" w:themeShade="A6"/>
            </w:tcBorders>
          </w:tcPr>
          <w:p w14:paraId="124CB08B" w14:textId="77777777" w:rsidR="00FA7EBF" w:rsidRPr="007939DD" w:rsidRDefault="00FA7EBF" w:rsidP="007B207C">
            <w:pPr>
              <w:pStyle w:val="ARfintablebody"/>
              <w:spacing w:before="36" w:after="16"/>
              <w:rPr>
                <w:lang w:eastAsia="en-AU"/>
              </w:rPr>
            </w:pPr>
            <w:r w:rsidRPr="0035087B">
              <w:t>Other loans</w:t>
            </w:r>
          </w:p>
        </w:tc>
        <w:tc>
          <w:tcPr>
            <w:tcW w:w="1134" w:type="dxa"/>
            <w:tcBorders>
              <w:top w:val="single" w:sz="4" w:space="0" w:color="A6A6A6" w:themeColor="background1" w:themeShade="A6"/>
            </w:tcBorders>
            <w:shd w:val="clear" w:color="auto" w:fill="E7E6E6"/>
          </w:tcPr>
          <w:p w14:paraId="231D847D" w14:textId="77777777" w:rsidR="00FA7EBF" w:rsidRPr="007939DD" w:rsidRDefault="00FA7EBF" w:rsidP="007B207C">
            <w:pPr>
              <w:pStyle w:val="ARfintablebodyright"/>
              <w:spacing w:before="36" w:after="16"/>
              <w:rPr>
                <w:lang w:eastAsia="en-AU"/>
              </w:rPr>
            </w:pPr>
            <w:r w:rsidRPr="0035087B">
              <w:t>13.6</w:t>
            </w:r>
          </w:p>
        </w:tc>
        <w:tc>
          <w:tcPr>
            <w:tcW w:w="1134" w:type="dxa"/>
            <w:tcBorders>
              <w:top w:val="single" w:sz="4" w:space="0" w:color="A6A6A6" w:themeColor="background1" w:themeShade="A6"/>
            </w:tcBorders>
          </w:tcPr>
          <w:p w14:paraId="3E706788" w14:textId="77777777" w:rsidR="00FA7EBF" w:rsidRPr="007939DD" w:rsidRDefault="00FA7EBF" w:rsidP="007B207C">
            <w:pPr>
              <w:pStyle w:val="ARfintablebodyright"/>
              <w:spacing w:before="36" w:after="16"/>
              <w:rPr>
                <w:lang w:eastAsia="en-AU"/>
              </w:rPr>
            </w:pPr>
            <w:r w:rsidRPr="0035087B">
              <w:t>13.3</w:t>
            </w:r>
          </w:p>
        </w:tc>
      </w:tr>
      <w:tr w:rsidR="00FA7EBF" w:rsidRPr="007939DD" w14:paraId="045AD340" w14:textId="77777777" w:rsidTr="007B207C">
        <w:trPr>
          <w:cantSplit/>
        </w:trPr>
        <w:tc>
          <w:tcPr>
            <w:tcW w:w="7371" w:type="dxa"/>
          </w:tcPr>
          <w:p w14:paraId="407E6D53" w14:textId="77777777" w:rsidR="00FA7EBF" w:rsidRPr="007939DD" w:rsidRDefault="00FA7EBF" w:rsidP="007B207C">
            <w:pPr>
              <w:pStyle w:val="ARfintablebodybold"/>
              <w:rPr>
                <w:rStyle w:val="Strong"/>
              </w:rPr>
            </w:pPr>
            <w:r w:rsidRPr="0035087B">
              <w:t>Total current loans</w:t>
            </w:r>
          </w:p>
        </w:tc>
        <w:tc>
          <w:tcPr>
            <w:tcW w:w="1134" w:type="dxa"/>
            <w:shd w:val="clear" w:color="auto" w:fill="E7E6E6"/>
          </w:tcPr>
          <w:p w14:paraId="4D34EEAE" w14:textId="77777777" w:rsidR="00FA7EBF" w:rsidRPr="007939DD" w:rsidRDefault="00FA7EBF" w:rsidP="007B207C">
            <w:pPr>
              <w:pStyle w:val="ARfintablebodyrightbold"/>
              <w:rPr>
                <w:lang w:eastAsia="en-AU"/>
              </w:rPr>
            </w:pPr>
            <w:r w:rsidRPr="0035087B">
              <w:t>22.6</w:t>
            </w:r>
          </w:p>
        </w:tc>
        <w:tc>
          <w:tcPr>
            <w:tcW w:w="1134" w:type="dxa"/>
          </w:tcPr>
          <w:p w14:paraId="02B567C6" w14:textId="77777777" w:rsidR="00FA7EBF" w:rsidRPr="007939DD" w:rsidRDefault="00FA7EBF" w:rsidP="007B207C">
            <w:pPr>
              <w:pStyle w:val="ARfintablebodyrightbold"/>
              <w:rPr>
                <w:rStyle w:val="Strong"/>
              </w:rPr>
            </w:pPr>
            <w:r w:rsidRPr="0035087B">
              <w:t>22.8</w:t>
            </w:r>
          </w:p>
        </w:tc>
      </w:tr>
      <w:tr w:rsidR="00FA7EBF" w:rsidRPr="007939DD" w14:paraId="289926A0" w14:textId="77777777" w:rsidTr="007B207C">
        <w:trPr>
          <w:cantSplit/>
        </w:trPr>
        <w:tc>
          <w:tcPr>
            <w:tcW w:w="9639" w:type="dxa"/>
            <w:gridSpan w:val="3"/>
            <w:tcBorders>
              <w:bottom w:val="single" w:sz="4" w:space="0" w:color="A6A6A6" w:themeColor="background1" w:themeShade="A6"/>
            </w:tcBorders>
          </w:tcPr>
          <w:p w14:paraId="2B66FA32" w14:textId="77777777" w:rsidR="00FA7EBF" w:rsidRPr="007939DD" w:rsidRDefault="00FA7EBF" w:rsidP="007B207C">
            <w:pPr>
              <w:pStyle w:val="ARfintablebodybold"/>
              <w:rPr>
                <w:lang w:eastAsia="en-AU"/>
              </w:rPr>
            </w:pPr>
            <w:r w:rsidRPr="0035087B">
              <w:t>Non-current loans</w:t>
            </w:r>
          </w:p>
        </w:tc>
      </w:tr>
      <w:tr w:rsidR="00FA7EBF" w:rsidRPr="007939DD" w14:paraId="35AF3654" w14:textId="77777777" w:rsidTr="007B207C">
        <w:trPr>
          <w:cantSplit/>
        </w:trPr>
        <w:tc>
          <w:tcPr>
            <w:tcW w:w="9639" w:type="dxa"/>
            <w:gridSpan w:val="3"/>
            <w:tcBorders>
              <w:top w:val="single" w:sz="4" w:space="0" w:color="A6A6A6" w:themeColor="background1" w:themeShade="A6"/>
              <w:bottom w:val="single" w:sz="4" w:space="0" w:color="A6A6A6" w:themeColor="background1" w:themeShade="A6"/>
            </w:tcBorders>
          </w:tcPr>
          <w:p w14:paraId="166B83E2" w14:textId="77777777" w:rsidR="00FA7EBF" w:rsidRPr="007939DD" w:rsidRDefault="00FA7EBF" w:rsidP="007B207C">
            <w:pPr>
              <w:pStyle w:val="ARfintablebody"/>
              <w:rPr>
                <w:lang w:eastAsia="en-AU"/>
              </w:rPr>
            </w:pPr>
            <w:r w:rsidRPr="00222B2C">
              <w:rPr>
                <w:rStyle w:val="Emphasis"/>
                <w:iCs w:val="0"/>
              </w:rPr>
              <w:t>Contractual</w:t>
            </w:r>
          </w:p>
        </w:tc>
      </w:tr>
      <w:tr w:rsidR="00FA7EBF" w:rsidRPr="007939DD" w14:paraId="334F26CB"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DC3FFB5" w14:textId="77777777" w:rsidR="00FA7EBF" w:rsidRPr="007939DD" w:rsidRDefault="00FA7EBF" w:rsidP="007B207C">
            <w:pPr>
              <w:pStyle w:val="ARfintablebody"/>
              <w:spacing w:before="36" w:after="16"/>
              <w:rPr>
                <w:lang w:eastAsia="en-AU"/>
              </w:rPr>
            </w:pPr>
            <w:r w:rsidRPr="0035087B">
              <w:t>Fixed interest home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33593FB" w14:textId="77777777" w:rsidR="00FA7EBF" w:rsidRPr="007939DD" w:rsidRDefault="00FA7EBF" w:rsidP="007B207C">
            <w:pPr>
              <w:pStyle w:val="ARfintablebodyright"/>
              <w:spacing w:before="36" w:after="16"/>
              <w:rPr>
                <w:lang w:eastAsia="en-AU"/>
              </w:rPr>
            </w:pPr>
            <w:r w:rsidRPr="0035087B">
              <w:t>1.3</w:t>
            </w:r>
          </w:p>
        </w:tc>
        <w:tc>
          <w:tcPr>
            <w:tcW w:w="1134" w:type="dxa"/>
            <w:tcBorders>
              <w:top w:val="single" w:sz="4" w:space="0" w:color="A6A6A6" w:themeColor="background1" w:themeShade="A6"/>
              <w:bottom w:val="single" w:sz="4" w:space="0" w:color="A6A6A6" w:themeColor="background1" w:themeShade="A6"/>
            </w:tcBorders>
          </w:tcPr>
          <w:p w14:paraId="397AB3C4" w14:textId="77777777" w:rsidR="00FA7EBF" w:rsidRPr="007939DD" w:rsidRDefault="00FA7EBF" w:rsidP="007B207C">
            <w:pPr>
              <w:pStyle w:val="ARfintablebodyright"/>
              <w:spacing w:before="36" w:after="16"/>
              <w:rPr>
                <w:lang w:eastAsia="en-AU"/>
              </w:rPr>
            </w:pPr>
            <w:r w:rsidRPr="0035087B">
              <w:t>1.4</w:t>
            </w:r>
          </w:p>
        </w:tc>
      </w:tr>
      <w:tr w:rsidR="00FA7EBF" w:rsidRPr="007939DD" w14:paraId="30778F86"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E901A40" w14:textId="77777777" w:rsidR="00FA7EBF" w:rsidRPr="007939DD" w:rsidRDefault="00FA7EBF" w:rsidP="007B207C">
            <w:pPr>
              <w:pStyle w:val="ARfintablebody"/>
              <w:spacing w:before="36" w:after="16"/>
              <w:rPr>
                <w:lang w:eastAsia="en-AU"/>
              </w:rPr>
            </w:pPr>
            <w:r w:rsidRPr="0035087B">
              <w:t>Indexed interest home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94C07A7" w14:textId="77777777" w:rsidR="00FA7EBF" w:rsidRPr="007939DD" w:rsidRDefault="00FA7EBF" w:rsidP="007B207C">
            <w:pPr>
              <w:pStyle w:val="ARfintablebodyright"/>
              <w:spacing w:before="36" w:after="16"/>
              <w:rPr>
                <w:lang w:eastAsia="en-AU"/>
              </w:rPr>
            </w:pPr>
            <w:r w:rsidRPr="0035087B">
              <w:t>3.9</w:t>
            </w:r>
          </w:p>
        </w:tc>
        <w:tc>
          <w:tcPr>
            <w:tcW w:w="1134" w:type="dxa"/>
            <w:tcBorders>
              <w:top w:val="single" w:sz="4" w:space="0" w:color="A6A6A6" w:themeColor="background1" w:themeShade="A6"/>
              <w:bottom w:val="single" w:sz="4" w:space="0" w:color="A6A6A6" w:themeColor="background1" w:themeShade="A6"/>
            </w:tcBorders>
          </w:tcPr>
          <w:p w14:paraId="74CE7BFD" w14:textId="77777777" w:rsidR="00FA7EBF" w:rsidRPr="007939DD" w:rsidRDefault="00FA7EBF" w:rsidP="007B207C">
            <w:pPr>
              <w:pStyle w:val="ARfintablebodyright"/>
              <w:spacing w:before="36" w:after="16"/>
              <w:rPr>
                <w:lang w:eastAsia="en-AU"/>
              </w:rPr>
            </w:pPr>
            <w:r w:rsidRPr="0035087B">
              <w:t>5.0</w:t>
            </w:r>
          </w:p>
        </w:tc>
      </w:tr>
      <w:tr w:rsidR="00FA7EBF" w:rsidRPr="007939DD" w14:paraId="6D995B15"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5C9CFD5" w14:textId="77777777" w:rsidR="00FA7EBF" w:rsidRPr="007939DD" w:rsidRDefault="00FA7EBF" w:rsidP="007B207C">
            <w:pPr>
              <w:pStyle w:val="ARfintablebody"/>
              <w:spacing w:before="36" w:after="16"/>
              <w:rPr>
                <w:lang w:eastAsia="en-AU"/>
              </w:rPr>
            </w:pPr>
            <w:r w:rsidRPr="0035087B">
              <w:t>Variable interest home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A371B82" w14:textId="77777777" w:rsidR="00FA7EBF" w:rsidRPr="007939DD" w:rsidRDefault="00FA7EBF" w:rsidP="007B207C">
            <w:pPr>
              <w:pStyle w:val="ARfintablebodyright"/>
              <w:spacing w:before="36" w:after="16"/>
              <w:rPr>
                <w:lang w:eastAsia="en-AU"/>
              </w:rPr>
            </w:pPr>
            <w:r w:rsidRPr="0035087B">
              <w:t>0.1</w:t>
            </w:r>
          </w:p>
        </w:tc>
        <w:tc>
          <w:tcPr>
            <w:tcW w:w="1134" w:type="dxa"/>
            <w:tcBorders>
              <w:top w:val="single" w:sz="4" w:space="0" w:color="A6A6A6" w:themeColor="background1" w:themeShade="A6"/>
              <w:bottom w:val="single" w:sz="4" w:space="0" w:color="A6A6A6" w:themeColor="background1" w:themeShade="A6"/>
            </w:tcBorders>
          </w:tcPr>
          <w:p w14:paraId="0F273142" w14:textId="77777777" w:rsidR="00FA7EBF" w:rsidRPr="007939DD" w:rsidRDefault="00FA7EBF" w:rsidP="007B207C">
            <w:pPr>
              <w:pStyle w:val="ARfintablebodyright"/>
              <w:spacing w:before="36" w:after="16"/>
              <w:rPr>
                <w:lang w:eastAsia="en-AU"/>
              </w:rPr>
            </w:pPr>
            <w:r w:rsidRPr="00CA77EA">
              <w:t>–</w:t>
            </w:r>
          </w:p>
        </w:tc>
      </w:tr>
      <w:tr w:rsidR="00FA7EBF" w:rsidRPr="007939DD" w14:paraId="2C373E2B"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F4837FB" w14:textId="77777777" w:rsidR="00FA7EBF" w:rsidRPr="007939DD" w:rsidRDefault="00FA7EBF" w:rsidP="007B207C">
            <w:pPr>
              <w:pStyle w:val="ARfintablebody"/>
              <w:spacing w:before="36" w:after="16"/>
              <w:rPr>
                <w:lang w:eastAsia="en-AU"/>
              </w:rPr>
            </w:pPr>
            <w:r w:rsidRPr="0035087B">
              <w:t>Community housing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0985BB3" w14:textId="77777777" w:rsidR="00FA7EBF" w:rsidRPr="007939DD" w:rsidRDefault="00FA7EBF" w:rsidP="007B207C">
            <w:pPr>
              <w:pStyle w:val="ARfintablebodyright"/>
              <w:spacing w:before="36" w:after="16"/>
              <w:rPr>
                <w:lang w:eastAsia="en-AU"/>
              </w:rPr>
            </w:pPr>
            <w:r w:rsidRPr="0035087B">
              <w:t>20.2</w:t>
            </w:r>
          </w:p>
        </w:tc>
        <w:tc>
          <w:tcPr>
            <w:tcW w:w="1134" w:type="dxa"/>
            <w:tcBorders>
              <w:top w:val="single" w:sz="4" w:space="0" w:color="A6A6A6" w:themeColor="background1" w:themeShade="A6"/>
              <w:bottom w:val="single" w:sz="4" w:space="0" w:color="A6A6A6" w:themeColor="background1" w:themeShade="A6"/>
            </w:tcBorders>
          </w:tcPr>
          <w:p w14:paraId="70028863" w14:textId="77777777" w:rsidR="00FA7EBF" w:rsidRPr="007939DD" w:rsidRDefault="00FA7EBF" w:rsidP="007B207C">
            <w:pPr>
              <w:pStyle w:val="ARfintablebodyright"/>
              <w:spacing w:before="36" w:after="16"/>
              <w:rPr>
                <w:lang w:eastAsia="en-AU"/>
              </w:rPr>
            </w:pPr>
            <w:r w:rsidRPr="0035087B">
              <w:t>20.2</w:t>
            </w:r>
          </w:p>
        </w:tc>
      </w:tr>
      <w:tr w:rsidR="00FA7EBF" w:rsidRPr="007939DD" w14:paraId="5585EC3B" w14:textId="77777777" w:rsidTr="007B207C">
        <w:trPr>
          <w:cantSplit/>
        </w:trPr>
        <w:tc>
          <w:tcPr>
            <w:tcW w:w="7371" w:type="dxa"/>
            <w:tcBorders>
              <w:top w:val="single" w:sz="4" w:space="0" w:color="A6A6A6" w:themeColor="background1" w:themeShade="A6"/>
            </w:tcBorders>
          </w:tcPr>
          <w:p w14:paraId="5E58D4E8" w14:textId="77777777" w:rsidR="00FA7EBF" w:rsidRPr="007939DD" w:rsidRDefault="00FA7EBF" w:rsidP="007B207C">
            <w:pPr>
              <w:pStyle w:val="ARfintablebody"/>
              <w:spacing w:before="36" w:after="16"/>
              <w:rPr>
                <w:lang w:eastAsia="en-AU"/>
              </w:rPr>
            </w:pPr>
            <w:r w:rsidRPr="0035087B">
              <w:t>Other loans</w:t>
            </w:r>
          </w:p>
        </w:tc>
        <w:tc>
          <w:tcPr>
            <w:tcW w:w="1134" w:type="dxa"/>
            <w:tcBorders>
              <w:top w:val="single" w:sz="4" w:space="0" w:color="A6A6A6" w:themeColor="background1" w:themeShade="A6"/>
            </w:tcBorders>
            <w:shd w:val="clear" w:color="auto" w:fill="E7E6E6"/>
          </w:tcPr>
          <w:p w14:paraId="10ECA798" w14:textId="77777777" w:rsidR="00FA7EBF" w:rsidRPr="007939DD" w:rsidRDefault="00FA7EBF" w:rsidP="007B207C">
            <w:pPr>
              <w:pStyle w:val="ARfintablebodyright"/>
              <w:spacing w:before="36" w:after="16"/>
              <w:rPr>
                <w:lang w:eastAsia="en-AU"/>
              </w:rPr>
            </w:pPr>
            <w:r w:rsidRPr="0035087B">
              <w:t>47.1</w:t>
            </w:r>
          </w:p>
        </w:tc>
        <w:tc>
          <w:tcPr>
            <w:tcW w:w="1134" w:type="dxa"/>
            <w:tcBorders>
              <w:top w:val="single" w:sz="4" w:space="0" w:color="A6A6A6" w:themeColor="background1" w:themeShade="A6"/>
            </w:tcBorders>
          </w:tcPr>
          <w:p w14:paraId="61E6277E" w14:textId="77777777" w:rsidR="00FA7EBF" w:rsidRPr="007939DD" w:rsidRDefault="00FA7EBF" w:rsidP="007B207C">
            <w:pPr>
              <w:pStyle w:val="ARfintablebodyright"/>
              <w:spacing w:before="36" w:after="16"/>
              <w:rPr>
                <w:lang w:eastAsia="en-AU"/>
              </w:rPr>
            </w:pPr>
            <w:r w:rsidRPr="0035087B">
              <w:t>56.5</w:t>
            </w:r>
          </w:p>
        </w:tc>
      </w:tr>
      <w:tr w:rsidR="00FA7EBF" w:rsidRPr="007939DD" w14:paraId="1DADD88D" w14:textId="77777777" w:rsidTr="007B207C">
        <w:trPr>
          <w:cantSplit/>
        </w:trPr>
        <w:tc>
          <w:tcPr>
            <w:tcW w:w="7371" w:type="dxa"/>
          </w:tcPr>
          <w:p w14:paraId="0DC47D03" w14:textId="77777777" w:rsidR="00FA7EBF" w:rsidRPr="007939DD" w:rsidRDefault="00FA7EBF" w:rsidP="007B207C">
            <w:pPr>
              <w:pStyle w:val="ARfintablebodybold"/>
              <w:rPr>
                <w:rStyle w:val="Strong"/>
              </w:rPr>
            </w:pPr>
            <w:r w:rsidRPr="0035087B">
              <w:t>Total non-current loans</w:t>
            </w:r>
          </w:p>
        </w:tc>
        <w:tc>
          <w:tcPr>
            <w:tcW w:w="1134" w:type="dxa"/>
            <w:shd w:val="clear" w:color="auto" w:fill="E7E6E6"/>
          </w:tcPr>
          <w:p w14:paraId="45FC8CF1" w14:textId="77777777" w:rsidR="00FA7EBF" w:rsidRPr="007939DD" w:rsidRDefault="00FA7EBF" w:rsidP="007B207C">
            <w:pPr>
              <w:pStyle w:val="ARfintablebodyrightbold"/>
              <w:rPr>
                <w:lang w:eastAsia="en-AU"/>
              </w:rPr>
            </w:pPr>
            <w:r w:rsidRPr="0035087B">
              <w:t>72.6</w:t>
            </w:r>
          </w:p>
        </w:tc>
        <w:tc>
          <w:tcPr>
            <w:tcW w:w="1134" w:type="dxa"/>
          </w:tcPr>
          <w:p w14:paraId="04B7E3E1" w14:textId="77777777" w:rsidR="00FA7EBF" w:rsidRPr="007939DD" w:rsidRDefault="00FA7EBF" w:rsidP="007B207C">
            <w:pPr>
              <w:pStyle w:val="ARfintablebodyrightbold"/>
              <w:rPr>
                <w:rStyle w:val="Strong"/>
              </w:rPr>
            </w:pPr>
            <w:r w:rsidRPr="0035087B">
              <w:t>83.2</w:t>
            </w:r>
          </w:p>
        </w:tc>
      </w:tr>
      <w:tr w:rsidR="00FA7EBF" w:rsidRPr="007939DD" w14:paraId="04A19801" w14:textId="77777777" w:rsidTr="007B207C">
        <w:trPr>
          <w:cantSplit/>
        </w:trPr>
        <w:tc>
          <w:tcPr>
            <w:tcW w:w="7371" w:type="dxa"/>
            <w:tcBorders>
              <w:bottom w:val="single" w:sz="4" w:space="0" w:color="A6A6A6" w:themeColor="background1" w:themeShade="A6"/>
            </w:tcBorders>
          </w:tcPr>
          <w:p w14:paraId="31595A56" w14:textId="77777777" w:rsidR="00FA7EBF" w:rsidRPr="007939DD" w:rsidRDefault="00FA7EBF" w:rsidP="007B207C">
            <w:pPr>
              <w:pStyle w:val="ARfintablebodybold"/>
              <w:rPr>
                <w:rStyle w:val="Strong"/>
              </w:rPr>
            </w:pPr>
            <w:r w:rsidRPr="0035087B">
              <w:t>Less provision for return of equity</w:t>
            </w:r>
          </w:p>
        </w:tc>
        <w:tc>
          <w:tcPr>
            <w:tcW w:w="1134" w:type="dxa"/>
            <w:tcBorders>
              <w:bottom w:val="single" w:sz="4" w:space="0" w:color="A6A6A6" w:themeColor="background1" w:themeShade="A6"/>
            </w:tcBorders>
            <w:shd w:val="clear" w:color="auto" w:fill="E7E6E6"/>
          </w:tcPr>
          <w:p w14:paraId="4BEB6929" w14:textId="77777777" w:rsidR="00FA7EBF" w:rsidRPr="007939DD" w:rsidRDefault="00FA7EBF" w:rsidP="007B207C">
            <w:pPr>
              <w:pStyle w:val="ARfintablebodyright"/>
              <w:spacing w:before="36" w:after="16"/>
              <w:rPr>
                <w:lang w:eastAsia="en-AU"/>
              </w:rPr>
            </w:pPr>
            <w:r w:rsidRPr="00CA77EA">
              <w:t>–</w:t>
            </w:r>
          </w:p>
        </w:tc>
        <w:tc>
          <w:tcPr>
            <w:tcW w:w="1134" w:type="dxa"/>
            <w:tcBorders>
              <w:bottom w:val="single" w:sz="4" w:space="0" w:color="A6A6A6" w:themeColor="background1" w:themeShade="A6"/>
            </w:tcBorders>
          </w:tcPr>
          <w:p w14:paraId="212E3485" w14:textId="77777777" w:rsidR="00FA7EBF" w:rsidRPr="007939DD" w:rsidRDefault="00FA7EBF" w:rsidP="007B207C">
            <w:pPr>
              <w:pStyle w:val="ARfintablebodyright"/>
              <w:spacing w:before="36" w:after="16"/>
              <w:rPr>
                <w:lang w:eastAsia="en-AU"/>
              </w:rPr>
            </w:pPr>
            <w:r w:rsidRPr="0035087B">
              <w:t>(0.1)</w:t>
            </w:r>
          </w:p>
        </w:tc>
      </w:tr>
      <w:tr w:rsidR="00FA7EBF" w:rsidRPr="007939DD" w14:paraId="2EB8FBB1" w14:textId="77777777" w:rsidTr="007B207C">
        <w:trPr>
          <w:cantSplit/>
        </w:trPr>
        <w:tc>
          <w:tcPr>
            <w:tcW w:w="9639" w:type="dxa"/>
            <w:gridSpan w:val="3"/>
            <w:tcBorders>
              <w:top w:val="single" w:sz="4" w:space="0" w:color="A6A6A6" w:themeColor="background1" w:themeShade="A6"/>
              <w:bottom w:val="single" w:sz="4" w:space="0" w:color="A6A6A6" w:themeColor="background1" w:themeShade="A6"/>
            </w:tcBorders>
          </w:tcPr>
          <w:p w14:paraId="46510EFE" w14:textId="77777777" w:rsidR="00FA7EBF" w:rsidRPr="007939DD" w:rsidRDefault="00FA7EBF" w:rsidP="007B207C">
            <w:pPr>
              <w:pStyle w:val="ARfintablebodybold"/>
              <w:rPr>
                <w:lang w:eastAsia="en-AU"/>
              </w:rPr>
            </w:pPr>
            <w:r w:rsidRPr="0035087B">
              <w:t>Less allowance for impairment losses of contractual loans</w:t>
            </w:r>
          </w:p>
        </w:tc>
      </w:tr>
      <w:tr w:rsidR="00FA7EBF" w:rsidRPr="007939DD" w14:paraId="77776E9A"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099C91D7" w14:textId="77777777" w:rsidR="00FA7EBF" w:rsidRPr="007939DD" w:rsidRDefault="00FA7EBF" w:rsidP="007B207C">
            <w:pPr>
              <w:pStyle w:val="ARfintablebody"/>
              <w:spacing w:before="36" w:after="16"/>
              <w:rPr>
                <w:lang w:eastAsia="en-AU"/>
              </w:rPr>
            </w:pPr>
            <w:r w:rsidRPr="0035087B">
              <w:t>Fixed interest home loans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693A518" w14:textId="77777777" w:rsidR="00FA7EBF" w:rsidRPr="007939DD" w:rsidRDefault="00FA7EBF" w:rsidP="007B207C">
            <w:pPr>
              <w:pStyle w:val="ARfintablebodyright"/>
              <w:spacing w:before="36" w:after="16"/>
              <w:rPr>
                <w:lang w:eastAsia="en-AU"/>
              </w:rPr>
            </w:pPr>
            <w:r w:rsidRPr="0035087B">
              <w:t>(0.1)</w:t>
            </w:r>
          </w:p>
        </w:tc>
        <w:tc>
          <w:tcPr>
            <w:tcW w:w="1134" w:type="dxa"/>
            <w:tcBorders>
              <w:top w:val="single" w:sz="4" w:space="0" w:color="A6A6A6" w:themeColor="background1" w:themeShade="A6"/>
              <w:bottom w:val="single" w:sz="4" w:space="0" w:color="A6A6A6" w:themeColor="background1" w:themeShade="A6"/>
            </w:tcBorders>
          </w:tcPr>
          <w:p w14:paraId="79316833" w14:textId="77777777" w:rsidR="00FA7EBF" w:rsidRPr="007939DD" w:rsidRDefault="00FA7EBF" w:rsidP="007B207C">
            <w:pPr>
              <w:pStyle w:val="ARfintablebodyright"/>
              <w:spacing w:before="36" w:after="16"/>
              <w:rPr>
                <w:lang w:eastAsia="en-AU"/>
              </w:rPr>
            </w:pPr>
            <w:r w:rsidRPr="0035087B">
              <w:t>(0.1)</w:t>
            </w:r>
          </w:p>
        </w:tc>
      </w:tr>
      <w:tr w:rsidR="00FA7EBF" w:rsidRPr="007939DD" w14:paraId="466EC27B" w14:textId="77777777" w:rsidTr="007B207C">
        <w:trPr>
          <w:cantSplit/>
        </w:trPr>
        <w:tc>
          <w:tcPr>
            <w:tcW w:w="7371" w:type="dxa"/>
            <w:tcBorders>
              <w:top w:val="single" w:sz="4" w:space="0" w:color="A6A6A6" w:themeColor="background1" w:themeShade="A6"/>
            </w:tcBorders>
          </w:tcPr>
          <w:p w14:paraId="3BDAF05F" w14:textId="77777777" w:rsidR="00FA7EBF" w:rsidRPr="007939DD" w:rsidRDefault="00FA7EBF" w:rsidP="007B207C">
            <w:pPr>
              <w:pStyle w:val="ARfintablebody"/>
              <w:spacing w:before="36" w:after="16"/>
              <w:rPr>
                <w:lang w:eastAsia="en-AU"/>
              </w:rPr>
            </w:pPr>
            <w:r w:rsidRPr="0035087B">
              <w:t>Indexed interest home loans</w:t>
            </w:r>
          </w:p>
        </w:tc>
        <w:tc>
          <w:tcPr>
            <w:tcW w:w="1134" w:type="dxa"/>
            <w:tcBorders>
              <w:top w:val="single" w:sz="4" w:space="0" w:color="A6A6A6" w:themeColor="background1" w:themeShade="A6"/>
            </w:tcBorders>
            <w:shd w:val="clear" w:color="auto" w:fill="E7E6E6"/>
          </w:tcPr>
          <w:p w14:paraId="5944520A" w14:textId="77777777" w:rsidR="00FA7EBF" w:rsidRPr="007939DD" w:rsidRDefault="00FA7EBF" w:rsidP="007B207C">
            <w:pPr>
              <w:pStyle w:val="ARfintablebodyright"/>
              <w:spacing w:before="36" w:after="16"/>
              <w:rPr>
                <w:lang w:eastAsia="en-AU"/>
              </w:rPr>
            </w:pPr>
            <w:r w:rsidRPr="0035087B">
              <w:t>(0.2)</w:t>
            </w:r>
          </w:p>
        </w:tc>
        <w:tc>
          <w:tcPr>
            <w:tcW w:w="1134" w:type="dxa"/>
            <w:tcBorders>
              <w:top w:val="single" w:sz="4" w:space="0" w:color="A6A6A6" w:themeColor="background1" w:themeShade="A6"/>
            </w:tcBorders>
          </w:tcPr>
          <w:p w14:paraId="2D0C2832" w14:textId="77777777" w:rsidR="00FA7EBF" w:rsidRPr="007939DD" w:rsidRDefault="00FA7EBF" w:rsidP="007B207C">
            <w:pPr>
              <w:pStyle w:val="ARfintablebodyright"/>
              <w:spacing w:before="36" w:after="16"/>
              <w:rPr>
                <w:lang w:eastAsia="en-AU"/>
              </w:rPr>
            </w:pPr>
            <w:r w:rsidRPr="0035087B">
              <w:t>(0.2)</w:t>
            </w:r>
          </w:p>
        </w:tc>
      </w:tr>
      <w:tr w:rsidR="00FA7EBF" w:rsidRPr="007939DD" w14:paraId="220E1F48" w14:textId="77777777" w:rsidTr="007B207C">
        <w:trPr>
          <w:cantSplit/>
        </w:trPr>
        <w:tc>
          <w:tcPr>
            <w:tcW w:w="7371" w:type="dxa"/>
          </w:tcPr>
          <w:p w14:paraId="2227CAFE" w14:textId="77777777" w:rsidR="00FA7EBF" w:rsidRPr="007939DD" w:rsidRDefault="00FA7EBF" w:rsidP="007B207C">
            <w:pPr>
              <w:pStyle w:val="ARfintablebodybold"/>
              <w:rPr>
                <w:rStyle w:val="Strong"/>
              </w:rPr>
            </w:pPr>
            <w:r w:rsidRPr="0035087B">
              <w:t xml:space="preserve">Total </w:t>
            </w:r>
            <w:r>
              <w:t>allowance for impairment losses of</w:t>
            </w:r>
            <w:r w:rsidRPr="0035087B">
              <w:t xml:space="preserve"> contractual loans</w:t>
            </w:r>
          </w:p>
        </w:tc>
        <w:tc>
          <w:tcPr>
            <w:tcW w:w="1134" w:type="dxa"/>
            <w:shd w:val="clear" w:color="auto" w:fill="E7E6E6"/>
          </w:tcPr>
          <w:p w14:paraId="6BA331BC" w14:textId="77777777" w:rsidR="00FA7EBF" w:rsidRPr="007939DD" w:rsidRDefault="00FA7EBF" w:rsidP="007B207C">
            <w:pPr>
              <w:pStyle w:val="ARfintablebodyrightbold"/>
              <w:rPr>
                <w:lang w:eastAsia="en-AU"/>
              </w:rPr>
            </w:pPr>
            <w:r w:rsidRPr="0035087B">
              <w:t>(0.3)</w:t>
            </w:r>
          </w:p>
        </w:tc>
        <w:tc>
          <w:tcPr>
            <w:tcW w:w="1134" w:type="dxa"/>
          </w:tcPr>
          <w:p w14:paraId="6EB7F3BA" w14:textId="77777777" w:rsidR="00FA7EBF" w:rsidRPr="007939DD" w:rsidRDefault="00FA7EBF" w:rsidP="007B207C">
            <w:pPr>
              <w:pStyle w:val="ARfintablebodyrightbold"/>
              <w:rPr>
                <w:rStyle w:val="Strong"/>
              </w:rPr>
            </w:pPr>
            <w:r w:rsidRPr="0035087B">
              <w:t>(0.3)</w:t>
            </w:r>
          </w:p>
        </w:tc>
      </w:tr>
      <w:tr w:rsidR="00FA7EBF" w:rsidRPr="007939DD" w14:paraId="57B3CFA6" w14:textId="77777777" w:rsidTr="007B207C">
        <w:trPr>
          <w:cantSplit/>
        </w:trPr>
        <w:tc>
          <w:tcPr>
            <w:tcW w:w="7371" w:type="dxa"/>
          </w:tcPr>
          <w:p w14:paraId="12D2D89D" w14:textId="77777777" w:rsidR="00FA7EBF" w:rsidRPr="007939DD" w:rsidRDefault="00FA7EBF" w:rsidP="007B207C">
            <w:pPr>
              <w:pStyle w:val="ARfintablebodybold"/>
              <w:rPr>
                <w:rStyle w:val="Strong"/>
              </w:rPr>
            </w:pPr>
            <w:r w:rsidRPr="0035087B">
              <w:t>Total loans</w:t>
            </w:r>
          </w:p>
        </w:tc>
        <w:tc>
          <w:tcPr>
            <w:tcW w:w="1134" w:type="dxa"/>
            <w:shd w:val="clear" w:color="auto" w:fill="E7E6E6"/>
          </w:tcPr>
          <w:p w14:paraId="3DCCAF24" w14:textId="77777777" w:rsidR="00FA7EBF" w:rsidRPr="007939DD" w:rsidRDefault="00FA7EBF" w:rsidP="007B207C">
            <w:pPr>
              <w:pStyle w:val="ARfintablebodyrightbold"/>
              <w:rPr>
                <w:lang w:eastAsia="en-AU"/>
              </w:rPr>
            </w:pPr>
            <w:r w:rsidRPr="0035087B">
              <w:t>94.9</w:t>
            </w:r>
          </w:p>
        </w:tc>
        <w:tc>
          <w:tcPr>
            <w:tcW w:w="1134" w:type="dxa"/>
          </w:tcPr>
          <w:p w14:paraId="7067C314" w14:textId="77777777" w:rsidR="00FA7EBF" w:rsidRPr="007939DD" w:rsidRDefault="00FA7EBF" w:rsidP="007B207C">
            <w:pPr>
              <w:pStyle w:val="ARfintablebodyrightbold"/>
              <w:rPr>
                <w:rStyle w:val="Strong"/>
              </w:rPr>
            </w:pPr>
            <w:r w:rsidRPr="0035087B">
              <w:t>105.7</w:t>
            </w:r>
          </w:p>
        </w:tc>
      </w:tr>
    </w:tbl>
    <w:p w14:paraId="2831F709" w14:textId="77777777" w:rsidR="00FA7EBF" w:rsidRPr="00194D78" w:rsidRDefault="00FA7EBF" w:rsidP="00CA66FD">
      <w:pPr>
        <w:pStyle w:val="ARfinbodyaftertable"/>
      </w:pPr>
      <w:r w:rsidRPr="00194D78">
        <w:t>The department has housing</w:t>
      </w:r>
      <w:r>
        <w:t>-</w:t>
      </w:r>
      <w:r w:rsidRPr="00194D78">
        <w:t>related loans and loans to health agencies. The majority of housing loans are secured by a registered mortgage. However there are a small number of loans that are on terms in contracts of sale. The title remains in the name of the vendor, Director of Housing as successor in title to the Housing Commission, until the amount owing under the contract of sale is paid in full. Some mortgage relief and home renovation loans are subject to an unregistered mortgage with a caveat on the title noting the Director of Housing as having an interest in the property. The current Home Renovation Service loan program does not require security for loans of $10,000 or less.</w:t>
      </w:r>
    </w:p>
    <w:p w14:paraId="1FDEE50B" w14:textId="77777777" w:rsidR="00FA7EBF" w:rsidRPr="00194D78" w:rsidRDefault="00FA7EBF" w:rsidP="00CA66FD">
      <w:pPr>
        <w:pStyle w:val="ARfinbody"/>
      </w:pPr>
      <w:r w:rsidRPr="00194D78">
        <w:t>Loans are initially recognised at fair value plus any directly attributable transaction costs. Subsequent to initial measurement they are measured at amortised cost using the effective interest method, less any impairment.</w:t>
      </w:r>
    </w:p>
    <w:p w14:paraId="4505A97E" w14:textId="77777777" w:rsidR="00FA7EBF" w:rsidRPr="00194D78" w:rsidRDefault="00FA7EBF" w:rsidP="00CA66FD">
      <w:pPr>
        <w:pStyle w:val="ARfinbody"/>
      </w:pPr>
      <w:r w:rsidRPr="00B82ED9">
        <w:rPr>
          <w:rStyle w:val="Strong"/>
          <w:bCs w:val="0"/>
        </w:rPr>
        <w:t>Defaults and breaches</w:t>
      </w:r>
      <w:r w:rsidRPr="00194D78">
        <w:t>: During the current and prior year, there were no defaults and breaches of any of the loans.</w:t>
      </w:r>
    </w:p>
    <w:p w14:paraId="05442018" w14:textId="77777777" w:rsidR="00FA7EBF" w:rsidRDefault="00FA7EBF" w:rsidP="00CA66FD">
      <w:pPr>
        <w:pStyle w:val="Heading5"/>
        <w:rPr>
          <w:lang w:eastAsia="en-AU"/>
        </w:rPr>
      </w:pPr>
      <w:r w:rsidRPr="006C2156">
        <w:rPr>
          <w:lang w:eastAsia="en-AU"/>
        </w:rPr>
        <w:t>6.2.</w:t>
      </w:r>
      <w:r>
        <w:rPr>
          <w:lang w:eastAsia="en-AU"/>
        </w:rPr>
        <w:t>1</w:t>
      </w:r>
      <w:r w:rsidRPr="006C2156">
        <w:rPr>
          <w:lang w:eastAsia="en-AU"/>
        </w:rPr>
        <w:t xml:space="preserve"> Ageing analysis of contractual loans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835"/>
        <w:gridCol w:w="1134"/>
        <w:gridCol w:w="1134"/>
        <w:gridCol w:w="1134"/>
        <w:gridCol w:w="1134"/>
        <w:gridCol w:w="1134"/>
        <w:gridCol w:w="1134"/>
      </w:tblGrid>
      <w:tr w:rsidR="00FA7EBF" w:rsidRPr="007939DD" w14:paraId="34A992D3" w14:textId="77777777" w:rsidTr="007B207C">
        <w:trPr>
          <w:cantSplit/>
          <w:tblHeader/>
        </w:trPr>
        <w:tc>
          <w:tcPr>
            <w:tcW w:w="2835" w:type="dxa"/>
            <w:vMerge w:val="restart"/>
            <w:vAlign w:val="bottom"/>
          </w:tcPr>
          <w:p w14:paraId="218FD99D" w14:textId="77777777" w:rsidR="00FA7EBF" w:rsidRPr="007939DD" w:rsidRDefault="00FA7EBF" w:rsidP="007B207C">
            <w:pPr>
              <w:pStyle w:val="ARfintablecolhead"/>
            </w:pPr>
          </w:p>
        </w:tc>
        <w:tc>
          <w:tcPr>
            <w:tcW w:w="1134" w:type="dxa"/>
            <w:vMerge w:val="restart"/>
            <w:vAlign w:val="bottom"/>
          </w:tcPr>
          <w:p w14:paraId="269C2BE9" w14:textId="77777777" w:rsidR="00FA7EBF" w:rsidRPr="007939DD" w:rsidRDefault="00FA7EBF" w:rsidP="007B207C">
            <w:pPr>
              <w:pStyle w:val="ARfintablecolheadright"/>
            </w:pPr>
            <w:r w:rsidRPr="007939DD">
              <w:t>Carrying amount</w:t>
            </w:r>
          </w:p>
          <w:p w14:paraId="504D553F" w14:textId="77777777" w:rsidR="00FA7EBF" w:rsidRPr="007939DD" w:rsidRDefault="00FA7EBF" w:rsidP="007B207C">
            <w:pPr>
              <w:pStyle w:val="ARfintablecolheadright"/>
            </w:pPr>
            <w:r w:rsidRPr="007939DD">
              <w:t>$M</w:t>
            </w:r>
          </w:p>
        </w:tc>
        <w:tc>
          <w:tcPr>
            <w:tcW w:w="1134" w:type="dxa"/>
            <w:vMerge w:val="restart"/>
            <w:vAlign w:val="bottom"/>
          </w:tcPr>
          <w:p w14:paraId="41CC364A" w14:textId="77777777" w:rsidR="00FA7EBF" w:rsidRPr="007939DD" w:rsidRDefault="00FA7EBF" w:rsidP="007B207C">
            <w:pPr>
              <w:pStyle w:val="ARfintablecolheadright"/>
            </w:pPr>
            <w:r w:rsidRPr="007939DD">
              <w:t>Not past due and not impaired</w:t>
            </w:r>
          </w:p>
          <w:p w14:paraId="524B9E02" w14:textId="77777777" w:rsidR="00FA7EBF" w:rsidRPr="007939DD" w:rsidRDefault="00FA7EBF" w:rsidP="007B207C">
            <w:pPr>
              <w:pStyle w:val="ARfintablecolheadright"/>
            </w:pPr>
            <w:r w:rsidRPr="007939DD">
              <w:t>$M</w:t>
            </w:r>
          </w:p>
        </w:tc>
        <w:tc>
          <w:tcPr>
            <w:tcW w:w="4536" w:type="dxa"/>
            <w:gridSpan w:val="4"/>
            <w:vAlign w:val="bottom"/>
          </w:tcPr>
          <w:p w14:paraId="39F9867F" w14:textId="77777777" w:rsidR="00FA7EBF" w:rsidRPr="007939DD" w:rsidRDefault="00FA7EBF" w:rsidP="007B207C">
            <w:pPr>
              <w:pStyle w:val="ARfintablecolheadcentre"/>
            </w:pPr>
            <w:r w:rsidRPr="007939DD">
              <w:t>Past due but not impaired</w:t>
            </w:r>
          </w:p>
        </w:tc>
      </w:tr>
      <w:tr w:rsidR="00FA7EBF" w:rsidRPr="007939DD" w14:paraId="318DE844" w14:textId="77777777" w:rsidTr="007B207C">
        <w:trPr>
          <w:cantSplit/>
          <w:tblHeader/>
        </w:trPr>
        <w:tc>
          <w:tcPr>
            <w:tcW w:w="2835" w:type="dxa"/>
            <w:vMerge/>
            <w:vAlign w:val="bottom"/>
          </w:tcPr>
          <w:p w14:paraId="68727693" w14:textId="77777777" w:rsidR="00FA7EBF" w:rsidRPr="007939DD" w:rsidRDefault="00FA7EBF" w:rsidP="007B207C">
            <w:pPr>
              <w:autoSpaceDE w:val="0"/>
              <w:autoSpaceDN w:val="0"/>
              <w:adjustRightInd w:val="0"/>
              <w:spacing w:beforeLines="40" w:before="96" w:afterLines="20" w:after="48"/>
              <w:rPr>
                <w:rFonts w:cs="Arial"/>
                <w:b/>
                <w:bCs/>
                <w:color w:val="000000"/>
                <w:sz w:val="16"/>
                <w:szCs w:val="16"/>
              </w:rPr>
            </w:pPr>
          </w:p>
        </w:tc>
        <w:tc>
          <w:tcPr>
            <w:tcW w:w="1134" w:type="dxa"/>
            <w:vMerge/>
            <w:vAlign w:val="bottom"/>
          </w:tcPr>
          <w:p w14:paraId="0A3BE203" w14:textId="77777777" w:rsidR="00FA7EBF" w:rsidRPr="007939DD" w:rsidRDefault="00FA7EBF" w:rsidP="007B207C">
            <w:pPr>
              <w:autoSpaceDE w:val="0"/>
              <w:autoSpaceDN w:val="0"/>
              <w:adjustRightInd w:val="0"/>
              <w:spacing w:beforeLines="40" w:before="96" w:afterLines="20" w:after="48"/>
              <w:jc w:val="right"/>
              <w:rPr>
                <w:rFonts w:cs="Arial"/>
                <w:b/>
                <w:bCs/>
                <w:color w:val="000000"/>
                <w:sz w:val="16"/>
                <w:szCs w:val="16"/>
              </w:rPr>
            </w:pPr>
          </w:p>
        </w:tc>
        <w:tc>
          <w:tcPr>
            <w:tcW w:w="1134" w:type="dxa"/>
            <w:vMerge/>
            <w:vAlign w:val="bottom"/>
          </w:tcPr>
          <w:p w14:paraId="365A4330" w14:textId="77777777" w:rsidR="00FA7EBF" w:rsidRPr="007939DD" w:rsidRDefault="00FA7EBF" w:rsidP="007B207C">
            <w:pPr>
              <w:autoSpaceDE w:val="0"/>
              <w:autoSpaceDN w:val="0"/>
              <w:adjustRightInd w:val="0"/>
              <w:spacing w:beforeLines="40" w:before="96" w:afterLines="20" w:after="48"/>
              <w:jc w:val="right"/>
              <w:rPr>
                <w:rFonts w:cs="Arial"/>
                <w:b/>
                <w:bCs/>
                <w:color w:val="000000"/>
                <w:sz w:val="16"/>
                <w:szCs w:val="16"/>
              </w:rPr>
            </w:pPr>
          </w:p>
        </w:tc>
        <w:tc>
          <w:tcPr>
            <w:tcW w:w="1134" w:type="dxa"/>
            <w:vAlign w:val="bottom"/>
          </w:tcPr>
          <w:p w14:paraId="3FD067D2" w14:textId="77777777" w:rsidR="00FA7EBF" w:rsidRPr="007939DD" w:rsidRDefault="00FA7EBF" w:rsidP="007B207C">
            <w:pPr>
              <w:pStyle w:val="ARfintablecolheadright"/>
            </w:pPr>
            <w:r w:rsidRPr="007939DD">
              <w:t xml:space="preserve">Less than </w:t>
            </w:r>
            <w:r w:rsidRPr="007939DD">
              <w:br/>
              <w:t>1 month</w:t>
            </w:r>
          </w:p>
          <w:p w14:paraId="392BC5E5" w14:textId="77777777" w:rsidR="00FA7EBF" w:rsidRPr="007939DD" w:rsidRDefault="00FA7EBF" w:rsidP="007B207C">
            <w:pPr>
              <w:pStyle w:val="ARfintablecolheadright"/>
            </w:pPr>
            <w:r w:rsidRPr="007939DD">
              <w:t>$M</w:t>
            </w:r>
          </w:p>
        </w:tc>
        <w:tc>
          <w:tcPr>
            <w:tcW w:w="1134" w:type="dxa"/>
            <w:vAlign w:val="bottom"/>
          </w:tcPr>
          <w:p w14:paraId="5F53BD87" w14:textId="77777777" w:rsidR="00FA7EBF" w:rsidRPr="007939DD" w:rsidRDefault="00FA7EBF" w:rsidP="007B207C">
            <w:pPr>
              <w:pStyle w:val="ARfintablecolheadright"/>
            </w:pPr>
            <w:r w:rsidRPr="007939DD">
              <w:t xml:space="preserve">1–3 </w:t>
            </w:r>
            <w:r w:rsidRPr="007939DD">
              <w:br/>
              <w:t>months</w:t>
            </w:r>
          </w:p>
          <w:p w14:paraId="2A9ACDFE" w14:textId="77777777" w:rsidR="00FA7EBF" w:rsidRPr="007939DD" w:rsidRDefault="00FA7EBF" w:rsidP="007B207C">
            <w:pPr>
              <w:pStyle w:val="ARfintablecolheadright"/>
            </w:pPr>
            <w:r w:rsidRPr="007939DD">
              <w:t>$M</w:t>
            </w:r>
          </w:p>
        </w:tc>
        <w:tc>
          <w:tcPr>
            <w:tcW w:w="1134" w:type="dxa"/>
            <w:vAlign w:val="bottom"/>
          </w:tcPr>
          <w:p w14:paraId="0FDD5CF9" w14:textId="77777777" w:rsidR="00FA7EBF" w:rsidRPr="007939DD" w:rsidRDefault="00FA7EBF" w:rsidP="007B207C">
            <w:pPr>
              <w:pStyle w:val="ARfintablecolheadright"/>
            </w:pPr>
            <w:r w:rsidRPr="007939DD">
              <w:t>3 months</w:t>
            </w:r>
            <w:r w:rsidRPr="007939DD">
              <w:br/>
              <w:t>–1 year</w:t>
            </w:r>
          </w:p>
          <w:p w14:paraId="3A446BD0" w14:textId="77777777" w:rsidR="00FA7EBF" w:rsidRPr="007939DD" w:rsidRDefault="00FA7EBF" w:rsidP="007B207C">
            <w:pPr>
              <w:pStyle w:val="ARfintablecolheadright"/>
            </w:pPr>
            <w:r w:rsidRPr="007939DD">
              <w:t>$M</w:t>
            </w:r>
          </w:p>
        </w:tc>
        <w:tc>
          <w:tcPr>
            <w:tcW w:w="1134" w:type="dxa"/>
            <w:vAlign w:val="bottom"/>
          </w:tcPr>
          <w:p w14:paraId="6DE8DC9B" w14:textId="77777777" w:rsidR="00FA7EBF" w:rsidRPr="007939DD" w:rsidRDefault="00FA7EBF" w:rsidP="007B207C">
            <w:pPr>
              <w:pStyle w:val="ARfintablecolheadright"/>
            </w:pPr>
            <w:r w:rsidRPr="007939DD">
              <w:t xml:space="preserve">1–5 </w:t>
            </w:r>
            <w:r w:rsidRPr="007939DD">
              <w:br/>
              <w:t>years</w:t>
            </w:r>
          </w:p>
          <w:p w14:paraId="1964228B" w14:textId="77777777" w:rsidR="00FA7EBF" w:rsidRPr="007939DD" w:rsidRDefault="00FA7EBF" w:rsidP="007B207C">
            <w:pPr>
              <w:pStyle w:val="ARfintablecolheadright"/>
            </w:pPr>
            <w:r w:rsidRPr="007939DD">
              <w:t>$M</w:t>
            </w:r>
          </w:p>
        </w:tc>
      </w:tr>
      <w:tr w:rsidR="00FA7EBF" w:rsidRPr="007939DD" w14:paraId="22F18D32" w14:textId="77777777" w:rsidTr="007B207C">
        <w:trPr>
          <w:cantSplit/>
        </w:trPr>
        <w:tc>
          <w:tcPr>
            <w:tcW w:w="9639" w:type="dxa"/>
            <w:gridSpan w:val="7"/>
            <w:tcBorders>
              <w:bottom w:val="single" w:sz="4" w:space="0" w:color="A6A6A6" w:themeColor="background1" w:themeShade="A6"/>
            </w:tcBorders>
          </w:tcPr>
          <w:p w14:paraId="2C145444" w14:textId="77777777" w:rsidR="00FA7EBF" w:rsidRPr="007939DD" w:rsidRDefault="00FA7EBF" w:rsidP="007B207C">
            <w:pPr>
              <w:pStyle w:val="ARfintablebodybold"/>
              <w:rPr>
                <w:lang w:eastAsia="en-AU"/>
              </w:rPr>
            </w:pPr>
            <w:r w:rsidRPr="00CA77EA">
              <w:t>2019</w:t>
            </w:r>
          </w:p>
        </w:tc>
      </w:tr>
      <w:tr w:rsidR="00FA7EBF" w:rsidRPr="007939DD" w14:paraId="48A2EB62" w14:textId="77777777" w:rsidTr="007B207C">
        <w:trPr>
          <w:cantSplit/>
        </w:trPr>
        <w:tc>
          <w:tcPr>
            <w:tcW w:w="2835" w:type="dxa"/>
            <w:tcBorders>
              <w:top w:val="single" w:sz="4" w:space="0" w:color="A6A6A6" w:themeColor="background1" w:themeShade="A6"/>
            </w:tcBorders>
          </w:tcPr>
          <w:p w14:paraId="27C27E7F" w14:textId="77777777" w:rsidR="00FA7EBF" w:rsidRPr="007939DD" w:rsidRDefault="00FA7EBF" w:rsidP="007B207C">
            <w:pPr>
              <w:pStyle w:val="ARfintablebody"/>
              <w:rPr>
                <w:lang w:eastAsia="en-AU"/>
              </w:rPr>
            </w:pPr>
            <w:r w:rsidRPr="00CA77EA">
              <w:t>Loans</w:t>
            </w:r>
          </w:p>
        </w:tc>
        <w:tc>
          <w:tcPr>
            <w:tcW w:w="1134" w:type="dxa"/>
            <w:tcBorders>
              <w:top w:val="single" w:sz="4" w:space="0" w:color="A6A6A6" w:themeColor="background1" w:themeShade="A6"/>
            </w:tcBorders>
          </w:tcPr>
          <w:p w14:paraId="6B7BA4FA" w14:textId="77777777" w:rsidR="00FA7EBF" w:rsidRPr="007939DD" w:rsidRDefault="00FA7EBF" w:rsidP="007B207C">
            <w:pPr>
              <w:pStyle w:val="ARfintablebodyright"/>
              <w:rPr>
                <w:lang w:eastAsia="en-AU"/>
              </w:rPr>
            </w:pPr>
            <w:r w:rsidRPr="00CA77EA">
              <w:t>94.9</w:t>
            </w:r>
          </w:p>
        </w:tc>
        <w:tc>
          <w:tcPr>
            <w:tcW w:w="1134" w:type="dxa"/>
            <w:tcBorders>
              <w:top w:val="single" w:sz="4" w:space="0" w:color="A6A6A6" w:themeColor="background1" w:themeShade="A6"/>
            </w:tcBorders>
          </w:tcPr>
          <w:p w14:paraId="0174F8AB" w14:textId="77777777" w:rsidR="00FA7EBF" w:rsidRPr="007939DD" w:rsidRDefault="00FA7EBF" w:rsidP="007B207C">
            <w:pPr>
              <w:pStyle w:val="ARfintablebodyright"/>
              <w:rPr>
                <w:lang w:eastAsia="en-AU"/>
              </w:rPr>
            </w:pPr>
            <w:r w:rsidRPr="00CA77EA">
              <w:t>94.6</w:t>
            </w:r>
          </w:p>
        </w:tc>
        <w:tc>
          <w:tcPr>
            <w:tcW w:w="1134" w:type="dxa"/>
            <w:tcBorders>
              <w:top w:val="single" w:sz="4" w:space="0" w:color="A6A6A6" w:themeColor="background1" w:themeShade="A6"/>
            </w:tcBorders>
          </w:tcPr>
          <w:p w14:paraId="7F7476AF" w14:textId="77777777" w:rsidR="00FA7EBF" w:rsidRPr="007939DD" w:rsidRDefault="00FA7EBF" w:rsidP="007B207C">
            <w:pPr>
              <w:pStyle w:val="ARfintablebodyright"/>
              <w:rPr>
                <w:lang w:eastAsia="en-AU"/>
              </w:rPr>
            </w:pPr>
            <w:r w:rsidRPr="00CA77EA">
              <w:t>–</w:t>
            </w:r>
          </w:p>
        </w:tc>
        <w:tc>
          <w:tcPr>
            <w:tcW w:w="1134" w:type="dxa"/>
            <w:tcBorders>
              <w:top w:val="single" w:sz="4" w:space="0" w:color="A6A6A6" w:themeColor="background1" w:themeShade="A6"/>
            </w:tcBorders>
          </w:tcPr>
          <w:p w14:paraId="31FA0B1E" w14:textId="77777777" w:rsidR="00FA7EBF" w:rsidRPr="007939DD" w:rsidRDefault="00FA7EBF" w:rsidP="007B207C">
            <w:pPr>
              <w:pStyle w:val="ARfintablebodyright"/>
              <w:rPr>
                <w:lang w:eastAsia="en-AU"/>
              </w:rPr>
            </w:pPr>
            <w:r w:rsidRPr="00CA77EA">
              <w:t>–</w:t>
            </w:r>
          </w:p>
        </w:tc>
        <w:tc>
          <w:tcPr>
            <w:tcW w:w="1134" w:type="dxa"/>
            <w:tcBorders>
              <w:top w:val="single" w:sz="4" w:space="0" w:color="A6A6A6" w:themeColor="background1" w:themeShade="A6"/>
            </w:tcBorders>
          </w:tcPr>
          <w:p w14:paraId="6089405C" w14:textId="77777777" w:rsidR="00FA7EBF" w:rsidRPr="007939DD" w:rsidRDefault="00FA7EBF" w:rsidP="007B207C">
            <w:pPr>
              <w:pStyle w:val="ARfintablebodyright"/>
              <w:rPr>
                <w:lang w:eastAsia="en-AU"/>
              </w:rPr>
            </w:pPr>
            <w:r w:rsidRPr="00CA77EA">
              <w:t>–</w:t>
            </w:r>
          </w:p>
        </w:tc>
        <w:tc>
          <w:tcPr>
            <w:tcW w:w="1134" w:type="dxa"/>
            <w:tcBorders>
              <w:top w:val="single" w:sz="4" w:space="0" w:color="A6A6A6" w:themeColor="background1" w:themeShade="A6"/>
            </w:tcBorders>
          </w:tcPr>
          <w:p w14:paraId="0C76E7AF" w14:textId="77777777" w:rsidR="00FA7EBF" w:rsidRPr="007939DD" w:rsidRDefault="00FA7EBF" w:rsidP="007B207C">
            <w:pPr>
              <w:pStyle w:val="ARfintablebodyright"/>
              <w:rPr>
                <w:lang w:eastAsia="en-AU"/>
              </w:rPr>
            </w:pPr>
            <w:r w:rsidRPr="00CA77EA">
              <w:t>–</w:t>
            </w:r>
          </w:p>
        </w:tc>
      </w:tr>
      <w:tr w:rsidR="00FA7EBF" w:rsidRPr="007939DD" w14:paraId="433084A5" w14:textId="77777777" w:rsidTr="007B207C">
        <w:trPr>
          <w:cantSplit/>
        </w:trPr>
        <w:tc>
          <w:tcPr>
            <w:tcW w:w="2835" w:type="dxa"/>
          </w:tcPr>
          <w:p w14:paraId="2D2CDB08" w14:textId="77777777" w:rsidR="00FA7EBF" w:rsidRPr="007939DD" w:rsidRDefault="00FA7EBF" w:rsidP="007B207C">
            <w:pPr>
              <w:pStyle w:val="ARfintablebodybold"/>
              <w:rPr>
                <w:lang w:eastAsia="en-AU"/>
              </w:rPr>
            </w:pPr>
            <w:r w:rsidRPr="00CA77EA">
              <w:t>Total</w:t>
            </w:r>
          </w:p>
        </w:tc>
        <w:tc>
          <w:tcPr>
            <w:tcW w:w="1134" w:type="dxa"/>
          </w:tcPr>
          <w:p w14:paraId="2CDB7FE0" w14:textId="77777777" w:rsidR="00FA7EBF" w:rsidRPr="007939DD" w:rsidRDefault="00FA7EBF" w:rsidP="007B207C">
            <w:pPr>
              <w:pStyle w:val="ARfintablebodyrightbold"/>
              <w:rPr>
                <w:lang w:eastAsia="en-AU"/>
              </w:rPr>
            </w:pPr>
            <w:r w:rsidRPr="00CA77EA">
              <w:t>94.9</w:t>
            </w:r>
          </w:p>
        </w:tc>
        <w:tc>
          <w:tcPr>
            <w:tcW w:w="1134" w:type="dxa"/>
          </w:tcPr>
          <w:p w14:paraId="7BC5702A" w14:textId="77777777" w:rsidR="00FA7EBF" w:rsidRPr="007939DD" w:rsidRDefault="00FA7EBF" w:rsidP="007B207C">
            <w:pPr>
              <w:pStyle w:val="ARfintablebodyrightbold"/>
              <w:rPr>
                <w:lang w:eastAsia="en-AU"/>
              </w:rPr>
            </w:pPr>
            <w:r w:rsidRPr="00CA77EA">
              <w:t>94.6</w:t>
            </w:r>
          </w:p>
        </w:tc>
        <w:tc>
          <w:tcPr>
            <w:tcW w:w="1134" w:type="dxa"/>
          </w:tcPr>
          <w:p w14:paraId="606CF983" w14:textId="77777777" w:rsidR="00FA7EBF" w:rsidRPr="007939DD" w:rsidRDefault="00FA7EBF" w:rsidP="007B207C">
            <w:pPr>
              <w:pStyle w:val="ARfintablebodyrightbold"/>
              <w:rPr>
                <w:lang w:eastAsia="en-AU"/>
              </w:rPr>
            </w:pPr>
            <w:r w:rsidRPr="00CA77EA">
              <w:t>–</w:t>
            </w:r>
          </w:p>
        </w:tc>
        <w:tc>
          <w:tcPr>
            <w:tcW w:w="1134" w:type="dxa"/>
          </w:tcPr>
          <w:p w14:paraId="4FACF2FA" w14:textId="77777777" w:rsidR="00FA7EBF" w:rsidRPr="007939DD" w:rsidRDefault="00FA7EBF" w:rsidP="007B207C">
            <w:pPr>
              <w:pStyle w:val="ARfintablebodyrightbold"/>
              <w:rPr>
                <w:lang w:eastAsia="en-AU"/>
              </w:rPr>
            </w:pPr>
            <w:r w:rsidRPr="00CA77EA">
              <w:t>–</w:t>
            </w:r>
          </w:p>
        </w:tc>
        <w:tc>
          <w:tcPr>
            <w:tcW w:w="1134" w:type="dxa"/>
          </w:tcPr>
          <w:p w14:paraId="38F2393D" w14:textId="77777777" w:rsidR="00FA7EBF" w:rsidRPr="007939DD" w:rsidRDefault="00FA7EBF" w:rsidP="007B207C">
            <w:pPr>
              <w:pStyle w:val="ARfintablebodyrightbold"/>
              <w:rPr>
                <w:lang w:eastAsia="en-AU"/>
              </w:rPr>
            </w:pPr>
            <w:r w:rsidRPr="00CA77EA">
              <w:t>–</w:t>
            </w:r>
          </w:p>
        </w:tc>
        <w:tc>
          <w:tcPr>
            <w:tcW w:w="1134" w:type="dxa"/>
          </w:tcPr>
          <w:p w14:paraId="3F8A9986" w14:textId="77777777" w:rsidR="00FA7EBF" w:rsidRPr="007939DD" w:rsidRDefault="00FA7EBF" w:rsidP="007B207C">
            <w:pPr>
              <w:pStyle w:val="ARfintablebodyrightbold"/>
              <w:rPr>
                <w:rStyle w:val="Strong"/>
              </w:rPr>
            </w:pPr>
            <w:r w:rsidRPr="00CA77EA">
              <w:t>–</w:t>
            </w:r>
          </w:p>
        </w:tc>
      </w:tr>
      <w:tr w:rsidR="00FA7EBF" w:rsidRPr="007939DD" w14:paraId="176035AA" w14:textId="77777777" w:rsidTr="007B207C">
        <w:trPr>
          <w:cantSplit/>
        </w:trPr>
        <w:tc>
          <w:tcPr>
            <w:tcW w:w="9639" w:type="dxa"/>
            <w:gridSpan w:val="7"/>
            <w:tcBorders>
              <w:bottom w:val="single" w:sz="4" w:space="0" w:color="A6A6A6" w:themeColor="background1" w:themeShade="A6"/>
            </w:tcBorders>
          </w:tcPr>
          <w:p w14:paraId="375D750D" w14:textId="77777777" w:rsidR="00FA7EBF" w:rsidRPr="007939DD" w:rsidRDefault="00FA7EBF" w:rsidP="007B207C">
            <w:pPr>
              <w:pStyle w:val="ARfintablebodybold"/>
              <w:rPr>
                <w:rStyle w:val="Strong"/>
              </w:rPr>
            </w:pPr>
            <w:r w:rsidRPr="00CA77EA">
              <w:t>2018</w:t>
            </w:r>
          </w:p>
        </w:tc>
      </w:tr>
      <w:tr w:rsidR="00FA7EBF" w:rsidRPr="007939DD" w14:paraId="6E5AB27A" w14:textId="77777777" w:rsidTr="007B207C">
        <w:trPr>
          <w:cantSplit/>
        </w:trPr>
        <w:tc>
          <w:tcPr>
            <w:tcW w:w="2835" w:type="dxa"/>
            <w:tcBorders>
              <w:top w:val="single" w:sz="4" w:space="0" w:color="A6A6A6" w:themeColor="background1" w:themeShade="A6"/>
            </w:tcBorders>
          </w:tcPr>
          <w:p w14:paraId="60F7683D" w14:textId="77777777" w:rsidR="00FA7EBF" w:rsidRPr="007939DD" w:rsidRDefault="00FA7EBF" w:rsidP="007B207C">
            <w:pPr>
              <w:pStyle w:val="ARfintablebody"/>
              <w:rPr>
                <w:lang w:eastAsia="en-AU"/>
              </w:rPr>
            </w:pPr>
            <w:r w:rsidRPr="00CA77EA">
              <w:t>Loans</w:t>
            </w:r>
          </w:p>
        </w:tc>
        <w:tc>
          <w:tcPr>
            <w:tcW w:w="1134" w:type="dxa"/>
            <w:tcBorders>
              <w:top w:val="single" w:sz="4" w:space="0" w:color="A6A6A6" w:themeColor="background1" w:themeShade="A6"/>
            </w:tcBorders>
          </w:tcPr>
          <w:p w14:paraId="0E66CFD1" w14:textId="77777777" w:rsidR="00FA7EBF" w:rsidRPr="007939DD" w:rsidRDefault="00FA7EBF" w:rsidP="007B207C">
            <w:pPr>
              <w:pStyle w:val="ARfintablebodyright"/>
              <w:rPr>
                <w:lang w:eastAsia="en-AU"/>
              </w:rPr>
            </w:pPr>
            <w:r w:rsidRPr="00CA77EA">
              <w:t>105.7</w:t>
            </w:r>
          </w:p>
        </w:tc>
        <w:tc>
          <w:tcPr>
            <w:tcW w:w="1134" w:type="dxa"/>
            <w:tcBorders>
              <w:top w:val="single" w:sz="4" w:space="0" w:color="A6A6A6" w:themeColor="background1" w:themeShade="A6"/>
            </w:tcBorders>
          </w:tcPr>
          <w:p w14:paraId="193F4EBC" w14:textId="77777777" w:rsidR="00FA7EBF" w:rsidRPr="007939DD" w:rsidRDefault="00FA7EBF" w:rsidP="007B207C">
            <w:pPr>
              <w:pStyle w:val="ARfintablebodyright"/>
              <w:rPr>
                <w:lang w:eastAsia="en-AU"/>
              </w:rPr>
            </w:pPr>
            <w:r w:rsidRPr="00CA77EA">
              <w:t>105.4</w:t>
            </w:r>
          </w:p>
        </w:tc>
        <w:tc>
          <w:tcPr>
            <w:tcW w:w="1134" w:type="dxa"/>
            <w:tcBorders>
              <w:top w:val="single" w:sz="4" w:space="0" w:color="A6A6A6" w:themeColor="background1" w:themeShade="A6"/>
            </w:tcBorders>
          </w:tcPr>
          <w:p w14:paraId="2CBC328D" w14:textId="77777777" w:rsidR="00FA7EBF" w:rsidRPr="007939DD" w:rsidRDefault="00FA7EBF" w:rsidP="007B207C">
            <w:pPr>
              <w:pStyle w:val="ARfintablebodyright"/>
              <w:rPr>
                <w:lang w:eastAsia="en-AU"/>
              </w:rPr>
            </w:pPr>
            <w:r w:rsidRPr="00CA77EA">
              <w:t>–</w:t>
            </w:r>
          </w:p>
        </w:tc>
        <w:tc>
          <w:tcPr>
            <w:tcW w:w="1134" w:type="dxa"/>
            <w:tcBorders>
              <w:top w:val="single" w:sz="4" w:space="0" w:color="A6A6A6" w:themeColor="background1" w:themeShade="A6"/>
            </w:tcBorders>
          </w:tcPr>
          <w:p w14:paraId="4AEC242A" w14:textId="77777777" w:rsidR="00FA7EBF" w:rsidRPr="007939DD" w:rsidRDefault="00FA7EBF" w:rsidP="007B207C">
            <w:pPr>
              <w:pStyle w:val="ARfintablebodyright"/>
              <w:rPr>
                <w:lang w:eastAsia="en-AU"/>
              </w:rPr>
            </w:pPr>
            <w:r w:rsidRPr="00CA77EA">
              <w:t>–</w:t>
            </w:r>
          </w:p>
        </w:tc>
        <w:tc>
          <w:tcPr>
            <w:tcW w:w="1134" w:type="dxa"/>
            <w:tcBorders>
              <w:top w:val="single" w:sz="4" w:space="0" w:color="A6A6A6" w:themeColor="background1" w:themeShade="A6"/>
            </w:tcBorders>
          </w:tcPr>
          <w:p w14:paraId="60342A09" w14:textId="77777777" w:rsidR="00FA7EBF" w:rsidRPr="007939DD" w:rsidRDefault="00FA7EBF" w:rsidP="007B207C">
            <w:pPr>
              <w:pStyle w:val="ARfintablebodyright"/>
              <w:rPr>
                <w:lang w:eastAsia="en-AU"/>
              </w:rPr>
            </w:pPr>
            <w:r w:rsidRPr="00CA77EA">
              <w:t>–</w:t>
            </w:r>
          </w:p>
        </w:tc>
        <w:tc>
          <w:tcPr>
            <w:tcW w:w="1134" w:type="dxa"/>
            <w:tcBorders>
              <w:top w:val="single" w:sz="4" w:space="0" w:color="A6A6A6" w:themeColor="background1" w:themeShade="A6"/>
            </w:tcBorders>
          </w:tcPr>
          <w:p w14:paraId="4C3D7FBF" w14:textId="77777777" w:rsidR="00FA7EBF" w:rsidRPr="007939DD" w:rsidRDefault="00FA7EBF" w:rsidP="007B207C">
            <w:pPr>
              <w:pStyle w:val="ARfintablebodyright"/>
              <w:rPr>
                <w:lang w:eastAsia="en-AU"/>
              </w:rPr>
            </w:pPr>
            <w:r w:rsidRPr="00CA77EA">
              <w:t>–</w:t>
            </w:r>
          </w:p>
        </w:tc>
      </w:tr>
      <w:tr w:rsidR="00FA7EBF" w:rsidRPr="007939DD" w14:paraId="6101F0EE" w14:textId="77777777" w:rsidTr="007B207C">
        <w:trPr>
          <w:cantSplit/>
        </w:trPr>
        <w:tc>
          <w:tcPr>
            <w:tcW w:w="2835" w:type="dxa"/>
          </w:tcPr>
          <w:p w14:paraId="287DE856" w14:textId="77777777" w:rsidR="00FA7EBF" w:rsidRPr="007939DD" w:rsidRDefault="00FA7EBF" w:rsidP="007B207C">
            <w:pPr>
              <w:pStyle w:val="ARfintablebodybold"/>
              <w:rPr>
                <w:lang w:eastAsia="en-AU"/>
              </w:rPr>
            </w:pPr>
            <w:r w:rsidRPr="00CA77EA">
              <w:t>Total</w:t>
            </w:r>
          </w:p>
        </w:tc>
        <w:tc>
          <w:tcPr>
            <w:tcW w:w="1134" w:type="dxa"/>
          </w:tcPr>
          <w:p w14:paraId="0146E205" w14:textId="77777777" w:rsidR="00FA7EBF" w:rsidRPr="007939DD" w:rsidRDefault="00FA7EBF" w:rsidP="007B207C">
            <w:pPr>
              <w:pStyle w:val="ARfintablebodyrightbold"/>
              <w:rPr>
                <w:lang w:eastAsia="en-AU"/>
              </w:rPr>
            </w:pPr>
            <w:r w:rsidRPr="00CA77EA">
              <w:t>105.7</w:t>
            </w:r>
          </w:p>
        </w:tc>
        <w:tc>
          <w:tcPr>
            <w:tcW w:w="1134" w:type="dxa"/>
          </w:tcPr>
          <w:p w14:paraId="175984D4" w14:textId="77777777" w:rsidR="00FA7EBF" w:rsidRPr="007939DD" w:rsidRDefault="00FA7EBF" w:rsidP="007B207C">
            <w:pPr>
              <w:pStyle w:val="ARfintablebodyrightbold"/>
              <w:rPr>
                <w:lang w:eastAsia="en-AU"/>
              </w:rPr>
            </w:pPr>
            <w:r w:rsidRPr="00CA77EA">
              <w:t>105.4</w:t>
            </w:r>
          </w:p>
        </w:tc>
        <w:tc>
          <w:tcPr>
            <w:tcW w:w="1134" w:type="dxa"/>
          </w:tcPr>
          <w:p w14:paraId="60497688" w14:textId="77777777" w:rsidR="00FA7EBF" w:rsidRPr="007939DD" w:rsidRDefault="00FA7EBF" w:rsidP="007B207C">
            <w:pPr>
              <w:pStyle w:val="ARfintablebodyrightbold"/>
              <w:rPr>
                <w:lang w:eastAsia="en-AU"/>
              </w:rPr>
            </w:pPr>
            <w:r w:rsidRPr="00CA77EA">
              <w:t>–</w:t>
            </w:r>
          </w:p>
        </w:tc>
        <w:tc>
          <w:tcPr>
            <w:tcW w:w="1134" w:type="dxa"/>
          </w:tcPr>
          <w:p w14:paraId="7D55299D" w14:textId="77777777" w:rsidR="00FA7EBF" w:rsidRPr="007939DD" w:rsidRDefault="00FA7EBF" w:rsidP="007B207C">
            <w:pPr>
              <w:pStyle w:val="ARfintablebodyrightbold"/>
              <w:rPr>
                <w:lang w:eastAsia="en-AU"/>
              </w:rPr>
            </w:pPr>
            <w:r w:rsidRPr="00CA77EA">
              <w:t>–</w:t>
            </w:r>
          </w:p>
        </w:tc>
        <w:tc>
          <w:tcPr>
            <w:tcW w:w="1134" w:type="dxa"/>
          </w:tcPr>
          <w:p w14:paraId="472A6B43" w14:textId="77777777" w:rsidR="00FA7EBF" w:rsidRPr="007939DD" w:rsidRDefault="00FA7EBF" w:rsidP="007B207C">
            <w:pPr>
              <w:pStyle w:val="ARfintablebodyrightbold"/>
              <w:rPr>
                <w:lang w:eastAsia="en-AU"/>
              </w:rPr>
            </w:pPr>
            <w:r w:rsidRPr="00CA77EA">
              <w:t>–</w:t>
            </w:r>
          </w:p>
        </w:tc>
        <w:tc>
          <w:tcPr>
            <w:tcW w:w="1134" w:type="dxa"/>
          </w:tcPr>
          <w:p w14:paraId="4161D3AA" w14:textId="77777777" w:rsidR="00FA7EBF" w:rsidRPr="007939DD" w:rsidRDefault="00FA7EBF" w:rsidP="007B207C">
            <w:pPr>
              <w:pStyle w:val="ARfintablebodyrightbold"/>
              <w:rPr>
                <w:rStyle w:val="Strong"/>
              </w:rPr>
            </w:pPr>
            <w:r w:rsidRPr="00CA77EA">
              <w:t>–</w:t>
            </w:r>
          </w:p>
        </w:tc>
      </w:tr>
    </w:tbl>
    <w:p w14:paraId="2284C1F0" w14:textId="77777777" w:rsidR="00FA7EBF" w:rsidRDefault="00FA7EBF" w:rsidP="00CA66FD">
      <w:pPr>
        <w:pStyle w:val="Heading4"/>
        <w:rPr>
          <w:lang w:eastAsia="en-AU"/>
        </w:rPr>
      </w:pPr>
      <w:r w:rsidRPr="00194D78">
        <w:rPr>
          <w:lang w:eastAsia="en-AU"/>
        </w:rPr>
        <w:t>6.3 Prepayments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6608CFE0" w14:textId="77777777" w:rsidTr="007B207C">
        <w:trPr>
          <w:cantSplit/>
          <w:tblHeader/>
        </w:trPr>
        <w:tc>
          <w:tcPr>
            <w:tcW w:w="7371" w:type="dxa"/>
            <w:vAlign w:val="bottom"/>
          </w:tcPr>
          <w:p w14:paraId="5A10E81B" w14:textId="77777777" w:rsidR="00FA7EBF" w:rsidRPr="007939DD" w:rsidRDefault="00FA7EBF" w:rsidP="007B207C">
            <w:pPr>
              <w:autoSpaceDE w:val="0"/>
              <w:autoSpaceDN w:val="0"/>
              <w:adjustRightInd w:val="0"/>
              <w:spacing w:beforeLines="40" w:before="96" w:afterLines="20" w:after="48"/>
              <w:rPr>
                <w:rFonts w:cs="Arial"/>
                <w:b/>
                <w:bCs/>
                <w:color w:val="000000"/>
                <w:sz w:val="16"/>
                <w:szCs w:val="16"/>
              </w:rPr>
            </w:pPr>
          </w:p>
        </w:tc>
        <w:tc>
          <w:tcPr>
            <w:tcW w:w="1134" w:type="dxa"/>
            <w:shd w:val="clear" w:color="auto" w:fill="E7E6E6"/>
            <w:vAlign w:val="bottom"/>
          </w:tcPr>
          <w:p w14:paraId="55A53E6E" w14:textId="77777777" w:rsidR="00FA7EBF" w:rsidRPr="007939DD" w:rsidRDefault="00FA7EBF" w:rsidP="007B207C">
            <w:pPr>
              <w:pStyle w:val="ARfintablecolheadright"/>
            </w:pPr>
            <w:r w:rsidRPr="007939DD">
              <w:t>201</w:t>
            </w:r>
            <w:r>
              <w:t>9</w:t>
            </w:r>
          </w:p>
          <w:p w14:paraId="3F58EE02" w14:textId="77777777" w:rsidR="00FA7EBF" w:rsidRPr="007939DD" w:rsidRDefault="00FA7EBF" w:rsidP="007B207C">
            <w:pPr>
              <w:pStyle w:val="ARfintablecolheadright"/>
            </w:pPr>
            <w:r w:rsidRPr="007939DD">
              <w:t>$M</w:t>
            </w:r>
          </w:p>
        </w:tc>
        <w:tc>
          <w:tcPr>
            <w:tcW w:w="1134" w:type="dxa"/>
            <w:vAlign w:val="bottom"/>
          </w:tcPr>
          <w:p w14:paraId="51AF99B8" w14:textId="77777777" w:rsidR="00FA7EBF" w:rsidRPr="007939DD" w:rsidRDefault="00FA7EBF" w:rsidP="007B207C">
            <w:pPr>
              <w:pStyle w:val="ARfintablecolheadright"/>
            </w:pPr>
            <w:r w:rsidRPr="007939DD">
              <w:t>201</w:t>
            </w:r>
            <w:r>
              <w:t>8</w:t>
            </w:r>
          </w:p>
          <w:p w14:paraId="58A8FD43" w14:textId="77777777" w:rsidR="00FA7EBF" w:rsidRPr="007939DD" w:rsidRDefault="00FA7EBF" w:rsidP="007B207C">
            <w:pPr>
              <w:pStyle w:val="ARfintablecolheadright"/>
            </w:pPr>
            <w:r w:rsidRPr="007939DD">
              <w:t>$M</w:t>
            </w:r>
          </w:p>
        </w:tc>
      </w:tr>
      <w:tr w:rsidR="00FA7EBF" w:rsidRPr="007939DD" w14:paraId="73727C7B" w14:textId="77777777" w:rsidTr="007B207C">
        <w:trPr>
          <w:cantSplit/>
        </w:trPr>
        <w:tc>
          <w:tcPr>
            <w:tcW w:w="7371" w:type="dxa"/>
          </w:tcPr>
          <w:p w14:paraId="7B1BAAB9" w14:textId="77777777" w:rsidR="00FA7EBF" w:rsidRPr="007939DD" w:rsidRDefault="00FA7EBF" w:rsidP="007B207C">
            <w:pPr>
              <w:pStyle w:val="ARfintablebody"/>
              <w:rPr>
                <w:lang w:eastAsia="en-AU"/>
              </w:rPr>
            </w:pPr>
            <w:r w:rsidRPr="007939DD">
              <w:rPr>
                <w:lang w:eastAsia="en-AU"/>
              </w:rPr>
              <w:t>Prepayments</w:t>
            </w:r>
          </w:p>
        </w:tc>
        <w:tc>
          <w:tcPr>
            <w:tcW w:w="1134" w:type="dxa"/>
            <w:shd w:val="clear" w:color="auto" w:fill="E7E6E6"/>
          </w:tcPr>
          <w:p w14:paraId="6F71800D" w14:textId="77777777" w:rsidR="00FA7EBF" w:rsidRPr="007939DD" w:rsidRDefault="00FA7EBF" w:rsidP="007B207C">
            <w:pPr>
              <w:pStyle w:val="ARfintablebodyright"/>
              <w:rPr>
                <w:lang w:eastAsia="en-AU"/>
              </w:rPr>
            </w:pPr>
            <w:r w:rsidRPr="004C643D">
              <w:t>15.1</w:t>
            </w:r>
          </w:p>
        </w:tc>
        <w:tc>
          <w:tcPr>
            <w:tcW w:w="1134" w:type="dxa"/>
          </w:tcPr>
          <w:p w14:paraId="704A74DF" w14:textId="77777777" w:rsidR="00FA7EBF" w:rsidRPr="007939DD" w:rsidRDefault="00FA7EBF" w:rsidP="007B207C">
            <w:pPr>
              <w:pStyle w:val="ARfintablebodyright"/>
              <w:rPr>
                <w:lang w:eastAsia="en-AU"/>
              </w:rPr>
            </w:pPr>
            <w:r w:rsidRPr="004C643D">
              <w:t>30.1</w:t>
            </w:r>
          </w:p>
        </w:tc>
      </w:tr>
    </w:tbl>
    <w:p w14:paraId="0A1E6310" w14:textId="77777777" w:rsidR="00FA7EBF" w:rsidRPr="00194D78" w:rsidRDefault="00FA7EBF" w:rsidP="00CA66FD">
      <w:pPr>
        <w:pStyle w:val="ARfinbodyaftertable"/>
      </w:pPr>
      <w:r w:rsidRPr="00194D78">
        <w:t>Prepayments represent payments in advance of receipt of goods and services or that part of expenditure made in one accounting period covering a term extending beyond that period.</w:t>
      </w:r>
    </w:p>
    <w:p w14:paraId="4ACB1156" w14:textId="77777777" w:rsidR="00FA7EBF" w:rsidRDefault="00FA7EBF" w:rsidP="00CA66FD">
      <w:pPr>
        <w:pStyle w:val="ARfinbody"/>
        <w:rPr>
          <w:rFonts w:eastAsia="MS Mincho" w:cs="Arial"/>
          <w:color w:val="53565A" w:themeColor="accent2"/>
        </w:rPr>
      </w:pPr>
      <w:r>
        <w:br w:type="page"/>
      </w:r>
    </w:p>
    <w:p w14:paraId="6B64F6BE" w14:textId="77777777" w:rsidR="00FA7EBF" w:rsidRDefault="00FA7EBF" w:rsidP="00CA66FD">
      <w:pPr>
        <w:pStyle w:val="Heading4"/>
        <w:rPr>
          <w:lang w:eastAsia="en-AU"/>
        </w:rPr>
      </w:pPr>
      <w:r w:rsidRPr="00194D78">
        <w:rPr>
          <w:lang w:eastAsia="en-AU"/>
        </w:rPr>
        <w:t>6.4 Payables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471BA5C5" w14:textId="77777777" w:rsidTr="007B207C">
        <w:trPr>
          <w:cantSplit/>
          <w:tblHeader/>
        </w:trPr>
        <w:tc>
          <w:tcPr>
            <w:tcW w:w="7371" w:type="dxa"/>
            <w:vAlign w:val="bottom"/>
          </w:tcPr>
          <w:p w14:paraId="1B5AC372" w14:textId="77777777" w:rsidR="00FA7EBF" w:rsidRPr="007939DD" w:rsidRDefault="00FA7EBF" w:rsidP="007B207C">
            <w:pPr>
              <w:pStyle w:val="ARfintablecolhead"/>
            </w:pPr>
          </w:p>
        </w:tc>
        <w:tc>
          <w:tcPr>
            <w:tcW w:w="1134" w:type="dxa"/>
            <w:shd w:val="clear" w:color="auto" w:fill="E7E6E6"/>
            <w:vAlign w:val="bottom"/>
          </w:tcPr>
          <w:p w14:paraId="0408BFF7" w14:textId="77777777" w:rsidR="00FA7EBF" w:rsidRPr="007939DD" w:rsidRDefault="00FA7EBF" w:rsidP="007B207C">
            <w:pPr>
              <w:pStyle w:val="ARfintablecolheadright"/>
            </w:pPr>
            <w:r w:rsidRPr="007939DD">
              <w:t>201</w:t>
            </w:r>
            <w:r>
              <w:t>9</w:t>
            </w:r>
          </w:p>
          <w:p w14:paraId="5EB90826" w14:textId="77777777" w:rsidR="00FA7EBF" w:rsidRPr="007939DD" w:rsidRDefault="00FA7EBF" w:rsidP="007B207C">
            <w:pPr>
              <w:pStyle w:val="ARfintablecolheadright"/>
            </w:pPr>
            <w:r w:rsidRPr="007939DD">
              <w:t>$M</w:t>
            </w:r>
          </w:p>
        </w:tc>
        <w:tc>
          <w:tcPr>
            <w:tcW w:w="1134" w:type="dxa"/>
            <w:vAlign w:val="bottom"/>
          </w:tcPr>
          <w:p w14:paraId="7B7A7417" w14:textId="77777777" w:rsidR="00FA7EBF" w:rsidRPr="007939DD" w:rsidRDefault="00FA7EBF" w:rsidP="007B207C">
            <w:pPr>
              <w:pStyle w:val="ARfintablecolheadright"/>
            </w:pPr>
            <w:r w:rsidRPr="007939DD">
              <w:t>201</w:t>
            </w:r>
            <w:r>
              <w:t>8</w:t>
            </w:r>
          </w:p>
          <w:p w14:paraId="23C491D7" w14:textId="77777777" w:rsidR="00FA7EBF" w:rsidRPr="007939DD" w:rsidRDefault="00FA7EBF" w:rsidP="007B207C">
            <w:pPr>
              <w:pStyle w:val="ARfintablecolheadright"/>
            </w:pPr>
            <w:r w:rsidRPr="007939DD">
              <w:t>$M</w:t>
            </w:r>
          </w:p>
        </w:tc>
      </w:tr>
      <w:tr w:rsidR="00FA7EBF" w:rsidRPr="007939DD" w14:paraId="1AB9279F" w14:textId="77777777" w:rsidTr="007B207C">
        <w:trPr>
          <w:cantSplit/>
        </w:trPr>
        <w:tc>
          <w:tcPr>
            <w:tcW w:w="9639" w:type="dxa"/>
            <w:gridSpan w:val="3"/>
            <w:tcBorders>
              <w:bottom w:val="single" w:sz="4" w:space="0" w:color="A6A6A6" w:themeColor="background1" w:themeShade="A6"/>
            </w:tcBorders>
          </w:tcPr>
          <w:p w14:paraId="0AB3470B" w14:textId="77777777" w:rsidR="00FA7EBF" w:rsidRPr="007939DD" w:rsidRDefault="00FA7EBF" w:rsidP="007B207C">
            <w:pPr>
              <w:pStyle w:val="ARfintablebodybold"/>
              <w:rPr>
                <w:lang w:eastAsia="en-AU"/>
              </w:rPr>
            </w:pPr>
            <w:r w:rsidRPr="00405D72">
              <w:t>Current payables</w:t>
            </w:r>
          </w:p>
        </w:tc>
      </w:tr>
      <w:tr w:rsidR="00FA7EBF" w:rsidRPr="007939DD" w14:paraId="2BF3E44A" w14:textId="77777777" w:rsidTr="007B207C">
        <w:trPr>
          <w:cantSplit/>
        </w:trPr>
        <w:tc>
          <w:tcPr>
            <w:tcW w:w="9639" w:type="dxa"/>
            <w:gridSpan w:val="3"/>
            <w:tcBorders>
              <w:top w:val="single" w:sz="4" w:space="0" w:color="A6A6A6" w:themeColor="background1" w:themeShade="A6"/>
              <w:bottom w:val="single" w:sz="4" w:space="0" w:color="A6A6A6" w:themeColor="background1" w:themeShade="A6"/>
            </w:tcBorders>
          </w:tcPr>
          <w:p w14:paraId="4C31C232" w14:textId="77777777" w:rsidR="00FA7EBF" w:rsidRPr="007939DD" w:rsidRDefault="00FA7EBF" w:rsidP="007B207C">
            <w:pPr>
              <w:pStyle w:val="ARfintablebody"/>
              <w:rPr>
                <w:lang w:eastAsia="en-AU"/>
              </w:rPr>
            </w:pPr>
            <w:r w:rsidRPr="00DF57B1">
              <w:rPr>
                <w:rStyle w:val="Emphasis"/>
                <w:iCs w:val="0"/>
              </w:rPr>
              <w:t>Statutory</w:t>
            </w:r>
          </w:p>
        </w:tc>
      </w:tr>
      <w:tr w:rsidR="00FA7EBF" w:rsidRPr="007939DD" w14:paraId="45CE6E8D"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4689A27B" w14:textId="77777777" w:rsidR="00FA7EBF" w:rsidRPr="007939DD" w:rsidRDefault="00FA7EBF" w:rsidP="007B207C">
            <w:pPr>
              <w:pStyle w:val="ARfintablebody"/>
              <w:rPr>
                <w:lang w:eastAsia="en-AU"/>
              </w:rPr>
            </w:pPr>
            <w:r w:rsidRPr="00405D72">
              <w:t>FBT payable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92B19FC" w14:textId="77777777" w:rsidR="00FA7EBF" w:rsidRPr="007939DD" w:rsidRDefault="00FA7EBF" w:rsidP="007B207C">
            <w:pPr>
              <w:pStyle w:val="ARfintablebodyright"/>
              <w:rPr>
                <w:lang w:eastAsia="en-AU"/>
              </w:rPr>
            </w:pPr>
            <w:r w:rsidRPr="00405D72">
              <w:t>0.2</w:t>
            </w:r>
          </w:p>
        </w:tc>
        <w:tc>
          <w:tcPr>
            <w:tcW w:w="1134" w:type="dxa"/>
            <w:tcBorders>
              <w:top w:val="single" w:sz="4" w:space="0" w:color="A6A6A6" w:themeColor="background1" w:themeShade="A6"/>
              <w:bottom w:val="single" w:sz="4" w:space="0" w:color="A6A6A6" w:themeColor="background1" w:themeShade="A6"/>
            </w:tcBorders>
          </w:tcPr>
          <w:p w14:paraId="75908F17" w14:textId="77777777" w:rsidR="00FA7EBF" w:rsidRPr="007939DD" w:rsidRDefault="00FA7EBF" w:rsidP="007B207C">
            <w:pPr>
              <w:pStyle w:val="ARfintablebodyright"/>
              <w:rPr>
                <w:lang w:eastAsia="en-AU"/>
              </w:rPr>
            </w:pPr>
            <w:r w:rsidRPr="00405D72">
              <w:t>0.8</w:t>
            </w:r>
          </w:p>
        </w:tc>
      </w:tr>
      <w:tr w:rsidR="00FA7EBF" w:rsidRPr="007939DD" w14:paraId="47925FE7" w14:textId="77777777" w:rsidTr="007B207C">
        <w:trPr>
          <w:cantSplit/>
        </w:trPr>
        <w:tc>
          <w:tcPr>
            <w:tcW w:w="9639" w:type="dxa"/>
            <w:gridSpan w:val="3"/>
            <w:tcBorders>
              <w:top w:val="single" w:sz="4" w:space="0" w:color="A6A6A6" w:themeColor="background1" w:themeShade="A6"/>
              <w:bottom w:val="single" w:sz="4" w:space="0" w:color="A6A6A6" w:themeColor="background1" w:themeShade="A6"/>
            </w:tcBorders>
          </w:tcPr>
          <w:p w14:paraId="1B73E12E" w14:textId="77777777" w:rsidR="00FA7EBF" w:rsidRPr="007939DD" w:rsidRDefault="00FA7EBF" w:rsidP="007B207C">
            <w:pPr>
              <w:pStyle w:val="ARfintablebody"/>
              <w:rPr>
                <w:lang w:eastAsia="en-AU"/>
              </w:rPr>
            </w:pPr>
            <w:r w:rsidRPr="00DF57B1">
              <w:rPr>
                <w:rStyle w:val="Emphasis"/>
                <w:iCs w:val="0"/>
              </w:rPr>
              <w:t>Contractual</w:t>
            </w:r>
          </w:p>
        </w:tc>
      </w:tr>
      <w:tr w:rsidR="00FA7EBF" w:rsidRPr="007939DD" w14:paraId="60EA78A6"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5575F19D" w14:textId="77777777" w:rsidR="00FA7EBF" w:rsidRPr="007939DD" w:rsidRDefault="00FA7EBF" w:rsidP="007B207C">
            <w:pPr>
              <w:pStyle w:val="ARfintablebody"/>
              <w:rPr>
                <w:lang w:eastAsia="en-AU"/>
              </w:rPr>
            </w:pPr>
            <w:r w:rsidRPr="00405D72">
              <w:t>Employee benefits payable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8C305EE" w14:textId="77777777" w:rsidR="00FA7EBF" w:rsidRPr="007939DD" w:rsidRDefault="00FA7EBF" w:rsidP="007B207C">
            <w:pPr>
              <w:pStyle w:val="ARfintablebodyright"/>
              <w:rPr>
                <w:lang w:eastAsia="en-AU"/>
              </w:rPr>
            </w:pPr>
            <w:r w:rsidRPr="00405D72">
              <w:t>53.7</w:t>
            </w:r>
          </w:p>
        </w:tc>
        <w:tc>
          <w:tcPr>
            <w:tcW w:w="1134" w:type="dxa"/>
            <w:tcBorders>
              <w:top w:val="single" w:sz="4" w:space="0" w:color="A6A6A6" w:themeColor="background1" w:themeShade="A6"/>
              <w:bottom w:val="single" w:sz="4" w:space="0" w:color="A6A6A6" w:themeColor="background1" w:themeShade="A6"/>
            </w:tcBorders>
          </w:tcPr>
          <w:p w14:paraId="5CC73288" w14:textId="77777777" w:rsidR="00FA7EBF" w:rsidRPr="007939DD" w:rsidRDefault="00FA7EBF" w:rsidP="007B207C">
            <w:pPr>
              <w:pStyle w:val="ARfintablebodyright"/>
              <w:rPr>
                <w:lang w:eastAsia="en-AU"/>
              </w:rPr>
            </w:pPr>
            <w:r w:rsidRPr="00405D72">
              <w:t>45.5</w:t>
            </w:r>
          </w:p>
        </w:tc>
      </w:tr>
      <w:tr w:rsidR="00FA7EBF" w:rsidRPr="007939DD" w14:paraId="728734B3"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E237211" w14:textId="77777777" w:rsidR="00FA7EBF" w:rsidRPr="007939DD" w:rsidRDefault="00FA7EBF" w:rsidP="007B207C">
            <w:pPr>
              <w:pStyle w:val="ARfintablebody"/>
              <w:rPr>
                <w:lang w:eastAsia="en-AU"/>
              </w:rPr>
            </w:pPr>
            <w:r w:rsidRPr="00405D72">
              <w:t>Supplies and services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0DBB005" w14:textId="77777777" w:rsidR="00FA7EBF" w:rsidRPr="007939DD" w:rsidRDefault="00FA7EBF" w:rsidP="007B207C">
            <w:pPr>
              <w:pStyle w:val="ARfintablebodyright"/>
              <w:rPr>
                <w:lang w:eastAsia="en-AU"/>
              </w:rPr>
            </w:pPr>
            <w:r w:rsidRPr="00405D72">
              <w:t>92.0</w:t>
            </w:r>
          </w:p>
        </w:tc>
        <w:tc>
          <w:tcPr>
            <w:tcW w:w="1134" w:type="dxa"/>
            <w:tcBorders>
              <w:top w:val="single" w:sz="4" w:space="0" w:color="A6A6A6" w:themeColor="background1" w:themeShade="A6"/>
              <w:bottom w:val="single" w:sz="4" w:space="0" w:color="A6A6A6" w:themeColor="background1" w:themeShade="A6"/>
            </w:tcBorders>
          </w:tcPr>
          <w:p w14:paraId="16FC925A" w14:textId="77777777" w:rsidR="00FA7EBF" w:rsidRPr="007939DD" w:rsidRDefault="00FA7EBF" w:rsidP="007B207C">
            <w:pPr>
              <w:pStyle w:val="ARfintablebodyright"/>
              <w:rPr>
                <w:lang w:eastAsia="en-AU"/>
              </w:rPr>
            </w:pPr>
            <w:r w:rsidRPr="00405D72">
              <w:t>82.9</w:t>
            </w:r>
          </w:p>
        </w:tc>
      </w:tr>
      <w:tr w:rsidR="00FA7EBF" w:rsidRPr="007939DD" w14:paraId="0F0B8094"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47FDA519" w14:textId="77777777" w:rsidR="00FA7EBF" w:rsidRPr="007939DD" w:rsidRDefault="00FA7EBF" w:rsidP="007B207C">
            <w:pPr>
              <w:pStyle w:val="ARfintablebody"/>
              <w:rPr>
                <w:lang w:eastAsia="en-AU"/>
              </w:rPr>
            </w:pPr>
            <w:r w:rsidRPr="00405D72">
              <w:t>Amounts payable to government agencies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8B3837A" w14:textId="77777777" w:rsidR="00FA7EBF" w:rsidRPr="007939DD" w:rsidRDefault="00FA7EBF" w:rsidP="007B207C">
            <w:pPr>
              <w:pStyle w:val="ARfintablebodyright"/>
              <w:rPr>
                <w:lang w:eastAsia="en-AU"/>
              </w:rPr>
            </w:pPr>
            <w:r w:rsidRPr="00405D72">
              <w:t>403.6</w:t>
            </w:r>
          </w:p>
        </w:tc>
        <w:tc>
          <w:tcPr>
            <w:tcW w:w="1134" w:type="dxa"/>
            <w:tcBorders>
              <w:top w:val="single" w:sz="4" w:space="0" w:color="A6A6A6" w:themeColor="background1" w:themeShade="A6"/>
              <w:bottom w:val="single" w:sz="4" w:space="0" w:color="A6A6A6" w:themeColor="background1" w:themeShade="A6"/>
            </w:tcBorders>
          </w:tcPr>
          <w:p w14:paraId="49C7BF87" w14:textId="77777777" w:rsidR="00FA7EBF" w:rsidRPr="007939DD" w:rsidRDefault="00FA7EBF" w:rsidP="007B207C">
            <w:pPr>
              <w:pStyle w:val="ARfintablebodyright"/>
              <w:rPr>
                <w:lang w:eastAsia="en-AU"/>
              </w:rPr>
            </w:pPr>
            <w:r w:rsidRPr="00405D72">
              <w:t>405.9</w:t>
            </w:r>
          </w:p>
        </w:tc>
      </w:tr>
      <w:tr w:rsidR="00FA7EBF" w:rsidRPr="007939DD" w14:paraId="240EB303"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47505BC5" w14:textId="77777777" w:rsidR="00FA7EBF" w:rsidRPr="007939DD" w:rsidRDefault="00FA7EBF" w:rsidP="007B207C">
            <w:pPr>
              <w:pStyle w:val="ARfintablebody"/>
              <w:rPr>
                <w:lang w:eastAsia="en-AU"/>
              </w:rPr>
            </w:pPr>
            <w:r w:rsidRPr="00405D72">
              <w:t>Concession payments to pensioners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0DD82A2" w14:textId="77777777" w:rsidR="00FA7EBF" w:rsidRPr="007939DD" w:rsidRDefault="00FA7EBF" w:rsidP="007B207C">
            <w:pPr>
              <w:pStyle w:val="ARfintablebodyright"/>
              <w:rPr>
                <w:lang w:eastAsia="en-AU"/>
              </w:rPr>
            </w:pPr>
            <w:r w:rsidRPr="00405D72">
              <w:t>126.9</w:t>
            </w:r>
          </w:p>
        </w:tc>
        <w:tc>
          <w:tcPr>
            <w:tcW w:w="1134" w:type="dxa"/>
            <w:tcBorders>
              <w:top w:val="single" w:sz="4" w:space="0" w:color="A6A6A6" w:themeColor="background1" w:themeShade="A6"/>
              <w:bottom w:val="single" w:sz="4" w:space="0" w:color="A6A6A6" w:themeColor="background1" w:themeShade="A6"/>
            </w:tcBorders>
          </w:tcPr>
          <w:p w14:paraId="7CE97A88" w14:textId="77777777" w:rsidR="00FA7EBF" w:rsidRPr="007939DD" w:rsidRDefault="00FA7EBF" w:rsidP="007B207C">
            <w:pPr>
              <w:pStyle w:val="ARfintablebodyright"/>
              <w:rPr>
                <w:lang w:eastAsia="en-AU"/>
              </w:rPr>
            </w:pPr>
            <w:r w:rsidRPr="00405D72">
              <w:t>113.6</w:t>
            </w:r>
          </w:p>
        </w:tc>
      </w:tr>
      <w:tr w:rsidR="00FA7EBF" w:rsidRPr="007939DD" w14:paraId="2A5E4A4F"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62F63A74" w14:textId="77777777" w:rsidR="00FA7EBF" w:rsidRPr="007939DD" w:rsidRDefault="00FA7EBF" w:rsidP="007B207C">
            <w:pPr>
              <w:pStyle w:val="ARfintablebody"/>
              <w:rPr>
                <w:lang w:eastAsia="en-AU"/>
              </w:rPr>
            </w:pPr>
            <w:r w:rsidRPr="00405D72">
              <w:t>Tenants in advance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B2D4F1B" w14:textId="77777777" w:rsidR="00FA7EBF" w:rsidRPr="007939DD" w:rsidRDefault="00FA7EBF" w:rsidP="007B207C">
            <w:pPr>
              <w:pStyle w:val="ARfintablebodyright"/>
              <w:rPr>
                <w:lang w:eastAsia="en-AU"/>
              </w:rPr>
            </w:pPr>
            <w:r w:rsidRPr="00405D72">
              <w:t>24.2</w:t>
            </w:r>
          </w:p>
        </w:tc>
        <w:tc>
          <w:tcPr>
            <w:tcW w:w="1134" w:type="dxa"/>
            <w:tcBorders>
              <w:top w:val="single" w:sz="4" w:space="0" w:color="A6A6A6" w:themeColor="background1" w:themeShade="A6"/>
              <w:bottom w:val="single" w:sz="4" w:space="0" w:color="A6A6A6" w:themeColor="background1" w:themeShade="A6"/>
            </w:tcBorders>
          </w:tcPr>
          <w:p w14:paraId="344085EB" w14:textId="77777777" w:rsidR="00FA7EBF" w:rsidRPr="007939DD" w:rsidRDefault="00FA7EBF" w:rsidP="007B207C">
            <w:pPr>
              <w:pStyle w:val="ARfintablebodyright"/>
              <w:rPr>
                <w:lang w:eastAsia="en-AU"/>
              </w:rPr>
            </w:pPr>
            <w:r w:rsidRPr="00405D72">
              <w:t>23.3</w:t>
            </w:r>
          </w:p>
        </w:tc>
      </w:tr>
      <w:tr w:rsidR="00FA7EBF" w:rsidRPr="007939DD" w14:paraId="603F97D0"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E558C8A" w14:textId="77777777" w:rsidR="00FA7EBF" w:rsidRPr="007939DD" w:rsidRDefault="00FA7EBF" w:rsidP="007B207C">
            <w:pPr>
              <w:pStyle w:val="ARfintablebody"/>
              <w:rPr>
                <w:lang w:eastAsia="en-AU"/>
              </w:rPr>
            </w:pPr>
            <w:r w:rsidRPr="00405D72">
              <w:t>Capital works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2FD9427" w14:textId="77777777" w:rsidR="00FA7EBF" w:rsidRPr="007939DD" w:rsidRDefault="00FA7EBF" w:rsidP="007B207C">
            <w:pPr>
              <w:pStyle w:val="ARfintablebodyright"/>
              <w:rPr>
                <w:lang w:eastAsia="en-AU"/>
              </w:rPr>
            </w:pPr>
            <w:r w:rsidRPr="00405D72">
              <w:t>31.7</w:t>
            </w:r>
          </w:p>
        </w:tc>
        <w:tc>
          <w:tcPr>
            <w:tcW w:w="1134" w:type="dxa"/>
            <w:tcBorders>
              <w:top w:val="single" w:sz="4" w:space="0" w:color="A6A6A6" w:themeColor="background1" w:themeShade="A6"/>
              <w:bottom w:val="single" w:sz="4" w:space="0" w:color="A6A6A6" w:themeColor="background1" w:themeShade="A6"/>
            </w:tcBorders>
          </w:tcPr>
          <w:p w14:paraId="4529661F" w14:textId="77777777" w:rsidR="00FA7EBF" w:rsidRPr="007939DD" w:rsidRDefault="00FA7EBF" w:rsidP="007B207C">
            <w:pPr>
              <w:pStyle w:val="ARfintablebodyright"/>
              <w:rPr>
                <w:lang w:eastAsia="en-AU"/>
              </w:rPr>
            </w:pPr>
            <w:r w:rsidRPr="00405D72">
              <w:t>44.1</w:t>
            </w:r>
          </w:p>
        </w:tc>
      </w:tr>
      <w:tr w:rsidR="00FA7EBF" w:rsidRPr="007939DD" w14:paraId="1A145BB2" w14:textId="77777777" w:rsidTr="007B207C">
        <w:trPr>
          <w:cantSplit/>
        </w:trPr>
        <w:tc>
          <w:tcPr>
            <w:tcW w:w="7371" w:type="dxa"/>
            <w:tcBorders>
              <w:top w:val="single" w:sz="4" w:space="0" w:color="A6A6A6" w:themeColor="background1" w:themeShade="A6"/>
            </w:tcBorders>
          </w:tcPr>
          <w:p w14:paraId="02AFFDA1" w14:textId="77777777" w:rsidR="00FA7EBF" w:rsidRPr="007939DD" w:rsidRDefault="00FA7EBF" w:rsidP="007B207C">
            <w:pPr>
              <w:pStyle w:val="ARfintablebody"/>
              <w:rPr>
                <w:lang w:eastAsia="en-AU"/>
              </w:rPr>
            </w:pPr>
            <w:r w:rsidRPr="00405D72">
              <w:t>Other</w:t>
            </w:r>
          </w:p>
        </w:tc>
        <w:tc>
          <w:tcPr>
            <w:tcW w:w="1134" w:type="dxa"/>
            <w:tcBorders>
              <w:top w:val="single" w:sz="4" w:space="0" w:color="A6A6A6" w:themeColor="background1" w:themeShade="A6"/>
            </w:tcBorders>
            <w:shd w:val="clear" w:color="auto" w:fill="E7E6E6"/>
          </w:tcPr>
          <w:p w14:paraId="34A1AEA7" w14:textId="77777777" w:rsidR="00FA7EBF" w:rsidRPr="007939DD" w:rsidRDefault="00FA7EBF" w:rsidP="007B207C">
            <w:pPr>
              <w:pStyle w:val="ARfintablebodyright"/>
              <w:rPr>
                <w:lang w:eastAsia="en-AU"/>
              </w:rPr>
            </w:pPr>
            <w:r w:rsidRPr="00405D72">
              <w:t>14.0</w:t>
            </w:r>
          </w:p>
        </w:tc>
        <w:tc>
          <w:tcPr>
            <w:tcW w:w="1134" w:type="dxa"/>
            <w:tcBorders>
              <w:top w:val="single" w:sz="4" w:space="0" w:color="A6A6A6" w:themeColor="background1" w:themeShade="A6"/>
            </w:tcBorders>
          </w:tcPr>
          <w:p w14:paraId="39B61A1B" w14:textId="77777777" w:rsidR="00FA7EBF" w:rsidRPr="007939DD" w:rsidRDefault="00FA7EBF" w:rsidP="007B207C">
            <w:pPr>
              <w:pStyle w:val="ARfintablebodyright"/>
              <w:rPr>
                <w:lang w:eastAsia="en-AU"/>
              </w:rPr>
            </w:pPr>
            <w:r w:rsidRPr="00405D72">
              <w:t>21.8</w:t>
            </w:r>
          </w:p>
        </w:tc>
      </w:tr>
      <w:tr w:rsidR="00FA7EBF" w:rsidRPr="007939DD" w14:paraId="57E11525" w14:textId="77777777" w:rsidTr="007B207C">
        <w:trPr>
          <w:cantSplit/>
        </w:trPr>
        <w:tc>
          <w:tcPr>
            <w:tcW w:w="7371" w:type="dxa"/>
          </w:tcPr>
          <w:p w14:paraId="1A0E85FF" w14:textId="77777777" w:rsidR="00FA7EBF" w:rsidRPr="007939DD" w:rsidRDefault="00FA7EBF" w:rsidP="007B207C">
            <w:pPr>
              <w:pStyle w:val="ARfintablebodybold"/>
              <w:rPr>
                <w:rStyle w:val="Strong"/>
              </w:rPr>
            </w:pPr>
            <w:r w:rsidRPr="00405D72">
              <w:t>Total current payables</w:t>
            </w:r>
          </w:p>
        </w:tc>
        <w:tc>
          <w:tcPr>
            <w:tcW w:w="1134" w:type="dxa"/>
            <w:shd w:val="clear" w:color="auto" w:fill="E7E6E6"/>
          </w:tcPr>
          <w:p w14:paraId="3A37424E" w14:textId="77777777" w:rsidR="00FA7EBF" w:rsidRPr="007939DD" w:rsidRDefault="00FA7EBF" w:rsidP="007B207C">
            <w:pPr>
              <w:pStyle w:val="ARfintablebodyrightbold"/>
              <w:rPr>
                <w:rStyle w:val="Strong"/>
              </w:rPr>
            </w:pPr>
            <w:r w:rsidRPr="00405D72">
              <w:t>746.2</w:t>
            </w:r>
          </w:p>
        </w:tc>
        <w:tc>
          <w:tcPr>
            <w:tcW w:w="1134" w:type="dxa"/>
          </w:tcPr>
          <w:p w14:paraId="74F78CCA" w14:textId="77777777" w:rsidR="00FA7EBF" w:rsidRPr="007939DD" w:rsidRDefault="00FA7EBF" w:rsidP="007B207C">
            <w:pPr>
              <w:pStyle w:val="ARfintablebodyrightbold"/>
              <w:rPr>
                <w:rStyle w:val="Strong"/>
              </w:rPr>
            </w:pPr>
            <w:r w:rsidRPr="00405D72">
              <w:t>738.0</w:t>
            </w:r>
          </w:p>
        </w:tc>
      </w:tr>
      <w:tr w:rsidR="00FA7EBF" w:rsidRPr="007939DD" w14:paraId="06A7DFAC" w14:textId="77777777" w:rsidTr="007B207C">
        <w:trPr>
          <w:cantSplit/>
        </w:trPr>
        <w:tc>
          <w:tcPr>
            <w:tcW w:w="9639" w:type="dxa"/>
            <w:gridSpan w:val="3"/>
            <w:tcBorders>
              <w:bottom w:val="single" w:sz="4" w:space="0" w:color="A6A6A6" w:themeColor="background1" w:themeShade="A6"/>
            </w:tcBorders>
          </w:tcPr>
          <w:p w14:paraId="70F51EB4" w14:textId="77777777" w:rsidR="00FA7EBF" w:rsidRPr="007939DD" w:rsidRDefault="00FA7EBF" w:rsidP="007B207C">
            <w:pPr>
              <w:pStyle w:val="ARfintablebodybold"/>
              <w:rPr>
                <w:lang w:eastAsia="en-AU"/>
              </w:rPr>
            </w:pPr>
            <w:r w:rsidRPr="00405D72">
              <w:t>Non-current payables</w:t>
            </w:r>
          </w:p>
        </w:tc>
      </w:tr>
      <w:tr w:rsidR="00FA7EBF" w:rsidRPr="007939DD" w14:paraId="3864BD1C" w14:textId="77777777" w:rsidTr="007B207C">
        <w:trPr>
          <w:cantSplit/>
        </w:trPr>
        <w:tc>
          <w:tcPr>
            <w:tcW w:w="9639" w:type="dxa"/>
            <w:gridSpan w:val="3"/>
            <w:tcBorders>
              <w:top w:val="single" w:sz="4" w:space="0" w:color="A6A6A6" w:themeColor="background1" w:themeShade="A6"/>
              <w:bottom w:val="single" w:sz="4" w:space="0" w:color="A6A6A6" w:themeColor="background1" w:themeShade="A6"/>
            </w:tcBorders>
          </w:tcPr>
          <w:p w14:paraId="713C7BC2" w14:textId="77777777" w:rsidR="00FA7EBF" w:rsidRPr="007939DD" w:rsidRDefault="00FA7EBF" w:rsidP="007B207C">
            <w:pPr>
              <w:pStyle w:val="ARfintablebody"/>
              <w:rPr>
                <w:lang w:eastAsia="en-AU"/>
              </w:rPr>
            </w:pPr>
            <w:r w:rsidRPr="00DF57B1">
              <w:rPr>
                <w:rStyle w:val="Emphasis"/>
                <w:iCs w:val="0"/>
              </w:rPr>
              <w:t>Contractual</w:t>
            </w:r>
          </w:p>
        </w:tc>
      </w:tr>
      <w:tr w:rsidR="00FA7EBF" w:rsidRPr="007939DD" w14:paraId="0388BEA7"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0BB7A9ED" w14:textId="77777777" w:rsidR="00FA7EBF" w:rsidRPr="007939DD" w:rsidRDefault="00FA7EBF" w:rsidP="007B207C">
            <w:pPr>
              <w:pStyle w:val="ARfintablebody"/>
              <w:rPr>
                <w:lang w:eastAsia="en-AU"/>
              </w:rPr>
            </w:pPr>
            <w:r w:rsidRPr="00405D72">
              <w:t>Amounts payable to government agencies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FFE98E7" w14:textId="77777777" w:rsidR="00FA7EBF" w:rsidRPr="007939DD" w:rsidRDefault="00FA7EBF" w:rsidP="007B207C">
            <w:pPr>
              <w:pStyle w:val="ARfintablebodyright"/>
              <w:rPr>
                <w:lang w:eastAsia="en-AU"/>
              </w:rPr>
            </w:pPr>
            <w:r w:rsidRPr="00405D72">
              <w:t>766.8</w:t>
            </w:r>
          </w:p>
        </w:tc>
        <w:tc>
          <w:tcPr>
            <w:tcW w:w="1134" w:type="dxa"/>
            <w:tcBorders>
              <w:top w:val="single" w:sz="4" w:space="0" w:color="A6A6A6" w:themeColor="background1" w:themeShade="A6"/>
              <w:bottom w:val="single" w:sz="4" w:space="0" w:color="A6A6A6" w:themeColor="background1" w:themeShade="A6"/>
            </w:tcBorders>
          </w:tcPr>
          <w:p w14:paraId="053CAB6A" w14:textId="77777777" w:rsidR="00FA7EBF" w:rsidRPr="007939DD" w:rsidRDefault="00FA7EBF" w:rsidP="007B207C">
            <w:pPr>
              <w:pStyle w:val="ARfintablebodyright"/>
              <w:rPr>
                <w:lang w:eastAsia="en-AU"/>
              </w:rPr>
            </w:pPr>
            <w:r w:rsidRPr="00405D72">
              <w:t>604.3</w:t>
            </w:r>
          </w:p>
        </w:tc>
      </w:tr>
      <w:tr w:rsidR="00FA7EBF" w:rsidRPr="007939DD" w14:paraId="184DFB09" w14:textId="77777777" w:rsidTr="007B207C">
        <w:trPr>
          <w:cantSplit/>
        </w:trPr>
        <w:tc>
          <w:tcPr>
            <w:tcW w:w="7371" w:type="dxa"/>
            <w:tcBorders>
              <w:top w:val="single" w:sz="4" w:space="0" w:color="A6A6A6" w:themeColor="background1" w:themeShade="A6"/>
            </w:tcBorders>
          </w:tcPr>
          <w:p w14:paraId="3006C889" w14:textId="77777777" w:rsidR="00FA7EBF" w:rsidRPr="007939DD" w:rsidRDefault="00FA7EBF" w:rsidP="007B207C">
            <w:pPr>
              <w:pStyle w:val="ARfintablebody"/>
              <w:rPr>
                <w:lang w:eastAsia="en-AU"/>
              </w:rPr>
            </w:pPr>
            <w:r w:rsidRPr="00405D72">
              <w:t>Other</w:t>
            </w:r>
          </w:p>
        </w:tc>
        <w:tc>
          <w:tcPr>
            <w:tcW w:w="1134" w:type="dxa"/>
            <w:tcBorders>
              <w:top w:val="single" w:sz="4" w:space="0" w:color="A6A6A6" w:themeColor="background1" w:themeShade="A6"/>
            </w:tcBorders>
            <w:shd w:val="clear" w:color="auto" w:fill="E7E6E6"/>
          </w:tcPr>
          <w:p w14:paraId="0F480EA2" w14:textId="77777777" w:rsidR="00FA7EBF" w:rsidRPr="007939DD" w:rsidRDefault="00FA7EBF" w:rsidP="007B207C">
            <w:pPr>
              <w:pStyle w:val="ARfintablebodyright"/>
              <w:rPr>
                <w:lang w:eastAsia="en-AU"/>
              </w:rPr>
            </w:pPr>
            <w:r w:rsidRPr="00405D72">
              <w:t>0.8</w:t>
            </w:r>
          </w:p>
        </w:tc>
        <w:tc>
          <w:tcPr>
            <w:tcW w:w="1134" w:type="dxa"/>
            <w:tcBorders>
              <w:top w:val="single" w:sz="4" w:space="0" w:color="A6A6A6" w:themeColor="background1" w:themeShade="A6"/>
            </w:tcBorders>
          </w:tcPr>
          <w:p w14:paraId="5A660EAD" w14:textId="77777777" w:rsidR="00FA7EBF" w:rsidRPr="007939DD" w:rsidRDefault="00FA7EBF" w:rsidP="007B207C">
            <w:pPr>
              <w:pStyle w:val="ARfintablebodyright"/>
              <w:rPr>
                <w:lang w:eastAsia="en-AU"/>
              </w:rPr>
            </w:pPr>
            <w:r w:rsidRPr="00405D72">
              <w:t>0.8</w:t>
            </w:r>
          </w:p>
        </w:tc>
      </w:tr>
      <w:tr w:rsidR="00FA7EBF" w:rsidRPr="007939DD" w14:paraId="362519D5" w14:textId="77777777" w:rsidTr="007B207C">
        <w:trPr>
          <w:cantSplit/>
        </w:trPr>
        <w:tc>
          <w:tcPr>
            <w:tcW w:w="7371" w:type="dxa"/>
          </w:tcPr>
          <w:p w14:paraId="02A4493D" w14:textId="77777777" w:rsidR="00FA7EBF" w:rsidRPr="007939DD" w:rsidRDefault="00FA7EBF" w:rsidP="007B207C">
            <w:pPr>
              <w:pStyle w:val="ARfintablebodybold"/>
              <w:rPr>
                <w:rStyle w:val="Strong"/>
              </w:rPr>
            </w:pPr>
            <w:r w:rsidRPr="00405D72">
              <w:t>Total non-current payables</w:t>
            </w:r>
          </w:p>
        </w:tc>
        <w:tc>
          <w:tcPr>
            <w:tcW w:w="1134" w:type="dxa"/>
            <w:shd w:val="clear" w:color="auto" w:fill="E7E6E6"/>
          </w:tcPr>
          <w:p w14:paraId="739A48C7" w14:textId="77777777" w:rsidR="00FA7EBF" w:rsidRPr="007939DD" w:rsidRDefault="00FA7EBF" w:rsidP="007B207C">
            <w:pPr>
              <w:pStyle w:val="ARfintablebodyrightbold"/>
              <w:rPr>
                <w:rStyle w:val="Strong"/>
              </w:rPr>
            </w:pPr>
            <w:r w:rsidRPr="00405D72">
              <w:t>767.5</w:t>
            </w:r>
          </w:p>
        </w:tc>
        <w:tc>
          <w:tcPr>
            <w:tcW w:w="1134" w:type="dxa"/>
          </w:tcPr>
          <w:p w14:paraId="00E6ED2A" w14:textId="77777777" w:rsidR="00FA7EBF" w:rsidRPr="007939DD" w:rsidRDefault="00FA7EBF" w:rsidP="007B207C">
            <w:pPr>
              <w:pStyle w:val="ARfintablebodyrightbold"/>
              <w:rPr>
                <w:rStyle w:val="Strong"/>
              </w:rPr>
            </w:pPr>
            <w:r w:rsidRPr="00405D72">
              <w:t>605.1</w:t>
            </w:r>
          </w:p>
        </w:tc>
      </w:tr>
      <w:tr w:rsidR="00FA7EBF" w:rsidRPr="007939DD" w14:paraId="58562AC9" w14:textId="77777777" w:rsidTr="007B207C">
        <w:trPr>
          <w:cantSplit/>
        </w:trPr>
        <w:tc>
          <w:tcPr>
            <w:tcW w:w="7371" w:type="dxa"/>
          </w:tcPr>
          <w:p w14:paraId="485CD559" w14:textId="77777777" w:rsidR="00FA7EBF" w:rsidRPr="007939DD" w:rsidRDefault="00FA7EBF" w:rsidP="007B207C">
            <w:pPr>
              <w:pStyle w:val="ARfintablebodybold"/>
              <w:rPr>
                <w:lang w:eastAsia="en-AU"/>
              </w:rPr>
            </w:pPr>
            <w:r w:rsidRPr="00405D72">
              <w:t>Total payables</w:t>
            </w:r>
          </w:p>
        </w:tc>
        <w:tc>
          <w:tcPr>
            <w:tcW w:w="1134" w:type="dxa"/>
            <w:shd w:val="clear" w:color="auto" w:fill="E7E6E6"/>
          </w:tcPr>
          <w:p w14:paraId="2C719BE3" w14:textId="77777777" w:rsidR="00FA7EBF" w:rsidRPr="007939DD" w:rsidRDefault="00FA7EBF" w:rsidP="007B207C">
            <w:pPr>
              <w:pStyle w:val="ARfintablebodyrightbold"/>
              <w:rPr>
                <w:lang w:eastAsia="en-AU"/>
              </w:rPr>
            </w:pPr>
            <w:r w:rsidRPr="00405D72">
              <w:t>1,513.7</w:t>
            </w:r>
          </w:p>
        </w:tc>
        <w:tc>
          <w:tcPr>
            <w:tcW w:w="1134" w:type="dxa"/>
          </w:tcPr>
          <w:p w14:paraId="1D76242A" w14:textId="77777777" w:rsidR="00FA7EBF" w:rsidRPr="007939DD" w:rsidRDefault="00FA7EBF" w:rsidP="007B207C">
            <w:pPr>
              <w:pStyle w:val="ARfintablebodyrightbold"/>
              <w:rPr>
                <w:rStyle w:val="Strong"/>
              </w:rPr>
            </w:pPr>
            <w:r w:rsidRPr="00405D72">
              <w:t>1,343.1</w:t>
            </w:r>
          </w:p>
        </w:tc>
      </w:tr>
    </w:tbl>
    <w:p w14:paraId="7CB43E74" w14:textId="77777777" w:rsidR="00FA7EBF" w:rsidRPr="00194D78" w:rsidRDefault="00FA7EBF" w:rsidP="00CA66FD">
      <w:pPr>
        <w:pStyle w:val="ARfinbodyaftertable"/>
      </w:pPr>
      <w:r w:rsidRPr="00194D78">
        <w:t>Payables consist of:</w:t>
      </w:r>
    </w:p>
    <w:p w14:paraId="29CCD563" w14:textId="0B77FDA7" w:rsidR="00FA7EBF" w:rsidRPr="0068451A" w:rsidRDefault="00FA7EBF" w:rsidP="00CA66FD">
      <w:pPr>
        <w:pStyle w:val="ARfinbullet1"/>
        <w:numPr>
          <w:ilvl w:val="0"/>
          <w:numId w:val="4"/>
        </w:numPr>
      </w:pPr>
      <w:r w:rsidRPr="00B82ED9">
        <w:rPr>
          <w:rStyle w:val="Strong"/>
          <w:bCs w:val="0"/>
        </w:rPr>
        <w:t>contractual payables</w:t>
      </w:r>
      <w:r w:rsidRPr="00194D78">
        <w:t>, classified as financial instrum</w:t>
      </w:r>
      <w:r w:rsidRPr="0068451A">
        <w:t>ents and measured at amortised cost. Accounts payable represent liabilities for</w:t>
      </w:r>
      <w:r w:rsidR="00B33865">
        <w:t> </w:t>
      </w:r>
      <w:r w:rsidRPr="0068451A">
        <w:t>goods and services provided to the department prior to the end of the reporting period that are unpaid</w:t>
      </w:r>
      <w:r>
        <w:t>,</w:t>
      </w:r>
      <w:r w:rsidRPr="0068451A">
        <w:t xml:space="preserve"> and</w:t>
      </w:r>
    </w:p>
    <w:p w14:paraId="32230A83" w14:textId="77777777" w:rsidR="00FA7EBF" w:rsidRDefault="00FA7EBF" w:rsidP="00CA66FD">
      <w:pPr>
        <w:pStyle w:val="ARfinbullet1"/>
        <w:numPr>
          <w:ilvl w:val="0"/>
          <w:numId w:val="4"/>
        </w:numPr>
      </w:pPr>
      <w:r w:rsidRPr="00097E08">
        <w:rPr>
          <w:rStyle w:val="Strong"/>
          <w:bCs w:val="0"/>
        </w:rPr>
        <w:t>statutory payables</w:t>
      </w:r>
      <w:r w:rsidRPr="0068451A">
        <w:t>, that are recognised and measured</w:t>
      </w:r>
      <w:r w:rsidRPr="00194D78">
        <w:t xml:space="preserve"> similarly to contractual payables, but are not classified as financial instruments and are not included in financial liabilities at amortised cost, because they do not arise from a contract.</w:t>
      </w:r>
    </w:p>
    <w:p w14:paraId="05570B60" w14:textId="77777777" w:rsidR="00FA7EBF" w:rsidRDefault="00FA7EBF" w:rsidP="00CA66FD">
      <w:pPr>
        <w:pStyle w:val="ARfinbody"/>
      </w:pPr>
      <w:r w:rsidRPr="00194D78">
        <w:t>Payables for supplies and services have an average credit period of 30 days.</w:t>
      </w:r>
    </w:p>
    <w:p w14:paraId="775C15CC" w14:textId="77777777" w:rsidR="00FA7EBF" w:rsidRPr="00194D78" w:rsidRDefault="00FA7EBF" w:rsidP="00CA66FD">
      <w:pPr>
        <w:pStyle w:val="ARfinbody"/>
      </w:pPr>
      <w:r w:rsidRPr="00194D78">
        <w:t>The terms and conditions of amounts payable to the government and agencies vary according to the particular agreements and as they are not legislative payables, they are not classified as financial instruments.</w:t>
      </w:r>
    </w:p>
    <w:p w14:paraId="22BD2E98" w14:textId="77777777" w:rsidR="00FA7EBF" w:rsidRPr="00194D78" w:rsidRDefault="00FA7EBF" w:rsidP="00CA66FD">
      <w:pPr>
        <w:pStyle w:val="ARfinbody"/>
      </w:pPr>
      <w:r w:rsidRPr="00194D78">
        <w:t>The value of loans and other amounts guaranteed by the Treasurer is disclosed as contingent liabilities.</w:t>
      </w:r>
    </w:p>
    <w:p w14:paraId="4EB13DE2" w14:textId="77777777" w:rsidR="00FA7EBF" w:rsidRDefault="00FA7EBF" w:rsidP="00CA66FD">
      <w:pPr>
        <w:pStyle w:val="Heading5"/>
        <w:rPr>
          <w:rStyle w:val="Superscript"/>
        </w:rPr>
      </w:pPr>
      <w:r w:rsidRPr="00194D78">
        <w:rPr>
          <w:lang w:eastAsia="en-AU"/>
        </w:rPr>
        <w:t xml:space="preserve">6.4.1 Maturity analysis of contractual payables </w:t>
      </w:r>
      <w:r w:rsidRPr="0068451A">
        <w:rPr>
          <w:rStyle w:val="Superscript"/>
        </w:rPr>
        <w:t>(i)</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520"/>
        <w:gridCol w:w="1017"/>
        <w:gridCol w:w="1017"/>
        <w:gridCol w:w="1017"/>
        <w:gridCol w:w="1017"/>
        <w:gridCol w:w="1017"/>
        <w:gridCol w:w="1017"/>
        <w:gridCol w:w="1017"/>
      </w:tblGrid>
      <w:tr w:rsidR="00FA7EBF" w:rsidRPr="007939DD" w14:paraId="2C87A3AA" w14:textId="77777777" w:rsidTr="007B207C">
        <w:trPr>
          <w:cantSplit/>
          <w:tblHeader/>
        </w:trPr>
        <w:tc>
          <w:tcPr>
            <w:tcW w:w="2520" w:type="dxa"/>
            <w:vMerge w:val="restart"/>
            <w:vAlign w:val="bottom"/>
          </w:tcPr>
          <w:p w14:paraId="009FD794" w14:textId="77777777" w:rsidR="00FA7EBF" w:rsidRPr="007939DD" w:rsidRDefault="00FA7EBF" w:rsidP="007B207C">
            <w:pPr>
              <w:pStyle w:val="ARfintablecolhead"/>
            </w:pPr>
          </w:p>
        </w:tc>
        <w:tc>
          <w:tcPr>
            <w:tcW w:w="1017" w:type="dxa"/>
            <w:vMerge w:val="restart"/>
            <w:vAlign w:val="bottom"/>
          </w:tcPr>
          <w:p w14:paraId="0F1DFF64" w14:textId="77777777" w:rsidR="00FA7EBF" w:rsidRPr="007939DD" w:rsidRDefault="00FA7EBF" w:rsidP="007B207C">
            <w:pPr>
              <w:pStyle w:val="ARfintablecolheadright"/>
            </w:pPr>
            <w:r w:rsidRPr="007939DD">
              <w:t>Carrying amount</w:t>
            </w:r>
          </w:p>
          <w:p w14:paraId="0CDB62C5" w14:textId="77777777" w:rsidR="00FA7EBF" w:rsidRPr="007939DD" w:rsidRDefault="00FA7EBF" w:rsidP="007B207C">
            <w:pPr>
              <w:pStyle w:val="ARfintablecolheadright"/>
            </w:pPr>
            <w:r w:rsidRPr="007939DD">
              <w:t>$M</w:t>
            </w:r>
          </w:p>
        </w:tc>
        <w:tc>
          <w:tcPr>
            <w:tcW w:w="1017" w:type="dxa"/>
            <w:vMerge w:val="restart"/>
            <w:vAlign w:val="bottom"/>
          </w:tcPr>
          <w:p w14:paraId="5768CA76" w14:textId="77777777" w:rsidR="00FA7EBF" w:rsidRPr="007939DD" w:rsidRDefault="00FA7EBF" w:rsidP="007B207C">
            <w:pPr>
              <w:pStyle w:val="ARfintablecolheadright"/>
            </w:pPr>
            <w:r w:rsidRPr="007939DD">
              <w:t>Nominal</w:t>
            </w:r>
            <w:r w:rsidRPr="007939DD">
              <w:br/>
              <w:t>amount</w:t>
            </w:r>
          </w:p>
          <w:p w14:paraId="6A2BFD79" w14:textId="77777777" w:rsidR="00FA7EBF" w:rsidRPr="007939DD" w:rsidRDefault="00FA7EBF" w:rsidP="007B207C">
            <w:pPr>
              <w:pStyle w:val="ARfintablecolheadright"/>
            </w:pPr>
            <w:r w:rsidRPr="007939DD">
              <w:t>$M</w:t>
            </w:r>
          </w:p>
        </w:tc>
        <w:tc>
          <w:tcPr>
            <w:tcW w:w="5085" w:type="dxa"/>
            <w:gridSpan w:val="5"/>
            <w:vAlign w:val="bottom"/>
          </w:tcPr>
          <w:p w14:paraId="34A802FE" w14:textId="77777777" w:rsidR="00FA7EBF" w:rsidRPr="007939DD" w:rsidRDefault="00FA7EBF" w:rsidP="007B207C">
            <w:pPr>
              <w:pStyle w:val="ARfintablecolheadcentre"/>
            </w:pPr>
            <w:r w:rsidRPr="007939DD">
              <w:t>Maturity dates</w:t>
            </w:r>
          </w:p>
        </w:tc>
      </w:tr>
      <w:tr w:rsidR="00FA7EBF" w:rsidRPr="007939DD" w14:paraId="547848B8" w14:textId="77777777" w:rsidTr="007B207C">
        <w:trPr>
          <w:cantSplit/>
          <w:tblHeader/>
        </w:trPr>
        <w:tc>
          <w:tcPr>
            <w:tcW w:w="2520" w:type="dxa"/>
            <w:vMerge/>
            <w:vAlign w:val="bottom"/>
          </w:tcPr>
          <w:p w14:paraId="6A9E7EFB" w14:textId="77777777" w:rsidR="00FA7EBF" w:rsidRPr="007939DD" w:rsidRDefault="00FA7EBF" w:rsidP="007B207C">
            <w:pPr>
              <w:autoSpaceDE w:val="0"/>
              <w:autoSpaceDN w:val="0"/>
              <w:adjustRightInd w:val="0"/>
              <w:spacing w:beforeLines="40" w:before="96" w:afterLines="20" w:after="48"/>
              <w:rPr>
                <w:rFonts w:cs="Arial"/>
                <w:b/>
                <w:bCs/>
                <w:color w:val="000000"/>
                <w:sz w:val="16"/>
                <w:szCs w:val="16"/>
              </w:rPr>
            </w:pPr>
          </w:p>
        </w:tc>
        <w:tc>
          <w:tcPr>
            <w:tcW w:w="1017" w:type="dxa"/>
            <w:vMerge/>
            <w:vAlign w:val="bottom"/>
          </w:tcPr>
          <w:p w14:paraId="5D7A554C" w14:textId="77777777" w:rsidR="00FA7EBF" w:rsidRPr="007939DD" w:rsidRDefault="00FA7EBF" w:rsidP="007B207C">
            <w:pPr>
              <w:autoSpaceDE w:val="0"/>
              <w:autoSpaceDN w:val="0"/>
              <w:adjustRightInd w:val="0"/>
              <w:spacing w:beforeLines="40" w:before="96" w:afterLines="20" w:after="48"/>
              <w:jc w:val="right"/>
              <w:rPr>
                <w:rFonts w:cs="Arial"/>
                <w:b/>
                <w:bCs/>
                <w:color w:val="000000"/>
                <w:sz w:val="16"/>
                <w:szCs w:val="16"/>
              </w:rPr>
            </w:pPr>
          </w:p>
        </w:tc>
        <w:tc>
          <w:tcPr>
            <w:tcW w:w="1017" w:type="dxa"/>
            <w:vMerge/>
            <w:vAlign w:val="bottom"/>
          </w:tcPr>
          <w:p w14:paraId="392736F3" w14:textId="77777777" w:rsidR="00FA7EBF" w:rsidRPr="007939DD" w:rsidRDefault="00FA7EBF" w:rsidP="007B207C">
            <w:pPr>
              <w:autoSpaceDE w:val="0"/>
              <w:autoSpaceDN w:val="0"/>
              <w:adjustRightInd w:val="0"/>
              <w:spacing w:beforeLines="40" w:before="96" w:afterLines="20" w:after="48"/>
              <w:jc w:val="right"/>
              <w:rPr>
                <w:rFonts w:cs="Arial"/>
                <w:b/>
                <w:bCs/>
                <w:color w:val="000000"/>
                <w:sz w:val="16"/>
                <w:szCs w:val="16"/>
              </w:rPr>
            </w:pPr>
          </w:p>
        </w:tc>
        <w:tc>
          <w:tcPr>
            <w:tcW w:w="1017" w:type="dxa"/>
            <w:vAlign w:val="bottom"/>
          </w:tcPr>
          <w:p w14:paraId="3073E929" w14:textId="77777777" w:rsidR="00FA7EBF" w:rsidRPr="007939DD" w:rsidRDefault="00FA7EBF" w:rsidP="007B207C">
            <w:pPr>
              <w:pStyle w:val="ARfintablecolheadright"/>
            </w:pPr>
            <w:r w:rsidRPr="007939DD">
              <w:t xml:space="preserve">Less than </w:t>
            </w:r>
            <w:r w:rsidRPr="007939DD">
              <w:br/>
              <w:t>1 month</w:t>
            </w:r>
          </w:p>
          <w:p w14:paraId="69C49E69" w14:textId="77777777" w:rsidR="00FA7EBF" w:rsidRPr="007939DD" w:rsidRDefault="00FA7EBF" w:rsidP="007B207C">
            <w:pPr>
              <w:pStyle w:val="ARfintablecolheadright"/>
            </w:pPr>
            <w:r w:rsidRPr="007939DD">
              <w:t>$M</w:t>
            </w:r>
          </w:p>
        </w:tc>
        <w:tc>
          <w:tcPr>
            <w:tcW w:w="1017" w:type="dxa"/>
            <w:vAlign w:val="bottom"/>
          </w:tcPr>
          <w:p w14:paraId="36FE1E27" w14:textId="77777777" w:rsidR="00FA7EBF" w:rsidRPr="007939DD" w:rsidRDefault="00FA7EBF" w:rsidP="007B207C">
            <w:pPr>
              <w:pStyle w:val="ARfintablecolheadright"/>
            </w:pPr>
            <w:r w:rsidRPr="007939DD">
              <w:t xml:space="preserve">1–3 </w:t>
            </w:r>
            <w:r w:rsidRPr="007939DD">
              <w:br/>
              <w:t>months</w:t>
            </w:r>
          </w:p>
          <w:p w14:paraId="4DD7893F" w14:textId="77777777" w:rsidR="00FA7EBF" w:rsidRPr="007939DD" w:rsidRDefault="00FA7EBF" w:rsidP="007B207C">
            <w:pPr>
              <w:pStyle w:val="ARfintablecolheadright"/>
            </w:pPr>
            <w:r w:rsidRPr="007939DD">
              <w:t>$M</w:t>
            </w:r>
          </w:p>
        </w:tc>
        <w:tc>
          <w:tcPr>
            <w:tcW w:w="1017" w:type="dxa"/>
            <w:vAlign w:val="bottom"/>
          </w:tcPr>
          <w:p w14:paraId="60B90FE0" w14:textId="77777777" w:rsidR="00FA7EBF" w:rsidRPr="007939DD" w:rsidRDefault="00FA7EBF" w:rsidP="007B207C">
            <w:pPr>
              <w:pStyle w:val="ARfintablecolheadright"/>
            </w:pPr>
            <w:r w:rsidRPr="007939DD">
              <w:t>3 months –1 year</w:t>
            </w:r>
          </w:p>
          <w:p w14:paraId="36A2E3FC" w14:textId="77777777" w:rsidR="00FA7EBF" w:rsidRPr="007939DD" w:rsidRDefault="00FA7EBF" w:rsidP="007B207C">
            <w:pPr>
              <w:pStyle w:val="ARfintablecolheadright"/>
            </w:pPr>
            <w:r w:rsidRPr="007939DD">
              <w:t>$M</w:t>
            </w:r>
          </w:p>
        </w:tc>
        <w:tc>
          <w:tcPr>
            <w:tcW w:w="1017" w:type="dxa"/>
            <w:vAlign w:val="bottom"/>
          </w:tcPr>
          <w:p w14:paraId="22110BB2" w14:textId="77777777" w:rsidR="00FA7EBF" w:rsidRPr="007939DD" w:rsidRDefault="00FA7EBF" w:rsidP="007B207C">
            <w:pPr>
              <w:pStyle w:val="ARfintablecolheadright"/>
            </w:pPr>
            <w:r w:rsidRPr="007939DD">
              <w:t xml:space="preserve">1–5 </w:t>
            </w:r>
            <w:r w:rsidRPr="007939DD">
              <w:br/>
              <w:t>years</w:t>
            </w:r>
          </w:p>
          <w:p w14:paraId="02FA7AA4" w14:textId="77777777" w:rsidR="00FA7EBF" w:rsidRPr="007939DD" w:rsidRDefault="00FA7EBF" w:rsidP="007B207C">
            <w:pPr>
              <w:pStyle w:val="ARfintablecolheadright"/>
            </w:pPr>
            <w:r w:rsidRPr="007939DD">
              <w:t>$M</w:t>
            </w:r>
          </w:p>
        </w:tc>
        <w:tc>
          <w:tcPr>
            <w:tcW w:w="1017" w:type="dxa"/>
          </w:tcPr>
          <w:p w14:paraId="5E3FAA49" w14:textId="77777777" w:rsidR="00FA7EBF" w:rsidRPr="007939DD" w:rsidRDefault="00FA7EBF" w:rsidP="007B207C">
            <w:pPr>
              <w:pStyle w:val="ARfintablecolheadright"/>
            </w:pPr>
            <w:r w:rsidRPr="007939DD">
              <w:t xml:space="preserve">5+ </w:t>
            </w:r>
            <w:r w:rsidRPr="007939DD">
              <w:br/>
              <w:t>years</w:t>
            </w:r>
          </w:p>
          <w:p w14:paraId="4B74A204" w14:textId="77777777" w:rsidR="00FA7EBF" w:rsidRPr="007939DD" w:rsidRDefault="00FA7EBF" w:rsidP="007B207C">
            <w:pPr>
              <w:pStyle w:val="ARfintablecolheadright"/>
            </w:pPr>
            <w:r w:rsidRPr="007939DD">
              <w:t>$M</w:t>
            </w:r>
          </w:p>
        </w:tc>
      </w:tr>
      <w:tr w:rsidR="00FA7EBF" w:rsidRPr="007939DD" w14:paraId="5487606E" w14:textId="77777777" w:rsidTr="007B207C">
        <w:trPr>
          <w:cantSplit/>
        </w:trPr>
        <w:tc>
          <w:tcPr>
            <w:tcW w:w="9639" w:type="dxa"/>
            <w:gridSpan w:val="8"/>
            <w:tcBorders>
              <w:bottom w:val="single" w:sz="4" w:space="0" w:color="A6A6A6" w:themeColor="background1" w:themeShade="A6"/>
            </w:tcBorders>
          </w:tcPr>
          <w:p w14:paraId="258AAFCF" w14:textId="77777777" w:rsidR="00FA7EBF" w:rsidRPr="007939DD" w:rsidRDefault="00FA7EBF" w:rsidP="007B207C">
            <w:pPr>
              <w:pStyle w:val="ARfintablebodybold"/>
              <w:rPr>
                <w:lang w:eastAsia="en-AU"/>
              </w:rPr>
            </w:pPr>
            <w:r w:rsidRPr="00B12086">
              <w:t>2019</w:t>
            </w:r>
          </w:p>
        </w:tc>
      </w:tr>
      <w:tr w:rsidR="00FA7EBF" w:rsidRPr="007939DD" w14:paraId="1D203FD7" w14:textId="77777777" w:rsidTr="007B207C">
        <w:trPr>
          <w:cantSplit/>
        </w:trPr>
        <w:tc>
          <w:tcPr>
            <w:tcW w:w="2520" w:type="dxa"/>
            <w:tcBorders>
              <w:top w:val="single" w:sz="4" w:space="0" w:color="A6A6A6" w:themeColor="background1" w:themeShade="A6"/>
            </w:tcBorders>
          </w:tcPr>
          <w:p w14:paraId="688B39B2" w14:textId="77777777" w:rsidR="00FA7EBF" w:rsidRPr="007939DD" w:rsidRDefault="00FA7EBF" w:rsidP="007B207C">
            <w:pPr>
              <w:pStyle w:val="ARfintablebody"/>
              <w:rPr>
                <w:lang w:eastAsia="en-AU"/>
              </w:rPr>
            </w:pPr>
            <w:r w:rsidRPr="00B12086">
              <w:t>Payables</w:t>
            </w:r>
          </w:p>
        </w:tc>
        <w:tc>
          <w:tcPr>
            <w:tcW w:w="1017" w:type="dxa"/>
            <w:tcBorders>
              <w:top w:val="single" w:sz="4" w:space="0" w:color="A6A6A6" w:themeColor="background1" w:themeShade="A6"/>
            </w:tcBorders>
          </w:tcPr>
          <w:p w14:paraId="4031446B" w14:textId="77777777" w:rsidR="00FA7EBF" w:rsidRPr="007939DD" w:rsidRDefault="00FA7EBF" w:rsidP="007B207C">
            <w:pPr>
              <w:pStyle w:val="ARfintablebodyright"/>
              <w:rPr>
                <w:lang w:eastAsia="en-AU"/>
              </w:rPr>
            </w:pPr>
            <w:r w:rsidRPr="00B12086">
              <w:t>1,513.5</w:t>
            </w:r>
          </w:p>
        </w:tc>
        <w:tc>
          <w:tcPr>
            <w:tcW w:w="1017" w:type="dxa"/>
            <w:tcBorders>
              <w:top w:val="single" w:sz="4" w:space="0" w:color="A6A6A6" w:themeColor="background1" w:themeShade="A6"/>
            </w:tcBorders>
          </w:tcPr>
          <w:p w14:paraId="3D1AA625" w14:textId="77777777" w:rsidR="00FA7EBF" w:rsidRPr="007939DD" w:rsidRDefault="00FA7EBF" w:rsidP="007B207C">
            <w:pPr>
              <w:pStyle w:val="ARfintablebodyright"/>
              <w:rPr>
                <w:lang w:eastAsia="en-AU"/>
              </w:rPr>
            </w:pPr>
            <w:r w:rsidRPr="00B12086">
              <w:t>1,513.5</w:t>
            </w:r>
          </w:p>
        </w:tc>
        <w:tc>
          <w:tcPr>
            <w:tcW w:w="1017" w:type="dxa"/>
            <w:tcBorders>
              <w:top w:val="single" w:sz="4" w:space="0" w:color="A6A6A6" w:themeColor="background1" w:themeShade="A6"/>
            </w:tcBorders>
          </w:tcPr>
          <w:p w14:paraId="4264BB26" w14:textId="77777777" w:rsidR="00FA7EBF" w:rsidRPr="007939DD" w:rsidRDefault="00FA7EBF" w:rsidP="007B207C">
            <w:pPr>
              <w:pStyle w:val="ARfintablebodyright"/>
              <w:rPr>
                <w:lang w:eastAsia="en-AU"/>
              </w:rPr>
            </w:pPr>
            <w:r w:rsidRPr="00B12086">
              <w:t>630.3</w:t>
            </w:r>
          </w:p>
        </w:tc>
        <w:tc>
          <w:tcPr>
            <w:tcW w:w="1017" w:type="dxa"/>
            <w:tcBorders>
              <w:top w:val="single" w:sz="4" w:space="0" w:color="A6A6A6" w:themeColor="background1" w:themeShade="A6"/>
            </w:tcBorders>
          </w:tcPr>
          <w:p w14:paraId="2D6C7540" w14:textId="77777777" w:rsidR="00FA7EBF" w:rsidRPr="007939DD" w:rsidRDefault="00FA7EBF" w:rsidP="007B207C">
            <w:pPr>
              <w:pStyle w:val="ARfintablebodyright"/>
              <w:rPr>
                <w:lang w:eastAsia="en-AU"/>
              </w:rPr>
            </w:pPr>
            <w:r w:rsidRPr="00B12086">
              <w:t>70.1</w:t>
            </w:r>
          </w:p>
        </w:tc>
        <w:tc>
          <w:tcPr>
            <w:tcW w:w="1017" w:type="dxa"/>
            <w:tcBorders>
              <w:top w:val="single" w:sz="4" w:space="0" w:color="A6A6A6" w:themeColor="background1" w:themeShade="A6"/>
            </w:tcBorders>
          </w:tcPr>
          <w:p w14:paraId="34DAE6ED" w14:textId="77777777" w:rsidR="00FA7EBF" w:rsidRPr="007939DD" w:rsidRDefault="00FA7EBF" w:rsidP="007B207C">
            <w:pPr>
              <w:pStyle w:val="ARfintablebodyright"/>
              <w:rPr>
                <w:lang w:eastAsia="en-AU"/>
              </w:rPr>
            </w:pPr>
            <w:r w:rsidRPr="00B12086">
              <w:t>27.8</w:t>
            </w:r>
          </w:p>
        </w:tc>
        <w:tc>
          <w:tcPr>
            <w:tcW w:w="1017" w:type="dxa"/>
            <w:tcBorders>
              <w:top w:val="single" w:sz="4" w:space="0" w:color="A6A6A6" w:themeColor="background1" w:themeShade="A6"/>
            </w:tcBorders>
          </w:tcPr>
          <w:p w14:paraId="4CD9E14C" w14:textId="77777777" w:rsidR="00FA7EBF" w:rsidRPr="007939DD" w:rsidRDefault="00FA7EBF" w:rsidP="007B207C">
            <w:pPr>
              <w:pStyle w:val="ARfintablebodyright"/>
              <w:rPr>
                <w:lang w:eastAsia="en-AU"/>
              </w:rPr>
            </w:pPr>
            <w:r w:rsidRPr="00B12086">
              <w:t>1.1</w:t>
            </w:r>
          </w:p>
        </w:tc>
        <w:tc>
          <w:tcPr>
            <w:tcW w:w="1017" w:type="dxa"/>
            <w:tcBorders>
              <w:top w:val="single" w:sz="4" w:space="0" w:color="A6A6A6" w:themeColor="background1" w:themeShade="A6"/>
            </w:tcBorders>
          </w:tcPr>
          <w:p w14:paraId="5DA4FA39" w14:textId="77777777" w:rsidR="00FA7EBF" w:rsidRPr="007939DD" w:rsidRDefault="00FA7EBF" w:rsidP="007B207C">
            <w:pPr>
              <w:pStyle w:val="ARfintablebodyright"/>
              <w:rPr>
                <w:lang w:eastAsia="en-AU"/>
              </w:rPr>
            </w:pPr>
            <w:r w:rsidRPr="00B12086">
              <w:t>784.2</w:t>
            </w:r>
          </w:p>
        </w:tc>
      </w:tr>
      <w:tr w:rsidR="00FA7EBF" w:rsidRPr="007939DD" w14:paraId="4DCBE224" w14:textId="77777777" w:rsidTr="007B207C">
        <w:trPr>
          <w:cantSplit/>
        </w:trPr>
        <w:tc>
          <w:tcPr>
            <w:tcW w:w="2520" w:type="dxa"/>
          </w:tcPr>
          <w:p w14:paraId="793DDA7E" w14:textId="77777777" w:rsidR="00FA7EBF" w:rsidRPr="007939DD" w:rsidRDefault="00FA7EBF" w:rsidP="007B207C">
            <w:pPr>
              <w:pStyle w:val="ARfintablebodybold"/>
              <w:rPr>
                <w:lang w:eastAsia="en-AU"/>
              </w:rPr>
            </w:pPr>
            <w:r w:rsidRPr="00B12086">
              <w:t>Total</w:t>
            </w:r>
          </w:p>
        </w:tc>
        <w:tc>
          <w:tcPr>
            <w:tcW w:w="1017" w:type="dxa"/>
          </w:tcPr>
          <w:p w14:paraId="54F4073D" w14:textId="77777777" w:rsidR="00FA7EBF" w:rsidRPr="007939DD" w:rsidRDefault="00FA7EBF" w:rsidP="007B207C">
            <w:pPr>
              <w:pStyle w:val="ARfintablebodyrightbold"/>
              <w:rPr>
                <w:rStyle w:val="Strong"/>
              </w:rPr>
            </w:pPr>
            <w:r w:rsidRPr="00B12086">
              <w:t>1,513.5</w:t>
            </w:r>
          </w:p>
        </w:tc>
        <w:tc>
          <w:tcPr>
            <w:tcW w:w="1017" w:type="dxa"/>
          </w:tcPr>
          <w:p w14:paraId="30C6858E" w14:textId="77777777" w:rsidR="00FA7EBF" w:rsidRPr="007939DD" w:rsidRDefault="00FA7EBF" w:rsidP="007B207C">
            <w:pPr>
              <w:pStyle w:val="ARfintablebodyrightbold"/>
              <w:rPr>
                <w:rStyle w:val="Strong"/>
              </w:rPr>
            </w:pPr>
            <w:r w:rsidRPr="00B12086">
              <w:t>1,513.5</w:t>
            </w:r>
          </w:p>
        </w:tc>
        <w:tc>
          <w:tcPr>
            <w:tcW w:w="1017" w:type="dxa"/>
          </w:tcPr>
          <w:p w14:paraId="4AFE5C9F" w14:textId="77777777" w:rsidR="00FA7EBF" w:rsidRPr="007939DD" w:rsidRDefault="00FA7EBF" w:rsidP="007B207C">
            <w:pPr>
              <w:pStyle w:val="ARfintablebodyrightbold"/>
              <w:rPr>
                <w:rStyle w:val="Strong"/>
              </w:rPr>
            </w:pPr>
            <w:r w:rsidRPr="00B12086">
              <w:t>630.3</w:t>
            </w:r>
          </w:p>
        </w:tc>
        <w:tc>
          <w:tcPr>
            <w:tcW w:w="1017" w:type="dxa"/>
          </w:tcPr>
          <w:p w14:paraId="1B3416E8" w14:textId="77777777" w:rsidR="00FA7EBF" w:rsidRPr="007939DD" w:rsidRDefault="00FA7EBF" w:rsidP="007B207C">
            <w:pPr>
              <w:pStyle w:val="ARfintablebodyrightbold"/>
              <w:rPr>
                <w:rStyle w:val="Strong"/>
              </w:rPr>
            </w:pPr>
            <w:r w:rsidRPr="00B12086">
              <w:t>70.1</w:t>
            </w:r>
          </w:p>
        </w:tc>
        <w:tc>
          <w:tcPr>
            <w:tcW w:w="1017" w:type="dxa"/>
          </w:tcPr>
          <w:p w14:paraId="385F7F46" w14:textId="77777777" w:rsidR="00FA7EBF" w:rsidRPr="007939DD" w:rsidRDefault="00FA7EBF" w:rsidP="007B207C">
            <w:pPr>
              <w:pStyle w:val="ARfintablebodyrightbold"/>
              <w:rPr>
                <w:rStyle w:val="Strong"/>
              </w:rPr>
            </w:pPr>
            <w:r w:rsidRPr="00B12086">
              <w:t>27.8</w:t>
            </w:r>
          </w:p>
        </w:tc>
        <w:tc>
          <w:tcPr>
            <w:tcW w:w="1017" w:type="dxa"/>
          </w:tcPr>
          <w:p w14:paraId="42A274B9" w14:textId="77777777" w:rsidR="00FA7EBF" w:rsidRPr="007939DD" w:rsidRDefault="00FA7EBF" w:rsidP="007B207C">
            <w:pPr>
              <w:pStyle w:val="ARfintablebodyrightbold"/>
              <w:rPr>
                <w:rStyle w:val="Strong"/>
              </w:rPr>
            </w:pPr>
            <w:r w:rsidRPr="00B12086">
              <w:t>1.1</w:t>
            </w:r>
          </w:p>
        </w:tc>
        <w:tc>
          <w:tcPr>
            <w:tcW w:w="1017" w:type="dxa"/>
          </w:tcPr>
          <w:p w14:paraId="6D64C44E" w14:textId="77777777" w:rsidR="00FA7EBF" w:rsidRPr="007939DD" w:rsidRDefault="00FA7EBF" w:rsidP="007B207C">
            <w:pPr>
              <w:pStyle w:val="ARfintablebodyrightbold"/>
              <w:rPr>
                <w:rStyle w:val="Strong"/>
              </w:rPr>
            </w:pPr>
            <w:r w:rsidRPr="00B12086">
              <w:t>784.2</w:t>
            </w:r>
          </w:p>
        </w:tc>
      </w:tr>
      <w:tr w:rsidR="00FA7EBF" w:rsidRPr="007939DD" w14:paraId="5ED08298" w14:textId="77777777" w:rsidTr="007B207C">
        <w:trPr>
          <w:cantSplit/>
        </w:trPr>
        <w:tc>
          <w:tcPr>
            <w:tcW w:w="9639" w:type="dxa"/>
            <w:gridSpan w:val="8"/>
            <w:tcBorders>
              <w:bottom w:val="single" w:sz="4" w:space="0" w:color="A6A6A6" w:themeColor="background1" w:themeShade="A6"/>
            </w:tcBorders>
          </w:tcPr>
          <w:p w14:paraId="21AF5805" w14:textId="77777777" w:rsidR="00FA7EBF" w:rsidRPr="007939DD" w:rsidRDefault="00FA7EBF" w:rsidP="007B207C">
            <w:pPr>
              <w:pStyle w:val="ARfintablebodybold"/>
              <w:rPr>
                <w:lang w:eastAsia="en-AU"/>
              </w:rPr>
            </w:pPr>
            <w:r w:rsidRPr="00B12086">
              <w:t>2018</w:t>
            </w:r>
          </w:p>
        </w:tc>
      </w:tr>
      <w:tr w:rsidR="00FA7EBF" w:rsidRPr="007939DD" w14:paraId="6B099BED" w14:textId="77777777" w:rsidTr="007B207C">
        <w:trPr>
          <w:cantSplit/>
        </w:trPr>
        <w:tc>
          <w:tcPr>
            <w:tcW w:w="2520" w:type="dxa"/>
            <w:tcBorders>
              <w:top w:val="single" w:sz="4" w:space="0" w:color="A6A6A6" w:themeColor="background1" w:themeShade="A6"/>
            </w:tcBorders>
          </w:tcPr>
          <w:p w14:paraId="002EE5B4" w14:textId="77777777" w:rsidR="00FA7EBF" w:rsidRPr="007939DD" w:rsidRDefault="00FA7EBF" w:rsidP="007B207C">
            <w:pPr>
              <w:pStyle w:val="ARfintablebody"/>
              <w:rPr>
                <w:lang w:eastAsia="en-AU"/>
              </w:rPr>
            </w:pPr>
            <w:r w:rsidRPr="00B12086">
              <w:t>Payables</w:t>
            </w:r>
          </w:p>
        </w:tc>
        <w:tc>
          <w:tcPr>
            <w:tcW w:w="1017" w:type="dxa"/>
            <w:tcBorders>
              <w:top w:val="single" w:sz="4" w:space="0" w:color="A6A6A6" w:themeColor="background1" w:themeShade="A6"/>
            </w:tcBorders>
          </w:tcPr>
          <w:p w14:paraId="222ECDC2" w14:textId="77777777" w:rsidR="00FA7EBF" w:rsidRPr="007939DD" w:rsidRDefault="00FA7EBF" w:rsidP="007B207C">
            <w:pPr>
              <w:pStyle w:val="ARfintablebodyright"/>
              <w:rPr>
                <w:lang w:eastAsia="en-AU"/>
              </w:rPr>
            </w:pPr>
            <w:r w:rsidRPr="00B12086">
              <w:t>1,342.3</w:t>
            </w:r>
          </w:p>
        </w:tc>
        <w:tc>
          <w:tcPr>
            <w:tcW w:w="1017" w:type="dxa"/>
            <w:tcBorders>
              <w:top w:val="single" w:sz="4" w:space="0" w:color="A6A6A6" w:themeColor="background1" w:themeShade="A6"/>
            </w:tcBorders>
          </w:tcPr>
          <w:p w14:paraId="78985B20" w14:textId="77777777" w:rsidR="00FA7EBF" w:rsidRPr="007939DD" w:rsidRDefault="00FA7EBF" w:rsidP="007B207C">
            <w:pPr>
              <w:pStyle w:val="ARfintablebodyright"/>
              <w:rPr>
                <w:lang w:eastAsia="en-AU"/>
              </w:rPr>
            </w:pPr>
            <w:r w:rsidRPr="00B12086">
              <w:t>1,342.3</w:t>
            </w:r>
          </w:p>
        </w:tc>
        <w:tc>
          <w:tcPr>
            <w:tcW w:w="1017" w:type="dxa"/>
            <w:tcBorders>
              <w:top w:val="single" w:sz="4" w:space="0" w:color="A6A6A6" w:themeColor="background1" w:themeShade="A6"/>
            </w:tcBorders>
          </w:tcPr>
          <w:p w14:paraId="07ECC613" w14:textId="77777777" w:rsidR="00FA7EBF" w:rsidRPr="007939DD" w:rsidRDefault="00FA7EBF" w:rsidP="007B207C">
            <w:pPr>
              <w:pStyle w:val="ARfintablebodyright"/>
              <w:rPr>
                <w:lang w:eastAsia="en-AU"/>
              </w:rPr>
            </w:pPr>
            <w:r w:rsidRPr="00B12086">
              <w:t>430.4</w:t>
            </w:r>
          </w:p>
        </w:tc>
        <w:tc>
          <w:tcPr>
            <w:tcW w:w="1017" w:type="dxa"/>
            <w:tcBorders>
              <w:top w:val="single" w:sz="4" w:space="0" w:color="A6A6A6" w:themeColor="background1" w:themeShade="A6"/>
            </w:tcBorders>
          </w:tcPr>
          <w:p w14:paraId="21778CAA" w14:textId="77777777" w:rsidR="00FA7EBF" w:rsidRPr="007939DD" w:rsidRDefault="00FA7EBF" w:rsidP="007B207C">
            <w:pPr>
              <w:pStyle w:val="ARfintablebodyright"/>
              <w:rPr>
                <w:lang w:eastAsia="en-AU"/>
              </w:rPr>
            </w:pPr>
            <w:r w:rsidRPr="00B12086">
              <w:t>154.5</w:t>
            </w:r>
          </w:p>
        </w:tc>
        <w:tc>
          <w:tcPr>
            <w:tcW w:w="1017" w:type="dxa"/>
            <w:tcBorders>
              <w:top w:val="single" w:sz="4" w:space="0" w:color="A6A6A6" w:themeColor="background1" w:themeShade="A6"/>
            </w:tcBorders>
          </w:tcPr>
          <w:p w14:paraId="025C0D5C" w14:textId="77777777" w:rsidR="00FA7EBF" w:rsidRPr="007939DD" w:rsidRDefault="00FA7EBF" w:rsidP="007B207C">
            <w:pPr>
              <w:pStyle w:val="ARfintablebodyright"/>
              <w:rPr>
                <w:lang w:eastAsia="en-AU"/>
              </w:rPr>
            </w:pPr>
            <w:r w:rsidRPr="00B12086">
              <w:t>131.6</w:t>
            </w:r>
          </w:p>
        </w:tc>
        <w:tc>
          <w:tcPr>
            <w:tcW w:w="1017" w:type="dxa"/>
            <w:tcBorders>
              <w:top w:val="single" w:sz="4" w:space="0" w:color="A6A6A6" w:themeColor="background1" w:themeShade="A6"/>
            </w:tcBorders>
          </w:tcPr>
          <w:p w14:paraId="20792D5C" w14:textId="77777777" w:rsidR="00FA7EBF" w:rsidRPr="007939DD" w:rsidRDefault="00FA7EBF" w:rsidP="007B207C">
            <w:pPr>
              <w:pStyle w:val="ARfintablebodyright"/>
              <w:rPr>
                <w:lang w:eastAsia="en-AU"/>
              </w:rPr>
            </w:pPr>
            <w:r w:rsidRPr="00B12086">
              <w:t>1.1</w:t>
            </w:r>
          </w:p>
        </w:tc>
        <w:tc>
          <w:tcPr>
            <w:tcW w:w="1017" w:type="dxa"/>
            <w:tcBorders>
              <w:top w:val="single" w:sz="4" w:space="0" w:color="A6A6A6" w:themeColor="background1" w:themeShade="A6"/>
            </w:tcBorders>
          </w:tcPr>
          <w:p w14:paraId="63CDD8F8" w14:textId="77777777" w:rsidR="00FA7EBF" w:rsidRPr="007939DD" w:rsidRDefault="00FA7EBF" w:rsidP="007B207C">
            <w:pPr>
              <w:pStyle w:val="ARfintablebodyright"/>
              <w:rPr>
                <w:lang w:eastAsia="en-AU"/>
              </w:rPr>
            </w:pPr>
            <w:r w:rsidRPr="00B12086">
              <w:t>604.4</w:t>
            </w:r>
          </w:p>
        </w:tc>
      </w:tr>
      <w:tr w:rsidR="00FA7EBF" w:rsidRPr="007939DD" w14:paraId="2B887C4D" w14:textId="77777777" w:rsidTr="007B207C">
        <w:trPr>
          <w:cantSplit/>
        </w:trPr>
        <w:tc>
          <w:tcPr>
            <w:tcW w:w="2520" w:type="dxa"/>
          </w:tcPr>
          <w:p w14:paraId="6AAFBA46" w14:textId="77777777" w:rsidR="00FA7EBF" w:rsidRPr="007939DD" w:rsidRDefault="00FA7EBF" w:rsidP="007B207C">
            <w:pPr>
              <w:pStyle w:val="ARfintablebodybold"/>
              <w:rPr>
                <w:lang w:eastAsia="en-AU"/>
              </w:rPr>
            </w:pPr>
            <w:r w:rsidRPr="00B12086">
              <w:t>Total</w:t>
            </w:r>
          </w:p>
        </w:tc>
        <w:tc>
          <w:tcPr>
            <w:tcW w:w="1017" w:type="dxa"/>
          </w:tcPr>
          <w:p w14:paraId="7289EDE9" w14:textId="77777777" w:rsidR="00FA7EBF" w:rsidRPr="007939DD" w:rsidRDefault="00FA7EBF" w:rsidP="007B207C">
            <w:pPr>
              <w:pStyle w:val="ARfintablebodyrightbold"/>
              <w:rPr>
                <w:rStyle w:val="Strong"/>
              </w:rPr>
            </w:pPr>
            <w:r w:rsidRPr="00B12086">
              <w:t>1,342.3</w:t>
            </w:r>
          </w:p>
        </w:tc>
        <w:tc>
          <w:tcPr>
            <w:tcW w:w="1017" w:type="dxa"/>
          </w:tcPr>
          <w:p w14:paraId="307905B9" w14:textId="77777777" w:rsidR="00FA7EBF" w:rsidRPr="007939DD" w:rsidRDefault="00FA7EBF" w:rsidP="007B207C">
            <w:pPr>
              <w:pStyle w:val="ARfintablebodyrightbold"/>
              <w:rPr>
                <w:lang w:eastAsia="en-AU"/>
              </w:rPr>
            </w:pPr>
            <w:r w:rsidRPr="00B12086">
              <w:t>1,342.3</w:t>
            </w:r>
          </w:p>
        </w:tc>
        <w:tc>
          <w:tcPr>
            <w:tcW w:w="1017" w:type="dxa"/>
          </w:tcPr>
          <w:p w14:paraId="2DDD4A46" w14:textId="77777777" w:rsidR="00FA7EBF" w:rsidRPr="007939DD" w:rsidRDefault="00FA7EBF" w:rsidP="007B207C">
            <w:pPr>
              <w:pStyle w:val="ARfintablebodyrightbold"/>
              <w:rPr>
                <w:lang w:eastAsia="en-AU"/>
              </w:rPr>
            </w:pPr>
            <w:r w:rsidRPr="00B12086">
              <w:t>430.4</w:t>
            </w:r>
          </w:p>
        </w:tc>
        <w:tc>
          <w:tcPr>
            <w:tcW w:w="1017" w:type="dxa"/>
          </w:tcPr>
          <w:p w14:paraId="1D771E86" w14:textId="77777777" w:rsidR="00FA7EBF" w:rsidRPr="007939DD" w:rsidRDefault="00FA7EBF" w:rsidP="007B207C">
            <w:pPr>
              <w:pStyle w:val="ARfintablebodyrightbold"/>
              <w:rPr>
                <w:lang w:eastAsia="en-AU"/>
              </w:rPr>
            </w:pPr>
            <w:r w:rsidRPr="00B12086">
              <w:t>154.5</w:t>
            </w:r>
          </w:p>
        </w:tc>
        <w:tc>
          <w:tcPr>
            <w:tcW w:w="1017" w:type="dxa"/>
          </w:tcPr>
          <w:p w14:paraId="7DDAABE7" w14:textId="77777777" w:rsidR="00FA7EBF" w:rsidRPr="007939DD" w:rsidRDefault="00FA7EBF" w:rsidP="007B207C">
            <w:pPr>
              <w:pStyle w:val="ARfintablebodyrightbold"/>
              <w:rPr>
                <w:lang w:eastAsia="en-AU"/>
              </w:rPr>
            </w:pPr>
            <w:r w:rsidRPr="00B12086">
              <w:t>131.6</w:t>
            </w:r>
          </w:p>
        </w:tc>
        <w:tc>
          <w:tcPr>
            <w:tcW w:w="1017" w:type="dxa"/>
          </w:tcPr>
          <w:p w14:paraId="4901CA15" w14:textId="77777777" w:rsidR="00FA7EBF" w:rsidRPr="007939DD" w:rsidRDefault="00FA7EBF" w:rsidP="007B207C">
            <w:pPr>
              <w:pStyle w:val="ARfintablebodyrightbold"/>
              <w:rPr>
                <w:lang w:eastAsia="en-AU"/>
              </w:rPr>
            </w:pPr>
            <w:r w:rsidRPr="00B12086">
              <w:t>1.1</w:t>
            </w:r>
          </w:p>
        </w:tc>
        <w:tc>
          <w:tcPr>
            <w:tcW w:w="1017" w:type="dxa"/>
          </w:tcPr>
          <w:p w14:paraId="64B2698F" w14:textId="77777777" w:rsidR="00FA7EBF" w:rsidRPr="007939DD" w:rsidRDefault="00FA7EBF" w:rsidP="007B207C">
            <w:pPr>
              <w:pStyle w:val="ARfintablebodyrightbold"/>
              <w:rPr>
                <w:rStyle w:val="Strong"/>
              </w:rPr>
            </w:pPr>
            <w:r w:rsidRPr="00B12086">
              <w:t>604.4</w:t>
            </w:r>
          </w:p>
        </w:tc>
      </w:tr>
    </w:tbl>
    <w:p w14:paraId="2E155849" w14:textId="77777777" w:rsidR="00FA7EBF" w:rsidRPr="00194D78" w:rsidRDefault="00FA7EBF" w:rsidP="00CA66FD">
      <w:pPr>
        <w:pStyle w:val="ARfintablefootnote"/>
        <w:rPr>
          <w:lang w:eastAsia="en-AU"/>
        </w:rPr>
      </w:pPr>
      <w:r w:rsidRPr="00194D78">
        <w:rPr>
          <w:lang w:eastAsia="en-AU"/>
        </w:rPr>
        <w:t>Note:</w:t>
      </w:r>
    </w:p>
    <w:p w14:paraId="03E8B8D9" w14:textId="77777777" w:rsidR="00FA7EBF" w:rsidRPr="00194D78" w:rsidRDefault="00FA7EBF" w:rsidP="00CA66FD">
      <w:pPr>
        <w:pStyle w:val="ARfintablefootnoteindent"/>
      </w:pPr>
      <w:r w:rsidRPr="00194D78">
        <w:t>(i)</w:t>
      </w:r>
      <w:r>
        <w:tab/>
      </w:r>
      <w:r w:rsidRPr="00194D78">
        <w:t>Maturity analysis is presented using the contractual undiscounted cash flows.</w:t>
      </w:r>
    </w:p>
    <w:p w14:paraId="12080585" w14:textId="77777777" w:rsidR="00FA7EBF" w:rsidRPr="00ED212B" w:rsidRDefault="00FA7EBF" w:rsidP="00CA66FD">
      <w:pPr>
        <w:pStyle w:val="ARfinbody"/>
        <w:rPr>
          <w:rFonts w:eastAsia="MS Mincho"/>
        </w:rPr>
      </w:pPr>
      <w:r w:rsidRPr="00ED212B">
        <w:br w:type="page"/>
      </w:r>
    </w:p>
    <w:p w14:paraId="58C88AFE" w14:textId="77777777" w:rsidR="00FA7EBF" w:rsidRDefault="00FA7EBF" w:rsidP="00CA66FD">
      <w:pPr>
        <w:pStyle w:val="Heading4"/>
        <w:rPr>
          <w:lang w:eastAsia="en-AU"/>
        </w:rPr>
      </w:pPr>
      <w:bookmarkStart w:id="263" w:name="_Ref21957978"/>
      <w:r w:rsidRPr="00194D78">
        <w:rPr>
          <w:lang w:eastAsia="en-AU"/>
        </w:rPr>
        <w:t>6.5 Other provisions</w:t>
      </w:r>
      <w:bookmarkEnd w:id="263"/>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67565FB3" w14:textId="77777777" w:rsidTr="007B207C">
        <w:trPr>
          <w:cantSplit/>
          <w:tblHeader/>
        </w:trPr>
        <w:tc>
          <w:tcPr>
            <w:tcW w:w="7371" w:type="dxa"/>
            <w:vAlign w:val="bottom"/>
          </w:tcPr>
          <w:p w14:paraId="20891DA6" w14:textId="77777777" w:rsidR="00FA7EBF" w:rsidRPr="007939DD" w:rsidRDefault="00FA7EBF" w:rsidP="007B207C">
            <w:pPr>
              <w:pStyle w:val="ARfintablecolhead"/>
            </w:pPr>
          </w:p>
        </w:tc>
        <w:tc>
          <w:tcPr>
            <w:tcW w:w="1134" w:type="dxa"/>
            <w:shd w:val="clear" w:color="auto" w:fill="E7E6E6"/>
            <w:vAlign w:val="bottom"/>
          </w:tcPr>
          <w:p w14:paraId="474327F2" w14:textId="77777777" w:rsidR="00FA7EBF" w:rsidRPr="007939DD" w:rsidRDefault="00FA7EBF" w:rsidP="007B207C">
            <w:pPr>
              <w:pStyle w:val="ARfintablecolheadright"/>
            </w:pPr>
            <w:r w:rsidRPr="007939DD">
              <w:t>201</w:t>
            </w:r>
            <w:r>
              <w:t>9</w:t>
            </w:r>
          </w:p>
          <w:p w14:paraId="7660430E" w14:textId="77777777" w:rsidR="00FA7EBF" w:rsidRPr="007939DD" w:rsidRDefault="00FA7EBF" w:rsidP="007B207C">
            <w:pPr>
              <w:pStyle w:val="ARfintablecolheadright"/>
            </w:pPr>
            <w:r w:rsidRPr="007939DD">
              <w:t>$M</w:t>
            </w:r>
          </w:p>
        </w:tc>
        <w:tc>
          <w:tcPr>
            <w:tcW w:w="1134" w:type="dxa"/>
            <w:vAlign w:val="bottom"/>
          </w:tcPr>
          <w:p w14:paraId="65F96F9D" w14:textId="77777777" w:rsidR="00FA7EBF" w:rsidRPr="007939DD" w:rsidRDefault="00FA7EBF" w:rsidP="007B207C">
            <w:pPr>
              <w:pStyle w:val="ARfintablecolheadright"/>
            </w:pPr>
            <w:r w:rsidRPr="007939DD">
              <w:t>201</w:t>
            </w:r>
            <w:r>
              <w:t>8</w:t>
            </w:r>
          </w:p>
          <w:p w14:paraId="2D3BB9DF" w14:textId="77777777" w:rsidR="00FA7EBF" w:rsidRPr="007939DD" w:rsidRDefault="00FA7EBF" w:rsidP="007B207C">
            <w:pPr>
              <w:pStyle w:val="ARfintablecolheadright"/>
            </w:pPr>
            <w:r w:rsidRPr="007939DD">
              <w:t>$M</w:t>
            </w:r>
          </w:p>
        </w:tc>
      </w:tr>
      <w:tr w:rsidR="00FA7EBF" w:rsidRPr="007939DD" w14:paraId="2657CF33" w14:textId="77777777" w:rsidTr="007B207C">
        <w:trPr>
          <w:cantSplit/>
        </w:trPr>
        <w:tc>
          <w:tcPr>
            <w:tcW w:w="9639" w:type="dxa"/>
            <w:gridSpan w:val="3"/>
            <w:tcBorders>
              <w:bottom w:val="single" w:sz="4" w:space="0" w:color="A6A6A6" w:themeColor="background1" w:themeShade="A6"/>
            </w:tcBorders>
          </w:tcPr>
          <w:p w14:paraId="77A23F00" w14:textId="77777777" w:rsidR="00FA7EBF" w:rsidRPr="007939DD" w:rsidRDefault="00FA7EBF" w:rsidP="007B207C">
            <w:pPr>
              <w:pStyle w:val="ARfintablebodybold"/>
              <w:rPr>
                <w:lang w:eastAsia="en-AU"/>
              </w:rPr>
            </w:pPr>
            <w:r w:rsidRPr="00AE59BA">
              <w:t>Current provisions</w:t>
            </w:r>
          </w:p>
        </w:tc>
      </w:tr>
      <w:tr w:rsidR="00FA7EBF" w:rsidRPr="007939DD" w14:paraId="413E18A1"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1B49618" w14:textId="77777777" w:rsidR="00FA7EBF" w:rsidRPr="007939DD" w:rsidRDefault="00FA7EBF" w:rsidP="007B207C">
            <w:pPr>
              <w:pStyle w:val="ARfintablebody"/>
              <w:rPr>
                <w:lang w:eastAsia="en-AU"/>
              </w:rPr>
            </w:pPr>
            <w:r w:rsidRPr="00AE59BA">
              <w:t>Insurance claims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7EEE3E5" w14:textId="77777777" w:rsidR="00FA7EBF" w:rsidRPr="007939DD" w:rsidRDefault="00FA7EBF" w:rsidP="007B207C">
            <w:pPr>
              <w:pStyle w:val="ARfintablebodyright"/>
              <w:rPr>
                <w:lang w:eastAsia="en-AU"/>
              </w:rPr>
            </w:pPr>
            <w:r w:rsidRPr="00AE59BA">
              <w:t>33.8</w:t>
            </w:r>
          </w:p>
        </w:tc>
        <w:tc>
          <w:tcPr>
            <w:tcW w:w="1134" w:type="dxa"/>
            <w:tcBorders>
              <w:top w:val="single" w:sz="4" w:space="0" w:color="A6A6A6" w:themeColor="background1" w:themeShade="A6"/>
              <w:bottom w:val="single" w:sz="4" w:space="0" w:color="A6A6A6" w:themeColor="background1" w:themeShade="A6"/>
            </w:tcBorders>
          </w:tcPr>
          <w:p w14:paraId="02A9A57B" w14:textId="77777777" w:rsidR="00FA7EBF" w:rsidRPr="007939DD" w:rsidRDefault="00FA7EBF" w:rsidP="007B207C">
            <w:pPr>
              <w:pStyle w:val="ARfintablebodyright"/>
              <w:rPr>
                <w:lang w:eastAsia="en-AU"/>
              </w:rPr>
            </w:pPr>
            <w:r w:rsidRPr="00AE59BA">
              <w:t>32.1</w:t>
            </w:r>
          </w:p>
        </w:tc>
      </w:tr>
      <w:tr w:rsidR="00FA7EBF" w:rsidRPr="007939DD" w14:paraId="51A5D88A" w14:textId="77777777" w:rsidTr="007B207C">
        <w:trPr>
          <w:cantSplit/>
        </w:trPr>
        <w:tc>
          <w:tcPr>
            <w:tcW w:w="7371" w:type="dxa"/>
            <w:tcBorders>
              <w:top w:val="single" w:sz="4" w:space="0" w:color="A6A6A6" w:themeColor="background1" w:themeShade="A6"/>
            </w:tcBorders>
          </w:tcPr>
          <w:p w14:paraId="0643B422" w14:textId="77777777" w:rsidR="00FA7EBF" w:rsidRPr="007939DD" w:rsidRDefault="00FA7EBF" w:rsidP="007B207C">
            <w:pPr>
              <w:pStyle w:val="ARfintablebody"/>
              <w:rPr>
                <w:lang w:eastAsia="en-AU"/>
              </w:rPr>
            </w:pPr>
            <w:r w:rsidRPr="00AE59BA">
              <w:t>Make-good provision</w:t>
            </w:r>
          </w:p>
        </w:tc>
        <w:tc>
          <w:tcPr>
            <w:tcW w:w="1134" w:type="dxa"/>
            <w:tcBorders>
              <w:top w:val="single" w:sz="4" w:space="0" w:color="A6A6A6" w:themeColor="background1" w:themeShade="A6"/>
            </w:tcBorders>
            <w:shd w:val="clear" w:color="auto" w:fill="E7E6E6"/>
          </w:tcPr>
          <w:p w14:paraId="6E622616" w14:textId="77777777" w:rsidR="00FA7EBF" w:rsidRPr="007939DD" w:rsidRDefault="00FA7EBF" w:rsidP="007B207C">
            <w:pPr>
              <w:pStyle w:val="ARfintablebodyright"/>
              <w:rPr>
                <w:lang w:eastAsia="en-AU"/>
              </w:rPr>
            </w:pPr>
            <w:r w:rsidRPr="00AE59BA">
              <w:t>0.9</w:t>
            </w:r>
          </w:p>
        </w:tc>
        <w:tc>
          <w:tcPr>
            <w:tcW w:w="1134" w:type="dxa"/>
            <w:tcBorders>
              <w:top w:val="single" w:sz="4" w:space="0" w:color="A6A6A6" w:themeColor="background1" w:themeShade="A6"/>
            </w:tcBorders>
          </w:tcPr>
          <w:p w14:paraId="465BFA80" w14:textId="77777777" w:rsidR="00FA7EBF" w:rsidRPr="007939DD" w:rsidRDefault="00FA7EBF" w:rsidP="007B207C">
            <w:pPr>
              <w:pStyle w:val="ARfintablebodyright"/>
              <w:rPr>
                <w:lang w:eastAsia="en-AU"/>
              </w:rPr>
            </w:pPr>
            <w:r w:rsidRPr="00AE59BA">
              <w:t>0.2</w:t>
            </w:r>
          </w:p>
        </w:tc>
      </w:tr>
      <w:tr w:rsidR="00FA7EBF" w:rsidRPr="007939DD" w14:paraId="02E05FE0" w14:textId="77777777" w:rsidTr="007B207C">
        <w:trPr>
          <w:cantSplit/>
        </w:trPr>
        <w:tc>
          <w:tcPr>
            <w:tcW w:w="7371" w:type="dxa"/>
          </w:tcPr>
          <w:p w14:paraId="62711061" w14:textId="77777777" w:rsidR="00FA7EBF" w:rsidRPr="007939DD" w:rsidRDefault="00FA7EBF" w:rsidP="007B207C">
            <w:pPr>
              <w:pStyle w:val="ARfintablebodybold"/>
              <w:rPr>
                <w:lang w:eastAsia="en-AU"/>
              </w:rPr>
            </w:pPr>
            <w:r w:rsidRPr="00AE59BA">
              <w:t>Total current provisions</w:t>
            </w:r>
          </w:p>
        </w:tc>
        <w:tc>
          <w:tcPr>
            <w:tcW w:w="1134" w:type="dxa"/>
            <w:shd w:val="clear" w:color="auto" w:fill="E7E6E6"/>
          </w:tcPr>
          <w:p w14:paraId="268E48CF" w14:textId="77777777" w:rsidR="00FA7EBF" w:rsidRPr="007939DD" w:rsidRDefault="00FA7EBF" w:rsidP="007B207C">
            <w:pPr>
              <w:pStyle w:val="ARfintablebodyrightbold"/>
              <w:rPr>
                <w:lang w:eastAsia="en-AU"/>
              </w:rPr>
            </w:pPr>
            <w:r w:rsidRPr="00AE59BA">
              <w:t>34.8</w:t>
            </w:r>
          </w:p>
        </w:tc>
        <w:tc>
          <w:tcPr>
            <w:tcW w:w="1134" w:type="dxa"/>
          </w:tcPr>
          <w:p w14:paraId="3B8BF26F" w14:textId="77777777" w:rsidR="00FA7EBF" w:rsidRPr="007939DD" w:rsidRDefault="00FA7EBF" w:rsidP="007B207C">
            <w:pPr>
              <w:pStyle w:val="ARfintablebodyrightbold"/>
              <w:rPr>
                <w:rStyle w:val="Strong"/>
              </w:rPr>
            </w:pPr>
            <w:r w:rsidRPr="00AE59BA">
              <w:t>32.3</w:t>
            </w:r>
          </w:p>
        </w:tc>
      </w:tr>
      <w:tr w:rsidR="00FA7EBF" w:rsidRPr="007939DD" w14:paraId="1FAD070A" w14:textId="77777777" w:rsidTr="007B207C">
        <w:trPr>
          <w:cantSplit/>
        </w:trPr>
        <w:tc>
          <w:tcPr>
            <w:tcW w:w="9639" w:type="dxa"/>
            <w:gridSpan w:val="3"/>
            <w:tcBorders>
              <w:bottom w:val="single" w:sz="4" w:space="0" w:color="A6A6A6" w:themeColor="background1" w:themeShade="A6"/>
            </w:tcBorders>
          </w:tcPr>
          <w:p w14:paraId="74CAB5CA" w14:textId="77777777" w:rsidR="00FA7EBF" w:rsidRPr="007939DD" w:rsidRDefault="00FA7EBF" w:rsidP="007B207C">
            <w:pPr>
              <w:pStyle w:val="ARfintablebodybold"/>
              <w:rPr>
                <w:lang w:eastAsia="en-AU"/>
              </w:rPr>
            </w:pPr>
            <w:r w:rsidRPr="00AE59BA">
              <w:t>Non-current provisions</w:t>
            </w:r>
          </w:p>
        </w:tc>
      </w:tr>
      <w:tr w:rsidR="00FA7EBF" w:rsidRPr="007939DD" w14:paraId="6446439F"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4BF3D064" w14:textId="77777777" w:rsidR="00FA7EBF" w:rsidRPr="007939DD" w:rsidRDefault="00FA7EBF" w:rsidP="007B207C">
            <w:pPr>
              <w:pStyle w:val="ARfintablebody"/>
              <w:rPr>
                <w:lang w:eastAsia="en-AU"/>
              </w:rPr>
            </w:pPr>
            <w:r w:rsidRPr="00AE59BA">
              <w:t>Insurance claims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38E6A49" w14:textId="77777777" w:rsidR="00FA7EBF" w:rsidRPr="007939DD" w:rsidRDefault="00FA7EBF" w:rsidP="007B207C">
            <w:pPr>
              <w:pStyle w:val="ARfintablebodyright"/>
              <w:rPr>
                <w:lang w:eastAsia="en-AU"/>
              </w:rPr>
            </w:pPr>
            <w:r w:rsidRPr="00AE59BA">
              <w:t>59.2</w:t>
            </w:r>
          </w:p>
        </w:tc>
        <w:tc>
          <w:tcPr>
            <w:tcW w:w="1134" w:type="dxa"/>
            <w:tcBorders>
              <w:top w:val="single" w:sz="4" w:space="0" w:color="A6A6A6" w:themeColor="background1" w:themeShade="A6"/>
              <w:bottom w:val="single" w:sz="4" w:space="0" w:color="A6A6A6" w:themeColor="background1" w:themeShade="A6"/>
            </w:tcBorders>
          </w:tcPr>
          <w:p w14:paraId="69906A2E" w14:textId="77777777" w:rsidR="00FA7EBF" w:rsidRPr="007939DD" w:rsidRDefault="00FA7EBF" w:rsidP="007B207C">
            <w:pPr>
              <w:pStyle w:val="ARfintablebodyright"/>
              <w:rPr>
                <w:lang w:eastAsia="en-AU"/>
              </w:rPr>
            </w:pPr>
            <w:r w:rsidRPr="00AE59BA">
              <w:t>52.5</w:t>
            </w:r>
          </w:p>
        </w:tc>
      </w:tr>
      <w:tr w:rsidR="00FA7EBF" w:rsidRPr="007939DD" w14:paraId="618FFAAF" w14:textId="77777777" w:rsidTr="007B207C">
        <w:trPr>
          <w:cantSplit/>
        </w:trPr>
        <w:tc>
          <w:tcPr>
            <w:tcW w:w="7371" w:type="dxa"/>
            <w:tcBorders>
              <w:top w:val="single" w:sz="4" w:space="0" w:color="A6A6A6" w:themeColor="background1" w:themeShade="A6"/>
            </w:tcBorders>
          </w:tcPr>
          <w:p w14:paraId="769D0D97" w14:textId="77777777" w:rsidR="00FA7EBF" w:rsidRPr="007939DD" w:rsidRDefault="00FA7EBF" w:rsidP="007B207C">
            <w:pPr>
              <w:pStyle w:val="ARfintablebody"/>
              <w:rPr>
                <w:lang w:eastAsia="en-AU"/>
              </w:rPr>
            </w:pPr>
            <w:r w:rsidRPr="00AE59BA">
              <w:t>Make-good provision</w:t>
            </w:r>
          </w:p>
        </w:tc>
        <w:tc>
          <w:tcPr>
            <w:tcW w:w="1134" w:type="dxa"/>
            <w:tcBorders>
              <w:top w:val="single" w:sz="4" w:space="0" w:color="A6A6A6" w:themeColor="background1" w:themeShade="A6"/>
            </w:tcBorders>
            <w:shd w:val="clear" w:color="auto" w:fill="E7E6E6"/>
          </w:tcPr>
          <w:p w14:paraId="021F4A1A" w14:textId="77777777" w:rsidR="00FA7EBF" w:rsidRPr="007939DD" w:rsidRDefault="00FA7EBF" w:rsidP="007B207C">
            <w:pPr>
              <w:pStyle w:val="ARfintablebodyright"/>
              <w:rPr>
                <w:lang w:eastAsia="en-AU"/>
              </w:rPr>
            </w:pPr>
            <w:r w:rsidRPr="00AE59BA">
              <w:t>1.9</w:t>
            </w:r>
          </w:p>
        </w:tc>
        <w:tc>
          <w:tcPr>
            <w:tcW w:w="1134" w:type="dxa"/>
            <w:tcBorders>
              <w:top w:val="single" w:sz="4" w:space="0" w:color="A6A6A6" w:themeColor="background1" w:themeShade="A6"/>
            </w:tcBorders>
          </w:tcPr>
          <w:p w14:paraId="056A7ED2" w14:textId="77777777" w:rsidR="00FA7EBF" w:rsidRPr="007939DD" w:rsidRDefault="00FA7EBF" w:rsidP="007B207C">
            <w:pPr>
              <w:pStyle w:val="ARfintablebodyright"/>
              <w:rPr>
                <w:lang w:eastAsia="en-AU"/>
              </w:rPr>
            </w:pPr>
            <w:r w:rsidRPr="00AE59BA">
              <w:t>2.6</w:t>
            </w:r>
          </w:p>
        </w:tc>
      </w:tr>
      <w:tr w:rsidR="00FA7EBF" w:rsidRPr="007939DD" w14:paraId="3B25C503" w14:textId="77777777" w:rsidTr="007B207C">
        <w:trPr>
          <w:cantSplit/>
        </w:trPr>
        <w:tc>
          <w:tcPr>
            <w:tcW w:w="7371" w:type="dxa"/>
          </w:tcPr>
          <w:p w14:paraId="6B90E57A" w14:textId="77777777" w:rsidR="00FA7EBF" w:rsidRPr="007939DD" w:rsidRDefault="00FA7EBF" w:rsidP="007B207C">
            <w:pPr>
              <w:pStyle w:val="ARfintablebodybold"/>
              <w:rPr>
                <w:lang w:eastAsia="en-AU"/>
              </w:rPr>
            </w:pPr>
            <w:r w:rsidRPr="00AE59BA">
              <w:t>Total non-current provisions</w:t>
            </w:r>
          </w:p>
        </w:tc>
        <w:tc>
          <w:tcPr>
            <w:tcW w:w="1134" w:type="dxa"/>
            <w:shd w:val="clear" w:color="auto" w:fill="E7E6E6"/>
          </w:tcPr>
          <w:p w14:paraId="30C0690A" w14:textId="77777777" w:rsidR="00FA7EBF" w:rsidRPr="007939DD" w:rsidRDefault="00FA7EBF" w:rsidP="007B207C">
            <w:pPr>
              <w:pStyle w:val="ARfintablebodyrightbold"/>
              <w:rPr>
                <w:lang w:eastAsia="en-AU"/>
              </w:rPr>
            </w:pPr>
            <w:r w:rsidRPr="00AE59BA">
              <w:t>61.1</w:t>
            </w:r>
          </w:p>
        </w:tc>
        <w:tc>
          <w:tcPr>
            <w:tcW w:w="1134" w:type="dxa"/>
          </w:tcPr>
          <w:p w14:paraId="608A77E0" w14:textId="77777777" w:rsidR="00FA7EBF" w:rsidRPr="007939DD" w:rsidRDefault="00FA7EBF" w:rsidP="007B207C">
            <w:pPr>
              <w:pStyle w:val="ARfintablebodyrightbold"/>
              <w:rPr>
                <w:rStyle w:val="Strong"/>
              </w:rPr>
            </w:pPr>
            <w:r w:rsidRPr="00AE59BA">
              <w:t>55.0</w:t>
            </w:r>
          </w:p>
        </w:tc>
      </w:tr>
      <w:tr w:rsidR="00FA7EBF" w:rsidRPr="007939DD" w14:paraId="3E8AE742" w14:textId="77777777" w:rsidTr="007B207C">
        <w:trPr>
          <w:cantSplit/>
        </w:trPr>
        <w:tc>
          <w:tcPr>
            <w:tcW w:w="7371" w:type="dxa"/>
          </w:tcPr>
          <w:p w14:paraId="3303C880" w14:textId="77777777" w:rsidR="00FA7EBF" w:rsidRPr="007939DD" w:rsidRDefault="00FA7EBF" w:rsidP="007B207C">
            <w:pPr>
              <w:pStyle w:val="ARfintablebodybold"/>
              <w:rPr>
                <w:lang w:eastAsia="en-AU"/>
              </w:rPr>
            </w:pPr>
            <w:r w:rsidRPr="00AE59BA">
              <w:t>Total other provisions</w:t>
            </w:r>
          </w:p>
        </w:tc>
        <w:tc>
          <w:tcPr>
            <w:tcW w:w="1134" w:type="dxa"/>
            <w:shd w:val="clear" w:color="auto" w:fill="E7E6E6"/>
          </w:tcPr>
          <w:p w14:paraId="332FAA1F" w14:textId="77777777" w:rsidR="00FA7EBF" w:rsidRPr="007939DD" w:rsidRDefault="00FA7EBF" w:rsidP="007B207C">
            <w:pPr>
              <w:pStyle w:val="ARfintablebodyrightbold"/>
              <w:rPr>
                <w:lang w:eastAsia="en-AU"/>
              </w:rPr>
            </w:pPr>
            <w:r w:rsidRPr="00AE59BA">
              <w:t>95.9</w:t>
            </w:r>
          </w:p>
        </w:tc>
        <w:tc>
          <w:tcPr>
            <w:tcW w:w="1134" w:type="dxa"/>
          </w:tcPr>
          <w:p w14:paraId="469E3603" w14:textId="77777777" w:rsidR="00FA7EBF" w:rsidRPr="007939DD" w:rsidRDefault="00FA7EBF" w:rsidP="007B207C">
            <w:pPr>
              <w:pStyle w:val="ARfintablebodyrightbold"/>
              <w:rPr>
                <w:rStyle w:val="Strong"/>
              </w:rPr>
            </w:pPr>
            <w:r w:rsidRPr="00AE59BA">
              <w:t>87.3</w:t>
            </w:r>
          </w:p>
        </w:tc>
      </w:tr>
    </w:tbl>
    <w:p w14:paraId="71D6A478" w14:textId="77777777" w:rsidR="00FA7EBF" w:rsidRPr="00194D78" w:rsidRDefault="00FA7EBF" w:rsidP="00CA66FD">
      <w:pPr>
        <w:pStyle w:val="ARfinbodyaftertable"/>
      </w:pPr>
      <w:r w:rsidRPr="00194D78">
        <w:t>Other 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w:t>
      </w:r>
      <w:r>
        <w:t> </w:t>
      </w:r>
      <w:r w:rsidRPr="00194D78">
        <w:t>obligation.</w:t>
      </w:r>
    </w:p>
    <w:p w14:paraId="52707319" w14:textId="77777777" w:rsidR="00FA7EBF" w:rsidRPr="00194D78" w:rsidRDefault="00FA7EBF" w:rsidP="00CA66FD">
      <w:pPr>
        <w:pStyle w:val="ARfinbody"/>
      </w:pPr>
      <w:r w:rsidRPr="00194D78">
        <w:t>Where a provision is measured using the cash flows estimated to settle the present obligation, its carrying amount is the present value of those cash flows, using a discount rate that reflects the time value of money and risks specific to the provision.</w:t>
      </w:r>
    </w:p>
    <w:p w14:paraId="3EFC6850" w14:textId="77777777" w:rsidR="00FA7EBF" w:rsidRDefault="00FA7EBF" w:rsidP="00CA66FD">
      <w:pPr>
        <w:pStyle w:val="Heading5"/>
        <w:rPr>
          <w:lang w:eastAsia="en-AU"/>
        </w:rPr>
      </w:pPr>
      <w:r w:rsidRPr="00194D78">
        <w:rPr>
          <w:lang w:eastAsia="en-AU"/>
        </w:rPr>
        <w:t>6.5.1 Reconciliation of movements in other provisions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237"/>
        <w:gridCol w:w="1134"/>
        <w:gridCol w:w="1134"/>
        <w:gridCol w:w="1134"/>
      </w:tblGrid>
      <w:tr w:rsidR="00FA7EBF" w:rsidRPr="007939DD" w14:paraId="0278EDCC" w14:textId="77777777" w:rsidTr="007B207C">
        <w:trPr>
          <w:cantSplit/>
          <w:tblHeader/>
        </w:trPr>
        <w:tc>
          <w:tcPr>
            <w:tcW w:w="6237" w:type="dxa"/>
            <w:vAlign w:val="bottom"/>
          </w:tcPr>
          <w:p w14:paraId="743AA3EB" w14:textId="77777777" w:rsidR="00FA7EBF" w:rsidRPr="007939DD" w:rsidRDefault="00FA7EBF" w:rsidP="007B207C">
            <w:pPr>
              <w:pStyle w:val="ARfintablecolhead"/>
            </w:pPr>
          </w:p>
        </w:tc>
        <w:tc>
          <w:tcPr>
            <w:tcW w:w="1134" w:type="dxa"/>
            <w:vAlign w:val="bottom"/>
          </w:tcPr>
          <w:p w14:paraId="08AF6CEE" w14:textId="77777777" w:rsidR="00FA7EBF" w:rsidRPr="007939DD" w:rsidRDefault="00FA7EBF" w:rsidP="007B207C">
            <w:pPr>
              <w:pStyle w:val="ARfintablecolheadright"/>
            </w:pPr>
            <w:r w:rsidRPr="007939DD">
              <w:t>Make-good</w:t>
            </w:r>
          </w:p>
          <w:p w14:paraId="4CF291FE" w14:textId="77777777" w:rsidR="00FA7EBF" w:rsidRPr="007939DD" w:rsidRDefault="00FA7EBF" w:rsidP="007B207C">
            <w:pPr>
              <w:pStyle w:val="ARfintablecolheadright"/>
            </w:pPr>
            <w:r w:rsidRPr="007939DD">
              <w:t>201</w:t>
            </w:r>
            <w:r>
              <w:t>9</w:t>
            </w:r>
          </w:p>
          <w:p w14:paraId="10D7AB92" w14:textId="77777777" w:rsidR="00FA7EBF" w:rsidRPr="007939DD" w:rsidRDefault="00FA7EBF" w:rsidP="007B207C">
            <w:pPr>
              <w:pStyle w:val="ARfintablecolheadright"/>
            </w:pPr>
            <w:r w:rsidRPr="007939DD">
              <w:t>$M</w:t>
            </w:r>
          </w:p>
        </w:tc>
        <w:tc>
          <w:tcPr>
            <w:tcW w:w="1134" w:type="dxa"/>
            <w:vAlign w:val="bottom"/>
          </w:tcPr>
          <w:p w14:paraId="3CDDC1E7" w14:textId="77777777" w:rsidR="00FA7EBF" w:rsidRPr="007939DD" w:rsidRDefault="00FA7EBF" w:rsidP="007B207C">
            <w:pPr>
              <w:pStyle w:val="ARfintablecolheadright"/>
            </w:pPr>
            <w:r w:rsidRPr="007939DD">
              <w:t>Insurance claims</w:t>
            </w:r>
          </w:p>
          <w:p w14:paraId="226487CC" w14:textId="77777777" w:rsidR="00FA7EBF" w:rsidRPr="007939DD" w:rsidRDefault="00FA7EBF" w:rsidP="007B207C">
            <w:pPr>
              <w:pStyle w:val="ARfintablecolheadright"/>
            </w:pPr>
            <w:r w:rsidRPr="007939DD">
              <w:t>201</w:t>
            </w:r>
            <w:r>
              <w:t>9</w:t>
            </w:r>
          </w:p>
          <w:p w14:paraId="05BA5E87" w14:textId="77777777" w:rsidR="00FA7EBF" w:rsidRPr="007939DD" w:rsidRDefault="00FA7EBF" w:rsidP="007B207C">
            <w:pPr>
              <w:pStyle w:val="ARfintablecolheadright"/>
            </w:pPr>
            <w:r w:rsidRPr="007939DD">
              <w:t>$M</w:t>
            </w:r>
          </w:p>
        </w:tc>
        <w:tc>
          <w:tcPr>
            <w:tcW w:w="1134" w:type="dxa"/>
            <w:vAlign w:val="bottom"/>
          </w:tcPr>
          <w:p w14:paraId="59C9041C" w14:textId="77777777" w:rsidR="00FA7EBF" w:rsidRPr="007939DD" w:rsidRDefault="00FA7EBF" w:rsidP="007B207C">
            <w:pPr>
              <w:pStyle w:val="ARfintablecolheadright"/>
            </w:pPr>
            <w:r w:rsidRPr="007939DD">
              <w:t>Total</w:t>
            </w:r>
          </w:p>
          <w:p w14:paraId="0FAF8050" w14:textId="77777777" w:rsidR="00FA7EBF" w:rsidRPr="007939DD" w:rsidRDefault="00FA7EBF" w:rsidP="007B207C">
            <w:pPr>
              <w:pStyle w:val="ARfintablecolheadright"/>
            </w:pPr>
            <w:r w:rsidRPr="007939DD">
              <w:t>201</w:t>
            </w:r>
            <w:r>
              <w:t>9</w:t>
            </w:r>
          </w:p>
          <w:p w14:paraId="5ADA443E" w14:textId="77777777" w:rsidR="00FA7EBF" w:rsidRPr="007939DD" w:rsidRDefault="00FA7EBF" w:rsidP="007B207C">
            <w:pPr>
              <w:pStyle w:val="ARfintablecolheadright"/>
            </w:pPr>
            <w:r w:rsidRPr="007939DD">
              <w:t>$M</w:t>
            </w:r>
          </w:p>
        </w:tc>
      </w:tr>
      <w:tr w:rsidR="00FA7EBF" w:rsidRPr="007939DD" w14:paraId="33092AA6" w14:textId="77777777" w:rsidTr="007B207C">
        <w:trPr>
          <w:cantSplit/>
        </w:trPr>
        <w:tc>
          <w:tcPr>
            <w:tcW w:w="6237" w:type="dxa"/>
            <w:tcBorders>
              <w:bottom w:val="single" w:sz="4" w:space="0" w:color="A6A6A6" w:themeColor="background1" w:themeShade="A6"/>
            </w:tcBorders>
          </w:tcPr>
          <w:p w14:paraId="74475478" w14:textId="77777777" w:rsidR="00FA7EBF" w:rsidRPr="007939DD" w:rsidRDefault="00FA7EBF" w:rsidP="007B207C">
            <w:pPr>
              <w:pStyle w:val="ARfintablebodybold"/>
              <w:rPr>
                <w:rStyle w:val="Strong"/>
              </w:rPr>
            </w:pPr>
            <w:r w:rsidRPr="001B36B2">
              <w:t>Opening balance</w:t>
            </w:r>
          </w:p>
        </w:tc>
        <w:tc>
          <w:tcPr>
            <w:tcW w:w="1134" w:type="dxa"/>
            <w:tcBorders>
              <w:bottom w:val="single" w:sz="4" w:space="0" w:color="A6A6A6" w:themeColor="background1" w:themeShade="A6"/>
            </w:tcBorders>
          </w:tcPr>
          <w:p w14:paraId="6F80639F" w14:textId="77777777" w:rsidR="00FA7EBF" w:rsidRPr="007939DD" w:rsidRDefault="00FA7EBF" w:rsidP="007B207C">
            <w:pPr>
              <w:pStyle w:val="ARfintablebodyright"/>
              <w:rPr>
                <w:lang w:eastAsia="en-AU"/>
              </w:rPr>
            </w:pPr>
            <w:r w:rsidRPr="001B36B2">
              <w:t>2.7</w:t>
            </w:r>
          </w:p>
        </w:tc>
        <w:tc>
          <w:tcPr>
            <w:tcW w:w="1134" w:type="dxa"/>
            <w:tcBorders>
              <w:bottom w:val="single" w:sz="4" w:space="0" w:color="A6A6A6" w:themeColor="background1" w:themeShade="A6"/>
            </w:tcBorders>
          </w:tcPr>
          <w:p w14:paraId="2B7ACE6A" w14:textId="77777777" w:rsidR="00FA7EBF" w:rsidRPr="007939DD" w:rsidRDefault="00FA7EBF" w:rsidP="007B207C">
            <w:pPr>
              <w:pStyle w:val="ARfintablebodyright"/>
              <w:rPr>
                <w:lang w:eastAsia="en-AU"/>
              </w:rPr>
            </w:pPr>
            <w:r w:rsidRPr="001B36B2">
              <w:t>84.6</w:t>
            </w:r>
          </w:p>
        </w:tc>
        <w:tc>
          <w:tcPr>
            <w:tcW w:w="1134" w:type="dxa"/>
            <w:tcBorders>
              <w:bottom w:val="single" w:sz="4" w:space="0" w:color="A6A6A6" w:themeColor="background1" w:themeShade="A6"/>
            </w:tcBorders>
          </w:tcPr>
          <w:p w14:paraId="214D7188" w14:textId="77777777" w:rsidR="00FA7EBF" w:rsidRPr="007939DD" w:rsidRDefault="00FA7EBF" w:rsidP="007B207C">
            <w:pPr>
              <w:pStyle w:val="ARfintablebodyright"/>
              <w:rPr>
                <w:lang w:eastAsia="en-AU"/>
              </w:rPr>
            </w:pPr>
            <w:r w:rsidRPr="001B36B2">
              <w:t>87.3</w:t>
            </w:r>
          </w:p>
        </w:tc>
      </w:tr>
      <w:tr w:rsidR="00FA7EBF" w:rsidRPr="007939DD" w14:paraId="557D57A8" w14:textId="77777777" w:rsidTr="007B207C">
        <w:trPr>
          <w:cantSplit/>
        </w:trPr>
        <w:tc>
          <w:tcPr>
            <w:tcW w:w="6237" w:type="dxa"/>
            <w:tcBorders>
              <w:top w:val="single" w:sz="4" w:space="0" w:color="A6A6A6" w:themeColor="background1" w:themeShade="A6"/>
              <w:bottom w:val="single" w:sz="4" w:space="0" w:color="A6A6A6" w:themeColor="background1" w:themeShade="A6"/>
            </w:tcBorders>
          </w:tcPr>
          <w:p w14:paraId="01B5FDA5" w14:textId="77777777" w:rsidR="00FA7EBF" w:rsidRPr="007939DD" w:rsidRDefault="00FA7EBF" w:rsidP="007B207C">
            <w:pPr>
              <w:pStyle w:val="ARfintablebody"/>
              <w:rPr>
                <w:lang w:eastAsia="en-AU"/>
              </w:rPr>
            </w:pPr>
            <w:r w:rsidRPr="001B36B2">
              <w:t>Additional provisions recognised</w:t>
            </w:r>
          </w:p>
        </w:tc>
        <w:tc>
          <w:tcPr>
            <w:tcW w:w="1134" w:type="dxa"/>
            <w:tcBorders>
              <w:top w:val="single" w:sz="4" w:space="0" w:color="A6A6A6" w:themeColor="background1" w:themeShade="A6"/>
              <w:bottom w:val="single" w:sz="4" w:space="0" w:color="A6A6A6" w:themeColor="background1" w:themeShade="A6"/>
            </w:tcBorders>
          </w:tcPr>
          <w:p w14:paraId="3DD06687" w14:textId="77777777" w:rsidR="00FA7EBF" w:rsidRPr="007939DD" w:rsidRDefault="00FA7EBF" w:rsidP="007B207C">
            <w:pPr>
              <w:pStyle w:val="ARfintablebodyright"/>
              <w:rPr>
                <w:lang w:eastAsia="en-AU"/>
              </w:rPr>
            </w:pPr>
            <w:r w:rsidRPr="001B36B2">
              <w:t>0.2</w:t>
            </w:r>
          </w:p>
        </w:tc>
        <w:tc>
          <w:tcPr>
            <w:tcW w:w="1134" w:type="dxa"/>
            <w:tcBorders>
              <w:top w:val="single" w:sz="4" w:space="0" w:color="A6A6A6" w:themeColor="background1" w:themeShade="A6"/>
              <w:bottom w:val="single" w:sz="4" w:space="0" w:color="A6A6A6" w:themeColor="background1" w:themeShade="A6"/>
            </w:tcBorders>
          </w:tcPr>
          <w:p w14:paraId="7EFA1CBD" w14:textId="77777777" w:rsidR="00FA7EBF" w:rsidRPr="007939DD" w:rsidRDefault="00FA7EBF" w:rsidP="007B207C">
            <w:pPr>
              <w:pStyle w:val="ARfintablebodyright"/>
              <w:rPr>
                <w:lang w:eastAsia="en-AU"/>
              </w:rPr>
            </w:pPr>
            <w:r w:rsidRPr="001B36B2">
              <w:t>–</w:t>
            </w:r>
          </w:p>
        </w:tc>
        <w:tc>
          <w:tcPr>
            <w:tcW w:w="1134" w:type="dxa"/>
            <w:tcBorders>
              <w:top w:val="single" w:sz="4" w:space="0" w:color="A6A6A6" w:themeColor="background1" w:themeShade="A6"/>
              <w:bottom w:val="single" w:sz="4" w:space="0" w:color="A6A6A6" w:themeColor="background1" w:themeShade="A6"/>
            </w:tcBorders>
          </w:tcPr>
          <w:p w14:paraId="5C2D6B61" w14:textId="77777777" w:rsidR="00FA7EBF" w:rsidRPr="007939DD" w:rsidRDefault="00FA7EBF" w:rsidP="007B207C">
            <w:pPr>
              <w:pStyle w:val="ARfintablebodyright"/>
              <w:rPr>
                <w:lang w:eastAsia="en-AU"/>
              </w:rPr>
            </w:pPr>
            <w:r w:rsidRPr="001B36B2">
              <w:t>0.2</w:t>
            </w:r>
          </w:p>
        </w:tc>
      </w:tr>
      <w:tr w:rsidR="00FA7EBF" w:rsidRPr="007939DD" w14:paraId="6F7C16A6" w14:textId="77777777" w:rsidTr="007B207C">
        <w:trPr>
          <w:cantSplit/>
        </w:trPr>
        <w:tc>
          <w:tcPr>
            <w:tcW w:w="6237" w:type="dxa"/>
            <w:tcBorders>
              <w:top w:val="single" w:sz="4" w:space="0" w:color="A6A6A6" w:themeColor="background1" w:themeShade="A6"/>
              <w:bottom w:val="single" w:sz="4" w:space="0" w:color="A6A6A6" w:themeColor="background1" w:themeShade="A6"/>
            </w:tcBorders>
          </w:tcPr>
          <w:p w14:paraId="4498A5B1" w14:textId="77777777" w:rsidR="00FA7EBF" w:rsidRPr="007939DD" w:rsidRDefault="00FA7EBF" w:rsidP="007B207C">
            <w:pPr>
              <w:pStyle w:val="ARfintablebody"/>
              <w:rPr>
                <w:lang w:eastAsia="en-AU"/>
              </w:rPr>
            </w:pPr>
            <w:r w:rsidRPr="001B36B2">
              <w:t>Reductions arising from payments/claims handling expenses/other sacrifices of future economic benefits</w:t>
            </w:r>
          </w:p>
        </w:tc>
        <w:tc>
          <w:tcPr>
            <w:tcW w:w="1134" w:type="dxa"/>
            <w:tcBorders>
              <w:top w:val="single" w:sz="4" w:space="0" w:color="A6A6A6" w:themeColor="background1" w:themeShade="A6"/>
              <w:bottom w:val="single" w:sz="4" w:space="0" w:color="A6A6A6" w:themeColor="background1" w:themeShade="A6"/>
            </w:tcBorders>
          </w:tcPr>
          <w:p w14:paraId="2F195317" w14:textId="77777777" w:rsidR="00FA7EBF" w:rsidRPr="007939DD" w:rsidRDefault="00FA7EBF" w:rsidP="007B207C">
            <w:pPr>
              <w:pStyle w:val="ARfintablebodyright"/>
              <w:rPr>
                <w:lang w:eastAsia="en-AU"/>
              </w:rPr>
            </w:pPr>
            <w:r w:rsidRPr="001B36B2">
              <w:t>–</w:t>
            </w:r>
          </w:p>
        </w:tc>
        <w:tc>
          <w:tcPr>
            <w:tcW w:w="1134" w:type="dxa"/>
            <w:tcBorders>
              <w:top w:val="single" w:sz="4" w:space="0" w:color="A6A6A6" w:themeColor="background1" w:themeShade="A6"/>
              <w:bottom w:val="single" w:sz="4" w:space="0" w:color="A6A6A6" w:themeColor="background1" w:themeShade="A6"/>
            </w:tcBorders>
          </w:tcPr>
          <w:p w14:paraId="79956062" w14:textId="77777777" w:rsidR="00FA7EBF" w:rsidRPr="007939DD" w:rsidRDefault="00FA7EBF" w:rsidP="007B207C">
            <w:pPr>
              <w:pStyle w:val="ARfintablebodyright"/>
              <w:rPr>
                <w:lang w:eastAsia="en-AU"/>
              </w:rPr>
            </w:pPr>
            <w:r w:rsidRPr="001B36B2">
              <w:t>(31.6)</w:t>
            </w:r>
          </w:p>
        </w:tc>
        <w:tc>
          <w:tcPr>
            <w:tcW w:w="1134" w:type="dxa"/>
            <w:tcBorders>
              <w:top w:val="single" w:sz="4" w:space="0" w:color="A6A6A6" w:themeColor="background1" w:themeShade="A6"/>
              <w:bottom w:val="single" w:sz="4" w:space="0" w:color="A6A6A6" w:themeColor="background1" w:themeShade="A6"/>
            </w:tcBorders>
          </w:tcPr>
          <w:p w14:paraId="729F974B" w14:textId="77777777" w:rsidR="00FA7EBF" w:rsidRPr="007939DD" w:rsidRDefault="00FA7EBF" w:rsidP="007B207C">
            <w:pPr>
              <w:pStyle w:val="ARfintablebodyright"/>
              <w:rPr>
                <w:lang w:eastAsia="en-AU"/>
              </w:rPr>
            </w:pPr>
            <w:r w:rsidRPr="001B36B2">
              <w:t>(31.6)</w:t>
            </w:r>
          </w:p>
        </w:tc>
      </w:tr>
      <w:tr w:rsidR="00FA7EBF" w:rsidRPr="007939DD" w14:paraId="46B3ED49" w14:textId="77777777" w:rsidTr="007B207C">
        <w:trPr>
          <w:cantSplit/>
        </w:trPr>
        <w:tc>
          <w:tcPr>
            <w:tcW w:w="6237" w:type="dxa"/>
            <w:tcBorders>
              <w:top w:val="single" w:sz="4" w:space="0" w:color="A6A6A6" w:themeColor="background1" w:themeShade="A6"/>
              <w:bottom w:val="single" w:sz="4" w:space="0" w:color="A6A6A6" w:themeColor="background1" w:themeShade="A6"/>
            </w:tcBorders>
          </w:tcPr>
          <w:p w14:paraId="067DC8A2" w14:textId="77777777" w:rsidR="00FA7EBF" w:rsidRPr="007939DD" w:rsidRDefault="00FA7EBF" w:rsidP="007B207C">
            <w:pPr>
              <w:pStyle w:val="ARfintablebody"/>
              <w:rPr>
                <w:lang w:eastAsia="en-AU"/>
              </w:rPr>
            </w:pPr>
            <w:r w:rsidRPr="001B36B2">
              <w:t>Actuarial revaluations of insurance claims liability inclusive of risk margin</w:t>
            </w:r>
          </w:p>
        </w:tc>
        <w:tc>
          <w:tcPr>
            <w:tcW w:w="1134" w:type="dxa"/>
            <w:tcBorders>
              <w:top w:val="single" w:sz="4" w:space="0" w:color="A6A6A6" w:themeColor="background1" w:themeShade="A6"/>
              <w:bottom w:val="single" w:sz="4" w:space="0" w:color="A6A6A6" w:themeColor="background1" w:themeShade="A6"/>
            </w:tcBorders>
          </w:tcPr>
          <w:p w14:paraId="228698BD" w14:textId="77777777" w:rsidR="00FA7EBF" w:rsidRPr="007939DD" w:rsidRDefault="00FA7EBF" w:rsidP="007B207C">
            <w:pPr>
              <w:pStyle w:val="ARfintablebodyright"/>
              <w:rPr>
                <w:lang w:eastAsia="en-AU"/>
              </w:rPr>
            </w:pPr>
            <w:r w:rsidRPr="001B36B2">
              <w:t>–</w:t>
            </w:r>
          </w:p>
        </w:tc>
        <w:tc>
          <w:tcPr>
            <w:tcW w:w="1134" w:type="dxa"/>
            <w:tcBorders>
              <w:top w:val="single" w:sz="4" w:space="0" w:color="A6A6A6" w:themeColor="background1" w:themeShade="A6"/>
              <w:bottom w:val="single" w:sz="4" w:space="0" w:color="A6A6A6" w:themeColor="background1" w:themeShade="A6"/>
            </w:tcBorders>
          </w:tcPr>
          <w:p w14:paraId="209E52BE" w14:textId="77777777" w:rsidR="00FA7EBF" w:rsidRPr="007939DD" w:rsidRDefault="00FA7EBF" w:rsidP="007B207C">
            <w:pPr>
              <w:pStyle w:val="ARfintablebodyright"/>
              <w:rPr>
                <w:lang w:eastAsia="en-AU"/>
              </w:rPr>
            </w:pPr>
            <w:r w:rsidRPr="001B36B2">
              <w:t>38.7</w:t>
            </w:r>
          </w:p>
        </w:tc>
        <w:tc>
          <w:tcPr>
            <w:tcW w:w="1134" w:type="dxa"/>
            <w:tcBorders>
              <w:top w:val="single" w:sz="4" w:space="0" w:color="A6A6A6" w:themeColor="background1" w:themeShade="A6"/>
              <w:bottom w:val="single" w:sz="4" w:space="0" w:color="A6A6A6" w:themeColor="background1" w:themeShade="A6"/>
            </w:tcBorders>
          </w:tcPr>
          <w:p w14:paraId="74D912D2" w14:textId="77777777" w:rsidR="00FA7EBF" w:rsidRPr="007939DD" w:rsidRDefault="00FA7EBF" w:rsidP="007B207C">
            <w:pPr>
              <w:pStyle w:val="ARfintablebodyright"/>
              <w:rPr>
                <w:lang w:eastAsia="en-AU"/>
              </w:rPr>
            </w:pPr>
            <w:r w:rsidRPr="001B36B2">
              <w:t>38.7</w:t>
            </w:r>
          </w:p>
        </w:tc>
      </w:tr>
      <w:tr w:rsidR="00FA7EBF" w:rsidRPr="007939DD" w14:paraId="06FBA8EA" w14:textId="77777777" w:rsidTr="007B207C">
        <w:trPr>
          <w:cantSplit/>
        </w:trPr>
        <w:tc>
          <w:tcPr>
            <w:tcW w:w="6237" w:type="dxa"/>
            <w:tcBorders>
              <w:top w:val="single" w:sz="4" w:space="0" w:color="A6A6A6" w:themeColor="background1" w:themeShade="A6"/>
            </w:tcBorders>
          </w:tcPr>
          <w:p w14:paraId="7FA2F20A" w14:textId="77777777" w:rsidR="00FA7EBF" w:rsidRPr="007939DD" w:rsidRDefault="00FA7EBF" w:rsidP="007B207C">
            <w:pPr>
              <w:pStyle w:val="ARfintablebody"/>
              <w:rPr>
                <w:lang w:eastAsia="en-AU"/>
              </w:rPr>
            </w:pPr>
            <w:r w:rsidRPr="001B36B2">
              <w:t>Unwind of discount and effect of changes in the discount rate</w:t>
            </w:r>
          </w:p>
        </w:tc>
        <w:tc>
          <w:tcPr>
            <w:tcW w:w="1134" w:type="dxa"/>
            <w:tcBorders>
              <w:top w:val="single" w:sz="4" w:space="0" w:color="A6A6A6" w:themeColor="background1" w:themeShade="A6"/>
            </w:tcBorders>
          </w:tcPr>
          <w:p w14:paraId="292C78BF" w14:textId="77777777" w:rsidR="00FA7EBF" w:rsidRPr="007939DD" w:rsidRDefault="00FA7EBF" w:rsidP="007B207C">
            <w:pPr>
              <w:pStyle w:val="ARfintablebodyright"/>
              <w:rPr>
                <w:lang w:eastAsia="en-AU"/>
              </w:rPr>
            </w:pPr>
            <w:r w:rsidRPr="001B36B2">
              <w:t>–</w:t>
            </w:r>
          </w:p>
        </w:tc>
        <w:tc>
          <w:tcPr>
            <w:tcW w:w="1134" w:type="dxa"/>
            <w:tcBorders>
              <w:top w:val="single" w:sz="4" w:space="0" w:color="A6A6A6" w:themeColor="background1" w:themeShade="A6"/>
            </w:tcBorders>
          </w:tcPr>
          <w:p w14:paraId="2A210ED4" w14:textId="77777777" w:rsidR="00FA7EBF" w:rsidRPr="007939DD" w:rsidRDefault="00FA7EBF" w:rsidP="007B207C">
            <w:pPr>
              <w:pStyle w:val="ARfintablebodyright"/>
              <w:rPr>
                <w:lang w:eastAsia="en-AU"/>
              </w:rPr>
            </w:pPr>
            <w:r w:rsidRPr="001B36B2">
              <w:t>1.3</w:t>
            </w:r>
          </w:p>
        </w:tc>
        <w:tc>
          <w:tcPr>
            <w:tcW w:w="1134" w:type="dxa"/>
            <w:tcBorders>
              <w:top w:val="single" w:sz="4" w:space="0" w:color="A6A6A6" w:themeColor="background1" w:themeShade="A6"/>
            </w:tcBorders>
          </w:tcPr>
          <w:p w14:paraId="5142B3E1" w14:textId="77777777" w:rsidR="00FA7EBF" w:rsidRPr="007939DD" w:rsidRDefault="00FA7EBF" w:rsidP="007B207C">
            <w:pPr>
              <w:pStyle w:val="ARfintablebodyright"/>
              <w:rPr>
                <w:lang w:eastAsia="en-AU"/>
              </w:rPr>
            </w:pPr>
            <w:r w:rsidRPr="001B36B2">
              <w:t>1.3</w:t>
            </w:r>
          </w:p>
        </w:tc>
      </w:tr>
      <w:tr w:rsidR="00FA7EBF" w:rsidRPr="007939DD" w14:paraId="76484983" w14:textId="77777777" w:rsidTr="007B207C">
        <w:trPr>
          <w:cantSplit/>
        </w:trPr>
        <w:tc>
          <w:tcPr>
            <w:tcW w:w="6237" w:type="dxa"/>
          </w:tcPr>
          <w:p w14:paraId="7F8BDB3E" w14:textId="77777777" w:rsidR="00FA7EBF" w:rsidRPr="007939DD" w:rsidRDefault="00FA7EBF" w:rsidP="007B207C">
            <w:pPr>
              <w:pStyle w:val="ARfintablebodybold"/>
              <w:rPr>
                <w:rStyle w:val="Strong"/>
              </w:rPr>
            </w:pPr>
            <w:r w:rsidRPr="001B36B2">
              <w:t>Closing balance</w:t>
            </w:r>
          </w:p>
        </w:tc>
        <w:tc>
          <w:tcPr>
            <w:tcW w:w="1134" w:type="dxa"/>
          </w:tcPr>
          <w:p w14:paraId="3366C93E" w14:textId="77777777" w:rsidR="00FA7EBF" w:rsidRPr="007939DD" w:rsidRDefault="00FA7EBF" w:rsidP="007B207C">
            <w:pPr>
              <w:pStyle w:val="ARfintablebodyrightbold"/>
              <w:rPr>
                <w:rStyle w:val="Strong"/>
              </w:rPr>
            </w:pPr>
            <w:r w:rsidRPr="001B36B2">
              <w:t>2.9</w:t>
            </w:r>
          </w:p>
        </w:tc>
        <w:tc>
          <w:tcPr>
            <w:tcW w:w="1134" w:type="dxa"/>
          </w:tcPr>
          <w:p w14:paraId="094322C6" w14:textId="77777777" w:rsidR="00FA7EBF" w:rsidRPr="007939DD" w:rsidRDefault="00FA7EBF" w:rsidP="007B207C">
            <w:pPr>
              <w:pStyle w:val="ARfintablebodyrightbold"/>
              <w:rPr>
                <w:lang w:eastAsia="en-AU"/>
              </w:rPr>
            </w:pPr>
            <w:r w:rsidRPr="001B36B2">
              <w:t>93.0</w:t>
            </w:r>
          </w:p>
        </w:tc>
        <w:tc>
          <w:tcPr>
            <w:tcW w:w="1134" w:type="dxa"/>
          </w:tcPr>
          <w:p w14:paraId="6F99B1D6" w14:textId="77777777" w:rsidR="00FA7EBF" w:rsidRPr="007939DD" w:rsidRDefault="00FA7EBF" w:rsidP="007B207C">
            <w:pPr>
              <w:pStyle w:val="ARfintablebodyrightbold"/>
              <w:rPr>
                <w:rStyle w:val="Strong"/>
              </w:rPr>
            </w:pPr>
            <w:r w:rsidRPr="001B36B2">
              <w:t>95.9</w:t>
            </w:r>
          </w:p>
        </w:tc>
      </w:tr>
    </w:tbl>
    <w:p w14:paraId="4E3920A6" w14:textId="77777777" w:rsidR="00FA7EBF" w:rsidRPr="00194D78" w:rsidRDefault="00FA7EBF" w:rsidP="00CA66FD">
      <w:pPr>
        <w:pStyle w:val="ARfinbodyaftertable"/>
      </w:pPr>
      <w:r w:rsidRPr="00194D78">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14:paraId="00A6561A" w14:textId="77777777" w:rsidR="00FA7EBF" w:rsidRDefault="00FA7EBF" w:rsidP="00CA66FD">
      <w:pPr>
        <w:pStyle w:val="ARfinbody"/>
      </w:pPr>
      <w:r w:rsidRPr="00194D78">
        <w:t xml:space="preserve">The </w:t>
      </w:r>
      <w:r w:rsidRPr="00B82ED9">
        <w:rPr>
          <w:rStyle w:val="Strong"/>
          <w:bCs w:val="0"/>
        </w:rPr>
        <w:t>make-good</w:t>
      </w:r>
      <w:r w:rsidRPr="00194D78">
        <w:rPr>
          <w:b/>
          <w:bCs/>
        </w:rPr>
        <w:t xml:space="preserve"> </w:t>
      </w:r>
      <w:r w:rsidRPr="00194D78">
        <w:t xml:space="preserve">provision is recognised in accordance with the lease agreement over the building facilities. The </w:t>
      </w:r>
      <w:r>
        <w:t>d</w:t>
      </w:r>
      <w:r w:rsidRPr="00194D78">
        <w:t>epartment must remove any leasehold improvements from the leased building and restore the premises to its original condition at the end of the lease term.</w:t>
      </w:r>
    </w:p>
    <w:p w14:paraId="0841D61A" w14:textId="77777777" w:rsidR="00FA7EBF" w:rsidRPr="00194D78" w:rsidRDefault="00FA7EBF" w:rsidP="00CA66FD">
      <w:pPr>
        <w:pStyle w:val="ARfinbody"/>
      </w:pPr>
      <w:r w:rsidRPr="00B82ED9">
        <w:rPr>
          <w:rStyle w:val="Strong"/>
          <w:bCs w:val="0"/>
        </w:rPr>
        <w:t>Insurance claims</w:t>
      </w:r>
      <w:r w:rsidRPr="00B82ED9">
        <w:t>:</w:t>
      </w:r>
      <w:r w:rsidRPr="00194D78">
        <w:t xml:space="preserve"> The department engaged the Victorian Managed Insurance Authority (VMIA) under a claims administration agreement to manage non-medical indemnity claims resulting from public healthcare incidents occurring on or after 1 July 2005. These claims are managed by VMIA on behalf of the department under a service level agreement. VMIA has engaged an independent actuary to determine these liability provisions in accordance with the Institute of Actuaries of Australia</w:t>
      </w:r>
      <w:r>
        <w:t>’</w:t>
      </w:r>
      <w:r w:rsidRPr="00194D78">
        <w:t>s professional standard PS300. The estimation of outstanding claims liabilities is based on actuarial modelling including analysis of claims experience, loss trends, risk exposure data and industry data.</w:t>
      </w:r>
    </w:p>
    <w:p w14:paraId="60BF4ED4" w14:textId="77777777" w:rsidR="00FA7EBF" w:rsidRPr="00ED212B" w:rsidRDefault="00FA7EBF" w:rsidP="00CA66FD">
      <w:pPr>
        <w:pStyle w:val="ARfinbody"/>
      </w:pPr>
      <w:r w:rsidRPr="00ED212B">
        <w:br w:type="page"/>
      </w:r>
    </w:p>
    <w:p w14:paraId="264006E0" w14:textId="77777777" w:rsidR="00FA7EBF" w:rsidRPr="00194D78" w:rsidRDefault="00FA7EBF" w:rsidP="00CA66FD">
      <w:pPr>
        <w:pStyle w:val="Heading3"/>
      </w:pPr>
      <w:bookmarkStart w:id="264" w:name="_Toc17971177"/>
      <w:bookmarkStart w:id="265" w:name="_Toc19795298"/>
      <w:r w:rsidRPr="00194D78">
        <w:t xml:space="preserve">7. </w:t>
      </w:r>
      <w:r>
        <w:t>H</w:t>
      </w:r>
      <w:r w:rsidRPr="00194D78">
        <w:t>ow we financed our operations</w:t>
      </w:r>
      <w:bookmarkEnd w:id="264"/>
      <w:bookmarkEnd w:id="265"/>
    </w:p>
    <w:p w14:paraId="01549818" w14:textId="77777777" w:rsidR="00FA7EBF" w:rsidRPr="00194D78" w:rsidRDefault="00FA7EBF" w:rsidP="00CA66FD">
      <w:pPr>
        <w:pStyle w:val="Heading4"/>
        <w:rPr>
          <w:lang w:eastAsia="en-AU"/>
        </w:rPr>
      </w:pPr>
      <w:r w:rsidRPr="00194D78">
        <w:rPr>
          <w:lang w:eastAsia="en-AU"/>
        </w:rPr>
        <w:t>Introduction</w:t>
      </w:r>
    </w:p>
    <w:p w14:paraId="255B8698" w14:textId="77777777" w:rsidR="00FA7EBF" w:rsidRPr="00194D78" w:rsidRDefault="00FA7EBF" w:rsidP="00CA66FD">
      <w:pPr>
        <w:pStyle w:val="ARfinbody"/>
      </w:pPr>
      <w:r w:rsidRPr="00194D78">
        <w:t>This section provides information on the sources of finance utilised by the department during its operations, along with interest expenses (the cost of borrowings) and other information related to financing activities of the department.</w:t>
      </w:r>
    </w:p>
    <w:p w14:paraId="43473FB3" w14:textId="77777777" w:rsidR="00FA7EBF" w:rsidRPr="00194D78" w:rsidRDefault="00FA7EBF" w:rsidP="00CA66FD">
      <w:pPr>
        <w:pStyle w:val="ARfinbody"/>
      </w:pPr>
      <w:r w:rsidRPr="00194D78">
        <w:t xml:space="preserve">This section includes disclosures of balances that are financial instruments (such as borrowings and cash balances). </w:t>
      </w:r>
      <w:r>
        <w:br/>
      </w:r>
      <w:r w:rsidRPr="00194D78">
        <w:t>Notes 8.1 and 8.3 provide additional, specific financial instrument disclosures.</w:t>
      </w:r>
    </w:p>
    <w:p w14:paraId="1F638A23" w14:textId="77777777" w:rsidR="00FA7EBF" w:rsidRPr="00194D78" w:rsidRDefault="00FA7EBF" w:rsidP="00CA66FD">
      <w:pPr>
        <w:pStyle w:val="Heading4"/>
        <w:rPr>
          <w:lang w:eastAsia="en-AU"/>
        </w:rPr>
      </w:pPr>
      <w:r w:rsidRPr="00194D78">
        <w:rPr>
          <w:lang w:eastAsia="en-AU"/>
        </w:rPr>
        <w:t>Structure</w:t>
      </w:r>
    </w:p>
    <w:p w14:paraId="48B72340" w14:textId="77777777" w:rsidR="00FA7EBF" w:rsidRDefault="00FA7EBF" w:rsidP="00CA66FD">
      <w:pPr>
        <w:pStyle w:val="ARfinstructure1"/>
      </w:pPr>
      <w:r w:rsidRPr="00194D78">
        <w:t>7.1</w:t>
      </w:r>
      <w:r>
        <w:tab/>
      </w:r>
      <w:r w:rsidRPr="00194D78">
        <w:t>Borrowings</w:t>
      </w:r>
    </w:p>
    <w:p w14:paraId="34D0337B" w14:textId="77777777" w:rsidR="00FA7EBF" w:rsidRDefault="00FA7EBF" w:rsidP="00CA66FD">
      <w:pPr>
        <w:pStyle w:val="ARfinstructure2"/>
      </w:pPr>
      <w:r w:rsidRPr="00194D78">
        <w:t>7.1.1</w:t>
      </w:r>
      <w:r>
        <w:tab/>
      </w:r>
      <w:r w:rsidRPr="00194D78">
        <w:t>Maturity analysis of borrowings</w:t>
      </w:r>
    </w:p>
    <w:p w14:paraId="3253B85F" w14:textId="77777777" w:rsidR="00FA7EBF" w:rsidRPr="00194D78" w:rsidRDefault="00FA7EBF" w:rsidP="00CA66FD">
      <w:pPr>
        <w:pStyle w:val="ARfinstructure2"/>
      </w:pPr>
      <w:r w:rsidRPr="00194D78">
        <w:t>7.1.2</w:t>
      </w:r>
      <w:r>
        <w:tab/>
      </w:r>
      <w:r w:rsidRPr="00194D78">
        <w:t>Interest expense</w:t>
      </w:r>
    </w:p>
    <w:p w14:paraId="50D4E150" w14:textId="77777777" w:rsidR="00FA7EBF" w:rsidRDefault="00FA7EBF" w:rsidP="00CA66FD">
      <w:pPr>
        <w:pStyle w:val="ARfinstructure1"/>
      </w:pPr>
      <w:r w:rsidRPr="00194D78">
        <w:t>7.2</w:t>
      </w:r>
      <w:r>
        <w:tab/>
      </w:r>
      <w:r w:rsidRPr="00194D78">
        <w:t>Leases</w:t>
      </w:r>
    </w:p>
    <w:p w14:paraId="11D49ADF" w14:textId="77777777" w:rsidR="00FA7EBF" w:rsidRPr="00194D78" w:rsidRDefault="00FA7EBF" w:rsidP="00CA66FD">
      <w:pPr>
        <w:pStyle w:val="ARfinstructure2"/>
      </w:pPr>
      <w:r w:rsidRPr="00194D78">
        <w:t>7.2.1</w:t>
      </w:r>
      <w:r>
        <w:tab/>
      </w:r>
      <w:r w:rsidRPr="00194D78">
        <w:t>Finance lease liabilities</w:t>
      </w:r>
    </w:p>
    <w:p w14:paraId="24462A91" w14:textId="77777777" w:rsidR="00FA7EBF" w:rsidRDefault="00FA7EBF" w:rsidP="00CA66FD">
      <w:pPr>
        <w:pStyle w:val="ARfinstructure1"/>
      </w:pPr>
      <w:r w:rsidRPr="00194D78">
        <w:t>7.3</w:t>
      </w:r>
      <w:r>
        <w:tab/>
      </w:r>
      <w:r w:rsidRPr="00194D78">
        <w:t>Cash flow information and balances</w:t>
      </w:r>
    </w:p>
    <w:p w14:paraId="32DBB014" w14:textId="77777777" w:rsidR="00FA7EBF" w:rsidRPr="00194D78" w:rsidRDefault="00FA7EBF" w:rsidP="00CA66FD">
      <w:pPr>
        <w:pStyle w:val="ARfinstructure2"/>
      </w:pPr>
      <w:r w:rsidRPr="00194D78">
        <w:t>7.3.1</w:t>
      </w:r>
      <w:r>
        <w:tab/>
      </w:r>
      <w:r w:rsidRPr="00194D78">
        <w:t>Reconciliation of net result to cash flow from operating activities</w:t>
      </w:r>
    </w:p>
    <w:p w14:paraId="30FEB9F8" w14:textId="77777777" w:rsidR="00FA7EBF" w:rsidRPr="00194D78" w:rsidRDefault="00FA7EBF" w:rsidP="00CA66FD">
      <w:pPr>
        <w:pStyle w:val="ARfinstructure1"/>
      </w:pPr>
      <w:r w:rsidRPr="00194D78">
        <w:t>7.4</w:t>
      </w:r>
      <w:r>
        <w:tab/>
      </w:r>
      <w:r w:rsidRPr="00194D78">
        <w:t>Trust account balances</w:t>
      </w:r>
    </w:p>
    <w:p w14:paraId="37313C9B" w14:textId="77777777" w:rsidR="00FA7EBF" w:rsidRDefault="00FA7EBF" w:rsidP="00CA66FD">
      <w:pPr>
        <w:pStyle w:val="ARfinstructure1"/>
      </w:pPr>
      <w:r w:rsidRPr="00194D78">
        <w:t>7.5</w:t>
      </w:r>
      <w:r>
        <w:tab/>
      </w:r>
      <w:r w:rsidRPr="00194D78">
        <w:t>Commitments for expenditure</w:t>
      </w:r>
    </w:p>
    <w:p w14:paraId="76EED428" w14:textId="77777777" w:rsidR="00FA7EBF" w:rsidRDefault="00FA7EBF" w:rsidP="00CA66FD">
      <w:pPr>
        <w:pStyle w:val="ARfinstructure2"/>
      </w:pPr>
      <w:r w:rsidRPr="00194D78">
        <w:t>7.5.1</w:t>
      </w:r>
      <w:r>
        <w:tab/>
      </w:r>
      <w:r w:rsidRPr="00194D78">
        <w:t>Total commitments payable</w:t>
      </w:r>
    </w:p>
    <w:p w14:paraId="434DF82B" w14:textId="77777777" w:rsidR="00FA7EBF" w:rsidRPr="00194D78" w:rsidRDefault="00FA7EBF" w:rsidP="00CA66FD">
      <w:pPr>
        <w:pStyle w:val="ARfinstructure2"/>
        <w:rPr>
          <w:b/>
          <w:bCs/>
        </w:rPr>
      </w:pPr>
      <w:r w:rsidRPr="00194D78">
        <w:t>7.5.2</w:t>
      </w:r>
      <w:r>
        <w:tab/>
      </w:r>
      <w:r w:rsidRPr="00194D78">
        <w:t>Commitments other than public private partnerships</w:t>
      </w:r>
    </w:p>
    <w:p w14:paraId="21366A5B" w14:textId="77777777" w:rsidR="00FA7EBF" w:rsidRDefault="00FA7EBF" w:rsidP="00CA66FD">
      <w:pPr>
        <w:pStyle w:val="Heading4"/>
        <w:rPr>
          <w:lang w:eastAsia="en-AU"/>
        </w:rPr>
      </w:pPr>
      <w:r w:rsidRPr="00194D78">
        <w:rPr>
          <w:lang w:eastAsia="en-AU"/>
        </w:rPr>
        <w:t>7.1 Borrowings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0AB5ACFC" w14:textId="77777777" w:rsidTr="007B207C">
        <w:trPr>
          <w:cantSplit/>
          <w:tblHeader/>
        </w:trPr>
        <w:tc>
          <w:tcPr>
            <w:tcW w:w="7371" w:type="dxa"/>
            <w:vAlign w:val="bottom"/>
          </w:tcPr>
          <w:p w14:paraId="3F9AEBA4" w14:textId="77777777" w:rsidR="00FA7EBF" w:rsidRPr="007939DD" w:rsidRDefault="00FA7EBF" w:rsidP="007B207C">
            <w:pPr>
              <w:pStyle w:val="ARfintablecolhead"/>
            </w:pPr>
          </w:p>
        </w:tc>
        <w:tc>
          <w:tcPr>
            <w:tcW w:w="1134" w:type="dxa"/>
            <w:shd w:val="clear" w:color="auto" w:fill="E7E6E6"/>
            <w:vAlign w:val="bottom"/>
          </w:tcPr>
          <w:p w14:paraId="354ED077" w14:textId="77777777" w:rsidR="00FA7EBF" w:rsidRPr="007939DD" w:rsidRDefault="00FA7EBF" w:rsidP="007B207C">
            <w:pPr>
              <w:pStyle w:val="ARfintablecolheadright"/>
            </w:pPr>
            <w:r w:rsidRPr="007939DD">
              <w:t>201</w:t>
            </w:r>
            <w:r>
              <w:t>9</w:t>
            </w:r>
          </w:p>
          <w:p w14:paraId="2BA02F90" w14:textId="77777777" w:rsidR="00FA7EBF" w:rsidRPr="007939DD" w:rsidRDefault="00FA7EBF" w:rsidP="007B207C">
            <w:pPr>
              <w:pStyle w:val="ARfintablecolheadright"/>
            </w:pPr>
            <w:r w:rsidRPr="007939DD">
              <w:t>$M</w:t>
            </w:r>
          </w:p>
        </w:tc>
        <w:tc>
          <w:tcPr>
            <w:tcW w:w="1134" w:type="dxa"/>
            <w:vAlign w:val="bottom"/>
          </w:tcPr>
          <w:p w14:paraId="3B4D61FB" w14:textId="77777777" w:rsidR="00FA7EBF" w:rsidRPr="007939DD" w:rsidRDefault="00FA7EBF" w:rsidP="007B207C">
            <w:pPr>
              <w:pStyle w:val="ARfintablecolheadright"/>
            </w:pPr>
            <w:r w:rsidRPr="007939DD">
              <w:t>201</w:t>
            </w:r>
            <w:r>
              <w:t>8</w:t>
            </w:r>
          </w:p>
          <w:p w14:paraId="22B4BCA4" w14:textId="77777777" w:rsidR="00FA7EBF" w:rsidRPr="007939DD" w:rsidRDefault="00FA7EBF" w:rsidP="007B207C">
            <w:pPr>
              <w:pStyle w:val="ARfintablecolheadright"/>
            </w:pPr>
            <w:r w:rsidRPr="007939DD">
              <w:t>$M</w:t>
            </w:r>
          </w:p>
        </w:tc>
      </w:tr>
      <w:tr w:rsidR="00FA7EBF" w:rsidRPr="007939DD" w14:paraId="54937709" w14:textId="77777777" w:rsidTr="007B207C">
        <w:trPr>
          <w:cantSplit/>
        </w:trPr>
        <w:tc>
          <w:tcPr>
            <w:tcW w:w="9639" w:type="dxa"/>
            <w:gridSpan w:val="3"/>
            <w:tcBorders>
              <w:bottom w:val="single" w:sz="4" w:space="0" w:color="A6A6A6" w:themeColor="background1" w:themeShade="A6"/>
            </w:tcBorders>
          </w:tcPr>
          <w:p w14:paraId="76B9E502" w14:textId="77777777" w:rsidR="00FA7EBF" w:rsidRPr="007939DD" w:rsidRDefault="00FA7EBF" w:rsidP="007B207C">
            <w:pPr>
              <w:pStyle w:val="ARfintablebodybold"/>
              <w:rPr>
                <w:lang w:eastAsia="en-AU"/>
              </w:rPr>
            </w:pPr>
            <w:r w:rsidRPr="0066662A">
              <w:t>Current borrowings</w:t>
            </w:r>
          </w:p>
        </w:tc>
      </w:tr>
      <w:tr w:rsidR="00FA7EBF" w:rsidRPr="007939DD" w14:paraId="2AA7CA42"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384A711B" w14:textId="77777777" w:rsidR="00FA7EBF" w:rsidRPr="007939DD" w:rsidRDefault="00FA7EBF" w:rsidP="007B207C">
            <w:pPr>
              <w:pStyle w:val="ARfintablebody"/>
              <w:rPr>
                <w:lang w:eastAsia="en-AU"/>
              </w:rPr>
            </w:pPr>
            <w:r w:rsidRPr="0066662A">
              <w:t>Advances from Victorian Government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AE1F4AC" w14:textId="77777777" w:rsidR="00FA7EBF" w:rsidRPr="007939DD" w:rsidRDefault="00FA7EBF" w:rsidP="007B207C">
            <w:pPr>
              <w:pStyle w:val="ARfintablebodyright"/>
              <w:rPr>
                <w:lang w:eastAsia="en-AU"/>
              </w:rPr>
            </w:pPr>
            <w:r w:rsidRPr="0066662A">
              <w:t>56.0</w:t>
            </w:r>
          </w:p>
        </w:tc>
        <w:tc>
          <w:tcPr>
            <w:tcW w:w="1134" w:type="dxa"/>
            <w:tcBorders>
              <w:top w:val="single" w:sz="4" w:space="0" w:color="A6A6A6" w:themeColor="background1" w:themeShade="A6"/>
              <w:bottom w:val="single" w:sz="4" w:space="0" w:color="A6A6A6" w:themeColor="background1" w:themeShade="A6"/>
            </w:tcBorders>
          </w:tcPr>
          <w:p w14:paraId="6974387C" w14:textId="77777777" w:rsidR="00FA7EBF" w:rsidRPr="007939DD" w:rsidRDefault="00FA7EBF" w:rsidP="007B207C">
            <w:pPr>
              <w:pStyle w:val="ARfintablebodyright"/>
              <w:rPr>
                <w:lang w:eastAsia="en-AU"/>
              </w:rPr>
            </w:pPr>
            <w:r w:rsidRPr="0066662A">
              <w:t>53.4</w:t>
            </w:r>
          </w:p>
        </w:tc>
      </w:tr>
      <w:tr w:rsidR="00FA7EBF" w:rsidRPr="007939DD" w14:paraId="3478F5A1" w14:textId="77777777" w:rsidTr="007B207C">
        <w:trPr>
          <w:cantSplit/>
        </w:trPr>
        <w:tc>
          <w:tcPr>
            <w:tcW w:w="7371" w:type="dxa"/>
            <w:tcBorders>
              <w:top w:val="single" w:sz="4" w:space="0" w:color="A6A6A6" w:themeColor="background1" w:themeShade="A6"/>
            </w:tcBorders>
          </w:tcPr>
          <w:p w14:paraId="02071E52" w14:textId="77777777" w:rsidR="00FA7EBF" w:rsidRPr="007939DD" w:rsidRDefault="00FA7EBF" w:rsidP="007B207C">
            <w:pPr>
              <w:pStyle w:val="ARfintablebody"/>
              <w:rPr>
                <w:lang w:eastAsia="en-AU"/>
              </w:rPr>
            </w:pPr>
            <w:r w:rsidRPr="0066662A">
              <w:t>Finance lease liabilities</w:t>
            </w:r>
          </w:p>
        </w:tc>
        <w:tc>
          <w:tcPr>
            <w:tcW w:w="1134" w:type="dxa"/>
            <w:tcBorders>
              <w:top w:val="single" w:sz="4" w:space="0" w:color="A6A6A6" w:themeColor="background1" w:themeShade="A6"/>
            </w:tcBorders>
            <w:shd w:val="clear" w:color="auto" w:fill="E7E6E6"/>
          </w:tcPr>
          <w:p w14:paraId="6622E92F" w14:textId="77777777" w:rsidR="00FA7EBF" w:rsidRPr="007939DD" w:rsidRDefault="00FA7EBF" w:rsidP="007B207C">
            <w:pPr>
              <w:pStyle w:val="ARfintablebodyright"/>
              <w:rPr>
                <w:lang w:eastAsia="en-AU"/>
              </w:rPr>
            </w:pPr>
            <w:r w:rsidRPr="0066662A">
              <w:t>15.1</w:t>
            </w:r>
          </w:p>
        </w:tc>
        <w:tc>
          <w:tcPr>
            <w:tcW w:w="1134" w:type="dxa"/>
            <w:tcBorders>
              <w:top w:val="single" w:sz="4" w:space="0" w:color="A6A6A6" w:themeColor="background1" w:themeShade="A6"/>
            </w:tcBorders>
          </w:tcPr>
          <w:p w14:paraId="64588F29" w14:textId="77777777" w:rsidR="00FA7EBF" w:rsidRPr="007939DD" w:rsidRDefault="00FA7EBF" w:rsidP="007B207C">
            <w:pPr>
              <w:pStyle w:val="ARfintablebodyright"/>
              <w:rPr>
                <w:lang w:eastAsia="en-AU"/>
              </w:rPr>
            </w:pPr>
            <w:r w:rsidRPr="0066662A">
              <w:t>25.6</w:t>
            </w:r>
          </w:p>
        </w:tc>
      </w:tr>
      <w:tr w:rsidR="00FA7EBF" w:rsidRPr="007939DD" w14:paraId="2E800C5F" w14:textId="77777777" w:rsidTr="007B207C">
        <w:trPr>
          <w:cantSplit/>
        </w:trPr>
        <w:tc>
          <w:tcPr>
            <w:tcW w:w="7371" w:type="dxa"/>
          </w:tcPr>
          <w:p w14:paraId="1F74043F" w14:textId="77777777" w:rsidR="00FA7EBF" w:rsidRPr="007939DD" w:rsidRDefault="00FA7EBF" w:rsidP="007B207C">
            <w:pPr>
              <w:pStyle w:val="ARfintablebodybold"/>
              <w:rPr>
                <w:lang w:eastAsia="en-AU"/>
              </w:rPr>
            </w:pPr>
            <w:r w:rsidRPr="0066662A">
              <w:t>Total current borrowings</w:t>
            </w:r>
          </w:p>
        </w:tc>
        <w:tc>
          <w:tcPr>
            <w:tcW w:w="1134" w:type="dxa"/>
            <w:shd w:val="clear" w:color="auto" w:fill="E7E6E6"/>
          </w:tcPr>
          <w:p w14:paraId="40D3A7CC" w14:textId="77777777" w:rsidR="00FA7EBF" w:rsidRPr="007939DD" w:rsidRDefault="00FA7EBF" w:rsidP="007B207C">
            <w:pPr>
              <w:pStyle w:val="ARfintablebodyrightbold"/>
              <w:rPr>
                <w:lang w:eastAsia="en-AU"/>
              </w:rPr>
            </w:pPr>
            <w:r w:rsidRPr="0066662A">
              <w:t>71.0</w:t>
            </w:r>
          </w:p>
        </w:tc>
        <w:tc>
          <w:tcPr>
            <w:tcW w:w="1134" w:type="dxa"/>
          </w:tcPr>
          <w:p w14:paraId="12D91ED2" w14:textId="77777777" w:rsidR="00FA7EBF" w:rsidRPr="007939DD" w:rsidRDefault="00FA7EBF" w:rsidP="007B207C">
            <w:pPr>
              <w:pStyle w:val="ARfintablebodyrightbold"/>
              <w:rPr>
                <w:rStyle w:val="Strong"/>
              </w:rPr>
            </w:pPr>
            <w:r w:rsidRPr="0066662A">
              <w:t>79.0</w:t>
            </w:r>
          </w:p>
        </w:tc>
      </w:tr>
      <w:tr w:rsidR="00FA7EBF" w:rsidRPr="007939DD" w14:paraId="76EE6BA2" w14:textId="77777777" w:rsidTr="007B207C">
        <w:trPr>
          <w:cantSplit/>
        </w:trPr>
        <w:tc>
          <w:tcPr>
            <w:tcW w:w="9639" w:type="dxa"/>
            <w:gridSpan w:val="3"/>
            <w:tcBorders>
              <w:bottom w:val="single" w:sz="4" w:space="0" w:color="A6A6A6" w:themeColor="background1" w:themeShade="A6"/>
            </w:tcBorders>
          </w:tcPr>
          <w:p w14:paraId="01676731" w14:textId="77777777" w:rsidR="00FA7EBF" w:rsidRPr="007939DD" w:rsidRDefault="00FA7EBF" w:rsidP="007B207C">
            <w:pPr>
              <w:pStyle w:val="ARfintablebodybold"/>
              <w:rPr>
                <w:lang w:eastAsia="en-AU"/>
              </w:rPr>
            </w:pPr>
            <w:r w:rsidRPr="0066662A">
              <w:t>Non-current borrowings</w:t>
            </w:r>
          </w:p>
        </w:tc>
      </w:tr>
      <w:tr w:rsidR="00FA7EBF" w:rsidRPr="007939DD" w14:paraId="681DAC6D"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33A425D5" w14:textId="77777777" w:rsidR="00FA7EBF" w:rsidRPr="007939DD" w:rsidRDefault="00FA7EBF" w:rsidP="007B207C">
            <w:pPr>
              <w:pStyle w:val="ARfintablebody"/>
              <w:rPr>
                <w:lang w:eastAsia="en-AU"/>
              </w:rPr>
            </w:pPr>
            <w:r w:rsidRPr="0066662A">
              <w:t>Advances from Victorian Government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B4C24AF" w14:textId="77777777" w:rsidR="00FA7EBF" w:rsidRPr="007939DD" w:rsidRDefault="00FA7EBF" w:rsidP="007B207C">
            <w:pPr>
              <w:pStyle w:val="ARfintablebodyright"/>
              <w:rPr>
                <w:lang w:eastAsia="en-AU"/>
              </w:rPr>
            </w:pPr>
            <w:r w:rsidRPr="0066662A">
              <w:t>23.8</w:t>
            </w:r>
          </w:p>
        </w:tc>
        <w:tc>
          <w:tcPr>
            <w:tcW w:w="1134" w:type="dxa"/>
            <w:tcBorders>
              <w:top w:val="single" w:sz="4" w:space="0" w:color="A6A6A6" w:themeColor="background1" w:themeShade="A6"/>
              <w:bottom w:val="single" w:sz="4" w:space="0" w:color="A6A6A6" w:themeColor="background1" w:themeShade="A6"/>
            </w:tcBorders>
          </w:tcPr>
          <w:p w14:paraId="73283246" w14:textId="77777777" w:rsidR="00FA7EBF" w:rsidRPr="007939DD" w:rsidRDefault="00FA7EBF" w:rsidP="007B207C">
            <w:pPr>
              <w:pStyle w:val="ARfintablebodyright"/>
              <w:rPr>
                <w:lang w:eastAsia="en-AU"/>
              </w:rPr>
            </w:pPr>
            <w:r w:rsidRPr="0066662A">
              <w:t>30.0</w:t>
            </w:r>
          </w:p>
        </w:tc>
      </w:tr>
      <w:tr w:rsidR="00FA7EBF" w:rsidRPr="007939DD" w14:paraId="2FBE7FC7" w14:textId="77777777" w:rsidTr="007B207C">
        <w:trPr>
          <w:cantSplit/>
        </w:trPr>
        <w:tc>
          <w:tcPr>
            <w:tcW w:w="7371" w:type="dxa"/>
            <w:tcBorders>
              <w:top w:val="single" w:sz="4" w:space="0" w:color="A6A6A6" w:themeColor="background1" w:themeShade="A6"/>
            </w:tcBorders>
          </w:tcPr>
          <w:p w14:paraId="556CBB52" w14:textId="77777777" w:rsidR="00FA7EBF" w:rsidRPr="007939DD" w:rsidRDefault="00FA7EBF" w:rsidP="007B207C">
            <w:pPr>
              <w:pStyle w:val="ARfintablebody"/>
              <w:rPr>
                <w:lang w:eastAsia="en-AU"/>
              </w:rPr>
            </w:pPr>
            <w:r w:rsidRPr="0066662A">
              <w:t>Finance lease liabilities</w:t>
            </w:r>
          </w:p>
        </w:tc>
        <w:tc>
          <w:tcPr>
            <w:tcW w:w="1134" w:type="dxa"/>
            <w:tcBorders>
              <w:top w:val="single" w:sz="4" w:space="0" w:color="A6A6A6" w:themeColor="background1" w:themeShade="A6"/>
            </w:tcBorders>
            <w:shd w:val="clear" w:color="auto" w:fill="E7E6E6"/>
          </w:tcPr>
          <w:p w14:paraId="475B1DF1" w14:textId="77777777" w:rsidR="00FA7EBF" w:rsidRPr="007939DD" w:rsidRDefault="00FA7EBF" w:rsidP="007B207C">
            <w:pPr>
              <w:pStyle w:val="ARfintablebodyright"/>
              <w:rPr>
                <w:lang w:eastAsia="en-AU"/>
              </w:rPr>
            </w:pPr>
            <w:r w:rsidRPr="0066662A">
              <w:t>17.9</w:t>
            </w:r>
          </w:p>
        </w:tc>
        <w:tc>
          <w:tcPr>
            <w:tcW w:w="1134" w:type="dxa"/>
            <w:tcBorders>
              <w:top w:val="single" w:sz="4" w:space="0" w:color="A6A6A6" w:themeColor="background1" w:themeShade="A6"/>
            </w:tcBorders>
          </w:tcPr>
          <w:p w14:paraId="0D9888A3" w14:textId="77777777" w:rsidR="00FA7EBF" w:rsidRPr="007939DD" w:rsidRDefault="00FA7EBF" w:rsidP="007B207C">
            <w:pPr>
              <w:pStyle w:val="ARfintablebodyright"/>
              <w:rPr>
                <w:lang w:eastAsia="en-AU"/>
              </w:rPr>
            </w:pPr>
            <w:r w:rsidRPr="0066662A">
              <w:t>26.1</w:t>
            </w:r>
          </w:p>
        </w:tc>
      </w:tr>
      <w:tr w:rsidR="00FA7EBF" w:rsidRPr="007939DD" w14:paraId="35BD014B" w14:textId="77777777" w:rsidTr="007B207C">
        <w:trPr>
          <w:cantSplit/>
        </w:trPr>
        <w:tc>
          <w:tcPr>
            <w:tcW w:w="7371" w:type="dxa"/>
          </w:tcPr>
          <w:p w14:paraId="3A38AF5D" w14:textId="77777777" w:rsidR="00FA7EBF" w:rsidRPr="007939DD" w:rsidRDefault="00FA7EBF" w:rsidP="007B207C">
            <w:pPr>
              <w:pStyle w:val="ARfintablebodybold"/>
              <w:rPr>
                <w:lang w:eastAsia="en-AU"/>
              </w:rPr>
            </w:pPr>
            <w:r w:rsidRPr="0066662A">
              <w:t>Total non-current borrowings</w:t>
            </w:r>
          </w:p>
        </w:tc>
        <w:tc>
          <w:tcPr>
            <w:tcW w:w="1134" w:type="dxa"/>
            <w:shd w:val="clear" w:color="auto" w:fill="E7E6E6"/>
          </w:tcPr>
          <w:p w14:paraId="2BAC53DC" w14:textId="77777777" w:rsidR="00FA7EBF" w:rsidRPr="007939DD" w:rsidRDefault="00FA7EBF" w:rsidP="007B207C">
            <w:pPr>
              <w:pStyle w:val="ARfintablebodyrightbold"/>
              <w:rPr>
                <w:lang w:eastAsia="en-AU"/>
              </w:rPr>
            </w:pPr>
            <w:r w:rsidRPr="0066662A">
              <w:t>41.7</w:t>
            </w:r>
          </w:p>
        </w:tc>
        <w:tc>
          <w:tcPr>
            <w:tcW w:w="1134" w:type="dxa"/>
          </w:tcPr>
          <w:p w14:paraId="0D19E6EE" w14:textId="77777777" w:rsidR="00FA7EBF" w:rsidRPr="007939DD" w:rsidRDefault="00FA7EBF" w:rsidP="007B207C">
            <w:pPr>
              <w:pStyle w:val="ARfintablebodyrightbold"/>
              <w:rPr>
                <w:rStyle w:val="Strong"/>
              </w:rPr>
            </w:pPr>
            <w:r w:rsidRPr="0066662A">
              <w:t>56.1</w:t>
            </w:r>
          </w:p>
        </w:tc>
      </w:tr>
      <w:tr w:rsidR="00FA7EBF" w:rsidRPr="007939DD" w14:paraId="598E41DF" w14:textId="77777777" w:rsidTr="007B207C">
        <w:trPr>
          <w:cantSplit/>
        </w:trPr>
        <w:tc>
          <w:tcPr>
            <w:tcW w:w="7371" w:type="dxa"/>
          </w:tcPr>
          <w:p w14:paraId="2EE76301" w14:textId="77777777" w:rsidR="00FA7EBF" w:rsidRPr="007939DD" w:rsidRDefault="00FA7EBF" w:rsidP="007B207C">
            <w:pPr>
              <w:pStyle w:val="ARfintablebodybold"/>
              <w:rPr>
                <w:lang w:eastAsia="en-AU"/>
              </w:rPr>
            </w:pPr>
            <w:r w:rsidRPr="0066662A">
              <w:t>Total borrowings</w:t>
            </w:r>
          </w:p>
        </w:tc>
        <w:tc>
          <w:tcPr>
            <w:tcW w:w="1134" w:type="dxa"/>
            <w:shd w:val="clear" w:color="auto" w:fill="E7E6E6"/>
          </w:tcPr>
          <w:p w14:paraId="7DCDDF26" w14:textId="77777777" w:rsidR="00FA7EBF" w:rsidRPr="007939DD" w:rsidRDefault="00FA7EBF" w:rsidP="007B207C">
            <w:pPr>
              <w:pStyle w:val="ARfintablebodyrightbold"/>
              <w:rPr>
                <w:lang w:eastAsia="en-AU"/>
              </w:rPr>
            </w:pPr>
            <w:r w:rsidRPr="0066662A">
              <w:t>112.8</w:t>
            </w:r>
          </w:p>
        </w:tc>
        <w:tc>
          <w:tcPr>
            <w:tcW w:w="1134" w:type="dxa"/>
          </w:tcPr>
          <w:p w14:paraId="5DF6A113" w14:textId="77777777" w:rsidR="00FA7EBF" w:rsidRPr="007939DD" w:rsidRDefault="00FA7EBF" w:rsidP="007B207C">
            <w:pPr>
              <w:pStyle w:val="ARfintablebodyrightbold"/>
              <w:rPr>
                <w:rStyle w:val="Strong"/>
              </w:rPr>
            </w:pPr>
            <w:r w:rsidRPr="0066662A">
              <w:t>135.1</w:t>
            </w:r>
          </w:p>
        </w:tc>
      </w:tr>
    </w:tbl>
    <w:p w14:paraId="4181FE66" w14:textId="77777777" w:rsidR="00FA7EBF" w:rsidRPr="00194D78" w:rsidRDefault="00FA7EBF" w:rsidP="00CA66FD">
      <w:pPr>
        <w:pStyle w:val="ARfinbodyaftertable"/>
      </w:pPr>
      <w:r w:rsidRPr="00194D78">
        <w:t>Borrowings are classified as financial instruments. All interest</w:t>
      </w:r>
      <w:r>
        <w:t>-</w:t>
      </w:r>
      <w:r w:rsidRPr="00194D78">
        <w:t xml:space="preserve">bearing liabilities are initially recognised at the fair value of the consideration received, less directly attributable transaction costs. The measurement basis subsequent to initial recognition depends on whether the department has categorised its interest-bearing liabilities as either </w:t>
      </w:r>
      <w:r>
        <w:t>‘</w:t>
      </w:r>
      <w:r w:rsidRPr="00194D78">
        <w:t>financial liabilities designated at fair value through profit or loss</w:t>
      </w:r>
      <w:r>
        <w:t>’</w:t>
      </w:r>
      <w:r w:rsidRPr="00194D78">
        <w:t xml:space="preserve">, or financial liabilities at </w:t>
      </w:r>
      <w:r>
        <w:t>‘</w:t>
      </w:r>
      <w:r w:rsidRPr="00194D78">
        <w:t>amortised cost</w:t>
      </w:r>
      <w:r>
        <w:t>’</w:t>
      </w:r>
      <w:r w:rsidRPr="00194D78">
        <w:t>. The classification depends on the nature and purpose of the interest bearing liabilities. The department determines the classification of interest bearing liabilities at initial recognition.</w:t>
      </w:r>
    </w:p>
    <w:p w14:paraId="33096898" w14:textId="77777777" w:rsidR="00FA7EBF" w:rsidRPr="00194D78" w:rsidRDefault="00FA7EBF" w:rsidP="00CA66FD">
      <w:pPr>
        <w:pStyle w:val="ARfinbody"/>
      </w:pPr>
      <w:r w:rsidRPr="00B82ED9">
        <w:rPr>
          <w:rStyle w:val="Strong"/>
          <w:bCs w:val="0"/>
        </w:rPr>
        <w:t>Defaults and breaches</w:t>
      </w:r>
      <w:r w:rsidRPr="00194D78">
        <w:t>: During the current and previous financial year, there were no defaults or breaches of required conditions, in</w:t>
      </w:r>
      <w:r>
        <w:t> </w:t>
      </w:r>
      <w:r w:rsidRPr="00194D78">
        <w:t>relation to any of the borrowings.</w:t>
      </w:r>
    </w:p>
    <w:p w14:paraId="0AFE6B62" w14:textId="77777777" w:rsidR="00FA7EBF" w:rsidRPr="00194D78" w:rsidRDefault="00FA7EBF" w:rsidP="00CA66FD">
      <w:pPr>
        <w:pStyle w:val="ARfinbody"/>
      </w:pPr>
      <w:r w:rsidRPr="00B82ED9">
        <w:rPr>
          <w:rStyle w:val="Strong"/>
          <w:bCs w:val="0"/>
        </w:rPr>
        <w:t>Advances from Victorian Government</w:t>
      </w:r>
      <w:r w:rsidRPr="00194D78">
        <w:t xml:space="preserve"> are advances from the Department of Treasury and Finance. These advances are non-interest bearing.</w:t>
      </w:r>
    </w:p>
    <w:p w14:paraId="5D6A521C" w14:textId="77777777" w:rsidR="00FA7EBF" w:rsidRPr="00194D78" w:rsidRDefault="00FA7EBF" w:rsidP="00CA66FD">
      <w:pPr>
        <w:pStyle w:val="ARfinbody"/>
      </w:pPr>
      <w:r w:rsidRPr="00B82ED9">
        <w:rPr>
          <w:rStyle w:val="Strong"/>
          <w:bCs w:val="0"/>
        </w:rPr>
        <w:t>Finance lease liabilities</w:t>
      </w:r>
      <w:r w:rsidRPr="00194D78">
        <w:t xml:space="preserve"> are secured by the assets leased. Finance leases are effectively secured as the rights to the leased assets revert to the lessor in the event of default.</w:t>
      </w:r>
    </w:p>
    <w:p w14:paraId="52DCEF43" w14:textId="77777777" w:rsidR="00FA7EBF" w:rsidRPr="009A16E4" w:rsidRDefault="00FA7EBF" w:rsidP="00CA66FD">
      <w:pPr>
        <w:pStyle w:val="ARfinbody"/>
      </w:pPr>
      <w:r w:rsidRPr="009A16E4">
        <w:br w:type="page"/>
      </w:r>
    </w:p>
    <w:p w14:paraId="00D3B72F" w14:textId="77777777" w:rsidR="00FA7EBF" w:rsidRDefault="00FA7EBF" w:rsidP="00CA66FD">
      <w:pPr>
        <w:pStyle w:val="Heading5"/>
        <w:rPr>
          <w:lang w:eastAsia="en-AU"/>
        </w:rPr>
      </w:pPr>
      <w:r w:rsidRPr="00194D78">
        <w:rPr>
          <w:lang w:eastAsia="en-AU"/>
        </w:rPr>
        <w:t>7.1.1 Maturity analysis of borrowings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520"/>
        <w:gridCol w:w="1017"/>
        <w:gridCol w:w="1017"/>
        <w:gridCol w:w="1017"/>
        <w:gridCol w:w="1017"/>
        <w:gridCol w:w="1017"/>
        <w:gridCol w:w="1017"/>
        <w:gridCol w:w="1017"/>
      </w:tblGrid>
      <w:tr w:rsidR="00FA7EBF" w:rsidRPr="007939DD" w14:paraId="2BF61DA3" w14:textId="77777777" w:rsidTr="007B207C">
        <w:trPr>
          <w:cantSplit/>
          <w:tblHeader/>
        </w:trPr>
        <w:tc>
          <w:tcPr>
            <w:tcW w:w="2520" w:type="dxa"/>
            <w:vMerge w:val="restart"/>
            <w:vAlign w:val="bottom"/>
          </w:tcPr>
          <w:p w14:paraId="55273162" w14:textId="77777777" w:rsidR="00FA7EBF" w:rsidRPr="007939DD" w:rsidRDefault="00FA7EBF" w:rsidP="007B207C">
            <w:pPr>
              <w:pStyle w:val="ARfintablecolhead"/>
            </w:pPr>
          </w:p>
        </w:tc>
        <w:tc>
          <w:tcPr>
            <w:tcW w:w="1017" w:type="dxa"/>
            <w:vMerge w:val="restart"/>
            <w:vAlign w:val="bottom"/>
          </w:tcPr>
          <w:p w14:paraId="5B9E55FE" w14:textId="77777777" w:rsidR="00FA7EBF" w:rsidRPr="007939DD" w:rsidRDefault="00FA7EBF" w:rsidP="007B207C">
            <w:pPr>
              <w:pStyle w:val="ARfintablecolheadright"/>
            </w:pPr>
            <w:r w:rsidRPr="007939DD">
              <w:t>Carrying amount</w:t>
            </w:r>
          </w:p>
          <w:p w14:paraId="6455CAF6" w14:textId="77777777" w:rsidR="00FA7EBF" w:rsidRPr="007939DD" w:rsidRDefault="00FA7EBF" w:rsidP="007B207C">
            <w:pPr>
              <w:pStyle w:val="ARfintablecolheadright"/>
            </w:pPr>
            <w:r w:rsidRPr="007939DD">
              <w:t>$M</w:t>
            </w:r>
          </w:p>
        </w:tc>
        <w:tc>
          <w:tcPr>
            <w:tcW w:w="1017" w:type="dxa"/>
            <w:vMerge w:val="restart"/>
            <w:vAlign w:val="bottom"/>
          </w:tcPr>
          <w:p w14:paraId="4A582977" w14:textId="77777777" w:rsidR="00FA7EBF" w:rsidRPr="007939DD" w:rsidRDefault="00FA7EBF" w:rsidP="007B207C">
            <w:pPr>
              <w:pStyle w:val="ARfintablecolheadright"/>
            </w:pPr>
            <w:r w:rsidRPr="007939DD">
              <w:t>Nominal</w:t>
            </w:r>
            <w:r w:rsidRPr="007939DD">
              <w:br/>
              <w:t>amount</w:t>
            </w:r>
          </w:p>
          <w:p w14:paraId="333B9BDD" w14:textId="77777777" w:rsidR="00FA7EBF" w:rsidRPr="007939DD" w:rsidRDefault="00FA7EBF" w:rsidP="007B207C">
            <w:pPr>
              <w:pStyle w:val="ARfintablecolheadright"/>
            </w:pPr>
            <w:r w:rsidRPr="007939DD">
              <w:t>$M</w:t>
            </w:r>
          </w:p>
        </w:tc>
        <w:tc>
          <w:tcPr>
            <w:tcW w:w="5085" w:type="dxa"/>
            <w:gridSpan w:val="5"/>
            <w:vAlign w:val="bottom"/>
          </w:tcPr>
          <w:p w14:paraId="10D73AC4" w14:textId="77777777" w:rsidR="00FA7EBF" w:rsidRPr="007939DD" w:rsidRDefault="00FA7EBF" w:rsidP="007B207C">
            <w:pPr>
              <w:pStyle w:val="ARfintablecolheadcentre"/>
            </w:pPr>
            <w:r w:rsidRPr="007939DD">
              <w:t>Maturity dates</w:t>
            </w:r>
          </w:p>
        </w:tc>
      </w:tr>
      <w:tr w:rsidR="00FA7EBF" w:rsidRPr="007939DD" w14:paraId="1A161E0C" w14:textId="77777777" w:rsidTr="007B207C">
        <w:trPr>
          <w:cantSplit/>
          <w:tblHeader/>
        </w:trPr>
        <w:tc>
          <w:tcPr>
            <w:tcW w:w="2520" w:type="dxa"/>
            <w:vMerge/>
            <w:vAlign w:val="bottom"/>
          </w:tcPr>
          <w:p w14:paraId="1BDBC50B" w14:textId="77777777" w:rsidR="00FA7EBF" w:rsidRPr="007939DD" w:rsidRDefault="00FA7EBF" w:rsidP="007B207C">
            <w:pPr>
              <w:autoSpaceDE w:val="0"/>
              <w:autoSpaceDN w:val="0"/>
              <w:adjustRightInd w:val="0"/>
              <w:spacing w:beforeLines="40" w:before="96" w:afterLines="20" w:after="48"/>
              <w:rPr>
                <w:rFonts w:cs="Arial"/>
                <w:b/>
                <w:bCs/>
                <w:color w:val="000000"/>
                <w:sz w:val="16"/>
                <w:szCs w:val="16"/>
              </w:rPr>
            </w:pPr>
          </w:p>
        </w:tc>
        <w:tc>
          <w:tcPr>
            <w:tcW w:w="1017" w:type="dxa"/>
            <w:vMerge/>
            <w:vAlign w:val="bottom"/>
          </w:tcPr>
          <w:p w14:paraId="5922EDC4" w14:textId="77777777" w:rsidR="00FA7EBF" w:rsidRPr="007939DD" w:rsidRDefault="00FA7EBF" w:rsidP="007B207C">
            <w:pPr>
              <w:autoSpaceDE w:val="0"/>
              <w:autoSpaceDN w:val="0"/>
              <w:adjustRightInd w:val="0"/>
              <w:spacing w:beforeLines="40" w:before="96" w:afterLines="20" w:after="48"/>
              <w:jc w:val="right"/>
              <w:rPr>
                <w:rFonts w:cs="Arial"/>
                <w:b/>
                <w:bCs/>
                <w:color w:val="000000"/>
                <w:sz w:val="16"/>
                <w:szCs w:val="16"/>
              </w:rPr>
            </w:pPr>
          </w:p>
        </w:tc>
        <w:tc>
          <w:tcPr>
            <w:tcW w:w="1017" w:type="dxa"/>
            <w:vMerge/>
            <w:vAlign w:val="bottom"/>
          </w:tcPr>
          <w:p w14:paraId="2C086FF1" w14:textId="77777777" w:rsidR="00FA7EBF" w:rsidRPr="007939DD" w:rsidRDefault="00FA7EBF" w:rsidP="007B207C">
            <w:pPr>
              <w:autoSpaceDE w:val="0"/>
              <w:autoSpaceDN w:val="0"/>
              <w:adjustRightInd w:val="0"/>
              <w:spacing w:beforeLines="40" w:before="96" w:afterLines="20" w:after="48"/>
              <w:jc w:val="right"/>
              <w:rPr>
                <w:rFonts w:cs="Arial"/>
                <w:b/>
                <w:bCs/>
                <w:color w:val="000000"/>
                <w:sz w:val="16"/>
                <w:szCs w:val="16"/>
              </w:rPr>
            </w:pPr>
          </w:p>
        </w:tc>
        <w:tc>
          <w:tcPr>
            <w:tcW w:w="1017" w:type="dxa"/>
            <w:vAlign w:val="bottom"/>
          </w:tcPr>
          <w:p w14:paraId="5ABB2E11" w14:textId="77777777" w:rsidR="00FA7EBF" w:rsidRPr="007939DD" w:rsidRDefault="00FA7EBF" w:rsidP="007B207C">
            <w:pPr>
              <w:pStyle w:val="ARfintablecolheadright"/>
            </w:pPr>
            <w:r w:rsidRPr="007939DD">
              <w:t xml:space="preserve">Less than </w:t>
            </w:r>
            <w:r w:rsidRPr="007939DD">
              <w:br/>
              <w:t>1 month</w:t>
            </w:r>
          </w:p>
          <w:p w14:paraId="59E320E2" w14:textId="77777777" w:rsidR="00FA7EBF" w:rsidRPr="007939DD" w:rsidRDefault="00FA7EBF" w:rsidP="007B207C">
            <w:pPr>
              <w:pStyle w:val="ARfintablecolheadright"/>
            </w:pPr>
            <w:r w:rsidRPr="007939DD">
              <w:t>$M</w:t>
            </w:r>
          </w:p>
        </w:tc>
        <w:tc>
          <w:tcPr>
            <w:tcW w:w="1017" w:type="dxa"/>
            <w:vAlign w:val="bottom"/>
          </w:tcPr>
          <w:p w14:paraId="79716EB7" w14:textId="77777777" w:rsidR="00FA7EBF" w:rsidRPr="007939DD" w:rsidRDefault="00FA7EBF" w:rsidP="007B207C">
            <w:pPr>
              <w:pStyle w:val="ARfintablecolheadright"/>
            </w:pPr>
            <w:r w:rsidRPr="007939DD">
              <w:t xml:space="preserve">1–3 </w:t>
            </w:r>
            <w:r w:rsidRPr="007939DD">
              <w:br/>
              <w:t>months</w:t>
            </w:r>
          </w:p>
          <w:p w14:paraId="0FB162E9" w14:textId="77777777" w:rsidR="00FA7EBF" w:rsidRPr="007939DD" w:rsidRDefault="00FA7EBF" w:rsidP="007B207C">
            <w:pPr>
              <w:pStyle w:val="ARfintablecolheadright"/>
            </w:pPr>
            <w:r w:rsidRPr="007939DD">
              <w:t>$M</w:t>
            </w:r>
          </w:p>
        </w:tc>
        <w:tc>
          <w:tcPr>
            <w:tcW w:w="1017" w:type="dxa"/>
            <w:vAlign w:val="bottom"/>
          </w:tcPr>
          <w:p w14:paraId="232C4503" w14:textId="77777777" w:rsidR="00FA7EBF" w:rsidRPr="007939DD" w:rsidRDefault="00FA7EBF" w:rsidP="007B207C">
            <w:pPr>
              <w:pStyle w:val="ARfintablecolheadright"/>
            </w:pPr>
            <w:r w:rsidRPr="007939DD">
              <w:t>3 months –1 year</w:t>
            </w:r>
          </w:p>
          <w:p w14:paraId="746038B0" w14:textId="77777777" w:rsidR="00FA7EBF" w:rsidRPr="007939DD" w:rsidRDefault="00FA7EBF" w:rsidP="007B207C">
            <w:pPr>
              <w:pStyle w:val="ARfintablecolheadright"/>
            </w:pPr>
            <w:r w:rsidRPr="007939DD">
              <w:t>$M</w:t>
            </w:r>
          </w:p>
        </w:tc>
        <w:tc>
          <w:tcPr>
            <w:tcW w:w="1017" w:type="dxa"/>
            <w:vAlign w:val="bottom"/>
          </w:tcPr>
          <w:p w14:paraId="2A6BA569" w14:textId="77777777" w:rsidR="00FA7EBF" w:rsidRPr="007939DD" w:rsidRDefault="00FA7EBF" w:rsidP="007B207C">
            <w:pPr>
              <w:pStyle w:val="ARfintablecolheadright"/>
            </w:pPr>
            <w:r w:rsidRPr="007939DD">
              <w:t xml:space="preserve">1–5 </w:t>
            </w:r>
            <w:r w:rsidRPr="007939DD">
              <w:br/>
              <w:t>years</w:t>
            </w:r>
          </w:p>
          <w:p w14:paraId="7EB56F27" w14:textId="77777777" w:rsidR="00FA7EBF" w:rsidRPr="007939DD" w:rsidRDefault="00FA7EBF" w:rsidP="007B207C">
            <w:pPr>
              <w:pStyle w:val="ARfintablecolheadright"/>
            </w:pPr>
            <w:r w:rsidRPr="007939DD">
              <w:t>$M</w:t>
            </w:r>
          </w:p>
        </w:tc>
        <w:tc>
          <w:tcPr>
            <w:tcW w:w="1017" w:type="dxa"/>
          </w:tcPr>
          <w:p w14:paraId="11762C59" w14:textId="77777777" w:rsidR="00FA7EBF" w:rsidRPr="007939DD" w:rsidRDefault="00FA7EBF" w:rsidP="007B207C">
            <w:pPr>
              <w:pStyle w:val="ARfintablecolheadright"/>
            </w:pPr>
            <w:r w:rsidRPr="007939DD">
              <w:t xml:space="preserve">5+ </w:t>
            </w:r>
            <w:r w:rsidRPr="007939DD">
              <w:br/>
              <w:t>years</w:t>
            </w:r>
          </w:p>
          <w:p w14:paraId="7D900B80" w14:textId="77777777" w:rsidR="00FA7EBF" w:rsidRPr="007939DD" w:rsidRDefault="00FA7EBF" w:rsidP="007B207C">
            <w:pPr>
              <w:pStyle w:val="ARfintablecolheadright"/>
            </w:pPr>
            <w:r w:rsidRPr="007939DD">
              <w:t>$M</w:t>
            </w:r>
          </w:p>
        </w:tc>
      </w:tr>
      <w:tr w:rsidR="00FA7EBF" w:rsidRPr="007939DD" w14:paraId="46D19FCB" w14:textId="77777777" w:rsidTr="007B207C">
        <w:trPr>
          <w:cantSplit/>
        </w:trPr>
        <w:tc>
          <w:tcPr>
            <w:tcW w:w="9639" w:type="dxa"/>
            <w:gridSpan w:val="8"/>
            <w:tcBorders>
              <w:bottom w:val="single" w:sz="4" w:space="0" w:color="A6A6A6" w:themeColor="background1" w:themeShade="A6"/>
            </w:tcBorders>
          </w:tcPr>
          <w:p w14:paraId="5D8B5F3D" w14:textId="77777777" w:rsidR="00FA7EBF" w:rsidRPr="007939DD" w:rsidRDefault="00FA7EBF" w:rsidP="007B207C">
            <w:pPr>
              <w:pStyle w:val="ARfintablebodybold"/>
              <w:rPr>
                <w:lang w:eastAsia="en-AU"/>
              </w:rPr>
            </w:pPr>
            <w:r w:rsidRPr="00291DAB">
              <w:t>2019</w:t>
            </w:r>
          </w:p>
        </w:tc>
      </w:tr>
      <w:tr w:rsidR="00FA7EBF" w:rsidRPr="007939DD" w14:paraId="23206718" w14:textId="77777777" w:rsidTr="007B207C">
        <w:trPr>
          <w:cantSplit/>
        </w:trPr>
        <w:tc>
          <w:tcPr>
            <w:tcW w:w="2520" w:type="dxa"/>
            <w:tcBorders>
              <w:top w:val="single" w:sz="4" w:space="0" w:color="A6A6A6" w:themeColor="background1" w:themeShade="A6"/>
              <w:bottom w:val="single" w:sz="4" w:space="0" w:color="A6A6A6"/>
            </w:tcBorders>
          </w:tcPr>
          <w:p w14:paraId="72EC1984" w14:textId="77777777" w:rsidR="00FA7EBF" w:rsidRPr="007939DD" w:rsidRDefault="00FA7EBF" w:rsidP="007B207C">
            <w:pPr>
              <w:pStyle w:val="ARfintablebody"/>
              <w:rPr>
                <w:lang w:eastAsia="en-AU"/>
              </w:rPr>
            </w:pPr>
            <w:r w:rsidRPr="00291DAB">
              <w:t>Advances from Victorian Government</w:t>
            </w:r>
          </w:p>
        </w:tc>
        <w:tc>
          <w:tcPr>
            <w:tcW w:w="1017" w:type="dxa"/>
            <w:tcBorders>
              <w:top w:val="single" w:sz="4" w:space="0" w:color="A6A6A6" w:themeColor="background1" w:themeShade="A6"/>
              <w:bottom w:val="single" w:sz="4" w:space="0" w:color="A6A6A6"/>
            </w:tcBorders>
          </w:tcPr>
          <w:p w14:paraId="669BD6EF" w14:textId="77777777" w:rsidR="00FA7EBF" w:rsidRPr="007939DD" w:rsidRDefault="00FA7EBF" w:rsidP="007B207C">
            <w:pPr>
              <w:pStyle w:val="ARfintablebodyright"/>
              <w:rPr>
                <w:lang w:eastAsia="en-AU"/>
              </w:rPr>
            </w:pPr>
            <w:r w:rsidRPr="00291DAB">
              <w:t>79.8</w:t>
            </w:r>
          </w:p>
        </w:tc>
        <w:tc>
          <w:tcPr>
            <w:tcW w:w="1017" w:type="dxa"/>
            <w:tcBorders>
              <w:top w:val="single" w:sz="4" w:space="0" w:color="A6A6A6" w:themeColor="background1" w:themeShade="A6"/>
              <w:bottom w:val="single" w:sz="4" w:space="0" w:color="A6A6A6"/>
            </w:tcBorders>
          </w:tcPr>
          <w:p w14:paraId="039183F1" w14:textId="77777777" w:rsidR="00FA7EBF" w:rsidRPr="007939DD" w:rsidRDefault="00FA7EBF" w:rsidP="007B207C">
            <w:pPr>
              <w:pStyle w:val="ARfintablebodyright"/>
              <w:rPr>
                <w:lang w:eastAsia="en-AU"/>
              </w:rPr>
            </w:pPr>
            <w:r w:rsidRPr="00291DAB">
              <w:t>79.8</w:t>
            </w:r>
          </w:p>
        </w:tc>
        <w:tc>
          <w:tcPr>
            <w:tcW w:w="1017" w:type="dxa"/>
            <w:tcBorders>
              <w:top w:val="single" w:sz="4" w:space="0" w:color="A6A6A6" w:themeColor="background1" w:themeShade="A6"/>
              <w:bottom w:val="single" w:sz="4" w:space="0" w:color="A6A6A6"/>
            </w:tcBorders>
          </w:tcPr>
          <w:p w14:paraId="007F645C" w14:textId="77777777" w:rsidR="00FA7EBF" w:rsidRPr="007939DD" w:rsidRDefault="00FA7EBF" w:rsidP="007B207C">
            <w:pPr>
              <w:pStyle w:val="ARfintablebodyright"/>
              <w:rPr>
                <w:lang w:eastAsia="en-AU"/>
              </w:rPr>
            </w:pPr>
            <w:r w:rsidRPr="00291DAB">
              <w:t>50.7</w:t>
            </w:r>
          </w:p>
        </w:tc>
        <w:tc>
          <w:tcPr>
            <w:tcW w:w="1017" w:type="dxa"/>
            <w:tcBorders>
              <w:top w:val="single" w:sz="4" w:space="0" w:color="A6A6A6" w:themeColor="background1" w:themeShade="A6"/>
              <w:bottom w:val="single" w:sz="4" w:space="0" w:color="A6A6A6"/>
            </w:tcBorders>
          </w:tcPr>
          <w:p w14:paraId="3239CC8E" w14:textId="77777777" w:rsidR="00FA7EBF" w:rsidRPr="007939DD" w:rsidRDefault="00FA7EBF" w:rsidP="007B207C">
            <w:pPr>
              <w:pStyle w:val="ARfintablebodyright"/>
              <w:rPr>
                <w:lang w:eastAsia="en-AU"/>
              </w:rPr>
            </w:pPr>
            <w:r w:rsidRPr="00291DAB">
              <w:t>–</w:t>
            </w:r>
          </w:p>
        </w:tc>
        <w:tc>
          <w:tcPr>
            <w:tcW w:w="1017" w:type="dxa"/>
            <w:tcBorders>
              <w:top w:val="single" w:sz="4" w:space="0" w:color="A6A6A6" w:themeColor="background1" w:themeShade="A6"/>
              <w:bottom w:val="single" w:sz="4" w:space="0" w:color="A6A6A6"/>
            </w:tcBorders>
          </w:tcPr>
          <w:p w14:paraId="6E6920BA" w14:textId="77777777" w:rsidR="00FA7EBF" w:rsidRPr="007939DD" w:rsidRDefault="00FA7EBF" w:rsidP="007B207C">
            <w:pPr>
              <w:pStyle w:val="ARfintablebodyright"/>
              <w:rPr>
                <w:lang w:eastAsia="en-AU"/>
              </w:rPr>
            </w:pPr>
            <w:r w:rsidRPr="00291DAB">
              <w:t>5.4</w:t>
            </w:r>
          </w:p>
        </w:tc>
        <w:tc>
          <w:tcPr>
            <w:tcW w:w="1017" w:type="dxa"/>
            <w:tcBorders>
              <w:top w:val="single" w:sz="4" w:space="0" w:color="A6A6A6" w:themeColor="background1" w:themeShade="A6"/>
              <w:bottom w:val="single" w:sz="4" w:space="0" w:color="A6A6A6"/>
            </w:tcBorders>
          </w:tcPr>
          <w:p w14:paraId="52196D4D" w14:textId="77777777" w:rsidR="00FA7EBF" w:rsidRPr="007939DD" w:rsidRDefault="00FA7EBF" w:rsidP="007B207C">
            <w:pPr>
              <w:pStyle w:val="ARfintablebodyright"/>
              <w:rPr>
                <w:lang w:eastAsia="en-AU"/>
              </w:rPr>
            </w:pPr>
            <w:r w:rsidRPr="00291DAB">
              <w:t>22.7</w:t>
            </w:r>
          </w:p>
        </w:tc>
        <w:tc>
          <w:tcPr>
            <w:tcW w:w="1017" w:type="dxa"/>
            <w:tcBorders>
              <w:top w:val="single" w:sz="4" w:space="0" w:color="A6A6A6" w:themeColor="background1" w:themeShade="A6"/>
              <w:bottom w:val="single" w:sz="4" w:space="0" w:color="A6A6A6"/>
            </w:tcBorders>
          </w:tcPr>
          <w:p w14:paraId="34831098" w14:textId="77777777" w:rsidR="00FA7EBF" w:rsidRPr="007939DD" w:rsidRDefault="00FA7EBF" w:rsidP="007B207C">
            <w:pPr>
              <w:pStyle w:val="ARfintablebodyright"/>
              <w:rPr>
                <w:lang w:eastAsia="en-AU"/>
              </w:rPr>
            </w:pPr>
            <w:r w:rsidRPr="00291DAB">
              <w:t>1.1</w:t>
            </w:r>
          </w:p>
        </w:tc>
      </w:tr>
      <w:tr w:rsidR="00FA7EBF" w:rsidRPr="007939DD" w14:paraId="781685F8" w14:textId="77777777" w:rsidTr="007B207C">
        <w:trPr>
          <w:cantSplit/>
        </w:trPr>
        <w:tc>
          <w:tcPr>
            <w:tcW w:w="2520" w:type="dxa"/>
            <w:tcBorders>
              <w:top w:val="single" w:sz="4" w:space="0" w:color="A6A6A6"/>
            </w:tcBorders>
          </w:tcPr>
          <w:p w14:paraId="2D1FCF53" w14:textId="77777777" w:rsidR="00FA7EBF" w:rsidRPr="007939DD" w:rsidRDefault="00FA7EBF" w:rsidP="007B207C">
            <w:pPr>
              <w:pStyle w:val="ARfintablebody"/>
              <w:rPr>
                <w:lang w:eastAsia="en-AU"/>
              </w:rPr>
            </w:pPr>
            <w:r w:rsidRPr="00291DAB">
              <w:t>Finance lease liabilities</w:t>
            </w:r>
          </w:p>
        </w:tc>
        <w:tc>
          <w:tcPr>
            <w:tcW w:w="1017" w:type="dxa"/>
            <w:tcBorders>
              <w:top w:val="single" w:sz="4" w:space="0" w:color="A6A6A6"/>
            </w:tcBorders>
          </w:tcPr>
          <w:p w14:paraId="38616132" w14:textId="77777777" w:rsidR="00FA7EBF" w:rsidRPr="007939DD" w:rsidRDefault="00FA7EBF" w:rsidP="007B207C">
            <w:pPr>
              <w:pStyle w:val="ARfintablebodyright"/>
              <w:rPr>
                <w:lang w:eastAsia="en-AU"/>
              </w:rPr>
            </w:pPr>
            <w:r w:rsidRPr="00291DAB">
              <w:t>33.0</w:t>
            </w:r>
          </w:p>
        </w:tc>
        <w:tc>
          <w:tcPr>
            <w:tcW w:w="1017" w:type="dxa"/>
            <w:tcBorders>
              <w:top w:val="single" w:sz="4" w:space="0" w:color="A6A6A6"/>
            </w:tcBorders>
          </w:tcPr>
          <w:p w14:paraId="0ADA7DEE" w14:textId="77777777" w:rsidR="00FA7EBF" w:rsidRPr="007939DD" w:rsidRDefault="00FA7EBF" w:rsidP="007B207C">
            <w:pPr>
              <w:pStyle w:val="ARfintablebodyright"/>
              <w:rPr>
                <w:lang w:eastAsia="en-AU"/>
              </w:rPr>
            </w:pPr>
            <w:r w:rsidRPr="00291DAB">
              <w:t>34.3</w:t>
            </w:r>
          </w:p>
        </w:tc>
        <w:tc>
          <w:tcPr>
            <w:tcW w:w="1017" w:type="dxa"/>
            <w:tcBorders>
              <w:top w:val="single" w:sz="4" w:space="0" w:color="A6A6A6"/>
            </w:tcBorders>
          </w:tcPr>
          <w:p w14:paraId="7B1DC0DD" w14:textId="77777777" w:rsidR="00FA7EBF" w:rsidRPr="007939DD" w:rsidRDefault="00FA7EBF" w:rsidP="007B207C">
            <w:pPr>
              <w:pStyle w:val="ARfintablebodyright"/>
              <w:rPr>
                <w:lang w:eastAsia="en-AU"/>
              </w:rPr>
            </w:pPr>
            <w:r w:rsidRPr="00291DAB">
              <w:t>2.4</w:t>
            </w:r>
          </w:p>
        </w:tc>
        <w:tc>
          <w:tcPr>
            <w:tcW w:w="1017" w:type="dxa"/>
            <w:tcBorders>
              <w:top w:val="single" w:sz="4" w:space="0" w:color="A6A6A6"/>
            </w:tcBorders>
          </w:tcPr>
          <w:p w14:paraId="3F7CE156" w14:textId="77777777" w:rsidR="00FA7EBF" w:rsidRPr="007939DD" w:rsidRDefault="00FA7EBF" w:rsidP="007B207C">
            <w:pPr>
              <w:pStyle w:val="ARfintablebodyright"/>
              <w:rPr>
                <w:lang w:eastAsia="en-AU"/>
              </w:rPr>
            </w:pPr>
            <w:r w:rsidRPr="00291DAB">
              <w:t>2.3</w:t>
            </w:r>
          </w:p>
        </w:tc>
        <w:tc>
          <w:tcPr>
            <w:tcW w:w="1017" w:type="dxa"/>
            <w:tcBorders>
              <w:top w:val="single" w:sz="4" w:space="0" w:color="A6A6A6"/>
            </w:tcBorders>
          </w:tcPr>
          <w:p w14:paraId="34DD6E3E" w14:textId="77777777" w:rsidR="00FA7EBF" w:rsidRPr="007939DD" w:rsidRDefault="00FA7EBF" w:rsidP="007B207C">
            <w:pPr>
              <w:pStyle w:val="ARfintablebodyright"/>
              <w:rPr>
                <w:lang w:eastAsia="en-AU"/>
              </w:rPr>
            </w:pPr>
            <w:r w:rsidRPr="00291DAB">
              <w:t>11.1</w:t>
            </w:r>
          </w:p>
        </w:tc>
        <w:tc>
          <w:tcPr>
            <w:tcW w:w="1017" w:type="dxa"/>
            <w:tcBorders>
              <w:top w:val="single" w:sz="4" w:space="0" w:color="A6A6A6"/>
            </w:tcBorders>
          </w:tcPr>
          <w:p w14:paraId="2DDB1DBC" w14:textId="77777777" w:rsidR="00FA7EBF" w:rsidRPr="007939DD" w:rsidRDefault="00FA7EBF" w:rsidP="007B207C">
            <w:pPr>
              <w:pStyle w:val="ARfintablebodyright"/>
              <w:rPr>
                <w:lang w:eastAsia="en-AU"/>
              </w:rPr>
            </w:pPr>
            <w:r w:rsidRPr="00291DAB">
              <w:t>18.4</w:t>
            </w:r>
          </w:p>
        </w:tc>
        <w:tc>
          <w:tcPr>
            <w:tcW w:w="1017" w:type="dxa"/>
            <w:tcBorders>
              <w:top w:val="single" w:sz="4" w:space="0" w:color="A6A6A6"/>
            </w:tcBorders>
          </w:tcPr>
          <w:p w14:paraId="4A108DA3" w14:textId="77777777" w:rsidR="00FA7EBF" w:rsidRPr="007939DD" w:rsidRDefault="00FA7EBF" w:rsidP="007B207C">
            <w:pPr>
              <w:pStyle w:val="ARfintablebodyright"/>
              <w:rPr>
                <w:lang w:eastAsia="en-AU"/>
              </w:rPr>
            </w:pPr>
            <w:r w:rsidRPr="00291DAB">
              <w:t>–</w:t>
            </w:r>
          </w:p>
        </w:tc>
      </w:tr>
      <w:tr w:rsidR="00FA7EBF" w:rsidRPr="007939DD" w14:paraId="3C3441A9" w14:textId="77777777" w:rsidTr="007B207C">
        <w:trPr>
          <w:cantSplit/>
        </w:trPr>
        <w:tc>
          <w:tcPr>
            <w:tcW w:w="2520" w:type="dxa"/>
          </w:tcPr>
          <w:p w14:paraId="131E808B" w14:textId="77777777" w:rsidR="00FA7EBF" w:rsidRPr="007939DD" w:rsidRDefault="00FA7EBF" w:rsidP="007B207C">
            <w:pPr>
              <w:pStyle w:val="ARfintablebodybold"/>
              <w:rPr>
                <w:rStyle w:val="Strong"/>
              </w:rPr>
            </w:pPr>
            <w:r w:rsidRPr="00291DAB">
              <w:t>Total</w:t>
            </w:r>
          </w:p>
        </w:tc>
        <w:tc>
          <w:tcPr>
            <w:tcW w:w="1017" w:type="dxa"/>
          </w:tcPr>
          <w:p w14:paraId="14361B4E" w14:textId="77777777" w:rsidR="00FA7EBF" w:rsidRPr="007939DD" w:rsidRDefault="00FA7EBF" w:rsidP="007B207C">
            <w:pPr>
              <w:pStyle w:val="ARfintablebodyrightbold"/>
              <w:rPr>
                <w:lang w:eastAsia="en-AU"/>
              </w:rPr>
            </w:pPr>
            <w:r w:rsidRPr="00291DAB">
              <w:t>112.8</w:t>
            </w:r>
          </w:p>
        </w:tc>
        <w:tc>
          <w:tcPr>
            <w:tcW w:w="1017" w:type="dxa"/>
          </w:tcPr>
          <w:p w14:paraId="7AC24BC2" w14:textId="77777777" w:rsidR="00FA7EBF" w:rsidRPr="007939DD" w:rsidRDefault="00FA7EBF" w:rsidP="007B207C">
            <w:pPr>
              <w:pStyle w:val="ARfintablebodyrightbold"/>
              <w:rPr>
                <w:lang w:eastAsia="en-AU"/>
              </w:rPr>
            </w:pPr>
            <w:r w:rsidRPr="00291DAB">
              <w:t>114.1</w:t>
            </w:r>
          </w:p>
        </w:tc>
        <w:tc>
          <w:tcPr>
            <w:tcW w:w="1017" w:type="dxa"/>
          </w:tcPr>
          <w:p w14:paraId="0AE15C2C" w14:textId="77777777" w:rsidR="00FA7EBF" w:rsidRPr="007939DD" w:rsidRDefault="00FA7EBF" w:rsidP="007B207C">
            <w:pPr>
              <w:pStyle w:val="ARfintablebodyrightbold"/>
              <w:rPr>
                <w:lang w:eastAsia="en-AU"/>
              </w:rPr>
            </w:pPr>
            <w:r w:rsidRPr="00291DAB">
              <w:t>53.1</w:t>
            </w:r>
          </w:p>
        </w:tc>
        <w:tc>
          <w:tcPr>
            <w:tcW w:w="1017" w:type="dxa"/>
          </w:tcPr>
          <w:p w14:paraId="0299BFDB" w14:textId="77777777" w:rsidR="00FA7EBF" w:rsidRPr="007939DD" w:rsidRDefault="00FA7EBF" w:rsidP="007B207C">
            <w:pPr>
              <w:pStyle w:val="ARfintablebodyrightbold"/>
              <w:rPr>
                <w:lang w:eastAsia="en-AU"/>
              </w:rPr>
            </w:pPr>
            <w:r w:rsidRPr="00291DAB">
              <w:t>2.3</w:t>
            </w:r>
          </w:p>
        </w:tc>
        <w:tc>
          <w:tcPr>
            <w:tcW w:w="1017" w:type="dxa"/>
          </w:tcPr>
          <w:p w14:paraId="5F61ED0E" w14:textId="77777777" w:rsidR="00FA7EBF" w:rsidRPr="007939DD" w:rsidRDefault="00FA7EBF" w:rsidP="007B207C">
            <w:pPr>
              <w:pStyle w:val="ARfintablebodyrightbold"/>
              <w:rPr>
                <w:lang w:eastAsia="en-AU"/>
              </w:rPr>
            </w:pPr>
            <w:r w:rsidRPr="00291DAB">
              <w:t>16.5</w:t>
            </w:r>
          </w:p>
        </w:tc>
        <w:tc>
          <w:tcPr>
            <w:tcW w:w="1017" w:type="dxa"/>
          </w:tcPr>
          <w:p w14:paraId="4AD00A47" w14:textId="77777777" w:rsidR="00FA7EBF" w:rsidRPr="007939DD" w:rsidRDefault="00FA7EBF" w:rsidP="007B207C">
            <w:pPr>
              <w:pStyle w:val="ARfintablebodyrightbold"/>
              <w:rPr>
                <w:lang w:eastAsia="en-AU"/>
              </w:rPr>
            </w:pPr>
            <w:r w:rsidRPr="00291DAB">
              <w:t>41.1</w:t>
            </w:r>
          </w:p>
        </w:tc>
        <w:tc>
          <w:tcPr>
            <w:tcW w:w="1017" w:type="dxa"/>
          </w:tcPr>
          <w:p w14:paraId="2A272E9F" w14:textId="77777777" w:rsidR="00FA7EBF" w:rsidRPr="007939DD" w:rsidRDefault="00FA7EBF" w:rsidP="007B207C">
            <w:pPr>
              <w:pStyle w:val="ARfintablebodyrightbold"/>
              <w:rPr>
                <w:rStyle w:val="Strong"/>
              </w:rPr>
            </w:pPr>
            <w:r w:rsidRPr="00291DAB">
              <w:t>1.1</w:t>
            </w:r>
          </w:p>
        </w:tc>
      </w:tr>
      <w:tr w:rsidR="00FA7EBF" w:rsidRPr="007939DD" w14:paraId="77CC1250" w14:textId="77777777" w:rsidTr="007B207C">
        <w:trPr>
          <w:cantSplit/>
        </w:trPr>
        <w:tc>
          <w:tcPr>
            <w:tcW w:w="9639" w:type="dxa"/>
            <w:gridSpan w:val="8"/>
            <w:tcBorders>
              <w:bottom w:val="single" w:sz="4" w:space="0" w:color="A6A6A6" w:themeColor="background1" w:themeShade="A6"/>
            </w:tcBorders>
          </w:tcPr>
          <w:p w14:paraId="3BC7B734" w14:textId="77777777" w:rsidR="00FA7EBF" w:rsidRPr="007939DD" w:rsidRDefault="00FA7EBF" w:rsidP="007B207C">
            <w:pPr>
              <w:pStyle w:val="ARfintablebodybold"/>
              <w:rPr>
                <w:lang w:eastAsia="en-AU"/>
              </w:rPr>
            </w:pPr>
            <w:r w:rsidRPr="00291DAB">
              <w:t>2018</w:t>
            </w:r>
          </w:p>
        </w:tc>
      </w:tr>
      <w:tr w:rsidR="00FA7EBF" w:rsidRPr="007939DD" w14:paraId="5F5E4EF6" w14:textId="77777777" w:rsidTr="007B207C">
        <w:trPr>
          <w:cantSplit/>
        </w:trPr>
        <w:tc>
          <w:tcPr>
            <w:tcW w:w="2520" w:type="dxa"/>
            <w:tcBorders>
              <w:top w:val="single" w:sz="4" w:space="0" w:color="A6A6A6" w:themeColor="background1" w:themeShade="A6"/>
              <w:bottom w:val="single" w:sz="4" w:space="0" w:color="A6A6A6"/>
            </w:tcBorders>
          </w:tcPr>
          <w:p w14:paraId="6AE791C1" w14:textId="77777777" w:rsidR="00FA7EBF" w:rsidRPr="007939DD" w:rsidRDefault="00FA7EBF" w:rsidP="007B207C">
            <w:pPr>
              <w:pStyle w:val="ARfintablebody"/>
              <w:rPr>
                <w:lang w:eastAsia="en-AU"/>
              </w:rPr>
            </w:pPr>
            <w:r w:rsidRPr="00291DAB">
              <w:t>Advances from Victorian Government</w:t>
            </w:r>
          </w:p>
        </w:tc>
        <w:tc>
          <w:tcPr>
            <w:tcW w:w="1017" w:type="dxa"/>
            <w:tcBorders>
              <w:top w:val="single" w:sz="4" w:space="0" w:color="A6A6A6" w:themeColor="background1" w:themeShade="A6"/>
              <w:bottom w:val="single" w:sz="4" w:space="0" w:color="A6A6A6"/>
            </w:tcBorders>
          </w:tcPr>
          <w:p w14:paraId="50CF7B58" w14:textId="77777777" w:rsidR="00FA7EBF" w:rsidRPr="007939DD" w:rsidRDefault="00FA7EBF" w:rsidP="007B207C">
            <w:pPr>
              <w:pStyle w:val="ARfintablebodyright"/>
              <w:rPr>
                <w:lang w:eastAsia="en-AU"/>
              </w:rPr>
            </w:pPr>
            <w:r w:rsidRPr="00291DAB">
              <w:t>83.4</w:t>
            </w:r>
          </w:p>
        </w:tc>
        <w:tc>
          <w:tcPr>
            <w:tcW w:w="1017" w:type="dxa"/>
            <w:tcBorders>
              <w:top w:val="single" w:sz="4" w:space="0" w:color="A6A6A6" w:themeColor="background1" w:themeShade="A6"/>
              <w:bottom w:val="single" w:sz="4" w:space="0" w:color="A6A6A6"/>
            </w:tcBorders>
          </w:tcPr>
          <w:p w14:paraId="42BBBDE7" w14:textId="77777777" w:rsidR="00FA7EBF" w:rsidRPr="007939DD" w:rsidRDefault="00FA7EBF" w:rsidP="007B207C">
            <w:pPr>
              <w:pStyle w:val="ARfintablebodyright"/>
              <w:rPr>
                <w:lang w:eastAsia="en-AU"/>
              </w:rPr>
            </w:pPr>
            <w:r w:rsidRPr="00291DAB">
              <w:t>83.4</w:t>
            </w:r>
          </w:p>
        </w:tc>
        <w:tc>
          <w:tcPr>
            <w:tcW w:w="1017" w:type="dxa"/>
            <w:tcBorders>
              <w:top w:val="single" w:sz="4" w:space="0" w:color="A6A6A6" w:themeColor="background1" w:themeShade="A6"/>
              <w:bottom w:val="single" w:sz="4" w:space="0" w:color="A6A6A6"/>
            </w:tcBorders>
          </w:tcPr>
          <w:p w14:paraId="37712614" w14:textId="77777777" w:rsidR="00FA7EBF" w:rsidRPr="007939DD" w:rsidRDefault="00FA7EBF" w:rsidP="007B207C">
            <w:pPr>
              <w:pStyle w:val="ARfintablebodyright"/>
              <w:rPr>
                <w:lang w:eastAsia="en-AU"/>
              </w:rPr>
            </w:pPr>
            <w:r w:rsidRPr="00291DAB">
              <w:t>53.4</w:t>
            </w:r>
          </w:p>
        </w:tc>
        <w:tc>
          <w:tcPr>
            <w:tcW w:w="1017" w:type="dxa"/>
            <w:tcBorders>
              <w:top w:val="single" w:sz="4" w:space="0" w:color="A6A6A6" w:themeColor="background1" w:themeShade="A6"/>
              <w:bottom w:val="single" w:sz="4" w:space="0" w:color="A6A6A6"/>
            </w:tcBorders>
          </w:tcPr>
          <w:p w14:paraId="0ACE9AF8" w14:textId="77777777" w:rsidR="00FA7EBF" w:rsidRPr="007939DD" w:rsidRDefault="00FA7EBF" w:rsidP="007B207C">
            <w:pPr>
              <w:pStyle w:val="ARfintablebodyright"/>
              <w:rPr>
                <w:lang w:eastAsia="en-AU"/>
              </w:rPr>
            </w:pPr>
            <w:r w:rsidRPr="00291DAB">
              <w:t>–</w:t>
            </w:r>
          </w:p>
        </w:tc>
        <w:tc>
          <w:tcPr>
            <w:tcW w:w="1017" w:type="dxa"/>
            <w:tcBorders>
              <w:top w:val="single" w:sz="4" w:space="0" w:color="A6A6A6" w:themeColor="background1" w:themeShade="A6"/>
              <w:bottom w:val="single" w:sz="4" w:space="0" w:color="A6A6A6"/>
            </w:tcBorders>
          </w:tcPr>
          <w:p w14:paraId="331BDD6F" w14:textId="77777777" w:rsidR="00FA7EBF" w:rsidRPr="007939DD" w:rsidRDefault="00FA7EBF" w:rsidP="007B207C">
            <w:pPr>
              <w:pStyle w:val="ARfintablebodyright"/>
              <w:rPr>
                <w:lang w:eastAsia="en-AU"/>
              </w:rPr>
            </w:pPr>
            <w:r w:rsidRPr="00291DAB">
              <w:t>–</w:t>
            </w:r>
          </w:p>
        </w:tc>
        <w:tc>
          <w:tcPr>
            <w:tcW w:w="1017" w:type="dxa"/>
            <w:tcBorders>
              <w:top w:val="single" w:sz="4" w:space="0" w:color="A6A6A6" w:themeColor="background1" w:themeShade="A6"/>
              <w:bottom w:val="single" w:sz="4" w:space="0" w:color="A6A6A6"/>
            </w:tcBorders>
          </w:tcPr>
          <w:p w14:paraId="4F0AADC9" w14:textId="77777777" w:rsidR="00FA7EBF" w:rsidRPr="007939DD" w:rsidRDefault="00FA7EBF" w:rsidP="007B207C">
            <w:pPr>
              <w:pStyle w:val="ARfintablebodyright"/>
              <w:rPr>
                <w:lang w:eastAsia="en-AU"/>
              </w:rPr>
            </w:pPr>
            <w:r w:rsidRPr="00291DAB">
              <w:t>23.4</w:t>
            </w:r>
          </w:p>
        </w:tc>
        <w:tc>
          <w:tcPr>
            <w:tcW w:w="1017" w:type="dxa"/>
            <w:tcBorders>
              <w:top w:val="single" w:sz="4" w:space="0" w:color="A6A6A6" w:themeColor="background1" w:themeShade="A6"/>
              <w:bottom w:val="single" w:sz="4" w:space="0" w:color="A6A6A6"/>
            </w:tcBorders>
          </w:tcPr>
          <w:p w14:paraId="67B9D647" w14:textId="77777777" w:rsidR="00FA7EBF" w:rsidRPr="007939DD" w:rsidRDefault="00FA7EBF" w:rsidP="007B207C">
            <w:pPr>
              <w:pStyle w:val="ARfintablebodyright"/>
              <w:rPr>
                <w:lang w:eastAsia="en-AU"/>
              </w:rPr>
            </w:pPr>
            <w:r w:rsidRPr="00291DAB">
              <w:t>6.6</w:t>
            </w:r>
          </w:p>
        </w:tc>
      </w:tr>
      <w:tr w:rsidR="00FA7EBF" w:rsidRPr="007939DD" w14:paraId="1FCA1F54" w14:textId="77777777" w:rsidTr="007B207C">
        <w:trPr>
          <w:cantSplit/>
        </w:trPr>
        <w:tc>
          <w:tcPr>
            <w:tcW w:w="2520" w:type="dxa"/>
            <w:tcBorders>
              <w:top w:val="single" w:sz="4" w:space="0" w:color="A6A6A6"/>
            </w:tcBorders>
          </w:tcPr>
          <w:p w14:paraId="40082628" w14:textId="77777777" w:rsidR="00FA7EBF" w:rsidRPr="007939DD" w:rsidRDefault="00FA7EBF" w:rsidP="007B207C">
            <w:pPr>
              <w:pStyle w:val="ARfintablebody"/>
              <w:rPr>
                <w:lang w:eastAsia="en-AU"/>
              </w:rPr>
            </w:pPr>
            <w:r w:rsidRPr="00291DAB">
              <w:t>Finance lease liabilities</w:t>
            </w:r>
          </w:p>
        </w:tc>
        <w:tc>
          <w:tcPr>
            <w:tcW w:w="1017" w:type="dxa"/>
            <w:tcBorders>
              <w:top w:val="single" w:sz="4" w:space="0" w:color="A6A6A6"/>
            </w:tcBorders>
          </w:tcPr>
          <w:p w14:paraId="13ACB0DD" w14:textId="77777777" w:rsidR="00FA7EBF" w:rsidRPr="007939DD" w:rsidRDefault="00FA7EBF" w:rsidP="007B207C">
            <w:pPr>
              <w:pStyle w:val="ARfintablebodyright"/>
              <w:rPr>
                <w:lang w:eastAsia="en-AU"/>
              </w:rPr>
            </w:pPr>
            <w:r w:rsidRPr="00291DAB">
              <w:t>51.7</w:t>
            </w:r>
          </w:p>
        </w:tc>
        <w:tc>
          <w:tcPr>
            <w:tcW w:w="1017" w:type="dxa"/>
            <w:tcBorders>
              <w:top w:val="single" w:sz="4" w:space="0" w:color="A6A6A6"/>
            </w:tcBorders>
          </w:tcPr>
          <w:p w14:paraId="6309CA13" w14:textId="77777777" w:rsidR="00FA7EBF" w:rsidRPr="007939DD" w:rsidRDefault="00FA7EBF" w:rsidP="007B207C">
            <w:pPr>
              <w:pStyle w:val="ARfintablebodyright"/>
              <w:rPr>
                <w:lang w:eastAsia="en-AU"/>
              </w:rPr>
            </w:pPr>
            <w:r w:rsidRPr="00291DAB">
              <w:t>53.6</w:t>
            </w:r>
          </w:p>
        </w:tc>
        <w:tc>
          <w:tcPr>
            <w:tcW w:w="1017" w:type="dxa"/>
            <w:tcBorders>
              <w:top w:val="single" w:sz="4" w:space="0" w:color="A6A6A6"/>
            </w:tcBorders>
          </w:tcPr>
          <w:p w14:paraId="099A3929" w14:textId="77777777" w:rsidR="00FA7EBF" w:rsidRPr="007939DD" w:rsidRDefault="00FA7EBF" w:rsidP="007B207C">
            <w:pPr>
              <w:pStyle w:val="ARfintablebodyright"/>
              <w:rPr>
                <w:lang w:eastAsia="en-AU"/>
              </w:rPr>
            </w:pPr>
            <w:r w:rsidRPr="00291DAB">
              <w:t>6.1</w:t>
            </w:r>
          </w:p>
        </w:tc>
        <w:tc>
          <w:tcPr>
            <w:tcW w:w="1017" w:type="dxa"/>
            <w:tcBorders>
              <w:top w:val="single" w:sz="4" w:space="0" w:color="A6A6A6"/>
            </w:tcBorders>
          </w:tcPr>
          <w:p w14:paraId="7C8F8FD7" w14:textId="77777777" w:rsidR="00FA7EBF" w:rsidRPr="007939DD" w:rsidRDefault="00FA7EBF" w:rsidP="007B207C">
            <w:pPr>
              <w:pStyle w:val="ARfintablebodyright"/>
              <w:rPr>
                <w:lang w:eastAsia="en-AU"/>
              </w:rPr>
            </w:pPr>
            <w:r w:rsidRPr="00291DAB">
              <w:t>4.1</w:t>
            </w:r>
          </w:p>
        </w:tc>
        <w:tc>
          <w:tcPr>
            <w:tcW w:w="1017" w:type="dxa"/>
            <w:tcBorders>
              <w:top w:val="single" w:sz="4" w:space="0" w:color="A6A6A6"/>
            </w:tcBorders>
          </w:tcPr>
          <w:p w14:paraId="2A8E22EB" w14:textId="77777777" w:rsidR="00FA7EBF" w:rsidRPr="007939DD" w:rsidRDefault="00FA7EBF" w:rsidP="007B207C">
            <w:pPr>
              <w:pStyle w:val="ARfintablebodyright"/>
              <w:rPr>
                <w:lang w:eastAsia="en-AU"/>
              </w:rPr>
            </w:pPr>
            <w:r w:rsidRPr="00291DAB">
              <w:t>16.5</w:t>
            </w:r>
          </w:p>
        </w:tc>
        <w:tc>
          <w:tcPr>
            <w:tcW w:w="1017" w:type="dxa"/>
            <w:tcBorders>
              <w:top w:val="single" w:sz="4" w:space="0" w:color="A6A6A6"/>
            </w:tcBorders>
          </w:tcPr>
          <w:p w14:paraId="29DE55EF" w14:textId="77777777" w:rsidR="00FA7EBF" w:rsidRPr="007939DD" w:rsidRDefault="00FA7EBF" w:rsidP="007B207C">
            <w:pPr>
              <w:pStyle w:val="ARfintablebodyright"/>
              <w:rPr>
                <w:lang w:eastAsia="en-AU"/>
              </w:rPr>
            </w:pPr>
            <w:r w:rsidRPr="00291DAB">
              <w:t>26.9</w:t>
            </w:r>
          </w:p>
        </w:tc>
        <w:tc>
          <w:tcPr>
            <w:tcW w:w="1017" w:type="dxa"/>
            <w:tcBorders>
              <w:top w:val="single" w:sz="4" w:space="0" w:color="A6A6A6"/>
            </w:tcBorders>
          </w:tcPr>
          <w:p w14:paraId="51936D04" w14:textId="77777777" w:rsidR="00FA7EBF" w:rsidRPr="007939DD" w:rsidRDefault="00FA7EBF" w:rsidP="007B207C">
            <w:pPr>
              <w:pStyle w:val="ARfintablebodyright"/>
              <w:rPr>
                <w:lang w:eastAsia="en-AU"/>
              </w:rPr>
            </w:pPr>
            <w:r w:rsidRPr="00291DAB">
              <w:t>–</w:t>
            </w:r>
          </w:p>
        </w:tc>
      </w:tr>
      <w:tr w:rsidR="00FA7EBF" w:rsidRPr="007939DD" w14:paraId="31A0BE21" w14:textId="77777777" w:rsidTr="007B207C">
        <w:trPr>
          <w:cantSplit/>
        </w:trPr>
        <w:tc>
          <w:tcPr>
            <w:tcW w:w="2520" w:type="dxa"/>
          </w:tcPr>
          <w:p w14:paraId="28208A12" w14:textId="77777777" w:rsidR="00FA7EBF" w:rsidRPr="007939DD" w:rsidRDefault="00FA7EBF" w:rsidP="007B207C">
            <w:pPr>
              <w:pStyle w:val="ARfintablebodybold"/>
              <w:rPr>
                <w:lang w:eastAsia="en-AU"/>
              </w:rPr>
            </w:pPr>
            <w:r w:rsidRPr="00291DAB">
              <w:t>Total</w:t>
            </w:r>
          </w:p>
        </w:tc>
        <w:tc>
          <w:tcPr>
            <w:tcW w:w="1017" w:type="dxa"/>
          </w:tcPr>
          <w:p w14:paraId="035DA2FE" w14:textId="77777777" w:rsidR="00FA7EBF" w:rsidRPr="007939DD" w:rsidRDefault="00FA7EBF" w:rsidP="007B207C">
            <w:pPr>
              <w:pStyle w:val="ARfintablebodyrightbold"/>
              <w:rPr>
                <w:lang w:eastAsia="en-AU"/>
              </w:rPr>
            </w:pPr>
            <w:r w:rsidRPr="00291DAB">
              <w:t>135.1</w:t>
            </w:r>
          </w:p>
        </w:tc>
        <w:tc>
          <w:tcPr>
            <w:tcW w:w="1017" w:type="dxa"/>
          </w:tcPr>
          <w:p w14:paraId="3A42A491" w14:textId="77777777" w:rsidR="00FA7EBF" w:rsidRPr="007939DD" w:rsidRDefault="00FA7EBF" w:rsidP="007B207C">
            <w:pPr>
              <w:pStyle w:val="ARfintablebodyrightbold"/>
              <w:rPr>
                <w:rStyle w:val="Strong"/>
              </w:rPr>
            </w:pPr>
            <w:r w:rsidRPr="00291DAB">
              <w:t>137.0</w:t>
            </w:r>
          </w:p>
        </w:tc>
        <w:tc>
          <w:tcPr>
            <w:tcW w:w="1017" w:type="dxa"/>
          </w:tcPr>
          <w:p w14:paraId="29B034A8" w14:textId="77777777" w:rsidR="00FA7EBF" w:rsidRPr="007939DD" w:rsidRDefault="00FA7EBF" w:rsidP="007B207C">
            <w:pPr>
              <w:pStyle w:val="ARfintablebodyrightbold"/>
              <w:rPr>
                <w:lang w:eastAsia="en-AU"/>
              </w:rPr>
            </w:pPr>
            <w:r w:rsidRPr="00291DAB">
              <w:t>59.5</w:t>
            </w:r>
          </w:p>
        </w:tc>
        <w:tc>
          <w:tcPr>
            <w:tcW w:w="1017" w:type="dxa"/>
          </w:tcPr>
          <w:p w14:paraId="67E0CCAC" w14:textId="77777777" w:rsidR="00FA7EBF" w:rsidRPr="007939DD" w:rsidRDefault="00FA7EBF" w:rsidP="007B207C">
            <w:pPr>
              <w:pStyle w:val="ARfintablebodyrightbold"/>
              <w:rPr>
                <w:lang w:eastAsia="en-AU"/>
              </w:rPr>
            </w:pPr>
            <w:r w:rsidRPr="00291DAB">
              <w:t>4.1</w:t>
            </w:r>
          </w:p>
        </w:tc>
        <w:tc>
          <w:tcPr>
            <w:tcW w:w="1017" w:type="dxa"/>
          </w:tcPr>
          <w:p w14:paraId="3618D2CE" w14:textId="77777777" w:rsidR="00FA7EBF" w:rsidRPr="007939DD" w:rsidRDefault="00FA7EBF" w:rsidP="007B207C">
            <w:pPr>
              <w:pStyle w:val="ARfintablebodyrightbold"/>
              <w:rPr>
                <w:lang w:eastAsia="en-AU"/>
              </w:rPr>
            </w:pPr>
            <w:r w:rsidRPr="00291DAB">
              <w:t>16.5</w:t>
            </w:r>
          </w:p>
        </w:tc>
        <w:tc>
          <w:tcPr>
            <w:tcW w:w="1017" w:type="dxa"/>
          </w:tcPr>
          <w:p w14:paraId="715BE706" w14:textId="77777777" w:rsidR="00FA7EBF" w:rsidRPr="007939DD" w:rsidRDefault="00FA7EBF" w:rsidP="007B207C">
            <w:pPr>
              <w:pStyle w:val="ARfintablebodyrightbold"/>
              <w:rPr>
                <w:lang w:eastAsia="en-AU"/>
              </w:rPr>
            </w:pPr>
            <w:r w:rsidRPr="00291DAB">
              <w:t>50.3</w:t>
            </w:r>
          </w:p>
        </w:tc>
        <w:tc>
          <w:tcPr>
            <w:tcW w:w="1017" w:type="dxa"/>
          </w:tcPr>
          <w:p w14:paraId="6DBAC83D" w14:textId="77777777" w:rsidR="00FA7EBF" w:rsidRPr="007939DD" w:rsidRDefault="00FA7EBF" w:rsidP="007B207C">
            <w:pPr>
              <w:pStyle w:val="ARfintablebodyrightbold"/>
              <w:rPr>
                <w:rStyle w:val="Strong"/>
              </w:rPr>
            </w:pPr>
            <w:r w:rsidRPr="00291DAB">
              <w:t>6.6</w:t>
            </w:r>
          </w:p>
        </w:tc>
      </w:tr>
    </w:tbl>
    <w:p w14:paraId="7EAAB61A" w14:textId="77777777" w:rsidR="00FA7EBF" w:rsidRDefault="00FA7EBF" w:rsidP="00CA66FD">
      <w:pPr>
        <w:pStyle w:val="Heading5"/>
        <w:rPr>
          <w:lang w:eastAsia="en-AU"/>
        </w:rPr>
      </w:pPr>
      <w:r w:rsidRPr="00194D78">
        <w:rPr>
          <w:lang w:eastAsia="en-AU"/>
        </w:rPr>
        <w:t>7.1.2 Interest expense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67705D00" w14:textId="77777777" w:rsidTr="007B207C">
        <w:trPr>
          <w:cantSplit/>
          <w:tblHeader/>
        </w:trPr>
        <w:tc>
          <w:tcPr>
            <w:tcW w:w="7371" w:type="dxa"/>
            <w:vAlign w:val="bottom"/>
          </w:tcPr>
          <w:p w14:paraId="7618F389" w14:textId="77777777" w:rsidR="00FA7EBF" w:rsidRPr="007939DD" w:rsidRDefault="00FA7EBF" w:rsidP="007B207C">
            <w:pPr>
              <w:pStyle w:val="ARfintablecolhead"/>
            </w:pPr>
          </w:p>
        </w:tc>
        <w:tc>
          <w:tcPr>
            <w:tcW w:w="1134" w:type="dxa"/>
            <w:shd w:val="clear" w:color="auto" w:fill="E7E6E6"/>
            <w:vAlign w:val="bottom"/>
          </w:tcPr>
          <w:p w14:paraId="3643C4C8" w14:textId="77777777" w:rsidR="00FA7EBF" w:rsidRPr="007939DD" w:rsidRDefault="00FA7EBF" w:rsidP="007B207C">
            <w:pPr>
              <w:pStyle w:val="ARfintablecolheadright"/>
            </w:pPr>
            <w:r w:rsidRPr="007939DD">
              <w:t>201</w:t>
            </w:r>
            <w:r>
              <w:t>9</w:t>
            </w:r>
          </w:p>
          <w:p w14:paraId="60E109CA" w14:textId="77777777" w:rsidR="00FA7EBF" w:rsidRPr="007939DD" w:rsidRDefault="00FA7EBF" w:rsidP="007B207C">
            <w:pPr>
              <w:pStyle w:val="ARfintablecolheadright"/>
            </w:pPr>
            <w:r w:rsidRPr="007939DD">
              <w:t>$M</w:t>
            </w:r>
          </w:p>
        </w:tc>
        <w:tc>
          <w:tcPr>
            <w:tcW w:w="1134" w:type="dxa"/>
            <w:vAlign w:val="bottom"/>
          </w:tcPr>
          <w:p w14:paraId="3441821F" w14:textId="77777777" w:rsidR="00FA7EBF" w:rsidRPr="007939DD" w:rsidRDefault="00FA7EBF" w:rsidP="007B207C">
            <w:pPr>
              <w:pStyle w:val="ARfintablecolheadright"/>
            </w:pPr>
            <w:r w:rsidRPr="007939DD">
              <w:t>201</w:t>
            </w:r>
            <w:r>
              <w:t>8</w:t>
            </w:r>
          </w:p>
          <w:p w14:paraId="50299CC7" w14:textId="77777777" w:rsidR="00FA7EBF" w:rsidRPr="007939DD" w:rsidRDefault="00FA7EBF" w:rsidP="007B207C">
            <w:pPr>
              <w:pStyle w:val="ARfintablecolheadright"/>
            </w:pPr>
            <w:r w:rsidRPr="007939DD">
              <w:t>$M</w:t>
            </w:r>
          </w:p>
        </w:tc>
      </w:tr>
      <w:tr w:rsidR="00FA7EBF" w:rsidRPr="007939DD" w14:paraId="3A989F71" w14:textId="77777777" w:rsidTr="007B207C">
        <w:trPr>
          <w:cantSplit/>
        </w:trPr>
        <w:tc>
          <w:tcPr>
            <w:tcW w:w="7371" w:type="dxa"/>
            <w:tcBorders>
              <w:top w:val="single" w:sz="4" w:space="0" w:color="A6A6A6" w:themeColor="background1" w:themeShade="A6"/>
            </w:tcBorders>
          </w:tcPr>
          <w:p w14:paraId="5CACB99E" w14:textId="77777777" w:rsidR="00FA7EBF" w:rsidRPr="007939DD" w:rsidRDefault="00FA7EBF" w:rsidP="007B207C">
            <w:pPr>
              <w:pStyle w:val="ARfintablebody"/>
              <w:rPr>
                <w:lang w:eastAsia="en-AU"/>
              </w:rPr>
            </w:pPr>
            <w:r w:rsidRPr="00B24EB4">
              <w:t>Finance lease costs</w:t>
            </w:r>
          </w:p>
        </w:tc>
        <w:tc>
          <w:tcPr>
            <w:tcW w:w="1134" w:type="dxa"/>
            <w:tcBorders>
              <w:top w:val="single" w:sz="4" w:space="0" w:color="A6A6A6" w:themeColor="background1" w:themeShade="A6"/>
            </w:tcBorders>
            <w:shd w:val="clear" w:color="auto" w:fill="E7E6E6"/>
          </w:tcPr>
          <w:p w14:paraId="6959BC76" w14:textId="77777777" w:rsidR="00FA7EBF" w:rsidRPr="007939DD" w:rsidRDefault="00FA7EBF" w:rsidP="007B207C">
            <w:pPr>
              <w:pStyle w:val="ARfintablebodyright"/>
              <w:rPr>
                <w:lang w:eastAsia="en-AU"/>
              </w:rPr>
            </w:pPr>
            <w:r w:rsidRPr="00B24EB4">
              <w:t>0.6</w:t>
            </w:r>
          </w:p>
        </w:tc>
        <w:tc>
          <w:tcPr>
            <w:tcW w:w="1134" w:type="dxa"/>
            <w:tcBorders>
              <w:top w:val="single" w:sz="4" w:space="0" w:color="A6A6A6" w:themeColor="background1" w:themeShade="A6"/>
            </w:tcBorders>
          </w:tcPr>
          <w:p w14:paraId="329FE172" w14:textId="77777777" w:rsidR="00FA7EBF" w:rsidRPr="007939DD" w:rsidRDefault="00FA7EBF" w:rsidP="007B207C">
            <w:pPr>
              <w:pStyle w:val="ARfintablebodyright"/>
              <w:rPr>
                <w:lang w:eastAsia="en-AU"/>
              </w:rPr>
            </w:pPr>
            <w:r w:rsidRPr="00B24EB4">
              <w:t>0.8</w:t>
            </w:r>
          </w:p>
        </w:tc>
      </w:tr>
      <w:tr w:rsidR="00FA7EBF" w:rsidRPr="007939DD" w14:paraId="37773AAB" w14:textId="77777777" w:rsidTr="007B207C">
        <w:trPr>
          <w:cantSplit/>
        </w:trPr>
        <w:tc>
          <w:tcPr>
            <w:tcW w:w="7371" w:type="dxa"/>
          </w:tcPr>
          <w:p w14:paraId="0C298167" w14:textId="77777777" w:rsidR="00FA7EBF" w:rsidRPr="007939DD" w:rsidRDefault="00FA7EBF" w:rsidP="007B207C">
            <w:pPr>
              <w:pStyle w:val="ARfintablebodybold"/>
              <w:rPr>
                <w:rStyle w:val="Strong"/>
              </w:rPr>
            </w:pPr>
            <w:r w:rsidRPr="00B24EB4">
              <w:t>Total interest expense</w:t>
            </w:r>
          </w:p>
        </w:tc>
        <w:tc>
          <w:tcPr>
            <w:tcW w:w="1134" w:type="dxa"/>
            <w:shd w:val="clear" w:color="auto" w:fill="E7E6E6"/>
          </w:tcPr>
          <w:p w14:paraId="2F560D9B" w14:textId="77777777" w:rsidR="00FA7EBF" w:rsidRPr="007939DD" w:rsidRDefault="00FA7EBF" w:rsidP="007B207C">
            <w:pPr>
              <w:pStyle w:val="ARfintablebodyrightbold"/>
              <w:rPr>
                <w:lang w:eastAsia="en-AU"/>
              </w:rPr>
            </w:pPr>
            <w:r w:rsidRPr="00B24EB4">
              <w:t>0.6</w:t>
            </w:r>
          </w:p>
        </w:tc>
        <w:tc>
          <w:tcPr>
            <w:tcW w:w="1134" w:type="dxa"/>
          </w:tcPr>
          <w:p w14:paraId="1354CE33" w14:textId="77777777" w:rsidR="00FA7EBF" w:rsidRPr="007939DD" w:rsidRDefault="00FA7EBF" w:rsidP="007B207C">
            <w:pPr>
              <w:pStyle w:val="ARfintablebodyrightbold"/>
              <w:rPr>
                <w:rStyle w:val="Strong"/>
              </w:rPr>
            </w:pPr>
            <w:r w:rsidRPr="00B24EB4">
              <w:t>0.8</w:t>
            </w:r>
          </w:p>
        </w:tc>
      </w:tr>
    </w:tbl>
    <w:p w14:paraId="7412782D" w14:textId="77777777" w:rsidR="00FA7EBF" w:rsidRDefault="00FA7EBF" w:rsidP="00FA7EBF">
      <w:pPr>
        <w:pStyle w:val="ARfinbodyaftertable"/>
        <w:spacing w:before="40"/>
      </w:pPr>
      <w:r>
        <w:t>‘</w:t>
      </w:r>
      <w:r w:rsidRPr="00194D78">
        <w:t>Interest expense</w:t>
      </w:r>
      <w:r>
        <w:t>’</w:t>
      </w:r>
      <w:r w:rsidRPr="00194D78">
        <w:t xml:space="preserve"> includes costs incurred in connection with the borrowing of funds and includes interest on bank overdrafts and short</w:t>
      </w:r>
      <w:r>
        <w:t>-</w:t>
      </w:r>
      <w:r w:rsidRPr="00194D78">
        <w:t>term and long</w:t>
      </w:r>
      <w:r>
        <w:t>-</w:t>
      </w:r>
      <w:r w:rsidRPr="00194D78">
        <w:t>term borrowings, amortisation of discounts or premiums relating to borrowings and interest component of finance leases repayments.</w:t>
      </w:r>
    </w:p>
    <w:p w14:paraId="0399502F" w14:textId="77777777" w:rsidR="00FA7EBF" w:rsidRDefault="00FA7EBF" w:rsidP="00CA66FD">
      <w:pPr>
        <w:pStyle w:val="ARfinbody"/>
      </w:pPr>
      <w:r w:rsidRPr="00194D78">
        <w:t>Interest expense is recognised in the period in which it is incurred.</w:t>
      </w:r>
    </w:p>
    <w:p w14:paraId="2BA5DC0A" w14:textId="77777777" w:rsidR="00FA7EBF" w:rsidRDefault="00FA7EBF" w:rsidP="00CA66FD">
      <w:pPr>
        <w:pStyle w:val="ARfinbody"/>
      </w:pPr>
      <w:r w:rsidRPr="00194D78">
        <w:t>The department recognises borrowing costs immediately as an expense, even where they are directly attributable to the acquisition, construction or production of a qualifying asset.</w:t>
      </w:r>
    </w:p>
    <w:p w14:paraId="14F7319E" w14:textId="77777777" w:rsidR="00FA7EBF" w:rsidRPr="000A2831" w:rsidRDefault="00FA7EBF" w:rsidP="00CA66FD">
      <w:pPr>
        <w:pStyle w:val="Heading4"/>
        <w:rPr>
          <w:lang w:eastAsia="en-AU"/>
        </w:rPr>
      </w:pPr>
      <w:r w:rsidRPr="000A2831">
        <w:rPr>
          <w:lang w:eastAsia="en-AU"/>
        </w:rPr>
        <w:t>7.2 Leases</w:t>
      </w:r>
    </w:p>
    <w:p w14:paraId="6A3746E6" w14:textId="77777777" w:rsidR="00FA7EBF" w:rsidRDefault="00FA7EBF" w:rsidP="00FA7EBF">
      <w:pPr>
        <w:pStyle w:val="Heading5"/>
        <w:spacing w:before="60" w:after="40"/>
        <w:rPr>
          <w:lang w:eastAsia="en-AU"/>
        </w:rPr>
      </w:pPr>
      <w:r w:rsidRPr="000A2831">
        <w:rPr>
          <w:lang w:eastAsia="en-AU"/>
        </w:rPr>
        <w:t>7.2.1 Finance lease liabilities (department as lessee)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1134"/>
        <w:gridCol w:w="1134"/>
        <w:gridCol w:w="1134"/>
        <w:gridCol w:w="1134"/>
      </w:tblGrid>
      <w:tr w:rsidR="00FA7EBF" w:rsidRPr="007939DD" w14:paraId="5CAEDFF7" w14:textId="77777777" w:rsidTr="007B207C">
        <w:trPr>
          <w:cantSplit/>
          <w:tblHeader/>
        </w:trPr>
        <w:tc>
          <w:tcPr>
            <w:tcW w:w="5103" w:type="dxa"/>
            <w:vMerge w:val="restart"/>
            <w:vAlign w:val="bottom"/>
          </w:tcPr>
          <w:p w14:paraId="65A7D0DA" w14:textId="77777777" w:rsidR="00FA7EBF" w:rsidRPr="007939DD" w:rsidRDefault="00FA7EBF" w:rsidP="007B207C">
            <w:pPr>
              <w:pStyle w:val="ARfintablecolhead"/>
            </w:pPr>
          </w:p>
        </w:tc>
        <w:tc>
          <w:tcPr>
            <w:tcW w:w="2268" w:type="dxa"/>
            <w:gridSpan w:val="2"/>
            <w:vAlign w:val="bottom"/>
          </w:tcPr>
          <w:p w14:paraId="7204193A" w14:textId="77777777" w:rsidR="00FA7EBF" w:rsidRPr="007939DD" w:rsidRDefault="00FA7EBF" w:rsidP="007B207C">
            <w:pPr>
              <w:pStyle w:val="ARfintablecolheadcentre"/>
            </w:pPr>
            <w:r w:rsidRPr="007939DD">
              <w:t xml:space="preserve">Minimum future </w:t>
            </w:r>
            <w:r w:rsidRPr="007939DD">
              <w:br/>
              <w:t xml:space="preserve">lease payments </w:t>
            </w:r>
            <w:r w:rsidRPr="007939DD">
              <w:rPr>
                <w:rStyle w:val="Superscriptbold"/>
              </w:rPr>
              <w:t>(i)</w:t>
            </w:r>
          </w:p>
        </w:tc>
        <w:tc>
          <w:tcPr>
            <w:tcW w:w="2268" w:type="dxa"/>
            <w:gridSpan w:val="2"/>
            <w:vAlign w:val="bottom"/>
          </w:tcPr>
          <w:p w14:paraId="2248C4B4" w14:textId="77777777" w:rsidR="00FA7EBF" w:rsidRPr="007939DD" w:rsidRDefault="00FA7EBF" w:rsidP="007B207C">
            <w:pPr>
              <w:pStyle w:val="ARfintablecolheadcentre"/>
            </w:pPr>
            <w:r w:rsidRPr="007939DD">
              <w:t>Present value of minimum future lease payments</w:t>
            </w:r>
          </w:p>
        </w:tc>
      </w:tr>
      <w:tr w:rsidR="00FA7EBF" w:rsidRPr="007939DD" w14:paraId="3F3813D1" w14:textId="77777777" w:rsidTr="007B207C">
        <w:trPr>
          <w:cantSplit/>
          <w:tblHeader/>
        </w:trPr>
        <w:tc>
          <w:tcPr>
            <w:tcW w:w="5103" w:type="dxa"/>
            <w:vMerge/>
            <w:vAlign w:val="bottom"/>
          </w:tcPr>
          <w:p w14:paraId="3BD2F7DF" w14:textId="77777777" w:rsidR="00FA7EBF" w:rsidRPr="007939DD" w:rsidRDefault="00FA7EBF" w:rsidP="007B207C">
            <w:pPr>
              <w:pStyle w:val="ARfintablecolheadright"/>
            </w:pPr>
          </w:p>
        </w:tc>
        <w:tc>
          <w:tcPr>
            <w:tcW w:w="1134" w:type="dxa"/>
            <w:shd w:val="clear" w:color="auto" w:fill="E7E6E6"/>
            <w:vAlign w:val="bottom"/>
          </w:tcPr>
          <w:p w14:paraId="277C0A7E" w14:textId="77777777" w:rsidR="00FA7EBF" w:rsidRPr="007939DD" w:rsidRDefault="00FA7EBF" w:rsidP="007B207C">
            <w:pPr>
              <w:pStyle w:val="ARfintablecolheadright"/>
            </w:pPr>
            <w:r w:rsidRPr="007939DD">
              <w:t>201</w:t>
            </w:r>
            <w:r>
              <w:t>9</w:t>
            </w:r>
          </w:p>
          <w:p w14:paraId="5CAB4D80" w14:textId="77777777" w:rsidR="00FA7EBF" w:rsidRPr="007939DD" w:rsidRDefault="00FA7EBF" w:rsidP="007B207C">
            <w:pPr>
              <w:pStyle w:val="ARfintablecolheadright"/>
            </w:pPr>
            <w:r w:rsidRPr="007939DD">
              <w:t>$M</w:t>
            </w:r>
          </w:p>
        </w:tc>
        <w:tc>
          <w:tcPr>
            <w:tcW w:w="1134" w:type="dxa"/>
            <w:vAlign w:val="bottom"/>
          </w:tcPr>
          <w:p w14:paraId="32C91D83" w14:textId="77777777" w:rsidR="00FA7EBF" w:rsidRPr="007939DD" w:rsidRDefault="00FA7EBF" w:rsidP="007B207C">
            <w:pPr>
              <w:pStyle w:val="ARfintablecolheadright"/>
            </w:pPr>
            <w:r w:rsidRPr="007939DD">
              <w:t>201</w:t>
            </w:r>
            <w:r>
              <w:t>8</w:t>
            </w:r>
          </w:p>
          <w:p w14:paraId="687E07A6" w14:textId="77777777" w:rsidR="00FA7EBF" w:rsidRPr="007939DD" w:rsidRDefault="00FA7EBF" w:rsidP="007B207C">
            <w:pPr>
              <w:pStyle w:val="ARfintablecolheadright"/>
            </w:pPr>
            <w:r w:rsidRPr="007939DD">
              <w:t>$M</w:t>
            </w:r>
          </w:p>
        </w:tc>
        <w:tc>
          <w:tcPr>
            <w:tcW w:w="1134" w:type="dxa"/>
            <w:shd w:val="clear" w:color="auto" w:fill="E7E6E6"/>
            <w:vAlign w:val="bottom"/>
          </w:tcPr>
          <w:p w14:paraId="45F85C12" w14:textId="77777777" w:rsidR="00FA7EBF" w:rsidRPr="007939DD" w:rsidRDefault="00FA7EBF" w:rsidP="007B207C">
            <w:pPr>
              <w:pStyle w:val="ARfintablecolheadright"/>
            </w:pPr>
            <w:r w:rsidRPr="007939DD">
              <w:t>201</w:t>
            </w:r>
            <w:r>
              <w:t>9</w:t>
            </w:r>
          </w:p>
          <w:p w14:paraId="63F1068A" w14:textId="77777777" w:rsidR="00FA7EBF" w:rsidRPr="007939DD" w:rsidRDefault="00FA7EBF" w:rsidP="007B207C">
            <w:pPr>
              <w:pStyle w:val="ARfintablecolheadright"/>
            </w:pPr>
            <w:r w:rsidRPr="007939DD">
              <w:t>$M</w:t>
            </w:r>
          </w:p>
        </w:tc>
        <w:tc>
          <w:tcPr>
            <w:tcW w:w="1134" w:type="dxa"/>
            <w:vAlign w:val="bottom"/>
          </w:tcPr>
          <w:p w14:paraId="3094BA78" w14:textId="77777777" w:rsidR="00FA7EBF" w:rsidRPr="007939DD" w:rsidRDefault="00FA7EBF" w:rsidP="007B207C">
            <w:pPr>
              <w:pStyle w:val="ARfintablecolheadright"/>
            </w:pPr>
            <w:r w:rsidRPr="007939DD">
              <w:t>201</w:t>
            </w:r>
            <w:r>
              <w:t>8</w:t>
            </w:r>
          </w:p>
          <w:p w14:paraId="54C25B5E" w14:textId="77777777" w:rsidR="00FA7EBF" w:rsidRPr="007939DD" w:rsidRDefault="00FA7EBF" w:rsidP="007B207C">
            <w:pPr>
              <w:pStyle w:val="ARfintablecolheadright"/>
            </w:pPr>
            <w:r w:rsidRPr="007939DD">
              <w:t>$M</w:t>
            </w:r>
          </w:p>
        </w:tc>
      </w:tr>
      <w:tr w:rsidR="00FA7EBF" w:rsidRPr="007939DD" w14:paraId="4046881F" w14:textId="77777777" w:rsidTr="007B207C">
        <w:trPr>
          <w:cantSplit/>
        </w:trPr>
        <w:tc>
          <w:tcPr>
            <w:tcW w:w="9639" w:type="dxa"/>
            <w:gridSpan w:val="5"/>
            <w:tcBorders>
              <w:bottom w:val="single" w:sz="4" w:space="0" w:color="A6A6A6" w:themeColor="background1" w:themeShade="A6"/>
            </w:tcBorders>
          </w:tcPr>
          <w:p w14:paraId="655D1DA1" w14:textId="77777777" w:rsidR="00FA7EBF" w:rsidRPr="007939DD" w:rsidRDefault="00FA7EBF" w:rsidP="007B207C">
            <w:pPr>
              <w:pStyle w:val="ARfintablebodybold"/>
              <w:rPr>
                <w:lang w:eastAsia="en-AU"/>
              </w:rPr>
            </w:pPr>
            <w:r w:rsidRPr="00D1044C">
              <w:t xml:space="preserve">Finance lease liabilities payable </w:t>
            </w:r>
            <w:r w:rsidRPr="00D44977">
              <w:rPr>
                <w:rStyle w:val="Superscript"/>
              </w:rPr>
              <w:t>(ii)</w:t>
            </w:r>
          </w:p>
        </w:tc>
      </w:tr>
      <w:tr w:rsidR="00FA7EBF" w:rsidRPr="007939DD" w14:paraId="308A758A" w14:textId="77777777" w:rsidTr="007B207C">
        <w:trPr>
          <w:cantSplit/>
        </w:trPr>
        <w:tc>
          <w:tcPr>
            <w:tcW w:w="5103" w:type="dxa"/>
            <w:tcBorders>
              <w:top w:val="single" w:sz="4" w:space="0" w:color="A6A6A6" w:themeColor="background1" w:themeShade="A6"/>
              <w:bottom w:val="single" w:sz="4" w:space="0" w:color="A6A6A6" w:themeColor="background1" w:themeShade="A6"/>
            </w:tcBorders>
          </w:tcPr>
          <w:p w14:paraId="6CE0F6E8" w14:textId="77777777" w:rsidR="00FA7EBF" w:rsidRPr="007939DD" w:rsidRDefault="00FA7EBF" w:rsidP="007B207C">
            <w:pPr>
              <w:pStyle w:val="ARfintablebody"/>
              <w:rPr>
                <w:lang w:eastAsia="en-AU"/>
              </w:rPr>
            </w:pPr>
            <w:r w:rsidRPr="00D1044C">
              <w:t>Not longer than one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D6D26D5" w14:textId="77777777" w:rsidR="00FA7EBF" w:rsidRPr="007939DD" w:rsidRDefault="00FA7EBF" w:rsidP="007B207C">
            <w:pPr>
              <w:pStyle w:val="ARfintablebodyright"/>
              <w:rPr>
                <w:lang w:eastAsia="en-AU"/>
              </w:rPr>
            </w:pPr>
            <w:r w:rsidRPr="00D1044C">
              <w:t>15.9</w:t>
            </w:r>
          </w:p>
        </w:tc>
        <w:tc>
          <w:tcPr>
            <w:tcW w:w="1134" w:type="dxa"/>
            <w:tcBorders>
              <w:top w:val="single" w:sz="4" w:space="0" w:color="A6A6A6" w:themeColor="background1" w:themeShade="A6"/>
              <w:bottom w:val="single" w:sz="4" w:space="0" w:color="A6A6A6" w:themeColor="background1" w:themeShade="A6"/>
            </w:tcBorders>
          </w:tcPr>
          <w:p w14:paraId="2F77794B" w14:textId="77777777" w:rsidR="00FA7EBF" w:rsidRPr="007939DD" w:rsidRDefault="00FA7EBF" w:rsidP="007B207C">
            <w:pPr>
              <w:pStyle w:val="ARfintablebodyright"/>
              <w:rPr>
                <w:lang w:eastAsia="en-AU"/>
              </w:rPr>
            </w:pPr>
            <w:r w:rsidRPr="00D1044C">
              <w:t>26.7</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57509C4" w14:textId="77777777" w:rsidR="00FA7EBF" w:rsidRPr="007939DD" w:rsidRDefault="00FA7EBF" w:rsidP="007B207C">
            <w:pPr>
              <w:pStyle w:val="ARfintablebodyright"/>
              <w:rPr>
                <w:lang w:eastAsia="en-AU"/>
              </w:rPr>
            </w:pPr>
            <w:r w:rsidRPr="00D1044C">
              <w:t>15.1</w:t>
            </w:r>
          </w:p>
        </w:tc>
        <w:tc>
          <w:tcPr>
            <w:tcW w:w="1134" w:type="dxa"/>
            <w:tcBorders>
              <w:top w:val="single" w:sz="4" w:space="0" w:color="A6A6A6" w:themeColor="background1" w:themeShade="A6"/>
              <w:bottom w:val="single" w:sz="4" w:space="0" w:color="A6A6A6" w:themeColor="background1" w:themeShade="A6"/>
            </w:tcBorders>
          </w:tcPr>
          <w:p w14:paraId="46045DAC" w14:textId="77777777" w:rsidR="00FA7EBF" w:rsidRPr="007939DD" w:rsidRDefault="00FA7EBF" w:rsidP="007B207C">
            <w:pPr>
              <w:pStyle w:val="ARfintablebodyright"/>
              <w:rPr>
                <w:lang w:eastAsia="en-AU"/>
              </w:rPr>
            </w:pPr>
            <w:r w:rsidRPr="00D1044C">
              <w:t>25.6</w:t>
            </w:r>
          </w:p>
        </w:tc>
      </w:tr>
      <w:tr w:rsidR="00FA7EBF" w:rsidRPr="007939DD" w14:paraId="19401A88" w14:textId="77777777" w:rsidTr="007B207C">
        <w:trPr>
          <w:cantSplit/>
        </w:trPr>
        <w:tc>
          <w:tcPr>
            <w:tcW w:w="5103" w:type="dxa"/>
            <w:tcBorders>
              <w:top w:val="single" w:sz="4" w:space="0" w:color="A6A6A6" w:themeColor="background1" w:themeShade="A6"/>
              <w:bottom w:val="single" w:sz="4" w:space="0" w:color="A6A6A6" w:themeColor="background1" w:themeShade="A6"/>
            </w:tcBorders>
          </w:tcPr>
          <w:p w14:paraId="4ACBF1BE" w14:textId="77777777" w:rsidR="00FA7EBF" w:rsidRPr="007939DD" w:rsidRDefault="00FA7EBF" w:rsidP="007B207C">
            <w:pPr>
              <w:pStyle w:val="ARfintablebody"/>
              <w:rPr>
                <w:lang w:eastAsia="en-AU"/>
              </w:rPr>
            </w:pPr>
            <w:r w:rsidRPr="00D1044C">
              <w:t>Longer than one year but not longer than five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D05F239" w14:textId="77777777" w:rsidR="00FA7EBF" w:rsidRPr="007939DD" w:rsidRDefault="00FA7EBF" w:rsidP="007B207C">
            <w:pPr>
              <w:pStyle w:val="ARfintablebodyright"/>
              <w:rPr>
                <w:lang w:eastAsia="en-AU"/>
              </w:rPr>
            </w:pPr>
            <w:r w:rsidRPr="00D1044C">
              <w:t>18.4</w:t>
            </w:r>
          </w:p>
        </w:tc>
        <w:tc>
          <w:tcPr>
            <w:tcW w:w="1134" w:type="dxa"/>
            <w:tcBorders>
              <w:top w:val="single" w:sz="4" w:space="0" w:color="A6A6A6" w:themeColor="background1" w:themeShade="A6"/>
              <w:bottom w:val="single" w:sz="4" w:space="0" w:color="A6A6A6" w:themeColor="background1" w:themeShade="A6"/>
            </w:tcBorders>
          </w:tcPr>
          <w:p w14:paraId="382A3346" w14:textId="77777777" w:rsidR="00FA7EBF" w:rsidRPr="007939DD" w:rsidRDefault="00FA7EBF" w:rsidP="007B207C">
            <w:pPr>
              <w:pStyle w:val="ARfintablebodyright"/>
              <w:rPr>
                <w:lang w:eastAsia="en-AU"/>
              </w:rPr>
            </w:pPr>
            <w:r w:rsidRPr="00D1044C">
              <w:t>26.9</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5FDD19B" w14:textId="77777777" w:rsidR="00FA7EBF" w:rsidRPr="007939DD" w:rsidRDefault="00FA7EBF" w:rsidP="007B207C">
            <w:pPr>
              <w:pStyle w:val="ARfintablebodyright"/>
              <w:rPr>
                <w:lang w:eastAsia="en-AU"/>
              </w:rPr>
            </w:pPr>
            <w:r w:rsidRPr="00D1044C">
              <w:t>17.9</w:t>
            </w:r>
          </w:p>
        </w:tc>
        <w:tc>
          <w:tcPr>
            <w:tcW w:w="1134" w:type="dxa"/>
            <w:tcBorders>
              <w:top w:val="single" w:sz="4" w:space="0" w:color="A6A6A6" w:themeColor="background1" w:themeShade="A6"/>
              <w:bottom w:val="single" w:sz="4" w:space="0" w:color="A6A6A6" w:themeColor="background1" w:themeShade="A6"/>
            </w:tcBorders>
          </w:tcPr>
          <w:p w14:paraId="355F0498" w14:textId="77777777" w:rsidR="00FA7EBF" w:rsidRPr="007939DD" w:rsidRDefault="00FA7EBF" w:rsidP="007B207C">
            <w:pPr>
              <w:pStyle w:val="ARfintablebodyright"/>
              <w:rPr>
                <w:lang w:eastAsia="en-AU"/>
              </w:rPr>
            </w:pPr>
            <w:r w:rsidRPr="00D1044C">
              <w:t>26.1</w:t>
            </w:r>
          </w:p>
        </w:tc>
      </w:tr>
      <w:tr w:rsidR="00FA7EBF" w:rsidRPr="007939DD" w14:paraId="202D7BE1" w14:textId="77777777" w:rsidTr="007B207C">
        <w:trPr>
          <w:cantSplit/>
        </w:trPr>
        <w:tc>
          <w:tcPr>
            <w:tcW w:w="5103" w:type="dxa"/>
            <w:tcBorders>
              <w:top w:val="single" w:sz="4" w:space="0" w:color="A6A6A6" w:themeColor="background1" w:themeShade="A6"/>
            </w:tcBorders>
          </w:tcPr>
          <w:p w14:paraId="4B4688AE" w14:textId="77777777" w:rsidR="00FA7EBF" w:rsidRPr="007939DD" w:rsidRDefault="00FA7EBF" w:rsidP="007B207C">
            <w:pPr>
              <w:pStyle w:val="ARfintablebody"/>
              <w:rPr>
                <w:lang w:eastAsia="en-AU"/>
              </w:rPr>
            </w:pPr>
            <w:r w:rsidRPr="00D1044C">
              <w:t>Longer than five years</w:t>
            </w:r>
          </w:p>
        </w:tc>
        <w:tc>
          <w:tcPr>
            <w:tcW w:w="1134" w:type="dxa"/>
            <w:tcBorders>
              <w:top w:val="single" w:sz="4" w:space="0" w:color="A6A6A6" w:themeColor="background1" w:themeShade="A6"/>
            </w:tcBorders>
            <w:shd w:val="clear" w:color="auto" w:fill="E7E6E6"/>
          </w:tcPr>
          <w:p w14:paraId="6BF65AAB" w14:textId="77777777" w:rsidR="00FA7EBF" w:rsidRPr="007939DD" w:rsidRDefault="00FA7EBF" w:rsidP="007B207C">
            <w:pPr>
              <w:pStyle w:val="ARfintablebodyright"/>
              <w:rPr>
                <w:lang w:eastAsia="en-AU"/>
              </w:rPr>
            </w:pPr>
            <w:r w:rsidRPr="00D1044C">
              <w:t>–</w:t>
            </w:r>
          </w:p>
        </w:tc>
        <w:tc>
          <w:tcPr>
            <w:tcW w:w="1134" w:type="dxa"/>
            <w:tcBorders>
              <w:top w:val="single" w:sz="4" w:space="0" w:color="A6A6A6" w:themeColor="background1" w:themeShade="A6"/>
            </w:tcBorders>
          </w:tcPr>
          <w:p w14:paraId="65013BB1" w14:textId="77777777" w:rsidR="00FA7EBF" w:rsidRPr="007939DD" w:rsidRDefault="00FA7EBF" w:rsidP="007B207C">
            <w:pPr>
              <w:pStyle w:val="ARfintablebodyright"/>
              <w:rPr>
                <w:lang w:eastAsia="en-AU"/>
              </w:rPr>
            </w:pPr>
            <w:r w:rsidRPr="00D1044C">
              <w:t>–</w:t>
            </w:r>
          </w:p>
        </w:tc>
        <w:tc>
          <w:tcPr>
            <w:tcW w:w="1134" w:type="dxa"/>
            <w:tcBorders>
              <w:top w:val="single" w:sz="4" w:space="0" w:color="A6A6A6" w:themeColor="background1" w:themeShade="A6"/>
            </w:tcBorders>
            <w:shd w:val="clear" w:color="auto" w:fill="E7E6E6"/>
          </w:tcPr>
          <w:p w14:paraId="7B5BF2F4" w14:textId="77777777" w:rsidR="00FA7EBF" w:rsidRPr="007939DD" w:rsidRDefault="00FA7EBF" w:rsidP="007B207C">
            <w:pPr>
              <w:pStyle w:val="ARfintablebodyright"/>
              <w:rPr>
                <w:lang w:eastAsia="en-AU"/>
              </w:rPr>
            </w:pPr>
            <w:r w:rsidRPr="00D1044C">
              <w:t>–</w:t>
            </w:r>
          </w:p>
        </w:tc>
        <w:tc>
          <w:tcPr>
            <w:tcW w:w="1134" w:type="dxa"/>
            <w:tcBorders>
              <w:top w:val="single" w:sz="4" w:space="0" w:color="A6A6A6" w:themeColor="background1" w:themeShade="A6"/>
            </w:tcBorders>
          </w:tcPr>
          <w:p w14:paraId="11846BEF" w14:textId="77777777" w:rsidR="00FA7EBF" w:rsidRPr="007939DD" w:rsidRDefault="00FA7EBF" w:rsidP="007B207C">
            <w:pPr>
              <w:pStyle w:val="ARfintablebodyright"/>
              <w:rPr>
                <w:lang w:eastAsia="en-AU"/>
              </w:rPr>
            </w:pPr>
            <w:r w:rsidRPr="00D1044C">
              <w:t>–</w:t>
            </w:r>
          </w:p>
        </w:tc>
      </w:tr>
      <w:tr w:rsidR="00FA7EBF" w:rsidRPr="007939DD" w14:paraId="56877D93" w14:textId="77777777" w:rsidTr="007B207C">
        <w:trPr>
          <w:cantSplit/>
        </w:trPr>
        <w:tc>
          <w:tcPr>
            <w:tcW w:w="5103" w:type="dxa"/>
            <w:tcBorders>
              <w:bottom w:val="single" w:sz="4" w:space="0" w:color="BFBFBF" w:themeColor="accent4"/>
            </w:tcBorders>
          </w:tcPr>
          <w:p w14:paraId="0BF6283B" w14:textId="77777777" w:rsidR="00FA7EBF" w:rsidRPr="007939DD" w:rsidRDefault="00FA7EBF" w:rsidP="007B207C">
            <w:pPr>
              <w:pStyle w:val="ARfintablebodybold"/>
              <w:rPr>
                <w:rStyle w:val="Strong"/>
                <w:bCs/>
              </w:rPr>
            </w:pPr>
            <w:r w:rsidRPr="00D1044C">
              <w:t>Minimum future lease liabilities payable</w:t>
            </w:r>
          </w:p>
        </w:tc>
        <w:tc>
          <w:tcPr>
            <w:tcW w:w="1134" w:type="dxa"/>
            <w:tcBorders>
              <w:bottom w:val="single" w:sz="4" w:space="0" w:color="BFBFBF" w:themeColor="accent4"/>
            </w:tcBorders>
            <w:shd w:val="clear" w:color="auto" w:fill="E7E6E6"/>
          </w:tcPr>
          <w:p w14:paraId="7D720977" w14:textId="77777777" w:rsidR="00FA7EBF" w:rsidRPr="007939DD" w:rsidRDefault="00FA7EBF" w:rsidP="007B207C">
            <w:pPr>
              <w:pStyle w:val="ARfintablebodyrightbold"/>
              <w:rPr>
                <w:lang w:eastAsia="en-AU"/>
              </w:rPr>
            </w:pPr>
            <w:r w:rsidRPr="00D1044C">
              <w:t>34.3</w:t>
            </w:r>
          </w:p>
        </w:tc>
        <w:tc>
          <w:tcPr>
            <w:tcW w:w="1134" w:type="dxa"/>
            <w:tcBorders>
              <w:bottom w:val="single" w:sz="4" w:space="0" w:color="BFBFBF" w:themeColor="accent4"/>
            </w:tcBorders>
          </w:tcPr>
          <w:p w14:paraId="1AE2169D" w14:textId="77777777" w:rsidR="00FA7EBF" w:rsidRPr="007939DD" w:rsidRDefault="00FA7EBF" w:rsidP="007B207C">
            <w:pPr>
              <w:pStyle w:val="ARfintablebodyrightbold"/>
              <w:rPr>
                <w:lang w:eastAsia="en-AU"/>
              </w:rPr>
            </w:pPr>
            <w:r w:rsidRPr="00D1044C">
              <w:t>53.6</w:t>
            </w:r>
          </w:p>
        </w:tc>
        <w:tc>
          <w:tcPr>
            <w:tcW w:w="1134" w:type="dxa"/>
            <w:tcBorders>
              <w:bottom w:val="single" w:sz="4" w:space="0" w:color="BFBFBF" w:themeColor="accent4"/>
            </w:tcBorders>
            <w:shd w:val="clear" w:color="auto" w:fill="E7E6E6"/>
          </w:tcPr>
          <w:p w14:paraId="6E8A4C97" w14:textId="77777777" w:rsidR="00FA7EBF" w:rsidRPr="007939DD" w:rsidRDefault="00FA7EBF" w:rsidP="007B207C">
            <w:pPr>
              <w:pStyle w:val="ARfintablebodyrightbold"/>
              <w:rPr>
                <w:lang w:eastAsia="en-AU"/>
              </w:rPr>
            </w:pPr>
            <w:r w:rsidRPr="00D1044C">
              <w:t>33.0</w:t>
            </w:r>
          </w:p>
        </w:tc>
        <w:tc>
          <w:tcPr>
            <w:tcW w:w="1134" w:type="dxa"/>
            <w:tcBorders>
              <w:bottom w:val="single" w:sz="4" w:space="0" w:color="BFBFBF" w:themeColor="accent4"/>
            </w:tcBorders>
          </w:tcPr>
          <w:p w14:paraId="4AA9289A" w14:textId="77777777" w:rsidR="00FA7EBF" w:rsidRPr="007939DD" w:rsidRDefault="00FA7EBF" w:rsidP="007B207C">
            <w:pPr>
              <w:pStyle w:val="ARfintablebodyrightbold"/>
              <w:rPr>
                <w:rStyle w:val="Strong"/>
                <w:bCs w:val="0"/>
              </w:rPr>
            </w:pPr>
            <w:r w:rsidRPr="00D1044C">
              <w:t>51.7</w:t>
            </w:r>
          </w:p>
        </w:tc>
      </w:tr>
      <w:tr w:rsidR="00FA7EBF" w:rsidRPr="007939DD" w14:paraId="0C9BE917" w14:textId="77777777" w:rsidTr="007B207C">
        <w:trPr>
          <w:cantSplit/>
        </w:trPr>
        <w:tc>
          <w:tcPr>
            <w:tcW w:w="5103" w:type="dxa"/>
            <w:tcBorders>
              <w:top w:val="single" w:sz="4" w:space="0" w:color="BFBFBF" w:themeColor="accent4"/>
            </w:tcBorders>
          </w:tcPr>
          <w:p w14:paraId="26E9643E" w14:textId="77777777" w:rsidR="00FA7EBF" w:rsidRPr="007939DD" w:rsidRDefault="00FA7EBF" w:rsidP="007B207C">
            <w:pPr>
              <w:pStyle w:val="ARfintablebody"/>
              <w:rPr>
                <w:lang w:eastAsia="en-AU"/>
              </w:rPr>
            </w:pPr>
            <w:r w:rsidRPr="00D1044C">
              <w:t>Less future finance charges</w:t>
            </w:r>
          </w:p>
        </w:tc>
        <w:tc>
          <w:tcPr>
            <w:tcW w:w="1134" w:type="dxa"/>
            <w:tcBorders>
              <w:top w:val="single" w:sz="4" w:space="0" w:color="BFBFBF" w:themeColor="accent4"/>
            </w:tcBorders>
            <w:shd w:val="clear" w:color="auto" w:fill="E7E6E6"/>
          </w:tcPr>
          <w:p w14:paraId="62B77151" w14:textId="77777777" w:rsidR="00FA7EBF" w:rsidRPr="007939DD" w:rsidRDefault="00FA7EBF" w:rsidP="007B207C">
            <w:pPr>
              <w:pStyle w:val="ARfintablebodyright"/>
              <w:rPr>
                <w:lang w:eastAsia="en-AU"/>
              </w:rPr>
            </w:pPr>
            <w:r w:rsidRPr="00D1044C">
              <w:t>(1.2)</w:t>
            </w:r>
          </w:p>
        </w:tc>
        <w:tc>
          <w:tcPr>
            <w:tcW w:w="1134" w:type="dxa"/>
            <w:tcBorders>
              <w:top w:val="single" w:sz="4" w:space="0" w:color="BFBFBF" w:themeColor="accent4"/>
            </w:tcBorders>
          </w:tcPr>
          <w:p w14:paraId="3283259D" w14:textId="77777777" w:rsidR="00FA7EBF" w:rsidRPr="007939DD" w:rsidRDefault="00FA7EBF" w:rsidP="007B207C">
            <w:pPr>
              <w:pStyle w:val="ARfintablebodyright"/>
              <w:rPr>
                <w:lang w:eastAsia="en-AU"/>
              </w:rPr>
            </w:pPr>
            <w:r w:rsidRPr="00D1044C">
              <w:t>(1.9)</w:t>
            </w:r>
          </w:p>
        </w:tc>
        <w:tc>
          <w:tcPr>
            <w:tcW w:w="1134" w:type="dxa"/>
            <w:tcBorders>
              <w:top w:val="single" w:sz="4" w:space="0" w:color="BFBFBF" w:themeColor="accent4"/>
            </w:tcBorders>
            <w:shd w:val="clear" w:color="auto" w:fill="E7E6E6"/>
          </w:tcPr>
          <w:p w14:paraId="6C46D52B" w14:textId="77777777" w:rsidR="00FA7EBF" w:rsidRPr="007939DD" w:rsidRDefault="00FA7EBF" w:rsidP="007B207C">
            <w:pPr>
              <w:pStyle w:val="ARfintablebodyright"/>
              <w:rPr>
                <w:lang w:eastAsia="en-AU"/>
              </w:rPr>
            </w:pPr>
            <w:r w:rsidRPr="00D1044C">
              <w:t>–</w:t>
            </w:r>
          </w:p>
        </w:tc>
        <w:tc>
          <w:tcPr>
            <w:tcW w:w="1134" w:type="dxa"/>
            <w:tcBorders>
              <w:top w:val="single" w:sz="4" w:space="0" w:color="BFBFBF" w:themeColor="accent4"/>
            </w:tcBorders>
          </w:tcPr>
          <w:p w14:paraId="746CCA5B" w14:textId="77777777" w:rsidR="00FA7EBF" w:rsidRPr="007939DD" w:rsidRDefault="00FA7EBF" w:rsidP="007B207C">
            <w:pPr>
              <w:pStyle w:val="ARfintablebodyright"/>
              <w:rPr>
                <w:lang w:eastAsia="en-AU"/>
              </w:rPr>
            </w:pPr>
            <w:r w:rsidRPr="00D1044C">
              <w:t>–</w:t>
            </w:r>
          </w:p>
        </w:tc>
      </w:tr>
      <w:tr w:rsidR="00FA7EBF" w:rsidRPr="007939DD" w14:paraId="4D11049E" w14:textId="77777777" w:rsidTr="007B207C">
        <w:trPr>
          <w:cantSplit/>
        </w:trPr>
        <w:tc>
          <w:tcPr>
            <w:tcW w:w="5103" w:type="dxa"/>
          </w:tcPr>
          <w:p w14:paraId="5449DDB6" w14:textId="77777777" w:rsidR="00FA7EBF" w:rsidRPr="007939DD" w:rsidRDefault="00FA7EBF" w:rsidP="007B207C">
            <w:pPr>
              <w:pStyle w:val="ARfintablebodybold"/>
              <w:rPr>
                <w:rStyle w:val="Strong"/>
                <w:bCs/>
              </w:rPr>
            </w:pPr>
            <w:r w:rsidRPr="00D1044C">
              <w:t>Present value of minimum lease payments</w:t>
            </w:r>
          </w:p>
        </w:tc>
        <w:tc>
          <w:tcPr>
            <w:tcW w:w="1134" w:type="dxa"/>
            <w:shd w:val="clear" w:color="auto" w:fill="E7E6E6"/>
          </w:tcPr>
          <w:p w14:paraId="30CB7E76" w14:textId="77777777" w:rsidR="00FA7EBF" w:rsidRPr="007939DD" w:rsidRDefault="00FA7EBF" w:rsidP="007B207C">
            <w:pPr>
              <w:pStyle w:val="ARfintablebodyrightbold"/>
              <w:rPr>
                <w:lang w:eastAsia="en-AU"/>
              </w:rPr>
            </w:pPr>
            <w:r w:rsidRPr="00D1044C">
              <w:t>33.0</w:t>
            </w:r>
          </w:p>
        </w:tc>
        <w:tc>
          <w:tcPr>
            <w:tcW w:w="1134" w:type="dxa"/>
          </w:tcPr>
          <w:p w14:paraId="09BF4B90" w14:textId="77777777" w:rsidR="00FA7EBF" w:rsidRPr="007939DD" w:rsidRDefault="00FA7EBF" w:rsidP="007B207C">
            <w:pPr>
              <w:pStyle w:val="ARfintablebodyrightbold"/>
              <w:rPr>
                <w:lang w:eastAsia="en-AU"/>
              </w:rPr>
            </w:pPr>
            <w:r w:rsidRPr="00D1044C">
              <w:t>51.7</w:t>
            </w:r>
          </w:p>
        </w:tc>
        <w:tc>
          <w:tcPr>
            <w:tcW w:w="1134" w:type="dxa"/>
            <w:shd w:val="clear" w:color="auto" w:fill="E7E6E6"/>
          </w:tcPr>
          <w:p w14:paraId="0AC28CDC" w14:textId="77777777" w:rsidR="00FA7EBF" w:rsidRPr="007939DD" w:rsidRDefault="00FA7EBF" w:rsidP="007B207C">
            <w:pPr>
              <w:pStyle w:val="ARfintablebodyrightbold"/>
              <w:rPr>
                <w:lang w:eastAsia="en-AU"/>
              </w:rPr>
            </w:pPr>
            <w:r w:rsidRPr="00D1044C">
              <w:t>33.0</w:t>
            </w:r>
          </w:p>
        </w:tc>
        <w:tc>
          <w:tcPr>
            <w:tcW w:w="1134" w:type="dxa"/>
          </w:tcPr>
          <w:p w14:paraId="64A29A94" w14:textId="77777777" w:rsidR="00FA7EBF" w:rsidRPr="007939DD" w:rsidRDefault="00FA7EBF" w:rsidP="007B207C">
            <w:pPr>
              <w:pStyle w:val="ARfintablebodyrightbold"/>
              <w:rPr>
                <w:rStyle w:val="Strong"/>
                <w:bCs w:val="0"/>
              </w:rPr>
            </w:pPr>
            <w:r w:rsidRPr="00D1044C">
              <w:t>51.7</w:t>
            </w:r>
          </w:p>
        </w:tc>
      </w:tr>
      <w:tr w:rsidR="00FA7EBF" w:rsidRPr="007939DD" w14:paraId="7483C47F" w14:textId="77777777" w:rsidTr="007B207C">
        <w:trPr>
          <w:cantSplit/>
        </w:trPr>
        <w:tc>
          <w:tcPr>
            <w:tcW w:w="9639" w:type="dxa"/>
            <w:gridSpan w:val="5"/>
            <w:tcBorders>
              <w:bottom w:val="single" w:sz="4" w:space="0" w:color="A6A6A6" w:themeColor="background1" w:themeShade="A6"/>
            </w:tcBorders>
          </w:tcPr>
          <w:p w14:paraId="20EB0DF9" w14:textId="77777777" w:rsidR="00FA7EBF" w:rsidRPr="007939DD" w:rsidRDefault="00FA7EBF" w:rsidP="007B207C">
            <w:pPr>
              <w:pStyle w:val="ARfintablebody"/>
              <w:rPr>
                <w:lang w:eastAsia="en-AU"/>
              </w:rPr>
            </w:pPr>
            <w:r w:rsidRPr="00D1044C">
              <w:t>Included in the financial statements as:</w:t>
            </w:r>
          </w:p>
        </w:tc>
      </w:tr>
      <w:tr w:rsidR="00FA7EBF" w:rsidRPr="007939DD" w14:paraId="4B7AA2C2" w14:textId="77777777" w:rsidTr="007B207C">
        <w:trPr>
          <w:cantSplit/>
        </w:trPr>
        <w:tc>
          <w:tcPr>
            <w:tcW w:w="5103" w:type="dxa"/>
            <w:tcBorders>
              <w:top w:val="single" w:sz="4" w:space="0" w:color="A6A6A6" w:themeColor="background1" w:themeShade="A6"/>
              <w:bottom w:val="single" w:sz="4" w:space="0" w:color="A6A6A6" w:themeColor="background1" w:themeShade="A6"/>
            </w:tcBorders>
          </w:tcPr>
          <w:p w14:paraId="7E16416E" w14:textId="77777777" w:rsidR="00FA7EBF" w:rsidRPr="007939DD" w:rsidRDefault="00FA7EBF" w:rsidP="007B207C">
            <w:pPr>
              <w:pStyle w:val="ARfintablebody"/>
              <w:rPr>
                <w:lang w:eastAsia="en-AU"/>
              </w:rPr>
            </w:pPr>
            <w:r w:rsidRPr="00D1044C">
              <w:t>Current borrowings lease liabilities (Note 7.1)</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6D91E8F" w14:textId="77777777" w:rsidR="00FA7EBF" w:rsidRPr="007939DD" w:rsidRDefault="00FA7EBF" w:rsidP="007B207C">
            <w:pPr>
              <w:pStyle w:val="ARfintablebodyright"/>
              <w:rPr>
                <w:lang w:eastAsia="en-AU"/>
              </w:rPr>
            </w:pPr>
            <w:r w:rsidRPr="00D1044C">
              <w:t>–</w:t>
            </w:r>
          </w:p>
        </w:tc>
        <w:tc>
          <w:tcPr>
            <w:tcW w:w="1134" w:type="dxa"/>
            <w:tcBorders>
              <w:top w:val="single" w:sz="4" w:space="0" w:color="A6A6A6" w:themeColor="background1" w:themeShade="A6"/>
              <w:bottom w:val="single" w:sz="4" w:space="0" w:color="A6A6A6" w:themeColor="background1" w:themeShade="A6"/>
            </w:tcBorders>
          </w:tcPr>
          <w:p w14:paraId="427628B1" w14:textId="77777777" w:rsidR="00FA7EBF" w:rsidRPr="007939DD" w:rsidRDefault="00FA7EBF" w:rsidP="007B207C">
            <w:pPr>
              <w:pStyle w:val="ARfintablebodyright"/>
              <w:rPr>
                <w:lang w:eastAsia="en-AU"/>
              </w:rPr>
            </w:pPr>
            <w:r w:rsidRPr="00D1044C">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A03F8D9" w14:textId="77777777" w:rsidR="00FA7EBF" w:rsidRPr="007939DD" w:rsidRDefault="00FA7EBF" w:rsidP="007B207C">
            <w:pPr>
              <w:pStyle w:val="ARfintablebodyright"/>
              <w:rPr>
                <w:lang w:eastAsia="en-AU"/>
              </w:rPr>
            </w:pPr>
            <w:r w:rsidRPr="00D1044C">
              <w:t>15.1</w:t>
            </w:r>
          </w:p>
        </w:tc>
        <w:tc>
          <w:tcPr>
            <w:tcW w:w="1134" w:type="dxa"/>
            <w:tcBorders>
              <w:top w:val="single" w:sz="4" w:space="0" w:color="A6A6A6" w:themeColor="background1" w:themeShade="A6"/>
              <w:bottom w:val="single" w:sz="4" w:space="0" w:color="A6A6A6" w:themeColor="background1" w:themeShade="A6"/>
            </w:tcBorders>
          </w:tcPr>
          <w:p w14:paraId="156E81EA" w14:textId="77777777" w:rsidR="00FA7EBF" w:rsidRPr="007939DD" w:rsidRDefault="00FA7EBF" w:rsidP="007B207C">
            <w:pPr>
              <w:pStyle w:val="ARfintablebodyright"/>
              <w:rPr>
                <w:lang w:eastAsia="en-AU"/>
              </w:rPr>
            </w:pPr>
            <w:r w:rsidRPr="00D1044C">
              <w:t>25.6</w:t>
            </w:r>
          </w:p>
        </w:tc>
      </w:tr>
      <w:tr w:rsidR="00FA7EBF" w:rsidRPr="007939DD" w14:paraId="0FCE4FFC" w14:textId="77777777" w:rsidTr="007B207C">
        <w:trPr>
          <w:cantSplit/>
        </w:trPr>
        <w:tc>
          <w:tcPr>
            <w:tcW w:w="5103" w:type="dxa"/>
            <w:tcBorders>
              <w:top w:val="single" w:sz="4" w:space="0" w:color="A6A6A6" w:themeColor="background1" w:themeShade="A6"/>
            </w:tcBorders>
          </w:tcPr>
          <w:p w14:paraId="3AC2C185" w14:textId="77777777" w:rsidR="00FA7EBF" w:rsidRPr="007939DD" w:rsidRDefault="00FA7EBF" w:rsidP="007B207C">
            <w:pPr>
              <w:pStyle w:val="ARfintablebody"/>
              <w:rPr>
                <w:lang w:eastAsia="en-AU"/>
              </w:rPr>
            </w:pPr>
            <w:r w:rsidRPr="00D1044C">
              <w:t>Non-current borrowings lease liabilities (Note 7.1)</w:t>
            </w:r>
          </w:p>
        </w:tc>
        <w:tc>
          <w:tcPr>
            <w:tcW w:w="1134" w:type="dxa"/>
            <w:tcBorders>
              <w:top w:val="single" w:sz="4" w:space="0" w:color="A6A6A6" w:themeColor="background1" w:themeShade="A6"/>
            </w:tcBorders>
            <w:shd w:val="clear" w:color="auto" w:fill="E7E6E6"/>
          </w:tcPr>
          <w:p w14:paraId="5C86EB60" w14:textId="77777777" w:rsidR="00FA7EBF" w:rsidRPr="007939DD" w:rsidRDefault="00FA7EBF" w:rsidP="007B207C">
            <w:pPr>
              <w:pStyle w:val="ARfintablebodyright"/>
              <w:rPr>
                <w:lang w:eastAsia="en-AU"/>
              </w:rPr>
            </w:pPr>
            <w:r w:rsidRPr="00D1044C">
              <w:t>–</w:t>
            </w:r>
          </w:p>
        </w:tc>
        <w:tc>
          <w:tcPr>
            <w:tcW w:w="1134" w:type="dxa"/>
            <w:tcBorders>
              <w:top w:val="single" w:sz="4" w:space="0" w:color="A6A6A6" w:themeColor="background1" w:themeShade="A6"/>
            </w:tcBorders>
          </w:tcPr>
          <w:p w14:paraId="3F009678" w14:textId="77777777" w:rsidR="00FA7EBF" w:rsidRPr="007939DD" w:rsidRDefault="00FA7EBF" w:rsidP="007B207C">
            <w:pPr>
              <w:pStyle w:val="ARfintablebodyright"/>
              <w:rPr>
                <w:lang w:eastAsia="en-AU"/>
              </w:rPr>
            </w:pPr>
            <w:r w:rsidRPr="00D1044C">
              <w:t>–</w:t>
            </w:r>
          </w:p>
        </w:tc>
        <w:tc>
          <w:tcPr>
            <w:tcW w:w="1134" w:type="dxa"/>
            <w:tcBorders>
              <w:top w:val="single" w:sz="4" w:space="0" w:color="A6A6A6" w:themeColor="background1" w:themeShade="A6"/>
            </w:tcBorders>
            <w:shd w:val="clear" w:color="auto" w:fill="E7E6E6"/>
          </w:tcPr>
          <w:p w14:paraId="14995635" w14:textId="77777777" w:rsidR="00FA7EBF" w:rsidRPr="007939DD" w:rsidRDefault="00FA7EBF" w:rsidP="007B207C">
            <w:pPr>
              <w:pStyle w:val="ARfintablebodyright"/>
              <w:rPr>
                <w:lang w:eastAsia="en-AU"/>
              </w:rPr>
            </w:pPr>
            <w:r w:rsidRPr="00D1044C">
              <w:t>17.9</w:t>
            </w:r>
          </w:p>
        </w:tc>
        <w:tc>
          <w:tcPr>
            <w:tcW w:w="1134" w:type="dxa"/>
            <w:tcBorders>
              <w:top w:val="single" w:sz="4" w:space="0" w:color="A6A6A6" w:themeColor="background1" w:themeShade="A6"/>
            </w:tcBorders>
          </w:tcPr>
          <w:p w14:paraId="598CF636" w14:textId="77777777" w:rsidR="00FA7EBF" w:rsidRPr="007939DD" w:rsidRDefault="00FA7EBF" w:rsidP="007B207C">
            <w:pPr>
              <w:pStyle w:val="ARfintablebodyright"/>
              <w:rPr>
                <w:lang w:eastAsia="en-AU"/>
              </w:rPr>
            </w:pPr>
            <w:r w:rsidRPr="00D1044C">
              <w:t>26.1</w:t>
            </w:r>
          </w:p>
        </w:tc>
      </w:tr>
      <w:tr w:rsidR="00FA7EBF" w:rsidRPr="007939DD" w14:paraId="38E21BC1" w14:textId="77777777" w:rsidTr="007B207C">
        <w:trPr>
          <w:cantSplit/>
        </w:trPr>
        <w:tc>
          <w:tcPr>
            <w:tcW w:w="5103" w:type="dxa"/>
          </w:tcPr>
          <w:p w14:paraId="78DF2C44" w14:textId="77777777" w:rsidR="00FA7EBF" w:rsidRPr="007939DD" w:rsidRDefault="00FA7EBF" w:rsidP="007B207C">
            <w:pPr>
              <w:pStyle w:val="ARfintablebodybold"/>
              <w:rPr>
                <w:lang w:eastAsia="en-AU"/>
              </w:rPr>
            </w:pPr>
            <w:r w:rsidRPr="00D1044C">
              <w:t xml:space="preserve">Total </w:t>
            </w:r>
            <w:r>
              <w:t>f</w:t>
            </w:r>
            <w:r w:rsidRPr="00D1044C">
              <w:t>inance lease liabilities</w:t>
            </w:r>
          </w:p>
        </w:tc>
        <w:tc>
          <w:tcPr>
            <w:tcW w:w="1134" w:type="dxa"/>
            <w:shd w:val="clear" w:color="auto" w:fill="E7E6E6"/>
          </w:tcPr>
          <w:p w14:paraId="24B235F9" w14:textId="77777777" w:rsidR="00FA7EBF" w:rsidRPr="007939DD" w:rsidRDefault="00FA7EBF" w:rsidP="007B207C">
            <w:pPr>
              <w:pStyle w:val="ARfintablebodyrightbold"/>
              <w:rPr>
                <w:lang w:eastAsia="en-AU"/>
              </w:rPr>
            </w:pPr>
            <w:r w:rsidRPr="00D1044C">
              <w:t>–</w:t>
            </w:r>
          </w:p>
        </w:tc>
        <w:tc>
          <w:tcPr>
            <w:tcW w:w="1134" w:type="dxa"/>
          </w:tcPr>
          <w:p w14:paraId="63CD624E" w14:textId="77777777" w:rsidR="00FA7EBF" w:rsidRPr="007939DD" w:rsidRDefault="00FA7EBF" w:rsidP="007B207C">
            <w:pPr>
              <w:pStyle w:val="ARfintablebodyrightbold"/>
              <w:rPr>
                <w:lang w:eastAsia="en-AU"/>
              </w:rPr>
            </w:pPr>
            <w:r w:rsidRPr="00D1044C">
              <w:t>–</w:t>
            </w:r>
          </w:p>
        </w:tc>
        <w:tc>
          <w:tcPr>
            <w:tcW w:w="1134" w:type="dxa"/>
            <w:shd w:val="clear" w:color="auto" w:fill="E7E6E6"/>
          </w:tcPr>
          <w:p w14:paraId="594123CD" w14:textId="77777777" w:rsidR="00FA7EBF" w:rsidRPr="007939DD" w:rsidRDefault="00FA7EBF" w:rsidP="007B207C">
            <w:pPr>
              <w:pStyle w:val="ARfintablebodyrightbold"/>
              <w:rPr>
                <w:lang w:eastAsia="en-AU"/>
              </w:rPr>
            </w:pPr>
            <w:r w:rsidRPr="00D1044C">
              <w:t>33.0</w:t>
            </w:r>
          </w:p>
        </w:tc>
        <w:tc>
          <w:tcPr>
            <w:tcW w:w="1134" w:type="dxa"/>
          </w:tcPr>
          <w:p w14:paraId="330744AB" w14:textId="77777777" w:rsidR="00FA7EBF" w:rsidRPr="007939DD" w:rsidRDefault="00FA7EBF" w:rsidP="007B207C">
            <w:pPr>
              <w:pStyle w:val="ARfintablebodyrightbold"/>
              <w:rPr>
                <w:rStyle w:val="Strong"/>
                <w:bCs w:val="0"/>
              </w:rPr>
            </w:pPr>
            <w:r w:rsidRPr="00D1044C">
              <w:t>51.7</w:t>
            </w:r>
          </w:p>
        </w:tc>
      </w:tr>
    </w:tbl>
    <w:p w14:paraId="554F8777" w14:textId="77777777" w:rsidR="00FA7EBF" w:rsidRPr="000A2831" w:rsidRDefault="00FA7EBF" w:rsidP="00CA66FD">
      <w:pPr>
        <w:pStyle w:val="ARfintablefootnote"/>
        <w:rPr>
          <w:lang w:eastAsia="en-AU"/>
        </w:rPr>
      </w:pPr>
      <w:r w:rsidRPr="000A2831">
        <w:rPr>
          <w:lang w:eastAsia="en-AU"/>
        </w:rPr>
        <w:t>Notes:</w:t>
      </w:r>
    </w:p>
    <w:p w14:paraId="670CBD97" w14:textId="77777777" w:rsidR="00FA7EBF" w:rsidRPr="000A2831" w:rsidRDefault="00FA7EBF" w:rsidP="00CA66FD">
      <w:pPr>
        <w:pStyle w:val="ARfintablefootnoteindent"/>
      </w:pPr>
      <w:r w:rsidRPr="000A2831">
        <w:t>(i)</w:t>
      </w:r>
      <w:r>
        <w:tab/>
      </w:r>
      <w:r w:rsidRPr="000A2831">
        <w:t>Minimum future lease payments include the aggregate of all base payments and any guaranteed residual.</w:t>
      </w:r>
    </w:p>
    <w:p w14:paraId="6ED23021" w14:textId="77777777" w:rsidR="00FA7EBF" w:rsidRPr="000A2831" w:rsidRDefault="00FA7EBF" w:rsidP="00CA66FD">
      <w:pPr>
        <w:pStyle w:val="ARfintablefootnoteindent"/>
      </w:pPr>
      <w:r w:rsidRPr="000A2831">
        <w:t>(ii)</w:t>
      </w:r>
      <w:r>
        <w:tab/>
      </w:r>
      <w:r w:rsidRPr="000A2831">
        <w:t>Finance lease liabilities include obligations that are recognised in the balance sheet; the future payments related to operating and lease commitments are disclosed in Note 7.5.</w:t>
      </w:r>
    </w:p>
    <w:p w14:paraId="108D5FDF" w14:textId="77777777" w:rsidR="00FA7EBF" w:rsidRDefault="00FA7EBF" w:rsidP="00CA66FD">
      <w:pPr>
        <w:pStyle w:val="ARfinbody"/>
      </w:pPr>
      <w:r w:rsidRPr="000A2831">
        <w:t>At the commencement of the lease term, finance leases are initially recognised as assets and liabilities at amounts equal to the fair value of the leased property or, if lower, the present value of the minimum lease payment, each determined at the inception of the lease. The leased asset is accounted for as a non-financial physical asset and depreciated over the shorter of the estimated useful life of the asset or the term of the lease. Minimum finance lease payments are apportioned between the reduction of the outstanding lease liability and the periodic finance expense which is calculated using the interest rate implicit in the lease and charged directly to the consolidated comprehensive operating statement.</w:t>
      </w:r>
    </w:p>
    <w:p w14:paraId="1AA3A77C" w14:textId="77777777" w:rsidR="00FA7EBF" w:rsidRPr="00D44977" w:rsidRDefault="00FA7EBF" w:rsidP="00CA66FD">
      <w:pPr>
        <w:pStyle w:val="ARfinbody"/>
      </w:pPr>
      <w:r w:rsidRPr="000A2831">
        <w:t>Refer t</w:t>
      </w:r>
      <w:r w:rsidRPr="00D44977">
        <w:t>o Note 5.1.2 Motor vehicles under finance lease for assets pledged as security.</w:t>
      </w:r>
    </w:p>
    <w:p w14:paraId="135CFFBD" w14:textId="77777777" w:rsidR="00FA7EBF" w:rsidRPr="000A2831" w:rsidRDefault="00FA7EBF" w:rsidP="00CA66FD">
      <w:pPr>
        <w:pStyle w:val="ARfinbody"/>
      </w:pPr>
      <w:r w:rsidRPr="00D44977">
        <w:t xml:space="preserve">Contingent rentals associated with finance leases are recognised as an expense in the period in which they </w:t>
      </w:r>
      <w:r w:rsidRPr="000A2831">
        <w:t>are incurred.</w:t>
      </w:r>
    </w:p>
    <w:p w14:paraId="71CBB845" w14:textId="77777777" w:rsidR="00FA7EBF" w:rsidRPr="00194D78" w:rsidRDefault="00FA7EBF" w:rsidP="00CA66FD">
      <w:pPr>
        <w:pStyle w:val="Heading4"/>
        <w:rPr>
          <w:lang w:eastAsia="en-AU"/>
        </w:rPr>
      </w:pPr>
      <w:r w:rsidRPr="00194D78">
        <w:rPr>
          <w:lang w:eastAsia="en-AU"/>
        </w:rPr>
        <w:t>7.3 Cash flow information and balances</w:t>
      </w:r>
    </w:p>
    <w:p w14:paraId="2F691B44" w14:textId="77777777" w:rsidR="00FA7EBF" w:rsidRDefault="00FA7EBF" w:rsidP="00CA66FD">
      <w:pPr>
        <w:pStyle w:val="ARfinbodylargespace"/>
      </w:pPr>
      <w:r w:rsidRPr="00194D78">
        <w:t>Cash and deposits, including cash equivalents, comprise cash on hand and cash at bank, deposits at call and highly liquid investments with an original maturity of three months or less, which are held for the purpose of meeting short-term cash commitments rather than for investment purposes and are readily convertible to known amounts of cash with an insignificant risk of changes in value.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764DED25" w14:textId="77777777" w:rsidTr="007B207C">
        <w:trPr>
          <w:cantSplit/>
          <w:tblHeader/>
        </w:trPr>
        <w:tc>
          <w:tcPr>
            <w:tcW w:w="7371" w:type="dxa"/>
            <w:vAlign w:val="bottom"/>
          </w:tcPr>
          <w:p w14:paraId="6E47BE44" w14:textId="77777777" w:rsidR="00FA7EBF" w:rsidRPr="007939DD" w:rsidRDefault="00FA7EBF" w:rsidP="007B207C">
            <w:pPr>
              <w:pStyle w:val="ARfintablecolhead"/>
            </w:pPr>
            <w:r w:rsidRPr="007939DD">
              <w:t>Total cash and deposits disclosed in the balance sheet</w:t>
            </w:r>
          </w:p>
        </w:tc>
        <w:tc>
          <w:tcPr>
            <w:tcW w:w="1134" w:type="dxa"/>
            <w:shd w:val="clear" w:color="auto" w:fill="E7E6E6"/>
            <w:vAlign w:val="bottom"/>
          </w:tcPr>
          <w:p w14:paraId="515B2A3E" w14:textId="77777777" w:rsidR="00FA7EBF" w:rsidRPr="007939DD" w:rsidRDefault="00FA7EBF" w:rsidP="007B207C">
            <w:pPr>
              <w:pStyle w:val="ARfintablecolheadright"/>
            </w:pPr>
            <w:r w:rsidRPr="007939DD">
              <w:t>201</w:t>
            </w:r>
            <w:r>
              <w:t>9</w:t>
            </w:r>
          </w:p>
          <w:p w14:paraId="317069F6" w14:textId="77777777" w:rsidR="00FA7EBF" w:rsidRPr="007939DD" w:rsidRDefault="00FA7EBF" w:rsidP="007B207C">
            <w:pPr>
              <w:pStyle w:val="ARfintablecolheadright"/>
            </w:pPr>
            <w:r w:rsidRPr="007939DD">
              <w:t>$M</w:t>
            </w:r>
          </w:p>
        </w:tc>
        <w:tc>
          <w:tcPr>
            <w:tcW w:w="1134" w:type="dxa"/>
            <w:vAlign w:val="bottom"/>
          </w:tcPr>
          <w:p w14:paraId="409DC940" w14:textId="77777777" w:rsidR="00FA7EBF" w:rsidRPr="007939DD" w:rsidRDefault="00FA7EBF" w:rsidP="007B207C">
            <w:pPr>
              <w:pStyle w:val="ARfintablecolheadright"/>
            </w:pPr>
            <w:r w:rsidRPr="007939DD">
              <w:t>201</w:t>
            </w:r>
            <w:r>
              <w:t>8</w:t>
            </w:r>
          </w:p>
          <w:p w14:paraId="003E6FA6" w14:textId="77777777" w:rsidR="00FA7EBF" w:rsidRPr="007939DD" w:rsidRDefault="00FA7EBF" w:rsidP="007B207C">
            <w:pPr>
              <w:pStyle w:val="ARfintablecolheadright"/>
            </w:pPr>
            <w:r w:rsidRPr="007939DD">
              <w:t>$M</w:t>
            </w:r>
          </w:p>
        </w:tc>
      </w:tr>
      <w:tr w:rsidR="00FA7EBF" w:rsidRPr="007939DD" w14:paraId="61458764" w14:textId="77777777" w:rsidTr="007B207C">
        <w:trPr>
          <w:cantSplit/>
        </w:trPr>
        <w:tc>
          <w:tcPr>
            <w:tcW w:w="7371" w:type="dxa"/>
            <w:tcBorders>
              <w:bottom w:val="single" w:sz="4" w:space="0" w:color="A6A6A6" w:themeColor="background1" w:themeShade="A6"/>
            </w:tcBorders>
          </w:tcPr>
          <w:p w14:paraId="268FAD57" w14:textId="77777777" w:rsidR="00FA7EBF" w:rsidRPr="007939DD" w:rsidRDefault="00FA7EBF" w:rsidP="007B207C">
            <w:pPr>
              <w:pStyle w:val="ARfintablebody"/>
              <w:rPr>
                <w:lang w:eastAsia="en-AU"/>
              </w:rPr>
            </w:pPr>
            <w:r w:rsidRPr="00EB32A0">
              <w:t xml:space="preserve">Short-term deposits </w:t>
            </w:r>
            <w:r w:rsidRPr="0050101C">
              <w:rPr>
                <w:rStyle w:val="Superscript"/>
              </w:rPr>
              <w:t>(i)</w:t>
            </w:r>
          </w:p>
        </w:tc>
        <w:tc>
          <w:tcPr>
            <w:tcW w:w="1134" w:type="dxa"/>
            <w:tcBorders>
              <w:bottom w:val="single" w:sz="4" w:space="0" w:color="A6A6A6" w:themeColor="background1" w:themeShade="A6"/>
            </w:tcBorders>
            <w:shd w:val="clear" w:color="auto" w:fill="E7E6E6"/>
          </w:tcPr>
          <w:p w14:paraId="70F99F12" w14:textId="77777777" w:rsidR="00FA7EBF" w:rsidRPr="007939DD" w:rsidRDefault="00FA7EBF" w:rsidP="007B207C">
            <w:pPr>
              <w:pStyle w:val="ARfintablebodyright"/>
              <w:rPr>
                <w:lang w:eastAsia="en-AU"/>
              </w:rPr>
            </w:pPr>
            <w:r w:rsidRPr="00EB32A0">
              <w:t>448.4</w:t>
            </w:r>
          </w:p>
        </w:tc>
        <w:tc>
          <w:tcPr>
            <w:tcW w:w="1134" w:type="dxa"/>
            <w:tcBorders>
              <w:bottom w:val="single" w:sz="4" w:space="0" w:color="A6A6A6" w:themeColor="background1" w:themeShade="A6"/>
            </w:tcBorders>
          </w:tcPr>
          <w:p w14:paraId="335865C8" w14:textId="77777777" w:rsidR="00FA7EBF" w:rsidRPr="007939DD" w:rsidRDefault="00FA7EBF" w:rsidP="007B207C">
            <w:pPr>
              <w:pStyle w:val="ARfintablebodyright"/>
              <w:rPr>
                <w:lang w:eastAsia="en-AU"/>
              </w:rPr>
            </w:pPr>
            <w:r w:rsidRPr="00EB32A0">
              <w:t>61.4</w:t>
            </w:r>
          </w:p>
        </w:tc>
      </w:tr>
      <w:tr w:rsidR="00FA7EBF" w:rsidRPr="007939DD" w14:paraId="72088191"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4367EA15" w14:textId="77777777" w:rsidR="00FA7EBF" w:rsidRPr="007939DD" w:rsidRDefault="00FA7EBF" w:rsidP="007B207C">
            <w:pPr>
              <w:pStyle w:val="ARfintablebody"/>
              <w:rPr>
                <w:lang w:eastAsia="en-AU"/>
              </w:rPr>
            </w:pPr>
            <w:r w:rsidRPr="00EB32A0">
              <w:t xml:space="preserve">Cash at bank </w:t>
            </w:r>
            <w:r w:rsidRPr="0050101C">
              <w:rPr>
                <w:rStyle w:val="Superscript"/>
              </w:rPr>
              <w:t>(i)</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48C10E8" w14:textId="77777777" w:rsidR="00FA7EBF" w:rsidRPr="007939DD" w:rsidRDefault="00FA7EBF" w:rsidP="007B207C">
            <w:pPr>
              <w:pStyle w:val="ARfintablebodyright"/>
              <w:rPr>
                <w:lang w:eastAsia="en-AU"/>
              </w:rPr>
            </w:pPr>
            <w:r w:rsidRPr="00EB32A0">
              <w:t>13.8</w:t>
            </w:r>
          </w:p>
        </w:tc>
        <w:tc>
          <w:tcPr>
            <w:tcW w:w="1134" w:type="dxa"/>
            <w:tcBorders>
              <w:top w:val="single" w:sz="4" w:space="0" w:color="A6A6A6" w:themeColor="background1" w:themeShade="A6"/>
              <w:bottom w:val="single" w:sz="4" w:space="0" w:color="A6A6A6" w:themeColor="background1" w:themeShade="A6"/>
            </w:tcBorders>
          </w:tcPr>
          <w:p w14:paraId="0C714FA1" w14:textId="77777777" w:rsidR="00FA7EBF" w:rsidRPr="007939DD" w:rsidRDefault="00FA7EBF" w:rsidP="007B207C">
            <w:pPr>
              <w:pStyle w:val="ARfintablebodyright"/>
              <w:rPr>
                <w:lang w:eastAsia="en-AU"/>
              </w:rPr>
            </w:pPr>
            <w:r w:rsidRPr="00EB32A0">
              <w:t>25.4</w:t>
            </w:r>
          </w:p>
        </w:tc>
      </w:tr>
      <w:tr w:rsidR="00FA7EBF" w:rsidRPr="007939DD" w14:paraId="29482091"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4B5F8CB7" w14:textId="77777777" w:rsidR="00FA7EBF" w:rsidRPr="007939DD" w:rsidRDefault="00FA7EBF" w:rsidP="007B207C">
            <w:pPr>
              <w:pStyle w:val="ARfintablebody"/>
              <w:rPr>
                <w:lang w:eastAsia="en-AU"/>
              </w:rPr>
            </w:pPr>
            <w:r w:rsidRPr="00EB32A0">
              <w:t>Funds held in trust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BA617D5" w14:textId="77777777" w:rsidR="00FA7EBF" w:rsidRPr="007939DD" w:rsidRDefault="00FA7EBF" w:rsidP="007B207C">
            <w:pPr>
              <w:pStyle w:val="ARfintablebodyright"/>
              <w:rPr>
                <w:lang w:eastAsia="en-AU"/>
              </w:rPr>
            </w:pPr>
            <w:r w:rsidRPr="00EB32A0">
              <w:t>337.5</w:t>
            </w:r>
          </w:p>
        </w:tc>
        <w:tc>
          <w:tcPr>
            <w:tcW w:w="1134" w:type="dxa"/>
            <w:tcBorders>
              <w:top w:val="single" w:sz="4" w:space="0" w:color="A6A6A6" w:themeColor="background1" w:themeShade="A6"/>
              <w:bottom w:val="single" w:sz="4" w:space="0" w:color="A6A6A6" w:themeColor="background1" w:themeShade="A6"/>
            </w:tcBorders>
          </w:tcPr>
          <w:p w14:paraId="1DED0792" w14:textId="77777777" w:rsidR="00FA7EBF" w:rsidRPr="007939DD" w:rsidRDefault="00FA7EBF" w:rsidP="007B207C">
            <w:pPr>
              <w:pStyle w:val="ARfintablebodyright"/>
              <w:rPr>
                <w:lang w:eastAsia="en-AU"/>
              </w:rPr>
            </w:pPr>
            <w:r w:rsidRPr="00EB32A0">
              <w:t>296.7</w:t>
            </w:r>
          </w:p>
        </w:tc>
      </w:tr>
      <w:tr w:rsidR="00FA7EBF" w:rsidRPr="007939DD" w14:paraId="482FECA1" w14:textId="77777777" w:rsidTr="007B207C">
        <w:trPr>
          <w:cantSplit/>
        </w:trPr>
        <w:tc>
          <w:tcPr>
            <w:tcW w:w="7371" w:type="dxa"/>
            <w:tcBorders>
              <w:top w:val="single" w:sz="4" w:space="0" w:color="A6A6A6" w:themeColor="background1" w:themeShade="A6"/>
            </w:tcBorders>
          </w:tcPr>
          <w:p w14:paraId="4F161AD0" w14:textId="77777777" w:rsidR="00FA7EBF" w:rsidRPr="007939DD" w:rsidRDefault="00FA7EBF" w:rsidP="007B207C">
            <w:pPr>
              <w:pStyle w:val="ARfintablebody"/>
              <w:rPr>
                <w:lang w:eastAsia="en-AU"/>
              </w:rPr>
            </w:pPr>
            <w:r w:rsidRPr="00EB32A0">
              <w:t>Cash advances</w:t>
            </w:r>
          </w:p>
        </w:tc>
        <w:tc>
          <w:tcPr>
            <w:tcW w:w="1134" w:type="dxa"/>
            <w:tcBorders>
              <w:top w:val="single" w:sz="4" w:space="0" w:color="A6A6A6" w:themeColor="background1" w:themeShade="A6"/>
            </w:tcBorders>
            <w:shd w:val="clear" w:color="auto" w:fill="E7E6E6"/>
          </w:tcPr>
          <w:p w14:paraId="1E0F89FC" w14:textId="77777777" w:rsidR="00FA7EBF" w:rsidRPr="007939DD" w:rsidRDefault="00FA7EBF" w:rsidP="007B207C">
            <w:pPr>
              <w:pStyle w:val="ARfintablebodyright"/>
              <w:rPr>
                <w:lang w:eastAsia="en-AU"/>
              </w:rPr>
            </w:pPr>
            <w:r w:rsidRPr="00EB32A0">
              <w:t>0.2</w:t>
            </w:r>
          </w:p>
        </w:tc>
        <w:tc>
          <w:tcPr>
            <w:tcW w:w="1134" w:type="dxa"/>
            <w:tcBorders>
              <w:top w:val="single" w:sz="4" w:space="0" w:color="A6A6A6" w:themeColor="background1" w:themeShade="A6"/>
            </w:tcBorders>
          </w:tcPr>
          <w:p w14:paraId="552D5C04" w14:textId="77777777" w:rsidR="00FA7EBF" w:rsidRPr="007939DD" w:rsidRDefault="00FA7EBF" w:rsidP="007B207C">
            <w:pPr>
              <w:pStyle w:val="ARfintablebodyright"/>
              <w:rPr>
                <w:lang w:eastAsia="en-AU"/>
              </w:rPr>
            </w:pPr>
            <w:r w:rsidRPr="00EB32A0">
              <w:t>(0.3)</w:t>
            </w:r>
          </w:p>
        </w:tc>
      </w:tr>
      <w:tr w:rsidR="00FA7EBF" w:rsidRPr="007939DD" w14:paraId="04F9677C" w14:textId="77777777" w:rsidTr="007B207C">
        <w:trPr>
          <w:cantSplit/>
        </w:trPr>
        <w:tc>
          <w:tcPr>
            <w:tcW w:w="7371" w:type="dxa"/>
          </w:tcPr>
          <w:p w14:paraId="7195BAE5" w14:textId="77777777" w:rsidR="00FA7EBF" w:rsidRPr="007939DD" w:rsidRDefault="00FA7EBF" w:rsidP="007B207C">
            <w:pPr>
              <w:pStyle w:val="ARfintablebodybold"/>
              <w:rPr>
                <w:lang w:eastAsia="en-AU"/>
              </w:rPr>
            </w:pPr>
            <w:r w:rsidRPr="00EB32A0">
              <w:t>Balance as per cash flow statement</w:t>
            </w:r>
          </w:p>
        </w:tc>
        <w:tc>
          <w:tcPr>
            <w:tcW w:w="1134" w:type="dxa"/>
            <w:shd w:val="clear" w:color="auto" w:fill="E7E6E6"/>
          </w:tcPr>
          <w:p w14:paraId="182FDE4D" w14:textId="77777777" w:rsidR="00FA7EBF" w:rsidRPr="007939DD" w:rsidRDefault="00FA7EBF" w:rsidP="007B207C">
            <w:pPr>
              <w:pStyle w:val="ARfintablebodyrightbold"/>
              <w:rPr>
                <w:lang w:eastAsia="en-AU"/>
              </w:rPr>
            </w:pPr>
            <w:r w:rsidRPr="00EB32A0">
              <w:t>799.9</w:t>
            </w:r>
          </w:p>
        </w:tc>
        <w:tc>
          <w:tcPr>
            <w:tcW w:w="1134" w:type="dxa"/>
          </w:tcPr>
          <w:p w14:paraId="7F6FF43B" w14:textId="77777777" w:rsidR="00FA7EBF" w:rsidRPr="007939DD" w:rsidRDefault="00FA7EBF" w:rsidP="007B207C">
            <w:pPr>
              <w:pStyle w:val="ARfintablebodyrightbold"/>
              <w:rPr>
                <w:rStyle w:val="Strong"/>
              </w:rPr>
            </w:pPr>
            <w:r w:rsidRPr="00EB32A0">
              <w:t>383.2</w:t>
            </w:r>
          </w:p>
        </w:tc>
      </w:tr>
    </w:tbl>
    <w:p w14:paraId="6F03B0D3" w14:textId="77777777" w:rsidR="00FA7EBF" w:rsidRPr="00194D78" w:rsidRDefault="00FA7EBF" w:rsidP="00CA66FD">
      <w:pPr>
        <w:pStyle w:val="ARfintablefootnote"/>
        <w:rPr>
          <w:lang w:eastAsia="en-AU"/>
        </w:rPr>
      </w:pPr>
      <w:r w:rsidRPr="00194D78">
        <w:rPr>
          <w:lang w:eastAsia="en-AU"/>
        </w:rPr>
        <w:t>Note:</w:t>
      </w:r>
    </w:p>
    <w:p w14:paraId="7BA37201" w14:textId="77777777" w:rsidR="00FA7EBF" w:rsidRPr="00194D78" w:rsidRDefault="00FA7EBF" w:rsidP="00CA66FD">
      <w:pPr>
        <w:pStyle w:val="ARfintablefootnoteindent"/>
      </w:pPr>
      <w:r w:rsidRPr="00194D78">
        <w:t>(i)</w:t>
      </w:r>
      <w:r>
        <w:tab/>
      </w:r>
      <w:r w:rsidRPr="00194D78">
        <w:t>Cash and short-term deposits include funds held by the Director of Housing in the Central Banking System as well as funds that have been committed to a number of significant projects and are expected to be expensed in 201</w:t>
      </w:r>
      <w:r>
        <w:t>9–</w:t>
      </w:r>
      <w:r w:rsidRPr="00194D78">
        <w:t>20 (as disclosed in Note 7.5).</w:t>
      </w:r>
    </w:p>
    <w:p w14:paraId="48598B2C" w14:textId="77777777" w:rsidR="00FA7EBF" w:rsidRPr="00194D78" w:rsidRDefault="00FA7EBF" w:rsidP="00CA66FD">
      <w:pPr>
        <w:pStyle w:val="ARfinbodyaftertable"/>
      </w:pPr>
      <w:r w:rsidRPr="00194D78">
        <w:t>Due to the state</w:t>
      </w:r>
      <w:r>
        <w:t>’</w:t>
      </w:r>
      <w:r w:rsidRPr="00194D78">
        <w:t>s investment policy and funding arrangements, the department does not hold a large cash reserve in its bank accounts. Cash received from generation of income is generally paid into the state</w:t>
      </w:r>
      <w:r>
        <w:t>’</w:t>
      </w:r>
      <w:r w:rsidRPr="00194D78">
        <w:t>s bank account (</w:t>
      </w:r>
      <w:r>
        <w:t>‘</w:t>
      </w:r>
      <w:r w:rsidRPr="00194D78">
        <w:t>public account</w:t>
      </w:r>
      <w:r>
        <w:t>’</w:t>
      </w:r>
      <w:r w:rsidRPr="00194D78">
        <w:t>). Similarly, departmental expenditure, including in the form of cheques drawn for the payments to its suppliers and creditors are made via the public account. The public account remits to the department the cash required upon presentation of cheques by the department</w:t>
      </w:r>
      <w:r>
        <w:t>’</w:t>
      </w:r>
      <w:r w:rsidRPr="00194D78">
        <w:t>s suppliers or creditors.</w:t>
      </w:r>
    </w:p>
    <w:p w14:paraId="2E3CE5BC" w14:textId="77777777" w:rsidR="00FA7EBF" w:rsidRDefault="00FA7EBF" w:rsidP="00CA66FD">
      <w:pPr>
        <w:pStyle w:val="Heading5"/>
        <w:rPr>
          <w:lang w:eastAsia="en-AU"/>
        </w:rPr>
      </w:pPr>
      <w:r w:rsidRPr="00194D78">
        <w:rPr>
          <w:lang w:eastAsia="en-AU"/>
        </w:rPr>
        <w:t>7.3.1 Reconciliation of net result for the period to net cash flows from operating activities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505E3632" w14:textId="77777777" w:rsidTr="007B207C">
        <w:trPr>
          <w:cantSplit/>
          <w:tblHeader/>
        </w:trPr>
        <w:tc>
          <w:tcPr>
            <w:tcW w:w="7371" w:type="dxa"/>
            <w:vAlign w:val="bottom"/>
          </w:tcPr>
          <w:p w14:paraId="71463376" w14:textId="77777777" w:rsidR="00FA7EBF" w:rsidRPr="007939DD" w:rsidRDefault="00FA7EBF" w:rsidP="007B207C">
            <w:pPr>
              <w:autoSpaceDE w:val="0"/>
              <w:autoSpaceDN w:val="0"/>
              <w:adjustRightInd w:val="0"/>
              <w:spacing w:beforeLines="40" w:before="96" w:afterLines="20" w:after="48"/>
              <w:rPr>
                <w:rFonts w:cs="Arial"/>
                <w:b/>
                <w:bCs/>
                <w:color w:val="000000"/>
                <w:sz w:val="16"/>
                <w:szCs w:val="16"/>
              </w:rPr>
            </w:pPr>
          </w:p>
        </w:tc>
        <w:tc>
          <w:tcPr>
            <w:tcW w:w="1134" w:type="dxa"/>
            <w:shd w:val="clear" w:color="auto" w:fill="E7E6E6"/>
            <w:vAlign w:val="bottom"/>
          </w:tcPr>
          <w:p w14:paraId="2D3131BA" w14:textId="77777777" w:rsidR="00FA7EBF" w:rsidRPr="007939DD" w:rsidRDefault="00FA7EBF" w:rsidP="007B207C">
            <w:pPr>
              <w:pStyle w:val="ARfintablecolheadright"/>
            </w:pPr>
            <w:r w:rsidRPr="007939DD">
              <w:t>201</w:t>
            </w:r>
            <w:r>
              <w:t>9</w:t>
            </w:r>
          </w:p>
          <w:p w14:paraId="534D69C9" w14:textId="77777777" w:rsidR="00FA7EBF" w:rsidRPr="007939DD" w:rsidRDefault="00FA7EBF" w:rsidP="007B207C">
            <w:pPr>
              <w:pStyle w:val="ARfintablecolheadright"/>
            </w:pPr>
            <w:r w:rsidRPr="007939DD">
              <w:t>$M</w:t>
            </w:r>
          </w:p>
        </w:tc>
        <w:tc>
          <w:tcPr>
            <w:tcW w:w="1134" w:type="dxa"/>
            <w:vAlign w:val="bottom"/>
          </w:tcPr>
          <w:p w14:paraId="5BE02D38" w14:textId="77777777" w:rsidR="00FA7EBF" w:rsidRPr="007939DD" w:rsidRDefault="00FA7EBF" w:rsidP="007B207C">
            <w:pPr>
              <w:pStyle w:val="ARfintablecolheadright"/>
            </w:pPr>
            <w:r w:rsidRPr="007939DD">
              <w:t>201</w:t>
            </w:r>
            <w:r>
              <w:t>8</w:t>
            </w:r>
          </w:p>
          <w:p w14:paraId="42339815" w14:textId="77777777" w:rsidR="00FA7EBF" w:rsidRPr="007939DD" w:rsidRDefault="00FA7EBF" w:rsidP="007B207C">
            <w:pPr>
              <w:pStyle w:val="ARfintablecolheadright"/>
            </w:pPr>
            <w:r w:rsidRPr="007939DD">
              <w:t>$M</w:t>
            </w:r>
          </w:p>
        </w:tc>
      </w:tr>
      <w:tr w:rsidR="00FA7EBF" w:rsidRPr="007939DD" w14:paraId="1FE29265" w14:textId="77777777" w:rsidTr="007B207C">
        <w:trPr>
          <w:cantSplit/>
        </w:trPr>
        <w:tc>
          <w:tcPr>
            <w:tcW w:w="7371" w:type="dxa"/>
            <w:tcBorders>
              <w:bottom w:val="single" w:sz="4" w:space="0" w:color="000000"/>
            </w:tcBorders>
          </w:tcPr>
          <w:p w14:paraId="4951EA77" w14:textId="77777777" w:rsidR="00FA7EBF" w:rsidRPr="007939DD" w:rsidRDefault="00FA7EBF" w:rsidP="007B207C">
            <w:pPr>
              <w:pStyle w:val="ARfintablebodybold"/>
              <w:rPr>
                <w:rStyle w:val="Strong"/>
              </w:rPr>
            </w:pPr>
            <w:r w:rsidRPr="00EC4CFF">
              <w:t>Net result for the period</w:t>
            </w:r>
          </w:p>
        </w:tc>
        <w:tc>
          <w:tcPr>
            <w:tcW w:w="1134" w:type="dxa"/>
            <w:tcBorders>
              <w:bottom w:val="single" w:sz="4" w:space="0" w:color="000000"/>
            </w:tcBorders>
            <w:shd w:val="clear" w:color="auto" w:fill="E7E6E6"/>
          </w:tcPr>
          <w:p w14:paraId="669CA9F3" w14:textId="77777777" w:rsidR="00FA7EBF" w:rsidRPr="007939DD" w:rsidRDefault="00FA7EBF" w:rsidP="007B207C">
            <w:pPr>
              <w:pStyle w:val="ARfintablebodyrightbold"/>
              <w:rPr>
                <w:rStyle w:val="Strong"/>
              </w:rPr>
            </w:pPr>
            <w:r w:rsidRPr="00EC4CFF">
              <w:t>(9.0)</w:t>
            </w:r>
          </w:p>
        </w:tc>
        <w:tc>
          <w:tcPr>
            <w:tcW w:w="1134" w:type="dxa"/>
            <w:tcBorders>
              <w:bottom w:val="single" w:sz="4" w:space="0" w:color="000000"/>
            </w:tcBorders>
          </w:tcPr>
          <w:p w14:paraId="2330BD80" w14:textId="77777777" w:rsidR="00FA7EBF" w:rsidRPr="007939DD" w:rsidRDefault="00FA7EBF" w:rsidP="007B207C">
            <w:pPr>
              <w:pStyle w:val="ARfintablebodyrightbold"/>
              <w:rPr>
                <w:rStyle w:val="Strong"/>
              </w:rPr>
            </w:pPr>
            <w:r w:rsidRPr="00EC4CFF">
              <w:t>181.7</w:t>
            </w:r>
          </w:p>
        </w:tc>
      </w:tr>
      <w:tr w:rsidR="00FA7EBF" w:rsidRPr="007939DD" w14:paraId="570F3056" w14:textId="77777777" w:rsidTr="007B207C">
        <w:trPr>
          <w:cantSplit/>
        </w:trPr>
        <w:tc>
          <w:tcPr>
            <w:tcW w:w="9639" w:type="dxa"/>
            <w:gridSpan w:val="3"/>
            <w:tcBorders>
              <w:top w:val="single" w:sz="4" w:space="0" w:color="000000"/>
              <w:bottom w:val="single" w:sz="4" w:space="0" w:color="A6A6A6" w:themeColor="background1" w:themeShade="A6"/>
            </w:tcBorders>
          </w:tcPr>
          <w:p w14:paraId="5216FDB0" w14:textId="77777777" w:rsidR="00FA7EBF" w:rsidRPr="007939DD" w:rsidRDefault="00FA7EBF" w:rsidP="007B207C">
            <w:pPr>
              <w:pStyle w:val="ARfintablebodybold"/>
              <w:rPr>
                <w:lang w:eastAsia="en-AU"/>
              </w:rPr>
            </w:pPr>
            <w:r w:rsidRPr="00EC4CFF">
              <w:t>Non-cash movements</w:t>
            </w:r>
          </w:p>
        </w:tc>
      </w:tr>
      <w:tr w:rsidR="00FA7EBF" w:rsidRPr="007939DD" w14:paraId="5ECBC9B1"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CBE468E" w14:textId="77777777" w:rsidR="00FA7EBF" w:rsidRPr="007939DD" w:rsidRDefault="00FA7EBF" w:rsidP="007B207C">
            <w:pPr>
              <w:pStyle w:val="ARfintablebody"/>
              <w:rPr>
                <w:lang w:eastAsia="en-AU"/>
              </w:rPr>
            </w:pPr>
            <w:r w:rsidRPr="00EC4CFF">
              <w:t>(Gain)/loss on sale of non-financial assets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AA5A455" w14:textId="77777777" w:rsidR="00FA7EBF" w:rsidRPr="007939DD" w:rsidRDefault="00FA7EBF" w:rsidP="007B207C">
            <w:pPr>
              <w:pStyle w:val="ARfintablebodyright"/>
              <w:rPr>
                <w:lang w:eastAsia="en-AU"/>
              </w:rPr>
            </w:pPr>
            <w:r w:rsidRPr="00EC4CFF">
              <w:t>6.5</w:t>
            </w:r>
          </w:p>
        </w:tc>
        <w:tc>
          <w:tcPr>
            <w:tcW w:w="1134" w:type="dxa"/>
            <w:tcBorders>
              <w:top w:val="single" w:sz="4" w:space="0" w:color="A6A6A6" w:themeColor="background1" w:themeShade="A6"/>
              <w:bottom w:val="single" w:sz="4" w:space="0" w:color="A6A6A6" w:themeColor="background1" w:themeShade="A6"/>
            </w:tcBorders>
          </w:tcPr>
          <w:p w14:paraId="2F9E1657" w14:textId="77777777" w:rsidR="00FA7EBF" w:rsidRPr="007939DD" w:rsidRDefault="00FA7EBF" w:rsidP="007B207C">
            <w:pPr>
              <w:pStyle w:val="ARfintablebodyright"/>
              <w:rPr>
                <w:lang w:eastAsia="en-AU"/>
              </w:rPr>
            </w:pPr>
            <w:r w:rsidRPr="00EC4CFF">
              <w:t>(13.6)</w:t>
            </w:r>
          </w:p>
        </w:tc>
      </w:tr>
      <w:tr w:rsidR="00FA7EBF" w:rsidRPr="007939DD" w14:paraId="6E918ACB"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4B056D15" w14:textId="77777777" w:rsidR="00FA7EBF" w:rsidRPr="007939DD" w:rsidRDefault="00FA7EBF" w:rsidP="007B207C">
            <w:pPr>
              <w:pStyle w:val="ARfintablebody"/>
              <w:rPr>
                <w:lang w:eastAsia="en-AU"/>
              </w:rPr>
            </w:pPr>
            <w:r w:rsidRPr="00EC4CFF">
              <w:t>Depreciation and amortisation</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A369A0B" w14:textId="77777777" w:rsidR="00FA7EBF" w:rsidRPr="007939DD" w:rsidRDefault="00FA7EBF" w:rsidP="007B207C">
            <w:pPr>
              <w:pStyle w:val="ARfintablebodyright"/>
              <w:rPr>
                <w:lang w:eastAsia="en-AU"/>
              </w:rPr>
            </w:pPr>
            <w:r w:rsidRPr="00EC4CFF">
              <w:t>340.5</w:t>
            </w:r>
          </w:p>
        </w:tc>
        <w:tc>
          <w:tcPr>
            <w:tcW w:w="1134" w:type="dxa"/>
            <w:tcBorders>
              <w:top w:val="single" w:sz="4" w:space="0" w:color="A6A6A6" w:themeColor="background1" w:themeShade="A6"/>
              <w:bottom w:val="single" w:sz="4" w:space="0" w:color="A6A6A6" w:themeColor="background1" w:themeShade="A6"/>
            </w:tcBorders>
          </w:tcPr>
          <w:p w14:paraId="0BC0628E" w14:textId="77777777" w:rsidR="00FA7EBF" w:rsidRPr="007939DD" w:rsidRDefault="00FA7EBF" w:rsidP="007B207C">
            <w:pPr>
              <w:pStyle w:val="ARfintablebodyright"/>
              <w:rPr>
                <w:lang w:eastAsia="en-AU"/>
              </w:rPr>
            </w:pPr>
            <w:r w:rsidRPr="00EC4CFF">
              <w:t>265.8</w:t>
            </w:r>
          </w:p>
        </w:tc>
      </w:tr>
      <w:tr w:rsidR="00FA7EBF" w:rsidRPr="007939DD" w14:paraId="045B991A"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60868A33" w14:textId="77777777" w:rsidR="00FA7EBF" w:rsidRPr="007939DD" w:rsidRDefault="00FA7EBF" w:rsidP="007B207C">
            <w:pPr>
              <w:pStyle w:val="ARfintablebody"/>
              <w:rPr>
                <w:lang w:eastAsia="en-AU"/>
              </w:rPr>
            </w:pPr>
            <w:r w:rsidRPr="00EC4CFF">
              <w:t>Interest on borrowings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470BB7E" w14:textId="77777777" w:rsidR="00FA7EBF" w:rsidRPr="007939DD" w:rsidRDefault="00FA7EBF" w:rsidP="007B207C">
            <w:pPr>
              <w:pStyle w:val="ARfintablebodyright"/>
              <w:rPr>
                <w:lang w:eastAsia="en-AU"/>
              </w:rPr>
            </w:pPr>
            <w:r w:rsidRPr="00EC4CFF">
              <w:t>–</w:t>
            </w:r>
          </w:p>
        </w:tc>
        <w:tc>
          <w:tcPr>
            <w:tcW w:w="1134" w:type="dxa"/>
            <w:tcBorders>
              <w:top w:val="single" w:sz="4" w:space="0" w:color="A6A6A6" w:themeColor="background1" w:themeShade="A6"/>
              <w:bottom w:val="single" w:sz="4" w:space="0" w:color="A6A6A6" w:themeColor="background1" w:themeShade="A6"/>
            </w:tcBorders>
          </w:tcPr>
          <w:p w14:paraId="13D59902" w14:textId="77777777" w:rsidR="00FA7EBF" w:rsidRPr="007939DD" w:rsidRDefault="00FA7EBF" w:rsidP="007B207C">
            <w:pPr>
              <w:pStyle w:val="ARfintablebodyright"/>
              <w:rPr>
                <w:lang w:eastAsia="en-AU"/>
              </w:rPr>
            </w:pPr>
            <w:r w:rsidRPr="00EC4CFF">
              <w:t>3.4</w:t>
            </w:r>
          </w:p>
        </w:tc>
      </w:tr>
      <w:tr w:rsidR="00FA7EBF" w:rsidRPr="007939DD" w14:paraId="014CC958"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490D36D6" w14:textId="77777777" w:rsidR="00FA7EBF" w:rsidRPr="007939DD" w:rsidRDefault="00FA7EBF" w:rsidP="007B207C">
            <w:pPr>
              <w:pStyle w:val="ARfintablebody"/>
              <w:rPr>
                <w:lang w:eastAsia="en-AU"/>
              </w:rPr>
            </w:pPr>
            <w:r w:rsidRPr="00EC4CFF">
              <w:t>Change in net market values of VMIA liability</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AFD9905" w14:textId="77777777" w:rsidR="00FA7EBF" w:rsidRPr="007939DD" w:rsidRDefault="00FA7EBF" w:rsidP="007B207C">
            <w:pPr>
              <w:pStyle w:val="ARfintablebodyright"/>
              <w:rPr>
                <w:lang w:eastAsia="en-AU"/>
              </w:rPr>
            </w:pPr>
            <w:r w:rsidRPr="00EC4CFF">
              <w:t>27.2</w:t>
            </w:r>
          </w:p>
        </w:tc>
        <w:tc>
          <w:tcPr>
            <w:tcW w:w="1134" w:type="dxa"/>
            <w:tcBorders>
              <w:top w:val="single" w:sz="4" w:space="0" w:color="A6A6A6" w:themeColor="background1" w:themeShade="A6"/>
              <w:bottom w:val="single" w:sz="4" w:space="0" w:color="A6A6A6" w:themeColor="background1" w:themeShade="A6"/>
            </w:tcBorders>
          </w:tcPr>
          <w:p w14:paraId="0DE4102A" w14:textId="77777777" w:rsidR="00FA7EBF" w:rsidRPr="007939DD" w:rsidRDefault="00FA7EBF" w:rsidP="007B207C">
            <w:pPr>
              <w:pStyle w:val="ARfintablebodyright"/>
              <w:rPr>
                <w:lang w:eastAsia="en-AU"/>
              </w:rPr>
            </w:pPr>
            <w:r w:rsidRPr="00EC4CFF">
              <w:t>37.5</w:t>
            </w:r>
          </w:p>
        </w:tc>
      </w:tr>
      <w:tr w:rsidR="00FA7EBF" w:rsidRPr="007939DD" w14:paraId="1137B3A6"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9D4DD47" w14:textId="77777777" w:rsidR="00FA7EBF" w:rsidRPr="007939DD" w:rsidRDefault="00FA7EBF" w:rsidP="007B207C">
            <w:pPr>
              <w:pStyle w:val="ARfintablebody"/>
              <w:rPr>
                <w:lang w:eastAsia="en-AU"/>
              </w:rPr>
            </w:pPr>
            <w:r w:rsidRPr="00EC4CFF">
              <w:t>Other income from investing activities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639E25B" w14:textId="77777777" w:rsidR="00FA7EBF" w:rsidRPr="007939DD" w:rsidRDefault="00FA7EBF" w:rsidP="007B207C">
            <w:pPr>
              <w:pStyle w:val="ARfintablebodyright"/>
              <w:rPr>
                <w:lang w:eastAsia="en-AU"/>
              </w:rPr>
            </w:pPr>
            <w:r w:rsidRPr="00EC4CFF">
              <w:t>(3.3)</w:t>
            </w:r>
          </w:p>
        </w:tc>
        <w:tc>
          <w:tcPr>
            <w:tcW w:w="1134" w:type="dxa"/>
            <w:tcBorders>
              <w:top w:val="single" w:sz="4" w:space="0" w:color="A6A6A6" w:themeColor="background1" w:themeShade="A6"/>
              <w:bottom w:val="single" w:sz="4" w:space="0" w:color="A6A6A6" w:themeColor="background1" w:themeShade="A6"/>
            </w:tcBorders>
          </w:tcPr>
          <w:p w14:paraId="25ADA24A" w14:textId="77777777" w:rsidR="00FA7EBF" w:rsidRPr="007939DD" w:rsidRDefault="00FA7EBF" w:rsidP="007B207C">
            <w:pPr>
              <w:pStyle w:val="ARfintablebodyright"/>
              <w:rPr>
                <w:lang w:eastAsia="en-AU"/>
              </w:rPr>
            </w:pPr>
            <w:r w:rsidRPr="00EC4CFF">
              <w:t>–</w:t>
            </w:r>
          </w:p>
        </w:tc>
      </w:tr>
      <w:tr w:rsidR="00FA7EBF" w:rsidRPr="007939DD" w14:paraId="338E2115"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0F394B7" w14:textId="77777777" w:rsidR="00FA7EBF" w:rsidRPr="007939DD" w:rsidRDefault="00FA7EBF" w:rsidP="007B207C">
            <w:pPr>
              <w:pStyle w:val="ARfintablebody"/>
              <w:rPr>
                <w:lang w:eastAsia="en-AU"/>
              </w:rPr>
            </w:pPr>
            <w:r w:rsidRPr="00EC4CFF">
              <w:t>Net gain/(loss) on financial assets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B9CE6CE" w14:textId="77777777" w:rsidR="00FA7EBF" w:rsidRPr="007939DD" w:rsidRDefault="00FA7EBF" w:rsidP="007B207C">
            <w:pPr>
              <w:pStyle w:val="ARfintablebodyright"/>
              <w:rPr>
                <w:lang w:eastAsia="en-AU"/>
              </w:rPr>
            </w:pPr>
            <w:r w:rsidRPr="00EC4CFF">
              <w:t>(0.2)</w:t>
            </w:r>
          </w:p>
        </w:tc>
        <w:tc>
          <w:tcPr>
            <w:tcW w:w="1134" w:type="dxa"/>
            <w:tcBorders>
              <w:top w:val="single" w:sz="4" w:space="0" w:color="A6A6A6" w:themeColor="background1" w:themeShade="A6"/>
              <w:bottom w:val="single" w:sz="4" w:space="0" w:color="A6A6A6" w:themeColor="background1" w:themeShade="A6"/>
            </w:tcBorders>
          </w:tcPr>
          <w:p w14:paraId="0D4F3AC4" w14:textId="77777777" w:rsidR="00FA7EBF" w:rsidRPr="007939DD" w:rsidRDefault="00FA7EBF" w:rsidP="007B207C">
            <w:pPr>
              <w:pStyle w:val="ARfintablebodyright"/>
              <w:rPr>
                <w:lang w:eastAsia="en-AU"/>
              </w:rPr>
            </w:pPr>
            <w:r w:rsidRPr="00EC4CFF">
              <w:t>(1.8)</w:t>
            </w:r>
          </w:p>
        </w:tc>
      </w:tr>
      <w:tr w:rsidR="00FA7EBF" w:rsidRPr="007939DD" w14:paraId="66BCC0E9"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6E97FF17" w14:textId="77777777" w:rsidR="00FA7EBF" w:rsidRPr="007939DD" w:rsidRDefault="00FA7EBF" w:rsidP="007B207C">
            <w:pPr>
              <w:pStyle w:val="ARfintablebody"/>
              <w:rPr>
                <w:lang w:eastAsia="en-AU"/>
              </w:rPr>
            </w:pPr>
            <w:r w:rsidRPr="00EC4CFF">
              <w:t>Other gains or losses from other economic flows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821F4BD" w14:textId="77777777" w:rsidR="00FA7EBF" w:rsidRPr="007939DD" w:rsidRDefault="00FA7EBF" w:rsidP="007B207C">
            <w:pPr>
              <w:pStyle w:val="ARfintablebodyright"/>
              <w:rPr>
                <w:lang w:eastAsia="en-AU"/>
              </w:rPr>
            </w:pPr>
            <w:r w:rsidRPr="00EC4CFF">
              <w:t>28.1</w:t>
            </w:r>
          </w:p>
        </w:tc>
        <w:tc>
          <w:tcPr>
            <w:tcW w:w="1134" w:type="dxa"/>
            <w:tcBorders>
              <w:top w:val="single" w:sz="4" w:space="0" w:color="A6A6A6" w:themeColor="background1" w:themeShade="A6"/>
              <w:bottom w:val="single" w:sz="4" w:space="0" w:color="A6A6A6" w:themeColor="background1" w:themeShade="A6"/>
            </w:tcBorders>
          </w:tcPr>
          <w:p w14:paraId="29B6D958" w14:textId="77777777" w:rsidR="00FA7EBF" w:rsidRPr="007939DD" w:rsidRDefault="00FA7EBF" w:rsidP="007B207C">
            <w:pPr>
              <w:pStyle w:val="ARfintablebodyright"/>
              <w:rPr>
                <w:lang w:eastAsia="en-AU"/>
              </w:rPr>
            </w:pPr>
            <w:r w:rsidRPr="00EC4CFF">
              <w:t>12.0</w:t>
            </w:r>
          </w:p>
        </w:tc>
      </w:tr>
      <w:tr w:rsidR="00FA7EBF" w:rsidRPr="007939DD" w14:paraId="52E19235"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2419078" w14:textId="77777777" w:rsidR="00FA7EBF" w:rsidRPr="007939DD" w:rsidRDefault="00FA7EBF" w:rsidP="007B207C">
            <w:pPr>
              <w:pStyle w:val="ARfintablebody"/>
              <w:rPr>
                <w:lang w:eastAsia="en-AU"/>
              </w:rPr>
            </w:pPr>
            <w:r w:rsidRPr="00EC4CFF">
              <w:t>Resources (received)/provided free of charge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8504607" w14:textId="77777777" w:rsidR="00FA7EBF" w:rsidRPr="007939DD" w:rsidRDefault="00FA7EBF" w:rsidP="007B207C">
            <w:pPr>
              <w:pStyle w:val="ARfintablebodyright"/>
              <w:rPr>
                <w:lang w:eastAsia="en-AU"/>
              </w:rPr>
            </w:pPr>
            <w:r w:rsidRPr="00EC4CFF">
              <w:t>111.1</w:t>
            </w:r>
          </w:p>
        </w:tc>
        <w:tc>
          <w:tcPr>
            <w:tcW w:w="1134" w:type="dxa"/>
            <w:tcBorders>
              <w:top w:val="single" w:sz="4" w:space="0" w:color="A6A6A6" w:themeColor="background1" w:themeShade="A6"/>
              <w:bottom w:val="single" w:sz="4" w:space="0" w:color="A6A6A6" w:themeColor="background1" w:themeShade="A6"/>
            </w:tcBorders>
          </w:tcPr>
          <w:p w14:paraId="1A9B4CE4" w14:textId="77777777" w:rsidR="00FA7EBF" w:rsidRPr="007939DD" w:rsidRDefault="00FA7EBF" w:rsidP="007B207C">
            <w:pPr>
              <w:pStyle w:val="ARfintablebodyright"/>
              <w:rPr>
                <w:lang w:eastAsia="en-AU"/>
              </w:rPr>
            </w:pPr>
            <w:r w:rsidRPr="00EC4CFF">
              <w:t>90.1</w:t>
            </w:r>
          </w:p>
        </w:tc>
      </w:tr>
      <w:tr w:rsidR="00FA7EBF" w:rsidRPr="007939DD" w14:paraId="10191D3E" w14:textId="77777777" w:rsidTr="007B207C">
        <w:trPr>
          <w:cantSplit/>
        </w:trPr>
        <w:tc>
          <w:tcPr>
            <w:tcW w:w="9639" w:type="dxa"/>
            <w:gridSpan w:val="3"/>
            <w:tcBorders>
              <w:top w:val="single" w:sz="4" w:space="0" w:color="A6A6A6" w:themeColor="background1" w:themeShade="A6"/>
              <w:bottom w:val="single" w:sz="4" w:space="0" w:color="A6A6A6" w:themeColor="background1" w:themeShade="A6"/>
            </w:tcBorders>
          </w:tcPr>
          <w:p w14:paraId="32B2CAC1" w14:textId="77777777" w:rsidR="00FA7EBF" w:rsidRPr="007939DD" w:rsidRDefault="00FA7EBF" w:rsidP="007B207C">
            <w:pPr>
              <w:pStyle w:val="ARfintablebodybold"/>
              <w:rPr>
                <w:lang w:eastAsia="en-AU"/>
              </w:rPr>
            </w:pPr>
            <w:r w:rsidRPr="00EC4CFF">
              <w:t>Movements in assets and liabilities</w:t>
            </w:r>
          </w:p>
        </w:tc>
      </w:tr>
      <w:tr w:rsidR="00FA7EBF" w:rsidRPr="007939DD" w14:paraId="0898CB23"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E837FCF" w14:textId="77777777" w:rsidR="00FA7EBF" w:rsidRPr="007939DD" w:rsidRDefault="00FA7EBF" w:rsidP="007B207C">
            <w:pPr>
              <w:pStyle w:val="ARfintablebody"/>
              <w:rPr>
                <w:lang w:eastAsia="en-AU"/>
              </w:rPr>
            </w:pPr>
            <w:r w:rsidRPr="00EC4CFF">
              <w:t>(Increase)/decrease in receivables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5CAE917" w14:textId="77777777" w:rsidR="00FA7EBF" w:rsidRPr="007939DD" w:rsidRDefault="00FA7EBF" w:rsidP="007B207C">
            <w:pPr>
              <w:pStyle w:val="ARfintablebodyright"/>
              <w:rPr>
                <w:lang w:eastAsia="en-AU"/>
              </w:rPr>
            </w:pPr>
            <w:r w:rsidRPr="00EC4CFF">
              <w:t>(387.4)</w:t>
            </w:r>
          </w:p>
        </w:tc>
        <w:tc>
          <w:tcPr>
            <w:tcW w:w="1134" w:type="dxa"/>
            <w:tcBorders>
              <w:top w:val="single" w:sz="4" w:space="0" w:color="A6A6A6" w:themeColor="background1" w:themeShade="A6"/>
              <w:bottom w:val="single" w:sz="4" w:space="0" w:color="A6A6A6" w:themeColor="background1" w:themeShade="A6"/>
            </w:tcBorders>
          </w:tcPr>
          <w:p w14:paraId="545CD65F" w14:textId="77777777" w:rsidR="00FA7EBF" w:rsidRPr="007939DD" w:rsidRDefault="00FA7EBF" w:rsidP="007B207C">
            <w:pPr>
              <w:pStyle w:val="ARfintablebodyright"/>
              <w:rPr>
                <w:lang w:eastAsia="en-AU"/>
              </w:rPr>
            </w:pPr>
            <w:r w:rsidRPr="00EC4CFF">
              <w:t>(181.7)</w:t>
            </w:r>
          </w:p>
        </w:tc>
      </w:tr>
      <w:tr w:rsidR="00FA7EBF" w:rsidRPr="007939DD" w14:paraId="1B8267CA"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68B5C246" w14:textId="77777777" w:rsidR="00FA7EBF" w:rsidRPr="007939DD" w:rsidRDefault="00FA7EBF" w:rsidP="007B207C">
            <w:pPr>
              <w:pStyle w:val="ARfintablebody"/>
              <w:rPr>
                <w:lang w:eastAsia="en-AU"/>
              </w:rPr>
            </w:pPr>
            <w:r w:rsidRPr="00EC4CFF">
              <w:t>(Increase)/decrease in prepayments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FEAD8FD" w14:textId="77777777" w:rsidR="00FA7EBF" w:rsidRPr="007939DD" w:rsidRDefault="00FA7EBF" w:rsidP="007B207C">
            <w:pPr>
              <w:pStyle w:val="ARfintablebodyright"/>
              <w:rPr>
                <w:lang w:eastAsia="en-AU"/>
              </w:rPr>
            </w:pPr>
            <w:r w:rsidRPr="00EC4CFF">
              <w:t>15.0</w:t>
            </w:r>
          </w:p>
        </w:tc>
        <w:tc>
          <w:tcPr>
            <w:tcW w:w="1134" w:type="dxa"/>
            <w:tcBorders>
              <w:top w:val="single" w:sz="4" w:space="0" w:color="A6A6A6" w:themeColor="background1" w:themeShade="A6"/>
              <w:bottom w:val="single" w:sz="4" w:space="0" w:color="A6A6A6" w:themeColor="background1" w:themeShade="A6"/>
            </w:tcBorders>
          </w:tcPr>
          <w:p w14:paraId="0F93286C" w14:textId="77777777" w:rsidR="00FA7EBF" w:rsidRPr="007939DD" w:rsidRDefault="00FA7EBF" w:rsidP="007B207C">
            <w:pPr>
              <w:pStyle w:val="ARfintablebodyright"/>
              <w:rPr>
                <w:lang w:eastAsia="en-AU"/>
              </w:rPr>
            </w:pPr>
            <w:r w:rsidRPr="00EC4CFF">
              <w:t>(16.0)</w:t>
            </w:r>
          </w:p>
        </w:tc>
      </w:tr>
      <w:tr w:rsidR="00FA7EBF" w:rsidRPr="007939DD" w14:paraId="4E0197A2"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4D47ED4" w14:textId="77777777" w:rsidR="00FA7EBF" w:rsidRPr="007939DD" w:rsidRDefault="00FA7EBF" w:rsidP="007B207C">
            <w:pPr>
              <w:pStyle w:val="ARfintablebody"/>
              <w:rPr>
                <w:lang w:eastAsia="en-AU"/>
              </w:rPr>
            </w:pPr>
            <w:r w:rsidRPr="00EC4CFF">
              <w:t>Increase/(decrease) in payables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712920A" w14:textId="77777777" w:rsidR="00FA7EBF" w:rsidRPr="007939DD" w:rsidRDefault="00FA7EBF" w:rsidP="007B207C">
            <w:pPr>
              <w:pStyle w:val="ARfintablebodyright"/>
              <w:rPr>
                <w:lang w:eastAsia="en-AU"/>
              </w:rPr>
            </w:pPr>
            <w:r w:rsidRPr="00EC4CFF">
              <w:t>188.7</w:t>
            </w:r>
          </w:p>
        </w:tc>
        <w:tc>
          <w:tcPr>
            <w:tcW w:w="1134" w:type="dxa"/>
            <w:tcBorders>
              <w:top w:val="single" w:sz="4" w:space="0" w:color="A6A6A6" w:themeColor="background1" w:themeShade="A6"/>
              <w:bottom w:val="single" w:sz="4" w:space="0" w:color="A6A6A6" w:themeColor="background1" w:themeShade="A6"/>
            </w:tcBorders>
          </w:tcPr>
          <w:p w14:paraId="3E794966" w14:textId="77777777" w:rsidR="00FA7EBF" w:rsidRPr="007939DD" w:rsidRDefault="00FA7EBF" w:rsidP="007B207C">
            <w:pPr>
              <w:pStyle w:val="ARfintablebodyright"/>
              <w:rPr>
                <w:lang w:eastAsia="en-AU"/>
              </w:rPr>
            </w:pPr>
            <w:r>
              <w:t>5.1</w:t>
            </w:r>
          </w:p>
        </w:tc>
      </w:tr>
      <w:tr w:rsidR="00FA7EBF" w:rsidRPr="007939DD" w14:paraId="4304F495" w14:textId="77777777" w:rsidTr="007B207C">
        <w:trPr>
          <w:cantSplit/>
        </w:trPr>
        <w:tc>
          <w:tcPr>
            <w:tcW w:w="7371" w:type="dxa"/>
            <w:tcBorders>
              <w:top w:val="single" w:sz="4" w:space="0" w:color="A6A6A6" w:themeColor="background1" w:themeShade="A6"/>
            </w:tcBorders>
          </w:tcPr>
          <w:p w14:paraId="2E2309EE" w14:textId="77777777" w:rsidR="00FA7EBF" w:rsidRPr="007939DD" w:rsidRDefault="00FA7EBF" w:rsidP="007B207C">
            <w:pPr>
              <w:pStyle w:val="ARfintablebody"/>
              <w:rPr>
                <w:lang w:eastAsia="en-AU"/>
              </w:rPr>
            </w:pPr>
            <w:r w:rsidRPr="00EC4CFF">
              <w:t>Increase/(decrease) in provisions</w:t>
            </w:r>
          </w:p>
        </w:tc>
        <w:tc>
          <w:tcPr>
            <w:tcW w:w="1134" w:type="dxa"/>
            <w:tcBorders>
              <w:top w:val="single" w:sz="4" w:space="0" w:color="A6A6A6" w:themeColor="background1" w:themeShade="A6"/>
            </w:tcBorders>
            <w:shd w:val="clear" w:color="auto" w:fill="E7E6E6"/>
          </w:tcPr>
          <w:p w14:paraId="1140AE67" w14:textId="77777777" w:rsidR="00FA7EBF" w:rsidRPr="007939DD" w:rsidRDefault="00FA7EBF" w:rsidP="007B207C">
            <w:pPr>
              <w:pStyle w:val="ARfintablebodyright"/>
              <w:rPr>
                <w:lang w:eastAsia="en-AU"/>
              </w:rPr>
            </w:pPr>
            <w:r w:rsidRPr="00EC4CFF">
              <w:t>8.4</w:t>
            </w:r>
          </w:p>
        </w:tc>
        <w:tc>
          <w:tcPr>
            <w:tcW w:w="1134" w:type="dxa"/>
            <w:tcBorders>
              <w:top w:val="single" w:sz="4" w:space="0" w:color="A6A6A6" w:themeColor="background1" w:themeShade="A6"/>
            </w:tcBorders>
          </w:tcPr>
          <w:p w14:paraId="796F6F12" w14:textId="77777777" w:rsidR="00FA7EBF" w:rsidRPr="007939DD" w:rsidRDefault="00FA7EBF" w:rsidP="007B207C">
            <w:pPr>
              <w:pStyle w:val="ARfintablebodyright"/>
              <w:rPr>
                <w:lang w:eastAsia="en-AU"/>
              </w:rPr>
            </w:pPr>
            <w:r>
              <w:t>(20.5)</w:t>
            </w:r>
          </w:p>
        </w:tc>
      </w:tr>
      <w:tr w:rsidR="00FA7EBF" w:rsidRPr="007939DD" w14:paraId="5C3569B8" w14:textId="77777777" w:rsidTr="007B207C">
        <w:trPr>
          <w:cantSplit/>
        </w:trPr>
        <w:tc>
          <w:tcPr>
            <w:tcW w:w="7371" w:type="dxa"/>
          </w:tcPr>
          <w:p w14:paraId="3027D976" w14:textId="77777777" w:rsidR="00FA7EBF" w:rsidRPr="007939DD" w:rsidRDefault="00FA7EBF" w:rsidP="007B207C">
            <w:pPr>
              <w:pStyle w:val="ARfintablebodybold"/>
              <w:rPr>
                <w:rStyle w:val="Strong"/>
              </w:rPr>
            </w:pPr>
            <w:r w:rsidRPr="00EC4CFF">
              <w:t>Net cash flows from/(used in) operating activities</w:t>
            </w:r>
          </w:p>
        </w:tc>
        <w:tc>
          <w:tcPr>
            <w:tcW w:w="1134" w:type="dxa"/>
            <w:shd w:val="clear" w:color="auto" w:fill="E7E6E6"/>
          </w:tcPr>
          <w:p w14:paraId="03CE5BD6" w14:textId="77777777" w:rsidR="00FA7EBF" w:rsidRPr="007939DD" w:rsidRDefault="00FA7EBF" w:rsidP="007B207C">
            <w:pPr>
              <w:pStyle w:val="ARfintablebodyrightbold"/>
              <w:rPr>
                <w:rStyle w:val="Strong"/>
              </w:rPr>
            </w:pPr>
            <w:r w:rsidRPr="00EC4CFF">
              <w:t>325.9</w:t>
            </w:r>
          </w:p>
        </w:tc>
        <w:tc>
          <w:tcPr>
            <w:tcW w:w="1134" w:type="dxa"/>
          </w:tcPr>
          <w:p w14:paraId="1EA5DDA9" w14:textId="77777777" w:rsidR="00FA7EBF" w:rsidRPr="007939DD" w:rsidRDefault="00FA7EBF" w:rsidP="007B207C">
            <w:pPr>
              <w:pStyle w:val="ARfintablebodyrightbold"/>
              <w:rPr>
                <w:rStyle w:val="Strong"/>
              </w:rPr>
            </w:pPr>
            <w:r w:rsidRPr="00EC4CFF">
              <w:t>361.9</w:t>
            </w:r>
          </w:p>
        </w:tc>
      </w:tr>
    </w:tbl>
    <w:p w14:paraId="0825A312" w14:textId="77777777" w:rsidR="00FA7EBF" w:rsidRPr="00194D78" w:rsidRDefault="00FA7EBF" w:rsidP="00CA66FD">
      <w:pPr>
        <w:pStyle w:val="ARfinbodyaftertable"/>
      </w:pPr>
      <w:r w:rsidRPr="00194D78">
        <w:rPr>
          <w:b/>
          <w:bCs/>
        </w:rPr>
        <w:t>Restructuring of administrative arrangements</w:t>
      </w:r>
      <w:r w:rsidRPr="00194D78">
        <w:t>: The administrative restructuring is not reflected in the cash flow statement.</w:t>
      </w:r>
    </w:p>
    <w:p w14:paraId="26ED9A3F" w14:textId="77777777" w:rsidR="00FA7EBF" w:rsidRDefault="00FA7EBF" w:rsidP="00CA66FD">
      <w:pPr>
        <w:pStyle w:val="Heading4"/>
        <w:rPr>
          <w:lang w:eastAsia="en-AU"/>
        </w:rPr>
        <w:sectPr w:rsidR="00FA7EBF" w:rsidSect="007B207C">
          <w:footerReference w:type="even" r:id="rId192"/>
          <w:footerReference w:type="default" r:id="rId193"/>
          <w:endnotePr>
            <w:numFmt w:val="decimal"/>
          </w:endnotePr>
          <w:pgSz w:w="11906" w:h="16838" w:code="9"/>
          <w:pgMar w:top="1531" w:right="851" w:bottom="851" w:left="1418" w:header="510" w:footer="340" w:gutter="0"/>
          <w:paperSrc w:first="258"/>
          <w:cols w:space="454"/>
          <w:docGrid w:linePitch="326"/>
        </w:sectPr>
      </w:pPr>
    </w:p>
    <w:p w14:paraId="044318EA" w14:textId="77777777" w:rsidR="00FA7EBF" w:rsidRPr="00194D78" w:rsidRDefault="00FA7EBF" w:rsidP="00CA66FD">
      <w:pPr>
        <w:pStyle w:val="Heading4"/>
        <w:spacing w:before="0"/>
        <w:rPr>
          <w:lang w:eastAsia="en-AU"/>
        </w:rPr>
      </w:pPr>
      <w:r w:rsidRPr="00194D78">
        <w:rPr>
          <w:lang w:eastAsia="en-AU"/>
        </w:rPr>
        <w:t>7.4 Trust account balances</w:t>
      </w:r>
    </w:p>
    <w:p w14:paraId="1D1F7B10" w14:textId="77777777" w:rsidR="00FA7EBF" w:rsidRDefault="00FA7EBF" w:rsidP="00CA66FD">
      <w:pPr>
        <w:pStyle w:val="ARfinbody"/>
      </w:pPr>
      <w:r w:rsidRPr="00194D78">
        <w:t>The department has responsibility for transactions and balances relating to trust funds held on behalf of third parties external to the department. Funds managed on behalf of third parties are not recognised in these financial statements as they are managed on a fiduciary and custodial basis, and therefore are not controlled by the department.</w:t>
      </w:r>
    </w:p>
    <w:p w14:paraId="5BC0D52D" w14:textId="77777777" w:rsidR="00FA7EBF" w:rsidRPr="00194D78" w:rsidRDefault="00FA7EBF" w:rsidP="00CA66FD">
      <w:pPr>
        <w:pStyle w:val="ARfinbody"/>
      </w:pPr>
      <w:r w:rsidRPr="00194D78">
        <w:t>Any earnings on the funds held pending distribution are also applied to the trust funds under management as appropriate.</w:t>
      </w:r>
    </w:p>
    <w:p w14:paraId="0FBEFA50" w14:textId="77777777" w:rsidR="00FA7EBF" w:rsidRDefault="00FA7EBF" w:rsidP="00CA66FD">
      <w:pPr>
        <w:pStyle w:val="ARfinbodylargespace"/>
      </w:pPr>
      <w:r w:rsidRPr="00194D78">
        <w:t>The following is a listing of trust account balances relating to trust accounts controlled and administered by the department. Anzac Day Proceeds Fund and State Development Special Projects Trust Account trusts were part of the machinery of government transfer to the Department of Jobs, Precincts and Regions effective 1 January 2019. During 201</w:t>
      </w:r>
      <w:r>
        <w:t>8–</w:t>
      </w:r>
      <w:r w:rsidRPr="00194D78">
        <w:t>19, there were no trust accounts closed.</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574"/>
        <w:gridCol w:w="908"/>
        <w:gridCol w:w="907"/>
        <w:gridCol w:w="907"/>
        <w:gridCol w:w="907"/>
        <w:gridCol w:w="907"/>
        <w:gridCol w:w="907"/>
        <w:gridCol w:w="907"/>
        <w:gridCol w:w="907"/>
        <w:gridCol w:w="907"/>
        <w:gridCol w:w="907"/>
        <w:gridCol w:w="907"/>
        <w:gridCol w:w="907"/>
      </w:tblGrid>
      <w:tr w:rsidR="00FA7EBF" w:rsidRPr="007939DD" w14:paraId="72ECAD6B" w14:textId="77777777" w:rsidTr="007B207C">
        <w:trPr>
          <w:cantSplit/>
          <w:tblHeader/>
        </w:trPr>
        <w:tc>
          <w:tcPr>
            <w:tcW w:w="3574" w:type="dxa"/>
            <w:vMerge w:val="restart"/>
            <w:vAlign w:val="bottom"/>
          </w:tcPr>
          <w:p w14:paraId="2C95962C" w14:textId="77777777" w:rsidR="00FA7EBF" w:rsidRPr="007939DD" w:rsidRDefault="00FA7EBF" w:rsidP="007B207C">
            <w:pPr>
              <w:autoSpaceDE w:val="0"/>
              <w:autoSpaceDN w:val="0"/>
              <w:adjustRightInd w:val="0"/>
              <w:spacing w:beforeLines="40" w:before="96" w:afterLines="20" w:after="48"/>
              <w:rPr>
                <w:rFonts w:cs="Arial"/>
                <w:color w:val="000000"/>
                <w:sz w:val="15"/>
                <w:szCs w:val="15"/>
              </w:rPr>
            </w:pPr>
          </w:p>
        </w:tc>
        <w:tc>
          <w:tcPr>
            <w:tcW w:w="5443" w:type="dxa"/>
            <w:gridSpan w:val="6"/>
            <w:shd w:val="clear" w:color="auto" w:fill="E7E6E6"/>
            <w:vAlign w:val="bottom"/>
          </w:tcPr>
          <w:p w14:paraId="01AED7ED" w14:textId="77777777" w:rsidR="00FA7EBF" w:rsidRPr="007939DD" w:rsidRDefault="00FA7EBF" w:rsidP="007B207C">
            <w:pPr>
              <w:pStyle w:val="ARfintablecolheadcentre"/>
              <w:rPr>
                <w:sz w:val="15"/>
                <w:szCs w:val="15"/>
              </w:rPr>
            </w:pPr>
            <w:r w:rsidRPr="007939DD">
              <w:rPr>
                <w:sz w:val="15"/>
                <w:szCs w:val="15"/>
              </w:rPr>
              <w:t>201</w:t>
            </w:r>
            <w:r>
              <w:rPr>
                <w:sz w:val="15"/>
                <w:szCs w:val="15"/>
              </w:rPr>
              <w:t>9</w:t>
            </w:r>
          </w:p>
        </w:tc>
        <w:tc>
          <w:tcPr>
            <w:tcW w:w="5442" w:type="dxa"/>
            <w:gridSpan w:val="6"/>
            <w:vAlign w:val="bottom"/>
          </w:tcPr>
          <w:p w14:paraId="2B9E4C95" w14:textId="77777777" w:rsidR="00FA7EBF" w:rsidRPr="007939DD" w:rsidRDefault="00FA7EBF" w:rsidP="007B207C">
            <w:pPr>
              <w:pStyle w:val="ARfintablecolheadcentre"/>
              <w:rPr>
                <w:sz w:val="15"/>
                <w:szCs w:val="15"/>
              </w:rPr>
            </w:pPr>
            <w:r w:rsidRPr="007939DD">
              <w:rPr>
                <w:sz w:val="15"/>
                <w:szCs w:val="15"/>
              </w:rPr>
              <w:t>201</w:t>
            </w:r>
            <w:r>
              <w:rPr>
                <w:sz w:val="15"/>
                <w:szCs w:val="15"/>
              </w:rPr>
              <w:t>8</w:t>
            </w:r>
          </w:p>
        </w:tc>
      </w:tr>
      <w:tr w:rsidR="00FA7EBF" w:rsidRPr="007939DD" w14:paraId="4CD89432" w14:textId="77777777" w:rsidTr="007B207C">
        <w:trPr>
          <w:cantSplit/>
          <w:tblHeader/>
        </w:trPr>
        <w:tc>
          <w:tcPr>
            <w:tcW w:w="3574" w:type="dxa"/>
            <w:vMerge/>
            <w:vAlign w:val="bottom"/>
          </w:tcPr>
          <w:p w14:paraId="7CC5E90A" w14:textId="77777777" w:rsidR="00FA7EBF" w:rsidRPr="007939DD" w:rsidRDefault="00FA7EBF" w:rsidP="007B207C">
            <w:pPr>
              <w:autoSpaceDE w:val="0"/>
              <w:autoSpaceDN w:val="0"/>
              <w:adjustRightInd w:val="0"/>
              <w:spacing w:beforeLines="40" w:before="96" w:afterLines="20" w:after="48"/>
              <w:jc w:val="right"/>
              <w:rPr>
                <w:rFonts w:cs="Arial"/>
                <w:color w:val="000000"/>
                <w:sz w:val="15"/>
                <w:szCs w:val="15"/>
              </w:rPr>
            </w:pPr>
          </w:p>
        </w:tc>
        <w:tc>
          <w:tcPr>
            <w:tcW w:w="908" w:type="dxa"/>
            <w:tcBorders>
              <w:right w:val="nil"/>
            </w:tcBorders>
            <w:shd w:val="clear" w:color="auto" w:fill="E7E6E6"/>
            <w:vAlign w:val="bottom"/>
          </w:tcPr>
          <w:p w14:paraId="4F8A188C" w14:textId="77777777" w:rsidR="00FA7EBF" w:rsidRPr="007939DD" w:rsidRDefault="00FA7EBF" w:rsidP="007B207C">
            <w:pPr>
              <w:pStyle w:val="ARfintablecolheadright"/>
              <w:rPr>
                <w:sz w:val="15"/>
                <w:szCs w:val="15"/>
              </w:rPr>
            </w:pPr>
            <w:r w:rsidRPr="007939DD">
              <w:rPr>
                <w:sz w:val="15"/>
                <w:szCs w:val="15"/>
              </w:rPr>
              <w:t>Opening balance as at 1 July 201</w:t>
            </w:r>
            <w:r>
              <w:rPr>
                <w:sz w:val="15"/>
                <w:szCs w:val="15"/>
              </w:rPr>
              <w:t>8</w:t>
            </w:r>
          </w:p>
          <w:p w14:paraId="7FDC8CB2" w14:textId="77777777" w:rsidR="00FA7EBF" w:rsidRPr="007939DD" w:rsidRDefault="00FA7EBF" w:rsidP="007B207C">
            <w:pPr>
              <w:pStyle w:val="ARfintablecolheadright"/>
              <w:rPr>
                <w:sz w:val="15"/>
                <w:szCs w:val="15"/>
              </w:rPr>
            </w:pPr>
            <w:r w:rsidRPr="007939DD">
              <w:rPr>
                <w:sz w:val="15"/>
                <w:szCs w:val="15"/>
              </w:rPr>
              <w:t>$M</w:t>
            </w:r>
          </w:p>
        </w:tc>
        <w:tc>
          <w:tcPr>
            <w:tcW w:w="907" w:type="dxa"/>
            <w:tcBorders>
              <w:left w:val="nil"/>
              <w:right w:val="nil"/>
            </w:tcBorders>
            <w:shd w:val="clear" w:color="auto" w:fill="E7E6E6"/>
            <w:vAlign w:val="bottom"/>
          </w:tcPr>
          <w:p w14:paraId="4B0E80B3" w14:textId="77777777" w:rsidR="00FA7EBF" w:rsidRPr="007939DD" w:rsidRDefault="00FA7EBF" w:rsidP="007B207C">
            <w:pPr>
              <w:pStyle w:val="ARfintablecolheadright"/>
              <w:rPr>
                <w:sz w:val="15"/>
                <w:szCs w:val="15"/>
              </w:rPr>
            </w:pPr>
            <w:r w:rsidRPr="007939DD">
              <w:rPr>
                <w:sz w:val="15"/>
                <w:szCs w:val="15"/>
              </w:rPr>
              <w:t>Machin-ery of govern-ment</w:t>
            </w:r>
            <w:r>
              <w:rPr>
                <w:sz w:val="15"/>
                <w:szCs w:val="15"/>
              </w:rPr>
              <w:t xml:space="preserve"> –</w:t>
            </w:r>
            <w:r w:rsidRPr="007939DD">
              <w:rPr>
                <w:sz w:val="15"/>
                <w:szCs w:val="15"/>
              </w:rPr>
              <w:t xml:space="preserve"> transfer in</w:t>
            </w:r>
            <w:r>
              <w:rPr>
                <w:sz w:val="15"/>
                <w:szCs w:val="15"/>
              </w:rPr>
              <w:t>/(out)</w:t>
            </w:r>
          </w:p>
          <w:p w14:paraId="066C2C92" w14:textId="77777777" w:rsidR="00FA7EBF" w:rsidRPr="007939DD" w:rsidRDefault="00FA7EBF" w:rsidP="007B207C">
            <w:pPr>
              <w:pStyle w:val="ARfintablecolheadright"/>
              <w:rPr>
                <w:sz w:val="15"/>
                <w:szCs w:val="15"/>
              </w:rPr>
            </w:pPr>
            <w:r w:rsidRPr="007939DD">
              <w:rPr>
                <w:sz w:val="15"/>
                <w:szCs w:val="15"/>
              </w:rPr>
              <w:t>$M</w:t>
            </w:r>
          </w:p>
        </w:tc>
        <w:tc>
          <w:tcPr>
            <w:tcW w:w="907" w:type="dxa"/>
            <w:tcBorders>
              <w:left w:val="nil"/>
              <w:right w:val="nil"/>
            </w:tcBorders>
            <w:shd w:val="clear" w:color="auto" w:fill="E7E6E6"/>
            <w:vAlign w:val="bottom"/>
          </w:tcPr>
          <w:p w14:paraId="7EF692D6" w14:textId="77777777" w:rsidR="00FA7EBF" w:rsidRPr="007939DD" w:rsidRDefault="00FA7EBF" w:rsidP="007B207C">
            <w:pPr>
              <w:pStyle w:val="ARfintablecolheadright"/>
              <w:rPr>
                <w:sz w:val="15"/>
                <w:szCs w:val="15"/>
              </w:rPr>
            </w:pPr>
            <w:r w:rsidRPr="007939DD">
              <w:rPr>
                <w:sz w:val="15"/>
                <w:szCs w:val="15"/>
              </w:rPr>
              <w:t>Total receipts</w:t>
            </w:r>
          </w:p>
          <w:p w14:paraId="546C059D" w14:textId="77777777" w:rsidR="00FA7EBF" w:rsidRPr="007939DD" w:rsidRDefault="00FA7EBF" w:rsidP="007B207C">
            <w:pPr>
              <w:pStyle w:val="ARfintablecolheadright"/>
              <w:rPr>
                <w:sz w:val="15"/>
                <w:szCs w:val="15"/>
              </w:rPr>
            </w:pPr>
            <w:r w:rsidRPr="007939DD">
              <w:rPr>
                <w:sz w:val="15"/>
                <w:szCs w:val="15"/>
              </w:rPr>
              <w:t>$M</w:t>
            </w:r>
          </w:p>
        </w:tc>
        <w:tc>
          <w:tcPr>
            <w:tcW w:w="907" w:type="dxa"/>
            <w:tcBorders>
              <w:left w:val="nil"/>
              <w:right w:val="nil"/>
            </w:tcBorders>
            <w:shd w:val="clear" w:color="auto" w:fill="E7E6E6"/>
            <w:vAlign w:val="bottom"/>
          </w:tcPr>
          <w:p w14:paraId="4F204B33" w14:textId="77777777" w:rsidR="00FA7EBF" w:rsidRPr="007939DD" w:rsidRDefault="00FA7EBF" w:rsidP="007B207C">
            <w:pPr>
              <w:pStyle w:val="ARfintablecolheadright"/>
              <w:rPr>
                <w:sz w:val="15"/>
                <w:szCs w:val="15"/>
              </w:rPr>
            </w:pPr>
            <w:r w:rsidRPr="007939DD">
              <w:rPr>
                <w:sz w:val="15"/>
                <w:szCs w:val="15"/>
              </w:rPr>
              <w:t>Total pay-ments</w:t>
            </w:r>
          </w:p>
          <w:p w14:paraId="24F1C456" w14:textId="77777777" w:rsidR="00FA7EBF" w:rsidRPr="007939DD" w:rsidRDefault="00FA7EBF" w:rsidP="007B207C">
            <w:pPr>
              <w:pStyle w:val="ARfintablecolheadright"/>
              <w:rPr>
                <w:sz w:val="15"/>
                <w:szCs w:val="15"/>
              </w:rPr>
            </w:pPr>
            <w:r w:rsidRPr="007939DD">
              <w:rPr>
                <w:sz w:val="15"/>
                <w:szCs w:val="15"/>
              </w:rPr>
              <w:t>$M</w:t>
            </w:r>
          </w:p>
        </w:tc>
        <w:tc>
          <w:tcPr>
            <w:tcW w:w="907" w:type="dxa"/>
            <w:tcBorders>
              <w:left w:val="nil"/>
              <w:right w:val="nil"/>
            </w:tcBorders>
            <w:shd w:val="clear" w:color="auto" w:fill="E7E6E6"/>
            <w:vAlign w:val="bottom"/>
          </w:tcPr>
          <w:p w14:paraId="6A05E4CA" w14:textId="77777777" w:rsidR="00FA7EBF" w:rsidRPr="007939DD" w:rsidRDefault="00FA7EBF" w:rsidP="007B207C">
            <w:pPr>
              <w:pStyle w:val="ARfintablecolheadright"/>
              <w:rPr>
                <w:sz w:val="15"/>
                <w:szCs w:val="15"/>
              </w:rPr>
            </w:pPr>
            <w:r w:rsidRPr="007939DD">
              <w:rPr>
                <w:sz w:val="15"/>
                <w:szCs w:val="15"/>
              </w:rPr>
              <w:t>Non-cash move-ment</w:t>
            </w:r>
          </w:p>
          <w:p w14:paraId="7F271982" w14:textId="77777777" w:rsidR="00FA7EBF" w:rsidRPr="007939DD" w:rsidRDefault="00FA7EBF" w:rsidP="007B207C">
            <w:pPr>
              <w:pStyle w:val="ARfintablecolheadright"/>
              <w:rPr>
                <w:sz w:val="15"/>
                <w:szCs w:val="15"/>
              </w:rPr>
            </w:pPr>
            <w:r w:rsidRPr="007939DD">
              <w:rPr>
                <w:sz w:val="15"/>
                <w:szCs w:val="15"/>
              </w:rPr>
              <w:t>$M</w:t>
            </w:r>
          </w:p>
        </w:tc>
        <w:tc>
          <w:tcPr>
            <w:tcW w:w="907" w:type="dxa"/>
            <w:tcBorders>
              <w:left w:val="nil"/>
            </w:tcBorders>
            <w:shd w:val="clear" w:color="auto" w:fill="E7E6E6"/>
            <w:vAlign w:val="bottom"/>
          </w:tcPr>
          <w:p w14:paraId="1A0A814C" w14:textId="77777777" w:rsidR="00FA7EBF" w:rsidRPr="007939DD" w:rsidRDefault="00FA7EBF" w:rsidP="007B207C">
            <w:pPr>
              <w:pStyle w:val="ARfintablecolheadright"/>
              <w:rPr>
                <w:sz w:val="15"/>
                <w:szCs w:val="15"/>
              </w:rPr>
            </w:pPr>
            <w:r w:rsidRPr="007939DD">
              <w:rPr>
                <w:sz w:val="15"/>
                <w:szCs w:val="15"/>
              </w:rPr>
              <w:t>Closing balance as at 30 June 201</w:t>
            </w:r>
            <w:r>
              <w:rPr>
                <w:sz w:val="15"/>
                <w:szCs w:val="15"/>
              </w:rPr>
              <w:t>9</w:t>
            </w:r>
          </w:p>
          <w:p w14:paraId="200EF7D5" w14:textId="77777777" w:rsidR="00FA7EBF" w:rsidRPr="007939DD" w:rsidRDefault="00FA7EBF" w:rsidP="007B207C">
            <w:pPr>
              <w:pStyle w:val="ARfintablecolheadright"/>
              <w:rPr>
                <w:sz w:val="15"/>
                <w:szCs w:val="15"/>
              </w:rPr>
            </w:pPr>
            <w:r w:rsidRPr="007939DD">
              <w:rPr>
                <w:sz w:val="15"/>
                <w:szCs w:val="15"/>
              </w:rPr>
              <w:t>$M</w:t>
            </w:r>
          </w:p>
        </w:tc>
        <w:tc>
          <w:tcPr>
            <w:tcW w:w="907" w:type="dxa"/>
            <w:vAlign w:val="bottom"/>
          </w:tcPr>
          <w:p w14:paraId="79467B32" w14:textId="77777777" w:rsidR="00FA7EBF" w:rsidRPr="007939DD" w:rsidRDefault="00FA7EBF" w:rsidP="007B207C">
            <w:pPr>
              <w:pStyle w:val="ARfintablecolheadright"/>
              <w:rPr>
                <w:sz w:val="15"/>
                <w:szCs w:val="15"/>
              </w:rPr>
            </w:pPr>
            <w:r w:rsidRPr="007939DD">
              <w:rPr>
                <w:sz w:val="15"/>
                <w:szCs w:val="15"/>
              </w:rPr>
              <w:t>Opening balance as at 1 July 201</w:t>
            </w:r>
            <w:r>
              <w:rPr>
                <w:sz w:val="15"/>
                <w:szCs w:val="15"/>
              </w:rPr>
              <w:t>7</w:t>
            </w:r>
          </w:p>
          <w:p w14:paraId="1FF11EAF" w14:textId="77777777" w:rsidR="00FA7EBF" w:rsidRPr="007939DD" w:rsidRDefault="00FA7EBF" w:rsidP="007B207C">
            <w:pPr>
              <w:pStyle w:val="ARfintablecolheadright"/>
              <w:rPr>
                <w:sz w:val="15"/>
                <w:szCs w:val="15"/>
              </w:rPr>
            </w:pPr>
            <w:r w:rsidRPr="007939DD">
              <w:rPr>
                <w:sz w:val="15"/>
                <w:szCs w:val="15"/>
              </w:rPr>
              <w:t>$M</w:t>
            </w:r>
          </w:p>
        </w:tc>
        <w:tc>
          <w:tcPr>
            <w:tcW w:w="907" w:type="dxa"/>
            <w:vAlign w:val="bottom"/>
          </w:tcPr>
          <w:p w14:paraId="0032DA3F" w14:textId="77777777" w:rsidR="00FA7EBF" w:rsidRPr="007939DD" w:rsidRDefault="00FA7EBF" w:rsidP="007B207C">
            <w:pPr>
              <w:pStyle w:val="ARfintablecolheadright"/>
              <w:rPr>
                <w:sz w:val="15"/>
                <w:szCs w:val="15"/>
              </w:rPr>
            </w:pPr>
            <w:r w:rsidRPr="007939DD">
              <w:rPr>
                <w:sz w:val="15"/>
                <w:szCs w:val="15"/>
              </w:rPr>
              <w:t>Machin-ery of govern-ment</w:t>
            </w:r>
            <w:r>
              <w:rPr>
                <w:sz w:val="15"/>
                <w:szCs w:val="15"/>
              </w:rPr>
              <w:t xml:space="preserve"> –</w:t>
            </w:r>
            <w:r w:rsidRPr="007939DD">
              <w:rPr>
                <w:sz w:val="15"/>
                <w:szCs w:val="15"/>
              </w:rPr>
              <w:t xml:space="preserve"> transfer </w:t>
            </w:r>
            <w:r>
              <w:rPr>
                <w:sz w:val="15"/>
                <w:szCs w:val="15"/>
              </w:rPr>
              <w:t>in/(</w:t>
            </w:r>
            <w:r w:rsidRPr="007939DD">
              <w:rPr>
                <w:sz w:val="15"/>
                <w:szCs w:val="15"/>
              </w:rPr>
              <w:t>out</w:t>
            </w:r>
            <w:r>
              <w:rPr>
                <w:sz w:val="15"/>
                <w:szCs w:val="15"/>
              </w:rPr>
              <w:t>)</w:t>
            </w:r>
          </w:p>
          <w:p w14:paraId="39EB5EFB" w14:textId="77777777" w:rsidR="00FA7EBF" w:rsidRPr="007939DD" w:rsidRDefault="00FA7EBF" w:rsidP="007B207C">
            <w:pPr>
              <w:pStyle w:val="ARfintablecolheadright"/>
              <w:rPr>
                <w:sz w:val="15"/>
                <w:szCs w:val="15"/>
              </w:rPr>
            </w:pPr>
            <w:r w:rsidRPr="007939DD">
              <w:rPr>
                <w:sz w:val="15"/>
                <w:szCs w:val="15"/>
              </w:rPr>
              <w:t>$M</w:t>
            </w:r>
          </w:p>
        </w:tc>
        <w:tc>
          <w:tcPr>
            <w:tcW w:w="907" w:type="dxa"/>
            <w:vAlign w:val="bottom"/>
          </w:tcPr>
          <w:p w14:paraId="15A79097" w14:textId="77777777" w:rsidR="00FA7EBF" w:rsidRPr="007939DD" w:rsidRDefault="00FA7EBF" w:rsidP="007B207C">
            <w:pPr>
              <w:pStyle w:val="ARfintablecolheadright"/>
              <w:rPr>
                <w:sz w:val="15"/>
                <w:szCs w:val="15"/>
              </w:rPr>
            </w:pPr>
            <w:r w:rsidRPr="007939DD">
              <w:rPr>
                <w:sz w:val="15"/>
                <w:szCs w:val="15"/>
              </w:rPr>
              <w:t>Total receipts</w:t>
            </w:r>
          </w:p>
          <w:p w14:paraId="5862A4B4" w14:textId="77777777" w:rsidR="00FA7EBF" w:rsidRPr="007939DD" w:rsidRDefault="00FA7EBF" w:rsidP="007B207C">
            <w:pPr>
              <w:pStyle w:val="ARfintablecolheadright"/>
              <w:rPr>
                <w:sz w:val="15"/>
                <w:szCs w:val="15"/>
              </w:rPr>
            </w:pPr>
            <w:r w:rsidRPr="007939DD">
              <w:rPr>
                <w:sz w:val="15"/>
                <w:szCs w:val="15"/>
              </w:rPr>
              <w:t>$M</w:t>
            </w:r>
          </w:p>
        </w:tc>
        <w:tc>
          <w:tcPr>
            <w:tcW w:w="907" w:type="dxa"/>
            <w:vAlign w:val="bottom"/>
          </w:tcPr>
          <w:p w14:paraId="5B5581E7" w14:textId="77777777" w:rsidR="00FA7EBF" w:rsidRPr="007939DD" w:rsidRDefault="00FA7EBF" w:rsidP="007B207C">
            <w:pPr>
              <w:pStyle w:val="ARfintablecolheadright"/>
              <w:rPr>
                <w:sz w:val="15"/>
                <w:szCs w:val="15"/>
              </w:rPr>
            </w:pPr>
            <w:r w:rsidRPr="007939DD">
              <w:rPr>
                <w:sz w:val="15"/>
                <w:szCs w:val="15"/>
              </w:rPr>
              <w:t>Total pay-ments</w:t>
            </w:r>
          </w:p>
          <w:p w14:paraId="7A656610" w14:textId="77777777" w:rsidR="00FA7EBF" w:rsidRPr="007939DD" w:rsidRDefault="00FA7EBF" w:rsidP="007B207C">
            <w:pPr>
              <w:pStyle w:val="ARfintablecolheadright"/>
              <w:rPr>
                <w:sz w:val="15"/>
                <w:szCs w:val="15"/>
              </w:rPr>
            </w:pPr>
            <w:r w:rsidRPr="007939DD">
              <w:rPr>
                <w:sz w:val="15"/>
                <w:szCs w:val="15"/>
              </w:rPr>
              <w:t>$M</w:t>
            </w:r>
          </w:p>
        </w:tc>
        <w:tc>
          <w:tcPr>
            <w:tcW w:w="907" w:type="dxa"/>
            <w:vAlign w:val="bottom"/>
          </w:tcPr>
          <w:p w14:paraId="1F096A47" w14:textId="77777777" w:rsidR="00FA7EBF" w:rsidRPr="007939DD" w:rsidRDefault="00FA7EBF" w:rsidP="007B207C">
            <w:pPr>
              <w:pStyle w:val="ARfintablecolheadright"/>
              <w:rPr>
                <w:sz w:val="15"/>
                <w:szCs w:val="15"/>
              </w:rPr>
            </w:pPr>
            <w:r w:rsidRPr="007939DD">
              <w:rPr>
                <w:sz w:val="15"/>
                <w:szCs w:val="15"/>
              </w:rPr>
              <w:t>Non-cash move-ment</w:t>
            </w:r>
          </w:p>
          <w:p w14:paraId="473EE003" w14:textId="77777777" w:rsidR="00FA7EBF" w:rsidRPr="007939DD" w:rsidRDefault="00FA7EBF" w:rsidP="007B207C">
            <w:pPr>
              <w:pStyle w:val="ARfintablecolheadright"/>
              <w:rPr>
                <w:sz w:val="15"/>
                <w:szCs w:val="15"/>
              </w:rPr>
            </w:pPr>
            <w:r w:rsidRPr="007939DD">
              <w:rPr>
                <w:sz w:val="15"/>
                <w:szCs w:val="15"/>
              </w:rPr>
              <w:t>$M</w:t>
            </w:r>
          </w:p>
        </w:tc>
        <w:tc>
          <w:tcPr>
            <w:tcW w:w="907" w:type="dxa"/>
            <w:vAlign w:val="bottom"/>
          </w:tcPr>
          <w:p w14:paraId="5224B219" w14:textId="77777777" w:rsidR="00FA7EBF" w:rsidRPr="007939DD" w:rsidRDefault="00FA7EBF" w:rsidP="007B207C">
            <w:pPr>
              <w:pStyle w:val="ARfintablecolheadright"/>
              <w:rPr>
                <w:sz w:val="15"/>
                <w:szCs w:val="15"/>
              </w:rPr>
            </w:pPr>
            <w:r w:rsidRPr="007939DD">
              <w:rPr>
                <w:sz w:val="15"/>
                <w:szCs w:val="15"/>
              </w:rPr>
              <w:t>Closing balance as at 30 June 201</w:t>
            </w:r>
            <w:r>
              <w:rPr>
                <w:sz w:val="15"/>
                <w:szCs w:val="15"/>
              </w:rPr>
              <w:t>8</w:t>
            </w:r>
          </w:p>
          <w:p w14:paraId="64D14F35" w14:textId="77777777" w:rsidR="00FA7EBF" w:rsidRPr="007939DD" w:rsidRDefault="00FA7EBF" w:rsidP="007B207C">
            <w:pPr>
              <w:pStyle w:val="ARfintablecolheadright"/>
              <w:rPr>
                <w:sz w:val="15"/>
                <w:szCs w:val="15"/>
              </w:rPr>
            </w:pPr>
            <w:r w:rsidRPr="007939DD">
              <w:rPr>
                <w:sz w:val="15"/>
                <w:szCs w:val="15"/>
              </w:rPr>
              <w:t>$M</w:t>
            </w:r>
          </w:p>
        </w:tc>
      </w:tr>
      <w:tr w:rsidR="00FA7EBF" w:rsidRPr="007939DD" w14:paraId="1FF34B77" w14:textId="77777777" w:rsidTr="007B207C">
        <w:trPr>
          <w:cantSplit/>
        </w:trPr>
        <w:tc>
          <w:tcPr>
            <w:tcW w:w="14459" w:type="dxa"/>
            <w:gridSpan w:val="13"/>
            <w:tcBorders>
              <w:bottom w:val="single" w:sz="4" w:space="0" w:color="A6A6A6" w:themeColor="background1" w:themeShade="A6"/>
            </w:tcBorders>
          </w:tcPr>
          <w:p w14:paraId="2BBA2A3E" w14:textId="77777777" w:rsidR="00FA7EBF" w:rsidRPr="007939DD" w:rsidRDefault="00FA7EBF" w:rsidP="007B207C">
            <w:pPr>
              <w:pStyle w:val="ARfintablebodybold"/>
              <w:rPr>
                <w:rStyle w:val="Strong"/>
              </w:rPr>
            </w:pPr>
            <w:r w:rsidRPr="00194D78">
              <w:rPr>
                <w:lang w:eastAsia="en-AU"/>
              </w:rPr>
              <w:t>Controlled trusts</w:t>
            </w:r>
          </w:p>
        </w:tc>
      </w:tr>
      <w:tr w:rsidR="00FA7EBF" w:rsidRPr="007939DD" w14:paraId="19245F1C" w14:textId="77777777" w:rsidTr="007B207C">
        <w:trPr>
          <w:cantSplit/>
        </w:trPr>
        <w:tc>
          <w:tcPr>
            <w:tcW w:w="3574" w:type="dxa"/>
            <w:tcBorders>
              <w:top w:val="single" w:sz="4" w:space="0" w:color="A6A6A6" w:themeColor="background1" w:themeShade="A6"/>
              <w:bottom w:val="single" w:sz="4" w:space="0" w:color="A6A6A6" w:themeColor="background1" w:themeShade="A6"/>
            </w:tcBorders>
          </w:tcPr>
          <w:p w14:paraId="53A2DDE2" w14:textId="77777777" w:rsidR="00FA7EBF" w:rsidRDefault="00FA7EBF" w:rsidP="007B207C">
            <w:pPr>
              <w:pStyle w:val="ARfintablebodybold"/>
              <w:rPr>
                <w:lang w:eastAsia="en-AU"/>
              </w:rPr>
            </w:pPr>
            <w:r w:rsidRPr="00194D78">
              <w:rPr>
                <w:lang w:eastAsia="en-AU"/>
              </w:rPr>
              <w:t>Casey Hospital Escrow Account</w:t>
            </w:r>
          </w:p>
          <w:p w14:paraId="2A271626" w14:textId="77777777" w:rsidR="00FA7EBF" w:rsidRPr="007939DD" w:rsidRDefault="00FA7EBF" w:rsidP="007B207C">
            <w:pPr>
              <w:pStyle w:val="ARfintablebody"/>
              <w:rPr>
                <w:rStyle w:val="Strong"/>
              </w:rPr>
            </w:pPr>
            <w:r w:rsidRPr="00194D78">
              <w:rPr>
                <w:lang w:eastAsia="en-AU"/>
              </w:rPr>
              <w:t>The trust was established to manage and control payments to the contractor for the completion of the Casey Hospital refurbishment.</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38896AA0" w14:textId="77777777" w:rsidR="00FA7EBF" w:rsidRPr="007939DD" w:rsidRDefault="00FA7EBF" w:rsidP="007B207C">
            <w:pPr>
              <w:pStyle w:val="ARfintablebodyright"/>
              <w:rPr>
                <w:lang w:eastAsia="en-AU"/>
              </w:rPr>
            </w:pPr>
            <w:r w:rsidRPr="004A016B">
              <w:t>2.1</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0ACC4628"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59AC31B0"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3DFB1FE1"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6602C6A3" w14:textId="77777777" w:rsidR="00FA7EBF" w:rsidRPr="007939DD" w:rsidRDefault="00FA7EBF" w:rsidP="007B207C">
            <w:pPr>
              <w:pStyle w:val="ARfintablebodyright"/>
              <w:rPr>
                <w:lang w:eastAsia="en-AU"/>
              </w:rPr>
            </w:pPr>
            <w:r w:rsidRPr="004A016B">
              <w:t>4.7</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138B5B7F" w14:textId="77777777" w:rsidR="00FA7EBF" w:rsidRPr="007939DD" w:rsidRDefault="00FA7EBF" w:rsidP="007B207C">
            <w:pPr>
              <w:pStyle w:val="ARfintablebodyright"/>
              <w:rPr>
                <w:lang w:eastAsia="en-AU"/>
              </w:rPr>
            </w:pPr>
            <w:r w:rsidRPr="004A016B">
              <w:t>6.8</w:t>
            </w:r>
          </w:p>
        </w:tc>
        <w:tc>
          <w:tcPr>
            <w:tcW w:w="907" w:type="dxa"/>
            <w:tcBorders>
              <w:top w:val="single" w:sz="4" w:space="0" w:color="A6A6A6" w:themeColor="background1" w:themeShade="A6"/>
              <w:bottom w:val="single" w:sz="4" w:space="0" w:color="A6A6A6" w:themeColor="background1" w:themeShade="A6"/>
            </w:tcBorders>
          </w:tcPr>
          <w:p w14:paraId="6441C969" w14:textId="77777777" w:rsidR="00FA7EBF" w:rsidRPr="007939DD" w:rsidRDefault="00FA7EBF" w:rsidP="007B207C">
            <w:pPr>
              <w:pStyle w:val="ARfintablebodyright"/>
              <w:rPr>
                <w:lang w:eastAsia="en-AU"/>
              </w:rPr>
            </w:pPr>
            <w:r w:rsidRPr="004A016B">
              <w:t>1.6</w:t>
            </w:r>
          </w:p>
        </w:tc>
        <w:tc>
          <w:tcPr>
            <w:tcW w:w="907" w:type="dxa"/>
            <w:tcBorders>
              <w:top w:val="single" w:sz="4" w:space="0" w:color="A6A6A6" w:themeColor="background1" w:themeShade="A6"/>
              <w:bottom w:val="single" w:sz="4" w:space="0" w:color="A6A6A6" w:themeColor="background1" w:themeShade="A6"/>
            </w:tcBorders>
          </w:tcPr>
          <w:p w14:paraId="4AD8BCC7"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bottom w:val="single" w:sz="4" w:space="0" w:color="A6A6A6" w:themeColor="background1" w:themeShade="A6"/>
            </w:tcBorders>
          </w:tcPr>
          <w:p w14:paraId="77CEECE4"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bottom w:val="single" w:sz="4" w:space="0" w:color="A6A6A6" w:themeColor="background1" w:themeShade="A6"/>
            </w:tcBorders>
          </w:tcPr>
          <w:p w14:paraId="5862D56C"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bottom w:val="single" w:sz="4" w:space="0" w:color="A6A6A6" w:themeColor="background1" w:themeShade="A6"/>
            </w:tcBorders>
          </w:tcPr>
          <w:p w14:paraId="62A26DF8" w14:textId="77777777" w:rsidR="00FA7EBF" w:rsidRPr="007939DD" w:rsidRDefault="00FA7EBF" w:rsidP="007B207C">
            <w:pPr>
              <w:pStyle w:val="ARfintablebodyright"/>
              <w:rPr>
                <w:lang w:eastAsia="en-AU"/>
              </w:rPr>
            </w:pPr>
            <w:r w:rsidRPr="004A016B">
              <w:t>0.6</w:t>
            </w:r>
          </w:p>
        </w:tc>
        <w:tc>
          <w:tcPr>
            <w:tcW w:w="907" w:type="dxa"/>
            <w:tcBorders>
              <w:top w:val="single" w:sz="4" w:space="0" w:color="A6A6A6" w:themeColor="background1" w:themeShade="A6"/>
              <w:bottom w:val="single" w:sz="4" w:space="0" w:color="A6A6A6" w:themeColor="background1" w:themeShade="A6"/>
            </w:tcBorders>
          </w:tcPr>
          <w:p w14:paraId="0C61A5DA" w14:textId="77777777" w:rsidR="00FA7EBF" w:rsidRPr="007939DD" w:rsidRDefault="00FA7EBF" w:rsidP="007B207C">
            <w:pPr>
              <w:pStyle w:val="ARfintablebodyright"/>
              <w:rPr>
                <w:lang w:eastAsia="en-AU"/>
              </w:rPr>
            </w:pPr>
            <w:r w:rsidRPr="004A016B">
              <w:t>2.1</w:t>
            </w:r>
          </w:p>
        </w:tc>
      </w:tr>
      <w:tr w:rsidR="00FA7EBF" w:rsidRPr="007939DD" w14:paraId="7C2CA792" w14:textId="77777777" w:rsidTr="007B207C">
        <w:trPr>
          <w:cantSplit/>
        </w:trPr>
        <w:tc>
          <w:tcPr>
            <w:tcW w:w="3574" w:type="dxa"/>
            <w:tcBorders>
              <w:top w:val="single" w:sz="4" w:space="0" w:color="A6A6A6" w:themeColor="background1" w:themeShade="A6"/>
              <w:bottom w:val="single" w:sz="4" w:space="0" w:color="A6A6A6" w:themeColor="background1" w:themeShade="A6"/>
            </w:tcBorders>
          </w:tcPr>
          <w:p w14:paraId="23617084" w14:textId="77777777" w:rsidR="00FA7EBF" w:rsidRDefault="00FA7EBF" w:rsidP="007B207C">
            <w:pPr>
              <w:pStyle w:val="ARfintablebodybold"/>
              <w:rPr>
                <w:lang w:eastAsia="en-AU"/>
              </w:rPr>
            </w:pPr>
            <w:r w:rsidRPr="00194D78">
              <w:rPr>
                <w:lang w:eastAsia="en-AU"/>
              </w:rPr>
              <w:t>Health State Managed Fund</w:t>
            </w:r>
          </w:p>
          <w:p w14:paraId="6C264C65" w14:textId="77777777" w:rsidR="00FA7EBF" w:rsidRPr="007939DD" w:rsidRDefault="00FA7EBF" w:rsidP="007B207C">
            <w:pPr>
              <w:pStyle w:val="ARfintablebody"/>
              <w:rPr>
                <w:rStyle w:val="Strong"/>
              </w:rPr>
            </w:pPr>
            <w:r w:rsidRPr="00194D78">
              <w:rPr>
                <w:lang w:eastAsia="en-AU"/>
              </w:rPr>
              <w:t xml:space="preserve">The trust was established under the </w:t>
            </w:r>
            <w:r w:rsidRPr="00F524E9">
              <w:rPr>
                <w:rStyle w:val="Emphasis"/>
                <w:iCs w:val="0"/>
              </w:rPr>
              <w:t>Health (Commonwealth State Funding Arrangements) Act 2012 No. 40</w:t>
            </w:r>
            <w:r w:rsidRPr="00B6663A">
              <w:rPr>
                <w:rStyle w:val="Emphasis"/>
                <w:iCs w:val="0"/>
              </w:rPr>
              <w:t xml:space="preserve"> </w:t>
            </w:r>
            <w:r w:rsidRPr="001366E5">
              <w:rPr>
                <w:rStyle w:val="Emphasis"/>
                <w:iCs w:val="0"/>
              </w:rPr>
              <w:t>of 2012</w:t>
            </w:r>
            <w:r w:rsidRPr="00194D78">
              <w:rPr>
                <w:lang w:eastAsia="en-AU"/>
              </w:rPr>
              <w:t xml:space="preserve"> for the purpose of receiving funding for block grants, teaching, training and research.</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144DB3BB" w14:textId="77777777" w:rsidR="00FA7EBF" w:rsidRPr="007939DD" w:rsidRDefault="00FA7EBF" w:rsidP="007B207C">
            <w:pPr>
              <w:pStyle w:val="ARfintablebodyright"/>
              <w:rPr>
                <w:lang w:eastAsia="en-AU"/>
              </w:rPr>
            </w:pPr>
            <w:r w:rsidRPr="004A016B">
              <w:t>2.2</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03F4DC49"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63B39DB5" w14:textId="77777777" w:rsidR="00FA7EBF" w:rsidRPr="007939DD" w:rsidRDefault="00FA7EBF" w:rsidP="007B207C">
            <w:pPr>
              <w:pStyle w:val="ARfintablebodyright"/>
              <w:rPr>
                <w:lang w:eastAsia="en-AU"/>
              </w:rPr>
            </w:pPr>
            <w:r w:rsidRPr="004A016B">
              <w:t>1,592.7</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7CB603A3" w14:textId="77777777" w:rsidR="00FA7EBF" w:rsidRPr="007939DD" w:rsidRDefault="00FA7EBF" w:rsidP="007B207C">
            <w:pPr>
              <w:pStyle w:val="ARfintablebodyright"/>
              <w:rPr>
                <w:lang w:eastAsia="en-AU"/>
              </w:rPr>
            </w:pPr>
            <w:r w:rsidRPr="004A016B">
              <w:t>1,593.3</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6DB69114" w14:textId="77777777" w:rsidR="00FA7EBF" w:rsidRPr="007939DD" w:rsidRDefault="00FA7EBF" w:rsidP="007B207C">
            <w:pPr>
              <w:pStyle w:val="ARfintablebodyright"/>
              <w:rPr>
                <w:lang w:eastAsia="en-AU"/>
              </w:rPr>
            </w:pPr>
            <w:r w:rsidRPr="004A016B">
              <w:t>0.6</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0FE898B1" w14:textId="77777777" w:rsidR="00FA7EBF" w:rsidRPr="007939DD" w:rsidRDefault="00FA7EBF" w:rsidP="007B207C">
            <w:pPr>
              <w:pStyle w:val="ARfintablebodyright"/>
              <w:rPr>
                <w:lang w:eastAsia="en-AU"/>
              </w:rPr>
            </w:pPr>
            <w:r w:rsidRPr="004A016B">
              <w:t>2.2</w:t>
            </w:r>
          </w:p>
        </w:tc>
        <w:tc>
          <w:tcPr>
            <w:tcW w:w="907" w:type="dxa"/>
            <w:tcBorders>
              <w:top w:val="single" w:sz="4" w:space="0" w:color="A6A6A6" w:themeColor="background1" w:themeShade="A6"/>
              <w:bottom w:val="single" w:sz="4" w:space="0" w:color="A6A6A6" w:themeColor="background1" w:themeShade="A6"/>
            </w:tcBorders>
          </w:tcPr>
          <w:p w14:paraId="69366B7B" w14:textId="77777777" w:rsidR="00FA7EBF" w:rsidRPr="007939DD" w:rsidRDefault="00FA7EBF" w:rsidP="007B207C">
            <w:pPr>
              <w:pStyle w:val="ARfintablebodyright"/>
              <w:rPr>
                <w:lang w:eastAsia="en-AU"/>
              </w:rPr>
            </w:pPr>
            <w:r w:rsidRPr="004A016B">
              <w:t>2.2</w:t>
            </w:r>
          </w:p>
        </w:tc>
        <w:tc>
          <w:tcPr>
            <w:tcW w:w="907" w:type="dxa"/>
            <w:tcBorders>
              <w:top w:val="single" w:sz="4" w:space="0" w:color="A6A6A6" w:themeColor="background1" w:themeShade="A6"/>
              <w:bottom w:val="single" w:sz="4" w:space="0" w:color="A6A6A6" w:themeColor="background1" w:themeShade="A6"/>
            </w:tcBorders>
          </w:tcPr>
          <w:p w14:paraId="67C63BD3"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bottom w:val="single" w:sz="4" w:space="0" w:color="A6A6A6" w:themeColor="background1" w:themeShade="A6"/>
            </w:tcBorders>
          </w:tcPr>
          <w:p w14:paraId="3AF20E4E" w14:textId="77777777" w:rsidR="00FA7EBF" w:rsidRPr="007939DD" w:rsidRDefault="00FA7EBF" w:rsidP="007B207C">
            <w:pPr>
              <w:pStyle w:val="ARfintablebodyright"/>
              <w:rPr>
                <w:lang w:eastAsia="en-AU"/>
              </w:rPr>
            </w:pPr>
            <w:r w:rsidRPr="004A016B">
              <w:t>1,327.8</w:t>
            </w:r>
          </w:p>
        </w:tc>
        <w:tc>
          <w:tcPr>
            <w:tcW w:w="907" w:type="dxa"/>
            <w:tcBorders>
              <w:top w:val="single" w:sz="4" w:space="0" w:color="A6A6A6" w:themeColor="background1" w:themeShade="A6"/>
              <w:bottom w:val="single" w:sz="4" w:space="0" w:color="A6A6A6" w:themeColor="background1" w:themeShade="A6"/>
            </w:tcBorders>
          </w:tcPr>
          <w:p w14:paraId="731B9B74" w14:textId="77777777" w:rsidR="00FA7EBF" w:rsidRPr="007939DD" w:rsidRDefault="00FA7EBF" w:rsidP="007B207C">
            <w:pPr>
              <w:pStyle w:val="ARfintablebodyright"/>
              <w:rPr>
                <w:lang w:eastAsia="en-AU"/>
              </w:rPr>
            </w:pPr>
            <w:r w:rsidRPr="004A016B">
              <w:t>1,327.6</w:t>
            </w:r>
          </w:p>
        </w:tc>
        <w:tc>
          <w:tcPr>
            <w:tcW w:w="907" w:type="dxa"/>
            <w:tcBorders>
              <w:top w:val="single" w:sz="4" w:space="0" w:color="A6A6A6" w:themeColor="background1" w:themeShade="A6"/>
              <w:bottom w:val="single" w:sz="4" w:space="0" w:color="A6A6A6" w:themeColor="background1" w:themeShade="A6"/>
            </w:tcBorders>
          </w:tcPr>
          <w:p w14:paraId="0527982C" w14:textId="77777777" w:rsidR="00FA7EBF" w:rsidRPr="007939DD" w:rsidRDefault="00FA7EBF" w:rsidP="007B207C">
            <w:pPr>
              <w:pStyle w:val="ARfintablebodyright"/>
              <w:rPr>
                <w:lang w:eastAsia="en-AU"/>
              </w:rPr>
            </w:pPr>
            <w:r w:rsidRPr="004A016B">
              <w:t>(0.2)</w:t>
            </w:r>
          </w:p>
        </w:tc>
        <w:tc>
          <w:tcPr>
            <w:tcW w:w="907" w:type="dxa"/>
            <w:tcBorders>
              <w:top w:val="single" w:sz="4" w:space="0" w:color="A6A6A6" w:themeColor="background1" w:themeShade="A6"/>
              <w:bottom w:val="single" w:sz="4" w:space="0" w:color="A6A6A6" w:themeColor="background1" w:themeShade="A6"/>
            </w:tcBorders>
          </w:tcPr>
          <w:p w14:paraId="5B057A2B" w14:textId="77777777" w:rsidR="00FA7EBF" w:rsidRPr="007939DD" w:rsidRDefault="00FA7EBF" w:rsidP="007B207C">
            <w:pPr>
              <w:pStyle w:val="ARfintablebodyright"/>
              <w:rPr>
                <w:lang w:eastAsia="en-AU"/>
              </w:rPr>
            </w:pPr>
            <w:r w:rsidRPr="004A016B">
              <w:t>2.2</w:t>
            </w:r>
          </w:p>
        </w:tc>
      </w:tr>
      <w:tr w:rsidR="00FA7EBF" w:rsidRPr="007939DD" w14:paraId="642294C5" w14:textId="77777777" w:rsidTr="007B207C">
        <w:trPr>
          <w:cantSplit/>
        </w:trPr>
        <w:tc>
          <w:tcPr>
            <w:tcW w:w="3574" w:type="dxa"/>
            <w:tcBorders>
              <w:top w:val="single" w:sz="4" w:space="0" w:color="A6A6A6" w:themeColor="background1" w:themeShade="A6"/>
              <w:bottom w:val="single" w:sz="4" w:space="0" w:color="A6A6A6" w:themeColor="background1" w:themeShade="A6"/>
            </w:tcBorders>
          </w:tcPr>
          <w:p w14:paraId="58259814" w14:textId="7DBB4372" w:rsidR="00FA7EBF" w:rsidRDefault="00FA7EBF" w:rsidP="007B207C">
            <w:pPr>
              <w:pStyle w:val="ARfintablebodybold"/>
              <w:rPr>
                <w:lang w:eastAsia="en-AU"/>
              </w:rPr>
            </w:pPr>
            <w:r w:rsidRPr="00194D78">
              <w:rPr>
                <w:lang w:eastAsia="en-AU"/>
              </w:rPr>
              <w:t>Hospital</w:t>
            </w:r>
            <w:r w:rsidR="00CF13B4">
              <w:rPr>
                <w:lang w:eastAsia="en-AU"/>
              </w:rPr>
              <w:t>s</w:t>
            </w:r>
            <w:r w:rsidRPr="00194D78">
              <w:rPr>
                <w:lang w:eastAsia="en-AU"/>
              </w:rPr>
              <w:t xml:space="preserve"> and Charities Fund</w:t>
            </w:r>
          </w:p>
          <w:p w14:paraId="354823D6" w14:textId="77777777" w:rsidR="00FA7EBF" w:rsidRPr="007939DD" w:rsidRDefault="00FA7EBF" w:rsidP="007B207C">
            <w:pPr>
              <w:pStyle w:val="ARfintablebody"/>
              <w:rPr>
                <w:rStyle w:val="Strong"/>
              </w:rPr>
            </w:pPr>
            <w:r w:rsidRPr="00194D78">
              <w:rPr>
                <w:lang w:eastAsia="en-AU"/>
              </w:rPr>
              <w:t xml:space="preserve">The account was established under the </w:t>
            </w:r>
            <w:r w:rsidRPr="00F524E9">
              <w:rPr>
                <w:rStyle w:val="Emphasis"/>
                <w:iCs w:val="0"/>
              </w:rPr>
              <w:t>Health Services Act 1988</w:t>
            </w:r>
            <w:r w:rsidRPr="00194D78">
              <w:rPr>
                <w:lang w:eastAsia="en-AU"/>
              </w:rPr>
              <w:t xml:space="preserve"> to record funding for health service agencies. Monies are paid into the fund from the </w:t>
            </w:r>
            <w:r w:rsidRPr="00F524E9">
              <w:rPr>
                <w:rStyle w:val="Emphasis"/>
                <w:iCs w:val="0"/>
              </w:rPr>
              <w:t>Gambling Regulation Act No. 114</w:t>
            </w:r>
            <w:r w:rsidRPr="00B6663A">
              <w:rPr>
                <w:rStyle w:val="Emphasis"/>
                <w:iCs w:val="0"/>
              </w:rPr>
              <w:t xml:space="preserve"> </w:t>
            </w:r>
            <w:r w:rsidRPr="001366E5">
              <w:rPr>
                <w:rStyle w:val="Emphasis"/>
                <w:iCs w:val="0"/>
              </w:rPr>
              <w:t>of 2003</w:t>
            </w:r>
            <w:r w:rsidRPr="00194D78">
              <w:rPr>
                <w:lang w:eastAsia="en-AU"/>
              </w:rPr>
              <w:t xml:space="preserve">, </w:t>
            </w:r>
            <w:r w:rsidRPr="00F524E9">
              <w:rPr>
                <w:rStyle w:val="Emphasis"/>
                <w:iCs w:val="0"/>
              </w:rPr>
              <w:t>Casino Control Act No. 47</w:t>
            </w:r>
            <w:r w:rsidRPr="00B6663A">
              <w:rPr>
                <w:rStyle w:val="Emphasis"/>
                <w:iCs w:val="0"/>
              </w:rPr>
              <w:t xml:space="preserve"> </w:t>
            </w:r>
            <w:r w:rsidRPr="001366E5">
              <w:rPr>
                <w:rStyle w:val="Emphasis"/>
                <w:iCs w:val="0"/>
              </w:rPr>
              <w:t>of 1991</w:t>
            </w:r>
            <w:r w:rsidRPr="00194D78">
              <w:rPr>
                <w:lang w:eastAsia="en-AU"/>
              </w:rPr>
              <w:t xml:space="preserve"> and </w:t>
            </w:r>
            <w:r>
              <w:rPr>
                <w:lang w:eastAsia="en-AU"/>
              </w:rPr>
              <w:t>s.</w:t>
            </w:r>
            <w:r w:rsidRPr="00194D78">
              <w:rPr>
                <w:lang w:eastAsia="en-AU"/>
              </w:rPr>
              <w:t xml:space="preserve"> 10 of the</w:t>
            </w:r>
            <w:r w:rsidRPr="00F524E9">
              <w:rPr>
                <w:rStyle w:val="Emphasis"/>
                <w:iCs w:val="0"/>
              </w:rPr>
              <w:t xml:space="preserve"> Financial Management Act 1994.</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2B93AA27" w14:textId="77777777" w:rsidR="00FA7EBF" w:rsidRPr="007939DD" w:rsidRDefault="00FA7EBF" w:rsidP="007B207C">
            <w:pPr>
              <w:pStyle w:val="ARfintablebodyright"/>
              <w:rPr>
                <w:lang w:eastAsia="en-AU"/>
              </w:rPr>
            </w:pPr>
            <w:r w:rsidRPr="004A016B">
              <w:t>150.1</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5AF352BD"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43B9FBD2" w14:textId="77777777" w:rsidR="00FA7EBF" w:rsidRPr="007939DD" w:rsidRDefault="00FA7EBF" w:rsidP="007B207C">
            <w:pPr>
              <w:pStyle w:val="ARfintablebodyright"/>
              <w:rPr>
                <w:lang w:eastAsia="en-AU"/>
              </w:rPr>
            </w:pPr>
            <w:r w:rsidRPr="004A016B">
              <w:t>1,554.1</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50FE74FD" w14:textId="77777777" w:rsidR="00FA7EBF" w:rsidRPr="007939DD" w:rsidRDefault="00FA7EBF" w:rsidP="007B207C">
            <w:pPr>
              <w:pStyle w:val="ARfintablebodyright"/>
              <w:rPr>
                <w:lang w:eastAsia="en-AU"/>
              </w:rPr>
            </w:pPr>
            <w:r w:rsidRPr="004A016B">
              <w:t>1,508.6</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4CDAF59C" w14:textId="77777777" w:rsidR="00FA7EBF" w:rsidRPr="007939DD" w:rsidRDefault="00FA7EBF" w:rsidP="007B207C">
            <w:pPr>
              <w:pStyle w:val="ARfintablebodyright"/>
              <w:rPr>
                <w:lang w:eastAsia="en-AU"/>
              </w:rPr>
            </w:pPr>
            <w:r w:rsidRPr="004A016B">
              <w:t>(39.6)</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070D4A80" w14:textId="77777777" w:rsidR="00FA7EBF" w:rsidRPr="007939DD" w:rsidRDefault="00FA7EBF" w:rsidP="007B207C">
            <w:pPr>
              <w:pStyle w:val="ARfintablebodyright"/>
              <w:rPr>
                <w:lang w:eastAsia="en-AU"/>
              </w:rPr>
            </w:pPr>
            <w:r w:rsidRPr="004A016B">
              <w:t>155.9</w:t>
            </w:r>
          </w:p>
        </w:tc>
        <w:tc>
          <w:tcPr>
            <w:tcW w:w="907" w:type="dxa"/>
            <w:tcBorders>
              <w:top w:val="single" w:sz="4" w:space="0" w:color="A6A6A6" w:themeColor="background1" w:themeShade="A6"/>
              <w:bottom w:val="single" w:sz="4" w:space="0" w:color="A6A6A6" w:themeColor="background1" w:themeShade="A6"/>
            </w:tcBorders>
          </w:tcPr>
          <w:p w14:paraId="23EFC866" w14:textId="77777777" w:rsidR="00FA7EBF" w:rsidRPr="007939DD" w:rsidRDefault="00FA7EBF" w:rsidP="007B207C">
            <w:pPr>
              <w:pStyle w:val="ARfintablebodyright"/>
              <w:rPr>
                <w:lang w:eastAsia="en-AU"/>
              </w:rPr>
            </w:pPr>
            <w:r w:rsidRPr="004A016B">
              <w:t>195.7</w:t>
            </w:r>
          </w:p>
        </w:tc>
        <w:tc>
          <w:tcPr>
            <w:tcW w:w="907" w:type="dxa"/>
            <w:tcBorders>
              <w:top w:val="single" w:sz="4" w:space="0" w:color="A6A6A6" w:themeColor="background1" w:themeShade="A6"/>
              <w:bottom w:val="single" w:sz="4" w:space="0" w:color="A6A6A6" w:themeColor="background1" w:themeShade="A6"/>
            </w:tcBorders>
          </w:tcPr>
          <w:p w14:paraId="40E7B7DD"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bottom w:val="single" w:sz="4" w:space="0" w:color="A6A6A6" w:themeColor="background1" w:themeShade="A6"/>
            </w:tcBorders>
          </w:tcPr>
          <w:p w14:paraId="148565B7" w14:textId="77777777" w:rsidR="00FA7EBF" w:rsidRPr="007939DD" w:rsidRDefault="00FA7EBF" w:rsidP="007B207C">
            <w:pPr>
              <w:pStyle w:val="ARfintablebodyright"/>
              <w:rPr>
                <w:lang w:eastAsia="en-AU"/>
              </w:rPr>
            </w:pPr>
            <w:r w:rsidRPr="004A016B">
              <w:t>1,390.9</w:t>
            </w:r>
          </w:p>
        </w:tc>
        <w:tc>
          <w:tcPr>
            <w:tcW w:w="907" w:type="dxa"/>
            <w:tcBorders>
              <w:top w:val="single" w:sz="4" w:space="0" w:color="A6A6A6" w:themeColor="background1" w:themeShade="A6"/>
              <w:bottom w:val="single" w:sz="4" w:space="0" w:color="A6A6A6" w:themeColor="background1" w:themeShade="A6"/>
            </w:tcBorders>
          </w:tcPr>
          <w:p w14:paraId="5C9BDB72" w14:textId="77777777" w:rsidR="00FA7EBF" w:rsidRPr="007939DD" w:rsidRDefault="00FA7EBF" w:rsidP="007B207C">
            <w:pPr>
              <w:pStyle w:val="ARfintablebodyright"/>
              <w:rPr>
                <w:lang w:eastAsia="en-AU"/>
              </w:rPr>
            </w:pPr>
            <w:r w:rsidRPr="004A016B">
              <w:t>1,400.8</w:t>
            </w:r>
          </w:p>
        </w:tc>
        <w:tc>
          <w:tcPr>
            <w:tcW w:w="907" w:type="dxa"/>
            <w:tcBorders>
              <w:top w:val="single" w:sz="4" w:space="0" w:color="A6A6A6" w:themeColor="background1" w:themeShade="A6"/>
              <w:bottom w:val="single" w:sz="4" w:space="0" w:color="A6A6A6" w:themeColor="background1" w:themeShade="A6"/>
            </w:tcBorders>
          </w:tcPr>
          <w:p w14:paraId="623E8692" w14:textId="77777777" w:rsidR="00FA7EBF" w:rsidRPr="007939DD" w:rsidRDefault="00FA7EBF" w:rsidP="007B207C">
            <w:pPr>
              <w:pStyle w:val="ARfintablebodyright"/>
              <w:rPr>
                <w:lang w:eastAsia="en-AU"/>
              </w:rPr>
            </w:pPr>
            <w:r w:rsidRPr="004A016B">
              <w:t>(35.6)</w:t>
            </w:r>
          </w:p>
        </w:tc>
        <w:tc>
          <w:tcPr>
            <w:tcW w:w="907" w:type="dxa"/>
            <w:tcBorders>
              <w:top w:val="single" w:sz="4" w:space="0" w:color="A6A6A6" w:themeColor="background1" w:themeShade="A6"/>
              <w:bottom w:val="single" w:sz="4" w:space="0" w:color="A6A6A6" w:themeColor="background1" w:themeShade="A6"/>
            </w:tcBorders>
          </w:tcPr>
          <w:p w14:paraId="13BD66EF" w14:textId="77777777" w:rsidR="00FA7EBF" w:rsidRPr="007939DD" w:rsidRDefault="00FA7EBF" w:rsidP="007B207C">
            <w:pPr>
              <w:pStyle w:val="ARfintablebodyright"/>
              <w:rPr>
                <w:lang w:eastAsia="en-AU"/>
              </w:rPr>
            </w:pPr>
            <w:r w:rsidRPr="004A016B">
              <w:t>150.1</w:t>
            </w:r>
          </w:p>
        </w:tc>
      </w:tr>
      <w:tr w:rsidR="00FA7EBF" w:rsidRPr="007939DD" w14:paraId="4315F4F7" w14:textId="77777777" w:rsidTr="007B207C">
        <w:trPr>
          <w:cantSplit/>
        </w:trPr>
        <w:tc>
          <w:tcPr>
            <w:tcW w:w="3574" w:type="dxa"/>
            <w:tcBorders>
              <w:top w:val="single" w:sz="4" w:space="0" w:color="A6A6A6" w:themeColor="background1" w:themeShade="A6"/>
              <w:bottom w:val="single" w:sz="4" w:space="0" w:color="A6A6A6" w:themeColor="background1" w:themeShade="A6"/>
            </w:tcBorders>
          </w:tcPr>
          <w:p w14:paraId="1DB24161" w14:textId="77777777" w:rsidR="00FA7EBF" w:rsidRDefault="00FA7EBF" w:rsidP="007B207C">
            <w:pPr>
              <w:pStyle w:val="ARfintablebodybold"/>
              <w:rPr>
                <w:lang w:eastAsia="en-AU"/>
              </w:rPr>
            </w:pPr>
            <w:r w:rsidRPr="00194D78">
              <w:rPr>
                <w:lang w:eastAsia="en-AU"/>
              </w:rPr>
              <w:t>Intellectually Handicapped Children</w:t>
            </w:r>
            <w:r>
              <w:rPr>
                <w:lang w:eastAsia="en-AU"/>
              </w:rPr>
              <w:t>’</w:t>
            </w:r>
            <w:r w:rsidRPr="00194D78">
              <w:rPr>
                <w:lang w:eastAsia="en-AU"/>
              </w:rPr>
              <w:t>s Amenities Fund</w:t>
            </w:r>
          </w:p>
          <w:p w14:paraId="5A82EAB9" w14:textId="420B31E3" w:rsidR="00FA7EBF" w:rsidRPr="00194D78" w:rsidRDefault="00FA7EBF" w:rsidP="007B207C">
            <w:pPr>
              <w:pStyle w:val="ARfintablebody"/>
              <w:rPr>
                <w:lang w:eastAsia="en-AU"/>
              </w:rPr>
            </w:pPr>
            <w:r w:rsidRPr="00F524E9">
              <w:rPr>
                <w:rStyle w:val="Emphasis"/>
                <w:iCs w:val="0"/>
              </w:rPr>
              <w:t>Intellectually Disabled Persons Act 1986</w:t>
            </w:r>
            <w:r w:rsidRPr="00194D78">
              <w:rPr>
                <w:lang w:eastAsia="en-AU"/>
              </w:rPr>
              <w:t xml:space="preserve"> was</w:t>
            </w:r>
            <w:r w:rsidR="00072716">
              <w:rPr>
                <w:lang w:eastAsia="en-AU"/>
              </w:rPr>
              <w:t> </w:t>
            </w:r>
            <w:r w:rsidRPr="00194D78">
              <w:rPr>
                <w:lang w:eastAsia="en-AU"/>
              </w:rPr>
              <w:t xml:space="preserve">repealed by the </w:t>
            </w:r>
            <w:r w:rsidRPr="00F524E9">
              <w:rPr>
                <w:rStyle w:val="Emphasis"/>
                <w:iCs w:val="0"/>
              </w:rPr>
              <w:t>Disability Act 2006.</w:t>
            </w:r>
          </w:p>
          <w:p w14:paraId="6B7395CB" w14:textId="77777777" w:rsidR="00FA7EBF" w:rsidRPr="007939DD" w:rsidRDefault="00FA7EBF" w:rsidP="007B207C">
            <w:pPr>
              <w:pStyle w:val="ARfintablebody"/>
              <w:rPr>
                <w:rStyle w:val="Strong"/>
              </w:rPr>
            </w:pPr>
            <w:r w:rsidRPr="00194D78">
              <w:rPr>
                <w:lang w:eastAsia="en-AU"/>
              </w:rPr>
              <w:t>The trust was established to meet the cost of the provision of amenities for children under the age of 16 years in the care of the department.</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4C467DBD" w14:textId="77777777" w:rsidR="00FA7EBF" w:rsidRPr="007939DD" w:rsidRDefault="00FA7EBF" w:rsidP="007B207C">
            <w:pPr>
              <w:pStyle w:val="ARfintablebodyright"/>
              <w:rPr>
                <w:lang w:eastAsia="en-AU"/>
              </w:rPr>
            </w:pPr>
            <w:r w:rsidRPr="004A016B">
              <w:t>0.1</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47529234"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45BFA6DD"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64713B2F"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66F85E2D"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6141D7F6" w14:textId="77777777" w:rsidR="00FA7EBF" w:rsidRPr="007939DD" w:rsidRDefault="00FA7EBF" w:rsidP="007B207C">
            <w:pPr>
              <w:pStyle w:val="ARfintablebodyright"/>
              <w:rPr>
                <w:lang w:eastAsia="en-AU"/>
              </w:rPr>
            </w:pPr>
            <w:r w:rsidRPr="004A016B">
              <w:t>0.1</w:t>
            </w:r>
          </w:p>
        </w:tc>
        <w:tc>
          <w:tcPr>
            <w:tcW w:w="907" w:type="dxa"/>
            <w:tcBorders>
              <w:top w:val="single" w:sz="4" w:space="0" w:color="A6A6A6" w:themeColor="background1" w:themeShade="A6"/>
              <w:bottom w:val="single" w:sz="4" w:space="0" w:color="A6A6A6" w:themeColor="background1" w:themeShade="A6"/>
            </w:tcBorders>
          </w:tcPr>
          <w:p w14:paraId="3606DC9F" w14:textId="77777777" w:rsidR="00FA7EBF" w:rsidRPr="007939DD" w:rsidRDefault="00FA7EBF" w:rsidP="007B207C">
            <w:pPr>
              <w:pStyle w:val="ARfintablebodyright"/>
              <w:rPr>
                <w:lang w:eastAsia="en-AU"/>
              </w:rPr>
            </w:pPr>
            <w:r w:rsidRPr="004A016B">
              <w:t>0.1</w:t>
            </w:r>
          </w:p>
        </w:tc>
        <w:tc>
          <w:tcPr>
            <w:tcW w:w="907" w:type="dxa"/>
            <w:tcBorders>
              <w:top w:val="single" w:sz="4" w:space="0" w:color="A6A6A6" w:themeColor="background1" w:themeShade="A6"/>
              <w:bottom w:val="single" w:sz="4" w:space="0" w:color="A6A6A6" w:themeColor="background1" w:themeShade="A6"/>
            </w:tcBorders>
          </w:tcPr>
          <w:p w14:paraId="404A9AF3"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bottom w:val="single" w:sz="4" w:space="0" w:color="A6A6A6" w:themeColor="background1" w:themeShade="A6"/>
            </w:tcBorders>
          </w:tcPr>
          <w:p w14:paraId="0927384B"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bottom w:val="single" w:sz="4" w:space="0" w:color="A6A6A6" w:themeColor="background1" w:themeShade="A6"/>
            </w:tcBorders>
          </w:tcPr>
          <w:p w14:paraId="40A74AD2"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bottom w:val="single" w:sz="4" w:space="0" w:color="A6A6A6" w:themeColor="background1" w:themeShade="A6"/>
            </w:tcBorders>
          </w:tcPr>
          <w:p w14:paraId="6CEE2F41"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bottom w:val="single" w:sz="4" w:space="0" w:color="A6A6A6" w:themeColor="background1" w:themeShade="A6"/>
            </w:tcBorders>
          </w:tcPr>
          <w:p w14:paraId="0897D012" w14:textId="77777777" w:rsidR="00FA7EBF" w:rsidRPr="007939DD" w:rsidRDefault="00FA7EBF" w:rsidP="007B207C">
            <w:pPr>
              <w:pStyle w:val="ARfintablebodyright"/>
              <w:rPr>
                <w:lang w:eastAsia="en-AU"/>
              </w:rPr>
            </w:pPr>
            <w:r w:rsidRPr="004A016B">
              <w:t>0.1</w:t>
            </w:r>
          </w:p>
        </w:tc>
      </w:tr>
      <w:tr w:rsidR="00FA7EBF" w:rsidRPr="007939DD" w14:paraId="2EA8D97B" w14:textId="77777777" w:rsidTr="007B207C">
        <w:trPr>
          <w:cantSplit/>
        </w:trPr>
        <w:tc>
          <w:tcPr>
            <w:tcW w:w="3574" w:type="dxa"/>
            <w:tcBorders>
              <w:top w:val="single" w:sz="4" w:space="0" w:color="A6A6A6" w:themeColor="background1" w:themeShade="A6"/>
              <w:bottom w:val="single" w:sz="4" w:space="0" w:color="A6A6A6" w:themeColor="background1" w:themeShade="A6"/>
            </w:tcBorders>
          </w:tcPr>
          <w:p w14:paraId="3C638AF0" w14:textId="77777777" w:rsidR="00FA7EBF" w:rsidRDefault="00FA7EBF" w:rsidP="007B207C">
            <w:pPr>
              <w:pStyle w:val="ARfintablebodybold"/>
              <w:rPr>
                <w:lang w:eastAsia="en-AU"/>
              </w:rPr>
            </w:pPr>
            <w:r w:rsidRPr="00194D78">
              <w:rPr>
                <w:lang w:eastAsia="en-AU"/>
              </w:rPr>
              <w:t>Mental Health Fund</w:t>
            </w:r>
          </w:p>
          <w:p w14:paraId="51D5DF8B" w14:textId="77777777" w:rsidR="00FA7EBF" w:rsidRPr="00194D78" w:rsidRDefault="00FA7EBF" w:rsidP="007B207C">
            <w:pPr>
              <w:pStyle w:val="ARfintablebody"/>
              <w:rPr>
                <w:lang w:eastAsia="en-AU"/>
              </w:rPr>
            </w:pPr>
            <w:r w:rsidRPr="00F524E9">
              <w:rPr>
                <w:rStyle w:val="Emphasis"/>
                <w:iCs w:val="0"/>
              </w:rPr>
              <w:t>Gaming Regulation Act 2003.</w:t>
            </w:r>
          </w:p>
          <w:p w14:paraId="14EDC6D8" w14:textId="48243B59" w:rsidR="00FA7EBF" w:rsidRPr="007939DD" w:rsidRDefault="00FA7EBF" w:rsidP="007B207C">
            <w:pPr>
              <w:pStyle w:val="ARfintablebody"/>
              <w:rPr>
                <w:rStyle w:val="Strong"/>
              </w:rPr>
            </w:pPr>
            <w:r w:rsidRPr="00194D78">
              <w:rPr>
                <w:lang w:eastAsia="en-AU"/>
              </w:rPr>
              <w:t>For the establishment and maintenance of</w:t>
            </w:r>
            <w:r w:rsidR="00072716">
              <w:rPr>
                <w:lang w:eastAsia="en-AU"/>
              </w:rPr>
              <w:t> </w:t>
            </w:r>
            <w:r w:rsidRPr="00194D78">
              <w:rPr>
                <w:lang w:eastAsia="en-AU"/>
              </w:rPr>
              <w:t xml:space="preserve">mental health services and residential institutions and facilities; for the administration of the </w:t>
            </w:r>
            <w:r w:rsidRPr="00F524E9">
              <w:rPr>
                <w:rStyle w:val="Emphasis"/>
                <w:iCs w:val="0"/>
              </w:rPr>
              <w:t>Mental Health Act 1986</w:t>
            </w:r>
            <w:r w:rsidRPr="00194D78">
              <w:rPr>
                <w:lang w:eastAsia="en-AU"/>
              </w:rPr>
              <w:t xml:space="preserve">; for the administration of the </w:t>
            </w:r>
            <w:r w:rsidRPr="00F524E9">
              <w:rPr>
                <w:rStyle w:val="Emphasis"/>
                <w:iCs w:val="0"/>
              </w:rPr>
              <w:t>Disability Act 2006</w:t>
            </w:r>
            <w:r w:rsidRPr="00194D78">
              <w:rPr>
                <w:lang w:eastAsia="en-AU"/>
              </w:rPr>
              <w:t>.</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00F1FCCD" w14:textId="77777777" w:rsidR="00FA7EBF" w:rsidRPr="007939DD" w:rsidRDefault="00FA7EBF" w:rsidP="007B207C">
            <w:pPr>
              <w:pStyle w:val="ARfintablebodyright"/>
              <w:rPr>
                <w:lang w:eastAsia="en-AU"/>
              </w:rPr>
            </w:pPr>
            <w:r w:rsidRPr="004A016B">
              <w:t>2.1</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5E7BFE04"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55CCCC79" w14:textId="77777777" w:rsidR="00FA7EBF" w:rsidRPr="007939DD" w:rsidRDefault="00FA7EBF" w:rsidP="007B207C">
            <w:pPr>
              <w:pStyle w:val="ARfintablebodyright"/>
              <w:rPr>
                <w:lang w:eastAsia="en-AU"/>
              </w:rPr>
            </w:pPr>
            <w:r w:rsidRPr="004A016B">
              <w:t>63.9</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2CCD2E47" w14:textId="77777777" w:rsidR="00FA7EBF" w:rsidRPr="007939DD" w:rsidRDefault="00FA7EBF" w:rsidP="007B207C">
            <w:pPr>
              <w:pStyle w:val="ARfintablebodyright"/>
              <w:rPr>
                <w:lang w:eastAsia="en-AU"/>
              </w:rPr>
            </w:pPr>
            <w:r w:rsidRPr="004A016B">
              <w:t>63.9</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567517FB"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6525EF3E" w14:textId="77777777" w:rsidR="00FA7EBF" w:rsidRPr="007939DD" w:rsidRDefault="00FA7EBF" w:rsidP="007B207C">
            <w:pPr>
              <w:pStyle w:val="ARfintablebodyright"/>
              <w:rPr>
                <w:lang w:eastAsia="en-AU"/>
              </w:rPr>
            </w:pPr>
            <w:r w:rsidRPr="004A016B">
              <w:t>2.1</w:t>
            </w:r>
          </w:p>
        </w:tc>
        <w:tc>
          <w:tcPr>
            <w:tcW w:w="907" w:type="dxa"/>
            <w:tcBorders>
              <w:top w:val="single" w:sz="4" w:space="0" w:color="A6A6A6" w:themeColor="background1" w:themeShade="A6"/>
              <w:bottom w:val="single" w:sz="4" w:space="0" w:color="A6A6A6" w:themeColor="background1" w:themeShade="A6"/>
            </w:tcBorders>
          </w:tcPr>
          <w:p w14:paraId="7B580F69" w14:textId="77777777" w:rsidR="00FA7EBF" w:rsidRPr="007939DD" w:rsidRDefault="00FA7EBF" w:rsidP="007B207C">
            <w:pPr>
              <w:pStyle w:val="ARfintablebodyright"/>
              <w:rPr>
                <w:lang w:eastAsia="en-AU"/>
              </w:rPr>
            </w:pPr>
            <w:r w:rsidRPr="004A016B">
              <w:t>2.1</w:t>
            </w:r>
          </w:p>
        </w:tc>
        <w:tc>
          <w:tcPr>
            <w:tcW w:w="907" w:type="dxa"/>
            <w:tcBorders>
              <w:top w:val="single" w:sz="4" w:space="0" w:color="A6A6A6" w:themeColor="background1" w:themeShade="A6"/>
              <w:bottom w:val="single" w:sz="4" w:space="0" w:color="A6A6A6" w:themeColor="background1" w:themeShade="A6"/>
            </w:tcBorders>
          </w:tcPr>
          <w:p w14:paraId="7C5432F1"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bottom w:val="single" w:sz="4" w:space="0" w:color="A6A6A6" w:themeColor="background1" w:themeShade="A6"/>
            </w:tcBorders>
          </w:tcPr>
          <w:p w14:paraId="453334DF" w14:textId="77777777" w:rsidR="00FA7EBF" w:rsidRPr="007939DD" w:rsidRDefault="00FA7EBF" w:rsidP="007B207C">
            <w:pPr>
              <w:pStyle w:val="ARfintablebodyright"/>
              <w:rPr>
                <w:lang w:eastAsia="en-AU"/>
              </w:rPr>
            </w:pPr>
            <w:r w:rsidRPr="004A016B">
              <w:t>63.9</w:t>
            </w:r>
          </w:p>
        </w:tc>
        <w:tc>
          <w:tcPr>
            <w:tcW w:w="907" w:type="dxa"/>
            <w:tcBorders>
              <w:top w:val="single" w:sz="4" w:space="0" w:color="A6A6A6" w:themeColor="background1" w:themeShade="A6"/>
              <w:bottom w:val="single" w:sz="4" w:space="0" w:color="A6A6A6" w:themeColor="background1" w:themeShade="A6"/>
            </w:tcBorders>
          </w:tcPr>
          <w:p w14:paraId="58802973" w14:textId="77777777" w:rsidR="00FA7EBF" w:rsidRPr="007939DD" w:rsidRDefault="00FA7EBF" w:rsidP="007B207C">
            <w:pPr>
              <w:pStyle w:val="ARfintablebodyright"/>
              <w:rPr>
                <w:lang w:eastAsia="en-AU"/>
              </w:rPr>
            </w:pPr>
            <w:r w:rsidRPr="004A016B">
              <w:t>63.9</w:t>
            </w:r>
          </w:p>
        </w:tc>
        <w:tc>
          <w:tcPr>
            <w:tcW w:w="907" w:type="dxa"/>
            <w:tcBorders>
              <w:top w:val="single" w:sz="4" w:space="0" w:color="A6A6A6" w:themeColor="background1" w:themeShade="A6"/>
              <w:bottom w:val="single" w:sz="4" w:space="0" w:color="A6A6A6" w:themeColor="background1" w:themeShade="A6"/>
            </w:tcBorders>
          </w:tcPr>
          <w:p w14:paraId="47C303D5"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bottom w:val="single" w:sz="4" w:space="0" w:color="A6A6A6" w:themeColor="background1" w:themeShade="A6"/>
            </w:tcBorders>
          </w:tcPr>
          <w:p w14:paraId="1F76E12A" w14:textId="77777777" w:rsidR="00FA7EBF" w:rsidRPr="007939DD" w:rsidRDefault="00FA7EBF" w:rsidP="007B207C">
            <w:pPr>
              <w:pStyle w:val="ARfintablebodyright"/>
              <w:rPr>
                <w:lang w:eastAsia="en-AU"/>
              </w:rPr>
            </w:pPr>
            <w:r w:rsidRPr="004A016B">
              <w:t>2.1</w:t>
            </w:r>
          </w:p>
        </w:tc>
      </w:tr>
      <w:tr w:rsidR="00FA7EBF" w:rsidRPr="007939DD" w14:paraId="7193A54D" w14:textId="77777777" w:rsidTr="007B207C">
        <w:trPr>
          <w:cantSplit/>
        </w:trPr>
        <w:tc>
          <w:tcPr>
            <w:tcW w:w="3574" w:type="dxa"/>
            <w:tcBorders>
              <w:top w:val="single" w:sz="4" w:space="0" w:color="A6A6A6" w:themeColor="background1" w:themeShade="A6"/>
              <w:bottom w:val="single" w:sz="4" w:space="0" w:color="A6A6A6" w:themeColor="background1" w:themeShade="A6"/>
            </w:tcBorders>
          </w:tcPr>
          <w:p w14:paraId="1EAC19A1" w14:textId="77777777" w:rsidR="00FA7EBF" w:rsidRDefault="00FA7EBF" w:rsidP="007B207C">
            <w:pPr>
              <w:pStyle w:val="ARfintablebodybold"/>
              <w:rPr>
                <w:lang w:eastAsia="en-AU"/>
              </w:rPr>
            </w:pPr>
            <w:r w:rsidRPr="00194D78">
              <w:rPr>
                <w:lang w:eastAsia="en-AU"/>
              </w:rPr>
              <w:t>Public Health Fund</w:t>
            </w:r>
          </w:p>
          <w:p w14:paraId="4B5FF613" w14:textId="1B9C916F" w:rsidR="00FA7EBF" w:rsidRPr="007939DD" w:rsidRDefault="00FA7EBF" w:rsidP="007B207C">
            <w:pPr>
              <w:pStyle w:val="ARfintablebody"/>
              <w:rPr>
                <w:rStyle w:val="Strong"/>
              </w:rPr>
            </w:pPr>
            <w:r w:rsidRPr="00194D78">
              <w:rPr>
                <w:lang w:eastAsia="en-AU"/>
              </w:rPr>
              <w:t>The trust was established by the Assistant Treasurer in accordance with the National Health Reform Agreement to allow the Department of Health and Human Services to access public health funding contributions paid by the Commonwealth through the National Health Funding Pool and apply this funding to</w:t>
            </w:r>
            <w:r w:rsidR="00072716">
              <w:rPr>
                <w:lang w:eastAsia="en-AU"/>
              </w:rPr>
              <w:t> </w:t>
            </w:r>
            <w:r w:rsidRPr="00194D78">
              <w:rPr>
                <w:lang w:eastAsia="en-AU"/>
              </w:rPr>
              <w:t>deliver public health activities managed by the state.</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3B7026C5" w14:textId="77777777" w:rsidR="00FA7EBF" w:rsidRPr="007939DD" w:rsidRDefault="00FA7EBF" w:rsidP="007B207C">
            <w:pPr>
              <w:pStyle w:val="ARfintablebodyright"/>
              <w:rPr>
                <w:lang w:eastAsia="en-AU"/>
              </w:rPr>
            </w:pPr>
            <w:r w:rsidRPr="004A016B">
              <w:t>0.2</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588C34AC"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15CD93E9" w14:textId="77777777" w:rsidR="00FA7EBF" w:rsidRPr="007939DD" w:rsidRDefault="00FA7EBF" w:rsidP="007B207C">
            <w:pPr>
              <w:pStyle w:val="ARfintablebodyright"/>
              <w:rPr>
                <w:lang w:eastAsia="en-AU"/>
              </w:rPr>
            </w:pPr>
            <w:r w:rsidRPr="004A016B">
              <w:t>163.7</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0AB01AEE" w14:textId="77777777" w:rsidR="00FA7EBF" w:rsidRPr="007939DD" w:rsidRDefault="00FA7EBF" w:rsidP="007B207C">
            <w:pPr>
              <w:pStyle w:val="ARfintablebodyright"/>
              <w:rPr>
                <w:lang w:eastAsia="en-AU"/>
              </w:rPr>
            </w:pPr>
            <w:r w:rsidRPr="004A016B">
              <w:t>162.4</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2105C24D" w14:textId="77777777" w:rsidR="00FA7EBF" w:rsidRPr="007939DD" w:rsidRDefault="00FA7EBF" w:rsidP="007B207C">
            <w:pPr>
              <w:pStyle w:val="ARfintablebodyright"/>
              <w:rPr>
                <w:lang w:eastAsia="en-AU"/>
              </w:rPr>
            </w:pPr>
            <w:r w:rsidRPr="004A016B">
              <w:t>(1.3)</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74FBD365" w14:textId="77777777" w:rsidR="00FA7EBF" w:rsidRPr="007939DD" w:rsidRDefault="00FA7EBF" w:rsidP="007B207C">
            <w:pPr>
              <w:pStyle w:val="ARfintablebodyright"/>
              <w:rPr>
                <w:lang w:eastAsia="en-AU"/>
              </w:rPr>
            </w:pPr>
            <w:r w:rsidRPr="004A016B">
              <w:t>0.2</w:t>
            </w:r>
          </w:p>
        </w:tc>
        <w:tc>
          <w:tcPr>
            <w:tcW w:w="907" w:type="dxa"/>
            <w:tcBorders>
              <w:top w:val="single" w:sz="4" w:space="0" w:color="A6A6A6" w:themeColor="background1" w:themeShade="A6"/>
              <w:bottom w:val="single" w:sz="4" w:space="0" w:color="A6A6A6" w:themeColor="background1" w:themeShade="A6"/>
            </w:tcBorders>
          </w:tcPr>
          <w:p w14:paraId="7BE9B835" w14:textId="77777777" w:rsidR="00FA7EBF" w:rsidRPr="007939DD" w:rsidRDefault="00FA7EBF" w:rsidP="007B207C">
            <w:pPr>
              <w:pStyle w:val="ARfintablebodyright"/>
              <w:rPr>
                <w:lang w:eastAsia="en-AU"/>
              </w:rPr>
            </w:pPr>
            <w:r w:rsidRPr="004A016B">
              <w:t>1.0</w:t>
            </w:r>
          </w:p>
        </w:tc>
        <w:tc>
          <w:tcPr>
            <w:tcW w:w="907" w:type="dxa"/>
            <w:tcBorders>
              <w:top w:val="single" w:sz="4" w:space="0" w:color="A6A6A6" w:themeColor="background1" w:themeShade="A6"/>
              <w:bottom w:val="single" w:sz="4" w:space="0" w:color="A6A6A6" w:themeColor="background1" w:themeShade="A6"/>
            </w:tcBorders>
          </w:tcPr>
          <w:p w14:paraId="504CC675"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bottom w:val="single" w:sz="4" w:space="0" w:color="A6A6A6" w:themeColor="background1" w:themeShade="A6"/>
            </w:tcBorders>
          </w:tcPr>
          <w:p w14:paraId="2C66646D" w14:textId="77777777" w:rsidR="00FA7EBF" w:rsidRPr="007939DD" w:rsidRDefault="00FA7EBF" w:rsidP="007B207C">
            <w:pPr>
              <w:pStyle w:val="ARfintablebodyright"/>
              <w:rPr>
                <w:lang w:eastAsia="en-AU"/>
              </w:rPr>
            </w:pPr>
            <w:r w:rsidRPr="004A016B">
              <w:t>153.4</w:t>
            </w:r>
          </w:p>
        </w:tc>
        <w:tc>
          <w:tcPr>
            <w:tcW w:w="907" w:type="dxa"/>
            <w:tcBorders>
              <w:top w:val="single" w:sz="4" w:space="0" w:color="A6A6A6" w:themeColor="background1" w:themeShade="A6"/>
              <w:bottom w:val="single" w:sz="4" w:space="0" w:color="A6A6A6" w:themeColor="background1" w:themeShade="A6"/>
            </w:tcBorders>
          </w:tcPr>
          <w:p w14:paraId="6F276EFB" w14:textId="77777777" w:rsidR="00FA7EBF" w:rsidRPr="007939DD" w:rsidRDefault="00FA7EBF" w:rsidP="007B207C">
            <w:pPr>
              <w:pStyle w:val="ARfintablebodyright"/>
              <w:rPr>
                <w:lang w:eastAsia="en-AU"/>
              </w:rPr>
            </w:pPr>
            <w:r w:rsidRPr="004A016B">
              <w:t>155.5</w:t>
            </w:r>
          </w:p>
        </w:tc>
        <w:tc>
          <w:tcPr>
            <w:tcW w:w="907" w:type="dxa"/>
            <w:tcBorders>
              <w:top w:val="single" w:sz="4" w:space="0" w:color="A6A6A6" w:themeColor="background1" w:themeShade="A6"/>
              <w:bottom w:val="single" w:sz="4" w:space="0" w:color="A6A6A6" w:themeColor="background1" w:themeShade="A6"/>
            </w:tcBorders>
          </w:tcPr>
          <w:p w14:paraId="56D974AA" w14:textId="77777777" w:rsidR="00FA7EBF" w:rsidRPr="007939DD" w:rsidRDefault="00FA7EBF" w:rsidP="007B207C">
            <w:pPr>
              <w:pStyle w:val="ARfintablebodyright"/>
              <w:rPr>
                <w:lang w:eastAsia="en-AU"/>
              </w:rPr>
            </w:pPr>
            <w:r w:rsidRPr="004A016B">
              <w:t>1.2</w:t>
            </w:r>
          </w:p>
        </w:tc>
        <w:tc>
          <w:tcPr>
            <w:tcW w:w="907" w:type="dxa"/>
            <w:tcBorders>
              <w:top w:val="single" w:sz="4" w:space="0" w:color="A6A6A6" w:themeColor="background1" w:themeShade="A6"/>
              <w:bottom w:val="single" w:sz="4" w:space="0" w:color="A6A6A6" w:themeColor="background1" w:themeShade="A6"/>
            </w:tcBorders>
          </w:tcPr>
          <w:p w14:paraId="6F5D83BC" w14:textId="77777777" w:rsidR="00FA7EBF" w:rsidRPr="007939DD" w:rsidRDefault="00FA7EBF" w:rsidP="007B207C">
            <w:pPr>
              <w:pStyle w:val="ARfintablebodyright"/>
              <w:rPr>
                <w:lang w:eastAsia="en-AU"/>
              </w:rPr>
            </w:pPr>
            <w:r w:rsidRPr="004A016B">
              <w:t>0.2</w:t>
            </w:r>
          </w:p>
        </w:tc>
      </w:tr>
      <w:tr w:rsidR="00FA7EBF" w:rsidRPr="007939DD" w14:paraId="170BE7FF" w14:textId="77777777" w:rsidTr="007B207C">
        <w:trPr>
          <w:cantSplit/>
        </w:trPr>
        <w:tc>
          <w:tcPr>
            <w:tcW w:w="3574" w:type="dxa"/>
            <w:tcBorders>
              <w:top w:val="single" w:sz="4" w:space="0" w:color="A6A6A6" w:themeColor="background1" w:themeShade="A6"/>
              <w:bottom w:val="single" w:sz="4" w:space="0" w:color="A6A6A6" w:themeColor="background1" w:themeShade="A6"/>
            </w:tcBorders>
          </w:tcPr>
          <w:p w14:paraId="48396B4A" w14:textId="77777777" w:rsidR="00FA7EBF" w:rsidRDefault="00FA7EBF" w:rsidP="007B207C">
            <w:pPr>
              <w:pStyle w:val="ARfintablebodybold"/>
              <w:rPr>
                <w:lang w:eastAsia="en-AU"/>
              </w:rPr>
            </w:pPr>
            <w:r w:rsidRPr="00194D78">
              <w:rPr>
                <w:lang w:eastAsia="en-AU"/>
              </w:rPr>
              <w:t>State Development Special Projects Trust Account</w:t>
            </w:r>
          </w:p>
          <w:p w14:paraId="5DD5DA83" w14:textId="77777777" w:rsidR="00FA7EBF" w:rsidRPr="007939DD" w:rsidRDefault="00FA7EBF" w:rsidP="007B207C">
            <w:pPr>
              <w:pStyle w:val="ARfintablebody"/>
              <w:rPr>
                <w:rStyle w:val="Strong"/>
              </w:rPr>
            </w:pPr>
            <w:r w:rsidRPr="00194D78">
              <w:rPr>
                <w:lang w:eastAsia="en-AU"/>
              </w:rPr>
              <w:t xml:space="preserve">Established under the </w:t>
            </w:r>
            <w:r w:rsidRPr="00F524E9">
              <w:rPr>
                <w:rStyle w:val="Emphasis"/>
                <w:iCs w:val="0"/>
              </w:rPr>
              <w:t>Financial Management Act 1994</w:t>
            </w:r>
            <w:r w:rsidRPr="00194D78">
              <w:rPr>
                <w:lang w:eastAsia="en-AU"/>
              </w:rPr>
              <w:t xml:space="preserve"> to assist in facilitating, encouraging, promoting and carrying out activities leading to a balanced economic development of the state.</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702CAB41" w14:textId="77777777" w:rsidR="00FA7EBF" w:rsidRPr="007939DD" w:rsidRDefault="00FA7EBF" w:rsidP="007B207C">
            <w:pPr>
              <w:pStyle w:val="ARfintablebodyright"/>
              <w:rPr>
                <w:lang w:eastAsia="en-AU"/>
              </w:rPr>
            </w:pPr>
            <w:r w:rsidRPr="004A016B">
              <w:t>5.1</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7CB2CA61" w14:textId="77777777" w:rsidR="00FA7EBF" w:rsidRPr="007939DD" w:rsidRDefault="00FA7EBF" w:rsidP="007B207C">
            <w:pPr>
              <w:pStyle w:val="ARfintablebodyright"/>
              <w:rPr>
                <w:lang w:eastAsia="en-AU"/>
              </w:rPr>
            </w:pPr>
            <w:r w:rsidRPr="004A016B">
              <w:t>(4.9)</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720AEF7C" w14:textId="77777777" w:rsidR="00FA7EBF" w:rsidRPr="007939DD" w:rsidRDefault="00FA7EBF" w:rsidP="007B207C">
            <w:pPr>
              <w:pStyle w:val="ARfintablebodyright"/>
              <w:rPr>
                <w:lang w:eastAsia="en-AU"/>
              </w:rPr>
            </w:pPr>
            <w:r w:rsidRPr="004A016B">
              <w:t>3.0</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289258D1" w14:textId="77777777" w:rsidR="00FA7EBF" w:rsidRPr="007939DD" w:rsidRDefault="00FA7EBF" w:rsidP="007B207C">
            <w:pPr>
              <w:pStyle w:val="ARfintablebodyright"/>
              <w:rPr>
                <w:lang w:eastAsia="en-AU"/>
              </w:rPr>
            </w:pPr>
            <w:r w:rsidRPr="004A016B">
              <w:t>2.9</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11660BA4" w14:textId="77777777" w:rsidR="00FA7EBF" w:rsidRPr="007939DD" w:rsidRDefault="00FA7EBF" w:rsidP="007B207C">
            <w:pPr>
              <w:pStyle w:val="ARfintablebodyright"/>
              <w:rPr>
                <w:lang w:eastAsia="en-AU"/>
              </w:rPr>
            </w:pPr>
            <w:r w:rsidRPr="004A016B">
              <w:t>(0.3)</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12D95185"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bottom w:val="single" w:sz="4" w:space="0" w:color="A6A6A6" w:themeColor="background1" w:themeShade="A6"/>
            </w:tcBorders>
          </w:tcPr>
          <w:p w14:paraId="361924F9" w14:textId="77777777" w:rsidR="00FA7EBF" w:rsidRPr="007939DD" w:rsidRDefault="00FA7EBF" w:rsidP="007B207C">
            <w:pPr>
              <w:pStyle w:val="ARfintablebodyright"/>
              <w:rPr>
                <w:lang w:eastAsia="en-AU"/>
              </w:rPr>
            </w:pPr>
            <w:r w:rsidRPr="004A016B">
              <w:t>3.7</w:t>
            </w:r>
          </w:p>
        </w:tc>
        <w:tc>
          <w:tcPr>
            <w:tcW w:w="907" w:type="dxa"/>
            <w:tcBorders>
              <w:top w:val="single" w:sz="4" w:space="0" w:color="A6A6A6" w:themeColor="background1" w:themeShade="A6"/>
              <w:bottom w:val="single" w:sz="4" w:space="0" w:color="A6A6A6" w:themeColor="background1" w:themeShade="A6"/>
            </w:tcBorders>
          </w:tcPr>
          <w:p w14:paraId="7DAC2D22"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bottom w:val="single" w:sz="4" w:space="0" w:color="A6A6A6" w:themeColor="background1" w:themeShade="A6"/>
            </w:tcBorders>
          </w:tcPr>
          <w:p w14:paraId="514C78E5" w14:textId="77777777" w:rsidR="00FA7EBF" w:rsidRPr="007939DD" w:rsidRDefault="00FA7EBF" w:rsidP="007B207C">
            <w:pPr>
              <w:pStyle w:val="ARfintablebodyright"/>
              <w:rPr>
                <w:lang w:eastAsia="en-AU"/>
              </w:rPr>
            </w:pPr>
            <w:r w:rsidRPr="004A016B">
              <w:t>12.4</w:t>
            </w:r>
          </w:p>
        </w:tc>
        <w:tc>
          <w:tcPr>
            <w:tcW w:w="907" w:type="dxa"/>
            <w:tcBorders>
              <w:top w:val="single" w:sz="4" w:space="0" w:color="A6A6A6" w:themeColor="background1" w:themeShade="A6"/>
              <w:bottom w:val="single" w:sz="4" w:space="0" w:color="A6A6A6" w:themeColor="background1" w:themeShade="A6"/>
            </w:tcBorders>
          </w:tcPr>
          <w:p w14:paraId="7DC6D9A8" w14:textId="77777777" w:rsidR="00FA7EBF" w:rsidRPr="007939DD" w:rsidRDefault="00FA7EBF" w:rsidP="007B207C">
            <w:pPr>
              <w:pStyle w:val="ARfintablebodyright"/>
              <w:rPr>
                <w:lang w:eastAsia="en-AU"/>
              </w:rPr>
            </w:pPr>
            <w:r w:rsidRPr="004A016B">
              <w:t>11.0</w:t>
            </w:r>
          </w:p>
        </w:tc>
        <w:tc>
          <w:tcPr>
            <w:tcW w:w="907" w:type="dxa"/>
            <w:tcBorders>
              <w:top w:val="single" w:sz="4" w:space="0" w:color="A6A6A6" w:themeColor="background1" w:themeShade="A6"/>
              <w:bottom w:val="single" w:sz="4" w:space="0" w:color="A6A6A6" w:themeColor="background1" w:themeShade="A6"/>
            </w:tcBorders>
          </w:tcPr>
          <w:p w14:paraId="5098F485"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bottom w:val="single" w:sz="4" w:space="0" w:color="A6A6A6" w:themeColor="background1" w:themeShade="A6"/>
            </w:tcBorders>
          </w:tcPr>
          <w:p w14:paraId="16E98123" w14:textId="77777777" w:rsidR="00FA7EBF" w:rsidRPr="007939DD" w:rsidRDefault="00FA7EBF" w:rsidP="007B207C">
            <w:pPr>
              <w:pStyle w:val="ARfintablebodyright"/>
              <w:rPr>
                <w:lang w:eastAsia="en-AU"/>
              </w:rPr>
            </w:pPr>
            <w:r w:rsidRPr="004A016B">
              <w:t>5.1</w:t>
            </w:r>
          </w:p>
        </w:tc>
      </w:tr>
      <w:tr w:rsidR="00FA7EBF" w:rsidRPr="007939DD" w14:paraId="32F831A4" w14:textId="77777777" w:rsidTr="007B207C">
        <w:trPr>
          <w:cantSplit/>
        </w:trPr>
        <w:tc>
          <w:tcPr>
            <w:tcW w:w="3574" w:type="dxa"/>
            <w:tcBorders>
              <w:top w:val="single" w:sz="4" w:space="0" w:color="A6A6A6" w:themeColor="background1" w:themeShade="A6"/>
              <w:bottom w:val="single" w:sz="4" w:space="0" w:color="A6A6A6" w:themeColor="background1" w:themeShade="A6"/>
            </w:tcBorders>
          </w:tcPr>
          <w:p w14:paraId="3ECFD1AB" w14:textId="77777777" w:rsidR="00FA7EBF" w:rsidRDefault="00FA7EBF" w:rsidP="007B207C">
            <w:pPr>
              <w:pStyle w:val="ARfintablebodybold"/>
              <w:rPr>
                <w:lang w:eastAsia="en-AU"/>
              </w:rPr>
            </w:pPr>
            <w:r w:rsidRPr="00194D78">
              <w:rPr>
                <w:lang w:eastAsia="en-AU"/>
              </w:rPr>
              <w:t>Treasury Trust</w:t>
            </w:r>
          </w:p>
          <w:p w14:paraId="45AB5128" w14:textId="77777777" w:rsidR="00FA7EBF" w:rsidRPr="007939DD" w:rsidRDefault="00FA7EBF" w:rsidP="007B207C">
            <w:pPr>
              <w:pStyle w:val="ARfintablebody"/>
              <w:rPr>
                <w:rStyle w:val="Strong"/>
              </w:rPr>
            </w:pPr>
            <w:r w:rsidRPr="00194D78">
              <w:rPr>
                <w:lang w:eastAsia="en-AU"/>
              </w:rPr>
              <w:t>The trust was established to record the receipt and disbursement of unclaimed monies and other funds held in trust.</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585542AC" w14:textId="77777777" w:rsidR="00FA7EBF" w:rsidRPr="007939DD" w:rsidRDefault="00FA7EBF" w:rsidP="007B207C">
            <w:pPr>
              <w:pStyle w:val="ARfintablebodyright"/>
              <w:rPr>
                <w:lang w:eastAsia="en-AU"/>
              </w:rPr>
            </w:pPr>
            <w:r w:rsidRPr="004A016B">
              <w:t>66.7</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59EBA3D7" w14:textId="77777777" w:rsidR="00FA7EBF" w:rsidRPr="007939DD" w:rsidRDefault="00FA7EBF" w:rsidP="007B207C">
            <w:pPr>
              <w:pStyle w:val="ARfintablebodyright"/>
              <w:rPr>
                <w:lang w:eastAsia="en-AU"/>
              </w:rPr>
            </w:pPr>
            <w:r w:rsidRPr="004A016B">
              <w:t>(3.7)</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3FF94366" w14:textId="77777777" w:rsidR="00FA7EBF" w:rsidRPr="007939DD" w:rsidRDefault="00FA7EBF" w:rsidP="007B207C">
            <w:pPr>
              <w:pStyle w:val="ARfintablebodyright"/>
              <w:rPr>
                <w:lang w:eastAsia="en-AU"/>
              </w:rPr>
            </w:pPr>
            <w:r w:rsidRPr="004A016B">
              <w:t>54.1</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589B8728" w14:textId="77777777" w:rsidR="00FA7EBF" w:rsidRPr="007939DD" w:rsidRDefault="00FA7EBF" w:rsidP="007B207C">
            <w:pPr>
              <w:pStyle w:val="ARfintablebodyright"/>
              <w:rPr>
                <w:lang w:eastAsia="en-AU"/>
              </w:rPr>
            </w:pPr>
            <w:r w:rsidRPr="004A016B">
              <w:t>38.1</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619CE0F9" w14:textId="77777777" w:rsidR="00FA7EBF" w:rsidRPr="007939DD" w:rsidRDefault="00FA7EBF" w:rsidP="007B207C">
            <w:pPr>
              <w:pStyle w:val="ARfintablebodyright"/>
              <w:rPr>
                <w:lang w:eastAsia="en-AU"/>
              </w:rPr>
            </w:pPr>
            <w:r w:rsidRPr="004A016B">
              <w:t>(4.2)</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5A6F8952" w14:textId="77777777" w:rsidR="00FA7EBF" w:rsidRPr="007939DD" w:rsidRDefault="00FA7EBF" w:rsidP="007B207C">
            <w:pPr>
              <w:pStyle w:val="ARfintablebodyright"/>
              <w:rPr>
                <w:lang w:eastAsia="en-AU"/>
              </w:rPr>
            </w:pPr>
            <w:r w:rsidRPr="004A016B">
              <w:t>74.8</w:t>
            </w:r>
          </w:p>
        </w:tc>
        <w:tc>
          <w:tcPr>
            <w:tcW w:w="907" w:type="dxa"/>
            <w:tcBorders>
              <w:top w:val="single" w:sz="4" w:space="0" w:color="A6A6A6" w:themeColor="background1" w:themeShade="A6"/>
              <w:bottom w:val="single" w:sz="4" w:space="0" w:color="A6A6A6" w:themeColor="background1" w:themeShade="A6"/>
            </w:tcBorders>
          </w:tcPr>
          <w:p w14:paraId="03F3F8F7" w14:textId="77777777" w:rsidR="00FA7EBF" w:rsidRPr="007939DD" w:rsidRDefault="00FA7EBF" w:rsidP="007B207C">
            <w:pPr>
              <w:pStyle w:val="ARfintablebodyright"/>
              <w:rPr>
                <w:lang w:eastAsia="en-AU"/>
              </w:rPr>
            </w:pPr>
            <w:r w:rsidRPr="004A016B">
              <w:t>61.7</w:t>
            </w:r>
          </w:p>
        </w:tc>
        <w:tc>
          <w:tcPr>
            <w:tcW w:w="907" w:type="dxa"/>
            <w:tcBorders>
              <w:top w:val="single" w:sz="4" w:space="0" w:color="A6A6A6" w:themeColor="background1" w:themeShade="A6"/>
              <w:bottom w:val="single" w:sz="4" w:space="0" w:color="A6A6A6" w:themeColor="background1" w:themeShade="A6"/>
            </w:tcBorders>
          </w:tcPr>
          <w:p w14:paraId="41A2DDF8" w14:textId="77777777" w:rsidR="00FA7EBF" w:rsidRPr="007939DD" w:rsidRDefault="00FA7EBF" w:rsidP="007B207C">
            <w:pPr>
              <w:pStyle w:val="ARfintablebodyright"/>
              <w:rPr>
                <w:lang w:eastAsia="en-AU"/>
              </w:rPr>
            </w:pPr>
            <w:r w:rsidRPr="004A016B">
              <w:t>5.0</w:t>
            </w:r>
          </w:p>
        </w:tc>
        <w:tc>
          <w:tcPr>
            <w:tcW w:w="907" w:type="dxa"/>
            <w:tcBorders>
              <w:top w:val="single" w:sz="4" w:space="0" w:color="A6A6A6" w:themeColor="background1" w:themeShade="A6"/>
              <w:bottom w:val="single" w:sz="4" w:space="0" w:color="A6A6A6" w:themeColor="background1" w:themeShade="A6"/>
            </w:tcBorders>
          </w:tcPr>
          <w:p w14:paraId="202A3C73" w14:textId="77777777" w:rsidR="00FA7EBF" w:rsidRPr="007939DD" w:rsidRDefault="00FA7EBF" w:rsidP="007B207C">
            <w:pPr>
              <w:pStyle w:val="ARfintablebodyright"/>
              <w:rPr>
                <w:lang w:eastAsia="en-AU"/>
              </w:rPr>
            </w:pPr>
            <w:r w:rsidRPr="004A016B">
              <w:t>27.7</w:t>
            </w:r>
          </w:p>
        </w:tc>
        <w:tc>
          <w:tcPr>
            <w:tcW w:w="907" w:type="dxa"/>
            <w:tcBorders>
              <w:top w:val="single" w:sz="4" w:space="0" w:color="A6A6A6" w:themeColor="background1" w:themeShade="A6"/>
              <w:bottom w:val="single" w:sz="4" w:space="0" w:color="A6A6A6" w:themeColor="background1" w:themeShade="A6"/>
            </w:tcBorders>
          </w:tcPr>
          <w:p w14:paraId="0F5DDAF3" w14:textId="77777777" w:rsidR="00FA7EBF" w:rsidRPr="007939DD" w:rsidRDefault="00FA7EBF" w:rsidP="007B207C">
            <w:pPr>
              <w:pStyle w:val="ARfintablebodyright"/>
              <w:rPr>
                <w:lang w:eastAsia="en-AU"/>
              </w:rPr>
            </w:pPr>
            <w:r w:rsidRPr="004A016B">
              <w:t>26.1</w:t>
            </w:r>
          </w:p>
        </w:tc>
        <w:tc>
          <w:tcPr>
            <w:tcW w:w="907" w:type="dxa"/>
            <w:tcBorders>
              <w:top w:val="single" w:sz="4" w:space="0" w:color="A6A6A6" w:themeColor="background1" w:themeShade="A6"/>
              <w:bottom w:val="single" w:sz="4" w:space="0" w:color="A6A6A6" w:themeColor="background1" w:themeShade="A6"/>
            </w:tcBorders>
          </w:tcPr>
          <w:p w14:paraId="1EA56795" w14:textId="77777777" w:rsidR="00FA7EBF" w:rsidRPr="007939DD" w:rsidRDefault="00FA7EBF" w:rsidP="007B207C">
            <w:pPr>
              <w:pStyle w:val="ARfintablebodyright"/>
              <w:rPr>
                <w:lang w:eastAsia="en-AU"/>
              </w:rPr>
            </w:pPr>
            <w:r w:rsidRPr="004A016B">
              <w:t>(1.5)</w:t>
            </w:r>
          </w:p>
        </w:tc>
        <w:tc>
          <w:tcPr>
            <w:tcW w:w="907" w:type="dxa"/>
            <w:tcBorders>
              <w:top w:val="single" w:sz="4" w:space="0" w:color="A6A6A6" w:themeColor="background1" w:themeShade="A6"/>
              <w:bottom w:val="single" w:sz="4" w:space="0" w:color="A6A6A6" w:themeColor="background1" w:themeShade="A6"/>
            </w:tcBorders>
          </w:tcPr>
          <w:p w14:paraId="4A8387A9" w14:textId="77777777" w:rsidR="00FA7EBF" w:rsidRPr="007939DD" w:rsidRDefault="00FA7EBF" w:rsidP="007B207C">
            <w:pPr>
              <w:pStyle w:val="ARfintablebodyright"/>
              <w:rPr>
                <w:lang w:eastAsia="en-AU"/>
              </w:rPr>
            </w:pPr>
            <w:r w:rsidRPr="004A016B">
              <w:t>66.7</w:t>
            </w:r>
          </w:p>
        </w:tc>
      </w:tr>
      <w:tr w:rsidR="00FA7EBF" w:rsidRPr="007939DD" w14:paraId="4CC7EB82" w14:textId="77777777" w:rsidTr="007B207C">
        <w:trPr>
          <w:cantSplit/>
        </w:trPr>
        <w:tc>
          <w:tcPr>
            <w:tcW w:w="3574" w:type="dxa"/>
            <w:tcBorders>
              <w:top w:val="single" w:sz="4" w:space="0" w:color="A6A6A6" w:themeColor="background1" w:themeShade="A6"/>
              <w:bottom w:val="single" w:sz="4" w:space="0" w:color="A6A6A6" w:themeColor="background1" w:themeShade="A6"/>
            </w:tcBorders>
          </w:tcPr>
          <w:p w14:paraId="769532D9" w14:textId="77777777" w:rsidR="00FA7EBF" w:rsidRDefault="00FA7EBF" w:rsidP="007B207C">
            <w:pPr>
              <w:pStyle w:val="ARfintablebodybold"/>
              <w:rPr>
                <w:lang w:eastAsia="en-AU"/>
              </w:rPr>
            </w:pPr>
            <w:r w:rsidRPr="00194D78">
              <w:rPr>
                <w:lang w:eastAsia="en-AU"/>
              </w:rPr>
              <w:t>Inter-Departmental Transfer Trust</w:t>
            </w:r>
          </w:p>
          <w:p w14:paraId="54CC999B" w14:textId="77777777" w:rsidR="00FA7EBF" w:rsidRPr="007939DD" w:rsidRDefault="00FA7EBF" w:rsidP="007B207C">
            <w:pPr>
              <w:pStyle w:val="ARfintablebody"/>
              <w:rPr>
                <w:rStyle w:val="Strong"/>
              </w:rPr>
            </w:pPr>
            <w:r w:rsidRPr="00194D78">
              <w:rPr>
                <w:lang w:eastAsia="en-AU"/>
              </w:rPr>
              <w:t xml:space="preserve">The trust was established under </w:t>
            </w:r>
            <w:r>
              <w:rPr>
                <w:lang w:eastAsia="en-AU"/>
              </w:rPr>
              <w:t>s.</w:t>
            </w:r>
            <w:r w:rsidRPr="00194D78">
              <w:rPr>
                <w:lang w:eastAsia="en-AU"/>
              </w:rPr>
              <w:t xml:space="preserve"> 19 of the </w:t>
            </w:r>
            <w:r w:rsidRPr="00F524E9">
              <w:rPr>
                <w:rStyle w:val="Emphasis"/>
                <w:iCs w:val="0"/>
              </w:rPr>
              <w:t>Financial Management Act 1994</w:t>
            </w:r>
            <w:r w:rsidRPr="00194D78">
              <w:rPr>
                <w:lang w:eastAsia="en-AU"/>
              </w:rPr>
              <w:t xml:space="preserve"> by the Assistant Treasurer to record inter-departmental transfers when no other trust arrangement exists.</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482DA301" w14:textId="77777777" w:rsidR="00FA7EBF" w:rsidRPr="007939DD" w:rsidRDefault="00FA7EBF" w:rsidP="007B207C">
            <w:pPr>
              <w:pStyle w:val="ARfintablebodyright"/>
              <w:rPr>
                <w:lang w:eastAsia="en-AU"/>
              </w:rPr>
            </w:pPr>
            <w:r w:rsidRPr="004A016B">
              <w:t>43.2</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19D33315" w14:textId="77777777" w:rsidR="00FA7EBF" w:rsidRPr="007939DD" w:rsidRDefault="00FA7EBF" w:rsidP="007B207C">
            <w:pPr>
              <w:pStyle w:val="ARfintablebodyright"/>
              <w:rPr>
                <w:lang w:eastAsia="en-AU"/>
              </w:rPr>
            </w:pPr>
            <w:r w:rsidRPr="004A016B">
              <w:t>9.2</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565B7EAD" w14:textId="77777777" w:rsidR="00FA7EBF" w:rsidRPr="007939DD" w:rsidRDefault="00FA7EBF" w:rsidP="007B207C">
            <w:pPr>
              <w:pStyle w:val="ARfintablebodyright"/>
              <w:rPr>
                <w:lang w:eastAsia="en-AU"/>
              </w:rPr>
            </w:pPr>
            <w:r w:rsidRPr="004A016B">
              <w:t>162.0</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0F1788B8" w14:textId="77777777" w:rsidR="00FA7EBF" w:rsidRPr="007939DD" w:rsidRDefault="00FA7EBF" w:rsidP="007B207C">
            <w:pPr>
              <w:pStyle w:val="ARfintablebodyright"/>
              <w:rPr>
                <w:lang w:eastAsia="en-AU"/>
              </w:rPr>
            </w:pPr>
            <w:r w:rsidRPr="004A016B">
              <w:t>137.1</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14E4B477" w14:textId="77777777" w:rsidR="00FA7EBF" w:rsidRPr="007939DD" w:rsidRDefault="00FA7EBF" w:rsidP="007B207C">
            <w:pPr>
              <w:pStyle w:val="ARfintablebodyright"/>
              <w:rPr>
                <w:lang w:eastAsia="en-AU"/>
              </w:rPr>
            </w:pPr>
            <w:r w:rsidRPr="004A016B">
              <w:t>(6.1)</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24EC06DC" w14:textId="77777777" w:rsidR="00FA7EBF" w:rsidRPr="007939DD" w:rsidRDefault="00FA7EBF" w:rsidP="007B207C">
            <w:pPr>
              <w:pStyle w:val="ARfintablebodyright"/>
              <w:rPr>
                <w:lang w:eastAsia="en-AU"/>
              </w:rPr>
            </w:pPr>
            <w:r w:rsidRPr="004A016B">
              <w:t>71.2</w:t>
            </w:r>
          </w:p>
        </w:tc>
        <w:tc>
          <w:tcPr>
            <w:tcW w:w="907" w:type="dxa"/>
            <w:tcBorders>
              <w:top w:val="single" w:sz="4" w:space="0" w:color="A6A6A6" w:themeColor="background1" w:themeShade="A6"/>
              <w:bottom w:val="single" w:sz="4" w:space="0" w:color="A6A6A6" w:themeColor="background1" w:themeShade="A6"/>
            </w:tcBorders>
          </w:tcPr>
          <w:p w14:paraId="0DCFE04B" w14:textId="77777777" w:rsidR="00FA7EBF" w:rsidRPr="007939DD" w:rsidRDefault="00FA7EBF" w:rsidP="007B207C">
            <w:pPr>
              <w:pStyle w:val="ARfintablebodyright"/>
              <w:rPr>
                <w:lang w:eastAsia="en-AU"/>
              </w:rPr>
            </w:pPr>
            <w:r w:rsidRPr="004A016B">
              <w:t>24.4</w:t>
            </w:r>
          </w:p>
        </w:tc>
        <w:tc>
          <w:tcPr>
            <w:tcW w:w="907" w:type="dxa"/>
            <w:tcBorders>
              <w:top w:val="single" w:sz="4" w:space="0" w:color="A6A6A6" w:themeColor="background1" w:themeShade="A6"/>
              <w:bottom w:val="single" w:sz="4" w:space="0" w:color="A6A6A6" w:themeColor="background1" w:themeShade="A6"/>
            </w:tcBorders>
          </w:tcPr>
          <w:p w14:paraId="7ADC63D3"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bottom w:val="single" w:sz="4" w:space="0" w:color="A6A6A6" w:themeColor="background1" w:themeShade="A6"/>
            </w:tcBorders>
          </w:tcPr>
          <w:p w14:paraId="73EE99E6" w14:textId="77777777" w:rsidR="00FA7EBF" w:rsidRPr="007939DD" w:rsidRDefault="00FA7EBF" w:rsidP="007B207C">
            <w:pPr>
              <w:pStyle w:val="ARfintablebodyright"/>
              <w:rPr>
                <w:lang w:eastAsia="en-AU"/>
              </w:rPr>
            </w:pPr>
            <w:r w:rsidRPr="004A016B">
              <w:t>158.8</w:t>
            </w:r>
          </w:p>
        </w:tc>
        <w:tc>
          <w:tcPr>
            <w:tcW w:w="907" w:type="dxa"/>
            <w:tcBorders>
              <w:top w:val="single" w:sz="4" w:space="0" w:color="A6A6A6" w:themeColor="background1" w:themeShade="A6"/>
              <w:bottom w:val="single" w:sz="4" w:space="0" w:color="A6A6A6" w:themeColor="background1" w:themeShade="A6"/>
            </w:tcBorders>
          </w:tcPr>
          <w:p w14:paraId="2392FD53" w14:textId="77777777" w:rsidR="00FA7EBF" w:rsidRPr="007939DD" w:rsidRDefault="00FA7EBF" w:rsidP="007B207C">
            <w:pPr>
              <w:pStyle w:val="ARfintablebodyright"/>
              <w:rPr>
                <w:lang w:eastAsia="en-AU"/>
              </w:rPr>
            </w:pPr>
            <w:r w:rsidRPr="004A016B">
              <w:t>139.0</w:t>
            </w:r>
          </w:p>
        </w:tc>
        <w:tc>
          <w:tcPr>
            <w:tcW w:w="907" w:type="dxa"/>
            <w:tcBorders>
              <w:top w:val="single" w:sz="4" w:space="0" w:color="A6A6A6" w:themeColor="background1" w:themeShade="A6"/>
              <w:bottom w:val="single" w:sz="4" w:space="0" w:color="A6A6A6" w:themeColor="background1" w:themeShade="A6"/>
            </w:tcBorders>
          </w:tcPr>
          <w:p w14:paraId="590D1ADD" w14:textId="77777777" w:rsidR="00FA7EBF" w:rsidRPr="007939DD" w:rsidRDefault="00FA7EBF" w:rsidP="007B207C">
            <w:pPr>
              <w:pStyle w:val="ARfintablebodyright"/>
              <w:rPr>
                <w:lang w:eastAsia="en-AU"/>
              </w:rPr>
            </w:pPr>
            <w:r w:rsidRPr="004A016B">
              <w:t>(1.0)</w:t>
            </w:r>
          </w:p>
        </w:tc>
        <w:tc>
          <w:tcPr>
            <w:tcW w:w="907" w:type="dxa"/>
            <w:tcBorders>
              <w:top w:val="single" w:sz="4" w:space="0" w:color="A6A6A6" w:themeColor="background1" w:themeShade="A6"/>
              <w:bottom w:val="single" w:sz="4" w:space="0" w:color="A6A6A6" w:themeColor="background1" w:themeShade="A6"/>
            </w:tcBorders>
          </w:tcPr>
          <w:p w14:paraId="66CC7596" w14:textId="77777777" w:rsidR="00FA7EBF" w:rsidRPr="007939DD" w:rsidRDefault="00FA7EBF" w:rsidP="007B207C">
            <w:pPr>
              <w:pStyle w:val="ARfintablebodyright"/>
              <w:rPr>
                <w:lang w:eastAsia="en-AU"/>
              </w:rPr>
            </w:pPr>
            <w:r w:rsidRPr="004A016B">
              <w:t>43.2</w:t>
            </w:r>
          </w:p>
        </w:tc>
      </w:tr>
      <w:tr w:rsidR="00FA7EBF" w:rsidRPr="007939DD" w14:paraId="4DFCEB58" w14:textId="77777777" w:rsidTr="007B207C">
        <w:trPr>
          <w:cantSplit/>
        </w:trPr>
        <w:tc>
          <w:tcPr>
            <w:tcW w:w="3574" w:type="dxa"/>
            <w:tcBorders>
              <w:top w:val="single" w:sz="4" w:space="0" w:color="A6A6A6" w:themeColor="background1" w:themeShade="A6"/>
              <w:bottom w:val="single" w:sz="4" w:space="0" w:color="A6A6A6" w:themeColor="background1" w:themeShade="A6"/>
            </w:tcBorders>
          </w:tcPr>
          <w:p w14:paraId="2CA2C946" w14:textId="77777777" w:rsidR="00FA7EBF" w:rsidRDefault="00FA7EBF" w:rsidP="007B207C">
            <w:pPr>
              <w:pStyle w:val="ARfintablebodybold"/>
              <w:rPr>
                <w:lang w:eastAsia="en-AU"/>
              </w:rPr>
            </w:pPr>
            <w:r w:rsidRPr="00194D78">
              <w:rPr>
                <w:lang w:eastAsia="en-AU"/>
              </w:rPr>
              <w:t>Vehicle Lease Trust Account</w:t>
            </w:r>
          </w:p>
          <w:p w14:paraId="7C103D3F" w14:textId="77777777" w:rsidR="00FA7EBF" w:rsidRPr="007939DD" w:rsidRDefault="00FA7EBF" w:rsidP="007B207C">
            <w:pPr>
              <w:pStyle w:val="ARfintablebody"/>
              <w:rPr>
                <w:rStyle w:val="Strong"/>
              </w:rPr>
            </w:pPr>
            <w:r w:rsidRPr="00194D78">
              <w:rPr>
                <w:lang w:eastAsia="en-AU"/>
              </w:rPr>
              <w:t>The trust was established to record transactions relating to the government</w:t>
            </w:r>
            <w:r>
              <w:rPr>
                <w:lang w:eastAsia="en-AU"/>
              </w:rPr>
              <w:t>’</w:t>
            </w:r>
            <w:r w:rsidRPr="00194D78">
              <w:rPr>
                <w:lang w:eastAsia="en-AU"/>
              </w:rPr>
              <w:t>s vehicle pool and fleet management business.</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160A8A48" w14:textId="77777777" w:rsidR="00FA7EBF" w:rsidRPr="007939DD" w:rsidRDefault="00FA7EBF" w:rsidP="007B207C">
            <w:pPr>
              <w:pStyle w:val="ARfintablebodyright"/>
              <w:rPr>
                <w:lang w:eastAsia="en-AU"/>
              </w:rPr>
            </w:pPr>
            <w:r w:rsidRPr="004A016B">
              <w:t>27.1</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2D67B151"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7E0A3D00" w14:textId="77777777" w:rsidR="00FA7EBF" w:rsidRPr="007939DD" w:rsidRDefault="00FA7EBF" w:rsidP="007B207C">
            <w:pPr>
              <w:pStyle w:val="ARfintablebodyright"/>
              <w:rPr>
                <w:lang w:eastAsia="en-AU"/>
              </w:rPr>
            </w:pPr>
            <w:r w:rsidRPr="004A016B">
              <w:t>2.3</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69D31B43" w14:textId="77777777" w:rsidR="00FA7EBF" w:rsidRPr="007939DD" w:rsidRDefault="00FA7EBF" w:rsidP="007B207C">
            <w:pPr>
              <w:pStyle w:val="ARfintablebodyright"/>
              <w:rPr>
                <w:lang w:eastAsia="en-AU"/>
              </w:rPr>
            </w:pPr>
            <w:r w:rsidRPr="004A016B">
              <w:t>(1.2)</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62C9D9B1" w14:textId="77777777" w:rsidR="00FA7EBF" w:rsidRPr="007939DD" w:rsidRDefault="00FA7EBF" w:rsidP="007B207C">
            <w:pPr>
              <w:pStyle w:val="ARfintablebodyright"/>
              <w:rPr>
                <w:lang w:eastAsia="en-AU"/>
              </w:rPr>
            </w:pPr>
            <w:r w:rsidRPr="004A016B">
              <w:t>0.3</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74B13AE8" w14:textId="77777777" w:rsidR="00FA7EBF" w:rsidRPr="007939DD" w:rsidRDefault="00FA7EBF" w:rsidP="007B207C">
            <w:pPr>
              <w:pStyle w:val="ARfintablebodyright"/>
              <w:rPr>
                <w:lang w:eastAsia="en-AU"/>
              </w:rPr>
            </w:pPr>
            <w:r w:rsidRPr="004A016B">
              <w:t>31.0</w:t>
            </w:r>
          </w:p>
        </w:tc>
        <w:tc>
          <w:tcPr>
            <w:tcW w:w="907" w:type="dxa"/>
            <w:tcBorders>
              <w:top w:val="single" w:sz="4" w:space="0" w:color="A6A6A6" w:themeColor="background1" w:themeShade="A6"/>
              <w:bottom w:val="single" w:sz="4" w:space="0" w:color="A6A6A6" w:themeColor="background1" w:themeShade="A6"/>
            </w:tcBorders>
          </w:tcPr>
          <w:p w14:paraId="4E2DCDCB" w14:textId="77777777" w:rsidR="00FA7EBF" w:rsidRPr="007939DD" w:rsidRDefault="00FA7EBF" w:rsidP="007B207C">
            <w:pPr>
              <w:pStyle w:val="ARfintablebodyright"/>
              <w:rPr>
                <w:lang w:eastAsia="en-AU"/>
              </w:rPr>
            </w:pPr>
            <w:r w:rsidRPr="004A016B">
              <w:t>23.6</w:t>
            </w:r>
          </w:p>
        </w:tc>
        <w:tc>
          <w:tcPr>
            <w:tcW w:w="907" w:type="dxa"/>
            <w:tcBorders>
              <w:top w:val="single" w:sz="4" w:space="0" w:color="A6A6A6" w:themeColor="background1" w:themeShade="A6"/>
              <w:bottom w:val="single" w:sz="4" w:space="0" w:color="A6A6A6" w:themeColor="background1" w:themeShade="A6"/>
            </w:tcBorders>
          </w:tcPr>
          <w:p w14:paraId="4E3CB3CB"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bottom w:val="single" w:sz="4" w:space="0" w:color="A6A6A6" w:themeColor="background1" w:themeShade="A6"/>
            </w:tcBorders>
          </w:tcPr>
          <w:p w14:paraId="09CA64CA" w14:textId="77777777" w:rsidR="00FA7EBF" w:rsidRPr="007939DD" w:rsidRDefault="00FA7EBF" w:rsidP="007B207C">
            <w:pPr>
              <w:pStyle w:val="ARfintablebodyright"/>
              <w:rPr>
                <w:lang w:eastAsia="en-AU"/>
              </w:rPr>
            </w:pPr>
            <w:r w:rsidRPr="004A016B">
              <w:t>1.8</w:t>
            </w:r>
          </w:p>
        </w:tc>
        <w:tc>
          <w:tcPr>
            <w:tcW w:w="907" w:type="dxa"/>
            <w:tcBorders>
              <w:top w:val="single" w:sz="4" w:space="0" w:color="A6A6A6" w:themeColor="background1" w:themeShade="A6"/>
              <w:bottom w:val="single" w:sz="4" w:space="0" w:color="A6A6A6" w:themeColor="background1" w:themeShade="A6"/>
            </w:tcBorders>
          </w:tcPr>
          <w:p w14:paraId="34895E65" w14:textId="77777777" w:rsidR="00FA7EBF" w:rsidRPr="007939DD" w:rsidRDefault="00FA7EBF" w:rsidP="007B207C">
            <w:pPr>
              <w:pStyle w:val="ARfintablebodyright"/>
              <w:rPr>
                <w:lang w:eastAsia="en-AU"/>
              </w:rPr>
            </w:pPr>
            <w:r w:rsidRPr="004A016B">
              <w:t>(1.7)</w:t>
            </w:r>
          </w:p>
        </w:tc>
        <w:tc>
          <w:tcPr>
            <w:tcW w:w="907" w:type="dxa"/>
            <w:tcBorders>
              <w:top w:val="single" w:sz="4" w:space="0" w:color="A6A6A6" w:themeColor="background1" w:themeShade="A6"/>
              <w:bottom w:val="single" w:sz="4" w:space="0" w:color="A6A6A6" w:themeColor="background1" w:themeShade="A6"/>
            </w:tcBorders>
          </w:tcPr>
          <w:p w14:paraId="14F70756"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bottom w:val="single" w:sz="4" w:space="0" w:color="A6A6A6" w:themeColor="background1" w:themeShade="A6"/>
            </w:tcBorders>
          </w:tcPr>
          <w:p w14:paraId="63E11C06" w14:textId="77777777" w:rsidR="00FA7EBF" w:rsidRPr="007939DD" w:rsidRDefault="00FA7EBF" w:rsidP="007B207C">
            <w:pPr>
              <w:pStyle w:val="ARfintablebodyright"/>
              <w:rPr>
                <w:lang w:eastAsia="en-AU"/>
              </w:rPr>
            </w:pPr>
            <w:r w:rsidRPr="004A016B">
              <w:t>27.1</w:t>
            </w:r>
          </w:p>
        </w:tc>
      </w:tr>
      <w:tr w:rsidR="00FA7EBF" w:rsidRPr="007939DD" w14:paraId="49AD5A3F" w14:textId="77777777" w:rsidTr="007B207C">
        <w:trPr>
          <w:cantSplit/>
        </w:trPr>
        <w:tc>
          <w:tcPr>
            <w:tcW w:w="3574" w:type="dxa"/>
            <w:tcBorders>
              <w:top w:val="single" w:sz="4" w:space="0" w:color="A6A6A6" w:themeColor="background1" w:themeShade="A6"/>
            </w:tcBorders>
          </w:tcPr>
          <w:p w14:paraId="7ADD6EA6" w14:textId="77777777" w:rsidR="00FA7EBF" w:rsidRDefault="00FA7EBF" w:rsidP="007B207C">
            <w:pPr>
              <w:pStyle w:val="ARfintablebodybold"/>
              <w:rPr>
                <w:lang w:eastAsia="en-AU"/>
              </w:rPr>
            </w:pPr>
            <w:r w:rsidRPr="00194D78">
              <w:rPr>
                <w:lang w:eastAsia="en-AU"/>
              </w:rPr>
              <w:t>Victorian Health Promotion Fund</w:t>
            </w:r>
          </w:p>
          <w:p w14:paraId="1BEAD4C9" w14:textId="77777777" w:rsidR="00FA7EBF" w:rsidRPr="007939DD" w:rsidRDefault="00FA7EBF" w:rsidP="007B207C">
            <w:pPr>
              <w:pStyle w:val="ARfintablebody"/>
              <w:rPr>
                <w:rStyle w:val="Strong"/>
              </w:rPr>
            </w:pPr>
            <w:r w:rsidRPr="00194D78">
              <w:rPr>
                <w:lang w:eastAsia="en-AU"/>
              </w:rPr>
              <w:t xml:space="preserve">The trust was established under the </w:t>
            </w:r>
            <w:r w:rsidRPr="00F524E9">
              <w:rPr>
                <w:rStyle w:val="Emphasis"/>
                <w:iCs w:val="0"/>
              </w:rPr>
              <w:t>Tobacco Act 1987</w:t>
            </w:r>
            <w:r w:rsidRPr="00194D78">
              <w:rPr>
                <w:lang w:eastAsia="en-AU"/>
              </w:rPr>
              <w:t xml:space="preserve"> </w:t>
            </w:r>
            <w:r>
              <w:rPr>
                <w:lang w:eastAsia="en-AU"/>
              </w:rPr>
              <w:t>s.</w:t>
            </w:r>
            <w:r w:rsidRPr="00194D78">
              <w:rPr>
                <w:lang w:eastAsia="en-AU"/>
              </w:rPr>
              <w:t xml:space="preserve"> 32, prior to the abolition by the High Court in July 1997 of taxes on tobacco products. Following the High Court decision, the Act was amended and the source of funding was specified by the Treasurer under </w:t>
            </w:r>
            <w:r>
              <w:rPr>
                <w:lang w:eastAsia="en-AU"/>
              </w:rPr>
              <w:t>s.</w:t>
            </w:r>
            <w:r w:rsidRPr="00194D78">
              <w:rPr>
                <w:lang w:eastAsia="en-AU"/>
              </w:rPr>
              <w:t xml:space="preserve"> 32(3a).</w:t>
            </w:r>
          </w:p>
        </w:tc>
        <w:tc>
          <w:tcPr>
            <w:tcW w:w="908" w:type="dxa"/>
            <w:tcBorders>
              <w:top w:val="single" w:sz="4" w:space="0" w:color="A6A6A6" w:themeColor="background1" w:themeShade="A6"/>
              <w:right w:val="nil"/>
            </w:tcBorders>
            <w:shd w:val="clear" w:color="auto" w:fill="E7E6E6"/>
          </w:tcPr>
          <w:p w14:paraId="1AF1EDE0"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left w:val="nil"/>
              <w:right w:val="nil"/>
            </w:tcBorders>
            <w:shd w:val="clear" w:color="auto" w:fill="E7E6E6"/>
          </w:tcPr>
          <w:p w14:paraId="4E3F6F75"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left w:val="nil"/>
              <w:right w:val="nil"/>
            </w:tcBorders>
            <w:shd w:val="clear" w:color="auto" w:fill="E7E6E6"/>
          </w:tcPr>
          <w:p w14:paraId="72A3C779" w14:textId="77777777" w:rsidR="00FA7EBF" w:rsidRPr="007939DD" w:rsidRDefault="00FA7EBF" w:rsidP="007B207C">
            <w:pPr>
              <w:pStyle w:val="ARfintablebodyright"/>
              <w:rPr>
                <w:lang w:eastAsia="en-AU"/>
              </w:rPr>
            </w:pPr>
            <w:r w:rsidRPr="004A016B">
              <w:t>40.2</w:t>
            </w:r>
          </w:p>
        </w:tc>
        <w:tc>
          <w:tcPr>
            <w:tcW w:w="907" w:type="dxa"/>
            <w:tcBorders>
              <w:top w:val="single" w:sz="4" w:space="0" w:color="A6A6A6" w:themeColor="background1" w:themeShade="A6"/>
              <w:left w:val="nil"/>
              <w:right w:val="nil"/>
            </w:tcBorders>
            <w:shd w:val="clear" w:color="auto" w:fill="E7E6E6"/>
          </w:tcPr>
          <w:p w14:paraId="10286359" w14:textId="77777777" w:rsidR="00FA7EBF" w:rsidRPr="007939DD" w:rsidRDefault="00FA7EBF" w:rsidP="007B207C">
            <w:pPr>
              <w:pStyle w:val="ARfintablebodyright"/>
              <w:rPr>
                <w:lang w:eastAsia="en-AU"/>
              </w:rPr>
            </w:pPr>
            <w:r w:rsidRPr="004A016B">
              <w:t>40.2</w:t>
            </w:r>
          </w:p>
        </w:tc>
        <w:tc>
          <w:tcPr>
            <w:tcW w:w="907" w:type="dxa"/>
            <w:tcBorders>
              <w:top w:val="single" w:sz="4" w:space="0" w:color="A6A6A6" w:themeColor="background1" w:themeShade="A6"/>
              <w:left w:val="nil"/>
              <w:right w:val="nil"/>
            </w:tcBorders>
            <w:shd w:val="clear" w:color="auto" w:fill="E7E6E6"/>
          </w:tcPr>
          <w:p w14:paraId="78780081"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left w:val="nil"/>
            </w:tcBorders>
            <w:shd w:val="clear" w:color="auto" w:fill="E7E6E6"/>
          </w:tcPr>
          <w:p w14:paraId="2EB85764"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tcBorders>
          </w:tcPr>
          <w:p w14:paraId="70FD5AFC"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tcBorders>
          </w:tcPr>
          <w:p w14:paraId="42987693"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tcBorders>
          </w:tcPr>
          <w:p w14:paraId="6E09B726" w14:textId="77777777" w:rsidR="00FA7EBF" w:rsidRPr="007939DD" w:rsidRDefault="00FA7EBF" w:rsidP="007B207C">
            <w:pPr>
              <w:pStyle w:val="ARfintablebodyright"/>
              <w:rPr>
                <w:lang w:eastAsia="en-AU"/>
              </w:rPr>
            </w:pPr>
            <w:r w:rsidRPr="004A016B">
              <w:t>39.1</w:t>
            </w:r>
          </w:p>
        </w:tc>
        <w:tc>
          <w:tcPr>
            <w:tcW w:w="907" w:type="dxa"/>
            <w:tcBorders>
              <w:top w:val="single" w:sz="4" w:space="0" w:color="A6A6A6" w:themeColor="background1" w:themeShade="A6"/>
            </w:tcBorders>
          </w:tcPr>
          <w:p w14:paraId="05C40D2B" w14:textId="77777777" w:rsidR="00FA7EBF" w:rsidRPr="007939DD" w:rsidRDefault="00FA7EBF" w:rsidP="007B207C">
            <w:pPr>
              <w:pStyle w:val="ARfintablebodyright"/>
              <w:rPr>
                <w:lang w:eastAsia="en-AU"/>
              </w:rPr>
            </w:pPr>
            <w:r w:rsidRPr="004A016B">
              <w:t>39.1</w:t>
            </w:r>
          </w:p>
        </w:tc>
        <w:tc>
          <w:tcPr>
            <w:tcW w:w="907" w:type="dxa"/>
            <w:tcBorders>
              <w:top w:val="single" w:sz="4" w:space="0" w:color="A6A6A6" w:themeColor="background1" w:themeShade="A6"/>
            </w:tcBorders>
          </w:tcPr>
          <w:p w14:paraId="4D39CE83" w14:textId="77777777" w:rsidR="00FA7EBF" w:rsidRPr="007939DD" w:rsidRDefault="00FA7EBF" w:rsidP="007B207C">
            <w:pPr>
              <w:pStyle w:val="ARfintablebodyright"/>
              <w:rPr>
                <w:lang w:eastAsia="en-AU"/>
              </w:rPr>
            </w:pPr>
            <w:r w:rsidRPr="004A016B">
              <w:t>–</w:t>
            </w:r>
          </w:p>
        </w:tc>
        <w:tc>
          <w:tcPr>
            <w:tcW w:w="907" w:type="dxa"/>
            <w:tcBorders>
              <w:top w:val="single" w:sz="4" w:space="0" w:color="A6A6A6" w:themeColor="background1" w:themeShade="A6"/>
            </w:tcBorders>
          </w:tcPr>
          <w:p w14:paraId="3DB451A7" w14:textId="77777777" w:rsidR="00FA7EBF" w:rsidRPr="007939DD" w:rsidRDefault="00FA7EBF" w:rsidP="007B207C">
            <w:pPr>
              <w:pStyle w:val="ARfintablebodyright"/>
              <w:rPr>
                <w:lang w:eastAsia="en-AU"/>
              </w:rPr>
            </w:pPr>
            <w:r w:rsidRPr="004A016B">
              <w:t>–</w:t>
            </w:r>
          </w:p>
        </w:tc>
      </w:tr>
      <w:tr w:rsidR="00FA7EBF" w:rsidRPr="007939DD" w14:paraId="791876A6" w14:textId="77777777" w:rsidTr="007B207C">
        <w:trPr>
          <w:cantSplit/>
        </w:trPr>
        <w:tc>
          <w:tcPr>
            <w:tcW w:w="3574" w:type="dxa"/>
          </w:tcPr>
          <w:p w14:paraId="1A6BEFEA" w14:textId="77777777" w:rsidR="00FA7EBF" w:rsidRPr="007939DD" w:rsidRDefault="00FA7EBF" w:rsidP="007B207C">
            <w:pPr>
              <w:pStyle w:val="ARfintablebodybold"/>
              <w:rPr>
                <w:lang w:eastAsia="en-AU"/>
              </w:rPr>
            </w:pPr>
            <w:r w:rsidRPr="00194D78">
              <w:rPr>
                <w:lang w:eastAsia="en-AU"/>
              </w:rPr>
              <w:t>Total controlled trusts</w:t>
            </w:r>
          </w:p>
        </w:tc>
        <w:tc>
          <w:tcPr>
            <w:tcW w:w="908" w:type="dxa"/>
            <w:tcBorders>
              <w:right w:val="nil"/>
            </w:tcBorders>
            <w:shd w:val="clear" w:color="auto" w:fill="E7E6E6"/>
          </w:tcPr>
          <w:p w14:paraId="39DFB35C" w14:textId="77777777" w:rsidR="00FA7EBF" w:rsidRPr="007939DD" w:rsidRDefault="00FA7EBF" w:rsidP="007B207C">
            <w:pPr>
              <w:pStyle w:val="ARfintablebodyrightbold"/>
              <w:rPr>
                <w:lang w:eastAsia="en-AU"/>
              </w:rPr>
            </w:pPr>
            <w:r w:rsidRPr="004A016B">
              <w:t>298.9</w:t>
            </w:r>
          </w:p>
        </w:tc>
        <w:tc>
          <w:tcPr>
            <w:tcW w:w="907" w:type="dxa"/>
            <w:tcBorders>
              <w:left w:val="nil"/>
              <w:right w:val="nil"/>
            </w:tcBorders>
            <w:shd w:val="clear" w:color="auto" w:fill="E7E6E6"/>
          </w:tcPr>
          <w:p w14:paraId="55F0919C" w14:textId="77777777" w:rsidR="00FA7EBF" w:rsidRPr="007939DD" w:rsidRDefault="00FA7EBF" w:rsidP="007B207C">
            <w:pPr>
              <w:pStyle w:val="ARfintablebodyrightbold"/>
              <w:rPr>
                <w:lang w:eastAsia="en-AU"/>
              </w:rPr>
            </w:pPr>
            <w:r w:rsidRPr="004A016B">
              <w:t>0.6</w:t>
            </w:r>
          </w:p>
        </w:tc>
        <w:tc>
          <w:tcPr>
            <w:tcW w:w="907" w:type="dxa"/>
            <w:tcBorders>
              <w:left w:val="nil"/>
              <w:right w:val="nil"/>
            </w:tcBorders>
            <w:shd w:val="clear" w:color="auto" w:fill="E7E6E6"/>
          </w:tcPr>
          <w:p w14:paraId="090EE890" w14:textId="77777777" w:rsidR="00FA7EBF" w:rsidRPr="007939DD" w:rsidRDefault="00FA7EBF" w:rsidP="007B207C">
            <w:pPr>
              <w:pStyle w:val="ARfintablebodyrightbold"/>
              <w:rPr>
                <w:lang w:eastAsia="en-AU"/>
              </w:rPr>
            </w:pPr>
            <w:r w:rsidRPr="004A016B">
              <w:t>3,636.1</w:t>
            </w:r>
          </w:p>
        </w:tc>
        <w:tc>
          <w:tcPr>
            <w:tcW w:w="907" w:type="dxa"/>
            <w:tcBorders>
              <w:left w:val="nil"/>
              <w:right w:val="nil"/>
            </w:tcBorders>
            <w:shd w:val="clear" w:color="auto" w:fill="E7E6E6"/>
          </w:tcPr>
          <w:p w14:paraId="1BFC9C74" w14:textId="77777777" w:rsidR="00FA7EBF" w:rsidRPr="007939DD" w:rsidRDefault="00FA7EBF" w:rsidP="007B207C">
            <w:pPr>
              <w:pStyle w:val="ARfintablebodyrightbold"/>
              <w:rPr>
                <w:lang w:eastAsia="en-AU"/>
              </w:rPr>
            </w:pPr>
            <w:r w:rsidRPr="004A016B">
              <w:t>3,545.3</w:t>
            </w:r>
          </w:p>
        </w:tc>
        <w:tc>
          <w:tcPr>
            <w:tcW w:w="907" w:type="dxa"/>
            <w:tcBorders>
              <w:left w:val="nil"/>
              <w:right w:val="nil"/>
            </w:tcBorders>
            <w:shd w:val="clear" w:color="auto" w:fill="E7E6E6"/>
          </w:tcPr>
          <w:p w14:paraId="450AD433" w14:textId="77777777" w:rsidR="00FA7EBF" w:rsidRPr="007939DD" w:rsidRDefault="00FA7EBF" w:rsidP="007B207C">
            <w:pPr>
              <w:pStyle w:val="ARfintablebodyrightbold"/>
              <w:rPr>
                <w:lang w:eastAsia="en-AU"/>
              </w:rPr>
            </w:pPr>
            <w:r w:rsidRPr="004A016B">
              <w:t>(46.0)</w:t>
            </w:r>
          </w:p>
        </w:tc>
        <w:tc>
          <w:tcPr>
            <w:tcW w:w="907" w:type="dxa"/>
            <w:tcBorders>
              <w:left w:val="nil"/>
            </w:tcBorders>
            <w:shd w:val="clear" w:color="auto" w:fill="E7E6E6"/>
          </w:tcPr>
          <w:p w14:paraId="4B7B7BFF" w14:textId="77777777" w:rsidR="00FA7EBF" w:rsidRPr="007939DD" w:rsidRDefault="00FA7EBF" w:rsidP="007B207C">
            <w:pPr>
              <w:pStyle w:val="ARfintablebodyrightbold"/>
              <w:rPr>
                <w:lang w:eastAsia="en-AU"/>
              </w:rPr>
            </w:pPr>
            <w:r w:rsidRPr="004A016B">
              <w:t>344.3</w:t>
            </w:r>
          </w:p>
        </w:tc>
        <w:tc>
          <w:tcPr>
            <w:tcW w:w="907" w:type="dxa"/>
          </w:tcPr>
          <w:p w14:paraId="5B50CCD0" w14:textId="77777777" w:rsidR="00FA7EBF" w:rsidRPr="007939DD" w:rsidRDefault="00FA7EBF" w:rsidP="007B207C">
            <w:pPr>
              <w:pStyle w:val="ARfintablebodyrightbold"/>
              <w:rPr>
                <w:lang w:eastAsia="en-AU"/>
              </w:rPr>
            </w:pPr>
            <w:r w:rsidRPr="004A016B">
              <w:t>316.1</w:t>
            </w:r>
          </w:p>
        </w:tc>
        <w:tc>
          <w:tcPr>
            <w:tcW w:w="907" w:type="dxa"/>
          </w:tcPr>
          <w:p w14:paraId="45CE25F9" w14:textId="77777777" w:rsidR="00FA7EBF" w:rsidRPr="007939DD" w:rsidRDefault="00FA7EBF" w:rsidP="007B207C">
            <w:pPr>
              <w:pStyle w:val="ARfintablebodyrightbold"/>
              <w:rPr>
                <w:lang w:eastAsia="en-AU"/>
              </w:rPr>
            </w:pPr>
            <w:r w:rsidRPr="004A016B">
              <w:t>5.0</w:t>
            </w:r>
          </w:p>
        </w:tc>
        <w:tc>
          <w:tcPr>
            <w:tcW w:w="907" w:type="dxa"/>
          </w:tcPr>
          <w:p w14:paraId="10939634" w14:textId="77777777" w:rsidR="00FA7EBF" w:rsidRPr="007939DD" w:rsidRDefault="00FA7EBF" w:rsidP="007B207C">
            <w:pPr>
              <w:pStyle w:val="ARfintablebodyrightbold"/>
              <w:rPr>
                <w:lang w:eastAsia="en-AU"/>
              </w:rPr>
            </w:pPr>
            <w:r w:rsidRPr="004A016B">
              <w:t>3,175.7</w:t>
            </w:r>
          </w:p>
        </w:tc>
        <w:tc>
          <w:tcPr>
            <w:tcW w:w="907" w:type="dxa"/>
          </w:tcPr>
          <w:p w14:paraId="08F60D14" w14:textId="77777777" w:rsidR="00FA7EBF" w:rsidRPr="007939DD" w:rsidRDefault="00FA7EBF" w:rsidP="007B207C">
            <w:pPr>
              <w:pStyle w:val="ARfintablebodyrightbold"/>
              <w:rPr>
                <w:lang w:eastAsia="en-AU"/>
              </w:rPr>
            </w:pPr>
            <w:r w:rsidRPr="004A016B">
              <w:t>3,161.3</w:t>
            </w:r>
          </w:p>
        </w:tc>
        <w:tc>
          <w:tcPr>
            <w:tcW w:w="907" w:type="dxa"/>
          </w:tcPr>
          <w:p w14:paraId="626076FB" w14:textId="77777777" w:rsidR="00FA7EBF" w:rsidRPr="007939DD" w:rsidRDefault="00FA7EBF" w:rsidP="007B207C">
            <w:pPr>
              <w:pStyle w:val="ARfintablebodyrightbold"/>
              <w:rPr>
                <w:lang w:eastAsia="en-AU"/>
              </w:rPr>
            </w:pPr>
            <w:r w:rsidRPr="004A016B">
              <w:t>(36.5)</w:t>
            </w:r>
          </w:p>
        </w:tc>
        <w:tc>
          <w:tcPr>
            <w:tcW w:w="907" w:type="dxa"/>
          </w:tcPr>
          <w:p w14:paraId="29C1564C" w14:textId="77777777" w:rsidR="00FA7EBF" w:rsidRPr="007939DD" w:rsidRDefault="00FA7EBF" w:rsidP="007B207C">
            <w:pPr>
              <w:pStyle w:val="ARfintablebodyrightbold"/>
              <w:rPr>
                <w:rStyle w:val="Strong"/>
              </w:rPr>
            </w:pPr>
            <w:r w:rsidRPr="004A016B">
              <w:t>298.9</w:t>
            </w:r>
          </w:p>
        </w:tc>
      </w:tr>
    </w:tbl>
    <w:p w14:paraId="3A8CC4BA" w14:textId="77777777" w:rsidR="00FA7EBF" w:rsidRDefault="00FA7EBF" w:rsidP="00CA66FD">
      <w:pPr>
        <w:pStyle w:val="ARfinbody"/>
      </w:pP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574"/>
        <w:gridCol w:w="908"/>
        <w:gridCol w:w="907"/>
        <w:gridCol w:w="907"/>
        <w:gridCol w:w="907"/>
        <w:gridCol w:w="907"/>
        <w:gridCol w:w="907"/>
        <w:gridCol w:w="907"/>
        <w:gridCol w:w="907"/>
        <w:gridCol w:w="907"/>
        <w:gridCol w:w="907"/>
        <w:gridCol w:w="907"/>
        <w:gridCol w:w="907"/>
      </w:tblGrid>
      <w:tr w:rsidR="00FA7EBF" w:rsidRPr="007939DD" w14:paraId="7BE098DC" w14:textId="77777777" w:rsidTr="007B207C">
        <w:trPr>
          <w:cantSplit/>
          <w:tblHeader/>
        </w:trPr>
        <w:tc>
          <w:tcPr>
            <w:tcW w:w="3574" w:type="dxa"/>
            <w:vMerge w:val="restart"/>
            <w:vAlign w:val="bottom"/>
          </w:tcPr>
          <w:p w14:paraId="4563E850" w14:textId="77777777" w:rsidR="00FA7EBF" w:rsidRPr="007939DD" w:rsidRDefault="00FA7EBF" w:rsidP="00FA7EBF">
            <w:pPr>
              <w:pStyle w:val="ARfintablecolhead"/>
              <w:pageBreakBefore/>
            </w:pPr>
          </w:p>
        </w:tc>
        <w:tc>
          <w:tcPr>
            <w:tcW w:w="5443" w:type="dxa"/>
            <w:gridSpan w:val="6"/>
            <w:shd w:val="clear" w:color="auto" w:fill="E7E6E6"/>
            <w:vAlign w:val="bottom"/>
          </w:tcPr>
          <w:p w14:paraId="24D42F9D" w14:textId="77777777" w:rsidR="00FA7EBF" w:rsidRPr="007939DD" w:rsidRDefault="00FA7EBF" w:rsidP="007B207C">
            <w:pPr>
              <w:pStyle w:val="ARfintablecolheadcentre"/>
              <w:rPr>
                <w:sz w:val="15"/>
                <w:szCs w:val="15"/>
              </w:rPr>
            </w:pPr>
            <w:r w:rsidRPr="007939DD">
              <w:rPr>
                <w:sz w:val="15"/>
                <w:szCs w:val="15"/>
              </w:rPr>
              <w:t>201</w:t>
            </w:r>
            <w:r>
              <w:rPr>
                <w:sz w:val="15"/>
                <w:szCs w:val="15"/>
              </w:rPr>
              <w:t>9</w:t>
            </w:r>
          </w:p>
        </w:tc>
        <w:tc>
          <w:tcPr>
            <w:tcW w:w="5442" w:type="dxa"/>
            <w:gridSpan w:val="6"/>
            <w:vAlign w:val="bottom"/>
          </w:tcPr>
          <w:p w14:paraId="7B3358BF" w14:textId="77777777" w:rsidR="00FA7EBF" w:rsidRPr="007939DD" w:rsidRDefault="00FA7EBF" w:rsidP="007B207C">
            <w:pPr>
              <w:pStyle w:val="ARfintablecolheadcentre"/>
              <w:rPr>
                <w:sz w:val="15"/>
                <w:szCs w:val="15"/>
              </w:rPr>
            </w:pPr>
            <w:r w:rsidRPr="007939DD">
              <w:rPr>
                <w:sz w:val="15"/>
                <w:szCs w:val="15"/>
              </w:rPr>
              <w:t>201</w:t>
            </w:r>
            <w:r>
              <w:rPr>
                <w:sz w:val="15"/>
                <w:szCs w:val="15"/>
              </w:rPr>
              <w:t>8</w:t>
            </w:r>
          </w:p>
        </w:tc>
      </w:tr>
      <w:tr w:rsidR="00FA7EBF" w:rsidRPr="007939DD" w14:paraId="4FB1D5AE" w14:textId="77777777" w:rsidTr="007B207C">
        <w:trPr>
          <w:cantSplit/>
          <w:tblHeader/>
        </w:trPr>
        <w:tc>
          <w:tcPr>
            <w:tcW w:w="3574" w:type="dxa"/>
            <w:vMerge/>
            <w:vAlign w:val="bottom"/>
          </w:tcPr>
          <w:p w14:paraId="72552B53" w14:textId="77777777" w:rsidR="00FA7EBF" w:rsidRPr="007939DD" w:rsidRDefault="00FA7EBF" w:rsidP="007B207C">
            <w:pPr>
              <w:autoSpaceDE w:val="0"/>
              <w:autoSpaceDN w:val="0"/>
              <w:adjustRightInd w:val="0"/>
              <w:spacing w:beforeLines="40" w:before="96" w:afterLines="20" w:after="48"/>
              <w:jc w:val="right"/>
              <w:rPr>
                <w:rFonts w:cs="Arial"/>
                <w:color w:val="000000"/>
                <w:sz w:val="16"/>
                <w:szCs w:val="16"/>
              </w:rPr>
            </w:pPr>
          </w:p>
        </w:tc>
        <w:tc>
          <w:tcPr>
            <w:tcW w:w="908" w:type="dxa"/>
            <w:tcBorders>
              <w:right w:val="nil"/>
            </w:tcBorders>
            <w:shd w:val="clear" w:color="auto" w:fill="E7E6E6"/>
            <w:vAlign w:val="bottom"/>
          </w:tcPr>
          <w:p w14:paraId="486C15A6" w14:textId="77777777" w:rsidR="00FA7EBF" w:rsidRPr="007939DD" w:rsidRDefault="00FA7EBF" w:rsidP="007B207C">
            <w:pPr>
              <w:pStyle w:val="ARfintablecolheadright"/>
              <w:rPr>
                <w:sz w:val="15"/>
                <w:szCs w:val="15"/>
              </w:rPr>
            </w:pPr>
            <w:r w:rsidRPr="007939DD">
              <w:rPr>
                <w:sz w:val="15"/>
                <w:szCs w:val="15"/>
              </w:rPr>
              <w:t>Opening balance as at 1 July 201</w:t>
            </w:r>
            <w:r>
              <w:rPr>
                <w:sz w:val="15"/>
                <w:szCs w:val="15"/>
              </w:rPr>
              <w:t>8</w:t>
            </w:r>
          </w:p>
          <w:p w14:paraId="75875CF0" w14:textId="77777777" w:rsidR="00FA7EBF" w:rsidRPr="007939DD" w:rsidRDefault="00FA7EBF" w:rsidP="007B207C">
            <w:pPr>
              <w:pStyle w:val="ARfintablecolheadright"/>
              <w:rPr>
                <w:sz w:val="15"/>
                <w:szCs w:val="15"/>
              </w:rPr>
            </w:pPr>
            <w:r w:rsidRPr="007939DD">
              <w:rPr>
                <w:sz w:val="15"/>
                <w:szCs w:val="15"/>
              </w:rPr>
              <w:t>$M</w:t>
            </w:r>
          </w:p>
        </w:tc>
        <w:tc>
          <w:tcPr>
            <w:tcW w:w="907" w:type="dxa"/>
            <w:tcBorders>
              <w:left w:val="nil"/>
              <w:right w:val="nil"/>
            </w:tcBorders>
            <w:shd w:val="clear" w:color="auto" w:fill="E7E6E6"/>
            <w:vAlign w:val="bottom"/>
          </w:tcPr>
          <w:p w14:paraId="65056902" w14:textId="77777777" w:rsidR="00FA7EBF" w:rsidRPr="007939DD" w:rsidRDefault="00FA7EBF" w:rsidP="007B207C">
            <w:pPr>
              <w:pStyle w:val="ARfintablecolheadright"/>
              <w:rPr>
                <w:sz w:val="15"/>
                <w:szCs w:val="15"/>
              </w:rPr>
            </w:pPr>
            <w:r w:rsidRPr="007939DD">
              <w:rPr>
                <w:sz w:val="15"/>
                <w:szCs w:val="15"/>
              </w:rPr>
              <w:t>Machin-ery of govern-ment transfer in</w:t>
            </w:r>
            <w:r>
              <w:rPr>
                <w:sz w:val="15"/>
                <w:szCs w:val="15"/>
              </w:rPr>
              <w:t>/(out)</w:t>
            </w:r>
          </w:p>
          <w:p w14:paraId="1B9A5B74" w14:textId="77777777" w:rsidR="00FA7EBF" w:rsidRPr="007939DD" w:rsidRDefault="00FA7EBF" w:rsidP="007B207C">
            <w:pPr>
              <w:pStyle w:val="ARfintablecolheadright"/>
              <w:rPr>
                <w:sz w:val="15"/>
                <w:szCs w:val="15"/>
              </w:rPr>
            </w:pPr>
            <w:r w:rsidRPr="007939DD">
              <w:rPr>
                <w:sz w:val="15"/>
                <w:szCs w:val="15"/>
              </w:rPr>
              <w:t>$M</w:t>
            </w:r>
          </w:p>
        </w:tc>
        <w:tc>
          <w:tcPr>
            <w:tcW w:w="907" w:type="dxa"/>
            <w:tcBorders>
              <w:left w:val="nil"/>
              <w:right w:val="nil"/>
            </w:tcBorders>
            <w:shd w:val="clear" w:color="auto" w:fill="E7E6E6"/>
            <w:vAlign w:val="bottom"/>
          </w:tcPr>
          <w:p w14:paraId="0BB32FEF" w14:textId="77777777" w:rsidR="00FA7EBF" w:rsidRPr="007939DD" w:rsidRDefault="00FA7EBF" w:rsidP="007B207C">
            <w:pPr>
              <w:pStyle w:val="ARfintablecolheadright"/>
              <w:rPr>
                <w:sz w:val="15"/>
                <w:szCs w:val="15"/>
              </w:rPr>
            </w:pPr>
            <w:r w:rsidRPr="007939DD">
              <w:rPr>
                <w:sz w:val="15"/>
                <w:szCs w:val="15"/>
              </w:rPr>
              <w:t>Total receipts</w:t>
            </w:r>
          </w:p>
          <w:p w14:paraId="74429F8A" w14:textId="77777777" w:rsidR="00FA7EBF" w:rsidRPr="007939DD" w:rsidRDefault="00FA7EBF" w:rsidP="007B207C">
            <w:pPr>
              <w:pStyle w:val="ARfintablecolheadright"/>
              <w:rPr>
                <w:sz w:val="15"/>
                <w:szCs w:val="15"/>
              </w:rPr>
            </w:pPr>
            <w:r w:rsidRPr="007939DD">
              <w:rPr>
                <w:sz w:val="15"/>
                <w:szCs w:val="15"/>
              </w:rPr>
              <w:t>$M</w:t>
            </w:r>
          </w:p>
        </w:tc>
        <w:tc>
          <w:tcPr>
            <w:tcW w:w="907" w:type="dxa"/>
            <w:tcBorders>
              <w:left w:val="nil"/>
              <w:right w:val="nil"/>
            </w:tcBorders>
            <w:shd w:val="clear" w:color="auto" w:fill="E7E6E6"/>
            <w:vAlign w:val="bottom"/>
          </w:tcPr>
          <w:p w14:paraId="3AEF686B" w14:textId="77777777" w:rsidR="00FA7EBF" w:rsidRPr="007939DD" w:rsidRDefault="00FA7EBF" w:rsidP="007B207C">
            <w:pPr>
              <w:pStyle w:val="ARfintablecolheadright"/>
              <w:rPr>
                <w:sz w:val="15"/>
                <w:szCs w:val="15"/>
              </w:rPr>
            </w:pPr>
            <w:r w:rsidRPr="007939DD">
              <w:rPr>
                <w:sz w:val="15"/>
                <w:szCs w:val="15"/>
              </w:rPr>
              <w:t>Total pay-ments</w:t>
            </w:r>
          </w:p>
          <w:p w14:paraId="0D85B14F" w14:textId="77777777" w:rsidR="00FA7EBF" w:rsidRPr="007939DD" w:rsidRDefault="00FA7EBF" w:rsidP="007B207C">
            <w:pPr>
              <w:pStyle w:val="ARfintablecolheadright"/>
              <w:rPr>
                <w:sz w:val="15"/>
                <w:szCs w:val="15"/>
              </w:rPr>
            </w:pPr>
            <w:r w:rsidRPr="007939DD">
              <w:rPr>
                <w:sz w:val="15"/>
                <w:szCs w:val="15"/>
              </w:rPr>
              <w:t>$M</w:t>
            </w:r>
          </w:p>
        </w:tc>
        <w:tc>
          <w:tcPr>
            <w:tcW w:w="907" w:type="dxa"/>
            <w:tcBorders>
              <w:left w:val="nil"/>
              <w:right w:val="nil"/>
            </w:tcBorders>
            <w:shd w:val="clear" w:color="auto" w:fill="E7E6E6"/>
            <w:vAlign w:val="bottom"/>
          </w:tcPr>
          <w:p w14:paraId="5CEFCE68" w14:textId="77777777" w:rsidR="00FA7EBF" w:rsidRPr="007939DD" w:rsidRDefault="00FA7EBF" w:rsidP="007B207C">
            <w:pPr>
              <w:pStyle w:val="ARfintablecolheadright"/>
              <w:rPr>
                <w:sz w:val="15"/>
                <w:szCs w:val="15"/>
              </w:rPr>
            </w:pPr>
            <w:r w:rsidRPr="007939DD">
              <w:rPr>
                <w:sz w:val="15"/>
                <w:szCs w:val="15"/>
              </w:rPr>
              <w:t>Non-cash move-ment</w:t>
            </w:r>
          </w:p>
          <w:p w14:paraId="76CE5A26" w14:textId="77777777" w:rsidR="00FA7EBF" w:rsidRPr="007939DD" w:rsidRDefault="00FA7EBF" w:rsidP="007B207C">
            <w:pPr>
              <w:pStyle w:val="ARfintablecolheadright"/>
              <w:rPr>
                <w:sz w:val="15"/>
                <w:szCs w:val="15"/>
              </w:rPr>
            </w:pPr>
            <w:r w:rsidRPr="007939DD">
              <w:rPr>
                <w:sz w:val="15"/>
                <w:szCs w:val="15"/>
              </w:rPr>
              <w:t>$M</w:t>
            </w:r>
          </w:p>
        </w:tc>
        <w:tc>
          <w:tcPr>
            <w:tcW w:w="907" w:type="dxa"/>
            <w:tcBorders>
              <w:left w:val="nil"/>
            </w:tcBorders>
            <w:shd w:val="clear" w:color="auto" w:fill="E7E6E6"/>
            <w:vAlign w:val="bottom"/>
          </w:tcPr>
          <w:p w14:paraId="656552FF" w14:textId="77777777" w:rsidR="00FA7EBF" w:rsidRPr="007939DD" w:rsidRDefault="00FA7EBF" w:rsidP="007B207C">
            <w:pPr>
              <w:pStyle w:val="ARfintablecolheadright"/>
              <w:rPr>
                <w:sz w:val="15"/>
                <w:szCs w:val="15"/>
              </w:rPr>
            </w:pPr>
            <w:r w:rsidRPr="007939DD">
              <w:rPr>
                <w:sz w:val="15"/>
                <w:szCs w:val="15"/>
              </w:rPr>
              <w:t>Closing balance as at 30 June 201</w:t>
            </w:r>
            <w:r>
              <w:rPr>
                <w:sz w:val="15"/>
                <w:szCs w:val="15"/>
              </w:rPr>
              <w:t>9</w:t>
            </w:r>
          </w:p>
          <w:p w14:paraId="7B2DEFC1" w14:textId="77777777" w:rsidR="00FA7EBF" w:rsidRPr="007939DD" w:rsidRDefault="00FA7EBF" w:rsidP="007B207C">
            <w:pPr>
              <w:pStyle w:val="ARfintablecolheadright"/>
              <w:rPr>
                <w:sz w:val="15"/>
                <w:szCs w:val="15"/>
              </w:rPr>
            </w:pPr>
            <w:r w:rsidRPr="007939DD">
              <w:rPr>
                <w:sz w:val="15"/>
                <w:szCs w:val="15"/>
              </w:rPr>
              <w:t>$M</w:t>
            </w:r>
          </w:p>
        </w:tc>
        <w:tc>
          <w:tcPr>
            <w:tcW w:w="907" w:type="dxa"/>
            <w:vAlign w:val="bottom"/>
          </w:tcPr>
          <w:p w14:paraId="2C53A744" w14:textId="77777777" w:rsidR="00FA7EBF" w:rsidRPr="007939DD" w:rsidRDefault="00FA7EBF" w:rsidP="007B207C">
            <w:pPr>
              <w:pStyle w:val="ARfintablecolheadright"/>
              <w:rPr>
                <w:sz w:val="15"/>
                <w:szCs w:val="15"/>
              </w:rPr>
            </w:pPr>
            <w:r w:rsidRPr="007939DD">
              <w:rPr>
                <w:sz w:val="15"/>
                <w:szCs w:val="15"/>
              </w:rPr>
              <w:t>Opening balance as at 1 July 201</w:t>
            </w:r>
            <w:r>
              <w:rPr>
                <w:sz w:val="15"/>
                <w:szCs w:val="15"/>
              </w:rPr>
              <w:t>7</w:t>
            </w:r>
          </w:p>
          <w:p w14:paraId="2044A1C3" w14:textId="77777777" w:rsidR="00FA7EBF" w:rsidRPr="007939DD" w:rsidRDefault="00FA7EBF" w:rsidP="007B207C">
            <w:pPr>
              <w:pStyle w:val="ARfintablecolheadright"/>
              <w:rPr>
                <w:sz w:val="15"/>
                <w:szCs w:val="15"/>
              </w:rPr>
            </w:pPr>
            <w:r w:rsidRPr="007939DD">
              <w:rPr>
                <w:sz w:val="15"/>
                <w:szCs w:val="15"/>
              </w:rPr>
              <w:t>$M</w:t>
            </w:r>
          </w:p>
        </w:tc>
        <w:tc>
          <w:tcPr>
            <w:tcW w:w="907" w:type="dxa"/>
            <w:vAlign w:val="bottom"/>
          </w:tcPr>
          <w:p w14:paraId="03FE8950" w14:textId="77777777" w:rsidR="00FA7EBF" w:rsidRPr="007939DD" w:rsidRDefault="00FA7EBF" w:rsidP="007B207C">
            <w:pPr>
              <w:pStyle w:val="ARfintablecolheadright"/>
              <w:rPr>
                <w:sz w:val="15"/>
                <w:szCs w:val="15"/>
              </w:rPr>
            </w:pPr>
            <w:r w:rsidRPr="007939DD">
              <w:rPr>
                <w:sz w:val="15"/>
                <w:szCs w:val="15"/>
              </w:rPr>
              <w:t>Machin-ery of govern-ment transfer in</w:t>
            </w:r>
            <w:r>
              <w:rPr>
                <w:sz w:val="15"/>
                <w:szCs w:val="15"/>
              </w:rPr>
              <w:t>/(out)</w:t>
            </w:r>
          </w:p>
          <w:p w14:paraId="56E682E0" w14:textId="77777777" w:rsidR="00FA7EBF" w:rsidRPr="007939DD" w:rsidRDefault="00FA7EBF" w:rsidP="007B207C">
            <w:pPr>
              <w:pStyle w:val="ARfintablecolheadright"/>
              <w:rPr>
                <w:sz w:val="15"/>
                <w:szCs w:val="15"/>
              </w:rPr>
            </w:pPr>
            <w:r w:rsidRPr="007939DD">
              <w:rPr>
                <w:sz w:val="15"/>
                <w:szCs w:val="15"/>
              </w:rPr>
              <w:t>$M</w:t>
            </w:r>
          </w:p>
        </w:tc>
        <w:tc>
          <w:tcPr>
            <w:tcW w:w="907" w:type="dxa"/>
            <w:vAlign w:val="bottom"/>
          </w:tcPr>
          <w:p w14:paraId="6437A9C8" w14:textId="77777777" w:rsidR="00FA7EBF" w:rsidRPr="007939DD" w:rsidRDefault="00FA7EBF" w:rsidP="007B207C">
            <w:pPr>
              <w:pStyle w:val="ARfintablecolheadright"/>
              <w:rPr>
                <w:sz w:val="15"/>
                <w:szCs w:val="15"/>
              </w:rPr>
            </w:pPr>
            <w:r w:rsidRPr="007939DD">
              <w:rPr>
                <w:sz w:val="15"/>
                <w:szCs w:val="15"/>
              </w:rPr>
              <w:t>Total receipts</w:t>
            </w:r>
          </w:p>
          <w:p w14:paraId="467958C3" w14:textId="77777777" w:rsidR="00FA7EBF" w:rsidRPr="007939DD" w:rsidRDefault="00FA7EBF" w:rsidP="007B207C">
            <w:pPr>
              <w:pStyle w:val="ARfintablecolheadright"/>
              <w:rPr>
                <w:sz w:val="15"/>
                <w:szCs w:val="15"/>
              </w:rPr>
            </w:pPr>
            <w:r w:rsidRPr="007939DD">
              <w:rPr>
                <w:sz w:val="15"/>
                <w:szCs w:val="15"/>
              </w:rPr>
              <w:t>$M</w:t>
            </w:r>
          </w:p>
        </w:tc>
        <w:tc>
          <w:tcPr>
            <w:tcW w:w="907" w:type="dxa"/>
            <w:vAlign w:val="bottom"/>
          </w:tcPr>
          <w:p w14:paraId="384F1B63" w14:textId="77777777" w:rsidR="00FA7EBF" w:rsidRPr="007939DD" w:rsidRDefault="00FA7EBF" w:rsidP="007B207C">
            <w:pPr>
              <w:pStyle w:val="ARfintablecolheadright"/>
              <w:rPr>
                <w:sz w:val="15"/>
                <w:szCs w:val="15"/>
              </w:rPr>
            </w:pPr>
            <w:r w:rsidRPr="007939DD">
              <w:rPr>
                <w:sz w:val="15"/>
                <w:szCs w:val="15"/>
              </w:rPr>
              <w:t>Total pay-ments</w:t>
            </w:r>
          </w:p>
          <w:p w14:paraId="4DDA8A0B" w14:textId="77777777" w:rsidR="00FA7EBF" w:rsidRPr="007939DD" w:rsidRDefault="00FA7EBF" w:rsidP="007B207C">
            <w:pPr>
              <w:pStyle w:val="ARfintablecolheadright"/>
              <w:rPr>
                <w:sz w:val="15"/>
                <w:szCs w:val="15"/>
              </w:rPr>
            </w:pPr>
            <w:r w:rsidRPr="007939DD">
              <w:rPr>
                <w:sz w:val="15"/>
                <w:szCs w:val="15"/>
              </w:rPr>
              <w:t>$M</w:t>
            </w:r>
          </w:p>
        </w:tc>
        <w:tc>
          <w:tcPr>
            <w:tcW w:w="907" w:type="dxa"/>
            <w:vAlign w:val="bottom"/>
          </w:tcPr>
          <w:p w14:paraId="53EEA31C" w14:textId="77777777" w:rsidR="00FA7EBF" w:rsidRPr="007939DD" w:rsidRDefault="00FA7EBF" w:rsidP="007B207C">
            <w:pPr>
              <w:pStyle w:val="ARfintablecolheadright"/>
              <w:rPr>
                <w:sz w:val="15"/>
                <w:szCs w:val="15"/>
              </w:rPr>
            </w:pPr>
            <w:r w:rsidRPr="007939DD">
              <w:rPr>
                <w:sz w:val="15"/>
                <w:szCs w:val="15"/>
              </w:rPr>
              <w:t>Non-cash move-ment</w:t>
            </w:r>
          </w:p>
          <w:p w14:paraId="04F43E38" w14:textId="77777777" w:rsidR="00FA7EBF" w:rsidRPr="007939DD" w:rsidRDefault="00FA7EBF" w:rsidP="007B207C">
            <w:pPr>
              <w:pStyle w:val="ARfintablecolheadright"/>
              <w:rPr>
                <w:sz w:val="15"/>
                <w:szCs w:val="15"/>
              </w:rPr>
            </w:pPr>
            <w:r w:rsidRPr="007939DD">
              <w:rPr>
                <w:sz w:val="15"/>
                <w:szCs w:val="15"/>
              </w:rPr>
              <w:t>$M</w:t>
            </w:r>
          </w:p>
        </w:tc>
        <w:tc>
          <w:tcPr>
            <w:tcW w:w="907" w:type="dxa"/>
            <w:vAlign w:val="bottom"/>
          </w:tcPr>
          <w:p w14:paraId="2903A40A" w14:textId="77777777" w:rsidR="00FA7EBF" w:rsidRPr="007939DD" w:rsidRDefault="00FA7EBF" w:rsidP="007B207C">
            <w:pPr>
              <w:pStyle w:val="ARfintablecolheadright"/>
              <w:rPr>
                <w:sz w:val="15"/>
                <w:szCs w:val="15"/>
              </w:rPr>
            </w:pPr>
            <w:r w:rsidRPr="007939DD">
              <w:rPr>
                <w:sz w:val="15"/>
                <w:szCs w:val="15"/>
              </w:rPr>
              <w:t>Closing balance as at 30 June 201</w:t>
            </w:r>
            <w:r>
              <w:rPr>
                <w:sz w:val="15"/>
                <w:szCs w:val="15"/>
              </w:rPr>
              <w:t>8</w:t>
            </w:r>
          </w:p>
          <w:p w14:paraId="0BB8E83B" w14:textId="77777777" w:rsidR="00FA7EBF" w:rsidRPr="007939DD" w:rsidRDefault="00FA7EBF" w:rsidP="007B207C">
            <w:pPr>
              <w:pStyle w:val="ARfintablecolheadright"/>
              <w:rPr>
                <w:sz w:val="15"/>
                <w:szCs w:val="15"/>
              </w:rPr>
            </w:pPr>
            <w:r w:rsidRPr="007939DD">
              <w:rPr>
                <w:sz w:val="15"/>
                <w:szCs w:val="15"/>
              </w:rPr>
              <w:t>$M</w:t>
            </w:r>
          </w:p>
        </w:tc>
      </w:tr>
      <w:tr w:rsidR="00FA7EBF" w:rsidRPr="007939DD" w14:paraId="0A2D78C6" w14:textId="77777777" w:rsidTr="007B207C">
        <w:trPr>
          <w:cantSplit/>
        </w:trPr>
        <w:tc>
          <w:tcPr>
            <w:tcW w:w="14459" w:type="dxa"/>
            <w:gridSpan w:val="13"/>
            <w:tcBorders>
              <w:bottom w:val="single" w:sz="4" w:space="0" w:color="A6A6A6" w:themeColor="background1" w:themeShade="A6"/>
            </w:tcBorders>
          </w:tcPr>
          <w:p w14:paraId="745F6187" w14:textId="77777777" w:rsidR="00FA7EBF" w:rsidRPr="007939DD" w:rsidRDefault="00FA7EBF" w:rsidP="007B207C">
            <w:pPr>
              <w:pStyle w:val="ARfintablebodybold"/>
              <w:rPr>
                <w:rStyle w:val="Strong"/>
                <w:bCs/>
              </w:rPr>
            </w:pPr>
            <w:r w:rsidRPr="00194D78">
              <w:rPr>
                <w:lang w:eastAsia="en-AU"/>
              </w:rPr>
              <w:t>Administered trusts</w:t>
            </w:r>
          </w:p>
        </w:tc>
      </w:tr>
      <w:tr w:rsidR="00FA7EBF" w:rsidRPr="007939DD" w14:paraId="696EA31F" w14:textId="77777777" w:rsidTr="007B207C">
        <w:trPr>
          <w:cantSplit/>
        </w:trPr>
        <w:tc>
          <w:tcPr>
            <w:tcW w:w="3574" w:type="dxa"/>
            <w:tcBorders>
              <w:top w:val="single" w:sz="4" w:space="0" w:color="A6A6A6" w:themeColor="background1" w:themeShade="A6"/>
              <w:bottom w:val="single" w:sz="4" w:space="0" w:color="A6A6A6" w:themeColor="background1" w:themeShade="A6"/>
            </w:tcBorders>
          </w:tcPr>
          <w:p w14:paraId="0D7EF9CE" w14:textId="77777777" w:rsidR="00FA7EBF" w:rsidRDefault="00FA7EBF" w:rsidP="007B207C">
            <w:pPr>
              <w:pStyle w:val="ARfintablebodybold"/>
              <w:rPr>
                <w:lang w:eastAsia="en-AU"/>
              </w:rPr>
            </w:pPr>
            <w:r w:rsidRPr="00194D78">
              <w:rPr>
                <w:lang w:eastAsia="en-AU"/>
              </w:rPr>
              <w:t>Anzac Day Proceeds Fund</w:t>
            </w:r>
          </w:p>
          <w:p w14:paraId="5B421E50" w14:textId="77777777" w:rsidR="00FA7EBF" w:rsidRPr="007939DD" w:rsidRDefault="00FA7EBF" w:rsidP="007B207C">
            <w:pPr>
              <w:pStyle w:val="ARfintablebody"/>
              <w:rPr>
                <w:rStyle w:val="Strong"/>
                <w:bCs w:val="0"/>
              </w:rPr>
            </w:pPr>
            <w:r w:rsidRPr="00194D78">
              <w:rPr>
                <w:lang w:eastAsia="en-AU"/>
              </w:rPr>
              <w:t xml:space="preserve">The trust was established under the </w:t>
            </w:r>
            <w:r w:rsidRPr="00F524E9">
              <w:rPr>
                <w:rStyle w:val="Emphasis"/>
                <w:iCs w:val="0"/>
              </w:rPr>
              <w:t>ANZAC Day Act No. 6198</w:t>
            </w:r>
            <w:r w:rsidRPr="00B6663A">
              <w:rPr>
                <w:rStyle w:val="Emphasis"/>
                <w:iCs w:val="0"/>
              </w:rPr>
              <w:t xml:space="preserve"> </w:t>
            </w:r>
            <w:r w:rsidRPr="001366E5">
              <w:rPr>
                <w:rStyle w:val="Emphasis"/>
                <w:iCs w:val="0"/>
              </w:rPr>
              <w:t>of 1958</w:t>
            </w:r>
            <w:r w:rsidRPr="00194D78">
              <w:rPr>
                <w:lang w:eastAsia="en-AU"/>
              </w:rPr>
              <w:t xml:space="preserve"> </w:t>
            </w:r>
            <w:r>
              <w:rPr>
                <w:lang w:eastAsia="en-AU"/>
              </w:rPr>
              <w:t>s.</w:t>
            </w:r>
            <w:r w:rsidRPr="00194D78">
              <w:rPr>
                <w:lang w:eastAsia="en-AU"/>
              </w:rPr>
              <w:t xml:space="preserve"> 4A to receive funds as required to be paid by the </w:t>
            </w:r>
            <w:r w:rsidRPr="00F524E9">
              <w:rPr>
                <w:rStyle w:val="Emphasis"/>
                <w:iCs w:val="0"/>
              </w:rPr>
              <w:t>ANZAC Day Act 1958</w:t>
            </w:r>
            <w:r w:rsidRPr="00194D78">
              <w:rPr>
                <w:lang w:eastAsia="en-AU"/>
              </w:rPr>
              <w:t xml:space="preserve"> and the </w:t>
            </w:r>
            <w:r w:rsidRPr="00F524E9">
              <w:rPr>
                <w:rStyle w:val="Emphasis"/>
                <w:iCs w:val="0"/>
              </w:rPr>
              <w:t>Racing Act 1958</w:t>
            </w:r>
            <w:r w:rsidRPr="00194D78">
              <w:rPr>
                <w:lang w:eastAsia="en-AU"/>
              </w:rPr>
              <w:t xml:space="preserve"> and to be credited to the Victorian Veterans Fund.</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1291D209" w14:textId="77777777" w:rsidR="00FA7EBF" w:rsidRPr="007939DD" w:rsidRDefault="00FA7EBF" w:rsidP="007B207C">
            <w:pPr>
              <w:pStyle w:val="ARfintablebodyright"/>
              <w:rPr>
                <w:lang w:eastAsia="en-AU"/>
              </w:rPr>
            </w:pPr>
            <w:r w:rsidRPr="005F0950">
              <w:t>0.4</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7F33571E" w14:textId="77777777" w:rsidR="00FA7EBF" w:rsidRPr="007939DD" w:rsidRDefault="00FA7EBF" w:rsidP="007B207C">
            <w:pPr>
              <w:pStyle w:val="ARfintablebodyright"/>
              <w:rPr>
                <w:lang w:eastAsia="en-AU"/>
              </w:rPr>
            </w:pPr>
            <w:r w:rsidRPr="005F0950">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6FA20E69" w14:textId="77777777" w:rsidR="00FA7EBF" w:rsidRPr="007939DD" w:rsidRDefault="00FA7EBF" w:rsidP="007B207C">
            <w:pPr>
              <w:pStyle w:val="ARfintablebodyright"/>
              <w:rPr>
                <w:lang w:eastAsia="en-AU"/>
              </w:rPr>
            </w:pPr>
            <w:r>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370FBD5E" w14:textId="77777777" w:rsidR="00FA7EBF" w:rsidRPr="007939DD" w:rsidRDefault="00FA7EBF" w:rsidP="007B207C">
            <w:pPr>
              <w:pStyle w:val="ARfintablebodyright"/>
              <w:rPr>
                <w:lang w:eastAsia="en-AU"/>
              </w:rPr>
            </w:pPr>
            <w:r w:rsidRPr="005F0950">
              <w:t>0.4</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71E0964A" w14:textId="77777777" w:rsidR="00FA7EBF" w:rsidRPr="007939DD" w:rsidRDefault="00FA7EBF" w:rsidP="007B207C">
            <w:pPr>
              <w:pStyle w:val="ARfintablebodyright"/>
              <w:rPr>
                <w:lang w:eastAsia="en-AU"/>
              </w:rPr>
            </w:pPr>
            <w:r w:rsidRPr="005F0950">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4FF2783D" w14:textId="77777777" w:rsidR="00FA7EBF" w:rsidRPr="007939DD" w:rsidRDefault="00FA7EBF" w:rsidP="007B207C">
            <w:pPr>
              <w:pStyle w:val="ARfintablebodyright"/>
              <w:rPr>
                <w:lang w:eastAsia="en-AU"/>
              </w:rPr>
            </w:pPr>
            <w:r>
              <w:t>–</w:t>
            </w:r>
          </w:p>
        </w:tc>
        <w:tc>
          <w:tcPr>
            <w:tcW w:w="907" w:type="dxa"/>
            <w:tcBorders>
              <w:top w:val="single" w:sz="4" w:space="0" w:color="A6A6A6" w:themeColor="background1" w:themeShade="A6"/>
              <w:bottom w:val="single" w:sz="4" w:space="0" w:color="A6A6A6" w:themeColor="background1" w:themeShade="A6"/>
            </w:tcBorders>
          </w:tcPr>
          <w:p w14:paraId="23FB909B" w14:textId="77777777" w:rsidR="00FA7EBF" w:rsidRPr="007939DD" w:rsidRDefault="00FA7EBF" w:rsidP="007B207C">
            <w:pPr>
              <w:pStyle w:val="ARfintablebodyright"/>
              <w:rPr>
                <w:lang w:eastAsia="en-AU"/>
              </w:rPr>
            </w:pPr>
            <w:r w:rsidRPr="005F0950">
              <w:t>0.4</w:t>
            </w:r>
          </w:p>
        </w:tc>
        <w:tc>
          <w:tcPr>
            <w:tcW w:w="907" w:type="dxa"/>
            <w:tcBorders>
              <w:top w:val="single" w:sz="4" w:space="0" w:color="A6A6A6" w:themeColor="background1" w:themeShade="A6"/>
              <w:bottom w:val="single" w:sz="4" w:space="0" w:color="A6A6A6" w:themeColor="background1" w:themeShade="A6"/>
            </w:tcBorders>
          </w:tcPr>
          <w:p w14:paraId="04E758FD" w14:textId="77777777" w:rsidR="00FA7EBF" w:rsidRPr="007939DD" w:rsidRDefault="00FA7EBF" w:rsidP="007B207C">
            <w:pPr>
              <w:pStyle w:val="ARfintablebodyright"/>
              <w:rPr>
                <w:lang w:eastAsia="en-AU"/>
              </w:rPr>
            </w:pPr>
            <w:r w:rsidRPr="005F0950">
              <w:t>–</w:t>
            </w:r>
          </w:p>
        </w:tc>
        <w:tc>
          <w:tcPr>
            <w:tcW w:w="907" w:type="dxa"/>
            <w:tcBorders>
              <w:top w:val="single" w:sz="4" w:space="0" w:color="A6A6A6" w:themeColor="background1" w:themeShade="A6"/>
              <w:bottom w:val="single" w:sz="4" w:space="0" w:color="A6A6A6" w:themeColor="background1" w:themeShade="A6"/>
            </w:tcBorders>
          </w:tcPr>
          <w:p w14:paraId="3A4D8ABF" w14:textId="77777777" w:rsidR="00FA7EBF" w:rsidRPr="007939DD" w:rsidRDefault="00FA7EBF" w:rsidP="007B207C">
            <w:pPr>
              <w:pStyle w:val="ARfintablebodyright"/>
              <w:rPr>
                <w:lang w:eastAsia="en-AU"/>
              </w:rPr>
            </w:pPr>
            <w:r w:rsidRPr="005F0950">
              <w:t>0.4</w:t>
            </w:r>
          </w:p>
        </w:tc>
        <w:tc>
          <w:tcPr>
            <w:tcW w:w="907" w:type="dxa"/>
            <w:tcBorders>
              <w:top w:val="single" w:sz="4" w:space="0" w:color="A6A6A6" w:themeColor="background1" w:themeShade="A6"/>
              <w:bottom w:val="single" w:sz="4" w:space="0" w:color="A6A6A6" w:themeColor="background1" w:themeShade="A6"/>
            </w:tcBorders>
          </w:tcPr>
          <w:p w14:paraId="4BD09B00" w14:textId="77777777" w:rsidR="00FA7EBF" w:rsidRPr="007939DD" w:rsidRDefault="00FA7EBF" w:rsidP="007B207C">
            <w:pPr>
              <w:pStyle w:val="ARfintablebodyright"/>
              <w:rPr>
                <w:lang w:eastAsia="en-AU"/>
              </w:rPr>
            </w:pPr>
            <w:r w:rsidRPr="005F0950">
              <w:t>0.4</w:t>
            </w:r>
          </w:p>
        </w:tc>
        <w:tc>
          <w:tcPr>
            <w:tcW w:w="907" w:type="dxa"/>
            <w:tcBorders>
              <w:top w:val="single" w:sz="4" w:space="0" w:color="A6A6A6" w:themeColor="background1" w:themeShade="A6"/>
              <w:bottom w:val="single" w:sz="4" w:space="0" w:color="A6A6A6" w:themeColor="background1" w:themeShade="A6"/>
            </w:tcBorders>
          </w:tcPr>
          <w:p w14:paraId="1CD73222" w14:textId="77777777" w:rsidR="00FA7EBF" w:rsidRPr="007939DD" w:rsidRDefault="00FA7EBF" w:rsidP="007B207C">
            <w:pPr>
              <w:pStyle w:val="ARfintablebodyright"/>
              <w:rPr>
                <w:lang w:eastAsia="en-AU"/>
              </w:rPr>
            </w:pPr>
            <w:r w:rsidRPr="005F0950">
              <w:t>–</w:t>
            </w:r>
          </w:p>
        </w:tc>
        <w:tc>
          <w:tcPr>
            <w:tcW w:w="907" w:type="dxa"/>
            <w:tcBorders>
              <w:top w:val="single" w:sz="4" w:space="0" w:color="A6A6A6" w:themeColor="background1" w:themeShade="A6"/>
              <w:bottom w:val="single" w:sz="4" w:space="0" w:color="A6A6A6" w:themeColor="background1" w:themeShade="A6"/>
            </w:tcBorders>
          </w:tcPr>
          <w:p w14:paraId="06AB01BF" w14:textId="77777777" w:rsidR="00FA7EBF" w:rsidRPr="007939DD" w:rsidRDefault="00FA7EBF" w:rsidP="007B207C">
            <w:pPr>
              <w:pStyle w:val="ARfintablebodyright"/>
              <w:rPr>
                <w:lang w:eastAsia="en-AU"/>
              </w:rPr>
            </w:pPr>
            <w:r w:rsidRPr="005F0950">
              <w:t>0.4</w:t>
            </w:r>
          </w:p>
        </w:tc>
      </w:tr>
      <w:tr w:rsidR="00FA7EBF" w:rsidRPr="007939DD" w14:paraId="79471653" w14:textId="77777777" w:rsidTr="007B207C">
        <w:trPr>
          <w:cantSplit/>
        </w:trPr>
        <w:tc>
          <w:tcPr>
            <w:tcW w:w="3574" w:type="dxa"/>
            <w:tcBorders>
              <w:top w:val="single" w:sz="4" w:space="0" w:color="A6A6A6" w:themeColor="background1" w:themeShade="A6"/>
              <w:bottom w:val="single" w:sz="4" w:space="0" w:color="A6A6A6" w:themeColor="background1" w:themeShade="A6"/>
            </w:tcBorders>
          </w:tcPr>
          <w:p w14:paraId="5474D8F1" w14:textId="77777777" w:rsidR="00FA7EBF" w:rsidRDefault="00FA7EBF" w:rsidP="007B207C">
            <w:pPr>
              <w:pStyle w:val="ARfintablebodybold"/>
              <w:spacing w:line="233" w:lineRule="auto"/>
              <w:rPr>
                <w:lang w:eastAsia="en-AU"/>
              </w:rPr>
            </w:pPr>
            <w:r w:rsidRPr="00194D78">
              <w:rPr>
                <w:lang w:eastAsia="en-AU"/>
              </w:rPr>
              <w:t>National Disability Insurance Scheme Trust Account</w:t>
            </w:r>
          </w:p>
          <w:p w14:paraId="21B378FC" w14:textId="7A3D2A84" w:rsidR="00FA7EBF" w:rsidRPr="007939DD" w:rsidRDefault="00FA7EBF" w:rsidP="007B207C">
            <w:pPr>
              <w:pStyle w:val="ARfintablebody"/>
              <w:spacing w:before="0" w:line="233" w:lineRule="auto"/>
              <w:rPr>
                <w:rStyle w:val="Strong"/>
                <w:bCs w:val="0"/>
              </w:rPr>
            </w:pPr>
            <w:r w:rsidRPr="00194D78">
              <w:rPr>
                <w:lang w:eastAsia="en-AU"/>
              </w:rPr>
              <w:t>The trust was established in accordance with a</w:t>
            </w:r>
            <w:r w:rsidR="00072716">
              <w:rPr>
                <w:lang w:eastAsia="en-AU"/>
              </w:rPr>
              <w:t> </w:t>
            </w:r>
            <w:r w:rsidRPr="00194D78">
              <w:rPr>
                <w:lang w:eastAsia="en-AU"/>
              </w:rPr>
              <w:t>memorandum of understanding (MOU) between Department of Health and Human Services, Department of Education and Training, Taxi Services Commission, and Department of Treasury and Finance. The trust is used solely to manage the state</w:t>
            </w:r>
            <w:r>
              <w:rPr>
                <w:lang w:eastAsia="en-AU"/>
              </w:rPr>
              <w:t>’</w:t>
            </w:r>
            <w:r w:rsidRPr="00194D78">
              <w:rPr>
                <w:lang w:eastAsia="en-AU"/>
              </w:rPr>
              <w:t xml:space="preserve">s payments to the </w:t>
            </w:r>
            <w:r w:rsidR="009D25FB" w:rsidRPr="009D25FB">
              <w:rPr>
                <w:lang w:eastAsia="en-AU"/>
              </w:rPr>
              <w:t>National Disability Insurance Agency</w:t>
            </w:r>
            <w:r w:rsidRPr="00194D78">
              <w:rPr>
                <w:lang w:eastAsia="en-AU"/>
              </w:rPr>
              <w:t>, as</w:t>
            </w:r>
            <w:r w:rsidR="00072716">
              <w:rPr>
                <w:lang w:eastAsia="en-AU"/>
              </w:rPr>
              <w:t> </w:t>
            </w:r>
            <w:r w:rsidRPr="00194D78">
              <w:rPr>
                <w:lang w:eastAsia="en-AU"/>
              </w:rPr>
              <w:t>required under the bilateral agreement between the Commonwealth and Victoria that outlines the transition to the National Disability Insurance Scheme.</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7D351071" w14:textId="77777777" w:rsidR="00FA7EBF" w:rsidRPr="007939DD" w:rsidRDefault="00FA7EBF" w:rsidP="007B207C">
            <w:pPr>
              <w:pStyle w:val="ARfintablebodyright"/>
              <w:spacing w:line="233" w:lineRule="auto"/>
              <w:rPr>
                <w:lang w:eastAsia="en-AU"/>
              </w:rPr>
            </w:pPr>
            <w:r w:rsidRPr="005F0950">
              <w:t>28.3</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77C4C864"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5348A295" w14:textId="77777777" w:rsidR="00FA7EBF" w:rsidRPr="007939DD" w:rsidRDefault="00FA7EBF" w:rsidP="007B207C">
            <w:pPr>
              <w:pStyle w:val="ARfintablebodyright"/>
              <w:spacing w:line="233" w:lineRule="auto"/>
              <w:rPr>
                <w:lang w:eastAsia="en-AU"/>
              </w:rPr>
            </w:pPr>
            <w:r w:rsidRPr="005F0950">
              <w:t>1,067.2</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24920A84" w14:textId="77777777" w:rsidR="00FA7EBF" w:rsidRPr="007939DD" w:rsidRDefault="00FA7EBF" w:rsidP="007B207C">
            <w:pPr>
              <w:pStyle w:val="ARfintablebodyright"/>
              <w:spacing w:line="233" w:lineRule="auto"/>
              <w:rPr>
                <w:lang w:eastAsia="en-AU"/>
              </w:rPr>
            </w:pPr>
            <w:r w:rsidRPr="005F0950">
              <w:t>1,106.8</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11AA425F" w14:textId="77777777" w:rsidR="00FA7EBF" w:rsidRPr="007939DD" w:rsidRDefault="00FA7EBF" w:rsidP="007B207C">
            <w:pPr>
              <w:pStyle w:val="ARfintablebodyright"/>
              <w:spacing w:line="233" w:lineRule="auto"/>
              <w:rPr>
                <w:lang w:eastAsia="en-AU"/>
              </w:rPr>
            </w:pPr>
            <w:r w:rsidRPr="005F0950">
              <w:t>84.3</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4BC0F6E0" w14:textId="77777777" w:rsidR="00FA7EBF" w:rsidRPr="007939DD" w:rsidRDefault="00FA7EBF" w:rsidP="007B207C">
            <w:pPr>
              <w:pStyle w:val="ARfintablebodyright"/>
              <w:spacing w:line="233" w:lineRule="auto"/>
              <w:rPr>
                <w:lang w:eastAsia="en-AU"/>
              </w:rPr>
            </w:pPr>
            <w:r w:rsidRPr="005F0950">
              <w:t>73.1</w:t>
            </w:r>
          </w:p>
        </w:tc>
        <w:tc>
          <w:tcPr>
            <w:tcW w:w="907" w:type="dxa"/>
            <w:tcBorders>
              <w:top w:val="single" w:sz="4" w:space="0" w:color="A6A6A6" w:themeColor="background1" w:themeShade="A6"/>
              <w:bottom w:val="single" w:sz="4" w:space="0" w:color="A6A6A6" w:themeColor="background1" w:themeShade="A6"/>
            </w:tcBorders>
          </w:tcPr>
          <w:p w14:paraId="44CBCA57"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bottom w:val="single" w:sz="4" w:space="0" w:color="A6A6A6" w:themeColor="background1" w:themeShade="A6"/>
            </w:tcBorders>
          </w:tcPr>
          <w:p w14:paraId="591E32B6"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bottom w:val="single" w:sz="4" w:space="0" w:color="A6A6A6" w:themeColor="background1" w:themeShade="A6"/>
            </w:tcBorders>
          </w:tcPr>
          <w:p w14:paraId="768C586A" w14:textId="77777777" w:rsidR="00FA7EBF" w:rsidRPr="007939DD" w:rsidRDefault="00FA7EBF" w:rsidP="007B207C">
            <w:pPr>
              <w:pStyle w:val="ARfintablebodyright"/>
              <w:spacing w:line="233" w:lineRule="auto"/>
              <w:rPr>
                <w:lang w:eastAsia="en-AU"/>
              </w:rPr>
            </w:pPr>
            <w:r w:rsidRPr="005F0950">
              <w:t>482.9</w:t>
            </w:r>
          </w:p>
        </w:tc>
        <w:tc>
          <w:tcPr>
            <w:tcW w:w="907" w:type="dxa"/>
            <w:tcBorders>
              <w:top w:val="single" w:sz="4" w:space="0" w:color="A6A6A6" w:themeColor="background1" w:themeShade="A6"/>
              <w:bottom w:val="single" w:sz="4" w:space="0" w:color="A6A6A6" w:themeColor="background1" w:themeShade="A6"/>
            </w:tcBorders>
          </w:tcPr>
          <w:p w14:paraId="0128D4B8" w14:textId="77777777" w:rsidR="00FA7EBF" w:rsidRPr="007939DD" w:rsidRDefault="00FA7EBF" w:rsidP="007B207C">
            <w:pPr>
              <w:pStyle w:val="ARfintablebodyright"/>
              <w:spacing w:line="233" w:lineRule="auto"/>
              <w:rPr>
                <w:lang w:eastAsia="en-AU"/>
              </w:rPr>
            </w:pPr>
            <w:r w:rsidRPr="005F0950">
              <w:t>447.6</w:t>
            </w:r>
          </w:p>
        </w:tc>
        <w:tc>
          <w:tcPr>
            <w:tcW w:w="907" w:type="dxa"/>
            <w:tcBorders>
              <w:top w:val="single" w:sz="4" w:space="0" w:color="A6A6A6" w:themeColor="background1" w:themeShade="A6"/>
              <w:bottom w:val="single" w:sz="4" w:space="0" w:color="A6A6A6" w:themeColor="background1" w:themeShade="A6"/>
            </w:tcBorders>
          </w:tcPr>
          <w:p w14:paraId="16755436" w14:textId="77777777" w:rsidR="00FA7EBF" w:rsidRPr="007939DD" w:rsidRDefault="00FA7EBF" w:rsidP="007B207C">
            <w:pPr>
              <w:pStyle w:val="ARfintablebodyright"/>
              <w:spacing w:line="233" w:lineRule="auto"/>
              <w:rPr>
                <w:lang w:eastAsia="en-AU"/>
              </w:rPr>
            </w:pPr>
            <w:r w:rsidRPr="005F0950">
              <w:t>(7.0)</w:t>
            </w:r>
          </w:p>
        </w:tc>
        <w:tc>
          <w:tcPr>
            <w:tcW w:w="907" w:type="dxa"/>
            <w:tcBorders>
              <w:top w:val="single" w:sz="4" w:space="0" w:color="A6A6A6" w:themeColor="background1" w:themeShade="A6"/>
              <w:bottom w:val="single" w:sz="4" w:space="0" w:color="A6A6A6" w:themeColor="background1" w:themeShade="A6"/>
            </w:tcBorders>
          </w:tcPr>
          <w:p w14:paraId="2E2C6C64" w14:textId="77777777" w:rsidR="00FA7EBF" w:rsidRPr="007939DD" w:rsidRDefault="00FA7EBF" w:rsidP="007B207C">
            <w:pPr>
              <w:pStyle w:val="ARfintablebodyright"/>
              <w:spacing w:line="233" w:lineRule="auto"/>
              <w:rPr>
                <w:lang w:eastAsia="en-AU"/>
              </w:rPr>
            </w:pPr>
            <w:r w:rsidRPr="005F0950">
              <w:t>28.3</w:t>
            </w:r>
          </w:p>
        </w:tc>
      </w:tr>
      <w:tr w:rsidR="00FA7EBF" w:rsidRPr="007939DD" w14:paraId="7EC0D252" w14:textId="77777777" w:rsidTr="007B207C">
        <w:trPr>
          <w:cantSplit/>
        </w:trPr>
        <w:tc>
          <w:tcPr>
            <w:tcW w:w="3574" w:type="dxa"/>
            <w:tcBorders>
              <w:top w:val="single" w:sz="4" w:space="0" w:color="A6A6A6" w:themeColor="background1" w:themeShade="A6"/>
              <w:bottom w:val="single" w:sz="4" w:space="0" w:color="A6A6A6" w:themeColor="background1" w:themeShade="A6"/>
            </w:tcBorders>
          </w:tcPr>
          <w:p w14:paraId="3730561E" w14:textId="77777777" w:rsidR="00FA7EBF" w:rsidRDefault="00FA7EBF" w:rsidP="007B207C">
            <w:pPr>
              <w:pStyle w:val="ARfintablebodybold"/>
              <w:spacing w:line="233" w:lineRule="auto"/>
              <w:rPr>
                <w:lang w:eastAsia="en-AU"/>
              </w:rPr>
            </w:pPr>
            <w:r w:rsidRPr="00194D78">
              <w:rPr>
                <w:lang w:eastAsia="en-AU"/>
              </w:rPr>
              <w:t>National Health Funding Pool</w:t>
            </w:r>
            <w:r>
              <w:rPr>
                <w:lang w:eastAsia="en-AU"/>
              </w:rPr>
              <w:t xml:space="preserve"> – </w:t>
            </w:r>
            <w:r w:rsidRPr="00194D78">
              <w:rPr>
                <w:lang w:eastAsia="en-AU"/>
              </w:rPr>
              <w:t>Victorian State Pool Fund</w:t>
            </w:r>
          </w:p>
          <w:p w14:paraId="5464849B" w14:textId="746C93FF" w:rsidR="00FA7EBF" w:rsidRPr="007939DD" w:rsidRDefault="00FA7EBF" w:rsidP="007B207C">
            <w:pPr>
              <w:pStyle w:val="ARfintablebody"/>
              <w:spacing w:before="0" w:line="233" w:lineRule="auto"/>
              <w:rPr>
                <w:rStyle w:val="Strong"/>
                <w:bCs w:val="0"/>
              </w:rPr>
            </w:pPr>
            <w:r w:rsidRPr="00194D78">
              <w:rPr>
                <w:lang w:eastAsia="en-AU"/>
              </w:rPr>
              <w:t xml:space="preserve">The trust was established under the </w:t>
            </w:r>
            <w:r w:rsidRPr="00F524E9">
              <w:rPr>
                <w:rStyle w:val="Emphasis"/>
                <w:iCs w:val="0"/>
              </w:rPr>
              <w:t>Health (Commonwealth State Funding Arrangements) Act 2012 No. 40</w:t>
            </w:r>
            <w:r w:rsidRPr="00B6663A">
              <w:rPr>
                <w:rStyle w:val="Emphasis"/>
                <w:iCs w:val="0"/>
              </w:rPr>
              <w:t xml:space="preserve"> </w:t>
            </w:r>
            <w:r w:rsidRPr="001366E5">
              <w:rPr>
                <w:rStyle w:val="Emphasis"/>
                <w:iCs w:val="0"/>
              </w:rPr>
              <w:t>of 2012</w:t>
            </w:r>
            <w:r w:rsidRPr="00194D78">
              <w:rPr>
                <w:lang w:eastAsia="en-AU"/>
              </w:rPr>
              <w:t xml:space="preserve"> to record funding made available by the Commonwealth and the</w:t>
            </w:r>
            <w:r w:rsidR="00072716">
              <w:rPr>
                <w:lang w:eastAsia="en-AU"/>
              </w:rPr>
              <w:t> </w:t>
            </w:r>
            <w:r w:rsidRPr="00194D78">
              <w:rPr>
                <w:lang w:eastAsia="en-AU"/>
              </w:rPr>
              <w:t>state under the National Health Reform Agreement.</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2F4001A1"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458B56BA"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0D8B043A" w14:textId="77777777" w:rsidR="00FA7EBF" w:rsidRPr="007939DD" w:rsidRDefault="00FA7EBF" w:rsidP="007B207C">
            <w:pPr>
              <w:pStyle w:val="ARfintablebodyright"/>
              <w:spacing w:line="233" w:lineRule="auto"/>
              <w:rPr>
                <w:lang w:eastAsia="en-AU"/>
              </w:rPr>
            </w:pPr>
            <w:r w:rsidRPr="005F0950">
              <w:t>10,547.5</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292DD2B4" w14:textId="77777777" w:rsidR="00FA7EBF" w:rsidRPr="007939DD" w:rsidRDefault="00FA7EBF" w:rsidP="007B207C">
            <w:pPr>
              <w:pStyle w:val="ARfintablebodyright"/>
              <w:spacing w:line="233" w:lineRule="auto"/>
              <w:rPr>
                <w:lang w:eastAsia="en-AU"/>
              </w:rPr>
            </w:pPr>
            <w:r w:rsidRPr="005F0950">
              <w:t>10,547.5</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5DF90E9E"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36B2AB53"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bottom w:val="single" w:sz="4" w:space="0" w:color="A6A6A6" w:themeColor="background1" w:themeShade="A6"/>
            </w:tcBorders>
          </w:tcPr>
          <w:p w14:paraId="7F636684"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bottom w:val="single" w:sz="4" w:space="0" w:color="A6A6A6" w:themeColor="background1" w:themeShade="A6"/>
            </w:tcBorders>
          </w:tcPr>
          <w:p w14:paraId="2360CE37"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bottom w:val="single" w:sz="4" w:space="0" w:color="A6A6A6" w:themeColor="background1" w:themeShade="A6"/>
            </w:tcBorders>
          </w:tcPr>
          <w:p w14:paraId="53D3DBFC" w14:textId="77777777" w:rsidR="00FA7EBF" w:rsidRPr="007939DD" w:rsidRDefault="00FA7EBF" w:rsidP="007B207C">
            <w:pPr>
              <w:pStyle w:val="ARfintablebodyright"/>
              <w:spacing w:line="233" w:lineRule="auto"/>
              <w:rPr>
                <w:lang w:eastAsia="en-AU"/>
              </w:rPr>
            </w:pPr>
            <w:r w:rsidRPr="005F0950">
              <w:t>9,832.7</w:t>
            </w:r>
          </w:p>
        </w:tc>
        <w:tc>
          <w:tcPr>
            <w:tcW w:w="907" w:type="dxa"/>
            <w:tcBorders>
              <w:top w:val="single" w:sz="4" w:space="0" w:color="A6A6A6" w:themeColor="background1" w:themeShade="A6"/>
              <w:bottom w:val="single" w:sz="4" w:space="0" w:color="A6A6A6" w:themeColor="background1" w:themeShade="A6"/>
            </w:tcBorders>
          </w:tcPr>
          <w:p w14:paraId="01AB41BF" w14:textId="77777777" w:rsidR="00FA7EBF" w:rsidRPr="007939DD" w:rsidRDefault="00FA7EBF" w:rsidP="007B207C">
            <w:pPr>
              <w:pStyle w:val="ARfintablebodyright"/>
              <w:spacing w:line="233" w:lineRule="auto"/>
              <w:rPr>
                <w:lang w:eastAsia="en-AU"/>
              </w:rPr>
            </w:pPr>
            <w:r w:rsidRPr="005F0950">
              <w:t>9,832.7</w:t>
            </w:r>
          </w:p>
        </w:tc>
        <w:tc>
          <w:tcPr>
            <w:tcW w:w="907" w:type="dxa"/>
            <w:tcBorders>
              <w:top w:val="single" w:sz="4" w:space="0" w:color="A6A6A6" w:themeColor="background1" w:themeShade="A6"/>
              <w:bottom w:val="single" w:sz="4" w:space="0" w:color="A6A6A6" w:themeColor="background1" w:themeShade="A6"/>
            </w:tcBorders>
          </w:tcPr>
          <w:p w14:paraId="2205DEC8"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bottom w:val="single" w:sz="4" w:space="0" w:color="A6A6A6" w:themeColor="background1" w:themeShade="A6"/>
            </w:tcBorders>
          </w:tcPr>
          <w:p w14:paraId="56406072" w14:textId="77777777" w:rsidR="00FA7EBF" w:rsidRPr="007939DD" w:rsidRDefault="00FA7EBF" w:rsidP="007B207C">
            <w:pPr>
              <w:pStyle w:val="ARfintablebodyright"/>
              <w:spacing w:line="233" w:lineRule="auto"/>
              <w:rPr>
                <w:lang w:eastAsia="en-AU"/>
              </w:rPr>
            </w:pPr>
            <w:r w:rsidRPr="005F0950">
              <w:t>–</w:t>
            </w:r>
          </w:p>
        </w:tc>
      </w:tr>
      <w:tr w:rsidR="00FA7EBF" w:rsidRPr="007939DD" w14:paraId="7FA1BDE5" w14:textId="77777777" w:rsidTr="007B207C">
        <w:trPr>
          <w:cantSplit/>
        </w:trPr>
        <w:tc>
          <w:tcPr>
            <w:tcW w:w="3574" w:type="dxa"/>
            <w:tcBorders>
              <w:top w:val="single" w:sz="4" w:space="0" w:color="A6A6A6" w:themeColor="background1" w:themeShade="A6"/>
              <w:bottom w:val="single" w:sz="4" w:space="0" w:color="A6A6A6" w:themeColor="background1" w:themeShade="A6"/>
            </w:tcBorders>
          </w:tcPr>
          <w:p w14:paraId="46519CFC" w14:textId="77777777" w:rsidR="00FA7EBF" w:rsidRDefault="00FA7EBF" w:rsidP="007B207C">
            <w:pPr>
              <w:pStyle w:val="ARfintablebodybold"/>
              <w:spacing w:line="233" w:lineRule="auto"/>
              <w:rPr>
                <w:lang w:eastAsia="en-AU"/>
              </w:rPr>
            </w:pPr>
            <w:r w:rsidRPr="00194D78">
              <w:rPr>
                <w:lang w:eastAsia="en-AU"/>
              </w:rPr>
              <w:t>Public Service Commuter Club</w:t>
            </w:r>
          </w:p>
          <w:p w14:paraId="44003980" w14:textId="5652AA43" w:rsidR="00FA7EBF" w:rsidRPr="007939DD" w:rsidRDefault="00FA7EBF" w:rsidP="007B207C">
            <w:pPr>
              <w:pStyle w:val="ARfintablebody"/>
              <w:spacing w:before="0" w:line="233" w:lineRule="auto"/>
              <w:rPr>
                <w:rStyle w:val="Strong"/>
                <w:bCs w:val="0"/>
              </w:rPr>
            </w:pPr>
            <w:r w:rsidRPr="00194D78">
              <w:rPr>
                <w:lang w:eastAsia="en-AU"/>
              </w:rPr>
              <w:t>The trust fund was established to record the</w:t>
            </w:r>
            <w:r w:rsidR="00072716">
              <w:rPr>
                <w:lang w:eastAsia="en-AU"/>
              </w:rPr>
              <w:t> </w:t>
            </w:r>
            <w:r w:rsidRPr="00194D78">
              <w:rPr>
                <w:lang w:eastAsia="en-AU"/>
              </w:rPr>
              <w:t>receipt of amounts associated with the Public Service Commuter Club Scheme and deductions from club members salaries as well as recording payment to the Public Transport Corporation.</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57AAC80D" w14:textId="77777777" w:rsidR="00FA7EBF" w:rsidRPr="007939DD" w:rsidRDefault="00FA7EBF" w:rsidP="007B207C">
            <w:pPr>
              <w:pStyle w:val="ARfintablebodyright"/>
              <w:spacing w:line="233" w:lineRule="auto"/>
              <w:rPr>
                <w:lang w:eastAsia="en-AU"/>
              </w:rPr>
            </w:pPr>
            <w:r w:rsidRPr="005F0950">
              <w:t>(1.0)</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4DC991C8"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48EA978C" w14:textId="77777777" w:rsidR="00FA7EBF" w:rsidRPr="007939DD" w:rsidRDefault="00FA7EBF" w:rsidP="007B207C">
            <w:pPr>
              <w:pStyle w:val="ARfintablebodyright"/>
              <w:spacing w:line="233" w:lineRule="auto"/>
              <w:rPr>
                <w:lang w:eastAsia="en-AU"/>
              </w:rPr>
            </w:pPr>
            <w:r w:rsidRPr="005F0950">
              <w:t>1.8</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6AC4B34B" w14:textId="77777777" w:rsidR="00FA7EBF" w:rsidRPr="007939DD" w:rsidRDefault="00FA7EBF" w:rsidP="007B207C">
            <w:pPr>
              <w:pStyle w:val="ARfintablebodyright"/>
              <w:spacing w:line="233" w:lineRule="auto"/>
              <w:rPr>
                <w:lang w:eastAsia="en-AU"/>
              </w:rPr>
            </w:pPr>
            <w:r w:rsidRPr="005F0950">
              <w:t>1.7</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171F317F"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22BA822C" w14:textId="77777777" w:rsidR="00FA7EBF" w:rsidRPr="007939DD" w:rsidRDefault="00FA7EBF" w:rsidP="007B207C">
            <w:pPr>
              <w:pStyle w:val="ARfintablebodyright"/>
              <w:spacing w:line="233" w:lineRule="auto"/>
              <w:rPr>
                <w:lang w:eastAsia="en-AU"/>
              </w:rPr>
            </w:pPr>
            <w:r w:rsidRPr="005F0950">
              <w:t>(1.0)</w:t>
            </w:r>
          </w:p>
        </w:tc>
        <w:tc>
          <w:tcPr>
            <w:tcW w:w="907" w:type="dxa"/>
            <w:tcBorders>
              <w:top w:val="single" w:sz="4" w:space="0" w:color="A6A6A6" w:themeColor="background1" w:themeShade="A6"/>
              <w:bottom w:val="single" w:sz="4" w:space="0" w:color="A6A6A6" w:themeColor="background1" w:themeShade="A6"/>
            </w:tcBorders>
          </w:tcPr>
          <w:p w14:paraId="68208BD4" w14:textId="77777777" w:rsidR="00FA7EBF" w:rsidRPr="007939DD" w:rsidRDefault="00FA7EBF" w:rsidP="007B207C">
            <w:pPr>
              <w:pStyle w:val="ARfintablebodyright"/>
              <w:spacing w:line="233" w:lineRule="auto"/>
              <w:rPr>
                <w:lang w:eastAsia="en-AU"/>
              </w:rPr>
            </w:pPr>
            <w:r w:rsidRPr="005F0950">
              <w:t>(0.8)</w:t>
            </w:r>
          </w:p>
        </w:tc>
        <w:tc>
          <w:tcPr>
            <w:tcW w:w="907" w:type="dxa"/>
            <w:tcBorders>
              <w:top w:val="single" w:sz="4" w:space="0" w:color="A6A6A6" w:themeColor="background1" w:themeShade="A6"/>
              <w:bottom w:val="single" w:sz="4" w:space="0" w:color="A6A6A6" w:themeColor="background1" w:themeShade="A6"/>
            </w:tcBorders>
          </w:tcPr>
          <w:p w14:paraId="43A1268C"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bottom w:val="single" w:sz="4" w:space="0" w:color="A6A6A6" w:themeColor="background1" w:themeShade="A6"/>
            </w:tcBorders>
          </w:tcPr>
          <w:p w14:paraId="18509D3B" w14:textId="77777777" w:rsidR="00FA7EBF" w:rsidRPr="007939DD" w:rsidRDefault="00FA7EBF" w:rsidP="007B207C">
            <w:pPr>
              <w:pStyle w:val="ARfintablebodyright"/>
              <w:spacing w:line="233" w:lineRule="auto"/>
              <w:rPr>
                <w:lang w:eastAsia="en-AU"/>
              </w:rPr>
            </w:pPr>
            <w:r w:rsidRPr="005F0950">
              <w:t>1.5</w:t>
            </w:r>
          </w:p>
        </w:tc>
        <w:tc>
          <w:tcPr>
            <w:tcW w:w="907" w:type="dxa"/>
            <w:tcBorders>
              <w:top w:val="single" w:sz="4" w:space="0" w:color="A6A6A6" w:themeColor="background1" w:themeShade="A6"/>
              <w:bottom w:val="single" w:sz="4" w:space="0" w:color="A6A6A6" w:themeColor="background1" w:themeShade="A6"/>
            </w:tcBorders>
          </w:tcPr>
          <w:p w14:paraId="67ACA823" w14:textId="77777777" w:rsidR="00FA7EBF" w:rsidRPr="007939DD" w:rsidRDefault="00FA7EBF" w:rsidP="007B207C">
            <w:pPr>
              <w:pStyle w:val="ARfintablebodyright"/>
              <w:spacing w:line="233" w:lineRule="auto"/>
              <w:rPr>
                <w:lang w:eastAsia="en-AU"/>
              </w:rPr>
            </w:pPr>
            <w:r w:rsidRPr="005F0950">
              <w:t>1.7</w:t>
            </w:r>
          </w:p>
        </w:tc>
        <w:tc>
          <w:tcPr>
            <w:tcW w:w="907" w:type="dxa"/>
            <w:tcBorders>
              <w:top w:val="single" w:sz="4" w:space="0" w:color="A6A6A6" w:themeColor="background1" w:themeShade="A6"/>
              <w:bottom w:val="single" w:sz="4" w:space="0" w:color="A6A6A6" w:themeColor="background1" w:themeShade="A6"/>
            </w:tcBorders>
          </w:tcPr>
          <w:p w14:paraId="65BB4065"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bottom w:val="single" w:sz="4" w:space="0" w:color="A6A6A6" w:themeColor="background1" w:themeShade="A6"/>
            </w:tcBorders>
          </w:tcPr>
          <w:p w14:paraId="5BA2624B" w14:textId="77777777" w:rsidR="00FA7EBF" w:rsidRPr="007939DD" w:rsidRDefault="00FA7EBF" w:rsidP="007B207C">
            <w:pPr>
              <w:pStyle w:val="ARfintablebodyright"/>
              <w:spacing w:line="233" w:lineRule="auto"/>
              <w:rPr>
                <w:lang w:eastAsia="en-AU"/>
              </w:rPr>
            </w:pPr>
            <w:r w:rsidRPr="005F0950">
              <w:t>(1.0)</w:t>
            </w:r>
          </w:p>
        </w:tc>
      </w:tr>
      <w:tr w:rsidR="00FA7EBF" w:rsidRPr="007939DD" w14:paraId="332E6FC3" w14:textId="77777777" w:rsidTr="007B207C">
        <w:trPr>
          <w:cantSplit/>
        </w:trPr>
        <w:tc>
          <w:tcPr>
            <w:tcW w:w="3574" w:type="dxa"/>
            <w:tcBorders>
              <w:top w:val="single" w:sz="4" w:space="0" w:color="A6A6A6" w:themeColor="background1" w:themeShade="A6"/>
              <w:bottom w:val="single" w:sz="4" w:space="0" w:color="A6A6A6" w:themeColor="background1" w:themeShade="A6"/>
            </w:tcBorders>
          </w:tcPr>
          <w:p w14:paraId="7AFEF48C" w14:textId="77777777" w:rsidR="00FA7EBF" w:rsidRDefault="00FA7EBF" w:rsidP="007B207C">
            <w:pPr>
              <w:pStyle w:val="ARfintablebodybold"/>
              <w:spacing w:line="233" w:lineRule="auto"/>
              <w:rPr>
                <w:lang w:eastAsia="en-AU"/>
              </w:rPr>
            </w:pPr>
            <w:r w:rsidRPr="00194D78">
              <w:rPr>
                <w:lang w:eastAsia="en-AU"/>
              </w:rPr>
              <w:t>Revenue Suspense Account</w:t>
            </w:r>
          </w:p>
          <w:p w14:paraId="21F89087" w14:textId="77777777" w:rsidR="00FA7EBF" w:rsidRPr="007939DD" w:rsidRDefault="00FA7EBF" w:rsidP="007B207C">
            <w:pPr>
              <w:pStyle w:val="ARfintablebody"/>
              <w:spacing w:before="0" w:line="233" w:lineRule="auto"/>
              <w:rPr>
                <w:rStyle w:val="Strong"/>
                <w:bCs w:val="0"/>
              </w:rPr>
            </w:pPr>
            <w:r w:rsidRPr="00194D78">
              <w:rPr>
                <w:lang w:eastAsia="en-AU"/>
              </w:rPr>
              <w:t>Short</w:t>
            </w:r>
            <w:r>
              <w:rPr>
                <w:lang w:eastAsia="en-AU"/>
              </w:rPr>
              <w:t>-</w:t>
            </w:r>
            <w:r w:rsidRPr="00194D78">
              <w:rPr>
                <w:lang w:eastAsia="en-AU"/>
              </w:rPr>
              <w:t>term clearing account pending correct identification of receipts.</w:t>
            </w:r>
          </w:p>
        </w:tc>
        <w:tc>
          <w:tcPr>
            <w:tcW w:w="908" w:type="dxa"/>
            <w:tcBorders>
              <w:top w:val="single" w:sz="4" w:space="0" w:color="A6A6A6" w:themeColor="background1" w:themeShade="A6"/>
              <w:bottom w:val="single" w:sz="4" w:space="0" w:color="A6A6A6" w:themeColor="background1" w:themeShade="A6"/>
              <w:right w:val="nil"/>
            </w:tcBorders>
            <w:shd w:val="clear" w:color="auto" w:fill="E7E6E6"/>
          </w:tcPr>
          <w:p w14:paraId="57CD53A6" w14:textId="77777777" w:rsidR="00FA7EBF" w:rsidRPr="007939DD" w:rsidRDefault="00FA7EBF" w:rsidP="007B207C">
            <w:pPr>
              <w:pStyle w:val="ARfintablebodyright"/>
              <w:spacing w:line="233" w:lineRule="auto"/>
              <w:rPr>
                <w:lang w:eastAsia="en-AU"/>
              </w:rPr>
            </w:pPr>
            <w:r w:rsidRPr="005F0950">
              <w:t>3.0</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7B0EE184"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04EE7978" w14:textId="77777777" w:rsidR="00FA7EBF" w:rsidRPr="007939DD" w:rsidRDefault="00FA7EBF" w:rsidP="007B207C">
            <w:pPr>
              <w:pStyle w:val="ARfintablebodyright"/>
              <w:spacing w:line="233" w:lineRule="auto"/>
              <w:rPr>
                <w:lang w:eastAsia="en-AU"/>
              </w:rPr>
            </w:pPr>
            <w:r w:rsidRPr="005F0950">
              <w:t>0.4</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4BB6B574"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left w:val="nil"/>
              <w:bottom w:val="single" w:sz="4" w:space="0" w:color="A6A6A6" w:themeColor="background1" w:themeShade="A6"/>
              <w:right w:val="nil"/>
            </w:tcBorders>
            <w:shd w:val="clear" w:color="auto" w:fill="E7E6E6"/>
          </w:tcPr>
          <w:p w14:paraId="3B5BFA35"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left w:val="nil"/>
              <w:bottom w:val="single" w:sz="4" w:space="0" w:color="A6A6A6" w:themeColor="background1" w:themeShade="A6"/>
            </w:tcBorders>
            <w:shd w:val="clear" w:color="auto" w:fill="E7E6E6"/>
          </w:tcPr>
          <w:p w14:paraId="529A9FA4" w14:textId="77777777" w:rsidR="00FA7EBF" w:rsidRPr="007939DD" w:rsidRDefault="00FA7EBF" w:rsidP="007B207C">
            <w:pPr>
              <w:pStyle w:val="ARfintablebodyright"/>
              <w:spacing w:line="233" w:lineRule="auto"/>
              <w:rPr>
                <w:lang w:eastAsia="en-AU"/>
              </w:rPr>
            </w:pPr>
            <w:r w:rsidRPr="005F0950">
              <w:t>3.4</w:t>
            </w:r>
          </w:p>
        </w:tc>
        <w:tc>
          <w:tcPr>
            <w:tcW w:w="907" w:type="dxa"/>
            <w:tcBorders>
              <w:top w:val="single" w:sz="4" w:space="0" w:color="A6A6A6" w:themeColor="background1" w:themeShade="A6"/>
              <w:bottom w:val="single" w:sz="4" w:space="0" w:color="A6A6A6" w:themeColor="background1" w:themeShade="A6"/>
            </w:tcBorders>
          </w:tcPr>
          <w:p w14:paraId="10EB2EFF" w14:textId="77777777" w:rsidR="00FA7EBF" w:rsidRPr="007939DD" w:rsidRDefault="00FA7EBF" w:rsidP="007B207C">
            <w:pPr>
              <w:pStyle w:val="ARfintablebodyright"/>
              <w:spacing w:line="233" w:lineRule="auto"/>
              <w:rPr>
                <w:lang w:eastAsia="en-AU"/>
              </w:rPr>
            </w:pPr>
            <w:r w:rsidRPr="005F0950">
              <w:t>2.5</w:t>
            </w:r>
          </w:p>
        </w:tc>
        <w:tc>
          <w:tcPr>
            <w:tcW w:w="907" w:type="dxa"/>
            <w:tcBorders>
              <w:top w:val="single" w:sz="4" w:space="0" w:color="A6A6A6" w:themeColor="background1" w:themeShade="A6"/>
              <w:bottom w:val="single" w:sz="4" w:space="0" w:color="A6A6A6" w:themeColor="background1" w:themeShade="A6"/>
            </w:tcBorders>
          </w:tcPr>
          <w:p w14:paraId="2976AD00"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bottom w:val="single" w:sz="4" w:space="0" w:color="A6A6A6" w:themeColor="background1" w:themeShade="A6"/>
            </w:tcBorders>
          </w:tcPr>
          <w:p w14:paraId="48D7B3F6" w14:textId="77777777" w:rsidR="00FA7EBF" w:rsidRPr="007939DD" w:rsidRDefault="00FA7EBF" w:rsidP="007B207C">
            <w:pPr>
              <w:pStyle w:val="ARfintablebodyright"/>
              <w:spacing w:line="233" w:lineRule="auto"/>
              <w:rPr>
                <w:lang w:eastAsia="en-AU"/>
              </w:rPr>
            </w:pPr>
            <w:r w:rsidRPr="005F0950">
              <w:t>0.4</w:t>
            </w:r>
          </w:p>
        </w:tc>
        <w:tc>
          <w:tcPr>
            <w:tcW w:w="907" w:type="dxa"/>
            <w:tcBorders>
              <w:top w:val="single" w:sz="4" w:space="0" w:color="A6A6A6" w:themeColor="background1" w:themeShade="A6"/>
              <w:bottom w:val="single" w:sz="4" w:space="0" w:color="A6A6A6" w:themeColor="background1" w:themeShade="A6"/>
            </w:tcBorders>
          </w:tcPr>
          <w:p w14:paraId="161FD1D7"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bottom w:val="single" w:sz="4" w:space="0" w:color="A6A6A6" w:themeColor="background1" w:themeShade="A6"/>
            </w:tcBorders>
          </w:tcPr>
          <w:p w14:paraId="5DC1E70A"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bottom w:val="single" w:sz="4" w:space="0" w:color="A6A6A6" w:themeColor="background1" w:themeShade="A6"/>
            </w:tcBorders>
          </w:tcPr>
          <w:p w14:paraId="72C964D7" w14:textId="77777777" w:rsidR="00FA7EBF" w:rsidRPr="007939DD" w:rsidRDefault="00FA7EBF" w:rsidP="007B207C">
            <w:pPr>
              <w:pStyle w:val="ARfintablebodyright"/>
              <w:spacing w:line="233" w:lineRule="auto"/>
              <w:rPr>
                <w:lang w:eastAsia="en-AU"/>
              </w:rPr>
            </w:pPr>
            <w:r w:rsidRPr="005F0950">
              <w:t>3.0</w:t>
            </w:r>
          </w:p>
        </w:tc>
      </w:tr>
      <w:tr w:rsidR="00FA7EBF" w:rsidRPr="007939DD" w14:paraId="0E51B6EA" w14:textId="77777777" w:rsidTr="007B207C">
        <w:trPr>
          <w:cantSplit/>
        </w:trPr>
        <w:tc>
          <w:tcPr>
            <w:tcW w:w="3574" w:type="dxa"/>
            <w:tcBorders>
              <w:top w:val="single" w:sz="4" w:space="0" w:color="A6A6A6" w:themeColor="background1" w:themeShade="A6"/>
            </w:tcBorders>
          </w:tcPr>
          <w:p w14:paraId="178255CC" w14:textId="77777777" w:rsidR="00FA7EBF" w:rsidRDefault="00FA7EBF" w:rsidP="007B207C">
            <w:pPr>
              <w:pStyle w:val="ARfintablebodybold"/>
              <w:spacing w:line="233" w:lineRule="auto"/>
              <w:rPr>
                <w:lang w:eastAsia="en-AU"/>
              </w:rPr>
            </w:pPr>
            <w:r w:rsidRPr="00194D78">
              <w:rPr>
                <w:lang w:eastAsia="en-AU"/>
              </w:rPr>
              <w:t>Victorian Natural Disasters Relief Fund</w:t>
            </w:r>
          </w:p>
          <w:p w14:paraId="7E22314C" w14:textId="77777777" w:rsidR="00FA7EBF" w:rsidRPr="007939DD" w:rsidRDefault="00FA7EBF" w:rsidP="007B207C">
            <w:pPr>
              <w:pStyle w:val="ARfintablebody"/>
              <w:spacing w:before="0" w:line="233" w:lineRule="auto"/>
              <w:rPr>
                <w:rStyle w:val="Strong"/>
                <w:bCs w:val="0"/>
              </w:rPr>
            </w:pPr>
            <w:r w:rsidRPr="00194D78">
              <w:rPr>
                <w:lang w:eastAsia="en-AU"/>
              </w:rPr>
              <w:t>The trust was established for the purpose of granting assistance to persons who suffer losses as a result of flood, bushfires and other natural disasters.</w:t>
            </w:r>
          </w:p>
        </w:tc>
        <w:tc>
          <w:tcPr>
            <w:tcW w:w="908" w:type="dxa"/>
            <w:tcBorders>
              <w:top w:val="single" w:sz="4" w:space="0" w:color="A6A6A6" w:themeColor="background1" w:themeShade="A6"/>
              <w:right w:val="nil"/>
            </w:tcBorders>
            <w:shd w:val="clear" w:color="auto" w:fill="E7E6E6"/>
          </w:tcPr>
          <w:p w14:paraId="00CA27AD"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left w:val="nil"/>
              <w:right w:val="nil"/>
            </w:tcBorders>
            <w:shd w:val="clear" w:color="auto" w:fill="E7E6E6"/>
          </w:tcPr>
          <w:p w14:paraId="6660BD16"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left w:val="nil"/>
              <w:right w:val="nil"/>
            </w:tcBorders>
            <w:shd w:val="clear" w:color="auto" w:fill="E7E6E6"/>
          </w:tcPr>
          <w:p w14:paraId="2842D966" w14:textId="77777777" w:rsidR="00FA7EBF" w:rsidRPr="007939DD" w:rsidRDefault="00FA7EBF" w:rsidP="007B207C">
            <w:pPr>
              <w:pStyle w:val="ARfintablebodyright"/>
              <w:spacing w:line="233" w:lineRule="auto"/>
              <w:rPr>
                <w:lang w:eastAsia="en-AU"/>
              </w:rPr>
            </w:pPr>
            <w:r w:rsidRPr="005F0950">
              <w:t>1.6</w:t>
            </w:r>
          </w:p>
        </w:tc>
        <w:tc>
          <w:tcPr>
            <w:tcW w:w="907" w:type="dxa"/>
            <w:tcBorders>
              <w:top w:val="single" w:sz="4" w:space="0" w:color="A6A6A6" w:themeColor="background1" w:themeShade="A6"/>
              <w:left w:val="nil"/>
              <w:right w:val="nil"/>
            </w:tcBorders>
            <w:shd w:val="clear" w:color="auto" w:fill="E7E6E6"/>
          </w:tcPr>
          <w:p w14:paraId="279AEC48" w14:textId="77777777" w:rsidR="00FA7EBF" w:rsidRPr="007939DD" w:rsidRDefault="00FA7EBF" w:rsidP="007B207C">
            <w:pPr>
              <w:pStyle w:val="ARfintablebodyright"/>
              <w:spacing w:line="233" w:lineRule="auto"/>
              <w:rPr>
                <w:lang w:eastAsia="en-AU"/>
              </w:rPr>
            </w:pPr>
            <w:r w:rsidRPr="005F0950">
              <w:t>1.6</w:t>
            </w:r>
          </w:p>
        </w:tc>
        <w:tc>
          <w:tcPr>
            <w:tcW w:w="907" w:type="dxa"/>
            <w:tcBorders>
              <w:top w:val="single" w:sz="4" w:space="0" w:color="A6A6A6" w:themeColor="background1" w:themeShade="A6"/>
              <w:left w:val="nil"/>
              <w:right w:val="nil"/>
            </w:tcBorders>
            <w:shd w:val="clear" w:color="auto" w:fill="E7E6E6"/>
          </w:tcPr>
          <w:p w14:paraId="7D6751E8"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left w:val="nil"/>
            </w:tcBorders>
            <w:shd w:val="clear" w:color="auto" w:fill="E7E6E6"/>
          </w:tcPr>
          <w:p w14:paraId="7FBE239E"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tcBorders>
          </w:tcPr>
          <w:p w14:paraId="3C696BCB"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tcBorders>
          </w:tcPr>
          <w:p w14:paraId="33592D47"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tcBorders>
          </w:tcPr>
          <w:p w14:paraId="7F2AD129" w14:textId="77777777" w:rsidR="00FA7EBF" w:rsidRPr="007939DD" w:rsidRDefault="00FA7EBF" w:rsidP="007B207C">
            <w:pPr>
              <w:pStyle w:val="ARfintablebodyright"/>
              <w:spacing w:line="233" w:lineRule="auto"/>
              <w:rPr>
                <w:lang w:eastAsia="en-AU"/>
              </w:rPr>
            </w:pPr>
            <w:r w:rsidRPr="005F0950">
              <w:t>0.4</w:t>
            </w:r>
          </w:p>
        </w:tc>
        <w:tc>
          <w:tcPr>
            <w:tcW w:w="907" w:type="dxa"/>
            <w:tcBorders>
              <w:top w:val="single" w:sz="4" w:space="0" w:color="A6A6A6" w:themeColor="background1" w:themeShade="A6"/>
            </w:tcBorders>
          </w:tcPr>
          <w:p w14:paraId="28A6FFF7" w14:textId="77777777" w:rsidR="00FA7EBF" w:rsidRPr="007939DD" w:rsidRDefault="00FA7EBF" w:rsidP="007B207C">
            <w:pPr>
              <w:pStyle w:val="ARfintablebodyright"/>
              <w:spacing w:line="233" w:lineRule="auto"/>
              <w:rPr>
                <w:lang w:eastAsia="en-AU"/>
              </w:rPr>
            </w:pPr>
            <w:r w:rsidRPr="005F0950">
              <w:t>0.4</w:t>
            </w:r>
          </w:p>
        </w:tc>
        <w:tc>
          <w:tcPr>
            <w:tcW w:w="907" w:type="dxa"/>
            <w:tcBorders>
              <w:top w:val="single" w:sz="4" w:space="0" w:color="A6A6A6" w:themeColor="background1" w:themeShade="A6"/>
            </w:tcBorders>
          </w:tcPr>
          <w:p w14:paraId="29B67A21" w14:textId="77777777" w:rsidR="00FA7EBF" w:rsidRPr="007939DD" w:rsidRDefault="00FA7EBF" w:rsidP="007B207C">
            <w:pPr>
              <w:pStyle w:val="ARfintablebodyright"/>
              <w:spacing w:line="233" w:lineRule="auto"/>
              <w:rPr>
                <w:lang w:eastAsia="en-AU"/>
              </w:rPr>
            </w:pPr>
            <w:r w:rsidRPr="005F0950">
              <w:t>–</w:t>
            </w:r>
          </w:p>
        </w:tc>
        <w:tc>
          <w:tcPr>
            <w:tcW w:w="907" w:type="dxa"/>
            <w:tcBorders>
              <w:top w:val="single" w:sz="4" w:space="0" w:color="A6A6A6" w:themeColor="background1" w:themeShade="A6"/>
            </w:tcBorders>
          </w:tcPr>
          <w:p w14:paraId="5877FDD5" w14:textId="77777777" w:rsidR="00FA7EBF" w:rsidRPr="007939DD" w:rsidRDefault="00FA7EBF" w:rsidP="007B207C">
            <w:pPr>
              <w:pStyle w:val="ARfintablebodyright"/>
              <w:spacing w:line="233" w:lineRule="auto"/>
              <w:rPr>
                <w:lang w:eastAsia="en-AU"/>
              </w:rPr>
            </w:pPr>
            <w:r w:rsidRPr="005F0950">
              <w:t>–</w:t>
            </w:r>
          </w:p>
        </w:tc>
      </w:tr>
      <w:tr w:rsidR="00FA7EBF" w:rsidRPr="007939DD" w14:paraId="4E1BD6E8" w14:textId="77777777" w:rsidTr="007B207C">
        <w:trPr>
          <w:cantSplit/>
        </w:trPr>
        <w:tc>
          <w:tcPr>
            <w:tcW w:w="3574" w:type="dxa"/>
          </w:tcPr>
          <w:p w14:paraId="6FE2DD03" w14:textId="77777777" w:rsidR="00FA7EBF" w:rsidRPr="007939DD" w:rsidRDefault="00FA7EBF" w:rsidP="007B207C">
            <w:pPr>
              <w:pStyle w:val="ARfintablebodybold"/>
              <w:spacing w:line="233" w:lineRule="auto"/>
              <w:rPr>
                <w:lang w:eastAsia="en-AU"/>
              </w:rPr>
            </w:pPr>
            <w:r w:rsidRPr="00194D78">
              <w:rPr>
                <w:lang w:eastAsia="en-AU"/>
              </w:rPr>
              <w:t>Total administered trusts</w:t>
            </w:r>
          </w:p>
        </w:tc>
        <w:tc>
          <w:tcPr>
            <w:tcW w:w="908" w:type="dxa"/>
            <w:tcBorders>
              <w:right w:val="nil"/>
            </w:tcBorders>
            <w:shd w:val="clear" w:color="auto" w:fill="E7E6E6"/>
          </w:tcPr>
          <w:p w14:paraId="6D45AA28" w14:textId="77777777" w:rsidR="00FA7EBF" w:rsidRPr="007939DD" w:rsidRDefault="00FA7EBF" w:rsidP="007B207C">
            <w:pPr>
              <w:pStyle w:val="ARfintablebodyrightbold"/>
              <w:spacing w:line="233" w:lineRule="auto"/>
              <w:rPr>
                <w:lang w:eastAsia="en-AU"/>
              </w:rPr>
            </w:pPr>
            <w:r w:rsidRPr="005F0950">
              <w:t>30.7</w:t>
            </w:r>
          </w:p>
        </w:tc>
        <w:tc>
          <w:tcPr>
            <w:tcW w:w="907" w:type="dxa"/>
            <w:tcBorders>
              <w:left w:val="nil"/>
              <w:right w:val="nil"/>
            </w:tcBorders>
            <w:shd w:val="clear" w:color="auto" w:fill="E7E6E6"/>
          </w:tcPr>
          <w:p w14:paraId="249DBA4B" w14:textId="77777777" w:rsidR="00FA7EBF" w:rsidRPr="007939DD" w:rsidRDefault="00FA7EBF" w:rsidP="007B207C">
            <w:pPr>
              <w:pStyle w:val="ARfintablebodyrightbold"/>
              <w:spacing w:line="233" w:lineRule="auto"/>
              <w:rPr>
                <w:lang w:eastAsia="en-AU"/>
              </w:rPr>
            </w:pPr>
            <w:r w:rsidRPr="005F0950">
              <w:t>–</w:t>
            </w:r>
          </w:p>
        </w:tc>
        <w:tc>
          <w:tcPr>
            <w:tcW w:w="907" w:type="dxa"/>
            <w:tcBorders>
              <w:left w:val="nil"/>
              <w:right w:val="nil"/>
            </w:tcBorders>
            <w:shd w:val="clear" w:color="auto" w:fill="E7E6E6"/>
          </w:tcPr>
          <w:p w14:paraId="5200892A" w14:textId="77777777" w:rsidR="00FA7EBF" w:rsidRPr="007939DD" w:rsidRDefault="00FA7EBF" w:rsidP="007B207C">
            <w:pPr>
              <w:pStyle w:val="ARfintablebodyrightbold"/>
              <w:spacing w:line="233" w:lineRule="auto"/>
              <w:rPr>
                <w:lang w:eastAsia="en-AU"/>
              </w:rPr>
            </w:pPr>
            <w:r w:rsidRPr="005F0950">
              <w:t>11,618.6</w:t>
            </w:r>
          </w:p>
        </w:tc>
        <w:tc>
          <w:tcPr>
            <w:tcW w:w="907" w:type="dxa"/>
            <w:tcBorders>
              <w:left w:val="nil"/>
              <w:right w:val="nil"/>
            </w:tcBorders>
            <w:shd w:val="clear" w:color="auto" w:fill="E7E6E6"/>
          </w:tcPr>
          <w:p w14:paraId="799AF9C1" w14:textId="77777777" w:rsidR="00FA7EBF" w:rsidRPr="007939DD" w:rsidRDefault="00FA7EBF" w:rsidP="007B207C">
            <w:pPr>
              <w:pStyle w:val="ARfintablebodyrightbold"/>
              <w:spacing w:line="233" w:lineRule="auto"/>
              <w:rPr>
                <w:lang w:eastAsia="en-AU"/>
              </w:rPr>
            </w:pPr>
            <w:r w:rsidRPr="005F0950">
              <w:t>11,658.0</w:t>
            </w:r>
          </w:p>
        </w:tc>
        <w:tc>
          <w:tcPr>
            <w:tcW w:w="907" w:type="dxa"/>
            <w:tcBorders>
              <w:left w:val="nil"/>
              <w:right w:val="nil"/>
            </w:tcBorders>
            <w:shd w:val="clear" w:color="auto" w:fill="E7E6E6"/>
          </w:tcPr>
          <w:p w14:paraId="496C57B9" w14:textId="77777777" w:rsidR="00FA7EBF" w:rsidRPr="007939DD" w:rsidRDefault="00FA7EBF" w:rsidP="007B207C">
            <w:pPr>
              <w:pStyle w:val="ARfintablebodyrightbold"/>
              <w:spacing w:line="233" w:lineRule="auto"/>
              <w:rPr>
                <w:lang w:eastAsia="en-AU"/>
              </w:rPr>
            </w:pPr>
            <w:r w:rsidRPr="005F0950">
              <w:t>84.3</w:t>
            </w:r>
          </w:p>
        </w:tc>
        <w:tc>
          <w:tcPr>
            <w:tcW w:w="907" w:type="dxa"/>
            <w:tcBorders>
              <w:left w:val="nil"/>
            </w:tcBorders>
            <w:shd w:val="clear" w:color="auto" w:fill="E7E6E6"/>
          </w:tcPr>
          <w:p w14:paraId="5C6E42BA" w14:textId="77777777" w:rsidR="00FA7EBF" w:rsidRPr="007939DD" w:rsidRDefault="00FA7EBF" w:rsidP="007B207C">
            <w:pPr>
              <w:pStyle w:val="ARfintablebodyrightbold"/>
              <w:spacing w:line="233" w:lineRule="auto"/>
              <w:rPr>
                <w:lang w:eastAsia="en-AU"/>
              </w:rPr>
            </w:pPr>
            <w:r w:rsidRPr="005F0950">
              <w:t>75.5</w:t>
            </w:r>
          </w:p>
        </w:tc>
        <w:tc>
          <w:tcPr>
            <w:tcW w:w="907" w:type="dxa"/>
          </w:tcPr>
          <w:p w14:paraId="0D02B057" w14:textId="77777777" w:rsidR="00FA7EBF" w:rsidRPr="007939DD" w:rsidRDefault="00FA7EBF" w:rsidP="007B207C">
            <w:pPr>
              <w:pStyle w:val="ARfintablebodyrightbold"/>
              <w:spacing w:line="233" w:lineRule="auto"/>
              <w:rPr>
                <w:lang w:eastAsia="en-AU"/>
              </w:rPr>
            </w:pPr>
            <w:r w:rsidRPr="005F0950">
              <w:t>2.1</w:t>
            </w:r>
          </w:p>
        </w:tc>
        <w:tc>
          <w:tcPr>
            <w:tcW w:w="907" w:type="dxa"/>
          </w:tcPr>
          <w:p w14:paraId="3B33BA1F" w14:textId="77777777" w:rsidR="00FA7EBF" w:rsidRPr="007939DD" w:rsidRDefault="00FA7EBF" w:rsidP="007B207C">
            <w:pPr>
              <w:pStyle w:val="ARfintablebodyrightbold"/>
              <w:spacing w:line="233" w:lineRule="auto"/>
              <w:rPr>
                <w:lang w:eastAsia="en-AU"/>
              </w:rPr>
            </w:pPr>
            <w:r w:rsidRPr="005F0950">
              <w:t>–</w:t>
            </w:r>
          </w:p>
        </w:tc>
        <w:tc>
          <w:tcPr>
            <w:tcW w:w="907" w:type="dxa"/>
          </w:tcPr>
          <w:p w14:paraId="4A77F9CC" w14:textId="77777777" w:rsidR="00FA7EBF" w:rsidRPr="007939DD" w:rsidRDefault="00FA7EBF" w:rsidP="007B207C">
            <w:pPr>
              <w:pStyle w:val="ARfintablebodyrightbold"/>
              <w:spacing w:line="233" w:lineRule="auto"/>
              <w:rPr>
                <w:lang w:eastAsia="en-AU"/>
              </w:rPr>
            </w:pPr>
            <w:r w:rsidRPr="005F0950">
              <w:t>10,318.3</w:t>
            </w:r>
          </w:p>
        </w:tc>
        <w:tc>
          <w:tcPr>
            <w:tcW w:w="907" w:type="dxa"/>
          </w:tcPr>
          <w:p w14:paraId="77B6EC56" w14:textId="77777777" w:rsidR="00FA7EBF" w:rsidRPr="007939DD" w:rsidRDefault="00FA7EBF" w:rsidP="007B207C">
            <w:pPr>
              <w:pStyle w:val="ARfintablebodyrightbold"/>
              <w:spacing w:line="233" w:lineRule="auto"/>
              <w:rPr>
                <w:lang w:eastAsia="en-AU"/>
              </w:rPr>
            </w:pPr>
            <w:r w:rsidRPr="005F0950">
              <w:t>10,282.7</w:t>
            </w:r>
          </w:p>
        </w:tc>
        <w:tc>
          <w:tcPr>
            <w:tcW w:w="907" w:type="dxa"/>
          </w:tcPr>
          <w:p w14:paraId="3F95884B" w14:textId="77777777" w:rsidR="00FA7EBF" w:rsidRPr="007939DD" w:rsidRDefault="00FA7EBF" w:rsidP="007B207C">
            <w:pPr>
              <w:pStyle w:val="ARfintablebodyrightbold"/>
              <w:spacing w:line="233" w:lineRule="auto"/>
              <w:rPr>
                <w:lang w:eastAsia="en-AU"/>
              </w:rPr>
            </w:pPr>
            <w:r w:rsidRPr="005F0950">
              <w:t>(7.0)</w:t>
            </w:r>
          </w:p>
        </w:tc>
        <w:tc>
          <w:tcPr>
            <w:tcW w:w="907" w:type="dxa"/>
          </w:tcPr>
          <w:p w14:paraId="669A7232" w14:textId="77777777" w:rsidR="00FA7EBF" w:rsidRPr="007939DD" w:rsidRDefault="00FA7EBF" w:rsidP="007B207C">
            <w:pPr>
              <w:pStyle w:val="ARfintablebodyrightbold"/>
              <w:spacing w:line="233" w:lineRule="auto"/>
              <w:rPr>
                <w:rStyle w:val="Strong"/>
                <w:bCs w:val="0"/>
              </w:rPr>
            </w:pPr>
            <w:r w:rsidRPr="005F0950">
              <w:t>30.7</w:t>
            </w:r>
          </w:p>
        </w:tc>
      </w:tr>
    </w:tbl>
    <w:p w14:paraId="1D106DF5" w14:textId="77777777" w:rsidR="00FA7EBF" w:rsidRPr="006422F1" w:rsidRDefault="00FA7EBF" w:rsidP="00CA66FD">
      <w:pPr>
        <w:pStyle w:val="ARfinbody"/>
      </w:pPr>
    </w:p>
    <w:p w14:paraId="1A570428" w14:textId="77777777" w:rsidR="00FA7EBF" w:rsidRDefault="00FA7EBF" w:rsidP="00CA66FD">
      <w:pPr>
        <w:pStyle w:val="Heading5"/>
        <w:rPr>
          <w:lang w:eastAsia="en-AU"/>
        </w:rPr>
        <w:sectPr w:rsidR="00FA7EBF" w:rsidSect="007B207C">
          <w:footerReference w:type="even" r:id="rId194"/>
          <w:endnotePr>
            <w:numFmt w:val="decimal"/>
          </w:endnotePr>
          <w:pgSz w:w="16838" w:h="11906" w:orient="landscape" w:code="9"/>
          <w:pgMar w:top="1418" w:right="1531" w:bottom="1418" w:left="851" w:header="851" w:footer="851" w:gutter="0"/>
          <w:paperSrc w:first="258"/>
          <w:cols w:space="454"/>
          <w:docGrid w:linePitch="326"/>
        </w:sectPr>
      </w:pPr>
    </w:p>
    <w:p w14:paraId="17473632" w14:textId="77777777" w:rsidR="00FA7EBF" w:rsidRPr="00194D78" w:rsidRDefault="00FA7EBF" w:rsidP="00CA66FD">
      <w:pPr>
        <w:pStyle w:val="Heading5"/>
        <w:spacing w:before="0"/>
        <w:rPr>
          <w:lang w:eastAsia="en-AU"/>
        </w:rPr>
      </w:pPr>
      <w:r w:rsidRPr="00194D78">
        <w:rPr>
          <w:lang w:eastAsia="en-AU"/>
        </w:rPr>
        <w:t>Third party funds under management</w:t>
      </w:r>
    </w:p>
    <w:p w14:paraId="21F6D077" w14:textId="77777777" w:rsidR="00FA7EBF" w:rsidRPr="00194D78" w:rsidRDefault="00FA7EBF" w:rsidP="00CA66FD">
      <w:pPr>
        <w:pStyle w:val="ARfinbody"/>
      </w:pPr>
      <w:r w:rsidRPr="00194D78">
        <w:t>Third party funds under management are funds held in trust for certain clients. They are not used for government purposes and therefore not included in the department</w:t>
      </w:r>
      <w:r>
        <w:t>’</w:t>
      </w:r>
      <w:r w:rsidRPr="00194D78">
        <w:t>s financial statements.</w:t>
      </w:r>
    </w:p>
    <w:p w14:paraId="14A836D5" w14:textId="77777777" w:rsidR="00FA7EBF" w:rsidRPr="00194D78" w:rsidRDefault="00FA7EBF" w:rsidP="00CA66FD">
      <w:pPr>
        <w:pStyle w:val="ARfinbody"/>
      </w:pPr>
      <w:r w:rsidRPr="00194D78">
        <w:t xml:space="preserve">In February 2009, the Assistant Treasurer approved the establishment of the 2009 Victorian Bushfire Appeal Trust Account in the Public Account, as part of the Trust Fund, pursuant to </w:t>
      </w:r>
      <w:r>
        <w:t>s.</w:t>
      </w:r>
      <w:r w:rsidRPr="00194D78">
        <w:t xml:space="preserve"> 19(1) of the </w:t>
      </w:r>
      <w:r w:rsidRPr="00F524E9">
        <w:rPr>
          <w:rStyle w:val="Emphasis"/>
          <w:iCs w:val="0"/>
        </w:rPr>
        <w:t>Financial Management Act 1994</w:t>
      </w:r>
      <w:r w:rsidRPr="00194D78">
        <w:t>.</w:t>
      </w:r>
    </w:p>
    <w:p w14:paraId="144C3571" w14:textId="77777777" w:rsidR="00FA7EBF" w:rsidRPr="00194D78" w:rsidRDefault="00FA7EBF" w:rsidP="00CA66FD">
      <w:pPr>
        <w:pStyle w:val="ARfinbody"/>
      </w:pPr>
      <w:r w:rsidRPr="00194D78">
        <w:t>The purpose of the trust account is the receipt of donations and other contributions, and their disbursement for assistance to individuals and communities in towns, suburbs and rural areas affected by the 2009 Victorian bushfires. Contributions include funds provided by the Victorian, Commonwealth and other jurisdictions, as well as the general public, for the above purpose.</w:t>
      </w:r>
    </w:p>
    <w:p w14:paraId="4AAADC09" w14:textId="77777777" w:rsidR="00FA7EBF" w:rsidRDefault="00FA7EBF" w:rsidP="00CA66FD">
      <w:pPr>
        <w:pStyle w:val="ARfinbodylargespace"/>
      </w:pPr>
      <w:r w:rsidRPr="00194D78">
        <w:t xml:space="preserve">Pursuant to </w:t>
      </w:r>
      <w:r>
        <w:t>s.</w:t>
      </w:r>
      <w:r w:rsidRPr="00194D78">
        <w:t xml:space="preserve"> 21 of the </w:t>
      </w:r>
      <w:r w:rsidRPr="00F524E9">
        <w:rPr>
          <w:rStyle w:val="Emphasis"/>
          <w:iCs w:val="0"/>
        </w:rPr>
        <w:t>Financial Management Act 1994</w:t>
      </w:r>
      <w:r w:rsidRPr="00194D78">
        <w:t xml:space="preserve">, monies from the 2009 Victorian Bushfire Appeal Trust Account have been invested as allowed under the </w:t>
      </w:r>
      <w:r w:rsidRPr="00F524E9">
        <w:rPr>
          <w:rStyle w:val="Emphasis"/>
          <w:iCs w:val="0"/>
        </w:rPr>
        <w:t>Trustee Act 1958</w:t>
      </w:r>
      <w:r w:rsidRPr="00194D78">
        <w:t>. Interest earned is credited to the trust account.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6422F1" w14:paraId="0468E0FD" w14:textId="77777777" w:rsidTr="007B207C">
        <w:trPr>
          <w:cantSplit/>
          <w:tblHeader/>
        </w:trPr>
        <w:tc>
          <w:tcPr>
            <w:tcW w:w="7371" w:type="dxa"/>
            <w:vAlign w:val="bottom"/>
          </w:tcPr>
          <w:p w14:paraId="17C810A6" w14:textId="77777777" w:rsidR="00FA7EBF" w:rsidRPr="007939DD" w:rsidRDefault="00FA7EBF" w:rsidP="007B207C">
            <w:pPr>
              <w:pStyle w:val="ARfintablecolhead"/>
            </w:pPr>
          </w:p>
        </w:tc>
        <w:tc>
          <w:tcPr>
            <w:tcW w:w="1134" w:type="dxa"/>
            <w:shd w:val="clear" w:color="auto" w:fill="E7E6E6"/>
            <w:vAlign w:val="bottom"/>
          </w:tcPr>
          <w:p w14:paraId="71337FCD" w14:textId="77777777" w:rsidR="00FA7EBF" w:rsidRPr="00AD3340" w:rsidRDefault="00FA7EBF" w:rsidP="007B207C">
            <w:pPr>
              <w:pStyle w:val="ARfintablecolheadright"/>
            </w:pPr>
            <w:r w:rsidRPr="00AD3340">
              <w:t>2019</w:t>
            </w:r>
          </w:p>
          <w:p w14:paraId="5FBAD0F5" w14:textId="77777777" w:rsidR="00FA7EBF" w:rsidRPr="00AD3340" w:rsidRDefault="00FA7EBF" w:rsidP="007B207C">
            <w:pPr>
              <w:pStyle w:val="ARfintablecolheadright"/>
            </w:pPr>
            <w:r w:rsidRPr="00AD3340">
              <w:t>$M</w:t>
            </w:r>
          </w:p>
        </w:tc>
        <w:tc>
          <w:tcPr>
            <w:tcW w:w="1134" w:type="dxa"/>
            <w:vAlign w:val="bottom"/>
          </w:tcPr>
          <w:p w14:paraId="1CEF4004" w14:textId="77777777" w:rsidR="00FA7EBF" w:rsidRPr="00AD3340" w:rsidRDefault="00FA7EBF" w:rsidP="007B207C">
            <w:pPr>
              <w:pStyle w:val="ARfintablecolheadright"/>
            </w:pPr>
            <w:r w:rsidRPr="00AD3340">
              <w:t>2018</w:t>
            </w:r>
          </w:p>
          <w:p w14:paraId="21779A58" w14:textId="77777777" w:rsidR="00FA7EBF" w:rsidRPr="00AD3340" w:rsidRDefault="00FA7EBF" w:rsidP="007B207C">
            <w:pPr>
              <w:pStyle w:val="ARfintablecolheadright"/>
            </w:pPr>
            <w:r w:rsidRPr="00AD3340">
              <w:t>$M</w:t>
            </w:r>
          </w:p>
        </w:tc>
      </w:tr>
      <w:tr w:rsidR="00FA7EBF" w:rsidRPr="006422F1" w14:paraId="0223008C" w14:textId="77777777" w:rsidTr="007B207C">
        <w:trPr>
          <w:cantSplit/>
        </w:trPr>
        <w:tc>
          <w:tcPr>
            <w:tcW w:w="9639" w:type="dxa"/>
            <w:gridSpan w:val="3"/>
            <w:tcBorders>
              <w:bottom w:val="single" w:sz="4" w:space="0" w:color="A6A6A6" w:themeColor="background1" w:themeShade="A6"/>
            </w:tcBorders>
          </w:tcPr>
          <w:p w14:paraId="468BF42B" w14:textId="77777777" w:rsidR="00FA7EBF" w:rsidRPr="006422F1" w:rsidRDefault="00FA7EBF" w:rsidP="007B207C">
            <w:pPr>
              <w:pStyle w:val="ARfintablebodybold"/>
              <w:rPr>
                <w:highlight w:val="cyan"/>
                <w:lang w:eastAsia="en-AU"/>
              </w:rPr>
            </w:pPr>
            <w:r w:rsidRPr="004D4125">
              <w:t>2009 Victorian Bushfire Appeal Trust account</w:t>
            </w:r>
          </w:p>
        </w:tc>
      </w:tr>
      <w:tr w:rsidR="00FA7EBF" w:rsidRPr="006422F1" w14:paraId="11A4908A"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3D8B60E" w14:textId="77777777" w:rsidR="00FA7EBF" w:rsidRPr="006422F1" w:rsidRDefault="00FA7EBF" w:rsidP="007B207C">
            <w:pPr>
              <w:pStyle w:val="ARfintablebody"/>
              <w:rPr>
                <w:highlight w:val="cyan"/>
                <w:lang w:eastAsia="en-AU"/>
              </w:rPr>
            </w:pPr>
            <w:r w:rsidRPr="004D4125">
              <w:t>Cash at bank</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BCCFD98" w14:textId="77777777" w:rsidR="00FA7EBF" w:rsidRPr="006422F1" w:rsidRDefault="00FA7EBF" w:rsidP="007B207C">
            <w:pPr>
              <w:pStyle w:val="ARfintablebodyright"/>
              <w:rPr>
                <w:highlight w:val="cyan"/>
                <w:lang w:eastAsia="en-AU"/>
              </w:rPr>
            </w:pPr>
            <w:r w:rsidRPr="004D4125">
              <w:t>0.8</w:t>
            </w:r>
          </w:p>
        </w:tc>
        <w:tc>
          <w:tcPr>
            <w:tcW w:w="1134" w:type="dxa"/>
            <w:tcBorders>
              <w:top w:val="single" w:sz="4" w:space="0" w:color="A6A6A6" w:themeColor="background1" w:themeShade="A6"/>
              <w:bottom w:val="single" w:sz="4" w:space="0" w:color="A6A6A6" w:themeColor="background1" w:themeShade="A6"/>
            </w:tcBorders>
          </w:tcPr>
          <w:p w14:paraId="02299E25" w14:textId="77777777" w:rsidR="00FA7EBF" w:rsidRPr="006422F1" w:rsidRDefault="00FA7EBF" w:rsidP="007B207C">
            <w:pPr>
              <w:pStyle w:val="ARfintablebodyright"/>
              <w:rPr>
                <w:highlight w:val="cyan"/>
                <w:lang w:eastAsia="en-AU"/>
              </w:rPr>
            </w:pPr>
            <w:r w:rsidRPr="004D4125">
              <w:t>0.9</w:t>
            </w:r>
          </w:p>
        </w:tc>
      </w:tr>
      <w:tr w:rsidR="00FA7EBF" w:rsidRPr="006422F1" w14:paraId="1485A79F" w14:textId="77777777" w:rsidTr="007B207C">
        <w:trPr>
          <w:cantSplit/>
        </w:trPr>
        <w:tc>
          <w:tcPr>
            <w:tcW w:w="7371" w:type="dxa"/>
            <w:tcBorders>
              <w:top w:val="single" w:sz="4" w:space="0" w:color="A6A6A6" w:themeColor="background1" w:themeShade="A6"/>
            </w:tcBorders>
          </w:tcPr>
          <w:p w14:paraId="7149C038" w14:textId="77777777" w:rsidR="00FA7EBF" w:rsidRPr="006422F1" w:rsidRDefault="00FA7EBF" w:rsidP="007B207C">
            <w:pPr>
              <w:pStyle w:val="ARfintablebody"/>
              <w:rPr>
                <w:highlight w:val="cyan"/>
                <w:lang w:eastAsia="en-AU"/>
              </w:rPr>
            </w:pPr>
            <w:r w:rsidRPr="004D4125">
              <w:t>Receivable</w:t>
            </w:r>
          </w:p>
        </w:tc>
        <w:tc>
          <w:tcPr>
            <w:tcW w:w="1134" w:type="dxa"/>
            <w:tcBorders>
              <w:top w:val="single" w:sz="4" w:space="0" w:color="A6A6A6" w:themeColor="background1" w:themeShade="A6"/>
            </w:tcBorders>
            <w:shd w:val="clear" w:color="auto" w:fill="E7E6E6"/>
          </w:tcPr>
          <w:p w14:paraId="35601D21" w14:textId="77777777" w:rsidR="00FA7EBF" w:rsidRPr="006422F1" w:rsidRDefault="00FA7EBF" w:rsidP="007B207C">
            <w:pPr>
              <w:pStyle w:val="ARfintablebodyright"/>
              <w:rPr>
                <w:highlight w:val="cyan"/>
                <w:lang w:eastAsia="en-AU"/>
              </w:rPr>
            </w:pPr>
            <w:r w:rsidRPr="004D4125">
              <w:t>0.1</w:t>
            </w:r>
          </w:p>
        </w:tc>
        <w:tc>
          <w:tcPr>
            <w:tcW w:w="1134" w:type="dxa"/>
            <w:tcBorders>
              <w:top w:val="single" w:sz="4" w:space="0" w:color="A6A6A6" w:themeColor="background1" w:themeShade="A6"/>
            </w:tcBorders>
          </w:tcPr>
          <w:p w14:paraId="434A4D56" w14:textId="77777777" w:rsidR="00FA7EBF" w:rsidRPr="006422F1" w:rsidRDefault="00FA7EBF" w:rsidP="007B207C">
            <w:pPr>
              <w:pStyle w:val="ARfintablebodyright"/>
              <w:rPr>
                <w:highlight w:val="cyan"/>
                <w:lang w:eastAsia="en-AU"/>
              </w:rPr>
            </w:pPr>
            <w:r w:rsidRPr="004D4125">
              <w:t>0.1</w:t>
            </w:r>
          </w:p>
        </w:tc>
      </w:tr>
      <w:tr w:rsidR="00FA7EBF" w:rsidRPr="006422F1" w14:paraId="739E0AA0" w14:textId="77777777" w:rsidTr="007B207C">
        <w:trPr>
          <w:cantSplit/>
        </w:trPr>
        <w:tc>
          <w:tcPr>
            <w:tcW w:w="7371" w:type="dxa"/>
          </w:tcPr>
          <w:p w14:paraId="667C4E42" w14:textId="77777777" w:rsidR="00FA7EBF" w:rsidRPr="006422F1" w:rsidRDefault="00FA7EBF" w:rsidP="007B207C">
            <w:pPr>
              <w:pStyle w:val="ARfintablebodybold"/>
              <w:rPr>
                <w:highlight w:val="cyan"/>
                <w:lang w:eastAsia="en-AU"/>
              </w:rPr>
            </w:pPr>
            <w:r w:rsidRPr="004D4125">
              <w:t>Total funds under management</w:t>
            </w:r>
          </w:p>
        </w:tc>
        <w:tc>
          <w:tcPr>
            <w:tcW w:w="1134" w:type="dxa"/>
            <w:shd w:val="clear" w:color="auto" w:fill="E7E6E6"/>
          </w:tcPr>
          <w:p w14:paraId="49D32F77" w14:textId="77777777" w:rsidR="00FA7EBF" w:rsidRPr="006422F1" w:rsidRDefault="00FA7EBF" w:rsidP="007B207C">
            <w:pPr>
              <w:pStyle w:val="ARfintablebodyrightbold"/>
              <w:rPr>
                <w:highlight w:val="cyan"/>
                <w:lang w:eastAsia="en-AU"/>
              </w:rPr>
            </w:pPr>
            <w:r w:rsidRPr="004D4125">
              <w:t>0.9</w:t>
            </w:r>
          </w:p>
        </w:tc>
        <w:tc>
          <w:tcPr>
            <w:tcW w:w="1134" w:type="dxa"/>
          </w:tcPr>
          <w:p w14:paraId="45D0BAE0" w14:textId="77777777" w:rsidR="00FA7EBF" w:rsidRPr="006422F1" w:rsidRDefault="00FA7EBF" w:rsidP="007B207C">
            <w:pPr>
              <w:pStyle w:val="ARfintablebodyrightbold"/>
              <w:rPr>
                <w:rStyle w:val="Strong"/>
                <w:bCs w:val="0"/>
                <w:highlight w:val="cyan"/>
              </w:rPr>
            </w:pPr>
            <w:r w:rsidRPr="004D4125">
              <w:t>1.0</w:t>
            </w:r>
          </w:p>
        </w:tc>
      </w:tr>
      <w:tr w:rsidR="00FA7EBF" w:rsidRPr="006422F1" w14:paraId="104E2A8B" w14:textId="77777777" w:rsidTr="007B207C">
        <w:trPr>
          <w:cantSplit/>
        </w:trPr>
        <w:tc>
          <w:tcPr>
            <w:tcW w:w="7371" w:type="dxa"/>
            <w:tcBorders>
              <w:bottom w:val="single" w:sz="4" w:space="0" w:color="A6A6A6" w:themeColor="background1" w:themeShade="A6"/>
            </w:tcBorders>
          </w:tcPr>
          <w:p w14:paraId="110A8182" w14:textId="77777777" w:rsidR="00FA7EBF" w:rsidRPr="006422F1" w:rsidRDefault="00FA7EBF" w:rsidP="007B207C">
            <w:pPr>
              <w:pStyle w:val="ARfintablebody"/>
              <w:rPr>
                <w:highlight w:val="cyan"/>
                <w:lang w:eastAsia="en-AU"/>
              </w:rPr>
            </w:pPr>
            <w:r w:rsidRPr="004D4125">
              <w:t>Balance of funds brought forward 1 July 2018</w:t>
            </w:r>
          </w:p>
        </w:tc>
        <w:tc>
          <w:tcPr>
            <w:tcW w:w="1134" w:type="dxa"/>
            <w:tcBorders>
              <w:bottom w:val="single" w:sz="4" w:space="0" w:color="A6A6A6" w:themeColor="background1" w:themeShade="A6"/>
            </w:tcBorders>
            <w:shd w:val="clear" w:color="auto" w:fill="E7E6E6"/>
          </w:tcPr>
          <w:p w14:paraId="5B17028F" w14:textId="77777777" w:rsidR="00FA7EBF" w:rsidRPr="006422F1" w:rsidRDefault="00FA7EBF" w:rsidP="007B207C">
            <w:pPr>
              <w:pStyle w:val="ARfintablebodyright"/>
              <w:rPr>
                <w:highlight w:val="cyan"/>
                <w:lang w:eastAsia="en-AU"/>
              </w:rPr>
            </w:pPr>
            <w:r w:rsidRPr="004D4125">
              <w:t>1.0</w:t>
            </w:r>
          </w:p>
        </w:tc>
        <w:tc>
          <w:tcPr>
            <w:tcW w:w="1134" w:type="dxa"/>
            <w:tcBorders>
              <w:bottom w:val="single" w:sz="4" w:space="0" w:color="A6A6A6" w:themeColor="background1" w:themeShade="A6"/>
            </w:tcBorders>
          </w:tcPr>
          <w:p w14:paraId="1CCA19D8" w14:textId="77777777" w:rsidR="00FA7EBF" w:rsidRPr="006422F1" w:rsidRDefault="00FA7EBF" w:rsidP="007B207C">
            <w:pPr>
              <w:pStyle w:val="ARfintablebodyright"/>
              <w:rPr>
                <w:highlight w:val="cyan"/>
                <w:lang w:eastAsia="en-AU"/>
              </w:rPr>
            </w:pPr>
            <w:r w:rsidRPr="004D4125">
              <w:t>3.0</w:t>
            </w:r>
          </w:p>
        </w:tc>
      </w:tr>
      <w:tr w:rsidR="00FA7EBF" w:rsidRPr="006422F1" w14:paraId="2735D9FB" w14:textId="77777777" w:rsidTr="007B207C">
        <w:trPr>
          <w:cantSplit/>
        </w:trPr>
        <w:tc>
          <w:tcPr>
            <w:tcW w:w="7371" w:type="dxa"/>
            <w:tcBorders>
              <w:top w:val="single" w:sz="4" w:space="0" w:color="A6A6A6" w:themeColor="background1" w:themeShade="A6"/>
            </w:tcBorders>
          </w:tcPr>
          <w:p w14:paraId="21C2DD61" w14:textId="77777777" w:rsidR="00FA7EBF" w:rsidRPr="006422F1" w:rsidRDefault="00FA7EBF" w:rsidP="007B207C">
            <w:pPr>
              <w:pStyle w:val="ARfintablebody"/>
              <w:rPr>
                <w:highlight w:val="cyan"/>
                <w:lang w:eastAsia="en-AU"/>
              </w:rPr>
            </w:pPr>
            <w:r w:rsidRPr="004D4125">
              <w:t>Interest earned</w:t>
            </w:r>
          </w:p>
        </w:tc>
        <w:tc>
          <w:tcPr>
            <w:tcW w:w="1134" w:type="dxa"/>
            <w:tcBorders>
              <w:top w:val="single" w:sz="4" w:space="0" w:color="A6A6A6" w:themeColor="background1" w:themeShade="A6"/>
            </w:tcBorders>
            <w:shd w:val="clear" w:color="auto" w:fill="E7E6E6"/>
          </w:tcPr>
          <w:p w14:paraId="4BB3A5A2" w14:textId="77777777" w:rsidR="00FA7EBF" w:rsidRPr="006422F1" w:rsidRDefault="00FA7EBF" w:rsidP="007B207C">
            <w:pPr>
              <w:pStyle w:val="ARfintablebodyright"/>
              <w:rPr>
                <w:highlight w:val="cyan"/>
                <w:lang w:eastAsia="en-AU"/>
              </w:rPr>
            </w:pPr>
            <w:r w:rsidRPr="004A016B">
              <w:t>–</w:t>
            </w:r>
          </w:p>
        </w:tc>
        <w:tc>
          <w:tcPr>
            <w:tcW w:w="1134" w:type="dxa"/>
            <w:tcBorders>
              <w:top w:val="single" w:sz="4" w:space="0" w:color="A6A6A6" w:themeColor="background1" w:themeShade="A6"/>
            </w:tcBorders>
          </w:tcPr>
          <w:p w14:paraId="45E6180F" w14:textId="77777777" w:rsidR="00FA7EBF" w:rsidRPr="006422F1" w:rsidRDefault="00FA7EBF" w:rsidP="007B207C">
            <w:pPr>
              <w:pStyle w:val="ARfintablebodyright"/>
              <w:rPr>
                <w:highlight w:val="cyan"/>
                <w:lang w:eastAsia="en-AU"/>
              </w:rPr>
            </w:pPr>
            <w:r w:rsidRPr="004D4125">
              <w:t>–</w:t>
            </w:r>
          </w:p>
        </w:tc>
      </w:tr>
      <w:tr w:rsidR="00FA7EBF" w:rsidRPr="006422F1" w14:paraId="099A88EB" w14:textId="77777777" w:rsidTr="007B207C">
        <w:trPr>
          <w:cantSplit/>
        </w:trPr>
        <w:tc>
          <w:tcPr>
            <w:tcW w:w="7371" w:type="dxa"/>
          </w:tcPr>
          <w:p w14:paraId="57F8468D" w14:textId="77777777" w:rsidR="00FA7EBF" w:rsidRPr="006422F1" w:rsidRDefault="00FA7EBF" w:rsidP="007B207C">
            <w:pPr>
              <w:pStyle w:val="ARfintablebodybold"/>
              <w:rPr>
                <w:highlight w:val="cyan"/>
                <w:lang w:eastAsia="en-AU"/>
              </w:rPr>
            </w:pPr>
            <w:r w:rsidRPr="004D4125">
              <w:t>Total funds available</w:t>
            </w:r>
          </w:p>
        </w:tc>
        <w:tc>
          <w:tcPr>
            <w:tcW w:w="1134" w:type="dxa"/>
            <w:shd w:val="clear" w:color="auto" w:fill="E7E6E6"/>
          </w:tcPr>
          <w:p w14:paraId="6AB77D4A" w14:textId="77777777" w:rsidR="00FA7EBF" w:rsidRPr="006422F1" w:rsidRDefault="00FA7EBF" w:rsidP="007B207C">
            <w:pPr>
              <w:pStyle w:val="ARfintablebodyrightbold"/>
              <w:rPr>
                <w:highlight w:val="cyan"/>
                <w:lang w:eastAsia="en-AU"/>
              </w:rPr>
            </w:pPr>
            <w:r w:rsidRPr="004D4125">
              <w:t>1.0</w:t>
            </w:r>
          </w:p>
        </w:tc>
        <w:tc>
          <w:tcPr>
            <w:tcW w:w="1134" w:type="dxa"/>
          </w:tcPr>
          <w:p w14:paraId="1C4E7992" w14:textId="77777777" w:rsidR="00FA7EBF" w:rsidRPr="006422F1" w:rsidRDefault="00FA7EBF" w:rsidP="007B207C">
            <w:pPr>
              <w:pStyle w:val="ARfintablebodyrightbold"/>
              <w:rPr>
                <w:rStyle w:val="Strong"/>
                <w:bCs w:val="0"/>
                <w:highlight w:val="cyan"/>
              </w:rPr>
            </w:pPr>
            <w:r w:rsidRPr="004D4125">
              <w:t>3.0</w:t>
            </w:r>
          </w:p>
        </w:tc>
      </w:tr>
      <w:tr w:rsidR="00FA7EBF" w:rsidRPr="006422F1" w14:paraId="424BF483" w14:textId="77777777" w:rsidTr="007B207C">
        <w:trPr>
          <w:cantSplit/>
        </w:trPr>
        <w:tc>
          <w:tcPr>
            <w:tcW w:w="7371" w:type="dxa"/>
          </w:tcPr>
          <w:p w14:paraId="08835FAA" w14:textId="77777777" w:rsidR="00FA7EBF" w:rsidRPr="006422F1" w:rsidRDefault="00FA7EBF" w:rsidP="007B207C">
            <w:pPr>
              <w:pStyle w:val="ARfintablebody"/>
              <w:rPr>
                <w:highlight w:val="cyan"/>
                <w:lang w:eastAsia="en-AU"/>
              </w:rPr>
            </w:pPr>
            <w:r w:rsidRPr="004D4125">
              <w:t>Payments to individuals and communities</w:t>
            </w:r>
          </w:p>
        </w:tc>
        <w:tc>
          <w:tcPr>
            <w:tcW w:w="1134" w:type="dxa"/>
            <w:shd w:val="clear" w:color="auto" w:fill="E7E6E6"/>
          </w:tcPr>
          <w:p w14:paraId="32F9AA64" w14:textId="77777777" w:rsidR="00FA7EBF" w:rsidRPr="006422F1" w:rsidRDefault="00FA7EBF" w:rsidP="007B207C">
            <w:pPr>
              <w:pStyle w:val="ARfintablebodyright"/>
              <w:rPr>
                <w:highlight w:val="cyan"/>
                <w:lang w:eastAsia="en-AU"/>
              </w:rPr>
            </w:pPr>
            <w:r w:rsidRPr="004D4125">
              <w:t>0.1</w:t>
            </w:r>
          </w:p>
        </w:tc>
        <w:tc>
          <w:tcPr>
            <w:tcW w:w="1134" w:type="dxa"/>
          </w:tcPr>
          <w:p w14:paraId="2F0A898F" w14:textId="77777777" w:rsidR="00FA7EBF" w:rsidRPr="006422F1" w:rsidRDefault="00FA7EBF" w:rsidP="007B207C">
            <w:pPr>
              <w:pStyle w:val="ARfintablebodyright"/>
              <w:rPr>
                <w:highlight w:val="cyan"/>
                <w:lang w:eastAsia="en-AU"/>
              </w:rPr>
            </w:pPr>
            <w:r w:rsidRPr="004D4125">
              <w:t>2.0</w:t>
            </w:r>
          </w:p>
        </w:tc>
      </w:tr>
      <w:tr w:rsidR="00FA7EBF" w:rsidRPr="006422F1" w14:paraId="64425200" w14:textId="77777777" w:rsidTr="007B207C">
        <w:trPr>
          <w:cantSplit/>
        </w:trPr>
        <w:tc>
          <w:tcPr>
            <w:tcW w:w="7371" w:type="dxa"/>
          </w:tcPr>
          <w:p w14:paraId="76F01CF4" w14:textId="77777777" w:rsidR="00FA7EBF" w:rsidRPr="006422F1" w:rsidRDefault="00FA7EBF" w:rsidP="007B207C">
            <w:pPr>
              <w:pStyle w:val="ARfintablebodybold"/>
              <w:rPr>
                <w:highlight w:val="cyan"/>
                <w:lang w:eastAsia="en-AU"/>
              </w:rPr>
            </w:pPr>
            <w:r w:rsidRPr="004D4125">
              <w:t>Total payments</w:t>
            </w:r>
          </w:p>
        </w:tc>
        <w:tc>
          <w:tcPr>
            <w:tcW w:w="1134" w:type="dxa"/>
            <w:shd w:val="clear" w:color="auto" w:fill="E7E6E6"/>
          </w:tcPr>
          <w:p w14:paraId="7493B4E6" w14:textId="77777777" w:rsidR="00FA7EBF" w:rsidRPr="006422F1" w:rsidRDefault="00FA7EBF" w:rsidP="007B207C">
            <w:pPr>
              <w:pStyle w:val="ARfintablebodyrightbold"/>
              <w:rPr>
                <w:highlight w:val="cyan"/>
                <w:lang w:eastAsia="en-AU"/>
              </w:rPr>
            </w:pPr>
            <w:r w:rsidRPr="004D4125">
              <w:t>0.1</w:t>
            </w:r>
          </w:p>
        </w:tc>
        <w:tc>
          <w:tcPr>
            <w:tcW w:w="1134" w:type="dxa"/>
          </w:tcPr>
          <w:p w14:paraId="618FC9EC" w14:textId="77777777" w:rsidR="00FA7EBF" w:rsidRPr="006422F1" w:rsidRDefault="00FA7EBF" w:rsidP="007B207C">
            <w:pPr>
              <w:pStyle w:val="ARfintablebodyrightbold"/>
              <w:rPr>
                <w:rStyle w:val="Strong"/>
                <w:bCs w:val="0"/>
                <w:highlight w:val="cyan"/>
              </w:rPr>
            </w:pPr>
            <w:r w:rsidRPr="004D4125">
              <w:t>2.0</w:t>
            </w:r>
          </w:p>
        </w:tc>
      </w:tr>
      <w:tr w:rsidR="00FA7EBF" w:rsidRPr="006422F1" w14:paraId="2C57833E" w14:textId="77777777" w:rsidTr="007B207C">
        <w:trPr>
          <w:cantSplit/>
        </w:trPr>
        <w:tc>
          <w:tcPr>
            <w:tcW w:w="7371" w:type="dxa"/>
          </w:tcPr>
          <w:p w14:paraId="5F50C016" w14:textId="77777777" w:rsidR="00FA7EBF" w:rsidRPr="006422F1" w:rsidRDefault="00FA7EBF" w:rsidP="007B207C">
            <w:pPr>
              <w:pStyle w:val="ARfintablebodybold"/>
              <w:rPr>
                <w:highlight w:val="cyan"/>
                <w:lang w:eastAsia="en-AU"/>
              </w:rPr>
            </w:pPr>
            <w:r w:rsidRPr="004D4125">
              <w:t>Balance carried forward</w:t>
            </w:r>
          </w:p>
        </w:tc>
        <w:tc>
          <w:tcPr>
            <w:tcW w:w="1134" w:type="dxa"/>
            <w:shd w:val="clear" w:color="auto" w:fill="E7E6E6"/>
          </w:tcPr>
          <w:p w14:paraId="37E5F006" w14:textId="77777777" w:rsidR="00FA7EBF" w:rsidRPr="006422F1" w:rsidRDefault="00FA7EBF" w:rsidP="007B207C">
            <w:pPr>
              <w:pStyle w:val="ARfintablebodyrightbold"/>
              <w:rPr>
                <w:highlight w:val="cyan"/>
                <w:lang w:eastAsia="en-AU"/>
              </w:rPr>
            </w:pPr>
            <w:r w:rsidRPr="004D4125">
              <w:t>0.9</w:t>
            </w:r>
          </w:p>
        </w:tc>
        <w:tc>
          <w:tcPr>
            <w:tcW w:w="1134" w:type="dxa"/>
          </w:tcPr>
          <w:p w14:paraId="0B35DC77" w14:textId="77777777" w:rsidR="00FA7EBF" w:rsidRPr="006422F1" w:rsidRDefault="00FA7EBF" w:rsidP="007B207C">
            <w:pPr>
              <w:pStyle w:val="ARfintablebodyrightbold"/>
              <w:rPr>
                <w:rStyle w:val="Strong"/>
                <w:bCs w:val="0"/>
                <w:highlight w:val="cyan"/>
              </w:rPr>
            </w:pPr>
            <w:r w:rsidRPr="004D4125">
              <w:t>1.0</w:t>
            </w:r>
          </w:p>
        </w:tc>
      </w:tr>
    </w:tbl>
    <w:p w14:paraId="3452BC56" w14:textId="77777777" w:rsidR="00FA7EBF" w:rsidRPr="006422F1" w:rsidRDefault="00FA7EBF" w:rsidP="00CA66FD">
      <w:pPr>
        <w:pStyle w:val="ARfinbody"/>
        <w:rPr>
          <w:rFonts w:eastAsia="MS Mincho"/>
        </w:rPr>
      </w:pPr>
      <w:r w:rsidRPr="006422F1">
        <w:br w:type="page"/>
      </w:r>
    </w:p>
    <w:p w14:paraId="65100EC6" w14:textId="77777777" w:rsidR="00FA7EBF" w:rsidRPr="00194D78" w:rsidRDefault="00FA7EBF" w:rsidP="00CA66FD">
      <w:pPr>
        <w:pStyle w:val="Heading4"/>
        <w:rPr>
          <w:lang w:eastAsia="en-AU"/>
        </w:rPr>
      </w:pPr>
      <w:r w:rsidRPr="00194D78">
        <w:rPr>
          <w:lang w:eastAsia="en-AU"/>
        </w:rPr>
        <w:t>7.5 Commitments for expenditure</w:t>
      </w:r>
    </w:p>
    <w:p w14:paraId="3413B279" w14:textId="69C9667A" w:rsidR="00FA7EBF" w:rsidRPr="00194D78" w:rsidRDefault="00FA7EBF" w:rsidP="00CA66FD">
      <w:pPr>
        <w:pStyle w:val="ARfinbody"/>
      </w:pPr>
      <w:r w:rsidRPr="00194D78">
        <w:t>Commitments for future expenditure include operating and capital commitments arising from contracts. These commitments are recorded below at their nominal value and inclusive of GST. These future expenditures cease to be disclosed as commitments once the</w:t>
      </w:r>
      <w:r w:rsidR="00B33865">
        <w:t> </w:t>
      </w:r>
      <w:r w:rsidRPr="00194D78">
        <w:t>related liabilities are recognised in the balance sheet.</w:t>
      </w:r>
    </w:p>
    <w:p w14:paraId="72B29F0D" w14:textId="77777777" w:rsidR="00FA7EBF" w:rsidRDefault="00FA7EBF" w:rsidP="00D86186">
      <w:pPr>
        <w:pStyle w:val="Heading5"/>
        <w:spacing w:before="120"/>
        <w:rPr>
          <w:rStyle w:val="Superscript"/>
        </w:rPr>
      </w:pPr>
      <w:r w:rsidRPr="00194D78">
        <w:rPr>
          <w:lang w:eastAsia="en-AU"/>
        </w:rPr>
        <w:t xml:space="preserve">7.5.1 Total commitments payable </w:t>
      </w:r>
      <w:r w:rsidRPr="0068451A">
        <w:rPr>
          <w:rStyle w:val="Superscript"/>
        </w:rPr>
        <w:t>(i)</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73AB6B43" w14:textId="77777777" w:rsidTr="007B207C">
        <w:trPr>
          <w:cantSplit/>
          <w:tblHeader/>
        </w:trPr>
        <w:tc>
          <w:tcPr>
            <w:tcW w:w="7371" w:type="dxa"/>
            <w:vAlign w:val="bottom"/>
          </w:tcPr>
          <w:p w14:paraId="498CA06C" w14:textId="77777777" w:rsidR="00FA7EBF" w:rsidRPr="007939DD" w:rsidRDefault="00FA7EBF" w:rsidP="00D86186">
            <w:pPr>
              <w:pStyle w:val="ARfintablecolhead"/>
              <w:spacing w:before="20" w:after="20"/>
            </w:pPr>
            <w:r w:rsidRPr="007939DD">
              <w:t>Nominal amounts</w:t>
            </w:r>
          </w:p>
        </w:tc>
        <w:tc>
          <w:tcPr>
            <w:tcW w:w="1134" w:type="dxa"/>
            <w:shd w:val="clear" w:color="auto" w:fill="E7E6E6"/>
            <w:vAlign w:val="bottom"/>
          </w:tcPr>
          <w:p w14:paraId="32F31BE3" w14:textId="77777777" w:rsidR="00FA7EBF" w:rsidRPr="007939DD" w:rsidRDefault="00FA7EBF" w:rsidP="00D86186">
            <w:pPr>
              <w:pStyle w:val="ARfintablecolheadright"/>
              <w:spacing w:before="20" w:after="20"/>
            </w:pPr>
            <w:r w:rsidRPr="007939DD">
              <w:t>201</w:t>
            </w:r>
            <w:r>
              <w:t>9</w:t>
            </w:r>
          </w:p>
          <w:p w14:paraId="3381A656" w14:textId="77777777" w:rsidR="00FA7EBF" w:rsidRPr="007939DD" w:rsidRDefault="00FA7EBF" w:rsidP="00D86186">
            <w:pPr>
              <w:pStyle w:val="ARfintablecolheadright"/>
              <w:spacing w:before="20" w:after="20"/>
            </w:pPr>
            <w:r w:rsidRPr="007939DD">
              <w:t>$M</w:t>
            </w:r>
          </w:p>
        </w:tc>
        <w:tc>
          <w:tcPr>
            <w:tcW w:w="1134" w:type="dxa"/>
            <w:vAlign w:val="bottom"/>
          </w:tcPr>
          <w:p w14:paraId="0FD7070A" w14:textId="77777777" w:rsidR="00FA7EBF" w:rsidRPr="007939DD" w:rsidRDefault="00FA7EBF" w:rsidP="00D86186">
            <w:pPr>
              <w:pStyle w:val="ARfintablecolheadright"/>
              <w:spacing w:before="20" w:after="20"/>
            </w:pPr>
            <w:r w:rsidRPr="007939DD">
              <w:t>201</w:t>
            </w:r>
            <w:r>
              <w:t>8</w:t>
            </w:r>
          </w:p>
          <w:p w14:paraId="4735BD49" w14:textId="77777777" w:rsidR="00FA7EBF" w:rsidRPr="007939DD" w:rsidRDefault="00FA7EBF" w:rsidP="00D86186">
            <w:pPr>
              <w:pStyle w:val="ARfintablecolheadright"/>
              <w:spacing w:before="20" w:after="20"/>
            </w:pPr>
            <w:r w:rsidRPr="007939DD">
              <w:t>$M</w:t>
            </w:r>
          </w:p>
        </w:tc>
      </w:tr>
      <w:tr w:rsidR="00FA7EBF" w:rsidRPr="007939DD" w14:paraId="138C6012" w14:textId="77777777" w:rsidTr="007B207C">
        <w:trPr>
          <w:cantSplit/>
        </w:trPr>
        <w:tc>
          <w:tcPr>
            <w:tcW w:w="9639" w:type="dxa"/>
            <w:gridSpan w:val="3"/>
            <w:tcBorders>
              <w:top w:val="single" w:sz="4" w:space="0" w:color="A6A6A6" w:themeColor="background1" w:themeShade="A6"/>
              <w:bottom w:val="single" w:sz="4" w:space="0" w:color="A6A6A6" w:themeColor="background1" w:themeShade="A6"/>
            </w:tcBorders>
          </w:tcPr>
          <w:p w14:paraId="123EF010" w14:textId="77777777" w:rsidR="00FA7EBF" w:rsidRPr="007939DD" w:rsidRDefault="00FA7EBF" w:rsidP="00D86186">
            <w:pPr>
              <w:pStyle w:val="ARfintablebody"/>
              <w:spacing w:before="20"/>
              <w:rPr>
                <w:lang w:eastAsia="en-AU"/>
              </w:rPr>
            </w:pPr>
            <w:r w:rsidRPr="0018240F">
              <w:t>The following commitments have not been recognised as liabilities in the financial statements.</w:t>
            </w:r>
          </w:p>
        </w:tc>
      </w:tr>
      <w:tr w:rsidR="00FA7EBF" w:rsidRPr="007939DD" w14:paraId="54E978BC" w14:textId="77777777" w:rsidTr="007B207C">
        <w:trPr>
          <w:cantSplit/>
        </w:trPr>
        <w:tc>
          <w:tcPr>
            <w:tcW w:w="9639" w:type="dxa"/>
            <w:gridSpan w:val="3"/>
            <w:tcBorders>
              <w:top w:val="single" w:sz="4" w:space="0" w:color="A6A6A6" w:themeColor="background1" w:themeShade="A6"/>
              <w:bottom w:val="single" w:sz="4" w:space="0" w:color="A6A6A6" w:themeColor="background1" w:themeShade="A6"/>
            </w:tcBorders>
          </w:tcPr>
          <w:p w14:paraId="0B4E463E" w14:textId="77777777" w:rsidR="00FA7EBF" w:rsidRPr="007939DD" w:rsidRDefault="00FA7EBF" w:rsidP="00D86186">
            <w:pPr>
              <w:pStyle w:val="ARfintablebodybold"/>
              <w:spacing w:before="20"/>
              <w:rPr>
                <w:rStyle w:val="Strong"/>
                <w:bCs/>
              </w:rPr>
            </w:pPr>
            <w:r w:rsidRPr="0018240F">
              <w:t>(a) Capital expenditure commitments</w:t>
            </w:r>
            <w:r>
              <w:t xml:space="preserve"> </w:t>
            </w:r>
            <w:r w:rsidRPr="00712D03">
              <w:rPr>
                <w:rStyle w:val="Superscript"/>
              </w:rPr>
              <w:t>(ii)</w:t>
            </w:r>
          </w:p>
        </w:tc>
      </w:tr>
      <w:tr w:rsidR="00FA7EBF" w:rsidRPr="007939DD" w14:paraId="44287F6D"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BC9B7B0" w14:textId="77777777" w:rsidR="00FA7EBF" w:rsidRPr="007939DD" w:rsidRDefault="00FA7EBF" w:rsidP="00D86186">
            <w:pPr>
              <w:pStyle w:val="ARfintablebody"/>
              <w:spacing w:before="20"/>
              <w:rPr>
                <w:lang w:eastAsia="en-AU"/>
              </w:rPr>
            </w:pPr>
            <w:r w:rsidRPr="0018240F">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498AA4A" w14:textId="77777777" w:rsidR="00FA7EBF" w:rsidRPr="007939DD" w:rsidRDefault="00FA7EBF" w:rsidP="00D86186">
            <w:pPr>
              <w:pStyle w:val="ARfintablebodyright"/>
              <w:spacing w:before="20"/>
              <w:rPr>
                <w:lang w:eastAsia="en-AU"/>
              </w:rPr>
            </w:pPr>
            <w:r w:rsidRPr="0018240F">
              <w:t>270.7</w:t>
            </w:r>
          </w:p>
        </w:tc>
        <w:tc>
          <w:tcPr>
            <w:tcW w:w="1134" w:type="dxa"/>
            <w:tcBorders>
              <w:top w:val="single" w:sz="4" w:space="0" w:color="A6A6A6" w:themeColor="background1" w:themeShade="A6"/>
              <w:bottom w:val="single" w:sz="4" w:space="0" w:color="A6A6A6" w:themeColor="background1" w:themeShade="A6"/>
            </w:tcBorders>
          </w:tcPr>
          <w:p w14:paraId="0FC99A13" w14:textId="77777777" w:rsidR="00FA7EBF" w:rsidRPr="007939DD" w:rsidRDefault="00FA7EBF" w:rsidP="00D86186">
            <w:pPr>
              <w:pStyle w:val="ARfintablebodyright"/>
              <w:spacing w:before="20"/>
              <w:rPr>
                <w:lang w:eastAsia="en-AU"/>
              </w:rPr>
            </w:pPr>
            <w:r w:rsidRPr="0018240F">
              <w:t>276.9</w:t>
            </w:r>
          </w:p>
        </w:tc>
      </w:tr>
      <w:tr w:rsidR="00FA7EBF" w:rsidRPr="007939DD" w14:paraId="01A84A36"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60AD5F19" w14:textId="77777777" w:rsidR="00FA7EBF" w:rsidRPr="007939DD" w:rsidRDefault="00FA7EBF" w:rsidP="00D86186">
            <w:pPr>
              <w:pStyle w:val="ARfintablebody"/>
              <w:spacing w:before="20"/>
              <w:rPr>
                <w:lang w:eastAsia="en-AU"/>
              </w:rPr>
            </w:pPr>
            <w:r w:rsidRPr="0018240F">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6262E80" w14:textId="77777777" w:rsidR="00FA7EBF" w:rsidRPr="007939DD" w:rsidRDefault="00FA7EBF" w:rsidP="00D86186">
            <w:pPr>
              <w:pStyle w:val="ARfintablebodyright"/>
              <w:spacing w:before="20"/>
              <w:rPr>
                <w:lang w:eastAsia="en-AU"/>
              </w:rPr>
            </w:pPr>
            <w:r w:rsidRPr="0018240F">
              <w:t>522.1</w:t>
            </w:r>
          </w:p>
        </w:tc>
        <w:tc>
          <w:tcPr>
            <w:tcW w:w="1134" w:type="dxa"/>
            <w:tcBorders>
              <w:top w:val="single" w:sz="4" w:space="0" w:color="A6A6A6" w:themeColor="background1" w:themeShade="A6"/>
              <w:bottom w:val="single" w:sz="4" w:space="0" w:color="A6A6A6" w:themeColor="background1" w:themeShade="A6"/>
            </w:tcBorders>
          </w:tcPr>
          <w:p w14:paraId="31D2DE56" w14:textId="77777777" w:rsidR="00FA7EBF" w:rsidRPr="007939DD" w:rsidRDefault="00FA7EBF" w:rsidP="00D86186">
            <w:pPr>
              <w:pStyle w:val="ARfintablebodyright"/>
              <w:spacing w:before="20"/>
              <w:rPr>
                <w:lang w:eastAsia="en-AU"/>
              </w:rPr>
            </w:pPr>
            <w:r w:rsidRPr="0018240F">
              <w:t>36.9</w:t>
            </w:r>
          </w:p>
        </w:tc>
      </w:tr>
      <w:tr w:rsidR="00FA7EBF" w:rsidRPr="007939DD" w14:paraId="08EC9373" w14:textId="77777777" w:rsidTr="007B207C">
        <w:trPr>
          <w:cantSplit/>
        </w:trPr>
        <w:tc>
          <w:tcPr>
            <w:tcW w:w="7371" w:type="dxa"/>
            <w:tcBorders>
              <w:top w:val="single" w:sz="4" w:space="0" w:color="A6A6A6" w:themeColor="background1" w:themeShade="A6"/>
            </w:tcBorders>
          </w:tcPr>
          <w:p w14:paraId="3033993D" w14:textId="77777777" w:rsidR="00FA7EBF" w:rsidRPr="007939DD" w:rsidRDefault="00FA7EBF" w:rsidP="00D86186">
            <w:pPr>
              <w:pStyle w:val="ARfintablebody"/>
              <w:spacing w:before="20"/>
              <w:rPr>
                <w:lang w:eastAsia="en-AU"/>
              </w:rPr>
            </w:pPr>
            <w:r w:rsidRPr="0018240F">
              <w:t>Longer than 5 years</w:t>
            </w:r>
          </w:p>
        </w:tc>
        <w:tc>
          <w:tcPr>
            <w:tcW w:w="1134" w:type="dxa"/>
            <w:tcBorders>
              <w:top w:val="single" w:sz="4" w:space="0" w:color="A6A6A6" w:themeColor="background1" w:themeShade="A6"/>
            </w:tcBorders>
            <w:shd w:val="clear" w:color="auto" w:fill="E7E6E6"/>
          </w:tcPr>
          <w:p w14:paraId="468A85AA" w14:textId="77777777" w:rsidR="00FA7EBF" w:rsidRPr="007939DD" w:rsidRDefault="00FA7EBF" w:rsidP="00D86186">
            <w:pPr>
              <w:pStyle w:val="ARfintablebodyright"/>
              <w:spacing w:before="20"/>
              <w:rPr>
                <w:lang w:eastAsia="en-AU"/>
              </w:rPr>
            </w:pPr>
            <w:r w:rsidRPr="0018240F">
              <w:t>0.1</w:t>
            </w:r>
          </w:p>
        </w:tc>
        <w:tc>
          <w:tcPr>
            <w:tcW w:w="1134" w:type="dxa"/>
            <w:tcBorders>
              <w:top w:val="single" w:sz="4" w:space="0" w:color="A6A6A6" w:themeColor="background1" w:themeShade="A6"/>
            </w:tcBorders>
          </w:tcPr>
          <w:p w14:paraId="4B369B31" w14:textId="77777777" w:rsidR="00FA7EBF" w:rsidRPr="007939DD" w:rsidRDefault="00FA7EBF" w:rsidP="00D86186">
            <w:pPr>
              <w:pStyle w:val="ARfintablebodyright"/>
              <w:spacing w:before="20"/>
              <w:rPr>
                <w:lang w:eastAsia="en-AU"/>
              </w:rPr>
            </w:pPr>
            <w:r w:rsidRPr="0018240F">
              <w:t>–</w:t>
            </w:r>
          </w:p>
        </w:tc>
      </w:tr>
      <w:tr w:rsidR="00FA7EBF" w:rsidRPr="007939DD" w14:paraId="575E7A35" w14:textId="77777777" w:rsidTr="007B207C">
        <w:trPr>
          <w:cantSplit/>
        </w:trPr>
        <w:tc>
          <w:tcPr>
            <w:tcW w:w="7371" w:type="dxa"/>
          </w:tcPr>
          <w:p w14:paraId="76E164C9" w14:textId="77777777" w:rsidR="00FA7EBF" w:rsidRPr="007939DD" w:rsidRDefault="00FA7EBF" w:rsidP="00D86186">
            <w:pPr>
              <w:pStyle w:val="ARfintablebodybold"/>
              <w:spacing w:before="20"/>
              <w:rPr>
                <w:lang w:eastAsia="en-AU"/>
              </w:rPr>
            </w:pPr>
            <w:r w:rsidRPr="0018240F">
              <w:t>Total capital commitments</w:t>
            </w:r>
          </w:p>
        </w:tc>
        <w:tc>
          <w:tcPr>
            <w:tcW w:w="1134" w:type="dxa"/>
            <w:shd w:val="clear" w:color="auto" w:fill="E7E6E6"/>
          </w:tcPr>
          <w:p w14:paraId="3FE47432" w14:textId="77777777" w:rsidR="00FA7EBF" w:rsidRPr="007939DD" w:rsidRDefault="00FA7EBF" w:rsidP="00D86186">
            <w:pPr>
              <w:pStyle w:val="ARfintablebodyrightbold"/>
              <w:spacing w:before="20"/>
              <w:rPr>
                <w:lang w:eastAsia="en-AU"/>
              </w:rPr>
            </w:pPr>
            <w:r w:rsidRPr="0018240F">
              <w:t>792.9</w:t>
            </w:r>
          </w:p>
        </w:tc>
        <w:tc>
          <w:tcPr>
            <w:tcW w:w="1134" w:type="dxa"/>
          </w:tcPr>
          <w:p w14:paraId="3A4A81B3" w14:textId="77777777" w:rsidR="00FA7EBF" w:rsidRPr="007939DD" w:rsidRDefault="00FA7EBF" w:rsidP="00D86186">
            <w:pPr>
              <w:pStyle w:val="ARfintablebodyrightbold"/>
              <w:spacing w:before="20"/>
              <w:rPr>
                <w:rStyle w:val="Strong"/>
                <w:bCs w:val="0"/>
              </w:rPr>
            </w:pPr>
            <w:r w:rsidRPr="0018240F">
              <w:t>313.8</w:t>
            </w:r>
          </w:p>
        </w:tc>
      </w:tr>
      <w:tr w:rsidR="00FA7EBF" w:rsidRPr="007939DD" w14:paraId="65FD3F07" w14:textId="77777777" w:rsidTr="007B207C">
        <w:trPr>
          <w:cantSplit/>
        </w:trPr>
        <w:tc>
          <w:tcPr>
            <w:tcW w:w="9639" w:type="dxa"/>
            <w:gridSpan w:val="3"/>
            <w:tcBorders>
              <w:bottom w:val="single" w:sz="4" w:space="0" w:color="A6A6A6" w:themeColor="background1" w:themeShade="A6"/>
            </w:tcBorders>
          </w:tcPr>
          <w:p w14:paraId="5E831659" w14:textId="77777777" w:rsidR="00FA7EBF" w:rsidRPr="007939DD" w:rsidRDefault="00FA7EBF" w:rsidP="00D86186">
            <w:pPr>
              <w:pStyle w:val="ARfintablebodybold"/>
              <w:spacing w:before="20"/>
              <w:rPr>
                <w:rStyle w:val="Strong"/>
                <w:bCs/>
              </w:rPr>
            </w:pPr>
            <w:r w:rsidRPr="0018240F">
              <w:t>(b) Operating lease commitments</w:t>
            </w:r>
            <w:r>
              <w:t xml:space="preserve"> </w:t>
            </w:r>
            <w:r w:rsidRPr="00712D03">
              <w:rPr>
                <w:rStyle w:val="Superscript"/>
              </w:rPr>
              <w:t>(ii)</w:t>
            </w:r>
          </w:p>
        </w:tc>
      </w:tr>
      <w:tr w:rsidR="00FA7EBF" w:rsidRPr="007939DD" w14:paraId="1077FEA6"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3F67E28F" w14:textId="77777777" w:rsidR="00FA7EBF" w:rsidRPr="007939DD" w:rsidRDefault="00FA7EBF" w:rsidP="00D86186">
            <w:pPr>
              <w:pStyle w:val="ARfintablebody"/>
              <w:spacing w:before="20"/>
              <w:rPr>
                <w:lang w:eastAsia="en-AU"/>
              </w:rPr>
            </w:pPr>
            <w:r w:rsidRPr="0018240F">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F6B5AD3" w14:textId="77777777" w:rsidR="00FA7EBF" w:rsidRPr="007939DD" w:rsidRDefault="00FA7EBF" w:rsidP="00D86186">
            <w:pPr>
              <w:pStyle w:val="ARfintablebodyright"/>
              <w:spacing w:before="20"/>
            </w:pPr>
            <w:r w:rsidRPr="0018240F">
              <w:t>81.3</w:t>
            </w:r>
          </w:p>
        </w:tc>
        <w:tc>
          <w:tcPr>
            <w:tcW w:w="1134" w:type="dxa"/>
            <w:tcBorders>
              <w:top w:val="single" w:sz="4" w:space="0" w:color="A6A6A6" w:themeColor="background1" w:themeShade="A6"/>
              <w:bottom w:val="single" w:sz="4" w:space="0" w:color="A6A6A6" w:themeColor="background1" w:themeShade="A6"/>
            </w:tcBorders>
          </w:tcPr>
          <w:p w14:paraId="24880015" w14:textId="77777777" w:rsidR="00FA7EBF" w:rsidRPr="007939DD" w:rsidRDefault="00FA7EBF" w:rsidP="00D86186">
            <w:pPr>
              <w:pStyle w:val="ARfintablebodyright"/>
              <w:spacing w:before="20"/>
              <w:rPr>
                <w:lang w:eastAsia="en-AU"/>
              </w:rPr>
            </w:pPr>
            <w:r w:rsidRPr="0018240F">
              <w:t>63.9</w:t>
            </w:r>
          </w:p>
        </w:tc>
      </w:tr>
      <w:tr w:rsidR="00FA7EBF" w:rsidRPr="007939DD" w14:paraId="7C2BE69B"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6670D1B0" w14:textId="77777777" w:rsidR="00FA7EBF" w:rsidRPr="007939DD" w:rsidRDefault="00FA7EBF" w:rsidP="00D86186">
            <w:pPr>
              <w:pStyle w:val="ARfintablebody"/>
              <w:spacing w:before="20"/>
              <w:rPr>
                <w:lang w:eastAsia="en-AU"/>
              </w:rPr>
            </w:pPr>
            <w:r w:rsidRPr="0018240F">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1292D4C" w14:textId="77777777" w:rsidR="00FA7EBF" w:rsidRPr="007939DD" w:rsidRDefault="00FA7EBF" w:rsidP="00D86186">
            <w:pPr>
              <w:pStyle w:val="ARfintablebodyright"/>
              <w:spacing w:before="20"/>
            </w:pPr>
            <w:r w:rsidRPr="0018240F">
              <w:t>217.2</w:t>
            </w:r>
          </w:p>
        </w:tc>
        <w:tc>
          <w:tcPr>
            <w:tcW w:w="1134" w:type="dxa"/>
            <w:tcBorders>
              <w:top w:val="single" w:sz="4" w:space="0" w:color="A6A6A6" w:themeColor="background1" w:themeShade="A6"/>
              <w:bottom w:val="single" w:sz="4" w:space="0" w:color="A6A6A6" w:themeColor="background1" w:themeShade="A6"/>
            </w:tcBorders>
          </w:tcPr>
          <w:p w14:paraId="73BB86B6" w14:textId="77777777" w:rsidR="00FA7EBF" w:rsidRPr="007939DD" w:rsidRDefault="00FA7EBF" w:rsidP="00D86186">
            <w:pPr>
              <w:pStyle w:val="ARfintablebodyright"/>
              <w:spacing w:before="20"/>
              <w:rPr>
                <w:lang w:eastAsia="en-AU"/>
              </w:rPr>
            </w:pPr>
            <w:r w:rsidRPr="0018240F">
              <w:t>203.6</w:t>
            </w:r>
          </w:p>
        </w:tc>
      </w:tr>
      <w:tr w:rsidR="00FA7EBF" w:rsidRPr="007939DD" w14:paraId="44103902" w14:textId="77777777" w:rsidTr="007B207C">
        <w:trPr>
          <w:cantSplit/>
        </w:trPr>
        <w:tc>
          <w:tcPr>
            <w:tcW w:w="7371" w:type="dxa"/>
            <w:tcBorders>
              <w:top w:val="single" w:sz="4" w:space="0" w:color="A6A6A6" w:themeColor="background1" w:themeShade="A6"/>
            </w:tcBorders>
          </w:tcPr>
          <w:p w14:paraId="3B3AB721" w14:textId="77777777" w:rsidR="00FA7EBF" w:rsidRPr="007939DD" w:rsidRDefault="00FA7EBF" w:rsidP="00D86186">
            <w:pPr>
              <w:pStyle w:val="ARfintablebody"/>
              <w:spacing w:before="20"/>
              <w:rPr>
                <w:lang w:eastAsia="en-AU"/>
              </w:rPr>
            </w:pPr>
            <w:r w:rsidRPr="0018240F">
              <w:t>Longer than 5 years</w:t>
            </w:r>
          </w:p>
        </w:tc>
        <w:tc>
          <w:tcPr>
            <w:tcW w:w="1134" w:type="dxa"/>
            <w:tcBorders>
              <w:top w:val="single" w:sz="4" w:space="0" w:color="A6A6A6" w:themeColor="background1" w:themeShade="A6"/>
            </w:tcBorders>
            <w:shd w:val="clear" w:color="auto" w:fill="E7E6E6"/>
          </w:tcPr>
          <w:p w14:paraId="56903957" w14:textId="77777777" w:rsidR="00FA7EBF" w:rsidRPr="007939DD" w:rsidRDefault="00FA7EBF" w:rsidP="00D86186">
            <w:pPr>
              <w:pStyle w:val="ARfintablebodyright"/>
              <w:spacing w:before="20"/>
            </w:pPr>
            <w:r w:rsidRPr="0018240F">
              <w:t>141.3</w:t>
            </w:r>
          </w:p>
        </w:tc>
        <w:tc>
          <w:tcPr>
            <w:tcW w:w="1134" w:type="dxa"/>
            <w:tcBorders>
              <w:top w:val="single" w:sz="4" w:space="0" w:color="A6A6A6" w:themeColor="background1" w:themeShade="A6"/>
            </w:tcBorders>
          </w:tcPr>
          <w:p w14:paraId="75F49BF7" w14:textId="77777777" w:rsidR="00FA7EBF" w:rsidRPr="007939DD" w:rsidRDefault="00FA7EBF" w:rsidP="00D86186">
            <w:pPr>
              <w:pStyle w:val="ARfintablebodyright"/>
              <w:spacing w:before="20"/>
              <w:rPr>
                <w:lang w:eastAsia="en-AU"/>
              </w:rPr>
            </w:pPr>
            <w:r w:rsidRPr="0018240F">
              <w:t>145.6</w:t>
            </w:r>
          </w:p>
        </w:tc>
      </w:tr>
      <w:tr w:rsidR="00FA7EBF" w:rsidRPr="007939DD" w14:paraId="0E4F675A" w14:textId="77777777" w:rsidTr="007B207C">
        <w:trPr>
          <w:cantSplit/>
        </w:trPr>
        <w:tc>
          <w:tcPr>
            <w:tcW w:w="7371" w:type="dxa"/>
          </w:tcPr>
          <w:p w14:paraId="3D67D951" w14:textId="77777777" w:rsidR="00FA7EBF" w:rsidRPr="007939DD" w:rsidRDefault="00FA7EBF" w:rsidP="00D86186">
            <w:pPr>
              <w:pStyle w:val="ARfintablebodybold"/>
              <w:spacing w:before="20"/>
              <w:rPr>
                <w:lang w:eastAsia="en-AU"/>
              </w:rPr>
            </w:pPr>
            <w:r w:rsidRPr="0018240F">
              <w:t>Total operating lease commitments</w:t>
            </w:r>
          </w:p>
        </w:tc>
        <w:tc>
          <w:tcPr>
            <w:tcW w:w="1134" w:type="dxa"/>
            <w:shd w:val="clear" w:color="auto" w:fill="E7E6E6"/>
          </w:tcPr>
          <w:p w14:paraId="5408DF3A" w14:textId="77777777" w:rsidR="00FA7EBF" w:rsidRPr="007939DD" w:rsidRDefault="00FA7EBF" w:rsidP="00D86186">
            <w:pPr>
              <w:pStyle w:val="ARfintablebodyrightbold"/>
              <w:spacing w:before="20"/>
              <w:rPr>
                <w:rStyle w:val="Strong"/>
                <w:bCs w:val="0"/>
              </w:rPr>
            </w:pPr>
            <w:r w:rsidRPr="0018240F">
              <w:t>439.9</w:t>
            </w:r>
          </w:p>
        </w:tc>
        <w:tc>
          <w:tcPr>
            <w:tcW w:w="1134" w:type="dxa"/>
          </w:tcPr>
          <w:p w14:paraId="73689600" w14:textId="77777777" w:rsidR="00FA7EBF" w:rsidRPr="007939DD" w:rsidRDefault="00FA7EBF" w:rsidP="00D86186">
            <w:pPr>
              <w:pStyle w:val="ARfintablebodyrightbold"/>
              <w:spacing w:before="20"/>
              <w:rPr>
                <w:rStyle w:val="Strong"/>
                <w:bCs w:val="0"/>
              </w:rPr>
            </w:pPr>
            <w:r w:rsidRPr="0018240F">
              <w:t>413.1</w:t>
            </w:r>
          </w:p>
        </w:tc>
      </w:tr>
      <w:tr w:rsidR="00FA7EBF" w:rsidRPr="007939DD" w14:paraId="0D589ECB" w14:textId="77777777" w:rsidTr="007B207C">
        <w:trPr>
          <w:cantSplit/>
        </w:trPr>
        <w:tc>
          <w:tcPr>
            <w:tcW w:w="9639" w:type="dxa"/>
            <w:gridSpan w:val="3"/>
            <w:tcBorders>
              <w:bottom w:val="single" w:sz="4" w:space="0" w:color="A6A6A6" w:themeColor="background1" w:themeShade="A6"/>
            </w:tcBorders>
          </w:tcPr>
          <w:p w14:paraId="173CAA29" w14:textId="77777777" w:rsidR="00FA7EBF" w:rsidRPr="007939DD" w:rsidRDefault="00FA7EBF" w:rsidP="00D86186">
            <w:pPr>
              <w:pStyle w:val="ARfintablebodybold"/>
              <w:spacing w:before="20"/>
              <w:rPr>
                <w:rStyle w:val="Strong"/>
                <w:bCs/>
              </w:rPr>
            </w:pPr>
            <w:r w:rsidRPr="0018240F">
              <w:t>(c) Public Private Partnerships (PPPs) commitments</w:t>
            </w:r>
          </w:p>
        </w:tc>
      </w:tr>
      <w:tr w:rsidR="00FA7EBF" w:rsidRPr="007939DD" w14:paraId="2C794C04" w14:textId="77777777" w:rsidTr="007B207C">
        <w:trPr>
          <w:cantSplit/>
        </w:trPr>
        <w:tc>
          <w:tcPr>
            <w:tcW w:w="9639" w:type="dxa"/>
            <w:gridSpan w:val="3"/>
            <w:tcBorders>
              <w:top w:val="single" w:sz="4" w:space="0" w:color="A6A6A6" w:themeColor="background1" w:themeShade="A6"/>
              <w:bottom w:val="single" w:sz="4" w:space="0" w:color="A6A6A6" w:themeColor="background1" w:themeShade="A6"/>
            </w:tcBorders>
          </w:tcPr>
          <w:p w14:paraId="1BD0988E" w14:textId="77777777" w:rsidR="00FA7EBF" w:rsidRPr="007939DD" w:rsidRDefault="00FA7EBF" w:rsidP="00D86186">
            <w:pPr>
              <w:pStyle w:val="ARfintablebodybold"/>
              <w:spacing w:before="20"/>
              <w:rPr>
                <w:rStyle w:val="Strong"/>
                <w:bCs/>
              </w:rPr>
            </w:pPr>
            <w:r w:rsidRPr="0018240F">
              <w:t>(i) The Royal Women’s Hospital</w:t>
            </w:r>
          </w:p>
        </w:tc>
      </w:tr>
      <w:tr w:rsidR="00FA7EBF" w:rsidRPr="007939DD" w14:paraId="3C0A94A3"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4465F36B" w14:textId="77777777" w:rsidR="00FA7EBF" w:rsidRPr="007939DD" w:rsidRDefault="00FA7EBF" w:rsidP="00D86186">
            <w:pPr>
              <w:pStyle w:val="ARfintablebody"/>
              <w:spacing w:before="20"/>
              <w:rPr>
                <w:lang w:eastAsia="en-AU"/>
              </w:rPr>
            </w:pPr>
            <w:r w:rsidRPr="0018240F">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6383208" w14:textId="77777777" w:rsidR="00FA7EBF" w:rsidRPr="007939DD" w:rsidRDefault="00FA7EBF" w:rsidP="00D86186">
            <w:pPr>
              <w:pStyle w:val="ARfintablebodyright"/>
              <w:spacing w:before="20"/>
              <w:rPr>
                <w:lang w:eastAsia="en-AU"/>
              </w:rPr>
            </w:pPr>
            <w:r w:rsidRPr="0018240F">
              <w:t>49.0</w:t>
            </w:r>
          </w:p>
        </w:tc>
        <w:tc>
          <w:tcPr>
            <w:tcW w:w="1134" w:type="dxa"/>
            <w:tcBorders>
              <w:top w:val="single" w:sz="4" w:space="0" w:color="A6A6A6" w:themeColor="background1" w:themeShade="A6"/>
              <w:bottom w:val="single" w:sz="4" w:space="0" w:color="A6A6A6" w:themeColor="background1" w:themeShade="A6"/>
            </w:tcBorders>
          </w:tcPr>
          <w:p w14:paraId="04E40E70" w14:textId="77777777" w:rsidR="00FA7EBF" w:rsidRPr="007939DD" w:rsidRDefault="00FA7EBF" w:rsidP="00D86186">
            <w:pPr>
              <w:pStyle w:val="ARfintablebodyright"/>
              <w:spacing w:before="20"/>
              <w:rPr>
                <w:lang w:eastAsia="en-AU"/>
              </w:rPr>
            </w:pPr>
            <w:r w:rsidRPr="0018240F">
              <w:t>45.8</w:t>
            </w:r>
          </w:p>
        </w:tc>
      </w:tr>
      <w:tr w:rsidR="00FA7EBF" w:rsidRPr="007939DD" w14:paraId="0AC60BE9"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CF502A9" w14:textId="77777777" w:rsidR="00FA7EBF" w:rsidRPr="007939DD" w:rsidRDefault="00FA7EBF" w:rsidP="00D86186">
            <w:pPr>
              <w:pStyle w:val="ARfintablebody"/>
              <w:spacing w:before="20"/>
              <w:rPr>
                <w:lang w:eastAsia="en-AU"/>
              </w:rPr>
            </w:pPr>
            <w:r w:rsidRPr="0018240F">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E73F83E" w14:textId="77777777" w:rsidR="00FA7EBF" w:rsidRPr="007939DD" w:rsidRDefault="00FA7EBF" w:rsidP="00D86186">
            <w:pPr>
              <w:pStyle w:val="ARfintablebodyright"/>
              <w:spacing w:before="20"/>
              <w:rPr>
                <w:lang w:eastAsia="en-AU"/>
              </w:rPr>
            </w:pPr>
            <w:r w:rsidRPr="0018240F">
              <w:t>200.9</w:t>
            </w:r>
          </w:p>
        </w:tc>
        <w:tc>
          <w:tcPr>
            <w:tcW w:w="1134" w:type="dxa"/>
            <w:tcBorders>
              <w:top w:val="single" w:sz="4" w:space="0" w:color="A6A6A6" w:themeColor="background1" w:themeShade="A6"/>
              <w:bottom w:val="single" w:sz="4" w:space="0" w:color="A6A6A6" w:themeColor="background1" w:themeShade="A6"/>
            </w:tcBorders>
          </w:tcPr>
          <w:p w14:paraId="22073D44" w14:textId="77777777" w:rsidR="00FA7EBF" w:rsidRPr="007939DD" w:rsidRDefault="00FA7EBF" w:rsidP="00D86186">
            <w:pPr>
              <w:pStyle w:val="ARfintablebodyright"/>
              <w:spacing w:before="20"/>
              <w:rPr>
                <w:lang w:eastAsia="en-AU"/>
              </w:rPr>
            </w:pPr>
            <w:r w:rsidRPr="0018240F">
              <w:t>201.2</w:t>
            </w:r>
          </w:p>
        </w:tc>
      </w:tr>
      <w:tr w:rsidR="00FA7EBF" w:rsidRPr="007939DD" w14:paraId="3764460E" w14:textId="77777777" w:rsidTr="007B207C">
        <w:trPr>
          <w:cantSplit/>
        </w:trPr>
        <w:tc>
          <w:tcPr>
            <w:tcW w:w="7371" w:type="dxa"/>
            <w:tcBorders>
              <w:top w:val="single" w:sz="4" w:space="0" w:color="A6A6A6" w:themeColor="background1" w:themeShade="A6"/>
            </w:tcBorders>
          </w:tcPr>
          <w:p w14:paraId="6AC39194" w14:textId="77777777" w:rsidR="00FA7EBF" w:rsidRPr="007939DD" w:rsidRDefault="00FA7EBF" w:rsidP="00D86186">
            <w:pPr>
              <w:pStyle w:val="ARfintablebody"/>
              <w:spacing w:before="20"/>
              <w:rPr>
                <w:lang w:eastAsia="en-AU"/>
              </w:rPr>
            </w:pPr>
            <w:r w:rsidRPr="0018240F">
              <w:t>Longer than 5 years</w:t>
            </w:r>
          </w:p>
        </w:tc>
        <w:tc>
          <w:tcPr>
            <w:tcW w:w="1134" w:type="dxa"/>
            <w:tcBorders>
              <w:top w:val="single" w:sz="4" w:space="0" w:color="A6A6A6" w:themeColor="background1" w:themeShade="A6"/>
            </w:tcBorders>
            <w:shd w:val="clear" w:color="auto" w:fill="E7E6E6"/>
          </w:tcPr>
          <w:p w14:paraId="6BB4D3D9" w14:textId="77777777" w:rsidR="00FA7EBF" w:rsidRPr="007939DD" w:rsidRDefault="00FA7EBF" w:rsidP="00D86186">
            <w:pPr>
              <w:pStyle w:val="ARfintablebodyright"/>
              <w:spacing w:before="20"/>
              <w:rPr>
                <w:lang w:eastAsia="en-AU"/>
              </w:rPr>
            </w:pPr>
            <w:r w:rsidRPr="0018240F">
              <w:t>516.3</w:t>
            </w:r>
          </w:p>
        </w:tc>
        <w:tc>
          <w:tcPr>
            <w:tcW w:w="1134" w:type="dxa"/>
            <w:tcBorders>
              <w:top w:val="single" w:sz="4" w:space="0" w:color="A6A6A6" w:themeColor="background1" w:themeShade="A6"/>
            </w:tcBorders>
          </w:tcPr>
          <w:p w14:paraId="13301A0E" w14:textId="77777777" w:rsidR="00FA7EBF" w:rsidRPr="007939DD" w:rsidRDefault="00FA7EBF" w:rsidP="00D86186">
            <w:pPr>
              <w:pStyle w:val="ARfintablebodyright"/>
              <w:spacing w:before="20"/>
              <w:rPr>
                <w:lang w:eastAsia="en-AU"/>
              </w:rPr>
            </w:pPr>
            <w:r w:rsidRPr="0018240F">
              <w:t>571.2</w:t>
            </w:r>
          </w:p>
        </w:tc>
      </w:tr>
      <w:tr w:rsidR="00FA7EBF" w:rsidRPr="007939DD" w14:paraId="5F2B7329" w14:textId="77777777" w:rsidTr="007B207C">
        <w:trPr>
          <w:cantSplit/>
        </w:trPr>
        <w:tc>
          <w:tcPr>
            <w:tcW w:w="7371" w:type="dxa"/>
          </w:tcPr>
          <w:p w14:paraId="1CE05F0E" w14:textId="77777777" w:rsidR="00FA7EBF" w:rsidRPr="007939DD" w:rsidRDefault="00FA7EBF" w:rsidP="00D86186">
            <w:pPr>
              <w:pStyle w:val="ARfintablebodybold"/>
              <w:spacing w:before="20"/>
              <w:rPr>
                <w:lang w:eastAsia="en-AU"/>
              </w:rPr>
            </w:pPr>
            <w:r w:rsidRPr="0018240F">
              <w:t>Total The Royal Women’s Hospital commitments</w:t>
            </w:r>
          </w:p>
        </w:tc>
        <w:tc>
          <w:tcPr>
            <w:tcW w:w="1134" w:type="dxa"/>
            <w:shd w:val="clear" w:color="auto" w:fill="E7E6E6"/>
          </w:tcPr>
          <w:p w14:paraId="66AB5900" w14:textId="77777777" w:rsidR="00FA7EBF" w:rsidRPr="007939DD" w:rsidRDefault="00FA7EBF" w:rsidP="00D86186">
            <w:pPr>
              <w:pStyle w:val="ARfintablebodyrightbold"/>
              <w:spacing w:before="20"/>
              <w:rPr>
                <w:lang w:eastAsia="en-AU"/>
              </w:rPr>
            </w:pPr>
            <w:r w:rsidRPr="0018240F">
              <w:t>766.1</w:t>
            </w:r>
          </w:p>
        </w:tc>
        <w:tc>
          <w:tcPr>
            <w:tcW w:w="1134" w:type="dxa"/>
          </w:tcPr>
          <w:p w14:paraId="568248B0" w14:textId="77777777" w:rsidR="00FA7EBF" w:rsidRPr="007939DD" w:rsidRDefault="00FA7EBF" w:rsidP="00D86186">
            <w:pPr>
              <w:pStyle w:val="ARfintablebodyrightbold"/>
              <w:spacing w:before="20"/>
              <w:rPr>
                <w:rStyle w:val="Strong"/>
                <w:bCs w:val="0"/>
              </w:rPr>
            </w:pPr>
            <w:r w:rsidRPr="0018240F">
              <w:t>818.2</w:t>
            </w:r>
          </w:p>
        </w:tc>
      </w:tr>
      <w:tr w:rsidR="00FA7EBF" w:rsidRPr="007939DD" w14:paraId="5C5D33C1" w14:textId="77777777" w:rsidTr="007B207C">
        <w:trPr>
          <w:cantSplit/>
        </w:trPr>
        <w:tc>
          <w:tcPr>
            <w:tcW w:w="9639" w:type="dxa"/>
            <w:gridSpan w:val="3"/>
            <w:tcBorders>
              <w:bottom w:val="single" w:sz="4" w:space="0" w:color="A6A6A6" w:themeColor="background1" w:themeShade="A6"/>
            </w:tcBorders>
          </w:tcPr>
          <w:p w14:paraId="20EDC2F7" w14:textId="77777777" w:rsidR="00FA7EBF" w:rsidRPr="007939DD" w:rsidRDefault="00FA7EBF" w:rsidP="00D86186">
            <w:pPr>
              <w:pStyle w:val="ARfintablebodybold"/>
              <w:spacing w:before="20"/>
              <w:rPr>
                <w:rStyle w:val="Strong"/>
                <w:bCs/>
              </w:rPr>
            </w:pPr>
            <w:r w:rsidRPr="0018240F">
              <w:t>(ii) Monash Health</w:t>
            </w:r>
          </w:p>
        </w:tc>
      </w:tr>
      <w:tr w:rsidR="00FA7EBF" w:rsidRPr="007939DD" w14:paraId="21B54863"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E974B86" w14:textId="77777777" w:rsidR="00FA7EBF" w:rsidRPr="007939DD" w:rsidRDefault="00FA7EBF" w:rsidP="00D86186">
            <w:pPr>
              <w:pStyle w:val="ARfintablebody"/>
              <w:spacing w:before="20"/>
              <w:rPr>
                <w:lang w:eastAsia="en-AU"/>
              </w:rPr>
            </w:pPr>
            <w:r w:rsidRPr="0018240F">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D3960C6" w14:textId="77777777" w:rsidR="00FA7EBF" w:rsidRPr="007939DD" w:rsidRDefault="00FA7EBF" w:rsidP="00D86186">
            <w:pPr>
              <w:pStyle w:val="ARfintablebodyright"/>
              <w:spacing w:before="20"/>
              <w:rPr>
                <w:lang w:eastAsia="en-AU"/>
              </w:rPr>
            </w:pPr>
            <w:r w:rsidRPr="0018240F">
              <w:t>22.9</w:t>
            </w:r>
          </w:p>
        </w:tc>
        <w:tc>
          <w:tcPr>
            <w:tcW w:w="1134" w:type="dxa"/>
            <w:tcBorders>
              <w:top w:val="single" w:sz="4" w:space="0" w:color="A6A6A6" w:themeColor="background1" w:themeShade="A6"/>
              <w:bottom w:val="single" w:sz="4" w:space="0" w:color="A6A6A6" w:themeColor="background1" w:themeShade="A6"/>
            </w:tcBorders>
          </w:tcPr>
          <w:p w14:paraId="6D42409A" w14:textId="77777777" w:rsidR="00FA7EBF" w:rsidRPr="007939DD" w:rsidRDefault="00FA7EBF" w:rsidP="00D86186">
            <w:pPr>
              <w:pStyle w:val="ARfintablebodyright"/>
              <w:spacing w:before="20"/>
              <w:rPr>
                <w:lang w:eastAsia="en-AU"/>
              </w:rPr>
            </w:pPr>
            <w:r w:rsidRPr="0018240F">
              <w:t>22.4</w:t>
            </w:r>
          </w:p>
        </w:tc>
      </w:tr>
      <w:tr w:rsidR="00FA7EBF" w:rsidRPr="007939DD" w14:paraId="37EDD732"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42A6BBEE" w14:textId="77777777" w:rsidR="00FA7EBF" w:rsidRPr="007939DD" w:rsidRDefault="00FA7EBF" w:rsidP="00D86186">
            <w:pPr>
              <w:pStyle w:val="ARfintablebody"/>
              <w:spacing w:before="20"/>
              <w:rPr>
                <w:lang w:eastAsia="en-AU"/>
              </w:rPr>
            </w:pPr>
            <w:r w:rsidRPr="0018240F">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1847B9F" w14:textId="77777777" w:rsidR="00FA7EBF" w:rsidRPr="007939DD" w:rsidRDefault="00FA7EBF" w:rsidP="00D86186">
            <w:pPr>
              <w:pStyle w:val="ARfintablebodyright"/>
              <w:spacing w:before="20"/>
              <w:rPr>
                <w:lang w:eastAsia="en-AU"/>
              </w:rPr>
            </w:pPr>
            <w:r w:rsidRPr="0018240F">
              <w:t>109.5</w:t>
            </w:r>
          </w:p>
        </w:tc>
        <w:tc>
          <w:tcPr>
            <w:tcW w:w="1134" w:type="dxa"/>
            <w:tcBorders>
              <w:top w:val="single" w:sz="4" w:space="0" w:color="A6A6A6" w:themeColor="background1" w:themeShade="A6"/>
              <w:bottom w:val="single" w:sz="4" w:space="0" w:color="A6A6A6" w:themeColor="background1" w:themeShade="A6"/>
            </w:tcBorders>
          </w:tcPr>
          <w:p w14:paraId="2287344B" w14:textId="77777777" w:rsidR="00FA7EBF" w:rsidRPr="007939DD" w:rsidRDefault="00FA7EBF" w:rsidP="00D86186">
            <w:pPr>
              <w:pStyle w:val="ARfintablebodyright"/>
              <w:spacing w:before="20"/>
              <w:rPr>
                <w:lang w:eastAsia="en-AU"/>
              </w:rPr>
            </w:pPr>
            <w:r w:rsidRPr="0018240F">
              <w:t>66.8</w:t>
            </w:r>
          </w:p>
        </w:tc>
      </w:tr>
      <w:tr w:rsidR="00FA7EBF" w:rsidRPr="007939DD" w14:paraId="20712BE9" w14:textId="77777777" w:rsidTr="007B207C">
        <w:trPr>
          <w:cantSplit/>
        </w:trPr>
        <w:tc>
          <w:tcPr>
            <w:tcW w:w="7371" w:type="dxa"/>
            <w:tcBorders>
              <w:top w:val="single" w:sz="4" w:space="0" w:color="A6A6A6" w:themeColor="background1" w:themeShade="A6"/>
            </w:tcBorders>
          </w:tcPr>
          <w:p w14:paraId="3A656A9D" w14:textId="77777777" w:rsidR="00FA7EBF" w:rsidRPr="007939DD" w:rsidRDefault="00FA7EBF" w:rsidP="00D86186">
            <w:pPr>
              <w:pStyle w:val="ARfintablebody"/>
              <w:spacing w:before="20"/>
              <w:rPr>
                <w:lang w:eastAsia="en-AU"/>
              </w:rPr>
            </w:pPr>
            <w:r w:rsidRPr="0018240F">
              <w:t>Longer than 5 years</w:t>
            </w:r>
          </w:p>
        </w:tc>
        <w:tc>
          <w:tcPr>
            <w:tcW w:w="1134" w:type="dxa"/>
            <w:tcBorders>
              <w:top w:val="single" w:sz="4" w:space="0" w:color="A6A6A6" w:themeColor="background1" w:themeShade="A6"/>
            </w:tcBorders>
            <w:shd w:val="clear" w:color="auto" w:fill="E7E6E6"/>
          </w:tcPr>
          <w:p w14:paraId="5FB7CD85" w14:textId="77777777" w:rsidR="00FA7EBF" w:rsidRPr="007939DD" w:rsidRDefault="00FA7EBF" w:rsidP="00D86186">
            <w:pPr>
              <w:pStyle w:val="ARfintablebodyright"/>
              <w:spacing w:before="20"/>
              <w:rPr>
                <w:lang w:eastAsia="en-AU"/>
              </w:rPr>
            </w:pPr>
            <w:r w:rsidRPr="0018240F">
              <w:t>169.3</w:t>
            </w:r>
          </w:p>
        </w:tc>
        <w:tc>
          <w:tcPr>
            <w:tcW w:w="1134" w:type="dxa"/>
            <w:tcBorders>
              <w:top w:val="single" w:sz="4" w:space="0" w:color="A6A6A6" w:themeColor="background1" w:themeShade="A6"/>
            </w:tcBorders>
          </w:tcPr>
          <w:p w14:paraId="295441E8" w14:textId="77777777" w:rsidR="00FA7EBF" w:rsidRPr="007939DD" w:rsidRDefault="00FA7EBF" w:rsidP="00D86186">
            <w:pPr>
              <w:pStyle w:val="ARfintablebodyright"/>
              <w:spacing w:before="20"/>
              <w:rPr>
                <w:lang w:eastAsia="en-AU"/>
              </w:rPr>
            </w:pPr>
            <w:r w:rsidRPr="0018240F">
              <w:t>143.6</w:t>
            </w:r>
          </w:p>
        </w:tc>
      </w:tr>
      <w:tr w:rsidR="00FA7EBF" w:rsidRPr="007939DD" w14:paraId="4564441A" w14:textId="77777777" w:rsidTr="007B207C">
        <w:trPr>
          <w:cantSplit/>
        </w:trPr>
        <w:tc>
          <w:tcPr>
            <w:tcW w:w="7371" w:type="dxa"/>
          </w:tcPr>
          <w:p w14:paraId="30AE6030" w14:textId="77777777" w:rsidR="00FA7EBF" w:rsidRPr="007939DD" w:rsidRDefault="00FA7EBF" w:rsidP="00D86186">
            <w:pPr>
              <w:pStyle w:val="ARfintablebodybold"/>
              <w:spacing w:before="20"/>
              <w:rPr>
                <w:lang w:eastAsia="en-AU"/>
              </w:rPr>
            </w:pPr>
            <w:r w:rsidRPr="0018240F">
              <w:t>Total Monash Health commitments</w:t>
            </w:r>
          </w:p>
        </w:tc>
        <w:tc>
          <w:tcPr>
            <w:tcW w:w="1134" w:type="dxa"/>
            <w:shd w:val="clear" w:color="auto" w:fill="E7E6E6"/>
          </w:tcPr>
          <w:p w14:paraId="2CACE369" w14:textId="77777777" w:rsidR="00FA7EBF" w:rsidRPr="007939DD" w:rsidRDefault="00FA7EBF" w:rsidP="00D86186">
            <w:pPr>
              <w:pStyle w:val="ARfintablebodyrightbold"/>
              <w:spacing w:before="20"/>
              <w:rPr>
                <w:lang w:eastAsia="en-AU"/>
              </w:rPr>
            </w:pPr>
            <w:r w:rsidRPr="0018240F">
              <w:t>301.7</w:t>
            </w:r>
          </w:p>
        </w:tc>
        <w:tc>
          <w:tcPr>
            <w:tcW w:w="1134" w:type="dxa"/>
          </w:tcPr>
          <w:p w14:paraId="7F9D020A" w14:textId="77777777" w:rsidR="00FA7EBF" w:rsidRPr="007939DD" w:rsidRDefault="00FA7EBF" w:rsidP="00D86186">
            <w:pPr>
              <w:pStyle w:val="ARfintablebodyrightbold"/>
              <w:spacing w:before="20"/>
              <w:rPr>
                <w:rStyle w:val="Strong"/>
                <w:bCs w:val="0"/>
              </w:rPr>
            </w:pPr>
            <w:r w:rsidRPr="0018240F">
              <w:t>232.8</w:t>
            </w:r>
          </w:p>
        </w:tc>
      </w:tr>
      <w:tr w:rsidR="00FA7EBF" w:rsidRPr="007939DD" w14:paraId="28919EEB" w14:textId="77777777" w:rsidTr="007B207C">
        <w:trPr>
          <w:cantSplit/>
        </w:trPr>
        <w:tc>
          <w:tcPr>
            <w:tcW w:w="9639" w:type="dxa"/>
            <w:gridSpan w:val="3"/>
            <w:tcBorders>
              <w:bottom w:val="single" w:sz="4" w:space="0" w:color="A6A6A6" w:themeColor="background1" w:themeShade="A6"/>
            </w:tcBorders>
          </w:tcPr>
          <w:p w14:paraId="329566B3" w14:textId="77777777" w:rsidR="00FA7EBF" w:rsidRPr="007939DD" w:rsidRDefault="00FA7EBF" w:rsidP="00D86186">
            <w:pPr>
              <w:pStyle w:val="ARfintablebodybold"/>
              <w:spacing w:before="20"/>
              <w:rPr>
                <w:lang w:eastAsia="en-AU"/>
              </w:rPr>
            </w:pPr>
            <w:r w:rsidRPr="0018240F">
              <w:t>(iii) The Royal Children’s Hospital</w:t>
            </w:r>
          </w:p>
        </w:tc>
      </w:tr>
      <w:tr w:rsidR="00FA7EBF" w:rsidRPr="007939DD" w14:paraId="53E3634E"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58A788E" w14:textId="77777777" w:rsidR="00FA7EBF" w:rsidRPr="007939DD" w:rsidRDefault="00FA7EBF" w:rsidP="00D86186">
            <w:pPr>
              <w:pStyle w:val="ARfintablebody"/>
              <w:spacing w:before="20"/>
              <w:rPr>
                <w:lang w:eastAsia="en-AU"/>
              </w:rPr>
            </w:pPr>
            <w:r w:rsidRPr="0018240F">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C3FE1F6" w14:textId="77777777" w:rsidR="00FA7EBF" w:rsidRPr="007939DD" w:rsidRDefault="00FA7EBF" w:rsidP="00D86186">
            <w:pPr>
              <w:pStyle w:val="ARfintablebodyright"/>
              <w:spacing w:before="20"/>
              <w:rPr>
                <w:lang w:eastAsia="en-AU"/>
              </w:rPr>
            </w:pPr>
            <w:r w:rsidRPr="0018240F">
              <w:t>149.5</w:t>
            </w:r>
          </w:p>
        </w:tc>
        <w:tc>
          <w:tcPr>
            <w:tcW w:w="1134" w:type="dxa"/>
            <w:tcBorders>
              <w:top w:val="single" w:sz="4" w:space="0" w:color="A6A6A6" w:themeColor="background1" w:themeShade="A6"/>
              <w:bottom w:val="single" w:sz="4" w:space="0" w:color="A6A6A6" w:themeColor="background1" w:themeShade="A6"/>
            </w:tcBorders>
          </w:tcPr>
          <w:p w14:paraId="19CC764F" w14:textId="77777777" w:rsidR="00FA7EBF" w:rsidRPr="007939DD" w:rsidRDefault="00FA7EBF" w:rsidP="00D86186">
            <w:pPr>
              <w:pStyle w:val="ARfintablebodyright"/>
              <w:spacing w:before="20"/>
              <w:rPr>
                <w:lang w:eastAsia="en-AU"/>
              </w:rPr>
            </w:pPr>
            <w:r w:rsidRPr="0018240F">
              <w:t>141.9</w:t>
            </w:r>
          </w:p>
        </w:tc>
      </w:tr>
      <w:tr w:rsidR="00FA7EBF" w:rsidRPr="007939DD" w14:paraId="412FC774"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5565806D" w14:textId="77777777" w:rsidR="00FA7EBF" w:rsidRPr="007939DD" w:rsidRDefault="00FA7EBF" w:rsidP="00D86186">
            <w:pPr>
              <w:pStyle w:val="ARfintablebody"/>
              <w:spacing w:before="20"/>
              <w:rPr>
                <w:lang w:eastAsia="en-AU"/>
              </w:rPr>
            </w:pPr>
            <w:r w:rsidRPr="0018240F">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1FCAE50" w14:textId="77777777" w:rsidR="00FA7EBF" w:rsidRPr="007939DD" w:rsidRDefault="00FA7EBF" w:rsidP="00D86186">
            <w:pPr>
              <w:pStyle w:val="ARfintablebodyright"/>
              <w:spacing w:before="20"/>
              <w:rPr>
                <w:lang w:eastAsia="en-AU"/>
              </w:rPr>
            </w:pPr>
            <w:r w:rsidRPr="0018240F">
              <w:t>650.2</w:t>
            </w:r>
          </w:p>
        </w:tc>
        <w:tc>
          <w:tcPr>
            <w:tcW w:w="1134" w:type="dxa"/>
            <w:tcBorders>
              <w:top w:val="single" w:sz="4" w:space="0" w:color="A6A6A6" w:themeColor="background1" w:themeShade="A6"/>
              <w:bottom w:val="single" w:sz="4" w:space="0" w:color="A6A6A6" w:themeColor="background1" w:themeShade="A6"/>
            </w:tcBorders>
          </w:tcPr>
          <w:p w14:paraId="45B80F4D" w14:textId="77777777" w:rsidR="00FA7EBF" w:rsidRPr="007939DD" w:rsidRDefault="00FA7EBF" w:rsidP="00D86186">
            <w:pPr>
              <w:pStyle w:val="ARfintablebodyright"/>
              <w:spacing w:before="20"/>
              <w:rPr>
                <w:lang w:eastAsia="en-AU"/>
              </w:rPr>
            </w:pPr>
            <w:r w:rsidRPr="0018240F">
              <w:t>647.2</w:t>
            </w:r>
          </w:p>
        </w:tc>
      </w:tr>
      <w:tr w:rsidR="00FA7EBF" w:rsidRPr="007939DD" w14:paraId="0B03E7DF" w14:textId="77777777" w:rsidTr="007B207C">
        <w:trPr>
          <w:cantSplit/>
        </w:trPr>
        <w:tc>
          <w:tcPr>
            <w:tcW w:w="7371" w:type="dxa"/>
            <w:tcBorders>
              <w:top w:val="single" w:sz="4" w:space="0" w:color="A6A6A6" w:themeColor="background1" w:themeShade="A6"/>
            </w:tcBorders>
          </w:tcPr>
          <w:p w14:paraId="610375BF" w14:textId="77777777" w:rsidR="00FA7EBF" w:rsidRPr="007939DD" w:rsidRDefault="00FA7EBF" w:rsidP="00D86186">
            <w:pPr>
              <w:pStyle w:val="ARfintablebody"/>
              <w:spacing w:before="20"/>
              <w:rPr>
                <w:lang w:eastAsia="en-AU"/>
              </w:rPr>
            </w:pPr>
            <w:r w:rsidRPr="0018240F">
              <w:t>Longer than 5 years</w:t>
            </w:r>
          </w:p>
        </w:tc>
        <w:tc>
          <w:tcPr>
            <w:tcW w:w="1134" w:type="dxa"/>
            <w:tcBorders>
              <w:top w:val="single" w:sz="4" w:space="0" w:color="A6A6A6" w:themeColor="background1" w:themeShade="A6"/>
            </w:tcBorders>
            <w:shd w:val="clear" w:color="auto" w:fill="E7E6E6"/>
          </w:tcPr>
          <w:p w14:paraId="5CC8FA99" w14:textId="77777777" w:rsidR="00FA7EBF" w:rsidRPr="007939DD" w:rsidRDefault="00FA7EBF" w:rsidP="00D86186">
            <w:pPr>
              <w:pStyle w:val="ARfintablebodyright"/>
              <w:spacing w:before="20"/>
              <w:rPr>
                <w:lang w:eastAsia="en-AU"/>
              </w:rPr>
            </w:pPr>
            <w:r w:rsidRPr="0018240F">
              <w:t>2,454.4</w:t>
            </w:r>
          </w:p>
        </w:tc>
        <w:tc>
          <w:tcPr>
            <w:tcW w:w="1134" w:type="dxa"/>
            <w:tcBorders>
              <w:top w:val="single" w:sz="4" w:space="0" w:color="A6A6A6" w:themeColor="background1" w:themeShade="A6"/>
            </w:tcBorders>
          </w:tcPr>
          <w:p w14:paraId="2542B419" w14:textId="77777777" w:rsidR="00FA7EBF" w:rsidRPr="007939DD" w:rsidRDefault="00FA7EBF" w:rsidP="00D86186">
            <w:pPr>
              <w:pStyle w:val="ARfintablebodyright"/>
              <w:spacing w:before="20"/>
              <w:rPr>
                <w:lang w:eastAsia="en-AU"/>
              </w:rPr>
            </w:pPr>
            <w:r w:rsidRPr="0018240F">
              <w:t>2,642.5</w:t>
            </w:r>
          </w:p>
        </w:tc>
      </w:tr>
      <w:tr w:rsidR="00FA7EBF" w:rsidRPr="007939DD" w14:paraId="264C58AF" w14:textId="77777777" w:rsidTr="007B207C">
        <w:trPr>
          <w:cantSplit/>
        </w:trPr>
        <w:tc>
          <w:tcPr>
            <w:tcW w:w="7371" w:type="dxa"/>
          </w:tcPr>
          <w:p w14:paraId="2FE2FFC0" w14:textId="77777777" w:rsidR="00FA7EBF" w:rsidRPr="007939DD" w:rsidRDefault="00FA7EBF" w:rsidP="00D86186">
            <w:pPr>
              <w:pStyle w:val="ARfintablebodybold"/>
              <w:spacing w:before="20"/>
              <w:rPr>
                <w:lang w:eastAsia="en-AU"/>
              </w:rPr>
            </w:pPr>
            <w:r w:rsidRPr="0018240F">
              <w:t>Total The Royal Children’s Hospital commitments</w:t>
            </w:r>
          </w:p>
        </w:tc>
        <w:tc>
          <w:tcPr>
            <w:tcW w:w="1134" w:type="dxa"/>
            <w:shd w:val="clear" w:color="auto" w:fill="E7E6E6"/>
          </w:tcPr>
          <w:p w14:paraId="327A22E5" w14:textId="77777777" w:rsidR="00FA7EBF" w:rsidRPr="007939DD" w:rsidRDefault="00FA7EBF" w:rsidP="00D86186">
            <w:pPr>
              <w:pStyle w:val="ARfintablebodyrightbold"/>
              <w:spacing w:before="20"/>
              <w:rPr>
                <w:lang w:eastAsia="en-AU"/>
              </w:rPr>
            </w:pPr>
            <w:r w:rsidRPr="0018240F">
              <w:t>3,254.1</w:t>
            </w:r>
          </w:p>
        </w:tc>
        <w:tc>
          <w:tcPr>
            <w:tcW w:w="1134" w:type="dxa"/>
          </w:tcPr>
          <w:p w14:paraId="1299833C" w14:textId="77777777" w:rsidR="00FA7EBF" w:rsidRPr="007939DD" w:rsidRDefault="00FA7EBF" w:rsidP="00D86186">
            <w:pPr>
              <w:pStyle w:val="ARfintablebodyrightbold"/>
              <w:spacing w:before="20"/>
              <w:rPr>
                <w:rStyle w:val="Strong"/>
                <w:bCs w:val="0"/>
              </w:rPr>
            </w:pPr>
            <w:r w:rsidRPr="0018240F">
              <w:t>3,431.6</w:t>
            </w:r>
          </w:p>
        </w:tc>
      </w:tr>
      <w:tr w:rsidR="00FA7EBF" w:rsidRPr="007939DD" w14:paraId="598B8FE4" w14:textId="77777777" w:rsidTr="007B207C">
        <w:trPr>
          <w:cantSplit/>
        </w:trPr>
        <w:tc>
          <w:tcPr>
            <w:tcW w:w="9639" w:type="dxa"/>
            <w:gridSpan w:val="3"/>
            <w:tcBorders>
              <w:bottom w:val="single" w:sz="4" w:space="0" w:color="A6A6A6" w:themeColor="background1" w:themeShade="A6"/>
            </w:tcBorders>
          </w:tcPr>
          <w:p w14:paraId="59F2FAC7" w14:textId="77777777" w:rsidR="00FA7EBF" w:rsidRPr="007939DD" w:rsidRDefault="00FA7EBF" w:rsidP="00D86186">
            <w:pPr>
              <w:pStyle w:val="ARfintablebodybold"/>
              <w:spacing w:before="20"/>
              <w:rPr>
                <w:lang w:eastAsia="en-AU"/>
              </w:rPr>
            </w:pPr>
            <w:r w:rsidRPr="0018240F">
              <w:t>(iv) Peter MacCallum Cancer Centre</w:t>
            </w:r>
          </w:p>
        </w:tc>
      </w:tr>
      <w:tr w:rsidR="00FA7EBF" w:rsidRPr="007939DD" w14:paraId="031D58FD"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5A1BF15F" w14:textId="77777777" w:rsidR="00FA7EBF" w:rsidRPr="007939DD" w:rsidRDefault="00FA7EBF" w:rsidP="00D86186">
            <w:pPr>
              <w:pStyle w:val="ARfintablebody"/>
              <w:spacing w:before="20"/>
              <w:rPr>
                <w:lang w:eastAsia="en-AU"/>
              </w:rPr>
            </w:pPr>
            <w:r w:rsidRPr="0018240F">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D07B7A7" w14:textId="77777777" w:rsidR="00FA7EBF" w:rsidRPr="007939DD" w:rsidRDefault="00FA7EBF" w:rsidP="00D86186">
            <w:pPr>
              <w:pStyle w:val="ARfintablebodyright"/>
              <w:spacing w:before="20"/>
              <w:rPr>
                <w:lang w:eastAsia="en-AU"/>
              </w:rPr>
            </w:pPr>
            <w:r w:rsidRPr="0018240F">
              <w:t>169.2</w:t>
            </w:r>
          </w:p>
        </w:tc>
        <w:tc>
          <w:tcPr>
            <w:tcW w:w="1134" w:type="dxa"/>
            <w:tcBorders>
              <w:top w:val="single" w:sz="4" w:space="0" w:color="A6A6A6" w:themeColor="background1" w:themeShade="A6"/>
              <w:bottom w:val="single" w:sz="4" w:space="0" w:color="A6A6A6" w:themeColor="background1" w:themeShade="A6"/>
            </w:tcBorders>
          </w:tcPr>
          <w:p w14:paraId="2C1D8252" w14:textId="77777777" w:rsidR="00FA7EBF" w:rsidRPr="007939DD" w:rsidRDefault="00FA7EBF" w:rsidP="00D86186">
            <w:pPr>
              <w:pStyle w:val="ARfintablebodyright"/>
              <w:spacing w:before="20"/>
              <w:rPr>
                <w:lang w:eastAsia="en-AU"/>
              </w:rPr>
            </w:pPr>
            <w:r w:rsidRPr="0018240F">
              <w:t>167.9</w:t>
            </w:r>
          </w:p>
        </w:tc>
      </w:tr>
      <w:tr w:rsidR="00FA7EBF" w:rsidRPr="007939DD" w14:paraId="0117D590"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7EB832E" w14:textId="77777777" w:rsidR="00FA7EBF" w:rsidRPr="007939DD" w:rsidRDefault="00FA7EBF" w:rsidP="00D86186">
            <w:pPr>
              <w:pStyle w:val="ARfintablebody"/>
              <w:spacing w:before="20"/>
              <w:rPr>
                <w:lang w:eastAsia="en-AU"/>
              </w:rPr>
            </w:pPr>
            <w:r w:rsidRPr="0018240F">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1144811" w14:textId="77777777" w:rsidR="00FA7EBF" w:rsidRPr="007939DD" w:rsidRDefault="00FA7EBF" w:rsidP="00D86186">
            <w:pPr>
              <w:pStyle w:val="ARfintablebodyright"/>
              <w:spacing w:before="20"/>
              <w:rPr>
                <w:lang w:eastAsia="en-AU"/>
              </w:rPr>
            </w:pPr>
            <w:r w:rsidRPr="0018240F">
              <w:t>600.1</w:t>
            </w:r>
          </w:p>
        </w:tc>
        <w:tc>
          <w:tcPr>
            <w:tcW w:w="1134" w:type="dxa"/>
            <w:tcBorders>
              <w:top w:val="single" w:sz="4" w:space="0" w:color="A6A6A6" w:themeColor="background1" w:themeShade="A6"/>
              <w:bottom w:val="single" w:sz="4" w:space="0" w:color="A6A6A6" w:themeColor="background1" w:themeShade="A6"/>
            </w:tcBorders>
          </w:tcPr>
          <w:p w14:paraId="421D822D" w14:textId="77777777" w:rsidR="00FA7EBF" w:rsidRPr="007939DD" w:rsidRDefault="00FA7EBF" w:rsidP="00D86186">
            <w:pPr>
              <w:pStyle w:val="ARfintablebodyright"/>
              <w:spacing w:before="20"/>
              <w:rPr>
                <w:lang w:eastAsia="en-AU"/>
              </w:rPr>
            </w:pPr>
            <w:r w:rsidRPr="0018240F">
              <w:t>644.6</w:t>
            </w:r>
          </w:p>
        </w:tc>
      </w:tr>
      <w:tr w:rsidR="00FA7EBF" w:rsidRPr="007939DD" w14:paraId="24574FC1" w14:textId="77777777" w:rsidTr="007B207C">
        <w:trPr>
          <w:cantSplit/>
        </w:trPr>
        <w:tc>
          <w:tcPr>
            <w:tcW w:w="7371" w:type="dxa"/>
            <w:tcBorders>
              <w:top w:val="single" w:sz="4" w:space="0" w:color="A6A6A6" w:themeColor="background1" w:themeShade="A6"/>
            </w:tcBorders>
          </w:tcPr>
          <w:p w14:paraId="0A68A74B" w14:textId="77777777" w:rsidR="00FA7EBF" w:rsidRPr="007939DD" w:rsidRDefault="00FA7EBF" w:rsidP="00D86186">
            <w:pPr>
              <w:pStyle w:val="ARfintablebody"/>
              <w:spacing w:before="20"/>
              <w:rPr>
                <w:lang w:eastAsia="en-AU"/>
              </w:rPr>
            </w:pPr>
            <w:r w:rsidRPr="0018240F">
              <w:t>Longer than 5 years</w:t>
            </w:r>
          </w:p>
        </w:tc>
        <w:tc>
          <w:tcPr>
            <w:tcW w:w="1134" w:type="dxa"/>
            <w:tcBorders>
              <w:top w:val="single" w:sz="4" w:space="0" w:color="A6A6A6" w:themeColor="background1" w:themeShade="A6"/>
            </w:tcBorders>
            <w:shd w:val="clear" w:color="auto" w:fill="E7E6E6"/>
          </w:tcPr>
          <w:p w14:paraId="6BE6A1A4" w14:textId="77777777" w:rsidR="00FA7EBF" w:rsidRPr="007939DD" w:rsidRDefault="00FA7EBF" w:rsidP="00D86186">
            <w:pPr>
              <w:pStyle w:val="ARfintablebodyright"/>
              <w:spacing w:before="20"/>
              <w:rPr>
                <w:lang w:eastAsia="en-AU"/>
              </w:rPr>
            </w:pPr>
            <w:r w:rsidRPr="0018240F">
              <w:t>1,836.3</w:t>
            </w:r>
          </w:p>
        </w:tc>
        <w:tc>
          <w:tcPr>
            <w:tcW w:w="1134" w:type="dxa"/>
            <w:tcBorders>
              <w:top w:val="single" w:sz="4" w:space="0" w:color="A6A6A6" w:themeColor="background1" w:themeShade="A6"/>
            </w:tcBorders>
          </w:tcPr>
          <w:p w14:paraId="09D3FB2B" w14:textId="77777777" w:rsidR="00FA7EBF" w:rsidRPr="007939DD" w:rsidRDefault="00FA7EBF" w:rsidP="00D86186">
            <w:pPr>
              <w:pStyle w:val="ARfintablebodyright"/>
              <w:spacing w:before="20"/>
              <w:rPr>
                <w:lang w:eastAsia="en-AU"/>
              </w:rPr>
            </w:pPr>
            <w:r w:rsidRPr="0018240F">
              <w:t>2,024.9</w:t>
            </w:r>
          </w:p>
        </w:tc>
      </w:tr>
      <w:tr w:rsidR="00FA7EBF" w:rsidRPr="007939DD" w14:paraId="55A53AB5" w14:textId="77777777" w:rsidTr="007B207C">
        <w:trPr>
          <w:cantSplit/>
        </w:trPr>
        <w:tc>
          <w:tcPr>
            <w:tcW w:w="7371" w:type="dxa"/>
          </w:tcPr>
          <w:p w14:paraId="449B5C41" w14:textId="77777777" w:rsidR="00FA7EBF" w:rsidRPr="007939DD" w:rsidRDefault="00FA7EBF" w:rsidP="00D86186">
            <w:pPr>
              <w:pStyle w:val="ARfintablebodybold"/>
              <w:spacing w:before="20"/>
              <w:rPr>
                <w:lang w:eastAsia="en-AU"/>
              </w:rPr>
            </w:pPr>
            <w:r w:rsidRPr="0018240F">
              <w:t>Total Peter MacCallum Cancer Centre commitments</w:t>
            </w:r>
          </w:p>
        </w:tc>
        <w:tc>
          <w:tcPr>
            <w:tcW w:w="1134" w:type="dxa"/>
            <w:shd w:val="clear" w:color="auto" w:fill="E7E6E6"/>
          </w:tcPr>
          <w:p w14:paraId="172F0BD9" w14:textId="77777777" w:rsidR="00FA7EBF" w:rsidRPr="007939DD" w:rsidRDefault="00FA7EBF" w:rsidP="00D86186">
            <w:pPr>
              <w:pStyle w:val="ARfintablebodyrightbold"/>
              <w:spacing w:before="20"/>
              <w:rPr>
                <w:lang w:eastAsia="en-AU"/>
              </w:rPr>
            </w:pPr>
            <w:r w:rsidRPr="0018240F">
              <w:t>2,605.6</w:t>
            </w:r>
          </w:p>
        </w:tc>
        <w:tc>
          <w:tcPr>
            <w:tcW w:w="1134" w:type="dxa"/>
          </w:tcPr>
          <w:p w14:paraId="02E63C55" w14:textId="77777777" w:rsidR="00FA7EBF" w:rsidRPr="007939DD" w:rsidRDefault="00FA7EBF" w:rsidP="00D86186">
            <w:pPr>
              <w:pStyle w:val="ARfintablebodyrightbold"/>
              <w:spacing w:before="20"/>
              <w:rPr>
                <w:rStyle w:val="Strong"/>
                <w:bCs w:val="0"/>
              </w:rPr>
            </w:pPr>
            <w:r w:rsidRPr="0018240F">
              <w:t>2,837.4</w:t>
            </w:r>
          </w:p>
        </w:tc>
      </w:tr>
      <w:tr w:rsidR="00FA7EBF" w:rsidRPr="007939DD" w14:paraId="66F81CBB" w14:textId="77777777" w:rsidTr="007B207C">
        <w:trPr>
          <w:cantSplit/>
        </w:trPr>
        <w:tc>
          <w:tcPr>
            <w:tcW w:w="9639" w:type="dxa"/>
            <w:gridSpan w:val="3"/>
            <w:tcBorders>
              <w:bottom w:val="single" w:sz="4" w:space="0" w:color="A6A6A6" w:themeColor="background1" w:themeShade="A6"/>
            </w:tcBorders>
          </w:tcPr>
          <w:p w14:paraId="3ECA0394" w14:textId="77777777" w:rsidR="00FA7EBF" w:rsidRPr="007939DD" w:rsidRDefault="00FA7EBF" w:rsidP="00D86186">
            <w:pPr>
              <w:pStyle w:val="ARfintablebodybold"/>
              <w:spacing w:before="20"/>
              <w:rPr>
                <w:lang w:eastAsia="en-AU"/>
              </w:rPr>
            </w:pPr>
            <w:r w:rsidRPr="0018240F">
              <w:t>(v) Bendigo Healthcare Group</w:t>
            </w:r>
          </w:p>
        </w:tc>
      </w:tr>
      <w:tr w:rsidR="00FA7EBF" w:rsidRPr="007939DD" w14:paraId="0860A018"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57731536" w14:textId="77777777" w:rsidR="00FA7EBF" w:rsidRPr="007939DD" w:rsidRDefault="00FA7EBF" w:rsidP="00D86186">
            <w:pPr>
              <w:pStyle w:val="ARfintablebody"/>
              <w:spacing w:before="20"/>
              <w:rPr>
                <w:lang w:eastAsia="en-AU"/>
              </w:rPr>
            </w:pPr>
            <w:r w:rsidRPr="0018240F">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501AC4E" w14:textId="77777777" w:rsidR="00FA7EBF" w:rsidRPr="007939DD" w:rsidRDefault="00FA7EBF" w:rsidP="00D86186">
            <w:pPr>
              <w:pStyle w:val="ARfintablebodyright"/>
              <w:spacing w:before="20"/>
              <w:rPr>
                <w:lang w:eastAsia="en-AU"/>
              </w:rPr>
            </w:pPr>
            <w:r w:rsidRPr="0018240F">
              <w:t>65.8</w:t>
            </w:r>
          </w:p>
        </w:tc>
        <w:tc>
          <w:tcPr>
            <w:tcW w:w="1134" w:type="dxa"/>
            <w:tcBorders>
              <w:top w:val="single" w:sz="4" w:space="0" w:color="A6A6A6" w:themeColor="background1" w:themeShade="A6"/>
              <w:bottom w:val="single" w:sz="4" w:space="0" w:color="A6A6A6" w:themeColor="background1" w:themeShade="A6"/>
            </w:tcBorders>
          </w:tcPr>
          <w:p w14:paraId="5C3C178F" w14:textId="77777777" w:rsidR="00FA7EBF" w:rsidRPr="007939DD" w:rsidRDefault="00FA7EBF" w:rsidP="00D86186">
            <w:pPr>
              <w:pStyle w:val="ARfintablebodyright"/>
              <w:spacing w:before="20"/>
              <w:rPr>
                <w:lang w:eastAsia="en-AU"/>
              </w:rPr>
            </w:pPr>
            <w:r w:rsidRPr="0018240F">
              <w:t>65.3</w:t>
            </w:r>
          </w:p>
        </w:tc>
      </w:tr>
      <w:tr w:rsidR="00FA7EBF" w:rsidRPr="007939DD" w14:paraId="185D1234"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DEA75B5" w14:textId="77777777" w:rsidR="00FA7EBF" w:rsidRPr="007939DD" w:rsidRDefault="00FA7EBF" w:rsidP="00D86186">
            <w:pPr>
              <w:pStyle w:val="ARfintablebody"/>
              <w:spacing w:before="20"/>
              <w:rPr>
                <w:lang w:eastAsia="en-AU"/>
              </w:rPr>
            </w:pPr>
            <w:r w:rsidRPr="0018240F">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6B29B6A" w14:textId="77777777" w:rsidR="00FA7EBF" w:rsidRPr="007939DD" w:rsidRDefault="00FA7EBF" w:rsidP="00D86186">
            <w:pPr>
              <w:pStyle w:val="ARfintablebodyright"/>
              <w:spacing w:before="20"/>
              <w:rPr>
                <w:lang w:eastAsia="en-AU"/>
              </w:rPr>
            </w:pPr>
            <w:r w:rsidRPr="0018240F">
              <w:t>279.6</w:t>
            </w:r>
          </w:p>
        </w:tc>
        <w:tc>
          <w:tcPr>
            <w:tcW w:w="1134" w:type="dxa"/>
            <w:tcBorders>
              <w:top w:val="single" w:sz="4" w:space="0" w:color="A6A6A6" w:themeColor="background1" w:themeShade="A6"/>
              <w:bottom w:val="single" w:sz="4" w:space="0" w:color="A6A6A6" w:themeColor="background1" w:themeShade="A6"/>
            </w:tcBorders>
          </w:tcPr>
          <w:p w14:paraId="2D00F253" w14:textId="77777777" w:rsidR="00FA7EBF" w:rsidRPr="007939DD" w:rsidRDefault="00FA7EBF" w:rsidP="00D86186">
            <w:pPr>
              <w:pStyle w:val="ARfintablebodyright"/>
              <w:spacing w:before="20"/>
              <w:rPr>
                <w:lang w:eastAsia="en-AU"/>
              </w:rPr>
            </w:pPr>
            <w:r w:rsidRPr="0018240F">
              <w:t>251.6</w:t>
            </w:r>
          </w:p>
        </w:tc>
      </w:tr>
      <w:tr w:rsidR="00FA7EBF" w:rsidRPr="007939DD" w14:paraId="25BB87A6" w14:textId="77777777" w:rsidTr="007B207C">
        <w:trPr>
          <w:cantSplit/>
        </w:trPr>
        <w:tc>
          <w:tcPr>
            <w:tcW w:w="7371" w:type="dxa"/>
            <w:tcBorders>
              <w:top w:val="single" w:sz="4" w:space="0" w:color="A6A6A6" w:themeColor="background1" w:themeShade="A6"/>
            </w:tcBorders>
          </w:tcPr>
          <w:p w14:paraId="45900345" w14:textId="77777777" w:rsidR="00FA7EBF" w:rsidRPr="007939DD" w:rsidRDefault="00FA7EBF" w:rsidP="00D86186">
            <w:pPr>
              <w:pStyle w:val="ARfintablebody"/>
              <w:spacing w:before="20"/>
              <w:rPr>
                <w:lang w:eastAsia="en-AU"/>
              </w:rPr>
            </w:pPr>
            <w:r w:rsidRPr="0018240F">
              <w:t>Longer than 5 years</w:t>
            </w:r>
          </w:p>
        </w:tc>
        <w:tc>
          <w:tcPr>
            <w:tcW w:w="1134" w:type="dxa"/>
            <w:tcBorders>
              <w:top w:val="single" w:sz="4" w:space="0" w:color="A6A6A6" w:themeColor="background1" w:themeShade="A6"/>
            </w:tcBorders>
            <w:shd w:val="clear" w:color="auto" w:fill="E7E6E6"/>
          </w:tcPr>
          <w:p w14:paraId="40DA589D" w14:textId="77777777" w:rsidR="00FA7EBF" w:rsidRPr="007939DD" w:rsidRDefault="00FA7EBF" w:rsidP="00D86186">
            <w:pPr>
              <w:pStyle w:val="ARfintablebodyright"/>
              <w:spacing w:before="20"/>
              <w:rPr>
                <w:lang w:eastAsia="en-AU"/>
              </w:rPr>
            </w:pPr>
            <w:r w:rsidRPr="0018240F">
              <w:t>1,619.2</w:t>
            </w:r>
          </w:p>
        </w:tc>
        <w:tc>
          <w:tcPr>
            <w:tcW w:w="1134" w:type="dxa"/>
            <w:tcBorders>
              <w:top w:val="single" w:sz="4" w:space="0" w:color="A6A6A6" w:themeColor="background1" w:themeShade="A6"/>
            </w:tcBorders>
          </w:tcPr>
          <w:p w14:paraId="1386641E" w14:textId="77777777" w:rsidR="00FA7EBF" w:rsidRPr="007939DD" w:rsidRDefault="00FA7EBF" w:rsidP="00D86186">
            <w:pPr>
              <w:pStyle w:val="ARfintablebodyright"/>
              <w:spacing w:before="20"/>
              <w:rPr>
                <w:lang w:eastAsia="en-AU"/>
              </w:rPr>
            </w:pPr>
            <w:r w:rsidRPr="0018240F">
              <w:t>1,664.4</w:t>
            </w:r>
          </w:p>
        </w:tc>
      </w:tr>
      <w:tr w:rsidR="00FA7EBF" w:rsidRPr="007939DD" w14:paraId="4E2BF058" w14:textId="77777777" w:rsidTr="007B207C">
        <w:trPr>
          <w:cantSplit/>
        </w:trPr>
        <w:tc>
          <w:tcPr>
            <w:tcW w:w="7371" w:type="dxa"/>
          </w:tcPr>
          <w:p w14:paraId="264FC05A" w14:textId="77777777" w:rsidR="00FA7EBF" w:rsidRPr="007939DD" w:rsidRDefault="00FA7EBF" w:rsidP="00D86186">
            <w:pPr>
              <w:pStyle w:val="ARfintablebodybold"/>
              <w:spacing w:before="20"/>
              <w:rPr>
                <w:lang w:eastAsia="en-AU"/>
              </w:rPr>
            </w:pPr>
            <w:r w:rsidRPr="0018240F">
              <w:t>Total Bendigo Healthcare Group commitments</w:t>
            </w:r>
          </w:p>
        </w:tc>
        <w:tc>
          <w:tcPr>
            <w:tcW w:w="1134" w:type="dxa"/>
            <w:shd w:val="clear" w:color="auto" w:fill="E7E6E6"/>
          </w:tcPr>
          <w:p w14:paraId="5C92F664" w14:textId="77777777" w:rsidR="00FA7EBF" w:rsidRPr="007939DD" w:rsidRDefault="00FA7EBF" w:rsidP="00D86186">
            <w:pPr>
              <w:pStyle w:val="ARfintablebodyrightbold"/>
              <w:spacing w:before="20"/>
              <w:rPr>
                <w:lang w:eastAsia="en-AU"/>
              </w:rPr>
            </w:pPr>
            <w:r w:rsidRPr="0018240F">
              <w:t>1,964.5</w:t>
            </w:r>
          </w:p>
        </w:tc>
        <w:tc>
          <w:tcPr>
            <w:tcW w:w="1134" w:type="dxa"/>
          </w:tcPr>
          <w:p w14:paraId="0D032EED" w14:textId="77777777" w:rsidR="00FA7EBF" w:rsidRPr="007939DD" w:rsidRDefault="00FA7EBF" w:rsidP="00D86186">
            <w:pPr>
              <w:pStyle w:val="ARfintablebodyrightbold"/>
              <w:spacing w:before="20"/>
              <w:rPr>
                <w:rStyle w:val="Strong"/>
                <w:bCs w:val="0"/>
              </w:rPr>
            </w:pPr>
            <w:r w:rsidRPr="0018240F">
              <w:t>1,981.3</w:t>
            </w:r>
          </w:p>
        </w:tc>
      </w:tr>
      <w:tr w:rsidR="00FA7EBF" w:rsidRPr="007939DD" w14:paraId="57E6895C" w14:textId="77777777" w:rsidTr="007B207C">
        <w:trPr>
          <w:cantSplit/>
        </w:trPr>
        <w:tc>
          <w:tcPr>
            <w:tcW w:w="7371" w:type="dxa"/>
          </w:tcPr>
          <w:p w14:paraId="06B04D4B" w14:textId="77777777" w:rsidR="00FA7EBF" w:rsidRPr="007939DD" w:rsidRDefault="00FA7EBF" w:rsidP="00D86186">
            <w:pPr>
              <w:pStyle w:val="ARfintablebodybold"/>
              <w:spacing w:before="20"/>
              <w:rPr>
                <w:lang w:eastAsia="en-AU"/>
              </w:rPr>
            </w:pPr>
            <w:r w:rsidRPr="0018240F">
              <w:t>Total PPP commitments</w:t>
            </w:r>
          </w:p>
        </w:tc>
        <w:tc>
          <w:tcPr>
            <w:tcW w:w="1134" w:type="dxa"/>
            <w:shd w:val="clear" w:color="auto" w:fill="E7E6E6"/>
          </w:tcPr>
          <w:p w14:paraId="3491EA3F" w14:textId="77777777" w:rsidR="00FA7EBF" w:rsidRPr="007939DD" w:rsidRDefault="00FA7EBF" w:rsidP="00D86186">
            <w:pPr>
              <w:pStyle w:val="ARfintablebodyrightbold"/>
              <w:spacing w:before="20"/>
              <w:rPr>
                <w:lang w:eastAsia="en-AU"/>
              </w:rPr>
            </w:pPr>
            <w:r w:rsidRPr="0018240F">
              <w:t>8,892.0</w:t>
            </w:r>
          </w:p>
        </w:tc>
        <w:tc>
          <w:tcPr>
            <w:tcW w:w="1134" w:type="dxa"/>
          </w:tcPr>
          <w:p w14:paraId="5CD44EF9" w14:textId="77777777" w:rsidR="00FA7EBF" w:rsidRPr="007939DD" w:rsidRDefault="00FA7EBF" w:rsidP="00D86186">
            <w:pPr>
              <w:pStyle w:val="ARfintablebodyrightbold"/>
              <w:spacing w:before="20"/>
              <w:rPr>
                <w:rStyle w:val="Strong"/>
                <w:bCs w:val="0"/>
              </w:rPr>
            </w:pPr>
            <w:r w:rsidRPr="0018240F">
              <w:t>9,301.3</w:t>
            </w:r>
          </w:p>
        </w:tc>
      </w:tr>
      <w:tr w:rsidR="00FA7EBF" w:rsidRPr="007939DD" w14:paraId="5A837151" w14:textId="77777777" w:rsidTr="007B207C">
        <w:trPr>
          <w:cantSplit/>
        </w:trPr>
        <w:tc>
          <w:tcPr>
            <w:tcW w:w="9639" w:type="dxa"/>
            <w:gridSpan w:val="3"/>
            <w:tcBorders>
              <w:bottom w:val="single" w:sz="4" w:space="0" w:color="A6A6A6" w:themeColor="background1" w:themeShade="A6"/>
            </w:tcBorders>
          </w:tcPr>
          <w:p w14:paraId="423085A2" w14:textId="77777777" w:rsidR="00FA7EBF" w:rsidRPr="007939DD" w:rsidRDefault="00FA7EBF" w:rsidP="00D86186">
            <w:pPr>
              <w:pStyle w:val="ARfintablebodybold"/>
              <w:spacing w:before="20"/>
              <w:rPr>
                <w:rStyle w:val="Strong"/>
                <w:bCs/>
              </w:rPr>
            </w:pPr>
            <w:r w:rsidRPr="0018240F">
              <w:t>(d) Other expenditure commitments</w:t>
            </w:r>
            <w:r>
              <w:t xml:space="preserve"> </w:t>
            </w:r>
            <w:r w:rsidRPr="00712D03">
              <w:rPr>
                <w:rStyle w:val="Superscript"/>
              </w:rPr>
              <w:t>(ii)</w:t>
            </w:r>
          </w:p>
        </w:tc>
      </w:tr>
      <w:tr w:rsidR="00FA7EBF" w:rsidRPr="007939DD" w14:paraId="6DDE225B"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F9F059E" w14:textId="77777777" w:rsidR="00FA7EBF" w:rsidRPr="007939DD" w:rsidRDefault="00FA7EBF" w:rsidP="00D86186">
            <w:pPr>
              <w:pStyle w:val="ARfintablebody"/>
              <w:spacing w:before="20"/>
              <w:rPr>
                <w:lang w:eastAsia="en-AU"/>
              </w:rPr>
            </w:pPr>
            <w:r w:rsidRPr="0018240F">
              <w:t>Less than 1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2A76C65" w14:textId="77777777" w:rsidR="00FA7EBF" w:rsidRPr="007939DD" w:rsidRDefault="00FA7EBF" w:rsidP="00D86186">
            <w:pPr>
              <w:pStyle w:val="ARfintablebodyright"/>
              <w:spacing w:before="20"/>
            </w:pPr>
            <w:r w:rsidRPr="0018240F">
              <w:t>305.9</w:t>
            </w:r>
          </w:p>
        </w:tc>
        <w:tc>
          <w:tcPr>
            <w:tcW w:w="1134" w:type="dxa"/>
            <w:tcBorders>
              <w:top w:val="single" w:sz="4" w:space="0" w:color="A6A6A6" w:themeColor="background1" w:themeShade="A6"/>
              <w:bottom w:val="single" w:sz="4" w:space="0" w:color="A6A6A6" w:themeColor="background1" w:themeShade="A6"/>
            </w:tcBorders>
          </w:tcPr>
          <w:p w14:paraId="3BF62B0B" w14:textId="77777777" w:rsidR="00FA7EBF" w:rsidRPr="007939DD" w:rsidRDefault="00FA7EBF" w:rsidP="00D86186">
            <w:pPr>
              <w:pStyle w:val="ARfintablebodyright"/>
              <w:spacing w:before="20"/>
              <w:rPr>
                <w:lang w:eastAsia="en-AU"/>
              </w:rPr>
            </w:pPr>
            <w:r w:rsidRPr="0018240F">
              <w:t>257.3</w:t>
            </w:r>
          </w:p>
        </w:tc>
      </w:tr>
      <w:tr w:rsidR="00FA7EBF" w:rsidRPr="007939DD" w14:paraId="2CA46984"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DD8E355" w14:textId="77777777" w:rsidR="00FA7EBF" w:rsidRPr="007939DD" w:rsidRDefault="00FA7EBF" w:rsidP="00D86186">
            <w:pPr>
              <w:pStyle w:val="ARfintablebody"/>
              <w:spacing w:before="20"/>
              <w:rPr>
                <w:lang w:eastAsia="en-AU"/>
              </w:rPr>
            </w:pPr>
            <w:r w:rsidRPr="0018240F">
              <w:t>Longer than 1 year and not longer than 5 years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49631D6" w14:textId="77777777" w:rsidR="00FA7EBF" w:rsidRPr="007939DD" w:rsidRDefault="00FA7EBF" w:rsidP="00D86186">
            <w:pPr>
              <w:pStyle w:val="ARfintablebodyright"/>
              <w:spacing w:before="20"/>
            </w:pPr>
            <w:r w:rsidRPr="0018240F">
              <w:t>168.4</w:t>
            </w:r>
          </w:p>
        </w:tc>
        <w:tc>
          <w:tcPr>
            <w:tcW w:w="1134" w:type="dxa"/>
            <w:tcBorders>
              <w:top w:val="single" w:sz="4" w:space="0" w:color="A6A6A6" w:themeColor="background1" w:themeShade="A6"/>
              <w:bottom w:val="single" w:sz="4" w:space="0" w:color="A6A6A6" w:themeColor="background1" w:themeShade="A6"/>
            </w:tcBorders>
          </w:tcPr>
          <w:p w14:paraId="11029F42" w14:textId="77777777" w:rsidR="00FA7EBF" w:rsidRPr="007939DD" w:rsidRDefault="00FA7EBF" w:rsidP="00D86186">
            <w:pPr>
              <w:pStyle w:val="ARfintablebodyright"/>
              <w:spacing w:before="20"/>
              <w:rPr>
                <w:lang w:eastAsia="en-AU"/>
              </w:rPr>
            </w:pPr>
            <w:r w:rsidRPr="0018240F">
              <w:t>196.7</w:t>
            </w:r>
          </w:p>
        </w:tc>
      </w:tr>
      <w:tr w:rsidR="00FA7EBF" w:rsidRPr="007939DD" w14:paraId="4FAFEC92" w14:textId="77777777" w:rsidTr="007B207C">
        <w:trPr>
          <w:cantSplit/>
        </w:trPr>
        <w:tc>
          <w:tcPr>
            <w:tcW w:w="7371" w:type="dxa"/>
            <w:tcBorders>
              <w:top w:val="single" w:sz="4" w:space="0" w:color="A6A6A6" w:themeColor="background1" w:themeShade="A6"/>
            </w:tcBorders>
          </w:tcPr>
          <w:p w14:paraId="3A70ABD2" w14:textId="77777777" w:rsidR="00FA7EBF" w:rsidRPr="007939DD" w:rsidRDefault="00FA7EBF" w:rsidP="00D86186">
            <w:pPr>
              <w:pStyle w:val="ARfintablebody"/>
              <w:spacing w:before="20"/>
              <w:rPr>
                <w:lang w:eastAsia="en-AU"/>
              </w:rPr>
            </w:pPr>
            <w:r w:rsidRPr="0018240F">
              <w:t>Longer than 5 years</w:t>
            </w:r>
          </w:p>
        </w:tc>
        <w:tc>
          <w:tcPr>
            <w:tcW w:w="1134" w:type="dxa"/>
            <w:tcBorders>
              <w:top w:val="single" w:sz="4" w:space="0" w:color="A6A6A6" w:themeColor="background1" w:themeShade="A6"/>
            </w:tcBorders>
            <w:shd w:val="clear" w:color="auto" w:fill="E7E6E6"/>
          </w:tcPr>
          <w:p w14:paraId="0F7C59FB" w14:textId="77777777" w:rsidR="00FA7EBF" w:rsidRPr="007939DD" w:rsidRDefault="00FA7EBF" w:rsidP="00D86186">
            <w:pPr>
              <w:pStyle w:val="ARfintablebodyright"/>
              <w:spacing w:before="20"/>
            </w:pPr>
            <w:r w:rsidRPr="0018240F">
              <w:t>44.2</w:t>
            </w:r>
          </w:p>
        </w:tc>
        <w:tc>
          <w:tcPr>
            <w:tcW w:w="1134" w:type="dxa"/>
            <w:tcBorders>
              <w:top w:val="single" w:sz="4" w:space="0" w:color="A6A6A6" w:themeColor="background1" w:themeShade="A6"/>
            </w:tcBorders>
          </w:tcPr>
          <w:p w14:paraId="309498A0" w14:textId="77777777" w:rsidR="00FA7EBF" w:rsidRPr="007939DD" w:rsidRDefault="00FA7EBF" w:rsidP="00D86186">
            <w:pPr>
              <w:pStyle w:val="ARfintablebodyright"/>
              <w:spacing w:before="20"/>
              <w:rPr>
                <w:lang w:eastAsia="en-AU"/>
              </w:rPr>
            </w:pPr>
            <w:r w:rsidRPr="0018240F">
              <w:t>46.6</w:t>
            </w:r>
          </w:p>
        </w:tc>
      </w:tr>
      <w:tr w:rsidR="00FA7EBF" w:rsidRPr="007939DD" w14:paraId="4CFDF4BE" w14:textId="77777777" w:rsidTr="007B207C">
        <w:trPr>
          <w:cantSplit/>
        </w:trPr>
        <w:tc>
          <w:tcPr>
            <w:tcW w:w="7371" w:type="dxa"/>
          </w:tcPr>
          <w:p w14:paraId="2B136A97" w14:textId="77777777" w:rsidR="00FA7EBF" w:rsidRPr="007939DD" w:rsidRDefault="00FA7EBF" w:rsidP="00D86186">
            <w:pPr>
              <w:pStyle w:val="ARfintablebodybold"/>
              <w:spacing w:before="20"/>
              <w:rPr>
                <w:lang w:eastAsia="en-AU"/>
              </w:rPr>
            </w:pPr>
            <w:r w:rsidRPr="0018240F">
              <w:t>Total other expenditure commitments</w:t>
            </w:r>
          </w:p>
        </w:tc>
        <w:tc>
          <w:tcPr>
            <w:tcW w:w="1134" w:type="dxa"/>
            <w:shd w:val="clear" w:color="auto" w:fill="E7E6E6"/>
          </w:tcPr>
          <w:p w14:paraId="22ECFC9F" w14:textId="77777777" w:rsidR="00FA7EBF" w:rsidRPr="007939DD" w:rsidRDefault="00FA7EBF" w:rsidP="00D86186">
            <w:pPr>
              <w:pStyle w:val="ARfintablebodyrightbold"/>
              <w:spacing w:before="20"/>
              <w:rPr>
                <w:rStyle w:val="Strong"/>
                <w:bCs w:val="0"/>
              </w:rPr>
            </w:pPr>
            <w:r w:rsidRPr="0018240F">
              <w:t>518.6</w:t>
            </w:r>
          </w:p>
        </w:tc>
        <w:tc>
          <w:tcPr>
            <w:tcW w:w="1134" w:type="dxa"/>
          </w:tcPr>
          <w:p w14:paraId="78A42A76" w14:textId="77777777" w:rsidR="00FA7EBF" w:rsidRPr="007939DD" w:rsidRDefault="00FA7EBF" w:rsidP="00D86186">
            <w:pPr>
              <w:pStyle w:val="ARfintablebodyrightbold"/>
              <w:spacing w:before="20"/>
              <w:rPr>
                <w:rStyle w:val="Strong"/>
                <w:bCs w:val="0"/>
              </w:rPr>
            </w:pPr>
            <w:r w:rsidRPr="0018240F">
              <w:t>500.6</w:t>
            </w:r>
          </w:p>
        </w:tc>
      </w:tr>
      <w:tr w:rsidR="00FA7EBF" w:rsidRPr="007939DD" w14:paraId="47AD9579" w14:textId="77777777" w:rsidTr="007B207C">
        <w:trPr>
          <w:cantSplit/>
        </w:trPr>
        <w:tc>
          <w:tcPr>
            <w:tcW w:w="7371" w:type="dxa"/>
            <w:tcBorders>
              <w:bottom w:val="single" w:sz="4" w:space="0" w:color="A6A6A6" w:themeColor="background1" w:themeShade="A6"/>
            </w:tcBorders>
          </w:tcPr>
          <w:p w14:paraId="45A2EAE0" w14:textId="77777777" w:rsidR="00FA7EBF" w:rsidRPr="007939DD" w:rsidRDefault="00FA7EBF" w:rsidP="00D86186">
            <w:pPr>
              <w:pStyle w:val="ARfintablebodybold"/>
              <w:spacing w:before="20"/>
              <w:rPr>
                <w:lang w:eastAsia="en-AU"/>
              </w:rPr>
            </w:pPr>
            <w:r w:rsidRPr="0018240F">
              <w:t xml:space="preserve">Total commitments for expenditure (inclusive of GST) </w:t>
            </w:r>
          </w:p>
        </w:tc>
        <w:tc>
          <w:tcPr>
            <w:tcW w:w="1134" w:type="dxa"/>
            <w:tcBorders>
              <w:bottom w:val="single" w:sz="4" w:space="0" w:color="A6A6A6" w:themeColor="background1" w:themeShade="A6"/>
            </w:tcBorders>
            <w:shd w:val="clear" w:color="auto" w:fill="E7E6E6"/>
          </w:tcPr>
          <w:p w14:paraId="161962A7" w14:textId="77777777" w:rsidR="00FA7EBF" w:rsidRPr="007939DD" w:rsidRDefault="00FA7EBF" w:rsidP="00D86186">
            <w:pPr>
              <w:pStyle w:val="ARfintablebodyrightbold"/>
              <w:spacing w:before="20"/>
              <w:rPr>
                <w:rStyle w:val="Strong"/>
                <w:bCs w:val="0"/>
              </w:rPr>
            </w:pPr>
            <w:r w:rsidRPr="0018240F">
              <w:t>10,643.4</w:t>
            </w:r>
          </w:p>
        </w:tc>
        <w:tc>
          <w:tcPr>
            <w:tcW w:w="1134" w:type="dxa"/>
            <w:tcBorders>
              <w:bottom w:val="single" w:sz="4" w:space="0" w:color="A6A6A6" w:themeColor="background1" w:themeShade="A6"/>
            </w:tcBorders>
          </w:tcPr>
          <w:p w14:paraId="66EA5AE3" w14:textId="77777777" w:rsidR="00FA7EBF" w:rsidRPr="007939DD" w:rsidRDefault="00FA7EBF" w:rsidP="00D86186">
            <w:pPr>
              <w:pStyle w:val="ARfintablebodyrightbold"/>
              <w:spacing w:before="20"/>
              <w:rPr>
                <w:rStyle w:val="Strong"/>
                <w:bCs w:val="0"/>
              </w:rPr>
            </w:pPr>
            <w:r w:rsidRPr="0018240F">
              <w:t>10,528.8</w:t>
            </w:r>
          </w:p>
        </w:tc>
      </w:tr>
      <w:tr w:rsidR="00FA7EBF" w:rsidRPr="007939DD" w14:paraId="44308CD7" w14:textId="77777777" w:rsidTr="007B207C">
        <w:trPr>
          <w:cantSplit/>
        </w:trPr>
        <w:tc>
          <w:tcPr>
            <w:tcW w:w="7371" w:type="dxa"/>
            <w:tcBorders>
              <w:top w:val="single" w:sz="4" w:space="0" w:color="A6A6A6" w:themeColor="background1" w:themeShade="A6"/>
            </w:tcBorders>
          </w:tcPr>
          <w:p w14:paraId="694C2915" w14:textId="77777777" w:rsidR="00FA7EBF" w:rsidRPr="007939DD" w:rsidRDefault="00FA7EBF" w:rsidP="00D86186">
            <w:pPr>
              <w:pStyle w:val="ARfintablebody"/>
              <w:spacing w:before="20"/>
              <w:rPr>
                <w:lang w:eastAsia="en-AU"/>
              </w:rPr>
            </w:pPr>
            <w:r w:rsidRPr="0018240F">
              <w:t>Less GST recoverable from the ATO</w:t>
            </w:r>
          </w:p>
        </w:tc>
        <w:tc>
          <w:tcPr>
            <w:tcW w:w="1134" w:type="dxa"/>
            <w:tcBorders>
              <w:top w:val="single" w:sz="4" w:space="0" w:color="A6A6A6" w:themeColor="background1" w:themeShade="A6"/>
            </w:tcBorders>
            <w:shd w:val="clear" w:color="auto" w:fill="E7E6E6"/>
          </w:tcPr>
          <w:p w14:paraId="29D0FA93" w14:textId="77777777" w:rsidR="00FA7EBF" w:rsidRPr="007939DD" w:rsidRDefault="00FA7EBF" w:rsidP="00D86186">
            <w:pPr>
              <w:pStyle w:val="ARfintablebodyright"/>
              <w:spacing w:before="20"/>
            </w:pPr>
            <w:r w:rsidRPr="0018240F">
              <w:t>942.0</w:t>
            </w:r>
          </w:p>
        </w:tc>
        <w:tc>
          <w:tcPr>
            <w:tcW w:w="1134" w:type="dxa"/>
            <w:tcBorders>
              <w:top w:val="single" w:sz="4" w:space="0" w:color="A6A6A6" w:themeColor="background1" w:themeShade="A6"/>
            </w:tcBorders>
          </w:tcPr>
          <w:p w14:paraId="51299B1D" w14:textId="77777777" w:rsidR="00FA7EBF" w:rsidRPr="007939DD" w:rsidRDefault="00FA7EBF" w:rsidP="00D86186">
            <w:pPr>
              <w:pStyle w:val="ARfintablebodyright"/>
              <w:spacing w:before="20"/>
              <w:rPr>
                <w:lang w:eastAsia="en-AU"/>
              </w:rPr>
            </w:pPr>
            <w:r w:rsidRPr="0018240F">
              <w:t>945.4</w:t>
            </w:r>
          </w:p>
        </w:tc>
      </w:tr>
      <w:tr w:rsidR="00FA7EBF" w:rsidRPr="007939DD" w14:paraId="221C459B" w14:textId="77777777" w:rsidTr="007B207C">
        <w:trPr>
          <w:cantSplit/>
        </w:trPr>
        <w:tc>
          <w:tcPr>
            <w:tcW w:w="7371" w:type="dxa"/>
          </w:tcPr>
          <w:p w14:paraId="1597DDC3" w14:textId="77777777" w:rsidR="00FA7EBF" w:rsidRPr="007939DD" w:rsidRDefault="00FA7EBF" w:rsidP="00D86186">
            <w:pPr>
              <w:pStyle w:val="ARfintablebodybold"/>
              <w:spacing w:before="20"/>
              <w:rPr>
                <w:lang w:eastAsia="en-AU"/>
              </w:rPr>
            </w:pPr>
            <w:r w:rsidRPr="0018240F">
              <w:t>Total commitments for expenditure (exclusive of GST)</w:t>
            </w:r>
          </w:p>
        </w:tc>
        <w:tc>
          <w:tcPr>
            <w:tcW w:w="1134" w:type="dxa"/>
            <w:shd w:val="clear" w:color="auto" w:fill="E7E6E6"/>
          </w:tcPr>
          <w:p w14:paraId="7E234A84" w14:textId="77777777" w:rsidR="00FA7EBF" w:rsidRPr="007939DD" w:rsidRDefault="00FA7EBF" w:rsidP="00D86186">
            <w:pPr>
              <w:pStyle w:val="ARfintablebodyrightbold"/>
              <w:spacing w:before="20"/>
              <w:rPr>
                <w:rStyle w:val="Strong"/>
                <w:bCs w:val="0"/>
              </w:rPr>
            </w:pPr>
            <w:r w:rsidRPr="0018240F">
              <w:t>9,701.4</w:t>
            </w:r>
          </w:p>
        </w:tc>
        <w:tc>
          <w:tcPr>
            <w:tcW w:w="1134" w:type="dxa"/>
          </w:tcPr>
          <w:p w14:paraId="2AEEB180" w14:textId="77777777" w:rsidR="00FA7EBF" w:rsidRPr="007939DD" w:rsidRDefault="00FA7EBF" w:rsidP="00D86186">
            <w:pPr>
              <w:pStyle w:val="ARfintablebodyrightbold"/>
              <w:spacing w:before="20"/>
              <w:rPr>
                <w:rStyle w:val="Strong"/>
                <w:bCs w:val="0"/>
              </w:rPr>
            </w:pPr>
            <w:r w:rsidRPr="0018240F">
              <w:t>9,583.4</w:t>
            </w:r>
          </w:p>
        </w:tc>
      </w:tr>
    </w:tbl>
    <w:p w14:paraId="31A71770" w14:textId="77777777" w:rsidR="00FA7EBF" w:rsidRPr="00194D78" w:rsidRDefault="00FA7EBF" w:rsidP="00CA66FD">
      <w:pPr>
        <w:pStyle w:val="ARfintablefootnote"/>
        <w:rPr>
          <w:lang w:eastAsia="en-AU"/>
        </w:rPr>
      </w:pPr>
      <w:r w:rsidRPr="00194D78">
        <w:rPr>
          <w:lang w:eastAsia="en-AU"/>
        </w:rPr>
        <w:t>Note</w:t>
      </w:r>
      <w:r>
        <w:rPr>
          <w:lang w:eastAsia="en-AU"/>
        </w:rPr>
        <w:t>s</w:t>
      </w:r>
      <w:r w:rsidRPr="00194D78">
        <w:rPr>
          <w:lang w:eastAsia="en-AU"/>
        </w:rPr>
        <w:t>:</w:t>
      </w:r>
    </w:p>
    <w:p w14:paraId="723AEC24" w14:textId="77777777" w:rsidR="00FA7EBF" w:rsidRDefault="00FA7EBF" w:rsidP="00CA66FD">
      <w:pPr>
        <w:pStyle w:val="ARfintablefootnoteindent"/>
      </w:pPr>
      <w:r w:rsidRPr="00194D78">
        <w:t>(i)</w:t>
      </w:r>
      <w:r>
        <w:tab/>
      </w:r>
      <w:r w:rsidRPr="00194D78">
        <w:t>For future finance lease and non-cancellable operating lease payments that are recognised on the balance sheet, refer to Note 7.2 Leases.</w:t>
      </w:r>
    </w:p>
    <w:p w14:paraId="598213B8" w14:textId="77777777" w:rsidR="00FA7EBF" w:rsidRPr="00194D78" w:rsidRDefault="00FA7EBF" w:rsidP="00CA66FD">
      <w:pPr>
        <w:pStyle w:val="ARfintablefootnoteindent"/>
      </w:pPr>
      <w:r>
        <w:t>(ii)</w:t>
      </w:r>
      <w:r>
        <w:tab/>
      </w:r>
      <w:r w:rsidRPr="005C1D54">
        <w:t>GST is not included in some of the above commitments as they relate to either input taxed or exempt goods and services.</w:t>
      </w:r>
    </w:p>
    <w:p w14:paraId="6E3B5062" w14:textId="77777777" w:rsidR="00FA7EBF" w:rsidRPr="00194D78" w:rsidRDefault="00FA7EBF" w:rsidP="00CA66FD">
      <w:pPr>
        <w:pStyle w:val="Heading6"/>
        <w:rPr>
          <w:lang w:eastAsia="en-AU"/>
        </w:rPr>
      </w:pPr>
      <w:r w:rsidRPr="00194D78">
        <w:rPr>
          <w:lang w:eastAsia="en-AU"/>
        </w:rPr>
        <w:t>PPP commitments</w:t>
      </w:r>
    </w:p>
    <w:p w14:paraId="7487B7EF" w14:textId="77777777" w:rsidR="00FA7EBF" w:rsidRPr="00194D78" w:rsidRDefault="00FA7EBF" w:rsidP="00CA66FD">
      <w:pPr>
        <w:pStyle w:val="ARfinbody"/>
      </w:pPr>
      <w:r w:rsidRPr="00194D78">
        <w:t>The Minister for Health has entered into six long-term contracts with various private sector consortiums for the design, construction, maintenance and financing of hospital infrastructure assets, one for the Royal Women</w:t>
      </w:r>
      <w:r>
        <w:t>’</w:t>
      </w:r>
      <w:r w:rsidRPr="00194D78">
        <w:t>s Hospital, the Royal Children</w:t>
      </w:r>
      <w:r>
        <w:t>’</w:t>
      </w:r>
      <w:r w:rsidRPr="00194D78">
        <w:t>s Hospital, the Victorian Comprehensive Cancer Centre, Bendigo Hospital and two for Casey Hospital. These arrangements are referred to as public private partnerships (PPP) or service concessions arrangements.</w:t>
      </w:r>
    </w:p>
    <w:p w14:paraId="15A8413D" w14:textId="77777777" w:rsidR="00FA7EBF" w:rsidRPr="00194D78" w:rsidRDefault="00FA7EBF" w:rsidP="00CA66FD">
      <w:pPr>
        <w:pStyle w:val="ARfinbody"/>
      </w:pPr>
      <w:r w:rsidRPr="00194D78">
        <w:t>The respective health agency is the operator of the PPP infrastructure assets and consequently recognises the associated assets, finance lease liabilities, transactions and commitments to the private sector provider, in their own financial statements. For additional information relating to these balances, transactions and commitments (including present value information) refer to the relevant health agencies</w:t>
      </w:r>
      <w:r>
        <w:t>’</w:t>
      </w:r>
      <w:r w:rsidRPr="00194D78">
        <w:t xml:space="preserve"> financial reports.</w:t>
      </w:r>
    </w:p>
    <w:p w14:paraId="72DB8CE9" w14:textId="77777777" w:rsidR="00FA7EBF" w:rsidRPr="00194D78" w:rsidRDefault="00FA7EBF" w:rsidP="00CA66FD">
      <w:pPr>
        <w:pStyle w:val="ARfinbody"/>
      </w:pPr>
      <w:r w:rsidRPr="00194D78">
        <w:t>In the table above, the department has disclosed the total nominal amounts due to the private sector consortiums, as the department has agreed to fund these amounts on behalf of the relevant health sector agencies, to satisfy the terms of the PPP arrangements. These amounts include the principal, interest, maintenance and ancillary services payments required over the remaining terms of the contracts. These payments will be funded via appropriation revenue and will be recognised as a grant expense to the health agency.</w:t>
      </w:r>
    </w:p>
    <w:p w14:paraId="6BB9B8FC" w14:textId="77777777" w:rsidR="00FA7EBF" w:rsidRDefault="00FA7EBF" w:rsidP="00CA66FD">
      <w:pPr>
        <w:pStyle w:val="Heading5"/>
        <w:rPr>
          <w:lang w:eastAsia="en-AU"/>
        </w:rPr>
      </w:pPr>
      <w:r w:rsidRPr="00194D78">
        <w:rPr>
          <w:lang w:eastAsia="en-AU"/>
        </w:rPr>
        <w:t>7.5.2 Commitments other than PPPs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5F4017D3" w14:textId="77777777" w:rsidTr="007B207C">
        <w:trPr>
          <w:cantSplit/>
          <w:tblHeader/>
        </w:trPr>
        <w:tc>
          <w:tcPr>
            <w:tcW w:w="7371" w:type="dxa"/>
            <w:vAlign w:val="bottom"/>
          </w:tcPr>
          <w:p w14:paraId="4EFA7C94" w14:textId="77777777" w:rsidR="00FA7EBF" w:rsidRPr="007939DD" w:rsidRDefault="00FA7EBF" w:rsidP="007B207C">
            <w:pPr>
              <w:pStyle w:val="ARfintablecolhead"/>
            </w:pPr>
          </w:p>
        </w:tc>
        <w:tc>
          <w:tcPr>
            <w:tcW w:w="1134" w:type="dxa"/>
            <w:shd w:val="clear" w:color="auto" w:fill="E7E6E6"/>
            <w:vAlign w:val="bottom"/>
          </w:tcPr>
          <w:p w14:paraId="7A8A1C4B" w14:textId="77777777" w:rsidR="00FA7EBF" w:rsidRPr="007939DD" w:rsidRDefault="00FA7EBF" w:rsidP="007B207C">
            <w:pPr>
              <w:pStyle w:val="ARfintablecolheadright"/>
            </w:pPr>
            <w:r w:rsidRPr="007939DD">
              <w:t>201</w:t>
            </w:r>
            <w:r>
              <w:t>9</w:t>
            </w:r>
          </w:p>
          <w:p w14:paraId="1F6C63FB" w14:textId="77777777" w:rsidR="00FA7EBF" w:rsidRPr="007939DD" w:rsidRDefault="00FA7EBF" w:rsidP="007B207C">
            <w:pPr>
              <w:pStyle w:val="ARfintablecolheadright"/>
            </w:pPr>
            <w:r w:rsidRPr="007939DD">
              <w:t>$M</w:t>
            </w:r>
          </w:p>
        </w:tc>
        <w:tc>
          <w:tcPr>
            <w:tcW w:w="1134" w:type="dxa"/>
            <w:vAlign w:val="bottom"/>
          </w:tcPr>
          <w:p w14:paraId="1C445C0B" w14:textId="77777777" w:rsidR="00FA7EBF" w:rsidRPr="007939DD" w:rsidRDefault="00FA7EBF" w:rsidP="007B207C">
            <w:pPr>
              <w:pStyle w:val="ARfintablecolheadright"/>
            </w:pPr>
            <w:r w:rsidRPr="007939DD">
              <w:t>201</w:t>
            </w:r>
            <w:r>
              <w:t>8</w:t>
            </w:r>
          </w:p>
          <w:p w14:paraId="058BCCE5" w14:textId="77777777" w:rsidR="00FA7EBF" w:rsidRPr="007939DD" w:rsidRDefault="00FA7EBF" w:rsidP="007B207C">
            <w:pPr>
              <w:pStyle w:val="ARfintablecolheadright"/>
            </w:pPr>
            <w:r w:rsidRPr="007939DD">
              <w:t>$M</w:t>
            </w:r>
          </w:p>
        </w:tc>
      </w:tr>
      <w:tr w:rsidR="00FA7EBF" w:rsidRPr="007939DD" w14:paraId="159081C4" w14:textId="77777777" w:rsidTr="007B207C">
        <w:trPr>
          <w:cantSplit/>
        </w:trPr>
        <w:tc>
          <w:tcPr>
            <w:tcW w:w="7371" w:type="dxa"/>
            <w:tcBorders>
              <w:bottom w:val="single" w:sz="4" w:space="0" w:color="A6A6A6" w:themeColor="background1" w:themeShade="A6"/>
            </w:tcBorders>
          </w:tcPr>
          <w:p w14:paraId="38DEE10E" w14:textId="77777777" w:rsidR="00FA7EBF" w:rsidRPr="007939DD" w:rsidRDefault="00FA7EBF" w:rsidP="007B207C">
            <w:pPr>
              <w:pStyle w:val="ARfintablebody"/>
              <w:rPr>
                <w:lang w:eastAsia="en-AU"/>
              </w:rPr>
            </w:pPr>
            <w:r w:rsidRPr="008E3F1F">
              <w:t>Capital expenditure commitments: Property, plant and equipment and intangibles</w:t>
            </w:r>
          </w:p>
        </w:tc>
        <w:tc>
          <w:tcPr>
            <w:tcW w:w="1134" w:type="dxa"/>
            <w:tcBorders>
              <w:bottom w:val="single" w:sz="4" w:space="0" w:color="A6A6A6" w:themeColor="background1" w:themeShade="A6"/>
            </w:tcBorders>
            <w:shd w:val="clear" w:color="auto" w:fill="E7E6E6"/>
          </w:tcPr>
          <w:p w14:paraId="596CA309" w14:textId="77777777" w:rsidR="00FA7EBF" w:rsidRPr="007939DD" w:rsidRDefault="00FA7EBF" w:rsidP="007B207C">
            <w:pPr>
              <w:pStyle w:val="ARfintablebodyright"/>
              <w:rPr>
                <w:lang w:eastAsia="en-AU"/>
              </w:rPr>
            </w:pPr>
            <w:r w:rsidRPr="008E3F1F">
              <w:t>792.9</w:t>
            </w:r>
          </w:p>
        </w:tc>
        <w:tc>
          <w:tcPr>
            <w:tcW w:w="1134" w:type="dxa"/>
            <w:tcBorders>
              <w:bottom w:val="single" w:sz="4" w:space="0" w:color="A6A6A6" w:themeColor="background1" w:themeShade="A6"/>
            </w:tcBorders>
          </w:tcPr>
          <w:p w14:paraId="37B77F04" w14:textId="77777777" w:rsidR="00FA7EBF" w:rsidRPr="007939DD" w:rsidRDefault="00FA7EBF" w:rsidP="007B207C">
            <w:pPr>
              <w:pStyle w:val="ARfintablebodyright"/>
              <w:rPr>
                <w:lang w:eastAsia="en-AU"/>
              </w:rPr>
            </w:pPr>
            <w:r>
              <w:t>313.9</w:t>
            </w:r>
          </w:p>
        </w:tc>
      </w:tr>
      <w:tr w:rsidR="00FA7EBF" w:rsidRPr="007939DD" w14:paraId="4690ABD3"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63CEF05A" w14:textId="77777777" w:rsidR="00FA7EBF" w:rsidRPr="007939DD" w:rsidRDefault="00FA7EBF" w:rsidP="007B207C">
            <w:pPr>
              <w:pStyle w:val="ARfintablebody"/>
              <w:rPr>
                <w:lang w:eastAsia="en-AU"/>
              </w:rPr>
            </w:pPr>
            <w:r w:rsidRPr="008E3F1F">
              <w:t>Operating lease commitments: Properties and equipment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4E796B9" w14:textId="77777777" w:rsidR="00FA7EBF" w:rsidRPr="007939DD" w:rsidRDefault="00FA7EBF" w:rsidP="007B207C">
            <w:pPr>
              <w:pStyle w:val="ARfintablebodyright"/>
              <w:rPr>
                <w:lang w:eastAsia="en-AU"/>
              </w:rPr>
            </w:pPr>
            <w:r w:rsidRPr="008E3F1F">
              <w:t>439.9</w:t>
            </w:r>
          </w:p>
        </w:tc>
        <w:tc>
          <w:tcPr>
            <w:tcW w:w="1134" w:type="dxa"/>
            <w:tcBorders>
              <w:top w:val="single" w:sz="4" w:space="0" w:color="A6A6A6" w:themeColor="background1" w:themeShade="A6"/>
              <w:bottom w:val="single" w:sz="4" w:space="0" w:color="A6A6A6" w:themeColor="background1" w:themeShade="A6"/>
            </w:tcBorders>
          </w:tcPr>
          <w:p w14:paraId="138DEB83" w14:textId="77777777" w:rsidR="00FA7EBF" w:rsidRPr="007939DD" w:rsidRDefault="00FA7EBF" w:rsidP="007B207C">
            <w:pPr>
              <w:pStyle w:val="ARfintablebodyright"/>
              <w:rPr>
                <w:lang w:eastAsia="en-AU"/>
              </w:rPr>
            </w:pPr>
            <w:r w:rsidRPr="008E3F1F">
              <w:t>413.1</w:t>
            </w:r>
          </w:p>
        </w:tc>
      </w:tr>
      <w:tr w:rsidR="00FA7EBF" w:rsidRPr="007939DD" w14:paraId="3E6D9CFD" w14:textId="77777777" w:rsidTr="007B207C">
        <w:trPr>
          <w:cantSplit/>
        </w:trPr>
        <w:tc>
          <w:tcPr>
            <w:tcW w:w="7371" w:type="dxa"/>
            <w:tcBorders>
              <w:top w:val="single" w:sz="4" w:space="0" w:color="A6A6A6" w:themeColor="background1" w:themeShade="A6"/>
            </w:tcBorders>
          </w:tcPr>
          <w:p w14:paraId="371C9013" w14:textId="77777777" w:rsidR="00FA7EBF" w:rsidRPr="007939DD" w:rsidRDefault="00FA7EBF" w:rsidP="007B207C">
            <w:pPr>
              <w:pStyle w:val="ARfintablebody"/>
              <w:rPr>
                <w:lang w:eastAsia="en-AU"/>
              </w:rPr>
            </w:pPr>
            <w:r w:rsidRPr="008E3F1F">
              <w:t xml:space="preserve">Other expenditure commitments: Provision of services </w:t>
            </w:r>
            <w:r w:rsidRPr="00213262">
              <w:rPr>
                <w:rStyle w:val="Superscript"/>
              </w:rPr>
              <w:t>(i)</w:t>
            </w:r>
          </w:p>
        </w:tc>
        <w:tc>
          <w:tcPr>
            <w:tcW w:w="1134" w:type="dxa"/>
            <w:tcBorders>
              <w:top w:val="single" w:sz="4" w:space="0" w:color="A6A6A6" w:themeColor="background1" w:themeShade="A6"/>
            </w:tcBorders>
            <w:shd w:val="clear" w:color="auto" w:fill="E7E6E6"/>
          </w:tcPr>
          <w:p w14:paraId="5DCFFB3F" w14:textId="77777777" w:rsidR="00FA7EBF" w:rsidRPr="007939DD" w:rsidRDefault="00FA7EBF" w:rsidP="007B207C">
            <w:pPr>
              <w:pStyle w:val="ARfintablebodyright"/>
              <w:rPr>
                <w:lang w:eastAsia="en-AU"/>
              </w:rPr>
            </w:pPr>
            <w:r w:rsidRPr="008E3F1F">
              <w:t>518.6</w:t>
            </w:r>
          </w:p>
        </w:tc>
        <w:tc>
          <w:tcPr>
            <w:tcW w:w="1134" w:type="dxa"/>
            <w:tcBorders>
              <w:top w:val="single" w:sz="4" w:space="0" w:color="A6A6A6" w:themeColor="background1" w:themeShade="A6"/>
            </w:tcBorders>
          </w:tcPr>
          <w:p w14:paraId="0EE691A2" w14:textId="77777777" w:rsidR="00FA7EBF" w:rsidRPr="007939DD" w:rsidRDefault="00FA7EBF" w:rsidP="007B207C">
            <w:pPr>
              <w:pStyle w:val="ARfintablebodyright"/>
              <w:rPr>
                <w:lang w:eastAsia="en-AU"/>
              </w:rPr>
            </w:pPr>
            <w:r w:rsidRPr="008E3F1F">
              <w:t>500.6</w:t>
            </w:r>
          </w:p>
        </w:tc>
      </w:tr>
      <w:tr w:rsidR="00FA7EBF" w:rsidRPr="007939DD" w14:paraId="17F89D5B" w14:textId="77777777" w:rsidTr="007B207C">
        <w:trPr>
          <w:cantSplit/>
        </w:trPr>
        <w:tc>
          <w:tcPr>
            <w:tcW w:w="7371" w:type="dxa"/>
          </w:tcPr>
          <w:p w14:paraId="0E2C650A" w14:textId="77777777" w:rsidR="00FA7EBF" w:rsidRPr="007939DD" w:rsidRDefault="00FA7EBF" w:rsidP="007B207C">
            <w:pPr>
              <w:pStyle w:val="ARfintablebodybold"/>
              <w:rPr>
                <w:lang w:eastAsia="en-AU"/>
              </w:rPr>
            </w:pPr>
            <w:r w:rsidRPr="008E3F1F">
              <w:t>Total commitments other than PPPs (inclusive of GST)</w:t>
            </w:r>
          </w:p>
        </w:tc>
        <w:tc>
          <w:tcPr>
            <w:tcW w:w="1134" w:type="dxa"/>
            <w:shd w:val="clear" w:color="auto" w:fill="E7E6E6"/>
          </w:tcPr>
          <w:p w14:paraId="582CDCEA" w14:textId="77777777" w:rsidR="00FA7EBF" w:rsidRPr="007939DD" w:rsidRDefault="00FA7EBF" w:rsidP="007B207C">
            <w:pPr>
              <w:pStyle w:val="ARfintablebodyrightbold"/>
              <w:rPr>
                <w:lang w:eastAsia="en-AU"/>
              </w:rPr>
            </w:pPr>
            <w:r w:rsidRPr="008E3F1F">
              <w:t>1,751.3</w:t>
            </w:r>
          </w:p>
        </w:tc>
        <w:tc>
          <w:tcPr>
            <w:tcW w:w="1134" w:type="dxa"/>
          </w:tcPr>
          <w:p w14:paraId="4C23E442" w14:textId="77777777" w:rsidR="00FA7EBF" w:rsidRPr="007939DD" w:rsidRDefault="00FA7EBF" w:rsidP="007B207C">
            <w:pPr>
              <w:pStyle w:val="ARfintablebodyrightbold"/>
              <w:rPr>
                <w:rStyle w:val="Strong"/>
                <w:bCs w:val="0"/>
              </w:rPr>
            </w:pPr>
            <w:r w:rsidRPr="008E3F1F">
              <w:t>1,227.6</w:t>
            </w:r>
          </w:p>
        </w:tc>
      </w:tr>
    </w:tbl>
    <w:p w14:paraId="37B97CAF" w14:textId="77777777" w:rsidR="00FA7EBF" w:rsidRPr="00F524E9" w:rsidRDefault="00FA7EBF" w:rsidP="00CA66FD">
      <w:pPr>
        <w:pStyle w:val="ARfintablefootnote"/>
      </w:pPr>
      <w:r w:rsidRPr="00F524E9">
        <w:t>Note:</w:t>
      </w:r>
    </w:p>
    <w:p w14:paraId="61F10A22" w14:textId="77777777" w:rsidR="00FA7EBF" w:rsidRPr="00194D78" w:rsidRDefault="00FA7EBF" w:rsidP="00CA66FD">
      <w:pPr>
        <w:pStyle w:val="ARfintablefootnoteindent"/>
      </w:pPr>
      <w:r w:rsidRPr="00194D78">
        <w:t>(i)</w:t>
      </w:r>
      <w:r>
        <w:tab/>
      </w:r>
      <w:r w:rsidRPr="00194D78">
        <w:t xml:space="preserve">On 27 August 2013, the Minister for Health signed a Services Agreement Restructure Deed and other relevant documents in accordance with Part 3A of the </w:t>
      </w:r>
      <w:r w:rsidRPr="00F524E9">
        <w:rPr>
          <w:rStyle w:val="Emphasis"/>
          <w:iCs w:val="0"/>
        </w:rPr>
        <w:t>Health Services Act 1988</w:t>
      </w:r>
      <w:r w:rsidRPr="00194D78">
        <w:t xml:space="preserve"> with the owners of Mildura Base Hospital, the Motor Trades Association of Australia Superannuation Fund (MTAA), and the other parties to the transaction. In accordance with the restructure agreement, the MTAA agreed to surrender the 99</w:t>
      </w:r>
      <w:r>
        <w:t>-</w:t>
      </w:r>
      <w:r w:rsidRPr="00194D78">
        <w:t>year lease of the site, transfer the building, plant and equipment on site to the state, and forego the service delivery franchise. In exchange</w:t>
      </w:r>
      <w:r>
        <w:t>,</w:t>
      </w:r>
      <w:r w:rsidRPr="00194D78">
        <w:t xml:space="preserve"> the government made a restructure fee payment to the MTAA and agreed to accept liability for the outstanding bond payments relating to a previous financing arrangement for the hospital. The formal transfer of the site occurr</w:t>
      </w:r>
      <w:r>
        <w:t>ed</w:t>
      </w:r>
      <w:r w:rsidRPr="00194D78">
        <w:t xml:space="preserve"> on 30 August 2013. Mildura Hospital continues to be operated by Ramsay Health Care Group until 15 September 2020.</w:t>
      </w:r>
    </w:p>
    <w:p w14:paraId="771E9BE8" w14:textId="77777777" w:rsidR="00FA7EBF" w:rsidRDefault="00FA7EBF" w:rsidP="00CA66FD">
      <w:pPr>
        <w:pStyle w:val="ARfinbody"/>
      </w:pPr>
      <w:r>
        <w:br w:type="page"/>
      </w:r>
    </w:p>
    <w:p w14:paraId="6C500026" w14:textId="77777777" w:rsidR="00FA7EBF" w:rsidRPr="00194D78" w:rsidRDefault="00FA7EBF" w:rsidP="00CA66FD">
      <w:pPr>
        <w:pStyle w:val="Heading3"/>
      </w:pPr>
      <w:bookmarkStart w:id="266" w:name="_Toc17971178"/>
      <w:bookmarkStart w:id="267" w:name="_Toc19795299"/>
      <w:r w:rsidRPr="00194D78">
        <w:t>8. Risks, contingencies and valuation judgements</w:t>
      </w:r>
      <w:bookmarkEnd w:id="266"/>
      <w:bookmarkEnd w:id="267"/>
    </w:p>
    <w:p w14:paraId="5422AF29" w14:textId="77777777" w:rsidR="00FA7EBF" w:rsidRPr="00194D78" w:rsidRDefault="00FA7EBF" w:rsidP="00CA66FD">
      <w:pPr>
        <w:pStyle w:val="Heading4"/>
        <w:rPr>
          <w:lang w:eastAsia="en-AU"/>
        </w:rPr>
      </w:pPr>
      <w:r w:rsidRPr="00194D78">
        <w:rPr>
          <w:lang w:eastAsia="en-AU"/>
        </w:rPr>
        <w:t>Introduction</w:t>
      </w:r>
    </w:p>
    <w:p w14:paraId="51A68D63" w14:textId="77777777" w:rsidR="00FA7EBF" w:rsidRPr="00194D78" w:rsidRDefault="00FA7EBF" w:rsidP="00CA66FD">
      <w:pPr>
        <w:pStyle w:val="ARfinbody"/>
      </w:pPr>
      <w:r w:rsidRPr="00194D78">
        <w:t>The Department of Health and Human Services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related mainly to fair value determination.</w:t>
      </w:r>
    </w:p>
    <w:p w14:paraId="7D8AF277" w14:textId="77777777" w:rsidR="00FA7EBF" w:rsidRPr="00194D78" w:rsidRDefault="00FA7EBF" w:rsidP="00CA66FD">
      <w:pPr>
        <w:pStyle w:val="Heading4"/>
        <w:rPr>
          <w:lang w:eastAsia="en-AU"/>
        </w:rPr>
      </w:pPr>
      <w:r w:rsidRPr="00213262">
        <w:rPr>
          <w:lang w:eastAsia="en-AU"/>
        </w:rPr>
        <w:t>Structure</w:t>
      </w:r>
    </w:p>
    <w:p w14:paraId="5684C7D3" w14:textId="77777777" w:rsidR="00FA7EBF" w:rsidRDefault="00FA7EBF" w:rsidP="00CA66FD">
      <w:pPr>
        <w:pStyle w:val="ARfinstructure1"/>
      </w:pPr>
      <w:r w:rsidRPr="00194D78">
        <w:t>8.1</w:t>
      </w:r>
      <w:r>
        <w:tab/>
      </w:r>
      <w:r w:rsidRPr="00194D78">
        <w:t>Financial instruments specific disclosures</w:t>
      </w:r>
    </w:p>
    <w:p w14:paraId="3EF2C896" w14:textId="77777777" w:rsidR="00FA7EBF" w:rsidRDefault="00FA7EBF" w:rsidP="00CA66FD">
      <w:pPr>
        <w:pStyle w:val="ARfinstructure2"/>
      </w:pPr>
      <w:r w:rsidRPr="00245AA6">
        <w:t>8.1.1</w:t>
      </w:r>
      <w:r>
        <w:tab/>
      </w:r>
      <w:r w:rsidRPr="00245AA6">
        <w:t>Financial instruments: categorisation</w:t>
      </w:r>
    </w:p>
    <w:p w14:paraId="030601A8" w14:textId="77777777" w:rsidR="00FA7EBF" w:rsidRDefault="00FA7EBF" w:rsidP="00CA66FD">
      <w:pPr>
        <w:pStyle w:val="ARfinstructure2"/>
      </w:pPr>
      <w:r w:rsidRPr="00245AA6">
        <w:t>8.1.2</w:t>
      </w:r>
      <w:r>
        <w:tab/>
      </w:r>
      <w:r w:rsidRPr="00245AA6">
        <w:t>Financial instruments: net holding gain/(loss) on financial instruments by category</w:t>
      </w:r>
    </w:p>
    <w:p w14:paraId="187A315F" w14:textId="77777777" w:rsidR="00FA7EBF" w:rsidRDefault="00FA7EBF" w:rsidP="00CA66FD">
      <w:pPr>
        <w:pStyle w:val="ARfinstructure2"/>
      </w:pPr>
      <w:r w:rsidRPr="00245AA6">
        <w:t>8.1.3</w:t>
      </w:r>
      <w:r>
        <w:tab/>
      </w:r>
      <w:r w:rsidRPr="00245AA6">
        <w:t>Financial risk management objectives and policies</w:t>
      </w:r>
    </w:p>
    <w:p w14:paraId="22C4CADB" w14:textId="77777777" w:rsidR="00FA7EBF" w:rsidRPr="00194D78" w:rsidRDefault="00FA7EBF" w:rsidP="00CA66FD">
      <w:pPr>
        <w:pStyle w:val="ARfinstructure1"/>
      </w:pPr>
      <w:r w:rsidRPr="00194D78">
        <w:t>8.2</w:t>
      </w:r>
      <w:r>
        <w:tab/>
      </w:r>
      <w:r w:rsidRPr="00194D78">
        <w:t>Contingent assets and contingent liabilities</w:t>
      </w:r>
    </w:p>
    <w:p w14:paraId="72A6E6A8" w14:textId="77777777" w:rsidR="00FA7EBF" w:rsidRDefault="00FA7EBF" w:rsidP="00CA66FD">
      <w:pPr>
        <w:pStyle w:val="ARfinstructure1"/>
      </w:pPr>
      <w:r w:rsidRPr="00194D78">
        <w:t>8.3</w:t>
      </w:r>
      <w:r>
        <w:tab/>
      </w:r>
      <w:r w:rsidRPr="00194D78">
        <w:t>Fair value determination</w:t>
      </w:r>
    </w:p>
    <w:p w14:paraId="07EBB697" w14:textId="77777777" w:rsidR="00FA7EBF" w:rsidRDefault="00FA7EBF" w:rsidP="00CA66FD">
      <w:pPr>
        <w:pStyle w:val="ARfinstructure2"/>
      </w:pPr>
      <w:r w:rsidRPr="00245AA6">
        <w:t>8.3.1</w:t>
      </w:r>
      <w:r>
        <w:tab/>
      </w:r>
      <w:r w:rsidRPr="00245AA6">
        <w:t>Fair value determination of financial assets and liabilities</w:t>
      </w:r>
    </w:p>
    <w:p w14:paraId="78C8868F" w14:textId="77777777" w:rsidR="00FA7EBF" w:rsidRPr="00194D78" w:rsidRDefault="00FA7EBF" w:rsidP="00CA66FD">
      <w:pPr>
        <w:pStyle w:val="ARfinstructure2"/>
      </w:pPr>
      <w:r w:rsidRPr="00245AA6">
        <w:t>8.3.2</w:t>
      </w:r>
      <w:r>
        <w:tab/>
      </w:r>
      <w:r w:rsidRPr="00245AA6">
        <w:t>Fair value determination of non-financial physical assets</w:t>
      </w:r>
    </w:p>
    <w:p w14:paraId="3FDF15A2" w14:textId="77777777" w:rsidR="00FA7EBF" w:rsidRPr="00194D78" w:rsidRDefault="00FA7EBF" w:rsidP="00CA66FD">
      <w:pPr>
        <w:pStyle w:val="Heading4"/>
        <w:rPr>
          <w:lang w:eastAsia="en-AU"/>
        </w:rPr>
      </w:pPr>
      <w:bookmarkStart w:id="268" w:name="_Ref21958136"/>
      <w:r w:rsidRPr="00194D78">
        <w:rPr>
          <w:lang w:eastAsia="en-AU"/>
        </w:rPr>
        <w:t>8.1 Financial instruments specific disclosures</w:t>
      </w:r>
      <w:bookmarkEnd w:id="268"/>
    </w:p>
    <w:p w14:paraId="6C4DC117" w14:textId="77777777" w:rsidR="00FA7EBF" w:rsidRPr="00194D78" w:rsidRDefault="00FA7EBF" w:rsidP="00CA66FD">
      <w:pPr>
        <w:pStyle w:val="Heading5"/>
        <w:rPr>
          <w:lang w:eastAsia="en-AU"/>
        </w:rPr>
      </w:pPr>
      <w:r w:rsidRPr="00194D78">
        <w:rPr>
          <w:lang w:eastAsia="en-AU"/>
        </w:rPr>
        <w:t>Introduction</w:t>
      </w:r>
    </w:p>
    <w:p w14:paraId="7DF57601" w14:textId="77777777" w:rsidR="00FA7EBF" w:rsidRPr="00F524E9" w:rsidRDefault="00FA7EBF" w:rsidP="00CA66FD">
      <w:pPr>
        <w:pStyle w:val="ARfinbody"/>
        <w:rPr>
          <w:rStyle w:val="Emphasis"/>
          <w:iCs w:val="0"/>
        </w:rPr>
      </w:pPr>
      <w:r w:rsidRPr="00194D78">
        <w:t>Financial instruments arise out of contractual agreements that give rise to a financial asset of one entity and a financial liability or equity instrument of another entity. Due to the nature of the department</w:t>
      </w:r>
      <w:r>
        <w:t>’</w:t>
      </w:r>
      <w:r w:rsidRPr="00194D78">
        <w:t xml:space="preserve">s activities, certain financial assets and financial liabilities arise under statute rather than a contract (for example taxes, fines and penalties). Such assets and liabilities do not meet the definition of financial instruments in </w:t>
      </w:r>
      <w:r w:rsidRPr="00902878">
        <w:t xml:space="preserve">AASB 132 </w:t>
      </w:r>
      <w:r w:rsidRPr="00F524E9">
        <w:rPr>
          <w:rStyle w:val="Emphasis"/>
          <w:iCs w:val="0"/>
        </w:rPr>
        <w:t>Financial Instruments: Presentation.</w:t>
      </w:r>
    </w:p>
    <w:p w14:paraId="4CBCFEDF" w14:textId="77777777" w:rsidR="00FA7EBF" w:rsidRPr="00194D78" w:rsidRDefault="00FA7EBF" w:rsidP="00CA66FD">
      <w:pPr>
        <w:pStyle w:val="ARfinbody"/>
      </w:pPr>
      <w:r w:rsidRPr="00194D78">
        <w:t>Guarantees issued on behalf of the department are financial instruments because, although authorised under statute, terms and conditions for each financial guarantee may vary and are subject to an agreement.</w:t>
      </w:r>
    </w:p>
    <w:p w14:paraId="098A8A41" w14:textId="77777777" w:rsidR="00FA7EBF" w:rsidRPr="00194D78" w:rsidRDefault="00FA7EBF" w:rsidP="00CA66FD">
      <w:pPr>
        <w:pStyle w:val="ARfinbody"/>
      </w:pPr>
      <w:r w:rsidRPr="00194D78">
        <w:t>From 1 July 2018, the department applies AASB 9 and classifies all of its financial assets based on the business model for managing the assets and the asset</w:t>
      </w:r>
      <w:r>
        <w:t>’</w:t>
      </w:r>
      <w:r w:rsidRPr="00194D78">
        <w:t>s contractual terms.</w:t>
      </w:r>
    </w:p>
    <w:p w14:paraId="22E69FE7" w14:textId="77777777" w:rsidR="00FA7EBF" w:rsidRPr="00194D78" w:rsidRDefault="00FA7EBF" w:rsidP="00CA66FD">
      <w:pPr>
        <w:pStyle w:val="Heading5"/>
        <w:rPr>
          <w:lang w:eastAsia="en-AU"/>
        </w:rPr>
      </w:pPr>
      <w:r w:rsidRPr="00194D78">
        <w:rPr>
          <w:lang w:eastAsia="en-AU"/>
        </w:rPr>
        <w:t>Categories of financial assets under AASB 9</w:t>
      </w:r>
    </w:p>
    <w:p w14:paraId="049134EB" w14:textId="77777777" w:rsidR="00FA7EBF" w:rsidRPr="00194D78" w:rsidRDefault="00FA7EBF" w:rsidP="00CA66FD">
      <w:pPr>
        <w:pStyle w:val="Heading6"/>
        <w:rPr>
          <w:lang w:eastAsia="en-AU"/>
        </w:rPr>
      </w:pPr>
      <w:r w:rsidRPr="00194D78">
        <w:rPr>
          <w:lang w:eastAsia="en-AU"/>
        </w:rPr>
        <w:t>Financial assets at amortised cost</w:t>
      </w:r>
    </w:p>
    <w:p w14:paraId="51A7C03C" w14:textId="77777777" w:rsidR="00FA7EBF" w:rsidRPr="00194D78" w:rsidRDefault="00FA7EBF" w:rsidP="00CA66FD">
      <w:pPr>
        <w:pStyle w:val="ARfinbody"/>
      </w:pPr>
      <w:r w:rsidRPr="00194D78">
        <w:t>Financial assets are measured at amortised costs if both of the following criteria are met and the assets are not designated as fair value through net result:</w:t>
      </w:r>
    </w:p>
    <w:p w14:paraId="2B86A5B9" w14:textId="77777777" w:rsidR="00FA7EBF" w:rsidRPr="00194D78" w:rsidRDefault="00FA7EBF" w:rsidP="00CA66FD">
      <w:pPr>
        <w:pStyle w:val="ARfinbullet1"/>
        <w:numPr>
          <w:ilvl w:val="0"/>
          <w:numId w:val="4"/>
        </w:numPr>
      </w:pPr>
      <w:r w:rsidRPr="00194D78">
        <w:t>the assets are held by the department to collect the contractual cash flows, and</w:t>
      </w:r>
    </w:p>
    <w:p w14:paraId="67908192" w14:textId="77777777" w:rsidR="00FA7EBF" w:rsidRPr="00194D78" w:rsidRDefault="00FA7EBF" w:rsidP="00CA66FD">
      <w:pPr>
        <w:pStyle w:val="ARfinbullet1"/>
        <w:numPr>
          <w:ilvl w:val="0"/>
          <w:numId w:val="4"/>
        </w:numPr>
      </w:pPr>
      <w:r w:rsidRPr="00194D78">
        <w:t>the assets</w:t>
      </w:r>
      <w:r>
        <w:t>’</w:t>
      </w:r>
      <w:r w:rsidRPr="00194D78">
        <w:t xml:space="preserve"> contractual terms give rise to cash flows that are solely payments of principal and interests.</w:t>
      </w:r>
    </w:p>
    <w:p w14:paraId="2DC7B64D" w14:textId="77777777" w:rsidR="00FA7EBF" w:rsidRPr="00194D78" w:rsidRDefault="00FA7EBF" w:rsidP="00CA66FD">
      <w:pPr>
        <w:pStyle w:val="ARfinbody"/>
      </w:pPr>
      <w:r w:rsidRPr="00194D78">
        <w:t>These assets are initially recognised at fair value plus any directly attributable transaction costs and subsequently measured at amortised cost using the effective interest method less any impairment.</w:t>
      </w:r>
    </w:p>
    <w:p w14:paraId="61A96FE7" w14:textId="77777777" w:rsidR="00FA7EBF" w:rsidRPr="00194D78" w:rsidRDefault="00FA7EBF" w:rsidP="00CA66FD">
      <w:pPr>
        <w:pStyle w:val="ARfinbody"/>
      </w:pPr>
      <w:r w:rsidRPr="00194D78">
        <w:t>The department recognises the following assets in this category:</w:t>
      </w:r>
    </w:p>
    <w:p w14:paraId="3C36D925" w14:textId="77777777" w:rsidR="00FA7EBF" w:rsidRPr="00194D78" w:rsidRDefault="00FA7EBF" w:rsidP="00CA66FD">
      <w:pPr>
        <w:pStyle w:val="ARfinbullet1"/>
        <w:numPr>
          <w:ilvl w:val="0"/>
          <w:numId w:val="4"/>
        </w:numPr>
      </w:pPr>
      <w:r w:rsidRPr="00194D78">
        <w:t>cash and deposits</w:t>
      </w:r>
    </w:p>
    <w:p w14:paraId="1F352D52" w14:textId="77777777" w:rsidR="00FA7EBF" w:rsidRPr="00194D78" w:rsidRDefault="00FA7EBF" w:rsidP="00CA66FD">
      <w:pPr>
        <w:pStyle w:val="ARfinbullet1"/>
        <w:numPr>
          <w:ilvl w:val="0"/>
          <w:numId w:val="4"/>
        </w:numPr>
      </w:pPr>
      <w:r w:rsidRPr="00194D78">
        <w:t>receivables (excluding statutory receivables)</w:t>
      </w:r>
    </w:p>
    <w:p w14:paraId="56186433" w14:textId="77777777" w:rsidR="00FA7EBF" w:rsidRPr="00194D78" w:rsidRDefault="00FA7EBF" w:rsidP="00CA66FD">
      <w:pPr>
        <w:pStyle w:val="ARfinbullet1"/>
        <w:numPr>
          <w:ilvl w:val="0"/>
          <w:numId w:val="4"/>
        </w:numPr>
      </w:pPr>
      <w:r w:rsidRPr="00194D78">
        <w:t>term deposits</w:t>
      </w:r>
    </w:p>
    <w:p w14:paraId="00C8E853" w14:textId="77777777" w:rsidR="00FA7EBF" w:rsidRPr="00194D78" w:rsidRDefault="00FA7EBF" w:rsidP="00CA66FD">
      <w:pPr>
        <w:pStyle w:val="ARfinbullet1"/>
        <w:numPr>
          <w:ilvl w:val="0"/>
          <w:numId w:val="4"/>
        </w:numPr>
      </w:pPr>
      <w:r w:rsidRPr="00194D78">
        <w:t>loan receivables.</w:t>
      </w:r>
    </w:p>
    <w:p w14:paraId="36856BEE" w14:textId="77777777" w:rsidR="00FA7EBF" w:rsidRPr="00194D78" w:rsidRDefault="00FA7EBF" w:rsidP="00CA66FD">
      <w:pPr>
        <w:pStyle w:val="Heading5"/>
        <w:rPr>
          <w:lang w:eastAsia="en-AU"/>
        </w:rPr>
      </w:pPr>
      <w:bookmarkStart w:id="269" w:name="_Ref21958145"/>
      <w:r w:rsidRPr="00194D78">
        <w:rPr>
          <w:lang w:eastAsia="en-AU"/>
        </w:rPr>
        <w:t>Categories of financial assets previously under AASB 139</w:t>
      </w:r>
      <w:bookmarkEnd w:id="269"/>
    </w:p>
    <w:p w14:paraId="378A50A5" w14:textId="77777777" w:rsidR="00FA7EBF" w:rsidRPr="00194D78" w:rsidRDefault="00FA7EBF" w:rsidP="00CA66FD">
      <w:pPr>
        <w:pStyle w:val="ARfinbody"/>
      </w:pPr>
      <w:r w:rsidRPr="00194D78">
        <w:t>Loans and receivables and cash are financial instrument assets with fixed and determinable payments that are not quoted on an active market. These assets and liabilities are initially recognised at fair value plus any directly attributable transaction costs. Subsequent to initial measurement, loans and receivables are measured at amortised cost using the effective interest method (and for assets, less any impairment). The department recognises the following assets in this category:</w:t>
      </w:r>
    </w:p>
    <w:p w14:paraId="50449E4F" w14:textId="77777777" w:rsidR="00FA7EBF" w:rsidRPr="00194D78" w:rsidRDefault="00FA7EBF" w:rsidP="00CA66FD">
      <w:pPr>
        <w:pStyle w:val="ARfinbullet1"/>
        <w:numPr>
          <w:ilvl w:val="0"/>
          <w:numId w:val="4"/>
        </w:numPr>
      </w:pPr>
      <w:r w:rsidRPr="00194D78">
        <w:t>cash and deposits</w:t>
      </w:r>
    </w:p>
    <w:p w14:paraId="737A2AC4" w14:textId="77777777" w:rsidR="00FA7EBF" w:rsidRPr="00194D78" w:rsidRDefault="00FA7EBF" w:rsidP="00CA66FD">
      <w:pPr>
        <w:pStyle w:val="ARfinbullet1"/>
        <w:numPr>
          <w:ilvl w:val="0"/>
          <w:numId w:val="4"/>
        </w:numPr>
      </w:pPr>
      <w:r w:rsidRPr="00194D78">
        <w:t>receivables (excluding statutory receivables)</w:t>
      </w:r>
    </w:p>
    <w:p w14:paraId="30C79AE3" w14:textId="77777777" w:rsidR="00FA7EBF" w:rsidRPr="00194D78" w:rsidRDefault="00FA7EBF" w:rsidP="00CA66FD">
      <w:pPr>
        <w:pStyle w:val="ARfinbullet1"/>
        <w:numPr>
          <w:ilvl w:val="0"/>
          <w:numId w:val="4"/>
        </w:numPr>
      </w:pPr>
      <w:r w:rsidRPr="00194D78">
        <w:t>term deposits</w:t>
      </w:r>
    </w:p>
    <w:p w14:paraId="748DCFB4" w14:textId="77777777" w:rsidR="00FA7EBF" w:rsidRPr="00194D78" w:rsidRDefault="00FA7EBF" w:rsidP="00CA66FD">
      <w:pPr>
        <w:pStyle w:val="ARfinbullet1"/>
        <w:numPr>
          <w:ilvl w:val="0"/>
          <w:numId w:val="4"/>
        </w:numPr>
        <w:rPr>
          <w:b/>
          <w:bCs/>
        </w:rPr>
      </w:pPr>
      <w:r w:rsidRPr="00194D78">
        <w:t>loan receivables.</w:t>
      </w:r>
    </w:p>
    <w:p w14:paraId="7F66130A" w14:textId="77777777" w:rsidR="00FA7EBF" w:rsidRPr="00194D78" w:rsidRDefault="00FA7EBF" w:rsidP="00CA66FD">
      <w:pPr>
        <w:pStyle w:val="ARfinbody"/>
      </w:pPr>
      <w:r w:rsidRPr="00B82ED9">
        <w:rPr>
          <w:rStyle w:val="Strong"/>
          <w:bCs w:val="0"/>
        </w:rPr>
        <w:t>Financial liabilities at amortised cost</w:t>
      </w:r>
      <w:r w:rsidRPr="00194D78">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 bearing liability, using the effective interest rate method. The department recognises the following liabilities in this category:</w:t>
      </w:r>
    </w:p>
    <w:p w14:paraId="09F56125" w14:textId="77777777" w:rsidR="00FA7EBF" w:rsidRPr="00194D78" w:rsidRDefault="00FA7EBF" w:rsidP="00CA66FD">
      <w:pPr>
        <w:pStyle w:val="ARfinbullet1"/>
        <w:numPr>
          <w:ilvl w:val="0"/>
          <w:numId w:val="4"/>
        </w:numPr>
      </w:pPr>
      <w:r w:rsidRPr="00194D78">
        <w:t>payables (excluding statutory payables)</w:t>
      </w:r>
    </w:p>
    <w:p w14:paraId="259C7B52" w14:textId="77777777" w:rsidR="00FA7EBF" w:rsidRPr="00194D78" w:rsidRDefault="00FA7EBF" w:rsidP="00CA66FD">
      <w:pPr>
        <w:pStyle w:val="ARfinbullet1"/>
        <w:numPr>
          <w:ilvl w:val="0"/>
          <w:numId w:val="4"/>
        </w:numPr>
      </w:pPr>
      <w:r w:rsidRPr="00194D78">
        <w:t>borrowings (including finance lease liabilities).</w:t>
      </w:r>
    </w:p>
    <w:p w14:paraId="7F33B913" w14:textId="77777777" w:rsidR="00FA7EBF" w:rsidRDefault="00FA7EBF" w:rsidP="00CA66FD">
      <w:pPr>
        <w:pStyle w:val="ARfinbody"/>
      </w:pPr>
      <w:r w:rsidRPr="00B82ED9">
        <w:rPr>
          <w:rStyle w:val="Strong"/>
          <w:bCs w:val="0"/>
        </w:rPr>
        <w:t>Offsetting financial instruments</w:t>
      </w:r>
      <w:r w:rsidRPr="00B82ED9">
        <w:t>:</w:t>
      </w:r>
      <w:r w:rsidRPr="00194D78">
        <w:rPr>
          <w:b/>
          <w:bCs/>
        </w:rPr>
        <w:t xml:space="preserve"> </w:t>
      </w:r>
      <w:r w:rsidRPr="00194D78">
        <w:t>Financial instrument assets and liabilities are offset and the net amount presented in the consolidated balance sheet when, and only when, the department concerned has a legal right to offset the amounts and intend either to</w:t>
      </w:r>
      <w:r>
        <w:t> </w:t>
      </w:r>
      <w:r w:rsidRPr="00194D78">
        <w:t>settle on a net basis or to realise the asset and settle the liability simultaneously.</w:t>
      </w:r>
    </w:p>
    <w:p w14:paraId="7E500842" w14:textId="77777777" w:rsidR="00FA7EBF" w:rsidRPr="00194D78" w:rsidRDefault="00FA7EBF" w:rsidP="00CA66FD">
      <w:pPr>
        <w:pStyle w:val="ARfinbody"/>
      </w:pPr>
      <w:r w:rsidRPr="00194D78">
        <w:t>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insolvency or bankruptcy, they are reported on a gross basis.</w:t>
      </w:r>
    </w:p>
    <w:p w14:paraId="5F59BDA4" w14:textId="77777777" w:rsidR="00FA7EBF" w:rsidRPr="00194D78" w:rsidRDefault="00FA7EBF" w:rsidP="00CA66FD">
      <w:pPr>
        <w:pStyle w:val="ARfinbody"/>
      </w:pPr>
      <w:r w:rsidRPr="00B82ED9">
        <w:rPr>
          <w:rStyle w:val="Strong"/>
          <w:bCs w:val="0"/>
        </w:rPr>
        <w:t>Derecognition of financial assets</w:t>
      </w:r>
      <w:r w:rsidRPr="00B82ED9">
        <w:t>:</w:t>
      </w:r>
      <w:r w:rsidRPr="00194D78">
        <w:rPr>
          <w:b/>
          <w:bCs/>
        </w:rPr>
        <w:t xml:space="preserve"> </w:t>
      </w:r>
      <w:r w:rsidRPr="00194D78">
        <w:t>A financial asset (or, where applicable, a part of a financial asset or part of a group of similar financial assets) is derecognised when:</w:t>
      </w:r>
    </w:p>
    <w:p w14:paraId="10CD2B8D" w14:textId="77777777" w:rsidR="00FA7EBF" w:rsidRPr="00194D78" w:rsidRDefault="00FA7EBF" w:rsidP="00CA66FD">
      <w:pPr>
        <w:pStyle w:val="ARfinbullet1"/>
        <w:numPr>
          <w:ilvl w:val="0"/>
          <w:numId w:val="4"/>
        </w:numPr>
      </w:pPr>
      <w:r w:rsidRPr="00194D78">
        <w:t>the rights to receive cash flows from the asset have expired</w:t>
      </w:r>
      <w:r>
        <w:t>,</w:t>
      </w:r>
      <w:r w:rsidRPr="00194D78">
        <w:t xml:space="preserve"> or</w:t>
      </w:r>
    </w:p>
    <w:p w14:paraId="2A0C7413" w14:textId="77777777" w:rsidR="00FA7EBF" w:rsidRPr="00194D78" w:rsidRDefault="00FA7EBF" w:rsidP="00CA66FD">
      <w:pPr>
        <w:pStyle w:val="ARfinbullet1"/>
        <w:numPr>
          <w:ilvl w:val="0"/>
          <w:numId w:val="4"/>
        </w:numPr>
      </w:pPr>
      <w:r w:rsidRPr="00194D78">
        <w:t xml:space="preserve">the department retains the right to receive cash flows from the asset, but has assumed an obligation to pay them in full without material delay to a third party under a </w:t>
      </w:r>
      <w:r>
        <w:t>‘</w:t>
      </w:r>
      <w:r w:rsidRPr="00194D78">
        <w:t>pass through</w:t>
      </w:r>
      <w:r>
        <w:t>’</w:t>
      </w:r>
      <w:r w:rsidRPr="00194D78">
        <w:t xml:space="preserve"> arrangement</w:t>
      </w:r>
      <w:r>
        <w:t>,</w:t>
      </w:r>
      <w:r w:rsidRPr="00194D78">
        <w:t xml:space="preserve"> or</w:t>
      </w:r>
    </w:p>
    <w:p w14:paraId="3ACDCB0E" w14:textId="77777777" w:rsidR="00FA7EBF" w:rsidRPr="00194D78" w:rsidRDefault="00FA7EBF" w:rsidP="00CA66FD">
      <w:pPr>
        <w:pStyle w:val="ARfinbullet1"/>
        <w:numPr>
          <w:ilvl w:val="0"/>
          <w:numId w:val="4"/>
        </w:numPr>
      </w:pPr>
      <w:r w:rsidRPr="00194D78">
        <w:t>the department has transferred its rights to receive cash flows from the asset and either:</w:t>
      </w:r>
    </w:p>
    <w:p w14:paraId="03F39CE0" w14:textId="77777777" w:rsidR="00FA7EBF" w:rsidRPr="00194D78" w:rsidRDefault="00FA7EBF" w:rsidP="00CA66FD">
      <w:pPr>
        <w:pStyle w:val="ARfinbullet2"/>
        <w:numPr>
          <w:ilvl w:val="1"/>
          <w:numId w:val="4"/>
        </w:numPr>
      </w:pPr>
      <w:r w:rsidRPr="00194D78">
        <w:t>has transferred substantially all the risks and rewards of the asset</w:t>
      </w:r>
      <w:r>
        <w:t>,</w:t>
      </w:r>
      <w:r w:rsidRPr="00194D78">
        <w:t xml:space="preserve"> or</w:t>
      </w:r>
    </w:p>
    <w:p w14:paraId="33D5E71C" w14:textId="77777777" w:rsidR="00FA7EBF" w:rsidRPr="00194D78" w:rsidRDefault="00FA7EBF" w:rsidP="00CA66FD">
      <w:pPr>
        <w:pStyle w:val="ARfinbullet2"/>
        <w:numPr>
          <w:ilvl w:val="1"/>
          <w:numId w:val="4"/>
        </w:numPr>
      </w:pPr>
      <w:r w:rsidRPr="00194D78">
        <w:t>has neither transferred nor retained substantially all the risks and rewards of the asset, but has transferred control of the asset.</w:t>
      </w:r>
    </w:p>
    <w:p w14:paraId="300FFDAE" w14:textId="77777777" w:rsidR="00FA7EBF" w:rsidRPr="00194D78" w:rsidRDefault="00FA7EBF" w:rsidP="00CA66FD">
      <w:pPr>
        <w:pStyle w:val="ARfinbody"/>
      </w:pPr>
      <w:r w:rsidRPr="00194D78">
        <w:t>Where the department has neither transferred nor retained substantially all the risks and rewards or transferred control, the asset is recognised to the extent of the department</w:t>
      </w:r>
      <w:r>
        <w:t>’</w:t>
      </w:r>
      <w:r w:rsidRPr="00194D78">
        <w:t>s continuing involvement in the asset.</w:t>
      </w:r>
    </w:p>
    <w:p w14:paraId="7083D440" w14:textId="77777777" w:rsidR="00FA7EBF" w:rsidRPr="00194D78" w:rsidRDefault="00FA7EBF" w:rsidP="00CA66FD">
      <w:pPr>
        <w:pStyle w:val="ARfinbody"/>
      </w:pPr>
      <w:r w:rsidRPr="00B82ED9">
        <w:rPr>
          <w:rStyle w:val="Strong"/>
          <w:bCs w:val="0"/>
        </w:rPr>
        <w:t>Derecognition of financial liabilities</w:t>
      </w:r>
      <w:r w:rsidRPr="00B82ED9">
        <w:t>:</w:t>
      </w:r>
      <w:r w:rsidRPr="00194D78">
        <w:t xml:space="preserve"> A financial liability is derecognised when the obligation under the liability is discharged, cancelled or expires.</w:t>
      </w:r>
      <w:r>
        <w:t xml:space="preserve"> </w:t>
      </w:r>
      <w:r w:rsidRPr="00194D78">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w:t>
      </w:r>
      <w:r>
        <w:t>‘</w:t>
      </w:r>
      <w:r w:rsidRPr="00194D78">
        <w:t>other economic flow</w:t>
      </w:r>
      <w:r>
        <w:t>’</w:t>
      </w:r>
      <w:r w:rsidRPr="00194D78">
        <w:t xml:space="preserve"> in the comprehensive operating statement.</w:t>
      </w:r>
    </w:p>
    <w:p w14:paraId="0C728580" w14:textId="77777777" w:rsidR="00FA7EBF" w:rsidRDefault="00FA7EBF" w:rsidP="00CA66FD">
      <w:pPr>
        <w:pStyle w:val="Heading5"/>
        <w:rPr>
          <w:lang w:eastAsia="en-AU"/>
        </w:rPr>
      </w:pPr>
      <w:bookmarkStart w:id="270" w:name="_Ref21958179"/>
      <w:r w:rsidRPr="00194D78">
        <w:rPr>
          <w:lang w:eastAsia="en-AU"/>
        </w:rPr>
        <w:t>8.1.1 Financial instruments: categorisation</w:t>
      </w:r>
      <w:bookmarkEnd w:id="270"/>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4535"/>
        <w:gridCol w:w="1134"/>
        <w:gridCol w:w="1418"/>
        <w:gridCol w:w="1418"/>
        <w:gridCol w:w="1134"/>
      </w:tblGrid>
      <w:tr w:rsidR="00FA7EBF" w:rsidRPr="007939DD" w14:paraId="6406E390" w14:textId="77777777" w:rsidTr="007B207C">
        <w:trPr>
          <w:cantSplit/>
          <w:tblHeader/>
        </w:trPr>
        <w:tc>
          <w:tcPr>
            <w:tcW w:w="4535" w:type="dxa"/>
            <w:vAlign w:val="bottom"/>
          </w:tcPr>
          <w:p w14:paraId="207848DB" w14:textId="77777777" w:rsidR="00FA7EBF" w:rsidRPr="007939DD" w:rsidRDefault="00FA7EBF" w:rsidP="007B207C">
            <w:pPr>
              <w:pStyle w:val="ARfintablecolhead"/>
            </w:pPr>
            <w:r>
              <w:t>2019</w:t>
            </w:r>
          </w:p>
        </w:tc>
        <w:tc>
          <w:tcPr>
            <w:tcW w:w="1134" w:type="dxa"/>
            <w:vAlign w:val="bottom"/>
          </w:tcPr>
          <w:p w14:paraId="418FCCBB" w14:textId="77777777" w:rsidR="00FA7EBF" w:rsidRDefault="00FA7EBF" w:rsidP="007B207C">
            <w:pPr>
              <w:pStyle w:val="ARfintablecolheadright"/>
            </w:pPr>
            <w:r>
              <w:t>Cash and deposits</w:t>
            </w:r>
          </w:p>
          <w:p w14:paraId="44ADED3D" w14:textId="77777777" w:rsidR="00FA7EBF" w:rsidRPr="007939DD" w:rsidRDefault="00FA7EBF" w:rsidP="007B207C">
            <w:pPr>
              <w:pStyle w:val="ARfintablecolheadright"/>
            </w:pPr>
            <w:r>
              <w:t>$M</w:t>
            </w:r>
          </w:p>
        </w:tc>
        <w:tc>
          <w:tcPr>
            <w:tcW w:w="1418" w:type="dxa"/>
            <w:vAlign w:val="bottom"/>
          </w:tcPr>
          <w:p w14:paraId="5F7305B0" w14:textId="77777777" w:rsidR="00FA7EBF" w:rsidRDefault="00FA7EBF" w:rsidP="007B207C">
            <w:pPr>
              <w:pStyle w:val="ARfintablecolheadright"/>
            </w:pPr>
            <w:r>
              <w:t>Financial assets at amortised cost (AC)</w:t>
            </w:r>
          </w:p>
          <w:p w14:paraId="5AAE2A8B" w14:textId="77777777" w:rsidR="00FA7EBF" w:rsidRPr="007939DD" w:rsidRDefault="00FA7EBF" w:rsidP="007B207C">
            <w:pPr>
              <w:pStyle w:val="ARfintablecolheadright"/>
            </w:pPr>
            <w:r>
              <w:t>$M</w:t>
            </w:r>
          </w:p>
        </w:tc>
        <w:tc>
          <w:tcPr>
            <w:tcW w:w="1418" w:type="dxa"/>
            <w:vAlign w:val="bottom"/>
          </w:tcPr>
          <w:p w14:paraId="66A30F21" w14:textId="77777777" w:rsidR="00FA7EBF" w:rsidRDefault="00FA7EBF" w:rsidP="007B207C">
            <w:pPr>
              <w:pStyle w:val="ARfintablecolheadright"/>
            </w:pPr>
            <w:r>
              <w:t>Financial liabilities at amortised cost (AC)</w:t>
            </w:r>
          </w:p>
          <w:p w14:paraId="18884FC4" w14:textId="77777777" w:rsidR="00FA7EBF" w:rsidRPr="007939DD" w:rsidRDefault="00FA7EBF" w:rsidP="007B207C">
            <w:pPr>
              <w:pStyle w:val="ARfintablecolheadright"/>
            </w:pPr>
            <w:r>
              <w:t>$M</w:t>
            </w:r>
          </w:p>
        </w:tc>
        <w:tc>
          <w:tcPr>
            <w:tcW w:w="1134" w:type="dxa"/>
            <w:vAlign w:val="bottom"/>
          </w:tcPr>
          <w:p w14:paraId="4068BF76" w14:textId="77777777" w:rsidR="00FA7EBF" w:rsidRPr="007939DD" w:rsidRDefault="00FA7EBF" w:rsidP="007B207C">
            <w:pPr>
              <w:pStyle w:val="ARfintablecolheadright"/>
            </w:pPr>
            <w:r w:rsidRPr="007939DD">
              <w:t>Total</w:t>
            </w:r>
          </w:p>
          <w:p w14:paraId="0D85E09F" w14:textId="77777777" w:rsidR="00FA7EBF" w:rsidRPr="007939DD" w:rsidRDefault="00FA7EBF" w:rsidP="007B207C">
            <w:pPr>
              <w:pStyle w:val="ARfintablecolheadright"/>
            </w:pPr>
            <w:r w:rsidRPr="007939DD">
              <w:t>$M</w:t>
            </w:r>
          </w:p>
        </w:tc>
      </w:tr>
      <w:tr w:rsidR="00FA7EBF" w:rsidRPr="007939DD" w14:paraId="1400E021" w14:textId="77777777" w:rsidTr="007B207C">
        <w:trPr>
          <w:cantSplit/>
        </w:trPr>
        <w:tc>
          <w:tcPr>
            <w:tcW w:w="9639" w:type="dxa"/>
            <w:gridSpan w:val="5"/>
            <w:tcBorders>
              <w:bottom w:val="single" w:sz="4" w:space="0" w:color="A6A6A6" w:themeColor="background1" w:themeShade="A6"/>
            </w:tcBorders>
          </w:tcPr>
          <w:p w14:paraId="7755072A" w14:textId="77777777" w:rsidR="00FA7EBF" w:rsidRPr="007939DD" w:rsidRDefault="00FA7EBF" w:rsidP="007B207C">
            <w:pPr>
              <w:pStyle w:val="ARfintablebodybold"/>
              <w:rPr>
                <w:lang w:eastAsia="en-AU"/>
              </w:rPr>
            </w:pPr>
            <w:r w:rsidRPr="0089031D">
              <w:t>Contractual financial assets</w:t>
            </w:r>
          </w:p>
        </w:tc>
      </w:tr>
      <w:tr w:rsidR="00FA7EBF" w:rsidRPr="007939DD" w14:paraId="6621BBF9" w14:textId="77777777" w:rsidTr="007B207C">
        <w:trPr>
          <w:cantSplit/>
        </w:trPr>
        <w:tc>
          <w:tcPr>
            <w:tcW w:w="4535" w:type="dxa"/>
            <w:tcBorders>
              <w:top w:val="single" w:sz="4" w:space="0" w:color="A6A6A6" w:themeColor="background1" w:themeShade="A6"/>
              <w:bottom w:val="single" w:sz="4" w:space="0" w:color="A6A6A6" w:themeColor="background1" w:themeShade="A6"/>
            </w:tcBorders>
          </w:tcPr>
          <w:p w14:paraId="00A30DDC" w14:textId="77777777" w:rsidR="00FA7EBF" w:rsidRPr="007939DD" w:rsidRDefault="00FA7EBF" w:rsidP="007B207C">
            <w:pPr>
              <w:pStyle w:val="ARfintablebody"/>
              <w:rPr>
                <w:lang w:eastAsia="en-AU"/>
              </w:rPr>
            </w:pPr>
            <w:r w:rsidRPr="0089031D">
              <w:t>Cash and deposits</w:t>
            </w:r>
          </w:p>
        </w:tc>
        <w:tc>
          <w:tcPr>
            <w:tcW w:w="1134" w:type="dxa"/>
            <w:tcBorders>
              <w:top w:val="single" w:sz="4" w:space="0" w:color="A6A6A6" w:themeColor="background1" w:themeShade="A6"/>
              <w:bottom w:val="single" w:sz="4" w:space="0" w:color="A6A6A6" w:themeColor="background1" w:themeShade="A6"/>
            </w:tcBorders>
          </w:tcPr>
          <w:p w14:paraId="0A57696C" w14:textId="77777777" w:rsidR="00FA7EBF" w:rsidRPr="007939DD" w:rsidRDefault="00FA7EBF" w:rsidP="007B207C">
            <w:pPr>
              <w:pStyle w:val="ARfintablebodyright"/>
              <w:rPr>
                <w:lang w:eastAsia="en-AU"/>
              </w:rPr>
            </w:pPr>
            <w:r w:rsidRPr="0089031D">
              <w:t>799.9</w:t>
            </w:r>
          </w:p>
        </w:tc>
        <w:tc>
          <w:tcPr>
            <w:tcW w:w="1418" w:type="dxa"/>
            <w:tcBorders>
              <w:top w:val="single" w:sz="4" w:space="0" w:color="A6A6A6" w:themeColor="background1" w:themeShade="A6"/>
              <w:bottom w:val="single" w:sz="4" w:space="0" w:color="A6A6A6" w:themeColor="background1" w:themeShade="A6"/>
            </w:tcBorders>
          </w:tcPr>
          <w:p w14:paraId="56740610" w14:textId="77777777" w:rsidR="00FA7EBF" w:rsidRPr="007939DD" w:rsidRDefault="00FA7EBF" w:rsidP="007B207C">
            <w:pPr>
              <w:pStyle w:val="ARfintablebodyright"/>
              <w:rPr>
                <w:lang w:eastAsia="en-AU"/>
              </w:rPr>
            </w:pPr>
            <w:r w:rsidRPr="0089031D">
              <w:t>–</w:t>
            </w:r>
          </w:p>
        </w:tc>
        <w:tc>
          <w:tcPr>
            <w:tcW w:w="1418" w:type="dxa"/>
            <w:tcBorders>
              <w:top w:val="single" w:sz="4" w:space="0" w:color="A6A6A6" w:themeColor="background1" w:themeShade="A6"/>
              <w:bottom w:val="single" w:sz="4" w:space="0" w:color="A6A6A6" w:themeColor="background1" w:themeShade="A6"/>
            </w:tcBorders>
          </w:tcPr>
          <w:p w14:paraId="3C197123" w14:textId="77777777" w:rsidR="00FA7EBF" w:rsidRPr="007939DD" w:rsidRDefault="00FA7EBF" w:rsidP="007B207C">
            <w:pPr>
              <w:pStyle w:val="ARfintablebodyright"/>
              <w:rPr>
                <w:lang w:eastAsia="en-AU"/>
              </w:rPr>
            </w:pPr>
            <w:r w:rsidRPr="0089031D">
              <w:t>–</w:t>
            </w:r>
          </w:p>
        </w:tc>
        <w:tc>
          <w:tcPr>
            <w:tcW w:w="1134" w:type="dxa"/>
            <w:tcBorders>
              <w:top w:val="single" w:sz="4" w:space="0" w:color="A6A6A6" w:themeColor="background1" w:themeShade="A6"/>
              <w:bottom w:val="single" w:sz="4" w:space="0" w:color="A6A6A6" w:themeColor="background1" w:themeShade="A6"/>
            </w:tcBorders>
          </w:tcPr>
          <w:p w14:paraId="37161B4A" w14:textId="77777777" w:rsidR="00FA7EBF" w:rsidRPr="007939DD" w:rsidRDefault="00FA7EBF" w:rsidP="007B207C">
            <w:pPr>
              <w:pStyle w:val="ARfintablebodyright"/>
              <w:rPr>
                <w:lang w:eastAsia="en-AU"/>
              </w:rPr>
            </w:pPr>
            <w:r w:rsidRPr="0089031D">
              <w:t>799.9</w:t>
            </w:r>
          </w:p>
        </w:tc>
      </w:tr>
      <w:tr w:rsidR="00FA7EBF" w:rsidRPr="007939DD" w14:paraId="0DF48998" w14:textId="77777777" w:rsidTr="007B207C">
        <w:trPr>
          <w:cantSplit/>
        </w:trPr>
        <w:tc>
          <w:tcPr>
            <w:tcW w:w="4535" w:type="dxa"/>
            <w:tcBorders>
              <w:top w:val="single" w:sz="4" w:space="0" w:color="A6A6A6" w:themeColor="background1" w:themeShade="A6"/>
              <w:bottom w:val="single" w:sz="4" w:space="0" w:color="A6A6A6" w:themeColor="background1" w:themeShade="A6"/>
            </w:tcBorders>
          </w:tcPr>
          <w:p w14:paraId="37353459" w14:textId="77777777" w:rsidR="00FA7EBF" w:rsidRPr="007939DD" w:rsidRDefault="00FA7EBF" w:rsidP="007B207C">
            <w:pPr>
              <w:pStyle w:val="ARfintablebody"/>
              <w:rPr>
                <w:lang w:eastAsia="en-AU"/>
              </w:rPr>
            </w:pPr>
            <w:r w:rsidRPr="0089031D">
              <w:t xml:space="preserve">Receivables </w:t>
            </w:r>
            <w:r w:rsidRPr="00F240C8">
              <w:rPr>
                <w:rStyle w:val="Superscript"/>
              </w:rPr>
              <w:t>(i)</w:t>
            </w:r>
          </w:p>
        </w:tc>
        <w:tc>
          <w:tcPr>
            <w:tcW w:w="1134" w:type="dxa"/>
            <w:tcBorders>
              <w:top w:val="single" w:sz="4" w:space="0" w:color="A6A6A6" w:themeColor="background1" w:themeShade="A6"/>
              <w:bottom w:val="single" w:sz="4" w:space="0" w:color="A6A6A6" w:themeColor="background1" w:themeShade="A6"/>
            </w:tcBorders>
          </w:tcPr>
          <w:p w14:paraId="0F25FB99" w14:textId="77777777" w:rsidR="00FA7EBF" w:rsidRPr="007939DD" w:rsidRDefault="00FA7EBF" w:rsidP="007B207C">
            <w:pPr>
              <w:pStyle w:val="ARfintablebodyright"/>
              <w:rPr>
                <w:lang w:eastAsia="en-AU"/>
              </w:rPr>
            </w:pPr>
            <w:r w:rsidRPr="0089031D">
              <w:t>–</w:t>
            </w:r>
          </w:p>
        </w:tc>
        <w:tc>
          <w:tcPr>
            <w:tcW w:w="1418" w:type="dxa"/>
            <w:tcBorders>
              <w:top w:val="single" w:sz="4" w:space="0" w:color="A6A6A6" w:themeColor="background1" w:themeShade="A6"/>
              <w:bottom w:val="single" w:sz="4" w:space="0" w:color="A6A6A6" w:themeColor="background1" w:themeShade="A6"/>
            </w:tcBorders>
          </w:tcPr>
          <w:p w14:paraId="3F31D813" w14:textId="77777777" w:rsidR="00FA7EBF" w:rsidRPr="007939DD" w:rsidRDefault="00FA7EBF" w:rsidP="007B207C">
            <w:pPr>
              <w:pStyle w:val="ARfintablebodyright"/>
              <w:rPr>
                <w:lang w:eastAsia="en-AU"/>
              </w:rPr>
            </w:pPr>
            <w:r w:rsidRPr="0089031D">
              <w:t>325.0</w:t>
            </w:r>
          </w:p>
        </w:tc>
        <w:tc>
          <w:tcPr>
            <w:tcW w:w="1418" w:type="dxa"/>
            <w:tcBorders>
              <w:top w:val="single" w:sz="4" w:space="0" w:color="A6A6A6" w:themeColor="background1" w:themeShade="A6"/>
              <w:bottom w:val="single" w:sz="4" w:space="0" w:color="A6A6A6" w:themeColor="background1" w:themeShade="A6"/>
            </w:tcBorders>
          </w:tcPr>
          <w:p w14:paraId="763B3348" w14:textId="77777777" w:rsidR="00FA7EBF" w:rsidRPr="007939DD" w:rsidRDefault="00FA7EBF" w:rsidP="007B207C">
            <w:pPr>
              <w:pStyle w:val="ARfintablebodyright"/>
              <w:rPr>
                <w:lang w:eastAsia="en-AU"/>
              </w:rPr>
            </w:pPr>
            <w:r w:rsidRPr="0089031D">
              <w:t>–</w:t>
            </w:r>
          </w:p>
        </w:tc>
        <w:tc>
          <w:tcPr>
            <w:tcW w:w="1134" w:type="dxa"/>
            <w:tcBorders>
              <w:top w:val="single" w:sz="4" w:space="0" w:color="A6A6A6" w:themeColor="background1" w:themeShade="A6"/>
              <w:bottom w:val="single" w:sz="4" w:space="0" w:color="A6A6A6" w:themeColor="background1" w:themeShade="A6"/>
            </w:tcBorders>
          </w:tcPr>
          <w:p w14:paraId="582B3DF3" w14:textId="77777777" w:rsidR="00FA7EBF" w:rsidRPr="007939DD" w:rsidRDefault="00FA7EBF" w:rsidP="007B207C">
            <w:pPr>
              <w:pStyle w:val="ARfintablebodyright"/>
              <w:rPr>
                <w:lang w:eastAsia="en-AU"/>
              </w:rPr>
            </w:pPr>
            <w:r w:rsidRPr="0089031D">
              <w:t>325.0</w:t>
            </w:r>
          </w:p>
        </w:tc>
      </w:tr>
      <w:tr w:rsidR="00FA7EBF" w:rsidRPr="007939DD" w14:paraId="5E5004F6" w14:textId="77777777" w:rsidTr="007B207C">
        <w:trPr>
          <w:cantSplit/>
        </w:trPr>
        <w:tc>
          <w:tcPr>
            <w:tcW w:w="4535" w:type="dxa"/>
            <w:tcBorders>
              <w:top w:val="single" w:sz="4" w:space="0" w:color="A6A6A6" w:themeColor="background1" w:themeShade="A6"/>
              <w:bottom w:val="single" w:sz="4" w:space="0" w:color="A6A6A6" w:themeColor="background1" w:themeShade="A6"/>
            </w:tcBorders>
          </w:tcPr>
          <w:p w14:paraId="794F386C" w14:textId="77777777" w:rsidR="00FA7EBF" w:rsidRPr="007939DD" w:rsidRDefault="00FA7EBF" w:rsidP="007B207C">
            <w:pPr>
              <w:pStyle w:val="ARfintablebody"/>
              <w:rPr>
                <w:lang w:eastAsia="en-AU"/>
              </w:rPr>
            </w:pPr>
            <w:r w:rsidRPr="0089031D">
              <w:t>Loans</w:t>
            </w:r>
          </w:p>
        </w:tc>
        <w:tc>
          <w:tcPr>
            <w:tcW w:w="1134" w:type="dxa"/>
            <w:tcBorders>
              <w:top w:val="single" w:sz="4" w:space="0" w:color="A6A6A6" w:themeColor="background1" w:themeShade="A6"/>
              <w:bottom w:val="single" w:sz="4" w:space="0" w:color="A6A6A6" w:themeColor="background1" w:themeShade="A6"/>
            </w:tcBorders>
          </w:tcPr>
          <w:p w14:paraId="6F348DE1" w14:textId="77777777" w:rsidR="00FA7EBF" w:rsidRPr="007939DD" w:rsidRDefault="00FA7EBF" w:rsidP="007B207C">
            <w:pPr>
              <w:pStyle w:val="ARfintablebodyright"/>
              <w:rPr>
                <w:lang w:eastAsia="en-AU"/>
              </w:rPr>
            </w:pPr>
            <w:r w:rsidRPr="0089031D">
              <w:t>–</w:t>
            </w:r>
          </w:p>
        </w:tc>
        <w:tc>
          <w:tcPr>
            <w:tcW w:w="1418" w:type="dxa"/>
            <w:tcBorders>
              <w:top w:val="single" w:sz="4" w:space="0" w:color="A6A6A6" w:themeColor="background1" w:themeShade="A6"/>
              <w:bottom w:val="single" w:sz="4" w:space="0" w:color="A6A6A6" w:themeColor="background1" w:themeShade="A6"/>
            </w:tcBorders>
          </w:tcPr>
          <w:p w14:paraId="4E33DA50" w14:textId="77777777" w:rsidR="00FA7EBF" w:rsidRPr="007939DD" w:rsidRDefault="00FA7EBF" w:rsidP="007B207C">
            <w:pPr>
              <w:pStyle w:val="ARfintablebodyright"/>
              <w:rPr>
                <w:lang w:eastAsia="en-AU"/>
              </w:rPr>
            </w:pPr>
            <w:r w:rsidRPr="0089031D">
              <w:t>94.9</w:t>
            </w:r>
          </w:p>
        </w:tc>
        <w:tc>
          <w:tcPr>
            <w:tcW w:w="1418" w:type="dxa"/>
            <w:tcBorders>
              <w:top w:val="single" w:sz="4" w:space="0" w:color="A6A6A6" w:themeColor="background1" w:themeShade="A6"/>
              <w:bottom w:val="single" w:sz="4" w:space="0" w:color="A6A6A6" w:themeColor="background1" w:themeShade="A6"/>
            </w:tcBorders>
          </w:tcPr>
          <w:p w14:paraId="364B065B" w14:textId="77777777" w:rsidR="00FA7EBF" w:rsidRPr="007939DD" w:rsidRDefault="00FA7EBF" w:rsidP="007B207C">
            <w:pPr>
              <w:pStyle w:val="ARfintablebodyright"/>
              <w:rPr>
                <w:lang w:eastAsia="en-AU"/>
              </w:rPr>
            </w:pPr>
            <w:r w:rsidRPr="0089031D">
              <w:t>–</w:t>
            </w:r>
          </w:p>
        </w:tc>
        <w:tc>
          <w:tcPr>
            <w:tcW w:w="1134" w:type="dxa"/>
            <w:tcBorders>
              <w:top w:val="single" w:sz="4" w:space="0" w:color="A6A6A6" w:themeColor="background1" w:themeShade="A6"/>
              <w:bottom w:val="single" w:sz="4" w:space="0" w:color="A6A6A6" w:themeColor="background1" w:themeShade="A6"/>
            </w:tcBorders>
          </w:tcPr>
          <w:p w14:paraId="773F9BFC" w14:textId="77777777" w:rsidR="00FA7EBF" w:rsidRPr="007939DD" w:rsidRDefault="00FA7EBF" w:rsidP="007B207C">
            <w:pPr>
              <w:pStyle w:val="ARfintablebodyright"/>
              <w:rPr>
                <w:lang w:eastAsia="en-AU"/>
              </w:rPr>
            </w:pPr>
            <w:r w:rsidRPr="0089031D">
              <w:t>94.9</w:t>
            </w:r>
          </w:p>
        </w:tc>
      </w:tr>
      <w:tr w:rsidR="00FA7EBF" w:rsidRPr="007939DD" w14:paraId="6E636D5F" w14:textId="77777777" w:rsidTr="007B207C">
        <w:trPr>
          <w:cantSplit/>
        </w:trPr>
        <w:tc>
          <w:tcPr>
            <w:tcW w:w="4535" w:type="dxa"/>
            <w:tcBorders>
              <w:top w:val="single" w:sz="4" w:space="0" w:color="A6A6A6" w:themeColor="background1" w:themeShade="A6"/>
            </w:tcBorders>
          </w:tcPr>
          <w:p w14:paraId="3EDB394B" w14:textId="77777777" w:rsidR="00FA7EBF" w:rsidRPr="007939DD" w:rsidRDefault="00FA7EBF" w:rsidP="007B207C">
            <w:pPr>
              <w:pStyle w:val="ARfintablebody"/>
              <w:rPr>
                <w:lang w:eastAsia="en-AU"/>
              </w:rPr>
            </w:pPr>
            <w:r w:rsidRPr="0089031D">
              <w:t>Short-term investments – term deposits</w:t>
            </w:r>
          </w:p>
        </w:tc>
        <w:tc>
          <w:tcPr>
            <w:tcW w:w="1134" w:type="dxa"/>
            <w:tcBorders>
              <w:top w:val="single" w:sz="4" w:space="0" w:color="A6A6A6" w:themeColor="background1" w:themeShade="A6"/>
            </w:tcBorders>
          </w:tcPr>
          <w:p w14:paraId="7B31C99C" w14:textId="77777777" w:rsidR="00FA7EBF" w:rsidRPr="007939DD" w:rsidRDefault="00FA7EBF" w:rsidP="007B207C">
            <w:pPr>
              <w:pStyle w:val="ARfintablebodyright"/>
              <w:rPr>
                <w:lang w:eastAsia="en-AU"/>
              </w:rPr>
            </w:pPr>
            <w:r w:rsidRPr="0089031D">
              <w:t>–</w:t>
            </w:r>
          </w:p>
        </w:tc>
        <w:tc>
          <w:tcPr>
            <w:tcW w:w="1418" w:type="dxa"/>
            <w:tcBorders>
              <w:top w:val="single" w:sz="4" w:space="0" w:color="A6A6A6" w:themeColor="background1" w:themeShade="A6"/>
            </w:tcBorders>
          </w:tcPr>
          <w:p w14:paraId="40105DEF" w14:textId="77777777" w:rsidR="00FA7EBF" w:rsidRPr="007939DD" w:rsidRDefault="00FA7EBF" w:rsidP="007B207C">
            <w:pPr>
              <w:pStyle w:val="ARfintablebodyright"/>
              <w:rPr>
                <w:lang w:eastAsia="en-AU"/>
              </w:rPr>
            </w:pPr>
            <w:r w:rsidRPr="0089031D">
              <w:t>100.0</w:t>
            </w:r>
          </w:p>
        </w:tc>
        <w:tc>
          <w:tcPr>
            <w:tcW w:w="1418" w:type="dxa"/>
            <w:tcBorders>
              <w:top w:val="single" w:sz="4" w:space="0" w:color="A6A6A6" w:themeColor="background1" w:themeShade="A6"/>
            </w:tcBorders>
          </w:tcPr>
          <w:p w14:paraId="4EF061D4" w14:textId="77777777" w:rsidR="00FA7EBF" w:rsidRPr="007939DD" w:rsidRDefault="00FA7EBF" w:rsidP="007B207C">
            <w:pPr>
              <w:pStyle w:val="ARfintablebodyright"/>
              <w:rPr>
                <w:lang w:eastAsia="en-AU"/>
              </w:rPr>
            </w:pPr>
            <w:r w:rsidRPr="0089031D">
              <w:t>–</w:t>
            </w:r>
          </w:p>
        </w:tc>
        <w:tc>
          <w:tcPr>
            <w:tcW w:w="1134" w:type="dxa"/>
            <w:tcBorders>
              <w:top w:val="single" w:sz="4" w:space="0" w:color="A6A6A6" w:themeColor="background1" w:themeShade="A6"/>
            </w:tcBorders>
          </w:tcPr>
          <w:p w14:paraId="76E5F135" w14:textId="77777777" w:rsidR="00FA7EBF" w:rsidRPr="007939DD" w:rsidRDefault="00FA7EBF" w:rsidP="007B207C">
            <w:pPr>
              <w:pStyle w:val="ARfintablebodyright"/>
              <w:rPr>
                <w:lang w:eastAsia="en-AU"/>
              </w:rPr>
            </w:pPr>
            <w:r w:rsidRPr="0089031D">
              <w:t>100.0</w:t>
            </w:r>
          </w:p>
        </w:tc>
      </w:tr>
      <w:tr w:rsidR="00FA7EBF" w:rsidRPr="007939DD" w14:paraId="6CF078AC" w14:textId="77777777" w:rsidTr="007B207C">
        <w:trPr>
          <w:cantSplit/>
        </w:trPr>
        <w:tc>
          <w:tcPr>
            <w:tcW w:w="4535" w:type="dxa"/>
          </w:tcPr>
          <w:p w14:paraId="7767BDBC" w14:textId="77777777" w:rsidR="00FA7EBF" w:rsidRPr="007939DD" w:rsidRDefault="00FA7EBF" w:rsidP="007B207C">
            <w:pPr>
              <w:pStyle w:val="ARfintablebodybold"/>
              <w:rPr>
                <w:lang w:eastAsia="en-AU"/>
              </w:rPr>
            </w:pPr>
            <w:r w:rsidRPr="0089031D">
              <w:t>Total contractual financial assets</w:t>
            </w:r>
          </w:p>
        </w:tc>
        <w:tc>
          <w:tcPr>
            <w:tcW w:w="1134" w:type="dxa"/>
          </w:tcPr>
          <w:p w14:paraId="61E6C89C" w14:textId="77777777" w:rsidR="00FA7EBF" w:rsidRPr="006E4233" w:rsidRDefault="00FA7EBF" w:rsidP="007B207C">
            <w:pPr>
              <w:pStyle w:val="ARfintablebodyrightbold"/>
            </w:pPr>
            <w:r w:rsidRPr="0089031D">
              <w:t>799.9</w:t>
            </w:r>
          </w:p>
        </w:tc>
        <w:tc>
          <w:tcPr>
            <w:tcW w:w="1418" w:type="dxa"/>
          </w:tcPr>
          <w:p w14:paraId="6DAAF77D" w14:textId="77777777" w:rsidR="00FA7EBF" w:rsidRPr="007939DD" w:rsidRDefault="00FA7EBF" w:rsidP="007B207C">
            <w:pPr>
              <w:pStyle w:val="ARfintablebodyrightbold"/>
              <w:rPr>
                <w:lang w:eastAsia="en-AU"/>
              </w:rPr>
            </w:pPr>
            <w:r w:rsidRPr="0089031D">
              <w:t>519.9</w:t>
            </w:r>
          </w:p>
        </w:tc>
        <w:tc>
          <w:tcPr>
            <w:tcW w:w="1418" w:type="dxa"/>
          </w:tcPr>
          <w:p w14:paraId="52E5690D" w14:textId="77777777" w:rsidR="00FA7EBF" w:rsidRPr="007939DD" w:rsidRDefault="00FA7EBF" w:rsidP="007B207C">
            <w:pPr>
              <w:pStyle w:val="ARfintablebodyrightbold"/>
              <w:rPr>
                <w:lang w:eastAsia="en-AU"/>
              </w:rPr>
            </w:pPr>
            <w:r w:rsidRPr="0089031D">
              <w:t>–</w:t>
            </w:r>
          </w:p>
        </w:tc>
        <w:tc>
          <w:tcPr>
            <w:tcW w:w="1134" w:type="dxa"/>
          </w:tcPr>
          <w:p w14:paraId="45FBEE44" w14:textId="77777777" w:rsidR="00FA7EBF" w:rsidRPr="007939DD" w:rsidRDefault="00FA7EBF" w:rsidP="007B207C">
            <w:pPr>
              <w:pStyle w:val="ARfintablebodyrightbold"/>
              <w:rPr>
                <w:rStyle w:val="Strong"/>
                <w:bCs w:val="0"/>
              </w:rPr>
            </w:pPr>
            <w:r w:rsidRPr="0089031D">
              <w:t>1,319.8</w:t>
            </w:r>
          </w:p>
        </w:tc>
      </w:tr>
      <w:tr w:rsidR="00FA7EBF" w:rsidRPr="007939DD" w14:paraId="5163AA91" w14:textId="77777777" w:rsidTr="007B207C">
        <w:trPr>
          <w:cantSplit/>
        </w:trPr>
        <w:tc>
          <w:tcPr>
            <w:tcW w:w="9639" w:type="dxa"/>
            <w:gridSpan w:val="5"/>
            <w:tcBorders>
              <w:bottom w:val="single" w:sz="4" w:space="0" w:color="A6A6A6" w:themeColor="background1" w:themeShade="A6"/>
            </w:tcBorders>
          </w:tcPr>
          <w:p w14:paraId="605253BF" w14:textId="77777777" w:rsidR="00FA7EBF" w:rsidRPr="007939DD" w:rsidRDefault="00FA7EBF" w:rsidP="007B207C">
            <w:pPr>
              <w:pStyle w:val="ARfintablebodybold"/>
              <w:rPr>
                <w:lang w:eastAsia="en-AU"/>
              </w:rPr>
            </w:pPr>
            <w:r w:rsidRPr="0089031D">
              <w:t>Contractual financial liabilities</w:t>
            </w:r>
          </w:p>
        </w:tc>
      </w:tr>
      <w:tr w:rsidR="00FA7EBF" w:rsidRPr="007939DD" w14:paraId="635AB36D" w14:textId="77777777" w:rsidTr="007B207C">
        <w:trPr>
          <w:cantSplit/>
        </w:trPr>
        <w:tc>
          <w:tcPr>
            <w:tcW w:w="4535" w:type="dxa"/>
            <w:tcBorders>
              <w:top w:val="single" w:sz="4" w:space="0" w:color="A6A6A6" w:themeColor="background1" w:themeShade="A6"/>
              <w:bottom w:val="single" w:sz="4" w:space="0" w:color="A6A6A6" w:themeColor="background1" w:themeShade="A6"/>
            </w:tcBorders>
          </w:tcPr>
          <w:p w14:paraId="779350E4" w14:textId="77777777" w:rsidR="00FA7EBF" w:rsidRPr="007939DD" w:rsidRDefault="00FA7EBF" w:rsidP="007B207C">
            <w:pPr>
              <w:pStyle w:val="ARfintablebody"/>
              <w:rPr>
                <w:lang w:eastAsia="en-AU"/>
              </w:rPr>
            </w:pPr>
            <w:r w:rsidRPr="0089031D">
              <w:t xml:space="preserve">Payables </w:t>
            </w:r>
            <w:r w:rsidRPr="00F240C8">
              <w:rPr>
                <w:rStyle w:val="Superscript"/>
              </w:rPr>
              <w:t>(i)</w:t>
            </w:r>
          </w:p>
        </w:tc>
        <w:tc>
          <w:tcPr>
            <w:tcW w:w="1134" w:type="dxa"/>
            <w:tcBorders>
              <w:top w:val="single" w:sz="4" w:space="0" w:color="A6A6A6" w:themeColor="background1" w:themeShade="A6"/>
              <w:bottom w:val="single" w:sz="4" w:space="0" w:color="A6A6A6" w:themeColor="background1" w:themeShade="A6"/>
            </w:tcBorders>
          </w:tcPr>
          <w:p w14:paraId="69934152" w14:textId="77777777" w:rsidR="00FA7EBF" w:rsidRPr="007939DD" w:rsidRDefault="00FA7EBF" w:rsidP="007B207C">
            <w:pPr>
              <w:pStyle w:val="ARfintablebodyright"/>
              <w:rPr>
                <w:lang w:eastAsia="en-AU"/>
              </w:rPr>
            </w:pPr>
            <w:r w:rsidRPr="0089031D">
              <w:t>–</w:t>
            </w:r>
          </w:p>
        </w:tc>
        <w:tc>
          <w:tcPr>
            <w:tcW w:w="1418" w:type="dxa"/>
            <w:tcBorders>
              <w:top w:val="single" w:sz="4" w:space="0" w:color="A6A6A6" w:themeColor="background1" w:themeShade="A6"/>
              <w:bottom w:val="single" w:sz="4" w:space="0" w:color="A6A6A6" w:themeColor="background1" w:themeShade="A6"/>
            </w:tcBorders>
          </w:tcPr>
          <w:p w14:paraId="513DE8CA" w14:textId="77777777" w:rsidR="00FA7EBF" w:rsidRPr="007939DD" w:rsidRDefault="00FA7EBF" w:rsidP="007B207C">
            <w:pPr>
              <w:pStyle w:val="ARfintablebodyright"/>
              <w:rPr>
                <w:lang w:eastAsia="en-AU"/>
              </w:rPr>
            </w:pPr>
            <w:r w:rsidRPr="0089031D">
              <w:t>–</w:t>
            </w:r>
          </w:p>
        </w:tc>
        <w:tc>
          <w:tcPr>
            <w:tcW w:w="1418" w:type="dxa"/>
            <w:tcBorders>
              <w:top w:val="single" w:sz="4" w:space="0" w:color="A6A6A6" w:themeColor="background1" w:themeShade="A6"/>
              <w:bottom w:val="single" w:sz="4" w:space="0" w:color="A6A6A6" w:themeColor="background1" w:themeShade="A6"/>
            </w:tcBorders>
          </w:tcPr>
          <w:p w14:paraId="4F186CD7" w14:textId="77777777" w:rsidR="00FA7EBF" w:rsidRPr="007939DD" w:rsidRDefault="00FA7EBF" w:rsidP="007B207C">
            <w:pPr>
              <w:pStyle w:val="ARfintablebodyright"/>
              <w:rPr>
                <w:lang w:eastAsia="en-AU"/>
              </w:rPr>
            </w:pPr>
            <w:r w:rsidRPr="0089031D">
              <w:t>1,513.5</w:t>
            </w:r>
          </w:p>
        </w:tc>
        <w:tc>
          <w:tcPr>
            <w:tcW w:w="1134" w:type="dxa"/>
            <w:tcBorders>
              <w:top w:val="single" w:sz="4" w:space="0" w:color="A6A6A6" w:themeColor="background1" w:themeShade="A6"/>
              <w:bottom w:val="single" w:sz="4" w:space="0" w:color="A6A6A6" w:themeColor="background1" w:themeShade="A6"/>
            </w:tcBorders>
          </w:tcPr>
          <w:p w14:paraId="77145DAD" w14:textId="77777777" w:rsidR="00FA7EBF" w:rsidRPr="007939DD" w:rsidRDefault="00FA7EBF" w:rsidP="007B207C">
            <w:pPr>
              <w:pStyle w:val="ARfintablebodyright"/>
              <w:rPr>
                <w:lang w:eastAsia="en-AU"/>
              </w:rPr>
            </w:pPr>
            <w:r w:rsidRPr="0089031D">
              <w:t>1,513.5</w:t>
            </w:r>
          </w:p>
        </w:tc>
      </w:tr>
      <w:tr w:rsidR="00FA7EBF" w:rsidRPr="007939DD" w14:paraId="30841A1C" w14:textId="77777777" w:rsidTr="007B207C">
        <w:trPr>
          <w:cantSplit/>
        </w:trPr>
        <w:tc>
          <w:tcPr>
            <w:tcW w:w="4535" w:type="dxa"/>
            <w:tcBorders>
              <w:top w:val="single" w:sz="4" w:space="0" w:color="A6A6A6" w:themeColor="background1" w:themeShade="A6"/>
            </w:tcBorders>
          </w:tcPr>
          <w:p w14:paraId="29A246EC" w14:textId="77777777" w:rsidR="00FA7EBF" w:rsidRPr="007939DD" w:rsidRDefault="00FA7EBF" w:rsidP="007B207C">
            <w:pPr>
              <w:pStyle w:val="ARfintablebody"/>
              <w:rPr>
                <w:lang w:eastAsia="en-AU"/>
              </w:rPr>
            </w:pPr>
            <w:r w:rsidRPr="0089031D">
              <w:t>Borrowings</w:t>
            </w:r>
          </w:p>
        </w:tc>
        <w:tc>
          <w:tcPr>
            <w:tcW w:w="1134" w:type="dxa"/>
            <w:tcBorders>
              <w:top w:val="single" w:sz="4" w:space="0" w:color="A6A6A6" w:themeColor="background1" w:themeShade="A6"/>
            </w:tcBorders>
          </w:tcPr>
          <w:p w14:paraId="51879BE8" w14:textId="77777777" w:rsidR="00FA7EBF" w:rsidRPr="007939DD" w:rsidRDefault="00FA7EBF" w:rsidP="007B207C">
            <w:pPr>
              <w:pStyle w:val="ARfintablebodyright"/>
              <w:rPr>
                <w:lang w:eastAsia="en-AU"/>
              </w:rPr>
            </w:pPr>
            <w:r w:rsidRPr="0089031D">
              <w:t>–</w:t>
            </w:r>
          </w:p>
        </w:tc>
        <w:tc>
          <w:tcPr>
            <w:tcW w:w="1418" w:type="dxa"/>
            <w:tcBorders>
              <w:top w:val="single" w:sz="4" w:space="0" w:color="A6A6A6" w:themeColor="background1" w:themeShade="A6"/>
            </w:tcBorders>
          </w:tcPr>
          <w:p w14:paraId="5A74FAC2" w14:textId="77777777" w:rsidR="00FA7EBF" w:rsidRPr="007939DD" w:rsidRDefault="00FA7EBF" w:rsidP="007B207C">
            <w:pPr>
              <w:pStyle w:val="ARfintablebodyright"/>
              <w:rPr>
                <w:lang w:eastAsia="en-AU"/>
              </w:rPr>
            </w:pPr>
            <w:r w:rsidRPr="0089031D">
              <w:t>–</w:t>
            </w:r>
          </w:p>
        </w:tc>
        <w:tc>
          <w:tcPr>
            <w:tcW w:w="1418" w:type="dxa"/>
            <w:tcBorders>
              <w:top w:val="single" w:sz="4" w:space="0" w:color="A6A6A6" w:themeColor="background1" w:themeShade="A6"/>
            </w:tcBorders>
          </w:tcPr>
          <w:p w14:paraId="54C4B865" w14:textId="77777777" w:rsidR="00FA7EBF" w:rsidRPr="007939DD" w:rsidRDefault="00FA7EBF" w:rsidP="007B207C">
            <w:pPr>
              <w:pStyle w:val="ARfintablebodyright"/>
              <w:rPr>
                <w:lang w:eastAsia="en-AU"/>
              </w:rPr>
            </w:pPr>
            <w:r w:rsidRPr="0089031D">
              <w:t>62.2</w:t>
            </w:r>
          </w:p>
        </w:tc>
        <w:tc>
          <w:tcPr>
            <w:tcW w:w="1134" w:type="dxa"/>
            <w:tcBorders>
              <w:top w:val="single" w:sz="4" w:space="0" w:color="A6A6A6" w:themeColor="background1" w:themeShade="A6"/>
            </w:tcBorders>
          </w:tcPr>
          <w:p w14:paraId="19E2E551" w14:textId="77777777" w:rsidR="00FA7EBF" w:rsidRPr="007939DD" w:rsidRDefault="00FA7EBF" w:rsidP="007B207C">
            <w:pPr>
              <w:pStyle w:val="ARfintablebodyright"/>
              <w:rPr>
                <w:lang w:eastAsia="en-AU"/>
              </w:rPr>
            </w:pPr>
            <w:r w:rsidRPr="0089031D">
              <w:t>62.2</w:t>
            </w:r>
          </w:p>
        </w:tc>
      </w:tr>
      <w:tr w:rsidR="00FA7EBF" w:rsidRPr="007939DD" w14:paraId="211F4D3B" w14:textId="77777777" w:rsidTr="007B207C">
        <w:trPr>
          <w:cantSplit/>
        </w:trPr>
        <w:tc>
          <w:tcPr>
            <w:tcW w:w="4535" w:type="dxa"/>
          </w:tcPr>
          <w:p w14:paraId="56EA7B2A" w14:textId="77777777" w:rsidR="00FA7EBF" w:rsidRPr="007939DD" w:rsidRDefault="00FA7EBF" w:rsidP="007B207C">
            <w:pPr>
              <w:pStyle w:val="ARfintablebodybold"/>
              <w:rPr>
                <w:rStyle w:val="Strong"/>
                <w:bCs/>
              </w:rPr>
            </w:pPr>
            <w:r w:rsidRPr="0089031D">
              <w:t>Total contractual financial liabilities</w:t>
            </w:r>
          </w:p>
        </w:tc>
        <w:tc>
          <w:tcPr>
            <w:tcW w:w="1134" w:type="dxa"/>
          </w:tcPr>
          <w:p w14:paraId="7C83CFAC" w14:textId="77777777" w:rsidR="00FA7EBF" w:rsidRPr="006E4233" w:rsidRDefault="00FA7EBF" w:rsidP="007B207C">
            <w:pPr>
              <w:pStyle w:val="ARfintablebodyrightbold"/>
            </w:pPr>
            <w:r w:rsidRPr="0089031D">
              <w:t>–</w:t>
            </w:r>
          </w:p>
        </w:tc>
        <w:tc>
          <w:tcPr>
            <w:tcW w:w="1418" w:type="dxa"/>
          </w:tcPr>
          <w:p w14:paraId="67C2FC62" w14:textId="77777777" w:rsidR="00FA7EBF" w:rsidRPr="007939DD" w:rsidRDefault="00FA7EBF" w:rsidP="007B207C">
            <w:pPr>
              <w:pStyle w:val="ARfintablebodyrightbold"/>
              <w:rPr>
                <w:lang w:eastAsia="en-AU"/>
              </w:rPr>
            </w:pPr>
            <w:r w:rsidRPr="0089031D">
              <w:t>–</w:t>
            </w:r>
          </w:p>
        </w:tc>
        <w:tc>
          <w:tcPr>
            <w:tcW w:w="1418" w:type="dxa"/>
          </w:tcPr>
          <w:p w14:paraId="3E592207" w14:textId="77777777" w:rsidR="00FA7EBF" w:rsidRPr="007939DD" w:rsidRDefault="00FA7EBF" w:rsidP="007B207C">
            <w:pPr>
              <w:pStyle w:val="ARfintablebodyrightbold"/>
              <w:rPr>
                <w:lang w:eastAsia="en-AU"/>
              </w:rPr>
            </w:pPr>
            <w:r w:rsidRPr="0089031D">
              <w:t>1,575.7</w:t>
            </w:r>
          </w:p>
        </w:tc>
        <w:tc>
          <w:tcPr>
            <w:tcW w:w="1134" w:type="dxa"/>
          </w:tcPr>
          <w:p w14:paraId="7C7B4BFE" w14:textId="77777777" w:rsidR="00FA7EBF" w:rsidRPr="007939DD" w:rsidRDefault="00FA7EBF" w:rsidP="007B207C">
            <w:pPr>
              <w:pStyle w:val="ARfintablebodyrightbold"/>
              <w:rPr>
                <w:rStyle w:val="Strong"/>
                <w:bCs w:val="0"/>
              </w:rPr>
            </w:pPr>
            <w:r w:rsidRPr="0089031D">
              <w:t>1,575.7</w:t>
            </w:r>
          </w:p>
        </w:tc>
      </w:tr>
    </w:tbl>
    <w:p w14:paraId="48E290F2" w14:textId="77777777" w:rsidR="00FA7EBF" w:rsidRDefault="00FA7EBF" w:rsidP="00CA66FD">
      <w:pPr>
        <w:pStyle w:val="ARfin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669"/>
        <w:gridCol w:w="1418"/>
        <w:gridCol w:w="1418"/>
        <w:gridCol w:w="1134"/>
      </w:tblGrid>
      <w:tr w:rsidR="00FA7EBF" w:rsidRPr="007939DD" w14:paraId="05F182C9" w14:textId="77777777" w:rsidTr="007B207C">
        <w:trPr>
          <w:cantSplit/>
          <w:tblHeader/>
        </w:trPr>
        <w:tc>
          <w:tcPr>
            <w:tcW w:w="5669" w:type="dxa"/>
            <w:vAlign w:val="bottom"/>
          </w:tcPr>
          <w:p w14:paraId="36DF7CD1" w14:textId="77777777" w:rsidR="00FA7EBF" w:rsidRPr="007939DD" w:rsidRDefault="00FA7EBF" w:rsidP="007B207C">
            <w:pPr>
              <w:pStyle w:val="ARfintablecolhead"/>
            </w:pPr>
            <w:r>
              <w:t>2018</w:t>
            </w:r>
          </w:p>
        </w:tc>
        <w:tc>
          <w:tcPr>
            <w:tcW w:w="1418" w:type="dxa"/>
            <w:vAlign w:val="bottom"/>
          </w:tcPr>
          <w:p w14:paraId="36C41CCB" w14:textId="77777777" w:rsidR="00FA7EBF" w:rsidRDefault="00FA7EBF" w:rsidP="007B207C">
            <w:pPr>
              <w:pStyle w:val="ARfintablecolheadright"/>
            </w:pPr>
            <w:r>
              <w:t>Contractual financial assets – loans and receivables</w:t>
            </w:r>
          </w:p>
          <w:p w14:paraId="1C915A6F" w14:textId="77777777" w:rsidR="00FA7EBF" w:rsidRPr="007939DD" w:rsidRDefault="00FA7EBF" w:rsidP="007B207C">
            <w:pPr>
              <w:pStyle w:val="ARfintablecolheadright"/>
            </w:pPr>
            <w:r>
              <w:t>$M</w:t>
            </w:r>
          </w:p>
        </w:tc>
        <w:tc>
          <w:tcPr>
            <w:tcW w:w="1418" w:type="dxa"/>
            <w:vAlign w:val="bottom"/>
          </w:tcPr>
          <w:p w14:paraId="0F472121" w14:textId="77777777" w:rsidR="00FA7EBF" w:rsidRDefault="00FA7EBF" w:rsidP="007B207C">
            <w:pPr>
              <w:pStyle w:val="ARfintablecolheadright"/>
            </w:pPr>
            <w:r>
              <w:t>Contractual financial liabilities at amortised cost</w:t>
            </w:r>
          </w:p>
          <w:p w14:paraId="36CEA96F" w14:textId="77777777" w:rsidR="00FA7EBF" w:rsidRPr="007939DD" w:rsidRDefault="00FA7EBF" w:rsidP="007B207C">
            <w:pPr>
              <w:pStyle w:val="ARfintablecolheadright"/>
            </w:pPr>
            <w:r>
              <w:t>$M</w:t>
            </w:r>
          </w:p>
        </w:tc>
        <w:tc>
          <w:tcPr>
            <w:tcW w:w="1134" w:type="dxa"/>
            <w:vAlign w:val="bottom"/>
          </w:tcPr>
          <w:p w14:paraId="3146D4E0" w14:textId="77777777" w:rsidR="00FA7EBF" w:rsidRPr="007939DD" w:rsidRDefault="00FA7EBF" w:rsidP="007B207C">
            <w:pPr>
              <w:pStyle w:val="ARfintablecolheadright"/>
            </w:pPr>
            <w:r w:rsidRPr="007939DD">
              <w:t>Total</w:t>
            </w:r>
          </w:p>
          <w:p w14:paraId="05616F25" w14:textId="77777777" w:rsidR="00FA7EBF" w:rsidRPr="007939DD" w:rsidRDefault="00FA7EBF" w:rsidP="007B207C">
            <w:pPr>
              <w:pStyle w:val="ARfintablecolheadright"/>
            </w:pPr>
            <w:r w:rsidRPr="007939DD">
              <w:t>$M</w:t>
            </w:r>
          </w:p>
        </w:tc>
      </w:tr>
      <w:tr w:rsidR="00FA7EBF" w:rsidRPr="007939DD" w14:paraId="4B000F79" w14:textId="77777777" w:rsidTr="007B207C">
        <w:trPr>
          <w:cantSplit/>
        </w:trPr>
        <w:tc>
          <w:tcPr>
            <w:tcW w:w="9639" w:type="dxa"/>
            <w:gridSpan w:val="4"/>
            <w:tcBorders>
              <w:bottom w:val="single" w:sz="4" w:space="0" w:color="A6A6A6" w:themeColor="background1" w:themeShade="A6"/>
            </w:tcBorders>
          </w:tcPr>
          <w:p w14:paraId="1D33102B" w14:textId="77777777" w:rsidR="00FA7EBF" w:rsidRPr="007939DD" w:rsidRDefault="00FA7EBF" w:rsidP="007B207C">
            <w:pPr>
              <w:pStyle w:val="ARfintablebodybold"/>
              <w:rPr>
                <w:lang w:eastAsia="en-AU"/>
              </w:rPr>
            </w:pPr>
            <w:r w:rsidRPr="00E80703">
              <w:t>Contractual financial assets</w:t>
            </w:r>
          </w:p>
        </w:tc>
      </w:tr>
      <w:tr w:rsidR="00FA7EBF" w:rsidRPr="007939DD" w14:paraId="40EA384B" w14:textId="77777777" w:rsidTr="007B207C">
        <w:trPr>
          <w:cantSplit/>
        </w:trPr>
        <w:tc>
          <w:tcPr>
            <w:tcW w:w="5669" w:type="dxa"/>
            <w:tcBorders>
              <w:top w:val="single" w:sz="4" w:space="0" w:color="A6A6A6" w:themeColor="background1" w:themeShade="A6"/>
              <w:bottom w:val="single" w:sz="4" w:space="0" w:color="A6A6A6" w:themeColor="background1" w:themeShade="A6"/>
            </w:tcBorders>
          </w:tcPr>
          <w:p w14:paraId="5C5E643B" w14:textId="77777777" w:rsidR="00FA7EBF" w:rsidRPr="007939DD" w:rsidRDefault="00FA7EBF" w:rsidP="007B207C">
            <w:pPr>
              <w:pStyle w:val="ARfintablebody"/>
              <w:rPr>
                <w:lang w:eastAsia="en-AU"/>
              </w:rPr>
            </w:pPr>
            <w:r w:rsidRPr="00E80703">
              <w:t>Cash and deposits</w:t>
            </w:r>
          </w:p>
        </w:tc>
        <w:tc>
          <w:tcPr>
            <w:tcW w:w="1418" w:type="dxa"/>
            <w:tcBorders>
              <w:top w:val="single" w:sz="4" w:space="0" w:color="A6A6A6" w:themeColor="background1" w:themeShade="A6"/>
              <w:bottom w:val="single" w:sz="4" w:space="0" w:color="A6A6A6" w:themeColor="background1" w:themeShade="A6"/>
            </w:tcBorders>
          </w:tcPr>
          <w:p w14:paraId="2C380C05" w14:textId="77777777" w:rsidR="00FA7EBF" w:rsidRPr="007939DD" w:rsidRDefault="00FA7EBF" w:rsidP="007B207C">
            <w:pPr>
              <w:pStyle w:val="ARfintablebodyright"/>
              <w:rPr>
                <w:lang w:eastAsia="en-AU"/>
              </w:rPr>
            </w:pPr>
            <w:r w:rsidRPr="00E80703">
              <w:t>383.2</w:t>
            </w:r>
          </w:p>
        </w:tc>
        <w:tc>
          <w:tcPr>
            <w:tcW w:w="1418" w:type="dxa"/>
            <w:tcBorders>
              <w:top w:val="single" w:sz="4" w:space="0" w:color="A6A6A6" w:themeColor="background1" w:themeShade="A6"/>
              <w:bottom w:val="single" w:sz="4" w:space="0" w:color="A6A6A6" w:themeColor="background1" w:themeShade="A6"/>
            </w:tcBorders>
          </w:tcPr>
          <w:p w14:paraId="7D31D475" w14:textId="77777777" w:rsidR="00FA7EBF" w:rsidRPr="007939DD" w:rsidRDefault="00FA7EBF" w:rsidP="007B207C">
            <w:pPr>
              <w:pStyle w:val="ARfintablebodyright"/>
              <w:rPr>
                <w:lang w:eastAsia="en-AU"/>
              </w:rPr>
            </w:pPr>
            <w:r w:rsidRPr="00E80703">
              <w:t>–</w:t>
            </w:r>
          </w:p>
        </w:tc>
        <w:tc>
          <w:tcPr>
            <w:tcW w:w="1134" w:type="dxa"/>
            <w:tcBorders>
              <w:top w:val="single" w:sz="4" w:space="0" w:color="A6A6A6" w:themeColor="background1" w:themeShade="A6"/>
              <w:bottom w:val="single" w:sz="4" w:space="0" w:color="A6A6A6" w:themeColor="background1" w:themeShade="A6"/>
            </w:tcBorders>
          </w:tcPr>
          <w:p w14:paraId="7BB098FE" w14:textId="77777777" w:rsidR="00FA7EBF" w:rsidRPr="007939DD" w:rsidRDefault="00FA7EBF" w:rsidP="007B207C">
            <w:pPr>
              <w:pStyle w:val="ARfintablebodyright"/>
              <w:rPr>
                <w:lang w:eastAsia="en-AU"/>
              </w:rPr>
            </w:pPr>
            <w:r w:rsidRPr="00E80703">
              <w:t>383.2</w:t>
            </w:r>
          </w:p>
        </w:tc>
      </w:tr>
      <w:tr w:rsidR="00FA7EBF" w:rsidRPr="007939DD" w14:paraId="0D4BDD50" w14:textId="77777777" w:rsidTr="007B207C">
        <w:trPr>
          <w:cantSplit/>
        </w:trPr>
        <w:tc>
          <w:tcPr>
            <w:tcW w:w="5669" w:type="dxa"/>
            <w:tcBorders>
              <w:top w:val="single" w:sz="4" w:space="0" w:color="A6A6A6" w:themeColor="background1" w:themeShade="A6"/>
              <w:bottom w:val="single" w:sz="4" w:space="0" w:color="A6A6A6" w:themeColor="background1" w:themeShade="A6"/>
            </w:tcBorders>
          </w:tcPr>
          <w:p w14:paraId="747E5E00" w14:textId="77777777" w:rsidR="00FA7EBF" w:rsidRPr="007939DD" w:rsidRDefault="00FA7EBF" w:rsidP="007B207C">
            <w:pPr>
              <w:pStyle w:val="ARfintablebody"/>
              <w:rPr>
                <w:lang w:eastAsia="en-AU"/>
              </w:rPr>
            </w:pPr>
            <w:r w:rsidRPr="00E80703">
              <w:t xml:space="preserve">Receivables </w:t>
            </w:r>
            <w:r w:rsidRPr="00F240C8">
              <w:rPr>
                <w:rStyle w:val="Superscript"/>
              </w:rPr>
              <w:t>(i)</w:t>
            </w:r>
          </w:p>
        </w:tc>
        <w:tc>
          <w:tcPr>
            <w:tcW w:w="1418" w:type="dxa"/>
            <w:tcBorders>
              <w:top w:val="single" w:sz="4" w:space="0" w:color="A6A6A6" w:themeColor="background1" w:themeShade="A6"/>
              <w:bottom w:val="single" w:sz="4" w:space="0" w:color="A6A6A6" w:themeColor="background1" w:themeShade="A6"/>
            </w:tcBorders>
          </w:tcPr>
          <w:p w14:paraId="2EE90E27" w14:textId="77777777" w:rsidR="00FA7EBF" w:rsidRPr="007939DD" w:rsidRDefault="00FA7EBF" w:rsidP="007B207C">
            <w:pPr>
              <w:pStyle w:val="ARfintablebodyright"/>
              <w:rPr>
                <w:lang w:eastAsia="en-AU"/>
              </w:rPr>
            </w:pPr>
            <w:r w:rsidRPr="00E80703">
              <w:t>88.3</w:t>
            </w:r>
          </w:p>
        </w:tc>
        <w:tc>
          <w:tcPr>
            <w:tcW w:w="1418" w:type="dxa"/>
            <w:tcBorders>
              <w:top w:val="single" w:sz="4" w:space="0" w:color="A6A6A6" w:themeColor="background1" w:themeShade="A6"/>
              <w:bottom w:val="single" w:sz="4" w:space="0" w:color="A6A6A6" w:themeColor="background1" w:themeShade="A6"/>
            </w:tcBorders>
          </w:tcPr>
          <w:p w14:paraId="3DD0B43A" w14:textId="77777777" w:rsidR="00FA7EBF" w:rsidRPr="007939DD" w:rsidRDefault="00FA7EBF" w:rsidP="007B207C">
            <w:pPr>
              <w:pStyle w:val="ARfintablebodyright"/>
              <w:rPr>
                <w:lang w:eastAsia="en-AU"/>
              </w:rPr>
            </w:pPr>
            <w:r w:rsidRPr="00E80703">
              <w:t>–</w:t>
            </w:r>
          </w:p>
        </w:tc>
        <w:tc>
          <w:tcPr>
            <w:tcW w:w="1134" w:type="dxa"/>
            <w:tcBorders>
              <w:top w:val="single" w:sz="4" w:space="0" w:color="A6A6A6" w:themeColor="background1" w:themeShade="A6"/>
              <w:bottom w:val="single" w:sz="4" w:space="0" w:color="A6A6A6" w:themeColor="background1" w:themeShade="A6"/>
            </w:tcBorders>
          </w:tcPr>
          <w:p w14:paraId="0A9EE88B" w14:textId="77777777" w:rsidR="00FA7EBF" w:rsidRPr="007939DD" w:rsidRDefault="00FA7EBF" w:rsidP="007B207C">
            <w:pPr>
              <w:pStyle w:val="ARfintablebodyright"/>
              <w:rPr>
                <w:lang w:eastAsia="en-AU"/>
              </w:rPr>
            </w:pPr>
            <w:r w:rsidRPr="00E80703">
              <w:t>88.3</w:t>
            </w:r>
          </w:p>
        </w:tc>
      </w:tr>
      <w:tr w:rsidR="00FA7EBF" w:rsidRPr="007939DD" w14:paraId="44A49F9D" w14:textId="77777777" w:rsidTr="007B207C">
        <w:trPr>
          <w:cantSplit/>
        </w:trPr>
        <w:tc>
          <w:tcPr>
            <w:tcW w:w="5669" w:type="dxa"/>
            <w:tcBorders>
              <w:top w:val="single" w:sz="4" w:space="0" w:color="A6A6A6" w:themeColor="background1" w:themeShade="A6"/>
              <w:bottom w:val="single" w:sz="4" w:space="0" w:color="A6A6A6" w:themeColor="background1" w:themeShade="A6"/>
            </w:tcBorders>
          </w:tcPr>
          <w:p w14:paraId="3275FE1C" w14:textId="77777777" w:rsidR="00FA7EBF" w:rsidRPr="007939DD" w:rsidRDefault="00FA7EBF" w:rsidP="007B207C">
            <w:pPr>
              <w:pStyle w:val="ARfintablebody"/>
              <w:rPr>
                <w:lang w:eastAsia="en-AU"/>
              </w:rPr>
            </w:pPr>
            <w:r w:rsidRPr="00E80703">
              <w:t>Loans</w:t>
            </w:r>
          </w:p>
        </w:tc>
        <w:tc>
          <w:tcPr>
            <w:tcW w:w="1418" w:type="dxa"/>
            <w:tcBorders>
              <w:top w:val="single" w:sz="4" w:space="0" w:color="A6A6A6" w:themeColor="background1" w:themeShade="A6"/>
              <w:bottom w:val="single" w:sz="4" w:space="0" w:color="A6A6A6" w:themeColor="background1" w:themeShade="A6"/>
            </w:tcBorders>
          </w:tcPr>
          <w:p w14:paraId="73A24CEA" w14:textId="77777777" w:rsidR="00FA7EBF" w:rsidRPr="007939DD" w:rsidRDefault="00FA7EBF" w:rsidP="007B207C">
            <w:pPr>
              <w:pStyle w:val="ARfintablebodyright"/>
              <w:rPr>
                <w:lang w:eastAsia="en-AU"/>
              </w:rPr>
            </w:pPr>
            <w:r w:rsidRPr="00E80703">
              <w:t>105.7</w:t>
            </w:r>
          </w:p>
        </w:tc>
        <w:tc>
          <w:tcPr>
            <w:tcW w:w="1418" w:type="dxa"/>
            <w:tcBorders>
              <w:top w:val="single" w:sz="4" w:space="0" w:color="A6A6A6" w:themeColor="background1" w:themeShade="A6"/>
              <w:bottom w:val="single" w:sz="4" w:space="0" w:color="A6A6A6" w:themeColor="background1" w:themeShade="A6"/>
            </w:tcBorders>
          </w:tcPr>
          <w:p w14:paraId="346D978F" w14:textId="77777777" w:rsidR="00FA7EBF" w:rsidRPr="007939DD" w:rsidRDefault="00FA7EBF" w:rsidP="007B207C">
            <w:pPr>
              <w:pStyle w:val="ARfintablebodyright"/>
              <w:rPr>
                <w:lang w:eastAsia="en-AU"/>
              </w:rPr>
            </w:pPr>
            <w:r w:rsidRPr="00E80703">
              <w:t>–</w:t>
            </w:r>
          </w:p>
        </w:tc>
        <w:tc>
          <w:tcPr>
            <w:tcW w:w="1134" w:type="dxa"/>
            <w:tcBorders>
              <w:top w:val="single" w:sz="4" w:space="0" w:color="A6A6A6" w:themeColor="background1" w:themeShade="A6"/>
              <w:bottom w:val="single" w:sz="4" w:space="0" w:color="A6A6A6" w:themeColor="background1" w:themeShade="A6"/>
            </w:tcBorders>
          </w:tcPr>
          <w:p w14:paraId="6B5C07D0" w14:textId="77777777" w:rsidR="00FA7EBF" w:rsidRPr="007939DD" w:rsidRDefault="00FA7EBF" w:rsidP="007B207C">
            <w:pPr>
              <w:pStyle w:val="ARfintablebodyright"/>
              <w:rPr>
                <w:lang w:eastAsia="en-AU"/>
              </w:rPr>
            </w:pPr>
            <w:r w:rsidRPr="00E80703">
              <w:t>105.7</w:t>
            </w:r>
          </w:p>
        </w:tc>
      </w:tr>
      <w:tr w:rsidR="00FA7EBF" w:rsidRPr="007939DD" w14:paraId="63ABB8C1" w14:textId="77777777" w:rsidTr="007B207C">
        <w:trPr>
          <w:cantSplit/>
        </w:trPr>
        <w:tc>
          <w:tcPr>
            <w:tcW w:w="5669" w:type="dxa"/>
            <w:tcBorders>
              <w:top w:val="single" w:sz="4" w:space="0" w:color="A6A6A6" w:themeColor="background1" w:themeShade="A6"/>
            </w:tcBorders>
          </w:tcPr>
          <w:p w14:paraId="7A8C16FC" w14:textId="77777777" w:rsidR="00FA7EBF" w:rsidRPr="007939DD" w:rsidRDefault="00FA7EBF" w:rsidP="007B207C">
            <w:pPr>
              <w:pStyle w:val="ARfintablebody"/>
              <w:rPr>
                <w:lang w:eastAsia="en-AU"/>
              </w:rPr>
            </w:pPr>
            <w:r w:rsidRPr="00E80703">
              <w:t>Short-term investments – term deposits</w:t>
            </w:r>
          </w:p>
        </w:tc>
        <w:tc>
          <w:tcPr>
            <w:tcW w:w="1418" w:type="dxa"/>
            <w:tcBorders>
              <w:top w:val="single" w:sz="4" w:space="0" w:color="A6A6A6" w:themeColor="background1" w:themeShade="A6"/>
            </w:tcBorders>
          </w:tcPr>
          <w:p w14:paraId="6B5AB04A" w14:textId="77777777" w:rsidR="00FA7EBF" w:rsidRPr="007939DD" w:rsidRDefault="00FA7EBF" w:rsidP="007B207C">
            <w:pPr>
              <w:pStyle w:val="ARfintablebodyright"/>
              <w:rPr>
                <w:lang w:eastAsia="en-AU"/>
              </w:rPr>
            </w:pPr>
            <w:r w:rsidRPr="00E80703">
              <w:t>534.8</w:t>
            </w:r>
          </w:p>
        </w:tc>
        <w:tc>
          <w:tcPr>
            <w:tcW w:w="1418" w:type="dxa"/>
            <w:tcBorders>
              <w:top w:val="single" w:sz="4" w:space="0" w:color="A6A6A6" w:themeColor="background1" w:themeShade="A6"/>
            </w:tcBorders>
          </w:tcPr>
          <w:p w14:paraId="1129F2B5" w14:textId="77777777" w:rsidR="00FA7EBF" w:rsidRPr="007939DD" w:rsidRDefault="00FA7EBF" w:rsidP="007B207C">
            <w:pPr>
              <w:pStyle w:val="ARfintablebodyright"/>
              <w:rPr>
                <w:lang w:eastAsia="en-AU"/>
              </w:rPr>
            </w:pPr>
            <w:r w:rsidRPr="00E80703">
              <w:t>–</w:t>
            </w:r>
          </w:p>
        </w:tc>
        <w:tc>
          <w:tcPr>
            <w:tcW w:w="1134" w:type="dxa"/>
            <w:tcBorders>
              <w:top w:val="single" w:sz="4" w:space="0" w:color="A6A6A6" w:themeColor="background1" w:themeShade="A6"/>
            </w:tcBorders>
          </w:tcPr>
          <w:p w14:paraId="1150CBEB" w14:textId="77777777" w:rsidR="00FA7EBF" w:rsidRPr="007939DD" w:rsidRDefault="00FA7EBF" w:rsidP="007B207C">
            <w:pPr>
              <w:pStyle w:val="ARfintablebodyright"/>
              <w:rPr>
                <w:lang w:eastAsia="en-AU"/>
              </w:rPr>
            </w:pPr>
            <w:r w:rsidRPr="00E80703">
              <w:t>534.8</w:t>
            </w:r>
          </w:p>
        </w:tc>
      </w:tr>
      <w:tr w:rsidR="00FA7EBF" w:rsidRPr="007939DD" w14:paraId="05FFA84A" w14:textId="77777777" w:rsidTr="007B207C">
        <w:trPr>
          <w:cantSplit/>
        </w:trPr>
        <w:tc>
          <w:tcPr>
            <w:tcW w:w="5669" w:type="dxa"/>
          </w:tcPr>
          <w:p w14:paraId="4DDBC1C4" w14:textId="77777777" w:rsidR="00FA7EBF" w:rsidRPr="007939DD" w:rsidRDefault="00FA7EBF" w:rsidP="007B207C">
            <w:pPr>
              <w:pStyle w:val="ARfintablebodybold"/>
              <w:rPr>
                <w:rStyle w:val="Strong"/>
                <w:bCs/>
              </w:rPr>
            </w:pPr>
            <w:r w:rsidRPr="00E80703">
              <w:t>Total contractual financial assets</w:t>
            </w:r>
          </w:p>
        </w:tc>
        <w:tc>
          <w:tcPr>
            <w:tcW w:w="1418" w:type="dxa"/>
          </w:tcPr>
          <w:p w14:paraId="02A56D80" w14:textId="77777777" w:rsidR="00FA7EBF" w:rsidRPr="007939DD" w:rsidRDefault="00FA7EBF" w:rsidP="007B207C">
            <w:pPr>
              <w:pStyle w:val="ARfintablebodyrightbold"/>
              <w:rPr>
                <w:rStyle w:val="Strong"/>
                <w:bCs w:val="0"/>
              </w:rPr>
            </w:pPr>
            <w:r w:rsidRPr="00E80703">
              <w:t>1,112.0</w:t>
            </w:r>
          </w:p>
        </w:tc>
        <w:tc>
          <w:tcPr>
            <w:tcW w:w="1418" w:type="dxa"/>
          </w:tcPr>
          <w:p w14:paraId="1F666D31" w14:textId="77777777" w:rsidR="00FA7EBF" w:rsidRPr="007939DD" w:rsidRDefault="00FA7EBF" w:rsidP="007B207C">
            <w:pPr>
              <w:pStyle w:val="ARfintablebodyrightbold"/>
              <w:rPr>
                <w:lang w:eastAsia="en-AU"/>
              </w:rPr>
            </w:pPr>
            <w:r w:rsidRPr="00E80703">
              <w:t>–</w:t>
            </w:r>
          </w:p>
        </w:tc>
        <w:tc>
          <w:tcPr>
            <w:tcW w:w="1134" w:type="dxa"/>
          </w:tcPr>
          <w:p w14:paraId="3777B24B" w14:textId="77777777" w:rsidR="00FA7EBF" w:rsidRPr="007939DD" w:rsidRDefault="00FA7EBF" w:rsidP="007B207C">
            <w:pPr>
              <w:pStyle w:val="ARfintablebodyrightbold"/>
              <w:rPr>
                <w:rStyle w:val="Strong"/>
                <w:bCs w:val="0"/>
              </w:rPr>
            </w:pPr>
            <w:r w:rsidRPr="00E80703">
              <w:t>1,112.0</w:t>
            </w:r>
          </w:p>
        </w:tc>
      </w:tr>
      <w:tr w:rsidR="00FA7EBF" w:rsidRPr="007939DD" w14:paraId="458F7B56" w14:textId="77777777" w:rsidTr="007B207C">
        <w:trPr>
          <w:cantSplit/>
        </w:trPr>
        <w:tc>
          <w:tcPr>
            <w:tcW w:w="9639" w:type="dxa"/>
            <w:gridSpan w:val="4"/>
            <w:tcBorders>
              <w:bottom w:val="single" w:sz="4" w:space="0" w:color="A6A6A6" w:themeColor="background1" w:themeShade="A6"/>
            </w:tcBorders>
          </w:tcPr>
          <w:p w14:paraId="3BE7C579" w14:textId="77777777" w:rsidR="00FA7EBF" w:rsidRPr="007939DD" w:rsidRDefault="00FA7EBF" w:rsidP="007B207C">
            <w:pPr>
              <w:pStyle w:val="ARfintablebodybold"/>
              <w:rPr>
                <w:lang w:eastAsia="en-AU"/>
              </w:rPr>
            </w:pPr>
            <w:r w:rsidRPr="00E80703">
              <w:t>Contractual financial liabilities</w:t>
            </w:r>
          </w:p>
        </w:tc>
      </w:tr>
      <w:tr w:rsidR="00FA7EBF" w:rsidRPr="007939DD" w14:paraId="483C38D0" w14:textId="77777777" w:rsidTr="007B207C">
        <w:trPr>
          <w:cantSplit/>
        </w:trPr>
        <w:tc>
          <w:tcPr>
            <w:tcW w:w="5669" w:type="dxa"/>
            <w:tcBorders>
              <w:top w:val="single" w:sz="4" w:space="0" w:color="A6A6A6" w:themeColor="background1" w:themeShade="A6"/>
              <w:bottom w:val="single" w:sz="4" w:space="0" w:color="A6A6A6" w:themeColor="background1" w:themeShade="A6"/>
            </w:tcBorders>
          </w:tcPr>
          <w:p w14:paraId="2C7B7DEA" w14:textId="77777777" w:rsidR="00FA7EBF" w:rsidRPr="007939DD" w:rsidRDefault="00FA7EBF" w:rsidP="007B207C">
            <w:pPr>
              <w:pStyle w:val="ARfintablebody"/>
              <w:rPr>
                <w:lang w:eastAsia="en-AU"/>
              </w:rPr>
            </w:pPr>
            <w:r w:rsidRPr="00E80703">
              <w:t xml:space="preserve">Payables </w:t>
            </w:r>
            <w:r w:rsidRPr="00F240C8">
              <w:rPr>
                <w:rStyle w:val="Superscript"/>
              </w:rPr>
              <w:t>(i)</w:t>
            </w:r>
          </w:p>
        </w:tc>
        <w:tc>
          <w:tcPr>
            <w:tcW w:w="1418" w:type="dxa"/>
            <w:tcBorders>
              <w:top w:val="single" w:sz="4" w:space="0" w:color="A6A6A6" w:themeColor="background1" w:themeShade="A6"/>
              <w:bottom w:val="single" w:sz="4" w:space="0" w:color="A6A6A6" w:themeColor="background1" w:themeShade="A6"/>
            </w:tcBorders>
          </w:tcPr>
          <w:p w14:paraId="189A5486" w14:textId="77777777" w:rsidR="00FA7EBF" w:rsidRPr="007939DD" w:rsidRDefault="00FA7EBF" w:rsidP="007B207C">
            <w:pPr>
              <w:pStyle w:val="ARfintablebodyright"/>
              <w:rPr>
                <w:lang w:eastAsia="en-AU"/>
              </w:rPr>
            </w:pPr>
            <w:r w:rsidRPr="00E80703">
              <w:t>–</w:t>
            </w:r>
          </w:p>
        </w:tc>
        <w:tc>
          <w:tcPr>
            <w:tcW w:w="1418" w:type="dxa"/>
            <w:tcBorders>
              <w:top w:val="single" w:sz="4" w:space="0" w:color="A6A6A6" w:themeColor="background1" w:themeShade="A6"/>
              <w:bottom w:val="single" w:sz="4" w:space="0" w:color="A6A6A6" w:themeColor="background1" w:themeShade="A6"/>
            </w:tcBorders>
          </w:tcPr>
          <w:p w14:paraId="73A95C56" w14:textId="77777777" w:rsidR="00FA7EBF" w:rsidRPr="007939DD" w:rsidRDefault="00FA7EBF" w:rsidP="007B207C">
            <w:pPr>
              <w:pStyle w:val="ARfintablebodyright"/>
              <w:rPr>
                <w:lang w:eastAsia="en-AU"/>
              </w:rPr>
            </w:pPr>
            <w:r w:rsidRPr="00E80703">
              <w:t>1,342.3</w:t>
            </w:r>
          </w:p>
        </w:tc>
        <w:tc>
          <w:tcPr>
            <w:tcW w:w="1134" w:type="dxa"/>
            <w:tcBorders>
              <w:top w:val="single" w:sz="4" w:space="0" w:color="A6A6A6" w:themeColor="background1" w:themeShade="A6"/>
              <w:bottom w:val="single" w:sz="4" w:space="0" w:color="A6A6A6" w:themeColor="background1" w:themeShade="A6"/>
            </w:tcBorders>
          </w:tcPr>
          <w:p w14:paraId="43485045" w14:textId="77777777" w:rsidR="00FA7EBF" w:rsidRPr="007939DD" w:rsidRDefault="00FA7EBF" w:rsidP="007B207C">
            <w:pPr>
              <w:pStyle w:val="ARfintablebodyright"/>
              <w:rPr>
                <w:lang w:eastAsia="en-AU"/>
              </w:rPr>
            </w:pPr>
            <w:r w:rsidRPr="00E80703">
              <w:t>1,342.3</w:t>
            </w:r>
          </w:p>
        </w:tc>
      </w:tr>
      <w:tr w:rsidR="00FA7EBF" w:rsidRPr="007939DD" w14:paraId="775A31E3" w14:textId="77777777" w:rsidTr="007B207C">
        <w:trPr>
          <w:cantSplit/>
        </w:trPr>
        <w:tc>
          <w:tcPr>
            <w:tcW w:w="5669" w:type="dxa"/>
            <w:tcBorders>
              <w:top w:val="single" w:sz="4" w:space="0" w:color="A6A6A6" w:themeColor="background1" w:themeShade="A6"/>
            </w:tcBorders>
          </w:tcPr>
          <w:p w14:paraId="495C63EC" w14:textId="77777777" w:rsidR="00FA7EBF" w:rsidRPr="007939DD" w:rsidRDefault="00FA7EBF" w:rsidP="007B207C">
            <w:pPr>
              <w:pStyle w:val="ARfintablebody"/>
              <w:rPr>
                <w:lang w:eastAsia="en-AU"/>
              </w:rPr>
            </w:pPr>
            <w:r w:rsidRPr="00E80703">
              <w:t>Borrowings</w:t>
            </w:r>
          </w:p>
        </w:tc>
        <w:tc>
          <w:tcPr>
            <w:tcW w:w="1418" w:type="dxa"/>
            <w:tcBorders>
              <w:top w:val="single" w:sz="4" w:space="0" w:color="A6A6A6" w:themeColor="background1" w:themeShade="A6"/>
            </w:tcBorders>
          </w:tcPr>
          <w:p w14:paraId="78721ED6" w14:textId="77777777" w:rsidR="00FA7EBF" w:rsidRPr="007939DD" w:rsidRDefault="00FA7EBF" w:rsidP="007B207C">
            <w:pPr>
              <w:pStyle w:val="ARfintablebodyright"/>
              <w:rPr>
                <w:lang w:eastAsia="en-AU"/>
              </w:rPr>
            </w:pPr>
            <w:r w:rsidRPr="00E80703">
              <w:t>–</w:t>
            </w:r>
          </w:p>
        </w:tc>
        <w:tc>
          <w:tcPr>
            <w:tcW w:w="1418" w:type="dxa"/>
            <w:tcBorders>
              <w:top w:val="single" w:sz="4" w:space="0" w:color="A6A6A6" w:themeColor="background1" w:themeShade="A6"/>
            </w:tcBorders>
          </w:tcPr>
          <w:p w14:paraId="4D15EA3B" w14:textId="77777777" w:rsidR="00FA7EBF" w:rsidRPr="007939DD" w:rsidRDefault="00FA7EBF" w:rsidP="007B207C">
            <w:pPr>
              <w:pStyle w:val="ARfintablebodyright"/>
              <w:rPr>
                <w:lang w:eastAsia="en-AU"/>
              </w:rPr>
            </w:pPr>
            <w:r w:rsidRPr="00E80703">
              <w:t>81.7</w:t>
            </w:r>
          </w:p>
        </w:tc>
        <w:tc>
          <w:tcPr>
            <w:tcW w:w="1134" w:type="dxa"/>
            <w:tcBorders>
              <w:top w:val="single" w:sz="4" w:space="0" w:color="A6A6A6" w:themeColor="background1" w:themeShade="A6"/>
            </w:tcBorders>
          </w:tcPr>
          <w:p w14:paraId="5CC7C840" w14:textId="77777777" w:rsidR="00FA7EBF" w:rsidRPr="007939DD" w:rsidRDefault="00FA7EBF" w:rsidP="007B207C">
            <w:pPr>
              <w:pStyle w:val="ARfintablebodyright"/>
              <w:rPr>
                <w:lang w:eastAsia="en-AU"/>
              </w:rPr>
            </w:pPr>
            <w:r w:rsidRPr="00E80703">
              <w:t>81.7</w:t>
            </w:r>
          </w:p>
        </w:tc>
      </w:tr>
      <w:tr w:rsidR="00FA7EBF" w:rsidRPr="007939DD" w14:paraId="0A58E589" w14:textId="77777777" w:rsidTr="007B207C">
        <w:trPr>
          <w:cantSplit/>
        </w:trPr>
        <w:tc>
          <w:tcPr>
            <w:tcW w:w="5669" w:type="dxa"/>
          </w:tcPr>
          <w:p w14:paraId="5A38CE38" w14:textId="77777777" w:rsidR="00FA7EBF" w:rsidRPr="007939DD" w:rsidRDefault="00FA7EBF" w:rsidP="007B207C">
            <w:pPr>
              <w:pStyle w:val="ARfintablebodybold"/>
              <w:rPr>
                <w:lang w:eastAsia="en-AU"/>
              </w:rPr>
            </w:pPr>
            <w:r w:rsidRPr="00E80703">
              <w:t>Total contractual financial liabilities</w:t>
            </w:r>
          </w:p>
        </w:tc>
        <w:tc>
          <w:tcPr>
            <w:tcW w:w="1418" w:type="dxa"/>
          </w:tcPr>
          <w:p w14:paraId="504C24D1" w14:textId="77777777" w:rsidR="00FA7EBF" w:rsidRPr="007939DD" w:rsidRDefault="00FA7EBF" w:rsidP="007B207C">
            <w:pPr>
              <w:pStyle w:val="ARfintablebodyrightbold"/>
              <w:rPr>
                <w:lang w:eastAsia="en-AU"/>
              </w:rPr>
            </w:pPr>
            <w:r w:rsidRPr="00E80703">
              <w:t>–</w:t>
            </w:r>
          </w:p>
        </w:tc>
        <w:tc>
          <w:tcPr>
            <w:tcW w:w="1418" w:type="dxa"/>
          </w:tcPr>
          <w:p w14:paraId="142D440A" w14:textId="77777777" w:rsidR="00FA7EBF" w:rsidRPr="007939DD" w:rsidRDefault="00FA7EBF" w:rsidP="007B207C">
            <w:pPr>
              <w:pStyle w:val="ARfintablebodyrightbold"/>
              <w:rPr>
                <w:lang w:eastAsia="en-AU"/>
              </w:rPr>
            </w:pPr>
            <w:r w:rsidRPr="00E80703">
              <w:t>1,424.0</w:t>
            </w:r>
          </w:p>
        </w:tc>
        <w:tc>
          <w:tcPr>
            <w:tcW w:w="1134" w:type="dxa"/>
          </w:tcPr>
          <w:p w14:paraId="2797EC81" w14:textId="77777777" w:rsidR="00FA7EBF" w:rsidRPr="007939DD" w:rsidRDefault="00FA7EBF" w:rsidP="007B207C">
            <w:pPr>
              <w:pStyle w:val="ARfintablebodyrightbold"/>
              <w:rPr>
                <w:rStyle w:val="Strong"/>
                <w:bCs w:val="0"/>
              </w:rPr>
            </w:pPr>
            <w:r w:rsidRPr="00E80703">
              <w:t>1,424.0</w:t>
            </w:r>
          </w:p>
        </w:tc>
      </w:tr>
    </w:tbl>
    <w:p w14:paraId="0F6A75FD" w14:textId="77777777" w:rsidR="00FA7EBF" w:rsidRPr="00F240C8" w:rsidRDefault="00FA7EBF" w:rsidP="00CA66FD">
      <w:pPr>
        <w:pStyle w:val="ARfintablefootnoteindent"/>
      </w:pPr>
      <w:r w:rsidRPr="00F240C8">
        <w:t>Note:</w:t>
      </w:r>
    </w:p>
    <w:p w14:paraId="023D2DC0" w14:textId="77777777" w:rsidR="00FA7EBF" w:rsidRPr="00194D78" w:rsidRDefault="00FA7EBF" w:rsidP="00CA66FD">
      <w:pPr>
        <w:pStyle w:val="ARfintablefootnoteindent"/>
      </w:pPr>
      <w:r w:rsidRPr="00F240C8">
        <w:t>(i)</w:t>
      </w:r>
      <w:r w:rsidRPr="00F240C8">
        <w:tab/>
        <w:t>The total amounts disclosed here exclude statutory amounts, for example, amounts owing to/from Victorian Government and GST input tax credit recoverable and taxes payable. Refer to Note 6.1 for the breakdown of contractual and statutory receivables.</w:t>
      </w:r>
    </w:p>
    <w:p w14:paraId="0010D321" w14:textId="77777777" w:rsidR="00FA7EBF" w:rsidRDefault="00FA7EBF" w:rsidP="00CA66FD">
      <w:pPr>
        <w:pStyle w:val="ARfinbody"/>
      </w:pPr>
      <w:r>
        <w:br w:type="page"/>
      </w:r>
    </w:p>
    <w:p w14:paraId="20804B32" w14:textId="77777777" w:rsidR="00FA7EBF" w:rsidRDefault="00FA7EBF" w:rsidP="00CA66FD">
      <w:pPr>
        <w:pStyle w:val="Heading5"/>
        <w:rPr>
          <w:lang w:eastAsia="en-AU"/>
        </w:rPr>
      </w:pPr>
      <w:r w:rsidRPr="00194D78">
        <w:rPr>
          <w:lang w:eastAsia="en-AU"/>
        </w:rPr>
        <w:t>8.1.2 Financial instruments: net holding gain/(loss) on financial instruments by category</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237"/>
        <w:gridCol w:w="1701"/>
        <w:gridCol w:w="1701"/>
      </w:tblGrid>
      <w:tr w:rsidR="00FA7EBF" w:rsidRPr="007939DD" w14:paraId="7084D7D1" w14:textId="77777777" w:rsidTr="007B207C">
        <w:trPr>
          <w:cantSplit/>
          <w:tblHeader/>
        </w:trPr>
        <w:tc>
          <w:tcPr>
            <w:tcW w:w="6237" w:type="dxa"/>
            <w:vAlign w:val="bottom"/>
          </w:tcPr>
          <w:p w14:paraId="74D17C18" w14:textId="77777777" w:rsidR="00FA7EBF" w:rsidRPr="007939DD" w:rsidRDefault="00FA7EBF" w:rsidP="007B207C">
            <w:pPr>
              <w:pStyle w:val="ARfintablecolhead"/>
            </w:pPr>
          </w:p>
        </w:tc>
        <w:tc>
          <w:tcPr>
            <w:tcW w:w="1701" w:type="dxa"/>
            <w:vAlign w:val="bottom"/>
          </w:tcPr>
          <w:p w14:paraId="2392AA21" w14:textId="77777777" w:rsidR="00FA7EBF" w:rsidRPr="007939DD" w:rsidRDefault="00FA7EBF" w:rsidP="007B207C">
            <w:pPr>
              <w:pStyle w:val="ARfintablecolheadright"/>
            </w:pPr>
            <w:r w:rsidRPr="007939DD">
              <w:t>Total interest income/(expense)</w:t>
            </w:r>
          </w:p>
          <w:p w14:paraId="4C958A88" w14:textId="77777777" w:rsidR="00FA7EBF" w:rsidRPr="007939DD" w:rsidRDefault="00FA7EBF" w:rsidP="007B207C">
            <w:pPr>
              <w:pStyle w:val="ARfintablecolheadright"/>
            </w:pPr>
            <w:r w:rsidRPr="007939DD">
              <w:t>$M</w:t>
            </w:r>
          </w:p>
        </w:tc>
        <w:tc>
          <w:tcPr>
            <w:tcW w:w="1701" w:type="dxa"/>
            <w:vAlign w:val="bottom"/>
          </w:tcPr>
          <w:p w14:paraId="1FF05561" w14:textId="77777777" w:rsidR="00FA7EBF" w:rsidRPr="007939DD" w:rsidRDefault="00FA7EBF" w:rsidP="007B207C">
            <w:pPr>
              <w:pStyle w:val="ARfintablecolheadright"/>
            </w:pPr>
            <w:r w:rsidRPr="007939DD">
              <w:t>Total</w:t>
            </w:r>
          </w:p>
          <w:p w14:paraId="62083923" w14:textId="77777777" w:rsidR="00FA7EBF" w:rsidRPr="007939DD" w:rsidRDefault="00FA7EBF" w:rsidP="007B207C">
            <w:pPr>
              <w:pStyle w:val="ARfintablecolheadright"/>
            </w:pPr>
            <w:r w:rsidRPr="007939DD">
              <w:t>$M</w:t>
            </w:r>
          </w:p>
        </w:tc>
      </w:tr>
      <w:tr w:rsidR="00FA7EBF" w:rsidRPr="007939DD" w14:paraId="607C7276" w14:textId="77777777" w:rsidTr="007B207C">
        <w:trPr>
          <w:cantSplit/>
        </w:trPr>
        <w:tc>
          <w:tcPr>
            <w:tcW w:w="9639" w:type="dxa"/>
            <w:gridSpan w:val="3"/>
          </w:tcPr>
          <w:p w14:paraId="3358608B" w14:textId="77777777" w:rsidR="00FA7EBF" w:rsidRPr="007939DD" w:rsidRDefault="00FA7EBF" w:rsidP="007B207C">
            <w:pPr>
              <w:pStyle w:val="ARfintablebodybold"/>
              <w:rPr>
                <w:lang w:eastAsia="en-AU"/>
              </w:rPr>
            </w:pPr>
            <w:r w:rsidRPr="00B64D8B">
              <w:t>2019</w:t>
            </w:r>
          </w:p>
        </w:tc>
      </w:tr>
      <w:tr w:rsidR="00FA7EBF" w:rsidRPr="007939DD" w14:paraId="2E8DED12" w14:textId="77777777" w:rsidTr="007B207C">
        <w:trPr>
          <w:cantSplit/>
        </w:trPr>
        <w:tc>
          <w:tcPr>
            <w:tcW w:w="9639" w:type="dxa"/>
            <w:gridSpan w:val="3"/>
            <w:tcBorders>
              <w:bottom w:val="single" w:sz="4" w:space="0" w:color="A6A6A6" w:themeColor="background1" w:themeShade="A6"/>
            </w:tcBorders>
          </w:tcPr>
          <w:p w14:paraId="213FFB07" w14:textId="77777777" w:rsidR="00FA7EBF" w:rsidRPr="007939DD" w:rsidRDefault="00FA7EBF" w:rsidP="007B207C">
            <w:pPr>
              <w:pStyle w:val="ARfintablebodybold"/>
              <w:rPr>
                <w:lang w:eastAsia="en-AU"/>
              </w:rPr>
            </w:pPr>
            <w:r w:rsidRPr="00B64D8B">
              <w:t>Contractual financial assets</w:t>
            </w:r>
          </w:p>
        </w:tc>
      </w:tr>
      <w:tr w:rsidR="00FA7EBF" w:rsidRPr="007939DD" w14:paraId="6C29952F" w14:textId="77777777" w:rsidTr="007B207C">
        <w:trPr>
          <w:cantSplit/>
        </w:trPr>
        <w:tc>
          <w:tcPr>
            <w:tcW w:w="6237" w:type="dxa"/>
            <w:tcBorders>
              <w:top w:val="single" w:sz="4" w:space="0" w:color="A6A6A6" w:themeColor="background1" w:themeShade="A6"/>
              <w:bottom w:val="single" w:sz="4" w:space="0" w:color="A6A6A6" w:themeColor="background1" w:themeShade="A6"/>
            </w:tcBorders>
          </w:tcPr>
          <w:p w14:paraId="15CCA7DB" w14:textId="77777777" w:rsidR="00FA7EBF" w:rsidRPr="007939DD" w:rsidRDefault="00FA7EBF" w:rsidP="007B207C">
            <w:pPr>
              <w:pStyle w:val="ARfintablebody"/>
              <w:rPr>
                <w:lang w:eastAsia="en-AU"/>
              </w:rPr>
            </w:pPr>
            <w:r w:rsidRPr="00B64D8B">
              <w:t>Cash and deposits</w:t>
            </w:r>
          </w:p>
        </w:tc>
        <w:tc>
          <w:tcPr>
            <w:tcW w:w="1701" w:type="dxa"/>
            <w:tcBorders>
              <w:top w:val="single" w:sz="4" w:space="0" w:color="A6A6A6" w:themeColor="background1" w:themeShade="A6"/>
              <w:bottom w:val="single" w:sz="4" w:space="0" w:color="A6A6A6" w:themeColor="background1" w:themeShade="A6"/>
            </w:tcBorders>
          </w:tcPr>
          <w:p w14:paraId="675027A4" w14:textId="77777777" w:rsidR="00FA7EBF" w:rsidRPr="007939DD" w:rsidRDefault="00FA7EBF" w:rsidP="007B207C">
            <w:pPr>
              <w:pStyle w:val="ARfintablebodyright"/>
              <w:rPr>
                <w:lang w:eastAsia="en-AU"/>
              </w:rPr>
            </w:pPr>
            <w:r w:rsidRPr="00B64D8B">
              <w:t>–</w:t>
            </w:r>
          </w:p>
        </w:tc>
        <w:tc>
          <w:tcPr>
            <w:tcW w:w="1701" w:type="dxa"/>
            <w:tcBorders>
              <w:top w:val="single" w:sz="4" w:space="0" w:color="A6A6A6" w:themeColor="background1" w:themeShade="A6"/>
              <w:bottom w:val="single" w:sz="4" w:space="0" w:color="A6A6A6" w:themeColor="background1" w:themeShade="A6"/>
            </w:tcBorders>
          </w:tcPr>
          <w:p w14:paraId="090DA96E" w14:textId="77777777" w:rsidR="00FA7EBF" w:rsidRPr="007939DD" w:rsidRDefault="00FA7EBF" w:rsidP="007B207C">
            <w:pPr>
              <w:pStyle w:val="ARfintablebodyright"/>
              <w:rPr>
                <w:lang w:eastAsia="en-AU"/>
              </w:rPr>
            </w:pPr>
            <w:r w:rsidRPr="00B64D8B">
              <w:t>–</w:t>
            </w:r>
          </w:p>
        </w:tc>
      </w:tr>
      <w:tr w:rsidR="00FA7EBF" w:rsidRPr="007939DD" w14:paraId="3147F7D4" w14:textId="77777777" w:rsidTr="007B207C">
        <w:trPr>
          <w:cantSplit/>
        </w:trPr>
        <w:tc>
          <w:tcPr>
            <w:tcW w:w="6237" w:type="dxa"/>
            <w:tcBorders>
              <w:top w:val="single" w:sz="4" w:space="0" w:color="A6A6A6" w:themeColor="background1" w:themeShade="A6"/>
              <w:bottom w:val="single" w:sz="4" w:space="0" w:color="A6A6A6" w:themeColor="background1" w:themeShade="A6"/>
            </w:tcBorders>
          </w:tcPr>
          <w:p w14:paraId="124D1D12" w14:textId="77777777" w:rsidR="00FA7EBF" w:rsidRPr="007939DD" w:rsidRDefault="00FA7EBF" w:rsidP="007B207C">
            <w:pPr>
              <w:pStyle w:val="ARfintablebody"/>
              <w:rPr>
                <w:lang w:eastAsia="en-AU"/>
              </w:rPr>
            </w:pPr>
            <w:r w:rsidRPr="00B64D8B">
              <w:t xml:space="preserve">Receivables </w:t>
            </w:r>
            <w:r w:rsidRPr="00F240C8">
              <w:rPr>
                <w:rStyle w:val="Superscript"/>
              </w:rPr>
              <w:t>(i)</w:t>
            </w:r>
          </w:p>
        </w:tc>
        <w:tc>
          <w:tcPr>
            <w:tcW w:w="1701" w:type="dxa"/>
            <w:tcBorders>
              <w:top w:val="single" w:sz="4" w:space="0" w:color="A6A6A6" w:themeColor="background1" w:themeShade="A6"/>
              <w:bottom w:val="single" w:sz="4" w:space="0" w:color="A6A6A6" w:themeColor="background1" w:themeShade="A6"/>
            </w:tcBorders>
          </w:tcPr>
          <w:p w14:paraId="3360EBB8" w14:textId="77777777" w:rsidR="00FA7EBF" w:rsidRPr="007939DD" w:rsidRDefault="00FA7EBF" w:rsidP="007B207C">
            <w:pPr>
              <w:pStyle w:val="ARfintablebodyright"/>
              <w:rPr>
                <w:lang w:eastAsia="en-AU"/>
              </w:rPr>
            </w:pPr>
            <w:r w:rsidRPr="00B64D8B">
              <w:t>–</w:t>
            </w:r>
          </w:p>
        </w:tc>
        <w:tc>
          <w:tcPr>
            <w:tcW w:w="1701" w:type="dxa"/>
            <w:tcBorders>
              <w:top w:val="single" w:sz="4" w:space="0" w:color="A6A6A6" w:themeColor="background1" w:themeShade="A6"/>
              <w:bottom w:val="single" w:sz="4" w:space="0" w:color="A6A6A6" w:themeColor="background1" w:themeShade="A6"/>
            </w:tcBorders>
          </w:tcPr>
          <w:p w14:paraId="283FC3D1" w14:textId="77777777" w:rsidR="00FA7EBF" w:rsidRPr="007939DD" w:rsidRDefault="00FA7EBF" w:rsidP="007B207C">
            <w:pPr>
              <w:pStyle w:val="ARfintablebodyright"/>
              <w:rPr>
                <w:lang w:eastAsia="en-AU"/>
              </w:rPr>
            </w:pPr>
            <w:r w:rsidRPr="00B64D8B">
              <w:t>–</w:t>
            </w:r>
          </w:p>
        </w:tc>
      </w:tr>
      <w:tr w:rsidR="00FA7EBF" w:rsidRPr="007939DD" w14:paraId="280098D8" w14:textId="77777777" w:rsidTr="007B207C">
        <w:trPr>
          <w:cantSplit/>
        </w:trPr>
        <w:tc>
          <w:tcPr>
            <w:tcW w:w="6237" w:type="dxa"/>
            <w:tcBorders>
              <w:top w:val="single" w:sz="4" w:space="0" w:color="A6A6A6" w:themeColor="background1" w:themeShade="A6"/>
              <w:bottom w:val="single" w:sz="4" w:space="0" w:color="A6A6A6" w:themeColor="background1" w:themeShade="A6"/>
            </w:tcBorders>
          </w:tcPr>
          <w:p w14:paraId="30FB3DC2" w14:textId="77777777" w:rsidR="00FA7EBF" w:rsidRPr="007939DD" w:rsidRDefault="00FA7EBF" w:rsidP="007B207C">
            <w:pPr>
              <w:pStyle w:val="ARfintablebody"/>
              <w:rPr>
                <w:lang w:eastAsia="en-AU"/>
              </w:rPr>
            </w:pPr>
            <w:r w:rsidRPr="00B64D8B">
              <w:t>Loans</w:t>
            </w:r>
          </w:p>
        </w:tc>
        <w:tc>
          <w:tcPr>
            <w:tcW w:w="1701" w:type="dxa"/>
            <w:tcBorders>
              <w:top w:val="single" w:sz="4" w:space="0" w:color="A6A6A6" w:themeColor="background1" w:themeShade="A6"/>
              <w:bottom w:val="single" w:sz="4" w:space="0" w:color="A6A6A6" w:themeColor="background1" w:themeShade="A6"/>
            </w:tcBorders>
          </w:tcPr>
          <w:p w14:paraId="317D08BB" w14:textId="77777777" w:rsidR="00FA7EBF" w:rsidRPr="007939DD" w:rsidRDefault="00FA7EBF" w:rsidP="007B207C">
            <w:pPr>
              <w:pStyle w:val="ARfintablebodyright"/>
              <w:rPr>
                <w:lang w:eastAsia="en-AU"/>
              </w:rPr>
            </w:pPr>
            <w:r w:rsidRPr="00B64D8B">
              <w:t>0.6</w:t>
            </w:r>
          </w:p>
        </w:tc>
        <w:tc>
          <w:tcPr>
            <w:tcW w:w="1701" w:type="dxa"/>
            <w:tcBorders>
              <w:top w:val="single" w:sz="4" w:space="0" w:color="A6A6A6" w:themeColor="background1" w:themeShade="A6"/>
              <w:bottom w:val="single" w:sz="4" w:space="0" w:color="A6A6A6" w:themeColor="background1" w:themeShade="A6"/>
            </w:tcBorders>
          </w:tcPr>
          <w:p w14:paraId="24C4ABD4" w14:textId="77777777" w:rsidR="00FA7EBF" w:rsidRPr="007939DD" w:rsidRDefault="00FA7EBF" w:rsidP="007B207C">
            <w:pPr>
              <w:pStyle w:val="ARfintablebodyright"/>
              <w:rPr>
                <w:lang w:eastAsia="en-AU"/>
              </w:rPr>
            </w:pPr>
            <w:r w:rsidRPr="00B64D8B">
              <w:t>0.6</w:t>
            </w:r>
          </w:p>
        </w:tc>
      </w:tr>
      <w:tr w:rsidR="00FA7EBF" w:rsidRPr="007939DD" w14:paraId="7BD2D35A" w14:textId="77777777" w:rsidTr="007B207C">
        <w:trPr>
          <w:cantSplit/>
        </w:trPr>
        <w:tc>
          <w:tcPr>
            <w:tcW w:w="6237" w:type="dxa"/>
            <w:tcBorders>
              <w:top w:val="single" w:sz="4" w:space="0" w:color="A6A6A6" w:themeColor="background1" w:themeShade="A6"/>
            </w:tcBorders>
          </w:tcPr>
          <w:p w14:paraId="39F44C1E" w14:textId="77777777" w:rsidR="00FA7EBF" w:rsidRPr="007939DD" w:rsidRDefault="00FA7EBF" w:rsidP="007B207C">
            <w:pPr>
              <w:pStyle w:val="ARfintablebody"/>
              <w:rPr>
                <w:lang w:eastAsia="en-AU"/>
              </w:rPr>
            </w:pPr>
            <w:r w:rsidRPr="00B64D8B">
              <w:t>Short-term investments –</w:t>
            </w:r>
            <w:r>
              <w:t xml:space="preserve"> t</w:t>
            </w:r>
            <w:r w:rsidRPr="00B64D8B">
              <w:t xml:space="preserve">erm </w:t>
            </w:r>
            <w:r>
              <w:t>d</w:t>
            </w:r>
            <w:r w:rsidRPr="00B64D8B">
              <w:t>eposits</w:t>
            </w:r>
          </w:p>
        </w:tc>
        <w:tc>
          <w:tcPr>
            <w:tcW w:w="1701" w:type="dxa"/>
            <w:tcBorders>
              <w:top w:val="single" w:sz="4" w:space="0" w:color="A6A6A6" w:themeColor="background1" w:themeShade="A6"/>
            </w:tcBorders>
          </w:tcPr>
          <w:p w14:paraId="6C18F6D5" w14:textId="77777777" w:rsidR="00FA7EBF" w:rsidRPr="007939DD" w:rsidRDefault="00FA7EBF" w:rsidP="007B207C">
            <w:pPr>
              <w:pStyle w:val="ARfintablebodyright"/>
              <w:rPr>
                <w:lang w:eastAsia="en-AU"/>
              </w:rPr>
            </w:pPr>
            <w:r w:rsidRPr="00B64D8B">
              <w:t>12.6</w:t>
            </w:r>
          </w:p>
        </w:tc>
        <w:tc>
          <w:tcPr>
            <w:tcW w:w="1701" w:type="dxa"/>
            <w:tcBorders>
              <w:top w:val="single" w:sz="4" w:space="0" w:color="A6A6A6" w:themeColor="background1" w:themeShade="A6"/>
            </w:tcBorders>
          </w:tcPr>
          <w:p w14:paraId="14C244B7" w14:textId="77777777" w:rsidR="00FA7EBF" w:rsidRPr="007939DD" w:rsidRDefault="00FA7EBF" w:rsidP="007B207C">
            <w:pPr>
              <w:pStyle w:val="ARfintablebodyright"/>
              <w:rPr>
                <w:lang w:eastAsia="en-AU"/>
              </w:rPr>
            </w:pPr>
            <w:r w:rsidRPr="00B64D8B">
              <w:t>12.6</w:t>
            </w:r>
          </w:p>
        </w:tc>
      </w:tr>
      <w:tr w:rsidR="00FA7EBF" w:rsidRPr="007939DD" w14:paraId="2361058C" w14:textId="77777777" w:rsidTr="007B207C">
        <w:trPr>
          <w:cantSplit/>
        </w:trPr>
        <w:tc>
          <w:tcPr>
            <w:tcW w:w="6237" w:type="dxa"/>
          </w:tcPr>
          <w:p w14:paraId="620330B5" w14:textId="77777777" w:rsidR="00FA7EBF" w:rsidRPr="007939DD" w:rsidRDefault="00FA7EBF" w:rsidP="007B207C">
            <w:pPr>
              <w:pStyle w:val="ARfintablebodybold"/>
              <w:rPr>
                <w:rStyle w:val="Strong"/>
                <w:bCs/>
              </w:rPr>
            </w:pPr>
            <w:r w:rsidRPr="00B64D8B">
              <w:t>Total contractual financial assets</w:t>
            </w:r>
          </w:p>
        </w:tc>
        <w:tc>
          <w:tcPr>
            <w:tcW w:w="1701" w:type="dxa"/>
          </w:tcPr>
          <w:p w14:paraId="2F708A43" w14:textId="77777777" w:rsidR="00FA7EBF" w:rsidRPr="007939DD" w:rsidRDefault="00FA7EBF" w:rsidP="007B207C">
            <w:pPr>
              <w:pStyle w:val="ARfintablebodyrightbold"/>
              <w:rPr>
                <w:lang w:eastAsia="en-AU"/>
              </w:rPr>
            </w:pPr>
            <w:r w:rsidRPr="00B64D8B">
              <w:t>13.2</w:t>
            </w:r>
          </w:p>
        </w:tc>
        <w:tc>
          <w:tcPr>
            <w:tcW w:w="1701" w:type="dxa"/>
          </w:tcPr>
          <w:p w14:paraId="0B750582" w14:textId="77777777" w:rsidR="00FA7EBF" w:rsidRPr="007939DD" w:rsidRDefault="00FA7EBF" w:rsidP="007B207C">
            <w:pPr>
              <w:pStyle w:val="ARfintablebodyrightbold"/>
              <w:rPr>
                <w:rStyle w:val="Strong"/>
                <w:bCs w:val="0"/>
              </w:rPr>
            </w:pPr>
            <w:r w:rsidRPr="00B64D8B">
              <w:t>13.2</w:t>
            </w:r>
          </w:p>
        </w:tc>
      </w:tr>
      <w:tr w:rsidR="00FA7EBF" w:rsidRPr="007939DD" w14:paraId="1E8578AD" w14:textId="77777777" w:rsidTr="007B207C">
        <w:trPr>
          <w:cantSplit/>
        </w:trPr>
        <w:tc>
          <w:tcPr>
            <w:tcW w:w="9639" w:type="dxa"/>
            <w:gridSpan w:val="3"/>
            <w:tcBorders>
              <w:bottom w:val="single" w:sz="4" w:space="0" w:color="A6A6A6" w:themeColor="background1" w:themeShade="A6"/>
            </w:tcBorders>
          </w:tcPr>
          <w:p w14:paraId="5C1EA3F9" w14:textId="77777777" w:rsidR="00FA7EBF" w:rsidRPr="007939DD" w:rsidRDefault="00FA7EBF" w:rsidP="007B207C">
            <w:pPr>
              <w:pStyle w:val="ARfintablebodybold"/>
              <w:rPr>
                <w:lang w:eastAsia="en-AU"/>
              </w:rPr>
            </w:pPr>
            <w:r w:rsidRPr="00B64D8B">
              <w:t>Contractual financial liabilities</w:t>
            </w:r>
          </w:p>
        </w:tc>
      </w:tr>
      <w:tr w:rsidR="00FA7EBF" w:rsidRPr="007939DD" w14:paraId="38E4D856" w14:textId="77777777" w:rsidTr="007B207C">
        <w:trPr>
          <w:cantSplit/>
        </w:trPr>
        <w:tc>
          <w:tcPr>
            <w:tcW w:w="6237" w:type="dxa"/>
            <w:tcBorders>
              <w:top w:val="single" w:sz="4" w:space="0" w:color="A6A6A6" w:themeColor="background1" w:themeShade="A6"/>
              <w:bottom w:val="single" w:sz="4" w:space="0" w:color="A6A6A6" w:themeColor="background1" w:themeShade="A6"/>
            </w:tcBorders>
          </w:tcPr>
          <w:p w14:paraId="017349F0" w14:textId="77777777" w:rsidR="00FA7EBF" w:rsidRPr="007939DD" w:rsidRDefault="00FA7EBF" w:rsidP="007B207C">
            <w:pPr>
              <w:pStyle w:val="ARfintablebody"/>
              <w:rPr>
                <w:lang w:eastAsia="en-AU"/>
              </w:rPr>
            </w:pPr>
            <w:r w:rsidRPr="00B64D8B">
              <w:t xml:space="preserve">Payables </w:t>
            </w:r>
            <w:r w:rsidRPr="00F240C8">
              <w:rPr>
                <w:rStyle w:val="Superscript"/>
              </w:rPr>
              <w:t>(i)</w:t>
            </w:r>
          </w:p>
        </w:tc>
        <w:tc>
          <w:tcPr>
            <w:tcW w:w="1701" w:type="dxa"/>
            <w:tcBorders>
              <w:top w:val="single" w:sz="4" w:space="0" w:color="A6A6A6" w:themeColor="background1" w:themeShade="A6"/>
              <w:bottom w:val="single" w:sz="4" w:space="0" w:color="A6A6A6" w:themeColor="background1" w:themeShade="A6"/>
            </w:tcBorders>
          </w:tcPr>
          <w:p w14:paraId="3EE81B6F" w14:textId="77777777" w:rsidR="00FA7EBF" w:rsidRPr="007939DD" w:rsidRDefault="00FA7EBF" w:rsidP="007B207C">
            <w:pPr>
              <w:pStyle w:val="ARfintablebodyright"/>
              <w:rPr>
                <w:lang w:eastAsia="en-AU"/>
              </w:rPr>
            </w:pPr>
            <w:r w:rsidRPr="00B64D8B">
              <w:t>–</w:t>
            </w:r>
          </w:p>
        </w:tc>
        <w:tc>
          <w:tcPr>
            <w:tcW w:w="1701" w:type="dxa"/>
            <w:tcBorders>
              <w:top w:val="single" w:sz="4" w:space="0" w:color="A6A6A6" w:themeColor="background1" w:themeShade="A6"/>
              <w:bottom w:val="single" w:sz="4" w:space="0" w:color="A6A6A6" w:themeColor="background1" w:themeShade="A6"/>
            </w:tcBorders>
          </w:tcPr>
          <w:p w14:paraId="69714159" w14:textId="77777777" w:rsidR="00FA7EBF" w:rsidRPr="007939DD" w:rsidRDefault="00FA7EBF" w:rsidP="007B207C">
            <w:pPr>
              <w:pStyle w:val="ARfintablebodyright"/>
              <w:rPr>
                <w:lang w:eastAsia="en-AU"/>
              </w:rPr>
            </w:pPr>
            <w:r w:rsidRPr="00B64D8B">
              <w:t>–</w:t>
            </w:r>
          </w:p>
        </w:tc>
      </w:tr>
      <w:tr w:rsidR="00FA7EBF" w:rsidRPr="007939DD" w14:paraId="58C9DD99" w14:textId="77777777" w:rsidTr="007B207C">
        <w:trPr>
          <w:cantSplit/>
        </w:trPr>
        <w:tc>
          <w:tcPr>
            <w:tcW w:w="6237" w:type="dxa"/>
            <w:tcBorders>
              <w:top w:val="single" w:sz="4" w:space="0" w:color="A6A6A6" w:themeColor="background1" w:themeShade="A6"/>
            </w:tcBorders>
          </w:tcPr>
          <w:p w14:paraId="3E4C2F63" w14:textId="77777777" w:rsidR="00FA7EBF" w:rsidRPr="007939DD" w:rsidRDefault="00FA7EBF" w:rsidP="007B207C">
            <w:pPr>
              <w:pStyle w:val="ARfintablebody"/>
              <w:rPr>
                <w:lang w:eastAsia="en-AU"/>
              </w:rPr>
            </w:pPr>
            <w:r w:rsidRPr="00B64D8B">
              <w:t>Borrowings</w:t>
            </w:r>
          </w:p>
        </w:tc>
        <w:tc>
          <w:tcPr>
            <w:tcW w:w="1701" w:type="dxa"/>
            <w:tcBorders>
              <w:top w:val="single" w:sz="4" w:space="0" w:color="A6A6A6" w:themeColor="background1" w:themeShade="A6"/>
            </w:tcBorders>
          </w:tcPr>
          <w:p w14:paraId="0BC2C222" w14:textId="77777777" w:rsidR="00FA7EBF" w:rsidRPr="007939DD" w:rsidRDefault="00FA7EBF" w:rsidP="007B207C">
            <w:pPr>
              <w:pStyle w:val="ARfintablebodyright"/>
              <w:rPr>
                <w:lang w:eastAsia="en-AU"/>
              </w:rPr>
            </w:pPr>
            <w:r w:rsidRPr="00B64D8B">
              <w:t>(0.6)</w:t>
            </w:r>
          </w:p>
        </w:tc>
        <w:tc>
          <w:tcPr>
            <w:tcW w:w="1701" w:type="dxa"/>
            <w:tcBorders>
              <w:top w:val="single" w:sz="4" w:space="0" w:color="A6A6A6" w:themeColor="background1" w:themeShade="A6"/>
            </w:tcBorders>
          </w:tcPr>
          <w:p w14:paraId="499E4BAC" w14:textId="77777777" w:rsidR="00FA7EBF" w:rsidRPr="007939DD" w:rsidRDefault="00FA7EBF" w:rsidP="007B207C">
            <w:pPr>
              <w:pStyle w:val="ARfintablebodyright"/>
              <w:rPr>
                <w:lang w:eastAsia="en-AU"/>
              </w:rPr>
            </w:pPr>
            <w:r w:rsidRPr="00B64D8B">
              <w:t>(0.6)</w:t>
            </w:r>
          </w:p>
        </w:tc>
      </w:tr>
      <w:tr w:rsidR="00FA7EBF" w:rsidRPr="007939DD" w14:paraId="196AAD0D" w14:textId="77777777" w:rsidTr="007B207C">
        <w:trPr>
          <w:cantSplit/>
        </w:trPr>
        <w:tc>
          <w:tcPr>
            <w:tcW w:w="6237" w:type="dxa"/>
          </w:tcPr>
          <w:p w14:paraId="534727CC" w14:textId="77777777" w:rsidR="00FA7EBF" w:rsidRPr="007939DD" w:rsidRDefault="00FA7EBF" w:rsidP="007B207C">
            <w:pPr>
              <w:pStyle w:val="ARfintablebodybold"/>
              <w:rPr>
                <w:rStyle w:val="Strong"/>
                <w:bCs/>
              </w:rPr>
            </w:pPr>
            <w:r w:rsidRPr="00B64D8B">
              <w:t>Total contractual financial liabilities</w:t>
            </w:r>
          </w:p>
        </w:tc>
        <w:tc>
          <w:tcPr>
            <w:tcW w:w="1701" w:type="dxa"/>
          </w:tcPr>
          <w:p w14:paraId="6BCEA88E" w14:textId="77777777" w:rsidR="00FA7EBF" w:rsidRPr="007939DD" w:rsidRDefault="00FA7EBF" w:rsidP="007B207C">
            <w:pPr>
              <w:pStyle w:val="ARfintablebodyrightbold"/>
              <w:rPr>
                <w:lang w:eastAsia="en-AU"/>
              </w:rPr>
            </w:pPr>
            <w:r w:rsidRPr="00B64D8B">
              <w:t>(0.6)</w:t>
            </w:r>
          </w:p>
        </w:tc>
        <w:tc>
          <w:tcPr>
            <w:tcW w:w="1701" w:type="dxa"/>
          </w:tcPr>
          <w:p w14:paraId="72253B8E" w14:textId="77777777" w:rsidR="00FA7EBF" w:rsidRPr="007939DD" w:rsidRDefault="00FA7EBF" w:rsidP="007B207C">
            <w:pPr>
              <w:pStyle w:val="ARfintablebodyrightbold"/>
              <w:rPr>
                <w:rStyle w:val="Strong"/>
                <w:bCs w:val="0"/>
              </w:rPr>
            </w:pPr>
            <w:r w:rsidRPr="00B64D8B">
              <w:t>(0.6)</w:t>
            </w:r>
          </w:p>
        </w:tc>
      </w:tr>
      <w:tr w:rsidR="00FA7EBF" w:rsidRPr="007939DD" w14:paraId="66884D8F" w14:textId="77777777" w:rsidTr="007B207C">
        <w:trPr>
          <w:cantSplit/>
        </w:trPr>
        <w:tc>
          <w:tcPr>
            <w:tcW w:w="9639" w:type="dxa"/>
            <w:gridSpan w:val="3"/>
          </w:tcPr>
          <w:p w14:paraId="2C7D85F2" w14:textId="77777777" w:rsidR="00FA7EBF" w:rsidRPr="007939DD" w:rsidRDefault="00FA7EBF" w:rsidP="007B207C">
            <w:pPr>
              <w:pStyle w:val="ARfintablebodybold"/>
              <w:rPr>
                <w:rStyle w:val="Strong"/>
                <w:bCs/>
              </w:rPr>
            </w:pPr>
            <w:r w:rsidRPr="00B64D8B">
              <w:t>2018</w:t>
            </w:r>
          </w:p>
        </w:tc>
      </w:tr>
      <w:tr w:rsidR="00FA7EBF" w:rsidRPr="007939DD" w14:paraId="23DDC1D9" w14:textId="77777777" w:rsidTr="007B207C">
        <w:trPr>
          <w:cantSplit/>
        </w:trPr>
        <w:tc>
          <w:tcPr>
            <w:tcW w:w="9639" w:type="dxa"/>
            <w:gridSpan w:val="3"/>
            <w:tcBorders>
              <w:bottom w:val="single" w:sz="4" w:space="0" w:color="A6A6A6" w:themeColor="background1" w:themeShade="A6"/>
            </w:tcBorders>
          </w:tcPr>
          <w:p w14:paraId="16144D14" w14:textId="77777777" w:rsidR="00FA7EBF" w:rsidRPr="007939DD" w:rsidRDefault="00FA7EBF" w:rsidP="007B207C">
            <w:pPr>
              <w:pStyle w:val="ARfintablebodybold"/>
              <w:rPr>
                <w:lang w:eastAsia="en-AU"/>
              </w:rPr>
            </w:pPr>
            <w:r w:rsidRPr="00B64D8B">
              <w:t>Contractual financial assets</w:t>
            </w:r>
          </w:p>
        </w:tc>
      </w:tr>
      <w:tr w:rsidR="00FA7EBF" w:rsidRPr="007939DD" w14:paraId="627F24AB" w14:textId="77777777" w:rsidTr="007B207C">
        <w:trPr>
          <w:cantSplit/>
        </w:trPr>
        <w:tc>
          <w:tcPr>
            <w:tcW w:w="6237" w:type="dxa"/>
            <w:tcBorders>
              <w:top w:val="single" w:sz="4" w:space="0" w:color="A6A6A6" w:themeColor="background1" w:themeShade="A6"/>
              <w:bottom w:val="single" w:sz="4" w:space="0" w:color="A6A6A6" w:themeColor="background1" w:themeShade="A6"/>
            </w:tcBorders>
          </w:tcPr>
          <w:p w14:paraId="0D62638C" w14:textId="77777777" w:rsidR="00FA7EBF" w:rsidRPr="007939DD" w:rsidRDefault="00FA7EBF" w:rsidP="007B207C">
            <w:pPr>
              <w:pStyle w:val="ARfintablebody"/>
              <w:rPr>
                <w:lang w:eastAsia="en-AU"/>
              </w:rPr>
            </w:pPr>
            <w:r w:rsidRPr="00B64D8B">
              <w:t>Cash and deposits</w:t>
            </w:r>
          </w:p>
        </w:tc>
        <w:tc>
          <w:tcPr>
            <w:tcW w:w="1701" w:type="dxa"/>
            <w:tcBorders>
              <w:top w:val="single" w:sz="4" w:space="0" w:color="A6A6A6" w:themeColor="background1" w:themeShade="A6"/>
              <w:bottom w:val="single" w:sz="4" w:space="0" w:color="A6A6A6" w:themeColor="background1" w:themeShade="A6"/>
            </w:tcBorders>
          </w:tcPr>
          <w:p w14:paraId="1291B0CD" w14:textId="77777777" w:rsidR="00FA7EBF" w:rsidRPr="007939DD" w:rsidRDefault="00FA7EBF" w:rsidP="007B207C">
            <w:pPr>
              <w:pStyle w:val="ARfintablebodyright"/>
              <w:rPr>
                <w:lang w:eastAsia="en-AU"/>
              </w:rPr>
            </w:pPr>
            <w:r w:rsidRPr="00B64D8B">
              <w:t>–</w:t>
            </w:r>
          </w:p>
        </w:tc>
        <w:tc>
          <w:tcPr>
            <w:tcW w:w="1701" w:type="dxa"/>
            <w:tcBorders>
              <w:top w:val="single" w:sz="4" w:space="0" w:color="A6A6A6" w:themeColor="background1" w:themeShade="A6"/>
              <w:bottom w:val="single" w:sz="4" w:space="0" w:color="A6A6A6" w:themeColor="background1" w:themeShade="A6"/>
            </w:tcBorders>
          </w:tcPr>
          <w:p w14:paraId="7A387220" w14:textId="77777777" w:rsidR="00FA7EBF" w:rsidRPr="007939DD" w:rsidRDefault="00FA7EBF" w:rsidP="007B207C">
            <w:pPr>
              <w:pStyle w:val="ARfintablebodyright"/>
              <w:rPr>
                <w:lang w:eastAsia="en-AU"/>
              </w:rPr>
            </w:pPr>
            <w:r w:rsidRPr="00B64D8B">
              <w:t>–</w:t>
            </w:r>
          </w:p>
        </w:tc>
      </w:tr>
      <w:tr w:rsidR="00FA7EBF" w:rsidRPr="007939DD" w14:paraId="560F85AE" w14:textId="77777777" w:rsidTr="007B207C">
        <w:trPr>
          <w:cantSplit/>
        </w:trPr>
        <w:tc>
          <w:tcPr>
            <w:tcW w:w="6237" w:type="dxa"/>
            <w:tcBorders>
              <w:top w:val="single" w:sz="4" w:space="0" w:color="A6A6A6" w:themeColor="background1" w:themeShade="A6"/>
              <w:bottom w:val="single" w:sz="4" w:space="0" w:color="A6A6A6" w:themeColor="background1" w:themeShade="A6"/>
            </w:tcBorders>
          </w:tcPr>
          <w:p w14:paraId="42AE9574" w14:textId="77777777" w:rsidR="00FA7EBF" w:rsidRPr="007939DD" w:rsidRDefault="00FA7EBF" w:rsidP="007B207C">
            <w:pPr>
              <w:pStyle w:val="ARfintablebody"/>
              <w:rPr>
                <w:lang w:eastAsia="en-AU"/>
              </w:rPr>
            </w:pPr>
            <w:r w:rsidRPr="00B64D8B">
              <w:t xml:space="preserve">Receivables </w:t>
            </w:r>
            <w:r w:rsidRPr="00F240C8">
              <w:rPr>
                <w:rStyle w:val="Superscript"/>
              </w:rPr>
              <w:t>(i)</w:t>
            </w:r>
          </w:p>
        </w:tc>
        <w:tc>
          <w:tcPr>
            <w:tcW w:w="1701" w:type="dxa"/>
            <w:tcBorders>
              <w:top w:val="single" w:sz="4" w:space="0" w:color="A6A6A6" w:themeColor="background1" w:themeShade="A6"/>
              <w:bottom w:val="single" w:sz="4" w:space="0" w:color="A6A6A6" w:themeColor="background1" w:themeShade="A6"/>
            </w:tcBorders>
          </w:tcPr>
          <w:p w14:paraId="3EA85B1B" w14:textId="77777777" w:rsidR="00FA7EBF" w:rsidRPr="007939DD" w:rsidRDefault="00FA7EBF" w:rsidP="007B207C">
            <w:pPr>
              <w:pStyle w:val="ARfintablebodyright"/>
              <w:rPr>
                <w:lang w:eastAsia="en-AU"/>
              </w:rPr>
            </w:pPr>
            <w:r w:rsidRPr="00B64D8B">
              <w:t>–</w:t>
            </w:r>
          </w:p>
        </w:tc>
        <w:tc>
          <w:tcPr>
            <w:tcW w:w="1701" w:type="dxa"/>
            <w:tcBorders>
              <w:top w:val="single" w:sz="4" w:space="0" w:color="A6A6A6" w:themeColor="background1" w:themeShade="A6"/>
              <w:bottom w:val="single" w:sz="4" w:space="0" w:color="A6A6A6" w:themeColor="background1" w:themeShade="A6"/>
            </w:tcBorders>
          </w:tcPr>
          <w:p w14:paraId="5BBBFE16" w14:textId="77777777" w:rsidR="00FA7EBF" w:rsidRPr="007939DD" w:rsidRDefault="00FA7EBF" w:rsidP="007B207C">
            <w:pPr>
              <w:pStyle w:val="ARfintablebodyright"/>
              <w:rPr>
                <w:lang w:eastAsia="en-AU"/>
              </w:rPr>
            </w:pPr>
            <w:r w:rsidRPr="00B64D8B">
              <w:t>–</w:t>
            </w:r>
          </w:p>
        </w:tc>
      </w:tr>
      <w:tr w:rsidR="00FA7EBF" w:rsidRPr="007939DD" w14:paraId="633048E5" w14:textId="77777777" w:rsidTr="007B207C">
        <w:trPr>
          <w:cantSplit/>
        </w:trPr>
        <w:tc>
          <w:tcPr>
            <w:tcW w:w="6237" w:type="dxa"/>
            <w:tcBorders>
              <w:top w:val="single" w:sz="4" w:space="0" w:color="A6A6A6" w:themeColor="background1" w:themeShade="A6"/>
              <w:bottom w:val="single" w:sz="4" w:space="0" w:color="A6A6A6" w:themeColor="background1" w:themeShade="A6"/>
            </w:tcBorders>
          </w:tcPr>
          <w:p w14:paraId="2C884F6F" w14:textId="77777777" w:rsidR="00FA7EBF" w:rsidRPr="007939DD" w:rsidRDefault="00FA7EBF" w:rsidP="007B207C">
            <w:pPr>
              <w:pStyle w:val="ARfintablebody"/>
              <w:rPr>
                <w:lang w:eastAsia="en-AU"/>
              </w:rPr>
            </w:pPr>
            <w:r w:rsidRPr="00B64D8B">
              <w:t xml:space="preserve">Loans </w:t>
            </w:r>
          </w:p>
        </w:tc>
        <w:tc>
          <w:tcPr>
            <w:tcW w:w="1701" w:type="dxa"/>
            <w:tcBorders>
              <w:top w:val="single" w:sz="4" w:space="0" w:color="A6A6A6" w:themeColor="background1" w:themeShade="A6"/>
              <w:bottom w:val="single" w:sz="4" w:space="0" w:color="A6A6A6" w:themeColor="background1" w:themeShade="A6"/>
            </w:tcBorders>
          </w:tcPr>
          <w:p w14:paraId="045C2C65" w14:textId="77777777" w:rsidR="00FA7EBF" w:rsidRPr="007939DD" w:rsidRDefault="00FA7EBF" w:rsidP="007B207C">
            <w:pPr>
              <w:pStyle w:val="ARfintablebodyright"/>
              <w:rPr>
                <w:lang w:eastAsia="en-AU"/>
              </w:rPr>
            </w:pPr>
            <w:r w:rsidRPr="00B64D8B">
              <w:t>0.8</w:t>
            </w:r>
          </w:p>
        </w:tc>
        <w:tc>
          <w:tcPr>
            <w:tcW w:w="1701" w:type="dxa"/>
            <w:tcBorders>
              <w:top w:val="single" w:sz="4" w:space="0" w:color="A6A6A6" w:themeColor="background1" w:themeShade="A6"/>
              <w:bottom w:val="single" w:sz="4" w:space="0" w:color="A6A6A6" w:themeColor="background1" w:themeShade="A6"/>
            </w:tcBorders>
          </w:tcPr>
          <w:p w14:paraId="5F1FD4B7" w14:textId="77777777" w:rsidR="00FA7EBF" w:rsidRPr="007939DD" w:rsidRDefault="00FA7EBF" w:rsidP="007B207C">
            <w:pPr>
              <w:pStyle w:val="ARfintablebodyright"/>
              <w:rPr>
                <w:lang w:eastAsia="en-AU"/>
              </w:rPr>
            </w:pPr>
            <w:r w:rsidRPr="00B64D8B">
              <w:t>0.8</w:t>
            </w:r>
          </w:p>
        </w:tc>
      </w:tr>
      <w:tr w:rsidR="00FA7EBF" w:rsidRPr="007939DD" w14:paraId="2DF7FDA2" w14:textId="77777777" w:rsidTr="007B207C">
        <w:trPr>
          <w:cantSplit/>
        </w:trPr>
        <w:tc>
          <w:tcPr>
            <w:tcW w:w="6237" w:type="dxa"/>
            <w:tcBorders>
              <w:top w:val="single" w:sz="4" w:space="0" w:color="A6A6A6" w:themeColor="background1" w:themeShade="A6"/>
            </w:tcBorders>
          </w:tcPr>
          <w:p w14:paraId="4E695FEB" w14:textId="77777777" w:rsidR="00FA7EBF" w:rsidRPr="007939DD" w:rsidRDefault="00FA7EBF" w:rsidP="007B207C">
            <w:pPr>
              <w:pStyle w:val="ARfintablebody"/>
              <w:rPr>
                <w:lang w:eastAsia="en-AU"/>
              </w:rPr>
            </w:pPr>
            <w:r w:rsidRPr="00B64D8B">
              <w:t>Short-term investments –</w:t>
            </w:r>
            <w:r>
              <w:t xml:space="preserve"> t</w:t>
            </w:r>
            <w:r w:rsidRPr="00B64D8B">
              <w:t xml:space="preserve">erm </w:t>
            </w:r>
            <w:r>
              <w:t>d</w:t>
            </w:r>
            <w:r w:rsidRPr="00B64D8B">
              <w:t>eposits</w:t>
            </w:r>
          </w:p>
        </w:tc>
        <w:tc>
          <w:tcPr>
            <w:tcW w:w="1701" w:type="dxa"/>
            <w:tcBorders>
              <w:top w:val="single" w:sz="4" w:space="0" w:color="A6A6A6" w:themeColor="background1" w:themeShade="A6"/>
            </w:tcBorders>
          </w:tcPr>
          <w:p w14:paraId="3B919556" w14:textId="77777777" w:rsidR="00FA7EBF" w:rsidRPr="007939DD" w:rsidRDefault="00FA7EBF" w:rsidP="007B207C">
            <w:pPr>
              <w:pStyle w:val="ARfintablebodyright"/>
              <w:rPr>
                <w:lang w:eastAsia="en-AU"/>
              </w:rPr>
            </w:pPr>
            <w:r w:rsidRPr="00B64D8B">
              <w:t>9.2</w:t>
            </w:r>
          </w:p>
        </w:tc>
        <w:tc>
          <w:tcPr>
            <w:tcW w:w="1701" w:type="dxa"/>
            <w:tcBorders>
              <w:top w:val="single" w:sz="4" w:space="0" w:color="A6A6A6" w:themeColor="background1" w:themeShade="A6"/>
            </w:tcBorders>
          </w:tcPr>
          <w:p w14:paraId="5B1ACB59" w14:textId="77777777" w:rsidR="00FA7EBF" w:rsidRPr="007939DD" w:rsidRDefault="00FA7EBF" w:rsidP="007B207C">
            <w:pPr>
              <w:pStyle w:val="ARfintablebodyright"/>
              <w:rPr>
                <w:lang w:eastAsia="en-AU"/>
              </w:rPr>
            </w:pPr>
            <w:r w:rsidRPr="00B64D8B">
              <w:t>9.2</w:t>
            </w:r>
          </w:p>
        </w:tc>
      </w:tr>
      <w:tr w:rsidR="00FA7EBF" w:rsidRPr="007939DD" w14:paraId="03BBA3D7" w14:textId="77777777" w:rsidTr="007B207C">
        <w:trPr>
          <w:cantSplit/>
        </w:trPr>
        <w:tc>
          <w:tcPr>
            <w:tcW w:w="6237" w:type="dxa"/>
          </w:tcPr>
          <w:p w14:paraId="1DCA03B3" w14:textId="77777777" w:rsidR="00FA7EBF" w:rsidRPr="007939DD" w:rsidRDefault="00FA7EBF" w:rsidP="007B207C">
            <w:pPr>
              <w:pStyle w:val="ARfintablebodybold"/>
              <w:rPr>
                <w:rStyle w:val="Strong"/>
                <w:bCs/>
              </w:rPr>
            </w:pPr>
            <w:r w:rsidRPr="00B64D8B">
              <w:t>Total contractual financial assets</w:t>
            </w:r>
          </w:p>
        </w:tc>
        <w:tc>
          <w:tcPr>
            <w:tcW w:w="1701" w:type="dxa"/>
          </w:tcPr>
          <w:p w14:paraId="69FCA751" w14:textId="77777777" w:rsidR="00FA7EBF" w:rsidRPr="007939DD" w:rsidRDefault="00FA7EBF" w:rsidP="007B207C">
            <w:pPr>
              <w:pStyle w:val="ARfintablebodyrightbold"/>
              <w:rPr>
                <w:lang w:eastAsia="en-AU"/>
              </w:rPr>
            </w:pPr>
            <w:r w:rsidRPr="00B64D8B">
              <w:t>10.0</w:t>
            </w:r>
          </w:p>
        </w:tc>
        <w:tc>
          <w:tcPr>
            <w:tcW w:w="1701" w:type="dxa"/>
          </w:tcPr>
          <w:p w14:paraId="1CABBE99" w14:textId="77777777" w:rsidR="00FA7EBF" w:rsidRPr="007939DD" w:rsidRDefault="00FA7EBF" w:rsidP="007B207C">
            <w:pPr>
              <w:pStyle w:val="ARfintablebodyrightbold"/>
              <w:rPr>
                <w:rStyle w:val="Strong"/>
                <w:bCs w:val="0"/>
              </w:rPr>
            </w:pPr>
            <w:r w:rsidRPr="00B64D8B">
              <w:t>10.0</w:t>
            </w:r>
          </w:p>
        </w:tc>
      </w:tr>
      <w:tr w:rsidR="00FA7EBF" w:rsidRPr="007939DD" w14:paraId="37DE015A" w14:textId="77777777" w:rsidTr="007B207C">
        <w:trPr>
          <w:cantSplit/>
        </w:trPr>
        <w:tc>
          <w:tcPr>
            <w:tcW w:w="9639" w:type="dxa"/>
            <w:gridSpan w:val="3"/>
            <w:tcBorders>
              <w:bottom w:val="single" w:sz="4" w:space="0" w:color="A6A6A6" w:themeColor="background1" w:themeShade="A6"/>
            </w:tcBorders>
          </w:tcPr>
          <w:p w14:paraId="508921AE" w14:textId="77777777" w:rsidR="00FA7EBF" w:rsidRPr="007939DD" w:rsidRDefault="00FA7EBF" w:rsidP="007B207C">
            <w:pPr>
              <w:pStyle w:val="ARfintablebodybold"/>
              <w:rPr>
                <w:lang w:eastAsia="en-AU"/>
              </w:rPr>
            </w:pPr>
            <w:r w:rsidRPr="00B64D8B">
              <w:t>Contractual financial liabilities</w:t>
            </w:r>
          </w:p>
        </w:tc>
      </w:tr>
      <w:tr w:rsidR="00FA7EBF" w:rsidRPr="007939DD" w14:paraId="13314212" w14:textId="77777777" w:rsidTr="007B207C">
        <w:trPr>
          <w:cantSplit/>
        </w:trPr>
        <w:tc>
          <w:tcPr>
            <w:tcW w:w="6237" w:type="dxa"/>
            <w:tcBorders>
              <w:top w:val="single" w:sz="4" w:space="0" w:color="A6A6A6" w:themeColor="background1" w:themeShade="A6"/>
              <w:bottom w:val="single" w:sz="4" w:space="0" w:color="A6A6A6" w:themeColor="background1" w:themeShade="A6"/>
            </w:tcBorders>
          </w:tcPr>
          <w:p w14:paraId="5AE6BE2C" w14:textId="77777777" w:rsidR="00FA7EBF" w:rsidRPr="007939DD" w:rsidRDefault="00FA7EBF" w:rsidP="007B207C">
            <w:pPr>
              <w:pStyle w:val="ARfintablebody"/>
              <w:rPr>
                <w:lang w:eastAsia="en-AU"/>
              </w:rPr>
            </w:pPr>
            <w:r w:rsidRPr="00B64D8B">
              <w:t xml:space="preserve">Payables </w:t>
            </w:r>
            <w:r w:rsidRPr="00F240C8">
              <w:rPr>
                <w:rStyle w:val="Superscript"/>
              </w:rPr>
              <w:t>(i)</w:t>
            </w:r>
          </w:p>
        </w:tc>
        <w:tc>
          <w:tcPr>
            <w:tcW w:w="1701" w:type="dxa"/>
            <w:tcBorders>
              <w:top w:val="single" w:sz="4" w:space="0" w:color="A6A6A6" w:themeColor="background1" w:themeShade="A6"/>
              <w:bottom w:val="single" w:sz="4" w:space="0" w:color="A6A6A6" w:themeColor="background1" w:themeShade="A6"/>
            </w:tcBorders>
          </w:tcPr>
          <w:p w14:paraId="611A8E13" w14:textId="77777777" w:rsidR="00FA7EBF" w:rsidRPr="007939DD" w:rsidRDefault="00FA7EBF" w:rsidP="007B207C">
            <w:pPr>
              <w:pStyle w:val="ARfintablebodyright"/>
              <w:rPr>
                <w:lang w:eastAsia="en-AU"/>
              </w:rPr>
            </w:pPr>
            <w:r w:rsidRPr="00B64D8B">
              <w:t>–</w:t>
            </w:r>
          </w:p>
        </w:tc>
        <w:tc>
          <w:tcPr>
            <w:tcW w:w="1701" w:type="dxa"/>
            <w:tcBorders>
              <w:top w:val="single" w:sz="4" w:space="0" w:color="A6A6A6" w:themeColor="background1" w:themeShade="A6"/>
              <w:bottom w:val="single" w:sz="4" w:space="0" w:color="A6A6A6" w:themeColor="background1" w:themeShade="A6"/>
            </w:tcBorders>
          </w:tcPr>
          <w:p w14:paraId="52C964EA" w14:textId="77777777" w:rsidR="00FA7EBF" w:rsidRPr="007939DD" w:rsidRDefault="00FA7EBF" w:rsidP="007B207C">
            <w:pPr>
              <w:pStyle w:val="ARfintablebodyright"/>
              <w:rPr>
                <w:lang w:eastAsia="en-AU"/>
              </w:rPr>
            </w:pPr>
            <w:r w:rsidRPr="00B64D8B">
              <w:t>–</w:t>
            </w:r>
          </w:p>
        </w:tc>
      </w:tr>
      <w:tr w:rsidR="00FA7EBF" w:rsidRPr="007939DD" w14:paraId="587619B9" w14:textId="77777777" w:rsidTr="007B207C">
        <w:trPr>
          <w:cantSplit/>
        </w:trPr>
        <w:tc>
          <w:tcPr>
            <w:tcW w:w="6237" w:type="dxa"/>
            <w:tcBorders>
              <w:top w:val="single" w:sz="4" w:space="0" w:color="A6A6A6" w:themeColor="background1" w:themeShade="A6"/>
            </w:tcBorders>
          </w:tcPr>
          <w:p w14:paraId="63C076F1" w14:textId="77777777" w:rsidR="00FA7EBF" w:rsidRPr="007939DD" w:rsidRDefault="00FA7EBF" w:rsidP="007B207C">
            <w:pPr>
              <w:pStyle w:val="ARfintablebody"/>
              <w:rPr>
                <w:lang w:eastAsia="en-AU"/>
              </w:rPr>
            </w:pPr>
            <w:r w:rsidRPr="00B64D8B">
              <w:t>Borrowings</w:t>
            </w:r>
          </w:p>
        </w:tc>
        <w:tc>
          <w:tcPr>
            <w:tcW w:w="1701" w:type="dxa"/>
            <w:tcBorders>
              <w:top w:val="single" w:sz="4" w:space="0" w:color="A6A6A6" w:themeColor="background1" w:themeShade="A6"/>
            </w:tcBorders>
          </w:tcPr>
          <w:p w14:paraId="699FE38D" w14:textId="77777777" w:rsidR="00FA7EBF" w:rsidRPr="007939DD" w:rsidRDefault="00FA7EBF" w:rsidP="007B207C">
            <w:pPr>
              <w:pStyle w:val="ARfintablebodyright"/>
              <w:rPr>
                <w:lang w:eastAsia="en-AU"/>
              </w:rPr>
            </w:pPr>
            <w:r w:rsidRPr="00B64D8B">
              <w:t>(0.8)</w:t>
            </w:r>
          </w:p>
        </w:tc>
        <w:tc>
          <w:tcPr>
            <w:tcW w:w="1701" w:type="dxa"/>
            <w:tcBorders>
              <w:top w:val="single" w:sz="4" w:space="0" w:color="A6A6A6" w:themeColor="background1" w:themeShade="A6"/>
            </w:tcBorders>
          </w:tcPr>
          <w:p w14:paraId="35E9768F" w14:textId="77777777" w:rsidR="00FA7EBF" w:rsidRPr="007939DD" w:rsidRDefault="00FA7EBF" w:rsidP="007B207C">
            <w:pPr>
              <w:pStyle w:val="ARfintablebodyright"/>
              <w:rPr>
                <w:lang w:eastAsia="en-AU"/>
              </w:rPr>
            </w:pPr>
            <w:r w:rsidRPr="00B64D8B">
              <w:t>(0.8)</w:t>
            </w:r>
          </w:p>
        </w:tc>
      </w:tr>
      <w:tr w:rsidR="00FA7EBF" w:rsidRPr="007939DD" w14:paraId="4515FC34" w14:textId="77777777" w:rsidTr="007B207C">
        <w:trPr>
          <w:cantSplit/>
        </w:trPr>
        <w:tc>
          <w:tcPr>
            <w:tcW w:w="6237" w:type="dxa"/>
          </w:tcPr>
          <w:p w14:paraId="45C5BCE0" w14:textId="77777777" w:rsidR="00FA7EBF" w:rsidRPr="007939DD" w:rsidRDefault="00FA7EBF" w:rsidP="007B207C">
            <w:pPr>
              <w:pStyle w:val="ARfintablebodybold"/>
              <w:rPr>
                <w:rStyle w:val="Strong"/>
                <w:bCs/>
              </w:rPr>
            </w:pPr>
            <w:r w:rsidRPr="00B64D8B">
              <w:t>Total contractual financial liabilities</w:t>
            </w:r>
          </w:p>
        </w:tc>
        <w:tc>
          <w:tcPr>
            <w:tcW w:w="1701" w:type="dxa"/>
          </w:tcPr>
          <w:p w14:paraId="4DEBC214" w14:textId="77777777" w:rsidR="00FA7EBF" w:rsidRPr="007939DD" w:rsidRDefault="00FA7EBF" w:rsidP="007B207C">
            <w:pPr>
              <w:pStyle w:val="ARfintablebodyrightbold"/>
              <w:rPr>
                <w:lang w:eastAsia="en-AU"/>
              </w:rPr>
            </w:pPr>
            <w:r w:rsidRPr="00B64D8B">
              <w:t>(0.8)</w:t>
            </w:r>
          </w:p>
        </w:tc>
        <w:tc>
          <w:tcPr>
            <w:tcW w:w="1701" w:type="dxa"/>
          </w:tcPr>
          <w:p w14:paraId="688157E6" w14:textId="77777777" w:rsidR="00FA7EBF" w:rsidRPr="007939DD" w:rsidRDefault="00FA7EBF" w:rsidP="007B207C">
            <w:pPr>
              <w:pStyle w:val="ARfintablebodyrightbold"/>
              <w:rPr>
                <w:rStyle w:val="Strong"/>
                <w:bCs w:val="0"/>
              </w:rPr>
            </w:pPr>
            <w:r w:rsidRPr="00B64D8B">
              <w:t>(0.8)</w:t>
            </w:r>
          </w:p>
        </w:tc>
      </w:tr>
    </w:tbl>
    <w:p w14:paraId="77793513" w14:textId="77777777" w:rsidR="00FA7EBF" w:rsidRPr="00194D78" w:rsidRDefault="00FA7EBF" w:rsidP="00CA66FD">
      <w:pPr>
        <w:pStyle w:val="ARfintablefootnoteindent"/>
        <w:ind w:left="0" w:firstLine="0"/>
      </w:pPr>
      <w:r w:rsidRPr="00194D78">
        <w:t>Note:</w:t>
      </w:r>
    </w:p>
    <w:p w14:paraId="7FF6001A" w14:textId="77777777" w:rsidR="00FA7EBF" w:rsidRPr="00194D78" w:rsidRDefault="00FA7EBF" w:rsidP="00CA66FD">
      <w:pPr>
        <w:pStyle w:val="ARfintablefootnoteindent"/>
      </w:pPr>
      <w:r w:rsidRPr="00194D78">
        <w:t>(i)</w:t>
      </w:r>
      <w:r>
        <w:tab/>
      </w:r>
      <w:r w:rsidRPr="00194D78">
        <w:t>The total amounts disclosed here exclude statutory amounts, for example, amounts owing to/from Victorian Government and GST input tax credit recoverable and taxes payable.</w:t>
      </w:r>
    </w:p>
    <w:p w14:paraId="1B6EDC5C" w14:textId="77777777" w:rsidR="00FA7EBF" w:rsidRPr="00194D78" w:rsidRDefault="00FA7EBF" w:rsidP="00CA66FD">
      <w:pPr>
        <w:pStyle w:val="ARfinbodyaftertable"/>
      </w:pPr>
      <w:r w:rsidRPr="00194D78">
        <w:t>The net holding gains or losses disclosed above are determined as follows:</w:t>
      </w:r>
    </w:p>
    <w:p w14:paraId="07087317" w14:textId="77777777" w:rsidR="00FA7EBF" w:rsidRDefault="00FA7EBF" w:rsidP="00CA66FD">
      <w:pPr>
        <w:pStyle w:val="ARfinbullet1"/>
        <w:numPr>
          <w:ilvl w:val="0"/>
          <w:numId w:val="4"/>
        </w:numPr>
      </w:pPr>
      <w:r w:rsidRPr="00194D78">
        <w:t>for cash and cash equivalents, loans and receivables, the net gain or loss is calculated by taking the movement in the fair value of the asset, the interest income, and minus any impairment recognised in the net result</w:t>
      </w:r>
    </w:p>
    <w:p w14:paraId="6A33FFA3" w14:textId="77777777" w:rsidR="00FA7EBF" w:rsidRPr="00194D78" w:rsidRDefault="00FA7EBF" w:rsidP="00CA66FD">
      <w:pPr>
        <w:pStyle w:val="ARfinbullet1"/>
        <w:numPr>
          <w:ilvl w:val="0"/>
          <w:numId w:val="4"/>
        </w:numPr>
      </w:pPr>
      <w:r w:rsidRPr="00194D78">
        <w:t>for financial liabilities measured at amortised cost, the net gain or loss is the interest expense.</w:t>
      </w:r>
    </w:p>
    <w:p w14:paraId="67E2F896" w14:textId="77777777" w:rsidR="00FA7EBF" w:rsidRPr="00194D78" w:rsidRDefault="00FA7EBF" w:rsidP="00CA66FD">
      <w:pPr>
        <w:pStyle w:val="Heading5"/>
        <w:rPr>
          <w:lang w:eastAsia="en-AU"/>
        </w:rPr>
      </w:pPr>
      <w:r w:rsidRPr="006F05F8">
        <w:rPr>
          <w:lang w:eastAsia="en-AU"/>
        </w:rPr>
        <w:t>8.1.3 Financial risk management objectives and policies</w:t>
      </w:r>
    </w:p>
    <w:p w14:paraId="096793AC" w14:textId="77777777" w:rsidR="00FA7EBF" w:rsidRPr="00194D78" w:rsidRDefault="00FA7EBF" w:rsidP="00CA66FD">
      <w:pPr>
        <w:pStyle w:val="ARfinbodylargespace"/>
      </w:pPr>
      <w:r w:rsidRPr="00194D78">
        <w:t>The department is exposed to a number of financial risks, including:</w:t>
      </w:r>
    </w:p>
    <w:p w14:paraId="6598E6A7" w14:textId="77777777" w:rsidR="00FA7EBF" w:rsidRPr="002956A5" w:rsidRDefault="00FA7EBF" w:rsidP="00CA66FD">
      <w:pPr>
        <w:pStyle w:val="ARfinbodylargespace"/>
      </w:pPr>
      <w:r w:rsidRPr="00B64675">
        <w:rPr>
          <w:noProof/>
        </w:rPr>
        <w:drawing>
          <wp:inline distT="0" distB="0" distL="0" distR="0" wp14:anchorId="744EE926" wp14:editId="125348A0">
            <wp:extent cx="3672205" cy="1299210"/>
            <wp:effectExtent l="0" t="0" r="4445" b="0"/>
            <wp:docPr id="19" name="Picture 19" descr="Financial risks, which include Credit risk, Liquidity risk and Market risk, which includes Interest rate r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nancial risks, which include Credit risk, Liquidity risk and Market risk, which includes Interest rate risk. "/>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672205" cy="1299210"/>
                    </a:xfrm>
                    <a:prstGeom prst="rect">
                      <a:avLst/>
                    </a:prstGeom>
                    <a:noFill/>
                    <a:ln>
                      <a:noFill/>
                    </a:ln>
                  </pic:spPr>
                </pic:pic>
              </a:graphicData>
            </a:graphic>
          </wp:inline>
        </w:drawing>
      </w:r>
    </w:p>
    <w:p w14:paraId="35D58536" w14:textId="77777777" w:rsidR="00FA7EBF" w:rsidRDefault="00FA7EBF" w:rsidP="00CA66FD">
      <w:pPr>
        <w:pStyle w:val="ARfinbody"/>
      </w:pPr>
      <w:r w:rsidRPr="00194D78">
        <w:t>As a whole, the department</w:t>
      </w:r>
      <w:r>
        <w:t>’</w:t>
      </w:r>
      <w:r w:rsidRPr="00194D78">
        <w:t>s financial risk management program seeks to manage these risks and the associated volatility of its financial performance.</w:t>
      </w:r>
    </w:p>
    <w:p w14:paraId="5B643BB6" w14:textId="77777777" w:rsidR="00FA7EBF" w:rsidRPr="00194D78" w:rsidRDefault="00FA7EBF" w:rsidP="00CA66FD">
      <w:pPr>
        <w:pStyle w:val="ARfinbody"/>
      </w:pPr>
      <w:r w:rsidRPr="00194D78">
        <w:t>Details of the significant accounting policies and methods adopted, including the criteria for recognition, the basis of measurement and the basis on which income and expenses are recognised, with respect to each class of financial asset and financial liability are disclosed in Note 8.1.</w:t>
      </w:r>
    </w:p>
    <w:p w14:paraId="2F539FD1" w14:textId="77777777" w:rsidR="00FA7EBF" w:rsidRPr="00194D78" w:rsidRDefault="00FA7EBF" w:rsidP="00CA66FD">
      <w:pPr>
        <w:pStyle w:val="ARfinbody"/>
      </w:pPr>
      <w:r w:rsidRPr="00194D78">
        <w:t>The main purpose in holding financial instruments is to prudentially manage the department</w:t>
      </w:r>
      <w:r>
        <w:t>’</w:t>
      </w:r>
      <w:r w:rsidRPr="00194D78">
        <w:t>s financial risks within the government policy parameters.</w:t>
      </w:r>
    </w:p>
    <w:p w14:paraId="3626E194" w14:textId="77777777" w:rsidR="00FA7EBF" w:rsidRPr="00194D78" w:rsidRDefault="00FA7EBF" w:rsidP="00CA66FD">
      <w:pPr>
        <w:pStyle w:val="ARfinbody"/>
      </w:pPr>
      <w:r w:rsidRPr="00194D78">
        <w:t>The department</w:t>
      </w:r>
      <w:r>
        <w:t>’</w:t>
      </w:r>
      <w:r w:rsidRPr="00194D78">
        <w:t>s main financial risks include credit risk, liquidity risk and interest rate risk. The department manages these financial risks in accordance with its financial risk management policy.</w:t>
      </w:r>
    </w:p>
    <w:p w14:paraId="0CA8BDA4" w14:textId="77777777" w:rsidR="00FA7EBF" w:rsidRPr="00194D78" w:rsidRDefault="00FA7EBF" w:rsidP="00CA66FD">
      <w:pPr>
        <w:pStyle w:val="ARfinbody"/>
      </w:pPr>
      <w:r w:rsidRPr="00194D78">
        <w:t>The department uses different methods to measure and manage the different risks to which it is exposed. Primary responsibility for the identification and management of financial risks rests with the accountable officer of the department.</w:t>
      </w:r>
    </w:p>
    <w:p w14:paraId="407FEC02" w14:textId="77777777" w:rsidR="00FA7EBF" w:rsidRPr="00194D78" w:rsidRDefault="00FA7EBF" w:rsidP="00CA66FD">
      <w:pPr>
        <w:pStyle w:val="Heading6"/>
        <w:rPr>
          <w:lang w:eastAsia="en-AU"/>
        </w:rPr>
      </w:pPr>
      <w:r w:rsidRPr="00194D78">
        <w:rPr>
          <w:lang w:eastAsia="en-AU"/>
        </w:rPr>
        <w:t>8.1.3.1 Financial instruments: credit risk</w:t>
      </w:r>
    </w:p>
    <w:p w14:paraId="068DE1BF" w14:textId="77777777" w:rsidR="00FA7EBF" w:rsidRPr="00194D78" w:rsidRDefault="00FA7EBF" w:rsidP="00CA66FD">
      <w:pPr>
        <w:pStyle w:val="ARfinbody"/>
      </w:pPr>
      <w:r w:rsidRPr="00194D78">
        <w:t>Credit risk refers to the possibility that a borrower will default on its financial obligations as and when they fall due. The department</w:t>
      </w:r>
      <w:r>
        <w:t>’</w:t>
      </w:r>
      <w:r w:rsidRPr="00194D78">
        <w:t>s exposure to credit risk arises from the potential default of a counter party on their contractual obligations resulting in financial loss to the department. Credit risk is measured at fair value and is monitored on a regular basis.</w:t>
      </w:r>
    </w:p>
    <w:p w14:paraId="0C1A07C6" w14:textId="77777777" w:rsidR="00FA7EBF" w:rsidRPr="00194D78" w:rsidRDefault="00FA7EBF" w:rsidP="00CA66FD">
      <w:pPr>
        <w:pStyle w:val="ARfinbody"/>
      </w:pPr>
      <w:r w:rsidRPr="00194D78">
        <w:t>Credit risk associated with the department</w:t>
      </w:r>
      <w:r>
        <w:t>’</w:t>
      </w:r>
      <w:r w:rsidRPr="00194D78">
        <w:t>s contractual financial assets is minimal because the main debtor is the Victorian Government. For debtors other than the Victorian Government and home loan recipients, it is the department</w:t>
      </w:r>
      <w:r>
        <w:t>’</w:t>
      </w:r>
      <w:r w:rsidRPr="00194D78">
        <w:t>s policy to only deal with entities with high credit ratings of a minimum triple</w:t>
      </w:r>
      <w:r>
        <w:t>-</w:t>
      </w:r>
      <w:r w:rsidRPr="00194D78">
        <w:t>B rating and to obtain sufficient collateral or credit enhancements, where appropriate.</w:t>
      </w:r>
    </w:p>
    <w:p w14:paraId="5DA8F0EC" w14:textId="77777777" w:rsidR="00FA7EBF" w:rsidRPr="00194D78" w:rsidRDefault="00FA7EBF" w:rsidP="00CA66FD">
      <w:pPr>
        <w:pStyle w:val="ARfinbody"/>
      </w:pPr>
      <w:r w:rsidRPr="00194D78">
        <w:t>In addition, the department does not engage in hedging for its contractual financial assets and mainly obtains contractual financial assets that are on fixed interest, except for cash and deposits, which are mainly cash at bank. As with the policy for debtors, the department</w:t>
      </w:r>
      <w:r>
        <w:t>’</w:t>
      </w:r>
      <w:r w:rsidRPr="00194D78">
        <w:t>s policy is to only deal with banks with high credit ratings.</w:t>
      </w:r>
    </w:p>
    <w:p w14:paraId="352F7E34" w14:textId="77777777" w:rsidR="00FA7EBF" w:rsidRPr="00194D78" w:rsidRDefault="00FA7EBF" w:rsidP="00CA66FD">
      <w:pPr>
        <w:pStyle w:val="ARfinbody"/>
      </w:pPr>
      <w:r w:rsidRPr="00194D78">
        <w:t>Provision of impairment for financial assets is calculated based on past experience, and current and expected changes in client credit ratings, or based on the assumptions about risk of default and expected credit loss rates. Tenant loans are made up of small amounts therefore the likelihood of default are considered immaterial.</w:t>
      </w:r>
    </w:p>
    <w:p w14:paraId="7A095D04" w14:textId="77777777" w:rsidR="00FA7EBF" w:rsidRPr="00194D78" w:rsidRDefault="00FA7EBF" w:rsidP="00CA66FD">
      <w:pPr>
        <w:pStyle w:val="ARfinbody"/>
      </w:pPr>
      <w:r w:rsidRPr="00194D78">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54425145" w14:textId="77777777" w:rsidR="00FA7EBF" w:rsidRPr="00194D78" w:rsidRDefault="00FA7EBF" w:rsidP="00CA66FD">
      <w:pPr>
        <w:pStyle w:val="ARfinbody"/>
      </w:pPr>
      <w:r w:rsidRPr="00194D78">
        <w:t>Except as otherwise detailed in the following table, the carrying amount of contractual financial assets recorded in the financial report statements, net of any allowances for losses, represents the department</w:t>
      </w:r>
      <w:r>
        <w:t>’</w:t>
      </w:r>
      <w:r w:rsidRPr="00194D78">
        <w:t>s maximum exposure to credit risk without taking account of the value of any collateral obtained.</w:t>
      </w:r>
    </w:p>
    <w:p w14:paraId="0F34B6C9" w14:textId="77777777" w:rsidR="00FA7EBF" w:rsidRPr="00194D78" w:rsidRDefault="00FA7EBF" w:rsidP="00CA66FD">
      <w:pPr>
        <w:pStyle w:val="ARfinbody"/>
      </w:pPr>
      <w:r w:rsidRPr="00194D78">
        <w:t>There has been no material change to the department</w:t>
      </w:r>
      <w:r>
        <w:t>’</w:t>
      </w:r>
      <w:r w:rsidRPr="00194D78">
        <w:t>s credit risk profile in 201</w:t>
      </w:r>
      <w:r>
        <w:t>8–</w:t>
      </w:r>
      <w:r w:rsidRPr="00194D78">
        <w:t>19.</w:t>
      </w:r>
    </w:p>
    <w:p w14:paraId="7454F404" w14:textId="77777777" w:rsidR="00FA7EBF" w:rsidRDefault="00FA7EBF" w:rsidP="00CA66FD">
      <w:pPr>
        <w:pStyle w:val="Heading7"/>
        <w:rPr>
          <w:lang w:val="x-none"/>
        </w:rPr>
      </w:pPr>
      <w:r w:rsidRPr="00194D78">
        <w:rPr>
          <w:lang w:val="x-none"/>
        </w:rPr>
        <w:t>Credit quality of contractual financial assets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4794"/>
        <w:gridCol w:w="1212"/>
        <w:gridCol w:w="1211"/>
        <w:gridCol w:w="1211"/>
        <w:gridCol w:w="1211"/>
      </w:tblGrid>
      <w:tr w:rsidR="00FA7EBF" w:rsidRPr="007939DD" w14:paraId="11D5DC3C" w14:textId="77777777" w:rsidTr="007B207C">
        <w:trPr>
          <w:cantSplit/>
          <w:tblHeader/>
        </w:trPr>
        <w:tc>
          <w:tcPr>
            <w:tcW w:w="4794" w:type="dxa"/>
            <w:vAlign w:val="bottom"/>
          </w:tcPr>
          <w:p w14:paraId="7A2223BA" w14:textId="77777777" w:rsidR="00FA7EBF" w:rsidRPr="007939DD" w:rsidRDefault="00FA7EBF" w:rsidP="007B207C">
            <w:pPr>
              <w:pStyle w:val="ARfintablecolhead"/>
            </w:pPr>
          </w:p>
        </w:tc>
        <w:tc>
          <w:tcPr>
            <w:tcW w:w="1212" w:type="dxa"/>
            <w:vAlign w:val="bottom"/>
          </w:tcPr>
          <w:p w14:paraId="0AC19487" w14:textId="77777777" w:rsidR="00FA7EBF" w:rsidRPr="007939DD" w:rsidRDefault="00FA7EBF" w:rsidP="007B207C">
            <w:pPr>
              <w:pStyle w:val="ARfintablecolheadright"/>
              <w:keepNext/>
            </w:pPr>
            <w:r w:rsidRPr="007939DD">
              <w:t xml:space="preserve">Financial institutions </w:t>
            </w:r>
            <w:r>
              <w:t>d</w:t>
            </w:r>
            <w:r w:rsidRPr="007939DD">
              <w:t>ouble-A credit rating</w:t>
            </w:r>
          </w:p>
          <w:p w14:paraId="3F6BBF8E" w14:textId="77777777" w:rsidR="00FA7EBF" w:rsidRPr="007939DD" w:rsidRDefault="00FA7EBF" w:rsidP="007B207C">
            <w:pPr>
              <w:pStyle w:val="ARfintablecolheadright"/>
              <w:keepNext/>
            </w:pPr>
            <w:r w:rsidRPr="007939DD">
              <w:t>Total</w:t>
            </w:r>
          </w:p>
          <w:p w14:paraId="23A0937D" w14:textId="77777777" w:rsidR="00FA7EBF" w:rsidRPr="007939DD" w:rsidRDefault="00FA7EBF" w:rsidP="007B207C">
            <w:pPr>
              <w:pStyle w:val="ARfintablecolheadright"/>
              <w:keepNext/>
            </w:pPr>
            <w:r w:rsidRPr="007939DD">
              <w:t>$M</w:t>
            </w:r>
          </w:p>
        </w:tc>
        <w:tc>
          <w:tcPr>
            <w:tcW w:w="1211" w:type="dxa"/>
            <w:vAlign w:val="bottom"/>
          </w:tcPr>
          <w:p w14:paraId="6246E146" w14:textId="77777777" w:rsidR="00FA7EBF" w:rsidRPr="007939DD" w:rsidRDefault="00FA7EBF" w:rsidP="007B207C">
            <w:pPr>
              <w:pStyle w:val="ARfintablecolheadright"/>
              <w:keepNext/>
            </w:pPr>
            <w:r w:rsidRPr="007939DD">
              <w:t xml:space="preserve">Government agencies </w:t>
            </w:r>
            <w:r>
              <w:t>t</w:t>
            </w:r>
            <w:r w:rsidRPr="007939DD">
              <w:t>riple-A credit rating</w:t>
            </w:r>
          </w:p>
          <w:p w14:paraId="543D237A" w14:textId="77777777" w:rsidR="00FA7EBF" w:rsidRPr="007939DD" w:rsidRDefault="00FA7EBF" w:rsidP="007B207C">
            <w:pPr>
              <w:pStyle w:val="ARfintablecolheadright"/>
              <w:keepNext/>
            </w:pPr>
            <w:r w:rsidRPr="007939DD">
              <w:t>Total</w:t>
            </w:r>
          </w:p>
          <w:p w14:paraId="4886F27C" w14:textId="77777777" w:rsidR="00FA7EBF" w:rsidRPr="007939DD" w:rsidRDefault="00FA7EBF" w:rsidP="007B207C">
            <w:pPr>
              <w:pStyle w:val="ARfintablecolheadright"/>
              <w:keepNext/>
            </w:pPr>
            <w:r w:rsidRPr="007939DD">
              <w:t>$M</w:t>
            </w:r>
          </w:p>
        </w:tc>
        <w:tc>
          <w:tcPr>
            <w:tcW w:w="1211" w:type="dxa"/>
            <w:vAlign w:val="bottom"/>
          </w:tcPr>
          <w:p w14:paraId="7C115FDA" w14:textId="77777777" w:rsidR="00FA7EBF" w:rsidRPr="007939DD" w:rsidRDefault="00FA7EBF" w:rsidP="007B207C">
            <w:pPr>
              <w:pStyle w:val="ARfintablecolheadright"/>
              <w:keepNext/>
            </w:pPr>
            <w:r w:rsidRPr="007939DD">
              <w:t>Credit ratings not disclosed</w:t>
            </w:r>
          </w:p>
          <w:p w14:paraId="4197221C" w14:textId="77777777" w:rsidR="00FA7EBF" w:rsidRPr="007939DD" w:rsidRDefault="00FA7EBF" w:rsidP="007B207C">
            <w:pPr>
              <w:pStyle w:val="ARfintablecolheadright"/>
              <w:keepNext/>
            </w:pPr>
            <w:r w:rsidRPr="007939DD">
              <w:t>$M</w:t>
            </w:r>
          </w:p>
        </w:tc>
        <w:tc>
          <w:tcPr>
            <w:tcW w:w="1211" w:type="dxa"/>
            <w:vAlign w:val="bottom"/>
          </w:tcPr>
          <w:p w14:paraId="5E046602" w14:textId="77777777" w:rsidR="00FA7EBF" w:rsidRPr="007939DD" w:rsidRDefault="00FA7EBF" w:rsidP="007B207C">
            <w:pPr>
              <w:pStyle w:val="ARfintablecolheadright"/>
              <w:keepNext/>
            </w:pPr>
            <w:r w:rsidRPr="007939DD">
              <w:t>Total</w:t>
            </w:r>
          </w:p>
          <w:p w14:paraId="69CA52C2" w14:textId="77777777" w:rsidR="00FA7EBF" w:rsidRPr="007939DD" w:rsidRDefault="00FA7EBF" w:rsidP="007B207C">
            <w:pPr>
              <w:pStyle w:val="ARfintablecolheadright"/>
              <w:keepNext/>
            </w:pPr>
            <w:r w:rsidRPr="007939DD">
              <w:t>$M</w:t>
            </w:r>
          </w:p>
        </w:tc>
      </w:tr>
      <w:tr w:rsidR="00FA7EBF" w:rsidRPr="007939DD" w14:paraId="30D6CC26" w14:textId="77777777" w:rsidTr="007B207C">
        <w:trPr>
          <w:cantSplit/>
        </w:trPr>
        <w:tc>
          <w:tcPr>
            <w:tcW w:w="9639" w:type="dxa"/>
            <w:gridSpan w:val="5"/>
          </w:tcPr>
          <w:p w14:paraId="546E91A8" w14:textId="77777777" w:rsidR="00FA7EBF" w:rsidRPr="007939DD" w:rsidRDefault="00FA7EBF" w:rsidP="007B207C">
            <w:pPr>
              <w:pStyle w:val="ARfintablebodybold"/>
              <w:rPr>
                <w:lang w:eastAsia="en-AU"/>
              </w:rPr>
            </w:pPr>
            <w:r w:rsidRPr="00AA24AD">
              <w:t>2019</w:t>
            </w:r>
          </w:p>
        </w:tc>
      </w:tr>
      <w:tr w:rsidR="00FA7EBF" w:rsidRPr="007939DD" w14:paraId="500DFB11" w14:textId="77777777" w:rsidTr="007B207C">
        <w:trPr>
          <w:cantSplit/>
        </w:trPr>
        <w:tc>
          <w:tcPr>
            <w:tcW w:w="4794" w:type="dxa"/>
            <w:tcBorders>
              <w:bottom w:val="single" w:sz="4" w:space="0" w:color="A6A6A6" w:themeColor="background1" w:themeShade="A6"/>
            </w:tcBorders>
          </w:tcPr>
          <w:p w14:paraId="3B6299C8" w14:textId="77777777" w:rsidR="00FA7EBF" w:rsidRPr="007939DD" w:rsidRDefault="00FA7EBF" w:rsidP="007B207C">
            <w:pPr>
              <w:pStyle w:val="ARfintablebody"/>
              <w:rPr>
                <w:lang w:eastAsia="en-AU"/>
              </w:rPr>
            </w:pPr>
            <w:r w:rsidRPr="00AA24AD">
              <w:t>Cash and deposits (not assessed for impairment due to materiality)</w:t>
            </w:r>
          </w:p>
        </w:tc>
        <w:tc>
          <w:tcPr>
            <w:tcW w:w="1212" w:type="dxa"/>
            <w:tcBorders>
              <w:bottom w:val="single" w:sz="4" w:space="0" w:color="A6A6A6" w:themeColor="background1" w:themeShade="A6"/>
            </w:tcBorders>
          </w:tcPr>
          <w:p w14:paraId="50B26E8A" w14:textId="77777777" w:rsidR="00FA7EBF" w:rsidRPr="007939DD" w:rsidRDefault="00FA7EBF" w:rsidP="007B207C">
            <w:pPr>
              <w:pStyle w:val="ARfintablebodyright"/>
              <w:rPr>
                <w:lang w:eastAsia="en-AU"/>
              </w:rPr>
            </w:pPr>
            <w:r w:rsidRPr="00AA24AD">
              <w:t>461.9</w:t>
            </w:r>
          </w:p>
        </w:tc>
        <w:tc>
          <w:tcPr>
            <w:tcW w:w="1211" w:type="dxa"/>
            <w:tcBorders>
              <w:bottom w:val="single" w:sz="4" w:space="0" w:color="A6A6A6" w:themeColor="background1" w:themeShade="A6"/>
            </w:tcBorders>
          </w:tcPr>
          <w:p w14:paraId="684778A6" w14:textId="77777777" w:rsidR="00FA7EBF" w:rsidRPr="007939DD" w:rsidRDefault="00FA7EBF" w:rsidP="007B207C">
            <w:pPr>
              <w:pStyle w:val="ARfintablebodyright"/>
              <w:rPr>
                <w:lang w:eastAsia="en-AU"/>
              </w:rPr>
            </w:pPr>
            <w:r w:rsidRPr="00AA24AD">
              <w:t>338.0</w:t>
            </w:r>
          </w:p>
        </w:tc>
        <w:tc>
          <w:tcPr>
            <w:tcW w:w="1211" w:type="dxa"/>
            <w:tcBorders>
              <w:bottom w:val="single" w:sz="4" w:space="0" w:color="A6A6A6" w:themeColor="background1" w:themeShade="A6"/>
            </w:tcBorders>
          </w:tcPr>
          <w:p w14:paraId="18EC7450" w14:textId="77777777" w:rsidR="00FA7EBF" w:rsidRPr="007939DD" w:rsidRDefault="00FA7EBF" w:rsidP="007B207C">
            <w:pPr>
              <w:pStyle w:val="ARfintablebodyright"/>
              <w:rPr>
                <w:lang w:eastAsia="en-AU"/>
              </w:rPr>
            </w:pPr>
            <w:r w:rsidRPr="00AA24AD">
              <w:t>–</w:t>
            </w:r>
          </w:p>
        </w:tc>
        <w:tc>
          <w:tcPr>
            <w:tcW w:w="1211" w:type="dxa"/>
            <w:tcBorders>
              <w:bottom w:val="single" w:sz="4" w:space="0" w:color="A6A6A6" w:themeColor="background1" w:themeShade="A6"/>
            </w:tcBorders>
          </w:tcPr>
          <w:p w14:paraId="4236EC24" w14:textId="77777777" w:rsidR="00FA7EBF" w:rsidRPr="007939DD" w:rsidRDefault="00FA7EBF" w:rsidP="007B207C">
            <w:pPr>
              <w:pStyle w:val="ARfintablebodyright"/>
              <w:rPr>
                <w:lang w:eastAsia="en-AU"/>
              </w:rPr>
            </w:pPr>
            <w:r w:rsidRPr="00AA24AD">
              <w:t>799.9</w:t>
            </w:r>
          </w:p>
        </w:tc>
      </w:tr>
      <w:tr w:rsidR="00FA7EBF" w:rsidRPr="007939DD" w14:paraId="6F4FF980" w14:textId="77777777" w:rsidTr="007B207C">
        <w:trPr>
          <w:cantSplit/>
        </w:trPr>
        <w:tc>
          <w:tcPr>
            <w:tcW w:w="4794" w:type="dxa"/>
            <w:tcBorders>
              <w:top w:val="single" w:sz="4" w:space="0" w:color="A6A6A6" w:themeColor="background1" w:themeShade="A6"/>
              <w:bottom w:val="single" w:sz="4" w:space="0" w:color="A6A6A6" w:themeColor="background1" w:themeShade="A6"/>
            </w:tcBorders>
          </w:tcPr>
          <w:p w14:paraId="43659AC9" w14:textId="77777777" w:rsidR="00FA7EBF" w:rsidRPr="007939DD" w:rsidRDefault="00FA7EBF" w:rsidP="007B207C">
            <w:pPr>
              <w:pStyle w:val="ARfintablebody"/>
              <w:rPr>
                <w:lang w:eastAsia="en-AU"/>
              </w:rPr>
            </w:pPr>
            <w:r w:rsidRPr="00AA24AD">
              <w:t xml:space="preserve">Contractual receivables applying the simplified approach for impairment </w:t>
            </w:r>
            <w:r w:rsidRPr="00DB5DE8">
              <w:rPr>
                <w:rStyle w:val="Superscript"/>
              </w:rPr>
              <w:t>(i)(ii)</w:t>
            </w:r>
          </w:p>
        </w:tc>
        <w:tc>
          <w:tcPr>
            <w:tcW w:w="1212" w:type="dxa"/>
            <w:tcBorders>
              <w:top w:val="single" w:sz="4" w:space="0" w:color="A6A6A6" w:themeColor="background1" w:themeShade="A6"/>
              <w:bottom w:val="single" w:sz="4" w:space="0" w:color="A6A6A6" w:themeColor="background1" w:themeShade="A6"/>
            </w:tcBorders>
          </w:tcPr>
          <w:p w14:paraId="2BEFE22B" w14:textId="77777777" w:rsidR="00FA7EBF" w:rsidRPr="007939DD" w:rsidRDefault="00FA7EBF" w:rsidP="007B207C">
            <w:pPr>
              <w:pStyle w:val="ARfintablebodyright"/>
              <w:rPr>
                <w:lang w:eastAsia="en-AU"/>
              </w:rPr>
            </w:pPr>
            <w:r w:rsidRPr="00AA24AD">
              <w:t>–</w:t>
            </w:r>
          </w:p>
        </w:tc>
        <w:tc>
          <w:tcPr>
            <w:tcW w:w="1211" w:type="dxa"/>
            <w:tcBorders>
              <w:top w:val="single" w:sz="4" w:space="0" w:color="A6A6A6" w:themeColor="background1" w:themeShade="A6"/>
              <w:bottom w:val="single" w:sz="4" w:space="0" w:color="A6A6A6" w:themeColor="background1" w:themeShade="A6"/>
            </w:tcBorders>
          </w:tcPr>
          <w:p w14:paraId="2CC45A99" w14:textId="77777777" w:rsidR="00FA7EBF" w:rsidRPr="007939DD" w:rsidRDefault="00FA7EBF" w:rsidP="007B207C">
            <w:pPr>
              <w:pStyle w:val="ARfintablebodyright"/>
              <w:rPr>
                <w:lang w:eastAsia="en-AU"/>
              </w:rPr>
            </w:pPr>
            <w:r w:rsidRPr="00AA24AD">
              <w:t>–</w:t>
            </w:r>
          </w:p>
        </w:tc>
        <w:tc>
          <w:tcPr>
            <w:tcW w:w="1211" w:type="dxa"/>
            <w:tcBorders>
              <w:top w:val="single" w:sz="4" w:space="0" w:color="A6A6A6" w:themeColor="background1" w:themeShade="A6"/>
              <w:bottom w:val="single" w:sz="4" w:space="0" w:color="A6A6A6" w:themeColor="background1" w:themeShade="A6"/>
            </w:tcBorders>
          </w:tcPr>
          <w:p w14:paraId="03D4644C" w14:textId="77777777" w:rsidR="00FA7EBF" w:rsidRPr="007939DD" w:rsidRDefault="00FA7EBF" w:rsidP="007B207C">
            <w:pPr>
              <w:pStyle w:val="ARfintablebodyright"/>
              <w:rPr>
                <w:lang w:eastAsia="en-AU"/>
              </w:rPr>
            </w:pPr>
            <w:r w:rsidRPr="00AA24AD">
              <w:t>325.0</w:t>
            </w:r>
          </w:p>
        </w:tc>
        <w:tc>
          <w:tcPr>
            <w:tcW w:w="1211" w:type="dxa"/>
            <w:tcBorders>
              <w:top w:val="single" w:sz="4" w:space="0" w:color="A6A6A6" w:themeColor="background1" w:themeShade="A6"/>
              <w:bottom w:val="single" w:sz="4" w:space="0" w:color="A6A6A6" w:themeColor="background1" w:themeShade="A6"/>
            </w:tcBorders>
          </w:tcPr>
          <w:p w14:paraId="06185A61" w14:textId="77777777" w:rsidR="00FA7EBF" w:rsidRPr="007939DD" w:rsidRDefault="00FA7EBF" w:rsidP="007B207C">
            <w:pPr>
              <w:pStyle w:val="ARfintablebodyright"/>
              <w:rPr>
                <w:lang w:eastAsia="en-AU"/>
              </w:rPr>
            </w:pPr>
            <w:r w:rsidRPr="00AA24AD">
              <w:t>325.0</w:t>
            </w:r>
          </w:p>
        </w:tc>
      </w:tr>
      <w:tr w:rsidR="00FA7EBF" w:rsidRPr="007939DD" w14:paraId="7B23A0E0" w14:textId="77777777" w:rsidTr="007B207C">
        <w:trPr>
          <w:cantSplit/>
        </w:trPr>
        <w:tc>
          <w:tcPr>
            <w:tcW w:w="4794" w:type="dxa"/>
            <w:tcBorders>
              <w:top w:val="single" w:sz="4" w:space="0" w:color="A6A6A6" w:themeColor="background1" w:themeShade="A6"/>
              <w:bottom w:val="single" w:sz="4" w:space="0" w:color="A6A6A6" w:themeColor="background1" w:themeShade="A6"/>
            </w:tcBorders>
          </w:tcPr>
          <w:p w14:paraId="6A23A187" w14:textId="77777777" w:rsidR="00FA7EBF" w:rsidRPr="007939DD" w:rsidRDefault="00FA7EBF" w:rsidP="007B207C">
            <w:pPr>
              <w:pStyle w:val="ARfintablebody"/>
              <w:rPr>
                <w:lang w:eastAsia="en-AU"/>
              </w:rPr>
            </w:pPr>
            <w:r w:rsidRPr="00AA24AD">
              <w:t xml:space="preserve">Loans </w:t>
            </w:r>
            <w:r w:rsidRPr="00DB5DE8">
              <w:rPr>
                <w:rStyle w:val="Superscript"/>
              </w:rPr>
              <w:t>(ii)</w:t>
            </w:r>
          </w:p>
        </w:tc>
        <w:tc>
          <w:tcPr>
            <w:tcW w:w="1212" w:type="dxa"/>
            <w:tcBorders>
              <w:top w:val="single" w:sz="4" w:space="0" w:color="A6A6A6" w:themeColor="background1" w:themeShade="A6"/>
              <w:bottom w:val="single" w:sz="4" w:space="0" w:color="A6A6A6" w:themeColor="background1" w:themeShade="A6"/>
            </w:tcBorders>
          </w:tcPr>
          <w:p w14:paraId="73F8A5F6" w14:textId="77777777" w:rsidR="00FA7EBF" w:rsidRPr="007939DD" w:rsidRDefault="00FA7EBF" w:rsidP="007B207C">
            <w:pPr>
              <w:pStyle w:val="ARfintablebodyright"/>
              <w:rPr>
                <w:lang w:eastAsia="en-AU"/>
              </w:rPr>
            </w:pPr>
            <w:r w:rsidRPr="00AA24AD">
              <w:t>–</w:t>
            </w:r>
          </w:p>
        </w:tc>
        <w:tc>
          <w:tcPr>
            <w:tcW w:w="1211" w:type="dxa"/>
            <w:tcBorders>
              <w:top w:val="single" w:sz="4" w:space="0" w:color="A6A6A6" w:themeColor="background1" w:themeShade="A6"/>
              <w:bottom w:val="single" w:sz="4" w:space="0" w:color="A6A6A6" w:themeColor="background1" w:themeShade="A6"/>
            </w:tcBorders>
          </w:tcPr>
          <w:p w14:paraId="2503BA1E" w14:textId="77777777" w:rsidR="00FA7EBF" w:rsidRPr="007939DD" w:rsidRDefault="00FA7EBF" w:rsidP="007B207C">
            <w:pPr>
              <w:pStyle w:val="ARfintablebodyright"/>
              <w:rPr>
                <w:lang w:eastAsia="en-AU"/>
              </w:rPr>
            </w:pPr>
            <w:r w:rsidRPr="00AA24AD">
              <w:t>–</w:t>
            </w:r>
          </w:p>
        </w:tc>
        <w:tc>
          <w:tcPr>
            <w:tcW w:w="1211" w:type="dxa"/>
            <w:tcBorders>
              <w:top w:val="single" w:sz="4" w:space="0" w:color="A6A6A6" w:themeColor="background1" w:themeShade="A6"/>
              <w:bottom w:val="single" w:sz="4" w:space="0" w:color="A6A6A6" w:themeColor="background1" w:themeShade="A6"/>
            </w:tcBorders>
          </w:tcPr>
          <w:p w14:paraId="1B07CC2B" w14:textId="77777777" w:rsidR="00FA7EBF" w:rsidRPr="007939DD" w:rsidRDefault="00FA7EBF" w:rsidP="007B207C">
            <w:pPr>
              <w:pStyle w:val="ARfintablebodyright"/>
              <w:rPr>
                <w:lang w:eastAsia="en-AU"/>
              </w:rPr>
            </w:pPr>
            <w:r w:rsidRPr="00AA24AD">
              <w:t>94.9</w:t>
            </w:r>
          </w:p>
        </w:tc>
        <w:tc>
          <w:tcPr>
            <w:tcW w:w="1211" w:type="dxa"/>
            <w:tcBorders>
              <w:top w:val="single" w:sz="4" w:space="0" w:color="A6A6A6" w:themeColor="background1" w:themeShade="A6"/>
              <w:bottom w:val="single" w:sz="4" w:space="0" w:color="A6A6A6" w:themeColor="background1" w:themeShade="A6"/>
            </w:tcBorders>
          </w:tcPr>
          <w:p w14:paraId="15305B1A" w14:textId="77777777" w:rsidR="00FA7EBF" w:rsidRPr="007939DD" w:rsidRDefault="00FA7EBF" w:rsidP="007B207C">
            <w:pPr>
              <w:pStyle w:val="ARfintablebodyright"/>
              <w:rPr>
                <w:lang w:eastAsia="en-AU"/>
              </w:rPr>
            </w:pPr>
            <w:r w:rsidRPr="00AA24AD">
              <w:t>94.9</w:t>
            </w:r>
          </w:p>
        </w:tc>
      </w:tr>
      <w:tr w:rsidR="00FA7EBF" w:rsidRPr="007939DD" w14:paraId="46BB9FC6" w14:textId="77777777" w:rsidTr="007B207C">
        <w:trPr>
          <w:cantSplit/>
        </w:trPr>
        <w:tc>
          <w:tcPr>
            <w:tcW w:w="4794" w:type="dxa"/>
            <w:tcBorders>
              <w:top w:val="single" w:sz="4" w:space="0" w:color="A6A6A6" w:themeColor="background1" w:themeShade="A6"/>
              <w:bottom w:val="single" w:sz="4" w:space="0" w:color="A6A6A6" w:themeColor="background1" w:themeShade="A6"/>
            </w:tcBorders>
          </w:tcPr>
          <w:p w14:paraId="20DFA691" w14:textId="77777777" w:rsidR="00FA7EBF" w:rsidRPr="007939DD" w:rsidRDefault="00FA7EBF" w:rsidP="007B207C">
            <w:pPr>
              <w:pStyle w:val="ARfintablebody"/>
              <w:rPr>
                <w:lang w:eastAsia="en-AU"/>
              </w:rPr>
            </w:pPr>
            <w:r w:rsidRPr="00AA24AD">
              <w:t>Short-term investments – term deposits</w:t>
            </w:r>
          </w:p>
        </w:tc>
        <w:tc>
          <w:tcPr>
            <w:tcW w:w="1212" w:type="dxa"/>
            <w:tcBorders>
              <w:top w:val="single" w:sz="4" w:space="0" w:color="A6A6A6" w:themeColor="background1" w:themeShade="A6"/>
              <w:bottom w:val="single" w:sz="4" w:space="0" w:color="A6A6A6" w:themeColor="background1" w:themeShade="A6"/>
            </w:tcBorders>
          </w:tcPr>
          <w:p w14:paraId="3F05BF73" w14:textId="77777777" w:rsidR="00FA7EBF" w:rsidRPr="007939DD" w:rsidRDefault="00FA7EBF" w:rsidP="007B207C">
            <w:pPr>
              <w:pStyle w:val="ARfintablebodyright"/>
              <w:rPr>
                <w:lang w:eastAsia="en-AU"/>
              </w:rPr>
            </w:pPr>
            <w:r w:rsidRPr="00AA24AD">
              <w:t>–</w:t>
            </w:r>
          </w:p>
        </w:tc>
        <w:tc>
          <w:tcPr>
            <w:tcW w:w="1211" w:type="dxa"/>
            <w:tcBorders>
              <w:top w:val="single" w:sz="4" w:space="0" w:color="A6A6A6" w:themeColor="background1" w:themeShade="A6"/>
              <w:bottom w:val="single" w:sz="4" w:space="0" w:color="A6A6A6" w:themeColor="background1" w:themeShade="A6"/>
            </w:tcBorders>
          </w:tcPr>
          <w:p w14:paraId="5A8E7026" w14:textId="77777777" w:rsidR="00FA7EBF" w:rsidRPr="007939DD" w:rsidRDefault="00FA7EBF" w:rsidP="007B207C">
            <w:pPr>
              <w:pStyle w:val="ARfintablebodyright"/>
              <w:rPr>
                <w:lang w:eastAsia="en-AU"/>
              </w:rPr>
            </w:pPr>
            <w:r w:rsidRPr="00AA24AD">
              <w:t>100.0</w:t>
            </w:r>
          </w:p>
        </w:tc>
        <w:tc>
          <w:tcPr>
            <w:tcW w:w="1211" w:type="dxa"/>
            <w:tcBorders>
              <w:top w:val="single" w:sz="4" w:space="0" w:color="A6A6A6" w:themeColor="background1" w:themeShade="A6"/>
              <w:bottom w:val="single" w:sz="4" w:space="0" w:color="A6A6A6" w:themeColor="background1" w:themeShade="A6"/>
            </w:tcBorders>
          </w:tcPr>
          <w:p w14:paraId="257145B0" w14:textId="77777777" w:rsidR="00FA7EBF" w:rsidRPr="007939DD" w:rsidRDefault="00FA7EBF" w:rsidP="007B207C">
            <w:pPr>
              <w:pStyle w:val="ARfintablebodyright"/>
              <w:rPr>
                <w:lang w:eastAsia="en-AU"/>
              </w:rPr>
            </w:pPr>
            <w:r w:rsidRPr="00AA24AD">
              <w:t>–</w:t>
            </w:r>
          </w:p>
        </w:tc>
        <w:tc>
          <w:tcPr>
            <w:tcW w:w="1211" w:type="dxa"/>
            <w:tcBorders>
              <w:top w:val="single" w:sz="4" w:space="0" w:color="A6A6A6" w:themeColor="background1" w:themeShade="A6"/>
              <w:bottom w:val="single" w:sz="4" w:space="0" w:color="A6A6A6" w:themeColor="background1" w:themeShade="A6"/>
            </w:tcBorders>
          </w:tcPr>
          <w:p w14:paraId="058B294A" w14:textId="77777777" w:rsidR="00FA7EBF" w:rsidRPr="007939DD" w:rsidRDefault="00FA7EBF" w:rsidP="007B207C">
            <w:pPr>
              <w:pStyle w:val="ARfintablebodyright"/>
              <w:rPr>
                <w:lang w:eastAsia="en-AU"/>
              </w:rPr>
            </w:pPr>
            <w:r w:rsidRPr="00AA24AD">
              <w:t>100.0</w:t>
            </w:r>
          </w:p>
        </w:tc>
      </w:tr>
      <w:tr w:rsidR="00FA7EBF" w:rsidRPr="007939DD" w14:paraId="7C91C819" w14:textId="77777777" w:rsidTr="007B207C">
        <w:trPr>
          <w:cantSplit/>
        </w:trPr>
        <w:tc>
          <w:tcPr>
            <w:tcW w:w="4794" w:type="dxa"/>
            <w:tcBorders>
              <w:top w:val="single" w:sz="4" w:space="0" w:color="A6A6A6" w:themeColor="background1" w:themeShade="A6"/>
            </w:tcBorders>
          </w:tcPr>
          <w:p w14:paraId="26ED48FF" w14:textId="77777777" w:rsidR="00FA7EBF" w:rsidRPr="007939DD" w:rsidRDefault="00FA7EBF" w:rsidP="007B207C">
            <w:pPr>
              <w:pStyle w:val="ARfintablebody"/>
              <w:rPr>
                <w:lang w:eastAsia="en-AU"/>
              </w:rPr>
            </w:pPr>
            <w:r w:rsidRPr="00AA24AD">
              <w:t>Statutory receivables (with no impairment loss recognised)</w:t>
            </w:r>
          </w:p>
        </w:tc>
        <w:tc>
          <w:tcPr>
            <w:tcW w:w="1212" w:type="dxa"/>
            <w:tcBorders>
              <w:top w:val="single" w:sz="4" w:space="0" w:color="A6A6A6" w:themeColor="background1" w:themeShade="A6"/>
            </w:tcBorders>
          </w:tcPr>
          <w:p w14:paraId="78161ED9" w14:textId="77777777" w:rsidR="00FA7EBF" w:rsidRPr="007939DD" w:rsidRDefault="00FA7EBF" w:rsidP="007B207C">
            <w:pPr>
              <w:pStyle w:val="ARfintablebodyright"/>
              <w:rPr>
                <w:lang w:eastAsia="en-AU"/>
              </w:rPr>
            </w:pPr>
            <w:r w:rsidRPr="00AA24AD">
              <w:t>3,044.8</w:t>
            </w:r>
          </w:p>
        </w:tc>
        <w:tc>
          <w:tcPr>
            <w:tcW w:w="1211" w:type="dxa"/>
            <w:tcBorders>
              <w:top w:val="single" w:sz="4" w:space="0" w:color="A6A6A6" w:themeColor="background1" w:themeShade="A6"/>
            </w:tcBorders>
          </w:tcPr>
          <w:p w14:paraId="03AA5E3A" w14:textId="77777777" w:rsidR="00FA7EBF" w:rsidRPr="007939DD" w:rsidRDefault="00FA7EBF" w:rsidP="007B207C">
            <w:pPr>
              <w:pStyle w:val="ARfintablebodyright"/>
              <w:rPr>
                <w:lang w:eastAsia="en-AU"/>
              </w:rPr>
            </w:pPr>
            <w:r w:rsidRPr="00AA24AD">
              <w:t>–</w:t>
            </w:r>
          </w:p>
        </w:tc>
        <w:tc>
          <w:tcPr>
            <w:tcW w:w="1211" w:type="dxa"/>
            <w:tcBorders>
              <w:top w:val="single" w:sz="4" w:space="0" w:color="A6A6A6" w:themeColor="background1" w:themeShade="A6"/>
            </w:tcBorders>
          </w:tcPr>
          <w:p w14:paraId="39ED800F" w14:textId="77777777" w:rsidR="00FA7EBF" w:rsidRPr="007939DD" w:rsidRDefault="00FA7EBF" w:rsidP="007B207C">
            <w:pPr>
              <w:pStyle w:val="ARfintablebodyright"/>
              <w:rPr>
                <w:lang w:eastAsia="en-AU"/>
              </w:rPr>
            </w:pPr>
            <w:r w:rsidRPr="00AA24AD">
              <w:t>–</w:t>
            </w:r>
          </w:p>
        </w:tc>
        <w:tc>
          <w:tcPr>
            <w:tcW w:w="1211" w:type="dxa"/>
            <w:tcBorders>
              <w:top w:val="single" w:sz="4" w:space="0" w:color="A6A6A6" w:themeColor="background1" w:themeShade="A6"/>
            </w:tcBorders>
          </w:tcPr>
          <w:p w14:paraId="675680A2" w14:textId="77777777" w:rsidR="00FA7EBF" w:rsidRPr="007939DD" w:rsidRDefault="00FA7EBF" w:rsidP="007B207C">
            <w:pPr>
              <w:pStyle w:val="ARfintablebodyright"/>
              <w:rPr>
                <w:lang w:eastAsia="en-AU"/>
              </w:rPr>
            </w:pPr>
            <w:r w:rsidRPr="00AA24AD">
              <w:t>3,044.8</w:t>
            </w:r>
          </w:p>
        </w:tc>
      </w:tr>
      <w:tr w:rsidR="00FA7EBF" w:rsidRPr="007939DD" w14:paraId="187FAAFB" w14:textId="77777777" w:rsidTr="007B207C">
        <w:trPr>
          <w:cantSplit/>
        </w:trPr>
        <w:tc>
          <w:tcPr>
            <w:tcW w:w="4794" w:type="dxa"/>
          </w:tcPr>
          <w:p w14:paraId="7FB673F2" w14:textId="77777777" w:rsidR="00FA7EBF" w:rsidRPr="007939DD" w:rsidRDefault="00FA7EBF" w:rsidP="007B207C">
            <w:pPr>
              <w:pStyle w:val="ARfintablebodybold"/>
              <w:rPr>
                <w:lang w:eastAsia="en-AU"/>
              </w:rPr>
            </w:pPr>
            <w:r w:rsidRPr="00AA24AD">
              <w:t>Total financial assets</w:t>
            </w:r>
          </w:p>
        </w:tc>
        <w:tc>
          <w:tcPr>
            <w:tcW w:w="1212" w:type="dxa"/>
          </w:tcPr>
          <w:p w14:paraId="158AF757" w14:textId="77777777" w:rsidR="00FA7EBF" w:rsidRPr="007939DD" w:rsidRDefault="00FA7EBF" w:rsidP="007B207C">
            <w:pPr>
              <w:pStyle w:val="ARfintablebodyrightbold"/>
              <w:rPr>
                <w:lang w:eastAsia="en-AU"/>
              </w:rPr>
            </w:pPr>
            <w:r w:rsidRPr="00AA24AD">
              <w:t>3,506.7</w:t>
            </w:r>
          </w:p>
        </w:tc>
        <w:tc>
          <w:tcPr>
            <w:tcW w:w="1211" w:type="dxa"/>
          </w:tcPr>
          <w:p w14:paraId="0F3F71CA" w14:textId="77777777" w:rsidR="00FA7EBF" w:rsidRPr="007939DD" w:rsidRDefault="00FA7EBF" w:rsidP="007B207C">
            <w:pPr>
              <w:pStyle w:val="ARfintablebodyrightbold"/>
              <w:rPr>
                <w:lang w:eastAsia="en-AU"/>
              </w:rPr>
            </w:pPr>
            <w:r w:rsidRPr="00AA24AD">
              <w:t>438.0</w:t>
            </w:r>
          </w:p>
        </w:tc>
        <w:tc>
          <w:tcPr>
            <w:tcW w:w="1211" w:type="dxa"/>
          </w:tcPr>
          <w:p w14:paraId="0FFD1A2B" w14:textId="77777777" w:rsidR="00FA7EBF" w:rsidRPr="007939DD" w:rsidRDefault="00FA7EBF" w:rsidP="007B207C">
            <w:pPr>
              <w:pStyle w:val="ARfintablebodyrightbold"/>
              <w:rPr>
                <w:lang w:eastAsia="en-AU"/>
              </w:rPr>
            </w:pPr>
            <w:r w:rsidRPr="00AA24AD">
              <w:t>419.9</w:t>
            </w:r>
          </w:p>
        </w:tc>
        <w:tc>
          <w:tcPr>
            <w:tcW w:w="1211" w:type="dxa"/>
          </w:tcPr>
          <w:p w14:paraId="7BE1978B" w14:textId="77777777" w:rsidR="00FA7EBF" w:rsidRPr="007939DD" w:rsidRDefault="00FA7EBF" w:rsidP="007B207C">
            <w:pPr>
              <w:pStyle w:val="ARfintablebodyrightbold"/>
              <w:rPr>
                <w:rStyle w:val="Strong"/>
                <w:bCs w:val="0"/>
              </w:rPr>
            </w:pPr>
            <w:r w:rsidRPr="00AA24AD">
              <w:t>4,364.6</w:t>
            </w:r>
          </w:p>
        </w:tc>
      </w:tr>
      <w:tr w:rsidR="00FA7EBF" w:rsidRPr="007939DD" w14:paraId="4905984E" w14:textId="77777777" w:rsidTr="007B207C">
        <w:trPr>
          <w:cantSplit/>
        </w:trPr>
        <w:tc>
          <w:tcPr>
            <w:tcW w:w="9639" w:type="dxa"/>
            <w:gridSpan w:val="5"/>
          </w:tcPr>
          <w:p w14:paraId="74CF1FD8" w14:textId="77777777" w:rsidR="00FA7EBF" w:rsidRPr="007939DD" w:rsidRDefault="00FA7EBF" w:rsidP="007B207C">
            <w:pPr>
              <w:pStyle w:val="ARfintablebodybold"/>
              <w:rPr>
                <w:rStyle w:val="Strong"/>
                <w:bCs/>
              </w:rPr>
            </w:pPr>
            <w:r w:rsidRPr="00AA24AD">
              <w:t>2018</w:t>
            </w:r>
          </w:p>
        </w:tc>
      </w:tr>
      <w:tr w:rsidR="00FA7EBF" w:rsidRPr="007939DD" w14:paraId="5BA14EFE" w14:textId="77777777" w:rsidTr="007B207C">
        <w:trPr>
          <w:cantSplit/>
        </w:trPr>
        <w:tc>
          <w:tcPr>
            <w:tcW w:w="4794" w:type="dxa"/>
            <w:tcBorders>
              <w:bottom w:val="single" w:sz="4" w:space="0" w:color="A6A6A6" w:themeColor="background1" w:themeShade="A6"/>
            </w:tcBorders>
          </w:tcPr>
          <w:p w14:paraId="76B0C578" w14:textId="77777777" w:rsidR="00FA7EBF" w:rsidRPr="007939DD" w:rsidRDefault="00FA7EBF" w:rsidP="007B207C">
            <w:pPr>
              <w:pStyle w:val="ARfintablebody"/>
              <w:rPr>
                <w:lang w:eastAsia="en-AU"/>
              </w:rPr>
            </w:pPr>
            <w:r w:rsidRPr="00AA24AD">
              <w:t>Cash and deposits</w:t>
            </w:r>
          </w:p>
        </w:tc>
        <w:tc>
          <w:tcPr>
            <w:tcW w:w="1212" w:type="dxa"/>
            <w:tcBorders>
              <w:bottom w:val="single" w:sz="4" w:space="0" w:color="A6A6A6" w:themeColor="background1" w:themeShade="A6"/>
            </w:tcBorders>
          </w:tcPr>
          <w:p w14:paraId="76948453" w14:textId="77777777" w:rsidR="00FA7EBF" w:rsidRPr="007939DD" w:rsidRDefault="00FA7EBF" w:rsidP="007B207C">
            <w:pPr>
              <w:pStyle w:val="ARfintablebodyright"/>
              <w:rPr>
                <w:lang w:eastAsia="en-AU"/>
              </w:rPr>
            </w:pPr>
            <w:r w:rsidRPr="00AA24AD">
              <w:t>25.1</w:t>
            </w:r>
          </w:p>
        </w:tc>
        <w:tc>
          <w:tcPr>
            <w:tcW w:w="1211" w:type="dxa"/>
            <w:tcBorders>
              <w:bottom w:val="single" w:sz="4" w:space="0" w:color="A6A6A6" w:themeColor="background1" w:themeShade="A6"/>
            </w:tcBorders>
          </w:tcPr>
          <w:p w14:paraId="3AA56E8C" w14:textId="77777777" w:rsidR="00FA7EBF" w:rsidRPr="007939DD" w:rsidRDefault="00FA7EBF" w:rsidP="007B207C">
            <w:pPr>
              <w:pStyle w:val="ARfintablebodyright"/>
              <w:rPr>
                <w:lang w:eastAsia="en-AU"/>
              </w:rPr>
            </w:pPr>
            <w:r w:rsidRPr="00AA24AD">
              <w:t>358.1</w:t>
            </w:r>
          </w:p>
        </w:tc>
        <w:tc>
          <w:tcPr>
            <w:tcW w:w="1211" w:type="dxa"/>
            <w:tcBorders>
              <w:bottom w:val="single" w:sz="4" w:space="0" w:color="A6A6A6" w:themeColor="background1" w:themeShade="A6"/>
            </w:tcBorders>
          </w:tcPr>
          <w:p w14:paraId="778EB737" w14:textId="77777777" w:rsidR="00FA7EBF" w:rsidRPr="007939DD" w:rsidRDefault="00FA7EBF" w:rsidP="007B207C">
            <w:pPr>
              <w:pStyle w:val="ARfintablebodyright"/>
              <w:rPr>
                <w:lang w:eastAsia="en-AU"/>
              </w:rPr>
            </w:pPr>
            <w:r w:rsidRPr="00AA24AD">
              <w:t>–</w:t>
            </w:r>
          </w:p>
        </w:tc>
        <w:tc>
          <w:tcPr>
            <w:tcW w:w="1211" w:type="dxa"/>
            <w:tcBorders>
              <w:bottom w:val="single" w:sz="4" w:space="0" w:color="A6A6A6" w:themeColor="background1" w:themeShade="A6"/>
            </w:tcBorders>
          </w:tcPr>
          <w:p w14:paraId="3917A853" w14:textId="77777777" w:rsidR="00FA7EBF" w:rsidRPr="007939DD" w:rsidRDefault="00FA7EBF" w:rsidP="007B207C">
            <w:pPr>
              <w:pStyle w:val="ARfintablebodyright"/>
              <w:rPr>
                <w:lang w:eastAsia="en-AU"/>
              </w:rPr>
            </w:pPr>
            <w:r w:rsidRPr="00AA24AD">
              <w:t>383.2</w:t>
            </w:r>
          </w:p>
        </w:tc>
      </w:tr>
      <w:tr w:rsidR="00FA7EBF" w:rsidRPr="007939DD" w14:paraId="76EA63DE" w14:textId="77777777" w:rsidTr="007B207C">
        <w:trPr>
          <w:cantSplit/>
        </w:trPr>
        <w:tc>
          <w:tcPr>
            <w:tcW w:w="4794" w:type="dxa"/>
            <w:tcBorders>
              <w:top w:val="single" w:sz="4" w:space="0" w:color="A6A6A6" w:themeColor="background1" w:themeShade="A6"/>
              <w:bottom w:val="single" w:sz="4" w:space="0" w:color="A6A6A6" w:themeColor="background1" w:themeShade="A6"/>
            </w:tcBorders>
          </w:tcPr>
          <w:p w14:paraId="5660541E" w14:textId="77777777" w:rsidR="00FA7EBF" w:rsidRPr="007939DD" w:rsidRDefault="00FA7EBF" w:rsidP="007B207C">
            <w:pPr>
              <w:pStyle w:val="ARfintablebody"/>
              <w:rPr>
                <w:lang w:eastAsia="en-AU"/>
              </w:rPr>
            </w:pPr>
            <w:r w:rsidRPr="00AA24AD">
              <w:t xml:space="preserve">Receivables </w:t>
            </w:r>
            <w:r w:rsidRPr="00DB5DE8">
              <w:rPr>
                <w:rStyle w:val="Superscript"/>
              </w:rPr>
              <w:t>(i)(ii)</w:t>
            </w:r>
          </w:p>
        </w:tc>
        <w:tc>
          <w:tcPr>
            <w:tcW w:w="1212" w:type="dxa"/>
            <w:tcBorders>
              <w:top w:val="single" w:sz="4" w:space="0" w:color="A6A6A6" w:themeColor="background1" w:themeShade="A6"/>
              <w:bottom w:val="single" w:sz="4" w:space="0" w:color="A6A6A6" w:themeColor="background1" w:themeShade="A6"/>
            </w:tcBorders>
          </w:tcPr>
          <w:p w14:paraId="4887E7AD" w14:textId="77777777" w:rsidR="00FA7EBF" w:rsidRPr="007939DD" w:rsidRDefault="00FA7EBF" w:rsidP="007B207C">
            <w:pPr>
              <w:pStyle w:val="ARfintablebodyright"/>
              <w:rPr>
                <w:lang w:eastAsia="en-AU"/>
              </w:rPr>
            </w:pPr>
            <w:r w:rsidRPr="00AA24AD">
              <w:t>–</w:t>
            </w:r>
          </w:p>
        </w:tc>
        <w:tc>
          <w:tcPr>
            <w:tcW w:w="1211" w:type="dxa"/>
            <w:tcBorders>
              <w:top w:val="single" w:sz="4" w:space="0" w:color="A6A6A6" w:themeColor="background1" w:themeShade="A6"/>
              <w:bottom w:val="single" w:sz="4" w:space="0" w:color="A6A6A6" w:themeColor="background1" w:themeShade="A6"/>
            </w:tcBorders>
          </w:tcPr>
          <w:p w14:paraId="20CFBD74" w14:textId="77777777" w:rsidR="00FA7EBF" w:rsidRPr="007939DD" w:rsidRDefault="00FA7EBF" w:rsidP="007B207C">
            <w:pPr>
              <w:pStyle w:val="ARfintablebodyright"/>
              <w:rPr>
                <w:lang w:eastAsia="en-AU"/>
              </w:rPr>
            </w:pPr>
            <w:r w:rsidRPr="00AA24AD">
              <w:t>–</w:t>
            </w:r>
          </w:p>
        </w:tc>
        <w:tc>
          <w:tcPr>
            <w:tcW w:w="1211" w:type="dxa"/>
            <w:tcBorders>
              <w:top w:val="single" w:sz="4" w:space="0" w:color="A6A6A6" w:themeColor="background1" w:themeShade="A6"/>
              <w:bottom w:val="single" w:sz="4" w:space="0" w:color="A6A6A6" w:themeColor="background1" w:themeShade="A6"/>
            </w:tcBorders>
          </w:tcPr>
          <w:p w14:paraId="5CA3CA4E" w14:textId="77777777" w:rsidR="00FA7EBF" w:rsidRPr="007939DD" w:rsidRDefault="00FA7EBF" w:rsidP="007B207C">
            <w:pPr>
              <w:pStyle w:val="ARfintablebodyright"/>
              <w:rPr>
                <w:lang w:eastAsia="en-AU"/>
              </w:rPr>
            </w:pPr>
            <w:r w:rsidRPr="00AA24AD">
              <w:t>88.3</w:t>
            </w:r>
          </w:p>
        </w:tc>
        <w:tc>
          <w:tcPr>
            <w:tcW w:w="1211" w:type="dxa"/>
            <w:tcBorders>
              <w:top w:val="single" w:sz="4" w:space="0" w:color="A6A6A6" w:themeColor="background1" w:themeShade="A6"/>
              <w:bottom w:val="single" w:sz="4" w:space="0" w:color="A6A6A6" w:themeColor="background1" w:themeShade="A6"/>
            </w:tcBorders>
          </w:tcPr>
          <w:p w14:paraId="1294F0E6" w14:textId="77777777" w:rsidR="00FA7EBF" w:rsidRPr="007939DD" w:rsidRDefault="00FA7EBF" w:rsidP="007B207C">
            <w:pPr>
              <w:pStyle w:val="ARfintablebodyright"/>
              <w:rPr>
                <w:lang w:eastAsia="en-AU"/>
              </w:rPr>
            </w:pPr>
            <w:r w:rsidRPr="00AA24AD">
              <w:t>88.3</w:t>
            </w:r>
          </w:p>
        </w:tc>
      </w:tr>
      <w:tr w:rsidR="00FA7EBF" w:rsidRPr="007939DD" w14:paraId="1964FE41" w14:textId="77777777" w:rsidTr="007B207C">
        <w:trPr>
          <w:cantSplit/>
        </w:trPr>
        <w:tc>
          <w:tcPr>
            <w:tcW w:w="4794" w:type="dxa"/>
            <w:tcBorders>
              <w:top w:val="single" w:sz="4" w:space="0" w:color="A6A6A6" w:themeColor="background1" w:themeShade="A6"/>
              <w:bottom w:val="single" w:sz="4" w:space="0" w:color="A6A6A6" w:themeColor="background1" w:themeShade="A6"/>
            </w:tcBorders>
          </w:tcPr>
          <w:p w14:paraId="19064452" w14:textId="77777777" w:rsidR="00FA7EBF" w:rsidRPr="007939DD" w:rsidRDefault="00FA7EBF" w:rsidP="007B207C">
            <w:pPr>
              <w:pStyle w:val="ARfintablebody"/>
              <w:rPr>
                <w:lang w:eastAsia="en-AU"/>
              </w:rPr>
            </w:pPr>
            <w:r w:rsidRPr="00AA24AD">
              <w:t xml:space="preserve">Loans </w:t>
            </w:r>
            <w:r w:rsidRPr="00DB5DE8">
              <w:rPr>
                <w:rStyle w:val="Superscript"/>
              </w:rPr>
              <w:t>(ii)</w:t>
            </w:r>
          </w:p>
        </w:tc>
        <w:tc>
          <w:tcPr>
            <w:tcW w:w="1212" w:type="dxa"/>
            <w:tcBorders>
              <w:top w:val="single" w:sz="4" w:space="0" w:color="A6A6A6" w:themeColor="background1" w:themeShade="A6"/>
              <w:bottom w:val="single" w:sz="4" w:space="0" w:color="A6A6A6" w:themeColor="background1" w:themeShade="A6"/>
            </w:tcBorders>
          </w:tcPr>
          <w:p w14:paraId="2077BD41" w14:textId="77777777" w:rsidR="00FA7EBF" w:rsidRPr="007939DD" w:rsidRDefault="00FA7EBF" w:rsidP="007B207C">
            <w:pPr>
              <w:pStyle w:val="ARfintablebodyright"/>
              <w:rPr>
                <w:lang w:eastAsia="en-AU"/>
              </w:rPr>
            </w:pPr>
            <w:r w:rsidRPr="00AA24AD">
              <w:t>–</w:t>
            </w:r>
          </w:p>
        </w:tc>
        <w:tc>
          <w:tcPr>
            <w:tcW w:w="1211" w:type="dxa"/>
            <w:tcBorders>
              <w:top w:val="single" w:sz="4" w:space="0" w:color="A6A6A6" w:themeColor="background1" w:themeShade="A6"/>
              <w:bottom w:val="single" w:sz="4" w:space="0" w:color="A6A6A6" w:themeColor="background1" w:themeShade="A6"/>
            </w:tcBorders>
          </w:tcPr>
          <w:p w14:paraId="2CA43AAF" w14:textId="77777777" w:rsidR="00FA7EBF" w:rsidRPr="007939DD" w:rsidRDefault="00FA7EBF" w:rsidP="007B207C">
            <w:pPr>
              <w:pStyle w:val="ARfintablebodyright"/>
              <w:rPr>
                <w:lang w:eastAsia="en-AU"/>
              </w:rPr>
            </w:pPr>
            <w:r w:rsidRPr="00AA24AD">
              <w:t>–</w:t>
            </w:r>
          </w:p>
        </w:tc>
        <w:tc>
          <w:tcPr>
            <w:tcW w:w="1211" w:type="dxa"/>
            <w:tcBorders>
              <w:top w:val="single" w:sz="4" w:space="0" w:color="A6A6A6" w:themeColor="background1" w:themeShade="A6"/>
              <w:bottom w:val="single" w:sz="4" w:space="0" w:color="A6A6A6" w:themeColor="background1" w:themeShade="A6"/>
            </w:tcBorders>
          </w:tcPr>
          <w:p w14:paraId="336C1DC6" w14:textId="77777777" w:rsidR="00FA7EBF" w:rsidRPr="007939DD" w:rsidRDefault="00FA7EBF" w:rsidP="007B207C">
            <w:pPr>
              <w:pStyle w:val="ARfintablebodyright"/>
              <w:rPr>
                <w:lang w:eastAsia="en-AU"/>
              </w:rPr>
            </w:pPr>
            <w:r w:rsidRPr="00AA24AD">
              <w:t>105.7</w:t>
            </w:r>
          </w:p>
        </w:tc>
        <w:tc>
          <w:tcPr>
            <w:tcW w:w="1211" w:type="dxa"/>
            <w:tcBorders>
              <w:top w:val="single" w:sz="4" w:space="0" w:color="A6A6A6" w:themeColor="background1" w:themeShade="A6"/>
              <w:bottom w:val="single" w:sz="4" w:space="0" w:color="A6A6A6" w:themeColor="background1" w:themeShade="A6"/>
            </w:tcBorders>
          </w:tcPr>
          <w:p w14:paraId="55BEF25F" w14:textId="77777777" w:rsidR="00FA7EBF" w:rsidRPr="007939DD" w:rsidRDefault="00FA7EBF" w:rsidP="007B207C">
            <w:pPr>
              <w:pStyle w:val="ARfintablebodyright"/>
              <w:rPr>
                <w:lang w:eastAsia="en-AU"/>
              </w:rPr>
            </w:pPr>
            <w:r w:rsidRPr="00AA24AD">
              <w:t>105.7</w:t>
            </w:r>
          </w:p>
        </w:tc>
      </w:tr>
      <w:tr w:rsidR="00FA7EBF" w:rsidRPr="007939DD" w14:paraId="27762CDD" w14:textId="77777777" w:rsidTr="007B207C">
        <w:trPr>
          <w:cantSplit/>
        </w:trPr>
        <w:tc>
          <w:tcPr>
            <w:tcW w:w="4794" w:type="dxa"/>
            <w:tcBorders>
              <w:top w:val="single" w:sz="4" w:space="0" w:color="A6A6A6" w:themeColor="background1" w:themeShade="A6"/>
            </w:tcBorders>
          </w:tcPr>
          <w:p w14:paraId="527AD1FD" w14:textId="77777777" w:rsidR="00FA7EBF" w:rsidRPr="007939DD" w:rsidRDefault="00FA7EBF" w:rsidP="007B207C">
            <w:pPr>
              <w:pStyle w:val="ARfintablebody"/>
              <w:rPr>
                <w:lang w:eastAsia="en-AU"/>
              </w:rPr>
            </w:pPr>
            <w:r w:rsidRPr="00AA24AD">
              <w:t>Short-term investments – term deposits</w:t>
            </w:r>
          </w:p>
        </w:tc>
        <w:tc>
          <w:tcPr>
            <w:tcW w:w="1212" w:type="dxa"/>
            <w:tcBorders>
              <w:top w:val="single" w:sz="4" w:space="0" w:color="A6A6A6" w:themeColor="background1" w:themeShade="A6"/>
            </w:tcBorders>
          </w:tcPr>
          <w:p w14:paraId="4CD6B099" w14:textId="77777777" w:rsidR="00FA7EBF" w:rsidRPr="007939DD" w:rsidRDefault="00FA7EBF" w:rsidP="007B207C">
            <w:pPr>
              <w:pStyle w:val="ARfintablebodyright"/>
              <w:rPr>
                <w:lang w:eastAsia="en-AU"/>
              </w:rPr>
            </w:pPr>
            <w:r w:rsidRPr="00AA24AD">
              <w:t>–</w:t>
            </w:r>
          </w:p>
        </w:tc>
        <w:tc>
          <w:tcPr>
            <w:tcW w:w="1211" w:type="dxa"/>
            <w:tcBorders>
              <w:top w:val="single" w:sz="4" w:space="0" w:color="A6A6A6" w:themeColor="background1" w:themeShade="A6"/>
            </w:tcBorders>
          </w:tcPr>
          <w:p w14:paraId="6341C7AE" w14:textId="77777777" w:rsidR="00FA7EBF" w:rsidRPr="007939DD" w:rsidRDefault="00FA7EBF" w:rsidP="007B207C">
            <w:pPr>
              <w:pStyle w:val="ARfintablebodyright"/>
              <w:rPr>
                <w:lang w:eastAsia="en-AU"/>
              </w:rPr>
            </w:pPr>
            <w:r w:rsidRPr="00AA24AD">
              <w:t>534.8</w:t>
            </w:r>
          </w:p>
        </w:tc>
        <w:tc>
          <w:tcPr>
            <w:tcW w:w="1211" w:type="dxa"/>
            <w:tcBorders>
              <w:top w:val="single" w:sz="4" w:space="0" w:color="A6A6A6" w:themeColor="background1" w:themeShade="A6"/>
            </w:tcBorders>
          </w:tcPr>
          <w:p w14:paraId="6D963FD7" w14:textId="77777777" w:rsidR="00FA7EBF" w:rsidRPr="007939DD" w:rsidRDefault="00FA7EBF" w:rsidP="007B207C">
            <w:pPr>
              <w:pStyle w:val="ARfintablebodyright"/>
              <w:rPr>
                <w:lang w:eastAsia="en-AU"/>
              </w:rPr>
            </w:pPr>
            <w:r w:rsidRPr="00AA24AD">
              <w:t>–</w:t>
            </w:r>
          </w:p>
        </w:tc>
        <w:tc>
          <w:tcPr>
            <w:tcW w:w="1211" w:type="dxa"/>
            <w:tcBorders>
              <w:top w:val="single" w:sz="4" w:space="0" w:color="A6A6A6" w:themeColor="background1" w:themeShade="A6"/>
            </w:tcBorders>
          </w:tcPr>
          <w:p w14:paraId="381C0EF2" w14:textId="77777777" w:rsidR="00FA7EBF" w:rsidRPr="007939DD" w:rsidRDefault="00FA7EBF" w:rsidP="007B207C">
            <w:pPr>
              <w:pStyle w:val="ARfintablebodyright"/>
              <w:rPr>
                <w:lang w:eastAsia="en-AU"/>
              </w:rPr>
            </w:pPr>
            <w:r w:rsidRPr="00AA24AD">
              <w:t>534.8</w:t>
            </w:r>
          </w:p>
        </w:tc>
      </w:tr>
      <w:tr w:rsidR="00FA7EBF" w:rsidRPr="007939DD" w14:paraId="0787282A" w14:textId="77777777" w:rsidTr="007B207C">
        <w:trPr>
          <w:cantSplit/>
        </w:trPr>
        <w:tc>
          <w:tcPr>
            <w:tcW w:w="4794" w:type="dxa"/>
          </w:tcPr>
          <w:p w14:paraId="7BA3D0AE" w14:textId="77777777" w:rsidR="00FA7EBF" w:rsidRPr="007939DD" w:rsidRDefault="00FA7EBF" w:rsidP="007B207C">
            <w:pPr>
              <w:pStyle w:val="ARfintablebodybold"/>
              <w:rPr>
                <w:lang w:eastAsia="en-AU"/>
              </w:rPr>
            </w:pPr>
            <w:r w:rsidRPr="00AA24AD">
              <w:t>Total contractual financial assets</w:t>
            </w:r>
          </w:p>
        </w:tc>
        <w:tc>
          <w:tcPr>
            <w:tcW w:w="1212" w:type="dxa"/>
          </w:tcPr>
          <w:p w14:paraId="56899E78" w14:textId="77777777" w:rsidR="00FA7EBF" w:rsidRPr="007939DD" w:rsidRDefault="00FA7EBF" w:rsidP="007B207C">
            <w:pPr>
              <w:pStyle w:val="ARfintablebodyrightbold"/>
              <w:rPr>
                <w:lang w:eastAsia="en-AU"/>
              </w:rPr>
            </w:pPr>
            <w:r w:rsidRPr="00AA24AD">
              <w:t>25.1</w:t>
            </w:r>
          </w:p>
        </w:tc>
        <w:tc>
          <w:tcPr>
            <w:tcW w:w="1211" w:type="dxa"/>
          </w:tcPr>
          <w:p w14:paraId="789133C9" w14:textId="77777777" w:rsidR="00FA7EBF" w:rsidRPr="007939DD" w:rsidRDefault="00FA7EBF" w:rsidP="007B207C">
            <w:pPr>
              <w:pStyle w:val="ARfintablebodyrightbold"/>
              <w:rPr>
                <w:lang w:eastAsia="en-AU"/>
              </w:rPr>
            </w:pPr>
            <w:r w:rsidRPr="00AA24AD">
              <w:t>892.9</w:t>
            </w:r>
          </w:p>
        </w:tc>
        <w:tc>
          <w:tcPr>
            <w:tcW w:w="1211" w:type="dxa"/>
          </w:tcPr>
          <w:p w14:paraId="757CB02F" w14:textId="77777777" w:rsidR="00FA7EBF" w:rsidRPr="007939DD" w:rsidRDefault="00FA7EBF" w:rsidP="007B207C">
            <w:pPr>
              <w:pStyle w:val="ARfintablebodyrightbold"/>
              <w:rPr>
                <w:lang w:eastAsia="en-AU"/>
              </w:rPr>
            </w:pPr>
            <w:r w:rsidRPr="00AA24AD">
              <w:t>194.0</w:t>
            </w:r>
          </w:p>
        </w:tc>
        <w:tc>
          <w:tcPr>
            <w:tcW w:w="1211" w:type="dxa"/>
          </w:tcPr>
          <w:p w14:paraId="4B7FF92E" w14:textId="77777777" w:rsidR="00FA7EBF" w:rsidRPr="007939DD" w:rsidRDefault="00FA7EBF" w:rsidP="007B207C">
            <w:pPr>
              <w:pStyle w:val="ARfintablebodyrightbold"/>
              <w:rPr>
                <w:rStyle w:val="Strong"/>
                <w:bCs w:val="0"/>
              </w:rPr>
            </w:pPr>
            <w:r w:rsidRPr="00AA24AD">
              <w:t>1,112.0</w:t>
            </w:r>
          </w:p>
        </w:tc>
      </w:tr>
    </w:tbl>
    <w:p w14:paraId="671C8D8D" w14:textId="77777777" w:rsidR="00FA7EBF" w:rsidRPr="00194D78" w:rsidRDefault="00FA7EBF" w:rsidP="00CA66FD">
      <w:pPr>
        <w:pStyle w:val="ARfintablefootnote"/>
        <w:rPr>
          <w:lang w:eastAsia="en-AU"/>
        </w:rPr>
      </w:pPr>
      <w:r w:rsidRPr="00194D78">
        <w:rPr>
          <w:lang w:eastAsia="en-AU"/>
        </w:rPr>
        <w:t>Notes:</w:t>
      </w:r>
    </w:p>
    <w:p w14:paraId="4D6F4033" w14:textId="77777777" w:rsidR="00FA7EBF" w:rsidRPr="00194D78" w:rsidRDefault="00FA7EBF" w:rsidP="00CA66FD">
      <w:pPr>
        <w:pStyle w:val="ARfintablefootnoteindent"/>
      </w:pPr>
      <w:r w:rsidRPr="00194D78">
        <w:t>(i)</w:t>
      </w:r>
      <w:r>
        <w:tab/>
      </w:r>
      <w:r w:rsidRPr="00194D78">
        <w:t>The total amounts disclosed here exclude statutory amounts, for example, amounts owing from Victorian Government, GST input tax credit recoverable and other taxes payable.</w:t>
      </w:r>
    </w:p>
    <w:p w14:paraId="3FFEC689" w14:textId="77777777" w:rsidR="00FA7EBF" w:rsidRPr="00194D78" w:rsidRDefault="00FA7EBF" w:rsidP="00CA66FD">
      <w:pPr>
        <w:pStyle w:val="ARfintablefootnoteindent"/>
      </w:pPr>
      <w:r w:rsidRPr="00194D78">
        <w:t>(ii)</w:t>
      </w:r>
      <w:r>
        <w:tab/>
      </w:r>
      <w:r w:rsidRPr="00194D78">
        <w:t>The carrying amounts consist of amounts due from numerous counterparties for which no credit ratings have been disclosed due to impracticability.</w:t>
      </w:r>
    </w:p>
    <w:p w14:paraId="2C133FBA" w14:textId="77777777" w:rsidR="00FA7EBF" w:rsidRPr="00194D78" w:rsidRDefault="00FA7EBF" w:rsidP="00CA66FD">
      <w:pPr>
        <w:pStyle w:val="Heading7"/>
        <w:rPr>
          <w:lang w:val="x-none"/>
        </w:rPr>
      </w:pPr>
      <w:r w:rsidRPr="00194D78">
        <w:rPr>
          <w:lang w:val="x-none"/>
        </w:rPr>
        <w:t>Impairment of financial assets under AASB 9</w:t>
      </w:r>
      <w:r>
        <w:rPr>
          <w:lang w:val="x-none"/>
        </w:rPr>
        <w:t xml:space="preserve"> – </w:t>
      </w:r>
      <w:r w:rsidRPr="00194D78">
        <w:rPr>
          <w:lang w:val="x-none"/>
        </w:rPr>
        <w:t>applicable from 1 July 2018</w:t>
      </w:r>
    </w:p>
    <w:p w14:paraId="798080C2" w14:textId="77777777" w:rsidR="00FA7EBF" w:rsidRPr="00194D78" w:rsidRDefault="00FA7EBF" w:rsidP="00CA66FD">
      <w:pPr>
        <w:pStyle w:val="ARfinbody"/>
      </w:pPr>
      <w:r w:rsidRPr="00194D78">
        <w:t>From 1 July 2018, the department has been recording the allowance for expected credit loss for the relevant financial instruments, replacing AASB 139</w:t>
      </w:r>
      <w:r>
        <w:t>’</w:t>
      </w:r>
      <w:r w:rsidRPr="00194D78">
        <w:t>s incurred loss approach with AASB 9</w:t>
      </w:r>
      <w:r>
        <w:t>’</w:t>
      </w:r>
      <w:r w:rsidRPr="00194D78">
        <w:t>s Expected Credit Loss approach. Subject to AASB 9 impairment assessment include the department</w:t>
      </w:r>
      <w:r>
        <w:t>’</w:t>
      </w:r>
      <w:r w:rsidRPr="00194D78">
        <w:t>s contractual receivables, statutory receivables and its investment in debt instruments.</w:t>
      </w:r>
    </w:p>
    <w:p w14:paraId="51D88989" w14:textId="77777777" w:rsidR="00FA7EBF" w:rsidRPr="00194D78" w:rsidRDefault="00FA7EBF" w:rsidP="00CA66FD">
      <w:pPr>
        <w:pStyle w:val="ARfinbody"/>
      </w:pPr>
      <w:r w:rsidRPr="00194D78">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w:t>
      </w:r>
    </w:p>
    <w:p w14:paraId="7B213EBB" w14:textId="77777777" w:rsidR="00FA7EBF" w:rsidRPr="001A7E03" w:rsidRDefault="00FA7EBF" w:rsidP="00CA66FD">
      <w:pPr>
        <w:pStyle w:val="ARfinbody"/>
      </w:pPr>
      <w:r w:rsidRPr="001A7E03">
        <w:br w:type="page"/>
      </w:r>
    </w:p>
    <w:p w14:paraId="457096B3" w14:textId="77777777" w:rsidR="00FA7EBF" w:rsidRPr="00194D78" w:rsidRDefault="00FA7EBF" w:rsidP="00CA66FD">
      <w:pPr>
        <w:pStyle w:val="Heading7"/>
        <w:rPr>
          <w:lang w:val="x-none"/>
        </w:rPr>
      </w:pPr>
      <w:r w:rsidRPr="00194D78">
        <w:rPr>
          <w:lang w:val="x-none"/>
        </w:rPr>
        <w:t>Contractual receivables at amortised cost</w:t>
      </w:r>
    </w:p>
    <w:p w14:paraId="0B523A28" w14:textId="77777777" w:rsidR="00FA7EBF" w:rsidRPr="001A7E03" w:rsidRDefault="00FA7EBF" w:rsidP="00CA66FD">
      <w:pPr>
        <w:pStyle w:val="ARfinbody"/>
      </w:pPr>
      <w:r w:rsidRPr="00194D78">
        <w:t>The department applies AASB 9 simplified approach for all contractual receivables to measure expected credit losses using a lifetime expected loss allowance based on the assumptions about risk of default and expected loss rates. The department has grouped contractual receiv</w:t>
      </w:r>
      <w:r w:rsidRPr="001A7E03">
        <w:t>ables on shared credit risk characteristics and days past due and select the expected credit loss rate based on the</w:t>
      </w:r>
      <w:r>
        <w:t> </w:t>
      </w:r>
      <w:r w:rsidRPr="001A7E03">
        <w:t>department’s past history, existing market conditions, as well as forward-looking estimates at the end of financial year.</w:t>
      </w:r>
    </w:p>
    <w:p w14:paraId="6C8DBDEF" w14:textId="77777777" w:rsidR="00FA7EBF" w:rsidRDefault="00FA7EBF" w:rsidP="00CA66FD">
      <w:pPr>
        <w:pStyle w:val="ARfinbody"/>
      </w:pPr>
      <w:r w:rsidRPr="001A7E03">
        <w:t>On this basis, the de</w:t>
      </w:r>
      <w:r w:rsidRPr="00194D78">
        <w:t>partment determines the opening loss allowance on initial application date of AASB 9 and the closing loss allowance at the of financial year as follows: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400"/>
        <w:gridCol w:w="850"/>
        <w:gridCol w:w="1134"/>
        <w:gridCol w:w="851"/>
        <w:gridCol w:w="851"/>
        <w:gridCol w:w="851"/>
        <w:gridCol w:w="851"/>
        <w:gridCol w:w="851"/>
      </w:tblGrid>
      <w:tr w:rsidR="00FA7EBF" w:rsidRPr="007939DD" w14:paraId="5C7E6BB4" w14:textId="77777777" w:rsidTr="007B207C">
        <w:trPr>
          <w:cantSplit/>
          <w:tblHeader/>
        </w:trPr>
        <w:tc>
          <w:tcPr>
            <w:tcW w:w="3400" w:type="dxa"/>
            <w:vMerge w:val="restart"/>
            <w:vAlign w:val="bottom"/>
          </w:tcPr>
          <w:p w14:paraId="14BC7CE0" w14:textId="77777777" w:rsidR="00FA7EBF" w:rsidRPr="007939DD" w:rsidRDefault="00FA7EBF" w:rsidP="007B207C">
            <w:pPr>
              <w:pStyle w:val="ARfintablecolhead"/>
            </w:pPr>
          </w:p>
        </w:tc>
        <w:tc>
          <w:tcPr>
            <w:tcW w:w="850" w:type="dxa"/>
            <w:vMerge w:val="restart"/>
            <w:vAlign w:val="bottom"/>
          </w:tcPr>
          <w:p w14:paraId="1E0F6B61" w14:textId="77777777" w:rsidR="00FA7EBF" w:rsidRDefault="00FA7EBF" w:rsidP="007B207C">
            <w:pPr>
              <w:pStyle w:val="ARfintablecolheadright"/>
            </w:pPr>
            <w:r>
              <w:t>Gross amount</w:t>
            </w:r>
          </w:p>
          <w:p w14:paraId="50971F16" w14:textId="77777777" w:rsidR="00FA7EBF" w:rsidRPr="007939DD" w:rsidRDefault="00FA7EBF" w:rsidP="007B207C">
            <w:pPr>
              <w:pStyle w:val="ARfintablecolheadright"/>
            </w:pPr>
            <w:r>
              <w:t>$M</w:t>
            </w:r>
          </w:p>
        </w:tc>
        <w:tc>
          <w:tcPr>
            <w:tcW w:w="1134" w:type="dxa"/>
            <w:vMerge w:val="restart"/>
            <w:vAlign w:val="bottom"/>
          </w:tcPr>
          <w:p w14:paraId="50906755" w14:textId="77777777" w:rsidR="00FA7EBF" w:rsidRPr="007939DD" w:rsidRDefault="00FA7EBF" w:rsidP="007B207C">
            <w:pPr>
              <w:pStyle w:val="ARfintablecolheadright"/>
            </w:pPr>
            <w:r w:rsidRPr="007939DD">
              <w:t xml:space="preserve">Not past due and not impaired </w:t>
            </w:r>
            <w:r w:rsidRPr="007939DD">
              <w:rPr>
                <w:rStyle w:val="Superscriptbold"/>
              </w:rPr>
              <w:t>(i)</w:t>
            </w:r>
          </w:p>
          <w:p w14:paraId="4ED907A3" w14:textId="77777777" w:rsidR="00FA7EBF" w:rsidRPr="007939DD" w:rsidRDefault="00FA7EBF" w:rsidP="007B207C">
            <w:pPr>
              <w:pStyle w:val="ARfintablecolheadright"/>
            </w:pPr>
            <w:r w:rsidRPr="007939DD">
              <w:t>$M</w:t>
            </w:r>
          </w:p>
        </w:tc>
        <w:tc>
          <w:tcPr>
            <w:tcW w:w="4255" w:type="dxa"/>
            <w:gridSpan w:val="5"/>
            <w:vAlign w:val="bottom"/>
          </w:tcPr>
          <w:p w14:paraId="7706D74C" w14:textId="77777777" w:rsidR="00FA7EBF" w:rsidRPr="007939DD" w:rsidRDefault="00FA7EBF" w:rsidP="007B207C">
            <w:pPr>
              <w:pStyle w:val="ARfintablecolheadcentre"/>
            </w:pPr>
            <w:r w:rsidRPr="007939DD">
              <w:t>Past due</w:t>
            </w:r>
          </w:p>
        </w:tc>
      </w:tr>
      <w:tr w:rsidR="00FA7EBF" w:rsidRPr="007939DD" w14:paraId="1CBE244C" w14:textId="77777777" w:rsidTr="007B207C">
        <w:trPr>
          <w:cantSplit/>
          <w:tblHeader/>
        </w:trPr>
        <w:tc>
          <w:tcPr>
            <w:tcW w:w="3400" w:type="dxa"/>
            <w:vMerge/>
            <w:vAlign w:val="bottom"/>
          </w:tcPr>
          <w:p w14:paraId="78F6C436" w14:textId="77777777" w:rsidR="00FA7EBF" w:rsidRPr="007939DD" w:rsidRDefault="00FA7EBF" w:rsidP="007B207C">
            <w:pPr>
              <w:autoSpaceDE w:val="0"/>
              <w:autoSpaceDN w:val="0"/>
              <w:adjustRightInd w:val="0"/>
              <w:spacing w:beforeLines="40" w:before="96" w:afterLines="20" w:after="48"/>
              <w:rPr>
                <w:rFonts w:cs="Arial"/>
                <w:b/>
                <w:bCs/>
                <w:color w:val="000000"/>
                <w:sz w:val="16"/>
                <w:szCs w:val="16"/>
              </w:rPr>
            </w:pPr>
          </w:p>
        </w:tc>
        <w:tc>
          <w:tcPr>
            <w:tcW w:w="850" w:type="dxa"/>
            <w:vMerge/>
            <w:vAlign w:val="bottom"/>
          </w:tcPr>
          <w:p w14:paraId="2DD23412" w14:textId="77777777" w:rsidR="00FA7EBF" w:rsidRPr="007939DD" w:rsidRDefault="00FA7EBF" w:rsidP="007B207C">
            <w:pPr>
              <w:autoSpaceDE w:val="0"/>
              <w:autoSpaceDN w:val="0"/>
              <w:adjustRightInd w:val="0"/>
              <w:spacing w:beforeLines="40" w:before="96" w:afterLines="20" w:after="48"/>
              <w:jc w:val="right"/>
              <w:rPr>
                <w:rFonts w:cs="Arial"/>
                <w:b/>
                <w:bCs/>
                <w:color w:val="000000"/>
                <w:sz w:val="16"/>
                <w:szCs w:val="16"/>
              </w:rPr>
            </w:pPr>
          </w:p>
        </w:tc>
        <w:tc>
          <w:tcPr>
            <w:tcW w:w="1134" w:type="dxa"/>
            <w:vMerge/>
            <w:vAlign w:val="bottom"/>
          </w:tcPr>
          <w:p w14:paraId="7424521B" w14:textId="77777777" w:rsidR="00FA7EBF" w:rsidRPr="007939DD" w:rsidRDefault="00FA7EBF" w:rsidP="007B207C">
            <w:pPr>
              <w:autoSpaceDE w:val="0"/>
              <w:autoSpaceDN w:val="0"/>
              <w:adjustRightInd w:val="0"/>
              <w:spacing w:beforeLines="40" w:before="96" w:afterLines="20" w:after="48"/>
              <w:jc w:val="right"/>
              <w:rPr>
                <w:rFonts w:cs="Arial"/>
                <w:b/>
                <w:bCs/>
                <w:color w:val="000000"/>
                <w:sz w:val="16"/>
                <w:szCs w:val="16"/>
              </w:rPr>
            </w:pPr>
          </w:p>
        </w:tc>
        <w:tc>
          <w:tcPr>
            <w:tcW w:w="851" w:type="dxa"/>
            <w:vAlign w:val="bottom"/>
          </w:tcPr>
          <w:p w14:paraId="306EBF29" w14:textId="77777777" w:rsidR="00FA7EBF" w:rsidRPr="007939DD" w:rsidRDefault="00FA7EBF" w:rsidP="007B207C">
            <w:pPr>
              <w:pStyle w:val="ARfintablecolheadright"/>
            </w:pPr>
            <w:r w:rsidRPr="007939DD">
              <w:t xml:space="preserve">Less than </w:t>
            </w:r>
            <w:r w:rsidRPr="007939DD">
              <w:br/>
              <w:t>1 month</w:t>
            </w:r>
          </w:p>
          <w:p w14:paraId="23A84A5C" w14:textId="77777777" w:rsidR="00FA7EBF" w:rsidRPr="007939DD" w:rsidRDefault="00FA7EBF" w:rsidP="007B207C">
            <w:pPr>
              <w:pStyle w:val="ARfintablecolheadright"/>
            </w:pPr>
            <w:r w:rsidRPr="007939DD">
              <w:t>$M</w:t>
            </w:r>
          </w:p>
        </w:tc>
        <w:tc>
          <w:tcPr>
            <w:tcW w:w="851" w:type="dxa"/>
            <w:vAlign w:val="bottom"/>
          </w:tcPr>
          <w:p w14:paraId="0A396352" w14:textId="77777777" w:rsidR="00FA7EBF" w:rsidRPr="007939DD" w:rsidRDefault="00FA7EBF" w:rsidP="007B207C">
            <w:pPr>
              <w:pStyle w:val="ARfintablecolheadright"/>
            </w:pPr>
            <w:r w:rsidRPr="007939DD">
              <w:t xml:space="preserve">1–3 </w:t>
            </w:r>
            <w:r w:rsidRPr="007939DD">
              <w:br/>
              <w:t>months</w:t>
            </w:r>
          </w:p>
          <w:p w14:paraId="56A40798" w14:textId="77777777" w:rsidR="00FA7EBF" w:rsidRPr="007939DD" w:rsidRDefault="00FA7EBF" w:rsidP="007B207C">
            <w:pPr>
              <w:pStyle w:val="ARfintablecolheadright"/>
            </w:pPr>
            <w:r w:rsidRPr="007939DD">
              <w:t>$M</w:t>
            </w:r>
          </w:p>
        </w:tc>
        <w:tc>
          <w:tcPr>
            <w:tcW w:w="851" w:type="dxa"/>
            <w:vAlign w:val="bottom"/>
          </w:tcPr>
          <w:p w14:paraId="6DC44502" w14:textId="77777777" w:rsidR="00FA7EBF" w:rsidRPr="007939DD" w:rsidRDefault="00FA7EBF" w:rsidP="007B207C">
            <w:pPr>
              <w:pStyle w:val="ARfintablecolheadright"/>
            </w:pPr>
            <w:r w:rsidRPr="007939DD">
              <w:t>3 months</w:t>
            </w:r>
            <w:r w:rsidRPr="007939DD">
              <w:br/>
              <w:t>–1 year</w:t>
            </w:r>
          </w:p>
          <w:p w14:paraId="1D98420F" w14:textId="77777777" w:rsidR="00FA7EBF" w:rsidRPr="007939DD" w:rsidRDefault="00FA7EBF" w:rsidP="007B207C">
            <w:pPr>
              <w:pStyle w:val="ARfintablecolheadright"/>
            </w:pPr>
            <w:r w:rsidRPr="007939DD">
              <w:t>$M</w:t>
            </w:r>
          </w:p>
        </w:tc>
        <w:tc>
          <w:tcPr>
            <w:tcW w:w="851" w:type="dxa"/>
            <w:vAlign w:val="bottom"/>
          </w:tcPr>
          <w:p w14:paraId="752AF550" w14:textId="77777777" w:rsidR="00FA7EBF" w:rsidRPr="007939DD" w:rsidRDefault="00FA7EBF" w:rsidP="007B207C">
            <w:pPr>
              <w:pStyle w:val="ARfintablecolheadright"/>
            </w:pPr>
            <w:r w:rsidRPr="007939DD">
              <w:t xml:space="preserve">1–5 </w:t>
            </w:r>
            <w:r w:rsidRPr="007939DD">
              <w:br/>
              <w:t>years</w:t>
            </w:r>
          </w:p>
          <w:p w14:paraId="0C12034A" w14:textId="77777777" w:rsidR="00FA7EBF" w:rsidRPr="007939DD" w:rsidRDefault="00FA7EBF" w:rsidP="007B207C">
            <w:pPr>
              <w:pStyle w:val="ARfintablecolheadright"/>
            </w:pPr>
            <w:r w:rsidRPr="007939DD">
              <w:t>$M</w:t>
            </w:r>
          </w:p>
        </w:tc>
        <w:tc>
          <w:tcPr>
            <w:tcW w:w="851" w:type="dxa"/>
            <w:vAlign w:val="bottom"/>
          </w:tcPr>
          <w:p w14:paraId="2A14DFDD" w14:textId="77777777" w:rsidR="00FA7EBF" w:rsidRDefault="00FA7EBF" w:rsidP="007B207C">
            <w:pPr>
              <w:pStyle w:val="ARfintablecolheadright"/>
            </w:pPr>
            <w:r>
              <w:t>Total</w:t>
            </w:r>
          </w:p>
          <w:p w14:paraId="7DDCDAAD" w14:textId="77777777" w:rsidR="00FA7EBF" w:rsidRPr="007939DD" w:rsidRDefault="00FA7EBF" w:rsidP="007B207C">
            <w:pPr>
              <w:pStyle w:val="ARfintablecolheadright"/>
            </w:pPr>
            <w:r>
              <w:t>$M</w:t>
            </w:r>
          </w:p>
        </w:tc>
      </w:tr>
      <w:tr w:rsidR="00FA7EBF" w:rsidRPr="007939DD" w14:paraId="56FE5B4C" w14:textId="77777777" w:rsidTr="007B207C">
        <w:trPr>
          <w:cantSplit/>
        </w:trPr>
        <w:tc>
          <w:tcPr>
            <w:tcW w:w="9639" w:type="dxa"/>
            <w:gridSpan w:val="8"/>
          </w:tcPr>
          <w:p w14:paraId="45833E6B" w14:textId="77777777" w:rsidR="00FA7EBF" w:rsidRPr="007939DD" w:rsidRDefault="00FA7EBF" w:rsidP="007B207C">
            <w:pPr>
              <w:pStyle w:val="ARfintablebodybold"/>
              <w:rPr>
                <w:lang w:eastAsia="en-AU"/>
              </w:rPr>
            </w:pPr>
            <w:r w:rsidRPr="00F57CF1">
              <w:t>2019</w:t>
            </w:r>
          </w:p>
        </w:tc>
      </w:tr>
      <w:tr w:rsidR="00FA7EBF" w:rsidRPr="007939DD" w14:paraId="284F0CC1" w14:textId="77777777" w:rsidTr="007B207C">
        <w:trPr>
          <w:cantSplit/>
        </w:trPr>
        <w:tc>
          <w:tcPr>
            <w:tcW w:w="3400" w:type="dxa"/>
            <w:tcBorders>
              <w:bottom w:val="single" w:sz="4" w:space="0" w:color="BFBFBF" w:themeColor="accent4"/>
            </w:tcBorders>
          </w:tcPr>
          <w:p w14:paraId="770156EF" w14:textId="77777777" w:rsidR="00FA7EBF" w:rsidRPr="007939DD" w:rsidRDefault="00FA7EBF" w:rsidP="007B207C">
            <w:pPr>
              <w:pStyle w:val="ARfintablebodybold"/>
              <w:rPr>
                <w:lang w:eastAsia="en-AU"/>
              </w:rPr>
            </w:pPr>
            <w:r w:rsidRPr="00F57CF1">
              <w:t>Expected loss rate</w:t>
            </w:r>
          </w:p>
        </w:tc>
        <w:tc>
          <w:tcPr>
            <w:tcW w:w="850" w:type="dxa"/>
            <w:tcBorders>
              <w:bottom w:val="single" w:sz="4" w:space="0" w:color="BFBFBF" w:themeColor="accent4"/>
            </w:tcBorders>
          </w:tcPr>
          <w:p w14:paraId="09711759" w14:textId="77777777" w:rsidR="00FA7EBF" w:rsidRPr="007939DD" w:rsidRDefault="00FA7EBF" w:rsidP="007B207C">
            <w:pPr>
              <w:pStyle w:val="ARfintablebodyrightbold"/>
              <w:rPr>
                <w:lang w:eastAsia="en-AU"/>
              </w:rPr>
            </w:pPr>
          </w:p>
        </w:tc>
        <w:tc>
          <w:tcPr>
            <w:tcW w:w="1134" w:type="dxa"/>
            <w:tcBorders>
              <w:bottom w:val="single" w:sz="4" w:space="0" w:color="BFBFBF" w:themeColor="accent4"/>
            </w:tcBorders>
          </w:tcPr>
          <w:p w14:paraId="52996302" w14:textId="77777777" w:rsidR="00FA7EBF" w:rsidRPr="007939DD" w:rsidRDefault="00FA7EBF" w:rsidP="007B207C">
            <w:pPr>
              <w:pStyle w:val="ARfintablebodyrightbold"/>
              <w:rPr>
                <w:lang w:eastAsia="en-AU"/>
              </w:rPr>
            </w:pPr>
            <w:r w:rsidRPr="00F57CF1">
              <w:t>0%</w:t>
            </w:r>
          </w:p>
        </w:tc>
        <w:tc>
          <w:tcPr>
            <w:tcW w:w="851" w:type="dxa"/>
            <w:tcBorders>
              <w:bottom w:val="single" w:sz="4" w:space="0" w:color="BFBFBF" w:themeColor="accent4"/>
            </w:tcBorders>
          </w:tcPr>
          <w:p w14:paraId="61782DF9" w14:textId="77777777" w:rsidR="00FA7EBF" w:rsidRPr="007939DD" w:rsidRDefault="00FA7EBF" w:rsidP="007B207C">
            <w:pPr>
              <w:pStyle w:val="ARfintablebodyrightbold"/>
              <w:rPr>
                <w:lang w:eastAsia="en-AU"/>
              </w:rPr>
            </w:pPr>
            <w:r w:rsidRPr="00F57CF1">
              <w:t>6%</w:t>
            </w:r>
          </w:p>
        </w:tc>
        <w:tc>
          <w:tcPr>
            <w:tcW w:w="851" w:type="dxa"/>
            <w:tcBorders>
              <w:bottom w:val="single" w:sz="4" w:space="0" w:color="BFBFBF" w:themeColor="accent4"/>
            </w:tcBorders>
          </w:tcPr>
          <w:p w14:paraId="5A889906" w14:textId="77777777" w:rsidR="00FA7EBF" w:rsidRPr="007939DD" w:rsidRDefault="00FA7EBF" w:rsidP="007B207C">
            <w:pPr>
              <w:pStyle w:val="ARfintablebodyrightbold"/>
              <w:rPr>
                <w:lang w:eastAsia="en-AU"/>
              </w:rPr>
            </w:pPr>
            <w:r w:rsidRPr="00F57CF1">
              <w:t>20%</w:t>
            </w:r>
          </w:p>
        </w:tc>
        <w:tc>
          <w:tcPr>
            <w:tcW w:w="851" w:type="dxa"/>
            <w:tcBorders>
              <w:bottom w:val="single" w:sz="4" w:space="0" w:color="BFBFBF" w:themeColor="accent4"/>
            </w:tcBorders>
          </w:tcPr>
          <w:p w14:paraId="456366C7" w14:textId="77777777" w:rsidR="00FA7EBF" w:rsidRPr="007939DD" w:rsidRDefault="00FA7EBF" w:rsidP="007B207C">
            <w:pPr>
              <w:pStyle w:val="ARfintablebodyrightbold"/>
              <w:rPr>
                <w:lang w:eastAsia="en-AU"/>
              </w:rPr>
            </w:pPr>
            <w:r w:rsidRPr="00F57CF1">
              <w:t>4%</w:t>
            </w:r>
          </w:p>
        </w:tc>
        <w:tc>
          <w:tcPr>
            <w:tcW w:w="851" w:type="dxa"/>
            <w:tcBorders>
              <w:bottom w:val="single" w:sz="4" w:space="0" w:color="BFBFBF" w:themeColor="accent4"/>
            </w:tcBorders>
          </w:tcPr>
          <w:p w14:paraId="116AB3D7" w14:textId="77777777" w:rsidR="00FA7EBF" w:rsidRPr="007939DD" w:rsidRDefault="00FA7EBF" w:rsidP="007B207C">
            <w:pPr>
              <w:pStyle w:val="ARfintablebodyrightbold"/>
              <w:rPr>
                <w:lang w:eastAsia="en-AU"/>
              </w:rPr>
            </w:pPr>
            <w:r w:rsidRPr="00F57CF1">
              <w:t>63%</w:t>
            </w:r>
          </w:p>
        </w:tc>
        <w:tc>
          <w:tcPr>
            <w:tcW w:w="851" w:type="dxa"/>
            <w:tcBorders>
              <w:bottom w:val="single" w:sz="4" w:space="0" w:color="BFBFBF" w:themeColor="accent4"/>
            </w:tcBorders>
          </w:tcPr>
          <w:p w14:paraId="458206E3" w14:textId="77777777" w:rsidR="00FA7EBF" w:rsidRPr="007939DD" w:rsidRDefault="00FA7EBF" w:rsidP="007B207C">
            <w:pPr>
              <w:pStyle w:val="ARfintablebodyrightbold"/>
              <w:rPr>
                <w:lang w:eastAsia="en-AU"/>
              </w:rPr>
            </w:pPr>
          </w:p>
        </w:tc>
      </w:tr>
      <w:tr w:rsidR="00FA7EBF" w:rsidRPr="007939DD" w14:paraId="4167820C" w14:textId="77777777" w:rsidTr="007B207C">
        <w:trPr>
          <w:cantSplit/>
        </w:trPr>
        <w:tc>
          <w:tcPr>
            <w:tcW w:w="3400" w:type="dxa"/>
            <w:tcBorders>
              <w:top w:val="single" w:sz="4" w:space="0" w:color="BFBFBF" w:themeColor="accent4"/>
            </w:tcBorders>
          </w:tcPr>
          <w:p w14:paraId="7BA91D3A" w14:textId="77777777" w:rsidR="00FA7EBF" w:rsidRPr="006E4233" w:rsidRDefault="00FA7EBF" w:rsidP="007B207C">
            <w:pPr>
              <w:pStyle w:val="ARfintablebody"/>
            </w:pPr>
            <w:r w:rsidRPr="00F57CF1">
              <w:t>Gross carrying amount of contractual receivables</w:t>
            </w:r>
          </w:p>
        </w:tc>
        <w:tc>
          <w:tcPr>
            <w:tcW w:w="850" w:type="dxa"/>
            <w:tcBorders>
              <w:top w:val="single" w:sz="4" w:space="0" w:color="BFBFBF" w:themeColor="accent4"/>
            </w:tcBorders>
          </w:tcPr>
          <w:p w14:paraId="21D34776" w14:textId="77777777" w:rsidR="00FA7EBF" w:rsidRPr="006E4233" w:rsidRDefault="00FA7EBF" w:rsidP="007B207C">
            <w:pPr>
              <w:pStyle w:val="ARfintablebodyright"/>
            </w:pPr>
            <w:r w:rsidRPr="00F57CF1">
              <w:t>338.1</w:t>
            </w:r>
          </w:p>
        </w:tc>
        <w:tc>
          <w:tcPr>
            <w:tcW w:w="1134" w:type="dxa"/>
            <w:tcBorders>
              <w:top w:val="single" w:sz="4" w:space="0" w:color="BFBFBF" w:themeColor="accent4"/>
            </w:tcBorders>
          </w:tcPr>
          <w:p w14:paraId="41694A6A" w14:textId="77777777" w:rsidR="00FA7EBF" w:rsidRPr="006E4233" w:rsidRDefault="00FA7EBF" w:rsidP="007B207C">
            <w:pPr>
              <w:pStyle w:val="ARfintablebodyright"/>
            </w:pPr>
            <w:r w:rsidRPr="00F57CF1">
              <w:t>195.8</w:t>
            </w:r>
          </w:p>
        </w:tc>
        <w:tc>
          <w:tcPr>
            <w:tcW w:w="851" w:type="dxa"/>
            <w:tcBorders>
              <w:top w:val="single" w:sz="4" w:space="0" w:color="BFBFBF" w:themeColor="accent4"/>
            </w:tcBorders>
          </w:tcPr>
          <w:p w14:paraId="7F58A875" w14:textId="77777777" w:rsidR="00FA7EBF" w:rsidRPr="006E4233" w:rsidRDefault="00FA7EBF" w:rsidP="007B207C">
            <w:pPr>
              <w:pStyle w:val="ARfintablebodyright"/>
            </w:pPr>
            <w:r w:rsidRPr="00F57CF1">
              <w:t>21.8</w:t>
            </w:r>
          </w:p>
        </w:tc>
        <w:tc>
          <w:tcPr>
            <w:tcW w:w="851" w:type="dxa"/>
            <w:tcBorders>
              <w:top w:val="single" w:sz="4" w:space="0" w:color="BFBFBF" w:themeColor="accent4"/>
            </w:tcBorders>
          </w:tcPr>
          <w:p w14:paraId="07439C8C" w14:textId="77777777" w:rsidR="00FA7EBF" w:rsidRPr="006E4233" w:rsidRDefault="00FA7EBF" w:rsidP="007B207C">
            <w:pPr>
              <w:pStyle w:val="ARfintablebodyright"/>
            </w:pPr>
            <w:r w:rsidRPr="00F57CF1">
              <w:t>9.8</w:t>
            </w:r>
          </w:p>
        </w:tc>
        <w:tc>
          <w:tcPr>
            <w:tcW w:w="851" w:type="dxa"/>
            <w:tcBorders>
              <w:top w:val="single" w:sz="4" w:space="0" w:color="BFBFBF" w:themeColor="accent4"/>
            </w:tcBorders>
          </w:tcPr>
          <w:p w14:paraId="47D96D11" w14:textId="77777777" w:rsidR="00FA7EBF" w:rsidRPr="006E4233" w:rsidRDefault="00FA7EBF" w:rsidP="007B207C">
            <w:pPr>
              <w:pStyle w:val="ARfintablebodyright"/>
            </w:pPr>
            <w:r w:rsidRPr="00F57CF1">
              <w:t>100.9</w:t>
            </w:r>
          </w:p>
        </w:tc>
        <w:tc>
          <w:tcPr>
            <w:tcW w:w="851" w:type="dxa"/>
            <w:tcBorders>
              <w:top w:val="single" w:sz="4" w:space="0" w:color="BFBFBF" w:themeColor="accent4"/>
            </w:tcBorders>
          </w:tcPr>
          <w:p w14:paraId="7B3A0694" w14:textId="77777777" w:rsidR="00FA7EBF" w:rsidRPr="006E4233" w:rsidRDefault="00FA7EBF" w:rsidP="007B207C">
            <w:pPr>
              <w:pStyle w:val="ARfintablebodyright"/>
            </w:pPr>
            <w:r w:rsidRPr="00F57CF1">
              <w:t>9.8</w:t>
            </w:r>
          </w:p>
        </w:tc>
        <w:tc>
          <w:tcPr>
            <w:tcW w:w="851" w:type="dxa"/>
            <w:tcBorders>
              <w:top w:val="single" w:sz="4" w:space="0" w:color="BFBFBF" w:themeColor="accent4"/>
            </w:tcBorders>
          </w:tcPr>
          <w:p w14:paraId="7C1B610F" w14:textId="77777777" w:rsidR="00FA7EBF" w:rsidRPr="006E4233" w:rsidRDefault="00FA7EBF" w:rsidP="007B207C">
            <w:pPr>
              <w:pStyle w:val="ARfintablebodyright"/>
            </w:pPr>
          </w:p>
        </w:tc>
      </w:tr>
      <w:tr w:rsidR="00FA7EBF" w:rsidRPr="007939DD" w14:paraId="21D19608" w14:textId="77777777" w:rsidTr="007B207C">
        <w:trPr>
          <w:cantSplit/>
        </w:trPr>
        <w:tc>
          <w:tcPr>
            <w:tcW w:w="3400" w:type="dxa"/>
          </w:tcPr>
          <w:p w14:paraId="3AF4DB1B" w14:textId="77777777" w:rsidR="00FA7EBF" w:rsidRPr="007939DD" w:rsidRDefault="00FA7EBF" w:rsidP="007B207C">
            <w:pPr>
              <w:pStyle w:val="ARfintablebodybold"/>
              <w:rPr>
                <w:lang w:eastAsia="en-AU"/>
              </w:rPr>
            </w:pPr>
            <w:r w:rsidRPr="00F57CF1">
              <w:t>Loss allowance</w:t>
            </w:r>
          </w:p>
        </w:tc>
        <w:tc>
          <w:tcPr>
            <w:tcW w:w="850" w:type="dxa"/>
          </w:tcPr>
          <w:p w14:paraId="5E865EFE" w14:textId="77777777" w:rsidR="00FA7EBF" w:rsidRPr="007939DD" w:rsidRDefault="00FA7EBF" w:rsidP="007B207C">
            <w:pPr>
              <w:pStyle w:val="ARfintablebodyrightbold"/>
              <w:rPr>
                <w:lang w:eastAsia="en-AU"/>
              </w:rPr>
            </w:pPr>
          </w:p>
        </w:tc>
        <w:tc>
          <w:tcPr>
            <w:tcW w:w="1134" w:type="dxa"/>
          </w:tcPr>
          <w:p w14:paraId="63F71B5A" w14:textId="77777777" w:rsidR="00FA7EBF" w:rsidRPr="007939DD" w:rsidRDefault="00FA7EBF" w:rsidP="007B207C">
            <w:pPr>
              <w:pStyle w:val="ARfintablebodyrightbold"/>
              <w:rPr>
                <w:lang w:eastAsia="en-AU"/>
              </w:rPr>
            </w:pPr>
            <w:r w:rsidRPr="00F57CF1">
              <w:t>–</w:t>
            </w:r>
          </w:p>
        </w:tc>
        <w:tc>
          <w:tcPr>
            <w:tcW w:w="851" w:type="dxa"/>
          </w:tcPr>
          <w:p w14:paraId="19E126D0" w14:textId="77777777" w:rsidR="00FA7EBF" w:rsidRPr="007939DD" w:rsidRDefault="00FA7EBF" w:rsidP="007B207C">
            <w:pPr>
              <w:pStyle w:val="ARfintablebodyrightbold"/>
              <w:rPr>
                <w:lang w:eastAsia="en-AU"/>
              </w:rPr>
            </w:pPr>
            <w:r w:rsidRPr="00F57CF1">
              <w:t>1.2</w:t>
            </w:r>
          </w:p>
        </w:tc>
        <w:tc>
          <w:tcPr>
            <w:tcW w:w="851" w:type="dxa"/>
          </w:tcPr>
          <w:p w14:paraId="6D9AA83E" w14:textId="77777777" w:rsidR="00FA7EBF" w:rsidRPr="007939DD" w:rsidRDefault="00FA7EBF" w:rsidP="007B207C">
            <w:pPr>
              <w:pStyle w:val="ARfintablebodyrightbold"/>
              <w:rPr>
                <w:lang w:eastAsia="en-AU"/>
              </w:rPr>
            </w:pPr>
            <w:r w:rsidRPr="00F57CF1">
              <w:t>2.0</w:t>
            </w:r>
          </w:p>
        </w:tc>
        <w:tc>
          <w:tcPr>
            <w:tcW w:w="851" w:type="dxa"/>
          </w:tcPr>
          <w:p w14:paraId="61353294" w14:textId="77777777" w:rsidR="00FA7EBF" w:rsidRPr="007939DD" w:rsidRDefault="00FA7EBF" w:rsidP="007B207C">
            <w:pPr>
              <w:pStyle w:val="ARfintablebodyrightbold"/>
              <w:rPr>
                <w:lang w:eastAsia="en-AU"/>
              </w:rPr>
            </w:pPr>
            <w:r w:rsidRPr="00F57CF1">
              <w:t>3.7</w:t>
            </w:r>
          </w:p>
        </w:tc>
        <w:tc>
          <w:tcPr>
            <w:tcW w:w="851" w:type="dxa"/>
          </w:tcPr>
          <w:p w14:paraId="50E252DF" w14:textId="77777777" w:rsidR="00FA7EBF" w:rsidRPr="007939DD" w:rsidRDefault="00FA7EBF" w:rsidP="007B207C">
            <w:pPr>
              <w:pStyle w:val="ARfintablebodyrightbold"/>
              <w:rPr>
                <w:rStyle w:val="Strong"/>
                <w:bCs w:val="0"/>
              </w:rPr>
            </w:pPr>
            <w:r w:rsidRPr="00F57CF1">
              <w:t>6.2</w:t>
            </w:r>
          </w:p>
        </w:tc>
        <w:tc>
          <w:tcPr>
            <w:tcW w:w="851" w:type="dxa"/>
          </w:tcPr>
          <w:p w14:paraId="15921F90" w14:textId="77777777" w:rsidR="00FA7EBF" w:rsidRPr="006E4233" w:rsidRDefault="00FA7EBF" w:rsidP="007B207C">
            <w:pPr>
              <w:pStyle w:val="ARfintablebodyrightbold"/>
            </w:pPr>
            <w:r w:rsidRPr="00F57CF1">
              <w:t>13.1</w:t>
            </w:r>
          </w:p>
        </w:tc>
      </w:tr>
      <w:tr w:rsidR="00FA7EBF" w:rsidRPr="007939DD" w14:paraId="32C9B313" w14:textId="77777777" w:rsidTr="007B207C">
        <w:trPr>
          <w:cantSplit/>
        </w:trPr>
        <w:tc>
          <w:tcPr>
            <w:tcW w:w="9639" w:type="dxa"/>
            <w:gridSpan w:val="8"/>
          </w:tcPr>
          <w:p w14:paraId="007565A9" w14:textId="77777777" w:rsidR="00FA7EBF" w:rsidRPr="007939DD" w:rsidRDefault="00FA7EBF" w:rsidP="007B207C">
            <w:pPr>
              <w:pStyle w:val="ARfintablebodybold"/>
              <w:rPr>
                <w:rStyle w:val="Strong"/>
                <w:bCs/>
              </w:rPr>
            </w:pPr>
            <w:r w:rsidRPr="00F57CF1">
              <w:t>2018</w:t>
            </w:r>
          </w:p>
        </w:tc>
      </w:tr>
      <w:tr w:rsidR="00FA7EBF" w:rsidRPr="007939DD" w14:paraId="3830B611" w14:textId="77777777" w:rsidTr="007B207C">
        <w:trPr>
          <w:cantSplit/>
        </w:trPr>
        <w:tc>
          <w:tcPr>
            <w:tcW w:w="3400" w:type="dxa"/>
            <w:tcBorders>
              <w:bottom w:val="single" w:sz="4" w:space="0" w:color="BFBFBF" w:themeColor="accent4"/>
            </w:tcBorders>
          </w:tcPr>
          <w:p w14:paraId="7EE7BFF5" w14:textId="77777777" w:rsidR="00FA7EBF" w:rsidRPr="007939DD" w:rsidRDefault="00FA7EBF" w:rsidP="007B207C">
            <w:pPr>
              <w:pStyle w:val="ARfintablebodybold"/>
              <w:rPr>
                <w:lang w:eastAsia="en-AU"/>
              </w:rPr>
            </w:pPr>
            <w:r w:rsidRPr="00F57CF1">
              <w:t>Expected loss rate</w:t>
            </w:r>
          </w:p>
        </w:tc>
        <w:tc>
          <w:tcPr>
            <w:tcW w:w="850" w:type="dxa"/>
            <w:tcBorders>
              <w:bottom w:val="single" w:sz="4" w:space="0" w:color="BFBFBF" w:themeColor="accent4"/>
            </w:tcBorders>
          </w:tcPr>
          <w:p w14:paraId="1BBC2077" w14:textId="77777777" w:rsidR="00FA7EBF" w:rsidRPr="007939DD" w:rsidRDefault="00FA7EBF" w:rsidP="007B207C">
            <w:pPr>
              <w:pStyle w:val="ARfintablebodyrightbold"/>
              <w:rPr>
                <w:lang w:eastAsia="en-AU"/>
              </w:rPr>
            </w:pPr>
          </w:p>
        </w:tc>
        <w:tc>
          <w:tcPr>
            <w:tcW w:w="1134" w:type="dxa"/>
            <w:tcBorders>
              <w:bottom w:val="single" w:sz="4" w:space="0" w:color="BFBFBF" w:themeColor="accent4"/>
            </w:tcBorders>
          </w:tcPr>
          <w:p w14:paraId="1B363A3E" w14:textId="77777777" w:rsidR="00FA7EBF" w:rsidRPr="007939DD" w:rsidRDefault="00FA7EBF" w:rsidP="007B207C">
            <w:pPr>
              <w:pStyle w:val="ARfintablebodyrightbold"/>
              <w:rPr>
                <w:lang w:eastAsia="en-AU"/>
              </w:rPr>
            </w:pPr>
          </w:p>
        </w:tc>
        <w:tc>
          <w:tcPr>
            <w:tcW w:w="851" w:type="dxa"/>
            <w:tcBorders>
              <w:bottom w:val="single" w:sz="4" w:space="0" w:color="BFBFBF" w:themeColor="accent4"/>
            </w:tcBorders>
          </w:tcPr>
          <w:p w14:paraId="0A651B2B" w14:textId="77777777" w:rsidR="00FA7EBF" w:rsidRPr="007939DD" w:rsidRDefault="00FA7EBF" w:rsidP="007B207C">
            <w:pPr>
              <w:pStyle w:val="ARfintablebodyrightbold"/>
              <w:rPr>
                <w:lang w:eastAsia="en-AU"/>
              </w:rPr>
            </w:pPr>
            <w:r w:rsidRPr="00F57CF1">
              <w:t>10%</w:t>
            </w:r>
          </w:p>
        </w:tc>
        <w:tc>
          <w:tcPr>
            <w:tcW w:w="851" w:type="dxa"/>
            <w:tcBorders>
              <w:bottom w:val="single" w:sz="4" w:space="0" w:color="BFBFBF" w:themeColor="accent4"/>
            </w:tcBorders>
          </w:tcPr>
          <w:p w14:paraId="63CFEE67" w14:textId="77777777" w:rsidR="00FA7EBF" w:rsidRPr="007939DD" w:rsidRDefault="00FA7EBF" w:rsidP="007B207C">
            <w:pPr>
              <w:pStyle w:val="ARfintablebodyrightbold"/>
              <w:rPr>
                <w:lang w:eastAsia="en-AU"/>
              </w:rPr>
            </w:pPr>
            <w:r w:rsidRPr="00F57CF1">
              <w:t>66%</w:t>
            </w:r>
          </w:p>
        </w:tc>
        <w:tc>
          <w:tcPr>
            <w:tcW w:w="851" w:type="dxa"/>
            <w:tcBorders>
              <w:bottom w:val="single" w:sz="4" w:space="0" w:color="BFBFBF" w:themeColor="accent4"/>
            </w:tcBorders>
          </w:tcPr>
          <w:p w14:paraId="3AF9BE95" w14:textId="77777777" w:rsidR="00FA7EBF" w:rsidRPr="007939DD" w:rsidRDefault="00FA7EBF" w:rsidP="007B207C">
            <w:pPr>
              <w:pStyle w:val="ARfintablebodyrightbold"/>
              <w:rPr>
                <w:lang w:eastAsia="en-AU"/>
              </w:rPr>
            </w:pPr>
            <w:r w:rsidRPr="00F57CF1">
              <w:t>95%</w:t>
            </w:r>
          </w:p>
        </w:tc>
        <w:tc>
          <w:tcPr>
            <w:tcW w:w="851" w:type="dxa"/>
            <w:tcBorders>
              <w:bottom w:val="single" w:sz="4" w:space="0" w:color="BFBFBF" w:themeColor="accent4"/>
            </w:tcBorders>
          </w:tcPr>
          <w:p w14:paraId="1A1139D1" w14:textId="77777777" w:rsidR="00FA7EBF" w:rsidRPr="007939DD" w:rsidRDefault="00FA7EBF" w:rsidP="007B207C">
            <w:pPr>
              <w:pStyle w:val="ARfintablebodyrightbold"/>
              <w:rPr>
                <w:lang w:eastAsia="en-AU"/>
              </w:rPr>
            </w:pPr>
            <w:r w:rsidRPr="00F57CF1">
              <w:t>35%</w:t>
            </w:r>
          </w:p>
        </w:tc>
        <w:tc>
          <w:tcPr>
            <w:tcW w:w="851" w:type="dxa"/>
            <w:tcBorders>
              <w:bottom w:val="single" w:sz="4" w:space="0" w:color="BFBFBF" w:themeColor="accent4"/>
            </w:tcBorders>
          </w:tcPr>
          <w:p w14:paraId="21E3B8AE" w14:textId="77777777" w:rsidR="00FA7EBF" w:rsidRPr="007939DD" w:rsidRDefault="00FA7EBF" w:rsidP="007B207C">
            <w:pPr>
              <w:pStyle w:val="ARfintablebodyrightbold"/>
              <w:rPr>
                <w:lang w:eastAsia="en-AU"/>
              </w:rPr>
            </w:pPr>
          </w:p>
        </w:tc>
      </w:tr>
      <w:tr w:rsidR="00FA7EBF" w:rsidRPr="007939DD" w14:paraId="3C265C50" w14:textId="77777777" w:rsidTr="007B207C">
        <w:trPr>
          <w:cantSplit/>
        </w:trPr>
        <w:tc>
          <w:tcPr>
            <w:tcW w:w="3400" w:type="dxa"/>
            <w:tcBorders>
              <w:top w:val="single" w:sz="4" w:space="0" w:color="BFBFBF" w:themeColor="accent4"/>
            </w:tcBorders>
          </w:tcPr>
          <w:p w14:paraId="3FC56F43" w14:textId="77777777" w:rsidR="00FA7EBF" w:rsidRPr="007939DD" w:rsidRDefault="00FA7EBF" w:rsidP="007B207C">
            <w:pPr>
              <w:pStyle w:val="ARfintablebody"/>
              <w:rPr>
                <w:lang w:eastAsia="en-AU"/>
              </w:rPr>
            </w:pPr>
            <w:r w:rsidRPr="00F57CF1">
              <w:t>Gross carrying amount of contractual receivables</w:t>
            </w:r>
          </w:p>
        </w:tc>
        <w:tc>
          <w:tcPr>
            <w:tcW w:w="850" w:type="dxa"/>
            <w:tcBorders>
              <w:top w:val="single" w:sz="4" w:space="0" w:color="BFBFBF" w:themeColor="accent4"/>
            </w:tcBorders>
          </w:tcPr>
          <w:p w14:paraId="144A22F4" w14:textId="77777777" w:rsidR="00FA7EBF" w:rsidRPr="007939DD" w:rsidRDefault="00FA7EBF" w:rsidP="007B207C">
            <w:pPr>
              <w:pStyle w:val="ARfintablebodyright"/>
              <w:rPr>
                <w:lang w:eastAsia="en-AU"/>
              </w:rPr>
            </w:pPr>
            <w:r w:rsidRPr="00F57CF1">
              <w:t>96.9</w:t>
            </w:r>
          </w:p>
        </w:tc>
        <w:tc>
          <w:tcPr>
            <w:tcW w:w="1134" w:type="dxa"/>
            <w:tcBorders>
              <w:top w:val="single" w:sz="4" w:space="0" w:color="BFBFBF" w:themeColor="accent4"/>
            </w:tcBorders>
          </w:tcPr>
          <w:p w14:paraId="7B2B944C" w14:textId="77777777" w:rsidR="00FA7EBF" w:rsidRPr="007939DD" w:rsidRDefault="00FA7EBF" w:rsidP="007B207C">
            <w:pPr>
              <w:pStyle w:val="ARfintablebodyright"/>
              <w:rPr>
                <w:lang w:eastAsia="en-AU"/>
              </w:rPr>
            </w:pPr>
            <w:r w:rsidRPr="00F57CF1">
              <w:t>75.1</w:t>
            </w:r>
          </w:p>
        </w:tc>
        <w:tc>
          <w:tcPr>
            <w:tcW w:w="851" w:type="dxa"/>
            <w:tcBorders>
              <w:top w:val="single" w:sz="4" w:space="0" w:color="BFBFBF" w:themeColor="accent4"/>
            </w:tcBorders>
          </w:tcPr>
          <w:p w14:paraId="51E52783" w14:textId="77777777" w:rsidR="00FA7EBF" w:rsidRPr="007939DD" w:rsidRDefault="00FA7EBF" w:rsidP="007B207C">
            <w:pPr>
              <w:pStyle w:val="ARfintablebodyright"/>
              <w:rPr>
                <w:lang w:eastAsia="en-AU"/>
              </w:rPr>
            </w:pPr>
            <w:r w:rsidRPr="00F57CF1">
              <w:t>6.0</w:t>
            </w:r>
          </w:p>
        </w:tc>
        <w:tc>
          <w:tcPr>
            <w:tcW w:w="851" w:type="dxa"/>
            <w:tcBorders>
              <w:top w:val="single" w:sz="4" w:space="0" w:color="BFBFBF" w:themeColor="accent4"/>
            </w:tcBorders>
          </w:tcPr>
          <w:p w14:paraId="5F29A8D3" w14:textId="77777777" w:rsidR="00FA7EBF" w:rsidRPr="007939DD" w:rsidRDefault="00FA7EBF" w:rsidP="007B207C">
            <w:pPr>
              <w:pStyle w:val="ARfintablebodyright"/>
              <w:rPr>
                <w:lang w:eastAsia="en-AU"/>
              </w:rPr>
            </w:pPr>
            <w:r w:rsidRPr="00F57CF1">
              <w:t>4.1</w:t>
            </w:r>
          </w:p>
        </w:tc>
        <w:tc>
          <w:tcPr>
            <w:tcW w:w="851" w:type="dxa"/>
            <w:tcBorders>
              <w:top w:val="single" w:sz="4" w:space="0" w:color="BFBFBF" w:themeColor="accent4"/>
            </w:tcBorders>
          </w:tcPr>
          <w:p w14:paraId="5C3E977E" w14:textId="77777777" w:rsidR="00FA7EBF" w:rsidRPr="007939DD" w:rsidRDefault="00FA7EBF" w:rsidP="007B207C">
            <w:pPr>
              <w:pStyle w:val="ARfintablebodyright"/>
              <w:rPr>
                <w:lang w:eastAsia="en-AU"/>
              </w:rPr>
            </w:pPr>
            <w:r w:rsidRPr="00F57CF1">
              <w:t>6.1</w:t>
            </w:r>
          </w:p>
        </w:tc>
        <w:tc>
          <w:tcPr>
            <w:tcW w:w="851" w:type="dxa"/>
            <w:tcBorders>
              <w:top w:val="single" w:sz="4" w:space="0" w:color="BFBFBF" w:themeColor="accent4"/>
            </w:tcBorders>
          </w:tcPr>
          <w:p w14:paraId="6846ABBD" w14:textId="77777777" w:rsidR="00FA7EBF" w:rsidRPr="007939DD" w:rsidRDefault="00FA7EBF" w:rsidP="007B207C">
            <w:pPr>
              <w:pStyle w:val="ARfintablebodyright"/>
              <w:rPr>
                <w:lang w:eastAsia="en-AU"/>
              </w:rPr>
            </w:pPr>
            <w:r w:rsidRPr="00F57CF1">
              <w:t>5.5</w:t>
            </w:r>
          </w:p>
        </w:tc>
        <w:tc>
          <w:tcPr>
            <w:tcW w:w="851" w:type="dxa"/>
            <w:tcBorders>
              <w:top w:val="single" w:sz="4" w:space="0" w:color="BFBFBF" w:themeColor="accent4"/>
            </w:tcBorders>
          </w:tcPr>
          <w:p w14:paraId="7A37723C" w14:textId="77777777" w:rsidR="00FA7EBF" w:rsidRPr="007939DD" w:rsidRDefault="00FA7EBF" w:rsidP="007B207C">
            <w:pPr>
              <w:pStyle w:val="ARfintablebodyright"/>
              <w:rPr>
                <w:lang w:eastAsia="en-AU"/>
              </w:rPr>
            </w:pPr>
          </w:p>
        </w:tc>
      </w:tr>
      <w:tr w:rsidR="00FA7EBF" w:rsidRPr="007939DD" w14:paraId="110B6850" w14:textId="77777777" w:rsidTr="007B207C">
        <w:trPr>
          <w:cantSplit/>
        </w:trPr>
        <w:tc>
          <w:tcPr>
            <w:tcW w:w="3400" w:type="dxa"/>
          </w:tcPr>
          <w:p w14:paraId="26B02DEC" w14:textId="77777777" w:rsidR="00FA7EBF" w:rsidRPr="007939DD" w:rsidRDefault="00FA7EBF" w:rsidP="007B207C">
            <w:pPr>
              <w:pStyle w:val="ARfintablebodybold"/>
              <w:rPr>
                <w:lang w:eastAsia="en-AU"/>
              </w:rPr>
            </w:pPr>
            <w:r w:rsidRPr="00F57CF1">
              <w:t>Loss allowance</w:t>
            </w:r>
          </w:p>
        </w:tc>
        <w:tc>
          <w:tcPr>
            <w:tcW w:w="850" w:type="dxa"/>
          </w:tcPr>
          <w:p w14:paraId="4FDE8DCD" w14:textId="77777777" w:rsidR="00FA7EBF" w:rsidRPr="007939DD" w:rsidRDefault="00FA7EBF" w:rsidP="007B207C">
            <w:pPr>
              <w:pStyle w:val="ARfintablebodyrightbold"/>
              <w:rPr>
                <w:lang w:eastAsia="en-AU"/>
              </w:rPr>
            </w:pPr>
          </w:p>
        </w:tc>
        <w:tc>
          <w:tcPr>
            <w:tcW w:w="1134" w:type="dxa"/>
          </w:tcPr>
          <w:p w14:paraId="27F2CDDC" w14:textId="77777777" w:rsidR="00FA7EBF" w:rsidRPr="007939DD" w:rsidRDefault="00FA7EBF" w:rsidP="007B207C">
            <w:pPr>
              <w:pStyle w:val="ARfintablebodyrightbold"/>
              <w:rPr>
                <w:lang w:eastAsia="en-AU"/>
              </w:rPr>
            </w:pPr>
            <w:r w:rsidRPr="00F57CF1">
              <w:t>–</w:t>
            </w:r>
          </w:p>
        </w:tc>
        <w:tc>
          <w:tcPr>
            <w:tcW w:w="851" w:type="dxa"/>
          </w:tcPr>
          <w:p w14:paraId="28D04957" w14:textId="77777777" w:rsidR="00FA7EBF" w:rsidRPr="007939DD" w:rsidRDefault="00FA7EBF" w:rsidP="007B207C">
            <w:pPr>
              <w:pStyle w:val="ARfintablebodyrightbold"/>
              <w:rPr>
                <w:lang w:eastAsia="en-AU"/>
              </w:rPr>
            </w:pPr>
            <w:r w:rsidRPr="00F57CF1">
              <w:t>0.6</w:t>
            </w:r>
          </w:p>
        </w:tc>
        <w:tc>
          <w:tcPr>
            <w:tcW w:w="851" w:type="dxa"/>
          </w:tcPr>
          <w:p w14:paraId="599A4EF8" w14:textId="77777777" w:rsidR="00FA7EBF" w:rsidRPr="007939DD" w:rsidRDefault="00FA7EBF" w:rsidP="007B207C">
            <w:pPr>
              <w:pStyle w:val="ARfintablebodyrightbold"/>
              <w:rPr>
                <w:lang w:eastAsia="en-AU"/>
              </w:rPr>
            </w:pPr>
            <w:r w:rsidRPr="00F57CF1">
              <w:t>2.7</w:t>
            </w:r>
          </w:p>
        </w:tc>
        <w:tc>
          <w:tcPr>
            <w:tcW w:w="851" w:type="dxa"/>
          </w:tcPr>
          <w:p w14:paraId="0FD45B0F" w14:textId="77777777" w:rsidR="00FA7EBF" w:rsidRPr="007939DD" w:rsidRDefault="00FA7EBF" w:rsidP="007B207C">
            <w:pPr>
              <w:pStyle w:val="ARfintablebodyrightbold"/>
              <w:rPr>
                <w:lang w:eastAsia="en-AU"/>
              </w:rPr>
            </w:pPr>
            <w:r w:rsidRPr="00F57CF1">
              <w:t>5.8</w:t>
            </w:r>
          </w:p>
        </w:tc>
        <w:tc>
          <w:tcPr>
            <w:tcW w:w="851" w:type="dxa"/>
          </w:tcPr>
          <w:p w14:paraId="60B6158E" w14:textId="77777777" w:rsidR="00FA7EBF" w:rsidRPr="007939DD" w:rsidRDefault="00FA7EBF" w:rsidP="007B207C">
            <w:pPr>
              <w:pStyle w:val="ARfintablebodyrightbold"/>
              <w:rPr>
                <w:rStyle w:val="Strong"/>
                <w:bCs w:val="0"/>
              </w:rPr>
            </w:pPr>
            <w:r w:rsidRPr="00F57CF1">
              <w:t>1.9</w:t>
            </w:r>
          </w:p>
        </w:tc>
        <w:tc>
          <w:tcPr>
            <w:tcW w:w="851" w:type="dxa"/>
          </w:tcPr>
          <w:p w14:paraId="4465D0E3" w14:textId="77777777" w:rsidR="00FA7EBF" w:rsidRPr="006E4233" w:rsidRDefault="00FA7EBF" w:rsidP="007B207C">
            <w:pPr>
              <w:pStyle w:val="ARfintablebodyrightbold"/>
            </w:pPr>
            <w:r w:rsidRPr="00F57CF1">
              <w:t>11.0</w:t>
            </w:r>
          </w:p>
        </w:tc>
      </w:tr>
    </w:tbl>
    <w:p w14:paraId="7DAD825A" w14:textId="77777777" w:rsidR="00FA7EBF" w:rsidRPr="00194D78" w:rsidRDefault="00FA7EBF" w:rsidP="00CA66FD">
      <w:pPr>
        <w:pStyle w:val="ARfintablefootnote"/>
        <w:rPr>
          <w:lang w:eastAsia="en-AU"/>
        </w:rPr>
      </w:pPr>
      <w:r w:rsidRPr="00194D78">
        <w:rPr>
          <w:lang w:eastAsia="en-AU"/>
        </w:rPr>
        <w:t>Note:</w:t>
      </w:r>
    </w:p>
    <w:p w14:paraId="046EA6DE" w14:textId="77777777" w:rsidR="00FA7EBF" w:rsidRPr="00194D78" w:rsidRDefault="00FA7EBF" w:rsidP="00CA66FD">
      <w:pPr>
        <w:pStyle w:val="ARfintablefootnoteindent"/>
      </w:pPr>
      <w:r w:rsidRPr="00194D78">
        <w:t>(i)</w:t>
      </w:r>
      <w:r>
        <w:tab/>
      </w:r>
      <w:r w:rsidRPr="00194D78">
        <w:t>The amounts disclosed here includes repayments of borrowings that are not scheduled to be repaid in the next 12 months.</w:t>
      </w:r>
    </w:p>
    <w:p w14:paraId="240442FB" w14:textId="77777777" w:rsidR="00FA7EBF" w:rsidRPr="00194D78" w:rsidRDefault="00FA7EBF" w:rsidP="00D86186">
      <w:pPr>
        <w:pStyle w:val="ARfinbodyaftertable"/>
        <w:spacing w:before="80"/>
      </w:pPr>
      <w:r w:rsidRPr="00194D78">
        <w:t>The average credit period for receivables is 30 days.</w:t>
      </w:r>
    </w:p>
    <w:p w14:paraId="528A50BA" w14:textId="77777777" w:rsidR="00FA7EBF" w:rsidRDefault="00FA7EBF" w:rsidP="00D86186">
      <w:pPr>
        <w:pStyle w:val="ARfinbody"/>
      </w:pPr>
      <w:r w:rsidRPr="00194D78">
        <w:t>Reconciliation of movement in the loss allowance for contractual receivables is shown as follows: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7F5B6F42" w14:textId="77777777" w:rsidTr="007B207C">
        <w:trPr>
          <w:cantSplit/>
          <w:tblHeader/>
        </w:trPr>
        <w:tc>
          <w:tcPr>
            <w:tcW w:w="7371" w:type="dxa"/>
            <w:vAlign w:val="bottom"/>
          </w:tcPr>
          <w:p w14:paraId="1F47DC98" w14:textId="77777777" w:rsidR="00FA7EBF" w:rsidRPr="007939DD" w:rsidRDefault="00FA7EBF" w:rsidP="007B207C">
            <w:pPr>
              <w:pStyle w:val="ARfintablecolhead"/>
            </w:pPr>
          </w:p>
        </w:tc>
        <w:tc>
          <w:tcPr>
            <w:tcW w:w="1134" w:type="dxa"/>
            <w:shd w:val="clear" w:color="auto" w:fill="E7E6E6"/>
            <w:vAlign w:val="bottom"/>
          </w:tcPr>
          <w:p w14:paraId="22E671B6" w14:textId="77777777" w:rsidR="00FA7EBF" w:rsidRPr="007939DD" w:rsidRDefault="00FA7EBF" w:rsidP="007B207C">
            <w:pPr>
              <w:pStyle w:val="ARfintablecolheadright"/>
            </w:pPr>
            <w:r w:rsidRPr="007939DD">
              <w:t>201</w:t>
            </w:r>
            <w:r>
              <w:t>9</w:t>
            </w:r>
          </w:p>
          <w:p w14:paraId="7DA51952" w14:textId="77777777" w:rsidR="00FA7EBF" w:rsidRPr="007939DD" w:rsidRDefault="00FA7EBF" w:rsidP="007B207C">
            <w:pPr>
              <w:pStyle w:val="ARfintablecolheadright"/>
            </w:pPr>
            <w:r w:rsidRPr="007939DD">
              <w:t>$M</w:t>
            </w:r>
          </w:p>
        </w:tc>
        <w:tc>
          <w:tcPr>
            <w:tcW w:w="1134" w:type="dxa"/>
            <w:vAlign w:val="bottom"/>
          </w:tcPr>
          <w:p w14:paraId="41C9668F" w14:textId="77777777" w:rsidR="00FA7EBF" w:rsidRPr="007939DD" w:rsidRDefault="00FA7EBF" w:rsidP="007B207C">
            <w:pPr>
              <w:pStyle w:val="ARfintablecolheadright"/>
            </w:pPr>
            <w:r w:rsidRPr="007939DD">
              <w:t>201</w:t>
            </w:r>
            <w:r>
              <w:t>8</w:t>
            </w:r>
          </w:p>
          <w:p w14:paraId="66705AE2" w14:textId="77777777" w:rsidR="00FA7EBF" w:rsidRPr="007939DD" w:rsidRDefault="00FA7EBF" w:rsidP="007B207C">
            <w:pPr>
              <w:pStyle w:val="ARfintablecolheadright"/>
            </w:pPr>
            <w:r w:rsidRPr="007939DD">
              <w:t>$M</w:t>
            </w:r>
          </w:p>
        </w:tc>
      </w:tr>
      <w:tr w:rsidR="00FA7EBF" w:rsidRPr="007939DD" w14:paraId="751AC869" w14:textId="77777777" w:rsidTr="007B207C">
        <w:trPr>
          <w:cantSplit/>
        </w:trPr>
        <w:tc>
          <w:tcPr>
            <w:tcW w:w="7371" w:type="dxa"/>
            <w:tcBorders>
              <w:bottom w:val="single" w:sz="4" w:space="0" w:color="A6A6A6" w:themeColor="background1" w:themeShade="A6"/>
            </w:tcBorders>
          </w:tcPr>
          <w:p w14:paraId="71C82B0A" w14:textId="77777777" w:rsidR="00FA7EBF" w:rsidRPr="007939DD" w:rsidRDefault="00FA7EBF" w:rsidP="007B207C">
            <w:pPr>
              <w:pStyle w:val="ARfintablebodybold"/>
              <w:rPr>
                <w:lang w:eastAsia="en-AU"/>
              </w:rPr>
            </w:pPr>
            <w:r w:rsidRPr="00D672EA">
              <w:t>Balance at beginning of the year</w:t>
            </w:r>
          </w:p>
        </w:tc>
        <w:tc>
          <w:tcPr>
            <w:tcW w:w="1134" w:type="dxa"/>
            <w:tcBorders>
              <w:bottom w:val="single" w:sz="4" w:space="0" w:color="A6A6A6" w:themeColor="background1" w:themeShade="A6"/>
            </w:tcBorders>
            <w:shd w:val="clear" w:color="auto" w:fill="E7E6E6"/>
          </w:tcPr>
          <w:p w14:paraId="27280669" w14:textId="77777777" w:rsidR="00FA7EBF" w:rsidRPr="007939DD" w:rsidRDefault="00FA7EBF" w:rsidP="007B207C">
            <w:pPr>
              <w:pStyle w:val="ARfintablebodyrightbold"/>
              <w:rPr>
                <w:lang w:eastAsia="en-AU"/>
              </w:rPr>
            </w:pPr>
            <w:r w:rsidRPr="00D672EA">
              <w:t>(8.6)</w:t>
            </w:r>
          </w:p>
        </w:tc>
        <w:tc>
          <w:tcPr>
            <w:tcW w:w="1134" w:type="dxa"/>
            <w:tcBorders>
              <w:bottom w:val="single" w:sz="4" w:space="0" w:color="A6A6A6" w:themeColor="background1" w:themeShade="A6"/>
            </w:tcBorders>
          </w:tcPr>
          <w:p w14:paraId="458AB3A6" w14:textId="77777777" w:rsidR="00FA7EBF" w:rsidRPr="007939DD" w:rsidRDefault="00FA7EBF" w:rsidP="007B207C">
            <w:pPr>
              <w:pStyle w:val="ARfintablebodyrightbold"/>
              <w:rPr>
                <w:lang w:eastAsia="en-AU"/>
              </w:rPr>
            </w:pPr>
            <w:r w:rsidRPr="00D672EA">
              <w:t>(4.4)</w:t>
            </w:r>
          </w:p>
        </w:tc>
      </w:tr>
      <w:tr w:rsidR="00FA7EBF" w:rsidRPr="007939DD" w14:paraId="1F39E597" w14:textId="77777777" w:rsidTr="007B207C">
        <w:trPr>
          <w:cantSplit/>
        </w:trPr>
        <w:tc>
          <w:tcPr>
            <w:tcW w:w="7371" w:type="dxa"/>
            <w:tcBorders>
              <w:top w:val="single" w:sz="4" w:space="0" w:color="A6A6A6" w:themeColor="background1" w:themeShade="A6"/>
            </w:tcBorders>
          </w:tcPr>
          <w:p w14:paraId="1F874D92" w14:textId="77777777" w:rsidR="00FA7EBF" w:rsidRPr="007939DD" w:rsidRDefault="00FA7EBF" w:rsidP="007B207C">
            <w:pPr>
              <w:pStyle w:val="ARfintablebody"/>
              <w:rPr>
                <w:lang w:eastAsia="en-AU"/>
              </w:rPr>
            </w:pPr>
            <w:r w:rsidRPr="00D672EA">
              <w:t>Opening retained earnings adjustment on adoption of AASB 9</w:t>
            </w:r>
          </w:p>
        </w:tc>
        <w:tc>
          <w:tcPr>
            <w:tcW w:w="1134" w:type="dxa"/>
            <w:tcBorders>
              <w:top w:val="single" w:sz="4" w:space="0" w:color="A6A6A6" w:themeColor="background1" w:themeShade="A6"/>
            </w:tcBorders>
            <w:shd w:val="clear" w:color="auto" w:fill="E7E6E6"/>
          </w:tcPr>
          <w:p w14:paraId="24B7A365" w14:textId="77777777" w:rsidR="00FA7EBF" w:rsidRPr="007939DD" w:rsidRDefault="00FA7EBF" w:rsidP="007B207C">
            <w:pPr>
              <w:pStyle w:val="ARfintablebodyright"/>
              <w:rPr>
                <w:lang w:eastAsia="en-AU"/>
              </w:rPr>
            </w:pPr>
            <w:r w:rsidRPr="00D672EA">
              <w:t>(2.4)</w:t>
            </w:r>
          </w:p>
        </w:tc>
        <w:tc>
          <w:tcPr>
            <w:tcW w:w="1134" w:type="dxa"/>
            <w:tcBorders>
              <w:top w:val="single" w:sz="4" w:space="0" w:color="A6A6A6" w:themeColor="background1" w:themeShade="A6"/>
            </w:tcBorders>
          </w:tcPr>
          <w:p w14:paraId="34042CDD" w14:textId="77777777" w:rsidR="00FA7EBF" w:rsidRPr="007939DD" w:rsidRDefault="00FA7EBF" w:rsidP="007B207C">
            <w:pPr>
              <w:pStyle w:val="ARfintablebodyright"/>
              <w:rPr>
                <w:lang w:eastAsia="en-AU"/>
              </w:rPr>
            </w:pPr>
            <w:r w:rsidRPr="00D672EA">
              <w:t>–</w:t>
            </w:r>
          </w:p>
        </w:tc>
      </w:tr>
      <w:tr w:rsidR="00FA7EBF" w:rsidRPr="007939DD" w14:paraId="7DFA473C" w14:textId="77777777" w:rsidTr="007B207C">
        <w:trPr>
          <w:cantSplit/>
        </w:trPr>
        <w:tc>
          <w:tcPr>
            <w:tcW w:w="7371" w:type="dxa"/>
          </w:tcPr>
          <w:p w14:paraId="0B299A64" w14:textId="77777777" w:rsidR="00FA7EBF" w:rsidRPr="008E3F1F" w:rsidRDefault="00FA7EBF" w:rsidP="007B207C">
            <w:pPr>
              <w:pStyle w:val="ARfintablebodybold"/>
            </w:pPr>
            <w:r w:rsidRPr="00D672EA">
              <w:t>Opening loss allowance</w:t>
            </w:r>
          </w:p>
        </w:tc>
        <w:tc>
          <w:tcPr>
            <w:tcW w:w="1134" w:type="dxa"/>
            <w:shd w:val="clear" w:color="auto" w:fill="E7E6E6"/>
          </w:tcPr>
          <w:p w14:paraId="56149B36" w14:textId="77777777" w:rsidR="00FA7EBF" w:rsidRPr="008E3F1F" w:rsidRDefault="00FA7EBF" w:rsidP="007B207C">
            <w:pPr>
              <w:pStyle w:val="ARfintablebodyrightbold"/>
            </w:pPr>
            <w:r w:rsidRPr="00D672EA">
              <w:t>(11.0)</w:t>
            </w:r>
          </w:p>
        </w:tc>
        <w:tc>
          <w:tcPr>
            <w:tcW w:w="1134" w:type="dxa"/>
          </w:tcPr>
          <w:p w14:paraId="6F9338E3" w14:textId="77777777" w:rsidR="00FA7EBF" w:rsidRPr="008E3F1F" w:rsidRDefault="00FA7EBF" w:rsidP="007B207C">
            <w:pPr>
              <w:pStyle w:val="ARfintablebodyrightbold"/>
            </w:pPr>
            <w:r w:rsidRPr="00D672EA">
              <w:t>(4.4)</w:t>
            </w:r>
          </w:p>
        </w:tc>
      </w:tr>
      <w:tr w:rsidR="00FA7EBF" w:rsidRPr="007939DD" w14:paraId="31C4E1DD" w14:textId="77777777" w:rsidTr="007B207C">
        <w:trPr>
          <w:cantSplit/>
        </w:trPr>
        <w:tc>
          <w:tcPr>
            <w:tcW w:w="7371" w:type="dxa"/>
            <w:tcBorders>
              <w:bottom w:val="single" w:sz="4" w:space="0" w:color="A6A6A6" w:themeColor="background1" w:themeShade="A6"/>
            </w:tcBorders>
          </w:tcPr>
          <w:p w14:paraId="058BC2DC" w14:textId="77777777" w:rsidR="00FA7EBF" w:rsidRPr="008E3F1F" w:rsidRDefault="00FA7EBF" w:rsidP="007B207C">
            <w:pPr>
              <w:pStyle w:val="ARfintablebody"/>
            </w:pPr>
            <w:r w:rsidRPr="00D672EA">
              <w:t>Increase in provision recognised in the net result</w:t>
            </w:r>
          </w:p>
        </w:tc>
        <w:tc>
          <w:tcPr>
            <w:tcW w:w="1134" w:type="dxa"/>
            <w:tcBorders>
              <w:bottom w:val="single" w:sz="4" w:space="0" w:color="A6A6A6" w:themeColor="background1" w:themeShade="A6"/>
            </w:tcBorders>
            <w:shd w:val="clear" w:color="auto" w:fill="E7E6E6"/>
          </w:tcPr>
          <w:p w14:paraId="5DBF215A" w14:textId="77777777" w:rsidR="00FA7EBF" w:rsidRPr="008E3F1F" w:rsidRDefault="00FA7EBF" w:rsidP="007B207C">
            <w:pPr>
              <w:pStyle w:val="ARfintablebodyright"/>
            </w:pPr>
            <w:r w:rsidRPr="00D672EA">
              <w:t>(9.1)</w:t>
            </w:r>
          </w:p>
        </w:tc>
        <w:tc>
          <w:tcPr>
            <w:tcW w:w="1134" w:type="dxa"/>
            <w:tcBorders>
              <w:bottom w:val="single" w:sz="4" w:space="0" w:color="A6A6A6" w:themeColor="background1" w:themeShade="A6"/>
            </w:tcBorders>
          </w:tcPr>
          <w:p w14:paraId="086F52B7" w14:textId="77777777" w:rsidR="00FA7EBF" w:rsidRPr="008E3F1F" w:rsidRDefault="00FA7EBF" w:rsidP="007B207C">
            <w:pPr>
              <w:pStyle w:val="ARfintablebodyright"/>
            </w:pPr>
            <w:r w:rsidRPr="00D672EA">
              <w:t>(19.2)</w:t>
            </w:r>
          </w:p>
        </w:tc>
      </w:tr>
      <w:tr w:rsidR="00FA7EBF" w:rsidRPr="007939DD" w14:paraId="617E06DD"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6919BBA4" w14:textId="77777777" w:rsidR="00FA7EBF" w:rsidRPr="008E3F1F" w:rsidRDefault="00FA7EBF" w:rsidP="007B207C">
            <w:pPr>
              <w:pStyle w:val="ARfintablebody"/>
            </w:pPr>
            <w:r w:rsidRPr="00D672EA">
              <w:t>Reversal of provision of receivables written off during the year as uncollectible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B40730C" w14:textId="77777777" w:rsidR="00FA7EBF" w:rsidRPr="008E3F1F" w:rsidRDefault="00FA7EBF" w:rsidP="007B207C">
            <w:pPr>
              <w:pStyle w:val="ARfintablebodyright"/>
            </w:pPr>
            <w:r w:rsidRPr="00D672EA">
              <w:t>7.0</w:t>
            </w:r>
          </w:p>
        </w:tc>
        <w:tc>
          <w:tcPr>
            <w:tcW w:w="1134" w:type="dxa"/>
            <w:tcBorders>
              <w:top w:val="single" w:sz="4" w:space="0" w:color="A6A6A6" w:themeColor="background1" w:themeShade="A6"/>
              <w:bottom w:val="single" w:sz="4" w:space="0" w:color="A6A6A6" w:themeColor="background1" w:themeShade="A6"/>
            </w:tcBorders>
          </w:tcPr>
          <w:p w14:paraId="128A5F7D" w14:textId="77777777" w:rsidR="00FA7EBF" w:rsidRPr="008E3F1F" w:rsidRDefault="00FA7EBF" w:rsidP="007B207C">
            <w:pPr>
              <w:pStyle w:val="ARfintablebodyright"/>
            </w:pPr>
            <w:r w:rsidRPr="00D672EA">
              <w:t>15.0</w:t>
            </w:r>
          </w:p>
        </w:tc>
      </w:tr>
      <w:tr w:rsidR="00FA7EBF" w:rsidRPr="007939DD" w14:paraId="1A44AD58" w14:textId="77777777" w:rsidTr="007B207C">
        <w:trPr>
          <w:cantSplit/>
        </w:trPr>
        <w:tc>
          <w:tcPr>
            <w:tcW w:w="7371" w:type="dxa"/>
            <w:tcBorders>
              <w:top w:val="single" w:sz="4" w:space="0" w:color="A6A6A6" w:themeColor="background1" w:themeShade="A6"/>
            </w:tcBorders>
          </w:tcPr>
          <w:p w14:paraId="3ADA3EED" w14:textId="77777777" w:rsidR="00FA7EBF" w:rsidRPr="001366E5" w:rsidRDefault="00FA7EBF" w:rsidP="007B207C">
            <w:pPr>
              <w:pStyle w:val="ARfintablebody"/>
              <w:rPr>
                <w:b/>
                <w:lang w:eastAsia="en-AU"/>
              </w:rPr>
            </w:pPr>
            <w:r w:rsidRPr="001366E5">
              <w:rPr>
                <w:b/>
              </w:rPr>
              <w:t>Balance at the end of the year</w:t>
            </w:r>
          </w:p>
        </w:tc>
        <w:tc>
          <w:tcPr>
            <w:tcW w:w="1134" w:type="dxa"/>
            <w:tcBorders>
              <w:top w:val="single" w:sz="4" w:space="0" w:color="A6A6A6" w:themeColor="background1" w:themeShade="A6"/>
            </w:tcBorders>
            <w:shd w:val="clear" w:color="auto" w:fill="E7E6E6"/>
          </w:tcPr>
          <w:p w14:paraId="61ACE07D" w14:textId="77777777" w:rsidR="00FA7EBF" w:rsidRPr="001366E5" w:rsidRDefault="00FA7EBF" w:rsidP="007B207C">
            <w:pPr>
              <w:pStyle w:val="ARfintablebodyright"/>
              <w:rPr>
                <w:b/>
                <w:lang w:eastAsia="en-AU"/>
              </w:rPr>
            </w:pPr>
            <w:r w:rsidRPr="001366E5">
              <w:rPr>
                <w:b/>
              </w:rPr>
              <w:t>(13.1)</w:t>
            </w:r>
          </w:p>
        </w:tc>
        <w:tc>
          <w:tcPr>
            <w:tcW w:w="1134" w:type="dxa"/>
            <w:tcBorders>
              <w:top w:val="single" w:sz="4" w:space="0" w:color="A6A6A6" w:themeColor="background1" w:themeShade="A6"/>
            </w:tcBorders>
          </w:tcPr>
          <w:p w14:paraId="402D05CF" w14:textId="77777777" w:rsidR="00FA7EBF" w:rsidRPr="001366E5" w:rsidRDefault="00FA7EBF" w:rsidP="007B207C">
            <w:pPr>
              <w:pStyle w:val="ARfintablebodyright"/>
              <w:rPr>
                <w:b/>
                <w:lang w:eastAsia="en-AU"/>
              </w:rPr>
            </w:pPr>
            <w:r w:rsidRPr="001366E5">
              <w:rPr>
                <w:b/>
              </w:rPr>
              <w:t>(8.6)</w:t>
            </w:r>
          </w:p>
        </w:tc>
      </w:tr>
    </w:tbl>
    <w:p w14:paraId="57BAC5F6" w14:textId="77777777" w:rsidR="00FA7EBF" w:rsidRPr="00194D78" w:rsidRDefault="00FA7EBF" w:rsidP="00D86186">
      <w:pPr>
        <w:pStyle w:val="ARfinbodyaftertable"/>
        <w:spacing w:before="80"/>
      </w:pPr>
      <w:r w:rsidRPr="00194D78">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334942AA" w14:textId="77777777" w:rsidR="00FA7EBF" w:rsidRPr="00194D78" w:rsidRDefault="00FA7EBF" w:rsidP="00CA66FD">
      <w:pPr>
        <w:pStyle w:val="ARfinbody"/>
      </w:pPr>
      <w:r w:rsidRPr="00194D78">
        <w:t>In prior years, a provision for doubtful debts is recognised when there is objective evidence that the debts may not be collected and bad debts are written off when identified. A provision is made for estimated irrecoverable amounts from the sale of goods when there is objective evidence that an individual receivable is impaired. Bad debts considered as written off by mutual consent.</w:t>
      </w:r>
    </w:p>
    <w:p w14:paraId="1C8F3480" w14:textId="77777777" w:rsidR="00FA7EBF" w:rsidRPr="00194D78" w:rsidRDefault="00FA7EBF" w:rsidP="00D86186">
      <w:pPr>
        <w:pStyle w:val="Heading7"/>
        <w:spacing w:before="120"/>
        <w:rPr>
          <w:lang w:val="x-none"/>
        </w:rPr>
      </w:pPr>
      <w:r w:rsidRPr="00194D78">
        <w:rPr>
          <w:lang w:val="x-none"/>
        </w:rPr>
        <w:t>Statutory receivables and debts investments at amortised cost</w:t>
      </w:r>
    </w:p>
    <w:p w14:paraId="3CDDC394" w14:textId="77777777" w:rsidR="00FA7EBF" w:rsidRPr="00194D78" w:rsidRDefault="00FA7EBF" w:rsidP="00CA66FD">
      <w:pPr>
        <w:pStyle w:val="ARfinbody"/>
      </w:pPr>
      <w:r w:rsidRPr="00194D78">
        <w:t>The department</w:t>
      </w:r>
      <w:r>
        <w:t>’</w:t>
      </w:r>
      <w:r w:rsidRPr="00194D78">
        <w:t>s non-contractual receivables arising from statutory requirements are not financial instruments. However, they are nevertheless recognised and measured in accordance with AASB 9 requirements as if those receivables are financial instruments.</w:t>
      </w:r>
    </w:p>
    <w:p w14:paraId="22A4DDA2" w14:textId="77777777" w:rsidR="00FA7EBF" w:rsidRPr="00194D78" w:rsidRDefault="00FA7EBF" w:rsidP="00CA66FD">
      <w:pPr>
        <w:pStyle w:val="ARfinbody"/>
      </w:pPr>
      <w:r w:rsidRPr="00194D78">
        <w:t>Both statutory receivables and investments in debt ins</w:t>
      </w:r>
      <w:r>
        <w:t>t</w:t>
      </w:r>
      <w:r w:rsidRPr="00194D78">
        <w:t>ruments are considered to have low credit risk, taking into account the counterparty</w:t>
      </w:r>
      <w:r>
        <w:t>’</w:t>
      </w:r>
      <w:r w:rsidRPr="00194D78">
        <w:t>s credit rating, risk of default and capacity to meet contractual cash flow obligations in the near term. As a result, the loss allowance recognised for these financial assets during the period was limited to 12 months expected losses. No loss allowance recognised at 30 June 2018 under AASB 139. No additional loss allowance required upon transition into AASB 9 on 1 July 2018.</w:t>
      </w:r>
    </w:p>
    <w:p w14:paraId="29D753AA" w14:textId="77777777" w:rsidR="00FA7EBF" w:rsidRPr="00194D78" w:rsidRDefault="00FA7EBF" w:rsidP="00D86186">
      <w:pPr>
        <w:pStyle w:val="Heading6"/>
        <w:overflowPunct/>
        <w:autoSpaceDE/>
        <w:autoSpaceDN/>
        <w:adjustRightInd/>
        <w:spacing w:before="120" w:after="60"/>
        <w:textAlignment w:val="auto"/>
        <w:rPr>
          <w:lang w:eastAsia="en-AU"/>
        </w:rPr>
      </w:pPr>
      <w:r w:rsidRPr="00194D78">
        <w:rPr>
          <w:lang w:eastAsia="en-AU"/>
        </w:rPr>
        <w:t>8.1.3.2 Financial instruments: liquidity risk</w:t>
      </w:r>
    </w:p>
    <w:p w14:paraId="44B162FF" w14:textId="77777777" w:rsidR="00FA7EBF" w:rsidRDefault="00FA7EBF" w:rsidP="00CA66FD">
      <w:pPr>
        <w:pStyle w:val="ARfinbody"/>
      </w:pPr>
      <w:r w:rsidRPr="00194D78">
        <w:t>Liquidity risk arises from being unable to meet financial obligations as they fall due. The department operates under the government fair payments policy of settling financial obligations within 30 days and in the event of a dispute, make payments within 30 days from the date of resolution.</w:t>
      </w:r>
    </w:p>
    <w:p w14:paraId="642F99FD" w14:textId="77777777" w:rsidR="00FA7EBF" w:rsidRPr="00194D78" w:rsidRDefault="00FA7EBF" w:rsidP="00D86186">
      <w:pPr>
        <w:pStyle w:val="ARfinbody"/>
        <w:spacing w:after="40"/>
      </w:pPr>
      <w:r w:rsidRPr="00194D78">
        <w:t>The department is exposed to liquidity risk mainly through the financial liabilities as disclosed in the face of the balance sheet and the amounts related to financial guarantees. The department manages its liquidity risk by:</w:t>
      </w:r>
    </w:p>
    <w:p w14:paraId="11337872" w14:textId="77777777" w:rsidR="00FA7EBF" w:rsidRPr="00194D78" w:rsidRDefault="00FA7EBF" w:rsidP="00D86186">
      <w:pPr>
        <w:pStyle w:val="ARfinbullet1"/>
        <w:numPr>
          <w:ilvl w:val="0"/>
          <w:numId w:val="4"/>
        </w:numPr>
        <w:spacing w:after="40"/>
      </w:pPr>
      <w:r w:rsidRPr="00194D78">
        <w:t>close monitoring of its short-term and long-term borrowings by senior management, including monthly reviews on current and future borrowing levels and requirements</w:t>
      </w:r>
    </w:p>
    <w:p w14:paraId="7EA078B7" w14:textId="77777777" w:rsidR="00FA7EBF" w:rsidRPr="00194D78" w:rsidRDefault="00FA7EBF" w:rsidP="00D86186">
      <w:pPr>
        <w:pStyle w:val="ARfinbullet1"/>
        <w:numPr>
          <w:ilvl w:val="0"/>
          <w:numId w:val="4"/>
        </w:numPr>
        <w:spacing w:after="40"/>
      </w:pPr>
      <w:r w:rsidRPr="00194D78">
        <w:t>maintaining an adequate level of uncommitted funds that can be drawn at short notice to meet its short term obligations</w:t>
      </w:r>
    </w:p>
    <w:p w14:paraId="6D43F35F" w14:textId="77777777" w:rsidR="00FA7EBF" w:rsidRPr="00194D78" w:rsidRDefault="00FA7EBF" w:rsidP="00D86186">
      <w:pPr>
        <w:pStyle w:val="ARfinbullet1"/>
        <w:numPr>
          <w:ilvl w:val="0"/>
          <w:numId w:val="4"/>
        </w:numPr>
        <w:spacing w:after="40"/>
      </w:pPr>
      <w:r w:rsidRPr="00194D78">
        <w:t>holding investments and other contractual financial assets that are readily tradeable in the financial markets</w:t>
      </w:r>
    </w:p>
    <w:p w14:paraId="62DC7D1E" w14:textId="77777777" w:rsidR="00FA7EBF" w:rsidRPr="00194D78" w:rsidRDefault="00FA7EBF" w:rsidP="00D86186">
      <w:pPr>
        <w:pStyle w:val="ARfinbullet1"/>
        <w:numPr>
          <w:ilvl w:val="0"/>
          <w:numId w:val="4"/>
        </w:numPr>
        <w:spacing w:after="40"/>
      </w:pPr>
      <w:r w:rsidRPr="00194D78">
        <w:t>careful maturity planning of its financial obligations based on forecasts of future cash flows</w:t>
      </w:r>
    </w:p>
    <w:p w14:paraId="3FB8E09C" w14:textId="77777777" w:rsidR="00FA7EBF" w:rsidRPr="00194D78" w:rsidRDefault="00FA7EBF" w:rsidP="00CA66FD">
      <w:pPr>
        <w:pStyle w:val="ARfinbullet1"/>
        <w:numPr>
          <w:ilvl w:val="0"/>
          <w:numId w:val="4"/>
        </w:numPr>
      </w:pPr>
      <w:r w:rsidRPr="00194D78">
        <w:t>a high credit rating for the State of Victoria (Moody</w:t>
      </w:r>
      <w:r>
        <w:t>’</w:t>
      </w:r>
      <w:r w:rsidRPr="00194D78">
        <w:t>s Investor Services, Standard &amp; Poor</w:t>
      </w:r>
      <w:r>
        <w:t>’</w:t>
      </w:r>
      <w:r w:rsidRPr="00194D78">
        <w:t>s triple-A, which assists in accessing debt market at a lower interest rate).</w:t>
      </w:r>
    </w:p>
    <w:p w14:paraId="328D8C0D" w14:textId="77777777" w:rsidR="00FA7EBF" w:rsidRPr="00194D78" w:rsidRDefault="00FA7EBF" w:rsidP="00CA66FD">
      <w:pPr>
        <w:pStyle w:val="ARfinbody"/>
      </w:pPr>
      <w:r w:rsidRPr="00194D78">
        <w:t>The department</w:t>
      </w:r>
      <w:r>
        <w:t>’</w:t>
      </w:r>
      <w:r w:rsidRPr="00194D78">
        <w:t>s exposure to liquidity risk is deemed insignificant based on prior periods</w:t>
      </w:r>
      <w:r>
        <w:t>’</w:t>
      </w:r>
      <w:r w:rsidRPr="00194D78">
        <w:t xml:space="preserve"> data and current assessment of risk.</w:t>
      </w:r>
    </w:p>
    <w:p w14:paraId="7B429E38" w14:textId="77777777" w:rsidR="00FA7EBF" w:rsidRPr="00194D78" w:rsidRDefault="00FA7EBF" w:rsidP="00CA66FD">
      <w:pPr>
        <w:pStyle w:val="ARfinbody"/>
      </w:pPr>
      <w:r w:rsidRPr="00194D78">
        <w:t>The carrying amount detailed in Notes 6.4.1 and 7.1.1, of contractual financial liabilities recorded in the financial statements, represents the department</w:t>
      </w:r>
      <w:r>
        <w:t>’</w:t>
      </w:r>
      <w:r w:rsidRPr="00194D78">
        <w:t>s maximum exposure to liquidity risk.</w:t>
      </w:r>
    </w:p>
    <w:p w14:paraId="45BCBFD5" w14:textId="77777777" w:rsidR="00FA7EBF" w:rsidRPr="00194D78" w:rsidRDefault="00FA7EBF" w:rsidP="00FA7EBF">
      <w:pPr>
        <w:pStyle w:val="Heading6"/>
        <w:spacing w:before="120"/>
        <w:rPr>
          <w:lang w:eastAsia="en-AU"/>
        </w:rPr>
      </w:pPr>
      <w:r w:rsidRPr="00194D78">
        <w:rPr>
          <w:lang w:eastAsia="en-AU"/>
        </w:rPr>
        <w:t>8.1.3.3 Financial instruments: market risk</w:t>
      </w:r>
    </w:p>
    <w:p w14:paraId="75182106" w14:textId="77777777" w:rsidR="00FA7EBF" w:rsidRPr="00194D78" w:rsidRDefault="00FA7EBF" w:rsidP="00CA66FD">
      <w:pPr>
        <w:pStyle w:val="ARfinbody"/>
      </w:pPr>
      <w:r w:rsidRPr="00194D78">
        <w:t>The department</w:t>
      </w:r>
      <w:r>
        <w:t>’</w:t>
      </w:r>
      <w:r w:rsidRPr="00194D78">
        <w:t>s exposures to market risk is primarily through interest rate risk. The department</w:t>
      </w:r>
      <w:r>
        <w:t>’</w:t>
      </w:r>
      <w:r w:rsidRPr="00194D78">
        <w:t>s exposure to other price risks is insignificant. Objectives, policies and processes used to manage the risk are disclosed below.</w:t>
      </w:r>
    </w:p>
    <w:p w14:paraId="39B7CA6E" w14:textId="77777777" w:rsidR="00FA7EBF" w:rsidRPr="00194D78" w:rsidRDefault="00FA7EBF" w:rsidP="00FA7EBF">
      <w:pPr>
        <w:pStyle w:val="Heading7"/>
        <w:spacing w:before="120"/>
        <w:rPr>
          <w:lang w:val="x-none"/>
        </w:rPr>
      </w:pPr>
      <w:r w:rsidRPr="00194D78">
        <w:rPr>
          <w:lang w:val="x-none"/>
        </w:rPr>
        <w:t>Sensitivity disclosure analysis and assumptions</w:t>
      </w:r>
    </w:p>
    <w:p w14:paraId="5ADDC37D" w14:textId="77777777" w:rsidR="00FA7EBF" w:rsidRDefault="00FA7EBF" w:rsidP="00CA66FD">
      <w:pPr>
        <w:pStyle w:val="ARfinbody"/>
      </w:pPr>
      <w:r w:rsidRPr="00194D78">
        <w:t>Taking into account past performance, future expectations, economic forecasts, and management</w:t>
      </w:r>
      <w:r>
        <w:t>’</w:t>
      </w:r>
      <w:r w:rsidRPr="00194D78">
        <w:t xml:space="preserve">s knowledge and experience of the financial markets, the department believes the following movements are </w:t>
      </w:r>
      <w:r>
        <w:t>‘</w:t>
      </w:r>
      <w:r w:rsidRPr="00194D78">
        <w:t>reasonably possible</w:t>
      </w:r>
      <w:r>
        <w:t>’</w:t>
      </w:r>
      <w:r w:rsidRPr="00194D78">
        <w:t xml:space="preserve"> over the next 12 months:</w:t>
      </w:r>
    </w:p>
    <w:p w14:paraId="08A170F9" w14:textId="77777777" w:rsidR="00FA7EBF" w:rsidRPr="00194D78" w:rsidRDefault="00FA7EBF" w:rsidP="00CA66FD">
      <w:pPr>
        <w:pStyle w:val="ARfinbullet1"/>
        <w:numPr>
          <w:ilvl w:val="0"/>
          <w:numId w:val="4"/>
        </w:numPr>
      </w:pPr>
      <w:r w:rsidRPr="00194D78">
        <w:t>A shift of +0.5% and -0.5% (2018: +0.5% and -0.5%) in market interest rates (AUD) from year-end cash deposits.</w:t>
      </w:r>
    </w:p>
    <w:p w14:paraId="3477BCC6" w14:textId="77777777" w:rsidR="00FA7EBF" w:rsidRPr="00194D78" w:rsidRDefault="00FA7EBF" w:rsidP="00CA66FD">
      <w:pPr>
        <w:pStyle w:val="ARfinbody"/>
      </w:pPr>
      <w:r w:rsidRPr="00194D78">
        <w:t>Several loan programs have loans with interest rates linked to movement in the consumer price index (CPI). The total balances outstanding under these programs have reduced to a level that any changes to the CPI have a limited impact on the amount of interest charged and no new lending is made under these programs.</w:t>
      </w:r>
    </w:p>
    <w:p w14:paraId="7091DA3C" w14:textId="77777777" w:rsidR="00FA7EBF" w:rsidRPr="00194D78" w:rsidRDefault="00FA7EBF" w:rsidP="00CA66FD">
      <w:pPr>
        <w:pStyle w:val="ARfinbody"/>
      </w:pPr>
      <w:r w:rsidRPr="00194D78">
        <w:t>The tables that follow show the impact on the department</w:t>
      </w:r>
      <w:r>
        <w:t>’</w:t>
      </w:r>
      <w:r w:rsidRPr="00194D78">
        <w:t>s net result and equity for each category of financial instrument held by the department at the end of the reporting period, if the above movements were to occur.</w:t>
      </w:r>
    </w:p>
    <w:p w14:paraId="266E15A0" w14:textId="77777777" w:rsidR="00FA7EBF" w:rsidRPr="00194D78" w:rsidRDefault="00FA7EBF" w:rsidP="00FA7EBF">
      <w:pPr>
        <w:pStyle w:val="Heading7"/>
        <w:spacing w:before="120"/>
        <w:rPr>
          <w:lang w:val="x-none"/>
        </w:rPr>
      </w:pPr>
      <w:r w:rsidRPr="00194D78">
        <w:rPr>
          <w:lang w:val="x-none"/>
        </w:rPr>
        <w:t>Interest rate risk</w:t>
      </w:r>
    </w:p>
    <w:p w14:paraId="68406F44" w14:textId="77777777" w:rsidR="00FA7EBF" w:rsidRPr="00194D78" w:rsidRDefault="00FA7EBF" w:rsidP="00CA66FD">
      <w:pPr>
        <w:pStyle w:val="ARfinbody"/>
      </w:pPr>
      <w:r w:rsidRPr="00194D78">
        <w:t>Fair value interest rate risk is the risk that the fair value of a financial instrument will fluctuate because of changes in market interest rates. The department does not hold any interest-bearing financial instruments that are measured at fair value, and therefore has no exposure to fair value interest rate risk.</w:t>
      </w:r>
    </w:p>
    <w:p w14:paraId="0AF9833C" w14:textId="77777777" w:rsidR="00FA7EBF" w:rsidRPr="00194D78" w:rsidRDefault="00FA7EBF" w:rsidP="00CA66FD">
      <w:pPr>
        <w:pStyle w:val="ARfinbody"/>
      </w:pPr>
      <w:r w:rsidRPr="00194D78">
        <w:t>Cash flow interest rate risk is the risk that the future cash flows of a financial instrument will fluctuate because of changes in market interest rates. The department has minimal exposure to cash flow interest rate risks through cash and deposits and term deposits.</w:t>
      </w:r>
    </w:p>
    <w:p w14:paraId="212C4E1F" w14:textId="77777777" w:rsidR="00FA7EBF" w:rsidRPr="00194D78" w:rsidRDefault="00FA7EBF" w:rsidP="00CA66FD">
      <w:pPr>
        <w:pStyle w:val="ARfinbody"/>
      </w:pPr>
      <w:r w:rsidRPr="00194D78">
        <w:t>Exposure to interest rate risk is insignificant and might arise primarily through the department</w:t>
      </w:r>
      <w:r>
        <w:t>’</w:t>
      </w:r>
      <w:r w:rsidRPr="00194D78">
        <w:t>s interest bearing assets. Minimisation of risk is achieved by mainly undertaking fixed rate or non-interest bearing financial instruments. For financial liabilities, the department mainly incurs financial liabilities with relatively even maturity profiles.</w:t>
      </w:r>
    </w:p>
    <w:p w14:paraId="3BBDAD04" w14:textId="77777777" w:rsidR="00FA7EBF" w:rsidRPr="00194D78" w:rsidRDefault="00FA7EBF" w:rsidP="00CA66FD">
      <w:pPr>
        <w:pStyle w:val="ARfinbody"/>
      </w:pPr>
      <w:r w:rsidRPr="00194D78">
        <w:t>The carrying amounts of financial assets and financial liabilities that are exposed to interest rates and the department</w:t>
      </w:r>
      <w:r>
        <w:t>’</w:t>
      </w:r>
      <w:r w:rsidRPr="00194D78">
        <w:t>s sensitivity to interest rate risk are set out in the table that follows.</w:t>
      </w:r>
    </w:p>
    <w:p w14:paraId="76A33D4E" w14:textId="77777777" w:rsidR="00FA7EBF" w:rsidRDefault="00FA7EBF" w:rsidP="00FA7EBF">
      <w:pPr>
        <w:pStyle w:val="Heading7"/>
        <w:spacing w:before="120"/>
        <w:rPr>
          <w:lang w:val="x-none"/>
        </w:rPr>
      </w:pPr>
      <w:r w:rsidRPr="00194D78">
        <w:rPr>
          <w:lang w:val="x-none"/>
        </w:rPr>
        <w:t>Interest rate exposure of financial instruments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3684"/>
        <w:gridCol w:w="1191"/>
        <w:gridCol w:w="1191"/>
        <w:gridCol w:w="1191"/>
        <w:gridCol w:w="1191"/>
        <w:gridCol w:w="1191"/>
      </w:tblGrid>
      <w:tr w:rsidR="00FA7EBF" w:rsidRPr="007939DD" w14:paraId="158ED91F" w14:textId="77777777" w:rsidTr="007B207C">
        <w:trPr>
          <w:cantSplit/>
          <w:trHeight w:val="20"/>
          <w:tblHeader/>
        </w:trPr>
        <w:tc>
          <w:tcPr>
            <w:tcW w:w="3684" w:type="dxa"/>
            <w:vMerge w:val="restart"/>
            <w:vAlign w:val="bottom"/>
          </w:tcPr>
          <w:p w14:paraId="6F73C4C8" w14:textId="77777777" w:rsidR="00FA7EBF" w:rsidRPr="007939DD" w:rsidRDefault="00FA7EBF" w:rsidP="00FA7EBF">
            <w:pPr>
              <w:keepNext/>
              <w:autoSpaceDE w:val="0"/>
              <w:autoSpaceDN w:val="0"/>
              <w:adjustRightInd w:val="0"/>
              <w:spacing w:before="20" w:afterLines="20" w:after="48"/>
              <w:rPr>
                <w:rFonts w:cs="Arial"/>
                <w:b/>
                <w:bCs/>
                <w:color w:val="000000"/>
                <w:sz w:val="16"/>
                <w:szCs w:val="16"/>
              </w:rPr>
            </w:pPr>
          </w:p>
        </w:tc>
        <w:tc>
          <w:tcPr>
            <w:tcW w:w="1191" w:type="dxa"/>
            <w:vMerge w:val="restart"/>
            <w:vAlign w:val="bottom"/>
          </w:tcPr>
          <w:p w14:paraId="475118C7" w14:textId="77777777" w:rsidR="00FA7EBF" w:rsidRPr="007939DD" w:rsidRDefault="00FA7EBF" w:rsidP="00FA7EBF">
            <w:pPr>
              <w:pStyle w:val="ARfintablecolheadright"/>
              <w:spacing w:before="20"/>
            </w:pPr>
            <w:r w:rsidRPr="007939DD">
              <w:t>Weighted average effective interest rate</w:t>
            </w:r>
          </w:p>
          <w:p w14:paraId="0D306855" w14:textId="77777777" w:rsidR="00FA7EBF" w:rsidRPr="007939DD" w:rsidRDefault="00FA7EBF" w:rsidP="00FA7EBF">
            <w:pPr>
              <w:pStyle w:val="ARfintablecolheadright"/>
              <w:spacing w:before="20"/>
            </w:pPr>
            <w:r w:rsidRPr="007939DD">
              <w:t>(%)</w:t>
            </w:r>
          </w:p>
        </w:tc>
        <w:tc>
          <w:tcPr>
            <w:tcW w:w="1191" w:type="dxa"/>
            <w:vMerge w:val="restart"/>
            <w:vAlign w:val="bottom"/>
          </w:tcPr>
          <w:p w14:paraId="151F36C9" w14:textId="77777777" w:rsidR="00FA7EBF" w:rsidRPr="007939DD" w:rsidRDefault="00FA7EBF" w:rsidP="00FA7EBF">
            <w:pPr>
              <w:pStyle w:val="ARfintablecolheadright"/>
              <w:spacing w:before="20"/>
            </w:pPr>
            <w:r w:rsidRPr="007939DD">
              <w:t>Carrying amount</w:t>
            </w:r>
          </w:p>
          <w:p w14:paraId="69856F72" w14:textId="77777777" w:rsidR="00FA7EBF" w:rsidRPr="007939DD" w:rsidRDefault="00FA7EBF" w:rsidP="00FA7EBF">
            <w:pPr>
              <w:pStyle w:val="ARfintablecolheadright"/>
              <w:spacing w:before="20"/>
            </w:pPr>
            <w:r w:rsidRPr="007939DD">
              <w:t>$M</w:t>
            </w:r>
          </w:p>
        </w:tc>
        <w:tc>
          <w:tcPr>
            <w:tcW w:w="3573" w:type="dxa"/>
            <w:gridSpan w:val="3"/>
            <w:vAlign w:val="bottom"/>
          </w:tcPr>
          <w:p w14:paraId="3F114B9F" w14:textId="77777777" w:rsidR="00FA7EBF" w:rsidRPr="007939DD" w:rsidRDefault="00FA7EBF" w:rsidP="00FA7EBF">
            <w:pPr>
              <w:pStyle w:val="ARfintablecolheadcentre"/>
              <w:spacing w:before="20"/>
            </w:pPr>
            <w:r w:rsidRPr="007939DD">
              <w:t>Interest rate exposure</w:t>
            </w:r>
          </w:p>
        </w:tc>
      </w:tr>
      <w:tr w:rsidR="00FA7EBF" w:rsidRPr="007939DD" w14:paraId="2024FE47" w14:textId="77777777" w:rsidTr="007B207C">
        <w:trPr>
          <w:cantSplit/>
          <w:trHeight w:val="20"/>
          <w:tblHeader/>
        </w:trPr>
        <w:tc>
          <w:tcPr>
            <w:tcW w:w="3684" w:type="dxa"/>
            <w:vMerge/>
            <w:vAlign w:val="bottom"/>
          </w:tcPr>
          <w:p w14:paraId="242C433E" w14:textId="77777777" w:rsidR="00FA7EBF" w:rsidRPr="007939DD" w:rsidRDefault="00FA7EBF" w:rsidP="00FA7EBF">
            <w:pPr>
              <w:autoSpaceDE w:val="0"/>
              <w:autoSpaceDN w:val="0"/>
              <w:adjustRightInd w:val="0"/>
              <w:spacing w:before="20" w:afterLines="20" w:after="48"/>
              <w:jc w:val="center"/>
              <w:rPr>
                <w:rFonts w:cs="Arial"/>
                <w:b/>
                <w:bCs/>
                <w:color w:val="000000"/>
                <w:sz w:val="16"/>
                <w:szCs w:val="16"/>
              </w:rPr>
            </w:pPr>
          </w:p>
        </w:tc>
        <w:tc>
          <w:tcPr>
            <w:tcW w:w="1191" w:type="dxa"/>
            <w:vMerge/>
            <w:vAlign w:val="bottom"/>
          </w:tcPr>
          <w:p w14:paraId="511C7837" w14:textId="77777777" w:rsidR="00FA7EBF" w:rsidRPr="007939DD" w:rsidRDefault="00FA7EBF" w:rsidP="00FA7EBF">
            <w:pPr>
              <w:autoSpaceDE w:val="0"/>
              <w:autoSpaceDN w:val="0"/>
              <w:adjustRightInd w:val="0"/>
              <w:spacing w:before="20" w:afterLines="20" w:after="48"/>
              <w:jc w:val="right"/>
              <w:rPr>
                <w:rFonts w:cs="Arial"/>
                <w:b/>
                <w:bCs/>
                <w:color w:val="000000"/>
                <w:sz w:val="16"/>
                <w:szCs w:val="16"/>
              </w:rPr>
            </w:pPr>
          </w:p>
        </w:tc>
        <w:tc>
          <w:tcPr>
            <w:tcW w:w="1191" w:type="dxa"/>
            <w:vMerge/>
            <w:vAlign w:val="bottom"/>
          </w:tcPr>
          <w:p w14:paraId="4C3CB5E3" w14:textId="77777777" w:rsidR="00FA7EBF" w:rsidRPr="007939DD" w:rsidRDefault="00FA7EBF" w:rsidP="00FA7EBF">
            <w:pPr>
              <w:autoSpaceDE w:val="0"/>
              <w:autoSpaceDN w:val="0"/>
              <w:adjustRightInd w:val="0"/>
              <w:spacing w:before="20" w:afterLines="20" w:after="48"/>
              <w:jc w:val="right"/>
              <w:rPr>
                <w:rFonts w:cs="Arial"/>
                <w:b/>
                <w:bCs/>
                <w:color w:val="000000"/>
                <w:sz w:val="16"/>
                <w:szCs w:val="16"/>
              </w:rPr>
            </w:pPr>
          </w:p>
        </w:tc>
        <w:tc>
          <w:tcPr>
            <w:tcW w:w="1191" w:type="dxa"/>
            <w:vAlign w:val="bottom"/>
          </w:tcPr>
          <w:p w14:paraId="501AB27C" w14:textId="77777777" w:rsidR="00FA7EBF" w:rsidRPr="007939DD" w:rsidRDefault="00FA7EBF" w:rsidP="00FA7EBF">
            <w:pPr>
              <w:pStyle w:val="ARfintablecolheadright"/>
              <w:spacing w:before="20"/>
            </w:pPr>
            <w:r w:rsidRPr="007939DD">
              <w:t>Fixed interest rate</w:t>
            </w:r>
          </w:p>
          <w:p w14:paraId="2B3E23E7" w14:textId="77777777" w:rsidR="00FA7EBF" w:rsidRPr="007939DD" w:rsidRDefault="00FA7EBF" w:rsidP="00FA7EBF">
            <w:pPr>
              <w:pStyle w:val="ARfintablecolheadright"/>
              <w:spacing w:before="20"/>
            </w:pPr>
            <w:r w:rsidRPr="007939DD">
              <w:t>$M</w:t>
            </w:r>
          </w:p>
        </w:tc>
        <w:tc>
          <w:tcPr>
            <w:tcW w:w="1191" w:type="dxa"/>
            <w:vAlign w:val="bottom"/>
          </w:tcPr>
          <w:p w14:paraId="09F41B21" w14:textId="77777777" w:rsidR="00FA7EBF" w:rsidRPr="007939DD" w:rsidRDefault="00FA7EBF" w:rsidP="00FA7EBF">
            <w:pPr>
              <w:pStyle w:val="ARfintablecolheadright"/>
              <w:spacing w:before="20"/>
            </w:pPr>
            <w:r w:rsidRPr="007939DD">
              <w:t>Variable interest rate</w:t>
            </w:r>
          </w:p>
          <w:p w14:paraId="74C17C07" w14:textId="77777777" w:rsidR="00FA7EBF" w:rsidRPr="007939DD" w:rsidRDefault="00FA7EBF" w:rsidP="00FA7EBF">
            <w:pPr>
              <w:pStyle w:val="ARfintablecolheadright"/>
              <w:spacing w:before="20"/>
            </w:pPr>
            <w:r w:rsidRPr="007939DD">
              <w:t>$M</w:t>
            </w:r>
          </w:p>
        </w:tc>
        <w:tc>
          <w:tcPr>
            <w:tcW w:w="1191" w:type="dxa"/>
            <w:vAlign w:val="bottom"/>
          </w:tcPr>
          <w:p w14:paraId="3DC01DD7" w14:textId="77777777" w:rsidR="00FA7EBF" w:rsidRPr="007939DD" w:rsidRDefault="00FA7EBF" w:rsidP="00FA7EBF">
            <w:pPr>
              <w:pStyle w:val="ARfintablecolheadright"/>
              <w:spacing w:before="20"/>
            </w:pPr>
            <w:r w:rsidRPr="007939DD">
              <w:t>Non-interest bearing</w:t>
            </w:r>
          </w:p>
          <w:p w14:paraId="0E45A058" w14:textId="77777777" w:rsidR="00FA7EBF" w:rsidRPr="007939DD" w:rsidRDefault="00FA7EBF" w:rsidP="00FA7EBF">
            <w:pPr>
              <w:pStyle w:val="ARfintablecolheadright"/>
              <w:spacing w:before="20"/>
            </w:pPr>
            <w:r w:rsidRPr="007939DD">
              <w:t>$M</w:t>
            </w:r>
          </w:p>
        </w:tc>
      </w:tr>
      <w:tr w:rsidR="00FA7EBF" w:rsidRPr="007939DD" w14:paraId="7982E0EC" w14:textId="77777777" w:rsidTr="007B207C">
        <w:trPr>
          <w:cantSplit/>
        </w:trPr>
        <w:tc>
          <w:tcPr>
            <w:tcW w:w="9639" w:type="dxa"/>
            <w:gridSpan w:val="6"/>
          </w:tcPr>
          <w:p w14:paraId="463BA702" w14:textId="77777777" w:rsidR="00FA7EBF" w:rsidRPr="007939DD" w:rsidRDefault="00FA7EBF" w:rsidP="00FA7EBF">
            <w:pPr>
              <w:pStyle w:val="ARfintablebodybold"/>
              <w:spacing w:before="20"/>
              <w:rPr>
                <w:lang w:eastAsia="en-AU"/>
              </w:rPr>
            </w:pPr>
            <w:r w:rsidRPr="006F1189">
              <w:t>2019</w:t>
            </w:r>
          </w:p>
        </w:tc>
      </w:tr>
      <w:tr w:rsidR="00FA7EBF" w:rsidRPr="007939DD" w14:paraId="50D4F062" w14:textId="77777777" w:rsidTr="007B207C">
        <w:trPr>
          <w:cantSplit/>
        </w:trPr>
        <w:tc>
          <w:tcPr>
            <w:tcW w:w="9639" w:type="dxa"/>
            <w:gridSpan w:val="6"/>
            <w:tcBorders>
              <w:bottom w:val="single" w:sz="4" w:space="0" w:color="A6A6A6" w:themeColor="background1" w:themeShade="A6"/>
            </w:tcBorders>
          </w:tcPr>
          <w:p w14:paraId="2CFBBED6" w14:textId="77777777" w:rsidR="00FA7EBF" w:rsidRPr="007939DD" w:rsidRDefault="00FA7EBF" w:rsidP="00FA7EBF">
            <w:pPr>
              <w:pStyle w:val="ARfintablebodybold"/>
              <w:spacing w:before="20"/>
              <w:rPr>
                <w:lang w:eastAsia="en-AU"/>
              </w:rPr>
            </w:pPr>
            <w:r w:rsidRPr="006F1189">
              <w:t>Financial assets</w:t>
            </w:r>
          </w:p>
        </w:tc>
      </w:tr>
      <w:tr w:rsidR="00FA7EBF" w:rsidRPr="007939DD" w14:paraId="287A2ADC" w14:textId="77777777" w:rsidTr="007B207C">
        <w:trPr>
          <w:cantSplit/>
        </w:trPr>
        <w:tc>
          <w:tcPr>
            <w:tcW w:w="3684" w:type="dxa"/>
            <w:tcBorders>
              <w:top w:val="single" w:sz="4" w:space="0" w:color="A6A6A6" w:themeColor="background1" w:themeShade="A6"/>
              <w:bottom w:val="single" w:sz="4" w:space="0" w:color="A6A6A6" w:themeColor="background1" w:themeShade="A6"/>
            </w:tcBorders>
          </w:tcPr>
          <w:p w14:paraId="1416B4DF" w14:textId="77777777" w:rsidR="00FA7EBF" w:rsidRPr="007939DD" w:rsidRDefault="00FA7EBF" w:rsidP="00FA7EBF">
            <w:pPr>
              <w:pStyle w:val="ARfintablebody"/>
              <w:spacing w:before="20"/>
              <w:rPr>
                <w:lang w:eastAsia="en-AU"/>
              </w:rPr>
            </w:pPr>
            <w:r w:rsidRPr="006F1189">
              <w:t>Cash and deposits</w:t>
            </w:r>
          </w:p>
        </w:tc>
        <w:tc>
          <w:tcPr>
            <w:tcW w:w="1191" w:type="dxa"/>
            <w:tcBorders>
              <w:top w:val="single" w:sz="4" w:space="0" w:color="A6A6A6" w:themeColor="background1" w:themeShade="A6"/>
              <w:bottom w:val="single" w:sz="4" w:space="0" w:color="A6A6A6" w:themeColor="background1" w:themeShade="A6"/>
            </w:tcBorders>
          </w:tcPr>
          <w:p w14:paraId="46259D9D" w14:textId="77777777" w:rsidR="00FA7EBF" w:rsidRPr="007939DD" w:rsidRDefault="00FA7EBF" w:rsidP="00FA7EBF">
            <w:pPr>
              <w:pStyle w:val="ARfintablebodyright"/>
              <w:spacing w:before="20"/>
              <w:rPr>
                <w:lang w:eastAsia="en-AU"/>
              </w:rPr>
            </w:pPr>
            <w:r w:rsidRPr="006F1189">
              <w:t>1.1%</w:t>
            </w:r>
          </w:p>
        </w:tc>
        <w:tc>
          <w:tcPr>
            <w:tcW w:w="1191" w:type="dxa"/>
            <w:tcBorders>
              <w:top w:val="single" w:sz="4" w:space="0" w:color="A6A6A6" w:themeColor="background1" w:themeShade="A6"/>
              <w:bottom w:val="single" w:sz="4" w:space="0" w:color="A6A6A6" w:themeColor="background1" w:themeShade="A6"/>
            </w:tcBorders>
          </w:tcPr>
          <w:p w14:paraId="2C1C5844" w14:textId="77777777" w:rsidR="00FA7EBF" w:rsidRPr="007939DD" w:rsidRDefault="00FA7EBF" w:rsidP="00FA7EBF">
            <w:pPr>
              <w:pStyle w:val="ARfintablebodyright"/>
              <w:spacing w:before="20"/>
              <w:rPr>
                <w:lang w:eastAsia="en-AU"/>
              </w:rPr>
            </w:pPr>
            <w:r w:rsidRPr="006F1189">
              <w:t>799.9</w:t>
            </w:r>
          </w:p>
        </w:tc>
        <w:tc>
          <w:tcPr>
            <w:tcW w:w="1191" w:type="dxa"/>
            <w:tcBorders>
              <w:top w:val="single" w:sz="4" w:space="0" w:color="A6A6A6" w:themeColor="background1" w:themeShade="A6"/>
              <w:bottom w:val="single" w:sz="4" w:space="0" w:color="A6A6A6" w:themeColor="background1" w:themeShade="A6"/>
            </w:tcBorders>
          </w:tcPr>
          <w:p w14:paraId="56730670" w14:textId="77777777" w:rsidR="00FA7EBF" w:rsidRPr="007939DD" w:rsidRDefault="00FA7EBF" w:rsidP="00FA7EBF">
            <w:pPr>
              <w:pStyle w:val="ARfintablebodyright"/>
              <w:spacing w:before="20"/>
              <w:rPr>
                <w:lang w:eastAsia="en-AU"/>
              </w:rPr>
            </w:pPr>
            <w:r w:rsidRPr="006F1189">
              <w:t>–</w:t>
            </w:r>
          </w:p>
        </w:tc>
        <w:tc>
          <w:tcPr>
            <w:tcW w:w="1191" w:type="dxa"/>
            <w:tcBorders>
              <w:top w:val="single" w:sz="4" w:space="0" w:color="A6A6A6" w:themeColor="background1" w:themeShade="A6"/>
              <w:bottom w:val="single" w:sz="4" w:space="0" w:color="A6A6A6" w:themeColor="background1" w:themeShade="A6"/>
            </w:tcBorders>
          </w:tcPr>
          <w:p w14:paraId="15CAD972" w14:textId="77777777" w:rsidR="00FA7EBF" w:rsidRPr="007939DD" w:rsidRDefault="00FA7EBF" w:rsidP="00FA7EBF">
            <w:pPr>
              <w:pStyle w:val="ARfintablebodyright"/>
              <w:spacing w:before="20"/>
              <w:rPr>
                <w:lang w:eastAsia="en-AU"/>
              </w:rPr>
            </w:pPr>
            <w:r w:rsidRPr="006F1189">
              <w:t>463.7</w:t>
            </w:r>
          </w:p>
        </w:tc>
        <w:tc>
          <w:tcPr>
            <w:tcW w:w="1191" w:type="dxa"/>
            <w:tcBorders>
              <w:top w:val="single" w:sz="4" w:space="0" w:color="A6A6A6" w:themeColor="background1" w:themeShade="A6"/>
              <w:bottom w:val="single" w:sz="4" w:space="0" w:color="A6A6A6" w:themeColor="background1" w:themeShade="A6"/>
            </w:tcBorders>
          </w:tcPr>
          <w:p w14:paraId="2204AD54" w14:textId="77777777" w:rsidR="00FA7EBF" w:rsidRPr="007939DD" w:rsidRDefault="00FA7EBF" w:rsidP="00FA7EBF">
            <w:pPr>
              <w:pStyle w:val="ARfintablebodyright"/>
              <w:spacing w:before="20"/>
              <w:rPr>
                <w:lang w:eastAsia="en-AU"/>
              </w:rPr>
            </w:pPr>
            <w:r w:rsidRPr="006F1189">
              <w:t>336.2</w:t>
            </w:r>
          </w:p>
        </w:tc>
      </w:tr>
      <w:tr w:rsidR="00FA7EBF" w:rsidRPr="007939DD" w14:paraId="607109E7" w14:textId="77777777" w:rsidTr="007B207C">
        <w:trPr>
          <w:cantSplit/>
        </w:trPr>
        <w:tc>
          <w:tcPr>
            <w:tcW w:w="3684" w:type="dxa"/>
            <w:tcBorders>
              <w:top w:val="single" w:sz="4" w:space="0" w:color="A6A6A6" w:themeColor="background1" w:themeShade="A6"/>
              <w:bottom w:val="single" w:sz="4" w:space="0" w:color="A6A6A6" w:themeColor="background1" w:themeShade="A6"/>
            </w:tcBorders>
          </w:tcPr>
          <w:p w14:paraId="71CB0E5D" w14:textId="77777777" w:rsidR="00FA7EBF" w:rsidRPr="007939DD" w:rsidRDefault="00FA7EBF" w:rsidP="00FA7EBF">
            <w:pPr>
              <w:pStyle w:val="ARfintablebody"/>
              <w:spacing w:before="20"/>
              <w:rPr>
                <w:lang w:eastAsia="en-AU"/>
              </w:rPr>
            </w:pPr>
            <w:r w:rsidRPr="006F1189">
              <w:t xml:space="preserve">Receivables </w:t>
            </w:r>
            <w:r w:rsidRPr="00DB5DE8">
              <w:rPr>
                <w:rStyle w:val="Superscript"/>
              </w:rPr>
              <w:t>(i)</w:t>
            </w:r>
          </w:p>
        </w:tc>
        <w:tc>
          <w:tcPr>
            <w:tcW w:w="1191" w:type="dxa"/>
            <w:tcBorders>
              <w:top w:val="single" w:sz="4" w:space="0" w:color="A6A6A6" w:themeColor="background1" w:themeShade="A6"/>
              <w:bottom w:val="single" w:sz="4" w:space="0" w:color="A6A6A6" w:themeColor="background1" w:themeShade="A6"/>
            </w:tcBorders>
          </w:tcPr>
          <w:p w14:paraId="15F2FAD3" w14:textId="77777777" w:rsidR="00FA7EBF" w:rsidRPr="007939DD" w:rsidRDefault="00FA7EBF" w:rsidP="00FA7EBF">
            <w:pPr>
              <w:pStyle w:val="ARfintablebodyright"/>
              <w:spacing w:before="20"/>
              <w:rPr>
                <w:lang w:eastAsia="en-AU"/>
              </w:rPr>
            </w:pPr>
          </w:p>
        </w:tc>
        <w:tc>
          <w:tcPr>
            <w:tcW w:w="1191" w:type="dxa"/>
            <w:tcBorders>
              <w:top w:val="single" w:sz="4" w:space="0" w:color="A6A6A6" w:themeColor="background1" w:themeShade="A6"/>
              <w:bottom w:val="single" w:sz="4" w:space="0" w:color="A6A6A6" w:themeColor="background1" w:themeShade="A6"/>
            </w:tcBorders>
          </w:tcPr>
          <w:p w14:paraId="258D4001" w14:textId="77777777" w:rsidR="00FA7EBF" w:rsidRPr="007939DD" w:rsidRDefault="00FA7EBF" w:rsidP="00FA7EBF">
            <w:pPr>
              <w:pStyle w:val="ARfintablebodyright"/>
              <w:spacing w:before="20"/>
              <w:rPr>
                <w:lang w:eastAsia="en-AU"/>
              </w:rPr>
            </w:pPr>
            <w:r w:rsidRPr="006F1189">
              <w:t>325.0</w:t>
            </w:r>
          </w:p>
        </w:tc>
        <w:tc>
          <w:tcPr>
            <w:tcW w:w="1191" w:type="dxa"/>
            <w:tcBorders>
              <w:top w:val="single" w:sz="4" w:space="0" w:color="A6A6A6" w:themeColor="background1" w:themeShade="A6"/>
              <w:bottom w:val="single" w:sz="4" w:space="0" w:color="A6A6A6" w:themeColor="background1" w:themeShade="A6"/>
            </w:tcBorders>
          </w:tcPr>
          <w:p w14:paraId="36DD278D" w14:textId="77777777" w:rsidR="00FA7EBF" w:rsidRPr="007939DD" w:rsidRDefault="00FA7EBF" w:rsidP="00FA7EBF">
            <w:pPr>
              <w:pStyle w:val="ARfintablebodyright"/>
              <w:spacing w:before="20"/>
              <w:rPr>
                <w:lang w:eastAsia="en-AU"/>
              </w:rPr>
            </w:pPr>
            <w:r w:rsidRPr="006F1189">
              <w:t>0.2</w:t>
            </w:r>
          </w:p>
        </w:tc>
        <w:tc>
          <w:tcPr>
            <w:tcW w:w="1191" w:type="dxa"/>
            <w:tcBorders>
              <w:top w:val="single" w:sz="4" w:space="0" w:color="A6A6A6" w:themeColor="background1" w:themeShade="A6"/>
              <w:bottom w:val="single" w:sz="4" w:space="0" w:color="A6A6A6" w:themeColor="background1" w:themeShade="A6"/>
            </w:tcBorders>
          </w:tcPr>
          <w:p w14:paraId="5D43271C" w14:textId="77777777" w:rsidR="00FA7EBF" w:rsidRPr="007939DD" w:rsidRDefault="00FA7EBF" w:rsidP="00FA7EBF">
            <w:pPr>
              <w:pStyle w:val="ARfintablebodyright"/>
              <w:spacing w:before="20"/>
              <w:rPr>
                <w:lang w:eastAsia="en-AU"/>
              </w:rPr>
            </w:pPr>
            <w:r w:rsidRPr="006F1189">
              <w:t>–</w:t>
            </w:r>
          </w:p>
        </w:tc>
        <w:tc>
          <w:tcPr>
            <w:tcW w:w="1191" w:type="dxa"/>
            <w:tcBorders>
              <w:top w:val="single" w:sz="4" w:space="0" w:color="A6A6A6" w:themeColor="background1" w:themeShade="A6"/>
              <w:bottom w:val="single" w:sz="4" w:space="0" w:color="A6A6A6" w:themeColor="background1" w:themeShade="A6"/>
            </w:tcBorders>
          </w:tcPr>
          <w:p w14:paraId="744043AC" w14:textId="77777777" w:rsidR="00FA7EBF" w:rsidRPr="007939DD" w:rsidRDefault="00FA7EBF" w:rsidP="00FA7EBF">
            <w:pPr>
              <w:pStyle w:val="ARfintablebodyright"/>
              <w:spacing w:before="20"/>
              <w:rPr>
                <w:lang w:eastAsia="en-AU"/>
              </w:rPr>
            </w:pPr>
            <w:r w:rsidRPr="006F1189">
              <w:t>324.8</w:t>
            </w:r>
          </w:p>
        </w:tc>
      </w:tr>
      <w:tr w:rsidR="00FA7EBF" w:rsidRPr="007939DD" w14:paraId="56D9583D" w14:textId="77777777" w:rsidTr="007B207C">
        <w:trPr>
          <w:cantSplit/>
        </w:trPr>
        <w:tc>
          <w:tcPr>
            <w:tcW w:w="3684" w:type="dxa"/>
            <w:tcBorders>
              <w:top w:val="single" w:sz="4" w:space="0" w:color="A6A6A6" w:themeColor="background1" w:themeShade="A6"/>
              <w:bottom w:val="single" w:sz="4" w:space="0" w:color="A6A6A6" w:themeColor="background1" w:themeShade="A6"/>
            </w:tcBorders>
          </w:tcPr>
          <w:p w14:paraId="6B95DCD3" w14:textId="77777777" w:rsidR="00FA7EBF" w:rsidRPr="007939DD" w:rsidRDefault="00FA7EBF" w:rsidP="00FA7EBF">
            <w:pPr>
              <w:pStyle w:val="ARfintablebody"/>
              <w:spacing w:before="20"/>
              <w:rPr>
                <w:lang w:eastAsia="en-AU"/>
              </w:rPr>
            </w:pPr>
            <w:r w:rsidRPr="006F1189">
              <w:t>Loans</w:t>
            </w:r>
          </w:p>
        </w:tc>
        <w:tc>
          <w:tcPr>
            <w:tcW w:w="1191" w:type="dxa"/>
            <w:tcBorders>
              <w:top w:val="single" w:sz="4" w:space="0" w:color="A6A6A6" w:themeColor="background1" w:themeShade="A6"/>
              <w:bottom w:val="single" w:sz="4" w:space="0" w:color="A6A6A6" w:themeColor="background1" w:themeShade="A6"/>
            </w:tcBorders>
          </w:tcPr>
          <w:p w14:paraId="6F4578CB" w14:textId="77777777" w:rsidR="00FA7EBF" w:rsidRPr="007939DD" w:rsidRDefault="00FA7EBF" w:rsidP="00FA7EBF">
            <w:pPr>
              <w:pStyle w:val="ARfintablebodyright"/>
              <w:spacing w:before="20"/>
              <w:rPr>
                <w:lang w:eastAsia="en-AU"/>
              </w:rPr>
            </w:pPr>
            <w:r w:rsidRPr="006F1189">
              <w:t>3.5%</w:t>
            </w:r>
          </w:p>
        </w:tc>
        <w:tc>
          <w:tcPr>
            <w:tcW w:w="1191" w:type="dxa"/>
            <w:tcBorders>
              <w:top w:val="single" w:sz="4" w:space="0" w:color="A6A6A6" w:themeColor="background1" w:themeShade="A6"/>
              <w:bottom w:val="single" w:sz="4" w:space="0" w:color="A6A6A6" w:themeColor="background1" w:themeShade="A6"/>
            </w:tcBorders>
          </w:tcPr>
          <w:p w14:paraId="5738048C" w14:textId="77777777" w:rsidR="00FA7EBF" w:rsidRPr="007939DD" w:rsidRDefault="00FA7EBF" w:rsidP="00FA7EBF">
            <w:pPr>
              <w:pStyle w:val="ARfintablebodyright"/>
              <w:spacing w:before="20"/>
              <w:rPr>
                <w:lang w:eastAsia="en-AU"/>
              </w:rPr>
            </w:pPr>
            <w:r w:rsidRPr="006F1189">
              <w:t>94.9</w:t>
            </w:r>
          </w:p>
        </w:tc>
        <w:tc>
          <w:tcPr>
            <w:tcW w:w="1191" w:type="dxa"/>
            <w:tcBorders>
              <w:top w:val="single" w:sz="4" w:space="0" w:color="A6A6A6" w:themeColor="background1" w:themeShade="A6"/>
              <w:bottom w:val="single" w:sz="4" w:space="0" w:color="A6A6A6" w:themeColor="background1" w:themeShade="A6"/>
            </w:tcBorders>
          </w:tcPr>
          <w:p w14:paraId="1B1351FE" w14:textId="77777777" w:rsidR="00FA7EBF" w:rsidRPr="007939DD" w:rsidRDefault="00FA7EBF" w:rsidP="00FA7EBF">
            <w:pPr>
              <w:pStyle w:val="ARfintablebodyright"/>
              <w:spacing w:before="20"/>
              <w:rPr>
                <w:lang w:eastAsia="en-AU"/>
              </w:rPr>
            </w:pPr>
            <w:r w:rsidRPr="006F1189">
              <w:t>2.1</w:t>
            </w:r>
          </w:p>
        </w:tc>
        <w:tc>
          <w:tcPr>
            <w:tcW w:w="1191" w:type="dxa"/>
            <w:tcBorders>
              <w:top w:val="single" w:sz="4" w:space="0" w:color="A6A6A6" w:themeColor="background1" w:themeShade="A6"/>
              <w:bottom w:val="single" w:sz="4" w:space="0" w:color="A6A6A6" w:themeColor="background1" w:themeShade="A6"/>
            </w:tcBorders>
          </w:tcPr>
          <w:p w14:paraId="4F3D3CAA" w14:textId="77777777" w:rsidR="00FA7EBF" w:rsidRPr="007939DD" w:rsidRDefault="00FA7EBF" w:rsidP="00FA7EBF">
            <w:pPr>
              <w:pStyle w:val="ARfintablebodyright"/>
              <w:spacing w:before="20"/>
              <w:rPr>
                <w:lang w:eastAsia="en-AU"/>
              </w:rPr>
            </w:pPr>
            <w:r w:rsidRPr="006F1189">
              <w:t>11.5</w:t>
            </w:r>
          </w:p>
        </w:tc>
        <w:tc>
          <w:tcPr>
            <w:tcW w:w="1191" w:type="dxa"/>
            <w:tcBorders>
              <w:top w:val="single" w:sz="4" w:space="0" w:color="A6A6A6" w:themeColor="background1" w:themeShade="A6"/>
              <w:bottom w:val="single" w:sz="4" w:space="0" w:color="A6A6A6" w:themeColor="background1" w:themeShade="A6"/>
            </w:tcBorders>
          </w:tcPr>
          <w:p w14:paraId="7B4D12DB" w14:textId="77777777" w:rsidR="00FA7EBF" w:rsidRPr="007939DD" w:rsidRDefault="00FA7EBF" w:rsidP="00FA7EBF">
            <w:pPr>
              <w:pStyle w:val="ARfintablebodyright"/>
              <w:spacing w:before="20"/>
              <w:rPr>
                <w:lang w:eastAsia="en-AU"/>
              </w:rPr>
            </w:pPr>
            <w:r w:rsidRPr="006F1189">
              <w:t>81.3</w:t>
            </w:r>
          </w:p>
        </w:tc>
      </w:tr>
      <w:tr w:rsidR="00FA7EBF" w:rsidRPr="007939DD" w14:paraId="7269490C" w14:textId="77777777" w:rsidTr="007B207C">
        <w:trPr>
          <w:cantSplit/>
        </w:trPr>
        <w:tc>
          <w:tcPr>
            <w:tcW w:w="3684" w:type="dxa"/>
            <w:tcBorders>
              <w:top w:val="single" w:sz="4" w:space="0" w:color="A6A6A6" w:themeColor="background1" w:themeShade="A6"/>
            </w:tcBorders>
          </w:tcPr>
          <w:p w14:paraId="6B1AFF96" w14:textId="77777777" w:rsidR="00FA7EBF" w:rsidRPr="007939DD" w:rsidRDefault="00FA7EBF" w:rsidP="00FA7EBF">
            <w:pPr>
              <w:pStyle w:val="ARfintablebody"/>
              <w:spacing w:before="20"/>
              <w:rPr>
                <w:lang w:eastAsia="en-AU"/>
              </w:rPr>
            </w:pPr>
            <w:r w:rsidRPr="006F1189">
              <w:t>Short-term investments – term deposits</w:t>
            </w:r>
          </w:p>
        </w:tc>
        <w:tc>
          <w:tcPr>
            <w:tcW w:w="1191" w:type="dxa"/>
            <w:tcBorders>
              <w:top w:val="single" w:sz="4" w:space="0" w:color="A6A6A6" w:themeColor="background1" w:themeShade="A6"/>
            </w:tcBorders>
          </w:tcPr>
          <w:p w14:paraId="05CC1F1F" w14:textId="77777777" w:rsidR="00FA7EBF" w:rsidRPr="007939DD" w:rsidRDefault="00FA7EBF" w:rsidP="00FA7EBF">
            <w:pPr>
              <w:pStyle w:val="ARfintablebodyright"/>
              <w:spacing w:before="20"/>
              <w:rPr>
                <w:lang w:eastAsia="en-AU"/>
              </w:rPr>
            </w:pPr>
            <w:r w:rsidRPr="006F1189">
              <w:t>2.1%</w:t>
            </w:r>
          </w:p>
        </w:tc>
        <w:tc>
          <w:tcPr>
            <w:tcW w:w="1191" w:type="dxa"/>
            <w:tcBorders>
              <w:top w:val="single" w:sz="4" w:space="0" w:color="A6A6A6" w:themeColor="background1" w:themeShade="A6"/>
            </w:tcBorders>
          </w:tcPr>
          <w:p w14:paraId="02D2A508" w14:textId="77777777" w:rsidR="00FA7EBF" w:rsidRPr="007939DD" w:rsidRDefault="00FA7EBF" w:rsidP="00FA7EBF">
            <w:pPr>
              <w:pStyle w:val="ARfintablebodyright"/>
              <w:spacing w:before="20"/>
              <w:rPr>
                <w:lang w:eastAsia="en-AU"/>
              </w:rPr>
            </w:pPr>
            <w:r w:rsidRPr="006F1189">
              <w:t>100.0</w:t>
            </w:r>
          </w:p>
        </w:tc>
        <w:tc>
          <w:tcPr>
            <w:tcW w:w="1191" w:type="dxa"/>
            <w:tcBorders>
              <w:top w:val="single" w:sz="4" w:space="0" w:color="A6A6A6" w:themeColor="background1" w:themeShade="A6"/>
            </w:tcBorders>
          </w:tcPr>
          <w:p w14:paraId="6611E34B" w14:textId="77777777" w:rsidR="00FA7EBF" w:rsidRPr="007939DD" w:rsidRDefault="00FA7EBF" w:rsidP="00FA7EBF">
            <w:pPr>
              <w:pStyle w:val="ARfintablebodyright"/>
              <w:spacing w:before="20"/>
              <w:rPr>
                <w:lang w:eastAsia="en-AU"/>
              </w:rPr>
            </w:pPr>
            <w:r w:rsidRPr="006F1189">
              <w:t>100.0</w:t>
            </w:r>
          </w:p>
        </w:tc>
        <w:tc>
          <w:tcPr>
            <w:tcW w:w="1191" w:type="dxa"/>
            <w:tcBorders>
              <w:top w:val="single" w:sz="4" w:space="0" w:color="A6A6A6" w:themeColor="background1" w:themeShade="A6"/>
            </w:tcBorders>
          </w:tcPr>
          <w:p w14:paraId="5749A7B6" w14:textId="77777777" w:rsidR="00FA7EBF" w:rsidRPr="007939DD" w:rsidRDefault="00FA7EBF" w:rsidP="00FA7EBF">
            <w:pPr>
              <w:pStyle w:val="ARfintablebodyright"/>
              <w:spacing w:before="20"/>
              <w:rPr>
                <w:lang w:eastAsia="en-AU"/>
              </w:rPr>
            </w:pPr>
            <w:r w:rsidRPr="006F1189">
              <w:t>–</w:t>
            </w:r>
          </w:p>
        </w:tc>
        <w:tc>
          <w:tcPr>
            <w:tcW w:w="1191" w:type="dxa"/>
            <w:tcBorders>
              <w:top w:val="single" w:sz="4" w:space="0" w:color="A6A6A6" w:themeColor="background1" w:themeShade="A6"/>
            </w:tcBorders>
          </w:tcPr>
          <w:p w14:paraId="3FB3DE70" w14:textId="77777777" w:rsidR="00FA7EBF" w:rsidRPr="007939DD" w:rsidRDefault="00FA7EBF" w:rsidP="00FA7EBF">
            <w:pPr>
              <w:pStyle w:val="ARfintablebodyright"/>
              <w:spacing w:before="20"/>
              <w:rPr>
                <w:lang w:eastAsia="en-AU"/>
              </w:rPr>
            </w:pPr>
            <w:r w:rsidRPr="006F1189">
              <w:t>–</w:t>
            </w:r>
          </w:p>
        </w:tc>
      </w:tr>
      <w:tr w:rsidR="00FA7EBF" w:rsidRPr="007939DD" w14:paraId="724E8696" w14:textId="77777777" w:rsidTr="007B207C">
        <w:trPr>
          <w:cantSplit/>
        </w:trPr>
        <w:tc>
          <w:tcPr>
            <w:tcW w:w="3684" w:type="dxa"/>
          </w:tcPr>
          <w:p w14:paraId="4C2453CF" w14:textId="77777777" w:rsidR="00FA7EBF" w:rsidRPr="007939DD" w:rsidRDefault="00FA7EBF" w:rsidP="00FA7EBF">
            <w:pPr>
              <w:pStyle w:val="ARfintablebodybold"/>
              <w:spacing w:before="20"/>
              <w:rPr>
                <w:rStyle w:val="Strong"/>
              </w:rPr>
            </w:pPr>
            <w:r w:rsidRPr="006F1189">
              <w:t>Total financial assets</w:t>
            </w:r>
          </w:p>
        </w:tc>
        <w:tc>
          <w:tcPr>
            <w:tcW w:w="1191" w:type="dxa"/>
          </w:tcPr>
          <w:p w14:paraId="28B00F2E" w14:textId="77777777" w:rsidR="00FA7EBF" w:rsidRPr="007939DD" w:rsidRDefault="00FA7EBF" w:rsidP="00FA7EBF">
            <w:pPr>
              <w:pStyle w:val="ARfintablebodyrightbold"/>
              <w:spacing w:before="20"/>
              <w:rPr>
                <w:rStyle w:val="Strong"/>
              </w:rPr>
            </w:pPr>
          </w:p>
        </w:tc>
        <w:tc>
          <w:tcPr>
            <w:tcW w:w="1191" w:type="dxa"/>
          </w:tcPr>
          <w:p w14:paraId="05432F88" w14:textId="77777777" w:rsidR="00FA7EBF" w:rsidRPr="007939DD" w:rsidRDefault="00FA7EBF" w:rsidP="00FA7EBF">
            <w:pPr>
              <w:pStyle w:val="ARfintablebodyrightbold"/>
              <w:spacing w:before="20"/>
              <w:rPr>
                <w:lang w:eastAsia="en-AU"/>
              </w:rPr>
            </w:pPr>
            <w:r w:rsidRPr="006F1189">
              <w:t>1,319.8</w:t>
            </w:r>
          </w:p>
        </w:tc>
        <w:tc>
          <w:tcPr>
            <w:tcW w:w="1191" w:type="dxa"/>
          </w:tcPr>
          <w:p w14:paraId="7D832362" w14:textId="77777777" w:rsidR="00FA7EBF" w:rsidRPr="007939DD" w:rsidRDefault="00FA7EBF" w:rsidP="00FA7EBF">
            <w:pPr>
              <w:pStyle w:val="ARfintablebodyrightbold"/>
              <w:spacing w:before="20"/>
              <w:rPr>
                <w:lang w:eastAsia="en-AU"/>
              </w:rPr>
            </w:pPr>
            <w:r w:rsidRPr="006F1189">
              <w:t>102.3</w:t>
            </w:r>
          </w:p>
        </w:tc>
        <w:tc>
          <w:tcPr>
            <w:tcW w:w="1191" w:type="dxa"/>
          </w:tcPr>
          <w:p w14:paraId="2AF16289" w14:textId="77777777" w:rsidR="00FA7EBF" w:rsidRPr="007939DD" w:rsidRDefault="00FA7EBF" w:rsidP="00FA7EBF">
            <w:pPr>
              <w:pStyle w:val="ARfintablebodyrightbold"/>
              <w:spacing w:before="20"/>
              <w:rPr>
                <w:lang w:eastAsia="en-AU"/>
              </w:rPr>
            </w:pPr>
            <w:r w:rsidRPr="006F1189">
              <w:t>475.2</w:t>
            </w:r>
          </w:p>
        </w:tc>
        <w:tc>
          <w:tcPr>
            <w:tcW w:w="1191" w:type="dxa"/>
          </w:tcPr>
          <w:p w14:paraId="095DE608" w14:textId="77777777" w:rsidR="00FA7EBF" w:rsidRPr="007939DD" w:rsidRDefault="00FA7EBF" w:rsidP="00FA7EBF">
            <w:pPr>
              <w:pStyle w:val="ARfintablebodyrightbold"/>
              <w:spacing w:before="20"/>
              <w:rPr>
                <w:rStyle w:val="Strong"/>
              </w:rPr>
            </w:pPr>
            <w:r w:rsidRPr="006F1189">
              <w:t>742.4</w:t>
            </w:r>
          </w:p>
        </w:tc>
      </w:tr>
      <w:tr w:rsidR="00FA7EBF" w:rsidRPr="007939DD" w14:paraId="6D4ECB53" w14:textId="77777777" w:rsidTr="007B207C">
        <w:trPr>
          <w:cantSplit/>
        </w:trPr>
        <w:tc>
          <w:tcPr>
            <w:tcW w:w="9639" w:type="dxa"/>
            <w:gridSpan w:val="6"/>
            <w:tcBorders>
              <w:bottom w:val="single" w:sz="4" w:space="0" w:color="A6A6A6" w:themeColor="background1" w:themeShade="A6"/>
            </w:tcBorders>
          </w:tcPr>
          <w:p w14:paraId="498E25D9" w14:textId="77777777" w:rsidR="00FA7EBF" w:rsidRPr="007939DD" w:rsidRDefault="00FA7EBF" w:rsidP="00FA7EBF">
            <w:pPr>
              <w:pStyle w:val="ARfintablebodybold"/>
              <w:spacing w:before="20"/>
              <w:rPr>
                <w:lang w:eastAsia="en-AU"/>
              </w:rPr>
            </w:pPr>
            <w:r w:rsidRPr="006F1189">
              <w:t>Financial liabilities</w:t>
            </w:r>
          </w:p>
        </w:tc>
      </w:tr>
      <w:tr w:rsidR="00FA7EBF" w:rsidRPr="007939DD" w14:paraId="78772B18" w14:textId="77777777" w:rsidTr="007B207C">
        <w:trPr>
          <w:cantSplit/>
        </w:trPr>
        <w:tc>
          <w:tcPr>
            <w:tcW w:w="3684" w:type="dxa"/>
            <w:tcBorders>
              <w:top w:val="single" w:sz="4" w:space="0" w:color="A6A6A6" w:themeColor="background1" w:themeShade="A6"/>
              <w:bottom w:val="single" w:sz="4" w:space="0" w:color="A6A6A6" w:themeColor="background1" w:themeShade="A6"/>
            </w:tcBorders>
          </w:tcPr>
          <w:p w14:paraId="02DB12A9" w14:textId="77777777" w:rsidR="00FA7EBF" w:rsidRPr="007939DD" w:rsidRDefault="00FA7EBF" w:rsidP="00FA7EBF">
            <w:pPr>
              <w:pStyle w:val="ARfintablebody"/>
              <w:spacing w:before="20"/>
              <w:rPr>
                <w:lang w:eastAsia="en-AU"/>
              </w:rPr>
            </w:pPr>
            <w:r w:rsidRPr="006F1189">
              <w:t xml:space="preserve">Payables </w:t>
            </w:r>
            <w:r w:rsidRPr="00DB5DE8">
              <w:rPr>
                <w:rStyle w:val="Superscript"/>
              </w:rPr>
              <w:t>(i)</w:t>
            </w:r>
          </w:p>
        </w:tc>
        <w:tc>
          <w:tcPr>
            <w:tcW w:w="1191" w:type="dxa"/>
            <w:tcBorders>
              <w:top w:val="single" w:sz="4" w:space="0" w:color="A6A6A6" w:themeColor="background1" w:themeShade="A6"/>
              <w:bottom w:val="single" w:sz="4" w:space="0" w:color="A6A6A6" w:themeColor="background1" w:themeShade="A6"/>
            </w:tcBorders>
          </w:tcPr>
          <w:p w14:paraId="29679944" w14:textId="77777777" w:rsidR="00FA7EBF" w:rsidRPr="007939DD" w:rsidRDefault="00FA7EBF" w:rsidP="00FA7EBF">
            <w:pPr>
              <w:pStyle w:val="ARfintablebodyright"/>
              <w:spacing w:before="20"/>
              <w:rPr>
                <w:lang w:eastAsia="en-AU"/>
              </w:rPr>
            </w:pPr>
          </w:p>
        </w:tc>
        <w:tc>
          <w:tcPr>
            <w:tcW w:w="1191" w:type="dxa"/>
            <w:tcBorders>
              <w:top w:val="single" w:sz="4" w:space="0" w:color="A6A6A6" w:themeColor="background1" w:themeShade="A6"/>
              <w:bottom w:val="single" w:sz="4" w:space="0" w:color="A6A6A6" w:themeColor="background1" w:themeShade="A6"/>
            </w:tcBorders>
          </w:tcPr>
          <w:p w14:paraId="066F7E35" w14:textId="77777777" w:rsidR="00FA7EBF" w:rsidRPr="007939DD" w:rsidRDefault="00FA7EBF" w:rsidP="00FA7EBF">
            <w:pPr>
              <w:pStyle w:val="ARfintablebodyright"/>
              <w:spacing w:before="20"/>
              <w:rPr>
                <w:lang w:eastAsia="en-AU"/>
              </w:rPr>
            </w:pPr>
            <w:r w:rsidRPr="006F1189">
              <w:t>1,513.5</w:t>
            </w:r>
          </w:p>
        </w:tc>
        <w:tc>
          <w:tcPr>
            <w:tcW w:w="1191" w:type="dxa"/>
            <w:tcBorders>
              <w:top w:val="single" w:sz="4" w:space="0" w:color="A6A6A6" w:themeColor="background1" w:themeShade="A6"/>
              <w:bottom w:val="single" w:sz="4" w:space="0" w:color="A6A6A6" w:themeColor="background1" w:themeShade="A6"/>
            </w:tcBorders>
          </w:tcPr>
          <w:p w14:paraId="7E4959B8" w14:textId="77777777" w:rsidR="00FA7EBF" w:rsidRPr="007939DD" w:rsidRDefault="00FA7EBF" w:rsidP="00FA7EBF">
            <w:pPr>
              <w:pStyle w:val="ARfintablebodyright"/>
              <w:spacing w:before="20"/>
              <w:rPr>
                <w:lang w:eastAsia="en-AU"/>
              </w:rPr>
            </w:pPr>
            <w:r w:rsidRPr="006F1189">
              <w:t>–</w:t>
            </w:r>
          </w:p>
        </w:tc>
        <w:tc>
          <w:tcPr>
            <w:tcW w:w="1191" w:type="dxa"/>
            <w:tcBorders>
              <w:top w:val="single" w:sz="4" w:space="0" w:color="A6A6A6" w:themeColor="background1" w:themeShade="A6"/>
              <w:bottom w:val="single" w:sz="4" w:space="0" w:color="A6A6A6" w:themeColor="background1" w:themeShade="A6"/>
            </w:tcBorders>
          </w:tcPr>
          <w:p w14:paraId="5F03D6F6" w14:textId="77777777" w:rsidR="00FA7EBF" w:rsidRPr="007939DD" w:rsidRDefault="00FA7EBF" w:rsidP="00FA7EBF">
            <w:pPr>
              <w:pStyle w:val="ARfintablebodyright"/>
              <w:spacing w:before="20"/>
              <w:rPr>
                <w:lang w:eastAsia="en-AU"/>
              </w:rPr>
            </w:pPr>
            <w:r w:rsidRPr="006F1189">
              <w:t>–</w:t>
            </w:r>
          </w:p>
        </w:tc>
        <w:tc>
          <w:tcPr>
            <w:tcW w:w="1191" w:type="dxa"/>
            <w:tcBorders>
              <w:top w:val="single" w:sz="4" w:space="0" w:color="A6A6A6" w:themeColor="background1" w:themeShade="A6"/>
              <w:bottom w:val="single" w:sz="4" w:space="0" w:color="A6A6A6" w:themeColor="background1" w:themeShade="A6"/>
            </w:tcBorders>
          </w:tcPr>
          <w:p w14:paraId="315A8398" w14:textId="77777777" w:rsidR="00FA7EBF" w:rsidRPr="007939DD" w:rsidRDefault="00FA7EBF" w:rsidP="00FA7EBF">
            <w:pPr>
              <w:pStyle w:val="ARfintablebodyright"/>
              <w:spacing w:before="20"/>
              <w:rPr>
                <w:lang w:eastAsia="en-AU"/>
              </w:rPr>
            </w:pPr>
            <w:r w:rsidRPr="006F1189">
              <w:t>1,513.5</w:t>
            </w:r>
          </w:p>
        </w:tc>
      </w:tr>
      <w:tr w:rsidR="00FA7EBF" w:rsidRPr="007939DD" w14:paraId="06C54726" w14:textId="77777777" w:rsidTr="007B207C">
        <w:trPr>
          <w:cantSplit/>
        </w:trPr>
        <w:tc>
          <w:tcPr>
            <w:tcW w:w="3684" w:type="dxa"/>
            <w:tcBorders>
              <w:top w:val="single" w:sz="4" w:space="0" w:color="A6A6A6" w:themeColor="background1" w:themeShade="A6"/>
            </w:tcBorders>
          </w:tcPr>
          <w:p w14:paraId="0EBD1F7F" w14:textId="77777777" w:rsidR="00FA7EBF" w:rsidRPr="007939DD" w:rsidRDefault="00FA7EBF" w:rsidP="00FA7EBF">
            <w:pPr>
              <w:pStyle w:val="ARfintablebody"/>
              <w:spacing w:before="20"/>
              <w:rPr>
                <w:lang w:eastAsia="en-AU"/>
              </w:rPr>
            </w:pPr>
            <w:r w:rsidRPr="006F1189">
              <w:t>Borrowings</w:t>
            </w:r>
          </w:p>
        </w:tc>
        <w:tc>
          <w:tcPr>
            <w:tcW w:w="1191" w:type="dxa"/>
            <w:tcBorders>
              <w:top w:val="single" w:sz="4" w:space="0" w:color="A6A6A6" w:themeColor="background1" w:themeShade="A6"/>
            </w:tcBorders>
          </w:tcPr>
          <w:p w14:paraId="086E14A5" w14:textId="77777777" w:rsidR="00FA7EBF" w:rsidRPr="007939DD" w:rsidRDefault="00FA7EBF" w:rsidP="00FA7EBF">
            <w:pPr>
              <w:pStyle w:val="ARfintablebodyright"/>
              <w:spacing w:before="20"/>
              <w:rPr>
                <w:lang w:eastAsia="en-AU"/>
              </w:rPr>
            </w:pPr>
            <w:r w:rsidRPr="006F1189">
              <w:t>3.2%</w:t>
            </w:r>
          </w:p>
        </w:tc>
        <w:tc>
          <w:tcPr>
            <w:tcW w:w="1191" w:type="dxa"/>
            <w:tcBorders>
              <w:top w:val="single" w:sz="4" w:space="0" w:color="A6A6A6" w:themeColor="background1" w:themeShade="A6"/>
            </w:tcBorders>
          </w:tcPr>
          <w:p w14:paraId="021AB8B0" w14:textId="77777777" w:rsidR="00FA7EBF" w:rsidRPr="007939DD" w:rsidRDefault="00FA7EBF" w:rsidP="00FA7EBF">
            <w:pPr>
              <w:pStyle w:val="ARfintablebodyright"/>
              <w:spacing w:before="20"/>
              <w:rPr>
                <w:lang w:eastAsia="en-AU"/>
              </w:rPr>
            </w:pPr>
            <w:r w:rsidRPr="006F1189">
              <w:t>62.2</w:t>
            </w:r>
          </w:p>
        </w:tc>
        <w:tc>
          <w:tcPr>
            <w:tcW w:w="1191" w:type="dxa"/>
            <w:tcBorders>
              <w:top w:val="single" w:sz="4" w:space="0" w:color="A6A6A6" w:themeColor="background1" w:themeShade="A6"/>
            </w:tcBorders>
          </w:tcPr>
          <w:p w14:paraId="562BFAFF" w14:textId="77777777" w:rsidR="00FA7EBF" w:rsidRPr="007939DD" w:rsidRDefault="00FA7EBF" w:rsidP="00FA7EBF">
            <w:pPr>
              <w:pStyle w:val="ARfintablebodyright"/>
              <w:spacing w:before="20"/>
              <w:rPr>
                <w:lang w:eastAsia="en-AU"/>
              </w:rPr>
            </w:pPr>
            <w:r w:rsidRPr="006F1189">
              <w:t>33.0</w:t>
            </w:r>
          </w:p>
        </w:tc>
        <w:tc>
          <w:tcPr>
            <w:tcW w:w="1191" w:type="dxa"/>
            <w:tcBorders>
              <w:top w:val="single" w:sz="4" w:space="0" w:color="A6A6A6" w:themeColor="background1" w:themeShade="A6"/>
            </w:tcBorders>
          </w:tcPr>
          <w:p w14:paraId="7048F848" w14:textId="77777777" w:rsidR="00FA7EBF" w:rsidRPr="007939DD" w:rsidRDefault="00FA7EBF" w:rsidP="00FA7EBF">
            <w:pPr>
              <w:pStyle w:val="ARfintablebodyright"/>
              <w:spacing w:before="20"/>
              <w:rPr>
                <w:lang w:eastAsia="en-AU"/>
              </w:rPr>
            </w:pPr>
            <w:r w:rsidRPr="006F1189">
              <w:t>–</w:t>
            </w:r>
          </w:p>
        </w:tc>
        <w:tc>
          <w:tcPr>
            <w:tcW w:w="1191" w:type="dxa"/>
            <w:tcBorders>
              <w:top w:val="single" w:sz="4" w:space="0" w:color="A6A6A6" w:themeColor="background1" w:themeShade="A6"/>
            </w:tcBorders>
          </w:tcPr>
          <w:p w14:paraId="3A69C55D" w14:textId="77777777" w:rsidR="00FA7EBF" w:rsidRPr="007939DD" w:rsidRDefault="00FA7EBF" w:rsidP="00FA7EBF">
            <w:pPr>
              <w:pStyle w:val="ARfintablebodyright"/>
              <w:spacing w:before="20"/>
              <w:rPr>
                <w:lang w:eastAsia="en-AU"/>
              </w:rPr>
            </w:pPr>
            <w:r w:rsidRPr="006F1189">
              <w:t>29.2</w:t>
            </w:r>
          </w:p>
        </w:tc>
      </w:tr>
      <w:tr w:rsidR="00FA7EBF" w:rsidRPr="007939DD" w14:paraId="7175A648" w14:textId="77777777" w:rsidTr="007B207C">
        <w:trPr>
          <w:cantSplit/>
        </w:trPr>
        <w:tc>
          <w:tcPr>
            <w:tcW w:w="3684" w:type="dxa"/>
          </w:tcPr>
          <w:p w14:paraId="59471F6C" w14:textId="77777777" w:rsidR="00FA7EBF" w:rsidRPr="007939DD" w:rsidRDefault="00FA7EBF" w:rsidP="00FA7EBF">
            <w:pPr>
              <w:pStyle w:val="ARfintablebodybold"/>
              <w:spacing w:before="20"/>
              <w:rPr>
                <w:lang w:eastAsia="en-AU"/>
              </w:rPr>
            </w:pPr>
            <w:r w:rsidRPr="006F1189">
              <w:t>Total financial liabilities</w:t>
            </w:r>
          </w:p>
        </w:tc>
        <w:tc>
          <w:tcPr>
            <w:tcW w:w="1191" w:type="dxa"/>
          </w:tcPr>
          <w:p w14:paraId="188D48EE" w14:textId="77777777" w:rsidR="00FA7EBF" w:rsidRPr="007939DD" w:rsidRDefault="00FA7EBF" w:rsidP="00FA7EBF">
            <w:pPr>
              <w:pStyle w:val="ARfintablebodyrightbold"/>
              <w:spacing w:before="20"/>
              <w:rPr>
                <w:lang w:eastAsia="en-AU"/>
              </w:rPr>
            </w:pPr>
          </w:p>
        </w:tc>
        <w:tc>
          <w:tcPr>
            <w:tcW w:w="1191" w:type="dxa"/>
          </w:tcPr>
          <w:p w14:paraId="7F338C01" w14:textId="77777777" w:rsidR="00FA7EBF" w:rsidRPr="007939DD" w:rsidRDefault="00FA7EBF" w:rsidP="00FA7EBF">
            <w:pPr>
              <w:pStyle w:val="ARfintablebodyrightbold"/>
              <w:spacing w:before="20"/>
              <w:rPr>
                <w:rStyle w:val="Strong"/>
              </w:rPr>
            </w:pPr>
            <w:r w:rsidRPr="006F1189">
              <w:t>1,575.7</w:t>
            </w:r>
          </w:p>
        </w:tc>
        <w:tc>
          <w:tcPr>
            <w:tcW w:w="1191" w:type="dxa"/>
          </w:tcPr>
          <w:p w14:paraId="778EEF62" w14:textId="77777777" w:rsidR="00FA7EBF" w:rsidRPr="007939DD" w:rsidRDefault="00FA7EBF" w:rsidP="00FA7EBF">
            <w:pPr>
              <w:pStyle w:val="ARfintablebodyrightbold"/>
              <w:spacing w:before="20"/>
              <w:rPr>
                <w:lang w:eastAsia="en-AU"/>
              </w:rPr>
            </w:pPr>
            <w:r w:rsidRPr="006F1189">
              <w:t>33.0</w:t>
            </w:r>
          </w:p>
        </w:tc>
        <w:tc>
          <w:tcPr>
            <w:tcW w:w="1191" w:type="dxa"/>
          </w:tcPr>
          <w:p w14:paraId="41826788" w14:textId="77777777" w:rsidR="00FA7EBF" w:rsidRPr="007939DD" w:rsidRDefault="00FA7EBF" w:rsidP="00FA7EBF">
            <w:pPr>
              <w:pStyle w:val="ARfintablebodyrightbold"/>
              <w:spacing w:before="20"/>
              <w:rPr>
                <w:lang w:eastAsia="en-AU"/>
              </w:rPr>
            </w:pPr>
            <w:r w:rsidRPr="006F1189">
              <w:t>–</w:t>
            </w:r>
          </w:p>
        </w:tc>
        <w:tc>
          <w:tcPr>
            <w:tcW w:w="1191" w:type="dxa"/>
          </w:tcPr>
          <w:p w14:paraId="42CA99A8" w14:textId="77777777" w:rsidR="00FA7EBF" w:rsidRPr="007939DD" w:rsidRDefault="00FA7EBF" w:rsidP="00FA7EBF">
            <w:pPr>
              <w:pStyle w:val="ARfintablebodyrightbold"/>
              <w:spacing w:before="20"/>
              <w:rPr>
                <w:rStyle w:val="Strong"/>
              </w:rPr>
            </w:pPr>
            <w:r w:rsidRPr="006F1189">
              <w:t>1,542.7</w:t>
            </w:r>
          </w:p>
        </w:tc>
      </w:tr>
      <w:tr w:rsidR="00FA7EBF" w:rsidRPr="007939DD" w14:paraId="45DC10D7" w14:textId="77777777" w:rsidTr="007B207C">
        <w:trPr>
          <w:cantSplit/>
        </w:trPr>
        <w:tc>
          <w:tcPr>
            <w:tcW w:w="9639" w:type="dxa"/>
            <w:gridSpan w:val="6"/>
          </w:tcPr>
          <w:p w14:paraId="497919B5" w14:textId="77777777" w:rsidR="00FA7EBF" w:rsidRPr="007939DD" w:rsidRDefault="00FA7EBF" w:rsidP="00FA7EBF">
            <w:pPr>
              <w:pStyle w:val="ARfintablebodybold"/>
              <w:spacing w:before="20"/>
              <w:rPr>
                <w:rStyle w:val="Strong"/>
              </w:rPr>
            </w:pPr>
            <w:r w:rsidRPr="006F1189">
              <w:t>2018</w:t>
            </w:r>
          </w:p>
        </w:tc>
      </w:tr>
      <w:tr w:rsidR="00FA7EBF" w:rsidRPr="007939DD" w14:paraId="6E0AA2EF" w14:textId="77777777" w:rsidTr="007B207C">
        <w:trPr>
          <w:cantSplit/>
        </w:trPr>
        <w:tc>
          <w:tcPr>
            <w:tcW w:w="9639" w:type="dxa"/>
            <w:gridSpan w:val="6"/>
            <w:tcBorders>
              <w:bottom w:val="single" w:sz="4" w:space="0" w:color="A6A6A6" w:themeColor="background1" w:themeShade="A6"/>
            </w:tcBorders>
          </w:tcPr>
          <w:p w14:paraId="267EEB03" w14:textId="77777777" w:rsidR="00FA7EBF" w:rsidRPr="007939DD" w:rsidRDefault="00FA7EBF" w:rsidP="00FA7EBF">
            <w:pPr>
              <w:pStyle w:val="ARfintablebodybold"/>
              <w:spacing w:before="20"/>
              <w:rPr>
                <w:lang w:eastAsia="en-AU"/>
              </w:rPr>
            </w:pPr>
            <w:r w:rsidRPr="006F1189">
              <w:t>Financial assets</w:t>
            </w:r>
          </w:p>
        </w:tc>
      </w:tr>
      <w:tr w:rsidR="00FA7EBF" w:rsidRPr="007939DD" w14:paraId="2252310C" w14:textId="77777777" w:rsidTr="007B207C">
        <w:trPr>
          <w:cantSplit/>
        </w:trPr>
        <w:tc>
          <w:tcPr>
            <w:tcW w:w="3684" w:type="dxa"/>
            <w:tcBorders>
              <w:top w:val="single" w:sz="4" w:space="0" w:color="A6A6A6" w:themeColor="background1" w:themeShade="A6"/>
              <w:bottom w:val="single" w:sz="4" w:space="0" w:color="A6A6A6" w:themeColor="background1" w:themeShade="A6"/>
            </w:tcBorders>
          </w:tcPr>
          <w:p w14:paraId="2919AAA7" w14:textId="77777777" w:rsidR="00FA7EBF" w:rsidRPr="007939DD" w:rsidRDefault="00FA7EBF" w:rsidP="00FA7EBF">
            <w:pPr>
              <w:pStyle w:val="ARfintablebody"/>
              <w:spacing w:before="20"/>
              <w:rPr>
                <w:lang w:eastAsia="en-AU"/>
              </w:rPr>
            </w:pPr>
            <w:r w:rsidRPr="006F1189">
              <w:t>Cash and deposits</w:t>
            </w:r>
          </w:p>
        </w:tc>
        <w:tc>
          <w:tcPr>
            <w:tcW w:w="1191" w:type="dxa"/>
            <w:tcBorders>
              <w:top w:val="single" w:sz="4" w:space="0" w:color="A6A6A6" w:themeColor="background1" w:themeShade="A6"/>
              <w:bottom w:val="single" w:sz="4" w:space="0" w:color="A6A6A6" w:themeColor="background1" w:themeShade="A6"/>
            </w:tcBorders>
          </w:tcPr>
          <w:p w14:paraId="58B49E03" w14:textId="77777777" w:rsidR="00FA7EBF" w:rsidRPr="007939DD" w:rsidRDefault="00FA7EBF" w:rsidP="00FA7EBF">
            <w:pPr>
              <w:pStyle w:val="ARfintablebodyright"/>
              <w:spacing w:before="20"/>
              <w:rPr>
                <w:lang w:eastAsia="en-AU"/>
              </w:rPr>
            </w:pPr>
            <w:r w:rsidRPr="006F1189">
              <w:t>0.3%</w:t>
            </w:r>
          </w:p>
        </w:tc>
        <w:tc>
          <w:tcPr>
            <w:tcW w:w="1191" w:type="dxa"/>
            <w:tcBorders>
              <w:top w:val="single" w:sz="4" w:space="0" w:color="A6A6A6" w:themeColor="background1" w:themeShade="A6"/>
              <w:bottom w:val="single" w:sz="4" w:space="0" w:color="A6A6A6" w:themeColor="background1" w:themeShade="A6"/>
            </w:tcBorders>
          </w:tcPr>
          <w:p w14:paraId="241EAEA9" w14:textId="77777777" w:rsidR="00FA7EBF" w:rsidRPr="007939DD" w:rsidRDefault="00FA7EBF" w:rsidP="00FA7EBF">
            <w:pPr>
              <w:pStyle w:val="ARfintablebodyright"/>
              <w:spacing w:before="20"/>
              <w:rPr>
                <w:lang w:eastAsia="en-AU"/>
              </w:rPr>
            </w:pPr>
            <w:r w:rsidRPr="006F1189">
              <w:t>383.2</w:t>
            </w:r>
          </w:p>
        </w:tc>
        <w:tc>
          <w:tcPr>
            <w:tcW w:w="1191" w:type="dxa"/>
            <w:tcBorders>
              <w:top w:val="single" w:sz="4" w:space="0" w:color="A6A6A6" w:themeColor="background1" w:themeShade="A6"/>
              <w:bottom w:val="single" w:sz="4" w:space="0" w:color="A6A6A6" w:themeColor="background1" w:themeShade="A6"/>
            </w:tcBorders>
          </w:tcPr>
          <w:p w14:paraId="481F4D81" w14:textId="77777777" w:rsidR="00FA7EBF" w:rsidRPr="007939DD" w:rsidRDefault="00FA7EBF" w:rsidP="00FA7EBF">
            <w:pPr>
              <w:pStyle w:val="ARfintablebodyright"/>
              <w:spacing w:before="20"/>
              <w:rPr>
                <w:lang w:eastAsia="en-AU"/>
              </w:rPr>
            </w:pPr>
            <w:r w:rsidRPr="006F1189">
              <w:t>–</w:t>
            </w:r>
          </w:p>
        </w:tc>
        <w:tc>
          <w:tcPr>
            <w:tcW w:w="1191" w:type="dxa"/>
            <w:tcBorders>
              <w:top w:val="single" w:sz="4" w:space="0" w:color="A6A6A6" w:themeColor="background1" w:themeShade="A6"/>
              <w:bottom w:val="single" w:sz="4" w:space="0" w:color="A6A6A6" w:themeColor="background1" w:themeShade="A6"/>
            </w:tcBorders>
          </w:tcPr>
          <w:p w14:paraId="73ED2BF8" w14:textId="77777777" w:rsidR="00FA7EBF" w:rsidRPr="007939DD" w:rsidRDefault="00FA7EBF" w:rsidP="00FA7EBF">
            <w:pPr>
              <w:pStyle w:val="ARfintablebodyright"/>
              <w:spacing w:before="20"/>
              <w:rPr>
                <w:lang w:eastAsia="en-AU"/>
              </w:rPr>
            </w:pPr>
            <w:r w:rsidRPr="006F1189">
              <w:t>89.4</w:t>
            </w:r>
          </w:p>
        </w:tc>
        <w:tc>
          <w:tcPr>
            <w:tcW w:w="1191" w:type="dxa"/>
            <w:tcBorders>
              <w:top w:val="single" w:sz="4" w:space="0" w:color="A6A6A6" w:themeColor="background1" w:themeShade="A6"/>
              <w:bottom w:val="single" w:sz="4" w:space="0" w:color="A6A6A6" w:themeColor="background1" w:themeShade="A6"/>
            </w:tcBorders>
          </w:tcPr>
          <w:p w14:paraId="6CBCCEB0" w14:textId="77777777" w:rsidR="00FA7EBF" w:rsidRPr="007939DD" w:rsidRDefault="00FA7EBF" w:rsidP="00FA7EBF">
            <w:pPr>
              <w:pStyle w:val="ARfintablebodyright"/>
              <w:spacing w:before="20"/>
              <w:rPr>
                <w:lang w:eastAsia="en-AU"/>
              </w:rPr>
            </w:pPr>
            <w:r w:rsidRPr="006F1189">
              <w:t>293.7</w:t>
            </w:r>
          </w:p>
        </w:tc>
      </w:tr>
      <w:tr w:rsidR="00FA7EBF" w:rsidRPr="007939DD" w14:paraId="6A4E8BBD" w14:textId="77777777" w:rsidTr="007B207C">
        <w:trPr>
          <w:cantSplit/>
        </w:trPr>
        <w:tc>
          <w:tcPr>
            <w:tcW w:w="3684" w:type="dxa"/>
            <w:tcBorders>
              <w:top w:val="single" w:sz="4" w:space="0" w:color="A6A6A6" w:themeColor="background1" w:themeShade="A6"/>
              <w:bottom w:val="single" w:sz="4" w:space="0" w:color="A6A6A6" w:themeColor="background1" w:themeShade="A6"/>
            </w:tcBorders>
          </w:tcPr>
          <w:p w14:paraId="46305D9E" w14:textId="77777777" w:rsidR="00FA7EBF" w:rsidRPr="007939DD" w:rsidRDefault="00FA7EBF" w:rsidP="00FA7EBF">
            <w:pPr>
              <w:pStyle w:val="ARfintablebody"/>
              <w:spacing w:before="20"/>
              <w:rPr>
                <w:lang w:eastAsia="en-AU"/>
              </w:rPr>
            </w:pPr>
            <w:r w:rsidRPr="006F1189">
              <w:t xml:space="preserve">Receivables </w:t>
            </w:r>
            <w:r w:rsidRPr="00DB5DE8">
              <w:rPr>
                <w:rStyle w:val="Superscript"/>
              </w:rPr>
              <w:t>(i)</w:t>
            </w:r>
          </w:p>
        </w:tc>
        <w:tc>
          <w:tcPr>
            <w:tcW w:w="1191" w:type="dxa"/>
            <w:tcBorders>
              <w:top w:val="single" w:sz="4" w:space="0" w:color="A6A6A6" w:themeColor="background1" w:themeShade="A6"/>
              <w:bottom w:val="single" w:sz="4" w:space="0" w:color="A6A6A6" w:themeColor="background1" w:themeShade="A6"/>
            </w:tcBorders>
          </w:tcPr>
          <w:p w14:paraId="48846272" w14:textId="77777777" w:rsidR="00FA7EBF" w:rsidRPr="007939DD" w:rsidRDefault="00FA7EBF" w:rsidP="00FA7EBF">
            <w:pPr>
              <w:pStyle w:val="ARfintablebodyright"/>
              <w:spacing w:before="20"/>
              <w:rPr>
                <w:lang w:eastAsia="en-AU"/>
              </w:rPr>
            </w:pPr>
          </w:p>
        </w:tc>
        <w:tc>
          <w:tcPr>
            <w:tcW w:w="1191" w:type="dxa"/>
            <w:tcBorders>
              <w:top w:val="single" w:sz="4" w:space="0" w:color="A6A6A6" w:themeColor="background1" w:themeShade="A6"/>
              <w:bottom w:val="single" w:sz="4" w:space="0" w:color="A6A6A6" w:themeColor="background1" w:themeShade="A6"/>
            </w:tcBorders>
          </w:tcPr>
          <w:p w14:paraId="19C18669" w14:textId="77777777" w:rsidR="00FA7EBF" w:rsidRPr="007939DD" w:rsidRDefault="00FA7EBF" w:rsidP="00FA7EBF">
            <w:pPr>
              <w:pStyle w:val="ARfintablebodyright"/>
              <w:spacing w:before="20"/>
              <w:rPr>
                <w:lang w:eastAsia="en-AU"/>
              </w:rPr>
            </w:pPr>
            <w:r w:rsidRPr="006F1189">
              <w:t>88.3</w:t>
            </w:r>
          </w:p>
        </w:tc>
        <w:tc>
          <w:tcPr>
            <w:tcW w:w="1191" w:type="dxa"/>
            <w:tcBorders>
              <w:top w:val="single" w:sz="4" w:space="0" w:color="A6A6A6" w:themeColor="background1" w:themeShade="A6"/>
              <w:bottom w:val="single" w:sz="4" w:space="0" w:color="A6A6A6" w:themeColor="background1" w:themeShade="A6"/>
            </w:tcBorders>
          </w:tcPr>
          <w:p w14:paraId="304E1933" w14:textId="77777777" w:rsidR="00FA7EBF" w:rsidRPr="007939DD" w:rsidRDefault="00FA7EBF" w:rsidP="00FA7EBF">
            <w:pPr>
              <w:pStyle w:val="ARfintablebodyright"/>
              <w:spacing w:before="20"/>
              <w:rPr>
                <w:lang w:eastAsia="en-AU"/>
              </w:rPr>
            </w:pPr>
            <w:r w:rsidRPr="006F1189">
              <w:t>0.8</w:t>
            </w:r>
          </w:p>
        </w:tc>
        <w:tc>
          <w:tcPr>
            <w:tcW w:w="1191" w:type="dxa"/>
            <w:tcBorders>
              <w:top w:val="single" w:sz="4" w:space="0" w:color="A6A6A6" w:themeColor="background1" w:themeShade="A6"/>
              <w:bottom w:val="single" w:sz="4" w:space="0" w:color="A6A6A6" w:themeColor="background1" w:themeShade="A6"/>
            </w:tcBorders>
          </w:tcPr>
          <w:p w14:paraId="3F299610" w14:textId="77777777" w:rsidR="00FA7EBF" w:rsidRPr="007939DD" w:rsidRDefault="00FA7EBF" w:rsidP="00FA7EBF">
            <w:pPr>
              <w:pStyle w:val="ARfintablebodyright"/>
              <w:spacing w:before="20"/>
              <w:rPr>
                <w:lang w:eastAsia="en-AU"/>
              </w:rPr>
            </w:pPr>
            <w:r w:rsidRPr="006F1189">
              <w:t>–</w:t>
            </w:r>
          </w:p>
        </w:tc>
        <w:tc>
          <w:tcPr>
            <w:tcW w:w="1191" w:type="dxa"/>
            <w:tcBorders>
              <w:top w:val="single" w:sz="4" w:space="0" w:color="A6A6A6" w:themeColor="background1" w:themeShade="A6"/>
              <w:bottom w:val="single" w:sz="4" w:space="0" w:color="A6A6A6" w:themeColor="background1" w:themeShade="A6"/>
            </w:tcBorders>
          </w:tcPr>
          <w:p w14:paraId="396ECA2A" w14:textId="77777777" w:rsidR="00FA7EBF" w:rsidRPr="007939DD" w:rsidRDefault="00FA7EBF" w:rsidP="00FA7EBF">
            <w:pPr>
              <w:pStyle w:val="ARfintablebodyright"/>
              <w:spacing w:before="20"/>
              <w:rPr>
                <w:lang w:eastAsia="en-AU"/>
              </w:rPr>
            </w:pPr>
            <w:r w:rsidRPr="006F1189">
              <w:t>87.5</w:t>
            </w:r>
          </w:p>
        </w:tc>
      </w:tr>
      <w:tr w:rsidR="00FA7EBF" w:rsidRPr="007939DD" w14:paraId="095DDAB1" w14:textId="77777777" w:rsidTr="007B207C">
        <w:trPr>
          <w:cantSplit/>
        </w:trPr>
        <w:tc>
          <w:tcPr>
            <w:tcW w:w="3684" w:type="dxa"/>
            <w:tcBorders>
              <w:top w:val="single" w:sz="4" w:space="0" w:color="A6A6A6" w:themeColor="background1" w:themeShade="A6"/>
              <w:bottom w:val="single" w:sz="4" w:space="0" w:color="A6A6A6" w:themeColor="background1" w:themeShade="A6"/>
            </w:tcBorders>
          </w:tcPr>
          <w:p w14:paraId="6253D3BC" w14:textId="77777777" w:rsidR="00FA7EBF" w:rsidRPr="007939DD" w:rsidRDefault="00FA7EBF" w:rsidP="00FA7EBF">
            <w:pPr>
              <w:pStyle w:val="ARfintablebody"/>
              <w:spacing w:before="20"/>
              <w:rPr>
                <w:lang w:eastAsia="en-AU"/>
              </w:rPr>
            </w:pPr>
            <w:r w:rsidRPr="006F1189">
              <w:t>Loans</w:t>
            </w:r>
          </w:p>
        </w:tc>
        <w:tc>
          <w:tcPr>
            <w:tcW w:w="1191" w:type="dxa"/>
            <w:tcBorders>
              <w:top w:val="single" w:sz="4" w:space="0" w:color="A6A6A6" w:themeColor="background1" w:themeShade="A6"/>
              <w:bottom w:val="single" w:sz="4" w:space="0" w:color="A6A6A6" w:themeColor="background1" w:themeShade="A6"/>
            </w:tcBorders>
          </w:tcPr>
          <w:p w14:paraId="44EEB9B9" w14:textId="77777777" w:rsidR="00FA7EBF" w:rsidRPr="007939DD" w:rsidRDefault="00FA7EBF" w:rsidP="00FA7EBF">
            <w:pPr>
              <w:pStyle w:val="ARfintablebodyright"/>
              <w:spacing w:before="20"/>
              <w:rPr>
                <w:lang w:eastAsia="en-AU"/>
              </w:rPr>
            </w:pPr>
            <w:r w:rsidRPr="006F1189">
              <w:t>4.1%</w:t>
            </w:r>
          </w:p>
        </w:tc>
        <w:tc>
          <w:tcPr>
            <w:tcW w:w="1191" w:type="dxa"/>
            <w:tcBorders>
              <w:top w:val="single" w:sz="4" w:space="0" w:color="A6A6A6" w:themeColor="background1" w:themeShade="A6"/>
              <w:bottom w:val="single" w:sz="4" w:space="0" w:color="A6A6A6" w:themeColor="background1" w:themeShade="A6"/>
            </w:tcBorders>
          </w:tcPr>
          <w:p w14:paraId="1557D3AA" w14:textId="77777777" w:rsidR="00FA7EBF" w:rsidRPr="007939DD" w:rsidRDefault="00FA7EBF" w:rsidP="00FA7EBF">
            <w:pPr>
              <w:pStyle w:val="ARfintablebodyright"/>
              <w:spacing w:before="20"/>
              <w:rPr>
                <w:lang w:eastAsia="en-AU"/>
              </w:rPr>
            </w:pPr>
            <w:r w:rsidRPr="006F1189">
              <w:t>105.7</w:t>
            </w:r>
          </w:p>
        </w:tc>
        <w:tc>
          <w:tcPr>
            <w:tcW w:w="1191" w:type="dxa"/>
            <w:tcBorders>
              <w:top w:val="single" w:sz="4" w:space="0" w:color="A6A6A6" w:themeColor="background1" w:themeShade="A6"/>
              <w:bottom w:val="single" w:sz="4" w:space="0" w:color="A6A6A6" w:themeColor="background1" w:themeShade="A6"/>
            </w:tcBorders>
          </w:tcPr>
          <w:p w14:paraId="655FD1FC" w14:textId="77777777" w:rsidR="00FA7EBF" w:rsidRPr="007939DD" w:rsidRDefault="00FA7EBF" w:rsidP="00FA7EBF">
            <w:pPr>
              <w:pStyle w:val="ARfintablebodyright"/>
              <w:spacing w:before="20"/>
              <w:rPr>
                <w:lang w:eastAsia="en-AU"/>
              </w:rPr>
            </w:pPr>
            <w:r w:rsidRPr="006F1189">
              <w:t>2.4</w:t>
            </w:r>
          </w:p>
        </w:tc>
        <w:tc>
          <w:tcPr>
            <w:tcW w:w="1191" w:type="dxa"/>
            <w:tcBorders>
              <w:top w:val="single" w:sz="4" w:space="0" w:color="A6A6A6" w:themeColor="background1" w:themeShade="A6"/>
              <w:bottom w:val="single" w:sz="4" w:space="0" w:color="A6A6A6" w:themeColor="background1" w:themeShade="A6"/>
            </w:tcBorders>
          </w:tcPr>
          <w:p w14:paraId="2807975A" w14:textId="77777777" w:rsidR="00FA7EBF" w:rsidRPr="007939DD" w:rsidRDefault="00FA7EBF" w:rsidP="00FA7EBF">
            <w:pPr>
              <w:pStyle w:val="ARfintablebodyright"/>
              <w:spacing w:before="20"/>
              <w:rPr>
                <w:lang w:eastAsia="en-AU"/>
              </w:rPr>
            </w:pPr>
            <w:r w:rsidRPr="006F1189">
              <w:t>12.9</w:t>
            </w:r>
          </w:p>
        </w:tc>
        <w:tc>
          <w:tcPr>
            <w:tcW w:w="1191" w:type="dxa"/>
            <w:tcBorders>
              <w:top w:val="single" w:sz="4" w:space="0" w:color="A6A6A6" w:themeColor="background1" w:themeShade="A6"/>
              <w:bottom w:val="single" w:sz="4" w:space="0" w:color="A6A6A6" w:themeColor="background1" w:themeShade="A6"/>
            </w:tcBorders>
          </w:tcPr>
          <w:p w14:paraId="46461343" w14:textId="77777777" w:rsidR="00FA7EBF" w:rsidRPr="007939DD" w:rsidRDefault="00FA7EBF" w:rsidP="00FA7EBF">
            <w:pPr>
              <w:pStyle w:val="ARfintablebodyright"/>
              <w:spacing w:before="20"/>
              <w:rPr>
                <w:lang w:eastAsia="en-AU"/>
              </w:rPr>
            </w:pPr>
            <w:r w:rsidRPr="006F1189">
              <w:t>90.4</w:t>
            </w:r>
          </w:p>
        </w:tc>
      </w:tr>
      <w:tr w:rsidR="00FA7EBF" w:rsidRPr="007939DD" w14:paraId="3701DD43" w14:textId="77777777" w:rsidTr="007B207C">
        <w:trPr>
          <w:cantSplit/>
        </w:trPr>
        <w:tc>
          <w:tcPr>
            <w:tcW w:w="3684" w:type="dxa"/>
            <w:tcBorders>
              <w:top w:val="single" w:sz="4" w:space="0" w:color="A6A6A6" w:themeColor="background1" w:themeShade="A6"/>
            </w:tcBorders>
          </w:tcPr>
          <w:p w14:paraId="709B7A9C" w14:textId="77777777" w:rsidR="00FA7EBF" w:rsidRPr="007939DD" w:rsidRDefault="00FA7EBF" w:rsidP="00FA7EBF">
            <w:pPr>
              <w:pStyle w:val="ARfintablebody"/>
              <w:spacing w:before="20"/>
              <w:rPr>
                <w:lang w:eastAsia="en-AU"/>
              </w:rPr>
            </w:pPr>
            <w:r w:rsidRPr="006F1189">
              <w:t>Short-term investments – term deposits</w:t>
            </w:r>
          </w:p>
        </w:tc>
        <w:tc>
          <w:tcPr>
            <w:tcW w:w="1191" w:type="dxa"/>
            <w:tcBorders>
              <w:top w:val="single" w:sz="4" w:space="0" w:color="A6A6A6" w:themeColor="background1" w:themeShade="A6"/>
            </w:tcBorders>
          </w:tcPr>
          <w:p w14:paraId="17BBA95C" w14:textId="77777777" w:rsidR="00FA7EBF" w:rsidRPr="007939DD" w:rsidRDefault="00FA7EBF" w:rsidP="00FA7EBF">
            <w:pPr>
              <w:pStyle w:val="ARfintablebodyright"/>
              <w:spacing w:before="20"/>
              <w:rPr>
                <w:lang w:eastAsia="en-AU"/>
              </w:rPr>
            </w:pPr>
            <w:r w:rsidRPr="006F1189">
              <w:t>2.1%</w:t>
            </w:r>
          </w:p>
        </w:tc>
        <w:tc>
          <w:tcPr>
            <w:tcW w:w="1191" w:type="dxa"/>
            <w:tcBorders>
              <w:top w:val="single" w:sz="4" w:space="0" w:color="A6A6A6" w:themeColor="background1" w:themeShade="A6"/>
            </w:tcBorders>
          </w:tcPr>
          <w:p w14:paraId="155CFD79" w14:textId="77777777" w:rsidR="00FA7EBF" w:rsidRPr="007939DD" w:rsidRDefault="00FA7EBF" w:rsidP="00FA7EBF">
            <w:pPr>
              <w:pStyle w:val="ARfintablebodyright"/>
              <w:spacing w:before="20"/>
              <w:rPr>
                <w:lang w:eastAsia="en-AU"/>
              </w:rPr>
            </w:pPr>
            <w:r w:rsidRPr="006F1189">
              <w:t>534.8</w:t>
            </w:r>
          </w:p>
        </w:tc>
        <w:tc>
          <w:tcPr>
            <w:tcW w:w="1191" w:type="dxa"/>
            <w:tcBorders>
              <w:top w:val="single" w:sz="4" w:space="0" w:color="A6A6A6" w:themeColor="background1" w:themeShade="A6"/>
            </w:tcBorders>
          </w:tcPr>
          <w:p w14:paraId="2B74D6A3" w14:textId="77777777" w:rsidR="00FA7EBF" w:rsidRPr="007939DD" w:rsidRDefault="00FA7EBF" w:rsidP="00FA7EBF">
            <w:pPr>
              <w:pStyle w:val="ARfintablebodyright"/>
              <w:spacing w:before="20"/>
              <w:rPr>
                <w:lang w:eastAsia="en-AU"/>
              </w:rPr>
            </w:pPr>
            <w:r w:rsidRPr="006F1189">
              <w:t>534.8</w:t>
            </w:r>
          </w:p>
        </w:tc>
        <w:tc>
          <w:tcPr>
            <w:tcW w:w="1191" w:type="dxa"/>
            <w:tcBorders>
              <w:top w:val="single" w:sz="4" w:space="0" w:color="A6A6A6" w:themeColor="background1" w:themeShade="A6"/>
            </w:tcBorders>
          </w:tcPr>
          <w:p w14:paraId="3C5AF039" w14:textId="77777777" w:rsidR="00FA7EBF" w:rsidRPr="007939DD" w:rsidRDefault="00FA7EBF" w:rsidP="00FA7EBF">
            <w:pPr>
              <w:pStyle w:val="ARfintablebodyright"/>
              <w:spacing w:before="20"/>
              <w:rPr>
                <w:lang w:eastAsia="en-AU"/>
              </w:rPr>
            </w:pPr>
            <w:r w:rsidRPr="006F1189">
              <w:t>–</w:t>
            </w:r>
          </w:p>
        </w:tc>
        <w:tc>
          <w:tcPr>
            <w:tcW w:w="1191" w:type="dxa"/>
            <w:tcBorders>
              <w:top w:val="single" w:sz="4" w:space="0" w:color="A6A6A6" w:themeColor="background1" w:themeShade="A6"/>
            </w:tcBorders>
          </w:tcPr>
          <w:p w14:paraId="07BE9FB7" w14:textId="77777777" w:rsidR="00FA7EBF" w:rsidRPr="007939DD" w:rsidRDefault="00FA7EBF" w:rsidP="00FA7EBF">
            <w:pPr>
              <w:pStyle w:val="ARfintablebodyright"/>
              <w:spacing w:before="20"/>
              <w:rPr>
                <w:lang w:eastAsia="en-AU"/>
              </w:rPr>
            </w:pPr>
            <w:r w:rsidRPr="006F1189">
              <w:t>–</w:t>
            </w:r>
          </w:p>
        </w:tc>
      </w:tr>
      <w:tr w:rsidR="00FA7EBF" w:rsidRPr="007939DD" w14:paraId="4F407A3D" w14:textId="77777777" w:rsidTr="007B207C">
        <w:trPr>
          <w:cantSplit/>
        </w:trPr>
        <w:tc>
          <w:tcPr>
            <w:tcW w:w="3684" w:type="dxa"/>
          </w:tcPr>
          <w:p w14:paraId="5D922C81" w14:textId="77777777" w:rsidR="00FA7EBF" w:rsidRPr="007939DD" w:rsidRDefault="00FA7EBF" w:rsidP="00FA7EBF">
            <w:pPr>
              <w:pStyle w:val="ARfintablebodybold"/>
              <w:spacing w:before="20"/>
              <w:rPr>
                <w:lang w:eastAsia="en-AU"/>
              </w:rPr>
            </w:pPr>
            <w:r w:rsidRPr="006F1189">
              <w:t>Total financial assets</w:t>
            </w:r>
          </w:p>
        </w:tc>
        <w:tc>
          <w:tcPr>
            <w:tcW w:w="1191" w:type="dxa"/>
          </w:tcPr>
          <w:p w14:paraId="4BC2308C" w14:textId="77777777" w:rsidR="00FA7EBF" w:rsidRPr="007939DD" w:rsidRDefault="00FA7EBF" w:rsidP="00FA7EBF">
            <w:pPr>
              <w:pStyle w:val="ARfintablebodyrightbold"/>
              <w:spacing w:before="20"/>
              <w:rPr>
                <w:lang w:eastAsia="en-AU"/>
              </w:rPr>
            </w:pPr>
          </w:p>
        </w:tc>
        <w:tc>
          <w:tcPr>
            <w:tcW w:w="1191" w:type="dxa"/>
          </w:tcPr>
          <w:p w14:paraId="73CD42F9" w14:textId="77777777" w:rsidR="00FA7EBF" w:rsidRPr="007939DD" w:rsidRDefault="00FA7EBF" w:rsidP="00FA7EBF">
            <w:pPr>
              <w:pStyle w:val="ARfintablebodyrightbold"/>
              <w:spacing w:before="20"/>
              <w:rPr>
                <w:lang w:eastAsia="en-AU"/>
              </w:rPr>
            </w:pPr>
            <w:r w:rsidRPr="006F1189">
              <w:t>1,112.0</w:t>
            </w:r>
          </w:p>
        </w:tc>
        <w:tc>
          <w:tcPr>
            <w:tcW w:w="1191" w:type="dxa"/>
          </w:tcPr>
          <w:p w14:paraId="248F3BAD" w14:textId="77777777" w:rsidR="00FA7EBF" w:rsidRPr="007939DD" w:rsidRDefault="00FA7EBF" w:rsidP="00FA7EBF">
            <w:pPr>
              <w:pStyle w:val="ARfintablebodyrightbold"/>
              <w:spacing w:before="20"/>
              <w:rPr>
                <w:lang w:eastAsia="en-AU"/>
              </w:rPr>
            </w:pPr>
            <w:r w:rsidRPr="006F1189">
              <w:t>537.9</w:t>
            </w:r>
          </w:p>
        </w:tc>
        <w:tc>
          <w:tcPr>
            <w:tcW w:w="1191" w:type="dxa"/>
          </w:tcPr>
          <w:p w14:paraId="25F12102" w14:textId="77777777" w:rsidR="00FA7EBF" w:rsidRPr="007939DD" w:rsidRDefault="00FA7EBF" w:rsidP="00FA7EBF">
            <w:pPr>
              <w:pStyle w:val="ARfintablebodyrightbold"/>
              <w:spacing w:before="20"/>
              <w:rPr>
                <w:lang w:eastAsia="en-AU"/>
              </w:rPr>
            </w:pPr>
            <w:r w:rsidRPr="006F1189">
              <w:t>102.3</w:t>
            </w:r>
          </w:p>
        </w:tc>
        <w:tc>
          <w:tcPr>
            <w:tcW w:w="1191" w:type="dxa"/>
          </w:tcPr>
          <w:p w14:paraId="2E8C164E" w14:textId="77777777" w:rsidR="00FA7EBF" w:rsidRPr="007939DD" w:rsidRDefault="00FA7EBF" w:rsidP="00FA7EBF">
            <w:pPr>
              <w:pStyle w:val="ARfintablebodyrightbold"/>
              <w:spacing w:before="20"/>
              <w:rPr>
                <w:rStyle w:val="Strong"/>
              </w:rPr>
            </w:pPr>
            <w:r w:rsidRPr="006F1189">
              <w:t>471.7</w:t>
            </w:r>
          </w:p>
        </w:tc>
      </w:tr>
      <w:tr w:rsidR="00FA7EBF" w:rsidRPr="007939DD" w14:paraId="0F72C18C" w14:textId="77777777" w:rsidTr="007B207C">
        <w:trPr>
          <w:cantSplit/>
        </w:trPr>
        <w:tc>
          <w:tcPr>
            <w:tcW w:w="9639" w:type="dxa"/>
            <w:gridSpan w:val="6"/>
            <w:tcBorders>
              <w:bottom w:val="single" w:sz="4" w:space="0" w:color="A6A6A6" w:themeColor="background1" w:themeShade="A6"/>
            </w:tcBorders>
          </w:tcPr>
          <w:p w14:paraId="779E5012" w14:textId="77777777" w:rsidR="00FA7EBF" w:rsidRPr="007939DD" w:rsidRDefault="00FA7EBF" w:rsidP="00FA7EBF">
            <w:pPr>
              <w:pStyle w:val="ARfintablebodybold"/>
              <w:spacing w:before="20"/>
              <w:rPr>
                <w:lang w:eastAsia="en-AU"/>
              </w:rPr>
            </w:pPr>
            <w:r w:rsidRPr="006F1189">
              <w:t>Financial liabilities</w:t>
            </w:r>
          </w:p>
        </w:tc>
      </w:tr>
      <w:tr w:rsidR="00FA7EBF" w:rsidRPr="007939DD" w14:paraId="1F8CBA61" w14:textId="77777777" w:rsidTr="007B207C">
        <w:trPr>
          <w:cantSplit/>
        </w:trPr>
        <w:tc>
          <w:tcPr>
            <w:tcW w:w="3684" w:type="dxa"/>
            <w:tcBorders>
              <w:top w:val="single" w:sz="4" w:space="0" w:color="A6A6A6" w:themeColor="background1" w:themeShade="A6"/>
              <w:bottom w:val="single" w:sz="4" w:space="0" w:color="A6A6A6" w:themeColor="background1" w:themeShade="A6"/>
            </w:tcBorders>
          </w:tcPr>
          <w:p w14:paraId="4077C6D7" w14:textId="77777777" w:rsidR="00FA7EBF" w:rsidRPr="007939DD" w:rsidRDefault="00FA7EBF" w:rsidP="00FA7EBF">
            <w:pPr>
              <w:pStyle w:val="ARfintablebody"/>
              <w:spacing w:before="20"/>
              <w:rPr>
                <w:lang w:eastAsia="en-AU"/>
              </w:rPr>
            </w:pPr>
            <w:r w:rsidRPr="006F1189">
              <w:t xml:space="preserve">Payables </w:t>
            </w:r>
            <w:r w:rsidRPr="00DB5DE8">
              <w:rPr>
                <w:rStyle w:val="Superscript"/>
              </w:rPr>
              <w:t>(i)</w:t>
            </w:r>
          </w:p>
        </w:tc>
        <w:tc>
          <w:tcPr>
            <w:tcW w:w="1191" w:type="dxa"/>
            <w:tcBorders>
              <w:top w:val="single" w:sz="4" w:space="0" w:color="A6A6A6" w:themeColor="background1" w:themeShade="A6"/>
              <w:bottom w:val="single" w:sz="4" w:space="0" w:color="A6A6A6" w:themeColor="background1" w:themeShade="A6"/>
            </w:tcBorders>
          </w:tcPr>
          <w:p w14:paraId="4E13FBAC" w14:textId="77777777" w:rsidR="00FA7EBF" w:rsidRPr="007939DD" w:rsidRDefault="00FA7EBF" w:rsidP="00FA7EBF">
            <w:pPr>
              <w:pStyle w:val="ARfintablebodyright"/>
              <w:spacing w:before="20"/>
              <w:rPr>
                <w:lang w:eastAsia="en-AU"/>
              </w:rPr>
            </w:pPr>
          </w:p>
        </w:tc>
        <w:tc>
          <w:tcPr>
            <w:tcW w:w="1191" w:type="dxa"/>
            <w:tcBorders>
              <w:top w:val="single" w:sz="4" w:space="0" w:color="A6A6A6" w:themeColor="background1" w:themeShade="A6"/>
              <w:bottom w:val="single" w:sz="4" w:space="0" w:color="A6A6A6" w:themeColor="background1" w:themeShade="A6"/>
            </w:tcBorders>
          </w:tcPr>
          <w:p w14:paraId="6FAADFF4" w14:textId="77777777" w:rsidR="00FA7EBF" w:rsidRPr="007939DD" w:rsidRDefault="00FA7EBF" w:rsidP="00FA7EBF">
            <w:pPr>
              <w:pStyle w:val="ARfintablebodyright"/>
              <w:spacing w:before="20"/>
              <w:rPr>
                <w:lang w:eastAsia="en-AU"/>
              </w:rPr>
            </w:pPr>
            <w:r w:rsidRPr="006F1189">
              <w:t>1,342.3</w:t>
            </w:r>
          </w:p>
        </w:tc>
        <w:tc>
          <w:tcPr>
            <w:tcW w:w="1191" w:type="dxa"/>
            <w:tcBorders>
              <w:top w:val="single" w:sz="4" w:space="0" w:color="A6A6A6" w:themeColor="background1" w:themeShade="A6"/>
              <w:bottom w:val="single" w:sz="4" w:space="0" w:color="A6A6A6" w:themeColor="background1" w:themeShade="A6"/>
            </w:tcBorders>
          </w:tcPr>
          <w:p w14:paraId="095E981E" w14:textId="77777777" w:rsidR="00FA7EBF" w:rsidRPr="007939DD" w:rsidRDefault="00FA7EBF" w:rsidP="00FA7EBF">
            <w:pPr>
              <w:pStyle w:val="ARfintablebodyright"/>
              <w:spacing w:before="20"/>
              <w:rPr>
                <w:lang w:eastAsia="en-AU"/>
              </w:rPr>
            </w:pPr>
            <w:r w:rsidRPr="006F1189">
              <w:t>–</w:t>
            </w:r>
          </w:p>
        </w:tc>
        <w:tc>
          <w:tcPr>
            <w:tcW w:w="1191" w:type="dxa"/>
            <w:tcBorders>
              <w:top w:val="single" w:sz="4" w:space="0" w:color="A6A6A6" w:themeColor="background1" w:themeShade="A6"/>
              <w:bottom w:val="single" w:sz="4" w:space="0" w:color="A6A6A6" w:themeColor="background1" w:themeShade="A6"/>
            </w:tcBorders>
          </w:tcPr>
          <w:p w14:paraId="0CFE6FC6" w14:textId="77777777" w:rsidR="00FA7EBF" w:rsidRPr="007939DD" w:rsidRDefault="00FA7EBF" w:rsidP="00FA7EBF">
            <w:pPr>
              <w:pStyle w:val="ARfintablebodyright"/>
              <w:spacing w:before="20"/>
              <w:rPr>
                <w:lang w:eastAsia="en-AU"/>
              </w:rPr>
            </w:pPr>
            <w:r w:rsidRPr="006F1189">
              <w:t>–</w:t>
            </w:r>
          </w:p>
        </w:tc>
        <w:tc>
          <w:tcPr>
            <w:tcW w:w="1191" w:type="dxa"/>
            <w:tcBorders>
              <w:top w:val="single" w:sz="4" w:space="0" w:color="A6A6A6" w:themeColor="background1" w:themeShade="A6"/>
              <w:bottom w:val="single" w:sz="4" w:space="0" w:color="A6A6A6" w:themeColor="background1" w:themeShade="A6"/>
            </w:tcBorders>
          </w:tcPr>
          <w:p w14:paraId="1812AD3D" w14:textId="77777777" w:rsidR="00FA7EBF" w:rsidRPr="007939DD" w:rsidRDefault="00FA7EBF" w:rsidP="00FA7EBF">
            <w:pPr>
              <w:pStyle w:val="ARfintablebodyright"/>
              <w:spacing w:before="20"/>
              <w:rPr>
                <w:lang w:eastAsia="en-AU"/>
              </w:rPr>
            </w:pPr>
            <w:r w:rsidRPr="006F1189">
              <w:t>1,342.4</w:t>
            </w:r>
          </w:p>
        </w:tc>
      </w:tr>
      <w:tr w:rsidR="00FA7EBF" w:rsidRPr="007939DD" w14:paraId="6F5FEF59" w14:textId="77777777" w:rsidTr="007B207C">
        <w:trPr>
          <w:cantSplit/>
        </w:trPr>
        <w:tc>
          <w:tcPr>
            <w:tcW w:w="3684" w:type="dxa"/>
            <w:tcBorders>
              <w:top w:val="single" w:sz="4" w:space="0" w:color="A6A6A6" w:themeColor="background1" w:themeShade="A6"/>
            </w:tcBorders>
          </w:tcPr>
          <w:p w14:paraId="74D6DE12" w14:textId="77777777" w:rsidR="00FA7EBF" w:rsidRPr="007939DD" w:rsidRDefault="00FA7EBF" w:rsidP="00FA7EBF">
            <w:pPr>
              <w:pStyle w:val="ARfintablebody"/>
              <w:spacing w:before="20"/>
              <w:rPr>
                <w:lang w:eastAsia="en-AU"/>
              </w:rPr>
            </w:pPr>
            <w:r w:rsidRPr="006F1189">
              <w:t>Borrowings</w:t>
            </w:r>
          </w:p>
        </w:tc>
        <w:tc>
          <w:tcPr>
            <w:tcW w:w="1191" w:type="dxa"/>
            <w:tcBorders>
              <w:top w:val="single" w:sz="4" w:space="0" w:color="A6A6A6" w:themeColor="background1" w:themeShade="A6"/>
            </w:tcBorders>
          </w:tcPr>
          <w:p w14:paraId="721259A3" w14:textId="77777777" w:rsidR="00FA7EBF" w:rsidRPr="007939DD" w:rsidRDefault="00FA7EBF" w:rsidP="00FA7EBF">
            <w:pPr>
              <w:pStyle w:val="ARfintablebodyright"/>
              <w:spacing w:before="20"/>
              <w:rPr>
                <w:lang w:eastAsia="en-AU"/>
              </w:rPr>
            </w:pPr>
            <w:r w:rsidRPr="006F1189">
              <w:t>3.3%</w:t>
            </w:r>
          </w:p>
        </w:tc>
        <w:tc>
          <w:tcPr>
            <w:tcW w:w="1191" w:type="dxa"/>
            <w:tcBorders>
              <w:top w:val="single" w:sz="4" w:space="0" w:color="A6A6A6" w:themeColor="background1" w:themeShade="A6"/>
            </w:tcBorders>
          </w:tcPr>
          <w:p w14:paraId="4505C138" w14:textId="77777777" w:rsidR="00FA7EBF" w:rsidRPr="007939DD" w:rsidRDefault="00FA7EBF" w:rsidP="00FA7EBF">
            <w:pPr>
              <w:pStyle w:val="ARfintablebodyright"/>
              <w:spacing w:before="20"/>
              <w:rPr>
                <w:lang w:eastAsia="en-AU"/>
              </w:rPr>
            </w:pPr>
            <w:r w:rsidRPr="006F1189">
              <w:t>81.7</w:t>
            </w:r>
          </w:p>
        </w:tc>
        <w:tc>
          <w:tcPr>
            <w:tcW w:w="1191" w:type="dxa"/>
            <w:tcBorders>
              <w:top w:val="single" w:sz="4" w:space="0" w:color="A6A6A6" w:themeColor="background1" w:themeShade="A6"/>
            </w:tcBorders>
          </w:tcPr>
          <w:p w14:paraId="08D256B1" w14:textId="77777777" w:rsidR="00FA7EBF" w:rsidRPr="007939DD" w:rsidRDefault="00FA7EBF" w:rsidP="00FA7EBF">
            <w:pPr>
              <w:pStyle w:val="ARfintablebodyright"/>
              <w:spacing w:before="20"/>
              <w:rPr>
                <w:lang w:eastAsia="en-AU"/>
              </w:rPr>
            </w:pPr>
            <w:r w:rsidRPr="006F1189">
              <w:t>51.7</w:t>
            </w:r>
          </w:p>
        </w:tc>
        <w:tc>
          <w:tcPr>
            <w:tcW w:w="1191" w:type="dxa"/>
            <w:tcBorders>
              <w:top w:val="single" w:sz="4" w:space="0" w:color="A6A6A6" w:themeColor="background1" w:themeShade="A6"/>
            </w:tcBorders>
          </w:tcPr>
          <w:p w14:paraId="08547382" w14:textId="77777777" w:rsidR="00FA7EBF" w:rsidRPr="007939DD" w:rsidRDefault="00FA7EBF" w:rsidP="00FA7EBF">
            <w:pPr>
              <w:pStyle w:val="ARfintablebodyright"/>
              <w:spacing w:before="20"/>
              <w:rPr>
                <w:lang w:eastAsia="en-AU"/>
              </w:rPr>
            </w:pPr>
            <w:r w:rsidRPr="006F1189">
              <w:t>–</w:t>
            </w:r>
          </w:p>
        </w:tc>
        <w:tc>
          <w:tcPr>
            <w:tcW w:w="1191" w:type="dxa"/>
            <w:tcBorders>
              <w:top w:val="single" w:sz="4" w:space="0" w:color="A6A6A6" w:themeColor="background1" w:themeShade="A6"/>
            </w:tcBorders>
          </w:tcPr>
          <w:p w14:paraId="2AE00657" w14:textId="77777777" w:rsidR="00FA7EBF" w:rsidRPr="007939DD" w:rsidRDefault="00FA7EBF" w:rsidP="00FA7EBF">
            <w:pPr>
              <w:pStyle w:val="ARfintablebodyright"/>
              <w:spacing w:before="20"/>
              <w:rPr>
                <w:lang w:eastAsia="en-AU"/>
              </w:rPr>
            </w:pPr>
            <w:r w:rsidRPr="006F1189">
              <w:t>30.0</w:t>
            </w:r>
          </w:p>
        </w:tc>
      </w:tr>
      <w:tr w:rsidR="00FA7EBF" w:rsidRPr="007939DD" w14:paraId="719F9ED1" w14:textId="77777777" w:rsidTr="007B207C">
        <w:trPr>
          <w:cantSplit/>
        </w:trPr>
        <w:tc>
          <w:tcPr>
            <w:tcW w:w="3684" w:type="dxa"/>
          </w:tcPr>
          <w:p w14:paraId="4E6E2EEE" w14:textId="77777777" w:rsidR="00FA7EBF" w:rsidRPr="007939DD" w:rsidRDefault="00FA7EBF" w:rsidP="00FA7EBF">
            <w:pPr>
              <w:pStyle w:val="ARfintablebodybold"/>
              <w:spacing w:before="20"/>
              <w:rPr>
                <w:lang w:eastAsia="en-AU"/>
              </w:rPr>
            </w:pPr>
            <w:r w:rsidRPr="006F1189">
              <w:t>Total financial liabilities</w:t>
            </w:r>
          </w:p>
        </w:tc>
        <w:tc>
          <w:tcPr>
            <w:tcW w:w="1191" w:type="dxa"/>
          </w:tcPr>
          <w:p w14:paraId="740B3534" w14:textId="77777777" w:rsidR="00FA7EBF" w:rsidRPr="007939DD" w:rsidRDefault="00FA7EBF" w:rsidP="00FA7EBF">
            <w:pPr>
              <w:pStyle w:val="ARfintablebodyrightbold"/>
              <w:spacing w:before="20"/>
              <w:rPr>
                <w:lang w:eastAsia="en-AU"/>
              </w:rPr>
            </w:pPr>
          </w:p>
        </w:tc>
        <w:tc>
          <w:tcPr>
            <w:tcW w:w="1191" w:type="dxa"/>
          </w:tcPr>
          <w:p w14:paraId="6D04F670" w14:textId="77777777" w:rsidR="00FA7EBF" w:rsidRPr="007939DD" w:rsidRDefault="00FA7EBF" w:rsidP="00FA7EBF">
            <w:pPr>
              <w:pStyle w:val="ARfintablebodyrightbold"/>
              <w:spacing w:before="20"/>
              <w:rPr>
                <w:rStyle w:val="Strong"/>
              </w:rPr>
            </w:pPr>
            <w:r w:rsidRPr="006F1189">
              <w:t>1,424.0</w:t>
            </w:r>
          </w:p>
        </w:tc>
        <w:tc>
          <w:tcPr>
            <w:tcW w:w="1191" w:type="dxa"/>
          </w:tcPr>
          <w:p w14:paraId="726F0BEA" w14:textId="77777777" w:rsidR="00FA7EBF" w:rsidRPr="007939DD" w:rsidRDefault="00FA7EBF" w:rsidP="00FA7EBF">
            <w:pPr>
              <w:pStyle w:val="ARfintablebodyrightbold"/>
              <w:spacing w:before="20"/>
              <w:rPr>
                <w:lang w:eastAsia="en-AU"/>
              </w:rPr>
            </w:pPr>
            <w:r w:rsidRPr="006F1189">
              <w:t>51.7</w:t>
            </w:r>
          </w:p>
        </w:tc>
        <w:tc>
          <w:tcPr>
            <w:tcW w:w="1191" w:type="dxa"/>
          </w:tcPr>
          <w:p w14:paraId="2928F922" w14:textId="77777777" w:rsidR="00FA7EBF" w:rsidRPr="007939DD" w:rsidRDefault="00FA7EBF" w:rsidP="00FA7EBF">
            <w:pPr>
              <w:pStyle w:val="ARfintablebodyrightbold"/>
              <w:spacing w:before="20"/>
              <w:rPr>
                <w:lang w:eastAsia="en-AU"/>
              </w:rPr>
            </w:pPr>
            <w:r w:rsidRPr="006F1189">
              <w:t>–</w:t>
            </w:r>
          </w:p>
        </w:tc>
        <w:tc>
          <w:tcPr>
            <w:tcW w:w="1191" w:type="dxa"/>
          </w:tcPr>
          <w:p w14:paraId="23EA6133" w14:textId="77777777" w:rsidR="00FA7EBF" w:rsidRPr="007939DD" w:rsidRDefault="00FA7EBF" w:rsidP="00FA7EBF">
            <w:pPr>
              <w:pStyle w:val="ARfintablebodyrightbold"/>
              <w:spacing w:before="20"/>
              <w:rPr>
                <w:rStyle w:val="Strong"/>
              </w:rPr>
            </w:pPr>
            <w:r w:rsidRPr="006F1189">
              <w:t>1,372.3</w:t>
            </w:r>
          </w:p>
        </w:tc>
      </w:tr>
    </w:tbl>
    <w:p w14:paraId="139CA819" w14:textId="77777777" w:rsidR="00FA7EBF" w:rsidRPr="00194D78" w:rsidRDefault="00FA7EBF" w:rsidP="00CA66FD">
      <w:pPr>
        <w:pStyle w:val="ARfintablefootnote"/>
        <w:rPr>
          <w:lang w:eastAsia="en-AU"/>
        </w:rPr>
      </w:pPr>
      <w:r w:rsidRPr="00194D78">
        <w:rPr>
          <w:lang w:eastAsia="en-AU"/>
        </w:rPr>
        <w:t>Note:</w:t>
      </w:r>
    </w:p>
    <w:p w14:paraId="7BE97768" w14:textId="77777777" w:rsidR="00FA7EBF" w:rsidRPr="00194D78" w:rsidRDefault="00FA7EBF" w:rsidP="00CA66FD">
      <w:pPr>
        <w:pStyle w:val="ARfintablefootnoteindent"/>
      </w:pPr>
      <w:r w:rsidRPr="00194D78">
        <w:t>(i)</w:t>
      </w:r>
      <w:r>
        <w:tab/>
      </w:r>
      <w:r w:rsidRPr="00194D78">
        <w:t>The carrying amounts disclosed here exclude statutory amounts, for example, amounts owing to/from Victorian Government and GST input tax credit recoverable and taxes payable.</w:t>
      </w:r>
    </w:p>
    <w:p w14:paraId="4696D70D" w14:textId="77777777" w:rsidR="00FA7EBF" w:rsidRDefault="00FA7EBF" w:rsidP="00CA66FD">
      <w:pPr>
        <w:pStyle w:val="Heading7"/>
        <w:rPr>
          <w:lang w:val="x-none"/>
        </w:rPr>
      </w:pPr>
      <w:r w:rsidRPr="00194D78">
        <w:rPr>
          <w:lang w:val="x-none"/>
        </w:rPr>
        <w:t>Interest rate risk sensitivity analysis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3970"/>
        <w:gridCol w:w="1129"/>
        <w:gridCol w:w="1135"/>
        <w:gridCol w:w="1135"/>
        <w:gridCol w:w="1135"/>
        <w:gridCol w:w="1135"/>
      </w:tblGrid>
      <w:tr w:rsidR="00FA7EBF" w:rsidRPr="007939DD" w14:paraId="6ED6FD5D" w14:textId="77777777" w:rsidTr="007B207C">
        <w:trPr>
          <w:cantSplit/>
          <w:trHeight w:val="20"/>
          <w:tblHeader/>
        </w:trPr>
        <w:tc>
          <w:tcPr>
            <w:tcW w:w="3970" w:type="dxa"/>
            <w:vMerge w:val="restart"/>
            <w:vAlign w:val="bottom"/>
          </w:tcPr>
          <w:p w14:paraId="23C4FABF" w14:textId="77777777" w:rsidR="00FA7EBF" w:rsidRPr="007939DD" w:rsidRDefault="00FA7EBF" w:rsidP="007B207C">
            <w:pPr>
              <w:pStyle w:val="ARfintablecolhead"/>
              <w:rPr>
                <w:rFonts w:cs="Arial"/>
                <w:bCs/>
                <w:color w:val="000000"/>
              </w:rPr>
            </w:pPr>
            <w:r w:rsidRPr="006E4233">
              <w:t>201</w:t>
            </w:r>
            <w:r>
              <w:t>9</w:t>
            </w:r>
          </w:p>
        </w:tc>
        <w:tc>
          <w:tcPr>
            <w:tcW w:w="1129" w:type="dxa"/>
            <w:vMerge w:val="restart"/>
            <w:vAlign w:val="bottom"/>
          </w:tcPr>
          <w:p w14:paraId="56D42FE0" w14:textId="77777777" w:rsidR="00FA7EBF" w:rsidRPr="007939DD" w:rsidRDefault="00FA7EBF" w:rsidP="007B207C">
            <w:pPr>
              <w:pStyle w:val="ARfintablecolheadright"/>
            </w:pPr>
            <w:r w:rsidRPr="007939DD">
              <w:t>Carrying amount</w:t>
            </w:r>
          </w:p>
          <w:p w14:paraId="253D90F3" w14:textId="77777777" w:rsidR="00FA7EBF" w:rsidRPr="007939DD" w:rsidRDefault="00FA7EBF" w:rsidP="007B207C">
            <w:pPr>
              <w:pStyle w:val="ARfintablecolheadright"/>
              <w:rPr>
                <w:bCs/>
                <w:color w:val="000000"/>
              </w:rPr>
            </w:pPr>
            <w:r w:rsidRPr="007939DD">
              <w:t>$M</w:t>
            </w:r>
          </w:p>
        </w:tc>
        <w:tc>
          <w:tcPr>
            <w:tcW w:w="2270" w:type="dxa"/>
            <w:gridSpan w:val="2"/>
            <w:vAlign w:val="bottom"/>
          </w:tcPr>
          <w:p w14:paraId="45EE7552" w14:textId="77777777" w:rsidR="00FA7EBF" w:rsidRPr="007939DD" w:rsidRDefault="00FA7EBF" w:rsidP="007B207C">
            <w:pPr>
              <w:pStyle w:val="ARfintablecolheadcentre"/>
            </w:pPr>
            <w:r w:rsidRPr="007939DD">
              <w:t>Interest rate risk</w:t>
            </w:r>
          </w:p>
        </w:tc>
        <w:tc>
          <w:tcPr>
            <w:tcW w:w="2270" w:type="dxa"/>
            <w:gridSpan w:val="2"/>
            <w:vAlign w:val="bottom"/>
          </w:tcPr>
          <w:p w14:paraId="6817A9B9" w14:textId="77777777" w:rsidR="00FA7EBF" w:rsidRPr="007939DD" w:rsidRDefault="00FA7EBF" w:rsidP="007B207C">
            <w:pPr>
              <w:pStyle w:val="ARfintablecolheadcentre"/>
              <w:rPr>
                <w:color w:val="000000"/>
              </w:rPr>
            </w:pPr>
            <w:r w:rsidRPr="007939DD">
              <w:t>Consumer Price Index (CPI)</w:t>
            </w:r>
          </w:p>
        </w:tc>
      </w:tr>
      <w:tr w:rsidR="00FA7EBF" w:rsidRPr="007939DD" w14:paraId="426790FC" w14:textId="77777777" w:rsidTr="007B207C">
        <w:trPr>
          <w:cantSplit/>
          <w:trHeight w:val="20"/>
          <w:tblHeader/>
        </w:trPr>
        <w:tc>
          <w:tcPr>
            <w:tcW w:w="3970" w:type="dxa"/>
            <w:vMerge/>
            <w:vAlign w:val="bottom"/>
          </w:tcPr>
          <w:p w14:paraId="48C2CCD9" w14:textId="77777777" w:rsidR="00FA7EBF" w:rsidRPr="007939DD" w:rsidRDefault="00FA7EBF" w:rsidP="007B207C">
            <w:pPr>
              <w:autoSpaceDE w:val="0"/>
              <w:autoSpaceDN w:val="0"/>
              <w:adjustRightInd w:val="0"/>
              <w:spacing w:beforeLines="40" w:before="96" w:afterLines="20" w:after="48"/>
              <w:jc w:val="right"/>
              <w:rPr>
                <w:rFonts w:cs="Arial"/>
                <w:b/>
                <w:bCs/>
                <w:color w:val="000000"/>
                <w:sz w:val="16"/>
                <w:szCs w:val="16"/>
              </w:rPr>
            </w:pPr>
          </w:p>
        </w:tc>
        <w:tc>
          <w:tcPr>
            <w:tcW w:w="1129" w:type="dxa"/>
            <w:vMerge/>
            <w:vAlign w:val="bottom"/>
          </w:tcPr>
          <w:p w14:paraId="7439889B" w14:textId="77777777" w:rsidR="00FA7EBF" w:rsidRPr="007939DD" w:rsidRDefault="00FA7EBF" w:rsidP="007B207C">
            <w:pPr>
              <w:autoSpaceDE w:val="0"/>
              <w:autoSpaceDN w:val="0"/>
              <w:adjustRightInd w:val="0"/>
              <w:spacing w:beforeLines="40" w:before="96" w:afterLines="20" w:after="48"/>
              <w:jc w:val="right"/>
              <w:rPr>
                <w:rFonts w:cs="Arial"/>
                <w:b/>
                <w:bCs/>
                <w:color w:val="000000"/>
                <w:sz w:val="16"/>
                <w:szCs w:val="16"/>
              </w:rPr>
            </w:pPr>
          </w:p>
        </w:tc>
        <w:tc>
          <w:tcPr>
            <w:tcW w:w="1135" w:type="dxa"/>
            <w:vAlign w:val="bottom"/>
          </w:tcPr>
          <w:p w14:paraId="5E3A921A" w14:textId="77777777" w:rsidR="00FA7EBF" w:rsidRPr="007939DD" w:rsidRDefault="00FA7EBF" w:rsidP="007B207C">
            <w:pPr>
              <w:pStyle w:val="ARfintablecolheadright"/>
            </w:pPr>
            <w:r w:rsidRPr="007939DD">
              <w:t>–0.50%</w:t>
            </w:r>
          </w:p>
          <w:p w14:paraId="0803C996" w14:textId="77777777" w:rsidR="00FA7EBF" w:rsidRPr="007939DD" w:rsidRDefault="00FA7EBF" w:rsidP="007B207C">
            <w:pPr>
              <w:pStyle w:val="ARfintablecolheadright"/>
            </w:pPr>
            <w:r w:rsidRPr="007939DD">
              <w:t>Net result</w:t>
            </w:r>
          </w:p>
          <w:p w14:paraId="145946AD" w14:textId="77777777" w:rsidR="00FA7EBF" w:rsidRPr="007939DD" w:rsidRDefault="00FA7EBF" w:rsidP="007B207C">
            <w:pPr>
              <w:pStyle w:val="ARfintablecolheadright"/>
            </w:pPr>
            <w:r w:rsidRPr="007939DD">
              <w:t>$M</w:t>
            </w:r>
          </w:p>
        </w:tc>
        <w:tc>
          <w:tcPr>
            <w:tcW w:w="1135" w:type="dxa"/>
            <w:vAlign w:val="bottom"/>
          </w:tcPr>
          <w:p w14:paraId="3FF923C1" w14:textId="77777777" w:rsidR="00FA7EBF" w:rsidRPr="007939DD" w:rsidRDefault="00FA7EBF" w:rsidP="007B207C">
            <w:pPr>
              <w:pStyle w:val="ARfintablecolheadright"/>
            </w:pPr>
            <w:r w:rsidRPr="007939DD">
              <w:t>+0.50%</w:t>
            </w:r>
          </w:p>
          <w:p w14:paraId="53DD72D6" w14:textId="77777777" w:rsidR="00FA7EBF" w:rsidRPr="007939DD" w:rsidRDefault="00FA7EBF" w:rsidP="007B207C">
            <w:pPr>
              <w:pStyle w:val="ARfintablecolheadright"/>
            </w:pPr>
            <w:r w:rsidRPr="007939DD">
              <w:t>Net result</w:t>
            </w:r>
          </w:p>
          <w:p w14:paraId="718B5FC5" w14:textId="77777777" w:rsidR="00FA7EBF" w:rsidRPr="007939DD" w:rsidRDefault="00FA7EBF" w:rsidP="007B207C">
            <w:pPr>
              <w:pStyle w:val="ARfintablecolheadright"/>
            </w:pPr>
            <w:r w:rsidRPr="007939DD">
              <w:t>$M</w:t>
            </w:r>
          </w:p>
        </w:tc>
        <w:tc>
          <w:tcPr>
            <w:tcW w:w="1135" w:type="dxa"/>
            <w:vAlign w:val="bottom"/>
          </w:tcPr>
          <w:p w14:paraId="0AE5F537" w14:textId="77777777" w:rsidR="00FA7EBF" w:rsidRPr="007939DD" w:rsidRDefault="00FA7EBF" w:rsidP="007B207C">
            <w:pPr>
              <w:pStyle w:val="ARfintablecolheadright"/>
            </w:pPr>
            <w:r w:rsidRPr="007939DD">
              <w:t>–0.25%</w:t>
            </w:r>
          </w:p>
          <w:p w14:paraId="32FD0125" w14:textId="77777777" w:rsidR="00FA7EBF" w:rsidRPr="007939DD" w:rsidRDefault="00FA7EBF" w:rsidP="007B207C">
            <w:pPr>
              <w:pStyle w:val="ARfintablecolheadright"/>
            </w:pPr>
            <w:r w:rsidRPr="007939DD">
              <w:t>Net result</w:t>
            </w:r>
          </w:p>
          <w:p w14:paraId="2F21AAD4" w14:textId="77777777" w:rsidR="00FA7EBF" w:rsidRPr="007939DD" w:rsidRDefault="00FA7EBF" w:rsidP="007B207C">
            <w:pPr>
              <w:pStyle w:val="ARfintablecolheadright"/>
            </w:pPr>
            <w:r w:rsidRPr="007939DD">
              <w:t>$M</w:t>
            </w:r>
          </w:p>
        </w:tc>
        <w:tc>
          <w:tcPr>
            <w:tcW w:w="1135" w:type="dxa"/>
          </w:tcPr>
          <w:p w14:paraId="39A35E4F" w14:textId="77777777" w:rsidR="00FA7EBF" w:rsidRPr="007939DD" w:rsidRDefault="00FA7EBF" w:rsidP="007B207C">
            <w:pPr>
              <w:pStyle w:val="ARfintablecolheadright"/>
            </w:pPr>
            <w:r w:rsidRPr="007939DD">
              <w:t>1.50%</w:t>
            </w:r>
          </w:p>
          <w:p w14:paraId="4B65C7A1" w14:textId="77777777" w:rsidR="00FA7EBF" w:rsidRPr="007939DD" w:rsidRDefault="00FA7EBF" w:rsidP="007B207C">
            <w:pPr>
              <w:pStyle w:val="ARfintablecolheadright"/>
            </w:pPr>
            <w:r w:rsidRPr="007939DD">
              <w:t>Net result</w:t>
            </w:r>
          </w:p>
          <w:p w14:paraId="1AA8378B" w14:textId="77777777" w:rsidR="00FA7EBF" w:rsidRPr="007939DD" w:rsidRDefault="00FA7EBF" w:rsidP="007B207C">
            <w:pPr>
              <w:pStyle w:val="ARfintablecolheadright"/>
              <w:rPr>
                <w:rFonts w:cs="Arial"/>
                <w:bCs/>
                <w:color w:val="000000"/>
              </w:rPr>
            </w:pPr>
            <w:r w:rsidRPr="007939DD">
              <w:t>$M</w:t>
            </w:r>
          </w:p>
        </w:tc>
      </w:tr>
      <w:tr w:rsidR="00FA7EBF" w:rsidRPr="007939DD" w14:paraId="070290EF" w14:textId="77777777" w:rsidTr="007B207C">
        <w:trPr>
          <w:cantSplit/>
        </w:trPr>
        <w:tc>
          <w:tcPr>
            <w:tcW w:w="9639" w:type="dxa"/>
            <w:gridSpan w:val="6"/>
            <w:tcBorders>
              <w:bottom w:val="single" w:sz="4" w:space="0" w:color="A6A6A6" w:themeColor="background1" w:themeShade="A6"/>
            </w:tcBorders>
          </w:tcPr>
          <w:p w14:paraId="1A31E3F3" w14:textId="77777777" w:rsidR="00FA7EBF" w:rsidRPr="007939DD" w:rsidRDefault="00FA7EBF" w:rsidP="007B207C">
            <w:pPr>
              <w:pStyle w:val="ARfintablebodybold"/>
              <w:rPr>
                <w:lang w:eastAsia="en-AU"/>
              </w:rPr>
            </w:pPr>
            <w:r w:rsidRPr="00162E4C">
              <w:t>Contractual financial assets</w:t>
            </w:r>
          </w:p>
        </w:tc>
      </w:tr>
      <w:tr w:rsidR="00FA7EBF" w:rsidRPr="007939DD" w14:paraId="0E6E7D50" w14:textId="77777777" w:rsidTr="007B207C">
        <w:trPr>
          <w:cantSplit/>
        </w:trPr>
        <w:tc>
          <w:tcPr>
            <w:tcW w:w="3970" w:type="dxa"/>
            <w:tcBorders>
              <w:top w:val="single" w:sz="4" w:space="0" w:color="A6A6A6" w:themeColor="background1" w:themeShade="A6"/>
              <w:bottom w:val="single" w:sz="4" w:space="0" w:color="A6A6A6" w:themeColor="background1" w:themeShade="A6"/>
            </w:tcBorders>
          </w:tcPr>
          <w:p w14:paraId="087EE862" w14:textId="77777777" w:rsidR="00FA7EBF" w:rsidRPr="007939DD" w:rsidRDefault="00FA7EBF" w:rsidP="007B207C">
            <w:pPr>
              <w:pStyle w:val="ARfintablebody"/>
              <w:rPr>
                <w:lang w:eastAsia="en-AU"/>
              </w:rPr>
            </w:pPr>
            <w:r w:rsidRPr="00162E4C">
              <w:t xml:space="preserve">Cash and deposits </w:t>
            </w:r>
            <w:r w:rsidRPr="00DB5DE8">
              <w:rPr>
                <w:rStyle w:val="Superscript"/>
              </w:rPr>
              <w:t>(i)</w:t>
            </w:r>
          </w:p>
        </w:tc>
        <w:tc>
          <w:tcPr>
            <w:tcW w:w="1129" w:type="dxa"/>
            <w:tcBorders>
              <w:top w:val="single" w:sz="4" w:space="0" w:color="A6A6A6" w:themeColor="background1" w:themeShade="A6"/>
              <w:bottom w:val="single" w:sz="4" w:space="0" w:color="A6A6A6" w:themeColor="background1" w:themeShade="A6"/>
            </w:tcBorders>
          </w:tcPr>
          <w:p w14:paraId="07A5BCFD" w14:textId="77777777" w:rsidR="00FA7EBF" w:rsidRPr="007939DD" w:rsidRDefault="00FA7EBF" w:rsidP="007B207C">
            <w:pPr>
              <w:pStyle w:val="ARfintablebodyright"/>
              <w:rPr>
                <w:lang w:eastAsia="en-AU"/>
              </w:rPr>
            </w:pPr>
            <w:r w:rsidRPr="00162E4C">
              <w:t>799.9</w:t>
            </w:r>
          </w:p>
        </w:tc>
        <w:tc>
          <w:tcPr>
            <w:tcW w:w="1135" w:type="dxa"/>
            <w:tcBorders>
              <w:top w:val="single" w:sz="4" w:space="0" w:color="A6A6A6" w:themeColor="background1" w:themeShade="A6"/>
              <w:bottom w:val="single" w:sz="4" w:space="0" w:color="A6A6A6" w:themeColor="background1" w:themeShade="A6"/>
            </w:tcBorders>
          </w:tcPr>
          <w:p w14:paraId="7C4FF106" w14:textId="77777777" w:rsidR="00FA7EBF" w:rsidRPr="007939DD" w:rsidRDefault="00FA7EBF" w:rsidP="007B207C">
            <w:pPr>
              <w:pStyle w:val="ARfintablebodyright"/>
              <w:rPr>
                <w:lang w:eastAsia="en-AU"/>
              </w:rPr>
            </w:pPr>
            <w:r w:rsidRPr="00162E4C">
              <w:t>(0.1)</w:t>
            </w:r>
          </w:p>
        </w:tc>
        <w:tc>
          <w:tcPr>
            <w:tcW w:w="1135" w:type="dxa"/>
            <w:tcBorders>
              <w:top w:val="single" w:sz="4" w:space="0" w:color="A6A6A6" w:themeColor="background1" w:themeShade="A6"/>
              <w:bottom w:val="single" w:sz="4" w:space="0" w:color="A6A6A6" w:themeColor="background1" w:themeShade="A6"/>
            </w:tcBorders>
          </w:tcPr>
          <w:p w14:paraId="21DE7F73" w14:textId="77777777" w:rsidR="00FA7EBF" w:rsidRPr="007939DD" w:rsidRDefault="00FA7EBF" w:rsidP="007B207C">
            <w:pPr>
              <w:pStyle w:val="ARfintablebodyright"/>
              <w:rPr>
                <w:lang w:eastAsia="en-AU"/>
              </w:rPr>
            </w:pPr>
            <w:r w:rsidRPr="00162E4C">
              <w:t>0.1</w:t>
            </w:r>
          </w:p>
        </w:tc>
        <w:tc>
          <w:tcPr>
            <w:tcW w:w="1135" w:type="dxa"/>
            <w:tcBorders>
              <w:top w:val="single" w:sz="4" w:space="0" w:color="A6A6A6" w:themeColor="background1" w:themeShade="A6"/>
              <w:bottom w:val="single" w:sz="4" w:space="0" w:color="A6A6A6" w:themeColor="background1" w:themeShade="A6"/>
            </w:tcBorders>
          </w:tcPr>
          <w:p w14:paraId="6FCC1373" w14:textId="77777777" w:rsidR="00FA7EBF" w:rsidRPr="007939DD" w:rsidRDefault="00FA7EBF" w:rsidP="007B207C">
            <w:pPr>
              <w:pStyle w:val="ARfintablebodyright"/>
              <w:rPr>
                <w:lang w:eastAsia="en-AU"/>
              </w:rPr>
            </w:pPr>
            <w:r w:rsidRPr="00162E4C">
              <w:t>–</w:t>
            </w:r>
          </w:p>
        </w:tc>
        <w:tc>
          <w:tcPr>
            <w:tcW w:w="1135" w:type="dxa"/>
            <w:tcBorders>
              <w:top w:val="single" w:sz="4" w:space="0" w:color="A6A6A6" w:themeColor="background1" w:themeShade="A6"/>
              <w:bottom w:val="single" w:sz="4" w:space="0" w:color="A6A6A6" w:themeColor="background1" w:themeShade="A6"/>
            </w:tcBorders>
          </w:tcPr>
          <w:p w14:paraId="03131738" w14:textId="77777777" w:rsidR="00FA7EBF" w:rsidRPr="007939DD" w:rsidRDefault="00FA7EBF" w:rsidP="007B207C">
            <w:pPr>
              <w:pStyle w:val="ARfintablebodyright"/>
              <w:rPr>
                <w:lang w:eastAsia="en-AU"/>
              </w:rPr>
            </w:pPr>
            <w:r w:rsidRPr="00162E4C">
              <w:t>–</w:t>
            </w:r>
          </w:p>
        </w:tc>
      </w:tr>
      <w:tr w:rsidR="00FA7EBF" w:rsidRPr="007939DD" w14:paraId="08A33426" w14:textId="77777777" w:rsidTr="007B207C">
        <w:trPr>
          <w:cantSplit/>
        </w:trPr>
        <w:tc>
          <w:tcPr>
            <w:tcW w:w="3970" w:type="dxa"/>
            <w:tcBorders>
              <w:top w:val="single" w:sz="4" w:space="0" w:color="A6A6A6" w:themeColor="background1" w:themeShade="A6"/>
              <w:bottom w:val="single" w:sz="4" w:space="0" w:color="A6A6A6" w:themeColor="background1" w:themeShade="A6"/>
            </w:tcBorders>
          </w:tcPr>
          <w:p w14:paraId="3FCA21DC" w14:textId="77777777" w:rsidR="00FA7EBF" w:rsidRPr="007939DD" w:rsidRDefault="00FA7EBF" w:rsidP="007B207C">
            <w:pPr>
              <w:pStyle w:val="ARfintablebody"/>
              <w:rPr>
                <w:lang w:eastAsia="en-AU"/>
              </w:rPr>
            </w:pPr>
            <w:r w:rsidRPr="00162E4C">
              <w:t xml:space="preserve">Receivables </w:t>
            </w:r>
            <w:r w:rsidRPr="00DB5DE8">
              <w:rPr>
                <w:rStyle w:val="Superscript"/>
              </w:rPr>
              <w:t>(ii)(iii)</w:t>
            </w:r>
          </w:p>
        </w:tc>
        <w:tc>
          <w:tcPr>
            <w:tcW w:w="1129" w:type="dxa"/>
            <w:tcBorders>
              <w:top w:val="single" w:sz="4" w:space="0" w:color="A6A6A6" w:themeColor="background1" w:themeShade="A6"/>
              <w:bottom w:val="single" w:sz="4" w:space="0" w:color="A6A6A6" w:themeColor="background1" w:themeShade="A6"/>
            </w:tcBorders>
          </w:tcPr>
          <w:p w14:paraId="4881BD74" w14:textId="77777777" w:rsidR="00FA7EBF" w:rsidRPr="007939DD" w:rsidRDefault="00FA7EBF" w:rsidP="007B207C">
            <w:pPr>
              <w:pStyle w:val="ARfintablebodyright"/>
              <w:rPr>
                <w:lang w:eastAsia="en-AU"/>
              </w:rPr>
            </w:pPr>
            <w:r w:rsidRPr="00162E4C">
              <w:t>325.0</w:t>
            </w:r>
          </w:p>
        </w:tc>
        <w:tc>
          <w:tcPr>
            <w:tcW w:w="1135" w:type="dxa"/>
            <w:tcBorders>
              <w:top w:val="single" w:sz="4" w:space="0" w:color="A6A6A6" w:themeColor="background1" w:themeShade="A6"/>
              <w:bottom w:val="single" w:sz="4" w:space="0" w:color="A6A6A6" w:themeColor="background1" w:themeShade="A6"/>
            </w:tcBorders>
          </w:tcPr>
          <w:p w14:paraId="344DDE63" w14:textId="77777777" w:rsidR="00FA7EBF" w:rsidRPr="007939DD" w:rsidRDefault="00FA7EBF" w:rsidP="007B207C">
            <w:pPr>
              <w:pStyle w:val="ARfintablebodyright"/>
              <w:rPr>
                <w:lang w:eastAsia="en-AU"/>
              </w:rPr>
            </w:pPr>
            <w:r w:rsidRPr="00162E4C">
              <w:t>–</w:t>
            </w:r>
          </w:p>
        </w:tc>
        <w:tc>
          <w:tcPr>
            <w:tcW w:w="1135" w:type="dxa"/>
            <w:tcBorders>
              <w:top w:val="single" w:sz="4" w:space="0" w:color="A6A6A6" w:themeColor="background1" w:themeShade="A6"/>
              <w:bottom w:val="single" w:sz="4" w:space="0" w:color="A6A6A6" w:themeColor="background1" w:themeShade="A6"/>
            </w:tcBorders>
          </w:tcPr>
          <w:p w14:paraId="2A594E3D" w14:textId="77777777" w:rsidR="00FA7EBF" w:rsidRPr="007939DD" w:rsidRDefault="00FA7EBF" w:rsidP="007B207C">
            <w:pPr>
              <w:pStyle w:val="ARfintablebodyright"/>
              <w:rPr>
                <w:lang w:eastAsia="en-AU"/>
              </w:rPr>
            </w:pPr>
            <w:r w:rsidRPr="00162E4C">
              <w:t>–</w:t>
            </w:r>
          </w:p>
        </w:tc>
        <w:tc>
          <w:tcPr>
            <w:tcW w:w="1135" w:type="dxa"/>
            <w:tcBorders>
              <w:top w:val="single" w:sz="4" w:space="0" w:color="A6A6A6" w:themeColor="background1" w:themeShade="A6"/>
              <w:bottom w:val="single" w:sz="4" w:space="0" w:color="A6A6A6" w:themeColor="background1" w:themeShade="A6"/>
            </w:tcBorders>
          </w:tcPr>
          <w:p w14:paraId="3F1B3E92" w14:textId="77777777" w:rsidR="00FA7EBF" w:rsidRPr="007939DD" w:rsidRDefault="00FA7EBF" w:rsidP="007B207C">
            <w:pPr>
              <w:pStyle w:val="ARfintablebodyright"/>
              <w:rPr>
                <w:lang w:eastAsia="en-AU"/>
              </w:rPr>
            </w:pPr>
            <w:r w:rsidRPr="00162E4C">
              <w:t>–</w:t>
            </w:r>
          </w:p>
        </w:tc>
        <w:tc>
          <w:tcPr>
            <w:tcW w:w="1135" w:type="dxa"/>
            <w:tcBorders>
              <w:top w:val="single" w:sz="4" w:space="0" w:color="A6A6A6" w:themeColor="background1" w:themeShade="A6"/>
              <w:bottom w:val="single" w:sz="4" w:space="0" w:color="A6A6A6" w:themeColor="background1" w:themeShade="A6"/>
            </w:tcBorders>
          </w:tcPr>
          <w:p w14:paraId="133C3AA9" w14:textId="77777777" w:rsidR="00FA7EBF" w:rsidRPr="007939DD" w:rsidRDefault="00FA7EBF" w:rsidP="007B207C">
            <w:pPr>
              <w:pStyle w:val="ARfintablebodyright"/>
              <w:rPr>
                <w:lang w:eastAsia="en-AU"/>
              </w:rPr>
            </w:pPr>
            <w:r w:rsidRPr="00162E4C">
              <w:t>–</w:t>
            </w:r>
          </w:p>
        </w:tc>
      </w:tr>
      <w:tr w:rsidR="00FA7EBF" w:rsidRPr="007939DD" w14:paraId="4B68C014" w14:textId="77777777" w:rsidTr="007B207C">
        <w:trPr>
          <w:cantSplit/>
        </w:trPr>
        <w:tc>
          <w:tcPr>
            <w:tcW w:w="3970" w:type="dxa"/>
            <w:tcBorders>
              <w:top w:val="single" w:sz="4" w:space="0" w:color="A6A6A6" w:themeColor="background1" w:themeShade="A6"/>
              <w:bottom w:val="single" w:sz="4" w:space="0" w:color="A6A6A6" w:themeColor="background1" w:themeShade="A6"/>
            </w:tcBorders>
          </w:tcPr>
          <w:p w14:paraId="7814459B" w14:textId="77777777" w:rsidR="00FA7EBF" w:rsidRPr="007939DD" w:rsidRDefault="00FA7EBF" w:rsidP="007B207C">
            <w:pPr>
              <w:pStyle w:val="ARfintablebody"/>
              <w:rPr>
                <w:lang w:eastAsia="en-AU"/>
              </w:rPr>
            </w:pPr>
            <w:r w:rsidRPr="00162E4C">
              <w:t xml:space="preserve">Loans </w:t>
            </w:r>
            <w:r w:rsidRPr="00DB5DE8">
              <w:rPr>
                <w:rStyle w:val="Superscript"/>
              </w:rPr>
              <w:t>(iii)</w:t>
            </w:r>
          </w:p>
        </w:tc>
        <w:tc>
          <w:tcPr>
            <w:tcW w:w="1129" w:type="dxa"/>
            <w:tcBorders>
              <w:top w:val="single" w:sz="4" w:space="0" w:color="A6A6A6" w:themeColor="background1" w:themeShade="A6"/>
              <w:bottom w:val="single" w:sz="4" w:space="0" w:color="A6A6A6" w:themeColor="background1" w:themeShade="A6"/>
            </w:tcBorders>
          </w:tcPr>
          <w:p w14:paraId="3CBF472A" w14:textId="77777777" w:rsidR="00FA7EBF" w:rsidRPr="007939DD" w:rsidRDefault="00FA7EBF" w:rsidP="007B207C">
            <w:pPr>
              <w:pStyle w:val="ARfintablebodyright"/>
              <w:rPr>
                <w:lang w:eastAsia="en-AU"/>
              </w:rPr>
            </w:pPr>
            <w:r w:rsidRPr="00162E4C">
              <w:t>94.9</w:t>
            </w:r>
          </w:p>
        </w:tc>
        <w:tc>
          <w:tcPr>
            <w:tcW w:w="1135" w:type="dxa"/>
            <w:tcBorders>
              <w:top w:val="single" w:sz="4" w:space="0" w:color="A6A6A6" w:themeColor="background1" w:themeShade="A6"/>
              <w:bottom w:val="single" w:sz="4" w:space="0" w:color="A6A6A6" w:themeColor="background1" w:themeShade="A6"/>
            </w:tcBorders>
          </w:tcPr>
          <w:p w14:paraId="1119F9D7" w14:textId="77777777" w:rsidR="00FA7EBF" w:rsidRPr="007939DD" w:rsidRDefault="00FA7EBF" w:rsidP="007B207C">
            <w:pPr>
              <w:pStyle w:val="ARfintablebodyright"/>
              <w:rPr>
                <w:lang w:eastAsia="en-AU"/>
              </w:rPr>
            </w:pPr>
            <w:r w:rsidRPr="00162E4C">
              <w:t>(0.1)</w:t>
            </w:r>
          </w:p>
        </w:tc>
        <w:tc>
          <w:tcPr>
            <w:tcW w:w="1135" w:type="dxa"/>
            <w:tcBorders>
              <w:top w:val="single" w:sz="4" w:space="0" w:color="A6A6A6" w:themeColor="background1" w:themeShade="A6"/>
              <w:bottom w:val="single" w:sz="4" w:space="0" w:color="A6A6A6" w:themeColor="background1" w:themeShade="A6"/>
            </w:tcBorders>
          </w:tcPr>
          <w:p w14:paraId="2C926FF1" w14:textId="77777777" w:rsidR="00FA7EBF" w:rsidRPr="007939DD" w:rsidRDefault="00FA7EBF" w:rsidP="007B207C">
            <w:pPr>
              <w:pStyle w:val="ARfintablebodyright"/>
              <w:rPr>
                <w:lang w:eastAsia="en-AU"/>
              </w:rPr>
            </w:pPr>
            <w:r w:rsidRPr="00162E4C">
              <w:t>0.1</w:t>
            </w:r>
          </w:p>
        </w:tc>
        <w:tc>
          <w:tcPr>
            <w:tcW w:w="1135" w:type="dxa"/>
            <w:tcBorders>
              <w:top w:val="single" w:sz="4" w:space="0" w:color="A6A6A6" w:themeColor="background1" w:themeShade="A6"/>
              <w:bottom w:val="single" w:sz="4" w:space="0" w:color="A6A6A6" w:themeColor="background1" w:themeShade="A6"/>
            </w:tcBorders>
          </w:tcPr>
          <w:p w14:paraId="08DD4B4B" w14:textId="77777777" w:rsidR="00FA7EBF" w:rsidRPr="007939DD" w:rsidRDefault="00FA7EBF" w:rsidP="007B207C">
            <w:pPr>
              <w:pStyle w:val="ARfintablebodyright"/>
              <w:rPr>
                <w:lang w:eastAsia="en-AU"/>
              </w:rPr>
            </w:pPr>
            <w:r w:rsidRPr="00162E4C">
              <w:t xml:space="preserve"> –</w:t>
            </w:r>
          </w:p>
        </w:tc>
        <w:tc>
          <w:tcPr>
            <w:tcW w:w="1135" w:type="dxa"/>
            <w:tcBorders>
              <w:top w:val="single" w:sz="4" w:space="0" w:color="A6A6A6" w:themeColor="background1" w:themeShade="A6"/>
              <w:bottom w:val="single" w:sz="4" w:space="0" w:color="A6A6A6" w:themeColor="background1" w:themeShade="A6"/>
            </w:tcBorders>
          </w:tcPr>
          <w:p w14:paraId="2C9E2E73" w14:textId="77777777" w:rsidR="00FA7EBF" w:rsidRPr="007939DD" w:rsidRDefault="00FA7EBF" w:rsidP="007B207C">
            <w:pPr>
              <w:pStyle w:val="ARfintablebodyright"/>
              <w:rPr>
                <w:lang w:eastAsia="en-AU"/>
              </w:rPr>
            </w:pPr>
            <w:r w:rsidRPr="00162E4C">
              <w:t>0.2</w:t>
            </w:r>
          </w:p>
        </w:tc>
      </w:tr>
      <w:tr w:rsidR="00FA7EBF" w:rsidRPr="007939DD" w14:paraId="4439E6F8" w14:textId="77777777" w:rsidTr="007B207C">
        <w:trPr>
          <w:cantSplit/>
        </w:trPr>
        <w:tc>
          <w:tcPr>
            <w:tcW w:w="3970" w:type="dxa"/>
            <w:tcBorders>
              <w:top w:val="single" w:sz="4" w:space="0" w:color="A6A6A6" w:themeColor="background1" w:themeShade="A6"/>
            </w:tcBorders>
          </w:tcPr>
          <w:p w14:paraId="0C9D91FD" w14:textId="77777777" w:rsidR="00FA7EBF" w:rsidRPr="007939DD" w:rsidRDefault="00FA7EBF" w:rsidP="007B207C">
            <w:pPr>
              <w:pStyle w:val="ARfintablebody"/>
              <w:rPr>
                <w:lang w:eastAsia="en-AU"/>
              </w:rPr>
            </w:pPr>
            <w:r w:rsidRPr="00162E4C">
              <w:t>Short-term investments – term deposits</w:t>
            </w:r>
          </w:p>
        </w:tc>
        <w:tc>
          <w:tcPr>
            <w:tcW w:w="1129" w:type="dxa"/>
            <w:tcBorders>
              <w:top w:val="single" w:sz="4" w:space="0" w:color="A6A6A6" w:themeColor="background1" w:themeShade="A6"/>
            </w:tcBorders>
          </w:tcPr>
          <w:p w14:paraId="13F65EC5" w14:textId="77777777" w:rsidR="00FA7EBF" w:rsidRPr="007939DD" w:rsidRDefault="00FA7EBF" w:rsidP="007B207C">
            <w:pPr>
              <w:pStyle w:val="ARfintablebodyright"/>
              <w:rPr>
                <w:lang w:eastAsia="en-AU"/>
              </w:rPr>
            </w:pPr>
            <w:r w:rsidRPr="00162E4C">
              <w:t>100.0</w:t>
            </w:r>
          </w:p>
        </w:tc>
        <w:tc>
          <w:tcPr>
            <w:tcW w:w="1135" w:type="dxa"/>
            <w:tcBorders>
              <w:top w:val="single" w:sz="4" w:space="0" w:color="A6A6A6" w:themeColor="background1" w:themeShade="A6"/>
            </w:tcBorders>
          </w:tcPr>
          <w:p w14:paraId="6D9E6675" w14:textId="77777777" w:rsidR="00FA7EBF" w:rsidRPr="007939DD" w:rsidRDefault="00FA7EBF" w:rsidP="007B207C">
            <w:pPr>
              <w:pStyle w:val="ARfintablebodyright"/>
              <w:rPr>
                <w:lang w:eastAsia="en-AU"/>
              </w:rPr>
            </w:pPr>
            <w:r w:rsidRPr="00162E4C">
              <w:t>–</w:t>
            </w:r>
          </w:p>
        </w:tc>
        <w:tc>
          <w:tcPr>
            <w:tcW w:w="1135" w:type="dxa"/>
            <w:tcBorders>
              <w:top w:val="single" w:sz="4" w:space="0" w:color="A6A6A6" w:themeColor="background1" w:themeShade="A6"/>
            </w:tcBorders>
          </w:tcPr>
          <w:p w14:paraId="70CD8DDD" w14:textId="77777777" w:rsidR="00FA7EBF" w:rsidRPr="007939DD" w:rsidRDefault="00FA7EBF" w:rsidP="007B207C">
            <w:pPr>
              <w:pStyle w:val="ARfintablebodyright"/>
              <w:rPr>
                <w:lang w:eastAsia="en-AU"/>
              </w:rPr>
            </w:pPr>
            <w:r w:rsidRPr="00162E4C">
              <w:t>–</w:t>
            </w:r>
          </w:p>
        </w:tc>
        <w:tc>
          <w:tcPr>
            <w:tcW w:w="1135" w:type="dxa"/>
            <w:tcBorders>
              <w:top w:val="single" w:sz="4" w:space="0" w:color="A6A6A6" w:themeColor="background1" w:themeShade="A6"/>
            </w:tcBorders>
          </w:tcPr>
          <w:p w14:paraId="18C83EC4" w14:textId="77777777" w:rsidR="00FA7EBF" w:rsidRPr="007939DD" w:rsidRDefault="00FA7EBF" w:rsidP="007B207C">
            <w:pPr>
              <w:pStyle w:val="ARfintablebodyright"/>
              <w:rPr>
                <w:lang w:eastAsia="en-AU"/>
              </w:rPr>
            </w:pPr>
            <w:r w:rsidRPr="00162E4C">
              <w:t>–</w:t>
            </w:r>
          </w:p>
        </w:tc>
        <w:tc>
          <w:tcPr>
            <w:tcW w:w="1135" w:type="dxa"/>
            <w:tcBorders>
              <w:top w:val="single" w:sz="4" w:space="0" w:color="A6A6A6" w:themeColor="background1" w:themeShade="A6"/>
            </w:tcBorders>
          </w:tcPr>
          <w:p w14:paraId="551C92D5" w14:textId="77777777" w:rsidR="00FA7EBF" w:rsidRPr="007939DD" w:rsidRDefault="00FA7EBF" w:rsidP="007B207C">
            <w:pPr>
              <w:pStyle w:val="ARfintablebodyright"/>
              <w:rPr>
                <w:lang w:eastAsia="en-AU"/>
              </w:rPr>
            </w:pPr>
            <w:r w:rsidRPr="00162E4C">
              <w:t>–</w:t>
            </w:r>
          </w:p>
        </w:tc>
      </w:tr>
      <w:tr w:rsidR="00FA7EBF" w:rsidRPr="007939DD" w14:paraId="5D4B445C" w14:textId="77777777" w:rsidTr="007B207C">
        <w:trPr>
          <w:cantSplit/>
        </w:trPr>
        <w:tc>
          <w:tcPr>
            <w:tcW w:w="3970" w:type="dxa"/>
          </w:tcPr>
          <w:p w14:paraId="7C5EA004" w14:textId="77777777" w:rsidR="00FA7EBF" w:rsidRPr="007939DD" w:rsidRDefault="00FA7EBF" w:rsidP="007B207C">
            <w:pPr>
              <w:pStyle w:val="ARfintablebodybold"/>
              <w:rPr>
                <w:rStyle w:val="Strong"/>
              </w:rPr>
            </w:pPr>
            <w:r w:rsidRPr="00162E4C">
              <w:t>Total impact</w:t>
            </w:r>
          </w:p>
        </w:tc>
        <w:tc>
          <w:tcPr>
            <w:tcW w:w="1129" w:type="dxa"/>
          </w:tcPr>
          <w:p w14:paraId="552DB72F" w14:textId="77777777" w:rsidR="00FA7EBF" w:rsidRPr="007939DD" w:rsidRDefault="00FA7EBF" w:rsidP="007B207C">
            <w:pPr>
              <w:pStyle w:val="ARfintablebodyrightbold"/>
              <w:rPr>
                <w:lang w:eastAsia="en-AU"/>
              </w:rPr>
            </w:pPr>
            <w:r w:rsidRPr="00162E4C">
              <w:t>1,319.8</w:t>
            </w:r>
          </w:p>
        </w:tc>
        <w:tc>
          <w:tcPr>
            <w:tcW w:w="1135" w:type="dxa"/>
          </w:tcPr>
          <w:p w14:paraId="55D9581F" w14:textId="77777777" w:rsidR="00FA7EBF" w:rsidRPr="007939DD" w:rsidRDefault="00FA7EBF" w:rsidP="007B207C">
            <w:pPr>
              <w:pStyle w:val="ARfintablebodyrightbold"/>
              <w:rPr>
                <w:lang w:eastAsia="en-AU"/>
              </w:rPr>
            </w:pPr>
            <w:r w:rsidRPr="00162E4C">
              <w:t>(0.1)</w:t>
            </w:r>
          </w:p>
        </w:tc>
        <w:tc>
          <w:tcPr>
            <w:tcW w:w="1135" w:type="dxa"/>
          </w:tcPr>
          <w:p w14:paraId="0E167322" w14:textId="77777777" w:rsidR="00FA7EBF" w:rsidRPr="007939DD" w:rsidRDefault="00FA7EBF" w:rsidP="007B207C">
            <w:pPr>
              <w:pStyle w:val="ARfintablebodyrightbold"/>
              <w:rPr>
                <w:lang w:eastAsia="en-AU"/>
              </w:rPr>
            </w:pPr>
            <w:r w:rsidRPr="00162E4C">
              <w:t>0.1</w:t>
            </w:r>
          </w:p>
        </w:tc>
        <w:tc>
          <w:tcPr>
            <w:tcW w:w="1135" w:type="dxa"/>
          </w:tcPr>
          <w:p w14:paraId="0E4B98FA" w14:textId="77777777" w:rsidR="00FA7EBF" w:rsidRPr="007939DD" w:rsidRDefault="00FA7EBF" w:rsidP="007B207C">
            <w:pPr>
              <w:pStyle w:val="ARfintablebodyrightbold"/>
              <w:rPr>
                <w:lang w:eastAsia="en-AU"/>
              </w:rPr>
            </w:pPr>
            <w:r w:rsidRPr="00162E4C">
              <w:t xml:space="preserve"> –</w:t>
            </w:r>
          </w:p>
        </w:tc>
        <w:tc>
          <w:tcPr>
            <w:tcW w:w="1135" w:type="dxa"/>
          </w:tcPr>
          <w:p w14:paraId="05385616" w14:textId="77777777" w:rsidR="00FA7EBF" w:rsidRPr="007939DD" w:rsidRDefault="00FA7EBF" w:rsidP="007B207C">
            <w:pPr>
              <w:pStyle w:val="ARfintablebodyrightbold"/>
              <w:rPr>
                <w:rStyle w:val="Strong"/>
              </w:rPr>
            </w:pPr>
            <w:r w:rsidRPr="00162E4C">
              <w:t>0.2</w:t>
            </w:r>
          </w:p>
        </w:tc>
      </w:tr>
      <w:tr w:rsidR="00FA7EBF" w:rsidRPr="007939DD" w14:paraId="781F7608" w14:textId="77777777" w:rsidTr="007B207C">
        <w:trPr>
          <w:cantSplit/>
        </w:trPr>
        <w:tc>
          <w:tcPr>
            <w:tcW w:w="9639" w:type="dxa"/>
            <w:gridSpan w:val="6"/>
            <w:tcBorders>
              <w:bottom w:val="single" w:sz="4" w:space="0" w:color="A6A6A6" w:themeColor="background1" w:themeShade="A6"/>
            </w:tcBorders>
          </w:tcPr>
          <w:p w14:paraId="2B8A6A5F" w14:textId="77777777" w:rsidR="00FA7EBF" w:rsidRPr="007939DD" w:rsidRDefault="00FA7EBF" w:rsidP="007B207C">
            <w:pPr>
              <w:pStyle w:val="ARfintablebodybold"/>
              <w:rPr>
                <w:lang w:eastAsia="en-AU"/>
              </w:rPr>
            </w:pPr>
            <w:r w:rsidRPr="00162E4C">
              <w:t>Contractual financial liabilities</w:t>
            </w:r>
          </w:p>
        </w:tc>
      </w:tr>
      <w:tr w:rsidR="00FA7EBF" w:rsidRPr="007939DD" w14:paraId="41801402" w14:textId="77777777" w:rsidTr="007B207C">
        <w:trPr>
          <w:cantSplit/>
        </w:trPr>
        <w:tc>
          <w:tcPr>
            <w:tcW w:w="3970" w:type="dxa"/>
            <w:tcBorders>
              <w:top w:val="single" w:sz="4" w:space="0" w:color="A6A6A6" w:themeColor="background1" w:themeShade="A6"/>
              <w:bottom w:val="single" w:sz="4" w:space="0" w:color="A6A6A6" w:themeColor="background1" w:themeShade="A6"/>
            </w:tcBorders>
          </w:tcPr>
          <w:p w14:paraId="6A000199" w14:textId="77777777" w:rsidR="00FA7EBF" w:rsidRPr="007939DD" w:rsidRDefault="00FA7EBF" w:rsidP="007B207C">
            <w:pPr>
              <w:pStyle w:val="ARfintablebody"/>
              <w:rPr>
                <w:lang w:eastAsia="en-AU"/>
              </w:rPr>
            </w:pPr>
            <w:r w:rsidRPr="00162E4C">
              <w:t xml:space="preserve">Payables </w:t>
            </w:r>
            <w:r w:rsidRPr="00DB5DE8">
              <w:rPr>
                <w:rStyle w:val="Superscript"/>
              </w:rPr>
              <w:t>(iii)</w:t>
            </w:r>
          </w:p>
        </w:tc>
        <w:tc>
          <w:tcPr>
            <w:tcW w:w="1129" w:type="dxa"/>
            <w:tcBorders>
              <w:top w:val="single" w:sz="4" w:space="0" w:color="A6A6A6" w:themeColor="background1" w:themeShade="A6"/>
              <w:bottom w:val="single" w:sz="4" w:space="0" w:color="A6A6A6" w:themeColor="background1" w:themeShade="A6"/>
            </w:tcBorders>
          </w:tcPr>
          <w:p w14:paraId="1D4A2B9E" w14:textId="77777777" w:rsidR="00FA7EBF" w:rsidRPr="007939DD" w:rsidRDefault="00FA7EBF" w:rsidP="007B207C">
            <w:pPr>
              <w:pStyle w:val="ARfintablebodyright"/>
              <w:rPr>
                <w:lang w:eastAsia="en-AU"/>
              </w:rPr>
            </w:pPr>
            <w:r w:rsidRPr="00162E4C">
              <w:t>1,513.5</w:t>
            </w:r>
          </w:p>
        </w:tc>
        <w:tc>
          <w:tcPr>
            <w:tcW w:w="1135" w:type="dxa"/>
            <w:tcBorders>
              <w:top w:val="single" w:sz="4" w:space="0" w:color="A6A6A6" w:themeColor="background1" w:themeShade="A6"/>
              <w:bottom w:val="single" w:sz="4" w:space="0" w:color="A6A6A6" w:themeColor="background1" w:themeShade="A6"/>
            </w:tcBorders>
          </w:tcPr>
          <w:p w14:paraId="4178087E" w14:textId="77777777" w:rsidR="00FA7EBF" w:rsidRPr="007939DD" w:rsidRDefault="00FA7EBF" w:rsidP="007B207C">
            <w:pPr>
              <w:pStyle w:val="ARfintablebodyright"/>
              <w:rPr>
                <w:lang w:eastAsia="en-AU"/>
              </w:rPr>
            </w:pPr>
            <w:r w:rsidRPr="00162E4C">
              <w:t>–</w:t>
            </w:r>
          </w:p>
        </w:tc>
        <w:tc>
          <w:tcPr>
            <w:tcW w:w="1135" w:type="dxa"/>
            <w:tcBorders>
              <w:top w:val="single" w:sz="4" w:space="0" w:color="A6A6A6" w:themeColor="background1" w:themeShade="A6"/>
              <w:bottom w:val="single" w:sz="4" w:space="0" w:color="A6A6A6" w:themeColor="background1" w:themeShade="A6"/>
            </w:tcBorders>
          </w:tcPr>
          <w:p w14:paraId="34EA972D" w14:textId="77777777" w:rsidR="00FA7EBF" w:rsidRPr="007939DD" w:rsidRDefault="00FA7EBF" w:rsidP="007B207C">
            <w:pPr>
              <w:pStyle w:val="ARfintablebodyright"/>
              <w:rPr>
                <w:lang w:eastAsia="en-AU"/>
              </w:rPr>
            </w:pPr>
            <w:r w:rsidRPr="00162E4C">
              <w:t>–</w:t>
            </w:r>
          </w:p>
        </w:tc>
        <w:tc>
          <w:tcPr>
            <w:tcW w:w="1135" w:type="dxa"/>
            <w:tcBorders>
              <w:top w:val="single" w:sz="4" w:space="0" w:color="A6A6A6" w:themeColor="background1" w:themeShade="A6"/>
              <w:bottom w:val="single" w:sz="4" w:space="0" w:color="A6A6A6" w:themeColor="background1" w:themeShade="A6"/>
            </w:tcBorders>
          </w:tcPr>
          <w:p w14:paraId="26B6652D" w14:textId="77777777" w:rsidR="00FA7EBF" w:rsidRPr="007939DD" w:rsidRDefault="00FA7EBF" w:rsidP="007B207C">
            <w:pPr>
              <w:pStyle w:val="ARfintablebodyright"/>
              <w:rPr>
                <w:lang w:eastAsia="en-AU"/>
              </w:rPr>
            </w:pPr>
            <w:r w:rsidRPr="00162E4C">
              <w:t>–</w:t>
            </w:r>
          </w:p>
        </w:tc>
        <w:tc>
          <w:tcPr>
            <w:tcW w:w="1135" w:type="dxa"/>
            <w:tcBorders>
              <w:top w:val="single" w:sz="4" w:space="0" w:color="A6A6A6" w:themeColor="background1" w:themeShade="A6"/>
              <w:bottom w:val="single" w:sz="4" w:space="0" w:color="A6A6A6" w:themeColor="background1" w:themeShade="A6"/>
            </w:tcBorders>
          </w:tcPr>
          <w:p w14:paraId="3E54424B" w14:textId="77777777" w:rsidR="00FA7EBF" w:rsidRPr="007939DD" w:rsidRDefault="00FA7EBF" w:rsidP="007B207C">
            <w:pPr>
              <w:pStyle w:val="ARfintablebodyright"/>
              <w:rPr>
                <w:lang w:eastAsia="en-AU"/>
              </w:rPr>
            </w:pPr>
            <w:r w:rsidRPr="00162E4C">
              <w:t>–</w:t>
            </w:r>
          </w:p>
        </w:tc>
      </w:tr>
      <w:tr w:rsidR="00FA7EBF" w:rsidRPr="007939DD" w14:paraId="3F1AB636" w14:textId="77777777" w:rsidTr="007B207C">
        <w:trPr>
          <w:cantSplit/>
        </w:trPr>
        <w:tc>
          <w:tcPr>
            <w:tcW w:w="3970" w:type="dxa"/>
            <w:tcBorders>
              <w:top w:val="single" w:sz="4" w:space="0" w:color="A6A6A6" w:themeColor="background1" w:themeShade="A6"/>
            </w:tcBorders>
          </w:tcPr>
          <w:p w14:paraId="698C659E" w14:textId="77777777" w:rsidR="00FA7EBF" w:rsidRPr="007939DD" w:rsidRDefault="00FA7EBF" w:rsidP="007B207C">
            <w:pPr>
              <w:pStyle w:val="ARfintablebody"/>
              <w:rPr>
                <w:lang w:eastAsia="en-AU"/>
              </w:rPr>
            </w:pPr>
            <w:r w:rsidRPr="00162E4C">
              <w:t xml:space="preserve">Borrowings </w:t>
            </w:r>
            <w:r w:rsidRPr="00DB5DE8">
              <w:rPr>
                <w:rStyle w:val="Superscript"/>
              </w:rPr>
              <w:t>(iv)</w:t>
            </w:r>
          </w:p>
        </w:tc>
        <w:tc>
          <w:tcPr>
            <w:tcW w:w="1129" w:type="dxa"/>
            <w:tcBorders>
              <w:top w:val="single" w:sz="4" w:space="0" w:color="A6A6A6" w:themeColor="background1" w:themeShade="A6"/>
            </w:tcBorders>
          </w:tcPr>
          <w:p w14:paraId="4A2356E2" w14:textId="77777777" w:rsidR="00FA7EBF" w:rsidRPr="007939DD" w:rsidRDefault="00FA7EBF" w:rsidP="007B207C">
            <w:pPr>
              <w:pStyle w:val="ARfintablebodyright"/>
              <w:rPr>
                <w:lang w:eastAsia="en-AU"/>
              </w:rPr>
            </w:pPr>
            <w:r w:rsidRPr="00162E4C">
              <w:t>62.2</w:t>
            </w:r>
          </w:p>
        </w:tc>
        <w:tc>
          <w:tcPr>
            <w:tcW w:w="1135" w:type="dxa"/>
            <w:tcBorders>
              <w:top w:val="single" w:sz="4" w:space="0" w:color="A6A6A6" w:themeColor="background1" w:themeShade="A6"/>
            </w:tcBorders>
          </w:tcPr>
          <w:p w14:paraId="48C8F8F0" w14:textId="77777777" w:rsidR="00FA7EBF" w:rsidRPr="007939DD" w:rsidRDefault="00FA7EBF" w:rsidP="007B207C">
            <w:pPr>
              <w:pStyle w:val="ARfintablebodyright"/>
              <w:rPr>
                <w:lang w:eastAsia="en-AU"/>
              </w:rPr>
            </w:pPr>
            <w:r w:rsidRPr="00162E4C">
              <w:t>–</w:t>
            </w:r>
          </w:p>
        </w:tc>
        <w:tc>
          <w:tcPr>
            <w:tcW w:w="1135" w:type="dxa"/>
            <w:tcBorders>
              <w:top w:val="single" w:sz="4" w:space="0" w:color="A6A6A6" w:themeColor="background1" w:themeShade="A6"/>
            </w:tcBorders>
          </w:tcPr>
          <w:p w14:paraId="6102EB0C" w14:textId="77777777" w:rsidR="00FA7EBF" w:rsidRPr="007939DD" w:rsidRDefault="00FA7EBF" w:rsidP="007B207C">
            <w:pPr>
              <w:pStyle w:val="ARfintablebodyright"/>
              <w:rPr>
                <w:lang w:eastAsia="en-AU"/>
              </w:rPr>
            </w:pPr>
            <w:r w:rsidRPr="00162E4C">
              <w:t>–</w:t>
            </w:r>
          </w:p>
        </w:tc>
        <w:tc>
          <w:tcPr>
            <w:tcW w:w="1135" w:type="dxa"/>
            <w:tcBorders>
              <w:top w:val="single" w:sz="4" w:space="0" w:color="A6A6A6" w:themeColor="background1" w:themeShade="A6"/>
            </w:tcBorders>
          </w:tcPr>
          <w:p w14:paraId="48001FB9" w14:textId="77777777" w:rsidR="00FA7EBF" w:rsidRPr="007939DD" w:rsidRDefault="00FA7EBF" w:rsidP="007B207C">
            <w:pPr>
              <w:pStyle w:val="ARfintablebodyright"/>
              <w:rPr>
                <w:lang w:eastAsia="en-AU"/>
              </w:rPr>
            </w:pPr>
            <w:r w:rsidRPr="00162E4C">
              <w:t>–</w:t>
            </w:r>
          </w:p>
        </w:tc>
        <w:tc>
          <w:tcPr>
            <w:tcW w:w="1135" w:type="dxa"/>
            <w:tcBorders>
              <w:top w:val="single" w:sz="4" w:space="0" w:color="A6A6A6" w:themeColor="background1" w:themeShade="A6"/>
            </w:tcBorders>
          </w:tcPr>
          <w:p w14:paraId="47CDD96B" w14:textId="77777777" w:rsidR="00FA7EBF" w:rsidRPr="007939DD" w:rsidRDefault="00FA7EBF" w:rsidP="007B207C">
            <w:pPr>
              <w:pStyle w:val="ARfintablebodyright"/>
              <w:rPr>
                <w:lang w:eastAsia="en-AU"/>
              </w:rPr>
            </w:pPr>
            <w:r w:rsidRPr="00162E4C">
              <w:t>–</w:t>
            </w:r>
          </w:p>
        </w:tc>
      </w:tr>
      <w:tr w:rsidR="00FA7EBF" w:rsidRPr="007939DD" w14:paraId="7039BE3D" w14:textId="77777777" w:rsidTr="007B207C">
        <w:trPr>
          <w:cantSplit/>
        </w:trPr>
        <w:tc>
          <w:tcPr>
            <w:tcW w:w="3970" w:type="dxa"/>
          </w:tcPr>
          <w:p w14:paraId="7ECD155F" w14:textId="77777777" w:rsidR="00FA7EBF" w:rsidRPr="007939DD" w:rsidRDefault="00FA7EBF" w:rsidP="007B207C">
            <w:pPr>
              <w:pStyle w:val="ARfintablebodybold"/>
              <w:rPr>
                <w:rStyle w:val="Strong"/>
              </w:rPr>
            </w:pPr>
            <w:r w:rsidRPr="00162E4C">
              <w:t>Total impact</w:t>
            </w:r>
          </w:p>
        </w:tc>
        <w:tc>
          <w:tcPr>
            <w:tcW w:w="1129" w:type="dxa"/>
          </w:tcPr>
          <w:p w14:paraId="1CB9E2F6" w14:textId="77777777" w:rsidR="00FA7EBF" w:rsidRPr="007939DD" w:rsidRDefault="00FA7EBF" w:rsidP="007B207C">
            <w:pPr>
              <w:pStyle w:val="ARfintablebodyrightbold"/>
              <w:rPr>
                <w:rStyle w:val="Strong"/>
              </w:rPr>
            </w:pPr>
            <w:r w:rsidRPr="00162E4C">
              <w:t>1,575.7</w:t>
            </w:r>
          </w:p>
        </w:tc>
        <w:tc>
          <w:tcPr>
            <w:tcW w:w="1135" w:type="dxa"/>
          </w:tcPr>
          <w:p w14:paraId="2244BE2D" w14:textId="77777777" w:rsidR="00FA7EBF" w:rsidRPr="007939DD" w:rsidRDefault="00FA7EBF" w:rsidP="007B207C">
            <w:pPr>
              <w:pStyle w:val="ARfintablebodyrightbold"/>
              <w:rPr>
                <w:lang w:eastAsia="en-AU"/>
              </w:rPr>
            </w:pPr>
            <w:r w:rsidRPr="00162E4C">
              <w:t>–</w:t>
            </w:r>
          </w:p>
        </w:tc>
        <w:tc>
          <w:tcPr>
            <w:tcW w:w="1135" w:type="dxa"/>
          </w:tcPr>
          <w:p w14:paraId="424090C6" w14:textId="77777777" w:rsidR="00FA7EBF" w:rsidRPr="007939DD" w:rsidRDefault="00FA7EBF" w:rsidP="007B207C">
            <w:pPr>
              <w:pStyle w:val="ARfintablebodyrightbold"/>
              <w:rPr>
                <w:lang w:eastAsia="en-AU"/>
              </w:rPr>
            </w:pPr>
            <w:r w:rsidRPr="00162E4C">
              <w:t>–</w:t>
            </w:r>
          </w:p>
        </w:tc>
        <w:tc>
          <w:tcPr>
            <w:tcW w:w="1135" w:type="dxa"/>
          </w:tcPr>
          <w:p w14:paraId="41FEE042" w14:textId="77777777" w:rsidR="00FA7EBF" w:rsidRPr="007939DD" w:rsidRDefault="00FA7EBF" w:rsidP="007B207C">
            <w:pPr>
              <w:pStyle w:val="ARfintablebodyrightbold"/>
              <w:rPr>
                <w:lang w:eastAsia="en-AU"/>
              </w:rPr>
            </w:pPr>
            <w:r w:rsidRPr="00162E4C">
              <w:t>–</w:t>
            </w:r>
          </w:p>
        </w:tc>
        <w:tc>
          <w:tcPr>
            <w:tcW w:w="1135" w:type="dxa"/>
          </w:tcPr>
          <w:p w14:paraId="69EE2621" w14:textId="77777777" w:rsidR="00FA7EBF" w:rsidRPr="007939DD" w:rsidRDefault="00FA7EBF" w:rsidP="007B207C">
            <w:pPr>
              <w:pStyle w:val="ARfintablebodyrightbold"/>
              <w:rPr>
                <w:rStyle w:val="Strong"/>
              </w:rPr>
            </w:pPr>
            <w:r w:rsidRPr="00162E4C">
              <w:t>–</w:t>
            </w:r>
          </w:p>
        </w:tc>
      </w:tr>
    </w:tbl>
    <w:p w14:paraId="72442CD5" w14:textId="77777777" w:rsidR="00FA7EBF" w:rsidRPr="007939DD" w:rsidRDefault="00FA7EBF" w:rsidP="00CA66FD">
      <w:pPr>
        <w:pStyle w:val="ARfin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3970"/>
        <w:gridCol w:w="1129"/>
        <w:gridCol w:w="1135"/>
        <w:gridCol w:w="1135"/>
        <w:gridCol w:w="1135"/>
        <w:gridCol w:w="1135"/>
      </w:tblGrid>
      <w:tr w:rsidR="00FA7EBF" w:rsidRPr="007939DD" w14:paraId="398557CB" w14:textId="77777777" w:rsidTr="007B207C">
        <w:trPr>
          <w:cantSplit/>
          <w:trHeight w:val="20"/>
          <w:tblHeader/>
        </w:trPr>
        <w:tc>
          <w:tcPr>
            <w:tcW w:w="3970" w:type="dxa"/>
            <w:vMerge w:val="restart"/>
            <w:vAlign w:val="bottom"/>
          </w:tcPr>
          <w:p w14:paraId="3C78DF31" w14:textId="77777777" w:rsidR="00FA7EBF" w:rsidRPr="007939DD" w:rsidRDefault="00FA7EBF" w:rsidP="007B207C">
            <w:pPr>
              <w:pStyle w:val="ARfintablecolhead"/>
            </w:pPr>
            <w:r>
              <w:t>2018</w:t>
            </w:r>
          </w:p>
        </w:tc>
        <w:tc>
          <w:tcPr>
            <w:tcW w:w="1129" w:type="dxa"/>
            <w:vMerge w:val="restart"/>
            <w:vAlign w:val="bottom"/>
          </w:tcPr>
          <w:p w14:paraId="04171F5D" w14:textId="77777777" w:rsidR="00FA7EBF" w:rsidRPr="007939DD" w:rsidRDefault="00FA7EBF" w:rsidP="007B207C">
            <w:pPr>
              <w:pStyle w:val="ARfintablecolheadright"/>
            </w:pPr>
            <w:r w:rsidRPr="007939DD">
              <w:t>Carrying amount</w:t>
            </w:r>
          </w:p>
          <w:p w14:paraId="061AEDFB" w14:textId="77777777" w:rsidR="00FA7EBF" w:rsidRPr="007939DD" w:rsidRDefault="00FA7EBF" w:rsidP="007B207C">
            <w:pPr>
              <w:pStyle w:val="ARfintablecolheadright"/>
              <w:rPr>
                <w:bCs/>
                <w:color w:val="000000"/>
              </w:rPr>
            </w:pPr>
            <w:r w:rsidRPr="007939DD">
              <w:t>$M</w:t>
            </w:r>
          </w:p>
        </w:tc>
        <w:tc>
          <w:tcPr>
            <w:tcW w:w="2270" w:type="dxa"/>
            <w:gridSpan w:val="2"/>
            <w:vAlign w:val="bottom"/>
          </w:tcPr>
          <w:p w14:paraId="52287CB1" w14:textId="77777777" w:rsidR="00FA7EBF" w:rsidRPr="007939DD" w:rsidRDefault="00FA7EBF" w:rsidP="007B207C">
            <w:pPr>
              <w:pStyle w:val="ARfintablecolheadcentre"/>
            </w:pPr>
            <w:r w:rsidRPr="007939DD">
              <w:t>Interest rate risk</w:t>
            </w:r>
          </w:p>
        </w:tc>
        <w:tc>
          <w:tcPr>
            <w:tcW w:w="2270" w:type="dxa"/>
            <w:gridSpan w:val="2"/>
            <w:vAlign w:val="bottom"/>
          </w:tcPr>
          <w:p w14:paraId="76446937" w14:textId="77777777" w:rsidR="00FA7EBF" w:rsidRPr="007939DD" w:rsidRDefault="00FA7EBF" w:rsidP="007B207C">
            <w:pPr>
              <w:pStyle w:val="ARfintablecolheadcentre"/>
              <w:rPr>
                <w:color w:val="000000"/>
              </w:rPr>
            </w:pPr>
            <w:r w:rsidRPr="007939DD">
              <w:t>Consumer Price Index (CPI)</w:t>
            </w:r>
          </w:p>
        </w:tc>
      </w:tr>
      <w:tr w:rsidR="00FA7EBF" w:rsidRPr="007939DD" w14:paraId="7EC26984" w14:textId="77777777" w:rsidTr="007B207C">
        <w:trPr>
          <w:cantSplit/>
          <w:trHeight w:val="20"/>
          <w:tblHeader/>
        </w:trPr>
        <w:tc>
          <w:tcPr>
            <w:tcW w:w="3970" w:type="dxa"/>
            <w:vMerge/>
            <w:vAlign w:val="bottom"/>
          </w:tcPr>
          <w:p w14:paraId="4B85E77A" w14:textId="77777777" w:rsidR="00FA7EBF" w:rsidRPr="007939DD" w:rsidRDefault="00FA7EBF" w:rsidP="007B207C">
            <w:pPr>
              <w:autoSpaceDE w:val="0"/>
              <w:autoSpaceDN w:val="0"/>
              <w:adjustRightInd w:val="0"/>
              <w:spacing w:beforeLines="40" w:before="96" w:afterLines="20" w:after="48"/>
              <w:jc w:val="right"/>
              <w:rPr>
                <w:rFonts w:cs="Arial"/>
                <w:b/>
                <w:bCs/>
                <w:color w:val="000000"/>
                <w:sz w:val="16"/>
                <w:szCs w:val="16"/>
              </w:rPr>
            </w:pPr>
          </w:p>
        </w:tc>
        <w:tc>
          <w:tcPr>
            <w:tcW w:w="1129" w:type="dxa"/>
            <w:vMerge/>
            <w:vAlign w:val="bottom"/>
          </w:tcPr>
          <w:p w14:paraId="6B0E2044" w14:textId="77777777" w:rsidR="00FA7EBF" w:rsidRPr="007939DD" w:rsidRDefault="00FA7EBF" w:rsidP="007B207C">
            <w:pPr>
              <w:autoSpaceDE w:val="0"/>
              <w:autoSpaceDN w:val="0"/>
              <w:adjustRightInd w:val="0"/>
              <w:spacing w:beforeLines="40" w:before="96" w:afterLines="20" w:after="48"/>
              <w:jc w:val="right"/>
              <w:rPr>
                <w:rFonts w:cs="Arial"/>
                <w:b/>
                <w:bCs/>
                <w:color w:val="000000"/>
                <w:sz w:val="16"/>
                <w:szCs w:val="16"/>
              </w:rPr>
            </w:pPr>
          </w:p>
        </w:tc>
        <w:tc>
          <w:tcPr>
            <w:tcW w:w="1135" w:type="dxa"/>
            <w:vAlign w:val="bottom"/>
          </w:tcPr>
          <w:p w14:paraId="17F8AE97" w14:textId="77777777" w:rsidR="00FA7EBF" w:rsidRPr="007939DD" w:rsidRDefault="00FA7EBF" w:rsidP="007B207C">
            <w:pPr>
              <w:pStyle w:val="ARfintablecolheadright"/>
            </w:pPr>
            <w:r w:rsidRPr="007939DD">
              <w:t>–0.50%</w:t>
            </w:r>
          </w:p>
          <w:p w14:paraId="3A4EA143" w14:textId="77777777" w:rsidR="00FA7EBF" w:rsidRPr="007939DD" w:rsidRDefault="00FA7EBF" w:rsidP="007B207C">
            <w:pPr>
              <w:pStyle w:val="ARfintablecolheadright"/>
            </w:pPr>
            <w:r w:rsidRPr="007939DD">
              <w:t>Net result</w:t>
            </w:r>
          </w:p>
          <w:p w14:paraId="758D48F9" w14:textId="77777777" w:rsidR="00FA7EBF" w:rsidRPr="007939DD" w:rsidRDefault="00FA7EBF" w:rsidP="007B207C">
            <w:pPr>
              <w:pStyle w:val="ARfintablecolheadright"/>
            </w:pPr>
            <w:r w:rsidRPr="007939DD">
              <w:t>$M</w:t>
            </w:r>
          </w:p>
        </w:tc>
        <w:tc>
          <w:tcPr>
            <w:tcW w:w="1135" w:type="dxa"/>
            <w:vAlign w:val="bottom"/>
          </w:tcPr>
          <w:p w14:paraId="48357D28" w14:textId="77777777" w:rsidR="00FA7EBF" w:rsidRPr="007939DD" w:rsidRDefault="00FA7EBF" w:rsidP="007B207C">
            <w:pPr>
              <w:pStyle w:val="ARfintablecolheadright"/>
            </w:pPr>
            <w:r w:rsidRPr="007939DD">
              <w:t>+0.50%</w:t>
            </w:r>
          </w:p>
          <w:p w14:paraId="470F3562" w14:textId="77777777" w:rsidR="00FA7EBF" w:rsidRPr="007939DD" w:rsidRDefault="00FA7EBF" w:rsidP="007B207C">
            <w:pPr>
              <w:pStyle w:val="ARfintablecolheadright"/>
            </w:pPr>
            <w:r w:rsidRPr="007939DD">
              <w:t>Net result</w:t>
            </w:r>
          </w:p>
          <w:p w14:paraId="2D7FBFE1" w14:textId="77777777" w:rsidR="00FA7EBF" w:rsidRPr="007939DD" w:rsidRDefault="00FA7EBF" w:rsidP="007B207C">
            <w:pPr>
              <w:pStyle w:val="ARfintablecolheadright"/>
            </w:pPr>
            <w:r w:rsidRPr="007939DD">
              <w:t>$M</w:t>
            </w:r>
          </w:p>
        </w:tc>
        <w:tc>
          <w:tcPr>
            <w:tcW w:w="1135" w:type="dxa"/>
            <w:vAlign w:val="bottom"/>
          </w:tcPr>
          <w:p w14:paraId="18F0D4F6" w14:textId="77777777" w:rsidR="00FA7EBF" w:rsidRPr="007939DD" w:rsidRDefault="00FA7EBF" w:rsidP="007B207C">
            <w:pPr>
              <w:pStyle w:val="ARfintablecolheadright"/>
            </w:pPr>
            <w:r w:rsidRPr="007939DD">
              <w:t>–0.25%</w:t>
            </w:r>
          </w:p>
          <w:p w14:paraId="6A269A03" w14:textId="77777777" w:rsidR="00FA7EBF" w:rsidRPr="007939DD" w:rsidRDefault="00FA7EBF" w:rsidP="007B207C">
            <w:pPr>
              <w:pStyle w:val="ARfintablecolheadright"/>
            </w:pPr>
            <w:r w:rsidRPr="007939DD">
              <w:t>Net result</w:t>
            </w:r>
          </w:p>
          <w:p w14:paraId="65EF4B37" w14:textId="77777777" w:rsidR="00FA7EBF" w:rsidRPr="007939DD" w:rsidRDefault="00FA7EBF" w:rsidP="007B207C">
            <w:pPr>
              <w:pStyle w:val="ARfintablecolheadright"/>
            </w:pPr>
            <w:r w:rsidRPr="007939DD">
              <w:t>$M</w:t>
            </w:r>
          </w:p>
        </w:tc>
        <w:tc>
          <w:tcPr>
            <w:tcW w:w="1135" w:type="dxa"/>
          </w:tcPr>
          <w:p w14:paraId="28256CED" w14:textId="77777777" w:rsidR="00FA7EBF" w:rsidRPr="007939DD" w:rsidRDefault="00FA7EBF" w:rsidP="007B207C">
            <w:pPr>
              <w:pStyle w:val="ARfintablecolheadright"/>
            </w:pPr>
            <w:r w:rsidRPr="007939DD">
              <w:t>1.50%</w:t>
            </w:r>
          </w:p>
          <w:p w14:paraId="3ED081CF" w14:textId="77777777" w:rsidR="00FA7EBF" w:rsidRPr="007939DD" w:rsidRDefault="00FA7EBF" w:rsidP="007B207C">
            <w:pPr>
              <w:pStyle w:val="ARfintablecolheadright"/>
            </w:pPr>
            <w:r w:rsidRPr="007939DD">
              <w:t>Net result</w:t>
            </w:r>
          </w:p>
          <w:p w14:paraId="6010C780" w14:textId="77777777" w:rsidR="00FA7EBF" w:rsidRPr="007939DD" w:rsidRDefault="00FA7EBF" w:rsidP="007B207C">
            <w:pPr>
              <w:pStyle w:val="ARfintablecolheadright"/>
              <w:rPr>
                <w:rFonts w:cs="Arial"/>
                <w:bCs/>
                <w:color w:val="000000"/>
              </w:rPr>
            </w:pPr>
            <w:r w:rsidRPr="007939DD">
              <w:t>$M</w:t>
            </w:r>
          </w:p>
        </w:tc>
      </w:tr>
      <w:tr w:rsidR="00FA7EBF" w:rsidRPr="007939DD" w14:paraId="3642A6F8" w14:textId="77777777" w:rsidTr="007B207C">
        <w:trPr>
          <w:cantSplit/>
        </w:trPr>
        <w:tc>
          <w:tcPr>
            <w:tcW w:w="9639" w:type="dxa"/>
            <w:gridSpan w:val="6"/>
            <w:tcBorders>
              <w:bottom w:val="single" w:sz="4" w:space="0" w:color="A6A6A6" w:themeColor="background1" w:themeShade="A6"/>
            </w:tcBorders>
          </w:tcPr>
          <w:p w14:paraId="0356DC00" w14:textId="77777777" w:rsidR="00FA7EBF" w:rsidRPr="007939DD" w:rsidRDefault="00FA7EBF" w:rsidP="007B207C">
            <w:pPr>
              <w:pStyle w:val="ARfintablebodybold"/>
              <w:rPr>
                <w:lang w:eastAsia="en-AU"/>
              </w:rPr>
            </w:pPr>
            <w:r w:rsidRPr="00F559A3">
              <w:t>Contractual financial assets</w:t>
            </w:r>
          </w:p>
        </w:tc>
      </w:tr>
      <w:tr w:rsidR="00FA7EBF" w:rsidRPr="007939DD" w14:paraId="75C33476" w14:textId="77777777" w:rsidTr="007B207C">
        <w:trPr>
          <w:cantSplit/>
        </w:trPr>
        <w:tc>
          <w:tcPr>
            <w:tcW w:w="3970" w:type="dxa"/>
            <w:tcBorders>
              <w:top w:val="single" w:sz="4" w:space="0" w:color="A6A6A6" w:themeColor="background1" w:themeShade="A6"/>
              <w:bottom w:val="single" w:sz="4" w:space="0" w:color="A6A6A6" w:themeColor="background1" w:themeShade="A6"/>
            </w:tcBorders>
          </w:tcPr>
          <w:p w14:paraId="360C500F" w14:textId="77777777" w:rsidR="00FA7EBF" w:rsidRPr="007939DD" w:rsidRDefault="00FA7EBF" w:rsidP="007B207C">
            <w:pPr>
              <w:pStyle w:val="ARfintablebody"/>
              <w:rPr>
                <w:lang w:eastAsia="en-AU"/>
              </w:rPr>
            </w:pPr>
            <w:r w:rsidRPr="00F559A3">
              <w:t xml:space="preserve">Cash and deposits </w:t>
            </w:r>
            <w:r w:rsidRPr="00DB5DE8">
              <w:rPr>
                <w:rStyle w:val="Superscript"/>
              </w:rPr>
              <w:t>(i)</w:t>
            </w:r>
          </w:p>
        </w:tc>
        <w:tc>
          <w:tcPr>
            <w:tcW w:w="1129" w:type="dxa"/>
            <w:tcBorders>
              <w:top w:val="single" w:sz="4" w:space="0" w:color="A6A6A6" w:themeColor="background1" w:themeShade="A6"/>
              <w:bottom w:val="single" w:sz="4" w:space="0" w:color="A6A6A6" w:themeColor="background1" w:themeShade="A6"/>
            </w:tcBorders>
          </w:tcPr>
          <w:p w14:paraId="116832BB" w14:textId="77777777" w:rsidR="00FA7EBF" w:rsidRPr="007939DD" w:rsidRDefault="00FA7EBF" w:rsidP="007B207C">
            <w:pPr>
              <w:pStyle w:val="ARfintablebodyright"/>
              <w:rPr>
                <w:lang w:eastAsia="en-AU"/>
              </w:rPr>
            </w:pPr>
            <w:r w:rsidRPr="00F559A3">
              <w:t>383.2</w:t>
            </w:r>
          </w:p>
        </w:tc>
        <w:tc>
          <w:tcPr>
            <w:tcW w:w="1135" w:type="dxa"/>
            <w:tcBorders>
              <w:top w:val="single" w:sz="4" w:space="0" w:color="A6A6A6" w:themeColor="background1" w:themeShade="A6"/>
              <w:bottom w:val="single" w:sz="4" w:space="0" w:color="A6A6A6" w:themeColor="background1" w:themeShade="A6"/>
            </w:tcBorders>
          </w:tcPr>
          <w:p w14:paraId="656EFD42" w14:textId="77777777" w:rsidR="00FA7EBF" w:rsidRPr="007939DD" w:rsidRDefault="00FA7EBF" w:rsidP="007B207C">
            <w:pPr>
              <w:pStyle w:val="ARfintablebodyright"/>
              <w:rPr>
                <w:lang w:eastAsia="en-AU"/>
              </w:rPr>
            </w:pPr>
            <w:r w:rsidRPr="00F559A3">
              <w:t>(0.4)</w:t>
            </w:r>
          </w:p>
        </w:tc>
        <w:tc>
          <w:tcPr>
            <w:tcW w:w="1135" w:type="dxa"/>
            <w:tcBorders>
              <w:top w:val="single" w:sz="4" w:space="0" w:color="A6A6A6" w:themeColor="background1" w:themeShade="A6"/>
              <w:bottom w:val="single" w:sz="4" w:space="0" w:color="A6A6A6" w:themeColor="background1" w:themeShade="A6"/>
            </w:tcBorders>
          </w:tcPr>
          <w:p w14:paraId="6DF6B832" w14:textId="77777777" w:rsidR="00FA7EBF" w:rsidRPr="007939DD" w:rsidRDefault="00FA7EBF" w:rsidP="007B207C">
            <w:pPr>
              <w:pStyle w:val="ARfintablebodyright"/>
              <w:rPr>
                <w:lang w:eastAsia="en-AU"/>
              </w:rPr>
            </w:pPr>
            <w:r w:rsidRPr="00F559A3">
              <w:t>0.4</w:t>
            </w:r>
          </w:p>
        </w:tc>
        <w:tc>
          <w:tcPr>
            <w:tcW w:w="1135" w:type="dxa"/>
            <w:tcBorders>
              <w:top w:val="single" w:sz="4" w:space="0" w:color="A6A6A6" w:themeColor="background1" w:themeShade="A6"/>
              <w:bottom w:val="single" w:sz="4" w:space="0" w:color="A6A6A6" w:themeColor="background1" w:themeShade="A6"/>
            </w:tcBorders>
          </w:tcPr>
          <w:p w14:paraId="2D055398" w14:textId="77777777" w:rsidR="00FA7EBF" w:rsidRPr="007939DD" w:rsidRDefault="00FA7EBF" w:rsidP="007B207C">
            <w:pPr>
              <w:pStyle w:val="ARfintablebodyright"/>
              <w:rPr>
                <w:lang w:eastAsia="en-AU"/>
              </w:rPr>
            </w:pPr>
            <w:r w:rsidRPr="00F559A3">
              <w:t>–</w:t>
            </w:r>
          </w:p>
        </w:tc>
        <w:tc>
          <w:tcPr>
            <w:tcW w:w="1135" w:type="dxa"/>
            <w:tcBorders>
              <w:top w:val="single" w:sz="4" w:space="0" w:color="A6A6A6" w:themeColor="background1" w:themeShade="A6"/>
              <w:bottom w:val="single" w:sz="4" w:space="0" w:color="A6A6A6" w:themeColor="background1" w:themeShade="A6"/>
            </w:tcBorders>
          </w:tcPr>
          <w:p w14:paraId="4064CAC1" w14:textId="77777777" w:rsidR="00FA7EBF" w:rsidRPr="007939DD" w:rsidRDefault="00FA7EBF" w:rsidP="007B207C">
            <w:pPr>
              <w:pStyle w:val="ARfintablebodyright"/>
              <w:rPr>
                <w:lang w:eastAsia="en-AU"/>
              </w:rPr>
            </w:pPr>
            <w:r w:rsidRPr="00F559A3">
              <w:t>–</w:t>
            </w:r>
          </w:p>
        </w:tc>
      </w:tr>
      <w:tr w:rsidR="00FA7EBF" w:rsidRPr="007939DD" w14:paraId="09E6D17D" w14:textId="77777777" w:rsidTr="007B207C">
        <w:trPr>
          <w:cantSplit/>
        </w:trPr>
        <w:tc>
          <w:tcPr>
            <w:tcW w:w="3970" w:type="dxa"/>
            <w:tcBorders>
              <w:top w:val="single" w:sz="4" w:space="0" w:color="A6A6A6" w:themeColor="background1" w:themeShade="A6"/>
              <w:bottom w:val="single" w:sz="4" w:space="0" w:color="A6A6A6" w:themeColor="background1" w:themeShade="A6"/>
            </w:tcBorders>
          </w:tcPr>
          <w:p w14:paraId="5CC097B7" w14:textId="77777777" w:rsidR="00FA7EBF" w:rsidRPr="007939DD" w:rsidRDefault="00FA7EBF" w:rsidP="007B207C">
            <w:pPr>
              <w:pStyle w:val="ARfintablebody"/>
              <w:rPr>
                <w:lang w:eastAsia="en-AU"/>
              </w:rPr>
            </w:pPr>
            <w:r w:rsidRPr="00F559A3">
              <w:t xml:space="preserve">Receivables </w:t>
            </w:r>
            <w:r w:rsidRPr="00DB5DE8">
              <w:rPr>
                <w:rStyle w:val="Superscript"/>
              </w:rPr>
              <w:t>(ii)(iii)</w:t>
            </w:r>
          </w:p>
        </w:tc>
        <w:tc>
          <w:tcPr>
            <w:tcW w:w="1129" w:type="dxa"/>
            <w:tcBorders>
              <w:top w:val="single" w:sz="4" w:space="0" w:color="A6A6A6" w:themeColor="background1" w:themeShade="A6"/>
              <w:bottom w:val="single" w:sz="4" w:space="0" w:color="A6A6A6" w:themeColor="background1" w:themeShade="A6"/>
            </w:tcBorders>
          </w:tcPr>
          <w:p w14:paraId="63892344" w14:textId="77777777" w:rsidR="00FA7EBF" w:rsidRPr="007939DD" w:rsidRDefault="00FA7EBF" w:rsidP="007B207C">
            <w:pPr>
              <w:pStyle w:val="ARfintablebodyright"/>
              <w:rPr>
                <w:lang w:eastAsia="en-AU"/>
              </w:rPr>
            </w:pPr>
            <w:r w:rsidRPr="00F559A3">
              <w:t>88.3</w:t>
            </w:r>
          </w:p>
        </w:tc>
        <w:tc>
          <w:tcPr>
            <w:tcW w:w="1135" w:type="dxa"/>
            <w:tcBorders>
              <w:top w:val="single" w:sz="4" w:space="0" w:color="A6A6A6" w:themeColor="background1" w:themeShade="A6"/>
              <w:bottom w:val="single" w:sz="4" w:space="0" w:color="A6A6A6" w:themeColor="background1" w:themeShade="A6"/>
            </w:tcBorders>
          </w:tcPr>
          <w:p w14:paraId="1F1AD51A" w14:textId="77777777" w:rsidR="00FA7EBF" w:rsidRPr="007939DD" w:rsidRDefault="00FA7EBF" w:rsidP="007B207C">
            <w:pPr>
              <w:pStyle w:val="ARfintablebodyright"/>
              <w:rPr>
                <w:lang w:eastAsia="en-AU"/>
              </w:rPr>
            </w:pPr>
            <w:r w:rsidRPr="00F559A3">
              <w:t>–</w:t>
            </w:r>
          </w:p>
        </w:tc>
        <w:tc>
          <w:tcPr>
            <w:tcW w:w="1135" w:type="dxa"/>
            <w:tcBorders>
              <w:top w:val="single" w:sz="4" w:space="0" w:color="A6A6A6" w:themeColor="background1" w:themeShade="A6"/>
              <w:bottom w:val="single" w:sz="4" w:space="0" w:color="A6A6A6" w:themeColor="background1" w:themeShade="A6"/>
            </w:tcBorders>
          </w:tcPr>
          <w:p w14:paraId="636E0169" w14:textId="77777777" w:rsidR="00FA7EBF" w:rsidRPr="007939DD" w:rsidRDefault="00FA7EBF" w:rsidP="007B207C">
            <w:pPr>
              <w:pStyle w:val="ARfintablebodyright"/>
              <w:rPr>
                <w:lang w:eastAsia="en-AU"/>
              </w:rPr>
            </w:pPr>
            <w:r w:rsidRPr="00F559A3">
              <w:t>–</w:t>
            </w:r>
          </w:p>
        </w:tc>
        <w:tc>
          <w:tcPr>
            <w:tcW w:w="1135" w:type="dxa"/>
            <w:tcBorders>
              <w:top w:val="single" w:sz="4" w:space="0" w:color="A6A6A6" w:themeColor="background1" w:themeShade="A6"/>
              <w:bottom w:val="single" w:sz="4" w:space="0" w:color="A6A6A6" w:themeColor="background1" w:themeShade="A6"/>
            </w:tcBorders>
          </w:tcPr>
          <w:p w14:paraId="0E39177A" w14:textId="77777777" w:rsidR="00FA7EBF" w:rsidRPr="007939DD" w:rsidRDefault="00FA7EBF" w:rsidP="007B207C">
            <w:pPr>
              <w:pStyle w:val="ARfintablebodyright"/>
              <w:rPr>
                <w:lang w:eastAsia="en-AU"/>
              </w:rPr>
            </w:pPr>
            <w:r w:rsidRPr="00F559A3">
              <w:t>–</w:t>
            </w:r>
          </w:p>
        </w:tc>
        <w:tc>
          <w:tcPr>
            <w:tcW w:w="1135" w:type="dxa"/>
            <w:tcBorders>
              <w:top w:val="single" w:sz="4" w:space="0" w:color="A6A6A6" w:themeColor="background1" w:themeShade="A6"/>
              <w:bottom w:val="single" w:sz="4" w:space="0" w:color="A6A6A6" w:themeColor="background1" w:themeShade="A6"/>
            </w:tcBorders>
          </w:tcPr>
          <w:p w14:paraId="3F46603D" w14:textId="77777777" w:rsidR="00FA7EBF" w:rsidRPr="007939DD" w:rsidRDefault="00FA7EBF" w:rsidP="007B207C">
            <w:pPr>
              <w:pStyle w:val="ARfintablebodyright"/>
              <w:rPr>
                <w:lang w:eastAsia="en-AU"/>
              </w:rPr>
            </w:pPr>
            <w:r w:rsidRPr="00F559A3">
              <w:t>–</w:t>
            </w:r>
          </w:p>
        </w:tc>
      </w:tr>
      <w:tr w:rsidR="00FA7EBF" w:rsidRPr="007939DD" w14:paraId="7E6A43FB" w14:textId="77777777" w:rsidTr="007B207C">
        <w:trPr>
          <w:cantSplit/>
        </w:trPr>
        <w:tc>
          <w:tcPr>
            <w:tcW w:w="3970" w:type="dxa"/>
            <w:tcBorders>
              <w:top w:val="single" w:sz="4" w:space="0" w:color="A6A6A6" w:themeColor="background1" w:themeShade="A6"/>
              <w:bottom w:val="single" w:sz="4" w:space="0" w:color="A6A6A6" w:themeColor="background1" w:themeShade="A6"/>
            </w:tcBorders>
          </w:tcPr>
          <w:p w14:paraId="76FF6D44" w14:textId="77777777" w:rsidR="00FA7EBF" w:rsidRPr="007939DD" w:rsidRDefault="00FA7EBF" w:rsidP="007B207C">
            <w:pPr>
              <w:pStyle w:val="ARfintablebody"/>
              <w:rPr>
                <w:lang w:eastAsia="en-AU"/>
              </w:rPr>
            </w:pPr>
            <w:r w:rsidRPr="00F559A3">
              <w:t xml:space="preserve">Loans </w:t>
            </w:r>
            <w:r w:rsidRPr="00DB5DE8">
              <w:rPr>
                <w:rStyle w:val="Superscript"/>
              </w:rPr>
              <w:t>(iii)</w:t>
            </w:r>
          </w:p>
        </w:tc>
        <w:tc>
          <w:tcPr>
            <w:tcW w:w="1129" w:type="dxa"/>
            <w:tcBorders>
              <w:top w:val="single" w:sz="4" w:space="0" w:color="A6A6A6" w:themeColor="background1" w:themeShade="A6"/>
              <w:bottom w:val="single" w:sz="4" w:space="0" w:color="A6A6A6" w:themeColor="background1" w:themeShade="A6"/>
            </w:tcBorders>
          </w:tcPr>
          <w:p w14:paraId="400FC722" w14:textId="77777777" w:rsidR="00FA7EBF" w:rsidRPr="007939DD" w:rsidRDefault="00FA7EBF" w:rsidP="007B207C">
            <w:pPr>
              <w:pStyle w:val="ARfintablebodyright"/>
              <w:rPr>
                <w:lang w:eastAsia="en-AU"/>
              </w:rPr>
            </w:pPr>
            <w:r w:rsidRPr="00F559A3">
              <w:t>105.7</w:t>
            </w:r>
          </w:p>
        </w:tc>
        <w:tc>
          <w:tcPr>
            <w:tcW w:w="1135" w:type="dxa"/>
            <w:tcBorders>
              <w:top w:val="single" w:sz="4" w:space="0" w:color="A6A6A6" w:themeColor="background1" w:themeShade="A6"/>
              <w:bottom w:val="single" w:sz="4" w:space="0" w:color="A6A6A6" w:themeColor="background1" w:themeShade="A6"/>
            </w:tcBorders>
          </w:tcPr>
          <w:p w14:paraId="38573FE4" w14:textId="77777777" w:rsidR="00FA7EBF" w:rsidRPr="007939DD" w:rsidRDefault="00FA7EBF" w:rsidP="007B207C">
            <w:pPr>
              <w:pStyle w:val="ARfintablebodyright"/>
              <w:rPr>
                <w:lang w:eastAsia="en-AU"/>
              </w:rPr>
            </w:pPr>
            <w:r w:rsidRPr="00F559A3">
              <w:t>(0.1)</w:t>
            </w:r>
          </w:p>
        </w:tc>
        <w:tc>
          <w:tcPr>
            <w:tcW w:w="1135" w:type="dxa"/>
            <w:tcBorders>
              <w:top w:val="single" w:sz="4" w:space="0" w:color="A6A6A6" w:themeColor="background1" w:themeShade="A6"/>
              <w:bottom w:val="single" w:sz="4" w:space="0" w:color="A6A6A6" w:themeColor="background1" w:themeShade="A6"/>
            </w:tcBorders>
          </w:tcPr>
          <w:p w14:paraId="063ACDD2" w14:textId="77777777" w:rsidR="00FA7EBF" w:rsidRPr="007939DD" w:rsidRDefault="00FA7EBF" w:rsidP="007B207C">
            <w:pPr>
              <w:pStyle w:val="ARfintablebodyright"/>
              <w:rPr>
                <w:lang w:eastAsia="en-AU"/>
              </w:rPr>
            </w:pPr>
            <w:r w:rsidRPr="00F559A3">
              <w:t>0.1</w:t>
            </w:r>
          </w:p>
        </w:tc>
        <w:tc>
          <w:tcPr>
            <w:tcW w:w="1135" w:type="dxa"/>
            <w:tcBorders>
              <w:top w:val="single" w:sz="4" w:space="0" w:color="A6A6A6" w:themeColor="background1" w:themeShade="A6"/>
              <w:bottom w:val="single" w:sz="4" w:space="0" w:color="A6A6A6" w:themeColor="background1" w:themeShade="A6"/>
            </w:tcBorders>
          </w:tcPr>
          <w:p w14:paraId="18F6A96A" w14:textId="77777777" w:rsidR="00FA7EBF" w:rsidRPr="007939DD" w:rsidRDefault="00FA7EBF" w:rsidP="007B207C">
            <w:pPr>
              <w:pStyle w:val="ARfintablebodyright"/>
              <w:rPr>
                <w:lang w:eastAsia="en-AU"/>
              </w:rPr>
            </w:pPr>
            <w:r w:rsidRPr="00F559A3">
              <w:t>–</w:t>
            </w:r>
          </w:p>
        </w:tc>
        <w:tc>
          <w:tcPr>
            <w:tcW w:w="1135" w:type="dxa"/>
            <w:tcBorders>
              <w:top w:val="single" w:sz="4" w:space="0" w:color="A6A6A6" w:themeColor="background1" w:themeShade="A6"/>
              <w:bottom w:val="single" w:sz="4" w:space="0" w:color="A6A6A6" w:themeColor="background1" w:themeShade="A6"/>
            </w:tcBorders>
          </w:tcPr>
          <w:p w14:paraId="49CDFCDB" w14:textId="77777777" w:rsidR="00FA7EBF" w:rsidRPr="007939DD" w:rsidRDefault="00FA7EBF" w:rsidP="007B207C">
            <w:pPr>
              <w:pStyle w:val="ARfintablebodyright"/>
              <w:rPr>
                <w:lang w:eastAsia="en-AU"/>
              </w:rPr>
            </w:pPr>
            <w:r w:rsidRPr="00F559A3">
              <w:t>0.2</w:t>
            </w:r>
          </w:p>
        </w:tc>
      </w:tr>
      <w:tr w:rsidR="00FA7EBF" w:rsidRPr="007939DD" w14:paraId="5BD533BE" w14:textId="77777777" w:rsidTr="007B207C">
        <w:trPr>
          <w:cantSplit/>
        </w:trPr>
        <w:tc>
          <w:tcPr>
            <w:tcW w:w="3970" w:type="dxa"/>
            <w:tcBorders>
              <w:top w:val="single" w:sz="4" w:space="0" w:color="A6A6A6" w:themeColor="background1" w:themeShade="A6"/>
            </w:tcBorders>
          </w:tcPr>
          <w:p w14:paraId="4DBF0000" w14:textId="77777777" w:rsidR="00FA7EBF" w:rsidRPr="007939DD" w:rsidRDefault="00FA7EBF" w:rsidP="007B207C">
            <w:pPr>
              <w:pStyle w:val="ARfintablebody"/>
              <w:rPr>
                <w:lang w:eastAsia="en-AU"/>
              </w:rPr>
            </w:pPr>
            <w:r w:rsidRPr="00F559A3">
              <w:t>Short-term investments – term deposits</w:t>
            </w:r>
          </w:p>
        </w:tc>
        <w:tc>
          <w:tcPr>
            <w:tcW w:w="1129" w:type="dxa"/>
            <w:tcBorders>
              <w:top w:val="single" w:sz="4" w:space="0" w:color="A6A6A6" w:themeColor="background1" w:themeShade="A6"/>
            </w:tcBorders>
          </w:tcPr>
          <w:p w14:paraId="336FD7BE" w14:textId="77777777" w:rsidR="00FA7EBF" w:rsidRPr="007939DD" w:rsidRDefault="00FA7EBF" w:rsidP="007B207C">
            <w:pPr>
              <w:pStyle w:val="ARfintablebodyright"/>
              <w:rPr>
                <w:lang w:eastAsia="en-AU"/>
              </w:rPr>
            </w:pPr>
            <w:r w:rsidRPr="00F559A3">
              <w:t>534.8</w:t>
            </w:r>
          </w:p>
        </w:tc>
        <w:tc>
          <w:tcPr>
            <w:tcW w:w="1135" w:type="dxa"/>
            <w:tcBorders>
              <w:top w:val="single" w:sz="4" w:space="0" w:color="A6A6A6" w:themeColor="background1" w:themeShade="A6"/>
            </w:tcBorders>
          </w:tcPr>
          <w:p w14:paraId="64B46266" w14:textId="77777777" w:rsidR="00FA7EBF" w:rsidRPr="007939DD" w:rsidRDefault="00FA7EBF" w:rsidP="007B207C">
            <w:pPr>
              <w:pStyle w:val="ARfintablebodyright"/>
              <w:rPr>
                <w:lang w:eastAsia="en-AU"/>
              </w:rPr>
            </w:pPr>
            <w:r w:rsidRPr="00F559A3">
              <w:t>–</w:t>
            </w:r>
          </w:p>
        </w:tc>
        <w:tc>
          <w:tcPr>
            <w:tcW w:w="1135" w:type="dxa"/>
            <w:tcBorders>
              <w:top w:val="single" w:sz="4" w:space="0" w:color="A6A6A6" w:themeColor="background1" w:themeShade="A6"/>
            </w:tcBorders>
          </w:tcPr>
          <w:p w14:paraId="772FBCBE" w14:textId="77777777" w:rsidR="00FA7EBF" w:rsidRPr="007939DD" w:rsidRDefault="00FA7EBF" w:rsidP="007B207C">
            <w:pPr>
              <w:pStyle w:val="ARfintablebodyright"/>
              <w:rPr>
                <w:lang w:eastAsia="en-AU"/>
              </w:rPr>
            </w:pPr>
            <w:r w:rsidRPr="00F559A3">
              <w:t>–</w:t>
            </w:r>
          </w:p>
        </w:tc>
        <w:tc>
          <w:tcPr>
            <w:tcW w:w="1135" w:type="dxa"/>
            <w:tcBorders>
              <w:top w:val="single" w:sz="4" w:space="0" w:color="A6A6A6" w:themeColor="background1" w:themeShade="A6"/>
            </w:tcBorders>
          </w:tcPr>
          <w:p w14:paraId="7D68AF1E" w14:textId="77777777" w:rsidR="00FA7EBF" w:rsidRPr="007939DD" w:rsidRDefault="00FA7EBF" w:rsidP="007B207C">
            <w:pPr>
              <w:pStyle w:val="ARfintablebodyright"/>
              <w:rPr>
                <w:lang w:eastAsia="en-AU"/>
              </w:rPr>
            </w:pPr>
            <w:r w:rsidRPr="00F559A3">
              <w:t>–</w:t>
            </w:r>
          </w:p>
        </w:tc>
        <w:tc>
          <w:tcPr>
            <w:tcW w:w="1135" w:type="dxa"/>
            <w:tcBorders>
              <w:top w:val="single" w:sz="4" w:space="0" w:color="A6A6A6" w:themeColor="background1" w:themeShade="A6"/>
            </w:tcBorders>
          </w:tcPr>
          <w:p w14:paraId="341319E5" w14:textId="77777777" w:rsidR="00FA7EBF" w:rsidRPr="007939DD" w:rsidRDefault="00FA7EBF" w:rsidP="007B207C">
            <w:pPr>
              <w:pStyle w:val="ARfintablebodyright"/>
              <w:rPr>
                <w:lang w:eastAsia="en-AU"/>
              </w:rPr>
            </w:pPr>
            <w:r w:rsidRPr="00F559A3">
              <w:t>–</w:t>
            </w:r>
          </w:p>
        </w:tc>
      </w:tr>
      <w:tr w:rsidR="00FA7EBF" w:rsidRPr="007939DD" w14:paraId="672BDE6A" w14:textId="77777777" w:rsidTr="007B207C">
        <w:trPr>
          <w:cantSplit/>
        </w:trPr>
        <w:tc>
          <w:tcPr>
            <w:tcW w:w="3970" w:type="dxa"/>
          </w:tcPr>
          <w:p w14:paraId="1D2ED9CA" w14:textId="77777777" w:rsidR="00FA7EBF" w:rsidRPr="007939DD" w:rsidRDefault="00FA7EBF" w:rsidP="007B207C">
            <w:pPr>
              <w:pStyle w:val="ARfintablebodybold"/>
              <w:rPr>
                <w:rStyle w:val="Strong"/>
              </w:rPr>
            </w:pPr>
            <w:r w:rsidRPr="00F559A3">
              <w:t>Total impact</w:t>
            </w:r>
          </w:p>
        </w:tc>
        <w:tc>
          <w:tcPr>
            <w:tcW w:w="1129" w:type="dxa"/>
          </w:tcPr>
          <w:p w14:paraId="2965E517" w14:textId="77777777" w:rsidR="00FA7EBF" w:rsidRPr="007939DD" w:rsidRDefault="00FA7EBF" w:rsidP="007B207C">
            <w:pPr>
              <w:pStyle w:val="ARfintablebodyrightbold"/>
              <w:rPr>
                <w:lang w:eastAsia="en-AU"/>
              </w:rPr>
            </w:pPr>
            <w:r w:rsidRPr="00F559A3">
              <w:t>1,112.0</w:t>
            </w:r>
          </w:p>
        </w:tc>
        <w:tc>
          <w:tcPr>
            <w:tcW w:w="1135" w:type="dxa"/>
          </w:tcPr>
          <w:p w14:paraId="45125A81" w14:textId="77777777" w:rsidR="00FA7EBF" w:rsidRPr="007939DD" w:rsidRDefault="00FA7EBF" w:rsidP="007B207C">
            <w:pPr>
              <w:pStyle w:val="ARfintablebodyrightbold"/>
              <w:rPr>
                <w:lang w:eastAsia="en-AU"/>
              </w:rPr>
            </w:pPr>
            <w:r w:rsidRPr="00F559A3">
              <w:t>(0.5)</w:t>
            </w:r>
          </w:p>
        </w:tc>
        <w:tc>
          <w:tcPr>
            <w:tcW w:w="1135" w:type="dxa"/>
          </w:tcPr>
          <w:p w14:paraId="6C26D4B6" w14:textId="77777777" w:rsidR="00FA7EBF" w:rsidRPr="007939DD" w:rsidRDefault="00FA7EBF" w:rsidP="007B207C">
            <w:pPr>
              <w:pStyle w:val="ARfintablebodyrightbold"/>
              <w:rPr>
                <w:lang w:eastAsia="en-AU"/>
              </w:rPr>
            </w:pPr>
            <w:r w:rsidRPr="00F559A3">
              <w:t>0.5</w:t>
            </w:r>
          </w:p>
        </w:tc>
        <w:tc>
          <w:tcPr>
            <w:tcW w:w="1135" w:type="dxa"/>
          </w:tcPr>
          <w:p w14:paraId="28BB3FC2" w14:textId="77777777" w:rsidR="00FA7EBF" w:rsidRPr="007939DD" w:rsidRDefault="00FA7EBF" w:rsidP="007B207C">
            <w:pPr>
              <w:pStyle w:val="ARfintablebodyrightbold"/>
              <w:rPr>
                <w:lang w:eastAsia="en-AU"/>
              </w:rPr>
            </w:pPr>
            <w:r w:rsidRPr="00F559A3">
              <w:t>–</w:t>
            </w:r>
          </w:p>
        </w:tc>
        <w:tc>
          <w:tcPr>
            <w:tcW w:w="1135" w:type="dxa"/>
          </w:tcPr>
          <w:p w14:paraId="3289AFD9" w14:textId="77777777" w:rsidR="00FA7EBF" w:rsidRPr="007939DD" w:rsidRDefault="00FA7EBF" w:rsidP="007B207C">
            <w:pPr>
              <w:pStyle w:val="ARfintablebodyrightbold"/>
              <w:rPr>
                <w:rStyle w:val="Strong"/>
              </w:rPr>
            </w:pPr>
            <w:r w:rsidRPr="00F559A3">
              <w:t>0.2</w:t>
            </w:r>
          </w:p>
        </w:tc>
      </w:tr>
      <w:tr w:rsidR="00FA7EBF" w:rsidRPr="007939DD" w14:paraId="3F64FB05" w14:textId="77777777" w:rsidTr="007B207C">
        <w:trPr>
          <w:cantSplit/>
        </w:trPr>
        <w:tc>
          <w:tcPr>
            <w:tcW w:w="9639" w:type="dxa"/>
            <w:gridSpan w:val="6"/>
            <w:tcBorders>
              <w:bottom w:val="single" w:sz="4" w:space="0" w:color="A6A6A6" w:themeColor="background1" w:themeShade="A6"/>
            </w:tcBorders>
          </w:tcPr>
          <w:p w14:paraId="19006665" w14:textId="77777777" w:rsidR="00FA7EBF" w:rsidRPr="007939DD" w:rsidRDefault="00FA7EBF" w:rsidP="007B207C">
            <w:pPr>
              <w:pStyle w:val="ARfintablebodybold"/>
              <w:rPr>
                <w:lang w:eastAsia="en-AU"/>
              </w:rPr>
            </w:pPr>
            <w:r w:rsidRPr="00F559A3">
              <w:t>Contractual financial liabilities</w:t>
            </w:r>
          </w:p>
        </w:tc>
      </w:tr>
      <w:tr w:rsidR="00FA7EBF" w:rsidRPr="007939DD" w14:paraId="15CD467C" w14:textId="77777777" w:rsidTr="007B207C">
        <w:trPr>
          <w:cantSplit/>
        </w:trPr>
        <w:tc>
          <w:tcPr>
            <w:tcW w:w="3970" w:type="dxa"/>
            <w:tcBorders>
              <w:top w:val="single" w:sz="4" w:space="0" w:color="A6A6A6" w:themeColor="background1" w:themeShade="A6"/>
              <w:bottom w:val="single" w:sz="4" w:space="0" w:color="A6A6A6" w:themeColor="background1" w:themeShade="A6"/>
            </w:tcBorders>
          </w:tcPr>
          <w:p w14:paraId="1FFECFDA" w14:textId="77777777" w:rsidR="00FA7EBF" w:rsidRPr="007939DD" w:rsidRDefault="00FA7EBF" w:rsidP="007B207C">
            <w:pPr>
              <w:pStyle w:val="ARfintablebody"/>
              <w:rPr>
                <w:lang w:eastAsia="en-AU"/>
              </w:rPr>
            </w:pPr>
            <w:r w:rsidRPr="00F559A3">
              <w:t xml:space="preserve">Payables </w:t>
            </w:r>
            <w:r w:rsidRPr="00DB5DE8">
              <w:rPr>
                <w:rStyle w:val="Superscript"/>
              </w:rPr>
              <w:t>(iii)</w:t>
            </w:r>
          </w:p>
        </w:tc>
        <w:tc>
          <w:tcPr>
            <w:tcW w:w="1129" w:type="dxa"/>
            <w:tcBorders>
              <w:top w:val="single" w:sz="4" w:space="0" w:color="A6A6A6" w:themeColor="background1" w:themeShade="A6"/>
              <w:bottom w:val="single" w:sz="4" w:space="0" w:color="A6A6A6" w:themeColor="background1" w:themeShade="A6"/>
            </w:tcBorders>
          </w:tcPr>
          <w:p w14:paraId="0D789A4B" w14:textId="77777777" w:rsidR="00FA7EBF" w:rsidRPr="007939DD" w:rsidRDefault="00FA7EBF" w:rsidP="007B207C">
            <w:pPr>
              <w:pStyle w:val="ARfintablebodyright"/>
              <w:rPr>
                <w:lang w:eastAsia="en-AU"/>
              </w:rPr>
            </w:pPr>
            <w:r w:rsidRPr="00F559A3">
              <w:t>1,342.3</w:t>
            </w:r>
          </w:p>
        </w:tc>
        <w:tc>
          <w:tcPr>
            <w:tcW w:w="1135" w:type="dxa"/>
            <w:tcBorders>
              <w:top w:val="single" w:sz="4" w:space="0" w:color="A6A6A6" w:themeColor="background1" w:themeShade="A6"/>
              <w:bottom w:val="single" w:sz="4" w:space="0" w:color="A6A6A6" w:themeColor="background1" w:themeShade="A6"/>
            </w:tcBorders>
          </w:tcPr>
          <w:p w14:paraId="66C3D648" w14:textId="77777777" w:rsidR="00FA7EBF" w:rsidRPr="007939DD" w:rsidRDefault="00FA7EBF" w:rsidP="007B207C">
            <w:pPr>
              <w:pStyle w:val="ARfintablebodyright"/>
              <w:rPr>
                <w:lang w:eastAsia="en-AU"/>
              </w:rPr>
            </w:pPr>
            <w:r w:rsidRPr="00F559A3">
              <w:t>–</w:t>
            </w:r>
          </w:p>
        </w:tc>
        <w:tc>
          <w:tcPr>
            <w:tcW w:w="1135" w:type="dxa"/>
            <w:tcBorders>
              <w:top w:val="single" w:sz="4" w:space="0" w:color="A6A6A6" w:themeColor="background1" w:themeShade="A6"/>
              <w:bottom w:val="single" w:sz="4" w:space="0" w:color="A6A6A6" w:themeColor="background1" w:themeShade="A6"/>
            </w:tcBorders>
          </w:tcPr>
          <w:p w14:paraId="02007A5A" w14:textId="77777777" w:rsidR="00FA7EBF" w:rsidRPr="007939DD" w:rsidRDefault="00FA7EBF" w:rsidP="007B207C">
            <w:pPr>
              <w:pStyle w:val="ARfintablebodyright"/>
              <w:rPr>
                <w:lang w:eastAsia="en-AU"/>
              </w:rPr>
            </w:pPr>
            <w:r w:rsidRPr="00F559A3">
              <w:t>–</w:t>
            </w:r>
          </w:p>
        </w:tc>
        <w:tc>
          <w:tcPr>
            <w:tcW w:w="1135" w:type="dxa"/>
            <w:tcBorders>
              <w:top w:val="single" w:sz="4" w:space="0" w:color="A6A6A6" w:themeColor="background1" w:themeShade="A6"/>
              <w:bottom w:val="single" w:sz="4" w:space="0" w:color="A6A6A6" w:themeColor="background1" w:themeShade="A6"/>
            </w:tcBorders>
          </w:tcPr>
          <w:p w14:paraId="67627B47" w14:textId="77777777" w:rsidR="00FA7EBF" w:rsidRPr="007939DD" w:rsidRDefault="00FA7EBF" w:rsidP="007B207C">
            <w:pPr>
              <w:pStyle w:val="ARfintablebodyright"/>
              <w:rPr>
                <w:lang w:eastAsia="en-AU"/>
              </w:rPr>
            </w:pPr>
            <w:r w:rsidRPr="00F559A3">
              <w:t>–</w:t>
            </w:r>
          </w:p>
        </w:tc>
        <w:tc>
          <w:tcPr>
            <w:tcW w:w="1135" w:type="dxa"/>
            <w:tcBorders>
              <w:top w:val="single" w:sz="4" w:space="0" w:color="A6A6A6" w:themeColor="background1" w:themeShade="A6"/>
              <w:bottom w:val="single" w:sz="4" w:space="0" w:color="A6A6A6" w:themeColor="background1" w:themeShade="A6"/>
            </w:tcBorders>
          </w:tcPr>
          <w:p w14:paraId="48202F8E" w14:textId="77777777" w:rsidR="00FA7EBF" w:rsidRPr="007939DD" w:rsidRDefault="00FA7EBF" w:rsidP="007B207C">
            <w:pPr>
              <w:pStyle w:val="ARfintablebodyright"/>
              <w:rPr>
                <w:lang w:eastAsia="en-AU"/>
              </w:rPr>
            </w:pPr>
            <w:r w:rsidRPr="00F559A3">
              <w:t>–</w:t>
            </w:r>
          </w:p>
        </w:tc>
      </w:tr>
      <w:tr w:rsidR="00FA7EBF" w:rsidRPr="007939DD" w14:paraId="0F4AD62F" w14:textId="77777777" w:rsidTr="007B207C">
        <w:trPr>
          <w:cantSplit/>
        </w:trPr>
        <w:tc>
          <w:tcPr>
            <w:tcW w:w="3970" w:type="dxa"/>
            <w:tcBorders>
              <w:top w:val="single" w:sz="4" w:space="0" w:color="A6A6A6" w:themeColor="background1" w:themeShade="A6"/>
            </w:tcBorders>
          </w:tcPr>
          <w:p w14:paraId="7F15CC19" w14:textId="77777777" w:rsidR="00FA7EBF" w:rsidRPr="007939DD" w:rsidRDefault="00FA7EBF" w:rsidP="007B207C">
            <w:pPr>
              <w:pStyle w:val="ARfintablebody"/>
              <w:rPr>
                <w:lang w:eastAsia="en-AU"/>
              </w:rPr>
            </w:pPr>
            <w:r w:rsidRPr="00F559A3">
              <w:t xml:space="preserve">Borrowings </w:t>
            </w:r>
            <w:r w:rsidRPr="00DB5DE8">
              <w:rPr>
                <w:rStyle w:val="Superscript"/>
              </w:rPr>
              <w:t>(iv)</w:t>
            </w:r>
          </w:p>
        </w:tc>
        <w:tc>
          <w:tcPr>
            <w:tcW w:w="1129" w:type="dxa"/>
            <w:tcBorders>
              <w:top w:val="single" w:sz="4" w:space="0" w:color="A6A6A6" w:themeColor="background1" w:themeShade="A6"/>
            </w:tcBorders>
          </w:tcPr>
          <w:p w14:paraId="0243DF1C" w14:textId="77777777" w:rsidR="00FA7EBF" w:rsidRPr="007939DD" w:rsidRDefault="00FA7EBF" w:rsidP="007B207C">
            <w:pPr>
              <w:pStyle w:val="ARfintablebodyright"/>
              <w:rPr>
                <w:lang w:eastAsia="en-AU"/>
              </w:rPr>
            </w:pPr>
            <w:r w:rsidRPr="00F559A3">
              <w:t>81.7</w:t>
            </w:r>
          </w:p>
        </w:tc>
        <w:tc>
          <w:tcPr>
            <w:tcW w:w="1135" w:type="dxa"/>
            <w:tcBorders>
              <w:top w:val="single" w:sz="4" w:space="0" w:color="A6A6A6" w:themeColor="background1" w:themeShade="A6"/>
            </w:tcBorders>
          </w:tcPr>
          <w:p w14:paraId="00D2EAC0" w14:textId="77777777" w:rsidR="00FA7EBF" w:rsidRPr="007939DD" w:rsidRDefault="00FA7EBF" w:rsidP="007B207C">
            <w:pPr>
              <w:pStyle w:val="ARfintablebodyright"/>
              <w:rPr>
                <w:lang w:eastAsia="en-AU"/>
              </w:rPr>
            </w:pPr>
            <w:r w:rsidRPr="00F559A3">
              <w:t>–</w:t>
            </w:r>
          </w:p>
        </w:tc>
        <w:tc>
          <w:tcPr>
            <w:tcW w:w="1135" w:type="dxa"/>
            <w:tcBorders>
              <w:top w:val="single" w:sz="4" w:space="0" w:color="A6A6A6" w:themeColor="background1" w:themeShade="A6"/>
            </w:tcBorders>
          </w:tcPr>
          <w:p w14:paraId="3684765C" w14:textId="77777777" w:rsidR="00FA7EBF" w:rsidRPr="007939DD" w:rsidRDefault="00FA7EBF" w:rsidP="007B207C">
            <w:pPr>
              <w:pStyle w:val="ARfintablebodyright"/>
              <w:rPr>
                <w:lang w:eastAsia="en-AU"/>
              </w:rPr>
            </w:pPr>
            <w:r w:rsidRPr="00F559A3">
              <w:t>–</w:t>
            </w:r>
          </w:p>
        </w:tc>
        <w:tc>
          <w:tcPr>
            <w:tcW w:w="1135" w:type="dxa"/>
            <w:tcBorders>
              <w:top w:val="single" w:sz="4" w:space="0" w:color="A6A6A6" w:themeColor="background1" w:themeShade="A6"/>
            </w:tcBorders>
          </w:tcPr>
          <w:p w14:paraId="12BD7126" w14:textId="77777777" w:rsidR="00FA7EBF" w:rsidRPr="007939DD" w:rsidRDefault="00FA7EBF" w:rsidP="007B207C">
            <w:pPr>
              <w:pStyle w:val="ARfintablebodyright"/>
              <w:rPr>
                <w:lang w:eastAsia="en-AU"/>
              </w:rPr>
            </w:pPr>
            <w:r w:rsidRPr="00F559A3">
              <w:t>–</w:t>
            </w:r>
          </w:p>
        </w:tc>
        <w:tc>
          <w:tcPr>
            <w:tcW w:w="1135" w:type="dxa"/>
            <w:tcBorders>
              <w:top w:val="single" w:sz="4" w:space="0" w:color="A6A6A6" w:themeColor="background1" w:themeShade="A6"/>
            </w:tcBorders>
          </w:tcPr>
          <w:p w14:paraId="08AA7B5A" w14:textId="77777777" w:rsidR="00FA7EBF" w:rsidRPr="007939DD" w:rsidRDefault="00FA7EBF" w:rsidP="007B207C">
            <w:pPr>
              <w:pStyle w:val="ARfintablebodyright"/>
              <w:rPr>
                <w:lang w:eastAsia="en-AU"/>
              </w:rPr>
            </w:pPr>
            <w:r w:rsidRPr="00F559A3">
              <w:t>–</w:t>
            </w:r>
          </w:p>
        </w:tc>
      </w:tr>
      <w:tr w:rsidR="00FA7EBF" w:rsidRPr="007939DD" w14:paraId="289A0152" w14:textId="77777777" w:rsidTr="007B207C">
        <w:trPr>
          <w:cantSplit/>
        </w:trPr>
        <w:tc>
          <w:tcPr>
            <w:tcW w:w="3970" w:type="dxa"/>
          </w:tcPr>
          <w:p w14:paraId="45077C2D" w14:textId="77777777" w:rsidR="00FA7EBF" w:rsidRPr="007939DD" w:rsidRDefault="00FA7EBF" w:rsidP="007B207C">
            <w:pPr>
              <w:pStyle w:val="ARfintablebodybold"/>
              <w:rPr>
                <w:rStyle w:val="Strong"/>
              </w:rPr>
            </w:pPr>
            <w:r w:rsidRPr="00F559A3">
              <w:t>Total impact</w:t>
            </w:r>
          </w:p>
        </w:tc>
        <w:tc>
          <w:tcPr>
            <w:tcW w:w="1129" w:type="dxa"/>
          </w:tcPr>
          <w:p w14:paraId="4B339F8A" w14:textId="77777777" w:rsidR="00FA7EBF" w:rsidRPr="007939DD" w:rsidRDefault="00FA7EBF" w:rsidP="007B207C">
            <w:pPr>
              <w:pStyle w:val="ARfintablebodyrightbold"/>
              <w:rPr>
                <w:rStyle w:val="Strong"/>
              </w:rPr>
            </w:pPr>
            <w:r w:rsidRPr="00F559A3">
              <w:t>1,424.0</w:t>
            </w:r>
          </w:p>
        </w:tc>
        <w:tc>
          <w:tcPr>
            <w:tcW w:w="1135" w:type="dxa"/>
          </w:tcPr>
          <w:p w14:paraId="167C5F21" w14:textId="77777777" w:rsidR="00FA7EBF" w:rsidRPr="007939DD" w:rsidRDefault="00FA7EBF" w:rsidP="007B207C">
            <w:pPr>
              <w:pStyle w:val="ARfintablebodyrightbold"/>
              <w:rPr>
                <w:lang w:eastAsia="en-AU"/>
              </w:rPr>
            </w:pPr>
            <w:r w:rsidRPr="00F559A3">
              <w:t>–</w:t>
            </w:r>
          </w:p>
        </w:tc>
        <w:tc>
          <w:tcPr>
            <w:tcW w:w="1135" w:type="dxa"/>
          </w:tcPr>
          <w:p w14:paraId="3C5A4157" w14:textId="77777777" w:rsidR="00FA7EBF" w:rsidRPr="007939DD" w:rsidRDefault="00FA7EBF" w:rsidP="007B207C">
            <w:pPr>
              <w:pStyle w:val="ARfintablebodyrightbold"/>
              <w:rPr>
                <w:lang w:eastAsia="en-AU"/>
              </w:rPr>
            </w:pPr>
            <w:r w:rsidRPr="00F559A3">
              <w:t>–</w:t>
            </w:r>
          </w:p>
        </w:tc>
        <w:tc>
          <w:tcPr>
            <w:tcW w:w="1135" w:type="dxa"/>
          </w:tcPr>
          <w:p w14:paraId="6D8983F7" w14:textId="77777777" w:rsidR="00FA7EBF" w:rsidRPr="007939DD" w:rsidRDefault="00FA7EBF" w:rsidP="007B207C">
            <w:pPr>
              <w:pStyle w:val="ARfintablebodyrightbold"/>
              <w:rPr>
                <w:lang w:eastAsia="en-AU"/>
              </w:rPr>
            </w:pPr>
            <w:r w:rsidRPr="00F559A3">
              <w:t>–</w:t>
            </w:r>
          </w:p>
        </w:tc>
        <w:tc>
          <w:tcPr>
            <w:tcW w:w="1135" w:type="dxa"/>
          </w:tcPr>
          <w:p w14:paraId="4F988102" w14:textId="77777777" w:rsidR="00FA7EBF" w:rsidRPr="007939DD" w:rsidRDefault="00FA7EBF" w:rsidP="007B207C">
            <w:pPr>
              <w:pStyle w:val="ARfintablebodyrightbold"/>
              <w:rPr>
                <w:rStyle w:val="Strong"/>
              </w:rPr>
            </w:pPr>
            <w:r w:rsidRPr="00F559A3">
              <w:t>–</w:t>
            </w:r>
          </w:p>
        </w:tc>
      </w:tr>
    </w:tbl>
    <w:p w14:paraId="3731673A" w14:textId="77777777" w:rsidR="00FA7EBF" w:rsidRPr="00194D78" w:rsidRDefault="00FA7EBF" w:rsidP="00CA66FD">
      <w:pPr>
        <w:pStyle w:val="ARfintablefootnote"/>
        <w:rPr>
          <w:lang w:eastAsia="en-AU"/>
        </w:rPr>
      </w:pPr>
      <w:r w:rsidRPr="00194D78">
        <w:rPr>
          <w:lang w:eastAsia="en-AU"/>
        </w:rPr>
        <w:t>Notes:</w:t>
      </w:r>
    </w:p>
    <w:p w14:paraId="7D51FE00" w14:textId="77777777" w:rsidR="00FA7EBF" w:rsidRPr="00194D78" w:rsidRDefault="00FA7EBF" w:rsidP="00CA66FD">
      <w:pPr>
        <w:pStyle w:val="ARfintablefootnoteindent"/>
      </w:pPr>
      <w:r w:rsidRPr="00194D78">
        <w:t>(i)</w:t>
      </w:r>
      <w:r>
        <w:tab/>
      </w:r>
      <w:r w:rsidRPr="00194D78">
        <w:t>All cash and deposits are held in Australian dollars and were held on deposits at fixed and variable interest rates. This item is not subject to any other identified risk sensitivities.</w:t>
      </w:r>
    </w:p>
    <w:p w14:paraId="4D8A2F59" w14:textId="77777777" w:rsidR="00FA7EBF" w:rsidRPr="00194D78" w:rsidRDefault="00FA7EBF" w:rsidP="00CA66FD">
      <w:pPr>
        <w:pStyle w:val="ARfintablefootnoteindent"/>
      </w:pPr>
      <w:r w:rsidRPr="00194D78">
        <w:t>(ii)</w:t>
      </w:r>
      <w:r>
        <w:tab/>
      </w:r>
      <w:r w:rsidRPr="00194D78">
        <w:t>The carrying amount is denominated in Australian dollars and is non-interest bearing. This item is not subject to the identified risk sensitivities.</w:t>
      </w:r>
    </w:p>
    <w:p w14:paraId="49475228" w14:textId="77777777" w:rsidR="00FA7EBF" w:rsidRPr="00194D78" w:rsidRDefault="00FA7EBF" w:rsidP="00CA66FD">
      <w:pPr>
        <w:pStyle w:val="ARfintablefootnoteindent"/>
      </w:pPr>
      <w:r w:rsidRPr="00194D78">
        <w:t>(iii)</w:t>
      </w:r>
      <w:r>
        <w:tab/>
      </w:r>
      <w:r w:rsidRPr="00194D78">
        <w:t>The total amounts disclosed here exclude statutory amounts, for example, amounts owing to/from Victorian Government and GST input tax credit recoverable and taxes payable.</w:t>
      </w:r>
    </w:p>
    <w:p w14:paraId="5027A6CA" w14:textId="77777777" w:rsidR="00FA7EBF" w:rsidRPr="00194D78" w:rsidRDefault="00FA7EBF" w:rsidP="00CA66FD">
      <w:pPr>
        <w:pStyle w:val="ARfintablefootnoteindent"/>
      </w:pPr>
      <w:r w:rsidRPr="00194D78">
        <w:t>(iv</w:t>
      </w:r>
      <w:r>
        <w:t>)</w:t>
      </w:r>
      <w:r>
        <w:tab/>
      </w:r>
      <w:r w:rsidRPr="00194D78">
        <w:t>Borrowings are denominated in Australian dollars. $33.0 million (2018: $51.7 million) relates to finance lease liabilities associated with motor vehicles. Each contract has interest fixed at the inception of the lease.</w:t>
      </w:r>
    </w:p>
    <w:p w14:paraId="1C36808E" w14:textId="77777777" w:rsidR="00FA7EBF" w:rsidRPr="00134346" w:rsidRDefault="00FA7EBF" w:rsidP="00CA66FD">
      <w:pPr>
        <w:pStyle w:val="ARfinbody"/>
      </w:pPr>
      <w:r w:rsidRPr="00134346">
        <w:br w:type="page"/>
      </w:r>
    </w:p>
    <w:p w14:paraId="71EE9403" w14:textId="77777777" w:rsidR="00FA7EBF" w:rsidRPr="00194D78" w:rsidRDefault="00FA7EBF" w:rsidP="00CA66FD">
      <w:pPr>
        <w:pStyle w:val="Heading4"/>
        <w:rPr>
          <w:lang w:eastAsia="en-AU"/>
        </w:rPr>
      </w:pPr>
      <w:r w:rsidRPr="00194D78">
        <w:rPr>
          <w:lang w:eastAsia="en-AU"/>
        </w:rPr>
        <w:t>8.2 Contingent assets and contingent liabilities</w:t>
      </w:r>
    </w:p>
    <w:p w14:paraId="68B11B6B" w14:textId="77777777" w:rsidR="00FA7EBF" w:rsidRDefault="00FA7EBF" w:rsidP="00CA66FD">
      <w:pPr>
        <w:pStyle w:val="ARfinbody"/>
      </w:pPr>
      <w:r w:rsidRPr="00194D78">
        <w:t>Contingent assets and contingent liabilities are not recognised in the balance sheet, but are disclosed by way of a disclosure and, if</w:t>
      </w:r>
      <w:r>
        <w:t> </w:t>
      </w:r>
      <w:r w:rsidRPr="00194D78">
        <w:t>quantifiable, are stated at nominal value. Contingent assets and liabilities are presented inclusive of GST receivable or payable respectively.</w:t>
      </w:r>
    </w:p>
    <w:p w14:paraId="6D75BA1A" w14:textId="77777777" w:rsidR="00FA7EBF" w:rsidRPr="00194D78" w:rsidRDefault="00FA7EBF" w:rsidP="00CA66FD">
      <w:pPr>
        <w:pStyle w:val="Heading5"/>
        <w:rPr>
          <w:lang w:eastAsia="en-AU"/>
        </w:rPr>
      </w:pPr>
      <w:r w:rsidRPr="00194D78">
        <w:rPr>
          <w:lang w:eastAsia="en-AU"/>
        </w:rPr>
        <w:t>Contingent assets</w:t>
      </w:r>
    </w:p>
    <w:p w14:paraId="5871564E" w14:textId="77777777" w:rsidR="00FA7EBF" w:rsidRPr="00194D78" w:rsidRDefault="00FA7EBF" w:rsidP="00CA66FD">
      <w:pPr>
        <w:pStyle w:val="ARfinbody"/>
      </w:pPr>
      <w:r w:rsidRPr="00194D78">
        <w:t>Contingent assets are possible assets that arise from past events, whose existence will be confirmed only by the occurrence or non-occurrence of one or more uncertain future events not wholly within the control of the entity.</w:t>
      </w:r>
    </w:p>
    <w:p w14:paraId="0F08C6AE" w14:textId="77777777" w:rsidR="00FA7EBF" w:rsidRDefault="00FA7EBF" w:rsidP="00CA66FD">
      <w:pPr>
        <w:pStyle w:val="ARfinbodylargespace"/>
      </w:pPr>
      <w:r w:rsidRPr="00194D78">
        <w:t>These are classified as either quantifiable, where the potential economic benefit is known, or non-quantifiable.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851"/>
        <w:gridCol w:w="6520"/>
        <w:gridCol w:w="1134"/>
        <w:gridCol w:w="1134"/>
      </w:tblGrid>
      <w:tr w:rsidR="00FA7EBF" w:rsidRPr="007939DD" w14:paraId="39B4F9A3" w14:textId="77777777" w:rsidTr="007B207C">
        <w:trPr>
          <w:cantSplit/>
          <w:tblHeader/>
        </w:trPr>
        <w:tc>
          <w:tcPr>
            <w:tcW w:w="851" w:type="dxa"/>
            <w:vAlign w:val="bottom"/>
          </w:tcPr>
          <w:p w14:paraId="5EBABA9B" w14:textId="77777777" w:rsidR="00FA7EBF" w:rsidRPr="007939DD" w:rsidRDefault="00FA7EBF" w:rsidP="007B207C">
            <w:pPr>
              <w:autoSpaceDE w:val="0"/>
              <w:autoSpaceDN w:val="0"/>
              <w:adjustRightInd w:val="0"/>
              <w:spacing w:beforeLines="40" w:before="96" w:afterLines="20" w:after="48"/>
              <w:rPr>
                <w:rFonts w:cs="Arial"/>
                <w:b/>
                <w:bCs/>
                <w:color w:val="000000"/>
                <w:sz w:val="16"/>
                <w:szCs w:val="16"/>
              </w:rPr>
            </w:pPr>
          </w:p>
        </w:tc>
        <w:tc>
          <w:tcPr>
            <w:tcW w:w="6520" w:type="dxa"/>
            <w:vAlign w:val="bottom"/>
          </w:tcPr>
          <w:p w14:paraId="3C95AB65" w14:textId="77777777" w:rsidR="00FA7EBF" w:rsidRPr="007939DD" w:rsidRDefault="00FA7EBF" w:rsidP="007B207C">
            <w:pPr>
              <w:pStyle w:val="ARfintablecolhead"/>
            </w:pPr>
          </w:p>
        </w:tc>
        <w:tc>
          <w:tcPr>
            <w:tcW w:w="1134" w:type="dxa"/>
            <w:shd w:val="clear" w:color="auto" w:fill="E7E6E6"/>
            <w:vAlign w:val="bottom"/>
          </w:tcPr>
          <w:p w14:paraId="54DD086C" w14:textId="77777777" w:rsidR="00FA7EBF" w:rsidRPr="007939DD" w:rsidRDefault="00FA7EBF" w:rsidP="007B207C">
            <w:pPr>
              <w:pStyle w:val="ARfintablecolheadright"/>
            </w:pPr>
            <w:r w:rsidRPr="007939DD">
              <w:t>201</w:t>
            </w:r>
            <w:r>
              <w:t>9</w:t>
            </w:r>
          </w:p>
          <w:p w14:paraId="3E99030E" w14:textId="77777777" w:rsidR="00FA7EBF" w:rsidRPr="007939DD" w:rsidRDefault="00FA7EBF" w:rsidP="007B207C">
            <w:pPr>
              <w:pStyle w:val="ARfintablecolheadright"/>
            </w:pPr>
            <w:r w:rsidRPr="007939DD">
              <w:t>$M</w:t>
            </w:r>
          </w:p>
        </w:tc>
        <w:tc>
          <w:tcPr>
            <w:tcW w:w="1134" w:type="dxa"/>
            <w:vAlign w:val="bottom"/>
          </w:tcPr>
          <w:p w14:paraId="0F17188A" w14:textId="77777777" w:rsidR="00FA7EBF" w:rsidRPr="007939DD" w:rsidRDefault="00FA7EBF" w:rsidP="007B207C">
            <w:pPr>
              <w:pStyle w:val="ARfintablecolheadright"/>
            </w:pPr>
            <w:r w:rsidRPr="007939DD">
              <w:t>201</w:t>
            </w:r>
            <w:r>
              <w:t>8</w:t>
            </w:r>
          </w:p>
          <w:p w14:paraId="0415218E" w14:textId="77777777" w:rsidR="00FA7EBF" w:rsidRPr="007939DD" w:rsidRDefault="00FA7EBF" w:rsidP="007B207C">
            <w:pPr>
              <w:pStyle w:val="ARfintablecolheadright"/>
            </w:pPr>
            <w:r w:rsidRPr="007939DD">
              <w:t>$M</w:t>
            </w:r>
          </w:p>
        </w:tc>
      </w:tr>
      <w:tr w:rsidR="00FA7EBF" w:rsidRPr="007939DD" w14:paraId="2FC5D124" w14:textId="77777777" w:rsidTr="007B207C">
        <w:trPr>
          <w:cantSplit/>
        </w:trPr>
        <w:tc>
          <w:tcPr>
            <w:tcW w:w="9639" w:type="dxa"/>
            <w:gridSpan w:val="4"/>
            <w:tcBorders>
              <w:bottom w:val="single" w:sz="4" w:space="0" w:color="A6A6A6" w:themeColor="background1" w:themeShade="A6"/>
            </w:tcBorders>
          </w:tcPr>
          <w:p w14:paraId="6ED9ACC4" w14:textId="77777777" w:rsidR="00FA7EBF" w:rsidRPr="007939DD" w:rsidRDefault="00FA7EBF" w:rsidP="007B207C">
            <w:pPr>
              <w:pStyle w:val="ARfintablebodybold"/>
              <w:rPr>
                <w:lang w:eastAsia="en-AU"/>
              </w:rPr>
            </w:pPr>
            <w:r w:rsidRPr="006E4233">
              <w:t>Quantifiable contingent assets</w:t>
            </w:r>
          </w:p>
        </w:tc>
      </w:tr>
      <w:tr w:rsidR="00FA7EBF" w:rsidRPr="007939DD" w14:paraId="27E1ACA3" w14:textId="77777777" w:rsidTr="007B207C">
        <w:trPr>
          <w:cantSplit/>
        </w:trPr>
        <w:tc>
          <w:tcPr>
            <w:tcW w:w="851" w:type="dxa"/>
            <w:tcBorders>
              <w:top w:val="single" w:sz="4" w:space="0" w:color="A6A6A6" w:themeColor="background1" w:themeShade="A6"/>
              <w:bottom w:val="single" w:sz="4" w:space="0" w:color="A6A6A6" w:themeColor="background1" w:themeShade="A6"/>
            </w:tcBorders>
          </w:tcPr>
          <w:p w14:paraId="52F52852" w14:textId="77777777" w:rsidR="00FA7EBF" w:rsidRPr="007939DD" w:rsidRDefault="00FA7EBF" w:rsidP="007B207C">
            <w:pPr>
              <w:pStyle w:val="ARfintablebody"/>
              <w:rPr>
                <w:lang w:eastAsia="en-AU"/>
              </w:rPr>
            </w:pPr>
          </w:p>
        </w:tc>
        <w:tc>
          <w:tcPr>
            <w:tcW w:w="8788" w:type="dxa"/>
            <w:gridSpan w:val="3"/>
            <w:tcBorders>
              <w:top w:val="single" w:sz="4" w:space="0" w:color="A6A6A6" w:themeColor="background1" w:themeShade="A6"/>
              <w:bottom w:val="single" w:sz="4" w:space="0" w:color="A6A6A6" w:themeColor="background1" w:themeShade="A6"/>
            </w:tcBorders>
          </w:tcPr>
          <w:p w14:paraId="2218AE41" w14:textId="77777777" w:rsidR="00FA7EBF" w:rsidRPr="007939DD" w:rsidRDefault="00FA7EBF" w:rsidP="007B207C">
            <w:pPr>
              <w:pStyle w:val="ARfintablebody"/>
              <w:rPr>
                <w:lang w:eastAsia="en-AU"/>
              </w:rPr>
            </w:pPr>
            <w:r w:rsidRPr="00C301E6">
              <w:t>Details and estimates of contingent assets are as follows:</w:t>
            </w:r>
          </w:p>
        </w:tc>
      </w:tr>
      <w:tr w:rsidR="00FA7EBF" w:rsidRPr="007939DD" w14:paraId="2823A60E" w14:textId="77777777" w:rsidTr="007B207C">
        <w:trPr>
          <w:cantSplit/>
        </w:trPr>
        <w:tc>
          <w:tcPr>
            <w:tcW w:w="851" w:type="dxa"/>
            <w:tcBorders>
              <w:top w:val="single" w:sz="4" w:space="0" w:color="A6A6A6" w:themeColor="background1" w:themeShade="A6"/>
              <w:bottom w:val="single" w:sz="4" w:space="0" w:color="A6A6A6" w:themeColor="background1" w:themeShade="A6"/>
            </w:tcBorders>
          </w:tcPr>
          <w:p w14:paraId="17A8A576" w14:textId="77777777" w:rsidR="00FA7EBF" w:rsidRPr="007939DD" w:rsidRDefault="00FA7EBF" w:rsidP="007B207C">
            <w:pPr>
              <w:pStyle w:val="ARfintablebody"/>
              <w:rPr>
                <w:lang w:eastAsia="en-AU"/>
              </w:rPr>
            </w:pPr>
            <w:r w:rsidRPr="00F33D51">
              <w:t>(a)</w:t>
            </w:r>
          </w:p>
        </w:tc>
        <w:tc>
          <w:tcPr>
            <w:tcW w:w="8788" w:type="dxa"/>
            <w:gridSpan w:val="3"/>
            <w:tcBorders>
              <w:top w:val="single" w:sz="4" w:space="0" w:color="A6A6A6" w:themeColor="background1" w:themeShade="A6"/>
              <w:bottom w:val="single" w:sz="4" w:space="0" w:color="A6A6A6" w:themeColor="background1" w:themeShade="A6"/>
            </w:tcBorders>
          </w:tcPr>
          <w:p w14:paraId="3BE054D8" w14:textId="77777777" w:rsidR="00FA7EBF" w:rsidRPr="007939DD" w:rsidRDefault="00FA7EBF" w:rsidP="007B207C">
            <w:pPr>
              <w:pStyle w:val="ARfintablebody"/>
              <w:rPr>
                <w:lang w:eastAsia="en-AU"/>
              </w:rPr>
            </w:pPr>
            <w:r w:rsidRPr="00C301E6">
              <w:t>Bank guarantee held for:</w:t>
            </w:r>
          </w:p>
        </w:tc>
      </w:tr>
      <w:tr w:rsidR="00FA7EBF" w:rsidRPr="007939DD" w14:paraId="52C9AEED" w14:textId="77777777" w:rsidTr="007B207C">
        <w:trPr>
          <w:cantSplit/>
        </w:trPr>
        <w:tc>
          <w:tcPr>
            <w:tcW w:w="851" w:type="dxa"/>
            <w:tcBorders>
              <w:top w:val="single" w:sz="4" w:space="0" w:color="A6A6A6" w:themeColor="background1" w:themeShade="A6"/>
              <w:bottom w:val="single" w:sz="4" w:space="0" w:color="A6A6A6" w:themeColor="background1" w:themeShade="A6"/>
            </w:tcBorders>
          </w:tcPr>
          <w:p w14:paraId="7AA63AC7" w14:textId="77777777" w:rsidR="00FA7EBF" w:rsidRPr="007939DD" w:rsidRDefault="00FA7EBF" w:rsidP="007B207C">
            <w:pPr>
              <w:pStyle w:val="ARfintablebody"/>
              <w:rPr>
                <w:lang w:eastAsia="en-AU"/>
              </w:rPr>
            </w:pPr>
          </w:p>
        </w:tc>
        <w:tc>
          <w:tcPr>
            <w:tcW w:w="6520" w:type="dxa"/>
            <w:tcBorders>
              <w:top w:val="single" w:sz="4" w:space="0" w:color="A6A6A6" w:themeColor="background1" w:themeShade="A6"/>
              <w:bottom w:val="single" w:sz="4" w:space="0" w:color="A6A6A6" w:themeColor="background1" w:themeShade="A6"/>
            </w:tcBorders>
          </w:tcPr>
          <w:p w14:paraId="5629E060" w14:textId="77777777" w:rsidR="00FA7EBF" w:rsidRPr="007939DD" w:rsidRDefault="00FA7EBF" w:rsidP="007B207C">
            <w:pPr>
              <w:pStyle w:val="ARfintablebody"/>
              <w:rPr>
                <w:lang w:eastAsia="en-AU"/>
              </w:rPr>
            </w:pPr>
            <w:r w:rsidRPr="00C301E6">
              <w:t>– building contracts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F9194EC" w14:textId="77777777" w:rsidR="00FA7EBF" w:rsidRPr="007939DD" w:rsidRDefault="00FA7EBF" w:rsidP="007B207C">
            <w:pPr>
              <w:pStyle w:val="ARfintablebodyright"/>
              <w:rPr>
                <w:lang w:eastAsia="en-AU"/>
              </w:rPr>
            </w:pPr>
            <w:r w:rsidRPr="002342C2">
              <w:t>17.5</w:t>
            </w:r>
          </w:p>
        </w:tc>
        <w:tc>
          <w:tcPr>
            <w:tcW w:w="1134" w:type="dxa"/>
            <w:tcBorders>
              <w:top w:val="single" w:sz="4" w:space="0" w:color="A6A6A6" w:themeColor="background1" w:themeShade="A6"/>
              <w:bottom w:val="single" w:sz="4" w:space="0" w:color="A6A6A6" w:themeColor="background1" w:themeShade="A6"/>
            </w:tcBorders>
          </w:tcPr>
          <w:p w14:paraId="2F0AF79B" w14:textId="77777777" w:rsidR="00FA7EBF" w:rsidRPr="007939DD" w:rsidRDefault="00FA7EBF" w:rsidP="007B207C">
            <w:pPr>
              <w:pStyle w:val="ARfintablebodyright"/>
              <w:rPr>
                <w:lang w:eastAsia="en-AU"/>
              </w:rPr>
            </w:pPr>
            <w:r w:rsidRPr="002342C2">
              <w:t>14.2</w:t>
            </w:r>
          </w:p>
        </w:tc>
      </w:tr>
      <w:tr w:rsidR="00FA7EBF" w:rsidRPr="007939DD" w14:paraId="0C60416B" w14:textId="77777777" w:rsidTr="007B207C">
        <w:trPr>
          <w:cantSplit/>
        </w:trPr>
        <w:tc>
          <w:tcPr>
            <w:tcW w:w="851" w:type="dxa"/>
            <w:tcBorders>
              <w:top w:val="single" w:sz="4" w:space="0" w:color="A6A6A6" w:themeColor="background1" w:themeShade="A6"/>
              <w:bottom w:val="single" w:sz="4" w:space="0" w:color="A6A6A6" w:themeColor="background1" w:themeShade="A6"/>
            </w:tcBorders>
          </w:tcPr>
          <w:p w14:paraId="1E48AE17" w14:textId="77777777" w:rsidR="00FA7EBF" w:rsidRPr="007939DD" w:rsidRDefault="00FA7EBF" w:rsidP="007B207C">
            <w:pPr>
              <w:pStyle w:val="ARfintablebody"/>
              <w:rPr>
                <w:lang w:eastAsia="en-AU"/>
              </w:rPr>
            </w:pPr>
            <w:r w:rsidRPr="00F33D51">
              <w:t>(b)</w:t>
            </w:r>
          </w:p>
        </w:tc>
        <w:tc>
          <w:tcPr>
            <w:tcW w:w="6520" w:type="dxa"/>
            <w:tcBorders>
              <w:top w:val="single" w:sz="4" w:space="0" w:color="A6A6A6" w:themeColor="background1" w:themeShade="A6"/>
              <w:bottom w:val="single" w:sz="4" w:space="0" w:color="A6A6A6" w:themeColor="background1" w:themeShade="A6"/>
            </w:tcBorders>
          </w:tcPr>
          <w:p w14:paraId="654B62B9" w14:textId="77777777" w:rsidR="00FA7EBF" w:rsidRPr="007939DD" w:rsidRDefault="00FA7EBF" w:rsidP="007B207C">
            <w:pPr>
              <w:pStyle w:val="ARfintablebody"/>
              <w:rPr>
                <w:lang w:eastAsia="en-AU"/>
              </w:rPr>
            </w:pPr>
            <w:r w:rsidRPr="00C301E6">
              <w:t>Letter of comfort held for Community Chef recallable grant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8174028" w14:textId="77777777" w:rsidR="00FA7EBF" w:rsidRPr="007939DD" w:rsidRDefault="00FA7EBF" w:rsidP="007B207C">
            <w:pPr>
              <w:pStyle w:val="ARfintablebodyright"/>
              <w:rPr>
                <w:lang w:eastAsia="en-AU"/>
              </w:rPr>
            </w:pPr>
            <w:r w:rsidRPr="002342C2">
              <w:t>3.1</w:t>
            </w:r>
          </w:p>
        </w:tc>
        <w:tc>
          <w:tcPr>
            <w:tcW w:w="1134" w:type="dxa"/>
            <w:tcBorders>
              <w:top w:val="single" w:sz="4" w:space="0" w:color="A6A6A6" w:themeColor="background1" w:themeShade="A6"/>
              <w:bottom w:val="single" w:sz="4" w:space="0" w:color="A6A6A6" w:themeColor="background1" w:themeShade="A6"/>
            </w:tcBorders>
          </w:tcPr>
          <w:p w14:paraId="4F04F60D" w14:textId="77777777" w:rsidR="00FA7EBF" w:rsidRPr="007939DD" w:rsidRDefault="00FA7EBF" w:rsidP="007B207C">
            <w:pPr>
              <w:pStyle w:val="ARfintablebodyright"/>
              <w:rPr>
                <w:lang w:eastAsia="en-AU"/>
              </w:rPr>
            </w:pPr>
            <w:r w:rsidRPr="002342C2">
              <w:t>2.9</w:t>
            </w:r>
          </w:p>
        </w:tc>
      </w:tr>
      <w:tr w:rsidR="00FA7EBF" w:rsidRPr="007939DD" w14:paraId="315AE092" w14:textId="77777777" w:rsidTr="007B207C">
        <w:trPr>
          <w:cantSplit/>
        </w:trPr>
        <w:tc>
          <w:tcPr>
            <w:tcW w:w="851" w:type="dxa"/>
            <w:tcBorders>
              <w:top w:val="single" w:sz="4" w:space="0" w:color="A6A6A6" w:themeColor="background1" w:themeShade="A6"/>
              <w:bottom w:val="single" w:sz="4" w:space="0" w:color="A6A6A6" w:themeColor="background1" w:themeShade="A6"/>
            </w:tcBorders>
          </w:tcPr>
          <w:p w14:paraId="63BA608A" w14:textId="77777777" w:rsidR="00FA7EBF" w:rsidRPr="007939DD" w:rsidRDefault="00FA7EBF" w:rsidP="007B207C">
            <w:pPr>
              <w:pStyle w:val="ARfintablebody"/>
              <w:rPr>
                <w:lang w:eastAsia="en-AU"/>
              </w:rPr>
            </w:pPr>
            <w:r w:rsidRPr="00F33D51">
              <w:t>(c)</w:t>
            </w:r>
          </w:p>
        </w:tc>
        <w:tc>
          <w:tcPr>
            <w:tcW w:w="6520" w:type="dxa"/>
            <w:tcBorders>
              <w:top w:val="single" w:sz="4" w:space="0" w:color="A6A6A6" w:themeColor="background1" w:themeShade="A6"/>
              <w:bottom w:val="single" w:sz="4" w:space="0" w:color="A6A6A6" w:themeColor="background1" w:themeShade="A6"/>
            </w:tcBorders>
          </w:tcPr>
          <w:p w14:paraId="00167098" w14:textId="77777777" w:rsidR="00FA7EBF" w:rsidRPr="007939DD" w:rsidRDefault="00FA7EBF" w:rsidP="007B207C">
            <w:pPr>
              <w:pStyle w:val="ARfintablebody"/>
              <w:rPr>
                <w:lang w:eastAsia="en-AU"/>
              </w:rPr>
            </w:pPr>
            <w:r w:rsidRPr="00957727">
              <w:t>The department provided recallable capital grants to a number of hospitals and these are recallable by way of future cash flow adjustments. The department has not taken any decision in respect of the need for the recipient hospitals to bear those future cash flow adjustments at this time. Decisions about whether recallable grants are to be repaid are solely at the discretion of the department in consideration of the outcomes arising from the expenditure of the grant funds and other policy considerations. As such, hospitals at this time have no obligation to repay the recallable grant unless the department determines at some point in the future that a cash flow adjustment in respect of the recallable grant it warranted.</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7EA1E41" w14:textId="77777777" w:rsidR="00FA7EBF" w:rsidRPr="007939DD" w:rsidRDefault="00FA7EBF" w:rsidP="007B207C">
            <w:pPr>
              <w:pStyle w:val="ARfintablebodyright"/>
              <w:rPr>
                <w:lang w:eastAsia="en-AU"/>
              </w:rPr>
            </w:pPr>
            <w:r w:rsidRPr="002342C2">
              <w:t>0.2</w:t>
            </w:r>
          </w:p>
        </w:tc>
        <w:tc>
          <w:tcPr>
            <w:tcW w:w="1134" w:type="dxa"/>
            <w:tcBorders>
              <w:top w:val="single" w:sz="4" w:space="0" w:color="A6A6A6" w:themeColor="background1" w:themeShade="A6"/>
              <w:bottom w:val="single" w:sz="4" w:space="0" w:color="A6A6A6" w:themeColor="background1" w:themeShade="A6"/>
            </w:tcBorders>
          </w:tcPr>
          <w:p w14:paraId="6B9795CE" w14:textId="77777777" w:rsidR="00FA7EBF" w:rsidRPr="007939DD" w:rsidRDefault="00FA7EBF" w:rsidP="007B207C">
            <w:pPr>
              <w:pStyle w:val="ARfintablebodyright"/>
              <w:rPr>
                <w:lang w:eastAsia="en-AU"/>
              </w:rPr>
            </w:pPr>
            <w:r w:rsidRPr="002342C2">
              <w:t>0.2</w:t>
            </w:r>
          </w:p>
        </w:tc>
      </w:tr>
      <w:tr w:rsidR="00FA7EBF" w:rsidRPr="007939DD" w14:paraId="324968ED" w14:textId="77777777" w:rsidTr="007B207C">
        <w:trPr>
          <w:cantSplit/>
        </w:trPr>
        <w:tc>
          <w:tcPr>
            <w:tcW w:w="851" w:type="dxa"/>
            <w:tcBorders>
              <w:top w:val="single" w:sz="4" w:space="0" w:color="A6A6A6" w:themeColor="background1" w:themeShade="A6"/>
            </w:tcBorders>
          </w:tcPr>
          <w:p w14:paraId="066607B3" w14:textId="77777777" w:rsidR="00FA7EBF" w:rsidRPr="007939DD" w:rsidRDefault="00FA7EBF" w:rsidP="007B207C">
            <w:pPr>
              <w:pStyle w:val="ARfintablebody"/>
              <w:rPr>
                <w:lang w:eastAsia="en-AU"/>
              </w:rPr>
            </w:pPr>
            <w:r w:rsidRPr="00F33D51">
              <w:t>(d)</w:t>
            </w:r>
          </w:p>
        </w:tc>
        <w:tc>
          <w:tcPr>
            <w:tcW w:w="6520" w:type="dxa"/>
            <w:tcBorders>
              <w:top w:val="single" w:sz="4" w:space="0" w:color="A6A6A6" w:themeColor="background1" w:themeShade="A6"/>
            </w:tcBorders>
          </w:tcPr>
          <w:p w14:paraId="13421C85" w14:textId="77777777" w:rsidR="00FA7EBF" w:rsidRPr="007939DD" w:rsidRDefault="00FA7EBF" w:rsidP="007B207C">
            <w:pPr>
              <w:pStyle w:val="ARfintablebody"/>
              <w:rPr>
                <w:lang w:eastAsia="en-AU"/>
              </w:rPr>
            </w:pPr>
            <w:r w:rsidRPr="00C301E6">
              <w:t>Litigation for the recovery of costs in relation to defective construction work</w:t>
            </w:r>
          </w:p>
        </w:tc>
        <w:tc>
          <w:tcPr>
            <w:tcW w:w="1134" w:type="dxa"/>
            <w:tcBorders>
              <w:top w:val="single" w:sz="4" w:space="0" w:color="A6A6A6" w:themeColor="background1" w:themeShade="A6"/>
            </w:tcBorders>
            <w:shd w:val="clear" w:color="auto" w:fill="E7E6E6"/>
          </w:tcPr>
          <w:p w14:paraId="6A4CE086" w14:textId="77777777" w:rsidR="00FA7EBF" w:rsidRPr="007939DD" w:rsidRDefault="00FA7EBF" w:rsidP="007B207C">
            <w:pPr>
              <w:pStyle w:val="ARfintablebodyright"/>
              <w:rPr>
                <w:lang w:eastAsia="en-AU"/>
              </w:rPr>
            </w:pPr>
            <w:r w:rsidRPr="002342C2">
              <w:t>4.1</w:t>
            </w:r>
          </w:p>
        </w:tc>
        <w:tc>
          <w:tcPr>
            <w:tcW w:w="1134" w:type="dxa"/>
            <w:tcBorders>
              <w:top w:val="single" w:sz="4" w:space="0" w:color="A6A6A6" w:themeColor="background1" w:themeShade="A6"/>
            </w:tcBorders>
          </w:tcPr>
          <w:p w14:paraId="224E5617" w14:textId="77777777" w:rsidR="00FA7EBF" w:rsidRPr="007939DD" w:rsidRDefault="00FA7EBF" w:rsidP="007B207C">
            <w:pPr>
              <w:pStyle w:val="ARfintablebodyright"/>
              <w:rPr>
                <w:lang w:eastAsia="en-AU"/>
              </w:rPr>
            </w:pPr>
            <w:r w:rsidRPr="002342C2">
              <w:t>2.1</w:t>
            </w:r>
          </w:p>
        </w:tc>
      </w:tr>
      <w:tr w:rsidR="00FA7EBF" w:rsidRPr="007939DD" w14:paraId="7B8D92D5" w14:textId="77777777" w:rsidTr="007B207C">
        <w:trPr>
          <w:cantSplit/>
        </w:trPr>
        <w:tc>
          <w:tcPr>
            <w:tcW w:w="851" w:type="dxa"/>
          </w:tcPr>
          <w:p w14:paraId="454B2B42" w14:textId="77777777" w:rsidR="00FA7EBF" w:rsidRPr="007939DD" w:rsidRDefault="00FA7EBF" w:rsidP="007B207C">
            <w:pPr>
              <w:pStyle w:val="ARfintablebodybold"/>
              <w:rPr>
                <w:rStyle w:val="Strong"/>
              </w:rPr>
            </w:pPr>
            <w:r w:rsidRPr="00F33D51">
              <w:t>Total</w:t>
            </w:r>
          </w:p>
        </w:tc>
        <w:tc>
          <w:tcPr>
            <w:tcW w:w="6520" w:type="dxa"/>
          </w:tcPr>
          <w:p w14:paraId="6FC750AD" w14:textId="77777777" w:rsidR="00FA7EBF" w:rsidRPr="007939DD" w:rsidRDefault="00FA7EBF" w:rsidP="007B207C">
            <w:pPr>
              <w:pStyle w:val="ARfintablebody"/>
              <w:rPr>
                <w:lang w:eastAsia="en-AU"/>
              </w:rPr>
            </w:pPr>
          </w:p>
        </w:tc>
        <w:tc>
          <w:tcPr>
            <w:tcW w:w="1134" w:type="dxa"/>
            <w:shd w:val="clear" w:color="auto" w:fill="E7E6E6"/>
          </w:tcPr>
          <w:p w14:paraId="4C6EE48C" w14:textId="77777777" w:rsidR="00FA7EBF" w:rsidRPr="007939DD" w:rsidRDefault="00FA7EBF" w:rsidP="007B207C">
            <w:pPr>
              <w:pStyle w:val="ARfintablebodyrightbold"/>
              <w:rPr>
                <w:lang w:eastAsia="en-AU"/>
              </w:rPr>
            </w:pPr>
            <w:r w:rsidRPr="002342C2">
              <w:t>24.9</w:t>
            </w:r>
          </w:p>
        </w:tc>
        <w:tc>
          <w:tcPr>
            <w:tcW w:w="1134" w:type="dxa"/>
          </w:tcPr>
          <w:p w14:paraId="5542B7AF" w14:textId="77777777" w:rsidR="00FA7EBF" w:rsidRPr="007939DD" w:rsidRDefault="00FA7EBF" w:rsidP="007B207C">
            <w:pPr>
              <w:pStyle w:val="ARfintablebodyrightbold"/>
              <w:rPr>
                <w:rStyle w:val="Strong"/>
              </w:rPr>
            </w:pPr>
            <w:r w:rsidRPr="002342C2">
              <w:t>19.4</w:t>
            </w:r>
          </w:p>
        </w:tc>
      </w:tr>
    </w:tbl>
    <w:p w14:paraId="0146E28E" w14:textId="77777777" w:rsidR="00FA7EBF" w:rsidRPr="00194D78" w:rsidRDefault="00FA7EBF" w:rsidP="00CA66FD">
      <w:pPr>
        <w:pStyle w:val="Heading5"/>
        <w:rPr>
          <w:lang w:eastAsia="en-AU"/>
        </w:rPr>
      </w:pPr>
      <w:r w:rsidRPr="00194D78">
        <w:rPr>
          <w:lang w:eastAsia="en-AU"/>
        </w:rPr>
        <w:t>Contingent liabilities</w:t>
      </w:r>
    </w:p>
    <w:p w14:paraId="176E07BA" w14:textId="77777777" w:rsidR="00FA7EBF" w:rsidRPr="00194D78" w:rsidRDefault="00FA7EBF" w:rsidP="00CA66FD">
      <w:pPr>
        <w:pStyle w:val="ARfinbody"/>
      </w:pPr>
      <w:r w:rsidRPr="00194D78">
        <w:t>Contingent liabilities are:</w:t>
      </w:r>
    </w:p>
    <w:p w14:paraId="732B2F81" w14:textId="77777777" w:rsidR="00FA7EBF" w:rsidRPr="00194D78" w:rsidRDefault="00FA7EBF" w:rsidP="00CA66FD">
      <w:pPr>
        <w:pStyle w:val="ARfinbullet1"/>
        <w:numPr>
          <w:ilvl w:val="0"/>
          <w:numId w:val="4"/>
        </w:numPr>
      </w:pPr>
      <w:r w:rsidRPr="00194D78">
        <w:t>possible obligations that arise from past events, whose existence will be confirmed only by the occurrence or non-occurrence of one or more</w:t>
      </w:r>
      <w:r>
        <w:t xml:space="preserve"> </w:t>
      </w:r>
      <w:r w:rsidRPr="00194D78">
        <w:t>uncertain future events not wholly within the control of the entity, or</w:t>
      </w:r>
    </w:p>
    <w:p w14:paraId="5ACA5166" w14:textId="77777777" w:rsidR="00FA7EBF" w:rsidRDefault="00FA7EBF" w:rsidP="00CA66FD">
      <w:pPr>
        <w:pStyle w:val="ARfinbullet1"/>
        <w:numPr>
          <w:ilvl w:val="0"/>
          <w:numId w:val="4"/>
        </w:numPr>
      </w:pPr>
      <w:r w:rsidRPr="00194D78">
        <w:t>present obligations that arise from past events but are not recognised because:</w:t>
      </w:r>
    </w:p>
    <w:p w14:paraId="1EA19D15" w14:textId="77777777" w:rsidR="00FA7EBF" w:rsidRDefault="00FA7EBF" w:rsidP="00CA66FD">
      <w:pPr>
        <w:pStyle w:val="ARfinbullet2"/>
        <w:numPr>
          <w:ilvl w:val="1"/>
          <w:numId w:val="4"/>
        </w:numPr>
      </w:pPr>
      <w:r w:rsidRPr="00194D78">
        <w:t>it is not probable that an outflow of resources embodying economic benefits will be required to settle the obligations, or</w:t>
      </w:r>
    </w:p>
    <w:p w14:paraId="3913FF1A" w14:textId="77777777" w:rsidR="00FA7EBF" w:rsidRPr="00194D78" w:rsidRDefault="00FA7EBF" w:rsidP="00CA66FD">
      <w:pPr>
        <w:pStyle w:val="ARfinbullet2"/>
        <w:numPr>
          <w:ilvl w:val="1"/>
          <w:numId w:val="4"/>
        </w:numPr>
      </w:pPr>
      <w:r w:rsidRPr="00194D78">
        <w:t>the amount of the obligations cannot be measured with sufficient reliability.</w:t>
      </w:r>
    </w:p>
    <w:p w14:paraId="4F2E656E" w14:textId="77777777" w:rsidR="00FA7EBF" w:rsidRDefault="00FA7EBF" w:rsidP="00CA66FD">
      <w:pPr>
        <w:pStyle w:val="ARfinbody"/>
      </w:pPr>
      <w:r w:rsidRPr="00194D78">
        <w:t>Contingent liabilities are also classified as either quantifiable or non-quantifiable.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851"/>
        <w:gridCol w:w="6520"/>
        <w:gridCol w:w="1134"/>
        <w:gridCol w:w="1134"/>
      </w:tblGrid>
      <w:tr w:rsidR="00FA7EBF" w:rsidRPr="007939DD" w14:paraId="4F25233D" w14:textId="77777777" w:rsidTr="007B207C">
        <w:trPr>
          <w:cantSplit/>
          <w:tblHeader/>
        </w:trPr>
        <w:tc>
          <w:tcPr>
            <w:tcW w:w="851" w:type="dxa"/>
            <w:vAlign w:val="bottom"/>
          </w:tcPr>
          <w:p w14:paraId="41F616C3" w14:textId="77777777" w:rsidR="00FA7EBF" w:rsidRPr="007939DD" w:rsidRDefault="00FA7EBF" w:rsidP="007B207C">
            <w:pPr>
              <w:autoSpaceDE w:val="0"/>
              <w:autoSpaceDN w:val="0"/>
              <w:adjustRightInd w:val="0"/>
              <w:spacing w:beforeLines="40" w:before="96" w:afterLines="20" w:after="48"/>
              <w:rPr>
                <w:rFonts w:cs="Arial"/>
                <w:b/>
                <w:bCs/>
                <w:color w:val="000000"/>
                <w:sz w:val="16"/>
                <w:szCs w:val="16"/>
              </w:rPr>
            </w:pPr>
          </w:p>
        </w:tc>
        <w:tc>
          <w:tcPr>
            <w:tcW w:w="6520" w:type="dxa"/>
            <w:vAlign w:val="bottom"/>
          </w:tcPr>
          <w:p w14:paraId="18D3FC9A" w14:textId="77777777" w:rsidR="00FA7EBF" w:rsidRPr="007939DD" w:rsidRDefault="00FA7EBF" w:rsidP="007B207C">
            <w:pPr>
              <w:pStyle w:val="ARfintablecolhead"/>
            </w:pPr>
          </w:p>
        </w:tc>
        <w:tc>
          <w:tcPr>
            <w:tcW w:w="1134" w:type="dxa"/>
            <w:shd w:val="clear" w:color="auto" w:fill="E7E6E6"/>
            <w:vAlign w:val="bottom"/>
          </w:tcPr>
          <w:p w14:paraId="178E578B" w14:textId="77777777" w:rsidR="00FA7EBF" w:rsidRPr="007939DD" w:rsidRDefault="00FA7EBF" w:rsidP="007B207C">
            <w:pPr>
              <w:pStyle w:val="ARfintablecolheadright"/>
            </w:pPr>
            <w:r w:rsidRPr="007939DD">
              <w:t>201</w:t>
            </w:r>
            <w:r>
              <w:t>9</w:t>
            </w:r>
          </w:p>
          <w:p w14:paraId="4AC140CB" w14:textId="77777777" w:rsidR="00FA7EBF" w:rsidRPr="007939DD" w:rsidRDefault="00FA7EBF" w:rsidP="007B207C">
            <w:pPr>
              <w:pStyle w:val="ARfintablecolheadright"/>
            </w:pPr>
            <w:r w:rsidRPr="007939DD">
              <w:t>$M</w:t>
            </w:r>
          </w:p>
        </w:tc>
        <w:tc>
          <w:tcPr>
            <w:tcW w:w="1134" w:type="dxa"/>
            <w:vAlign w:val="bottom"/>
          </w:tcPr>
          <w:p w14:paraId="72DF88A8" w14:textId="77777777" w:rsidR="00FA7EBF" w:rsidRPr="007939DD" w:rsidRDefault="00FA7EBF" w:rsidP="007B207C">
            <w:pPr>
              <w:pStyle w:val="ARfintablecolheadright"/>
            </w:pPr>
            <w:r w:rsidRPr="007939DD">
              <w:t>201</w:t>
            </w:r>
            <w:r>
              <w:t>8</w:t>
            </w:r>
          </w:p>
          <w:p w14:paraId="048A77DE" w14:textId="77777777" w:rsidR="00FA7EBF" w:rsidRPr="007939DD" w:rsidRDefault="00FA7EBF" w:rsidP="007B207C">
            <w:pPr>
              <w:pStyle w:val="ARfintablecolheadright"/>
            </w:pPr>
            <w:r w:rsidRPr="007939DD">
              <w:t>$M</w:t>
            </w:r>
          </w:p>
        </w:tc>
      </w:tr>
      <w:tr w:rsidR="00FA7EBF" w:rsidRPr="007939DD" w14:paraId="6358A02D" w14:textId="77777777" w:rsidTr="007B207C">
        <w:trPr>
          <w:cantSplit/>
        </w:trPr>
        <w:tc>
          <w:tcPr>
            <w:tcW w:w="9639" w:type="dxa"/>
            <w:gridSpan w:val="4"/>
            <w:tcBorders>
              <w:bottom w:val="single" w:sz="4" w:space="0" w:color="A6A6A6" w:themeColor="background1" w:themeShade="A6"/>
            </w:tcBorders>
          </w:tcPr>
          <w:p w14:paraId="5EC5BFB6" w14:textId="77777777" w:rsidR="00FA7EBF" w:rsidRPr="007939DD" w:rsidRDefault="00FA7EBF" w:rsidP="007B207C">
            <w:pPr>
              <w:pStyle w:val="ARfintablebodybold"/>
              <w:rPr>
                <w:lang w:eastAsia="en-AU"/>
              </w:rPr>
            </w:pPr>
            <w:r w:rsidRPr="006E4233">
              <w:t>Quantifiable contingent liabilities</w:t>
            </w:r>
          </w:p>
        </w:tc>
      </w:tr>
      <w:tr w:rsidR="00FA7EBF" w:rsidRPr="007939DD" w14:paraId="59C90B55" w14:textId="77777777" w:rsidTr="007B207C">
        <w:trPr>
          <w:cantSplit/>
        </w:trPr>
        <w:tc>
          <w:tcPr>
            <w:tcW w:w="851" w:type="dxa"/>
            <w:tcBorders>
              <w:top w:val="single" w:sz="4" w:space="0" w:color="A6A6A6" w:themeColor="background1" w:themeShade="A6"/>
              <w:bottom w:val="single" w:sz="4" w:space="0" w:color="A6A6A6" w:themeColor="background1" w:themeShade="A6"/>
            </w:tcBorders>
          </w:tcPr>
          <w:p w14:paraId="5A05D03D" w14:textId="77777777" w:rsidR="00FA7EBF" w:rsidRPr="007939DD" w:rsidRDefault="00FA7EBF" w:rsidP="007B207C">
            <w:pPr>
              <w:pStyle w:val="ARfintablebody"/>
              <w:rPr>
                <w:lang w:eastAsia="en-AU"/>
              </w:rPr>
            </w:pPr>
            <w:r w:rsidRPr="007939DD">
              <w:rPr>
                <w:lang w:eastAsia="en-AU"/>
              </w:rPr>
              <w:t>(a)</w:t>
            </w:r>
          </w:p>
        </w:tc>
        <w:tc>
          <w:tcPr>
            <w:tcW w:w="6520" w:type="dxa"/>
            <w:tcBorders>
              <w:top w:val="single" w:sz="4" w:space="0" w:color="A6A6A6" w:themeColor="background1" w:themeShade="A6"/>
              <w:bottom w:val="single" w:sz="4" w:space="0" w:color="A6A6A6" w:themeColor="background1" w:themeShade="A6"/>
            </w:tcBorders>
          </w:tcPr>
          <w:p w14:paraId="2C129199" w14:textId="77777777" w:rsidR="00FA7EBF" w:rsidRPr="007939DD" w:rsidRDefault="00FA7EBF" w:rsidP="007B207C">
            <w:pPr>
              <w:pStyle w:val="ARfintablebody"/>
            </w:pPr>
            <w:r w:rsidRPr="00957727">
              <w:t>The Department of Health and Human Services has estimated that potential liability exists in respect of a number of legal actions instigated by clients and their representatives, employees and others, and other contractual liabilities.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F686176" w14:textId="77777777" w:rsidR="00FA7EBF" w:rsidRPr="007939DD" w:rsidRDefault="00FA7EBF" w:rsidP="007B207C">
            <w:pPr>
              <w:pStyle w:val="ARfintablebodyright"/>
              <w:rPr>
                <w:lang w:eastAsia="en-AU"/>
              </w:rPr>
            </w:pPr>
            <w:r w:rsidRPr="00525474">
              <w:t>32.6</w:t>
            </w:r>
          </w:p>
        </w:tc>
        <w:tc>
          <w:tcPr>
            <w:tcW w:w="1134" w:type="dxa"/>
            <w:tcBorders>
              <w:top w:val="single" w:sz="4" w:space="0" w:color="A6A6A6" w:themeColor="background1" w:themeShade="A6"/>
              <w:bottom w:val="single" w:sz="4" w:space="0" w:color="A6A6A6" w:themeColor="background1" w:themeShade="A6"/>
            </w:tcBorders>
          </w:tcPr>
          <w:p w14:paraId="426FE5A0" w14:textId="77777777" w:rsidR="00FA7EBF" w:rsidRPr="007939DD" w:rsidRDefault="00FA7EBF" w:rsidP="007B207C">
            <w:pPr>
              <w:pStyle w:val="ARfintablebodyright"/>
              <w:rPr>
                <w:lang w:eastAsia="en-AU"/>
              </w:rPr>
            </w:pPr>
            <w:r w:rsidRPr="00525474">
              <w:t>4.4</w:t>
            </w:r>
          </w:p>
        </w:tc>
      </w:tr>
      <w:tr w:rsidR="00FA7EBF" w:rsidRPr="007939DD" w14:paraId="3CF128B8" w14:textId="77777777" w:rsidTr="007B207C">
        <w:trPr>
          <w:cantSplit/>
        </w:trPr>
        <w:tc>
          <w:tcPr>
            <w:tcW w:w="851" w:type="dxa"/>
          </w:tcPr>
          <w:p w14:paraId="10C49E6A" w14:textId="77777777" w:rsidR="00FA7EBF" w:rsidRPr="007939DD" w:rsidRDefault="00FA7EBF" w:rsidP="007B207C">
            <w:pPr>
              <w:pStyle w:val="ARfintablebodybold"/>
              <w:rPr>
                <w:rStyle w:val="Strong"/>
              </w:rPr>
            </w:pPr>
            <w:r w:rsidRPr="006E4233">
              <w:t>Total</w:t>
            </w:r>
          </w:p>
        </w:tc>
        <w:tc>
          <w:tcPr>
            <w:tcW w:w="6520" w:type="dxa"/>
          </w:tcPr>
          <w:p w14:paraId="61FDF683" w14:textId="77777777" w:rsidR="00FA7EBF" w:rsidRPr="007939DD" w:rsidRDefault="00FA7EBF" w:rsidP="007B207C">
            <w:pPr>
              <w:rPr>
                <w:rFonts w:cs="Arial"/>
                <w:b/>
                <w:bCs/>
                <w:sz w:val="16"/>
                <w:szCs w:val="16"/>
              </w:rPr>
            </w:pPr>
          </w:p>
        </w:tc>
        <w:tc>
          <w:tcPr>
            <w:tcW w:w="1134" w:type="dxa"/>
            <w:shd w:val="clear" w:color="auto" w:fill="E7E6E6"/>
          </w:tcPr>
          <w:p w14:paraId="66E6EDA8" w14:textId="77777777" w:rsidR="00FA7EBF" w:rsidRPr="007939DD" w:rsidRDefault="00FA7EBF" w:rsidP="007B207C">
            <w:pPr>
              <w:pStyle w:val="ARfintablebodyrightbold"/>
              <w:rPr>
                <w:lang w:eastAsia="en-AU"/>
              </w:rPr>
            </w:pPr>
            <w:r w:rsidRPr="00525474">
              <w:t>32.6</w:t>
            </w:r>
          </w:p>
        </w:tc>
        <w:tc>
          <w:tcPr>
            <w:tcW w:w="1134" w:type="dxa"/>
          </w:tcPr>
          <w:p w14:paraId="44383FB7" w14:textId="77777777" w:rsidR="00FA7EBF" w:rsidRPr="007939DD" w:rsidRDefault="00FA7EBF" w:rsidP="007B207C">
            <w:pPr>
              <w:pStyle w:val="ARfintablebodyrightbold"/>
              <w:rPr>
                <w:rStyle w:val="Strong"/>
              </w:rPr>
            </w:pPr>
            <w:r w:rsidRPr="00525474">
              <w:t>4.4</w:t>
            </w:r>
          </w:p>
        </w:tc>
      </w:tr>
    </w:tbl>
    <w:p w14:paraId="0AB40180" w14:textId="77777777" w:rsidR="00FA7EBF" w:rsidRPr="00194D78" w:rsidRDefault="00FA7EBF" w:rsidP="00CA66FD">
      <w:pPr>
        <w:pStyle w:val="Heading6"/>
        <w:rPr>
          <w:lang w:eastAsia="en-AU"/>
        </w:rPr>
      </w:pPr>
      <w:r w:rsidRPr="00194D78">
        <w:rPr>
          <w:lang w:eastAsia="en-AU"/>
        </w:rPr>
        <w:t>Non-quantifiable contingent liabilities</w:t>
      </w:r>
    </w:p>
    <w:p w14:paraId="36AA3922" w14:textId="77777777" w:rsidR="00FA7EBF" w:rsidRDefault="00FA7EBF" w:rsidP="00CA66FD">
      <w:pPr>
        <w:pStyle w:val="ARfinbody"/>
      </w:pPr>
      <w:r w:rsidRPr="00194D78">
        <w:t>In response to the concerns of some health services, the department has undertaken to provide certain health services adequate cash flow support to enable these health services to meet their current and future obligations as and when they fall due for a period up to September 2020 should this be required. In line with processes already established by the department, it is expected that each health service that has been pledged this support will:</w:t>
      </w:r>
    </w:p>
    <w:p w14:paraId="3B5E9895" w14:textId="77777777" w:rsidR="00FA7EBF" w:rsidRDefault="00FA7EBF" w:rsidP="00CA66FD">
      <w:pPr>
        <w:pStyle w:val="ARfinbullet1"/>
        <w:numPr>
          <w:ilvl w:val="0"/>
          <w:numId w:val="4"/>
        </w:numPr>
      </w:pPr>
      <w:r w:rsidRPr="00194D78">
        <w:t>continue to provide monthly advice on its financial position, including the likelihood of any short-term liquidity issues</w:t>
      </w:r>
    </w:p>
    <w:p w14:paraId="37104DB1" w14:textId="77777777" w:rsidR="00FA7EBF" w:rsidRPr="00194D78" w:rsidRDefault="00FA7EBF" w:rsidP="00CA66FD">
      <w:pPr>
        <w:pStyle w:val="ARfinbullet1"/>
        <w:numPr>
          <w:ilvl w:val="0"/>
          <w:numId w:val="4"/>
        </w:numPr>
      </w:pPr>
      <w:r w:rsidRPr="00194D78">
        <w:t>commit to achieve the agreed budget targets, and all other requirements of their service agreements or statement of priorities in</w:t>
      </w:r>
      <w:r>
        <w:t> </w:t>
      </w:r>
      <w:r w:rsidRPr="00194D78">
        <w:t>201</w:t>
      </w:r>
      <w:r>
        <w:t>9–</w:t>
      </w:r>
      <w:r w:rsidRPr="00194D78">
        <w:t>20.</w:t>
      </w:r>
    </w:p>
    <w:p w14:paraId="078156AC" w14:textId="77777777" w:rsidR="00FA7EBF" w:rsidRDefault="00FA7EBF" w:rsidP="00CA66FD">
      <w:pPr>
        <w:pStyle w:val="ARfinbody"/>
        <w:rPr>
          <w:rFonts w:eastAsia="MS Mincho" w:cs="Arial"/>
          <w:color w:val="53565A" w:themeColor="accent2"/>
        </w:rPr>
      </w:pPr>
      <w:r>
        <w:br w:type="page"/>
      </w:r>
    </w:p>
    <w:p w14:paraId="07E6B005" w14:textId="77777777" w:rsidR="00FA7EBF" w:rsidRPr="00194D78" w:rsidRDefault="00FA7EBF" w:rsidP="00CA66FD">
      <w:pPr>
        <w:pStyle w:val="Heading4"/>
        <w:rPr>
          <w:lang w:eastAsia="en-AU"/>
        </w:rPr>
      </w:pPr>
      <w:r w:rsidRPr="00194D78">
        <w:rPr>
          <w:lang w:eastAsia="en-AU"/>
        </w:rPr>
        <w:t>8.3 Fair value determination</w:t>
      </w:r>
    </w:p>
    <w:p w14:paraId="37FB77C0" w14:textId="77777777" w:rsidR="00FA7EBF" w:rsidRDefault="00FA7EBF" w:rsidP="00CA66FD">
      <w:pPr>
        <w:pStyle w:val="ARfinbody"/>
      </w:pPr>
      <w:r w:rsidRPr="00194D78">
        <w:t>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w:t>
      </w:r>
    </w:p>
    <w:p w14:paraId="452DC29D" w14:textId="77777777" w:rsidR="00FA7EBF" w:rsidRDefault="00FA7EBF" w:rsidP="00CA66FD">
      <w:pPr>
        <w:pStyle w:val="ARfinbody"/>
      </w:pPr>
      <w:r w:rsidRPr="00194D78">
        <w:t>The following assets and liabilities are carried at fair value:</w:t>
      </w:r>
    </w:p>
    <w:p w14:paraId="078FCDEA" w14:textId="77777777" w:rsidR="00FA7EBF" w:rsidRPr="00194D78" w:rsidRDefault="00FA7EBF" w:rsidP="00CA66FD">
      <w:pPr>
        <w:pStyle w:val="ARfinbullet1"/>
        <w:numPr>
          <w:ilvl w:val="0"/>
          <w:numId w:val="4"/>
        </w:numPr>
      </w:pPr>
      <w:r w:rsidRPr="00194D78">
        <w:t xml:space="preserve">financial assets and liabilities at fair value through </w:t>
      </w:r>
      <w:r>
        <w:t>‘</w:t>
      </w:r>
      <w:r w:rsidRPr="00194D78">
        <w:t>other comprehensive income</w:t>
      </w:r>
      <w:r>
        <w:t>’</w:t>
      </w:r>
    </w:p>
    <w:p w14:paraId="32DB4B6C" w14:textId="77777777" w:rsidR="00FA7EBF" w:rsidRPr="00194D78" w:rsidRDefault="00FA7EBF" w:rsidP="00CA66FD">
      <w:pPr>
        <w:pStyle w:val="ARfinbullet1"/>
        <w:numPr>
          <w:ilvl w:val="0"/>
          <w:numId w:val="4"/>
        </w:numPr>
      </w:pPr>
      <w:r w:rsidRPr="00194D78">
        <w:t>land, buildings, plant and equipment</w:t>
      </w:r>
      <w:r>
        <w:t>.</w:t>
      </w:r>
    </w:p>
    <w:p w14:paraId="21E937AB" w14:textId="77777777" w:rsidR="00FA7EBF" w:rsidRDefault="00FA7EBF" w:rsidP="00CA66FD">
      <w:pPr>
        <w:pStyle w:val="ARfinbody"/>
      </w:pPr>
      <w:r w:rsidRPr="00194D78">
        <w:t>In addition, the fair values of other assets and liabilities which are carried at amortised cost also need to be determined for disclosure purposes.</w:t>
      </w:r>
    </w:p>
    <w:p w14:paraId="0B094EE6" w14:textId="77777777" w:rsidR="00FA7EBF" w:rsidRPr="00194D78" w:rsidRDefault="00FA7EBF" w:rsidP="00CA66FD">
      <w:pPr>
        <w:pStyle w:val="ARfinbody"/>
      </w:pPr>
      <w:r w:rsidRPr="00194D78">
        <w:t>The department determines the policies and procedures for determining fair values for both financial and non-financial assets and liabilities as required.</w:t>
      </w:r>
    </w:p>
    <w:p w14:paraId="7F2494BC" w14:textId="77777777" w:rsidR="00FA7EBF" w:rsidRPr="00194D78" w:rsidRDefault="00FA7EBF" w:rsidP="00CA66FD">
      <w:pPr>
        <w:pStyle w:val="Heading5"/>
        <w:rPr>
          <w:lang w:eastAsia="en-AU"/>
        </w:rPr>
      </w:pPr>
      <w:r w:rsidRPr="00194D78">
        <w:rPr>
          <w:lang w:eastAsia="en-AU"/>
        </w:rPr>
        <w:t>Fair value hierarchy</w:t>
      </w:r>
    </w:p>
    <w:p w14:paraId="396ADF91" w14:textId="77777777" w:rsidR="00FA7EBF" w:rsidRPr="00194D78" w:rsidRDefault="00FA7EBF" w:rsidP="00CA66FD">
      <w:pPr>
        <w:pStyle w:val="ARfinbody"/>
      </w:pPr>
      <w:r w:rsidRPr="00194D78">
        <w:t>In determining fair values a number of inputs are used. To increase consistency and comparability in the financial statements, these inputs are categorised into three levels, also known as the fair value hierarchy. The levels are as follows:</w:t>
      </w:r>
    </w:p>
    <w:p w14:paraId="540F8D79" w14:textId="77777777" w:rsidR="00FA7EBF" w:rsidRPr="00194D78" w:rsidRDefault="00FA7EBF" w:rsidP="00CA66FD">
      <w:pPr>
        <w:pStyle w:val="ARfinbullet1"/>
        <w:numPr>
          <w:ilvl w:val="0"/>
          <w:numId w:val="4"/>
        </w:numPr>
      </w:pPr>
      <w:r w:rsidRPr="00194D78">
        <w:t>Level 1 – Quoted (unadjusted) market prices in active markets for identical assets or liabilities</w:t>
      </w:r>
    </w:p>
    <w:p w14:paraId="73B345F4" w14:textId="77777777" w:rsidR="00FA7EBF" w:rsidRPr="00194D78" w:rsidRDefault="00FA7EBF" w:rsidP="00CA66FD">
      <w:pPr>
        <w:pStyle w:val="ARfinbullet1"/>
        <w:numPr>
          <w:ilvl w:val="0"/>
          <w:numId w:val="4"/>
        </w:numPr>
      </w:pPr>
      <w:r w:rsidRPr="00194D78">
        <w:t>Level 2 – Valuation techniques for which the lowest level input that is significant to the fair value measurement is directly or indirectly observable</w:t>
      </w:r>
    </w:p>
    <w:p w14:paraId="3F8F8A2A" w14:textId="77777777" w:rsidR="00FA7EBF" w:rsidRPr="00194D78" w:rsidRDefault="00FA7EBF" w:rsidP="00CA66FD">
      <w:pPr>
        <w:pStyle w:val="ARfinbullet1"/>
        <w:numPr>
          <w:ilvl w:val="0"/>
          <w:numId w:val="4"/>
        </w:numPr>
      </w:pPr>
      <w:r w:rsidRPr="00194D78">
        <w:t>Level 3 – Valuation techniques for which the lowest level input that is significant to the fair value measurement is unobservable.</w:t>
      </w:r>
    </w:p>
    <w:p w14:paraId="00B45616" w14:textId="77777777" w:rsidR="00FA7EBF" w:rsidRPr="00194D78" w:rsidRDefault="00FA7EBF" w:rsidP="00CA66FD">
      <w:pPr>
        <w:pStyle w:val="ARfinbody"/>
      </w:pPr>
      <w:r w:rsidRPr="00194D78">
        <w:t>The department determines whether transfers have occurred between levels in the hierarchy by reassessing categorisation (based on the lowest level input that is significant to the fair value measurement as a whole) at the end of each reporting period.</w:t>
      </w:r>
    </w:p>
    <w:p w14:paraId="215741E4" w14:textId="77777777" w:rsidR="00FA7EBF" w:rsidRPr="00194D78" w:rsidRDefault="00FA7EBF" w:rsidP="00CA66FD">
      <w:pPr>
        <w:pStyle w:val="ARfinbody"/>
      </w:pPr>
      <w:r w:rsidRPr="00194D78">
        <w:t>The Valuer-General Victoria (VGV) is the department</w:t>
      </w:r>
      <w:r>
        <w:t>’</w:t>
      </w:r>
      <w:r w:rsidRPr="00194D78">
        <w:t>s independent valuation agency. The department, in conjunction with VGV, monitors changes in the fair value of each asset and liability through relevant data sources to determine whether revaluation is required.</w:t>
      </w:r>
    </w:p>
    <w:p w14:paraId="2B878EA3" w14:textId="77777777" w:rsidR="00FA7EBF" w:rsidRPr="00194D78" w:rsidRDefault="00FA7EBF" w:rsidP="00CA66FD">
      <w:pPr>
        <w:pStyle w:val="Heading5"/>
        <w:rPr>
          <w:lang w:eastAsia="en-AU"/>
        </w:rPr>
      </w:pPr>
      <w:r w:rsidRPr="00194D78">
        <w:rPr>
          <w:lang w:eastAsia="en-AU"/>
        </w:rPr>
        <w:t>How this section is structured</w:t>
      </w:r>
    </w:p>
    <w:p w14:paraId="0A77DB26" w14:textId="77777777" w:rsidR="00FA7EBF" w:rsidRPr="00194D78" w:rsidRDefault="00FA7EBF" w:rsidP="00CA66FD">
      <w:pPr>
        <w:pStyle w:val="ARfinbody"/>
      </w:pPr>
      <w:r w:rsidRPr="00194D78">
        <w:t>For those assets and liabilities for which fair values are determined, the following disclosures are provided:</w:t>
      </w:r>
    </w:p>
    <w:p w14:paraId="331EE70F" w14:textId="77777777" w:rsidR="00FA7EBF" w:rsidRPr="00194D78" w:rsidRDefault="00FA7EBF" w:rsidP="00CA66FD">
      <w:pPr>
        <w:pStyle w:val="ARfinbullet1"/>
        <w:numPr>
          <w:ilvl w:val="0"/>
          <w:numId w:val="4"/>
        </w:numPr>
      </w:pPr>
      <w:r w:rsidRPr="00194D78">
        <w:t>carrying amount and the fair value (which would be the same for those assets measured at fair value)</w:t>
      </w:r>
    </w:p>
    <w:p w14:paraId="4392E6A7" w14:textId="77777777" w:rsidR="00FA7EBF" w:rsidRPr="00194D78" w:rsidRDefault="00FA7EBF" w:rsidP="00CA66FD">
      <w:pPr>
        <w:pStyle w:val="ARfinbullet1"/>
        <w:numPr>
          <w:ilvl w:val="0"/>
          <w:numId w:val="4"/>
        </w:numPr>
      </w:pPr>
      <w:r w:rsidRPr="00194D78">
        <w:t>which level of the fair value hierarchy was used to determine the fair value</w:t>
      </w:r>
    </w:p>
    <w:p w14:paraId="75A77FB3" w14:textId="77777777" w:rsidR="00FA7EBF" w:rsidRDefault="00FA7EBF" w:rsidP="00CA66FD">
      <w:pPr>
        <w:pStyle w:val="ARfinbullet1"/>
        <w:numPr>
          <w:ilvl w:val="0"/>
          <w:numId w:val="4"/>
        </w:numPr>
      </w:pPr>
      <w:r w:rsidRPr="00194D78">
        <w:t>in respect of those assets and liabilities subject to fair value determination using Level 3 inputs:</w:t>
      </w:r>
    </w:p>
    <w:p w14:paraId="35DAF542" w14:textId="77777777" w:rsidR="00FA7EBF" w:rsidRDefault="00FA7EBF" w:rsidP="00CA66FD">
      <w:pPr>
        <w:pStyle w:val="ARfinbullet2"/>
        <w:numPr>
          <w:ilvl w:val="1"/>
          <w:numId w:val="4"/>
        </w:numPr>
      </w:pPr>
      <w:r w:rsidRPr="00194D78">
        <w:t>a reconciliation of the movements in fair values from the beginning of the year to the end</w:t>
      </w:r>
    </w:p>
    <w:p w14:paraId="2BFFA8F0" w14:textId="77777777" w:rsidR="00FA7EBF" w:rsidRDefault="00FA7EBF" w:rsidP="00CA66FD">
      <w:pPr>
        <w:pStyle w:val="ARfinbullet2"/>
        <w:numPr>
          <w:ilvl w:val="1"/>
          <w:numId w:val="4"/>
        </w:numPr>
      </w:pPr>
      <w:r w:rsidRPr="00194D78">
        <w:t>details of significant unobservable inputs used in the fair value determination.</w:t>
      </w:r>
    </w:p>
    <w:p w14:paraId="0A00CF5D" w14:textId="77777777" w:rsidR="00FA7EBF" w:rsidRPr="00194D78" w:rsidRDefault="00FA7EBF" w:rsidP="00CA66FD">
      <w:pPr>
        <w:pStyle w:val="ARfinbody"/>
      </w:pPr>
      <w:r w:rsidRPr="00194D78">
        <w:t>This section is divided between disclosures in connection with fair value determination for financial instruments (refer Note 8.3.1) and non-financial physical assets (refer Note 8.3.2).</w:t>
      </w:r>
    </w:p>
    <w:p w14:paraId="5C1FE3E5" w14:textId="77777777" w:rsidR="00FA7EBF" w:rsidRPr="00194D78" w:rsidRDefault="00FA7EBF" w:rsidP="00CA66FD">
      <w:pPr>
        <w:pStyle w:val="Heading5"/>
        <w:rPr>
          <w:lang w:eastAsia="en-AU"/>
        </w:rPr>
      </w:pPr>
      <w:r w:rsidRPr="00194D78">
        <w:rPr>
          <w:lang w:eastAsia="en-AU"/>
        </w:rPr>
        <w:t>8.3.1 Fair value determination of financial assets and liabilities</w:t>
      </w:r>
    </w:p>
    <w:p w14:paraId="4E76C279" w14:textId="77777777" w:rsidR="00FA7EBF" w:rsidRPr="00194D78" w:rsidRDefault="00FA7EBF" w:rsidP="00CA66FD">
      <w:pPr>
        <w:pStyle w:val="ARfinbody"/>
      </w:pPr>
      <w:r w:rsidRPr="00194D78">
        <w:t>The fair values and net fair values of financial assets and liabilities are determined as follows:</w:t>
      </w:r>
    </w:p>
    <w:p w14:paraId="3D0F8695" w14:textId="77777777" w:rsidR="00FA7EBF" w:rsidRPr="00194D78" w:rsidRDefault="00FA7EBF" w:rsidP="00CA66FD">
      <w:pPr>
        <w:pStyle w:val="ARfinbullet1"/>
        <w:numPr>
          <w:ilvl w:val="0"/>
          <w:numId w:val="4"/>
        </w:numPr>
      </w:pPr>
      <w:r w:rsidRPr="00194D78">
        <w:t>Level 1</w:t>
      </w:r>
      <w:r>
        <w:t xml:space="preserve"> – </w:t>
      </w:r>
      <w:r w:rsidRPr="00194D78">
        <w:t>the fair value of financial instruments with standard terms and conditions and traded in active markets are determined with reference to quoted market prices</w:t>
      </w:r>
    </w:p>
    <w:p w14:paraId="17AAC7D1" w14:textId="77777777" w:rsidR="00FA7EBF" w:rsidRPr="00194D78" w:rsidRDefault="00FA7EBF" w:rsidP="00CA66FD">
      <w:pPr>
        <w:pStyle w:val="ARfinbullet1"/>
        <w:numPr>
          <w:ilvl w:val="0"/>
          <w:numId w:val="4"/>
        </w:numPr>
      </w:pPr>
      <w:r w:rsidRPr="00194D78">
        <w:t>Level 2</w:t>
      </w:r>
      <w:r>
        <w:t xml:space="preserve"> – </w:t>
      </w:r>
      <w:r w:rsidRPr="00194D78">
        <w:t>the fair value is determined using inputs other than quoted prices that are observable for the financial asset or liability, either directly or indirectly</w:t>
      </w:r>
    </w:p>
    <w:p w14:paraId="0DC04D8F" w14:textId="77777777" w:rsidR="00FA7EBF" w:rsidRPr="00194D78" w:rsidRDefault="00FA7EBF" w:rsidP="00CA66FD">
      <w:pPr>
        <w:pStyle w:val="ARfinbullet1"/>
        <w:numPr>
          <w:ilvl w:val="0"/>
          <w:numId w:val="4"/>
        </w:numPr>
      </w:pPr>
      <w:r w:rsidRPr="00194D78">
        <w:t>Level 3</w:t>
      </w:r>
      <w:r>
        <w:t xml:space="preserve"> – </w:t>
      </w:r>
      <w:r w:rsidRPr="00194D78">
        <w:t>the fair value is determined in accordance with generally accepted pricing models based on discounted cash flow analysis using unobservable market inputs.</w:t>
      </w:r>
    </w:p>
    <w:p w14:paraId="256C1602" w14:textId="77777777" w:rsidR="00FA7EBF" w:rsidRPr="00194D78" w:rsidRDefault="00FA7EBF" w:rsidP="00CA66FD">
      <w:pPr>
        <w:pStyle w:val="ARfinbody"/>
      </w:pPr>
      <w:r w:rsidRPr="00194D78">
        <w:t>The department currently holds a range of financial instruments that are recorded in the financial statements where the carrying amounts are a reasonable approximation of fair value</w:t>
      </w:r>
      <w:r w:rsidRPr="00194D78">
        <w:rPr>
          <w:strike/>
        </w:rPr>
        <w:t>s</w:t>
      </w:r>
      <w:r w:rsidRPr="00194D78">
        <w:t>, either due to their short-term nature or with the expectation that they will be paid in full by the end of the 201</w:t>
      </w:r>
      <w:r>
        <w:t>8–</w:t>
      </w:r>
      <w:r w:rsidRPr="00194D78">
        <w:t>19 reporting period.</w:t>
      </w:r>
    </w:p>
    <w:p w14:paraId="3E9500E6" w14:textId="77777777" w:rsidR="00FA7EBF" w:rsidRPr="00194D78" w:rsidRDefault="00FA7EBF" w:rsidP="00CA66FD">
      <w:pPr>
        <w:pStyle w:val="ARfinbody"/>
      </w:pPr>
      <w:r w:rsidRPr="00194D78">
        <w:t>The fair value of the financial instruments is the same as the carrying amounts.</w:t>
      </w:r>
    </w:p>
    <w:p w14:paraId="75505DE7" w14:textId="77777777" w:rsidR="00FA7EBF" w:rsidRPr="00ED212B" w:rsidRDefault="00FA7EBF" w:rsidP="00CA66FD">
      <w:pPr>
        <w:pStyle w:val="ARfinbody"/>
      </w:pPr>
      <w:r w:rsidRPr="00ED212B">
        <w:br w:type="page"/>
      </w:r>
    </w:p>
    <w:p w14:paraId="272F6BC5" w14:textId="77777777" w:rsidR="00FA7EBF" w:rsidRPr="00194D78" w:rsidRDefault="00FA7EBF" w:rsidP="00CA66FD">
      <w:pPr>
        <w:pStyle w:val="Heading5"/>
        <w:rPr>
          <w:lang w:eastAsia="en-AU"/>
        </w:rPr>
      </w:pPr>
      <w:r w:rsidRPr="00194D78">
        <w:rPr>
          <w:lang w:eastAsia="en-AU"/>
        </w:rPr>
        <w:t>8.3.2 Fair value determination of non-financial physical assets</w:t>
      </w:r>
    </w:p>
    <w:p w14:paraId="614619FD" w14:textId="7155A771" w:rsidR="00FA7EBF" w:rsidRDefault="00FA7EBF" w:rsidP="00CA66FD">
      <w:pPr>
        <w:pStyle w:val="Heading6"/>
        <w:rPr>
          <w:lang w:eastAsia="en-AU"/>
        </w:rPr>
      </w:pPr>
      <w:r w:rsidRPr="00CF08AE">
        <w:rPr>
          <w:lang w:eastAsia="en-AU"/>
        </w:rPr>
        <w:t xml:space="preserve">Fair </w:t>
      </w:r>
      <w:r w:rsidR="009A0070">
        <w:rPr>
          <w:lang w:val="en-US" w:eastAsia="en-AU"/>
        </w:rPr>
        <w:t xml:space="preserve">value </w:t>
      </w:r>
      <w:r w:rsidRPr="00CF08AE">
        <w:rPr>
          <w:lang w:eastAsia="en-AU"/>
        </w:rPr>
        <w:t>measurement hierarchy</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1135"/>
        <w:gridCol w:w="1134"/>
        <w:gridCol w:w="1134"/>
        <w:gridCol w:w="1133"/>
      </w:tblGrid>
      <w:tr w:rsidR="00FA7EBF" w:rsidRPr="007939DD" w14:paraId="61C516C1" w14:textId="77777777" w:rsidTr="007B207C">
        <w:trPr>
          <w:cantSplit/>
          <w:tblHeader/>
        </w:trPr>
        <w:tc>
          <w:tcPr>
            <w:tcW w:w="5103" w:type="dxa"/>
            <w:vMerge w:val="restart"/>
            <w:vAlign w:val="bottom"/>
          </w:tcPr>
          <w:p w14:paraId="595FEC4E" w14:textId="77777777" w:rsidR="00FA7EBF" w:rsidRPr="007939DD" w:rsidRDefault="00FA7EBF" w:rsidP="007B207C">
            <w:pPr>
              <w:pStyle w:val="ARfintablecolhead"/>
              <w:spacing w:before="30" w:after="10"/>
            </w:pPr>
            <w:r w:rsidRPr="00ED4378">
              <w:t>2019</w:t>
            </w:r>
          </w:p>
        </w:tc>
        <w:tc>
          <w:tcPr>
            <w:tcW w:w="1135" w:type="dxa"/>
            <w:vMerge w:val="restart"/>
            <w:vAlign w:val="bottom"/>
          </w:tcPr>
          <w:p w14:paraId="4FF94DAB" w14:textId="77777777" w:rsidR="00FA7EBF" w:rsidRPr="007939DD" w:rsidRDefault="00FA7EBF" w:rsidP="007B207C">
            <w:pPr>
              <w:pStyle w:val="ARfintablecolheadright"/>
              <w:spacing w:before="30" w:after="10"/>
            </w:pPr>
            <w:r w:rsidRPr="007939DD">
              <w:t>Carrying amount</w:t>
            </w:r>
          </w:p>
          <w:p w14:paraId="2A257117" w14:textId="77777777" w:rsidR="00FA7EBF" w:rsidRPr="007939DD" w:rsidRDefault="00FA7EBF" w:rsidP="007B207C">
            <w:pPr>
              <w:pStyle w:val="ARfintablecolheadright"/>
              <w:spacing w:before="30" w:after="10"/>
            </w:pPr>
            <w:r w:rsidRPr="007939DD">
              <w:t>$M</w:t>
            </w:r>
          </w:p>
        </w:tc>
        <w:tc>
          <w:tcPr>
            <w:tcW w:w="3401" w:type="dxa"/>
            <w:gridSpan w:val="3"/>
            <w:vAlign w:val="bottom"/>
          </w:tcPr>
          <w:p w14:paraId="79703C45" w14:textId="77777777" w:rsidR="00FA7EBF" w:rsidRPr="007939DD" w:rsidRDefault="00FA7EBF" w:rsidP="007B207C">
            <w:pPr>
              <w:pStyle w:val="ARfintablecolheadcentre"/>
              <w:spacing w:before="30" w:after="10"/>
            </w:pPr>
            <w:r w:rsidRPr="007939DD">
              <w:t xml:space="preserve">Fair value measurement at end </w:t>
            </w:r>
            <w:r w:rsidRPr="007939DD">
              <w:br/>
              <w:t>of reporting period using:</w:t>
            </w:r>
          </w:p>
        </w:tc>
      </w:tr>
      <w:tr w:rsidR="00FA7EBF" w:rsidRPr="007939DD" w14:paraId="6BF27240" w14:textId="77777777" w:rsidTr="007B207C">
        <w:trPr>
          <w:cantSplit/>
          <w:tblHeader/>
        </w:trPr>
        <w:tc>
          <w:tcPr>
            <w:tcW w:w="5103" w:type="dxa"/>
            <w:vMerge/>
            <w:vAlign w:val="bottom"/>
          </w:tcPr>
          <w:p w14:paraId="6106D555" w14:textId="77777777" w:rsidR="00FA7EBF" w:rsidRPr="007939DD" w:rsidRDefault="00FA7EBF" w:rsidP="007B207C">
            <w:pPr>
              <w:pStyle w:val="ARfintablecolhead"/>
              <w:spacing w:before="30" w:after="10"/>
              <w:rPr>
                <w:bCs/>
                <w:color w:val="000000"/>
              </w:rPr>
            </w:pPr>
          </w:p>
        </w:tc>
        <w:tc>
          <w:tcPr>
            <w:tcW w:w="1135" w:type="dxa"/>
            <w:vMerge/>
            <w:vAlign w:val="bottom"/>
          </w:tcPr>
          <w:p w14:paraId="5E331B4F" w14:textId="77777777" w:rsidR="00FA7EBF" w:rsidRPr="007939DD" w:rsidRDefault="00FA7EBF" w:rsidP="007B207C">
            <w:pPr>
              <w:pStyle w:val="ARfintablecolheadright"/>
              <w:spacing w:before="30" w:after="10"/>
            </w:pPr>
          </w:p>
        </w:tc>
        <w:tc>
          <w:tcPr>
            <w:tcW w:w="1134" w:type="dxa"/>
            <w:vAlign w:val="bottom"/>
          </w:tcPr>
          <w:p w14:paraId="69AB8215" w14:textId="77777777" w:rsidR="00FA7EBF" w:rsidRPr="007939DD" w:rsidRDefault="00FA7EBF" w:rsidP="007B207C">
            <w:pPr>
              <w:pStyle w:val="ARfintablecolheadright"/>
              <w:spacing w:before="30" w:after="10"/>
            </w:pPr>
            <w:r w:rsidRPr="007939DD">
              <w:t xml:space="preserve">Level 1 </w:t>
            </w:r>
            <w:r w:rsidRPr="007939DD">
              <w:rPr>
                <w:rStyle w:val="Superscriptbold"/>
              </w:rPr>
              <w:t>(i)</w:t>
            </w:r>
          </w:p>
          <w:p w14:paraId="73AA5E68" w14:textId="77777777" w:rsidR="00FA7EBF" w:rsidRPr="007939DD" w:rsidRDefault="00FA7EBF" w:rsidP="007B207C">
            <w:pPr>
              <w:pStyle w:val="ARfintablecolheadright"/>
              <w:spacing w:before="30" w:after="10"/>
            </w:pPr>
            <w:r w:rsidRPr="007939DD">
              <w:t>$M</w:t>
            </w:r>
          </w:p>
        </w:tc>
        <w:tc>
          <w:tcPr>
            <w:tcW w:w="1134" w:type="dxa"/>
            <w:vAlign w:val="bottom"/>
          </w:tcPr>
          <w:p w14:paraId="69F4A281" w14:textId="77777777" w:rsidR="00FA7EBF" w:rsidRPr="007939DD" w:rsidRDefault="00FA7EBF" w:rsidP="007B207C">
            <w:pPr>
              <w:pStyle w:val="ARfintablecolheadright"/>
              <w:spacing w:before="30" w:after="10"/>
            </w:pPr>
            <w:r w:rsidRPr="007939DD">
              <w:t xml:space="preserve">Level 2 </w:t>
            </w:r>
            <w:r w:rsidRPr="007939DD">
              <w:rPr>
                <w:rStyle w:val="Superscriptbold"/>
              </w:rPr>
              <w:t>(i)</w:t>
            </w:r>
          </w:p>
          <w:p w14:paraId="690B3043" w14:textId="77777777" w:rsidR="00FA7EBF" w:rsidRPr="007939DD" w:rsidRDefault="00FA7EBF" w:rsidP="007B207C">
            <w:pPr>
              <w:pStyle w:val="ARfintablecolheadright"/>
              <w:spacing w:before="30" w:after="10"/>
            </w:pPr>
            <w:r w:rsidRPr="007939DD">
              <w:t>$M</w:t>
            </w:r>
          </w:p>
        </w:tc>
        <w:tc>
          <w:tcPr>
            <w:tcW w:w="1133" w:type="dxa"/>
            <w:vAlign w:val="bottom"/>
          </w:tcPr>
          <w:p w14:paraId="6D476EC7" w14:textId="77777777" w:rsidR="00FA7EBF" w:rsidRPr="007939DD" w:rsidRDefault="00FA7EBF" w:rsidP="007B207C">
            <w:pPr>
              <w:pStyle w:val="ARfintablecolheadright"/>
              <w:spacing w:before="30" w:after="10"/>
            </w:pPr>
            <w:r w:rsidRPr="007939DD">
              <w:t xml:space="preserve">Level 3 </w:t>
            </w:r>
            <w:r w:rsidRPr="007939DD">
              <w:rPr>
                <w:rStyle w:val="Superscriptbold"/>
              </w:rPr>
              <w:t>(i)</w:t>
            </w:r>
          </w:p>
          <w:p w14:paraId="6871AC78" w14:textId="77777777" w:rsidR="00FA7EBF" w:rsidRPr="007939DD" w:rsidRDefault="00FA7EBF" w:rsidP="007B207C">
            <w:pPr>
              <w:pStyle w:val="ARfintablecolheadright"/>
              <w:spacing w:before="30" w:after="10"/>
            </w:pPr>
            <w:r w:rsidRPr="007939DD">
              <w:t>$M</w:t>
            </w:r>
          </w:p>
        </w:tc>
      </w:tr>
      <w:tr w:rsidR="00FA7EBF" w:rsidRPr="007939DD" w14:paraId="167F9C24" w14:textId="77777777" w:rsidTr="007B207C">
        <w:trPr>
          <w:cantSplit/>
        </w:trPr>
        <w:tc>
          <w:tcPr>
            <w:tcW w:w="9639" w:type="dxa"/>
            <w:gridSpan w:val="5"/>
            <w:tcBorders>
              <w:bottom w:val="single" w:sz="4" w:space="0" w:color="A6A6A6" w:themeColor="background1" w:themeShade="A6"/>
            </w:tcBorders>
          </w:tcPr>
          <w:p w14:paraId="4F15E85A" w14:textId="77777777" w:rsidR="00FA7EBF" w:rsidRPr="007939DD" w:rsidRDefault="00FA7EBF" w:rsidP="007B207C">
            <w:pPr>
              <w:pStyle w:val="ARfintablebodybold"/>
              <w:rPr>
                <w:lang w:eastAsia="en-AU"/>
              </w:rPr>
            </w:pPr>
            <w:r w:rsidRPr="00ED4378">
              <w:t>Land at fair value</w:t>
            </w:r>
          </w:p>
        </w:tc>
      </w:tr>
      <w:tr w:rsidR="00FA7EBF" w:rsidRPr="007939DD" w14:paraId="35ADCED5" w14:textId="77777777" w:rsidTr="007B207C">
        <w:trPr>
          <w:cantSplit/>
        </w:trPr>
        <w:tc>
          <w:tcPr>
            <w:tcW w:w="5103" w:type="dxa"/>
            <w:tcBorders>
              <w:top w:val="single" w:sz="4" w:space="0" w:color="A6A6A6" w:themeColor="background1" w:themeShade="A6"/>
              <w:bottom w:val="single" w:sz="4" w:space="0" w:color="A6A6A6" w:themeColor="background1" w:themeShade="A6"/>
            </w:tcBorders>
          </w:tcPr>
          <w:p w14:paraId="3895C395" w14:textId="77777777" w:rsidR="00FA7EBF" w:rsidRPr="007939DD" w:rsidRDefault="00FA7EBF" w:rsidP="007B207C">
            <w:pPr>
              <w:pStyle w:val="ARfintablebody"/>
              <w:spacing w:before="30" w:after="10"/>
              <w:rPr>
                <w:lang w:eastAsia="en-AU"/>
              </w:rPr>
            </w:pPr>
            <w:r w:rsidRPr="00ED4378">
              <w:t>Non-specialised land</w:t>
            </w:r>
          </w:p>
        </w:tc>
        <w:tc>
          <w:tcPr>
            <w:tcW w:w="1135" w:type="dxa"/>
            <w:tcBorders>
              <w:top w:val="single" w:sz="4" w:space="0" w:color="A6A6A6" w:themeColor="background1" w:themeShade="A6"/>
              <w:bottom w:val="single" w:sz="4" w:space="0" w:color="A6A6A6" w:themeColor="background1" w:themeShade="A6"/>
            </w:tcBorders>
          </w:tcPr>
          <w:p w14:paraId="647CEEF0" w14:textId="77777777" w:rsidR="00FA7EBF" w:rsidRPr="007939DD" w:rsidRDefault="00FA7EBF" w:rsidP="007B207C">
            <w:pPr>
              <w:pStyle w:val="ARfintablebodyright"/>
              <w:spacing w:before="30" w:after="10"/>
            </w:pPr>
            <w:r w:rsidRPr="00ED4378">
              <w:t>17,941.7</w:t>
            </w:r>
          </w:p>
        </w:tc>
        <w:tc>
          <w:tcPr>
            <w:tcW w:w="1134" w:type="dxa"/>
            <w:tcBorders>
              <w:top w:val="single" w:sz="4" w:space="0" w:color="A6A6A6" w:themeColor="background1" w:themeShade="A6"/>
              <w:bottom w:val="single" w:sz="4" w:space="0" w:color="A6A6A6" w:themeColor="background1" w:themeShade="A6"/>
            </w:tcBorders>
          </w:tcPr>
          <w:p w14:paraId="27E755CA" w14:textId="77777777" w:rsidR="00FA7EBF" w:rsidRPr="007939DD" w:rsidRDefault="00FA7EBF" w:rsidP="007B207C">
            <w:pPr>
              <w:pStyle w:val="ARfintablebodyright"/>
              <w:spacing w:before="30" w:after="10"/>
            </w:pPr>
            <w:r w:rsidRPr="00ED4378">
              <w:t>–</w:t>
            </w:r>
          </w:p>
        </w:tc>
        <w:tc>
          <w:tcPr>
            <w:tcW w:w="1134" w:type="dxa"/>
            <w:tcBorders>
              <w:top w:val="single" w:sz="4" w:space="0" w:color="A6A6A6" w:themeColor="background1" w:themeShade="A6"/>
              <w:bottom w:val="single" w:sz="4" w:space="0" w:color="A6A6A6" w:themeColor="background1" w:themeShade="A6"/>
            </w:tcBorders>
          </w:tcPr>
          <w:p w14:paraId="70D2EFBC" w14:textId="77777777" w:rsidR="00FA7EBF" w:rsidRPr="007939DD" w:rsidRDefault="00FA7EBF" w:rsidP="007B207C">
            <w:pPr>
              <w:pStyle w:val="ARfintablebodyright"/>
              <w:spacing w:before="30" w:after="10"/>
            </w:pPr>
            <w:r w:rsidRPr="00ED4378">
              <w:t>17,935.4</w:t>
            </w:r>
          </w:p>
        </w:tc>
        <w:tc>
          <w:tcPr>
            <w:tcW w:w="1133" w:type="dxa"/>
            <w:tcBorders>
              <w:top w:val="single" w:sz="4" w:space="0" w:color="A6A6A6" w:themeColor="background1" w:themeShade="A6"/>
              <w:bottom w:val="single" w:sz="4" w:space="0" w:color="A6A6A6" w:themeColor="background1" w:themeShade="A6"/>
            </w:tcBorders>
          </w:tcPr>
          <w:p w14:paraId="6743F8D4" w14:textId="77777777" w:rsidR="00FA7EBF" w:rsidRPr="007939DD" w:rsidRDefault="00FA7EBF" w:rsidP="007B207C">
            <w:pPr>
              <w:pStyle w:val="ARfintablebodyright"/>
              <w:spacing w:before="30" w:after="10"/>
            </w:pPr>
            <w:r w:rsidRPr="00ED4378">
              <w:t>6.3</w:t>
            </w:r>
          </w:p>
        </w:tc>
      </w:tr>
      <w:tr w:rsidR="00FA7EBF" w:rsidRPr="007939DD" w14:paraId="6C130535" w14:textId="77777777" w:rsidTr="007B207C">
        <w:trPr>
          <w:cantSplit/>
        </w:trPr>
        <w:tc>
          <w:tcPr>
            <w:tcW w:w="5103" w:type="dxa"/>
            <w:tcBorders>
              <w:top w:val="single" w:sz="4" w:space="0" w:color="A6A6A6" w:themeColor="background1" w:themeShade="A6"/>
            </w:tcBorders>
          </w:tcPr>
          <w:p w14:paraId="67E497D8" w14:textId="77777777" w:rsidR="00FA7EBF" w:rsidRPr="007939DD" w:rsidRDefault="00FA7EBF" w:rsidP="007B207C">
            <w:pPr>
              <w:pStyle w:val="ARfintablebody"/>
              <w:spacing w:before="30" w:after="10"/>
              <w:rPr>
                <w:lang w:eastAsia="en-AU"/>
              </w:rPr>
            </w:pPr>
            <w:r w:rsidRPr="00ED4378">
              <w:t>Specialised land</w:t>
            </w:r>
          </w:p>
        </w:tc>
        <w:tc>
          <w:tcPr>
            <w:tcW w:w="1135" w:type="dxa"/>
            <w:tcBorders>
              <w:top w:val="single" w:sz="4" w:space="0" w:color="A6A6A6" w:themeColor="background1" w:themeShade="A6"/>
            </w:tcBorders>
          </w:tcPr>
          <w:p w14:paraId="47A22AD6" w14:textId="77777777" w:rsidR="00FA7EBF" w:rsidRPr="007939DD" w:rsidRDefault="00FA7EBF" w:rsidP="007B207C">
            <w:pPr>
              <w:pStyle w:val="ARfintablebodyright"/>
              <w:spacing w:before="30" w:after="10"/>
            </w:pPr>
            <w:r w:rsidRPr="00ED4378">
              <w:t>573.2</w:t>
            </w:r>
          </w:p>
        </w:tc>
        <w:tc>
          <w:tcPr>
            <w:tcW w:w="1134" w:type="dxa"/>
            <w:tcBorders>
              <w:top w:val="single" w:sz="4" w:space="0" w:color="A6A6A6" w:themeColor="background1" w:themeShade="A6"/>
            </w:tcBorders>
          </w:tcPr>
          <w:p w14:paraId="335226C4" w14:textId="77777777" w:rsidR="00FA7EBF" w:rsidRPr="007939DD" w:rsidRDefault="00FA7EBF" w:rsidP="007B207C">
            <w:pPr>
              <w:pStyle w:val="ARfintablebodyright"/>
              <w:spacing w:before="30" w:after="10"/>
            </w:pPr>
            <w:r w:rsidRPr="00ED4378">
              <w:t>–</w:t>
            </w:r>
          </w:p>
        </w:tc>
        <w:tc>
          <w:tcPr>
            <w:tcW w:w="1134" w:type="dxa"/>
            <w:tcBorders>
              <w:top w:val="single" w:sz="4" w:space="0" w:color="A6A6A6" w:themeColor="background1" w:themeShade="A6"/>
            </w:tcBorders>
          </w:tcPr>
          <w:p w14:paraId="71A5EA91" w14:textId="77777777" w:rsidR="00FA7EBF" w:rsidRPr="007939DD" w:rsidRDefault="00FA7EBF" w:rsidP="007B207C">
            <w:pPr>
              <w:pStyle w:val="ARfintablebodyright"/>
              <w:spacing w:before="30" w:after="10"/>
            </w:pPr>
            <w:r w:rsidRPr="00ED4378">
              <w:t>77.2</w:t>
            </w:r>
          </w:p>
        </w:tc>
        <w:tc>
          <w:tcPr>
            <w:tcW w:w="1133" w:type="dxa"/>
            <w:tcBorders>
              <w:top w:val="single" w:sz="4" w:space="0" w:color="A6A6A6" w:themeColor="background1" w:themeShade="A6"/>
            </w:tcBorders>
          </w:tcPr>
          <w:p w14:paraId="0524B3D1" w14:textId="77777777" w:rsidR="00FA7EBF" w:rsidRPr="007939DD" w:rsidRDefault="00FA7EBF" w:rsidP="007B207C">
            <w:pPr>
              <w:pStyle w:val="ARfintablebodyright"/>
              <w:spacing w:before="30" w:after="10"/>
            </w:pPr>
            <w:r w:rsidRPr="00ED4378">
              <w:t>496.0</w:t>
            </w:r>
          </w:p>
        </w:tc>
      </w:tr>
      <w:tr w:rsidR="00FA7EBF" w:rsidRPr="007939DD" w14:paraId="1EBF8E37" w14:textId="77777777" w:rsidTr="007B207C">
        <w:trPr>
          <w:cantSplit/>
        </w:trPr>
        <w:tc>
          <w:tcPr>
            <w:tcW w:w="5103" w:type="dxa"/>
          </w:tcPr>
          <w:p w14:paraId="30BBA982" w14:textId="77777777" w:rsidR="00FA7EBF" w:rsidRPr="007939DD" w:rsidRDefault="00FA7EBF" w:rsidP="007B207C">
            <w:pPr>
              <w:pStyle w:val="ARfintablebodybold"/>
              <w:spacing w:before="30" w:after="10"/>
              <w:rPr>
                <w:lang w:eastAsia="en-AU"/>
              </w:rPr>
            </w:pPr>
            <w:r w:rsidRPr="00ED4378">
              <w:t>Total land at fair value</w:t>
            </w:r>
          </w:p>
        </w:tc>
        <w:tc>
          <w:tcPr>
            <w:tcW w:w="1135" w:type="dxa"/>
          </w:tcPr>
          <w:p w14:paraId="2A629F65" w14:textId="77777777" w:rsidR="00FA7EBF" w:rsidRPr="007939DD" w:rsidRDefault="00FA7EBF" w:rsidP="007B207C">
            <w:pPr>
              <w:pStyle w:val="ARfintablebodyrightbold"/>
              <w:spacing w:before="30" w:after="10"/>
              <w:rPr>
                <w:rStyle w:val="Strong"/>
              </w:rPr>
            </w:pPr>
            <w:r w:rsidRPr="00ED4378">
              <w:t>18,514.9</w:t>
            </w:r>
          </w:p>
        </w:tc>
        <w:tc>
          <w:tcPr>
            <w:tcW w:w="1134" w:type="dxa"/>
          </w:tcPr>
          <w:p w14:paraId="24899DE4" w14:textId="77777777" w:rsidR="00FA7EBF" w:rsidRPr="007939DD" w:rsidRDefault="00FA7EBF" w:rsidP="007B207C">
            <w:pPr>
              <w:pStyle w:val="ARfintablebodyrightbold"/>
              <w:spacing w:before="30" w:after="10"/>
              <w:rPr>
                <w:rStyle w:val="Strong"/>
              </w:rPr>
            </w:pPr>
            <w:r w:rsidRPr="00ED4378">
              <w:t>–</w:t>
            </w:r>
          </w:p>
        </w:tc>
        <w:tc>
          <w:tcPr>
            <w:tcW w:w="1134" w:type="dxa"/>
          </w:tcPr>
          <w:p w14:paraId="4E7AF025" w14:textId="77777777" w:rsidR="00FA7EBF" w:rsidRPr="007939DD" w:rsidRDefault="00FA7EBF" w:rsidP="007B207C">
            <w:pPr>
              <w:pStyle w:val="ARfintablebodyrightbold"/>
              <w:spacing w:before="30" w:after="10"/>
              <w:rPr>
                <w:rStyle w:val="Strong"/>
              </w:rPr>
            </w:pPr>
            <w:r w:rsidRPr="00ED4378">
              <w:t>18,012.5</w:t>
            </w:r>
          </w:p>
        </w:tc>
        <w:tc>
          <w:tcPr>
            <w:tcW w:w="1133" w:type="dxa"/>
          </w:tcPr>
          <w:p w14:paraId="5D5B9DBF" w14:textId="77777777" w:rsidR="00FA7EBF" w:rsidRPr="007939DD" w:rsidRDefault="00FA7EBF" w:rsidP="007B207C">
            <w:pPr>
              <w:pStyle w:val="ARfintablebodyrightbold"/>
              <w:spacing w:before="30" w:after="10"/>
              <w:rPr>
                <w:rStyle w:val="Strong"/>
              </w:rPr>
            </w:pPr>
            <w:r w:rsidRPr="00ED4378">
              <w:t>502.4</w:t>
            </w:r>
          </w:p>
        </w:tc>
      </w:tr>
      <w:tr w:rsidR="00FA7EBF" w:rsidRPr="007939DD" w14:paraId="149ECCEC" w14:textId="77777777" w:rsidTr="007B207C">
        <w:trPr>
          <w:cantSplit/>
        </w:trPr>
        <w:tc>
          <w:tcPr>
            <w:tcW w:w="9639" w:type="dxa"/>
            <w:gridSpan w:val="5"/>
            <w:tcBorders>
              <w:bottom w:val="single" w:sz="4" w:space="0" w:color="A6A6A6" w:themeColor="background1" w:themeShade="A6"/>
            </w:tcBorders>
          </w:tcPr>
          <w:p w14:paraId="35BFA80D" w14:textId="77777777" w:rsidR="00FA7EBF" w:rsidRPr="007939DD" w:rsidRDefault="00FA7EBF" w:rsidP="007B207C">
            <w:pPr>
              <w:pStyle w:val="ARfintablebodybold"/>
            </w:pPr>
            <w:r w:rsidRPr="00ED4378">
              <w:t>Buildings at fair value</w:t>
            </w:r>
          </w:p>
        </w:tc>
      </w:tr>
      <w:tr w:rsidR="00FA7EBF" w:rsidRPr="007939DD" w14:paraId="60991A6C" w14:textId="77777777" w:rsidTr="007B207C">
        <w:trPr>
          <w:cantSplit/>
        </w:trPr>
        <w:tc>
          <w:tcPr>
            <w:tcW w:w="5103" w:type="dxa"/>
            <w:tcBorders>
              <w:top w:val="single" w:sz="4" w:space="0" w:color="A6A6A6" w:themeColor="background1" w:themeShade="A6"/>
              <w:bottom w:val="single" w:sz="4" w:space="0" w:color="A6A6A6" w:themeColor="background1" w:themeShade="A6"/>
            </w:tcBorders>
          </w:tcPr>
          <w:p w14:paraId="2B28372D" w14:textId="77777777" w:rsidR="00FA7EBF" w:rsidRPr="007939DD" w:rsidRDefault="00FA7EBF" w:rsidP="007B207C">
            <w:pPr>
              <w:pStyle w:val="ARfintablebody"/>
              <w:spacing w:before="30" w:after="10"/>
              <w:rPr>
                <w:lang w:eastAsia="en-AU"/>
              </w:rPr>
            </w:pPr>
            <w:r w:rsidRPr="00ED4378">
              <w:t>Non-specialised building</w:t>
            </w:r>
          </w:p>
        </w:tc>
        <w:tc>
          <w:tcPr>
            <w:tcW w:w="1135" w:type="dxa"/>
            <w:tcBorders>
              <w:top w:val="single" w:sz="4" w:space="0" w:color="A6A6A6" w:themeColor="background1" w:themeShade="A6"/>
              <w:bottom w:val="single" w:sz="4" w:space="0" w:color="A6A6A6" w:themeColor="background1" w:themeShade="A6"/>
            </w:tcBorders>
          </w:tcPr>
          <w:p w14:paraId="40D99117" w14:textId="77777777" w:rsidR="00FA7EBF" w:rsidRPr="007939DD" w:rsidRDefault="00FA7EBF" w:rsidP="007B207C">
            <w:pPr>
              <w:pStyle w:val="ARfintablebodyright"/>
              <w:spacing w:before="30" w:after="10"/>
            </w:pPr>
            <w:r w:rsidRPr="00ED4378">
              <w:t>9,033.8</w:t>
            </w:r>
          </w:p>
        </w:tc>
        <w:tc>
          <w:tcPr>
            <w:tcW w:w="1134" w:type="dxa"/>
            <w:tcBorders>
              <w:top w:val="single" w:sz="4" w:space="0" w:color="A6A6A6" w:themeColor="background1" w:themeShade="A6"/>
              <w:bottom w:val="single" w:sz="4" w:space="0" w:color="A6A6A6" w:themeColor="background1" w:themeShade="A6"/>
            </w:tcBorders>
          </w:tcPr>
          <w:p w14:paraId="759FEDBA" w14:textId="77777777" w:rsidR="00FA7EBF" w:rsidRPr="007939DD" w:rsidRDefault="00FA7EBF" w:rsidP="007B207C">
            <w:pPr>
              <w:pStyle w:val="ARfintablebodyright"/>
              <w:spacing w:before="30" w:after="10"/>
            </w:pPr>
            <w:r w:rsidRPr="00ED4378">
              <w:t>–</w:t>
            </w:r>
          </w:p>
        </w:tc>
        <w:tc>
          <w:tcPr>
            <w:tcW w:w="1134" w:type="dxa"/>
            <w:tcBorders>
              <w:top w:val="single" w:sz="4" w:space="0" w:color="A6A6A6" w:themeColor="background1" w:themeShade="A6"/>
              <w:bottom w:val="single" w:sz="4" w:space="0" w:color="A6A6A6" w:themeColor="background1" w:themeShade="A6"/>
            </w:tcBorders>
          </w:tcPr>
          <w:p w14:paraId="136FF8A0" w14:textId="77777777" w:rsidR="00FA7EBF" w:rsidRPr="007939DD" w:rsidRDefault="00FA7EBF" w:rsidP="007B207C">
            <w:pPr>
              <w:pStyle w:val="ARfintablebodyright"/>
              <w:spacing w:before="30" w:after="10"/>
            </w:pPr>
            <w:r w:rsidRPr="00ED4378">
              <w:t>9,033.4</w:t>
            </w:r>
          </w:p>
        </w:tc>
        <w:tc>
          <w:tcPr>
            <w:tcW w:w="1133" w:type="dxa"/>
            <w:tcBorders>
              <w:top w:val="single" w:sz="4" w:space="0" w:color="A6A6A6" w:themeColor="background1" w:themeShade="A6"/>
              <w:bottom w:val="single" w:sz="4" w:space="0" w:color="A6A6A6" w:themeColor="background1" w:themeShade="A6"/>
            </w:tcBorders>
          </w:tcPr>
          <w:p w14:paraId="49A1D5EF" w14:textId="77777777" w:rsidR="00FA7EBF" w:rsidRPr="007939DD" w:rsidRDefault="00FA7EBF" w:rsidP="007B207C">
            <w:pPr>
              <w:pStyle w:val="ARfintablebodyright"/>
              <w:spacing w:before="30" w:after="10"/>
            </w:pPr>
            <w:r w:rsidRPr="00ED4378">
              <w:t>0.4</w:t>
            </w:r>
          </w:p>
        </w:tc>
      </w:tr>
      <w:tr w:rsidR="00FA7EBF" w:rsidRPr="007939DD" w14:paraId="3921CAAE" w14:textId="77777777" w:rsidTr="007B207C">
        <w:trPr>
          <w:cantSplit/>
        </w:trPr>
        <w:tc>
          <w:tcPr>
            <w:tcW w:w="5103" w:type="dxa"/>
            <w:tcBorders>
              <w:top w:val="single" w:sz="4" w:space="0" w:color="A6A6A6" w:themeColor="background1" w:themeShade="A6"/>
            </w:tcBorders>
          </w:tcPr>
          <w:p w14:paraId="6C9790F3" w14:textId="77777777" w:rsidR="00FA7EBF" w:rsidRPr="007939DD" w:rsidRDefault="00FA7EBF" w:rsidP="007B207C">
            <w:pPr>
              <w:pStyle w:val="ARfintablebody"/>
              <w:spacing w:before="30" w:after="10"/>
              <w:rPr>
                <w:lang w:eastAsia="en-AU"/>
              </w:rPr>
            </w:pPr>
            <w:r w:rsidRPr="00ED4378">
              <w:t>Specialised building</w:t>
            </w:r>
          </w:p>
        </w:tc>
        <w:tc>
          <w:tcPr>
            <w:tcW w:w="1135" w:type="dxa"/>
            <w:tcBorders>
              <w:top w:val="single" w:sz="4" w:space="0" w:color="A6A6A6" w:themeColor="background1" w:themeShade="A6"/>
            </w:tcBorders>
          </w:tcPr>
          <w:p w14:paraId="0DA0B3D0" w14:textId="77777777" w:rsidR="00FA7EBF" w:rsidRPr="007939DD" w:rsidRDefault="00FA7EBF" w:rsidP="007B207C">
            <w:pPr>
              <w:pStyle w:val="ARfintablebodyright"/>
              <w:spacing w:before="30" w:after="10"/>
            </w:pPr>
            <w:r w:rsidRPr="00ED4378">
              <w:t>742.3</w:t>
            </w:r>
          </w:p>
        </w:tc>
        <w:tc>
          <w:tcPr>
            <w:tcW w:w="1134" w:type="dxa"/>
            <w:tcBorders>
              <w:top w:val="single" w:sz="4" w:space="0" w:color="A6A6A6" w:themeColor="background1" w:themeShade="A6"/>
            </w:tcBorders>
          </w:tcPr>
          <w:p w14:paraId="691EFE03" w14:textId="77777777" w:rsidR="00FA7EBF" w:rsidRPr="007939DD" w:rsidRDefault="00FA7EBF" w:rsidP="007B207C">
            <w:pPr>
              <w:pStyle w:val="ARfintablebodyright"/>
              <w:spacing w:before="30" w:after="10"/>
            </w:pPr>
            <w:r w:rsidRPr="00ED4378">
              <w:t>–</w:t>
            </w:r>
          </w:p>
        </w:tc>
        <w:tc>
          <w:tcPr>
            <w:tcW w:w="1134" w:type="dxa"/>
            <w:tcBorders>
              <w:top w:val="single" w:sz="4" w:space="0" w:color="A6A6A6" w:themeColor="background1" w:themeShade="A6"/>
            </w:tcBorders>
          </w:tcPr>
          <w:p w14:paraId="6503B5EB" w14:textId="77777777" w:rsidR="00FA7EBF" w:rsidRPr="007939DD" w:rsidRDefault="00FA7EBF" w:rsidP="007B207C">
            <w:pPr>
              <w:pStyle w:val="ARfintablebodyright"/>
              <w:spacing w:before="30" w:after="10"/>
            </w:pPr>
            <w:r w:rsidRPr="00ED4378">
              <w:t>1.0</w:t>
            </w:r>
          </w:p>
        </w:tc>
        <w:tc>
          <w:tcPr>
            <w:tcW w:w="1133" w:type="dxa"/>
            <w:tcBorders>
              <w:top w:val="single" w:sz="4" w:space="0" w:color="A6A6A6" w:themeColor="background1" w:themeShade="A6"/>
            </w:tcBorders>
          </w:tcPr>
          <w:p w14:paraId="5A66E9BC" w14:textId="77777777" w:rsidR="00FA7EBF" w:rsidRPr="007939DD" w:rsidRDefault="00FA7EBF" w:rsidP="007B207C">
            <w:pPr>
              <w:pStyle w:val="ARfintablebodyright"/>
              <w:spacing w:before="30" w:after="10"/>
            </w:pPr>
            <w:r w:rsidRPr="00ED4378">
              <w:t>741.2</w:t>
            </w:r>
          </w:p>
        </w:tc>
      </w:tr>
      <w:tr w:rsidR="00FA7EBF" w:rsidRPr="007939DD" w14:paraId="51782FC4" w14:textId="77777777" w:rsidTr="007B207C">
        <w:trPr>
          <w:cantSplit/>
        </w:trPr>
        <w:tc>
          <w:tcPr>
            <w:tcW w:w="5103" w:type="dxa"/>
          </w:tcPr>
          <w:p w14:paraId="606958F0" w14:textId="77777777" w:rsidR="00FA7EBF" w:rsidRPr="007939DD" w:rsidRDefault="00FA7EBF" w:rsidP="007B207C">
            <w:pPr>
              <w:pStyle w:val="ARfintablebodybold"/>
              <w:spacing w:before="30" w:after="10"/>
              <w:rPr>
                <w:lang w:eastAsia="en-AU"/>
              </w:rPr>
            </w:pPr>
            <w:r w:rsidRPr="00ED4378">
              <w:t>Total buildings at fair value</w:t>
            </w:r>
          </w:p>
        </w:tc>
        <w:tc>
          <w:tcPr>
            <w:tcW w:w="1135" w:type="dxa"/>
          </w:tcPr>
          <w:p w14:paraId="4485E653" w14:textId="77777777" w:rsidR="00FA7EBF" w:rsidRPr="007939DD" w:rsidRDefault="00FA7EBF" w:rsidP="007B207C">
            <w:pPr>
              <w:pStyle w:val="ARfintablebodyrightbold"/>
              <w:spacing w:before="30" w:after="10"/>
              <w:rPr>
                <w:rStyle w:val="Strong"/>
              </w:rPr>
            </w:pPr>
            <w:r w:rsidRPr="00ED4378">
              <w:t>9,776.0</w:t>
            </w:r>
          </w:p>
        </w:tc>
        <w:tc>
          <w:tcPr>
            <w:tcW w:w="1134" w:type="dxa"/>
          </w:tcPr>
          <w:p w14:paraId="5FE1D0A6" w14:textId="77777777" w:rsidR="00FA7EBF" w:rsidRPr="007939DD" w:rsidRDefault="00FA7EBF" w:rsidP="007B207C">
            <w:pPr>
              <w:pStyle w:val="ARfintablebodyrightbold"/>
              <w:spacing w:before="30" w:after="10"/>
              <w:rPr>
                <w:rStyle w:val="Strong"/>
              </w:rPr>
            </w:pPr>
            <w:r w:rsidRPr="00ED4378">
              <w:t>–</w:t>
            </w:r>
          </w:p>
        </w:tc>
        <w:tc>
          <w:tcPr>
            <w:tcW w:w="1134" w:type="dxa"/>
          </w:tcPr>
          <w:p w14:paraId="750E499E" w14:textId="77777777" w:rsidR="00FA7EBF" w:rsidRPr="007939DD" w:rsidRDefault="00FA7EBF" w:rsidP="007B207C">
            <w:pPr>
              <w:pStyle w:val="ARfintablebodyrightbold"/>
              <w:spacing w:before="30" w:after="10"/>
              <w:rPr>
                <w:rStyle w:val="Strong"/>
              </w:rPr>
            </w:pPr>
            <w:r w:rsidRPr="00ED4378">
              <w:t>9,034.4</w:t>
            </w:r>
          </w:p>
        </w:tc>
        <w:tc>
          <w:tcPr>
            <w:tcW w:w="1133" w:type="dxa"/>
          </w:tcPr>
          <w:p w14:paraId="402B2005" w14:textId="77777777" w:rsidR="00FA7EBF" w:rsidRPr="007939DD" w:rsidRDefault="00FA7EBF" w:rsidP="007B207C">
            <w:pPr>
              <w:pStyle w:val="ARfintablebodyrightbold"/>
              <w:spacing w:before="30" w:after="10"/>
              <w:rPr>
                <w:rStyle w:val="Strong"/>
              </w:rPr>
            </w:pPr>
            <w:r w:rsidRPr="00ED4378">
              <w:t>741.6</w:t>
            </w:r>
          </w:p>
        </w:tc>
      </w:tr>
      <w:tr w:rsidR="00FA7EBF" w:rsidRPr="007939DD" w14:paraId="7FD44035" w14:textId="77777777" w:rsidTr="007B207C">
        <w:trPr>
          <w:cantSplit/>
        </w:trPr>
        <w:tc>
          <w:tcPr>
            <w:tcW w:w="9639" w:type="dxa"/>
            <w:gridSpan w:val="5"/>
            <w:tcBorders>
              <w:bottom w:val="single" w:sz="4" w:space="0" w:color="A6A6A6" w:themeColor="background1" w:themeShade="A6"/>
            </w:tcBorders>
          </w:tcPr>
          <w:p w14:paraId="0ACD44C7" w14:textId="77777777" w:rsidR="00FA7EBF" w:rsidRPr="007939DD" w:rsidRDefault="00FA7EBF" w:rsidP="007B207C">
            <w:pPr>
              <w:pStyle w:val="ARfintablebodybold"/>
            </w:pPr>
            <w:r w:rsidRPr="00ED4378">
              <w:t>Plant, equipment and vehicles at fair value</w:t>
            </w:r>
          </w:p>
        </w:tc>
      </w:tr>
      <w:tr w:rsidR="00FA7EBF" w:rsidRPr="007939DD" w14:paraId="6ECE49C4" w14:textId="77777777" w:rsidTr="007B207C">
        <w:trPr>
          <w:cantSplit/>
        </w:trPr>
        <w:tc>
          <w:tcPr>
            <w:tcW w:w="5103" w:type="dxa"/>
            <w:tcBorders>
              <w:top w:val="single" w:sz="4" w:space="0" w:color="A6A6A6" w:themeColor="background1" w:themeShade="A6"/>
              <w:bottom w:val="single" w:sz="4" w:space="0" w:color="A6A6A6" w:themeColor="background1" w:themeShade="A6"/>
            </w:tcBorders>
          </w:tcPr>
          <w:p w14:paraId="0CB0411F" w14:textId="77777777" w:rsidR="00FA7EBF" w:rsidRPr="007939DD" w:rsidRDefault="00FA7EBF" w:rsidP="007B207C">
            <w:pPr>
              <w:pStyle w:val="ARfintablebody"/>
              <w:spacing w:before="30" w:after="10"/>
              <w:rPr>
                <w:lang w:eastAsia="en-AU"/>
              </w:rPr>
            </w:pPr>
            <w:r w:rsidRPr="00ED4378">
              <w:t>Plant and equipment</w:t>
            </w:r>
          </w:p>
        </w:tc>
        <w:tc>
          <w:tcPr>
            <w:tcW w:w="1135" w:type="dxa"/>
            <w:tcBorders>
              <w:top w:val="single" w:sz="4" w:space="0" w:color="A6A6A6" w:themeColor="background1" w:themeShade="A6"/>
              <w:bottom w:val="single" w:sz="4" w:space="0" w:color="A6A6A6" w:themeColor="background1" w:themeShade="A6"/>
            </w:tcBorders>
          </w:tcPr>
          <w:p w14:paraId="60BEEC25" w14:textId="77777777" w:rsidR="00FA7EBF" w:rsidRPr="007939DD" w:rsidRDefault="00FA7EBF" w:rsidP="007B207C">
            <w:pPr>
              <w:pStyle w:val="ARfintablebodyright"/>
              <w:spacing w:before="30" w:after="10"/>
            </w:pPr>
            <w:r w:rsidRPr="00ED4378">
              <w:t>10.8</w:t>
            </w:r>
          </w:p>
        </w:tc>
        <w:tc>
          <w:tcPr>
            <w:tcW w:w="1134" w:type="dxa"/>
            <w:tcBorders>
              <w:top w:val="single" w:sz="4" w:space="0" w:color="A6A6A6" w:themeColor="background1" w:themeShade="A6"/>
              <w:bottom w:val="single" w:sz="4" w:space="0" w:color="A6A6A6" w:themeColor="background1" w:themeShade="A6"/>
            </w:tcBorders>
          </w:tcPr>
          <w:p w14:paraId="177635E3" w14:textId="77777777" w:rsidR="00FA7EBF" w:rsidRPr="007939DD" w:rsidRDefault="00FA7EBF" w:rsidP="007B207C">
            <w:pPr>
              <w:pStyle w:val="ARfintablebodyright"/>
              <w:spacing w:before="30" w:after="10"/>
            </w:pPr>
            <w:r w:rsidRPr="00ED4378">
              <w:t>–</w:t>
            </w:r>
          </w:p>
        </w:tc>
        <w:tc>
          <w:tcPr>
            <w:tcW w:w="1134" w:type="dxa"/>
            <w:tcBorders>
              <w:top w:val="single" w:sz="4" w:space="0" w:color="A6A6A6" w:themeColor="background1" w:themeShade="A6"/>
              <w:bottom w:val="single" w:sz="4" w:space="0" w:color="A6A6A6" w:themeColor="background1" w:themeShade="A6"/>
            </w:tcBorders>
          </w:tcPr>
          <w:p w14:paraId="2CFE1544" w14:textId="77777777" w:rsidR="00FA7EBF" w:rsidRPr="007939DD" w:rsidRDefault="00FA7EBF" w:rsidP="007B207C">
            <w:pPr>
              <w:pStyle w:val="ARfintablebodyright"/>
              <w:spacing w:before="30" w:after="10"/>
            </w:pPr>
            <w:r w:rsidRPr="00ED4378">
              <w:t>–</w:t>
            </w:r>
          </w:p>
        </w:tc>
        <w:tc>
          <w:tcPr>
            <w:tcW w:w="1133" w:type="dxa"/>
            <w:tcBorders>
              <w:top w:val="single" w:sz="4" w:space="0" w:color="A6A6A6" w:themeColor="background1" w:themeShade="A6"/>
              <w:bottom w:val="single" w:sz="4" w:space="0" w:color="A6A6A6" w:themeColor="background1" w:themeShade="A6"/>
            </w:tcBorders>
          </w:tcPr>
          <w:p w14:paraId="2A829657" w14:textId="77777777" w:rsidR="00FA7EBF" w:rsidRPr="007939DD" w:rsidRDefault="00FA7EBF" w:rsidP="007B207C">
            <w:pPr>
              <w:pStyle w:val="ARfintablebodyright"/>
              <w:spacing w:before="30" w:after="10"/>
            </w:pPr>
            <w:r w:rsidRPr="00ED4378">
              <w:t>10.8</w:t>
            </w:r>
          </w:p>
        </w:tc>
      </w:tr>
      <w:tr w:rsidR="00FA7EBF" w:rsidRPr="007939DD" w14:paraId="4BC472CF" w14:textId="77777777" w:rsidTr="007B207C">
        <w:trPr>
          <w:cantSplit/>
        </w:trPr>
        <w:tc>
          <w:tcPr>
            <w:tcW w:w="5103" w:type="dxa"/>
            <w:tcBorders>
              <w:top w:val="single" w:sz="4" w:space="0" w:color="A6A6A6" w:themeColor="background1" w:themeShade="A6"/>
            </w:tcBorders>
          </w:tcPr>
          <w:p w14:paraId="7AF0CCF3" w14:textId="77777777" w:rsidR="00FA7EBF" w:rsidRPr="007939DD" w:rsidRDefault="00FA7EBF" w:rsidP="007B207C">
            <w:pPr>
              <w:pStyle w:val="ARfintablebody"/>
              <w:spacing w:before="30" w:after="10"/>
              <w:rPr>
                <w:lang w:eastAsia="en-AU"/>
              </w:rPr>
            </w:pPr>
            <w:r w:rsidRPr="00ED4378">
              <w:t>Motor vehicles</w:t>
            </w:r>
          </w:p>
        </w:tc>
        <w:tc>
          <w:tcPr>
            <w:tcW w:w="1135" w:type="dxa"/>
            <w:tcBorders>
              <w:top w:val="single" w:sz="4" w:space="0" w:color="A6A6A6" w:themeColor="background1" w:themeShade="A6"/>
            </w:tcBorders>
          </w:tcPr>
          <w:p w14:paraId="02F38416" w14:textId="77777777" w:rsidR="00FA7EBF" w:rsidRPr="007939DD" w:rsidRDefault="00FA7EBF" w:rsidP="007B207C">
            <w:pPr>
              <w:pStyle w:val="ARfintablebodyright"/>
              <w:spacing w:before="30" w:after="10"/>
            </w:pPr>
            <w:r w:rsidRPr="00ED4378">
              <w:t>0.8</w:t>
            </w:r>
          </w:p>
        </w:tc>
        <w:tc>
          <w:tcPr>
            <w:tcW w:w="1134" w:type="dxa"/>
            <w:tcBorders>
              <w:top w:val="single" w:sz="4" w:space="0" w:color="A6A6A6" w:themeColor="background1" w:themeShade="A6"/>
            </w:tcBorders>
          </w:tcPr>
          <w:p w14:paraId="531EF291" w14:textId="77777777" w:rsidR="00FA7EBF" w:rsidRPr="007939DD" w:rsidRDefault="00FA7EBF" w:rsidP="007B207C">
            <w:pPr>
              <w:pStyle w:val="ARfintablebodyright"/>
              <w:spacing w:before="30" w:after="10"/>
            </w:pPr>
            <w:r w:rsidRPr="00ED4378">
              <w:t>–</w:t>
            </w:r>
          </w:p>
        </w:tc>
        <w:tc>
          <w:tcPr>
            <w:tcW w:w="1134" w:type="dxa"/>
            <w:tcBorders>
              <w:top w:val="single" w:sz="4" w:space="0" w:color="A6A6A6" w:themeColor="background1" w:themeShade="A6"/>
            </w:tcBorders>
          </w:tcPr>
          <w:p w14:paraId="654C95D1" w14:textId="77777777" w:rsidR="00FA7EBF" w:rsidRPr="007939DD" w:rsidRDefault="00FA7EBF" w:rsidP="007B207C">
            <w:pPr>
              <w:pStyle w:val="ARfintablebodyright"/>
              <w:spacing w:before="30" w:after="10"/>
            </w:pPr>
            <w:r w:rsidRPr="00ED4378">
              <w:t>–</w:t>
            </w:r>
          </w:p>
        </w:tc>
        <w:tc>
          <w:tcPr>
            <w:tcW w:w="1133" w:type="dxa"/>
            <w:tcBorders>
              <w:top w:val="single" w:sz="4" w:space="0" w:color="A6A6A6" w:themeColor="background1" w:themeShade="A6"/>
            </w:tcBorders>
          </w:tcPr>
          <w:p w14:paraId="461C6E68" w14:textId="77777777" w:rsidR="00FA7EBF" w:rsidRPr="007939DD" w:rsidRDefault="00FA7EBF" w:rsidP="007B207C">
            <w:pPr>
              <w:pStyle w:val="ARfintablebodyright"/>
              <w:spacing w:before="30" w:after="10"/>
            </w:pPr>
            <w:r w:rsidRPr="00ED4378">
              <w:t>0.8</w:t>
            </w:r>
          </w:p>
        </w:tc>
      </w:tr>
      <w:tr w:rsidR="00FA7EBF" w:rsidRPr="007939DD" w14:paraId="4271401B" w14:textId="77777777" w:rsidTr="007B207C">
        <w:trPr>
          <w:cantSplit/>
        </w:trPr>
        <w:tc>
          <w:tcPr>
            <w:tcW w:w="5103" w:type="dxa"/>
          </w:tcPr>
          <w:p w14:paraId="4A753FAC" w14:textId="77777777" w:rsidR="00FA7EBF" w:rsidRPr="007939DD" w:rsidRDefault="00FA7EBF" w:rsidP="007B207C">
            <w:pPr>
              <w:pStyle w:val="ARfintablebodybold"/>
              <w:spacing w:before="30" w:after="10"/>
              <w:rPr>
                <w:lang w:eastAsia="en-AU"/>
              </w:rPr>
            </w:pPr>
            <w:r w:rsidRPr="00ED4378">
              <w:t>Total plant, equipment and vehicles at fair value</w:t>
            </w:r>
          </w:p>
        </w:tc>
        <w:tc>
          <w:tcPr>
            <w:tcW w:w="1135" w:type="dxa"/>
          </w:tcPr>
          <w:p w14:paraId="0F188679" w14:textId="77777777" w:rsidR="00FA7EBF" w:rsidRPr="007939DD" w:rsidRDefault="00FA7EBF" w:rsidP="007B207C">
            <w:pPr>
              <w:pStyle w:val="ARfintablebodyrightbold"/>
              <w:spacing w:before="30" w:after="10"/>
              <w:rPr>
                <w:rStyle w:val="Strong"/>
              </w:rPr>
            </w:pPr>
            <w:r w:rsidRPr="00ED4378">
              <w:t>11.6</w:t>
            </w:r>
          </w:p>
        </w:tc>
        <w:tc>
          <w:tcPr>
            <w:tcW w:w="1134" w:type="dxa"/>
          </w:tcPr>
          <w:p w14:paraId="3AEB9365" w14:textId="77777777" w:rsidR="00FA7EBF" w:rsidRPr="007939DD" w:rsidRDefault="00FA7EBF" w:rsidP="007B207C">
            <w:pPr>
              <w:pStyle w:val="ARfintablebodyrightbold"/>
              <w:spacing w:before="30" w:after="10"/>
              <w:rPr>
                <w:rStyle w:val="Strong"/>
              </w:rPr>
            </w:pPr>
            <w:r w:rsidRPr="00ED4378">
              <w:t>–</w:t>
            </w:r>
          </w:p>
        </w:tc>
        <w:tc>
          <w:tcPr>
            <w:tcW w:w="1134" w:type="dxa"/>
          </w:tcPr>
          <w:p w14:paraId="7A824F72" w14:textId="77777777" w:rsidR="00FA7EBF" w:rsidRPr="007939DD" w:rsidRDefault="00FA7EBF" w:rsidP="007B207C">
            <w:pPr>
              <w:pStyle w:val="ARfintablebodyrightbold"/>
              <w:spacing w:before="30" w:after="10"/>
              <w:rPr>
                <w:rStyle w:val="Strong"/>
              </w:rPr>
            </w:pPr>
            <w:r w:rsidRPr="00ED4378">
              <w:t>–</w:t>
            </w:r>
          </w:p>
        </w:tc>
        <w:tc>
          <w:tcPr>
            <w:tcW w:w="1133" w:type="dxa"/>
          </w:tcPr>
          <w:p w14:paraId="742ECCBC" w14:textId="77777777" w:rsidR="00FA7EBF" w:rsidRPr="007939DD" w:rsidRDefault="00FA7EBF" w:rsidP="007B207C">
            <w:pPr>
              <w:pStyle w:val="ARfintablebodyrightbold"/>
              <w:spacing w:before="30" w:after="10"/>
              <w:rPr>
                <w:rStyle w:val="Strong"/>
              </w:rPr>
            </w:pPr>
            <w:r w:rsidRPr="00ED4378">
              <w:t>11.6</w:t>
            </w:r>
          </w:p>
        </w:tc>
      </w:tr>
    </w:tbl>
    <w:p w14:paraId="0DB536BC" w14:textId="77777777" w:rsidR="00FA7EBF" w:rsidRDefault="00FA7EBF" w:rsidP="00CA66FD">
      <w:pPr>
        <w:pStyle w:val="ARfinbody"/>
      </w:pP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5103"/>
        <w:gridCol w:w="1135"/>
        <w:gridCol w:w="1134"/>
        <w:gridCol w:w="1134"/>
        <w:gridCol w:w="1139"/>
      </w:tblGrid>
      <w:tr w:rsidR="00FA7EBF" w14:paraId="3BE3B83E" w14:textId="77777777" w:rsidTr="007B207C">
        <w:trPr>
          <w:cantSplit/>
          <w:tblHeader/>
        </w:trPr>
        <w:tc>
          <w:tcPr>
            <w:tcW w:w="5103" w:type="dxa"/>
            <w:vMerge w:val="restart"/>
            <w:tcBorders>
              <w:top w:val="nil"/>
            </w:tcBorders>
            <w:vAlign w:val="bottom"/>
          </w:tcPr>
          <w:p w14:paraId="7C01857D" w14:textId="77777777" w:rsidR="00FA7EBF" w:rsidRPr="00ED4378" w:rsidRDefault="00FA7EBF" w:rsidP="007B207C">
            <w:pPr>
              <w:pStyle w:val="ARfintablebodybold"/>
              <w:spacing w:before="30" w:after="10"/>
            </w:pPr>
            <w:r w:rsidRPr="00ED4378">
              <w:t>2018</w:t>
            </w:r>
          </w:p>
        </w:tc>
        <w:tc>
          <w:tcPr>
            <w:tcW w:w="1135" w:type="dxa"/>
            <w:vMerge w:val="restart"/>
            <w:tcBorders>
              <w:top w:val="nil"/>
            </w:tcBorders>
            <w:vAlign w:val="bottom"/>
          </w:tcPr>
          <w:p w14:paraId="616AF947" w14:textId="77777777" w:rsidR="00FA7EBF" w:rsidRPr="007939DD" w:rsidRDefault="00FA7EBF" w:rsidP="007B207C">
            <w:pPr>
              <w:pStyle w:val="ARfintablecolheadright"/>
              <w:spacing w:before="30" w:after="10"/>
            </w:pPr>
            <w:r w:rsidRPr="007939DD">
              <w:t>Carrying amount</w:t>
            </w:r>
          </w:p>
          <w:p w14:paraId="5FEA1625" w14:textId="77777777" w:rsidR="00FA7EBF" w:rsidRDefault="00FA7EBF" w:rsidP="007B207C">
            <w:pPr>
              <w:pStyle w:val="ARfintablecolheadright"/>
            </w:pPr>
            <w:r w:rsidRPr="007939DD">
              <w:t>$M</w:t>
            </w:r>
          </w:p>
        </w:tc>
        <w:tc>
          <w:tcPr>
            <w:tcW w:w="3407" w:type="dxa"/>
            <w:gridSpan w:val="3"/>
            <w:tcBorders>
              <w:top w:val="nil"/>
            </w:tcBorders>
            <w:vAlign w:val="bottom"/>
          </w:tcPr>
          <w:p w14:paraId="32608539" w14:textId="77777777" w:rsidR="00FA7EBF" w:rsidRDefault="00FA7EBF" w:rsidP="007B207C">
            <w:pPr>
              <w:pStyle w:val="ARfintablecolheadcentre"/>
            </w:pPr>
            <w:r w:rsidRPr="007939DD">
              <w:t xml:space="preserve">Fair value measurement at end </w:t>
            </w:r>
            <w:r w:rsidRPr="007939DD">
              <w:br/>
              <w:t>of reporting period using:</w:t>
            </w:r>
          </w:p>
        </w:tc>
      </w:tr>
      <w:tr w:rsidR="00FA7EBF" w14:paraId="4D05DB26" w14:textId="77777777" w:rsidTr="007B207C">
        <w:trPr>
          <w:cantSplit/>
          <w:tblHeader/>
        </w:trPr>
        <w:tc>
          <w:tcPr>
            <w:tcW w:w="5103" w:type="dxa"/>
            <w:vMerge/>
            <w:tcBorders>
              <w:bottom w:val="single" w:sz="4" w:space="0" w:color="A6A6A6" w:themeColor="background1" w:themeShade="A6"/>
            </w:tcBorders>
            <w:vAlign w:val="bottom"/>
          </w:tcPr>
          <w:p w14:paraId="2A2008E1" w14:textId="77777777" w:rsidR="00FA7EBF" w:rsidRPr="00ED4378" w:rsidRDefault="00FA7EBF" w:rsidP="007B207C">
            <w:pPr>
              <w:pStyle w:val="ARfintablebodybold"/>
              <w:spacing w:before="30" w:after="10"/>
            </w:pPr>
          </w:p>
        </w:tc>
        <w:tc>
          <w:tcPr>
            <w:tcW w:w="1135" w:type="dxa"/>
            <w:vMerge/>
            <w:tcBorders>
              <w:bottom w:val="single" w:sz="4" w:space="0" w:color="A6A6A6" w:themeColor="background1" w:themeShade="A6"/>
            </w:tcBorders>
            <w:vAlign w:val="bottom"/>
          </w:tcPr>
          <w:p w14:paraId="2A0157DC" w14:textId="77777777" w:rsidR="00FA7EBF" w:rsidRDefault="00FA7EBF" w:rsidP="007B207C">
            <w:pPr>
              <w:pStyle w:val="ARfintablebodyright"/>
              <w:spacing w:before="30" w:after="10"/>
              <w:rPr>
                <w:lang w:eastAsia="en-AU"/>
              </w:rPr>
            </w:pPr>
          </w:p>
        </w:tc>
        <w:tc>
          <w:tcPr>
            <w:tcW w:w="1134" w:type="dxa"/>
            <w:tcBorders>
              <w:bottom w:val="single" w:sz="4" w:space="0" w:color="A6A6A6" w:themeColor="background1" w:themeShade="A6"/>
            </w:tcBorders>
            <w:vAlign w:val="bottom"/>
          </w:tcPr>
          <w:p w14:paraId="10946EA3" w14:textId="77777777" w:rsidR="00FA7EBF" w:rsidRPr="007939DD" w:rsidRDefault="00FA7EBF" w:rsidP="007B207C">
            <w:pPr>
              <w:pStyle w:val="ARfintablecolheadright"/>
              <w:spacing w:before="30" w:after="10"/>
            </w:pPr>
            <w:r w:rsidRPr="007939DD">
              <w:t xml:space="preserve">Level 1 </w:t>
            </w:r>
            <w:r w:rsidRPr="007939DD">
              <w:rPr>
                <w:rStyle w:val="Superscriptbold"/>
              </w:rPr>
              <w:t>(i)</w:t>
            </w:r>
          </w:p>
          <w:p w14:paraId="29652348" w14:textId="77777777" w:rsidR="00FA7EBF" w:rsidRDefault="00FA7EBF" w:rsidP="007B207C">
            <w:pPr>
              <w:pStyle w:val="ARfintablecolheadright"/>
            </w:pPr>
            <w:r w:rsidRPr="007939DD">
              <w:t>$M</w:t>
            </w:r>
          </w:p>
        </w:tc>
        <w:tc>
          <w:tcPr>
            <w:tcW w:w="1134" w:type="dxa"/>
            <w:tcBorders>
              <w:bottom w:val="single" w:sz="4" w:space="0" w:color="A6A6A6" w:themeColor="background1" w:themeShade="A6"/>
            </w:tcBorders>
            <w:vAlign w:val="bottom"/>
          </w:tcPr>
          <w:p w14:paraId="2807403F" w14:textId="77777777" w:rsidR="00FA7EBF" w:rsidRPr="007939DD" w:rsidRDefault="00FA7EBF" w:rsidP="007B207C">
            <w:pPr>
              <w:pStyle w:val="ARfintablecolheadright"/>
              <w:spacing w:before="30" w:after="10"/>
            </w:pPr>
            <w:r w:rsidRPr="007939DD">
              <w:t xml:space="preserve">Level 2 </w:t>
            </w:r>
            <w:r w:rsidRPr="007939DD">
              <w:rPr>
                <w:rStyle w:val="Superscriptbold"/>
              </w:rPr>
              <w:t>(i)</w:t>
            </w:r>
          </w:p>
          <w:p w14:paraId="3938887B" w14:textId="77777777" w:rsidR="00FA7EBF" w:rsidRDefault="00FA7EBF" w:rsidP="007B207C">
            <w:pPr>
              <w:pStyle w:val="ARfintablecolheadright"/>
            </w:pPr>
            <w:r w:rsidRPr="007939DD">
              <w:t>$M</w:t>
            </w:r>
          </w:p>
        </w:tc>
        <w:tc>
          <w:tcPr>
            <w:tcW w:w="1139" w:type="dxa"/>
            <w:tcBorders>
              <w:bottom w:val="single" w:sz="4" w:space="0" w:color="A6A6A6" w:themeColor="background1" w:themeShade="A6"/>
            </w:tcBorders>
            <w:vAlign w:val="bottom"/>
          </w:tcPr>
          <w:p w14:paraId="48D8971F" w14:textId="77777777" w:rsidR="00FA7EBF" w:rsidRPr="007939DD" w:rsidRDefault="00FA7EBF" w:rsidP="007B207C">
            <w:pPr>
              <w:pStyle w:val="ARfintablecolheadright"/>
              <w:spacing w:before="30" w:after="10"/>
            </w:pPr>
            <w:r w:rsidRPr="007939DD">
              <w:t xml:space="preserve">Level 3 </w:t>
            </w:r>
            <w:r w:rsidRPr="007939DD">
              <w:rPr>
                <w:rStyle w:val="Superscriptbold"/>
              </w:rPr>
              <w:t>(i)</w:t>
            </w:r>
          </w:p>
          <w:p w14:paraId="382A6232" w14:textId="77777777" w:rsidR="00FA7EBF" w:rsidRDefault="00FA7EBF" w:rsidP="007B207C">
            <w:pPr>
              <w:pStyle w:val="ARfintablecolheadright"/>
            </w:pPr>
            <w:r w:rsidRPr="007939DD">
              <w:t>$M</w:t>
            </w:r>
          </w:p>
        </w:tc>
      </w:tr>
      <w:tr w:rsidR="00FA7EBF" w14:paraId="65052401" w14:textId="77777777" w:rsidTr="007B207C">
        <w:trPr>
          <w:cantSplit/>
        </w:trPr>
        <w:tc>
          <w:tcPr>
            <w:tcW w:w="9645" w:type="dxa"/>
            <w:gridSpan w:val="5"/>
            <w:tcBorders>
              <w:bottom w:val="single" w:sz="4" w:space="0" w:color="A6A6A6" w:themeColor="background1" w:themeShade="A6"/>
            </w:tcBorders>
            <w:hideMark/>
          </w:tcPr>
          <w:p w14:paraId="74B5297A" w14:textId="77777777" w:rsidR="00FA7EBF" w:rsidRDefault="00FA7EBF" w:rsidP="007B207C">
            <w:pPr>
              <w:pStyle w:val="ARfintablebodybold"/>
              <w:rPr>
                <w:lang w:eastAsia="en-AU"/>
              </w:rPr>
            </w:pPr>
            <w:r w:rsidRPr="00ED4378">
              <w:t>Land at fair value</w:t>
            </w:r>
          </w:p>
        </w:tc>
      </w:tr>
      <w:tr w:rsidR="00FA7EBF" w14:paraId="1DA406B8" w14:textId="77777777" w:rsidTr="007B207C">
        <w:trPr>
          <w:cantSplit/>
        </w:trPr>
        <w:tc>
          <w:tcPr>
            <w:tcW w:w="5103" w:type="dxa"/>
            <w:tcBorders>
              <w:top w:val="single" w:sz="4" w:space="0" w:color="A6A6A6" w:themeColor="background1" w:themeShade="A6"/>
              <w:bottom w:val="single" w:sz="4" w:space="0" w:color="A6A6A6" w:themeColor="background1" w:themeShade="A6"/>
            </w:tcBorders>
            <w:hideMark/>
          </w:tcPr>
          <w:p w14:paraId="11432FC7" w14:textId="77777777" w:rsidR="00FA7EBF" w:rsidRDefault="00FA7EBF" w:rsidP="007B207C">
            <w:pPr>
              <w:pStyle w:val="ARfintablebody"/>
              <w:spacing w:before="30" w:after="10"/>
              <w:rPr>
                <w:lang w:eastAsia="en-AU"/>
              </w:rPr>
            </w:pPr>
            <w:r w:rsidRPr="00ED4378">
              <w:t>Non-specialised land</w:t>
            </w:r>
          </w:p>
        </w:tc>
        <w:tc>
          <w:tcPr>
            <w:tcW w:w="1135" w:type="dxa"/>
            <w:tcBorders>
              <w:top w:val="single" w:sz="4" w:space="0" w:color="A6A6A6" w:themeColor="background1" w:themeShade="A6"/>
              <w:bottom w:val="single" w:sz="4" w:space="0" w:color="A6A6A6" w:themeColor="background1" w:themeShade="A6"/>
            </w:tcBorders>
            <w:hideMark/>
          </w:tcPr>
          <w:p w14:paraId="598CB0F8" w14:textId="77777777" w:rsidR="00FA7EBF" w:rsidRDefault="00FA7EBF" w:rsidP="007B207C">
            <w:pPr>
              <w:pStyle w:val="ARfintablebodyright"/>
              <w:spacing w:before="30" w:after="10"/>
              <w:rPr>
                <w:lang w:eastAsia="en-AU"/>
              </w:rPr>
            </w:pPr>
            <w:r w:rsidRPr="00ED4378">
              <w:t>20,159.0</w:t>
            </w:r>
          </w:p>
        </w:tc>
        <w:tc>
          <w:tcPr>
            <w:tcW w:w="1134" w:type="dxa"/>
            <w:tcBorders>
              <w:top w:val="single" w:sz="4" w:space="0" w:color="A6A6A6" w:themeColor="background1" w:themeShade="A6"/>
              <w:bottom w:val="single" w:sz="4" w:space="0" w:color="A6A6A6" w:themeColor="background1" w:themeShade="A6"/>
            </w:tcBorders>
            <w:hideMark/>
          </w:tcPr>
          <w:p w14:paraId="056E0578" w14:textId="77777777" w:rsidR="00FA7EBF" w:rsidRDefault="00FA7EBF" w:rsidP="007B207C">
            <w:pPr>
              <w:pStyle w:val="ARfintablebodyright"/>
              <w:spacing w:before="30" w:after="10"/>
              <w:rPr>
                <w:lang w:eastAsia="en-AU"/>
              </w:rPr>
            </w:pPr>
            <w:r w:rsidRPr="00ED4378">
              <w:t>–</w:t>
            </w:r>
          </w:p>
        </w:tc>
        <w:tc>
          <w:tcPr>
            <w:tcW w:w="1134" w:type="dxa"/>
            <w:tcBorders>
              <w:top w:val="single" w:sz="4" w:space="0" w:color="A6A6A6" w:themeColor="background1" w:themeShade="A6"/>
              <w:bottom w:val="single" w:sz="4" w:space="0" w:color="A6A6A6" w:themeColor="background1" w:themeShade="A6"/>
            </w:tcBorders>
            <w:hideMark/>
          </w:tcPr>
          <w:p w14:paraId="68D48B3B" w14:textId="77777777" w:rsidR="00FA7EBF" w:rsidRDefault="00FA7EBF" w:rsidP="007B207C">
            <w:pPr>
              <w:pStyle w:val="ARfintablebodyright"/>
              <w:spacing w:before="30" w:after="10"/>
              <w:rPr>
                <w:lang w:eastAsia="en-AU"/>
              </w:rPr>
            </w:pPr>
            <w:r w:rsidRPr="00ED4378">
              <w:t>20,150.8</w:t>
            </w:r>
          </w:p>
        </w:tc>
        <w:tc>
          <w:tcPr>
            <w:tcW w:w="1139" w:type="dxa"/>
            <w:tcBorders>
              <w:top w:val="single" w:sz="4" w:space="0" w:color="A6A6A6" w:themeColor="background1" w:themeShade="A6"/>
              <w:bottom w:val="single" w:sz="4" w:space="0" w:color="A6A6A6" w:themeColor="background1" w:themeShade="A6"/>
            </w:tcBorders>
            <w:hideMark/>
          </w:tcPr>
          <w:p w14:paraId="3CEE50F1" w14:textId="77777777" w:rsidR="00FA7EBF" w:rsidRDefault="00FA7EBF" w:rsidP="007B207C">
            <w:pPr>
              <w:pStyle w:val="ARfintablebodyright"/>
              <w:spacing w:before="30" w:after="10"/>
              <w:rPr>
                <w:lang w:eastAsia="en-AU"/>
              </w:rPr>
            </w:pPr>
            <w:r w:rsidRPr="00ED4378">
              <w:t>8.2</w:t>
            </w:r>
          </w:p>
        </w:tc>
      </w:tr>
      <w:tr w:rsidR="00FA7EBF" w14:paraId="0A123FA0" w14:textId="77777777" w:rsidTr="007B207C">
        <w:trPr>
          <w:cantSplit/>
        </w:trPr>
        <w:tc>
          <w:tcPr>
            <w:tcW w:w="5103" w:type="dxa"/>
            <w:tcBorders>
              <w:top w:val="single" w:sz="4" w:space="0" w:color="A6A6A6" w:themeColor="background1" w:themeShade="A6"/>
            </w:tcBorders>
            <w:hideMark/>
          </w:tcPr>
          <w:p w14:paraId="38A27A2A" w14:textId="77777777" w:rsidR="00FA7EBF" w:rsidRDefault="00FA7EBF" w:rsidP="007B207C">
            <w:pPr>
              <w:pStyle w:val="ARfintablebody"/>
              <w:spacing w:before="30" w:after="10"/>
              <w:rPr>
                <w:lang w:eastAsia="en-AU"/>
              </w:rPr>
            </w:pPr>
            <w:r w:rsidRPr="00ED4378">
              <w:t>Specialised land</w:t>
            </w:r>
          </w:p>
        </w:tc>
        <w:tc>
          <w:tcPr>
            <w:tcW w:w="1135" w:type="dxa"/>
            <w:tcBorders>
              <w:top w:val="single" w:sz="4" w:space="0" w:color="A6A6A6" w:themeColor="background1" w:themeShade="A6"/>
            </w:tcBorders>
            <w:hideMark/>
          </w:tcPr>
          <w:p w14:paraId="4C357560" w14:textId="77777777" w:rsidR="00FA7EBF" w:rsidRDefault="00FA7EBF" w:rsidP="007B207C">
            <w:pPr>
              <w:pStyle w:val="ARfintablebodyright"/>
              <w:spacing w:before="30" w:after="10"/>
              <w:rPr>
                <w:lang w:eastAsia="en-AU"/>
              </w:rPr>
            </w:pPr>
            <w:r w:rsidRPr="00ED4378">
              <w:t>652.1</w:t>
            </w:r>
          </w:p>
        </w:tc>
        <w:tc>
          <w:tcPr>
            <w:tcW w:w="1134" w:type="dxa"/>
            <w:tcBorders>
              <w:top w:val="single" w:sz="4" w:space="0" w:color="A6A6A6" w:themeColor="background1" w:themeShade="A6"/>
            </w:tcBorders>
            <w:hideMark/>
          </w:tcPr>
          <w:p w14:paraId="39E4AEBB" w14:textId="77777777" w:rsidR="00FA7EBF" w:rsidRDefault="00FA7EBF" w:rsidP="007B207C">
            <w:pPr>
              <w:pStyle w:val="ARfintablebodyright"/>
              <w:spacing w:before="30" w:after="10"/>
              <w:rPr>
                <w:lang w:eastAsia="en-AU"/>
              </w:rPr>
            </w:pPr>
            <w:r w:rsidRPr="00ED4378">
              <w:t>–</w:t>
            </w:r>
          </w:p>
        </w:tc>
        <w:tc>
          <w:tcPr>
            <w:tcW w:w="1134" w:type="dxa"/>
            <w:tcBorders>
              <w:top w:val="single" w:sz="4" w:space="0" w:color="A6A6A6" w:themeColor="background1" w:themeShade="A6"/>
            </w:tcBorders>
            <w:hideMark/>
          </w:tcPr>
          <w:p w14:paraId="15100105" w14:textId="77777777" w:rsidR="00FA7EBF" w:rsidRDefault="00FA7EBF" w:rsidP="007B207C">
            <w:pPr>
              <w:pStyle w:val="ARfintablebodyright"/>
              <w:spacing w:before="30" w:after="10"/>
              <w:rPr>
                <w:lang w:eastAsia="en-AU"/>
              </w:rPr>
            </w:pPr>
            <w:r w:rsidRPr="00ED4378">
              <w:t>91.6</w:t>
            </w:r>
          </w:p>
        </w:tc>
        <w:tc>
          <w:tcPr>
            <w:tcW w:w="1139" w:type="dxa"/>
            <w:tcBorders>
              <w:top w:val="single" w:sz="4" w:space="0" w:color="A6A6A6" w:themeColor="background1" w:themeShade="A6"/>
            </w:tcBorders>
            <w:hideMark/>
          </w:tcPr>
          <w:p w14:paraId="2203E26D" w14:textId="77777777" w:rsidR="00FA7EBF" w:rsidRDefault="00FA7EBF" w:rsidP="007B207C">
            <w:pPr>
              <w:pStyle w:val="ARfintablebodyright"/>
              <w:spacing w:before="30" w:after="10"/>
              <w:rPr>
                <w:lang w:eastAsia="en-AU"/>
              </w:rPr>
            </w:pPr>
            <w:r w:rsidRPr="00ED4378">
              <w:t>560.5</w:t>
            </w:r>
          </w:p>
        </w:tc>
      </w:tr>
      <w:tr w:rsidR="00FA7EBF" w14:paraId="7571805A" w14:textId="77777777" w:rsidTr="007B207C">
        <w:trPr>
          <w:cantSplit/>
        </w:trPr>
        <w:tc>
          <w:tcPr>
            <w:tcW w:w="5103" w:type="dxa"/>
            <w:hideMark/>
          </w:tcPr>
          <w:p w14:paraId="791F904C" w14:textId="77777777" w:rsidR="00FA7EBF" w:rsidRDefault="00FA7EBF" w:rsidP="007B207C">
            <w:pPr>
              <w:pStyle w:val="ARfintablebodybold"/>
              <w:spacing w:before="30" w:after="10"/>
              <w:rPr>
                <w:lang w:eastAsia="en-AU"/>
              </w:rPr>
            </w:pPr>
            <w:r w:rsidRPr="00ED4378">
              <w:t>Total land at fair value</w:t>
            </w:r>
          </w:p>
        </w:tc>
        <w:tc>
          <w:tcPr>
            <w:tcW w:w="1135" w:type="dxa"/>
            <w:hideMark/>
          </w:tcPr>
          <w:p w14:paraId="4AEFB622" w14:textId="77777777" w:rsidR="00FA7EBF" w:rsidRDefault="00FA7EBF" w:rsidP="007B207C">
            <w:pPr>
              <w:pStyle w:val="ARfintablebodyrightbold"/>
              <w:spacing w:before="30" w:after="10"/>
              <w:rPr>
                <w:lang w:eastAsia="en-AU"/>
              </w:rPr>
            </w:pPr>
            <w:r w:rsidRPr="00ED4378">
              <w:t>20,811.1</w:t>
            </w:r>
          </w:p>
        </w:tc>
        <w:tc>
          <w:tcPr>
            <w:tcW w:w="1134" w:type="dxa"/>
            <w:hideMark/>
          </w:tcPr>
          <w:p w14:paraId="692B205F" w14:textId="77777777" w:rsidR="00FA7EBF" w:rsidRDefault="00FA7EBF" w:rsidP="007B207C">
            <w:pPr>
              <w:pStyle w:val="ARfintablebodyrightbold"/>
              <w:spacing w:before="30" w:after="10"/>
              <w:rPr>
                <w:lang w:eastAsia="en-AU"/>
              </w:rPr>
            </w:pPr>
            <w:r w:rsidRPr="00ED4378">
              <w:t>–</w:t>
            </w:r>
          </w:p>
        </w:tc>
        <w:tc>
          <w:tcPr>
            <w:tcW w:w="1134" w:type="dxa"/>
            <w:hideMark/>
          </w:tcPr>
          <w:p w14:paraId="3685DD8A" w14:textId="77777777" w:rsidR="00FA7EBF" w:rsidRDefault="00FA7EBF" w:rsidP="007B207C">
            <w:pPr>
              <w:pStyle w:val="ARfintablebodyrightbold"/>
              <w:spacing w:before="30" w:after="10"/>
              <w:rPr>
                <w:lang w:eastAsia="en-AU"/>
              </w:rPr>
            </w:pPr>
            <w:r w:rsidRPr="00ED4378">
              <w:t>20,242.4</w:t>
            </w:r>
          </w:p>
        </w:tc>
        <w:tc>
          <w:tcPr>
            <w:tcW w:w="1139" w:type="dxa"/>
            <w:hideMark/>
          </w:tcPr>
          <w:p w14:paraId="4890C8BB" w14:textId="77777777" w:rsidR="00FA7EBF" w:rsidRDefault="00FA7EBF" w:rsidP="007B207C">
            <w:pPr>
              <w:pStyle w:val="ARfintablebodyrightbold"/>
              <w:spacing w:before="30" w:after="10"/>
              <w:rPr>
                <w:rStyle w:val="Strong"/>
                <w:bCs w:val="0"/>
              </w:rPr>
            </w:pPr>
            <w:r w:rsidRPr="00ED4378">
              <w:t>568.7</w:t>
            </w:r>
          </w:p>
        </w:tc>
      </w:tr>
      <w:tr w:rsidR="00FA7EBF" w14:paraId="62B4623B" w14:textId="77777777" w:rsidTr="007B207C">
        <w:trPr>
          <w:cantSplit/>
        </w:trPr>
        <w:tc>
          <w:tcPr>
            <w:tcW w:w="9645" w:type="dxa"/>
            <w:gridSpan w:val="5"/>
            <w:tcBorders>
              <w:bottom w:val="single" w:sz="4" w:space="0" w:color="A6A6A6" w:themeColor="background1" w:themeShade="A6"/>
            </w:tcBorders>
            <w:hideMark/>
          </w:tcPr>
          <w:p w14:paraId="1E55F568" w14:textId="77777777" w:rsidR="00FA7EBF" w:rsidRDefault="00FA7EBF" w:rsidP="007B207C">
            <w:pPr>
              <w:pStyle w:val="ARfintablebodybold"/>
              <w:rPr>
                <w:lang w:eastAsia="en-AU"/>
              </w:rPr>
            </w:pPr>
            <w:r w:rsidRPr="00ED4378">
              <w:t>Buildings at fair value</w:t>
            </w:r>
          </w:p>
        </w:tc>
      </w:tr>
      <w:tr w:rsidR="00FA7EBF" w14:paraId="51FE1A1E" w14:textId="77777777" w:rsidTr="007B207C">
        <w:trPr>
          <w:cantSplit/>
        </w:trPr>
        <w:tc>
          <w:tcPr>
            <w:tcW w:w="5103" w:type="dxa"/>
            <w:tcBorders>
              <w:top w:val="single" w:sz="4" w:space="0" w:color="A6A6A6" w:themeColor="background1" w:themeShade="A6"/>
              <w:bottom w:val="single" w:sz="4" w:space="0" w:color="A6A6A6" w:themeColor="background1" w:themeShade="A6"/>
            </w:tcBorders>
            <w:hideMark/>
          </w:tcPr>
          <w:p w14:paraId="3D296E44" w14:textId="77777777" w:rsidR="00FA7EBF" w:rsidRDefault="00FA7EBF" w:rsidP="007B207C">
            <w:pPr>
              <w:pStyle w:val="ARfintablebody"/>
              <w:spacing w:before="30" w:after="10"/>
              <w:rPr>
                <w:lang w:eastAsia="en-AU"/>
              </w:rPr>
            </w:pPr>
            <w:r w:rsidRPr="00ED4378">
              <w:t>Non-specialised building</w:t>
            </w:r>
          </w:p>
        </w:tc>
        <w:tc>
          <w:tcPr>
            <w:tcW w:w="1135" w:type="dxa"/>
            <w:tcBorders>
              <w:top w:val="single" w:sz="4" w:space="0" w:color="A6A6A6" w:themeColor="background1" w:themeShade="A6"/>
              <w:bottom w:val="single" w:sz="4" w:space="0" w:color="A6A6A6" w:themeColor="background1" w:themeShade="A6"/>
            </w:tcBorders>
            <w:hideMark/>
          </w:tcPr>
          <w:p w14:paraId="7977F1B4" w14:textId="77777777" w:rsidR="00FA7EBF" w:rsidRDefault="00FA7EBF" w:rsidP="007B207C">
            <w:pPr>
              <w:pStyle w:val="ARfintablebodyright"/>
              <w:spacing w:before="30" w:after="10"/>
              <w:rPr>
                <w:lang w:eastAsia="en-AU"/>
              </w:rPr>
            </w:pPr>
            <w:r w:rsidRPr="00ED4378">
              <w:t>8,465.8</w:t>
            </w:r>
          </w:p>
        </w:tc>
        <w:tc>
          <w:tcPr>
            <w:tcW w:w="1134" w:type="dxa"/>
            <w:tcBorders>
              <w:top w:val="single" w:sz="4" w:space="0" w:color="A6A6A6" w:themeColor="background1" w:themeShade="A6"/>
              <w:bottom w:val="single" w:sz="4" w:space="0" w:color="A6A6A6" w:themeColor="background1" w:themeShade="A6"/>
            </w:tcBorders>
            <w:hideMark/>
          </w:tcPr>
          <w:p w14:paraId="09807FC7" w14:textId="77777777" w:rsidR="00FA7EBF" w:rsidRDefault="00FA7EBF" w:rsidP="007B207C">
            <w:pPr>
              <w:pStyle w:val="ARfintablebodyright"/>
              <w:spacing w:before="30" w:after="10"/>
              <w:rPr>
                <w:lang w:eastAsia="en-AU"/>
              </w:rPr>
            </w:pPr>
            <w:r w:rsidRPr="00ED4378">
              <w:t>–</w:t>
            </w:r>
          </w:p>
        </w:tc>
        <w:tc>
          <w:tcPr>
            <w:tcW w:w="1134" w:type="dxa"/>
            <w:tcBorders>
              <w:top w:val="single" w:sz="4" w:space="0" w:color="A6A6A6" w:themeColor="background1" w:themeShade="A6"/>
              <w:bottom w:val="single" w:sz="4" w:space="0" w:color="A6A6A6" w:themeColor="background1" w:themeShade="A6"/>
            </w:tcBorders>
            <w:hideMark/>
          </w:tcPr>
          <w:p w14:paraId="21B2B2A9" w14:textId="77777777" w:rsidR="00FA7EBF" w:rsidRDefault="00FA7EBF" w:rsidP="007B207C">
            <w:pPr>
              <w:pStyle w:val="ARfintablebodyright"/>
              <w:spacing w:before="30" w:after="10"/>
              <w:rPr>
                <w:lang w:eastAsia="en-AU"/>
              </w:rPr>
            </w:pPr>
            <w:r w:rsidRPr="00ED4378">
              <w:t>8,465.4</w:t>
            </w:r>
          </w:p>
        </w:tc>
        <w:tc>
          <w:tcPr>
            <w:tcW w:w="1139" w:type="dxa"/>
            <w:tcBorders>
              <w:top w:val="single" w:sz="4" w:space="0" w:color="A6A6A6" w:themeColor="background1" w:themeShade="A6"/>
              <w:bottom w:val="single" w:sz="4" w:space="0" w:color="A6A6A6" w:themeColor="background1" w:themeShade="A6"/>
            </w:tcBorders>
            <w:hideMark/>
          </w:tcPr>
          <w:p w14:paraId="5F7CCE2A" w14:textId="77777777" w:rsidR="00FA7EBF" w:rsidRDefault="00FA7EBF" w:rsidP="007B207C">
            <w:pPr>
              <w:pStyle w:val="ARfintablebodyright"/>
              <w:spacing w:before="30" w:after="10"/>
              <w:rPr>
                <w:lang w:eastAsia="en-AU"/>
              </w:rPr>
            </w:pPr>
            <w:r w:rsidRPr="00ED4378">
              <w:t>0.4</w:t>
            </w:r>
          </w:p>
        </w:tc>
      </w:tr>
      <w:tr w:rsidR="00FA7EBF" w14:paraId="75309DA1" w14:textId="77777777" w:rsidTr="007B207C">
        <w:trPr>
          <w:cantSplit/>
        </w:trPr>
        <w:tc>
          <w:tcPr>
            <w:tcW w:w="5103" w:type="dxa"/>
            <w:tcBorders>
              <w:top w:val="single" w:sz="4" w:space="0" w:color="A6A6A6" w:themeColor="background1" w:themeShade="A6"/>
            </w:tcBorders>
            <w:hideMark/>
          </w:tcPr>
          <w:p w14:paraId="1C3CCA37" w14:textId="77777777" w:rsidR="00FA7EBF" w:rsidRDefault="00FA7EBF" w:rsidP="007B207C">
            <w:pPr>
              <w:pStyle w:val="ARfintablebody"/>
              <w:spacing w:before="30" w:after="10"/>
              <w:rPr>
                <w:lang w:eastAsia="en-AU"/>
              </w:rPr>
            </w:pPr>
            <w:r w:rsidRPr="00ED4378">
              <w:t>Specialised building</w:t>
            </w:r>
          </w:p>
        </w:tc>
        <w:tc>
          <w:tcPr>
            <w:tcW w:w="1135" w:type="dxa"/>
            <w:tcBorders>
              <w:top w:val="single" w:sz="4" w:space="0" w:color="A6A6A6" w:themeColor="background1" w:themeShade="A6"/>
            </w:tcBorders>
            <w:hideMark/>
          </w:tcPr>
          <w:p w14:paraId="6326673C" w14:textId="77777777" w:rsidR="00FA7EBF" w:rsidRDefault="00FA7EBF" w:rsidP="007B207C">
            <w:pPr>
              <w:pStyle w:val="ARfintablebodyright"/>
              <w:spacing w:before="30" w:after="10"/>
              <w:rPr>
                <w:lang w:eastAsia="en-AU"/>
              </w:rPr>
            </w:pPr>
            <w:r w:rsidRPr="00ED4378">
              <w:t>507.2</w:t>
            </w:r>
          </w:p>
        </w:tc>
        <w:tc>
          <w:tcPr>
            <w:tcW w:w="1134" w:type="dxa"/>
            <w:tcBorders>
              <w:top w:val="single" w:sz="4" w:space="0" w:color="A6A6A6" w:themeColor="background1" w:themeShade="A6"/>
            </w:tcBorders>
            <w:hideMark/>
          </w:tcPr>
          <w:p w14:paraId="53535F08" w14:textId="77777777" w:rsidR="00FA7EBF" w:rsidRDefault="00FA7EBF" w:rsidP="007B207C">
            <w:pPr>
              <w:pStyle w:val="ARfintablebodyright"/>
              <w:spacing w:before="30" w:after="10"/>
              <w:rPr>
                <w:lang w:eastAsia="en-AU"/>
              </w:rPr>
            </w:pPr>
            <w:r w:rsidRPr="00ED4378">
              <w:t>–</w:t>
            </w:r>
          </w:p>
        </w:tc>
        <w:tc>
          <w:tcPr>
            <w:tcW w:w="1134" w:type="dxa"/>
            <w:tcBorders>
              <w:top w:val="single" w:sz="4" w:space="0" w:color="A6A6A6" w:themeColor="background1" w:themeShade="A6"/>
            </w:tcBorders>
            <w:hideMark/>
          </w:tcPr>
          <w:p w14:paraId="4071A7DF" w14:textId="77777777" w:rsidR="00FA7EBF" w:rsidRDefault="00FA7EBF" w:rsidP="007B207C">
            <w:pPr>
              <w:pStyle w:val="ARfintablebodyright"/>
              <w:spacing w:before="30" w:after="10"/>
              <w:rPr>
                <w:lang w:eastAsia="en-AU"/>
              </w:rPr>
            </w:pPr>
            <w:r w:rsidRPr="00ED4378">
              <w:t>0.9</w:t>
            </w:r>
          </w:p>
        </w:tc>
        <w:tc>
          <w:tcPr>
            <w:tcW w:w="1139" w:type="dxa"/>
            <w:tcBorders>
              <w:top w:val="single" w:sz="4" w:space="0" w:color="A6A6A6" w:themeColor="background1" w:themeShade="A6"/>
            </w:tcBorders>
            <w:hideMark/>
          </w:tcPr>
          <w:p w14:paraId="6341FA6A" w14:textId="77777777" w:rsidR="00FA7EBF" w:rsidRDefault="00FA7EBF" w:rsidP="007B207C">
            <w:pPr>
              <w:pStyle w:val="ARfintablebodyright"/>
              <w:spacing w:before="30" w:after="10"/>
              <w:rPr>
                <w:lang w:eastAsia="en-AU"/>
              </w:rPr>
            </w:pPr>
            <w:r w:rsidRPr="00ED4378">
              <w:t>506.3</w:t>
            </w:r>
          </w:p>
        </w:tc>
      </w:tr>
      <w:tr w:rsidR="00FA7EBF" w14:paraId="13410D30" w14:textId="77777777" w:rsidTr="007B207C">
        <w:trPr>
          <w:cantSplit/>
        </w:trPr>
        <w:tc>
          <w:tcPr>
            <w:tcW w:w="5103" w:type="dxa"/>
            <w:hideMark/>
          </w:tcPr>
          <w:p w14:paraId="651C239F" w14:textId="77777777" w:rsidR="00FA7EBF" w:rsidRDefault="00FA7EBF" w:rsidP="007B207C">
            <w:pPr>
              <w:pStyle w:val="ARfintablebodybold"/>
              <w:spacing w:before="30" w:after="10"/>
              <w:rPr>
                <w:lang w:eastAsia="en-AU"/>
              </w:rPr>
            </w:pPr>
            <w:r w:rsidRPr="00ED4378">
              <w:t>Total buildings at fair value</w:t>
            </w:r>
          </w:p>
        </w:tc>
        <w:tc>
          <w:tcPr>
            <w:tcW w:w="1135" w:type="dxa"/>
            <w:hideMark/>
          </w:tcPr>
          <w:p w14:paraId="038F679A" w14:textId="77777777" w:rsidR="00FA7EBF" w:rsidRDefault="00FA7EBF" w:rsidP="007B207C">
            <w:pPr>
              <w:pStyle w:val="ARfintablebodyrightbold"/>
              <w:spacing w:before="30" w:after="10"/>
              <w:rPr>
                <w:lang w:eastAsia="en-AU"/>
              </w:rPr>
            </w:pPr>
            <w:r w:rsidRPr="00ED4378">
              <w:t>8,973.0</w:t>
            </w:r>
          </w:p>
        </w:tc>
        <w:tc>
          <w:tcPr>
            <w:tcW w:w="1134" w:type="dxa"/>
            <w:hideMark/>
          </w:tcPr>
          <w:p w14:paraId="2F863472" w14:textId="77777777" w:rsidR="00FA7EBF" w:rsidRDefault="00FA7EBF" w:rsidP="007B207C">
            <w:pPr>
              <w:pStyle w:val="ARfintablebodyrightbold"/>
              <w:spacing w:before="30" w:after="10"/>
              <w:rPr>
                <w:lang w:eastAsia="en-AU"/>
              </w:rPr>
            </w:pPr>
            <w:r w:rsidRPr="00ED4378">
              <w:t>–</w:t>
            </w:r>
          </w:p>
        </w:tc>
        <w:tc>
          <w:tcPr>
            <w:tcW w:w="1134" w:type="dxa"/>
            <w:hideMark/>
          </w:tcPr>
          <w:p w14:paraId="4A96C76A" w14:textId="77777777" w:rsidR="00FA7EBF" w:rsidRDefault="00FA7EBF" w:rsidP="007B207C">
            <w:pPr>
              <w:pStyle w:val="ARfintablebodyrightbold"/>
              <w:spacing w:before="30" w:after="10"/>
              <w:rPr>
                <w:lang w:eastAsia="en-AU"/>
              </w:rPr>
            </w:pPr>
            <w:r w:rsidRPr="00ED4378">
              <w:t>8,466.3</w:t>
            </w:r>
          </w:p>
        </w:tc>
        <w:tc>
          <w:tcPr>
            <w:tcW w:w="1139" w:type="dxa"/>
            <w:hideMark/>
          </w:tcPr>
          <w:p w14:paraId="156D0AB9" w14:textId="77777777" w:rsidR="00FA7EBF" w:rsidRDefault="00FA7EBF" w:rsidP="007B207C">
            <w:pPr>
              <w:pStyle w:val="ARfintablebodyrightbold"/>
              <w:spacing w:before="30" w:after="10"/>
              <w:rPr>
                <w:rStyle w:val="Strong"/>
                <w:bCs w:val="0"/>
              </w:rPr>
            </w:pPr>
            <w:r w:rsidRPr="00ED4378">
              <w:t>506.7</w:t>
            </w:r>
          </w:p>
        </w:tc>
      </w:tr>
      <w:tr w:rsidR="00FA7EBF" w14:paraId="3DD10177" w14:textId="77777777" w:rsidTr="007B207C">
        <w:trPr>
          <w:cantSplit/>
        </w:trPr>
        <w:tc>
          <w:tcPr>
            <w:tcW w:w="9645" w:type="dxa"/>
            <w:gridSpan w:val="5"/>
            <w:tcBorders>
              <w:bottom w:val="single" w:sz="4" w:space="0" w:color="A6A6A6" w:themeColor="background1" w:themeShade="A6"/>
            </w:tcBorders>
            <w:hideMark/>
          </w:tcPr>
          <w:p w14:paraId="41A3A3D5" w14:textId="77777777" w:rsidR="00FA7EBF" w:rsidRDefault="00FA7EBF" w:rsidP="007B207C">
            <w:pPr>
              <w:pStyle w:val="ARfintablebodybold"/>
              <w:rPr>
                <w:lang w:eastAsia="en-AU"/>
              </w:rPr>
            </w:pPr>
            <w:r w:rsidRPr="00ED4378">
              <w:t>Plant, equipment and vehicles at fair value</w:t>
            </w:r>
          </w:p>
        </w:tc>
      </w:tr>
      <w:tr w:rsidR="00FA7EBF" w14:paraId="52EDB487" w14:textId="77777777" w:rsidTr="007B207C">
        <w:trPr>
          <w:cantSplit/>
        </w:trPr>
        <w:tc>
          <w:tcPr>
            <w:tcW w:w="5103" w:type="dxa"/>
            <w:tcBorders>
              <w:top w:val="single" w:sz="4" w:space="0" w:color="A6A6A6" w:themeColor="background1" w:themeShade="A6"/>
              <w:bottom w:val="single" w:sz="4" w:space="0" w:color="A6A6A6" w:themeColor="background1" w:themeShade="A6"/>
            </w:tcBorders>
            <w:hideMark/>
          </w:tcPr>
          <w:p w14:paraId="1631F8F7" w14:textId="77777777" w:rsidR="00FA7EBF" w:rsidRDefault="00FA7EBF" w:rsidP="007B207C">
            <w:pPr>
              <w:pStyle w:val="ARfintablebody"/>
              <w:spacing w:before="30" w:after="10"/>
              <w:rPr>
                <w:lang w:eastAsia="en-AU"/>
              </w:rPr>
            </w:pPr>
            <w:r w:rsidRPr="00ED4378">
              <w:t>Plant and equipment</w:t>
            </w:r>
          </w:p>
        </w:tc>
        <w:tc>
          <w:tcPr>
            <w:tcW w:w="1135" w:type="dxa"/>
            <w:tcBorders>
              <w:top w:val="single" w:sz="4" w:space="0" w:color="A6A6A6" w:themeColor="background1" w:themeShade="A6"/>
              <w:bottom w:val="single" w:sz="4" w:space="0" w:color="A6A6A6" w:themeColor="background1" w:themeShade="A6"/>
            </w:tcBorders>
            <w:hideMark/>
          </w:tcPr>
          <w:p w14:paraId="1628E131" w14:textId="77777777" w:rsidR="00FA7EBF" w:rsidRDefault="00FA7EBF" w:rsidP="007B207C">
            <w:pPr>
              <w:pStyle w:val="ARfintablebodyright"/>
              <w:spacing w:before="30" w:after="10"/>
              <w:rPr>
                <w:lang w:eastAsia="en-AU"/>
              </w:rPr>
            </w:pPr>
            <w:r w:rsidRPr="00ED4378">
              <w:t>14.3</w:t>
            </w:r>
          </w:p>
        </w:tc>
        <w:tc>
          <w:tcPr>
            <w:tcW w:w="1134" w:type="dxa"/>
            <w:tcBorders>
              <w:top w:val="single" w:sz="4" w:space="0" w:color="A6A6A6" w:themeColor="background1" w:themeShade="A6"/>
              <w:bottom w:val="single" w:sz="4" w:space="0" w:color="A6A6A6" w:themeColor="background1" w:themeShade="A6"/>
            </w:tcBorders>
            <w:hideMark/>
          </w:tcPr>
          <w:p w14:paraId="3953D6E3" w14:textId="77777777" w:rsidR="00FA7EBF" w:rsidRDefault="00FA7EBF" w:rsidP="007B207C">
            <w:pPr>
              <w:pStyle w:val="ARfintablebodyright"/>
              <w:spacing w:before="30" w:after="10"/>
              <w:rPr>
                <w:lang w:eastAsia="en-AU"/>
              </w:rPr>
            </w:pPr>
            <w:r w:rsidRPr="00ED4378">
              <w:t>–</w:t>
            </w:r>
          </w:p>
        </w:tc>
        <w:tc>
          <w:tcPr>
            <w:tcW w:w="1134" w:type="dxa"/>
            <w:tcBorders>
              <w:top w:val="single" w:sz="4" w:space="0" w:color="A6A6A6" w:themeColor="background1" w:themeShade="A6"/>
              <w:bottom w:val="single" w:sz="4" w:space="0" w:color="A6A6A6" w:themeColor="background1" w:themeShade="A6"/>
            </w:tcBorders>
            <w:hideMark/>
          </w:tcPr>
          <w:p w14:paraId="6067A43F" w14:textId="77777777" w:rsidR="00FA7EBF" w:rsidRDefault="00FA7EBF" w:rsidP="007B207C">
            <w:pPr>
              <w:pStyle w:val="ARfintablebodyright"/>
              <w:spacing w:before="30" w:after="10"/>
              <w:rPr>
                <w:lang w:eastAsia="en-AU"/>
              </w:rPr>
            </w:pPr>
            <w:r w:rsidRPr="00ED4378">
              <w:t>–</w:t>
            </w:r>
          </w:p>
        </w:tc>
        <w:tc>
          <w:tcPr>
            <w:tcW w:w="1139" w:type="dxa"/>
            <w:tcBorders>
              <w:top w:val="single" w:sz="4" w:space="0" w:color="A6A6A6" w:themeColor="background1" w:themeShade="A6"/>
              <w:bottom w:val="single" w:sz="4" w:space="0" w:color="A6A6A6" w:themeColor="background1" w:themeShade="A6"/>
            </w:tcBorders>
            <w:hideMark/>
          </w:tcPr>
          <w:p w14:paraId="0314E04E" w14:textId="77777777" w:rsidR="00FA7EBF" w:rsidRDefault="00FA7EBF" w:rsidP="007B207C">
            <w:pPr>
              <w:pStyle w:val="ARfintablebodyright"/>
              <w:spacing w:before="30" w:after="10"/>
              <w:rPr>
                <w:lang w:eastAsia="en-AU"/>
              </w:rPr>
            </w:pPr>
            <w:r w:rsidRPr="00ED4378">
              <w:t>14.3</w:t>
            </w:r>
          </w:p>
        </w:tc>
      </w:tr>
      <w:tr w:rsidR="00FA7EBF" w14:paraId="4D8D4E54" w14:textId="77777777" w:rsidTr="007B207C">
        <w:trPr>
          <w:cantSplit/>
        </w:trPr>
        <w:tc>
          <w:tcPr>
            <w:tcW w:w="5103" w:type="dxa"/>
            <w:tcBorders>
              <w:top w:val="single" w:sz="4" w:space="0" w:color="A6A6A6" w:themeColor="background1" w:themeShade="A6"/>
            </w:tcBorders>
            <w:hideMark/>
          </w:tcPr>
          <w:p w14:paraId="04336EA0" w14:textId="77777777" w:rsidR="00FA7EBF" w:rsidRDefault="00FA7EBF" w:rsidP="007B207C">
            <w:pPr>
              <w:pStyle w:val="ARfintablebody"/>
              <w:spacing w:before="30" w:after="10"/>
              <w:rPr>
                <w:lang w:eastAsia="en-AU"/>
              </w:rPr>
            </w:pPr>
            <w:r w:rsidRPr="00ED4378">
              <w:t>Motor vehicles</w:t>
            </w:r>
          </w:p>
        </w:tc>
        <w:tc>
          <w:tcPr>
            <w:tcW w:w="1135" w:type="dxa"/>
            <w:tcBorders>
              <w:top w:val="single" w:sz="4" w:space="0" w:color="A6A6A6" w:themeColor="background1" w:themeShade="A6"/>
            </w:tcBorders>
            <w:hideMark/>
          </w:tcPr>
          <w:p w14:paraId="4427907E" w14:textId="77777777" w:rsidR="00FA7EBF" w:rsidRDefault="00FA7EBF" w:rsidP="007B207C">
            <w:pPr>
              <w:pStyle w:val="ARfintablebodyright"/>
              <w:spacing w:before="30" w:after="10"/>
              <w:rPr>
                <w:lang w:eastAsia="en-AU"/>
              </w:rPr>
            </w:pPr>
            <w:r w:rsidRPr="00ED4378">
              <w:t>1.4</w:t>
            </w:r>
          </w:p>
        </w:tc>
        <w:tc>
          <w:tcPr>
            <w:tcW w:w="1134" w:type="dxa"/>
            <w:tcBorders>
              <w:top w:val="single" w:sz="4" w:space="0" w:color="A6A6A6" w:themeColor="background1" w:themeShade="A6"/>
            </w:tcBorders>
            <w:hideMark/>
          </w:tcPr>
          <w:p w14:paraId="3CDF1D99" w14:textId="77777777" w:rsidR="00FA7EBF" w:rsidRDefault="00FA7EBF" w:rsidP="007B207C">
            <w:pPr>
              <w:pStyle w:val="ARfintablebodyright"/>
              <w:spacing w:before="30" w:after="10"/>
              <w:rPr>
                <w:lang w:eastAsia="en-AU"/>
              </w:rPr>
            </w:pPr>
            <w:r w:rsidRPr="00ED4378">
              <w:t>–</w:t>
            </w:r>
          </w:p>
        </w:tc>
        <w:tc>
          <w:tcPr>
            <w:tcW w:w="1134" w:type="dxa"/>
            <w:tcBorders>
              <w:top w:val="single" w:sz="4" w:space="0" w:color="A6A6A6" w:themeColor="background1" w:themeShade="A6"/>
            </w:tcBorders>
            <w:hideMark/>
          </w:tcPr>
          <w:p w14:paraId="567F38AB" w14:textId="77777777" w:rsidR="00FA7EBF" w:rsidRDefault="00FA7EBF" w:rsidP="007B207C">
            <w:pPr>
              <w:pStyle w:val="ARfintablebodyright"/>
              <w:spacing w:before="30" w:after="10"/>
              <w:rPr>
                <w:lang w:eastAsia="en-AU"/>
              </w:rPr>
            </w:pPr>
            <w:r w:rsidRPr="00ED4378">
              <w:t>–</w:t>
            </w:r>
          </w:p>
        </w:tc>
        <w:tc>
          <w:tcPr>
            <w:tcW w:w="1139" w:type="dxa"/>
            <w:tcBorders>
              <w:top w:val="single" w:sz="4" w:space="0" w:color="A6A6A6" w:themeColor="background1" w:themeShade="A6"/>
            </w:tcBorders>
            <w:hideMark/>
          </w:tcPr>
          <w:p w14:paraId="69ADD9E6" w14:textId="77777777" w:rsidR="00FA7EBF" w:rsidRDefault="00FA7EBF" w:rsidP="007B207C">
            <w:pPr>
              <w:pStyle w:val="ARfintablebodyright"/>
              <w:spacing w:before="30" w:after="10"/>
              <w:rPr>
                <w:lang w:eastAsia="en-AU"/>
              </w:rPr>
            </w:pPr>
            <w:r w:rsidRPr="00ED4378">
              <w:t>1.4</w:t>
            </w:r>
          </w:p>
        </w:tc>
      </w:tr>
      <w:tr w:rsidR="00FA7EBF" w14:paraId="1E7AEA83" w14:textId="77777777" w:rsidTr="007B207C">
        <w:trPr>
          <w:cantSplit/>
        </w:trPr>
        <w:tc>
          <w:tcPr>
            <w:tcW w:w="5103" w:type="dxa"/>
            <w:hideMark/>
          </w:tcPr>
          <w:p w14:paraId="4102DD6F" w14:textId="77777777" w:rsidR="00FA7EBF" w:rsidRDefault="00FA7EBF" w:rsidP="007B207C">
            <w:pPr>
              <w:pStyle w:val="ARfintablebodybold"/>
              <w:spacing w:before="30" w:after="10"/>
              <w:rPr>
                <w:lang w:eastAsia="en-AU"/>
              </w:rPr>
            </w:pPr>
            <w:r w:rsidRPr="00ED4378">
              <w:t>Total plant, equipment and vehicles at fair value</w:t>
            </w:r>
          </w:p>
        </w:tc>
        <w:tc>
          <w:tcPr>
            <w:tcW w:w="1135" w:type="dxa"/>
            <w:hideMark/>
          </w:tcPr>
          <w:p w14:paraId="25F5BAE6" w14:textId="77777777" w:rsidR="00FA7EBF" w:rsidRDefault="00FA7EBF" w:rsidP="007B207C">
            <w:pPr>
              <w:pStyle w:val="ARfintablebodyrightbold"/>
              <w:spacing w:before="30" w:after="10"/>
              <w:rPr>
                <w:lang w:eastAsia="en-AU"/>
              </w:rPr>
            </w:pPr>
            <w:r w:rsidRPr="00ED4378">
              <w:t>15.7</w:t>
            </w:r>
          </w:p>
        </w:tc>
        <w:tc>
          <w:tcPr>
            <w:tcW w:w="1134" w:type="dxa"/>
            <w:hideMark/>
          </w:tcPr>
          <w:p w14:paraId="5F0FDFA5" w14:textId="77777777" w:rsidR="00FA7EBF" w:rsidRDefault="00FA7EBF" w:rsidP="007B207C">
            <w:pPr>
              <w:pStyle w:val="ARfintablebodyrightbold"/>
              <w:spacing w:before="30" w:after="10"/>
              <w:rPr>
                <w:lang w:eastAsia="en-AU"/>
              </w:rPr>
            </w:pPr>
            <w:r w:rsidRPr="00ED4378">
              <w:t>–</w:t>
            </w:r>
          </w:p>
        </w:tc>
        <w:tc>
          <w:tcPr>
            <w:tcW w:w="1134" w:type="dxa"/>
            <w:hideMark/>
          </w:tcPr>
          <w:p w14:paraId="7F03B1D3" w14:textId="77777777" w:rsidR="00FA7EBF" w:rsidRDefault="00FA7EBF" w:rsidP="007B207C">
            <w:pPr>
              <w:pStyle w:val="ARfintablebodyrightbold"/>
              <w:spacing w:before="30" w:after="10"/>
              <w:rPr>
                <w:lang w:eastAsia="en-AU"/>
              </w:rPr>
            </w:pPr>
            <w:r w:rsidRPr="00ED4378">
              <w:t>–</w:t>
            </w:r>
          </w:p>
        </w:tc>
        <w:tc>
          <w:tcPr>
            <w:tcW w:w="1139" w:type="dxa"/>
            <w:hideMark/>
          </w:tcPr>
          <w:p w14:paraId="4BC9F9A4" w14:textId="77777777" w:rsidR="00FA7EBF" w:rsidRDefault="00FA7EBF" w:rsidP="007B207C">
            <w:pPr>
              <w:pStyle w:val="ARfintablebodyrightbold"/>
              <w:spacing w:before="30" w:after="10"/>
              <w:rPr>
                <w:rStyle w:val="Strong"/>
                <w:bCs w:val="0"/>
              </w:rPr>
            </w:pPr>
            <w:r w:rsidRPr="00ED4378">
              <w:t>15.7</w:t>
            </w:r>
          </w:p>
        </w:tc>
      </w:tr>
    </w:tbl>
    <w:p w14:paraId="6C836693" w14:textId="77777777" w:rsidR="00FA7EBF" w:rsidRPr="00194D78" w:rsidRDefault="00FA7EBF" w:rsidP="00CA66FD">
      <w:pPr>
        <w:pStyle w:val="ARfintablefootnote"/>
        <w:rPr>
          <w:lang w:eastAsia="en-AU"/>
        </w:rPr>
      </w:pPr>
      <w:r w:rsidRPr="00194D78">
        <w:rPr>
          <w:lang w:eastAsia="en-AU"/>
        </w:rPr>
        <w:t>Note:</w:t>
      </w:r>
    </w:p>
    <w:p w14:paraId="0802FE15" w14:textId="77777777" w:rsidR="00FA7EBF" w:rsidRPr="00194D78" w:rsidRDefault="00FA7EBF" w:rsidP="00CA66FD">
      <w:pPr>
        <w:pStyle w:val="ARfintablefootnoteindent"/>
      </w:pPr>
      <w:r w:rsidRPr="00194D78">
        <w:t>(i)</w:t>
      </w:r>
      <w:r>
        <w:tab/>
      </w:r>
      <w:r w:rsidRPr="00194D78">
        <w:t>Classified in accordance with the fair value hierarchy. The department, in conjunction with the Victorian Valuer-General, monitors the changes in the fair value of each asset and liability through relevant data sources to determine whether revaluation is required.</w:t>
      </w:r>
    </w:p>
    <w:p w14:paraId="75DA15A9" w14:textId="77777777" w:rsidR="00FA7EBF" w:rsidRDefault="00FA7EBF" w:rsidP="00CA66FD">
      <w:pPr>
        <w:pStyle w:val="ARfinbodyaftertable"/>
      </w:pPr>
      <w:r w:rsidRPr="00B82ED9">
        <w:rPr>
          <w:rStyle w:val="Strong"/>
          <w:bCs w:val="0"/>
        </w:rPr>
        <w:t>Non-specialised land and non-specialised buildings</w:t>
      </w:r>
      <w:r w:rsidRPr="00194D78">
        <w:t xml:space="preserve"> are valued using the market approach, whereby assets are compared to recent comparable sales or sales of comparable assets that are considered to have nominal value.</w:t>
      </w:r>
    </w:p>
    <w:p w14:paraId="4A7DF0C6" w14:textId="77777777" w:rsidR="00FA7EBF" w:rsidRPr="00194D78" w:rsidRDefault="00FA7EBF" w:rsidP="00CA66FD">
      <w:pPr>
        <w:pStyle w:val="ARfinbody"/>
      </w:pPr>
      <w:r w:rsidRPr="00194D78">
        <w:t>An independent valuation was performed by the Valuer-General Victoria to determine fair value using the market approach. Valuation of the assets was determined by analysing comparable sales and allowing for share, size, topography, location and other relevant factors specific to the asset being valued. The effective date of the valuation is 30 June 2019.</w:t>
      </w:r>
    </w:p>
    <w:p w14:paraId="5C8AC9D9" w14:textId="77777777" w:rsidR="00FA7EBF" w:rsidRPr="00194D78" w:rsidRDefault="00FA7EBF" w:rsidP="00CA66FD">
      <w:pPr>
        <w:pStyle w:val="ARfinbody"/>
      </w:pPr>
      <w:r w:rsidRPr="00194D78">
        <w:t xml:space="preserve">Director of Housing land and buildings are primarily held in Level 2 as it is considered that each residential dwelling assessed has an active and liquid market. As such, the market value of each residential asset has been determined by </w:t>
      </w:r>
      <w:r>
        <w:t>reference to the current property market for similar assets</w:t>
      </w:r>
      <w:r w:rsidRPr="00194D78">
        <w:t>.</w:t>
      </w:r>
    </w:p>
    <w:p w14:paraId="536E7594" w14:textId="77777777" w:rsidR="00FA7EBF" w:rsidRPr="00194D78" w:rsidRDefault="00FA7EBF" w:rsidP="00CA66FD">
      <w:pPr>
        <w:pStyle w:val="ARfinbody"/>
      </w:pPr>
      <w:r w:rsidRPr="00B82ED9">
        <w:rPr>
          <w:rStyle w:val="Strong"/>
          <w:bCs w:val="0"/>
        </w:rPr>
        <w:t>Specialised land and specialised buildings</w:t>
      </w:r>
      <w:r w:rsidRPr="00B82ED9">
        <w:t>: T</w:t>
      </w:r>
      <w:r w:rsidRPr="00194D78">
        <w:t>he market approach is used for specialised land, although may be adjusted for a community service obligation (CSO) to reflect the specialised nature of the land being valued.</w:t>
      </w:r>
    </w:p>
    <w:p w14:paraId="4FA1903F" w14:textId="77777777" w:rsidR="00FA7EBF" w:rsidRDefault="00FA7EBF" w:rsidP="00CA66FD">
      <w:pPr>
        <w:pStyle w:val="ARfinbody"/>
      </w:pPr>
      <w:r w:rsidRPr="00194D78">
        <w:t>The CSO adjustment is a reflection of the valuer</w:t>
      </w:r>
      <w:r>
        <w:t>’</w:t>
      </w:r>
      <w:r w:rsidRPr="00194D78">
        <w:t>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as significant unobservable inputs, specialised land with a CSO adjustment would primarily be classified as Level 3 assets.</w:t>
      </w:r>
    </w:p>
    <w:p w14:paraId="0427A6CB" w14:textId="77777777" w:rsidR="00FA7EBF" w:rsidRPr="00194D78" w:rsidRDefault="00FA7EBF" w:rsidP="00CA66FD">
      <w:pPr>
        <w:pStyle w:val="ARfinbody"/>
      </w:pPr>
      <w:r w:rsidRPr="00194D78">
        <w:t>For the majority of the department</w:t>
      </w:r>
      <w:r>
        <w:t>’</w:t>
      </w:r>
      <w:r w:rsidRPr="00194D78">
        <w:t>s specialised buildings, the depreciated replacement cost method is used, adjusting for the associated depreciations. As depreciation adjustments are considered as significant, unobservable inputs in nature, specialised buildings are primarily classified as Level 3 fair value measurements.</w:t>
      </w:r>
    </w:p>
    <w:p w14:paraId="00366E6D" w14:textId="77777777" w:rsidR="00FA7EBF" w:rsidRPr="00194D78" w:rsidRDefault="00FA7EBF" w:rsidP="00CA66FD">
      <w:pPr>
        <w:pStyle w:val="ARfinbody"/>
      </w:pPr>
      <w:r w:rsidRPr="00194D78">
        <w:t>An independent valuation of the departments</w:t>
      </w:r>
      <w:r>
        <w:t>’</w:t>
      </w:r>
      <w:r w:rsidRPr="00194D78">
        <w:t xml:space="preserve"> specialised land and specialised buildings was performed by the Valuer-General Victoria. The effective date of the valuation is 30 June 2019.</w:t>
      </w:r>
    </w:p>
    <w:p w14:paraId="4336F34F" w14:textId="77777777" w:rsidR="00FA7EBF" w:rsidRDefault="00FA7EBF" w:rsidP="00CA66FD">
      <w:pPr>
        <w:pStyle w:val="ARfinbody"/>
      </w:pPr>
      <w:r w:rsidRPr="00B82ED9">
        <w:rPr>
          <w:rStyle w:val="Strong"/>
          <w:bCs w:val="0"/>
        </w:rPr>
        <w:t>Vehicles</w:t>
      </w:r>
      <w:r w:rsidRPr="00194D78">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2E2101E2" w14:textId="77777777" w:rsidR="00FA7EBF" w:rsidRPr="00194D78" w:rsidRDefault="00FA7EBF" w:rsidP="00CA66FD">
      <w:pPr>
        <w:pStyle w:val="ARfinbody"/>
      </w:pPr>
      <w:r w:rsidRPr="00B82ED9">
        <w:rPr>
          <w:rStyle w:val="Strong"/>
          <w:bCs w:val="0"/>
        </w:rPr>
        <w:t>Plant and equipment</w:t>
      </w:r>
      <w:r w:rsidRPr="00194D78">
        <w:t xml:space="preserve"> is held at fair value. When plant and equipment is specialised in use, such that it is rarely sold other than as part of a going concern, fair value is determined using the current replacement cost method.</w:t>
      </w:r>
    </w:p>
    <w:p w14:paraId="4351F758" w14:textId="77777777" w:rsidR="00FA7EBF" w:rsidRDefault="00FA7EBF" w:rsidP="00CA66FD">
      <w:pPr>
        <w:pStyle w:val="ARfinbody"/>
      </w:pPr>
      <w:r w:rsidRPr="00194D78">
        <w:t>There were no changes in valuation techniques throughout the period to 30 June 2019.</w:t>
      </w:r>
    </w:p>
    <w:p w14:paraId="3A8AC64F" w14:textId="77777777" w:rsidR="00FA7EBF" w:rsidRPr="00194D78" w:rsidRDefault="00FA7EBF" w:rsidP="00CA66FD">
      <w:pPr>
        <w:pStyle w:val="ARfinbody"/>
      </w:pPr>
      <w:r w:rsidRPr="00194D78">
        <w:t>For all assets measured at fair value, the current use is considered the highest and best use.</w:t>
      </w:r>
    </w:p>
    <w:p w14:paraId="78E68848" w14:textId="77777777" w:rsidR="00FA7EBF" w:rsidRDefault="00FA7EBF" w:rsidP="00CA66FD">
      <w:pPr>
        <w:pStyle w:val="Heading7"/>
        <w:rPr>
          <w:lang w:val="x-none"/>
        </w:rPr>
        <w:sectPr w:rsidR="00FA7EBF" w:rsidSect="007B207C">
          <w:footerReference w:type="even" r:id="rId196"/>
          <w:endnotePr>
            <w:numFmt w:val="decimal"/>
          </w:endnotePr>
          <w:pgSz w:w="11906" w:h="16838" w:code="9"/>
          <w:pgMar w:top="1531" w:right="851" w:bottom="851" w:left="1418" w:header="510" w:footer="340" w:gutter="0"/>
          <w:paperSrc w:first="258"/>
          <w:cols w:space="454"/>
          <w:docGrid w:linePitch="326"/>
        </w:sectPr>
      </w:pPr>
    </w:p>
    <w:p w14:paraId="3F072C37" w14:textId="77777777" w:rsidR="00FA7EBF" w:rsidRDefault="00FA7EBF" w:rsidP="00CA66FD">
      <w:pPr>
        <w:pStyle w:val="Heading7"/>
        <w:spacing w:before="0" w:after="0"/>
        <w:rPr>
          <w:lang w:val="x-none"/>
        </w:rPr>
      </w:pPr>
      <w:r w:rsidRPr="00194D78">
        <w:rPr>
          <w:lang w:val="x-none"/>
        </w:rPr>
        <w:t>Reconciliation of Level 3 fair value movements</w:t>
      </w: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975"/>
        <w:gridCol w:w="1134"/>
        <w:gridCol w:w="1134"/>
        <w:gridCol w:w="1134"/>
        <w:gridCol w:w="1134"/>
        <w:gridCol w:w="1134"/>
        <w:gridCol w:w="907"/>
        <w:gridCol w:w="907"/>
      </w:tblGrid>
      <w:tr w:rsidR="00FA7EBF" w:rsidRPr="007939DD" w14:paraId="5F32AEDD" w14:textId="77777777" w:rsidTr="007B207C">
        <w:trPr>
          <w:cantSplit/>
          <w:tblHeader/>
        </w:trPr>
        <w:tc>
          <w:tcPr>
            <w:tcW w:w="6975" w:type="dxa"/>
            <w:vAlign w:val="bottom"/>
          </w:tcPr>
          <w:p w14:paraId="11380FC7" w14:textId="77777777" w:rsidR="00FA7EBF" w:rsidRPr="007939DD" w:rsidRDefault="00FA7EBF" w:rsidP="00D86186">
            <w:pPr>
              <w:pStyle w:val="ARfintablecolhead"/>
              <w:spacing w:before="20" w:after="20"/>
            </w:pPr>
            <w:r w:rsidRPr="007939DD">
              <w:t>201</w:t>
            </w:r>
            <w:r>
              <w:t>9</w:t>
            </w:r>
          </w:p>
        </w:tc>
        <w:tc>
          <w:tcPr>
            <w:tcW w:w="1134" w:type="dxa"/>
            <w:vAlign w:val="bottom"/>
          </w:tcPr>
          <w:p w14:paraId="2EC1F7F2" w14:textId="77777777" w:rsidR="00FA7EBF" w:rsidRPr="007939DD" w:rsidRDefault="00FA7EBF" w:rsidP="00D86186">
            <w:pPr>
              <w:pStyle w:val="ARfintablecolheadright"/>
              <w:spacing w:before="20" w:after="20" w:line="240" w:lineRule="auto"/>
            </w:pPr>
            <w:r w:rsidRPr="007939DD">
              <w:t>Non-specialised land</w:t>
            </w:r>
          </w:p>
          <w:p w14:paraId="6251D0A9" w14:textId="77777777" w:rsidR="00FA7EBF" w:rsidRPr="007939DD" w:rsidRDefault="00FA7EBF" w:rsidP="00D86186">
            <w:pPr>
              <w:pStyle w:val="ARfintablecolheadright"/>
              <w:spacing w:before="20" w:after="20" w:line="240" w:lineRule="auto"/>
            </w:pPr>
            <w:r w:rsidRPr="007939DD">
              <w:t>$M</w:t>
            </w:r>
          </w:p>
        </w:tc>
        <w:tc>
          <w:tcPr>
            <w:tcW w:w="1134" w:type="dxa"/>
            <w:vAlign w:val="bottom"/>
          </w:tcPr>
          <w:p w14:paraId="77BEC3C0" w14:textId="77777777" w:rsidR="00FA7EBF" w:rsidRPr="007939DD" w:rsidRDefault="00FA7EBF" w:rsidP="00D86186">
            <w:pPr>
              <w:pStyle w:val="ARfintablecolheadright"/>
              <w:spacing w:before="20" w:after="20" w:line="240" w:lineRule="auto"/>
            </w:pPr>
            <w:r w:rsidRPr="007939DD">
              <w:t>Specialised land</w:t>
            </w:r>
          </w:p>
          <w:p w14:paraId="6C688D37" w14:textId="77777777" w:rsidR="00FA7EBF" w:rsidRPr="007939DD" w:rsidRDefault="00FA7EBF" w:rsidP="00D86186">
            <w:pPr>
              <w:pStyle w:val="ARfintablecolheadright"/>
              <w:spacing w:before="20" w:after="20" w:line="240" w:lineRule="auto"/>
            </w:pPr>
            <w:r w:rsidRPr="007939DD">
              <w:t>$M</w:t>
            </w:r>
          </w:p>
        </w:tc>
        <w:tc>
          <w:tcPr>
            <w:tcW w:w="1134" w:type="dxa"/>
            <w:vAlign w:val="bottom"/>
          </w:tcPr>
          <w:p w14:paraId="01FE698D" w14:textId="77777777" w:rsidR="00FA7EBF" w:rsidRPr="007939DD" w:rsidRDefault="00FA7EBF" w:rsidP="00D86186">
            <w:pPr>
              <w:pStyle w:val="ARfintablecolheadright"/>
              <w:spacing w:before="20" w:after="20" w:line="240" w:lineRule="auto"/>
            </w:pPr>
            <w:r w:rsidRPr="007939DD">
              <w:t>Non-specialised buildings</w:t>
            </w:r>
          </w:p>
          <w:p w14:paraId="1823EF5C" w14:textId="77777777" w:rsidR="00FA7EBF" w:rsidRPr="007939DD" w:rsidRDefault="00FA7EBF" w:rsidP="00D86186">
            <w:pPr>
              <w:pStyle w:val="ARfintablecolheadright"/>
              <w:spacing w:before="20" w:after="20" w:line="240" w:lineRule="auto"/>
            </w:pPr>
            <w:r w:rsidRPr="007939DD">
              <w:t>$M</w:t>
            </w:r>
          </w:p>
        </w:tc>
        <w:tc>
          <w:tcPr>
            <w:tcW w:w="1134" w:type="dxa"/>
            <w:vAlign w:val="bottom"/>
          </w:tcPr>
          <w:p w14:paraId="35A26B8D" w14:textId="77777777" w:rsidR="00FA7EBF" w:rsidRPr="007939DD" w:rsidRDefault="00FA7EBF" w:rsidP="00D86186">
            <w:pPr>
              <w:pStyle w:val="ARfintablecolheadright"/>
              <w:spacing w:before="20" w:after="20" w:line="240" w:lineRule="auto"/>
            </w:pPr>
            <w:r w:rsidRPr="007939DD">
              <w:t>Specialised buildings</w:t>
            </w:r>
          </w:p>
          <w:p w14:paraId="3304C382" w14:textId="77777777" w:rsidR="00FA7EBF" w:rsidRPr="007939DD" w:rsidRDefault="00FA7EBF" w:rsidP="00D86186">
            <w:pPr>
              <w:pStyle w:val="ARfintablecolheadright"/>
              <w:spacing w:before="20" w:after="20" w:line="240" w:lineRule="auto"/>
            </w:pPr>
            <w:r w:rsidRPr="007939DD">
              <w:t>$M</w:t>
            </w:r>
          </w:p>
        </w:tc>
        <w:tc>
          <w:tcPr>
            <w:tcW w:w="1134" w:type="dxa"/>
            <w:vAlign w:val="bottom"/>
          </w:tcPr>
          <w:p w14:paraId="58CD3069" w14:textId="77777777" w:rsidR="00FA7EBF" w:rsidRPr="007939DD" w:rsidRDefault="00FA7EBF" w:rsidP="00D86186">
            <w:pPr>
              <w:pStyle w:val="ARfintablecolheadright"/>
              <w:spacing w:before="20" w:after="20" w:line="240" w:lineRule="auto"/>
            </w:pPr>
            <w:r w:rsidRPr="007939DD">
              <w:t>Plant and equipment</w:t>
            </w:r>
          </w:p>
          <w:p w14:paraId="52C71259" w14:textId="77777777" w:rsidR="00FA7EBF" w:rsidRPr="007939DD" w:rsidRDefault="00FA7EBF" w:rsidP="00D86186">
            <w:pPr>
              <w:pStyle w:val="ARfintablecolheadright"/>
              <w:spacing w:before="20" w:after="20" w:line="240" w:lineRule="auto"/>
            </w:pPr>
            <w:r w:rsidRPr="007939DD">
              <w:t>$M</w:t>
            </w:r>
          </w:p>
        </w:tc>
        <w:tc>
          <w:tcPr>
            <w:tcW w:w="907" w:type="dxa"/>
            <w:vAlign w:val="bottom"/>
          </w:tcPr>
          <w:p w14:paraId="3A17B0E1" w14:textId="77777777" w:rsidR="00FA7EBF" w:rsidRPr="007939DD" w:rsidRDefault="00FA7EBF" w:rsidP="00D86186">
            <w:pPr>
              <w:pStyle w:val="ARfintablecolheadright"/>
              <w:spacing w:before="20" w:after="20" w:line="240" w:lineRule="auto"/>
            </w:pPr>
            <w:r w:rsidRPr="007939DD">
              <w:t>Motor vehicles</w:t>
            </w:r>
          </w:p>
          <w:p w14:paraId="39E98BB1" w14:textId="77777777" w:rsidR="00FA7EBF" w:rsidRPr="007939DD" w:rsidRDefault="00FA7EBF" w:rsidP="00D86186">
            <w:pPr>
              <w:pStyle w:val="ARfintablecolheadright"/>
              <w:spacing w:before="20" w:after="20" w:line="240" w:lineRule="auto"/>
            </w:pPr>
            <w:r w:rsidRPr="007939DD">
              <w:t>$M</w:t>
            </w:r>
          </w:p>
        </w:tc>
        <w:tc>
          <w:tcPr>
            <w:tcW w:w="907" w:type="dxa"/>
            <w:vAlign w:val="bottom"/>
          </w:tcPr>
          <w:p w14:paraId="4FA0EAFA" w14:textId="77777777" w:rsidR="00FA7EBF" w:rsidRPr="007939DD" w:rsidRDefault="00FA7EBF" w:rsidP="00D86186">
            <w:pPr>
              <w:pStyle w:val="ARfintablecolheadright"/>
              <w:spacing w:before="20" w:after="20" w:line="240" w:lineRule="auto"/>
            </w:pPr>
            <w:r w:rsidRPr="007939DD">
              <w:t>Total</w:t>
            </w:r>
          </w:p>
          <w:p w14:paraId="6B636550" w14:textId="77777777" w:rsidR="00FA7EBF" w:rsidRPr="007939DD" w:rsidRDefault="00FA7EBF" w:rsidP="00D86186">
            <w:pPr>
              <w:pStyle w:val="ARfintablecolheadright"/>
              <w:spacing w:before="20" w:after="20" w:line="240" w:lineRule="auto"/>
            </w:pPr>
            <w:r w:rsidRPr="007939DD">
              <w:t>$M</w:t>
            </w:r>
          </w:p>
        </w:tc>
      </w:tr>
      <w:tr w:rsidR="00FA7EBF" w:rsidRPr="007939DD" w14:paraId="4C7FF55A" w14:textId="77777777" w:rsidTr="007B207C">
        <w:trPr>
          <w:cantSplit/>
        </w:trPr>
        <w:tc>
          <w:tcPr>
            <w:tcW w:w="6975" w:type="dxa"/>
            <w:tcBorders>
              <w:bottom w:val="single" w:sz="4" w:space="0" w:color="A6A6A6" w:themeColor="background1" w:themeShade="A6"/>
            </w:tcBorders>
          </w:tcPr>
          <w:p w14:paraId="366B376B" w14:textId="77777777" w:rsidR="00FA7EBF" w:rsidRPr="007939DD" w:rsidRDefault="00FA7EBF" w:rsidP="00D86186">
            <w:pPr>
              <w:pStyle w:val="ARfintablebodybold"/>
              <w:spacing w:before="20"/>
              <w:rPr>
                <w:lang w:eastAsia="en-AU"/>
              </w:rPr>
            </w:pPr>
            <w:r w:rsidRPr="00C77D4B">
              <w:t>Opening balance</w:t>
            </w:r>
          </w:p>
        </w:tc>
        <w:tc>
          <w:tcPr>
            <w:tcW w:w="1134" w:type="dxa"/>
            <w:tcBorders>
              <w:bottom w:val="single" w:sz="4" w:space="0" w:color="A6A6A6" w:themeColor="background1" w:themeShade="A6"/>
            </w:tcBorders>
          </w:tcPr>
          <w:p w14:paraId="4A39C343" w14:textId="77777777" w:rsidR="00FA7EBF" w:rsidRPr="007939DD" w:rsidRDefault="00FA7EBF" w:rsidP="00D86186">
            <w:pPr>
              <w:pStyle w:val="ARfintablebodyrightbold"/>
              <w:spacing w:before="20"/>
              <w:rPr>
                <w:rStyle w:val="Strong"/>
              </w:rPr>
            </w:pPr>
            <w:r w:rsidRPr="00C77D4B">
              <w:t>8.2</w:t>
            </w:r>
          </w:p>
        </w:tc>
        <w:tc>
          <w:tcPr>
            <w:tcW w:w="1134" w:type="dxa"/>
            <w:tcBorders>
              <w:bottom w:val="single" w:sz="4" w:space="0" w:color="A6A6A6" w:themeColor="background1" w:themeShade="A6"/>
            </w:tcBorders>
          </w:tcPr>
          <w:p w14:paraId="2504AE71" w14:textId="77777777" w:rsidR="00FA7EBF" w:rsidRPr="007939DD" w:rsidRDefault="00FA7EBF" w:rsidP="00D86186">
            <w:pPr>
              <w:pStyle w:val="ARfintablebodyrightbold"/>
              <w:spacing w:before="20"/>
              <w:rPr>
                <w:rStyle w:val="Strong"/>
              </w:rPr>
            </w:pPr>
            <w:r w:rsidRPr="00C77D4B">
              <w:t>560.5</w:t>
            </w:r>
          </w:p>
        </w:tc>
        <w:tc>
          <w:tcPr>
            <w:tcW w:w="1134" w:type="dxa"/>
            <w:tcBorders>
              <w:bottom w:val="single" w:sz="4" w:space="0" w:color="A6A6A6" w:themeColor="background1" w:themeShade="A6"/>
            </w:tcBorders>
          </w:tcPr>
          <w:p w14:paraId="3FA4FB5E" w14:textId="77777777" w:rsidR="00FA7EBF" w:rsidRPr="007939DD" w:rsidRDefault="00FA7EBF" w:rsidP="00D86186">
            <w:pPr>
              <w:pStyle w:val="ARfintablebodyrightbold"/>
              <w:spacing w:before="20"/>
              <w:rPr>
                <w:rStyle w:val="Strong"/>
              </w:rPr>
            </w:pPr>
            <w:r w:rsidRPr="00C77D4B">
              <w:t>0.4</w:t>
            </w:r>
          </w:p>
        </w:tc>
        <w:tc>
          <w:tcPr>
            <w:tcW w:w="1134" w:type="dxa"/>
            <w:tcBorders>
              <w:bottom w:val="single" w:sz="4" w:space="0" w:color="A6A6A6" w:themeColor="background1" w:themeShade="A6"/>
            </w:tcBorders>
          </w:tcPr>
          <w:p w14:paraId="374C2894" w14:textId="77777777" w:rsidR="00FA7EBF" w:rsidRPr="007939DD" w:rsidRDefault="00FA7EBF" w:rsidP="00D86186">
            <w:pPr>
              <w:pStyle w:val="ARfintablebodyrightbold"/>
              <w:spacing w:before="20"/>
              <w:rPr>
                <w:rStyle w:val="Strong"/>
              </w:rPr>
            </w:pPr>
            <w:r w:rsidRPr="00C77D4B">
              <w:t>506.3</w:t>
            </w:r>
          </w:p>
        </w:tc>
        <w:tc>
          <w:tcPr>
            <w:tcW w:w="1134" w:type="dxa"/>
            <w:tcBorders>
              <w:bottom w:val="single" w:sz="4" w:space="0" w:color="A6A6A6" w:themeColor="background1" w:themeShade="A6"/>
            </w:tcBorders>
          </w:tcPr>
          <w:p w14:paraId="7FBD9106" w14:textId="77777777" w:rsidR="00FA7EBF" w:rsidRPr="007939DD" w:rsidRDefault="00FA7EBF" w:rsidP="00D86186">
            <w:pPr>
              <w:pStyle w:val="ARfintablebodyrightbold"/>
              <w:spacing w:before="20"/>
              <w:rPr>
                <w:rStyle w:val="Strong"/>
              </w:rPr>
            </w:pPr>
            <w:r w:rsidRPr="00C77D4B">
              <w:t>14.3</w:t>
            </w:r>
          </w:p>
        </w:tc>
        <w:tc>
          <w:tcPr>
            <w:tcW w:w="907" w:type="dxa"/>
            <w:tcBorders>
              <w:bottom w:val="single" w:sz="4" w:space="0" w:color="A6A6A6" w:themeColor="background1" w:themeShade="A6"/>
            </w:tcBorders>
          </w:tcPr>
          <w:p w14:paraId="26719C86" w14:textId="77777777" w:rsidR="00FA7EBF" w:rsidRPr="007939DD" w:rsidRDefault="00FA7EBF" w:rsidP="00D86186">
            <w:pPr>
              <w:pStyle w:val="ARfintablebodyrightbold"/>
              <w:spacing w:before="20"/>
              <w:rPr>
                <w:rStyle w:val="Strong"/>
              </w:rPr>
            </w:pPr>
            <w:r w:rsidRPr="00C77D4B">
              <w:t>1.4</w:t>
            </w:r>
          </w:p>
        </w:tc>
        <w:tc>
          <w:tcPr>
            <w:tcW w:w="907" w:type="dxa"/>
            <w:tcBorders>
              <w:bottom w:val="single" w:sz="4" w:space="0" w:color="A6A6A6" w:themeColor="background1" w:themeShade="A6"/>
            </w:tcBorders>
          </w:tcPr>
          <w:p w14:paraId="6F8E9891" w14:textId="77777777" w:rsidR="00FA7EBF" w:rsidRPr="007939DD" w:rsidRDefault="00FA7EBF" w:rsidP="00D86186">
            <w:pPr>
              <w:pStyle w:val="ARfintablebodyrightbold"/>
              <w:spacing w:before="20"/>
              <w:rPr>
                <w:rStyle w:val="Strong"/>
              </w:rPr>
            </w:pPr>
            <w:r w:rsidRPr="00C77D4B">
              <w:t>1,091.1</w:t>
            </w:r>
          </w:p>
        </w:tc>
      </w:tr>
      <w:tr w:rsidR="00FA7EBF" w:rsidRPr="007939DD" w14:paraId="5190C019" w14:textId="77777777" w:rsidTr="007B207C">
        <w:trPr>
          <w:cantSplit/>
        </w:trPr>
        <w:tc>
          <w:tcPr>
            <w:tcW w:w="6975" w:type="dxa"/>
            <w:tcBorders>
              <w:top w:val="single" w:sz="4" w:space="0" w:color="A6A6A6" w:themeColor="background1" w:themeShade="A6"/>
              <w:bottom w:val="single" w:sz="4" w:space="0" w:color="A6A6A6" w:themeColor="background1" w:themeShade="A6"/>
            </w:tcBorders>
          </w:tcPr>
          <w:p w14:paraId="63F44F24" w14:textId="77777777" w:rsidR="00FA7EBF" w:rsidRPr="007939DD" w:rsidRDefault="00FA7EBF" w:rsidP="00D86186">
            <w:pPr>
              <w:pStyle w:val="ARfintablebody"/>
              <w:spacing w:before="20"/>
              <w:rPr>
                <w:lang w:eastAsia="en-AU"/>
              </w:rPr>
            </w:pPr>
            <w:r w:rsidRPr="00C77D4B">
              <w:t>Machinery of government transfer in/(out)</w:t>
            </w:r>
          </w:p>
        </w:tc>
        <w:tc>
          <w:tcPr>
            <w:tcW w:w="1134" w:type="dxa"/>
            <w:tcBorders>
              <w:top w:val="single" w:sz="4" w:space="0" w:color="A6A6A6" w:themeColor="background1" w:themeShade="A6"/>
              <w:bottom w:val="single" w:sz="4" w:space="0" w:color="A6A6A6" w:themeColor="background1" w:themeShade="A6"/>
            </w:tcBorders>
          </w:tcPr>
          <w:p w14:paraId="2E8D02ED" w14:textId="77777777" w:rsidR="00FA7EBF" w:rsidRPr="007939DD" w:rsidRDefault="00FA7EBF" w:rsidP="00D86186">
            <w:pPr>
              <w:pStyle w:val="ARfintablebodyright"/>
              <w:spacing w:before="20"/>
            </w:pPr>
            <w:r w:rsidRPr="00C77D4B">
              <w:t>–</w:t>
            </w:r>
          </w:p>
        </w:tc>
        <w:tc>
          <w:tcPr>
            <w:tcW w:w="1134" w:type="dxa"/>
            <w:tcBorders>
              <w:top w:val="single" w:sz="4" w:space="0" w:color="A6A6A6" w:themeColor="background1" w:themeShade="A6"/>
              <w:bottom w:val="single" w:sz="4" w:space="0" w:color="A6A6A6" w:themeColor="background1" w:themeShade="A6"/>
            </w:tcBorders>
          </w:tcPr>
          <w:p w14:paraId="72B618AF" w14:textId="77777777" w:rsidR="00FA7EBF" w:rsidRPr="007939DD" w:rsidRDefault="00FA7EBF" w:rsidP="00D86186">
            <w:pPr>
              <w:pStyle w:val="ARfintablebodyright"/>
              <w:spacing w:before="20"/>
            </w:pPr>
            <w:r w:rsidRPr="00C77D4B">
              <w:t>(9.5)</w:t>
            </w:r>
          </w:p>
        </w:tc>
        <w:tc>
          <w:tcPr>
            <w:tcW w:w="1134" w:type="dxa"/>
            <w:tcBorders>
              <w:top w:val="single" w:sz="4" w:space="0" w:color="A6A6A6" w:themeColor="background1" w:themeShade="A6"/>
              <w:bottom w:val="single" w:sz="4" w:space="0" w:color="A6A6A6" w:themeColor="background1" w:themeShade="A6"/>
            </w:tcBorders>
          </w:tcPr>
          <w:p w14:paraId="4EDDE291" w14:textId="77777777" w:rsidR="00FA7EBF" w:rsidRPr="007939DD" w:rsidRDefault="00FA7EBF" w:rsidP="00D86186">
            <w:pPr>
              <w:pStyle w:val="ARfintablebodyright"/>
              <w:spacing w:before="20"/>
            </w:pPr>
            <w:r w:rsidRPr="00C77D4B">
              <w:t>–</w:t>
            </w:r>
          </w:p>
        </w:tc>
        <w:tc>
          <w:tcPr>
            <w:tcW w:w="1134" w:type="dxa"/>
            <w:tcBorders>
              <w:top w:val="single" w:sz="4" w:space="0" w:color="A6A6A6" w:themeColor="background1" w:themeShade="A6"/>
              <w:bottom w:val="single" w:sz="4" w:space="0" w:color="A6A6A6" w:themeColor="background1" w:themeShade="A6"/>
            </w:tcBorders>
          </w:tcPr>
          <w:p w14:paraId="3149AB38" w14:textId="77777777" w:rsidR="00FA7EBF" w:rsidRPr="007939DD" w:rsidRDefault="00FA7EBF" w:rsidP="00D86186">
            <w:pPr>
              <w:pStyle w:val="ARfintablebodyright"/>
              <w:spacing w:before="20"/>
            </w:pPr>
            <w:r w:rsidRPr="00C77D4B">
              <w:t>(23.2)</w:t>
            </w:r>
          </w:p>
        </w:tc>
        <w:tc>
          <w:tcPr>
            <w:tcW w:w="1134" w:type="dxa"/>
            <w:tcBorders>
              <w:top w:val="single" w:sz="4" w:space="0" w:color="A6A6A6" w:themeColor="background1" w:themeShade="A6"/>
              <w:bottom w:val="single" w:sz="4" w:space="0" w:color="A6A6A6" w:themeColor="background1" w:themeShade="A6"/>
            </w:tcBorders>
          </w:tcPr>
          <w:p w14:paraId="723A5550" w14:textId="77777777" w:rsidR="00FA7EBF" w:rsidRPr="007939DD" w:rsidRDefault="00FA7EBF" w:rsidP="00D86186">
            <w:pPr>
              <w:pStyle w:val="ARfintablebodyright"/>
              <w:spacing w:before="20"/>
            </w:pPr>
            <w:r w:rsidRPr="00C77D4B">
              <w:t>–</w:t>
            </w:r>
          </w:p>
        </w:tc>
        <w:tc>
          <w:tcPr>
            <w:tcW w:w="907" w:type="dxa"/>
            <w:tcBorders>
              <w:top w:val="single" w:sz="4" w:space="0" w:color="A6A6A6" w:themeColor="background1" w:themeShade="A6"/>
              <w:bottom w:val="single" w:sz="4" w:space="0" w:color="A6A6A6" w:themeColor="background1" w:themeShade="A6"/>
            </w:tcBorders>
          </w:tcPr>
          <w:p w14:paraId="42E7D353" w14:textId="77777777" w:rsidR="00FA7EBF" w:rsidRPr="007939DD" w:rsidRDefault="00FA7EBF" w:rsidP="00D86186">
            <w:pPr>
              <w:pStyle w:val="ARfintablebodyright"/>
              <w:spacing w:before="20"/>
            </w:pPr>
            <w:r w:rsidRPr="00C77D4B">
              <w:t>–</w:t>
            </w:r>
          </w:p>
        </w:tc>
        <w:tc>
          <w:tcPr>
            <w:tcW w:w="907" w:type="dxa"/>
            <w:tcBorders>
              <w:top w:val="single" w:sz="4" w:space="0" w:color="A6A6A6" w:themeColor="background1" w:themeShade="A6"/>
              <w:bottom w:val="single" w:sz="4" w:space="0" w:color="A6A6A6" w:themeColor="background1" w:themeShade="A6"/>
            </w:tcBorders>
          </w:tcPr>
          <w:p w14:paraId="52A2FB55" w14:textId="77777777" w:rsidR="00FA7EBF" w:rsidRPr="007939DD" w:rsidRDefault="00FA7EBF" w:rsidP="00D86186">
            <w:pPr>
              <w:pStyle w:val="ARfintablebodyright"/>
              <w:spacing w:before="20"/>
            </w:pPr>
            <w:r w:rsidRPr="00C77D4B">
              <w:t>(32.7)</w:t>
            </w:r>
          </w:p>
        </w:tc>
      </w:tr>
      <w:tr w:rsidR="00FA7EBF" w:rsidRPr="007939DD" w14:paraId="36B737DD" w14:textId="77777777" w:rsidTr="007B207C">
        <w:trPr>
          <w:cantSplit/>
        </w:trPr>
        <w:tc>
          <w:tcPr>
            <w:tcW w:w="6975" w:type="dxa"/>
            <w:tcBorders>
              <w:top w:val="single" w:sz="4" w:space="0" w:color="A6A6A6" w:themeColor="background1" w:themeShade="A6"/>
              <w:bottom w:val="single" w:sz="4" w:space="0" w:color="A6A6A6" w:themeColor="background1" w:themeShade="A6"/>
            </w:tcBorders>
          </w:tcPr>
          <w:p w14:paraId="39265F37" w14:textId="77777777" w:rsidR="00FA7EBF" w:rsidRPr="007939DD" w:rsidRDefault="00FA7EBF" w:rsidP="00D86186">
            <w:pPr>
              <w:pStyle w:val="ARfintablebody"/>
              <w:spacing w:before="20"/>
              <w:rPr>
                <w:lang w:eastAsia="en-AU"/>
              </w:rPr>
            </w:pPr>
            <w:r w:rsidRPr="00C77D4B">
              <w:t>Additions</w:t>
            </w:r>
          </w:p>
        </w:tc>
        <w:tc>
          <w:tcPr>
            <w:tcW w:w="1134" w:type="dxa"/>
            <w:tcBorders>
              <w:top w:val="single" w:sz="4" w:space="0" w:color="A6A6A6" w:themeColor="background1" w:themeShade="A6"/>
              <w:bottom w:val="single" w:sz="4" w:space="0" w:color="A6A6A6" w:themeColor="background1" w:themeShade="A6"/>
            </w:tcBorders>
          </w:tcPr>
          <w:p w14:paraId="101F9C8C" w14:textId="77777777" w:rsidR="00FA7EBF" w:rsidRPr="007939DD" w:rsidRDefault="00FA7EBF" w:rsidP="00D86186">
            <w:pPr>
              <w:pStyle w:val="ARfintablebodyright"/>
              <w:spacing w:before="20"/>
            </w:pPr>
            <w:r w:rsidRPr="00C77D4B">
              <w:t>–</w:t>
            </w:r>
          </w:p>
        </w:tc>
        <w:tc>
          <w:tcPr>
            <w:tcW w:w="1134" w:type="dxa"/>
            <w:tcBorders>
              <w:top w:val="single" w:sz="4" w:space="0" w:color="A6A6A6" w:themeColor="background1" w:themeShade="A6"/>
              <w:bottom w:val="single" w:sz="4" w:space="0" w:color="A6A6A6" w:themeColor="background1" w:themeShade="A6"/>
            </w:tcBorders>
          </w:tcPr>
          <w:p w14:paraId="27C558FD" w14:textId="77777777" w:rsidR="00FA7EBF" w:rsidRPr="007939DD" w:rsidRDefault="00FA7EBF" w:rsidP="00D86186">
            <w:pPr>
              <w:pStyle w:val="ARfintablebodyright"/>
              <w:spacing w:before="20"/>
            </w:pPr>
            <w:r w:rsidRPr="00C77D4B">
              <w:t>1.2</w:t>
            </w:r>
          </w:p>
        </w:tc>
        <w:tc>
          <w:tcPr>
            <w:tcW w:w="1134" w:type="dxa"/>
            <w:tcBorders>
              <w:top w:val="single" w:sz="4" w:space="0" w:color="A6A6A6" w:themeColor="background1" w:themeShade="A6"/>
              <w:bottom w:val="single" w:sz="4" w:space="0" w:color="A6A6A6" w:themeColor="background1" w:themeShade="A6"/>
            </w:tcBorders>
          </w:tcPr>
          <w:p w14:paraId="58F3A93E" w14:textId="77777777" w:rsidR="00FA7EBF" w:rsidRPr="007939DD" w:rsidRDefault="00FA7EBF" w:rsidP="00D86186">
            <w:pPr>
              <w:pStyle w:val="ARfintablebodyright"/>
              <w:spacing w:before="20"/>
            </w:pPr>
            <w:r w:rsidRPr="00C77D4B">
              <w:t>–</w:t>
            </w:r>
          </w:p>
        </w:tc>
        <w:tc>
          <w:tcPr>
            <w:tcW w:w="1134" w:type="dxa"/>
            <w:tcBorders>
              <w:top w:val="single" w:sz="4" w:space="0" w:color="A6A6A6" w:themeColor="background1" w:themeShade="A6"/>
              <w:bottom w:val="single" w:sz="4" w:space="0" w:color="A6A6A6" w:themeColor="background1" w:themeShade="A6"/>
            </w:tcBorders>
          </w:tcPr>
          <w:p w14:paraId="16B0865E" w14:textId="77777777" w:rsidR="00FA7EBF" w:rsidRPr="007939DD" w:rsidRDefault="00FA7EBF" w:rsidP="00D86186">
            <w:pPr>
              <w:pStyle w:val="ARfintablebodyright"/>
              <w:spacing w:before="20"/>
            </w:pPr>
            <w:r w:rsidRPr="00C77D4B">
              <w:t>5.3</w:t>
            </w:r>
          </w:p>
        </w:tc>
        <w:tc>
          <w:tcPr>
            <w:tcW w:w="1134" w:type="dxa"/>
            <w:tcBorders>
              <w:top w:val="single" w:sz="4" w:space="0" w:color="A6A6A6" w:themeColor="background1" w:themeShade="A6"/>
              <w:bottom w:val="single" w:sz="4" w:space="0" w:color="A6A6A6" w:themeColor="background1" w:themeShade="A6"/>
            </w:tcBorders>
          </w:tcPr>
          <w:p w14:paraId="0D1F8BA2" w14:textId="77777777" w:rsidR="00FA7EBF" w:rsidRPr="007939DD" w:rsidRDefault="00FA7EBF" w:rsidP="00D86186">
            <w:pPr>
              <w:pStyle w:val="ARfintablebodyright"/>
              <w:spacing w:before="20"/>
            </w:pPr>
            <w:r w:rsidRPr="00C77D4B">
              <w:t>1.6</w:t>
            </w:r>
          </w:p>
        </w:tc>
        <w:tc>
          <w:tcPr>
            <w:tcW w:w="907" w:type="dxa"/>
            <w:tcBorders>
              <w:top w:val="single" w:sz="4" w:space="0" w:color="A6A6A6" w:themeColor="background1" w:themeShade="A6"/>
              <w:bottom w:val="single" w:sz="4" w:space="0" w:color="A6A6A6" w:themeColor="background1" w:themeShade="A6"/>
            </w:tcBorders>
          </w:tcPr>
          <w:p w14:paraId="0E3C8445" w14:textId="77777777" w:rsidR="00FA7EBF" w:rsidRPr="007939DD" w:rsidRDefault="00FA7EBF" w:rsidP="00D86186">
            <w:pPr>
              <w:pStyle w:val="ARfintablebodyright"/>
              <w:spacing w:before="20"/>
            </w:pPr>
            <w:r w:rsidRPr="00C77D4B">
              <w:t>0.5</w:t>
            </w:r>
          </w:p>
        </w:tc>
        <w:tc>
          <w:tcPr>
            <w:tcW w:w="907" w:type="dxa"/>
            <w:tcBorders>
              <w:top w:val="single" w:sz="4" w:space="0" w:color="A6A6A6" w:themeColor="background1" w:themeShade="A6"/>
              <w:bottom w:val="single" w:sz="4" w:space="0" w:color="A6A6A6" w:themeColor="background1" w:themeShade="A6"/>
            </w:tcBorders>
          </w:tcPr>
          <w:p w14:paraId="42AB0A4E" w14:textId="77777777" w:rsidR="00FA7EBF" w:rsidRPr="007939DD" w:rsidRDefault="00FA7EBF" w:rsidP="00D86186">
            <w:pPr>
              <w:pStyle w:val="ARfintablebodyright"/>
              <w:spacing w:before="20"/>
            </w:pPr>
            <w:r w:rsidRPr="00C77D4B">
              <w:t>8.6</w:t>
            </w:r>
          </w:p>
        </w:tc>
      </w:tr>
      <w:tr w:rsidR="00FA7EBF" w:rsidRPr="007939DD" w14:paraId="0E6938D1" w14:textId="77777777" w:rsidTr="007B207C">
        <w:trPr>
          <w:cantSplit/>
        </w:trPr>
        <w:tc>
          <w:tcPr>
            <w:tcW w:w="6975" w:type="dxa"/>
            <w:tcBorders>
              <w:top w:val="single" w:sz="4" w:space="0" w:color="A6A6A6" w:themeColor="background1" w:themeShade="A6"/>
              <w:bottom w:val="single" w:sz="4" w:space="0" w:color="A6A6A6" w:themeColor="background1" w:themeShade="A6"/>
            </w:tcBorders>
          </w:tcPr>
          <w:p w14:paraId="2DE6F7D9" w14:textId="77777777" w:rsidR="00FA7EBF" w:rsidRPr="007939DD" w:rsidRDefault="00FA7EBF" w:rsidP="00D86186">
            <w:pPr>
              <w:pStyle w:val="ARfintablebody"/>
              <w:spacing w:before="20"/>
              <w:rPr>
                <w:lang w:eastAsia="en-AU"/>
              </w:rPr>
            </w:pPr>
            <w:r w:rsidRPr="00C77D4B">
              <w:t>Capitalisation of work in progress</w:t>
            </w:r>
          </w:p>
        </w:tc>
        <w:tc>
          <w:tcPr>
            <w:tcW w:w="1134" w:type="dxa"/>
            <w:tcBorders>
              <w:top w:val="single" w:sz="4" w:space="0" w:color="A6A6A6" w:themeColor="background1" w:themeShade="A6"/>
              <w:bottom w:val="single" w:sz="4" w:space="0" w:color="A6A6A6" w:themeColor="background1" w:themeShade="A6"/>
            </w:tcBorders>
          </w:tcPr>
          <w:p w14:paraId="10BEFC27" w14:textId="77777777" w:rsidR="00FA7EBF" w:rsidRPr="007939DD" w:rsidRDefault="00FA7EBF" w:rsidP="00D86186">
            <w:pPr>
              <w:pStyle w:val="ARfintablebodyright"/>
              <w:spacing w:before="20"/>
            </w:pPr>
            <w:r w:rsidRPr="00C77D4B">
              <w:t>–</w:t>
            </w:r>
          </w:p>
        </w:tc>
        <w:tc>
          <w:tcPr>
            <w:tcW w:w="1134" w:type="dxa"/>
            <w:tcBorders>
              <w:top w:val="single" w:sz="4" w:space="0" w:color="A6A6A6" w:themeColor="background1" w:themeShade="A6"/>
              <w:bottom w:val="single" w:sz="4" w:space="0" w:color="A6A6A6" w:themeColor="background1" w:themeShade="A6"/>
            </w:tcBorders>
          </w:tcPr>
          <w:p w14:paraId="09DC201D" w14:textId="77777777" w:rsidR="00FA7EBF" w:rsidRPr="007939DD" w:rsidRDefault="00FA7EBF" w:rsidP="00D86186">
            <w:pPr>
              <w:pStyle w:val="ARfintablebodyright"/>
              <w:spacing w:before="20"/>
            </w:pPr>
            <w:r w:rsidRPr="00C77D4B">
              <w:t>–</w:t>
            </w:r>
          </w:p>
        </w:tc>
        <w:tc>
          <w:tcPr>
            <w:tcW w:w="1134" w:type="dxa"/>
            <w:tcBorders>
              <w:top w:val="single" w:sz="4" w:space="0" w:color="A6A6A6" w:themeColor="background1" w:themeShade="A6"/>
              <w:bottom w:val="single" w:sz="4" w:space="0" w:color="A6A6A6" w:themeColor="background1" w:themeShade="A6"/>
            </w:tcBorders>
          </w:tcPr>
          <w:p w14:paraId="5CC8B7FF" w14:textId="77777777" w:rsidR="00FA7EBF" w:rsidRPr="007939DD" w:rsidRDefault="00FA7EBF" w:rsidP="00D86186">
            <w:pPr>
              <w:pStyle w:val="ARfintablebodyright"/>
              <w:spacing w:before="20"/>
            </w:pPr>
            <w:r w:rsidRPr="00C77D4B">
              <w:t>–</w:t>
            </w:r>
          </w:p>
        </w:tc>
        <w:tc>
          <w:tcPr>
            <w:tcW w:w="1134" w:type="dxa"/>
            <w:tcBorders>
              <w:top w:val="single" w:sz="4" w:space="0" w:color="A6A6A6" w:themeColor="background1" w:themeShade="A6"/>
              <w:bottom w:val="single" w:sz="4" w:space="0" w:color="A6A6A6" w:themeColor="background1" w:themeShade="A6"/>
            </w:tcBorders>
          </w:tcPr>
          <w:p w14:paraId="1B47AC12" w14:textId="77777777" w:rsidR="00FA7EBF" w:rsidRPr="007939DD" w:rsidRDefault="00FA7EBF" w:rsidP="00D86186">
            <w:pPr>
              <w:pStyle w:val="ARfintablebodyright"/>
              <w:spacing w:before="20"/>
            </w:pPr>
            <w:r w:rsidRPr="00C77D4B">
              <w:t>12.0</w:t>
            </w:r>
          </w:p>
        </w:tc>
        <w:tc>
          <w:tcPr>
            <w:tcW w:w="1134" w:type="dxa"/>
            <w:tcBorders>
              <w:top w:val="single" w:sz="4" w:space="0" w:color="A6A6A6" w:themeColor="background1" w:themeShade="A6"/>
              <w:bottom w:val="single" w:sz="4" w:space="0" w:color="A6A6A6" w:themeColor="background1" w:themeShade="A6"/>
            </w:tcBorders>
          </w:tcPr>
          <w:p w14:paraId="27A100BD" w14:textId="77777777" w:rsidR="00FA7EBF" w:rsidRPr="007939DD" w:rsidRDefault="00FA7EBF" w:rsidP="00D86186">
            <w:pPr>
              <w:pStyle w:val="ARfintablebodyright"/>
              <w:spacing w:before="20"/>
            </w:pPr>
            <w:r w:rsidRPr="00C77D4B">
              <w:t>–</w:t>
            </w:r>
          </w:p>
        </w:tc>
        <w:tc>
          <w:tcPr>
            <w:tcW w:w="907" w:type="dxa"/>
            <w:tcBorders>
              <w:top w:val="single" w:sz="4" w:space="0" w:color="A6A6A6" w:themeColor="background1" w:themeShade="A6"/>
              <w:bottom w:val="single" w:sz="4" w:space="0" w:color="A6A6A6" w:themeColor="background1" w:themeShade="A6"/>
            </w:tcBorders>
          </w:tcPr>
          <w:p w14:paraId="66A61019" w14:textId="77777777" w:rsidR="00FA7EBF" w:rsidRPr="007939DD" w:rsidRDefault="00FA7EBF" w:rsidP="00D86186">
            <w:pPr>
              <w:pStyle w:val="ARfintablebodyright"/>
              <w:spacing w:before="20"/>
            </w:pPr>
            <w:r w:rsidRPr="00C77D4B">
              <w:t>–</w:t>
            </w:r>
          </w:p>
        </w:tc>
        <w:tc>
          <w:tcPr>
            <w:tcW w:w="907" w:type="dxa"/>
            <w:tcBorders>
              <w:top w:val="single" w:sz="4" w:space="0" w:color="A6A6A6" w:themeColor="background1" w:themeShade="A6"/>
              <w:bottom w:val="single" w:sz="4" w:space="0" w:color="A6A6A6" w:themeColor="background1" w:themeShade="A6"/>
            </w:tcBorders>
          </w:tcPr>
          <w:p w14:paraId="0BC48D31" w14:textId="77777777" w:rsidR="00FA7EBF" w:rsidRPr="007939DD" w:rsidRDefault="00FA7EBF" w:rsidP="00D86186">
            <w:pPr>
              <w:pStyle w:val="ARfintablebodyright"/>
              <w:spacing w:before="20"/>
            </w:pPr>
            <w:r w:rsidRPr="00C77D4B">
              <w:t>12.0</w:t>
            </w:r>
          </w:p>
        </w:tc>
      </w:tr>
      <w:tr w:rsidR="00FA7EBF" w:rsidRPr="007939DD" w14:paraId="4A404D58" w14:textId="77777777" w:rsidTr="007B207C">
        <w:trPr>
          <w:cantSplit/>
        </w:trPr>
        <w:tc>
          <w:tcPr>
            <w:tcW w:w="6975" w:type="dxa"/>
            <w:tcBorders>
              <w:top w:val="single" w:sz="4" w:space="0" w:color="A6A6A6" w:themeColor="background1" w:themeShade="A6"/>
              <w:bottom w:val="single" w:sz="4" w:space="0" w:color="A6A6A6" w:themeColor="background1" w:themeShade="A6"/>
            </w:tcBorders>
          </w:tcPr>
          <w:p w14:paraId="75B55D40" w14:textId="77777777" w:rsidR="00FA7EBF" w:rsidRPr="007939DD" w:rsidRDefault="00FA7EBF" w:rsidP="00D86186">
            <w:pPr>
              <w:pStyle w:val="ARfintablebody"/>
              <w:spacing w:before="20"/>
              <w:rPr>
                <w:lang w:eastAsia="en-AU"/>
              </w:rPr>
            </w:pPr>
            <w:r w:rsidRPr="00C77D4B">
              <w:t>Disposals</w:t>
            </w:r>
          </w:p>
        </w:tc>
        <w:tc>
          <w:tcPr>
            <w:tcW w:w="1134" w:type="dxa"/>
            <w:tcBorders>
              <w:top w:val="single" w:sz="4" w:space="0" w:color="A6A6A6" w:themeColor="background1" w:themeShade="A6"/>
              <w:bottom w:val="single" w:sz="4" w:space="0" w:color="A6A6A6" w:themeColor="background1" w:themeShade="A6"/>
            </w:tcBorders>
          </w:tcPr>
          <w:p w14:paraId="49C74A59" w14:textId="77777777" w:rsidR="00FA7EBF" w:rsidRPr="007939DD" w:rsidRDefault="00FA7EBF" w:rsidP="00D86186">
            <w:pPr>
              <w:pStyle w:val="ARfintablebodyright"/>
              <w:spacing w:before="20"/>
            </w:pPr>
            <w:r w:rsidRPr="00C77D4B">
              <w:t>–</w:t>
            </w:r>
          </w:p>
        </w:tc>
        <w:tc>
          <w:tcPr>
            <w:tcW w:w="1134" w:type="dxa"/>
            <w:tcBorders>
              <w:top w:val="single" w:sz="4" w:space="0" w:color="A6A6A6" w:themeColor="background1" w:themeShade="A6"/>
              <w:bottom w:val="single" w:sz="4" w:space="0" w:color="A6A6A6" w:themeColor="background1" w:themeShade="A6"/>
            </w:tcBorders>
          </w:tcPr>
          <w:p w14:paraId="7D7C19F6" w14:textId="77777777" w:rsidR="00FA7EBF" w:rsidRPr="007939DD" w:rsidRDefault="00FA7EBF" w:rsidP="00D86186">
            <w:pPr>
              <w:pStyle w:val="ARfintablebodyright"/>
              <w:spacing w:before="20"/>
            </w:pPr>
            <w:r w:rsidRPr="00C77D4B">
              <w:t>–</w:t>
            </w:r>
          </w:p>
        </w:tc>
        <w:tc>
          <w:tcPr>
            <w:tcW w:w="1134" w:type="dxa"/>
            <w:tcBorders>
              <w:top w:val="single" w:sz="4" w:space="0" w:color="A6A6A6" w:themeColor="background1" w:themeShade="A6"/>
              <w:bottom w:val="single" w:sz="4" w:space="0" w:color="A6A6A6" w:themeColor="background1" w:themeShade="A6"/>
            </w:tcBorders>
          </w:tcPr>
          <w:p w14:paraId="1CFCE635" w14:textId="77777777" w:rsidR="00FA7EBF" w:rsidRPr="007939DD" w:rsidRDefault="00FA7EBF" w:rsidP="00D86186">
            <w:pPr>
              <w:pStyle w:val="ARfintablebodyright"/>
              <w:spacing w:before="20"/>
            </w:pPr>
            <w:r w:rsidRPr="00C77D4B">
              <w:t>–</w:t>
            </w:r>
          </w:p>
        </w:tc>
        <w:tc>
          <w:tcPr>
            <w:tcW w:w="1134" w:type="dxa"/>
            <w:tcBorders>
              <w:top w:val="single" w:sz="4" w:space="0" w:color="A6A6A6" w:themeColor="background1" w:themeShade="A6"/>
              <w:bottom w:val="single" w:sz="4" w:space="0" w:color="A6A6A6" w:themeColor="background1" w:themeShade="A6"/>
            </w:tcBorders>
          </w:tcPr>
          <w:p w14:paraId="2D185233" w14:textId="77777777" w:rsidR="00FA7EBF" w:rsidRPr="007939DD" w:rsidRDefault="00FA7EBF" w:rsidP="00D86186">
            <w:pPr>
              <w:pStyle w:val="ARfintablebodyright"/>
              <w:spacing w:before="20"/>
            </w:pPr>
            <w:r w:rsidRPr="00C77D4B">
              <w:t>(0.2)</w:t>
            </w:r>
          </w:p>
        </w:tc>
        <w:tc>
          <w:tcPr>
            <w:tcW w:w="1134" w:type="dxa"/>
            <w:tcBorders>
              <w:top w:val="single" w:sz="4" w:space="0" w:color="A6A6A6" w:themeColor="background1" w:themeShade="A6"/>
              <w:bottom w:val="single" w:sz="4" w:space="0" w:color="A6A6A6" w:themeColor="background1" w:themeShade="A6"/>
            </w:tcBorders>
          </w:tcPr>
          <w:p w14:paraId="19164B4B" w14:textId="77777777" w:rsidR="00FA7EBF" w:rsidRPr="007939DD" w:rsidRDefault="00FA7EBF" w:rsidP="00D86186">
            <w:pPr>
              <w:pStyle w:val="ARfintablebodyright"/>
              <w:spacing w:before="20"/>
            </w:pPr>
            <w:r w:rsidRPr="00C77D4B">
              <w:t>–</w:t>
            </w:r>
          </w:p>
        </w:tc>
        <w:tc>
          <w:tcPr>
            <w:tcW w:w="907" w:type="dxa"/>
            <w:tcBorders>
              <w:top w:val="single" w:sz="4" w:space="0" w:color="A6A6A6" w:themeColor="background1" w:themeShade="A6"/>
              <w:bottom w:val="single" w:sz="4" w:space="0" w:color="A6A6A6" w:themeColor="background1" w:themeShade="A6"/>
            </w:tcBorders>
          </w:tcPr>
          <w:p w14:paraId="07532AC8" w14:textId="77777777" w:rsidR="00FA7EBF" w:rsidRPr="007939DD" w:rsidRDefault="00FA7EBF" w:rsidP="00D86186">
            <w:pPr>
              <w:pStyle w:val="ARfintablebodyright"/>
              <w:spacing w:before="20"/>
            </w:pPr>
            <w:r w:rsidRPr="00C77D4B">
              <w:t>(0.1)</w:t>
            </w:r>
          </w:p>
        </w:tc>
        <w:tc>
          <w:tcPr>
            <w:tcW w:w="907" w:type="dxa"/>
            <w:tcBorders>
              <w:top w:val="single" w:sz="4" w:space="0" w:color="A6A6A6" w:themeColor="background1" w:themeShade="A6"/>
              <w:bottom w:val="single" w:sz="4" w:space="0" w:color="A6A6A6" w:themeColor="background1" w:themeShade="A6"/>
            </w:tcBorders>
          </w:tcPr>
          <w:p w14:paraId="1C9CE66B" w14:textId="77777777" w:rsidR="00FA7EBF" w:rsidRPr="007939DD" w:rsidRDefault="00FA7EBF" w:rsidP="00D86186">
            <w:pPr>
              <w:pStyle w:val="ARfintablebodyright"/>
              <w:spacing w:before="20"/>
            </w:pPr>
            <w:r w:rsidRPr="00C77D4B">
              <w:t>(0.3)</w:t>
            </w:r>
          </w:p>
        </w:tc>
      </w:tr>
      <w:tr w:rsidR="00FA7EBF" w:rsidRPr="007939DD" w14:paraId="05855477" w14:textId="77777777" w:rsidTr="007B207C">
        <w:trPr>
          <w:cantSplit/>
        </w:trPr>
        <w:tc>
          <w:tcPr>
            <w:tcW w:w="6975" w:type="dxa"/>
            <w:tcBorders>
              <w:top w:val="single" w:sz="4" w:space="0" w:color="A6A6A6" w:themeColor="background1" w:themeShade="A6"/>
              <w:bottom w:val="single" w:sz="4" w:space="0" w:color="A6A6A6" w:themeColor="background1" w:themeShade="A6"/>
            </w:tcBorders>
          </w:tcPr>
          <w:p w14:paraId="1FE404D5" w14:textId="77777777" w:rsidR="00FA7EBF" w:rsidRPr="007939DD" w:rsidRDefault="00FA7EBF" w:rsidP="00D86186">
            <w:pPr>
              <w:pStyle w:val="ARfintablebody"/>
              <w:spacing w:before="20"/>
              <w:rPr>
                <w:lang w:eastAsia="en-AU"/>
              </w:rPr>
            </w:pPr>
            <w:r w:rsidRPr="00C77D4B">
              <w:t>Transfers in/(out) of Level 3</w:t>
            </w:r>
          </w:p>
        </w:tc>
        <w:tc>
          <w:tcPr>
            <w:tcW w:w="1134" w:type="dxa"/>
            <w:tcBorders>
              <w:top w:val="single" w:sz="4" w:space="0" w:color="A6A6A6" w:themeColor="background1" w:themeShade="A6"/>
              <w:bottom w:val="single" w:sz="4" w:space="0" w:color="A6A6A6" w:themeColor="background1" w:themeShade="A6"/>
            </w:tcBorders>
          </w:tcPr>
          <w:p w14:paraId="099A2D62" w14:textId="77777777" w:rsidR="00FA7EBF" w:rsidRPr="007939DD" w:rsidRDefault="00FA7EBF" w:rsidP="00D86186">
            <w:pPr>
              <w:pStyle w:val="ARfintablebodyright"/>
              <w:spacing w:before="20"/>
            </w:pPr>
            <w:r w:rsidRPr="00C77D4B">
              <w:t>–</w:t>
            </w:r>
          </w:p>
        </w:tc>
        <w:tc>
          <w:tcPr>
            <w:tcW w:w="1134" w:type="dxa"/>
            <w:tcBorders>
              <w:top w:val="single" w:sz="4" w:space="0" w:color="A6A6A6" w:themeColor="background1" w:themeShade="A6"/>
              <w:bottom w:val="single" w:sz="4" w:space="0" w:color="A6A6A6" w:themeColor="background1" w:themeShade="A6"/>
            </w:tcBorders>
          </w:tcPr>
          <w:p w14:paraId="7ACBBF72" w14:textId="77777777" w:rsidR="00FA7EBF" w:rsidRPr="007939DD" w:rsidRDefault="00FA7EBF" w:rsidP="00D86186">
            <w:pPr>
              <w:pStyle w:val="ARfintablebodyright"/>
              <w:spacing w:before="20"/>
            </w:pPr>
            <w:r w:rsidRPr="00C77D4B">
              <w:t>–</w:t>
            </w:r>
          </w:p>
        </w:tc>
        <w:tc>
          <w:tcPr>
            <w:tcW w:w="1134" w:type="dxa"/>
            <w:tcBorders>
              <w:top w:val="single" w:sz="4" w:space="0" w:color="A6A6A6" w:themeColor="background1" w:themeShade="A6"/>
              <w:bottom w:val="single" w:sz="4" w:space="0" w:color="A6A6A6" w:themeColor="background1" w:themeShade="A6"/>
            </w:tcBorders>
          </w:tcPr>
          <w:p w14:paraId="757C771D" w14:textId="77777777" w:rsidR="00FA7EBF" w:rsidRPr="007939DD" w:rsidRDefault="00FA7EBF" w:rsidP="00D86186">
            <w:pPr>
              <w:pStyle w:val="ARfintablebodyright"/>
              <w:spacing w:before="20"/>
            </w:pPr>
            <w:r w:rsidRPr="00C77D4B">
              <w:t>–</w:t>
            </w:r>
          </w:p>
        </w:tc>
        <w:tc>
          <w:tcPr>
            <w:tcW w:w="1134" w:type="dxa"/>
            <w:tcBorders>
              <w:top w:val="single" w:sz="4" w:space="0" w:color="A6A6A6" w:themeColor="background1" w:themeShade="A6"/>
              <w:bottom w:val="single" w:sz="4" w:space="0" w:color="A6A6A6" w:themeColor="background1" w:themeShade="A6"/>
            </w:tcBorders>
          </w:tcPr>
          <w:p w14:paraId="42F299BB" w14:textId="77777777" w:rsidR="00FA7EBF" w:rsidRPr="007939DD" w:rsidRDefault="00FA7EBF" w:rsidP="00D86186">
            <w:pPr>
              <w:pStyle w:val="ARfintablebodyright"/>
              <w:spacing w:before="20"/>
            </w:pPr>
            <w:r w:rsidRPr="00C77D4B">
              <w:t>3.4</w:t>
            </w:r>
          </w:p>
        </w:tc>
        <w:tc>
          <w:tcPr>
            <w:tcW w:w="1134" w:type="dxa"/>
            <w:tcBorders>
              <w:top w:val="single" w:sz="4" w:space="0" w:color="A6A6A6" w:themeColor="background1" w:themeShade="A6"/>
              <w:bottom w:val="single" w:sz="4" w:space="0" w:color="A6A6A6" w:themeColor="background1" w:themeShade="A6"/>
            </w:tcBorders>
          </w:tcPr>
          <w:p w14:paraId="7000810F" w14:textId="77777777" w:rsidR="00FA7EBF" w:rsidRPr="007939DD" w:rsidRDefault="00FA7EBF" w:rsidP="00D86186">
            <w:pPr>
              <w:pStyle w:val="ARfintablebodyright"/>
              <w:spacing w:before="20"/>
            </w:pPr>
            <w:r w:rsidRPr="00C77D4B">
              <w:t>–</w:t>
            </w:r>
          </w:p>
        </w:tc>
        <w:tc>
          <w:tcPr>
            <w:tcW w:w="907" w:type="dxa"/>
            <w:tcBorders>
              <w:top w:val="single" w:sz="4" w:space="0" w:color="A6A6A6" w:themeColor="background1" w:themeShade="A6"/>
              <w:bottom w:val="single" w:sz="4" w:space="0" w:color="A6A6A6" w:themeColor="background1" w:themeShade="A6"/>
            </w:tcBorders>
          </w:tcPr>
          <w:p w14:paraId="5E640C64" w14:textId="77777777" w:rsidR="00FA7EBF" w:rsidRPr="007939DD" w:rsidRDefault="00FA7EBF" w:rsidP="00D86186">
            <w:pPr>
              <w:pStyle w:val="ARfintablebodyright"/>
              <w:spacing w:before="20"/>
            </w:pPr>
            <w:r w:rsidRPr="00C77D4B">
              <w:t>–</w:t>
            </w:r>
          </w:p>
        </w:tc>
        <w:tc>
          <w:tcPr>
            <w:tcW w:w="907" w:type="dxa"/>
            <w:tcBorders>
              <w:top w:val="single" w:sz="4" w:space="0" w:color="A6A6A6" w:themeColor="background1" w:themeShade="A6"/>
              <w:bottom w:val="single" w:sz="4" w:space="0" w:color="A6A6A6" w:themeColor="background1" w:themeShade="A6"/>
            </w:tcBorders>
          </w:tcPr>
          <w:p w14:paraId="3F3C408E" w14:textId="77777777" w:rsidR="00FA7EBF" w:rsidRPr="007939DD" w:rsidRDefault="00FA7EBF" w:rsidP="00D86186">
            <w:pPr>
              <w:pStyle w:val="ARfintablebodyright"/>
              <w:spacing w:before="20"/>
            </w:pPr>
            <w:r w:rsidRPr="00C77D4B">
              <w:t>3.4</w:t>
            </w:r>
          </w:p>
        </w:tc>
      </w:tr>
      <w:tr w:rsidR="00FA7EBF" w:rsidRPr="007939DD" w14:paraId="7038F55E" w14:textId="77777777" w:rsidTr="007B207C">
        <w:trPr>
          <w:cantSplit/>
        </w:trPr>
        <w:tc>
          <w:tcPr>
            <w:tcW w:w="14459" w:type="dxa"/>
            <w:gridSpan w:val="8"/>
            <w:tcBorders>
              <w:top w:val="single" w:sz="4" w:space="0" w:color="A6A6A6" w:themeColor="background1" w:themeShade="A6"/>
              <w:bottom w:val="single" w:sz="4" w:space="0" w:color="A6A6A6" w:themeColor="background1" w:themeShade="A6"/>
            </w:tcBorders>
          </w:tcPr>
          <w:p w14:paraId="67061AA4" w14:textId="77777777" w:rsidR="00FA7EBF" w:rsidRPr="007939DD" w:rsidRDefault="00FA7EBF" w:rsidP="00D86186">
            <w:pPr>
              <w:pStyle w:val="ARfintablebodybold"/>
              <w:spacing w:before="20"/>
            </w:pPr>
            <w:r w:rsidRPr="00C77D4B">
              <w:t>Gains or losses recognised in net result</w:t>
            </w:r>
          </w:p>
        </w:tc>
      </w:tr>
      <w:tr w:rsidR="00FA7EBF" w:rsidRPr="007939DD" w14:paraId="101A77B8" w14:textId="77777777" w:rsidTr="007B207C">
        <w:trPr>
          <w:cantSplit/>
        </w:trPr>
        <w:tc>
          <w:tcPr>
            <w:tcW w:w="6975" w:type="dxa"/>
            <w:tcBorders>
              <w:top w:val="single" w:sz="4" w:space="0" w:color="A6A6A6" w:themeColor="background1" w:themeShade="A6"/>
            </w:tcBorders>
          </w:tcPr>
          <w:p w14:paraId="542A17A6" w14:textId="77777777" w:rsidR="00FA7EBF" w:rsidRPr="007939DD" w:rsidRDefault="00FA7EBF" w:rsidP="00D86186">
            <w:pPr>
              <w:pStyle w:val="ARfintablebody"/>
              <w:spacing w:before="20"/>
              <w:rPr>
                <w:lang w:eastAsia="en-AU"/>
              </w:rPr>
            </w:pPr>
            <w:r w:rsidRPr="00C77D4B">
              <w:t>Depreciation</w:t>
            </w:r>
          </w:p>
        </w:tc>
        <w:tc>
          <w:tcPr>
            <w:tcW w:w="1134" w:type="dxa"/>
            <w:tcBorders>
              <w:top w:val="single" w:sz="4" w:space="0" w:color="A6A6A6" w:themeColor="background1" w:themeShade="A6"/>
            </w:tcBorders>
          </w:tcPr>
          <w:p w14:paraId="6DDA28EC" w14:textId="77777777" w:rsidR="00FA7EBF" w:rsidRPr="007939DD" w:rsidRDefault="00FA7EBF" w:rsidP="00D86186">
            <w:pPr>
              <w:pStyle w:val="ARfintablebodyright"/>
              <w:spacing w:before="20"/>
            </w:pPr>
            <w:r w:rsidRPr="00C77D4B">
              <w:t>–</w:t>
            </w:r>
          </w:p>
        </w:tc>
        <w:tc>
          <w:tcPr>
            <w:tcW w:w="1134" w:type="dxa"/>
            <w:tcBorders>
              <w:top w:val="single" w:sz="4" w:space="0" w:color="A6A6A6" w:themeColor="background1" w:themeShade="A6"/>
            </w:tcBorders>
          </w:tcPr>
          <w:p w14:paraId="6560DBF8" w14:textId="77777777" w:rsidR="00FA7EBF" w:rsidRPr="007939DD" w:rsidRDefault="00FA7EBF" w:rsidP="00D86186">
            <w:pPr>
              <w:pStyle w:val="ARfintablebodyright"/>
              <w:spacing w:before="20"/>
            </w:pPr>
            <w:r w:rsidRPr="00C77D4B">
              <w:t>–</w:t>
            </w:r>
          </w:p>
        </w:tc>
        <w:tc>
          <w:tcPr>
            <w:tcW w:w="1134" w:type="dxa"/>
            <w:tcBorders>
              <w:top w:val="single" w:sz="4" w:space="0" w:color="A6A6A6" w:themeColor="background1" w:themeShade="A6"/>
            </w:tcBorders>
          </w:tcPr>
          <w:p w14:paraId="4FE3AB35" w14:textId="77777777" w:rsidR="00FA7EBF" w:rsidRPr="007939DD" w:rsidRDefault="00FA7EBF" w:rsidP="00D86186">
            <w:pPr>
              <w:pStyle w:val="ARfintablebodyright"/>
              <w:spacing w:before="20"/>
            </w:pPr>
            <w:r w:rsidRPr="00C77D4B">
              <w:t>–</w:t>
            </w:r>
          </w:p>
        </w:tc>
        <w:tc>
          <w:tcPr>
            <w:tcW w:w="1134" w:type="dxa"/>
            <w:tcBorders>
              <w:top w:val="single" w:sz="4" w:space="0" w:color="A6A6A6" w:themeColor="background1" w:themeShade="A6"/>
            </w:tcBorders>
          </w:tcPr>
          <w:p w14:paraId="6C2C0298" w14:textId="77777777" w:rsidR="00FA7EBF" w:rsidRPr="007939DD" w:rsidRDefault="00FA7EBF" w:rsidP="00D86186">
            <w:pPr>
              <w:pStyle w:val="ARfintablebodyright"/>
              <w:spacing w:before="20"/>
            </w:pPr>
            <w:r w:rsidRPr="00C77D4B">
              <w:t>(24.1)</w:t>
            </w:r>
          </w:p>
        </w:tc>
        <w:tc>
          <w:tcPr>
            <w:tcW w:w="1134" w:type="dxa"/>
            <w:tcBorders>
              <w:top w:val="single" w:sz="4" w:space="0" w:color="A6A6A6" w:themeColor="background1" w:themeShade="A6"/>
            </w:tcBorders>
          </w:tcPr>
          <w:p w14:paraId="6F6C6219" w14:textId="77777777" w:rsidR="00FA7EBF" w:rsidRPr="007939DD" w:rsidRDefault="00FA7EBF" w:rsidP="00D86186">
            <w:pPr>
              <w:pStyle w:val="ARfintablebodyright"/>
              <w:spacing w:before="20"/>
            </w:pPr>
            <w:r w:rsidRPr="00C77D4B">
              <w:t>(4.9)</w:t>
            </w:r>
          </w:p>
        </w:tc>
        <w:tc>
          <w:tcPr>
            <w:tcW w:w="907" w:type="dxa"/>
            <w:tcBorders>
              <w:top w:val="single" w:sz="4" w:space="0" w:color="A6A6A6" w:themeColor="background1" w:themeShade="A6"/>
            </w:tcBorders>
          </w:tcPr>
          <w:p w14:paraId="2BFC540A" w14:textId="77777777" w:rsidR="00FA7EBF" w:rsidRPr="007939DD" w:rsidRDefault="00FA7EBF" w:rsidP="00D86186">
            <w:pPr>
              <w:pStyle w:val="ARfintablebodyright"/>
              <w:spacing w:before="20"/>
            </w:pPr>
            <w:r w:rsidRPr="00C77D4B">
              <w:t>(0.3)</w:t>
            </w:r>
          </w:p>
        </w:tc>
        <w:tc>
          <w:tcPr>
            <w:tcW w:w="907" w:type="dxa"/>
            <w:tcBorders>
              <w:top w:val="single" w:sz="4" w:space="0" w:color="A6A6A6" w:themeColor="background1" w:themeShade="A6"/>
            </w:tcBorders>
          </w:tcPr>
          <w:p w14:paraId="0A30E053" w14:textId="77777777" w:rsidR="00FA7EBF" w:rsidRPr="007939DD" w:rsidRDefault="00FA7EBF" w:rsidP="00D86186">
            <w:pPr>
              <w:pStyle w:val="ARfintablebodyright"/>
              <w:spacing w:before="20"/>
            </w:pPr>
            <w:r>
              <w:t>(29.3)</w:t>
            </w:r>
          </w:p>
        </w:tc>
      </w:tr>
      <w:tr w:rsidR="00FA7EBF" w:rsidRPr="007939DD" w14:paraId="3D5F32B3" w14:textId="77777777" w:rsidTr="007B207C">
        <w:trPr>
          <w:cantSplit/>
        </w:trPr>
        <w:tc>
          <w:tcPr>
            <w:tcW w:w="6975" w:type="dxa"/>
            <w:tcBorders>
              <w:top w:val="single" w:sz="4" w:space="0" w:color="A6A6A6" w:themeColor="background1" w:themeShade="A6"/>
            </w:tcBorders>
          </w:tcPr>
          <w:p w14:paraId="626F7DB9" w14:textId="77777777" w:rsidR="00FA7EBF" w:rsidRPr="007939DD" w:rsidRDefault="00FA7EBF" w:rsidP="00D86186">
            <w:pPr>
              <w:pStyle w:val="ARfintablebody"/>
              <w:spacing w:before="20"/>
              <w:rPr>
                <w:lang w:eastAsia="en-AU"/>
              </w:rPr>
            </w:pPr>
            <w:r w:rsidRPr="00C77D4B">
              <w:t>Assets given free of charge</w:t>
            </w:r>
          </w:p>
        </w:tc>
        <w:tc>
          <w:tcPr>
            <w:tcW w:w="1134" w:type="dxa"/>
            <w:tcBorders>
              <w:top w:val="single" w:sz="4" w:space="0" w:color="A6A6A6" w:themeColor="background1" w:themeShade="A6"/>
            </w:tcBorders>
          </w:tcPr>
          <w:p w14:paraId="6A36FEAB" w14:textId="77777777" w:rsidR="00FA7EBF" w:rsidRPr="007939DD" w:rsidRDefault="00FA7EBF" w:rsidP="00D86186">
            <w:pPr>
              <w:pStyle w:val="ARfintablebodyright"/>
              <w:spacing w:before="20"/>
            </w:pPr>
            <w:r w:rsidRPr="00C77D4B">
              <w:t>–</w:t>
            </w:r>
          </w:p>
        </w:tc>
        <w:tc>
          <w:tcPr>
            <w:tcW w:w="1134" w:type="dxa"/>
            <w:tcBorders>
              <w:top w:val="single" w:sz="4" w:space="0" w:color="A6A6A6" w:themeColor="background1" w:themeShade="A6"/>
            </w:tcBorders>
          </w:tcPr>
          <w:p w14:paraId="5AD4C581" w14:textId="77777777" w:rsidR="00FA7EBF" w:rsidRPr="007939DD" w:rsidRDefault="00FA7EBF" w:rsidP="00D86186">
            <w:pPr>
              <w:pStyle w:val="ARfintablebodyright"/>
              <w:spacing w:before="20"/>
            </w:pPr>
            <w:r w:rsidRPr="00C77D4B">
              <w:t>–</w:t>
            </w:r>
          </w:p>
        </w:tc>
        <w:tc>
          <w:tcPr>
            <w:tcW w:w="1134" w:type="dxa"/>
            <w:tcBorders>
              <w:top w:val="single" w:sz="4" w:space="0" w:color="A6A6A6" w:themeColor="background1" w:themeShade="A6"/>
            </w:tcBorders>
          </w:tcPr>
          <w:p w14:paraId="2FA9C878" w14:textId="77777777" w:rsidR="00FA7EBF" w:rsidRPr="007939DD" w:rsidRDefault="00FA7EBF" w:rsidP="00D86186">
            <w:pPr>
              <w:pStyle w:val="ARfintablebodyright"/>
              <w:spacing w:before="20"/>
            </w:pPr>
            <w:r w:rsidRPr="00C77D4B">
              <w:t>–</w:t>
            </w:r>
          </w:p>
        </w:tc>
        <w:tc>
          <w:tcPr>
            <w:tcW w:w="1134" w:type="dxa"/>
            <w:tcBorders>
              <w:top w:val="single" w:sz="4" w:space="0" w:color="A6A6A6" w:themeColor="background1" w:themeShade="A6"/>
            </w:tcBorders>
          </w:tcPr>
          <w:p w14:paraId="1F7C7EEF" w14:textId="77777777" w:rsidR="00FA7EBF" w:rsidRPr="007939DD" w:rsidRDefault="00FA7EBF" w:rsidP="00D86186">
            <w:pPr>
              <w:pStyle w:val="ARfintablebodyright"/>
              <w:spacing w:before="20"/>
            </w:pPr>
            <w:r w:rsidRPr="00C77D4B">
              <w:t>–</w:t>
            </w:r>
          </w:p>
        </w:tc>
        <w:tc>
          <w:tcPr>
            <w:tcW w:w="1134" w:type="dxa"/>
            <w:tcBorders>
              <w:top w:val="single" w:sz="4" w:space="0" w:color="A6A6A6" w:themeColor="background1" w:themeShade="A6"/>
            </w:tcBorders>
          </w:tcPr>
          <w:p w14:paraId="061E5A6A" w14:textId="77777777" w:rsidR="00FA7EBF" w:rsidRPr="007939DD" w:rsidRDefault="00FA7EBF" w:rsidP="00D86186">
            <w:pPr>
              <w:pStyle w:val="ARfintablebodyright"/>
              <w:spacing w:before="20"/>
            </w:pPr>
            <w:r w:rsidRPr="00C77D4B">
              <w:t>(0.2)</w:t>
            </w:r>
          </w:p>
        </w:tc>
        <w:tc>
          <w:tcPr>
            <w:tcW w:w="907" w:type="dxa"/>
            <w:tcBorders>
              <w:top w:val="single" w:sz="4" w:space="0" w:color="A6A6A6" w:themeColor="background1" w:themeShade="A6"/>
            </w:tcBorders>
          </w:tcPr>
          <w:p w14:paraId="557F41D7" w14:textId="77777777" w:rsidR="00FA7EBF" w:rsidRPr="007939DD" w:rsidRDefault="00FA7EBF" w:rsidP="00D86186">
            <w:pPr>
              <w:pStyle w:val="ARfintablebodyright"/>
              <w:spacing w:before="20"/>
            </w:pPr>
            <w:r w:rsidRPr="00C77D4B">
              <w:t>(0.7)</w:t>
            </w:r>
          </w:p>
        </w:tc>
        <w:tc>
          <w:tcPr>
            <w:tcW w:w="907" w:type="dxa"/>
            <w:tcBorders>
              <w:top w:val="single" w:sz="4" w:space="0" w:color="A6A6A6" w:themeColor="background1" w:themeShade="A6"/>
            </w:tcBorders>
          </w:tcPr>
          <w:p w14:paraId="0E0DAAD4" w14:textId="77777777" w:rsidR="00FA7EBF" w:rsidRPr="007939DD" w:rsidRDefault="00FA7EBF" w:rsidP="00D86186">
            <w:pPr>
              <w:pStyle w:val="ARfintablebodyright"/>
              <w:spacing w:before="20"/>
            </w:pPr>
            <w:r>
              <w:t>(0.9)</w:t>
            </w:r>
          </w:p>
        </w:tc>
      </w:tr>
      <w:tr w:rsidR="00FA7EBF" w:rsidRPr="007939DD" w14:paraId="7D3E0CA5" w14:textId="77777777" w:rsidTr="007B207C">
        <w:trPr>
          <w:cantSplit/>
        </w:trPr>
        <w:tc>
          <w:tcPr>
            <w:tcW w:w="6975" w:type="dxa"/>
          </w:tcPr>
          <w:p w14:paraId="0828D2E6" w14:textId="77777777" w:rsidR="00FA7EBF" w:rsidRPr="007939DD" w:rsidRDefault="00FA7EBF" w:rsidP="00D86186">
            <w:pPr>
              <w:pStyle w:val="ARfintablebodybold"/>
              <w:spacing w:before="20"/>
              <w:rPr>
                <w:lang w:eastAsia="en-AU"/>
              </w:rPr>
            </w:pPr>
            <w:r w:rsidRPr="00C77D4B">
              <w:t>Subtotal of gains or losses recognises in net result</w:t>
            </w:r>
          </w:p>
        </w:tc>
        <w:tc>
          <w:tcPr>
            <w:tcW w:w="1134" w:type="dxa"/>
          </w:tcPr>
          <w:p w14:paraId="212F7B2D" w14:textId="77777777" w:rsidR="00FA7EBF" w:rsidRPr="007939DD" w:rsidRDefault="00FA7EBF" w:rsidP="00D86186">
            <w:pPr>
              <w:pStyle w:val="ARfintablebodyrightbold"/>
              <w:spacing w:before="20"/>
              <w:rPr>
                <w:rStyle w:val="Strong"/>
              </w:rPr>
            </w:pPr>
            <w:r w:rsidRPr="00C77D4B">
              <w:t>–</w:t>
            </w:r>
          </w:p>
        </w:tc>
        <w:tc>
          <w:tcPr>
            <w:tcW w:w="1134" w:type="dxa"/>
          </w:tcPr>
          <w:p w14:paraId="35953AF9" w14:textId="77777777" w:rsidR="00FA7EBF" w:rsidRPr="007939DD" w:rsidRDefault="00FA7EBF" w:rsidP="00D86186">
            <w:pPr>
              <w:pStyle w:val="ARfintablebodyrightbold"/>
              <w:spacing w:before="20"/>
              <w:rPr>
                <w:rStyle w:val="Strong"/>
              </w:rPr>
            </w:pPr>
            <w:r w:rsidRPr="00C77D4B">
              <w:t>–</w:t>
            </w:r>
          </w:p>
        </w:tc>
        <w:tc>
          <w:tcPr>
            <w:tcW w:w="1134" w:type="dxa"/>
          </w:tcPr>
          <w:p w14:paraId="39044331" w14:textId="77777777" w:rsidR="00FA7EBF" w:rsidRPr="007939DD" w:rsidRDefault="00FA7EBF" w:rsidP="00D86186">
            <w:pPr>
              <w:pStyle w:val="ARfintablebodyrightbold"/>
              <w:spacing w:before="20"/>
              <w:rPr>
                <w:rStyle w:val="Strong"/>
              </w:rPr>
            </w:pPr>
            <w:r w:rsidRPr="00C77D4B">
              <w:t>–</w:t>
            </w:r>
          </w:p>
        </w:tc>
        <w:tc>
          <w:tcPr>
            <w:tcW w:w="1134" w:type="dxa"/>
          </w:tcPr>
          <w:p w14:paraId="73927561" w14:textId="77777777" w:rsidR="00FA7EBF" w:rsidRPr="007939DD" w:rsidRDefault="00FA7EBF" w:rsidP="00D86186">
            <w:pPr>
              <w:pStyle w:val="ARfintablebodyrightbold"/>
              <w:spacing w:before="20"/>
              <w:rPr>
                <w:rStyle w:val="Strong"/>
              </w:rPr>
            </w:pPr>
            <w:r w:rsidRPr="00C77D4B">
              <w:t>(24.1)</w:t>
            </w:r>
          </w:p>
        </w:tc>
        <w:tc>
          <w:tcPr>
            <w:tcW w:w="1134" w:type="dxa"/>
          </w:tcPr>
          <w:p w14:paraId="54AE0E7C" w14:textId="77777777" w:rsidR="00FA7EBF" w:rsidRPr="007939DD" w:rsidRDefault="00FA7EBF" w:rsidP="00D86186">
            <w:pPr>
              <w:pStyle w:val="ARfintablebodyrightbold"/>
              <w:spacing w:before="20"/>
              <w:rPr>
                <w:rStyle w:val="Strong"/>
              </w:rPr>
            </w:pPr>
            <w:r w:rsidRPr="00C77D4B">
              <w:t>(5.1)</w:t>
            </w:r>
          </w:p>
        </w:tc>
        <w:tc>
          <w:tcPr>
            <w:tcW w:w="907" w:type="dxa"/>
          </w:tcPr>
          <w:p w14:paraId="346E9BD1" w14:textId="77777777" w:rsidR="00FA7EBF" w:rsidRPr="007939DD" w:rsidRDefault="00FA7EBF" w:rsidP="00D86186">
            <w:pPr>
              <w:pStyle w:val="ARfintablebodyrightbold"/>
              <w:spacing w:before="20"/>
              <w:rPr>
                <w:rStyle w:val="Strong"/>
              </w:rPr>
            </w:pPr>
            <w:r w:rsidRPr="00C77D4B">
              <w:t>(1.1)</w:t>
            </w:r>
          </w:p>
        </w:tc>
        <w:tc>
          <w:tcPr>
            <w:tcW w:w="907" w:type="dxa"/>
          </w:tcPr>
          <w:p w14:paraId="125C6291" w14:textId="77777777" w:rsidR="00FA7EBF" w:rsidRPr="007939DD" w:rsidRDefault="00FA7EBF" w:rsidP="00D86186">
            <w:pPr>
              <w:pStyle w:val="ARfintablebodyrightbold"/>
              <w:spacing w:before="20"/>
              <w:rPr>
                <w:rStyle w:val="Strong"/>
              </w:rPr>
            </w:pPr>
            <w:r>
              <w:t>(30.3)</w:t>
            </w:r>
          </w:p>
        </w:tc>
      </w:tr>
      <w:tr w:rsidR="00FA7EBF" w:rsidRPr="007939DD" w14:paraId="28279016" w14:textId="77777777" w:rsidTr="007B207C">
        <w:trPr>
          <w:cantSplit/>
        </w:trPr>
        <w:tc>
          <w:tcPr>
            <w:tcW w:w="14459" w:type="dxa"/>
            <w:gridSpan w:val="8"/>
            <w:tcBorders>
              <w:bottom w:val="single" w:sz="4" w:space="0" w:color="A6A6A6"/>
            </w:tcBorders>
          </w:tcPr>
          <w:p w14:paraId="50780A14" w14:textId="77777777" w:rsidR="00FA7EBF" w:rsidRPr="007939DD" w:rsidRDefault="00FA7EBF" w:rsidP="00D86186">
            <w:pPr>
              <w:pStyle w:val="ARfintablebodybold"/>
              <w:spacing w:before="20"/>
            </w:pPr>
            <w:r w:rsidRPr="00C77D4B">
              <w:t>Gains or losses recognised in other economic flows – other comprehensive income</w:t>
            </w:r>
          </w:p>
        </w:tc>
      </w:tr>
      <w:tr w:rsidR="00FA7EBF" w:rsidRPr="007939DD" w14:paraId="144E1DFA" w14:textId="77777777" w:rsidTr="007B207C">
        <w:trPr>
          <w:cantSplit/>
        </w:trPr>
        <w:tc>
          <w:tcPr>
            <w:tcW w:w="6975" w:type="dxa"/>
            <w:tcBorders>
              <w:top w:val="single" w:sz="4" w:space="0" w:color="A6A6A6"/>
            </w:tcBorders>
          </w:tcPr>
          <w:p w14:paraId="10CF6846" w14:textId="77777777" w:rsidR="00FA7EBF" w:rsidRPr="007939DD" w:rsidRDefault="00FA7EBF" w:rsidP="00D86186">
            <w:pPr>
              <w:pStyle w:val="ARfintablebody"/>
              <w:spacing w:before="20"/>
              <w:rPr>
                <w:lang w:eastAsia="en-AU"/>
              </w:rPr>
            </w:pPr>
            <w:r w:rsidRPr="00C77D4B">
              <w:t>Net revaluation increments/(decrements)</w:t>
            </w:r>
          </w:p>
        </w:tc>
        <w:tc>
          <w:tcPr>
            <w:tcW w:w="1134" w:type="dxa"/>
            <w:tcBorders>
              <w:top w:val="single" w:sz="4" w:space="0" w:color="A6A6A6"/>
            </w:tcBorders>
          </w:tcPr>
          <w:p w14:paraId="7FDFF575" w14:textId="77777777" w:rsidR="00FA7EBF" w:rsidRPr="007939DD" w:rsidRDefault="00FA7EBF" w:rsidP="00D86186">
            <w:pPr>
              <w:pStyle w:val="ARfintablebodyright"/>
              <w:spacing w:before="20"/>
            </w:pPr>
            <w:r w:rsidRPr="00C77D4B">
              <w:t>(1.8)</w:t>
            </w:r>
          </w:p>
        </w:tc>
        <w:tc>
          <w:tcPr>
            <w:tcW w:w="1134" w:type="dxa"/>
            <w:tcBorders>
              <w:top w:val="single" w:sz="4" w:space="0" w:color="A6A6A6"/>
            </w:tcBorders>
          </w:tcPr>
          <w:p w14:paraId="4DD873E7" w14:textId="77777777" w:rsidR="00FA7EBF" w:rsidRPr="007939DD" w:rsidRDefault="00FA7EBF" w:rsidP="00D86186">
            <w:pPr>
              <w:pStyle w:val="ARfintablebodyright"/>
              <w:spacing w:before="20"/>
            </w:pPr>
            <w:r w:rsidRPr="00C77D4B">
              <w:t>(56.2)</w:t>
            </w:r>
          </w:p>
        </w:tc>
        <w:tc>
          <w:tcPr>
            <w:tcW w:w="1134" w:type="dxa"/>
            <w:tcBorders>
              <w:top w:val="single" w:sz="4" w:space="0" w:color="A6A6A6"/>
            </w:tcBorders>
          </w:tcPr>
          <w:p w14:paraId="03E33C10" w14:textId="77777777" w:rsidR="00FA7EBF" w:rsidRPr="007939DD" w:rsidRDefault="00FA7EBF" w:rsidP="00D86186">
            <w:pPr>
              <w:pStyle w:val="ARfintablebodyright"/>
              <w:spacing w:before="20"/>
            </w:pPr>
            <w:r w:rsidRPr="00C77D4B">
              <w:t>–</w:t>
            </w:r>
          </w:p>
        </w:tc>
        <w:tc>
          <w:tcPr>
            <w:tcW w:w="1134" w:type="dxa"/>
            <w:tcBorders>
              <w:top w:val="single" w:sz="4" w:space="0" w:color="A6A6A6"/>
            </w:tcBorders>
          </w:tcPr>
          <w:p w14:paraId="3F83EECE" w14:textId="77777777" w:rsidR="00FA7EBF" w:rsidRPr="007939DD" w:rsidRDefault="00FA7EBF" w:rsidP="00D86186">
            <w:pPr>
              <w:pStyle w:val="ARfintablebodyright"/>
              <w:spacing w:before="20"/>
            </w:pPr>
            <w:r w:rsidRPr="00C77D4B">
              <w:t>261.7</w:t>
            </w:r>
          </w:p>
        </w:tc>
        <w:tc>
          <w:tcPr>
            <w:tcW w:w="1134" w:type="dxa"/>
            <w:tcBorders>
              <w:top w:val="single" w:sz="4" w:space="0" w:color="A6A6A6"/>
            </w:tcBorders>
          </w:tcPr>
          <w:p w14:paraId="436D2921" w14:textId="77777777" w:rsidR="00FA7EBF" w:rsidRPr="007939DD" w:rsidRDefault="00FA7EBF" w:rsidP="00D86186">
            <w:pPr>
              <w:pStyle w:val="ARfintablebodyright"/>
              <w:spacing w:before="20"/>
            </w:pPr>
            <w:r w:rsidRPr="00C77D4B">
              <w:t>–</w:t>
            </w:r>
          </w:p>
        </w:tc>
        <w:tc>
          <w:tcPr>
            <w:tcW w:w="907" w:type="dxa"/>
            <w:tcBorders>
              <w:top w:val="single" w:sz="4" w:space="0" w:color="A6A6A6"/>
            </w:tcBorders>
          </w:tcPr>
          <w:p w14:paraId="4DCFBE17" w14:textId="77777777" w:rsidR="00FA7EBF" w:rsidRPr="007939DD" w:rsidRDefault="00FA7EBF" w:rsidP="00D86186">
            <w:pPr>
              <w:pStyle w:val="ARfintablebodyright"/>
              <w:spacing w:before="20"/>
            </w:pPr>
            <w:r w:rsidRPr="00C77D4B">
              <w:t>–</w:t>
            </w:r>
          </w:p>
        </w:tc>
        <w:tc>
          <w:tcPr>
            <w:tcW w:w="907" w:type="dxa"/>
            <w:tcBorders>
              <w:top w:val="single" w:sz="4" w:space="0" w:color="A6A6A6"/>
            </w:tcBorders>
          </w:tcPr>
          <w:p w14:paraId="35BC4FCC" w14:textId="77777777" w:rsidR="00FA7EBF" w:rsidRPr="007939DD" w:rsidRDefault="00FA7EBF" w:rsidP="00D86186">
            <w:pPr>
              <w:pStyle w:val="ARfintablebodyright"/>
              <w:spacing w:before="20"/>
            </w:pPr>
            <w:r w:rsidRPr="00C77D4B">
              <w:t>203.7</w:t>
            </w:r>
          </w:p>
        </w:tc>
      </w:tr>
      <w:tr w:rsidR="00FA7EBF" w:rsidRPr="007939DD" w14:paraId="5EB95616" w14:textId="77777777" w:rsidTr="007B207C">
        <w:trPr>
          <w:cantSplit/>
        </w:trPr>
        <w:tc>
          <w:tcPr>
            <w:tcW w:w="6975" w:type="dxa"/>
          </w:tcPr>
          <w:p w14:paraId="13E0C3A2" w14:textId="77777777" w:rsidR="00FA7EBF" w:rsidRPr="007939DD" w:rsidRDefault="00FA7EBF" w:rsidP="00D86186">
            <w:pPr>
              <w:pStyle w:val="ARfintablebodybold"/>
              <w:spacing w:before="20"/>
              <w:rPr>
                <w:lang w:eastAsia="en-AU"/>
              </w:rPr>
            </w:pPr>
            <w:r w:rsidRPr="00C77D4B">
              <w:t>Subtotal of gains or losses recognised in other economic flows</w:t>
            </w:r>
          </w:p>
        </w:tc>
        <w:tc>
          <w:tcPr>
            <w:tcW w:w="1134" w:type="dxa"/>
          </w:tcPr>
          <w:p w14:paraId="30BDE017" w14:textId="77777777" w:rsidR="00FA7EBF" w:rsidRPr="007939DD" w:rsidRDefault="00FA7EBF" w:rsidP="00D86186">
            <w:pPr>
              <w:pStyle w:val="ARfintablebodyrightbold"/>
              <w:spacing w:before="20"/>
              <w:rPr>
                <w:rStyle w:val="Strong"/>
              </w:rPr>
            </w:pPr>
            <w:r w:rsidRPr="00C77D4B">
              <w:t>(1.8)</w:t>
            </w:r>
          </w:p>
        </w:tc>
        <w:tc>
          <w:tcPr>
            <w:tcW w:w="1134" w:type="dxa"/>
          </w:tcPr>
          <w:p w14:paraId="7F4A9BB5" w14:textId="77777777" w:rsidR="00FA7EBF" w:rsidRPr="007939DD" w:rsidRDefault="00FA7EBF" w:rsidP="00D86186">
            <w:pPr>
              <w:pStyle w:val="ARfintablebodyrightbold"/>
              <w:spacing w:before="20"/>
              <w:rPr>
                <w:rStyle w:val="Strong"/>
              </w:rPr>
            </w:pPr>
            <w:r w:rsidRPr="00C77D4B">
              <w:t>(56.2)</w:t>
            </w:r>
          </w:p>
        </w:tc>
        <w:tc>
          <w:tcPr>
            <w:tcW w:w="1134" w:type="dxa"/>
          </w:tcPr>
          <w:p w14:paraId="6C446849" w14:textId="77777777" w:rsidR="00FA7EBF" w:rsidRPr="007939DD" w:rsidRDefault="00FA7EBF" w:rsidP="00D86186">
            <w:pPr>
              <w:pStyle w:val="ARfintablebodyrightbold"/>
              <w:spacing w:before="20"/>
              <w:rPr>
                <w:rStyle w:val="Strong"/>
              </w:rPr>
            </w:pPr>
            <w:r w:rsidRPr="00C77D4B">
              <w:t>–</w:t>
            </w:r>
          </w:p>
        </w:tc>
        <w:tc>
          <w:tcPr>
            <w:tcW w:w="1134" w:type="dxa"/>
          </w:tcPr>
          <w:p w14:paraId="1761AA57" w14:textId="77777777" w:rsidR="00FA7EBF" w:rsidRPr="007939DD" w:rsidRDefault="00FA7EBF" w:rsidP="00D86186">
            <w:pPr>
              <w:pStyle w:val="ARfintablebodyrightbold"/>
              <w:spacing w:before="20"/>
              <w:rPr>
                <w:rStyle w:val="Strong"/>
              </w:rPr>
            </w:pPr>
            <w:r w:rsidRPr="00C77D4B">
              <w:t>261.7</w:t>
            </w:r>
          </w:p>
        </w:tc>
        <w:tc>
          <w:tcPr>
            <w:tcW w:w="1134" w:type="dxa"/>
          </w:tcPr>
          <w:p w14:paraId="18D07BC9" w14:textId="77777777" w:rsidR="00FA7EBF" w:rsidRPr="007939DD" w:rsidRDefault="00FA7EBF" w:rsidP="00D86186">
            <w:pPr>
              <w:pStyle w:val="ARfintablebodyrightbold"/>
              <w:spacing w:before="20"/>
              <w:rPr>
                <w:rStyle w:val="Strong"/>
              </w:rPr>
            </w:pPr>
            <w:r w:rsidRPr="00C77D4B">
              <w:t>–</w:t>
            </w:r>
          </w:p>
        </w:tc>
        <w:tc>
          <w:tcPr>
            <w:tcW w:w="907" w:type="dxa"/>
          </w:tcPr>
          <w:p w14:paraId="11299FFF" w14:textId="77777777" w:rsidR="00FA7EBF" w:rsidRPr="007939DD" w:rsidRDefault="00FA7EBF" w:rsidP="00D86186">
            <w:pPr>
              <w:pStyle w:val="ARfintablebodyrightbold"/>
              <w:spacing w:before="20"/>
              <w:rPr>
                <w:rStyle w:val="Strong"/>
              </w:rPr>
            </w:pPr>
            <w:r w:rsidRPr="00C77D4B">
              <w:t>–</w:t>
            </w:r>
          </w:p>
        </w:tc>
        <w:tc>
          <w:tcPr>
            <w:tcW w:w="907" w:type="dxa"/>
          </w:tcPr>
          <w:p w14:paraId="04EBA22D" w14:textId="77777777" w:rsidR="00FA7EBF" w:rsidRPr="007939DD" w:rsidRDefault="00FA7EBF" w:rsidP="00D86186">
            <w:pPr>
              <w:pStyle w:val="ARfintablebodyrightbold"/>
              <w:spacing w:before="20"/>
              <w:rPr>
                <w:rStyle w:val="Strong"/>
              </w:rPr>
            </w:pPr>
            <w:r w:rsidRPr="00C77D4B">
              <w:t>203.7</w:t>
            </w:r>
          </w:p>
        </w:tc>
      </w:tr>
      <w:tr w:rsidR="00FA7EBF" w:rsidRPr="007939DD" w14:paraId="1C1BE39E" w14:textId="77777777" w:rsidTr="007B207C">
        <w:trPr>
          <w:cantSplit/>
        </w:trPr>
        <w:tc>
          <w:tcPr>
            <w:tcW w:w="6975" w:type="dxa"/>
          </w:tcPr>
          <w:p w14:paraId="07287D9C" w14:textId="77777777" w:rsidR="00FA7EBF" w:rsidRPr="007939DD" w:rsidRDefault="00FA7EBF" w:rsidP="00D86186">
            <w:pPr>
              <w:pStyle w:val="ARfintablebodybold"/>
              <w:spacing w:before="20"/>
              <w:rPr>
                <w:lang w:eastAsia="en-AU"/>
              </w:rPr>
            </w:pPr>
            <w:r w:rsidRPr="00C77D4B">
              <w:t>Closing balance</w:t>
            </w:r>
          </w:p>
        </w:tc>
        <w:tc>
          <w:tcPr>
            <w:tcW w:w="1134" w:type="dxa"/>
          </w:tcPr>
          <w:p w14:paraId="37678790" w14:textId="77777777" w:rsidR="00FA7EBF" w:rsidRPr="007939DD" w:rsidRDefault="00FA7EBF" w:rsidP="00D86186">
            <w:pPr>
              <w:pStyle w:val="ARfintablebodyrightbold"/>
              <w:spacing w:before="20"/>
              <w:rPr>
                <w:rStyle w:val="Strong"/>
              </w:rPr>
            </w:pPr>
            <w:r w:rsidRPr="00C77D4B">
              <w:t>6.3</w:t>
            </w:r>
          </w:p>
        </w:tc>
        <w:tc>
          <w:tcPr>
            <w:tcW w:w="1134" w:type="dxa"/>
          </w:tcPr>
          <w:p w14:paraId="19C87A81" w14:textId="77777777" w:rsidR="00FA7EBF" w:rsidRPr="007939DD" w:rsidRDefault="00FA7EBF" w:rsidP="00D86186">
            <w:pPr>
              <w:pStyle w:val="ARfintablebodyrightbold"/>
              <w:spacing w:before="20"/>
              <w:rPr>
                <w:rStyle w:val="Strong"/>
              </w:rPr>
            </w:pPr>
            <w:r w:rsidRPr="00C77D4B">
              <w:t>496.0</w:t>
            </w:r>
          </w:p>
        </w:tc>
        <w:tc>
          <w:tcPr>
            <w:tcW w:w="1134" w:type="dxa"/>
          </w:tcPr>
          <w:p w14:paraId="3B105C83" w14:textId="77777777" w:rsidR="00FA7EBF" w:rsidRPr="007939DD" w:rsidRDefault="00FA7EBF" w:rsidP="00D86186">
            <w:pPr>
              <w:pStyle w:val="ARfintablebodyrightbold"/>
              <w:spacing w:before="20"/>
              <w:rPr>
                <w:rStyle w:val="Strong"/>
              </w:rPr>
            </w:pPr>
            <w:r w:rsidRPr="00C77D4B">
              <w:t>0.4</w:t>
            </w:r>
          </w:p>
        </w:tc>
        <w:tc>
          <w:tcPr>
            <w:tcW w:w="1134" w:type="dxa"/>
          </w:tcPr>
          <w:p w14:paraId="7DB9E986" w14:textId="77777777" w:rsidR="00FA7EBF" w:rsidRPr="007939DD" w:rsidRDefault="00FA7EBF" w:rsidP="00D86186">
            <w:pPr>
              <w:pStyle w:val="ARfintablebodyrightbold"/>
              <w:spacing w:before="20"/>
              <w:rPr>
                <w:rStyle w:val="Strong"/>
              </w:rPr>
            </w:pPr>
            <w:r w:rsidRPr="00C77D4B">
              <w:t>741.2</w:t>
            </w:r>
          </w:p>
        </w:tc>
        <w:tc>
          <w:tcPr>
            <w:tcW w:w="1134" w:type="dxa"/>
          </w:tcPr>
          <w:p w14:paraId="6040B503" w14:textId="77777777" w:rsidR="00FA7EBF" w:rsidRPr="007939DD" w:rsidRDefault="00FA7EBF" w:rsidP="00D86186">
            <w:pPr>
              <w:pStyle w:val="ARfintablebodyrightbold"/>
              <w:spacing w:before="20"/>
              <w:rPr>
                <w:rStyle w:val="Strong"/>
              </w:rPr>
            </w:pPr>
            <w:r w:rsidRPr="00C77D4B">
              <w:t>10.8</w:t>
            </w:r>
          </w:p>
        </w:tc>
        <w:tc>
          <w:tcPr>
            <w:tcW w:w="907" w:type="dxa"/>
          </w:tcPr>
          <w:p w14:paraId="2D6D0D55" w14:textId="77777777" w:rsidR="00FA7EBF" w:rsidRPr="007939DD" w:rsidRDefault="00FA7EBF" w:rsidP="00D86186">
            <w:pPr>
              <w:pStyle w:val="ARfintablebodyrightbold"/>
              <w:spacing w:before="20"/>
              <w:rPr>
                <w:rStyle w:val="Strong"/>
              </w:rPr>
            </w:pPr>
            <w:r w:rsidRPr="00C77D4B">
              <w:t>0.8</w:t>
            </w:r>
          </w:p>
        </w:tc>
        <w:tc>
          <w:tcPr>
            <w:tcW w:w="907" w:type="dxa"/>
          </w:tcPr>
          <w:p w14:paraId="4BA5362B" w14:textId="77777777" w:rsidR="00FA7EBF" w:rsidRPr="007939DD" w:rsidRDefault="00FA7EBF" w:rsidP="00D86186">
            <w:pPr>
              <w:pStyle w:val="ARfintablebodyrightbold"/>
              <w:spacing w:before="20"/>
              <w:rPr>
                <w:rStyle w:val="Strong"/>
              </w:rPr>
            </w:pPr>
            <w:r w:rsidRPr="00C77D4B">
              <w:t>1,255.6</w:t>
            </w:r>
          </w:p>
        </w:tc>
      </w:tr>
    </w:tbl>
    <w:p w14:paraId="74F7EFA0" w14:textId="77777777" w:rsidR="00FA7EBF" w:rsidRPr="007939DD" w:rsidRDefault="00FA7EBF" w:rsidP="00CA66FD">
      <w:pPr>
        <w:pStyle w:val="ARfintablebody"/>
        <w:spacing w:before="0" w:after="0"/>
      </w:pPr>
    </w:p>
    <w:tbl>
      <w:tblPr>
        <w:tblW w:w="1445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975"/>
        <w:gridCol w:w="1134"/>
        <w:gridCol w:w="1134"/>
        <w:gridCol w:w="1134"/>
        <w:gridCol w:w="1134"/>
        <w:gridCol w:w="1134"/>
        <w:gridCol w:w="907"/>
        <w:gridCol w:w="907"/>
      </w:tblGrid>
      <w:tr w:rsidR="00FA7EBF" w:rsidRPr="007939DD" w14:paraId="1D13DBB3" w14:textId="77777777" w:rsidTr="007B207C">
        <w:trPr>
          <w:cantSplit/>
          <w:tblHeader/>
        </w:trPr>
        <w:tc>
          <w:tcPr>
            <w:tcW w:w="6975" w:type="dxa"/>
            <w:vAlign w:val="bottom"/>
          </w:tcPr>
          <w:p w14:paraId="66B0B50C" w14:textId="77777777" w:rsidR="00FA7EBF" w:rsidRPr="007939DD" w:rsidRDefault="00FA7EBF" w:rsidP="00D86186">
            <w:pPr>
              <w:pStyle w:val="ARfintablecolhead"/>
              <w:spacing w:before="20" w:after="20"/>
            </w:pPr>
            <w:r w:rsidRPr="007939DD">
              <w:t>201</w:t>
            </w:r>
            <w:r>
              <w:t>8</w:t>
            </w:r>
          </w:p>
        </w:tc>
        <w:tc>
          <w:tcPr>
            <w:tcW w:w="1134" w:type="dxa"/>
            <w:vAlign w:val="bottom"/>
          </w:tcPr>
          <w:p w14:paraId="241E8B2A" w14:textId="77777777" w:rsidR="00FA7EBF" w:rsidRPr="007939DD" w:rsidRDefault="00FA7EBF" w:rsidP="00D86186">
            <w:pPr>
              <w:pStyle w:val="ARfintablecolheadright"/>
              <w:spacing w:before="20" w:after="20" w:line="240" w:lineRule="auto"/>
            </w:pPr>
            <w:r w:rsidRPr="007939DD">
              <w:t>Non-specialised land</w:t>
            </w:r>
          </w:p>
          <w:p w14:paraId="42CDA31F" w14:textId="77777777" w:rsidR="00FA7EBF" w:rsidRPr="007939DD" w:rsidRDefault="00FA7EBF" w:rsidP="00D86186">
            <w:pPr>
              <w:pStyle w:val="ARfintablecolheadright"/>
              <w:spacing w:before="20" w:after="20" w:line="240" w:lineRule="auto"/>
            </w:pPr>
            <w:r w:rsidRPr="007939DD">
              <w:t>$M</w:t>
            </w:r>
          </w:p>
        </w:tc>
        <w:tc>
          <w:tcPr>
            <w:tcW w:w="1134" w:type="dxa"/>
            <w:vAlign w:val="bottom"/>
          </w:tcPr>
          <w:p w14:paraId="65F7C66F" w14:textId="77777777" w:rsidR="00FA7EBF" w:rsidRPr="007939DD" w:rsidRDefault="00FA7EBF" w:rsidP="00D86186">
            <w:pPr>
              <w:pStyle w:val="ARfintablecolheadright"/>
              <w:spacing w:before="20" w:after="20" w:line="240" w:lineRule="auto"/>
            </w:pPr>
            <w:r w:rsidRPr="007939DD">
              <w:t>Specialised land</w:t>
            </w:r>
          </w:p>
          <w:p w14:paraId="6D8478EC" w14:textId="77777777" w:rsidR="00FA7EBF" w:rsidRPr="007939DD" w:rsidRDefault="00FA7EBF" w:rsidP="00D86186">
            <w:pPr>
              <w:pStyle w:val="ARfintablecolheadright"/>
              <w:spacing w:before="20" w:after="20" w:line="240" w:lineRule="auto"/>
            </w:pPr>
            <w:r w:rsidRPr="007939DD">
              <w:t>$M</w:t>
            </w:r>
          </w:p>
        </w:tc>
        <w:tc>
          <w:tcPr>
            <w:tcW w:w="1134" w:type="dxa"/>
            <w:vAlign w:val="bottom"/>
          </w:tcPr>
          <w:p w14:paraId="0E1FE575" w14:textId="77777777" w:rsidR="00FA7EBF" w:rsidRPr="007939DD" w:rsidRDefault="00FA7EBF" w:rsidP="00D86186">
            <w:pPr>
              <w:pStyle w:val="ARfintablecolheadright"/>
              <w:spacing w:before="20" w:after="20" w:line="240" w:lineRule="auto"/>
            </w:pPr>
            <w:r w:rsidRPr="007939DD">
              <w:t>Non-specialised buildings</w:t>
            </w:r>
          </w:p>
          <w:p w14:paraId="78B26662" w14:textId="77777777" w:rsidR="00FA7EBF" w:rsidRPr="007939DD" w:rsidRDefault="00FA7EBF" w:rsidP="00D86186">
            <w:pPr>
              <w:pStyle w:val="ARfintablecolheadright"/>
              <w:spacing w:before="20" w:after="20" w:line="240" w:lineRule="auto"/>
            </w:pPr>
            <w:r w:rsidRPr="007939DD">
              <w:t>$M</w:t>
            </w:r>
          </w:p>
        </w:tc>
        <w:tc>
          <w:tcPr>
            <w:tcW w:w="1134" w:type="dxa"/>
            <w:vAlign w:val="bottom"/>
          </w:tcPr>
          <w:p w14:paraId="6F0EB63C" w14:textId="77777777" w:rsidR="00FA7EBF" w:rsidRPr="007939DD" w:rsidRDefault="00FA7EBF" w:rsidP="00D86186">
            <w:pPr>
              <w:pStyle w:val="ARfintablecolheadright"/>
              <w:spacing w:before="20" w:after="20" w:line="240" w:lineRule="auto"/>
            </w:pPr>
            <w:r w:rsidRPr="007939DD">
              <w:t>Specialised buildings</w:t>
            </w:r>
          </w:p>
          <w:p w14:paraId="227206B9" w14:textId="77777777" w:rsidR="00FA7EBF" w:rsidRPr="007939DD" w:rsidRDefault="00FA7EBF" w:rsidP="00D86186">
            <w:pPr>
              <w:pStyle w:val="ARfintablecolheadright"/>
              <w:spacing w:before="20" w:after="20" w:line="240" w:lineRule="auto"/>
            </w:pPr>
            <w:r w:rsidRPr="007939DD">
              <w:t>$M</w:t>
            </w:r>
          </w:p>
        </w:tc>
        <w:tc>
          <w:tcPr>
            <w:tcW w:w="1134" w:type="dxa"/>
            <w:vAlign w:val="bottom"/>
          </w:tcPr>
          <w:p w14:paraId="0B78A27B" w14:textId="77777777" w:rsidR="00FA7EBF" w:rsidRPr="007939DD" w:rsidRDefault="00FA7EBF" w:rsidP="00D86186">
            <w:pPr>
              <w:pStyle w:val="ARfintablecolheadright"/>
              <w:spacing w:before="20" w:after="20" w:line="240" w:lineRule="auto"/>
            </w:pPr>
            <w:r w:rsidRPr="007939DD">
              <w:t>Plant and equipment</w:t>
            </w:r>
          </w:p>
          <w:p w14:paraId="2DFDEFCC" w14:textId="77777777" w:rsidR="00FA7EBF" w:rsidRPr="007939DD" w:rsidRDefault="00FA7EBF" w:rsidP="00D86186">
            <w:pPr>
              <w:pStyle w:val="ARfintablecolheadright"/>
              <w:spacing w:before="20" w:after="20" w:line="240" w:lineRule="auto"/>
            </w:pPr>
            <w:r w:rsidRPr="007939DD">
              <w:t>$M</w:t>
            </w:r>
          </w:p>
        </w:tc>
        <w:tc>
          <w:tcPr>
            <w:tcW w:w="907" w:type="dxa"/>
            <w:vAlign w:val="bottom"/>
          </w:tcPr>
          <w:p w14:paraId="01E537E9" w14:textId="77777777" w:rsidR="00FA7EBF" w:rsidRPr="007939DD" w:rsidRDefault="00FA7EBF" w:rsidP="00D86186">
            <w:pPr>
              <w:pStyle w:val="ARfintablecolheadright"/>
              <w:spacing w:before="20" w:after="20" w:line="240" w:lineRule="auto"/>
            </w:pPr>
            <w:r w:rsidRPr="007939DD">
              <w:t>Motor vehicles</w:t>
            </w:r>
          </w:p>
          <w:p w14:paraId="519E8E1B" w14:textId="77777777" w:rsidR="00FA7EBF" w:rsidRPr="007939DD" w:rsidRDefault="00FA7EBF" w:rsidP="00D86186">
            <w:pPr>
              <w:pStyle w:val="ARfintablecolheadright"/>
              <w:spacing w:before="20" w:after="20" w:line="240" w:lineRule="auto"/>
            </w:pPr>
            <w:r w:rsidRPr="007939DD">
              <w:t>$M</w:t>
            </w:r>
          </w:p>
        </w:tc>
        <w:tc>
          <w:tcPr>
            <w:tcW w:w="907" w:type="dxa"/>
            <w:vAlign w:val="bottom"/>
          </w:tcPr>
          <w:p w14:paraId="4ABE7EF2" w14:textId="77777777" w:rsidR="00FA7EBF" w:rsidRPr="007939DD" w:rsidRDefault="00FA7EBF" w:rsidP="00D86186">
            <w:pPr>
              <w:pStyle w:val="ARfintablecolheadright"/>
              <w:spacing w:before="20" w:after="20" w:line="240" w:lineRule="auto"/>
            </w:pPr>
            <w:r w:rsidRPr="007939DD">
              <w:t>Total</w:t>
            </w:r>
          </w:p>
          <w:p w14:paraId="0918F24B" w14:textId="77777777" w:rsidR="00FA7EBF" w:rsidRPr="007939DD" w:rsidRDefault="00FA7EBF" w:rsidP="00D86186">
            <w:pPr>
              <w:pStyle w:val="ARfintablecolheadright"/>
              <w:spacing w:before="20" w:after="20" w:line="240" w:lineRule="auto"/>
            </w:pPr>
            <w:r w:rsidRPr="007939DD">
              <w:t>$M</w:t>
            </w:r>
          </w:p>
        </w:tc>
      </w:tr>
      <w:tr w:rsidR="00FA7EBF" w:rsidRPr="007939DD" w14:paraId="1E8D3B10" w14:textId="77777777" w:rsidTr="007B207C">
        <w:trPr>
          <w:cantSplit/>
        </w:trPr>
        <w:tc>
          <w:tcPr>
            <w:tcW w:w="6975" w:type="dxa"/>
            <w:tcBorders>
              <w:bottom w:val="single" w:sz="4" w:space="0" w:color="A6A6A6" w:themeColor="background1" w:themeShade="A6"/>
            </w:tcBorders>
          </w:tcPr>
          <w:p w14:paraId="1DE01B33" w14:textId="77777777" w:rsidR="00FA7EBF" w:rsidRPr="007939DD" w:rsidRDefault="00FA7EBF" w:rsidP="00D86186">
            <w:pPr>
              <w:pStyle w:val="ARfintablebodybold"/>
              <w:spacing w:before="20"/>
              <w:rPr>
                <w:lang w:eastAsia="en-AU"/>
              </w:rPr>
            </w:pPr>
            <w:r w:rsidRPr="00B01A57">
              <w:t>Opening balance</w:t>
            </w:r>
          </w:p>
        </w:tc>
        <w:tc>
          <w:tcPr>
            <w:tcW w:w="1134" w:type="dxa"/>
            <w:tcBorders>
              <w:bottom w:val="single" w:sz="4" w:space="0" w:color="A6A6A6" w:themeColor="background1" w:themeShade="A6"/>
            </w:tcBorders>
          </w:tcPr>
          <w:p w14:paraId="39803DB5" w14:textId="77777777" w:rsidR="00FA7EBF" w:rsidRPr="007939DD" w:rsidRDefault="00FA7EBF" w:rsidP="00D86186">
            <w:pPr>
              <w:pStyle w:val="ARfintablebodyrightbold"/>
              <w:spacing w:before="20"/>
              <w:rPr>
                <w:lang w:eastAsia="en-AU"/>
              </w:rPr>
            </w:pPr>
            <w:r w:rsidRPr="00B01A57">
              <w:t>5.0</w:t>
            </w:r>
          </w:p>
        </w:tc>
        <w:tc>
          <w:tcPr>
            <w:tcW w:w="1134" w:type="dxa"/>
            <w:tcBorders>
              <w:bottom w:val="single" w:sz="4" w:space="0" w:color="A6A6A6" w:themeColor="background1" w:themeShade="A6"/>
            </w:tcBorders>
          </w:tcPr>
          <w:p w14:paraId="07CC1BDA" w14:textId="77777777" w:rsidR="00FA7EBF" w:rsidRPr="007939DD" w:rsidRDefault="00FA7EBF" w:rsidP="00D86186">
            <w:pPr>
              <w:pStyle w:val="ARfintablebodyrightbold"/>
              <w:spacing w:before="20"/>
              <w:rPr>
                <w:lang w:eastAsia="en-AU"/>
              </w:rPr>
            </w:pPr>
            <w:r w:rsidRPr="00B01A57">
              <w:t>419.9</w:t>
            </w:r>
          </w:p>
        </w:tc>
        <w:tc>
          <w:tcPr>
            <w:tcW w:w="1134" w:type="dxa"/>
            <w:tcBorders>
              <w:bottom w:val="single" w:sz="4" w:space="0" w:color="A6A6A6" w:themeColor="background1" w:themeShade="A6"/>
            </w:tcBorders>
          </w:tcPr>
          <w:p w14:paraId="3C553E88" w14:textId="77777777" w:rsidR="00FA7EBF" w:rsidRPr="007939DD" w:rsidRDefault="00FA7EBF" w:rsidP="00D86186">
            <w:pPr>
              <w:pStyle w:val="ARfintablebodyrightbold"/>
              <w:spacing w:before="20"/>
              <w:rPr>
                <w:lang w:eastAsia="en-AU"/>
              </w:rPr>
            </w:pPr>
            <w:r w:rsidRPr="00B01A57">
              <w:t>0.4</w:t>
            </w:r>
          </w:p>
        </w:tc>
        <w:tc>
          <w:tcPr>
            <w:tcW w:w="1134" w:type="dxa"/>
            <w:tcBorders>
              <w:bottom w:val="single" w:sz="4" w:space="0" w:color="A6A6A6" w:themeColor="background1" w:themeShade="A6"/>
            </w:tcBorders>
          </w:tcPr>
          <w:p w14:paraId="2D4CB40F" w14:textId="77777777" w:rsidR="00FA7EBF" w:rsidRPr="007939DD" w:rsidRDefault="00FA7EBF" w:rsidP="00D86186">
            <w:pPr>
              <w:pStyle w:val="ARfintablebodyrightbold"/>
              <w:spacing w:before="20"/>
              <w:rPr>
                <w:lang w:eastAsia="en-AU"/>
              </w:rPr>
            </w:pPr>
            <w:r w:rsidRPr="00B01A57">
              <w:t>427.0</w:t>
            </w:r>
          </w:p>
        </w:tc>
        <w:tc>
          <w:tcPr>
            <w:tcW w:w="1134" w:type="dxa"/>
            <w:tcBorders>
              <w:bottom w:val="single" w:sz="4" w:space="0" w:color="A6A6A6" w:themeColor="background1" w:themeShade="A6"/>
            </w:tcBorders>
          </w:tcPr>
          <w:p w14:paraId="72A47651" w14:textId="77777777" w:rsidR="00FA7EBF" w:rsidRPr="007939DD" w:rsidRDefault="00FA7EBF" w:rsidP="00D86186">
            <w:pPr>
              <w:pStyle w:val="ARfintablebodyrightbold"/>
              <w:spacing w:before="20"/>
              <w:rPr>
                <w:lang w:eastAsia="en-AU"/>
              </w:rPr>
            </w:pPr>
            <w:r w:rsidRPr="00B01A57">
              <w:t>13.1</w:t>
            </w:r>
          </w:p>
        </w:tc>
        <w:tc>
          <w:tcPr>
            <w:tcW w:w="907" w:type="dxa"/>
            <w:tcBorders>
              <w:bottom w:val="single" w:sz="4" w:space="0" w:color="A6A6A6" w:themeColor="background1" w:themeShade="A6"/>
            </w:tcBorders>
          </w:tcPr>
          <w:p w14:paraId="2A5BFD95" w14:textId="77777777" w:rsidR="00FA7EBF" w:rsidRPr="007939DD" w:rsidRDefault="00FA7EBF" w:rsidP="00D86186">
            <w:pPr>
              <w:pStyle w:val="ARfintablebodyrightbold"/>
              <w:spacing w:before="20"/>
              <w:rPr>
                <w:lang w:eastAsia="en-AU"/>
              </w:rPr>
            </w:pPr>
            <w:r w:rsidRPr="00B01A57">
              <w:t>1.3</w:t>
            </w:r>
          </w:p>
        </w:tc>
        <w:tc>
          <w:tcPr>
            <w:tcW w:w="907" w:type="dxa"/>
            <w:tcBorders>
              <w:bottom w:val="single" w:sz="4" w:space="0" w:color="A6A6A6" w:themeColor="background1" w:themeShade="A6"/>
            </w:tcBorders>
          </w:tcPr>
          <w:p w14:paraId="261C1638" w14:textId="77777777" w:rsidR="00FA7EBF" w:rsidRPr="007939DD" w:rsidRDefault="00FA7EBF" w:rsidP="00D86186">
            <w:pPr>
              <w:pStyle w:val="ARfintablebodyrightbold"/>
              <w:spacing w:before="20"/>
              <w:rPr>
                <w:rStyle w:val="Strong"/>
              </w:rPr>
            </w:pPr>
            <w:r w:rsidRPr="00B01A57">
              <w:t>866.7</w:t>
            </w:r>
          </w:p>
        </w:tc>
      </w:tr>
      <w:tr w:rsidR="00FA7EBF" w:rsidRPr="007939DD" w14:paraId="41E1514B" w14:textId="77777777" w:rsidTr="007B207C">
        <w:trPr>
          <w:cantSplit/>
        </w:trPr>
        <w:tc>
          <w:tcPr>
            <w:tcW w:w="6975" w:type="dxa"/>
            <w:tcBorders>
              <w:top w:val="single" w:sz="4" w:space="0" w:color="A6A6A6" w:themeColor="background1" w:themeShade="A6"/>
              <w:bottom w:val="single" w:sz="4" w:space="0" w:color="A6A6A6" w:themeColor="background1" w:themeShade="A6"/>
            </w:tcBorders>
          </w:tcPr>
          <w:p w14:paraId="2B1F8AB0" w14:textId="77777777" w:rsidR="00FA7EBF" w:rsidRPr="007939DD" w:rsidRDefault="00FA7EBF" w:rsidP="00D86186">
            <w:pPr>
              <w:pStyle w:val="ARfintablebody"/>
              <w:spacing w:before="20"/>
              <w:rPr>
                <w:lang w:eastAsia="en-AU"/>
              </w:rPr>
            </w:pPr>
            <w:r w:rsidRPr="00B01A57">
              <w:t>Machinery of government transfer in/(out)</w:t>
            </w:r>
          </w:p>
        </w:tc>
        <w:tc>
          <w:tcPr>
            <w:tcW w:w="1134" w:type="dxa"/>
            <w:tcBorders>
              <w:top w:val="single" w:sz="4" w:space="0" w:color="A6A6A6" w:themeColor="background1" w:themeShade="A6"/>
              <w:bottom w:val="single" w:sz="4" w:space="0" w:color="A6A6A6" w:themeColor="background1" w:themeShade="A6"/>
            </w:tcBorders>
          </w:tcPr>
          <w:p w14:paraId="74184C6A"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hemeColor="background1" w:themeShade="A6"/>
              <w:bottom w:val="single" w:sz="4" w:space="0" w:color="A6A6A6" w:themeColor="background1" w:themeShade="A6"/>
            </w:tcBorders>
          </w:tcPr>
          <w:p w14:paraId="63386D7A"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hemeColor="background1" w:themeShade="A6"/>
              <w:bottom w:val="single" w:sz="4" w:space="0" w:color="A6A6A6" w:themeColor="background1" w:themeShade="A6"/>
            </w:tcBorders>
          </w:tcPr>
          <w:p w14:paraId="06CCBB9D"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hemeColor="background1" w:themeShade="A6"/>
              <w:bottom w:val="single" w:sz="4" w:space="0" w:color="A6A6A6" w:themeColor="background1" w:themeShade="A6"/>
            </w:tcBorders>
          </w:tcPr>
          <w:p w14:paraId="774624CA"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hemeColor="background1" w:themeShade="A6"/>
              <w:bottom w:val="single" w:sz="4" w:space="0" w:color="A6A6A6" w:themeColor="background1" w:themeShade="A6"/>
            </w:tcBorders>
          </w:tcPr>
          <w:p w14:paraId="58FE4068" w14:textId="77777777" w:rsidR="00FA7EBF" w:rsidRPr="007939DD" w:rsidRDefault="00FA7EBF" w:rsidP="00D86186">
            <w:pPr>
              <w:pStyle w:val="ARfintablebodyright"/>
              <w:spacing w:before="20"/>
              <w:rPr>
                <w:lang w:eastAsia="en-AU"/>
              </w:rPr>
            </w:pPr>
            <w:r w:rsidRPr="00B01A57">
              <w:t>–</w:t>
            </w:r>
          </w:p>
        </w:tc>
        <w:tc>
          <w:tcPr>
            <w:tcW w:w="907" w:type="dxa"/>
            <w:tcBorders>
              <w:top w:val="single" w:sz="4" w:space="0" w:color="A6A6A6" w:themeColor="background1" w:themeShade="A6"/>
              <w:bottom w:val="single" w:sz="4" w:space="0" w:color="A6A6A6" w:themeColor="background1" w:themeShade="A6"/>
            </w:tcBorders>
          </w:tcPr>
          <w:p w14:paraId="2CF9CCB2" w14:textId="77777777" w:rsidR="00FA7EBF" w:rsidRPr="007939DD" w:rsidRDefault="00FA7EBF" w:rsidP="00D86186">
            <w:pPr>
              <w:pStyle w:val="ARfintablebodyright"/>
              <w:spacing w:before="20"/>
              <w:rPr>
                <w:lang w:eastAsia="en-AU"/>
              </w:rPr>
            </w:pPr>
            <w:r w:rsidRPr="00B01A57">
              <w:t>–</w:t>
            </w:r>
          </w:p>
        </w:tc>
        <w:tc>
          <w:tcPr>
            <w:tcW w:w="907" w:type="dxa"/>
            <w:tcBorders>
              <w:top w:val="single" w:sz="4" w:space="0" w:color="A6A6A6" w:themeColor="background1" w:themeShade="A6"/>
              <w:bottom w:val="single" w:sz="4" w:space="0" w:color="A6A6A6" w:themeColor="background1" w:themeShade="A6"/>
            </w:tcBorders>
          </w:tcPr>
          <w:p w14:paraId="062E8642" w14:textId="77777777" w:rsidR="00FA7EBF" w:rsidRPr="007939DD" w:rsidRDefault="00FA7EBF" w:rsidP="00D86186">
            <w:pPr>
              <w:pStyle w:val="ARfintablebodyright"/>
              <w:spacing w:before="20"/>
              <w:rPr>
                <w:lang w:eastAsia="en-AU"/>
              </w:rPr>
            </w:pPr>
            <w:r w:rsidRPr="00B01A57">
              <w:t>0.1</w:t>
            </w:r>
          </w:p>
        </w:tc>
      </w:tr>
      <w:tr w:rsidR="00FA7EBF" w:rsidRPr="007939DD" w14:paraId="215F61DE" w14:textId="77777777" w:rsidTr="007B207C">
        <w:trPr>
          <w:cantSplit/>
        </w:trPr>
        <w:tc>
          <w:tcPr>
            <w:tcW w:w="6975" w:type="dxa"/>
            <w:tcBorders>
              <w:top w:val="single" w:sz="4" w:space="0" w:color="A6A6A6" w:themeColor="background1" w:themeShade="A6"/>
              <w:bottom w:val="single" w:sz="4" w:space="0" w:color="A6A6A6" w:themeColor="background1" w:themeShade="A6"/>
            </w:tcBorders>
          </w:tcPr>
          <w:p w14:paraId="7BF87060" w14:textId="77777777" w:rsidR="00FA7EBF" w:rsidRPr="007939DD" w:rsidRDefault="00FA7EBF" w:rsidP="00D86186">
            <w:pPr>
              <w:pStyle w:val="ARfintablebody"/>
              <w:spacing w:before="20"/>
              <w:rPr>
                <w:lang w:eastAsia="en-AU"/>
              </w:rPr>
            </w:pPr>
            <w:r w:rsidRPr="00B01A57">
              <w:t>Additions</w:t>
            </w:r>
          </w:p>
        </w:tc>
        <w:tc>
          <w:tcPr>
            <w:tcW w:w="1134" w:type="dxa"/>
            <w:tcBorders>
              <w:top w:val="single" w:sz="4" w:space="0" w:color="A6A6A6" w:themeColor="background1" w:themeShade="A6"/>
              <w:bottom w:val="single" w:sz="4" w:space="0" w:color="A6A6A6" w:themeColor="background1" w:themeShade="A6"/>
            </w:tcBorders>
          </w:tcPr>
          <w:p w14:paraId="04FC13AE"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hemeColor="background1" w:themeShade="A6"/>
              <w:bottom w:val="single" w:sz="4" w:space="0" w:color="A6A6A6" w:themeColor="background1" w:themeShade="A6"/>
            </w:tcBorders>
          </w:tcPr>
          <w:p w14:paraId="558BB6FA"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hemeColor="background1" w:themeShade="A6"/>
              <w:bottom w:val="single" w:sz="4" w:space="0" w:color="A6A6A6" w:themeColor="background1" w:themeShade="A6"/>
            </w:tcBorders>
          </w:tcPr>
          <w:p w14:paraId="6BF77A92"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hemeColor="background1" w:themeShade="A6"/>
              <w:bottom w:val="single" w:sz="4" w:space="0" w:color="A6A6A6" w:themeColor="background1" w:themeShade="A6"/>
            </w:tcBorders>
          </w:tcPr>
          <w:p w14:paraId="10262682" w14:textId="77777777" w:rsidR="00FA7EBF" w:rsidRPr="007939DD" w:rsidRDefault="00FA7EBF" w:rsidP="00D86186">
            <w:pPr>
              <w:pStyle w:val="ARfintablebodyright"/>
              <w:spacing w:before="20"/>
              <w:rPr>
                <w:lang w:eastAsia="en-AU"/>
              </w:rPr>
            </w:pPr>
            <w:r w:rsidRPr="00B01A57">
              <w:t>0.6</w:t>
            </w:r>
          </w:p>
        </w:tc>
        <w:tc>
          <w:tcPr>
            <w:tcW w:w="1134" w:type="dxa"/>
            <w:tcBorders>
              <w:top w:val="single" w:sz="4" w:space="0" w:color="A6A6A6" w:themeColor="background1" w:themeShade="A6"/>
              <w:bottom w:val="single" w:sz="4" w:space="0" w:color="A6A6A6" w:themeColor="background1" w:themeShade="A6"/>
            </w:tcBorders>
          </w:tcPr>
          <w:p w14:paraId="229FF942" w14:textId="77777777" w:rsidR="00FA7EBF" w:rsidRPr="007939DD" w:rsidRDefault="00FA7EBF" w:rsidP="00D86186">
            <w:pPr>
              <w:pStyle w:val="ARfintablebodyright"/>
              <w:spacing w:before="20"/>
              <w:rPr>
                <w:lang w:eastAsia="en-AU"/>
              </w:rPr>
            </w:pPr>
            <w:r w:rsidRPr="00B01A57">
              <w:t>–</w:t>
            </w:r>
          </w:p>
        </w:tc>
        <w:tc>
          <w:tcPr>
            <w:tcW w:w="907" w:type="dxa"/>
            <w:tcBorders>
              <w:top w:val="single" w:sz="4" w:space="0" w:color="A6A6A6" w:themeColor="background1" w:themeShade="A6"/>
              <w:bottom w:val="single" w:sz="4" w:space="0" w:color="A6A6A6" w:themeColor="background1" w:themeShade="A6"/>
            </w:tcBorders>
          </w:tcPr>
          <w:p w14:paraId="6E2A1D02" w14:textId="77777777" w:rsidR="00FA7EBF" w:rsidRPr="007939DD" w:rsidRDefault="00FA7EBF" w:rsidP="00D86186">
            <w:pPr>
              <w:pStyle w:val="ARfintablebodyright"/>
              <w:spacing w:before="20"/>
              <w:rPr>
                <w:lang w:eastAsia="en-AU"/>
              </w:rPr>
            </w:pPr>
            <w:r w:rsidRPr="00B01A57">
              <w:t>0.4</w:t>
            </w:r>
          </w:p>
        </w:tc>
        <w:tc>
          <w:tcPr>
            <w:tcW w:w="907" w:type="dxa"/>
            <w:tcBorders>
              <w:top w:val="single" w:sz="4" w:space="0" w:color="A6A6A6" w:themeColor="background1" w:themeShade="A6"/>
              <w:bottom w:val="single" w:sz="4" w:space="0" w:color="A6A6A6" w:themeColor="background1" w:themeShade="A6"/>
            </w:tcBorders>
          </w:tcPr>
          <w:p w14:paraId="60A7D33B" w14:textId="77777777" w:rsidR="00FA7EBF" w:rsidRPr="007939DD" w:rsidRDefault="00FA7EBF" w:rsidP="00D86186">
            <w:pPr>
              <w:pStyle w:val="ARfintablebodyright"/>
              <w:spacing w:before="20"/>
              <w:rPr>
                <w:lang w:eastAsia="en-AU"/>
              </w:rPr>
            </w:pPr>
            <w:r w:rsidRPr="00B01A57">
              <w:t>1.0</w:t>
            </w:r>
          </w:p>
        </w:tc>
      </w:tr>
      <w:tr w:rsidR="00FA7EBF" w:rsidRPr="007939DD" w14:paraId="197E3BB6" w14:textId="77777777" w:rsidTr="007B207C">
        <w:trPr>
          <w:cantSplit/>
        </w:trPr>
        <w:tc>
          <w:tcPr>
            <w:tcW w:w="6975" w:type="dxa"/>
            <w:tcBorders>
              <w:top w:val="single" w:sz="4" w:space="0" w:color="A6A6A6" w:themeColor="background1" w:themeShade="A6"/>
              <w:bottom w:val="single" w:sz="4" w:space="0" w:color="A6A6A6" w:themeColor="background1" w:themeShade="A6"/>
            </w:tcBorders>
          </w:tcPr>
          <w:p w14:paraId="633A368C" w14:textId="77777777" w:rsidR="00FA7EBF" w:rsidRPr="007939DD" w:rsidRDefault="00FA7EBF" w:rsidP="00D86186">
            <w:pPr>
              <w:pStyle w:val="ARfintablebody"/>
              <w:spacing w:before="20"/>
              <w:rPr>
                <w:lang w:eastAsia="en-AU"/>
              </w:rPr>
            </w:pPr>
            <w:r w:rsidRPr="00B01A57">
              <w:t>Capitalisation of work in progress</w:t>
            </w:r>
          </w:p>
        </w:tc>
        <w:tc>
          <w:tcPr>
            <w:tcW w:w="1134" w:type="dxa"/>
            <w:tcBorders>
              <w:top w:val="single" w:sz="4" w:space="0" w:color="A6A6A6" w:themeColor="background1" w:themeShade="A6"/>
              <w:bottom w:val="single" w:sz="4" w:space="0" w:color="A6A6A6" w:themeColor="background1" w:themeShade="A6"/>
            </w:tcBorders>
          </w:tcPr>
          <w:p w14:paraId="4B4B7BD7"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hemeColor="background1" w:themeShade="A6"/>
              <w:bottom w:val="single" w:sz="4" w:space="0" w:color="A6A6A6" w:themeColor="background1" w:themeShade="A6"/>
            </w:tcBorders>
          </w:tcPr>
          <w:p w14:paraId="29DABEEC"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hemeColor="background1" w:themeShade="A6"/>
              <w:bottom w:val="single" w:sz="4" w:space="0" w:color="A6A6A6" w:themeColor="background1" w:themeShade="A6"/>
            </w:tcBorders>
          </w:tcPr>
          <w:p w14:paraId="47DB3914"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hemeColor="background1" w:themeShade="A6"/>
              <w:bottom w:val="single" w:sz="4" w:space="0" w:color="A6A6A6" w:themeColor="background1" w:themeShade="A6"/>
            </w:tcBorders>
          </w:tcPr>
          <w:p w14:paraId="402989D6" w14:textId="77777777" w:rsidR="00FA7EBF" w:rsidRPr="007939DD" w:rsidRDefault="00FA7EBF" w:rsidP="00D86186">
            <w:pPr>
              <w:pStyle w:val="ARfintablebodyright"/>
              <w:spacing w:before="20"/>
              <w:rPr>
                <w:lang w:eastAsia="en-AU"/>
              </w:rPr>
            </w:pPr>
            <w:r w:rsidRPr="00B01A57">
              <w:t>100.8</w:t>
            </w:r>
          </w:p>
        </w:tc>
        <w:tc>
          <w:tcPr>
            <w:tcW w:w="1134" w:type="dxa"/>
            <w:tcBorders>
              <w:top w:val="single" w:sz="4" w:space="0" w:color="A6A6A6" w:themeColor="background1" w:themeShade="A6"/>
              <w:bottom w:val="single" w:sz="4" w:space="0" w:color="A6A6A6" w:themeColor="background1" w:themeShade="A6"/>
            </w:tcBorders>
          </w:tcPr>
          <w:p w14:paraId="14999ADB" w14:textId="77777777" w:rsidR="00FA7EBF" w:rsidRPr="007939DD" w:rsidRDefault="00FA7EBF" w:rsidP="00D86186">
            <w:pPr>
              <w:pStyle w:val="ARfintablebodyright"/>
              <w:spacing w:before="20"/>
              <w:rPr>
                <w:lang w:eastAsia="en-AU"/>
              </w:rPr>
            </w:pPr>
            <w:r w:rsidRPr="00B01A57">
              <w:t>6.1</w:t>
            </w:r>
          </w:p>
        </w:tc>
        <w:tc>
          <w:tcPr>
            <w:tcW w:w="907" w:type="dxa"/>
            <w:tcBorders>
              <w:top w:val="single" w:sz="4" w:space="0" w:color="A6A6A6" w:themeColor="background1" w:themeShade="A6"/>
              <w:bottom w:val="single" w:sz="4" w:space="0" w:color="A6A6A6" w:themeColor="background1" w:themeShade="A6"/>
            </w:tcBorders>
          </w:tcPr>
          <w:p w14:paraId="63D67B4E" w14:textId="77777777" w:rsidR="00FA7EBF" w:rsidRPr="007939DD" w:rsidRDefault="00FA7EBF" w:rsidP="00D86186">
            <w:pPr>
              <w:pStyle w:val="ARfintablebodyright"/>
              <w:spacing w:before="20"/>
              <w:rPr>
                <w:lang w:eastAsia="en-AU"/>
              </w:rPr>
            </w:pPr>
            <w:r w:rsidRPr="00B01A57">
              <w:t>–</w:t>
            </w:r>
          </w:p>
        </w:tc>
        <w:tc>
          <w:tcPr>
            <w:tcW w:w="907" w:type="dxa"/>
            <w:tcBorders>
              <w:top w:val="single" w:sz="4" w:space="0" w:color="A6A6A6" w:themeColor="background1" w:themeShade="A6"/>
              <w:bottom w:val="single" w:sz="4" w:space="0" w:color="A6A6A6" w:themeColor="background1" w:themeShade="A6"/>
            </w:tcBorders>
          </w:tcPr>
          <w:p w14:paraId="36453E92" w14:textId="77777777" w:rsidR="00FA7EBF" w:rsidRPr="007939DD" w:rsidRDefault="00FA7EBF" w:rsidP="00D86186">
            <w:pPr>
              <w:pStyle w:val="ARfintablebodyright"/>
              <w:spacing w:before="20"/>
              <w:rPr>
                <w:lang w:eastAsia="en-AU"/>
              </w:rPr>
            </w:pPr>
            <w:r w:rsidRPr="00B01A57">
              <w:t>106.9</w:t>
            </w:r>
          </w:p>
        </w:tc>
      </w:tr>
      <w:tr w:rsidR="00FA7EBF" w:rsidRPr="007939DD" w14:paraId="78767DBC" w14:textId="77777777" w:rsidTr="007B207C">
        <w:trPr>
          <w:cantSplit/>
        </w:trPr>
        <w:tc>
          <w:tcPr>
            <w:tcW w:w="6975" w:type="dxa"/>
            <w:tcBorders>
              <w:top w:val="single" w:sz="4" w:space="0" w:color="A6A6A6" w:themeColor="background1" w:themeShade="A6"/>
              <w:bottom w:val="single" w:sz="4" w:space="0" w:color="A6A6A6" w:themeColor="background1" w:themeShade="A6"/>
            </w:tcBorders>
          </w:tcPr>
          <w:p w14:paraId="1AC57256" w14:textId="77777777" w:rsidR="00FA7EBF" w:rsidRPr="007939DD" w:rsidRDefault="00FA7EBF" w:rsidP="00D86186">
            <w:pPr>
              <w:pStyle w:val="ARfintablebody"/>
              <w:spacing w:before="20"/>
              <w:rPr>
                <w:lang w:eastAsia="en-AU"/>
              </w:rPr>
            </w:pPr>
            <w:r w:rsidRPr="00B01A57">
              <w:t>Disposals</w:t>
            </w:r>
          </w:p>
        </w:tc>
        <w:tc>
          <w:tcPr>
            <w:tcW w:w="1134" w:type="dxa"/>
            <w:tcBorders>
              <w:top w:val="single" w:sz="4" w:space="0" w:color="A6A6A6" w:themeColor="background1" w:themeShade="A6"/>
              <w:bottom w:val="single" w:sz="4" w:space="0" w:color="A6A6A6" w:themeColor="background1" w:themeShade="A6"/>
            </w:tcBorders>
          </w:tcPr>
          <w:p w14:paraId="23C01015"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hemeColor="background1" w:themeShade="A6"/>
              <w:bottom w:val="single" w:sz="4" w:space="0" w:color="A6A6A6" w:themeColor="background1" w:themeShade="A6"/>
            </w:tcBorders>
          </w:tcPr>
          <w:p w14:paraId="1A35AA02"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hemeColor="background1" w:themeShade="A6"/>
              <w:bottom w:val="single" w:sz="4" w:space="0" w:color="A6A6A6" w:themeColor="background1" w:themeShade="A6"/>
            </w:tcBorders>
          </w:tcPr>
          <w:p w14:paraId="17C7C0EE"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hemeColor="background1" w:themeShade="A6"/>
              <w:bottom w:val="single" w:sz="4" w:space="0" w:color="A6A6A6" w:themeColor="background1" w:themeShade="A6"/>
            </w:tcBorders>
          </w:tcPr>
          <w:p w14:paraId="654138C2"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hemeColor="background1" w:themeShade="A6"/>
              <w:bottom w:val="single" w:sz="4" w:space="0" w:color="A6A6A6" w:themeColor="background1" w:themeShade="A6"/>
            </w:tcBorders>
          </w:tcPr>
          <w:p w14:paraId="122B6390" w14:textId="77777777" w:rsidR="00FA7EBF" w:rsidRPr="007939DD" w:rsidRDefault="00FA7EBF" w:rsidP="00D86186">
            <w:pPr>
              <w:pStyle w:val="ARfintablebodyright"/>
              <w:spacing w:before="20"/>
              <w:rPr>
                <w:lang w:eastAsia="en-AU"/>
              </w:rPr>
            </w:pPr>
            <w:r w:rsidRPr="00B01A57">
              <w:t>(0.2)</w:t>
            </w:r>
          </w:p>
        </w:tc>
        <w:tc>
          <w:tcPr>
            <w:tcW w:w="907" w:type="dxa"/>
            <w:tcBorders>
              <w:top w:val="single" w:sz="4" w:space="0" w:color="A6A6A6" w:themeColor="background1" w:themeShade="A6"/>
              <w:bottom w:val="single" w:sz="4" w:space="0" w:color="A6A6A6" w:themeColor="background1" w:themeShade="A6"/>
            </w:tcBorders>
          </w:tcPr>
          <w:p w14:paraId="2597532C" w14:textId="77777777" w:rsidR="00FA7EBF" w:rsidRPr="007939DD" w:rsidRDefault="00FA7EBF" w:rsidP="00D86186">
            <w:pPr>
              <w:pStyle w:val="ARfintablebodyright"/>
              <w:spacing w:before="20"/>
              <w:rPr>
                <w:lang w:eastAsia="en-AU"/>
              </w:rPr>
            </w:pPr>
            <w:r w:rsidRPr="00B01A57">
              <w:t>(0.1)</w:t>
            </w:r>
          </w:p>
        </w:tc>
        <w:tc>
          <w:tcPr>
            <w:tcW w:w="907" w:type="dxa"/>
            <w:tcBorders>
              <w:top w:val="single" w:sz="4" w:space="0" w:color="A6A6A6" w:themeColor="background1" w:themeShade="A6"/>
              <w:bottom w:val="single" w:sz="4" w:space="0" w:color="A6A6A6" w:themeColor="background1" w:themeShade="A6"/>
            </w:tcBorders>
          </w:tcPr>
          <w:p w14:paraId="395E79E1" w14:textId="77777777" w:rsidR="00FA7EBF" w:rsidRPr="007939DD" w:rsidRDefault="00FA7EBF" w:rsidP="00D86186">
            <w:pPr>
              <w:pStyle w:val="ARfintablebodyright"/>
              <w:spacing w:before="20"/>
              <w:rPr>
                <w:lang w:eastAsia="en-AU"/>
              </w:rPr>
            </w:pPr>
            <w:r w:rsidRPr="00B01A57">
              <w:t>(0.3)</w:t>
            </w:r>
          </w:p>
        </w:tc>
      </w:tr>
      <w:tr w:rsidR="00FA7EBF" w:rsidRPr="007939DD" w14:paraId="7F066AFE" w14:textId="77777777" w:rsidTr="007B207C">
        <w:trPr>
          <w:cantSplit/>
        </w:trPr>
        <w:tc>
          <w:tcPr>
            <w:tcW w:w="6975" w:type="dxa"/>
            <w:tcBorders>
              <w:top w:val="single" w:sz="4" w:space="0" w:color="A6A6A6" w:themeColor="background1" w:themeShade="A6"/>
              <w:bottom w:val="single" w:sz="4" w:space="0" w:color="A6A6A6" w:themeColor="background1" w:themeShade="A6"/>
            </w:tcBorders>
          </w:tcPr>
          <w:p w14:paraId="74C27CB2" w14:textId="77777777" w:rsidR="00FA7EBF" w:rsidRPr="007939DD" w:rsidRDefault="00FA7EBF" w:rsidP="00D86186">
            <w:pPr>
              <w:pStyle w:val="ARfintablebody"/>
              <w:spacing w:before="20"/>
              <w:rPr>
                <w:lang w:eastAsia="en-AU"/>
              </w:rPr>
            </w:pPr>
            <w:r w:rsidRPr="00B01A57">
              <w:t>Transfers in/(out) of Level 3</w:t>
            </w:r>
          </w:p>
        </w:tc>
        <w:tc>
          <w:tcPr>
            <w:tcW w:w="1134" w:type="dxa"/>
            <w:tcBorders>
              <w:top w:val="single" w:sz="4" w:space="0" w:color="A6A6A6" w:themeColor="background1" w:themeShade="A6"/>
              <w:bottom w:val="single" w:sz="4" w:space="0" w:color="A6A6A6" w:themeColor="background1" w:themeShade="A6"/>
            </w:tcBorders>
          </w:tcPr>
          <w:p w14:paraId="6436ABFA"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hemeColor="background1" w:themeShade="A6"/>
              <w:bottom w:val="single" w:sz="4" w:space="0" w:color="A6A6A6" w:themeColor="background1" w:themeShade="A6"/>
            </w:tcBorders>
          </w:tcPr>
          <w:p w14:paraId="207084A4"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hemeColor="background1" w:themeShade="A6"/>
              <w:bottom w:val="single" w:sz="4" w:space="0" w:color="A6A6A6" w:themeColor="background1" w:themeShade="A6"/>
            </w:tcBorders>
          </w:tcPr>
          <w:p w14:paraId="179D53DC"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hemeColor="background1" w:themeShade="A6"/>
              <w:bottom w:val="single" w:sz="4" w:space="0" w:color="A6A6A6" w:themeColor="background1" w:themeShade="A6"/>
            </w:tcBorders>
          </w:tcPr>
          <w:p w14:paraId="09A6CEF4"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hemeColor="background1" w:themeShade="A6"/>
              <w:bottom w:val="single" w:sz="4" w:space="0" w:color="A6A6A6" w:themeColor="background1" w:themeShade="A6"/>
            </w:tcBorders>
          </w:tcPr>
          <w:p w14:paraId="5F5E2AAD" w14:textId="77777777" w:rsidR="00FA7EBF" w:rsidRPr="007939DD" w:rsidRDefault="00FA7EBF" w:rsidP="00D86186">
            <w:pPr>
              <w:pStyle w:val="ARfintablebodyright"/>
              <w:spacing w:before="20"/>
              <w:rPr>
                <w:lang w:eastAsia="en-AU"/>
              </w:rPr>
            </w:pPr>
            <w:r w:rsidRPr="00B01A57">
              <w:t>–</w:t>
            </w:r>
          </w:p>
        </w:tc>
        <w:tc>
          <w:tcPr>
            <w:tcW w:w="907" w:type="dxa"/>
            <w:tcBorders>
              <w:top w:val="single" w:sz="4" w:space="0" w:color="A6A6A6" w:themeColor="background1" w:themeShade="A6"/>
              <w:bottom w:val="single" w:sz="4" w:space="0" w:color="A6A6A6" w:themeColor="background1" w:themeShade="A6"/>
            </w:tcBorders>
          </w:tcPr>
          <w:p w14:paraId="3A9805FD" w14:textId="77777777" w:rsidR="00FA7EBF" w:rsidRPr="007939DD" w:rsidRDefault="00FA7EBF" w:rsidP="00D86186">
            <w:pPr>
              <w:pStyle w:val="ARfintablebodyright"/>
              <w:spacing w:before="20"/>
              <w:rPr>
                <w:lang w:eastAsia="en-AU"/>
              </w:rPr>
            </w:pPr>
            <w:r w:rsidRPr="00B01A57">
              <w:t>–</w:t>
            </w:r>
          </w:p>
        </w:tc>
        <w:tc>
          <w:tcPr>
            <w:tcW w:w="907" w:type="dxa"/>
            <w:tcBorders>
              <w:top w:val="single" w:sz="4" w:space="0" w:color="A6A6A6" w:themeColor="background1" w:themeShade="A6"/>
              <w:bottom w:val="single" w:sz="4" w:space="0" w:color="A6A6A6" w:themeColor="background1" w:themeShade="A6"/>
            </w:tcBorders>
          </w:tcPr>
          <w:p w14:paraId="752A9E43" w14:textId="77777777" w:rsidR="00FA7EBF" w:rsidRPr="007939DD" w:rsidRDefault="00FA7EBF" w:rsidP="00D86186">
            <w:pPr>
              <w:pStyle w:val="ARfintablebodyright"/>
              <w:spacing w:before="20"/>
              <w:rPr>
                <w:lang w:eastAsia="en-AU"/>
              </w:rPr>
            </w:pPr>
            <w:r w:rsidRPr="00B01A57">
              <w:t>–</w:t>
            </w:r>
          </w:p>
        </w:tc>
      </w:tr>
      <w:tr w:rsidR="00FA7EBF" w:rsidRPr="007939DD" w14:paraId="2156CD0D" w14:textId="77777777" w:rsidTr="007B207C">
        <w:trPr>
          <w:cantSplit/>
        </w:trPr>
        <w:tc>
          <w:tcPr>
            <w:tcW w:w="14459" w:type="dxa"/>
            <w:gridSpan w:val="8"/>
            <w:tcBorders>
              <w:top w:val="single" w:sz="4" w:space="0" w:color="A6A6A6" w:themeColor="background1" w:themeShade="A6"/>
              <w:bottom w:val="single" w:sz="4" w:space="0" w:color="A6A6A6" w:themeColor="background1" w:themeShade="A6"/>
            </w:tcBorders>
          </w:tcPr>
          <w:p w14:paraId="34439FD0" w14:textId="77777777" w:rsidR="00FA7EBF" w:rsidRPr="007939DD" w:rsidRDefault="00FA7EBF" w:rsidP="00D86186">
            <w:pPr>
              <w:pStyle w:val="ARfintablebodybold"/>
              <w:spacing w:before="20"/>
              <w:rPr>
                <w:lang w:eastAsia="en-AU"/>
              </w:rPr>
            </w:pPr>
            <w:r w:rsidRPr="00B01A57">
              <w:t>Gains or losses recognised in net result</w:t>
            </w:r>
          </w:p>
        </w:tc>
      </w:tr>
      <w:tr w:rsidR="00FA7EBF" w:rsidRPr="007939DD" w14:paraId="04699C31" w14:textId="77777777" w:rsidTr="007B207C">
        <w:trPr>
          <w:cantSplit/>
        </w:trPr>
        <w:tc>
          <w:tcPr>
            <w:tcW w:w="6975" w:type="dxa"/>
            <w:tcBorders>
              <w:top w:val="single" w:sz="4" w:space="0" w:color="A6A6A6" w:themeColor="background1" w:themeShade="A6"/>
            </w:tcBorders>
          </w:tcPr>
          <w:p w14:paraId="1A052113" w14:textId="77777777" w:rsidR="00FA7EBF" w:rsidRPr="007939DD" w:rsidRDefault="00FA7EBF" w:rsidP="00D86186">
            <w:pPr>
              <w:pStyle w:val="ARfintablebody"/>
              <w:spacing w:before="20"/>
              <w:rPr>
                <w:lang w:eastAsia="en-AU"/>
              </w:rPr>
            </w:pPr>
            <w:r w:rsidRPr="00B01A57">
              <w:t>Depreciation</w:t>
            </w:r>
          </w:p>
        </w:tc>
        <w:tc>
          <w:tcPr>
            <w:tcW w:w="1134" w:type="dxa"/>
            <w:tcBorders>
              <w:top w:val="single" w:sz="4" w:space="0" w:color="A6A6A6" w:themeColor="background1" w:themeShade="A6"/>
            </w:tcBorders>
          </w:tcPr>
          <w:p w14:paraId="51D295F7"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hemeColor="background1" w:themeShade="A6"/>
            </w:tcBorders>
          </w:tcPr>
          <w:p w14:paraId="16D00A30"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hemeColor="background1" w:themeShade="A6"/>
            </w:tcBorders>
          </w:tcPr>
          <w:p w14:paraId="462384AA"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hemeColor="background1" w:themeShade="A6"/>
            </w:tcBorders>
          </w:tcPr>
          <w:p w14:paraId="5BA5548F" w14:textId="77777777" w:rsidR="00FA7EBF" w:rsidRPr="007939DD" w:rsidRDefault="00FA7EBF" w:rsidP="00D86186">
            <w:pPr>
              <w:pStyle w:val="ARfintablebodyright"/>
              <w:spacing w:before="20"/>
              <w:rPr>
                <w:lang w:eastAsia="en-AU"/>
              </w:rPr>
            </w:pPr>
            <w:r w:rsidRPr="00B01A57">
              <w:t>(21.4)</w:t>
            </w:r>
          </w:p>
        </w:tc>
        <w:tc>
          <w:tcPr>
            <w:tcW w:w="1134" w:type="dxa"/>
            <w:tcBorders>
              <w:top w:val="single" w:sz="4" w:space="0" w:color="A6A6A6" w:themeColor="background1" w:themeShade="A6"/>
            </w:tcBorders>
          </w:tcPr>
          <w:p w14:paraId="70A9D3E1" w14:textId="77777777" w:rsidR="00FA7EBF" w:rsidRPr="007939DD" w:rsidRDefault="00FA7EBF" w:rsidP="00D86186">
            <w:pPr>
              <w:pStyle w:val="ARfintablebodyright"/>
              <w:spacing w:before="20"/>
              <w:rPr>
                <w:lang w:eastAsia="en-AU"/>
              </w:rPr>
            </w:pPr>
            <w:r w:rsidRPr="00B01A57">
              <w:t>(4.6)</w:t>
            </w:r>
          </w:p>
        </w:tc>
        <w:tc>
          <w:tcPr>
            <w:tcW w:w="907" w:type="dxa"/>
            <w:tcBorders>
              <w:top w:val="single" w:sz="4" w:space="0" w:color="A6A6A6" w:themeColor="background1" w:themeShade="A6"/>
            </w:tcBorders>
          </w:tcPr>
          <w:p w14:paraId="3E324817" w14:textId="77777777" w:rsidR="00FA7EBF" w:rsidRPr="007939DD" w:rsidRDefault="00FA7EBF" w:rsidP="00D86186">
            <w:pPr>
              <w:pStyle w:val="ARfintablebodyright"/>
              <w:spacing w:before="20"/>
              <w:rPr>
                <w:lang w:eastAsia="en-AU"/>
              </w:rPr>
            </w:pPr>
            <w:r w:rsidRPr="00B01A57">
              <w:t>(0.3)</w:t>
            </w:r>
          </w:p>
        </w:tc>
        <w:tc>
          <w:tcPr>
            <w:tcW w:w="907" w:type="dxa"/>
            <w:tcBorders>
              <w:top w:val="single" w:sz="4" w:space="0" w:color="A6A6A6" w:themeColor="background1" w:themeShade="A6"/>
            </w:tcBorders>
          </w:tcPr>
          <w:p w14:paraId="2A045CD2" w14:textId="77777777" w:rsidR="00FA7EBF" w:rsidRPr="007939DD" w:rsidRDefault="00FA7EBF" w:rsidP="00D86186">
            <w:pPr>
              <w:pStyle w:val="ARfintablebodyright"/>
              <w:spacing w:before="20"/>
              <w:rPr>
                <w:lang w:eastAsia="en-AU"/>
              </w:rPr>
            </w:pPr>
            <w:r w:rsidRPr="00B01A57">
              <w:t>(26.3)</w:t>
            </w:r>
          </w:p>
        </w:tc>
      </w:tr>
      <w:tr w:rsidR="00FA7EBF" w:rsidRPr="007939DD" w14:paraId="586BEE5E" w14:textId="77777777" w:rsidTr="007B207C">
        <w:trPr>
          <w:cantSplit/>
        </w:trPr>
        <w:tc>
          <w:tcPr>
            <w:tcW w:w="6975" w:type="dxa"/>
          </w:tcPr>
          <w:p w14:paraId="6299A43E" w14:textId="77777777" w:rsidR="00FA7EBF" w:rsidRPr="007939DD" w:rsidRDefault="00FA7EBF" w:rsidP="00D86186">
            <w:pPr>
              <w:pStyle w:val="ARfintablebodybold"/>
              <w:spacing w:before="20"/>
              <w:rPr>
                <w:lang w:eastAsia="en-AU"/>
              </w:rPr>
            </w:pPr>
            <w:r w:rsidRPr="00B01A57">
              <w:t>Subtotal of gains or losses recognises in net result</w:t>
            </w:r>
          </w:p>
        </w:tc>
        <w:tc>
          <w:tcPr>
            <w:tcW w:w="1134" w:type="dxa"/>
          </w:tcPr>
          <w:p w14:paraId="3B3ED150" w14:textId="77777777" w:rsidR="00FA7EBF" w:rsidRPr="007939DD" w:rsidRDefault="00FA7EBF" w:rsidP="00D86186">
            <w:pPr>
              <w:pStyle w:val="ARfintablebodyrightbold"/>
              <w:spacing w:before="20"/>
              <w:rPr>
                <w:lang w:eastAsia="en-AU"/>
              </w:rPr>
            </w:pPr>
            <w:r w:rsidRPr="00B01A57">
              <w:t>–</w:t>
            </w:r>
          </w:p>
        </w:tc>
        <w:tc>
          <w:tcPr>
            <w:tcW w:w="1134" w:type="dxa"/>
          </w:tcPr>
          <w:p w14:paraId="73F0CE63" w14:textId="77777777" w:rsidR="00FA7EBF" w:rsidRPr="007939DD" w:rsidRDefault="00FA7EBF" w:rsidP="00D86186">
            <w:pPr>
              <w:pStyle w:val="ARfintablebodyrightbold"/>
              <w:spacing w:before="20"/>
              <w:rPr>
                <w:lang w:eastAsia="en-AU"/>
              </w:rPr>
            </w:pPr>
            <w:r w:rsidRPr="00B01A57">
              <w:t>–</w:t>
            </w:r>
          </w:p>
        </w:tc>
        <w:tc>
          <w:tcPr>
            <w:tcW w:w="1134" w:type="dxa"/>
          </w:tcPr>
          <w:p w14:paraId="782AB47B" w14:textId="77777777" w:rsidR="00FA7EBF" w:rsidRPr="007939DD" w:rsidRDefault="00FA7EBF" w:rsidP="00D86186">
            <w:pPr>
              <w:pStyle w:val="ARfintablebodyrightbold"/>
              <w:spacing w:before="20"/>
              <w:rPr>
                <w:lang w:eastAsia="en-AU"/>
              </w:rPr>
            </w:pPr>
            <w:r w:rsidRPr="00B01A57">
              <w:t>–</w:t>
            </w:r>
          </w:p>
        </w:tc>
        <w:tc>
          <w:tcPr>
            <w:tcW w:w="1134" w:type="dxa"/>
          </w:tcPr>
          <w:p w14:paraId="195AD117" w14:textId="77777777" w:rsidR="00FA7EBF" w:rsidRPr="007939DD" w:rsidRDefault="00FA7EBF" w:rsidP="00D86186">
            <w:pPr>
              <w:pStyle w:val="ARfintablebodyrightbold"/>
              <w:spacing w:before="20"/>
              <w:rPr>
                <w:lang w:eastAsia="en-AU"/>
              </w:rPr>
            </w:pPr>
            <w:r w:rsidRPr="00B01A57">
              <w:t>(21.4)</w:t>
            </w:r>
          </w:p>
        </w:tc>
        <w:tc>
          <w:tcPr>
            <w:tcW w:w="1134" w:type="dxa"/>
          </w:tcPr>
          <w:p w14:paraId="4C142351" w14:textId="77777777" w:rsidR="00FA7EBF" w:rsidRPr="007939DD" w:rsidRDefault="00FA7EBF" w:rsidP="00D86186">
            <w:pPr>
              <w:pStyle w:val="ARfintablebodyrightbold"/>
              <w:spacing w:before="20"/>
              <w:rPr>
                <w:lang w:eastAsia="en-AU"/>
              </w:rPr>
            </w:pPr>
            <w:r w:rsidRPr="00B01A57">
              <w:t>(4.6)</w:t>
            </w:r>
          </w:p>
        </w:tc>
        <w:tc>
          <w:tcPr>
            <w:tcW w:w="907" w:type="dxa"/>
          </w:tcPr>
          <w:p w14:paraId="3B9BAA9A" w14:textId="77777777" w:rsidR="00FA7EBF" w:rsidRPr="007939DD" w:rsidRDefault="00FA7EBF" w:rsidP="00D86186">
            <w:pPr>
              <w:pStyle w:val="ARfintablebodyrightbold"/>
              <w:spacing w:before="20"/>
              <w:rPr>
                <w:lang w:eastAsia="en-AU"/>
              </w:rPr>
            </w:pPr>
            <w:r w:rsidRPr="00B01A57">
              <w:t>(0.3)</w:t>
            </w:r>
          </w:p>
        </w:tc>
        <w:tc>
          <w:tcPr>
            <w:tcW w:w="907" w:type="dxa"/>
          </w:tcPr>
          <w:p w14:paraId="5DEC970E" w14:textId="77777777" w:rsidR="00FA7EBF" w:rsidRPr="007939DD" w:rsidRDefault="00FA7EBF" w:rsidP="00D86186">
            <w:pPr>
              <w:pStyle w:val="ARfintablebodyrightbold"/>
              <w:spacing w:before="20"/>
              <w:rPr>
                <w:rStyle w:val="Strong"/>
              </w:rPr>
            </w:pPr>
            <w:r w:rsidRPr="00B01A57">
              <w:t>(26.3)</w:t>
            </w:r>
          </w:p>
        </w:tc>
      </w:tr>
      <w:tr w:rsidR="00FA7EBF" w:rsidRPr="007939DD" w14:paraId="236D4F9D" w14:textId="77777777" w:rsidTr="007B207C">
        <w:trPr>
          <w:cantSplit/>
        </w:trPr>
        <w:tc>
          <w:tcPr>
            <w:tcW w:w="14459" w:type="dxa"/>
            <w:gridSpan w:val="8"/>
            <w:tcBorders>
              <w:bottom w:val="single" w:sz="4" w:space="0" w:color="A6A6A6"/>
            </w:tcBorders>
          </w:tcPr>
          <w:p w14:paraId="3FA476C6" w14:textId="77777777" w:rsidR="00FA7EBF" w:rsidRPr="007939DD" w:rsidRDefault="00FA7EBF" w:rsidP="00D86186">
            <w:pPr>
              <w:pStyle w:val="ARfintablebodybold"/>
              <w:spacing w:before="20"/>
              <w:rPr>
                <w:lang w:eastAsia="en-AU"/>
              </w:rPr>
            </w:pPr>
            <w:r w:rsidRPr="00B01A57">
              <w:t>Gains or losses recognised in other economic flows – other comprehensive income</w:t>
            </w:r>
          </w:p>
        </w:tc>
      </w:tr>
      <w:tr w:rsidR="00FA7EBF" w:rsidRPr="007939DD" w14:paraId="4A99E6BD" w14:textId="77777777" w:rsidTr="007B207C">
        <w:trPr>
          <w:cantSplit/>
        </w:trPr>
        <w:tc>
          <w:tcPr>
            <w:tcW w:w="6975" w:type="dxa"/>
            <w:tcBorders>
              <w:top w:val="single" w:sz="4" w:space="0" w:color="A6A6A6"/>
            </w:tcBorders>
          </w:tcPr>
          <w:p w14:paraId="33941107" w14:textId="77777777" w:rsidR="00FA7EBF" w:rsidRPr="007939DD" w:rsidRDefault="00FA7EBF" w:rsidP="00D86186">
            <w:pPr>
              <w:pStyle w:val="ARfintablebody"/>
              <w:spacing w:before="20"/>
              <w:rPr>
                <w:lang w:eastAsia="en-AU"/>
              </w:rPr>
            </w:pPr>
            <w:r w:rsidRPr="00B01A57">
              <w:t>Net revaluation increments/(decrements)</w:t>
            </w:r>
          </w:p>
        </w:tc>
        <w:tc>
          <w:tcPr>
            <w:tcW w:w="1134" w:type="dxa"/>
            <w:tcBorders>
              <w:top w:val="single" w:sz="4" w:space="0" w:color="A6A6A6"/>
            </w:tcBorders>
          </w:tcPr>
          <w:p w14:paraId="525E0EF6" w14:textId="77777777" w:rsidR="00FA7EBF" w:rsidRPr="007939DD" w:rsidRDefault="00FA7EBF" w:rsidP="00D86186">
            <w:pPr>
              <w:pStyle w:val="ARfintablebodyright"/>
              <w:spacing w:before="20"/>
              <w:rPr>
                <w:lang w:eastAsia="en-AU"/>
              </w:rPr>
            </w:pPr>
            <w:r w:rsidRPr="00B01A57">
              <w:t>3.1</w:t>
            </w:r>
          </w:p>
        </w:tc>
        <w:tc>
          <w:tcPr>
            <w:tcW w:w="1134" w:type="dxa"/>
            <w:tcBorders>
              <w:top w:val="single" w:sz="4" w:space="0" w:color="A6A6A6"/>
            </w:tcBorders>
          </w:tcPr>
          <w:p w14:paraId="7D70CFE6" w14:textId="77777777" w:rsidR="00FA7EBF" w:rsidRPr="007939DD" w:rsidRDefault="00FA7EBF" w:rsidP="00D86186">
            <w:pPr>
              <w:pStyle w:val="ARfintablebodyright"/>
              <w:spacing w:before="20"/>
              <w:rPr>
                <w:lang w:eastAsia="en-AU"/>
              </w:rPr>
            </w:pPr>
            <w:r w:rsidRPr="00B01A57">
              <w:t>140.6</w:t>
            </w:r>
          </w:p>
        </w:tc>
        <w:tc>
          <w:tcPr>
            <w:tcW w:w="1134" w:type="dxa"/>
            <w:tcBorders>
              <w:top w:val="single" w:sz="4" w:space="0" w:color="A6A6A6"/>
            </w:tcBorders>
          </w:tcPr>
          <w:p w14:paraId="6BE4B745" w14:textId="77777777" w:rsidR="00FA7EBF" w:rsidRPr="007939DD" w:rsidRDefault="00FA7EBF" w:rsidP="00D86186">
            <w:pPr>
              <w:pStyle w:val="ARfintablebodyright"/>
              <w:spacing w:before="20"/>
              <w:rPr>
                <w:lang w:eastAsia="en-AU"/>
              </w:rPr>
            </w:pPr>
            <w:r w:rsidRPr="00B01A57">
              <w:t>–</w:t>
            </w:r>
          </w:p>
        </w:tc>
        <w:tc>
          <w:tcPr>
            <w:tcW w:w="1134" w:type="dxa"/>
            <w:tcBorders>
              <w:top w:val="single" w:sz="4" w:space="0" w:color="A6A6A6"/>
            </w:tcBorders>
          </w:tcPr>
          <w:p w14:paraId="4057B0B3" w14:textId="77777777" w:rsidR="00FA7EBF" w:rsidRPr="007939DD" w:rsidRDefault="00FA7EBF" w:rsidP="00D86186">
            <w:pPr>
              <w:pStyle w:val="ARfintablebodyright"/>
              <w:spacing w:before="20"/>
              <w:rPr>
                <w:lang w:eastAsia="en-AU"/>
              </w:rPr>
            </w:pPr>
            <w:r w:rsidRPr="00B01A57">
              <w:t>(0.6)</w:t>
            </w:r>
          </w:p>
        </w:tc>
        <w:tc>
          <w:tcPr>
            <w:tcW w:w="1134" w:type="dxa"/>
            <w:tcBorders>
              <w:top w:val="single" w:sz="4" w:space="0" w:color="A6A6A6"/>
            </w:tcBorders>
          </w:tcPr>
          <w:p w14:paraId="7F22ACBF" w14:textId="77777777" w:rsidR="00FA7EBF" w:rsidRPr="007939DD" w:rsidRDefault="00FA7EBF" w:rsidP="00D86186">
            <w:pPr>
              <w:pStyle w:val="ARfintablebodyright"/>
              <w:spacing w:before="20"/>
              <w:rPr>
                <w:lang w:eastAsia="en-AU"/>
              </w:rPr>
            </w:pPr>
            <w:r w:rsidRPr="00B01A57">
              <w:t>–</w:t>
            </w:r>
          </w:p>
        </w:tc>
        <w:tc>
          <w:tcPr>
            <w:tcW w:w="907" w:type="dxa"/>
            <w:tcBorders>
              <w:top w:val="single" w:sz="4" w:space="0" w:color="A6A6A6"/>
            </w:tcBorders>
          </w:tcPr>
          <w:p w14:paraId="704A26E7" w14:textId="77777777" w:rsidR="00FA7EBF" w:rsidRPr="007939DD" w:rsidRDefault="00FA7EBF" w:rsidP="00D86186">
            <w:pPr>
              <w:pStyle w:val="ARfintablebodyright"/>
              <w:spacing w:before="20"/>
              <w:rPr>
                <w:lang w:eastAsia="en-AU"/>
              </w:rPr>
            </w:pPr>
            <w:r w:rsidRPr="00B01A57">
              <w:t>–</w:t>
            </w:r>
          </w:p>
        </w:tc>
        <w:tc>
          <w:tcPr>
            <w:tcW w:w="907" w:type="dxa"/>
            <w:tcBorders>
              <w:top w:val="single" w:sz="4" w:space="0" w:color="A6A6A6"/>
            </w:tcBorders>
          </w:tcPr>
          <w:p w14:paraId="67C34E26" w14:textId="77777777" w:rsidR="00FA7EBF" w:rsidRPr="007939DD" w:rsidRDefault="00FA7EBF" w:rsidP="00D86186">
            <w:pPr>
              <w:pStyle w:val="ARfintablebodyright"/>
              <w:spacing w:before="20"/>
              <w:rPr>
                <w:lang w:eastAsia="en-AU"/>
              </w:rPr>
            </w:pPr>
            <w:r w:rsidRPr="00B01A57">
              <w:t>143.1</w:t>
            </w:r>
          </w:p>
        </w:tc>
      </w:tr>
      <w:tr w:rsidR="00FA7EBF" w:rsidRPr="007939DD" w14:paraId="18BB3477" w14:textId="77777777" w:rsidTr="007B207C">
        <w:trPr>
          <w:cantSplit/>
        </w:trPr>
        <w:tc>
          <w:tcPr>
            <w:tcW w:w="6975" w:type="dxa"/>
          </w:tcPr>
          <w:p w14:paraId="0D35BFD3" w14:textId="77777777" w:rsidR="00FA7EBF" w:rsidRPr="007939DD" w:rsidRDefault="00FA7EBF" w:rsidP="00D86186">
            <w:pPr>
              <w:pStyle w:val="ARfintablebodybold"/>
              <w:spacing w:before="20"/>
              <w:rPr>
                <w:lang w:eastAsia="en-AU"/>
              </w:rPr>
            </w:pPr>
            <w:r w:rsidRPr="00B01A57">
              <w:t>Subtotal of gains or losses recognised in other economic flows</w:t>
            </w:r>
          </w:p>
        </w:tc>
        <w:tc>
          <w:tcPr>
            <w:tcW w:w="1134" w:type="dxa"/>
          </w:tcPr>
          <w:p w14:paraId="620CA8FD" w14:textId="77777777" w:rsidR="00FA7EBF" w:rsidRPr="007939DD" w:rsidRDefault="00FA7EBF" w:rsidP="00D86186">
            <w:pPr>
              <w:pStyle w:val="ARfintablebodyrightbold"/>
              <w:spacing w:before="20"/>
              <w:rPr>
                <w:lang w:eastAsia="en-AU"/>
              </w:rPr>
            </w:pPr>
            <w:r w:rsidRPr="00B01A57">
              <w:t>3.1</w:t>
            </w:r>
          </w:p>
        </w:tc>
        <w:tc>
          <w:tcPr>
            <w:tcW w:w="1134" w:type="dxa"/>
          </w:tcPr>
          <w:p w14:paraId="1ABBD99D" w14:textId="77777777" w:rsidR="00FA7EBF" w:rsidRPr="007939DD" w:rsidRDefault="00FA7EBF" w:rsidP="00D86186">
            <w:pPr>
              <w:pStyle w:val="ARfintablebodyrightbold"/>
              <w:spacing w:before="20"/>
              <w:rPr>
                <w:lang w:eastAsia="en-AU"/>
              </w:rPr>
            </w:pPr>
            <w:r w:rsidRPr="00B01A57">
              <w:t>140.6</w:t>
            </w:r>
          </w:p>
        </w:tc>
        <w:tc>
          <w:tcPr>
            <w:tcW w:w="1134" w:type="dxa"/>
          </w:tcPr>
          <w:p w14:paraId="33981E7F" w14:textId="77777777" w:rsidR="00FA7EBF" w:rsidRPr="007939DD" w:rsidRDefault="00FA7EBF" w:rsidP="00D86186">
            <w:pPr>
              <w:pStyle w:val="ARfintablebodyrightbold"/>
              <w:spacing w:before="20"/>
              <w:rPr>
                <w:lang w:eastAsia="en-AU"/>
              </w:rPr>
            </w:pPr>
            <w:r w:rsidRPr="00B01A57">
              <w:t>–</w:t>
            </w:r>
          </w:p>
        </w:tc>
        <w:tc>
          <w:tcPr>
            <w:tcW w:w="1134" w:type="dxa"/>
          </w:tcPr>
          <w:p w14:paraId="6DD6CC65" w14:textId="77777777" w:rsidR="00FA7EBF" w:rsidRPr="007939DD" w:rsidRDefault="00FA7EBF" w:rsidP="00D86186">
            <w:pPr>
              <w:pStyle w:val="ARfintablebodyrightbold"/>
              <w:spacing w:before="20"/>
              <w:rPr>
                <w:lang w:eastAsia="en-AU"/>
              </w:rPr>
            </w:pPr>
            <w:r w:rsidRPr="00B01A57">
              <w:t>(0.6)</w:t>
            </w:r>
          </w:p>
        </w:tc>
        <w:tc>
          <w:tcPr>
            <w:tcW w:w="1134" w:type="dxa"/>
          </w:tcPr>
          <w:p w14:paraId="646C2BDC" w14:textId="77777777" w:rsidR="00FA7EBF" w:rsidRPr="007939DD" w:rsidRDefault="00FA7EBF" w:rsidP="00D86186">
            <w:pPr>
              <w:pStyle w:val="ARfintablebodyrightbold"/>
              <w:spacing w:before="20"/>
              <w:rPr>
                <w:lang w:eastAsia="en-AU"/>
              </w:rPr>
            </w:pPr>
            <w:r w:rsidRPr="00B01A57">
              <w:t>–</w:t>
            </w:r>
          </w:p>
        </w:tc>
        <w:tc>
          <w:tcPr>
            <w:tcW w:w="907" w:type="dxa"/>
          </w:tcPr>
          <w:p w14:paraId="24DB89CA" w14:textId="77777777" w:rsidR="00FA7EBF" w:rsidRPr="007939DD" w:rsidRDefault="00FA7EBF" w:rsidP="00D86186">
            <w:pPr>
              <w:pStyle w:val="ARfintablebodyrightbold"/>
              <w:spacing w:before="20"/>
              <w:rPr>
                <w:lang w:eastAsia="en-AU"/>
              </w:rPr>
            </w:pPr>
            <w:r w:rsidRPr="00B01A57">
              <w:t>–</w:t>
            </w:r>
          </w:p>
        </w:tc>
        <w:tc>
          <w:tcPr>
            <w:tcW w:w="907" w:type="dxa"/>
          </w:tcPr>
          <w:p w14:paraId="1541CF52" w14:textId="77777777" w:rsidR="00FA7EBF" w:rsidRPr="007939DD" w:rsidRDefault="00FA7EBF" w:rsidP="00D86186">
            <w:pPr>
              <w:pStyle w:val="ARfintablebodyrightbold"/>
              <w:spacing w:before="20"/>
              <w:rPr>
                <w:rStyle w:val="Strong"/>
              </w:rPr>
            </w:pPr>
            <w:r w:rsidRPr="00B01A57">
              <w:t>143.1</w:t>
            </w:r>
          </w:p>
        </w:tc>
      </w:tr>
      <w:tr w:rsidR="00FA7EBF" w:rsidRPr="007939DD" w14:paraId="282E0081" w14:textId="77777777" w:rsidTr="007B207C">
        <w:trPr>
          <w:cantSplit/>
        </w:trPr>
        <w:tc>
          <w:tcPr>
            <w:tcW w:w="6975" w:type="dxa"/>
          </w:tcPr>
          <w:p w14:paraId="60D86B22" w14:textId="77777777" w:rsidR="00FA7EBF" w:rsidRPr="007939DD" w:rsidRDefault="00FA7EBF" w:rsidP="00D86186">
            <w:pPr>
              <w:pStyle w:val="ARfintablebodybold"/>
              <w:spacing w:before="20"/>
              <w:rPr>
                <w:lang w:eastAsia="en-AU"/>
              </w:rPr>
            </w:pPr>
            <w:r w:rsidRPr="00B01A57">
              <w:t>Closing balance</w:t>
            </w:r>
          </w:p>
        </w:tc>
        <w:tc>
          <w:tcPr>
            <w:tcW w:w="1134" w:type="dxa"/>
          </w:tcPr>
          <w:p w14:paraId="6992D024" w14:textId="77777777" w:rsidR="00FA7EBF" w:rsidRPr="007939DD" w:rsidRDefault="00FA7EBF" w:rsidP="00D86186">
            <w:pPr>
              <w:pStyle w:val="ARfintablebodyrightbold"/>
              <w:spacing w:before="20"/>
              <w:rPr>
                <w:lang w:eastAsia="en-AU"/>
              </w:rPr>
            </w:pPr>
            <w:r w:rsidRPr="00B01A57">
              <w:t>8.2</w:t>
            </w:r>
          </w:p>
        </w:tc>
        <w:tc>
          <w:tcPr>
            <w:tcW w:w="1134" w:type="dxa"/>
          </w:tcPr>
          <w:p w14:paraId="4047D849" w14:textId="77777777" w:rsidR="00FA7EBF" w:rsidRPr="007939DD" w:rsidRDefault="00FA7EBF" w:rsidP="00D86186">
            <w:pPr>
              <w:pStyle w:val="ARfintablebodyrightbold"/>
              <w:spacing w:before="20"/>
              <w:rPr>
                <w:lang w:eastAsia="en-AU"/>
              </w:rPr>
            </w:pPr>
            <w:r w:rsidRPr="00B01A57">
              <w:t>560.5</w:t>
            </w:r>
          </w:p>
        </w:tc>
        <w:tc>
          <w:tcPr>
            <w:tcW w:w="1134" w:type="dxa"/>
          </w:tcPr>
          <w:p w14:paraId="1F412EE1" w14:textId="77777777" w:rsidR="00FA7EBF" w:rsidRPr="007939DD" w:rsidRDefault="00FA7EBF" w:rsidP="00D86186">
            <w:pPr>
              <w:pStyle w:val="ARfintablebodyrightbold"/>
              <w:spacing w:before="20"/>
              <w:rPr>
                <w:lang w:eastAsia="en-AU"/>
              </w:rPr>
            </w:pPr>
            <w:r w:rsidRPr="00B01A57">
              <w:t>0.4</w:t>
            </w:r>
          </w:p>
        </w:tc>
        <w:tc>
          <w:tcPr>
            <w:tcW w:w="1134" w:type="dxa"/>
          </w:tcPr>
          <w:p w14:paraId="22B036B8" w14:textId="77777777" w:rsidR="00FA7EBF" w:rsidRPr="007939DD" w:rsidRDefault="00FA7EBF" w:rsidP="00D86186">
            <w:pPr>
              <w:pStyle w:val="ARfintablebodyrightbold"/>
              <w:spacing w:before="20"/>
              <w:rPr>
                <w:lang w:eastAsia="en-AU"/>
              </w:rPr>
            </w:pPr>
            <w:r w:rsidRPr="00B01A57">
              <w:t>506.3</w:t>
            </w:r>
          </w:p>
        </w:tc>
        <w:tc>
          <w:tcPr>
            <w:tcW w:w="1134" w:type="dxa"/>
          </w:tcPr>
          <w:p w14:paraId="5D300789" w14:textId="77777777" w:rsidR="00FA7EBF" w:rsidRPr="007939DD" w:rsidRDefault="00FA7EBF" w:rsidP="00D86186">
            <w:pPr>
              <w:pStyle w:val="ARfintablebodyrightbold"/>
              <w:spacing w:before="20"/>
              <w:rPr>
                <w:lang w:eastAsia="en-AU"/>
              </w:rPr>
            </w:pPr>
            <w:r w:rsidRPr="00B01A57">
              <w:t>14.3</w:t>
            </w:r>
          </w:p>
        </w:tc>
        <w:tc>
          <w:tcPr>
            <w:tcW w:w="907" w:type="dxa"/>
          </w:tcPr>
          <w:p w14:paraId="169DF2AE" w14:textId="77777777" w:rsidR="00FA7EBF" w:rsidRPr="007939DD" w:rsidRDefault="00FA7EBF" w:rsidP="00D86186">
            <w:pPr>
              <w:pStyle w:val="ARfintablebodyrightbold"/>
              <w:spacing w:before="20"/>
              <w:rPr>
                <w:lang w:eastAsia="en-AU"/>
              </w:rPr>
            </w:pPr>
            <w:r w:rsidRPr="00B01A57">
              <w:t>1.4</w:t>
            </w:r>
          </w:p>
        </w:tc>
        <w:tc>
          <w:tcPr>
            <w:tcW w:w="907" w:type="dxa"/>
          </w:tcPr>
          <w:p w14:paraId="4473C3DE" w14:textId="77777777" w:rsidR="00FA7EBF" w:rsidRPr="007939DD" w:rsidRDefault="00FA7EBF" w:rsidP="00D86186">
            <w:pPr>
              <w:pStyle w:val="ARfintablebodyrightbold"/>
              <w:spacing w:before="20"/>
              <w:rPr>
                <w:rStyle w:val="Strong"/>
              </w:rPr>
            </w:pPr>
            <w:r w:rsidRPr="00B01A57">
              <w:t>1,091.1</w:t>
            </w:r>
          </w:p>
        </w:tc>
      </w:tr>
    </w:tbl>
    <w:p w14:paraId="07D61B13" w14:textId="77777777" w:rsidR="00FA7EBF" w:rsidRPr="00E32058" w:rsidRDefault="00FA7EBF" w:rsidP="00CA66FD">
      <w:pPr>
        <w:pStyle w:val="ARfinbody"/>
      </w:pPr>
    </w:p>
    <w:p w14:paraId="3BD962F2" w14:textId="77777777" w:rsidR="00FA7EBF" w:rsidRDefault="00FA7EBF" w:rsidP="00CA66FD">
      <w:pPr>
        <w:pStyle w:val="Heading5"/>
        <w:rPr>
          <w:lang w:eastAsia="en-AU"/>
        </w:rPr>
        <w:sectPr w:rsidR="00FA7EBF" w:rsidSect="007B207C">
          <w:footerReference w:type="even" r:id="rId197"/>
          <w:endnotePr>
            <w:numFmt w:val="decimal"/>
          </w:endnotePr>
          <w:pgSz w:w="16838" w:h="11906" w:orient="landscape" w:code="9"/>
          <w:pgMar w:top="1418" w:right="1531" w:bottom="1418" w:left="851" w:header="851" w:footer="851" w:gutter="0"/>
          <w:paperSrc w:first="258"/>
          <w:cols w:space="454"/>
          <w:docGrid w:linePitch="326"/>
        </w:sectPr>
      </w:pPr>
    </w:p>
    <w:p w14:paraId="1DB5BCDA" w14:textId="77777777" w:rsidR="00FA7EBF" w:rsidRPr="00194D78" w:rsidRDefault="00FA7EBF" w:rsidP="00CA66FD">
      <w:pPr>
        <w:pStyle w:val="Heading5"/>
        <w:spacing w:before="0"/>
        <w:rPr>
          <w:lang w:eastAsia="en-AU"/>
        </w:rPr>
      </w:pPr>
      <w:r w:rsidRPr="00194D78">
        <w:rPr>
          <w:lang w:eastAsia="en-AU"/>
        </w:rPr>
        <w:t>8.3.2 Fair value determination of non-financial physical assets (continued)</w:t>
      </w:r>
    </w:p>
    <w:p w14:paraId="601AAFFD" w14:textId="77777777" w:rsidR="00FA7EBF" w:rsidRDefault="00FA7EBF" w:rsidP="00CA66FD">
      <w:pPr>
        <w:pStyle w:val="Heading6"/>
        <w:rPr>
          <w:lang w:eastAsia="en-AU"/>
        </w:rPr>
      </w:pPr>
      <w:r w:rsidRPr="00194D78">
        <w:rPr>
          <w:lang w:eastAsia="en-AU"/>
        </w:rPr>
        <w:t>Description of significant unobservable inputs to Level 3 valuations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2495"/>
        <w:gridCol w:w="2948"/>
        <w:gridCol w:w="4196"/>
      </w:tblGrid>
      <w:tr w:rsidR="00FA7EBF" w:rsidRPr="007939DD" w14:paraId="72E09451" w14:textId="77777777" w:rsidTr="007B207C">
        <w:trPr>
          <w:cantSplit/>
          <w:tblHeader/>
        </w:trPr>
        <w:tc>
          <w:tcPr>
            <w:tcW w:w="2495" w:type="dxa"/>
          </w:tcPr>
          <w:p w14:paraId="7ADE70F9" w14:textId="77777777" w:rsidR="00FA7EBF" w:rsidRPr="007939DD" w:rsidRDefault="00FA7EBF" w:rsidP="007B207C">
            <w:pPr>
              <w:pStyle w:val="ARfintablecolhead"/>
            </w:pPr>
          </w:p>
        </w:tc>
        <w:tc>
          <w:tcPr>
            <w:tcW w:w="2948" w:type="dxa"/>
          </w:tcPr>
          <w:p w14:paraId="42A0E828" w14:textId="77777777" w:rsidR="00FA7EBF" w:rsidRPr="007939DD" w:rsidRDefault="00FA7EBF" w:rsidP="007B207C">
            <w:pPr>
              <w:pStyle w:val="ARfintablecolhead"/>
            </w:pPr>
            <w:r w:rsidRPr="007939DD">
              <w:t>Valuation technique</w:t>
            </w:r>
          </w:p>
        </w:tc>
        <w:tc>
          <w:tcPr>
            <w:tcW w:w="4196" w:type="dxa"/>
          </w:tcPr>
          <w:p w14:paraId="31F72F5B" w14:textId="77777777" w:rsidR="00FA7EBF" w:rsidRPr="007939DD" w:rsidRDefault="00FA7EBF" w:rsidP="007B207C">
            <w:pPr>
              <w:pStyle w:val="ARfintablecolhead"/>
            </w:pPr>
            <w:r w:rsidRPr="007939DD">
              <w:t>Significant unobservable inputs</w:t>
            </w:r>
          </w:p>
        </w:tc>
      </w:tr>
      <w:tr w:rsidR="00FA7EBF" w:rsidRPr="007939DD" w14:paraId="38A76022" w14:textId="77777777" w:rsidTr="007B207C">
        <w:trPr>
          <w:cantSplit/>
        </w:trPr>
        <w:tc>
          <w:tcPr>
            <w:tcW w:w="2495" w:type="dxa"/>
            <w:tcBorders>
              <w:bottom w:val="single" w:sz="4" w:space="0" w:color="A6A6A6" w:themeColor="background1" w:themeShade="A6"/>
            </w:tcBorders>
          </w:tcPr>
          <w:p w14:paraId="2CA6D499" w14:textId="77777777" w:rsidR="00FA7EBF" w:rsidRPr="007939DD" w:rsidRDefault="00FA7EBF" w:rsidP="007B207C">
            <w:pPr>
              <w:pStyle w:val="ARfintablebodybold"/>
              <w:rPr>
                <w:rStyle w:val="Strong"/>
              </w:rPr>
            </w:pPr>
            <w:r w:rsidRPr="006E72B4">
              <w:t>Non-specialised land</w:t>
            </w:r>
          </w:p>
        </w:tc>
        <w:tc>
          <w:tcPr>
            <w:tcW w:w="2948" w:type="dxa"/>
            <w:tcBorders>
              <w:bottom w:val="single" w:sz="4" w:space="0" w:color="A6A6A6" w:themeColor="background1" w:themeShade="A6"/>
            </w:tcBorders>
          </w:tcPr>
          <w:p w14:paraId="1736BE16" w14:textId="77777777" w:rsidR="00FA7EBF" w:rsidRPr="007939DD" w:rsidRDefault="00FA7EBF" w:rsidP="007B207C">
            <w:pPr>
              <w:pStyle w:val="ARfintablebody"/>
              <w:rPr>
                <w:lang w:eastAsia="en-AU"/>
              </w:rPr>
            </w:pPr>
            <w:r w:rsidRPr="006E72B4">
              <w:t>Market approach</w:t>
            </w:r>
          </w:p>
        </w:tc>
        <w:tc>
          <w:tcPr>
            <w:tcW w:w="4196" w:type="dxa"/>
            <w:tcBorders>
              <w:bottom w:val="single" w:sz="4" w:space="0" w:color="A6A6A6" w:themeColor="background1" w:themeShade="A6"/>
            </w:tcBorders>
          </w:tcPr>
          <w:p w14:paraId="2A2716EE" w14:textId="77777777" w:rsidR="00FA7EBF" w:rsidRPr="007939DD" w:rsidRDefault="00FA7EBF" w:rsidP="007B207C">
            <w:pPr>
              <w:pStyle w:val="ARfintablebody"/>
              <w:rPr>
                <w:lang w:eastAsia="en-AU"/>
              </w:rPr>
            </w:pPr>
            <w:r>
              <w:t>Not applicable</w:t>
            </w:r>
          </w:p>
        </w:tc>
      </w:tr>
      <w:tr w:rsidR="00FA7EBF" w:rsidRPr="007939DD" w14:paraId="20230A4D" w14:textId="77777777" w:rsidTr="007B207C">
        <w:trPr>
          <w:cantSplit/>
        </w:trPr>
        <w:tc>
          <w:tcPr>
            <w:tcW w:w="2495" w:type="dxa"/>
            <w:tcBorders>
              <w:top w:val="single" w:sz="4" w:space="0" w:color="A6A6A6" w:themeColor="background1" w:themeShade="A6"/>
              <w:bottom w:val="single" w:sz="4" w:space="0" w:color="A6A6A6" w:themeColor="background1" w:themeShade="A6"/>
            </w:tcBorders>
          </w:tcPr>
          <w:p w14:paraId="081FD09F" w14:textId="77777777" w:rsidR="00FA7EBF" w:rsidRPr="007939DD" w:rsidRDefault="00FA7EBF" w:rsidP="007B207C">
            <w:pPr>
              <w:pStyle w:val="ARfintablebodybold"/>
              <w:rPr>
                <w:rStyle w:val="Strong"/>
              </w:rPr>
            </w:pPr>
            <w:r w:rsidRPr="006E72B4">
              <w:t>Specialised land</w:t>
            </w:r>
          </w:p>
        </w:tc>
        <w:tc>
          <w:tcPr>
            <w:tcW w:w="2948" w:type="dxa"/>
            <w:tcBorders>
              <w:top w:val="single" w:sz="4" w:space="0" w:color="A6A6A6" w:themeColor="background1" w:themeShade="A6"/>
              <w:bottom w:val="single" w:sz="4" w:space="0" w:color="A6A6A6" w:themeColor="background1" w:themeShade="A6"/>
            </w:tcBorders>
          </w:tcPr>
          <w:p w14:paraId="47931630" w14:textId="77777777" w:rsidR="00FA7EBF" w:rsidRPr="007939DD" w:rsidRDefault="00FA7EBF" w:rsidP="007B207C">
            <w:pPr>
              <w:pStyle w:val="ARfintablebody"/>
              <w:rPr>
                <w:lang w:eastAsia="en-AU"/>
              </w:rPr>
            </w:pPr>
            <w:r w:rsidRPr="006E72B4">
              <w:t>Market approach</w:t>
            </w:r>
          </w:p>
        </w:tc>
        <w:tc>
          <w:tcPr>
            <w:tcW w:w="4196" w:type="dxa"/>
            <w:tcBorders>
              <w:top w:val="single" w:sz="4" w:space="0" w:color="A6A6A6" w:themeColor="background1" w:themeShade="A6"/>
              <w:bottom w:val="single" w:sz="4" w:space="0" w:color="A6A6A6" w:themeColor="background1" w:themeShade="A6"/>
            </w:tcBorders>
          </w:tcPr>
          <w:p w14:paraId="70C712A4" w14:textId="77777777" w:rsidR="00FA7EBF" w:rsidRPr="007939DD" w:rsidRDefault="00FA7EBF" w:rsidP="007B207C">
            <w:pPr>
              <w:pStyle w:val="ARfintablebody"/>
              <w:rPr>
                <w:lang w:eastAsia="en-AU"/>
              </w:rPr>
            </w:pPr>
            <w:r w:rsidRPr="005B4CD9">
              <w:t>Community service obligation (CSO) adjustment</w:t>
            </w:r>
            <w:r>
              <w:t xml:space="preserve"> </w:t>
            </w:r>
            <w:r>
              <w:br/>
              <w:t>(rate 10–40%)</w:t>
            </w:r>
          </w:p>
        </w:tc>
      </w:tr>
      <w:tr w:rsidR="00FA7EBF" w:rsidRPr="007939DD" w14:paraId="22F26AFD" w14:textId="77777777" w:rsidTr="007B207C">
        <w:trPr>
          <w:cantSplit/>
        </w:trPr>
        <w:tc>
          <w:tcPr>
            <w:tcW w:w="2495" w:type="dxa"/>
            <w:tcBorders>
              <w:top w:val="single" w:sz="4" w:space="0" w:color="A6A6A6" w:themeColor="background1" w:themeShade="A6"/>
              <w:bottom w:val="single" w:sz="4" w:space="0" w:color="A6A6A6" w:themeColor="background1" w:themeShade="A6"/>
            </w:tcBorders>
          </w:tcPr>
          <w:p w14:paraId="7B4EF506" w14:textId="77777777" w:rsidR="00FA7EBF" w:rsidRPr="007939DD" w:rsidRDefault="00FA7EBF" w:rsidP="007B207C">
            <w:pPr>
              <w:pStyle w:val="ARfintablebodybold"/>
              <w:rPr>
                <w:rStyle w:val="Strong"/>
              </w:rPr>
            </w:pPr>
            <w:r w:rsidRPr="006E72B4">
              <w:t>Non-specialised buildings</w:t>
            </w:r>
          </w:p>
        </w:tc>
        <w:tc>
          <w:tcPr>
            <w:tcW w:w="2948" w:type="dxa"/>
            <w:tcBorders>
              <w:top w:val="single" w:sz="4" w:space="0" w:color="A6A6A6" w:themeColor="background1" w:themeShade="A6"/>
              <w:bottom w:val="single" w:sz="4" w:space="0" w:color="A6A6A6" w:themeColor="background1" w:themeShade="A6"/>
            </w:tcBorders>
          </w:tcPr>
          <w:p w14:paraId="1F1AEB35" w14:textId="77777777" w:rsidR="00FA7EBF" w:rsidRPr="007939DD" w:rsidRDefault="00FA7EBF" w:rsidP="007B207C">
            <w:pPr>
              <w:pStyle w:val="ARfintablebody"/>
              <w:rPr>
                <w:lang w:eastAsia="en-AU"/>
              </w:rPr>
            </w:pPr>
            <w:r>
              <w:t>Market approach</w:t>
            </w:r>
          </w:p>
        </w:tc>
        <w:tc>
          <w:tcPr>
            <w:tcW w:w="4196" w:type="dxa"/>
            <w:tcBorders>
              <w:top w:val="single" w:sz="4" w:space="0" w:color="A6A6A6" w:themeColor="background1" w:themeShade="A6"/>
              <w:bottom w:val="single" w:sz="4" w:space="0" w:color="A6A6A6" w:themeColor="background1" w:themeShade="A6"/>
            </w:tcBorders>
          </w:tcPr>
          <w:p w14:paraId="66BE05D3" w14:textId="77777777" w:rsidR="00FA7EBF" w:rsidRPr="007939DD" w:rsidRDefault="00FA7EBF" w:rsidP="007B207C">
            <w:pPr>
              <w:pStyle w:val="ARfintablebody"/>
              <w:rPr>
                <w:lang w:eastAsia="en-AU"/>
              </w:rPr>
            </w:pPr>
            <w:r>
              <w:rPr>
                <w:lang w:eastAsia="en-AU"/>
              </w:rPr>
              <w:t>Not applicable</w:t>
            </w:r>
          </w:p>
        </w:tc>
      </w:tr>
      <w:tr w:rsidR="00FA7EBF" w:rsidRPr="007939DD" w14:paraId="01D839B5" w14:textId="77777777" w:rsidTr="007B207C">
        <w:trPr>
          <w:cantSplit/>
        </w:trPr>
        <w:tc>
          <w:tcPr>
            <w:tcW w:w="2495" w:type="dxa"/>
            <w:tcBorders>
              <w:top w:val="single" w:sz="4" w:space="0" w:color="A6A6A6" w:themeColor="background1" w:themeShade="A6"/>
              <w:bottom w:val="single" w:sz="4" w:space="0" w:color="A6A6A6" w:themeColor="background1" w:themeShade="A6"/>
            </w:tcBorders>
          </w:tcPr>
          <w:p w14:paraId="48FF1EA3" w14:textId="77777777" w:rsidR="00FA7EBF" w:rsidRPr="007939DD" w:rsidRDefault="00FA7EBF" w:rsidP="007B207C">
            <w:pPr>
              <w:pStyle w:val="ARfintablebodybold"/>
              <w:rPr>
                <w:rStyle w:val="Strong"/>
              </w:rPr>
            </w:pPr>
            <w:r w:rsidRPr="006E72B4">
              <w:t>Specialised buildings</w:t>
            </w:r>
          </w:p>
        </w:tc>
        <w:tc>
          <w:tcPr>
            <w:tcW w:w="2948" w:type="dxa"/>
            <w:tcBorders>
              <w:top w:val="single" w:sz="4" w:space="0" w:color="A6A6A6" w:themeColor="background1" w:themeShade="A6"/>
              <w:bottom w:val="single" w:sz="4" w:space="0" w:color="A6A6A6" w:themeColor="background1" w:themeShade="A6"/>
            </w:tcBorders>
          </w:tcPr>
          <w:p w14:paraId="7E472BED" w14:textId="77777777" w:rsidR="00FA7EBF" w:rsidRPr="007939DD" w:rsidRDefault="00FA7EBF" w:rsidP="007B207C">
            <w:pPr>
              <w:pStyle w:val="ARfintablebody"/>
              <w:rPr>
                <w:lang w:eastAsia="en-AU"/>
              </w:rPr>
            </w:pPr>
            <w:r w:rsidRPr="006E72B4">
              <w:t>Depreciated replacement cost</w:t>
            </w:r>
          </w:p>
        </w:tc>
        <w:tc>
          <w:tcPr>
            <w:tcW w:w="4196" w:type="dxa"/>
            <w:tcBorders>
              <w:top w:val="single" w:sz="4" w:space="0" w:color="A6A6A6" w:themeColor="background1" w:themeShade="A6"/>
              <w:bottom w:val="single" w:sz="4" w:space="0" w:color="A6A6A6" w:themeColor="background1" w:themeShade="A6"/>
            </w:tcBorders>
          </w:tcPr>
          <w:p w14:paraId="0B6D25B4" w14:textId="77777777" w:rsidR="00FA7EBF" w:rsidRDefault="00FA7EBF" w:rsidP="007B207C">
            <w:pPr>
              <w:pStyle w:val="ARfintablebody"/>
              <w:rPr>
                <w:lang w:eastAsia="en-AU"/>
              </w:rPr>
            </w:pPr>
            <w:r>
              <w:rPr>
                <w:lang w:eastAsia="en-AU"/>
              </w:rPr>
              <w:t>Direct cost per square metre</w:t>
            </w:r>
          </w:p>
          <w:p w14:paraId="754C0E94" w14:textId="77777777" w:rsidR="00FA7EBF" w:rsidRPr="007939DD" w:rsidRDefault="00FA7EBF" w:rsidP="007B207C">
            <w:pPr>
              <w:pStyle w:val="ARfintablebody"/>
              <w:rPr>
                <w:lang w:eastAsia="en-AU"/>
              </w:rPr>
            </w:pPr>
            <w:r>
              <w:rPr>
                <w:lang w:eastAsia="en-AU"/>
              </w:rPr>
              <w:t>Useful life of specialised buildings</w:t>
            </w:r>
          </w:p>
        </w:tc>
      </w:tr>
      <w:tr w:rsidR="00FA7EBF" w:rsidRPr="007939DD" w14:paraId="5E346B51" w14:textId="77777777" w:rsidTr="007B207C">
        <w:trPr>
          <w:cantSplit/>
        </w:trPr>
        <w:tc>
          <w:tcPr>
            <w:tcW w:w="2495" w:type="dxa"/>
            <w:tcBorders>
              <w:top w:val="single" w:sz="4" w:space="0" w:color="A6A6A6" w:themeColor="background1" w:themeShade="A6"/>
              <w:bottom w:val="single" w:sz="4" w:space="0" w:color="A6A6A6" w:themeColor="background1" w:themeShade="A6"/>
            </w:tcBorders>
          </w:tcPr>
          <w:p w14:paraId="5F2A84A2" w14:textId="77777777" w:rsidR="00FA7EBF" w:rsidRPr="007939DD" w:rsidRDefault="00FA7EBF" w:rsidP="007B207C">
            <w:pPr>
              <w:pStyle w:val="ARfintablebodybold"/>
              <w:rPr>
                <w:rStyle w:val="Strong"/>
              </w:rPr>
            </w:pPr>
            <w:r w:rsidRPr="006E72B4">
              <w:t>Plant and equipment</w:t>
            </w:r>
          </w:p>
        </w:tc>
        <w:tc>
          <w:tcPr>
            <w:tcW w:w="2948" w:type="dxa"/>
            <w:tcBorders>
              <w:top w:val="single" w:sz="4" w:space="0" w:color="A6A6A6" w:themeColor="background1" w:themeShade="A6"/>
              <w:bottom w:val="single" w:sz="4" w:space="0" w:color="A6A6A6" w:themeColor="background1" w:themeShade="A6"/>
            </w:tcBorders>
          </w:tcPr>
          <w:p w14:paraId="7D2F1750" w14:textId="77777777" w:rsidR="00FA7EBF" w:rsidRPr="007939DD" w:rsidRDefault="00FA7EBF" w:rsidP="007B207C">
            <w:pPr>
              <w:pStyle w:val="ARfintablebody"/>
              <w:rPr>
                <w:lang w:eastAsia="en-AU"/>
              </w:rPr>
            </w:pPr>
            <w:r w:rsidRPr="006E72B4">
              <w:t>Current replacement cost</w:t>
            </w:r>
          </w:p>
        </w:tc>
        <w:tc>
          <w:tcPr>
            <w:tcW w:w="4196" w:type="dxa"/>
            <w:tcBorders>
              <w:top w:val="single" w:sz="4" w:space="0" w:color="A6A6A6" w:themeColor="background1" w:themeShade="A6"/>
              <w:bottom w:val="single" w:sz="4" w:space="0" w:color="A6A6A6" w:themeColor="background1" w:themeShade="A6"/>
            </w:tcBorders>
          </w:tcPr>
          <w:p w14:paraId="129E4E74" w14:textId="77777777" w:rsidR="00FA7EBF" w:rsidRPr="007939DD" w:rsidRDefault="00FA7EBF" w:rsidP="007B207C">
            <w:pPr>
              <w:pStyle w:val="ARfintablebody"/>
              <w:rPr>
                <w:lang w:eastAsia="en-AU"/>
              </w:rPr>
            </w:pPr>
            <w:r w:rsidRPr="00D009BA">
              <w:t>Useful life of equipment</w:t>
            </w:r>
          </w:p>
        </w:tc>
      </w:tr>
      <w:tr w:rsidR="00FA7EBF" w:rsidRPr="007939DD" w14:paraId="18A95F37" w14:textId="77777777" w:rsidTr="007B207C">
        <w:trPr>
          <w:cantSplit/>
        </w:trPr>
        <w:tc>
          <w:tcPr>
            <w:tcW w:w="2495" w:type="dxa"/>
            <w:tcBorders>
              <w:top w:val="single" w:sz="4" w:space="0" w:color="A6A6A6" w:themeColor="background1" w:themeShade="A6"/>
            </w:tcBorders>
          </w:tcPr>
          <w:p w14:paraId="1C05DE97" w14:textId="77777777" w:rsidR="00FA7EBF" w:rsidRPr="007939DD" w:rsidRDefault="00FA7EBF" w:rsidP="007B207C">
            <w:pPr>
              <w:pStyle w:val="ARfintablebodybold"/>
              <w:rPr>
                <w:rStyle w:val="Strong"/>
              </w:rPr>
            </w:pPr>
            <w:r w:rsidRPr="006E72B4">
              <w:t>Vehicles</w:t>
            </w:r>
          </w:p>
        </w:tc>
        <w:tc>
          <w:tcPr>
            <w:tcW w:w="2948" w:type="dxa"/>
            <w:tcBorders>
              <w:top w:val="single" w:sz="4" w:space="0" w:color="A6A6A6" w:themeColor="background1" w:themeShade="A6"/>
            </w:tcBorders>
          </w:tcPr>
          <w:p w14:paraId="28390A5E" w14:textId="77777777" w:rsidR="00FA7EBF" w:rsidRPr="007939DD" w:rsidRDefault="00FA7EBF" w:rsidP="007B207C">
            <w:pPr>
              <w:pStyle w:val="ARfintablebody"/>
              <w:rPr>
                <w:lang w:eastAsia="en-AU"/>
              </w:rPr>
            </w:pPr>
            <w:r w:rsidRPr="006E72B4">
              <w:t>Current replacement cost</w:t>
            </w:r>
          </w:p>
        </w:tc>
        <w:tc>
          <w:tcPr>
            <w:tcW w:w="4196" w:type="dxa"/>
            <w:tcBorders>
              <w:top w:val="single" w:sz="4" w:space="0" w:color="A6A6A6" w:themeColor="background1" w:themeShade="A6"/>
            </w:tcBorders>
          </w:tcPr>
          <w:p w14:paraId="2F4F84E0" w14:textId="77777777" w:rsidR="00FA7EBF" w:rsidRPr="007939DD" w:rsidRDefault="00FA7EBF" w:rsidP="007B207C">
            <w:pPr>
              <w:pStyle w:val="ARfintablebody"/>
              <w:rPr>
                <w:lang w:eastAsia="en-AU"/>
              </w:rPr>
            </w:pPr>
            <w:r w:rsidRPr="00D009BA">
              <w:t>Useful life of vehicles</w:t>
            </w:r>
          </w:p>
        </w:tc>
      </w:tr>
    </w:tbl>
    <w:p w14:paraId="34B692A7" w14:textId="77777777" w:rsidR="00FA7EBF" w:rsidRPr="00194D78" w:rsidRDefault="00FA7EBF" w:rsidP="00CA66FD">
      <w:pPr>
        <w:pStyle w:val="ARfinbodyaftertable"/>
      </w:pPr>
      <w:r w:rsidRPr="00194D78">
        <w:t>Significant unobservable inputs have remained unchanged since June 2018.</w:t>
      </w:r>
    </w:p>
    <w:p w14:paraId="5B24EA0E" w14:textId="77777777" w:rsidR="00FA7EBF" w:rsidRDefault="00FA7EBF" w:rsidP="00CA66FD">
      <w:pPr>
        <w:pStyle w:val="Heading6"/>
        <w:rPr>
          <w:lang w:eastAsia="en-AU"/>
        </w:rPr>
      </w:pPr>
      <w:r w:rsidRPr="00194D78">
        <w:rPr>
          <w:lang w:eastAsia="en-AU"/>
        </w:rPr>
        <w:t>Non-financial physical assets classified as held for sale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1134"/>
        <w:gridCol w:w="1134"/>
        <w:gridCol w:w="1134"/>
        <w:gridCol w:w="1134"/>
      </w:tblGrid>
      <w:tr w:rsidR="00FA7EBF" w:rsidRPr="007939DD" w14:paraId="0EB6F5EC" w14:textId="77777777" w:rsidTr="007B207C">
        <w:trPr>
          <w:cantSplit/>
          <w:tblHeader/>
        </w:trPr>
        <w:tc>
          <w:tcPr>
            <w:tcW w:w="5103" w:type="dxa"/>
            <w:vMerge w:val="restart"/>
            <w:vAlign w:val="bottom"/>
          </w:tcPr>
          <w:p w14:paraId="32340FAD" w14:textId="77777777" w:rsidR="00FA7EBF" w:rsidRPr="007939DD" w:rsidRDefault="00FA7EBF" w:rsidP="007B207C">
            <w:pPr>
              <w:pStyle w:val="ARfintablecolhead"/>
            </w:pPr>
            <w:r w:rsidRPr="007C21F4">
              <w:t>2019</w:t>
            </w:r>
          </w:p>
        </w:tc>
        <w:tc>
          <w:tcPr>
            <w:tcW w:w="1134" w:type="dxa"/>
            <w:vMerge w:val="restart"/>
            <w:vAlign w:val="bottom"/>
          </w:tcPr>
          <w:p w14:paraId="124A2B9A" w14:textId="77777777" w:rsidR="00FA7EBF" w:rsidRPr="007939DD" w:rsidRDefault="00FA7EBF" w:rsidP="007B207C">
            <w:pPr>
              <w:pStyle w:val="ARfintablecolheadright"/>
            </w:pPr>
            <w:r w:rsidRPr="007939DD">
              <w:t>Carrying amount</w:t>
            </w:r>
          </w:p>
          <w:p w14:paraId="42777EEC" w14:textId="77777777" w:rsidR="00FA7EBF" w:rsidRPr="007939DD" w:rsidRDefault="00FA7EBF" w:rsidP="007B207C">
            <w:pPr>
              <w:pStyle w:val="ARfintablecolheadright"/>
            </w:pPr>
            <w:r w:rsidRPr="007939DD">
              <w:t>$M</w:t>
            </w:r>
          </w:p>
        </w:tc>
        <w:tc>
          <w:tcPr>
            <w:tcW w:w="3402" w:type="dxa"/>
            <w:gridSpan w:val="3"/>
            <w:vAlign w:val="bottom"/>
          </w:tcPr>
          <w:p w14:paraId="7D4D049D" w14:textId="77777777" w:rsidR="00FA7EBF" w:rsidRPr="007939DD" w:rsidRDefault="00FA7EBF" w:rsidP="007B207C">
            <w:pPr>
              <w:pStyle w:val="ARfintablecolheadcentre"/>
            </w:pPr>
            <w:r w:rsidRPr="007939DD">
              <w:t xml:space="preserve">Fair value measurement at end </w:t>
            </w:r>
            <w:r w:rsidRPr="007939DD">
              <w:br/>
              <w:t>of reporting period using:</w:t>
            </w:r>
          </w:p>
        </w:tc>
      </w:tr>
      <w:tr w:rsidR="00FA7EBF" w:rsidRPr="007939DD" w14:paraId="5F0C83B5" w14:textId="77777777" w:rsidTr="007B207C">
        <w:trPr>
          <w:cantSplit/>
          <w:tblHeader/>
        </w:trPr>
        <w:tc>
          <w:tcPr>
            <w:tcW w:w="5103" w:type="dxa"/>
            <w:vMerge/>
            <w:vAlign w:val="bottom"/>
          </w:tcPr>
          <w:p w14:paraId="1C050E04" w14:textId="77777777" w:rsidR="00FA7EBF" w:rsidRPr="007939DD" w:rsidRDefault="00FA7EBF" w:rsidP="007B207C">
            <w:pPr>
              <w:pStyle w:val="ARfintablecolhead"/>
            </w:pPr>
          </w:p>
        </w:tc>
        <w:tc>
          <w:tcPr>
            <w:tcW w:w="1134" w:type="dxa"/>
            <w:vMerge/>
            <w:vAlign w:val="bottom"/>
          </w:tcPr>
          <w:p w14:paraId="08F77A89" w14:textId="77777777" w:rsidR="00FA7EBF" w:rsidRPr="007939DD" w:rsidRDefault="00FA7EBF" w:rsidP="007B207C">
            <w:pPr>
              <w:pStyle w:val="ARfintablecolheadright"/>
            </w:pPr>
          </w:p>
        </w:tc>
        <w:tc>
          <w:tcPr>
            <w:tcW w:w="1134" w:type="dxa"/>
            <w:vAlign w:val="bottom"/>
          </w:tcPr>
          <w:p w14:paraId="19248D66" w14:textId="77777777" w:rsidR="00FA7EBF" w:rsidRPr="007939DD" w:rsidRDefault="00FA7EBF" w:rsidP="007B207C">
            <w:pPr>
              <w:pStyle w:val="ARfintablecolheadright"/>
            </w:pPr>
            <w:r w:rsidRPr="007939DD">
              <w:t xml:space="preserve">Level 1 </w:t>
            </w:r>
            <w:r w:rsidRPr="007939DD">
              <w:rPr>
                <w:rStyle w:val="Superscriptbold"/>
              </w:rPr>
              <w:t>(i)</w:t>
            </w:r>
          </w:p>
          <w:p w14:paraId="2A513B4D" w14:textId="77777777" w:rsidR="00FA7EBF" w:rsidRPr="007939DD" w:rsidRDefault="00FA7EBF" w:rsidP="007B207C">
            <w:pPr>
              <w:pStyle w:val="ARfintablecolheadright"/>
            </w:pPr>
            <w:r w:rsidRPr="007939DD">
              <w:t>$M</w:t>
            </w:r>
          </w:p>
        </w:tc>
        <w:tc>
          <w:tcPr>
            <w:tcW w:w="1134" w:type="dxa"/>
            <w:vAlign w:val="bottom"/>
          </w:tcPr>
          <w:p w14:paraId="095CCA20" w14:textId="77777777" w:rsidR="00FA7EBF" w:rsidRPr="007939DD" w:rsidRDefault="00FA7EBF" w:rsidP="007B207C">
            <w:pPr>
              <w:pStyle w:val="ARfintablecolheadright"/>
            </w:pPr>
            <w:r w:rsidRPr="007939DD">
              <w:t xml:space="preserve">Level 2 </w:t>
            </w:r>
            <w:r w:rsidRPr="007939DD">
              <w:rPr>
                <w:rStyle w:val="Superscriptbold"/>
              </w:rPr>
              <w:t>(i)</w:t>
            </w:r>
          </w:p>
          <w:p w14:paraId="47C2D63C" w14:textId="77777777" w:rsidR="00FA7EBF" w:rsidRPr="007939DD" w:rsidRDefault="00FA7EBF" w:rsidP="007B207C">
            <w:pPr>
              <w:pStyle w:val="ARfintablecolheadright"/>
            </w:pPr>
            <w:r w:rsidRPr="007939DD">
              <w:t>$M</w:t>
            </w:r>
          </w:p>
        </w:tc>
        <w:tc>
          <w:tcPr>
            <w:tcW w:w="1134" w:type="dxa"/>
            <w:vAlign w:val="bottom"/>
          </w:tcPr>
          <w:p w14:paraId="18A1A6DF" w14:textId="77777777" w:rsidR="00FA7EBF" w:rsidRPr="007939DD" w:rsidRDefault="00FA7EBF" w:rsidP="007B207C">
            <w:pPr>
              <w:pStyle w:val="ARfintablecolheadright"/>
            </w:pPr>
            <w:r w:rsidRPr="007939DD">
              <w:t xml:space="preserve">Level 3 </w:t>
            </w:r>
            <w:r w:rsidRPr="007939DD">
              <w:rPr>
                <w:rStyle w:val="Superscriptbold"/>
              </w:rPr>
              <w:t>(i)</w:t>
            </w:r>
          </w:p>
          <w:p w14:paraId="0C8B8225" w14:textId="77777777" w:rsidR="00FA7EBF" w:rsidRPr="007939DD" w:rsidRDefault="00FA7EBF" w:rsidP="007B207C">
            <w:pPr>
              <w:pStyle w:val="ARfintablecolheadright"/>
            </w:pPr>
            <w:r w:rsidRPr="007939DD">
              <w:t>$M</w:t>
            </w:r>
          </w:p>
        </w:tc>
      </w:tr>
      <w:tr w:rsidR="00FA7EBF" w:rsidRPr="007939DD" w14:paraId="01D58CA5" w14:textId="77777777" w:rsidTr="007B207C">
        <w:trPr>
          <w:cantSplit/>
        </w:trPr>
        <w:tc>
          <w:tcPr>
            <w:tcW w:w="9639" w:type="dxa"/>
            <w:gridSpan w:val="5"/>
            <w:tcBorders>
              <w:bottom w:val="single" w:sz="4" w:space="0" w:color="A6A6A6" w:themeColor="background1" w:themeShade="A6"/>
            </w:tcBorders>
          </w:tcPr>
          <w:p w14:paraId="7E258E6B" w14:textId="77777777" w:rsidR="00FA7EBF" w:rsidRPr="007939DD" w:rsidRDefault="00FA7EBF" w:rsidP="007B207C">
            <w:pPr>
              <w:pStyle w:val="ARfintablebodybold"/>
            </w:pPr>
            <w:r w:rsidRPr="007C21F4">
              <w:t>Land held for sale</w:t>
            </w:r>
          </w:p>
        </w:tc>
      </w:tr>
      <w:tr w:rsidR="00FA7EBF" w:rsidRPr="007939DD" w14:paraId="2E141C8A" w14:textId="77777777" w:rsidTr="007B207C">
        <w:trPr>
          <w:cantSplit/>
        </w:trPr>
        <w:tc>
          <w:tcPr>
            <w:tcW w:w="5103" w:type="dxa"/>
            <w:tcBorders>
              <w:top w:val="single" w:sz="4" w:space="0" w:color="A6A6A6" w:themeColor="background1" w:themeShade="A6"/>
            </w:tcBorders>
          </w:tcPr>
          <w:p w14:paraId="78814D76" w14:textId="77777777" w:rsidR="00FA7EBF" w:rsidRPr="007939DD" w:rsidRDefault="00FA7EBF" w:rsidP="007B207C">
            <w:pPr>
              <w:pStyle w:val="ARfintablebody"/>
              <w:rPr>
                <w:lang w:eastAsia="en-AU"/>
              </w:rPr>
            </w:pPr>
            <w:r w:rsidRPr="007C21F4">
              <w:t>Specialised land</w:t>
            </w:r>
          </w:p>
        </w:tc>
        <w:tc>
          <w:tcPr>
            <w:tcW w:w="1134" w:type="dxa"/>
            <w:tcBorders>
              <w:top w:val="single" w:sz="4" w:space="0" w:color="A6A6A6" w:themeColor="background1" w:themeShade="A6"/>
            </w:tcBorders>
          </w:tcPr>
          <w:p w14:paraId="13859891" w14:textId="77777777" w:rsidR="00FA7EBF" w:rsidRPr="007939DD" w:rsidRDefault="00FA7EBF" w:rsidP="007B207C">
            <w:pPr>
              <w:pStyle w:val="ARfintablebodyright"/>
            </w:pPr>
            <w:r w:rsidRPr="007C21F4">
              <w:t>23.9</w:t>
            </w:r>
          </w:p>
        </w:tc>
        <w:tc>
          <w:tcPr>
            <w:tcW w:w="1134" w:type="dxa"/>
            <w:tcBorders>
              <w:top w:val="single" w:sz="4" w:space="0" w:color="A6A6A6" w:themeColor="background1" w:themeShade="A6"/>
            </w:tcBorders>
          </w:tcPr>
          <w:p w14:paraId="073A9E10" w14:textId="77777777" w:rsidR="00FA7EBF" w:rsidRPr="007939DD" w:rsidRDefault="00FA7EBF" w:rsidP="007B207C">
            <w:pPr>
              <w:pStyle w:val="ARfintablebodyright"/>
            </w:pPr>
            <w:r w:rsidRPr="007C21F4">
              <w:t>–</w:t>
            </w:r>
          </w:p>
        </w:tc>
        <w:tc>
          <w:tcPr>
            <w:tcW w:w="1134" w:type="dxa"/>
            <w:tcBorders>
              <w:top w:val="single" w:sz="4" w:space="0" w:color="A6A6A6" w:themeColor="background1" w:themeShade="A6"/>
            </w:tcBorders>
          </w:tcPr>
          <w:p w14:paraId="6ECE85CE" w14:textId="77777777" w:rsidR="00FA7EBF" w:rsidRPr="007939DD" w:rsidRDefault="00FA7EBF" w:rsidP="007B207C">
            <w:pPr>
              <w:pStyle w:val="ARfintablebodyright"/>
            </w:pPr>
            <w:r w:rsidRPr="007C21F4">
              <w:t>23.9</w:t>
            </w:r>
          </w:p>
        </w:tc>
        <w:tc>
          <w:tcPr>
            <w:tcW w:w="1134" w:type="dxa"/>
            <w:tcBorders>
              <w:top w:val="single" w:sz="4" w:space="0" w:color="A6A6A6" w:themeColor="background1" w:themeShade="A6"/>
            </w:tcBorders>
          </w:tcPr>
          <w:p w14:paraId="03F0204F" w14:textId="77777777" w:rsidR="00FA7EBF" w:rsidRPr="007939DD" w:rsidRDefault="00FA7EBF" w:rsidP="007B207C">
            <w:pPr>
              <w:pStyle w:val="ARfintablebodyright"/>
            </w:pPr>
            <w:r w:rsidRPr="007C21F4">
              <w:t>–</w:t>
            </w:r>
          </w:p>
        </w:tc>
      </w:tr>
      <w:tr w:rsidR="00FA7EBF" w:rsidRPr="007939DD" w14:paraId="52B01A87" w14:textId="77777777" w:rsidTr="007B207C">
        <w:trPr>
          <w:cantSplit/>
        </w:trPr>
        <w:tc>
          <w:tcPr>
            <w:tcW w:w="5103" w:type="dxa"/>
          </w:tcPr>
          <w:p w14:paraId="5497A98E" w14:textId="77777777" w:rsidR="00FA7EBF" w:rsidRPr="007939DD" w:rsidRDefault="00FA7EBF" w:rsidP="007B207C">
            <w:pPr>
              <w:pStyle w:val="ARfintablebodybold"/>
              <w:rPr>
                <w:lang w:eastAsia="en-AU"/>
              </w:rPr>
            </w:pPr>
            <w:r w:rsidRPr="007C21F4">
              <w:t>Total land at fair value held for sale</w:t>
            </w:r>
          </w:p>
        </w:tc>
        <w:tc>
          <w:tcPr>
            <w:tcW w:w="1134" w:type="dxa"/>
          </w:tcPr>
          <w:p w14:paraId="59509B1B" w14:textId="77777777" w:rsidR="00FA7EBF" w:rsidRPr="007939DD" w:rsidRDefault="00FA7EBF" w:rsidP="007B207C">
            <w:pPr>
              <w:pStyle w:val="ARfintablebodyrightbold"/>
              <w:rPr>
                <w:rStyle w:val="Strong"/>
              </w:rPr>
            </w:pPr>
            <w:r w:rsidRPr="007C21F4">
              <w:t>23.9</w:t>
            </w:r>
          </w:p>
        </w:tc>
        <w:tc>
          <w:tcPr>
            <w:tcW w:w="1134" w:type="dxa"/>
          </w:tcPr>
          <w:p w14:paraId="045B3194" w14:textId="77777777" w:rsidR="00FA7EBF" w:rsidRPr="007939DD" w:rsidRDefault="00FA7EBF" w:rsidP="007B207C">
            <w:pPr>
              <w:pStyle w:val="ARfintablebodyrightbold"/>
              <w:rPr>
                <w:rStyle w:val="Strong"/>
              </w:rPr>
            </w:pPr>
            <w:r w:rsidRPr="007C21F4">
              <w:t>–</w:t>
            </w:r>
          </w:p>
        </w:tc>
        <w:tc>
          <w:tcPr>
            <w:tcW w:w="1134" w:type="dxa"/>
          </w:tcPr>
          <w:p w14:paraId="3989BB48" w14:textId="77777777" w:rsidR="00FA7EBF" w:rsidRPr="007939DD" w:rsidRDefault="00FA7EBF" w:rsidP="007B207C">
            <w:pPr>
              <w:pStyle w:val="ARfintablebodyrightbold"/>
              <w:rPr>
                <w:rStyle w:val="Strong"/>
              </w:rPr>
            </w:pPr>
            <w:r w:rsidRPr="007C21F4">
              <w:t>23.9</w:t>
            </w:r>
          </w:p>
        </w:tc>
        <w:tc>
          <w:tcPr>
            <w:tcW w:w="1134" w:type="dxa"/>
          </w:tcPr>
          <w:p w14:paraId="73E27BB1" w14:textId="77777777" w:rsidR="00FA7EBF" w:rsidRPr="007939DD" w:rsidRDefault="00FA7EBF" w:rsidP="007B207C">
            <w:pPr>
              <w:pStyle w:val="ARfintablebodyrightbold"/>
              <w:rPr>
                <w:rStyle w:val="Strong"/>
              </w:rPr>
            </w:pPr>
            <w:r w:rsidRPr="007C21F4">
              <w:t>–</w:t>
            </w:r>
          </w:p>
        </w:tc>
      </w:tr>
      <w:tr w:rsidR="00FA7EBF" w:rsidRPr="007939DD" w14:paraId="36EBC364" w14:textId="77777777" w:rsidTr="007B207C">
        <w:trPr>
          <w:cantSplit/>
        </w:trPr>
        <w:tc>
          <w:tcPr>
            <w:tcW w:w="9639" w:type="dxa"/>
            <w:gridSpan w:val="5"/>
            <w:tcBorders>
              <w:bottom w:val="single" w:sz="4" w:space="0" w:color="A6A6A6" w:themeColor="background1" w:themeShade="A6"/>
            </w:tcBorders>
          </w:tcPr>
          <w:p w14:paraId="48F6962B" w14:textId="77777777" w:rsidR="00FA7EBF" w:rsidRPr="007939DD" w:rsidRDefault="00FA7EBF" w:rsidP="007B207C">
            <w:pPr>
              <w:pStyle w:val="ARfintablebodybold"/>
            </w:pPr>
            <w:r w:rsidRPr="007C21F4">
              <w:t>Buildings held for sale</w:t>
            </w:r>
          </w:p>
        </w:tc>
      </w:tr>
      <w:tr w:rsidR="00FA7EBF" w:rsidRPr="007939DD" w14:paraId="5D46C842" w14:textId="77777777" w:rsidTr="007B207C">
        <w:trPr>
          <w:cantSplit/>
        </w:trPr>
        <w:tc>
          <w:tcPr>
            <w:tcW w:w="5103" w:type="dxa"/>
            <w:tcBorders>
              <w:top w:val="single" w:sz="4" w:space="0" w:color="A6A6A6" w:themeColor="background1" w:themeShade="A6"/>
            </w:tcBorders>
          </w:tcPr>
          <w:p w14:paraId="0DB3B005" w14:textId="77777777" w:rsidR="00FA7EBF" w:rsidRPr="007939DD" w:rsidRDefault="00FA7EBF" w:rsidP="007B207C">
            <w:pPr>
              <w:pStyle w:val="ARfintablebody"/>
              <w:rPr>
                <w:lang w:eastAsia="en-AU"/>
              </w:rPr>
            </w:pPr>
            <w:r w:rsidRPr="007C21F4">
              <w:t>Specialised building</w:t>
            </w:r>
          </w:p>
        </w:tc>
        <w:tc>
          <w:tcPr>
            <w:tcW w:w="1134" w:type="dxa"/>
            <w:tcBorders>
              <w:top w:val="single" w:sz="4" w:space="0" w:color="A6A6A6" w:themeColor="background1" w:themeShade="A6"/>
            </w:tcBorders>
          </w:tcPr>
          <w:p w14:paraId="41745761" w14:textId="77777777" w:rsidR="00FA7EBF" w:rsidRPr="007939DD" w:rsidRDefault="00FA7EBF" w:rsidP="007B207C">
            <w:pPr>
              <w:pStyle w:val="ARfintablebodyright"/>
            </w:pPr>
            <w:r w:rsidRPr="007C21F4">
              <w:t>4.5</w:t>
            </w:r>
          </w:p>
        </w:tc>
        <w:tc>
          <w:tcPr>
            <w:tcW w:w="1134" w:type="dxa"/>
            <w:tcBorders>
              <w:top w:val="single" w:sz="4" w:space="0" w:color="A6A6A6" w:themeColor="background1" w:themeShade="A6"/>
            </w:tcBorders>
          </w:tcPr>
          <w:p w14:paraId="2748FA7C" w14:textId="77777777" w:rsidR="00FA7EBF" w:rsidRPr="007939DD" w:rsidRDefault="00FA7EBF" w:rsidP="007B207C">
            <w:pPr>
              <w:pStyle w:val="ARfintablebodyright"/>
            </w:pPr>
            <w:r w:rsidRPr="007C21F4">
              <w:t>–</w:t>
            </w:r>
          </w:p>
        </w:tc>
        <w:tc>
          <w:tcPr>
            <w:tcW w:w="1134" w:type="dxa"/>
            <w:tcBorders>
              <w:top w:val="single" w:sz="4" w:space="0" w:color="A6A6A6" w:themeColor="background1" w:themeShade="A6"/>
            </w:tcBorders>
          </w:tcPr>
          <w:p w14:paraId="35BE1D25" w14:textId="77777777" w:rsidR="00FA7EBF" w:rsidRPr="007939DD" w:rsidRDefault="00FA7EBF" w:rsidP="007B207C">
            <w:pPr>
              <w:pStyle w:val="ARfintablebodyright"/>
            </w:pPr>
            <w:r w:rsidRPr="007C21F4">
              <w:t>4.5</w:t>
            </w:r>
          </w:p>
        </w:tc>
        <w:tc>
          <w:tcPr>
            <w:tcW w:w="1134" w:type="dxa"/>
            <w:tcBorders>
              <w:top w:val="single" w:sz="4" w:space="0" w:color="A6A6A6" w:themeColor="background1" w:themeShade="A6"/>
            </w:tcBorders>
          </w:tcPr>
          <w:p w14:paraId="5970F3D3" w14:textId="77777777" w:rsidR="00FA7EBF" w:rsidRPr="007939DD" w:rsidRDefault="00FA7EBF" w:rsidP="007B207C">
            <w:pPr>
              <w:pStyle w:val="ARfintablebodyright"/>
            </w:pPr>
            <w:r w:rsidRPr="007C21F4">
              <w:t>–</w:t>
            </w:r>
          </w:p>
        </w:tc>
      </w:tr>
      <w:tr w:rsidR="00FA7EBF" w:rsidRPr="007939DD" w14:paraId="6EDC8E06" w14:textId="77777777" w:rsidTr="007B207C">
        <w:trPr>
          <w:cantSplit/>
        </w:trPr>
        <w:tc>
          <w:tcPr>
            <w:tcW w:w="5103" w:type="dxa"/>
          </w:tcPr>
          <w:p w14:paraId="7F7D6750" w14:textId="77777777" w:rsidR="00FA7EBF" w:rsidRPr="007939DD" w:rsidRDefault="00FA7EBF" w:rsidP="007B207C">
            <w:pPr>
              <w:pStyle w:val="ARfintablebodybold"/>
              <w:rPr>
                <w:lang w:eastAsia="en-AU"/>
              </w:rPr>
            </w:pPr>
            <w:r w:rsidRPr="007C21F4">
              <w:t>Total buildings held for sale</w:t>
            </w:r>
          </w:p>
        </w:tc>
        <w:tc>
          <w:tcPr>
            <w:tcW w:w="1134" w:type="dxa"/>
          </w:tcPr>
          <w:p w14:paraId="08F15204" w14:textId="77777777" w:rsidR="00FA7EBF" w:rsidRPr="007939DD" w:rsidRDefault="00FA7EBF" w:rsidP="007B207C">
            <w:pPr>
              <w:pStyle w:val="ARfintablebodyrightbold"/>
              <w:rPr>
                <w:rStyle w:val="Strong"/>
              </w:rPr>
            </w:pPr>
            <w:r w:rsidRPr="007C21F4">
              <w:t>4.5</w:t>
            </w:r>
          </w:p>
        </w:tc>
        <w:tc>
          <w:tcPr>
            <w:tcW w:w="1134" w:type="dxa"/>
          </w:tcPr>
          <w:p w14:paraId="2CE410F0" w14:textId="77777777" w:rsidR="00FA7EBF" w:rsidRPr="007939DD" w:rsidRDefault="00FA7EBF" w:rsidP="007B207C">
            <w:pPr>
              <w:pStyle w:val="ARfintablebodyrightbold"/>
              <w:rPr>
                <w:rStyle w:val="Strong"/>
              </w:rPr>
            </w:pPr>
            <w:r w:rsidRPr="007C21F4">
              <w:t>–</w:t>
            </w:r>
          </w:p>
        </w:tc>
        <w:tc>
          <w:tcPr>
            <w:tcW w:w="1134" w:type="dxa"/>
          </w:tcPr>
          <w:p w14:paraId="446A847B" w14:textId="77777777" w:rsidR="00FA7EBF" w:rsidRPr="007939DD" w:rsidRDefault="00FA7EBF" w:rsidP="007B207C">
            <w:pPr>
              <w:pStyle w:val="ARfintablebodyrightbold"/>
              <w:rPr>
                <w:rStyle w:val="Strong"/>
              </w:rPr>
            </w:pPr>
            <w:r w:rsidRPr="007C21F4">
              <w:t>4.5</w:t>
            </w:r>
          </w:p>
        </w:tc>
        <w:tc>
          <w:tcPr>
            <w:tcW w:w="1134" w:type="dxa"/>
          </w:tcPr>
          <w:p w14:paraId="45692C7D" w14:textId="77777777" w:rsidR="00FA7EBF" w:rsidRPr="007939DD" w:rsidRDefault="00FA7EBF" w:rsidP="007B207C">
            <w:pPr>
              <w:pStyle w:val="ARfintablebodyrightbold"/>
              <w:rPr>
                <w:rStyle w:val="Strong"/>
              </w:rPr>
            </w:pPr>
            <w:r w:rsidRPr="007C21F4">
              <w:t>–</w:t>
            </w:r>
          </w:p>
        </w:tc>
      </w:tr>
    </w:tbl>
    <w:p w14:paraId="1E417B7C" w14:textId="77777777" w:rsidR="00FA7EBF" w:rsidRDefault="00FA7EBF" w:rsidP="00CA66FD">
      <w:pPr>
        <w:pStyle w:val="ARfin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1134"/>
        <w:gridCol w:w="1134"/>
        <w:gridCol w:w="1134"/>
        <w:gridCol w:w="1134"/>
      </w:tblGrid>
      <w:tr w:rsidR="00FA7EBF" w:rsidRPr="007939DD" w14:paraId="05C8A82C" w14:textId="77777777" w:rsidTr="007B207C">
        <w:trPr>
          <w:cantSplit/>
          <w:tblHeader/>
        </w:trPr>
        <w:tc>
          <w:tcPr>
            <w:tcW w:w="5103" w:type="dxa"/>
            <w:vMerge w:val="restart"/>
            <w:vAlign w:val="bottom"/>
          </w:tcPr>
          <w:p w14:paraId="512B0EE6" w14:textId="77777777" w:rsidR="00FA7EBF" w:rsidRPr="007C21F4" w:rsidRDefault="00FA7EBF" w:rsidP="007B207C">
            <w:pPr>
              <w:pStyle w:val="ARfintablecolhead"/>
            </w:pPr>
            <w:r>
              <w:t>2018</w:t>
            </w:r>
          </w:p>
        </w:tc>
        <w:tc>
          <w:tcPr>
            <w:tcW w:w="1134" w:type="dxa"/>
            <w:vMerge w:val="restart"/>
            <w:vAlign w:val="bottom"/>
          </w:tcPr>
          <w:p w14:paraId="7BE77900" w14:textId="77777777" w:rsidR="00FA7EBF" w:rsidRPr="007939DD" w:rsidRDefault="00FA7EBF" w:rsidP="007B207C">
            <w:pPr>
              <w:pStyle w:val="ARfintablecolheadright"/>
            </w:pPr>
            <w:r w:rsidRPr="007939DD">
              <w:t>Carrying amount</w:t>
            </w:r>
          </w:p>
          <w:p w14:paraId="7A19E0F8" w14:textId="77777777" w:rsidR="00FA7EBF" w:rsidRPr="007939DD" w:rsidRDefault="00FA7EBF" w:rsidP="007B207C">
            <w:pPr>
              <w:pStyle w:val="ARfintablecolheadright"/>
            </w:pPr>
            <w:r w:rsidRPr="007939DD">
              <w:t>$M</w:t>
            </w:r>
          </w:p>
        </w:tc>
        <w:tc>
          <w:tcPr>
            <w:tcW w:w="3402" w:type="dxa"/>
            <w:gridSpan w:val="3"/>
            <w:tcBorders>
              <w:bottom w:val="single" w:sz="4" w:space="0" w:color="A6A6A6" w:themeColor="background1" w:themeShade="A6"/>
            </w:tcBorders>
            <w:vAlign w:val="bottom"/>
          </w:tcPr>
          <w:p w14:paraId="4DD8808E" w14:textId="77777777" w:rsidR="00FA7EBF" w:rsidRPr="007939DD" w:rsidRDefault="00FA7EBF" w:rsidP="007B207C">
            <w:pPr>
              <w:pStyle w:val="ARfintablecolheadcentre"/>
            </w:pPr>
            <w:r w:rsidRPr="007939DD">
              <w:t xml:space="preserve">Fair value measurement at end </w:t>
            </w:r>
            <w:r w:rsidRPr="007939DD">
              <w:br/>
              <w:t>of reporting period using:</w:t>
            </w:r>
          </w:p>
        </w:tc>
      </w:tr>
      <w:tr w:rsidR="00FA7EBF" w:rsidRPr="007939DD" w14:paraId="7559B738" w14:textId="77777777" w:rsidTr="007B207C">
        <w:trPr>
          <w:cantSplit/>
          <w:tblHeader/>
        </w:trPr>
        <w:tc>
          <w:tcPr>
            <w:tcW w:w="5103" w:type="dxa"/>
            <w:vMerge/>
            <w:tcBorders>
              <w:bottom w:val="single" w:sz="4" w:space="0" w:color="A6A6A6" w:themeColor="background1" w:themeShade="A6"/>
            </w:tcBorders>
            <w:vAlign w:val="bottom"/>
          </w:tcPr>
          <w:p w14:paraId="7DE858A0" w14:textId="77777777" w:rsidR="00FA7EBF" w:rsidRPr="007C21F4" w:rsidRDefault="00FA7EBF" w:rsidP="007B207C">
            <w:pPr>
              <w:pStyle w:val="ARfintablebodybold"/>
            </w:pPr>
          </w:p>
        </w:tc>
        <w:tc>
          <w:tcPr>
            <w:tcW w:w="1134" w:type="dxa"/>
            <w:vMerge/>
            <w:tcBorders>
              <w:bottom w:val="single" w:sz="4" w:space="0" w:color="A6A6A6" w:themeColor="background1" w:themeShade="A6"/>
            </w:tcBorders>
            <w:vAlign w:val="bottom"/>
          </w:tcPr>
          <w:p w14:paraId="559CFE9D" w14:textId="77777777" w:rsidR="00FA7EBF" w:rsidRPr="007939DD" w:rsidRDefault="00FA7EBF" w:rsidP="007B207C">
            <w:pPr>
              <w:pStyle w:val="ARfintablebodyright"/>
            </w:pPr>
          </w:p>
        </w:tc>
        <w:tc>
          <w:tcPr>
            <w:tcW w:w="1134" w:type="dxa"/>
            <w:tcBorders>
              <w:bottom w:val="single" w:sz="4" w:space="0" w:color="A6A6A6" w:themeColor="background1" w:themeShade="A6"/>
            </w:tcBorders>
            <w:vAlign w:val="bottom"/>
          </w:tcPr>
          <w:p w14:paraId="02E0BD0F" w14:textId="77777777" w:rsidR="00FA7EBF" w:rsidRPr="007939DD" w:rsidRDefault="00FA7EBF" w:rsidP="007B207C">
            <w:pPr>
              <w:pStyle w:val="ARfintablecolheadright"/>
            </w:pPr>
            <w:r w:rsidRPr="007939DD">
              <w:t xml:space="preserve">Level 1 </w:t>
            </w:r>
            <w:r w:rsidRPr="007939DD">
              <w:rPr>
                <w:rStyle w:val="Superscriptbold"/>
              </w:rPr>
              <w:t>(i)</w:t>
            </w:r>
          </w:p>
          <w:p w14:paraId="02C18AC5" w14:textId="77777777" w:rsidR="00FA7EBF" w:rsidRPr="007939DD" w:rsidRDefault="00FA7EBF" w:rsidP="007B207C">
            <w:pPr>
              <w:pStyle w:val="ARfintablecolheadright"/>
            </w:pPr>
            <w:r w:rsidRPr="007939DD">
              <w:t>$M</w:t>
            </w:r>
          </w:p>
        </w:tc>
        <w:tc>
          <w:tcPr>
            <w:tcW w:w="1134" w:type="dxa"/>
            <w:tcBorders>
              <w:bottom w:val="single" w:sz="4" w:space="0" w:color="A6A6A6" w:themeColor="background1" w:themeShade="A6"/>
            </w:tcBorders>
            <w:vAlign w:val="bottom"/>
          </w:tcPr>
          <w:p w14:paraId="55F56263" w14:textId="77777777" w:rsidR="00FA7EBF" w:rsidRPr="007939DD" w:rsidRDefault="00FA7EBF" w:rsidP="007B207C">
            <w:pPr>
              <w:pStyle w:val="ARfintablecolheadright"/>
            </w:pPr>
            <w:r w:rsidRPr="007939DD">
              <w:t xml:space="preserve">Level 2 </w:t>
            </w:r>
            <w:r w:rsidRPr="007939DD">
              <w:rPr>
                <w:rStyle w:val="Superscriptbold"/>
              </w:rPr>
              <w:t>(i)</w:t>
            </w:r>
          </w:p>
          <w:p w14:paraId="41CC50FE" w14:textId="77777777" w:rsidR="00FA7EBF" w:rsidRPr="007939DD" w:rsidRDefault="00FA7EBF" w:rsidP="007B207C">
            <w:pPr>
              <w:pStyle w:val="ARfintablecolheadright"/>
            </w:pPr>
            <w:r w:rsidRPr="007939DD">
              <w:t>$M</w:t>
            </w:r>
          </w:p>
        </w:tc>
        <w:tc>
          <w:tcPr>
            <w:tcW w:w="1134" w:type="dxa"/>
            <w:tcBorders>
              <w:bottom w:val="single" w:sz="4" w:space="0" w:color="A6A6A6" w:themeColor="background1" w:themeShade="A6"/>
            </w:tcBorders>
            <w:vAlign w:val="bottom"/>
          </w:tcPr>
          <w:p w14:paraId="564BFB16" w14:textId="77777777" w:rsidR="00FA7EBF" w:rsidRPr="007939DD" w:rsidRDefault="00FA7EBF" w:rsidP="007B207C">
            <w:pPr>
              <w:pStyle w:val="ARfintablecolheadright"/>
            </w:pPr>
            <w:r w:rsidRPr="007939DD">
              <w:t xml:space="preserve">Level 3 </w:t>
            </w:r>
            <w:r w:rsidRPr="007939DD">
              <w:rPr>
                <w:rStyle w:val="Superscriptbold"/>
              </w:rPr>
              <w:t>(i)</w:t>
            </w:r>
          </w:p>
          <w:p w14:paraId="3BEC5A87" w14:textId="77777777" w:rsidR="00FA7EBF" w:rsidRPr="007939DD" w:rsidRDefault="00FA7EBF" w:rsidP="007B207C">
            <w:pPr>
              <w:pStyle w:val="ARfintablecolheadright"/>
            </w:pPr>
            <w:r w:rsidRPr="007939DD">
              <w:t>$M</w:t>
            </w:r>
          </w:p>
        </w:tc>
      </w:tr>
      <w:tr w:rsidR="00FA7EBF" w:rsidRPr="007939DD" w14:paraId="06481B40" w14:textId="77777777" w:rsidTr="007B207C">
        <w:trPr>
          <w:cantSplit/>
        </w:trPr>
        <w:tc>
          <w:tcPr>
            <w:tcW w:w="9639" w:type="dxa"/>
            <w:gridSpan w:val="5"/>
            <w:tcBorders>
              <w:bottom w:val="single" w:sz="4" w:space="0" w:color="A6A6A6" w:themeColor="background1" w:themeShade="A6"/>
            </w:tcBorders>
          </w:tcPr>
          <w:p w14:paraId="0DD6D8CE" w14:textId="77777777" w:rsidR="00FA7EBF" w:rsidRPr="007939DD" w:rsidRDefault="00FA7EBF" w:rsidP="007B207C">
            <w:pPr>
              <w:pStyle w:val="ARfintablebodybold"/>
            </w:pPr>
            <w:r w:rsidRPr="007C21F4">
              <w:t>Land held for sale</w:t>
            </w:r>
          </w:p>
        </w:tc>
      </w:tr>
      <w:tr w:rsidR="00FA7EBF" w:rsidRPr="007939DD" w14:paraId="151EACF8" w14:textId="77777777" w:rsidTr="007B207C">
        <w:trPr>
          <w:cantSplit/>
        </w:trPr>
        <w:tc>
          <w:tcPr>
            <w:tcW w:w="5103" w:type="dxa"/>
            <w:tcBorders>
              <w:top w:val="single" w:sz="4" w:space="0" w:color="A6A6A6" w:themeColor="background1" w:themeShade="A6"/>
            </w:tcBorders>
          </w:tcPr>
          <w:p w14:paraId="174A1382" w14:textId="77777777" w:rsidR="00FA7EBF" w:rsidRPr="007939DD" w:rsidRDefault="00FA7EBF" w:rsidP="007B207C">
            <w:pPr>
              <w:pStyle w:val="ARfintablebody"/>
              <w:rPr>
                <w:lang w:eastAsia="en-AU"/>
              </w:rPr>
            </w:pPr>
            <w:r w:rsidRPr="007C21F4">
              <w:t>Specialised land</w:t>
            </w:r>
          </w:p>
        </w:tc>
        <w:tc>
          <w:tcPr>
            <w:tcW w:w="1134" w:type="dxa"/>
            <w:tcBorders>
              <w:top w:val="single" w:sz="4" w:space="0" w:color="A6A6A6" w:themeColor="background1" w:themeShade="A6"/>
            </w:tcBorders>
          </w:tcPr>
          <w:p w14:paraId="0FDB30FB" w14:textId="77777777" w:rsidR="00FA7EBF" w:rsidRPr="007939DD" w:rsidRDefault="00FA7EBF" w:rsidP="007B207C">
            <w:pPr>
              <w:pStyle w:val="ARfintablebodyright"/>
            </w:pPr>
            <w:r w:rsidRPr="007C21F4">
              <w:t>26.4</w:t>
            </w:r>
          </w:p>
        </w:tc>
        <w:tc>
          <w:tcPr>
            <w:tcW w:w="1134" w:type="dxa"/>
            <w:tcBorders>
              <w:top w:val="single" w:sz="4" w:space="0" w:color="A6A6A6" w:themeColor="background1" w:themeShade="A6"/>
            </w:tcBorders>
          </w:tcPr>
          <w:p w14:paraId="66F2BCFC" w14:textId="77777777" w:rsidR="00FA7EBF" w:rsidRPr="007939DD" w:rsidRDefault="00FA7EBF" w:rsidP="007B207C">
            <w:pPr>
              <w:pStyle w:val="ARfintablebodyright"/>
            </w:pPr>
            <w:r w:rsidRPr="007C21F4">
              <w:t>–</w:t>
            </w:r>
          </w:p>
        </w:tc>
        <w:tc>
          <w:tcPr>
            <w:tcW w:w="1134" w:type="dxa"/>
            <w:tcBorders>
              <w:top w:val="single" w:sz="4" w:space="0" w:color="A6A6A6" w:themeColor="background1" w:themeShade="A6"/>
            </w:tcBorders>
          </w:tcPr>
          <w:p w14:paraId="09490B68" w14:textId="77777777" w:rsidR="00FA7EBF" w:rsidRPr="007939DD" w:rsidRDefault="00FA7EBF" w:rsidP="007B207C">
            <w:pPr>
              <w:pStyle w:val="ARfintablebodyright"/>
            </w:pPr>
            <w:r w:rsidRPr="007C21F4">
              <w:t>26.4</w:t>
            </w:r>
          </w:p>
        </w:tc>
        <w:tc>
          <w:tcPr>
            <w:tcW w:w="1134" w:type="dxa"/>
            <w:tcBorders>
              <w:top w:val="single" w:sz="4" w:space="0" w:color="A6A6A6" w:themeColor="background1" w:themeShade="A6"/>
            </w:tcBorders>
          </w:tcPr>
          <w:p w14:paraId="524751EC" w14:textId="77777777" w:rsidR="00FA7EBF" w:rsidRPr="007939DD" w:rsidRDefault="00FA7EBF" w:rsidP="007B207C">
            <w:pPr>
              <w:pStyle w:val="ARfintablebodyright"/>
            </w:pPr>
            <w:r w:rsidRPr="007C21F4">
              <w:t>–</w:t>
            </w:r>
          </w:p>
        </w:tc>
      </w:tr>
      <w:tr w:rsidR="00FA7EBF" w:rsidRPr="007939DD" w14:paraId="1EFB9BE7" w14:textId="77777777" w:rsidTr="007B207C">
        <w:trPr>
          <w:cantSplit/>
        </w:trPr>
        <w:tc>
          <w:tcPr>
            <w:tcW w:w="5103" w:type="dxa"/>
          </w:tcPr>
          <w:p w14:paraId="54DE5E97" w14:textId="77777777" w:rsidR="00FA7EBF" w:rsidRPr="007939DD" w:rsidRDefault="00FA7EBF" w:rsidP="007B207C">
            <w:pPr>
              <w:pStyle w:val="ARfintablebodybold"/>
              <w:rPr>
                <w:lang w:eastAsia="en-AU"/>
              </w:rPr>
            </w:pPr>
            <w:r w:rsidRPr="007C21F4">
              <w:t>Total land at fair value held for sale</w:t>
            </w:r>
          </w:p>
        </w:tc>
        <w:tc>
          <w:tcPr>
            <w:tcW w:w="1134" w:type="dxa"/>
          </w:tcPr>
          <w:p w14:paraId="71DF9F0B" w14:textId="77777777" w:rsidR="00FA7EBF" w:rsidRPr="007939DD" w:rsidRDefault="00FA7EBF" w:rsidP="007B207C">
            <w:pPr>
              <w:pStyle w:val="ARfintablebodyrightbold"/>
              <w:rPr>
                <w:rStyle w:val="Strong"/>
              </w:rPr>
            </w:pPr>
            <w:r w:rsidRPr="007C21F4">
              <w:t>26.4</w:t>
            </w:r>
          </w:p>
        </w:tc>
        <w:tc>
          <w:tcPr>
            <w:tcW w:w="1134" w:type="dxa"/>
          </w:tcPr>
          <w:p w14:paraId="2AE5612F" w14:textId="77777777" w:rsidR="00FA7EBF" w:rsidRPr="007939DD" w:rsidRDefault="00FA7EBF" w:rsidP="007B207C">
            <w:pPr>
              <w:pStyle w:val="ARfintablebodyrightbold"/>
              <w:rPr>
                <w:rStyle w:val="Strong"/>
              </w:rPr>
            </w:pPr>
            <w:r w:rsidRPr="007C21F4">
              <w:t>–</w:t>
            </w:r>
          </w:p>
        </w:tc>
        <w:tc>
          <w:tcPr>
            <w:tcW w:w="1134" w:type="dxa"/>
          </w:tcPr>
          <w:p w14:paraId="3CCE090A" w14:textId="77777777" w:rsidR="00FA7EBF" w:rsidRPr="007939DD" w:rsidRDefault="00FA7EBF" w:rsidP="007B207C">
            <w:pPr>
              <w:pStyle w:val="ARfintablebodyrightbold"/>
              <w:rPr>
                <w:rStyle w:val="Strong"/>
              </w:rPr>
            </w:pPr>
            <w:r w:rsidRPr="007C21F4">
              <w:t>26.4</w:t>
            </w:r>
          </w:p>
        </w:tc>
        <w:tc>
          <w:tcPr>
            <w:tcW w:w="1134" w:type="dxa"/>
          </w:tcPr>
          <w:p w14:paraId="473D8A9E" w14:textId="77777777" w:rsidR="00FA7EBF" w:rsidRPr="007939DD" w:rsidRDefault="00FA7EBF" w:rsidP="007B207C">
            <w:pPr>
              <w:pStyle w:val="ARfintablebodyrightbold"/>
              <w:rPr>
                <w:rStyle w:val="Strong"/>
              </w:rPr>
            </w:pPr>
            <w:r w:rsidRPr="007C21F4">
              <w:t>–</w:t>
            </w:r>
          </w:p>
        </w:tc>
      </w:tr>
      <w:tr w:rsidR="00FA7EBF" w:rsidRPr="007939DD" w14:paraId="3DEBD63B" w14:textId="77777777" w:rsidTr="007B207C">
        <w:trPr>
          <w:cantSplit/>
        </w:trPr>
        <w:tc>
          <w:tcPr>
            <w:tcW w:w="9639" w:type="dxa"/>
            <w:gridSpan w:val="5"/>
            <w:tcBorders>
              <w:bottom w:val="single" w:sz="4" w:space="0" w:color="A6A6A6" w:themeColor="background1" w:themeShade="A6"/>
            </w:tcBorders>
          </w:tcPr>
          <w:p w14:paraId="3598B1DA" w14:textId="77777777" w:rsidR="00FA7EBF" w:rsidRPr="007939DD" w:rsidRDefault="00FA7EBF" w:rsidP="007B207C">
            <w:pPr>
              <w:pStyle w:val="ARfintablebodybold"/>
            </w:pPr>
            <w:r w:rsidRPr="007C21F4">
              <w:t>Buildings held for sale</w:t>
            </w:r>
          </w:p>
        </w:tc>
      </w:tr>
      <w:tr w:rsidR="00FA7EBF" w:rsidRPr="007939DD" w14:paraId="09B8E3C7" w14:textId="77777777" w:rsidTr="007B207C">
        <w:trPr>
          <w:cantSplit/>
        </w:trPr>
        <w:tc>
          <w:tcPr>
            <w:tcW w:w="5103" w:type="dxa"/>
            <w:tcBorders>
              <w:top w:val="single" w:sz="4" w:space="0" w:color="A6A6A6" w:themeColor="background1" w:themeShade="A6"/>
            </w:tcBorders>
          </w:tcPr>
          <w:p w14:paraId="1B866DB4" w14:textId="77777777" w:rsidR="00FA7EBF" w:rsidRPr="007939DD" w:rsidRDefault="00FA7EBF" w:rsidP="007B207C">
            <w:pPr>
              <w:pStyle w:val="ARfintablebody"/>
              <w:rPr>
                <w:lang w:eastAsia="en-AU"/>
              </w:rPr>
            </w:pPr>
            <w:r w:rsidRPr="007C21F4">
              <w:t>Specialised building</w:t>
            </w:r>
          </w:p>
        </w:tc>
        <w:tc>
          <w:tcPr>
            <w:tcW w:w="1134" w:type="dxa"/>
            <w:tcBorders>
              <w:top w:val="single" w:sz="4" w:space="0" w:color="A6A6A6" w:themeColor="background1" w:themeShade="A6"/>
            </w:tcBorders>
          </w:tcPr>
          <w:p w14:paraId="0F2B44D2" w14:textId="77777777" w:rsidR="00FA7EBF" w:rsidRPr="007939DD" w:rsidRDefault="00FA7EBF" w:rsidP="007B207C">
            <w:pPr>
              <w:pStyle w:val="ARfintablebodyright"/>
            </w:pPr>
            <w:r w:rsidRPr="007C21F4">
              <w:t>3.2</w:t>
            </w:r>
          </w:p>
        </w:tc>
        <w:tc>
          <w:tcPr>
            <w:tcW w:w="1134" w:type="dxa"/>
            <w:tcBorders>
              <w:top w:val="single" w:sz="4" w:space="0" w:color="A6A6A6" w:themeColor="background1" w:themeShade="A6"/>
            </w:tcBorders>
          </w:tcPr>
          <w:p w14:paraId="09FBE922" w14:textId="77777777" w:rsidR="00FA7EBF" w:rsidRPr="007939DD" w:rsidRDefault="00FA7EBF" w:rsidP="007B207C">
            <w:pPr>
              <w:pStyle w:val="ARfintablebodyright"/>
            </w:pPr>
            <w:r w:rsidRPr="007C21F4">
              <w:t>–</w:t>
            </w:r>
          </w:p>
        </w:tc>
        <w:tc>
          <w:tcPr>
            <w:tcW w:w="1134" w:type="dxa"/>
            <w:tcBorders>
              <w:top w:val="single" w:sz="4" w:space="0" w:color="A6A6A6" w:themeColor="background1" w:themeShade="A6"/>
            </w:tcBorders>
          </w:tcPr>
          <w:p w14:paraId="202B83B6" w14:textId="77777777" w:rsidR="00FA7EBF" w:rsidRPr="007939DD" w:rsidRDefault="00FA7EBF" w:rsidP="007B207C">
            <w:pPr>
              <w:pStyle w:val="ARfintablebodyright"/>
            </w:pPr>
            <w:r w:rsidRPr="007C21F4">
              <w:t>3.2</w:t>
            </w:r>
          </w:p>
        </w:tc>
        <w:tc>
          <w:tcPr>
            <w:tcW w:w="1134" w:type="dxa"/>
            <w:tcBorders>
              <w:top w:val="single" w:sz="4" w:space="0" w:color="A6A6A6" w:themeColor="background1" w:themeShade="A6"/>
            </w:tcBorders>
          </w:tcPr>
          <w:p w14:paraId="4068A619" w14:textId="77777777" w:rsidR="00FA7EBF" w:rsidRPr="007939DD" w:rsidRDefault="00FA7EBF" w:rsidP="007B207C">
            <w:pPr>
              <w:pStyle w:val="ARfintablebodyright"/>
            </w:pPr>
            <w:r w:rsidRPr="007C21F4">
              <w:t>–</w:t>
            </w:r>
          </w:p>
        </w:tc>
      </w:tr>
      <w:tr w:rsidR="00FA7EBF" w:rsidRPr="007939DD" w14:paraId="31B5CECE" w14:textId="77777777" w:rsidTr="007B207C">
        <w:trPr>
          <w:cantSplit/>
        </w:trPr>
        <w:tc>
          <w:tcPr>
            <w:tcW w:w="5103" w:type="dxa"/>
          </w:tcPr>
          <w:p w14:paraId="150702D7" w14:textId="77777777" w:rsidR="00FA7EBF" w:rsidRPr="007939DD" w:rsidRDefault="00FA7EBF" w:rsidP="007B207C">
            <w:pPr>
              <w:pStyle w:val="ARfintablebodybold"/>
              <w:rPr>
                <w:lang w:eastAsia="en-AU"/>
              </w:rPr>
            </w:pPr>
            <w:r w:rsidRPr="007C21F4">
              <w:t>Total buildings held for sale</w:t>
            </w:r>
          </w:p>
        </w:tc>
        <w:tc>
          <w:tcPr>
            <w:tcW w:w="1134" w:type="dxa"/>
          </w:tcPr>
          <w:p w14:paraId="4904B8C3" w14:textId="77777777" w:rsidR="00FA7EBF" w:rsidRPr="007939DD" w:rsidRDefault="00FA7EBF" w:rsidP="007B207C">
            <w:pPr>
              <w:pStyle w:val="ARfintablebodyrightbold"/>
              <w:rPr>
                <w:rStyle w:val="Strong"/>
              </w:rPr>
            </w:pPr>
            <w:r w:rsidRPr="007C21F4">
              <w:t>3.2</w:t>
            </w:r>
          </w:p>
        </w:tc>
        <w:tc>
          <w:tcPr>
            <w:tcW w:w="1134" w:type="dxa"/>
          </w:tcPr>
          <w:p w14:paraId="5530F5B1" w14:textId="77777777" w:rsidR="00FA7EBF" w:rsidRPr="007939DD" w:rsidRDefault="00FA7EBF" w:rsidP="007B207C">
            <w:pPr>
              <w:pStyle w:val="ARfintablebodyrightbold"/>
              <w:rPr>
                <w:rStyle w:val="Strong"/>
              </w:rPr>
            </w:pPr>
            <w:r w:rsidRPr="007C21F4">
              <w:t>–</w:t>
            </w:r>
          </w:p>
        </w:tc>
        <w:tc>
          <w:tcPr>
            <w:tcW w:w="1134" w:type="dxa"/>
          </w:tcPr>
          <w:p w14:paraId="524E73DF" w14:textId="77777777" w:rsidR="00FA7EBF" w:rsidRPr="007939DD" w:rsidRDefault="00FA7EBF" w:rsidP="007B207C">
            <w:pPr>
              <w:pStyle w:val="ARfintablebodyrightbold"/>
              <w:rPr>
                <w:rStyle w:val="Strong"/>
              </w:rPr>
            </w:pPr>
            <w:r w:rsidRPr="007C21F4">
              <w:t>3.2</w:t>
            </w:r>
          </w:p>
        </w:tc>
        <w:tc>
          <w:tcPr>
            <w:tcW w:w="1134" w:type="dxa"/>
          </w:tcPr>
          <w:p w14:paraId="26C0136C" w14:textId="77777777" w:rsidR="00FA7EBF" w:rsidRPr="007939DD" w:rsidRDefault="00FA7EBF" w:rsidP="007B207C">
            <w:pPr>
              <w:pStyle w:val="ARfintablebodyrightbold"/>
              <w:rPr>
                <w:rStyle w:val="Strong"/>
              </w:rPr>
            </w:pPr>
            <w:r w:rsidRPr="007C21F4">
              <w:t>–</w:t>
            </w:r>
          </w:p>
        </w:tc>
      </w:tr>
    </w:tbl>
    <w:p w14:paraId="26CB93FF" w14:textId="77777777" w:rsidR="00FA7EBF" w:rsidRPr="00194D78" w:rsidRDefault="00FA7EBF" w:rsidP="00CA66FD">
      <w:pPr>
        <w:pStyle w:val="ARfintablefootnote"/>
        <w:rPr>
          <w:lang w:eastAsia="en-AU"/>
        </w:rPr>
      </w:pPr>
      <w:r w:rsidRPr="00194D78">
        <w:rPr>
          <w:lang w:eastAsia="en-AU"/>
        </w:rPr>
        <w:t>Note:</w:t>
      </w:r>
    </w:p>
    <w:p w14:paraId="6AF96B56" w14:textId="77777777" w:rsidR="00FA7EBF" w:rsidRPr="00194D78" w:rsidRDefault="00FA7EBF" w:rsidP="00CA66FD">
      <w:pPr>
        <w:pStyle w:val="ARfintablefootnoteindent"/>
      </w:pPr>
      <w:r w:rsidRPr="00194D78">
        <w:t>(i)</w:t>
      </w:r>
      <w:r>
        <w:tab/>
      </w:r>
      <w:r w:rsidRPr="00194D78">
        <w:t>Classified in accordance with the fair value hierarchy.</w:t>
      </w:r>
    </w:p>
    <w:p w14:paraId="7D97A9F1" w14:textId="77777777" w:rsidR="00FA7EBF" w:rsidRPr="00194D78" w:rsidRDefault="00FA7EBF" w:rsidP="00CA66FD">
      <w:pPr>
        <w:pStyle w:val="ARfinbodyaftertable"/>
      </w:pPr>
      <w:r w:rsidRPr="00194D78">
        <w:t>There have been no transfers between levels during 201</w:t>
      </w:r>
      <w:r>
        <w:t>8–</w:t>
      </w:r>
      <w:r w:rsidRPr="00194D78">
        <w:t>19.</w:t>
      </w:r>
    </w:p>
    <w:p w14:paraId="3E5F6B60" w14:textId="77777777" w:rsidR="00FA7EBF" w:rsidRDefault="00FA7EBF" w:rsidP="00CA66FD">
      <w:pPr>
        <w:pStyle w:val="ARfinbody"/>
      </w:pPr>
      <w:r>
        <w:br w:type="page"/>
      </w:r>
    </w:p>
    <w:p w14:paraId="6DA72035" w14:textId="77777777" w:rsidR="00FA7EBF" w:rsidRPr="00194D78" w:rsidRDefault="00FA7EBF" w:rsidP="00CA66FD">
      <w:pPr>
        <w:pStyle w:val="Heading3"/>
      </w:pPr>
      <w:bookmarkStart w:id="271" w:name="_Toc17971179"/>
      <w:bookmarkStart w:id="272" w:name="_Toc19795300"/>
      <w:r w:rsidRPr="00D6283A">
        <w:t>9</w:t>
      </w:r>
      <w:r>
        <w:t xml:space="preserve">. </w:t>
      </w:r>
      <w:r w:rsidRPr="00194D78">
        <w:t>Other disclosures</w:t>
      </w:r>
      <w:bookmarkEnd w:id="271"/>
      <w:bookmarkEnd w:id="272"/>
    </w:p>
    <w:p w14:paraId="3F8B8565" w14:textId="77777777" w:rsidR="00FA7EBF" w:rsidRPr="00194D78" w:rsidRDefault="00FA7EBF" w:rsidP="00CA66FD">
      <w:pPr>
        <w:pStyle w:val="Heading4"/>
        <w:rPr>
          <w:lang w:eastAsia="en-AU"/>
        </w:rPr>
      </w:pPr>
      <w:r w:rsidRPr="00194D78">
        <w:rPr>
          <w:lang w:eastAsia="en-AU"/>
        </w:rPr>
        <w:t>Introduction</w:t>
      </w:r>
    </w:p>
    <w:p w14:paraId="66893C25" w14:textId="77777777" w:rsidR="00FA7EBF" w:rsidRPr="00194D78" w:rsidRDefault="00FA7EBF" w:rsidP="00CA66FD">
      <w:pPr>
        <w:pStyle w:val="ARfinbody"/>
      </w:pPr>
      <w:r w:rsidRPr="00194D78">
        <w:t>This section includes additional material disclosures required by accounting standards or otherwise, for the understanding of this financial report.</w:t>
      </w:r>
    </w:p>
    <w:p w14:paraId="39D54A15" w14:textId="77777777" w:rsidR="00FA7EBF" w:rsidRPr="00194D78" w:rsidRDefault="00FA7EBF" w:rsidP="00CA66FD">
      <w:pPr>
        <w:pStyle w:val="Heading4"/>
        <w:rPr>
          <w:lang w:eastAsia="en-AU"/>
        </w:rPr>
      </w:pPr>
      <w:r w:rsidRPr="00194D78">
        <w:rPr>
          <w:lang w:eastAsia="en-AU"/>
        </w:rPr>
        <w:t>Structure</w:t>
      </w:r>
    </w:p>
    <w:p w14:paraId="4687DE05" w14:textId="77777777" w:rsidR="00FA7EBF" w:rsidRPr="00194D78" w:rsidRDefault="00FA7EBF" w:rsidP="00CA66FD">
      <w:pPr>
        <w:pStyle w:val="ARfinstructure1"/>
      </w:pPr>
      <w:r w:rsidRPr="00194D78">
        <w:t>9.1</w:t>
      </w:r>
      <w:r>
        <w:tab/>
      </w:r>
      <w:r w:rsidRPr="00194D78">
        <w:t>Ex-gratia expenses</w:t>
      </w:r>
    </w:p>
    <w:p w14:paraId="655D5036" w14:textId="77777777" w:rsidR="00FA7EBF" w:rsidRPr="00194D78" w:rsidRDefault="00FA7EBF" w:rsidP="00CA66FD">
      <w:pPr>
        <w:pStyle w:val="ARfinstructure1"/>
      </w:pPr>
      <w:r w:rsidRPr="00194D78">
        <w:t>9.2</w:t>
      </w:r>
      <w:r>
        <w:tab/>
      </w:r>
      <w:r w:rsidRPr="00194D78">
        <w:t>Other economic flows included in net result</w:t>
      </w:r>
    </w:p>
    <w:p w14:paraId="47DB251F" w14:textId="77777777" w:rsidR="00FA7EBF" w:rsidRPr="00194D78" w:rsidRDefault="00FA7EBF" w:rsidP="00CA66FD">
      <w:pPr>
        <w:pStyle w:val="ARfinstructure1"/>
      </w:pPr>
      <w:r w:rsidRPr="00194D78">
        <w:t>9.3</w:t>
      </w:r>
      <w:r>
        <w:tab/>
      </w:r>
      <w:r w:rsidRPr="00194D78">
        <w:t>Non-current assets held for sale</w:t>
      </w:r>
    </w:p>
    <w:p w14:paraId="3D2BF99E" w14:textId="77777777" w:rsidR="00FA7EBF" w:rsidRPr="00194D78" w:rsidRDefault="00FA7EBF" w:rsidP="00CA66FD">
      <w:pPr>
        <w:pStyle w:val="ARfinstructure1"/>
      </w:pPr>
      <w:r w:rsidRPr="00194D78">
        <w:t>9.4</w:t>
      </w:r>
      <w:r>
        <w:tab/>
      </w:r>
      <w:r w:rsidRPr="00194D78">
        <w:t>Reserves</w:t>
      </w:r>
    </w:p>
    <w:p w14:paraId="5B13F6B1" w14:textId="77777777" w:rsidR="00FA7EBF" w:rsidRPr="00194D78" w:rsidRDefault="00FA7EBF" w:rsidP="00CA66FD">
      <w:pPr>
        <w:pStyle w:val="ARfinstructure1"/>
      </w:pPr>
      <w:r w:rsidRPr="00194D78">
        <w:t>9.5</w:t>
      </w:r>
      <w:r>
        <w:tab/>
      </w:r>
      <w:r w:rsidRPr="00194D78">
        <w:t xml:space="preserve">Entities consolidated pursuant to </w:t>
      </w:r>
      <w:r>
        <w:t>s.</w:t>
      </w:r>
      <w:r w:rsidRPr="00194D78">
        <w:t xml:space="preserve"> 53(1)(b) of the FMA</w:t>
      </w:r>
    </w:p>
    <w:p w14:paraId="27EBCB67" w14:textId="77777777" w:rsidR="00FA7EBF" w:rsidRPr="00194D78" w:rsidRDefault="00FA7EBF" w:rsidP="00CA66FD">
      <w:pPr>
        <w:pStyle w:val="ARfinstructure1"/>
      </w:pPr>
      <w:r w:rsidRPr="00194D78">
        <w:t>9.6</w:t>
      </w:r>
      <w:r>
        <w:tab/>
      </w:r>
      <w:r w:rsidRPr="00194D78">
        <w:t>Responsible persons</w:t>
      </w:r>
    </w:p>
    <w:p w14:paraId="1BE705DD" w14:textId="77777777" w:rsidR="00FA7EBF" w:rsidRPr="00194D78" w:rsidRDefault="00FA7EBF" w:rsidP="00CA66FD">
      <w:pPr>
        <w:pStyle w:val="ARfinstructure1"/>
      </w:pPr>
      <w:r w:rsidRPr="00194D78">
        <w:t>9.7</w:t>
      </w:r>
      <w:r>
        <w:tab/>
      </w:r>
      <w:r w:rsidRPr="00194D78">
        <w:t>Remuneration of executives</w:t>
      </w:r>
    </w:p>
    <w:p w14:paraId="08D8A1CA" w14:textId="77777777" w:rsidR="00FA7EBF" w:rsidRPr="00194D78" w:rsidRDefault="00FA7EBF" w:rsidP="00CA66FD">
      <w:pPr>
        <w:pStyle w:val="ARfinstructure1"/>
      </w:pPr>
      <w:r w:rsidRPr="00194D78">
        <w:t>9.8</w:t>
      </w:r>
      <w:r>
        <w:tab/>
      </w:r>
      <w:r w:rsidRPr="00194D78">
        <w:t>Related parties</w:t>
      </w:r>
    </w:p>
    <w:p w14:paraId="79C38631" w14:textId="77777777" w:rsidR="00FA7EBF" w:rsidRPr="00194D78" w:rsidRDefault="00FA7EBF" w:rsidP="00CA66FD">
      <w:pPr>
        <w:pStyle w:val="ARfinstructure1"/>
      </w:pPr>
      <w:r w:rsidRPr="00194D78">
        <w:t>9.9</w:t>
      </w:r>
      <w:r>
        <w:tab/>
      </w:r>
      <w:r w:rsidRPr="00194D78">
        <w:t>Remuneration of auditors</w:t>
      </w:r>
    </w:p>
    <w:p w14:paraId="5CFFEE66" w14:textId="77777777" w:rsidR="00FA7EBF" w:rsidRPr="00194D78" w:rsidRDefault="00FA7EBF" w:rsidP="00CA66FD">
      <w:pPr>
        <w:pStyle w:val="ARfinstructure1"/>
      </w:pPr>
      <w:r w:rsidRPr="00194D78">
        <w:t>9.10</w:t>
      </w:r>
      <w:r>
        <w:tab/>
      </w:r>
      <w:r w:rsidRPr="00194D78">
        <w:t>Subsequent events</w:t>
      </w:r>
    </w:p>
    <w:p w14:paraId="6169AEC5" w14:textId="77777777" w:rsidR="00FA7EBF" w:rsidRPr="00194D78" w:rsidRDefault="00FA7EBF" w:rsidP="00CA66FD">
      <w:pPr>
        <w:pStyle w:val="ARfinstructure1"/>
      </w:pPr>
      <w:r w:rsidRPr="00194D78">
        <w:t>9.11</w:t>
      </w:r>
      <w:r>
        <w:tab/>
      </w:r>
      <w:r w:rsidRPr="00194D78">
        <w:t>Other accounting policies</w:t>
      </w:r>
    </w:p>
    <w:p w14:paraId="2E62B51A" w14:textId="77777777" w:rsidR="00FA7EBF" w:rsidRDefault="00FA7EBF" w:rsidP="00CA66FD">
      <w:pPr>
        <w:pStyle w:val="ARfinstructure1"/>
      </w:pPr>
      <w:r w:rsidRPr="00194D78">
        <w:t>9.12</w:t>
      </w:r>
      <w:r>
        <w:tab/>
      </w:r>
      <w:r w:rsidRPr="00194D78">
        <w:t>Change in accounting policies</w:t>
      </w:r>
    </w:p>
    <w:p w14:paraId="1BCA71C0" w14:textId="77777777" w:rsidR="00FA7EBF" w:rsidRDefault="00FA7EBF" w:rsidP="00CA66FD">
      <w:pPr>
        <w:pStyle w:val="ARfinstructure2"/>
      </w:pPr>
      <w:r w:rsidRPr="00EE3377">
        <w:t>9.12.1 Changes to classification and measurement</w:t>
      </w:r>
    </w:p>
    <w:p w14:paraId="407A9B48" w14:textId="77777777" w:rsidR="00FA7EBF" w:rsidRDefault="00FA7EBF" w:rsidP="00CA66FD">
      <w:pPr>
        <w:pStyle w:val="ARfinstructure2"/>
      </w:pPr>
      <w:r w:rsidRPr="000A4946">
        <w:t>9.12.2 Changes to the impairment of financial assets</w:t>
      </w:r>
    </w:p>
    <w:p w14:paraId="3AA3EC67" w14:textId="77777777" w:rsidR="00FA7EBF" w:rsidRPr="00194D78" w:rsidRDefault="00FA7EBF" w:rsidP="00CA66FD">
      <w:pPr>
        <w:pStyle w:val="ARfinstructure2"/>
      </w:pPr>
      <w:r w:rsidRPr="00D6283A">
        <w:t>9.12.3 Transition impact</w:t>
      </w:r>
    </w:p>
    <w:p w14:paraId="3DB0FDB1" w14:textId="77777777" w:rsidR="00FA7EBF" w:rsidRPr="00194D78" w:rsidRDefault="00FA7EBF" w:rsidP="00CA66FD">
      <w:pPr>
        <w:pStyle w:val="ARfinstructure1"/>
      </w:pPr>
      <w:r w:rsidRPr="00194D78">
        <w:t>9.13</w:t>
      </w:r>
      <w:r>
        <w:tab/>
      </w:r>
      <w:r w:rsidRPr="00194D78">
        <w:t>Australian Accounting Standards issued that are not yet effective</w:t>
      </w:r>
    </w:p>
    <w:p w14:paraId="4A0133B6" w14:textId="77777777" w:rsidR="00FA7EBF" w:rsidRPr="00194D78" w:rsidRDefault="00FA7EBF" w:rsidP="00CA66FD">
      <w:pPr>
        <w:pStyle w:val="ARfinstructure1"/>
      </w:pPr>
      <w:r w:rsidRPr="00194D78">
        <w:t>9.14</w:t>
      </w:r>
      <w:r>
        <w:tab/>
      </w:r>
      <w:r w:rsidRPr="00194D78">
        <w:t>Glossary of technical terms</w:t>
      </w:r>
    </w:p>
    <w:p w14:paraId="2B29A0BD" w14:textId="77777777" w:rsidR="00FA7EBF" w:rsidRPr="00194D78" w:rsidRDefault="00FA7EBF" w:rsidP="00CA66FD">
      <w:pPr>
        <w:pStyle w:val="ARfinstructure1"/>
      </w:pPr>
      <w:r w:rsidRPr="00194D78">
        <w:t>9.15</w:t>
      </w:r>
      <w:r>
        <w:tab/>
      </w:r>
      <w:r w:rsidRPr="00194D78">
        <w:t>Style conventions</w:t>
      </w:r>
    </w:p>
    <w:p w14:paraId="77084168" w14:textId="77777777" w:rsidR="00FA7EBF" w:rsidRPr="00194D78" w:rsidRDefault="00FA7EBF" w:rsidP="00CA66FD">
      <w:pPr>
        <w:pStyle w:val="Heading4"/>
        <w:rPr>
          <w:lang w:eastAsia="en-AU"/>
        </w:rPr>
      </w:pPr>
      <w:bookmarkStart w:id="273" w:name="_Ref21957726"/>
      <w:r w:rsidRPr="00194D78">
        <w:rPr>
          <w:lang w:eastAsia="en-AU"/>
        </w:rPr>
        <w:t>9.1 Ex-gratia expenses</w:t>
      </w:r>
      <w:bookmarkEnd w:id="273"/>
    </w:p>
    <w:p w14:paraId="12C22F51" w14:textId="77777777" w:rsidR="00FA7EBF" w:rsidRDefault="00FA7EBF" w:rsidP="00CA66FD">
      <w:pPr>
        <w:pStyle w:val="ARfinbody"/>
      </w:pPr>
      <w:r w:rsidRPr="00194D78">
        <w:t>Ex-gratia expenses are the voluntary payments of money or other non-monetary benefit (for example a write off) that is not made either to acquire goods, services or other benefits for the entity or to meet a legal liability, or to settle or resolve a possible legal liability of or claim against the entity.</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1"/>
        <w:gridCol w:w="1134"/>
        <w:gridCol w:w="1134"/>
      </w:tblGrid>
      <w:tr w:rsidR="00FA7EBF" w:rsidRPr="007939DD" w14:paraId="18F6811A" w14:textId="77777777" w:rsidTr="007B207C">
        <w:trPr>
          <w:cantSplit/>
          <w:tblHeader/>
        </w:trPr>
        <w:tc>
          <w:tcPr>
            <w:tcW w:w="7371" w:type="dxa"/>
            <w:vAlign w:val="bottom"/>
          </w:tcPr>
          <w:p w14:paraId="3E9DE5B5" w14:textId="77777777" w:rsidR="00FA7EBF" w:rsidRPr="007939DD" w:rsidRDefault="00FA7EBF" w:rsidP="007B207C">
            <w:pPr>
              <w:pStyle w:val="ARfintablecolhead"/>
            </w:pPr>
          </w:p>
        </w:tc>
        <w:tc>
          <w:tcPr>
            <w:tcW w:w="1134" w:type="dxa"/>
            <w:shd w:val="clear" w:color="auto" w:fill="E7E6E6"/>
            <w:vAlign w:val="bottom"/>
          </w:tcPr>
          <w:p w14:paraId="4A821BD5" w14:textId="77777777" w:rsidR="00FA7EBF" w:rsidRPr="007939DD" w:rsidRDefault="00FA7EBF" w:rsidP="007B207C">
            <w:pPr>
              <w:pStyle w:val="ARfintablecolheadright"/>
            </w:pPr>
            <w:r w:rsidRPr="007939DD">
              <w:t>201</w:t>
            </w:r>
            <w:r>
              <w:t>9</w:t>
            </w:r>
          </w:p>
          <w:p w14:paraId="7C72945D" w14:textId="77777777" w:rsidR="00FA7EBF" w:rsidRPr="007939DD" w:rsidRDefault="00FA7EBF" w:rsidP="007B207C">
            <w:pPr>
              <w:pStyle w:val="ARfintablecolheadright"/>
            </w:pPr>
            <w:r w:rsidRPr="007939DD">
              <w:t>$</w:t>
            </w:r>
          </w:p>
        </w:tc>
        <w:tc>
          <w:tcPr>
            <w:tcW w:w="1134" w:type="dxa"/>
            <w:vAlign w:val="bottom"/>
          </w:tcPr>
          <w:p w14:paraId="52B2B9C2" w14:textId="77777777" w:rsidR="00FA7EBF" w:rsidRPr="007939DD" w:rsidRDefault="00FA7EBF" w:rsidP="007B207C">
            <w:pPr>
              <w:pStyle w:val="ARfintablecolheadright"/>
            </w:pPr>
            <w:r w:rsidRPr="007939DD">
              <w:t>201</w:t>
            </w:r>
            <w:r>
              <w:t>8</w:t>
            </w:r>
          </w:p>
          <w:p w14:paraId="2D8D18A0" w14:textId="77777777" w:rsidR="00FA7EBF" w:rsidRPr="007939DD" w:rsidRDefault="00FA7EBF" w:rsidP="007B207C">
            <w:pPr>
              <w:pStyle w:val="ARfintablecolheadright"/>
            </w:pPr>
            <w:r w:rsidRPr="007939DD">
              <w:t>$</w:t>
            </w:r>
          </w:p>
        </w:tc>
      </w:tr>
      <w:tr w:rsidR="00FA7EBF" w:rsidRPr="007939DD" w14:paraId="1532F7D9" w14:textId="77777777" w:rsidTr="007B207C">
        <w:trPr>
          <w:cantSplit/>
        </w:trPr>
        <w:tc>
          <w:tcPr>
            <w:tcW w:w="7371" w:type="dxa"/>
          </w:tcPr>
          <w:p w14:paraId="43C38728" w14:textId="77777777" w:rsidR="00FA7EBF" w:rsidRPr="007939DD" w:rsidRDefault="00FA7EBF" w:rsidP="007B207C">
            <w:pPr>
              <w:pStyle w:val="ARfintablebody"/>
              <w:rPr>
                <w:lang w:eastAsia="en-AU"/>
              </w:rPr>
            </w:pPr>
            <w:r w:rsidRPr="001017BF">
              <w:t xml:space="preserve">Compensation for economic loss </w:t>
            </w:r>
            <w:r w:rsidRPr="00EE3377">
              <w:rPr>
                <w:rStyle w:val="Superscript"/>
              </w:rPr>
              <w:t>(i)</w:t>
            </w:r>
          </w:p>
        </w:tc>
        <w:tc>
          <w:tcPr>
            <w:tcW w:w="1134" w:type="dxa"/>
            <w:shd w:val="clear" w:color="auto" w:fill="E7E6E6"/>
          </w:tcPr>
          <w:p w14:paraId="3F24D2A9" w14:textId="77777777" w:rsidR="00FA7EBF" w:rsidRPr="007939DD" w:rsidRDefault="00FA7EBF" w:rsidP="007B207C">
            <w:pPr>
              <w:pStyle w:val="ARfintablebodyright"/>
              <w:rPr>
                <w:lang w:eastAsia="en-AU"/>
              </w:rPr>
            </w:pPr>
            <w:r w:rsidRPr="001017BF">
              <w:t>–</w:t>
            </w:r>
          </w:p>
        </w:tc>
        <w:tc>
          <w:tcPr>
            <w:tcW w:w="1134" w:type="dxa"/>
          </w:tcPr>
          <w:p w14:paraId="02B28207" w14:textId="77777777" w:rsidR="00FA7EBF" w:rsidRPr="007939DD" w:rsidRDefault="00FA7EBF" w:rsidP="007B207C">
            <w:pPr>
              <w:pStyle w:val="ARfintablebodyright"/>
              <w:rPr>
                <w:lang w:eastAsia="en-AU"/>
              </w:rPr>
            </w:pPr>
            <w:r w:rsidRPr="001017BF">
              <w:t>–</w:t>
            </w:r>
          </w:p>
        </w:tc>
      </w:tr>
      <w:tr w:rsidR="00FA7EBF" w:rsidRPr="007939DD" w14:paraId="2AE30684" w14:textId="77777777" w:rsidTr="007B207C">
        <w:trPr>
          <w:cantSplit/>
        </w:trPr>
        <w:tc>
          <w:tcPr>
            <w:tcW w:w="7371" w:type="dxa"/>
          </w:tcPr>
          <w:p w14:paraId="5F5B073D" w14:textId="77777777" w:rsidR="00FA7EBF" w:rsidRPr="007939DD" w:rsidRDefault="00FA7EBF" w:rsidP="007B207C">
            <w:pPr>
              <w:pStyle w:val="ARfintablebodybold"/>
              <w:rPr>
                <w:lang w:eastAsia="en-AU"/>
              </w:rPr>
            </w:pPr>
            <w:r w:rsidRPr="001017BF">
              <w:t>Total ex-gratia expenses</w:t>
            </w:r>
          </w:p>
        </w:tc>
        <w:tc>
          <w:tcPr>
            <w:tcW w:w="1134" w:type="dxa"/>
            <w:shd w:val="clear" w:color="auto" w:fill="E7E6E6"/>
          </w:tcPr>
          <w:p w14:paraId="4231A3F9" w14:textId="77777777" w:rsidR="00FA7EBF" w:rsidRPr="007939DD" w:rsidRDefault="00FA7EBF" w:rsidP="007B207C">
            <w:pPr>
              <w:pStyle w:val="ARfintablebodyrightbold"/>
              <w:rPr>
                <w:lang w:eastAsia="en-AU"/>
              </w:rPr>
            </w:pPr>
            <w:r w:rsidRPr="001017BF">
              <w:t>–</w:t>
            </w:r>
          </w:p>
        </w:tc>
        <w:tc>
          <w:tcPr>
            <w:tcW w:w="1134" w:type="dxa"/>
          </w:tcPr>
          <w:p w14:paraId="056C681E" w14:textId="77777777" w:rsidR="00FA7EBF" w:rsidRPr="007939DD" w:rsidRDefault="00FA7EBF" w:rsidP="007B207C">
            <w:pPr>
              <w:pStyle w:val="ARfintablebodyrightbold"/>
              <w:rPr>
                <w:rStyle w:val="Strong"/>
                <w:bCs w:val="0"/>
              </w:rPr>
            </w:pPr>
            <w:r w:rsidRPr="001017BF">
              <w:t>–</w:t>
            </w:r>
          </w:p>
        </w:tc>
      </w:tr>
    </w:tbl>
    <w:p w14:paraId="627DB198" w14:textId="77777777" w:rsidR="00FA7EBF" w:rsidRPr="00194D78" w:rsidRDefault="00FA7EBF" w:rsidP="00CA66FD">
      <w:pPr>
        <w:pStyle w:val="ARfintablefootnote"/>
        <w:rPr>
          <w:lang w:eastAsia="en-AU"/>
        </w:rPr>
      </w:pPr>
      <w:r w:rsidRPr="00194D78">
        <w:rPr>
          <w:lang w:eastAsia="en-AU"/>
        </w:rPr>
        <w:t>Note:</w:t>
      </w:r>
    </w:p>
    <w:p w14:paraId="0B13048A" w14:textId="77777777" w:rsidR="00FA7EBF" w:rsidRPr="00194D78" w:rsidRDefault="00FA7EBF" w:rsidP="00CA66FD">
      <w:pPr>
        <w:pStyle w:val="ARfintablefootnoteindent"/>
      </w:pPr>
      <w:r w:rsidRPr="00194D78">
        <w:t>(i)</w:t>
      </w:r>
      <w:r>
        <w:tab/>
      </w:r>
      <w:r w:rsidRPr="00194D78">
        <w:t>There were no ex-gratia expense items greater than or equal to $5,000</w:t>
      </w:r>
      <w:r>
        <w:t>.</w:t>
      </w:r>
    </w:p>
    <w:p w14:paraId="73A1E052" w14:textId="77777777" w:rsidR="00FA7EBF" w:rsidRDefault="00FA7EBF" w:rsidP="00CA66FD">
      <w:pPr>
        <w:pStyle w:val="ARfinbody"/>
        <w:rPr>
          <w:rFonts w:eastAsia="MS Mincho" w:cs="Arial"/>
          <w:color w:val="53565A" w:themeColor="accent2"/>
        </w:rPr>
      </w:pPr>
      <w:r>
        <w:br w:type="page"/>
      </w:r>
    </w:p>
    <w:p w14:paraId="2427A0DA" w14:textId="77777777" w:rsidR="00FA7EBF" w:rsidRPr="00194D78" w:rsidRDefault="00FA7EBF" w:rsidP="00CA66FD">
      <w:pPr>
        <w:pStyle w:val="Heading4"/>
        <w:rPr>
          <w:lang w:eastAsia="en-AU"/>
        </w:rPr>
      </w:pPr>
      <w:r w:rsidRPr="00194D78">
        <w:rPr>
          <w:lang w:eastAsia="en-AU"/>
        </w:rPr>
        <w:t>9.2 Other economic flows included in net result</w:t>
      </w:r>
    </w:p>
    <w:p w14:paraId="1F5296CD" w14:textId="77777777" w:rsidR="00FA7EBF" w:rsidRDefault="00FA7EBF" w:rsidP="00CA66FD">
      <w:pPr>
        <w:pStyle w:val="ARfinbody"/>
      </w:pPr>
      <w:r w:rsidRPr="00194D78">
        <w:t>Other economic flows are changes in the volume or value of an asset or liability that do not result from transactions. Other gains/(losses) from other economic flows include the gains or losses from:</w:t>
      </w:r>
    </w:p>
    <w:p w14:paraId="3E6FF484" w14:textId="77777777" w:rsidR="00FA7EBF" w:rsidRPr="00194D78" w:rsidRDefault="00FA7EBF" w:rsidP="00CA66FD">
      <w:pPr>
        <w:pStyle w:val="ARfinbullet1"/>
        <w:numPr>
          <w:ilvl w:val="0"/>
          <w:numId w:val="4"/>
        </w:numPr>
      </w:pPr>
      <w:r w:rsidRPr="00194D78">
        <w:t>the revaluation of the present value of the long service leave liability due to changes in the bond interest rates and the effects of changes in actuarial assumptions</w:t>
      </w:r>
    </w:p>
    <w:p w14:paraId="68042EB6" w14:textId="77777777" w:rsidR="00FA7EBF" w:rsidRPr="00194D78" w:rsidRDefault="00FA7EBF" w:rsidP="00CA66FD">
      <w:pPr>
        <w:pStyle w:val="ARfinbullet1"/>
        <w:numPr>
          <w:ilvl w:val="0"/>
          <w:numId w:val="4"/>
        </w:numPr>
      </w:pPr>
      <w:r w:rsidRPr="00194D78">
        <w:t>other revaluations on the value of outstanding insurance claims and liabilities</w:t>
      </w:r>
    </w:p>
    <w:p w14:paraId="0380F641" w14:textId="77777777" w:rsidR="00FA7EBF" w:rsidRDefault="00FA7EBF" w:rsidP="00CA66FD">
      <w:pPr>
        <w:pStyle w:val="ARfinbullet1"/>
        <w:numPr>
          <w:ilvl w:val="0"/>
          <w:numId w:val="4"/>
        </w:numPr>
      </w:pPr>
      <w:r w:rsidRPr="00194D78">
        <w:t>bad debt expenses.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4D7D3F7C" w14:textId="77777777" w:rsidTr="007B207C">
        <w:trPr>
          <w:cantSplit/>
          <w:tblHeader/>
        </w:trPr>
        <w:tc>
          <w:tcPr>
            <w:tcW w:w="7371" w:type="dxa"/>
            <w:vAlign w:val="bottom"/>
          </w:tcPr>
          <w:p w14:paraId="0573D1F1" w14:textId="77777777" w:rsidR="00FA7EBF" w:rsidRPr="007939DD" w:rsidRDefault="00FA7EBF" w:rsidP="007B207C">
            <w:pPr>
              <w:pStyle w:val="ARfintablecolhead"/>
            </w:pPr>
          </w:p>
        </w:tc>
        <w:tc>
          <w:tcPr>
            <w:tcW w:w="1134" w:type="dxa"/>
            <w:shd w:val="clear" w:color="auto" w:fill="E7E6E6"/>
            <w:vAlign w:val="bottom"/>
          </w:tcPr>
          <w:p w14:paraId="4749B21D" w14:textId="77777777" w:rsidR="00FA7EBF" w:rsidRPr="007939DD" w:rsidRDefault="00FA7EBF" w:rsidP="007B207C">
            <w:pPr>
              <w:pStyle w:val="ARfintablecolheadright"/>
            </w:pPr>
            <w:r w:rsidRPr="007939DD">
              <w:t>201</w:t>
            </w:r>
            <w:r>
              <w:t>9</w:t>
            </w:r>
          </w:p>
          <w:p w14:paraId="7142D8C6" w14:textId="77777777" w:rsidR="00FA7EBF" w:rsidRPr="007939DD" w:rsidRDefault="00FA7EBF" w:rsidP="007B207C">
            <w:pPr>
              <w:pStyle w:val="ARfintablecolheadright"/>
            </w:pPr>
            <w:r w:rsidRPr="007939DD">
              <w:t>$M</w:t>
            </w:r>
          </w:p>
        </w:tc>
        <w:tc>
          <w:tcPr>
            <w:tcW w:w="1134" w:type="dxa"/>
            <w:vAlign w:val="bottom"/>
          </w:tcPr>
          <w:p w14:paraId="2C8326C2" w14:textId="77777777" w:rsidR="00FA7EBF" w:rsidRPr="007939DD" w:rsidRDefault="00FA7EBF" w:rsidP="007B207C">
            <w:pPr>
              <w:pStyle w:val="ARfintablecolheadright"/>
            </w:pPr>
            <w:r w:rsidRPr="007939DD">
              <w:t>201</w:t>
            </w:r>
            <w:r>
              <w:t>8</w:t>
            </w:r>
          </w:p>
          <w:p w14:paraId="3E7299A6" w14:textId="77777777" w:rsidR="00FA7EBF" w:rsidRPr="007939DD" w:rsidRDefault="00FA7EBF" w:rsidP="007B207C">
            <w:pPr>
              <w:pStyle w:val="ARfintablecolheadright"/>
            </w:pPr>
            <w:r w:rsidRPr="007939DD">
              <w:t>$M</w:t>
            </w:r>
          </w:p>
        </w:tc>
      </w:tr>
      <w:tr w:rsidR="00FA7EBF" w:rsidRPr="007939DD" w14:paraId="6EC48EC6" w14:textId="77777777" w:rsidTr="007B207C">
        <w:trPr>
          <w:cantSplit/>
        </w:trPr>
        <w:tc>
          <w:tcPr>
            <w:tcW w:w="9639" w:type="dxa"/>
            <w:gridSpan w:val="3"/>
            <w:tcBorders>
              <w:bottom w:val="single" w:sz="4" w:space="0" w:color="A6A6A6" w:themeColor="background1" w:themeShade="A6"/>
            </w:tcBorders>
          </w:tcPr>
          <w:p w14:paraId="58F94B24" w14:textId="77777777" w:rsidR="00FA7EBF" w:rsidRPr="007939DD" w:rsidRDefault="00FA7EBF" w:rsidP="007B207C">
            <w:pPr>
              <w:pStyle w:val="ARfintablebodybold"/>
              <w:rPr>
                <w:lang w:eastAsia="en-AU"/>
              </w:rPr>
            </w:pPr>
            <w:r w:rsidRPr="00B85960">
              <w:t>(a) Net gain/(loss) on non-financial assets</w:t>
            </w:r>
          </w:p>
        </w:tc>
      </w:tr>
      <w:tr w:rsidR="00FA7EBF" w:rsidRPr="007939DD" w14:paraId="5449FADC" w14:textId="77777777" w:rsidTr="007B207C">
        <w:trPr>
          <w:cantSplit/>
        </w:trPr>
        <w:tc>
          <w:tcPr>
            <w:tcW w:w="9639" w:type="dxa"/>
            <w:gridSpan w:val="3"/>
            <w:tcBorders>
              <w:top w:val="single" w:sz="4" w:space="0" w:color="A6A6A6" w:themeColor="background1" w:themeShade="A6"/>
              <w:bottom w:val="single" w:sz="4" w:space="0" w:color="A6A6A6" w:themeColor="background1" w:themeShade="A6"/>
            </w:tcBorders>
          </w:tcPr>
          <w:p w14:paraId="05A634F3" w14:textId="77777777" w:rsidR="00FA7EBF" w:rsidRPr="007939DD" w:rsidRDefault="00FA7EBF" w:rsidP="007B207C">
            <w:pPr>
              <w:pStyle w:val="ARfintablebodybold"/>
              <w:rPr>
                <w:lang w:eastAsia="en-AU"/>
              </w:rPr>
            </w:pPr>
            <w:r w:rsidRPr="00B85960">
              <w:t>Revenue from disposal of non-financial physical assets</w:t>
            </w:r>
          </w:p>
        </w:tc>
      </w:tr>
      <w:tr w:rsidR="00FA7EBF" w:rsidRPr="007939DD" w14:paraId="0646FE52"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3529A6AF" w14:textId="77777777" w:rsidR="00FA7EBF" w:rsidRPr="007939DD" w:rsidRDefault="00FA7EBF" w:rsidP="007B207C">
            <w:pPr>
              <w:pStyle w:val="ARfintablebody"/>
              <w:rPr>
                <w:lang w:eastAsia="en-AU"/>
              </w:rPr>
            </w:pPr>
            <w:r w:rsidRPr="00B85960">
              <w:t>Land</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9EC5C78" w14:textId="77777777" w:rsidR="00FA7EBF" w:rsidRPr="007939DD" w:rsidRDefault="00FA7EBF" w:rsidP="007B207C">
            <w:pPr>
              <w:pStyle w:val="ARfintablebodyright"/>
              <w:rPr>
                <w:lang w:eastAsia="en-AU"/>
              </w:rPr>
            </w:pPr>
            <w:r w:rsidRPr="00B85960">
              <w:t>43.8</w:t>
            </w:r>
          </w:p>
        </w:tc>
        <w:tc>
          <w:tcPr>
            <w:tcW w:w="1134" w:type="dxa"/>
            <w:tcBorders>
              <w:top w:val="single" w:sz="4" w:space="0" w:color="A6A6A6" w:themeColor="background1" w:themeShade="A6"/>
              <w:bottom w:val="single" w:sz="4" w:space="0" w:color="A6A6A6" w:themeColor="background1" w:themeShade="A6"/>
            </w:tcBorders>
          </w:tcPr>
          <w:p w14:paraId="1BA439B8" w14:textId="77777777" w:rsidR="00FA7EBF" w:rsidRPr="007939DD" w:rsidRDefault="00FA7EBF" w:rsidP="007B207C">
            <w:pPr>
              <w:pStyle w:val="ARfintablebodyright"/>
              <w:rPr>
                <w:lang w:eastAsia="en-AU"/>
              </w:rPr>
            </w:pPr>
            <w:r w:rsidRPr="00B85960">
              <w:t>59.5</w:t>
            </w:r>
          </w:p>
        </w:tc>
      </w:tr>
      <w:tr w:rsidR="00FA7EBF" w:rsidRPr="007939DD" w14:paraId="1BCA0147"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6C974549" w14:textId="77777777" w:rsidR="00FA7EBF" w:rsidRPr="007939DD" w:rsidRDefault="00FA7EBF" w:rsidP="007B207C">
            <w:pPr>
              <w:pStyle w:val="ARfintablebody"/>
              <w:rPr>
                <w:lang w:eastAsia="en-AU"/>
              </w:rPr>
            </w:pPr>
            <w:r w:rsidRPr="00B85960">
              <w:t>Buildings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249F5E3" w14:textId="77777777" w:rsidR="00FA7EBF" w:rsidRPr="007939DD" w:rsidRDefault="00FA7EBF" w:rsidP="007B207C">
            <w:pPr>
              <w:pStyle w:val="ARfintablebodyright"/>
              <w:rPr>
                <w:lang w:eastAsia="en-AU"/>
              </w:rPr>
            </w:pPr>
            <w:r w:rsidRPr="00B85960">
              <w:t>10.5</w:t>
            </w:r>
          </w:p>
        </w:tc>
        <w:tc>
          <w:tcPr>
            <w:tcW w:w="1134" w:type="dxa"/>
            <w:tcBorders>
              <w:top w:val="single" w:sz="4" w:space="0" w:color="A6A6A6" w:themeColor="background1" w:themeShade="A6"/>
              <w:bottom w:val="single" w:sz="4" w:space="0" w:color="A6A6A6" w:themeColor="background1" w:themeShade="A6"/>
            </w:tcBorders>
          </w:tcPr>
          <w:p w14:paraId="6A6ABC63" w14:textId="77777777" w:rsidR="00FA7EBF" w:rsidRPr="007939DD" w:rsidRDefault="00FA7EBF" w:rsidP="007B207C">
            <w:pPr>
              <w:pStyle w:val="ARfintablebodyright"/>
              <w:rPr>
                <w:lang w:eastAsia="en-AU"/>
              </w:rPr>
            </w:pPr>
            <w:r w:rsidRPr="00B85960">
              <w:t>38.4</w:t>
            </w:r>
          </w:p>
        </w:tc>
      </w:tr>
      <w:tr w:rsidR="00FA7EBF" w:rsidRPr="007939DD" w14:paraId="1DAC5C11"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F9FCD12" w14:textId="77777777" w:rsidR="00FA7EBF" w:rsidRPr="007939DD" w:rsidRDefault="00FA7EBF" w:rsidP="007B207C">
            <w:pPr>
              <w:pStyle w:val="ARfintablebody"/>
              <w:rPr>
                <w:lang w:eastAsia="en-AU"/>
              </w:rPr>
            </w:pPr>
            <w:r w:rsidRPr="00B85960">
              <w:t>Shared home ownership scheme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08B01EF" w14:textId="77777777" w:rsidR="00FA7EBF" w:rsidRPr="007939DD" w:rsidRDefault="00FA7EBF" w:rsidP="007B207C">
            <w:pPr>
              <w:pStyle w:val="ARfintablebodyright"/>
              <w:rPr>
                <w:lang w:eastAsia="en-AU"/>
              </w:rPr>
            </w:pPr>
            <w:r w:rsidRPr="00B85960">
              <w:t>1.1</w:t>
            </w:r>
          </w:p>
        </w:tc>
        <w:tc>
          <w:tcPr>
            <w:tcW w:w="1134" w:type="dxa"/>
            <w:tcBorders>
              <w:top w:val="single" w:sz="4" w:space="0" w:color="A6A6A6" w:themeColor="background1" w:themeShade="A6"/>
              <w:bottom w:val="single" w:sz="4" w:space="0" w:color="A6A6A6" w:themeColor="background1" w:themeShade="A6"/>
            </w:tcBorders>
          </w:tcPr>
          <w:p w14:paraId="0FD5F1DD" w14:textId="77777777" w:rsidR="00FA7EBF" w:rsidRPr="007939DD" w:rsidRDefault="00FA7EBF" w:rsidP="007B207C">
            <w:pPr>
              <w:pStyle w:val="ARfintablebodyright"/>
              <w:rPr>
                <w:lang w:eastAsia="en-AU"/>
              </w:rPr>
            </w:pPr>
            <w:r w:rsidRPr="00B85960">
              <w:t>1.8</w:t>
            </w:r>
          </w:p>
        </w:tc>
      </w:tr>
      <w:tr w:rsidR="00FA7EBF" w:rsidRPr="007939DD" w14:paraId="4772B77C" w14:textId="77777777" w:rsidTr="007B207C">
        <w:trPr>
          <w:cantSplit/>
        </w:trPr>
        <w:tc>
          <w:tcPr>
            <w:tcW w:w="7371" w:type="dxa"/>
            <w:tcBorders>
              <w:top w:val="single" w:sz="4" w:space="0" w:color="A6A6A6" w:themeColor="background1" w:themeShade="A6"/>
            </w:tcBorders>
          </w:tcPr>
          <w:p w14:paraId="7854B52A" w14:textId="77777777" w:rsidR="00FA7EBF" w:rsidRPr="007939DD" w:rsidRDefault="00FA7EBF" w:rsidP="007B207C">
            <w:pPr>
              <w:pStyle w:val="ARfintablebody"/>
              <w:rPr>
                <w:lang w:eastAsia="en-AU"/>
              </w:rPr>
            </w:pPr>
            <w:r w:rsidRPr="00B85960">
              <w:t>Miscellaneous assets</w:t>
            </w:r>
          </w:p>
        </w:tc>
        <w:tc>
          <w:tcPr>
            <w:tcW w:w="1134" w:type="dxa"/>
            <w:tcBorders>
              <w:top w:val="single" w:sz="4" w:space="0" w:color="A6A6A6" w:themeColor="background1" w:themeShade="A6"/>
            </w:tcBorders>
            <w:shd w:val="clear" w:color="auto" w:fill="E7E6E6"/>
          </w:tcPr>
          <w:p w14:paraId="64B706EA" w14:textId="77777777" w:rsidR="00FA7EBF" w:rsidRPr="007939DD" w:rsidRDefault="00FA7EBF" w:rsidP="007B207C">
            <w:pPr>
              <w:pStyle w:val="ARfintablebodyright"/>
              <w:rPr>
                <w:lang w:eastAsia="en-AU"/>
              </w:rPr>
            </w:pPr>
            <w:r w:rsidRPr="00B85960">
              <w:t>14.1</w:t>
            </w:r>
          </w:p>
        </w:tc>
        <w:tc>
          <w:tcPr>
            <w:tcW w:w="1134" w:type="dxa"/>
            <w:tcBorders>
              <w:top w:val="single" w:sz="4" w:space="0" w:color="A6A6A6" w:themeColor="background1" w:themeShade="A6"/>
            </w:tcBorders>
          </w:tcPr>
          <w:p w14:paraId="5C91262F" w14:textId="77777777" w:rsidR="00FA7EBF" w:rsidRPr="007939DD" w:rsidRDefault="00FA7EBF" w:rsidP="007B207C">
            <w:pPr>
              <w:pStyle w:val="ARfintablebodyright"/>
              <w:rPr>
                <w:lang w:eastAsia="en-AU"/>
              </w:rPr>
            </w:pPr>
            <w:r w:rsidRPr="00B85960">
              <w:t>10.5</w:t>
            </w:r>
          </w:p>
        </w:tc>
      </w:tr>
      <w:tr w:rsidR="00FA7EBF" w:rsidRPr="007939DD" w14:paraId="7187D751" w14:textId="77777777" w:rsidTr="007B207C">
        <w:trPr>
          <w:cantSplit/>
        </w:trPr>
        <w:tc>
          <w:tcPr>
            <w:tcW w:w="7371" w:type="dxa"/>
          </w:tcPr>
          <w:p w14:paraId="16F5E4CB" w14:textId="77777777" w:rsidR="00FA7EBF" w:rsidRPr="007939DD" w:rsidRDefault="00FA7EBF" w:rsidP="007B207C">
            <w:pPr>
              <w:pStyle w:val="ARfintablebodybold"/>
              <w:rPr>
                <w:lang w:eastAsia="en-AU"/>
              </w:rPr>
            </w:pPr>
            <w:r w:rsidRPr="00B85960">
              <w:t>Total revenue from disposal of non-financial physical assets</w:t>
            </w:r>
          </w:p>
        </w:tc>
        <w:tc>
          <w:tcPr>
            <w:tcW w:w="1134" w:type="dxa"/>
            <w:shd w:val="clear" w:color="auto" w:fill="E7E6E6"/>
          </w:tcPr>
          <w:p w14:paraId="725703EE" w14:textId="77777777" w:rsidR="00FA7EBF" w:rsidRPr="007939DD" w:rsidRDefault="00FA7EBF" w:rsidP="007B207C">
            <w:pPr>
              <w:pStyle w:val="ARfintablebodyrightbold"/>
              <w:rPr>
                <w:lang w:eastAsia="en-AU"/>
              </w:rPr>
            </w:pPr>
            <w:r w:rsidRPr="00B85960">
              <w:t>69.5</w:t>
            </w:r>
          </w:p>
        </w:tc>
        <w:tc>
          <w:tcPr>
            <w:tcW w:w="1134" w:type="dxa"/>
          </w:tcPr>
          <w:p w14:paraId="0F3EA68B" w14:textId="77777777" w:rsidR="00FA7EBF" w:rsidRPr="007939DD" w:rsidRDefault="00FA7EBF" w:rsidP="007B207C">
            <w:pPr>
              <w:pStyle w:val="ARfintablebodyrightbold"/>
              <w:rPr>
                <w:rStyle w:val="Strong"/>
                <w:bCs w:val="0"/>
              </w:rPr>
            </w:pPr>
            <w:r w:rsidRPr="00B85960">
              <w:t>110.1</w:t>
            </w:r>
          </w:p>
        </w:tc>
      </w:tr>
      <w:tr w:rsidR="00FA7EBF" w:rsidRPr="007939DD" w14:paraId="052ED46A" w14:textId="77777777" w:rsidTr="007B207C">
        <w:trPr>
          <w:cantSplit/>
        </w:trPr>
        <w:tc>
          <w:tcPr>
            <w:tcW w:w="9639" w:type="dxa"/>
            <w:gridSpan w:val="3"/>
            <w:tcBorders>
              <w:bottom w:val="single" w:sz="4" w:space="0" w:color="A6A6A6" w:themeColor="background1" w:themeShade="A6"/>
            </w:tcBorders>
          </w:tcPr>
          <w:p w14:paraId="035C40CE" w14:textId="77777777" w:rsidR="00FA7EBF" w:rsidRPr="007939DD" w:rsidRDefault="00FA7EBF" w:rsidP="007B207C">
            <w:pPr>
              <w:pStyle w:val="ARfintablebodybold"/>
              <w:rPr>
                <w:lang w:eastAsia="en-AU"/>
              </w:rPr>
            </w:pPr>
            <w:r w:rsidRPr="00B85960">
              <w:t>Costs on disposal of non-financial physical assets</w:t>
            </w:r>
          </w:p>
        </w:tc>
      </w:tr>
      <w:tr w:rsidR="00FA7EBF" w:rsidRPr="007939DD" w14:paraId="5DC6A037"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097951C" w14:textId="77777777" w:rsidR="00FA7EBF" w:rsidRPr="007939DD" w:rsidRDefault="00FA7EBF" w:rsidP="007B207C">
            <w:pPr>
              <w:pStyle w:val="ARfintablebody"/>
              <w:rPr>
                <w:lang w:eastAsia="en-AU"/>
              </w:rPr>
            </w:pPr>
            <w:r w:rsidRPr="00B85960">
              <w:t>Land</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024052A1" w14:textId="77777777" w:rsidR="00FA7EBF" w:rsidRPr="007939DD" w:rsidRDefault="00FA7EBF" w:rsidP="007B207C">
            <w:pPr>
              <w:pStyle w:val="ARfintablebodyright"/>
              <w:rPr>
                <w:lang w:eastAsia="en-AU"/>
              </w:rPr>
            </w:pPr>
            <w:r w:rsidRPr="00B85960">
              <w:t>53.1</w:t>
            </w:r>
          </w:p>
        </w:tc>
        <w:tc>
          <w:tcPr>
            <w:tcW w:w="1134" w:type="dxa"/>
            <w:tcBorders>
              <w:top w:val="single" w:sz="4" w:space="0" w:color="A6A6A6" w:themeColor="background1" w:themeShade="A6"/>
              <w:bottom w:val="single" w:sz="4" w:space="0" w:color="A6A6A6" w:themeColor="background1" w:themeShade="A6"/>
            </w:tcBorders>
          </w:tcPr>
          <w:p w14:paraId="78AE9CE9" w14:textId="77777777" w:rsidR="00FA7EBF" w:rsidRPr="007939DD" w:rsidRDefault="00FA7EBF" w:rsidP="007B207C">
            <w:pPr>
              <w:pStyle w:val="ARfintablebodyright"/>
              <w:rPr>
                <w:lang w:eastAsia="en-AU"/>
              </w:rPr>
            </w:pPr>
            <w:r w:rsidRPr="00B85960">
              <w:t>49.4</w:t>
            </w:r>
          </w:p>
        </w:tc>
      </w:tr>
      <w:tr w:rsidR="00FA7EBF" w:rsidRPr="007939DD" w14:paraId="6A206C6F"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7FD3B6B" w14:textId="77777777" w:rsidR="00FA7EBF" w:rsidRPr="007939DD" w:rsidRDefault="00FA7EBF" w:rsidP="007B207C">
            <w:pPr>
              <w:pStyle w:val="ARfintablebody"/>
              <w:rPr>
                <w:lang w:eastAsia="en-AU"/>
              </w:rPr>
            </w:pPr>
            <w:r w:rsidRPr="00B85960">
              <w:t>Buildings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8DD3EC1" w14:textId="77777777" w:rsidR="00FA7EBF" w:rsidRPr="007939DD" w:rsidRDefault="00FA7EBF" w:rsidP="007B207C">
            <w:pPr>
              <w:pStyle w:val="ARfintablebodyright"/>
              <w:rPr>
                <w:lang w:eastAsia="en-AU"/>
              </w:rPr>
            </w:pPr>
            <w:r w:rsidRPr="00B85960">
              <w:t>9.8</w:t>
            </w:r>
          </w:p>
        </w:tc>
        <w:tc>
          <w:tcPr>
            <w:tcW w:w="1134" w:type="dxa"/>
            <w:tcBorders>
              <w:top w:val="single" w:sz="4" w:space="0" w:color="A6A6A6" w:themeColor="background1" w:themeShade="A6"/>
              <w:bottom w:val="single" w:sz="4" w:space="0" w:color="A6A6A6" w:themeColor="background1" w:themeShade="A6"/>
            </w:tcBorders>
          </w:tcPr>
          <w:p w14:paraId="1ABD4583" w14:textId="77777777" w:rsidR="00FA7EBF" w:rsidRPr="007939DD" w:rsidRDefault="00FA7EBF" w:rsidP="007B207C">
            <w:pPr>
              <w:pStyle w:val="ARfintablebodyright"/>
              <w:rPr>
                <w:lang w:eastAsia="en-AU"/>
              </w:rPr>
            </w:pPr>
            <w:r w:rsidRPr="00B85960">
              <w:t>36.2</w:t>
            </w:r>
          </w:p>
        </w:tc>
      </w:tr>
      <w:tr w:rsidR="00FA7EBF" w:rsidRPr="007939DD" w14:paraId="63E5BBAE"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8ECC0DA" w14:textId="77777777" w:rsidR="00FA7EBF" w:rsidRPr="007939DD" w:rsidRDefault="00FA7EBF" w:rsidP="007B207C">
            <w:pPr>
              <w:pStyle w:val="ARfintablebody"/>
              <w:rPr>
                <w:lang w:eastAsia="en-AU"/>
              </w:rPr>
            </w:pPr>
            <w:r w:rsidRPr="00B85960">
              <w:t>Shared home ownership scheme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DAF65EE" w14:textId="77777777" w:rsidR="00FA7EBF" w:rsidRPr="007939DD" w:rsidRDefault="00FA7EBF" w:rsidP="007B207C">
            <w:pPr>
              <w:pStyle w:val="ARfintablebodyright"/>
              <w:rPr>
                <w:lang w:eastAsia="en-AU"/>
              </w:rPr>
            </w:pPr>
            <w:r w:rsidRPr="00B85960">
              <w:t>1.0</w:t>
            </w:r>
          </w:p>
        </w:tc>
        <w:tc>
          <w:tcPr>
            <w:tcW w:w="1134" w:type="dxa"/>
            <w:tcBorders>
              <w:top w:val="single" w:sz="4" w:space="0" w:color="A6A6A6" w:themeColor="background1" w:themeShade="A6"/>
              <w:bottom w:val="single" w:sz="4" w:space="0" w:color="A6A6A6" w:themeColor="background1" w:themeShade="A6"/>
            </w:tcBorders>
          </w:tcPr>
          <w:p w14:paraId="3CE62351" w14:textId="77777777" w:rsidR="00FA7EBF" w:rsidRPr="007939DD" w:rsidRDefault="00FA7EBF" w:rsidP="007B207C">
            <w:pPr>
              <w:pStyle w:val="ARfintablebodyright"/>
              <w:rPr>
                <w:lang w:eastAsia="en-AU"/>
              </w:rPr>
            </w:pPr>
            <w:r w:rsidRPr="00B85960">
              <w:t>1.6</w:t>
            </w:r>
          </w:p>
        </w:tc>
      </w:tr>
      <w:tr w:rsidR="00FA7EBF" w:rsidRPr="007939DD" w14:paraId="35171FBF"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7F5DF991" w14:textId="77777777" w:rsidR="00FA7EBF" w:rsidRPr="007939DD" w:rsidRDefault="00FA7EBF" w:rsidP="007B207C">
            <w:pPr>
              <w:pStyle w:val="ARfintablebody"/>
              <w:rPr>
                <w:lang w:eastAsia="en-AU"/>
              </w:rPr>
            </w:pPr>
            <w:r w:rsidRPr="00B85960">
              <w:t>Community services properties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533C3D70" w14:textId="77777777" w:rsidR="00FA7EBF" w:rsidRPr="007939DD" w:rsidRDefault="00FA7EBF" w:rsidP="007B207C">
            <w:pPr>
              <w:pStyle w:val="ARfintablebodyright"/>
              <w:rPr>
                <w:lang w:eastAsia="en-AU"/>
              </w:rPr>
            </w:pPr>
            <w:r w:rsidRPr="00B85960">
              <w:t>0.3</w:t>
            </w:r>
          </w:p>
        </w:tc>
        <w:tc>
          <w:tcPr>
            <w:tcW w:w="1134" w:type="dxa"/>
            <w:tcBorders>
              <w:top w:val="single" w:sz="4" w:space="0" w:color="A6A6A6" w:themeColor="background1" w:themeShade="A6"/>
              <w:bottom w:val="single" w:sz="4" w:space="0" w:color="A6A6A6" w:themeColor="background1" w:themeShade="A6"/>
            </w:tcBorders>
          </w:tcPr>
          <w:p w14:paraId="490DE500" w14:textId="77777777" w:rsidR="00FA7EBF" w:rsidRPr="007939DD" w:rsidRDefault="00FA7EBF" w:rsidP="007B207C">
            <w:pPr>
              <w:pStyle w:val="ARfintablebodyright"/>
              <w:rPr>
                <w:lang w:eastAsia="en-AU"/>
              </w:rPr>
            </w:pPr>
            <w:r w:rsidRPr="00B85960">
              <w:t>0.6</w:t>
            </w:r>
          </w:p>
        </w:tc>
      </w:tr>
      <w:tr w:rsidR="00FA7EBF" w:rsidRPr="007939DD" w14:paraId="652B612D" w14:textId="77777777" w:rsidTr="007B207C">
        <w:trPr>
          <w:cantSplit/>
        </w:trPr>
        <w:tc>
          <w:tcPr>
            <w:tcW w:w="7371" w:type="dxa"/>
            <w:tcBorders>
              <w:top w:val="single" w:sz="4" w:space="0" w:color="A6A6A6" w:themeColor="background1" w:themeShade="A6"/>
            </w:tcBorders>
          </w:tcPr>
          <w:p w14:paraId="5329A7B2" w14:textId="77777777" w:rsidR="00FA7EBF" w:rsidRPr="007939DD" w:rsidRDefault="00FA7EBF" w:rsidP="007B207C">
            <w:pPr>
              <w:pStyle w:val="ARfintablebody"/>
              <w:rPr>
                <w:lang w:eastAsia="en-AU"/>
              </w:rPr>
            </w:pPr>
            <w:r w:rsidRPr="00B85960">
              <w:t>Miscellaneous assets</w:t>
            </w:r>
          </w:p>
        </w:tc>
        <w:tc>
          <w:tcPr>
            <w:tcW w:w="1134" w:type="dxa"/>
            <w:tcBorders>
              <w:top w:val="single" w:sz="4" w:space="0" w:color="A6A6A6" w:themeColor="background1" w:themeShade="A6"/>
            </w:tcBorders>
            <w:shd w:val="clear" w:color="auto" w:fill="E7E6E6"/>
          </w:tcPr>
          <w:p w14:paraId="0013322F" w14:textId="77777777" w:rsidR="00FA7EBF" w:rsidRPr="007939DD" w:rsidRDefault="00FA7EBF" w:rsidP="007B207C">
            <w:pPr>
              <w:pStyle w:val="ARfintablebodyright"/>
              <w:rPr>
                <w:lang w:eastAsia="en-AU"/>
              </w:rPr>
            </w:pPr>
            <w:r w:rsidRPr="00B85960">
              <w:t>11.7</w:t>
            </w:r>
          </w:p>
        </w:tc>
        <w:tc>
          <w:tcPr>
            <w:tcW w:w="1134" w:type="dxa"/>
            <w:tcBorders>
              <w:top w:val="single" w:sz="4" w:space="0" w:color="A6A6A6" w:themeColor="background1" w:themeShade="A6"/>
            </w:tcBorders>
          </w:tcPr>
          <w:p w14:paraId="7B78D25E" w14:textId="77777777" w:rsidR="00FA7EBF" w:rsidRPr="007939DD" w:rsidRDefault="00FA7EBF" w:rsidP="007B207C">
            <w:pPr>
              <w:pStyle w:val="ARfintablebodyright"/>
              <w:rPr>
                <w:lang w:eastAsia="en-AU"/>
              </w:rPr>
            </w:pPr>
            <w:r w:rsidRPr="00B85960">
              <w:t>8.7</w:t>
            </w:r>
          </w:p>
        </w:tc>
      </w:tr>
      <w:tr w:rsidR="00FA7EBF" w:rsidRPr="007939DD" w14:paraId="7C85148A" w14:textId="77777777" w:rsidTr="007B207C">
        <w:trPr>
          <w:cantSplit/>
        </w:trPr>
        <w:tc>
          <w:tcPr>
            <w:tcW w:w="7371" w:type="dxa"/>
          </w:tcPr>
          <w:p w14:paraId="4C3BDABB" w14:textId="77777777" w:rsidR="00FA7EBF" w:rsidRPr="007939DD" w:rsidRDefault="00FA7EBF" w:rsidP="007B207C">
            <w:pPr>
              <w:pStyle w:val="ARfintablebodybold"/>
              <w:rPr>
                <w:lang w:eastAsia="en-AU"/>
              </w:rPr>
            </w:pPr>
            <w:r w:rsidRPr="00B85960">
              <w:t>Total costs on disposal of non-financial physical assets</w:t>
            </w:r>
          </w:p>
        </w:tc>
        <w:tc>
          <w:tcPr>
            <w:tcW w:w="1134" w:type="dxa"/>
            <w:shd w:val="clear" w:color="auto" w:fill="E7E6E6"/>
          </w:tcPr>
          <w:p w14:paraId="2F431A8A" w14:textId="77777777" w:rsidR="00FA7EBF" w:rsidRPr="007939DD" w:rsidRDefault="00FA7EBF" w:rsidP="007B207C">
            <w:pPr>
              <w:pStyle w:val="ARfintablebodyrightbold"/>
              <w:rPr>
                <w:lang w:eastAsia="en-AU"/>
              </w:rPr>
            </w:pPr>
            <w:r w:rsidRPr="00B85960">
              <w:t>76.0</w:t>
            </w:r>
          </w:p>
        </w:tc>
        <w:tc>
          <w:tcPr>
            <w:tcW w:w="1134" w:type="dxa"/>
          </w:tcPr>
          <w:p w14:paraId="3C5DFB79" w14:textId="77777777" w:rsidR="00FA7EBF" w:rsidRPr="007939DD" w:rsidRDefault="00FA7EBF" w:rsidP="007B207C">
            <w:pPr>
              <w:pStyle w:val="ARfintablebodyrightbold"/>
              <w:rPr>
                <w:rStyle w:val="Strong"/>
                <w:bCs w:val="0"/>
              </w:rPr>
            </w:pPr>
            <w:r w:rsidRPr="00B85960">
              <w:t>96.5</w:t>
            </w:r>
          </w:p>
        </w:tc>
      </w:tr>
      <w:tr w:rsidR="00FA7EBF" w:rsidRPr="007939DD" w14:paraId="7A70E08A" w14:textId="77777777" w:rsidTr="007B207C">
        <w:trPr>
          <w:cantSplit/>
        </w:trPr>
        <w:tc>
          <w:tcPr>
            <w:tcW w:w="7371" w:type="dxa"/>
          </w:tcPr>
          <w:p w14:paraId="1871EC32" w14:textId="77777777" w:rsidR="00FA7EBF" w:rsidRPr="007939DD" w:rsidRDefault="00FA7EBF" w:rsidP="007B207C">
            <w:pPr>
              <w:pStyle w:val="ARfintablebodybold"/>
              <w:rPr>
                <w:lang w:eastAsia="en-AU"/>
              </w:rPr>
            </w:pPr>
            <w:r w:rsidRPr="00B85960">
              <w:t>Net gain/(loss) on non-financial assets</w:t>
            </w:r>
          </w:p>
        </w:tc>
        <w:tc>
          <w:tcPr>
            <w:tcW w:w="1134" w:type="dxa"/>
            <w:shd w:val="clear" w:color="auto" w:fill="E7E6E6"/>
          </w:tcPr>
          <w:p w14:paraId="657EE997" w14:textId="77777777" w:rsidR="00FA7EBF" w:rsidRPr="007939DD" w:rsidRDefault="00FA7EBF" w:rsidP="007B207C">
            <w:pPr>
              <w:pStyle w:val="ARfintablebodyrightbold"/>
              <w:rPr>
                <w:lang w:eastAsia="en-AU"/>
              </w:rPr>
            </w:pPr>
            <w:r w:rsidRPr="00B85960">
              <w:t>(6.5)</w:t>
            </w:r>
          </w:p>
        </w:tc>
        <w:tc>
          <w:tcPr>
            <w:tcW w:w="1134" w:type="dxa"/>
          </w:tcPr>
          <w:p w14:paraId="50D4453C" w14:textId="77777777" w:rsidR="00FA7EBF" w:rsidRPr="007939DD" w:rsidRDefault="00FA7EBF" w:rsidP="007B207C">
            <w:pPr>
              <w:pStyle w:val="ARfintablebodyrightbold"/>
              <w:rPr>
                <w:rStyle w:val="Strong"/>
                <w:bCs w:val="0"/>
              </w:rPr>
            </w:pPr>
            <w:r w:rsidRPr="00B85960">
              <w:t>13.6</w:t>
            </w:r>
          </w:p>
        </w:tc>
      </w:tr>
      <w:tr w:rsidR="00FA7EBF" w:rsidRPr="007939DD" w14:paraId="0F23DFD1" w14:textId="77777777" w:rsidTr="007B207C">
        <w:trPr>
          <w:cantSplit/>
        </w:trPr>
        <w:tc>
          <w:tcPr>
            <w:tcW w:w="9639" w:type="dxa"/>
            <w:gridSpan w:val="3"/>
            <w:tcBorders>
              <w:bottom w:val="single" w:sz="4" w:space="0" w:color="A6A6A6" w:themeColor="background1" w:themeShade="A6"/>
            </w:tcBorders>
          </w:tcPr>
          <w:p w14:paraId="576314DA" w14:textId="77777777" w:rsidR="00FA7EBF" w:rsidRPr="007939DD" w:rsidRDefault="00FA7EBF" w:rsidP="007B207C">
            <w:pPr>
              <w:pStyle w:val="ARfintablebodybold"/>
              <w:rPr>
                <w:lang w:eastAsia="en-AU"/>
              </w:rPr>
            </w:pPr>
            <w:r w:rsidRPr="00B85960">
              <w:t>(b) Net gain/(loss) on financial instruments</w:t>
            </w:r>
          </w:p>
        </w:tc>
      </w:tr>
      <w:tr w:rsidR="00FA7EBF" w:rsidRPr="007939DD" w14:paraId="3F10AE17" w14:textId="77777777" w:rsidTr="007B207C">
        <w:trPr>
          <w:cantSplit/>
        </w:trPr>
        <w:tc>
          <w:tcPr>
            <w:tcW w:w="7371" w:type="dxa"/>
            <w:tcBorders>
              <w:top w:val="single" w:sz="4" w:space="0" w:color="A6A6A6" w:themeColor="background1" w:themeShade="A6"/>
            </w:tcBorders>
          </w:tcPr>
          <w:p w14:paraId="6E4E08A0" w14:textId="77777777" w:rsidR="00FA7EBF" w:rsidRPr="007939DD" w:rsidRDefault="00FA7EBF" w:rsidP="007B207C">
            <w:pPr>
              <w:pStyle w:val="ARfintablebody"/>
              <w:rPr>
                <w:lang w:eastAsia="en-AU"/>
              </w:rPr>
            </w:pPr>
            <w:r w:rsidRPr="00B85960">
              <w:t>Net gain/(loss) on financial instruments and statutory receivables/payables</w:t>
            </w:r>
          </w:p>
        </w:tc>
        <w:tc>
          <w:tcPr>
            <w:tcW w:w="1134" w:type="dxa"/>
            <w:tcBorders>
              <w:top w:val="single" w:sz="4" w:space="0" w:color="A6A6A6" w:themeColor="background1" w:themeShade="A6"/>
            </w:tcBorders>
            <w:shd w:val="clear" w:color="auto" w:fill="E7E6E6"/>
          </w:tcPr>
          <w:p w14:paraId="42ADC8B4" w14:textId="77777777" w:rsidR="00FA7EBF" w:rsidRPr="007939DD" w:rsidRDefault="00FA7EBF" w:rsidP="007B207C">
            <w:pPr>
              <w:pStyle w:val="ARfintablebodyright"/>
              <w:rPr>
                <w:lang w:eastAsia="en-AU"/>
              </w:rPr>
            </w:pPr>
            <w:r w:rsidRPr="00B85960">
              <w:t>0.2</w:t>
            </w:r>
          </w:p>
        </w:tc>
        <w:tc>
          <w:tcPr>
            <w:tcW w:w="1134" w:type="dxa"/>
            <w:tcBorders>
              <w:top w:val="single" w:sz="4" w:space="0" w:color="A6A6A6" w:themeColor="background1" w:themeShade="A6"/>
            </w:tcBorders>
          </w:tcPr>
          <w:p w14:paraId="1FF96E7E" w14:textId="77777777" w:rsidR="00FA7EBF" w:rsidRPr="007939DD" w:rsidRDefault="00FA7EBF" w:rsidP="007B207C">
            <w:pPr>
              <w:pStyle w:val="ARfintablebodyright"/>
              <w:rPr>
                <w:lang w:eastAsia="en-AU"/>
              </w:rPr>
            </w:pPr>
            <w:r w:rsidRPr="00B85960">
              <w:t>1.8</w:t>
            </w:r>
          </w:p>
        </w:tc>
      </w:tr>
      <w:tr w:rsidR="00FA7EBF" w:rsidRPr="007939DD" w14:paraId="5709B046" w14:textId="77777777" w:rsidTr="007B207C">
        <w:trPr>
          <w:cantSplit/>
        </w:trPr>
        <w:tc>
          <w:tcPr>
            <w:tcW w:w="7371" w:type="dxa"/>
          </w:tcPr>
          <w:p w14:paraId="7DF38BC8" w14:textId="77777777" w:rsidR="00FA7EBF" w:rsidRPr="007939DD" w:rsidRDefault="00FA7EBF" w:rsidP="007B207C">
            <w:pPr>
              <w:pStyle w:val="ARfintablebodybold"/>
              <w:rPr>
                <w:lang w:eastAsia="en-AU"/>
              </w:rPr>
            </w:pPr>
            <w:r w:rsidRPr="00B85960">
              <w:t>Total net gain/(loss) on financial instruments</w:t>
            </w:r>
          </w:p>
        </w:tc>
        <w:tc>
          <w:tcPr>
            <w:tcW w:w="1134" w:type="dxa"/>
            <w:shd w:val="clear" w:color="auto" w:fill="E7E6E6"/>
          </w:tcPr>
          <w:p w14:paraId="03467949" w14:textId="77777777" w:rsidR="00FA7EBF" w:rsidRPr="007939DD" w:rsidRDefault="00FA7EBF" w:rsidP="007B207C">
            <w:pPr>
              <w:pStyle w:val="ARfintablebodyrightbold"/>
              <w:rPr>
                <w:lang w:eastAsia="en-AU"/>
              </w:rPr>
            </w:pPr>
            <w:r w:rsidRPr="00B85960">
              <w:t>0.2</w:t>
            </w:r>
          </w:p>
        </w:tc>
        <w:tc>
          <w:tcPr>
            <w:tcW w:w="1134" w:type="dxa"/>
          </w:tcPr>
          <w:p w14:paraId="41A7A249" w14:textId="77777777" w:rsidR="00FA7EBF" w:rsidRPr="007939DD" w:rsidRDefault="00FA7EBF" w:rsidP="007B207C">
            <w:pPr>
              <w:pStyle w:val="ARfintablebodyrightbold"/>
              <w:rPr>
                <w:rStyle w:val="Strong"/>
                <w:bCs w:val="0"/>
              </w:rPr>
            </w:pPr>
            <w:r w:rsidRPr="00B85960">
              <w:t>1.8</w:t>
            </w:r>
          </w:p>
        </w:tc>
      </w:tr>
      <w:tr w:rsidR="00FA7EBF" w:rsidRPr="007939DD" w14:paraId="3890C205" w14:textId="77777777" w:rsidTr="007B207C">
        <w:trPr>
          <w:cantSplit/>
        </w:trPr>
        <w:tc>
          <w:tcPr>
            <w:tcW w:w="9639" w:type="dxa"/>
            <w:gridSpan w:val="3"/>
            <w:tcBorders>
              <w:bottom w:val="single" w:sz="4" w:space="0" w:color="A6A6A6" w:themeColor="background1" w:themeShade="A6"/>
            </w:tcBorders>
          </w:tcPr>
          <w:p w14:paraId="29BC5189" w14:textId="77777777" w:rsidR="00FA7EBF" w:rsidRPr="007939DD" w:rsidRDefault="00FA7EBF" w:rsidP="007B207C">
            <w:pPr>
              <w:pStyle w:val="ARfintablebodybold"/>
              <w:rPr>
                <w:lang w:eastAsia="en-AU"/>
              </w:rPr>
            </w:pPr>
            <w:r w:rsidRPr="00B85960">
              <w:t>(c) Other gains/(losses) from other economic flows</w:t>
            </w:r>
          </w:p>
        </w:tc>
      </w:tr>
      <w:tr w:rsidR="00FA7EBF" w:rsidRPr="007939DD" w14:paraId="79A06A10"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24701E13" w14:textId="77777777" w:rsidR="00FA7EBF" w:rsidRPr="007939DD" w:rsidRDefault="00FA7EBF" w:rsidP="007B207C">
            <w:pPr>
              <w:pStyle w:val="ARfintablebody"/>
              <w:rPr>
                <w:lang w:eastAsia="en-AU"/>
              </w:rPr>
            </w:pPr>
            <w:r w:rsidRPr="00B85960">
              <w:t>Net gain/(loss) arising from revaluation of long service leave liability</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7C3E73B9" w14:textId="77777777" w:rsidR="00FA7EBF" w:rsidRPr="007939DD" w:rsidRDefault="00FA7EBF" w:rsidP="007B207C">
            <w:pPr>
              <w:pStyle w:val="ARfintablebodyright"/>
              <w:rPr>
                <w:lang w:eastAsia="en-AU"/>
              </w:rPr>
            </w:pPr>
            <w:r w:rsidRPr="00B85960">
              <w:t>(19.7)</w:t>
            </w:r>
          </w:p>
        </w:tc>
        <w:tc>
          <w:tcPr>
            <w:tcW w:w="1134" w:type="dxa"/>
            <w:tcBorders>
              <w:top w:val="single" w:sz="4" w:space="0" w:color="A6A6A6" w:themeColor="background1" w:themeShade="A6"/>
              <w:bottom w:val="single" w:sz="4" w:space="0" w:color="A6A6A6" w:themeColor="background1" w:themeShade="A6"/>
            </w:tcBorders>
          </w:tcPr>
          <w:p w14:paraId="02EA8296" w14:textId="77777777" w:rsidR="00FA7EBF" w:rsidRPr="007939DD" w:rsidRDefault="00FA7EBF" w:rsidP="007B207C">
            <w:pPr>
              <w:pStyle w:val="ARfintablebodyright"/>
              <w:rPr>
                <w:lang w:eastAsia="en-AU"/>
              </w:rPr>
            </w:pPr>
            <w:r w:rsidRPr="00B85960">
              <w:t>1.0</w:t>
            </w:r>
          </w:p>
        </w:tc>
      </w:tr>
      <w:tr w:rsidR="00FA7EBF" w:rsidRPr="007939DD" w14:paraId="176CECD3"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1A11E326" w14:textId="77777777" w:rsidR="00FA7EBF" w:rsidRPr="007939DD" w:rsidRDefault="00FA7EBF" w:rsidP="007B207C">
            <w:pPr>
              <w:pStyle w:val="ARfintablebody"/>
              <w:rPr>
                <w:lang w:eastAsia="en-AU"/>
              </w:rPr>
            </w:pPr>
            <w:r w:rsidRPr="00B85960">
              <w:t>Revaluation and adjustments of insurance claims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B43F29C" w14:textId="77777777" w:rsidR="00FA7EBF" w:rsidRPr="007939DD" w:rsidRDefault="00FA7EBF" w:rsidP="007B207C">
            <w:pPr>
              <w:pStyle w:val="ARfintablebodyright"/>
              <w:rPr>
                <w:lang w:eastAsia="en-AU"/>
              </w:rPr>
            </w:pPr>
            <w:r w:rsidRPr="00B85960">
              <w:t>(0.2)</w:t>
            </w:r>
          </w:p>
        </w:tc>
        <w:tc>
          <w:tcPr>
            <w:tcW w:w="1134" w:type="dxa"/>
            <w:tcBorders>
              <w:top w:val="single" w:sz="4" w:space="0" w:color="A6A6A6" w:themeColor="background1" w:themeShade="A6"/>
              <w:bottom w:val="single" w:sz="4" w:space="0" w:color="A6A6A6" w:themeColor="background1" w:themeShade="A6"/>
            </w:tcBorders>
          </w:tcPr>
          <w:p w14:paraId="38BF214A" w14:textId="77777777" w:rsidR="00FA7EBF" w:rsidRPr="007939DD" w:rsidRDefault="00FA7EBF" w:rsidP="007B207C">
            <w:pPr>
              <w:pStyle w:val="ARfintablebodyright"/>
              <w:rPr>
                <w:lang w:eastAsia="en-AU"/>
              </w:rPr>
            </w:pPr>
            <w:r w:rsidRPr="00B85960">
              <w:t>5.3</w:t>
            </w:r>
          </w:p>
        </w:tc>
      </w:tr>
      <w:tr w:rsidR="00FA7EBF" w:rsidRPr="007939DD" w14:paraId="2FFDB94E" w14:textId="77777777" w:rsidTr="007B207C">
        <w:trPr>
          <w:cantSplit/>
        </w:trPr>
        <w:tc>
          <w:tcPr>
            <w:tcW w:w="7371" w:type="dxa"/>
            <w:tcBorders>
              <w:top w:val="single" w:sz="4" w:space="0" w:color="A6A6A6" w:themeColor="background1" w:themeShade="A6"/>
            </w:tcBorders>
          </w:tcPr>
          <w:p w14:paraId="48C6256E" w14:textId="77777777" w:rsidR="00FA7EBF" w:rsidRPr="007939DD" w:rsidRDefault="00FA7EBF" w:rsidP="007B207C">
            <w:pPr>
              <w:pStyle w:val="ARfintablebody"/>
              <w:rPr>
                <w:lang w:eastAsia="en-AU"/>
              </w:rPr>
            </w:pPr>
            <w:r w:rsidRPr="00B85960">
              <w:t>Bad debt expenses</w:t>
            </w:r>
          </w:p>
        </w:tc>
        <w:tc>
          <w:tcPr>
            <w:tcW w:w="1134" w:type="dxa"/>
            <w:tcBorders>
              <w:top w:val="single" w:sz="4" w:space="0" w:color="A6A6A6" w:themeColor="background1" w:themeShade="A6"/>
            </w:tcBorders>
            <w:shd w:val="clear" w:color="auto" w:fill="E7E6E6"/>
          </w:tcPr>
          <w:p w14:paraId="7496D170" w14:textId="77777777" w:rsidR="00FA7EBF" w:rsidRPr="007939DD" w:rsidRDefault="00FA7EBF" w:rsidP="007B207C">
            <w:pPr>
              <w:pStyle w:val="ARfintablebodyright"/>
              <w:rPr>
                <w:lang w:eastAsia="en-AU"/>
              </w:rPr>
            </w:pPr>
            <w:r w:rsidRPr="00B85960">
              <w:t>(8.2)</w:t>
            </w:r>
          </w:p>
        </w:tc>
        <w:tc>
          <w:tcPr>
            <w:tcW w:w="1134" w:type="dxa"/>
            <w:tcBorders>
              <w:top w:val="single" w:sz="4" w:space="0" w:color="A6A6A6" w:themeColor="background1" w:themeShade="A6"/>
            </w:tcBorders>
          </w:tcPr>
          <w:p w14:paraId="58EDA5C7" w14:textId="77777777" w:rsidR="00FA7EBF" w:rsidRPr="007939DD" w:rsidRDefault="00FA7EBF" w:rsidP="007B207C">
            <w:pPr>
              <w:pStyle w:val="ARfintablebodyright"/>
              <w:rPr>
                <w:lang w:eastAsia="en-AU"/>
              </w:rPr>
            </w:pPr>
            <w:r w:rsidRPr="00B85960">
              <w:t>(18.3)</w:t>
            </w:r>
          </w:p>
        </w:tc>
      </w:tr>
      <w:tr w:rsidR="00FA7EBF" w:rsidRPr="007939DD" w14:paraId="7A169832" w14:textId="77777777" w:rsidTr="007B207C">
        <w:trPr>
          <w:cantSplit/>
        </w:trPr>
        <w:tc>
          <w:tcPr>
            <w:tcW w:w="7371" w:type="dxa"/>
          </w:tcPr>
          <w:p w14:paraId="33BAC266" w14:textId="77777777" w:rsidR="00FA7EBF" w:rsidRPr="007939DD" w:rsidRDefault="00FA7EBF" w:rsidP="007B207C">
            <w:pPr>
              <w:pStyle w:val="ARfintablebodybold"/>
              <w:rPr>
                <w:lang w:eastAsia="en-AU"/>
              </w:rPr>
            </w:pPr>
            <w:r w:rsidRPr="00B85960">
              <w:t>Total other gains/(losses) from other economic flows</w:t>
            </w:r>
          </w:p>
        </w:tc>
        <w:tc>
          <w:tcPr>
            <w:tcW w:w="1134" w:type="dxa"/>
            <w:shd w:val="clear" w:color="auto" w:fill="E7E6E6"/>
          </w:tcPr>
          <w:p w14:paraId="1EC08D76" w14:textId="77777777" w:rsidR="00FA7EBF" w:rsidRPr="007939DD" w:rsidRDefault="00FA7EBF" w:rsidP="007B207C">
            <w:pPr>
              <w:pStyle w:val="ARfintablebodyrightbold"/>
              <w:rPr>
                <w:lang w:eastAsia="en-AU"/>
              </w:rPr>
            </w:pPr>
            <w:r w:rsidRPr="00B85960">
              <w:t>(28.1)</w:t>
            </w:r>
          </w:p>
        </w:tc>
        <w:tc>
          <w:tcPr>
            <w:tcW w:w="1134" w:type="dxa"/>
          </w:tcPr>
          <w:p w14:paraId="5BFFA981" w14:textId="77777777" w:rsidR="00FA7EBF" w:rsidRPr="007939DD" w:rsidRDefault="00FA7EBF" w:rsidP="007B207C">
            <w:pPr>
              <w:pStyle w:val="ARfintablebodyrightbold"/>
              <w:rPr>
                <w:rStyle w:val="Strong"/>
                <w:bCs w:val="0"/>
              </w:rPr>
            </w:pPr>
            <w:r w:rsidRPr="00B85960">
              <w:t>(12.0)</w:t>
            </w:r>
          </w:p>
        </w:tc>
      </w:tr>
    </w:tbl>
    <w:p w14:paraId="4FD9AA4D" w14:textId="77777777" w:rsidR="00FA7EBF" w:rsidRPr="00194D78" w:rsidRDefault="00FA7EBF" w:rsidP="00CA66FD">
      <w:pPr>
        <w:pStyle w:val="Heading4"/>
        <w:rPr>
          <w:lang w:eastAsia="en-AU"/>
        </w:rPr>
      </w:pPr>
      <w:bookmarkStart w:id="274" w:name="_Ref21957878"/>
      <w:r w:rsidRPr="00194D78">
        <w:rPr>
          <w:lang w:eastAsia="en-AU"/>
        </w:rPr>
        <w:t>9.3 Non-financial assets held for sale</w:t>
      </w:r>
      <w:bookmarkEnd w:id="274"/>
    </w:p>
    <w:p w14:paraId="6C673ACA" w14:textId="77777777" w:rsidR="00FA7EBF" w:rsidRDefault="00FA7EBF" w:rsidP="00CA66FD">
      <w:pPr>
        <w:pStyle w:val="ARfinbodylargespace"/>
      </w:pPr>
      <w:r w:rsidRPr="00194D78">
        <w:t>In addition to the assets and liabilities disclosed above, the following non-financial assets held for sale exist at the reporting date: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1"/>
        <w:gridCol w:w="1134"/>
        <w:gridCol w:w="1134"/>
      </w:tblGrid>
      <w:tr w:rsidR="00FA7EBF" w:rsidRPr="007939DD" w14:paraId="7E2F6752" w14:textId="77777777" w:rsidTr="007B207C">
        <w:trPr>
          <w:cantSplit/>
          <w:tblHeader/>
        </w:trPr>
        <w:tc>
          <w:tcPr>
            <w:tcW w:w="7371" w:type="dxa"/>
            <w:vAlign w:val="bottom"/>
          </w:tcPr>
          <w:p w14:paraId="4F474A06" w14:textId="77777777" w:rsidR="00FA7EBF" w:rsidRPr="007939DD" w:rsidRDefault="00FA7EBF" w:rsidP="007B207C">
            <w:pPr>
              <w:pStyle w:val="ARfintablecolhead"/>
            </w:pPr>
          </w:p>
        </w:tc>
        <w:tc>
          <w:tcPr>
            <w:tcW w:w="1134" w:type="dxa"/>
            <w:shd w:val="clear" w:color="auto" w:fill="E7E6E6"/>
            <w:vAlign w:val="bottom"/>
          </w:tcPr>
          <w:p w14:paraId="7CEF9EB8" w14:textId="77777777" w:rsidR="00FA7EBF" w:rsidRPr="007939DD" w:rsidRDefault="00FA7EBF" w:rsidP="007B207C">
            <w:pPr>
              <w:pStyle w:val="ARfintablecolheadright"/>
            </w:pPr>
            <w:r w:rsidRPr="007939DD">
              <w:t>201</w:t>
            </w:r>
            <w:r>
              <w:t>9</w:t>
            </w:r>
          </w:p>
          <w:p w14:paraId="0FA8F12F" w14:textId="77777777" w:rsidR="00FA7EBF" w:rsidRPr="007939DD" w:rsidRDefault="00FA7EBF" w:rsidP="007B207C">
            <w:pPr>
              <w:pStyle w:val="ARfintablecolheadright"/>
            </w:pPr>
            <w:r w:rsidRPr="007939DD">
              <w:t>$M</w:t>
            </w:r>
          </w:p>
        </w:tc>
        <w:tc>
          <w:tcPr>
            <w:tcW w:w="1134" w:type="dxa"/>
            <w:vAlign w:val="bottom"/>
          </w:tcPr>
          <w:p w14:paraId="5F3940C2" w14:textId="77777777" w:rsidR="00FA7EBF" w:rsidRPr="007939DD" w:rsidRDefault="00FA7EBF" w:rsidP="007B207C">
            <w:pPr>
              <w:pStyle w:val="ARfintablecolheadright"/>
            </w:pPr>
            <w:r w:rsidRPr="007939DD">
              <w:t>201</w:t>
            </w:r>
            <w:r>
              <w:t>8</w:t>
            </w:r>
          </w:p>
          <w:p w14:paraId="32764485" w14:textId="77777777" w:rsidR="00FA7EBF" w:rsidRPr="007939DD" w:rsidRDefault="00FA7EBF" w:rsidP="007B207C">
            <w:pPr>
              <w:pStyle w:val="ARfintablecolheadright"/>
            </w:pPr>
            <w:r w:rsidRPr="007939DD">
              <w:t>$M</w:t>
            </w:r>
          </w:p>
        </w:tc>
      </w:tr>
      <w:tr w:rsidR="00FA7EBF" w:rsidRPr="007939DD" w14:paraId="212792AE" w14:textId="77777777" w:rsidTr="007B207C">
        <w:trPr>
          <w:cantSplit/>
        </w:trPr>
        <w:tc>
          <w:tcPr>
            <w:tcW w:w="9639" w:type="dxa"/>
            <w:gridSpan w:val="3"/>
            <w:tcBorders>
              <w:bottom w:val="single" w:sz="4" w:space="0" w:color="A6A6A6" w:themeColor="background1" w:themeShade="A6"/>
            </w:tcBorders>
          </w:tcPr>
          <w:p w14:paraId="7B9BC027" w14:textId="77777777" w:rsidR="00FA7EBF" w:rsidRPr="007939DD" w:rsidRDefault="00FA7EBF" w:rsidP="007B207C">
            <w:pPr>
              <w:pStyle w:val="ARfintablebodybold"/>
              <w:rPr>
                <w:lang w:eastAsia="en-AU"/>
              </w:rPr>
            </w:pPr>
            <w:r w:rsidRPr="00045E1F">
              <w:t>Non-financial assets classified as held for sale</w:t>
            </w:r>
          </w:p>
        </w:tc>
      </w:tr>
      <w:tr w:rsidR="00FA7EBF" w:rsidRPr="007939DD" w14:paraId="4EE24D6A"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0632D017" w14:textId="77777777" w:rsidR="00FA7EBF" w:rsidRPr="007939DD" w:rsidRDefault="00FA7EBF" w:rsidP="007B207C">
            <w:pPr>
              <w:pStyle w:val="ARfintablebody"/>
              <w:rPr>
                <w:lang w:eastAsia="en-AU"/>
              </w:rPr>
            </w:pPr>
            <w:r w:rsidRPr="00045E1F">
              <w:t>Buildings held for sale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665C2A4" w14:textId="77777777" w:rsidR="00FA7EBF" w:rsidRPr="007939DD" w:rsidRDefault="00FA7EBF" w:rsidP="007B207C">
            <w:pPr>
              <w:pStyle w:val="ARfintablebodyright"/>
              <w:rPr>
                <w:lang w:eastAsia="en-AU"/>
              </w:rPr>
            </w:pPr>
            <w:r w:rsidRPr="00045E1F">
              <w:t>4.5</w:t>
            </w:r>
          </w:p>
        </w:tc>
        <w:tc>
          <w:tcPr>
            <w:tcW w:w="1134" w:type="dxa"/>
            <w:tcBorders>
              <w:top w:val="single" w:sz="4" w:space="0" w:color="A6A6A6" w:themeColor="background1" w:themeShade="A6"/>
              <w:bottom w:val="single" w:sz="4" w:space="0" w:color="A6A6A6" w:themeColor="background1" w:themeShade="A6"/>
            </w:tcBorders>
          </w:tcPr>
          <w:p w14:paraId="68E907EF" w14:textId="77777777" w:rsidR="00FA7EBF" w:rsidRPr="007939DD" w:rsidRDefault="00FA7EBF" w:rsidP="007B207C">
            <w:pPr>
              <w:pStyle w:val="ARfintablebodyright"/>
              <w:rPr>
                <w:lang w:eastAsia="en-AU"/>
              </w:rPr>
            </w:pPr>
            <w:r w:rsidRPr="00045E1F">
              <w:t>3.2</w:t>
            </w:r>
          </w:p>
        </w:tc>
      </w:tr>
      <w:tr w:rsidR="00FA7EBF" w:rsidRPr="007939DD" w14:paraId="3A043476"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5AC0C36F" w14:textId="77777777" w:rsidR="00FA7EBF" w:rsidRPr="007939DD" w:rsidRDefault="00FA7EBF" w:rsidP="007B207C">
            <w:pPr>
              <w:pStyle w:val="ARfintablebody"/>
              <w:rPr>
                <w:lang w:eastAsia="en-AU"/>
              </w:rPr>
            </w:pPr>
            <w:r w:rsidRPr="00045E1F">
              <w:t>Land held for sale</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01650B1" w14:textId="77777777" w:rsidR="00FA7EBF" w:rsidRPr="007939DD" w:rsidRDefault="00FA7EBF" w:rsidP="007B207C">
            <w:pPr>
              <w:pStyle w:val="ARfintablebodyright"/>
              <w:rPr>
                <w:lang w:eastAsia="en-AU"/>
              </w:rPr>
            </w:pPr>
            <w:r w:rsidRPr="00045E1F">
              <w:t>23.9</w:t>
            </w:r>
          </w:p>
        </w:tc>
        <w:tc>
          <w:tcPr>
            <w:tcW w:w="1134" w:type="dxa"/>
            <w:tcBorders>
              <w:top w:val="single" w:sz="4" w:space="0" w:color="A6A6A6" w:themeColor="background1" w:themeShade="A6"/>
              <w:bottom w:val="single" w:sz="4" w:space="0" w:color="A6A6A6" w:themeColor="background1" w:themeShade="A6"/>
            </w:tcBorders>
          </w:tcPr>
          <w:p w14:paraId="63226832" w14:textId="77777777" w:rsidR="00FA7EBF" w:rsidRPr="007939DD" w:rsidRDefault="00FA7EBF" w:rsidP="007B207C">
            <w:pPr>
              <w:pStyle w:val="ARfintablebodyright"/>
              <w:rPr>
                <w:lang w:eastAsia="en-AU"/>
              </w:rPr>
            </w:pPr>
            <w:r w:rsidRPr="00045E1F">
              <w:t>26.4</w:t>
            </w:r>
          </w:p>
        </w:tc>
      </w:tr>
      <w:tr w:rsidR="00FA7EBF" w:rsidRPr="007939DD" w14:paraId="50B88253" w14:textId="77777777" w:rsidTr="007B207C">
        <w:trPr>
          <w:cantSplit/>
        </w:trPr>
        <w:tc>
          <w:tcPr>
            <w:tcW w:w="7371" w:type="dxa"/>
            <w:tcBorders>
              <w:top w:val="single" w:sz="4" w:space="0" w:color="A6A6A6" w:themeColor="background1" w:themeShade="A6"/>
            </w:tcBorders>
          </w:tcPr>
          <w:p w14:paraId="4E5D54BB" w14:textId="77777777" w:rsidR="00FA7EBF" w:rsidRPr="007939DD" w:rsidRDefault="00FA7EBF" w:rsidP="007B207C">
            <w:pPr>
              <w:pStyle w:val="ARfintablebody"/>
              <w:rPr>
                <w:lang w:eastAsia="en-AU"/>
              </w:rPr>
            </w:pPr>
            <w:r w:rsidRPr="00045E1F">
              <w:t>Plant, equipment and vehicles</w:t>
            </w:r>
          </w:p>
        </w:tc>
        <w:tc>
          <w:tcPr>
            <w:tcW w:w="1134" w:type="dxa"/>
            <w:tcBorders>
              <w:top w:val="single" w:sz="4" w:space="0" w:color="A6A6A6" w:themeColor="background1" w:themeShade="A6"/>
            </w:tcBorders>
            <w:shd w:val="clear" w:color="auto" w:fill="E7E6E6"/>
          </w:tcPr>
          <w:p w14:paraId="6D8856CF" w14:textId="77777777" w:rsidR="00FA7EBF" w:rsidRPr="007939DD" w:rsidRDefault="00FA7EBF" w:rsidP="007B207C">
            <w:pPr>
              <w:pStyle w:val="ARfintablebodyright"/>
              <w:rPr>
                <w:lang w:eastAsia="en-AU"/>
              </w:rPr>
            </w:pPr>
            <w:r w:rsidRPr="00045E1F">
              <w:t>2.8</w:t>
            </w:r>
          </w:p>
        </w:tc>
        <w:tc>
          <w:tcPr>
            <w:tcW w:w="1134" w:type="dxa"/>
            <w:tcBorders>
              <w:top w:val="single" w:sz="4" w:space="0" w:color="A6A6A6" w:themeColor="background1" w:themeShade="A6"/>
            </w:tcBorders>
          </w:tcPr>
          <w:p w14:paraId="22772AFA" w14:textId="77777777" w:rsidR="00FA7EBF" w:rsidRPr="007939DD" w:rsidRDefault="00FA7EBF" w:rsidP="007B207C">
            <w:pPr>
              <w:pStyle w:val="ARfintablebodyright"/>
              <w:rPr>
                <w:lang w:eastAsia="en-AU"/>
              </w:rPr>
            </w:pPr>
            <w:r w:rsidRPr="00045E1F">
              <w:t>2.1</w:t>
            </w:r>
          </w:p>
        </w:tc>
      </w:tr>
      <w:tr w:rsidR="00FA7EBF" w:rsidRPr="007939DD" w14:paraId="26AEA33B" w14:textId="77777777" w:rsidTr="007B207C">
        <w:trPr>
          <w:cantSplit/>
        </w:trPr>
        <w:tc>
          <w:tcPr>
            <w:tcW w:w="7371" w:type="dxa"/>
          </w:tcPr>
          <w:p w14:paraId="516C8B42" w14:textId="77777777" w:rsidR="00FA7EBF" w:rsidRPr="007939DD" w:rsidRDefault="00FA7EBF" w:rsidP="007B207C">
            <w:pPr>
              <w:pStyle w:val="ARfintablebodybold"/>
              <w:rPr>
                <w:lang w:eastAsia="en-AU"/>
              </w:rPr>
            </w:pPr>
            <w:r w:rsidRPr="00045E1F">
              <w:t>Total non-financial assets classified as held for sale</w:t>
            </w:r>
          </w:p>
        </w:tc>
        <w:tc>
          <w:tcPr>
            <w:tcW w:w="1134" w:type="dxa"/>
            <w:shd w:val="clear" w:color="auto" w:fill="E7E6E6"/>
          </w:tcPr>
          <w:p w14:paraId="4C274C66" w14:textId="77777777" w:rsidR="00FA7EBF" w:rsidRPr="007939DD" w:rsidRDefault="00FA7EBF" w:rsidP="007B207C">
            <w:pPr>
              <w:pStyle w:val="ARfintablebodyrightbold"/>
              <w:rPr>
                <w:lang w:eastAsia="en-AU"/>
              </w:rPr>
            </w:pPr>
            <w:r w:rsidRPr="00045E1F">
              <w:t>31.2</w:t>
            </w:r>
          </w:p>
        </w:tc>
        <w:tc>
          <w:tcPr>
            <w:tcW w:w="1134" w:type="dxa"/>
          </w:tcPr>
          <w:p w14:paraId="1AAAD4B3" w14:textId="77777777" w:rsidR="00FA7EBF" w:rsidRPr="007939DD" w:rsidRDefault="00FA7EBF" w:rsidP="007B207C">
            <w:pPr>
              <w:pStyle w:val="ARfintablebodyrightbold"/>
              <w:rPr>
                <w:rStyle w:val="Strong"/>
                <w:bCs w:val="0"/>
              </w:rPr>
            </w:pPr>
            <w:r w:rsidRPr="00045E1F">
              <w:t>31.7</w:t>
            </w:r>
          </w:p>
        </w:tc>
      </w:tr>
    </w:tbl>
    <w:p w14:paraId="14B8DDDC" w14:textId="77777777" w:rsidR="00FA7EBF" w:rsidRPr="00194D78" w:rsidRDefault="00FA7EBF" w:rsidP="00CA66FD">
      <w:pPr>
        <w:pStyle w:val="Heading5"/>
        <w:rPr>
          <w:lang w:eastAsia="en-AU"/>
        </w:rPr>
      </w:pPr>
      <w:r w:rsidRPr="00194D78">
        <w:rPr>
          <w:lang w:eastAsia="en-AU"/>
        </w:rPr>
        <w:t>Measurement of non-financial physical assets</w:t>
      </w:r>
    </w:p>
    <w:p w14:paraId="13240915" w14:textId="77777777" w:rsidR="00FA7EBF" w:rsidRPr="00194D78" w:rsidRDefault="00FA7EBF" w:rsidP="00CA66FD">
      <w:pPr>
        <w:pStyle w:val="ARfinbody"/>
      </w:pPr>
      <w:r w:rsidRPr="00194D78">
        <w:t>Non-financial physical assets are treated as current and classified as held for sale if their carrying amount will be recovered through a sale transaction rather than through continuing use.</w:t>
      </w:r>
    </w:p>
    <w:p w14:paraId="687D1B08" w14:textId="77777777" w:rsidR="00FA7EBF" w:rsidRPr="00194D78" w:rsidRDefault="00FA7EBF" w:rsidP="00CA66FD">
      <w:pPr>
        <w:pStyle w:val="ARfinbody"/>
      </w:pPr>
      <w:r w:rsidRPr="00194D78">
        <w:t>This condition is regarded as met only when:</w:t>
      </w:r>
    </w:p>
    <w:p w14:paraId="2282E8C9" w14:textId="77777777" w:rsidR="00FA7EBF" w:rsidRPr="00194D78" w:rsidRDefault="00FA7EBF" w:rsidP="00CA66FD">
      <w:pPr>
        <w:pStyle w:val="ARfinbullet1"/>
        <w:numPr>
          <w:ilvl w:val="0"/>
          <w:numId w:val="4"/>
        </w:numPr>
      </w:pPr>
      <w:r w:rsidRPr="00194D78">
        <w:t>the asset is available for immediate sale in the current condition</w:t>
      </w:r>
    </w:p>
    <w:p w14:paraId="1329298F" w14:textId="77777777" w:rsidR="00FA7EBF" w:rsidRPr="00194D78" w:rsidRDefault="00FA7EBF" w:rsidP="00CA66FD">
      <w:pPr>
        <w:pStyle w:val="ARfinbullet1"/>
        <w:numPr>
          <w:ilvl w:val="0"/>
          <w:numId w:val="4"/>
        </w:numPr>
      </w:pPr>
      <w:r w:rsidRPr="00194D78">
        <w:t>the sale is highly probable and the asset sale is expected to be completed within 12 months from the date of classification.</w:t>
      </w:r>
    </w:p>
    <w:p w14:paraId="2D2C11D1" w14:textId="77777777" w:rsidR="00FA7EBF" w:rsidRPr="00194D78" w:rsidRDefault="00FA7EBF" w:rsidP="00CA66FD">
      <w:pPr>
        <w:pStyle w:val="ARfinbody"/>
      </w:pPr>
      <w:r w:rsidRPr="00194D78">
        <w:t>These non-financial physical assets, related liabilities and financial assets are measured at the lower of carrying amount and fair value less costs to sell, and are not subject to depreciation or amortisation.</w:t>
      </w:r>
    </w:p>
    <w:p w14:paraId="0EB4419E" w14:textId="77777777" w:rsidR="00FA7EBF" w:rsidRDefault="00FA7EBF" w:rsidP="00CA66FD">
      <w:pPr>
        <w:pStyle w:val="ARfinbody"/>
        <w:rPr>
          <w:rFonts w:eastAsia="MS Mincho" w:cs="Arial"/>
          <w:color w:val="53565A" w:themeColor="accent2"/>
        </w:rPr>
      </w:pPr>
      <w:r>
        <w:br w:type="page"/>
      </w:r>
    </w:p>
    <w:p w14:paraId="3445F0D6" w14:textId="77777777" w:rsidR="00FA7EBF" w:rsidRDefault="00FA7EBF" w:rsidP="00CA66FD">
      <w:pPr>
        <w:pStyle w:val="Heading4"/>
        <w:rPr>
          <w:lang w:eastAsia="en-AU"/>
        </w:rPr>
      </w:pPr>
      <w:r w:rsidRPr="00194D78">
        <w:rPr>
          <w:lang w:eastAsia="en-AU"/>
        </w:rPr>
        <w:t>9.4 Reserves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65808872" w14:textId="77777777" w:rsidTr="007B207C">
        <w:trPr>
          <w:cantSplit/>
          <w:tblHeader/>
        </w:trPr>
        <w:tc>
          <w:tcPr>
            <w:tcW w:w="7371" w:type="dxa"/>
            <w:vAlign w:val="bottom"/>
          </w:tcPr>
          <w:p w14:paraId="7A35228C" w14:textId="77777777" w:rsidR="00FA7EBF" w:rsidRPr="007939DD" w:rsidRDefault="00FA7EBF" w:rsidP="007B207C">
            <w:pPr>
              <w:pStyle w:val="ARfintablecolhead"/>
            </w:pPr>
          </w:p>
        </w:tc>
        <w:tc>
          <w:tcPr>
            <w:tcW w:w="1134" w:type="dxa"/>
            <w:shd w:val="clear" w:color="auto" w:fill="E7E6E6"/>
            <w:vAlign w:val="bottom"/>
          </w:tcPr>
          <w:p w14:paraId="637B48C6" w14:textId="77777777" w:rsidR="00FA7EBF" w:rsidRPr="007939DD" w:rsidRDefault="00FA7EBF" w:rsidP="007B207C">
            <w:pPr>
              <w:pStyle w:val="ARfintablecolheadright"/>
            </w:pPr>
            <w:r w:rsidRPr="007939DD">
              <w:t>201</w:t>
            </w:r>
            <w:r>
              <w:t>9</w:t>
            </w:r>
          </w:p>
          <w:p w14:paraId="0BA3ADC6" w14:textId="77777777" w:rsidR="00FA7EBF" w:rsidRPr="007939DD" w:rsidRDefault="00FA7EBF" w:rsidP="007B207C">
            <w:pPr>
              <w:pStyle w:val="ARfintablecolheadright"/>
            </w:pPr>
            <w:r w:rsidRPr="007939DD">
              <w:t>$M</w:t>
            </w:r>
          </w:p>
        </w:tc>
        <w:tc>
          <w:tcPr>
            <w:tcW w:w="1134" w:type="dxa"/>
            <w:vAlign w:val="bottom"/>
          </w:tcPr>
          <w:p w14:paraId="214E303E" w14:textId="77777777" w:rsidR="00FA7EBF" w:rsidRPr="007939DD" w:rsidRDefault="00FA7EBF" w:rsidP="007B207C">
            <w:pPr>
              <w:pStyle w:val="ARfintablecolheadright"/>
            </w:pPr>
            <w:r w:rsidRPr="007939DD">
              <w:t>201</w:t>
            </w:r>
            <w:r>
              <w:t>8</w:t>
            </w:r>
          </w:p>
          <w:p w14:paraId="4F9D6D8D" w14:textId="77777777" w:rsidR="00FA7EBF" w:rsidRPr="007939DD" w:rsidRDefault="00FA7EBF" w:rsidP="007B207C">
            <w:pPr>
              <w:pStyle w:val="ARfintablecolheadright"/>
            </w:pPr>
            <w:r w:rsidRPr="007939DD">
              <w:t>$M</w:t>
            </w:r>
          </w:p>
        </w:tc>
      </w:tr>
      <w:tr w:rsidR="00FA7EBF" w:rsidRPr="007939DD" w14:paraId="78668061" w14:textId="77777777" w:rsidTr="007B207C">
        <w:trPr>
          <w:cantSplit/>
        </w:trPr>
        <w:tc>
          <w:tcPr>
            <w:tcW w:w="9639" w:type="dxa"/>
            <w:gridSpan w:val="3"/>
            <w:tcBorders>
              <w:bottom w:val="single" w:sz="4" w:space="0" w:color="A6A6A6" w:themeColor="background1" w:themeShade="A6"/>
            </w:tcBorders>
          </w:tcPr>
          <w:p w14:paraId="0EFF6F88" w14:textId="77777777" w:rsidR="00FA7EBF" w:rsidRPr="007939DD" w:rsidRDefault="00FA7EBF" w:rsidP="007B207C">
            <w:pPr>
              <w:pStyle w:val="ARfintablebodybold"/>
              <w:rPr>
                <w:lang w:eastAsia="en-AU"/>
              </w:rPr>
            </w:pPr>
            <w:r w:rsidRPr="00256819">
              <w:t xml:space="preserve">Physical asset revaluation surplus </w:t>
            </w:r>
            <w:r w:rsidRPr="00CF08AE">
              <w:rPr>
                <w:rStyle w:val="Superscript"/>
              </w:rPr>
              <w:t>(i)</w:t>
            </w:r>
          </w:p>
        </w:tc>
      </w:tr>
      <w:tr w:rsidR="00FA7EBF" w:rsidRPr="007939DD" w14:paraId="22B48FC3" w14:textId="77777777" w:rsidTr="007B207C">
        <w:trPr>
          <w:cantSplit/>
        </w:trPr>
        <w:tc>
          <w:tcPr>
            <w:tcW w:w="7371" w:type="dxa"/>
            <w:tcBorders>
              <w:top w:val="single" w:sz="4" w:space="0" w:color="A6A6A6" w:themeColor="background1" w:themeShade="A6"/>
              <w:bottom w:val="single" w:sz="4" w:space="0" w:color="A6A6A6" w:themeColor="background1" w:themeShade="A6"/>
            </w:tcBorders>
          </w:tcPr>
          <w:p w14:paraId="0F58107D" w14:textId="77777777" w:rsidR="00FA7EBF" w:rsidRPr="007939DD" w:rsidRDefault="00FA7EBF" w:rsidP="007B207C">
            <w:pPr>
              <w:pStyle w:val="ARfintablebody"/>
              <w:rPr>
                <w:lang w:eastAsia="en-AU"/>
              </w:rPr>
            </w:pPr>
            <w:r w:rsidRPr="00256819">
              <w:t>Balance at beginning of financial year</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07D39A4" w14:textId="77777777" w:rsidR="00FA7EBF" w:rsidRPr="007939DD" w:rsidRDefault="00FA7EBF" w:rsidP="007B207C">
            <w:pPr>
              <w:pStyle w:val="ARfintablebodyright"/>
              <w:rPr>
                <w:lang w:eastAsia="en-AU"/>
              </w:rPr>
            </w:pPr>
            <w:r w:rsidRPr="00256819">
              <w:t>8,601.7</w:t>
            </w:r>
          </w:p>
        </w:tc>
        <w:tc>
          <w:tcPr>
            <w:tcW w:w="1134" w:type="dxa"/>
            <w:tcBorders>
              <w:top w:val="single" w:sz="4" w:space="0" w:color="A6A6A6" w:themeColor="background1" w:themeShade="A6"/>
              <w:bottom w:val="single" w:sz="4" w:space="0" w:color="A6A6A6" w:themeColor="background1" w:themeShade="A6"/>
            </w:tcBorders>
          </w:tcPr>
          <w:p w14:paraId="1F192531" w14:textId="77777777" w:rsidR="00FA7EBF" w:rsidRPr="007939DD" w:rsidRDefault="00FA7EBF" w:rsidP="007B207C">
            <w:pPr>
              <w:pStyle w:val="ARfintablebodyright"/>
              <w:rPr>
                <w:lang w:eastAsia="en-AU"/>
              </w:rPr>
            </w:pPr>
            <w:r w:rsidRPr="00256819">
              <w:t>4,542.1</w:t>
            </w:r>
          </w:p>
        </w:tc>
      </w:tr>
      <w:tr w:rsidR="00FA7EBF" w:rsidRPr="007939DD" w14:paraId="2369119B" w14:textId="77777777" w:rsidTr="007B207C">
        <w:trPr>
          <w:cantSplit/>
        </w:trPr>
        <w:tc>
          <w:tcPr>
            <w:tcW w:w="7371" w:type="dxa"/>
            <w:tcBorders>
              <w:top w:val="single" w:sz="4" w:space="0" w:color="A6A6A6" w:themeColor="background1" w:themeShade="A6"/>
            </w:tcBorders>
          </w:tcPr>
          <w:p w14:paraId="03FBDFD8" w14:textId="77777777" w:rsidR="00FA7EBF" w:rsidRPr="007939DD" w:rsidRDefault="00FA7EBF" w:rsidP="007B207C">
            <w:pPr>
              <w:pStyle w:val="ARfintablebody"/>
              <w:rPr>
                <w:lang w:eastAsia="en-AU"/>
              </w:rPr>
            </w:pPr>
            <w:r w:rsidRPr="00256819">
              <w:t>Revaluation increments/(decrements) of land and buildings</w:t>
            </w:r>
          </w:p>
        </w:tc>
        <w:tc>
          <w:tcPr>
            <w:tcW w:w="1134" w:type="dxa"/>
            <w:tcBorders>
              <w:top w:val="single" w:sz="4" w:space="0" w:color="A6A6A6" w:themeColor="background1" w:themeShade="A6"/>
            </w:tcBorders>
            <w:shd w:val="clear" w:color="auto" w:fill="E7E6E6"/>
          </w:tcPr>
          <w:p w14:paraId="70C71731" w14:textId="77777777" w:rsidR="00FA7EBF" w:rsidRPr="007939DD" w:rsidRDefault="00FA7EBF" w:rsidP="007B207C">
            <w:pPr>
              <w:pStyle w:val="ARfintablebodyright"/>
              <w:rPr>
                <w:lang w:eastAsia="en-AU"/>
              </w:rPr>
            </w:pPr>
            <w:r w:rsidRPr="00256819">
              <w:t>(1,205.3)</w:t>
            </w:r>
          </w:p>
        </w:tc>
        <w:tc>
          <w:tcPr>
            <w:tcW w:w="1134" w:type="dxa"/>
            <w:tcBorders>
              <w:top w:val="single" w:sz="4" w:space="0" w:color="A6A6A6" w:themeColor="background1" w:themeShade="A6"/>
            </w:tcBorders>
          </w:tcPr>
          <w:p w14:paraId="20D195B5" w14:textId="77777777" w:rsidR="00FA7EBF" w:rsidRPr="007939DD" w:rsidRDefault="00FA7EBF" w:rsidP="007B207C">
            <w:pPr>
              <w:pStyle w:val="ARfintablebodyright"/>
              <w:rPr>
                <w:lang w:eastAsia="en-AU"/>
              </w:rPr>
            </w:pPr>
            <w:r w:rsidRPr="00256819">
              <w:t>4,059.6</w:t>
            </w:r>
          </w:p>
        </w:tc>
      </w:tr>
      <w:tr w:rsidR="00FA7EBF" w:rsidRPr="007939DD" w14:paraId="16713884" w14:textId="77777777" w:rsidTr="007B207C">
        <w:trPr>
          <w:cantSplit/>
        </w:trPr>
        <w:tc>
          <w:tcPr>
            <w:tcW w:w="7371" w:type="dxa"/>
          </w:tcPr>
          <w:p w14:paraId="10D51A6A" w14:textId="77777777" w:rsidR="00FA7EBF" w:rsidRPr="007939DD" w:rsidRDefault="00FA7EBF" w:rsidP="007B207C">
            <w:pPr>
              <w:pStyle w:val="ARfintablebodybold"/>
              <w:rPr>
                <w:lang w:eastAsia="en-AU"/>
              </w:rPr>
            </w:pPr>
            <w:r w:rsidRPr="00256819">
              <w:t>Balance at the end of financial year</w:t>
            </w:r>
          </w:p>
        </w:tc>
        <w:tc>
          <w:tcPr>
            <w:tcW w:w="1134" w:type="dxa"/>
            <w:shd w:val="clear" w:color="auto" w:fill="E7E6E6"/>
          </w:tcPr>
          <w:p w14:paraId="5A630356" w14:textId="77777777" w:rsidR="00FA7EBF" w:rsidRPr="007939DD" w:rsidRDefault="00FA7EBF" w:rsidP="007B207C">
            <w:pPr>
              <w:pStyle w:val="ARfintablebodyrightbold"/>
              <w:rPr>
                <w:lang w:eastAsia="en-AU"/>
              </w:rPr>
            </w:pPr>
            <w:r w:rsidRPr="00256819">
              <w:t>7,396.4</w:t>
            </w:r>
          </w:p>
        </w:tc>
        <w:tc>
          <w:tcPr>
            <w:tcW w:w="1134" w:type="dxa"/>
          </w:tcPr>
          <w:p w14:paraId="2383E83D" w14:textId="77777777" w:rsidR="00FA7EBF" w:rsidRPr="007939DD" w:rsidRDefault="00FA7EBF" w:rsidP="007B207C">
            <w:pPr>
              <w:pStyle w:val="ARfintablebodyrightbold"/>
              <w:rPr>
                <w:rStyle w:val="Strong"/>
                <w:bCs w:val="0"/>
              </w:rPr>
            </w:pPr>
            <w:r w:rsidRPr="00256819">
              <w:t>8,601.7</w:t>
            </w:r>
          </w:p>
        </w:tc>
      </w:tr>
      <w:tr w:rsidR="00FA7EBF" w:rsidRPr="007939DD" w14:paraId="45F00E8E" w14:textId="77777777" w:rsidTr="007B207C">
        <w:trPr>
          <w:cantSplit/>
        </w:trPr>
        <w:tc>
          <w:tcPr>
            <w:tcW w:w="9639" w:type="dxa"/>
            <w:gridSpan w:val="3"/>
            <w:tcBorders>
              <w:bottom w:val="single" w:sz="4" w:space="0" w:color="BFBFBF" w:themeColor="accent4"/>
            </w:tcBorders>
          </w:tcPr>
          <w:p w14:paraId="1091D6F4" w14:textId="77777777" w:rsidR="00FA7EBF" w:rsidRPr="006E4233" w:rsidRDefault="00FA7EBF" w:rsidP="007B207C">
            <w:pPr>
              <w:pStyle w:val="ARfintablebodybold"/>
            </w:pPr>
            <w:r w:rsidRPr="00256819">
              <w:t>Represented by:</w:t>
            </w:r>
          </w:p>
        </w:tc>
      </w:tr>
      <w:tr w:rsidR="00FA7EBF" w:rsidRPr="007939DD" w14:paraId="392BC272" w14:textId="77777777" w:rsidTr="007B207C">
        <w:trPr>
          <w:cantSplit/>
        </w:trPr>
        <w:tc>
          <w:tcPr>
            <w:tcW w:w="7371" w:type="dxa"/>
            <w:tcBorders>
              <w:top w:val="single" w:sz="4" w:space="0" w:color="BFBFBF" w:themeColor="accent4"/>
              <w:bottom w:val="single" w:sz="4" w:space="0" w:color="BFBFBF" w:themeColor="accent4"/>
            </w:tcBorders>
          </w:tcPr>
          <w:p w14:paraId="256B351B" w14:textId="77777777" w:rsidR="00FA7EBF" w:rsidRPr="006E4233" w:rsidRDefault="00FA7EBF" w:rsidP="007B207C">
            <w:pPr>
              <w:pStyle w:val="ARfintablebody"/>
            </w:pPr>
            <w:r w:rsidRPr="00256819">
              <w:t xml:space="preserve">– Land </w:t>
            </w:r>
          </w:p>
        </w:tc>
        <w:tc>
          <w:tcPr>
            <w:tcW w:w="1134" w:type="dxa"/>
            <w:tcBorders>
              <w:top w:val="single" w:sz="4" w:space="0" w:color="BFBFBF" w:themeColor="accent4"/>
              <w:bottom w:val="single" w:sz="4" w:space="0" w:color="BFBFBF" w:themeColor="accent4"/>
            </w:tcBorders>
            <w:shd w:val="clear" w:color="auto" w:fill="E7E6E6"/>
          </w:tcPr>
          <w:p w14:paraId="1CE10648" w14:textId="77777777" w:rsidR="00FA7EBF" w:rsidRPr="006E4233" w:rsidRDefault="00FA7EBF" w:rsidP="007B207C">
            <w:pPr>
              <w:pStyle w:val="ARfintablebodyright"/>
            </w:pPr>
            <w:r w:rsidRPr="00256819">
              <w:t>6,357.4</w:t>
            </w:r>
          </w:p>
        </w:tc>
        <w:tc>
          <w:tcPr>
            <w:tcW w:w="1134" w:type="dxa"/>
            <w:tcBorders>
              <w:top w:val="single" w:sz="4" w:space="0" w:color="BFBFBF" w:themeColor="accent4"/>
              <w:bottom w:val="single" w:sz="4" w:space="0" w:color="BFBFBF" w:themeColor="accent4"/>
            </w:tcBorders>
          </w:tcPr>
          <w:p w14:paraId="7FBAB7D7" w14:textId="77777777" w:rsidR="00FA7EBF" w:rsidRPr="006E4233" w:rsidRDefault="00FA7EBF" w:rsidP="007B207C">
            <w:pPr>
              <w:pStyle w:val="ARfintablebodyright"/>
            </w:pPr>
            <w:r w:rsidRPr="00256819">
              <w:t>8,555.2</w:t>
            </w:r>
          </w:p>
        </w:tc>
      </w:tr>
      <w:tr w:rsidR="00FA7EBF" w:rsidRPr="007939DD" w14:paraId="19BCBBF0" w14:textId="77777777" w:rsidTr="007B207C">
        <w:trPr>
          <w:cantSplit/>
        </w:trPr>
        <w:tc>
          <w:tcPr>
            <w:tcW w:w="7371" w:type="dxa"/>
            <w:tcBorders>
              <w:top w:val="single" w:sz="4" w:space="0" w:color="BFBFBF" w:themeColor="accent4"/>
            </w:tcBorders>
          </w:tcPr>
          <w:p w14:paraId="5ECF5552" w14:textId="77777777" w:rsidR="00FA7EBF" w:rsidRPr="006E4233" w:rsidRDefault="00FA7EBF" w:rsidP="007B207C">
            <w:pPr>
              <w:pStyle w:val="ARfintablebody"/>
            </w:pPr>
            <w:r w:rsidRPr="00256819">
              <w:t xml:space="preserve">– Building </w:t>
            </w:r>
          </w:p>
        </w:tc>
        <w:tc>
          <w:tcPr>
            <w:tcW w:w="1134" w:type="dxa"/>
            <w:tcBorders>
              <w:top w:val="single" w:sz="4" w:space="0" w:color="BFBFBF" w:themeColor="accent4"/>
            </w:tcBorders>
            <w:shd w:val="clear" w:color="auto" w:fill="E7E6E6"/>
          </w:tcPr>
          <w:p w14:paraId="530916AF" w14:textId="77777777" w:rsidR="00FA7EBF" w:rsidRPr="006E4233" w:rsidRDefault="00FA7EBF" w:rsidP="007B207C">
            <w:pPr>
              <w:pStyle w:val="ARfintablebodyright"/>
            </w:pPr>
            <w:r w:rsidRPr="00256819">
              <w:t>1,039.0</w:t>
            </w:r>
          </w:p>
        </w:tc>
        <w:tc>
          <w:tcPr>
            <w:tcW w:w="1134" w:type="dxa"/>
            <w:tcBorders>
              <w:top w:val="single" w:sz="4" w:space="0" w:color="BFBFBF" w:themeColor="accent4"/>
            </w:tcBorders>
          </w:tcPr>
          <w:p w14:paraId="1EB826FF" w14:textId="77777777" w:rsidR="00FA7EBF" w:rsidRPr="006E4233" w:rsidRDefault="00FA7EBF" w:rsidP="007B207C">
            <w:pPr>
              <w:pStyle w:val="ARfintablebodyright"/>
            </w:pPr>
            <w:r w:rsidRPr="00256819">
              <w:t>46.6</w:t>
            </w:r>
          </w:p>
        </w:tc>
      </w:tr>
      <w:tr w:rsidR="00FA7EBF" w:rsidRPr="007939DD" w14:paraId="2DA53132" w14:textId="77777777" w:rsidTr="007B207C">
        <w:trPr>
          <w:cantSplit/>
        </w:trPr>
        <w:tc>
          <w:tcPr>
            <w:tcW w:w="7371" w:type="dxa"/>
          </w:tcPr>
          <w:p w14:paraId="78829B9C" w14:textId="77777777" w:rsidR="00FA7EBF" w:rsidRPr="006E4233" w:rsidRDefault="00FA7EBF" w:rsidP="007B207C">
            <w:pPr>
              <w:pStyle w:val="ARfintablebodybold"/>
            </w:pPr>
            <w:r w:rsidRPr="00256819">
              <w:t>Total physical assets revaluation surplus</w:t>
            </w:r>
          </w:p>
        </w:tc>
        <w:tc>
          <w:tcPr>
            <w:tcW w:w="1134" w:type="dxa"/>
            <w:shd w:val="clear" w:color="auto" w:fill="E7E6E6"/>
          </w:tcPr>
          <w:p w14:paraId="45989D11" w14:textId="77777777" w:rsidR="00FA7EBF" w:rsidRPr="006E4233" w:rsidRDefault="00FA7EBF" w:rsidP="007B207C">
            <w:pPr>
              <w:pStyle w:val="ARfintablebodyrightbold"/>
            </w:pPr>
            <w:r w:rsidRPr="00256819">
              <w:t>7,396.4</w:t>
            </w:r>
          </w:p>
        </w:tc>
        <w:tc>
          <w:tcPr>
            <w:tcW w:w="1134" w:type="dxa"/>
          </w:tcPr>
          <w:p w14:paraId="0ACE7683" w14:textId="77777777" w:rsidR="00FA7EBF" w:rsidRPr="006E4233" w:rsidRDefault="00FA7EBF" w:rsidP="007B207C">
            <w:pPr>
              <w:pStyle w:val="ARfintablebodyrightbold"/>
            </w:pPr>
            <w:r w:rsidRPr="00256819">
              <w:t>8,601.7</w:t>
            </w:r>
          </w:p>
        </w:tc>
      </w:tr>
    </w:tbl>
    <w:p w14:paraId="355D0815" w14:textId="77777777" w:rsidR="00FA7EBF" w:rsidRPr="00194D78" w:rsidRDefault="00FA7EBF" w:rsidP="00CA66FD">
      <w:pPr>
        <w:pStyle w:val="ARfintablefootnote"/>
        <w:rPr>
          <w:lang w:eastAsia="en-AU"/>
        </w:rPr>
      </w:pPr>
      <w:r w:rsidRPr="00194D78">
        <w:rPr>
          <w:lang w:eastAsia="en-AU"/>
        </w:rPr>
        <w:t>Note:</w:t>
      </w:r>
    </w:p>
    <w:p w14:paraId="4D0BDAF4" w14:textId="77777777" w:rsidR="00FA7EBF" w:rsidRPr="00194D78" w:rsidRDefault="00FA7EBF" w:rsidP="00CA66FD">
      <w:pPr>
        <w:pStyle w:val="ARfintablefootnoteindent"/>
      </w:pPr>
      <w:r w:rsidRPr="00194D78">
        <w:t>(i)</w:t>
      </w:r>
      <w:r>
        <w:tab/>
      </w:r>
      <w:r w:rsidRPr="00194D78">
        <w:t>The physical assets revaluation surplus arises on the revaluation of land and buildings.</w:t>
      </w:r>
    </w:p>
    <w:p w14:paraId="5ADBADDD" w14:textId="77777777" w:rsidR="00FA7EBF" w:rsidRPr="00194D78" w:rsidRDefault="00FA7EBF" w:rsidP="00CA66FD">
      <w:pPr>
        <w:pStyle w:val="Heading4"/>
        <w:rPr>
          <w:lang w:eastAsia="en-AU"/>
        </w:rPr>
      </w:pPr>
      <w:r w:rsidRPr="00194D78">
        <w:rPr>
          <w:lang w:eastAsia="en-AU"/>
        </w:rPr>
        <w:t xml:space="preserve">9.5 Entities consolidated pursuant to </w:t>
      </w:r>
      <w:r>
        <w:rPr>
          <w:lang w:eastAsia="en-AU"/>
        </w:rPr>
        <w:t>s.</w:t>
      </w:r>
      <w:r w:rsidRPr="00194D78">
        <w:rPr>
          <w:lang w:eastAsia="en-AU"/>
        </w:rPr>
        <w:t xml:space="preserve"> 53(1)(b) of the FMA</w:t>
      </w:r>
    </w:p>
    <w:p w14:paraId="38A9CE5A" w14:textId="77777777" w:rsidR="00FA7EBF" w:rsidRPr="00194D78" w:rsidRDefault="00FA7EBF" w:rsidP="00CA66FD">
      <w:pPr>
        <w:pStyle w:val="ARfinbody"/>
      </w:pPr>
      <w:r w:rsidRPr="00194D78">
        <w:t>The following entities have been consolidated into the department</w:t>
      </w:r>
      <w:r>
        <w:t>’</w:t>
      </w:r>
      <w:r w:rsidRPr="00194D78">
        <w:t xml:space="preserve">s financial statements pursuant to a determination made by the Assistant Treasurer under </w:t>
      </w:r>
      <w:r>
        <w:t>s.</w:t>
      </w:r>
      <w:r w:rsidRPr="00194D78">
        <w:t xml:space="preserve"> 53(1)(b) of the FMA:</w:t>
      </w:r>
    </w:p>
    <w:p w14:paraId="655E2F14" w14:textId="77777777" w:rsidR="00FA7EBF" w:rsidRPr="00194D78" w:rsidRDefault="00FA7EBF" w:rsidP="00CA66FD">
      <w:pPr>
        <w:pStyle w:val="ARfinbullet1"/>
        <w:numPr>
          <w:ilvl w:val="0"/>
          <w:numId w:val="4"/>
        </w:numPr>
      </w:pPr>
      <w:r w:rsidRPr="00194D78">
        <w:t>Respect Victoria</w:t>
      </w:r>
    </w:p>
    <w:p w14:paraId="6941110B" w14:textId="77777777" w:rsidR="00FA7EBF" w:rsidRPr="00194D78" w:rsidRDefault="00FA7EBF" w:rsidP="00CA66FD">
      <w:pPr>
        <w:pStyle w:val="ARfinbullet1"/>
        <w:numPr>
          <w:ilvl w:val="0"/>
          <w:numId w:val="4"/>
        </w:numPr>
      </w:pPr>
      <w:r w:rsidRPr="00194D78">
        <w:t>Mental Health Tribunal</w:t>
      </w:r>
    </w:p>
    <w:p w14:paraId="0037B9BA" w14:textId="77777777" w:rsidR="00FA7EBF" w:rsidRPr="00194D78" w:rsidRDefault="00FA7EBF" w:rsidP="00CA66FD">
      <w:pPr>
        <w:pStyle w:val="ARfinbullet1"/>
        <w:numPr>
          <w:ilvl w:val="0"/>
          <w:numId w:val="4"/>
        </w:numPr>
      </w:pPr>
      <w:r w:rsidRPr="00194D78">
        <w:t>Commission for Children and Young People</w:t>
      </w:r>
    </w:p>
    <w:p w14:paraId="74DCC92B" w14:textId="77777777" w:rsidR="00FA7EBF" w:rsidRPr="00194D78" w:rsidRDefault="00FA7EBF" w:rsidP="00CA66FD">
      <w:pPr>
        <w:pStyle w:val="ARfinbullet1"/>
        <w:numPr>
          <w:ilvl w:val="0"/>
          <w:numId w:val="4"/>
        </w:numPr>
      </w:pPr>
      <w:r w:rsidRPr="00194D78">
        <w:t>the Director of Housing.</w:t>
      </w:r>
    </w:p>
    <w:p w14:paraId="551E6418" w14:textId="77777777" w:rsidR="00FA7EBF" w:rsidRDefault="00FA7EBF" w:rsidP="00CA66FD">
      <w:pPr>
        <w:pStyle w:val="ARfinbodylargespace"/>
      </w:pPr>
      <w:r w:rsidRPr="00194D78">
        <w:t>The financial effects of each of those entities, except Director of Housing, were trivial to the departmental consolidated group, both individually and in aggregate. Therefore, those entities are reported in aggregate, together with the department in the table below.</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right w:w="0" w:type="dxa"/>
        </w:tblCellMar>
        <w:tblLook w:val="00A0" w:firstRow="1" w:lastRow="0" w:firstColumn="1" w:lastColumn="0" w:noHBand="0" w:noVBand="0"/>
      </w:tblPr>
      <w:tblGrid>
        <w:gridCol w:w="2833"/>
        <w:gridCol w:w="850"/>
        <w:gridCol w:w="850"/>
        <w:gridCol w:w="851"/>
        <w:gridCol w:w="851"/>
        <w:gridCol w:w="851"/>
        <w:gridCol w:w="851"/>
        <w:gridCol w:w="851"/>
        <w:gridCol w:w="851"/>
      </w:tblGrid>
      <w:tr w:rsidR="00FA7EBF" w:rsidRPr="007939DD" w14:paraId="7ECBDD40" w14:textId="77777777" w:rsidTr="007B207C">
        <w:trPr>
          <w:cantSplit/>
          <w:tblHeader/>
        </w:trPr>
        <w:tc>
          <w:tcPr>
            <w:tcW w:w="2833" w:type="dxa"/>
            <w:vMerge w:val="restart"/>
            <w:vAlign w:val="bottom"/>
          </w:tcPr>
          <w:p w14:paraId="09F2BD1F" w14:textId="77777777" w:rsidR="00FA7EBF" w:rsidRPr="007939DD" w:rsidRDefault="00FA7EBF" w:rsidP="007B207C">
            <w:pPr>
              <w:pStyle w:val="ARfintablecolhead"/>
            </w:pPr>
          </w:p>
        </w:tc>
        <w:tc>
          <w:tcPr>
            <w:tcW w:w="1700" w:type="dxa"/>
            <w:gridSpan w:val="2"/>
            <w:vAlign w:val="bottom"/>
          </w:tcPr>
          <w:p w14:paraId="404DFDEB" w14:textId="77777777" w:rsidR="00FA7EBF" w:rsidRPr="007939DD" w:rsidRDefault="00FA7EBF" w:rsidP="007B207C">
            <w:pPr>
              <w:pStyle w:val="ARfintablecolheadcentre"/>
            </w:pPr>
            <w:r w:rsidRPr="007939DD">
              <w:t xml:space="preserve">Department of Health and Human Services (DHHS) and other </w:t>
            </w:r>
            <w:r>
              <w:t>s.</w:t>
            </w:r>
            <w:r w:rsidRPr="007939DD">
              <w:t xml:space="preserve"> 53(1)(b) entities</w:t>
            </w:r>
          </w:p>
        </w:tc>
        <w:tc>
          <w:tcPr>
            <w:tcW w:w="1702" w:type="dxa"/>
            <w:gridSpan w:val="2"/>
            <w:vAlign w:val="bottom"/>
          </w:tcPr>
          <w:p w14:paraId="0B12E7EE" w14:textId="77777777" w:rsidR="00FA7EBF" w:rsidRPr="007939DD" w:rsidRDefault="00FA7EBF" w:rsidP="007B207C">
            <w:pPr>
              <w:pStyle w:val="ARfintablecolheadcentre"/>
            </w:pPr>
            <w:r w:rsidRPr="007939DD">
              <w:t>Director of Housing</w:t>
            </w:r>
          </w:p>
        </w:tc>
        <w:tc>
          <w:tcPr>
            <w:tcW w:w="1702" w:type="dxa"/>
            <w:gridSpan w:val="2"/>
            <w:vAlign w:val="bottom"/>
          </w:tcPr>
          <w:p w14:paraId="6F585AD8" w14:textId="77777777" w:rsidR="00FA7EBF" w:rsidRPr="007939DD" w:rsidRDefault="00FA7EBF" w:rsidP="007B207C">
            <w:pPr>
              <w:pStyle w:val="ARfintablecolheadcentre"/>
            </w:pPr>
            <w:r w:rsidRPr="007939DD">
              <w:t>Eliminations and adjustments</w:t>
            </w:r>
          </w:p>
        </w:tc>
        <w:tc>
          <w:tcPr>
            <w:tcW w:w="1702" w:type="dxa"/>
            <w:gridSpan w:val="2"/>
            <w:vAlign w:val="bottom"/>
          </w:tcPr>
          <w:p w14:paraId="2BA1F1F4" w14:textId="77777777" w:rsidR="00FA7EBF" w:rsidRPr="007939DD" w:rsidRDefault="00FA7EBF" w:rsidP="007B207C">
            <w:pPr>
              <w:pStyle w:val="ARfintablecolheadcentre"/>
            </w:pPr>
            <w:r w:rsidRPr="007939DD">
              <w:t>DHHS consolidated group</w:t>
            </w:r>
          </w:p>
        </w:tc>
      </w:tr>
      <w:tr w:rsidR="00FA7EBF" w:rsidRPr="007939DD" w14:paraId="19AAE323" w14:textId="77777777" w:rsidTr="007B207C">
        <w:trPr>
          <w:cantSplit/>
          <w:tblHeader/>
        </w:trPr>
        <w:tc>
          <w:tcPr>
            <w:tcW w:w="2833" w:type="dxa"/>
            <w:vMerge/>
            <w:vAlign w:val="bottom"/>
          </w:tcPr>
          <w:p w14:paraId="6DF3E89E" w14:textId="77777777" w:rsidR="00FA7EBF" w:rsidRPr="007939DD" w:rsidRDefault="00FA7EBF" w:rsidP="007B207C">
            <w:pPr>
              <w:pStyle w:val="ARfintablecolhead"/>
            </w:pPr>
          </w:p>
        </w:tc>
        <w:tc>
          <w:tcPr>
            <w:tcW w:w="850" w:type="dxa"/>
            <w:shd w:val="clear" w:color="auto" w:fill="E7E6E6"/>
            <w:vAlign w:val="bottom"/>
          </w:tcPr>
          <w:p w14:paraId="412FE5B7" w14:textId="77777777" w:rsidR="00FA7EBF" w:rsidRPr="007939DD" w:rsidRDefault="00FA7EBF" w:rsidP="007B207C">
            <w:pPr>
              <w:pStyle w:val="ARfintablecolheadright"/>
            </w:pPr>
            <w:r w:rsidRPr="007939DD">
              <w:t>201</w:t>
            </w:r>
            <w:r>
              <w:t>9</w:t>
            </w:r>
          </w:p>
          <w:p w14:paraId="658C821B" w14:textId="77777777" w:rsidR="00FA7EBF" w:rsidRPr="007939DD" w:rsidRDefault="00FA7EBF" w:rsidP="007B207C">
            <w:pPr>
              <w:pStyle w:val="ARfintablecolheadright"/>
            </w:pPr>
            <w:r w:rsidRPr="007939DD">
              <w:t>$M</w:t>
            </w:r>
          </w:p>
        </w:tc>
        <w:tc>
          <w:tcPr>
            <w:tcW w:w="850" w:type="dxa"/>
            <w:vAlign w:val="bottom"/>
          </w:tcPr>
          <w:p w14:paraId="5A6843D6" w14:textId="77777777" w:rsidR="00FA7EBF" w:rsidRPr="007939DD" w:rsidRDefault="00FA7EBF" w:rsidP="007B207C">
            <w:pPr>
              <w:pStyle w:val="ARfintablecolheadright"/>
            </w:pPr>
            <w:r w:rsidRPr="007939DD">
              <w:t>201</w:t>
            </w:r>
            <w:r>
              <w:t>8</w:t>
            </w:r>
          </w:p>
          <w:p w14:paraId="6CFF5682" w14:textId="77777777" w:rsidR="00FA7EBF" w:rsidRPr="007939DD" w:rsidRDefault="00FA7EBF" w:rsidP="007B207C">
            <w:pPr>
              <w:pStyle w:val="ARfintablecolheadright"/>
            </w:pPr>
            <w:r w:rsidRPr="007939DD">
              <w:t>$M</w:t>
            </w:r>
          </w:p>
        </w:tc>
        <w:tc>
          <w:tcPr>
            <w:tcW w:w="851" w:type="dxa"/>
            <w:shd w:val="clear" w:color="auto" w:fill="E7E6E6"/>
            <w:vAlign w:val="bottom"/>
          </w:tcPr>
          <w:p w14:paraId="1AA6BD67" w14:textId="77777777" w:rsidR="00FA7EBF" w:rsidRPr="007939DD" w:rsidRDefault="00FA7EBF" w:rsidP="007B207C">
            <w:pPr>
              <w:pStyle w:val="ARfintablecolheadright"/>
            </w:pPr>
            <w:r w:rsidRPr="007939DD">
              <w:t>201</w:t>
            </w:r>
            <w:r>
              <w:t>9</w:t>
            </w:r>
          </w:p>
          <w:p w14:paraId="09BCDBC8" w14:textId="77777777" w:rsidR="00FA7EBF" w:rsidRPr="007939DD" w:rsidRDefault="00FA7EBF" w:rsidP="007B207C">
            <w:pPr>
              <w:pStyle w:val="ARfintablecolheadright"/>
            </w:pPr>
            <w:r w:rsidRPr="007939DD">
              <w:t>$M</w:t>
            </w:r>
          </w:p>
        </w:tc>
        <w:tc>
          <w:tcPr>
            <w:tcW w:w="851" w:type="dxa"/>
            <w:vAlign w:val="bottom"/>
          </w:tcPr>
          <w:p w14:paraId="2D484673" w14:textId="77777777" w:rsidR="00FA7EBF" w:rsidRPr="007939DD" w:rsidRDefault="00FA7EBF" w:rsidP="007B207C">
            <w:pPr>
              <w:pStyle w:val="ARfintablecolheadright"/>
            </w:pPr>
            <w:r w:rsidRPr="007939DD">
              <w:t>201</w:t>
            </w:r>
            <w:r>
              <w:t>8</w:t>
            </w:r>
          </w:p>
          <w:p w14:paraId="48C3657F" w14:textId="77777777" w:rsidR="00FA7EBF" w:rsidRPr="007939DD" w:rsidRDefault="00FA7EBF" w:rsidP="007B207C">
            <w:pPr>
              <w:pStyle w:val="ARfintablecolheadright"/>
            </w:pPr>
            <w:r w:rsidRPr="007939DD">
              <w:t>$M</w:t>
            </w:r>
          </w:p>
        </w:tc>
        <w:tc>
          <w:tcPr>
            <w:tcW w:w="851" w:type="dxa"/>
            <w:shd w:val="clear" w:color="auto" w:fill="E7E6E6"/>
            <w:vAlign w:val="bottom"/>
          </w:tcPr>
          <w:p w14:paraId="0B198A10" w14:textId="77777777" w:rsidR="00FA7EBF" w:rsidRPr="007939DD" w:rsidRDefault="00FA7EBF" w:rsidP="007B207C">
            <w:pPr>
              <w:pStyle w:val="ARfintablecolheadright"/>
            </w:pPr>
            <w:r w:rsidRPr="007939DD">
              <w:t>201</w:t>
            </w:r>
            <w:r>
              <w:t>9</w:t>
            </w:r>
          </w:p>
          <w:p w14:paraId="6DD241E1" w14:textId="77777777" w:rsidR="00FA7EBF" w:rsidRPr="007939DD" w:rsidRDefault="00FA7EBF" w:rsidP="007B207C">
            <w:pPr>
              <w:pStyle w:val="ARfintablecolheadright"/>
            </w:pPr>
            <w:r w:rsidRPr="007939DD">
              <w:t>$M</w:t>
            </w:r>
          </w:p>
        </w:tc>
        <w:tc>
          <w:tcPr>
            <w:tcW w:w="851" w:type="dxa"/>
            <w:vAlign w:val="bottom"/>
          </w:tcPr>
          <w:p w14:paraId="36364C2D" w14:textId="77777777" w:rsidR="00FA7EBF" w:rsidRPr="007939DD" w:rsidRDefault="00FA7EBF" w:rsidP="007B207C">
            <w:pPr>
              <w:pStyle w:val="ARfintablecolheadright"/>
            </w:pPr>
            <w:r w:rsidRPr="007939DD">
              <w:t>201</w:t>
            </w:r>
            <w:r>
              <w:t>8</w:t>
            </w:r>
          </w:p>
          <w:p w14:paraId="5C152281" w14:textId="77777777" w:rsidR="00FA7EBF" w:rsidRPr="007939DD" w:rsidRDefault="00FA7EBF" w:rsidP="007B207C">
            <w:pPr>
              <w:pStyle w:val="ARfintablecolheadright"/>
            </w:pPr>
            <w:r w:rsidRPr="007939DD">
              <w:t>$M</w:t>
            </w:r>
          </w:p>
        </w:tc>
        <w:tc>
          <w:tcPr>
            <w:tcW w:w="851" w:type="dxa"/>
            <w:shd w:val="clear" w:color="auto" w:fill="E7E6E6"/>
            <w:vAlign w:val="bottom"/>
          </w:tcPr>
          <w:p w14:paraId="31D985A2" w14:textId="77777777" w:rsidR="00FA7EBF" w:rsidRPr="007939DD" w:rsidRDefault="00FA7EBF" w:rsidP="007B207C">
            <w:pPr>
              <w:pStyle w:val="ARfintablecolheadright"/>
            </w:pPr>
            <w:r w:rsidRPr="007939DD">
              <w:t>201</w:t>
            </w:r>
            <w:r>
              <w:t>9</w:t>
            </w:r>
          </w:p>
          <w:p w14:paraId="00E8585E" w14:textId="77777777" w:rsidR="00FA7EBF" w:rsidRPr="007939DD" w:rsidRDefault="00FA7EBF" w:rsidP="007B207C">
            <w:pPr>
              <w:pStyle w:val="ARfintablecolheadright"/>
            </w:pPr>
            <w:r w:rsidRPr="007939DD">
              <w:t>$M</w:t>
            </w:r>
          </w:p>
        </w:tc>
        <w:tc>
          <w:tcPr>
            <w:tcW w:w="851" w:type="dxa"/>
            <w:vAlign w:val="bottom"/>
          </w:tcPr>
          <w:p w14:paraId="6C92D0AF" w14:textId="77777777" w:rsidR="00FA7EBF" w:rsidRPr="007939DD" w:rsidRDefault="00FA7EBF" w:rsidP="007B207C">
            <w:pPr>
              <w:pStyle w:val="ARfintablecolheadright"/>
            </w:pPr>
            <w:r w:rsidRPr="007939DD">
              <w:t>201</w:t>
            </w:r>
            <w:r>
              <w:t>8</w:t>
            </w:r>
          </w:p>
          <w:p w14:paraId="575CAECD" w14:textId="77777777" w:rsidR="00FA7EBF" w:rsidRPr="007939DD" w:rsidRDefault="00FA7EBF" w:rsidP="007B207C">
            <w:pPr>
              <w:pStyle w:val="ARfintablecolheadright"/>
            </w:pPr>
            <w:r w:rsidRPr="007939DD">
              <w:t>$M</w:t>
            </w:r>
          </w:p>
        </w:tc>
      </w:tr>
      <w:tr w:rsidR="00FA7EBF" w:rsidRPr="007939DD" w14:paraId="7121DBD8" w14:textId="77777777" w:rsidTr="007B207C">
        <w:trPr>
          <w:cantSplit/>
        </w:trPr>
        <w:tc>
          <w:tcPr>
            <w:tcW w:w="2833" w:type="dxa"/>
            <w:tcBorders>
              <w:bottom w:val="single" w:sz="4" w:space="0" w:color="A6A6A6" w:themeColor="background1" w:themeShade="A6"/>
            </w:tcBorders>
          </w:tcPr>
          <w:p w14:paraId="4BD8886F" w14:textId="77777777" w:rsidR="00FA7EBF" w:rsidRPr="007939DD" w:rsidRDefault="00FA7EBF" w:rsidP="007B207C">
            <w:pPr>
              <w:pStyle w:val="ARfintablebody"/>
              <w:rPr>
                <w:lang w:eastAsia="en-AU"/>
              </w:rPr>
            </w:pPr>
            <w:r w:rsidRPr="008611F9">
              <w:t>Total income from transactions</w:t>
            </w:r>
          </w:p>
        </w:tc>
        <w:tc>
          <w:tcPr>
            <w:tcW w:w="850" w:type="dxa"/>
            <w:tcBorders>
              <w:bottom w:val="single" w:sz="4" w:space="0" w:color="A6A6A6" w:themeColor="background1" w:themeShade="A6"/>
            </w:tcBorders>
            <w:shd w:val="clear" w:color="auto" w:fill="E7E6E6"/>
          </w:tcPr>
          <w:p w14:paraId="4CF6F88B" w14:textId="77777777" w:rsidR="00FA7EBF" w:rsidRPr="007939DD" w:rsidRDefault="00FA7EBF" w:rsidP="007B207C">
            <w:pPr>
              <w:pStyle w:val="ARfintablebodyright"/>
              <w:rPr>
                <w:lang w:eastAsia="en-AU"/>
              </w:rPr>
            </w:pPr>
            <w:r w:rsidRPr="008611F9">
              <w:t>18,280.9</w:t>
            </w:r>
          </w:p>
        </w:tc>
        <w:tc>
          <w:tcPr>
            <w:tcW w:w="850" w:type="dxa"/>
            <w:tcBorders>
              <w:bottom w:val="single" w:sz="4" w:space="0" w:color="A6A6A6" w:themeColor="background1" w:themeShade="A6"/>
            </w:tcBorders>
          </w:tcPr>
          <w:p w14:paraId="39A9CDC1" w14:textId="77777777" w:rsidR="00FA7EBF" w:rsidRPr="007939DD" w:rsidRDefault="00FA7EBF" w:rsidP="007B207C">
            <w:pPr>
              <w:pStyle w:val="ARfintablebodyright"/>
              <w:rPr>
                <w:lang w:eastAsia="en-AU"/>
              </w:rPr>
            </w:pPr>
            <w:r w:rsidRPr="008611F9">
              <w:t>16,824.6</w:t>
            </w:r>
          </w:p>
        </w:tc>
        <w:tc>
          <w:tcPr>
            <w:tcW w:w="851" w:type="dxa"/>
            <w:tcBorders>
              <w:bottom w:val="single" w:sz="4" w:space="0" w:color="A6A6A6" w:themeColor="background1" w:themeShade="A6"/>
            </w:tcBorders>
            <w:shd w:val="clear" w:color="auto" w:fill="E7E6E6"/>
          </w:tcPr>
          <w:p w14:paraId="4247361C" w14:textId="77777777" w:rsidR="00FA7EBF" w:rsidRPr="007939DD" w:rsidRDefault="00FA7EBF" w:rsidP="007B207C">
            <w:pPr>
              <w:pStyle w:val="ARfintablebodyright"/>
              <w:rPr>
                <w:lang w:eastAsia="en-AU"/>
              </w:rPr>
            </w:pPr>
            <w:r w:rsidRPr="008611F9">
              <w:t>1,145.7</w:t>
            </w:r>
          </w:p>
        </w:tc>
        <w:tc>
          <w:tcPr>
            <w:tcW w:w="851" w:type="dxa"/>
            <w:tcBorders>
              <w:bottom w:val="single" w:sz="4" w:space="0" w:color="A6A6A6" w:themeColor="background1" w:themeShade="A6"/>
            </w:tcBorders>
          </w:tcPr>
          <w:p w14:paraId="40F3B793" w14:textId="77777777" w:rsidR="00FA7EBF" w:rsidRPr="007939DD" w:rsidRDefault="00FA7EBF" w:rsidP="007B207C">
            <w:pPr>
              <w:pStyle w:val="ARfintablebodyright"/>
              <w:rPr>
                <w:lang w:eastAsia="en-AU"/>
              </w:rPr>
            </w:pPr>
            <w:r w:rsidRPr="008611F9">
              <w:t>1,107.1</w:t>
            </w:r>
          </w:p>
        </w:tc>
        <w:tc>
          <w:tcPr>
            <w:tcW w:w="851" w:type="dxa"/>
            <w:tcBorders>
              <w:bottom w:val="single" w:sz="4" w:space="0" w:color="A6A6A6" w:themeColor="background1" w:themeShade="A6"/>
            </w:tcBorders>
            <w:shd w:val="clear" w:color="auto" w:fill="E7E6E6"/>
          </w:tcPr>
          <w:p w14:paraId="60D64F5A" w14:textId="77777777" w:rsidR="00FA7EBF" w:rsidRPr="007939DD" w:rsidRDefault="00FA7EBF" w:rsidP="007B207C">
            <w:pPr>
              <w:pStyle w:val="ARfintablebodyright"/>
              <w:rPr>
                <w:lang w:eastAsia="en-AU"/>
              </w:rPr>
            </w:pPr>
            <w:r w:rsidRPr="008611F9">
              <w:t>(9.5)</w:t>
            </w:r>
          </w:p>
        </w:tc>
        <w:tc>
          <w:tcPr>
            <w:tcW w:w="851" w:type="dxa"/>
            <w:tcBorders>
              <w:bottom w:val="single" w:sz="4" w:space="0" w:color="A6A6A6" w:themeColor="background1" w:themeShade="A6"/>
            </w:tcBorders>
          </w:tcPr>
          <w:p w14:paraId="18AF1E71" w14:textId="77777777" w:rsidR="00FA7EBF" w:rsidRPr="007939DD" w:rsidRDefault="00FA7EBF" w:rsidP="007B207C">
            <w:pPr>
              <w:pStyle w:val="ARfintablebodyright"/>
              <w:rPr>
                <w:lang w:eastAsia="en-AU"/>
              </w:rPr>
            </w:pPr>
            <w:r w:rsidRPr="008611F9">
              <w:t>(10.7)</w:t>
            </w:r>
          </w:p>
        </w:tc>
        <w:tc>
          <w:tcPr>
            <w:tcW w:w="851" w:type="dxa"/>
            <w:tcBorders>
              <w:bottom w:val="single" w:sz="4" w:space="0" w:color="A6A6A6" w:themeColor="background1" w:themeShade="A6"/>
            </w:tcBorders>
            <w:shd w:val="clear" w:color="auto" w:fill="E7E6E6"/>
          </w:tcPr>
          <w:p w14:paraId="112F9A5D" w14:textId="77777777" w:rsidR="00FA7EBF" w:rsidRPr="007939DD" w:rsidRDefault="00FA7EBF" w:rsidP="007B207C">
            <w:pPr>
              <w:pStyle w:val="ARfintablebodyright"/>
              <w:rPr>
                <w:lang w:eastAsia="en-AU"/>
              </w:rPr>
            </w:pPr>
            <w:r w:rsidRPr="008611F9">
              <w:t>19,417.0</w:t>
            </w:r>
          </w:p>
        </w:tc>
        <w:tc>
          <w:tcPr>
            <w:tcW w:w="851" w:type="dxa"/>
            <w:tcBorders>
              <w:bottom w:val="single" w:sz="4" w:space="0" w:color="A6A6A6" w:themeColor="background1" w:themeShade="A6"/>
            </w:tcBorders>
          </w:tcPr>
          <w:p w14:paraId="6A4195EF" w14:textId="77777777" w:rsidR="00FA7EBF" w:rsidRPr="007939DD" w:rsidRDefault="00FA7EBF" w:rsidP="007B207C">
            <w:pPr>
              <w:pStyle w:val="ARfintablebodyright"/>
              <w:rPr>
                <w:lang w:eastAsia="en-AU"/>
              </w:rPr>
            </w:pPr>
            <w:r w:rsidRPr="008611F9">
              <w:t>17,921.1</w:t>
            </w:r>
          </w:p>
        </w:tc>
      </w:tr>
      <w:tr w:rsidR="00FA7EBF" w:rsidRPr="007939DD" w14:paraId="04F896CC" w14:textId="77777777" w:rsidTr="007B207C">
        <w:trPr>
          <w:cantSplit/>
        </w:trPr>
        <w:tc>
          <w:tcPr>
            <w:tcW w:w="2833" w:type="dxa"/>
            <w:tcBorders>
              <w:top w:val="single" w:sz="4" w:space="0" w:color="A6A6A6" w:themeColor="background1" w:themeShade="A6"/>
              <w:bottom w:val="single" w:sz="4" w:space="0" w:color="A6A6A6" w:themeColor="background1" w:themeShade="A6"/>
            </w:tcBorders>
          </w:tcPr>
          <w:p w14:paraId="3AFBEE7F" w14:textId="77777777" w:rsidR="00FA7EBF" w:rsidRPr="007939DD" w:rsidRDefault="00FA7EBF" w:rsidP="007B207C">
            <w:pPr>
              <w:pStyle w:val="ARfintablebody"/>
              <w:rPr>
                <w:lang w:eastAsia="en-AU"/>
              </w:rPr>
            </w:pPr>
            <w:r w:rsidRPr="008611F9">
              <w:t>Total expenses from transactions</w:t>
            </w:r>
          </w:p>
        </w:tc>
        <w:tc>
          <w:tcPr>
            <w:tcW w:w="850" w:type="dxa"/>
            <w:tcBorders>
              <w:top w:val="single" w:sz="4" w:space="0" w:color="A6A6A6" w:themeColor="background1" w:themeShade="A6"/>
              <w:bottom w:val="single" w:sz="4" w:space="0" w:color="A6A6A6" w:themeColor="background1" w:themeShade="A6"/>
            </w:tcBorders>
            <w:shd w:val="clear" w:color="auto" w:fill="E7E6E6"/>
          </w:tcPr>
          <w:p w14:paraId="6DF94FE2" w14:textId="77777777" w:rsidR="00FA7EBF" w:rsidRPr="007939DD" w:rsidRDefault="00FA7EBF" w:rsidP="007B207C">
            <w:pPr>
              <w:pStyle w:val="ARfintablebodyright"/>
              <w:rPr>
                <w:lang w:eastAsia="en-AU"/>
              </w:rPr>
            </w:pPr>
            <w:r w:rsidRPr="008611F9">
              <w:t>17,995.9</w:t>
            </w:r>
          </w:p>
        </w:tc>
        <w:tc>
          <w:tcPr>
            <w:tcW w:w="850" w:type="dxa"/>
            <w:tcBorders>
              <w:top w:val="single" w:sz="4" w:space="0" w:color="A6A6A6" w:themeColor="background1" w:themeShade="A6"/>
              <w:bottom w:val="single" w:sz="4" w:space="0" w:color="A6A6A6" w:themeColor="background1" w:themeShade="A6"/>
            </w:tcBorders>
          </w:tcPr>
          <w:p w14:paraId="107A7176" w14:textId="77777777" w:rsidR="00FA7EBF" w:rsidRPr="007939DD" w:rsidRDefault="00FA7EBF" w:rsidP="007B207C">
            <w:pPr>
              <w:pStyle w:val="ARfintablebodyright"/>
              <w:rPr>
                <w:lang w:eastAsia="en-AU"/>
              </w:rPr>
            </w:pPr>
            <w:r w:rsidRPr="008611F9">
              <w:t>16,539.5</w:t>
            </w:r>
          </w:p>
        </w:tc>
        <w:tc>
          <w:tcPr>
            <w:tcW w:w="851" w:type="dxa"/>
            <w:tcBorders>
              <w:top w:val="single" w:sz="4" w:space="0" w:color="A6A6A6" w:themeColor="background1" w:themeShade="A6"/>
              <w:bottom w:val="single" w:sz="4" w:space="0" w:color="A6A6A6" w:themeColor="background1" w:themeShade="A6"/>
            </w:tcBorders>
            <w:shd w:val="clear" w:color="auto" w:fill="E7E6E6"/>
          </w:tcPr>
          <w:p w14:paraId="445F861F" w14:textId="77777777" w:rsidR="00FA7EBF" w:rsidRPr="007939DD" w:rsidRDefault="00FA7EBF" w:rsidP="007B207C">
            <w:pPr>
              <w:pStyle w:val="ARfintablebodyright"/>
              <w:rPr>
                <w:lang w:eastAsia="en-AU"/>
              </w:rPr>
            </w:pPr>
            <w:r w:rsidRPr="008611F9">
              <w:t>1,405.1</w:t>
            </w:r>
          </w:p>
        </w:tc>
        <w:tc>
          <w:tcPr>
            <w:tcW w:w="851" w:type="dxa"/>
            <w:tcBorders>
              <w:top w:val="single" w:sz="4" w:space="0" w:color="A6A6A6" w:themeColor="background1" w:themeShade="A6"/>
              <w:bottom w:val="single" w:sz="4" w:space="0" w:color="A6A6A6" w:themeColor="background1" w:themeShade="A6"/>
            </w:tcBorders>
          </w:tcPr>
          <w:p w14:paraId="1FA92D54" w14:textId="77777777" w:rsidR="00FA7EBF" w:rsidRPr="007939DD" w:rsidRDefault="00FA7EBF" w:rsidP="007B207C">
            <w:pPr>
              <w:pStyle w:val="ARfintablebodyright"/>
              <w:rPr>
                <w:lang w:eastAsia="en-AU"/>
              </w:rPr>
            </w:pPr>
            <w:r w:rsidRPr="008611F9">
              <w:t>1,213.9</w:t>
            </w:r>
          </w:p>
        </w:tc>
        <w:tc>
          <w:tcPr>
            <w:tcW w:w="851" w:type="dxa"/>
            <w:tcBorders>
              <w:top w:val="single" w:sz="4" w:space="0" w:color="A6A6A6" w:themeColor="background1" w:themeShade="A6"/>
              <w:bottom w:val="single" w:sz="4" w:space="0" w:color="A6A6A6" w:themeColor="background1" w:themeShade="A6"/>
            </w:tcBorders>
            <w:shd w:val="clear" w:color="auto" w:fill="E7E6E6"/>
          </w:tcPr>
          <w:p w14:paraId="383CAFBB" w14:textId="77777777" w:rsidR="00FA7EBF" w:rsidRPr="007939DD" w:rsidRDefault="00FA7EBF" w:rsidP="007B207C">
            <w:pPr>
              <w:pStyle w:val="ARfintablebodyright"/>
              <w:rPr>
                <w:lang w:eastAsia="en-AU"/>
              </w:rPr>
            </w:pPr>
            <w:r w:rsidRPr="008611F9">
              <w:t>(9.5)</w:t>
            </w:r>
          </w:p>
        </w:tc>
        <w:tc>
          <w:tcPr>
            <w:tcW w:w="851" w:type="dxa"/>
            <w:tcBorders>
              <w:top w:val="single" w:sz="4" w:space="0" w:color="A6A6A6" w:themeColor="background1" w:themeShade="A6"/>
              <w:bottom w:val="single" w:sz="4" w:space="0" w:color="A6A6A6" w:themeColor="background1" w:themeShade="A6"/>
            </w:tcBorders>
          </w:tcPr>
          <w:p w14:paraId="0B2E65F7" w14:textId="77777777" w:rsidR="00FA7EBF" w:rsidRPr="007939DD" w:rsidRDefault="00FA7EBF" w:rsidP="007B207C">
            <w:pPr>
              <w:pStyle w:val="ARfintablebodyright"/>
              <w:rPr>
                <w:lang w:eastAsia="en-AU"/>
              </w:rPr>
            </w:pPr>
            <w:r w:rsidRPr="008611F9">
              <w:t>(10.7)</w:t>
            </w:r>
          </w:p>
        </w:tc>
        <w:tc>
          <w:tcPr>
            <w:tcW w:w="851" w:type="dxa"/>
            <w:tcBorders>
              <w:top w:val="single" w:sz="4" w:space="0" w:color="A6A6A6" w:themeColor="background1" w:themeShade="A6"/>
              <w:bottom w:val="single" w:sz="4" w:space="0" w:color="A6A6A6" w:themeColor="background1" w:themeShade="A6"/>
            </w:tcBorders>
            <w:shd w:val="clear" w:color="auto" w:fill="E7E6E6"/>
          </w:tcPr>
          <w:p w14:paraId="0E0A5DB8" w14:textId="77777777" w:rsidR="00FA7EBF" w:rsidRPr="007939DD" w:rsidRDefault="00FA7EBF" w:rsidP="007B207C">
            <w:pPr>
              <w:pStyle w:val="ARfintablebodyright"/>
              <w:rPr>
                <w:lang w:eastAsia="en-AU"/>
              </w:rPr>
            </w:pPr>
            <w:r w:rsidRPr="008611F9">
              <w:t>19,391.5</w:t>
            </w:r>
          </w:p>
        </w:tc>
        <w:tc>
          <w:tcPr>
            <w:tcW w:w="851" w:type="dxa"/>
            <w:tcBorders>
              <w:top w:val="single" w:sz="4" w:space="0" w:color="A6A6A6" w:themeColor="background1" w:themeShade="A6"/>
              <w:bottom w:val="single" w:sz="4" w:space="0" w:color="A6A6A6" w:themeColor="background1" w:themeShade="A6"/>
            </w:tcBorders>
          </w:tcPr>
          <w:p w14:paraId="3EBA1D08" w14:textId="77777777" w:rsidR="00FA7EBF" w:rsidRPr="007939DD" w:rsidRDefault="00FA7EBF" w:rsidP="007B207C">
            <w:pPr>
              <w:pStyle w:val="ARfintablebodyright"/>
              <w:rPr>
                <w:lang w:eastAsia="en-AU"/>
              </w:rPr>
            </w:pPr>
            <w:r w:rsidRPr="008611F9">
              <w:t>17,742.8</w:t>
            </w:r>
          </w:p>
        </w:tc>
      </w:tr>
      <w:tr w:rsidR="00FA7EBF" w:rsidRPr="007939DD" w14:paraId="73F3E142" w14:textId="77777777" w:rsidTr="007B207C">
        <w:trPr>
          <w:cantSplit/>
        </w:trPr>
        <w:tc>
          <w:tcPr>
            <w:tcW w:w="2833" w:type="dxa"/>
            <w:tcBorders>
              <w:top w:val="single" w:sz="4" w:space="0" w:color="A6A6A6" w:themeColor="background1" w:themeShade="A6"/>
              <w:bottom w:val="single" w:sz="4" w:space="0" w:color="A6A6A6" w:themeColor="background1" w:themeShade="A6"/>
            </w:tcBorders>
          </w:tcPr>
          <w:p w14:paraId="4FBDD03F" w14:textId="77777777" w:rsidR="00FA7EBF" w:rsidRPr="007939DD" w:rsidRDefault="00FA7EBF" w:rsidP="007B207C">
            <w:pPr>
              <w:pStyle w:val="ARfintablebody"/>
              <w:rPr>
                <w:lang w:eastAsia="en-AU"/>
              </w:rPr>
            </w:pPr>
            <w:r w:rsidRPr="008611F9">
              <w:t>Net result from transactions</w:t>
            </w:r>
          </w:p>
        </w:tc>
        <w:tc>
          <w:tcPr>
            <w:tcW w:w="850" w:type="dxa"/>
            <w:tcBorders>
              <w:top w:val="single" w:sz="4" w:space="0" w:color="A6A6A6" w:themeColor="background1" w:themeShade="A6"/>
              <w:bottom w:val="single" w:sz="4" w:space="0" w:color="A6A6A6" w:themeColor="background1" w:themeShade="A6"/>
            </w:tcBorders>
            <w:shd w:val="clear" w:color="auto" w:fill="E7E6E6"/>
          </w:tcPr>
          <w:p w14:paraId="3FEAED4F" w14:textId="77777777" w:rsidR="00FA7EBF" w:rsidRPr="007939DD" w:rsidRDefault="00FA7EBF" w:rsidP="007B207C">
            <w:pPr>
              <w:pStyle w:val="ARfintablebodyright"/>
              <w:rPr>
                <w:lang w:eastAsia="en-AU"/>
              </w:rPr>
            </w:pPr>
            <w:r w:rsidRPr="008611F9">
              <w:t>285.0</w:t>
            </w:r>
          </w:p>
        </w:tc>
        <w:tc>
          <w:tcPr>
            <w:tcW w:w="850" w:type="dxa"/>
            <w:tcBorders>
              <w:top w:val="single" w:sz="4" w:space="0" w:color="A6A6A6" w:themeColor="background1" w:themeShade="A6"/>
              <w:bottom w:val="single" w:sz="4" w:space="0" w:color="A6A6A6" w:themeColor="background1" w:themeShade="A6"/>
            </w:tcBorders>
          </w:tcPr>
          <w:p w14:paraId="329EC32C" w14:textId="77777777" w:rsidR="00FA7EBF" w:rsidRPr="007939DD" w:rsidRDefault="00FA7EBF" w:rsidP="007B207C">
            <w:pPr>
              <w:pStyle w:val="ARfintablebodyright"/>
              <w:rPr>
                <w:lang w:eastAsia="en-AU"/>
              </w:rPr>
            </w:pPr>
            <w:r w:rsidRPr="008611F9">
              <w:t>285.1</w:t>
            </w:r>
          </w:p>
        </w:tc>
        <w:tc>
          <w:tcPr>
            <w:tcW w:w="851" w:type="dxa"/>
            <w:tcBorders>
              <w:top w:val="single" w:sz="4" w:space="0" w:color="A6A6A6" w:themeColor="background1" w:themeShade="A6"/>
              <w:bottom w:val="single" w:sz="4" w:space="0" w:color="A6A6A6" w:themeColor="background1" w:themeShade="A6"/>
            </w:tcBorders>
            <w:shd w:val="clear" w:color="auto" w:fill="E7E6E6"/>
          </w:tcPr>
          <w:p w14:paraId="0FB22FCD" w14:textId="77777777" w:rsidR="00FA7EBF" w:rsidRPr="007939DD" w:rsidRDefault="00FA7EBF" w:rsidP="007B207C">
            <w:pPr>
              <w:pStyle w:val="ARfintablebodyright"/>
              <w:rPr>
                <w:lang w:eastAsia="en-AU"/>
              </w:rPr>
            </w:pPr>
            <w:r w:rsidRPr="008611F9">
              <w:t>(259.5)</w:t>
            </w:r>
          </w:p>
        </w:tc>
        <w:tc>
          <w:tcPr>
            <w:tcW w:w="851" w:type="dxa"/>
            <w:tcBorders>
              <w:top w:val="single" w:sz="4" w:space="0" w:color="A6A6A6" w:themeColor="background1" w:themeShade="A6"/>
              <w:bottom w:val="single" w:sz="4" w:space="0" w:color="A6A6A6" w:themeColor="background1" w:themeShade="A6"/>
            </w:tcBorders>
          </w:tcPr>
          <w:p w14:paraId="41E08385" w14:textId="77777777" w:rsidR="00FA7EBF" w:rsidRPr="007939DD" w:rsidRDefault="00FA7EBF" w:rsidP="007B207C">
            <w:pPr>
              <w:pStyle w:val="ARfintablebodyright"/>
              <w:rPr>
                <w:lang w:eastAsia="en-AU"/>
              </w:rPr>
            </w:pPr>
            <w:r w:rsidRPr="008611F9">
              <w:t>(106.8)</w:t>
            </w:r>
          </w:p>
        </w:tc>
        <w:tc>
          <w:tcPr>
            <w:tcW w:w="851" w:type="dxa"/>
            <w:tcBorders>
              <w:top w:val="single" w:sz="4" w:space="0" w:color="A6A6A6" w:themeColor="background1" w:themeShade="A6"/>
              <w:bottom w:val="single" w:sz="4" w:space="0" w:color="A6A6A6" w:themeColor="background1" w:themeShade="A6"/>
            </w:tcBorders>
            <w:shd w:val="clear" w:color="auto" w:fill="E7E6E6"/>
          </w:tcPr>
          <w:p w14:paraId="5D225A0F" w14:textId="77777777" w:rsidR="00FA7EBF" w:rsidRPr="007939DD" w:rsidRDefault="00FA7EBF" w:rsidP="007B207C">
            <w:pPr>
              <w:pStyle w:val="ARfintablebodyright"/>
              <w:rPr>
                <w:lang w:eastAsia="en-AU"/>
              </w:rPr>
            </w:pPr>
            <w:r w:rsidRPr="008611F9">
              <w:t>–</w:t>
            </w:r>
          </w:p>
        </w:tc>
        <w:tc>
          <w:tcPr>
            <w:tcW w:w="851" w:type="dxa"/>
            <w:tcBorders>
              <w:top w:val="single" w:sz="4" w:space="0" w:color="A6A6A6" w:themeColor="background1" w:themeShade="A6"/>
              <w:bottom w:val="single" w:sz="4" w:space="0" w:color="A6A6A6" w:themeColor="background1" w:themeShade="A6"/>
            </w:tcBorders>
          </w:tcPr>
          <w:p w14:paraId="09E5DC00" w14:textId="77777777" w:rsidR="00FA7EBF" w:rsidRPr="007939DD" w:rsidRDefault="00FA7EBF" w:rsidP="007B207C">
            <w:pPr>
              <w:pStyle w:val="ARfintablebodyright"/>
              <w:rPr>
                <w:lang w:eastAsia="en-AU"/>
              </w:rPr>
            </w:pPr>
            <w:r w:rsidRPr="008611F9">
              <w:t>–</w:t>
            </w:r>
          </w:p>
        </w:tc>
        <w:tc>
          <w:tcPr>
            <w:tcW w:w="851" w:type="dxa"/>
            <w:tcBorders>
              <w:top w:val="single" w:sz="4" w:space="0" w:color="A6A6A6" w:themeColor="background1" w:themeShade="A6"/>
              <w:bottom w:val="single" w:sz="4" w:space="0" w:color="A6A6A6" w:themeColor="background1" w:themeShade="A6"/>
            </w:tcBorders>
            <w:shd w:val="clear" w:color="auto" w:fill="E7E6E6"/>
          </w:tcPr>
          <w:p w14:paraId="5235AAB7" w14:textId="77777777" w:rsidR="00FA7EBF" w:rsidRPr="007939DD" w:rsidRDefault="00FA7EBF" w:rsidP="007B207C">
            <w:pPr>
              <w:pStyle w:val="ARfintablebodyright"/>
              <w:rPr>
                <w:lang w:eastAsia="en-AU"/>
              </w:rPr>
            </w:pPr>
            <w:r w:rsidRPr="008611F9">
              <w:t>25.5</w:t>
            </w:r>
          </w:p>
        </w:tc>
        <w:tc>
          <w:tcPr>
            <w:tcW w:w="851" w:type="dxa"/>
            <w:tcBorders>
              <w:top w:val="single" w:sz="4" w:space="0" w:color="A6A6A6" w:themeColor="background1" w:themeShade="A6"/>
              <w:bottom w:val="single" w:sz="4" w:space="0" w:color="A6A6A6" w:themeColor="background1" w:themeShade="A6"/>
            </w:tcBorders>
          </w:tcPr>
          <w:p w14:paraId="6FE30997" w14:textId="77777777" w:rsidR="00FA7EBF" w:rsidRPr="007939DD" w:rsidRDefault="00FA7EBF" w:rsidP="007B207C">
            <w:pPr>
              <w:pStyle w:val="ARfintablebodyright"/>
              <w:rPr>
                <w:lang w:eastAsia="en-AU"/>
              </w:rPr>
            </w:pPr>
            <w:r w:rsidRPr="008611F9">
              <w:t>178.3</w:t>
            </w:r>
          </w:p>
        </w:tc>
      </w:tr>
      <w:tr w:rsidR="00FA7EBF" w:rsidRPr="007939DD" w14:paraId="7B6702CA" w14:textId="77777777" w:rsidTr="007B207C">
        <w:trPr>
          <w:cantSplit/>
        </w:trPr>
        <w:tc>
          <w:tcPr>
            <w:tcW w:w="2833" w:type="dxa"/>
            <w:tcBorders>
              <w:top w:val="single" w:sz="4" w:space="0" w:color="A6A6A6" w:themeColor="background1" w:themeShade="A6"/>
              <w:bottom w:val="single" w:sz="4" w:space="0" w:color="A6A6A6" w:themeColor="background1" w:themeShade="A6"/>
            </w:tcBorders>
          </w:tcPr>
          <w:p w14:paraId="6E15A778" w14:textId="77777777" w:rsidR="00FA7EBF" w:rsidRPr="007939DD" w:rsidRDefault="00FA7EBF" w:rsidP="007B207C">
            <w:pPr>
              <w:pStyle w:val="ARfintablebody"/>
              <w:rPr>
                <w:lang w:eastAsia="en-AU"/>
              </w:rPr>
            </w:pPr>
            <w:r w:rsidRPr="008611F9">
              <w:t>Total assets</w:t>
            </w:r>
          </w:p>
        </w:tc>
        <w:tc>
          <w:tcPr>
            <w:tcW w:w="850" w:type="dxa"/>
            <w:tcBorders>
              <w:top w:val="single" w:sz="4" w:space="0" w:color="A6A6A6" w:themeColor="background1" w:themeShade="A6"/>
              <w:bottom w:val="single" w:sz="4" w:space="0" w:color="A6A6A6" w:themeColor="background1" w:themeShade="A6"/>
            </w:tcBorders>
            <w:shd w:val="clear" w:color="auto" w:fill="E7E6E6"/>
          </w:tcPr>
          <w:p w14:paraId="4FC6A898" w14:textId="77777777" w:rsidR="00FA7EBF" w:rsidRPr="007939DD" w:rsidRDefault="00FA7EBF" w:rsidP="007B207C">
            <w:pPr>
              <w:pStyle w:val="ARfintablebodyright"/>
              <w:rPr>
                <w:lang w:eastAsia="en-AU"/>
              </w:rPr>
            </w:pPr>
            <w:r w:rsidRPr="008611F9">
              <w:t>6,224.5</w:t>
            </w:r>
          </w:p>
        </w:tc>
        <w:tc>
          <w:tcPr>
            <w:tcW w:w="850" w:type="dxa"/>
            <w:tcBorders>
              <w:top w:val="single" w:sz="4" w:space="0" w:color="A6A6A6" w:themeColor="background1" w:themeShade="A6"/>
              <w:bottom w:val="single" w:sz="4" w:space="0" w:color="A6A6A6" w:themeColor="background1" w:themeShade="A6"/>
            </w:tcBorders>
          </w:tcPr>
          <w:p w14:paraId="133EAEC1" w14:textId="77777777" w:rsidR="00FA7EBF" w:rsidRPr="007939DD" w:rsidRDefault="00FA7EBF" w:rsidP="007B207C">
            <w:pPr>
              <w:pStyle w:val="ARfintablebodyright"/>
              <w:rPr>
                <w:lang w:eastAsia="en-AU"/>
              </w:rPr>
            </w:pPr>
            <w:r w:rsidRPr="008611F9">
              <w:t>5,509.3</w:t>
            </w:r>
          </w:p>
        </w:tc>
        <w:tc>
          <w:tcPr>
            <w:tcW w:w="851" w:type="dxa"/>
            <w:tcBorders>
              <w:top w:val="single" w:sz="4" w:space="0" w:color="A6A6A6" w:themeColor="background1" w:themeShade="A6"/>
              <w:bottom w:val="single" w:sz="4" w:space="0" w:color="A6A6A6" w:themeColor="background1" w:themeShade="A6"/>
            </w:tcBorders>
            <w:shd w:val="clear" w:color="auto" w:fill="E7E6E6"/>
          </w:tcPr>
          <w:p w14:paraId="66C2EC4A" w14:textId="77777777" w:rsidR="00FA7EBF" w:rsidRPr="007939DD" w:rsidRDefault="00FA7EBF" w:rsidP="007B207C">
            <w:pPr>
              <w:pStyle w:val="ARfintablebodyright"/>
              <w:rPr>
                <w:lang w:eastAsia="en-AU"/>
              </w:rPr>
            </w:pPr>
            <w:r w:rsidRPr="008611F9">
              <w:t>27,158.7</w:t>
            </w:r>
          </w:p>
        </w:tc>
        <w:tc>
          <w:tcPr>
            <w:tcW w:w="851" w:type="dxa"/>
            <w:tcBorders>
              <w:top w:val="single" w:sz="4" w:space="0" w:color="A6A6A6" w:themeColor="background1" w:themeShade="A6"/>
              <w:bottom w:val="single" w:sz="4" w:space="0" w:color="A6A6A6" w:themeColor="background1" w:themeShade="A6"/>
            </w:tcBorders>
          </w:tcPr>
          <w:p w14:paraId="5EEFCC57" w14:textId="77777777" w:rsidR="00FA7EBF" w:rsidRPr="007939DD" w:rsidRDefault="00FA7EBF" w:rsidP="007B207C">
            <w:pPr>
              <w:pStyle w:val="ARfintablebodyright"/>
              <w:rPr>
                <w:lang w:eastAsia="en-AU"/>
              </w:rPr>
            </w:pPr>
            <w:r w:rsidRPr="008611F9">
              <w:t>28,876.5</w:t>
            </w:r>
          </w:p>
        </w:tc>
        <w:tc>
          <w:tcPr>
            <w:tcW w:w="851" w:type="dxa"/>
            <w:tcBorders>
              <w:top w:val="single" w:sz="4" w:space="0" w:color="A6A6A6" w:themeColor="background1" w:themeShade="A6"/>
              <w:bottom w:val="single" w:sz="4" w:space="0" w:color="A6A6A6" w:themeColor="background1" w:themeShade="A6"/>
            </w:tcBorders>
            <w:shd w:val="clear" w:color="auto" w:fill="E7E6E6"/>
          </w:tcPr>
          <w:p w14:paraId="307F104E" w14:textId="77777777" w:rsidR="00FA7EBF" w:rsidRPr="007939DD" w:rsidRDefault="00FA7EBF" w:rsidP="007B207C">
            <w:pPr>
              <w:pStyle w:val="ARfintablebodyright"/>
              <w:rPr>
                <w:lang w:eastAsia="en-AU"/>
              </w:rPr>
            </w:pPr>
            <w:r w:rsidRPr="008611F9">
              <w:t>(10.8)</w:t>
            </w:r>
          </w:p>
        </w:tc>
        <w:tc>
          <w:tcPr>
            <w:tcW w:w="851" w:type="dxa"/>
            <w:tcBorders>
              <w:top w:val="single" w:sz="4" w:space="0" w:color="A6A6A6" w:themeColor="background1" w:themeShade="A6"/>
              <w:bottom w:val="single" w:sz="4" w:space="0" w:color="A6A6A6" w:themeColor="background1" w:themeShade="A6"/>
            </w:tcBorders>
          </w:tcPr>
          <w:p w14:paraId="15A14CFE" w14:textId="77777777" w:rsidR="00FA7EBF" w:rsidRPr="007939DD" w:rsidRDefault="00FA7EBF" w:rsidP="007B207C">
            <w:pPr>
              <w:pStyle w:val="ARfintablebodyright"/>
              <w:rPr>
                <w:lang w:eastAsia="en-AU"/>
              </w:rPr>
            </w:pPr>
            <w:r w:rsidRPr="008611F9">
              <w:t>(5.1)</w:t>
            </w:r>
          </w:p>
        </w:tc>
        <w:tc>
          <w:tcPr>
            <w:tcW w:w="851" w:type="dxa"/>
            <w:tcBorders>
              <w:top w:val="single" w:sz="4" w:space="0" w:color="A6A6A6" w:themeColor="background1" w:themeShade="A6"/>
              <w:bottom w:val="single" w:sz="4" w:space="0" w:color="A6A6A6" w:themeColor="background1" w:themeShade="A6"/>
            </w:tcBorders>
            <w:shd w:val="clear" w:color="auto" w:fill="E7E6E6"/>
          </w:tcPr>
          <w:p w14:paraId="681358C7" w14:textId="77777777" w:rsidR="00FA7EBF" w:rsidRPr="007939DD" w:rsidRDefault="00FA7EBF" w:rsidP="007B207C">
            <w:pPr>
              <w:pStyle w:val="ARfintablebodyright"/>
              <w:rPr>
                <w:lang w:eastAsia="en-AU"/>
              </w:rPr>
            </w:pPr>
            <w:r w:rsidRPr="008611F9">
              <w:t>33,372.5</w:t>
            </w:r>
          </w:p>
        </w:tc>
        <w:tc>
          <w:tcPr>
            <w:tcW w:w="851" w:type="dxa"/>
            <w:tcBorders>
              <w:top w:val="single" w:sz="4" w:space="0" w:color="A6A6A6" w:themeColor="background1" w:themeShade="A6"/>
              <w:bottom w:val="single" w:sz="4" w:space="0" w:color="A6A6A6" w:themeColor="background1" w:themeShade="A6"/>
            </w:tcBorders>
          </w:tcPr>
          <w:p w14:paraId="4941C673" w14:textId="77777777" w:rsidR="00FA7EBF" w:rsidRPr="007939DD" w:rsidRDefault="00FA7EBF" w:rsidP="007B207C">
            <w:pPr>
              <w:pStyle w:val="ARfintablebodyright"/>
              <w:rPr>
                <w:lang w:eastAsia="en-AU"/>
              </w:rPr>
            </w:pPr>
            <w:r w:rsidRPr="008611F9">
              <w:t>34,380.8</w:t>
            </w:r>
          </w:p>
        </w:tc>
      </w:tr>
      <w:tr w:rsidR="00FA7EBF" w:rsidRPr="007939DD" w14:paraId="79F7802A" w14:textId="77777777" w:rsidTr="007B207C">
        <w:trPr>
          <w:cantSplit/>
        </w:trPr>
        <w:tc>
          <w:tcPr>
            <w:tcW w:w="2833" w:type="dxa"/>
            <w:tcBorders>
              <w:top w:val="single" w:sz="4" w:space="0" w:color="A6A6A6" w:themeColor="background1" w:themeShade="A6"/>
            </w:tcBorders>
          </w:tcPr>
          <w:p w14:paraId="39E2F77E" w14:textId="77777777" w:rsidR="00FA7EBF" w:rsidRPr="007939DD" w:rsidRDefault="00FA7EBF" w:rsidP="007B207C">
            <w:pPr>
              <w:pStyle w:val="ARfintablebody"/>
              <w:rPr>
                <w:lang w:eastAsia="en-AU"/>
              </w:rPr>
            </w:pPr>
            <w:r w:rsidRPr="008611F9">
              <w:t>Total liabilities</w:t>
            </w:r>
          </w:p>
        </w:tc>
        <w:tc>
          <w:tcPr>
            <w:tcW w:w="850" w:type="dxa"/>
            <w:tcBorders>
              <w:top w:val="single" w:sz="4" w:space="0" w:color="A6A6A6" w:themeColor="background1" w:themeShade="A6"/>
            </w:tcBorders>
            <w:shd w:val="clear" w:color="auto" w:fill="E7E6E6"/>
          </w:tcPr>
          <w:p w14:paraId="533D7D35" w14:textId="77777777" w:rsidR="00FA7EBF" w:rsidRPr="007939DD" w:rsidRDefault="00FA7EBF" w:rsidP="007B207C">
            <w:pPr>
              <w:pStyle w:val="ARfintablebodyright"/>
              <w:rPr>
                <w:lang w:eastAsia="en-AU"/>
              </w:rPr>
            </w:pPr>
            <w:r w:rsidRPr="008611F9">
              <w:t>2,014.7</w:t>
            </w:r>
          </w:p>
        </w:tc>
        <w:tc>
          <w:tcPr>
            <w:tcW w:w="850" w:type="dxa"/>
            <w:tcBorders>
              <w:top w:val="single" w:sz="4" w:space="0" w:color="A6A6A6" w:themeColor="background1" w:themeShade="A6"/>
            </w:tcBorders>
          </w:tcPr>
          <w:p w14:paraId="78F92B53" w14:textId="77777777" w:rsidR="00FA7EBF" w:rsidRPr="007939DD" w:rsidRDefault="00FA7EBF" w:rsidP="007B207C">
            <w:pPr>
              <w:pStyle w:val="ARfintablebodyright"/>
              <w:rPr>
                <w:lang w:eastAsia="en-AU"/>
              </w:rPr>
            </w:pPr>
            <w:r w:rsidRPr="008611F9">
              <w:t>1,783.1</w:t>
            </w:r>
          </w:p>
        </w:tc>
        <w:tc>
          <w:tcPr>
            <w:tcW w:w="851" w:type="dxa"/>
            <w:tcBorders>
              <w:top w:val="single" w:sz="4" w:space="0" w:color="A6A6A6" w:themeColor="background1" w:themeShade="A6"/>
            </w:tcBorders>
            <w:shd w:val="clear" w:color="auto" w:fill="E7E6E6"/>
          </w:tcPr>
          <w:p w14:paraId="09FFFD86" w14:textId="77777777" w:rsidR="00FA7EBF" w:rsidRPr="007939DD" w:rsidRDefault="00FA7EBF" w:rsidP="007B207C">
            <w:pPr>
              <w:pStyle w:val="ARfintablebodyright"/>
              <w:rPr>
                <w:lang w:eastAsia="en-AU"/>
              </w:rPr>
            </w:pPr>
            <w:r w:rsidRPr="008611F9">
              <w:t>173.5</w:t>
            </w:r>
          </w:p>
        </w:tc>
        <w:tc>
          <w:tcPr>
            <w:tcW w:w="851" w:type="dxa"/>
            <w:tcBorders>
              <w:top w:val="single" w:sz="4" w:space="0" w:color="A6A6A6" w:themeColor="background1" w:themeShade="A6"/>
            </w:tcBorders>
          </w:tcPr>
          <w:p w14:paraId="3CADC696" w14:textId="77777777" w:rsidR="00FA7EBF" w:rsidRPr="007939DD" w:rsidRDefault="00FA7EBF" w:rsidP="007B207C">
            <w:pPr>
              <w:pStyle w:val="ARfintablebodyright"/>
              <w:rPr>
                <w:lang w:eastAsia="en-AU"/>
              </w:rPr>
            </w:pPr>
            <w:r w:rsidRPr="008611F9">
              <w:t>190.3</w:t>
            </w:r>
          </w:p>
        </w:tc>
        <w:tc>
          <w:tcPr>
            <w:tcW w:w="851" w:type="dxa"/>
            <w:tcBorders>
              <w:top w:val="single" w:sz="4" w:space="0" w:color="A6A6A6" w:themeColor="background1" w:themeShade="A6"/>
            </w:tcBorders>
            <w:shd w:val="clear" w:color="auto" w:fill="E7E6E6"/>
          </w:tcPr>
          <w:p w14:paraId="71A83837" w14:textId="77777777" w:rsidR="00FA7EBF" w:rsidRPr="007939DD" w:rsidRDefault="00FA7EBF" w:rsidP="007B207C">
            <w:pPr>
              <w:pStyle w:val="ARfintablebodyright"/>
              <w:rPr>
                <w:lang w:eastAsia="en-AU"/>
              </w:rPr>
            </w:pPr>
            <w:r w:rsidRPr="008611F9">
              <w:t>(10.8)</w:t>
            </w:r>
          </w:p>
        </w:tc>
        <w:tc>
          <w:tcPr>
            <w:tcW w:w="851" w:type="dxa"/>
            <w:tcBorders>
              <w:top w:val="single" w:sz="4" w:space="0" w:color="A6A6A6" w:themeColor="background1" w:themeShade="A6"/>
            </w:tcBorders>
          </w:tcPr>
          <w:p w14:paraId="5D817A02" w14:textId="77777777" w:rsidR="00FA7EBF" w:rsidRPr="007939DD" w:rsidRDefault="00FA7EBF" w:rsidP="007B207C">
            <w:pPr>
              <w:pStyle w:val="ARfintablebodyright"/>
              <w:rPr>
                <w:lang w:eastAsia="en-AU"/>
              </w:rPr>
            </w:pPr>
            <w:r w:rsidRPr="008611F9">
              <w:t>(5.1)</w:t>
            </w:r>
          </w:p>
        </w:tc>
        <w:tc>
          <w:tcPr>
            <w:tcW w:w="851" w:type="dxa"/>
            <w:tcBorders>
              <w:top w:val="single" w:sz="4" w:space="0" w:color="A6A6A6" w:themeColor="background1" w:themeShade="A6"/>
            </w:tcBorders>
            <w:shd w:val="clear" w:color="auto" w:fill="E7E6E6"/>
          </w:tcPr>
          <w:p w14:paraId="4B328B72" w14:textId="77777777" w:rsidR="00FA7EBF" w:rsidRPr="007939DD" w:rsidRDefault="00FA7EBF" w:rsidP="007B207C">
            <w:pPr>
              <w:pStyle w:val="ARfintablebodyright"/>
              <w:rPr>
                <w:lang w:eastAsia="en-AU"/>
              </w:rPr>
            </w:pPr>
            <w:r w:rsidRPr="008611F9">
              <w:t>2,177.4</w:t>
            </w:r>
          </w:p>
        </w:tc>
        <w:tc>
          <w:tcPr>
            <w:tcW w:w="851" w:type="dxa"/>
            <w:tcBorders>
              <w:top w:val="single" w:sz="4" w:space="0" w:color="A6A6A6" w:themeColor="background1" w:themeShade="A6"/>
            </w:tcBorders>
          </w:tcPr>
          <w:p w14:paraId="6D1C83C1" w14:textId="77777777" w:rsidR="00FA7EBF" w:rsidRPr="007939DD" w:rsidRDefault="00FA7EBF" w:rsidP="007B207C">
            <w:pPr>
              <w:pStyle w:val="ARfintablebodyright"/>
              <w:rPr>
                <w:lang w:eastAsia="en-AU"/>
              </w:rPr>
            </w:pPr>
            <w:r w:rsidRPr="008611F9">
              <w:t>1,968.3</w:t>
            </w:r>
          </w:p>
        </w:tc>
      </w:tr>
    </w:tbl>
    <w:p w14:paraId="26FCD19B" w14:textId="77777777" w:rsidR="00FA7EBF" w:rsidRDefault="00FA7EBF" w:rsidP="00CA66FD">
      <w:pPr>
        <w:pStyle w:val="ARfinbody"/>
        <w:rPr>
          <w:rFonts w:eastAsia="MS Mincho" w:cs="Arial"/>
          <w:color w:val="53565A" w:themeColor="accent2"/>
        </w:rPr>
      </w:pPr>
      <w:r>
        <w:br w:type="page"/>
      </w:r>
    </w:p>
    <w:p w14:paraId="4C01F502" w14:textId="77777777" w:rsidR="00FA7EBF" w:rsidRPr="00194D78" w:rsidRDefault="00FA7EBF" w:rsidP="00CA66FD">
      <w:pPr>
        <w:pStyle w:val="Heading4"/>
        <w:rPr>
          <w:lang w:eastAsia="en-AU"/>
        </w:rPr>
      </w:pPr>
      <w:bookmarkStart w:id="275" w:name="_Ref21957863"/>
      <w:r w:rsidRPr="00194D78">
        <w:rPr>
          <w:lang w:eastAsia="en-AU"/>
        </w:rPr>
        <w:t>9.6 Responsible persons</w:t>
      </w:r>
      <w:bookmarkEnd w:id="275"/>
    </w:p>
    <w:p w14:paraId="0221356E" w14:textId="77777777" w:rsidR="00FA7EBF" w:rsidRDefault="00FA7EBF" w:rsidP="00CA66FD">
      <w:pPr>
        <w:pStyle w:val="ARfinbody"/>
      </w:pPr>
      <w:r w:rsidRPr="00194D78">
        <w:t xml:space="preserve">In accordance with the Directions of the Assistant Treasurer under the </w:t>
      </w:r>
      <w:r w:rsidRPr="00F524E9">
        <w:rPr>
          <w:rStyle w:val="Emphasis"/>
          <w:iCs w:val="0"/>
        </w:rPr>
        <w:t>Financial Management Act 1994</w:t>
      </w:r>
      <w:r w:rsidRPr="00194D78">
        <w:t xml:space="preserve"> the following disclosures are made for the responsible persons for the reporting period.</w:t>
      </w:r>
    </w:p>
    <w:p w14:paraId="4F0B7F6C" w14:textId="77777777" w:rsidR="00FA7EBF" w:rsidRPr="00194D78" w:rsidRDefault="00FA7EBF" w:rsidP="002F7C48">
      <w:pPr>
        <w:pStyle w:val="Heading5"/>
        <w:spacing w:before="160"/>
        <w:rPr>
          <w:lang w:eastAsia="en-AU"/>
        </w:rPr>
      </w:pPr>
      <w:r w:rsidRPr="00194D78">
        <w:rPr>
          <w:lang w:eastAsia="en-AU"/>
        </w:rPr>
        <w:t>Names</w:t>
      </w:r>
    </w:p>
    <w:p w14:paraId="07243080" w14:textId="77777777" w:rsidR="00FA7EBF" w:rsidRPr="00A26C05" w:rsidRDefault="00FA7EBF" w:rsidP="00CA66FD">
      <w:pPr>
        <w:pStyle w:val="ARfinbody"/>
        <w:rPr>
          <w:b/>
          <w:bCs/>
        </w:rPr>
      </w:pPr>
      <w:r w:rsidRPr="00194D78">
        <w:t>The persons who held the positions of ministers and accountable officers in the department are as follows:</w:t>
      </w:r>
    </w:p>
    <w:tbl>
      <w:tblPr>
        <w:tblW w:w="9639" w:type="dxa"/>
        <w:tblBorders>
          <w:top w:val="single" w:sz="4" w:space="0" w:color="auto"/>
          <w:left w:val="single" w:sz="4" w:space="0" w:color="FFFFFF"/>
          <w:bottom w:val="single" w:sz="4" w:space="0" w:color="auto"/>
          <w:right w:val="single" w:sz="4" w:space="0" w:color="FFFFFF"/>
          <w:insideH w:val="single" w:sz="4" w:space="0" w:color="BFBFBF" w:themeColor="accent4"/>
          <w:insideV w:val="single" w:sz="4" w:space="0" w:color="FFFFFF"/>
        </w:tblBorders>
        <w:tblLayout w:type="fixed"/>
        <w:tblCellMar>
          <w:left w:w="0" w:type="dxa"/>
        </w:tblCellMar>
        <w:tblLook w:val="0680" w:firstRow="0" w:lastRow="0" w:firstColumn="1" w:lastColumn="0" w:noHBand="1" w:noVBand="1"/>
      </w:tblPr>
      <w:tblGrid>
        <w:gridCol w:w="3968"/>
        <w:gridCol w:w="2552"/>
        <w:gridCol w:w="3119"/>
      </w:tblGrid>
      <w:tr w:rsidR="00FA7EBF" w:rsidRPr="007939DD" w14:paraId="520DC03B" w14:textId="77777777" w:rsidTr="007B207C">
        <w:trPr>
          <w:cantSplit/>
        </w:trPr>
        <w:tc>
          <w:tcPr>
            <w:tcW w:w="3968" w:type="dxa"/>
            <w:tcBorders>
              <w:top w:val="single" w:sz="4" w:space="0" w:color="auto"/>
            </w:tcBorders>
          </w:tcPr>
          <w:p w14:paraId="126555F3" w14:textId="77777777" w:rsidR="00FA7EBF" w:rsidRPr="007939DD" w:rsidRDefault="00FA7EBF" w:rsidP="002F7C48">
            <w:pPr>
              <w:pStyle w:val="ARfintablebody"/>
              <w:spacing w:before="20"/>
              <w:rPr>
                <w:lang w:eastAsia="en-AU"/>
              </w:rPr>
            </w:pPr>
            <w:r w:rsidRPr="007775D6">
              <w:t>Minister for Ambulance Services</w:t>
            </w:r>
          </w:p>
        </w:tc>
        <w:tc>
          <w:tcPr>
            <w:tcW w:w="2552" w:type="dxa"/>
            <w:tcBorders>
              <w:top w:val="single" w:sz="4" w:space="0" w:color="auto"/>
            </w:tcBorders>
          </w:tcPr>
          <w:p w14:paraId="549F0EA3" w14:textId="77777777" w:rsidR="00FA7EBF" w:rsidRPr="007939DD" w:rsidRDefault="00FA7EBF" w:rsidP="002F7C48">
            <w:pPr>
              <w:pStyle w:val="ARfintablebody"/>
              <w:spacing w:before="20"/>
              <w:rPr>
                <w:lang w:eastAsia="en-AU"/>
              </w:rPr>
            </w:pPr>
            <w:r w:rsidRPr="007775D6">
              <w:t>The Hon. Jill Hennessy MP</w:t>
            </w:r>
          </w:p>
        </w:tc>
        <w:tc>
          <w:tcPr>
            <w:tcW w:w="3119" w:type="dxa"/>
            <w:tcBorders>
              <w:top w:val="single" w:sz="4" w:space="0" w:color="auto"/>
            </w:tcBorders>
          </w:tcPr>
          <w:p w14:paraId="7501685D" w14:textId="77777777" w:rsidR="00FA7EBF" w:rsidRPr="007939DD" w:rsidRDefault="00FA7EBF" w:rsidP="002F7C48">
            <w:pPr>
              <w:pStyle w:val="ARfintablebody"/>
              <w:spacing w:before="20"/>
              <w:rPr>
                <w:lang w:eastAsia="en-AU"/>
              </w:rPr>
            </w:pPr>
            <w:r w:rsidRPr="007775D6">
              <w:t>1 July 2018 to 29 November 2018</w:t>
            </w:r>
          </w:p>
        </w:tc>
      </w:tr>
      <w:tr w:rsidR="00FA7EBF" w:rsidRPr="007939DD" w14:paraId="35172A1E" w14:textId="77777777" w:rsidTr="007B207C">
        <w:trPr>
          <w:cantSplit/>
        </w:trPr>
        <w:tc>
          <w:tcPr>
            <w:tcW w:w="3968" w:type="dxa"/>
          </w:tcPr>
          <w:p w14:paraId="7494686E" w14:textId="77777777" w:rsidR="00FA7EBF" w:rsidRPr="007939DD" w:rsidRDefault="00FA7EBF" w:rsidP="002F7C48">
            <w:pPr>
              <w:pStyle w:val="ARfintablebody"/>
              <w:spacing w:before="20"/>
              <w:rPr>
                <w:lang w:eastAsia="en-AU"/>
              </w:rPr>
            </w:pPr>
            <w:r w:rsidRPr="007775D6">
              <w:t>Minister for Ambulance Services</w:t>
            </w:r>
          </w:p>
        </w:tc>
        <w:tc>
          <w:tcPr>
            <w:tcW w:w="2552" w:type="dxa"/>
          </w:tcPr>
          <w:p w14:paraId="7C772B5C" w14:textId="77777777" w:rsidR="00FA7EBF" w:rsidRPr="007939DD" w:rsidRDefault="00FA7EBF" w:rsidP="002F7C48">
            <w:pPr>
              <w:pStyle w:val="ARfintablebody"/>
              <w:spacing w:before="20"/>
              <w:rPr>
                <w:lang w:eastAsia="en-AU"/>
              </w:rPr>
            </w:pPr>
            <w:r w:rsidRPr="007775D6">
              <w:t>The Hon. Jenny Mikakos MLC</w:t>
            </w:r>
          </w:p>
        </w:tc>
        <w:tc>
          <w:tcPr>
            <w:tcW w:w="3119" w:type="dxa"/>
          </w:tcPr>
          <w:p w14:paraId="02C75BBE" w14:textId="77777777" w:rsidR="00FA7EBF" w:rsidRPr="007939DD" w:rsidRDefault="00FA7EBF" w:rsidP="002F7C48">
            <w:pPr>
              <w:pStyle w:val="ARfintablebody"/>
              <w:spacing w:before="20"/>
              <w:rPr>
                <w:lang w:eastAsia="en-AU"/>
              </w:rPr>
            </w:pPr>
            <w:r w:rsidRPr="007775D6">
              <w:t>29 November 2018 to 30 June 2019</w:t>
            </w:r>
          </w:p>
        </w:tc>
      </w:tr>
      <w:tr w:rsidR="00FA7EBF" w:rsidRPr="007939DD" w14:paraId="3DEA3106" w14:textId="77777777" w:rsidTr="007B207C">
        <w:trPr>
          <w:cantSplit/>
        </w:trPr>
        <w:tc>
          <w:tcPr>
            <w:tcW w:w="3968" w:type="dxa"/>
          </w:tcPr>
          <w:p w14:paraId="54B78D2D" w14:textId="77777777" w:rsidR="00FA7EBF" w:rsidRPr="007939DD" w:rsidRDefault="00FA7EBF" w:rsidP="002F7C48">
            <w:pPr>
              <w:pStyle w:val="ARfintablebody"/>
              <w:spacing w:before="20"/>
              <w:rPr>
                <w:lang w:eastAsia="en-AU"/>
              </w:rPr>
            </w:pPr>
            <w:r w:rsidRPr="007775D6">
              <w:t>Minister for Health</w:t>
            </w:r>
          </w:p>
        </w:tc>
        <w:tc>
          <w:tcPr>
            <w:tcW w:w="2552" w:type="dxa"/>
          </w:tcPr>
          <w:p w14:paraId="20AFE4BF" w14:textId="77777777" w:rsidR="00FA7EBF" w:rsidRPr="007939DD" w:rsidRDefault="00FA7EBF" w:rsidP="002F7C48">
            <w:pPr>
              <w:pStyle w:val="ARfintablebody"/>
              <w:spacing w:before="20"/>
              <w:rPr>
                <w:lang w:eastAsia="en-AU"/>
              </w:rPr>
            </w:pPr>
            <w:r w:rsidRPr="007775D6">
              <w:t>The Hon. Jill Hennessy MP</w:t>
            </w:r>
          </w:p>
        </w:tc>
        <w:tc>
          <w:tcPr>
            <w:tcW w:w="3119" w:type="dxa"/>
          </w:tcPr>
          <w:p w14:paraId="16E72E5C" w14:textId="77777777" w:rsidR="00FA7EBF" w:rsidRPr="007939DD" w:rsidRDefault="00FA7EBF" w:rsidP="002F7C48">
            <w:pPr>
              <w:pStyle w:val="ARfintablebody"/>
              <w:spacing w:before="20"/>
              <w:rPr>
                <w:lang w:eastAsia="en-AU"/>
              </w:rPr>
            </w:pPr>
            <w:r w:rsidRPr="007775D6">
              <w:t>1 July 2018 to 29 November 2018</w:t>
            </w:r>
          </w:p>
        </w:tc>
      </w:tr>
      <w:tr w:rsidR="00FA7EBF" w:rsidRPr="007939DD" w14:paraId="210D5E40" w14:textId="77777777" w:rsidTr="007B207C">
        <w:trPr>
          <w:cantSplit/>
        </w:trPr>
        <w:tc>
          <w:tcPr>
            <w:tcW w:w="3968" w:type="dxa"/>
          </w:tcPr>
          <w:p w14:paraId="5C679675" w14:textId="77777777" w:rsidR="00FA7EBF" w:rsidRPr="007939DD" w:rsidRDefault="00FA7EBF" w:rsidP="002F7C48">
            <w:pPr>
              <w:pStyle w:val="ARfintablebody"/>
              <w:spacing w:before="20"/>
              <w:rPr>
                <w:lang w:eastAsia="en-AU"/>
              </w:rPr>
            </w:pPr>
            <w:r w:rsidRPr="007775D6">
              <w:t>Minister for Health</w:t>
            </w:r>
          </w:p>
        </w:tc>
        <w:tc>
          <w:tcPr>
            <w:tcW w:w="2552" w:type="dxa"/>
          </w:tcPr>
          <w:p w14:paraId="0D03FA32" w14:textId="77777777" w:rsidR="00FA7EBF" w:rsidRPr="007939DD" w:rsidRDefault="00FA7EBF" w:rsidP="002F7C48">
            <w:pPr>
              <w:pStyle w:val="ARfintablebody"/>
              <w:spacing w:before="20"/>
              <w:rPr>
                <w:lang w:eastAsia="en-AU"/>
              </w:rPr>
            </w:pPr>
            <w:r w:rsidRPr="007775D6">
              <w:t>The Hon. Jenny Mikakos MLC</w:t>
            </w:r>
          </w:p>
        </w:tc>
        <w:tc>
          <w:tcPr>
            <w:tcW w:w="3119" w:type="dxa"/>
          </w:tcPr>
          <w:p w14:paraId="6CA21505" w14:textId="77777777" w:rsidR="00FA7EBF" w:rsidRPr="007939DD" w:rsidRDefault="00FA7EBF" w:rsidP="002F7C48">
            <w:pPr>
              <w:pStyle w:val="ARfintablebody"/>
              <w:spacing w:before="20"/>
              <w:rPr>
                <w:lang w:eastAsia="en-AU"/>
              </w:rPr>
            </w:pPr>
            <w:r w:rsidRPr="007775D6">
              <w:t>29 November 2018 to 30 June 2019</w:t>
            </w:r>
          </w:p>
        </w:tc>
      </w:tr>
      <w:tr w:rsidR="00FA7EBF" w:rsidRPr="007939DD" w14:paraId="2AC30689" w14:textId="77777777" w:rsidTr="007B207C">
        <w:trPr>
          <w:cantSplit/>
        </w:trPr>
        <w:tc>
          <w:tcPr>
            <w:tcW w:w="3968" w:type="dxa"/>
          </w:tcPr>
          <w:p w14:paraId="18E5736D" w14:textId="77777777" w:rsidR="00FA7EBF" w:rsidRPr="007939DD" w:rsidRDefault="00FA7EBF" w:rsidP="002F7C48">
            <w:pPr>
              <w:pStyle w:val="ARfintablebody"/>
              <w:spacing w:before="20"/>
              <w:rPr>
                <w:lang w:eastAsia="en-AU"/>
              </w:rPr>
            </w:pPr>
            <w:r w:rsidRPr="007775D6">
              <w:t>Minister for Housing, Disability and Ageing</w:t>
            </w:r>
          </w:p>
        </w:tc>
        <w:tc>
          <w:tcPr>
            <w:tcW w:w="2552" w:type="dxa"/>
          </w:tcPr>
          <w:p w14:paraId="3589DC96" w14:textId="77777777" w:rsidR="00FA7EBF" w:rsidRPr="007939DD" w:rsidRDefault="00FA7EBF" w:rsidP="002F7C48">
            <w:pPr>
              <w:pStyle w:val="ARfintablebody"/>
              <w:spacing w:before="20"/>
              <w:rPr>
                <w:lang w:eastAsia="en-AU"/>
              </w:rPr>
            </w:pPr>
            <w:r w:rsidRPr="007775D6">
              <w:t>The Hon. Martin Foley MP</w:t>
            </w:r>
          </w:p>
        </w:tc>
        <w:tc>
          <w:tcPr>
            <w:tcW w:w="3119" w:type="dxa"/>
          </w:tcPr>
          <w:p w14:paraId="04E044FB" w14:textId="77777777" w:rsidR="00FA7EBF" w:rsidRPr="007939DD" w:rsidRDefault="00FA7EBF" w:rsidP="002F7C48">
            <w:pPr>
              <w:pStyle w:val="ARfintablebody"/>
              <w:spacing w:before="20"/>
              <w:rPr>
                <w:lang w:eastAsia="en-AU"/>
              </w:rPr>
            </w:pPr>
            <w:r w:rsidRPr="007775D6">
              <w:t>1 July 2018 to 29 November 2018</w:t>
            </w:r>
          </w:p>
        </w:tc>
      </w:tr>
      <w:tr w:rsidR="00FA7EBF" w:rsidRPr="007939DD" w14:paraId="67C023F8" w14:textId="77777777" w:rsidTr="007B207C">
        <w:trPr>
          <w:cantSplit/>
        </w:trPr>
        <w:tc>
          <w:tcPr>
            <w:tcW w:w="3968" w:type="dxa"/>
          </w:tcPr>
          <w:p w14:paraId="16DE75D6" w14:textId="77777777" w:rsidR="00FA7EBF" w:rsidRPr="007939DD" w:rsidRDefault="00FA7EBF" w:rsidP="002F7C48">
            <w:pPr>
              <w:pStyle w:val="ARfintablebody"/>
              <w:spacing w:before="20"/>
              <w:rPr>
                <w:lang w:eastAsia="en-AU"/>
              </w:rPr>
            </w:pPr>
            <w:r w:rsidRPr="007775D6">
              <w:t>Minister for Housing</w:t>
            </w:r>
          </w:p>
        </w:tc>
        <w:tc>
          <w:tcPr>
            <w:tcW w:w="2552" w:type="dxa"/>
          </w:tcPr>
          <w:p w14:paraId="6F5B51D4" w14:textId="77777777" w:rsidR="00FA7EBF" w:rsidRPr="007939DD" w:rsidRDefault="00FA7EBF" w:rsidP="002F7C48">
            <w:pPr>
              <w:pStyle w:val="ARfintablebody"/>
              <w:spacing w:before="20"/>
              <w:rPr>
                <w:lang w:eastAsia="en-AU"/>
              </w:rPr>
            </w:pPr>
            <w:r w:rsidRPr="007775D6">
              <w:t>The Hon. Richard Wynne MP</w:t>
            </w:r>
          </w:p>
        </w:tc>
        <w:tc>
          <w:tcPr>
            <w:tcW w:w="3119" w:type="dxa"/>
          </w:tcPr>
          <w:p w14:paraId="1D5F2FF9" w14:textId="77777777" w:rsidR="00FA7EBF" w:rsidRPr="007939DD" w:rsidRDefault="00FA7EBF" w:rsidP="002F7C48">
            <w:pPr>
              <w:pStyle w:val="ARfintablebody"/>
              <w:spacing w:before="20"/>
              <w:rPr>
                <w:lang w:eastAsia="en-AU"/>
              </w:rPr>
            </w:pPr>
            <w:r w:rsidRPr="007775D6">
              <w:t>29 November 2018 to 30 June 2019</w:t>
            </w:r>
          </w:p>
        </w:tc>
      </w:tr>
      <w:tr w:rsidR="00FA7EBF" w:rsidRPr="007939DD" w14:paraId="5C139306" w14:textId="77777777" w:rsidTr="007B207C">
        <w:trPr>
          <w:cantSplit/>
        </w:trPr>
        <w:tc>
          <w:tcPr>
            <w:tcW w:w="3968" w:type="dxa"/>
          </w:tcPr>
          <w:p w14:paraId="5130C9FE" w14:textId="77777777" w:rsidR="00FA7EBF" w:rsidRPr="007939DD" w:rsidRDefault="00FA7EBF" w:rsidP="002F7C48">
            <w:pPr>
              <w:pStyle w:val="ARfintablebody"/>
              <w:spacing w:before="20"/>
              <w:rPr>
                <w:lang w:eastAsia="en-AU"/>
              </w:rPr>
            </w:pPr>
            <w:r w:rsidRPr="007775D6">
              <w:t>Minister for Mental Health</w:t>
            </w:r>
          </w:p>
        </w:tc>
        <w:tc>
          <w:tcPr>
            <w:tcW w:w="2552" w:type="dxa"/>
          </w:tcPr>
          <w:p w14:paraId="57C1FA80" w14:textId="77777777" w:rsidR="00FA7EBF" w:rsidRPr="007939DD" w:rsidRDefault="00FA7EBF" w:rsidP="002F7C48">
            <w:pPr>
              <w:pStyle w:val="ARfintablebody"/>
              <w:spacing w:before="20"/>
              <w:rPr>
                <w:lang w:eastAsia="en-AU"/>
              </w:rPr>
            </w:pPr>
            <w:r w:rsidRPr="007775D6">
              <w:t>The Hon. Martin Foley MP</w:t>
            </w:r>
          </w:p>
        </w:tc>
        <w:tc>
          <w:tcPr>
            <w:tcW w:w="3119" w:type="dxa"/>
          </w:tcPr>
          <w:p w14:paraId="47B3E98D" w14:textId="77777777" w:rsidR="00FA7EBF" w:rsidRPr="007939DD" w:rsidRDefault="00FA7EBF" w:rsidP="002F7C48">
            <w:pPr>
              <w:pStyle w:val="ARfintablebody"/>
              <w:spacing w:before="20"/>
              <w:rPr>
                <w:lang w:eastAsia="en-AU"/>
              </w:rPr>
            </w:pPr>
            <w:r w:rsidRPr="007775D6">
              <w:t>1 July 2018 to 30 June 2019</w:t>
            </w:r>
          </w:p>
        </w:tc>
      </w:tr>
      <w:tr w:rsidR="00FA7EBF" w:rsidRPr="007939DD" w14:paraId="3A70E96D" w14:textId="77777777" w:rsidTr="007B207C">
        <w:trPr>
          <w:cantSplit/>
        </w:trPr>
        <w:tc>
          <w:tcPr>
            <w:tcW w:w="3968" w:type="dxa"/>
          </w:tcPr>
          <w:p w14:paraId="75FC2DFC" w14:textId="77777777" w:rsidR="00FA7EBF" w:rsidRPr="007939DD" w:rsidRDefault="00FA7EBF" w:rsidP="002F7C48">
            <w:pPr>
              <w:pStyle w:val="ARfintablebody"/>
              <w:spacing w:before="20"/>
              <w:rPr>
                <w:lang w:eastAsia="en-AU"/>
              </w:rPr>
            </w:pPr>
            <w:r w:rsidRPr="007775D6">
              <w:t>Minister for Families and Children</w:t>
            </w:r>
          </w:p>
        </w:tc>
        <w:tc>
          <w:tcPr>
            <w:tcW w:w="2552" w:type="dxa"/>
          </w:tcPr>
          <w:p w14:paraId="667D1075" w14:textId="77777777" w:rsidR="00FA7EBF" w:rsidRPr="007939DD" w:rsidRDefault="00FA7EBF" w:rsidP="002F7C48">
            <w:pPr>
              <w:pStyle w:val="ARfintablebody"/>
              <w:spacing w:before="20"/>
              <w:rPr>
                <w:lang w:eastAsia="en-AU"/>
              </w:rPr>
            </w:pPr>
            <w:r w:rsidRPr="007775D6">
              <w:t>The Hon. Jenny Mikakos MLC</w:t>
            </w:r>
          </w:p>
        </w:tc>
        <w:tc>
          <w:tcPr>
            <w:tcW w:w="3119" w:type="dxa"/>
          </w:tcPr>
          <w:p w14:paraId="66ED58B4" w14:textId="77777777" w:rsidR="00FA7EBF" w:rsidRPr="007939DD" w:rsidRDefault="00FA7EBF" w:rsidP="002F7C48">
            <w:pPr>
              <w:pStyle w:val="ARfintablebody"/>
              <w:spacing w:before="20"/>
              <w:rPr>
                <w:lang w:eastAsia="en-AU"/>
              </w:rPr>
            </w:pPr>
            <w:r w:rsidRPr="007775D6">
              <w:t>1 July 2018 to 29 November 2018</w:t>
            </w:r>
          </w:p>
        </w:tc>
      </w:tr>
      <w:tr w:rsidR="00FA7EBF" w:rsidRPr="007939DD" w14:paraId="34420092" w14:textId="77777777" w:rsidTr="007B207C">
        <w:trPr>
          <w:cantSplit/>
        </w:trPr>
        <w:tc>
          <w:tcPr>
            <w:tcW w:w="3968" w:type="dxa"/>
          </w:tcPr>
          <w:p w14:paraId="18B7D3FD" w14:textId="77777777" w:rsidR="00FA7EBF" w:rsidRPr="007939DD" w:rsidRDefault="00FA7EBF" w:rsidP="002F7C48">
            <w:pPr>
              <w:pStyle w:val="ARfintablebody"/>
              <w:spacing w:before="20"/>
              <w:rPr>
                <w:lang w:eastAsia="en-AU"/>
              </w:rPr>
            </w:pPr>
            <w:r w:rsidRPr="007775D6">
              <w:t>Minister for Youth Affairs</w:t>
            </w:r>
          </w:p>
        </w:tc>
        <w:tc>
          <w:tcPr>
            <w:tcW w:w="2552" w:type="dxa"/>
          </w:tcPr>
          <w:p w14:paraId="5F4C5F22" w14:textId="77777777" w:rsidR="00FA7EBF" w:rsidRPr="007939DD" w:rsidRDefault="00FA7EBF" w:rsidP="002F7C48">
            <w:pPr>
              <w:pStyle w:val="ARfintablebody"/>
              <w:spacing w:before="20"/>
              <w:rPr>
                <w:lang w:eastAsia="en-AU"/>
              </w:rPr>
            </w:pPr>
            <w:r w:rsidRPr="007775D6">
              <w:t>The Hon. Jenny Mikakos MLC</w:t>
            </w:r>
          </w:p>
        </w:tc>
        <w:tc>
          <w:tcPr>
            <w:tcW w:w="3119" w:type="dxa"/>
          </w:tcPr>
          <w:p w14:paraId="0FEA8D78" w14:textId="77777777" w:rsidR="00FA7EBF" w:rsidRPr="007939DD" w:rsidRDefault="00FA7EBF" w:rsidP="002F7C48">
            <w:pPr>
              <w:pStyle w:val="ARfintablebody"/>
              <w:spacing w:before="20"/>
              <w:rPr>
                <w:lang w:eastAsia="en-AU"/>
              </w:rPr>
            </w:pPr>
            <w:r w:rsidRPr="007775D6">
              <w:t>1 July 2018 to 29 November 2018</w:t>
            </w:r>
          </w:p>
        </w:tc>
      </w:tr>
      <w:tr w:rsidR="00FA7EBF" w:rsidRPr="007939DD" w14:paraId="01351D0F" w14:textId="77777777" w:rsidTr="007B207C">
        <w:trPr>
          <w:cantSplit/>
        </w:trPr>
        <w:tc>
          <w:tcPr>
            <w:tcW w:w="3968" w:type="dxa"/>
          </w:tcPr>
          <w:p w14:paraId="631CC1EB" w14:textId="77777777" w:rsidR="00FA7EBF" w:rsidRPr="007939DD" w:rsidRDefault="00FA7EBF" w:rsidP="002F7C48">
            <w:pPr>
              <w:pStyle w:val="ARfintablebody"/>
              <w:spacing w:before="20"/>
              <w:rPr>
                <w:lang w:eastAsia="en-AU"/>
              </w:rPr>
            </w:pPr>
            <w:r w:rsidRPr="007775D6">
              <w:t>Minister for Sport</w:t>
            </w:r>
          </w:p>
        </w:tc>
        <w:tc>
          <w:tcPr>
            <w:tcW w:w="2552" w:type="dxa"/>
          </w:tcPr>
          <w:p w14:paraId="61484F40" w14:textId="77777777" w:rsidR="00FA7EBF" w:rsidRPr="007939DD" w:rsidRDefault="00FA7EBF" w:rsidP="002F7C48">
            <w:pPr>
              <w:pStyle w:val="ARfintablebody"/>
              <w:spacing w:before="20"/>
              <w:rPr>
                <w:lang w:eastAsia="en-AU"/>
              </w:rPr>
            </w:pPr>
            <w:r w:rsidRPr="007775D6">
              <w:t>The Hon. John Eren MP</w:t>
            </w:r>
          </w:p>
        </w:tc>
        <w:tc>
          <w:tcPr>
            <w:tcW w:w="3119" w:type="dxa"/>
          </w:tcPr>
          <w:p w14:paraId="2E154642" w14:textId="77777777" w:rsidR="00FA7EBF" w:rsidRPr="007939DD" w:rsidRDefault="00FA7EBF" w:rsidP="002F7C48">
            <w:pPr>
              <w:pStyle w:val="ARfintablebody"/>
              <w:spacing w:before="20"/>
              <w:rPr>
                <w:lang w:eastAsia="en-AU"/>
              </w:rPr>
            </w:pPr>
            <w:r w:rsidRPr="007775D6">
              <w:t>1 July 2018 to 29 November 2018</w:t>
            </w:r>
          </w:p>
        </w:tc>
      </w:tr>
      <w:tr w:rsidR="00FA7EBF" w:rsidRPr="007939DD" w14:paraId="63F31BCB" w14:textId="77777777" w:rsidTr="007B207C">
        <w:trPr>
          <w:cantSplit/>
        </w:trPr>
        <w:tc>
          <w:tcPr>
            <w:tcW w:w="3968" w:type="dxa"/>
          </w:tcPr>
          <w:p w14:paraId="6DA87C13" w14:textId="77777777" w:rsidR="00FA7EBF" w:rsidRPr="007939DD" w:rsidRDefault="00FA7EBF" w:rsidP="002F7C48">
            <w:pPr>
              <w:pStyle w:val="ARfintablebody"/>
              <w:spacing w:before="20"/>
              <w:rPr>
                <w:lang w:eastAsia="en-AU"/>
              </w:rPr>
            </w:pPr>
            <w:r w:rsidRPr="007775D6">
              <w:t>Minister for Women</w:t>
            </w:r>
          </w:p>
        </w:tc>
        <w:tc>
          <w:tcPr>
            <w:tcW w:w="2552" w:type="dxa"/>
          </w:tcPr>
          <w:p w14:paraId="73ACC482" w14:textId="77777777" w:rsidR="00FA7EBF" w:rsidRPr="007939DD" w:rsidRDefault="00FA7EBF" w:rsidP="002F7C48">
            <w:pPr>
              <w:pStyle w:val="ARfintablebody"/>
              <w:spacing w:before="20"/>
              <w:rPr>
                <w:lang w:eastAsia="en-AU"/>
              </w:rPr>
            </w:pPr>
            <w:r w:rsidRPr="007775D6">
              <w:t>The Hon. Natalie Hutchins MP</w:t>
            </w:r>
          </w:p>
        </w:tc>
        <w:tc>
          <w:tcPr>
            <w:tcW w:w="3119" w:type="dxa"/>
          </w:tcPr>
          <w:p w14:paraId="45FBB247" w14:textId="77777777" w:rsidR="00FA7EBF" w:rsidRPr="007939DD" w:rsidRDefault="00FA7EBF" w:rsidP="002F7C48">
            <w:pPr>
              <w:pStyle w:val="ARfintablebody"/>
              <w:spacing w:before="20"/>
              <w:rPr>
                <w:lang w:eastAsia="en-AU"/>
              </w:rPr>
            </w:pPr>
            <w:r w:rsidRPr="007775D6">
              <w:t>1 July 2018 to 29 November 2018</w:t>
            </w:r>
          </w:p>
        </w:tc>
      </w:tr>
      <w:tr w:rsidR="00FA7EBF" w:rsidRPr="007939DD" w14:paraId="6CC4F727" w14:textId="77777777" w:rsidTr="007B207C">
        <w:trPr>
          <w:cantSplit/>
        </w:trPr>
        <w:tc>
          <w:tcPr>
            <w:tcW w:w="3968" w:type="dxa"/>
          </w:tcPr>
          <w:p w14:paraId="007E17F6" w14:textId="77777777" w:rsidR="00FA7EBF" w:rsidRPr="007939DD" w:rsidRDefault="00FA7EBF" w:rsidP="002F7C48">
            <w:pPr>
              <w:pStyle w:val="ARfintablebody"/>
              <w:spacing w:before="20"/>
              <w:rPr>
                <w:lang w:eastAsia="en-AU"/>
              </w:rPr>
            </w:pPr>
            <w:r w:rsidRPr="007775D6">
              <w:t>Minister for the Prevention of Family Violence</w:t>
            </w:r>
          </w:p>
        </w:tc>
        <w:tc>
          <w:tcPr>
            <w:tcW w:w="2552" w:type="dxa"/>
          </w:tcPr>
          <w:p w14:paraId="0069EA59" w14:textId="77777777" w:rsidR="00FA7EBF" w:rsidRPr="007939DD" w:rsidRDefault="00FA7EBF" w:rsidP="002F7C48">
            <w:pPr>
              <w:pStyle w:val="ARfintablebody"/>
              <w:spacing w:before="20"/>
              <w:rPr>
                <w:lang w:eastAsia="en-AU"/>
              </w:rPr>
            </w:pPr>
            <w:r w:rsidRPr="007775D6">
              <w:t>The Hon. Natalie Hutchins MP</w:t>
            </w:r>
          </w:p>
        </w:tc>
        <w:tc>
          <w:tcPr>
            <w:tcW w:w="3119" w:type="dxa"/>
          </w:tcPr>
          <w:p w14:paraId="7A5011BA" w14:textId="77777777" w:rsidR="00FA7EBF" w:rsidRPr="007939DD" w:rsidRDefault="00FA7EBF" w:rsidP="002F7C48">
            <w:pPr>
              <w:pStyle w:val="ARfintablebody"/>
              <w:spacing w:before="20"/>
              <w:rPr>
                <w:lang w:eastAsia="en-AU"/>
              </w:rPr>
            </w:pPr>
            <w:r w:rsidRPr="007775D6">
              <w:t>1 July 2018 to 29 November 2018</w:t>
            </w:r>
          </w:p>
        </w:tc>
      </w:tr>
      <w:tr w:rsidR="00FA7EBF" w:rsidRPr="007939DD" w14:paraId="0190FBD8" w14:textId="77777777" w:rsidTr="007B207C">
        <w:trPr>
          <w:cantSplit/>
        </w:trPr>
        <w:tc>
          <w:tcPr>
            <w:tcW w:w="3968" w:type="dxa"/>
          </w:tcPr>
          <w:p w14:paraId="5B4A7ACB" w14:textId="77777777" w:rsidR="00FA7EBF" w:rsidRPr="007939DD" w:rsidRDefault="00FA7EBF" w:rsidP="002F7C48">
            <w:pPr>
              <w:pStyle w:val="ARfintablebody"/>
              <w:spacing w:before="20"/>
              <w:rPr>
                <w:lang w:eastAsia="en-AU"/>
              </w:rPr>
            </w:pPr>
            <w:r w:rsidRPr="007775D6">
              <w:t>Minister for the Prevention of Family Violence</w:t>
            </w:r>
          </w:p>
        </w:tc>
        <w:tc>
          <w:tcPr>
            <w:tcW w:w="2552" w:type="dxa"/>
          </w:tcPr>
          <w:p w14:paraId="53559FAD" w14:textId="77777777" w:rsidR="00FA7EBF" w:rsidRPr="007939DD" w:rsidRDefault="00FA7EBF" w:rsidP="002F7C48">
            <w:pPr>
              <w:pStyle w:val="ARfintablebody"/>
              <w:spacing w:before="20"/>
              <w:rPr>
                <w:lang w:eastAsia="en-AU"/>
              </w:rPr>
            </w:pPr>
            <w:r w:rsidRPr="007775D6">
              <w:t>Gabrielle Williams MP</w:t>
            </w:r>
          </w:p>
        </w:tc>
        <w:tc>
          <w:tcPr>
            <w:tcW w:w="3119" w:type="dxa"/>
          </w:tcPr>
          <w:p w14:paraId="16DB9933" w14:textId="77777777" w:rsidR="00FA7EBF" w:rsidRPr="007939DD" w:rsidRDefault="00FA7EBF" w:rsidP="002F7C48">
            <w:pPr>
              <w:pStyle w:val="ARfintablebody"/>
              <w:spacing w:before="20"/>
              <w:rPr>
                <w:lang w:eastAsia="en-AU"/>
              </w:rPr>
            </w:pPr>
            <w:r w:rsidRPr="007775D6">
              <w:t>29 November 2018 to 30 June 2019</w:t>
            </w:r>
          </w:p>
        </w:tc>
      </w:tr>
      <w:tr w:rsidR="00FA7EBF" w:rsidRPr="007939DD" w14:paraId="11C102BA" w14:textId="77777777" w:rsidTr="007B207C">
        <w:trPr>
          <w:cantSplit/>
        </w:trPr>
        <w:tc>
          <w:tcPr>
            <w:tcW w:w="3968" w:type="dxa"/>
          </w:tcPr>
          <w:p w14:paraId="321A376E" w14:textId="77777777" w:rsidR="00FA7EBF" w:rsidRPr="007939DD" w:rsidRDefault="00FA7EBF" w:rsidP="002F7C48">
            <w:pPr>
              <w:pStyle w:val="ARfintablebody"/>
              <w:spacing w:before="20"/>
              <w:rPr>
                <w:lang w:eastAsia="en-AU"/>
              </w:rPr>
            </w:pPr>
            <w:r w:rsidRPr="007775D6">
              <w:t>Special Minister of State</w:t>
            </w:r>
          </w:p>
        </w:tc>
        <w:tc>
          <w:tcPr>
            <w:tcW w:w="2552" w:type="dxa"/>
          </w:tcPr>
          <w:p w14:paraId="32CD4603" w14:textId="77777777" w:rsidR="00FA7EBF" w:rsidRPr="007939DD" w:rsidRDefault="00FA7EBF" w:rsidP="002F7C48">
            <w:pPr>
              <w:pStyle w:val="ARfintablebody"/>
              <w:spacing w:before="20"/>
              <w:rPr>
                <w:lang w:eastAsia="en-AU"/>
              </w:rPr>
            </w:pPr>
            <w:r w:rsidRPr="007775D6">
              <w:t>Gavin Jennings MLC</w:t>
            </w:r>
          </w:p>
        </w:tc>
        <w:tc>
          <w:tcPr>
            <w:tcW w:w="3119" w:type="dxa"/>
          </w:tcPr>
          <w:p w14:paraId="0803B846" w14:textId="77777777" w:rsidR="00FA7EBF" w:rsidRPr="007939DD" w:rsidRDefault="00FA7EBF" w:rsidP="002F7C48">
            <w:pPr>
              <w:pStyle w:val="ARfintablebody"/>
              <w:spacing w:before="20"/>
              <w:rPr>
                <w:lang w:eastAsia="en-AU"/>
              </w:rPr>
            </w:pPr>
            <w:r w:rsidRPr="007775D6">
              <w:t>1 July 2018 to 29 November 2018</w:t>
            </w:r>
          </w:p>
        </w:tc>
      </w:tr>
      <w:tr w:rsidR="00FA7EBF" w:rsidRPr="007939DD" w14:paraId="77AC8432" w14:textId="77777777" w:rsidTr="007B207C">
        <w:trPr>
          <w:cantSplit/>
        </w:trPr>
        <w:tc>
          <w:tcPr>
            <w:tcW w:w="3968" w:type="dxa"/>
          </w:tcPr>
          <w:p w14:paraId="349258A0" w14:textId="77777777" w:rsidR="00FA7EBF" w:rsidRPr="007939DD" w:rsidRDefault="00FA7EBF" w:rsidP="002F7C48">
            <w:pPr>
              <w:pStyle w:val="ARfintablebody"/>
              <w:spacing w:before="20"/>
              <w:rPr>
                <w:lang w:eastAsia="en-AU"/>
              </w:rPr>
            </w:pPr>
            <w:r w:rsidRPr="007775D6">
              <w:t>Minister for Child Protection</w:t>
            </w:r>
          </w:p>
        </w:tc>
        <w:tc>
          <w:tcPr>
            <w:tcW w:w="2552" w:type="dxa"/>
          </w:tcPr>
          <w:p w14:paraId="6D5EB30C" w14:textId="77777777" w:rsidR="00FA7EBF" w:rsidRPr="007939DD" w:rsidRDefault="00FA7EBF" w:rsidP="002F7C48">
            <w:pPr>
              <w:pStyle w:val="ARfintablebody"/>
              <w:spacing w:before="20"/>
              <w:rPr>
                <w:lang w:eastAsia="en-AU"/>
              </w:rPr>
            </w:pPr>
            <w:r w:rsidRPr="007775D6">
              <w:t>The Hon. Luke Donnellan MP</w:t>
            </w:r>
          </w:p>
        </w:tc>
        <w:tc>
          <w:tcPr>
            <w:tcW w:w="3119" w:type="dxa"/>
          </w:tcPr>
          <w:p w14:paraId="6507CF67" w14:textId="77777777" w:rsidR="00FA7EBF" w:rsidRPr="007939DD" w:rsidRDefault="00FA7EBF" w:rsidP="002F7C48">
            <w:pPr>
              <w:pStyle w:val="ARfintablebody"/>
              <w:spacing w:before="20"/>
              <w:rPr>
                <w:lang w:eastAsia="en-AU"/>
              </w:rPr>
            </w:pPr>
            <w:r w:rsidRPr="007775D6">
              <w:t>29 November 2018 to 30 June 2019</w:t>
            </w:r>
          </w:p>
        </w:tc>
      </w:tr>
      <w:tr w:rsidR="00FA7EBF" w:rsidRPr="007939DD" w14:paraId="51FD7BB2" w14:textId="77777777" w:rsidTr="007B207C">
        <w:trPr>
          <w:cantSplit/>
        </w:trPr>
        <w:tc>
          <w:tcPr>
            <w:tcW w:w="3968" w:type="dxa"/>
          </w:tcPr>
          <w:p w14:paraId="305873F1" w14:textId="77777777" w:rsidR="00FA7EBF" w:rsidRPr="007939DD" w:rsidRDefault="00FA7EBF" w:rsidP="002F7C48">
            <w:pPr>
              <w:pStyle w:val="ARfintablebody"/>
              <w:spacing w:before="20"/>
              <w:rPr>
                <w:lang w:eastAsia="en-AU"/>
              </w:rPr>
            </w:pPr>
            <w:r w:rsidRPr="007775D6">
              <w:t>Minister for Disability, Ageing and Carers</w:t>
            </w:r>
          </w:p>
        </w:tc>
        <w:tc>
          <w:tcPr>
            <w:tcW w:w="2552" w:type="dxa"/>
          </w:tcPr>
          <w:p w14:paraId="4C64AF1B" w14:textId="77777777" w:rsidR="00FA7EBF" w:rsidRPr="007939DD" w:rsidRDefault="00FA7EBF" w:rsidP="002F7C48">
            <w:pPr>
              <w:pStyle w:val="ARfintablebody"/>
              <w:spacing w:before="20"/>
              <w:rPr>
                <w:lang w:eastAsia="en-AU"/>
              </w:rPr>
            </w:pPr>
            <w:r w:rsidRPr="007775D6">
              <w:t>The Hon. Luke Donnellan MP</w:t>
            </w:r>
          </w:p>
        </w:tc>
        <w:tc>
          <w:tcPr>
            <w:tcW w:w="3119" w:type="dxa"/>
          </w:tcPr>
          <w:p w14:paraId="4D9E6E62" w14:textId="77777777" w:rsidR="00FA7EBF" w:rsidRPr="007939DD" w:rsidRDefault="00FA7EBF" w:rsidP="002F7C48">
            <w:pPr>
              <w:pStyle w:val="ARfintablebody"/>
              <w:spacing w:before="20"/>
              <w:rPr>
                <w:lang w:eastAsia="en-AU"/>
              </w:rPr>
            </w:pPr>
            <w:r w:rsidRPr="007775D6">
              <w:t>29 November 2018 to 30 June 2019</w:t>
            </w:r>
          </w:p>
        </w:tc>
      </w:tr>
      <w:tr w:rsidR="00FA7EBF" w:rsidRPr="007939DD" w14:paraId="01C5C082" w14:textId="77777777" w:rsidTr="007B207C">
        <w:trPr>
          <w:cantSplit/>
        </w:trPr>
        <w:tc>
          <w:tcPr>
            <w:tcW w:w="3968" w:type="dxa"/>
          </w:tcPr>
          <w:p w14:paraId="047F2A31" w14:textId="77777777" w:rsidR="00FA7EBF" w:rsidRPr="007939DD" w:rsidRDefault="00FA7EBF" w:rsidP="002F7C48">
            <w:pPr>
              <w:pStyle w:val="ARfintablebody"/>
              <w:spacing w:before="20"/>
              <w:rPr>
                <w:lang w:eastAsia="en-AU"/>
              </w:rPr>
            </w:pPr>
            <w:r w:rsidRPr="007775D6">
              <w:t>Secretary, Department of Health and Human Services</w:t>
            </w:r>
          </w:p>
        </w:tc>
        <w:tc>
          <w:tcPr>
            <w:tcW w:w="2552" w:type="dxa"/>
          </w:tcPr>
          <w:p w14:paraId="1D825B11" w14:textId="77777777" w:rsidR="00FA7EBF" w:rsidRPr="007939DD" w:rsidRDefault="00FA7EBF" w:rsidP="002F7C48">
            <w:pPr>
              <w:pStyle w:val="ARfintablebody"/>
              <w:spacing w:before="20"/>
              <w:rPr>
                <w:lang w:eastAsia="en-AU"/>
              </w:rPr>
            </w:pPr>
            <w:r w:rsidRPr="007775D6">
              <w:t>Kym Peake</w:t>
            </w:r>
          </w:p>
        </w:tc>
        <w:tc>
          <w:tcPr>
            <w:tcW w:w="3119" w:type="dxa"/>
          </w:tcPr>
          <w:p w14:paraId="2CEC56AC" w14:textId="77777777" w:rsidR="00FA7EBF" w:rsidRPr="007939DD" w:rsidRDefault="00FA7EBF" w:rsidP="002F7C48">
            <w:pPr>
              <w:pStyle w:val="ARfintablebody"/>
              <w:spacing w:before="20"/>
              <w:rPr>
                <w:lang w:eastAsia="en-AU"/>
              </w:rPr>
            </w:pPr>
            <w:r w:rsidRPr="007775D6">
              <w:t>1 July 2018 to 30 June 2019</w:t>
            </w:r>
          </w:p>
        </w:tc>
      </w:tr>
      <w:tr w:rsidR="00FA7EBF" w:rsidRPr="007939DD" w14:paraId="2095D8E6" w14:textId="77777777" w:rsidTr="007B207C">
        <w:trPr>
          <w:cantSplit/>
        </w:trPr>
        <w:tc>
          <w:tcPr>
            <w:tcW w:w="3968" w:type="dxa"/>
          </w:tcPr>
          <w:p w14:paraId="1A76DB4C" w14:textId="77777777" w:rsidR="00FA7EBF" w:rsidRPr="007939DD" w:rsidRDefault="00FA7EBF" w:rsidP="002F7C48">
            <w:pPr>
              <w:pStyle w:val="ARfintablebody"/>
              <w:spacing w:before="20"/>
              <w:rPr>
                <w:lang w:eastAsia="en-AU"/>
              </w:rPr>
            </w:pPr>
            <w:r w:rsidRPr="007775D6">
              <w:t>Acting Secretary, Department of Health</w:t>
            </w:r>
            <w:r>
              <w:t xml:space="preserve"> </w:t>
            </w:r>
            <w:r>
              <w:br/>
            </w:r>
            <w:r w:rsidRPr="007775D6">
              <w:t>and Human Services</w:t>
            </w:r>
          </w:p>
        </w:tc>
        <w:tc>
          <w:tcPr>
            <w:tcW w:w="2552" w:type="dxa"/>
          </w:tcPr>
          <w:p w14:paraId="5CC7C28F" w14:textId="77777777" w:rsidR="00FA7EBF" w:rsidRPr="007939DD" w:rsidRDefault="00FA7EBF" w:rsidP="002F7C48">
            <w:pPr>
              <w:pStyle w:val="ARfintablebody"/>
              <w:spacing w:before="20"/>
              <w:rPr>
                <w:lang w:eastAsia="en-AU"/>
              </w:rPr>
            </w:pPr>
            <w:r w:rsidRPr="007775D6">
              <w:t>Melissa Skilbeck</w:t>
            </w:r>
          </w:p>
        </w:tc>
        <w:tc>
          <w:tcPr>
            <w:tcW w:w="3119" w:type="dxa"/>
          </w:tcPr>
          <w:p w14:paraId="767FD185" w14:textId="77777777" w:rsidR="00FA7EBF" w:rsidRPr="007939DD" w:rsidRDefault="00FA7EBF" w:rsidP="002F7C48">
            <w:pPr>
              <w:pStyle w:val="ARfintablebody"/>
              <w:spacing w:before="20"/>
              <w:rPr>
                <w:lang w:eastAsia="en-AU"/>
              </w:rPr>
            </w:pPr>
            <w:r w:rsidRPr="007775D6">
              <w:t>31 December 2018 to 6 January 2019</w:t>
            </w:r>
          </w:p>
        </w:tc>
      </w:tr>
      <w:tr w:rsidR="00FA7EBF" w:rsidRPr="007939DD" w14:paraId="4921975D" w14:textId="77777777" w:rsidTr="007B207C">
        <w:trPr>
          <w:cantSplit/>
        </w:trPr>
        <w:tc>
          <w:tcPr>
            <w:tcW w:w="3968" w:type="dxa"/>
          </w:tcPr>
          <w:p w14:paraId="2FAEB384" w14:textId="77777777" w:rsidR="00FA7EBF" w:rsidRPr="007939DD" w:rsidRDefault="00FA7EBF" w:rsidP="002F7C48">
            <w:pPr>
              <w:pStyle w:val="ARfintablebody"/>
              <w:spacing w:before="20"/>
              <w:rPr>
                <w:lang w:eastAsia="en-AU"/>
              </w:rPr>
            </w:pPr>
            <w:r w:rsidRPr="007775D6">
              <w:t xml:space="preserve">Acting Secretary, Department of Health </w:t>
            </w:r>
            <w:r>
              <w:br/>
            </w:r>
            <w:r w:rsidRPr="007775D6">
              <w:t>and Human Services</w:t>
            </w:r>
          </w:p>
        </w:tc>
        <w:tc>
          <w:tcPr>
            <w:tcW w:w="2552" w:type="dxa"/>
          </w:tcPr>
          <w:p w14:paraId="5C299F20" w14:textId="77777777" w:rsidR="00FA7EBF" w:rsidRPr="007939DD" w:rsidRDefault="00FA7EBF" w:rsidP="002F7C48">
            <w:pPr>
              <w:pStyle w:val="ARfintablebody"/>
              <w:spacing w:before="20"/>
              <w:rPr>
                <w:lang w:eastAsia="en-AU"/>
              </w:rPr>
            </w:pPr>
            <w:r w:rsidRPr="007775D6">
              <w:t>Nick Foa</w:t>
            </w:r>
          </w:p>
        </w:tc>
        <w:tc>
          <w:tcPr>
            <w:tcW w:w="3119" w:type="dxa"/>
          </w:tcPr>
          <w:p w14:paraId="43CA761A" w14:textId="77777777" w:rsidR="00FA7EBF" w:rsidRPr="007939DD" w:rsidRDefault="00FA7EBF" w:rsidP="002F7C48">
            <w:pPr>
              <w:pStyle w:val="ARfintablebody"/>
              <w:spacing w:before="20"/>
              <w:rPr>
                <w:lang w:eastAsia="en-AU"/>
              </w:rPr>
            </w:pPr>
            <w:r w:rsidRPr="007775D6">
              <w:t xml:space="preserve">24 April 2019 to 28 April 2019 </w:t>
            </w:r>
          </w:p>
        </w:tc>
      </w:tr>
      <w:tr w:rsidR="00FA7EBF" w:rsidRPr="007939DD" w14:paraId="750BA024" w14:textId="77777777" w:rsidTr="007B207C">
        <w:trPr>
          <w:cantSplit/>
        </w:trPr>
        <w:tc>
          <w:tcPr>
            <w:tcW w:w="3968" w:type="dxa"/>
          </w:tcPr>
          <w:p w14:paraId="28B8B569" w14:textId="77777777" w:rsidR="00FA7EBF" w:rsidRPr="007939DD" w:rsidRDefault="00FA7EBF" w:rsidP="002F7C48">
            <w:pPr>
              <w:pStyle w:val="ARfintablebody"/>
              <w:spacing w:before="20"/>
              <w:rPr>
                <w:lang w:eastAsia="en-AU"/>
              </w:rPr>
            </w:pPr>
            <w:r w:rsidRPr="007775D6">
              <w:t xml:space="preserve">Director of Housing under the </w:t>
            </w:r>
            <w:r w:rsidRPr="00A26C05">
              <w:rPr>
                <w:rStyle w:val="Emphasis"/>
                <w:iCs w:val="0"/>
              </w:rPr>
              <w:t>Housing Act 1983</w:t>
            </w:r>
          </w:p>
        </w:tc>
        <w:tc>
          <w:tcPr>
            <w:tcW w:w="2552" w:type="dxa"/>
          </w:tcPr>
          <w:p w14:paraId="511442D4" w14:textId="77777777" w:rsidR="00FA7EBF" w:rsidRPr="007939DD" w:rsidRDefault="00FA7EBF" w:rsidP="002F7C48">
            <w:pPr>
              <w:pStyle w:val="ARfintablebody"/>
              <w:spacing w:before="20"/>
              <w:rPr>
                <w:lang w:eastAsia="en-AU"/>
              </w:rPr>
            </w:pPr>
            <w:r w:rsidRPr="007775D6">
              <w:t>Nick Foa</w:t>
            </w:r>
          </w:p>
        </w:tc>
        <w:tc>
          <w:tcPr>
            <w:tcW w:w="3119" w:type="dxa"/>
          </w:tcPr>
          <w:p w14:paraId="11549603" w14:textId="77777777" w:rsidR="00FA7EBF" w:rsidRPr="007939DD" w:rsidRDefault="00FA7EBF" w:rsidP="002F7C48">
            <w:pPr>
              <w:pStyle w:val="ARfintablebody"/>
              <w:spacing w:before="20"/>
              <w:rPr>
                <w:lang w:eastAsia="en-AU"/>
              </w:rPr>
            </w:pPr>
            <w:r w:rsidRPr="007775D6">
              <w:t>1 July 2018 to 30 June 2019</w:t>
            </w:r>
          </w:p>
        </w:tc>
      </w:tr>
      <w:tr w:rsidR="00FA7EBF" w:rsidRPr="007939DD" w14:paraId="37E0C733" w14:textId="77777777" w:rsidTr="007B207C">
        <w:trPr>
          <w:cantSplit/>
        </w:trPr>
        <w:tc>
          <w:tcPr>
            <w:tcW w:w="3968" w:type="dxa"/>
          </w:tcPr>
          <w:p w14:paraId="5A0B87FA" w14:textId="77777777" w:rsidR="00FA7EBF" w:rsidRPr="007939DD" w:rsidRDefault="00FA7EBF" w:rsidP="002F7C48">
            <w:pPr>
              <w:pStyle w:val="ARfintablebody"/>
              <w:spacing w:before="20"/>
              <w:rPr>
                <w:lang w:eastAsia="en-AU"/>
              </w:rPr>
            </w:pPr>
            <w:r w:rsidRPr="007775D6">
              <w:t xml:space="preserve">Acting Director of Housing under the </w:t>
            </w:r>
            <w:r>
              <w:br/>
            </w:r>
            <w:r w:rsidRPr="00A26C05">
              <w:rPr>
                <w:rStyle w:val="Emphasis"/>
                <w:iCs w:val="0"/>
              </w:rPr>
              <w:t>Housing Act 1983</w:t>
            </w:r>
          </w:p>
        </w:tc>
        <w:tc>
          <w:tcPr>
            <w:tcW w:w="2552" w:type="dxa"/>
          </w:tcPr>
          <w:p w14:paraId="076C6840" w14:textId="77777777" w:rsidR="00FA7EBF" w:rsidRPr="007939DD" w:rsidRDefault="00FA7EBF" w:rsidP="002F7C48">
            <w:pPr>
              <w:pStyle w:val="ARfintablebody"/>
              <w:spacing w:before="20"/>
              <w:rPr>
                <w:lang w:eastAsia="en-AU"/>
              </w:rPr>
            </w:pPr>
            <w:r w:rsidRPr="007775D6">
              <w:t>Justin Burney</w:t>
            </w:r>
          </w:p>
        </w:tc>
        <w:tc>
          <w:tcPr>
            <w:tcW w:w="3119" w:type="dxa"/>
          </w:tcPr>
          <w:p w14:paraId="64E81E56" w14:textId="77777777" w:rsidR="00FA7EBF" w:rsidRPr="007939DD" w:rsidRDefault="00FA7EBF" w:rsidP="002F7C48">
            <w:pPr>
              <w:pStyle w:val="ARfintablebody"/>
              <w:spacing w:before="20"/>
              <w:rPr>
                <w:lang w:eastAsia="en-AU"/>
              </w:rPr>
            </w:pPr>
            <w:r w:rsidRPr="007775D6">
              <w:t>1 July 2018 to 8 July 2018</w:t>
            </w:r>
          </w:p>
        </w:tc>
      </w:tr>
      <w:tr w:rsidR="00FA7EBF" w:rsidRPr="007939DD" w14:paraId="004C65B4" w14:textId="77777777" w:rsidTr="007B207C">
        <w:trPr>
          <w:cantSplit/>
        </w:trPr>
        <w:tc>
          <w:tcPr>
            <w:tcW w:w="3968" w:type="dxa"/>
          </w:tcPr>
          <w:p w14:paraId="4546AFF7" w14:textId="77777777" w:rsidR="00FA7EBF" w:rsidRPr="007939DD" w:rsidRDefault="00FA7EBF" w:rsidP="002F7C48">
            <w:pPr>
              <w:pStyle w:val="ARfintablebody"/>
              <w:spacing w:before="20"/>
              <w:rPr>
                <w:lang w:eastAsia="en-AU"/>
              </w:rPr>
            </w:pPr>
            <w:r w:rsidRPr="007775D6">
              <w:t xml:space="preserve">Acting Director of Housing under the </w:t>
            </w:r>
            <w:r>
              <w:br/>
            </w:r>
            <w:r w:rsidRPr="00A26C05">
              <w:rPr>
                <w:rStyle w:val="Emphasis"/>
                <w:iCs w:val="0"/>
              </w:rPr>
              <w:t>Housing Act 1983</w:t>
            </w:r>
          </w:p>
        </w:tc>
        <w:tc>
          <w:tcPr>
            <w:tcW w:w="2552" w:type="dxa"/>
          </w:tcPr>
          <w:p w14:paraId="43D978A9" w14:textId="77777777" w:rsidR="00FA7EBF" w:rsidRPr="007939DD" w:rsidRDefault="00FA7EBF" w:rsidP="002F7C48">
            <w:pPr>
              <w:pStyle w:val="ARfintablebody"/>
              <w:spacing w:before="20"/>
              <w:rPr>
                <w:lang w:eastAsia="en-AU"/>
              </w:rPr>
            </w:pPr>
            <w:r w:rsidRPr="007775D6">
              <w:t>Fiona Williams</w:t>
            </w:r>
          </w:p>
        </w:tc>
        <w:tc>
          <w:tcPr>
            <w:tcW w:w="3119" w:type="dxa"/>
          </w:tcPr>
          <w:p w14:paraId="08F6D4BF" w14:textId="77777777" w:rsidR="00FA7EBF" w:rsidRPr="007939DD" w:rsidRDefault="00FA7EBF" w:rsidP="002F7C48">
            <w:pPr>
              <w:pStyle w:val="ARfintablebody"/>
              <w:spacing w:before="20"/>
              <w:rPr>
                <w:lang w:eastAsia="en-AU"/>
              </w:rPr>
            </w:pPr>
            <w:r w:rsidRPr="007775D6">
              <w:t>22 December 2018 to 7 January 2019</w:t>
            </w:r>
          </w:p>
        </w:tc>
      </w:tr>
      <w:tr w:rsidR="00FA7EBF" w:rsidRPr="007939DD" w14:paraId="3A47E668" w14:textId="77777777" w:rsidTr="007B207C">
        <w:trPr>
          <w:cantSplit/>
        </w:trPr>
        <w:tc>
          <w:tcPr>
            <w:tcW w:w="3968" w:type="dxa"/>
            <w:tcBorders>
              <w:bottom w:val="single" w:sz="4" w:space="0" w:color="auto"/>
            </w:tcBorders>
          </w:tcPr>
          <w:p w14:paraId="0DE6545B" w14:textId="77777777" w:rsidR="00FA7EBF" w:rsidRPr="007939DD" w:rsidRDefault="00FA7EBF" w:rsidP="002F7C48">
            <w:pPr>
              <w:pStyle w:val="ARfintablebody"/>
              <w:spacing w:before="20"/>
              <w:rPr>
                <w:lang w:eastAsia="en-AU"/>
              </w:rPr>
            </w:pPr>
            <w:r w:rsidRPr="007775D6">
              <w:t xml:space="preserve">Acting Director of Housing under the </w:t>
            </w:r>
            <w:r>
              <w:br/>
            </w:r>
            <w:r w:rsidRPr="00A26C05">
              <w:rPr>
                <w:rStyle w:val="Emphasis"/>
                <w:iCs w:val="0"/>
              </w:rPr>
              <w:t>Housing Act 1983</w:t>
            </w:r>
          </w:p>
        </w:tc>
        <w:tc>
          <w:tcPr>
            <w:tcW w:w="2552" w:type="dxa"/>
            <w:tcBorders>
              <w:bottom w:val="single" w:sz="4" w:space="0" w:color="auto"/>
            </w:tcBorders>
          </w:tcPr>
          <w:p w14:paraId="583ECFBF" w14:textId="77777777" w:rsidR="00FA7EBF" w:rsidRPr="007939DD" w:rsidRDefault="00FA7EBF" w:rsidP="002F7C48">
            <w:pPr>
              <w:pStyle w:val="ARfintablebody"/>
              <w:spacing w:before="20"/>
              <w:rPr>
                <w:lang w:eastAsia="en-AU"/>
              </w:rPr>
            </w:pPr>
            <w:r w:rsidRPr="007775D6">
              <w:t>Chris Hotham</w:t>
            </w:r>
          </w:p>
        </w:tc>
        <w:tc>
          <w:tcPr>
            <w:tcW w:w="3119" w:type="dxa"/>
            <w:tcBorders>
              <w:bottom w:val="single" w:sz="4" w:space="0" w:color="auto"/>
            </w:tcBorders>
          </w:tcPr>
          <w:p w14:paraId="7CB4AC6E" w14:textId="77777777" w:rsidR="00FA7EBF" w:rsidRPr="007939DD" w:rsidRDefault="00FA7EBF" w:rsidP="002F7C48">
            <w:pPr>
              <w:pStyle w:val="ARfintablebody"/>
              <w:spacing w:before="20"/>
              <w:rPr>
                <w:lang w:eastAsia="en-AU"/>
              </w:rPr>
            </w:pPr>
            <w:r w:rsidRPr="007775D6">
              <w:t>29 June 2019 to 30 June 2019</w:t>
            </w:r>
          </w:p>
        </w:tc>
      </w:tr>
    </w:tbl>
    <w:p w14:paraId="735EF3BA" w14:textId="77777777" w:rsidR="00FA7EBF" w:rsidRPr="00194D78" w:rsidRDefault="00FA7EBF" w:rsidP="002F7C48">
      <w:pPr>
        <w:pStyle w:val="Heading5"/>
        <w:spacing w:before="160"/>
        <w:rPr>
          <w:lang w:eastAsia="en-AU"/>
        </w:rPr>
      </w:pPr>
      <w:r w:rsidRPr="00194D78">
        <w:rPr>
          <w:lang w:eastAsia="en-AU"/>
        </w:rPr>
        <w:t>Remuneration</w:t>
      </w:r>
    </w:p>
    <w:p w14:paraId="1CB91F82" w14:textId="77777777" w:rsidR="00FA7EBF" w:rsidRDefault="00FA7EBF" w:rsidP="00CA66FD">
      <w:pPr>
        <w:pStyle w:val="ARfinbody"/>
      </w:pPr>
      <w:r w:rsidRPr="00194D78">
        <w:t>Remuneration received or receivable by the accountable officers in connection with the management of the department during the reporting period was in the range: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6803"/>
        <w:gridCol w:w="1418"/>
        <w:gridCol w:w="1418"/>
      </w:tblGrid>
      <w:tr w:rsidR="00FA7EBF" w:rsidRPr="007939DD" w14:paraId="617DA5F5" w14:textId="77777777" w:rsidTr="007B207C">
        <w:trPr>
          <w:cantSplit/>
          <w:tblHeader/>
        </w:trPr>
        <w:tc>
          <w:tcPr>
            <w:tcW w:w="6803" w:type="dxa"/>
            <w:vAlign w:val="bottom"/>
          </w:tcPr>
          <w:p w14:paraId="04FA784D" w14:textId="77777777" w:rsidR="00FA7EBF" w:rsidRPr="007939DD" w:rsidRDefault="00FA7EBF" w:rsidP="002F7C48">
            <w:pPr>
              <w:pStyle w:val="ARfintablecolhead"/>
              <w:spacing w:before="30" w:after="20"/>
              <w:rPr>
                <w:rFonts w:cs="Arial"/>
                <w:bCs/>
                <w:color w:val="000000"/>
              </w:rPr>
            </w:pPr>
            <w:r w:rsidRPr="007939DD">
              <w:t>Income band</w:t>
            </w:r>
          </w:p>
        </w:tc>
        <w:tc>
          <w:tcPr>
            <w:tcW w:w="1418" w:type="dxa"/>
            <w:shd w:val="clear" w:color="auto" w:fill="E7E6E6"/>
            <w:vAlign w:val="bottom"/>
          </w:tcPr>
          <w:p w14:paraId="17E5CCAF" w14:textId="77777777" w:rsidR="00FA7EBF" w:rsidRPr="007939DD" w:rsidRDefault="00FA7EBF" w:rsidP="002F7C48">
            <w:pPr>
              <w:pStyle w:val="ARfintablecolheadright"/>
              <w:spacing w:before="30" w:after="20"/>
            </w:pPr>
            <w:r w:rsidRPr="007939DD">
              <w:t>30 June 201</w:t>
            </w:r>
            <w:r>
              <w:t>9</w:t>
            </w:r>
          </w:p>
        </w:tc>
        <w:tc>
          <w:tcPr>
            <w:tcW w:w="1418" w:type="dxa"/>
            <w:vAlign w:val="bottom"/>
          </w:tcPr>
          <w:p w14:paraId="65EA1D94" w14:textId="77777777" w:rsidR="00FA7EBF" w:rsidRPr="007939DD" w:rsidRDefault="00FA7EBF" w:rsidP="002F7C48">
            <w:pPr>
              <w:pStyle w:val="ARfintablecolheadright"/>
              <w:spacing w:before="30" w:after="20"/>
            </w:pPr>
            <w:r w:rsidRPr="007939DD">
              <w:t>30 June 201</w:t>
            </w:r>
            <w:r>
              <w:t>8</w:t>
            </w:r>
          </w:p>
        </w:tc>
      </w:tr>
      <w:tr w:rsidR="00FA7EBF" w:rsidRPr="007939DD" w14:paraId="06F57E69" w14:textId="77777777" w:rsidTr="007B207C">
        <w:trPr>
          <w:cantSplit/>
        </w:trPr>
        <w:tc>
          <w:tcPr>
            <w:tcW w:w="6803" w:type="dxa"/>
            <w:tcBorders>
              <w:bottom w:val="single" w:sz="4" w:space="0" w:color="A6A6A6" w:themeColor="background1" w:themeShade="A6"/>
            </w:tcBorders>
          </w:tcPr>
          <w:p w14:paraId="2C549720" w14:textId="77777777" w:rsidR="00FA7EBF" w:rsidRPr="007939DD" w:rsidRDefault="00FA7EBF" w:rsidP="002F7C48">
            <w:pPr>
              <w:pStyle w:val="ARfintablebody"/>
              <w:spacing w:before="30"/>
              <w:rPr>
                <w:lang w:eastAsia="en-AU"/>
              </w:rPr>
            </w:pPr>
            <w:r w:rsidRPr="00DF0A2E">
              <w:t>$370,000 – $379,999</w:t>
            </w:r>
          </w:p>
        </w:tc>
        <w:tc>
          <w:tcPr>
            <w:tcW w:w="1418" w:type="dxa"/>
            <w:tcBorders>
              <w:bottom w:val="single" w:sz="4" w:space="0" w:color="A6A6A6" w:themeColor="background1" w:themeShade="A6"/>
            </w:tcBorders>
            <w:shd w:val="clear" w:color="auto" w:fill="E7E6E6"/>
          </w:tcPr>
          <w:p w14:paraId="4436686A" w14:textId="77777777" w:rsidR="00FA7EBF" w:rsidRPr="007939DD" w:rsidRDefault="00FA7EBF" w:rsidP="002F7C48">
            <w:pPr>
              <w:pStyle w:val="ARfintablebodyright"/>
              <w:spacing w:before="30"/>
              <w:rPr>
                <w:lang w:eastAsia="en-AU"/>
              </w:rPr>
            </w:pPr>
            <w:r w:rsidRPr="00DF0A2E">
              <w:t>–</w:t>
            </w:r>
          </w:p>
        </w:tc>
        <w:tc>
          <w:tcPr>
            <w:tcW w:w="1418" w:type="dxa"/>
            <w:tcBorders>
              <w:bottom w:val="single" w:sz="4" w:space="0" w:color="A6A6A6" w:themeColor="background1" w:themeShade="A6"/>
            </w:tcBorders>
          </w:tcPr>
          <w:p w14:paraId="7650706A" w14:textId="77777777" w:rsidR="00FA7EBF" w:rsidRPr="007939DD" w:rsidRDefault="00FA7EBF" w:rsidP="002F7C48">
            <w:pPr>
              <w:pStyle w:val="ARfintablebodyright"/>
              <w:spacing w:before="30"/>
              <w:rPr>
                <w:lang w:eastAsia="en-AU"/>
              </w:rPr>
            </w:pPr>
            <w:r w:rsidRPr="00DF0A2E">
              <w:t>1</w:t>
            </w:r>
          </w:p>
        </w:tc>
      </w:tr>
      <w:tr w:rsidR="00FA7EBF" w:rsidRPr="007939DD" w14:paraId="5A545249" w14:textId="77777777" w:rsidTr="007B207C">
        <w:trPr>
          <w:cantSplit/>
        </w:trPr>
        <w:tc>
          <w:tcPr>
            <w:tcW w:w="6803" w:type="dxa"/>
            <w:tcBorders>
              <w:top w:val="single" w:sz="4" w:space="0" w:color="A6A6A6" w:themeColor="background1" w:themeShade="A6"/>
              <w:bottom w:val="single" w:sz="4" w:space="0" w:color="A6A6A6" w:themeColor="background1" w:themeShade="A6"/>
            </w:tcBorders>
          </w:tcPr>
          <w:p w14:paraId="12FF24D7" w14:textId="77777777" w:rsidR="00FA7EBF" w:rsidRPr="007939DD" w:rsidRDefault="00FA7EBF" w:rsidP="002F7C48">
            <w:pPr>
              <w:pStyle w:val="ARfintablebody"/>
              <w:spacing w:before="30"/>
              <w:rPr>
                <w:lang w:eastAsia="en-AU"/>
              </w:rPr>
            </w:pPr>
            <w:r w:rsidRPr="00DF0A2E">
              <w:t>$400,000 – $409,999</w:t>
            </w:r>
          </w:p>
        </w:tc>
        <w:tc>
          <w:tcPr>
            <w:tcW w:w="1418" w:type="dxa"/>
            <w:tcBorders>
              <w:top w:val="single" w:sz="4" w:space="0" w:color="A6A6A6" w:themeColor="background1" w:themeShade="A6"/>
              <w:bottom w:val="single" w:sz="4" w:space="0" w:color="A6A6A6" w:themeColor="background1" w:themeShade="A6"/>
            </w:tcBorders>
            <w:shd w:val="clear" w:color="auto" w:fill="E7E6E6"/>
          </w:tcPr>
          <w:p w14:paraId="61350367" w14:textId="77777777" w:rsidR="00FA7EBF" w:rsidRPr="007939DD" w:rsidRDefault="00FA7EBF" w:rsidP="002F7C48">
            <w:pPr>
              <w:pStyle w:val="ARfintablebodyright"/>
              <w:spacing w:before="30"/>
              <w:rPr>
                <w:lang w:eastAsia="en-AU"/>
              </w:rPr>
            </w:pPr>
            <w:r w:rsidRPr="00DF0A2E">
              <w:t>1</w:t>
            </w:r>
          </w:p>
        </w:tc>
        <w:tc>
          <w:tcPr>
            <w:tcW w:w="1418" w:type="dxa"/>
            <w:tcBorders>
              <w:top w:val="single" w:sz="4" w:space="0" w:color="A6A6A6" w:themeColor="background1" w:themeShade="A6"/>
              <w:bottom w:val="single" w:sz="4" w:space="0" w:color="A6A6A6" w:themeColor="background1" w:themeShade="A6"/>
            </w:tcBorders>
          </w:tcPr>
          <w:p w14:paraId="49D06234" w14:textId="77777777" w:rsidR="00FA7EBF" w:rsidRPr="007939DD" w:rsidRDefault="00FA7EBF" w:rsidP="002F7C48">
            <w:pPr>
              <w:pStyle w:val="ARfintablebodyright"/>
              <w:spacing w:before="30"/>
              <w:rPr>
                <w:lang w:eastAsia="en-AU"/>
              </w:rPr>
            </w:pPr>
            <w:r w:rsidRPr="00DF0A2E">
              <w:t>–</w:t>
            </w:r>
          </w:p>
        </w:tc>
      </w:tr>
      <w:tr w:rsidR="00FA7EBF" w:rsidRPr="007939DD" w14:paraId="433A156A" w14:textId="77777777" w:rsidTr="007B207C">
        <w:trPr>
          <w:cantSplit/>
        </w:trPr>
        <w:tc>
          <w:tcPr>
            <w:tcW w:w="6803" w:type="dxa"/>
            <w:tcBorders>
              <w:top w:val="single" w:sz="4" w:space="0" w:color="A6A6A6" w:themeColor="background1" w:themeShade="A6"/>
              <w:bottom w:val="single" w:sz="4" w:space="0" w:color="A6A6A6" w:themeColor="background1" w:themeShade="A6"/>
            </w:tcBorders>
          </w:tcPr>
          <w:p w14:paraId="6FE59BD9" w14:textId="77777777" w:rsidR="00FA7EBF" w:rsidRPr="007939DD" w:rsidRDefault="00FA7EBF" w:rsidP="002F7C48">
            <w:pPr>
              <w:pStyle w:val="ARfintablebody"/>
              <w:spacing w:before="30"/>
              <w:rPr>
                <w:lang w:eastAsia="en-AU"/>
              </w:rPr>
            </w:pPr>
            <w:r w:rsidRPr="00DF0A2E">
              <w:t>$550,000 – $559,999</w:t>
            </w:r>
          </w:p>
        </w:tc>
        <w:tc>
          <w:tcPr>
            <w:tcW w:w="1418" w:type="dxa"/>
            <w:tcBorders>
              <w:top w:val="single" w:sz="4" w:space="0" w:color="A6A6A6" w:themeColor="background1" w:themeShade="A6"/>
              <w:bottom w:val="single" w:sz="4" w:space="0" w:color="A6A6A6" w:themeColor="background1" w:themeShade="A6"/>
            </w:tcBorders>
            <w:shd w:val="clear" w:color="auto" w:fill="E7E6E6"/>
          </w:tcPr>
          <w:p w14:paraId="5698D229" w14:textId="77777777" w:rsidR="00FA7EBF" w:rsidRPr="007939DD" w:rsidRDefault="00FA7EBF" w:rsidP="002F7C48">
            <w:pPr>
              <w:pStyle w:val="ARfintablebodyright"/>
              <w:spacing w:before="30"/>
              <w:rPr>
                <w:lang w:eastAsia="en-AU"/>
              </w:rPr>
            </w:pPr>
            <w:r w:rsidRPr="00DF0A2E">
              <w:t>–</w:t>
            </w:r>
          </w:p>
        </w:tc>
        <w:tc>
          <w:tcPr>
            <w:tcW w:w="1418" w:type="dxa"/>
            <w:tcBorders>
              <w:top w:val="single" w:sz="4" w:space="0" w:color="A6A6A6" w:themeColor="background1" w:themeShade="A6"/>
              <w:bottom w:val="single" w:sz="4" w:space="0" w:color="A6A6A6" w:themeColor="background1" w:themeShade="A6"/>
            </w:tcBorders>
          </w:tcPr>
          <w:p w14:paraId="3FC35253" w14:textId="77777777" w:rsidR="00FA7EBF" w:rsidRPr="007939DD" w:rsidRDefault="00FA7EBF" w:rsidP="002F7C48">
            <w:pPr>
              <w:pStyle w:val="ARfintablebodyright"/>
              <w:spacing w:before="30"/>
              <w:rPr>
                <w:lang w:eastAsia="en-AU"/>
              </w:rPr>
            </w:pPr>
            <w:r w:rsidRPr="00DF0A2E">
              <w:t>1</w:t>
            </w:r>
          </w:p>
        </w:tc>
      </w:tr>
      <w:tr w:rsidR="00FA7EBF" w:rsidRPr="007939DD" w14:paraId="2D79CF14" w14:textId="77777777" w:rsidTr="007B207C">
        <w:trPr>
          <w:cantSplit/>
        </w:trPr>
        <w:tc>
          <w:tcPr>
            <w:tcW w:w="6803" w:type="dxa"/>
            <w:tcBorders>
              <w:top w:val="single" w:sz="4" w:space="0" w:color="A6A6A6" w:themeColor="background1" w:themeShade="A6"/>
              <w:bottom w:val="single" w:sz="4" w:space="0" w:color="A6A6A6" w:themeColor="background1" w:themeShade="A6"/>
            </w:tcBorders>
          </w:tcPr>
          <w:p w14:paraId="2654667D" w14:textId="77777777" w:rsidR="00FA7EBF" w:rsidRPr="007939DD" w:rsidRDefault="00FA7EBF" w:rsidP="002F7C48">
            <w:pPr>
              <w:pStyle w:val="ARfintablebody"/>
              <w:spacing w:before="30"/>
              <w:rPr>
                <w:lang w:eastAsia="en-AU"/>
              </w:rPr>
            </w:pPr>
            <w:r w:rsidRPr="00DF0A2E">
              <w:t>$560,000 – $569,999</w:t>
            </w:r>
          </w:p>
        </w:tc>
        <w:tc>
          <w:tcPr>
            <w:tcW w:w="1418" w:type="dxa"/>
            <w:tcBorders>
              <w:top w:val="single" w:sz="4" w:space="0" w:color="A6A6A6" w:themeColor="background1" w:themeShade="A6"/>
              <w:bottom w:val="single" w:sz="4" w:space="0" w:color="A6A6A6" w:themeColor="background1" w:themeShade="A6"/>
            </w:tcBorders>
            <w:shd w:val="clear" w:color="auto" w:fill="E7E6E6"/>
          </w:tcPr>
          <w:p w14:paraId="0EECA13B" w14:textId="77777777" w:rsidR="00FA7EBF" w:rsidRPr="007939DD" w:rsidRDefault="00FA7EBF" w:rsidP="002F7C48">
            <w:pPr>
              <w:pStyle w:val="ARfintablebodyright"/>
              <w:spacing w:before="30"/>
              <w:rPr>
                <w:lang w:eastAsia="en-AU"/>
              </w:rPr>
            </w:pPr>
            <w:r w:rsidRPr="00DF0A2E">
              <w:t>1</w:t>
            </w:r>
          </w:p>
        </w:tc>
        <w:tc>
          <w:tcPr>
            <w:tcW w:w="1418" w:type="dxa"/>
            <w:tcBorders>
              <w:top w:val="single" w:sz="4" w:space="0" w:color="A6A6A6" w:themeColor="background1" w:themeShade="A6"/>
              <w:bottom w:val="single" w:sz="4" w:space="0" w:color="A6A6A6" w:themeColor="background1" w:themeShade="A6"/>
            </w:tcBorders>
          </w:tcPr>
          <w:p w14:paraId="26F2036A" w14:textId="77777777" w:rsidR="00FA7EBF" w:rsidRPr="007939DD" w:rsidRDefault="00FA7EBF" w:rsidP="002F7C48">
            <w:pPr>
              <w:pStyle w:val="ARfintablebodyright"/>
              <w:spacing w:before="30"/>
              <w:rPr>
                <w:lang w:eastAsia="en-AU"/>
              </w:rPr>
            </w:pPr>
            <w:r w:rsidRPr="00DF0A2E">
              <w:t>–</w:t>
            </w:r>
          </w:p>
        </w:tc>
      </w:tr>
      <w:tr w:rsidR="00FA7EBF" w:rsidRPr="007939DD" w14:paraId="3AA2B553" w14:textId="77777777" w:rsidTr="007B207C">
        <w:trPr>
          <w:cantSplit/>
        </w:trPr>
        <w:tc>
          <w:tcPr>
            <w:tcW w:w="6803" w:type="dxa"/>
          </w:tcPr>
          <w:p w14:paraId="3509F660" w14:textId="77777777" w:rsidR="00FA7EBF" w:rsidRPr="007939DD" w:rsidRDefault="00FA7EBF" w:rsidP="002F7C48">
            <w:pPr>
              <w:pStyle w:val="ARfintablebodybold"/>
              <w:spacing w:before="30"/>
              <w:rPr>
                <w:lang w:eastAsia="en-AU"/>
              </w:rPr>
            </w:pPr>
            <w:r w:rsidRPr="00DF0A2E">
              <w:t>Total</w:t>
            </w:r>
          </w:p>
        </w:tc>
        <w:tc>
          <w:tcPr>
            <w:tcW w:w="1418" w:type="dxa"/>
            <w:shd w:val="clear" w:color="auto" w:fill="E7E6E6"/>
          </w:tcPr>
          <w:p w14:paraId="5A3D9EFC" w14:textId="77777777" w:rsidR="00FA7EBF" w:rsidRPr="007939DD" w:rsidRDefault="00FA7EBF" w:rsidP="002F7C48">
            <w:pPr>
              <w:pStyle w:val="ARfintablebodyrightbold"/>
              <w:spacing w:before="30"/>
              <w:rPr>
                <w:lang w:eastAsia="en-AU"/>
              </w:rPr>
            </w:pPr>
            <w:r w:rsidRPr="00DF0A2E">
              <w:t>2</w:t>
            </w:r>
          </w:p>
        </w:tc>
        <w:tc>
          <w:tcPr>
            <w:tcW w:w="1418" w:type="dxa"/>
          </w:tcPr>
          <w:p w14:paraId="090908C9" w14:textId="77777777" w:rsidR="00FA7EBF" w:rsidRPr="007939DD" w:rsidRDefault="00FA7EBF" w:rsidP="002F7C48">
            <w:pPr>
              <w:pStyle w:val="ARfintablebodyrightbold"/>
              <w:spacing w:before="30"/>
              <w:rPr>
                <w:rStyle w:val="Strong"/>
                <w:bCs w:val="0"/>
              </w:rPr>
            </w:pPr>
            <w:r w:rsidRPr="00DF0A2E">
              <w:t>2</w:t>
            </w:r>
          </w:p>
        </w:tc>
      </w:tr>
    </w:tbl>
    <w:p w14:paraId="0F1314BC" w14:textId="77777777" w:rsidR="00FA7EBF" w:rsidRPr="00194D78" w:rsidRDefault="00FA7EBF" w:rsidP="00CA66FD">
      <w:pPr>
        <w:pStyle w:val="Heading4"/>
        <w:rPr>
          <w:lang w:eastAsia="en-AU"/>
        </w:rPr>
      </w:pPr>
      <w:r w:rsidRPr="00194D78">
        <w:rPr>
          <w:lang w:eastAsia="en-AU"/>
        </w:rPr>
        <w:t>9.7 Remuneration of executives</w:t>
      </w:r>
    </w:p>
    <w:p w14:paraId="6A0F3321" w14:textId="77777777" w:rsidR="00FA7EBF" w:rsidRPr="00194D78" w:rsidRDefault="00FA7EBF" w:rsidP="00CA66FD">
      <w:pPr>
        <w:pStyle w:val="ARfinbody"/>
      </w:pPr>
      <w:r w:rsidRPr="00194D78">
        <w:t>The numbers of executive officers, other than ministers and accountable officers, and their total remuneration during the reporting period are shown in the table below. Total annualised employee equivalent provides a measure of full time equivalent executive officers over the reporting period.</w:t>
      </w:r>
    </w:p>
    <w:p w14:paraId="64297A16" w14:textId="77777777" w:rsidR="00FA7EBF" w:rsidRDefault="00FA7EBF" w:rsidP="00CA66FD">
      <w:pPr>
        <w:pStyle w:val="ARfinbody"/>
      </w:pPr>
      <w:r w:rsidRPr="00194D78">
        <w:t>Remuneration comprises employee benefits in all forms of consideration paid, payable or provided by the entity, or on behalf of the entity, in exchange for services rendered, and is disclosed in the following categories.</w:t>
      </w:r>
    </w:p>
    <w:p w14:paraId="263D9CEC" w14:textId="77777777" w:rsidR="00FA7EBF" w:rsidRDefault="00FA7EBF" w:rsidP="00CA66FD">
      <w:pPr>
        <w:pStyle w:val="ARfinbody"/>
      </w:pPr>
      <w:r w:rsidRPr="00B82ED9">
        <w:rPr>
          <w:rStyle w:val="Strong"/>
          <w:bCs w:val="0"/>
        </w:rPr>
        <w:t>Short-term employee benefits</w:t>
      </w:r>
      <w:r w:rsidRPr="00194D78">
        <w:t xml:space="preserve"> include amounts such as wages, salaries, annual leave or sick leave that are usually paid or payable on a regular basis, as well as non-monetary benefits such as allowances and free or subsidised goods or services.</w:t>
      </w:r>
    </w:p>
    <w:p w14:paraId="24B9D809" w14:textId="77777777" w:rsidR="00FA7EBF" w:rsidRDefault="00FA7EBF" w:rsidP="00CA66FD">
      <w:pPr>
        <w:pStyle w:val="ARfinbody"/>
      </w:pPr>
      <w:r w:rsidRPr="00B82ED9">
        <w:rPr>
          <w:rStyle w:val="Strong"/>
          <w:bCs w:val="0"/>
        </w:rPr>
        <w:t>Post-employment benefits</w:t>
      </w:r>
      <w:r w:rsidRPr="00194D78">
        <w:t xml:space="preserve"> include pensions and other retirement benefits paid or payable on a discrete basis when employment has ceased.</w:t>
      </w:r>
    </w:p>
    <w:p w14:paraId="08A1A3FE" w14:textId="77777777" w:rsidR="00FA7EBF" w:rsidRDefault="00FA7EBF" w:rsidP="00CA66FD">
      <w:pPr>
        <w:pStyle w:val="ARfinbody"/>
      </w:pPr>
      <w:r w:rsidRPr="00B82ED9">
        <w:rPr>
          <w:rStyle w:val="Strong"/>
          <w:bCs w:val="0"/>
        </w:rPr>
        <w:t>Other long-term benefits</w:t>
      </w:r>
      <w:r w:rsidRPr="00194D78">
        <w:t xml:space="preserve"> include long service leave, other long-service benefit or deferred compensation.</w:t>
      </w:r>
    </w:p>
    <w:p w14:paraId="3C1D0F21" w14:textId="77777777" w:rsidR="00FA7EBF" w:rsidRDefault="00FA7EBF" w:rsidP="00CA66FD">
      <w:pPr>
        <w:pStyle w:val="ARfinbody"/>
      </w:pPr>
      <w:r w:rsidRPr="00B82ED9">
        <w:rPr>
          <w:rStyle w:val="Strong"/>
          <w:bCs w:val="0"/>
        </w:rPr>
        <w:t>Termination benefits</w:t>
      </w:r>
      <w:r w:rsidRPr="00194D78">
        <w:t xml:space="preserve"> include termination of employment payments, such as severance packages.</w:t>
      </w:r>
    </w:p>
    <w:p w14:paraId="41DA463F" w14:textId="77777777" w:rsidR="00FA7EBF" w:rsidRDefault="00FA7EBF" w:rsidP="00CA66FD">
      <w:pPr>
        <w:pStyle w:val="ARfinbody"/>
      </w:pPr>
      <w:r w:rsidRPr="00B82ED9">
        <w:rPr>
          <w:rStyle w:val="Strong"/>
          <w:bCs w:val="0"/>
        </w:rPr>
        <w:t>Share-based payments</w:t>
      </w:r>
      <w:r w:rsidRPr="00194D78">
        <w:t xml:space="preserve"> are cash or other assets paid or payable as agreed between the entity and the employee, provided specific vesting conditions, if any, are met.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50"/>
        <w:gridCol w:w="1131"/>
        <w:gridCol w:w="1131"/>
        <w:gridCol w:w="27"/>
      </w:tblGrid>
      <w:tr w:rsidR="00FA7EBF" w:rsidRPr="007939DD" w14:paraId="1FC519D1" w14:textId="77777777" w:rsidTr="007B207C">
        <w:trPr>
          <w:cantSplit/>
          <w:tblHeader/>
        </w:trPr>
        <w:tc>
          <w:tcPr>
            <w:tcW w:w="7350" w:type="dxa"/>
            <w:vMerge w:val="restart"/>
            <w:vAlign w:val="bottom"/>
          </w:tcPr>
          <w:p w14:paraId="6DC5AFE2" w14:textId="77777777" w:rsidR="00FA7EBF" w:rsidRPr="007939DD" w:rsidRDefault="00FA7EBF" w:rsidP="007B207C">
            <w:pPr>
              <w:pStyle w:val="ARfintablecolhead"/>
            </w:pPr>
            <w:r w:rsidRPr="007939DD">
              <w:t xml:space="preserve">Remuneration of executive officers </w:t>
            </w:r>
            <w:r w:rsidRPr="007939DD">
              <w:br/>
              <w:t xml:space="preserve">(including </w:t>
            </w:r>
            <w:r>
              <w:t>k</w:t>
            </w:r>
            <w:r w:rsidRPr="007939DD">
              <w:t xml:space="preserve">ey </w:t>
            </w:r>
            <w:r>
              <w:t>m</w:t>
            </w:r>
            <w:r w:rsidRPr="007939DD">
              <w:t xml:space="preserve">anagement </w:t>
            </w:r>
            <w:r>
              <w:t>p</w:t>
            </w:r>
            <w:r w:rsidRPr="007939DD">
              <w:t>ersonnel disclosed in Note 9.8)</w:t>
            </w:r>
          </w:p>
        </w:tc>
        <w:tc>
          <w:tcPr>
            <w:tcW w:w="2289" w:type="dxa"/>
            <w:gridSpan w:val="3"/>
            <w:vAlign w:val="bottom"/>
          </w:tcPr>
          <w:p w14:paraId="53F95880" w14:textId="77777777" w:rsidR="00FA7EBF" w:rsidRPr="007939DD" w:rsidRDefault="00FA7EBF" w:rsidP="007B207C">
            <w:pPr>
              <w:pStyle w:val="ARfintablecolheadcentre"/>
            </w:pPr>
            <w:r w:rsidRPr="007939DD">
              <w:t>Total remuneration</w:t>
            </w:r>
          </w:p>
        </w:tc>
      </w:tr>
      <w:tr w:rsidR="00FA7EBF" w:rsidRPr="007939DD" w14:paraId="4F18F568" w14:textId="77777777" w:rsidTr="007B207C">
        <w:trPr>
          <w:gridAfter w:val="1"/>
          <w:wAfter w:w="27" w:type="dxa"/>
          <w:cantSplit/>
          <w:tblHeader/>
        </w:trPr>
        <w:tc>
          <w:tcPr>
            <w:tcW w:w="7350" w:type="dxa"/>
            <w:vMerge/>
            <w:vAlign w:val="bottom"/>
          </w:tcPr>
          <w:p w14:paraId="677C2F4E" w14:textId="77777777" w:rsidR="00FA7EBF" w:rsidRPr="007939DD" w:rsidRDefault="00FA7EBF" w:rsidP="007B207C">
            <w:pPr>
              <w:autoSpaceDE w:val="0"/>
              <w:autoSpaceDN w:val="0"/>
              <w:adjustRightInd w:val="0"/>
              <w:spacing w:beforeLines="40" w:before="96" w:afterLines="20" w:after="48"/>
              <w:rPr>
                <w:rFonts w:cs="Arial"/>
                <w:b/>
                <w:bCs/>
                <w:color w:val="000000"/>
                <w:sz w:val="16"/>
                <w:szCs w:val="16"/>
              </w:rPr>
            </w:pPr>
          </w:p>
        </w:tc>
        <w:tc>
          <w:tcPr>
            <w:tcW w:w="1131" w:type="dxa"/>
            <w:shd w:val="clear" w:color="auto" w:fill="E7E6E6"/>
            <w:vAlign w:val="bottom"/>
          </w:tcPr>
          <w:p w14:paraId="222FAF03" w14:textId="77777777" w:rsidR="00FA7EBF" w:rsidRPr="007939DD" w:rsidRDefault="00FA7EBF" w:rsidP="007B207C">
            <w:pPr>
              <w:pStyle w:val="ARfintablecolheadright"/>
            </w:pPr>
            <w:r w:rsidRPr="007939DD">
              <w:t>201</w:t>
            </w:r>
            <w:r>
              <w:t>9</w:t>
            </w:r>
          </w:p>
          <w:p w14:paraId="1A59BA3E" w14:textId="77777777" w:rsidR="00FA7EBF" w:rsidRPr="007939DD" w:rsidRDefault="00FA7EBF" w:rsidP="007B207C">
            <w:pPr>
              <w:pStyle w:val="ARfintablecolheadright"/>
            </w:pPr>
            <w:r w:rsidRPr="007939DD">
              <w:t>$M</w:t>
            </w:r>
          </w:p>
        </w:tc>
        <w:tc>
          <w:tcPr>
            <w:tcW w:w="1131" w:type="dxa"/>
            <w:vAlign w:val="bottom"/>
          </w:tcPr>
          <w:p w14:paraId="7F4AA02E" w14:textId="77777777" w:rsidR="00FA7EBF" w:rsidRPr="007939DD" w:rsidRDefault="00FA7EBF" w:rsidP="007B207C">
            <w:pPr>
              <w:pStyle w:val="ARfintablecolheadright"/>
            </w:pPr>
            <w:r w:rsidRPr="007939DD">
              <w:t>201</w:t>
            </w:r>
            <w:r>
              <w:t>8</w:t>
            </w:r>
          </w:p>
          <w:p w14:paraId="6CF005BC" w14:textId="77777777" w:rsidR="00FA7EBF" w:rsidRPr="007939DD" w:rsidRDefault="00FA7EBF" w:rsidP="007B207C">
            <w:pPr>
              <w:pStyle w:val="ARfintablecolheadright"/>
            </w:pPr>
            <w:r w:rsidRPr="007939DD">
              <w:t>$M</w:t>
            </w:r>
          </w:p>
        </w:tc>
      </w:tr>
      <w:tr w:rsidR="00FA7EBF" w:rsidRPr="007939DD" w14:paraId="692B388C" w14:textId="77777777" w:rsidTr="007B207C">
        <w:trPr>
          <w:gridAfter w:val="1"/>
          <w:wAfter w:w="27" w:type="dxa"/>
          <w:cantSplit/>
        </w:trPr>
        <w:tc>
          <w:tcPr>
            <w:tcW w:w="7350" w:type="dxa"/>
            <w:tcBorders>
              <w:bottom w:val="single" w:sz="4" w:space="0" w:color="A6A6A6" w:themeColor="background1" w:themeShade="A6"/>
            </w:tcBorders>
          </w:tcPr>
          <w:p w14:paraId="0B8B7738" w14:textId="77777777" w:rsidR="00FA7EBF" w:rsidRPr="007939DD" w:rsidRDefault="00FA7EBF" w:rsidP="007B207C">
            <w:pPr>
              <w:pStyle w:val="ARfintablebody"/>
              <w:rPr>
                <w:lang w:eastAsia="en-AU"/>
              </w:rPr>
            </w:pPr>
            <w:r w:rsidRPr="00F535BD">
              <w:t>Short-term employee benefits</w:t>
            </w:r>
          </w:p>
        </w:tc>
        <w:tc>
          <w:tcPr>
            <w:tcW w:w="1131" w:type="dxa"/>
            <w:tcBorders>
              <w:bottom w:val="single" w:sz="4" w:space="0" w:color="A6A6A6" w:themeColor="background1" w:themeShade="A6"/>
            </w:tcBorders>
            <w:shd w:val="clear" w:color="auto" w:fill="E7E6E6"/>
          </w:tcPr>
          <w:p w14:paraId="00694A0F" w14:textId="77777777" w:rsidR="00FA7EBF" w:rsidRPr="007939DD" w:rsidRDefault="00FA7EBF" w:rsidP="007B207C">
            <w:pPr>
              <w:pStyle w:val="ARfintablebodyright"/>
              <w:rPr>
                <w:lang w:eastAsia="en-AU"/>
              </w:rPr>
            </w:pPr>
            <w:r w:rsidRPr="00F535BD">
              <w:t>42.3</w:t>
            </w:r>
          </w:p>
        </w:tc>
        <w:tc>
          <w:tcPr>
            <w:tcW w:w="1131" w:type="dxa"/>
            <w:tcBorders>
              <w:bottom w:val="single" w:sz="4" w:space="0" w:color="A6A6A6" w:themeColor="background1" w:themeShade="A6"/>
            </w:tcBorders>
          </w:tcPr>
          <w:p w14:paraId="624AC317" w14:textId="77777777" w:rsidR="00FA7EBF" w:rsidRPr="007939DD" w:rsidRDefault="00FA7EBF" w:rsidP="007B207C">
            <w:pPr>
              <w:pStyle w:val="ARfintablebodyright"/>
              <w:rPr>
                <w:lang w:eastAsia="en-AU"/>
              </w:rPr>
            </w:pPr>
            <w:r w:rsidRPr="00F535BD">
              <w:t>34.9</w:t>
            </w:r>
          </w:p>
        </w:tc>
      </w:tr>
      <w:tr w:rsidR="00FA7EBF" w:rsidRPr="007939DD" w14:paraId="6141139D" w14:textId="77777777" w:rsidTr="007B207C">
        <w:trPr>
          <w:gridAfter w:val="1"/>
          <w:wAfter w:w="27" w:type="dxa"/>
          <w:cantSplit/>
        </w:trPr>
        <w:tc>
          <w:tcPr>
            <w:tcW w:w="7350" w:type="dxa"/>
            <w:tcBorders>
              <w:top w:val="single" w:sz="4" w:space="0" w:color="A6A6A6" w:themeColor="background1" w:themeShade="A6"/>
              <w:bottom w:val="single" w:sz="4" w:space="0" w:color="A6A6A6" w:themeColor="background1" w:themeShade="A6"/>
            </w:tcBorders>
          </w:tcPr>
          <w:p w14:paraId="3A25505D" w14:textId="77777777" w:rsidR="00FA7EBF" w:rsidRPr="007939DD" w:rsidRDefault="00FA7EBF" w:rsidP="007B207C">
            <w:pPr>
              <w:pStyle w:val="ARfintablebody"/>
              <w:rPr>
                <w:lang w:eastAsia="en-AU"/>
              </w:rPr>
            </w:pPr>
            <w:r w:rsidRPr="00F535BD">
              <w:t>Post-employment benefits</w:t>
            </w:r>
          </w:p>
        </w:tc>
        <w:tc>
          <w:tcPr>
            <w:tcW w:w="1131" w:type="dxa"/>
            <w:tcBorders>
              <w:top w:val="single" w:sz="4" w:space="0" w:color="A6A6A6" w:themeColor="background1" w:themeShade="A6"/>
              <w:bottom w:val="single" w:sz="4" w:space="0" w:color="A6A6A6" w:themeColor="background1" w:themeShade="A6"/>
            </w:tcBorders>
            <w:shd w:val="clear" w:color="auto" w:fill="E7E6E6"/>
          </w:tcPr>
          <w:p w14:paraId="4488E324" w14:textId="77777777" w:rsidR="00FA7EBF" w:rsidRPr="007939DD" w:rsidRDefault="00FA7EBF" w:rsidP="007B207C">
            <w:pPr>
              <w:pStyle w:val="ARfintablebodyright"/>
              <w:rPr>
                <w:lang w:eastAsia="en-AU"/>
              </w:rPr>
            </w:pPr>
            <w:r w:rsidRPr="00F535BD">
              <w:t>3.7</w:t>
            </w:r>
          </w:p>
        </w:tc>
        <w:tc>
          <w:tcPr>
            <w:tcW w:w="1131" w:type="dxa"/>
            <w:tcBorders>
              <w:top w:val="single" w:sz="4" w:space="0" w:color="A6A6A6" w:themeColor="background1" w:themeShade="A6"/>
              <w:bottom w:val="single" w:sz="4" w:space="0" w:color="A6A6A6" w:themeColor="background1" w:themeShade="A6"/>
            </w:tcBorders>
          </w:tcPr>
          <w:p w14:paraId="527EB05F" w14:textId="77777777" w:rsidR="00FA7EBF" w:rsidRPr="007939DD" w:rsidRDefault="00FA7EBF" w:rsidP="007B207C">
            <w:pPr>
              <w:pStyle w:val="ARfintablebodyright"/>
              <w:rPr>
                <w:lang w:eastAsia="en-AU"/>
              </w:rPr>
            </w:pPr>
            <w:r w:rsidRPr="00F535BD">
              <w:t>3.1</w:t>
            </w:r>
          </w:p>
        </w:tc>
      </w:tr>
      <w:tr w:rsidR="00FA7EBF" w:rsidRPr="007939DD" w14:paraId="2D6D9C90" w14:textId="77777777" w:rsidTr="007B207C">
        <w:trPr>
          <w:gridAfter w:val="1"/>
          <w:wAfter w:w="27" w:type="dxa"/>
          <w:cantSplit/>
        </w:trPr>
        <w:tc>
          <w:tcPr>
            <w:tcW w:w="7350" w:type="dxa"/>
            <w:tcBorders>
              <w:top w:val="single" w:sz="4" w:space="0" w:color="A6A6A6" w:themeColor="background1" w:themeShade="A6"/>
              <w:bottom w:val="single" w:sz="4" w:space="0" w:color="A6A6A6" w:themeColor="background1" w:themeShade="A6"/>
            </w:tcBorders>
          </w:tcPr>
          <w:p w14:paraId="189A457B" w14:textId="77777777" w:rsidR="00FA7EBF" w:rsidRPr="007939DD" w:rsidRDefault="00FA7EBF" w:rsidP="007B207C">
            <w:pPr>
              <w:pStyle w:val="ARfintablebody"/>
              <w:rPr>
                <w:lang w:eastAsia="en-AU"/>
              </w:rPr>
            </w:pPr>
            <w:r w:rsidRPr="00F535BD">
              <w:t>Other long-term benefits</w:t>
            </w:r>
          </w:p>
        </w:tc>
        <w:tc>
          <w:tcPr>
            <w:tcW w:w="1131" w:type="dxa"/>
            <w:tcBorders>
              <w:top w:val="single" w:sz="4" w:space="0" w:color="A6A6A6" w:themeColor="background1" w:themeShade="A6"/>
              <w:bottom w:val="single" w:sz="4" w:space="0" w:color="A6A6A6" w:themeColor="background1" w:themeShade="A6"/>
            </w:tcBorders>
            <w:shd w:val="clear" w:color="auto" w:fill="E7E6E6"/>
          </w:tcPr>
          <w:p w14:paraId="7168322F" w14:textId="77777777" w:rsidR="00FA7EBF" w:rsidRPr="007939DD" w:rsidRDefault="00FA7EBF" w:rsidP="007B207C">
            <w:pPr>
              <w:pStyle w:val="ARfintablebodyright"/>
              <w:rPr>
                <w:lang w:eastAsia="en-AU"/>
              </w:rPr>
            </w:pPr>
            <w:r w:rsidRPr="00F535BD">
              <w:t>1.0</w:t>
            </w:r>
          </w:p>
        </w:tc>
        <w:tc>
          <w:tcPr>
            <w:tcW w:w="1131" w:type="dxa"/>
            <w:tcBorders>
              <w:top w:val="single" w:sz="4" w:space="0" w:color="A6A6A6" w:themeColor="background1" w:themeShade="A6"/>
              <w:bottom w:val="single" w:sz="4" w:space="0" w:color="A6A6A6" w:themeColor="background1" w:themeShade="A6"/>
            </w:tcBorders>
          </w:tcPr>
          <w:p w14:paraId="455A1F3F" w14:textId="77777777" w:rsidR="00FA7EBF" w:rsidRPr="007939DD" w:rsidRDefault="00FA7EBF" w:rsidP="007B207C">
            <w:pPr>
              <w:pStyle w:val="ARfintablebodyright"/>
              <w:rPr>
                <w:lang w:eastAsia="en-AU"/>
              </w:rPr>
            </w:pPr>
            <w:r w:rsidRPr="00F535BD">
              <w:t>0.9</w:t>
            </w:r>
          </w:p>
        </w:tc>
      </w:tr>
      <w:tr w:rsidR="00FA7EBF" w:rsidRPr="007939DD" w14:paraId="6F716C9C" w14:textId="77777777" w:rsidTr="007B207C">
        <w:trPr>
          <w:gridAfter w:val="1"/>
          <w:wAfter w:w="27" w:type="dxa"/>
          <w:cantSplit/>
        </w:trPr>
        <w:tc>
          <w:tcPr>
            <w:tcW w:w="7350" w:type="dxa"/>
            <w:tcBorders>
              <w:top w:val="single" w:sz="4" w:space="0" w:color="A6A6A6" w:themeColor="background1" w:themeShade="A6"/>
              <w:bottom w:val="single" w:sz="4" w:space="0" w:color="A6A6A6" w:themeColor="background1" w:themeShade="A6"/>
            </w:tcBorders>
          </w:tcPr>
          <w:p w14:paraId="611C10A2" w14:textId="77777777" w:rsidR="00FA7EBF" w:rsidRPr="007939DD" w:rsidRDefault="00FA7EBF" w:rsidP="007B207C">
            <w:pPr>
              <w:pStyle w:val="ARfintablebody"/>
              <w:rPr>
                <w:lang w:eastAsia="en-AU"/>
              </w:rPr>
            </w:pPr>
            <w:r w:rsidRPr="00F535BD">
              <w:t>Termination benefits</w:t>
            </w:r>
          </w:p>
        </w:tc>
        <w:tc>
          <w:tcPr>
            <w:tcW w:w="1131" w:type="dxa"/>
            <w:tcBorders>
              <w:top w:val="single" w:sz="4" w:space="0" w:color="A6A6A6" w:themeColor="background1" w:themeShade="A6"/>
              <w:bottom w:val="single" w:sz="4" w:space="0" w:color="A6A6A6" w:themeColor="background1" w:themeShade="A6"/>
            </w:tcBorders>
            <w:shd w:val="clear" w:color="auto" w:fill="E7E6E6"/>
          </w:tcPr>
          <w:p w14:paraId="0CB70C45" w14:textId="77777777" w:rsidR="00FA7EBF" w:rsidRPr="007939DD" w:rsidRDefault="00FA7EBF" w:rsidP="007B207C">
            <w:pPr>
              <w:pStyle w:val="ARfintablebodyright"/>
              <w:rPr>
                <w:lang w:eastAsia="en-AU"/>
              </w:rPr>
            </w:pPr>
            <w:r w:rsidRPr="00F535BD">
              <w:t>0.2</w:t>
            </w:r>
          </w:p>
        </w:tc>
        <w:tc>
          <w:tcPr>
            <w:tcW w:w="1131" w:type="dxa"/>
            <w:tcBorders>
              <w:top w:val="single" w:sz="4" w:space="0" w:color="A6A6A6" w:themeColor="background1" w:themeShade="A6"/>
              <w:bottom w:val="single" w:sz="4" w:space="0" w:color="A6A6A6" w:themeColor="background1" w:themeShade="A6"/>
            </w:tcBorders>
          </w:tcPr>
          <w:p w14:paraId="655E5861" w14:textId="77777777" w:rsidR="00FA7EBF" w:rsidRPr="007939DD" w:rsidRDefault="00FA7EBF" w:rsidP="007B207C">
            <w:pPr>
              <w:pStyle w:val="ARfintablebodyright"/>
              <w:rPr>
                <w:lang w:eastAsia="en-AU"/>
              </w:rPr>
            </w:pPr>
            <w:r w:rsidRPr="00F535BD">
              <w:t>0.2</w:t>
            </w:r>
          </w:p>
        </w:tc>
      </w:tr>
      <w:tr w:rsidR="00FA7EBF" w:rsidRPr="007939DD" w14:paraId="130C723F" w14:textId="77777777" w:rsidTr="007B207C">
        <w:trPr>
          <w:gridAfter w:val="1"/>
          <w:wAfter w:w="27" w:type="dxa"/>
          <w:cantSplit/>
        </w:trPr>
        <w:tc>
          <w:tcPr>
            <w:tcW w:w="7350" w:type="dxa"/>
            <w:tcBorders>
              <w:top w:val="single" w:sz="4" w:space="0" w:color="A6A6A6" w:themeColor="background1" w:themeShade="A6"/>
            </w:tcBorders>
          </w:tcPr>
          <w:p w14:paraId="6D6081AC" w14:textId="77777777" w:rsidR="00FA7EBF" w:rsidRPr="007939DD" w:rsidRDefault="00FA7EBF" w:rsidP="007B207C">
            <w:pPr>
              <w:pStyle w:val="ARfintablebody"/>
              <w:rPr>
                <w:lang w:eastAsia="en-AU"/>
              </w:rPr>
            </w:pPr>
            <w:r w:rsidRPr="00F535BD">
              <w:t>Share-based payments</w:t>
            </w:r>
          </w:p>
        </w:tc>
        <w:tc>
          <w:tcPr>
            <w:tcW w:w="1131" w:type="dxa"/>
            <w:tcBorders>
              <w:top w:val="single" w:sz="4" w:space="0" w:color="A6A6A6" w:themeColor="background1" w:themeShade="A6"/>
            </w:tcBorders>
            <w:shd w:val="clear" w:color="auto" w:fill="E7E6E6"/>
          </w:tcPr>
          <w:p w14:paraId="2A5B9DFE" w14:textId="77777777" w:rsidR="00FA7EBF" w:rsidRPr="007939DD" w:rsidRDefault="00FA7EBF" w:rsidP="007B207C">
            <w:pPr>
              <w:pStyle w:val="ARfintablebodyright"/>
              <w:rPr>
                <w:lang w:eastAsia="en-AU"/>
              </w:rPr>
            </w:pPr>
            <w:r w:rsidRPr="00F535BD">
              <w:t>–</w:t>
            </w:r>
          </w:p>
        </w:tc>
        <w:tc>
          <w:tcPr>
            <w:tcW w:w="1131" w:type="dxa"/>
            <w:tcBorders>
              <w:top w:val="single" w:sz="4" w:space="0" w:color="A6A6A6" w:themeColor="background1" w:themeShade="A6"/>
            </w:tcBorders>
          </w:tcPr>
          <w:p w14:paraId="17C8F284" w14:textId="77777777" w:rsidR="00FA7EBF" w:rsidRPr="007939DD" w:rsidRDefault="00FA7EBF" w:rsidP="007B207C">
            <w:pPr>
              <w:pStyle w:val="ARfintablebodyright"/>
              <w:rPr>
                <w:lang w:eastAsia="en-AU"/>
              </w:rPr>
            </w:pPr>
            <w:r w:rsidRPr="00F535BD">
              <w:t>–</w:t>
            </w:r>
          </w:p>
        </w:tc>
      </w:tr>
      <w:tr w:rsidR="00FA7EBF" w:rsidRPr="007939DD" w14:paraId="4C723BAD" w14:textId="77777777" w:rsidTr="007B207C">
        <w:trPr>
          <w:gridAfter w:val="1"/>
          <w:wAfter w:w="27" w:type="dxa"/>
          <w:cantSplit/>
        </w:trPr>
        <w:tc>
          <w:tcPr>
            <w:tcW w:w="7350" w:type="dxa"/>
          </w:tcPr>
          <w:p w14:paraId="5F878884" w14:textId="77777777" w:rsidR="00FA7EBF" w:rsidRPr="007939DD" w:rsidRDefault="00FA7EBF" w:rsidP="007B207C">
            <w:pPr>
              <w:pStyle w:val="ARfintablebodybold"/>
              <w:rPr>
                <w:lang w:eastAsia="en-AU"/>
              </w:rPr>
            </w:pPr>
            <w:r w:rsidRPr="00F535BD">
              <w:t>Total remuneration</w:t>
            </w:r>
          </w:p>
        </w:tc>
        <w:tc>
          <w:tcPr>
            <w:tcW w:w="1131" w:type="dxa"/>
            <w:shd w:val="clear" w:color="auto" w:fill="E7E6E6"/>
          </w:tcPr>
          <w:p w14:paraId="6D8D218B" w14:textId="77777777" w:rsidR="00FA7EBF" w:rsidRPr="007939DD" w:rsidRDefault="00FA7EBF" w:rsidP="007B207C">
            <w:pPr>
              <w:pStyle w:val="ARfintablebodyrightbold"/>
              <w:rPr>
                <w:lang w:eastAsia="en-AU"/>
              </w:rPr>
            </w:pPr>
            <w:r w:rsidRPr="00F535BD">
              <w:t>47.2</w:t>
            </w:r>
          </w:p>
        </w:tc>
        <w:tc>
          <w:tcPr>
            <w:tcW w:w="1131" w:type="dxa"/>
          </w:tcPr>
          <w:p w14:paraId="5A4CB96C" w14:textId="77777777" w:rsidR="00FA7EBF" w:rsidRPr="007939DD" w:rsidRDefault="00FA7EBF" w:rsidP="007B207C">
            <w:pPr>
              <w:pStyle w:val="ARfintablebodyrightbold"/>
              <w:rPr>
                <w:rStyle w:val="Strong"/>
                <w:bCs w:val="0"/>
              </w:rPr>
            </w:pPr>
            <w:r w:rsidRPr="00F535BD">
              <w:t>39.1</w:t>
            </w:r>
          </w:p>
        </w:tc>
      </w:tr>
      <w:tr w:rsidR="00FA7EBF" w:rsidRPr="007939DD" w14:paraId="4057B567" w14:textId="77777777" w:rsidTr="007B207C">
        <w:trPr>
          <w:gridAfter w:val="1"/>
          <w:wAfter w:w="27" w:type="dxa"/>
          <w:cantSplit/>
        </w:trPr>
        <w:tc>
          <w:tcPr>
            <w:tcW w:w="7350" w:type="dxa"/>
          </w:tcPr>
          <w:p w14:paraId="556834B6" w14:textId="77777777" w:rsidR="00FA7EBF" w:rsidRPr="007939DD" w:rsidRDefault="00FA7EBF" w:rsidP="007B207C">
            <w:pPr>
              <w:pStyle w:val="ARfintablebodybold"/>
              <w:rPr>
                <w:lang w:eastAsia="en-AU"/>
              </w:rPr>
            </w:pPr>
            <w:r w:rsidRPr="00F535BD">
              <w:t xml:space="preserve">Total number of executives </w:t>
            </w:r>
            <w:r w:rsidRPr="00CF08AE">
              <w:rPr>
                <w:rStyle w:val="Superscript"/>
              </w:rPr>
              <w:t>(i)</w:t>
            </w:r>
          </w:p>
        </w:tc>
        <w:tc>
          <w:tcPr>
            <w:tcW w:w="1131" w:type="dxa"/>
            <w:shd w:val="clear" w:color="auto" w:fill="E7E6E6"/>
          </w:tcPr>
          <w:p w14:paraId="19BB144B" w14:textId="77777777" w:rsidR="00FA7EBF" w:rsidRPr="007939DD" w:rsidRDefault="00FA7EBF" w:rsidP="007B207C">
            <w:pPr>
              <w:pStyle w:val="ARfintablebodyrightbold"/>
              <w:rPr>
                <w:lang w:eastAsia="en-AU"/>
              </w:rPr>
            </w:pPr>
            <w:r w:rsidRPr="00F535BD">
              <w:t>252</w:t>
            </w:r>
          </w:p>
        </w:tc>
        <w:tc>
          <w:tcPr>
            <w:tcW w:w="1131" w:type="dxa"/>
          </w:tcPr>
          <w:p w14:paraId="3906437C" w14:textId="77777777" w:rsidR="00FA7EBF" w:rsidRPr="007939DD" w:rsidRDefault="00FA7EBF" w:rsidP="007B207C">
            <w:pPr>
              <w:pStyle w:val="ARfintablebodyrightbold"/>
              <w:rPr>
                <w:rStyle w:val="Strong"/>
                <w:bCs w:val="0"/>
              </w:rPr>
            </w:pPr>
            <w:r w:rsidRPr="00F535BD">
              <w:t>224</w:t>
            </w:r>
          </w:p>
        </w:tc>
      </w:tr>
      <w:tr w:rsidR="00FA7EBF" w:rsidRPr="007939DD" w14:paraId="3C44FCCA" w14:textId="77777777" w:rsidTr="007B207C">
        <w:trPr>
          <w:gridAfter w:val="1"/>
          <w:wAfter w:w="27" w:type="dxa"/>
          <w:cantSplit/>
        </w:trPr>
        <w:tc>
          <w:tcPr>
            <w:tcW w:w="7350" w:type="dxa"/>
          </w:tcPr>
          <w:p w14:paraId="7FD70396" w14:textId="77777777" w:rsidR="00FA7EBF" w:rsidRPr="007939DD" w:rsidRDefault="00FA7EBF" w:rsidP="007B207C">
            <w:pPr>
              <w:pStyle w:val="ARfintablebodybold"/>
              <w:rPr>
                <w:lang w:eastAsia="en-AU"/>
              </w:rPr>
            </w:pPr>
            <w:r w:rsidRPr="00F535BD">
              <w:t xml:space="preserve">Total annualised employee equivalent (AEE) </w:t>
            </w:r>
            <w:r w:rsidRPr="00CF08AE">
              <w:rPr>
                <w:rStyle w:val="Superscript"/>
              </w:rPr>
              <w:t>(ii)</w:t>
            </w:r>
          </w:p>
        </w:tc>
        <w:tc>
          <w:tcPr>
            <w:tcW w:w="1131" w:type="dxa"/>
            <w:shd w:val="clear" w:color="auto" w:fill="E7E6E6"/>
          </w:tcPr>
          <w:p w14:paraId="76B18328" w14:textId="77777777" w:rsidR="00FA7EBF" w:rsidRPr="007939DD" w:rsidRDefault="00FA7EBF" w:rsidP="007B207C">
            <w:pPr>
              <w:pStyle w:val="ARfintablebodyrightbold"/>
              <w:rPr>
                <w:lang w:eastAsia="en-AU"/>
              </w:rPr>
            </w:pPr>
            <w:r w:rsidRPr="00F535BD">
              <w:t>207.6</w:t>
            </w:r>
          </w:p>
        </w:tc>
        <w:tc>
          <w:tcPr>
            <w:tcW w:w="1131" w:type="dxa"/>
          </w:tcPr>
          <w:p w14:paraId="13018481" w14:textId="77777777" w:rsidR="00FA7EBF" w:rsidRPr="007939DD" w:rsidRDefault="00FA7EBF" w:rsidP="007B207C">
            <w:pPr>
              <w:pStyle w:val="ARfintablebodyrightbold"/>
              <w:rPr>
                <w:rStyle w:val="Strong"/>
                <w:bCs w:val="0"/>
              </w:rPr>
            </w:pPr>
            <w:r w:rsidRPr="00F535BD">
              <w:t>170.4</w:t>
            </w:r>
          </w:p>
        </w:tc>
      </w:tr>
    </w:tbl>
    <w:p w14:paraId="3DA2A680" w14:textId="77777777" w:rsidR="00FA7EBF" w:rsidRPr="00194D78" w:rsidRDefault="00FA7EBF" w:rsidP="00CA66FD">
      <w:pPr>
        <w:pStyle w:val="ARfintablefootnote"/>
        <w:rPr>
          <w:lang w:eastAsia="en-AU"/>
        </w:rPr>
      </w:pPr>
      <w:r w:rsidRPr="00194D78">
        <w:rPr>
          <w:lang w:eastAsia="en-AU"/>
        </w:rPr>
        <w:t>Notes:</w:t>
      </w:r>
    </w:p>
    <w:p w14:paraId="23DA6387" w14:textId="77777777" w:rsidR="00FA7EBF" w:rsidRPr="00194D78" w:rsidRDefault="00FA7EBF" w:rsidP="00CA66FD">
      <w:pPr>
        <w:pStyle w:val="ARfintablefootnoteindent"/>
      </w:pPr>
      <w:r w:rsidRPr="00194D78">
        <w:t>(i)</w:t>
      </w:r>
      <w:r>
        <w:tab/>
      </w:r>
      <w:r w:rsidRPr="00194D78">
        <w:t>The total number of executive officers includes persons who meet the definition of Key Management Personnel (KMP) of the entity unde</w:t>
      </w:r>
      <w:r w:rsidRPr="007B0BE4">
        <w:t xml:space="preserve">r AASB 124 </w:t>
      </w:r>
      <w:r w:rsidRPr="00F524E9">
        <w:rPr>
          <w:rStyle w:val="Emphasis"/>
          <w:iCs w:val="0"/>
        </w:rPr>
        <w:t>Related Party Disclosures</w:t>
      </w:r>
      <w:r w:rsidRPr="00194D78">
        <w:t xml:space="preserve"> and are also reported within the related parties note disclosure (Note 9.8).</w:t>
      </w:r>
    </w:p>
    <w:p w14:paraId="0C290285" w14:textId="77777777" w:rsidR="00FA7EBF" w:rsidRPr="00194D78" w:rsidRDefault="00FA7EBF" w:rsidP="00CA66FD">
      <w:pPr>
        <w:pStyle w:val="ARfintablefootnoteindent"/>
      </w:pPr>
      <w:r w:rsidRPr="00194D78">
        <w:t>(ii)</w:t>
      </w:r>
      <w:r>
        <w:tab/>
      </w:r>
      <w:r w:rsidRPr="00194D78">
        <w:t>Annualised employee equivalent is based on the time fraction worked over the reporting period.</w:t>
      </w:r>
    </w:p>
    <w:p w14:paraId="1C525EF1" w14:textId="77777777" w:rsidR="00FA7EBF" w:rsidRPr="00194D78" w:rsidRDefault="00FA7EBF" w:rsidP="00CA66FD">
      <w:pPr>
        <w:pStyle w:val="Heading4"/>
        <w:rPr>
          <w:lang w:eastAsia="en-AU"/>
        </w:rPr>
      </w:pPr>
      <w:r w:rsidRPr="00194D78">
        <w:rPr>
          <w:lang w:eastAsia="en-AU"/>
        </w:rPr>
        <w:t>9.8 Related parties</w:t>
      </w:r>
    </w:p>
    <w:p w14:paraId="1F1106FD" w14:textId="77777777" w:rsidR="00FA7EBF" w:rsidRDefault="00FA7EBF" w:rsidP="00CA66FD">
      <w:pPr>
        <w:pStyle w:val="ARfinbody"/>
      </w:pPr>
      <w:r w:rsidRPr="00194D78">
        <w:t>The department is a wholly owned and controlled entity of the State of Victoria.</w:t>
      </w:r>
    </w:p>
    <w:p w14:paraId="6B45DDAB" w14:textId="77777777" w:rsidR="00FA7EBF" w:rsidRPr="00194D78" w:rsidRDefault="00FA7EBF" w:rsidP="00CA66FD">
      <w:pPr>
        <w:pStyle w:val="ARfinbody"/>
      </w:pPr>
      <w:r w:rsidRPr="00194D78">
        <w:t>Three Administrative Offices have been consolidated into the department</w:t>
      </w:r>
      <w:r>
        <w:t>’</w:t>
      </w:r>
      <w:r w:rsidRPr="00194D78">
        <w:t xml:space="preserve">s financial statements under </w:t>
      </w:r>
      <w:r>
        <w:t>s.</w:t>
      </w:r>
      <w:r w:rsidRPr="00194D78">
        <w:t xml:space="preserve"> 45(4) of the </w:t>
      </w:r>
      <w:r w:rsidRPr="00F524E9">
        <w:rPr>
          <w:rStyle w:val="Emphasis"/>
          <w:iCs w:val="0"/>
        </w:rPr>
        <w:t>Financial Management Act 1994</w:t>
      </w:r>
      <w:r w:rsidRPr="00194D78">
        <w:t xml:space="preserve"> (FMA):</w:t>
      </w:r>
    </w:p>
    <w:p w14:paraId="7255C714" w14:textId="77777777" w:rsidR="00FA7EBF" w:rsidRPr="00194D78" w:rsidRDefault="00FA7EBF" w:rsidP="00CA66FD">
      <w:pPr>
        <w:pStyle w:val="ARfinbullet1"/>
        <w:numPr>
          <w:ilvl w:val="0"/>
          <w:numId w:val="4"/>
        </w:numPr>
      </w:pPr>
      <w:r w:rsidRPr="00194D78">
        <w:t>Victorian Agency for Health Information</w:t>
      </w:r>
    </w:p>
    <w:p w14:paraId="5FC34213" w14:textId="77777777" w:rsidR="00FA7EBF" w:rsidRPr="00194D78" w:rsidRDefault="00FA7EBF" w:rsidP="00CA66FD">
      <w:pPr>
        <w:pStyle w:val="ARfinbullet1"/>
        <w:numPr>
          <w:ilvl w:val="0"/>
          <w:numId w:val="4"/>
        </w:numPr>
      </w:pPr>
      <w:r w:rsidRPr="00194D78">
        <w:t>Safer Care Victoria</w:t>
      </w:r>
    </w:p>
    <w:p w14:paraId="60CABDD3" w14:textId="77777777" w:rsidR="00FA7EBF" w:rsidRPr="00194D78" w:rsidRDefault="00FA7EBF" w:rsidP="00CA66FD">
      <w:pPr>
        <w:pStyle w:val="ARfinbullet1"/>
        <w:numPr>
          <w:ilvl w:val="0"/>
          <w:numId w:val="4"/>
        </w:numPr>
      </w:pPr>
      <w:r w:rsidRPr="00194D78">
        <w:t>Family Safety Victoria.</w:t>
      </w:r>
    </w:p>
    <w:p w14:paraId="5CE12935" w14:textId="77777777" w:rsidR="00FA7EBF" w:rsidRPr="00194D78" w:rsidRDefault="00FA7EBF" w:rsidP="00CA66FD">
      <w:pPr>
        <w:pStyle w:val="ARfinbody"/>
      </w:pPr>
      <w:r w:rsidRPr="00194D78">
        <w:t>The following entities have been consolidated into the department</w:t>
      </w:r>
      <w:r>
        <w:t>’</w:t>
      </w:r>
      <w:r w:rsidRPr="00194D78">
        <w:t xml:space="preserve">s financial statements pursuant to the determination made by the Assistant Treasurer under </w:t>
      </w:r>
      <w:r>
        <w:t>s.</w:t>
      </w:r>
      <w:r w:rsidRPr="00194D78">
        <w:t xml:space="preserve"> 53(1)(b) of the FMA:</w:t>
      </w:r>
    </w:p>
    <w:p w14:paraId="44F6C320" w14:textId="77777777" w:rsidR="00FA7EBF" w:rsidRPr="00194D78" w:rsidRDefault="00FA7EBF" w:rsidP="00CA66FD">
      <w:pPr>
        <w:pStyle w:val="ARfinbullet1"/>
        <w:numPr>
          <w:ilvl w:val="0"/>
          <w:numId w:val="4"/>
        </w:numPr>
      </w:pPr>
      <w:r w:rsidRPr="00194D78">
        <w:t>Mental Health Tribunal</w:t>
      </w:r>
    </w:p>
    <w:p w14:paraId="49A8798B" w14:textId="77777777" w:rsidR="00FA7EBF" w:rsidRPr="00194D78" w:rsidRDefault="00FA7EBF" w:rsidP="00CA66FD">
      <w:pPr>
        <w:pStyle w:val="ARfinbullet1"/>
        <w:numPr>
          <w:ilvl w:val="0"/>
          <w:numId w:val="4"/>
        </w:numPr>
      </w:pPr>
      <w:r w:rsidRPr="00194D78">
        <w:t>Commission for Children and Young People</w:t>
      </w:r>
    </w:p>
    <w:p w14:paraId="5F4B97F2" w14:textId="77777777" w:rsidR="00FA7EBF" w:rsidRPr="00194D78" w:rsidRDefault="00FA7EBF" w:rsidP="00CA66FD">
      <w:pPr>
        <w:pStyle w:val="ARfinbullet1"/>
        <w:numPr>
          <w:ilvl w:val="0"/>
          <w:numId w:val="4"/>
        </w:numPr>
      </w:pPr>
      <w:r w:rsidRPr="00194D78">
        <w:t>the Director of Housing</w:t>
      </w:r>
    </w:p>
    <w:p w14:paraId="7210FF92" w14:textId="77777777" w:rsidR="00FA7EBF" w:rsidRPr="00194D78" w:rsidRDefault="00FA7EBF" w:rsidP="00CA66FD">
      <w:pPr>
        <w:pStyle w:val="ARfinbullet1"/>
        <w:numPr>
          <w:ilvl w:val="0"/>
          <w:numId w:val="4"/>
        </w:numPr>
      </w:pPr>
      <w:r w:rsidRPr="00194D78">
        <w:t>Respect Victoria.</w:t>
      </w:r>
    </w:p>
    <w:p w14:paraId="11296A05" w14:textId="77777777" w:rsidR="00FA7EBF" w:rsidRPr="00194D78" w:rsidRDefault="00FA7EBF" w:rsidP="00CA66FD">
      <w:pPr>
        <w:pStyle w:val="ARfinbody"/>
      </w:pPr>
      <w:r w:rsidRPr="00194D78">
        <w:t>Related parties of the department, Victorian Agency for Health Information, Safer Care Victoria, Family Safety Victoria, Mental Health Tribunal, the Director of Housing and Commission for Children and Young People and Respect Victoria include:</w:t>
      </w:r>
    </w:p>
    <w:p w14:paraId="7CD4FD88" w14:textId="77777777" w:rsidR="00FA7EBF" w:rsidRPr="00194D78" w:rsidRDefault="00FA7EBF" w:rsidP="00CA66FD">
      <w:pPr>
        <w:pStyle w:val="ARfinbullet1"/>
        <w:numPr>
          <w:ilvl w:val="0"/>
          <w:numId w:val="4"/>
        </w:numPr>
      </w:pPr>
      <w:r w:rsidRPr="00194D78">
        <w:t>all key management personnel and their close family members and personal business interests (controlled entities, joint ventures and entities they have significant influence over)</w:t>
      </w:r>
    </w:p>
    <w:p w14:paraId="120F41B2" w14:textId="77777777" w:rsidR="00FA7EBF" w:rsidRPr="00194D78" w:rsidRDefault="00FA7EBF" w:rsidP="00CA66FD">
      <w:pPr>
        <w:pStyle w:val="ARfinbullet1"/>
        <w:numPr>
          <w:ilvl w:val="0"/>
          <w:numId w:val="4"/>
        </w:numPr>
      </w:pPr>
      <w:r w:rsidRPr="00194D78">
        <w:t>all cabinet ministers and their close family members</w:t>
      </w:r>
    </w:p>
    <w:p w14:paraId="6E5803BB" w14:textId="77777777" w:rsidR="00FA7EBF" w:rsidRPr="00194D78" w:rsidRDefault="00FA7EBF" w:rsidP="00CA66FD">
      <w:pPr>
        <w:pStyle w:val="ARfinbullet1"/>
        <w:numPr>
          <w:ilvl w:val="0"/>
          <w:numId w:val="4"/>
        </w:numPr>
      </w:pPr>
      <w:r w:rsidRPr="00194D78">
        <w:t>all departments and public sector entities that are controlled and consolidated into the whole of state consolidated financial statements.</w:t>
      </w:r>
    </w:p>
    <w:p w14:paraId="4194145F" w14:textId="77777777" w:rsidR="00FA7EBF" w:rsidRPr="00194D78" w:rsidRDefault="00FA7EBF" w:rsidP="00CA66FD">
      <w:pPr>
        <w:pStyle w:val="ARfinbody"/>
      </w:pPr>
      <w:r w:rsidRPr="00194D78">
        <w:t>All related party transactions have been entered into on an arm</w:t>
      </w:r>
      <w:r>
        <w:t>’</w:t>
      </w:r>
      <w:r w:rsidRPr="00194D78">
        <w:t>s length basis.</w:t>
      </w:r>
    </w:p>
    <w:p w14:paraId="68DE48AA" w14:textId="77777777" w:rsidR="00FA7EBF" w:rsidRPr="00194D78" w:rsidRDefault="00FA7EBF" w:rsidP="00CA66FD">
      <w:pPr>
        <w:pStyle w:val="Heading5"/>
        <w:rPr>
          <w:lang w:eastAsia="en-AU"/>
        </w:rPr>
      </w:pPr>
      <w:r w:rsidRPr="00194D78">
        <w:rPr>
          <w:lang w:eastAsia="en-AU"/>
        </w:rPr>
        <w:t>Significant transactions with government-related entities</w:t>
      </w:r>
    </w:p>
    <w:p w14:paraId="32969EE4" w14:textId="77777777" w:rsidR="00FA7EBF" w:rsidRPr="00194D78" w:rsidRDefault="00FA7EBF" w:rsidP="00CA66FD">
      <w:pPr>
        <w:pStyle w:val="ARfinbody"/>
      </w:pPr>
      <w:r w:rsidRPr="00194D78">
        <w:t>The department received funding and made payments to the Consolidated Fund of $17,696.3 million (2018: $16,373.1 million) and $466.2 million (2018: $453.9 million) respectively.</w:t>
      </w:r>
    </w:p>
    <w:p w14:paraId="575A5157" w14:textId="77777777" w:rsidR="00FA7EBF" w:rsidRPr="00194D78" w:rsidRDefault="00FA7EBF" w:rsidP="00CA66FD">
      <w:pPr>
        <w:pStyle w:val="ARfinbody"/>
      </w:pPr>
      <w:r w:rsidRPr="00194D78">
        <w:t>Refer to Note 3.1.2 for other government-related entity transactions.</w:t>
      </w:r>
    </w:p>
    <w:p w14:paraId="3EEF5F81" w14:textId="77777777" w:rsidR="00FA7EBF" w:rsidRPr="00194D78" w:rsidRDefault="00FA7EBF" w:rsidP="00D86186">
      <w:pPr>
        <w:pStyle w:val="ARfinbody"/>
        <w:spacing w:after="50"/>
      </w:pPr>
      <w:r w:rsidRPr="00B82ED9">
        <w:rPr>
          <w:rStyle w:val="Strong"/>
          <w:bCs w:val="0"/>
        </w:rPr>
        <w:t>Key management personnel</w:t>
      </w:r>
      <w:r w:rsidRPr="00194D78">
        <w:t xml:space="preserve"> of the department include the Portfolio Ministers, The Hon. Jill Hennessy MP, The Hon. Jenny Mikakos MLC, The Hon. Martin Foley MP, The Hon. Richard Wynne MP, The Hon. John Eren MP, The Hon. Natalie Hutchins MP, Gabrielle Williams MP, Gavin Jennings MLC, The Hon. Luke Donnellan MP, the Secretary, Kym Peake and members of the Senior Executive Team, which includes:</w:t>
      </w:r>
    </w:p>
    <w:p w14:paraId="002FBD18" w14:textId="77777777" w:rsidR="00FA7EBF" w:rsidRPr="00194D78" w:rsidRDefault="00FA7EBF" w:rsidP="00D86186">
      <w:pPr>
        <w:pStyle w:val="ARfinbullet1"/>
        <w:numPr>
          <w:ilvl w:val="0"/>
          <w:numId w:val="4"/>
        </w:numPr>
        <w:spacing w:after="50"/>
      </w:pPr>
      <w:r w:rsidRPr="00194D78">
        <w:t>Former Deputy Secretary, Corporate Services, Carolyn De Gois</w:t>
      </w:r>
    </w:p>
    <w:p w14:paraId="42760468" w14:textId="77777777" w:rsidR="00FA7EBF" w:rsidRPr="00194D78" w:rsidRDefault="00FA7EBF" w:rsidP="00D86186">
      <w:pPr>
        <w:pStyle w:val="ARfinbullet1"/>
        <w:numPr>
          <w:ilvl w:val="0"/>
          <w:numId w:val="4"/>
        </w:numPr>
        <w:spacing w:after="50"/>
      </w:pPr>
      <w:r w:rsidRPr="00194D78">
        <w:t>Deputy Secretary, Corporate Services, Greg Stenton</w:t>
      </w:r>
    </w:p>
    <w:p w14:paraId="4493D696" w14:textId="77777777" w:rsidR="00FA7EBF" w:rsidRDefault="00FA7EBF" w:rsidP="00D86186">
      <w:pPr>
        <w:pStyle w:val="ARfinbullet1"/>
        <w:numPr>
          <w:ilvl w:val="0"/>
          <w:numId w:val="4"/>
        </w:numPr>
        <w:spacing w:after="50"/>
      </w:pPr>
      <w:r w:rsidRPr="00194D78">
        <w:t>Deputy Secretary, Housing and Infrastructure, Nick Foa</w:t>
      </w:r>
    </w:p>
    <w:p w14:paraId="769C0152" w14:textId="77777777" w:rsidR="00FA7EBF" w:rsidRPr="00194D78" w:rsidRDefault="00FA7EBF" w:rsidP="00D86186">
      <w:pPr>
        <w:pStyle w:val="ARfinbullet1"/>
        <w:numPr>
          <w:ilvl w:val="0"/>
          <w:numId w:val="4"/>
        </w:numPr>
        <w:spacing w:after="50"/>
      </w:pPr>
      <w:r w:rsidRPr="00194D78">
        <w:t>Deputy Secretary, Regulation, Health Protection and Emergency Management, Melissa Skilbeck</w:t>
      </w:r>
    </w:p>
    <w:p w14:paraId="59EB95E8" w14:textId="77777777" w:rsidR="00FA7EBF" w:rsidRPr="00194D78" w:rsidRDefault="00FA7EBF" w:rsidP="00D86186">
      <w:pPr>
        <w:pStyle w:val="ARfinbullet1"/>
        <w:numPr>
          <w:ilvl w:val="0"/>
          <w:numId w:val="4"/>
        </w:numPr>
        <w:spacing w:after="50"/>
      </w:pPr>
      <w:r w:rsidRPr="00194D78">
        <w:t>Deputy Secretary, Health and Wellbeing, Terry Symonds</w:t>
      </w:r>
    </w:p>
    <w:p w14:paraId="3DE2CD82" w14:textId="77777777" w:rsidR="00FA7EBF" w:rsidRPr="00194D78" w:rsidRDefault="00FA7EBF" w:rsidP="00D86186">
      <w:pPr>
        <w:pStyle w:val="ARfinbullet1"/>
        <w:numPr>
          <w:ilvl w:val="0"/>
          <w:numId w:val="4"/>
        </w:numPr>
        <w:spacing w:after="50"/>
      </w:pPr>
      <w:r w:rsidRPr="00194D78">
        <w:t>Deputy Secretary, Community Services Operations, Chris Asquini</w:t>
      </w:r>
    </w:p>
    <w:p w14:paraId="40F2C11A" w14:textId="77777777" w:rsidR="00FA7EBF" w:rsidRPr="00194D78" w:rsidRDefault="00FA7EBF" w:rsidP="00D86186">
      <w:pPr>
        <w:pStyle w:val="ARfinbullet1"/>
        <w:numPr>
          <w:ilvl w:val="0"/>
          <w:numId w:val="4"/>
        </w:numPr>
        <w:spacing w:after="50"/>
      </w:pPr>
      <w:r w:rsidRPr="00194D78">
        <w:t>Deputy Secretary, Strategy and Planning, Amity Durham</w:t>
      </w:r>
    </w:p>
    <w:p w14:paraId="3BE6EA39" w14:textId="77777777" w:rsidR="00FA7EBF" w:rsidRPr="00194D78" w:rsidRDefault="00FA7EBF" w:rsidP="00D86186">
      <w:pPr>
        <w:pStyle w:val="ARfinbullet1"/>
        <w:numPr>
          <w:ilvl w:val="0"/>
          <w:numId w:val="4"/>
        </w:numPr>
        <w:spacing w:after="50"/>
      </w:pPr>
      <w:r w:rsidRPr="00194D78">
        <w:t>Deputy Secretary, Children and Families, Argiri Alisandratos</w:t>
      </w:r>
    </w:p>
    <w:p w14:paraId="24B45624" w14:textId="77777777" w:rsidR="00FA7EBF" w:rsidRPr="00194D78" w:rsidRDefault="00FA7EBF" w:rsidP="00D86186">
      <w:pPr>
        <w:pStyle w:val="ARfinbullet1"/>
        <w:numPr>
          <w:ilvl w:val="0"/>
          <w:numId w:val="4"/>
        </w:numPr>
        <w:spacing w:after="50"/>
      </w:pPr>
      <w:r w:rsidRPr="00194D78">
        <w:t>Deputy Secretary, Organisational Transformation, Nick Chiam</w:t>
      </w:r>
    </w:p>
    <w:p w14:paraId="355956DB" w14:textId="77777777" w:rsidR="00FA7EBF" w:rsidRPr="00194D78" w:rsidRDefault="00FA7EBF" w:rsidP="00D86186">
      <w:pPr>
        <w:pStyle w:val="ARfinbullet1"/>
        <w:numPr>
          <w:ilvl w:val="0"/>
          <w:numId w:val="4"/>
        </w:numPr>
        <w:spacing w:after="50"/>
      </w:pPr>
      <w:r w:rsidRPr="00194D78">
        <w:t>Deputy Secretary, Legal and Executive Services, Jacinda de Witts</w:t>
      </w:r>
    </w:p>
    <w:p w14:paraId="3F65D6BE" w14:textId="77777777" w:rsidR="00FA7EBF" w:rsidRPr="00194D78" w:rsidRDefault="00FA7EBF" w:rsidP="00CA66FD">
      <w:pPr>
        <w:pStyle w:val="ARfinbullet1"/>
        <w:numPr>
          <w:ilvl w:val="0"/>
          <w:numId w:val="4"/>
        </w:numPr>
      </w:pPr>
      <w:r w:rsidRPr="00194D78">
        <w:t>Chief Finance Officer, Jenny Zahara</w:t>
      </w:r>
    </w:p>
    <w:p w14:paraId="40EBFFEE" w14:textId="77777777" w:rsidR="00FA7EBF" w:rsidRPr="002F7C48" w:rsidRDefault="00FA7EBF" w:rsidP="002F7C48">
      <w:pPr>
        <w:pStyle w:val="ARbody"/>
      </w:pPr>
      <w:r w:rsidRPr="002F7C48">
        <w:br w:type="page"/>
      </w:r>
    </w:p>
    <w:p w14:paraId="38C61D2F" w14:textId="77777777" w:rsidR="00FA7EBF" w:rsidRDefault="00FA7EBF" w:rsidP="00CA66FD">
      <w:pPr>
        <w:pStyle w:val="ARfinbody"/>
      </w:pPr>
      <w:r w:rsidRPr="00B82ED9">
        <w:rPr>
          <w:rStyle w:val="Strong"/>
          <w:bCs w:val="0"/>
        </w:rPr>
        <w:t>Key management personnel</w:t>
      </w:r>
      <w:r w:rsidRPr="00B82ED9">
        <w:t xml:space="preserve"> </w:t>
      </w:r>
      <w:r w:rsidRPr="00194D78">
        <w:t xml:space="preserve">of the Administrative Offices consolidated pursuant to </w:t>
      </w:r>
      <w:r>
        <w:t>s.</w:t>
      </w:r>
      <w:r w:rsidRPr="00194D78">
        <w:t xml:space="preserve"> 45(4) of the FMA into the department</w:t>
      </w:r>
      <w:r>
        <w:t>’</w:t>
      </w:r>
      <w:r w:rsidRPr="00194D78">
        <w:t>s financial statements include: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3402"/>
        <w:gridCol w:w="2835"/>
        <w:gridCol w:w="3402"/>
      </w:tblGrid>
      <w:tr w:rsidR="00FA7EBF" w:rsidRPr="007939DD" w14:paraId="7D38CCBE" w14:textId="77777777" w:rsidTr="007B207C">
        <w:trPr>
          <w:cantSplit/>
          <w:tblHeader/>
        </w:trPr>
        <w:tc>
          <w:tcPr>
            <w:tcW w:w="3402" w:type="dxa"/>
          </w:tcPr>
          <w:p w14:paraId="235A781B" w14:textId="77777777" w:rsidR="00FA7EBF" w:rsidRPr="007939DD" w:rsidRDefault="00FA7EBF" w:rsidP="007B207C">
            <w:pPr>
              <w:pStyle w:val="ARfintablecolhead"/>
            </w:pPr>
            <w:r w:rsidRPr="007939DD">
              <w:t>Entity</w:t>
            </w:r>
          </w:p>
        </w:tc>
        <w:tc>
          <w:tcPr>
            <w:tcW w:w="2835" w:type="dxa"/>
          </w:tcPr>
          <w:p w14:paraId="60BE6A17" w14:textId="77777777" w:rsidR="00FA7EBF" w:rsidRPr="007939DD" w:rsidRDefault="00FA7EBF" w:rsidP="007B207C">
            <w:pPr>
              <w:pStyle w:val="ARfintablecolhead"/>
            </w:pPr>
            <w:r w:rsidRPr="009C23FC">
              <w:t xml:space="preserve">Key </w:t>
            </w:r>
            <w:r>
              <w:t>m</w:t>
            </w:r>
            <w:r w:rsidRPr="009C23FC">
              <w:t xml:space="preserve">anagement </w:t>
            </w:r>
            <w:r>
              <w:t>p</w:t>
            </w:r>
            <w:r w:rsidRPr="009C23FC">
              <w:t>ersonnel</w:t>
            </w:r>
          </w:p>
        </w:tc>
        <w:tc>
          <w:tcPr>
            <w:tcW w:w="3402" w:type="dxa"/>
          </w:tcPr>
          <w:p w14:paraId="03F8DCBC" w14:textId="77777777" w:rsidR="00FA7EBF" w:rsidRPr="007939DD" w:rsidRDefault="00FA7EBF" w:rsidP="007B207C">
            <w:pPr>
              <w:pStyle w:val="ARfintablecolhead"/>
            </w:pPr>
            <w:r w:rsidRPr="007939DD">
              <w:t>Position title</w:t>
            </w:r>
          </w:p>
        </w:tc>
      </w:tr>
      <w:tr w:rsidR="00FA7EBF" w:rsidRPr="007939DD" w14:paraId="65E0AF08" w14:textId="77777777" w:rsidTr="007B207C">
        <w:trPr>
          <w:cantSplit/>
        </w:trPr>
        <w:tc>
          <w:tcPr>
            <w:tcW w:w="3402" w:type="dxa"/>
            <w:tcBorders>
              <w:bottom w:val="single" w:sz="4" w:space="0" w:color="BFBFBF" w:themeColor="accent4"/>
            </w:tcBorders>
          </w:tcPr>
          <w:p w14:paraId="07139AED" w14:textId="77777777" w:rsidR="00FA7EBF" w:rsidRPr="007939DD" w:rsidRDefault="00FA7EBF" w:rsidP="007B207C">
            <w:pPr>
              <w:pStyle w:val="ARfintablebody"/>
              <w:rPr>
                <w:lang w:eastAsia="en-AU"/>
              </w:rPr>
            </w:pPr>
            <w:r w:rsidRPr="0023472C">
              <w:t>Victorian Agency for Health Information</w:t>
            </w:r>
          </w:p>
        </w:tc>
        <w:tc>
          <w:tcPr>
            <w:tcW w:w="2835" w:type="dxa"/>
            <w:tcBorders>
              <w:bottom w:val="single" w:sz="4" w:space="0" w:color="BFBFBF" w:themeColor="accent4"/>
            </w:tcBorders>
          </w:tcPr>
          <w:p w14:paraId="162B19FE" w14:textId="77777777" w:rsidR="00FA7EBF" w:rsidRPr="007939DD" w:rsidRDefault="00FA7EBF" w:rsidP="007B207C">
            <w:pPr>
              <w:pStyle w:val="ARfintablebody"/>
              <w:rPr>
                <w:lang w:eastAsia="en-AU"/>
              </w:rPr>
            </w:pPr>
            <w:r w:rsidRPr="0023472C">
              <w:t>Lance Emerson</w:t>
            </w:r>
          </w:p>
        </w:tc>
        <w:tc>
          <w:tcPr>
            <w:tcW w:w="3402" w:type="dxa"/>
            <w:tcBorders>
              <w:bottom w:val="single" w:sz="4" w:space="0" w:color="BFBFBF" w:themeColor="accent4"/>
            </w:tcBorders>
          </w:tcPr>
          <w:p w14:paraId="0E90D8FA" w14:textId="77777777" w:rsidR="00FA7EBF" w:rsidRPr="007939DD" w:rsidRDefault="00FA7EBF" w:rsidP="007B207C">
            <w:pPr>
              <w:pStyle w:val="ARfintablebody"/>
              <w:rPr>
                <w:lang w:eastAsia="en-AU"/>
              </w:rPr>
            </w:pPr>
            <w:r w:rsidRPr="0023472C">
              <w:t>Chief Executive Officer</w:t>
            </w:r>
          </w:p>
        </w:tc>
      </w:tr>
      <w:tr w:rsidR="00FA7EBF" w:rsidRPr="007939DD" w14:paraId="2457476C" w14:textId="77777777" w:rsidTr="007B207C">
        <w:trPr>
          <w:cantSplit/>
        </w:trPr>
        <w:tc>
          <w:tcPr>
            <w:tcW w:w="3402" w:type="dxa"/>
            <w:tcBorders>
              <w:top w:val="single" w:sz="4" w:space="0" w:color="BFBFBF" w:themeColor="accent4"/>
              <w:bottom w:val="single" w:sz="4" w:space="0" w:color="BFBFBF" w:themeColor="accent4"/>
            </w:tcBorders>
          </w:tcPr>
          <w:p w14:paraId="77A7B94B" w14:textId="77777777" w:rsidR="00FA7EBF" w:rsidRPr="007939DD" w:rsidRDefault="00FA7EBF" w:rsidP="007B207C">
            <w:pPr>
              <w:pStyle w:val="ARfintablebody"/>
              <w:rPr>
                <w:lang w:eastAsia="en-AU"/>
              </w:rPr>
            </w:pPr>
            <w:r w:rsidRPr="0023472C">
              <w:t>Safer Care Victoria</w:t>
            </w:r>
          </w:p>
        </w:tc>
        <w:tc>
          <w:tcPr>
            <w:tcW w:w="2835" w:type="dxa"/>
            <w:tcBorders>
              <w:top w:val="single" w:sz="4" w:space="0" w:color="BFBFBF" w:themeColor="accent4"/>
              <w:bottom w:val="single" w:sz="4" w:space="0" w:color="BFBFBF" w:themeColor="accent4"/>
            </w:tcBorders>
          </w:tcPr>
          <w:p w14:paraId="787C67F5" w14:textId="77777777" w:rsidR="00FA7EBF" w:rsidRPr="007939DD" w:rsidRDefault="00FA7EBF" w:rsidP="007B207C">
            <w:pPr>
              <w:pStyle w:val="ARfintablebody"/>
              <w:rPr>
                <w:lang w:eastAsia="en-AU"/>
              </w:rPr>
            </w:pPr>
            <w:r w:rsidRPr="0023472C">
              <w:t>Euan Wallace</w:t>
            </w:r>
          </w:p>
        </w:tc>
        <w:tc>
          <w:tcPr>
            <w:tcW w:w="3402" w:type="dxa"/>
            <w:tcBorders>
              <w:top w:val="single" w:sz="4" w:space="0" w:color="BFBFBF" w:themeColor="accent4"/>
              <w:bottom w:val="single" w:sz="4" w:space="0" w:color="BFBFBF" w:themeColor="accent4"/>
            </w:tcBorders>
          </w:tcPr>
          <w:p w14:paraId="57AD09A1" w14:textId="77777777" w:rsidR="00FA7EBF" w:rsidRPr="007939DD" w:rsidRDefault="00FA7EBF" w:rsidP="007B207C">
            <w:pPr>
              <w:pStyle w:val="ARfintablebody"/>
              <w:rPr>
                <w:lang w:eastAsia="en-AU"/>
              </w:rPr>
            </w:pPr>
            <w:r w:rsidRPr="0023472C">
              <w:t>Chief Executive Officer</w:t>
            </w:r>
          </w:p>
        </w:tc>
      </w:tr>
      <w:tr w:rsidR="00FA7EBF" w:rsidRPr="007939DD" w14:paraId="2664AA21" w14:textId="77777777" w:rsidTr="007B207C">
        <w:trPr>
          <w:cantSplit/>
        </w:trPr>
        <w:tc>
          <w:tcPr>
            <w:tcW w:w="3402" w:type="dxa"/>
            <w:tcBorders>
              <w:top w:val="single" w:sz="4" w:space="0" w:color="BFBFBF" w:themeColor="accent4"/>
            </w:tcBorders>
          </w:tcPr>
          <w:p w14:paraId="435BBD38" w14:textId="77777777" w:rsidR="00FA7EBF" w:rsidRPr="007939DD" w:rsidRDefault="00FA7EBF" w:rsidP="007B207C">
            <w:pPr>
              <w:pStyle w:val="ARfintablebody"/>
              <w:rPr>
                <w:lang w:eastAsia="en-AU"/>
              </w:rPr>
            </w:pPr>
            <w:r w:rsidRPr="0023472C">
              <w:t>Family Safety Victoria</w:t>
            </w:r>
          </w:p>
        </w:tc>
        <w:tc>
          <w:tcPr>
            <w:tcW w:w="2835" w:type="dxa"/>
            <w:tcBorders>
              <w:top w:val="single" w:sz="4" w:space="0" w:color="BFBFBF" w:themeColor="accent4"/>
            </w:tcBorders>
          </w:tcPr>
          <w:p w14:paraId="3176F605" w14:textId="77777777" w:rsidR="00FA7EBF" w:rsidRPr="007939DD" w:rsidRDefault="00FA7EBF" w:rsidP="007B207C">
            <w:pPr>
              <w:pStyle w:val="ARfintablebody"/>
              <w:rPr>
                <w:lang w:eastAsia="en-AU"/>
              </w:rPr>
            </w:pPr>
            <w:r w:rsidRPr="0023472C">
              <w:t>Sue Clifford</w:t>
            </w:r>
          </w:p>
        </w:tc>
        <w:tc>
          <w:tcPr>
            <w:tcW w:w="3402" w:type="dxa"/>
            <w:tcBorders>
              <w:top w:val="single" w:sz="4" w:space="0" w:color="BFBFBF" w:themeColor="accent4"/>
            </w:tcBorders>
          </w:tcPr>
          <w:p w14:paraId="3BC8EE24" w14:textId="77777777" w:rsidR="00FA7EBF" w:rsidRPr="007939DD" w:rsidRDefault="00FA7EBF" w:rsidP="007B207C">
            <w:pPr>
              <w:pStyle w:val="ARfintablebody"/>
              <w:rPr>
                <w:lang w:eastAsia="en-AU"/>
              </w:rPr>
            </w:pPr>
            <w:r w:rsidRPr="0023472C">
              <w:t>Chief Executive Officer</w:t>
            </w:r>
          </w:p>
        </w:tc>
      </w:tr>
    </w:tbl>
    <w:p w14:paraId="7EDF7FAA" w14:textId="77777777" w:rsidR="00FA7EBF" w:rsidRDefault="00FA7EBF" w:rsidP="00CA66FD">
      <w:pPr>
        <w:pStyle w:val="ARfinbodyaftertable"/>
      </w:pPr>
      <w:r w:rsidRPr="00194D78">
        <w:rPr>
          <w:b/>
          <w:bCs/>
        </w:rPr>
        <w:t xml:space="preserve">Key management personnel </w:t>
      </w:r>
      <w:r w:rsidRPr="00194D78">
        <w:t xml:space="preserve">of the agencies consolidated pursuant to </w:t>
      </w:r>
      <w:r>
        <w:t>s.</w:t>
      </w:r>
      <w:r w:rsidRPr="00194D78">
        <w:t xml:space="preserve"> 53(1)(b) of the FMA into the department</w:t>
      </w:r>
      <w:r>
        <w:t>’</w:t>
      </w:r>
      <w:r w:rsidRPr="00194D78">
        <w:t>s financial statements include:</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3402"/>
        <w:gridCol w:w="2835"/>
        <w:gridCol w:w="3402"/>
      </w:tblGrid>
      <w:tr w:rsidR="00FA7EBF" w:rsidRPr="007939DD" w14:paraId="34EECDED" w14:textId="77777777" w:rsidTr="007B207C">
        <w:trPr>
          <w:cantSplit/>
          <w:tblHeader/>
        </w:trPr>
        <w:tc>
          <w:tcPr>
            <w:tcW w:w="3402" w:type="dxa"/>
          </w:tcPr>
          <w:p w14:paraId="5F318821" w14:textId="77777777" w:rsidR="00FA7EBF" w:rsidRPr="007939DD" w:rsidRDefault="00FA7EBF" w:rsidP="007B207C">
            <w:pPr>
              <w:pStyle w:val="ARfintablecolhead"/>
            </w:pPr>
            <w:r w:rsidRPr="007939DD">
              <w:t>Entity</w:t>
            </w:r>
          </w:p>
        </w:tc>
        <w:tc>
          <w:tcPr>
            <w:tcW w:w="2835" w:type="dxa"/>
          </w:tcPr>
          <w:p w14:paraId="0A403F12" w14:textId="77777777" w:rsidR="00FA7EBF" w:rsidRPr="007939DD" w:rsidRDefault="00FA7EBF" w:rsidP="007B207C">
            <w:pPr>
              <w:pStyle w:val="ARfintablecolhead"/>
            </w:pPr>
            <w:r w:rsidRPr="007939DD">
              <w:t>Key management personnel</w:t>
            </w:r>
          </w:p>
        </w:tc>
        <w:tc>
          <w:tcPr>
            <w:tcW w:w="3402" w:type="dxa"/>
          </w:tcPr>
          <w:p w14:paraId="5DC04A49" w14:textId="77777777" w:rsidR="00FA7EBF" w:rsidRPr="007939DD" w:rsidRDefault="00FA7EBF" w:rsidP="007B207C">
            <w:pPr>
              <w:pStyle w:val="ARfintablecolhead"/>
            </w:pPr>
            <w:r w:rsidRPr="007939DD">
              <w:t>Position title</w:t>
            </w:r>
          </w:p>
        </w:tc>
      </w:tr>
      <w:tr w:rsidR="00FA7EBF" w:rsidRPr="007939DD" w14:paraId="5180EF1E" w14:textId="77777777" w:rsidTr="007B207C">
        <w:trPr>
          <w:cantSplit/>
        </w:trPr>
        <w:tc>
          <w:tcPr>
            <w:tcW w:w="3402" w:type="dxa"/>
            <w:tcBorders>
              <w:bottom w:val="single" w:sz="4" w:space="0" w:color="BFBFBF" w:themeColor="accent4"/>
            </w:tcBorders>
          </w:tcPr>
          <w:p w14:paraId="485EDD28" w14:textId="77777777" w:rsidR="00FA7EBF" w:rsidRPr="007939DD" w:rsidRDefault="00FA7EBF" w:rsidP="007B207C">
            <w:pPr>
              <w:pStyle w:val="ARfintablebody"/>
              <w:rPr>
                <w:lang w:eastAsia="en-AU"/>
              </w:rPr>
            </w:pPr>
            <w:r w:rsidRPr="001B6AFF">
              <w:t>Director of Housing</w:t>
            </w:r>
          </w:p>
        </w:tc>
        <w:tc>
          <w:tcPr>
            <w:tcW w:w="2835" w:type="dxa"/>
            <w:tcBorders>
              <w:bottom w:val="single" w:sz="4" w:space="0" w:color="BFBFBF" w:themeColor="accent4"/>
            </w:tcBorders>
          </w:tcPr>
          <w:p w14:paraId="7A571C1F" w14:textId="77777777" w:rsidR="00FA7EBF" w:rsidRPr="007939DD" w:rsidRDefault="00FA7EBF" w:rsidP="007B207C">
            <w:pPr>
              <w:pStyle w:val="ARfintablebody"/>
              <w:rPr>
                <w:lang w:eastAsia="en-AU"/>
              </w:rPr>
            </w:pPr>
            <w:r w:rsidRPr="001B6AFF">
              <w:t>Nick Foa</w:t>
            </w:r>
          </w:p>
        </w:tc>
        <w:tc>
          <w:tcPr>
            <w:tcW w:w="3402" w:type="dxa"/>
            <w:tcBorders>
              <w:bottom w:val="single" w:sz="4" w:space="0" w:color="BFBFBF" w:themeColor="accent4"/>
            </w:tcBorders>
          </w:tcPr>
          <w:p w14:paraId="7ADED43C" w14:textId="77777777" w:rsidR="00FA7EBF" w:rsidRPr="007939DD" w:rsidRDefault="00FA7EBF" w:rsidP="007B207C">
            <w:pPr>
              <w:pStyle w:val="ARfintablebody"/>
              <w:rPr>
                <w:lang w:eastAsia="en-AU"/>
              </w:rPr>
            </w:pPr>
            <w:r w:rsidRPr="001B6AFF">
              <w:t>Director of Housing</w:t>
            </w:r>
          </w:p>
        </w:tc>
      </w:tr>
      <w:tr w:rsidR="00FA7EBF" w:rsidRPr="007939DD" w14:paraId="4F6D3FEA" w14:textId="77777777" w:rsidTr="007B207C">
        <w:trPr>
          <w:cantSplit/>
        </w:trPr>
        <w:tc>
          <w:tcPr>
            <w:tcW w:w="3402" w:type="dxa"/>
            <w:tcBorders>
              <w:top w:val="single" w:sz="4" w:space="0" w:color="BFBFBF" w:themeColor="accent4"/>
              <w:bottom w:val="single" w:sz="4" w:space="0" w:color="BFBFBF" w:themeColor="accent4"/>
            </w:tcBorders>
          </w:tcPr>
          <w:p w14:paraId="5A622C56" w14:textId="77777777" w:rsidR="00FA7EBF" w:rsidRPr="007939DD" w:rsidRDefault="00FA7EBF" w:rsidP="007B207C">
            <w:pPr>
              <w:pStyle w:val="ARfintablebody"/>
              <w:rPr>
                <w:lang w:eastAsia="en-AU"/>
              </w:rPr>
            </w:pPr>
            <w:r w:rsidRPr="001B6AFF">
              <w:t>Mental Health Tribunal</w:t>
            </w:r>
          </w:p>
        </w:tc>
        <w:tc>
          <w:tcPr>
            <w:tcW w:w="2835" w:type="dxa"/>
            <w:tcBorders>
              <w:top w:val="single" w:sz="4" w:space="0" w:color="BFBFBF" w:themeColor="accent4"/>
              <w:bottom w:val="single" w:sz="4" w:space="0" w:color="BFBFBF" w:themeColor="accent4"/>
            </w:tcBorders>
          </w:tcPr>
          <w:p w14:paraId="034BC24D" w14:textId="77777777" w:rsidR="00FA7EBF" w:rsidRPr="007939DD" w:rsidRDefault="00FA7EBF" w:rsidP="007B207C">
            <w:pPr>
              <w:pStyle w:val="ARfintablebody"/>
              <w:rPr>
                <w:lang w:eastAsia="en-AU"/>
              </w:rPr>
            </w:pPr>
            <w:r w:rsidRPr="001B6AFF">
              <w:t>Matthew Carroll</w:t>
            </w:r>
          </w:p>
        </w:tc>
        <w:tc>
          <w:tcPr>
            <w:tcW w:w="3402" w:type="dxa"/>
            <w:tcBorders>
              <w:top w:val="single" w:sz="4" w:space="0" w:color="BFBFBF" w:themeColor="accent4"/>
              <w:bottom w:val="single" w:sz="4" w:space="0" w:color="BFBFBF" w:themeColor="accent4"/>
            </w:tcBorders>
          </w:tcPr>
          <w:p w14:paraId="0C69BC66" w14:textId="77777777" w:rsidR="00FA7EBF" w:rsidRPr="007939DD" w:rsidRDefault="00FA7EBF" w:rsidP="007B207C">
            <w:pPr>
              <w:pStyle w:val="ARfintablebody"/>
              <w:rPr>
                <w:lang w:eastAsia="en-AU"/>
              </w:rPr>
            </w:pPr>
            <w:r w:rsidRPr="001B6AFF">
              <w:t>President</w:t>
            </w:r>
          </w:p>
        </w:tc>
      </w:tr>
      <w:tr w:rsidR="00FA7EBF" w:rsidRPr="007939DD" w14:paraId="063ABAD0" w14:textId="77777777" w:rsidTr="007B207C">
        <w:trPr>
          <w:cantSplit/>
        </w:trPr>
        <w:tc>
          <w:tcPr>
            <w:tcW w:w="3402" w:type="dxa"/>
            <w:tcBorders>
              <w:top w:val="single" w:sz="4" w:space="0" w:color="BFBFBF" w:themeColor="accent4"/>
              <w:bottom w:val="single" w:sz="4" w:space="0" w:color="BFBFBF" w:themeColor="accent4"/>
            </w:tcBorders>
          </w:tcPr>
          <w:p w14:paraId="2D39E0F2" w14:textId="77777777" w:rsidR="00FA7EBF" w:rsidRPr="007939DD" w:rsidRDefault="00FA7EBF" w:rsidP="007B207C">
            <w:pPr>
              <w:pStyle w:val="ARfintablebody"/>
              <w:rPr>
                <w:lang w:eastAsia="en-AU"/>
              </w:rPr>
            </w:pPr>
            <w:r w:rsidRPr="001B6AFF">
              <w:t>Commission for Children and Young People</w:t>
            </w:r>
          </w:p>
        </w:tc>
        <w:tc>
          <w:tcPr>
            <w:tcW w:w="2835" w:type="dxa"/>
            <w:tcBorders>
              <w:top w:val="single" w:sz="4" w:space="0" w:color="BFBFBF" w:themeColor="accent4"/>
              <w:bottom w:val="single" w:sz="4" w:space="0" w:color="BFBFBF" w:themeColor="accent4"/>
            </w:tcBorders>
          </w:tcPr>
          <w:p w14:paraId="20777284" w14:textId="77777777" w:rsidR="00FA7EBF" w:rsidRPr="007939DD" w:rsidRDefault="00FA7EBF" w:rsidP="007B207C">
            <w:pPr>
              <w:pStyle w:val="ARfintablebody"/>
              <w:rPr>
                <w:lang w:eastAsia="en-AU"/>
              </w:rPr>
            </w:pPr>
            <w:r w:rsidRPr="001B6AFF">
              <w:t>Liana Buchan</w:t>
            </w:r>
            <w:r>
              <w:t>an</w:t>
            </w:r>
          </w:p>
        </w:tc>
        <w:tc>
          <w:tcPr>
            <w:tcW w:w="3402" w:type="dxa"/>
            <w:tcBorders>
              <w:top w:val="single" w:sz="4" w:space="0" w:color="BFBFBF" w:themeColor="accent4"/>
              <w:bottom w:val="single" w:sz="4" w:space="0" w:color="BFBFBF" w:themeColor="accent4"/>
            </w:tcBorders>
          </w:tcPr>
          <w:p w14:paraId="2170FA30" w14:textId="77777777" w:rsidR="00FA7EBF" w:rsidRPr="007939DD" w:rsidRDefault="00FA7EBF" w:rsidP="007B207C">
            <w:pPr>
              <w:pStyle w:val="ARfintablebody"/>
              <w:rPr>
                <w:lang w:eastAsia="en-AU"/>
              </w:rPr>
            </w:pPr>
            <w:r w:rsidRPr="001B6AFF">
              <w:t>Principal Commissioner</w:t>
            </w:r>
          </w:p>
        </w:tc>
      </w:tr>
      <w:tr w:rsidR="00FA7EBF" w:rsidRPr="007939DD" w14:paraId="70C788EC" w14:textId="77777777" w:rsidTr="007B207C">
        <w:trPr>
          <w:cantSplit/>
        </w:trPr>
        <w:tc>
          <w:tcPr>
            <w:tcW w:w="3402" w:type="dxa"/>
            <w:tcBorders>
              <w:top w:val="single" w:sz="4" w:space="0" w:color="BFBFBF" w:themeColor="accent4"/>
              <w:bottom w:val="single" w:sz="4" w:space="0" w:color="BFBFBF" w:themeColor="accent4"/>
            </w:tcBorders>
          </w:tcPr>
          <w:p w14:paraId="161D79F5" w14:textId="77777777" w:rsidR="00FA7EBF" w:rsidRPr="007939DD" w:rsidRDefault="00FA7EBF" w:rsidP="007B207C">
            <w:pPr>
              <w:pStyle w:val="ARfintablebody"/>
              <w:rPr>
                <w:lang w:eastAsia="en-AU"/>
              </w:rPr>
            </w:pPr>
            <w:r w:rsidRPr="001B6AFF">
              <w:t>Commission for Children and Young People</w:t>
            </w:r>
          </w:p>
        </w:tc>
        <w:tc>
          <w:tcPr>
            <w:tcW w:w="2835" w:type="dxa"/>
            <w:tcBorders>
              <w:top w:val="single" w:sz="4" w:space="0" w:color="BFBFBF" w:themeColor="accent4"/>
              <w:bottom w:val="single" w:sz="4" w:space="0" w:color="BFBFBF" w:themeColor="accent4"/>
            </w:tcBorders>
          </w:tcPr>
          <w:p w14:paraId="03DC6EEB" w14:textId="77777777" w:rsidR="00FA7EBF" w:rsidRPr="007939DD" w:rsidRDefault="00FA7EBF" w:rsidP="007B207C">
            <w:pPr>
              <w:pStyle w:val="ARfintablebody"/>
              <w:rPr>
                <w:lang w:eastAsia="en-AU"/>
              </w:rPr>
            </w:pPr>
            <w:r w:rsidRPr="001B6AFF">
              <w:t>Justin Mohamed</w:t>
            </w:r>
          </w:p>
        </w:tc>
        <w:tc>
          <w:tcPr>
            <w:tcW w:w="3402" w:type="dxa"/>
            <w:tcBorders>
              <w:top w:val="single" w:sz="4" w:space="0" w:color="BFBFBF" w:themeColor="accent4"/>
              <w:bottom w:val="single" w:sz="4" w:space="0" w:color="BFBFBF" w:themeColor="accent4"/>
            </w:tcBorders>
          </w:tcPr>
          <w:p w14:paraId="3A97E8B7" w14:textId="77777777" w:rsidR="00FA7EBF" w:rsidRPr="007939DD" w:rsidRDefault="00FA7EBF" w:rsidP="007B207C">
            <w:pPr>
              <w:pStyle w:val="ARfintablebody"/>
              <w:rPr>
                <w:lang w:eastAsia="en-AU"/>
              </w:rPr>
            </w:pPr>
            <w:r w:rsidRPr="001B6AFF">
              <w:t>Commissioner for Aboriginal Children and</w:t>
            </w:r>
            <w:r>
              <w:t> </w:t>
            </w:r>
            <w:r w:rsidRPr="001B6AFF">
              <w:t>Young People</w:t>
            </w:r>
          </w:p>
        </w:tc>
      </w:tr>
      <w:tr w:rsidR="00FA7EBF" w:rsidRPr="007939DD" w14:paraId="2012BF02" w14:textId="77777777" w:rsidTr="007B207C">
        <w:trPr>
          <w:cantSplit/>
        </w:trPr>
        <w:tc>
          <w:tcPr>
            <w:tcW w:w="3402" w:type="dxa"/>
            <w:tcBorders>
              <w:top w:val="single" w:sz="4" w:space="0" w:color="BFBFBF" w:themeColor="accent4"/>
              <w:bottom w:val="single" w:sz="4" w:space="0" w:color="BFBFBF" w:themeColor="accent4"/>
            </w:tcBorders>
          </w:tcPr>
          <w:p w14:paraId="31DCBAC6" w14:textId="77777777" w:rsidR="00FA7EBF" w:rsidRPr="007939DD" w:rsidRDefault="00FA7EBF" w:rsidP="007B207C">
            <w:pPr>
              <w:pStyle w:val="ARfintablebody"/>
              <w:rPr>
                <w:lang w:eastAsia="en-AU"/>
              </w:rPr>
            </w:pPr>
            <w:r w:rsidRPr="001B6AFF">
              <w:t>Respect Victoria</w:t>
            </w:r>
          </w:p>
        </w:tc>
        <w:tc>
          <w:tcPr>
            <w:tcW w:w="2835" w:type="dxa"/>
            <w:tcBorders>
              <w:top w:val="single" w:sz="4" w:space="0" w:color="BFBFBF" w:themeColor="accent4"/>
              <w:bottom w:val="single" w:sz="4" w:space="0" w:color="BFBFBF" w:themeColor="accent4"/>
            </w:tcBorders>
          </w:tcPr>
          <w:p w14:paraId="7BF60D47" w14:textId="77777777" w:rsidR="00FA7EBF" w:rsidRPr="007939DD" w:rsidRDefault="00FA7EBF" w:rsidP="007B207C">
            <w:pPr>
              <w:pStyle w:val="ARfintablebody"/>
              <w:rPr>
                <w:lang w:eastAsia="en-AU"/>
              </w:rPr>
            </w:pPr>
            <w:r w:rsidRPr="001B6AFF">
              <w:t>Tracey Gaudry</w:t>
            </w:r>
          </w:p>
        </w:tc>
        <w:tc>
          <w:tcPr>
            <w:tcW w:w="3402" w:type="dxa"/>
            <w:tcBorders>
              <w:top w:val="single" w:sz="4" w:space="0" w:color="BFBFBF" w:themeColor="accent4"/>
              <w:bottom w:val="single" w:sz="4" w:space="0" w:color="BFBFBF" w:themeColor="accent4"/>
            </w:tcBorders>
          </w:tcPr>
          <w:p w14:paraId="29684458" w14:textId="77777777" w:rsidR="00FA7EBF" w:rsidRPr="007939DD" w:rsidRDefault="00FA7EBF" w:rsidP="007B207C">
            <w:pPr>
              <w:pStyle w:val="ARfintablebody"/>
              <w:rPr>
                <w:lang w:eastAsia="en-AU"/>
              </w:rPr>
            </w:pPr>
            <w:r w:rsidRPr="001B6AFF">
              <w:t>Chief Executive Officer</w:t>
            </w:r>
          </w:p>
        </w:tc>
      </w:tr>
      <w:tr w:rsidR="00FA7EBF" w:rsidRPr="007939DD" w14:paraId="4D6D0399" w14:textId="77777777" w:rsidTr="007B207C">
        <w:trPr>
          <w:cantSplit/>
        </w:trPr>
        <w:tc>
          <w:tcPr>
            <w:tcW w:w="3402" w:type="dxa"/>
            <w:tcBorders>
              <w:top w:val="single" w:sz="4" w:space="0" w:color="BFBFBF" w:themeColor="accent4"/>
              <w:bottom w:val="single" w:sz="4" w:space="0" w:color="BFBFBF" w:themeColor="accent4"/>
            </w:tcBorders>
          </w:tcPr>
          <w:p w14:paraId="0A367DCE" w14:textId="77777777" w:rsidR="00FA7EBF" w:rsidRPr="007939DD" w:rsidRDefault="00FA7EBF" w:rsidP="007B207C">
            <w:pPr>
              <w:pStyle w:val="ARfintablebody"/>
              <w:rPr>
                <w:lang w:eastAsia="en-AU"/>
              </w:rPr>
            </w:pPr>
            <w:r w:rsidRPr="001B6AFF">
              <w:t>Respect Victoria</w:t>
            </w:r>
          </w:p>
        </w:tc>
        <w:tc>
          <w:tcPr>
            <w:tcW w:w="2835" w:type="dxa"/>
            <w:tcBorders>
              <w:top w:val="single" w:sz="4" w:space="0" w:color="BFBFBF" w:themeColor="accent4"/>
              <w:bottom w:val="single" w:sz="4" w:space="0" w:color="BFBFBF" w:themeColor="accent4"/>
            </w:tcBorders>
          </w:tcPr>
          <w:p w14:paraId="678505A6" w14:textId="77777777" w:rsidR="00FA7EBF" w:rsidRPr="007939DD" w:rsidRDefault="00FA7EBF" w:rsidP="007B207C">
            <w:pPr>
              <w:pStyle w:val="ARfintablebody"/>
              <w:rPr>
                <w:lang w:eastAsia="en-AU"/>
              </w:rPr>
            </w:pPr>
            <w:r w:rsidRPr="001B6AFF">
              <w:t>Melanie Eagle</w:t>
            </w:r>
          </w:p>
        </w:tc>
        <w:tc>
          <w:tcPr>
            <w:tcW w:w="3402" w:type="dxa"/>
            <w:tcBorders>
              <w:top w:val="single" w:sz="4" w:space="0" w:color="BFBFBF" w:themeColor="accent4"/>
              <w:bottom w:val="single" w:sz="4" w:space="0" w:color="BFBFBF" w:themeColor="accent4"/>
            </w:tcBorders>
          </w:tcPr>
          <w:p w14:paraId="7536ABE2" w14:textId="77777777" w:rsidR="00FA7EBF" w:rsidRPr="007939DD" w:rsidRDefault="00FA7EBF" w:rsidP="007B207C">
            <w:pPr>
              <w:pStyle w:val="ARfintablebody"/>
              <w:rPr>
                <w:lang w:eastAsia="en-AU"/>
              </w:rPr>
            </w:pPr>
            <w:r w:rsidRPr="001B6AFF">
              <w:t>Board Chair</w:t>
            </w:r>
          </w:p>
        </w:tc>
      </w:tr>
      <w:tr w:rsidR="00FA7EBF" w:rsidRPr="007939DD" w14:paraId="010C7894" w14:textId="77777777" w:rsidTr="007B207C">
        <w:trPr>
          <w:cantSplit/>
        </w:trPr>
        <w:tc>
          <w:tcPr>
            <w:tcW w:w="3402" w:type="dxa"/>
            <w:tcBorders>
              <w:top w:val="single" w:sz="4" w:space="0" w:color="BFBFBF" w:themeColor="accent4"/>
              <w:bottom w:val="single" w:sz="4" w:space="0" w:color="BFBFBF" w:themeColor="accent4"/>
            </w:tcBorders>
          </w:tcPr>
          <w:p w14:paraId="6A2FE038" w14:textId="77777777" w:rsidR="00FA7EBF" w:rsidRPr="007939DD" w:rsidRDefault="00FA7EBF" w:rsidP="007B207C">
            <w:pPr>
              <w:pStyle w:val="ARfintablebody"/>
              <w:rPr>
                <w:lang w:eastAsia="en-AU"/>
              </w:rPr>
            </w:pPr>
            <w:r w:rsidRPr="001B6AFF">
              <w:t>Respect Victoria</w:t>
            </w:r>
          </w:p>
        </w:tc>
        <w:tc>
          <w:tcPr>
            <w:tcW w:w="2835" w:type="dxa"/>
            <w:tcBorders>
              <w:top w:val="single" w:sz="4" w:space="0" w:color="BFBFBF" w:themeColor="accent4"/>
              <w:bottom w:val="single" w:sz="4" w:space="0" w:color="BFBFBF" w:themeColor="accent4"/>
            </w:tcBorders>
          </w:tcPr>
          <w:p w14:paraId="49B9A3CD" w14:textId="77777777" w:rsidR="00FA7EBF" w:rsidRPr="007939DD" w:rsidRDefault="00FA7EBF" w:rsidP="007B207C">
            <w:pPr>
              <w:pStyle w:val="ARfintablebody"/>
              <w:rPr>
                <w:lang w:eastAsia="en-AU"/>
              </w:rPr>
            </w:pPr>
            <w:r w:rsidRPr="001B6AFF">
              <w:t>Andi Diamond</w:t>
            </w:r>
          </w:p>
        </w:tc>
        <w:tc>
          <w:tcPr>
            <w:tcW w:w="3402" w:type="dxa"/>
            <w:tcBorders>
              <w:top w:val="single" w:sz="4" w:space="0" w:color="BFBFBF" w:themeColor="accent4"/>
              <w:bottom w:val="single" w:sz="4" w:space="0" w:color="BFBFBF" w:themeColor="accent4"/>
            </w:tcBorders>
          </w:tcPr>
          <w:p w14:paraId="71CDD90B" w14:textId="77777777" w:rsidR="00FA7EBF" w:rsidRPr="007939DD" w:rsidRDefault="00FA7EBF" w:rsidP="007B207C">
            <w:pPr>
              <w:pStyle w:val="ARfintablebody"/>
              <w:rPr>
                <w:lang w:eastAsia="en-AU"/>
              </w:rPr>
            </w:pPr>
            <w:r w:rsidRPr="001B6AFF">
              <w:t>Board Director</w:t>
            </w:r>
          </w:p>
        </w:tc>
      </w:tr>
      <w:tr w:rsidR="00FA7EBF" w:rsidRPr="007939DD" w14:paraId="62B0C2A2" w14:textId="77777777" w:rsidTr="007B207C">
        <w:trPr>
          <w:cantSplit/>
        </w:trPr>
        <w:tc>
          <w:tcPr>
            <w:tcW w:w="3402" w:type="dxa"/>
            <w:tcBorders>
              <w:top w:val="single" w:sz="4" w:space="0" w:color="BFBFBF" w:themeColor="accent4"/>
              <w:bottom w:val="single" w:sz="4" w:space="0" w:color="BFBFBF" w:themeColor="accent4"/>
            </w:tcBorders>
          </w:tcPr>
          <w:p w14:paraId="567A89B9" w14:textId="77777777" w:rsidR="00FA7EBF" w:rsidRPr="007939DD" w:rsidRDefault="00FA7EBF" w:rsidP="007B207C">
            <w:pPr>
              <w:pStyle w:val="ARfintablebody"/>
              <w:rPr>
                <w:lang w:eastAsia="en-AU"/>
              </w:rPr>
            </w:pPr>
            <w:r w:rsidRPr="001B6AFF">
              <w:t>Respect Victoria</w:t>
            </w:r>
          </w:p>
        </w:tc>
        <w:tc>
          <w:tcPr>
            <w:tcW w:w="2835" w:type="dxa"/>
            <w:tcBorders>
              <w:top w:val="single" w:sz="4" w:space="0" w:color="BFBFBF" w:themeColor="accent4"/>
              <w:bottom w:val="single" w:sz="4" w:space="0" w:color="BFBFBF" w:themeColor="accent4"/>
            </w:tcBorders>
          </w:tcPr>
          <w:p w14:paraId="360274BF" w14:textId="77777777" w:rsidR="00FA7EBF" w:rsidRPr="007939DD" w:rsidRDefault="00FA7EBF" w:rsidP="007B207C">
            <w:pPr>
              <w:pStyle w:val="ARfintablebody"/>
              <w:rPr>
                <w:lang w:eastAsia="en-AU"/>
              </w:rPr>
            </w:pPr>
            <w:r w:rsidRPr="001B6AFF">
              <w:t>Kate Fitz-Gibbon</w:t>
            </w:r>
          </w:p>
        </w:tc>
        <w:tc>
          <w:tcPr>
            <w:tcW w:w="3402" w:type="dxa"/>
            <w:tcBorders>
              <w:top w:val="single" w:sz="4" w:space="0" w:color="BFBFBF" w:themeColor="accent4"/>
              <w:bottom w:val="single" w:sz="4" w:space="0" w:color="BFBFBF" w:themeColor="accent4"/>
            </w:tcBorders>
          </w:tcPr>
          <w:p w14:paraId="17458FF7" w14:textId="77777777" w:rsidR="00FA7EBF" w:rsidRPr="007939DD" w:rsidRDefault="00FA7EBF" w:rsidP="007B207C">
            <w:pPr>
              <w:pStyle w:val="ARfintablebody"/>
              <w:rPr>
                <w:lang w:eastAsia="en-AU"/>
              </w:rPr>
            </w:pPr>
            <w:r w:rsidRPr="001B6AFF">
              <w:t>Board Director</w:t>
            </w:r>
          </w:p>
        </w:tc>
      </w:tr>
      <w:tr w:rsidR="00FA7EBF" w:rsidRPr="007939DD" w14:paraId="10FCD943" w14:textId="77777777" w:rsidTr="007B207C">
        <w:trPr>
          <w:cantSplit/>
        </w:trPr>
        <w:tc>
          <w:tcPr>
            <w:tcW w:w="3402" w:type="dxa"/>
            <w:tcBorders>
              <w:top w:val="single" w:sz="4" w:space="0" w:color="BFBFBF" w:themeColor="accent4"/>
              <w:bottom w:val="single" w:sz="4" w:space="0" w:color="BFBFBF" w:themeColor="accent4"/>
            </w:tcBorders>
          </w:tcPr>
          <w:p w14:paraId="32279AC4" w14:textId="77777777" w:rsidR="00FA7EBF" w:rsidRPr="007939DD" w:rsidRDefault="00FA7EBF" w:rsidP="007B207C">
            <w:pPr>
              <w:pStyle w:val="ARfintablebody"/>
              <w:rPr>
                <w:lang w:eastAsia="en-AU"/>
              </w:rPr>
            </w:pPr>
            <w:r w:rsidRPr="001B6AFF">
              <w:t>Respect Victoria</w:t>
            </w:r>
          </w:p>
        </w:tc>
        <w:tc>
          <w:tcPr>
            <w:tcW w:w="2835" w:type="dxa"/>
            <w:tcBorders>
              <w:top w:val="single" w:sz="4" w:space="0" w:color="BFBFBF" w:themeColor="accent4"/>
              <w:bottom w:val="single" w:sz="4" w:space="0" w:color="BFBFBF" w:themeColor="accent4"/>
            </w:tcBorders>
          </w:tcPr>
          <w:p w14:paraId="346929D8" w14:textId="77777777" w:rsidR="00FA7EBF" w:rsidRPr="007939DD" w:rsidRDefault="00FA7EBF" w:rsidP="007B207C">
            <w:pPr>
              <w:pStyle w:val="ARfintablebody"/>
              <w:rPr>
                <w:lang w:eastAsia="en-AU"/>
              </w:rPr>
            </w:pPr>
            <w:r w:rsidRPr="001B6AFF">
              <w:t>Rod Jackson</w:t>
            </w:r>
          </w:p>
        </w:tc>
        <w:tc>
          <w:tcPr>
            <w:tcW w:w="3402" w:type="dxa"/>
            <w:tcBorders>
              <w:top w:val="single" w:sz="4" w:space="0" w:color="BFBFBF" w:themeColor="accent4"/>
              <w:bottom w:val="single" w:sz="4" w:space="0" w:color="BFBFBF" w:themeColor="accent4"/>
            </w:tcBorders>
          </w:tcPr>
          <w:p w14:paraId="417718BD" w14:textId="77777777" w:rsidR="00FA7EBF" w:rsidRPr="007939DD" w:rsidRDefault="00FA7EBF" w:rsidP="007B207C">
            <w:pPr>
              <w:pStyle w:val="ARfintablebody"/>
              <w:rPr>
                <w:lang w:eastAsia="en-AU"/>
              </w:rPr>
            </w:pPr>
            <w:r w:rsidRPr="001B6AFF">
              <w:t>Board Director</w:t>
            </w:r>
          </w:p>
        </w:tc>
      </w:tr>
      <w:tr w:rsidR="00FA7EBF" w:rsidRPr="007939DD" w14:paraId="2C7C29DA" w14:textId="77777777" w:rsidTr="007B207C">
        <w:trPr>
          <w:cantSplit/>
        </w:trPr>
        <w:tc>
          <w:tcPr>
            <w:tcW w:w="3402" w:type="dxa"/>
            <w:tcBorders>
              <w:top w:val="single" w:sz="4" w:space="0" w:color="BFBFBF" w:themeColor="accent4"/>
              <w:bottom w:val="single" w:sz="4" w:space="0" w:color="BFBFBF" w:themeColor="accent4"/>
            </w:tcBorders>
          </w:tcPr>
          <w:p w14:paraId="4F27A792" w14:textId="77777777" w:rsidR="00FA7EBF" w:rsidRPr="007939DD" w:rsidRDefault="00FA7EBF" w:rsidP="007B207C">
            <w:pPr>
              <w:pStyle w:val="ARfintablebody"/>
              <w:rPr>
                <w:lang w:eastAsia="en-AU"/>
              </w:rPr>
            </w:pPr>
            <w:r w:rsidRPr="001B6AFF">
              <w:t>Respect Victoria</w:t>
            </w:r>
          </w:p>
        </w:tc>
        <w:tc>
          <w:tcPr>
            <w:tcW w:w="2835" w:type="dxa"/>
            <w:tcBorders>
              <w:top w:val="single" w:sz="4" w:space="0" w:color="BFBFBF" w:themeColor="accent4"/>
              <w:bottom w:val="single" w:sz="4" w:space="0" w:color="BFBFBF" w:themeColor="accent4"/>
            </w:tcBorders>
          </w:tcPr>
          <w:p w14:paraId="3F5469C6" w14:textId="77777777" w:rsidR="00FA7EBF" w:rsidRPr="007939DD" w:rsidRDefault="00FA7EBF" w:rsidP="007B207C">
            <w:pPr>
              <w:pStyle w:val="ARfintablebody"/>
              <w:rPr>
                <w:lang w:eastAsia="en-AU"/>
              </w:rPr>
            </w:pPr>
            <w:r w:rsidRPr="001B6AFF">
              <w:t>Emily Maguire</w:t>
            </w:r>
          </w:p>
        </w:tc>
        <w:tc>
          <w:tcPr>
            <w:tcW w:w="3402" w:type="dxa"/>
            <w:tcBorders>
              <w:top w:val="single" w:sz="4" w:space="0" w:color="BFBFBF" w:themeColor="accent4"/>
              <w:bottom w:val="single" w:sz="4" w:space="0" w:color="BFBFBF" w:themeColor="accent4"/>
            </w:tcBorders>
          </w:tcPr>
          <w:p w14:paraId="246AB3B0" w14:textId="77777777" w:rsidR="00FA7EBF" w:rsidRPr="007939DD" w:rsidRDefault="00FA7EBF" w:rsidP="007B207C">
            <w:pPr>
              <w:pStyle w:val="ARfintablebody"/>
              <w:rPr>
                <w:lang w:eastAsia="en-AU"/>
              </w:rPr>
            </w:pPr>
            <w:r w:rsidRPr="001B6AFF">
              <w:t>Board Director</w:t>
            </w:r>
          </w:p>
        </w:tc>
      </w:tr>
      <w:tr w:rsidR="00FA7EBF" w:rsidRPr="007939DD" w14:paraId="27F3D340" w14:textId="77777777" w:rsidTr="007B207C">
        <w:trPr>
          <w:cantSplit/>
        </w:trPr>
        <w:tc>
          <w:tcPr>
            <w:tcW w:w="3402" w:type="dxa"/>
            <w:tcBorders>
              <w:top w:val="single" w:sz="4" w:space="0" w:color="BFBFBF" w:themeColor="accent4"/>
              <w:bottom w:val="single" w:sz="4" w:space="0" w:color="BFBFBF" w:themeColor="accent4"/>
            </w:tcBorders>
          </w:tcPr>
          <w:p w14:paraId="325E4B8A" w14:textId="77777777" w:rsidR="00FA7EBF" w:rsidRPr="007939DD" w:rsidRDefault="00FA7EBF" w:rsidP="007B207C">
            <w:pPr>
              <w:pStyle w:val="ARfintablebody"/>
              <w:rPr>
                <w:lang w:eastAsia="en-AU"/>
              </w:rPr>
            </w:pPr>
            <w:r w:rsidRPr="001B6AFF">
              <w:t>Respect Victoria</w:t>
            </w:r>
          </w:p>
        </w:tc>
        <w:tc>
          <w:tcPr>
            <w:tcW w:w="2835" w:type="dxa"/>
            <w:tcBorders>
              <w:top w:val="single" w:sz="4" w:space="0" w:color="BFBFBF" w:themeColor="accent4"/>
              <w:bottom w:val="single" w:sz="4" w:space="0" w:color="BFBFBF" w:themeColor="accent4"/>
            </w:tcBorders>
          </w:tcPr>
          <w:p w14:paraId="6684C193" w14:textId="77777777" w:rsidR="00FA7EBF" w:rsidRPr="007939DD" w:rsidRDefault="00FA7EBF" w:rsidP="007B207C">
            <w:pPr>
              <w:pStyle w:val="ARfintablebody"/>
              <w:rPr>
                <w:lang w:eastAsia="en-AU"/>
              </w:rPr>
            </w:pPr>
            <w:r w:rsidRPr="001B6AFF">
              <w:t>Julia Mason</w:t>
            </w:r>
          </w:p>
        </w:tc>
        <w:tc>
          <w:tcPr>
            <w:tcW w:w="3402" w:type="dxa"/>
            <w:tcBorders>
              <w:top w:val="single" w:sz="4" w:space="0" w:color="BFBFBF" w:themeColor="accent4"/>
              <w:bottom w:val="single" w:sz="4" w:space="0" w:color="BFBFBF" w:themeColor="accent4"/>
            </w:tcBorders>
          </w:tcPr>
          <w:p w14:paraId="0E031972" w14:textId="77777777" w:rsidR="00FA7EBF" w:rsidRPr="007939DD" w:rsidRDefault="00FA7EBF" w:rsidP="007B207C">
            <w:pPr>
              <w:pStyle w:val="ARfintablebody"/>
              <w:rPr>
                <w:lang w:eastAsia="en-AU"/>
              </w:rPr>
            </w:pPr>
            <w:r w:rsidRPr="001B6AFF">
              <w:t>Board Director</w:t>
            </w:r>
          </w:p>
        </w:tc>
      </w:tr>
      <w:tr w:rsidR="00FA7EBF" w:rsidRPr="007939DD" w14:paraId="3DFBBB71" w14:textId="77777777" w:rsidTr="007B207C">
        <w:trPr>
          <w:cantSplit/>
        </w:trPr>
        <w:tc>
          <w:tcPr>
            <w:tcW w:w="3402" w:type="dxa"/>
            <w:tcBorders>
              <w:top w:val="single" w:sz="4" w:space="0" w:color="BFBFBF" w:themeColor="accent4"/>
              <w:bottom w:val="single" w:sz="4" w:space="0" w:color="BFBFBF" w:themeColor="accent4"/>
            </w:tcBorders>
          </w:tcPr>
          <w:p w14:paraId="4FFC17DD" w14:textId="77777777" w:rsidR="00FA7EBF" w:rsidRPr="007939DD" w:rsidRDefault="00FA7EBF" w:rsidP="007B207C">
            <w:pPr>
              <w:pStyle w:val="ARfintablebody"/>
              <w:rPr>
                <w:lang w:eastAsia="en-AU"/>
              </w:rPr>
            </w:pPr>
            <w:r w:rsidRPr="001B6AFF">
              <w:t>Respect Victoria</w:t>
            </w:r>
          </w:p>
        </w:tc>
        <w:tc>
          <w:tcPr>
            <w:tcW w:w="2835" w:type="dxa"/>
            <w:tcBorders>
              <w:top w:val="single" w:sz="4" w:space="0" w:color="BFBFBF" w:themeColor="accent4"/>
              <w:bottom w:val="single" w:sz="4" w:space="0" w:color="BFBFBF" w:themeColor="accent4"/>
            </w:tcBorders>
          </w:tcPr>
          <w:p w14:paraId="152C5C6B" w14:textId="77777777" w:rsidR="00FA7EBF" w:rsidRPr="007939DD" w:rsidRDefault="00FA7EBF" w:rsidP="007B207C">
            <w:pPr>
              <w:pStyle w:val="ARfintablebody"/>
              <w:rPr>
                <w:lang w:eastAsia="en-AU"/>
              </w:rPr>
            </w:pPr>
            <w:r w:rsidRPr="001B6AFF">
              <w:t>Liana Papoutsis</w:t>
            </w:r>
          </w:p>
        </w:tc>
        <w:tc>
          <w:tcPr>
            <w:tcW w:w="3402" w:type="dxa"/>
            <w:tcBorders>
              <w:top w:val="single" w:sz="4" w:space="0" w:color="BFBFBF" w:themeColor="accent4"/>
              <w:bottom w:val="single" w:sz="4" w:space="0" w:color="BFBFBF" w:themeColor="accent4"/>
            </w:tcBorders>
          </w:tcPr>
          <w:p w14:paraId="61E23442" w14:textId="77777777" w:rsidR="00FA7EBF" w:rsidRPr="007939DD" w:rsidRDefault="00FA7EBF" w:rsidP="007B207C">
            <w:pPr>
              <w:pStyle w:val="ARfintablebody"/>
              <w:rPr>
                <w:lang w:eastAsia="en-AU"/>
              </w:rPr>
            </w:pPr>
            <w:r w:rsidRPr="001B6AFF">
              <w:t>Board Director</w:t>
            </w:r>
          </w:p>
        </w:tc>
      </w:tr>
      <w:tr w:rsidR="00FA7EBF" w:rsidRPr="007939DD" w14:paraId="0E611966" w14:textId="77777777" w:rsidTr="007B207C">
        <w:trPr>
          <w:cantSplit/>
        </w:trPr>
        <w:tc>
          <w:tcPr>
            <w:tcW w:w="3402" w:type="dxa"/>
            <w:tcBorders>
              <w:top w:val="single" w:sz="4" w:space="0" w:color="BFBFBF" w:themeColor="accent4"/>
            </w:tcBorders>
          </w:tcPr>
          <w:p w14:paraId="7D52B45D" w14:textId="77777777" w:rsidR="00FA7EBF" w:rsidRPr="007939DD" w:rsidRDefault="00FA7EBF" w:rsidP="007B207C">
            <w:pPr>
              <w:pStyle w:val="ARfintablebody"/>
              <w:rPr>
                <w:lang w:eastAsia="en-AU"/>
              </w:rPr>
            </w:pPr>
            <w:r w:rsidRPr="001B6AFF">
              <w:t>Respect Victoria</w:t>
            </w:r>
          </w:p>
        </w:tc>
        <w:tc>
          <w:tcPr>
            <w:tcW w:w="2835" w:type="dxa"/>
            <w:tcBorders>
              <w:top w:val="single" w:sz="4" w:space="0" w:color="BFBFBF" w:themeColor="accent4"/>
            </w:tcBorders>
          </w:tcPr>
          <w:p w14:paraId="68DE5D93" w14:textId="77777777" w:rsidR="00FA7EBF" w:rsidRPr="007939DD" w:rsidRDefault="00FA7EBF" w:rsidP="007B207C">
            <w:pPr>
              <w:pStyle w:val="ARfintablebody"/>
              <w:rPr>
                <w:lang w:eastAsia="en-AU"/>
              </w:rPr>
            </w:pPr>
            <w:r w:rsidRPr="001B6AFF">
              <w:t>Steve Walsh</w:t>
            </w:r>
          </w:p>
        </w:tc>
        <w:tc>
          <w:tcPr>
            <w:tcW w:w="3402" w:type="dxa"/>
            <w:tcBorders>
              <w:top w:val="single" w:sz="4" w:space="0" w:color="BFBFBF" w:themeColor="accent4"/>
            </w:tcBorders>
          </w:tcPr>
          <w:p w14:paraId="35B8D21B" w14:textId="77777777" w:rsidR="00FA7EBF" w:rsidRPr="007939DD" w:rsidRDefault="00FA7EBF" w:rsidP="007B207C">
            <w:pPr>
              <w:pStyle w:val="ARfintablebody"/>
              <w:rPr>
                <w:lang w:eastAsia="en-AU"/>
              </w:rPr>
            </w:pPr>
            <w:r w:rsidRPr="001B6AFF">
              <w:t>Board Director</w:t>
            </w:r>
          </w:p>
        </w:tc>
      </w:tr>
    </w:tbl>
    <w:p w14:paraId="3E180B63" w14:textId="77777777" w:rsidR="00FA7EBF" w:rsidRPr="00194D78" w:rsidRDefault="00FA7EBF" w:rsidP="00CA66FD">
      <w:pPr>
        <w:pStyle w:val="Heading5"/>
        <w:rPr>
          <w:lang w:eastAsia="en-AU"/>
        </w:rPr>
      </w:pPr>
      <w:bookmarkStart w:id="276" w:name="_Ref21960704"/>
      <w:r w:rsidRPr="00194D78">
        <w:rPr>
          <w:lang w:eastAsia="en-AU"/>
        </w:rPr>
        <w:t>Remuneration of key management personnel</w:t>
      </w:r>
      <w:bookmarkEnd w:id="276"/>
    </w:p>
    <w:p w14:paraId="3B79AAAF" w14:textId="77777777" w:rsidR="00FA7EBF" w:rsidRDefault="00FA7EBF" w:rsidP="00CA66FD">
      <w:pPr>
        <w:pStyle w:val="ARfinbody"/>
      </w:pPr>
      <w:r w:rsidRPr="00194D78">
        <w:t>The compensation detailed below excludes the salaries and benefits the Portfolio Minister received. The Minister</w:t>
      </w:r>
      <w:r>
        <w:t>’</w:t>
      </w:r>
      <w:r w:rsidRPr="00194D78">
        <w:t xml:space="preserve">s remuneration and allowances is set by the </w:t>
      </w:r>
      <w:r w:rsidRPr="00F524E9">
        <w:rPr>
          <w:rStyle w:val="Emphasis"/>
          <w:iCs w:val="0"/>
        </w:rPr>
        <w:t>Parliamentary Salaries and Superannuation Act 1968</w:t>
      </w:r>
      <w:r w:rsidRPr="00194D78">
        <w:t xml:space="preserve"> is reported within the Department of Parliamentary Services</w:t>
      </w:r>
      <w:r>
        <w:t>’</w:t>
      </w:r>
      <w:r w:rsidRPr="00194D78">
        <w:t xml:space="preserve"> Financial Report.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right w:w="0" w:type="dxa"/>
        </w:tblCellMar>
        <w:tblLook w:val="00A0" w:firstRow="1" w:lastRow="0" w:firstColumn="1" w:lastColumn="0" w:noHBand="0" w:noVBand="0"/>
      </w:tblPr>
      <w:tblGrid>
        <w:gridCol w:w="2835"/>
        <w:gridCol w:w="1134"/>
        <w:gridCol w:w="1134"/>
        <w:gridCol w:w="1134"/>
        <w:gridCol w:w="1134"/>
        <w:gridCol w:w="1134"/>
        <w:gridCol w:w="1134"/>
      </w:tblGrid>
      <w:tr w:rsidR="00FA7EBF" w:rsidRPr="007939DD" w14:paraId="596DB1DC" w14:textId="77777777" w:rsidTr="007B207C">
        <w:trPr>
          <w:cantSplit/>
          <w:tblHeader/>
        </w:trPr>
        <w:tc>
          <w:tcPr>
            <w:tcW w:w="2835" w:type="dxa"/>
            <w:vMerge w:val="restart"/>
            <w:vAlign w:val="bottom"/>
          </w:tcPr>
          <w:p w14:paraId="4595CD9F" w14:textId="77777777" w:rsidR="00FA7EBF" w:rsidRPr="007939DD" w:rsidRDefault="00FA7EBF" w:rsidP="007B207C">
            <w:pPr>
              <w:pStyle w:val="ARfintablecolhead"/>
            </w:pPr>
            <w:r w:rsidRPr="007939DD">
              <w:t>Compensation of KMPs</w:t>
            </w:r>
          </w:p>
        </w:tc>
        <w:tc>
          <w:tcPr>
            <w:tcW w:w="2268" w:type="dxa"/>
            <w:gridSpan w:val="2"/>
            <w:vAlign w:val="bottom"/>
          </w:tcPr>
          <w:p w14:paraId="1EFE22A2" w14:textId="77777777" w:rsidR="00FA7EBF" w:rsidRPr="007939DD" w:rsidRDefault="00FA7EBF" w:rsidP="007B207C">
            <w:pPr>
              <w:pStyle w:val="ARfintablecolheadcentre"/>
            </w:pPr>
            <w:r w:rsidRPr="007939DD">
              <w:t xml:space="preserve">Department of Health </w:t>
            </w:r>
            <w:r w:rsidRPr="007939DD">
              <w:br/>
              <w:t>and Human Services</w:t>
            </w:r>
          </w:p>
        </w:tc>
        <w:tc>
          <w:tcPr>
            <w:tcW w:w="2268" w:type="dxa"/>
            <w:gridSpan w:val="2"/>
            <w:vAlign w:val="bottom"/>
          </w:tcPr>
          <w:p w14:paraId="16835A79" w14:textId="77777777" w:rsidR="00FA7EBF" w:rsidRPr="007939DD" w:rsidRDefault="00FA7EBF" w:rsidP="007B207C">
            <w:pPr>
              <w:pStyle w:val="ARfintablecolheadcentre"/>
            </w:pPr>
            <w:r w:rsidRPr="007939DD">
              <w:t xml:space="preserve">Administrative Offices </w:t>
            </w:r>
            <w:r w:rsidRPr="007939DD">
              <w:rPr>
                <w:rStyle w:val="Superscript"/>
                <w:rFonts w:cs="Arial"/>
              </w:rPr>
              <w:t>(i)</w:t>
            </w:r>
          </w:p>
        </w:tc>
        <w:tc>
          <w:tcPr>
            <w:tcW w:w="2268" w:type="dxa"/>
            <w:gridSpan w:val="2"/>
            <w:vAlign w:val="bottom"/>
          </w:tcPr>
          <w:p w14:paraId="4832A195" w14:textId="77777777" w:rsidR="00FA7EBF" w:rsidRPr="007939DD" w:rsidRDefault="00FA7EBF" w:rsidP="007B207C">
            <w:pPr>
              <w:pStyle w:val="ARfintablecolheadcentre"/>
            </w:pPr>
            <w:r w:rsidRPr="007939DD">
              <w:t xml:space="preserve">Section 53 </w:t>
            </w:r>
            <w:r w:rsidRPr="007939DD">
              <w:rPr>
                <w:rStyle w:val="Superscript"/>
                <w:rFonts w:cs="Arial"/>
              </w:rPr>
              <w:t>(</w:t>
            </w:r>
            <w:r>
              <w:rPr>
                <w:rStyle w:val="Superscript"/>
                <w:rFonts w:cs="Arial"/>
              </w:rPr>
              <w:t>ii</w:t>
            </w:r>
            <w:r w:rsidRPr="007939DD">
              <w:rPr>
                <w:rStyle w:val="Superscript"/>
                <w:rFonts w:cs="Arial"/>
              </w:rPr>
              <w:t>)</w:t>
            </w:r>
          </w:p>
        </w:tc>
      </w:tr>
      <w:tr w:rsidR="00FA7EBF" w:rsidRPr="007939DD" w14:paraId="7E846510" w14:textId="77777777" w:rsidTr="007B207C">
        <w:trPr>
          <w:cantSplit/>
          <w:tblHeader/>
        </w:trPr>
        <w:tc>
          <w:tcPr>
            <w:tcW w:w="2835" w:type="dxa"/>
            <w:vMerge/>
            <w:vAlign w:val="bottom"/>
          </w:tcPr>
          <w:p w14:paraId="604D31DE" w14:textId="77777777" w:rsidR="00FA7EBF" w:rsidRPr="007939DD" w:rsidRDefault="00FA7EBF" w:rsidP="007B207C">
            <w:pPr>
              <w:pStyle w:val="ARfintablecolheadright"/>
            </w:pPr>
          </w:p>
        </w:tc>
        <w:tc>
          <w:tcPr>
            <w:tcW w:w="1134" w:type="dxa"/>
            <w:shd w:val="clear" w:color="auto" w:fill="E7E6E6"/>
            <w:vAlign w:val="bottom"/>
          </w:tcPr>
          <w:p w14:paraId="0C7EEF89" w14:textId="77777777" w:rsidR="00FA7EBF" w:rsidRPr="007939DD" w:rsidRDefault="00FA7EBF" w:rsidP="007B207C">
            <w:pPr>
              <w:pStyle w:val="ARfintablecolheadright"/>
            </w:pPr>
            <w:r w:rsidRPr="007939DD">
              <w:t>201</w:t>
            </w:r>
            <w:r>
              <w:t>9</w:t>
            </w:r>
          </w:p>
          <w:p w14:paraId="7CB82518" w14:textId="77777777" w:rsidR="00FA7EBF" w:rsidRPr="007939DD" w:rsidRDefault="00FA7EBF" w:rsidP="007B207C">
            <w:pPr>
              <w:pStyle w:val="ARfintablecolheadright"/>
            </w:pPr>
            <w:r w:rsidRPr="007939DD">
              <w:t>$M</w:t>
            </w:r>
          </w:p>
        </w:tc>
        <w:tc>
          <w:tcPr>
            <w:tcW w:w="1134" w:type="dxa"/>
            <w:vAlign w:val="bottom"/>
          </w:tcPr>
          <w:p w14:paraId="3F74111D" w14:textId="77777777" w:rsidR="00FA7EBF" w:rsidRPr="007939DD" w:rsidRDefault="00FA7EBF" w:rsidP="007B207C">
            <w:pPr>
              <w:pStyle w:val="ARfintablecolheadright"/>
            </w:pPr>
            <w:r w:rsidRPr="007939DD">
              <w:t>201</w:t>
            </w:r>
            <w:r>
              <w:t>8</w:t>
            </w:r>
          </w:p>
          <w:p w14:paraId="62C16810" w14:textId="77777777" w:rsidR="00FA7EBF" w:rsidRPr="007939DD" w:rsidRDefault="00FA7EBF" w:rsidP="007B207C">
            <w:pPr>
              <w:pStyle w:val="ARfintablecolheadright"/>
            </w:pPr>
            <w:r w:rsidRPr="007939DD">
              <w:t>$M</w:t>
            </w:r>
          </w:p>
        </w:tc>
        <w:tc>
          <w:tcPr>
            <w:tcW w:w="1134" w:type="dxa"/>
            <w:shd w:val="clear" w:color="auto" w:fill="E7E6E6"/>
            <w:vAlign w:val="bottom"/>
          </w:tcPr>
          <w:p w14:paraId="30C2288C" w14:textId="77777777" w:rsidR="00FA7EBF" w:rsidRPr="007939DD" w:rsidRDefault="00FA7EBF" w:rsidP="007B207C">
            <w:pPr>
              <w:pStyle w:val="ARfintablecolheadright"/>
            </w:pPr>
            <w:r w:rsidRPr="007939DD">
              <w:t>201</w:t>
            </w:r>
            <w:r>
              <w:t>9</w:t>
            </w:r>
          </w:p>
          <w:p w14:paraId="239A4A91" w14:textId="77777777" w:rsidR="00FA7EBF" w:rsidRPr="007939DD" w:rsidRDefault="00FA7EBF" w:rsidP="007B207C">
            <w:pPr>
              <w:pStyle w:val="ARfintablecolheadright"/>
            </w:pPr>
            <w:r w:rsidRPr="007939DD">
              <w:t>$M</w:t>
            </w:r>
          </w:p>
        </w:tc>
        <w:tc>
          <w:tcPr>
            <w:tcW w:w="1134" w:type="dxa"/>
            <w:vAlign w:val="bottom"/>
          </w:tcPr>
          <w:p w14:paraId="712B6FFE" w14:textId="77777777" w:rsidR="00FA7EBF" w:rsidRPr="007939DD" w:rsidRDefault="00FA7EBF" w:rsidP="007B207C">
            <w:pPr>
              <w:pStyle w:val="ARfintablecolheadright"/>
            </w:pPr>
            <w:r w:rsidRPr="007939DD">
              <w:t>201</w:t>
            </w:r>
            <w:r>
              <w:t>8</w:t>
            </w:r>
          </w:p>
          <w:p w14:paraId="2A7462E1" w14:textId="77777777" w:rsidR="00FA7EBF" w:rsidRPr="007939DD" w:rsidRDefault="00FA7EBF" w:rsidP="007B207C">
            <w:pPr>
              <w:pStyle w:val="ARfintablecolheadright"/>
            </w:pPr>
            <w:r w:rsidRPr="007939DD">
              <w:t>$M</w:t>
            </w:r>
          </w:p>
        </w:tc>
        <w:tc>
          <w:tcPr>
            <w:tcW w:w="1134" w:type="dxa"/>
            <w:shd w:val="clear" w:color="auto" w:fill="E7E6E6"/>
            <w:vAlign w:val="bottom"/>
          </w:tcPr>
          <w:p w14:paraId="4E02121A" w14:textId="77777777" w:rsidR="00FA7EBF" w:rsidRPr="007939DD" w:rsidRDefault="00FA7EBF" w:rsidP="007B207C">
            <w:pPr>
              <w:pStyle w:val="ARfintablecolheadright"/>
            </w:pPr>
            <w:r w:rsidRPr="007939DD">
              <w:t>201</w:t>
            </w:r>
            <w:r>
              <w:t>9</w:t>
            </w:r>
          </w:p>
          <w:p w14:paraId="407D4A69" w14:textId="77777777" w:rsidR="00FA7EBF" w:rsidRPr="007939DD" w:rsidRDefault="00FA7EBF" w:rsidP="007B207C">
            <w:pPr>
              <w:pStyle w:val="ARfintablecolheadright"/>
            </w:pPr>
            <w:r w:rsidRPr="007939DD">
              <w:t>$M</w:t>
            </w:r>
          </w:p>
        </w:tc>
        <w:tc>
          <w:tcPr>
            <w:tcW w:w="1134" w:type="dxa"/>
            <w:vAlign w:val="bottom"/>
          </w:tcPr>
          <w:p w14:paraId="219C6541" w14:textId="77777777" w:rsidR="00FA7EBF" w:rsidRPr="007939DD" w:rsidRDefault="00FA7EBF" w:rsidP="007B207C">
            <w:pPr>
              <w:pStyle w:val="ARfintablecolheadright"/>
            </w:pPr>
            <w:r w:rsidRPr="007939DD">
              <w:t>201</w:t>
            </w:r>
            <w:r>
              <w:t>8</w:t>
            </w:r>
          </w:p>
          <w:p w14:paraId="07E5308E" w14:textId="77777777" w:rsidR="00FA7EBF" w:rsidRPr="007939DD" w:rsidRDefault="00FA7EBF" w:rsidP="007B207C">
            <w:pPr>
              <w:pStyle w:val="ARfintablecolheadright"/>
            </w:pPr>
            <w:r w:rsidRPr="007939DD">
              <w:t>$M</w:t>
            </w:r>
          </w:p>
        </w:tc>
      </w:tr>
      <w:tr w:rsidR="00FA7EBF" w:rsidRPr="007939DD" w14:paraId="3B5C29D7" w14:textId="77777777" w:rsidTr="007B207C">
        <w:trPr>
          <w:cantSplit/>
        </w:trPr>
        <w:tc>
          <w:tcPr>
            <w:tcW w:w="2835" w:type="dxa"/>
            <w:tcBorders>
              <w:bottom w:val="single" w:sz="4" w:space="0" w:color="A6A6A6" w:themeColor="background1" w:themeShade="A6"/>
            </w:tcBorders>
          </w:tcPr>
          <w:p w14:paraId="382620D5" w14:textId="77777777" w:rsidR="00FA7EBF" w:rsidRPr="007939DD" w:rsidRDefault="00FA7EBF" w:rsidP="007B207C">
            <w:pPr>
              <w:pStyle w:val="ARfintablebody"/>
              <w:rPr>
                <w:lang w:eastAsia="en-AU"/>
              </w:rPr>
            </w:pPr>
            <w:r w:rsidRPr="00342064">
              <w:t xml:space="preserve">Short-term employee benefits </w:t>
            </w:r>
            <w:r w:rsidRPr="00CF08AE">
              <w:rPr>
                <w:rStyle w:val="Superscript"/>
              </w:rPr>
              <w:t>(i</w:t>
            </w:r>
            <w:r>
              <w:rPr>
                <w:rStyle w:val="Superscript"/>
              </w:rPr>
              <w:t>ii</w:t>
            </w:r>
            <w:r w:rsidRPr="00CF08AE">
              <w:rPr>
                <w:rStyle w:val="Superscript"/>
              </w:rPr>
              <w:t>)</w:t>
            </w:r>
          </w:p>
        </w:tc>
        <w:tc>
          <w:tcPr>
            <w:tcW w:w="1134" w:type="dxa"/>
            <w:tcBorders>
              <w:bottom w:val="single" w:sz="4" w:space="0" w:color="A6A6A6" w:themeColor="background1" w:themeShade="A6"/>
            </w:tcBorders>
            <w:shd w:val="clear" w:color="auto" w:fill="E7E6E6"/>
          </w:tcPr>
          <w:p w14:paraId="29C65556" w14:textId="77777777" w:rsidR="00FA7EBF" w:rsidRPr="007939DD" w:rsidRDefault="00FA7EBF" w:rsidP="007B207C">
            <w:pPr>
              <w:pStyle w:val="ARfintablebodyright"/>
              <w:rPr>
                <w:lang w:eastAsia="en-AU"/>
              </w:rPr>
            </w:pPr>
            <w:r w:rsidRPr="00342064">
              <w:t>3.4</w:t>
            </w:r>
          </w:p>
        </w:tc>
        <w:tc>
          <w:tcPr>
            <w:tcW w:w="1134" w:type="dxa"/>
            <w:tcBorders>
              <w:bottom w:val="single" w:sz="4" w:space="0" w:color="A6A6A6" w:themeColor="background1" w:themeShade="A6"/>
            </w:tcBorders>
          </w:tcPr>
          <w:p w14:paraId="38C4826F" w14:textId="77777777" w:rsidR="00FA7EBF" w:rsidRPr="007939DD" w:rsidRDefault="00FA7EBF" w:rsidP="007B207C">
            <w:pPr>
              <w:pStyle w:val="ARfintablebodyright"/>
              <w:rPr>
                <w:lang w:eastAsia="en-AU"/>
              </w:rPr>
            </w:pPr>
            <w:r w:rsidRPr="00342064">
              <w:t>3.3</w:t>
            </w:r>
          </w:p>
        </w:tc>
        <w:tc>
          <w:tcPr>
            <w:tcW w:w="1134" w:type="dxa"/>
            <w:tcBorders>
              <w:bottom w:val="single" w:sz="4" w:space="0" w:color="A6A6A6" w:themeColor="background1" w:themeShade="A6"/>
            </w:tcBorders>
            <w:shd w:val="clear" w:color="auto" w:fill="E7E6E6"/>
          </w:tcPr>
          <w:p w14:paraId="65CCAD05" w14:textId="77777777" w:rsidR="00FA7EBF" w:rsidRPr="007939DD" w:rsidRDefault="00FA7EBF" w:rsidP="007B207C">
            <w:pPr>
              <w:pStyle w:val="ARfintablebodyright"/>
              <w:rPr>
                <w:lang w:eastAsia="en-AU"/>
              </w:rPr>
            </w:pPr>
            <w:r w:rsidRPr="00342064">
              <w:t>1.3</w:t>
            </w:r>
          </w:p>
        </w:tc>
        <w:tc>
          <w:tcPr>
            <w:tcW w:w="1134" w:type="dxa"/>
            <w:tcBorders>
              <w:bottom w:val="single" w:sz="4" w:space="0" w:color="A6A6A6" w:themeColor="background1" w:themeShade="A6"/>
            </w:tcBorders>
          </w:tcPr>
          <w:p w14:paraId="78168AB4" w14:textId="77777777" w:rsidR="00FA7EBF" w:rsidRPr="007939DD" w:rsidRDefault="00FA7EBF" w:rsidP="007B207C">
            <w:pPr>
              <w:pStyle w:val="ARfintablebodyright"/>
              <w:rPr>
                <w:lang w:eastAsia="en-AU"/>
              </w:rPr>
            </w:pPr>
            <w:r w:rsidRPr="00342064">
              <w:t>1.1</w:t>
            </w:r>
          </w:p>
        </w:tc>
        <w:tc>
          <w:tcPr>
            <w:tcW w:w="1134" w:type="dxa"/>
            <w:tcBorders>
              <w:bottom w:val="single" w:sz="4" w:space="0" w:color="A6A6A6" w:themeColor="background1" w:themeShade="A6"/>
            </w:tcBorders>
            <w:shd w:val="clear" w:color="auto" w:fill="E7E6E6"/>
          </w:tcPr>
          <w:p w14:paraId="13D41F31" w14:textId="77777777" w:rsidR="00FA7EBF" w:rsidRPr="007939DD" w:rsidRDefault="00FA7EBF" w:rsidP="007B207C">
            <w:pPr>
              <w:pStyle w:val="ARfintablebodyright"/>
              <w:rPr>
                <w:lang w:eastAsia="en-AU"/>
              </w:rPr>
            </w:pPr>
            <w:r w:rsidRPr="00342064">
              <w:t>0.8</w:t>
            </w:r>
          </w:p>
        </w:tc>
        <w:tc>
          <w:tcPr>
            <w:tcW w:w="1134" w:type="dxa"/>
            <w:tcBorders>
              <w:bottom w:val="single" w:sz="4" w:space="0" w:color="A6A6A6" w:themeColor="background1" w:themeShade="A6"/>
            </w:tcBorders>
          </w:tcPr>
          <w:p w14:paraId="4BBD61C2" w14:textId="77777777" w:rsidR="00FA7EBF" w:rsidRPr="007939DD" w:rsidRDefault="00FA7EBF" w:rsidP="007B207C">
            <w:pPr>
              <w:pStyle w:val="ARfintablebodyright"/>
              <w:rPr>
                <w:lang w:eastAsia="en-AU"/>
              </w:rPr>
            </w:pPr>
            <w:r w:rsidRPr="00342064">
              <w:t>0.6</w:t>
            </w:r>
          </w:p>
        </w:tc>
      </w:tr>
      <w:tr w:rsidR="00FA7EBF" w:rsidRPr="007939DD" w14:paraId="6329015B" w14:textId="77777777" w:rsidTr="007B207C">
        <w:trPr>
          <w:cantSplit/>
        </w:trPr>
        <w:tc>
          <w:tcPr>
            <w:tcW w:w="2835" w:type="dxa"/>
            <w:tcBorders>
              <w:top w:val="single" w:sz="4" w:space="0" w:color="A6A6A6" w:themeColor="background1" w:themeShade="A6"/>
              <w:bottom w:val="single" w:sz="4" w:space="0" w:color="A6A6A6" w:themeColor="background1" w:themeShade="A6"/>
            </w:tcBorders>
          </w:tcPr>
          <w:p w14:paraId="59BDF931" w14:textId="77777777" w:rsidR="00FA7EBF" w:rsidRPr="007939DD" w:rsidRDefault="00FA7EBF" w:rsidP="007B207C">
            <w:pPr>
              <w:pStyle w:val="ARfintablebody"/>
              <w:rPr>
                <w:lang w:eastAsia="en-AU"/>
              </w:rPr>
            </w:pPr>
            <w:r w:rsidRPr="00342064">
              <w:t>Post-employment benefits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680DAFB4" w14:textId="77777777" w:rsidR="00FA7EBF" w:rsidRPr="007939DD" w:rsidRDefault="00FA7EBF" w:rsidP="007B207C">
            <w:pPr>
              <w:pStyle w:val="ARfintablebodyright"/>
              <w:rPr>
                <w:lang w:eastAsia="en-AU"/>
              </w:rPr>
            </w:pPr>
            <w:r w:rsidRPr="00342064">
              <w:t>0.2</w:t>
            </w:r>
          </w:p>
        </w:tc>
        <w:tc>
          <w:tcPr>
            <w:tcW w:w="1134" w:type="dxa"/>
            <w:tcBorders>
              <w:top w:val="single" w:sz="4" w:space="0" w:color="A6A6A6" w:themeColor="background1" w:themeShade="A6"/>
              <w:bottom w:val="single" w:sz="4" w:space="0" w:color="A6A6A6" w:themeColor="background1" w:themeShade="A6"/>
            </w:tcBorders>
          </w:tcPr>
          <w:p w14:paraId="701A8399" w14:textId="77777777" w:rsidR="00FA7EBF" w:rsidRPr="007939DD" w:rsidRDefault="00FA7EBF" w:rsidP="007B207C">
            <w:pPr>
              <w:pStyle w:val="ARfintablebodyright"/>
              <w:rPr>
                <w:lang w:eastAsia="en-AU"/>
              </w:rPr>
            </w:pPr>
            <w:r w:rsidRPr="00342064">
              <w:t>0.2</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4378469" w14:textId="77777777" w:rsidR="00FA7EBF" w:rsidRPr="007939DD" w:rsidRDefault="00FA7EBF" w:rsidP="007B207C">
            <w:pPr>
              <w:pStyle w:val="ARfintablebodyright"/>
              <w:rPr>
                <w:lang w:eastAsia="en-AU"/>
              </w:rPr>
            </w:pPr>
            <w:r w:rsidRPr="00342064">
              <w:t>0.1</w:t>
            </w:r>
          </w:p>
        </w:tc>
        <w:tc>
          <w:tcPr>
            <w:tcW w:w="1134" w:type="dxa"/>
            <w:tcBorders>
              <w:top w:val="single" w:sz="4" w:space="0" w:color="A6A6A6" w:themeColor="background1" w:themeShade="A6"/>
              <w:bottom w:val="single" w:sz="4" w:space="0" w:color="A6A6A6" w:themeColor="background1" w:themeShade="A6"/>
            </w:tcBorders>
          </w:tcPr>
          <w:p w14:paraId="20DF857D" w14:textId="77777777" w:rsidR="00FA7EBF" w:rsidRPr="007939DD" w:rsidRDefault="00FA7EBF" w:rsidP="007B207C">
            <w:pPr>
              <w:pStyle w:val="ARfintablebodyright"/>
              <w:rPr>
                <w:lang w:eastAsia="en-AU"/>
              </w:rPr>
            </w:pPr>
            <w:r w:rsidRPr="00342064">
              <w:t>0.1</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A10E1FB" w14:textId="77777777" w:rsidR="00FA7EBF" w:rsidRPr="007939DD" w:rsidRDefault="00FA7EBF" w:rsidP="007B207C">
            <w:pPr>
              <w:pStyle w:val="ARfintablebodyright"/>
              <w:rPr>
                <w:lang w:eastAsia="en-AU"/>
              </w:rPr>
            </w:pPr>
            <w:r w:rsidRPr="00342064">
              <w:t>0.1</w:t>
            </w:r>
          </w:p>
        </w:tc>
        <w:tc>
          <w:tcPr>
            <w:tcW w:w="1134" w:type="dxa"/>
            <w:tcBorders>
              <w:top w:val="single" w:sz="4" w:space="0" w:color="A6A6A6" w:themeColor="background1" w:themeShade="A6"/>
              <w:bottom w:val="single" w:sz="4" w:space="0" w:color="A6A6A6" w:themeColor="background1" w:themeShade="A6"/>
            </w:tcBorders>
          </w:tcPr>
          <w:p w14:paraId="34BA1E4B" w14:textId="77777777" w:rsidR="00FA7EBF" w:rsidRPr="007939DD" w:rsidRDefault="00FA7EBF" w:rsidP="007B207C">
            <w:pPr>
              <w:pStyle w:val="ARfintablebodyright"/>
              <w:rPr>
                <w:lang w:eastAsia="en-AU"/>
              </w:rPr>
            </w:pPr>
            <w:r w:rsidRPr="00342064">
              <w:t>0.1</w:t>
            </w:r>
          </w:p>
        </w:tc>
      </w:tr>
      <w:tr w:rsidR="00FA7EBF" w:rsidRPr="007939DD" w14:paraId="73B7697A" w14:textId="77777777" w:rsidTr="007B207C">
        <w:trPr>
          <w:cantSplit/>
        </w:trPr>
        <w:tc>
          <w:tcPr>
            <w:tcW w:w="2835" w:type="dxa"/>
            <w:tcBorders>
              <w:top w:val="single" w:sz="4" w:space="0" w:color="A6A6A6" w:themeColor="background1" w:themeShade="A6"/>
              <w:bottom w:val="single" w:sz="4" w:space="0" w:color="A6A6A6" w:themeColor="background1" w:themeShade="A6"/>
            </w:tcBorders>
          </w:tcPr>
          <w:p w14:paraId="3725DF4B" w14:textId="77777777" w:rsidR="00FA7EBF" w:rsidRPr="007939DD" w:rsidRDefault="00FA7EBF" w:rsidP="007B207C">
            <w:pPr>
              <w:pStyle w:val="ARfintablebody"/>
              <w:rPr>
                <w:lang w:eastAsia="en-AU"/>
              </w:rPr>
            </w:pPr>
            <w:r w:rsidRPr="00342064">
              <w:t>Other long-term benefits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2F414EA" w14:textId="77777777" w:rsidR="00FA7EBF" w:rsidRPr="007939DD" w:rsidRDefault="00FA7EBF" w:rsidP="007B207C">
            <w:pPr>
              <w:pStyle w:val="ARfintablebodyright"/>
              <w:rPr>
                <w:lang w:eastAsia="en-AU"/>
              </w:rPr>
            </w:pPr>
            <w:r w:rsidRPr="00342064">
              <w:t>0.1</w:t>
            </w:r>
          </w:p>
        </w:tc>
        <w:tc>
          <w:tcPr>
            <w:tcW w:w="1134" w:type="dxa"/>
            <w:tcBorders>
              <w:top w:val="single" w:sz="4" w:space="0" w:color="A6A6A6" w:themeColor="background1" w:themeShade="A6"/>
              <w:bottom w:val="single" w:sz="4" w:space="0" w:color="A6A6A6" w:themeColor="background1" w:themeShade="A6"/>
            </w:tcBorders>
          </w:tcPr>
          <w:p w14:paraId="28D33897" w14:textId="77777777" w:rsidR="00FA7EBF" w:rsidRPr="007939DD" w:rsidRDefault="00FA7EBF" w:rsidP="007B207C">
            <w:pPr>
              <w:pStyle w:val="ARfintablebodyright"/>
              <w:rPr>
                <w:lang w:eastAsia="en-AU"/>
              </w:rPr>
            </w:pPr>
            <w:r w:rsidRPr="00342064">
              <w:t>0.1</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4A2EBBB1" w14:textId="77777777" w:rsidR="00FA7EBF" w:rsidRPr="007939DD" w:rsidRDefault="00FA7EBF" w:rsidP="007B207C">
            <w:pPr>
              <w:pStyle w:val="ARfintablebodyright"/>
              <w:rPr>
                <w:lang w:eastAsia="en-AU"/>
              </w:rPr>
            </w:pPr>
            <w:r w:rsidRPr="00342064">
              <w:t>–</w:t>
            </w:r>
          </w:p>
        </w:tc>
        <w:tc>
          <w:tcPr>
            <w:tcW w:w="1134" w:type="dxa"/>
            <w:tcBorders>
              <w:top w:val="single" w:sz="4" w:space="0" w:color="A6A6A6" w:themeColor="background1" w:themeShade="A6"/>
              <w:bottom w:val="single" w:sz="4" w:space="0" w:color="A6A6A6" w:themeColor="background1" w:themeShade="A6"/>
            </w:tcBorders>
          </w:tcPr>
          <w:p w14:paraId="7DE35009" w14:textId="77777777" w:rsidR="00FA7EBF" w:rsidRPr="007939DD" w:rsidRDefault="00FA7EBF" w:rsidP="007B207C">
            <w:pPr>
              <w:pStyle w:val="ARfintablebodyright"/>
              <w:rPr>
                <w:lang w:eastAsia="en-AU"/>
              </w:rPr>
            </w:pPr>
            <w:r w:rsidRPr="00342064">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14826833" w14:textId="77777777" w:rsidR="00FA7EBF" w:rsidRPr="007939DD" w:rsidRDefault="00FA7EBF" w:rsidP="007B207C">
            <w:pPr>
              <w:pStyle w:val="ARfintablebodyright"/>
              <w:rPr>
                <w:lang w:eastAsia="en-AU"/>
              </w:rPr>
            </w:pPr>
            <w:r w:rsidRPr="00342064">
              <w:t>–</w:t>
            </w:r>
          </w:p>
        </w:tc>
        <w:tc>
          <w:tcPr>
            <w:tcW w:w="1134" w:type="dxa"/>
            <w:tcBorders>
              <w:top w:val="single" w:sz="4" w:space="0" w:color="A6A6A6" w:themeColor="background1" w:themeShade="A6"/>
              <w:bottom w:val="single" w:sz="4" w:space="0" w:color="A6A6A6" w:themeColor="background1" w:themeShade="A6"/>
            </w:tcBorders>
          </w:tcPr>
          <w:p w14:paraId="69E43AFA" w14:textId="77777777" w:rsidR="00FA7EBF" w:rsidRPr="007939DD" w:rsidRDefault="00FA7EBF" w:rsidP="007B207C">
            <w:pPr>
              <w:pStyle w:val="ARfintablebodyright"/>
              <w:rPr>
                <w:lang w:eastAsia="en-AU"/>
              </w:rPr>
            </w:pPr>
            <w:r w:rsidRPr="00342064">
              <w:t>–</w:t>
            </w:r>
          </w:p>
        </w:tc>
      </w:tr>
      <w:tr w:rsidR="00FA7EBF" w:rsidRPr="007939DD" w14:paraId="5779D877" w14:textId="77777777" w:rsidTr="007B207C">
        <w:trPr>
          <w:cantSplit/>
        </w:trPr>
        <w:tc>
          <w:tcPr>
            <w:tcW w:w="2835" w:type="dxa"/>
            <w:tcBorders>
              <w:top w:val="single" w:sz="4" w:space="0" w:color="A6A6A6" w:themeColor="background1" w:themeShade="A6"/>
              <w:bottom w:val="single" w:sz="4" w:space="0" w:color="A6A6A6" w:themeColor="background1" w:themeShade="A6"/>
            </w:tcBorders>
          </w:tcPr>
          <w:p w14:paraId="5E56534C" w14:textId="77777777" w:rsidR="00FA7EBF" w:rsidRPr="007939DD" w:rsidRDefault="00FA7EBF" w:rsidP="007B207C">
            <w:pPr>
              <w:pStyle w:val="ARfintablebody"/>
              <w:rPr>
                <w:lang w:eastAsia="en-AU"/>
              </w:rPr>
            </w:pPr>
            <w:r w:rsidRPr="00342064">
              <w:t>Termination benefits</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30C66CB1" w14:textId="77777777" w:rsidR="00FA7EBF" w:rsidRPr="007939DD" w:rsidRDefault="00FA7EBF" w:rsidP="007B207C">
            <w:pPr>
              <w:pStyle w:val="ARfintablebodyright"/>
              <w:rPr>
                <w:lang w:eastAsia="en-AU"/>
              </w:rPr>
            </w:pPr>
            <w:r w:rsidRPr="00342064">
              <w:t>–</w:t>
            </w:r>
          </w:p>
        </w:tc>
        <w:tc>
          <w:tcPr>
            <w:tcW w:w="1134" w:type="dxa"/>
            <w:tcBorders>
              <w:top w:val="single" w:sz="4" w:space="0" w:color="A6A6A6" w:themeColor="background1" w:themeShade="A6"/>
              <w:bottom w:val="single" w:sz="4" w:space="0" w:color="A6A6A6" w:themeColor="background1" w:themeShade="A6"/>
            </w:tcBorders>
          </w:tcPr>
          <w:p w14:paraId="47449339" w14:textId="77777777" w:rsidR="00FA7EBF" w:rsidRPr="007939DD" w:rsidRDefault="00FA7EBF" w:rsidP="007B207C">
            <w:pPr>
              <w:pStyle w:val="ARfintablebodyright"/>
              <w:rPr>
                <w:lang w:eastAsia="en-AU"/>
              </w:rPr>
            </w:pPr>
            <w:r w:rsidRPr="00342064">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CD0D224" w14:textId="77777777" w:rsidR="00FA7EBF" w:rsidRPr="007939DD" w:rsidRDefault="00FA7EBF" w:rsidP="007B207C">
            <w:pPr>
              <w:pStyle w:val="ARfintablebodyright"/>
              <w:rPr>
                <w:lang w:eastAsia="en-AU"/>
              </w:rPr>
            </w:pPr>
            <w:r w:rsidRPr="00342064">
              <w:t>–</w:t>
            </w:r>
          </w:p>
        </w:tc>
        <w:tc>
          <w:tcPr>
            <w:tcW w:w="1134" w:type="dxa"/>
            <w:tcBorders>
              <w:top w:val="single" w:sz="4" w:space="0" w:color="A6A6A6" w:themeColor="background1" w:themeShade="A6"/>
              <w:bottom w:val="single" w:sz="4" w:space="0" w:color="A6A6A6" w:themeColor="background1" w:themeShade="A6"/>
            </w:tcBorders>
          </w:tcPr>
          <w:p w14:paraId="621A8026" w14:textId="77777777" w:rsidR="00FA7EBF" w:rsidRPr="007939DD" w:rsidRDefault="00FA7EBF" w:rsidP="007B207C">
            <w:pPr>
              <w:pStyle w:val="ARfintablebodyright"/>
              <w:rPr>
                <w:lang w:eastAsia="en-AU"/>
              </w:rPr>
            </w:pPr>
            <w:r w:rsidRPr="00342064">
              <w:t>–</w:t>
            </w:r>
          </w:p>
        </w:tc>
        <w:tc>
          <w:tcPr>
            <w:tcW w:w="1134" w:type="dxa"/>
            <w:tcBorders>
              <w:top w:val="single" w:sz="4" w:space="0" w:color="A6A6A6" w:themeColor="background1" w:themeShade="A6"/>
              <w:bottom w:val="single" w:sz="4" w:space="0" w:color="A6A6A6" w:themeColor="background1" w:themeShade="A6"/>
            </w:tcBorders>
            <w:shd w:val="clear" w:color="auto" w:fill="E7E6E6"/>
          </w:tcPr>
          <w:p w14:paraId="2DB3202D" w14:textId="77777777" w:rsidR="00FA7EBF" w:rsidRPr="007939DD" w:rsidRDefault="00FA7EBF" w:rsidP="007B207C">
            <w:pPr>
              <w:pStyle w:val="ARfintablebodyright"/>
              <w:rPr>
                <w:lang w:eastAsia="en-AU"/>
              </w:rPr>
            </w:pPr>
            <w:r w:rsidRPr="00342064">
              <w:t>–</w:t>
            </w:r>
          </w:p>
        </w:tc>
        <w:tc>
          <w:tcPr>
            <w:tcW w:w="1134" w:type="dxa"/>
            <w:tcBorders>
              <w:top w:val="single" w:sz="4" w:space="0" w:color="A6A6A6" w:themeColor="background1" w:themeShade="A6"/>
              <w:bottom w:val="single" w:sz="4" w:space="0" w:color="A6A6A6" w:themeColor="background1" w:themeShade="A6"/>
            </w:tcBorders>
          </w:tcPr>
          <w:p w14:paraId="4BE6272D" w14:textId="77777777" w:rsidR="00FA7EBF" w:rsidRPr="007939DD" w:rsidRDefault="00FA7EBF" w:rsidP="007B207C">
            <w:pPr>
              <w:pStyle w:val="ARfintablebodyright"/>
              <w:rPr>
                <w:lang w:eastAsia="en-AU"/>
              </w:rPr>
            </w:pPr>
            <w:r w:rsidRPr="00342064">
              <w:t>–</w:t>
            </w:r>
          </w:p>
        </w:tc>
      </w:tr>
      <w:tr w:rsidR="00FA7EBF" w:rsidRPr="007939DD" w14:paraId="2974371A" w14:textId="77777777" w:rsidTr="007B207C">
        <w:trPr>
          <w:cantSplit/>
        </w:trPr>
        <w:tc>
          <w:tcPr>
            <w:tcW w:w="2835" w:type="dxa"/>
            <w:tcBorders>
              <w:top w:val="single" w:sz="4" w:space="0" w:color="A6A6A6" w:themeColor="background1" w:themeShade="A6"/>
              <w:bottom w:val="single" w:sz="4" w:space="0" w:color="000000"/>
            </w:tcBorders>
          </w:tcPr>
          <w:p w14:paraId="78723561" w14:textId="77777777" w:rsidR="00FA7EBF" w:rsidRPr="007939DD" w:rsidRDefault="00FA7EBF" w:rsidP="007B207C">
            <w:pPr>
              <w:pStyle w:val="ARfintablebody"/>
              <w:rPr>
                <w:lang w:eastAsia="en-AU"/>
              </w:rPr>
            </w:pPr>
            <w:r w:rsidRPr="00342064">
              <w:t>Share-based payments</w:t>
            </w:r>
          </w:p>
        </w:tc>
        <w:tc>
          <w:tcPr>
            <w:tcW w:w="1134" w:type="dxa"/>
            <w:tcBorders>
              <w:top w:val="single" w:sz="4" w:space="0" w:color="A6A6A6" w:themeColor="background1" w:themeShade="A6"/>
              <w:bottom w:val="single" w:sz="4" w:space="0" w:color="000000"/>
            </w:tcBorders>
            <w:shd w:val="clear" w:color="auto" w:fill="E7E6E6"/>
          </w:tcPr>
          <w:p w14:paraId="5076B682" w14:textId="77777777" w:rsidR="00FA7EBF" w:rsidRPr="007939DD" w:rsidRDefault="00FA7EBF" w:rsidP="007B207C">
            <w:pPr>
              <w:pStyle w:val="ARfintablebodyright"/>
              <w:rPr>
                <w:lang w:eastAsia="en-AU"/>
              </w:rPr>
            </w:pPr>
            <w:r w:rsidRPr="00342064">
              <w:t>–</w:t>
            </w:r>
          </w:p>
        </w:tc>
        <w:tc>
          <w:tcPr>
            <w:tcW w:w="1134" w:type="dxa"/>
            <w:tcBorders>
              <w:top w:val="single" w:sz="4" w:space="0" w:color="A6A6A6" w:themeColor="background1" w:themeShade="A6"/>
              <w:bottom w:val="single" w:sz="4" w:space="0" w:color="000000"/>
            </w:tcBorders>
          </w:tcPr>
          <w:p w14:paraId="75448532" w14:textId="77777777" w:rsidR="00FA7EBF" w:rsidRPr="007939DD" w:rsidRDefault="00FA7EBF" w:rsidP="007B207C">
            <w:pPr>
              <w:pStyle w:val="ARfintablebodyright"/>
              <w:rPr>
                <w:lang w:eastAsia="en-AU"/>
              </w:rPr>
            </w:pPr>
            <w:r w:rsidRPr="00342064">
              <w:t>–</w:t>
            </w:r>
          </w:p>
        </w:tc>
        <w:tc>
          <w:tcPr>
            <w:tcW w:w="1134" w:type="dxa"/>
            <w:tcBorders>
              <w:top w:val="single" w:sz="4" w:space="0" w:color="A6A6A6" w:themeColor="background1" w:themeShade="A6"/>
              <w:bottom w:val="single" w:sz="4" w:space="0" w:color="000000"/>
            </w:tcBorders>
            <w:shd w:val="clear" w:color="auto" w:fill="E7E6E6"/>
          </w:tcPr>
          <w:p w14:paraId="60B6C58D" w14:textId="77777777" w:rsidR="00FA7EBF" w:rsidRPr="007939DD" w:rsidRDefault="00FA7EBF" w:rsidP="007B207C">
            <w:pPr>
              <w:pStyle w:val="ARfintablebodyright"/>
              <w:rPr>
                <w:lang w:eastAsia="en-AU"/>
              </w:rPr>
            </w:pPr>
            <w:r w:rsidRPr="00342064">
              <w:t>–</w:t>
            </w:r>
          </w:p>
        </w:tc>
        <w:tc>
          <w:tcPr>
            <w:tcW w:w="1134" w:type="dxa"/>
            <w:tcBorders>
              <w:top w:val="single" w:sz="4" w:space="0" w:color="A6A6A6" w:themeColor="background1" w:themeShade="A6"/>
              <w:bottom w:val="single" w:sz="4" w:space="0" w:color="000000"/>
            </w:tcBorders>
          </w:tcPr>
          <w:p w14:paraId="5EC58BC3" w14:textId="77777777" w:rsidR="00FA7EBF" w:rsidRPr="007939DD" w:rsidRDefault="00FA7EBF" w:rsidP="007B207C">
            <w:pPr>
              <w:pStyle w:val="ARfintablebodyright"/>
              <w:rPr>
                <w:lang w:eastAsia="en-AU"/>
              </w:rPr>
            </w:pPr>
            <w:r w:rsidRPr="00342064">
              <w:t>–</w:t>
            </w:r>
          </w:p>
        </w:tc>
        <w:tc>
          <w:tcPr>
            <w:tcW w:w="1134" w:type="dxa"/>
            <w:tcBorders>
              <w:top w:val="single" w:sz="4" w:space="0" w:color="A6A6A6" w:themeColor="background1" w:themeShade="A6"/>
              <w:bottom w:val="single" w:sz="4" w:space="0" w:color="000000"/>
            </w:tcBorders>
            <w:shd w:val="clear" w:color="auto" w:fill="E7E6E6"/>
          </w:tcPr>
          <w:p w14:paraId="5B8F9400" w14:textId="77777777" w:rsidR="00FA7EBF" w:rsidRPr="007939DD" w:rsidRDefault="00FA7EBF" w:rsidP="007B207C">
            <w:pPr>
              <w:pStyle w:val="ARfintablebodyright"/>
              <w:rPr>
                <w:lang w:eastAsia="en-AU"/>
              </w:rPr>
            </w:pPr>
            <w:r w:rsidRPr="00342064">
              <w:t>–</w:t>
            </w:r>
          </w:p>
        </w:tc>
        <w:tc>
          <w:tcPr>
            <w:tcW w:w="1134" w:type="dxa"/>
            <w:tcBorders>
              <w:top w:val="single" w:sz="4" w:space="0" w:color="A6A6A6" w:themeColor="background1" w:themeShade="A6"/>
              <w:bottom w:val="single" w:sz="4" w:space="0" w:color="000000"/>
            </w:tcBorders>
          </w:tcPr>
          <w:p w14:paraId="2E2DADE0" w14:textId="77777777" w:rsidR="00FA7EBF" w:rsidRPr="007939DD" w:rsidRDefault="00FA7EBF" w:rsidP="007B207C">
            <w:pPr>
              <w:pStyle w:val="ARfintablebodyright"/>
              <w:rPr>
                <w:lang w:eastAsia="en-AU"/>
              </w:rPr>
            </w:pPr>
            <w:r w:rsidRPr="00342064">
              <w:t>–</w:t>
            </w:r>
          </w:p>
        </w:tc>
      </w:tr>
      <w:tr w:rsidR="00FA7EBF" w:rsidRPr="007939DD" w14:paraId="55CB5490" w14:textId="77777777" w:rsidTr="007B207C">
        <w:trPr>
          <w:cantSplit/>
        </w:trPr>
        <w:tc>
          <w:tcPr>
            <w:tcW w:w="2835" w:type="dxa"/>
            <w:tcBorders>
              <w:top w:val="single" w:sz="4" w:space="0" w:color="000000"/>
            </w:tcBorders>
          </w:tcPr>
          <w:p w14:paraId="6A72BA48" w14:textId="77777777" w:rsidR="00FA7EBF" w:rsidRPr="007939DD" w:rsidRDefault="00FA7EBF" w:rsidP="007B207C">
            <w:pPr>
              <w:pStyle w:val="ARfintablebodybold"/>
              <w:rPr>
                <w:lang w:eastAsia="en-AU"/>
              </w:rPr>
            </w:pPr>
            <w:r w:rsidRPr="00342064">
              <w:t xml:space="preserve">Total </w:t>
            </w:r>
            <w:r w:rsidRPr="003948A9">
              <w:rPr>
                <w:rStyle w:val="Superscript"/>
              </w:rPr>
              <w:t>(iv)</w:t>
            </w:r>
          </w:p>
        </w:tc>
        <w:tc>
          <w:tcPr>
            <w:tcW w:w="1134" w:type="dxa"/>
            <w:tcBorders>
              <w:top w:val="single" w:sz="4" w:space="0" w:color="000000"/>
            </w:tcBorders>
            <w:shd w:val="clear" w:color="auto" w:fill="E7E6E6"/>
          </w:tcPr>
          <w:p w14:paraId="4E615431" w14:textId="77777777" w:rsidR="00FA7EBF" w:rsidRPr="007939DD" w:rsidRDefault="00FA7EBF" w:rsidP="007B207C">
            <w:pPr>
              <w:pStyle w:val="ARfintablebodyrightbold"/>
              <w:rPr>
                <w:lang w:eastAsia="en-AU"/>
              </w:rPr>
            </w:pPr>
            <w:r w:rsidRPr="00342064">
              <w:t>3.7</w:t>
            </w:r>
          </w:p>
        </w:tc>
        <w:tc>
          <w:tcPr>
            <w:tcW w:w="1134" w:type="dxa"/>
            <w:tcBorders>
              <w:top w:val="single" w:sz="4" w:space="0" w:color="000000"/>
            </w:tcBorders>
          </w:tcPr>
          <w:p w14:paraId="06E7B532" w14:textId="77777777" w:rsidR="00FA7EBF" w:rsidRPr="007939DD" w:rsidRDefault="00FA7EBF" w:rsidP="007B207C">
            <w:pPr>
              <w:pStyle w:val="ARfintablebodyrightbold"/>
              <w:rPr>
                <w:lang w:eastAsia="en-AU"/>
              </w:rPr>
            </w:pPr>
            <w:r w:rsidRPr="00342064">
              <w:t>3.6</w:t>
            </w:r>
          </w:p>
        </w:tc>
        <w:tc>
          <w:tcPr>
            <w:tcW w:w="1134" w:type="dxa"/>
            <w:tcBorders>
              <w:top w:val="single" w:sz="4" w:space="0" w:color="000000"/>
            </w:tcBorders>
            <w:shd w:val="clear" w:color="auto" w:fill="E7E6E6"/>
          </w:tcPr>
          <w:p w14:paraId="021EE708" w14:textId="77777777" w:rsidR="00FA7EBF" w:rsidRPr="007939DD" w:rsidRDefault="00FA7EBF" w:rsidP="007B207C">
            <w:pPr>
              <w:pStyle w:val="ARfintablebodyrightbold"/>
              <w:rPr>
                <w:lang w:eastAsia="en-AU"/>
              </w:rPr>
            </w:pPr>
            <w:r w:rsidRPr="00342064">
              <w:t>1.4</w:t>
            </w:r>
          </w:p>
        </w:tc>
        <w:tc>
          <w:tcPr>
            <w:tcW w:w="1134" w:type="dxa"/>
            <w:tcBorders>
              <w:top w:val="single" w:sz="4" w:space="0" w:color="000000"/>
            </w:tcBorders>
          </w:tcPr>
          <w:p w14:paraId="7691C34B" w14:textId="77777777" w:rsidR="00FA7EBF" w:rsidRPr="007939DD" w:rsidRDefault="00FA7EBF" w:rsidP="007B207C">
            <w:pPr>
              <w:pStyle w:val="ARfintablebodyrightbold"/>
              <w:rPr>
                <w:lang w:eastAsia="en-AU"/>
              </w:rPr>
            </w:pPr>
            <w:r w:rsidRPr="00342064">
              <w:t>1.2</w:t>
            </w:r>
          </w:p>
        </w:tc>
        <w:tc>
          <w:tcPr>
            <w:tcW w:w="1134" w:type="dxa"/>
            <w:tcBorders>
              <w:top w:val="single" w:sz="4" w:space="0" w:color="000000"/>
            </w:tcBorders>
            <w:shd w:val="clear" w:color="auto" w:fill="E7E6E6"/>
          </w:tcPr>
          <w:p w14:paraId="50FE0697" w14:textId="77777777" w:rsidR="00FA7EBF" w:rsidRPr="007939DD" w:rsidRDefault="00FA7EBF" w:rsidP="007B207C">
            <w:pPr>
              <w:pStyle w:val="ARfintablebodyrightbold"/>
              <w:rPr>
                <w:lang w:eastAsia="en-AU"/>
              </w:rPr>
            </w:pPr>
            <w:r w:rsidRPr="00342064">
              <w:t>0.9</w:t>
            </w:r>
          </w:p>
        </w:tc>
        <w:tc>
          <w:tcPr>
            <w:tcW w:w="1134" w:type="dxa"/>
            <w:tcBorders>
              <w:top w:val="single" w:sz="4" w:space="0" w:color="000000"/>
            </w:tcBorders>
          </w:tcPr>
          <w:p w14:paraId="3C4FA074" w14:textId="77777777" w:rsidR="00FA7EBF" w:rsidRPr="007939DD" w:rsidRDefault="00FA7EBF" w:rsidP="007B207C">
            <w:pPr>
              <w:pStyle w:val="ARfintablebodyrightbold"/>
              <w:rPr>
                <w:rStyle w:val="Strong"/>
                <w:bCs w:val="0"/>
              </w:rPr>
            </w:pPr>
            <w:r w:rsidRPr="00342064">
              <w:t>0.7</w:t>
            </w:r>
          </w:p>
        </w:tc>
      </w:tr>
    </w:tbl>
    <w:p w14:paraId="7477EAA8" w14:textId="77777777" w:rsidR="00FA7EBF" w:rsidRPr="00194D78" w:rsidRDefault="00FA7EBF" w:rsidP="00CA66FD">
      <w:pPr>
        <w:pStyle w:val="ARfintablefootnote"/>
        <w:rPr>
          <w:lang w:eastAsia="en-AU"/>
        </w:rPr>
      </w:pPr>
      <w:r w:rsidRPr="00194D78">
        <w:rPr>
          <w:lang w:eastAsia="en-AU"/>
        </w:rPr>
        <w:t>Notes:</w:t>
      </w:r>
    </w:p>
    <w:p w14:paraId="377220C6" w14:textId="77777777" w:rsidR="00FA7EBF" w:rsidRPr="00194D78" w:rsidRDefault="00FA7EBF" w:rsidP="00CA66FD">
      <w:pPr>
        <w:pStyle w:val="ARfintablefootnoteindent"/>
      </w:pPr>
      <w:r w:rsidRPr="00194D78">
        <w:t>(i)</w:t>
      </w:r>
      <w:r>
        <w:tab/>
      </w:r>
      <w:r w:rsidRPr="00194D78">
        <w:t>This includes remuneration of KMPs for Victorian Agency for Health Information, Safer Care Victoria and Family Safety Victoria.</w:t>
      </w:r>
    </w:p>
    <w:p w14:paraId="30601B94" w14:textId="77777777" w:rsidR="00FA7EBF" w:rsidRPr="00194D78" w:rsidRDefault="00FA7EBF" w:rsidP="00CA66FD">
      <w:pPr>
        <w:pStyle w:val="ARfintablefootnoteindent"/>
      </w:pPr>
      <w:r w:rsidRPr="00194D78">
        <w:t>(i</w:t>
      </w:r>
      <w:r>
        <w:t>i</w:t>
      </w:r>
      <w:r w:rsidRPr="00194D78">
        <w:t>)</w:t>
      </w:r>
      <w:r>
        <w:tab/>
      </w:r>
      <w:r w:rsidRPr="00194D78">
        <w:t>This includes remuneration of KMPs for Mental Health Tribunal, and the Commission for Children and Young People. Remuneration for Director of Housing is included in the Department of Health and Human Services numbers.</w:t>
      </w:r>
    </w:p>
    <w:p w14:paraId="720ED9D3" w14:textId="77777777" w:rsidR="00FA7EBF" w:rsidRPr="00194D78" w:rsidRDefault="00FA7EBF" w:rsidP="00CA66FD">
      <w:pPr>
        <w:pStyle w:val="ARfintablefootnoteindent"/>
      </w:pPr>
      <w:r w:rsidRPr="00194D78">
        <w:t>(i</w:t>
      </w:r>
      <w:r>
        <w:t>ii</w:t>
      </w:r>
      <w:r w:rsidRPr="00194D78">
        <w:t>)</w:t>
      </w:r>
      <w:r>
        <w:tab/>
      </w:r>
      <w:r w:rsidRPr="00194D78">
        <w:t>Total remuneration paid to KMPs employed as a contractor during the reporting period through an external service provider has been reported under short-term employee benefits.</w:t>
      </w:r>
    </w:p>
    <w:p w14:paraId="3EC7646B" w14:textId="77777777" w:rsidR="00FA7EBF" w:rsidRPr="00194D78" w:rsidRDefault="00FA7EBF" w:rsidP="00CA66FD">
      <w:pPr>
        <w:pStyle w:val="ARfintablefootnoteindent"/>
      </w:pPr>
      <w:r w:rsidRPr="00194D78">
        <w:t>(i</w:t>
      </w:r>
      <w:r>
        <w:t>v</w:t>
      </w:r>
      <w:r w:rsidRPr="00194D78">
        <w:t>)</w:t>
      </w:r>
      <w:r>
        <w:tab/>
      </w:r>
      <w:r w:rsidRPr="00194D78">
        <w:t>Note that KMPs are also reported in the disclosure of remuneration of executive officers (refer to Note 9.7).</w:t>
      </w:r>
    </w:p>
    <w:p w14:paraId="026444F3" w14:textId="77777777" w:rsidR="00FA7EBF" w:rsidRPr="00194D78" w:rsidRDefault="00FA7EBF" w:rsidP="00CA66FD">
      <w:pPr>
        <w:pStyle w:val="Heading6"/>
        <w:rPr>
          <w:lang w:eastAsia="en-AU"/>
        </w:rPr>
      </w:pPr>
      <w:r w:rsidRPr="00194D78">
        <w:rPr>
          <w:lang w:eastAsia="en-AU"/>
        </w:rPr>
        <w:t>Transactions and balances with key management personnel and other related parties</w:t>
      </w:r>
    </w:p>
    <w:p w14:paraId="5BB5DD37" w14:textId="77777777" w:rsidR="00FA7EBF" w:rsidRDefault="00FA7EBF" w:rsidP="00CA66FD">
      <w:pPr>
        <w:pStyle w:val="ARfinbody"/>
      </w:pPr>
      <w:r w:rsidRPr="00194D78">
        <w:t>Given the breadth and depth of state government activities, related parties transact with the Victorian public sector in a manner consistent with other members of the public</w:t>
      </w:r>
      <w:r>
        <w:t>, for example</w:t>
      </w:r>
      <w:r w:rsidRPr="00194D78">
        <w:t xml:space="preserve"> stamp duty and other government fees and charges. Further employment of processes within the Victorian public sector occur on terms and conditions consistent with the </w:t>
      </w:r>
      <w:r w:rsidRPr="00F524E9">
        <w:rPr>
          <w:rStyle w:val="Emphasis"/>
          <w:iCs w:val="0"/>
        </w:rPr>
        <w:t>Public Administration Act 2004</w:t>
      </w:r>
      <w:r w:rsidRPr="00194D78">
        <w:t xml:space="preserve"> and Codes of Conduct and Standards issued by the Victorian Public Sector Commission. Procurement processes occur on terms and conditions consistent with the Victorian Government Procurement Board requirements.</w:t>
      </w:r>
    </w:p>
    <w:p w14:paraId="6AF47700" w14:textId="77777777" w:rsidR="00FA7EBF" w:rsidRPr="00194D78" w:rsidRDefault="00FA7EBF" w:rsidP="00CA66FD">
      <w:pPr>
        <w:pStyle w:val="ARfinbody"/>
      </w:pPr>
      <w:r w:rsidRPr="00194D78">
        <w:t xml:space="preserve">Outside of normal citizen type transactions, there were no material related party transactions that involved key management personnel, their close family members and their personal business interests with the department, the Administrative Offices or its </w:t>
      </w:r>
      <w:r>
        <w:t>s.</w:t>
      </w:r>
      <w:r w:rsidRPr="00194D78">
        <w:t xml:space="preserve"> 53(1)(b) entities.</w:t>
      </w:r>
    </w:p>
    <w:p w14:paraId="3F861AAF" w14:textId="77777777" w:rsidR="00FA7EBF" w:rsidRPr="00194D78" w:rsidRDefault="00FA7EBF" w:rsidP="00CA66FD">
      <w:pPr>
        <w:pStyle w:val="ARfinbody"/>
      </w:pPr>
      <w:r w:rsidRPr="00194D78">
        <w:t>No provision has been required, nor any expense recognised, for impairment of receivables from related parties.</w:t>
      </w:r>
    </w:p>
    <w:p w14:paraId="16BA83C5" w14:textId="77777777" w:rsidR="00FA7EBF" w:rsidRDefault="00FA7EBF" w:rsidP="00CA66FD">
      <w:pPr>
        <w:pStyle w:val="Heading4"/>
        <w:rPr>
          <w:lang w:eastAsia="en-AU"/>
        </w:rPr>
      </w:pPr>
      <w:bookmarkStart w:id="277" w:name="_Ref21960430"/>
      <w:r w:rsidRPr="00194D78">
        <w:rPr>
          <w:lang w:eastAsia="en-AU"/>
        </w:rPr>
        <w:t>9.9 Remuneration of auditors</w:t>
      </w:r>
      <w:bookmarkEnd w:id="277"/>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7371"/>
        <w:gridCol w:w="1134"/>
        <w:gridCol w:w="1134"/>
      </w:tblGrid>
      <w:tr w:rsidR="00FA7EBF" w:rsidRPr="007939DD" w14:paraId="24B9AC33" w14:textId="77777777" w:rsidTr="007B207C">
        <w:trPr>
          <w:cantSplit/>
          <w:tblHeader/>
        </w:trPr>
        <w:tc>
          <w:tcPr>
            <w:tcW w:w="7371" w:type="dxa"/>
            <w:vAlign w:val="bottom"/>
          </w:tcPr>
          <w:p w14:paraId="0C5DC807" w14:textId="77777777" w:rsidR="00FA7EBF" w:rsidRPr="007939DD" w:rsidRDefault="00FA7EBF" w:rsidP="007B207C">
            <w:pPr>
              <w:pStyle w:val="ARfintablecolhead"/>
            </w:pPr>
          </w:p>
        </w:tc>
        <w:tc>
          <w:tcPr>
            <w:tcW w:w="1134" w:type="dxa"/>
            <w:shd w:val="clear" w:color="auto" w:fill="E7E6E6"/>
            <w:vAlign w:val="bottom"/>
          </w:tcPr>
          <w:p w14:paraId="04CF7582" w14:textId="77777777" w:rsidR="00FA7EBF" w:rsidRPr="007939DD" w:rsidRDefault="00FA7EBF" w:rsidP="007B207C">
            <w:pPr>
              <w:pStyle w:val="ARfintablecolheadright"/>
            </w:pPr>
            <w:r w:rsidRPr="007939DD">
              <w:t>201</w:t>
            </w:r>
            <w:r>
              <w:t>9</w:t>
            </w:r>
          </w:p>
          <w:p w14:paraId="25DBC236" w14:textId="77777777" w:rsidR="00FA7EBF" w:rsidRPr="007939DD" w:rsidRDefault="00FA7EBF" w:rsidP="007B207C">
            <w:pPr>
              <w:pStyle w:val="ARfintablecolheadright"/>
            </w:pPr>
            <w:r w:rsidRPr="007939DD">
              <w:t>$</w:t>
            </w:r>
          </w:p>
        </w:tc>
        <w:tc>
          <w:tcPr>
            <w:tcW w:w="1134" w:type="dxa"/>
            <w:vAlign w:val="bottom"/>
          </w:tcPr>
          <w:p w14:paraId="7AB65E1E" w14:textId="77777777" w:rsidR="00FA7EBF" w:rsidRPr="007939DD" w:rsidRDefault="00FA7EBF" w:rsidP="007B207C">
            <w:pPr>
              <w:pStyle w:val="ARfintablecolheadright"/>
            </w:pPr>
            <w:r w:rsidRPr="007939DD">
              <w:t>201</w:t>
            </w:r>
            <w:r>
              <w:t>8</w:t>
            </w:r>
          </w:p>
          <w:p w14:paraId="41459032" w14:textId="77777777" w:rsidR="00FA7EBF" w:rsidRPr="007939DD" w:rsidRDefault="00FA7EBF" w:rsidP="007B207C">
            <w:pPr>
              <w:pStyle w:val="ARfintablecolheadright"/>
            </w:pPr>
            <w:r w:rsidRPr="007939DD">
              <w:t>$</w:t>
            </w:r>
          </w:p>
        </w:tc>
      </w:tr>
      <w:tr w:rsidR="00FA7EBF" w:rsidRPr="007939DD" w14:paraId="5A4E122E" w14:textId="77777777" w:rsidTr="007B207C">
        <w:trPr>
          <w:cantSplit/>
        </w:trPr>
        <w:tc>
          <w:tcPr>
            <w:tcW w:w="7371" w:type="dxa"/>
          </w:tcPr>
          <w:p w14:paraId="020FF8CC" w14:textId="77777777" w:rsidR="00FA7EBF" w:rsidRPr="007939DD" w:rsidRDefault="00FA7EBF" w:rsidP="007B207C">
            <w:pPr>
              <w:pStyle w:val="ARfintablebody"/>
              <w:rPr>
                <w:lang w:eastAsia="en-AU"/>
              </w:rPr>
            </w:pPr>
            <w:r w:rsidRPr="001629C1">
              <w:t>Victorian Auditor-General’s Office – audit of the financial report</w:t>
            </w:r>
          </w:p>
        </w:tc>
        <w:tc>
          <w:tcPr>
            <w:tcW w:w="1134" w:type="dxa"/>
            <w:shd w:val="clear" w:color="auto" w:fill="E7E6E6"/>
          </w:tcPr>
          <w:p w14:paraId="39C85C89" w14:textId="77777777" w:rsidR="00FA7EBF" w:rsidRPr="007939DD" w:rsidRDefault="00FA7EBF" w:rsidP="007B207C">
            <w:pPr>
              <w:pStyle w:val="ARfintablebodyright"/>
              <w:rPr>
                <w:lang w:eastAsia="en-AU"/>
              </w:rPr>
            </w:pPr>
            <w:r w:rsidRPr="001629C1">
              <w:t>546,500</w:t>
            </w:r>
          </w:p>
        </w:tc>
        <w:tc>
          <w:tcPr>
            <w:tcW w:w="1134" w:type="dxa"/>
          </w:tcPr>
          <w:p w14:paraId="5692D6FA" w14:textId="77777777" w:rsidR="00FA7EBF" w:rsidRPr="007939DD" w:rsidRDefault="00FA7EBF" w:rsidP="007B207C">
            <w:pPr>
              <w:pStyle w:val="ARfintablebodyright"/>
              <w:rPr>
                <w:lang w:eastAsia="en-AU"/>
              </w:rPr>
            </w:pPr>
            <w:r w:rsidRPr="001629C1">
              <w:t>546,500</w:t>
            </w:r>
          </w:p>
        </w:tc>
      </w:tr>
    </w:tbl>
    <w:p w14:paraId="001C54FE" w14:textId="77777777" w:rsidR="00FA7EBF" w:rsidRPr="00194D78" w:rsidRDefault="00FA7EBF" w:rsidP="00CA66FD">
      <w:pPr>
        <w:pStyle w:val="Heading4"/>
        <w:rPr>
          <w:lang w:eastAsia="en-AU"/>
        </w:rPr>
      </w:pPr>
      <w:bookmarkStart w:id="278" w:name="_Ref21956386"/>
      <w:r w:rsidRPr="00194D78">
        <w:rPr>
          <w:lang w:eastAsia="en-AU"/>
        </w:rPr>
        <w:t>9.10 Subsequent events</w:t>
      </w:r>
      <w:bookmarkEnd w:id="278"/>
    </w:p>
    <w:p w14:paraId="59F5456D" w14:textId="77777777" w:rsidR="00FA7EBF" w:rsidRPr="00194D78" w:rsidRDefault="00FA7EBF" w:rsidP="00CA66FD">
      <w:pPr>
        <w:pStyle w:val="ARfinbody"/>
      </w:pPr>
      <w:r w:rsidRPr="00194D78">
        <w:t>There are no subsequent events for the 201</w:t>
      </w:r>
      <w:r>
        <w:t>8–</w:t>
      </w:r>
      <w:r w:rsidRPr="00194D78">
        <w:t>19 financial year.</w:t>
      </w:r>
    </w:p>
    <w:p w14:paraId="3175466F" w14:textId="77777777" w:rsidR="00FA7EBF" w:rsidRPr="00194D78" w:rsidRDefault="00FA7EBF" w:rsidP="00CA66FD">
      <w:pPr>
        <w:pStyle w:val="Heading4"/>
        <w:rPr>
          <w:lang w:eastAsia="en-AU"/>
        </w:rPr>
      </w:pPr>
      <w:r w:rsidRPr="00194D78">
        <w:rPr>
          <w:lang w:eastAsia="en-AU"/>
        </w:rPr>
        <w:t>9.11 Other accounting policies</w:t>
      </w:r>
    </w:p>
    <w:p w14:paraId="7B1BDE65" w14:textId="77777777" w:rsidR="00FA7EBF" w:rsidRPr="00194D78" w:rsidRDefault="00FA7EBF" w:rsidP="00CA66FD">
      <w:pPr>
        <w:pStyle w:val="Heading5"/>
        <w:rPr>
          <w:lang w:eastAsia="en-AU"/>
        </w:rPr>
      </w:pPr>
      <w:r w:rsidRPr="00194D78">
        <w:rPr>
          <w:lang w:eastAsia="en-AU"/>
        </w:rPr>
        <w:t>Contributions by owners</w:t>
      </w:r>
    </w:p>
    <w:p w14:paraId="772FD33B" w14:textId="77777777" w:rsidR="00FA7EBF" w:rsidRPr="00194D78" w:rsidRDefault="00FA7EBF" w:rsidP="00CA66FD">
      <w:pPr>
        <w:pStyle w:val="ARfinbody"/>
      </w:pPr>
      <w:r w:rsidRPr="00194D78">
        <w:t>Consistent with the requirement</w:t>
      </w:r>
      <w:r w:rsidRPr="002D6C4A">
        <w:t xml:space="preserve">s of AASB 1004 </w:t>
      </w:r>
      <w:r w:rsidRPr="00F524E9">
        <w:rPr>
          <w:rStyle w:val="Emphasis"/>
          <w:iCs w:val="0"/>
        </w:rPr>
        <w:t>Contributions</w:t>
      </w:r>
      <w:r w:rsidRPr="00194D78">
        <w:t>, contributions by owners (that is, contributed capital and its repayment) are treated as equity transactions and, therefore do not form part of the income and expenses of the department.</w:t>
      </w:r>
    </w:p>
    <w:p w14:paraId="00C77918" w14:textId="77777777" w:rsidR="00FA7EBF" w:rsidRDefault="00FA7EBF" w:rsidP="00CA66FD">
      <w:pPr>
        <w:pStyle w:val="ARfinbody"/>
      </w:pPr>
      <w:r w:rsidRPr="00194D78">
        <w:t>Additions to net assets that have been designated as contributions by owners are recognised as contributed capital. Other transfers that are in the nature of contributions to or distributions by owners have also been designated as contributions by owners.</w:t>
      </w:r>
    </w:p>
    <w:p w14:paraId="7F7D4E87" w14:textId="77777777" w:rsidR="00FA7EBF" w:rsidRPr="00194D78" w:rsidRDefault="00FA7EBF" w:rsidP="00CA66FD">
      <w:pPr>
        <w:pStyle w:val="ARfinbody"/>
      </w:pPr>
      <w:r w:rsidRPr="00194D78">
        <w:t>Transfers of net assets arising from administrative restructurings are treated as distributions to or contributions by owners. Transfers of net liabilities arising from administrative restructurings are treated as distributions to owners.</w:t>
      </w:r>
    </w:p>
    <w:p w14:paraId="053A95D2" w14:textId="77777777" w:rsidR="00FA7EBF" w:rsidRPr="00194D78" w:rsidRDefault="00FA7EBF" w:rsidP="00CA66FD">
      <w:pPr>
        <w:pStyle w:val="Heading4"/>
        <w:rPr>
          <w:lang w:eastAsia="en-AU"/>
        </w:rPr>
      </w:pPr>
      <w:r w:rsidRPr="00194D78">
        <w:rPr>
          <w:lang w:eastAsia="en-AU"/>
        </w:rPr>
        <w:t>9.12 Change in accounting policies</w:t>
      </w:r>
    </w:p>
    <w:p w14:paraId="33925336" w14:textId="77777777" w:rsidR="00FA7EBF" w:rsidRPr="00194D78" w:rsidRDefault="00FA7EBF" w:rsidP="00CA66FD">
      <w:pPr>
        <w:pStyle w:val="ARfinbody"/>
      </w:pPr>
      <w:r w:rsidRPr="00194D78">
        <w:t>The department has elected to apply the limited exemptio</w:t>
      </w:r>
      <w:r w:rsidRPr="000F2BD8">
        <w:t>n in AASB 9 paragraph 7.2.15 relat</w:t>
      </w:r>
      <w:r w:rsidRPr="00194D78">
        <w:t>ing to transition for classification and measurement and impairment, and accordingly has not restated comparative periods in the year of initial application. As a result:</w:t>
      </w:r>
    </w:p>
    <w:p w14:paraId="0F8F01C2" w14:textId="77777777" w:rsidR="00FA7EBF" w:rsidRPr="00194D78" w:rsidRDefault="00FA7EBF" w:rsidP="00CA66FD">
      <w:pPr>
        <w:pStyle w:val="ARfinnumberalpha1"/>
        <w:numPr>
          <w:ilvl w:val="0"/>
          <w:numId w:val="24"/>
        </w:numPr>
      </w:pPr>
      <w:r w:rsidRPr="00194D78">
        <w:t>any adjustments to carrying amounts of financial assets or liabilities are recognised at beginning of the current reporting period with</w:t>
      </w:r>
      <w:r>
        <w:t> </w:t>
      </w:r>
      <w:r w:rsidRPr="00194D78">
        <w:t>difference recognised in opening retained earnings</w:t>
      </w:r>
    </w:p>
    <w:p w14:paraId="7C43195C" w14:textId="77777777" w:rsidR="00FA7EBF" w:rsidRPr="00194D78" w:rsidRDefault="00FA7EBF" w:rsidP="00CA66FD">
      <w:pPr>
        <w:pStyle w:val="ARfinnumberalpha1"/>
        <w:numPr>
          <w:ilvl w:val="0"/>
          <w:numId w:val="23"/>
        </w:numPr>
      </w:pPr>
      <w:r w:rsidRPr="00194D78">
        <w:t>financial assets and provision for impairment have not been reclassified and/or restated in the comparative period.</w:t>
      </w:r>
    </w:p>
    <w:p w14:paraId="3530CCDE" w14:textId="77777777" w:rsidR="00FA7EBF" w:rsidRPr="00194D78" w:rsidRDefault="00FA7EBF" w:rsidP="00CA66FD">
      <w:pPr>
        <w:pStyle w:val="ARfinbody"/>
      </w:pPr>
      <w:r w:rsidRPr="00194D78">
        <w:t>AASB 9 introduces a major change to hedge accounting. However, it is the department</w:t>
      </w:r>
      <w:r>
        <w:t>’</w:t>
      </w:r>
      <w:r w:rsidRPr="00194D78">
        <w:t>s policy not to apply hedge accounting.</w:t>
      </w:r>
    </w:p>
    <w:p w14:paraId="2C303099" w14:textId="77777777" w:rsidR="00FA7EBF" w:rsidRPr="00194D78" w:rsidRDefault="00FA7EBF" w:rsidP="00CA66FD">
      <w:pPr>
        <w:pStyle w:val="ARfinbody"/>
      </w:pPr>
      <w:r w:rsidRPr="00194D78">
        <w:t>This note explains the impact of the adoptio</w:t>
      </w:r>
      <w:r w:rsidRPr="000F2BD8">
        <w:t xml:space="preserve">n of AASB 9 </w:t>
      </w:r>
      <w:r w:rsidRPr="002F137A">
        <w:rPr>
          <w:rStyle w:val="Emphasis"/>
          <w:iCs w:val="0"/>
        </w:rPr>
        <w:t>Financial Instruments</w:t>
      </w:r>
      <w:r w:rsidRPr="00194D78">
        <w:t xml:space="preserve"> on the department</w:t>
      </w:r>
      <w:r>
        <w:t>’</w:t>
      </w:r>
      <w:r w:rsidRPr="00194D78">
        <w:t>s financial statements.</w:t>
      </w:r>
    </w:p>
    <w:p w14:paraId="4FC53027" w14:textId="77777777" w:rsidR="00FA7EBF" w:rsidRPr="00194D78" w:rsidRDefault="00FA7EBF" w:rsidP="00CA66FD">
      <w:pPr>
        <w:pStyle w:val="Heading5"/>
        <w:rPr>
          <w:lang w:eastAsia="en-AU"/>
        </w:rPr>
      </w:pPr>
      <w:r w:rsidRPr="00194D78">
        <w:rPr>
          <w:lang w:eastAsia="en-AU"/>
        </w:rPr>
        <w:t>9.12.1 Changes to classification and measurement</w:t>
      </w:r>
    </w:p>
    <w:p w14:paraId="5AD52873" w14:textId="77777777" w:rsidR="00FA7EBF" w:rsidRPr="00194D78" w:rsidRDefault="00FA7EBF" w:rsidP="00CA66FD">
      <w:pPr>
        <w:pStyle w:val="ARfinbody"/>
      </w:pPr>
      <w:r w:rsidRPr="00194D78">
        <w:t>On initial application of AASB 9 on 1 July 2018, the department</w:t>
      </w:r>
      <w:r>
        <w:t>’</w:t>
      </w:r>
      <w:r w:rsidRPr="00194D78">
        <w:t>s management has assessed for all financial assets based on the department</w:t>
      </w:r>
      <w:r>
        <w:t>’</w:t>
      </w:r>
      <w:r w:rsidRPr="00194D78">
        <w:t>s business models for managing the assets. The following is the change in the classification of the department</w:t>
      </w:r>
      <w:r>
        <w:t>’</w:t>
      </w:r>
      <w:r w:rsidRPr="00194D78">
        <w:t>s financial assets:</w:t>
      </w:r>
    </w:p>
    <w:p w14:paraId="3E7DAD47" w14:textId="77777777" w:rsidR="00FA7EBF" w:rsidRPr="00194D78" w:rsidRDefault="00FA7EBF" w:rsidP="00CA66FD">
      <w:pPr>
        <w:pStyle w:val="ARfinbullet1"/>
        <w:numPr>
          <w:ilvl w:val="0"/>
          <w:numId w:val="4"/>
        </w:numPr>
      </w:pPr>
      <w:r w:rsidRPr="00194D78">
        <w:t>Contractual receivables previously classified as other loans and receivables under AASB 139 are now reclassified as financial assets at amortised cost under AASB 9. An increase of $2.4 million in loss allowance for these assets was recognised in opening retained earnings for the period.</w:t>
      </w:r>
    </w:p>
    <w:p w14:paraId="766D4D0A" w14:textId="77777777" w:rsidR="00FA7EBF" w:rsidRPr="00194D78" w:rsidRDefault="00FA7EBF" w:rsidP="00CA66FD">
      <w:pPr>
        <w:pStyle w:val="ARfinbody"/>
      </w:pPr>
      <w:r w:rsidRPr="00194D78">
        <w:t>The accounting for financial liabilities remains largely the same as it was under AASB 139, except for the treatment of gains or losses arising from the department</w:t>
      </w:r>
      <w:r>
        <w:t>’</w:t>
      </w:r>
      <w:r w:rsidRPr="00194D78">
        <w:t>s own credit risk relating to liabilities designated at fair value through net result. Such movements are presented in other comprehensive income with no subsequent recycle through profit or loss.</w:t>
      </w:r>
    </w:p>
    <w:p w14:paraId="5A316713" w14:textId="77777777" w:rsidR="00FA7EBF" w:rsidRPr="00194D78" w:rsidRDefault="00FA7EBF" w:rsidP="00CA66FD">
      <w:pPr>
        <w:pStyle w:val="ARfinbodylargespace"/>
      </w:pPr>
      <w:r w:rsidRPr="00194D78">
        <w:t>The department</w:t>
      </w:r>
      <w:r>
        <w:t>’</w:t>
      </w:r>
      <w:r w:rsidRPr="00194D78">
        <w:t>s accounting policies for financial assets and liabilities are set out in note 8.1.1. The following table summarises the required and elected reclassification upon adoption of AASB 9. The main effects resulting from the reclassification are as follows:</w:t>
      </w:r>
    </w:p>
    <w:tbl>
      <w:tblPr>
        <w:tblStyle w:val="TableGrid"/>
        <w:tblW w:w="9639" w:type="dxa"/>
        <w:tblLook w:val="06A0" w:firstRow="1" w:lastRow="0" w:firstColumn="1" w:lastColumn="0" w:noHBand="1" w:noVBand="1"/>
      </w:tblPr>
      <w:tblGrid>
        <w:gridCol w:w="3289"/>
        <w:gridCol w:w="680"/>
        <w:gridCol w:w="1134"/>
        <w:gridCol w:w="1134"/>
        <w:gridCol w:w="1134"/>
        <w:gridCol w:w="1134"/>
        <w:gridCol w:w="1134"/>
      </w:tblGrid>
      <w:tr w:rsidR="00FA7EBF" w:rsidRPr="00194D78" w14:paraId="08E0C03F" w14:textId="77777777" w:rsidTr="007B207C">
        <w:trPr>
          <w:cnfStyle w:val="100000000000" w:firstRow="1" w:lastRow="0" w:firstColumn="0" w:lastColumn="0" w:oddVBand="0" w:evenVBand="0" w:oddHBand="0" w:evenHBand="0" w:firstRowFirstColumn="0" w:firstRowLastColumn="0" w:lastRowFirstColumn="0" w:lastRowLastColumn="0"/>
          <w:trHeight w:val="248"/>
          <w:tblHeader/>
        </w:trPr>
        <w:tc>
          <w:tcPr>
            <w:tcW w:w="3289" w:type="dxa"/>
            <w:vMerge w:val="restart"/>
            <w:noWrap/>
            <w:hideMark/>
          </w:tcPr>
          <w:p w14:paraId="344C3A37" w14:textId="77777777" w:rsidR="00FA7EBF" w:rsidRPr="00194D78" w:rsidRDefault="00FA7EBF" w:rsidP="007B207C">
            <w:pPr>
              <w:pStyle w:val="ARfintablecolhead"/>
              <w:rPr>
                <w:rFonts w:ascii="Times New Roman" w:hAnsi="Times New Roman"/>
              </w:rPr>
            </w:pPr>
            <w:r w:rsidRPr="00194D78">
              <w:t>As at 30 June 2018</w:t>
            </w:r>
          </w:p>
        </w:tc>
        <w:tc>
          <w:tcPr>
            <w:tcW w:w="680" w:type="dxa"/>
            <w:vMerge w:val="restart"/>
            <w:noWrap/>
            <w:hideMark/>
          </w:tcPr>
          <w:p w14:paraId="6B62228D" w14:textId="77777777" w:rsidR="00FA7EBF" w:rsidRPr="00194D78" w:rsidRDefault="00FA7EBF" w:rsidP="007B207C">
            <w:pPr>
              <w:pStyle w:val="ARfintablecolheadright"/>
              <w:rPr>
                <w:rFonts w:ascii="Times New Roman" w:hAnsi="Times New Roman"/>
              </w:rPr>
            </w:pPr>
            <w:r w:rsidRPr="00194D78">
              <w:t>Notes</w:t>
            </w:r>
          </w:p>
        </w:tc>
        <w:tc>
          <w:tcPr>
            <w:tcW w:w="1134" w:type="dxa"/>
            <w:vMerge w:val="restart"/>
            <w:noWrap/>
            <w:hideMark/>
          </w:tcPr>
          <w:p w14:paraId="2ED45B82" w14:textId="77777777" w:rsidR="00FA7EBF" w:rsidRPr="00C20438" w:rsidRDefault="00FA7EBF" w:rsidP="007B207C">
            <w:pPr>
              <w:pStyle w:val="ARfintablecolheadright"/>
            </w:pPr>
            <w:r w:rsidRPr="00C20438">
              <w:t>AASB 139 Measure-ment Categories</w:t>
            </w:r>
          </w:p>
          <w:p w14:paraId="23C74D70" w14:textId="77777777" w:rsidR="00FA7EBF" w:rsidRPr="00C20438" w:rsidRDefault="00FA7EBF" w:rsidP="007B207C">
            <w:pPr>
              <w:pStyle w:val="ARfintablecolheadright"/>
              <w:rPr>
                <w:rFonts w:ascii="Times New Roman" w:hAnsi="Times New Roman"/>
              </w:rPr>
            </w:pPr>
            <w:r w:rsidRPr="00C20438">
              <w:t>$M</w:t>
            </w:r>
          </w:p>
        </w:tc>
        <w:tc>
          <w:tcPr>
            <w:tcW w:w="4536" w:type="dxa"/>
            <w:gridSpan w:val="4"/>
            <w:hideMark/>
          </w:tcPr>
          <w:p w14:paraId="2FF298E8" w14:textId="77777777" w:rsidR="00FA7EBF" w:rsidRPr="00C20438" w:rsidRDefault="00FA7EBF" w:rsidP="007B207C">
            <w:pPr>
              <w:pStyle w:val="ARfintablecolheadcentre"/>
            </w:pPr>
            <w:r w:rsidRPr="00C20438">
              <w:t>AASB 9 Measurement Categories</w:t>
            </w:r>
          </w:p>
        </w:tc>
      </w:tr>
      <w:tr w:rsidR="00FA7EBF" w:rsidRPr="00194D78" w14:paraId="62ECD517" w14:textId="77777777" w:rsidTr="007B207C">
        <w:trPr>
          <w:cnfStyle w:val="100000000000" w:firstRow="1" w:lastRow="0" w:firstColumn="0" w:lastColumn="0" w:oddVBand="0" w:evenVBand="0" w:oddHBand="0" w:evenHBand="0" w:firstRowFirstColumn="0" w:firstRowLastColumn="0" w:lastRowFirstColumn="0" w:lastRowLastColumn="0"/>
          <w:tblHeader/>
        </w:trPr>
        <w:tc>
          <w:tcPr>
            <w:tcW w:w="3289" w:type="dxa"/>
            <w:vMerge/>
            <w:noWrap/>
            <w:hideMark/>
          </w:tcPr>
          <w:p w14:paraId="313BDAB3" w14:textId="77777777" w:rsidR="00FA7EBF" w:rsidRPr="00194D78" w:rsidRDefault="00FA7EBF" w:rsidP="007B207C">
            <w:pPr>
              <w:rPr>
                <w:rFonts w:ascii="Verdana" w:hAnsi="Verdana" w:cs="Calibri"/>
              </w:rPr>
            </w:pPr>
          </w:p>
        </w:tc>
        <w:tc>
          <w:tcPr>
            <w:tcW w:w="680" w:type="dxa"/>
            <w:vMerge/>
            <w:noWrap/>
            <w:hideMark/>
          </w:tcPr>
          <w:p w14:paraId="6041C623" w14:textId="77777777" w:rsidR="00FA7EBF" w:rsidRPr="00194D78" w:rsidRDefault="00FA7EBF" w:rsidP="007B207C">
            <w:pPr>
              <w:pStyle w:val="ARfintablecolheadright"/>
            </w:pPr>
          </w:p>
        </w:tc>
        <w:tc>
          <w:tcPr>
            <w:tcW w:w="1134" w:type="dxa"/>
            <w:vMerge/>
            <w:hideMark/>
          </w:tcPr>
          <w:p w14:paraId="565B26FF" w14:textId="77777777" w:rsidR="00FA7EBF" w:rsidRPr="00C20438" w:rsidRDefault="00FA7EBF" w:rsidP="007B207C">
            <w:pPr>
              <w:pStyle w:val="ARfintablecolheadright"/>
            </w:pPr>
          </w:p>
        </w:tc>
        <w:tc>
          <w:tcPr>
            <w:tcW w:w="1134" w:type="dxa"/>
            <w:hideMark/>
          </w:tcPr>
          <w:p w14:paraId="01F3EF44" w14:textId="77777777" w:rsidR="00FA7EBF" w:rsidRPr="00C20438" w:rsidRDefault="00FA7EBF" w:rsidP="007B207C">
            <w:pPr>
              <w:pStyle w:val="ARfintablecolheadright"/>
            </w:pPr>
            <w:r w:rsidRPr="00C20438">
              <w:t>Fair value through net result (desig-nated)</w:t>
            </w:r>
          </w:p>
          <w:p w14:paraId="062EA307" w14:textId="77777777" w:rsidR="00FA7EBF" w:rsidRPr="00C20438" w:rsidRDefault="00FA7EBF" w:rsidP="007B207C">
            <w:pPr>
              <w:pStyle w:val="ARfintablecolheadright"/>
            </w:pPr>
            <w:r w:rsidRPr="00C20438">
              <w:t>$M</w:t>
            </w:r>
          </w:p>
        </w:tc>
        <w:tc>
          <w:tcPr>
            <w:tcW w:w="1134" w:type="dxa"/>
            <w:hideMark/>
          </w:tcPr>
          <w:p w14:paraId="4630F42C" w14:textId="77777777" w:rsidR="00FA7EBF" w:rsidRPr="00C20438" w:rsidRDefault="00FA7EBF" w:rsidP="007B207C">
            <w:pPr>
              <w:pStyle w:val="ARfintablecolheadright"/>
            </w:pPr>
            <w:r w:rsidRPr="00C20438">
              <w:t>Fair value through net result (manda-tory)</w:t>
            </w:r>
          </w:p>
          <w:p w14:paraId="5F142865" w14:textId="77777777" w:rsidR="00FA7EBF" w:rsidRPr="00C20438" w:rsidRDefault="00FA7EBF" w:rsidP="007B207C">
            <w:pPr>
              <w:pStyle w:val="ARfintablecolheadright"/>
            </w:pPr>
            <w:r w:rsidRPr="00C20438">
              <w:t>$M</w:t>
            </w:r>
          </w:p>
        </w:tc>
        <w:tc>
          <w:tcPr>
            <w:tcW w:w="1134" w:type="dxa"/>
            <w:hideMark/>
          </w:tcPr>
          <w:p w14:paraId="235E953E" w14:textId="77777777" w:rsidR="00FA7EBF" w:rsidRPr="00C20438" w:rsidRDefault="00FA7EBF" w:rsidP="007B207C">
            <w:pPr>
              <w:pStyle w:val="ARfintablecolheadright"/>
            </w:pPr>
            <w:r w:rsidRPr="00C20438">
              <w:t>Amortised cost</w:t>
            </w:r>
          </w:p>
          <w:p w14:paraId="7E902A3C" w14:textId="77777777" w:rsidR="00FA7EBF" w:rsidRPr="00C20438" w:rsidRDefault="00FA7EBF" w:rsidP="007B207C">
            <w:pPr>
              <w:pStyle w:val="ARfintablecolheadright"/>
            </w:pPr>
            <w:r w:rsidRPr="00C20438">
              <w:t>$M</w:t>
            </w:r>
          </w:p>
        </w:tc>
        <w:tc>
          <w:tcPr>
            <w:tcW w:w="1134" w:type="dxa"/>
            <w:hideMark/>
          </w:tcPr>
          <w:p w14:paraId="7BB14145" w14:textId="77777777" w:rsidR="00FA7EBF" w:rsidRPr="00C20438" w:rsidRDefault="00FA7EBF" w:rsidP="007B207C">
            <w:pPr>
              <w:pStyle w:val="ARfintablecolheadright"/>
            </w:pPr>
            <w:r w:rsidRPr="00C20438">
              <w:t>Fair value through compre-hensive income</w:t>
            </w:r>
          </w:p>
          <w:p w14:paraId="5A21EF79" w14:textId="77777777" w:rsidR="00FA7EBF" w:rsidRPr="00C20438" w:rsidRDefault="00FA7EBF" w:rsidP="007B207C">
            <w:pPr>
              <w:pStyle w:val="ARfintablecolheadright"/>
            </w:pPr>
            <w:r w:rsidRPr="00C20438">
              <w:t>$M</w:t>
            </w:r>
          </w:p>
        </w:tc>
      </w:tr>
      <w:tr w:rsidR="00FA7EBF" w:rsidRPr="00194D78" w14:paraId="4BBE45DC" w14:textId="77777777" w:rsidTr="007B207C">
        <w:trPr>
          <w:cantSplit w:val="0"/>
          <w:trHeight w:val="248"/>
        </w:trPr>
        <w:tc>
          <w:tcPr>
            <w:tcW w:w="9639" w:type="dxa"/>
            <w:gridSpan w:val="7"/>
            <w:tcBorders>
              <w:bottom w:val="single" w:sz="4" w:space="0" w:color="BFBFBF" w:themeColor="accent4"/>
            </w:tcBorders>
            <w:noWrap/>
            <w:hideMark/>
          </w:tcPr>
          <w:p w14:paraId="32B7AEEB" w14:textId="77777777" w:rsidR="00FA7EBF" w:rsidRPr="00194D78" w:rsidRDefault="00FA7EBF" w:rsidP="007B207C">
            <w:pPr>
              <w:pStyle w:val="ARfintablebodybold"/>
              <w:rPr>
                <w:rFonts w:ascii="Times New Roman" w:hAnsi="Times New Roman"/>
                <w:lang w:eastAsia="en-AU"/>
              </w:rPr>
            </w:pPr>
            <w:r w:rsidRPr="00194D78">
              <w:rPr>
                <w:lang w:eastAsia="en-AU"/>
              </w:rPr>
              <w:t>AASB 139 Measurement Categories</w:t>
            </w:r>
          </w:p>
        </w:tc>
      </w:tr>
      <w:tr w:rsidR="00FA7EBF" w:rsidRPr="00194D78" w14:paraId="3555453A" w14:textId="77777777" w:rsidTr="007B207C">
        <w:trPr>
          <w:cantSplit w:val="0"/>
          <w:trHeight w:val="248"/>
        </w:trPr>
        <w:tc>
          <w:tcPr>
            <w:tcW w:w="3289" w:type="dxa"/>
            <w:tcBorders>
              <w:top w:val="single" w:sz="4" w:space="0" w:color="BFBFBF" w:themeColor="accent4"/>
              <w:bottom w:val="single" w:sz="4" w:space="0" w:color="BFBFBF" w:themeColor="accent4"/>
            </w:tcBorders>
            <w:noWrap/>
            <w:hideMark/>
          </w:tcPr>
          <w:p w14:paraId="5D8AF69E" w14:textId="77777777" w:rsidR="00FA7EBF" w:rsidRPr="00194D78" w:rsidRDefault="00FA7EBF" w:rsidP="007B207C">
            <w:pPr>
              <w:pStyle w:val="ARfintablebody"/>
              <w:rPr>
                <w:lang w:eastAsia="en-AU"/>
              </w:rPr>
            </w:pPr>
            <w:r w:rsidRPr="00194D78">
              <w:rPr>
                <w:lang w:eastAsia="en-AU"/>
              </w:rPr>
              <w:t>Cash and deposits</w:t>
            </w:r>
          </w:p>
        </w:tc>
        <w:tc>
          <w:tcPr>
            <w:tcW w:w="680" w:type="dxa"/>
            <w:tcBorders>
              <w:top w:val="single" w:sz="4" w:space="0" w:color="BFBFBF" w:themeColor="accent4"/>
              <w:bottom w:val="single" w:sz="4" w:space="0" w:color="BFBFBF" w:themeColor="accent4"/>
            </w:tcBorders>
            <w:noWrap/>
            <w:hideMark/>
          </w:tcPr>
          <w:p w14:paraId="3723E23E" w14:textId="77777777" w:rsidR="00FA7EBF" w:rsidRPr="00194D78" w:rsidRDefault="00FA7EBF" w:rsidP="007B207C">
            <w:pPr>
              <w:pStyle w:val="ARfintablebodyright"/>
              <w:rPr>
                <w:lang w:eastAsia="en-AU"/>
              </w:rPr>
            </w:pPr>
            <w:r w:rsidRPr="00194D78">
              <w:rPr>
                <w:lang w:eastAsia="en-AU"/>
              </w:rPr>
              <w:t>8.1.1</w:t>
            </w:r>
          </w:p>
        </w:tc>
        <w:tc>
          <w:tcPr>
            <w:tcW w:w="1134" w:type="dxa"/>
            <w:tcBorders>
              <w:top w:val="single" w:sz="4" w:space="0" w:color="BFBFBF" w:themeColor="accent4"/>
              <w:bottom w:val="single" w:sz="4" w:space="0" w:color="BFBFBF" w:themeColor="accent4"/>
            </w:tcBorders>
            <w:noWrap/>
            <w:hideMark/>
          </w:tcPr>
          <w:p w14:paraId="76AB2C01" w14:textId="77777777" w:rsidR="00FA7EBF" w:rsidRPr="00194D78" w:rsidRDefault="00FA7EBF" w:rsidP="007B207C">
            <w:pPr>
              <w:pStyle w:val="ARfintablebodyright"/>
              <w:rPr>
                <w:lang w:eastAsia="en-AU"/>
              </w:rPr>
            </w:pPr>
            <w:r w:rsidRPr="00194D78">
              <w:rPr>
                <w:lang w:eastAsia="en-AU"/>
              </w:rPr>
              <w:t>383.2</w:t>
            </w:r>
          </w:p>
        </w:tc>
        <w:tc>
          <w:tcPr>
            <w:tcW w:w="1134" w:type="dxa"/>
            <w:tcBorders>
              <w:top w:val="single" w:sz="4" w:space="0" w:color="BFBFBF" w:themeColor="accent4"/>
              <w:bottom w:val="single" w:sz="4" w:space="0" w:color="BFBFBF" w:themeColor="accent4"/>
            </w:tcBorders>
            <w:noWrap/>
            <w:hideMark/>
          </w:tcPr>
          <w:p w14:paraId="1FC40725" w14:textId="77777777" w:rsidR="00FA7EBF" w:rsidRPr="009921D5" w:rsidRDefault="00FA7EBF" w:rsidP="007B207C">
            <w:pPr>
              <w:pStyle w:val="ARfintablebodyright"/>
              <w:rPr>
                <w:lang w:eastAsia="en-AU"/>
              </w:rPr>
            </w:pPr>
            <w:r w:rsidRPr="009921D5">
              <w:rPr>
                <w:lang w:eastAsia="en-AU"/>
              </w:rPr>
              <w:t>–</w:t>
            </w:r>
          </w:p>
        </w:tc>
        <w:tc>
          <w:tcPr>
            <w:tcW w:w="1134" w:type="dxa"/>
            <w:tcBorders>
              <w:top w:val="single" w:sz="4" w:space="0" w:color="BFBFBF" w:themeColor="accent4"/>
              <w:bottom w:val="single" w:sz="4" w:space="0" w:color="BFBFBF" w:themeColor="accent4"/>
            </w:tcBorders>
            <w:noWrap/>
            <w:hideMark/>
          </w:tcPr>
          <w:p w14:paraId="3E52D5C2" w14:textId="77777777" w:rsidR="00FA7EBF" w:rsidRPr="00194D78" w:rsidRDefault="00FA7EBF" w:rsidP="007B207C">
            <w:pPr>
              <w:pStyle w:val="ARfintablebodyright"/>
              <w:rPr>
                <w:rFonts w:ascii="Times New Roman" w:hAnsi="Times New Roman"/>
                <w:lang w:eastAsia="en-AU"/>
              </w:rPr>
            </w:pPr>
            <w:r>
              <w:rPr>
                <w:lang w:eastAsia="en-AU"/>
              </w:rPr>
              <w:t>–</w:t>
            </w:r>
          </w:p>
        </w:tc>
        <w:tc>
          <w:tcPr>
            <w:tcW w:w="1134" w:type="dxa"/>
            <w:tcBorders>
              <w:top w:val="single" w:sz="4" w:space="0" w:color="BFBFBF" w:themeColor="accent4"/>
              <w:bottom w:val="single" w:sz="4" w:space="0" w:color="BFBFBF" w:themeColor="accent4"/>
            </w:tcBorders>
            <w:noWrap/>
            <w:hideMark/>
          </w:tcPr>
          <w:p w14:paraId="0ADF399D" w14:textId="77777777" w:rsidR="00FA7EBF" w:rsidRPr="00194D78" w:rsidRDefault="00FA7EBF" w:rsidP="007B207C">
            <w:pPr>
              <w:pStyle w:val="ARfintablebodyright"/>
              <w:rPr>
                <w:lang w:eastAsia="en-AU"/>
              </w:rPr>
            </w:pPr>
            <w:r w:rsidRPr="00194D78">
              <w:rPr>
                <w:lang w:eastAsia="en-AU"/>
              </w:rPr>
              <w:t>383.2</w:t>
            </w:r>
          </w:p>
        </w:tc>
        <w:tc>
          <w:tcPr>
            <w:tcW w:w="1134" w:type="dxa"/>
            <w:tcBorders>
              <w:top w:val="single" w:sz="4" w:space="0" w:color="BFBFBF" w:themeColor="accent4"/>
              <w:bottom w:val="single" w:sz="4" w:space="0" w:color="BFBFBF" w:themeColor="accent4"/>
            </w:tcBorders>
            <w:noWrap/>
            <w:hideMark/>
          </w:tcPr>
          <w:p w14:paraId="30B1F01D" w14:textId="77777777" w:rsidR="00FA7EBF" w:rsidRPr="00194D78" w:rsidRDefault="00FA7EBF" w:rsidP="007B207C">
            <w:pPr>
              <w:pStyle w:val="ARfintablebodyright"/>
              <w:rPr>
                <w:lang w:eastAsia="en-AU"/>
              </w:rPr>
            </w:pPr>
            <w:r>
              <w:rPr>
                <w:lang w:eastAsia="en-AU"/>
              </w:rPr>
              <w:t>–</w:t>
            </w:r>
          </w:p>
        </w:tc>
      </w:tr>
      <w:tr w:rsidR="00FA7EBF" w:rsidRPr="00194D78" w14:paraId="35231E98" w14:textId="77777777" w:rsidTr="007B207C">
        <w:trPr>
          <w:cantSplit w:val="0"/>
          <w:trHeight w:val="248"/>
        </w:trPr>
        <w:tc>
          <w:tcPr>
            <w:tcW w:w="3289" w:type="dxa"/>
            <w:tcBorders>
              <w:top w:val="single" w:sz="4" w:space="0" w:color="BFBFBF" w:themeColor="accent4"/>
              <w:bottom w:val="single" w:sz="4" w:space="0" w:color="BFBFBF" w:themeColor="accent4"/>
            </w:tcBorders>
            <w:noWrap/>
            <w:hideMark/>
          </w:tcPr>
          <w:p w14:paraId="234DA0DB" w14:textId="77777777" w:rsidR="00FA7EBF" w:rsidRPr="00194D78" w:rsidRDefault="00FA7EBF" w:rsidP="007B207C">
            <w:pPr>
              <w:pStyle w:val="ARfintablebody"/>
              <w:rPr>
                <w:lang w:eastAsia="en-AU"/>
              </w:rPr>
            </w:pPr>
            <w:r w:rsidRPr="00194D78">
              <w:rPr>
                <w:lang w:eastAsia="en-AU"/>
              </w:rPr>
              <w:t>Contractual receivables</w:t>
            </w:r>
          </w:p>
        </w:tc>
        <w:tc>
          <w:tcPr>
            <w:tcW w:w="680" w:type="dxa"/>
            <w:tcBorders>
              <w:top w:val="single" w:sz="4" w:space="0" w:color="BFBFBF" w:themeColor="accent4"/>
              <w:bottom w:val="single" w:sz="4" w:space="0" w:color="BFBFBF" w:themeColor="accent4"/>
            </w:tcBorders>
            <w:noWrap/>
            <w:hideMark/>
          </w:tcPr>
          <w:p w14:paraId="7420C2C7" w14:textId="77777777" w:rsidR="00FA7EBF" w:rsidRPr="00194D78" w:rsidRDefault="00FA7EBF" w:rsidP="007B207C">
            <w:pPr>
              <w:pStyle w:val="ARfintablebodyright"/>
              <w:rPr>
                <w:lang w:eastAsia="en-AU"/>
              </w:rPr>
            </w:pPr>
            <w:r w:rsidRPr="00194D78">
              <w:rPr>
                <w:lang w:eastAsia="en-AU"/>
              </w:rPr>
              <w:t>8.1.1</w:t>
            </w:r>
          </w:p>
        </w:tc>
        <w:tc>
          <w:tcPr>
            <w:tcW w:w="1134" w:type="dxa"/>
            <w:tcBorders>
              <w:top w:val="single" w:sz="4" w:space="0" w:color="BFBFBF" w:themeColor="accent4"/>
              <w:bottom w:val="single" w:sz="4" w:space="0" w:color="BFBFBF" w:themeColor="accent4"/>
            </w:tcBorders>
            <w:noWrap/>
            <w:hideMark/>
          </w:tcPr>
          <w:p w14:paraId="27DD489A" w14:textId="77777777" w:rsidR="00FA7EBF" w:rsidRPr="00194D78" w:rsidRDefault="00FA7EBF" w:rsidP="007B207C">
            <w:pPr>
              <w:pStyle w:val="ARfintablebodyright"/>
              <w:rPr>
                <w:lang w:eastAsia="en-AU"/>
              </w:rPr>
            </w:pPr>
            <w:r w:rsidRPr="00194D78">
              <w:rPr>
                <w:lang w:eastAsia="en-AU"/>
              </w:rPr>
              <w:t>96.9</w:t>
            </w:r>
          </w:p>
        </w:tc>
        <w:tc>
          <w:tcPr>
            <w:tcW w:w="1134" w:type="dxa"/>
            <w:tcBorders>
              <w:top w:val="single" w:sz="4" w:space="0" w:color="BFBFBF" w:themeColor="accent4"/>
              <w:bottom w:val="single" w:sz="4" w:space="0" w:color="BFBFBF" w:themeColor="accent4"/>
            </w:tcBorders>
            <w:noWrap/>
            <w:hideMark/>
          </w:tcPr>
          <w:p w14:paraId="6F36FC9B" w14:textId="77777777" w:rsidR="00FA7EBF" w:rsidRPr="00194D78" w:rsidRDefault="00FA7EBF" w:rsidP="007B207C">
            <w:pPr>
              <w:pStyle w:val="ARfintablebodyright"/>
              <w:rPr>
                <w:lang w:eastAsia="en-AU"/>
              </w:rPr>
            </w:pPr>
            <w:r>
              <w:rPr>
                <w:lang w:eastAsia="en-AU"/>
              </w:rPr>
              <w:t>–</w:t>
            </w:r>
          </w:p>
        </w:tc>
        <w:tc>
          <w:tcPr>
            <w:tcW w:w="1134" w:type="dxa"/>
            <w:tcBorders>
              <w:top w:val="single" w:sz="4" w:space="0" w:color="BFBFBF" w:themeColor="accent4"/>
              <w:bottom w:val="single" w:sz="4" w:space="0" w:color="BFBFBF" w:themeColor="accent4"/>
            </w:tcBorders>
            <w:noWrap/>
            <w:hideMark/>
          </w:tcPr>
          <w:p w14:paraId="2B85BD25" w14:textId="77777777" w:rsidR="00FA7EBF" w:rsidRPr="00194D78" w:rsidRDefault="00FA7EBF" w:rsidP="007B207C">
            <w:pPr>
              <w:pStyle w:val="ARfintablebodyright"/>
              <w:rPr>
                <w:lang w:eastAsia="en-AU"/>
              </w:rPr>
            </w:pPr>
            <w:r>
              <w:rPr>
                <w:lang w:eastAsia="en-AU"/>
              </w:rPr>
              <w:t>–</w:t>
            </w:r>
          </w:p>
        </w:tc>
        <w:tc>
          <w:tcPr>
            <w:tcW w:w="1134" w:type="dxa"/>
            <w:tcBorders>
              <w:top w:val="single" w:sz="4" w:space="0" w:color="BFBFBF" w:themeColor="accent4"/>
              <w:bottom w:val="single" w:sz="4" w:space="0" w:color="BFBFBF" w:themeColor="accent4"/>
            </w:tcBorders>
            <w:noWrap/>
            <w:hideMark/>
          </w:tcPr>
          <w:p w14:paraId="44B61194" w14:textId="77777777" w:rsidR="00FA7EBF" w:rsidRPr="00194D78" w:rsidRDefault="00FA7EBF" w:rsidP="007B207C">
            <w:pPr>
              <w:pStyle w:val="ARfintablebodyright"/>
              <w:rPr>
                <w:lang w:eastAsia="en-AU"/>
              </w:rPr>
            </w:pPr>
            <w:r w:rsidRPr="00194D78">
              <w:rPr>
                <w:lang w:eastAsia="en-AU"/>
              </w:rPr>
              <w:t>94.5</w:t>
            </w:r>
          </w:p>
        </w:tc>
        <w:tc>
          <w:tcPr>
            <w:tcW w:w="1134" w:type="dxa"/>
            <w:tcBorders>
              <w:top w:val="single" w:sz="4" w:space="0" w:color="BFBFBF" w:themeColor="accent4"/>
              <w:bottom w:val="single" w:sz="4" w:space="0" w:color="BFBFBF" w:themeColor="accent4"/>
            </w:tcBorders>
            <w:noWrap/>
            <w:hideMark/>
          </w:tcPr>
          <w:p w14:paraId="17CD2C24" w14:textId="77777777" w:rsidR="00FA7EBF" w:rsidRPr="00194D78" w:rsidRDefault="00FA7EBF" w:rsidP="007B207C">
            <w:pPr>
              <w:pStyle w:val="ARfintablebodyright"/>
              <w:rPr>
                <w:lang w:eastAsia="en-AU"/>
              </w:rPr>
            </w:pPr>
            <w:r>
              <w:rPr>
                <w:lang w:eastAsia="en-AU"/>
              </w:rPr>
              <w:t>–</w:t>
            </w:r>
          </w:p>
        </w:tc>
      </w:tr>
      <w:tr w:rsidR="00FA7EBF" w:rsidRPr="00194D78" w14:paraId="0A70CAA4" w14:textId="77777777" w:rsidTr="007B207C">
        <w:trPr>
          <w:cantSplit w:val="0"/>
          <w:trHeight w:val="248"/>
        </w:trPr>
        <w:tc>
          <w:tcPr>
            <w:tcW w:w="3289" w:type="dxa"/>
            <w:tcBorders>
              <w:top w:val="single" w:sz="4" w:space="0" w:color="BFBFBF" w:themeColor="accent4"/>
              <w:bottom w:val="single" w:sz="4" w:space="0" w:color="BFBFBF" w:themeColor="accent4"/>
            </w:tcBorders>
            <w:noWrap/>
            <w:hideMark/>
          </w:tcPr>
          <w:p w14:paraId="1F598BEE" w14:textId="77777777" w:rsidR="00FA7EBF" w:rsidRPr="00194D78" w:rsidRDefault="00FA7EBF" w:rsidP="007B207C">
            <w:pPr>
              <w:pStyle w:val="ARfintablebody"/>
              <w:rPr>
                <w:lang w:eastAsia="en-AU"/>
              </w:rPr>
            </w:pPr>
            <w:r w:rsidRPr="00194D78">
              <w:rPr>
                <w:lang w:eastAsia="en-AU"/>
              </w:rPr>
              <w:t>Loans</w:t>
            </w:r>
          </w:p>
        </w:tc>
        <w:tc>
          <w:tcPr>
            <w:tcW w:w="680" w:type="dxa"/>
            <w:tcBorders>
              <w:top w:val="single" w:sz="4" w:space="0" w:color="BFBFBF" w:themeColor="accent4"/>
              <w:bottom w:val="single" w:sz="4" w:space="0" w:color="BFBFBF" w:themeColor="accent4"/>
            </w:tcBorders>
            <w:noWrap/>
            <w:hideMark/>
          </w:tcPr>
          <w:p w14:paraId="4959F3B7" w14:textId="77777777" w:rsidR="00FA7EBF" w:rsidRPr="00194D78" w:rsidRDefault="00FA7EBF" w:rsidP="007B207C">
            <w:pPr>
              <w:pStyle w:val="ARfintablebodyright"/>
              <w:rPr>
                <w:lang w:eastAsia="en-AU"/>
              </w:rPr>
            </w:pPr>
            <w:r w:rsidRPr="00194D78">
              <w:rPr>
                <w:lang w:eastAsia="en-AU"/>
              </w:rPr>
              <w:t>8.1.1</w:t>
            </w:r>
          </w:p>
        </w:tc>
        <w:tc>
          <w:tcPr>
            <w:tcW w:w="1134" w:type="dxa"/>
            <w:tcBorders>
              <w:top w:val="single" w:sz="4" w:space="0" w:color="BFBFBF" w:themeColor="accent4"/>
              <w:bottom w:val="single" w:sz="4" w:space="0" w:color="BFBFBF" w:themeColor="accent4"/>
            </w:tcBorders>
            <w:noWrap/>
            <w:hideMark/>
          </w:tcPr>
          <w:p w14:paraId="1AE78D8C" w14:textId="77777777" w:rsidR="00FA7EBF" w:rsidRPr="00194D78" w:rsidRDefault="00FA7EBF" w:rsidP="007B207C">
            <w:pPr>
              <w:pStyle w:val="ARfintablebodyright"/>
              <w:rPr>
                <w:lang w:eastAsia="en-AU"/>
              </w:rPr>
            </w:pPr>
            <w:r w:rsidRPr="00194D78">
              <w:rPr>
                <w:lang w:eastAsia="en-AU"/>
              </w:rPr>
              <w:t>105.7</w:t>
            </w:r>
          </w:p>
        </w:tc>
        <w:tc>
          <w:tcPr>
            <w:tcW w:w="1134" w:type="dxa"/>
            <w:tcBorders>
              <w:top w:val="single" w:sz="4" w:space="0" w:color="BFBFBF" w:themeColor="accent4"/>
              <w:bottom w:val="single" w:sz="4" w:space="0" w:color="BFBFBF" w:themeColor="accent4"/>
            </w:tcBorders>
            <w:noWrap/>
            <w:hideMark/>
          </w:tcPr>
          <w:p w14:paraId="402DF413" w14:textId="77777777" w:rsidR="00FA7EBF" w:rsidRPr="00194D78" w:rsidRDefault="00FA7EBF" w:rsidP="007B207C">
            <w:pPr>
              <w:pStyle w:val="ARfintablebodyright"/>
              <w:rPr>
                <w:lang w:eastAsia="en-AU"/>
              </w:rPr>
            </w:pPr>
            <w:r>
              <w:rPr>
                <w:lang w:eastAsia="en-AU"/>
              </w:rPr>
              <w:t>–</w:t>
            </w:r>
          </w:p>
        </w:tc>
        <w:tc>
          <w:tcPr>
            <w:tcW w:w="1134" w:type="dxa"/>
            <w:tcBorders>
              <w:top w:val="single" w:sz="4" w:space="0" w:color="BFBFBF" w:themeColor="accent4"/>
              <w:bottom w:val="single" w:sz="4" w:space="0" w:color="BFBFBF" w:themeColor="accent4"/>
            </w:tcBorders>
            <w:noWrap/>
            <w:hideMark/>
          </w:tcPr>
          <w:p w14:paraId="3DF949EE" w14:textId="77777777" w:rsidR="00FA7EBF" w:rsidRPr="00194D78" w:rsidRDefault="00FA7EBF" w:rsidP="007B207C">
            <w:pPr>
              <w:pStyle w:val="ARfintablebodyright"/>
              <w:rPr>
                <w:rFonts w:ascii="Times New Roman" w:hAnsi="Times New Roman"/>
                <w:lang w:eastAsia="en-AU"/>
              </w:rPr>
            </w:pPr>
            <w:r>
              <w:rPr>
                <w:lang w:eastAsia="en-AU"/>
              </w:rPr>
              <w:t>–</w:t>
            </w:r>
          </w:p>
        </w:tc>
        <w:tc>
          <w:tcPr>
            <w:tcW w:w="1134" w:type="dxa"/>
            <w:tcBorders>
              <w:top w:val="single" w:sz="4" w:space="0" w:color="BFBFBF" w:themeColor="accent4"/>
              <w:bottom w:val="single" w:sz="4" w:space="0" w:color="BFBFBF" w:themeColor="accent4"/>
            </w:tcBorders>
            <w:noWrap/>
            <w:hideMark/>
          </w:tcPr>
          <w:p w14:paraId="1F95FED0" w14:textId="77777777" w:rsidR="00FA7EBF" w:rsidRPr="00194D78" w:rsidRDefault="00FA7EBF" w:rsidP="007B207C">
            <w:pPr>
              <w:pStyle w:val="ARfintablebodyright"/>
              <w:rPr>
                <w:lang w:eastAsia="en-AU"/>
              </w:rPr>
            </w:pPr>
            <w:r w:rsidRPr="00194D78">
              <w:rPr>
                <w:lang w:eastAsia="en-AU"/>
              </w:rPr>
              <w:t>105.7</w:t>
            </w:r>
          </w:p>
        </w:tc>
        <w:tc>
          <w:tcPr>
            <w:tcW w:w="1134" w:type="dxa"/>
            <w:tcBorders>
              <w:top w:val="single" w:sz="4" w:space="0" w:color="BFBFBF" w:themeColor="accent4"/>
              <w:bottom w:val="single" w:sz="4" w:space="0" w:color="BFBFBF" w:themeColor="accent4"/>
            </w:tcBorders>
            <w:noWrap/>
            <w:hideMark/>
          </w:tcPr>
          <w:p w14:paraId="585D32C0" w14:textId="77777777" w:rsidR="00FA7EBF" w:rsidRPr="00194D78" w:rsidRDefault="00FA7EBF" w:rsidP="007B207C">
            <w:pPr>
              <w:pStyle w:val="ARfintablebodyright"/>
              <w:rPr>
                <w:lang w:eastAsia="en-AU"/>
              </w:rPr>
            </w:pPr>
            <w:r>
              <w:rPr>
                <w:lang w:eastAsia="en-AU"/>
              </w:rPr>
              <w:t>–</w:t>
            </w:r>
          </w:p>
        </w:tc>
      </w:tr>
      <w:tr w:rsidR="00FA7EBF" w:rsidRPr="00194D78" w14:paraId="5CA4858F" w14:textId="77777777" w:rsidTr="007B207C">
        <w:trPr>
          <w:cantSplit w:val="0"/>
          <w:trHeight w:val="248"/>
        </w:trPr>
        <w:tc>
          <w:tcPr>
            <w:tcW w:w="3289" w:type="dxa"/>
            <w:tcBorders>
              <w:top w:val="single" w:sz="4" w:space="0" w:color="BFBFBF" w:themeColor="accent4"/>
            </w:tcBorders>
            <w:noWrap/>
            <w:hideMark/>
          </w:tcPr>
          <w:p w14:paraId="241AB5B8" w14:textId="77777777" w:rsidR="00FA7EBF" w:rsidRPr="00194D78" w:rsidRDefault="00FA7EBF" w:rsidP="007B207C">
            <w:pPr>
              <w:pStyle w:val="ARfintablebody"/>
              <w:rPr>
                <w:lang w:eastAsia="en-AU"/>
              </w:rPr>
            </w:pPr>
            <w:r w:rsidRPr="00194D78">
              <w:rPr>
                <w:lang w:eastAsia="en-AU"/>
              </w:rPr>
              <w:t>Short-term investments</w:t>
            </w:r>
            <w:r>
              <w:rPr>
                <w:lang w:eastAsia="en-AU"/>
              </w:rPr>
              <w:t xml:space="preserve"> – </w:t>
            </w:r>
            <w:r w:rsidRPr="00194D78">
              <w:rPr>
                <w:lang w:eastAsia="en-AU"/>
              </w:rPr>
              <w:t>term deposits</w:t>
            </w:r>
          </w:p>
        </w:tc>
        <w:tc>
          <w:tcPr>
            <w:tcW w:w="680" w:type="dxa"/>
            <w:tcBorders>
              <w:top w:val="single" w:sz="4" w:space="0" w:color="BFBFBF" w:themeColor="accent4"/>
            </w:tcBorders>
            <w:noWrap/>
            <w:hideMark/>
          </w:tcPr>
          <w:p w14:paraId="2FBA19E7" w14:textId="77777777" w:rsidR="00FA7EBF" w:rsidRPr="00194D78" w:rsidRDefault="00FA7EBF" w:rsidP="007B207C">
            <w:pPr>
              <w:pStyle w:val="ARfintablebodyright"/>
              <w:rPr>
                <w:lang w:eastAsia="en-AU"/>
              </w:rPr>
            </w:pPr>
            <w:r w:rsidRPr="00194D78">
              <w:rPr>
                <w:lang w:eastAsia="en-AU"/>
              </w:rPr>
              <w:t>8.1.1</w:t>
            </w:r>
          </w:p>
        </w:tc>
        <w:tc>
          <w:tcPr>
            <w:tcW w:w="1134" w:type="dxa"/>
            <w:tcBorders>
              <w:top w:val="single" w:sz="4" w:space="0" w:color="BFBFBF" w:themeColor="accent4"/>
            </w:tcBorders>
            <w:noWrap/>
            <w:hideMark/>
          </w:tcPr>
          <w:p w14:paraId="11808664" w14:textId="77777777" w:rsidR="00FA7EBF" w:rsidRPr="00194D78" w:rsidRDefault="00FA7EBF" w:rsidP="007B207C">
            <w:pPr>
              <w:pStyle w:val="ARfintablebodyright"/>
              <w:rPr>
                <w:lang w:eastAsia="en-AU"/>
              </w:rPr>
            </w:pPr>
            <w:r w:rsidRPr="00194D78">
              <w:rPr>
                <w:lang w:eastAsia="en-AU"/>
              </w:rPr>
              <w:t>534.8</w:t>
            </w:r>
          </w:p>
        </w:tc>
        <w:tc>
          <w:tcPr>
            <w:tcW w:w="1134" w:type="dxa"/>
            <w:tcBorders>
              <w:top w:val="single" w:sz="4" w:space="0" w:color="BFBFBF" w:themeColor="accent4"/>
            </w:tcBorders>
            <w:noWrap/>
            <w:hideMark/>
          </w:tcPr>
          <w:p w14:paraId="0AB06B25" w14:textId="77777777" w:rsidR="00FA7EBF" w:rsidRPr="00194D78" w:rsidRDefault="00FA7EBF" w:rsidP="007B207C">
            <w:pPr>
              <w:pStyle w:val="ARfintablebodyright"/>
              <w:rPr>
                <w:lang w:eastAsia="en-AU"/>
              </w:rPr>
            </w:pPr>
            <w:r>
              <w:rPr>
                <w:lang w:eastAsia="en-AU"/>
              </w:rPr>
              <w:t>–</w:t>
            </w:r>
          </w:p>
        </w:tc>
        <w:tc>
          <w:tcPr>
            <w:tcW w:w="1134" w:type="dxa"/>
            <w:tcBorders>
              <w:top w:val="single" w:sz="4" w:space="0" w:color="BFBFBF" w:themeColor="accent4"/>
            </w:tcBorders>
            <w:noWrap/>
            <w:hideMark/>
          </w:tcPr>
          <w:p w14:paraId="2D0B227D" w14:textId="77777777" w:rsidR="00FA7EBF" w:rsidRPr="00194D78" w:rsidRDefault="00FA7EBF" w:rsidP="007B207C">
            <w:pPr>
              <w:pStyle w:val="ARfintablebodyright"/>
              <w:rPr>
                <w:rFonts w:ascii="Times New Roman" w:hAnsi="Times New Roman"/>
                <w:lang w:eastAsia="en-AU"/>
              </w:rPr>
            </w:pPr>
            <w:r>
              <w:rPr>
                <w:lang w:eastAsia="en-AU"/>
              </w:rPr>
              <w:t>–</w:t>
            </w:r>
          </w:p>
        </w:tc>
        <w:tc>
          <w:tcPr>
            <w:tcW w:w="1134" w:type="dxa"/>
            <w:tcBorders>
              <w:top w:val="single" w:sz="4" w:space="0" w:color="BFBFBF" w:themeColor="accent4"/>
            </w:tcBorders>
            <w:noWrap/>
            <w:hideMark/>
          </w:tcPr>
          <w:p w14:paraId="1F36EA28" w14:textId="77777777" w:rsidR="00FA7EBF" w:rsidRPr="00194D78" w:rsidRDefault="00FA7EBF" w:rsidP="007B207C">
            <w:pPr>
              <w:pStyle w:val="ARfintablebodyright"/>
              <w:rPr>
                <w:lang w:eastAsia="en-AU"/>
              </w:rPr>
            </w:pPr>
            <w:r w:rsidRPr="00194D78">
              <w:rPr>
                <w:lang w:eastAsia="en-AU"/>
              </w:rPr>
              <w:t>534.8</w:t>
            </w:r>
          </w:p>
        </w:tc>
        <w:tc>
          <w:tcPr>
            <w:tcW w:w="1134" w:type="dxa"/>
            <w:tcBorders>
              <w:top w:val="single" w:sz="4" w:space="0" w:color="BFBFBF" w:themeColor="accent4"/>
            </w:tcBorders>
            <w:noWrap/>
            <w:hideMark/>
          </w:tcPr>
          <w:p w14:paraId="18C1C4B8" w14:textId="77777777" w:rsidR="00FA7EBF" w:rsidRPr="00194D78" w:rsidRDefault="00FA7EBF" w:rsidP="007B207C">
            <w:pPr>
              <w:pStyle w:val="ARfintablebodyright"/>
              <w:rPr>
                <w:lang w:eastAsia="en-AU"/>
              </w:rPr>
            </w:pPr>
            <w:r>
              <w:rPr>
                <w:lang w:eastAsia="en-AU"/>
              </w:rPr>
              <w:t>–</w:t>
            </w:r>
          </w:p>
        </w:tc>
      </w:tr>
      <w:tr w:rsidR="00FA7EBF" w:rsidRPr="00194D78" w14:paraId="1D700A31" w14:textId="77777777" w:rsidTr="007B207C">
        <w:trPr>
          <w:cantSplit w:val="0"/>
          <w:trHeight w:val="255"/>
        </w:trPr>
        <w:tc>
          <w:tcPr>
            <w:tcW w:w="3289" w:type="dxa"/>
            <w:noWrap/>
            <w:hideMark/>
          </w:tcPr>
          <w:p w14:paraId="2EA49A10" w14:textId="77777777" w:rsidR="00FA7EBF" w:rsidRPr="00194D78" w:rsidRDefault="00FA7EBF" w:rsidP="007B207C">
            <w:pPr>
              <w:pStyle w:val="ARfintablebodybold"/>
              <w:rPr>
                <w:lang w:eastAsia="en-AU"/>
              </w:rPr>
            </w:pPr>
            <w:r w:rsidRPr="00194D78">
              <w:rPr>
                <w:lang w:eastAsia="en-AU"/>
              </w:rPr>
              <w:t>As at 1 July 2018</w:t>
            </w:r>
          </w:p>
        </w:tc>
        <w:tc>
          <w:tcPr>
            <w:tcW w:w="680" w:type="dxa"/>
            <w:noWrap/>
            <w:hideMark/>
          </w:tcPr>
          <w:p w14:paraId="7BB72CDA" w14:textId="77777777" w:rsidR="00FA7EBF" w:rsidRPr="00194D78" w:rsidRDefault="00FA7EBF" w:rsidP="007B207C">
            <w:pPr>
              <w:pStyle w:val="ARfintablebodyrightbold"/>
              <w:rPr>
                <w:lang w:eastAsia="en-AU"/>
              </w:rPr>
            </w:pPr>
          </w:p>
        </w:tc>
        <w:tc>
          <w:tcPr>
            <w:tcW w:w="1134" w:type="dxa"/>
            <w:noWrap/>
            <w:hideMark/>
          </w:tcPr>
          <w:p w14:paraId="3D40AD9E" w14:textId="77777777" w:rsidR="00FA7EBF" w:rsidRPr="00194D78" w:rsidRDefault="00FA7EBF" w:rsidP="007B207C">
            <w:pPr>
              <w:pStyle w:val="ARfintablebodyrightbold"/>
              <w:rPr>
                <w:lang w:eastAsia="en-AU"/>
              </w:rPr>
            </w:pPr>
            <w:r w:rsidRPr="00194D78">
              <w:rPr>
                <w:lang w:eastAsia="en-AU"/>
              </w:rPr>
              <w:t>1,120.6</w:t>
            </w:r>
          </w:p>
        </w:tc>
        <w:tc>
          <w:tcPr>
            <w:tcW w:w="1134" w:type="dxa"/>
            <w:noWrap/>
            <w:hideMark/>
          </w:tcPr>
          <w:p w14:paraId="75515B24" w14:textId="77777777" w:rsidR="00FA7EBF" w:rsidRPr="00194D78" w:rsidRDefault="00FA7EBF" w:rsidP="007B207C">
            <w:pPr>
              <w:pStyle w:val="ARfintablebodyrightbold"/>
              <w:rPr>
                <w:lang w:eastAsia="en-AU"/>
              </w:rPr>
            </w:pPr>
            <w:r>
              <w:rPr>
                <w:lang w:eastAsia="en-AU"/>
              </w:rPr>
              <w:t>–</w:t>
            </w:r>
          </w:p>
        </w:tc>
        <w:tc>
          <w:tcPr>
            <w:tcW w:w="1134" w:type="dxa"/>
            <w:noWrap/>
            <w:hideMark/>
          </w:tcPr>
          <w:p w14:paraId="4D225EA0" w14:textId="77777777" w:rsidR="00FA7EBF" w:rsidRPr="00194D78" w:rsidRDefault="00FA7EBF" w:rsidP="007B207C">
            <w:pPr>
              <w:pStyle w:val="ARfintablebodyrightbold"/>
              <w:rPr>
                <w:lang w:eastAsia="en-AU"/>
              </w:rPr>
            </w:pPr>
            <w:r>
              <w:rPr>
                <w:lang w:eastAsia="en-AU"/>
              </w:rPr>
              <w:t>–</w:t>
            </w:r>
          </w:p>
        </w:tc>
        <w:tc>
          <w:tcPr>
            <w:tcW w:w="1134" w:type="dxa"/>
            <w:noWrap/>
            <w:hideMark/>
          </w:tcPr>
          <w:p w14:paraId="3A95055B" w14:textId="77777777" w:rsidR="00FA7EBF" w:rsidRPr="00194D78" w:rsidRDefault="00FA7EBF" w:rsidP="007B207C">
            <w:pPr>
              <w:pStyle w:val="ARfintablebodyrightbold"/>
              <w:rPr>
                <w:lang w:eastAsia="en-AU"/>
              </w:rPr>
            </w:pPr>
            <w:r w:rsidRPr="00194D78">
              <w:rPr>
                <w:lang w:eastAsia="en-AU"/>
              </w:rPr>
              <w:t>1,118.2</w:t>
            </w:r>
          </w:p>
        </w:tc>
        <w:tc>
          <w:tcPr>
            <w:tcW w:w="1134" w:type="dxa"/>
            <w:noWrap/>
            <w:hideMark/>
          </w:tcPr>
          <w:p w14:paraId="01FB36C0" w14:textId="77777777" w:rsidR="00FA7EBF" w:rsidRPr="00194D78" w:rsidRDefault="00FA7EBF" w:rsidP="007B207C">
            <w:pPr>
              <w:pStyle w:val="ARfintablebodyrightbold"/>
              <w:rPr>
                <w:lang w:eastAsia="en-AU"/>
              </w:rPr>
            </w:pPr>
            <w:r>
              <w:rPr>
                <w:lang w:eastAsia="en-AU"/>
              </w:rPr>
              <w:t>–</w:t>
            </w:r>
          </w:p>
        </w:tc>
      </w:tr>
    </w:tbl>
    <w:p w14:paraId="6E43B43F" w14:textId="77777777" w:rsidR="00FA7EBF" w:rsidRPr="00194D78" w:rsidRDefault="00FA7EBF" w:rsidP="00CA66FD">
      <w:pPr>
        <w:pStyle w:val="Heading5"/>
        <w:rPr>
          <w:lang w:eastAsia="en-AU"/>
        </w:rPr>
      </w:pPr>
      <w:r w:rsidRPr="00194D78">
        <w:rPr>
          <w:lang w:eastAsia="en-AU"/>
        </w:rPr>
        <w:t>9.12.2 Changes to the impairment of financial assets</w:t>
      </w:r>
    </w:p>
    <w:p w14:paraId="3666B971" w14:textId="77777777" w:rsidR="00FA7EBF" w:rsidRPr="00194D78" w:rsidRDefault="00FA7EBF" w:rsidP="00CA66FD">
      <w:pPr>
        <w:pStyle w:val="ARfinbody"/>
      </w:pPr>
      <w:r w:rsidRPr="00194D78">
        <w:t>Under AASB 9, all loans and receivables as well as other debt instruments not carried at fair value through net result are subject to AASB 9</w:t>
      </w:r>
      <w:r>
        <w:t>’</w:t>
      </w:r>
      <w:r w:rsidRPr="00194D78">
        <w:t>s new expected credit loss (ECL) impairment model, which replaces AASB 139</w:t>
      </w:r>
      <w:r>
        <w:t>’</w:t>
      </w:r>
      <w:r w:rsidRPr="00194D78">
        <w:t>s incurred loss approach.</w:t>
      </w:r>
    </w:p>
    <w:p w14:paraId="1DE4F4E7" w14:textId="77777777" w:rsidR="00FA7EBF" w:rsidRPr="00194D78" w:rsidRDefault="00FA7EBF" w:rsidP="00CA66FD">
      <w:pPr>
        <w:pStyle w:val="ARfinbody"/>
      </w:pPr>
      <w:r w:rsidRPr="00194D78">
        <w:t>For other loans and receivables, the department applies the AASB 9 simplified approach to measure expected credit losses based on the change in the ECLs over the life of the asset. Application of the lifetime ECL allowance method results in an increase in the impairment loss allowance of $2.4 million. Refer to note 8.1.3.1 for details about the calculation of the allowance. The loss allowance increased further by $2.1 million for these financial assets during the financial year.</w:t>
      </w:r>
    </w:p>
    <w:p w14:paraId="7393F504" w14:textId="77777777" w:rsidR="00FA7EBF" w:rsidRPr="00194D78" w:rsidRDefault="00FA7EBF" w:rsidP="00CA66FD">
      <w:pPr>
        <w:pStyle w:val="ARfinbody"/>
      </w:pPr>
      <w:r w:rsidRPr="00194D78">
        <w:t>For debt instruments at amortised costs, the department considers them to be low risk and therefore determines the loss allowance based on ECLs associated with the probability of default in the next 12 months. Applying the ECL model does not result in recognition of</w:t>
      </w:r>
      <w:r>
        <w:t> </w:t>
      </w:r>
      <w:r w:rsidRPr="00194D78">
        <w:t>additional loss allowance (previous loss allowance was nil). No further increase in allowance in the current financial year.</w:t>
      </w:r>
    </w:p>
    <w:p w14:paraId="0E2B9603" w14:textId="77777777" w:rsidR="00FA7EBF" w:rsidRPr="00194D78" w:rsidRDefault="00FA7EBF" w:rsidP="002F7C48">
      <w:pPr>
        <w:pStyle w:val="Heading5"/>
        <w:spacing w:before="160" w:after="40"/>
        <w:rPr>
          <w:lang w:eastAsia="en-AU"/>
        </w:rPr>
      </w:pPr>
      <w:r w:rsidRPr="00194D78">
        <w:rPr>
          <w:lang w:eastAsia="en-AU"/>
        </w:rPr>
        <w:t>9.12.3 Transition impact</w:t>
      </w:r>
    </w:p>
    <w:p w14:paraId="3926B8CC" w14:textId="77777777" w:rsidR="00FA7EBF" w:rsidRPr="00194D78" w:rsidRDefault="00FA7EBF" w:rsidP="00CA66FD">
      <w:pPr>
        <w:pStyle w:val="ARfinbody"/>
      </w:pPr>
      <w:r w:rsidRPr="00194D78">
        <w:t xml:space="preserve">The transition impact of first-time adoption of AASB 9 on </w:t>
      </w:r>
      <w:r>
        <w:t>c</w:t>
      </w:r>
      <w:r w:rsidRPr="00194D78">
        <w:t xml:space="preserve">omprehensive </w:t>
      </w:r>
      <w:r>
        <w:t>o</w:t>
      </w:r>
      <w:r w:rsidRPr="00194D78">
        <w:t xml:space="preserve">perating </w:t>
      </w:r>
      <w:r>
        <w:t>s</w:t>
      </w:r>
      <w:r w:rsidRPr="00194D78">
        <w:t xml:space="preserve">tatement and </w:t>
      </w:r>
      <w:r>
        <w:t>b</w:t>
      </w:r>
      <w:r w:rsidRPr="00194D78">
        <w:t xml:space="preserve">alance </w:t>
      </w:r>
      <w:r>
        <w:t>s</w:t>
      </w:r>
      <w:r w:rsidRPr="00194D78">
        <w:t>heet has been summarised in the following tables.</w:t>
      </w:r>
    </w:p>
    <w:p w14:paraId="1D8C3D6F" w14:textId="77777777" w:rsidR="00FA7EBF" w:rsidRPr="00194D78" w:rsidRDefault="00FA7EBF" w:rsidP="00CA66FD">
      <w:pPr>
        <w:pStyle w:val="ARfinbody"/>
      </w:pPr>
      <w:r w:rsidRPr="00194D78">
        <w:t xml:space="preserve">Impact on </w:t>
      </w:r>
      <w:r>
        <w:t>c</w:t>
      </w:r>
      <w:r w:rsidRPr="00194D78">
        <w:t xml:space="preserve">omprehensive </w:t>
      </w:r>
      <w:r>
        <w:t>operating</w:t>
      </w:r>
      <w:r w:rsidRPr="00194D78">
        <w:t xml:space="preserve"> </w:t>
      </w:r>
      <w:r>
        <w:t>s</w:t>
      </w:r>
      <w:r w:rsidRPr="00194D78">
        <w:t>tatement as at 1 July 2018 as follows:</w:t>
      </w:r>
    </w:p>
    <w:tbl>
      <w:tblPr>
        <w:tblStyle w:val="TableGrid"/>
        <w:tblW w:w="9639" w:type="dxa"/>
        <w:tblLook w:val="04A0" w:firstRow="1" w:lastRow="0" w:firstColumn="1" w:lastColumn="0" w:noHBand="0" w:noVBand="1"/>
      </w:tblPr>
      <w:tblGrid>
        <w:gridCol w:w="6804"/>
        <w:gridCol w:w="1134"/>
        <w:gridCol w:w="1701"/>
      </w:tblGrid>
      <w:tr w:rsidR="00FA7EBF" w:rsidRPr="00194D78" w14:paraId="0186941D" w14:textId="77777777" w:rsidTr="007B207C">
        <w:trPr>
          <w:cnfStyle w:val="100000000000" w:firstRow="1" w:lastRow="0" w:firstColumn="0" w:lastColumn="0" w:oddVBand="0" w:evenVBand="0" w:oddHBand="0" w:evenHBand="0" w:firstRowFirstColumn="0" w:firstRowLastColumn="0" w:lastRowFirstColumn="0" w:lastRowLastColumn="0"/>
          <w:tblHeader/>
        </w:trPr>
        <w:tc>
          <w:tcPr>
            <w:tcW w:w="6804" w:type="dxa"/>
            <w:noWrap/>
            <w:hideMark/>
          </w:tcPr>
          <w:p w14:paraId="281D7E34" w14:textId="77777777" w:rsidR="00FA7EBF" w:rsidRPr="00194D78" w:rsidRDefault="00FA7EBF" w:rsidP="002F7C48">
            <w:pPr>
              <w:pStyle w:val="ARfintablecolhead"/>
              <w:spacing w:before="30" w:after="20"/>
            </w:pPr>
            <w:r w:rsidRPr="00194D78">
              <w:t>Comprehensive operating statement</w:t>
            </w:r>
          </w:p>
        </w:tc>
        <w:tc>
          <w:tcPr>
            <w:tcW w:w="1134" w:type="dxa"/>
            <w:noWrap/>
            <w:hideMark/>
          </w:tcPr>
          <w:p w14:paraId="0E7F512F" w14:textId="77777777" w:rsidR="00FA7EBF" w:rsidRPr="00194D78" w:rsidRDefault="00FA7EBF" w:rsidP="002F7C48">
            <w:pPr>
              <w:pStyle w:val="ARfintablecolheadright"/>
              <w:spacing w:before="30" w:after="20"/>
            </w:pPr>
            <w:r w:rsidRPr="00194D78">
              <w:t>Notes</w:t>
            </w:r>
          </w:p>
        </w:tc>
        <w:tc>
          <w:tcPr>
            <w:tcW w:w="1701" w:type="dxa"/>
            <w:noWrap/>
            <w:hideMark/>
          </w:tcPr>
          <w:p w14:paraId="455A25B5" w14:textId="77777777" w:rsidR="00FA7EBF" w:rsidRDefault="00FA7EBF" w:rsidP="002F7C48">
            <w:pPr>
              <w:pStyle w:val="ARfintablecolheadright"/>
              <w:spacing w:before="30" w:after="20"/>
            </w:pPr>
            <w:r w:rsidRPr="00194D78">
              <w:t>30/06/2018</w:t>
            </w:r>
          </w:p>
          <w:p w14:paraId="2E655BFC" w14:textId="77777777" w:rsidR="00FA7EBF" w:rsidRPr="00194D78" w:rsidRDefault="00FA7EBF" w:rsidP="002F7C48">
            <w:pPr>
              <w:pStyle w:val="ARfintablecolheadright"/>
              <w:spacing w:before="30" w:after="20"/>
            </w:pPr>
            <w:r w:rsidRPr="00194D78">
              <w:t>$M</w:t>
            </w:r>
          </w:p>
        </w:tc>
      </w:tr>
      <w:tr w:rsidR="00FA7EBF" w:rsidRPr="00194D78" w14:paraId="32AB8928" w14:textId="77777777" w:rsidTr="007B207C">
        <w:trPr>
          <w:cantSplit w:val="0"/>
        </w:trPr>
        <w:tc>
          <w:tcPr>
            <w:tcW w:w="6804" w:type="dxa"/>
            <w:tcBorders>
              <w:bottom w:val="single" w:sz="4" w:space="0" w:color="BFBFBF" w:themeColor="accent4"/>
            </w:tcBorders>
            <w:noWrap/>
            <w:hideMark/>
          </w:tcPr>
          <w:p w14:paraId="22ECCD8A" w14:textId="77777777" w:rsidR="00FA7EBF" w:rsidRPr="00194D78" w:rsidRDefault="00FA7EBF" w:rsidP="002F7C48">
            <w:pPr>
              <w:pStyle w:val="ARfintablebody"/>
              <w:spacing w:before="30"/>
              <w:rPr>
                <w:lang w:eastAsia="en-AU"/>
              </w:rPr>
            </w:pPr>
            <w:r w:rsidRPr="00194D78">
              <w:rPr>
                <w:lang w:eastAsia="en-AU"/>
              </w:rPr>
              <w:t>Impairment of financial assets</w:t>
            </w:r>
          </w:p>
        </w:tc>
        <w:tc>
          <w:tcPr>
            <w:tcW w:w="1134" w:type="dxa"/>
            <w:tcBorders>
              <w:bottom w:val="single" w:sz="4" w:space="0" w:color="BFBFBF" w:themeColor="accent4"/>
            </w:tcBorders>
            <w:noWrap/>
            <w:hideMark/>
          </w:tcPr>
          <w:p w14:paraId="7195F907" w14:textId="77777777" w:rsidR="00FA7EBF" w:rsidRPr="00194D78" w:rsidRDefault="00FA7EBF" w:rsidP="002F7C48">
            <w:pPr>
              <w:pStyle w:val="ARfintablebodyright"/>
              <w:spacing w:before="30"/>
              <w:rPr>
                <w:lang w:eastAsia="en-AU"/>
              </w:rPr>
            </w:pPr>
            <w:r w:rsidRPr="00194D78">
              <w:rPr>
                <w:lang w:eastAsia="en-AU"/>
              </w:rPr>
              <w:t>8.1.3.1</w:t>
            </w:r>
          </w:p>
        </w:tc>
        <w:tc>
          <w:tcPr>
            <w:tcW w:w="1701" w:type="dxa"/>
            <w:tcBorders>
              <w:bottom w:val="single" w:sz="4" w:space="0" w:color="BFBFBF" w:themeColor="accent4"/>
            </w:tcBorders>
            <w:noWrap/>
            <w:hideMark/>
          </w:tcPr>
          <w:p w14:paraId="217F7B57" w14:textId="77777777" w:rsidR="00FA7EBF" w:rsidRPr="00194D78" w:rsidRDefault="00FA7EBF" w:rsidP="002F7C48">
            <w:pPr>
              <w:pStyle w:val="ARfintablebodyright"/>
              <w:spacing w:before="30"/>
              <w:rPr>
                <w:lang w:eastAsia="en-AU"/>
              </w:rPr>
            </w:pPr>
            <w:r w:rsidRPr="00194D78">
              <w:rPr>
                <w:lang w:eastAsia="en-AU"/>
              </w:rPr>
              <w:t>(2.4)</w:t>
            </w:r>
          </w:p>
        </w:tc>
      </w:tr>
      <w:tr w:rsidR="00FA7EBF" w:rsidRPr="00194D78" w14:paraId="07AD49E3" w14:textId="77777777" w:rsidTr="007B207C">
        <w:trPr>
          <w:cantSplit w:val="0"/>
        </w:trPr>
        <w:tc>
          <w:tcPr>
            <w:tcW w:w="6804" w:type="dxa"/>
            <w:tcBorders>
              <w:top w:val="single" w:sz="4" w:space="0" w:color="BFBFBF" w:themeColor="accent4"/>
              <w:bottom w:val="single" w:sz="4" w:space="0" w:color="BFBFBF" w:themeColor="accent4"/>
            </w:tcBorders>
            <w:noWrap/>
            <w:hideMark/>
          </w:tcPr>
          <w:p w14:paraId="79B9811E" w14:textId="77777777" w:rsidR="00FA7EBF" w:rsidRPr="00194D78" w:rsidRDefault="00FA7EBF" w:rsidP="002F7C48">
            <w:pPr>
              <w:pStyle w:val="ARfintablebody"/>
              <w:spacing w:before="30"/>
              <w:rPr>
                <w:lang w:eastAsia="en-AU"/>
              </w:rPr>
            </w:pPr>
            <w:r w:rsidRPr="00194D78">
              <w:rPr>
                <w:lang w:eastAsia="en-AU"/>
              </w:rPr>
              <w:t>Other economic flow included in net result</w:t>
            </w:r>
          </w:p>
        </w:tc>
        <w:tc>
          <w:tcPr>
            <w:tcW w:w="1134" w:type="dxa"/>
            <w:tcBorders>
              <w:top w:val="single" w:sz="4" w:space="0" w:color="BFBFBF" w:themeColor="accent4"/>
              <w:bottom w:val="single" w:sz="4" w:space="0" w:color="BFBFBF" w:themeColor="accent4"/>
            </w:tcBorders>
          </w:tcPr>
          <w:p w14:paraId="5C9B67F0" w14:textId="77777777" w:rsidR="00FA7EBF" w:rsidRPr="00194D78" w:rsidRDefault="00FA7EBF" w:rsidP="002F7C48">
            <w:pPr>
              <w:pStyle w:val="ARfintablebodyright"/>
              <w:spacing w:before="30"/>
              <w:rPr>
                <w:lang w:eastAsia="en-AU"/>
              </w:rPr>
            </w:pPr>
          </w:p>
        </w:tc>
        <w:tc>
          <w:tcPr>
            <w:tcW w:w="1701" w:type="dxa"/>
            <w:tcBorders>
              <w:top w:val="single" w:sz="4" w:space="0" w:color="BFBFBF" w:themeColor="accent4"/>
              <w:bottom w:val="single" w:sz="4" w:space="0" w:color="BFBFBF" w:themeColor="accent4"/>
            </w:tcBorders>
            <w:noWrap/>
            <w:hideMark/>
          </w:tcPr>
          <w:p w14:paraId="50EF4EC2" w14:textId="77777777" w:rsidR="00FA7EBF" w:rsidRPr="00194D78" w:rsidRDefault="00FA7EBF" w:rsidP="002F7C48">
            <w:pPr>
              <w:pStyle w:val="ARfintablebodyright"/>
              <w:spacing w:before="30"/>
              <w:rPr>
                <w:lang w:eastAsia="en-AU"/>
              </w:rPr>
            </w:pPr>
            <w:r w:rsidRPr="00194D78">
              <w:rPr>
                <w:lang w:eastAsia="en-AU"/>
              </w:rPr>
              <w:t>(2.4)</w:t>
            </w:r>
          </w:p>
        </w:tc>
      </w:tr>
      <w:tr w:rsidR="00FA7EBF" w:rsidRPr="00194D78" w14:paraId="428B0218" w14:textId="77777777" w:rsidTr="007B207C">
        <w:trPr>
          <w:cantSplit w:val="0"/>
        </w:trPr>
        <w:tc>
          <w:tcPr>
            <w:tcW w:w="6804" w:type="dxa"/>
            <w:tcBorders>
              <w:top w:val="single" w:sz="4" w:space="0" w:color="BFBFBF" w:themeColor="accent4"/>
            </w:tcBorders>
            <w:noWrap/>
            <w:hideMark/>
          </w:tcPr>
          <w:p w14:paraId="1DF8420A" w14:textId="77777777" w:rsidR="00FA7EBF" w:rsidRPr="00194D78" w:rsidRDefault="00FA7EBF" w:rsidP="002F7C48">
            <w:pPr>
              <w:pStyle w:val="ARfintablebodybold"/>
              <w:spacing w:before="30"/>
              <w:rPr>
                <w:lang w:eastAsia="en-AU"/>
              </w:rPr>
            </w:pPr>
            <w:r w:rsidRPr="00194D78">
              <w:rPr>
                <w:lang w:eastAsia="en-AU"/>
              </w:rPr>
              <w:t>Comprehensive income</w:t>
            </w:r>
          </w:p>
        </w:tc>
        <w:tc>
          <w:tcPr>
            <w:tcW w:w="1134" w:type="dxa"/>
            <w:tcBorders>
              <w:top w:val="single" w:sz="4" w:space="0" w:color="BFBFBF" w:themeColor="accent4"/>
            </w:tcBorders>
            <w:noWrap/>
            <w:hideMark/>
          </w:tcPr>
          <w:p w14:paraId="580A326D" w14:textId="77777777" w:rsidR="00FA7EBF" w:rsidRPr="00194D78" w:rsidRDefault="00FA7EBF" w:rsidP="002F7C48">
            <w:pPr>
              <w:pStyle w:val="ARfintablebodyrightbold"/>
              <w:spacing w:before="30"/>
              <w:rPr>
                <w:lang w:eastAsia="en-AU"/>
              </w:rPr>
            </w:pPr>
          </w:p>
        </w:tc>
        <w:tc>
          <w:tcPr>
            <w:tcW w:w="1701" w:type="dxa"/>
            <w:tcBorders>
              <w:top w:val="single" w:sz="4" w:space="0" w:color="BFBFBF" w:themeColor="accent4"/>
            </w:tcBorders>
            <w:noWrap/>
            <w:hideMark/>
          </w:tcPr>
          <w:p w14:paraId="1A3D73AA" w14:textId="77777777" w:rsidR="00FA7EBF" w:rsidRPr="00194D78" w:rsidRDefault="00FA7EBF" w:rsidP="002F7C48">
            <w:pPr>
              <w:pStyle w:val="ARfintablebodyrightbold"/>
              <w:spacing w:before="30"/>
              <w:rPr>
                <w:lang w:eastAsia="en-AU"/>
              </w:rPr>
            </w:pPr>
            <w:r w:rsidRPr="00194D78">
              <w:rPr>
                <w:lang w:eastAsia="en-AU"/>
              </w:rPr>
              <w:t>(2.4)</w:t>
            </w:r>
          </w:p>
        </w:tc>
      </w:tr>
    </w:tbl>
    <w:p w14:paraId="69DC3B8B" w14:textId="77777777" w:rsidR="00FA7EBF" w:rsidRPr="00194D78" w:rsidRDefault="00FA7EBF" w:rsidP="002F7C48">
      <w:pPr>
        <w:pStyle w:val="ARfinbodyaftertable"/>
      </w:pPr>
      <w:r w:rsidRPr="00194D78">
        <w:t xml:space="preserve">Impact on </w:t>
      </w:r>
      <w:r>
        <w:t>b</w:t>
      </w:r>
      <w:r w:rsidRPr="00194D78">
        <w:t xml:space="preserve">alance </w:t>
      </w:r>
      <w:r>
        <w:t>s</w:t>
      </w:r>
      <w:r w:rsidRPr="00194D78">
        <w:t>heet is illustrated with the following reconciliation between the carrying amounts under AASB 139 at 30 June 2018 and the balances reported under AASB 9 at 1 July 2018 for each affected balance sheet line item:</w:t>
      </w:r>
    </w:p>
    <w:tbl>
      <w:tblPr>
        <w:tblStyle w:val="TableGrid"/>
        <w:tblW w:w="9639" w:type="dxa"/>
        <w:tblLook w:val="04A0" w:firstRow="1" w:lastRow="0" w:firstColumn="1" w:lastColumn="0" w:noHBand="0" w:noVBand="1"/>
      </w:tblPr>
      <w:tblGrid>
        <w:gridCol w:w="3289"/>
        <w:gridCol w:w="680"/>
        <w:gridCol w:w="1418"/>
        <w:gridCol w:w="1440"/>
        <w:gridCol w:w="1466"/>
        <w:gridCol w:w="1418"/>
      </w:tblGrid>
      <w:tr w:rsidR="00FA7EBF" w:rsidRPr="00194D78" w14:paraId="5E6F38A0" w14:textId="77777777" w:rsidTr="007B207C">
        <w:trPr>
          <w:cnfStyle w:val="100000000000" w:firstRow="1" w:lastRow="0" w:firstColumn="0" w:lastColumn="0" w:oddVBand="0" w:evenVBand="0" w:oddHBand="0" w:evenHBand="0" w:firstRowFirstColumn="0" w:firstRowLastColumn="0" w:lastRowFirstColumn="0" w:lastRowLastColumn="0"/>
          <w:tblHeader/>
        </w:trPr>
        <w:tc>
          <w:tcPr>
            <w:tcW w:w="3289" w:type="dxa"/>
            <w:noWrap/>
            <w:hideMark/>
          </w:tcPr>
          <w:p w14:paraId="40E521C2" w14:textId="77777777" w:rsidR="00FA7EBF" w:rsidRPr="00194D78" w:rsidRDefault="00FA7EBF" w:rsidP="002F7C48">
            <w:pPr>
              <w:pStyle w:val="ARfintablecolhead"/>
              <w:spacing w:before="30" w:after="20"/>
              <w:rPr>
                <w:rFonts w:ascii="Times New Roman" w:hAnsi="Times New Roman"/>
              </w:rPr>
            </w:pPr>
            <w:r w:rsidRPr="00194D78">
              <w:t>Balance sheet</w:t>
            </w:r>
          </w:p>
        </w:tc>
        <w:tc>
          <w:tcPr>
            <w:tcW w:w="680" w:type="dxa"/>
            <w:noWrap/>
            <w:hideMark/>
          </w:tcPr>
          <w:p w14:paraId="314CD649" w14:textId="77777777" w:rsidR="00FA7EBF" w:rsidRPr="00194D78" w:rsidRDefault="00FA7EBF" w:rsidP="002F7C48">
            <w:pPr>
              <w:pStyle w:val="ARfintablecolheadright"/>
              <w:spacing w:before="30" w:after="20"/>
              <w:rPr>
                <w:rFonts w:ascii="Times New Roman" w:hAnsi="Times New Roman"/>
              </w:rPr>
            </w:pPr>
            <w:r w:rsidRPr="00194D78">
              <w:t>Notes</w:t>
            </w:r>
          </w:p>
        </w:tc>
        <w:tc>
          <w:tcPr>
            <w:tcW w:w="1418" w:type="dxa"/>
            <w:hideMark/>
          </w:tcPr>
          <w:p w14:paraId="6BC57AF2" w14:textId="77777777" w:rsidR="00FA7EBF" w:rsidRPr="00194D78" w:rsidRDefault="00FA7EBF" w:rsidP="002F7C48">
            <w:pPr>
              <w:pStyle w:val="ARfintablecolheadright"/>
              <w:spacing w:before="30" w:after="20"/>
            </w:pPr>
            <w:r w:rsidRPr="00194D78">
              <w:t>Amount at 30/6/2018</w:t>
            </w:r>
          </w:p>
          <w:p w14:paraId="120A7A3F" w14:textId="77777777" w:rsidR="00FA7EBF" w:rsidRPr="00194D78" w:rsidRDefault="00FA7EBF" w:rsidP="002F7C48">
            <w:pPr>
              <w:pStyle w:val="ARfintablecolheadright"/>
              <w:spacing w:before="30" w:after="20"/>
            </w:pPr>
            <w:r w:rsidRPr="00194D78">
              <w:t>$M</w:t>
            </w:r>
          </w:p>
        </w:tc>
        <w:tc>
          <w:tcPr>
            <w:tcW w:w="1418" w:type="dxa"/>
            <w:hideMark/>
          </w:tcPr>
          <w:p w14:paraId="37007EC1" w14:textId="77777777" w:rsidR="00FA7EBF" w:rsidRPr="00194D78" w:rsidRDefault="00FA7EBF" w:rsidP="002F7C48">
            <w:pPr>
              <w:pStyle w:val="ARfintablecolheadright"/>
              <w:spacing w:before="30" w:after="20"/>
            </w:pPr>
            <w:r w:rsidRPr="00194D78">
              <w:t>Reclassification</w:t>
            </w:r>
          </w:p>
          <w:p w14:paraId="290B90F9" w14:textId="77777777" w:rsidR="00FA7EBF" w:rsidRPr="00194D78" w:rsidRDefault="00FA7EBF" w:rsidP="002F7C48">
            <w:pPr>
              <w:pStyle w:val="ARfintablecolheadright"/>
              <w:spacing w:before="30" w:after="20"/>
            </w:pPr>
            <w:r w:rsidRPr="00194D78">
              <w:t>$M</w:t>
            </w:r>
          </w:p>
        </w:tc>
        <w:tc>
          <w:tcPr>
            <w:tcW w:w="1418" w:type="dxa"/>
            <w:hideMark/>
          </w:tcPr>
          <w:p w14:paraId="3BC578A6" w14:textId="77777777" w:rsidR="00FA7EBF" w:rsidRPr="00194D78" w:rsidRDefault="00FA7EBF" w:rsidP="002F7C48">
            <w:pPr>
              <w:pStyle w:val="ARfintablecolheadright"/>
              <w:spacing w:before="30" w:after="20"/>
            </w:pPr>
            <w:r w:rsidRPr="00194D78">
              <w:t>Remeasurement (ECL)</w:t>
            </w:r>
          </w:p>
          <w:p w14:paraId="21B24A21" w14:textId="77777777" w:rsidR="00FA7EBF" w:rsidRPr="00194D78" w:rsidRDefault="00FA7EBF" w:rsidP="002F7C48">
            <w:pPr>
              <w:pStyle w:val="ARfintablecolheadright"/>
              <w:spacing w:before="30" w:after="20"/>
            </w:pPr>
            <w:r w:rsidRPr="00194D78">
              <w:t>$M</w:t>
            </w:r>
          </w:p>
        </w:tc>
        <w:tc>
          <w:tcPr>
            <w:tcW w:w="1418" w:type="dxa"/>
            <w:hideMark/>
          </w:tcPr>
          <w:p w14:paraId="4FD294F3" w14:textId="77777777" w:rsidR="00FA7EBF" w:rsidRPr="00194D78" w:rsidRDefault="00FA7EBF" w:rsidP="002F7C48">
            <w:pPr>
              <w:pStyle w:val="ARfintablecolheadright"/>
              <w:spacing w:before="30" w:after="20"/>
            </w:pPr>
            <w:r w:rsidRPr="00194D78">
              <w:t>Restated amount at 1/7/2018</w:t>
            </w:r>
          </w:p>
          <w:p w14:paraId="5CA91A9F" w14:textId="77777777" w:rsidR="00FA7EBF" w:rsidRPr="00194D78" w:rsidRDefault="00FA7EBF" w:rsidP="002F7C48">
            <w:pPr>
              <w:pStyle w:val="ARfintablecolheadright"/>
              <w:spacing w:before="30" w:after="20"/>
            </w:pPr>
            <w:r w:rsidRPr="00194D78">
              <w:t>$M</w:t>
            </w:r>
          </w:p>
        </w:tc>
      </w:tr>
      <w:tr w:rsidR="00FA7EBF" w:rsidRPr="00194D78" w14:paraId="532F0EED" w14:textId="77777777" w:rsidTr="007B207C">
        <w:trPr>
          <w:cantSplit w:val="0"/>
        </w:trPr>
        <w:tc>
          <w:tcPr>
            <w:tcW w:w="3289" w:type="dxa"/>
            <w:tcBorders>
              <w:bottom w:val="single" w:sz="4" w:space="0" w:color="BFBFBF" w:themeColor="accent4"/>
            </w:tcBorders>
            <w:noWrap/>
            <w:hideMark/>
          </w:tcPr>
          <w:p w14:paraId="6BDC3D6C" w14:textId="77777777" w:rsidR="00FA7EBF" w:rsidRPr="00194D78" w:rsidRDefault="00FA7EBF" w:rsidP="002F7C48">
            <w:pPr>
              <w:pStyle w:val="ARfintablebody"/>
              <w:spacing w:before="30"/>
              <w:rPr>
                <w:lang w:eastAsia="en-AU"/>
              </w:rPr>
            </w:pPr>
            <w:r w:rsidRPr="00194D78">
              <w:rPr>
                <w:lang w:eastAsia="en-AU"/>
              </w:rPr>
              <w:t>Cash and deposits</w:t>
            </w:r>
          </w:p>
        </w:tc>
        <w:tc>
          <w:tcPr>
            <w:tcW w:w="680" w:type="dxa"/>
            <w:tcBorders>
              <w:bottom w:val="single" w:sz="4" w:space="0" w:color="BFBFBF" w:themeColor="accent4"/>
            </w:tcBorders>
            <w:noWrap/>
            <w:hideMark/>
          </w:tcPr>
          <w:p w14:paraId="7B2D3644" w14:textId="77777777" w:rsidR="00FA7EBF" w:rsidRPr="00194D78" w:rsidRDefault="00FA7EBF" w:rsidP="002F7C48">
            <w:pPr>
              <w:pStyle w:val="ARfintablebodyright"/>
              <w:spacing w:before="30"/>
              <w:rPr>
                <w:lang w:eastAsia="en-AU"/>
              </w:rPr>
            </w:pPr>
            <w:r w:rsidRPr="00194D78">
              <w:rPr>
                <w:lang w:eastAsia="en-AU"/>
              </w:rPr>
              <w:t>8.1.1</w:t>
            </w:r>
          </w:p>
        </w:tc>
        <w:tc>
          <w:tcPr>
            <w:tcW w:w="1418" w:type="dxa"/>
            <w:tcBorders>
              <w:bottom w:val="single" w:sz="4" w:space="0" w:color="BFBFBF" w:themeColor="accent4"/>
            </w:tcBorders>
            <w:noWrap/>
            <w:hideMark/>
          </w:tcPr>
          <w:p w14:paraId="1087CD69" w14:textId="77777777" w:rsidR="00FA7EBF" w:rsidRPr="00194D78" w:rsidRDefault="00FA7EBF" w:rsidP="002F7C48">
            <w:pPr>
              <w:pStyle w:val="ARfintablebodyright"/>
              <w:spacing w:before="30"/>
              <w:rPr>
                <w:lang w:eastAsia="en-AU"/>
              </w:rPr>
            </w:pPr>
            <w:r w:rsidRPr="00194D78">
              <w:rPr>
                <w:lang w:eastAsia="en-AU"/>
              </w:rPr>
              <w:t>383.2</w:t>
            </w:r>
          </w:p>
        </w:tc>
        <w:tc>
          <w:tcPr>
            <w:tcW w:w="1418" w:type="dxa"/>
            <w:tcBorders>
              <w:bottom w:val="single" w:sz="4" w:space="0" w:color="BFBFBF" w:themeColor="accent4"/>
            </w:tcBorders>
            <w:noWrap/>
            <w:hideMark/>
          </w:tcPr>
          <w:p w14:paraId="44DFEE9D" w14:textId="77777777" w:rsidR="00FA7EBF" w:rsidRPr="00194D78" w:rsidRDefault="00FA7EBF" w:rsidP="002F7C48">
            <w:pPr>
              <w:pStyle w:val="ARfintablebodyright"/>
              <w:spacing w:before="30"/>
              <w:rPr>
                <w:lang w:eastAsia="en-AU"/>
              </w:rPr>
            </w:pPr>
            <w:r w:rsidRPr="00194D78">
              <w:rPr>
                <w:lang w:eastAsia="en-AU"/>
              </w:rPr>
              <w:t>(383.2)</w:t>
            </w:r>
          </w:p>
        </w:tc>
        <w:tc>
          <w:tcPr>
            <w:tcW w:w="1418" w:type="dxa"/>
            <w:tcBorders>
              <w:bottom w:val="single" w:sz="4" w:space="0" w:color="BFBFBF" w:themeColor="accent4"/>
            </w:tcBorders>
            <w:noWrap/>
            <w:hideMark/>
          </w:tcPr>
          <w:p w14:paraId="5DD1E316" w14:textId="77777777" w:rsidR="00FA7EBF" w:rsidRPr="00194D78" w:rsidRDefault="00FA7EBF" w:rsidP="002F7C48">
            <w:pPr>
              <w:pStyle w:val="ARfintablebodyright"/>
              <w:spacing w:before="30"/>
              <w:rPr>
                <w:lang w:eastAsia="en-AU"/>
              </w:rPr>
            </w:pPr>
            <w:r>
              <w:rPr>
                <w:lang w:eastAsia="en-AU"/>
              </w:rPr>
              <w:t>–</w:t>
            </w:r>
          </w:p>
        </w:tc>
        <w:tc>
          <w:tcPr>
            <w:tcW w:w="1418" w:type="dxa"/>
            <w:tcBorders>
              <w:bottom w:val="single" w:sz="4" w:space="0" w:color="BFBFBF" w:themeColor="accent4"/>
            </w:tcBorders>
            <w:noWrap/>
            <w:hideMark/>
          </w:tcPr>
          <w:p w14:paraId="5801ABF7" w14:textId="77777777" w:rsidR="00FA7EBF" w:rsidRPr="00194D78" w:rsidRDefault="00FA7EBF" w:rsidP="002F7C48">
            <w:pPr>
              <w:pStyle w:val="ARfintablebodyright"/>
              <w:spacing w:before="30"/>
              <w:rPr>
                <w:lang w:eastAsia="en-AU"/>
              </w:rPr>
            </w:pPr>
            <w:r>
              <w:rPr>
                <w:lang w:eastAsia="en-AU"/>
              </w:rPr>
              <w:t>–</w:t>
            </w:r>
          </w:p>
        </w:tc>
      </w:tr>
      <w:tr w:rsidR="00FA7EBF" w:rsidRPr="00194D78" w14:paraId="2DBC718B" w14:textId="77777777" w:rsidTr="007B207C">
        <w:trPr>
          <w:cantSplit w:val="0"/>
        </w:trPr>
        <w:tc>
          <w:tcPr>
            <w:tcW w:w="3289" w:type="dxa"/>
            <w:tcBorders>
              <w:top w:val="single" w:sz="4" w:space="0" w:color="BFBFBF" w:themeColor="accent4"/>
              <w:bottom w:val="single" w:sz="4" w:space="0" w:color="BFBFBF" w:themeColor="accent4"/>
            </w:tcBorders>
            <w:noWrap/>
            <w:hideMark/>
          </w:tcPr>
          <w:p w14:paraId="4F5C7F07" w14:textId="77777777" w:rsidR="00FA7EBF" w:rsidRPr="00194D78" w:rsidRDefault="00FA7EBF" w:rsidP="002F7C48">
            <w:pPr>
              <w:pStyle w:val="ARfintablebody"/>
              <w:spacing w:before="30"/>
              <w:rPr>
                <w:lang w:eastAsia="en-AU"/>
              </w:rPr>
            </w:pPr>
            <w:r w:rsidRPr="00194D78">
              <w:rPr>
                <w:lang w:eastAsia="en-AU"/>
              </w:rPr>
              <w:t>Contractual receivables</w:t>
            </w:r>
          </w:p>
        </w:tc>
        <w:tc>
          <w:tcPr>
            <w:tcW w:w="680" w:type="dxa"/>
            <w:tcBorders>
              <w:top w:val="single" w:sz="4" w:space="0" w:color="BFBFBF" w:themeColor="accent4"/>
              <w:bottom w:val="single" w:sz="4" w:space="0" w:color="BFBFBF" w:themeColor="accent4"/>
            </w:tcBorders>
            <w:noWrap/>
            <w:hideMark/>
          </w:tcPr>
          <w:p w14:paraId="2A81FCB9" w14:textId="77777777" w:rsidR="00FA7EBF" w:rsidRPr="00194D78" w:rsidRDefault="00FA7EBF" w:rsidP="002F7C48">
            <w:pPr>
              <w:pStyle w:val="ARfintablebodyright"/>
              <w:spacing w:before="30"/>
              <w:rPr>
                <w:lang w:eastAsia="en-AU"/>
              </w:rPr>
            </w:pPr>
            <w:r w:rsidRPr="00194D78">
              <w:rPr>
                <w:lang w:eastAsia="en-AU"/>
              </w:rPr>
              <w:t>8.1.1</w:t>
            </w:r>
          </w:p>
        </w:tc>
        <w:tc>
          <w:tcPr>
            <w:tcW w:w="1418" w:type="dxa"/>
            <w:tcBorders>
              <w:top w:val="single" w:sz="4" w:space="0" w:color="BFBFBF" w:themeColor="accent4"/>
              <w:bottom w:val="single" w:sz="4" w:space="0" w:color="BFBFBF" w:themeColor="accent4"/>
            </w:tcBorders>
            <w:noWrap/>
            <w:hideMark/>
          </w:tcPr>
          <w:p w14:paraId="57C8FC21" w14:textId="77777777" w:rsidR="00FA7EBF" w:rsidRPr="00194D78" w:rsidRDefault="00FA7EBF" w:rsidP="002F7C48">
            <w:pPr>
              <w:pStyle w:val="ARfintablebodyright"/>
              <w:spacing w:before="30"/>
              <w:rPr>
                <w:lang w:eastAsia="en-AU"/>
              </w:rPr>
            </w:pPr>
            <w:r w:rsidRPr="00194D78">
              <w:rPr>
                <w:lang w:eastAsia="en-AU"/>
              </w:rPr>
              <w:t>96.9</w:t>
            </w:r>
          </w:p>
        </w:tc>
        <w:tc>
          <w:tcPr>
            <w:tcW w:w="1418" w:type="dxa"/>
            <w:tcBorders>
              <w:top w:val="single" w:sz="4" w:space="0" w:color="BFBFBF" w:themeColor="accent4"/>
              <w:bottom w:val="single" w:sz="4" w:space="0" w:color="BFBFBF" w:themeColor="accent4"/>
            </w:tcBorders>
            <w:noWrap/>
            <w:hideMark/>
          </w:tcPr>
          <w:p w14:paraId="547D5D4C" w14:textId="77777777" w:rsidR="00FA7EBF" w:rsidRPr="00194D78" w:rsidRDefault="00FA7EBF" w:rsidP="002F7C48">
            <w:pPr>
              <w:pStyle w:val="ARfintablebodyright"/>
              <w:spacing w:before="30"/>
              <w:rPr>
                <w:lang w:eastAsia="en-AU"/>
              </w:rPr>
            </w:pPr>
            <w:r w:rsidRPr="00194D78">
              <w:rPr>
                <w:lang w:eastAsia="en-AU"/>
              </w:rPr>
              <w:t>(96.9)</w:t>
            </w:r>
          </w:p>
        </w:tc>
        <w:tc>
          <w:tcPr>
            <w:tcW w:w="1418" w:type="dxa"/>
            <w:tcBorders>
              <w:top w:val="single" w:sz="4" w:space="0" w:color="BFBFBF" w:themeColor="accent4"/>
              <w:bottom w:val="single" w:sz="4" w:space="0" w:color="BFBFBF" w:themeColor="accent4"/>
            </w:tcBorders>
            <w:noWrap/>
            <w:hideMark/>
          </w:tcPr>
          <w:p w14:paraId="6871083F" w14:textId="77777777" w:rsidR="00FA7EBF" w:rsidRPr="00194D78" w:rsidRDefault="00FA7EBF" w:rsidP="002F7C48">
            <w:pPr>
              <w:pStyle w:val="ARfintablebodyright"/>
              <w:spacing w:before="30"/>
              <w:rPr>
                <w:lang w:eastAsia="en-AU"/>
              </w:rPr>
            </w:pPr>
            <w:r>
              <w:rPr>
                <w:lang w:eastAsia="en-AU"/>
              </w:rPr>
              <w:t>–</w:t>
            </w:r>
          </w:p>
        </w:tc>
        <w:tc>
          <w:tcPr>
            <w:tcW w:w="1418" w:type="dxa"/>
            <w:tcBorders>
              <w:top w:val="single" w:sz="4" w:space="0" w:color="BFBFBF" w:themeColor="accent4"/>
              <w:bottom w:val="single" w:sz="4" w:space="0" w:color="BFBFBF" w:themeColor="accent4"/>
            </w:tcBorders>
            <w:noWrap/>
            <w:hideMark/>
          </w:tcPr>
          <w:p w14:paraId="53563858" w14:textId="77777777" w:rsidR="00FA7EBF" w:rsidRPr="00194D78" w:rsidRDefault="00FA7EBF" w:rsidP="002F7C48">
            <w:pPr>
              <w:pStyle w:val="ARfintablebodyright"/>
              <w:spacing w:before="30"/>
              <w:rPr>
                <w:lang w:eastAsia="en-AU"/>
              </w:rPr>
            </w:pPr>
            <w:r>
              <w:rPr>
                <w:lang w:eastAsia="en-AU"/>
              </w:rPr>
              <w:t>–</w:t>
            </w:r>
          </w:p>
        </w:tc>
      </w:tr>
      <w:tr w:rsidR="00FA7EBF" w:rsidRPr="00194D78" w14:paraId="4C355821" w14:textId="77777777" w:rsidTr="007B207C">
        <w:trPr>
          <w:cantSplit w:val="0"/>
        </w:trPr>
        <w:tc>
          <w:tcPr>
            <w:tcW w:w="3289" w:type="dxa"/>
            <w:tcBorders>
              <w:top w:val="single" w:sz="4" w:space="0" w:color="BFBFBF" w:themeColor="accent4"/>
              <w:bottom w:val="single" w:sz="4" w:space="0" w:color="BFBFBF" w:themeColor="accent4"/>
            </w:tcBorders>
            <w:noWrap/>
            <w:hideMark/>
          </w:tcPr>
          <w:p w14:paraId="315CB8B7" w14:textId="77777777" w:rsidR="00FA7EBF" w:rsidRPr="00194D78" w:rsidRDefault="00FA7EBF" w:rsidP="002F7C48">
            <w:pPr>
              <w:pStyle w:val="ARfintablebody"/>
              <w:spacing w:before="30"/>
              <w:rPr>
                <w:lang w:eastAsia="en-AU"/>
              </w:rPr>
            </w:pPr>
            <w:r w:rsidRPr="00194D78">
              <w:rPr>
                <w:lang w:eastAsia="en-AU"/>
              </w:rPr>
              <w:t>Loans</w:t>
            </w:r>
          </w:p>
        </w:tc>
        <w:tc>
          <w:tcPr>
            <w:tcW w:w="680" w:type="dxa"/>
            <w:tcBorders>
              <w:top w:val="single" w:sz="4" w:space="0" w:color="BFBFBF" w:themeColor="accent4"/>
              <w:bottom w:val="single" w:sz="4" w:space="0" w:color="BFBFBF" w:themeColor="accent4"/>
            </w:tcBorders>
            <w:noWrap/>
            <w:hideMark/>
          </w:tcPr>
          <w:p w14:paraId="4D270871" w14:textId="77777777" w:rsidR="00FA7EBF" w:rsidRPr="00194D78" w:rsidRDefault="00FA7EBF" w:rsidP="002F7C48">
            <w:pPr>
              <w:pStyle w:val="ARfintablebodyright"/>
              <w:spacing w:before="30"/>
              <w:rPr>
                <w:lang w:eastAsia="en-AU"/>
              </w:rPr>
            </w:pPr>
            <w:r w:rsidRPr="00194D78">
              <w:rPr>
                <w:lang w:eastAsia="en-AU"/>
              </w:rPr>
              <w:t>8.1.1</w:t>
            </w:r>
          </w:p>
        </w:tc>
        <w:tc>
          <w:tcPr>
            <w:tcW w:w="1418" w:type="dxa"/>
            <w:tcBorders>
              <w:top w:val="single" w:sz="4" w:space="0" w:color="BFBFBF" w:themeColor="accent4"/>
              <w:bottom w:val="single" w:sz="4" w:space="0" w:color="BFBFBF" w:themeColor="accent4"/>
            </w:tcBorders>
            <w:noWrap/>
            <w:hideMark/>
          </w:tcPr>
          <w:p w14:paraId="6D7BA739" w14:textId="77777777" w:rsidR="00FA7EBF" w:rsidRPr="00194D78" w:rsidRDefault="00FA7EBF" w:rsidP="002F7C48">
            <w:pPr>
              <w:pStyle w:val="ARfintablebodyright"/>
              <w:spacing w:before="30"/>
              <w:rPr>
                <w:lang w:eastAsia="en-AU"/>
              </w:rPr>
            </w:pPr>
            <w:r w:rsidRPr="00194D78">
              <w:rPr>
                <w:lang w:eastAsia="en-AU"/>
              </w:rPr>
              <w:t>105.7</w:t>
            </w:r>
          </w:p>
        </w:tc>
        <w:tc>
          <w:tcPr>
            <w:tcW w:w="1418" w:type="dxa"/>
            <w:tcBorders>
              <w:top w:val="single" w:sz="4" w:space="0" w:color="BFBFBF" w:themeColor="accent4"/>
              <w:bottom w:val="single" w:sz="4" w:space="0" w:color="BFBFBF" w:themeColor="accent4"/>
            </w:tcBorders>
            <w:noWrap/>
            <w:hideMark/>
          </w:tcPr>
          <w:p w14:paraId="3BCB1D2F" w14:textId="77777777" w:rsidR="00FA7EBF" w:rsidRPr="00194D78" w:rsidRDefault="00FA7EBF" w:rsidP="002F7C48">
            <w:pPr>
              <w:pStyle w:val="ARfintablebodyright"/>
              <w:spacing w:before="30"/>
              <w:rPr>
                <w:lang w:eastAsia="en-AU"/>
              </w:rPr>
            </w:pPr>
            <w:r w:rsidRPr="00194D78">
              <w:rPr>
                <w:lang w:eastAsia="en-AU"/>
              </w:rPr>
              <w:t>(105.7)</w:t>
            </w:r>
          </w:p>
        </w:tc>
        <w:tc>
          <w:tcPr>
            <w:tcW w:w="1418" w:type="dxa"/>
            <w:tcBorders>
              <w:top w:val="single" w:sz="4" w:space="0" w:color="BFBFBF" w:themeColor="accent4"/>
              <w:bottom w:val="single" w:sz="4" w:space="0" w:color="BFBFBF" w:themeColor="accent4"/>
            </w:tcBorders>
            <w:noWrap/>
            <w:hideMark/>
          </w:tcPr>
          <w:p w14:paraId="7A2B6811" w14:textId="77777777" w:rsidR="00FA7EBF" w:rsidRPr="00194D78" w:rsidRDefault="00FA7EBF" w:rsidP="002F7C48">
            <w:pPr>
              <w:pStyle w:val="ARfintablebodyright"/>
              <w:spacing w:before="30"/>
              <w:rPr>
                <w:lang w:eastAsia="en-AU"/>
              </w:rPr>
            </w:pPr>
            <w:r>
              <w:rPr>
                <w:lang w:eastAsia="en-AU"/>
              </w:rPr>
              <w:t>–</w:t>
            </w:r>
          </w:p>
        </w:tc>
        <w:tc>
          <w:tcPr>
            <w:tcW w:w="1418" w:type="dxa"/>
            <w:tcBorders>
              <w:top w:val="single" w:sz="4" w:space="0" w:color="BFBFBF" w:themeColor="accent4"/>
              <w:bottom w:val="single" w:sz="4" w:space="0" w:color="BFBFBF" w:themeColor="accent4"/>
            </w:tcBorders>
            <w:noWrap/>
            <w:hideMark/>
          </w:tcPr>
          <w:p w14:paraId="6E4445C4" w14:textId="77777777" w:rsidR="00FA7EBF" w:rsidRPr="00194D78" w:rsidRDefault="00FA7EBF" w:rsidP="002F7C48">
            <w:pPr>
              <w:pStyle w:val="ARfintablebodyright"/>
              <w:spacing w:before="30"/>
              <w:rPr>
                <w:lang w:eastAsia="en-AU"/>
              </w:rPr>
            </w:pPr>
            <w:r>
              <w:rPr>
                <w:lang w:eastAsia="en-AU"/>
              </w:rPr>
              <w:t>–</w:t>
            </w:r>
          </w:p>
        </w:tc>
      </w:tr>
      <w:tr w:rsidR="00FA7EBF" w:rsidRPr="00194D78" w14:paraId="728CB335" w14:textId="77777777" w:rsidTr="007B207C">
        <w:trPr>
          <w:cantSplit w:val="0"/>
        </w:trPr>
        <w:tc>
          <w:tcPr>
            <w:tcW w:w="3289" w:type="dxa"/>
            <w:tcBorders>
              <w:top w:val="single" w:sz="4" w:space="0" w:color="BFBFBF" w:themeColor="accent4"/>
              <w:bottom w:val="single" w:sz="4" w:space="0" w:color="BFBFBF" w:themeColor="accent4"/>
            </w:tcBorders>
            <w:noWrap/>
            <w:hideMark/>
          </w:tcPr>
          <w:p w14:paraId="3582C16E" w14:textId="77777777" w:rsidR="00FA7EBF" w:rsidRPr="00194D78" w:rsidRDefault="00FA7EBF" w:rsidP="002F7C48">
            <w:pPr>
              <w:pStyle w:val="ARfintablebody"/>
              <w:spacing w:before="30"/>
              <w:rPr>
                <w:lang w:eastAsia="en-AU"/>
              </w:rPr>
            </w:pPr>
            <w:r w:rsidRPr="00194D78">
              <w:rPr>
                <w:lang w:eastAsia="en-AU"/>
              </w:rPr>
              <w:t>Short-term investments</w:t>
            </w:r>
            <w:r>
              <w:rPr>
                <w:lang w:eastAsia="en-AU"/>
              </w:rPr>
              <w:t xml:space="preserve"> – </w:t>
            </w:r>
            <w:r w:rsidRPr="00194D78">
              <w:rPr>
                <w:lang w:eastAsia="en-AU"/>
              </w:rPr>
              <w:t>term deposits</w:t>
            </w:r>
          </w:p>
        </w:tc>
        <w:tc>
          <w:tcPr>
            <w:tcW w:w="680" w:type="dxa"/>
            <w:tcBorders>
              <w:top w:val="single" w:sz="4" w:space="0" w:color="BFBFBF" w:themeColor="accent4"/>
              <w:bottom w:val="single" w:sz="4" w:space="0" w:color="BFBFBF" w:themeColor="accent4"/>
            </w:tcBorders>
            <w:noWrap/>
            <w:hideMark/>
          </w:tcPr>
          <w:p w14:paraId="744371D3" w14:textId="77777777" w:rsidR="00FA7EBF" w:rsidRPr="00194D78" w:rsidRDefault="00FA7EBF" w:rsidP="002F7C48">
            <w:pPr>
              <w:pStyle w:val="ARfintablebodyright"/>
              <w:spacing w:before="30"/>
              <w:rPr>
                <w:lang w:eastAsia="en-AU"/>
              </w:rPr>
            </w:pPr>
            <w:r w:rsidRPr="00194D78">
              <w:rPr>
                <w:lang w:eastAsia="en-AU"/>
              </w:rPr>
              <w:t>8.1.1</w:t>
            </w:r>
          </w:p>
        </w:tc>
        <w:tc>
          <w:tcPr>
            <w:tcW w:w="1418" w:type="dxa"/>
            <w:tcBorders>
              <w:top w:val="single" w:sz="4" w:space="0" w:color="BFBFBF" w:themeColor="accent4"/>
              <w:bottom w:val="single" w:sz="4" w:space="0" w:color="BFBFBF" w:themeColor="accent4"/>
            </w:tcBorders>
            <w:noWrap/>
            <w:hideMark/>
          </w:tcPr>
          <w:p w14:paraId="5A7295D3" w14:textId="77777777" w:rsidR="00FA7EBF" w:rsidRPr="00194D78" w:rsidRDefault="00FA7EBF" w:rsidP="002F7C48">
            <w:pPr>
              <w:pStyle w:val="ARfintablebodyright"/>
              <w:spacing w:before="30"/>
              <w:rPr>
                <w:lang w:eastAsia="en-AU"/>
              </w:rPr>
            </w:pPr>
            <w:r w:rsidRPr="00194D78">
              <w:rPr>
                <w:lang w:eastAsia="en-AU"/>
              </w:rPr>
              <w:t>534.8</w:t>
            </w:r>
          </w:p>
        </w:tc>
        <w:tc>
          <w:tcPr>
            <w:tcW w:w="1418" w:type="dxa"/>
            <w:tcBorders>
              <w:top w:val="single" w:sz="4" w:space="0" w:color="BFBFBF" w:themeColor="accent4"/>
              <w:bottom w:val="single" w:sz="4" w:space="0" w:color="BFBFBF" w:themeColor="accent4"/>
            </w:tcBorders>
            <w:noWrap/>
            <w:hideMark/>
          </w:tcPr>
          <w:p w14:paraId="78EAA853" w14:textId="77777777" w:rsidR="00FA7EBF" w:rsidRPr="00194D78" w:rsidRDefault="00FA7EBF" w:rsidP="002F7C48">
            <w:pPr>
              <w:pStyle w:val="ARfintablebodyright"/>
              <w:spacing w:before="30"/>
              <w:rPr>
                <w:lang w:eastAsia="en-AU"/>
              </w:rPr>
            </w:pPr>
            <w:r w:rsidRPr="00194D78">
              <w:rPr>
                <w:lang w:eastAsia="en-AU"/>
              </w:rPr>
              <w:t>(534.8)</w:t>
            </w:r>
          </w:p>
        </w:tc>
        <w:tc>
          <w:tcPr>
            <w:tcW w:w="1418" w:type="dxa"/>
            <w:tcBorders>
              <w:top w:val="single" w:sz="4" w:space="0" w:color="BFBFBF" w:themeColor="accent4"/>
              <w:bottom w:val="single" w:sz="4" w:space="0" w:color="BFBFBF" w:themeColor="accent4"/>
            </w:tcBorders>
            <w:noWrap/>
            <w:hideMark/>
          </w:tcPr>
          <w:p w14:paraId="5D486ED6" w14:textId="77777777" w:rsidR="00FA7EBF" w:rsidRPr="00194D78" w:rsidRDefault="00FA7EBF" w:rsidP="002F7C48">
            <w:pPr>
              <w:pStyle w:val="ARfintablebodyright"/>
              <w:spacing w:before="30"/>
              <w:rPr>
                <w:lang w:eastAsia="en-AU"/>
              </w:rPr>
            </w:pPr>
            <w:r>
              <w:rPr>
                <w:lang w:eastAsia="en-AU"/>
              </w:rPr>
              <w:t>–</w:t>
            </w:r>
          </w:p>
        </w:tc>
        <w:tc>
          <w:tcPr>
            <w:tcW w:w="1418" w:type="dxa"/>
            <w:tcBorders>
              <w:top w:val="single" w:sz="4" w:space="0" w:color="BFBFBF" w:themeColor="accent4"/>
              <w:bottom w:val="single" w:sz="4" w:space="0" w:color="BFBFBF" w:themeColor="accent4"/>
            </w:tcBorders>
            <w:noWrap/>
            <w:hideMark/>
          </w:tcPr>
          <w:p w14:paraId="3ED0FD28" w14:textId="77777777" w:rsidR="00FA7EBF" w:rsidRPr="00194D78" w:rsidRDefault="00FA7EBF" w:rsidP="002F7C48">
            <w:pPr>
              <w:pStyle w:val="ARfintablebodyright"/>
              <w:spacing w:before="30"/>
              <w:rPr>
                <w:lang w:eastAsia="en-AU"/>
              </w:rPr>
            </w:pPr>
            <w:r>
              <w:rPr>
                <w:lang w:eastAsia="en-AU"/>
              </w:rPr>
              <w:t>–</w:t>
            </w:r>
          </w:p>
        </w:tc>
      </w:tr>
      <w:tr w:rsidR="00FA7EBF" w:rsidRPr="00194D78" w14:paraId="61C25D87" w14:textId="77777777" w:rsidTr="007B207C">
        <w:trPr>
          <w:cantSplit w:val="0"/>
        </w:trPr>
        <w:tc>
          <w:tcPr>
            <w:tcW w:w="3289" w:type="dxa"/>
            <w:tcBorders>
              <w:top w:val="single" w:sz="4" w:space="0" w:color="BFBFBF" w:themeColor="accent4"/>
              <w:bottom w:val="single" w:sz="4" w:space="0" w:color="BFBFBF" w:themeColor="accent4"/>
            </w:tcBorders>
            <w:noWrap/>
            <w:hideMark/>
          </w:tcPr>
          <w:p w14:paraId="1AC3E3A1" w14:textId="77777777" w:rsidR="00FA7EBF" w:rsidRPr="00194D78" w:rsidRDefault="00FA7EBF" w:rsidP="002F7C48">
            <w:pPr>
              <w:pStyle w:val="ARfintablebody"/>
              <w:spacing w:before="30"/>
              <w:rPr>
                <w:lang w:eastAsia="en-AU"/>
              </w:rPr>
            </w:pPr>
            <w:r w:rsidRPr="00194D78">
              <w:rPr>
                <w:lang w:eastAsia="en-AU"/>
              </w:rPr>
              <w:t>Financial assets at amortised cost</w:t>
            </w:r>
          </w:p>
        </w:tc>
        <w:tc>
          <w:tcPr>
            <w:tcW w:w="680" w:type="dxa"/>
            <w:tcBorders>
              <w:top w:val="single" w:sz="4" w:space="0" w:color="BFBFBF" w:themeColor="accent4"/>
              <w:bottom w:val="single" w:sz="4" w:space="0" w:color="BFBFBF" w:themeColor="accent4"/>
            </w:tcBorders>
            <w:noWrap/>
            <w:hideMark/>
          </w:tcPr>
          <w:p w14:paraId="68005633" w14:textId="77777777" w:rsidR="00FA7EBF" w:rsidRPr="00194D78" w:rsidRDefault="00FA7EBF" w:rsidP="002F7C48">
            <w:pPr>
              <w:pStyle w:val="ARfintablebodyright"/>
              <w:spacing w:before="30"/>
              <w:rPr>
                <w:lang w:eastAsia="en-AU"/>
              </w:rPr>
            </w:pPr>
          </w:p>
        </w:tc>
        <w:tc>
          <w:tcPr>
            <w:tcW w:w="1418" w:type="dxa"/>
            <w:tcBorders>
              <w:top w:val="single" w:sz="4" w:space="0" w:color="BFBFBF" w:themeColor="accent4"/>
              <w:bottom w:val="single" w:sz="4" w:space="0" w:color="BFBFBF" w:themeColor="accent4"/>
            </w:tcBorders>
            <w:noWrap/>
            <w:hideMark/>
          </w:tcPr>
          <w:p w14:paraId="6FF7E400" w14:textId="77777777" w:rsidR="00FA7EBF" w:rsidRPr="00194D78" w:rsidRDefault="00FA7EBF" w:rsidP="002F7C48">
            <w:pPr>
              <w:pStyle w:val="ARfintablebodyright"/>
              <w:spacing w:before="30"/>
              <w:rPr>
                <w:lang w:eastAsia="en-AU"/>
              </w:rPr>
            </w:pPr>
            <w:r>
              <w:rPr>
                <w:lang w:eastAsia="en-AU"/>
              </w:rPr>
              <w:t>–</w:t>
            </w:r>
          </w:p>
        </w:tc>
        <w:tc>
          <w:tcPr>
            <w:tcW w:w="1418" w:type="dxa"/>
            <w:tcBorders>
              <w:top w:val="single" w:sz="4" w:space="0" w:color="BFBFBF" w:themeColor="accent4"/>
              <w:bottom w:val="single" w:sz="4" w:space="0" w:color="BFBFBF" w:themeColor="accent4"/>
            </w:tcBorders>
            <w:noWrap/>
            <w:hideMark/>
          </w:tcPr>
          <w:p w14:paraId="13F2CF69" w14:textId="77777777" w:rsidR="00FA7EBF" w:rsidRPr="00194D78" w:rsidRDefault="00FA7EBF" w:rsidP="002F7C48">
            <w:pPr>
              <w:pStyle w:val="ARfintablebodyright"/>
              <w:spacing w:before="30"/>
              <w:rPr>
                <w:lang w:eastAsia="en-AU"/>
              </w:rPr>
            </w:pPr>
            <w:r w:rsidRPr="00194D78">
              <w:rPr>
                <w:lang w:eastAsia="en-AU"/>
              </w:rPr>
              <w:t>1,120.6</w:t>
            </w:r>
          </w:p>
        </w:tc>
        <w:tc>
          <w:tcPr>
            <w:tcW w:w="1418" w:type="dxa"/>
            <w:tcBorders>
              <w:top w:val="single" w:sz="4" w:space="0" w:color="BFBFBF" w:themeColor="accent4"/>
              <w:bottom w:val="single" w:sz="4" w:space="0" w:color="BFBFBF" w:themeColor="accent4"/>
            </w:tcBorders>
            <w:noWrap/>
            <w:hideMark/>
          </w:tcPr>
          <w:p w14:paraId="650BA8EA" w14:textId="77777777" w:rsidR="00FA7EBF" w:rsidRPr="00194D78" w:rsidRDefault="00FA7EBF" w:rsidP="002F7C48">
            <w:pPr>
              <w:pStyle w:val="ARfintablebodyright"/>
              <w:spacing w:before="30"/>
              <w:rPr>
                <w:lang w:eastAsia="en-AU"/>
              </w:rPr>
            </w:pPr>
            <w:r>
              <w:rPr>
                <w:lang w:eastAsia="en-AU"/>
              </w:rPr>
              <w:t>–</w:t>
            </w:r>
          </w:p>
        </w:tc>
        <w:tc>
          <w:tcPr>
            <w:tcW w:w="1418" w:type="dxa"/>
            <w:tcBorders>
              <w:top w:val="single" w:sz="4" w:space="0" w:color="BFBFBF" w:themeColor="accent4"/>
              <w:bottom w:val="single" w:sz="4" w:space="0" w:color="BFBFBF" w:themeColor="accent4"/>
            </w:tcBorders>
            <w:noWrap/>
            <w:hideMark/>
          </w:tcPr>
          <w:p w14:paraId="0B5BF493" w14:textId="77777777" w:rsidR="00FA7EBF" w:rsidRPr="00194D78" w:rsidRDefault="00FA7EBF" w:rsidP="002F7C48">
            <w:pPr>
              <w:pStyle w:val="ARfintablebodyright"/>
              <w:spacing w:before="30"/>
              <w:rPr>
                <w:lang w:eastAsia="en-AU"/>
              </w:rPr>
            </w:pPr>
            <w:r w:rsidRPr="00194D78">
              <w:rPr>
                <w:lang w:eastAsia="en-AU"/>
              </w:rPr>
              <w:t>1,120.6</w:t>
            </w:r>
          </w:p>
        </w:tc>
      </w:tr>
      <w:tr w:rsidR="00FA7EBF" w:rsidRPr="00194D78" w14:paraId="1330139E" w14:textId="77777777" w:rsidTr="007B207C">
        <w:trPr>
          <w:cantSplit w:val="0"/>
        </w:trPr>
        <w:tc>
          <w:tcPr>
            <w:tcW w:w="3289" w:type="dxa"/>
            <w:tcBorders>
              <w:top w:val="single" w:sz="4" w:space="0" w:color="BFBFBF" w:themeColor="accent4"/>
              <w:bottom w:val="single" w:sz="4" w:space="0" w:color="BFBFBF" w:themeColor="accent4"/>
            </w:tcBorders>
            <w:noWrap/>
            <w:hideMark/>
          </w:tcPr>
          <w:p w14:paraId="788AF1BC" w14:textId="77777777" w:rsidR="00FA7EBF" w:rsidRPr="00194D78" w:rsidRDefault="00FA7EBF" w:rsidP="002F7C48">
            <w:pPr>
              <w:pStyle w:val="ARfintablebody"/>
              <w:spacing w:before="30"/>
              <w:rPr>
                <w:lang w:eastAsia="en-AU"/>
              </w:rPr>
            </w:pPr>
            <w:r w:rsidRPr="00194D78">
              <w:rPr>
                <w:lang w:eastAsia="en-AU"/>
              </w:rPr>
              <w:t>Impairment loss allowance</w:t>
            </w:r>
          </w:p>
        </w:tc>
        <w:tc>
          <w:tcPr>
            <w:tcW w:w="680" w:type="dxa"/>
            <w:tcBorders>
              <w:top w:val="single" w:sz="4" w:space="0" w:color="BFBFBF" w:themeColor="accent4"/>
              <w:bottom w:val="single" w:sz="4" w:space="0" w:color="BFBFBF" w:themeColor="accent4"/>
            </w:tcBorders>
            <w:noWrap/>
            <w:hideMark/>
          </w:tcPr>
          <w:p w14:paraId="0568B682" w14:textId="77777777" w:rsidR="00FA7EBF" w:rsidRPr="00194D78" w:rsidRDefault="00FA7EBF" w:rsidP="002F7C48">
            <w:pPr>
              <w:pStyle w:val="ARfintablebodyright"/>
              <w:spacing w:before="30"/>
              <w:rPr>
                <w:lang w:eastAsia="en-AU"/>
              </w:rPr>
            </w:pPr>
          </w:p>
        </w:tc>
        <w:tc>
          <w:tcPr>
            <w:tcW w:w="1418" w:type="dxa"/>
            <w:tcBorders>
              <w:top w:val="single" w:sz="4" w:space="0" w:color="BFBFBF" w:themeColor="accent4"/>
              <w:bottom w:val="single" w:sz="4" w:space="0" w:color="BFBFBF" w:themeColor="accent4"/>
            </w:tcBorders>
            <w:noWrap/>
            <w:hideMark/>
          </w:tcPr>
          <w:p w14:paraId="1D2E3A6C" w14:textId="77777777" w:rsidR="00FA7EBF" w:rsidRPr="00194D78" w:rsidRDefault="00FA7EBF" w:rsidP="002F7C48">
            <w:pPr>
              <w:pStyle w:val="ARfintablebodyright"/>
              <w:spacing w:before="30"/>
              <w:rPr>
                <w:lang w:eastAsia="en-AU"/>
              </w:rPr>
            </w:pPr>
            <w:r w:rsidRPr="00194D78">
              <w:rPr>
                <w:lang w:eastAsia="en-AU"/>
              </w:rPr>
              <w:t>(8.6)</w:t>
            </w:r>
          </w:p>
        </w:tc>
        <w:tc>
          <w:tcPr>
            <w:tcW w:w="1418" w:type="dxa"/>
            <w:tcBorders>
              <w:top w:val="single" w:sz="4" w:space="0" w:color="BFBFBF" w:themeColor="accent4"/>
              <w:bottom w:val="single" w:sz="4" w:space="0" w:color="BFBFBF" w:themeColor="accent4"/>
            </w:tcBorders>
            <w:noWrap/>
            <w:hideMark/>
          </w:tcPr>
          <w:p w14:paraId="1184069F" w14:textId="77777777" w:rsidR="00FA7EBF" w:rsidRPr="00194D78" w:rsidRDefault="00FA7EBF" w:rsidP="002F7C48">
            <w:pPr>
              <w:pStyle w:val="ARfintablebodyright"/>
              <w:spacing w:before="30"/>
              <w:rPr>
                <w:lang w:eastAsia="en-AU"/>
              </w:rPr>
            </w:pPr>
            <w:r>
              <w:rPr>
                <w:lang w:eastAsia="en-AU"/>
              </w:rPr>
              <w:t>–</w:t>
            </w:r>
          </w:p>
        </w:tc>
        <w:tc>
          <w:tcPr>
            <w:tcW w:w="1418" w:type="dxa"/>
            <w:tcBorders>
              <w:top w:val="single" w:sz="4" w:space="0" w:color="BFBFBF" w:themeColor="accent4"/>
              <w:bottom w:val="single" w:sz="4" w:space="0" w:color="BFBFBF" w:themeColor="accent4"/>
            </w:tcBorders>
            <w:noWrap/>
            <w:hideMark/>
          </w:tcPr>
          <w:p w14:paraId="10FEBCE2" w14:textId="77777777" w:rsidR="00FA7EBF" w:rsidRPr="00194D78" w:rsidRDefault="00FA7EBF" w:rsidP="002F7C48">
            <w:pPr>
              <w:pStyle w:val="ARfintablebodyright"/>
              <w:spacing w:before="30"/>
              <w:rPr>
                <w:lang w:eastAsia="en-AU"/>
              </w:rPr>
            </w:pPr>
            <w:r w:rsidRPr="00194D78">
              <w:rPr>
                <w:lang w:eastAsia="en-AU"/>
              </w:rPr>
              <w:t>(2.4)</w:t>
            </w:r>
          </w:p>
        </w:tc>
        <w:tc>
          <w:tcPr>
            <w:tcW w:w="1418" w:type="dxa"/>
            <w:tcBorders>
              <w:top w:val="single" w:sz="4" w:space="0" w:color="BFBFBF" w:themeColor="accent4"/>
              <w:bottom w:val="single" w:sz="4" w:space="0" w:color="BFBFBF" w:themeColor="accent4"/>
            </w:tcBorders>
            <w:noWrap/>
            <w:hideMark/>
          </w:tcPr>
          <w:p w14:paraId="17A0E9A5" w14:textId="77777777" w:rsidR="00FA7EBF" w:rsidRPr="00194D78" w:rsidRDefault="00FA7EBF" w:rsidP="002F7C48">
            <w:pPr>
              <w:pStyle w:val="ARfintablebodyright"/>
              <w:spacing w:before="30"/>
              <w:rPr>
                <w:lang w:eastAsia="en-AU"/>
              </w:rPr>
            </w:pPr>
            <w:r w:rsidRPr="00194D78">
              <w:rPr>
                <w:lang w:eastAsia="en-AU"/>
              </w:rPr>
              <w:t>(11.0)</w:t>
            </w:r>
          </w:p>
        </w:tc>
      </w:tr>
      <w:tr w:rsidR="00FA7EBF" w:rsidRPr="00194D78" w14:paraId="4C0B83F4" w14:textId="77777777" w:rsidTr="007B207C">
        <w:trPr>
          <w:cantSplit w:val="0"/>
        </w:trPr>
        <w:tc>
          <w:tcPr>
            <w:tcW w:w="3289" w:type="dxa"/>
            <w:tcBorders>
              <w:top w:val="single" w:sz="4" w:space="0" w:color="BFBFBF" w:themeColor="accent4"/>
              <w:bottom w:val="single" w:sz="4" w:space="0" w:color="BFBFBF" w:themeColor="accent4"/>
            </w:tcBorders>
            <w:noWrap/>
            <w:hideMark/>
          </w:tcPr>
          <w:p w14:paraId="366D627A" w14:textId="77777777" w:rsidR="00FA7EBF" w:rsidRPr="00194D78" w:rsidRDefault="00FA7EBF" w:rsidP="002F7C48">
            <w:pPr>
              <w:pStyle w:val="ARfintablebody"/>
              <w:spacing w:before="30"/>
              <w:rPr>
                <w:lang w:eastAsia="en-AU"/>
              </w:rPr>
            </w:pPr>
            <w:r w:rsidRPr="00194D78">
              <w:rPr>
                <w:lang w:eastAsia="en-AU"/>
              </w:rPr>
              <w:t>Other financial assets</w:t>
            </w:r>
          </w:p>
        </w:tc>
        <w:tc>
          <w:tcPr>
            <w:tcW w:w="680" w:type="dxa"/>
            <w:tcBorders>
              <w:top w:val="single" w:sz="4" w:space="0" w:color="BFBFBF" w:themeColor="accent4"/>
              <w:bottom w:val="single" w:sz="4" w:space="0" w:color="BFBFBF" w:themeColor="accent4"/>
            </w:tcBorders>
            <w:noWrap/>
            <w:hideMark/>
          </w:tcPr>
          <w:p w14:paraId="1D67A023" w14:textId="77777777" w:rsidR="00FA7EBF" w:rsidRPr="00194D78" w:rsidRDefault="00FA7EBF" w:rsidP="002F7C48">
            <w:pPr>
              <w:pStyle w:val="ARfintablebodyright"/>
              <w:spacing w:before="30"/>
              <w:rPr>
                <w:lang w:eastAsia="en-AU"/>
              </w:rPr>
            </w:pPr>
          </w:p>
        </w:tc>
        <w:tc>
          <w:tcPr>
            <w:tcW w:w="1418" w:type="dxa"/>
            <w:tcBorders>
              <w:top w:val="single" w:sz="4" w:space="0" w:color="BFBFBF" w:themeColor="accent4"/>
              <w:bottom w:val="single" w:sz="4" w:space="0" w:color="BFBFBF" w:themeColor="accent4"/>
            </w:tcBorders>
            <w:noWrap/>
            <w:hideMark/>
          </w:tcPr>
          <w:p w14:paraId="2B7732F0" w14:textId="77777777" w:rsidR="00FA7EBF" w:rsidRPr="00194D78" w:rsidRDefault="00FA7EBF" w:rsidP="002F7C48">
            <w:pPr>
              <w:pStyle w:val="ARfintablebodyright"/>
              <w:spacing w:before="30"/>
              <w:rPr>
                <w:lang w:eastAsia="en-AU"/>
              </w:rPr>
            </w:pPr>
            <w:r w:rsidRPr="00194D78">
              <w:rPr>
                <w:lang w:eastAsia="en-AU"/>
              </w:rPr>
              <w:t>2,896.1</w:t>
            </w:r>
          </w:p>
        </w:tc>
        <w:tc>
          <w:tcPr>
            <w:tcW w:w="1418" w:type="dxa"/>
            <w:tcBorders>
              <w:top w:val="single" w:sz="4" w:space="0" w:color="BFBFBF" w:themeColor="accent4"/>
              <w:bottom w:val="single" w:sz="4" w:space="0" w:color="BFBFBF" w:themeColor="accent4"/>
            </w:tcBorders>
            <w:noWrap/>
            <w:hideMark/>
          </w:tcPr>
          <w:p w14:paraId="16E9DAF6" w14:textId="77777777" w:rsidR="00FA7EBF" w:rsidRPr="00194D78" w:rsidRDefault="00FA7EBF" w:rsidP="002F7C48">
            <w:pPr>
              <w:pStyle w:val="ARfintablebodyright"/>
              <w:spacing w:before="30"/>
              <w:rPr>
                <w:lang w:eastAsia="en-AU"/>
              </w:rPr>
            </w:pPr>
            <w:r>
              <w:rPr>
                <w:lang w:eastAsia="en-AU"/>
              </w:rPr>
              <w:t>–</w:t>
            </w:r>
          </w:p>
        </w:tc>
        <w:tc>
          <w:tcPr>
            <w:tcW w:w="1418" w:type="dxa"/>
            <w:tcBorders>
              <w:top w:val="single" w:sz="4" w:space="0" w:color="BFBFBF" w:themeColor="accent4"/>
              <w:bottom w:val="single" w:sz="4" w:space="0" w:color="BFBFBF" w:themeColor="accent4"/>
            </w:tcBorders>
            <w:noWrap/>
            <w:hideMark/>
          </w:tcPr>
          <w:p w14:paraId="2481C491" w14:textId="77777777" w:rsidR="00FA7EBF" w:rsidRPr="00194D78" w:rsidRDefault="00FA7EBF" w:rsidP="002F7C48">
            <w:pPr>
              <w:pStyle w:val="ARfintablebodyright"/>
              <w:spacing w:before="30"/>
              <w:rPr>
                <w:lang w:eastAsia="en-AU"/>
              </w:rPr>
            </w:pPr>
            <w:r>
              <w:rPr>
                <w:lang w:eastAsia="en-AU"/>
              </w:rPr>
              <w:t>–</w:t>
            </w:r>
          </w:p>
        </w:tc>
        <w:tc>
          <w:tcPr>
            <w:tcW w:w="1418" w:type="dxa"/>
            <w:tcBorders>
              <w:top w:val="single" w:sz="4" w:space="0" w:color="BFBFBF" w:themeColor="accent4"/>
              <w:bottom w:val="single" w:sz="4" w:space="0" w:color="BFBFBF" w:themeColor="accent4"/>
            </w:tcBorders>
            <w:noWrap/>
            <w:hideMark/>
          </w:tcPr>
          <w:p w14:paraId="215EC72B" w14:textId="77777777" w:rsidR="00FA7EBF" w:rsidRPr="00194D78" w:rsidRDefault="00FA7EBF" w:rsidP="002F7C48">
            <w:pPr>
              <w:pStyle w:val="ARfintablebodyright"/>
              <w:spacing w:before="30"/>
              <w:rPr>
                <w:lang w:eastAsia="en-AU"/>
              </w:rPr>
            </w:pPr>
            <w:r w:rsidRPr="00194D78">
              <w:rPr>
                <w:lang w:eastAsia="en-AU"/>
              </w:rPr>
              <w:t>2,896.1</w:t>
            </w:r>
          </w:p>
        </w:tc>
      </w:tr>
      <w:tr w:rsidR="00FA7EBF" w:rsidRPr="00194D78" w14:paraId="6C73C5D1" w14:textId="77777777" w:rsidTr="007B207C">
        <w:trPr>
          <w:cantSplit w:val="0"/>
        </w:trPr>
        <w:tc>
          <w:tcPr>
            <w:tcW w:w="3289" w:type="dxa"/>
            <w:tcBorders>
              <w:top w:val="single" w:sz="4" w:space="0" w:color="BFBFBF" w:themeColor="accent4"/>
            </w:tcBorders>
            <w:noWrap/>
            <w:hideMark/>
          </w:tcPr>
          <w:p w14:paraId="70D1FE7B" w14:textId="77777777" w:rsidR="00FA7EBF" w:rsidRPr="001366E5" w:rsidRDefault="00FA7EBF" w:rsidP="002F7C48">
            <w:pPr>
              <w:pStyle w:val="ARfintablebody"/>
              <w:spacing w:before="30"/>
              <w:rPr>
                <w:b/>
                <w:lang w:eastAsia="en-AU"/>
              </w:rPr>
            </w:pPr>
            <w:r w:rsidRPr="001366E5">
              <w:rPr>
                <w:b/>
                <w:lang w:eastAsia="en-AU"/>
              </w:rPr>
              <w:t>Total financial assets</w:t>
            </w:r>
          </w:p>
        </w:tc>
        <w:tc>
          <w:tcPr>
            <w:tcW w:w="680" w:type="dxa"/>
            <w:tcBorders>
              <w:top w:val="single" w:sz="4" w:space="0" w:color="BFBFBF" w:themeColor="accent4"/>
            </w:tcBorders>
            <w:noWrap/>
            <w:hideMark/>
          </w:tcPr>
          <w:p w14:paraId="431CA287" w14:textId="77777777" w:rsidR="00FA7EBF" w:rsidRPr="001366E5" w:rsidRDefault="00FA7EBF" w:rsidP="002F7C48">
            <w:pPr>
              <w:pStyle w:val="ARfintablebodyright"/>
              <w:spacing w:before="30"/>
              <w:rPr>
                <w:b/>
                <w:lang w:eastAsia="en-AU"/>
              </w:rPr>
            </w:pPr>
          </w:p>
        </w:tc>
        <w:tc>
          <w:tcPr>
            <w:tcW w:w="1418" w:type="dxa"/>
            <w:tcBorders>
              <w:top w:val="single" w:sz="4" w:space="0" w:color="BFBFBF" w:themeColor="accent4"/>
            </w:tcBorders>
            <w:noWrap/>
            <w:hideMark/>
          </w:tcPr>
          <w:p w14:paraId="3C93F9F9" w14:textId="77777777" w:rsidR="00FA7EBF" w:rsidRPr="001366E5" w:rsidRDefault="00FA7EBF" w:rsidP="002F7C48">
            <w:pPr>
              <w:pStyle w:val="ARfintablebodyright"/>
              <w:spacing w:before="30"/>
              <w:rPr>
                <w:b/>
                <w:lang w:eastAsia="en-AU"/>
              </w:rPr>
            </w:pPr>
            <w:r w:rsidRPr="001366E5">
              <w:rPr>
                <w:b/>
                <w:lang w:eastAsia="en-AU"/>
              </w:rPr>
              <w:t>4,008.1</w:t>
            </w:r>
          </w:p>
        </w:tc>
        <w:tc>
          <w:tcPr>
            <w:tcW w:w="1418" w:type="dxa"/>
            <w:tcBorders>
              <w:top w:val="single" w:sz="4" w:space="0" w:color="BFBFBF" w:themeColor="accent4"/>
            </w:tcBorders>
            <w:noWrap/>
            <w:hideMark/>
          </w:tcPr>
          <w:p w14:paraId="13E992A3" w14:textId="77777777" w:rsidR="00FA7EBF" w:rsidRPr="001366E5" w:rsidRDefault="00FA7EBF" w:rsidP="002F7C48">
            <w:pPr>
              <w:pStyle w:val="ARfintablebodyright"/>
              <w:spacing w:before="30"/>
              <w:rPr>
                <w:b/>
                <w:lang w:eastAsia="en-AU"/>
              </w:rPr>
            </w:pPr>
            <w:r w:rsidRPr="001366E5">
              <w:rPr>
                <w:b/>
                <w:lang w:eastAsia="en-AU"/>
              </w:rPr>
              <w:t>–</w:t>
            </w:r>
          </w:p>
        </w:tc>
        <w:tc>
          <w:tcPr>
            <w:tcW w:w="1418" w:type="dxa"/>
            <w:tcBorders>
              <w:top w:val="single" w:sz="4" w:space="0" w:color="BFBFBF" w:themeColor="accent4"/>
            </w:tcBorders>
            <w:noWrap/>
            <w:hideMark/>
          </w:tcPr>
          <w:p w14:paraId="02AB2E24" w14:textId="77777777" w:rsidR="00FA7EBF" w:rsidRPr="001366E5" w:rsidRDefault="00FA7EBF" w:rsidP="002F7C48">
            <w:pPr>
              <w:pStyle w:val="ARfintablebodyright"/>
              <w:spacing w:before="30"/>
              <w:rPr>
                <w:b/>
                <w:lang w:eastAsia="en-AU"/>
              </w:rPr>
            </w:pPr>
            <w:r w:rsidRPr="001366E5">
              <w:rPr>
                <w:b/>
                <w:lang w:eastAsia="en-AU"/>
              </w:rPr>
              <w:t>(2.4)</w:t>
            </w:r>
          </w:p>
        </w:tc>
        <w:tc>
          <w:tcPr>
            <w:tcW w:w="1418" w:type="dxa"/>
            <w:tcBorders>
              <w:top w:val="single" w:sz="4" w:space="0" w:color="BFBFBF" w:themeColor="accent4"/>
            </w:tcBorders>
            <w:noWrap/>
            <w:hideMark/>
          </w:tcPr>
          <w:p w14:paraId="7C15D405" w14:textId="77777777" w:rsidR="00FA7EBF" w:rsidRPr="001366E5" w:rsidRDefault="00FA7EBF" w:rsidP="002F7C48">
            <w:pPr>
              <w:pStyle w:val="ARfintablebodyright"/>
              <w:spacing w:before="30"/>
              <w:rPr>
                <w:b/>
                <w:lang w:eastAsia="en-AU"/>
              </w:rPr>
            </w:pPr>
            <w:r w:rsidRPr="001366E5">
              <w:rPr>
                <w:b/>
                <w:lang w:eastAsia="en-AU"/>
              </w:rPr>
              <w:t>4,005.7</w:t>
            </w:r>
          </w:p>
        </w:tc>
      </w:tr>
      <w:tr w:rsidR="00FA7EBF" w:rsidRPr="00194D78" w14:paraId="342DB54C" w14:textId="77777777" w:rsidTr="007B207C">
        <w:trPr>
          <w:cantSplit w:val="0"/>
        </w:trPr>
        <w:tc>
          <w:tcPr>
            <w:tcW w:w="3289" w:type="dxa"/>
            <w:noWrap/>
            <w:hideMark/>
          </w:tcPr>
          <w:p w14:paraId="3078D964" w14:textId="77777777" w:rsidR="00FA7EBF" w:rsidRPr="00194D78" w:rsidRDefault="00FA7EBF" w:rsidP="002F7C48">
            <w:pPr>
              <w:pStyle w:val="ARfintablebodybold"/>
              <w:spacing w:before="30"/>
              <w:rPr>
                <w:lang w:eastAsia="en-AU"/>
              </w:rPr>
            </w:pPr>
            <w:r w:rsidRPr="00194D78">
              <w:rPr>
                <w:lang w:eastAsia="en-AU"/>
              </w:rPr>
              <w:t>Total liabilities</w:t>
            </w:r>
          </w:p>
        </w:tc>
        <w:tc>
          <w:tcPr>
            <w:tcW w:w="680" w:type="dxa"/>
            <w:noWrap/>
            <w:hideMark/>
          </w:tcPr>
          <w:p w14:paraId="27388B8D" w14:textId="77777777" w:rsidR="00FA7EBF" w:rsidRPr="00194D78" w:rsidRDefault="00FA7EBF" w:rsidP="002F7C48">
            <w:pPr>
              <w:pStyle w:val="ARfintablebodyright"/>
              <w:spacing w:before="30"/>
              <w:rPr>
                <w:lang w:eastAsia="en-AU"/>
              </w:rPr>
            </w:pPr>
          </w:p>
        </w:tc>
        <w:tc>
          <w:tcPr>
            <w:tcW w:w="1418" w:type="dxa"/>
            <w:noWrap/>
            <w:hideMark/>
          </w:tcPr>
          <w:p w14:paraId="3F4E58DE" w14:textId="77777777" w:rsidR="00FA7EBF" w:rsidRPr="00194D78" w:rsidRDefault="00FA7EBF" w:rsidP="002F7C48">
            <w:pPr>
              <w:pStyle w:val="ARfintablebodyrightbold"/>
              <w:spacing w:before="30"/>
              <w:rPr>
                <w:lang w:eastAsia="en-AU"/>
              </w:rPr>
            </w:pPr>
            <w:r w:rsidRPr="00194D78">
              <w:rPr>
                <w:lang w:eastAsia="en-AU"/>
              </w:rPr>
              <w:t>1,968.3</w:t>
            </w:r>
          </w:p>
        </w:tc>
        <w:tc>
          <w:tcPr>
            <w:tcW w:w="1418" w:type="dxa"/>
            <w:noWrap/>
            <w:hideMark/>
          </w:tcPr>
          <w:p w14:paraId="3BB422C7" w14:textId="77777777" w:rsidR="00FA7EBF" w:rsidRPr="00194D78" w:rsidRDefault="00FA7EBF" w:rsidP="002F7C48">
            <w:pPr>
              <w:pStyle w:val="ARfintablebodyrightbold"/>
              <w:spacing w:before="30"/>
              <w:rPr>
                <w:lang w:eastAsia="en-AU"/>
              </w:rPr>
            </w:pPr>
            <w:r>
              <w:rPr>
                <w:lang w:eastAsia="en-AU"/>
              </w:rPr>
              <w:t>–</w:t>
            </w:r>
          </w:p>
        </w:tc>
        <w:tc>
          <w:tcPr>
            <w:tcW w:w="1418" w:type="dxa"/>
            <w:noWrap/>
            <w:hideMark/>
          </w:tcPr>
          <w:p w14:paraId="08A6F5E0" w14:textId="77777777" w:rsidR="00FA7EBF" w:rsidRPr="00194D78" w:rsidRDefault="00FA7EBF" w:rsidP="002F7C48">
            <w:pPr>
              <w:pStyle w:val="ARfintablebodyrightbold"/>
              <w:spacing w:before="30"/>
              <w:rPr>
                <w:lang w:eastAsia="en-AU"/>
              </w:rPr>
            </w:pPr>
            <w:r>
              <w:rPr>
                <w:lang w:eastAsia="en-AU"/>
              </w:rPr>
              <w:t>–</w:t>
            </w:r>
          </w:p>
        </w:tc>
        <w:tc>
          <w:tcPr>
            <w:tcW w:w="1418" w:type="dxa"/>
            <w:noWrap/>
            <w:hideMark/>
          </w:tcPr>
          <w:p w14:paraId="08335417" w14:textId="77777777" w:rsidR="00FA7EBF" w:rsidRPr="00194D78" w:rsidRDefault="00FA7EBF" w:rsidP="002F7C48">
            <w:pPr>
              <w:pStyle w:val="ARfintablebodyrightbold"/>
              <w:spacing w:before="30"/>
              <w:rPr>
                <w:lang w:eastAsia="en-AU"/>
              </w:rPr>
            </w:pPr>
            <w:r w:rsidRPr="00194D78">
              <w:rPr>
                <w:lang w:eastAsia="en-AU"/>
              </w:rPr>
              <w:t>1,968.3</w:t>
            </w:r>
          </w:p>
        </w:tc>
      </w:tr>
      <w:tr w:rsidR="00FA7EBF" w:rsidRPr="00194D78" w14:paraId="1CF63044" w14:textId="77777777" w:rsidTr="007B207C">
        <w:trPr>
          <w:cantSplit w:val="0"/>
        </w:trPr>
        <w:tc>
          <w:tcPr>
            <w:tcW w:w="3289" w:type="dxa"/>
            <w:tcBorders>
              <w:bottom w:val="single" w:sz="4" w:space="0" w:color="BFBFBF" w:themeColor="accent4"/>
            </w:tcBorders>
            <w:noWrap/>
            <w:hideMark/>
          </w:tcPr>
          <w:p w14:paraId="5890EE43" w14:textId="77777777" w:rsidR="00FA7EBF" w:rsidRPr="00194D78" w:rsidRDefault="00FA7EBF" w:rsidP="002F7C48">
            <w:pPr>
              <w:pStyle w:val="ARfintablebody"/>
              <w:spacing w:before="30"/>
              <w:rPr>
                <w:lang w:eastAsia="en-AU"/>
              </w:rPr>
            </w:pPr>
            <w:r w:rsidRPr="00194D78">
              <w:rPr>
                <w:lang w:eastAsia="en-AU"/>
              </w:rPr>
              <w:t>Accumulated surplus/(deficit)</w:t>
            </w:r>
          </w:p>
        </w:tc>
        <w:tc>
          <w:tcPr>
            <w:tcW w:w="680" w:type="dxa"/>
            <w:tcBorders>
              <w:bottom w:val="single" w:sz="4" w:space="0" w:color="BFBFBF" w:themeColor="accent4"/>
            </w:tcBorders>
            <w:noWrap/>
            <w:hideMark/>
          </w:tcPr>
          <w:p w14:paraId="4B116F62" w14:textId="77777777" w:rsidR="00FA7EBF" w:rsidRPr="00194D78" w:rsidRDefault="00FA7EBF" w:rsidP="002F7C48">
            <w:pPr>
              <w:pStyle w:val="ARfintablebodyright"/>
              <w:spacing w:before="30"/>
              <w:rPr>
                <w:lang w:eastAsia="en-AU"/>
              </w:rPr>
            </w:pPr>
          </w:p>
        </w:tc>
        <w:tc>
          <w:tcPr>
            <w:tcW w:w="1418" w:type="dxa"/>
            <w:tcBorders>
              <w:bottom w:val="single" w:sz="4" w:space="0" w:color="BFBFBF" w:themeColor="accent4"/>
            </w:tcBorders>
            <w:noWrap/>
            <w:hideMark/>
          </w:tcPr>
          <w:p w14:paraId="76EAE3C8" w14:textId="77777777" w:rsidR="00FA7EBF" w:rsidRPr="00194D78" w:rsidRDefault="00FA7EBF" w:rsidP="002F7C48">
            <w:pPr>
              <w:pStyle w:val="ARfintablebodyright"/>
              <w:spacing w:before="30"/>
              <w:rPr>
                <w:lang w:eastAsia="en-AU"/>
              </w:rPr>
            </w:pPr>
            <w:r w:rsidRPr="00194D78">
              <w:rPr>
                <w:lang w:eastAsia="en-AU"/>
              </w:rPr>
              <w:t>1,613.2</w:t>
            </w:r>
          </w:p>
        </w:tc>
        <w:tc>
          <w:tcPr>
            <w:tcW w:w="1418" w:type="dxa"/>
            <w:tcBorders>
              <w:bottom w:val="single" w:sz="4" w:space="0" w:color="BFBFBF" w:themeColor="accent4"/>
            </w:tcBorders>
            <w:noWrap/>
            <w:hideMark/>
          </w:tcPr>
          <w:p w14:paraId="2C31600D" w14:textId="77777777" w:rsidR="00FA7EBF" w:rsidRPr="00194D78" w:rsidRDefault="00FA7EBF" w:rsidP="002F7C48">
            <w:pPr>
              <w:pStyle w:val="ARfintablebodyright"/>
              <w:spacing w:before="30"/>
              <w:rPr>
                <w:lang w:eastAsia="en-AU"/>
              </w:rPr>
            </w:pPr>
            <w:r>
              <w:rPr>
                <w:lang w:eastAsia="en-AU"/>
              </w:rPr>
              <w:t>–</w:t>
            </w:r>
          </w:p>
        </w:tc>
        <w:tc>
          <w:tcPr>
            <w:tcW w:w="1418" w:type="dxa"/>
            <w:tcBorders>
              <w:bottom w:val="single" w:sz="4" w:space="0" w:color="BFBFBF" w:themeColor="accent4"/>
            </w:tcBorders>
            <w:noWrap/>
            <w:hideMark/>
          </w:tcPr>
          <w:p w14:paraId="7D3E97E1" w14:textId="77777777" w:rsidR="00FA7EBF" w:rsidRPr="00194D78" w:rsidRDefault="00FA7EBF" w:rsidP="002F7C48">
            <w:pPr>
              <w:pStyle w:val="ARfintablebodyright"/>
              <w:spacing w:before="30"/>
              <w:rPr>
                <w:lang w:eastAsia="en-AU"/>
              </w:rPr>
            </w:pPr>
            <w:r w:rsidRPr="00194D78">
              <w:rPr>
                <w:lang w:eastAsia="en-AU"/>
              </w:rPr>
              <w:t>(2.4)</w:t>
            </w:r>
          </w:p>
        </w:tc>
        <w:tc>
          <w:tcPr>
            <w:tcW w:w="1418" w:type="dxa"/>
            <w:tcBorders>
              <w:bottom w:val="single" w:sz="4" w:space="0" w:color="BFBFBF" w:themeColor="accent4"/>
            </w:tcBorders>
            <w:noWrap/>
            <w:hideMark/>
          </w:tcPr>
          <w:p w14:paraId="655585AD" w14:textId="77777777" w:rsidR="00FA7EBF" w:rsidRPr="00194D78" w:rsidRDefault="00FA7EBF" w:rsidP="002F7C48">
            <w:pPr>
              <w:pStyle w:val="ARfintablebodyright"/>
              <w:spacing w:before="30"/>
              <w:rPr>
                <w:lang w:eastAsia="en-AU"/>
              </w:rPr>
            </w:pPr>
            <w:r w:rsidRPr="00194D78">
              <w:rPr>
                <w:lang w:eastAsia="en-AU"/>
              </w:rPr>
              <w:t>1,610.8</w:t>
            </w:r>
          </w:p>
        </w:tc>
      </w:tr>
      <w:tr w:rsidR="00FA7EBF" w:rsidRPr="00194D78" w14:paraId="5F84FDB2" w14:textId="77777777" w:rsidTr="007B207C">
        <w:trPr>
          <w:cantSplit w:val="0"/>
        </w:trPr>
        <w:tc>
          <w:tcPr>
            <w:tcW w:w="3289" w:type="dxa"/>
            <w:tcBorders>
              <w:top w:val="single" w:sz="4" w:space="0" w:color="BFBFBF" w:themeColor="accent4"/>
            </w:tcBorders>
            <w:noWrap/>
            <w:hideMark/>
          </w:tcPr>
          <w:p w14:paraId="2BA66231" w14:textId="77777777" w:rsidR="00FA7EBF" w:rsidRPr="00194D78" w:rsidRDefault="00FA7EBF" w:rsidP="002F7C48">
            <w:pPr>
              <w:pStyle w:val="ARfintablebody"/>
              <w:spacing w:before="30"/>
              <w:rPr>
                <w:lang w:eastAsia="en-AU"/>
              </w:rPr>
            </w:pPr>
            <w:r w:rsidRPr="00194D78">
              <w:rPr>
                <w:lang w:eastAsia="en-AU"/>
              </w:rPr>
              <w:t>Other items in equity</w:t>
            </w:r>
          </w:p>
        </w:tc>
        <w:tc>
          <w:tcPr>
            <w:tcW w:w="680" w:type="dxa"/>
            <w:tcBorders>
              <w:top w:val="single" w:sz="4" w:space="0" w:color="BFBFBF" w:themeColor="accent4"/>
            </w:tcBorders>
            <w:noWrap/>
            <w:hideMark/>
          </w:tcPr>
          <w:p w14:paraId="2911C233" w14:textId="77777777" w:rsidR="00FA7EBF" w:rsidRPr="00194D78" w:rsidRDefault="00FA7EBF" w:rsidP="002F7C48">
            <w:pPr>
              <w:pStyle w:val="ARfintablebodyright"/>
              <w:spacing w:before="30"/>
              <w:rPr>
                <w:lang w:eastAsia="en-AU"/>
              </w:rPr>
            </w:pPr>
          </w:p>
        </w:tc>
        <w:tc>
          <w:tcPr>
            <w:tcW w:w="1418" w:type="dxa"/>
            <w:tcBorders>
              <w:top w:val="single" w:sz="4" w:space="0" w:color="BFBFBF" w:themeColor="accent4"/>
            </w:tcBorders>
            <w:noWrap/>
            <w:hideMark/>
          </w:tcPr>
          <w:p w14:paraId="2953F48C" w14:textId="77777777" w:rsidR="00FA7EBF" w:rsidRPr="00194D78" w:rsidRDefault="00FA7EBF" w:rsidP="002F7C48">
            <w:pPr>
              <w:pStyle w:val="ARfintablebodyright"/>
              <w:spacing w:before="30"/>
              <w:rPr>
                <w:lang w:eastAsia="en-AU"/>
              </w:rPr>
            </w:pPr>
            <w:r w:rsidRPr="00194D78">
              <w:rPr>
                <w:lang w:eastAsia="en-AU"/>
              </w:rPr>
              <w:t>30,799.2</w:t>
            </w:r>
          </w:p>
        </w:tc>
        <w:tc>
          <w:tcPr>
            <w:tcW w:w="1418" w:type="dxa"/>
            <w:tcBorders>
              <w:top w:val="single" w:sz="4" w:space="0" w:color="BFBFBF" w:themeColor="accent4"/>
            </w:tcBorders>
            <w:noWrap/>
            <w:hideMark/>
          </w:tcPr>
          <w:p w14:paraId="14D9666B" w14:textId="77777777" w:rsidR="00FA7EBF" w:rsidRPr="00194D78" w:rsidRDefault="00FA7EBF" w:rsidP="002F7C48">
            <w:pPr>
              <w:pStyle w:val="ARfintablebodyright"/>
              <w:spacing w:before="30"/>
              <w:rPr>
                <w:lang w:eastAsia="en-AU"/>
              </w:rPr>
            </w:pPr>
            <w:r>
              <w:rPr>
                <w:lang w:eastAsia="en-AU"/>
              </w:rPr>
              <w:t>–</w:t>
            </w:r>
          </w:p>
        </w:tc>
        <w:tc>
          <w:tcPr>
            <w:tcW w:w="1418" w:type="dxa"/>
            <w:tcBorders>
              <w:top w:val="single" w:sz="4" w:space="0" w:color="BFBFBF" w:themeColor="accent4"/>
            </w:tcBorders>
            <w:noWrap/>
            <w:hideMark/>
          </w:tcPr>
          <w:p w14:paraId="733ADC40" w14:textId="77777777" w:rsidR="00FA7EBF" w:rsidRPr="00194D78" w:rsidRDefault="00FA7EBF" w:rsidP="002F7C48">
            <w:pPr>
              <w:pStyle w:val="ARfintablebodyright"/>
              <w:spacing w:before="30"/>
              <w:rPr>
                <w:lang w:eastAsia="en-AU"/>
              </w:rPr>
            </w:pPr>
            <w:r>
              <w:rPr>
                <w:lang w:eastAsia="en-AU"/>
              </w:rPr>
              <w:t>–</w:t>
            </w:r>
          </w:p>
        </w:tc>
        <w:tc>
          <w:tcPr>
            <w:tcW w:w="1418" w:type="dxa"/>
            <w:tcBorders>
              <w:top w:val="single" w:sz="4" w:space="0" w:color="BFBFBF" w:themeColor="accent4"/>
            </w:tcBorders>
            <w:noWrap/>
            <w:hideMark/>
          </w:tcPr>
          <w:p w14:paraId="34208B19" w14:textId="77777777" w:rsidR="00FA7EBF" w:rsidRPr="00194D78" w:rsidRDefault="00FA7EBF" w:rsidP="002F7C48">
            <w:pPr>
              <w:pStyle w:val="ARfintablebodyright"/>
              <w:spacing w:before="30"/>
              <w:rPr>
                <w:lang w:eastAsia="en-AU"/>
              </w:rPr>
            </w:pPr>
            <w:r w:rsidRPr="00194D78">
              <w:rPr>
                <w:lang w:eastAsia="en-AU"/>
              </w:rPr>
              <w:t>30,799.2</w:t>
            </w:r>
          </w:p>
        </w:tc>
      </w:tr>
      <w:tr w:rsidR="00FA7EBF" w:rsidRPr="00194D78" w14:paraId="5314F692" w14:textId="77777777" w:rsidTr="007B207C">
        <w:trPr>
          <w:cantSplit w:val="0"/>
        </w:trPr>
        <w:tc>
          <w:tcPr>
            <w:tcW w:w="3289" w:type="dxa"/>
            <w:noWrap/>
            <w:hideMark/>
          </w:tcPr>
          <w:p w14:paraId="0C0577AC" w14:textId="77777777" w:rsidR="00FA7EBF" w:rsidRPr="00194D78" w:rsidRDefault="00FA7EBF" w:rsidP="002F7C48">
            <w:pPr>
              <w:pStyle w:val="ARfintablebodybold"/>
              <w:spacing w:before="30"/>
              <w:rPr>
                <w:lang w:eastAsia="en-AU"/>
              </w:rPr>
            </w:pPr>
            <w:r w:rsidRPr="00194D78">
              <w:rPr>
                <w:lang w:eastAsia="en-AU"/>
              </w:rPr>
              <w:t>Total equity</w:t>
            </w:r>
          </w:p>
        </w:tc>
        <w:tc>
          <w:tcPr>
            <w:tcW w:w="680" w:type="dxa"/>
            <w:noWrap/>
            <w:hideMark/>
          </w:tcPr>
          <w:p w14:paraId="48CCCB70" w14:textId="77777777" w:rsidR="00FA7EBF" w:rsidRPr="00194D78" w:rsidRDefault="00FA7EBF" w:rsidP="002F7C48">
            <w:pPr>
              <w:pStyle w:val="ARfintablebodyright"/>
              <w:spacing w:before="30"/>
              <w:rPr>
                <w:lang w:eastAsia="en-AU"/>
              </w:rPr>
            </w:pPr>
          </w:p>
        </w:tc>
        <w:tc>
          <w:tcPr>
            <w:tcW w:w="1418" w:type="dxa"/>
            <w:noWrap/>
            <w:hideMark/>
          </w:tcPr>
          <w:p w14:paraId="73A56C3D" w14:textId="77777777" w:rsidR="00FA7EBF" w:rsidRPr="00194D78" w:rsidRDefault="00FA7EBF" w:rsidP="002F7C48">
            <w:pPr>
              <w:pStyle w:val="ARfintablebodyrightbold"/>
              <w:spacing w:before="30"/>
              <w:rPr>
                <w:lang w:eastAsia="en-AU"/>
              </w:rPr>
            </w:pPr>
            <w:r w:rsidRPr="00194D78">
              <w:rPr>
                <w:lang w:eastAsia="en-AU"/>
              </w:rPr>
              <w:t>32,412.5</w:t>
            </w:r>
          </w:p>
        </w:tc>
        <w:tc>
          <w:tcPr>
            <w:tcW w:w="1418" w:type="dxa"/>
            <w:noWrap/>
            <w:hideMark/>
          </w:tcPr>
          <w:p w14:paraId="2C365739" w14:textId="77777777" w:rsidR="00FA7EBF" w:rsidRPr="00194D78" w:rsidRDefault="00FA7EBF" w:rsidP="002F7C48">
            <w:pPr>
              <w:pStyle w:val="ARfintablebodyrightbold"/>
              <w:spacing w:before="30"/>
              <w:rPr>
                <w:lang w:eastAsia="en-AU"/>
              </w:rPr>
            </w:pPr>
            <w:r>
              <w:rPr>
                <w:lang w:eastAsia="en-AU"/>
              </w:rPr>
              <w:t>–</w:t>
            </w:r>
          </w:p>
        </w:tc>
        <w:tc>
          <w:tcPr>
            <w:tcW w:w="1418" w:type="dxa"/>
            <w:noWrap/>
            <w:hideMark/>
          </w:tcPr>
          <w:p w14:paraId="3BBCF14F" w14:textId="77777777" w:rsidR="00FA7EBF" w:rsidRPr="00194D78" w:rsidRDefault="00FA7EBF" w:rsidP="002F7C48">
            <w:pPr>
              <w:pStyle w:val="ARfintablebodyrightbold"/>
              <w:spacing w:before="30"/>
              <w:rPr>
                <w:lang w:eastAsia="en-AU"/>
              </w:rPr>
            </w:pPr>
            <w:r w:rsidRPr="00194D78">
              <w:rPr>
                <w:lang w:eastAsia="en-AU"/>
              </w:rPr>
              <w:t>(2.4)</w:t>
            </w:r>
          </w:p>
        </w:tc>
        <w:tc>
          <w:tcPr>
            <w:tcW w:w="1418" w:type="dxa"/>
            <w:noWrap/>
            <w:hideMark/>
          </w:tcPr>
          <w:p w14:paraId="5A82481A" w14:textId="77777777" w:rsidR="00FA7EBF" w:rsidRPr="00194D78" w:rsidRDefault="00FA7EBF" w:rsidP="002F7C48">
            <w:pPr>
              <w:pStyle w:val="ARfintablebodyrightbold"/>
              <w:spacing w:before="30"/>
              <w:rPr>
                <w:lang w:eastAsia="en-AU"/>
              </w:rPr>
            </w:pPr>
            <w:r w:rsidRPr="00194D78">
              <w:rPr>
                <w:lang w:eastAsia="en-AU"/>
              </w:rPr>
              <w:t>32,410.1</w:t>
            </w:r>
          </w:p>
        </w:tc>
      </w:tr>
    </w:tbl>
    <w:p w14:paraId="664412CF" w14:textId="77777777" w:rsidR="00FA7EBF" w:rsidRPr="00194D78" w:rsidRDefault="00FA7EBF" w:rsidP="00CA66FD">
      <w:pPr>
        <w:pStyle w:val="Heading4"/>
        <w:rPr>
          <w:lang w:eastAsia="en-AU"/>
        </w:rPr>
      </w:pPr>
      <w:r w:rsidRPr="00194D78">
        <w:rPr>
          <w:lang w:eastAsia="en-AU"/>
        </w:rPr>
        <w:t>9.13 Australian Accounting Standards issued that are not yet effective</w:t>
      </w:r>
    </w:p>
    <w:p w14:paraId="5C926BE2" w14:textId="77777777" w:rsidR="00FA7EBF" w:rsidRPr="00194D78" w:rsidRDefault="00FA7EBF" w:rsidP="00CA66FD">
      <w:pPr>
        <w:pStyle w:val="ARfinbody"/>
      </w:pPr>
      <w:r w:rsidRPr="00194D78">
        <w:t>The following AASs become effective for reporting periods commencing after 1 July 2019:</w:t>
      </w:r>
    </w:p>
    <w:p w14:paraId="7841B163" w14:textId="77777777" w:rsidR="00FA7EBF" w:rsidRPr="00194D78" w:rsidRDefault="00FA7EBF" w:rsidP="00CA66FD">
      <w:pPr>
        <w:pStyle w:val="ARfinbullet1"/>
        <w:numPr>
          <w:ilvl w:val="0"/>
          <w:numId w:val="4"/>
        </w:numPr>
      </w:pPr>
      <w:r w:rsidRPr="00194D78">
        <w:t xml:space="preserve">AASB 1059 </w:t>
      </w:r>
      <w:r w:rsidRPr="003E0F70">
        <w:rPr>
          <w:i/>
        </w:rPr>
        <w:t>Service Concession Arrangements: Grantor</w:t>
      </w:r>
    </w:p>
    <w:p w14:paraId="0B3F1F93" w14:textId="77777777" w:rsidR="00FA7EBF" w:rsidRPr="00194D78" w:rsidRDefault="00FA7EBF" w:rsidP="00CA66FD">
      <w:pPr>
        <w:pStyle w:val="ARfinbullet1"/>
        <w:numPr>
          <w:ilvl w:val="0"/>
          <w:numId w:val="4"/>
        </w:numPr>
      </w:pPr>
      <w:r w:rsidRPr="00194D78">
        <w:t xml:space="preserve">AASB 16 </w:t>
      </w:r>
      <w:r w:rsidRPr="003E0F70">
        <w:rPr>
          <w:i/>
        </w:rPr>
        <w:t>Leases</w:t>
      </w:r>
    </w:p>
    <w:p w14:paraId="0FAB0094" w14:textId="77777777" w:rsidR="00FA7EBF" w:rsidRPr="00194D78" w:rsidRDefault="00FA7EBF" w:rsidP="00CA66FD">
      <w:pPr>
        <w:pStyle w:val="ARfinbullet1"/>
        <w:numPr>
          <w:ilvl w:val="0"/>
          <w:numId w:val="4"/>
        </w:numPr>
      </w:pPr>
      <w:r w:rsidRPr="00194D78">
        <w:t xml:space="preserve">AASB 15 </w:t>
      </w:r>
      <w:r w:rsidRPr="003E0F70">
        <w:rPr>
          <w:i/>
        </w:rPr>
        <w:t>Revenue from Contract with Customers</w:t>
      </w:r>
    </w:p>
    <w:p w14:paraId="2E41EDC1" w14:textId="77777777" w:rsidR="00FA7EBF" w:rsidRPr="00194D78" w:rsidRDefault="00FA7EBF" w:rsidP="00CA66FD">
      <w:pPr>
        <w:pStyle w:val="ARfinbullet1"/>
        <w:numPr>
          <w:ilvl w:val="0"/>
          <w:numId w:val="4"/>
        </w:numPr>
      </w:pPr>
      <w:r w:rsidRPr="00194D78">
        <w:t xml:space="preserve">AASB 1058 </w:t>
      </w:r>
      <w:r w:rsidRPr="003E0F70">
        <w:rPr>
          <w:i/>
        </w:rPr>
        <w:t>Income of Not-for-Profit Entities</w:t>
      </w:r>
      <w:r w:rsidRPr="00194D78">
        <w:t>.</w:t>
      </w:r>
    </w:p>
    <w:p w14:paraId="324AE399" w14:textId="77777777" w:rsidR="00FA7EBF" w:rsidRPr="00194D78" w:rsidRDefault="00FA7EBF" w:rsidP="002F7C48">
      <w:pPr>
        <w:pStyle w:val="Heading5"/>
        <w:spacing w:before="120" w:after="40"/>
        <w:rPr>
          <w:lang w:eastAsia="en-AU"/>
        </w:rPr>
      </w:pPr>
      <w:r w:rsidRPr="00194D78">
        <w:rPr>
          <w:lang w:eastAsia="en-AU"/>
        </w:rPr>
        <w:t>Service concession arrangements</w:t>
      </w:r>
    </w:p>
    <w:p w14:paraId="7E0A404A" w14:textId="77777777" w:rsidR="00FA7EBF" w:rsidRPr="00194D78" w:rsidRDefault="00FA7EBF" w:rsidP="00CA66FD">
      <w:pPr>
        <w:pStyle w:val="ARfinbody"/>
      </w:pPr>
      <w:r w:rsidRPr="00194D78">
        <w:t xml:space="preserve">Prior to the issuance of AASB 1059, there was no definitive accounting guidance in Australia for service concession arrangements, which include a number of public private partnership (PPP) arrangements. The AASB issued the new standard to address the lack of specific accounting guidance and based the content thereof broadly on its international equivalent: International Public Sector Accounting Standard 32: </w:t>
      </w:r>
      <w:r w:rsidRPr="007944F3">
        <w:t>Service Concession Arrangements: Grantor</w:t>
      </w:r>
      <w:r w:rsidRPr="00194D78">
        <w:t>.</w:t>
      </w:r>
    </w:p>
    <w:p w14:paraId="6A5163AC" w14:textId="77777777" w:rsidR="00FA7EBF" w:rsidRPr="00194D78" w:rsidRDefault="00FA7EBF" w:rsidP="00CA66FD">
      <w:pPr>
        <w:pStyle w:val="ARfinbody"/>
      </w:pPr>
      <w:r w:rsidRPr="00194D78">
        <w:t xml:space="preserve">For arrangements within the scope of AASB 1059, the public sector grantor will be required to record the asset(s) used in the service concession arrangement at current replacement cost in accordance with cost approach to </w:t>
      </w:r>
      <w:r>
        <w:t>f</w:t>
      </w:r>
      <w:r w:rsidRPr="00194D78">
        <w:t xml:space="preserve">air </w:t>
      </w:r>
      <w:r>
        <w:t>v</w:t>
      </w:r>
      <w:r w:rsidRPr="00194D78">
        <w:t xml:space="preserve">alue under AASB 13: </w:t>
      </w:r>
      <w:r w:rsidRPr="003E0F70">
        <w:rPr>
          <w:i/>
        </w:rPr>
        <w:t>Fair Value Measurement</w:t>
      </w:r>
      <w:r w:rsidRPr="00194D78">
        <w:t xml:space="preserve"> (AASB 13), with a related liability, which could be a financial liability, an accrued revenue liability (referred to as the </w:t>
      </w:r>
      <w:r>
        <w:t>‘</w:t>
      </w:r>
      <w:r w:rsidRPr="00194D78">
        <w:t>Grant of a Right to the Operator</w:t>
      </w:r>
      <w:r>
        <w:t>’</w:t>
      </w:r>
      <w:r w:rsidRPr="00194D78">
        <w:t xml:space="preserve"> or GORTO liability) or a combination of both. The AASB recently announced a one-year deferral on the new accounting requirements for public sector grantors in service concession arrangements. As a result, AASB 1059 will apply to annual periods beginning on or after 1 January 2020, rather than 1 January 2019. However, the department intends to early adopt AASB 1059 in line with the original adoption date of 1 January 2019, i.e. the 201</w:t>
      </w:r>
      <w:r>
        <w:t>9–</w:t>
      </w:r>
      <w:r w:rsidRPr="00194D78">
        <w:t>20 financial year.</w:t>
      </w:r>
    </w:p>
    <w:p w14:paraId="4F69A303" w14:textId="77777777" w:rsidR="00FA7EBF" w:rsidRPr="00194D78" w:rsidRDefault="00FA7EBF" w:rsidP="00CA66FD">
      <w:pPr>
        <w:pStyle w:val="ARfinbody"/>
      </w:pPr>
      <w:r w:rsidRPr="00194D78">
        <w:t>The department will apply the standard using a full retrospective approach to prior reporting periods from 1 July 201</w:t>
      </w:r>
      <w:r>
        <w:t>9</w:t>
      </w:r>
      <w:r w:rsidRPr="00194D78">
        <w:t xml:space="preserve"> (</w:t>
      </w:r>
      <w:r>
        <w:t>‘</w:t>
      </w:r>
      <w:r w:rsidRPr="00194D78">
        <w:t>transition date</w:t>
      </w:r>
      <w:r>
        <w:t>’</w:t>
      </w:r>
      <w:r w:rsidRPr="00194D78">
        <w:t>). As a result, all comparative information in the financial statements has been prepared as if AASB 1059 had always been in effect with a cumulative adjustment between the recognition of service concession assets and financial liabilities and/or GORTO liabilities recognised in accumulated surplus as at 1 July 2018.</w:t>
      </w:r>
    </w:p>
    <w:p w14:paraId="229F88A7" w14:textId="77777777" w:rsidR="00FA7EBF" w:rsidRDefault="00FA7EBF" w:rsidP="002F7C48">
      <w:pPr>
        <w:pStyle w:val="ARfinbody"/>
        <w:spacing w:after="40"/>
      </w:pPr>
      <w:r w:rsidRPr="00194D78">
        <w:t xml:space="preserve">The </w:t>
      </w:r>
      <w:r>
        <w:t>d</w:t>
      </w:r>
      <w:r w:rsidRPr="00194D78">
        <w:t>epartment has identified three material service concession arrangements and has performed a detailed impact assessment. The</w:t>
      </w:r>
      <w:r>
        <w:t> </w:t>
      </w:r>
      <w:r w:rsidRPr="00194D78">
        <w:t>potential impact in the initial year of application has been estimated as follows:</w:t>
      </w:r>
    </w:p>
    <w:p w14:paraId="5D4A2AFC" w14:textId="77777777" w:rsidR="00FA7EBF" w:rsidRPr="008D1AC4" w:rsidRDefault="00FA7EBF" w:rsidP="002F7C48">
      <w:pPr>
        <w:pStyle w:val="ARfinbullet1"/>
        <w:numPr>
          <w:ilvl w:val="0"/>
          <w:numId w:val="4"/>
        </w:numPr>
        <w:spacing w:after="40"/>
      </w:pPr>
      <w:r w:rsidRPr="00194D78">
        <w:t>increase in s</w:t>
      </w:r>
      <w:r w:rsidRPr="008D1AC4">
        <w:t>ervice concession assets (a subset of property, plant and equipment) ($399.5 million)</w:t>
      </w:r>
    </w:p>
    <w:p w14:paraId="015FE7DB" w14:textId="77777777" w:rsidR="00FA7EBF" w:rsidRPr="008D1AC4" w:rsidRDefault="00FA7EBF" w:rsidP="002F7C48">
      <w:pPr>
        <w:pStyle w:val="ARfinbullet1"/>
        <w:numPr>
          <w:ilvl w:val="0"/>
          <w:numId w:val="4"/>
        </w:numPr>
        <w:spacing w:after="40"/>
      </w:pPr>
      <w:r w:rsidRPr="008D1AC4">
        <w:t>decrease in property, plant and equipment at fair value (a subset of property, plant and equipment) ($399.5 million)</w:t>
      </w:r>
    </w:p>
    <w:p w14:paraId="574E7C06" w14:textId="77777777" w:rsidR="00FA7EBF" w:rsidRPr="008D1AC4" w:rsidRDefault="00FA7EBF" w:rsidP="002F7C48">
      <w:pPr>
        <w:pStyle w:val="ARfinbullet1"/>
        <w:numPr>
          <w:ilvl w:val="0"/>
          <w:numId w:val="4"/>
        </w:numPr>
        <w:spacing w:after="40"/>
      </w:pPr>
      <w:r w:rsidRPr="008D1AC4">
        <w:t>increase in service concession assets (a subset of intangible assets) ($2.5 million)</w:t>
      </w:r>
    </w:p>
    <w:p w14:paraId="78F8C63F" w14:textId="77777777" w:rsidR="00FA7EBF" w:rsidRPr="00194D78" w:rsidRDefault="00FA7EBF" w:rsidP="00CA66FD">
      <w:pPr>
        <w:pStyle w:val="ARfinbullet1"/>
        <w:numPr>
          <w:ilvl w:val="0"/>
          <w:numId w:val="4"/>
        </w:numPr>
      </w:pPr>
      <w:r w:rsidRPr="008D1AC4">
        <w:t>decrease in int</w:t>
      </w:r>
      <w:r w:rsidRPr="00194D78">
        <w:t>angible assets at cost (a subset of intangible assets) ($2.5 million)</w:t>
      </w:r>
    </w:p>
    <w:p w14:paraId="7ADA62E8" w14:textId="77777777" w:rsidR="00FA7EBF" w:rsidRPr="00194D78" w:rsidRDefault="00FA7EBF" w:rsidP="00CA66FD">
      <w:pPr>
        <w:pStyle w:val="ARfinbody"/>
      </w:pPr>
      <w:r w:rsidRPr="00194D78">
        <w:t xml:space="preserve">The </w:t>
      </w:r>
      <w:r>
        <w:t>d</w:t>
      </w:r>
      <w:r w:rsidRPr="00194D78">
        <w:t>epartment will perform further assessment on other potential service concession arrangements during 201</w:t>
      </w:r>
      <w:r>
        <w:t>9–</w:t>
      </w:r>
      <w:r w:rsidRPr="00194D78">
        <w:t>20.</w:t>
      </w:r>
    </w:p>
    <w:p w14:paraId="27116095" w14:textId="77777777" w:rsidR="00FA7EBF" w:rsidRPr="00194D78" w:rsidRDefault="00FA7EBF" w:rsidP="00CA66FD">
      <w:pPr>
        <w:pStyle w:val="Heading5"/>
        <w:rPr>
          <w:lang w:eastAsia="en-AU"/>
        </w:rPr>
      </w:pPr>
      <w:r w:rsidRPr="00194D78">
        <w:rPr>
          <w:lang w:eastAsia="en-AU"/>
        </w:rPr>
        <w:t>Leases</w:t>
      </w:r>
    </w:p>
    <w:p w14:paraId="60B3092C" w14:textId="77777777" w:rsidR="00FA7EBF" w:rsidRPr="00194D78" w:rsidRDefault="00FA7EBF" w:rsidP="00CA66FD">
      <w:pPr>
        <w:pStyle w:val="ARfinbody"/>
      </w:pPr>
      <w:r w:rsidRPr="00194D78">
        <w:t xml:space="preserve">AASB 16 </w:t>
      </w:r>
      <w:r w:rsidRPr="003E0F70">
        <w:rPr>
          <w:i/>
        </w:rPr>
        <w:t>Leases</w:t>
      </w:r>
      <w:r w:rsidRPr="00194D78">
        <w:t xml:space="preserve"> replaces AASB 117 </w:t>
      </w:r>
      <w:r w:rsidRPr="003E0F70">
        <w:rPr>
          <w:i/>
        </w:rPr>
        <w:t>Leases</w:t>
      </w:r>
      <w:r w:rsidRPr="00194D78">
        <w:t xml:space="preserve">, AASB Interpretation 4 </w:t>
      </w:r>
      <w:r w:rsidRPr="003E0F70">
        <w:rPr>
          <w:i/>
        </w:rPr>
        <w:t>Determining whether an Arrangement contains a Lease</w:t>
      </w:r>
      <w:r w:rsidRPr="00194D78">
        <w:t xml:space="preserve">, AASB Interpretation 115 </w:t>
      </w:r>
      <w:r w:rsidRPr="003E0F70">
        <w:rPr>
          <w:i/>
        </w:rPr>
        <w:t>Operating Leases-Incentives</w:t>
      </w:r>
      <w:r w:rsidRPr="00194D78">
        <w:t xml:space="preserve"> and AASB Interpretation 127 </w:t>
      </w:r>
      <w:r w:rsidRPr="003E0F70">
        <w:rPr>
          <w:i/>
        </w:rPr>
        <w:t>Evaluating the Substance of Transactions Involving the Legal Form of a Lease</w:t>
      </w:r>
      <w:r w:rsidRPr="00194D78">
        <w:t>.</w:t>
      </w:r>
    </w:p>
    <w:p w14:paraId="4F73BD0B" w14:textId="77777777" w:rsidR="00FA7EBF" w:rsidRPr="00194D78" w:rsidRDefault="00FA7EBF" w:rsidP="00CA66FD">
      <w:pPr>
        <w:pStyle w:val="ARfinbody"/>
      </w:pPr>
      <w:r w:rsidRPr="00194D78">
        <w:t>AASB 16 sets out the principles for the recognition, measurement, presentation and disclosure of leases and requires lessees to account for all leases on the balance sheet by recording a Right-Of-Use (RoU) asset and a lease liability except for leases that are shorter than 12 months and leases where the underlying asset is of low value (deemed to be below $10,000).</w:t>
      </w:r>
    </w:p>
    <w:p w14:paraId="26282398" w14:textId="6F41D687" w:rsidR="00FA7EBF" w:rsidRPr="00194D78" w:rsidRDefault="00FA7EBF" w:rsidP="00CA66FD">
      <w:pPr>
        <w:pStyle w:val="ARfinbody"/>
      </w:pPr>
      <w:r w:rsidRPr="00194D78">
        <w:t>AASB 16 also requires the lessees to separately recognise the interest expense on the lease liability and the depreciation expense on</w:t>
      </w:r>
      <w:r>
        <w:t> </w:t>
      </w:r>
      <w:r w:rsidRPr="00194D78">
        <w:t>the right-of-use asset, and remeasure the lease liability upon the occurrence of certain events (</w:t>
      </w:r>
      <w:r>
        <w:t xml:space="preserve">for example </w:t>
      </w:r>
      <w:r w:rsidRPr="00194D78">
        <w:t>a change in the lease term, a change in future lease payments resulting from a change in an index or rate used to determine those payments). The amount of</w:t>
      </w:r>
      <w:r w:rsidR="00B33865">
        <w:t> </w:t>
      </w:r>
      <w:r w:rsidRPr="00194D78">
        <w:t>the remeasurement of the lease liability will generally be recognised as an adjustment to the RoU asset.</w:t>
      </w:r>
    </w:p>
    <w:p w14:paraId="6CEA3477" w14:textId="77777777" w:rsidR="00FA7EBF" w:rsidRPr="00194D78" w:rsidRDefault="00FA7EBF" w:rsidP="00CA66FD">
      <w:pPr>
        <w:pStyle w:val="ARfinbody"/>
      </w:pPr>
      <w:r w:rsidRPr="00194D78">
        <w:t>Lessor accounting under AASB 16 is substantially unchanged from AASB 117. Lessors will continue to classify all leases using the</w:t>
      </w:r>
      <w:r>
        <w:t> </w:t>
      </w:r>
      <w:r w:rsidRPr="00194D78">
        <w:t>same classification principle as in AASB 117 and distinguish between two types of leases: operating and finance leases.</w:t>
      </w:r>
    </w:p>
    <w:p w14:paraId="6FEBA68C" w14:textId="77777777" w:rsidR="00FA7EBF" w:rsidRPr="00194D78" w:rsidRDefault="00FA7EBF" w:rsidP="00CA66FD">
      <w:pPr>
        <w:pStyle w:val="ARfinbody"/>
      </w:pPr>
      <w:r w:rsidRPr="00194D78">
        <w:t>The effective date is for annual reporting periods beginning on or after 1 January 2019. The department intends to adopt AASB 16 in</w:t>
      </w:r>
      <w:r>
        <w:t> </w:t>
      </w:r>
      <w:r w:rsidRPr="00194D78">
        <w:t>201</w:t>
      </w:r>
      <w:r>
        <w:t>9–</w:t>
      </w:r>
      <w:r w:rsidRPr="00194D78">
        <w:t>20 financial year when it becomes effective.</w:t>
      </w:r>
    </w:p>
    <w:p w14:paraId="3E6149A9" w14:textId="77777777" w:rsidR="00FA7EBF" w:rsidRPr="00194D78" w:rsidRDefault="00FA7EBF" w:rsidP="00CA66FD">
      <w:pPr>
        <w:pStyle w:val="ARfinbody"/>
      </w:pPr>
      <w:r w:rsidRPr="00194D78">
        <w:t>The department will apply the standard using a modified retrospective approach with the cumulative effect of initial application recognised as an adjustment to the opening balance of accumulated surplus at 1 July 2019, with no restatement of comparative information.</w:t>
      </w:r>
    </w:p>
    <w:p w14:paraId="3553BB87" w14:textId="77777777" w:rsidR="00FA7EBF" w:rsidRPr="00194D78" w:rsidRDefault="00FA7EBF" w:rsidP="00CA66FD">
      <w:pPr>
        <w:pStyle w:val="ARfinbody"/>
      </w:pPr>
      <w:r w:rsidRPr="00194D78">
        <w:t>Various practical expedients are available on adoption to account for leases previously classified by a lessee as operating leases under AASB 117. The department will elect to use the exemptions for all short-term leases (lease term less than 12 months) and low value leases (deemed to be below $10,000).</w:t>
      </w:r>
    </w:p>
    <w:p w14:paraId="684DE96E" w14:textId="77777777" w:rsidR="00FA7EBF" w:rsidRPr="00194D78" w:rsidRDefault="00FA7EBF" w:rsidP="00CA66FD">
      <w:pPr>
        <w:pStyle w:val="ARfinbody"/>
      </w:pPr>
      <w:r w:rsidRPr="00194D78">
        <w:t xml:space="preserve">In addition, AASB 2018-8 </w:t>
      </w:r>
      <w:r w:rsidRPr="00852C82">
        <w:rPr>
          <w:rStyle w:val="Emphasis"/>
        </w:rPr>
        <w:t>Amendments to Australian Accounting Standards – Right-of-Use Assets (RoU) of Not-for-Profit Entities</w:t>
      </w:r>
      <w:r w:rsidRPr="00194D78">
        <w:t xml:space="preserve"> allows a temporary option for not-for-profit entities to not measure RoU assets at initial recognition at fair value in respect of leases that have significantly below-market terms, since further guidance is expected to be developed to assist not-for-profit entities in measuring RoU assets at fair value. The Standard requires an entity that elects to apply the option (i.e. measures a class or classes of such RoU assets at cost rather than fair value) to include additional disclosures. The department intends to choose the temporary relief to value the RoU asset at the present value of the payments required (at cost).</w:t>
      </w:r>
    </w:p>
    <w:p w14:paraId="1001146E" w14:textId="77777777" w:rsidR="00FA7EBF" w:rsidRPr="00194D78" w:rsidRDefault="00FA7EBF" w:rsidP="00CA66FD">
      <w:pPr>
        <w:pStyle w:val="ARfinbody"/>
      </w:pPr>
      <w:r w:rsidRPr="00194D78">
        <w:t>The department has performed a detailed impact assessment of AASB 16 and the potential impact in the initial year of application has been estimated as follows:</w:t>
      </w:r>
    </w:p>
    <w:p w14:paraId="14796FEB" w14:textId="77777777" w:rsidR="00FA7EBF" w:rsidRPr="00194D78" w:rsidRDefault="00FA7EBF" w:rsidP="00CA66FD">
      <w:pPr>
        <w:pStyle w:val="ARfinbullet1"/>
        <w:numPr>
          <w:ilvl w:val="0"/>
          <w:numId w:val="4"/>
        </w:numPr>
      </w:pPr>
      <w:r w:rsidRPr="00194D78">
        <w:t>increase in RoU ($588.6 million)</w:t>
      </w:r>
    </w:p>
    <w:p w14:paraId="11C74771" w14:textId="77777777" w:rsidR="00FA7EBF" w:rsidRPr="00194D78" w:rsidRDefault="00FA7EBF" w:rsidP="00CA66FD">
      <w:pPr>
        <w:pStyle w:val="ARfinbullet1"/>
        <w:numPr>
          <w:ilvl w:val="0"/>
          <w:numId w:val="4"/>
        </w:numPr>
      </w:pPr>
      <w:r w:rsidRPr="00194D78">
        <w:t>increase in related depreciation ($81.9 million)</w:t>
      </w:r>
    </w:p>
    <w:p w14:paraId="250C6EF4" w14:textId="77777777" w:rsidR="00FA7EBF" w:rsidRPr="00194D78" w:rsidRDefault="00FA7EBF" w:rsidP="00CA66FD">
      <w:pPr>
        <w:pStyle w:val="ARfinbullet1"/>
        <w:numPr>
          <w:ilvl w:val="0"/>
          <w:numId w:val="4"/>
        </w:numPr>
      </w:pPr>
      <w:r w:rsidRPr="00194D78">
        <w:t>increase in lease liability ($588.6 million)</w:t>
      </w:r>
    </w:p>
    <w:p w14:paraId="69094341" w14:textId="77777777" w:rsidR="00FA7EBF" w:rsidRPr="00194D78" w:rsidRDefault="00FA7EBF" w:rsidP="00CA66FD">
      <w:pPr>
        <w:pStyle w:val="ARfinbullet1"/>
        <w:numPr>
          <w:ilvl w:val="0"/>
          <w:numId w:val="4"/>
        </w:numPr>
      </w:pPr>
      <w:r w:rsidRPr="00194D78">
        <w:t>increase in related interest ($15.5 million) calculated using effective interest method</w:t>
      </w:r>
    </w:p>
    <w:p w14:paraId="236612CB" w14:textId="77777777" w:rsidR="00FA7EBF" w:rsidRPr="00194D78" w:rsidRDefault="00FA7EBF" w:rsidP="00CA66FD">
      <w:pPr>
        <w:pStyle w:val="ARfinbullet1"/>
        <w:numPr>
          <w:ilvl w:val="0"/>
          <w:numId w:val="4"/>
        </w:numPr>
      </w:pPr>
      <w:r w:rsidRPr="00194D78">
        <w:t>decrease in rental expense ($79.8 million).</w:t>
      </w:r>
    </w:p>
    <w:p w14:paraId="1DEBCB18" w14:textId="77777777" w:rsidR="00FA7EBF" w:rsidRPr="00194D78" w:rsidRDefault="00FA7EBF" w:rsidP="00CA66FD">
      <w:pPr>
        <w:pStyle w:val="Heading5"/>
        <w:rPr>
          <w:lang w:eastAsia="en-AU"/>
        </w:rPr>
      </w:pPr>
      <w:r w:rsidRPr="00194D78">
        <w:rPr>
          <w:lang w:eastAsia="en-AU"/>
        </w:rPr>
        <w:t xml:space="preserve">Revenue and </w:t>
      </w:r>
      <w:r>
        <w:rPr>
          <w:lang w:eastAsia="en-AU"/>
        </w:rPr>
        <w:t>i</w:t>
      </w:r>
      <w:r w:rsidRPr="00194D78">
        <w:rPr>
          <w:lang w:eastAsia="en-AU"/>
        </w:rPr>
        <w:t>ncome</w:t>
      </w:r>
    </w:p>
    <w:p w14:paraId="79DB06EC" w14:textId="77777777" w:rsidR="00FA7EBF" w:rsidRPr="00194D78" w:rsidRDefault="00FA7EBF" w:rsidP="00CA66FD">
      <w:pPr>
        <w:pStyle w:val="ARfinbody"/>
      </w:pPr>
      <w:r w:rsidRPr="00194D78">
        <w:t xml:space="preserve">AASB 15 supersedes AASB 118 </w:t>
      </w:r>
      <w:r w:rsidRPr="003E0F70">
        <w:rPr>
          <w:i/>
        </w:rPr>
        <w:t>Revenue</w:t>
      </w:r>
      <w:r w:rsidRPr="00194D78">
        <w:t xml:space="preserve">, AASB 111 </w:t>
      </w:r>
      <w:r w:rsidRPr="003E0F70">
        <w:rPr>
          <w:i/>
        </w:rPr>
        <w:t>Construction Contracts</w:t>
      </w:r>
      <w:r w:rsidRPr="007B0BE4">
        <w:t xml:space="preserve"> and related Interpretations and it</w:t>
      </w:r>
      <w:r w:rsidRPr="00194D78">
        <w:t xml:space="preserve"> applies, with limited exceptions, to all revenue arising from contracts with its customers.</w:t>
      </w:r>
    </w:p>
    <w:p w14:paraId="62A57635" w14:textId="77777777" w:rsidR="00FA7EBF" w:rsidRPr="00194D78" w:rsidRDefault="00FA7EBF" w:rsidP="00CA66FD">
      <w:pPr>
        <w:pStyle w:val="ARfinbody"/>
      </w:pPr>
      <w:r w:rsidRPr="00194D78">
        <w:t>AASB 15 establishes a five-step model to account for revenue arising from an enforceable contract that imposes a sufficiently specific performance obligation on an entity to transfer goods or services. AASB 15 requires entities to only recognise revenue upon the fulfilment of the performance obligation. Therefore, entities need to allocate the transaction price to each performance obligation in a</w:t>
      </w:r>
      <w:r>
        <w:t> </w:t>
      </w:r>
      <w:r w:rsidRPr="00194D78">
        <w:t>contract and recognise the revenue only when the related obligation is satisfied.</w:t>
      </w:r>
    </w:p>
    <w:p w14:paraId="00B4AD71" w14:textId="77777777" w:rsidR="00FA7EBF" w:rsidRPr="00194D78" w:rsidRDefault="00FA7EBF" w:rsidP="00CA66FD">
      <w:pPr>
        <w:pStyle w:val="ARfinbody"/>
      </w:pPr>
      <w:r w:rsidRPr="00194D78">
        <w:t xml:space="preserve">To address specific concerns from the </w:t>
      </w:r>
      <w:r>
        <w:t>‘</w:t>
      </w:r>
      <w:r w:rsidRPr="00194D78">
        <w:t>not-for-profit</w:t>
      </w:r>
      <w:r>
        <w:t>’</w:t>
      </w:r>
      <w:r w:rsidRPr="00194D78">
        <w:t xml:space="preserve"> sector in Australia, the AASB also released the following standards and guidance:</w:t>
      </w:r>
    </w:p>
    <w:p w14:paraId="2E6E87E4" w14:textId="77777777" w:rsidR="00FA7EBF" w:rsidRPr="00194D78" w:rsidRDefault="00FA7EBF" w:rsidP="00CA66FD">
      <w:pPr>
        <w:pStyle w:val="ARfinbullet1"/>
        <w:numPr>
          <w:ilvl w:val="0"/>
          <w:numId w:val="4"/>
        </w:numPr>
      </w:pPr>
      <w:r w:rsidRPr="00194D78">
        <w:t xml:space="preserve">AASB 2016-8 </w:t>
      </w:r>
      <w:r w:rsidRPr="003E0F70">
        <w:rPr>
          <w:i/>
        </w:rPr>
        <w:t>Amendments to Australian Accounting Standards – Australian implementation guidance for NFP entities</w:t>
      </w:r>
      <w:r w:rsidRPr="00194D78">
        <w:t xml:space="preserve"> (AASB </w:t>
      </w:r>
      <w:r>
        <w:br/>
      </w:r>
      <w:r w:rsidRPr="00194D78">
        <w:t>2016-8), to provide guidance on application of revenue recognition principles under AASB 15 in the not-for-profit sector</w:t>
      </w:r>
    </w:p>
    <w:p w14:paraId="61600660" w14:textId="77777777" w:rsidR="00FA7EBF" w:rsidRPr="00194D78" w:rsidRDefault="00FA7EBF" w:rsidP="00CA66FD">
      <w:pPr>
        <w:pStyle w:val="ARfinbullet1"/>
        <w:numPr>
          <w:ilvl w:val="0"/>
          <w:numId w:val="4"/>
        </w:numPr>
      </w:pPr>
      <w:r w:rsidRPr="00194D78">
        <w:t xml:space="preserve">AASB 2018-4 </w:t>
      </w:r>
      <w:r w:rsidRPr="003E0F70">
        <w:rPr>
          <w:i/>
        </w:rPr>
        <w:t>Amendments to Australian Accounting Standards – Australian Implementation Guidance for Not-for-Profit Public-Sector Licensors</w:t>
      </w:r>
      <w:r w:rsidRPr="00194D78">
        <w:t xml:space="preserve"> (2018-4), to provide guidance on how to distinguish payments receive</w:t>
      </w:r>
      <w:r>
        <w:t>d</w:t>
      </w:r>
      <w:r w:rsidRPr="00194D78">
        <w:t xml:space="preserve"> in connection with the access to an asset (or other resource) or to enable other parties to perform activities as tax and non-IP licence. It also provides guidance on timing of revenue recognition for non-IP licence payments</w:t>
      </w:r>
    </w:p>
    <w:p w14:paraId="3BE18055" w14:textId="77777777" w:rsidR="00FA7EBF" w:rsidRPr="00194D78" w:rsidRDefault="00FA7EBF" w:rsidP="00CA66FD">
      <w:pPr>
        <w:pStyle w:val="ARfinbullet1"/>
        <w:numPr>
          <w:ilvl w:val="0"/>
          <w:numId w:val="4"/>
        </w:numPr>
      </w:pPr>
      <w:r w:rsidRPr="00194D78">
        <w:t xml:space="preserve">AASB 1058 </w:t>
      </w:r>
      <w:r w:rsidRPr="003E0F70">
        <w:rPr>
          <w:i/>
        </w:rPr>
        <w:t>Income of Not-for-Profit Entities</w:t>
      </w:r>
      <w:r w:rsidRPr="00194D78">
        <w:t xml:space="preserve">, to supplement AASB 15 and provide criteria to be applied by not-for-profit entities in establishing the timing of recognising income for government grants and other types of contributions previously contained within AASB 1004 </w:t>
      </w:r>
      <w:r w:rsidRPr="003E0F70">
        <w:rPr>
          <w:i/>
        </w:rPr>
        <w:t>Contributions</w:t>
      </w:r>
    </w:p>
    <w:p w14:paraId="55050ACE" w14:textId="77777777" w:rsidR="00FA7EBF" w:rsidRPr="00194D78" w:rsidRDefault="00FA7EBF" w:rsidP="00CA66FD">
      <w:pPr>
        <w:pStyle w:val="ARfinbody"/>
      </w:pPr>
      <w:r w:rsidRPr="00194D78">
        <w:t>AASB 15, AASB 1058 and the related guidance will come into effect for not-for-profit entities for annual reporting periods beginning on</w:t>
      </w:r>
      <w:r>
        <w:t> </w:t>
      </w:r>
      <w:r w:rsidRPr="00194D78">
        <w:t>or after 1 January 2019. The department intends to adopt these standards in 201</w:t>
      </w:r>
      <w:r>
        <w:t>9–</w:t>
      </w:r>
      <w:r w:rsidRPr="00194D78">
        <w:t>20 financial year when it becomes effective.</w:t>
      </w:r>
    </w:p>
    <w:p w14:paraId="3D7C5714" w14:textId="77777777" w:rsidR="00FA7EBF" w:rsidRPr="00194D78" w:rsidRDefault="00FA7EBF" w:rsidP="00CA66FD">
      <w:pPr>
        <w:pStyle w:val="ARfinbody"/>
      </w:pPr>
      <w:r w:rsidRPr="00194D78">
        <w:t>The department will apply the standard using a modified retrospective approach with the cumulative effect of initial application recognised as an adjustment to the opening balance of accumulated surplus at 1 July 2019, with no restatement of comparative information.</w:t>
      </w:r>
    </w:p>
    <w:p w14:paraId="662576BA" w14:textId="77777777" w:rsidR="00FA7EBF" w:rsidRPr="00194D78" w:rsidRDefault="00FA7EBF" w:rsidP="00CA66FD">
      <w:pPr>
        <w:pStyle w:val="ARfinbody"/>
      </w:pPr>
      <w:r w:rsidRPr="00194D78">
        <w:t>The department has performed a detailed impact assessment of AASB 15 and AASB 1058. There is no potential impact for each major class of revenue and income in the initial year of application.</w:t>
      </w:r>
    </w:p>
    <w:p w14:paraId="46489CF4" w14:textId="77777777" w:rsidR="00FA7EBF" w:rsidRDefault="00FA7EBF" w:rsidP="00CA66FD">
      <w:pPr>
        <w:pStyle w:val="ARfinbody"/>
        <w:rPr>
          <w:rFonts w:eastAsia="MS Mincho" w:cs="Arial"/>
          <w:color w:val="53565A" w:themeColor="accent2"/>
        </w:rPr>
      </w:pPr>
      <w:r>
        <w:br w:type="page"/>
      </w:r>
    </w:p>
    <w:p w14:paraId="6ABA1F3E" w14:textId="77777777" w:rsidR="00FA7EBF" w:rsidRPr="00194D78" w:rsidRDefault="00FA7EBF" w:rsidP="00CA66FD">
      <w:pPr>
        <w:pStyle w:val="Heading4"/>
        <w:rPr>
          <w:lang w:eastAsia="en-AU"/>
        </w:rPr>
      </w:pPr>
      <w:r w:rsidRPr="00194D78">
        <w:rPr>
          <w:lang w:eastAsia="en-AU"/>
        </w:rPr>
        <w:t>9.14 Glossary of technical terms</w:t>
      </w:r>
    </w:p>
    <w:p w14:paraId="014D8F3A" w14:textId="77777777" w:rsidR="00FA7EBF" w:rsidRPr="00194D78" w:rsidRDefault="00FA7EBF" w:rsidP="00CA66FD">
      <w:pPr>
        <w:pStyle w:val="ARfinbody"/>
      </w:pPr>
      <w:r w:rsidRPr="00194D78">
        <w:t>The following is a summary of the major technical terms used in this report.</w:t>
      </w:r>
    </w:p>
    <w:p w14:paraId="177C67A9" w14:textId="77777777" w:rsidR="00FA7EBF" w:rsidRDefault="00FA7EBF" w:rsidP="00CA66FD">
      <w:pPr>
        <w:pStyle w:val="ARfinbody"/>
      </w:pPr>
      <w:r w:rsidRPr="002F137A">
        <w:rPr>
          <w:rStyle w:val="Strong"/>
          <w:bCs w:val="0"/>
        </w:rPr>
        <w:t>Actuarial gains or losses on superannuation defined benefit plans</w:t>
      </w:r>
      <w:r w:rsidRPr="00194D78">
        <w:t xml:space="preserve"> are changes in the present value of the superannuation defined benefit liability resulting from:</w:t>
      </w:r>
    </w:p>
    <w:p w14:paraId="1AA16BBB" w14:textId="77777777" w:rsidR="00FA7EBF" w:rsidRPr="00194D78" w:rsidRDefault="00FA7EBF" w:rsidP="00326F42">
      <w:pPr>
        <w:pStyle w:val="ARfinnumberalpha1"/>
        <w:numPr>
          <w:ilvl w:val="0"/>
          <w:numId w:val="31"/>
        </w:numPr>
      </w:pPr>
      <w:r w:rsidRPr="00194D78">
        <w:t>experience adjustments (the effects of differences between the previous actuarial assumptions and what has actually occurred)</w:t>
      </w:r>
    </w:p>
    <w:p w14:paraId="3DAE9FCA" w14:textId="77777777" w:rsidR="00FA7EBF" w:rsidRPr="00194D78" w:rsidRDefault="00FA7EBF" w:rsidP="00326F42">
      <w:pPr>
        <w:pStyle w:val="ARfinnumberalpha1"/>
        <w:numPr>
          <w:ilvl w:val="0"/>
          <w:numId w:val="31"/>
        </w:numPr>
      </w:pPr>
      <w:r w:rsidRPr="00194D78">
        <w:t>the effects of changes in actuarial assumptions.</w:t>
      </w:r>
    </w:p>
    <w:p w14:paraId="6F34E913" w14:textId="77777777" w:rsidR="00FA7EBF" w:rsidRPr="00194D78" w:rsidRDefault="00FA7EBF" w:rsidP="00CA66FD">
      <w:pPr>
        <w:pStyle w:val="ARfinbody"/>
      </w:pPr>
      <w:r w:rsidRPr="002F137A">
        <w:rPr>
          <w:rStyle w:val="Strong"/>
          <w:bCs w:val="0"/>
        </w:rPr>
        <w:t>Administered item</w:t>
      </w:r>
      <w:r w:rsidRPr="00194D78">
        <w:t xml:space="preserve"> generally refers to a department lacking the capacity to benefit from that item in the pursuit of the entity</w:t>
      </w:r>
      <w:r>
        <w:t>’</w:t>
      </w:r>
      <w:r w:rsidRPr="00194D78">
        <w:t>s objectives and to deny or regulate the access of others to that benefit.</w:t>
      </w:r>
    </w:p>
    <w:p w14:paraId="5BDE7A95" w14:textId="77777777" w:rsidR="00FA7EBF" w:rsidRPr="00194D78" w:rsidRDefault="00FA7EBF" w:rsidP="00CA66FD">
      <w:pPr>
        <w:pStyle w:val="ARfinbody"/>
      </w:pPr>
      <w:r w:rsidRPr="002F137A">
        <w:rPr>
          <w:rStyle w:val="Strong"/>
          <w:bCs w:val="0"/>
        </w:rPr>
        <w:t>Amortisation</w:t>
      </w:r>
      <w:r w:rsidRPr="00194D78">
        <w:t xml:space="preserve"> is the expense that results from the consumption, extraction or use over time of a non-produced physical or intangible asset. This expense is classified as an </w:t>
      </w:r>
      <w:r>
        <w:t>‘</w:t>
      </w:r>
      <w:r w:rsidRPr="00194D78">
        <w:t>other economic flow</w:t>
      </w:r>
      <w:r>
        <w:t>’</w:t>
      </w:r>
      <w:r w:rsidRPr="00194D78">
        <w:t>.</w:t>
      </w:r>
    </w:p>
    <w:p w14:paraId="01118990" w14:textId="77777777" w:rsidR="00FA7EBF" w:rsidRPr="00194D78" w:rsidRDefault="00FA7EBF" w:rsidP="00CA66FD">
      <w:pPr>
        <w:pStyle w:val="ARfinbody"/>
      </w:pPr>
      <w:r w:rsidRPr="002F137A">
        <w:rPr>
          <w:rStyle w:val="Strong"/>
          <w:bCs w:val="0"/>
        </w:rPr>
        <w:t>Borrowings</w:t>
      </w:r>
      <w:r w:rsidRPr="00194D78">
        <w:t xml:space="preserve"> refers to interest bearing liabilities mainly raised from public borrowings raised through the Treasury Corporation of Victoria, finance leases and other interest bearing arrangements. Borrowings also include non-interest bearing advances from government that are acquired for policy purposes.</w:t>
      </w:r>
    </w:p>
    <w:p w14:paraId="18D70E37" w14:textId="77777777" w:rsidR="00FA7EBF" w:rsidRPr="00194D78" w:rsidRDefault="00FA7EBF" w:rsidP="00CA66FD">
      <w:pPr>
        <w:pStyle w:val="ARfinbody"/>
      </w:pPr>
      <w:r w:rsidRPr="002F137A">
        <w:rPr>
          <w:rStyle w:val="Strong"/>
          <w:bCs w:val="0"/>
        </w:rPr>
        <w:t>Capital asset charge</w:t>
      </w:r>
      <w:r w:rsidRPr="002F137A">
        <w:t xml:space="preserve"> i</w:t>
      </w:r>
      <w:r w:rsidRPr="00194D78">
        <w:t>s a charge levied on the written-down value of controlled non-current physical assets in a department</w:t>
      </w:r>
      <w:r>
        <w:t>’</w:t>
      </w:r>
      <w:r w:rsidRPr="00194D78">
        <w:t>s balance sheet which aims to: attribute to agency outputs the opportunity cost of capital used in service delivery; and provide incentives to departments to identify and dispose of underutilised or surplus assets in a timely manner.</w:t>
      </w:r>
    </w:p>
    <w:p w14:paraId="0D49109A" w14:textId="77777777" w:rsidR="00FA7EBF" w:rsidRPr="00194D78" w:rsidRDefault="00FA7EBF" w:rsidP="00CA66FD">
      <w:pPr>
        <w:pStyle w:val="ARfinbody"/>
      </w:pPr>
      <w:r w:rsidRPr="002F137A">
        <w:rPr>
          <w:rStyle w:val="Strong"/>
          <w:bCs w:val="0"/>
        </w:rPr>
        <w:t>Commitments</w:t>
      </w:r>
      <w:r w:rsidRPr="00194D78">
        <w:t xml:space="preserve"> include those operating, capital and other outsourcing commitments arising from non-cancellable contractual or statutory sources.</w:t>
      </w:r>
    </w:p>
    <w:p w14:paraId="470EA0E6" w14:textId="77777777" w:rsidR="00FA7EBF" w:rsidRPr="00194D78" w:rsidRDefault="00FA7EBF" w:rsidP="00CA66FD">
      <w:pPr>
        <w:pStyle w:val="ARfinbody"/>
      </w:pPr>
      <w:r w:rsidRPr="002F137A">
        <w:rPr>
          <w:rStyle w:val="Strong"/>
          <w:bCs w:val="0"/>
        </w:rPr>
        <w:t>Comprehensive result</w:t>
      </w:r>
      <w:r w:rsidRPr="00194D78">
        <w:t xml:space="preserve"> is the amount included in the operating statement representing total change in net worth other than transactions with owners as owners.</w:t>
      </w:r>
    </w:p>
    <w:p w14:paraId="173F7B8D" w14:textId="77777777" w:rsidR="00FA7EBF" w:rsidRPr="00194D78" w:rsidRDefault="00FA7EBF" w:rsidP="00CA66FD">
      <w:pPr>
        <w:pStyle w:val="ARfinbody"/>
      </w:pPr>
      <w:r w:rsidRPr="002F137A">
        <w:rPr>
          <w:rStyle w:val="Strong"/>
          <w:bCs w:val="0"/>
        </w:rPr>
        <w:t>Controlled item</w:t>
      </w:r>
      <w:r w:rsidRPr="00194D78">
        <w:t xml:space="preserve"> generally refers to the capacity of a department to benefit from that item in the pursuit of the entity</w:t>
      </w:r>
      <w:r>
        <w:t>’</w:t>
      </w:r>
      <w:r w:rsidRPr="00194D78">
        <w:t>s objectives and to deny or regulate the access of others to that benefit.</w:t>
      </w:r>
    </w:p>
    <w:p w14:paraId="79737FE0" w14:textId="77777777" w:rsidR="00FA7EBF" w:rsidRPr="00194D78" w:rsidRDefault="00FA7EBF" w:rsidP="00CA66FD">
      <w:pPr>
        <w:pStyle w:val="ARfinbody"/>
      </w:pPr>
      <w:r w:rsidRPr="002F137A">
        <w:rPr>
          <w:rStyle w:val="Strong"/>
          <w:bCs w:val="0"/>
        </w:rPr>
        <w:t>Current grants</w:t>
      </w:r>
      <w:r w:rsidRPr="00194D78">
        <w:t xml:space="preserve"> are amounts payable or receivable for current purposes for which no economic benefits of equal value are receivable or payable in return.</w:t>
      </w:r>
    </w:p>
    <w:p w14:paraId="5EFDA24B" w14:textId="77777777" w:rsidR="00FA7EBF" w:rsidRPr="00194D78" w:rsidRDefault="00FA7EBF" w:rsidP="00CA66FD">
      <w:pPr>
        <w:pStyle w:val="ARfinbody"/>
      </w:pPr>
      <w:r w:rsidRPr="002F137A">
        <w:rPr>
          <w:rStyle w:val="Strong"/>
          <w:bCs w:val="0"/>
        </w:rPr>
        <w:t>Depreciation</w:t>
      </w:r>
      <w:r w:rsidRPr="00194D78">
        <w:t xml:space="preserve"> is an expense that arises from the consumption through wear or time of a produced physical or intangible asset. This expense is classified as a </w:t>
      </w:r>
      <w:r>
        <w:t>‘</w:t>
      </w:r>
      <w:r w:rsidRPr="00194D78">
        <w:t>transaction</w:t>
      </w:r>
      <w:r>
        <w:t>’</w:t>
      </w:r>
      <w:r w:rsidRPr="00194D78">
        <w:t xml:space="preserve"> and so reduces the </w:t>
      </w:r>
      <w:r>
        <w:t>‘</w:t>
      </w:r>
      <w:r w:rsidRPr="00194D78">
        <w:t>net result from transaction</w:t>
      </w:r>
      <w:r>
        <w:t>’</w:t>
      </w:r>
      <w:r w:rsidRPr="00194D78">
        <w:t>.</w:t>
      </w:r>
    </w:p>
    <w:p w14:paraId="43480311" w14:textId="77777777" w:rsidR="00FA7EBF" w:rsidRPr="00194D78" w:rsidRDefault="00FA7EBF" w:rsidP="00CA66FD">
      <w:pPr>
        <w:pStyle w:val="ARfinbody"/>
      </w:pPr>
      <w:r w:rsidRPr="002F137A">
        <w:rPr>
          <w:rStyle w:val="Strong"/>
          <w:bCs w:val="0"/>
        </w:rPr>
        <w:t>Effective interest method</w:t>
      </w:r>
      <w:r w:rsidRPr="00194D78">
        <w:t xml:space="preserve"> is the method used to calculate the amortised cost of a financial asset or liability and of allocating interest over the relevant period. The effective interest rate is the rate that exactly discounts estimated future cash flows through the expected life of the financial instrument, or, where appropriate, a shorter period.</w:t>
      </w:r>
    </w:p>
    <w:p w14:paraId="3CAA8BA0" w14:textId="77777777" w:rsidR="00FA7EBF" w:rsidRPr="00194D78" w:rsidRDefault="00FA7EBF" w:rsidP="00CA66FD">
      <w:pPr>
        <w:pStyle w:val="ARfinbody"/>
      </w:pPr>
      <w:r w:rsidRPr="002F137A">
        <w:rPr>
          <w:rStyle w:val="Strong"/>
          <w:bCs w:val="0"/>
        </w:rPr>
        <w:t>Employee benefits expenses</w:t>
      </w:r>
      <w:r w:rsidRPr="00194D78">
        <w:t xml:space="preserve"> includes all costs related to employment including salaries and wages, leave entitlements, redundancy payments, defined benefits superannuation plans, and defined contribution superannuation plans.</w:t>
      </w:r>
    </w:p>
    <w:p w14:paraId="75BB5AE7" w14:textId="77777777" w:rsidR="00FA7EBF" w:rsidRPr="002F137A" w:rsidRDefault="00FA7EBF" w:rsidP="00CA66FD">
      <w:pPr>
        <w:pStyle w:val="ARfinbody"/>
      </w:pPr>
      <w:r w:rsidRPr="002F137A">
        <w:rPr>
          <w:rStyle w:val="Strong"/>
          <w:bCs w:val="0"/>
        </w:rPr>
        <w:t xml:space="preserve">Eliminations </w:t>
      </w:r>
      <w:r w:rsidRPr="00194D78">
        <w:t>are the removal of transactions that occur between entities within a consolidated group to ensure figures are not overstated.</w:t>
      </w:r>
    </w:p>
    <w:p w14:paraId="2F9B51B2" w14:textId="77777777" w:rsidR="00FA7EBF" w:rsidRPr="00194D78" w:rsidRDefault="00FA7EBF" w:rsidP="00CA66FD">
      <w:pPr>
        <w:pStyle w:val="ARfinbody"/>
      </w:pPr>
      <w:r w:rsidRPr="002F137A">
        <w:rPr>
          <w:rStyle w:val="Strong"/>
          <w:bCs w:val="0"/>
        </w:rPr>
        <w:t>Ex-gratia expenses</w:t>
      </w:r>
      <w:r w:rsidRPr="002F137A">
        <w:t xml:space="preserve"> me</w:t>
      </w:r>
      <w:r w:rsidRPr="00194D78">
        <w:t>an the voluntary payment of money or other non-monetary benefit (for example a write off) that is not made either to acquire goods, services or other benefits for the entity or to meet a legal liability, or to settle or resolve a possible legal liability or claim against the entity.</w:t>
      </w:r>
    </w:p>
    <w:p w14:paraId="7499E437" w14:textId="77777777" w:rsidR="00FA7EBF" w:rsidRPr="00194D78" w:rsidRDefault="00FA7EBF" w:rsidP="00CA66FD">
      <w:pPr>
        <w:pStyle w:val="ARfinbody"/>
      </w:pPr>
      <w:r w:rsidRPr="002F137A">
        <w:rPr>
          <w:rStyle w:val="Strong"/>
          <w:bCs w:val="0"/>
        </w:rPr>
        <w:t>Financial instrument</w:t>
      </w:r>
      <w:r w:rsidRPr="00194D78">
        <w:t xml:space="preserve"> is any contract that gives rise to a financial asset of one entity and a financial liability or equity instrument of another entity. Financial assets or liabilities that are not contractual (such as statutory receivables or payables that arise as a result of statutory requirements imposed by governments) are not financial instruments.</w:t>
      </w:r>
    </w:p>
    <w:p w14:paraId="4ED507EB" w14:textId="77777777" w:rsidR="00FA7EBF" w:rsidRPr="00194D78" w:rsidRDefault="00FA7EBF" w:rsidP="00CA66FD">
      <w:pPr>
        <w:pStyle w:val="ARfinbody"/>
      </w:pPr>
      <w:r w:rsidRPr="002F137A">
        <w:rPr>
          <w:rStyle w:val="Strong"/>
          <w:bCs w:val="0"/>
        </w:rPr>
        <w:t>Financial asset</w:t>
      </w:r>
      <w:r w:rsidRPr="00194D78">
        <w:t xml:space="preserve"> is any asset that is:</w:t>
      </w:r>
    </w:p>
    <w:p w14:paraId="5D9D989D" w14:textId="77777777" w:rsidR="00FA7EBF" w:rsidRPr="00194D78" w:rsidRDefault="00FA7EBF" w:rsidP="00326F42">
      <w:pPr>
        <w:pStyle w:val="ARfinnumberalpha1"/>
        <w:numPr>
          <w:ilvl w:val="0"/>
          <w:numId w:val="28"/>
        </w:numPr>
      </w:pPr>
      <w:r w:rsidRPr="00194D78">
        <w:t>cash</w:t>
      </w:r>
    </w:p>
    <w:p w14:paraId="01F49B80" w14:textId="77777777" w:rsidR="00FA7EBF" w:rsidRPr="00194D78" w:rsidRDefault="00FA7EBF" w:rsidP="00326F42">
      <w:pPr>
        <w:pStyle w:val="ARfinnumberalpha1"/>
        <w:numPr>
          <w:ilvl w:val="0"/>
          <w:numId w:val="28"/>
        </w:numPr>
      </w:pPr>
      <w:r w:rsidRPr="00194D78">
        <w:t>an equity instrument of another entity</w:t>
      </w:r>
    </w:p>
    <w:p w14:paraId="1FFE3686" w14:textId="77777777" w:rsidR="00FA7EBF" w:rsidRDefault="00FA7EBF" w:rsidP="00326F42">
      <w:pPr>
        <w:pStyle w:val="ARfinnumberalpha1"/>
        <w:numPr>
          <w:ilvl w:val="0"/>
          <w:numId w:val="28"/>
        </w:numPr>
      </w:pPr>
      <w:r w:rsidRPr="00194D78">
        <w:t>a contractual or statutory right:</w:t>
      </w:r>
    </w:p>
    <w:p w14:paraId="767E6EEC" w14:textId="77777777" w:rsidR="00FA7EBF" w:rsidRDefault="00FA7EBF" w:rsidP="00CA66FD">
      <w:pPr>
        <w:pStyle w:val="ARfinbullet2"/>
        <w:numPr>
          <w:ilvl w:val="1"/>
          <w:numId w:val="4"/>
        </w:numPr>
      </w:pPr>
      <w:r w:rsidRPr="00194D78">
        <w:t>to receive cash or another financial asset from another entity, or</w:t>
      </w:r>
    </w:p>
    <w:p w14:paraId="6B724613" w14:textId="77777777" w:rsidR="00FA7EBF" w:rsidRPr="00194D78" w:rsidRDefault="00FA7EBF" w:rsidP="00CA66FD">
      <w:pPr>
        <w:pStyle w:val="ARfinbullet2"/>
        <w:numPr>
          <w:ilvl w:val="1"/>
          <w:numId w:val="4"/>
        </w:numPr>
      </w:pPr>
      <w:r w:rsidRPr="00194D78">
        <w:t>to exchange financial assets or financial liabilities with another entity under conditions that are potentially favourable to the entity, or</w:t>
      </w:r>
    </w:p>
    <w:p w14:paraId="19F727F0" w14:textId="77777777" w:rsidR="00FA7EBF" w:rsidRDefault="00FA7EBF" w:rsidP="00326F42">
      <w:pPr>
        <w:pStyle w:val="ARfinnumberalpha1"/>
        <w:numPr>
          <w:ilvl w:val="0"/>
          <w:numId w:val="28"/>
        </w:numPr>
      </w:pPr>
      <w:r w:rsidRPr="00194D78">
        <w:t>a contract that will or may be settled in the entity</w:t>
      </w:r>
      <w:r>
        <w:t>’</w:t>
      </w:r>
      <w:r w:rsidRPr="00194D78">
        <w:t>s own equity instruments and is:</w:t>
      </w:r>
    </w:p>
    <w:p w14:paraId="39C3DE5B" w14:textId="77777777" w:rsidR="00FA7EBF" w:rsidRDefault="00FA7EBF" w:rsidP="00CA66FD">
      <w:pPr>
        <w:pStyle w:val="ARfinbullet2"/>
        <w:numPr>
          <w:ilvl w:val="1"/>
          <w:numId w:val="4"/>
        </w:numPr>
      </w:pPr>
      <w:r w:rsidRPr="00194D78">
        <w:t>a non-derivative for which the entity is or may be obliged to receive a variable number of the entity</w:t>
      </w:r>
      <w:r>
        <w:t>’</w:t>
      </w:r>
      <w:r w:rsidRPr="00194D78">
        <w:t>s own equity instruments, or</w:t>
      </w:r>
    </w:p>
    <w:p w14:paraId="2A361D6E" w14:textId="77777777" w:rsidR="00FA7EBF" w:rsidRPr="00194D78" w:rsidRDefault="00FA7EBF" w:rsidP="00CA66FD">
      <w:pPr>
        <w:pStyle w:val="ARfinbullet2"/>
        <w:numPr>
          <w:ilvl w:val="1"/>
          <w:numId w:val="4"/>
        </w:numPr>
      </w:pPr>
      <w:r w:rsidRPr="00194D78">
        <w:t>a derivative that will or may be settled other than by the exchange of a fixed amount of cash or another financial asset for a fixed number of the entity</w:t>
      </w:r>
      <w:r>
        <w:t>’</w:t>
      </w:r>
      <w:r w:rsidRPr="00194D78">
        <w:t>s own equity instruments.</w:t>
      </w:r>
    </w:p>
    <w:p w14:paraId="7913CCAA" w14:textId="77777777" w:rsidR="00FA7EBF" w:rsidRPr="00194D78" w:rsidRDefault="00FA7EBF" w:rsidP="00CA66FD">
      <w:pPr>
        <w:pStyle w:val="ARfinbody"/>
      </w:pPr>
      <w:r w:rsidRPr="002F137A">
        <w:rPr>
          <w:rStyle w:val="Strong"/>
          <w:bCs w:val="0"/>
        </w:rPr>
        <w:t>Financial liability</w:t>
      </w:r>
      <w:r w:rsidRPr="00194D78">
        <w:t xml:space="preserve"> is any liability that is:</w:t>
      </w:r>
    </w:p>
    <w:p w14:paraId="079F8F72" w14:textId="77777777" w:rsidR="00FA7EBF" w:rsidRPr="00194D78" w:rsidRDefault="00FA7EBF" w:rsidP="00326F42">
      <w:pPr>
        <w:pStyle w:val="ARfinnumberalpha1"/>
        <w:numPr>
          <w:ilvl w:val="0"/>
          <w:numId w:val="29"/>
        </w:numPr>
      </w:pPr>
      <w:r w:rsidRPr="00194D78">
        <w:t>a contractual or statutory obligation:</w:t>
      </w:r>
    </w:p>
    <w:p w14:paraId="0F4EBB4B" w14:textId="77777777" w:rsidR="00FA7EBF" w:rsidRPr="00194D78" w:rsidRDefault="00FA7EBF" w:rsidP="00326F42">
      <w:pPr>
        <w:pStyle w:val="ARfinnumberroman2"/>
        <w:numPr>
          <w:ilvl w:val="1"/>
          <w:numId w:val="29"/>
        </w:numPr>
      </w:pPr>
      <w:r w:rsidRPr="00194D78">
        <w:t>to deliver cash or another financial asset to another entity, or</w:t>
      </w:r>
    </w:p>
    <w:p w14:paraId="5A73EC89" w14:textId="77777777" w:rsidR="00FA7EBF" w:rsidRPr="00194D78" w:rsidRDefault="00FA7EBF" w:rsidP="00326F42">
      <w:pPr>
        <w:pStyle w:val="ARfinnumberroman2"/>
        <w:numPr>
          <w:ilvl w:val="1"/>
          <w:numId w:val="29"/>
        </w:numPr>
      </w:pPr>
      <w:r w:rsidRPr="00194D78">
        <w:t>to exchange financial assets or financial liabilities with another entity under conditions that are potentially unfavourable to the entity, or</w:t>
      </w:r>
    </w:p>
    <w:p w14:paraId="2C4617C4" w14:textId="77777777" w:rsidR="00FA7EBF" w:rsidRPr="00194D78" w:rsidRDefault="00FA7EBF" w:rsidP="00326F42">
      <w:pPr>
        <w:pStyle w:val="ARfinnumberalpha1"/>
        <w:numPr>
          <w:ilvl w:val="0"/>
          <w:numId w:val="29"/>
        </w:numPr>
      </w:pPr>
      <w:r w:rsidRPr="00194D78">
        <w:t>a contract that will or may be settled in the entity</w:t>
      </w:r>
      <w:r>
        <w:t>’</w:t>
      </w:r>
      <w:r w:rsidRPr="00194D78">
        <w:t>s own equity instruments and is:</w:t>
      </w:r>
    </w:p>
    <w:p w14:paraId="180A856F" w14:textId="77777777" w:rsidR="00FA7EBF" w:rsidRPr="00194D78" w:rsidRDefault="00FA7EBF" w:rsidP="00326F42">
      <w:pPr>
        <w:pStyle w:val="ARfinnumberroman2"/>
        <w:numPr>
          <w:ilvl w:val="1"/>
          <w:numId w:val="29"/>
        </w:numPr>
      </w:pPr>
      <w:r w:rsidRPr="00194D78">
        <w:t>a non-derivative for which the entity is or may be obliged to deliver a variable number of the entity</w:t>
      </w:r>
      <w:r>
        <w:t>’</w:t>
      </w:r>
      <w:r w:rsidRPr="00194D78">
        <w:t>s own equity instruments, or</w:t>
      </w:r>
    </w:p>
    <w:p w14:paraId="66ADB4E2" w14:textId="77777777" w:rsidR="00FA7EBF" w:rsidRPr="00194D78" w:rsidRDefault="00FA7EBF" w:rsidP="00326F42">
      <w:pPr>
        <w:pStyle w:val="ARfinnumberroman2"/>
        <w:numPr>
          <w:ilvl w:val="1"/>
          <w:numId w:val="29"/>
        </w:numPr>
      </w:pPr>
      <w:r w:rsidRPr="00194D78">
        <w:t>a derivative that will or may be settled other than by the exchange of a fixed amount of cash or another financial asset for a fixed number of the entity</w:t>
      </w:r>
      <w:r>
        <w:t>’</w:t>
      </w:r>
      <w:r w:rsidRPr="00194D78">
        <w:t>s own equity instruments. For this purpose the entity</w:t>
      </w:r>
      <w:r>
        <w:t>’</w:t>
      </w:r>
      <w:r w:rsidRPr="00194D78">
        <w:t>s own equity instruments do not include instruments that are themselves contracts for the future receipt or delivery of the entity</w:t>
      </w:r>
      <w:r>
        <w:t>’</w:t>
      </w:r>
      <w:r w:rsidRPr="00194D78">
        <w:t>s own equity instruments.</w:t>
      </w:r>
    </w:p>
    <w:p w14:paraId="31013FD5" w14:textId="77777777" w:rsidR="00FA7EBF" w:rsidRDefault="00FA7EBF" w:rsidP="00CA66FD">
      <w:pPr>
        <w:pStyle w:val="ARfinbody"/>
        <w:rPr>
          <w:rStyle w:val="Strong"/>
          <w:bCs w:val="0"/>
        </w:rPr>
      </w:pPr>
      <w:r>
        <w:rPr>
          <w:rStyle w:val="Strong"/>
          <w:bCs w:val="0"/>
        </w:rPr>
        <w:br w:type="page"/>
      </w:r>
    </w:p>
    <w:p w14:paraId="17FAA047" w14:textId="77777777" w:rsidR="00FA7EBF" w:rsidRPr="00CE6899" w:rsidRDefault="00FA7EBF" w:rsidP="00CA66FD">
      <w:pPr>
        <w:pStyle w:val="ARfinbody"/>
      </w:pPr>
      <w:r w:rsidRPr="00CE6899">
        <w:rPr>
          <w:rStyle w:val="Strong"/>
          <w:bCs w:val="0"/>
        </w:rPr>
        <w:t>Financial statements</w:t>
      </w:r>
      <w:r w:rsidRPr="00CE6899">
        <w:t xml:space="preserve"> comprise:</w:t>
      </w:r>
    </w:p>
    <w:p w14:paraId="04E38BBA" w14:textId="77777777" w:rsidR="00FA7EBF" w:rsidRPr="00CE6899" w:rsidRDefault="00FA7EBF" w:rsidP="00326F42">
      <w:pPr>
        <w:pStyle w:val="ARfinnumberalpha1"/>
        <w:numPr>
          <w:ilvl w:val="0"/>
          <w:numId w:val="30"/>
        </w:numPr>
      </w:pPr>
      <w:r w:rsidRPr="00194D78">
        <w:t>a ba</w:t>
      </w:r>
      <w:r w:rsidRPr="00CE6899">
        <w:t>lance sheet as at the end of the year</w:t>
      </w:r>
    </w:p>
    <w:p w14:paraId="2874206F" w14:textId="77777777" w:rsidR="00FA7EBF" w:rsidRPr="00CE6899" w:rsidRDefault="00FA7EBF" w:rsidP="00326F42">
      <w:pPr>
        <w:pStyle w:val="ARfinnumberalpha1"/>
        <w:numPr>
          <w:ilvl w:val="0"/>
          <w:numId w:val="30"/>
        </w:numPr>
      </w:pPr>
      <w:r w:rsidRPr="00CE6899">
        <w:t>a comprehensive operating statement for the year</w:t>
      </w:r>
    </w:p>
    <w:p w14:paraId="0A0D0F34" w14:textId="77777777" w:rsidR="00FA7EBF" w:rsidRPr="00CE6899" w:rsidRDefault="00FA7EBF" w:rsidP="00326F42">
      <w:pPr>
        <w:pStyle w:val="ARfinnumberalpha1"/>
        <w:numPr>
          <w:ilvl w:val="0"/>
          <w:numId w:val="30"/>
        </w:numPr>
      </w:pPr>
      <w:r w:rsidRPr="00CE6899">
        <w:t>a statement of changes in equity for the year</w:t>
      </w:r>
    </w:p>
    <w:p w14:paraId="320CFF4E" w14:textId="77777777" w:rsidR="00FA7EBF" w:rsidRPr="00CE6899" w:rsidRDefault="00FA7EBF" w:rsidP="00326F42">
      <w:pPr>
        <w:pStyle w:val="ARfinnumberalpha1"/>
        <w:numPr>
          <w:ilvl w:val="0"/>
          <w:numId w:val="30"/>
        </w:numPr>
      </w:pPr>
      <w:r w:rsidRPr="00CE6899">
        <w:t>a statement of cash flows for the year</w:t>
      </w:r>
    </w:p>
    <w:p w14:paraId="37AB1CC4" w14:textId="77777777" w:rsidR="00FA7EBF" w:rsidRPr="00CE6899" w:rsidRDefault="00FA7EBF" w:rsidP="00326F42">
      <w:pPr>
        <w:pStyle w:val="ARfinnumberalpha1"/>
        <w:numPr>
          <w:ilvl w:val="0"/>
          <w:numId w:val="30"/>
        </w:numPr>
      </w:pPr>
      <w:r w:rsidRPr="00CE6899">
        <w:t>notes, comprising a summary of significant accounting policies and other explanatory information</w:t>
      </w:r>
    </w:p>
    <w:p w14:paraId="3A7B6558" w14:textId="77777777" w:rsidR="00FA7EBF" w:rsidRPr="00CE6899" w:rsidRDefault="00FA7EBF" w:rsidP="00326F42">
      <w:pPr>
        <w:pStyle w:val="ARfinnumberalpha1"/>
        <w:numPr>
          <w:ilvl w:val="0"/>
          <w:numId w:val="30"/>
        </w:numPr>
      </w:pPr>
      <w:r w:rsidRPr="00CE6899">
        <w:t>comparative information in respect of the preceding year as specified in paragraphs 3</w:t>
      </w:r>
      <w:r w:rsidRPr="000F2BD8">
        <w:t>8 of AASB 101</w:t>
      </w:r>
      <w:r w:rsidRPr="00CE6899">
        <w:rPr>
          <w:rStyle w:val="Emphasis"/>
          <w:iCs w:val="0"/>
        </w:rPr>
        <w:t xml:space="preserve"> </w:t>
      </w:r>
      <w:r w:rsidRPr="003E0F70">
        <w:rPr>
          <w:rStyle w:val="Emphasis"/>
          <w:iCs w:val="0"/>
        </w:rPr>
        <w:t>Presentation of Financial Statements</w:t>
      </w:r>
    </w:p>
    <w:p w14:paraId="2AEBA827" w14:textId="77777777" w:rsidR="00FA7EBF" w:rsidRPr="00194D78" w:rsidRDefault="00FA7EBF" w:rsidP="00326F42">
      <w:pPr>
        <w:pStyle w:val="ARfinnumberalpha1"/>
        <w:numPr>
          <w:ilvl w:val="0"/>
          <w:numId w:val="30"/>
        </w:numPr>
      </w:pPr>
      <w:r w:rsidRPr="00CE6899">
        <w:t>a balance</w:t>
      </w:r>
      <w:r w:rsidRPr="00194D78">
        <w:t xml:space="preserve"> sheet as at the beginning of the preceding year when an entity applies an accounting policy retrospectively or makes a retrospective restatement of items in its financial statements, or when it reclassifies items in its financial statements in accordance with paragraph 41 of AASB 101.</w:t>
      </w:r>
    </w:p>
    <w:p w14:paraId="2D9EA913" w14:textId="77777777" w:rsidR="00FA7EBF" w:rsidRDefault="00FA7EBF" w:rsidP="00CA66FD">
      <w:pPr>
        <w:pStyle w:val="ARfinbody"/>
      </w:pPr>
      <w:r w:rsidRPr="002F137A">
        <w:rPr>
          <w:rStyle w:val="Strong"/>
          <w:bCs w:val="0"/>
        </w:rPr>
        <w:t>Grants and other expense transfers</w:t>
      </w:r>
      <w:r w:rsidRPr="002F137A">
        <w:t xml:space="preserve"> are transactions in w</w:t>
      </w:r>
      <w:r w:rsidRPr="00194D78">
        <w:t>hich one unit provides goods, services, assets (or extinguishes a liability) or</w:t>
      </w:r>
      <w:r>
        <w:t> </w:t>
      </w:r>
      <w:r w:rsidRPr="00194D78">
        <w:t>labour to another unit without receiving approximately equal value in return. Grants can either be operating or capital in nature.</w:t>
      </w:r>
    </w:p>
    <w:p w14:paraId="3AC90DA0" w14:textId="77777777" w:rsidR="00FA7EBF" w:rsidRDefault="00FA7EBF" w:rsidP="00CA66FD">
      <w:pPr>
        <w:pStyle w:val="ARfinbody"/>
      </w:pPr>
      <w:r w:rsidRPr="00194D78">
        <w:t>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w:t>
      </w:r>
    </w:p>
    <w:p w14:paraId="4E1C9727" w14:textId="77777777" w:rsidR="00FA7EBF" w:rsidRPr="00194D78" w:rsidRDefault="00FA7EBF" w:rsidP="00CA66FD">
      <w:pPr>
        <w:pStyle w:val="ARfinbody"/>
      </w:pPr>
      <w:r w:rsidRPr="00194D78">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39DF9FD1" w14:textId="77777777" w:rsidR="00FA7EBF" w:rsidRPr="00194D78" w:rsidRDefault="00FA7EBF" w:rsidP="00CA66FD">
      <w:pPr>
        <w:pStyle w:val="ARfinbody"/>
      </w:pPr>
      <w:r w:rsidRPr="002F137A">
        <w:rPr>
          <w:rStyle w:val="Strong"/>
          <w:bCs w:val="0"/>
        </w:rPr>
        <w:t>General government sector</w:t>
      </w:r>
      <w:r w:rsidRPr="00194D78">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5302D6F0" w14:textId="77777777" w:rsidR="00FA7EBF" w:rsidRPr="00194D78" w:rsidRDefault="00FA7EBF" w:rsidP="00CA66FD">
      <w:pPr>
        <w:pStyle w:val="ARfinbody"/>
      </w:pPr>
      <w:r w:rsidRPr="002F137A">
        <w:rPr>
          <w:rStyle w:val="Strong"/>
          <w:bCs w:val="0"/>
        </w:rPr>
        <w:t>Grants for on-passing</w:t>
      </w:r>
      <w:r w:rsidRPr="00194D78">
        <w:t xml:space="preserve"> are grants paid to one institutional sector (for example a state general government entity) to be passed on to another institutional sector (for example local government or a private non-profit institution).</w:t>
      </w:r>
    </w:p>
    <w:p w14:paraId="2EFC9001" w14:textId="77777777" w:rsidR="00FA7EBF" w:rsidRPr="00194D78" w:rsidRDefault="00FA7EBF" w:rsidP="00CA66FD">
      <w:pPr>
        <w:pStyle w:val="ARfinbody"/>
      </w:pPr>
      <w:r w:rsidRPr="002F137A">
        <w:rPr>
          <w:rStyle w:val="Strong"/>
          <w:bCs w:val="0"/>
        </w:rPr>
        <w:t>Intangible assets</w:t>
      </w:r>
      <w:r w:rsidRPr="00194D78">
        <w:t xml:space="preserve"> represent identifiable non-monetary assets without physical substance.</w:t>
      </w:r>
    </w:p>
    <w:p w14:paraId="2A2D2F89" w14:textId="77777777" w:rsidR="00FA7EBF" w:rsidRPr="00194D78" w:rsidRDefault="00FA7EBF" w:rsidP="00CA66FD">
      <w:pPr>
        <w:pStyle w:val="ARfinbody"/>
      </w:pPr>
      <w:r w:rsidRPr="002F137A">
        <w:rPr>
          <w:rStyle w:val="Strong"/>
          <w:bCs w:val="0"/>
        </w:rPr>
        <w:t>Interest expense represents</w:t>
      </w:r>
      <w:r w:rsidRPr="00194D78">
        <w:t xml:space="preserve"> costs incurred in connection with the borrowings. It includes interest on advances, loans, overdrafts, bonds and bills, deposits, interest components of finance leases repayments and amortisation of discounts or premiums in relation to borrowings.</w:t>
      </w:r>
    </w:p>
    <w:p w14:paraId="228564F3" w14:textId="77777777" w:rsidR="00FA7EBF" w:rsidRPr="00194D78" w:rsidRDefault="00FA7EBF" w:rsidP="00CA66FD">
      <w:pPr>
        <w:pStyle w:val="ARfinbody"/>
      </w:pPr>
      <w:r w:rsidRPr="002F137A">
        <w:rPr>
          <w:rStyle w:val="Strong"/>
          <w:bCs w:val="0"/>
        </w:rPr>
        <w:t>Interest income</w:t>
      </w:r>
      <w:r w:rsidRPr="00194D78">
        <w:t xml:space="preserve"> includes unwinding over time of discounts on financial assets and interest received on bank term deposits and other investments.</w:t>
      </w:r>
    </w:p>
    <w:p w14:paraId="727E915F" w14:textId="77777777" w:rsidR="00FA7EBF" w:rsidRPr="00194D78" w:rsidRDefault="00FA7EBF" w:rsidP="00CA66FD">
      <w:pPr>
        <w:pStyle w:val="ARfinbody"/>
      </w:pPr>
      <w:r w:rsidRPr="002F137A">
        <w:rPr>
          <w:rStyle w:val="Strong"/>
          <w:bCs w:val="0"/>
        </w:rPr>
        <w:t>Investment properties</w:t>
      </w:r>
      <w:r w:rsidRPr="00194D78">
        <w:t xml:space="preserve"> are properties held to earn rentals or for capital appreciation or both. Investment properties exclude properties held to meet service delivery objectives of the State of Victoria.</w:t>
      </w:r>
    </w:p>
    <w:p w14:paraId="7C9BD435" w14:textId="77777777" w:rsidR="00FA7EBF" w:rsidRPr="00194D78" w:rsidRDefault="00FA7EBF" w:rsidP="00CA66FD">
      <w:pPr>
        <w:pStyle w:val="ARfinbody"/>
      </w:pPr>
      <w:r w:rsidRPr="002F137A">
        <w:rPr>
          <w:rStyle w:val="Strong"/>
          <w:bCs w:val="0"/>
        </w:rPr>
        <w:t>Joint ventures</w:t>
      </w:r>
      <w:r w:rsidRPr="00194D78">
        <w:t xml:space="preserve"> are contractual arrangements between the department and one or more other parties to undertake an economic activity that is subject to joint control and have rights to the net assets of the arrangement. Joint control only exists when the strategic financial and operating decisions relating to the activity require the unanimous consent of the parties sharing control (the venturers).</w:t>
      </w:r>
    </w:p>
    <w:p w14:paraId="0128E846" w14:textId="77777777" w:rsidR="00FA7EBF" w:rsidRPr="00194D78" w:rsidRDefault="00FA7EBF" w:rsidP="00CA66FD">
      <w:pPr>
        <w:pStyle w:val="ARfinbody"/>
      </w:pPr>
      <w:r w:rsidRPr="002F137A">
        <w:rPr>
          <w:rStyle w:val="Strong"/>
          <w:bCs w:val="0"/>
        </w:rPr>
        <w:t>Leases</w:t>
      </w:r>
      <w:r w:rsidRPr="00194D78">
        <w:t xml:space="preserve"> are rights to use an asset for an agreed period of time in exchange for payment. Leases are classified at their inception as either operating or finance leases based on the economic substance of the agreement so as to reflect the risks and rewards incidental to ownership. Leases of infrastructure, property, plant and equipment are classified as finance leases whenever the terms of the lease transfer substantially all the risks and rewards of ownership from the lessor to the lessee. All other leases are classified as operating leases.</w:t>
      </w:r>
    </w:p>
    <w:p w14:paraId="19637204" w14:textId="77777777" w:rsidR="00FA7EBF" w:rsidRPr="00194D78" w:rsidRDefault="00FA7EBF" w:rsidP="00CA66FD">
      <w:pPr>
        <w:pStyle w:val="ARfinbody"/>
      </w:pPr>
      <w:r w:rsidRPr="002F137A">
        <w:rPr>
          <w:rStyle w:val="Strong"/>
          <w:bCs w:val="0"/>
        </w:rPr>
        <w:t>Net acquisition of non-financial assets</w:t>
      </w:r>
      <w:r w:rsidRPr="00194D78">
        <w:t xml:space="preserve"> (from transactions) are purchases (and other acquisitions)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write-offs, impairment write-downs and revaluations.</w:t>
      </w:r>
    </w:p>
    <w:p w14:paraId="1719B9DB" w14:textId="77777777" w:rsidR="00FA7EBF" w:rsidRPr="00194D78" w:rsidRDefault="00FA7EBF" w:rsidP="00CA66FD">
      <w:pPr>
        <w:pStyle w:val="ARfinbody"/>
      </w:pPr>
      <w:r w:rsidRPr="002F137A">
        <w:rPr>
          <w:rStyle w:val="Strong"/>
          <w:bCs w:val="0"/>
        </w:rPr>
        <w:t>Net financial liabilities</w:t>
      </w:r>
      <w:r w:rsidRPr="00194D78">
        <w:t xml:space="preserve"> is calculated as liabilities less financial assets, other than equity in public non-financial corporations (PNFC) and public financial corporations (PFC). This measure is broader than net debt as it includes significant liabilities, other than borrowings (for example accrued employee liabilities such as superannuation and long service leave entitlements). For the PNFC and PFC sectors, it is equal to negative net financial worth.</w:t>
      </w:r>
    </w:p>
    <w:p w14:paraId="50FBC097" w14:textId="77777777" w:rsidR="00FA7EBF" w:rsidRPr="00194D78" w:rsidRDefault="00FA7EBF" w:rsidP="00CA66FD">
      <w:pPr>
        <w:pStyle w:val="ARfinbody"/>
      </w:pPr>
      <w:r w:rsidRPr="002F137A">
        <w:rPr>
          <w:rStyle w:val="Strong"/>
          <w:bCs w:val="0"/>
        </w:rPr>
        <w:t>Net financial worth</w:t>
      </w:r>
      <w:r w:rsidRPr="00194D78">
        <w:t xml:space="preserve"> is equal to financial assets minus liabilities. It is a broader measure than net debt as it incorporates provisions made (such as superannuation, but excluding depreciation and bad debts) as well as holdings of equity. Net financial worth includes all</w:t>
      </w:r>
      <w:r>
        <w:t> </w:t>
      </w:r>
      <w:r w:rsidRPr="00194D78">
        <w:t>classes of financial assets and liabilities, only some of which are included in net debt.</w:t>
      </w:r>
    </w:p>
    <w:p w14:paraId="651841A0" w14:textId="77777777" w:rsidR="00FA7EBF" w:rsidRPr="00194D78" w:rsidRDefault="00FA7EBF" w:rsidP="00CA66FD">
      <w:pPr>
        <w:pStyle w:val="ARfinbody"/>
      </w:pPr>
      <w:r w:rsidRPr="002F137A">
        <w:rPr>
          <w:rStyle w:val="Strong"/>
          <w:bCs w:val="0"/>
        </w:rPr>
        <w:t>Net operating balance</w:t>
      </w:r>
      <w:r w:rsidRPr="00194D78">
        <w:t xml:space="preserve"> or </w:t>
      </w:r>
      <w:r w:rsidRPr="002F137A">
        <w:rPr>
          <w:rStyle w:val="Strong"/>
          <w:bCs w:val="0"/>
        </w:rPr>
        <w:t>net result from transactions</w:t>
      </w:r>
      <w:r w:rsidRPr="002F137A">
        <w:t xml:space="preserve"> is a</w:t>
      </w:r>
      <w:r w:rsidRPr="00194D78">
        <w:t xml:space="preserve">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6E9A7455" w14:textId="77777777" w:rsidR="00FA7EBF" w:rsidRPr="00194D78" w:rsidRDefault="00FA7EBF" w:rsidP="00CA66FD">
      <w:pPr>
        <w:pStyle w:val="ARfinbody"/>
      </w:pPr>
      <w:r w:rsidRPr="002F137A">
        <w:rPr>
          <w:rStyle w:val="Strong"/>
          <w:bCs w:val="0"/>
        </w:rPr>
        <w:t>Net result</w:t>
      </w:r>
      <w:r w:rsidRPr="00194D78">
        <w:t xml:space="preserve"> is a measure of financial performance of the operations for the period. It is the net result of items of income, gains and expenses (including losses) recognised for the period, excluding those that are classified as other economic flows</w:t>
      </w:r>
      <w:r>
        <w:t xml:space="preserve"> – </w:t>
      </w:r>
      <w:r w:rsidRPr="00194D78">
        <w:t>other comprehensive income.</w:t>
      </w:r>
    </w:p>
    <w:p w14:paraId="366DDF95" w14:textId="77777777" w:rsidR="00FA7EBF" w:rsidRPr="00194D78" w:rsidRDefault="00FA7EBF" w:rsidP="00CA66FD">
      <w:pPr>
        <w:pStyle w:val="ARfinbody"/>
      </w:pPr>
      <w:r w:rsidRPr="002F137A">
        <w:rPr>
          <w:rStyle w:val="Strong"/>
          <w:bCs w:val="0"/>
        </w:rPr>
        <w:t>Net worth</w:t>
      </w:r>
      <w:r w:rsidRPr="00194D78">
        <w:t xml:space="preserve"> is calculated as assets less liabilities, which is an economic measure of wealth.</w:t>
      </w:r>
    </w:p>
    <w:p w14:paraId="302736F7" w14:textId="77777777" w:rsidR="00FA7EBF" w:rsidRPr="00194D78" w:rsidRDefault="00FA7EBF" w:rsidP="00CA66FD">
      <w:pPr>
        <w:pStyle w:val="ARfinbody"/>
      </w:pPr>
      <w:r w:rsidRPr="002F137A">
        <w:rPr>
          <w:rStyle w:val="Strong"/>
          <w:bCs w:val="0"/>
        </w:rPr>
        <w:t>Non-financial assets</w:t>
      </w:r>
      <w:r w:rsidRPr="00194D78">
        <w:t xml:space="preserve"> are all assets that are not financial assets. It includes inventories, land, buildings, plant and equipment, and intangible assets.</w:t>
      </w:r>
    </w:p>
    <w:p w14:paraId="6B74616B" w14:textId="77777777" w:rsidR="00FA7EBF" w:rsidRPr="00194D78" w:rsidRDefault="00FA7EBF" w:rsidP="00CA66FD">
      <w:pPr>
        <w:pStyle w:val="ARfinbody"/>
      </w:pPr>
      <w:r w:rsidRPr="002F137A">
        <w:rPr>
          <w:rStyle w:val="Strong"/>
          <w:bCs w:val="0"/>
        </w:rPr>
        <w:t>Non-financial public sector</w:t>
      </w:r>
      <w:r w:rsidRPr="00194D78">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14:paraId="6ACA2ED8" w14:textId="77777777" w:rsidR="00FA7EBF" w:rsidRPr="00194D78" w:rsidRDefault="00FA7EBF" w:rsidP="00CA66FD">
      <w:pPr>
        <w:pStyle w:val="ARfinbody"/>
      </w:pPr>
      <w:r w:rsidRPr="002F137A">
        <w:rPr>
          <w:rStyle w:val="Strong"/>
          <w:bCs w:val="0"/>
        </w:rPr>
        <w:t>Non-produced assets</w:t>
      </w:r>
      <w:r w:rsidRPr="00194D78">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w:t>
      </w:r>
    </w:p>
    <w:p w14:paraId="697400BD" w14:textId="77777777" w:rsidR="00FA7EBF" w:rsidRPr="00194D78" w:rsidRDefault="00FA7EBF" w:rsidP="00CA66FD">
      <w:pPr>
        <w:pStyle w:val="ARfinbody"/>
      </w:pPr>
      <w:r w:rsidRPr="002F137A">
        <w:rPr>
          <w:rStyle w:val="Strong"/>
          <w:bCs w:val="0"/>
        </w:rPr>
        <w:t>Operating result</w:t>
      </w:r>
      <w:r w:rsidRPr="002F137A">
        <w:t xml:space="preserve"> is </w:t>
      </w:r>
      <w:r w:rsidRPr="00194D78">
        <w:t xml:space="preserve">a measure of financial performance of the operations for the period. It is the net result of items of revenue, gains and expenses (including losses) recognised for the period, excluding those that are classified as </w:t>
      </w:r>
      <w:r>
        <w:t>‘</w:t>
      </w:r>
      <w:r w:rsidRPr="00194D78">
        <w:t>other non-owner movements in equity</w:t>
      </w:r>
      <w:r>
        <w:t>’</w:t>
      </w:r>
      <w:r w:rsidRPr="00194D78">
        <w:t xml:space="preserve">. Refer also </w:t>
      </w:r>
      <w:r>
        <w:t>‘</w:t>
      </w:r>
      <w:r w:rsidRPr="00194D78">
        <w:t>net result</w:t>
      </w:r>
      <w:r>
        <w:t>’</w:t>
      </w:r>
      <w:r w:rsidRPr="00194D78">
        <w:t>.</w:t>
      </w:r>
    </w:p>
    <w:p w14:paraId="224D3EA2" w14:textId="77777777" w:rsidR="00FA7EBF" w:rsidRPr="00194D78" w:rsidRDefault="00FA7EBF" w:rsidP="00CA66FD">
      <w:pPr>
        <w:pStyle w:val="ARfinbody"/>
      </w:pPr>
      <w:r w:rsidRPr="002F137A">
        <w:rPr>
          <w:rStyle w:val="Strong"/>
          <w:bCs w:val="0"/>
        </w:rPr>
        <w:t>Other economic flows included in net result</w:t>
      </w:r>
      <w:r w:rsidRPr="00194D78">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actuarial gains and losses arising from defined benefit superannuation plans; fair value changes of financial instruments.</w:t>
      </w:r>
    </w:p>
    <w:p w14:paraId="08689CE1" w14:textId="77777777" w:rsidR="00FA7EBF" w:rsidRPr="00194D78" w:rsidRDefault="00FA7EBF" w:rsidP="00CA66FD">
      <w:pPr>
        <w:pStyle w:val="ARfinbody"/>
      </w:pPr>
      <w:r w:rsidRPr="002F137A">
        <w:rPr>
          <w:rStyle w:val="Strong"/>
          <w:bCs w:val="0"/>
        </w:rPr>
        <w:t>Other economic flows – other comprehensive income</w:t>
      </w:r>
      <w:r w:rsidRPr="00194D78">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305716EA" w14:textId="77777777" w:rsidR="00FA7EBF" w:rsidRPr="00194D78" w:rsidRDefault="00FA7EBF" w:rsidP="00CA66FD">
      <w:pPr>
        <w:pStyle w:val="ARfinbody"/>
      </w:pPr>
      <w:r w:rsidRPr="002F137A">
        <w:rPr>
          <w:rStyle w:val="Strong"/>
          <w:bCs w:val="0"/>
        </w:rPr>
        <w:t>Other operating expenses</w:t>
      </w:r>
      <w:r w:rsidRPr="00194D78">
        <w:t xml:space="preserve"> generally represent cost of goods sold and the day to day running costs, including maintenance costs, incurred in the normal operations of the department.</w:t>
      </w:r>
    </w:p>
    <w:p w14:paraId="1816EB2C" w14:textId="77777777" w:rsidR="00FA7EBF" w:rsidRPr="00194D78" w:rsidRDefault="00FA7EBF" w:rsidP="00CA66FD">
      <w:pPr>
        <w:pStyle w:val="ARfinbody"/>
      </w:pPr>
      <w:r w:rsidRPr="002F137A">
        <w:rPr>
          <w:rStyle w:val="Strong"/>
          <w:bCs w:val="0"/>
        </w:rPr>
        <w:t>Payables</w:t>
      </w:r>
      <w:r w:rsidRPr="002F137A">
        <w:t xml:space="preserve"> include</w:t>
      </w:r>
      <w:r w:rsidRPr="00194D78">
        <w:t>s short- and long-term accounts payable, grants, taxes and interest payable.</w:t>
      </w:r>
    </w:p>
    <w:p w14:paraId="4248BA7F" w14:textId="77777777" w:rsidR="00FA7EBF" w:rsidRPr="00194D78" w:rsidRDefault="00FA7EBF" w:rsidP="00CA66FD">
      <w:pPr>
        <w:pStyle w:val="ARfinbody"/>
      </w:pPr>
      <w:r w:rsidRPr="002F137A">
        <w:rPr>
          <w:rStyle w:val="Strong"/>
          <w:bCs w:val="0"/>
        </w:rPr>
        <w:t>Produced assets</w:t>
      </w:r>
      <w:r w:rsidRPr="00194D78">
        <w:t xml:space="preserve"> include buildings, plant and equipment, inventories, cultivated assets and certain intangible assets. Intangible produced assets may include computer software, motion picture films and research and development costs (which does not include the</w:t>
      </w:r>
      <w:r>
        <w:t> </w:t>
      </w:r>
      <w:r w:rsidRPr="00194D78">
        <w:t>start-up costs associated with capital projects).</w:t>
      </w:r>
    </w:p>
    <w:p w14:paraId="7B2766DC" w14:textId="77777777" w:rsidR="00FA7EBF" w:rsidRPr="00194D78" w:rsidRDefault="00FA7EBF" w:rsidP="00CA66FD">
      <w:pPr>
        <w:pStyle w:val="ARfinbody"/>
      </w:pPr>
      <w:r w:rsidRPr="002F137A">
        <w:rPr>
          <w:rStyle w:val="Strong"/>
          <w:bCs w:val="0"/>
        </w:rPr>
        <w:t>Public financial corporations</w:t>
      </w:r>
      <w:r w:rsidRPr="00194D78">
        <w:t xml:space="preserve"> (PFC) are bodies primarily engaged in the provision of financial intermediation services or auxiliary financial services. They are able to incur financial liabilities on their own account (for example taking deposits, issuing securities or providing insurance services). Estimates are not published for the public financial corporation sector.</w:t>
      </w:r>
    </w:p>
    <w:p w14:paraId="31A20620" w14:textId="77777777" w:rsidR="00FA7EBF" w:rsidRPr="00194D78" w:rsidRDefault="00FA7EBF" w:rsidP="00CA66FD">
      <w:pPr>
        <w:pStyle w:val="ARfinbody"/>
      </w:pPr>
      <w:r w:rsidRPr="002F137A">
        <w:rPr>
          <w:rStyle w:val="Strong"/>
          <w:bCs w:val="0"/>
        </w:rPr>
        <w:t>Public non-financial corporation</w:t>
      </w:r>
      <w:r w:rsidRPr="00194D78">
        <w:t xml:space="preserve"> (PNFC) sector comprises bodies mainly engaged in the production of goods and services (of a </w:t>
      </w:r>
      <w:r>
        <w:br/>
      </w:r>
      <w:r w:rsidRPr="00194D78">
        <w:t>non-financial nature) for sale in the market place at prices that aim to recover most of the costs involved (for example water and port authorities). In general, PNFCs are legally distinguishable from the governments which own them.</w:t>
      </w:r>
    </w:p>
    <w:p w14:paraId="2FD1CB60" w14:textId="77777777" w:rsidR="00FA7EBF" w:rsidRPr="00194D78" w:rsidRDefault="00FA7EBF" w:rsidP="00CA66FD">
      <w:pPr>
        <w:pStyle w:val="ARfinbody"/>
      </w:pPr>
      <w:r w:rsidRPr="002F137A">
        <w:rPr>
          <w:rStyle w:val="Strong"/>
          <w:bCs w:val="0"/>
        </w:rPr>
        <w:t>Receivables</w:t>
      </w:r>
      <w:r w:rsidRPr="002F137A">
        <w:t xml:space="preserve"> includes am</w:t>
      </w:r>
      <w:r w:rsidRPr="00194D78">
        <w:t>ounts owing from government through appropriation receivable, short and long term accounts receivable, accrued investment income, grants, taxes and interest receivable.</w:t>
      </w:r>
    </w:p>
    <w:p w14:paraId="1E73DBDF" w14:textId="77777777" w:rsidR="00FA7EBF" w:rsidRPr="00194D78" w:rsidRDefault="00FA7EBF" w:rsidP="00CA66FD">
      <w:pPr>
        <w:pStyle w:val="ARfinbody"/>
      </w:pPr>
      <w:r w:rsidRPr="002F137A">
        <w:rPr>
          <w:rStyle w:val="Strong"/>
          <w:bCs w:val="0"/>
        </w:rPr>
        <w:t>Rental income and income from services</w:t>
      </w:r>
      <w:r w:rsidRPr="00194D78">
        <w:t xml:space="preserve"> includes rental income under operating leases and income from the provision of services.</w:t>
      </w:r>
    </w:p>
    <w:p w14:paraId="5DC6C41D" w14:textId="77777777" w:rsidR="00FA7EBF" w:rsidRPr="00194D78" w:rsidRDefault="00FA7EBF" w:rsidP="00CA66FD">
      <w:pPr>
        <w:pStyle w:val="ARfinbody"/>
      </w:pPr>
      <w:r w:rsidRPr="002F137A">
        <w:rPr>
          <w:rStyle w:val="Strong"/>
          <w:bCs w:val="0"/>
        </w:rPr>
        <w:t>Transactions</w:t>
      </w:r>
      <w:r w:rsidRPr="00194D78">
        <w:t xml:space="preserve">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(for example assets provided/given free of charge or for nominal consideration) or where the final consideration is cash. In simple terms, transactions arise from the policy decisions of the government.</w:t>
      </w:r>
    </w:p>
    <w:p w14:paraId="2D5E7F07" w14:textId="77777777" w:rsidR="00FA7EBF" w:rsidRPr="00194D78" w:rsidRDefault="00FA7EBF" w:rsidP="00CA66FD">
      <w:pPr>
        <w:pStyle w:val="Heading4"/>
        <w:rPr>
          <w:lang w:eastAsia="en-AU"/>
        </w:rPr>
      </w:pPr>
      <w:r w:rsidRPr="00194D78">
        <w:rPr>
          <w:lang w:eastAsia="en-AU"/>
        </w:rPr>
        <w:t>9.15 Style conventions</w:t>
      </w:r>
    </w:p>
    <w:p w14:paraId="1D3BF800" w14:textId="77777777" w:rsidR="00FA7EBF" w:rsidRPr="00194D78" w:rsidRDefault="00FA7EBF" w:rsidP="00CA66FD">
      <w:pPr>
        <w:pStyle w:val="Heading5"/>
        <w:spacing w:before="0"/>
        <w:rPr>
          <w:lang w:eastAsia="en-AU"/>
        </w:rPr>
      </w:pPr>
      <w:r w:rsidRPr="00194D78">
        <w:rPr>
          <w:lang w:eastAsia="en-AU"/>
        </w:rPr>
        <w:t>Style conventions</w:t>
      </w:r>
    </w:p>
    <w:p w14:paraId="20A5E447" w14:textId="77777777" w:rsidR="00FA7EBF" w:rsidRPr="00194D78" w:rsidRDefault="00FA7EBF" w:rsidP="00CA66FD">
      <w:pPr>
        <w:pStyle w:val="ARfinbody"/>
      </w:pPr>
      <w:r w:rsidRPr="00194D78">
        <w:t>Figures in the tables and in the text have been rounded. Discrepancies in tables between totals and sums of components reflect rounding. Percentage variations in all tables are based on the underlying unrounded amounts.</w:t>
      </w:r>
    </w:p>
    <w:p w14:paraId="17334E30" w14:textId="77777777" w:rsidR="00FA7EBF" w:rsidRPr="00194D78" w:rsidRDefault="00FA7EBF" w:rsidP="00CA66FD">
      <w:pPr>
        <w:pStyle w:val="ARfinbody"/>
      </w:pPr>
      <w:r w:rsidRPr="00194D78">
        <w:t>The notation used in the tables is as follows:</w:t>
      </w:r>
    </w:p>
    <w:p w14:paraId="264B4B79" w14:textId="77777777" w:rsidR="00FA7EBF" w:rsidRPr="00194D78" w:rsidRDefault="00FA7EBF" w:rsidP="00CA66FD">
      <w:pPr>
        <w:pStyle w:val="ARfinbullet1"/>
        <w:numPr>
          <w:ilvl w:val="0"/>
          <w:numId w:val="4"/>
        </w:numPr>
      </w:pPr>
      <w:r w:rsidRPr="00194D78">
        <w:t>zero, or rounded to zero</w:t>
      </w:r>
    </w:p>
    <w:p w14:paraId="319B381A" w14:textId="77777777" w:rsidR="00FA7EBF" w:rsidRPr="00194D78" w:rsidRDefault="00FA7EBF" w:rsidP="00CA66FD">
      <w:pPr>
        <w:pStyle w:val="ARfinbullet1"/>
        <w:numPr>
          <w:ilvl w:val="0"/>
          <w:numId w:val="4"/>
        </w:numPr>
      </w:pPr>
      <w:r w:rsidRPr="00194D78">
        <w:t>(xxx.x) negative numbers</w:t>
      </w:r>
    </w:p>
    <w:p w14:paraId="2AC3FA70" w14:textId="77777777" w:rsidR="00FA7EBF" w:rsidRPr="00194D78" w:rsidRDefault="00FA7EBF" w:rsidP="00CA66FD">
      <w:pPr>
        <w:pStyle w:val="ARfinbullet1"/>
        <w:numPr>
          <w:ilvl w:val="0"/>
          <w:numId w:val="4"/>
        </w:numPr>
      </w:pPr>
      <w:r w:rsidRPr="00194D78">
        <w:t>20xx year end</w:t>
      </w:r>
    </w:p>
    <w:p w14:paraId="3B6B6EFC" w14:textId="77777777" w:rsidR="00FA7EBF" w:rsidRPr="00194D78" w:rsidRDefault="00FA7EBF" w:rsidP="00CA66FD">
      <w:pPr>
        <w:pStyle w:val="ARfinbullet1"/>
        <w:numPr>
          <w:ilvl w:val="0"/>
          <w:numId w:val="4"/>
        </w:numPr>
      </w:pPr>
      <w:r w:rsidRPr="00194D78">
        <w:t>20xx</w:t>
      </w:r>
      <w:r>
        <w:t>–</w:t>
      </w:r>
      <w:r w:rsidRPr="00194D78">
        <w:t>xx year period</w:t>
      </w:r>
      <w:r>
        <w:t>.</w:t>
      </w:r>
    </w:p>
    <w:p w14:paraId="238D7A49" w14:textId="77777777" w:rsidR="00FA7EBF" w:rsidRDefault="00FA7EBF" w:rsidP="00CA66FD">
      <w:pPr>
        <w:pStyle w:val="ARfinbody"/>
        <w:rPr>
          <w:rFonts w:eastAsia="Times" w:cs="Arial"/>
          <w:szCs w:val="24"/>
          <w:lang w:eastAsia="en-US"/>
        </w:rPr>
      </w:pPr>
      <w:r w:rsidRPr="00194D78">
        <w:t>The financial statements and notes are presented based on the illustration for a government department in the 201</w:t>
      </w:r>
      <w:r>
        <w:t>8–</w:t>
      </w:r>
      <w:r w:rsidRPr="00194D78">
        <w:t>19 model report for</w:t>
      </w:r>
      <w:r>
        <w:t> </w:t>
      </w:r>
      <w:r w:rsidRPr="00194D78">
        <w:t>Victorian Government departments. The presentation of other disclosures is generally consistent with the other disclosures made in earlier publications of the department</w:t>
      </w:r>
      <w:r>
        <w:t>’</w:t>
      </w:r>
      <w:r w:rsidRPr="00194D78">
        <w:t>s annual reports.</w:t>
      </w:r>
    </w:p>
    <w:bookmarkEnd w:id="216"/>
    <w:p w14:paraId="059919F7" w14:textId="77777777" w:rsidR="00FA7EBF" w:rsidRDefault="00FA7EBF" w:rsidP="00475BEE">
      <w:pPr>
        <w:pStyle w:val="ARbody"/>
        <w:sectPr w:rsidR="00FA7EBF" w:rsidSect="00D86186">
          <w:footerReference w:type="even" r:id="rId198"/>
          <w:endnotePr>
            <w:numFmt w:val="decimal"/>
          </w:endnotePr>
          <w:pgSz w:w="11900" w:h="16840" w:code="9"/>
          <w:pgMar w:top="1531" w:right="851" w:bottom="851" w:left="1418" w:header="510" w:footer="340" w:gutter="0"/>
          <w:cols w:space="454"/>
        </w:sectPr>
      </w:pPr>
    </w:p>
    <w:p w14:paraId="5D85CB3B" w14:textId="77777777" w:rsidR="00FA7EBF" w:rsidRDefault="00FA7EBF" w:rsidP="004701C9">
      <w:pPr>
        <w:pStyle w:val="Heading1"/>
      </w:pPr>
      <w:bookmarkStart w:id="279" w:name="_Toc21682726"/>
      <w:r>
        <w:rPr>
          <w:noProof/>
          <w:lang w:eastAsia="en-AU"/>
        </w:rPr>
        <w:drawing>
          <wp:anchor distT="0" distB="0" distL="114300" distR="114300" simplePos="0" relativeHeight="251670528" behindDoc="1" locked="1" layoutInCell="1" allowOverlap="1" wp14:anchorId="2015D24E" wp14:editId="0031CC50">
            <wp:simplePos x="0" y="0"/>
            <wp:positionH relativeFrom="page">
              <wp:align>right</wp:align>
            </wp:positionH>
            <wp:positionV relativeFrom="page">
              <wp:align>top</wp:align>
            </wp:positionV>
            <wp:extent cx="3132000" cy="2698920"/>
            <wp:effectExtent l="0" t="0" r="0" b="635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1907417_DHHS Annual Report Section start 87x75m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2000" cy="2698920"/>
                    </a:xfrm>
                    <a:prstGeom prst="rect">
                      <a:avLst/>
                    </a:prstGeom>
                  </pic:spPr>
                </pic:pic>
              </a:graphicData>
            </a:graphic>
            <wp14:sizeRelH relativeFrom="page">
              <wp14:pctWidth>0</wp14:pctWidth>
            </wp14:sizeRelH>
            <wp14:sizeRelV relativeFrom="page">
              <wp14:pctHeight>0</wp14:pctHeight>
            </wp14:sizeRelV>
          </wp:anchor>
        </w:drawing>
      </w:r>
      <w:r w:rsidRPr="007939DD">
        <w:t>Appendices</w:t>
      </w:r>
      <w:bookmarkEnd w:id="217"/>
      <w:bookmarkEnd w:id="279"/>
    </w:p>
    <w:p w14:paraId="70D2809B" w14:textId="77777777" w:rsidR="00FA7EBF" w:rsidRDefault="00FA7EBF" w:rsidP="003B52B3">
      <w:pPr>
        <w:pStyle w:val="ARbody"/>
        <w:sectPr w:rsidR="00FA7EBF" w:rsidSect="004B3C07">
          <w:endnotePr>
            <w:numFmt w:val="decimal"/>
          </w:endnotePr>
          <w:pgSz w:w="11900" w:h="16840" w:code="9"/>
          <w:pgMar w:top="3771" w:right="851" w:bottom="851" w:left="1418" w:header="510" w:footer="340" w:gutter="0"/>
          <w:cols w:space="454"/>
        </w:sectPr>
      </w:pPr>
    </w:p>
    <w:p w14:paraId="569CA2E8" w14:textId="3C7E2519" w:rsidR="00C74ABC" w:rsidRDefault="00FA7EBF">
      <w:pPr>
        <w:pStyle w:val="TOC1"/>
        <w:rPr>
          <w:rFonts w:asciiTheme="minorHAnsi" w:hAnsiTheme="minorHAnsi"/>
          <w:sz w:val="22"/>
          <w:szCs w:val="22"/>
          <w:lang w:eastAsia="en-AU"/>
        </w:rPr>
      </w:pPr>
      <w:r w:rsidRPr="007939DD">
        <w:rPr>
          <w:noProof w:val="0"/>
          <w:color w:val="53565A"/>
          <w:sz w:val="22"/>
        </w:rPr>
        <w:fldChar w:fldCharType="begin"/>
      </w:r>
      <w:r w:rsidRPr="007939DD">
        <w:rPr>
          <w:noProof w:val="0"/>
        </w:rPr>
        <w:instrText xml:space="preserve"> TOC \b Appendices \h \z \u \t "Heading 2,1" </w:instrText>
      </w:r>
      <w:r w:rsidRPr="007939DD">
        <w:rPr>
          <w:noProof w:val="0"/>
          <w:color w:val="53565A"/>
          <w:sz w:val="22"/>
        </w:rPr>
        <w:fldChar w:fldCharType="separate"/>
      </w:r>
      <w:hyperlink w:anchor="_Toc20409064" w:history="1">
        <w:r w:rsidR="00C74ABC" w:rsidRPr="00EE6298">
          <w:rPr>
            <w:rStyle w:val="Hyperlink"/>
          </w:rPr>
          <w:t>Portfolio budget outcomes</w:t>
        </w:r>
        <w:r w:rsidR="00C74ABC">
          <w:rPr>
            <w:webHidden/>
          </w:rPr>
          <w:tab/>
        </w:r>
        <w:r w:rsidR="00C74ABC">
          <w:rPr>
            <w:webHidden/>
          </w:rPr>
          <w:fldChar w:fldCharType="begin"/>
        </w:r>
        <w:r w:rsidR="00C74ABC">
          <w:rPr>
            <w:webHidden/>
          </w:rPr>
          <w:instrText xml:space="preserve"> PAGEREF _Toc20409064 \h </w:instrText>
        </w:r>
        <w:r w:rsidR="00C74ABC">
          <w:rPr>
            <w:webHidden/>
          </w:rPr>
        </w:r>
        <w:r w:rsidR="00C74ABC">
          <w:rPr>
            <w:webHidden/>
          </w:rPr>
          <w:fldChar w:fldCharType="separate"/>
        </w:r>
        <w:r w:rsidR="000179F2">
          <w:rPr>
            <w:webHidden/>
          </w:rPr>
          <w:t>266</w:t>
        </w:r>
        <w:r w:rsidR="00C74ABC">
          <w:rPr>
            <w:webHidden/>
          </w:rPr>
          <w:fldChar w:fldCharType="end"/>
        </w:r>
      </w:hyperlink>
    </w:p>
    <w:p w14:paraId="52228E00" w14:textId="7A433863" w:rsidR="00C74ABC" w:rsidRDefault="00DE204B">
      <w:pPr>
        <w:pStyle w:val="TOC1"/>
        <w:rPr>
          <w:rFonts w:asciiTheme="minorHAnsi" w:hAnsiTheme="minorHAnsi"/>
          <w:sz w:val="22"/>
          <w:szCs w:val="22"/>
          <w:lang w:eastAsia="en-AU"/>
        </w:rPr>
      </w:pPr>
      <w:hyperlink w:anchor="_Toc20409065" w:history="1">
        <w:r w:rsidR="00C74ABC" w:rsidRPr="00EE6298">
          <w:rPr>
            <w:rStyle w:val="Hyperlink"/>
          </w:rPr>
          <w:t>Director of Housing</w:t>
        </w:r>
        <w:r w:rsidR="00C74ABC">
          <w:rPr>
            <w:webHidden/>
          </w:rPr>
          <w:tab/>
        </w:r>
        <w:r w:rsidR="00C74ABC">
          <w:rPr>
            <w:webHidden/>
          </w:rPr>
          <w:fldChar w:fldCharType="begin"/>
        </w:r>
        <w:r w:rsidR="00C74ABC">
          <w:rPr>
            <w:webHidden/>
          </w:rPr>
          <w:instrText xml:space="preserve"> PAGEREF _Toc20409065 \h </w:instrText>
        </w:r>
        <w:r w:rsidR="00C74ABC">
          <w:rPr>
            <w:webHidden/>
          </w:rPr>
        </w:r>
        <w:r w:rsidR="00C74ABC">
          <w:rPr>
            <w:webHidden/>
          </w:rPr>
          <w:fldChar w:fldCharType="separate"/>
        </w:r>
        <w:r w:rsidR="000179F2">
          <w:rPr>
            <w:webHidden/>
          </w:rPr>
          <w:t>277</w:t>
        </w:r>
        <w:r w:rsidR="00C74ABC">
          <w:rPr>
            <w:webHidden/>
          </w:rPr>
          <w:fldChar w:fldCharType="end"/>
        </w:r>
      </w:hyperlink>
    </w:p>
    <w:p w14:paraId="12AE692C" w14:textId="209A6882" w:rsidR="00C74ABC" w:rsidRDefault="00DE204B">
      <w:pPr>
        <w:pStyle w:val="TOC1"/>
        <w:rPr>
          <w:rFonts w:asciiTheme="minorHAnsi" w:hAnsiTheme="minorHAnsi"/>
          <w:sz w:val="22"/>
          <w:szCs w:val="22"/>
          <w:lang w:eastAsia="en-AU"/>
        </w:rPr>
      </w:pPr>
      <w:hyperlink w:anchor="_Toc20409066" w:history="1">
        <w:r w:rsidR="00C74ABC" w:rsidRPr="00EE6298">
          <w:rPr>
            <w:rStyle w:val="Hyperlink"/>
          </w:rPr>
          <w:t>Capital projects reaching practical completion during the financial year ended 30 June 2019</w:t>
        </w:r>
        <w:r w:rsidR="00C74ABC">
          <w:rPr>
            <w:webHidden/>
          </w:rPr>
          <w:tab/>
        </w:r>
        <w:r w:rsidR="00C74ABC">
          <w:rPr>
            <w:webHidden/>
          </w:rPr>
          <w:fldChar w:fldCharType="begin"/>
        </w:r>
        <w:r w:rsidR="00C74ABC">
          <w:rPr>
            <w:webHidden/>
          </w:rPr>
          <w:instrText xml:space="preserve"> PAGEREF _Toc20409066 \h </w:instrText>
        </w:r>
        <w:r w:rsidR="00C74ABC">
          <w:rPr>
            <w:webHidden/>
          </w:rPr>
        </w:r>
        <w:r w:rsidR="00C74ABC">
          <w:rPr>
            <w:webHidden/>
          </w:rPr>
          <w:fldChar w:fldCharType="separate"/>
        </w:r>
        <w:r w:rsidR="000179F2">
          <w:rPr>
            <w:webHidden/>
          </w:rPr>
          <w:t>281</w:t>
        </w:r>
        <w:r w:rsidR="00C74ABC">
          <w:rPr>
            <w:webHidden/>
          </w:rPr>
          <w:fldChar w:fldCharType="end"/>
        </w:r>
      </w:hyperlink>
    </w:p>
    <w:p w14:paraId="4805884A" w14:textId="5E723224" w:rsidR="00C74ABC" w:rsidRDefault="00DE204B">
      <w:pPr>
        <w:pStyle w:val="TOC1"/>
        <w:rPr>
          <w:rFonts w:asciiTheme="minorHAnsi" w:hAnsiTheme="minorHAnsi"/>
          <w:sz w:val="22"/>
          <w:szCs w:val="22"/>
          <w:lang w:eastAsia="en-AU"/>
        </w:rPr>
      </w:pPr>
      <w:hyperlink w:anchor="_Toc20409067" w:history="1">
        <w:r w:rsidR="00C74ABC" w:rsidRPr="00EE6298">
          <w:rPr>
            <w:rStyle w:val="Hyperlink"/>
          </w:rPr>
          <w:t>Capital projects reaching financial completion during the financial year ended 30 June 2019</w:t>
        </w:r>
        <w:r w:rsidR="00C74ABC">
          <w:rPr>
            <w:webHidden/>
          </w:rPr>
          <w:tab/>
        </w:r>
        <w:r w:rsidR="00C74ABC">
          <w:rPr>
            <w:webHidden/>
          </w:rPr>
          <w:fldChar w:fldCharType="begin"/>
        </w:r>
        <w:r w:rsidR="00C74ABC">
          <w:rPr>
            <w:webHidden/>
          </w:rPr>
          <w:instrText xml:space="preserve"> PAGEREF _Toc20409067 \h </w:instrText>
        </w:r>
        <w:r w:rsidR="00C74ABC">
          <w:rPr>
            <w:webHidden/>
          </w:rPr>
        </w:r>
        <w:r w:rsidR="00C74ABC">
          <w:rPr>
            <w:webHidden/>
          </w:rPr>
          <w:fldChar w:fldCharType="separate"/>
        </w:r>
        <w:r w:rsidR="000179F2">
          <w:rPr>
            <w:webHidden/>
          </w:rPr>
          <w:t>282</w:t>
        </w:r>
        <w:r w:rsidR="00C74ABC">
          <w:rPr>
            <w:webHidden/>
          </w:rPr>
          <w:fldChar w:fldCharType="end"/>
        </w:r>
      </w:hyperlink>
    </w:p>
    <w:p w14:paraId="174A476B" w14:textId="2D65FEEE" w:rsidR="00C74ABC" w:rsidRDefault="00DE204B">
      <w:pPr>
        <w:pStyle w:val="TOC1"/>
        <w:rPr>
          <w:rFonts w:asciiTheme="minorHAnsi" w:hAnsiTheme="minorHAnsi"/>
          <w:sz w:val="22"/>
          <w:szCs w:val="22"/>
          <w:lang w:eastAsia="en-AU"/>
        </w:rPr>
      </w:pPr>
      <w:hyperlink w:anchor="_Toc20409068" w:history="1">
        <w:r w:rsidR="00C74ABC" w:rsidRPr="00EE6298">
          <w:rPr>
            <w:rStyle w:val="Hyperlink"/>
          </w:rPr>
          <w:t>Disclosure index</w:t>
        </w:r>
        <w:r w:rsidR="00C74ABC">
          <w:rPr>
            <w:webHidden/>
          </w:rPr>
          <w:tab/>
        </w:r>
        <w:r w:rsidR="00C74ABC">
          <w:rPr>
            <w:webHidden/>
          </w:rPr>
          <w:fldChar w:fldCharType="begin"/>
        </w:r>
        <w:r w:rsidR="00C74ABC">
          <w:rPr>
            <w:webHidden/>
          </w:rPr>
          <w:instrText xml:space="preserve"> PAGEREF _Toc20409068 \h </w:instrText>
        </w:r>
        <w:r w:rsidR="00C74ABC">
          <w:rPr>
            <w:webHidden/>
          </w:rPr>
        </w:r>
        <w:r w:rsidR="00C74ABC">
          <w:rPr>
            <w:webHidden/>
          </w:rPr>
          <w:fldChar w:fldCharType="separate"/>
        </w:r>
        <w:r w:rsidR="000179F2">
          <w:rPr>
            <w:webHidden/>
          </w:rPr>
          <w:t>283</w:t>
        </w:r>
        <w:r w:rsidR="00C74ABC">
          <w:rPr>
            <w:webHidden/>
          </w:rPr>
          <w:fldChar w:fldCharType="end"/>
        </w:r>
      </w:hyperlink>
    </w:p>
    <w:p w14:paraId="17A280C2" w14:textId="36780DD3" w:rsidR="00C74ABC" w:rsidRDefault="00DE204B">
      <w:pPr>
        <w:pStyle w:val="TOC1"/>
        <w:rPr>
          <w:rFonts w:asciiTheme="minorHAnsi" w:hAnsiTheme="minorHAnsi"/>
          <w:sz w:val="22"/>
          <w:szCs w:val="22"/>
          <w:lang w:eastAsia="en-AU"/>
        </w:rPr>
      </w:pPr>
      <w:hyperlink w:anchor="_Toc20409069" w:history="1">
        <w:r w:rsidR="00C74ABC" w:rsidRPr="00EE6298">
          <w:rPr>
            <w:rStyle w:val="Hyperlink"/>
          </w:rPr>
          <w:t>Additional departmental information available on request</w:t>
        </w:r>
        <w:r w:rsidR="00C74ABC">
          <w:rPr>
            <w:webHidden/>
          </w:rPr>
          <w:tab/>
        </w:r>
        <w:r w:rsidR="00C74ABC">
          <w:rPr>
            <w:webHidden/>
          </w:rPr>
          <w:fldChar w:fldCharType="begin"/>
        </w:r>
        <w:r w:rsidR="00C74ABC">
          <w:rPr>
            <w:webHidden/>
          </w:rPr>
          <w:instrText xml:space="preserve"> PAGEREF _Toc20409069 \h </w:instrText>
        </w:r>
        <w:r w:rsidR="00C74ABC">
          <w:rPr>
            <w:webHidden/>
          </w:rPr>
        </w:r>
        <w:r w:rsidR="00C74ABC">
          <w:rPr>
            <w:webHidden/>
          </w:rPr>
          <w:fldChar w:fldCharType="separate"/>
        </w:r>
        <w:r w:rsidR="000179F2">
          <w:rPr>
            <w:webHidden/>
          </w:rPr>
          <w:t>286</w:t>
        </w:r>
        <w:r w:rsidR="00C74ABC">
          <w:rPr>
            <w:webHidden/>
          </w:rPr>
          <w:fldChar w:fldCharType="end"/>
        </w:r>
      </w:hyperlink>
    </w:p>
    <w:p w14:paraId="50323E62" w14:textId="77777777" w:rsidR="00FA7EBF" w:rsidRPr="007939DD" w:rsidRDefault="00FA7EBF" w:rsidP="005534AA">
      <w:pPr>
        <w:pStyle w:val="ARbody"/>
      </w:pPr>
      <w:r w:rsidRPr="007939DD">
        <w:fldChar w:fldCharType="end"/>
      </w:r>
    </w:p>
    <w:p w14:paraId="32902060" w14:textId="77777777" w:rsidR="00FA7EBF" w:rsidRDefault="00FA7EBF">
      <w:pPr>
        <w:sectPr w:rsidR="00FA7EBF" w:rsidSect="00084BD7">
          <w:endnotePr>
            <w:numFmt w:val="decimal"/>
          </w:endnotePr>
          <w:type w:val="continuous"/>
          <w:pgSz w:w="11900" w:h="16840" w:code="9"/>
          <w:pgMar w:top="1985" w:right="851" w:bottom="851" w:left="1418" w:header="510" w:footer="340" w:gutter="0"/>
          <w:cols w:space="454"/>
        </w:sectPr>
      </w:pPr>
    </w:p>
    <w:p w14:paraId="5E36D67E" w14:textId="77777777" w:rsidR="00FA7EBF" w:rsidRPr="007939DD" w:rsidRDefault="00FA7EBF" w:rsidP="00504132">
      <w:pPr>
        <w:pStyle w:val="Heading2"/>
        <w:spacing w:before="0" w:after="300"/>
      </w:pPr>
      <w:bookmarkStart w:id="280" w:name="_Ref492895066"/>
      <w:bookmarkStart w:id="281" w:name="_Ref492905784"/>
      <w:bookmarkStart w:id="282" w:name="_Toc493164810"/>
      <w:bookmarkStart w:id="283" w:name="_Toc520974720"/>
      <w:bookmarkStart w:id="284" w:name="_Toc20409064"/>
      <w:bookmarkStart w:id="285" w:name="Appendices"/>
      <w:r w:rsidRPr="007939DD">
        <w:t>Portfolio budget outcomes</w:t>
      </w:r>
      <w:bookmarkEnd w:id="280"/>
      <w:bookmarkEnd w:id="281"/>
      <w:bookmarkEnd w:id="282"/>
      <w:bookmarkEnd w:id="283"/>
      <w:bookmarkEnd w:id="284"/>
    </w:p>
    <w:p w14:paraId="78CF94E2" w14:textId="77777777" w:rsidR="00FA7EBF" w:rsidRPr="007939DD" w:rsidRDefault="00FA7EBF" w:rsidP="004701C9">
      <w:pPr>
        <w:pStyle w:val="ARbody"/>
        <w:sectPr w:rsidR="00FA7EBF" w:rsidRPr="007939DD" w:rsidSect="00D9619A">
          <w:endnotePr>
            <w:numFmt w:val="decimal"/>
          </w:endnotePr>
          <w:type w:val="nextColumn"/>
          <w:pgSz w:w="11900" w:h="16840" w:code="9"/>
          <w:pgMar w:top="1985" w:right="851" w:bottom="851" w:left="1418" w:header="510" w:footer="340" w:gutter="0"/>
          <w:cols w:space="454"/>
        </w:sectPr>
      </w:pPr>
    </w:p>
    <w:p w14:paraId="4E8F9EA2" w14:textId="77777777" w:rsidR="00FA7EBF" w:rsidRDefault="00FA7EBF" w:rsidP="003075FD">
      <w:pPr>
        <w:pStyle w:val="ARbody"/>
      </w:pPr>
      <w:bookmarkStart w:id="286" w:name="_Toc462577199"/>
      <w:bookmarkStart w:id="287" w:name="_Toc520974721"/>
      <w:r>
        <w:t xml:space="preserve">The portfolio budget outcomes provide a comparison between the actual financial statements of all general government-sector entities within the portfolio and the forecast financial information published in the Budget Paper No. 5 </w:t>
      </w:r>
      <w:r>
        <w:rPr>
          <w:i/>
        </w:rPr>
        <w:t>2018–19</w:t>
      </w:r>
      <w:r>
        <w:t xml:space="preserve"> </w:t>
      </w:r>
      <w:r>
        <w:rPr>
          <w:i/>
        </w:rPr>
        <w:t>Statement of Finances</w:t>
      </w:r>
      <w:r>
        <w:t xml:space="preserve"> (BP5).</w:t>
      </w:r>
    </w:p>
    <w:p w14:paraId="76C5827E" w14:textId="77777777" w:rsidR="00FA7EBF" w:rsidRDefault="00FA7EBF" w:rsidP="003075FD">
      <w:pPr>
        <w:pStyle w:val="ARbody"/>
      </w:pPr>
      <w:r>
        <w:t>The portfolio budget outcomes comprise the comprehensive operating statement, balance sheet, statement of cash flows, statement of changes in equity, and administered items statement for the full financial year 2018–19.</w:t>
      </w:r>
    </w:p>
    <w:p w14:paraId="122C0D38" w14:textId="77777777" w:rsidR="00FA7EBF" w:rsidRDefault="00FA7EBF" w:rsidP="003075FD">
      <w:pPr>
        <w:pStyle w:val="ARbody"/>
      </w:pPr>
      <w:r>
        <w:t>The portfolio budget outcomes have been prepared on a consolidated basis for the period 1 July 2018 to 30 June 2019 and include all general government sector entities within the portfolio. Financial transactions and balances are classified into either controlled or administered categories as agreed with the Treasurer in the context of the published statements in BP5.</w:t>
      </w:r>
    </w:p>
    <w:p w14:paraId="3F03D11F" w14:textId="355B68DA" w:rsidR="00FA7EBF" w:rsidRDefault="00FA7EBF" w:rsidP="003075FD">
      <w:pPr>
        <w:pStyle w:val="ARbody"/>
      </w:pPr>
      <w:r>
        <w:t>The portfolio budget outcomes statements are not subject to audit by the Victorian Auditor-General’s Office. They are not prepared on the same basis as</w:t>
      </w:r>
      <w:r w:rsidR="0045543B">
        <w:t> </w:t>
      </w:r>
      <w:r>
        <w:t>the department’s financial statements as they consolidate financial information of the following entities:</w:t>
      </w:r>
    </w:p>
    <w:p w14:paraId="107A5972" w14:textId="5539717E" w:rsidR="00FA7EBF" w:rsidRDefault="00FA7EBF" w:rsidP="003075FD">
      <w:pPr>
        <w:pStyle w:val="ARbullet1"/>
      </w:pPr>
      <w:r>
        <w:t>Department of Health and Human Services (</w:t>
      </w:r>
      <w:r>
        <w:rPr>
          <w:lang w:eastAsia="en-AU"/>
        </w:rPr>
        <w:t>not</w:t>
      </w:r>
      <w:r w:rsidR="0045543B">
        <w:rPr>
          <w:lang w:eastAsia="en-AU"/>
        </w:rPr>
        <w:t> </w:t>
      </w:r>
      <w:r>
        <w:rPr>
          <w:lang w:eastAsia="en-AU"/>
        </w:rPr>
        <w:t xml:space="preserve">including Director of Housing – Public </w:t>
      </w:r>
      <w:r w:rsidR="0045543B">
        <w:rPr>
          <w:lang w:eastAsia="en-AU"/>
        </w:rPr>
        <w:br/>
      </w:r>
      <w:r>
        <w:rPr>
          <w:lang w:eastAsia="en-AU"/>
        </w:rPr>
        <w:t>Non-Financial Corporation)</w:t>
      </w:r>
    </w:p>
    <w:p w14:paraId="40C63352" w14:textId="77777777" w:rsidR="00FA7EBF" w:rsidRDefault="00FA7EBF" w:rsidP="003075FD">
      <w:pPr>
        <w:pStyle w:val="ARbullet1"/>
      </w:pPr>
      <w:r>
        <w:t>public hospitals and public health services</w:t>
      </w:r>
    </w:p>
    <w:p w14:paraId="0EABA084" w14:textId="77777777" w:rsidR="00FA7EBF" w:rsidRDefault="00FA7EBF" w:rsidP="003075FD">
      <w:pPr>
        <w:pStyle w:val="ARbullet1"/>
      </w:pPr>
      <w:r>
        <w:t>multipurpose services</w:t>
      </w:r>
    </w:p>
    <w:p w14:paraId="6939A59E" w14:textId="77777777" w:rsidR="00FA7EBF" w:rsidRDefault="00FA7EBF" w:rsidP="003075FD">
      <w:pPr>
        <w:pStyle w:val="ARbullet1"/>
      </w:pPr>
      <w:r>
        <w:t>Ambulance Victoria</w:t>
      </w:r>
    </w:p>
    <w:p w14:paraId="63938B0B" w14:textId="77777777" w:rsidR="00FA7EBF" w:rsidRDefault="00FA7EBF" w:rsidP="003075FD">
      <w:pPr>
        <w:pStyle w:val="ARbullet1"/>
      </w:pPr>
      <w:r>
        <w:t>Health Purchasing Victoria</w:t>
      </w:r>
    </w:p>
    <w:p w14:paraId="2E4A0D5F" w14:textId="77777777" w:rsidR="00FA7EBF" w:rsidRDefault="00FA7EBF" w:rsidP="003075FD">
      <w:pPr>
        <w:pStyle w:val="ARbullet1"/>
      </w:pPr>
      <w:r>
        <w:t>Victorian Assisted Reproductive Treatment Authority</w:t>
      </w:r>
    </w:p>
    <w:p w14:paraId="69EFD053" w14:textId="77777777" w:rsidR="00FA7EBF" w:rsidRDefault="00FA7EBF" w:rsidP="003075FD">
      <w:pPr>
        <w:pStyle w:val="ARbullet1"/>
      </w:pPr>
      <w:r>
        <w:t>Victorian Institute of Forensic Mental Health</w:t>
      </w:r>
    </w:p>
    <w:p w14:paraId="3017DFB0" w14:textId="77777777" w:rsidR="00FA7EBF" w:rsidRDefault="00FA7EBF" w:rsidP="003075FD">
      <w:pPr>
        <w:pStyle w:val="ARbullet1"/>
      </w:pPr>
      <w:bookmarkStart w:id="288" w:name="_Hlk17300241"/>
      <w:r>
        <w:t>Disability Services Commissioner</w:t>
      </w:r>
    </w:p>
    <w:p w14:paraId="1EED2D1E" w14:textId="77777777" w:rsidR="00FA7EBF" w:rsidRDefault="00FA7EBF" w:rsidP="003075FD">
      <w:pPr>
        <w:pStyle w:val="ARbullet1"/>
      </w:pPr>
      <w:r>
        <w:t>Mental Health Tribunal</w:t>
      </w:r>
    </w:p>
    <w:bookmarkEnd w:id="288"/>
    <w:p w14:paraId="0BE8AAFF" w14:textId="77777777" w:rsidR="00FA7EBF" w:rsidRDefault="00FA7EBF" w:rsidP="003075FD">
      <w:pPr>
        <w:pStyle w:val="ARbullet1"/>
      </w:pPr>
      <w:r>
        <w:t>Commission for Children and Young People</w:t>
      </w:r>
    </w:p>
    <w:p w14:paraId="77F4BCF8" w14:textId="77777777" w:rsidR="00FA7EBF" w:rsidRDefault="00FA7EBF" w:rsidP="003075FD">
      <w:pPr>
        <w:pStyle w:val="ARbullet1"/>
      </w:pPr>
      <w:r>
        <w:t>Tweddle Child and Family Health Service</w:t>
      </w:r>
    </w:p>
    <w:p w14:paraId="0302691D" w14:textId="77777777" w:rsidR="00FA7EBF" w:rsidRDefault="00FA7EBF" w:rsidP="003075FD">
      <w:pPr>
        <w:pStyle w:val="ARbullet1"/>
      </w:pPr>
      <w:r>
        <w:t>The Queen Elizabeth Centre</w:t>
      </w:r>
    </w:p>
    <w:p w14:paraId="0E872A1F" w14:textId="77777777" w:rsidR="00FA7EBF" w:rsidRDefault="00FA7EBF" w:rsidP="003075FD">
      <w:pPr>
        <w:pStyle w:val="ARbullet1"/>
      </w:pPr>
      <w:r>
        <w:t>Victorian Health Promotion Foundation</w:t>
      </w:r>
    </w:p>
    <w:p w14:paraId="72679DA9" w14:textId="4E4FD10F" w:rsidR="00FA7EBF" w:rsidRDefault="00FA7EBF" w:rsidP="003075FD">
      <w:pPr>
        <w:pStyle w:val="ARbullet1"/>
      </w:pPr>
      <w:r>
        <w:t>Victorian Institute of Sport (from 1 July 2018 to</w:t>
      </w:r>
      <w:r w:rsidR="0045543B">
        <w:t> </w:t>
      </w:r>
      <w:r>
        <w:t>31 December 2018)</w:t>
      </w:r>
    </w:p>
    <w:p w14:paraId="0C18484B" w14:textId="671405E9" w:rsidR="00FA7EBF" w:rsidRDefault="00FA7EBF" w:rsidP="003075FD">
      <w:pPr>
        <w:pStyle w:val="ARbullet1"/>
      </w:pPr>
      <w:r>
        <w:t xml:space="preserve">Melbourne Cricket Ground Trust </w:t>
      </w:r>
      <w:r w:rsidR="0045543B">
        <w:br/>
      </w:r>
      <w:r>
        <w:t>(from 1 July 2018 to 31 December 2018)</w:t>
      </w:r>
    </w:p>
    <w:p w14:paraId="1A9A2E4E" w14:textId="77777777" w:rsidR="00FA7EBF" w:rsidRDefault="00FA7EBF" w:rsidP="003075FD">
      <w:pPr>
        <w:pStyle w:val="ARbullet1"/>
      </w:pPr>
      <w:r>
        <w:t>Respect Victoria</w:t>
      </w:r>
    </w:p>
    <w:p w14:paraId="27EF1DA3" w14:textId="77777777" w:rsidR="00FA7EBF" w:rsidRDefault="00FA7EBF" w:rsidP="003075FD">
      <w:pPr>
        <w:pStyle w:val="ARbody"/>
      </w:pPr>
      <w:r>
        <w:t>The portfolio budget outcomes statements include funding from the Commonwealth Government and revenue from the sale of services attributed to the department from the state government. They also include income and expenses associated with National Health Reform funding as well as National Disability Insurance Scheme funding, which are reported in the department’s administered accounts.</w:t>
      </w:r>
    </w:p>
    <w:p w14:paraId="1B50ABA4" w14:textId="77777777" w:rsidR="00FA7EBF" w:rsidRDefault="00FA7EBF" w:rsidP="003075FD">
      <w:pPr>
        <w:pStyle w:val="Heading3"/>
      </w:pPr>
      <w:bookmarkStart w:id="289" w:name="_Toc462577196"/>
      <w:bookmarkStart w:id="290" w:name="_Hlk17294406"/>
      <w:r>
        <w:t>Funding arrangements under National Health Reform</w:t>
      </w:r>
      <w:bookmarkEnd w:id="289"/>
    </w:p>
    <w:bookmarkEnd w:id="290"/>
    <w:p w14:paraId="00D5799D" w14:textId="77777777" w:rsidR="00FA7EBF" w:rsidRDefault="00FA7EBF" w:rsidP="003075FD">
      <w:pPr>
        <w:pStyle w:val="ARbody"/>
      </w:pPr>
      <w:r>
        <w:t>The 2018–19 administered items statement reflects the funding arrangements under the joint Commonwealth–State National Health Reform Agreement. The arrangement provides for Commonwealth funding to be administered via the National Health Funding Pool (NHFP) State Pool Account, which is reported in the department’s administered accounts.</w:t>
      </w:r>
    </w:p>
    <w:p w14:paraId="18A73702" w14:textId="77777777" w:rsidR="00FA7EBF" w:rsidRDefault="00FA7EBF" w:rsidP="003075FD">
      <w:pPr>
        <w:pStyle w:val="ARbody"/>
      </w:pPr>
      <w:r>
        <w:t>The administered accounts also include the reporting of the state contribution for hospital services funded on an activity basis and the payment of the commonwealth contribution towards services funded through block grants to the department’s controlled entity.</w:t>
      </w:r>
    </w:p>
    <w:p w14:paraId="61F5F954" w14:textId="13510245" w:rsidR="00FA7EBF" w:rsidRDefault="00FA7EBF" w:rsidP="003075FD">
      <w:pPr>
        <w:pStyle w:val="Heading3"/>
      </w:pPr>
      <w:bookmarkStart w:id="291" w:name="_Hlk17294488"/>
      <w:r>
        <w:t>Funding arrangements under</w:t>
      </w:r>
      <w:r w:rsidR="0045543B">
        <w:t> </w:t>
      </w:r>
      <w:r>
        <w:t>National Disability Insurance</w:t>
      </w:r>
      <w:r w:rsidR="0045543B">
        <w:t> </w:t>
      </w:r>
      <w:r>
        <w:t>Scheme</w:t>
      </w:r>
    </w:p>
    <w:bookmarkEnd w:id="291"/>
    <w:p w14:paraId="346AFA4C" w14:textId="56EE04B3" w:rsidR="00FA7EBF" w:rsidRDefault="00FA7EBF" w:rsidP="003075FD">
      <w:pPr>
        <w:pStyle w:val="ARbody"/>
      </w:pPr>
      <w:r>
        <w:t>Funding arrangements under the National Disability Insurance Scheme are reported in the department's administered accounts. The arrangement provides for contributions from the department's controlled entity and from other departments to be administered via the National Disability Insurance Scheme trust fund reported in the department’s administered account. Grant payments are made to</w:t>
      </w:r>
      <w:r w:rsidR="0045543B">
        <w:t> </w:t>
      </w:r>
      <w:r>
        <w:t>the National Disability Insurance Authority from the trust fund.</w:t>
      </w:r>
    </w:p>
    <w:p w14:paraId="071111A0" w14:textId="77777777" w:rsidR="00FA7EBF" w:rsidRDefault="00FA7EBF" w:rsidP="003075FD">
      <w:pPr>
        <w:pStyle w:val="ARbody"/>
      </w:pPr>
      <w:r>
        <w:br w:type="page"/>
      </w:r>
      <w:bookmarkStart w:id="292" w:name="_Hlk17467651"/>
    </w:p>
    <w:p w14:paraId="34DDDCB3" w14:textId="77777777" w:rsidR="00FA7EBF" w:rsidRDefault="00FA7EBF" w:rsidP="003075FD">
      <w:pPr>
        <w:pStyle w:val="Heading3"/>
      </w:pPr>
      <w:r>
        <w:t xml:space="preserve">Financial performance </w:t>
      </w:r>
      <w:r>
        <w:br/>
        <w:t>– operating statement</w:t>
      </w:r>
    </w:p>
    <w:bookmarkEnd w:id="292"/>
    <w:p w14:paraId="3E6893FF" w14:textId="77777777" w:rsidR="00FA7EBF" w:rsidRDefault="00FA7EBF" w:rsidP="003075FD">
      <w:pPr>
        <w:pStyle w:val="ARbody"/>
      </w:pPr>
      <w:r>
        <w:t>In 2018–19, the portfolio recorded an actual net result from transactions of $191 million surplus compared with a 2018–19 published budgeted surplus of $220 million.</w:t>
      </w:r>
    </w:p>
    <w:p w14:paraId="4D0276BA" w14:textId="77777777" w:rsidR="00FA7EBF" w:rsidRDefault="00FA7EBF" w:rsidP="003075FD">
      <w:pPr>
        <w:pStyle w:val="ARbody"/>
      </w:pPr>
      <w:r>
        <w:t>The variance between the budgeted and actual surplus is mainly related to higher than budgeted other operating expenses across the portfolio including payments to non-government organisations.</w:t>
      </w:r>
    </w:p>
    <w:p w14:paraId="72919648" w14:textId="77777777" w:rsidR="00FA7EBF" w:rsidRDefault="00FA7EBF" w:rsidP="003075FD">
      <w:pPr>
        <w:pStyle w:val="Heading3"/>
      </w:pPr>
      <w:bookmarkStart w:id="293" w:name="_Toc462577197"/>
      <w:r>
        <w:t>Financial position – balance sheet</w:t>
      </w:r>
      <w:bookmarkEnd w:id="293"/>
    </w:p>
    <w:p w14:paraId="563F4AC1" w14:textId="77777777" w:rsidR="00FA7EBF" w:rsidRDefault="00FA7EBF" w:rsidP="003075FD">
      <w:pPr>
        <w:pStyle w:val="ARbody"/>
      </w:pPr>
      <w:r>
        <w:t>Total assets are $3,145 million higher than the published budget. This is mostly attributed to land and buildings revaluations within Property, Plant and Equipment. Total liabilities are $828 million higher than the published budget. This is primarily due to increases in employee leave provisions as well as the timing of accounts payable.</w:t>
      </w:r>
    </w:p>
    <w:p w14:paraId="5523BF07" w14:textId="77777777" w:rsidR="00FA7EBF" w:rsidRDefault="00FA7EBF" w:rsidP="003075FD">
      <w:pPr>
        <w:pStyle w:val="Heading3"/>
      </w:pPr>
      <w:bookmarkStart w:id="294" w:name="_Toc462577198"/>
      <w:r>
        <w:t>Cash flows</w:t>
      </w:r>
      <w:bookmarkEnd w:id="294"/>
    </w:p>
    <w:p w14:paraId="5764657B" w14:textId="77777777" w:rsidR="00FA7EBF" w:rsidRDefault="00FA7EBF" w:rsidP="003075FD">
      <w:pPr>
        <w:pStyle w:val="ARbody"/>
      </w:pPr>
      <w:r>
        <w:t>The overall cash position at the end of the 2018–19 financial year is $1,969 million, which is $51 million higher than the published budget for 2018–19.</w:t>
      </w:r>
    </w:p>
    <w:p w14:paraId="4195F5C7" w14:textId="77777777" w:rsidR="00FA7EBF" w:rsidRDefault="00FA7EBF" w:rsidP="003075FD">
      <w:pPr>
        <w:pStyle w:val="ARbody"/>
      </w:pPr>
      <w:r>
        <w:t>The variance is mainly driven by term deposits held by health agencies and reported as other financial assets being transferred to the Central Banking System which is at call and reported as cash and deposits.</w:t>
      </w:r>
    </w:p>
    <w:p w14:paraId="3102A1D2" w14:textId="77777777" w:rsidR="00FA7EBF" w:rsidRDefault="00FA7EBF" w:rsidP="003075FD">
      <w:pPr>
        <w:pStyle w:val="ARbody"/>
      </w:pPr>
      <w:r>
        <w:t>Detailed financial results for the 2018–19 portfolio budget and actual results are included in the following pages.</w:t>
      </w:r>
    </w:p>
    <w:p w14:paraId="4D06B68D" w14:textId="77777777" w:rsidR="00FA7EBF" w:rsidRDefault="00FA7EBF" w:rsidP="003075FD">
      <w:pPr>
        <w:pStyle w:val="ARbody"/>
      </w:pPr>
    </w:p>
    <w:p w14:paraId="15962115" w14:textId="77777777" w:rsidR="00FA7EBF" w:rsidRDefault="00FA7EBF" w:rsidP="003075FD">
      <w:pPr>
        <w:spacing w:after="0" w:line="240" w:lineRule="auto"/>
        <w:rPr>
          <w:rFonts w:ascii="Arial" w:eastAsia="Times" w:hAnsi="Arial"/>
          <w:sz w:val="24"/>
          <w:szCs w:val="19"/>
        </w:rPr>
        <w:sectPr w:rsidR="00FA7EBF" w:rsidSect="003075FD">
          <w:endnotePr>
            <w:numFmt w:val="decimal"/>
          </w:endnotePr>
          <w:type w:val="continuous"/>
          <w:pgSz w:w="11900" w:h="16840"/>
          <w:pgMar w:top="1985" w:right="851" w:bottom="851" w:left="1418" w:header="510" w:footer="340" w:gutter="0"/>
          <w:cols w:num="2" w:space="454"/>
        </w:sectPr>
      </w:pPr>
    </w:p>
    <w:p w14:paraId="3B7FDEA6" w14:textId="77777777" w:rsidR="00FA7EBF" w:rsidRDefault="00FA7EBF" w:rsidP="003075FD">
      <w:pPr>
        <w:pStyle w:val="Heading3"/>
        <w:spacing w:before="0"/>
      </w:pPr>
      <w:r>
        <w:t>Comprehensive operating statement for the financial year ended</w:t>
      </w:r>
      <w:r>
        <w:br/>
        <w:t>30 June 2019</w:t>
      </w:r>
    </w:p>
    <w:tbl>
      <w:tblPr>
        <w:tblStyle w:val="TableGrid"/>
        <w:tblW w:w="9639" w:type="dxa"/>
        <w:tblLook w:val="06A0" w:firstRow="1" w:lastRow="0" w:firstColumn="1" w:lastColumn="0" w:noHBand="1" w:noVBand="1"/>
      </w:tblPr>
      <w:tblGrid>
        <w:gridCol w:w="2835"/>
        <w:gridCol w:w="1134"/>
        <w:gridCol w:w="1134"/>
        <w:gridCol w:w="1247"/>
        <w:gridCol w:w="1304"/>
        <w:gridCol w:w="1361"/>
        <w:gridCol w:w="624"/>
      </w:tblGrid>
      <w:tr w:rsidR="00FA7EBF" w14:paraId="4281DA67" w14:textId="77777777" w:rsidTr="003075FD">
        <w:trPr>
          <w:cnfStyle w:val="100000000000" w:firstRow="1" w:lastRow="0" w:firstColumn="0" w:lastColumn="0" w:oddVBand="0" w:evenVBand="0" w:oddHBand="0" w:evenHBand="0" w:firstRowFirstColumn="0" w:firstRowLastColumn="0" w:lastRowFirstColumn="0" w:lastRowLastColumn="0"/>
          <w:tblHeader/>
        </w:trPr>
        <w:tc>
          <w:tcPr>
            <w:tcW w:w="2835" w:type="dxa"/>
            <w:tcBorders>
              <w:top w:val="nil"/>
              <w:left w:val="single" w:sz="4" w:space="0" w:color="FFFFFF"/>
              <w:bottom w:val="single" w:sz="4" w:space="0" w:color="auto"/>
              <w:right w:val="single" w:sz="4" w:space="0" w:color="FFFFFF"/>
            </w:tcBorders>
            <w:hideMark/>
          </w:tcPr>
          <w:p w14:paraId="338D4CBD" w14:textId="77777777" w:rsidR="00FA7EBF" w:rsidRDefault="00FA7EBF"/>
        </w:tc>
        <w:tc>
          <w:tcPr>
            <w:tcW w:w="1134" w:type="dxa"/>
            <w:tcBorders>
              <w:top w:val="nil"/>
              <w:left w:val="single" w:sz="4" w:space="0" w:color="FFFFFF"/>
              <w:bottom w:val="single" w:sz="4" w:space="0" w:color="auto"/>
              <w:right w:val="single" w:sz="4" w:space="0" w:color="FFFFFF"/>
            </w:tcBorders>
            <w:hideMark/>
          </w:tcPr>
          <w:p w14:paraId="4EC5BE9C" w14:textId="77777777" w:rsidR="00FA7EBF" w:rsidRDefault="00FA7EBF">
            <w:pPr>
              <w:pStyle w:val="ARtablecolheadright"/>
              <w:rPr>
                <w:lang w:eastAsia="en-AU"/>
              </w:rPr>
            </w:pPr>
            <w:r>
              <w:rPr>
                <w:lang w:eastAsia="en-AU"/>
              </w:rPr>
              <w:t>2018–19 actual</w:t>
            </w:r>
          </w:p>
          <w:p w14:paraId="132E393F" w14:textId="77777777" w:rsidR="00FA7EBF" w:rsidRDefault="00FA7EBF">
            <w:pPr>
              <w:pStyle w:val="ARtablecolheadright"/>
              <w:rPr>
                <w:lang w:eastAsia="en-AU"/>
              </w:rPr>
            </w:pPr>
            <w:r>
              <w:rPr>
                <w:lang w:eastAsia="en-AU"/>
              </w:rPr>
              <w:t>$M</w:t>
            </w:r>
          </w:p>
        </w:tc>
        <w:tc>
          <w:tcPr>
            <w:tcW w:w="1134" w:type="dxa"/>
            <w:tcBorders>
              <w:top w:val="nil"/>
              <w:left w:val="single" w:sz="4" w:space="0" w:color="FFFFFF"/>
              <w:bottom w:val="single" w:sz="4" w:space="0" w:color="auto"/>
              <w:right w:val="single" w:sz="4" w:space="0" w:color="FFFFFF"/>
            </w:tcBorders>
            <w:hideMark/>
          </w:tcPr>
          <w:p w14:paraId="6F56DFCE" w14:textId="77777777" w:rsidR="00FA7EBF" w:rsidRDefault="00FA7EBF">
            <w:pPr>
              <w:pStyle w:val="ARtablecolheadright"/>
              <w:rPr>
                <w:lang w:eastAsia="en-AU"/>
              </w:rPr>
            </w:pPr>
            <w:r>
              <w:rPr>
                <w:lang w:eastAsia="en-AU"/>
              </w:rPr>
              <w:t>2018–19 revised budget</w:t>
            </w:r>
          </w:p>
          <w:p w14:paraId="72D4CB55" w14:textId="77777777" w:rsidR="00FA7EBF" w:rsidRDefault="00FA7EBF">
            <w:pPr>
              <w:pStyle w:val="ARtablecolheadright"/>
              <w:rPr>
                <w:lang w:eastAsia="en-AU"/>
              </w:rPr>
            </w:pPr>
            <w:r>
              <w:rPr>
                <w:lang w:eastAsia="en-AU"/>
              </w:rPr>
              <w:t>$M</w:t>
            </w:r>
          </w:p>
        </w:tc>
        <w:tc>
          <w:tcPr>
            <w:tcW w:w="1247" w:type="dxa"/>
            <w:tcBorders>
              <w:top w:val="nil"/>
              <w:left w:val="single" w:sz="4" w:space="0" w:color="FFFFFF"/>
              <w:bottom w:val="single" w:sz="4" w:space="0" w:color="auto"/>
              <w:right w:val="single" w:sz="4" w:space="0" w:color="FFFFFF"/>
            </w:tcBorders>
            <w:hideMark/>
          </w:tcPr>
          <w:p w14:paraId="6889727D" w14:textId="77777777" w:rsidR="00FA7EBF" w:rsidRDefault="00FA7EBF">
            <w:pPr>
              <w:pStyle w:val="ARtablecolheadright"/>
              <w:rPr>
                <w:lang w:eastAsia="en-AU"/>
              </w:rPr>
            </w:pPr>
            <w:r>
              <w:rPr>
                <w:lang w:eastAsia="en-AU"/>
              </w:rPr>
              <w:t>Variation to revised budget</w:t>
            </w:r>
          </w:p>
          <w:p w14:paraId="7BFA13ED" w14:textId="77777777" w:rsidR="00FA7EBF" w:rsidRDefault="00FA7EBF">
            <w:pPr>
              <w:pStyle w:val="ARtablecolheadright"/>
              <w:rPr>
                <w:lang w:eastAsia="en-AU"/>
              </w:rPr>
            </w:pPr>
            <w:r>
              <w:rPr>
                <w:lang w:eastAsia="en-AU"/>
              </w:rPr>
              <w:t>%</w:t>
            </w:r>
          </w:p>
        </w:tc>
        <w:tc>
          <w:tcPr>
            <w:tcW w:w="1304" w:type="dxa"/>
            <w:tcBorders>
              <w:top w:val="nil"/>
              <w:left w:val="single" w:sz="4" w:space="0" w:color="FFFFFF"/>
              <w:bottom w:val="single" w:sz="4" w:space="0" w:color="auto"/>
              <w:right w:val="single" w:sz="4" w:space="0" w:color="FFFFFF"/>
            </w:tcBorders>
            <w:hideMark/>
          </w:tcPr>
          <w:p w14:paraId="43DB683A" w14:textId="77777777" w:rsidR="00FA7EBF" w:rsidRDefault="00FA7EBF">
            <w:pPr>
              <w:pStyle w:val="ARtablecolheadright"/>
              <w:rPr>
                <w:lang w:eastAsia="en-AU"/>
              </w:rPr>
            </w:pPr>
            <w:r>
              <w:rPr>
                <w:lang w:eastAsia="en-AU"/>
              </w:rPr>
              <w:t>2018–19 published budget</w:t>
            </w:r>
          </w:p>
          <w:p w14:paraId="533A6019" w14:textId="77777777" w:rsidR="00FA7EBF" w:rsidRDefault="00FA7EBF">
            <w:pPr>
              <w:pStyle w:val="ARtablecolheadright"/>
              <w:rPr>
                <w:lang w:eastAsia="en-AU"/>
              </w:rPr>
            </w:pPr>
            <w:r>
              <w:rPr>
                <w:lang w:eastAsia="en-AU"/>
              </w:rPr>
              <w:t>$M</w:t>
            </w:r>
          </w:p>
        </w:tc>
        <w:tc>
          <w:tcPr>
            <w:tcW w:w="1361" w:type="dxa"/>
            <w:tcBorders>
              <w:top w:val="nil"/>
              <w:left w:val="single" w:sz="4" w:space="0" w:color="FFFFFF"/>
              <w:bottom w:val="single" w:sz="4" w:space="0" w:color="auto"/>
              <w:right w:val="single" w:sz="4" w:space="0" w:color="FFFFFF"/>
            </w:tcBorders>
            <w:hideMark/>
          </w:tcPr>
          <w:p w14:paraId="01856F8F" w14:textId="77777777" w:rsidR="00FA7EBF" w:rsidRDefault="00FA7EBF">
            <w:pPr>
              <w:pStyle w:val="ARtablecolheadright"/>
              <w:rPr>
                <w:lang w:eastAsia="en-AU"/>
              </w:rPr>
            </w:pPr>
            <w:r>
              <w:rPr>
                <w:lang w:eastAsia="en-AU"/>
              </w:rPr>
              <w:t>Variation to published budget</w:t>
            </w:r>
          </w:p>
          <w:p w14:paraId="77157792" w14:textId="77777777" w:rsidR="00FA7EBF" w:rsidRDefault="00FA7EBF">
            <w:pPr>
              <w:pStyle w:val="ARtablecolheadright"/>
              <w:rPr>
                <w:lang w:eastAsia="en-AU"/>
              </w:rPr>
            </w:pPr>
            <w:r>
              <w:rPr>
                <w:lang w:eastAsia="en-AU"/>
              </w:rPr>
              <w:t>%</w:t>
            </w:r>
          </w:p>
        </w:tc>
        <w:tc>
          <w:tcPr>
            <w:tcW w:w="624" w:type="dxa"/>
            <w:tcBorders>
              <w:top w:val="nil"/>
              <w:left w:val="single" w:sz="4" w:space="0" w:color="FFFFFF"/>
              <w:bottom w:val="single" w:sz="4" w:space="0" w:color="auto"/>
              <w:right w:val="single" w:sz="4" w:space="0" w:color="FFFFFF"/>
            </w:tcBorders>
            <w:hideMark/>
          </w:tcPr>
          <w:p w14:paraId="0D9905D8" w14:textId="77777777" w:rsidR="00FA7EBF" w:rsidRDefault="00FA7EBF">
            <w:pPr>
              <w:pStyle w:val="ARtablecolheadright"/>
              <w:rPr>
                <w:lang w:eastAsia="en-AU"/>
              </w:rPr>
            </w:pPr>
            <w:r>
              <w:rPr>
                <w:lang w:eastAsia="en-AU"/>
              </w:rPr>
              <w:t>Notes</w:t>
            </w:r>
          </w:p>
        </w:tc>
      </w:tr>
      <w:tr w:rsidR="00FA7EBF" w14:paraId="638F3F58" w14:textId="77777777" w:rsidTr="003075FD">
        <w:tc>
          <w:tcPr>
            <w:tcW w:w="9639" w:type="dxa"/>
            <w:gridSpan w:val="7"/>
            <w:tcBorders>
              <w:top w:val="single" w:sz="4" w:space="0" w:color="auto"/>
              <w:left w:val="single" w:sz="4" w:space="0" w:color="FFFFFF"/>
              <w:bottom w:val="single" w:sz="4" w:space="0" w:color="A6A6A6" w:themeColor="background1" w:themeShade="A6"/>
              <w:right w:val="single" w:sz="4" w:space="0" w:color="FFFFFF"/>
            </w:tcBorders>
            <w:hideMark/>
          </w:tcPr>
          <w:p w14:paraId="0AA47E55" w14:textId="77777777" w:rsidR="00FA7EBF" w:rsidRDefault="00FA7EBF">
            <w:pPr>
              <w:pStyle w:val="ARtabletextbold"/>
              <w:spacing w:before="70" w:after="50"/>
            </w:pPr>
            <w:r>
              <w:t>Net result from continuing operations</w:t>
            </w:r>
          </w:p>
        </w:tc>
      </w:tr>
      <w:tr w:rsidR="00FA7EBF" w14:paraId="424E0C34" w14:textId="77777777" w:rsidTr="003075FD">
        <w:tc>
          <w:tcPr>
            <w:tcW w:w="9639" w:type="dxa"/>
            <w:gridSpan w:val="7"/>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97E0337" w14:textId="77777777" w:rsidR="00FA7EBF" w:rsidRDefault="00FA7EBF">
            <w:pPr>
              <w:pStyle w:val="ARtabletextbold"/>
              <w:spacing w:before="70" w:after="50"/>
            </w:pPr>
            <w:r>
              <w:t>Income from transactions</w:t>
            </w:r>
          </w:p>
        </w:tc>
      </w:tr>
      <w:tr w:rsidR="00FA7EBF" w14:paraId="5612AFE6" w14:textId="77777777" w:rsidTr="003075FD">
        <w:tc>
          <w:tcPr>
            <w:tcW w:w="28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736FBB6" w14:textId="77777777" w:rsidR="00FA7EBF" w:rsidRDefault="00FA7EBF">
            <w:pPr>
              <w:pStyle w:val="ARtabletext"/>
              <w:spacing w:before="70" w:after="50"/>
              <w:rPr>
                <w:color w:val="000000"/>
              </w:rPr>
            </w:pPr>
            <w:r>
              <w:t>Output appropriations</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3634046" w14:textId="77777777" w:rsidR="00FA7EBF" w:rsidRDefault="00FA7EBF">
            <w:pPr>
              <w:pStyle w:val="ARtabletextright"/>
              <w:spacing w:before="70" w:after="50"/>
            </w:pPr>
            <w:r>
              <w:t>16,183</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1A57806" w14:textId="77777777" w:rsidR="00FA7EBF" w:rsidRDefault="00FA7EBF">
            <w:pPr>
              <w:pStyle w:val="ARtabletextright"/>
              <w:spacing w:before="70" w:after="50"/>
            </w:pPr>
            <w:r>
              <w:t>16,309</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3FA59AB" w14:textId="77777777" w:rsidR="00FA7EBF" w:rsidRDefault="00FA7EBF">
            <w:pPr>
              <w:pStyle w:val="ARtabletextright"/>
              <w:spacing w:before="70" w:after="50"/>
            </w:pPr>
            <w:r>
              <w:t>(0.8)</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64EC6A5" w14:textId="77777777" w:rsidR="00FA7EBF" w:rsidRDefault="00FA7EBF">
            <w:pPr>
              <w:pStyle w:val="ARtabletextright"/>
              <w:spacing w:before="70" w:after="50"/>
            </w:pPr>
            <w:r>
              <w:t>16,053</w:t>
            </w:r>
          </w:p>
        </w:tc>
        <w:tc>
          <w:tcPr>
            <w:tcW w:w="136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7277365" w14:textId="77777777" w:rsidR="00FA7EBF" w:rsidRDefault="00FA7EBF">
            <w:pPr>
              <w:pStyle w:val="ARtabletextright"/>
              <w:spacing w:before="70" w:after="50"/>
            </w:pPr>
            <w:r>
              <w:t>0.8</w:t>
            </w:r>
          </w:p>
        </w:tc>
        <w:tc>
          <w:tcPr>
            <w:tcW w:w="62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7F82C028" w14:textId="77777777" w:rsidR="00FA7EBF" w:rsidRDefault="00FA7EBF">
            <w:pPr>
              <w:pStyle w:val="ARtabletextrightbold"/>
              <w:spacing w:before="70" w:after="50"/>
            </w:pPr>
          </w:p>
        </w:tc>
      </w:tr>
      <w:tr w:rsidR="00FA7EBF" w14:paraId="6DF620FA" w14:textId="77777777" w:rsidTr="003075FD">
        <w:tc>
          <w:tcPr>
            <w:tcW w:w="28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5F2DDA7" w14:textId="77777777" w:rsidR="00FA7EBF" w:rsidRDefault="00FA7EBF">
            <w:pPr>
              <w:pStyle w:val="ARtabletext"/>
              <w:spacing w:before="70" w:after="50"/>
              <w:rPr>
                <w:color w:val="000000"/>
              </w:rPr>
            </w:pPr>
            <w:r>
              <w:t>Special appropriations</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12E1400" w14:textId="77777777" w:rsidR="00FA7EBF" w:rsidRDefault="00FA7EBF">
            <w:pPr>
              <w:pStyle w:val="ARtabletextright"/>
              <w:spacing w:before="70" w:after="50"/>
            </w:pPr>
            <w:r>
              <w:t>1,513</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FC23705" w14:textId="77777777" w:rsidR="00FA7EBF" w:rsidRDefault="00FA7EBF">
            <w:pPr>
              <w:pStyle w:val="ARtabletextright"/>
              <w:spacing w:before="70" w:after="50"/>
            </w:pPr>
            <w:r>
              <w:t>1,455</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8C56767" w14:textId="77777777" w:rsidR="00FA7EBF" w:rsidRDefault="00FA7EBF">
            <w:pPr>
              <w:pStyle w:val="ARtabletextright"/>
              <w:spacing w:before="70" w:after="50"/>
            </w:pPr>
            <w:r>
              <w:t>4.0</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81C90D1" w14:textId="77777777" w:rsidR="00FA7EBF" w:rsidRDefault="00FA7EBF">
            <w:pPr>
              <w:pStyle w:val="ARtabletextright"/>
              <w:spacing w:before="70" w:after="50"/>
            </w:pPr>
            <w:r>
              <w:t>1,355</w:t>
            </w:r>
          </w:p>
        </w:tc>
        <w:tc>
          <w:tcPr>
            <w:tcW w:w="136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AEC76D2" w14:textId="77777777" w:rsidR="00FA7EBF" w:rsidRDefault="00FA7EBF">
            <w:pPr>
              <w:pStyle w:val="ARtabletextright"/>
              <w:spacing w:before="70" w:after="50"/>
            </w:pPr>
            <w:r>
              <w:t>11.7</w:t>
            </w:r>
          </w:p>
        </w:tc>
        <w:tc>
          <w:tcPr>
            <w:tcW w:w="62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1C97286A" w14:textId="77777777" w:rsidR="00FA7EBF" w:rsidRDefault="00FA7EBF">
            <w:pPr>
              <w:pStyle w:val="ARtabletextrightbold"/>
              <w:spacing w:before="70" w:after="50"/>
            </w:pPr>
          </w:p>
        </w:tc>
      </w:tr>
      <w:tr w:rsidR="00FA7EBF" w14:paraId="7469A821" w14:textId="77777777" w:rsidTr="003075FD">
        <w:tc>
          <w:tcPr>
            <w:tcW w:w="28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65C190C" w14:textId="77777777" w:rsidR="00FA7EBF" w:rsidRDefault="00FA7EBF">
            <w:pPr>
              <w:pStyle w:val="ARtabletext"/>
              <w:spacing w:before="70" w:after="50"/>
              <w:rPr>
                <w:color w:val="000000"/>
              </w:rPr>
            </w:pPr>
            <w:r>
              <w:t>Interest</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639AF82" w14:textId="77777777" w:rsidR="00FA7EBF" w:rsidRDefault="00FA7EBF">
            <w:pPr>
              <w:pStyle w:val="ARtabletextright"/>
              <w:spacing w:before="70" w:after="50"/>
            </w:pPr>
            <w:r>
              <w:t>55</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E0EF960" w14:textId="77777777" w:rsidR="00FA7EBF" w:rsidRDefault="00FA7EBF">
            <w:pPr>
              <w:pStyle w:val="ARtabletextright"/>
              <w:spacing w:before="70" w:after="50"/>
            </w:pPr>
            <w:r>
              <w:t>52</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F81A7FA" w14:textId="77777777" w:rsidR="00FA7EBF" w:rsidRDefault="00FA7EBF">
            <w:pPr>
              <w:pStyle w:val="ARtabletextright"/>
              <w:spacing w:before="70" w:after="50"/>
            </w:pPr>
            <w:r>
              <w:t>4.9</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C15DBF8" w14:textId="77777777" w:rsidR="00FA7EBF" w:rsidRDefault="00FA7EBF">
            <w:pPr>
              <w:pStyle w:val="ARtabletextright"/>
              <w:spacing w:before="70" w:after="50"/>
            </w:pPr>
            <w:r>
              <w:t>48</w:t>
            </w:r>
          </w:p>
        </w:tc>
        <w:tc>
          <w:tcPr>
            <w:tcW w:w="136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DA46AC6" w14:textId="77777777" w:rsidR="00FA7EBF" w:rsidRDefault="00FA7EBF">
            <w:pPr>
              <w:pStyle w:val="ARtabletextright"/>
              <w:spacing w:before="70" w:after="50"/>
            </w:pPr>
            <w:r>
              <w:t>13.7</w:t>
            </w:r>
          </w:p>
        </w:tc>
        <w:tc>
          <w:tcPr>
            <w:tcW w:w="62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7A0F1D0" w14:textId="77777777" w:rsidR="00FA7EBF" w:rsidRDefault="00FA7EBF">
            <w:pPr>
              <w:pStyle w:val="ARtabletextrightbold"/>
              <w:spacing w:before="70" w:after="50"/>
            </w:pPr>
            <w:r>
              <w:t>1</w:t>
            </w:r>
          </w:p>
        </w:tc>
      </w:tr>
      <w:tr w:rsidR="00FA7EBF" w14:paraId="76267DA6" w14:textId="77777777" w:rsidTr="003075FD">
        <w:tc>
          <w:tcPr>
            <w:tcW w:w="28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463E5AA" w14:textId="77777777" w:rsidR="00FA7EBF" w:rsidRDefault="00FA7EBF">
            <w:pPr>
              <w:pStyle w:val="ARtabletext"/>
              <w:spacing w:before="70" w:after="50"/>
              <w:rPr>
                <w:color w:val="000000"/>
              </w:rPr>
            </w:pPr>
            <w:r>
              <w:t>Sales of goods and services</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76E5EFB" w14:textId="77777777" w:rsidR="00FA7EBF" w:rsidRDefault="00FA7EBF">
            <w:pPr>
              <w:pStyle w:val="ARtabletextright"/>
              <w:spacing w:before="70" w:after="50"/>
            </w:pPr>
            <w:r>
              <w:t>1,780</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03EB42D" w14:textId="77777777" w:rsidR="00FA7EBF" w:rsidRDefault="00FA7EBF">
            <w:pPr>
              <w:pStyle w:val="ARtabletextright"/>
              <w:spacing w:before="70" w:after="50"/>
            </w:pPr>
            <w:r>
              <w:t>1,792</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092F8E4" w14:textId="77777777" w:rsidR="00FA7EBF" w:rsidRDefault="00FA7EBF">
            <w:pPr>
              <w:pStyle w:val="ARtabletextright"/>
              <w:spacing w:before="70" w:after="50"/>
            </w:pPr>
            <w:r>
              <w:t>(0.7)</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16314CC" w14:textId="77777777" w:rsidR="00FA7EBF" w:rsidRDefault="00FA7EBF">
            <w:pPr>
              <w:pStyle w:val="ARtabletextright"/>
              <w:spacing w:before="70" w:after="50"/>
            </w:pPr>
            <w:r>
              <w:t>1,734</w:t>
            </w:r>
          </w:p>
        </w:tc>
        <w:tc>
          <w:tcPr>
            <w:tcW w:w="136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121CB60" w14:textId="77777777" w:rsidR="00FA7EBF" w:rsidRDefault="00FA7EBF">
            <w:pPr>
              <w:pStyle w:val="ARtabletextright"/>
              <w:spacing w:before="70" w:after="50"/>
            </w:pPr>
            <w:r>
              <w:t>2.6</w:t>
            </w:r>
          </w:p>
        </w:tc>
        <w:tc>
          <w:tcPr>
            <w:tcW w:w="62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7883DF9D" w14:textId="77777777" w:rsidR="00FA7EBF" w:rsidRDefault="00FA7EBF">
            <w:pPr>
              <w:pStyle w:val="ARtabletextrightbold"/>
              <w:spacing w:before="70" w:after="50"/>
            </w:pPr>
          </w:p>
        </w:tc>
      </w:tr>
      <w:tr w:rsidR="00FA7EBF" w14:paraId="7C4DCBFA" w14:textId="77777777" w:rsidTr="003075FD">
        <w:tc>
          <w:tcPr>
            <w:tcW w:w="28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DAF2DA2" w14:textId="77777777" w:rsidR="00FA7EBF" w:rsidRDefault="00FA7EBF">
            <w:pPr>
              <w:pStyle w:val="ARtabletext"/>
              <w:spacing w:before="70" w:after="50"/>
              <w:rPr>
                <w:color w:val="000000"/>
              </w:rPr>
            </w:pPr>
            <w:r>
              <w:t>Grants</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4768216" w14:textId="77777777" w:rsidR="00FA7EBF" w:rsidRDefault="00FA7EBF">
            <w:pPr>
              <w:pStyle w:val="ARtabletextright"/>
              <w:spacing w:before="70" w:after="50"/>
            </w:pPr>
            <w:r>
              <w:t>6,792</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1693E7D" w14:textId="77777777" w:rsidR="00FA7EBF" w:rsidRDefault="00FA7EBF">
            <w:pPr>
              <w:pStyle w:val="ARtabletextright"/>
              <w:spacing w:before="70" w:after="50"/>
            </w:pPr>
            <w:r>
              <w:t>6,672</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D8F199A" w14:textId="77777777" w:rsidR="00FA7EBF" w:rsidRDefault="00FA7EBF">
            <w:pPr>
              <w:pStyle w:val="ARtabletextright"/>
              <w:spacing w:before="70" w:after="50"/>
            </w:pPr>
            <w:r>
              <w:t>1.8</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5D5FAC5" w14:textId="77777777" w:rsidR="00FA7EBF" w:rsidRDefault="00FA7EBF">
            <w:pPr>
              <w:pStyle w:val="ARtabletextright"/>
              <w:spacing w:before="70" w:after="50"/>
            </w:pPr>
            <w:r>
              <w:t>6,813</w:t>
            </w:r>
          </w:p>
        </w:tc>
        <w:tc>
          <w:tcPr>
            <w:tcW w:w="136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D021887" w14:textId="77777777" w:rsidR="00FA7EBF" w:rsidRDefault="00FA7EBF">
            <w:pPr>
              <w:pStyle w:val="ARtabletextright"/>
              <w:spacing w:before="70" w:after="50"/>
            </w:pPr>
            <w:r>
              <w:t>(0.3)</w:t>
            </w:r>
          </w:p>
        </w:tc>
        <w:tc>
          <w:tcPr>
            <w:tcW w:w="62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5473DF63" w14:textId="77777777" w:rsidR="00FA7EBF" w:rsidRDefault="00FA7EBF">
            <w:pPr>
              <w:pStyle w:val="ARtabletextrightbold"/>
              <w:spacing w:before="70" w:after="50"/>
            </w:pPr>
          </w:p>
        </w:tc>
      </w:tr>
      <w:tr w:rsidR="00FA7EBF" w14:paraId="1F49A708" w14:textId="77777777" w:rsidTr="003075FD">
        <w:tc>
          <w:tcPr>
            <w:tcW w:w="28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F972F0E" w14:textId="77777777" w:rsidR="00FA7EBF" w:rsidRDefault="00FA7EBF">
            <w:pPr>
              <w:pStyle w:val="ARtabletext"/>
              <w:spacing w:before="70" w:after="50"/>
            </w:pPr>
            <w:r>
              <w:t>Fair value of assets and services received free of charge or for nominal consideration</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5F50207" w14:textId="77777777" w:rsidR="00FA7EBF" w:rsidRDefault="00FA7EBF">
            <w:pPr>
              <w:pStyle w:val="ARtabletextright"/>
              <w:spacing w:before="70" w:after="50"/>
            </w:pPr>
            <w:r>
              <w:t>8</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35BAD7E" w14:textId="77777777" w:rsidR="00FA7EBF" w:rsidRDefault="00FA7EBF">
            <w:pPr>
              <w:pStyle w:val="ARtabletextright"/>
              <w:spacing w:before="70" w:after="50"/>
            </w:pPr>
            <w:r>
              <w:t>–</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F1BAACA" w14:textId="77777777" w:rsidR="00FA7EBF" w:rsidRDefault="00FA7EBF">
            <w:pPr>
              <w:pStyle w:val="ARtabletextright"/>
              <w:spacing w:before="70" w:after="50"/>
            </w:pPr>
            <w:r>
              <w:t>–</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373F66D" w14:textId="77777777" w:rsidR="00FA7EBF" w:rsidRDefault="00FA7EBF">
            <w:pPr>
              <w:pStyle w:val="ARtabletextright"/>
              <w:spacing w:before="70" w:after="50"/>
            </w:pPr>
            <w:r>
              <w:t>1.0</w:t>
            </w:r>
          </w:p>
        </w:tc>
        <w:tc>
          <w:tcPr>
            <w:tcW w:w="136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2C194ED" w14:textId="77777777" w:rsidR="00FA7EBF" w:rsidRDefault="00FA7EBF">
            <w:pPr>
              <w:pStyle w:val="ARtabletextright"/>
              <w:spacing w:before="70" w:after="50"/>
            </w:pPr>
            <w:r>
              <w:t>–</w:t>
            </w:r>
          </w:p>
        </w:tc>
        <w:tc>
          <w:tcPr>
            <w:tcW w:w="62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077B466E" w14:textId="77777777" w:rsidR="00FA7EBF" w:rsidRDefault="00FA7EBF">
            <w:pPr>
              <w:pStyle w:val="ARtabletextrightbold"/>
              <w:spacing w:before="70" w:after="50"/>
            </w:pPr>
          </w:p>
        </w:tc>
      </w:tr>
      <w:tr w:rsidR="00FA7EBF" w14:paraId="34B7B92E" w14:textId="77777777" w:rsidTr="003075FD">
        <w:tc>
          <w:tcPr>
            <w:tcW w:w="2835" w:type="dxa"/>
            <w:tcBorders>
              <w:top w:val="single" w:sz="4" w:space="0" w:color="A6A6A6" w:themeColor="background1" w:themeShade="A6"/>
              <w:left w:val="single" w:sz="4" w:space="0" w:color="FFFFFF"/>
              <w:bottom w:val="single" w:sz="4" w:space="0" w:color="auto"/>
              <w:right w:val="single" w:sz="4" w:space="0" w:color="FFFFFF"/>
            </w:tcBorders>
            <w:hideMark/>
          </w:tcPr>
          <w:p w14:paraId="679992CE" w14:textId="77777777" w:rsidR="00FA7EBF" w:rsidRDefault="00FA7EBF">
            <w:pPr>
              <w:pStyle w:val="ARtabletext"/>
              <w:spacing w:before="70" w:after="50"/>
              <w:rPr>
                <w:color w:val="000000"/>
              </w:rPr>
            </w:pPr>
            <w:r>
              <w:t>Other income</w:t>
            </w:r>
          </w:p>
        </w:tc>
        <w:tc>
          <w:tcPr>
            <w:tcW w:w="1134" w:type="dxa"/>
            <w:tcBorders>
              <w:top w:val="single" w:sz="4" w:space="0" w:color="A6A6A6" w:themeColor="background1" w:themeShade="A6"/>
              <w:left w:val="single" w:sz="4" w:space="0" w:color="FFFFFF"/>
              <w:bottom w:val="single" w:sz="4" w:space="0" w:color="auto"/>
              <w:right w:val="single" w:sz="4" w:space="0" w:color="FFFFFF"/>
            </w:tcBorders>
            <w:hideMark/>
          </w:tcPr>
          <w:p w14:paraId="09A1CBD2" w14:textId="77777777" w:rsidR="00FA7EBF" w:rsidRDefault="00FA7EBF">
            <w:pPr>
              <w:pStyle w:val="ARtabletextright"/>
              <w:spacing w:before="70" w:after="50"/>
            </w:pPr>
            <w:r>
              <w:t>776</w:t>
            </w:r>
          </w:p>
        </w:tc>
        <w:tc>
          <w:tcPr>
            <w:tcW w:w="1134" w:type="dxa"/>
            <w:tcBorders>
              <w:top w:val="single" w:sz="4" w:space="0" w:color="A6A6A6" w:themeColor="background1" w:themeShade="A6"/>
              <w:left w:val="single" w:sz="4" w:space="0" w:color="FFFFFF"/>
              <w:bottom w:val="single" w:sz="4" w:space="0" w:color="auto"/>
              <w:right w:val="single" w:sz="4" w:space="0" w:color="FFFFFF"/>
            </w:tcBorders>
            <w:hideMark/>
          </w:tcPr>
          <w:p w14:paraId="1F14E8BE" w14:textId="77777777" w:rsidR="00FA7EBF" w:rsidRDefault="00FA7EBF">
            <w:pPr>
              <w:pStyle w:val="ARtabletextright"/>
              <w:spacing w:before="70" w:after="50"/>
            </w:pPr>
            <w:r>
              <w:t>743</w:t>
            </w:r>
          </w:p>
        </w:tc>
        <w:tc>
          <w:tcPr>
            <w:tcW w:w="1247" w:type="dxa"/>
            <w:tcBorders>
              <w:top w:val="single" w:sz="4" w:space="0" w:color="A6A6A6" w:themeColor="background1" w:themeShade="A6"/>
              <w:left w:val="single" w:sz="4" w:space="0" w:color="FFFFFF"/>
              <w:bottom w:val="single" w:sz="4" w:space="0" w:color="auto"/>
              <w:right w:val="single" w:sz="4" w:space="0" w:color="FFFFFF"/>
            </w:tcBorders>
            <w:hideMark/>
          </w:tcPr>
          <w:p w14:paraId="0031965F" w14:textId="77777777" w:rsidR="00FA7EBF" w:rsidRDefault="00FA7EBF">
            <w:pPr>
              <w:pStyle w:val="ARtabletextright"/>
              <w:spacing w:before="70" w:after="50"/>
            </w:pPr>
            <w:r>
              <w:t>4.4</w:t>
            </w:r>
          </w:p>
        </w:tc>
        <w:tc>
          <w:tcPr>
            <w:tcW w:w="1304" w:type="dxa"/>
            <w:tcBorders>
              <w:top w:val="single" w:sz="4" w:space="0" w:color="A6A6A6" w:themeColor="background1" w:themeShade="A6"/>
              <w:left w:val="single" w:sz="4" w:space="0" w:color="FFFFFF"/>
              <w:bottom w:val="single" w:sz="4" w:space="0" w:color="auto"/>
              <w:right w:val="single" w:sz="4" w:space="0" w:color="FFFFFF"/>
            </w:tcBorders>
            <w:hideMark/>
          </w:tcPr>
          <w:p w14:paraId="096269B8" w14:textId="77777777" w:rsidR="00FA7EBF" w:rsidRDefault="00FA7EBF">
            <w:pPr>
              <w:pStyle w:val="ARtabletextright"/>
              <w:spacing w:before="70" w:after="50"/>
            </w:pPr>
            <w:r>
              <w:t>681</w:t>
            </w:r>
          </w:p>
        </w:tc>
        <w:tc>
          <w:tcPr>
            <w:tcW w:w="1361" w:type="dxa"/>
            <w:tcBorders>
              <w:top w:val="single" w:sz="4" w:space="0" w:color="A6A6A6" w:themeColor="background1" w:themeShade="A6"/>
              <w:left w:val="single" w:sz="4" w:space="0" w:color="FFFFFF"/>
              <w:bottom w:val="single" w:sz="4" w:space="0" w:color="auto"/>
              <w:right w:val="single" w:sz="4" w:space="0" w:color="FFFFFF"/>
            </w:tcBorders>
            <w:hideMark/>
          </w:tcPr>
          <w:p w14:paraId="1F7E7BF5" w14:textId="77777777" w:rsidR="00FA7EBF" w:rsidRDefault="00FA7EBF">
            <w:pPr>
              <w:pStyle w:val="ARtabletextright"/>
              <w:spacing w:before="70" w:after="50"/>
            </w:pPr>
            <w:r>
              <w:t>13.9</w:t>
            </w:r>
          </w:p>
        </w:tc>
        <w:tc>
          <w:tcPr>
            <w:tcW w:w="624" w:type="dxa"/>
            <w:tcBorders>
              <w:top w:val="single" w:sz="4" w:space="0" w:color="A6A6A6" w:themeColor="background1" w:themeShade="A6"/>
              <w:left w:val="single" w:sz="4" w:space="0" w:color="FFFFFF"/>
              <w:bottom w:val="single" w:sz="4" w:space="0" w:color="auto"/>
              <w:right w:val="single" w:sz="4" w:space="0" w:color="FFFFFF"/>
            </w:tcBorders>
            <w:hideMark/>
          </w:tcPr>
          <w:p w14:paraId="52662C20" w14:textId="77777777" w:rsidR="00FA7EBF" w:rsidRDefault="00FA7EBF">
            <w:pPr>
              <w:pStyle w:val="ARtabletextrightbold"/>
              <w:spacing w:before="70" w:after="50"/>
            </w:pPr>
            <w:r>
              <w:t>2</w:t>
            </w:r>
          </w:p>
        </w:tc>
      </w:tr>
      <w:tr w:rsidR="00FA7EBF" w14:paraId="57B98B6C" w14:textId="77777777" w:rsidTr="003075FD">
        <w:tc>
          <w:tcPr>
            <w:tcW w:w="2835" w:type="dxa"/>
            <w:tcBorders>
              <w:top w:val="single" w:sz="4" w:space="0" w:color="auto"/>
              <w:left w:val="single" w:sz="4" w:space="0" w:color="FFFFFF"/>
              <w:bottom w:val="single" w:sz="4" w:space="0" w:color="auto"/>
              <w:right w:val="single" w:sz="4" w:space="0" w:color="FFFFFF"/>
            </w:tcBorders>
            <w:hideMark/>
          </w:tcPr>
          <w:p w14:paraId="0747EAF0" w14:textId="77777777" w:rsidR="00FA7EBF" w:rsidRDefault="00FA7EBF">
            <w:pPr>
              <w:pStyle w:val="ARtabletextbold"/>
              <w:spacing w:before="70" w:after="50"/>
            </w:pPr>
            <w:r>
              <w:t>Total income from transactions</w:t>
            </w:r>
          </w:p>
        </w:tc>
        <w:tc>
          <w:tcPr>
            <w:tcW w:w="1134" w:type="dxa"/>
            <w:tcBorders>
              <w:top w:val="single" w:sz="4" w:space="0" w:color="auto"/>
              <w:left w:val="single" w:sz="4" w:space="0" w:color="FFFFFF"/>
              <w:bottom w:val="single" w:sz="4" w:space="0" w:color="auto"/>
              <w:right w:val="single" w:sz="4" w:space="0" w:color="FFFFFF"/>
            </w:tcBorders>
            <w:hideMark/>
          </w:tcPr>
          <w:p w14:paraId="6D0CA8C4" w14:textId="77777777" w:rsidR="00FA7EBF" w:rsidRDefault="00FA7EBF">
            <w:pPr>
              <w:pStyle w:val="ARtabletextrightbold"/>
              <w:spacing w:before="70" w:after="50"/>
            </w:pPr>
            <w:r>
              <w:t>27,106</w:t>
            </w:r>
          </w:p>
        </w:tc>
        <w:tc>
          <w:tcPr>
            <w:tcW w:w="1134" w:type="dxa"/>
            <w:tcBorders>
              <w:top w:val="single" w:sz="4" w:space="0" w:color="auto"/>
              <w:left w:val="single" w:sz="4" w:space="0" w:color="FFFFFF"/>
              <w:bottom w:val="single" w:sz="4" w:space="0" w:color="auto"/>
              <w:right w:val="single" w:sz="4" w:space="0" w:color="FFFFFF"/>
            </w:tcBorders>
            <w:hideMark/>
          </w:tcPr>
          <w:p w14:paraId="19B34E28" w14:textId="77777777" w:rsidR="00FA7EBF" w:rsidRDefault="00FA7EBF">
            <w:pPr>
              <w:pStyle w:val="ARtabletextrightbold"/>
              <w:spacing w:before="70" w:after="50"/>
            </w:pPr>
            <w:r>
              <w:t>27,024</w:t>
            </w:r>
          </w:p>
        </w:tc>
        <w:tc>
          <w:tcPr>
            <w:tcW w:w="1247" w:type="dxa"/>
            <w:tcBorders>
              <w:top w:val="single" w:sz="4" w:space="0" w:color="auto"/>
              <w:left w:val="single" w:sz="4" w:space="0" w:color="FFFFFF"/>
              <w:bottom w:val="single" w:sz="4" w:space="0" w:color="auto"/>
              <w:right w:val="single" w:sz="4" w:space="0" w:color="FFFFFF"/>
            </w:tcBorders>
            <w:hideMark/>
          </w:tcPr>
          <w:p w14:paraId="0ECA1E30" w14:textId="77777777" w:rsidR="00FA7EBF" w:rsidRDefault="00FA7EBF">
            <w:pPr>
              <w:pStyle w:val="ARtabletextrightbold"/>
              <w:spacing w:before="70" w:after="50"/>
            </w:pPr>
            <w:r>
              <w:t>0.3</w:t>
            </w:r>
          </w:p>
        </w:tc>
        <w:tc>
          <w:tcPr>
            <w:tcW w:w="1304" w:type="dxa"/>
            <w:tcBorders>
              <w:top w:val="single" w:sz="4" w:space="0" w:color="auto"/>
              <w:left w:val="single" w:sz="4" w:space="0" w:color="FFFFFF"/>
              <w:bottom w:val="single" w:sz="4" w:space="0" w:color="auto"/>
              <w:right w:val="single" w:sz="4" w:space="0" w:color="FFFFFF"/>
            </w:tcBorders>
            <w:hideMark/>
          </w:tcPr>
          <w:p w14:paraId="7AF4E01D" w14:textId="77777777" w:rsidR="00FA7EBF" w:rsidRDefault="00FA7EBF">
            <w:pPr>
              <w:pStyle w:val="ARtabletextrightbold"/>
              <w:spacing w:before="70" w:after="50"/>
            </w:pPr>
            <w:r>
              <w:t>26,683</w:t>
            </w:r>
          </w:p>
        </w:tc>
        <w:tc>
          <w:tcPr>
            <w:tcW w:w="1361" w:type="dxa"/>
            <w:tcBorders>
              <w:top w:val="single" w:sz="4" w:space="0" w:color="auto"/>
              <w:left w:val="single" w:sz="4" w:space="0" w:color="FFFFFF"/>
              <w:bottom w:val="single" w:sz="4" w:space="0" w:color="auto"/>
              <w:right w:val="single" w:sz="4" w:space="0" w:color="FFFFFF"/>
            </w:tcBorders>
            <w:hideMark/>
          </w:tcPr>
          <w:p w14:paraId="1F46C015" w14:textId="77777777" w:rsidR="00FA7EBF" w:rsidRDefault="00FA7EBF">
            <w:pPr>
              <w:pStyle w:val="ARtabletextrightbold"/>
              <w:spacing w:before="70" w:after="50"/>
            </w:pPr>
            <w:r>
              <w:t>1.6</w:t>
            </w:r>
          </w:p>
        </w:tc>
        <w:tc>
          <w:tcPr>
            <w:tcW w:w="624" w:type="dxa"/>
            <w:tcBorders>
              <w:top w:val="single" w:sz="4" w:space="0" w:color="auto"/>
              <w:left w:val="single" w:sz="4" w:space="0" w:color="FFFFFF"/>
              <w:bottom w:val="single" w:sz="4" w:space="0" w:color="auto"/>
              <w:right w:val="single" w:sz="4" w:space="0" w:color="FFFFFF"/>
            </w:tcBorders>
          </w:tcPr>
          <w:p w14:paraId="7843AFBB" w14:textId="77777777" w:rsidR="00FA7EBF" w:rsidRDefault="00FA7EBF">
            <w:pPr>
              <w:pStyle w:val="ARtabletextrightbold"/>
              <w:spacing w:before="70" w:after="50"/>
            </w:pPr>
          </w:p>
        </w:tc>
      </w:tr>
      <w:tr w:rsidR="00FA7EBF" w14:paraId="5863EE5D" w14:textId="77777777" w:rsidTr="003075FD">
        <w:tc>
          <w:tcPr>
            <w:tcW w:w="9639" w:type="dxa"/>
            <w:gridSpan w:val="7"/>
            <w:tcBorders>
              <w:top w:val="single" w:sz="4" w:space="0" w:color="auto"/>
              <w:left w:val="single" w:sz="4" w:space="0" w:color="FFFFFF"/>
              <w:bottom w:val="single" w:sz="4" w:space="0" w:color="A6A6A6" w:themeColor="background1" w:themeShade="A6"/>
              <w:right w:val="single" w:sz="4" w:space="0" w:color="FFFFFF"/>
            </w:tcBorders>
            <w:hideMark/>
          </w:tcPr>
          <w:p w14:paraId="04269D0F" w14:textId="77777777" w:rsidR="00FA7EBF" w:rsidRDefault="00FA7EBF">
            <w:pPr>
              <w:pStyle w:val="ARtabletextbold"/>
              <w:spacing w:before="70" w:after="50"/>
            </w:pPr>
            <w:r>
              <w:t>Expenses from transactions</w:t>
            </w:r>
          </w:p>
        </w:tc>
      </w:tr>
      <w:tr w:rsidR="00FA7EBF" w14:paraId="71EA7F47" w14:textId="77777777" w:rsidTr="003075FD">
        <w:tc>
          <w:tcPr>
            <w:tcW w:w="28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CBC3C2E" w14:textId="77777777" w:rsidR="00FA7EBF" w:rsidRDefault="00FA7EBF">
            <w:pPr>
              <w:pStyle w:val="ARtabletext"/>
              <w:spacing w:before="70" w:after="50"/>
              <w:rPr>
                <w:color w:val="000000"/>
              </w:rPr>
            </w:pPr>
            <w:r>
              <w:t>Employee benefits</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C5D74BF" w14:textId="77777777" w:rsidR="00FA7EBF" w:rsidRDefault="00FA7EBF">
            <w:pPr>
              <w:pStyle w:val="ARtabletextright"/>
              <w:spacing w:before="70" w:after="50"/>
            </w:pPr>
            <w:r>
              <w:t>12,861</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8549A88" w14:textId="77777777" w:rsidR="00FA7EBF" w:rsidRDefault="00FA7EBF">
            <w:pPr>
              <w:pStyle w:val="ARtabletextright"/>
              <w:spacing w:before="70" w:after="50"/>
            </w:pPr>
            <w:r>
              <w:t>12,978</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0B91067" w14:textId="77777777" w:rsidR="00FA7EBF" w:rsidRDefault="00FA7EBF">
            <w:pPr>
              <w:pStyle w:val="ARtabletextright"/>
              <w:spacing w:before="70" w:after="50"/>
            </w:pPr>
            <w:r>
              <w:t>(0.9)</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6B6ED59" w14:textId="77777777" w:rsidR="00FA7EBF" w:rsidRDefault="00FA7EBF">
            <w:pPr>
              <w:pStyle w:val="ARtabletextright"/>
              <w:spacing w:before="70" w:after="50"/>
            </w:pPr>
            <w:r>
              <w:t>12,806</w:t>
            </w:r>
          </w:p>
        </w:tc>
        <w:tc>
          <w:tcPr>
            <w:tcW w:w="136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2BC566F" w14:textId="77777777" w:rsidR="00FA7EBF" w:rsidRDefault="00FA7EBF">
            <w:pPr>
              <w:pStyle w:val="ARtabletextright"/>
              <w:spacing w:before="70" w:after="50"/>
            </w:pPr>
            <w:r>
              <w:t>0.4</w:t>
            </w:r>
          </w:p>
        </w:tc>
        <w:tc>
          <w:tcPr>
            <w:tcW w:w="62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4E4CC33B" w14:textId="77777777" w:rsidR="00FA7EBF" w:rsidRDefault="00FA7EBF">
            <w:pPr>
              <w:pStyle w:val="ARtabletextrightbold"/>
              <w:spacing w:before="70" w:after="50"/>
            </w:pPr>
          </w:p>
        </w:tc>
      </w:tr>
      <w:tr w:rsidR="00FA7EBF" w14:paraId="5A795104" w14:textId="77777777" w:rsidTr="003075FD">
        <w:tc>
          <w:tcPr>
            <w:tcW w:w="28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C21C69F" w14:textId="77777777" w:rsidR="00FA7EBF" w:rsidRDefault="00FA7EBF">
            <w:pPr>
              <w:pStyle w:val="ARtabletext"/>
              <w:spacing w:before="70" w:after="50"/>
              <w:rPr>
                <w:color w:val="000000"/>
              </w:rPr>
            </w:pPr>
            <w:r>
              <w:t>Depreciation</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6CD971B" w14:textId="77777777" w:rsidR="00FA7EBF" w:rsidRDefault="00FA7EBF">
            <w:pPr>
              <w:pStyle w:val="ARtabletextright"/>
              <w:spacing w:before="70" w:after="50"/>
            </w:pPr>
            <w:r>
              <w:t>960</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82ABC60" w14:textId="77777777" w:rsidR="00FA7EBF" w:rsidRDefault="00FA7EBF">
            <w:pPr>
              <w:pStyle w:val="ARtabletextright"/>
              <w:spacing w:before="70" w:after="50"/>
            </w:pPr>
            <w:r>
              <w:t>977</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A899958" w14:textId="77777777" w:rsidR="00FA7EBF" w:rsidRDefault="00FA7EBF">
            <w:pPr>
              <w:pStyle w:val="ARtabletextright"/>
              <w:spacing w:before="70" w:after="50"/>
            </w:pPr>
            <w:r>
              <w:t>(1.7)</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BCCC972" w14:textId="77777777" w:rsidR="00FA7EBF" w:rsidRDefault="00FA7EBF">
            <w:pPr>
              <w:pStyle w:val="ARtabletextright"/>
              <w:spacing w:before="70" w:after="50"/>
            </w:pPr>
            <w:r>
              <w:t>965</w:t>
            </w:r>
          </w:p>
        </w:tc>
        <w:tc>
          <w:tcPr>
            <w:tcW w:w="136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A58D349" w14:textId="77777777" w:rsidR="00FA7EBF" w:rsidRDefault="00FA7EBF">
            <w:pPr>
              <w:pStyle w:val="ARtabletextright"/>
              <w:spacing w:before="70" w:after="50"/>
            </w:pPr>
            <w:r>
              <w:t>(0.5)</w:t>
            </w:r>
          </w:p>
        </w:tc>
        <w:tc>
          <w:tcPr>
            <w:tcW w:w="62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4CAE6C30" w14:textId="77777777" w:rsidR="00FA7EBF" w:rsidRDefault="00FA7EBF">
            <w:pPr>
              <w:pStyle w:val="ARtabletextrightbold"/>
              <w:spacing w:before="70" w:after="50"/>
            </w:pPr>
          </w:p>
        </w:tc>
      </w:tr>
      <w:tr w:rsidR="00FA7EBF" w14:paraId="37574C12" w14:textId="77777777" w:rsidTr="003075FD">
        <w:tc>
          <w:tcPr>
            <w:tcW w:w="28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B25EFA6" w14:textId="77777777" w:rsidR="00FA7EBF" w:rsidRDefault="00FA7EBF">
            <w:pPr>
              <w:pStyle w:val="ARtabletext"/>
              <w:spacing w:before="70" w:after="50"/>
              <w:rPr>
                <w:color w:val="000000"/>
              </w:rPr>
            </w:pPr>
            <w:r>
              <w:t>Interest expense</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967B467" w14:textId="77777777" w:rsidR="00FA7EBF" w:rsidRDefault="00FA7EBF">
            <w:pPr>
              <w:pStyle w:val="ARtabletextright"/>
              <w:spacing w:before="70" w:after="50"/>
            </w:pPr>
            <w:r>
              <w:t>185</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A80D26D" w14:textId="77777777" w:rsidR="00FA7EBF" w:rsidRDefault="00FA7EBF">
            <w:pPr>
              <w:pStyle w:val="ARtabletextright"/>
              <w:spacing w:before="70" w:after="50"/>
            </w:pPr>
            <w:r>
              <w:t>188</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B154E94" w14:textId="77777777" w:rsidR="00FA7EBF" w:rsidRDefault="00FA7EBF">
            <w:pPr>
              <w:pStyle w:val="ARtabletextright"/>
              <w:spacing w:before="70" w:after="50"/>
            </w:pPr>
            <w:r>
              <w:t>(1.4)</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B745955" w14:textId="77777777" w:rsidR="00FA7EBF" w:rsidRDefault="00FA7EBF">
            <w:pPr>
              <w:pStyle w:val="ARtabletextright"/>
              <w:spacing w:before="70" w:after="50"/>
            </w:pPr>
            <w:r>
              <w:t>187</w:t>
            </w:r>
          </w:p>
        </w:tc>
        <w:tc>
          <w:tcPr>
            <w:tcW w:w="136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993FC5B" w14:textId="77777777" w:rsidR="00FA7EBF" w:rsidRDefault="00FA7EBF">
            <w:pPr>
              <w:pStyle w:val="ARtabletextright"/>
              <w:spacing w:before="70" w:after="50"/>
            </w:pPr>
            <w:r>
              <w:t>(0.9)</w:t>
            </w:r>
          </w:p>
        </w:tc>
        <w:tc>
          <w:tcPr>
            <w:tcW w:w="62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5D44E6CE" w14:textId="77777777" w:rsidR="00FA7EBF" w:rsidRDefault="00FA7EBF">
            <w:pPr>
              <w:pStyle w:val="ARtabletextrightbold"/>
              <w:spacing w:before="70" w:after="50"/>
            </w:pPr>
          </w:p>
        </w:tc>
      </w:tr>
      <w:tr w:rsidR="00FA7EBF" w14:paraId="3ED5D0AB" w14:textId="77777777" w:rsidTr="003075FD">
        <w:tc>
          <w:tcPr>
            <w:tcW w:w="28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B0E2336" w14:textId="77777777" w:rsidR="00FA7EBF" w:rsidRDefault="00FA7EBF">
            <w:pPr>
              <w:pStyle w:val="ARtabletext"/>
              <w:spacing w:before="70" w:after="50"/>
              <w:rPr>
                <w:color w:val="000000"/>
              </w:rPr>
            </w:pPr>
            <w:r>
              <w:t>Grants and other transfers</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8698BD5" w14:textId="77777777" w:rsidR="00FA7EBF" w:rsidRDefault="00FA7EBF">
            <w:pPr>
              <w:pStyle w:val="ARtabletextright"/>
              <w:spacing w:before="70" w:after="50"/>
            </w:pPr>
            <w:r>
              <w:t>3,241</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4265394" w14:textId="77777777" w:rsidR="00FA7EBF" w:rsidRDefault="00FA7EBF">
            <w:pPr>
              <w:pStyle w:val="ARtabletextright"/>
              <w:spacing w:before="70" w:after="50"/>
            </w:pPr>
            <w:r>
              <w:t>3,153</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D612F81" w14:textId="77777777" w:rsidR="00FA7EBF" w:rsidRDefault="00FA7EBF">
            <w:pPr>
              <w:pStyle w:val="ARtabletextright"/>
              <w:spacing w:before="70" w:after="50"/>
            </w:pPr>
            <w:r>
              <w:t>2.8</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468406F" w14:textId="77777777" w:rsidR="00FA7EBF" w:rsidRDefault="00FA7EBF">
            <w:pPr>
              <w:pStyle w:val="ARtabletextright"/>
              <w:spacing w:before="70" w:after="50"/>
            </w:pPr>
            <w:r>
              <w:t>3,028</w:t>
            </w:r>
          </w:p>
        </w:tc>
        <w:tc>
          <w:tcPr>
            <w:tcW w:w="136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E7C8A43" w14:textId="77777777" w:rsidR="00FA7EBF" w:rsidRDefault="00FA7EBF">
            <w:pPr>
              <w:pStyle w:val="ARtabletextright"/>
              <w:spacing w:before="70" w:after="50"/>
            </w:pPr>
            <w:r>
              <w:t>7.0</w:t>
            </w:r>
          </w:p>
        </w:tc>
        <w:tc>
          <w:tcPr>
            <w:tcW w:w="62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7AD0FF0F" w14:textId="77777777" w:rsidR="00FA7EBF" w:rsidRDefault="00FA7EBF">
            <w:pPr>
              <w:pStyle w:val="ARtabletextrightbold"/>
              <w:spacing w:before="70" w:after="50"/>
            </w:pPr>
          </w:p>
        </w:tc>
      </w:tr>
      <w:tr w:rsidR="00FA7EBF" w14:paraId="62D274E5" w14:textId="77777777" w:rsidTr="003075FD">
        <w:tc>
          <w:tcPr>
            <w:tcW w:w="28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BB31174" w14:textId="77777777" w:rsidR="00FA7EBF" w:rsidRDefault="00FA7EBF">
            <w:pPr>
              <w:pStyle w:val="ARtabletext"/>
              <w:spacing w:before="70" w:after="50"/>
              <w:rPr>
                <w:color w:val="000000"/>
              </w:rPr>
            </w:pPr>
            <w:r>
              <w:t>Capital asset charge</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FB1671C" w14:textId="77777777" w:rsidR="00FA7EBF" w:rsidRDefault="00FA7EBF">
            <w:pPr>
              <w:pStyle w:val="ARtabletextright"/>
              <w:spacing w:before="70" w:after="50"/>
            </w:pPr>
            <w:r>
              <w:t>1,266</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3CD5A17" w14:textId="77777777" w:rsidR="00FA7EBF" w:rsidRDefault="00FA7EBF">
            <w:pPr>
              <w:pStyle w:val="ARtabletextright"/>
              <w:spacing w:before="70" w:after="50"/>
            </w:pPr>
            <w:r>
              <w:t>1,266</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805F1AF" w14:textId="77777777" w:rsidR="00FA7EBF" w:rsidRDefault="00FA7EBF">
            <w:pPr>
              <w:pStyle w:val="ARtabletextright"/>
              <w:spacing w:before="70" w:after="50"/>
            </w:pPr>
            <w:r>
              <w:t>–</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7158B6F" w14:textId="77777777" w:rsidR="00FA7EBF" w:rsidRDefault="00FA7EBF">
            <w:pPr>
              <w:pStyle w:val="ARtabletextright"/>
              <w:spacing w:before="70" w:after="50"/>
            </w:pPr>
            <w:r>
              <w:t>1,267</w:t>
            </w:r>
          </w:p>
        </w:tc>
        <w:tc>
          <w:tcPr>
            <w:tcW w:w="136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092F864" w14:textId="77777777" w:rsidR="00FA7EBF" w:rsidRDefault="00FA7EBF">
            <w:pPr>
              <w:pStyle w:val="ARtabletextright"/>
              <w:spacing w:before="70" w:after="50"/>
            </w:pPr>
            <w:r>
              <w:t>(0.1)</w:t>
            </w:r>
          </w:p>
        </w:tc>
        <w:tc>
          <w:tcPr>
            <w:tcW w:w="62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314FF0B7" w14:textId="77777777" w:rsidR="00FA7EBF" w:rsidRDefault="00FA7EBF">
            <w:pPr>
              <w:pStyle w:val="ARtabletextrightbold"/>
              <w:spacing w:before="70" w:after="50"/>
            </w:pPr>
          </w:p>
        </w:tc>
      </w:tr>
      <w:tr w:rsidR="00FA7EBF" w14:paraId="631576C4" w14:textId="77777777" w:rsidTr="003075FD">
        <w:tc>
          <w:tcPr>
            <w:tcW w:w="2835" w:type="dxa"/>
            <w:tcBorders>
              <w:top w:val="single" w:sz="4" w:space="0" w:color="A6A6A6" w:themeColor="background1" w:themeShade="A6"/>
              <w:left w:val="single" w:sz="4" w:space="0" w:color="FFFFFF"/>
              <w:bottom w:val="single" w:sz="4" w:space="0" w:color="auto"/>
              <w:right w:val="single" w:sz="4" w:space="0" w:color="FFFFFF"/>
            </w:tcBorders>
            <w:hideMark/>
          </w:tcPr>
          <w:p w14:paraId="3EDB5BEB" w14:textId="77777777" w:rsidR="00FA7EBF" w:rsidRDefault="00FA7EBF">
            <w:pPr>
              <w:pStyle w:val="ARtabletext"/>
              <w:spacing w:before="70" w:after="50"/>
              <w:rPr>
                <w:color w:val="000000"/>
              </w:rPr>
            </w:pPr>
            <w:r>
              <w:t>Other operating expenses</w:t>
            </w:r>
          </w:p>
        </w:tc>
        <w:tc>
          <w:tcPr>
            <w:tcW w:w="1134" w:type="dxa"/>
            <w:tcBorders>
              <w:top w:val="single" w:sz="4" w:space="0" w:color="A6A6A6" w:themeColor="background1" w:themeShade="A6"/>
              <w:left w:val="single" w:sz="4" w:space="0" w:color="FFFFFF"/>
              <w:bottom w:val="single" w:sz="4" w:space="0" w:color="auto"/>
              <w:right w:val="single" w:sz="4" w:space="0" w:color="FFFFFF"/>
            </w:tcBorders>
            <w:hideMark/>
          </w:tcPr>
          <w:p w14:paraId="00622157" w14:textId="77777777" w:rsidR="00FA7EBF" w:rsidRDefault="00FA7EBF">
            <w:pPr>
              <w:pStyle w:val="ARtabletextright"/>
              <w:spacing w:before="70" w:after="50"/>
            </w:pPr>
            <w:r>
              <w:t>8,402</w:t>
            </w:r>
          </w:p>
        </w:tc>
        <w:tc>
          <w:tcPr>
            <w:tcW w:w="1134" w:type="dxa"/>
            <w:tcBorders>
              <w:top w:val="single" w:sz="4" w:space="0" w:color="A6A6A6" w:themeColor="background1" w:themeShade="A6"/>
              <w:left w:val="single" w:sz="4" w:space="0" w:color="FFFFFF"/>
              <w:bottom w:val="single" w:sz="4" w:space="0" w:color="auto"/>
              <w:right w:val="single" w:sz="4" w:space="0" w:color="FFFFFF"/>
            </w:tcBorders>
            <w:hideMark/>
          </w:tcPr>
          <w:p w14:paraId="4FA5A759" w14:textId="77777777" w:rsidR="00FA7EBF" w:rsidRDefault="00FA7EBF">
            <w:pPr>
              <w:pStyle w:val="ARtabletextright"/>
              <w:spacing w:before="70" w:after="50"/>
            </w:pPr>
            <w:r>
              <w:t>8,380</w:t>
            </w:r>
          </w:p>
        </w:tc>
        <w:tc>
          <w:tcPr>
            <w:tcW w:w="1247" w:type="dxa"/>
            <w:tcBorders>
              <w:top w:val="single" w:sz="4" w:space="0" w:color="A6A6A6" w:themeColor="background1" w:themeShade="A6"/>
              <w:left w:val="single" w:sz="4" w:space="0" w:color="FFFFFF"/>
              <w:bottom w:val="single" w:sz="4" w:space="0" w:color="auto"/>
              <w:right w:val="single" w:sz="4" w:space="0" w:color="FFFFFF"/>
            </w:tcBorders>
            <w:hideMark/>
          </w:tcPr>
          <w:p w14:paraId="2111E9A3" w14:textId="77777777" w:rsidR="00FA7EBF" w:rsidRDefault="00FA7EBF">
            <w:pPr>
              <w:pStyle w:val="ARtabletextright"/>
              <w:spacing w:before="70" w:after="50"/>
            </w:pPr>
            <w:r>
              <w:t>0.3</w:t>
            </w:r>
          </w:p>
        </w:tc>
        <w:tc>
          <w:tcPr>
            <w:tcW w:w="1304" w:type="dxa"/>
            <w:tcBorders>
              <w:top w:val="single" w:sz="4" w:space="0" w:color="A6A6A6" w:themeColor="background1" w:themeShade="A6"/>
              <w:left w:val="single" w:sz="4" w:space="0" w:color="FFFFFF"/>
              <w:bottom w:val="single" w:sz="4" w:space="0" w:color="auto"/>
              <w:right w:val="single" w:sz="4" w:space="0" w:color="FFFFFF"/>
            </w:tcBorders>
            <w:hideMark/>
          </w:tcPr>
          <w:p w14:paraId="473CCE15" w14:textId="77777777" w:rsidR="00FA7EBF" w:rsidRDefault="00FA7EBF">
            <w:pPr>
              <w:pStyle w:val="ARtabletextright"/>
              <w:spacing w:before="70" w:after="50"/>
            </w:pPr>
            <w:r>
              <w:t>8,211</w:t>
            </w:r>
          </w:p>
        </w:tc>
        <w:tc>
          <w:tcPr>
            <w:tcW w:w="1361" w:type="dxa"/>
            <w:tcBorders>
              <w:top w:val="single" w:sz="4" w:space="0" w:color="A6A6A6" w:themeColor="background1" w:themeShade="A6"/>
              <w:left w:val="single" w:sz="4" w:space="0" w:color="FFFFFF"/>
              <w:bottom w:val="single" w:sz="4" w:space="0" w:color="auto"/>
              <w:right w:val="single" w:sz="4" w:space="0" w:color="FFFFFF"/>
            </w:tcBorders>
            <w:hideMark/>
          </w:tcPr>
          <w:p w14:paraId="02BADA7E" w14:textId="77777777" w:rsidR="00FA7EBF" w:rsidRDefault="00FA7EBF">
            <w:pPr>
              <w:pStyle w:val="ARtabletextright"/>
              <w:spacing w:before="70" w:after="50"/>
            </w:pPr>
            <w:r>
              <w:t>2.3</w:t>
            </w:r>
          </w:p>
        </w:tc>
        <w:tc>
          <w:tcPr>
            <w:tcW w:w="624" w:type="dxa"/>
            <w:tcBorders>
              <w:top w:val="single" w:sz="4" w:space="0" w:color="A6A6A6" w:themeColor="background1" w:themeShade="A6"/>
              <w:left w:val="single" w:sz="4" w:space="0" w:color="FFFFFF"/>
              <w:bottom w:val="single" w:sz="4" w:space="0" w:color="auto"/>
              <w:right w:val="single" w:sz="4" w:space="0" w:color="FFFFFF"/>
            </w:tcBorders>
          </w:tcPr>
          <w:p w14:paraId="555CC59A" w14:textId="77777777" w:rsidR="00FA7EBF" w:rsidRDefault="00FA7EBF">
            <w:pPr>
              <w:pStyle w:val="ARtabletextrightbold"/>
              <w:spacing w:before="70" w:after="50"/>
            </w:pPr>
          </w:p>
        </w:tc>
      </w:tr>
      <w:tr w:rsidR="00FA7EBF" w14:paraId="7DEF3FA3" w14:textId="77777777" w:rsidTr="003075FD">
        <w:tc>
          <w:tcPr>
            <w:tcW w:w="2835" w:type="dxa"/>
            <w:tcBorders>
              <w:top w:val="single" w:sz="4" w:space="0" w:color="auto"/>
              <w:left w:val="single" w:sz="4" w:space="0" w:color="FFFFFF"/>
              <w:bottom w:val="single" w:sz="4" w:space="0" w:color="auto"/>
              <w:right w:val="single" w:sz="4" w:space="0" w:color="FFFFFF"/>
            </w:tcBorders>
            <w:hideMark/>
          </w:tcPr>
          <w:p w14:paraId="497A3B88" w14:textId="77777777" w:rsidR="00FA7EBF" w:rsidRDefault="00FA7EBF">
            <w:pPr>
              <w:pStyle w:val="ARtabletextbold"/>
              <w:spacing w:before="70" w:after="50"/>
            </w:pPr>
            <w:r>
              <w:t>Total expenses from transactions</w:t>
            </w:r>
          </w:p>
        </w:tc>
        <w:tc>
          <w:tcPr>
            <w:tcW w:w="1134" w:type="dxa"/>
            <w:tcBorders>
              <w:top w:val="single" w:sz="4" w:space="0" w:color="auto"/>
              <w:left w:val="single" w:sz="4" w:space="0" w:color="FFFFFF"/>
              <w:bottom w:val="single" w:sz="4" w:space="0" w:color="auto"/>
              <w:right w:val="single" w:sz="4" w:space="0" w:color="FFFFFF"/>
            </w:tcBorders>
            <w:hideMark/>
          </w:tcPr>
          <w:p w14:paraId="714AB3AF" w14:textId="77777777" w:rsidR="00FA7EBF" w:rsidRDefault="00FA7EBF">
            <w:pPr>
              <w:pStyle w:val="ARtabletextrightbold"/>
              <w:spacing w:before="70" w:after="50"/>
            </w:pPr>
            <w:r>
              <w:t>26,916</w:t>
            </w:r>
          </w:p>
        </w:tc>
        <w:tc>
          <w:tcPr>
            <w:tcW w:w="1134" w:type="dxa"/>
            <w:tcBorders>
              <w:top w:val="single" w:sz="4" w:space="0" w:color="auto"/>
              <w:left w:val="single" w:sz="4" w:space="0" w:color="FFFFFF"/>
              <w:bottom w:val="single" w:sz="4" w:space="0" w:color="auto"/>
              <w:right w:val="single" w:sz="4" w:space="0" w:color="FFFFFF"/>
            </w:tcBorders>
            <w:hideMark/>
          </w:tcPr>
          <w:p w14:paraId="59DC3443" w14:textId="77777777" w:rsidR="00FA7EBF" w:rsidRDefault="00FA7EBF">
            <w:pPr>
              <w:pStyle w:val="ARtabletextrightbold"/>
              <w:spacing w:before="70" w:after="50"/>
            </w:pPr>
            <w:r>
              <w:t>26,943</w:t>
            </w:r>
          </w:p>
        </w:tc>
        <w:tc>
          <w:tcPr>
            <w:tcW w:w="1247" w:type="dxa"/>
            <w:tcBorders>
              <w:top w:val="single" w:sz="4" w:space="0" w:color="auto"/>
              <w:left w:val="single" w:sz="4" w:space="0" w:color="FFFFFF"/>
              <w:bottom w:val="single" w:sz="4" w:space="0" w:color="auto"/>
              <w:right w:val="single" w:sz="4" w:space="0" w:color="FFFFFF"/>
            </w:tcBorders>
            <w:hideMark/>
          </w:tcPr>
          <w:p w14:paraId="6FCDD98F" w14:textId="77777777" w:rsidR="00FA7EBF" w:rsidRDefault="00FA7EBF">
            <w:pPr>
              <w:pStyle w:val="ARtabletextrightbold"/>
              <w:spacing w:before="70" w:after="50"/>
            </w:pPr>
            <w:r>
              <w:t>(0.1)</w:t>
            </w:r>
          </w:p>
        </w:tc>
        <w:tc>
          <w:tcPr>
            <w:tcW w:w="1304" w:type="dxa"/>
            <w:tcBorders>
              <w:top w:val="single" w:sz="4" w:space="0" w:color="auto"/>
              <w:left w:val="single" w:sz="4" w:space="0" w:color="FFFFFF"/>
              <w:bottom w:val="single" w:sz="4" w:space="0" w:color="auto"/>
              <w:right w:val="single" w:sz="4" w:space="0" w:color="FFFFFF"/>
            </w:tcBorders>
            <w:hideMark/>
          </w:tcPr>
          <w:p w14:paraId="47204061" w14:textId="77777777" w:rsidR="00FA7EBF" w:rsidRDefault="00FA7EBF">
            <w:pPr>
              <w:pStyle w:val="ARtabletextrightbold"/>
              <w:spacing w:before="70" w:after="50"/>
            </w:pPr>
            <w:r>
              <w:t>26,464</w:t>
            </w:r>
          </w:p>
        </w:tc>
        <w:tc>
          <w:tcPr>
            <w:tcW w:w="1361" w:type="dxa"/>
            <w:tcBorders>
              <w:top w:val="single" w:sz="4" w:space="0" w:color="auto"/>
              <w:left w:val="single" w:sz="4" w:space="0" w:color="FFFFFF"/>
              <w:bottom w:val="single" w:sz="4" w:space="0" w:color="auto"/>
              <w:right w:val="single" w:sz="4" w:space="0" w:color="FFFFFF"/>
            </w:tcBorders>
            <w:hideMark/>
          </w:tcPr>
          <w:p w14:paraId="3B52A5C6" w14:textId="77777777" w:rsidR="00FA7EBF" w:rsidRDefault="00FA7EBF">
            <w:pPr>
              <w:pStyle w:val="ARtabletextrightbold"/>
              <w:spacing w:before="70" w:after="50"/>
            </w:pPr>
            <w:r>
              <w:t>1.7</w:t>
            </w:r>
          </w:p>
        </w:tc>
        <w:tc>
          <w:tcPr>
            <w:tcW w:w="624" w:type="dxa"/>
            <w:tcBorders>
              <w:top w:val="single" w:sz="4" w:space="0" w:color="auto"/>
              <w:left w:val="single" w:sz="4" w:space="0" w:color="FFFFFF"/>
              <w:bottom w:val="single" w:sz="4" w:space="0" w:color="auto"/>
              <w:right w:val="single" w:sz="4" w:space="0" w:color="FFFFFF"/>
            </w:tcBorders>
          </w:tcPr>
          <w:p w14:paraId="6CAE8348" w14:textId="77777777" w:rsidR="00FA7EBF" w:rsidRDefault="00FA7EBF">
            <w:pPr>
              <w:pStyle w:val="ARtabletextrightbold"/>
              <w:spacing w:before="70" w:after="50"/>
            </w:pPr>
          </w:p>
        </w:tc>
      </w:tr>
      <w:tr w:rsidR="00FA7EBF" w14:paraId="23E560F3" w14:textId="77777777" w:rsidTr="003075FD">
        <w:tc>
          <w:tcPr>
            <w:tcW w:w="2835" w:type="dxa"/>
            <w:tcBorders>
              <w:top w:val="single" w:sz="4" w:space="0" w:color="auto"/>
              <w:left w:val="single" w:sz="4" w:space="0" w:color="FFFFFF"/>
              <w:bottom w:val="single" w:sz="4" w:space="0" w:color="auto"/>
              <w:right w:val="single" w:sz="4" w:space="0" w:color="FFFFFF"/>
            </w:tcBorders>
            <w:hideMark/>
          </w:tcPr>
          <w:p w14:paraId="5E69525D" w14:textId="77777777" w:rsidR="00FA7EBF" w:rsidRDefault="00FA7EBF">
            <w:pPr>
              <w:pStyle w:val="ARtabletextbold"/>
              <w:spacing w:before="70" w:after="50"/>
            </w:pPr>
            <w:r>
              <w:t>Net result from transactions (net operating balance)</w:t>
            </w:r>
          </w:p>
        </w:tc>
        <w:tc>
          <w:tcPr>
            <w:tcW w:w="1134" w:type="dxa"/>
            <w:tcBorders>
              <w:top w:val="single" w:sz="4" w:space="0" w:color="auto"/>
              <w:left w:val="single" w:sz="4" w:space="0" w:color="FFFFFF"/>
              <w:bottom w:val="single" w:sz="4" w:space="0" w:color="auto"/>
              <w:right w:val="single" w:sz="4" w:space="0" w:color="FFFFFF"/>
            </w:tcBorders>
            <w:hideMark/>
          </w:tcPr>
          <w:p w14:paraId="0989A742" w14:textId="77777777" w:rsidR="00FA7EBF" w:rsidRDefault="00FA7EBF">
            <w:pPr>
              <w:pStyle w:val="ARtabletextrightbold"/>
              <w:spacing w:before="70" w:after="50"/>
            </w:pPr>
            <w:r>
              <w:t>191</w:t>
            </w:r>
          </w:p>
        </w:tc>
        <w:tc>
          <w:tcPr>
            <w:tcW w:w="1134" w:type="dxa"/>
            <w:tcBorders>
              <w:top w:val="single" w:sz="4" w:space="0" w:color="auto"/>
              <w:left w:val="single" w:sz="4" w:space="0" w:color="FFFFFF"/>
              <w:bottom w:val="single" w:sz="4" w:space="0" w:color="auto"/>
              <w:right w:val="single" w:sz="4" w:space="0" w:color="FFFFFF"/>
            </w:tcBorders>
            <w:hideMark/>
          </w:tcPr>
          <w:p w14:paraId="00E250EB" w14:textId="77777777" w:rsidR="00FA7EBF" w:rsidRDefault="00FA7EBF">
            <w:pPr>
              <w:pStyle w:val="ARtabletextrightbold"/>
              <w:spacing w:before="70" w:after="50"/>
            </w:pPr>
            <w:r>
              <w:t>82</w:t>
            </w:r>
          </w:p>
        </w:tc>
        <w:tc>
          <w:tcPr>
            <w:tcW w:w="1247" w:type="dxa"/>
            <w:tcBorders>
              <w:top w:val="single" w:sz="4" w:space="0" w:color="auto"/>
              <w:left w:val="single" w:sz="4" w:space="0" w:color="FFFFFF"/>
              <w:bottom w:val="single" w:sz="4" w:space="0" w:color="auto"/>
              <w:right w:val="single" w:sz="4" w:space="0" w:color="FFFFFF"/>
            </w:tcBorders>
            <w:hideMark/>
          </w:tcPr>
          <w:p w14:paraId="0546F4DB" w14:textId="77777777" w:rsidR="00FA7EBF" w:rsidRDefault="00FA7EBF">
            <w:pPr>
              <w:pStyle w:val="ARtabletextrightbold"/>
              <w:spacing w:before="70" w:after="50"/>
            </w:pPr>
            <w:r>
              <w:t>132.4</w:t>
            </w:r>
          </w:p>
        </w:tc>
        <w:tc>
          <w:tcPr>
            <w:tcW w:w="1304" w:type="dxa"/>
            <w:tcBorders>
              <w:top w:val="single" w:sz="4" w:space="0" w:color="auto"/>
              <w:left w:val="single" w:sz="4" w:space="0" w:color="FFFFFF"/>
              <w:bottom w:val="single" w:sz="4" w:space="0" w:color="auto"/>
              <w:right w:val="single" w:sz="4" w:space="0" w:color="FFFFFF"/>
            </w:tcBorders>
            <w:hideMark/>
          </w:tcPr>
          <w:p w14:paraId="0E2C32DB" w14:textId="77777777" w:rsidR="00FA7EBF" w:rsidRDefault="00FA7EBF">
            <w:pPr>
              <w:pStyle w:val="ARtabletextrightbold"/>
              <w:spacing w:before="70" w:after="50"/>
            </w:pPr>
            <w:r>
              <w:t>220</w:t>
            </w:r>
          </w:p>
        </w:tc>
        <w:tc>
          <w:tcPr>
            <w:tcW w:w="1361" w:type="dxa"/>
            <w:tcBorders>
              <w:top w:val="single" w:sz="4" w:space="0" w:color="auto"/>
              <w:left w:val="single" w:sz="4" w:space="0" w:color="FFFFFF"/>
              <w:bottom w:val="single" w:sz="4" w:space="0" w:color="auto"/>
              <w:right w:val="single" w:sz="4" w:space="0" w:color="FFFFFF"/>
            </w:tcBorders>
            <w:hideMark/>
          </w:tcPr>
          <w:p w14:paraId="50A7AA7F" w14:textId="77777777" w:rsidR="00FA7EBF" w:rsidRDefault="00FA7EBF">
            <w:pPr>
              <w:pStyle w:val="ARtabletextrightbold"/>
              <w:spacing w:before="70" w:after="50"/>
            </w:pPr>
            <w:r>
              <w:t>(13.4)</w:t>
            </w:r>
          </w:p>
        </w:tc>
        <w:tc>
          <w:tcPr>
            <w:tcW w:w="624" w:type="dxa"/>
            <w:tcBorders>
              <w:top w:val="single" w:sz="4" w:space="0" w:color="auto"/>
              <w:left w:val="single" w:sz="4" w:space="0" w:color="FFFFFF"/>
              <w:bottom w:val="single" w:sz="4" w:space="0" w:color="auto"/>
              <w:right w:val="single" w:sz="4" w:space="0" w:color="FFFFFF"/>
            </w:tcBorders>
          </w:tcPr>
          <w:p w14:paraId="4B44A7C7" w14:textId="77777777" w:rsidR="00FA7EBF" w:rsidRDefault="00FA7EBF">
            <w:pPr>
              <w:pStyle w:val="ARtabletextrightbold"/>
              <w:spacing w:before="70" w:after="50"/>
            </w:pPr>
          </w:p>
        </w:tc>
      </w:tr>
      <w:tr w:rsidR="00FA7EBF" w14:paraId="70A0403E" w14:textId="77777777" w:rsidTr="003075FD">
        <w:tc>
          <w:tcPr>
            <w:tcW w:w="9639" w:type="dxa"/>
            <w:gridSpan w:val="7"/>
            <w:tcBorders>
              <w:top w:val="single" w:sz="4" w:space="0" w:color="auto"/>
              <w:left w:val="single" w:sz="4" w:space="0" w:color="FFFFFF"/>
              <w:bottom w:val="single" w:sz="4" w:space="0" w:color="A6A6A6"/>
              <w:right w:val="single" w:sz="4" w:space="0" w:color="FFFFFF"/>
            </w:tcBorders>
            <w:hideMark/>
          </w:tcPr>
          <w:p w14:paraId="31C51415" w14:textId="77777777" w:rsidR="00FA7EBF" w:rsidRDefault="00FA7EBF">
            <w:pPr>
              <w:pStyle w:val="ARtabletextbold"/>
              <w:spacing w:before="70" w:after="50"/>
            </w:pPr>
            <w:r>
              <w:t xml:space="preserve">Other economic flows included </w:t>
            </w:r>
            <w:r>
              <w:br/>
              <w:t>in net result</w:t>
            </w:r>
          </w:p>
        </w:tc>
      </w:tr>
      <w:tr w:rsidR="00FA7EBF" w14:paraId="5F40F568" w14:textId="77777777" w:rsidTr="003075FD">
        <w:tc>
          <w:tcPr>
            <w:tcW w:w="2835" w:type="dxa"/>
            <w:tcBorders>
              <w:top w:val="single" w:sz="4" w:space="0" w:color="A6A6A6"/>
              <w:left w:val="single" w:sz="4" w:space="0" w:color="FFFFFF"/>
              <w:bottom w:val="single" w:sz="4" w:space="0" w:color="A6A6A6" w:themeColor="background1" w:themeShade="A6"/>
              <w:right w:val="single" w:sz="4" w:space="0" w:color="FFFFFF"/>
            </w:tcBorders>
            <w:hideMark/>
          </w:tcPr>
          <w:p w14:paraId="4ECD89D3" w14:textId="77777777" w:rsidR="00FA7EBF" w:rsidRDefault="00FA7EBF">
            <w:pPr>
              <w:pStyle w:val="ARtabletext"/>
              <w:spacing w:before="70" w:after="50"/>
              <w:rPr>
                <w:color w:val="000000"/>
              </w:rPr>
            </w:pPr>
            <w:r>
              <w:t>Net gain/(loss) on non-financial assets</w:t>
            </w:r>
          </w:p>
        </w:tc>
        <w:tc>
          <w:tcPr>
            <w:tcW w:w="1134" w:type="dxa"/>
            <w:tcBorders>
              <w:top w:val="single" w:sz="4" w:space="0" w:color="A6A6A6"/>
              <w:left w:val="single" w:sz="4" w:space="0" w:color="FFFFFF"/>
              <w:bottom w:val="single" w:sz="4" w:space="0" w:color="A6A6A6" w:themeColor="background1" w:themeShade="A6"/>
              <w:right w:val="single" w:sz="4" w:space="0" w:color="FFFFFF"/>
            </w:tcBorders>
            <w:hideMark/>
          </w:tcPr>
          <w:p w14:paraId="3E2D54DF" w14:textId="77777777" w:rsidR="00FA7EBF" w:rsidRDefault="00FA7EBF">
            <w:pPr>
              <w:pStyle w:val="ARtabletextright"/>
              <w:spacing w:before="70" w:after="50"/>
            </w:pPr>
            <w:r>
              <w:t>(53)</w:t>
            </w:r>
          </w:p>
        </w:tc>
        <w:tc>
          <w:tcPr>
            <w:tcW w:w="1134" w:type="dxa"/>
            <w:tcBorders>
              <w:top w:val="single" w:sz="4" w:space="0" w:color="A6A6A6"/>
              <w:left w:val="single" w:sz="4" w:space="0" w:color="FFFFFF"/>
              <w:bottom w:val="single" w:sz="4" w:space="0" w:color="A6A6A6" w:themeColor="background1" w:themeShade="A6"/>
              <w:right w:val="single" w:sz="4" w:space="0" w:color="FFFFFF"/>
            </w:tcBorders>
            <w:hideMark/>
          </w:tcPr>
          <w:p w14:paraId="6C1DB418" w14:textId="77777777" w:rsidR="00FA7EBF" w:rsidRDefault="00FA7EBF">
            <w:pPr>
              <w:pStyle w:val="ARtabletextright"/>
              <w:spacing w:before="70" w:after="50"/>
            </w:pPr>
            <w:r>
              <w:t>18</w:t>
            </w:r>
          </w:p>
        </w:tc>
        <w:tc>
          <w:tcPr>
            <w:tcW w:w="1247" w:type="dxa"/>
            <w:tcBorders>
              <w:top w:val="single" w:sz="4" w:space="0" w:color="A6A6A6"/>
              <w:left w:val="single" w:sz="4" w:space="0" w:color="FFFFFF"/>
              <w:bottom w:val="single" w:sz="4" w:space="0" w:color="A6A6A6" w:themeColor="background1" w:themeShade="A6"/>
              <w:right w:val="single" w:sz="4" w:space="0" w:color="FFFFFF"/>
            </w:tcBorders>
            <w:hideMark/>
          </w:tcPr>
          <w:p w14:paraId="4A92E8B1" w14:textId="77777777" w:rsidR="00FA7EBF" w:rsidRDefault="00FA7EBF">
            <w:pPr>
              <w:pStyle w:val="ARtabletextright"/>
              <w:spacing w:before="70" w:after="50"/>
            </w:pPr>
            <w:r>
              <w:t>–</w:t>
            </w:r>
          </w:p>
        </w:tc>
        <w:tc>
          <w:tcPr>
            <w:tcW w:w="1304" w:type="dxa"/>
            <w:tcBorders>
              <w:top w:val="single" w:sz="4" w:space="0" w:color="A6A6A6"/>
              <w:left w:val="single" w:sz="4" w:space="0" w:color="FFFFFF"/>
              <w:bottom w:val="single" w:sz="4" w:space="0" w:color="A6A6A6" w:themeColor="background1" w:themeShade="A6"/>
              <w:right w:val="single" w:sz="4" w:space="0" w:color="FFFFFF"/>
            </w:tcBorders>
            <w:hideMark/>
          </w:tcPr>
          <w:p w14:paraId="00F59E67" w14:textId="77777777" w:rsidR="00FA7EBF" w:rsidRDefault="00FA7EBF">
            <w:pPr>
              <w:pStyle w:val="ARtabletextright"/>
              <w:spacing w:before="70" w:after="50"/>
            </w:pPr>
            <w:r>
              <w:t>1</w:t>
            </w:r>
          </w:p>
        </w:tc>
        <w:tc>
          <w:tcPr>
            <w:tcW w:w="1361" w:type="dxa"/>
            <w:tcBorders>
              <w:top w:val="single" w:sz="4" w:space="0" w:color="A6A6A6"/>
              <w:left w:val="single" w:sz="4" w:space="0" w:color="FFFFFF"/>
              <w:bottom w:val="single" w:sz="4" w:space="0" w:color="A6A6A6" w:themeColor="background1" w:themeShade="A6"/>
              <w:right w:val="single" w:sz="4" w:space="0" w:color="FFFFFF"/>
            </w:tcBorders>
            <w:hideMark/>
          </w:tcPr>
          <w:p w14:paraId="69CA8F8F" w14:textId="77777777" w:rsidR="00FA7EBF" w:rsidRDefault="00FA7EBF">
            <w:pPr>
              <w:pStyle w:val="ARtabletextright"/>
              <w:spacing w:before="70" w:after="50"/>
            </w:pPr>
            <w:r>
              <w:t>(5,370.9)</w:t>
            </w:r>
          </w:p>
        </w:tc>
        <w:tc>
          <w:tcPr>
            <w:tcW w:w="624" w:type="dxa"/>
            <w:tcBorders>
              <w:top w:val="single" w:sz="4" w:space="0" w:color="A6A6A6"/>
              <w:left w:val="single" w:sz="4" w:space="0" w:color="FFFFFF"/>
              <w:bottom w:val="single" w:sz="4" w:space="0" w:color="A6A6A6" w:themeColor="background1" w:themeShade="A6"/>
              <w:right w:val="single" w:sz="4" w:space="0" w:color="FFFFFF"/>
            </w:tcBorders>
          </w:tcPr>
          <w:p w14:paraId="1AF25F5B" w14:textId="77777777" w:rsidR="00FA7EBF" w:rsidRDefault="00FA7EBF">
            <w:pPr>
              <w:pStyle w:val="ARtabletextrightbold"/>
              <w:spacing w:before="70" w:after="50"/>
            </w:pPr>
          </w:p>
        </w:tc>
      </w:tr>
      <w:tr w:rsidR="00FA7EBF" w14:paraId="088AEC29" w14:textId="77777777" w:rsidTr="003075FD">
        <w:tc>
          <w:tcPr>
            <w:tcW w:w="28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A137E55" w14:textId="77777777" w:rsidR="00FA7EBF" w:rsidRDefault="00FA7EBF">
            <w:pPr>
              <w:pStyle w:val="ARtabletext"/>
              <w:spacing w:before="70" w:after="50"/>
              <w:rPr>
                <w:color w:val="000000"/>
              </w:rPr>
            </w:pPr>
            <w:r>
              <w:t>Share of net profits/(losses) of associates and joint venture entities, excluding dividends</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8E25DC5" w14:textId="77777777" w:rsidR="00FA7EBF" w:rsidRDefault="00FA7EBF">
            <w:pPr>
              <w:pStyle w:val="ARtabletextright"/>
              <w:spacing w:before="70" w:after="50"/>
            </w:pPr>
            <w:r>
              <w:t>1</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F340EB4" w14:textId="77777777" w:rsidR="00FA7EBF" w:rsidRDefault="00FA7EBF">
            <w:pPr>
              <w:pStyle w:val="ARtabletextright"/>
              <w:spacing w:before="70" w:after="50"/>
            </w:pPr>
            <w:r>
              <w:t>–</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B24FBCF" w14:textId="77777777" w:rsidR="00FA7EBF" w:rsidRDefault="00FA7EBF">
            <w:pPr>
              <w:pStyle w:val="ARtabletextright"/>
              <w:spacing w:before="70" w:after="50"/>
            </w:pPr>
            <w:r>
              <w:t>–</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4DD2E09" w14:textId="77777777" w:rsidR="00FA7EBF" w:rsidRDefault="00FA7EBF">
            <w:pPr>
              <w:pStyle w:val="ARtabletextright"/>
              <w:spacing w:before="70" w:after="50"/>
            </w:pPr>
            <w:r>
              <w:t>–</w:t>
            </w:r>
          </w:p>
        </w:tc>
        <w:tc>
          <w:tcPr>
            <w:tcW w:w="136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43BD03C" w14:textId="77777777" w:rsidR="00FA7EBF" w:rsidRDefault="00FA7EBF">
            <w:pPr>
              <w:pStyle w:val="ARtabletextright"/>
              <w:spacing w:before="70" w:after="50"/>
            </w:pPr>
            <w:r>
              <w:t>–</w:t>
            </w:r>
          </w:p>
        </w:tc>
        <w:tc>
          <w:tcPr>
            <w:tcW w:w="62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75B053C7" w14:textId="77777777" w:rsidR="00FA7EBF" w:rsidRDefault="00FA7EBF">
            <w:pPr>
              <w:pStyle w:val="ARtabletextrightbold"/>
              <w:spacing w:before="70" w:after="50"/>
            </w:pPr>
          </w:p>
        </w:tc>
      </w:tr>
      <w:tr w:rsidR="00FA7EBF" w14:paraId="0893BA49" w14:textId="77777777" w:rsidTr="003075FD">
        <w:tc>
          <w:tcPr>
            <w:tcW w:w="28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492A5E7" w14:textId="77777777" w:rsidR="00FA7EBF" w:rsidRDefault="00FA7EBF">
            <w:pPr>
              <w:pStyle w:val="ARtabletext"/>
              <w:spacing w:before="70" w:after="50"/>
              <w:rPr>
                <w:color w:val="000000"/>
              </w:rPr>
            </w:pPr>
            <w:r>
              <w:t>Net gain/(loss) on financial instruments and statutory receivables/payables</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8F373ED" w14:textId="77777777" w:rsidR="00FA7EBF" w:rsidRDefault="00FA7EBF">
            <w:pPr>
              <w:pStyle w:val="ARtabletextright"/>
              <w:spacing w:before="70" w:after="50"/>
            </w:pPr>
            <w:r>
              <w:t>(52)</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EB2F8E1" w14:textId="77777777" w:rsidR="00FA7EBF" w:rsidRDefault="00FA7EBF">
            <w:pPr>
              <w:pStyle w:val="ARtabletextright"/>
              <w:spacing w:before="70" w:after="50"/>
            </w:pPr>
            <w:r>
              <w:t>(26)</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302A8E7" w14:textId="77777777" w:rsidR="00FA7EBF" w:rsidRDefault="00FA7EBF">
            <w:pPr>
              <w:pStyle w:val="ARtabletextright"/>
              <w:spacing w:before="70" w:after="50"/>
            </w:pPr>
            <w:r>
              <w:t>101.4</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816859A" w14:textId="77777777" w:rsidR="00FA7EBF" w:rsidRDefault="00FA7EBF">
            <w:pPr>
              <w:pStyle w:val="ARtabletextright"/>
              <w:spacing w:before="70" w:after="50"/>
            </w:pPr>
            <w:r>
              <w:t>(26)</w:t>
            </w:r>
          </w:p>
        </w:tc>
        <w:tc>
          <w:tcPr>
            <w:tcW w:w="136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3103D0F" w14:textId="77777777" w:rsidR="00FA7EBF" w:rsidRDefault="00FA7EBF">
            <w:pPr>
              <w:pStyle w:val="ARtabletextright"/>
              <w:spacing w:before="70" w:after="50"/>
            </w:pPr>
            <w:r>
              <w:t>101.4</w:t>
            </w:r>
          </w:p>
        </w:tc>
        <w:tc>
          <w:tcPr>
            <w:tcW w:w="62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510359AA" w14:textId="77777777" w:rsidR="00FA7EBF" w:rsidRDefault="00FA7EBF">
            <w:pPr>
              <w:pStyle w:val="ARtabletextrightbold"/>
              <w:spacing w:before="70" w:after="50"/>
            </w:pPr>
          </w:p>
        </w:tc>
      </w:tr>
      <w:tr w:rsidR="00FA7EBF" w14:paraId="03009CE2" w14:textId="77777777" w:rsidTr="003075FD">
        <w:tc>
          <w:tcPr>
            <w:tcW w:w="2835" w:type="dxa"/>
            <w:tcBorders>
              <w:top w:val="single" w:sz="4" w:space="0" w:color="A6A6A6" w:themeColor="background1" w:themeShade="A6"/>
              <w:left w:val="single" w:sz="4" w:space="0" w:color="FFFFFF"/>
              <w:bottom w:val="single" w:sz="4" w:space="0" w:color="auto"/>
              <w:right w:val="single" w:sz="4" w:space="0" w:color="FFFFFF"/>
            </w:tcBorders>
            <w:hideMark/>
          </w:tcPr>
          <w:p w14:paraId="265E28BC" w14:textId="77777777" w:rsidR="00FA7EBF" w:rsidRDefault="00FA7EBF">
            <w:pPr>
              <w:pStyle w:val="ARtabletext"/>
              <w:spacing w:before="70" w:after="50"/>
              <w:rPr>
                <w:color w:val="000000"/>
              </w:rPr>
            </w:pPr>
            <w:r>
              <w:t>Other gains/(losses) from other economic flows</w:t>
            </w:r>
          </w:p>
        </w:tc>
        <w:tc>
          <w:tcPr>
            <w:tcW w:w="1134" w:type="dxa"/>
            <w:tcBorders>
              <w:top w:val="single" w:sz="4" w:space="0" w:color="A6A6A6" w:themeColor="background1" w:themeShade="A6"/>
              <w:left w:val="single" w:sz="4" w:space="0" w:color="FFFFFF"/>
              <w:bottom w:val="single" w:sz="4" w:space="0" w:color="auto"/>
              <w:right w:val="single" w:sz="4" w:space="0" w:color="FFFFFF"/>
            </w:tcBorders>
            <w:hideMark/>
          </w:tcPr>
          <w:p w14:paraId="054D8034" w14:textId="77777777" w:rsidR="00FA7EBF" w:rsidRDefault="00FA7EBF">
            <w:pPr>
              <w:pStyle w:val="ARtabletextright"/>
              <w:spacing w:before="70" w:after="50"/>
            </w:pPr>
            <w:r>
              <w:t>(169)</w:t>
            </w:r>
          </w:p>
        </w:tc>
        <w:tc>
          <w:tcPr>
            <w:tcW w:w="1134" w:type="dxa"/>
            <w:tcBorders>
              <w:top w:val="single" w:sz="4" w:space="0" w:color="A6A6A6" w:themeColor="background1" w:themeShade="A6"/>
              <w:left w:val="single" w:sz="4" w:space="0" w:color="FFFFFF"/>
              <w:bottom w:val="single" w:sz="4" w:space="0" w:color="auto"/>
              <w:right w:val="single" w:sz="4" w:space="0" w:color="FFFFFF"/>
            </w:tcBorders>
            <w:hideMark/>
          </w:tcPr>
          <w:p w14:paraId="093BFE72" w14:textId="77777777" w:rsidR="00FA7EBF" w:rsidRDefault="00FA7EBF">
            <w:pPr>
              <w:pStyle w:val="ARtabletextright"/>
              <w:spacing w:before="70" w:after="50"/>
            </w:pPr>
            <w:r>
              <w:t>(7)</w:t>
            </w:r>
          </w:p>
        </w:tc>
        <w:tc>
          <w:tcPr>
            <w:tcW w:w="1247" w:type="dxa"/>
            <w:tcBorders>
              <w:top w:val="single" w:sz="4" w:space="0" w:color="A6A6A6" w:themeColor="background1" w:themeShade="A6"/>
              <w:left w:val="single" w:sz="4" w:space="0" w:color="FFFFFF"/>
              <w:bottom w:val="single" w:sz="4" w:space="0" w:color="auto"/>
              <w:right w:val="single" w:sz="4" w:space="0" w:color="FFFFFF"/>
            </w:tcBorders>
            <w:hideMark/>
          </w:tcPr>
          <w:p w14:paraId="5D9D0DB1" w14:textId="77777777" w:rsidR="00FA7EBF" w:rsidRDefault="00FA7EBF">
            <w:pPr>
              <w:pStyle w:val="ARtabletextright"/>
              <w:spacing w:before="70" w:after="50"/>
            </w:pPr>
            <w:r>
              <w:t>2,317.3</w:t>
            </w:r>
          </w:p>
        </w:tc>
        <w:tc>
          <w:tcPr>
            <w:tcW w:w="1304" w:type="dxa"/>
            <w:tcBorders>
              <w:top w:val="single" w:sz="4" w:space="0" w:color="A6A6A6" w:themeColor="background1" w:themeShade="A6"/>
              <w:left w:val="single" w:sz="4" w:space="0" w:color="FFFFFF"/>
              <w:bottom w:val="single" w:sz="4" w:space="0" w:color="auto"/>
              <w:right w:val="single" w:sz="4" w:space="0" w:color="FFFFFF"/>
            </w:tcBorders>
            <w:hideMark/>
          </w:tcPr>
          <w:p w14:paraId="6D231491" w14:textId="77777777" w:rsidR="00FA7EBF" w:rsidRDefault="00FA7EBF">
            <w:pPr>
              <w:pStyle w:val="ARtabletextright"/>
              <w:spacing w:before="70" w:after="50"/>
            </w:pPr>
            <w:r>
              <w:t>(5)</w:t>
            </w:r>
          </w:p>
        </w:tc>
        <w:tc>
          <w:tcPr>
            <w:tcW w:w="1361" w:type="dxa"/>
            <w:tcBorders>
              <w:top w:val="single" w:sz="4" w:space="0" w:color="A6A6A6" w:themeColor="background1" w:themeShade="A6"/>
              <w:left w:val="single" w:sz="4" w:space="0" w:color="FFFFFF"/>
              <w:bottom w:val="single" w:sz="4" w:space="0" w:color="auto"/>
              <w:right w:val="single" w:sz="4" w:space="0" w:color="FFFFFF"/>
            </w:tcBorders>
            <w:hideMark/>
          </w:tcPr>
          <w:p w14:paraId="75D8F3A3" w14:textId="77777777" w:rsidR="00FA7EBF" w:rsidRDefault="00FA7EBF">
            <w:pPr>
              <w:pStyle w:val="ARtabletextright"/>
              <w:spacing w:before="70" w:after="50"/>
            </w:pPr>
            <w:r>
              <w:t>3,284.2</w:t>
            </w:r>
          </w:p>
        </w:tc>
        <w:tc>
          <w:tcPr>
            <w:tcW w:w="624" w:type="dxa"/>
            <w:tcBorders>
              <w:top w:val="single" w:sz="4" w:space="0" w:color="A6A6A6" w:themeColor="background1" w:themeShade="A6"/>
              <w:left w:val="single" w:sz="4" w:space="0" w:color="FFFFFF"/>
              <w:bottom w:val="single" w:sz="4" w:space="0" w:color="auto"/>
              <w:right w:val="single" w:sz="4" w:space="0" w:color="FFFFFF"/>
            </w:tcBorders>
          </w:tcPr>
          <w:p w14:paraId="1F07A2E3" w14:textId="77777777" w:rsidR="00FA7EBF" w:rsidRDefault="00FA7EBF">
            <w:pPr>
              <w:pStyle w:val="ARtabletextrightbold"/>
              <w:spacing w:before="70" w:after="50"/>
            </w:pPr>
          </w:p>
        </w:tc>
      </w:tr>
      <w:tr w:rsidR="00FA7EBF" w14:paraId="6FF5EF91" w14:textId="77777777" w:rsidTr="003075FD">
        <w:tc>
          <w:tcPr>
            <w:tcW w:w="2835" w:type="dxa"/>
            <w:tcBorders>
              <w:top w:val="single" w:sz="4" w:space="0" w:color="auto"/>
              <w:left w:val="single" w:sz="4" w:space="0" w:color="FFFFFF"/>
              <w:bottom w:val="single" w:sz="4" w:space="0" w:color="auto"/>
              <w:right w:val="single" w:sz="4" w:space="0" w:color="FFFFFF"/>
            </w:tcBorders>
            <w:hideMark/>
          </w:tcPr>
          <w:p w14:paraId="498F4957" w14:textId="77777777" w:rsidR="00FA7EBF" w:rsidRDefault="00FA7EBF">
            <w:pPr>
              <w:pStyle w:val="ARtabletextbold"/>
              <w:spacing w:before="70" w:after="50"/>
            </w:pPr>
            <w:r>
              <w:t>Total other economic flows included in net result</w:t>
            </w:r>
          </w:p>
        </w:tc>
        <w:tc>
          <w:tcPr>
            <w:tcW w:w="1134" w:type="dxa"/>
            <w:tcBorders>
              <w:top w:val="single" w:sz="4" w:space="0" w:color="auto"/>
              <w:left w:val="single" w:sz="4" w:space="0" w:color="FFFFFF"/>
              <w:bottom w:val="single" w:sz="4" w:space="0" w:color="auto"/>
              <w:right w:val="single" w:sz="4" w:space="0" w:color="FFFFFF"/>
            </w:tcBorders>
            <w:hideMark/>
          </w:tcPr>
          <w:p w14:paraId="18FD7423" w14:textId="77777777" w:rsidR="00FA7EBF" w:rsidRDefault="00FA7EBF">
            <w:pPr>
              <w:pStyle w:val="ARtabletextrightbold"/>
              <w:spacing w:before="70" w:after="50"/>
            </w:pPr>
            <w:r>
              <w:t>(274)</w:t>
            </w:r>
          </w:p>
        </w:tc>
        <w:tc>
          <w:tcPr>
            <w:tcW w:w="1134" w:type="dxa"/>
            <w:tcBorders>
              <w:top w:val="single" w:sz="4" w:space="0" w:color="auto"/>
              <w:left w:val="single" w:sz="4" w:space="0" w:color="FFFFFF"/>
              <w:bottom w:val="single" w:sz="4" w:space="0" w:color="auto"/>
              <w:right w:val="single" w:sz="4" w:space="0" w:color="FFFFFF"/>
            </w:tcBorders>
            <w:hideMark/>
          </w:tcPr>
          <w:p w14:paraId="4E5D31EA" w14:textId="77777777" w:rsidR="00FA7EBF" w:rsidRDefault="00FA7EBF">
            <w:pPr>
              <w:pStyle w:val="ARtabletextrightbold"/>
              <w:spacing w:before="70" w:after="50"/>
            </w:pPr>
            <w:r>
              <w:t>(15)</w:t>
            </w:r>
          </w:p>
        </w:tc>
        <w:tc>
          <w:tcPr>
            <w:tcW w:w="1247" w:type="dxa"/>
            <w:tcBorders>
              <w:top w:val="single" w:sz="4" w:space="0" w:color="auto"/>
              <w:left w:val="single" w:sz="4" w:space="0" w:color="FFFFFF"/>
              <w:bottom w:val="single" w:sz="4" w:space="0" w:color="auto"/>
              <w:right w:val="single" w:sz="4" w:space="0" w:color="FFFFFF"/>
            </w:tcBorders>
            <w:hideMark/>
          </w:tcPr>
          <w:p w14:paraId="6850B79F" w14:textId="77777777" w:rsidR="00FA7EBF" w:rsidRDefault="00FA7EBF">
            <w:pPr>
              <w:pStyle w:val="ARtabletextrightbold"/>
              <w:spacing w:before="70" w:after="50"/>
            </w:pPr>
            <w:r>
              <w:t>1,724.6</w:t>
            </w:r>
          </w:p>
        </w:tc>
        <w:tc>
          <w:tcPr>
            <w:tcW w:w="1304" w:type="dxa"/>
            <w:tcBorders>
              <w:top w:val="single" w:sz="4" w:space="0" w:color="auto"/>
              <w:left w:val="single" w:sz="4" w:space="0" w:color="FFFFFF"/>
              <w:bottom w:val="single" w:sz="4" w:space="0" w:color="auto"/>
              <w:right w:val="single" w:sz="4" w:space="0" w:color="FFFFFF"/>
            </w:tcBorders>
            <w:hideMark/>
          </w:tcPr>
          <w:p w14:paraId="7BA131E3" w14:textId="77777777" w:rsidR="00FA7EBF" w:rsidRDefault="00FA7EBF">
            <w:pPr>
              <w:pStyle w:val="ARtabletextrightbold"/>
              <w:spacing w:before="70" w:after="50"/>
            </w:pPr>
            <w:r>
              <w:t>(30)</w:t>
            </w:r>
          </w:p>
        </w:tc>
        <w:tc>
          <w:tcPr>
            <w:tcW w:w="1361" w:type="dxa"/>
            <w:tcBorders>
              <w:top w:val="single" w:sz="4" w:space="0" w:color="auto"/>
              <w:left w:val="single" w:sz="4" w:space="0" w:color="FFFFFF"/>
              <w:bottom w:val="single" w:sz="4" w:space="0" w:color="auto"/>
              <w:right w:val="single" w:sz="4" w:space="0" w:color="FFFFFF"/>
            </w:tcBorders>
            <w:hideMark/>
          </w:tcPr>
          <w:p w14:paraId="7203DD94" w14:textId="77777777" w:rsidR="00FA7EBF" w:rsidRDefault="00FA7EBF">
            <w:pPr>
              <w:pStyle w:val="ARtabletextrightbold"/>
              <w:spacing w:before="70" w:after="50"/>
            </w:pPr>
            <w:r>
              <w:t>812.3</w:t>
            </w:r>
          </w:p>
        </w:tc>
        <w:tc>
          <w:tcPr>
            <w:tcW w:w="624" w:type="dxa"/>
            <w:tcBorders>
              <w:top w:val="single" w:sz="4" w:space="0" w:color="auto"/>
              <w:left w:val="single" w:sz="4" w:space="0" w:color="FFFFFF"/>
              <w:bottom w:val="single" w:sz="4" w:space="0" w:color="auto"/>
              <w:right w:val="single" w:sz="4" w:space="0" w:color="FFFFFF"/>
            </w:tcBorders>
          </w:tcPr>
          <w:p w14:paraId="19586A62" w14:textId="77777777" w:rsidR="00FA7EBF" w:rsidRDefault="00FA7EBF">
            <w:pPr>
              <w:pStyle w:val="ARtabletextrightbold"/>
              <w:spacing w:before="70" w:after="50"/>
            </w:pPr>
          </w:p>
        </w:tc>
      </w:tr>
      <w:tr w:rsidR="00FA7EBF" w14:paraId="2C0EA90D" w14:textId="77777777" w:rsidTr="003075FD">
        <w:tc>
          <w:tcPr>
            <w:tcW w:w="2835" w:type="dxa"/>
            <w:tcBorders>
              <w:top w:val="single" w:sz="4" w:space="0" w:color="auto"/>
              <w:left w:val="single" w:sz="4" w:space="0" w:color="FFFFFF"/>
              <w:bottom w:val="single" w:sz="4" w:space="0" w:color="auto"/>
              <w:right w:val="single" w:sz="4" w:space="0" w:color="FFFFFF"/>
            </w:tcBorders>
            <w:hideMark/>
          </w:tcPr>
          <w:p w14:paraId="48F46FD5" w14:textId="77777777" w:rsidR="00FA7EBF" w:rsidRDefault="00FA7EBF">
            <w:pPr>
              <w:pStyle w:val="ARtabletextbold"/>
              <w:spacing w:before="70" w:after="50"/>
            </w:pPr>
            <w:r>
              <w:t>Net result</w:t>
            </w:r>
          </w:p>
        </w:tc>
        <w:tc>
          <w:tcPr>
            <w:tcW w:w="1134" w:type="dxa"/>
            <w:tcBorders>
              <w:top w:val="single" w:sz="4" w:space="0" w:color="auto"/>
              <w:left w:val="single" w:sz="4" w:space="0" w:color="FFFFFF"/>
              <w:bottom w:val="single" w:sz="4" w:space="0" w:color="auto"/>
              <w:right w:val="single" w:sz="4" w:space="0" w:color="FFFFFF"/>
            </w:tcBorders>
            <w:hideMark/>
          </w:tcPr>
          <w:p w14:paraId="6473166B" w14:textId="77777777" w:rsidR="00FA7EBF" w:rsidRDefault="00FA7EBF">
            <w:pPr>
              <w:pStyle w:val="ARtabletextrightbold"/>
              <w:spacing w:before="70" w:after="50"/>
            </w:pPr>
            <w:r>
              <w:t>(83)</w:t>
            </w:r>
          </w:p>
        </w:tc>
        <w:tc>
          <w:tcPr>
            <w:tcW w:w="1134" w:type="dxa"/>
            <w:tcBorders>
              <w:top w:val="single" w:sz="4" w:space="0" w:color="auto"/>
              <w:left w:val="single" w:sz="4" w:space="0" w:color="FFFFFF"/>
              <w:bottom w:val="single" w:sz="4" w:space="0" w:color="auto"/>
              <w:right w:val="single" w:sz="4" w:space="0" w:color="FFFFFF"/>
            </w:tcBorders>
            <w:hideMark/>
          </w:tcPr>
          <w:p w14:paraId="2E2FF11F" w14:textId="77777777" w:rsidR="00FA7EBF" w:rsidRDefault="00FA7EBF">
            <w:pPr>
              <w:pStyle w:val="ARtabletextrightbold"/>
              <w:spacing w:before="70" w:after="50"/>
            </w:pPr>
            <w:r>
              <w:t>66</w:t>
            </w:r>
          </w:p>
        </w:tc>
        <w:tc>
          <w:tcPr>
            <w:tcW w:w="1247" w:type="dxa"/>
            <w:tcBorders>
              <w:top w:val="single" w:sz="4" w:space="0" w:color="auto"/>
              <w:left w:val="single" w:sz="4" w:space="0" w:color="FFFFFF"/>
              <w:bottom w:val="single" w:sz="4" w:space="0" w:color="auto"/>
              <w:right w:val="single" w:sz="4" w:space="0" w:color="FFFFFF"/>
            </w:tcBorders>
            <w:hideMark/>
          </w:tcPr>
          <w:p w14:paraId="0041FB79" w14:textId="77777777" w:rsidR="00FA7EBF" w:rsidRDefault="00FA7EBF">
            <w:pPr>
              <w:pStyle w:val="ARtabletextrightbold"/>
              <w:spacing w:before="70" w:after="50"/>
            </w:pPr>
            <w:r>
              <w:t>(226.0)</w:t>
            </w:r>
          </w:p>
        </w:tc>
        <w:tc>
          <w:tcPr>
            <w:tcW w:w="1304" w:type="dxa"/>
            <w:tcBorders>
              <w:top w:val="single" w:sz="4" w:space="0" w:color="auto"/>
              <w:left w:val="single" w:sz="4" w:space="0" w:color="FFFFFF"/>
              <w:bottom w:val="single" w:sz="4" w:space="0" w:color="auto"/>
              <w:right w:val="single" w:sz="4" w:space="0" w:color="FFFFFF"/>
            </w:tcBorders>
            <w:hideMark/>
          </w:tcPr>
          <w:p w14:paraId="7E58EFD3" w14:textId="77777777" w:rsidR="00FA7EBF" w:rsidRDefault="00FA7EBF">
            <w:pPr>
              <w:pStyle w:val="ARtabletextrightbold"/>
              <w:spacing w:before="70" w:after="50"/>
            </w:pPr>
            <w:r>
              <w:t>189</w:t>
            </w:r>
          </w:p>
        </w:tc>
        <w:tc>
          <w:tcPr>
            <w:tcW w:w="1361" w:type="dxa"/>
            <w:tcBorders>
              <w:top w:val="single" w:sz="4" w:space="0" w:color="auto"/>
              <w:left w:val="single" w:sz="4" w:space="0" w:color="FFFFFF"/>
              <w:bottom w:val="single" w:sz="4" w:space="0" w:color="auto"/>
              <w:right w:val="single" w:sz="4" w:space="0" w:color="FFFFFF"/>
            </w:tcBorders>
            <w:hideMark/>
          </w:tcPr>
          <w:p w14:paraId="34F56B90" w14:textId="77777777" w:rsidR="00FA7EBF" w:rsidRDefault="00FA7EBF">
            <w:pPr>
              <w:pStyle w:val="ARtabletextrightbold"/>
              <w:spacing w:before="70" w:after="50"/>
            </w:pPr>
            <w:r>
              <w:t>(144.0)</w:t>
            </w:r>
          </w:p>
        </w:tc>
        <w:tc>
          <w:tcPr>
            <w:tcW w:w="624" w:type="dxa"/>
            <w:tcBorders>
              <w:top w:val="single" w:sz="4" w:space="0" w:color="auto"/>
              <w:left w:val="single" w:sz="4" w:space="0" w:color="FFFFFF"/>
              <w:bottom w:val="single" w:sz="4" w:space="0" w:color="auto"/>
              <w:right w:val="single" w:sz="4" w:space="0" w:color="FFFFFF"/>
            </w:tcBorders>
          </w:tcPr>
          <w:p w14:paraId="462C498E" w14:textId="77777777" w:rsidR="00FA7EBF" w:rsidRDefault="00FA7EBF">
            <w:pPr>
              <w:pStyle w:val="ARtabletextrightbold"/>
              <w:spacing w:before="70" w:after="50"/>
            </w:pPr>
          </w:p>
        </w:tc>
      </w:tr>
      <w:tr w:rsidR="00FA7EBF" w14:paraId="1E272BA2" w14:textId="77777777" w:rsidTr="003075FD">
        <w:tc>
          <w:tcPr>
            <w:tcW w:w="9639" w:type="dxa"/>
            <w:gridSpan w:val="7"/>
            <w:tcBorders>
              <w:top w:val="single" w:sz="4" w:space="0" w:color="auto"/>
              <w:left w:val="single" w:sz="4" w:space="0" w:color="FFFFFF"/>
              <w:bottom w:val="single" w:sz="4" w:space="0" w:color="A6A6A6" w:themeColor="background1" w:themeShade="A6"/>
              <w:right w:val="single" w:sz="4" w:space="0" w:color="FFFFFF"/>
            </w:tcBorders>
            <w:hideMark/>
          </w:tcPr>
          <w:p w14:paraId="497810BE" w14:textId="77777777" w:rsidR="00FA7EBF" w:rsidRDefault="00FA7EBF">
            <w:pPr>
              <w:pStyle w:val="ARtabletextbold"/>
            </w:pPr>
            <w:r>
              <w:t xml:space="preserve">Other economic flows – other </w:t>
            </w:r>
            <w:r>
              <w:br/>
              <w:t>comprehensive income</w:t>
            </w:r>
          </w:p>
        </w:tc>
      </w:tr>
      <w:tr w:rsidR="00FA7EBF" w14:paraId="6E61EF7F" w14:textId="77777777" w:rsidTr="003075FD">
        <w:tc>
          <w:tcPr>
            <w:tcW w:w="28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FC19AD3" w14:textId="77777777" w:rsidR="00FA7EBF" w:rsidRDefault="00FA7EBF">
            <w:pPr>
              <w:pStyle w:val="ARtabletext"/>
              <w:rPr>
                <w:color w:val="000000"/>
              </w:rPr>
            </w:pPr>
            <w:r>
              <w:t>Adjustment to accumulated surplus/(deficit) due to a change in accounting policy</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15D7A9A" w14:textId="77777777" w:rsidR="00FA7EBF" w:rsidRDefault="00FA7EBF">
            <w:pPr>
              <w:pStyle w:val="ARtabletextright"/>
            </w:pPr>
            <w:r>
              <w:t>(96)</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A3539A5" w14:textId="77777777" w:rsidR="00FA7EBF" w:rsidRDefault="00FA7EBF">
            <w:pPr>
              <w:pStyle w:val="ARtabletextright"/>
            </w:pPr>
            <w:r>
              <w:t>–</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6F11E4D" w14:textId="77777777" w:rsidR="00FA7EBF" w:rsidRDefault="00FA7EBF">
            <w:pPr>
              <w:pStyle w:val="ARtabletextright"/>
            </w:pPr>
            <w:r>
              <w:t>–</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B241BA7" w14:textId="77777777" w:rsidR="00FA7EBF" w:rsidRDefault="00FA7EBF">
            <w:pPr>
              <w:pStyle w:val="ARtabletextright"/>
            </w:pPr>
            <w:r>
              <w:t>–</w:t>
            </w:r>
          </w:p>
        </w:tc>
        <w:tc>
          <w:tcPr>
            <w:tcW w:w="136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345D1E6" w14:textId="77777777" w:rsidR="00FA7EBF" w:rsidRDefault="00FA7EBF">
            <w:pPr>
              <w:pStyle w:val="ARtabletextright"/>
            </w:pPr>
            <w:r>
              <w:t>–</w:t>
            </w:r>
          </w:p>
        </w:tc>
        <w:tc>
          <w:tcPr>
            <w:tcW w:w="62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089244B1" w14:textId="77777777" w:rsidR="00FA7EBF" w:rsidRDefault="00FA7EBF">
            <w:pPr>
              <w:pStyle w:val="ARtabletextrightbold"/>
            </w:pPr>
          </w:p>
        </w:tc>
      </w:tr>
      <w:tr w:rsidR="00FA7EBF" w14:paraId="411EA0FC" w14:textId="77777777" w:rsidTr="003075FD">
        <w:tc>
          <w:tcPr>
            <w:tcW w:w="28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E2DD9FE" w14:textId="77777777" w:rsidR="00FA7EBF" w:rsidRDefault="00FA7EBF">
            <w:pPr>
              <w:pStyle w:val="ARtabletext"/>
              <w:rPr>
                <w:color w:val="000000"/>
              </w:rPr>
            </w:pPr>
            <w:r>
              <w:t>Changes in non- financial asset revaluation surplus</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010ACAF" w14:textId="77777777" w:rsidR="00FA7EBF" w:rsidRDefault="00FA7EBF">
            <w:pPr>
              <w:pStyle w:val="ARtabletextright"/>
            </w:pPr>
            <w:r>
              <w:t>(2,691)</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ABD6D06" w14:textId="77777777" w:rsidR="00FA7EBF" w:rsidRDefault="00FA7EBF">
            <w:pPr>
              <w:pStyle w:val="ARtabletextright"/>
            </w:pPr>
            <w:r>
              <w:t>–</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00C428A" w14:textId="77777777" w:rsidR="00FA7EBF" w:rsidRDefault="00FA7EBF">
            <w:pPr>
              <w:pStyle w:val="ARtabletextright"/>
            </w:pPr>
            <w:r>
              <w:t>–</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1619AED" w14:textId="77777777" w:rsidR="00FA7EBF" w:rsidRDefault="00FA7EBF">
            <w:pPr>
              <w:pStyle w:val="ARtabletextright"/>
            </w:pPr>
            <w:r>
              <w:t>–</w:t>
            </w:r>
          </w:p>
        </w:tc>
        <w:tc>
          <w:tcPr>
            <w:tcW w:w="136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8813410" w14:textId="77777777" w:rsidR="00FA7EBF" w:rsidRDefault="00FA7EBF">
            <w:pPr>
              <w:pStyle w:val="ARtabletextright"/>
            </w:pPr>
            <w:r>
              <w:t>–</w:t>
            </w:r>
          </w:p>
        </w:tc>
        <w:tc>
          <w:tcPr>
            <w:tcW w:w="62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4FB72BF8" w14:textId="77777777" w:rsidR="00FA7EBF" w:rsidRDefault="00FA7EBF">
            <w:pPr>
              <w:pStyle w:val="ARtabletextrightbold"/>
            </w:pPr>
          </w:p>
        </w:tc>
      </w:tr>
      <w:tr w:rsidR="00FA7EBF" w14:paraId="58708DFD" w14:textId="77777777" w:rsidTr="003075FD">
        <w:tc>
          <w:tcPr>
            <w:tcW w:w="28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F12BFDC" w14:textId="77777777" w:rsidR="00FA7EBF" w:rsidRDefault="00FA7EBF">
            <w:pPr>
              <w:pStyle w:val="ARtabletext"/>
              <w:rPr>
                <w:color w:val="000000"/>
              </w:rPr>
            </w:pPr>
            <w:r>
              <w:t>Financial assets available-for-sale reserve</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D572C5F" w14:textId="77777777" w:rsidR="00FA7EBF" w:rsidRDefault="00FA7EBF">
            <w:pPr>
              <w:pStyle w:val="ARtabletextright"/>
            </w:pPr>
            <w:r>
              <w:t>30</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44DFCFF" w14:textId="77777777" w:rsidR="00FA7EBF" w:rsidRDefault="00FA7EBF">
            <w:pPr>
              <w:pStyle w:val="ARtabletextright"/>
            </w:pPr>
            <w:r>
              <w:t>–</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EEF9D3A" w14:textId="77777777" w:rsidR="00FA7EBF" w:rsidRDefault="00FA7EBF">
            <w:pPr>
              <w:pStyle w:val="ARtabletextright"/>
            </w:pPr>
            <w:r>
              <w:t>–</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96F84B3" w14:textId="77777777" w:rsidR="00FA7EBF" w:rsidRDefault="00FA7EBF">
            <w:pPr>
              <w:pStyle w:val="ARtabletextright"/>
            </w:pPr>
            <w:r>
              <w:t>–</w:t>
            </w:r>
          </w:p>
        </w:tc>
        <w:tc>
          <w:tcPr>
            <w:tcW w:w="136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6429D93" w14:textId="77777777" w:rsidR="00FA7EBF" w:rsidRDefault="00FA7EBF">
            <w:pPr>
              <w:pStyle w:val="ARtabletextright"/>
            </w:pPr>
            <w:r>
              <w:t>–</w:t>
            </w:r>
          </w:p>
        </w:tc>
        <w:tc>
          <w:tcPr>
            <w:tcW w:w="62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44A3BC03" w14:textId="77777777" w:rsidR="00FA7EBF" w:rsidRDefault="00FA7EBF">
            <w:pPr>
              <w:pStyle w:val="ARtabletextrightbold"/>
            </w:pPr>
          </w:p>
        </w:tc>
      </w:tr>
      <w:tr w:rsidR="00FA7EBF" w14:paraId="6E0CF686" w14:textId="77777777" w:rsidTr="003075FD">
        <w:tc>
          <w:tcPr>
            <w:tcW w:w="2835" w:type="dxa"/>
            <w:tcBorders>
              <w:top w:val="single" w:sz="4" w:space="0" w:color="A6A6A6" w:themeColor="background1" w:themeShade="A6"/>
              <w:left w:val="single" w:sz="4" w:space="0" w:color="FFFFFF"/>
              <w:bottom w:val="single" w:sz="4" w:space="0" w:color="auto"/>
              <w:right w:val="single" w:sz="4" w:space="0" w:color="FFFFFF"/>
            </w:tcBorders>
            <w:hideMark/>
          </w:tcPr>
          <w:p w14:paraId="71040703" w14:textId="77777777" w:rsidR="00FA7EBF" w:rsidRDefault="00FA7EBF">
            <w:pPr>
              <w:pStyle w:val="ARtabletext"/>
              <w:rPr>
                <w:color w:val="000000"/>
              </w:rPr>
            </w:pPr>
            <w:r>
              <w:t>Other</w:t>
            </w:r>
          </w:p>
        </w:tc>
        <w:tc>
          <w:tcPr>
            <w:tcW w:w="1134" w:type="dxa"/>
            <w:tcBorders>
              <w:top w:val="single" w:sz="4" w:space="0" w:color="A6A6A6" w:themeColor="background1" w:themeShade="A6"/>
              <w:left w:val="single" w:sz="4" w:space="0" w:color="FFFFFF"/>
              <w:bottom w:val="single" w:sz="4" w:space="0" w:color="auto"/>
              <w:right w:val="single" w:sz="4" w:space="0" w:color="FFFFFF"/>
            </w:tcBorders>
            <w:hideMark/>
          </w:tcPr>
          <w:p w14:paraId="428DF1B4" w14:textId="77777777" w:rsidR="00FA7EBF" w:rsidRDefault="00FA7EBF">
            <w:pPr>
              <w:pStyle w:val="ARtabletextright"/>
            </w:pPr>
            <w:r>
              <w:t>141</w:t>
            </w:r>
          </w:p>
        </w:tc>
        <w:tc>
          <w:tcPr>
            <w:tcW w:w="1134" w:type="dxa"/>
            <w:tcBorders>
              <w:top w:val="single" w:sz="4" w:space="0" w:color="A6A6A6" w:themeColor="background1" w:themeShade="A6"/>
              <w:left w:val="single" w:sz="4" w:space="0" w:color="FFFFFF"/>
              <w:bottom w:val="single" w:sz="4" w:space="0" w:color="auto"/>
              <w:right w:val="single" w:sz="4" w:space="0" w:color="FFFFFF"/>
            </w:tcBorders>
            <w:hideMark/>
          </w:tcPr>
          <w:p w14:paraId="5A7E6AB8" w14:textId="77777777" w:rsidR="00FA7EBF" w:rsidRDefault="00FA7EBF">
            <w:pPr>
              <w:pStyle w:val="ARtabletextright"/>
            </w:pPr>
            <w:r>
              <w:t>–</w:t>
            </w:r>
          </w:p>
        </w:tc>
        <w:tc>
          <w:tcPr>
            <w:tcW w:w="1247" w:type="dxa"/>
            <w:tcBorders>
              <w:top w:val="single" w:sz="4" w:space="0" w:color="A6A6A6" w:themeColor="background1" w:themeShade="A6"/>
              <w:left w:val="single" w:sz="4" w:space="0" w:color="FFFFFF"/>
              <w:bottom w:val="single" w:sz="4" w:space="0" w:color="auto"/>
              <w:right w:val="single" w:sz="4" w:space="0" w:color="FFFFFF"/>
            </w:tcBorders>
            <w:hideMark/>
          </w:tcPr>
          <w:p w14:paraId="3ED0F700" w14:textId="77777777" w:rsidR="00FA7EBF" w:rsidRDefault="00FA7EBF">
            <w:pPr>
              <w:pStyle w:val="ARtabletextright"/>
            </w:pPr>
            <w:r>
              <w:t>–</w:t>
            </w:r>
          </w:p>
        </w:tc>
        <w:tc>
          <w:tcPr>
            <w:tcW w:w="1304" w:type="dxa"/>
            <w:tcBorders>
              <w:top w:val="single" w:sz="4" w:space="0" w:color="A6A6A6" w:themeColor="background1" w:themeShade="A6"/>
              <w:left w:val="single" w:sz="4" w:space="0" w:color="FFFFFF"/>
              <w:bottom w:val="single" w:sz="4" w:space="0" w:color="auto"/>
              <w:right w:val="single" w:sz="4" w:space="0" w:color="FFFFFF"/>
            </w:tcBorders>
            <w:hideMark/>
          </w:tcPr>
          <w:p w14:paraId="71A092E3" w14:textId="77777777" w:rsidR="00FA7EBF" w:rsidRDefault="00FA7EBF">
            <w:pPr>
              <w:pStyle w:val="ARtabletextright"/>
            </w:pPr>
            <w:r>
              <w:t>–</w:t>
            </w:r>
          </w:p>
        </w:tc>
        <w:tc>
          <w:tcPr>
            <w:tcW w:w="1361" w:type="dxa"/>
            <w:tcBorders>
              <w:top w:val="single" w:sz="4" w:space="0" w:color="A6A6A6" w:themeColor="background1" w:themeShade="A6"/>
              <w:left w:val="single" w:sz="4" w:space="0" w:color="FFFFFF"/>
              <w:bottom w:val="single" w:sz="4" w:space="0" w:color="auto"/>
              <w:right w:val="single" w:sz="4" w:space="0" w:color="FFFFFF"/>
            </w:tcBorders>
            <w:hideMark/>
          </w:tcPr>
          <w:p w14:paraId="38301124" w14:textId="77777777" w:rsidR="00FA7EBF" w:rsidRDefault="00FA7EBF">
            <w:pPr>
              <w:pStyle w:val="ARtabletextright"/>
            </w:pPr>
            <w:r>
              <w:t>–</w:t>
            </w:r>
          </w:p>
        </w:tc>
        <w:tc>
          <w:tcPr>
            <w:tcW w:w="624" w:type="dxa"/>
            <w:tcBorders>
              <w:top w:val="single" w:sz="4" w:space="0" w:color="A6A6A6" w:themeColor="background1" w:themeShade="A6"/>
              <w:left w:val="single" w:sz="4" w:space="0" w:color="FFFFFF"/>
              <w:bottom w:val="single" w:sz="4" w:space="0" w:color="auto"/>
              <w:right w:val="single" w:sz="4" w:space="0" w:color="FFFFFF"/>
            </w:tcBorders>
          </w:tcPr>
          <w:p w14:paraId="270E6387" w14:textId="77777777" w:rsidR="00FA7EBF" w:rsidRDefault="00FA7EBF">
            <w:pPr>
              <w:pStyle w:val="ARtabletextrightbold"/>
            </w:pPr>
          </w:p>
        </w:tc>
      </w:tr>
      <w:tr w:rsidR="00FA7EBF" w14:paraId="74631F9C" w14:textId="77777777" w:rsidTr="003075FD">
        <w:tc>
          <w:tcPr>
            <w:tcW w:w="2835" w:type="dxa"/>
            <w:tcBorders>
              <w:top w:val="single" w:sz="4" w:space="0" w:color="auto"/>
              <w:left w:val="single" w:sz="4" w:space="0" w:color="FFFFFF"/>
              <w:bottom w:val="single" w:sz="4" w:space="0" w:color="auto"/>
              <w:right w:val="single" w:sz="4" w:space="0" w:color="FFFFFF"/>
            </w:tcBorders>
            <w:hideMark/>
          </w:tcPr>
          <w:p w14:paraId="025A73A3" w14:textId="77777777" w:rsidR="00FA7EBF" w:rsidRDefault="00FA7EBF">
            <w:pPr>
              <w:pStyle w:val="ARtabletextbold"/>
            </w:pPr>
            <w:r>
              <w:t>Total other economic flows – other comprehensive income</w:t>
            </w:r>
          </w:p>
        </w:tc>
        <w:tc>
          <w:tcPr>
            <w:tcW w:w="1134" w:type="dxa"/>
            <w:tcBorders>
              <w:top w:val="single" w:sz="4" w:space="0" w:color="auto"/>
              <w:left w:val="single" w:sz="4" w:space="0" w:color="FFFFFF"/>
              <w:bottom w:val="single" w:sz="4" w:space="0" w:color="auto"/>
              <w:right w:val="single" w:sz="4" w:space="0" w:color="FFFFFF"/>
            </w:tcBorders>
            <w:hideMark/>
          </w:tcPr>
          <w:p w14:paraId="6312D88E" w14:textId="77777777" w:rsidR="00FA7EBF" w:rsidRDefault="00FA7EBF">
            <w:pPr>
              <w:pStyle w:val="ARtabletextrightbold"/>
            </w:pPr>
            <w:r>
              <w:t>(2,616)</w:t>
            </w:r>
          </w:p>
        </w:tc>
        <w:tc>
          <w:tcPr>
            <w:tcW w:w="1134" w:type="dxa"/>
            <w:tcBorders>
              <w:top w:val="single" w:sz="4" w:space="0" w:color="auto"/>
              <w:left w:val="single" w:sz="4" w:space="0" w:color="FFFFFF"/>
              <w:bottom w:val="single" w:sz="4" w:space="0" w:color="auto"/>
              <w:right w:val="single" w:sz="4" w:space="0" w:color="FFFFFF"/>
            </w:tcBorders>
            <w:hideMark/>
          </w:tcPr>
          <w:p w14:paraId="650A9D19" w14:textId="77777777" w:rsidR="00FA7EBF" w:rsidRDefault="00FA7EBF">
            <w:pPr>
              <w:pStyle w:val="ARtabletextrightbold"/>
            </w:pPr>
            <w:r>
              <w:t>–</w:t>
            </w:r>
          </w:p>
        </w:tc>
        <w:tc>
          <w:tcPr>
            <w:tcW w:w="1247" w:type="dxa"/>
            <w:tcBorders>
              <w:top w:val="single" w:sz="4" w:space="0" w:color="auto"/>
              <w:left w:val="single" w:sz="4" w:space="0" w:color="FFFFFF"/>
              <w:bottom w:val="single" w:sz="4" w:space="0" w:color="auto"/>
              <w:right w:val="single" w:sz="4" w:space="0" w:color="FFFFFF"/>
            </w:tcBorders>
            <w:hideMark/>
          </w:tcPr>
          <w:p w14:paraId="6339ACEF" w14:textId="77777777" w:rsidR="00FA7EBF" w:rsidRDefault="00FA7EBF">
            <w:pPr>
              <w:pStyle w:val="ARtabletextrightbold"/>
            </w:pPr>
            <w:r>
              <w:t>–</w:t>
            </w:r>
          </w:p>
        </w:tc>
        <w:tc>
          <w:tcPr>
            <w:tcW w:w="1304" w:type="dxa"/>
            <w:tcBorders>
              <w:top w:val="single" w:sz="4" w:space="0" w:color="auto"/>
              <w:left w:val="single" w:sz="4" w:space="0" w:color="FFFFFF"/>
              <w:bottom w:val="single" w:sz="4" w:space="0" w:color="auto"/>
              <w:right w:val="single" w:sz="4" w:space="0" w:color="FFFFFF"/>
            </w:tcBorders>
            <w:hideMark/>
          </w:tcPr>
          <w:p w14:paraId="36AC3965" w14:textId="77777777" w:rsidR="00FA7EBF" w:rsidRDefault="00FA7EBF">
            <w:pPr>
              <w:pStyle w:val="ARtabletextrightbold"/>
            </w:pPr>
            <w:r>
              <w:t>–</w:t>
            </w:r>
          </w:p>
        </w:tc>
        <w:tc>
          <w:tcPr>
            <w:tcW w:w="1361" w:type="dxa"/>
            <w:tcBorders>
              <w:top w:val="single" w:sz="4" w:space="0" w:color="auto"/>
              <w:left w:val="single" w:sz="4" w:space="0" w:color="FFFFFF"/>
              <w:bottom w:val="single" w:sz="4" w:space="0" w:color="auto"/>
              <w:right w:val="single" w:sz="4" w:space="0" w:color="FFFFFF"/>
            </w:tcBorders>
            <w:hideMark/>
          </w:tcPr>
          <w:p w14:paraId="0822B91A" w14:textId="77777777" w:rsidR="00FA7EBF" w:rsidRDefault="00FA7EBF">
            <w:pPr>
              <w:pStyle w:val="ARtabletextrightbold"/>
            </w:pPr>
            <w:r>
              <w:t>–</w:t>
            </w:r>
          </w:p>
        </w:tc>
        <w:tc>
          <w:tcPr>
            <w:tcW w:w="624" w:type="dxa"/>
            <w:tcBorders>
              <w:top w:val="single" w:sz="4" w:space="0" w:color="auto"/>
              <w:left w:val="single" w:sz="4" w:space="0" w:color="FFFFFF"/>
              <w:bottom w:val="single" w:sz="4" w:space="0" w:color="auto"/>
              <w:right w:val="single" w:sz="4" w:space="0" w:color="FFFFFF"/>
            </w:tcBorders>
          </w:tcPr>
          <w:p w14:paraId="3723D304" w14:textId="77777777" w:rsidR="00FA7EBF" w:rsidRDefault="00FA7EBF">
            <w:pPr>
              <w:pStyle w:val="ARtabletextrightbold"/>
            </w:pPr>
          </w:p>
        </w:tc>
      </w:tr>
      <w:tr w:rsidR="00FA7EBF" w14:paraId="34791165" w14:textId="77777777" w:rsidTr="003075FD">
        <w:tc>
          <w:tcPr>
            <w:tcW w:w="2835" w:type="dxa"/>
            <w:tcBorders>
              <w:top w:val="single" w:sz="4" w:space="0" w:color="auto"/>
              <w:left w:val="single" w:sz="4" w:space="0" w:color="FFFFFF"/>
              <w:bottom w:val="single" w:sz="4" w:space="0" w:color="auto"/>
              <w:right w:val="single" w:sz="4" w:space="0" w:color="FFFFFF"/>
            </w:tcBorders>
            <w:hideMark/>
          </w:tcPr>
          <w:p w14:paraId="19C097BD" w14:textId="77777777" w:rsidR="00FA7EBF" w:rsidRDefault="00FA7EBF">
            <w:pPr>
              <w:pStyle w:val="ARtabletextbold"/>
            </w:pPr>
            <w:r>
              <w:t>Comprehensive result</w:t>
            </w:r>
          </w:p>
        </w:tc>
        <w:tc>
          <w:tcPr>
            <w:tcW w:w="1134" w:type="dxa"/>
            <w:tcBorders>
              <w:top w:val="single" w:sz="4" w:space="0" w:color="auto"/>
              <w:left w:val="single" w:sz="4" w:space="0" w:color="FFFFFF"/>
              <w:bottom w:val="single" w:sz="4" w:space="0" w:color="auto"/>
              <w:right w:val="single" w:sz="4" w:space="0" w:color="FFFFFF"/>
            </w:tcBorders>
            <w:hideMark/>
          </w:tcPr>
          <w:p w14:paraId="0C89EF13" w14:textId="77777777" w:rsidR="00FA7EBF" w:rsidRDefault="00FA7EBF">
            <w:pPr>
              <w:pStyle w:val="ARtabletextrightbold"/>
            </w:pPr>
            <w:r>
              <w:t>(2,699)</w:t>
            </w:r>
          </w:p>
        </w:tc>
        <w:tc>
          <w:tcPr>
            <w:tcW w:w="1134" w:type="dxa"/>
            <w:tcBorders>
              <w:top w:val="single" w:sz="4" w:space="0" w:color="auto"/>
              <w:left w:val="single" w:sz="4" w:space="0" w:color="FFFFFF"/>
              <w:bottom w:val="single" w:sz="4" w:space="0" w:color="auto"/>
              <w:right w:val="single" w:sz="4" w:space="0" w:color="FFFFFF"/>
            </w:tcBorders>
            <w:hideMark/>
          </w:tcPr>
          <w:p w14:paraId="22A57556" w14:textId="77777777" w:rsidR="00FA7EBF" w:rsidRDefault="00FA7EBF">
            <w:pPr>
              <w:pStyle w:val="ARtabletextrightbold"/>
            </w:pPr>
            <w:r>
              <w:t>66</w:t>
            </w:r>
          </w:p>
        </w:tc>
        <w:tc>
          <w:tcPr>
            <w:tcW w:w="1247" w:type="dxa"/>
            <w:tcBorders>
              <w:top w:val="single" w:sz="4" w:space="0" w:color="auto"/>
              <w:left w:val="single" w:sz="4" w:space="0" w:color="FFFFFF"/>
              <w:bottom w:val="single" w:sz="4" w:space="0" w:color="auto"/>
              <w:right w:val="single" w:sz="4" w:space="0" w:color="FFFFFF"/>
            </w:tcBorders>
            <w:hideMark/>
          </w:tcPr>
          <w:p w14:paraId="40931805" w14:textId="77777777" w:rsidR="00FA7EBF" w:rsidRDefault="00FA7EBF">
            <w:pPr>
              <w:pStyle w:val="ARtabletextrightbold"/>
            </w:pPr>
            <w:r>
              <w:t>(4,189.6)</w:t>
            </w:r>
          </w:p>
        </w:tc>
        <w:tc>
          <w:tcPr>
            <w:tcW w:w="1304" w:type="dxa"/>
            <w:tcBorders>
              <w:top w:val="single" w:sz="4" w:space="0" w:color="auto"/>
              <w:left w:val="single" w:sz="4" w:space="0" w:color="FFFFFF"/>
              <w:bottom w:val="single" w:sz="4" w:space="0" w:color="auto"/>
              <w:right w:val="single" w:sz="4" w:space="0" w:color="FFFFFF"/>
            </w:tcBorders>
            <w:hideMark/>
          </w:tcPr>
          <w:p w14:paraId="660D3EFF" w14:textId="77777777" w:rsidR="00FA7EBF" w:rsidRDefault="00FA7EBF">
            <w:pPr>
              <w:pStyle w:val="ARtabletextrightbold"/>
            </w:pPr>
            <w:r>
              <w:t>189</w:t>
            </w:r>
          </w:p>
        </w:tc>
        <w:tc>
          <w:tcPr>
            <w:tcW w:w="1361" w:type="dxa"/>
            <w:tcBorders>
              <w:top w:val="single" w:sz="4" w:space="0" w:color="auto"/>
              <w:left w:val="single" w:sz="4" w:space="0" w:color="FFFFFF"/>
              <w:bottom w:val="single" w:sz="4" w:space="0" w:color="auto"/>
              <w:right w:val="single" w:sz="4" w:space="0" w:color="FFFFFF"/>
            </w:tcBorders>
            <w:hideMark/>
          </w:tcPr>
          <w:p w14:paraId="2536ABE8" w14:textId="77777777" w:rsidR="00FA7EBF" w:rsidRDefault="00FA7EBF">
            <w:pPr>
              <w:pStyle w:val="ARtabletextrightbold"/>
            </w:pPr>
            <w:r>
              <w:t>(1,528.1)</w:t>
            </w:r>
          </w:p>
        </w:tc>
        <w:tc>
          <w:tcPr>
            <w:tcW w:w="624" w:type="dxa"/>
            <w:tcBorders>
              <w:top w:val="single" w:sz="4" w:space="0" w:color="auto"/>
              <w:left w:val="single" w:sz="4" w:space="0" w:color="FFFFFF"/>
              <w:bottom w:val="single" w:sz="4" w:space="0" w:color="auto"/>
              <w:right w:val="single" w:sz="4" w:space="0" w:color="FFFFFF"/>
            </w:tcBorders>
          </w:tcPr>
          <w:p w14:paraId="3D6DB301" w14:textId="77777777" w:rsidR="00FA7EBF" w:rsidRDefault="00FA7EBF">
            <w:pPr>
              <w:pStyle w:val="ARtabletextrightbold"/>
            </w:pPr>
          </w:p>
        </w:tc>
      </w:tr>
    </w:tbl>
    <w:p w14:paraId="239D15FA" w14:textId="77777777" w:rsidR="00FA7EBF" w:rsidRDefault="00FA7EBF" w:rsidP="00326F42">
      <w:pPr>
        <w:pStyle w:val="ARtablefootnotenumbered"/>
        <w:numPr>
          <w:ilvl w:val="0"/>
          <w:numId w:val="25"/>
        </w:numPr>
      </w:pPr>
      <w:r>
        <w:t>The variance to published budget is a result of the additional appropriations received from gambling taxation revenue which was conservatively updated in the revised budget.</w:t>
      </w:r>
    </w:p>
    <w:p w14:paraId="5C60D9D5" w14:textId="77777777" w:rsidR="00FA7EBF" w:rsidRDefault="00FA7EBF" w:rsidP="00326F42">
      <w:pPr>
        <w:pStyle w:val="ARtablefootnotenumbered"/>
        <w:numPr>
          <w:ilvl w:val="0"/>
          <w:numId w:val="25"/>
        </w:numPr>
      </w:pPr>
      <w:r>
        <w:t>The variance to published budget is mainly driven by increases in health agencies’ own-source revenue (such as non-government sourced research revenue) and variations in revenue from other states and jurisdictions for patients treated in Victoria.</w:t>
      </w:r>
    </w:p>
    <w:p w14:paraId="0A919B32" w14:textId="77777777" w:rsidR="00FA7EBF" w:rsidRDefault="00FA7EBF" w:rsidP="003075FD">
      <w:pPr>
        <w:pStyle w:val="ARbody"/>
      </w:pPr>
      <w:r>
        <w:br w:type="page"/>
      </w:r>
    </w:p>
    <w:p w14:paraId="0EFB8656" w14:textId="77777777" w:rsidR="00FA7EBF" w:rsidRDefault="00FA7EBF" w:rsidP="003075FD">
      <w:pPr>
        <w:pStyle w:val="Heading3"/>
      </w:pPr>
      <w:r>
        <w:t>Balance sheet as at 30 June 2019</w:t>
      </w:r>
    </w:p>
    <w:tbl>
      <w:tblPr>
        <w:tblStyle w:val="TableGrid"/>
        <w:tblW w:w="9639" w:type="dxa"/>
        <w:tblLook w:val="06A0" w:firstRow="1" w:lastRow="0" w:firstColumn="1" w:lastColumn="0" w:noHBand="1" w:noVBand="1"/>
      </w:tblPr>
      <w:tblGrid>
        <w:gridCol w:w="3473"/>
        <w:gridCol w:w="989"/>
        <w:gridCol w:w="1010"/>
        <w:gridCol w:w="1130"/>
        <w:gridCol w:w="1193"/>
        <w:gridCol w:w="1235"/>
        <w:gridCol w:w="609"/>
      </w:tblGrid>
      <w:tr w:rsidR="00FA7EBF" w14:paraId="3BB74DC0" w14:textId="77777777" w:rsidTr="003075FD">
        <w:trPr>
          <w:cnfStyle w:val="100000000000" w:firstRow="1" w:lastRow="0" w:firstColumn="0" w:lastColumn="0" w:oddVBand="0" w:evenVBand="0" w:oddHBand="0" w:evenHBand="0" w:firstRowFirstColumn="0" w:firstRowLastColumn="0" w:lastRowFirstColumn="0" w:lastRowLastColumn="0"/>
          <w:tblHeader/>
        </w:trPr>
        <w:tc>
          <w:tcPr>
            <w:tcW w:w="3473" w:type="dxa"/>
            <w:tcBorders>
              <w:top w:val="nil"/>
              <w:left w:val="single" w:sz="4" w:space="0" w:color="FFFFFF"/>
              <w:bottom w:val="single" w:sz="4" w:space="0" w:color="auto"/>
              <w:right w:val="single" w:sz="4" w:space="0" w:color="FFFFFF"/>
            </w:tcBorders>
            <w:hideMark/>
          </w:tcPr>
          <w:p w14:paraId="625D5B6B" w14:textId="77777777" w:rsidR="00FA7EBF" w:rsidRDefault="00FA7EBF"/>
        </w:tc>
        <w:tc>
          <w:tcPr>
            <w:tcW w:w="989" w:type="dxa"/>
            <w:tcBorders>
              <w:top w:val="nil"/>
              <w:left w:val="single" w:sz="4" w:space="0" w:color="FFFFFF"/>
              <w:bottom w:val="single" w:sz="4" w:space="0" w:color="auto"/>
              <w:right w:val="single" w:sz="4" w:space="0" w:color="FFFFFF"/>
            </w:tcBorders>
            <w:hideMark/>
          </w:tcPr>
          <w:p w14:paraId="32891155" w14:textId="77777777" w:rsidR="00FA7EBF" w:rsidRDefault="00FA7EBF">
            <w:pPr>
              <w:pStyle w:val="ARtablecolheadright"/>
            </w:pPr>
            <w:r>
              <w:t>2018–19 actual</w:t>
            </w:r>
          </w:p>
          <w:p w14:paraId="4F6AAE37" w14:textId="77777777" w:rsidR="00FA7EBF" w:rsidRDefault="00FA7EBF">
            <w:pPr>
              <w:pStyle w:val="ARtablecolheadright"/>
            </w:pPr>
            <w:r>
              <w:t>$M</w:t>
            </w:r>
          </w:p>
        </w:tc>
        <w:tc>
          <w:tcPr>
            <w:tcW w:w="1010" w:type="dxa"/>
            <w:tcBorders>
              <w:top w:val="nil"/>
              <w:left w:val="single" w:sz="4" w:space="0" w:color="FFFFFF"/>
              <w:bottom w:val="single" w:sz="4" w:space="0" w:color="auto"/>
              <w:right w:val="single" w:sz="4" w:space="0" w:color="FFFFFF"/>
            </w:tcBorders>
            <w:hideMark/>
          </w:tcPr>
          <w:p w14:paraId="4AAA40A2" w14:textId="77777777" w:rsidR="00FA7EBF" w:rsidRDefault="00FA7EBF">
            <w:pPr>
              <w:pStyle w:val="ARtablecolheadright"/>
            </w:pPr>
            <w:r>
              <w:t>2018–19 revised budget</w:t>
            </w:r>
          </w:p>
          <w:p w14:paraId="007E59BA" w14:textId="77777777" w:rsidR="00FA7EBF" w:rsidRDefault="00FA7EBF">
            <w:pPr>
              <w:pStyle w:val="ARtablecolheadright"/>
            </w:pPr>
            <w:r>
              <w:t>$M</w:t>
            </w:r>
          </w:p>
        </w:tc>
        <w:tc>
          <w:tcPr>
            <w:tcW w:w="1130" w:type="dxa"/>
            <w:tcBorders>
              <w:top w:val="nil"/>
              <w:left w:val="single" w:sz="4" w:space="0" w:color="FFFFFF"/>
              <w:bottom w:val="single" w:sz="4" w:space="0" w:color="auto"/>
              <w:right w:val="single" w:sz="4" w:space="0" w:color="FFFFFF"/>
            </w:tcBorders>
            <w:hideMark/>
          </w:tcPr>
          <w:p w14:paraId="0A44E401" w14:textId="77777777" w:rsidR="00FA7EBF" w:rsidRDefault="00FA7EBF">
            <w:pPr>
              <w:pStyle w:val="ARtablecolheadright"/>
            </w:pPr>
            <w:r>
              <w:t>Variation to revised budget</w:t>
            </w:r>
          </w:p>
          <w:p w14:paraId="0FEBAD05" w14:textId="77777777" w:rsidR="00FA7EBF" w:rsidRDefault="00FA7EBF">
            <w:pPr>
              <w:pStyle w:val="ARtablecolheadright"/>
            </w:pPr>
            <w:r>
              <w:t>%</w:t>
            </w:r>
          </w:p>
        </w:tc>
        <w:tc>
          <w:tcPr>
            <w:tcW w:w="1193" w:type="dxa"/>
            <w:tcBorders>
              <w:top w:val="nil"/>
              <w:left w:val="single" w:sz="4" w:space="0" w:color="FFFFFF"/>
              <w:bottom w:val="single" w:sz="4" w:space="0" w:color="auto"/>
              <w:right w:val="single" w:sz="4" w:space="0" w:color="FFFFFF"/>
            </w:tcBorders>
            <w:hideMark/>
          </w:tcPr>
          <w:p w14:paraId="5F594FB3" w14:textId="77777777" w:rsidR="00FA7EBF" w:rsidRDefault="00FA7EBF">
            <w:pPr>
              <w:pStyle w:val="ARtablecolheadright"/>
            </w:pPr>
            <w:r>
              <w:t>2018–19 published budget</w:t>
            </w:r>
          </w:p>
          <w:p w14:paraId="0053750A" w14:textId="77777777" w:rsidR="00FA7EBF" w:rsidRDefault="00FA7EBF">
            <w:pPr>
              <w:pStyle w:val="ARtablecolheadright"/>
            </w:pPr>
            <w:r>
              <w:t>$M</w:t>
            </w:r>
          </w:p>
        </w:tc>
        <w:tc>
          <w:tcPr>
            <w:tcW w:w="1235" w:type="dxa"/>
            <w:tcBorders>
              <w:top w:val="nil"/>
              <w:left w:val="single" w:sz="4" w:space="0" w:color="FFFFFF"/>
              <w:bottom w:val="single" w:sz="4" w:space="0" w:color="auto"/>
              <w:right w:val="single" w:sz="4" w:space="0" w:color="FFFFFF"/>
            </w:tcBorders>
            <w:hideMark/>
          </w:tcPr>
          <w:p w14:paraId="1CBDA4C0" w14:textId="77777777" w:rsidR="00FA7EBF" w:rsidRDefault="00FA7EBF">
            <w:pPr>
              <w:pStyle w:val="ARtablecolheadright"/>
            </w:pPr>
            <w:r>
              <w:t>Variation to published budget</w:t>
            </w:r>
          </w:p>
          <w:p w14:paraId="3266225C" w14:textId="77777777" w:rsidR="00FA7EBF" w:rsidRDefault="00FA7EBF">
            <w:pPr>
              <w:pStyle w:val="ARtablecolheadright"/>
            </w:pPr>
            <w:r>
              <w:t>%</w:t>
            </w:r>
          </w:p>
        </w:tc>
        <w:tc>
          <w:tcPr>
            <w:tcW w:w="609" w:type="dxa"/>
            <w:tcBorders>
              <w:top w:val="nil"/>
              <w:left w:val="single" w:sz="4" w:space="0" w:color="FFFFFF"/>
              <w:bottom w:val="single" w:sz="4" w:space="0" w:color="auto"/>
              <w:right w:val="single" w:sz="4" w:space="0" w:color="FFFFFF"/>
            </w:tcBorders>
            <w:hideMark/>
          </w:tcPr>
          <w:p w14:paraId="1340E5A9" w14:textId="77777777" w:rsidR="00FA7EBF" w:rsidRDefault="00FA7EBF">
            <w:pPr>
              <w:pStyle w:val="ARtablecolheadright"/>
            </w:pPr>
            <w:r>
              <w:t>Notes</w:t>
            </w:r>
          </w:p>
        </w:tc>
      </w:tr>
      <w:tr w:rsidR="00FA7EBF" w14:paraId="4FA0D609" w14:textId="77777777" w:rsidTr="003075FD">
        <w:tc>
          <w:tcPr>
            <w:tcW w:w="9639" w:type="dxa"/>
            <w:gridSpan w:val="7"/>
            <w:tcBorders>
              <w:top w:val="single" w:sz="4" w:space="0" w:color="auto"/>
              <w:left w:val="single" w:sz="4" w:space="0" w:color="FFFFFF"/>
              <w:bottom w:val="single" w:sz="4" w:space="0" w:color="A6A6A6" w:themeColor="background1" w:themeShade="A6"/>
              <w:right w:val="single" w:sz="4" w:space="0" w:color="FFFFFF"/>
            </w:tcBorders>
            <w:hideMark/>
          </w:tcPr>
          <w:p w14:paraId="022E91ED" w14:textId="77777777" w:rsidR="00FA7EBF" w:rsidRDefault="00FA7EBF">
            <w:pPr>
              <w:pStyle w:val="ARtabletextbold"/>
            </w:pPr>
            <w:r>
              <w:t>Assets</w:t>
            </w:r>
          </w:p>
        </w:tc>
      </w:tr>
      <w:tr w:rsidR="00FA7EBF" w14:paraId="7B396381" w14:textId="77777777" w:rsidTr="003075FD">
        <w:tc>
          <w:tcPr>
            <w:tcW w:w="9639" w:type="dxa"/>
            <w:gridSpan w:val="7"/>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840062A" w14:textId="77777777" w:rsidR="00FA7EBF" w:rsidRDefault="00FA7EBF">
            <w:pPr>
              <w:pStyle w:val="ARtabletextbold"/>
            </w:pPr>
            <w:r>
              <w:t>Financial assets</w:t>
            </w:r>
          </w:p>
        </w:tc>
      </w:tr>
      <w:tr w:rsidR="00FA7EBF" w14:paraId="46E47176" w14:textId="77777777" w:rsidTr="003075FD">
        <w:tc>
          <w:tcPr>
            <w:tcW w:w="347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3AB3B6E" w14:textId="77777777" w:rsidR="00FA7EBF" w:rsidRDefault="00FA7EBF">
            <w:pPr>
              <w:pStyle w:val="ARtabletext"/>
            </w:pPr>
            <w:r>
              <w:t>Cash and deposits</w:t>
            </w:r>
          </w:p>
        </w:tc>
        <w:tc>
          <w:tcPr>
            <w:tcW w:w="9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B13D6A2" w14:textId="77777777" w:rsidR="00FA7EBF" w:rsidRDefault="00FA7EBF">
            <w:pPr>
              <w:pStyle w:val="ARtabletextright"/>
            </w:pPr>
            <w:r>
              <w:t>1,969</w:t>
            </w:r>
          </w:p>
        </w:tc>
        <w:tc>
          <w:tcPr>
            <w:tcW w:w="101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31DDF5E" w14:textId="77777777" w:rsidR="00FA7EBF" w:rsidRDefault="00FA7EBF">
            <w:pPr>
              <w:pStyle w:val="ARtabletextright"/>
            </w:pPr>
            <w:r>
              <w:t>2,045</w:t>
            </w:r>
          </w:p>
        </w:tc>
        <w:tc>
          <w:tcPr>
            <w:tcW w:w="113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C0EDCCF" w14:textId="77777777" w:rsidR="00FA7EBF" w:rsidRDefault="00FA7EBF">
            <w:pPr>
              <w:pStyle w:val="ARtabletextright"/>
            </w:pPr>
            <w:r>
              <w:t>(3.7)</w:t>
            </w:r>
          </w:p>
        </w:tc>
        <w:tc>
          <w:tcPr>
            <w:tcW w:w="119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139CBDD" w14:textId="77777777" w:rsidR="00FA7EBF" w:rsidRDefault="00FA7EBF">
            <w:pPr>
              <w:pStyle w:val="ARtabletextright"/>
            </w:pPr>
            <w:r>
              <w:t>1,918</w:t>
            </w:r>
          </w:p>
        </w:tc>
        <w:tc>
          <w:tcPr>
            <w:tcW w:w="12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14EC5E3" w14:textId="77777777" w:rsidR="00FA7EBF" w:rsidRDefault="00FA7EBF">
            <w:pPr>
              <w:pStyle w:val="ARtabletextright"/>
            </w:pPr>
            <w:r>
              <w:t>2.7</w:t>
            </w:r>
          </w:p>
        </w:tc>
        <w:tc>
          <w:tcPr>
            <w:tcW w:w="60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360A5ED2" w14:textId="77777777" w:rsidR="00FA7EBF" w:rsidRDefault="00FA7EBF">
            <w:pPr>
              <w:pStyle w:val="ARtabletextrightbold"/>
            </w:pPr>
          </w:p>
        </w:tc>
      </w:tr>
      <w:tr w:rsidR="00FA7EBF" w14:paraId="1343452D" w14:textId="77777777" w:rsidTr="003075FD">
        <w:tc>
          <w:tcPr>
            <w:tcW w:w="347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4E1872C" w14:textId="77777777" w:rsidR="00FA7EBF" w:rsidRDefault="00FA7EBF">
            <w:pPr>
              <w:pStyle w:val="ARtabletext"/>
            </w:pPr>
            <w:r>
              <w:t>Receivables</w:t>
            </w:r>
          </w:p>
        </w:tc>
        <w:tc>
          <w:tcPr>
            <w:tcW w:w="9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B0B6B84" w14:textId="77777777" w:rsidR="00FA7EBF" w:rsidRDefault="00FA7EBF">
            <w:pPr>
              <w:pStyle w:val="ARtabletextright"/>
            </w:pPr>
            <w:r>
              <w:t>3,863</w:t>
            </w:r>
          </w:p>
        </w:tc>
        <w:tc>
          <w:tcPr>
            <w:tcW w:w="101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0287A33" w14:textId="77777777" w:rsidR="00FA7EBF" w:rsidRDefault="00FA7EBF">
            <w:pPr>
              <w:pStyle w:val="ARtabletextright"/>
            </w:pPr>
            <w:r>
              <w:t>3,732</w:t>
            </w:r>
          </w:p>
        </w:tc>
        <w:tc>
          <w:tcPr>
            <w:tcW w:w="113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BE4C8CC" w14:textId="77777777" w:rsidR="00FA7EBF" w:rsidRDefault="00FA7EBF">
            <w:pPr>
              <w:pStyle w:val="ARtabletextright"/>
            </w:pPr>
            <w:r>
              <w:t>3.5</w:t>
            </w:r>
          </w:p>
        </w:tc>
        <w:tc>
          <w:tcPr>
            <w:tcW w:w="119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2F824E2" w14:textId="77777777" w:rsidR="00FA7EBF" w:rsidRDefault="00FA7EBF">
            <w:pPr>
              <w:pStyle w:val="ARtabletextright"/>
            </w:pPr>
            <w:r>
              <w:t>3,335</w:t>
            </w:r>
          </w:p>
        </w:tc>
        <w:tc>
          <w:tcPr>
            <w:tcW w:w="12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4ABC5B9" w14:textId="77777777" w:rsidR="00FA7EBF" w:rsidRDefault="00FA7EBF">
            <w:pPr>
              <w:pStyle w:val="ARtabletextright"/>
            </w:pPr>
            <w:r>
              <w:t>15.8</w:t>
            </w:r>
          </w:p>
        </w:tc>
        <w:tc>
          <w:tcPr>
            <w:tcW w:w="60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CCD18F4" w14:textId="77777777" w:rsidR="00FA7EBF" w:rsidRDefault="00FA7EBF">
            <w:pPr>
              <w:pStyle w:val="ARtabletextrightbold"/>
            </w:pPr>
            <w:r>
              <w:t>1</w:t>
            </w:r>
          </w:p>
        </w:tc>
      </w:tr>
      <w:tr w:rsidR="00FA7EBF" w14:paraId="26879BEA" w14:textId="77777777" w:rsidTr="003075FD">
        <w:tc>
          <w:tcPr>
            <w:tcW w:w="347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6C17EA1" w14:textId="77777777" w:rsidR="00FA7EBF" w:rsidRDefault="00FA7EBF">
            <w:pPr>
              <w:pStyle w:val="ARtabletext"/>
            </w:pPr>
            <w:r>
              <w:t>Other financial assets</w:t>
            </w:r>
          </w:p>
        </w:tc>
        <w:tc>
          <w:tcPr>
            <w:tcW w:w="9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823B192" w14:textId="77777777" w:rsidR="00FA7EBF" w:rsidRDefault="00FA7EBF">
            <w:pPr>
              <w:pStyle w:val="ARtabletextright"/>
            </w:pPr>
            <w:r>
              <w:t>520</w:t>
            </w:r>
          </w:p>
        </w:tc>
        <w:tc>
          <w:tcPr>
            <w:tcW w:w="101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C5FE1AB" w14:textId="77777777" w:rsidR="00FA7EBF" w:rsidRDefault="00FA7EBF">
            <w:pPr>
              <w:pStyle w:val="ARtabletextright"/>
            </w:pPr>
            <w:r>
              <w:t>510</w:t>
            </w:r>
          </w:p>
        </w:tc>
        <w:tc>
          <w:tcPr>
            <w:tcW w:w="113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561165D" w14:textId="77777777" w:rsidR="00FA7EBF" w:rsidRDefault="00FA7EBF">
            <w:pPr>
              <w:pStyle w:val="ARtabletextright"/>
            </w:pPr>
            <w:r>
              <w:t>1.9</w:t>
            </w:r>
          </w:p>
        </w:tc>
        <w:tc>
          <w:tcPr>
            <w:tcW w:w="119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8A3E54C" w14:textId="77777777" w:rsidR="00FA7EBF" w:rsidRDefault="00FA7EBF">
            <w:pPr>
              <w:pStyle w:val="ARtabletextright"/>
            </w:pPr>
            <w:r>
              <w:t>765</w:t>
            </w:r>
          </w:p>
        </w:tc>
        <w:tc>
          <w:tcPr>
            <w:tcW w:w="12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2A063A9" w14:textId="77777777" w:rsidR="00FA7EBF" w:rsidRDefault="00FA7EBF">
            <w:pPr>
              <w:pStyle w:val="ARtabletextright"/>
            </w:pPr>
            <w:r>
              <w:t>(32.1)</w:t>
            </w:r>
          </w:p>
        </w:tc>
        <w:tc>
          <w:tcPr>
            <w:tcW w:w="60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E1C1612" w14:textId="77777777" w:rsidR="00FA7EBF" w:rsidRDefault="00FA7EBF">
            <w:pPr>
              <w:pStyle w:val="ARtabletextrightbold"/>
            </w:pPr>
            <w:r>
              <w:t>2</w:t>
            </w:r>
          </w:p>
        </w:tc>
      </w:tr>
      <w:tr w:rsidR="00FA7EBF" w14:paraId="25B08FFE" w14:textId="77777777" w:rsidTr="003075FD">
        <w:tc>
          <w:tcPr>
            <w:tcW w:w="3473" w:type="dxa"/>
            <w:tcBorders>
              <w:top w:val="single" w:sz="4" w:space="0" w:color="A6A6A6" w:themeColor="background1" w:themeShade="A6"/>
              <w:left w:val="single" w:sz="4" w:space="0" w:color="FFFFFF"/>
              <w:bottom w:val="single" w:sz="4" w:space="0" w:color="auto"/>
              <w:right w:val="single" w:sz="4" w:space="0" w:color="FFFFFF"/>
            </w:tcBorders>
            <w:hideMark/>
          </w:tcPr>
          <w:p w14:paraId="3B751EA6" w14:textId="77777777" w:rsidR="00FA7EBF" w:rsidRDefault="00FA7EBF">
            <w:pPr>
              <w:pStyle w:val="ARtabletext"/>
            </w:pPr>
            <w:r>
              <w:t>Investments accounted for using equity method</w:t>
            </w:r>
          </w:p>
        </w:tc>
        <w:tc>
          <w:tcPr>
            <w:tcW w:w="989" w:type="dxa"/>
            <w:tcBorders>
              <w:top w:val="single" w:sz="4" w:space="0" w:color="A6A6A6" w:themeColor="background1" w:themeShade="A6"/>
              <w:left w:val="single" w:sz="4" w:space="0" w:color="FFFFFF"/>
              <w:bottom w:val="single" w:sz="4" w:space="0" w:color="auto"/>
              <w:right w:val="single" w:sz="4" w:space="0" w:color="FFFFFF"/>
            </w:tcBorders>
            <w:hideMark/>
          </w:tcPr>
          <w:p w14:paraId="17259A74" w14:textId="77777777" w:rsidR="00FA7EBF" w:rsidRDefault="00FA7EBF">
            <w:pPr>
              <w:pStyle w:val="ARtabletextright"/>
            </w:pPr>
            <w:r>
              <w:t>36</w:t>
            </w:r>
          </w:p>
        </w:tc>
        <w:tc>
          <w:tcPr>
            <w:tcW w:w="1010" w:type="dxa"/>
            <w:tcBorders>
              <w:top w:val="single" w:sz="4" w:space="0" w:color="A6A6A6" w:themeColor="background1" w:themeShade="A6"/>
              <w:left w:val="single" w:sz="4" w:space="0" w:color="FFFFFF"/>
              <w:bottom w:val="single" w:sz="4" w:space="0" w:color="auto"/>
              <w:right w:val="single" w:sz="4" w:space="0" w:color="FFFFFF"/>
            </w:tcBorders>
            <w:hideMark/>
          </w:tcPr>
          <w:p w14:paraId="18A306F2" w14:textId="77777777" w:rsidR="00FA7EBF" w:rsidRDefault="00FA7EBF">
            <w:pPr>
              <w:pStyle w:val="ARtabletextright"/>
            </w:pPr>
            <w:r>
              <w:t>37</w:t>
            </w:r>
          </w:p>
        </w:tc>
        <w:tc>
          <w:tcPr>
            <w:tcW w:w="1130" w:type="dxa"/>
            <w:tcBorders>
              <w:top w:val="single" w:sz="4" w:space="0" w:color="A6A6A6" w:themeColor="background1" w:themeShade="A6"/>
              <w:left w:val="single" w:sz="4" w:space="0" w:color="FFFFFF"/>
              <w:bottom w:val="single" w:sz="4" w:space="0" w:color="auto"/>
              <w:right w:val="single" w:sz="4" w:space="0" w:color="FFFFFF"/>
            </w:tcBorders>
            <w:hideMark/>
          </w:tcPr>
          <w:p w14:paraId="414E2B3C" w14:textId="77777777" w:rsidR="00FA7EBF" w:rsidRDefault="00FA7EBF">
            <w:pPr>
              <w:pStyle w:val="ARtabletextright"/>
            </w:pPr>
            <w:r>
              <w:t>(1.4)</w:t>
            </w:r>
          </w:p>
        </w:tc>
        <w:tc>
          <w:tcPr>
            <w:tcW w:w="1193" w:type="dxa"/>
            <w:tcBorders>
              <w:top w:val="single" w:sz="4" w:space="0" w:color="A6A6A6" w:themeColor="background1" w:themeShade="A6"/>
              <w:left w:val="single" w:sz="4" w:space="0" w:color="FFFFFF"/>
              <w:bottom w:val="single" w:sz="4" w:space="0" w:color="auto"/>
              <w:right w:val="single" w:sz="4" w:space="0" w:color="FFFFFF"/>
            </w:tcBorders>
            <w:hideMark/>
          </w:tcPr>
          <w:p w14:paraId="6EDD74E9" w14:textId="77777777" w:rsidR="00FA7EBF" w:rsidRDefault="00FA7EBF">
            <w:pPr>
              <w:pStyle w:val="ARtabletextright"/>
            </w:pPr>
            <w:r>
              <w:t>37</w:t>
            </w:r>
          </w:p>
        </w:tc>
        <w:tc>
          <w:tcPr>
            <w:tcW w:w="1235" w:type="dxa"/>
            <w:tcBorders>
              <w:top w:val="single" w:sz="4" w:space="0" w:color="A6A6A6" w:themeColor="background1" w:themeShade="A6"/>
              <w:left w:val="single" w:sz="4" w:space="0" w:color="FFFFFF"/>
              <w:bottom w:val="single" w:sz="4" w:space="0" w:color="auto"/>
              <w:right w:val="single" w:sz="4" w:space="0" w:color="FFFFFF"/>
            </w:tcBorders>
            <w:hideMark/>
          </w:tcPr>
          <w:p w14:paraId="40DAFFDD" w14:textId="77777777" w:rsidR="00FA7EBF" w:rsidRDefault="00FA7EBF">
            <w:pPr>
              <w:pStyle w:val="ARtabletextright"/>
            </w:pPr>
            <w:r>
              <w:t>(1.4)</w:t>
            </w:r>
          </w:p>
        </w:tc>
        <w:tc>
          <w:tcPr>
            <w:tcW w:w="609" w:type="dxa"/>
            <w:tcBorders>
              <w:top w:val="single" w:sz="4" w:space="0" w:color="A6A6A6" w:themeColor="background1" w:themeShade="A6"/>
              <w:left w:val="single" w:sz="4" w:space="0" w:color="FFFFFF"/>
              <w:bottom w:val="single" w:sz="4" w:space="0" w:color="auto"/>
              <w:right w:val="single" w:sz="4" w:space="0" w:color="FFFFFF"/>
            </w:tcBorders>
          </w:tcPr>
          <w:p w14:paraId="2C968672" w14:textId="77777777" w:rsidR="00FA7EBF" w:rsidRDefault="00FA7EBF">
            <w:pPr>
              <w:pStyle w:val="ARtabletextrightbold"/>
            </w:pPr>
          </w:p>
        </w:tc>
      </w:tr>
      <w:tr w:rsidR="00FA7EBF" w14:paraId="1441EB55" w14:textId="77777777" w:rsidTr="003075FD">
        <w:tc>
          <w:tcPr>
            <w:tcW w:w="3473" w:type="dxa"/>
            <w:tcBorders>
              <w:top w:val="single" w:sz="4" w:space="0" w:color="auto"/>
              <w:left w:val="single" w:sz="4" w:space="0" w:color="FFFFFF"/>
              <w:bottom w:val="single" w:sz="4" w:space="0" w:color="auto"/>
              <w:right w:val="single" w:sz="4" w:space="0" w:color="FFFFFF"/>
            </w:tcBorders>
            <w:hideMark/>
          </w:tcPr>
          <w:p w14:paraId="0190CF2E" w14:textId="77777777" w:rsidR="00FA7EBF" w:rsidRDefault="00FA7EBF">
            <w:pPr>
              <w:pStyle w:val="ARtabletextbold"/>
            </w:pPr>
            <w:r>
              <w:t>Total financial assets</w:t>
            </w:r>
          </w:p>
        </w:tc>
        <w:tc>
          <w:tcPr>
            <w:tcW w:w="989" w:type="dxa"/>
            <w:tcBorders>
              <w:top w:val="single" w:sz="4" w:space="0" w:color="auto"/>
              <w:left w:val="single" w:sz="4" w:space="0" w:color="FFFFFF"/>
              <w:bottom w:val="single" w:sz="4" w:space="0" w:color="auto"/>
              <w:right w:val="single" w:sz="4" w:space="0" w:color="FFFFFF"/>
            </w:tcBorders>
            <w:hideMark/>
          </w:tcPr>
          <w:p w14:paraId="2B68CB43" w14:textId="77777777" w:rsidR="00FA7EBF" w:rsidRDefault="00FA7EBF">
            <w:pPr>
              <w:pStyle w:val="ARtabletextrightbold"/>
            </w:pPr>
            <w:r>
              <w:t>6,388</w:t>
            </w:r>
          </w:p>
        </w:tc>
        <w:tc>
          <w:tcPr>
            <w:tcW w:w="1010" w:type="dxa"/>
            <w:tcBorders>
              <w:top w:val="single" w:sz="4" w:space="0" w:color="auto"/>
              <w:left w:val="single" w:sz="4" w:space="0" w:color="FFFFFF"/>
              <w:bottom w:val="single" w:sz="4" w:space="0" w:color="auto"/>
              <w:right w:val="single" w:sz="4" w:space="0" w:color="FFFFFF"/>
            </w:tcBorders>
            <w:hideMark/>
          </w:tcPr>
          <w:p w14:paraId="6E4AA1FB" w14:textId="77777777" w:rsidR="00FA7EBF" w:rsidRDefault="00FA7EBF">
            <w:pPr>
              <w:pStyle w:val="ARtabletextrightbold"/>
            </w:pPr>
            <w:r>
              <w:t>6,324</w:t>
            </w:r>
          </w:p>
        </w:tc>
        <w:tc>
          <w:tcPr>
            <w:tcW w:w="1130" w:type="dxa"/>
            <w:tcBorders>
              <w:top w:val="single" w:sz="4" w:space="0" w:color="auto"/>
              <w:left w:val="single" w:sz="4" w:space="0" w:color="FFFFFF"/>
              <w:bottom w:val="single" w:sz="4" w:space="0" w:color="auto"/>
              <w:right w:val="single" w:sz="4" w:space="0" w:color="FFFFFF"/>
            </w:tcBorders>
            <w:hideMark/>
          </w:tcPr>
          <w:p w14:paraId="4034FAF4" w14:textId="77777777" w:rsidR="00FA7EBF" w:rsidRDefault="00FA7EBF">
            <w:pPr>
              <w:pStyle w:val="ARtabletextrightbold"/>
            </w:pPr>
            <w:r>
              <w:t>1.0</w:t>
            </w:r>
          </w:p>
        </w:tc>
        <w:tc>
          <w:tcPr>
            <w:tcW w:w="1193" w:type="dxa"/>
            <w:tcBorders>
              <w:top w:val="single" w:sz="4" w:space="0" w:color="auto"/>
              <w:left w:val="single" w:sz="4" w:space="0" w:color="FFFFFF"/>
              <w:bottom w:val="single" w:sz="4" w:space="0" w:color="auto"/>
              <w:right w:val="single" w:sz="4" w:space="0" w:color="FFFFFF"/>
            </w:tcBorders>
            <w:hideMark/>
          </w:tcPr>
          <w:p w14:paraId="4B8C3FED" w14:textId="77777777" w:rsidR="00FA7EBF" w:rsidRDefault="00FA7EBF">
            <w:pPr>
              <w:pStyle w:val="ARtabletextrightbold"/>
            </w:pPr>
            <w:r>
              <w:t>6,055</w:t>
            </w:r>
          </w:p>
        </w:tc>
        <w:tc>
          <w:tcPr>
            <w:tcW w:w="1235" w:type="dxa"/>
            <w:tcBorders>
              <w:top w:val="single" w:sz="4" w:space="0" w:color="auto"/>
              <w:left w:val="single" w:sz="4" w:space="0" w:color="FFFFFF"/>
              <w:bottom w:val="single" w:sz="4" w:space="0" w:color="auto"/>
              <w:right w:val="single" w:sz="4" w:space="0" w:color="FFFFFF"/>
            </w:tcBorders>
            <w:hideMark/>
          </w:tcPr>
          <w:p w14:paraId="5E7D4668" w14:textId="77777777" w:rsidR="00FA7EBF" w:rsidRDefault="00FA7EBF">
            <w:pPr>
              <w:pStyle w:val="ARtabletextrightbold"/>
            </w:pPr>
            <w:r>
              <w:t>5.5</w:t>
            </w:r>
          </w:p>
        </w:tc>
        <w:tc>
          <w:tcPr>
            <w:tcW w:w="609" w:type="dxa"/>
            <w:tcBorders>
              <w:top w:val="single" w:sz="4" w:space="0" w:color="auto"/>
              <w:left w:val="single" w:sz="4" w:space="0" w:color="FFFFFF"/>
              <w:bottom w:val="single" w:sz="4" w:space="0" w:color="auto"/>
              <w:right w:val="single" w:sz="4" w:space="0" w:color="FFFFFF"/>
            </w:tcBorders>
          </w:tcPr>
          <w:p w14:paraId="0702DF6C" w14:textId="77777777" w:rsidR="00FA7EBF" w:rsidRDefault="00FA7EBF">
            <w:pPr>
              <w:pStyle w:val="ARtabletextrightbold"/>
            </w:pPr>
          </w:p>
        </w:tc>
      </w:tr>
      <w:tr w:rsidR="00FA7EBF" w14:paraId="23944C93" w14:textId="77777777" w:rsidTr="003075FD">
        <w:tc>
          <w:tcPr>
            <w:tcW w:w="9639" w:type="dxa"/>
            <w:gridSpan w:val="7"/>
            <w:tcBorders>
              <w:top w:val="single" w:sz="4" w:space="0" w:color="auto"/>
              <w:left w:val="single" w:sz="4" w:space="0" w:color="FFFFFF"/>
              <w:bottom w:val="single" w:sz="4" w:space="0" w:color="A6A6A6" w:themeColor="background1" w:themeShade="A6"/>
              <w:right w:val="single" w:sz="4" w:space="0" w:color="FFFFFF"/>
            </w:tcBorders>
            <w:hideMark/>
          </w:tcPr>
          <w:p w14:paraId="3FEDDF17" w14:textId="77777777" w:rsidR="00FA7EBF" w:rsidRDefault="00FA7EBF">
            <w:pPr>
              <w:pStyle w:val="ARtabletextbold"/>
            </w:pPr>
            <w:r>
              <w:t>Non-financial assets</w:t>
            </w:r>
          </w:p>
        </w:tc>
      </w:tr>
      <w:tr w:rsidR="00FA7EBF" w14:paraId="32D157F2" w14:textId="77777777" w:rsidTr="003075FD">
        <w:tc>
          <w:tcPr>
            <w:tcW w:w="347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B4A675E" w14:textId="77777777" w:rsidR="00FA7EBF" w:rsidRDefault="00FA7EBF">
            <w:pPr>
              <w:pStyle w:val="ARtabletext"/>
            </w:pPr>
            <w:r>
              <w:t>Inventories</w:t>
            </w:r>
          </w:p>
        </w:tc>
        <w:tc>
          <w:tcPr>
            <w:tcW w:w="9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06C2AF5" w14:textId="77777777" w:rsidR="00FA7EBF" w:rsidRDefault="00FA7EBF">
            <w:pPr>
              <w:pStyle w:val="ARtabletextright"/>
            </w:pPr>
            <w:r>
              <w:t>93</w:t>
            </w:r>
          </w:p>
        </w:tc>
        <w:tc>
          <w:tcPr>
            <w:tcW w:w="101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0B8E07C" w14:textId="77777777" w:rsidR="00FA7EBF" w:rsidRDefault="00FA7EBF">
            <w:pPr>
              <w:pStyle w:val="ARtabletextright"/>
            </w:pPr>
            <w:r>
              <w:t>88</w:t>
            </w:r>
          </w:p>
        </w:tc>
        <w:tc>
          <w:tcPr>
            <w:tcW w:w="113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F88A29B" w14:textId="77777777" w:rsidR="00FA7EBF" w:rsidRDefault="00FA7EBF">
            <w:pPr>
              <w:pStyle w:val="ARtabletextright"/>
            </w:pPr>
            <w:r>
              <w:t>5.2</w:t>
            </w:r>
          </w:p>
        </w:tc>
        <w:tc>
          <w:tcPr>
            <w:tcW w:w="119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7D2D891" w14:textId="77777777" w:rsidR="00FA7EBF" w:rsidRDefault="00FA7EBF">
            <w:pPr>
              <w:pStyle w:val="ARtabletextright"/>
            </w:pPr>
            <w:r>
              <w:t>89</w:t>
            </w:r>
          </w:p>
        </w:tc>
        <w:tc>
          <w:tcPr>
            <w:tcW w:w="12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ECB1EB9" w14:textId="77777777" w:rsidR="00FA7EBF" w:rsidRDefault="00FA7EBF">
            <w:pPr>
              <w:pStyle w:val="ARtabletextright"/>
            </w:pPr>
            <w:r>
              <w:t>4.0</w:t>
            </w:r>
          </w:p>
        </w:tc>
        <w:tc>
          <w:tcPr>
            <w:tcW w:w="60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61667632" w14:textId="77777777" w:rsidR="00FA7EBF" w:rsidRDefault="00FA7EBF">
            <w:pPr>
              <w:pStyle w:val="ARtabletextrightbold"/>
            </w:pPr>
          </w:p>
        </w:tc>
      </w:tr>
      <w:tr w:rsidR="00FA7EBF" w14:paraId="6AEA3578" w14:textId="77777777" w:rsidTr="003075FD">
        <w:tc>
          <w:tcPr>
            <w:tcW w:w="347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427BB74" w14:textId="77777777" w:rsidR="00FA7EBF" w:rsidRDefault="00FA7EBF">
            <w:pPr>
              <w:pStyle w:val="ARtabletext"/>
            </w:pPr>
            <w:r>
              <w:t>Non-financial assets classified as held for sale including disposal group assets</w:t>
            </w:r>
          </w:p>
        </w:tc>
        <w:tc>
          <w:tcPr>
            <w:tcW w:w="9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34F1122" w14:textId="77777777" w:rsidR="00FA7EBF" w:rsidRDefault="00FA7EBF">
            <w:pPr>
              <w:pStyle w:val="ARtabletextright"/>
            </w:pPr>
            <w:r>
              <w:t>6</w:t>
            </w:r>
          </w:p>
        </w:tc>
        <w:tc>
          <w:tcPr>
            <w:tcW w:w="101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B50FD79" w14:textId="77777777" w:rsidR="00FA7EBF" w:rsidRDefault="00FA7EBF">
            <w:pPr>
              <w:pStyle w:val="ARtabletextright"/>
            </w:pPr>
            <w:r>
              <w:t>107</w:t>
            </w:r>
          </w:p>
        </w:tc>
        <w:tc>
          <w:tcPr>
            <w:tcW w:w="113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D18E6AB" w14:textId="77777777" w:rsidR="00FA7EBF" w:rsidRDefault="00FA7EBF">
            <w:pPr>
              <w:pStyle w:val="ARtabletextright"/>
            </w:pPr>
            <w:r>
              <w:t>(94.2)</w:t>
            </w:r>
          </w:p>
        </w:tc>
        <w:tc>
          <w:tcPr>
            <w:tcW w:w="119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F56148D" w14:textId="77777777" w:rsidR="00FA7EBF" w:rsidRDefault="00FA7EBF">
            <w:pPr>
              <w:pStyle w:val="ARtabletextright"/>
            </w:pPr>
            <w:r>
              <w:t>107</w:t>
            </w:r>
          </w:p>
        </w:tc>
        <w:tc>
          <w:tcPr>
            <w:tcW w:w="12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45F2450" w14:textId="77777777" w:rsidR="00FA7EBF" w:rsidRDefault="00FA7EBF">
            <w:pPr>
              <w:pStyle w:val="ARtabletextright"/>
            </w:pPr>
            <w:r>
              <w:t>(94.2)</w:t>
            </w:r>
          </w:p>
        </w:tc>
        <w:tc>
          <w:tcPr>
            <w:tcW w:w="60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100E8A8" w14:textId="77777777" w:rsidR="00FA7EBF" w:rsidRDefault="00FA7EBF">
            <w:pPr>
              <w:pStyle w:val="ARtabletextrightbold"/>
            </w:pPr>
            <w:r>
              <w:t>3</w:t>
            </w:r>
          </w:p>
        </w:tc>
      </w:tr>
      <w:tr w:rsidR="00FA7EBF" w14:paraId="0FCBA81A" w14:textId="77777777" w:rsidTr="003075FD">
        <w:tc>
          <w:tcPr>
            <w:tcW w:w="347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6121E87" w14:textId="77777777" w:rsidR="00FA7EBF" w:rsidRDefault="00FA7EBF">
            <w:pPr>
              <w:pStyle w:val="ARtabletext"/>
            </w:pPr>
            <w:r>
              <w:t>Property, plant and equipment</w:t>
            </w:r>
          </w:p>
        </w:tc>
        <w:tc>
          <w:tcPr>
            <w:tcW w:w="9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029E41A" w14:textId="77777777" w:rsidR="00FA7EBF" w:rsidRDefault="00FA7EBF">
            <w:pPr>
              <w:pStyle w:val="ARtabletextright"/>
            </w:pPr>
            <w:r>
              <w:t>20,551</w:t>
            </w:r>
          </w:p>
        </w:tc>
        <w:tc>
          <w:tcPr>
            <w:tcW w:w="101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220A917" w14:textId="77777777" w:rsidR="00FA7EBF" w:rsidRDefault="00FA7EBF">
            <w:pPr>
              <w:pStyle w:val="ARtabletextright"/>
            </w:pPr>
            <w:r>
              <w:t>16,998</w:t>
            </w:r>
          </w:p>
        </w:tc>
        <w:tc>
          <w:tcPr>
            <w:tcW w:w="113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A03A3B6" w14:textId="77777777" w:rsidR="00FA7EBF" w:rsidRDefault="00FA7EBF">
            <w:pPr>
              <w:pStyle w:val="ARtabletextright"/>
            </w:pPr>
            <w:r>
              <w:t>20.9</w:t>
            </w:r>
          </w:p>
        </w:tc>
        <w:tc>
          <w:tcPr>
            <w:tcW w:w="119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8AC341D" w14:textId="77777777" w:rsidR="00FA7EBF" w:rsidRDefault="00FA7EBF">
            <w:pPr>
              <w:pStyle w:val="ARtabletextright"/>
            </w:pPr>
            <w:r>
              <w:t>17,862</w:t>
            </w:r>
          </w:p>
        </w:tc>
        <w:tc>
          <w:tcPr>
            <w:tcW w:w="12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15822D1" w14:textId="77777777" w:rsidR="00FA7EBF" w:rsidRDefault="00FA7EBF">
            <w:pPr>
              <w:pStyle w:val="ARtabletextright"/>
            </w:pPr>
            <w:r>
              <w:t>15.1</w:t>
            </w:r>
          </w:p>
        </w:tc>
        <w:tc>
          <w:tcPr>
            <w:tcW w:w="60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D3C5D13" w14:textId="77777777" w:rsidR="00FA7EBF" w:rsidRDefault="00FA7EBF">
            <w:pPr>
              <w:pStyle w:val="ARtabletextrightbold"/>
            </w:pPr>
            <w:r>
              <w:t>4</w:t>
            </w:r>
          </w:p>
        </w:tc>
      </w:tr>
      <w:tr w:rsidR="00FA7EBF" w14:paraId="2AE12A68" w14:textId="77777777" w:rsidTr="003075FD">
        <w:tc>
          <w:tcPr>
            <w:tcW w:w="347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2FCAD36" w14:textId="77777777" w:rsidR="00FA7EBF" w:rsidRDefault="00FA7EBF">
            <w:pPr>
              <w:pStyle w:val="ARtabletext"/>
            </w:pPr>
            <w:r>
              <w:t>Investment properties</w:t>
            </w:r>
          </w:p>
        </w:tc>
        <w:tc>
          <w:tcPr>
            <w:tcW w:w="9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28DBA33" w14:textId="77777777" w:rsidR="00FA7EBF" w:rsidRDefault="00FA7EBF">
            <w:pPr>
              <w:pStyle w:val="ARtabletextright"/>
            </w:pPr>
            <w:r>
              <w:t>131</w:t>
            </w:r>
          </w:p>
        </w:tc>
        <w:tc>
          <w:tcPr>
            <w:tcW w:w="101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22CF83E" w14:textId="77777777" w:rsidR="00FA7EBF" w:rsidRDefault="00FA7EBF">
            <w:pPr>
              <w:pStyle w:val="ARtabletextright"/>
            </w:pPr>
            <w:r>
              <w:t>42</w:t>
            </w:r>
          </w:p>
        </w:tc>
        <w:tc>
          <w:tcPr>
            <w:tcW w:w="113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23C2177" w14:textId="77777777" w:rsidR="00FA7EBF" w:rsidRDefault="00FA7EBF">
            <w:pPr>
              <w:pStyle w:val="ARtabletextright"/>
            </w:pPr>
            <w:r>
              <w:t>210.9</w:t>
            </w:r>
          </w:p>
        </w:tc>
        <w:tc>
          <w:tcPr>
            <w:tcW w:w="119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7DCB2E4" w14:textId="77777777" w:rsidR="00FA7EBF" w:rsidRDefault="00FA7EBF">
            <w:pPr>
              <w:pStyle w:val="ARtabletextright"/>
            </w:pPr>
            <w:r>
              <w:t>42</w:t>
            </w:r>
          </w:p>
        </w:tc>
        <w:tc>
          <w:tcPr>
            <w:tcW w:w="12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8C79472" w14:textId="77777777" w:rsidR="00FA7EBF" w:rsidRDefault="00FA7EBF">
            <w:pPr>
              <w:pStyle w:val="ARtabletextright"/>
            </w:pPr>
            <w:r>
              <w:t>210.9</w:t>
            </w:r>
          </w:p>
        </w:tc>
        <w:tc>
          <w:tcPr>
            <w:tcW w:w="60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B96950F" w14:textId="77777777" w:rsidR="00FA7EBF" w:rsidRDefault="00FA7EBF">
            <w:pPr>
              <w:pStyle w:val="ARtabletextrightbold"/>
            </w:pPr>
            <w:r>
              <w:t>5</w:t>
            </w:r>
          </w:p>
        </w:tc>
      </w:tr>
      <w:tr w:rsidR="00FA7EBF" w14:paraId="7BAA8FD2" w14:textId="77777777" w:rsidTr="003075FD">
        <w:tc>
          <w:tcPr>
            <w:tcW w:w="347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B2495F9" w14:textId="77777777" w:rsidR="00FA7EBF" w:rsidRDefault="00FA7EBF">
            <w:pPr>
              <w:pStyle w:val="ARtabletext"/>
            </w:pPr>
            <w:r>
              <w:t>Intangible assets</w:t>
            </w:r>
          </w:p>
        </w:tc>
        <w:tc>
          <w:tcPr>
            <w:tcW w:w="9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59A4227" w14:textId="77777777" w:rsidR="00FA7EBF" w:rsidRDefault="00FA7EBF">
            <w:pPr>
              <w:pStyle w:val="ARtabletextright"/>
            </w:pPr>
            <w:r>
              <w:t>349</w:t>
            </w:r>
          </w:p>
        </w:tc>
        <w:tc>
          <w:tcPr>
            <w:tcW w:w="101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9E8C40F" w14:textId="77777777" w:rsidR="00FA7EBF" w:rsidRDefault="00FA7EBF">
            <w:pPr>
              <w:pStyle w:val="ARtabletextright"/>
            </w:pPr>
            <w:r>
              <w:t>249</w:t>
            </w:r>
          </w:p>
        </w:tc>
        <w:tc>
          <w:tcPr>
            <w:tcW w:w="113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1B650E3" w14:textId="77777777" w:rsidR="00FA7EBF" w:rsidRDefault="00FA7EBF">
            <w:pPr>
              <w:pStyle w:val="ARtabletextright"/>
            </w:pPr>
            <w:r>
              <w:t>40.3</w:t>
            </w:r>
          </w:p>
        </w:tc>
        <w:tc>
          <w:tcPr>
            <w:tcW w:w="119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A49DB58" w14:textId="77777777" w:rsidR="00FA7EBF" w:rsidRDefault="00FA7EBF">
            <w:pPr>
              <w:pStyle w:val="ARtabletextright"/>
            </w:pPr>
            <w:r>
              <w:t>237</w:t>
            </w:r>
          </w:p>
        </w:tc>
        <w:tc>
          <w:tcPr>
            <w:tcW w:w="12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E70B8BB" w14:textId="77777777" w:rsidR="00FA7EBF" w:rsidRDefault="00FA7EBF">
            <w:pPr>
              <w:pStyle w:val="ARtabletextright"/>
            </w:pPr>
            <w:r>
              <w:t>47.4</w:t>
            </w:r>
          </w:p>
        </w:tc>
        <w:tc>
          <w:tcPr>
            <w:tcW w:w="60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56B97C7" w14:textId="77777777" w:rsidR="00FA7EBF" w:rsidRDefault="00FA7EBF">
            <w:pPr>
              <w:pStyle w:val="ARtabletextrightbold"/>
            </w:pPr>
            <w:r>
              <w:t>6</w:t>
            </w:r>
          </w:p>
        </w:tc>
      </w:tr>
      <w:tr w:rsidR="00FA7EBF" w14:paraId="32AE61F1" w14:textId="77777777" w:rsidTr="003075FD">
        <w:tc>
          <w:tcPr>
            <w:tcW w:w="3473" w:type="dxa"/>
            <w:tcBorders>
              <w:top w:val="single" w:sz="4" w:space="0" w:color="A6A6A6" w:themeColor="background1" w:themeShade="A6"/>
              <w:left w:val="single" w:sz="4" w:space="0" w:color="FFFFFF"/>
              <w:bottom w:val="single" w:sz="4" w:space="0" w:color="auto"/>
              <w:right w:val="single" w:sz="4" w:space="0" w:color="FFFFFF"/>
            </w:tcBorders>
            <w:hideMark/>
          </w:tcPr>
          <w:p w14:paraId="595C6605" w14:textId="77777777" w:rsidR="00FA7EBF" w:rsidRDefault="00FA7EBF">
            <w:pPr>
              <w:pStyle w:val="ARtabletext"/>
            </w:pPr>
            <w:r>
              <w:t>Other</w:t>
            </w:r>
          </w:p>
        </w:tc>
        <w:tc>
          <w:tcPr>
            <w:tcW w:w="989" w:type="dxa"/>
            <w:tcBorders>
              <w:top w:val="single" w:sz="4" w:space="0" w:color="A6A6A6" w:themeColor="background1" w:themeShade="A6"/>
              <w:left w:val="single" w:sz="4" w:space="0" w:color="FFFFFF"/>
              <w:bottom w:val="single" w:sz="4" w:space="0" w:color="auto"/>
              <w:right w:val="single" w:sz="4" w:space="0" w:color="FFFFFF"/>
            </w:tcBorders>
            <w:hideMark/>
          </w:tcPr>
          <w:p w14:paraId="48C2BC09" w14:textId="77777777" w:rsidR="00FA7EBF" w:rsidRDefault="00FA7EBF">
            <w:pPr>
              <w:pStyle w:val="ARtabletextright"/>
            </w:pPr>
            <w:r>
              <w:t>155</w:t>
            </w:r>
          </w:p>
        </w:tc>
        <w:tc>
          <w:tcPr>
            <w:tcW w:w="1010" w:type="dxa"/>
            <w:tcBorders>
              <w:top w:val="single" w:sz="4" w:space="0" w:color="A6A6A6" w:themeColor="background1" w:themeShade="A6"/>
              <w:left w:val="single" w:sz="4" w:space="0" w:color="FFFFFF"/>
              <w:bottom w:val="single" w:sz="4" w:space="0" w:color="auto"/>
              <w:right w:val="single" w:sz="4" w:space="0" w:color="FFFFFF"/>
            </w:tcBorders>
            <w:hideMark/>
          </w:tcPr>
          <w:p w14:paraId="71B48686" w14:textId="77777777" w:rsidR="00FA7EBF" w:rsidRDefault="00FA7EBF">
            <w:pPr>
              <w:pStyle w:val="ARtabletextright"/>
            </w:pPr>
            <w:r>
              <w:t>135</w:t>
            </w:r>
          </w:p>
        </w:tc>
        <w:tc>
          <w:tcPr>
            <w:tcW w:w="1130" w:type="dxa"/>
            <w:tcBorders>
              <w:top w:val="single" w:sz="4" w:space="0" w:color="A6A6A6" w:themeColor="background1" w:themeShade="A6"/>
              <w:left w:val="single" w:sz="4" w:space="0" w:color="FFFFFF"/>
              <w:bottom w:val="single" w:sz="4" w:space="0" w:color="auto"/>
              <w:right w:val="single" w:sz="4" w:space="0" w:color="FFFFFF"/>
            </w:tcBorders>
            <w:hideMark/>
          </w:tcPr>
          <w:p w14:paraId="3599BA0B" w14:textId="77777777" w:rsidR="00FA7EBF" w:rsidRDefault="00FA7EBF">
            <w:pPr>
              <w:pStyle w:val="ARtabletextright"/>
            </w:pPr>
            <w:r>
              <w:t>14.8</w:t>
            </w:r>
          </w:p>
        </w:tc>
        <w:tc>
          <w:tcPr>
            <w:tcW w:w="1193" w:type="dxa"/>
            <w:tcBorders>
              <w:top w:val="single" w:sz="4" w:space="0" w:color="A6A6A6" w:themeColor="background1" w:themeShade="A6"/>
              <w:left w:val="single" w:sz="4" w:space="0" w:color="FFFFFF"/>
              <w:bottom w:val="single" w:sz="4" w:space="0" w:color="auto"/>
              <w:right w:val="single" w:sz="4" w:space="0" w:color="FFFFFF"/>
            </w:tcBorders>
            <w:hideMark/>
          </w:tcPr>
          <w:p w14:paraId="6582F91B" w14:textId="77777777" w:rsidR="00FA7EBF" w:rsidRDefault="00FA7EBF">
            <w:pPr>
              <w:pStyle w:val="ARtabletextright"/>
            </w:pPr>
            <w:r>
              <w:t>135</w:t>
            </w:r>
          </w:p>
        </w:tc>
        <w:tc>
          <w:tcPr>
            <w:tcW w:w="1235" w:type="dxa"/>
            <w:tcBorders>
              <w:top w:val="single" w:sz="4" w:space="0" w:color="A6A6A6" w:themeColor="background1" w:themeShade="A6"/>
              <w:left w:val="single" w:sz="4" w:space="0" w:color="FFFFFF"/>
              <w:bottom w:val="single" w:sz="4" w:space="0" w:color="auto"/>
              <w:right w:val="single" w:sz="4" w:space="0" w:color="FFFFFF"/>
            </w:tcBorders>
            <w:hideMark/>
          </w:tcPr>
          <w:p w14:paraId="6C9B7B17" w14:textId="77777777" w:rsidR="00FA7EBF" w:rsidRDefault="00FA7EBF">
            <w:pPr>
              <w:pStyle w:val="ARtabletextright"/>
            </w:pPr>
            <w:r>
              <w:t>14.8</w:t>
            </w:r>
          </w:p>
        </w:tc>
        <w:tc>
          <w:tcPr>
            <w:tcW w:w="609" w:type="dxa"/>
            <w:tcBorders>
              <w:top w:val="single" w:sz="4" w:space="0" w:color="A6A6A6" w:themeColor="background1" w:themeShade="A6"/>
              <w:left w:val="single" w:sz="4" w:space="0" w:color="FFFFFF"/>
              <w:bottom w:val="single" w:sz="4" w:space="0" w:color="auto"/>
              <w:right w:val="single" w:sz="4" w:space="0" w:color="FFFFFF"/>
            </w:tcBorders>
            <w:hideMark/>
          </w:tcPr>
          <w:p w14:paraId="23CE0BFB" w14:textId="77777777" w:rsidR="00FA7EBF" w:rsidRDefault="00FA7EBF">
            <w:pPr>
              <w:pStyle w:val="ARtabletextrightbold"/>
            </w:pPr>
            <w:r>
              <w:t>7</w:t>
            </w:r>
          </w:p>
        </w:tc>
      </w:tr>
      <w:tr w:rsidR="00FA7EBF" w14:paraId="422D7C61" w14:textId="77777777" w:rsidTr="003075FD">
        <w:tc>
          <w:tcPr>
            <w:tcW w:w="3473" w:type="dxa"/>
            <w:tcBorders>
              <w:top w:val="single" w:sz="4" w:space="0" w:color="auto"/>
              <w:left w:val="single" w:sz="4" w:space="0" w:color="FFFFFF"/>
              <w:bottom w:val="single" w:sz="4" w:space="0" w:color="auto"/>
              <w:right w:val="single" w:sz="4" w:space="0" w:color="FFFFFF"/>
            </w:tcBorders>
            <w:hideMark/>
          </w:tcPr>
          <w:p w14:paraId="66F03882" w14:textId="77777777" w:rsidR="00FA7EBF" w:rsidRDefault="00FA7EBF">
            <w:pPr>
              <w:pStyle w:val="ARtabletextbold"/>
            </w:pPr>
            <w:r>
              <w:t>Total non-financial assets</w:t>
            </w:r>
          </w:p>
        </w:tc>
        <w:tc>
          <w:tcPr>
            <w:tcW w:w="989" w:type="dxa"/>
            <w:tcBorders>
              <w:top w:val="single" w:sz="4" w:space="0" w:color="auto"/>
              <w:left w:val="single" w:sz="4" w:space="0" w:color="FFFFFF"/>
              <w:bottom w:val="single" w:sz="4" w:space="0" w:color="auto"/>
              <w:right w:val="single" w:sz="4" w:space="0" w:color="FFFFFF"/>
            </w:tcBorders>
            <w:hideMark/>
          </w:tcPr>
          <w:p w14:paraId="28B4CAE4" w14:textId="77777777" w:rsidR="00FA7EBF" w:rsidRDefault="00FA7EBF">
            <w:pPr>
              <w:pStyle w:val="ARtabletextrightbold"/>
            </w:pPr>
            <w:r>
              <w:t>21,284</w:t>
            </w:r>
          </w:p>
        </w:tc>
        <w:tc>
          <w:tcPr>
            <w:tcW w:w="1010" w:type="dxa"/>
            <w:tcBorders>
              <w:top w:val="single" w:sz="4" w:space="0" w:color="auto"/>
              <w:left w:val="single" w:sz="4" w:space="0" w:color="FFFFFF"/>
              <w:bottom w:val="single" w:sz="4" w:space="0" w:color="auto"/>
              <w:right w:val="single" w:sz="4" w:space="0" w:color="FFFFFF"/>
            </w:tcBorders>
            <w:hideMark/>
          </w:tcPr>
          <w:p w14:paraId="3AD84360" w14:textId="77777777" w:rsidR="00FA7EBF" w:rsidRDefault="00FA7EBF">
            <w:pPr>
              <w:pStyle w:val="ARtabletextrightbold"/>
            </w:pPr>
            <w:r>
              <w:t>17,619</w:t>
            </w:r>
          </w:p>
        </w:tc>
        <w:tc>
          <w:tcPr>
            <w:tcW w:w="1130" w:type="dxa"/>
            <w:tcBorders>
              <w:top w:val="single" w:sz="4" w:space="0" w:color="auto"/>
              <w:left w:val="single" w:sz="4" w:space="0" w:color="FFFFFF"/>
              <w:bottom w:val="single" w:sz="4" w:space="0" w:color="auto"/>
              <w:right w:val="single" w:sz="4" w:space="0" w:color="FFFFFF"/>
            </w:tcBorders>
            <w:hideMark/>
          </w:tcPr>
          <w:p w14:paraId="159D9CB5" w14:textId="77777777" w:rsidR="00FA7EBF" w:rsidRDefault="00FA7EBF">
            <w:pPr>
              <w:pStyle w:val="ARtabletextrightbold"/>
            </w:pPr>
            <w:r>
              <w:t>20.8</w:t>
            </w:r>
          </w:p>
        </w:tc>
        <w:tc>
          <w:tcPr>
            <w:tcW w:w="1193" w:type="dxa"/>
            <w:tcBorders>
              <w:top w:val="single" w:sz="4" w:space="0" w:color="auto"/>
              <w:left w:val="single" w:sz="4" w:space="0" w:color="FFFFFF"/>
              <w:bottom w:val="single" w:sz="4" w:space="0" w:color="auto"/>
              <w:right w:val="single" w:sz="4" w:space="0" w:color="FFFFFF"/>
            </w:tcBorders>
            <w:hideMark/>
          </w:tcPr>
          <w:p w14:paraId="5A9195A2" w14:textId="77777777" w:rsidR="00FA7EBF" w:rsidRDefault="00FA7EBF">
            <w:pPr>
              <w:pStyle w:val="ARtabletextrightbold"/>
            </w:pPr>
            <w:r>
              <w:t>18,472</w:t>
            </w:r>
          </w:p>
        </w:tc>
        <w:tc>
          <w:tcPr>
            <w:tcW w:w="1235" w:type="dxa"/>
            <w:tcBorders>
              <w:top w:val="single" w:sz="4" w:space="0" w:color="auto"/>
              <w:left w:val="single" w:sz="4" w:space="0" w:color="FFFFFF"/>
              <w:bottom w:val="single" w:sz="4" w:space="0" w:color="auto"/>
              <w:right w:val="single" w:sz="4" w:space="0" w:color="FFFFFF"/>
            </w:tcBorders>
            <w:hideMark/>
          </w:tcPr>
          <w:p w14:paraId="1E264570" w14:textId="77777777" w:rsidR="00FA7EBF" w:rsidRDefault="00FA7EBF">
            <w:pPr>
              <w:pStyle w:val="ARtabletextrightbold"/>
            </w:pPr>
            <w:r>
              <w:t>15.2</w:t>
            </w:r>
          </w:p>
        </w:tc>
        <w:tc>
          <w:tcPr>
            <w:tcW w:w="609" w:type="dxa"/>
            <w:tcBorders>
              <w:top w:val="single" w:sz="4" w:space="0" w:color="auto"/>
              <w:left w:val="single" w:sz="4" w:space="0" w:color="FFFFFF"/>
              <w:bottom w:val="single" w:sz="4" w:space="0" w:color="auto"/>
              <w:right w:val="single" w:sz="4" w:space="0" w:color="FFFFFF"/>
            </w:tcBorders>
          </w:tcPr>
          <w:p w14:paraId="3D42AE82" w14:textId="77777777" w:rsidR="00FA7EBF" w:rsidRDefault="00FA7EBF">
            <w:pPr>
              <w:pStyle w:val="ARtabletextrightbold"/>
            </w:pPr>
          </w:p>
        </w:tc>
      </w:tr>
      <w:tr w:rsidR="00FA7EBF" w14:paraId="3AD1819D" w14:textId="77777777" w:rsidTr="003075FD">
        <w:tc>
          <w:tcPr>
            <w:tcW w:w="3473" w:type="dxa"/>
            <w:tcBorders>
              <w:top w:val="single" w:sz="4" w:space="0" w:color="auto"/>
              <w:left w:val="single" w:sz="4" w:space="0" w:color="FFFFFF"/>
              <w:bottom w:val="single" w:sz="4" w:space="0" w:color="auto"/>
              <w:right w:val="single" w:sz="4" w:space="0" w:color="FFFFFF"/>
            </w:tcBorders>
            <w:hideMark/>
          </w:tcPr>
          <w:p w14:paraId="66097632" w14:textId="77777777" w:rsidR="00FA7EBF" w:rsidRDefault="00FA7EBF">
            <w:pPr>
              <w:pStyle w:val="ARtabletextbold"/>
            </w:pPr>
            <w:r>
              <w:t>Total assets</w:t>
            </w:r>
          </w:p>
        </w:tc>
        <w:tc>
          <w:tcPr>
            <w:tcW w:w="989" w:type="dxa"/>
            <w:tcBorders>
              <w:top w:val="single" w:sz="4" w:space="0" w:color="auto"/>
              <w:left w:val="single" w:sz="4" w:space="0" w:color="FFFFFF"/>
              <w:bottom w:val="single" w:sz="4" w:space="0" w:color="auto"/>
              <w:right w:val="single" w:sz="4" w:space="0" w:color="FFFFFF"/>
            </w:tcBorders>
            <w:hideMark/>
          </w:tcPr>
          <w:p w14:paraId="140837A8" w14:textId="77777777" w:rsidR="00FA7EBF" w:rsidRDefault="00FA7EBF">
            <w:pPr>
              <w:pStyle w:val="ARtabletextrightbold"/>
            </w:pPr>
            <w:r>
              <w:t>27,672</w:t>
            </w:r>
          </w:p>
        </w:tc>
        <w:tc>
          <w:tcPr>
            <w:tcW w:w="1010" w:type="dxa"/>
            <w:tcBorders>
              <w:top w:val="single" w:sz="4" w:space="0" w:color="auto"/>
              <w:left w:val="single" w:sz="4" w:space="0" w:color="FFFFFF"/>
              <w:bottom w:val="single" w:sz="4" w:space="0" w:color="auto"/>
              <w:right w:val="single" w:sz="4" w:space="0" w:color="FFFFFF"/>
            </w:tcBorders>
            <w:hideMark/>
          </w:tcPr>
          <w:p w14:paraId="1A4BD331" w14:textId="77777777" w:rsidR="00FA7EBF" w:rsidRDefault="00FA7EBF">
            <w:pPr>
              <w:pStyle w:val="ARtabletextrightbold"/>
            </w:pPr>
            <w:r>
              <w:t>23,943</w:t>
            </w:r>
          </w:p>
        </w:tc>
        <w:tc>
          <w:tcPr>
            <w:tcW w:w="1130" w:type="dxa"/>
            <w:tcBorders>
              <w:top w:val="single" w:sz="4" w:space="0" w:color="auto"/>
              <w:left w:val="single" w:sz="4" w:space="0" w:color="FFFFFF"/>
              <w:bottom w:val="single" w:sz="4" w:space="0" w:color="auto"/>
              <w:right w:val="single" w:sz="4" w:space="0" w:color="FFFFFF"/>
            </w:tcBorders>
            <w:hideMark/>
          </w:tcPr>
          <w:p w14:paraId="69F1CA40" w14:textId="77777777" w:rsidR="00FA7EBF" w:rsidRDefault="00FA7EBF">
            <w:pPr>
              <w:pStyle w:val="ARtabletextrightbold"/>
            </w:pPr>
            <w:r>
              <w:t>15.6</w:t>
            </w:r>
          </w:p>
        </w:tc>
        <w:tc>
          <w:tcPr>
            <w:tcW w:w="1193" w:type="dxa"/>
            <w:tcBorders>
              <w:top w:val="single" w:sz="4" w:space="0" w:color="auto"/>
              <w:left w:val="single" w:sz="4" w:space="0" w:color="FFFFFF"/>
              <w:bottom w:val="single" w:sz="4" w:space="0" w:color="auto"/>
              <w:right w:val="single" w:sz="4" w:space="0" w:color="FFFFFF"/>
            </w:tcBorders>
            <w:hideMark/>
          </w:tcPr>
          <w:p w14:paraId="7BE8F614" w14:textId="77777777" w:rsidR="00FA7EBF" w:rsidRDefault="00FA7EBF">
            <w:pPr>
              <w:pStyle w:val="ARtabletextrightbold"/>
            </w:pPr>
            <w:r>
              <w:t>24,527</w:t>
            </w:r>
          </w:p>
        </w:tc>
        <w:tc>
          <w:tcPr>
            <w:tcW w:w="1235" w:type="dxa"/>
            <w:tcBorders>
              <w:top w:val="single" w:sz="4" w:space="0" w:color="auto"/>
              <w:left w:val="single" w:sz="4" w:space="0" w:color="FFFFFF"/>
              <w:bottom w:val="single" w:sz="4" w:space="0" w:color="auto"/>
              <w:right w:val="single" w:sz="4" w:space="0" w:color="FFFFFF"/>
            </w:tcBorders>
            <w:hideMark/>
          </w:tcPr>
          <w:p w14:paraId="33354EA2" w14:textId="77777777" w:rsidR="00FA7EBF" w:rsidRDefault="00FA7EBF">
            <w:pPr>
              <w:pStyle w:val="ARtabletextrightbold"/>
            </w:pPr>
            <w:r>
              <w:t>12.8</w:t>
            </w:r>
          </w:p>
        </w:tc>
        <w:tc>
          <w:tcPr>
            <w:tcW w:w="609" w:type="dxa"/>
            <w:tcBorders>
              <w:top w:val="single" w:sz="4" w:space="0" w:color="auto"/>
              <w:left w:val="single" w:sz="4" w:space="0" w:color="FFFFFF"/>
              <w:bottom w:val="single" w:sz="4" w:space="0" w:color="auto"/>
              <w:right w:val="single" w:sz="4" w:space="0" w:color="FFFFFF"/>
            </w:tcBorders>
          </w:tcPr>
          <w:p w14:paraId="1F166FF3" w14:textId="77777777" w:rsidR="00FA7EBF" w:rsidRDefault="00FA7EBF">
            <w:pPr>
              <w:pStyle w:val="ARtabletextrightbold"/>
            </w:pPr>
          </w:p>
        </w:tc>
      </w:tr>
      <w:tr w:rsidR="00FA7EBF" w14:paraId="7566A2CE" w14:textId="77777777" w:rsidTr="003075FD">
        <w:tc>
          <w:tcPr>
            <w:tcW w:w="9639" w:type="dxa"/>
            <w:gridSpan w:val="7"/>
            <w:tcBorders>
              <w:top w:val="single" w:sz="4" w:space="0" w:color="auto"/>
              <w:left w:val="single" w:sz="4" w:space="0" w:color="FFFFFF"/>
              <w:bottom w:val="single" w:sz="4" w:space="0" w:color="A6A6A6" w:themeColor="background1" w:themeShade="A6"/>
              <w:right w:val="single" w:sz="4" w:space="0" w:color="FFFFFF"/>
            </w:tcBorders>
            <w:hideMark/>
          </w:tcPr>
          <w:p w14:paraId="126630B1" w14:textId="77777777" w:rsidR="00FA7EBF" w:rsidRDefault="00FA7EBF">
            <w:pPr>
              <w:pStyle w:val="ARtabletextbold"/>
            </w:pPr>
            <w:r>
              <w:t>Liabilities</w:t>
            </w:r>
          </w:p>
        </w:tc>
      </w:tr>
      <w:tr w:rsidR="00FA7EBF" w14:paraId="6BC61171" w14:textId="77777777" w:rsidTr="003075FD">
        <w:tc>
          <w:tcPr>
            <w:tcW w:w="347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D80B4FD" w14:textId="77777777" w:rsidR="00FA7EBF" w:rsidRDefault="00FA7EBF">
            <w:pPr>
              <w:pStyle w:val="ARtabletext"/>
            </w:pPr>
            <w:r>
              <w:t>Payables</w:t>
            </w:r>
          </w:p>
        </w:tc>
        <w:tc>
          <w:tcPr>
            <w:tcW w:w="9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DAC4D5D" w14:textId="77777777" w:rsidR="00FA7EBF" w:rsidRDefault="00FA7EBF">
            <w:pPr>
              <w:pStyle w:val="ARtabletextright"/>
            </w:pPr>
            <w:r>
              <w:t>2,713</w:t>
            </w:r>
          </w:p>
        </w:tc>
        <w:tc>
          <w:tcPr>
            <w:tcW w:w="101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620C193" w14:textId="77777777" w:rsidR="00FA7EBF" w:rsidRDefault="00FA7EBF">
            <w:pPr>
              <w:pStyle w:val="ARtabletextright"/>
            </w:pPr>
            <w:r>
              <w:t>2,394</w:t>
            </w:r>
          </w:p>
        </w:tc>
        <w:tc>
          <w:tcPr>
            <w:tcW w:w="113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1AF079C" w14:textId="77777777" w:rsidR="00FA7EBF" w:rsidRDefault="00FA7EBF">
            <w:pPr>
              <w:pStyle w:val="ARtabletextright"/>
            </w:pPr>
            <w:r>
              <w:t>13.3</w:t>
            </w:r>
          </w:p>
        </w:tc>
        <w:tc>
          <w:tcPr>
            <w:tcW w:w="119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2C3B209" w14:textId="77777777" w:rsidR="00FA7EBF" w:rsidRDefault="00FA7EBF">
            <w:pPr>
              <w:pStyle w:val="ARtabletextright"/>
            </w:pPr>
            <w:r>
              <w:t>2,391</w:t>
            </w:r>
          </w:p>
        </w:tc>
        <w:tc>
          <w:tcPr>
            <w:tcW w:w="12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891A5E3" w14:textId="77777777" w:rsidR="00FA7EBF" w:rsidRDefault="00FA7EBF">
            <w:pPr>
              <w:pStyle w:val="ARtabletextright"/>
            </w:pPr>
            <w:r>
              <w:t>13.5</w:t>
            </w:r>
          </w:p>
        </w:tc>
        <w:tc>
          <w:tcPr>
            <w:tcW w:w="60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695CC28" w14:textId="77777777" w:rsidR="00FA7EBF" w:rsidRDefault="00FA7EBF">
            <w:pPr>
              <w:pStyle w:val="ARtabletextrightbold"/>
            </w:pPr>
            <w:r>
              <w:t>8</w:t>
            </w:r>
          </w:p>
        </w:tc>
      </w:tr>
      <w:tr w:rsidR="00FA7EBF" w14:paraId="64B432AD" w14:textId="77777777" w:rsidTr="003075FD">
        <w:tc>
          <w:tcPr>
            <w:tcW w:w="347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8980015" w14:textId="77777777" w:rsidR="00FA7EBF" w:rsidRDefault="00FA7EBF">
            <w:pPr>
              <w:pStyle w:val="ARtabletext"/>
            </w:pPr>
            <w:r>
              <w:t>Borrowings</w:t>
            </w:r>
          </w:p>
        </w:tc>
        <w:tc>
          <w:tcPr>
            <w:tcW w:w="9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A47EBFC" w14:textId="77777777" w:rsidR="00FA7EBF" w:rsidRDefault="00FA7EBF">
            <w:pPr>
              <w:pStyle w:val="ARtabletextright"/>
            </w:pPr>
            <w:r>
              <w:t>2,890</w:t>
            </w:r>
          </w:p>
        </w:tc>
        <w:tc>
          <w:tcPr>
            <w:tcW w:w="101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43511E3" w14:textId="77777777" w:rsidR="00FA7EBF" w:rsidRDefault="00FA7EBF">
            <w:pPr>
              <w:pStyle w:val="ARtabletextright"/>
            </w:pPr>
            <w:r>
              <w:t>2,756</w:t>
            </w:r>
          </w:p>
        </w:tc>
        <w:tc>
          <w:tcPr>
            <w:tcW w:w="113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2FC2E85" w14:textId="77777777" w:rsidR="00FA7EBF" w:rsidRDefault="00FA7EBF">
            <w:pPr>
              <w:pStyle w:val="ARtabletextright"/>
            </w:pPr>
            <w:r>
              <w:t>4.9</w:t>
            </w:r>
          </w:p>
        </w:tc>
        <w:tc>
          <w:tcPr>
            <w:tcW w:w="119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F918439" w14:textId="77777777" w:rsidR="00FA7EBF" w:rsidRDefault="00FA7EBF">
            <w:pPr>
              <w:pStyle w:val="ARtabletextright"/>
            </w:pPr>
            <w:r>
              <w:t>2,772</w:t>
            </w:r>
          </w:p>
        </w:tc>
        <w:tc>
          <w:tcPr>
            <w:tcW w:w="12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C8A6BBB" w14:textId="77777777" w:rsidR="00FA7EBF" w:rsidRDefault="00FA7EBF">
            <w:pPr>
              <w:pStyle w:val="ARtabletextright"/>
            </w:pPr>
            <w:r>
              <w:t>4.3</w:t>
            </w:r>
          </w:p>
        </w:tc>
        <w:tc>
          <w:tcPr>
            <w:tcW w:w="60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3553A380" w14:textId="77777777" w:rsidR="00FA7EBF" w:rsidRDefault="00FA7EBF">
            <w:pPr>
              <w:pStyle w:val="ARtabletextrightbold"/>
            </w:pPr>
          </w:p>
        </w:tc>
      </w:tr>
      <w:tr w:rsidR="00FA7EBF" w14:paraId="51C34E61" w14:textId="77777777" w:rsidTr="003075FD">
        <w:tc>
          <w:tcPr>
            <w:tcW w:w="3473" w:type="dxa"/>
            <w:tcBorders>
              <w:top w:val="single" w:sz="4" w:space="0" w:color="A6A6A6" w:themeColor="background1" w:themeShade="A6"/>
              <w:left w:val="single" w:sz="4" w:space="0" w:color="FFFFFF"/>
              <w:bottom w:val="single" w:sz="4" w:space="0" w:color="auto"/>
              <w:right w:val="single" w:sz="4" w:space="0" w:color="FFFFFF"/>
            </w:tcBorders>
            <w:hideMark/>
          </w:tcPr>
          <w:p w14:paraId="7008F421" w14:textId="77777777" w:rsidR="00FA7EBF" w:rsidRDefault="00FA7EBF">
            <w:pPr>
              <w:pStyle w:val="ARtabletext"/>
            </w:pPr>
            <w:r>
              <w:t>Provisions</w:t>
            </w:r>
          </w:p>
        </w:tc>
        <w:tc>
          <w:tcPr>
            <w:tcW w:w="989" w:type="dxa"/>
            <w:tcBorders>
              <w:top w:val="single" w:sz="4" w:space="0" w:color="A6A6A6" w:themeColor="background1" w:themeShade="A6"/>
              <w:left w:val="single" w:sz="4" w:space="0" w:color="FFFFFF"/>
              <w:bottom w:val="single" w:sz="4" w:space="0" w:color="auto"/>
              <w:right w:val="single" w:sz="4" w:space="0" w:color="FFFFFF"/>
            </w:tcBorders>
            <w:hideMark/>
          </w:tcPr>
          <w:p w14:paraId="228A9BAA" w14:textId="77777777" w:rsidR="00FA7EBF" w:rsidRDefault="00FA7EBF">
            <w:pPr>
              <w:pStyle w:val="ARtabletextright"/>
            </w:pPr>
            <w:r>
              <w:t>3,638</w:t>
            </w:r>
          </w:p>
        </w:tc>
        <w:tc>
          <w:tcPr>
            <w:tcW w:w="1010" w:type="dxa"/>
            <w:tcBorders>
              <w:top w:val="single" w:sz="4" w:space="0" w:color="A6A6A6" w:themeColor="background1" w:themeShade="A6"/>
              <w:left w:val="single" w:sz="4" w:space="0" w:color="FFFFFF"/>
              <w:bottom w:val="single" w:sz="4" w:space="0" w:color="auto"/>
              <w:right w:val="single" w:sz="4" w:space="0" w:color="FFFFFF"/>
            </w:tcBorders>
            <w:hideMark/>
          </w:tcPr>
          <w:p w14:paraId="3A827E08" w14:textId="77777777" w:rsidR="00FA7EBF" w:rsidRDefault="00FA7EBF">
            <w:pPr>
              <w:pStyle w:val="ARtabletextright"/>
            </w:pPr>
            <w:r>
              <w:t>3,249</w:t>
            </w:r>
          </w:p>
        </w:tc>
        <w:tc>
          <w:tcPr>
            <w:tcW w:w="1130" w:type="dxa"/>
            <w:tcBorders>
              <w:top w:val="single" w:sz="4" w:space="0" w:color="A6A6A6" w:themeColor="background1" w:themeShade="A6"/>
              <w:left w:val="single" w:sz="4" w:space="0" w:color="FFFFFF"/>
              <w:bottom w:val="single" w:sz="4" w:space="0" w:color="auto"/>
              <w:right w:val="single" w:sz="4" w:space="0" w:color="FFFFFF"/>
            </w:tcBorders>
            <w:hideMark/>
          </w:tcPr>
          <w:p w14:paraId="3B29D85E" w14:textId="77777777" w:rsidR="00FA7EBF" w:rsidRDefault="00FA7EBF">
            <w:pPr>
              <w:pStyle w:val="ARtabletextright"/>
            </w:pPr>
            <w:r>
              <w:t>12.0</w:t>
            </w:r>
          </w:p>
        </w:tc>
        <w:tc>
          <w:tcPr>
            <w:tcW w:w="1193" w:type="dxa"/>
            <w:tcBorders>
              <w:top w:val="single" w:sz="4" w:space="0" w:color="A6A6A6" w:themeColor="background1" w:themeShade="A6"/>
              <w:left w:val="single" w:sz="4" w:space="0" w:color="FFFFFF"/>
              <w:bottom w:val="single" w:sz="4" w:space="0" w:color="auto"/>
              <w:right w:val="single" w:sz="4" w:space="0" w:color="FFFFFF"/>
            </w:tcBorders>
            <w:hideMark/>
          </w:tcPr>
          <w:p w14:paraId="4F5E515C" w14:textId="77777777" w:rsidR="00FA7EBF" w:rsidRDefault="00FA7EBF">
            <w:pPr>
              <w:pStyle w:val="ARtabletextright"/>
            </w:pPr>
            <w:r>
              <w:t>3,251</w:t>
            </w:r>
          </w:p>
        </w:tc>
        <w:tc>
          <w:tcPr>
            <w:tcW w:w="1235" w:type="dxa"/>
            <w:tcBorders>
              <w:top w:val="single" w:sz="4" w:space="0" w:color="A6A6A6" w:themeColor="background1" w:themeShade="A6"/>
              <w:left w:val="single" w:sz="4" w:space="0" w:color="FFFFFF"/>
              <w:bottom w:val="single" w:sz="4" w:space="0" w:color="auto"/>
              <w:right w:val="single" w:sz="4" w:space="0" w:color="FFFFFF"/>
            </w:tcBorders>
            <w:hideMark/>
          </w:tcPr>
          <w:p w14:paraId="70640DA3" w14:textId="77777777" w:rsidR="00FA7EBF" w:rsidRDefault="00FA7EBF">
            <w:pPr>
              <w:pStyle w:val="ARtabletextright"/>
            </w:pPr>
            <w:r>
              <w:t>11.9</w:t>
            </w:r>
          </w:p>
        </w:tc>
        <w:tc>
          <w:tcPr>
            <w:tcW w:w="609" w:type="dxa"/>
            <w:tcBorders>
              <w:top w:val="single" w:sz="4" w:space="0" w:color="A6A6A6" w:themeColor="background1" w:themeShade="A6"/>
              <w:left w:val="single" w:sz="4" w:space="0" w:color="FFFFFF"/>
              <w:bottom w:val="single" w:sz="4" w:space="0" w:color="auto"/>
              <w:right w:val="single" w:sz="4" w:space="0" w:color="FFFFFF"/>
            </w:tcBorders>
            <w:hideMark/>
          </w:tcPr>
          <w:p w14:paraId="496C108A" w14:textId="77777777" w:rsidR="00FA7EBF" w:rsidRDefault="00FA7EBF">
            <w:pPr>
              <w:pStyle w:val="ARtabletextrightbold"/>
            </w:pPr>
            <w:r>
              <w:t>9</w:t>
            </w:r>
          </w:p>
        </w:tc>
      </w:tr>
      <w:tr w:rsidR="00FA7EBF" w14:paraId="16CA1DD5" w14:textId="77777777" w:rsidTr="003075FD">
        <w:tc>
          <w:tcPr>
            <w:tcW w:w="3473" w:type="dxa"/>
            <w:tcBorders>
              <w:top w:val="single" w:sz="4" w:space="0" w:color="auto"/>
              <w:left w:val="single" w:sz="4" w:space="0" w:color="FFFFFF"/>
              <w:bottom w:val="single" w:sz="4" w:space="0" w:color="auto"/>
              <w:right w:val="single" w:sz="4" w:space="0" w:color="FFFFFF"/>
            </w:tcBorders>
            <w:hideMark/>
          </w:tcPr>
          <w:p w14:paraId="4CA2CDAF" w14:textId="77777777" w:rsidR="00FA7EBF" w:rsidRDefault="00FA7EBF">
            <w:pPr>
              <w:pStyle w:val="ARtabletextbold"/>
            </w:pPr>
            <w:r>
              <w:t>Total liabilities</w:t>
            </w:r>
          </w:p>
        </w:tc>
        <w:tc>
          <w:tcPr>
            <w:tcW w:w="989" w:type="dxa"/>
            <w:tcBorders>
              <w:top w:val="single" w:sz="4" w:space="0" w:color="auto"/>
              <w:left w:val="single" w:sz="4" w:space="0" w:color="FFFFFF"/>
              <w:bottom w:val="single" w:sz="4" w:space="0" w:color="auto"/>
              <w:right w:val="single" w:sz="4" w:space="0" w:color="FFFFFF"/>
            </w:tcBorders>
            <w:hideMark/>
          </w:tcPr>
          <w:p w14:paraId="1CB98260" w14:textId="77777777" w:rsidR="00FA7EBF" w:rsidRDefault="00FA7EBF">
            <w:pPr>
              <w:pStyle w:val="ARtabletextrightbold"/>
            </w:pPr>
            <w:r>
              <w:t>9,242</w:t>
            </w:r>
          </w:p>
        </w:tc>
        <w:tc>
          <w:tcPr>
            <w:tcW w:w="1010" w:type="dxa"/>
            <w:tcBorders>
              <w:top w:val="single" w:sz="4" w:space="0" w:color="auto"/>
              <w:left w:val="single" w:sz="4" w:space="0" w:color="FFFFFF"/>
              <w:bottom w:val="single" w:sz="4" w:space="0" w:color="auto"/>
              <w:right w:val="single" w:sz="4" w:space="0" w:color="FFFFFF"/>
            </w:tcBorders>
            <w:hideMark/>
          </w:tcPr>
          <w:p w14:paraId="13CB6183" w14:textId="77777777" w:rsidR="00FA7EBF" w:rsidRDefault="00FA7EBF">
            <w:pPr>
              <w:pStyle w:val="ARtabletextrightbold"/>
            </w:pPr>
            <w:r>
              <w:t>8,399</w:t>
            </w:r>
          </w:p>
        </w:tc>
        <w:tc>
          <w:tcPr>
            <w:tcW w:w="1130" w:type="dxa"/>
            <w:tcBorders>
              <w:top w:val="single" w:sz="4" w:space="0" w:color="auto"/>
              <w:left w:val="single" w:sz="4" w:space="0" w:color="FFFFFF"/>
              <w:bottom w:val="single" w:sz="4" w:space="0" w:color="auto"/>
              <w:right w:val="single" w:sz="4" w:space="0" w:color="FFFFFF"/>
            </w:tcBorders>
            <w:hideMark/>
          </w:tcPr>
          <w:p w14:paraId="7C68A0C0" w14:textId="77777777" w:rsidR="00FA7EBF" w:rsidRDefault="00FA7EBF">
            <w:pPr>
              <w:pStyle w:val="ARtabletextrightbold"/>
            </w:pPr>
            <w:r>
              <w:t>10.0</w:t>
            </w:r>
          </w:p>
        </w:tc>
        <w:tc>
          <w:tcPr>
            <w:tcW w:w="1193" w:type="dxa"/>
            <w:tcBorders>
              <w:top w:val="single" w:sz="4" w:space="0" w:color="auto"/>
              <w:left w:val="single" w:sz="4" w:space="0" w:color="FFFFFF"/>
              <w:bottom w:val="single" w:sz="4" w:space="0" w:color="auto"/>
              <w:right w:val="single" w:sz="4" w:space="0" w:color="FFFFFF"/>
            </w:tcBorders>
            <w:hideMark/>
          </w:tcPr>
          <w:p w14:paraId="54EBCE80" w14:textId="77777777" w:rsidR="00FA7EBF" w:rsidRDefault="00FA7EBF">
            <w:pPr>
              <w:pStyle w:val="ARtabletextrightbold"/>
            </w:pPr>
            <w:r>
              <w:t>8,414</w:t>
            </w:r>
          </w:p>
        </w:tc>
        <w:tc>
          <w:tcPr>
            <w:tcW w:w="1235" w:type="dxa"/>
            <w:tcBorders>
              <w:top w:val="single" w:sz="4" w:space="0" w:color="auto"/>
              <w:left w:val="single" w:sz="4" w:space="0" w:color="FFFFFF"/>
              <w:bottom w:val="single" w:sz="4" w:space="0" w:color="auto"/>
              <w:right w:val="single" w:sz="4" w:space="0" w:color="FFFFFF"/>
            </w:tcBorders>
            <w:hideMark/>
          </w:tcPr>
          <w:p w14:paraId="755DDBF0" w14:textId="77777777" w:rsidR="00FA7EBF" w:rsidRDefault="00FA7EBF">
            <w:pPr>
              <w:pStyle w:val="ARtabletextrightbold"/>
            </w:pPr>
            <w:r>
              <w:t>9.8</w:t>
            </w:r>
          </w:p>
        </w:tc>
        <w:tc>
          <w:tcPr>
            <w:tcW w:w="609" w:type="dxa"/>
            <w:tcBorders>
              <w:top w:val="single" w:sz="4" w:space="0" w:color="auto"/>
              <w:left w:val="single" w:sz="4" w:space="0" w:color="FFFFFF"/>
              <w:bottom w:val="single" w:sz="4" w:space="0" w:color="auto"/>
              <w:right w:val="single" w:sz="4" w:space="0" w:color="FFFFFF"/>
            </w:tcBorders>
          </w:tcPr>
          <w:p w14:paraId="2CCB856B" w14:textId="77777777" w:rsidR="00FA7EBF" w:rsidRDefault="00FA7EBF">
            <w:pPr>
              <w:pStyle w:val="ARtabletextrightbold"/>
            </w:pPr>
          </w:p>
        </w:tc>
      </w:tr>
      <w:tr w:rsidR="00FA7EBF" w14:paraId="1926BCEC" w14:textId="77777777" w:rsidTr="003075FD">
        <w:tc>
          <w:tcPr>
            <w:tcW w:w="3473" w:type="dxa"/>
            <w:tcBorders>
              <w:top w:val="single" w:sz="4" w:space="0" w:color="auto"/>
              <w:left w:val="single" w:sz="4" w:space="0" w:color="FFFFFF"/>
              <w:bottom w:val="single" w:sz="4" w:space="0" w:color="auto"/>
              <w:right w:val="single" w:sz="4" w:space="0" w:color="FFFFFF"/>
            </w:tcBorders>
            <w:hideMark/>
          </w:tcPr>
          <w:p w14:paraId="62E7448D" w14:textId="77777777" w:rsidR="00FA7EBF" w:rsidRDefault="00FA7EBF">
            <w:pPr>
              <w:pStyle w:val="ARtabletextbold"/>
            </w:pPr>
            <w:r>
              <w:t>Net assets</w:t>
            </w:r>
          </w:p>
        </w:tc>
        <w:tc>
          <w:tcPr>
            <w:tcW w:w="989" w:type="dxa"/>
            <w:tcBorders>
              <w:top w:val="single" w:sz="4" w:space="0" w:color="auto"/>
              <w:left w:val="single" w:sz="4" w:space="0" w:color="FFFFFF"/>
              <w:bottom w:val="single" w:sz="4" w:space="0" w:color="auto"/>
              <w:right w:val="single" w:sz="4" w:space="0" w:color="FFFFFF"/>
            </w:tcBorders>
            <w:hideMark/>
          </w:tcPr>
          <w:p w14:paraId="5D3DBCB2" w14:textId="77777777" w:rsidR="00FA7EBF" w:rsidRDefault="00FA7EBF">
            <w:pPr>
              <w:pStyle w:val="ARtabletextrightbold"/>
            </w:pPr>
            <w:r>
              <w:t>18,430</w:t>
            </w:r>
          </w:p>
        </w:tc>
        <w:tc>
          <w:tcPr>
            <w:tcW w:w="1010" w:type="dxa"/>
            <w:tcBorders>
              <w:top w:val="single" w:sz="4" w:space="0" w:color="auto"/>
              <w:left w:val="single" w:sz="4" w:space="0" w:color="FFFFFF"/>
              <w:bottom w:val="single" w:sz="4" w:space="0" w:color="auto"/>
              <w:right w:val="single" w:sz="4" w:space="0" w:color="FFFFFF"/>
            </w:tcBorders>
            <w:hideMark/>
          </w:tcPr>
          <w:p w14:paraId="247CF2F3" w14:textId="77777777" w:rsidR="00FA7EBF" w:rsidRDefault="00FA7EBF">
            <w:pPr>
              <w:pStyle w:val="ARtabletextrightbold"/>
            </w:pPr>
            <w:r>
              <w:t>15,545</w:t>
            </w:r>
          </w:p>
        </w:tc>
        <w:tc>
          <w:tcPr>
            <w:tcW w:w="1130" w:type="dxa"/>
            <w:tcBorders>
              <w:top w:val="single" w:sz="4" w:space="0" w:color="auto"/>
              <w:left w:val="single" w:sz="4" w:space="0" w:color="FFFFFF"/>
              <w:bottom w:val="single" w:sz="4" w:space="0" w:color="auto"/>
              <w:right w:val="single" w:sz="4" w:space="0" w:color="FFFFFF"/>
            </w:tcBorders>
            <w:hideMark/>
          </w:tcPr>
          <w:p w14:paraId="68811889" w14:textId="77777777" w:rsidR="00FA7EBF" w:rsidRDefault="00FA7EBF">
            <w:pPr>
              <w:pStyle w:val="ARtabletextrightbold"/>
            </w:pPr>
            <w:r>
              <w:t>18.6</w:t>
            </w:r>
          </w:p>
        </w:tc>
        <w:tc>
          <w:tcPr>
            <w:tcW w:w="1193" w:type="dxa"/>
            <w:tcBorders>
              <w:top w:val="single" w:sz="4" w:space="0" w:color="auto"/>
              <w:left w:val="single" w:sz="4" w:space="0" w:color="FFFFFF"/>
              <w:bottom w:val="single" w:sz="4" w:space="0" w:color="auto"/>
              <w:right w:val="single" w:sz="4" w:space="0" w:color="FFFFFF"/>
            </w:tcBorders>
            <w:hideMark/>
          </w:tcPr>
          <w:p w14:paraId="3B972BD1" w14:textId="77777777" w:rsidR="00FA7EBF" w:rsidRDefault="00FA7EBF">
            <w:pPr>
              <w:pStyle w:val="ARtabletextrightbold"/>
            </w:pPr>
            <w:r>
              <w:t>16,113</w:t>
            </w:r>
          </w:p>
        </w:tc>
        <w:tc>
          <w:tcPr>
            <w:tcW w:w="1235" w:type="dxa"/>
            <w:tcBorders>
              <w:top w:val="single" w:sz="4" w:space="0" w:color="auto"/>
              <w:left w:val="single" w:sz="4" w:space="0" w:color="FFFFFF"/>
              <w:bottom w:val="single" w:sz="4" w:space="0" w:color="auto"/>
              <w:right w:val="single" w:sz="4" w:space="0" w:color="FFFFFF"/>
            </w:tcBorders>
            <w:hideMark/>
          </w:tcPr>
          <w:p w14:paraId="3178C7EB" w14:textId="77777777" w:rsidR="00FA7EBF" w:rsidRDefault="00FA7EBF">
            <w:pPr>
              <w:pStyle w:val="ARtabletextrightbold"/>
            </w:pPr>
            <w:r>
              <w:t>14.4</w:t>
            </w:r>
          </w:p>
        </w:tc>
        <w:tc>
          <w:tcPr>
            <w:tcW w:w="609" w:type="dxa"/>
            <w:tcBorders>
              <w:top w:val="single" w:sz="4" w:space="0" w:color="auto"/>
              <w:left w:val="single" w:sz="4" w:space="0" w:color="FFFFFF"/>
              <w:bottom w:val="single" w:sz="4" w:space="0" w:color="auto"/>
              <w:right w:val="single" w:sz="4" w:space="0" w:color="FFFFFF"/>
            </w:tcBorders>
          </w:tcPr>
          <w:p w14:paraId="019A57CB" w14:textId="77777777" w:rsidR="00FA7EBF" w:rsidRDefault="00FA7EBF">
            <w:pPr>
              <w:pStyle w:val="ARtabletextrightbold"/>
            </w:pPr>
          </w:p>
        </w:tc>
      </w:tr>
      <w:tr w:rsidR="00FA7EBF" w14:paraId="3C26C832" w14:textId="77777777" w:rsidTr="003075FD">
        <w:tc>
          <w:tcPr>
            <w:tcW w:w="9639" w:type="dxa"/>
            <w:gridSpan w:val="7"/>
            <w:tcBorders>
              <w:top w:val="single" w:sz="4" w:space="0" w:color="auto"/>
              <w:left w:val="single" w:sz="4" w:space="0" w:color="FFFFFF"/>
              <w:bottom w:val="single" w:sz="4" w:space="0" w:color="A6A6A6" w:themeColor="background1" w:themeShade="A6"/>
              <w:right w:val="single" w:sz="4" w:space="0" w:color="FFFFFF"/>
            </w:tcBorders>
            <w:hideMark/>
          </w:tcPr>
          <w:p w14:paraId="7E2A69B9" w14:textId="77777777" w:rsidR="00FA7EBF" w:rsidRDefault="00FA7EBF">
            <w:pPr>
              <w:pStyle w:val="ARtabletextbold"/>
            </w:pPr>
            <w:r>
              <w:t>Equity</w:t>
            </w:r>
          </w:p>
        </w:tc>
      </w:tr>
      <w:tr w:rsidR="00FA7EBF" w14:paraId="10A598CB" w14:textId="77777777" w:rsidTr="003075FD">
        <w:tc>
          <w:tcPr>
            <w:tcW w:w="347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6DAEA46" w14:textId="77777777" w:rsidR="00FA7EBF" w:rsidRDefault="00FA7EBF">
            <w:pPr>
              <w:pStyle w:val="ARtabletext"/>
            </w:pPr>
            <w:r>
              <w:t>Accumulated surplus/(deficit)</w:t>
            </w:r>
          </w:p>
        </w:tc>
        <w:tc>
          <w:tcPr>
            <w:tcW w:w="9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75A5D8B" w14:textId="77777777" w:rsidR="00FA7EBF" w:rsidRDefault="00FA7EBF">
            <w:pPr>
              <w:pStyle w:val="ARtabletextright"/>
            </w:pPr>
            <w:r>
              <w:t>1,942</w:t>
            </w:r>
          </w:p>
        </w:tc>
        <w:tc>
          <w:tcPr>
            <w:tcW w:w="101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0C3565E" w14:textId="77777777" w:rsidR="00FA7EBF" w:rsidRDefault="00FA7EBF">
            <w:pPr>
              <w:pStyle w:val="ARtabletextright"/>
            </w:pPr>
            <w:r>
              <w:t>1,983</w:t>
            </w:r>
          </w:p>
        </w:tc>
        <w:tc>
          <w:tcPr>
            <w:tcW w:w="113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0D528D1" w14:textId="77777777" w:rsidR="00FA7EBF" w:rsidRDefault="00FA7EBF">
            <w:pPr>
              <w:pStyle w:val="ARtabletextright"/>
            </w:pPr>
            <w:r>
              <w:t>(2.1)</w:t>
            </w:r>
          </w:p>
        </w:tc>
        <w:tc>
          <w:tcPr>
            <w:tcW w:w="1193"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C8BBD82" w14:textId="77777777" w:rsidR="00FA7EBF" w:rsidRDefault="00FA7EBF">
            <w:pPr>
              <w:pStyle w:val="ARtabletextright"/>
            </w:pPr>
            <w:r>
              <w:t>2,173</w:t>
            </w:r>
          </w:p>
        </w:tc>
        <w:tc>
          <w:tcPr>
            <w:tcW w:w="1235"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7F1E710" w14:textId="77777777" w:rsidR="00FA7EBF" w:rsidRDefault="00FA7EBF">
            <w:pPr>
              <w:pStyle w:val="ARtabletextright"/>
            </w:pPr>
            <w:r>
              <w:t>(10.6)</w:t>
            </w:r>
          </w:p>
        </w:tc>
        <w:tc>
          <w:tcPr>
            <w:tcW w:w="60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563A2B8D" w14:textId="77777777" w:rsidR="00FA7EBF" w:rsidRDefault="00FA7EBF">
            <w:pPr>
              <w:pStyle w:val="ARtabletextrightbold"/>
            </w:pPr>
          </w:p>
        </w:tc>
      </w:tr>
      <w:tr w:rsidR="00FA7EBF" w14:paraId="0192E601" w14:textId="77777777" w:rsidTr="003075FD">
        <w:tc>
          <w:tcPr>
            <w:tcW w:w="3473" w:type="dxa"/>
            <w:tcBorders>
              <w:top w:val="single" w:sz="4" w:space="0" w:color="A6A6A6" w:themeColor="background1" w:themeShade="A6"/>
              <w:left w:val="single" w:sz="4" w:space="0" w:color="FFFFFF"/>
              <w:bottom w:val="single" w:sz="4" w:space="0" w:color="auto"/>
              <w:right w:val="single" w:sz="4" w:space="0" w:color="FFFFFF"/>
            </w:tcBorders>
            <w:hideMark/>
          </w:tcPr>
          <w:p w14:paraId="3BE34BAF" w14:textId="77777777" w:rsidR="00FA7EBF" w:rsidRDefault="00FA7EBF">
            <w:pPr>
              <w:pStyle w:val="ARtabletext"/>
            </w:pPr>
            <w:r>
              <w:t>Contributed capital and reserves</w:t>
            </w:r>
          </w:p>
        </w:tc>
        <w:tc>
          <w:tcPr>
            <w:tcW w:w="989" w:type="dxa"/>
            <w:tcBorders>
              <w:top w:val="single" w:sz="4" w:space="0" w:color="A6A6A6" w:themeColor="background1" w:themeShade="A6"/>
              <w:left w:val="single" w:sz="4" w:space="0" w:color="FFFFFF"/>
              <w:bottom w:val="single" w:sz="4" w:space="0" w:color="auto"/>
              <w:right w:val="single" w:sz="4" w:space="0" w:color="FFFFFF"/>
            </w:tcBorders>
            <w:hideMark/>
          </w:tcPr>
          <w:p w14:paraId="19DB4B4C" w14:textId="77777777" w:rsidR="00FA7EBF" w:rsidRDefault="00FA7EBF">
            <w:pPr>
              <w:pStyle w:val="ARtabletextright"/>
            </w:pPr>
            <w:r>
              <w:t>16,488</w:t>
            </w:r>
          </w:p>
        </w:tc>
        <w:tc>
          <w:tcPr>
            <w:tcW w:w="1010" w:type="dxa"/>
            <w:tcBorders>
              <w:top w:val="single" w:sz="4" w:space="0" w:color="A6A6A6" w:themeColor="background1" w:themeShade="A6"/>
              <w:left w:val="single" w:sz="4" w:space="0" w:color="FFFFFF"/>
              <w:bottom w:val="single" w:sz="4" w:space="0" w:color="auto"/>
              <w:right w:val="single" w:sz="4" w:space="0" w:color="FFFFFF"/>
            </w:tcBorders>
            <w:hideMark/>
          </w:tcPr>
          <w:p w14:paraId="0CE46A78" w14:textId="77777777" w:rsidR="00FA7EBF" w:rsidRDefault="00FA7EBF">
            <w:pPr>
              <w:pStyle w:val="ARtabletextright"/>
            </w:pPr>
            <w:r>
              <w:t>13,562</w:t>
            </w:r>
          </w:p>
        </w:tc>
        <w:tc>
          <w:tcPr>
            <w:tcW w:w="1130" w:type="dxa"/>
            <w:tcBorders>
              <w:top w:val="single" w:sz="4" w:space="0" w:color="A6A6A6" w:themeColor="background1" w:themeShade="A6"/>
              <w:left w:val="single" w:sz="4" w:space="0" w:color="FFFFFF"/>
              <w:bottom w:val="single" w:sz="4" w:space="0" w:color="auto"/>
              <w:right w:val="single" w:sz="4" w:space="0" w:color="FFFFFF"/>
            </w:tcBorders>
            <w:hideMark/>
          </w:tcPr>
          <w:p w14:paraId="31D5387D" w14:textId="77777777" w:rsidR="00FA7EBF" w:rsidRDefault="00FA7EBF">
            <w:pPr>
              <w:pStyle w:val="ARtabletextright"/>
            </w:pPr>
            <w:r>
              <w:t>21.6</w:t>
            </w:r>
          </w:p>
        </w:tc>
        <w:tc>
          <w:tcPr>
            <w:tcW w:w="1193" w:type="dxa"/>
            <w:tcBorders>
              <w:top w:val="single" w:sz="4" w:space="0" w:color="A6A6A6" w:themeColor="background1" w:themeShade="A6"/>
              <w:left w:val="single" w:sz="4" w:space="0" w:color="FFFFFF"/>
              <w:bottom w:val="single" w:sz="4" w:space="0" w:color="auto"/>
              <w:right w:val="single" w:sz="4" w:space="0" w:color="FFFFFF"/>
            </w:tcBorders>
            <w:hideMark/>
          </w:tcPr>
          <w:p w14:paraId="5BE4E468" w14:textId="77777777" w:rsidR="00FA7EBF" w:rsidRDefault="00FA7EBF">
            <w:pPr>
              <w:pStyle w:val="ARtabletextright"/>
            </w:pPr>
            <w:r>
              <w:t>13,940</w:t>
            </w:r>
          </w:p>
        </w:tc>
        <w:tc>
          <w:tcPr>
            <w:tcW w:w="1235" w:type="dxa"/>
            <w:tcBorders>
              <w:top w:val="single" w:sz="4" w:space="0" w:color="A6A6A6" w:themeColor="background1" w:themeShade="A6"/>
              <w:left w:val="single" w:sz="4" w:space="0" w:color="FFFFFF"/>
              <w:bottom w:val="single" w:sz="4" w:space="0" w:color="auto"/>
              <w:right w:val="single" w:sz="4" w:space="0" w:color="FFFFFF"/>
            </w:tcBorders>
            <w:hideMark/>
          </w:tcPr>
          <w:p w14:paraId="771B512E" w14:textId="77777777" w:rsidR="00FA7EBF" w:rsidRDefault="00FA7EBF">
            <w:pPr>
              <w:pStyle w:val="ARtabletextright"/>
            </w:pPr>
            <w:r>
              <w:t>18.3</w:t>
            </w:r>
          </w:p>
        </w:tc>
        <w:tc>
          <w:tcPr>
            <w:tcW w:w="609" w:type="dxa"/>
            <w:tcBorders>
              <w:top w:val="single" w:sz="4" w:space="0" w:color="A6A6A6" w:themeColor="background1" w:themeShade="A6"/>
              <w:left w:val="single" w:sz="4" w:space="0" w:color="FFFFFF"/>
              <w:bottom w:val="single" w:sz="4" w:space="0" w:color="auto"/>
              <w:right w:val="single" w:sz="4" w:space="0" w:color="FFFFFF"/>
            </w:tcBorders>
          </w:tcPr>
          <w:p w14:paraId="6E064506" w14:textId="77777777" w:rsidR="00FA7EBF" w:rsidRDefault="00FA7EBF">
            <w:pPr>
              <w:pStyle w:val="ARtabletextrightbold"/>
            </w:pPr>
          </w:p>
        </w:tc>
      </w:tr>
      <w:tr w:rsidR="00FA7EBF" w14:paraId="0FA8B47B" w14:textId="77777777" w:rsidTr="003075FD">
        <w:tc>
          <w:tcPr>
            <w:tcW w:w="3473" w:type="dxa"/>
            <w:tcBorders>
              <w:top w:val="single" w:sz="4" w:space="0" w:color="auto"/>
              <w:left w:val="single" w:sz="4" w:space="0" w:color="FFFFFF"/>
              <w:bottom w:val="single" w:sz="4" w:space="0" w:color="auto"/>
              <w:right w:val="single" w:sz="4" w:space="0" w:color="FFFFFF"/>
            </w:tcBorders>
            <w:hideMark/>
          </w:tcPr>
          <w:p w14:paraId="7B8E5A59" w14:textId="77777777" w:rsidR="00FA7EBF" w:rsidRDefault="00FA7EBF">
            <w:pPr>
              <w:pStyle w:val="ARtabletextbold"/>
            </w:pPr>
            <w:r>
              <w:t>Total equity</w:t>
            </w:r>
          </w:p>
        </w:tc>
        <w:tc>
          <w:tcPr>
            <w:tcW w:w="989" w:type="dxa"/>
            <w:tcBorders>
              <w:top w:val="single" w:sz="4" w:space="0" w:color="auto"/>
              <w:left w:val="single" w:sz="4" w:space="0" w:color="FFFFFF"/>
              <w:bottom w:val="single" w:sz="4" w:space="0" w:color="auto"/>
              <w:right w:val="single" w:sz="4" w:space="0" w:color="FFFFFF"/>
            </w:tcBorders>
            <w:hideMark/>
          </w:tcPr>
          <w:p w14:paraId="1F2D0C0F" w14:textId="77777777" w:rsidR="00FA7EBF" w:rsidRDefault="00FA7EBF">
            <w:pPr>
              <w:pStyle w:val="ARtabletextrightbold"/>
            </w:pPr>
            <w:r>
              <w:t>18,430</w:t>
            </w:r>
          </w:p>
        </w:tc>
        <w:tc>
          <w:tcPr>
            <w:tcW w:w="1010" w:type="dxa"/>
            <w:tcBorders>
              <w:top w:val="single" w:sz="4" w:space="0" w:color="auto"/>
              <w:left w:val="single" w:sz="4" w:space="0" w:color="FFFFFF"/>
              <w:bottom w:val="single" w:sz="4" w:space="0" w:color="auto"/>
              <w:right w:val="single" w:sz="4" w:space="0" w:color="FFFFFF"/>
            </w:tcBorders>
            <w:hideMark/>
          </w:tcPr>
          <w:p w14:paraId="1E3466E8" w14:textId="77777777" w:rsidR="00FA7EBF" w:rsidRDefault="00FA7EBF">
            <w:pPr>
              <w:pStyle w:val="ARtabletextrightbold"/>
            </w:pPr>
            <w:r>
              <w:t>15,545</w:t>
            </w:r>
          </w:p>
        </w:tc>
        <w:tc>
          <w:tcPr>
            <w:tcW w:w="1130" w:type="dxa"/>
            <w:tcBorders>
              <w:top w:val="single" w:sz="4" w:space="0" w:color="auto"/>
              <w:left w:val="single" w:sz="4" w:space="0" w:color="FFFFFF"/>
              <w:bottom w:val="single" w:sz="4" w:space="0" w:color="auto"/>
              <w:right w:val="single" w:sz="4" w:space="0" w:color="FFFFFF"/>
            </w:tcBorders>
            <w:hideMark/>
          </w:tcPr>
          <w:p w14:paraId="5B5C8262" w14:textId="77777777" w:rsidR="00FA7EBF" w:rsidRDefault="00FA7EBF">
            <w:pPr>
              <w:pStyle w:val="ARtabletextrightbold"/>
            </w:pPr>
            <w:r>
              <w:t>18.6</w:t>
            </w:r>
          </w:p>
        </w:tc>
        <w:tc>
          <w:tcPr>
            <w:tcW w:w="1193" w:type="dxa"/>
            <w:tcBorders>
              <w:top w:val="single" w:sz="4" w:space="0" w:color="auto"/>
              <w:left w:val="single" w:sz="4" w:space="0" w:color="FFFFFF"/>
              <w:bottom w:val="single" w:sz="4" w:space="0" w:color="auto"/>
              <w:right w:val="single" w:sz="4" w:space="0" w:color="FFFFFF"/>
            </w:tcBorders>
            <w:hideMark/>
          </w:tcPr>
          <w:p w14:paraId="0702DAF9" w14:textId="77777777" w:rsidR="00FA7EBF" w:rsidRDefault="00FA7EBF">
            <w:pPr>
              <w:pStyle w:val="ARtabletextrightbold"/>
            </w:pPr>
            <w:r>
              <w:t>16,113</w:t>
            </w:r>
          </w:p>
        </w:tc>
        <w:tc>
          <w:tcPr>
            <w:tcW w:w="1235" w:type="dxa"/>
            <w:tcBorders>
              <w:top w:val="single" w:sz="4" w:space="0" w:color="auto"/>
              <w:left w:val="single" w:sz="4" w:space="0" w:color="FFFFFF"/>
              <w:bottom w:val="single" w:sz="4" w:space="0" w:color="auto"/>
              <w:right w:val="single" w:sz="4" w:space="0" w:color="FFFFFF"/>
            </w:tcBorders>
            <w:hideMark/>
          </w:tcPr>
          <w:p w14:paraId="13972F1E" w14:textId="77777777" w:rsidR="00FA7EBF" w:rsidRDefault="00FA7EBF">
            <w:pPr>
              <w:pStyle w:val="ARtabletextrightbold"/>
            </w:pPr>
            <w:r>
              <w:t>14.4</w:t>
            </w:r>
          </w:p>
        </w:tc>
        <w:tc>
          <w:tcPr>
            <w:tcW w:w="609" w:type="dxa"/>
            <w:tcBorders>
              <w:top w:val="single" w:sz="4" w:space="0" w:color="auto"/>
              <w:left w:val="single" w:sz="4" w:space="0" w:color="FFFFFF"/>
              <w:bottom w:val="single" w:sz="4" w:space="0" w:color="auto"/>
              <w:right w:val="single" w:sz="4" w:space="0" w:color="FFFFFF"/>
            </w:tcBorders>
          </w:tcPr>
          <w:p w14:paraId="29F74F44" w14:textId="77777777" w:rsidR="00FA7EBF" w:rsidRDefault="00FA7EBF">
            <w:pPr>
              <w:pStyle w:val="ARtabletextrightbold"/>
            </w:pPr>
          </w:p>
        </w:tc>
      </w:tr>
    </w:tbl>
    <w:p w14:paraId="56207ED1" w14:textId="77777777" w:rsidR="00FA7EBF" w:rsidRDefault="00FA7EBF" w:rsidP="00326F42">
      <w:pPr>
        <w:pStyle w:val="ARtablefootnotenumbered"/>
        <w:numPr>
          <w:ilvl w:val="0"/>
          <w:numId w:val="32"/>
        </w:numPr>
      </w:pPr>
      <w:r>
        <w:t>The variance to published budget is mainly due to the timing of collection of debtors and receivables from the non-public sector, as well as receivables from other government departments.</w:t>
      </w:r>
    </w:p>
    <w:p w14:paraId="37ADF13E" w14:textId="77777777" w:rsidR="00FA7EBF" w:rsidRDefault="00FA7EBF" w:rsidP="00326F42">
      <w:pPr>
        <w:pStyle w:val="ARtablefootnotenumbered"/>
        <w:numPr>
          <w:ilvl w:val="0"/>
          <w:numId w:val="25"/>
        </w:numPr>
      </w:pPr>
      <w:r>
        <w:t>The variance to published budget is driven by the movement of term deposits held by hospitals into the Central Banking System (categorised as Cash and deposits). The Central Banking System was introduced subsequent to the published budget and was updated in the revised budget.</w:t>
      </w:r>
    </w:p>
    <w:p w14:paraId="270C9EC8" w14:textId="77777777" w:rsidR="00FA7EBF" w:rsidRDefault="00FA7EBF" w:rsidP="00326F42">
      <w:pPr>
        <w:pStyle w:val="ARtablefootnotenumbered"/>
        <w:numPr>
          <w:ilvl w:val="0"/>
          <w:numId w:val="25"/>
        </w:numPr>
      </w:pPr>
      <w:r>
        <w:t>The variance to published budget is mainly due to the old Peter MacCallum Cancer Centre site being reclassified from ‘held for sale’ asset to property, plant and equipment. This was updated and reflected in the actual numbers when an assessment was made for 2018–19 year end reporting and it was concluded that the assets no longer meet the accounting definition of ‘held for sale’.</w:t>
      </w:r>
    </w:p>
    <w:p w14:paraId="2A342E88" w14:textId="77777777" w:rsidR="00FA7EBF" w:rsidRDefault="00FA7EBF" w:rsidP="00326F42">
      <w:pPr>
        <w:pStyle w:val="ARtablefootnotenumbered"/>
        <w:numPr>
          <w:ilvl w:val="0"/>
          <w:numId w:val="25"/>
        </w:numPr>
      </w:pPr>
      <w:r>
        <w:t>The variance is mainly due to the scheduled revaluations undertaken across the portfolio as at 30 June 2019 in accordance with FRD103H. Revaluations are not budgeted as they cannot be reliably measured.</w:t>
      </w:r>
    </w:p>
    <w:p w14:paraId="2EE9E303" w14:textId="77777777" w:rsidR="00FA7EBF" w:rsidRDefault="00FA7EBF" w:rsidP="00326F42">
      <w:pPr>
        <w:pStyle w:val="ARtablefootnotenumbered"/>
        <w:numPr>
          <w:ilvl w:val="0"/>
          <w:numId w:val="25"/>
        </w:numPr>
      </w:pPr>
      <w:r>
        <w:t>The variance to published budget is mainly due to land and buildings held by The Royal Women’s Hospital being reclassified from Property, plant and equipment to Investment properties. These were reclassified as investment properties as at 30 June 2019 following an assessment made for 2018–19 year-end reporting purposes.</w:t>
      </w:r>
    </w:p>
    <w:p w14:paraId="5DB6A821" w14:textId="77777777" w:rsidR="00FA7EBF" w:rsidRDefault="00FA7EBF" w:rsidP="00326F42">
      <w:pPr>
        <w:pStyle w:val="ARtablefootnotenumbered"/>
        <w:numPr>
          <w:ilvl w:val="0"/>
          <w:numId w:val="25"/>
        </w:numPr>
      </w:pPr>
      <w:r>
        <w:t>The variance reflects increases in the actual value of software assets recognised during the year.</w:t>
      </w:r>
    </w:p>
    <w:p w14:paraId="435CE31D" w14:textId="77777777" w:rsidR="00FA7EBF" w:rsidRDefault="00FA7EBF" w:rsidP="00326F42">
      <w:pPr>
        <w:pStyle w:val="ARtablefootnotenumbered"/>
        <w:numPr>
          <w:ilvl w:val="0"/>
          <w:numId w:val="25"/>
        </w:numPr>
      </w:pPr>
      <w:r>
        <w:t>The variance to published budget reflects a higher than budgeted balance of prepayments held by health agencies.</w:t>
      </w:r>
    </w:p>
    <w:p w14:paraId="5D81A34E" w14:textId="77777777" w:rsidR="00FA7EBF" w:rsidRDefault="00FA7EBF" w:rsidP="00326F42">
      <w:pPr>
        <w:pStyle w:val="ARtablefootnotenumbered"/>
        <w:numPr>
          <w:ilvl w:val="0"/>
          <w:numId w:val="25"/>
        </w:numPr>
      </w:pPr>
      <w:r>
        <w:t>The variance is mainly driven by the accounts payable balances recognised by health agencies which fluctuate in the normal course of business.</w:t>
      </w:r>
    </w:p>
    <w:p w14:paraId="5162C406" w14:textId="77777777" w:rsidR="00FA7EBF" w:rsidRDefault="00FA7EBF" w:rsidP="00326F42">
      <w:pPr>
        <w:pStyle w:val="ARtablefootnotenumbered"/>
        <w:numPr>
          <w:ilvl w:val="0"/>
          <w:numId w:val="25"/>
        </w:numPr>
      </w:pPr>
      <w:r>
        <w:t>The variance to published budget is mainly due to increases in employee leave provisions for health agencies and the department which are difficult to reliably predict at budget.</w:t>
      </w:r>
    </w:p>
    <w:p w14:paraId="5506E81B" w14:textId="77777777" w:rsidR="00FA7EBF" w:rsidRDefault="00FA7EBF" w:rsidP="003075FD">
      <w:pPr>
        <w:pStyle w:val="ARbody"/>
      </w:pPr>
      <w:r>
        <w:br w:type="page"/>
      </w:r>
    </w:p>
    <w:p w14:paraId="05032A0E" w14:textId="77777777" w:rsidR="00FA7EBF" w:rsidRDefault="00FA7EBF" w:rsidP="003075FD">
      <w:pPr>
        <w:pStyle w:val="Heading3"/>
      </w:pPr>
      <w:r>
        <w:t>Statement of cash flows for the financial year ended 30 June 2019</w:t>
      </w:r>
    </w:p>
    <w:tbl>
      <w:tblPr>
        <w:tblStyle w:val="TableGrid"/>
        <w:tblW w:w="9645" w:type="dxa"/>
        <w:tblLayout w:type="fixed"/>
        <w:tblLook w:val="06A0" w:firstRow="1" w:lastRow="0" w:firstColumn="1" w:lastColumn="0" w:noHBand="1" w:noVBand="1"/>
      </w:tblPr>
      <w:tblGrid>
        <w:gridCol w:w="2837"/>
        <w:gridCol w:w="1135"/>
        <w:gridCol w:w="1135"/>
        <w:gridCol w:w="1248"/>
        <w:gridCol w:w="1248"/>
        <w:gridCol w:w="1305"/>
        <w:gridCol w:w="737"/>
      </w:tblGrid>
      <w:tr w:rsidR="00FA7EBF" w14:paraId="7488E9CD" w14:textId="77777777" w:rsidTr="003075FD">
        <w:trPr>
          <w:cnfStyle w:val="100000000000" w:firstRow="1" w:lastRow="0" w:firstColumn="0" w:lastColumn="0" w:oddVBand="0" w:evenVBand="0" w:oddHBand="0" w:evenHBand="0" w:firstRowFirstColumn="0" w:firstRowLastColumn="0" w:lastRowFirstColumn="0" w:lastRowLastColumn="0"/>
          <w:tblHeader/>
        </w:trPr>
        <w:tc>
          <w:tcPr>
            <w:tcW w:w="2836" w:type="dxa"/>
            <w:tcBorders>
              <w:top w:val="nil"/>
              <w:left w:val="single" w:sz="4" w:space="0" w:color="FFFFFF"/>
              <w:bottom w:val="single" w:sz="4" w:space="0" w:color="auto"/>
              <w:right w:val="single" w:sz="4" w:space="0" w:color="FFFFFF"/>
            </w:tcBorders>
            <w:hideMark/>
          </w:tcPr>
          <w:p w14:paraId="6571112F" w14:textId="77777777" w:rsidR="00FA7EBF" w:rsidRDefault="00FA7EBF"/>
        </w:tc>
        <w:tc>
          <w:tcPr>
            <w:tcW w:w="1134" w:type="dxa"/>
            <w:tcBorders>
              <w:top w:val="nil"/>
              <w:left w:val="single" w:sz="4" w:space="0" w:color="FFFFFF"/>
              <w:bottom w:val="single" w:sz="4" w:space="0" w:color="auto"/>
              <w:right w:val="single" w:sz="4" w:space="0" w:color="FFFFFF"/>
            </w:tcBorders>
            <w:hideMark/>
          </w:tcPr>
          <w:p w14:paraId="3DAD1775" w14:textId="77777777" w:rsidR="00FA7EBF" w:rsidRDefault="00FA7EBF">
            <w:pPr>
              <w:pStyle w:val="ARtablecolheadright"/>
              <w:rPr>
                <w:lang w:eastAsia="en-AU"/>
              </w:rPr>
            </w:pPr>
            <w:r>
              <w:rPr>
                <w:lang w:eastAsia="en-AU"/>
              </w:rPr>
              <w:t>2018–19 actual</w:t>
            </w:r>
          </w:p>
          <w:p w14:paraId="3469C61C" w14:textId="77777777" w:rsidR="00FA7EBF" w:rsidRDefault="00FA7EBF">
            <w:pPr>
              <w:pStyle w:val="ARtablecolheadright"/>
              <w:rPr>
                <w:lang w:eastAsia="en-AU"/>
              </w:rPr>
            </w:pPr>
            <w:r>
              <w:rPr>
                <w:lang w:eastAsia="en-AU"/>
              </w:rPr>
              <w:t>$M</w:t>
            </w:r>
          </w:p>
        </w:tc>
        <w:tc>
          <w:tcPr>
            <w:tcW w:w="1134" w:type="dxa"/>
            <w:tcBorders>
              <w:top w:val="nil"/>
              <w:left w:val="single" w:sz="4" w:space="0" w:color="FFFFFF"/>
              <w:bottom w:val="single" w:sz="4" w:space="0" w:color="auto"/>
              <w:right w:val="single" w:sz="4" w:space="0" w:color="FFFFFF"/>
            </w:tcBorders>
            <w:hideMark/>
          </w:tcPr>
          <w:p w14:paraId="58E1FB82" w14:textId="77777777" w:rsidR="00FA7EBF" w:rsidRDefault="00FA7EBF">
            <w:pPr>
              <w:pStyle w:val="ARtablecolheadright"/>
              <w:rPr>
                <w:lang w:eastAsia="en-AU"/>
              </w:rPr>
            </w:pPr>
            <w:r>
              <w:rPr>
                <w:lang w:eastAsia="en-AU"/>
              </w:rPr>
              <w:t>2018–19 revised budget</w:t>
            </w:r>
          </w:p>
          <w:p w14:paraId="707A942C" w14:textId="77777777" w:rsidR="00FA7EBF" w:rsidRDefault="00FA7EBF">
            <w:pPr>
              <w:pStyle w:val="ARtablecolheadright"/>
              <w:rPr>
                <w:lang w:eastAsia="en-AU"/>
              </w:rPr>
            </w:pPr>
            <w:r>
              <w:rPr>
                <w:lang w:eastAsia="en-AU"/>
              </w:rPr>
              <w:t>$M</w:t>
            </w:r>
          </w:p>
        </w:tc>
        <w:tc>
          <w:tcPr>
            <w:tcW w:w="1247" w:type="dxa"/>
            <w:tcBorders>
              <w:top w:val="nil"/>
              <w:left w:val="single" w:sz="4" w:space="0" w:color="FFFFFF"/>
              <w:bottom w:val="single" w:sz="4" w:space="0" w:color="auto"/>
              <w:right w:val="single" w:sz="4" w:space="0" w:color="FFFFFF"/>
            </w:tcBorders>
            <w:hideMark/>
          </w:tcPr>
          <w:p w14:paraId="2993560B" w14:textId="77777777" w:rsidR="00FA7EBF" w:rsidRDefault="00FA7EBF">
            <w:pPr>
              <w:pStyle w:val="ARtablecolheadright"/>
              <w:rPr>
                <w:lang w:eastAsia="en-AU"/>
              </w:rPr>
            </w:pPr>
            <w:r>
              <w:rPr>
                <w:lang w:eastAsia="en-AU"/>
              </w:rPr>
              <w:t xml:space="preserve">Variation </w:t>
            </w:r>
            <w:r>
              <w:rPr>
                <w:lang w:eastAsia="en-AU"/>
              </w:rPr>
              <w:br/>
              <w:t>to revised budget</w:t>
            </w:r>
          </w:p>
          <w:p w14:paraId="1458B9CB" w14:textId="77777777" w:rsidR="00FA7EBF" w:rsidRDefault="00FA7EBF">
            <w:pPr>
              <w:pStyle w:val="ARtablecolheadright"/>
              <w:rPr>
                <w:lang w:eastAsia="en-AU"/>
              </w:rPr>
            </w:pPr>
            <w:r>
              <w:rPr>
                <w:lang w:eastAsia="en-AU"/>
              </w:rPr>
              <w:t>%</w:t>
            </w:r>
          </w:p>
        </w:tc>
        <w:tc>
          <w:tcPr>
            <w:tcW w:w="1247" w:type="dxa"/>
            <w:tcBorders>
              <w:top w:val="nil"/>
              <w:left w:val="single" w:sz="4" w:space="0" w:color="FFFFFF"/>
              <w:bottom w:val="single" w:sz="4" w:space="0" w:color="auto"/>
              <w:right w:val="single" w:sz="4" w:space="0" w:color="FFFFFF"/>
            </w:tcBorders>
            <w:hideMark/>
          </w:tcPr>
          <w:p w14:paraId="2ADC5366" w14:textId="77777777" w:rsidR="00FA7EBF" w:rsidRDefault="00FA7EBF">
            <w:pPr>
              <w:pStyle w:val="ARtablecolheadright"/>
              <w:rPr>
                <w:lang w:eastAsia="en-AU"/>
              </w:rPr>
            </w:pPr>
            <w:r>
              <w:rPr>
                <w:lang w:eastAsia="en-AU"/>
              </w:rPr>
              <w:t>2018–19 published budget</w:t>
            </w:r>
          </w:p>
          <w:p w14:paraId="617841CD" w14:textId="77777777" w:rsidR="00FA7EBF" w:rsidRDefault="00FA7EBF">
            <w:pPr>
              <w:pStyle w:val="ARtablecolheadright"/>
              <w:rPr>
                <w:lang w:eastAsia="en-AU"/>
              </w:rPr>
            </w:pPr>
            <w:r>
              <w:rPr>
                <w:lang w:eastAsia="en-AU"/>
              </w:rPr>
              <w:t>$M</w:t>
            </w:r>
          </w:p>
        </w:tc>
        <w:tc>
          <w:tcPr>
            <w:tcW w:w="1304" w:type="dxa"/>
            <w:tcBorders>
              <w:top w:val="nil"/>
              <w:left w:val="single" w:sz="4" w:space="0" w:color="FFFFFF"/>
              <w:bottom w:val="single" w:sz="4" w:space="0" w:color="auto"/>
              <w:right w:val="single" w:sz="4" w:space="0" w:color="FFFFFF"/>
            </w:tcBorders>
            <w:hideMark/>
          </w:tcPr>
          <w:p w14:paraId="5D8135D4" w14:textId="77777777" w:rsidR="00FA7EBF" w:rsidRDefault="00FA7EBF">
            <w:pPr>
              <w:pStyle w:val="ARtablecolheadright"/>
              <w:rPr>
                <w:lang w:eastAsia="en-AU"/>
              </w:rPr>
            </w:pPr>
            <w:r>
              <w:rPr>
                <w:lang w:eastAsia="en-AU"/>
              </w:rPr>
              <w:t>Variation</w:t>
            </w:r>
            <w:r>
              <w:rPr>
                <w:lang w:eastAsia="en-AU"/>
              </w:rPr>
              <w:br/>
              <w:t xml:space="preserve"> to published budget</w:t>
            </w:r>
          </w:p>
          <w:p w14:paraId="40FAF67C" w14:textId="77777777" w:rsidR="00FA7EBF" w:rsidRDefault="00FA7EBF">
            <w:pPr>
              <w:pStyle w:val="ARtablecolheadright"/>
              <w:rPr>
                <w:lang w:eastAsia="en-AU"/>
              </w:rPr>
            </w:pPr>
            <w:r>
              <w:rPr>
                <w:lang w:eastAsia="en-AU"/>
              </w:rPr>
              <w:t>%</w:t>
            </w:r>
          </w:p>
        </w:tc>
        <w:tc>
          <w:tcPr>
            <w:tcW w:w="737" w:type="dxa"/>
            <w:tcBorders>
              <w:top w:val="nil"/>
              <w:left w:val="single" w:sz="4" w:space="0" w:color="FFFFFF"/>
              <w:bottom w:val="single" w:sz="4" w:space="0" w:color="auto"/>
              <w:right w:val="single" w:sz="4" w:space="0" w:color="FFFFFF"/>
            </w:tcBorders>
            <w:hideMark/>
          </w:tcPr>
          <w:p w14:paraId="76CEBF2C" w14:textId="77777777" w:rsidR="00FA7EBF" w:rsidRDefault="00FA7EBF">
            <w:pPr>
              <w:pStyle w:val="ARtablecolheadright"/>
              <w:rPr>
                <w:lang w:eastAsia="en-AU"/>
              </w:rPr>
            </w:pPr>
            <w:r>
              <w:rPr>
                <w:lang w:eastAsia="en-AU"/>
              </w:rPr>
              <w:t>Notes</w:t>
            </w:r>
          </w:p>
        </w:tc>
      </w:tr>
      <w:tr w:rsidR="00FA7EBF" w14:paraId="5FD71EDF" w14:textId="77777777" w:rsidTr="003075FD">
        <w:tc>
          <w:tcPr>
            <w:tcW w:w="9639" w:type="dxa"/>
            <w:gridSpan w:val="7"/>
            <w:tcBorders>
              <w:top w:val="single" w:sz="4" w:space="0" w:color="auto"/>
              <w:left w:val="single" w:sz="4" w:space="0" w:color="FFFFFF"/>
              <w:bottom w:val="single" w:sz="4" w:space="0" w:color="A6A6A6" w:themeColor="background1" w:themeShade="A6"/>
              <w:right w:val="single" w:sz="4" w:space="0" w:color="FFFFFF"/>
            </w:tcBorders>
            <w:hideMark/>
          </w:tcPr>
          <w:p w14:paraId="437E5030" w14:textId="77777777" w:rsidR="00FA7EBF" w:rsidRDefault="00FA7EBF">
            <w:pPr>
              <w:pStyle w:val="ARtabletextbold"/>
            </w:pPr>
            <w:r>
              <w:t>Cash flows from operating activities</w:t>
            </w:r>
          </w:p>
        </w:tc>
      </w:tr>
      <w:tr w:rsidR="00FA7EBF" w14:paraId="4F093D5F" w14:textId="77777777" w:rsidTr="003075FD">
        <w:tc>
          <w:tcPr>
            <w:tcW w:w="9639" w:type="dxa"/>
            <w:gridSpan w:val="7"/>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AC83E41" w14:textId="77777777" w:rsidR="00FA7EBF" w:rsidRDefault="00FA7EBF">
            <w:pPr>
              <w:pStyle w:val="ARtabletextbold"/>
            </w:pPr>
            <w:r>
              <w:t>Receipts</w:t>
            </w:r>
          </w:p>
        </w:tc>
      </w:tr>
      <w:tr w:rsidR="00FA7EBF" w14:paraId="278A9041" w14:textId="77777777" w:rsidTr="003075FD">
        <w:tc>
          <w:tcPr>
            <w:tcW w:w="2836"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08445B9" w14:textId="77777777" w:rsidR="00FA7EBF" w:rsidRDefault="00FA7EBF">
            <w:pPr>
              <w:pStyle w:val="ARtabletext"/>
            </w:pPr>
            <w:r>
              <w:t>Receipts from government</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D73865F" w14:textId="77777777" w:rsidR="00FA7EBF" w:rsidRDefault="00FA7EBF">
            <w:pPr>
              <w:pStyle w:val="ARtabletextright"/>
            </w:pPr>
            <w:r>
              <w:t>18,820</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3F6E53F" w14:textId="77777777" w:rsidR="00FA7EBF" w:rsidRDefault="00FA7EBF">
            <w:pPr>
              <w:pStyle w:val="ARtabletextright"/>
            </w:pPr>
            <w:r>
              <w:t>18,588</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1C56998" w14:textId="77777777" w:rsidR="00FA7EBF" w:rsidRDefault="00FA7EBF">
            <w:pPr>
              <w:pStyle w:val="ARtabletextright"/>
            </w:pPr>
            <w:r>
              <w:t>1.2</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D70BF8A" w14:textId="77777777" w:rsidR="00FA7EBF" w:rsidRDefault="00FA7EBF">
            <w:pPr>
              <w:pStyle w:val="ARtabletextright"/>
            </w:pPr>
            <w:r>
              <w:t>18,642</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970EA5F" w14:textId="77777777" w:rsidR="00FA7EBF" w:rsidRDefault="00FA7EBF">
            <w:pPr>
              <w:pStyle w:val="ARtabletextright"/>
            </w:pPr>
            <w:r>
              <w:t>1.0</w:t>
            </w:r>
          </w:p>
        </w:tc>
        <w:tc>
          <w:tcPr>
            <w:tcW w:w="7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5BDC2529" w14:textId="77777777" w:rsidR="00FA7EBF" w:rsidRDefault="00FA7EBF">
            <w:pPr>
              <w:pStyle w:val="ARtabletextrightbold"/>
            </w:pPr>
          </w:p>
        </w:tc>
      </w:tr>
      <w:tr w:rsidR="00FA7EBF" w14:paraId="043B3DEC" w14:textId="77777777" w:rsidTr="003075FD">
        <w:tc>
          <w:tcPr>
            <w:tcW w:w="2836"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9CCD8D8" w14:textId="77777777" w:rsidR="00FA7EBF" w:rsidRDefault="00FA7EBF">
            <w:pPr>
              <w:pStyle w:val="ARtabletext"/>
            </w:pPr>
            <w:r>
              <w:t>Receipts from other entities</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2A79809" w14:textId="77777777" w:rsidR="00FA7EBF" w:rsidRDefault="00FA7EBF">
            <w:pPr>
              <w:pStyle w:val="ARtabletextright"/>
            </w:pPr>
            <w:r>
              <w:t>7,057</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2804246" w14:textId="77777777" w:rsidR="00FA7EBF" w:rsidRDefault="00FA7EBF">
            <w:pPr>
              <w:pStyle w:val="ARtabletextright"/>
            </w:pPr>
            <w:r>
              <w:t>7,142</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D7B4953" w14:textId="77777777" w:rsidR="00FA7EBF" w:rsidRDefault="00FA7EBF">
            <w:pPr>
              <w:pStyle w:val="ARtabletextright"/>
            </w:pPr>
            <w:r>
              <w:t>(1.2)</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DB8E373" w14:textId="77777777" w:rsidR="00FA7EBF" w:rsidRDefault="00FA7EBF">
            <w:pPr>
              <w:pStyle w:val="ARtabletextright"/>
            </w:pPr>
            <w:r>
              <w:t>7,170</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8FA74A5" w14:textId="77777777" w:rsidR="00FA7EBF" w:rsidRDefault="00FA7EBF">
            <w:pPr>
              <w:pStyle w:val="ARtabletextright"/>
            </w:pPr>
            <w:r>
              <w:t>(1.6)</w:t>
            </w:r>
          </w:p>
        </w:tc>
        <w:tc>
          <w:tcPr>
            <w:tcW w:w="7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0B598475" w14:textId="77777777" w:rsidR="00FA7EBF" w:rsidRDefault="00FA7EBF">
            <w:pPr>
              <w:pStyle w:val="ARtabletextrightbold"/>
            </w:pPr>
          </w:p>
        </w:tc>
      </w:tr>
      <w:tr w:rsidR="00FA7EBF" w14:paraId="16E7F296" w14:textId="77777777" w:rsidTr="003075FD">
        <w:tc>
          <w:tcPr>
            <w:tcW w:w="2836"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FC329CC" w14:textId="77777777" w:rsidR="00FA7EBF" w:rsidRDefault="00FA7EBF">
            <w:pPr>
              <w:pStyle w:val="ARtabletext"/>
            </w:pPr>
            <w:r>
              <w:t>Interest received</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D27779D" w14:textId="77777777" w:rsidR="00FA7EBF" w:rsidRDefault="00FA7EBF">
            <w:pPr>
              <w:pStyle w:val="ARtabletextright"/>
            </w:pPr>
            <w:r>
              <w:t>54</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E24894A" w14:textId="77777777" w:rsidR="00FA7EBF" w:rsidRDefault="00FA7EBF">
            <w:pPr>
              <w:pStyle w:val="ARtabletextright"/>
            </w:pPr>
            <w:r>
              <w:t>47</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AB3D21F" w14:textId="77777777" w:rsidR="00FA7EBF" w:rsidRDefault="00FA7EBF">
            <w:pPr>
              <w:pStyle w:val="ARtabletextright"/>
            </w:pPr>
            <w:r>
              <w:t>14.3</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F90BADE" w14:textId="77777777" w:rsidR="00FA7EBF" w:rsidRDefault="00FA7EBF">
            <w:pPr>
              <w:pStyle w:val="ARtabletextright"/>
            </w:pPr>
            <w:r>
              <w:t>48</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E5D94B1" w14:textId="77777777" w:rsidR="00FA7EBF" w:rsidRDefault="00FA7EBF">
            <w:pPr>
              <w:pStyle w:val="ARtabletextright"/>
            </w:pPr>
            <w:r>
              <w:t>11.9</w:t>
            </w:r>
          </w:p>
        </w:tc>
        <w:tc>
          <w:tcPr>
            <w:tcW w:w="7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371E0D10" w14:textId="77777777" w:rsidR="00FA7EBF" w:rsidRDefault="00FA7EBF">
            <w:pPr>
              <w:pStyle w:val="ARtabletextrightbold"/>
            </w:pPr>
          </w:p>
        </w:tc>
      </w:tr>
      <w:tr w:rsidR="00FA7EBF" w14:paraId="0C090F12" w14:textId="77777777" w:rsidTr="003075FD">
        <w:tc>
          <w:tcPr>
            <w:tcW w:w="2836"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B521AD0" w14:textId="77777777" w:rsidR="00FA7EBF" w:rsidRDefault="00FA7EBF">
            <w:pPr>
              <w:pStyle w:val="ARtabletext"/>
            </w:pPr>
            <w:r>
              <w:t>Dividends received</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7DB91D9" w14:textId="77777777" w:rsidR="00FA7EBF" w:rsidRDefault="00FA7EBF">
            <w:pPr>
              <w:pStyle w:val="ARtabletextright"/>
            </w:pPr>
            <w:r>
              <w:t>12</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D772E70" w14:textId="77777777" w:rsidR="00FA7EBF" w:rsidRDefault="00FA7EBF">
            <w:pPr>
              <w:pStyle w:val="ARtabletextright"/>
            </w:pPr>
            <w:r>
              <w:t>–</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03D5B3A" w14:textId="77777777" w:rsidR="00FA7EBF" w:rsidRDefault="00FA7EBF">
            <w:pPr>
              <w:pStyle w:val="ARtabletextright"/>
            </w:pPr>
            <w:r>
              <w:t>–</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CE1800F" w14:textId="77777777" w:rsidR="00FA7EBF" w:rsidRDefault="00FA7EBF">
            <w:pPr>
              <w:pStyle w:val="ARtabletextright"/>
            </w:pPr>
            <w:r>
              <w:t>–</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1FA9DF0" w14:textId="77777777" w:rsidR="00FA7EBF" w:rsidRDefault="00FA7EBF">
            <w:pPr>
              <w:pStyle w:val="ARtabletextright"/>
            </w:pPr>
            <w:r>
              <w:t>–</w:t>
            </w:r>
          </w:p>
        </w:tc>
        <w:tc>
          <w:tcPr>
            <w:tcW w:w="7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2689B59D" w14:textId="77777777" w:rsidR="00FA7EBF" w:rsidRDefault="00FA7EBF">
            <w:pPr>
              <w:pStyle w:val="ARtabletextrightbold"/>
            </w:pPr>
          </w:p>
        </w:tc>
      </w:tr>
      <w:tr w:rsidR="00FA7EBF" w14:paraId="3828C30C" w14:textId="77777777" w:rsidTr="003075FD">
        <w:tc>
          <w:tcPr>
            <w:tcW w:w="2836" w:type="dxa"/>
            <w:tcBorders>
              <w:top w:val="single" w:sz="4" w:space="0" w:color="A6A6A6" w:themeColor="background1" w:themeShade="A6"/>
              <w:left w:val="single" w:sz="4" w:space="0" w:color="FFFFFF"/>
              <w:bottom w:val="single" w:sz="4" w:space="0" w:color="auto"/>
              <w:right w:val="single" w:sz="4" w:space="0" w:color="FFFFFF"/>
            </w:tcBorders>
            <w:hideMark/>
          </w:tcPr>
          <w:p w14:paraId="5293E082" w14:textId="77777777" w:rsidR="00FA7EBF" w:rsidRDefault="00FA7EBF">
            <w:pPr>
              <w:pStyle w:val="ARtabletext"/>
            </w:pPr>
            <w:r>
              <w:t>Other receipts</w:t>
            </w:r>
          </w:p>
        </w:tc>
        <w:tc>
          <w:tcPr>
            <w:tcW w:w="1134" w:type="dxa"/>
            <w:tcBorders>
              <w:top w:val="single" w:sz="4" w:space="0" w:color="A6A6A6" w:themeColor="background1" w:themeShade="A6"/>
              <w:left w:val="single" w:sz="4" w:space="0" w:color="FFFFFF"/>
              <w:bottom w:val="single" w:sz="4" w:space="0" w:color="auto"/>
              <w:right w:val="single" w:sz="4" w:space="0" w:color="FFFFFF"/>
            </w:tcBorders>
            <w:hideMark/>
          </w:tcPr>
          <w:p w14:paraId="0E18B332" w14:textId="77777777" w:rsidR="00FA7EBF" w:rsidRDefault="00FA7EBF">
            <w:pPr>
              <w:pStyle w:val="ARtabletextright"/>
            </w:pPr>
            <w:r>
              <w:t>559</w:t>
            </w:r>
          </w:p>
        </w:tc>
        <w:tc>
          <w:tcPr>
            <w:tcW w:w="1134" w:type="dxa"/>
            <w:tcBorders>
              <w:top w:val="single" w:sz="4" w:space="0" w:color="A6A6A6" w:themeColor="background1" w:themeShade="A6"/>
              <w:left w:val="single" w:sz="4" w:space="0" w:color="FFFFFF"/>
              <w:bottom w:val="single" w:sz="4" w:space="0" w:color="auto"/>
              <w:right w:val="single" w:sz="4" w:space="0" w:color="FFFFFF"/>
            </w:tcBorders>
            <w:hideMark/>
          </w:tcPr>
          <w:p w14:paraId="649F4214" w14:textId="77777777" w:rsidR="00FA7EBF" w:rsidRDefault="00FA7EBF">
            <w:pPr>
              <w:pStyle w:val="ARtabletextright"/>
            </w:pPr>
            <w:r>
              <w:t>802</w:t>
            </w:r>
          </w:p>
        </w:tc>
        <w:tc>
          <w:tcPr>
            <w:tcW w:w="1247" w:type="dxa"/>
            <w:tcBorders>
              <w:top w:val="single" w:sz="4" w:space="0" w:color="A6A6A6" w:themeColor="background1" w:themeShade="A6"/>
              <w:left w:val="single" w:sz="4" w:space="0" w:color="FFFFFF"/>
              <w:bottom w:val="single" w:sz="4" w:space="0" w:color="auto"/>
              <w:right w:val="single" w:sz="4" w:space="0" w:color="FFFFFF"/>
            </w:tcBorders>
            <w:hideMark/>
          </w:tcPr>
          <w:p w14:paraId="4CB6ECF4" w14:textId="77777777" w:rsidR="00FA7EBF" w:rsidRDefault="00FA7EBF">
            <w:pPr>
              <w:pStyle w:val="ARtabletextright"/>
            </w:pPr>
            <w:r>
              <w:t>(30.3)</w:t>
            </w:r>
          </w:p>
        </w:tc>
        <w:tc>
          <w:tcPr>
            <w:tcW w:w="1247" w:type="dxa"/>
            <w:tcBorders>
              <w:top w:val="single" w:sz="4" w:space="0" w:color="A6A6A6" w:themeColor="background1" w:themeShade="A6"/>
              <w:left w:val="single" w:sz="4" w:space="0" w:color="FFFFFF"/>
              <w:bottom w:val="single" w:sz="4" w:space="0" w:color="auto"/>
              <w:right w:val="single" w:sz="4" w:space="0" w:color="FFFFFF"/>
            </w:tcBorders>
            <w:hideMark/>
          </w:tcPr>
          <w:p w14:paraId="20AD37DE" w14:textId="77777777" w:rsidR="00FA7EBF" w:rsidRDefault="00FA7EBF">
            <w:pPr>
              <w:pStyle w:val="ARtabletextright"/>
            </w:pPr>
            <w:r>
              <w:t>782</w:t>
            </w:r>
          </w:p>
        </w:tc>
        <w:tc>
          <w:tcPr>
            <w:tcW w:w="1304" w:type="dxa"/>
            <w:tcBorders>
              <w:top w:val="single" w:sz="4" w:space="0" w:color="A6A6A6" w:themeColor="background1" w:themeShade="A6"/>
              <w:left w:val="single" w:sz="4" w:space="0" w:color="FFFFFF"/>
              <w:bottom w:val="single" w:sz="4" w:space="0" w:color="auto"/>
              <w:right w:val="single" w:sz="4" w:space="0" w:color="FFFFFF"/>
            </w:tcBorders>
            <w:hideMark/>
          </w:tcPr>
          <w:p w14:paraId="3044F05A" w14:textId="77777777" w:rsidR="00FA7EBF" w:rsidRDefault="00FA7EBF">
            <w:pPr>
              <w:pStyle w:val="ARtabletextright"/>
            </w:pPr>
            <w:r>
              <w:t>(28.5)</w:t>
            </w:r>
          </w:p>
        </w:tc>
        <w:tc>
          <w:tcPr>
            <w:tcW w:w="737" w:type="dxa"/>
            <w:tcBorders>
              <w:top w:val="single" w:sz="4" w:space="0" w:color="A6A6A6" w:themeColor="background1" w:themeShade="A6"/>
              <w:left w:val="single" w:sz="4" w:space="0" w:color="FFFFFF"/>
              <w:bottom w:val="single" w:sz="4" w:space="0" w:color="auto"/>
              <w:right w:val="single" w:sz="4" w:space="0" w:color="FFFFFF"/>
            </w:tcBorders>
            <w:hideMark/>
          </w:tcPr>
          <w:p w14:paraId="5FC58915" w14:textId="77777777" w:rsidR="00FA7EBF" w:rsidRDefault="00FA7EBF">
            <w:pPr>
              <w:pStyle w:val="ARtabletextrightbold"/>
            </w:pPr>
            <w:r>
              <w:t>1</w:t>
            </w:r>
          </w:p>
        </w:tc>
      </w:tr>
      <w:tr w:rsidR="00FA7EBF" w14:paraId="1A8FCF80" w14:textId="77777777" w:rsidTr="003075FD">
        <w:tc>
          <w:tcPr>
            <w:tcW w:w="2836" w:type="dxa"/>
            <w:tcBorders>
              <w:top w:val="single" w:sz="4" w:space="0" w:color="auto"/>
              <w:left w:val="single" w:sz="4" w:space="0" w:color="FFFFFF"/>
              <w:bottom w:val="single" w:sz="4" w:space="0" w:color="auto"/>
              <w:right w:val="single" w:sz="4" w:space="0" w:color="FFFFFF"/>
            </w:tcBorders>
            <w:hideMark/>
          </w:tcPr>
          <w:p w14:paraId="0ECF63BA" w14:textId="77777777" w:rsidR="00FA7EBF" w:rsidRDefault="00FA7EBF">
            <w:pPr>
              <w:pStyle w:val="ARtabletextbold"/>
            </w:pPr>
            <w:r>
              <w:t>Total receipts</w:t>
            </w:r>
          </w:p>
        </w:tc>
        <w:tc>
          <w:tcPr>
            <w:tcW w:w="1134" w:type="dxa"/>
            <w:tcBorders>
              <w:top w:val="single" w:sz="4" w:space="0" w:color="auto"/>
              <w:left w:val="single" w:sz="4" w:space="0" w:color="FFFFFF"/>
              <w:bottom w:val="single" w:sz="4" w:space="0" w:color="auto"/>
              <w:right w:val="single" w:sz="4" w:space="0" w:color="FFFFFF"/>
            </w:tcBorders>
            <w:hideMark/>
          </w:tcPr>
          <w:p w14:paraId="45318B2C" w14:textId="77777777" w:rsidR="00FA7EBF" w:rsidRDefault="00FA7EBF">
            <w:pPr>
              <w:pStyle w:val="ARtabletextrightbold"/>
            </w:pPr>
            <w:r>
              <w:t>26,502</w:t>
            </w:r>
          </w:p>
        </w:tc>
        <w:tc>
          <w:tcPr>
            <w:tcW w:w="1134" w:type="dxa"/>
            <w:tcBorders>
              <w:top w:val="single" w:sz="4" w:space="0" w:color="auto"/>
              <w:left w:val="single" w:sz="4" w:space="0" w:color="FFFFFF"/>
              <w:bottom w:val="single" w:sz="4" w:space="0" w:color="auto"/>
              <w:right w:val="single" w:sz="4" w:space="0" w:color="FFFFFF"/>
            </w:tcBorders>
            <w:hideMark/>
          </w:tcPr>
          <w:p w14:paraId="18B4DE18" w14:textId="77777777" w:rsidR="00FA7EBF" w:rsidRDefault="00FA7EBF">
            <w:pPr>
              <w:pStyle w:val="ARtabletextrightbold"/>
            </w:pPr>
            <w:r>
              <w:t>26,579</w:t>
            </w:r>
          </w:p>
        </w:tc>
        <w:tc>
          <w:tcPr>
            <w:tcW w:w="1247" w:type="dxa"/>
            <w:tcBorders>
              <w:top w:val="single" w:sz="4" w:space="0" w:color="auto"/>
              <w:left w:val="single" w:sz="4" w:space="0" w:color="FFFFFF"/>
              <w:bottom w:val="single" w:sz="4" w:space="0" w:color="auto"/>
              <w:right w:val="single" w:sz="4" w:space="0" w:color="FFFFFF"/>
            </w:tcBorders>
            <w:hideMark/>
          </w:tcPr>
          <w:p w14:paraId="6DB900A7" w14:textId="77777777" w:rsidR="00FA7EBF" w:rsidRDefault="00FA7EBF">
            <w:pPr>
              <w:pStyle w:val="ARtabletextrightbold"/>
            </w:pPr>
            <w:r>
              <w:t>(0.3)</w:t>
            </w:r>
          </w:p>
        </w:tc>
        <w:tc>
          <w:tcPr>
            <w:tcW w:w="1247" w:type="dxa"/>
            <w:tcBorders>
              <w:top w:val="single" w:sz="4" w:space="0" w:color="auto"/>
              <w:left w:val="single" w:sz="4" w:space="0" w:color="FFFFFF"/>
              <w:bottom w:val="single" w:sz="4" w:space="0" w:color="auto"/>
              <w:right w:val="single" w:sz="4" w:space="0" w:color="FFFFFF"/>
            </w:tcBorders>
            <w:hideMark/>
          </w:tcPr>
          <w:p w14:paraId="6D5B00E0" w14:textId="77777777" w:rsidR="00FA7EBF" w:rsidRDefault="00FA7EBF">
            <w:pPr>
              <w:pStyle w:val="ARtabletextrightbold"/>
            </w:pPr>
            <w:r>
              <w:t>26,641</w:t>
            </w:r>
          </w:p>
        </w:tc>
        <w:tc>
          <w:tcPr>
            <w:tcW w:w="1304" w:type="dxa"/>
            <w:tcBorders>
              <w:top w:val="single" w:sz="4" w:space="0" w:color="auto"/>
              <w:left w:val="single" w:sz="4" w:space="0" w:color="FFFFFF"/>
              <w:bottom w:val="single" w:sz="4" w:space="0" w:color="auto"/>
              <w:right w:val="single" w:sz="4" w:space="0" w:color="FFFFFF"/>
            </w:tcBorders>
            <w:hideMark/>
          </w:tcPr>
          <w:p w14:paraId="573D751A" w14:textId="77777777" w:rsidR="00FA7EBF" w:rsidRDefault="00FA7EBF">
            <w:pPr>
              <w:pStyle w:val="ARtabletextrightbold"/>
            </w:pPr>
            <w:r>
              <w:t>(0.5)</w:t>
            </w:r>
          </w:p>
        </w:tc>
        <w:tc>
          <w:tcPr>
            <w:tcW w:w="737" w:type="dxa"/>
            <w:tcBorders>
              <w:top w:val="single" w:sz="4" w:space="0" w:color="auto"/>
              <w:left w:val="single" w:sz="4" w:space="0" w:color="FFFFFF"/>
              <w:bottom w:val="single" w:sz="4" w:space="0" w:color="auto"/>
              <w:right w:val="single" w:sz="4" w:space="0" w:color="FFFFFF"/>
            </w:tcBorders>
          </w:tcPr>
          <w:p w14:paraId="6BC25DA7" w14:textId="77777777" w:rsidR="00FA7EBF" w:rsidRDefault="00FA7EBF">
            <w:pPr>
              <w:pStyle w:val="ARtabletextrightbold"/>
            </w:pPr>
          </w:p>
        </w:tc>
      </w:tr>
      <w:tr w:rsidR="00FA7EBF" w14:paraId="283D1441" w14:textId="77777777" w:rsidTr="003075FD">
        <w:tc>
          <w:tcPr>
            <w:tcW w:w="9639" w:type="dxa"/>
            <w:gridSpan w:val="7"/>
            <w:tcBorders>
              <w:top w:val="single" w:sz="4" w:space="0" w:color="auto"/>
              <w:left w:val="single" w:sz="4" w:space="0" w:color="FFFFFF"/>
              <w:bottom w:val="single" w:sz="4" w:space="0" w:color="A6A6A6" w:themeColor="background1" w:themeShade="A6"/>
              <w:right w:val="single" w:sz="4" w:space="0" w:color="FFFFFF"/>
            </w:tcBorders>
            <w:hideMark/>
          </w:tcPr>
          <w:p w14:paraId="1A18107C" w14:textId="77777777" w:rsidR="00FA7EBF" w:rsidRDefault="00FA7EBF">
            <w:pPr>
              <w:pStyle w:val="ARtabletextbold"/>
            </w:pPr>
            <w:r>
              <w:t>Payments</w:t>
            </w:r>
          </w:p>
        </w:tc>
      </w:tr>
      <w:tr w:rsidR="00FA7EBF" w14:paraId="0B55801E" w14:textId="77777777" w:rsidTr="003075FD">
        <w:tc>
          <w:tcPr>
            <w:tcW w:w="2836"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A3EC5B9" w14:textId="77777777" w:rsidR="00FA7EBF" w:rsidRDefault="00FA7EBF">
            <w:pPr>
              <w:pStyle w:val="ARtabletext"/>
            </w:pPr>
            <w:r>
              <w:t>Payments of grants and other transfers</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5342851" w14:textId="77777777" w:rsidR="00FA7EBF" w:rsidRDefault="00FA7EBF">
            <w:pPr>
              <w:pStyle w:val="ARtabletextright"/>
            </w:pPr>
            <w:r>
              <w:t>(3,256)</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CFB8AA9" w14:textId="77777777" w:rsidR="00FA7EBF" w:rsidRDefault="00FA7EBF">
            <w:pPr>
              <w:pStyle w:val="ARtabletextright"/>
            </w:pPr>
            <w:r>
              <w:t>(3,153)</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9034A0F" w14:textId="77777777" w:rsidR="00FA7EBF" w:rsidRDefault="00FA7EBF">
            <w:pPr>
              <w:pStyle w:val="ARtabletextright"/>
            </w:pPr>
            <w:r>
              <w:t>3.3</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E3D2B65" w14:textId="77777777" w:rsidR="00FA7EBF" w:rsidRDefault="00FA7EBF">
            <w:pPr>
              <w:pStyle w:val="ARtabletextright"/>
            </w:pPr>
            <w:r>
              <w:t>(3,028)</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BB6849A" w14:textId="77777777" w:rsidR="00FA7EBF" w:rsidRDefault="00FA7EBF">
            <w:pPr>
              <w:pStyle w:val="ARtabletextright"/>
            </w:pPr>
            <w:r>
              <w:t>7.5</w:t>
            </w:r>
          </w:p>
        </w:tc>
        <w:tc>
          <w:tcPr>
            <w:tcW w:w="7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0409E9A8" w14:textId="77777777" w:rsidR="00FA7EBF" w:rsidRDefault="00FA7EBF">
            <w:pPr>
              <w:pStyle w:val="ARtabletextrightbold"/>
            </w:pPr>
          </w:p>
        </w:tc>
      </w:tr>
      <w:tr w:rsidR="00FA7EBF" w14:paraId="7A0EF7FC" w14:textId="77777777" w:rsidTr="003075FD">
        <w:tc>
          <w:tcPr>
            <w:tcW w:w="2836"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A20A735" w14:textId="77777777" w:rsidR="00FA7EBF" w:rsidRDefault="00FA7EBF">
            <w:pPr>
              <w:pStyle w:val="ARtabletext"/>
            </w:pPr>
            <w:r>
              <w:t>Payments to suppliers and employees</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1BB91D2" w14:textId="77777777" w:rsidR="00FA7EBF" w:rsidRDefault="00FA7EBF">
            <w:pPr>
              <w:pStyle w:val="ARtabletextright"/>
            </w:pPr>
            <w:r>
              <w:t>(20,596)</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3D5D88B" w14:textId="77777777" w:rsidR="00FA7EBF" w:rsidRDefault="00FA7EBF">
            <w:pPr>
              <w:pStyle w:val="ARtabletextright"/>
            </w:pPr>
            <w:r>
              <w:t>(21,216)</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DE10945" w14:textId="77777777" w:rsidR="00FA7EBF" w:rsidRDefault="00FA7EBF">
            <w:pPr>
              <w:pStyle w:val="ARtabletextright"/>
            </w:pPr>
            <w:r>
              <w:t>(2.9)</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D2D4C19" w14:textId="77777777" w:rsidR="00FA7EBF" w:rsidRDefault="00FA7EBF">
            <w:pPr>
              <w:pStyle w:val="ARtabletextright"/>
            </w:pPr>
            <w:r>
              <w:t>(20,897)</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DCD1F1F" w14:textId="77777777" w:rsidR="00FA7EBF" w:rsidRDefault="00FA7EBF">
            <w:pPr>
              <w:pStyle w:val="ARtabletextright"/>
            </w:pPr>
            <w:r>
              <w:t>(1.4)</w:t>
            </w:r>
          </w:p>
        </w:tc>
        <w:tc>
          <w:tcPr>
            <w:tcW w:w="7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612F990A" w14:textId="77777777" w:rsidR="00FA7EBF" w:rsidRDefault="00FA7EBF">
            <w:pPr>
              <w:pStyle w:val="ARtabletextrightbold"/>
            </w:pPr>
          </w:p>
        </w:tc>
      </w:tr>
      <w:tr w:rsidR="00FA7EBF" w14:paraId="6AE09700" w14:textId="77777777" w:rsidTr="003075FD">
        <w:tc>
          <w:tcPr>
            <w:tcW w:w="2836"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B4C7935" w14:textId="77777777" w:rsidR="00FA7EBF" w:rsidRDefault="00FA7EBF">
            <w:pPr>
              <w:pStyle w:val="ARtabletext"/>
            </w:pPr>
            <w:r>
              <w:t>Capital asset charge</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FD2A711" w14:textId="77777777" w:rsidR="00FA7EBF" w:rsidRDefault="00FA7EBF">
            <w:pPr>
              <w:pStyle w:val="ARtabletextright"/>
            </w:pPr>
            <w:r>
              <w:t>(1,266)</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F601596" w14:textId="77777777" w:rsidR="00FA7EBF" w:rsidRDefault="00FA7EBF">
            <w:pPr>
              <w:pStyle w:val="ARtabletextright"/>
            </w:pPr>
            <w:r>
              <w:t>(1,266)</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428F03C" w14:textId="77777777" w:rsidR="00FA7EBF" w:rsidRDefault="00FA7EBF">
            <w:pPr>
              <w:pStyle w:val="ARtabletextright"/>
            </w:pPr>
            <w:r>
              <w:t>–</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1951859" w14:textId="77777777" w:rsidR="00FA7EBF" w:rsidRDefault="00FA7EBF">
            <w:pPr>
              <w:pStyle w:val="ARtabletextright"/>
            </w:pPr>
            <w:r>
              <w:t>(1,267)</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FD3CD0D" w14:textId="77777777" w:rsidR="00FA7EBF" w:rsidRDefault="00FA7EBF">
            <w:pPr>
              <w:pStyle w:val="ARtabletextright"/>
            </w:pPr>
            <w:r>
              <w:t>(0.1)</w:t>
            </w:r>
          </w:p>
        </w:tc>
        <w:tc>
          <w:tcPr>
            <w:tcW w:w="7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1B6E207A" w14:textId="77777777" w:rsidR="00FA7EBF" w:rsidRDefault="00FA7EBF">
            <w:pPr>
              <w:pStyle w:val="ARtabletextrightbold"/>
            </w:pPr>
          </w:p>
        </w:tc>
      </w:tr>
      <w:tr w:rsidR="00FA7EBF" w14:paraId="659CECF8" w14:textId="77777777" w:rsidTr="003075FD">
        <w:tc>
          <w:tcPr>
            <w:tcW w:w="2836" w:type="dxa"/>
            <w:tcBorders>
              <w:top w:val="single" w:sz="4" w:space="0" w:color="A6A6A6" w:themeColor="background1" w:themeShade="A6"/>
              <w:left w:val="single" w:sz="4" w:space="0" w:color="FFFFFF"/>
              <w:bottom w:val="single" w:sz="4" w:space="0" w:color="auto"/>
              <w:right w:val="single" w:sz="4" w:space="0" w:color="FFFFFF"/>
            </w:tcBorders>
            <w:hideMark/>
          </w:tcPr>
          <w:p w14:paraId="450DBB0F" w14:textId="77777777" w:rsidR="00FA7EBF" w:rsidRDefault="00FA7EBF">
            <w:pPr>
              <w:pStyle w:val="ARtabletext"/>
            </w:pPr>
            <w:r>
              <w:t>Interest and other costs of finance paid</w:t>
            </w:r>
          </w:p>
        </w:tc>
        <w:tc>
          <w:tcPr>
            <w:tcW w:w="1134" w:type="dxa"/>
            <w:tcBorders>
              <w:top w:val="single" w:sz="4" w:space="0" w:color="A6A6A6" w:themeColor="background1" w:themeShade="A6"/>
              <w:left w:val="single" w:sz="4" w:space="0" w:color="FFFFFF"/>
              <w:bottom w:val="single" w:sz="4" w:space="0" w:color="auto"/>
              <w:right w:val="single" w:sz="4" w:space="0" w:color="FFFFFF"/>
            </w:tcBorders>
            <w:hideMark/>
          </w:tcPr>
          <w:p w14:paraId="3ACE0332" w14:textId="77777777" w:rsidR="00FA7EBF" w:rsidRDefault="00FA7EBF">
            <w:pPr>
              <w:pStyle w:val="ARtabletextright"/>
            </w:pPr>
            <w:r>
              <w:t>(186)</w:t>
            </w:r>
          </w:p>
        </w:tc>
        <w:tc>
          <w:tcPr>
            <w:tcW w:w="1134" w:type="dxa"/>
            <w:tcBorders>
              <w:top w:val="single" w:sz="4" w:space="0" w:color="A6A6A6" w:themeColor="background1" w:themeShade="A6"/>
              <w:left w:val="single" w:sz="4" w:space="0" w:color="FFFFFF"/>
              <w:bottom w:val="single" w:sz="4" w:space="0" w:color="auto"/>
              <w:right w:val="single" w:sz="4" w:space="0" w:color="FFFFFF"/>
            </w:tcBorders>
            <w:hideMark/>
          </w:tcPr>
          <w:p w14:paraId="0C5D595A" w14:textId="77777777" w:rsidR="00FA7EBF" w:rsidRDefault="00FA7EBF">
            <w:pPr>
              <w:pStyle w:val="ARtabletextright"/>
            </w:pPr>
            <w:r>
              <w:t>(188)</w:t>
            </w:r>
          </w:p>
        </w:tc>
        <w:tc>
          <w:tcPr>
            <w:tcW w:w="1247" w:type="dxa"/>
            <w:tcBorders>
              <w:top w:val="single" w:sz="4" w:space="0" w:color="A6A6A6" w:themeColor="background1" w:themeShade="A6"/>
              <w:left w:val="single" w:sz="4" w:space="0" w:color="FFFFFF"/>
              <w:bottom w:val="single" w:sz="4" w:space="0" w:color="auto"/>
              <w:right w:val="single" w:sz="4" w:space="0" w:color="FFFFFF"/>
            </w:tcBorders>
            <w:hideMark/>
          </w:tcPr>
          <w:p w14:paraId="74399068" w14:textId="77777777" w:rsidR="00FA7EBF" w:rsidRDefault="00FA7EBF">
            <w:pPr>
              <w:pStyle w:val="ARtabletextright"/>
            </w:pPr>
            <w:r>
              <w:t>(1.1)</w:t>
            </w:r>
          </w:p>
        </w:tc>
        <w:tc>
          <w:tcPr>
            <w:tcW w:w="1247" w:type="dxa"/>
            <w:tcBorders>
              <w:top w:val="single" w:sz="4" w:space="0" w:color="A6A6A6" w:themeColor="background1" w:themeShade="A6"/>
              <w:left w:val="single" w:sz="4" w:space="0" w:color="FFFFFF"/>
              <w:bottom w:val="single" w:sz="4" w:space="0" w:color="auto"/>
              <w:right w:val="single" w:sz="4" w:space="0" w:color="FFFFFF"/>
            </w:tcBorders>
            <w:hideMark/>
          </w:tcPr>
          <w:p w14:paraId="5F65E741" w14:textId="77777777" w:rsidR="00FA7EBF" w:rsidRDefault="00FA7EBF">
            <w:pPr>
              <w:pStyle w:val="ARtabletextright"/>
            </w:pPr>
            <w:r>
              <w:t>(187)</w:t>
            </w:r>
          </w:p>
        </w:tc>
        <w:tc>
          <w:tcPr>
            <w:tcW w:w="1304" w:type="dxa"/>
            <w:tcBorders>
              <w:top w:val="single" w:sz="4" w:space="0" w:color="A6A6A6" w:themeColor="background1" w:themeShade="A6"/>
              <w:left w:val="single" w:sz="4" w:space="0" w:color="FFFFFF"/>
              <w:bottom w:val="single" w:sz="4" w:space="0" w:color="auto"/>
              <w:right w:val="single" w:sz="4" w:space="0" w:color="FFFFFF"/>
            </w:tcBorders>
            <w:hideMark/>
          </w:tcPr>
          <w:p w14:paraId="6365A405" w14:textId="77777777" w:rsidR="00FA7EBF" w:rsidRDefault="00FA7EBF">
            <w:pPr>
              <w:pStyle w:val="ARtabletextright"/>
            </w:pPr>
            <w:r>
              <w:t>(0.5)</w:t>
            </w:r>
          </w:p>
        </w:tc>
        <w:tc>
          <w:tcPr>
            <w:tcW w:w="737" w:type="dxa"/>
            <w:tcBorders>
              <w:top w:val="single" w:sz="4" w:space="0" w:color="A6A6A6" w:themeColor="background1" w:themeShade="A6"/>
              <w:left w:val="single" w:sz="4" w:space="0" w:color="FFFFFF"/>
              <w:bottom w:val="single" w:sz="4" w:space="0" w:color="auto"/>
              <w:right w:val="single" w:sz="4" w:space="0" w:color="FFFFFF"/>
            </w:tcBorders>
          </w:tcPr>
          <w:p w14:paraId="4D5233E0" w14:textId="77777777" w:rsidR="00FA7EBF" w:rsidRDefault="00FA7EBF">
            <w:pPr>
              <w:pStyle w:val="ARtabletextrightbold"/>
            </w:pPr>
          </w:p>
        </w:tc>
      </w:tr>
      <w:tr w:rsidR="00FA7EBF" w14:paraId="76D88B09" w14:textId="77777777" w:rsidTr="003075FD">
        <w:tc>
          <w:tcPr>
            <w:tcW w:w="2836" w:type="dxa"/>
            <w:tcBorders>
              <w:top w:val="single" w:sz="4" w:space="0" w:color="auto"/>
              <w:left w:val="single" w:sz="4" w:space="0" w:color="FFFFFF"/>
              <w:bottom w:val="single" w:sz="4" w:space="0" w:color="auto"/>
              <w:right w:val="single" w:sz="4" w:space="0" w:color="FFFFFF"/>
            </w:tcBorders>
            <w:hideMark/>
          </w:tcPr>
          <w:p w14:paraId="503BC2B4" w14:textId="77777777" w:rsidR="00FA7EBF" w:rsidRDefault="00FA7EBF">
            <w:pPr>
              <w:pStyle w:val="ARtabletextbold"/>
            </w:pPr>
            <w:r>
              <w:t>Total payments</w:t>
            </w:r>
          </w:p>
        </w:tc>
        <w:tc>
          <w:tcPr>
            <w:tcW w:w="1134" w:type="dxa"/>
            <w:tcBorders>
              <w:top w:val="single" w:sz="4" w:space="0" w:color="auto"/>
              <w:left w:val="single" w:sz="4" w:space="0" w:color="FFFFFF"/>
              <w:bottom w:val="single" w:sz="4" w:space="0" w:color="auto"/>
              <w:right w:val="single" w:sz="4" w:space="0" w:color="FFFFFF"/>
            </w:tcBorders>
            <w:hideMark/>
          </w:tcPr>
          <w:p w14:paraId="1FA960B7" w14:textId="77777777" w:rsidR="00FA7EBF" w:rsidRDefault="00FA7EBF">
            <w:pPr>
              <w:pStyle w:val="ARtabletextrightbold"/>
            </w:pPr>
            <w:r>
              <w:t>(25,304)</w:t>
            </w:r>
          </w:p>
        </w:tc>
        <w:tc>
          <w:tcPr>
            <w:tcW w:w="1134" w:type="dxa"/>
            <w:tcBorders>
              <w:top w:val="single" w:sz="4" w:space="0" w:color="auto"/>
              <w:left w:val="single" w:sz="4" w:space="0" w:color="FFFFFF"/>
              <w:bottom w:val="single" w:sz="4" w:space="0" w:color="auto"/>
              <w:right w:val="single" w:sz="4" w:space="0" w:color="FFFFFF"/>
            </w:tcBorders>
            <w:hideMark/>
          </w:tcPr>
          <w:p w14:paraId="3FF0007B" w14:textId="77777777" w:rsidR="00FA7EBF" w:rsidRDefault="00FA7EBF">
            <w:pPr>
              <w:pStyle w:val="ARtabletextrightbold"/>
            </w:pPr>
            <w:r>
              <w:t>(25,823)</w:t>
            </w:r>
          </w:p>
        </w:tc>
        <w:tc>
          <w:tcPr>
            <w:tcW w:w="1247" w:type="dxa"/>
            <w:tcBorders>
              <w:top w:val="single" w:sz="4" w:space="0" w:color="auto"/>
              <w:left w:val="single" w:sz="4" w:space="0" w:color="FFFFFF"/>
              <w:bottom w:val="single" w:sz="4" w:space="0" w:color="auto"/>
              <w:right w:val="single" w:sz="4" w:space="0" w:color="FFFFFF"/>
            </w:tcBorders>
            <w:hideMark/>
          </w:tcPr>
          <w:p w14:paraId="754F4AC4" w14:textId="77777777" w:rsidR="00FA7EBF" w:rsidRDefault="00FA7EBF">
            <w:pPr>
              <w:pStyle w:val="ARtabletextrightbold"/>
            </w:pPr>
            <w:r>
              <w:t>(2.0)</w:t>
            </w:r>
          </w:p>
        </w:tc>
        <w:tc>
          <w:tcPr>
            <w:tcW w:w="1247" w:type="dxa"/>
            <w:tcBorders>
              <w:top w:val="single" w:sz="4" w:space="0" w:color="auto"/>
              <w:left w:val="single" w:sz="4" w:space="0" w:color="FFFFFF"/>
              <w:bottom w:val="single" w:sz="4" w:space="0" w:color="auto"/>
              <w:right w:val="single" w:sz="4" w:space="0" w:color="FFFFFF"/>
            </w:tcBorders>
            <w:hideMark/>
          </w:tcPr>
          <w:p w14:paraId="7DF44A78" w14:textId="77777777" w:rsidR="00FA7EBF" w:rsidRDefault="00FA7EBF">
            <w:pPr>
              <w:pStyle w:val="ARtabletextrightbold"/>
            </w:pPr>
            <w:r>
              <w:t>(25,379)</w:t>
            </w:r>
          </w:p>
        </w:tc>
        <w:tc>
          <w:tcPr>
            <w:tcW w:w="1304" w:type="dxa"/>
            <w:tcBorders>
              <w:top w:val="single" w:sz="4" w:space="0" w:color="auto"/>
              <w:left w:val="single" w:sz="4" w:space="0" w:color="FFFFFF"/>
              <w:bottom w:val="single" w:sz="4" w:space="0" w:color="auto"/>
              <w:right w:val="single" w:sz="4" w:space="0" w:color="FFFFFF"/>
            </w:tcBorders>
            <w:hideMark/>
          </w:tcPr>
          <w:p w14:paraId="1FD9D4CF" w14:textId="77777777" w:rsidR="00FA7EBF" w:rsidRDefault="00FA7EBF">
            <w:pPr>
              <w:pStyle w:val="ARtabletextrightbold"/>
            </w:pPr>
            <w:r>
              <w:t>(0.3)</w:t>
            </w:r>
          </w:p>
        </w:tc>
        <w:tc>
          <w:tcPr>
            <w:tcW w:w="737" w:type="dxa"/>
            <w:tcBorders>
              <w:top w:val="single" w:sz="4" w:space="0" w:color="auto"/>
              <w:left w:val="single" w:sz="4" w:space="0" w:color="FFFFFF"/>
              <w:bottom w:val="single" w:sz="4" w:space="0" w:color="auto"/>
              <w:right w:val="single" w:sz="4" w:space="0" w:color="FFFFFF"/>
            </w:tcBorders>
          </w:tcPr>
          <w:p w14:paraId="02C5BC61" w14:textId="77777777" w:rsidR="00FA7EBF" w:rsidRDefault="00FA7EBF">
            <w:pPr>
              <w:pStyle w:val="ARtabletextrightbold"/>
            </w:pPr>
          </w:p>
        </w:tc>
      </w:tr>
      <w:tr w:rsidR="00FA7EBF" w14:paraId="5DF11EE7" w14:textId="77777777" w:rsidTr="003075FD">
        <w:tc>
          <w:tcPr>
            <w:tcW w:w="2836" w:type="dxa"/>
            <w:tcBorders>
              <w:top w:val="single" w:sz="4" w:space="0" w:color="auto"/>
              <w:left w:val="single" w:sz="4" w:space="0" w:color="FFFFFF"/>
              <w:bottom w:val="single" w:sz="4" w:space="0" w:color="auto"/>
              <w:right w:val="single" w:sz="4" w:space="0" w:color="FFFFFF"/>
            </w:tcBorders>
            <w:hideMark/>
          </w:tcPr>
          <w:p w14:paraId="6C5AC225" w14:textId="77777777" w:rsidR="00FA7EBF" w:rsidRDefault="00FA7EBF">
            <w:pPr>
              <w:pStyle w:val="ARtabletextbold"/>
            </w:pPr>
            <w:r>
              <w:t>Net cash flows from/(used in) operating activities</w:t>
            </w:r>
          </w:p>
        </w:tc>
        <w:tc>
          <w:tcPr>
            <w:tcW w:w="1134" w:type="dxa"/>
            <w:tcBorders>
              <w:top w:val="single" w:sz="4" w:space="0" w:color="auto"/>
              <w:left w:val="single" w:sz="4" w:space="0" w:color="FFFFFF"/>
              <w:bottom w:val="single" w:sz="4" w:space="0" w:color="auto"/>
              <w:right w:val="single" w:sz="4" w:space="0" w:color="FFFFFF"/>
            </w:tcBorders>
            <w:hideMark/>
          </w:tcPr>
          <w:p w14:paraId="70D6E92B" w14:textId="77777777" w:rsidR="00FA7EBF" w:rsidRDefault="00FA7EBF">
            <w:pPr>
              <w:pStyle w:val="ARtabletextrightbold"/>
            </w:pPr>
            <w:r>
              <w:t>1,198</w:t>
            </w:r>
          </w:p>
        </w:tc>
        <w:tc>
          <w:tcPr>
            <w:tcW w:w="1134" w:type="dxa"/>
            <w:tcBorders>
              <w:top w:val="single" w:sz="4" w:space="0" w:color="auto"/>
              <w:left w:val="single" w:sz="4" w:space="0" w:color="FFFFFF"/>
              <w:bottom w:val="single" w:sz="4" w:space="0" w:color="auto"/>
              <w:right w:val="single" w:sz="4" w:space="0" w:color="FFFFFF"/>
            </w:tcBorders>
            <w:hideMark/>
          </w:tcPr>
          <w:p w14:paraId="7FBC0DD4" w14:textId="77777777" w:rsidR="00FA7EBF" w:rsidRDefault="00FA7EBF">
            <w:pPr>
              <w:pStyle w:val="ARtabletextrightbold"/>
            </w:pPr>
            <w:r>
              <w:t>755</w:t>
            </w:r>
          </w:p>
        </w:tc>
        <w:tc>
          <w:tcPr>
            <w:tcW w:w="1247" w:type="dxa"/>
            <w:tcBorders>
              <w:top w:val="single" w:sz="4" w:space="0" w:color="auto"/>
              <w:left w:val="single" w:sz="4" w:space="0" w:color="FFFFFF"/>
              <w:bottom w:val="single" w:sz="4" w:space="0" w:color="auto"/>
              <w:right w:val="single" w:sz="4" w:space="0" w:color="FFFFFF"/>
            </w:tcBorders>
            <w:hideMark/>
          </w:tcPr>
          <w:p w14:paraId="6C6B7DEA" w14:textId="77777777" w:rsidR="00FA7EBF" w:rsidRDefault="00FA7EBF">
            <w:pPr>
              <w:pStyle w:val="ARtabletextrightbold"/>
            </w:pPr>
            <w:r>
              <w:t>58.6</w:t>
            </w:r>
          </w:p>
        </w:tc>
        <w:tc>
          <w:tcPr>
            <w:tcW w:w="1247" w:type="dxa"/>
            <w:tcBorders>
              <w:top w:val="single" w:sz="4" w:space="0" w:color="auto"/>
              <w:left w:val="single" w:sz="4" w:space="0" w:color="FFFFFF"/>
              <w:bottom w:val="single" w:sz="4" w:space="0" w:color="auto"/>
              <w:right w:val="single" w:sz="4" w:space="0" w:color="FFFFFF"/>
            </w:tcBorders>
            <w:hideMark/>
          </w:tcPr>
          <w:p w14:paraId="72CA7C9B" w14:textId="77777777" w:rsidR="00FA7EBF" w:rsidRDefault="00FA7EBF">
            <w:pPr>
              <w:pStyle w:val="ARtabletextrightbold"/>
            </w:pPr>
            <w:r>
              <w:t>1,262</w:t>
            </w:r>
          </w:p>
        </w:tc>
        <w:tc>
          <w:tcPr>
            <w:tcW w:w="1304" w:type="dxa"/>
            <w:tcBorders>
              <w:top w:val="single" w:sz="4" w:space="0" w:color="auto"/>
              <w:left w:val="single" w:sz="4" w:space="0" w:color="FFFFFF"/>
              <w:bottom w:val="single" w:sz="4" w:space="0" w:color="auto"/>
              <w:right w:val="single" w:sz="4" w:space="0" w:color="FFFFFF"/>
            </w:tcBorders>
            <w:hideMark/>
          </w:tcPr>
          <w:p w14:paraId="5D1B3739" w14:textId="77777777" w:rsidR="00FA7EBF" w:rsidRDefault="00FA7EBF">
            <w:pPr>
              <w:pStyle w:val="ARtabletextrightbold"/>
            </w:pPr>
            <w:r>
              <w:t>(5.1)</w:t>
            </w:r>
          </w:p>
        </w:tc>
        <w:tc>
          <w:tcPr>
            <w:tcW w:w="737" w:type="dxa"/>
            <w:tcBorders>
              <w:top w:val="single" w:sz="4" w:space="0" w:color="auto"/>
              <w:left w:val="single" w:sz="4" w:space="0" w:color="FFFFFF"/>
              <w:bottom w:val="single" w:sz="4" w:space="0" w:color="auto"/>
              <w:right w:val="single" w:sz="4" w:space="0" w:color="FFFFFF"/>
            </w:tcBorders>
          </w:tcPr>
          <w:p w14:paraId="78227BB7" w14:textId="77777777" w:rsidR="00FA7EBF" w:rsidRDefault="00FA7EBF">
            <w:pPr>
              <w:pStyle w:val="ARtabletextrightbold"/>
            </w:pPr>
          </w:p>
        </w:tc>
      </w:tr>
      <w:tr w:rsidR="00FA7EBF" w14:paraId="31FE0551" w14:textId="77777777" w:rsidTr="003075FD">
        <w:tc>
          <w:tcPr>
            <w:tcW w:w="9639" w:type="dxa"/>
            <w:gridSpan w:val="7"/>
            <w:tcBorders>
              <w:top w:val="single" w:sz="4" w:space="0" w:color="auto"/>
              <w:left w:val="single" w:sz="4" w:space="0" w:color="FFFFFF"/>
              <w:bottom w:val="single" w:sz="4" w:space="0" w:color="A6A6A6" w:themeColor="background1" w:themeShade="A6"/>
              <w:right w:val="single" w:sz="4" w:space="0" w:color="FFFFFF"/>
            </w:tcBorders>
            <w:hideMark/>
          </w:tcPr>
          <w:p w14:paraId="063B74D7" w14:textId="77777777" w:rsidR="00FA7EBF" w:rsidRDefault="00FA7EBF">
            <w:pPr>
              <w:pStyle w:val="ARtabletextbold"/>
            </w:pPr>
            <w:r>
              <w:t>Cash flows from investing activities</w:t>
            </w:r>
          </w:p>
        </w:tc>
      </w:tr>
      <w:tr w:rsidR="00FA7EBF" w14:paraId="280E4EE8" w14:textId="77777777" w:rsidTr="003075FD">
        <w:tc>
          <w:tcPr>
            <w:tcW w:w="2836"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91ECA84" w14:textId="77777777" w:rsidR="00FA7EBF" w:rsidRDefault="00FA7EBF">
            <w:pPr>
              <w:pStyle w:val="ARtabletext"/>
            </w:pPr>
            <w:r>
              <w:t>Net investment</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D4C1ED8" w14:textId="77777777" w:rsidR="00FA7EBF" w:rsidRDefault="00FA7EBF">
            <w:pPr>
              <w:pStyle w:val="ARtabletextright"/>
            </w:pPr>
            <w:r>
              <w:t>134</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C4805BB" w14:textId="77777777" w:rsidR="00FA7EBF" w:rsidRDefault="00FA7EBF">
            <w:pPr>
              <w:pStyle w:val="ARtabletextright"/>
            </w:pPr>
            <w:r>
              <w:t>266</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210B8CA" w14:textId="77777777" w:rsidR="00FA7EBF" w:rsidRDefault="00FA7EBF">
            <w:pPr>
              <w:pStyle w:val="ARtabletextright"/>
            </w:pPr>
            <w:r>
              <w:t>(49.6)</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68DFFC3" w14:textId="77777777" w:rsidR="00FA7EBF" w:rsidRDefault="00FA7EBF">
            <w:pPr>
              <w:pStyle w:val="ARtabletextright"/>
            </w:pPr>
            <w:r>
              <w:t>5</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099C8A2" w14:textId="77777777" w:rsidR="00FA7EBF" w:rsidRDefault="00FA7EBF">
            <w:pPr>
              <w:pStyle w:val="ARtabletextright"/>
            </w:pPr>
            <w:r>
              <w:t>–</w:t>
            </w:r>
          </w:p>
        </w:tc>
        <w:tc>
          <w:tcPr>
            <w:tcW w:w="7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6B2E52A" w14:textId="77777777" w:rsidR="00FA7EBF" w:rsidRDefault="00FA7EBF">
            <w:pPr>
              <w:pStyle w:val="ARtabletextrightbold"/>
            </w:pPr>
            <w:r>
              <w:t>2</w:t>
            </w:r>
          </w:p>
        </w:tc>
      </w:tr>
      <w:tr w:rsidR="00FA7EBF" w14:paraId="0A8ED58F" w14:textId="77777777" w:rsidTr="003075FD">
        <w:tc>
          <w:tcPr>
            <w:tcW w:w="2836"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7F5DB2B" w14:textId="77777777" w:rsidR="00FA7EBF" w:rsidRDefault="00FA7EBF">
            <w:pPr>
              <w:pStyle w:val="ARtabletext"/>
            </w:pPr>
            <w:r>
              <w:t>Payments for non-financial assets</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DE5E600" w14:textId="77777777" w:rsidR="00FA7EBF" w:rsidRDefault="00FA7EBF">
            <w:pPr>
              <w:pStyle w:val="ARtabletextright"/>
            </w:pPr>
            <w:r>
              <w:t>(1,200)</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7B55EA0" w14:textId="77777777" w:rsidR="00FA7EBF" w:rsidRDefault="00FA7EBF">
            <w:pPr>
              <w:pStyle w:val="ARtabletextright"/>
            </w:pPr>
            <w:r>
              <w:t>(819)</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3FBE4AF" w14:textId="77777777" w:rsidR="00FA7EBF" w:rsidRDefault="00FA7EBF">
            <w:pPr>
              <w:pStyle w:val="ARtabletextright"/>
            </w:pPr>
            <w:r>
              <w:t>46.5</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180EF22" w14:textId="77777777" w:rsidR="00FA7EBF" w:rsidRDefault="00FA7EBF">
            <w:pPr>
              <w:pStyle w:val="ARtabletextright"/>
            </w:pPr>
            <w:r>
              <w:t>(1,207)</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A62B1DC" w14:textId="77777777" w:rsidR="00FA7EBF" w:rsidRDefault="00FA7EBF">
            <w:pPr>
              <w:pStyle w:val="ARtabletextright"/>
            </w:pPr>
            <w:r>
              <w:t>(0.6)</w:t>
            </w:r>
          </w:p>
        </w:tc>
        <w:tc>
          <w:tcPr>
            <w:tcW w:w="7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774E1BD6" w14:textId="77777777" w:rsidR="00FA7EBF" w:rsidRDefault="00FA7EBF">
            <w:pPr>
              <w:pStyle w:val="ARtabletextrightbold"/>
            </w:pPr>
          </w:p>
        </w:tc>
      </w:tr>
      <w:tr w:rsidR="00FA7EBF" w14:paraId="75C16803" w14:textId="77777777" w:rsidTr="003075FD">
        <w:tc>
          <w:tcPr>
            <w:tcW w:w="2836"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4A38952" w14:textId="77777777" w:rsidR="00FA7EBF" w:rsidRDefault="00FA7EBF">
            <w:pPr>
              <w:pStyle w:val="ARtabletext"/>
            </w:pPr>
            <w:r>
              <w:t>Proceeds from sale of non-financial assets</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0D7D55F" w14:textId="77777777" w:rsidR="00FA7EBF" w:rsidRDefault="00FA7EBF">
            <w:pPr>
              <w:pStyle w:val="ARtabletextright"/>
            </w:pPr>
            <w:r>
              <w:t>29</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3217B65" w14:textId="77777777" w:rsidR="00FA7EBF" w:rsidRDefault="00FA7EBF">
            <w:pPr>
              <w:pStyle w:val="ARtabletextright"/>
            </w:pPr>
            <w:r>
              <w:t>3</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687C263" w14:textId="77777777" w:rsidR="00FA7EBF" w:rsidRDefault="00FA7EBF">
            <w:pPr>
              <w:pStyle w:val="ARtabletextright"/>
            </w:pPr>
            <w:r>
              <w:t>856.8</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1390AA2" w14:textId="77777777" w:rsidR="00FA7EBF" w:rsidRDefault="00FA7EBF">
            <w:pPr>
              <w:pStyle w:val="ARtabletextright"/>
            </w:pPr>
            <w:r>
              <w:t>3</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459CB4F" w14:textId="77777777" w:rsidR="00FA7EBF" w:rsidRDefault="00FA7EBF">
            <w:pPr>
              <w:pStyle w:val="ARtabletextright"/>
            </w:pPr>
            <w:r>
              <w:t>–</w:t>
            </w:r>
          </w:p>
        </w:tc>
        <w:tc>
          <w:tcPr>
            <w:tcW w:w="7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73D9633F" w14:textId="77777777" w:rsidR="00FA7EBF" w:rsidRDefault="00FA7EBF">
            <w:pPr>
              <w:pStyle w:val="ARtabletextrightbold"/>
            </w:pPr>
          </w:p>
        </w:tc>
      </w:tr>
      <w:tr w:rsidR="00FA7EBF" w14:paraId="21A3274C" w14:textId="77777777" w:rsidTr="003075FD">
        <w:tc>
          <w:tcPr>
            <w:tcW w:w="2836"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7C02C4F" w14:textId="77777777" w:rsidR="00FA7EBF" w:rsidRDefault="00FA7EBF">
            <w:pPr>
              <w:pStyle w:val="ARtabletext"/>
            </w:pPr>
            <w:r>
              <w:t>Net loans to other parties</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27097DC" w14:textId="77777777" w:rsidR="00FA7EBF" w:rsidRDefault="00FA7EBF">
            <w:pPr>
              <w:pStyle w:val="ARtabletextright"/>
            </w:pPr>
            <w:r>
              <w:t>2</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47E9F7F" w14:textId="77777777" w:rsidR="00FA7EBF" w:rsidRDefault="00FA7EBF">
            <w:pPr>
              <w:pStyle w:val="ARtabletextright"/>
            </w:pPr>
            <w:r>
              <w:t>1</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8B9BD67" w14:textId="77777777" w:rsidR="00FA7EBF" w:rsidRDefault="00FA7EBF">
            <w:pPr>
              <w:pStyle w:val="ARtabletextright"/>
            </w:pPr>
            <w:r>
              <w:t>100.0</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8A3F268" w14:textId="77777777" w:rsidR="00FA7EBF" w:rsidRDefault="00FA7EBF">
            <w:pPr>
              <w:pStyle w:val="ARtabletextright"/>
            </w:pPr>
            <w:r>
              <w:t>1</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4975F64" w14:textId="77777777" w:rsidR="00FA7EBF" w:rsidRDefault="00FA7EBF">
            <w:pPr>
              <w:pStyle w:val="ARtabletextright"/>
            </w:pPr>
            <w:r>
              <w:t>100.0</w:t>
            </w:r>
          </w:p>
        </w:tc>
        <w:tc>
          <w:tcPr>
            <w:tcW w:w="7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4E33507A" w14:textId="77777777" w:rsidR="00FA7EBF" w:rsidRDefault="00FA7EBF">
            <w:pPr>
              <w:pStyle w:val="ARtabletextrightbold"/>
            </w:pPr>
          </w:p>
        </w:tc>
      </w:tr>
      <w:tr w:rsidR="00FA7EBF" w14:paraId="694396E4" w14:textId="77777777" w:rsidTr="003075FD">
        <w:tc>
          <w:tcPr>
            <w:tcW w:w="2836" w:type="dxa"/>
            <w:tcBorders>
              <w:top w:val="single" w:sz="4" w:space="0" w:color="A6A6A6" w:themeColor="background1" w:themeShade="A6"/>
              <w:left w:val="single" w:sz="4" w:space="0" w:color="FFFFFF"/>
              <w:bottom w:val="single" w:sz="4" w:space="0" w:color="auto"/>
              <w:right w:val="single" w:sz="4" w:space="0" w:color="FFFFFF"/>
            </w:tcBorders>
            <w:hideMark/>
          </w:tcPr>
          <w:p w14:paraId="0B275352" w14:textId="77777777" w:rsidR="00FA7EBF" w:rsidRDefault="00FA7EBF">
            <w:pPr>
              <w:pStyle w:val="ARtabletext"/>
            </w:pPr>
            <w:r>
              <w:t>Net (purchase)/disposal of investments – policy purposes</w:t>
            </w:r>
          </w:p>
        </w:tc>
        <w:tc>
          <w:tcPr>
            <w:tcW w:w="1134" w:type="dxa"/>
            <w:tcBorders>
              <w:top w:val="single" w:sz="4" w:space="0" w:color="A6A6A6" w:themeColor="background1" w:themeShade="A6"/>
              <w:left w:val="single" w:sz="4" w:space="0" w:color="FFFFFF"/>
              <w:bottom w:val="single" w:sz="4" w:space="0" w:color="auto"/>
              <w:right w:val="single" w:sz="4" w:space="0" w:color="FFFFFF"/>
            </w:tcBorders>
            <w:hideMark/>
          </w:tcPr>
          <w:p w14:paraId="7EB439EA" w14:textId="77777777" w:rsidR="00FA7EBF" w:rsidRDefault="00FA7EBF">
            <w:pPr>
              <w:pStyle w:val="ARtabletextright"/>
            </w:pPr>
            <w:r>
              <w:t>0</w:t>
            </w:r>
          </w:p>
        </w:tc>
        <w:tc>
          <w:tcPr>
            <w:tcW w:w="1134" w:type="dxa"/>
            <w:tcBorders>
              <w:top w:val="single" w:sz="4" w:space="0" w:color="A6A6A6" w:themeColor="background1" w:themeShade="A6"/>
              <w:left w:val="single" w:sz="4" w:space="0" w:color="FFFFFF"/>
              <w:bottom w:val="single" w:sz="4" w:space="0" w:color="auto"/>
              <w:right w:val="single" w:sz="4" w:space="0" w:color="FFFFFF"/>
            </w:tcBorders>
            <w:hideMark/>
          </w:tcPr>
          <w:p w14:paraId="631ED0FF" w14:textId="77777777" w:rsidR="00FA7EBF" w:rsidRDefault="00FA7EBF">
            <w:pPr>
              <w:pStyle w:val="ARtabletextright"/>
            </w:pPr>
            <w:r>
              <w:t>–</w:t>
            </w:r>
          </w:p>
        </w:tc>
        <w:tc>
          <w:tcPr>
            <w:tcW w:w="1247" w:type="dxa"/>
            <w:tcBorders>
              <w:top w:val="single" w:sz="4" w:space="0" w:color="A6A6A6" w:themeColor="background1" w:themeShade="A6"/>
              <w:left w:val="single" w:sz="4" w:space="0" w:color="FFFFFF"/>
              <w:bottom w:val="single" w:sz="4" w:space="0" w:color="auto"/>
              <w:right w:val="single" w:sz="4" w:space="0" w:color="FFFFFF"/>
            </w:tcBorders>
            <w:hideMark/>
          </w:tcPr>
          <w:p w14:paraId="3044C4BE" w14:textId="77777777" w:rsidR="00FA7EBF" w:rsidRDefault="00FA7EBF">
            <w:pPr>
              <w:pStyle w:val="ARtabletextright"/>
            </w:pPr>
            <w:r>
              <w:t>–</w:t>
            </w:r>
          </w:p>
        </w:tc>
        <w:tc>
          <w:tcPr>
            <w:tcW w:w="1247" w:type="dxa"/>
            <w:tcBorders>
              <w:top w:val="single" w:sz="4" w:space="0" w:color="A6A6A6" w:themeColor="background1" w:themeShade="A6"/>
              <w:left w:val="single" w:sz="4" w:space="0" w:color="FFFFFF"/>
              <w:bottom w:val="single" w:sz="4" w:space="0" w:color="auto"/>
              <w:right w:val="single" w:sz="4" w:space="0" w:color="FFFFFF"/>
            </w:tcBorders>
            <w:hideMark/>
          </w:tcPr>
          <w:p w14:paraId="593C7B66" w14:textId="77777777" w:rsidR="00FA7EBF" w:rsidRDefault="00FA7EBF">
            <w:pPr>
              <w:pStyle w:val="ARtabletextright"/>
            </w:pPr>
            <w:r>
              <w:t>–</w:t>
            </w:r>
          </w:p>
        </w:tc>
        <w:tc>
          <w:tcPr>
            <w:tcW w:w="1304" w:type="dxa"/>
            <w:tcBorders>
              <w:top w:val="single" w:sz="4" w:space="0" w:color="A6A6A6" w:themeColor="background1" w:themeShade="A6"/>
              <w:left w:val="single" w:sz="4" w:space="0" w:color="FFFFFF"/>
              <w:bottom w:val="single" w:sz="4" w:space="0" w:color="auto"/>
              <w:right w:val="single" w:sz="4" w:space="0" w:color="FFFFFF"/>
            </w:tcBorders>
            <w:hideMark/>
          </w:tcPr>
          <w:p w14:paraId="0056D1C0" w14:textId="77777777" w:rsidR="00FA7EBF" w:rsidRDefault="00FA7EBF">
            <w:pPr>
              <w:pStyle w:val="ARtabletextright"/>
            </w:pPr>
            <w:r>
              <w:t>–</w:t>
            </w:r>
          </w:p>
        </w:tc>
        <w:tc>
          <w:tcPr>
            <w:tcW w:w="737" w:type="dxa"/>
            <w:tcBorders>
              <w:top w:val="single" w:sz="4" w:space="0" w:color="A6A6A6" w:themeColor="background1" w:themeShade="A6"/>
              <w:left w:val="single" w:sz="4" w:space="0" w:color="FFFFFF"/>
              <w:bottom w:val="single" w:sz="4" w:space="0" w:color="auto"/>
              <w:right w:val="single" w:sz="4" w:space="0" w:color="FFFFFF"/>
            </w:tcBorders>
          </w:tcPr>
          <w:p w14:paraId="1DB95020" w14:textId="77777777" w:rsidR="00FA7EBF" w:rsidRDefault="00FA7EBF">
            <w:pPr>
              <w:pStyle w:val="ARtabletextrightbold"/>
            </w:pPr>
          </w:p>
        </w:tc>
      </w:tr>
      <w:tr w:rsidR="00FA7EBF" w14:paraId="39CEBFFD" w14:textId="77777777" w:rsidTr="003075FD">
        <w:tc>
          <w:tcPr>
            <w:tcW w:w="2836" w:type="dxa"/>
            <w:tcBorders>
              <w:top w:val="single" w:sz="4" w:space="0" w:color="auto"/>
              <w:left w:val="single" w:sz="4" w:space="0" w:color="FFFFFF"/>
              <w:bottom w:val="single" w:sz="4" w:space="0" w:color="auto"/>
              <w:right w:val="single" w:sz="4" w:space="0" w:color="FFFFFF"/>
            </w:tcBorders>
            <w:hideMark/>
          </w:tcPr>
          <w:p w14:paraId="6100AB0D" w14:textId="77777777" w:rsidR="00FA7EBF" w:rsidRDefault="00FA7EBF">
            <w:pPr>
              <w:pStyle w:val="ARtabletextbold"/>
            </w:pPr>
            <w:r>
              <w:t>Net cash flows from/(used in) investing activities</w:t>
            </w:r>
          </w:p>
        </w:tc>
        <w:tc>
          <w:tcPr>
            <w:tcW w:w="1134" w:type="dxa"/>
            <w:tcBorders>
              <w:top w:val="single" w:sz="4" w:space="0" w:color="auto"/>
              <w:left w:val="single" w:sz="4" w:space="0" w:color="FFFFFF"/>
              <w:bottom w:val="single" w:sz="4" w:space="0" w:color="auto"/>
              <w:right w:val="single" w:sz="4" w:space="0" w:color="FFFFFF"/>
            </w:tcBorders>
            <w:hideMark/>
          </w:tcPr>
          <w:p w14:paraId="71AF0615" w14:textId="77777777" w:rsidR="00FA7EBF" w:rsidRDefault="00FA7EBF">
            <w:pPr>
              <w:pStyle w:val="ARtabletextrightbold"/>
            </w:pPr>
            <w:r>
              <w:t>(1,034)</w:t>
            </w:r>
          </w:p>
        </w:tc>
        <w:tc>
          <w:tcPr>
            <w:tcW w:w="1134" w:type="dxa"/>
            <w:tcBorders>
              <w:top w:val="single" w:sz="4" w:space="0" w:color="auto"/>
              <w:left w:val="single" w:sz="4" w:space="0" w:color="FFFFFF"/>
              <w:bottom w:val="single" w:sz="4" w:space="0" w:color="auto"/>
              <w:right w:val="single" w:sz="4" w:space="0" w:color="FFFFFF"/>
            </w:tcBorders>
            <w:hideMark/>
          </w:tcPr>
          <w:p w14:paraId="62895734" w14:textId="77777777" w:rsidR="00FA7EBF" w:rsidRDefault="00FA7EBF">
            <w:pPr>
              <w:pStyle w:val="ARtabletextrightbold"/>
            </w:pPr>
            <w:r>
              <w:t>(550)</w:t>
            </w:r>
          </w:p>
        </w:tc>
        <w:tc>
          <w:tcPr>
            <w:tcW w:w="1247" w:type="dxa"/>
            <w:tcBorders>
              <w:top w:val="single" w:sz="4" w:space="0" w:color="auto"/>
              <w:left w:val="single" w:sz="4" w:space="0" w:color="FFFFFF"/>
              <w:bottom w:val="single" w:sz="4" w:space="0" w:color="auto"/>
              <w:right w:val="single" w:sz="4" w:space="0" w:color="FFFFFF"/>
            </w:tcBorders>
            <w:hideMark/>
          </w:tcPr>
          <w:p w14:paraId="49E33E3B" w14:textId="77777777" w:rsidR="00FA7EBF" w:rsidRDefault="00FA7EBF">
            <w:pPr>
              <w:pStyle w:val="ARtabletextrightbold"/>
            </w:pPr>
            <w:r>
              <w:t>88.1</w:t>
            </w:r>
          </w:p>
        </w:tc>
        <w:tc>
          <w:tcPr>
            <w:tcW w:w="1247" w:type="dxa"/>
            <w:tcBorders>
              <w:top w:val="single" w:sz="4" w:space="0" w:color="auto"/>
              <w:left w:val="single" w:sz="4" w:space="0" w:color="FFFFFF"/>
              <w:bottom w:val="single" w:sz="4" w:space="0" w:color="auto"/>
              <w:right w:val="single" w:sz="4" w:space="0" w:color="FFFFFF"/>
            </w:tcBorders>
            <w:hideMark/>
          </w:tcPr>
          <w:p w14:paraId="2DD73D32" w14:textId="77777777" w:rsidR="00FA7EBF" w:rsidRDefault="00FA7EBF">
            <w:pPr>
              <w:pStyle w:val="ARtabletextrightbold"/>
            </w:pPr>
            <w:r>
              <w:t>(1,197)</w:t>
            </w:r>
          </w:p>
        </w:tc>
        <w:tc>
          <w:tcPr>
            <w:tcW w:w="1304" w:type="dxa"/>
            <w:tcBorders>
              <w:top w:val="single" w:sz="4" w:space="0" w:color="auto"/>
              <w:left w:val="single" w:sz="4" w:space="0" w:color="FFFFFF"/>
              <w:bottom w:val="single" w:sz="4" w:space="0" w:color="auto"/>
              <w:right w:val="single" w:sz="4" w:space="0" w:color="FFFFFF"/>
            </w:tcBorders>
            <w:hideMark/>
          </w:tcPr>
          <w:p w14:paraId="35535FE3" w14:textId="77777777" w:rsidR="00FA7EBF" w:rsidRDefault="00FA7EBF">
            <w:pPr>
              <w:pStyle w:val="ARtabletextrightbold"/>
            </w:pPr>
            <w:r>
              <w:t>(13.6)</w:t>
            </w:r>
          </w:p>
        </w:tc>
        <w:tc>
          <w:tcPr>
            <w:tcW w:w="737" w:type="dxa"/>
            <w:tcBorders>
              <w:top w:val="single" w:sz="4" w:space="0" w:color="auto"/>
              <w:left w:val="single" w:sz="4" w:space="0" w:color="FFFFFF"/>
              <w:bottom w:val="single" w:sz="4" w:space="0" w:color="auto"/>
              <w:right w:val="single" w:sz="4" w:space="0" w:color="FFFFFF"/>
            </w:tcBorders>
          </w:tcPr>
          <w:p w14:paraId="5A924E32" w14:textId="77777777" w:rsidR="00FA7EBF" w:rsidRDefault="00FA7EBF">
            <w:pPr>
              <w:pStyle w:val="ARtabletextrightbold"/>
            </w:pPr>
          </w:p>
        </w:tc>
      </w:tr>
      <w:tr w:rsidR="00FA7EBF" w14:paraId="09542E6C" w14:textId="77777777" w:rsidTr="003075FD">
        <w:tc>
          <w:tcPr>
            <w:tcW w:w="9639" w:type="dxa"/>
            <w:gridSpan w:val="7"/>
            <w:tcBorders>
              <w:top w:val="single" w:sz="4" w:space="0" w:color="auto"/>
              <w:left w:val="single" w:sz="4" w:space="0" w:color="FFFFFF"/>
              <w:bottom w:val="single" w:sz="4" w:space="0" w:color="A6A6A6" w:themeColor="background1" w:themeShade="A6"/>
              <w:right w:val="single" w:sz="4" w:space="0" w:color="FFFFFF"/>
            </w:tcBorders>
            <w:hideMark/>
          </w:tcPr>
          <w:p w14:paraId="4BA80EFF" w14:textId="77777777" w:rsidR="00FA7EBF" w:rsidRDefault="00FA7EBF">
            <w:pPr>
              <w:pStyle w:val="ARtabletextbold"/>
              <w:pageBreakBefore/>
            </w:pPr>
            <w:r>
              <w:t>Cash flows from financing activities</w:t>
            </w:r>
          </w:p>
        </w:tc>
      </w:tr>
      <w:tr w:rsidR="00FA7EBF" w14:paraId="51B550A0" w14:textId="77777777" w:rsidTr="003075FD">
        <w:tc>
          <w:tcPr>
            <w:tcW w:w="2836"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D859A48" w14:textId="77777777" w:rsidR="00FA7EBF" w:rsidRDefault="00FA7EBF">
            <w:pPr>
              <w:pStyle w:val="ARtabletext"/>
            </w:pPr>
            <w:r>
              <w:t>Owner contributions by state government</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97CAD14" w14:textId="77777777" w:rsidR="00FA7EBF" w:rsidRDefault="00FA7EBF">
            <w:pPr>
              <w:pStyle w:val="ARtabletextright"/>
            </w:pPr>
            <w:r>
              <w:t>26</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F08818E" w14:textId="77777777" w:rsidR="00FA7EBF" w:rsidRDefault="00FA7EBF">
            <w:pPr>
              <w:pStyle w:val="ARtabletextright"/>
            </w:pPr>
            <w:r>
              <w:t>166</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45EDB48" w14:textId="77777777" w:rsidR="00FA7EBF" w:rsidRDefault="00FA7EBF">
            <w:pPr>
              <w:pStyle w:val="ARtabletextright"/>
            </w:pPr>
            <w:r>
              <w:t>(84.4)</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60F49EC" w14:textId="77777777" w:rsidR="00FA7EBF" w:rsidRDefault="00FA7EBF">
            <w:pPr>
              <w:pStyle w:val="ARtabletextright"/>
            </w:pPr>
            <w:r>
              <w:t>168</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393CABD" w14:textId="77777777" w:rsidR="00FA7EBF" w:rsidRDefault="00FA7EBF">
            <w:pPr>
              <w:pStyle w:val="ARtabletextright"/>
            </w:pPr>
            <w:r>
              <w:t>(84.6)</w:t>
            </w:r>
          </w:p>
        </w:tc>
        <w:tc>
          <w:tcPr>
            <w:tcW w:w="7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7D56CA1" w14:textId="77777777" w:rsidR="00FA7EBF" w:rsidRDefault="00FA7EBF">
            <w:pPr>
              <w:pStyle w:val="ARtabletextrightbold"/>
            </w:pPr>
            <w:r>
              <w:t>3</w:t>
            </w:r>
          </w:p>
        </w:tc>
      </w:tr>
      <w:tr w:rsidR="00FA7EBF" w14:paraId="438B3C23" w14:textId="77777777" w:rsidTr="003075FD">
        <w:tc>
          <w:tcPr>
            <w:tcW w:w="2836"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3E2F8F2" w14:textId="77777777" w:rsidR="00FA7EBF" w:rsidRDefault="00FA7EBF">
            <w:pPr>
              <w:pStyle w:val="ARtabletext"/>
            </w:pPr>
            <w:r>
              <w:t>Repayment of leases and service concession liabilities</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5752831" w14:textId="77777777" w:rsidR="00FA7EBF" w:rsidRDefault="00FA7EBF">
            <w:pPr>
              <w:pStyle w:val="ARtabletextright"/>
            </w:pPr>
            <w:r>
              <w:t>(80)</w:t>
            </w:r>
          </w:p>
        </w:tc>
        <w:tc>
          <w:tcPr>
            <w:tcW w:w="113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A93B632" w14:textId="77777777" w:rsidR="00FA7EBF" w:rsidRDefault="00FA7EBF">
            <w:pPr>
              <w:pStyle w:val="ARtabletextright"/>
            </w:pPr>
            <w:r>
              <w:t>(105)</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FC16033" w14:textId="77777777" w:rsidR="00FA7EBF" w:rsidRDefault="00FA7EBF">
            <w:pPr>
              <w:pStyle w:val="ARtabletextright"/>
            </w:pPr>
            <w:r>
              <w:t>(23.6)</w:t>
            </w:r>
          </w:p>
        </w:tc>
        <w:tc>
          <w:tcPr>
            <w:tcW w:w="124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8945BAC" w14:textId="77777777" w:rsidR="00FA7EBF" w:rsidRDefault="00FA7EBF">
            <w:pPr>
              <w:pStyle w:val="ARtabletextright"/>
            </w:pPr>
            <w:r>
              <w:t>(106)</w:t>
            </w:r>
          </w:p>
        </w:tc>
        <w:tc>
          <w:tcPr>
            <w:tcW w:w="1304"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E8D9279" w14:textId="77777777" w:rsidR="00FA7EBF" w:rsidRDefault="00FA7EBF">
            <w:pPr>
              <w:pStyle w:val="ARtabletextright"/>
            </w:pPr>
            <w:r>
              <w:t>(24.3)</w:t>
            </w:r>
          </w:p>
        </w:tc>
        <w:tc>
          <w:tcPr>
            <w:tcW w:w="7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7839269D" w14:textId="77777777" w:rsidR="00FA7EBF" w:rsidRDefault="00FA7EBF">
            <w:pPr>
              <w:pStyle w:val="ARtabletextrightbold"/>
            </w:pPr>
          </w:p>
        </w:tc>
      </w:tr>
      <w:tr w:rsidR="00FA7EBF" w14:paraId="1C3B2184" w14:textId="77777777" w:rsidTr="003075FD">
        <w:tc>
          <w:tcPr>
            <w:tcW w:w="2836" w:type="dxa"/>
            <w:tcBorders>
              <w:top w:val="single" w:sz="4" w:space="0" w:color="A6A6A6" w:themeColor="background1" w:themeShade="A6"/>
              <w:left w:val="single" w:sz="4" w:space="0" w:color="FFFFFF"/>
              <w:bottom w:val="single" w:sz="4" w:space="0" w:color="auto"/>
              <w:right w:val="single" w:sz="4" w:space="0" w:color="FFFFFF"/>
            </w:tcBorders>
            <w:hideMark/>
          </w:tcPr>
          <w:p w14:paraId="4F8EE228" w14:textId="77777777" w:rsidR="00FA7EBF" w:rsidRDefault="00FA7EBF">
            <w:pPr>
              <w:pStyle w:val="ARtabletext"/>
            </w:pPr>
            <w:r>
              <w:t>Net borrowings</w:t>
            </w:r>
          </w:p>
        </w:tc>
        <w:tc>
          <w:tcPr>
            <w:tcW w:w="1134" w:type="dxa"/>
            <w:tcBorders>
              <w:top w:val="single" w:sz="4" w:space="0" w:color="A6A6A6" w:themeColor="background1" w:themeShade="A6"/>
              <w:left w:val="single" w:sz="4" w:space="0" w:color="FFFFFF"/>
              <w:bottom w:val="single" w:sz="4" w:space="0" w:color="auto"/>
              <w:right w:val="single" w:sz="4" w:space="0" w:color="FFFFFF"/>
            </w:tcBorders>
            <w:hideMark/>
          </w:tcPr>
          <w:p w14:paraId="3786F166" w14:textId="77777777" w:rsidR="00FA7EBF" w:rsidRDefault="00FA7EBF">
            <w:pPr>
              <w:pStyle w:val="ARtabletextright"/>
            </w:pPr>
            <w:r>
              <w:t>64</w:t>
            </w:r>
          </w:p>
        </w:tc>
        <w:tc>
          <w:tcPr>
            <w:tcW w:w="1134" w:type="dxa"/>
            <w:tcBorders>
              <w:top w:val="single" w:sz="4" w:space="0" w:color="A6A6A6" w:themeColor="background1" w:themeShade="A6"/>
              <w:left w:val="single" w:sz="4" w:space="0" w:color="FFFFFF"/>
              <w:bottom w:val="single" w:sz="4" w:space="0" w:color="auto"/>
              <w:right w:val="single" w:sz="4" w:space="0" w:color="FFFFFF"/>
            </w:tcBorders>
            <w:hideMark/>
          </w:tcPr>
          <w:p w14:paraId="4EE799DD" w14:textId="77777777" w:rsidR="00FA7EBF" w:rsidRDefault="00FA7EBF">
            <w:pPr>
              <w:pStyle w:val="ARtabletextright"/>
            </w:pPr>
            <w:r>
              <w:t>(17)</w:t>
            </w:r>
          </w:p>
        </w:tc>
        <w:tc>
          <w:tcPr>
            <w:tcW w:w="1247" w:type="dxa"/>
            <w:tcBorders>
              <w:top w:val="single" w:sz="4" w:space="0" w:color="A6A6A6" w:themeColor="background1" w:themeShade="A6"/>
              <w:left w:val="single" w:sz="4" w:space="0" w:color="FFFFFF"/>
              <w:bottom w:val="single" w:sz="4" w:space="0" w:color="auto"/>
              <w:right w:val="single" w:sz="4" w:space="0" w:color="FFFFFF"/>
            </w:tcBorders>
            <w:hideMark/>
          </w:tcPr>
          <w:p w14:paraId="26069BE3" w14:textId="77777777" w:rsidR="00FA7EBF" w:rsidRDefault="00FA7EBF">
            <w:pPr>
              <w:pStyle w:val="ARtabletextright"/>
            </w:pPr>
            <w:r>
              <w:t>(477.2)</w:t>
            </w:r>
          </w:p>
        </w:tc>
        <w:tc>
          <w:tcPr>
            <w:tcW w:w="1247" w:type="dxa"/>
            <w:tcBorders>
              <w:top w:val="single" w:sz="4" w:space="0" w:color="A6A6A6" w:themeColor="background1" w:themeShade="A6"/>
              <w:left w:val="single" w:sz="4" w:space="0" w:color="FFFFFF"/>
              <w:bottom w:val="single" w:sz="4" w:space="0" w:color="auto"/>
              <w:right w:val="single" w:sz="4" w:space="0" w:color="FFFFFF"/>
            </w:tcBorders>
            <w:hideMark/>
          </w:tcPr>
          <w:p w14:paraId="66971CD1" w14:textId="77777777" w:rsidR="00FA7EBF" w:rsidRDefault="00FA7EBF">
            <w:pPr>
              <w:pStyle w:val="ARtabletextright"/>
            </w:pPr>
            <w:r>
              <w:t>(5)</w:t>
            </w:r>
          </w:p>
        </w:tc>
        <w:tc>
          <w:tcPr>
            <w:tcW w:w="1304" w:type="dxa"/>
            <w:tcBorders>
              <w:top w:val="single" w:sz="4" w:space="0" w:color="A6A6A6" w:themeColor="background1" w:themeShade="A6"/>
              <w:left w:val="single" w:sz="4" w:space="0" w:color="FFFFFF"/>
              <w:bottom w:val="single" w:sz="4" w:space="0" w:color="auto"/>
              <w:right w:val="single" w:sz="4" w:space="0" w:color="FFFFFF"/>
            </w:tcBorders>
            <w:hideMark/>
          </w:tcPr>
          <w:p w14:paraId="4E397775" w14:textId="77777777" w:rsidR="00FA7EBF" w:rsidRDefault="00FA7EBF">
            <w:pPr>
              <w:pStyle w:val="ARtabletextright"/>
            </w:pPr>
            <w:r>
              <w:t>(1,382.6)</w:t>
            </w:r>
          </w:p>
        </w:tc>
        <w:tc>
          <w:tcPr>
            <w:tcW w:w="737" w:type="dxa"/>
            <w:tcBorders>
              <w:top w:val="single" w:sz="4" w:space="0" w:color="A6A6A6" w:themeColor="background1" w:themeShade="A6"/>
              <w:left w:val="single" w:sz="4" w:space="0" w:color="FFFFFF"/>
              <w:bottom w:val="single" w:sz="4" w:space="0" w:color="auto"/>
              <w:right w:val="single" w:sz="4" w:space="0" w:color="FFFFFF"/>
            </w:tcBorders>
          </w:tcPr>
          <w:p w14:paraId="0DA8B52C" w14:textId="77777777" w:rsidR="00FA7EBF" w:rsidRDefault="00FA7EBF">
            <w:pPr>
              <w:pStyle w:val="ARtabletextrightbold"/>
            </w:pPr>
          </w:p>
        </w:tc>
      </w:tr>
      <w:tr w:rsidR="00FA7EBF" w14:paraId="5EAF67D3" w14:textId="77777777" w:rsidTr="003075FD">
        <w:tc>
          <w:tcPr>
            <w:tcW w:w="2836" w:type="dxa"/>
            <w:tcBorders>
              <w:top w:val="single" w:sz="4" w:space="0" w:color="auto"/>
              <w:left w:val="single" w:sz="4" w:space="0" w:color="FFFFFF"/>
              <w:bottom w:val="single" w:sz="4" w:space="0" w:color="auto"/>
              <w:right w:val="single" w:sz="4" w:space="0" w:color="FFFFFF"/>
            </w:tcBorders>
            <w:hideMark/>
          </w:tcPr>
          <w:p w14:paraId="23819833" w14:textId="77777777" w:rsidR="00FA7EBF" w:rsidRDefault="00FA7EBF">
            <w:pPr>
              <w:pStyle w:val="ARtabletextbold"/>
            </w:pPr>
            <w:r>
              <w:t>Net cash flows from/(used in) financing activities</w:t>
            </w:r>
          </w:p>
        </w:tc>
        <w:tc>
          <w:tcPr>
            <w:tcW w:w="1134" w:type="dxa"/>
            <w:tcBorders>
              <w:top w:val="single" w:sz="4" w:space="0" w:color="auto"/>
              <w:left w:val="single" w:sz="4" w:space="0" w:color="FFFFFF"/>
              <w:bottom w:val="single" w:sz="4" w:space="0" w:color="auto"/>
              <w:right w:val="single" w:sz="4" w:space="0" w:color="FFFFFF"/>
            </w:tcBorders>
            <w:hideMark/>
          </w:tcPr>
          <w:p w14:paraId="3DB8AECD" w14:textId="77777777" w:rsidR="00FA7EBF" w:rsidRDefault="00FA7EBF">
            <w:pPr>
              <w:pStyle w:val="ARtabletextrightbold"/>
            </w:pPr>
            <w:r>
              <w:t>10</w:t>
            </w:r>
          </w:p>
        </w:tc>
        <w:tc>
          <w:tcPr>
            <w:tcW w:w="1134" w:type="dxa"/>
            <w:tcBorders>
              <w:top w:val="single" w:sz="4" w:space="0" w:color="auto"/>
              <w:left w:val="single" w:sz="4" w:space="0" w:color="FFFFFF"/>
              <w:bottom w:val="single" w:sz="4" w:space="0" w:color="auto"/>
              <w:right w:val="single" w:sz="4" w:space="0" w:color="FFFFFF"/>
            </w:tcBorders>
            <w:hideMark/>
          </w:tcPr>
          <w:p w14:paraId="7116B2E1" w14:textId="77777777" w:rsidR="00FA7EBF" w:rsidRDefault="00FA7EBF">
            <w:pPr>
              <w:pStyle w:val="ARtabletextrightbold"/>
            </w:pPr>
            <w:r>
              <w:t>44</w:t>
            </w:r>
          </w:p>
        </w:tc>
        <w:tc>
          <w:tcPr>
            <w:tcW w:w="1247" w:type="dxa"/>
            <w:tcBorders>
              <w:top w:val="single" w:sz="4" w:space="0" w:color="auto"/>
              <w:left w:val="single" w:sz="4" w:space="0" w:color="FFFFFF"/>
              <w:bottom w:val="single" w:sz="4" w:space="0" w:color="auto"/>
              <w:right w:val="single" w:sz="4" w:space="0" w:color="FFFFFF"/>
            </w:tcBorders>
            <w:hideMark/>
          </w:tcPr>
          <w:p w14:paraId="0ED95BBA" w14:textId="77777777" w:rsidR="00FA7EBF" w:rsidRDefault="00FA7EBF">
            <w:pPr>
              <w:pStyle w:val="ARtabletextrightbold"/>
            </w:pPr>
            <w:r>
              <w:t>(77.7)</w:t>
            </w:r>
          </w:p>
        </w:tc>
        <w:tc>
          <w:tcPr>
            <w:tcW w:w="1247" w:type="dxa"/>
            <w:tcBorders>
              <w:top w:val="single" w:sz="4" w:space="0" w:color="auto"/>
              <w:left w:val="single" w:sz="4" w:space="0" w:color="FFFFFF"/>
              <w:bottom w:val="single" w:sz="4" w:space="0" w:color="auto"/>
              <w:right w:val="single" w:sz="4" w:space="0" w:color="FFFFFF"/>
            </w:tcBorders>
            <w:hideMark/>
          </w:tcPr>
          <w:p w14:paraId="43A096F5" w14:textId="77777777" w:rsidR="00FA7EBF" w:rsidRDefault="00FA7EBF">
            <w:pPr>
              <w:pStyle w:val="ARtabletextrightbold"/>
            </w:pPr>
            <w:r>
              <w:t>57</w:t>
            </w:r>
          </w:p>
        </w:tc>
        <w:tc>
          <w:tcPr>
            <w:tcW w:w="1304" w:type="dxa"/>
            <w:tcBorders>
              <w:top w:val="single" w:sz="4" w:space="0" w:color="auto"/>
              <w:left w:val="single" w:sz="4" w:space="0" w:color="FFFFFF"/>
              <w:bottom w:val="single" w:sz="4" w:space="0" w:color="auto"/>
              <w:right w:val="single" w:sz="4" w:space="0" w:color="FFFFFF"/>
            </w:tcBorders>
            <w:hideMark/>
          </w:tcPr>
          <w:p w14:paraId="02CC0B2D" w14:textId="77777777" w:rsidR="00FA7EBF" w:rsidRDefault="00FA7EBF">
            <w:pPr>
              <w:pStyle w:val="ARtabletextrightbold"/>
            </w:pPr>
            <w:r>
              <w:t>(82.8)</w:t>
            </w:r>
          </w:p>
        </w:tc>
        <w:tc>
          <w:tcPr>
            <w:tcW w:w="737" w:type="dxa"/>
            <w:tcBorders>
              <w:top w:val="single" w:sz="4" w:space="0" w:color="auto"/>
              <w:left w:val="single" w:sz="4" w:space="0" w:color="FFFFFF"/>
              <w:bottom w:val="single" w:sz="4" w:space="0" w:color="auto"/>
              <w:right w:val="single" w:sz="4" w:space="0" w:color="FFFFFF"/>
            </w:tcBorders>
          </w:tcPr>
          <w:p w14:paraId="68D56C7A" w14:textId="77777777" w:rsidR="00FA7EBF" w:rsidRDefault="00FA7EBF">
            <w:pPr>
              <w:pStyle w:val="ARtabletextrightbold"/>
            </w:pPr>
          </w:p>
        </w:tc>
      </w:tr>
      <w:tr w:rsidR="00FA7EBF" w14:paraId="4C31934E" w14:textId="77777777" w:rsidTr="003075FD">
        <w:tc>
          <w:tcPr>
            <w:tcW w:w="2836" w:type="dxa"/>
            <w:tcBorders>
              <w:top w:val="single" w:sz="4" w:space="0" w:color="auto"/>
              <w:left w:val="single" w:sz="4" w:space="0" w:color="FFFFFF"/>
              <w:bottom w:val="single" w:sz="4" w:space="0" w:color="auto"/>
              <w:right w:val="single" w:sz="4" w:space="0" w:color="FFFFFF"/>
            </w:tcBorders>
            <w:hideMark/>
          </w:tcPr>
          <w:p w14:paraId="0A2F02E4" w14:textId="77777777" w:rsidR="00FA7EBF" w:rsidRDefault="00FA7EBF">
            <w:pPr>
              <w:pStyle w:val="ARtabletextbold"/>
            </w:pPr>
            <w:r>
              <w:t>Net increase (decrease) in cash and cash equivalents</w:t>
            </w:r>
          </w:p>
        </w:tc>
        <w:tc>
          <w:tcPr>
            <w:tcW w:w="1134" w:type="dxa"/>
            <w:tcBorders>
              <w:top w:val="single" w:sz="4" w:space="0" w:color="auto"/>
              <w:left w:val="single" w:sz="4" w:space="0" w:color="FFFFFF"/>
              <w:bottom w:val="single" w:sz="4" w:space="0" w:color="auto"/>
              <w:right w:val="single" w:sz="4" w:space="0" w:color="FFFFFF"/>
            </w:tcBorders>
            <w:hideMark/>
          </w:tcPr>
          <w:p w14:paraId="488E9442" w14:textId="77777777" w:rsidR="00FA7EBF" w:rsidRDefault="00FA7EBF">
            <w:pPr>
              <w:pStyle w:val="ARtabletextrightbold"/>
            </w:pPr>
            <w:r>
              <w:t>173</w:t>
            </w:r>
          </w:p>
        </w:tc>
        <w:tc>
          <w:tcPr>
            <w:tcW w:w="1134" w:type="dxa"/>
            <w:tcBorders>
              <w:top w:val="single" w:sz="4" w:space="0" w:color="auto"/>
              <w:left w:val="single" w:sz="4" w:space="0" w:color="FFFFFF"/>
              <w:bottom w:val="single" w:sz="4" w:space="0" w:color="auto"/>
              <w:right w:val="single" w:sz="4" w:space="0" w:color="FFFFFF"/>
            </w:tcBorders>
            <w:hideMark/>
          </w:tcPr>
          <w:p w14:paraId="20DA80FE" w14:textId="77777777" w:rsidR="00FA7EBF" w:rsidRDefault="00FA7EBF">
            <w:pPr>
              <w:pStyle w:val="ARtabletextrightbold"/>
            </w:pPr>
            <w:r>
              <w:t>249</w:t>
            </w:r>
          </w:p>
        </w:tc>
        <w:tc>
          <w:tcPr>
            <w:tcW w:w="1247" w:type="dxa"/>
            <w:tcBorders>
              <w:top w:val="single" w:sz="4" w:space="0" w:color="auto"/>
              <w:left w:val="single" w:sz="4" w:space="0" w:color="FFFFFF"/>
              <w:bottom w:val="single" w:sz="4" w:space="0" w:color="auto"/>
              <w:right w:val="single" w:sz="4" w:space="0" w:color="FFFFFF"/>
            </w:tcBorders>
            <w:hideMark/>
          </w:tcPr>
          <w:p w14:paraId="79936204" w14:textId="77777777" w:rsidR="00FA7EBF" w:rsidRDefault="00FA7EBF">
            <w:pPr>
              <w:pStyle w:val="ARtabletextrightbold"/>
            </w:pPr>
            <w:r>
              <w:t>(30.5)</w:t>
            </w:r>
          </w:p>
        </w:tc>
        <w:tc>
          <w:tcPr>
            <w:tcW w:w="1247" w:type="dxa"/>
            <w:tcBorders>
              <w:top w:val="single" w:sz="4" w:space="0" w:color="auto"/>
              <w:left w:val="single" w:sz="4" w:space="0" w:color="FFFFFF"/>
              <w:bottom w:val="single" w:sz="4" w:space="0" w:color="auto"/>
              <w:right w:val="single" w:sz="4" w:space="0" w:color="FFFFFF"/>
            </w:tcBorders>
            <w:hideMark/>
          </w:tcPr>
          <w:p w14:paraId="26243A2D" w14:textId="77777777" w:rsidR="00FA7EBF" w:rsidRDefault="00FA7EBF">
            <w:pPr>
              <w:pStyle w:val="ARtabletextrightbold"/>
            </w:pPr>
            <w:r>
              <w:t>122</w:t>
            </w:r>
          </w:p>
        </w:tc>
        <w:tc>
          <w:tcPr>
            <w:tcW w:w="1304" w:type="dxa"/>
            <w:tcBorders>
              <w:top w:val="single" w:sz="4" w:space="0" w:color="auto"/>
              <w:left w:val="single" w:sz="4" w:space="0" w:color="FFFFFF"/>
              <w:bottom w:val="single" w:sz="4" w:space="0" w:color="auto"/>
              <w:right w:val="single" w:sz="4" w:space="0" w:color="FFFFFF"/>
            </w:tcBorders>
            <w:hideMark/>
          </w:tcPr>
          <w:p w14:paraId="56D89A9A" w14:textId="77777777" w:rsidR="00FA7EBF" w:rsidRDefault="00FA7EBF">
            <w:pPr>
              <w:pStyle w:val="ARtabletextrightbold"/>
            </w:pPr>
            <w:r>
              <w:t>41.8</w:t>
            </w:r>
          </w:p>
        </w:tc>
        <w:tc>
          <w:tcPr>
            <w:tcW w:w="737" w:type="dxa"/>
            <w:tcBorders>
              <w:top w:val="single" w:sz="4" w:space="0" w:color="auto"/>
              <w:left w:val="single" w:sz="4" w:space="0" w:color="FFFFFF"/>
              <w:bottom w:val="single" w:sz="4" w:space="0" w:color="auto"/>
              <w:right w:val="single" w:sz="4" w:space="0" w:color="FFFFFF"/>
            </w:tcBorders>
          </w:tcPr>
          <w:p w14:paraId="4EAFE002" w14:textId="77777777" w:rsidR="00FA7EBF" w:rsidRDefault="00FA7EBF">
            <w:pPr>
              <w:pStyle w:val="ARtabletextrightbold"/>
            </w:pPr>
          </w:p>
        </w:tc>
      </w:tr>
      <w:tr w:rsidR="00FA7EBF" w14:paraId="27D45740" w14:textId="77777777" w:rsidTr="003075FD">
        <w:tc>
          <w:tcPr>
            <w:tcW w:w="2836" w:type="dxa"/>
            <w:tcBorders>
              <w:top w:val="single" w:sz="4" w:space="0" w:color="auto"/>
              <w:left w:val="single" w:sz="4" w:space="0" w:color="FFFFFF"/>
              <w:bottom w:val="single" w:sz="4" w:space="0" w:color="auto"/>
              <w:right w:val="single" w:sz="4" w:space="0" w:color="FFFFFF"/>
            </w:tcBorders>
            <w:hideMark/>
          </w:tcPr>
          <w:p w14:paraId="24ECE45D" w14:textId="77777777" w:rsidR="00FA7EBF" w:rsidRDefault="00FA7EBF">
            <w:pPr>
              <w:pStyle w:val="ARtabletext"/>
            </w:pPr>
            <w:r>
              <w:t>Cash and cash equivalents at the beginning of the financial year</w:t>
            </w:r>
          </w:p>
        </w:tc>
        <w:tc>
          <w:tcPr>
            <w:tcW w:w="1134" w:type="dxa"/>
            <w:tcBorders>
              <w:top w:val="single" w:sz="4" w:space="0" w:color="auto"/>
              <w:left w:val="single" w:sz="4" w:space="0" w:color="FFFFFF"/>
              <w:bottom w:val="single" w:sz="4" w:space="0" w:color="auto"/>
              <w:right w:val="single" w:sz="4" w:space="0" w:color="FFFFFF"/>
            </w:tcBorders>
            <w:hideMark/>
          </w:tcPr>
          <w:p w14:paraId="2F019323" w14:textId="77777777" w:rsidR="00FA7EBF" w:rsidRDefault="00FA7EBF">
            <w:pPr>
              <w:pStyle w:val="ARtabletextright"/>
            </w:pPr>
            <w:r>
              <w:t>1,796</w:t>
            </w:r>
          </w:p>
        </w:tc>
        <w:tc>
          <w:tcPr>
            <w:tcW w:w="1134" w:type="dxa"/>
            <w:tcBorders>
              <w:top w:val="single" w:sz="4" w:space="0" w:color="auto"/>
              <w:left w:val="single" w:sz="4" w:space="0" w:color="FFFFFF"/>
              <w:bottom w:val="single" w:sz="4" w:space="0" w:color="auto"/>
              <w:right w:val="single" w:sz="4" w:space="0" w:color="FFFFFF"/>
            </w:tcBorders>
            <w:hideMark/>
          </w:tcPr>
          <w:p w14:paraId="6A7666E6" w14:textId="77777777" w:rsidR="00FA7EBF" w:rsidRDefault="00FA7EBF">
            <w:pPr>
              <w:pStyle w:val="ARtabletextright"/>
            </w:pPr>
            <w:r>
              <w:t>1,796</w:t>
            </w:r>
          </w:p>
        </w:tc>
        <w:tc>
          <w:tcPr>
            <w:tcW w:w="1247" w:type="dxa"/>
            <w:tcBorders>
              <w:top w:val="single" w:sz="4" w:space="0" w:color="auto"/>
              <w:left w:val="single" w:sz="4" w:space="0" w:color="FFFFFF"/>
              <w:bottom w:val="single" w:sz="4" w:space="0" w:color="auto"/>
              <w:right w:val="single" w:sz="4" w:space="0" w:color="FFFFFF"/>
            </w:tcBorders>
            <w:hideMark/>
          </w:tcPr>
          <w:p w14:paraId="5B5686CE" w14:textId="77777777" w:rsidR="00FA7EBF" w:rsidRDefault="00FA7EBF">
            <w:pPr>
              <w:pStyle w:val="ARtabletextright"/>
            </w:pPr>
            <w:r>
              <w:t>–</w:t>
            </w:r>
          </w:p>
        </w:tc>
        <w:tc>
          <w:tcPr>
            <w:tcW w:w="1247" w:type="dxa"/>
            <w:tcBorders>
              <w:top w:val="single" w:sz="4" w:space="0" w:color="auto"/>
              <w:left w:val="single" w:sz="4" w:space="0" w:color="FFFFFF"/>
              <w:bottom w:val="single" w:sz="4" w:space="0" w:color="auto"/>
              <w:right w:val="single" w:sz="4" w:space="0" w:color="FFFFFF"/>
            </w:tcBorders>
            <w:hideMark/>
          </w:tcPr>
          <w:p w14:paraId="217E7357" w14:textId="77777777" w:rsidR="00FA7EBF" w:rsidRDefault="00FA7EBF">
            <w:pPr>
              <w:pStyle w:val="ARtabletextright"/>
            </w:pPr>
            <w:r>
              <w:t>1,796</w:t>
            </w:r>
          </w:p>
        </w:tc>
        <w:tc>
          <w:tcPr>
            <w:tcW w:w="1304" w:type="dxa"/>
            <w:tcBorders>
              <w:top w:val="single" w:sz="4" w:space="0" w:color="auto"/>
              <w:left w:val="single" w:sz="4" w:space="0" w:color="FFFFFF"/>
              <w:bottom w:val="single" w:sz="4" w:space="0" w:color="auto"/>
              <w:right w:val="single" w:sz="4" w:space="0" w:color="FFFFFF"/>
            </w:tcBorders>
            <w:hideMark/>
          </w:tcPr>
          <w:p w14:paraId="0B1B96AB" w14:textId="77777777" w:rsidR="00FA7EBF" w:rsidRDefault="00FA7EBF">
            <w:pPr>
              <w:pStyle w:val="ARtabletextright"/>
            </w:pPr>
            <w:r>
              <w:t>–</w:t>
            </w:r>
          </w:p>
        </w:tc>
        <w:tc>
          <w:tcPr>
            <w:tcW w:w="737" w:type="dxa"/>
            <w:tcBorders>
              <w:top w:val="single" w:sz="4" w:space="0" w:color="auto"/>
              <w:left w:val="single" w:sz="4" w:space="0" w:color="FFFFFF"/>
              <w:bottom w:val="single" w:sz="4" w:space="0" w:color="auto"/>
              <w:right w:val="single" w:sz="4" w:space="0" w:color="FFFFFF"/>
            </w:tcBorders>
          </w:tcPr>
          <w:p w14:paraId="3C6FCB3A" w14:textId="77777777" w:rsidR="00FA7EBF" w:rsidRDefault="00FA7EBF">
            <w:pPr>
              <w:pStyle w:val="ARtabletextrightbold"/>
            </w:pPr>
          </w:p>
        </w:tc>
      </w:tr>
      <w:tr w:rsidR="00FA7EBF" w14:paraId="72829FF8" w14:textId="77777777" w:rsidTr="003075FD">
        <w:tc>
          <w:tcPr>
            <w:tcW w:w="2836" w:type="dxa"/>
            <w:tcBorders>
              <w:top w:val="single" w:sz="4" w:space="0" w:color="auto"/>
              <w:left w:val="single" w:sz="4" w:space="0" w:color="FFFFFF"/>
              <w:bottom w:val="single" w:sz="4" w:space="0" w:color="auto"/>
              <w:right w:val="single" w:sz="4" w:space="0" w:color="FFFFFF"/>
            </w:tcBorders>
            <w:hideMark/>
          </w:tcPr>
          <w:p w14:paraId="1823EA4D" w14:textId="77777777" w:rsidR="00FA7EBF" w:rsidRDefault="00FA7EBF">
            <w:pPr>
              <w:pStyle w:val="ARtabletextbold"/>
            </w:pPr>
            <w:r>
              <w:t>Cash and cash equivalents at the end of the financial year</w:t>
            </w:r>
          </w:p>
        </w:tc>
        <w:tc>
          <w:tcPr>
            <w:tcW w:w="1134" w:type="dxa"/>
            <w:tcBorders>
              <w:top w:val="single" w:sz="4" w:space="0" w:color="auto"/>
              <w:left w:val="single" w:sz="4" w:space="0" w:color="FFFFFF"/>
              <w:bottom w:val="single" w:sz="4" w:space="0" w:color="auto"/>
              <w:right w:val="single" w:sz="4" w:space="0" w:color="FFFFFF"/>
            </w:tcBorders>
            <w:hideMark/>
          </w:tcPr>
          <w:p w14:paraId="34E03A5B" w14:textId="77777777" w:rsidR="00FA7EBF" w:rsidRDefault="00FA7EBF">
            <w:pPr>
              <w:pStyle w:val="ARtabletextrightbold"/>
            </w:pPr>
            <w:r>
              <w:t>1,969</w:t>
            </w:r>
          </w:p>
        </w:tc>
        <w:tc>
          <w:tcPr>
            <w:tcW w:w="1134" w:type="dxa"/>
            <w:tcBorders>
              <w:top w:val="single" w:sz="4" w:space="0" w:color="auto"/>
              <w:left w:val="single" w:sz="4" w:space="0" w:color="FFFFFF"/>
              <w:bottom w:val="single" w:sz="4" w:space="0" w:color="auto"/>
              <w:right w:val="single" w:sz="4" w:space="0" w:color="FFFFFF"/>
            </w:tcBorders>
            <w:hideMark/>
          </w:tcPr>
          <w:p w14:paraId="192B793F" w14:textId="77777777" w:rsidR="00FA7EBF" w:rsidRDefault="00FA7EBF">
            <w:pPr>
              <w:pStyle w:val="ARtabletextrightbold"/>
            </w:pPr>
            <w:r>
              <w:t>2,044</w:t>
            </w:r>
          </w:p>
        </w:tc>
        <w:tc>
          <w:tcPr>
            <w:tcW w:w="1247" w:type="dxa"/>
            <w:tcBorders>
              <w:top w:val="single" w:sz="4" w:space="0" w:color="auto"/>
              <w:left w:val="single" w:sz="4" w:space="0" w:color="FFFFFF"/>
              <w:bottom w:val="single" w:sz="4" w:space="0" w:color="auto"/>
              <w:right w:val="single" w:sz="4" w:space="0" w:color="FFFFFF"/>
            </w:tcBorders>
            <w:hideMark/>
          </w:tcPr>
          <w:p w14:paraId="33D7249A" w14:textId="77777777" w:rsidR="00FA7EBF" w:rsidRDefault="00FA7EBF">
            <w:pPr>
              <w:pStyle w:val="ARtabletextrightbold"/>
            </w:pPr>
            <w:r>
              <w:t>(3.7)</w:t>
            </w:r>
          </w:p>
        </w:tc>
        <w:tc>
          <w:tcPr>
            <w:tcW w:w="1247" w:type="dxa"/>
            <w:tcBorders>
              <w:top w:val="single" w:sz="4" w:space="0" w:color="auto"/>
              <w:left w:val="single" w:sz="4" w:space="0" w:color="FFFFFF"/>
              <w:bottom w:val="single" w:sz="4" w:space="0" w:color="auto"/>
              <w:right w:val="single" w:sz="4" w:space="0" w:color="FFFFFF"/>
            </w:tcBorders>
            <w:hideMark/>
          </w:tcPr>
          <w:p w14:paraId="5FA4030E" w14:textId="77777777" w:rsidR="00FA7EBF" w:rsidRDefault="00FA7EBF">
            <w:pPr>
              <w:pStyle w:val="ARtabletextrightbold"/>
            </w:pPr>
            <w:r>
              <w:t>1,918</w:t>
            </w:r>
          </w:p>
        </w:tc>
        <w:tc>
          <w:tcPr>
            <w:tcW w:w="1304" w:type="dxa"/>
            <w:tcBorders>
              <w:top w:val="single" w:sz="4" w:space="0" w:color="auto"/>
              <w:left w:val="single" w:sz="4" w:space="0" w:color="FFFFFF"/>
              <w:bottom w:val="single" w:sz="4" w:space="0" w:color="auto"/>
              <w:right w:val="single" w:sz="4" w:space="0" w:color="FFFFFF"/>
            </w:tcBorders>
            <w:hideMark/>
          </w:tcPr>
          <w:p w14:paraId="32162B7E" w14:textId="77777777" w:rsidR="00FA7EBF" w:rsidRDefault="00FA7EBF">
            <w:pPr>
              <w:pStyle w:val="ARtabletextrightbold"/>
            </w:pPr>
            <w:r>
              <w:t>2.7</w:t>
            </w:r>
          </w:p>
        </w:tc>
        <w:tc>
          <w:tcPr>
            <w:tcW w:w="737" w:type="dxa"/>
            <w:tcBorders>
              <w:top w:val="single" w:sz="4" w:space="0" w:color="auto"/>
              <w:left w:val="single" w:sz="4" w:space="0" w:color="FFFFFF"/>
              <w:bottom w:val="single" w:sz="4" w:space="0" w:color="auto"/>
              <w:right w:val="single" w:sz="4" w:space="0" w:color="FFFFFF"/>
            </w:tcBorders>
          </w:tcPr>
          <w:p w14:paraId="178F60D6" w14:textId="77777777" w:rsidR="00FA7EBF" w:rsidRDefault="00FA7EBF">
            <w:pPr>
              <w:pStyle w:val="ARtabletextrightbold"/>
            </w:pPr>
          </w:p>
        </w:tc>
      </w:tr>
    </w:tbl>
    <w:p w14:paraId="183FF012" w14:textId="77777777" w:rsidR="00FA7EBF" w:rsidRDefault="00FA7EBF" w:rsidP="00326F42">
      <w:pPr>
        <w:pStyle w:val="ARtablefootnotenumbered"/>
        <w:numPr>
          <w:ilvl w:val="0"/>
          <w:numId w:val="33"/>
        </w:numPr>
      </w:pPr>
      <w:r>
        <w:t>The variance relates mainly to the expected timing of collection of receivables from other government departments during 2018–19, where the cash was anticipated to be received during 2018–19 but remains a receivable at balance date.</w:t>
      </w:r>
    </w:p>
    <w:p w14:paraId="67E9A97E" w14:textId="77777777" w:rsidR="00FA7EBF" w:rsidRDefault="00FA7EBF" w:rsidP="00326F42">
      <w:pPr>
        <w:pStyle w:val="ARtablefootnotenumbered"/>
        <w:numPr>
          <w:ilvl w:val="0"/>
          <w:numId w:val="25"/>
        </w:numPr>
      </w:pPr>
      <w:r>
        <w:t>The variance to published budget is mainly driven by the transfer of term deposits held by health agencies which were required to be deposited in the Central Banking System. The Central Banking System was introduced subsequent to the published budget.</w:t>
      </w:r>
    </w:p>
    <w:p w14:paraId="0A184781" w14:textId="77777777" w:rsidR="00FA7EBF" w:rsidRDefault="00FA7EBF" w:rsidP="00326F42">
      <w:pPr>
        <w:pStyle w:val="ARtablefootnotenumbered"/>
        <w:numPr>
          <w:ilvl w:val="0"/>
          <w:numId w:val="25"/>
        </w:numPr>
      </w:pPr>
      <w:r>
        <w:t>The variance relates to machinery of government changes for entities that have transferred out of the portfolio which were not reflected in the budgets.</w:t>
      </w:r>
    </w:p>
    <w:p w14:paraId="607BD596" w14:textId="77777777" w:rsidR="00FA7EBF" w:rsidRDefault="00FA7EBF" w:rsidP="003075FD">
      <w:pPr>
        <w:pStyle w:val="ARbody"/>
      </w:pPr>
      <w:r>
        <w:br w:type="page"/>
      </w:r>
    </w:p>
    <w:p w14:paraId="09BDBE67" w14:textId="77777777" w:rsidR="00FA7EBF" w:rsidRDefault="00FA7EBF" w:rsidP="003075FD">
      <w:pPr>
        <w:pStyle w:val="Heading3"/>
      </w:pPr>
      <w:r>
        <w:t>Statement of changes in equity for the financial year ended 30 June 2019</w:t>
      </w:r>
    </w:p>
    <w:tbl>
      <w:tblPr>
        <w:tblStyle w:val="TableGrid"/>
        <w:tblW w:w="9645" w:type="dxa"/>
        <w:tblLayout w:type="fixed"/>
        <w:tblLook w:val="06A0" w:firstRow="1" w:lastRow="0" w:firstColumn="1" w:lastColumn="0" w:noHBand="1" w:noVBand="1"/>
      </w:tblPr>
      <w:tblGrid>
        <w:gridCol w:w="2953"/>
        <w:gridCol w:w="1339"/>
        <w:gridCol w:w="1338"/>
        <w:gridCol w:w="1338"/>
        <w:gridCol w:w="1338"/>
        <w:gridCol w:w="1339"/>
      </w:tblGrid>
      <w:tr w:rsidR="00FA7EBF" w14:paraId="4195B744" w14:textId="77777777" w:rsidTr="003075FD">
        <w:trPr>
          <w:cnfStyle w:val="100000000000" w:firstRow="1" w:lastRow="0" w:firstColumn="0" w:lastColumn="0" w:oddVBand="0" w:evenVBand="0" w:oddHBand="0" w:evenHBand="0" w:firstRowFirstColumn="0" w:firstRowLastColumn="0" w:lastRowFirstColumn="0" w:lastRowLastColumn="0"/>
          <w:tblHeader/>
        </w:trPr>
        <w:tc>
          <w:tcPr>
            <w:tcW w:w="2952" w:type="dxa"/>
            <w:tcBorders>
              <w:top w:val="nil"/>
              <w:left w:val="single" w:sz="4" w:space="0" w:color="FFFFFF"/>
              <w:bottom w:val="single" w:sz="4" w:space="0" w:color="auto"/>
              <w:right w:val="single" w:sz="4" w:space="0" w:color="FFFFFF"/>
            </w:tcBorders>
            <w:hideMark/>
          </w:tcPr>
          <w:p w14:paraId="4F3E1FE7" w14:textId="77777777" w:rsidR="00FA7EBF" w:rsidRDefault="00FA7EBF"/>
        </w:tc>
        <w:tc>
          <w:tcPr>
            <w:tcW w:w="1338" w:type="dxa"/>
            <w:tcBorders>
              <w:top w:val="nil"/>
              <w:left w:val="single" w:sz="4" w:space="0" w:color="FFFFFF"/>
              <w:bottom w:val="single" w:sz="4" w:space="0" w:color="auto"/>
              <w:right w:val="single" w:sz="4" w:space="0" w:color="FFFFFF"/>
            </w:tcBorders>
            <w:hideMark/>
          </w:tcPr>
          <w:p w14:paraId="1D5ABA63" w14:textId="77777777" w:rsidR="00FA7EBF" w:rsidRDefault="00FA7EBF">
            <w:pPr>
              <w:pStyle w:val="ARtablecolheadright"/>
              <w:rPr>
                <w:lang w:eastAsia="en-AU"/>
              </w:rPr>
            </w:pPr>
            <w:r>
              <w:rPr>
                <w:lang w:eastAsia="en-AU"/>
              </w:rPr>
              <w:t>2018–19 actual</w:t>
            </w:r>
          </w:p>
          <w:p w14:paraId="3CAD16CC" w14:textId="77777777" w:rsidR="00FA7EBF" w:rsidRDefault="00FA7EBF">
            <w:pPr>
              <w:pStyle w:val="ARtablecolheadright"/>
              <w:rPr>
                <w:lang w:eastAsia="en-AU"/>
              </w:rPr>
            </w:pPr>
            <w:r>
              <w:rPr>
                <w:lang w:eastAsia="en-AU"/>
              </w:rPr>
              <w:t>$M</w:t>
            </w:r>
          </w:p>
        </w:tc>
        <w:tc>
          <w:tcPr>
            <w:tcW w:w="1337" w:type="dxa"/>
            <w:tcBorders>
              <w:top w:val="nil"/>
              <w:left w:val="single" w:sz="4" w:space="0" w:color="FFFFFF"/>
              <w:bottom w:val="single" w:sz="4" w:space="0" w:color="auto"/>
              <w:right w:val="single" w:sz="4" w:space="0" w:color="FFFFFF"/>
            </w:tcBorders>
            <w:hideMark/>
          </w:tcPr>
          <w:p w14:paraId="575057BD" w14:textId="77777777" w:rsidR="00FA7EBF" w:rsidRDefault="00FA7EBF">
            <w:pPr>
              <w:pStyle w:val="ARtablecolheadright"/>
              <w:rPr>
                <w:lang w:eastAsia="en-AU"/>
              </w:rPr>
            </w:pPr>
            <w:r>
              <w:rPr>
                <w:lang w:eastAsia="en-AU"/>
              </w:rPr>
              <w:t xml:space="preserve">2018–19 </w:t>
            </w:r>
            <w:r>
              <w:rPr>
                <w:lang w:eastAsia="en-AU"/>
              </w:rPr>
              <w:br/>
              <w:t>revised budget</w:t>
            </w:r>
          </w:p>
          <w:p w14:paraId="4042E060" w14:textId="77777777" w:rsidR="00FA7EBF" w:rsidRDefault="00FA7EBF">
            <w:pPr>
              <w:pStyle w:val="ARtablecolheadright"/>
              <w:rPr>
                <w:lang w:eastAsia="en-AU"/>
              </w:rPr>
            </w:pPr>
            <w:r>
              <w:rPr>
                <w:lang w:eastAsia="en-AU"/>
              </w:rPr>
              <w:t>$M</w:t>
            </w:r>
          </w:p>
        </w:tc>
        <w:tc>
          <w:tcPr>
            <w:tcW w:w="1337" w:type="dxa"/>
            <w:tcBorders>
              <w:top w:val="nil"/>
              <w:left w:val="single" w:sz="4" w:space="0" w:color="FFFFFF"/>
              <w:bottom w:val="single" w:sz="4" w:space="0" w:color="auto"/>
              <w:right w:val="single" w:sz="4" w:space="0" w:color="FFFFFF"/>
            </w:tcBorders>
            <w:hideMark/>
          </w:tcPr>
          <w:p w14:paraId="60A6A03C" w14:textId="77777777" w:rsidR="00FA7EBF" w:rsidRDefault="00FA7EBF">
            <w:pPr>
              <w:pStyle w:val="ARtablecolheadright"/>
              <w:rPr>
                <w:lang w:eastAsia="en-AU"/>
              </w:rPr>
            </w:pPr>
            <w:r>
              <w:rPr>
                <w:lang w:eastAsia="en-AU"/>
              </w:rPr>
              <w:t xml:space="preserve">Variation to </w:t>
            </w:r>
            <w:r>
              <w:rPr>
                <w:lang w:eastAsia="en-AU"/>
              </w:rPr>
              <w:br/>
              <w:t>revised budget</w:t>
            </w:r>
          </w:p>
          <w:p w14:paraId="735E0412" w14:textId="77777777" w:rsidR="00FA7EBF" w:rsidRDefault="00FA7EBF">
            <w:pPr>
              <w:pStyle w:val="ARtablecolheadright"/>
              <w:rPr>
                <w:lang w:eastAsia="en-AU"/>
              </w:rPr>
            </w:pPr>
            <w:r>
              <w:rPr>
                <w:lang w:eastAsia="en-AU"/>
              </w:rPr>
              <w:t>%</w:t>
            </w:r>
          </w:p>
        </w:tc>
        <w:tc>
          <w:tcPr>
            <w:tcW w:w="1337" w:type="dxa"/>
            <w:tcBorders>
              <w:top w:val="nil"/>
              <w:left w:val="single" w:sz="4" w:space="0" w:color="FFFFFF"/>
              <w:bottom w:val="single" w:sz="4" w:space="0" w:color="auto"/>
              <w:right w:val="single" w:sz="4" w:space="0" w:color="FFFFFF"/>
            </w:tcBorders>
            <w:hideMark/>
          </w:tcPr>
          <w:p w14:paraId="78CF246A" w14:textId="77777777" w:rsidR="00FA7EBF" w:rsidRDefault="00FA7EBF">
            <w:pPr>
              <w:pStyle w:val="ARtablecolheadright"/>
              <w:rPr>
                <w:lang w:eastAsia="en-AU"/>
              </w:rPr>
            </w:pPr>
            <w:r>
              <w:rPr>
                <w:lang w:eastAsia="en-AU"/>
              </w:rPr>
              <w:t>2018–19 published budget</w:t>
            </w:r>
          </w:p>
          <w:p w14:paraId="3DB4FCB4" w14:textId="77777777" w:rsidR="00FA7EBF" w:rsidRDefault="00FA7EBF">
            <w:pPr>
              <w:pStyle w:val="ARtablecolheadright"/>
              <w:rPr>
                <w:lang w:eastAsia="en-AU"/>
              </w:rPr>
            </w:pPr>
            <w:r>
              <w:rPr>
                <w:lang w:eastAsia="en-AU"/>
              </w:rPr>
              <w:t>$M</w:t>
            </w:r>
          </w:p>
        </w:tc>
        <w:tc>
          <w:tcPr>
            <w:tcW w:w="1338" w:type="dxa"/>
            <w:tcBorders>
              <w:top w:val="nil"/>
              <w:left w:val="single" w:sz="4" w:space="0" w:color="FFFFFF"/>
              <w:bottom w:val="single" w:sz="4" w:space="0" w:color="auto"/>
              <w:right w:val="single" w:sz="4" w:space="0" w:color="FFFFFF"/>
            </w:tcBorders>
            <w:hideMark/>
          </w:tcPr>
          <w:p w14:paraId="634F6B84" w14:textId="77777777" w:rsidR="00FA7EBF" w:rsidRDefault="00FA7EBF">
            <w:pPr>
              <w:pStyle w:val="ARtablecolheadright"/>
              <w:rPr>
                <w:lang w:eastAsia="en-AU"/>
              </w:rPr>
            </w:pPr>
            <w:r>
              <w:rPr>
                <w:lang w:eastAsia="en-AU"/>
              </w:rPr>
              <w:t>Variation to published budget</w:t>
            </w:r>
          </w:p>
          <w:p w14:paraId="78DC96E5" w14:textId="77777777" w:rsidR="00FA7EBF" w:rsidRDefault="00FA7EBF">
            <w:pPr>
              <w:pStyle w:val="ARtablecolheadright"/>
              <w:rPr>
                <w:lang w:eastAsia="en-AU"/>
              </w:rPr>
            </w:pPr>
            <w:r>
              <w:rPr>
                <w:lang w:eastAsia="en-AU"/>
              </w:rPr>
              <w:t>%</w:t>
            </w:r>
          </w:p>
        </w:tc>
      </w:tr>
      <w:tr w:rsidR="00FA7EBF" w14:paraId="6A63EACF" w14:textId="77777777" w:rsidTr="003075FD">
        <w:tc>
          <w:tcPr>
            <w:tcW w:w="2952" w:type="dxa"/>
            <w:tcBorders>
              <w:top w:val="single" w:sz="4" w:space="0" w:color="auto"/>
              <w:left w:val="single" w:sz="4" w:space="0" w:color="FFFFFF"/>
              <w:bottom w:val="single" w:sz="4" w:space="0" w:color="A6A6A6" w:themeColor="background1" w:themeShade="A6"/>
              <w:right w:val="single" w:sz="4" w:space="0" w:color="FFFFFF"/>
            </w:tcBorders>
            <w:hideMark/>
          </w:tcPr>
          <w:p w14:paraId="27A49115" w14:textId="77777777" w:rsidR="00FA7EBF" w:rsidRDefault="00FA7EBF">
            <w:pPr>
              <w:pStyle w:val="ARtabletext"/>
            </w:pPr>
            <w:r>
              <w:t>Accumulated funds</w:t>
            </w:r>
          </w:p>
        </w:tc>
        <w:tc>
          <w:tcPr>
            <w:tcW w:w="1338" w:type="dxa"/>
            <w:tcBorders>
              <w:top w:val="single" w:sz="4" w:space="0" w:color="auto"/>
              <w:left w:val="single" w:sz="4" w:space="0" w:color="FFFFFF"/>
              <w:bottom w:val="single" w:sz="4" w:space="0" w:color="A6A6A6" w:themeColor="background1" w:themeShade="A6"/>
              <w:right w:val="single" w:sz="4" w:space="0" w:color="FFFFFF"/>
            </w:tcBorders>
            <w:hideMark/>
          </w:tcPr>
          <w:p w14:paraId="6F5EA340" w14:textId="77777777" w:rsidR="00FA7EBF" w:rsidRDefault="00FA7EBF">
            <w:pPr>
              <w:pStyle w:val="ARtabletextright"/>
            </w:pPr>
            <w:r>
              <w:t>2,040</w:t>
            </w:r>
          </w:p>
        </w:tc>
        <w:tc>
          <w:tcPr>
            <w:tcW w:w="1337" w:type="dxa"/>
            <w:tcBorders>
              <w:top w:val="single" w:sz="4" w:space="0" w:color="auto"/>
              <w:left w:val="single" w:sz="4" w:space="0" w:color="FFFFFF"/>
              <w:bottom w:val="single" w:sz="4" w:space="0" w:color="A6A6A6" w:themeColor="background1" w:themeShade="A6"/>
              <w:right w:val="single" w:sz="4" w:space="0" w:color="FFFFFF"/>
            </w:tcBorders>
            <w:hideMark/>
          </w:tcPr>
          <w:p w14:paraId="1CA9B92D" w14:textId="77777777" w:rsidR="00FA7EBF" w:rsidRDefault="00FA7EBF">
            <w:pPr>
              <w:pStyle w:val="ARtabletextright"/>
            </w:pPr>
            <w:r>
              <w:t>1,988</w:t>
            </w:r>
          </w:p>
        </w:tc>
        <w:tc>
          <w:tcPr>
            <w:tcW w:w="1337" w:type="dxa"/>
            <w:tcBorders>
              <w:top w:val="single" w:sz="4" w:space="0" w:color="auto"/>
              <w:left w:val="single" w:sz="4" w:space="0" w:color="FFFFFF"/>
              <w:bottom w:val="single" w:sz="4" w:space="0" w:color="A6A6A6" w:themeColor="background1" w:themeShade="A6"/>
              <w:right w:val="single" w:sz="4" w:space="0" w:color="FFFFFF"/>
            </w:tcBorders>
            <w:hideMark/>
          </w:tcPr>
          <w:p w14:paraId="3631AE9E" w14:textId="77777777" w:rsidR="00FA7EBF" w:rsidRDefault="00FA7EBF">
            <w:pPr>
              <w:pStyle w:val="ARtabletextright"/>
            </w:pPr>
            <w:r>
              <w:t>2.6</w:t>
            </w:r>
          </w:p>
        </w:tc>
        <w:tc>
          <w:tcPr>
            <w:tcW w:w="1337" w:type="dxa"/>
            <w:tcBorders>
              <w:top w:val="single" w:sz="4" w:space="0" w:color="auto"/>
              <w:left w:val="single" w:sz="4" w:space="0" w:color="FFFFFF"/>
              <w:bottom w:val="single" w:sz="4" w:space="0" w:color="A6A6A6" w:themeColor="background1" w:themeShade="A6"/>
              <w:right w:val="single" w:sz="4" w:space="0" w:color="FFFFFF"/>
            </w:tcBorders>
            <w:hideMark/>
          </w:tcPr>
          <w:p w14:paraId="2B04B0E0" w14:textId="77777777" w:rsidR="00FA7EBF" w:rsidRDefault="00FA7EBF">
            <w:pPr>
              <w:pStyle w:val="ARtabletextright"/>
            </w:pPr>
            <w:r>
              <w:t>1,988</w:t>
            </w:r>
          </w:p>
        </w:tc>
        <w:tc>
          <w:tcPr>
            <w:tcW w:w="1338" w:type="dxa"/>
            <w:tcBorders>
              <w:top w:val="single" w:sz="4" w:space="0" w:color="auto"/>
              <w:left w:val="single" w:sz="4" w:space="0" w:color="FFFFFF"/>
              <w:bottom w:val="single" w:sz="4" w:space="0" w:color="A6A6A6" w:themeColor="background1" w:themeShade="A6"/>
              <w:right w:val="single" w:sz="4" w:space="0" w:color="FFFFFF"/>
            </w:tcBorders>
            <w:hideMark/>
          </w:tcPr>
          <w:p w14:paraId="6E02542B" w14:textId="77777777" w:rsidR="00FA7EBF" w:rsidRDefault="00FA7EBF">
            <w:pPr>
              <w:pStyle w:val="ARtabletextright"/>
            </w:pPr>
            <w:r>
              <w:t>2.6</w:t>
            </w:r>
          </w:p>
        </w:tc>
      </w:tr>
      <w:tr w:rsidR="00FA7EBF" w14:paraId="077F2906" w14:textId="77777777" w:rsidTr="003075FD">
        <w:tc>
          <w:tcPr>
            <w:tcW w:w="295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633E457" w14:textId="77777777" w:rsidR="00FA7EBF" w:rsidRDefault="00FA7EBF">
            <w:pPr>
              <w:pStyle w:val="ARtabletext"/>
            </w:pPr>
            <w:r>
              <w:t>Adjustment due to change in accounting policy</w:t>
            </w:r>
          </w:p>
        </w:tc>
        <w:tc>
          <w:tcPr>
            <w:tcW w:w="133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FCB889D" w14:textId="77777777" w:rsidR="00FA7EBF" w:rsidRDefault="00FA7EBF">
            <w:pPr>
              <w:pStyle w:val="ARtabletextright"/>
            </w:pPr>
            <w:r>
              <w:t>57</w:t>
            </w:r>
          </w:p>
        </w:tc>
        <w:tc>
          <w:tcPr>
            <w:tcW w:w="13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E44D2EB" w14:textId="77777777" w:rsidR="00FA7EBF" w:rsidRDefault="00FA7EBF">
            <w:pPr>
              <w:pStyle w:val="ARtabletextright"/>
            </w:pPr>
            <w:r>
              <w:t>–</w:t>
            </w:r>
          </w:p>
        </w:tc>
        <w:tc>
          <w:tcPr>
            <w:tcW w:w="13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15C39B7" w14:textId="77777777" w:rsidR="00FA7EBF" w:rsidRDefault="00FA7EBF">
            <w:pPr>
              <w:pStyle w:val="ARtabletextright"/>
            </w:pPr>
            <w:r>
              <w:t>–</w:t>
            </w:r>
          </w:p>
        </w:tc>
        <w:tc>
          <w:tcPr>
            <w:tcW w:w="13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A1F1219" w14:textId="77777777" w:rsidR="00FA7EBF" w:rsidRDefault="00FA7EBF">
            <w:pPr>
              <w:pStyle w:val="ARtabletextright"/>
            </w:pPr>
            <w:r>
              <w:t>–</w:t>
            </w:r>
          </w:p>
        </w:tc>
        <w:tc>
          <w:tcPr>
            <w:tcW w:w="133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5062325" w14:textId="77777777" w:rsidR="00FA7EBF" w:rsidRDefault="00FA7EBF">
            <w:pPr>
              <w:pStyle w:val="ARtabletextright"/>
            </w:pPr>
            <w:r>
              <w:t>–</w:t>
            </w:r>
          </w:p>
        </w:tc>
      </w:tr>
      <w:tr w:rsidR="00FA7EBF" w14:paraId="30954C65" w14:textId="77777777" w:rsidTr="003075FD">
        <w:tc>
          <w:tcPr>
            <w:tcW w:w="295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45571EB" w14:textId="77777777" w:rsidR="00FA7EBF" w:rsidRDefault="00FA7EBF">
            <w:pPr>
              <w:pStyle w:val="ARtabletext"/>
            </w:pPr>
            <w:r>
              <w:t>Transactions with owners in their capacity as owners</w:t>
            </w:r>
          </w:p>
        </w:tc>
        <w:tc>
          <w:tcPr>
            <w:tcW w:w="133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D001AB0" w14:textId="77777777" w:rsidR="00FA7EBF" w:rsidRDefault="00FA7EBF">
            <w:pPr>
              <w:pStyle w:val="ARtabletextright"/>
            </w:pPr>
            <w:r>
              <w:t>(71)</w:t>
            </w:r>
          </w:p>
        </w:tc>
        <w:tc>
          <w:tcPr>
            <w:tcW w:w="13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80CB55F" w14:textId="77777777" w:rsidR="00FA7EBF" w:rsidRDefault="00FA7EBF">
            <w:pPr>
              <w:pStyle w:val="ARtabletextright"/>
            </w:pPr>
            <w:r>
              <w:t>(71)</w:t>
            </w:r>
          </w:p>
        </w:tc>
        <w:tc>
          <w:tcPr>
            <w:tcW w:w="13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A96B269" w14:textId="77777777" w:rsidR="00FA7EBF" w:rsidRDefault="00FA7EBF">
            <w:pPr>
              <w:pStyle w:val="ARtabletextright"/>
            </w:pPr>
            <w:r>
              <w:t>0.1</w:t>
            </w:r>
          </w:p>
        </w:tc>
        <w:tc>
          <w:tcPr>
            <w:tcW w:w="13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2474920" w14:textId="77777777" w:rsidR="00FA7EBF" w:rsidRDefault="00FA7EBF">
            <w:pPr>
              <w:pStyle w:val="ARtabletextright"/>
            </w:pPr>
            <w:r>
              <w:t>(4)</w:t>
            </w:r>
          </w:p>
        </w:tc>
        <w:tc>
          <w:tcPr>
            <w:tcW w:w="133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3CD2871" w14:textId="77777777" w:rsidR="00FA7EBF" w:rsidRDefault="00FA7EBF">
            <w:pPr>
              <w:pStyle w:val="ARtabletextright"/>
            </w:pPr>
            <w:r>
              <w:t>–</w:t>
            </w:r>
          </w:p>
        </w:tc>
      </w:tr>
      <w:tr w:rsidR="00FA7EBF" w14:paraId="4879A4B9" w14:textId="77777777" w:rsidTr="003075FD">
        <w:tc>
          <w:tcPr>
            <w:tcW w:w="2952" w:type="dxa"/>
            <w:tcBorders>
              <w:top w:val="single" w:sz="4" w:space="0" w:color="A6A6A6" w:themeColor="background1" w:themeShade="A6"/>
              <w:left w:val="single" w:sz="4" w:space="0" w:color="FFFFFF"/>
              <w:bottom w:val="single" w:sz="4" w:space="0" w:color="auto"/>
              <w:right w:val="single" w:sz="4" w:space="0" w:color="FFFFFF"/>
            </w:tcBorders>
            <w:hideMark/>
          </w:tcPr>
          <w:p w14:paraId="6AA09442" w14:textId="77777777" w:rsidR="00FA7EBF" w:rsidRDefault="00FA7EBF">
            <w:pPr>
              <w:pStyle w:val="ARtabletext"/>
            </w:pPr>
            <w:r>
              <w:t>Comprehensive result</w:t>
            </w:r>
          </w:p>
        </w:tc>
        <w:tc>
          <w:tcPr>
            <w:tcW w:w="1338" w:type="dxa"/>
            <w:tcBorders>
              <w:top w:val="single" w:sz="4" w:space="0" w:color="A6A6A6" w:themeColor="background1" w:themeShade="A6"/>
              <w:left w:val="single" w:sz="4" w:space="0" w:color="FFFFFF"/>
              <w:bottom w:val="single" w:sz="4" w:space="0" w:color="auto"/>
              <w:right w:val="single" w:sz="4" w:space="0" w:color="FFFFFF"/>
            </w:tcBorders>
            <w:hideMark/>
          </w:tcPr>
          <w:p w14:paraId="2D649273" w14:textId="77777777" w:rsidR="00FA7EBF" w:rsidRDefault="00FA7EBF">
            <w:pPr>
              <w:pStyle w:val="ARtabletextright"/>
            </w:pPr>
            <w:r>
              <w:t>(83)</w:t>
            </w:r>
          </w:p>
        </w:tc>
        <w:tc>
          <w:tcPr>
            <w:tcW w:w="1337" w:type="dxa"/>
            <w:tcBorders>
              <w:top w:val="single" w:sz="4" w:space="0" w:color="A6A6A6" w:themeColor="background1" w:themeShade="A6"/>
              <w:left w:val="single" w:sz="4" w:space="0" w:color="FFFFFF"/>
              <w:bottom w:val="single" w:sz="4" w:space="0" w:color="auto"/>
              <w:right w:val="single" w:sz="4" w:space="0" w:color="FFFFFF"/>
            </w:tcBorders>
            <w:hideMark/>
          </w:tcPr>
          <w:p w14:paraId="065323E4" w14:textId="77777777" w:rsidR="00FA7EBF" w:rsidRDefault="00FA7EBF">
            <w:pPr>
              <w:pStyle w:val="ARtabletextright"/>
            </w:pPr>
            <w:r>
              <w:t>66</w:t>
            </w:r>
          </w:p>
        </w:tc>
        <w:tc>
          <w:tcPr>
            <w:tcW w:w="1337" w:type="dxa"/>
            <w:tcBorders>
              <w:top w:val="single" w:sz="4" w:space="0" w:color="A6A6A6" w:themeColor="background1" w:themeShade="A6"/>
              <w:left w:val="single" w:sz="4" w:space="0" w:color="FFFFFF"/>
              <w:bottom w:val="single" w:sz="4" w:space="0" w:color="auto"/>
              <w:right w:val="single" w:sz="4" w:space="0" w:color="FFFFFF"/>
            </w:tcBorders>
            <w:hideMark/>
          </w:tcPr>
          <w:p w14:paraId="3E949AB3" w14:textId="77777777" w:rsidR="00FA7EBF" w:rsidRDefault="00FA7EBF">
            <w:pPr>
              <w:pStyle w:val="ARtabletextright"/>
            </w:pPr>
            <w:r>
              <w:t>(225.8)</w:t>
            </w:r>
          </w:p>
        </w:tc>
        <w:tc>
          <w:tcPr>
            <w:tcW w:w="1337" w:type="dxa"/>
            <w:tcBorders>
              <w:top w:val="single" w:sz="4" w:space="0" w:color="A6A6A6" w:themeColor="background1" w:themeShade="A6"/>
              <w:left w:val="single" w:sz="4" w:space="0" w:color="FFFFFF"/>
              <w:bottom w:val="single" w:sz="4" w:space="0" w:color="auto"/>
              <w:right w:val="single" w:sz="4" w:space="0" w:color="FFFFFF"/>
            </w:tcBorders>
            <w:hideMark/>
          </w:tcPr>
          <w:p w14:paraId="65FF99B2" w14:textId="77777777" w:rsidR="00FA7EBF" w:rsidRDefault="00FA7EBF">
            <w:pPr>
              <w:pStyle w:val="ARtabletextright"/>
            </w:pPr>
            <w:r>
              <w:t>189</w:t>
            </w:r>
          </w:p>
        </w:tc>
        <w:tc>
          <w:tcPr>
            <w:tcW w:w="1338" w:type="dxa"/>
            <w:tcBorders>
              <w:top w:val="single" w:sz="4" w:space="0" w:color="A6A6A6" w:themeColor="background1" w:themeShade="A6"/>
              <w:left w:val="single" w:sz="4" w:space="0" w:color="FFFFFF"/>
              <w:bottom w:val="single" w:sz="4" w:space="0" w:color="auto"/>
              <w:right w:val="single" w:sz="4" w:space="0" w:color="FFFFFF"/>
            </w:tcBorders>
            <w:hideMark/>
          </w:tcPr>
          <w:p w14:paraId="19B8253F" w14:textId="77777777" w:rsidR="00FA7EBF" w:rsidRDefault="00FA7EBF">
            <w:pPr>
              <w:pStyle w:val="ARtabletextright"/>
            </w:pPr>
            <w:r>
              <w:t>(143.9)</w:t>
            </w:r>
          </w:p>
        </w:tc>
      </w:tr>
      <w:tr w:rsidR="00FA7EBF" w14:paraId="0D504903" w14:textId="77777777" w:rsidTr="003075FD">
        <w:tc>
          <w:tcPr>
            <w:tcW w:w="2952" w:type="dxa"/>
            <w:tcBorders>
              <w:top w:val="single" w:sz="4" w:space="0" w:color="auto"/>
              <w:left w:val="single" w:sz="4" w:space="0" w:color="FFFFFF"/>
              <w:bottom w:val="single" w:sz="4" w:space="0" w:color="auto"/>
              <w:right w:val="single" w:sz="4" w:space="0" w:color="FFFFFF"/>
            </w:tcBorders>
            <w:hideMark/>
          </w:tcPr>
          <w:p w14:paraId="7DB127F1" w14:textId="77777777" w:rsidR="00FA7EBF" w:rsidRDefault="00FA7EBF">
            <w:pPr>
              <w:pStyle w:val="ARtabletextbold"/>
            </w:pPr>
            <w:r>
              <w:t>Accumulated surplus/(deficit)</w:t>
            </w:r>
          </w:p>
        </w:tc>
        <w:tc>
          <w:tcPr>
            <w:tcW w:w="1338" w:type="dxa"/>
            <w:tcBorders>
              <w:top w:val="single" w:sz="4" w:space="0" w:color="auto"/>
              <w:left w:val="single" w:sz="4" w:space="0" w:color="FFFFFF"/>
              <w:bottom w:val="single" w:sz="4" w:space="0" w:color="auto"/>
              <w:right w:val="single" w:sz="4" w:space="0" w:color="FFFFFF"/>
            </w:tcBorders>
            <w:hideMark/>
          </w:tcPr>
          <w:p w14:paraId="1056477C" w14:textId="77777777" w:rsidR="00FA7EBF" w:rsidRDefault="00FA7EBF">
            <w:pPr>
              <w:pStyle w:val="ARtabletextrightbold"/>
            </w:pPr>
            <w:r>
              <w:t>1,943</w:t>
            </w:r>
          </w:p>
        </w:tc>
        <w:tc>
          <w:tcPr>
            <w:tcW w:w="1337" w:type="dxa"/>
            <w:tcBorders>
              <w:top w:val="single" w:sz="4" w:space="0" w:color="auto"/>
              <w:left w:val="single" w:sz="4" w:space="0" w:color="FFFFFF"/>
              <w:bottom w:val="single" w:sz="4" w:space="0" w:color="auto"/>
              <w:right w:val="single" w:sz="4" w:space="0" w:color="FFFFFF"/>
            </w:tcBorders>
            <w:hideMark/>
          </w:tcPr>
          <w:p w14:paraId="59010822" w14:textId="77777777" w:rsidR="00FA7EBF" w:rsidRDefault="00FA7EBF">
            <w:pPr>
              <w:pStyle w:val="ARtabletextrightbold"/>
            </w:pPr>
            <w:r>
              <w:t>1,983</w:t>
            </w:r>
          </w:p>
        </w:tc>
        <w:tc>
          <w:tcPr>
            <w:tcW w:w="1337" w:type="dxa"/>
            <w:tcBorders>
              <w:top w:val="single" w:sz="4" w:space="0" w:color="auto"/>
              <w:left w:val="single" w:sz="4" w:space="0" w:color="FFFFFF"/>
              <w:bottom w:val="single" w:sz="4" w:space="0" w:color="auto"/>
              <w:right w:val="single" w:sz="4" w:space="0" w:color="FFFFFF"/>
            </w:tcBorders>
            <w:hideMark/>
          </w:tcPr>
          <w:p w14:paraId="17A1E103" w14:textId="77777777" w:rsidR="00FA7EBF" w:rsidRDefault="00FA7EBF">
            <w:pPr>
              <w:pStyle w:val="ARtabletextrightbold"/>
            </w:pPr>
            <w:r>
              <w:t>(2.0)</w:t>
            </w:r>
          </w:p>
        </w:tc>
        <w:tc>
          <w:tcPr>
            <w:tcW w:w="1337" w:type="dxa"/>
            <w:tcBorders>
              <w:top w:val="single" w:sz="4" w:space="0" w:color="auto"/>
              <w:left w:val="single" w:sz="4" w:space="0" w:color="FFFFFF"/>
              <w:bottom w:val="single" w:sz="4" w:space="0" w:color="auto"/>
              <w:right w:val="single" w:sz="4" w:space="0" w:color="FFFFFF"/>
            </w:tcBorders>
            <w:hideMark/>
          </w:tcPr>
          <w:p w14:paraId="3841EFB4" w14:textId="77777777" w:rsidR="00FA7EBF" w:rsidRDefault="00FA7EBF">
            <w:pPr>
              <w:pStyle w:val="ARtabletextrightbold"/>
            </w:pPr>
            <w:r>
              <w:t>2,173</w:t>
            </w:r>
          </w:p>
        </w:tc>
        <w:tc>
          <w:tcPr>
            <w:tcW w:w="1338" w:type="dxa"/>
            <w:tcBorders>
              <w:top w:val="single" w:sz="4" w:space="0" w:color="auto"/>
              <w:left w:val="single" w:sz="4" w:space="0" w:color="FFFFFF"/>
              <w:bottom w:val="single" w:sz="4" w:space="0" w:color="auto"/>
              <w:right w:val="single" w:sz="4" w:space="0" w:color="FFFFFF"/>
            </w:tcBorders>
            <w:hideMark/>
          </w:tcPr>
          <w:p w14:paraId="5495AE65" w14:textId="77777777" w:rsidR="00FA7EBF" w:rsidRDefault="00FA7EBF">
            <w:pPr>
              <w:pStyle w:val="ARtabletextrightbold"/>
            </w:pPr>
            <w:r>
              <w:t>(10.6)</w:t>
            </w:r>
          </w:p>
        </w:tc>
      </w:tr>
      <w:tr w:rsidR="00FA7EBF" w14:paraId="337AEF7F" w14:textId="77777777" w:rsidTr="003075FD">
        <w:tc>
          <w:tcPr>
            <w:tcW w:w="2952" w:type="dxa"/>
            <w:tcBorders>
              <w:top w:val="single" w:sz="4" w:space="0" w:color="auto"/>
              <w:left w:val="single" w:sz="4" w:space="0" w:color="FFFFFF"/>
              <w:bottom w:val="single" w:sz="4" w:space="0" w:color="A6A6A6" w:themeColor="background1" w:themeShade="A6"/>
              <w:right w:val="single" w:sz="4" w:space="0" w:color="FFFFFF"/>
            </w:tcBorders>
            <w:hideMark/>
          </w:tcPr>
          <w:p w14:paraId="5C0DB647" w14:textId="77777777" w:rsidR="00FA7EBF" w:rsidRDefault="00FA7EBF">
            <w:pPr>
              <w:pStyle w:val="ARtabletext"/>
            </w:pPr>
            <w:r>
              <w:t>Net contributions by owners</w:t>
            </w:r>
          </w:p>
        </w:tc>
        <w:tc>
          <w:tcPr>
            <w:tcW w:w="1338" w:type="dxa"/>
            <w:tcBorders>
              <w:top w:val="single" w:sz="4" w:space="0" w:color="auto"/>
              <w:left w:val="single" w:sz="4" w:space="0" w:color="FFFFFF"/>
              <w:bottom w:val="single" w:sz="4" w:space="0" w:color="A6A6A6" w:themeColor="background1" w:themeShade="A6"/>
              <w:right w:val="single" w:sz="4" w:space="0" w:color="FFFFFF"/>
            </w:tcBorders>
            <w:hideMark/>
          </w:tcPr>
          <w:p w14:paraId="1516B8DB" w14:textId="77777777" w:rsidR="00FA7EBF" w:rsidRDefault="00FA7EBF">
            <w:pPr>
              <w:pStyle w:val="ARtabletextright"/>
            </w:pPr>
            <w:r>
              <w:t>5,913</w:t>
            </w:r>
          </w:p>
        </w:tc>
        <w:tc>
          <w:tcPr>
            <w:tcW w:w="1337" w:type="dxa"/>
            <w:tcBorders>
              <w:top w:val="single" w:sz="4" w:space="0" w:color="auto"/>
              <w:left w:val="single" w:sz="4" w:space="0" w:color="FFFFFF"/>
              <w:bottom w:val="single" w:sz="4" w:space="0" w:color="A6A6A6" w:themeColor="background1" w:themeShade="A6"/>
              <w:right w:val="single" w:sz="4" w:space="0" w:color="FFFFFF"/>
            </w:tcBorders>
            <w:hideMark/>
          </w:tcPr>
          <w:p w14:paraId="23BE7517" w14:textId="77777777" w:rsidR="00FA7EBF" w:rsidRDefault="00FA7EBF">
            <w:pPr>
              <w:pStyle w:val="ARtabletextright"/>
            </w:pPr>
            <w:r>
              <w:t>5,913</w:t>
            </w:r>
          </w:p>
        </w:tc>
        <w:tc>
          <w:tcPr>
            <w:tcW w:w="1337" w:type="dxa"/>
            <w:tcBorders>
              <w:top w:val="single" w:sz="4" w:space="0" w:color="auto"/>
              <w:left w:val="single" w:sz="4" w:space="0" w:color="FFFFFF"/>
              <w:bottom w:val="single" w:sz="4" w:space="0" w:color="A6A6A6" w:themeColor="background1" w:themeShade="A6"/>
              <w:right w:val="single" w:sz="4" w:space="0" w:color="FFFFFF"/>
            </w:tcBorders>
            <w:hideMark/>
          </w:tcPr>
          <w:p w14:paraId="5C9EAA6D" w14:textId="77777777" w:rsidR="00FA7EBF" w:rsidRDefault="00FA7EBF">
            <w:pPr>
              <w:pStyle w:val="ARtabletextright"/>
            </w:pPr>
            <w:r>
              <w:t>–</w:t>
            </w:r>
          </w:p>
        </w:tc>
        <w:tc>
          <w:tcPr>
            <w:tcW w:w="1337" w:type="dxa"/>
            <w:tcBorders>
              <w:top w:val="single" w:sz="4" w:space="0" w:color="auto"/>
              <w:left w:val="single" w:sz="4" w:space="0" w:color="FFFFFF"/>
              <w:bottom w:val="single" w:sz="4" w:space="0" w:color="A6A6A6" w:themeColor="background1" w:themeShade="A6"/>
              <w:right w:val="single" w:sz="4" w:space="0" w:color="FFFFFF"/>
            </w:tcBorders>
            <w:hideMark/>
          </w:tcPr>
          <w:p w14:paraId="4DFD04D8" w14:textId="77777777" w:rsidR="00FA7EBF" w:rsidRDefault="00FA7EBF">
            <w:pPr>
              <w:pStyle w:val="ARtabletextright"/>
            </w:pPr>
            <w:r>
              <w:t>5,913</w:t>
            </w:r>
          </w:p>
        </w:tc>
        <w:tc>
          <w:tcPr>
            <w:tcW w:w="1338" w:type="dxa"/>
            <w:tcBorders>
              <w:top w:val="single" w:sz="4" w:space="0" w:color="auto"/>
              <w:left w:val="single" w:sz="4" w:space="0" w:color="FFFFFF"/>
              <w:bottom w:val="single" w:sz="4" w:space="0" w:color="A6A6A6" w:themeColor="background1" w:themeShade="A6"/>
              <w:right w:val="single" w:sz="4" w:space="0" w:color="FFFFFF"/>
            </w:tcBorders>
            <w:hideMark/>
          </w:tcPr>
          <w:p w14:paraId="7EAFA5DC" w14:textId="77777777" w:rsidR="00FA7EBF" w:rsidRDefault="00FA7EBF">
            <w:pPr>
              <w:pStyle w:val="ARtabletextright"/>
            </w:pPr>
            <w:r>
              <w:t>–</w:t>
            </w:r>
          </w:p>
        </w:tc>
      </w:tr>
      <w:tr w:rsidR="00FA7EBF" w14:paraId="1D2AAE80" w14:textId="77777777" w:rsidTr="003075FD">
        <w:tc>
          <w:tcPr>
            <w:tcW w:w="2952" w:type="dxa"/>
            <w:tcBorders>
              <w:top w:val="single" w:sz="4" w:space="0" w:color="A6A6A6" w:themeColor="background1" w:themeShade="A6"/>
              <w:left w:val="single" w:sz="4" w:space="0" w:color="FFFFFF"/>
              <w:bottom w:val="single" w:sz="4" w:space="0" w:color="auto"/>
              <w:right w:val="single" w:sz="4" w:space="0" w:color="FFFFFF"/>
            </w:tcBorders>
            <w:hideMark/>
          </w:tcPr>
          <w:p w14:paraId="0E42974F" w14:textId="77777777" w:rsidR="00FA7EBF" w:rsidRDefault="00FA7EBF">
            <w:pPr>
              <w:pStyle w:val="ARtabletext"/>
            </w:pPr>
            <w:r>
              <w:t>Transactions with owners in their capacity as owners</w:t>
            </w:r>
          </w:p>
        </w:tc>
        <w:tc>
          <w:tcPr>
            <w:tcW w:w="1338" w:type="dxa"/>
            <w:tcBorders>
              <w:top w:val="single" w:sz="4" w:space="0" w:color="A6A6A6" w:themeColor="background1" w:themeShade="A6"/>
              <w:left w:val="single" w:sz="4" w:space="0" w:color="FFFFFF"/>
              <w:bottom w:val="single" w:sz="4" w:space="0" w:color="auto"/>
              <w:right w:val="single" w:sz="4" w:space="0" w:color="FFFFFF"/>
            </w:tcBorders>
            <w:hideMark/>
          </w:tcPr>
          <w:p w14:paraId="2BB35FB5" w14:textId="77777777" w:rsidR="00FA7EBF" w:rsidRDefault="00FA7EBF">
            <w:pPr>
              <w:pStyle w:val="ARtabletextright"/>
            </w:pPr>
            <w:r>
              <w:t>138</w:t>
            </w:r>
          </w:p>
        </w:tc>
        <w:tc>
          <w:tcPr>
            <w:tcW w:w="1337" w:type="dxa"/>
            <w:tcBorders>
              <w:top w:val="single" w:sz="4" w:space="0" w:color="A6A6A6" w:themeColor="background1" w:themeShade="A6"/>
              <w:left w:val="single" w:sz="4" w:space="0" w:color="FFFFFF"/>
              <w:bottom w:val="single" w:sz="4" w:space="0" w:color="auto"/>
              <w:right w:val="single" w:sz="4" w:space="0" w:color="FFFFFF"/>
            </w:tcBorders>
            <w:hideMark/>
          </w:tcPr>
          <w:p w14:paraId="1B6B6A76" w14:textId="77777777" w:rsidR="00FA7EBF" w:rsidRDefault="00FA7EBF">
            <w:pPr>
              <w:pStyle w:val="ARtabletextright"/>
            </w:pPr>
            <w:r>
              <w:t>136</w:t>
            </w:r>
          </w:p>
        </w:tc>
        <w:tc>
          <w:tcPr>
            <w:tcW w:w="1337" w:type="dxa"/>
            <w:tcBorders>
              <w:top w:val="single" w:sz="4" w:space="0" w:color="A6A6A6" w:themeColor="background1" w:themeShade="A6"/>
              <w:left w:val="single" w:sz="4" w:space="0" w:color="FFFFFF"/>
              <w:bottom w:val="single" w:sz="4" w:space="0" w:color="auto"/>
              <w:right w:val="single" w:sz="4" w:space="0" w:color="FFFFFF"/>
            </w:tcBorders>
            <w:hideMark/>
          </w:tcPr>
          <w:p w14:paraId="02E00431" w14:textId="77777777" w:rsidR="00FA7EBF" w:rsidRDefault="00FA7EBF">
            <w:pPr>
              <w:pStyle w:val="ARtabletextright"/>
            </w:pPr>
            <w:r>
              <w:t>1.8</w:t>
            </w:r>
          </w:p>
        </w:tc>
        <w:tc>
          <w:tcPr>
            <w:tcW w:w="1337" w:type="dxa"/>
            <w:tcBorders>
              <w:top w:val="single" w:sz="4" w:space="0" w:color="A6A6A6" w:themeColor="background1" w:themeShade="A6"/>
              <w:left w:val="single" w:sz="4" w:space="0" w:color="FFFFFF"/>
              <w:bottom w:val="single" w:sz="4" w:space="0" w:color="auto"/>
              <w:right w:val="single" w:sz="4" w:space="0" w:color="FFFFFF"/>
            </w:tcBorders>
            <w:hideMark/>
          </w:tcPr>
          <w:p w14:paraId="670D7EAD" w14:textId="77777777" w:rsidR="00FA7EBF" w:rsidRDefault="00FA7EBF">
            <w:pPr>
              <w:pStyle w:val="ARtabletextright"/>
            </w:pPr>
            <w:r>
              <w:t>168</w:t>
            </w:r>
          </w:p>
        </w:tc>
        <w:tc>
          <w:tcPr>
            <w:tcW w:w="1338" w:type="dxa"/>
            <w:tcBorders>
              <w:top w:val="single" w:sz="4" w:space="0" w:color="A6A6A6" w:themeColor="background1" w:themeShade="A6"/>
              <w:left w:val="single" w:sz="4" w:space="0" w:color="FFFFFF"/>
              <w:bottom w:val="single" w:sz="4" w:space="0" w:color="auto"/>
              <w:right w:val="single" w:sz="4" w:space="0" w:color="FFFFFF"/>
            </w:tcBorders>
            <w:hideMark/>
          </w:tcPr>
          <w:p w14:paraId="0BC19981" w14:textId="77777777" w:rsidR="00FA7EBF" w:rsidRDefault="00FA7EBF">
            <w:pPr>
              <w:pStyle w:val="ARtabletextright"/>
            </w:pPr>
            <w:r>
              <w:t>(100.0)</w:t>
            </w:r>
          </w:p>
        </w:tc>
      </w:tr>
      <w:tr w:rsidR="00FA7EBF" w14:paraId="27CF0524" w14:textId="77777777" w:rsidTr="003075FD">
        <w:tc>
          <w:tcPr>
            <w:tcW w:w="2952" w:type="dxa"/>
            <w:tcBorders>
              <w:top w:val="single" w:sz="4" w:space="0" w:color="auto"/>
              <w:left w:val="single" w:sz="4" w:space="0" w:color="FFFFFF"/>
              <w:bottom w:val="single" w:sz="4" w:space="0" w:color="auto"/>
              <w:right w:val="single" w:sz="4" w:space="0" w:color="FFFFFF"/>
            </w:tcBorders>
            <w:hideMark/>
          </w:tcPr>
          <w:p w14:paraId="097526AA" w14:textId="77777777" w:rsidR="00FA7EBF" w:rsidRDefault="00FA7EBF">
            <w:pPr>
              <w:pStyle w:val="ARtabletextbold"/>
            </w:pPr>
            <w:r>
              <w:t>Contributions by owners</w:t>
            </w:r>
          </w:p>
        </w:tc>
        <w:tc>
          <w:tcPr>
            <w:tcW w:w="1338" w:type="dxa"/>
            <w:tcBorders>
              <w:top w:val="single" w:sz="4" w:space="0" w:color="auto"/>
              <w:left w:val="single" w:sz="4" w:space="0" w:color="FFFFFF"/>
              <w:bottom w:val="single" w:sz="4" w:space="0" w:color="auto"/>
              <w:right w:val="single" w:sz="4" w:space="0" w:color="FFFFFF"/>
            </w:tcBorders>
            <w:hideMark/>
          </w:tcPr>
          <w:p w14:paraId="6E590A24" w14:textId="77777777" w:rsidR="00FA7EBF" w:rsidRDefault="00FA7EBF">
            <w:pPr>
              <w:pStyle w:val="ARtabletextrightbold"/>
            </w:pPr>
            <w:r>
              <w:t>6,052</w:t>
            </w:r>
          </w:p>
        </w:tc>
        <w:tc>
          <w:tcPr>
            <w:tcW w:w="1337" w:type="dxa"/>
            <w:tcBorders>
              <w:top w:val="single" w:sz="4" w:space="0" w:color="auto"/>
              <w:left w:val="single" w:sz="4" w:space="0" w:color="FFFFFF"/>
              <w:bottom w:val="single" w:sz="4" w:space="0" w:color="auto"/>
              <w:right w:val="single" w:sz="4" w:space="0" w:color="FFFFFF"/>
            </w:tcBorders>
            <w:hideMark/>
          </w:tcPr>
          <w:p w14:paraId="68E704BB" w14:textId="77777777" w:rsidR="00FA7EBF" w:rsidRDefault="00FA7EBF">
            <w:pPr>
              <w:pStyle w:val="ARtabletextrightbold"/>
            </w:pPr>
            <w:r>
              <w:t>6,049</w:t>
            </w:r>
          </w:p>
        </w:tc>
        <w:tc>
          <w:tcPr>
            <w:tcW w:w="1337" w:type="dxa"/>
            <w:tcBorders>
              <w:top w:val="single" w:sz="4" w:space="0" w:color="auto"/>
              <w:left w:val="single" w:sz="4" w:space="0" w:color="FFFFFF"/>
              <w:bottom w:val="single" w:sz="4" w:space="0" w:color="auto"/>
              <w:right w:val="single" w:sz="4" w:space="0" w:color="FFFFFF"/>
            </w:tcBorders>
            <w:hideMark/>
          </w:tcPr>
          <w:p w14:paraId="01AD6B4E" w14:textId="77777777" w:rsidR="00FA7EBF" w:rsidRDefault="00FA7EBF">
            <w:pPr>
              <w:pStyle w:val="ARtabletextrightbold"/>
            </w:pPr>
            <w:r>
              <w:t>–</w:t>
            </w:r>
          </w:p>
        </w:tc>
        <w:tc>
          <w:tcPr>
            <w:tcW w:w="1337" w:type="dxa"/>
            <w:tcBorders>
              <w:top w:val="single" w:sz="4" w:space="0" w:color="auto"/>
              <w:left w:val="single" w:sz="4" w:space="0" w:color="FFFFFF"/>
              <w:bottom w:val="single" w:sz="4" w:space="0" w:color="auto"/>
              <w:right w:val="single" w:sz="4" w:space="0" w:color="FFFFFF"/>
            </w:tcBorders>
            <w:hideMark/>
          </w:tcPr>
          <w:p w14:paraId="74FA3BFE" w14:textId="77777777" w:rsidR="00FA7EBF" w:rsidRDefault="00FA7EBF">
            <w:pPr>
              <w:pStyle w:val="ARtabletextrightbold"/>
            </w:pPr>
            <w:r>
              <w:t>6,081</w:t>
            </w:r>
          </w:p>
        </w:tc>
        <w:tc>
          <w:tcPr>
            <w:tcW w:w="1338" w:type="dxa"/>
            <w:tcBorders>
              <w:top w:val="single" w:sz="4" w:space="0" w:color="auto"/>
              <w:left w:val="single" w:sz="4" w:space="0" w:color="FFFFFF"/>
              <w:bottom w:val="single" w:sz="4" w:space="0" w:color="auto"/>
              <w:right w:val="single" w:sz="4" w:space="0" w:color="FFFFFF"/>
            </w:tcBorders>
            <w:hideMark/>
          </w:tcPr>
          <w:p w14:paraId="3EDC6301" w14:textId="77777777" w:rsidR="00FA7EBF" w:rsidRDefault="00FA7EBF">
            <w:pPr>
              <w:pStyle w:val="ARtabletextrightbold"/>
            </w:pPr>
            <w:r>
              <w:t>(0.5)</w:t>
            </w:r>
          </w:p>
        </w:tc>
      </w:tr>
      <w:tr w:rsidR="00FA7EBF" w14:paraId="7A2FC4C5" w14:textId="77777777" w:rsidTr="003075FD">
        <w:tc>
          <w:tcPr>
            <w:tcW w:w="2952" w:type="dxa"/>
            <w:tcBorders>
              <w:top w:val="single" w:sz="4" w:space="0" w:color="auto"/>
              <w:left w:val="single" w:sz="4" w:space="0" w:color="FFFFFF"/>
              <w:bottom w:val="single" w:sz="4" w:space="0" w:color="A6A6A6" w:themeColor="background1" w:themeShade="A6"/>
              <w:right w:val="single" w:sz="4" w:space="0" w:color="FFFFFF"/>
            </w:tcBorders>
            <w:hideMark/>
          </w:tcPr>
          <w:p w14:paraId="4C04FF82" w14:textId="77777777" w:rsidR="00FA7EBF" w:rsidRDefault="00FA7EBF">
            <w:pPr>
              <w:pStyle w:val="ARtabletext"/>
            </w:pPr>
            <w:r>
              <w:t>Physical asset revaluation reserve</w:t>
            </w:r>
          </w:p>
        </w:tc>
        <w:tc>
          <w:tcPr>
            <w:tcW w:w="1338" w:type="dxa"/>
            <w:tcBorders>
              <w:top w:val="single" w:sz="4" w:space="0" w:color="auto"/>
              <w:left w:val="single" w:sz="4" w:space="0" w:color="FFFFFF"/>
              <w:bottom w:val="single" w:sz="4" w:space="0" w:color="A6A6A6" w:themeColor="background1" w:themeShade="A6"/>
              <w:right w:val="single" w:sz="4" w:space="0" w:color="FFFFFF"/>
            </w:tcBorders>
            <w:hideMark/>
          </w:tcPr>
          <w:p w14:paraId="76CAF85D" w14:textId="77777777" w:rsidR="00FA7EBF" w:rsidRDefault="00FA7EBF">
            <w:pPr>
              <w:pStyle w:val="ARtabletextright"/>
            </w:pPr>
            <w:r>
              <w:t>7,271</w:t>
            </w:r>
          </w:p>
        </w:tc>
        <w:tc>
          <w:tcPr>
            <w:tcW w:w="1337" w:type="dxa"/>
            <w:tcBorders>
              <w:top w:val="single" w:sz="4" w:space="0" w:color="auto"/>
              <w:left w:val="single" w:sz="4" w:space="0" w:color="FFFFFF"/>
              <w:bottom w:val="single" w:sz="4" w:space="0" w:color="A6A6A6" w:themeColor="background1" w:themeShade="A6"/>
              <w:right w:val="single" w:sz="4" w:space="0" w:color="FFFFFF"/>
            </w:tcBorders>
            <w:hideMark/>
          </w:tcPr>
          <w:p w14:paraId="63A6F554" w14:textId="77777777" w:rsidR="00FA7EBF" w:rsidRDefault="00FA7EBF">
            <w:pPr>
              <w:pStyle w:val="ARtabletextright"/>
            </w:pPr>
            <w:r>
              <w:t>7,271</w:t>
            </w:r>
          </w:p>
        </w:tc>
        <w:tc>
          <w:tcPr>
            <w:tcW w:w="1337" w:type="dxa"/>
            <w:tcBorders>
              <w:top w:val="single" w:sz="4" w:space="0" w:color="auto"/>
              <w:left w:val="single" w:sz="4" w:space="0" w:color="FFFFFF"/>
              <w:bottom w:val="single" w:sz="4" w:space="0" w:color="A6A6A6" w:themeColor="background1" w:themeShade="A6"/>
              <w:right w:val="single" w:sz="4" w:space="0" w:color="FFFFFF"/>
            </w:tcBorders>
            <w:hideMark/>
          </w:tcPr>
          <w:p w14:paraId="171E86F0" w14:textId="77777777" w:rsidR="00FA7EBF" w:rsidRDefault="00FA7EBF">
            <w:pPr>
              <w:pStyle w:val="ARtabletextright"/>
            </w:pPr>
            <w:r>
              <w:t>–</w:t>
            </w:r>
          </w:p>
        </w:tc>
        <w:tc>
          <w:tcPr>
            <w:tcW w:w="1337" w:type="dxa"/>
            <w:tcBorders>
              <w:top w:val="single" w:sz="4" w:space="0" w:color="auto"/>
              <w:left w:val="single" w:sz="4" w:space="0" w:color="FFFFFF"/>
              <w:bottom w:val="single" w:sz="4" w:space="0" w:color="A6A6A6" w:themeColor="background1" w:themeShade="A6"/>
              <w:right w:val="single" w:sz="4" w:space="0" w:color="FFFFFF"/>
            </w:tcBorders>
            <w:hideMark/>
          </w:tcPr>
          <w:p w14:paraId="092B5C7D" w14:textId="77777777" w:rsidR="00FA7EBF" w:rsidRDefault="00FA7EBF">
            <w:pPr>
              <w:pStyle w:val="ARtabletextright"/>
            </w:pPr>
            <w:r>
              <w:t>7,271</w:t>
            </w:r>
          </w:p>
        </w:tc>
        <w:tc>
          <w:tcPr>
            <w:tcW w:w="1338" w:type="dxa"/>
            <w:tcBorders>
              <w:top w:val="single" w:sz="4" w:space="0" w:color="auto"/>
              <w:left w:val="single" w:sz="4" w:space="0" w:color="FFFFFF"/>
              <w:bottom w:val="single" w:sz="4" w:space="0" w:color="A6A6A6" w:themeColor="background1" w:themeShade="A6"/>
              <w:right w:val="single" w:sz="4" w:space="0" w:color="FFFFFF"/>
            </w:tcBorders>
            <w:hideMark/>
          </w:tcPr>
          <w:p w14:paraId="5F87DCD5" w14:textId="77777777" w:rsidR="00FA7EBF" w:rsidRDefault="00FA7EBF">
            <w:pPr>
              <w:pStyle w:val="ARtabletextright"/>
            </w:pPr>
            <w:r>
              <w:t>–</w:t>
            </w:r>
          </w:p>
        </w:tc>
      </w:tr>
      <w:tr w:rsidR="00FA7EBF" w14:paraId="7AEB8ED5" w14:textId="77777777" w:rsidTr="003075FD">
        <w:tc>
          <w:tcPr>
            <w:tcW w:w="295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59CC144" w14:textId="77777777" w:rsidR="00FA7EBF" w:rsidRDefault="00FA7EBF">
            <w:pPr>
              <w:pStyle w:val="ARtabletext"/>
            </w:pPr>
            <w:r>
              <w:t>Transactions with owners in their capacity as owners</w:t>
            </w:r>
          </w:p>
        </w:tc>
        <w:tc>
          <w:tcPr>
            <w:tcW w:w="133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9AEFF62" w14:textId="77777777" w:rsidR="00FA7EBF" w:rsidRDefault="00FA7EBF">
            <w:pPr>
              <w:pStyle w:val="ARtabletextright"/>
            </w:pPr>
            <w:r>
              <w:t>–</w:t>
            </w:r>
          </w:p>
        </w:tc>
        <w:tc>
          <w:tcPr>
            <w:tcW w:w="13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988167E" w14:textId="77777777" w:rsidR="00FA7EBF" w:rsidRDefault="00FA7EBF">
            <w:pPr>
              <w:pStyle w:val="ARtabletextright"/>
            </w:pPr>
            <w:r>
              <w:t>(346)</w:t>
            </w:r>
          </w:p>
        </w:tc>
        <w:tc>
          <w:tcPr>
            <w:tcW w:w="13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4D3829D" w14:textId="77777777" w:rsidR="00FA7EBF" w:rsidRDefault="00FA7EBF">
            <w:pPr>
              <w:pStyle w:val="ARtabletextright"/>
            </w:pPr>
            <w:r>
              <w:t>–</w:t>
            </w:r>
          </w:p>
        </w:tc>
        <w:tc>
          <w:tcPr>
            <w:tcW w:w="1337"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146ACA3" w14:textId="77777777" w:rsidR="00FA7EBF" w:rsidRDefault="00FA7EBF">
            <w:pPr>
              <w:pStyle w:val="ARtabletextright"/>
            </w:pPr>
            <w:r>
              <w:t>–</w:t>
            </w:r>
          </w:p>
        </w:tc>
        <w:tc>
          <w:tcPr>
            <w:tcW w:w="133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F599666" w14:textId="77777777" w:rsidR="00FA7EBF" w:rsidRDefault="00FA7EBF">
            <w:pPr>
              <w:pStyle w:val="ARtabletextright"/>
            </w:pPr>
            <w:r>
              <w:t>–</w:t>
            </w:r>
          </w:p>
        </w:tc>
      </w:tr>
      <w:tr w:rsidR="00FA7EBF" w14:paraId="55399C88" w14:textId="77777777" w:rsidTr="003075FD">
        <w:tc>
          <w:tcPr>
            <w:tcW w:w="2952" w:type="dxa"/>
            <w:tcBorders>
              <w:top w:val="single" w:sz="4" w:space="0" w:color="A6A6A6" w:themeColor="background1" w:themeShade="A6"/>
              <w:left w:val="single" w:sz="4" w:space="0" w:color="FFFFFF"/>
              <w:bottom w:val="single" w:sz="4" w:space="0" w:color="auto"/>
              <w:right w:val="single" w:sz="4" w:space="0" w:color="FFFFFF"/>
            </w:tcBorders>
            <w:hideMark/>
          </w:tcPr>
          <w:p w14:paraId="39D38D88" w14:textId="77777777" w:rsidR="00FA7EBF" w:rsidRDefault="00FA7EBF">
            <w:pPr>
              <w:pStyle w:val="ARtabletext"/>
            </w:pPr>
            <w:r>
              <w:t>Comprehensive result</w:t>
            </w:r>
          </w:p>
        </w:tc>
        <w:tc>
          <w:tcPr>
            <w:tcW w:w="1338" w:type="dxa"/>
            <w:tcBorders>
              <w:top w:val="single" w:sz="4" w:space="0" w:color="A6A6A6" w:themeColor="background1" w:themeShade="A6"/>
              <w:left w:val="single" w:sz="4" w:space="0" w:color="FFFFFF"/>
              <w:bottom w:val="single" w:sz="4" w:space="0" w:color="auto"/>
              <w:right w:val="single" w:sz="4" w:space="0" w:color="FFFFFF"/>
            </w:tcBorders>
            <w:hideMark/>
          </w:tcPr>
          <w:p w14:paraId="03E97E4A" w14:textId="77777777" w:rsidR="00FA7EBF" w:rsidRDefault="00FA7EBF">
            <w:pPr>
              <w:pStyle w:val="ARtabletextright"/>
            </w:pPr>
            <w:r>
              <w:t>2,691</w:t>
            </w:r>
          </w:p>
        </w:tc>
        <w:tc>
          <w:tcPr>
            <w:tcW w:w="1337" w:type="dxa"/>
            <w:tcBorders>
              <w:top w:val="single" w:sz="4" w:space="0" w:color="A6A6A6" w:themeColor="background1" w:themeShade="A6"/>
              <w:left w:val="single" w:sz="4" w:space="0" w:color="FFFFFF"/>
              <w:bottom w:val="single" w:sz="4" w:space="0" w:color="auto"/>
              <w:right w:val="single" w:sz="4" w:space="0" w:color="FFFFFF"/>
            </w:tcBorders>
            <w:hideMark/>
          </w:tcPr>
          <w:p w14:paraId="2F9E953B" w14:textId="77777777" w:rsidR="00FA7EBF" w:rsidRDefault="00FA7EBF">
            <w:pPr>
              <w:pStyle w:val="ARtabletextright"/>
            </w:pPr>
            <w:r>
              <w:t>–</w:t>
            </w:r>
          </w:p>
        </w:tc>
        <w:tc>
          <w:tcPr>
            <w:tcW w:w="1337" w:type="dxa"/>
            <w:tcBorders>
              <w:top w:val="single" w:sz="4" w:space="0" w:color="A6A6A6" w:themeColor="background1" w:themeShade="A6"/>
              <w:left w:val="single" w:sz="4" w:space="0" w:color="FFFFFF"/>
              <w:bottom w:val="single" w:sz="4" w:space="0" w:color="auto"/>
              <w:right w:val="single" w:sz="4" w:space="0" w:color="FFFFFF"/>
            </w:tcBorders>
            <w:hideMark/>
          </w:tcPr>
          <w:p w14:paraId="71CFC2AF" w14:textId="77777777" w:rsidR="00FA7EBF" w:rsidRDefault="00FA7EBF">
            <w:pPr>
              <w:pStyle w:val="ARtabletextright"/>
            </w:pPr>
            <w:r>
              <w:t>–</w:t>
            </w:r>
          </w:p>
        </w:tc>
        <w:tc>
          <w:tcPr>
            <w:tcW w:w="1337" w:type="dxa"/>
            <w:tcBorders>
              <w:top w:val="single" w:sz="4" w:space="0" w:color="A6A6A6" w:themeColor="background1" w:themeShade="A6"/>
              <w:left w:val="single" w:sz="4" w:space="0" w:color="FFFFFF"/>
              <w:bottom w:val="single" w:sz="4" w:space="0" w:color="auto"/>
              <w:right w:val="single" w:sz="4" w:space="0" w:color="FFFFFF"/>
            </w:tcBorders>
            <w:hideMark/>
          </w:tcPr>
          <w:p w14:paraId="4A6CB400" w14:textId="77777777" w:rsidR="00FA7EBF" w:rsidRDefault="00FA7EBF">
            <w:pPr>
              <w:pStyle w:val="ARtabletextright"/>
            </w:pPr>
            <w:r>
              <w:t>–</w:t>
            </w:r>
          </w:p>
        </w:tc>
        <w:tc>
          <w:tcPr>
            <w:tcW w:w="1338" w:type="dxa"/>
            <w:tcBorders>
              <w:top w:val="single" w:sz="4" w:space="0" w:color="A6A6A6" w:themeColor="background1" w:themeShade="A6"/>
              <w:left w:val="single" w:sz="4" w:space="0" w:color="FFFFFF"/>
              <w:bottom w:val="single" w:sz="4" w:space="0" w:color="auto"/>
              <w:right w:val="single" w:sz="4" w:space="0" w:color="FFFFFF"/>
            </w:tcBorders>
            <w:hideMark/>
          </w:tcPr>
          <w:p w14:paraId="47424ABA" w14:textId="77777777" w:rsidR="00FA7EBF" w:rsidRDefault="00FA7EBF">
            <w:pPr>
              <w:pStyle w:val="ARtabletextright"/>
            </w:pPr>
            <w:r>
              <w:t>–</w:t>
            </w:r>
          </w:p>
        </w:tc>
      </w:tr>
      <w:tr w:rsidR="00FA7EBF" w14:paraId="0A0A75DF" w14:textId="77777777" w:rsidTr="003075FD">
        <w:tc>
          <w:tcPr>
            <w:tcW w:w="2952" w:type="dxa"/>
            <w:tcBorders>
              <w:top w:val="single" w:sz="4" w:space="0" w:color="auto"/>
              <w:left w:val="single" w:sz="4" w:space="0" w:color="FFFFFF"/>
              <w:bottom w:val="single" w:sz="4" w:space="0" w:color="auto"/>
              <w:right w:val="single" w:sz="4" w:space="0" w:color="FFFFFF"/>
            </w:tcBorders>
            <w:hideMark/>
          </w:tcPr>
          <w:p w14:paraId="1E36FAE1" w14:textId="77777777" w:rsidR="00FA7EBF" w:rsidRDefault="00FA7EBF">
            <w:pPr>
              <w:pStyle w:val="ARtabletextbold"/>
            </w:pPr>
            <w:r>
              <w:t>Physical asset revaluation reserve</w:t>
            </w:r>
          </w:p>
        </w:tc>
        <w:tc>
          <w:tcPr>
            <w:tcW w:w="1338" w:type="dxa"/>
            <w:tcBorders>
              <w:top w:val="single" w:sz="4" w:space="0" w:color="auto"/>
              <w:left w:val="single" w:sz="4" w:space="0" w:color="FFFFFF"/>
              <w:bottom w:val="single" w:sz="4" w:space="0" w:color="auto"/>
              <w:right w:val="single" w:sz="4" w:space="0" w:color="FFFFFF"/>
            </w:tcBorders>
            <w:hideMark/>
          </w:tcPr>
          <w:p w14:paraId="3E434BAD" w14:textId="77777777" w:rsidR="00FA7EBF" w:rsidRDefault="00FA7EBF">
            <w:pPr>
              <w:pStyle w:val="ARtabletextrightbold"/>
            </w:pPr>
            <w:r>
              <w:t>9,962</w:t>
            </w:r>
          </w:p>
        </w:tc>
        <w:tc>
          <w:tcPr>
            <w:tcW w:w="1337" w:type="dxa"/>
            <w:tcBorders>
              <w:top w:val="single" w:sz="4" w:space="0" w:color="auto"/>
              <w:left w:val="single" w:sz="4" w:space="0" w:color="FFFFFF"/>
              <w:bottom w:val="single" w:sz="4" w:space="0" w:color="auto"/>
              <w:right w:val="single" w:sz="4" w:space="0" w:color="FFFFFF"/>
            </w:tcBorders>
            <w:hideMark/>
          </w:tcPr>
          <w:p w14:paraId="36BAFFB1" w14:textId="77777777" w:rsidR="00FA7EBF" w:rsidRDefault="00FA7EBF">
            <w:pPr>
              <w:pStyle w:val="ARtabletextrightbold"/>
            </w:pPr>
            <w:r>
              <w:t>6,925</w:t>
            </w:r>
          </w:p>
        </w:tc>
        <w:tc>
          <w:tcPr>
            <w:tcW w:w="1337" w:type="dxa"/>
            <w:tcBorders>
              <w:top w:val="single" w:sz="4" w:space="0" w:color="auto"/>
              <w:left w:val="single" w:sz="4" w:space="0" w:color="FFFFFF"/>
              <w:bottom w:val="single" w:sz="4" w:space="0" w:color="auto"/>
              <w:right w:val="single" w:sz="4" w:space="0" w:color="FFFFFF"/>
            </w:tcBorders>
            <w:hideMark/>
          </w:tcPr>
          <w:p w14:paraId="3EF00CF5" w14:textId="77777777" w:rsidR="00FA7EBF" w:rsidRDefault="00FA7EBF">
            <w:pPr>
              <w:pStyle w:val="ARtabletextrightbold"/>
            </w:pPr>
            <w:r>
              <w:t>43.9</w:t>
            </w:r>
          </w:p>
        </w:tc>
        <w:tc>
          <w:tcPr>
            <w:tcW w:w="1337" w:type="dxa"/>
            <w:tcBorders>
              <w:top w:val="single" w:sz="4" w:space="0" w:color="auto"/>
              <w:left w:val="single" w:sz="4" w:space="0" w:color="FFFFFF"/>
              <w:bottom w:val="single" w:sz="4" w:space="0" w:color="auto"/>
              <w:right w:val="single" w:sz="4" w:space="0" w:color="FFFFFF"/>
            </w:tcBorders>
            <w:hideMark/>
          </w:tcPr>
          <w:p w14:paraId="1A2DDCD0" w14:textId="77777777" w:rsidR="00FA7EBF" w:rsidRDefault="00FA7EBF">
            <w:pPr>
              <w:pStyle w:val="ARtabletextrightbold"/>
            </w:pPr>
            <w:r>
              <w:t>7,271</w:t>
            </w:r>
          </w:p>
        </w:tc>
        <w:tc>
          <w:tcPr>
            <w:tcW w:w="1338" w:type="dxa"/>
            <w:tcBorders>
              <w:top w:val="single" w:sz="4" w:space="0" w:color="auto"/>
              <w:left w:val="single" w:sz="4" w:space="0" w:color="FFFFFF"/>
              <w:bottom w:val="single" w:sz="4" w:space="0" w:color="auto"/>
              <w:right w:val="single" w:sz="4" w:space="0" w:color="FFFFFF"/>
            </w:tcBorders>
            <w:hideMark/>
          </w:tcPr>
          <w:p w14:paraId="6C7CC7D0" w14:textId="77777777" w:rsidR="00FA7EBF" w:rsidRDefault="00FA7EBF">
            <w:pPr>
              <w:pStyle w:val="ARtabletextrightbold"/>
            </w:pPr>
            <w:r>
              <w:t>37.0</w:t>
            </w:r>
          </w:p>
        </w:tc>
      </w:tr>
      <w:tr w:rsidR="00FA7EBF" w14:paraId="23CB0CB7" w14:textId="77777777" w:rsidTr="003075FD">
        <w:tc>
          <w:tcPr>
            <w:tcW w:w="2952" w:type="dxa"/>
            <w:tcBorders>
              <w:top w:val="single" w:sz="4" w:space="0" w:color="auto"/>
              <w:left w:val="single" w:sz="4" w:space="0" w:color="FFFFFF"/>
              <w:bottom w:val="single" w:sz="4" w:space="0" w:color="A6A6A6" w:themeColor="background1" w:themeShade="A6"/>
              <w:right w:val="single" w:sz="4" w:space="0" w:color="FFFFFF"/>
            </w:tcBorders>
            <w:hideMark/>
          </w:tcPr>
          <w:p w14:paraId="4E589080" w14:textId="77777777" w:rsidR="00FA7EBF" w:rsidRDefault="00FA7EBF">
            <w:pPr>
              <w:pStyle w:val="ARtabletext"/>
            </w:pPr>
            <w:r>
              <w:t>Financial assets available-for-sale reserve</w:t>
            </w:r>
          </w:p>
        </w:tc>
        <w:tc>
          <w:tcPr>
            <w:tcW w:w="1338" w:type="dxa"/>
            <w:tcBorders>
              <w:top w:val="single" w:sz="4" w:space="0" w:color="auto"/>
              <w:left w:val="single" w:sz="4" w:space="0" w:color="FFFFFF"/>
              <w:bottom w:val="single" w:sz="4" w:space="0" w:color="A6A6A6" w:themeColor="background1" w:themeShade="A6"/>
              <w:right w:val="single" w:sz="4" w:space="0" w:color="FFFFFF"/>
            </w:tcBorders>
            <w:hideMark/>
          </w:tcPr>
          <w:p w14:paraId="36AC69F3" w14:textId="77777777" w:rsidR="00FA7EBF" w:rsidRDefault="00FA7EBF">
            <w:pPr>
              <w:pStyle w:val="ARtabletextright"/>
            </w:pPr>
            <w:r>
              <w:t>474</w:t>
            </w:r>
          </w:p>
        </w:tc>
        <w:tc>
          <w:tcPr>
            <w:tcW w:w="1337" w:type="dxa"/>
            <w:tcBorders>
              <w:top w:val="single" w:sz="4" w:space="0" w:color="auto"/>
              <w:left w:val="single" w:sz="4" w:space="0" w:color="FFFFFF"/>
              <w:bottom w:val="single" w:sz="4" w:space="0" w:color="A6A6A6" w:themeColor="background1" w:themeShade="A6"/>
              <w:right w:val="single" w:sz="4" w:space="0" w:color="FFFFFF"/>
            </w:tcBorders>
            <w:hideMark/>
          </w:tcPr>
          <w:p w14:paraId="0F6954E4" w14:textId="77777777" w:rsidR="00FA7EBF" w:rsidRDefault="00FA7EBF">
            <w:pPr>
              <w:pStyle w:val="ARtabletextright"/>
            </w:pPr>
            <w:r>
              <w:t>–</w:t>
            </w:r>
          </w:p>
        </w:tc>
        <w:tc>
          <w:tcPr>
            <w:tcW w:w="1337" w:type="dxa"/>
            <w:tcBorders>
              <w:top w:val="single" w:sz="4" w:space="0" w:color="auto"/>
              <w:left w:val="single" w:sz="4" w:space="0" w:color="FFFFFF"/>
              <w:bottom w:val="single" w:sz="4" w:space="0" w:color="A6A6A6" w:themeColor="background1" w:themeShade="A6"/>
              <w:right w:val="single" w:sz="4" w:space="0" w:color="FFFFFF"/>
            </w:tcBorders>
            <w:hideMark/>
          </w:tcPr>
          <w:p w14:paraId="56EA587D" w14:textId="77777777" w:rsidR="00FA7EBF" w:rsidRDefault="00FA7EBF">
            <w:pPr>
              <w:pStyle w:val="ARtabletextright"/>
            </w:pPr>
            <w:r>
              <w:t>–</w:t>
            </w:r>
          </w:p>
        </w:tc>
        <w:tc>
          <w:tcPr>
            <w:tcW w:w="1337" w:type="dxa"/>
            <w:tcBorders>
              <w:top w:val="single" w:sz="4" w:space="0" w:color="auto"/>
              <w:left w:val="single" w:sz="4" w:space="0" w:color="FFFFFF"/>
              <w:bottom w:val="single" w:sz="4" w:space="0" w:color="A6A6A6" w:themeColor="background1" w:themeShade="A6"/>
              <w:right w:val="single" w:sz="4" w:space="0" w:color="FFFFFF"/>
            </w:tcBorders>
            <w:hideMark/>
          </w:tcPr>
          <w:p w14:paraId="77518CF2" w14:textId="77777777" w:rsidR="00FA7EBF" w:rsidRDefault="00FA7EBF">
            <w:pPr>
              <w:pStyle w:val="ARtabletextright"/>
            </w:pPr>
            <w:r>
              <w:t>–</w:t>
            </w:r>
          </w:p>
        </w:tc>
        <w:tc>
          <w:tcPr>
            <w:tcW w:w="1338" w:type="dxa"/>
            <w:tcBorders>
              <w:top w:val="single" w:sz="4" w:space="0" w:color="auto"/>
              <w:left w:val="single" w:sz="4" w:space="0" w:color="FFFFFF"/>
              <w:bottom w:val="single" w:sz="4" w:space="0" w:color="A6A6A6" w:themeColor="background1" w:themeShade="A6"/>
              <w:right w:val="single" w:sz="4" w:space="0" w:color="FFFFFF"/>
            </w:tcBorders>
            <w:hideMark/>
          </w:tcPr>
          <w:p w14:paraId="0E992271" w14:textId="77777777" w:rsidR="00FA7EBF" w:rsidRDefault="00FA7EBF">
            <w:pPr>
              <w:pStyle w:val="ARtabletextright"/>
            </w:pPr>
            <w:r>
              <w:t>–</w:t>
            </w:r>
          </w:p>
        </w:tc>
      </w:tr>
      <w:tr w:rsidR="00FA7EBF" w14:paraId="253E74DF" w14:textId="77777777" w:rsidTr="003075FD">
        <w:tc>
          <w:tcPr>
            <w:tcW w:w="2952" w:type="dxa"/>
            <w:tcBorders>
              <w:top w:val="single" w:sz="4" w:space="0" w:color="A6A6A6" w:themeColor="background1" w:themeShade="A6"/>
              <w:left w:val="single" w:sz="4" w:space="0" w:color="FFFFFF"/>
              <w:bottom w:val="single" w:sz="4" w:space="0" w:color="auto"/>
              <w:right w:val="single" w:sz="4" w:space="0" w:color="FFFFFF"/>
            </w:tcBorders>
            <w:hideMark/>
          </w:tcPr>
          <w:p w14:paraId="3FB37CC8" w14:textId="77777777" w:rsidR="00FA7EBF" w:rsidRDefault="00FA7EBF">
            <w:pPr>
              <w:pStyle w:val="ARtabletext"/>
            </w:pPr>
            <w:r>
              <w:t>Other reserves</w:t>
            </w:r>
          </w:p>
        </w:tc>
        <w:tc>
          <w:tcPr>
            <w:tcW w:w="1338" w:type="dxa"/>
            <w:tcBorders>
              <w:top w:val="single" w:sz="4" w:space="0" w:color="A6A6A6" w:themeColor="background1" w:themeShade="A6"/>
              <w:left w:val="single" w:sz="4" w:space="0" w:color="FFFFFF"/>
              <w:bottom w:val="single" w:sz="4" w:space="0" w:color="auto"/>
              <w:right w:val="single" w:sz="4" w:space="0" w:color="FFFFFF"/>
            </w:tcBorders>
            <w:hideMark/>
          </w:tcPr>
          <w:p w14:paraId="63C6D640" w14:textId="77777777" w:rsidR="00FA7EBF" w:rsidRDefault="00FA7EBF">
            <w:pPr>
              <w:pStyle w:val="ARtabletextright"/>
            </w:pPr>
            <w:r>
              <w:t>–</w:t>
            </w:r>
          </w:p>
        </w:tc>
        <w:tc>
          <w:tcPr>
            <w:tcW w:w="1337" w:type="dxa"/>
            <w:tcBorders>
              <w:top w:val="single" w:sz="4" w:space="0" w:color="A6A6A6" w:themeColor="background1" w:themeShade="A6"/>
              <w:left w:val="single" w:sz="4" w:space="0" w:color="FFFFFF"/>
              <w:bottom w:val="single" w:sz="4" w:space="0" w:color="auto"/>
              <w:right w:val="single" w:sz="4" w:space="0" w:color="FFFFFF"/>
            </w:tcBorders>
            <w:hideMark/>
          </w:tcPr>
          <w:p w14:paraId="5E164E08" w14:textId="77777777" w:rsidR="00FA7EBF" w:rsidRDefault="00FA7EBF">
            <w:pPr>
              <w:pStyle w:val="ARtabletextright"/>
            </w:pPr>
            <w:r>
              <w:t>588</w:t>
            </w:r>
          </w:p>
        </w:tc>
        <w:tc>
          <w:tcPr>
            <w:tcW w:w="1337" w:type="dxa"/>
            <w:tcBorders>
              <w:top w:val="single" w:sz="4" w:space="0" w:color="A6A6A6" w:themeColor="background1" w:themeShade="A6"/>
              <w:left w:val="single" w:sz="4" w:space="0" w:color="FFFFFF"/>
              <w:bottom w:val="single" w:sz="4" w:space="0" w:color="auto"/>
              <w:right w:val="single" w:sz="4" w:space="0" w:color="FFFFFF"/>
            </w:tcBorders>
            <w:hideMark/>
          </w:tcPr>
          <w:p w14:paraId="18BC819E" w14:textId="77777777" w:rsidR="00FA7EBF" w:rsidRDefault="00FA7EBF">
            <w:pPr>
              <w:pStyle w:val="ARtabletextright"/>
            </w:pPr>
            <w:r>
              <w:t>(100.0)</w:t>
            </w:r>
          </w:p>
        </w:tc>
        <w:tc>
          <w:tcPr>
            <w:tcW w:w="1337" w:type="dxa"/>
            <w:tcBorders>
              <w:top w:val="single" w:sz="4" w:space="0" w:color="A6A6A6" w:themeColor="background1" w:themeShade="A6"/>
              <w:left w:val="single" w:sz="4" w:space="0" w:color="FFFFFF"/>
              <w:bottom w:val="single" w:sz="4" w:space="0" w:color="auto"/>
              <w:right w:val="single" w:sz="4" w:space="0" w:color="FFFFFF"/>
            </w:tcBorders>
            <w:hideMark/>
          </w:tcPr>
          <w:p w14:paraId="12C555C8" w14:textId="77777777" w:rsidR="00FA7EBF" w:rsidRDefault="00FA7EBF">
            <w:pPr>
              <w:pStyle w:val="ARtabletextright"/>
            </w:pPr>
            <w:r>
              <w:t>588</w:t>
            </w:r>
          </w:p>
        </w:tc>
        <w:tc>
          <w:tcPr>
            <w:tcW w:w="1338" w:type="dxa"/>
            <w:tcBorders>
              <w:top w:val="single" w:sz="4" w:space="0" w:color="A6A6A6" w:themeColor="background1" w:themeShade="A6"/>
              <w:left w:val="single" w:sz="4" w:space="0" w:color="FFFFFF"/>
              <w:bottom w:val="single" w:sz="4" w:space="0" w:color="auto"/>
              <w:right w:val="single" w:sz="4" w:space="0" w:color="FFFFFF"/>
            </w:tcBorders>
            <w:hideMark/>
          </w:tcPr>
          <w:p w14:paraId="377882CB" w14:textId="77777777" w:rsidR="00FA7EBF" w:rsidRDefault="00FA7EBF">
            <w:pPr>
              <w:pStyle w:val="ARtabletextright"/>
            </w:pPr>
            <w:r>
              <w:t>(100.0)</w:t>
            </w:r>
          </w:p>
        </w:tc>
      </w:tr>
      <w:tr w:rsidR="00FA7EBF" w14:paraId="14AE56B6" w14:textId="77777777" w:rsidTr="003075FD">
        <w:tc>
          <w:tcPr>
            <w:tcW w:w="2952" w:type="dxa"/>
            <w:tcBorders>
              <w:top w:val="single" w:sz="4" w:space="0" w:color="auto"/>
              <w:left w:val="single" w:sz="4" w:space="0" w:color="FFFFFF"/>
              <w:bottom w:val="single" w:sz="4" w:space="0" w:color="auto"/>
              <w:right w:val="single" w:sz="4" w:space="0" w:color="FFFFFF"/>
            </w:tcBorders>
            <w:hideMark/>
          </w:tcPr>
          <w:p w14:paraId="681661A8" w14:textId="77777777" w:rsidR="00FA7EBF" w:rsidRDefault="00FA7EBF">
            <w:pPr>
              <w:pStyle w:val="ARtabletextbold"/>
            </w:pPr>
            <w:r>
              <w:t>Other reserves</w:t>
            </w:r>
          </w:p>
        </w:tc>
        <w:tc>
          <w:tcPr>
            <w:tcW w:w="1338" w:type="dxa"/>
            <w:tcBorders>
              <w:top w:val="single" w:sz="4" w:space="0" w:color="auto"/>
              <w:left w:val="single" w:sz="4" w:space="0" w:color="FFFFFF"/>
              <w:bottom w:val="single" w:sz="4" w:space="0" w:color="auto"/>
              <w:right w:val="single" w:sz="4" w:space="0" w:color="FFFFFF"/>
            </w:tcBorders>
            <w:hideMark/>
          </w:tcPr>
          <w:p w14:paraId="3DAD5148" w14:textId="77777777" w:rsidR="00FA7EBF" w:rsidRDefault="00FA7EBF">
            <w:pPr>
              <w:pStyle w:val="ARtabletextrightbold"/>
            </w:pPr>
            <w:r>
              <w:t>474</w:t>
            </w:r>
          </w:p>
        </w:tc>
        <w:tc>
          <w:tcPr>
            <w:tcW w:w="1337" w:type="dxa"/>
            <w:tcBorders>
              <w:top w:val="single" w:sz="4" w:space="0" w:color="auto"/>
              <w:left w:val="single" w:sz="4" w:space="0" w:color="FFFFFF"/>
              <w:bottom w:val="single" w:sz="4" w:space="0" w:color="auto"/>
              <w:right w:val="single" w:sz="4" w:space="0" w:color="FFFFFF"/>
            </w:tcBorders>
            <w:hideMark/>
          </w:tcPr>
          <w:p w14:paraId="3D141C89" w14:textId="77777777" w:rsidR="00FA7EBF" w:rsidRDefault="00FA7EBF">
            <w:pPr>
              <w:pStyle w:val="ARtabletextrightbold"/>
            </w:pPr>
            <w:r>
              <w:t>588</w:t>
            </w:r>
          </w:p>
        </w:tc>
        <w:tc>
          <w:tcPr>
            <w:tcW w:w="1337" w:type="dxa"/>
            <w:tcBorders>
              <w:top w:val="single" w:sz="4" w:space="0" w:color="auto"/>
              <w:left w:val="single" w:sz="4" w:space="0" w:color="FFFFFF"/>
              <w:bottom w:val="single" w:sz="4" w:space="0" w:color="auto"/>
              <w:right w:val="single" w:sz="4" w:space="0" w:color="FFFFFF"/>
            </w:tcBorders>
            <w:hideMark/>
          </w:tcPr>
          <w:p w14:paraId="47978464" w14:textId="77777777" w:rsidR="00FA7EBF" w:rsidRDefault="00FA7EBF">
            <w:pPr>
              <w:pStyle w:val="ARtabletextrightbold"/>
            </w:pPr>
            <w:r>
              <w:t>(19.4)</w:t>
            </w:r>
          </w:p>
        </w:tc>
        <w:tc>
          <w:tcPr>
            <w:tcW w:w="1337" w:type="dxa"/>
            <w:tcBorders>
              <w:top w:val="single" w:sz="4" w:space="0" w:color="auto"/>
              <w:left w:val="single" w:sz="4" w:space="0" w:color="FFFFFF"/>
              <w:bottom w:val="single" w:sz="4" w:space="0" w:color="auto"/>
              <w:right w:val="single" w:sz="4" w:space="0" w:color="FFFFFF"/>
            </w:tcBorders>
            <w:hideMark/>
          </w:tcPr>
          <w:p w14:paraId="1ABEDB41" w14:textId="77777777" w:rsidR="00FA7EBF" w:rsidRDefault="00FA7EBF">
            <w:pPr>
              <w:pStyle w:val="ARtabletextrightbold"/>
            </w:pPr>
            <w:r>
              <w:t>588</w:t>
            </w:r>
          </w:p>
        </w:tc>
        <w:tc>
          <w:tcPr>
            <w:tcW w:w="1338" w:type="dxa"/>
            <w:tcBorders>
              <w:top w:val="single" w:sz="4" w:space="0" w:color="auto"/>
              <w:left w:val="single" w:sz="4" w:space="0" w:color="FFFFFF"/>
              <w:bottom w:val="single" w:sz="4" w:space="0" w:color="auto"/>
              <w:right w:val="single" w:sz="4" w:space="0" w:color="FFFFFF"/>
            </w:tcBorders>
            <w:hideMark/>
          </w:tcPr>
          <w:p w14:paraId="26EE07CF" w14:textId="77777777" w:rsidR="00FA7EBF" w:rsidRDefault="00FA7EBF">
            <w:pPr>
              <w:pStyle w:val="ARtabletextrightbold"/>
            </w:pPr>
            <w:r>
              <w:t>(19.4)</w:t>
            </w:r>
          </w:p>
        </w:tc>
      </w:tr>
      <w:tr w:rsidR="00FA7EBF" w14:paraId="5ECC876F" w14:textId="77777777" w:rsidTr="003075FD">
        <w:tc>
          <w:tcPr>
            <w:tcW w:w="2952" w:type="dxa"/>
            <w:tcBorders>
              <w:top w:val="single" w:sz="4" w:space="0" w:color="auto"/>
              <w:left w:val="single" w:sz="4" w:space="0" w:color="FFFFFF"/>
              <w:bottom w:val="single" w:sz="4" w:space="0" w:color="auto"/>
              <w:right w:val="single" w:sz="4" w:space="0" w:color="FFFFFF"/>
            </w:tcBorders>
            <w:hideMark/>
          </w:tcPr>
          <w:p w14:paraId="7F4134AB" w14:textId="77777777" w:rsidR="00FA7EBF" w:rsidRDefault="00FA7EBF">
            <w:pPr>
              <w:pStyle w:val="ARtabletextbold"/>
            </w:pPr>
            <w:r>
              <w:t>Changes in equity</w:t>
            </w:r>
          </w:p>
        </w:tc>
        <w:tc>
          <w:tcPr>
            <w:tcW w:w="1338" w:type="dxa"/>
            <w:tcBorders>
              <w:top w:val="single" w:sz="4" w:space="0" w:color="auto"/>
              <w:left w:val="single" w:sz="4" w:space="0" w:color="FFFFFF"/>
              <w:bottom w:val="single" w:sz="4" w:space="0" w:color="auto"/>
              <w:right w:val="single" w:sz="4" w:space="0" w:color="FFFFFF"/>
            </w:tcBorders>
            <w:hideMark/>
          </w:tcPr>
          <w:p w14:paraId="038E78F0" w14:textId="77777777" w:rsidR="00FA7EBF" w:rsidRDefault="00FA7EBF">
            <w:pPr>
              <w:pStyle w:val="ARtabletextrightbold"/>
            </w:pPr>
            <w:r>
              <w:t>18,430</w:t>
            </w:r>
          </w:p>
        </w:tc>
        <w:tc>
          <w:tcPr>
            <w:tcW w:w="1337" w:type="dxa"/>
            <w:tcBorders>
              <w:top w:val="single" w:sz="4" w:space="0" w:color="auto"/>
              <w:left w:val="single" w:sz="4" w:space="0" w:color="FFFFFF"/>
              <w:bottom w:val="single" w:sz="4" w:space="0" w:color="auto"/>
              <w:right w:val="single" w:sz="4" w:space="0" w:color="FFFFFF"/>
            </w:tcBorders>
            <w:hideMark/>
          </w:tcPr>
          <w:p w14:paraId="0BC2498F" w14:textId="77777777" w:rsidR="00FA7EBF" w:rsidRDefault="00FA7EBF">
            <w:pPr>
              <w:pStyle w:val="ARtabletextrightbold"/>
            </w:pPr>
            <w:r>
              <w:t>15,545</w:t>
            </w:r>
          </w:p>
        </w:tc>
        <w:tc>
          <w:tcPr>
            <w:tcW w:w="1337" w:type="dxa"/>
            <w:tcBorders>
              <w:top w:val="single" w:sz="4" w:space="0" w:color="auto"/>
              <w:left w:val="single" w:sz="4" w:space="0" w:color="FFFFFF"/>
              <w:bottom w:val="single" w:sz="4" w:space="0" w:color="auto"/>
              <w:right w:val="single" w:sz="4" w:space="0" w:color="FFFFFF"/>
            </w:tcBorders>
            <w:hideMark/>
          </w:tcPr>
          <w:p w14:paraId="378CB988" w14:textId="77777777" w:rsidR="00FA7EBF" w:rsidRDefault="00FA7EBF">
            <w:pPr>
              <w:pStyle w:val="ARtabletextrightbold"/>
            </w:pPr>
            <w:r>
              <w:t>18.6</w:t>
            </w:r>
          </w:p>
        </w:tc>
        <w:tc>
          <w:tcPr>
            <w:tcW w:w="1337" w:type="dxa"/>
            <w:tcBorders>
              <w:top w:val="single" w:sz="4" w:space="0" w:color="auto"/>
              <w:left w:val="single" w:sz="4" w:space="0" w:color="FFFFFF"/>
              <w:bottom w:val="single" w:sz="4" w:space="0" w:color="auto"/>
              <w:right w:val="single" w:sz="4" w:space="0" w:color="FFFFFF"/>
            </w:tcBorders>
            <w:hideMark/>
          </w:tcPr>
          <w:p w14:paraId="2CB6744B" w14:textId="77777777" w:rsidR="00FA7EBF" w:rsidRDefault="00FA7EBF">
            <w:pPr>
              <w:pStyle w:val="ARtabletextrightbold"/>
            </w:pPr>
            <w:r>
              <w:t>16,113</w:t>
            </w:r>
          </w:p>
        </w:tc>
        <w:tc>
          <w:tcPr>
            <w:tcW w:w="1338" w:type="dxa"/>
            <w:tcBorders>
              <w:top w:val="single" w:sz="4" w:space="0" w:color="auto"/>
              <w:left w:val="single" w:sz="4" w:space="0" w:color="FFFFFF"/>
              <w:bottom w:val="single" w:sz="4" w:space="0" w:color="auto"/>
              <w:right w:val="single" w:sz="4" w:space="0" w:color="FFFFFF"/>
            </w:tcBorders>
            <w:hideMark/>
          </w:tcPr>
          <w:p w14:paraId="6E982B93" w14:textId="77777777" w:rsidR="00FA7EBF" w:rsidRDefault="00FA7EBF">
            <w:pPr>
              <w:pStyle w:val="ARtabletextrightbold"/>
            </w:pPr>
            <w:r>
              <w:t>14.4</w:t>
            </w:r>
          </w:p>
        </w:tc>
      </w:tr>
    </w:tbl>
    <w:p w14:paraId="67748FDA" w14:textId="77777777" w:rsidR="00FA7EBF" w:rsidRDefault="00FA7EBF" w:rsidP="003075FD">
      <w:pPr>
        <w:pStyle w:val="ARbody"/>
      </w:pPr>
      <w:r>
        <w:br w:type="page"/>
      </w:r>
    </w:p>
    <w:p w14:paraId="7DBF98ED" w14:textId="77777777" w:rsidR="00FA7EBF" w:rsidRDefault="00FA7EBF" w:rsidP="003075FD">
      <w:pPr>
        <w:pStyle w:val="Heading3"/>
      </w:pPr>
      <w:bookmarkStart w:id="295" w:name="_Ref21957287"/>
      <w:r>
        <w:t>Administered items statement for the financial year ended 30 June 2019</w:t>
      </w:r>
      <w:bookmarkEnd w:id="295"/>
    </w:p>
    <w:tbl>
      <w:tblPr>
        <w:tblStyle w:val="TableGrid"/>
        <w:tblW w:w="9639" w:type="dxa"/>
        <w:tblLook w:val="06A0" w:firstRow="1" w:lastRow="0" w:firstColumn="1" w:lastColumn="0" w:noHBand="1" w:noVBand="1"/>
      </w:tblPr>
      <w:tblGrid>
        <w:gridCol w:w="3588"/>
        <w:gridCol w:w="1088"/>
        <w:gridCol w:w="1088"/>
        <w:gridCol w:w="1089"/>
        <w:gridCol w:w="1088"/>
        <w:gridCol w:w="1089"/>
        <w:gridCol w:w="609"/>
      </w:tblGrid>
      <w:tr w:rsidR="00FA7EBF" w14:paraId="72026CA0" w14:textId="77777777" w:rsidTr="003075FD">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left w:val="single" w:sz="4" w:space="0" w:color="FFFFFF"/>
              <w:bottom w:val="single" w:sz="4" w:space="0" w:color="auto"/>
              <w:right w:val="single" w:sz="4" w:space="0" w:color="FFFFFF"/>
            </w:tcBorders>
            <w:hideMark/>
          </w:tcPr>
          <w:p w14:paraId="3A5AAA2B" w14:textId="77777777" w:rsidR="00FA7EBF" w:rsidRDefault="00FA7EBF"/>
        </w:tc>
        <w:tc>
          <w:tcPr>
            <w:tcW w:w="1088" w:type="dxa"/>
            <w:tcBorders>
              <w:top w:val="nil"/>
              <w:left w:val="single" w:sz="4" w:space="0" w:color="FFFFFF"/>
              <w:bottom w:val="single" w:sz="4" w:space="0" w:color="auto"/>
              <w:right w:val="single" w:sz="4" w:space="0" w:color="FFFFFF"/>
            </w:tcBorders>
            <w:hideMark/>
          </w:tcPr>
          <w:p w14:paraId="433F0704" w14:textId="77777777" w:rsidR="00FA7EBF" w:rsidRDefault="00FA7EBF">
            <w:pPr>
              <w:pStyle w:val="ARtablecolheadright"/>
              <w:rPr>
                <w:lang w:eastAsia="en-AU"/>
              </w:rPr>
            </w:pPr>
            <w:r>
              <w:rPr>
                <w:lang w:eastAsia="en-AU"/>
              </w:rPr>
              <w:t>2018–19 actual</w:t>
            </w:r>
          </w:p>
          <w:p w14:paraId="63FD04A9" w14:textId="77777777" w:rsidR="00FA7EBF" w:rsidRDefault="00FA7EBF">
            <w:pPr>
              <w:pStyle w:val="ARtablecolheadright"/>
              <w:rPr>
                <w:lang w:eastAsia="en-AU"/>
              </w:rPr>
            </w:pPr>
            <w:r>
              <w:rPr>
                <w:lang w:eastAsia="en-AU"/>
              </w:rPr>
              <w:t>$M</w:t>
            </w:r>
          </w:p>
        </w:tc>
        <w:tc>
          <w:tcPr>
            <w:tcW w:w="1088" w:type="dxa"/>
            <w:tcBorders>
              <w:top w:val="nil"/>
              <w:left w:val="single" w:sz="4" w:space="0" w:color="FFFFFF"/>
              <w:bottom w:val="single" w:sz="4" w:space="0" w:color="auto"/>
              <w:right w:val="single" w:sz="4" w:space="0" w:color="FFFFFF"/>
            </w:tcBorders>
            <w:hideMark/>
          </w:tcPr>
          <w:p w14:paraId="7CA8A9EC" w14:textId="77777777" w:rsidR="00FA7EBF" w:rsidRDefault="00FA7EBF">
            <w:pPr>
              <w:pStyle w:val="ARtablecolheadright"/>
              <w:rPr>
                <w:lang w:eastAsia="en-AU"/>
              </w:rPr>
            </w:pPr>
            <w:r>
              <w:rPr>
                <w:lang w:eastAsia="en-AU"/>
              </w:rPr>
              <w:t>2018–19 revised budget</w:t>
            </w:r>
          </w:p>
          <w:p w14:paraId="6D8BBD77" w14:textId="77777777" w:rsidR="00FA7EBF" w:rsidRDefault="00FA7EBF">
            <w:pPr>
              <w:pStyle w:val="ARtablecolheadright"/>
              <w:rPr>
                <w:lang w:eastAsia="en-AU"/>
              </w:rPr>
            </w:pPr>
            <w:r>
              <w:rPr>
                <w:lang w:eastAsia="en-AU"/>
              </w:rPr>
              <w:t>$M</w:t>
            </w:r>
          </w:p>
        </w:tc>
        <w:tc>
          <w:tcPr>
            <w:tcW w:w="1089" w:type="dxa"/>
            <w:tcBorders>
              <w:top w:val="nil"/>
              <w:left w:val="single" w:sz="4" w:space="0" w:color="FFFFFF"/>
              <w:bottom w:val="single" w:sz="4" w:space="0" w:color="auto"/>
              <w:right w:val="single" w:sz="4" w:space="0" w:color="FFFFFF"/>
            </w:tcBorders>
            <w:hideMark/>
          </w:tcPr>
          <w:p w14:paraId="24F06C74" w14:textId="77777777" w:rsidR="00FA7EBF" w:rsidRDefault="00FA7EBF">
            <w:pPr>
              <w:pStyle w:val="ARtablecolheadright"/>
              <w:rPr>
                <w:lang w:eastAsia="en-AU"/>
              </w:rPr>
            </w:pPr>
            <w:r>
              <w:rPr>
                <w:lang w:eastAsia="en-AU"/>
              </w:rPr>
              <w:t>Variation to revised budget</w:t>
            </w:r>
          </w:p>
          <w:p w14:paraId="367D591C" w14:textId="77777777" w:rsidR="00FA7EBF" w:rsidRDefault="00FA7EBF">
            <w:pPr>
              <w:pStyle w:val="ARtablecolheadright"/>
              <w:rPr>
                <w:lang w:eastAsia="en-AU"/>
              </w:rPr>
            </w:pPr>
            <w:r>
              <w:rPr>
                <w:lang w:eastAsia="en-AU"/>
              </w:rPr>
              <w:t>%</w:t>
            </w:r>
          </w:p>
        </w:tc>
        <w:tc>
          <w:tcPr>
            <w:tcW w:w="1088" w:type="dxa"/>
            <w:tcBorders>
              <w:top w:val="nil"/>
              <w:left w:val="single" w:sz="4" w:space="0" w:color="FFFFFF"/>
              <w:bottom w:val="single" w:sz="4" w:space="0" w:color="auto"/>
              <w:right w:val="single" w:sz="4" w:space="0" w:color="FFFFFF"/>
            </w:tcBorders>
            <w:hideMark/>
          </w:tcPr>
          <w:p w14:paraId="01D05F24" w14:textId="77777777" w:rsidR="00FA7EBF" w:rsidRDefault="00FA7EBF">
            <w:pPr>
              <w:pStyle w:val="ARtablecolheadright"/>
              <w:rPr>
                <w:lang w:eastAsia="en-AU"/>
              </w:rPr>
            </w:pPr>
            <w:r>
              <w:rPr>
                <w:lang w:eastAsia="en-AU"/>
              </w:rPr>
              <w:t>2018–19 published budget</w:t>
            </w:r>
          </w:p>
          <w:p w14:paraId="31DEA4FF" w14:textId="77777777" w:rsidR="00FA7EBF" w:rsidRDefault="00FA7EBF">
            <w:pPr>
              <w:pStyle w:val="ARtablecolheadright"/>
              <w:rPr>
                <w:lang w:eastAsia="en-AU"/>
              </w:rPr>
            </w:pPr>
            <w:r>
              <w:rPr>
                <w:lang w:eastAsia="en-AU"/>
              </w:rPr>
              <w:t>$M</w:t>
            </w:r>
          </w:p>
        </w:tc>
        <w:tc>
          <w:tcPr>
            <w:tcW w:w="1089" w:type="dxa"/>
            <w:tcBorders>
              <w:top w:val="nil"/>
              <w:left w:val="single" w:sz="4" w:space="0" w:color="FFFFFF"/>
              <w:bottom w:val="single" w:sz="4" w:space="0" w:color="auto"/>
              <w:right w:val="single" w:sz="4" w:space="0" w:color="FFFFFF"/>
            </w:tcBorders>
            <w:hideMark/>
          </w:tcPr>
          <w:p w14:paraId="456C97F7" w14:textId="77777777" w:rsidR="00FA7EBF" w:rsidRDefault="00FA7EBF">
            <w:pPr>
              <w:pStyle w:val="ARtablecolheadright"/>
              <w:rPr>
                <w:lang w:eastAsia="en-AU"/>
              </w:rPr>
            </w:pPr>
            <w:r>
              <w:rPr>
                <w:lang w:eastAsia="en-AU"/>
              </w:rPr>
              <w:t>Variation to published budget</w:t>
            </w:r>
          </w:p>
          <w:p w14:paraId="720EBA97" w14:textId="77777777" w:rsidR="00FA7EBF" w:rsidRDefault="00FA7EBF">
            <w:pPr>
              <w:pStyle w:val="ARtablecolheadright"/>
              <w:rPr>
                <w:lang w:eastAsia="en-AU"/>
              </w:rPr>
            </w:pPr>
            <w:r>
              <w:rPr>
                <w:lang w:eastAsia="en-AU"/>
              </w:rPr>
              <w:t>%</w:t>
            </w:r>
          </w:p>
        </w:tc>
        <w:tc>
          <w:tcPr>
            <w:tcW w:w="0" w:type="auto"/>
            <w:tcBorders>
              <w:top w:val="nil"/>
              <w:left w:val="single" w:sz="4" w:space="0" w:color="FFFFFF"/>
              <w:bottom w:val="single" w:sz="4" w:space="0" w:color="auto"/>
              <w:right w:val="single" w:sz="4" w:space="0" w:color="FFFFFF"/>
            </w:tcBorders>
            <w:hideMark/>
          </w:tcPr>
          <w:p w14:paraId="3A192738" w14:textId="77777777" w:rsidR="00FA7EBF" w:rsidRDefault="00FA7EBF">
            <w:pPr>
              <w:pStyle w:val="ARtablecolheadright"/>
              <w:rPr>
                <w:lang w:eastAsia="en-AU"/>
              </w:rPr>
            </w:pPr>
            <w:r>
              <w:rPr>
                <w:lang w:eastAsia="en-AU"/>
              </w:rPr>
              <w:t>Notes</w:t>
            </w:r>
          </w:p>
        </w:tc>
      </w:tr>
      <w:tr w:rsidR="00FA7EBF" w14:paraId="5718DCBF" w14:textId="77777777" w:rsidTr="003075FD">
        <w:tc>
          <w:tcPr>
            <w:tcW w:w="9639" w:type="dxa"/>
            <w:gridSpan w:val="7"/>
            <w:tcBorders>
              <w:top w:val="single" w:sz="4" w:space="0" w:color="auto"/>
              <w:left w:val="single" w:sz="4" w:space="0" w:color="FFFFFF"/>
              <w:bottom w:val="single" w:sz="4" w:space="0" w:color="A6A6A6" w:themeColor="background1" w:themeShade="A6"/>
              <w:right w:val="single" w:sz="4" w:space="0" w:color="FFFFFF"/>
            </w:tcBorders>
            <w:hideMark/>
          </w:tcPr>
          <w:p w14:paraId="620E3BCC" w14:textId="77777777" w:rsidR="00FA7EBF" w:rsidRDefault="00FA7EBF">
            <w:pPr>
              <w:pStyle w:val="ARtabletextbold"/>
            </w:pPr>
            <w:r>
              <w:t>Administered income</w:t>
            </w:r>
          </w:p>
        </w:tc>
      </w:tr>
      <w:tr w:rsidR="00FA7EBF" w14:paraId="1B142F35" w14:textId="77777777" w:rsidTr="003075FD">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FD96AD8" w14:textId="77777777" w:rsidR="00FA7EBF" w:rsidRDefault="00FA7EBF">
            <w:pPr>
              <w:pStyle w:val="ARtabletext"/>
            </w:pPr>
            <w:r>
              <w:t>Appropriations – Payments made on behalf of the state</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2E4CA0C" w14:textId="77777777" w:rsidR="00FA7EBF" w:rsidRDefault="00FA7EBF">
            <w:pPr>
              <w:pStyle w:val="ARtabletextright"/>
            </w:pPr>
            <w:r>
              <w:t>62</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E27DF4A" w14:textId="77777777" w:rsidR="00FA7EBF" w:rsidRDefault="00FA7EBF">
            <w:pPr>
              <w:pStyle w:val="ARtabletextright"/>
            </w:pPr>
            <w:r>
              <w:t>62</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AADE4CF" w14:textId="77777777" w:rsidR="00FA7EBF" w:rsidRDefault="00FA7EBF">
            <w:pPr>
              <w:pStyle w:val="ARtabletextright"/>
            </w:pPr>
            <w:r>
              <w:t>–</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C2FE29D" w14:textId="77777777" w:rsidR="00FA7EBF" w:rsidRDefault="00FA7EBF">
            <w:pPr>
              <w:pStyle w:val="ARtabletextright"/>
            </w:pPr>
            <w:r>
              <w:t>62</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415A655" w14:textId="77777777" w:rsidR="00FA7EBF" w:rsidRDefault="00FA7EBF">
            <w:pPr>
              <w:pStyle w:val="ARtabletextright"/>
            </w:pPr>
            <w:r>
              <w:t>–</w:t>
            </w:r>
          </w:p>
        </w:tc>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5D9AEA1C" w14:textId="77777777" w:rsidR="00FA7EBF" w:rsidRDefault="00FA7EBF">
            <w:pPr>
              <w:pStyle w:val="ARtabletextrightbold"/>
            </w:pPr>
          </w:p>
        </w:tc>
      </w:tr>
      <w:tr w:rsidR="00FA7EBF" w14:paraId="4CDF6527" w14:textId="77777777" w:rsidTr="003075FD">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063C178" w14:textId="77777777" w:rsidR="00FA7EBF" w:rsidRDefault="00FA7EBF">
            <w:pPr>
              <w:pStyle w:val="ARtabletext"/>
            </w:pPr>
            <w:r>
              <w:t>Sales of goods and services</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E0201CB" w14:textId="77777777" w:rsidR="00FA7EBF" w:rsidRDefault="00FA7EBF">
            <w:pPr>
              <w:pStyle w:val="ARtabletextright"/>
            </w:pPr>
            <w:r>
              <w:t>370</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E0BA37B" w14:textId="77777777" w:rsidR="00FA7EBF" w:rsidRDefault="00FA7EBF">
            <w:pPr>
              <w:pStyle w:val="ARtabletextright"/>
            </w:pPr>
            <w:r>
              <w:t>366</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F8BA49D" w14:textId="77777777" w:rsidR="00FA7EBF" w:rsidRDefault="00FA7EBF">
            <w:pPr>
              <w:pStyle w:val="ARtabletextright"/>
            </w:pPr>
            <w:r>
              <w:t>1.1</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B36E97C" w14:textId="77777777" w:rsidR="00FA7EBF" w:rsidRDefault="00FA7EBF">
            <w:pPr>
              <w:pStyle w:val="ARtabletextright"/>
            </w:pPr>
            <w:r>
              <w:t>360</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4A81AB4" w14:textId="77777777" w:rsidR="00FA7EBF" w:rsidRDefault="00FA7EBF">
            <w:pPr>
              <w:pStyle w:val="ARtabletextright"/>
            </w:pPr>
            <w:r>
              <w:t>2.8</w:t>
            </w:r>
          </w:p>
        </w:tc>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0015515F" w14:textId="77777777" w:rsidR="00FA7EBF" w:rsidRDefault="00FA7EBF">
            <w:pPr>
              <w:pStyle w:val="ARtabletextrightbold"/>
            </w:pPr>
          </w:p>
        </w:tc>
      </w:tr>
      <w:tr w:rsidR="00FA7EBF" w14:paraId="143D2B9D" w14:textId="77777777" w:rsidTr="003075FD">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138797D" w14:textId="77777777" w:rsidR="00FA7EBF" w:rsidRDefault="00FA7EBF">
            <w:pPr>
              <w:pStyle w:val="ARtabletext"/>
            </w:pPr>
            <w:r>
              <w:t>Grants</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E997C3C" w14:textId="77777777" w:rsidR="00FA7EBF" w:rsidRDefault="00FA7EBF">
            <w:pPr>
              <w:pStyle w:val="ARtabletextright"/>
            </w:pPr>
            <w:r>
              <w:t>11,660</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140031B" w14:textId="77777777" w:rsidR="00FA7EBF" w:rsidRDefault="00FA7EBF">
            <w:pPr>
              <w:pStyle w:val="ARtabletextright"/>
            </w:pPr>
            <w:r>
              <w:t>12,123</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FC3FF92" w14:textId="77777777" w:rsidR="00FA7EBF" w:rsidRDefault="00FA7EBF">
            <w:pPr>
              <w:pStyle w:val="ARtabletextright"/>
            </w:pPr>
            <w:r>
              <w:t>(3.8)</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D3058EF" w14:textId="77777777" w:rsidR="00FA7EBF" w:rsidRDefault="00FA7EBF">
            <w:pPr>
              <w:pStyle w:val="ARtabletextright"/>
            </w:pPr>
            <w:r>
              <w:t>11,672</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2D09AF2" w14:textId="77777777" w:rsidR="00FA7EBF" w:rsidRDefault="00FA7EBF">
            <w:pPr>
              <w:pStyle w:val="ARtabletextright"/>
            </w:pPr>
            <w:r>
              <w:t>(0.1)</w:t>
            </w:r>
          </w:p>
        </w:tc>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07D512C1" w14:textId="77777777" w:rsidR="00FA7EBF" w:rsidRDefault="00FA7EBF">
            <w:pPr>
              <w:pStyle w:val="ARtabletextrightbold"/>
            </w:pPr>
          </w:p>
        </w:tc>
      </w:tr>
      <w:tr w:rsidR="00FA7EBF" w14:paraId="1A85684D" w14:textId="77777777" w:rsidTr="003075FD">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9BEF40A" w14:textId="77777777" w:rsidR="00FA7EBF" w:rsidRDefault="00FA7EBF">
            <w:pPr>
              <w:pStyle w:val="ARtabletext"/>
            </w:pPr>
            <w:r>
              <w:t>Interest</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DA4DA7A" w14:textId="77777777" w:rsidR="00FA7EBF" w:rsidRDefault="00FA7EBF">
            <w:pPr>
              <w:pStyle w:val="ARtabletextright"/>
            </w:pPr>
            <w:r>
              <w:t>2</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85E7906" w14:textId="77777777" w:rsidR="00FA7EBF" w:rsidRDefault="00FA7EBF">
            <w:pPr>
              <w:pStyle w:val="ARtabletextright"/>
            </w:pPr>
            <w:r>
              <w:t>3</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B55BB04" w14:textId="77777777" w:rsidR="00FA7EBF" w:rsidRDefault="00FA7EBF">
            <w:pPr>
              <w:pStyle w:val="ARtabletextright"/>
            </w:pPr>
            <w:r>
              <w:t>(33.3)</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2F44824" w14:textId="77777777" w:rsidR="00FA7EBF" w:rsidRDefault="00FA7EBF">
            <w:pPr>
              <w:pStyle w:val="ARtabletextright"/>
            </w:pPr>
            <w:r>
              <w:t>3</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080760E" w14:textId="77777777" w:rsidR="00FA7EBF" w:rsidRDefault="00FA7EBF">
            <w:pPr>
              <w:pStyle w:val="ARtabletextright"/>
            </w:pPr>
            <w:r>
              <w:t>(33.3)</w:t>
            </w:r>
          </w:p>
        </w:tc>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4B3DBCEB" w14:textId="77777777" w:rsidR="00FA7EBF" w:rsidRDefault="00FA7EBF">
            <w:pPr>
              <w:pStyle w:val="ARtabletextrightbold"/>
            </w:pPr>
          </w:p>
        </w:tc>
      </w:tr>
      <w:tr w:rsidR="00FA7EBF" w14:paraId="2A0ACD77" w14:textId="77777777" w:rsidTr="003075FD">
        <w:tc>
          <w:tcPr>
            <w:tcW w:w="0" w:type="auto"/>
            <w:tcBorders>
              <w:top w:val="single" w:sz="4" w:space="0" w:color="A6A6A6" w:themeColor="background1" w:themeShade="A6"/>
              <w:left w:val="single" w:sz="4" w:space="0" w:color="FFFFFF"/>
              <w:bottom w:val="single" w:sz="4" w:space="0" w:color="auto"/>
              <w:right w:val="single" w:sz="4" w:space="0" w:color="FFFFFF"/>
            </w:tcBorders>
            <w:hideMark/>
          </w:tcPr>
          <w:p w14:paraId="0AFF1F27" w14:textId="77777777" w:rsidR="00FA7EBF" w:rsidRDefault="00FA7EBF">
            <w:pPr>
              <w:pStyle w:val="ARtabletext"/>
            </w:pPr>
            <w:r>
              <w:t>Other income</w:t>
            </w:r>
          </w:p>
        </w:tc>
        <w:tc>
          <w:tcPr>
            <w:tcW w:w="1088" w:type="dxa"/>
            <w:tcBorders>
              <w:top w:val="single" w:sz="4" w:space="0" w:color="A6A6A6" w:themeColor="background1" w:themeShade="A6"/>
              <w:left w:val="single" w:sz="4" w:space="0" w:color="FFFFFF"/>
              <w:bottom w:val="single" w:sz="4" w:space="0" w:color="auto"/>
              <w:right w:val="single" w:sz="4" w:space="0" w:color="FFFFFF"/>
            </w:tcBorders>
            <w:hideMark/>
          </w:tcPr>
          <w:p w14:paraId="785AD216" w14:textId="77777777" w:rsidR="00FA7EBF" w:rsidRDefault="00FA7EBF">
            <w:pPr>
              <w:pStyle w:val="ARtabletextright"/>
            </w:pPr>
            <w:r>
              <w:t>15</w:t>
            </w:r>
          </w:p>
        </w:tc>
        <w:tc>
          <w:tcPr>
            <w:tcW w:w="1088" w:type="dxa"/>
            <w:tcBorders>
              <w:top w:val="single" w:sz="4" w:space="0" w:color="A6A6A6" w:themeColor="background1" w:themeShade="A6"/>
              <w:left w:val="single" w:sz="4" w:space="0" w:color="FFFFFF"/>
              <w:bottom w:val="single" w:sz="4" w:space="0" w:color="auto"/>
              <w:right w:val="single" w:sz="4" w:space="0" w:color="FFFFFF"/>
            </w:tcBorders>
            <w:hideMark/>
          </w:tcPr>
          <w:p w14:paraId="4F3A9BAA" w14:textId="77777777" w:rsidR="00FA7EBF" w:rsidRDefault="00FA7EBF">
            <w:pPr>
              <w:pStyle w:val="ARtabletextright"/>
            </w:pPr>
            <w:r>
              <w:t>10</w:t>
            </w:r>
          </w:p>
        </w:tc>
        <w:tc>
          <w:tcPr>
            <w:tcW w:w="1089" w:type="dxa"/>
            <w:tcBorders>
              <w:top w:val="single" w:sz="4" w:space="0" w:color="A6A6A6" w:themeColor="background1" w:themeShade="A6"/>
              <w:left w:val="single" w:sz="4" w:space="0" w:color="FFFFFF"/>
              <w:bottom w:val="single" w:sz="4" w:space="0" w:color="auto"/>
              <w:right w:val="single" w:sz="4" w:space="0" w:color="FFFFFF"/>
            </w:tcBorders>
            <w:hideMark/>
          </w:tcPr>
          <w:p w14:paraId="1672A466" w14:textId="77777777" w:rsidR="00FA7EBF" w:rsidRDefault="00FA7EBF">
            <w:pPr>
              <w:pStyle w:val="ARtabletextright"/>
            </w:pPr>
            <w:r>
              <w:t>50.0</w:t>
            </w:r>
          </w:p>
        </w:tc>
        <w:tc>
          <w:tcPr>
            <w:tcW w:w="1088" w:type="dxa"/>
            <w:tcBorders>
              <w:top w:val="single" w:sz="4" w:space="0" w:color="A6A6A6" w:themeColor="background1" w:themeShade="A6"/>
              <w:left w:val="single" w:sz="4" w:space="0" w:color="FFFFFF"/>
              <w:bottom w:val="single" w:sz="4" w:space="0" w:color="auto"/>
              <w:right w:val="single" w:sz="4" w:space="0" w:color="FFFFFF"/>
            </w:tcBorders>
            <w:hideMark/>
          </w:tcPr>
          <w:p w14:paraId="47199626" w14:textId="77777777" w:rsidR="00FA7EBF" w:rsidRDefault="00FA7EBF">
            <w:pPr>
              <w:pStyle w:val="ARtabletextright"/>
            </w:pPr>
            <w:r>
              <w:t>10</w:t>
            </w:r>
          </w:p>
        </w:tc>
        <w:tc>
          <w:tcPr>
            <w:tcW w:w="1089" w:type="dxa"/>
            <w:tcBorders>
              <w:top w:val="single" w:sz="4" w:space="0" w:color="A6A6A6" w:themeColor="background1" w:themeShade="A6"/>
              <w:left w:val="single" w:sz="4" w:space="0" w:color="FFFFFF"/>
              <w:bottom w:val="single" w:sz="4" w:space="0" w:color="auto"/>
              <w:right w:val="single" w:sz="4" w:space="0" w:color="FFFFFF"/>
            </w:tcBorders>
            <w:hideMark/>
          </w:tcPr>
          <w:p w14:paraId="3BA21961" w14:textId="77777777" w:rsidR="00FA7EBF" w:rsidRDefault="00FA7EBF">
            <w:pPr>
              <w:pStyle w:val="ARtabletextright"/>
            </w:pPr>
            <w:r>
              <w:t>50.0</w:t>
            </w:r>
          </w:p>
        </w:tc>
        <w:tc>
          <w:tcPr>
            <w:tcW w:w="0" w:type="auto"/>
            <w:tcBorders>
              <w:top w:val="single" w:sz="4" w:space="0" w:color="A6A6A6" w:themeColor="background1" w:themeShade="A6"/>
              <w:left w:val="single" w:sz="4" w:space="0" w:color="FFFFFF"/>
              <w:bottom w:val="single" w:sz="4" w:space="0" w:color="auto"/>
              <w:right w:val="single" w:sz="4" w:space="0" w:color="FFFFFF"/>
            </w:tcBorders>
          </w:tcPr>
          <w:p w14:paraId="54B47574" w14:textId="77777777" w:rsidR="00FA7EBF" w:rsidRDefault="00FA7EBF">
            <w:pPr>
              <w:pStyle w:val="ARtabletextrightbold"/>
            </w:pPr>
          </w:p>
        </w:tc>
      </w:tr>
      <w:tr w:rsidR="00FA7EBF" w14:paraId="4561DBF3" w14:textId="77777777" w:rsidTr="003075FD">
        <w:tc>
          <w:tcPr>
            <w:tcW w:w="0" w:type="auto"/>
            <w:tcBorders>
              <w:top w:val="single" w:sz="4" w:space="0" w:color="auto"/>
              <w:left w:val="single" w:sz="4" w:space="0" w:color="FFFFFF"/>
              <w:bottom w:val="single" w:sz="4" w:space="0" w:color="auto"/>
              <w:right w:val="single" w:sz="4" w:space="0" w:color="FFFFFF"/>
            </w:tcBorders>
            <w:hideMark/>
          </w:tcPr>
          <w:p w14:paraId="7B791E67" w14:textId="77777777" w:rsidR="00FA7EBF" w:rsidRDefault="00FA7EBF">
            <w:pPr>
              <w:pStyle w:val="ARtabletextbold"/>
            </w:pPr>
            <w:r>
              <w:t>Total administered income</w:t>
            </w:r>
          </w:p>
        </w:tc>
        <w:tc>
          <w:tcPr>
            <w:tcW w:w="1088" w:type="dxa"/>
            <w:tcBorders>
              <w:top w:val="single" w:sz="4" w:space="0" w:color="auto"/>
              <w:left w:val="single" w:sz="4" w:space="0" w:color="FFFFFF"/>
              <w:bottom w:val="single" w:sz="4" w:space="0" w:color="auto"/>
              <w:right w:val="single" w:sz="4" w:space="0" w:color="FFFFFF"/>
            </w:tcBorders>
            <w:hideMark/>
          </w:tcPr>
          <w:p w14:paraId="70903CE4" w14:textId="77777777" w:rsidR="00FA7EBF" w:rsidRDefault="00FA7EBF">
            <w:pPr>
              <w:pStyle w:val="ARtabletextrightbold"/>
            </w:pPr>
            <w:r>
              <w:t>12,109</w:t>
            </w:r>
          </w:p>
        </w:tc>
        <w:tc>
          <w:tcPr>
            <w:tcW w:w="1088" w:type="dxa"/>
            <w:tcBorders>
              <w:top w:val="single" w:sz="4" w:space="0" w:color="auto"/>
              <w:left w:val="single" w:sz="4" w:space="0" w:color="FFFFFF"/>
              <w:bottom w:val="single" w:sz="4" w:space="0" w:color="auto"/>
              <w:right w:val="single" w:sz="4" w:space="0" w:color="FFFFFF"/>
            </w:tcBorders>
            <w:hideMark/>
          </w:tcPr>
          <w:p w14:paraId="687CF12F" w14:textId="77777777" w:rsidR="00FA7EBF" w:rsidRDefault="00FA7EBF">
            <w:pPr>
              <w:pStyle w:val="ARtabletextrightbold"/>
            </w:pPr>
            <w:r>
              <w:t>12,564</w:t>
            </w:r>
          </w:p>
        </w:tc>
        <w:tc>
          <w:tcPr>
            <w:tcW w:w="1089" w:type="dxa"/>
            <w:tcBorders>
              <w:top w:val="single" w:sz="4" w:space="0" w:color="auto"/>
              <w:left w:val="single" w:sz="4" w:space="0" w:color="FFFFFF"/>
              <w:bottom w:val="single" w:sz="4" w:space="0" w:color="auto"/>
              <w:right w:val="single" w:sz="4" w:space="0" w:color="FFFFFF"/>
            </w:tcBorders>
            <w:hideMark/>
          </w:tcPr>
          <w:p w14:paraId="1C3D89BE" w14:textId="77777777" w:rsidR="00FA7EBF" w:rsidRDefault="00FA7EBF">
            <w:pPr>
              <w:pStyle w:val="ARtabletextrightbold"/>
            </w:pPr>
            <w:r>
              <w:t>(3.6)</w:t>
            </w:r>
          </w:p>
        </w:tc>
        <w:tc>
          <w:tcPr>
            <w:tcW w:w="1088" w:type="dxa"/>
            <w:tcBorders>
              <w:top w:val="single" w:sz="4" w:space="0" w:color="auto"/>
              <w:left w:val="single" w:sz="4" w:space="0" w:color="FFFFFF"/>
              <w:bottom w:val="single" w:sz="4" w:space="0" w:color="auto"/>
              <w:right w:val="single" w:sz="4" w:space="0" w:color="FFFFFF"/>
            </w:tcBorders>
            <w:hideMark/>
          </w:tcPr>
          <w:p w14:paraId="7FDA068D" w14:textId="77777777" w:rsidR="00FA7EBF" w:rsidRDefault="00FA7EBF">
            <w:pPr>
              <w:pStyle w:val="ARtabletextrightbold"/>
            </w:pPr>
            <w:r>
              <w:t>12,108</w:t>
            </w:r>
          </w:p>
        </w:tc>
        <w:tc>
          <w:tcPr>
            <w:tcW w:w="1089" w:type="dxa"/>
            <w:tcBorders>
              <w:top w:val="single" w:sz="4" w:space="0" w:color="auto"/>
              <w:left w:val="single" w:sz="4" w:space="0" w:color="FFFFFF"/>
              <w:bottom w:val="single" w:sz="4" w:space="0" w:color="auto"/>
              <w:right w:val="single" w:sz="4" w:space="0" w:color="FFFFFF"/>
            </w:tcBorders>
            <w:hideMark/>
          </w:tcPr>
          <w:p w14:paraId="6A3A48D4" w14:textId="77777777" w:rsidR="00FA7EBF" w:rsidRDefault="00FA7EBF">
            <w:pPr>
              <w:pStyle w:val="ARtabletextrightbold"/>
            </w:pPr>
            <w:r>
              <w:t>–</w:t>
            </w:r>
          </w:p>
        </w:tc>
        <w:tc>
          <w:tcPr>
            <w:tcW w:w="0" w:type="auto"/>
            <w:tcBorders>
              <w:top w:val="single" w:sz="4" w:space="0" w:color="auto"/>
              <w:left w:val="single" w:sz="4" w:space="0" w:color="FFFFFF"/>
              <w:bottom w:val="single" w:sz="4" w:space="0" w:color="auto"/>
              <w:right w:val="single" w:sz="4" w:space="0" w:color="FFFFFF"/>
            </w:tcBorders>
          </w:tcPr>
          <w:p w14:paraId="5908E5B9" w14:textId="77777777" w:rsidR="00FA7EBF" w:rsidRDefault="00FA7EBF">
            <w:pPr>
              <w:pStyle w:val="ARtabletextrightbold"/>
            </w:pPr>
          </w:p>
        </w:tc>
      </w:tr>
      <w:tr w:rsidR="00FA7EBF" w14:paraId="6806496A" w14:textId="77777777" w:rsidTr="003075FD">
        <w:tc>
          <w:tcPr>
            <w:tcW w:w="9639" w:type="dxa"/>
            <w:gridSpan w:val="7"/>
            <w:tcBorders>
              <w:top w:val="single" w:sz="4" w:space="0" w:color="auto"/>
              <w:left w:val="single" w:sz="4" w:space="0" w:color="FFFFFF"/>
              <w:bottom w:val="single" w:sz="4" w:space="0" w:color="A6A6A6" w:themeColor="background1" w:themeShade="A6"/>
              <w:right w:val="single" w:sz="4" w:space="0" w:color="FFFFFF"/>
            </w:tcBorders>
            <w:hideMark/>
          </w:tcPr>
          <w:p w14:paraId="563FC8C6" w14:textId="77777777" w:rsidR="00FA7EBF" w:rsidRDefault="00FA7EBF">
            <w:pPr>
              <w:pStyle w:val="ARtabletextbold"/>
            </w:pPr>
            <w:r>
              <w:t>Administered expenses</w:t>
            </w:r>
          </w:p>
        </w:tc>
      </w:tr>
      <w:tr w:rsidR="00FA7EBF" w14:paraId="72F000B7" w14:textId="77777777" w:rsidTr="003075FD">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43B6084" w14:textId="77777777" w:rsidR="00FA7EBF" w:rsidRDefault="00FA7EBF">
            <w:pPr>
              <w:pStyle w:val="ARtabletext"/>
            </w:pPr>
            <w:r>
              <w:t>Expenses on behalf of the state</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4F28F35" w14:textId="77777777" w:rsidR="00FA7EBF" w:rsidRDefault="00FA7EBF">
            <w:pPr>
              <w:pStyle w:val="ARtabletextright"/>
            </w:pPr>
            <w:r>
              <w:t>888</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86CA344" w14:textId="77777777" w:rsidR="00FA7EBF" w:rsidRDefault="00FA7EBF">
            <w:pPr>
              <w:pStyle w:val="ARtabletextright"/>
            </w:pPr>
            <w:r>
              <w:t>892</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AC05EB1" w14:textId="77777777" w:rsidR="00FA7EBF" w:rsidRDefault="00FA7EBF">
            <w:pPr>
              <w:pStyle w:val="ARtabletextright"/>
            </w:pPr>
            <w:r>
              <w:t>(0.4)</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0FD70DD" w14:textId="77777777" w:rsidR="00FA7EBF" w:rsidRDefault="00FA7EBF">
            <w:pPr>
              <w:pStyle w:val="ARtabletextright"/>
            </w:pPr>
            <w:r>
              <w:t>717</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5DF897B" w14:textId="77777777" w:rsidR="00FA7EBF" w:rsidRDefault="00FA7EBF">
            <w:pPr>
              <w:pStyle w:val="ARtabletextright"/>
            </w:pPr>
            <w:r>
              <w:t>23.8</w:t>
            </w:r>
          </w:p>
        </w:tc>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6BA9FA30" w14:textId="77777777" w:rsidR="00FA7EBF" w:rsidRDefault="00FA7EBF">
            <w:pPr>
              <w:pStyle w:val="ARtabletextrightbold"/>
            </w:pPr>
          </w:p>
        </w:tc>
      </w:tr>
      <w:tr w:rsidR="00FA7EBF" w14:paraId="67676F82" w14:textId="77777777" w:rsidTr="003075FD">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C58614A" w14:textId="77777777" w:rsidR="00FA7EBF" w:rsidRDefault="00FA7EBF">
            <w:pPr>
              <w:pStyle w:val="ARtabletext"/>
            </w:pPr>
            <w:r>
              <w:t>Grants and other transfers</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5995AFA" w14:textId="77777777" w:rsidR="00FA7EBF" w:rsidRDefault="00FA7EBF">
            <w:pPr>
              <w:pStyle w:val="ARtabletextright"/>
            </w:pPr>
            <w:r>
              <w:t>10,794</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74415D7" w14:textId="77777777" w:rsidR="00FA7EBF" w:rsidRDefault="00FA7EBF">
            <w:pPr>
              <w:pStyle w:val="ARtabletextright"/>
            </w:pPr>
            <w:r>
              <w:t>11,213</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A06BDF6" w14:textId="77777777" w:rsidR="00FA7EBF" w:rsidRDefault="00FA7EBF">
            <w:pPr>
              <w:pStyle w:val="ARtabletextright"/>
            </w:pPr>
            <w:r>
              <w:t>(3.7)</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FB24C94" w14:textId="77777777" w:rsidR="00FA7EBF" w:rsidRDefault="00FA7EBF">
            <w:pPr>
              <w:pStyle w:val="ARtabletextright"/>
            </w:pPr>
            <w:r>
              <w:t>10,980</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63084CF" w14:textId="77777777" w:rsidR="00FA7EBF" w:rsidRDefault="00FA7EBF">
            <w:pPr>
              <w:pStyle w:val="ARtabletextright"/>
            </w:pPr>
            <w:r>
              <w:t>(1.7)</w:t>
            </w:r>
          </w:p>
        </w:tc>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4E63D822" w14:textId="77777777" w:rsidR="00FA7EBF" w:rsidRDefault="00FA7EBF">
            <w:pPr>
              <w:pStyle w:val="ARtabletextrightbold"/>
            </w:pPr>
          </w:p>
        </w:tc>
      </w:tr>
      <w:tr w:rsidR="00FA7EBF" w14:paraId="41C10AC7" w14:textId="77777777" w:rsidTr="003075FD">
        <w:tc>
          <w:tcPr>
            <w:tcW w:w="0" w:type="auto"/>
            <w:tcBorders>
              <w:top w:val="single" w:sz="4" w:space="0" w:color="A6A6A6" w:themeColor="background1" w:themeShade="A6"/>
              <w:left w:val="single" w:sz="4" w:space="0" w:color="FFFFFF"/>
              <w:bottom w:val="single" w:sz="4" w:space="0" w:color="auto"/>
              <w:right w:val="single" w:sz="4" w:space="0" w:color="FFFFFF"/>
            </w:tcBorders>
            <w:hideMark/>
          </w:tcPr>
          <w:p w14:paraId="062DC24B" w14:textId="77777777" w:rsidR="00FA7EBF" w:rsidRDefault="00FA7EBF">
            <w:pPr>
              <w:pStyle w:val="ARtabletext"/>
            </w:pPr>
            <w:r>
              <w:t>Payments into the Consolidated Fund</w:t>
            </w:r>
          </w:p>
        </w:tc>
        <w:tc>
          <w:tcPr>
            <w:tcW w:w="1088" w:type="dxa"/>
            <w:tcBorders>
              <w:top w:val="single" w:sz="4" w:space="0" w:color="A6A6A6" w:themeColor="background1" w:themeShade="A6"/>
              <w:left w:val="single" w:sz="4" w:space="0" w:color="FFFFFF"/>
              <w:bottom w:val="single" w:sz="4" w:space="0" w:color="auto"/>
              <w:right w:val="single" w:sz="4" w:space="0" w:color="FFFFFF"/>
            </w:tcBorders>
            <w:hideMark/>
          </w:tcPr>
          <w:p w14:paraId="24837896" w14:textId="77777777" w:rsidR="00FA7EBF" w:rsidRDefault="00FA7EBF">
            <w:pPr>
              <w:pStyle w:val="ARtabletextright"/>
            </w:pPr>
            <w:r>
              <w:t>466</w:t>
            </w:r>
          </w:p>
        </w:tc>
        <w:tc>
          <w:tcPr>
            <w:tcW w:w="1088" w:type="dxa"/>
            <w:tcBorders>
              <w:top w:val="single" w:sz="4" w:space="0" w:color="A6A6A6" w:themeColor="background1" w:themeShade="A6"/>
              <w:left w:val="single" w:sz="4" w:space="0" w:color="FFFFFF"/>
              <w:bottom w:val="single" w:sz="4" w:space="0" w:color="auto"/>
              <w:right w:val="single" w:sz="4" w:space="0" w:color="FFFFFF"/>
            </w:tcBorders>
            <w:hideMark/>
          </w:tcPr>
          <w:p w14:paraId="62B5D4F4" w14:textId="77777777" w:rsidR="00FA7EBF" w:rsidRDefault="00FA7EBF">
            <w:pPr>
              <w:pStyle w:val="ARtabletextright"/>
            </w:pPr>
            <w:r>
              <w:t>467</w:t>
            </w:r>
          </w:p>
        </w:tc>
        <w:tc>
          <w:tcPr>
            <w:tcW w:w="1089" w:type="dxa"/>
            <w:tcBorders>
              <w:top w:val="single" w:sz="4" w:space="0" w:color="A6A6A6" w:themeColor="background1" w:themeShade="A6"/>
              <w:left w:val="single" w:sz="4" w:space="0" w:color="FFFFFF"/>
              <w:bottom w:val="single" w:sz="4" w:space="0" w:color="auto"/>
              <w:right w:val="single" w:sz="4" w:space="0" w:color="FFFFFF"/>
            </w:tcBorders>
            <w:hideMark/>
          </w:tcPr>
          <w:p w14:paraId="74B772E6" w14:textId="77777777" w:rsidR="00FA7EBF" w:rsidRDefault="00FA7EBF">
            <w:pPr>
              <w:pStyle w:val="ARtabletextright"/>
            </w:pPr>
            <w:r>
              <w:t>(0.2)</w:t>
            </w:r>
          </w:p>
        </w:tc>
        <w:tc>
          <w:tcPr>
            <w:tcW w:w="1088" w:type="dxa"/>
            <w:tcBorders>
              <w:top w:val="single" w:sz="4" w:space="0" w:color="A6A6A6" w:themeColor="background1" w:themeShade="A6"/>
              <w:left w:val="single" w:sz="4" w:space="0" w:color="FFFFFF"/>
              <w:bottom w:val="single" w:sz="4" w:space="0" w:color="auto"/>
              <w:right w:val="single" w:sz="4" w:space="0" w:color="FFFFFF"/>
            </w:tcBorders>
            <w:hideMark/>
          </w:tcPr>
          <w:p w14:paraId="3CBFCEBA" w14:textId="77777777" w:rsidR="00FA7EBF" w:rsidRDefault="00FA7EBF">
            <w:pPr>
              <w:pStyle w:val="ARtabletextright"/>
            </w:pPr>
            <w:r>
              <w:t>418</w:t>
            </w:r>
          </w:p>
        </w:tc>
        <w:tc>
          <w:tcPr>
            <w:tcW w:w="1089" w:type="dxa"/>
            <w:tcBorders>
              <w:top w:val="single" w:sz="4" w:space="0" w:color="A6A6A6" w:themeColor="background1" w:themeShade="A6"/>
              <w:left w:val="single" w:sz="4" w:space="0" w:color="FFFFFF"/>
              <w:bottom w:val="single" w:sz="4" w:space="0" w:color="auto"/>
              <w:right w:val="single" w:sz="4" w:space="0" w:color="FFFFFF"/>
            </w:tcBorders>
            <w:hideMark/>
          </w:tcPr>
          <w:p w14:paraId="256A8213" w14:textId="77777777" w:rsidR="00FA7EBF" w:rsidRDefault="00FA7EBF">
            <w:pPr>
              <w:pStyle w:val="ARtabletextright"/>
            </w:pPr>
            <w:r>
              <w:t>11.5</w:t>
            </w:r>
          </w:p>
        </w:tc>
        <w:tc>
          <w:tcPr>
            <w:tcW w:w="0" w:type="auto"/>
            <w:tcBorders>
              <w:top w:val="single" w:sz="4" w:space="0" w:color="A6A6A6" w:themeColor="background1" w:themeShade="A6"/>
              <w:left w:val="single" w:sz="4" w:space="0" w:color="FFFFFF"/>
              <w:bottom w:val="single" w:sz="4" w:space="0" w:color="auto"/>
              <w:right w:val="single" w:sz="4" w:space="0" w:color="FFFFFF"/>
            </w:tcBorders>
          </w:tcPr>
          <w:p w14:paraId="020CD7D7" w14:textId="77777777" w:rsidR="00FA7EBF" w:rsidRDefault="00FA7EBF">
            <w:pPr>
              <w:pStyle w:val="ARtabletextrightbold"/>
            </w:pPr>
          </w:p>
        </w:tc>
      </w:tr>
      <w:tr w:rsidR="00FA7EBF" w14:paraId="68FF544D" w14:textId="77777777" w:rsidTr="003075FD">
        <w:tc>
          <w:tcPr>
            <w:tcW w:w="0" w:type="auto"/>
            <w:tcBorders>
              <w:top w:val="single" w:sz="4" w:space="0" w:color="auto"/>
              <w:left w:val="single" w:sz="4" w:space="0" w:color="FFFFFF"/>
              <w:bottom w:val="single" w:sz="4" w:space="0" w:color="auto"/>
              <w:right w:val="single" w:sz="4" w:space="0" w:color="FFFFFF"/>
            </w:tcBorders>
            <w:hideMark/>
          </w:tcPr>
          <w:p w14:paraId="25C74C90" w14:textId="77777777" w:rsidR="00FA7EBF" w:rsidRDefault="00FA7EBF">
            <w:pPr>
              <w:pStyle w:val="ARtabletextbold"/>
            </w:pPr>
            <w:r>
              <w:t>Total administered expenses</w:t>
            </w:r>
          </w:p>
        </w:tc>
        <w:tc>
          <w:tcPr>
            <w:tcW w:w="1088" w:type="dxa"/>
            <w:tcBorders>
              <w:top w:val="single" w:sz="4" w:space="0" w:color="auto"/>
              <w:left w:val="single" w:sz="4" w:space="0" w:color="FFFFFF"/>
              <w:bottom w:val="single" w:sz="4" w:space="0" w:color="auto"/>
              <w:right w:val="single" w:sz="4" w:space="0" w:color="FFFFFF"/>
            </w:tcBorders>
            <w:hideMark/>
          </w:tcPr>
          <w:p w14:paraId="69D0F9BD" w14:textId="77777777" w:rsidR="00FA7EBF" w:rsidRDefault="00FA7EBF">
            <w:pPr>
              <w:pStyle w:val="ARtabletextrightbold"/>
            </w:pPr>
            <w:r>
              <w:t>12,148</w:t>
            </w:r>
          </w:p>
        </w:tc>
        <w:tc>
          <w:tcPr>
            <w:tcW w:w="1088" w:type="dxa"/>
            <w:tcBorders>
              <w:top w:val="single" w:sz="4" w:space="0" w:color="auto"/>
              <w:left w:val="single" w:sz="4" w:space="0" w:color="FFFFFF"/>
              <w:bottom w:val="single" w:sz="4" w:space="0" w:color="auto"/>
              <w:right w:val="single" w:sz="4" w:space="0" w:color="FFFFFF"/>
            </w:tcBorders>
            <w:hideMark/>
          </w:tcPr>
          <w:p w14:paraId="1109C82A" w14:textId="77777777" w:rsidR="00FA7EBF" w:rsidRDefault="00FA7EBF">
            <w:pPr>
              <w:pStyle w:val="ARtabletextrightbold"/>
            </w:pPr>
            <w:r>
              <w:t>12,573</w:t>
            </w:r>
          </w:p>
        </w:tc>
        <w:tc>
          <w:tcPr>
            <w:tcW w:w="1089" w:type="dxa"/>
            <w:tcBorders>
              <w:top w:val="single" w:sz="4" w:space="0" w:color="auto"/>
              <w:left w:val="single" w:sz="4" w:space="0" w:color="FFFFFF"/>
              <w:bottom w:val="single" w:sz="4" w:space="0" w:color="auto"/>
              <w:right w:val="single" w:sz="4" w:space="0" w:color="FFFFFF"/>
            </w:tcBorders>
            <w:hideMark/>
          </w:tcPr>
          <w:p w14:paraId="3F50BA71" w14:textId="77777777" w:rsidR="00FA7EBF" w:rsidRDefault="00FA7EBF">
            <w:pPr>
              <w:pStyle w:val="ARtabletextrightbold"/>
            </w:pPr>
            <w:r>
              <w:t>(3.4)</w:t>
            </w:r>
          </w:p>
        </w:tc>
        <w:tc>
          <w:tcPr>
            <w:tcW w:w="1088" w:type="dxa"/>
            <w:tcBorders>
              <w:top w:val="single" w:sz="4" w:space="0" w:color="auto"/>
              <w:left w:val="single" w:sz="4" w:space="0" w:color="FFFFFF"/>
              <w:bottom w:val="single" w:sz="4" w:space="0" w:color="auto"/>
              <w:right w:val="single" w:sz="4" w:space="0" w:color="FFFFFF"/>
            </w:tcBorders>
            <w:hideMark/>
          </w:tcPr>
          <w:p w14:paraId="170D49F5" w14:textId="77777777" w:rsidR="00FA7EBF" w:rsidRDefault="00FA7EBF">
            <w:pPr>
              <w:pStyle w:val="ARtabletextrightbold"/>
            </w:pPr>
            <w:r>
              <w:t>12,116</w:t>
            </w:r>
          </w:p>
        </w:tc>
        <w:tc>
          <w:tcPr>
            <w:tcW w:w="1089" w:type="dxa"/>
            <w:tcBorders>
              <w:top w:val="single" w:sz="4" w:space="0" w:color="auto"/>
              <w:left w:val="single" w:sz="4" w:space="0" w:color="FFFFFF"/>
              <w:bottom w:val="single" w:sz="4" w:space="0" w:color="auto"/>
              <w:right w:val="single" w:sz="4" w:space="0" w:color="FFFFFF"/>
            </w:tcBorders>
            <w:hideMark/>
          </w:tcPr>
          <w:p w14:paraId="73DB0BBA" w14:textId="77777777" w:rsidR="00FA7EBF" w:rsidRDefault="00FA7EBF">
            <w:pPr>
              <w:pStyle w:val="ARtabletextrightbold"/>
            </w:pPr>
            <w:r>
              <w:t>0.3</w:t>
            </w:r>
          </w:p>
        </w:tc>
        <w:tc>
          <w:tcPr>
            <w:tcW w:w="0" w:type="auto"/>
            <w:tcBorders>
              <w:top w:val="single" w:sz="4" w:space="0" w:color="auto"/>
              <w:left w:val="single" w:sz="4" w:space="0" w:color="FFFFFF"/>
              <w:bottom w:val="single" w:sz="4" w:space="0" w:color="auto"/>
              <w:right w:val="single" w:sz="4" w:space="0" w:color="FFFFFF"/>
            </w:tcBorders>
          </w:tcPr>
          <w:p w14:paraId="355DC29A" w14:textId="77777777" w:rsidR="00FA7EBF" w:rsidRDefault="00FA7EBF">
            <w:pPr>
              <w:pStyle w:val="ARtabletextrightbold"/>
            </w:pPr>
          </w:p>
        </w:tc>
      </w:tr>
      <w:tr w:rsidR="00FA7EBF" w14:paraId="23C43E67" w14:textId="77777777" w:rsidTr="003075FD">
        <w:tc>
          <w:tcPr>
            <w:tcW w:w="0" w:type="auto"/>
            <w:tcBorders>
              <w:top w:val="single" w:sz="4" w:space="0" w:color="auto"/>
              <w:left w:val="single" w:sz="4" w:space="0" w:color="FFFFFF"/>
              <w:bottom w:val="single" w:sz="4" w:space="0" w:color="auto"/>
              <w:right w:val="single" w:sz="4" w:space="0" w:color="FFFFFF"/>
            </w:tcBorders>
            <w:hideMark/>
          </w:tcPr>
          <w:p w14:paraId="2651FD51" w14:textId="77777777" w:rsidR="00FA7EBF" w:rsidRDefault="00FA7EBF">
            <w:pPr>
              <w:pStyle w:val="ARtabletextbold"/>
            </w:pPr>
            <w:r>
              <w:t>Income less expenses</w:t>
            </w:r>
          </w:p>
        </w:tc>
        <w:tc>
          <w:tcPr>
            <w:tcW w:w="1088" w:type="dxa"/>
            <w:tcBorders>
              <w:top w:val="single" w:sz="4" w:space="0" w:color="auto"/>
              <w:left w:val="single" w:sz="4" w:space="0" w:color="FFFFFF"/>
              <w:bottom w:val="single" w:sz="4" w:space="0" w:color="auto"/>
              <w:right w:val="single" w:sz="4" w:space="0" w:color="FFFFFF"/>
            </w:tcBorders>
            <w:hideMark/>
          </w:tcPr>
          <w:p w14:paraId="326FE31E" w14:textId="77777777" w:rsidR="00FA7EBF" w:rsidRDefault="00FA7EBF">
            <w:pPr>
              <w:pStyle w:val="ARtabletextrightbold"/>
            </w:pPr>
            <w:r>
              <w:t>(39.0)</w:t>
            </w:r>
          </w:p>
        </w:tc>
        <w:tc>
          <w:tcPr>
            <w:tcW w:w="1088" w:type="dxa"/>
            <w:tcBorders>
              <w:top w:val="single" w:sz="4" w:space="0" w:color="auto"/>
              <w:left w:val="single" w:sz="4" w:space="0" w:color="FFFFFF"/>
              <w:bottom w:val="single" w:sz="4" w:space="0" w:color="auto"/>
              <w:right w:val="single" w:sz="4" w:space="0" w:color="FFFFFF"/>
            </w:tcBorders>
            <w:hideMark/>
          </w:tcPr>
          <w:p w14:paraId="0968D5CF" w14:textId="77777777" w:rsidR="00FA7EBF" w:rsidRDefault="00FA7EBF">
            <w:pPr>
              <w:pStyle w:val="ARtabletextrightbold"/>
            </w:pPr>
            <w:r>
              <w:t>(8)</w:t>
            </w:r>
          </w:p>
        </w:tc>
        <w:tc>
          <w:tcPr>
            <w:tcW w:w="1089" w:type="dxa"/>
            <w:tcBorders>
              <w:top w:val="single" w:sz="4" w:space="0" w:color="auto"/>
              <w:left w:val="single" w:sz="4" w:space="0" w:color="FFFFFF"/>
              <w:bottom w:val="single" w:sz="4" w:space="0" w:color="auto"/>
              <w:right w:val="single" w:sz="4" w:space="0" w:color="FFFFFF"/>
            </w:tcBorders>
            <w:hideMark/>
          </w:tcPr>
          <w:p w14:paraId="15DF2CDC" w14:textId="77777777" w:rsidR="00FA7EBF" w:rsidRDefault="00FA7EBF">
            <w:pPr>
              <w:pStyle w:val="ARtabletextrightbold"/>
            </w:pPr>
            <w:r>
              <w:t>387.5</w:t>
            </w:r>
          </w:p>
        </w:tc>
        <w:tc>
          <w:tcPr>
            <w:tcW w:w="1088" w:type="dxa"/>
            <w:tcBorders>
              <w:top w:val="single" w:sz="4" w:space="0" w:color="auto"/>
              <w:left w:val="single" w:sz="4" w:space="0" w:color="FFFFFF"/>
              <w:bottom w:val="single" w:sz="4" w:space="0" w:color="auto"/>
              <w:right w:val="single" w:sz="4" w:space="0" w:color="FFFFFF"/>
            </w:tcBorders>
            <w:hideMark/>
          </w:tcPr>
          <w:p w14:paraId="2DC8B26A" w14:textId="77777777" w:rsidR="00FA7EBF" w:rsidRDefault="00FA7EBF">
            <w:pPr>
              <w:pStyle w:val="ARtabletextrightbold"/>
            </w:pPr>
            <w:r>
              <w:t>(8)</w:t>
            </w:r>
          </w:p>
        </w:tc>
        <w:tc>
          <w:tcPr>
            <w:tcW w:w="1089" w:type="dxa"/>
            <w:tcBorders>
              <w:top w:val="single" w:sz="4" w:space="0" w:color="auto"/>
              <w:left w:val="single" w:sz="4" w:space="0" w:color="FFFFFF"/>
              <w:bottom w:val="single" w:sz="4" w:space="0" w:color="auto"/>
              <w:right w:val="single" w:sz="4" w:space="0" w:color="FFFFFF"/>
            </w:tcBorders>
            <w:hideMark/>
          </w:tcPr>
          <w:p w14:paraId="077152B8" w14:textId="77777777" w:rsidR="00FA7EBF" w:rsidRDefault="00FA7EBF">
            <w:pPr>
              <w:pStyle w:val="ARtabletextrightbold"/>
            </w:pPr>
            <w:r>
              <w:t>387.5</w:t>
            </w:r>
          </w:p>
        </w:tc>
        <w:tc>
          <w:tcPr>
            <w:tcW w:w="0" w:type="auto"/>
            <w:tcBorders>
              <w:top w:val="single" w:sz="4" w:space="0" w:color="auto"/>
              <w:left w:val="single" w:sz="4" w:space="0" w:color="FFFFFF"/>
              <w:bottom w:val="single" w:sz="4" w:space="0" w:color="auto"/>
              <w:right w:val="single" w:sz="4" w:space="0" w:color="FFFFFF"/>
            </w:tcBorders>
          </w:tcPr>
          <w:p w14:paraId="217F17E4" w14:textId="77777777" w:rsidR="00FA7EBF" w:rsidRDefault="00FA7EBF">
            <w:pPr>
              <w:pStyle w:val="ARtabletextrightbold"/>
            </w:pPr>
          </w:p>
        </w:tc>
      </w:tr>
      <w:tr w:rsidR="00FA7EBF" w14:paraId="5B1A41AE" w14:textId="77777777" w:rsidTr="003075FD">
        <w:tc>
          <w:tcPr>
            <w:tcW w:w="9639" w:type="dxa"/>
            <w:gridSpan w:val="7"/>
            <w:tcBorders>
              <w:top w:val="single" w:sz="4" w:space="0" w:color="auto"/>
              <w:left w:val="single" w:sz="4" w:space="0" w:color="FFFFFF"/>
              <w:bottom w:val="single" w:sz="4" w:space="0" w:color="A6A6A6" w:themeColor="background1" w:themeShade="A6"/>
              <w:right w:val="single" w:sz="4" w:space="0" w:color="FFFFFF"/>
            </w:tcBorders>
            <w:hideMark/>
          </w:tcPr>
          <w:p w14:paraId="3A9AAE37" w14:textId="77777777" w:rsidR="00FA7EBF" w:rsidRDefault="00FA7EBF">
            <w:pPr>
              <w:pStyle w:val="ARtabletextbold"/>
            </w:pPr>
            <w:r>
              <w:t>Other economic flows included in net result</w:t>
            </w:r>
          </w:p>
        </w:tc>
      </w:tr>
      <w:tr w:rsidR="00FA7EBF" w14:paraId="7C7A5A1D" w14:textId="77777777" w:rsidTr="003075FD">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95697EA" w14:textId="77777777" w:rsidR="00FA7EBF" w:rsidRDefault="00FA7EBF">
            <w:pPr>
              <w:pStyle w:val="ARtabletext"/>
            </w:pPr>
            <w:r>
              <w:t>Net gain/(loss) on non-financial assets</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A0EAE79" w14:textId="77777777" w:rsidR="00FA7EBF" w:rsidRDefault="00FA7EBF">
            <w:pPr>
              <w:pStyle w:val="ARtabletextright"/>
            </w:pPr>
            <w:r>
              <w:t>(8)</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0480FDB" w14:textId="77777777" w:rsidR="00FA7EBF" w:rsidRDefault="00FA7EBF">
            <w:pPr>
              <w:pStyle w:val="ARtabletextright"/>
            </w:pPr>
            <w:r>
              <w:t>8</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7950B5E" w14:textId="77777777" w:rsidR="00FA7EBF" w:rsidRDefault="00FA7EBF">
            <w:pPr>
              <w:pStyle w:val="ARtabletextright"/>
            </w:pPr>
            <w:r>
              <w:t>(200.0)</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6BE1E193" w14:textId="77777777" w:rsidR="00FA7EBF" w:rsidRDefault="00FA7EBF">
            <w:pPr>
              <w:pStyle w:val="ARtabletextright"/>
            </w:pPr>
            <w:r>
              <w:t>8</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397A8BB" w14:textId="77777777" w:rsidR="00FA7EBF" w:rsidRDefault="00FA7EBF">
            <w:pPr>
              <w:pStyle w:val="ARtabletextright"/>
            </w:pPr>
            <w:r>
              <w:t>(200.0)</w:t>
            </w:r>
          </w:p>
        </w:tc>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7C30F029" w14:textId="77777777" w:rsidR="00FA7EBF" w:rsidRDefault="00FA7EBF">
            <w:pPr>
              <w:pStyle w:val="ARtabletextrightbold"/>
            </w:pPr>
          </w:p>
        </w:tc>
      </w:tr>
      <w:tr w:rsidR="00FA7EBF" w14:paraId="4562E282" w14:textId="77777777" w:rsidTr="003075FD">
        <w:tc>
          <w:tcPr>
            <w:tcW w:w="0" w:type="auto"/>
            <w:tcBorders>
              <w:top w:val="single" w:sz="4" w:space="0" w:color="A6A6A6" w:themeColor="background1" w:themeShade="A6"/>
              <w:left w:val="single" w:sz="4" w:space="0" w:color="FFFFFF"/>
              <w:bottom w:val="single" w:sz="4" w:space="0" w:color="auto"/>
              <w:right w:val="single" w:sz="4" w:space="0" w:color="FFFFFF"/>
            </w:tcBorders>
            <w:hideMark/>
          </w:tcPr>
          <w:p w14:paraId="7CE0093C" w14:textId="77777777" w:rsidR="00FA7EBF" w:rsidRDefault="00FA7EBF">
            <w:pPr>
              <w:pStyle w:val="ARtabletext"/>
            </w:pPr>
            <w:r>
              <w:t>Net gain/(loss) on financial instruments and statutory receivables/payables</w:t>
            </w:r>
          </w:p>
        </w:tc>
        <w:tc>
          <w:tcPr>
            <w:tcW w:w="1088" w:type="dxa"/>
            <w:tcBorders>
              <w:top w:val="single" w:sz="4" w:space="0" w:color="A6A6A6" w:themeColor="background1" w:themeShade="A6"/>
              <w:left w:val="single" w:sz="4" w:space="0" w:color="FFFFFF"/>
              <w:bottom w:val="single" w:sz="4" w:space="0" w:color="auto"/>
              <w:right w:val="single" w:sz="4" w:space="0" w:color="FFFFFF"/>
            </w:tcBorders>
            <w:hideMark/>
          </w:tcPr>
          <w:p w14:paraId="39CF48FF" w14:textId="77777777" w:rsidR="00FA7EBF" w:rsidRDefault="00FA7EBF">
            <w:pPr>
              <w:pStyle w:val="ARtabletextright"/>
            </w:pPr>
            <w:r>
              <w:t>(4)</w:t>
            </w:r>
          </w:p>
        </w:tc>
        <w:tc>
          <w:tcPr>
            <w:tcW w:w="1088" w:type="dxa"/>
            <w:tcBorders>
              <w:top w:val="single" w:sz="4" w:space="0" w:color="A6A6A6" w:themeColor="background1" w:themeShade="A6"/>
              <w:left w:val="single" w:sz="4" w:space="0" w:color="FFFFFF"/>
              <w:bottom w:val="single" w:sz="4" w:space="0" w:color="auto"/>
              <w:right w:val="single" w:sz="4" w:space="0" w:color="FFFFFF"/>
            </w:tcBorders>
            <w:hideMark/>
          </w:tcPr>
          <w:p w14:paraId="60301E66" w14:textId="77777777" w:rsidR="00FA7EBF" w:rsidRDefault="00FA7EBF">
            <w:pPr>
              <w:pStyle w:val="ARtabletextright"/>
            </w:pPr>
            <w:r>
              <w:t>–</w:t>
            </w:r>
          </w:p>
        </w:tc>
        <w:tc>
          <w:tcPr>
            <w:tcW w:w="1089" w:type="dxa"/>
            <w:tcBorders>
              <w:top w:val="single" w:sz="4" w:space="0" w:color="A6A6A6" w:themeColor="background1" w:themeShade="A6"/>
              <w:left w:val="single" w:sz="4" w:space="0" w:color="FFFFFF"/>
              <w:bottom w:val="single" w:sz="4" w:space="0" w:color="auto"/>
              <w:right w:val="single" w:sz="4" w:space="0" w:color="FFFFFF"/>
            </w:tcBorders>
            <w:hideMark/>
          </w:tcPr>
          <w:p w14:paraId="310B1F00" w14:textId="77777777" w:rsidR="00FA7EBF" w:rsidRDefault="00FA7EBF">
            <w:pPr>
              <w:pStyle w:val="ARtabletextright"/>
            </w:pPr>
            <w:r>
              <w:t>–</w:t>
            </w:r>
          </w:p>
        </w:tc>
        <w:tc>
          <w:tcPr>
            <w:tcW w:w="1088" w:type="dxa"/>
            <w:tcBorders>
              <w:top w:val="single" w:sz="4" w:space="0" w:color="A6A6A6" w:themeColor="background1" w:themeShade="A6"/>
              <w:left w:val="single" w:sz="4" w:space="0" w:color="FFFFFF"/>
              <w:bottom w:val="single" w:sz="4" w:space="0" w:color="auto"/>
              <w:right w:val="single" w:sz="4" w:space="0" w:color="FFFFFF"/>
            </w:tcBorders>
            <w:hideMark/>
          </w:tcPr>
          <w:p w14:paraId="12B104B7" w14:textId="77777777" w:rsidR="00FA7EBF" w:rsidRDefault="00FA7EBF">
            <w:pPr>
              <w:pStyle w:val="ARtabletextright"/>
            </w:pPr>
            <w:r>
              <w:t>–</w:t>
            </w:r>
          </w:p>
        </w:tc>
        <w:tc>
          <w:tcPr>
            <w:tcW w:w="1089" w:type="dxa"/>
            <w:tcBorders>
              <w:top w:val="single" w:sz="4" w:space="0" w:color="A6A6A6" w:themeColor="background1" w:themeShade="A6"/>
              <w:left w:val="single" w:sz="4" w:space="0" w:color="FFFFFF"/>
              <w:bottom w:val="single" w:sz="4" w:space="0" w:color="auto"/>
              <w:right w:val="single" w:sz="4" w:space="0" w:color="FFFFFF"/>
            </w:tcBorders>
            <w:hideMark/>
          </w:tcPr>
          <w:p w14:paraId="2C0E9F6C" w14:textId="77777777" w:rsidR="00FA7EBF" w:rsidRDefault="00FA7EBF">
            <w:pPr>
              <w:pStyle w:val="ARtabletextright"/>
            </w:pPr>
            <w:r>
              <w:t>–</w:t>
            </w:r>
          </w:p>
        </w:tc>
        <w:tc>
          <w:tcPr>
            <w:tcW w:w="0" w:type="auto"/>
            <w:tcBorders>
              <w:top w:val="single" w:sz="4" w:space="0" w:color="A6A6A6" w:themeColor="background1" w:themeShade="A6"/>
              <w:left w:val="single" w:sz="4" w:space="0" w:color="FFFFFF"/>
              <w:bottom w:val="single" w:sz="4" w:space="0" w:color="auto"/>
              <w:right w:val="single" w:sz="4" w:space="0" w:color="FFFFFF"/>
            </w:tcBorders>
          </w:tcPr>
          <w:p w14:paraId="4806BBE4" w14:textId="77777777" w:rsidR="00FA7EBF" w:rsidRDefault="00FA7EBF">
            <w:pPr>
              <w:pStyle w:val="ARtabletextrightbold"/>
            </w:pPr>
          </w:p>
        </w:tc>
      </w:tr>
      <w:tr w:rsidR="00FA7EBF" w14:paraId="1D7E2528" w14:textId="77777777" w:rsidTr="003075FD">
        <w:tc>
          <w:tcPr>
            <w:tcW w:w="0" w:type="auto"/>
            <w:tcBorders>
              <w:top w:val="single" w:sz="4" w:space="0" w:color="auto"/>
              <w:left w:val="single" w:sz="4" w:space="0" w:color="FFFFFF"/>
              <w:bottom w:val="single" w:sz="4" w:space="0" w:color="auto"/>
              <w:right w:val="single" w:sz="4" w:space="0" w:color="FFFFFF"/>
            </w:tcBorders>
            <w:hideMark/>
          </w:tcPr>
          <w:p w14:paraId="7D987668" w14:textId="77777777" w:rsidR="00FA7EBF" w:rsidRDefault="00FA7EBF">
            <w:pPr>
              <w:pStyle w:val="ARtabletextbold"/>
            </w:pPr>
            <w:r>
              <w:t>Total other economic flows included in net result</w:t>
            </w:r>
          </w:p>
        </w:tc>
        <w:tc>
          <w:tcPr>
            <w:tcW w:w="1088" w:type="dxa"/>
            <w:tcBorders>
              <w:top w:val="single" w:sz="4" w:space="0" w:color="auto"/>
              <w:left w:val="single" w:sz="4" w:space="0" w:color="FFFFFF"/>
              <w:bottom w:val="single" w:sz="4" w:space="0" w:color="auto"/>
              <w:right w:val="single" w:sz="4" w:space="0" w:color="FFFFFF"/>
            </w:tcBorders>
            <w:hideMark/>
          </w:tcPr>
          <w:p w14:paraId="5D03642C" w14:textId="77777777" w:rsidR="00FA7EBF" w:rsidRDefault="00FA7EBF">
            <w:pPr>
              <w:pStyle w:val="ARtabletextrightbold"/>
            </w:pPr>
            <w:r>
              <w:t>(12)</w:t>
            </w:r>
          </w:p>
        </w:tc>
        <w:tc>
          <w:tcPr>
            <w:tcW w:w="1088" w:type="dxa"/>
            <w:tcBorders>
              <w:top w:val="single" w:sz="4" w:space="0" w:color="auto"/>
              <w:left w:val="single" w:sz="4" w:space="0" w:color="FFFFFF"/>
              <w:bottom w:val="single" w:sz="4" w:space="0" w:color="auto"/>
              <w:right w:val="single" w:sz="4" w:space="0" w:color="FFFFFF"/>
            </w:tcBorders>
            <w:hideMark/>
          </w:tcPr>
          <w:p w14:paraId="6626D781" w14:textId="77777777" w:rsidR="00FA7EBF" w:rsidRDefault="00FA7EBF">
            <w:pPr>
              <w:pStyle w:val="ARtabletextrightbold"/>
            </w:pPr>
            <w:r>
              <w:t>8</w:t>
            </w:r>
          </w:p>
        </w:tc>
        <w:tc>
          <w:tcPr>
            <w:tcW w:w="1089" w:type="dxa"/>
            <w:tcBorders>
              <w:top w:val="single" w:sz="4" w:space="0" w:color="auto"/>
              <w:left w:val="single" w:sz="4" w:space="0" w:color="FFFFFF"/>
              <w:bottom w:val="single" w:sz="4" w:space="0" w:color="auto"/>
              <w:right w:val="single" w:sz="4" w:space="0" w:color="FFFFFF"/>
            </w:tcBorders>
            <w:hideMark/>
          </w:tcPr>
          <w:p w14:paraId="7B2662CD" w14:textId="77777777" w:rsidR="00FA7EBF" w:rsidRDefault="00FA7EBF">
            <w:pPr>
              <w:pStyle w:val="ARtabletextrightbold"/>
            </w:pPr>
            <w:r>
              <w:t>(250.0)</w:t>
            </w:r>
          </w:p>
        </w:tc>
        <w:tc>
          <w:tcPr>
            <w:tcW w:w="1088" w:type="dxa"/>
            <w:tcBorders>
              <w:top w:val="single" w:sz="4" w:space="0" w:color="auto"/>
              <w:left w:val="single" w:sz="4" w:space="0" w:color="FFFFFF"/>
              <w:bottom w:val="single" w:sz="4" w:space="0" w:color="auto"/>
              <w:right w:val="single" w:sz="4" w:space="0" w:color="FFFFFF"/>
            </w:tcBorders>
            <w:hideMark/>
          </w:tcPr>
          <w:p w14:paraId="0AA944BE" w14:textId="77777777" w:rsidR="00FA7EBF" w:rsidRDefault="00FA7EBF">
            <w:pPr>
              <w:pStyle w:val="ARtabletextrightbold"/>
            </w:pPr>
            <w:r>
              <w:t>8</w:t>
            </w:r>
          </w:p>
        </w:tc>
        <w:tc>
          <w:tcPr>
            <w:tcW w:w="1089" w:type="dxa"/>
            <w:tcBorders>
              <w:top w:val="single" w:sz="4" w:space="0" w:color="auto"/>
              <w:left w:val="single" w:sz="4" w:space="0" w:color="FFFFFF"/>
              <w:bottom w:val="single" w:sz="4" w:space="0" w:color="auto"/>
              <w:right w:val="single" w:sz="4" w:space="0" w:color="FFFFFF"/>
            </w:tcBorders>
            <w:hideMark/>
          </w:tcPr>
          <w:p w14:paraId="1ABEE0A7" w14:textId="77777777" w:rsidR="00FA7EBF" w:rsidRDefault="00FA7EBF">
            <w:pPr>
              <w:pStyle w:val="ARtabletextrightbold"/>
            </w:pPr>
            <w:r>
              <w:t>(250.0)</w:t>
            </w:r>
          </w:p>
        </w:tc>
        <w:tc>
          <w:tcPr>
            <w:tcW w:w="0" w:type="auto"/>
            <w:tcBorders>
              <w:top w:val="single" w:sz="4" w:space="0" w:color="auto"/>
              <w:left w:val="single" w:sz="4" w:space="0" w:color="FFFFFF"/>
              <w:bottom w:val="single" w:sz="4" w:space="0" w:color="auto"/>
              <w:right w:val="single" w:sz="4" w:space="0" w:color="FFFFFF"/>
            </w:tcBorders>
          </w:tcPr>
          <w:p w14:paraId="27BD1FEA" w14:textId="77777777" w:rsidR="00FA7EBF" w:rsidRDefault="00FA7EBF">
            <w:pPr>
              <w:pStyle w:val="ARtabletextrightbold"/>
            </w:pPr>
          </w:p>
        </w:tc>
      </w:tr>
      <w:tr w:rsidR="00FA7EBF" w14:paraId="10004B72" w14:textId="77777777" w:rsidTr="003075FD">
        <w:tc>
          <w:tcPr>
            <w:tcW w:w="0" w:type="auto"/>
            <w:tcBorders>
              <w:top w:val="single" w:sz="4" w:space="0" w:color="auto"/>
              <w:left w:val="single" w:sz="4" w:space="0" w:color="FFFFFF"/>
              <w:bottom w:val="single" w:sz="4" w:space="0" w:color="auto"/>
              <w:right w:val="single" w:sz="4" w:space="0" w:color="FFFFFF"/>
            </w:tcBorders>
            <w:hideMark/>
          </w:tcPr>
          <w:p w14:paraId="0B643E82" w14:textId="77777777" w:rsidR="00FA7EBF" w:rsidRDefault="00FA7EBF">
            <w:pPr>
              <w:pStyle w:val="ARtabletextbold"/>
            </w:pPr>
            <w:r>
              <w:t>Net result</w:t>
            </w:r>
          </w:p>
        </w:tc>
        <w:tc>
          <w:tcPr>
            <w:tcW w:w="1088" w:type="dxa"/>
            <w:tcBorders>
              <w:top w:val="single" w:sz="4" w:space="0" w:color="auto"/>
              <w:left w:val="single" w:sz="4" w:space="0" w:color="FFFFFF"/>
              <w:bottom w:val="single" w:sz="4" w:space="0" w:color="auto"/>
              <w:right w:val="single" w:sz="4" w:space="0" w:color="FFFFFF"/>
            </w:tcBorders>
            <w:hideMark/>
          </w:tcPr>
          <w:p w14:paraId="1FBEC5F0" w14:textId="77777777" w:rsidR="00FA7EBF" w:rsidRDefault="00FA7EBF">
            <w:pPr>
              <w:pStyle w:val="ARtabletextrightbold"/>
            </w:pPr>
            <w:r>
              <w:t>(51)</w:t>
            </w:r>
          </w:p>
        </w:tc>
        <w:tc>
          <w:tcPr>
            <w:tcW w:w="1088" w:type="dxa"/>
            <w:tcBorders>
              <w:top w:val="single" w:sz="4" w:space="0" w:color="auto"/>
              <w:left w:val="single" w:sz="4" w:space="0" w:color="FFFFFF"/>
              <w:bottom w:val="single" w:sz="4" w:space="0" w:color="auto"/>
              <w:right w:val="single" w:sz="4" w:space="0" w:color="FFFFFF"/>
            </w:tcBorders>
            <w:hideMark/>
          </w:tcPr>
          <w:p w14:paraId="74BC5151" w14:textId="77777777" w:rsidR="00FA7EBF" w:rsidRDefault="00FA7EBF">
            <w:pPr>
              <w:pStyle w:val="ARtabletextrightbold"/>
            </w:pPr>
            <w:r>
              <w:t>–</w:t>
            </w:r>
          </w:p>
        </w:tc>
        <w:tc>
          <w:tcPr>
            <w:tcW w:w="1089" w:type="dxa"/>
            <w:tcBorders>
              <w:top w:val="single" w:sz="4" w:space="0" w:color="auto"/>
              <w:left w:val="single" w:sz="4" w:space="0" w:color="FFFFFF"/>
              <w:bottom w:val="single" w:sz="4" w:space="0" w:color="auto"/>
              <w:right w:val="single" w:sz="4" w:space="0" w:color="FFFFFF"/>
            </w:tcBorders>
            <w:hideMark/>
          </w:tcPr>
          <w:p w14:paraId="7788750D" w14:textId="77777777" w:rsidR="00FA7EBF" w:rsidRDefault="00FA7EBF">
            <w:pPr>
              <w:pStyle w:val="ARtabletextrightbold"/>
            </w:pPr>
            <w:r>
              <w:t>–</w:t>
            </w:r>
          </w:p>
        </w:tc>
        <w:tc>
          <w:tcPr>
            <w:tcW w:w="1088" w:type="dxa"/>
            <w:tcBorders>
              <w:top w:val="single" w:sz="4" w:space="0" w:color="auto"/>
              <w:left w:val="single" w:sz="4" w:space="0" w:color="FFFFFF"/>
              <w:bottom w:val="single" w:sz="4" w:space="0" w:color="auto"/>
              <w:right w:val="single" w:sz="4" w:space="0" w:color="FFFFFF"/>
            </w:tcBorders>
            <w:hideMark/>
          </w:tcPr>
          <w:p w14:paraId="48FF71D4" w14:textId="77777777" w:rsidR="00FA7EBF" w:rsidRDefault="00FA7EBF">
            <w:pPr>
              <w:pStyle w:val="ARtabletextrightbold"/>
            </w:pPr>
            <w:r>
              <w:t>–</w:t>
            </w:r>
          </w:p>
        </w:tc>
        <w:tc>
          <w:tcPr>
            <w:tcW w:w="1089" w:type="dxa"/>
            <w:tcBorders>
              <w:top w:val="single" w:sz="4" w:space="0" w:color="auto"/>
              <w:left w:val="single" w:sz="4" w:space="0" w:color="FFFFFF"/>
              <w:bottom w:val="single" w:sz="4" w:space="0" w:color="auto"/>
              <w:right w:val="single" w:sz="4" w:space="0" w:color="FFFFFF"/>
            </w:tcBorders>
            <w:hideMark/>
          </w:tcPr>
          <w:p w14:paraId="0ABEA078" w14:textId="77777777" w:rsidR="00FA7EBF" w:rsidRDefault="00FA7EBF">
            <w:pPr>
              <w:pStyle w:val="ARtabletextrightbold"/>
            </w:pPr>
            <w:r>
              <w:t>–</w:t>
            </w:r>
          </w:p>
        </w:tc>
        <w:tc>
          <w:tcPr>
            <w:tcW w:w="0" w:type="auto"/>
            <w:tcBorders>
              <w:top w:val="single" w:sz="4" w:space="0" w:color="auto"/>
              <w:left w:val="single" w:sz="4" w:space="0" w:color="FFFFFF"/>
              <w:bottom w:val="single" w:sz="4" w:space="0" w:color="auto"/>
              <w:right w:val="single" w:sz="4" w:space="0" w:color="FFFFFF"/>
            </w:tcBorders>
          </w:tcPr>
          <w:p w14:paraId="4E1ED5E3" w14:textId="77777777" w:rsidR="00FA7EBF" w:rsidRDefault="00FA7EBF">
            <w:pPr>
              <w:pStyle w:val="ARtabletextrightbold"/>
            </w:pPr>
          </w:p>
        </w:tc>
      </w:tr>
      <w:tr w:rsidR="00FA7EBF" w14:paraId="1E83D968" w14:textId="77777777" w:rsidTr="003075FD">
        <w:tc>
          <w:tcPr>
            <w:tcW w:w="9639" w:type="dxa"/>
            <w:gridSpan w:val="7"/>
            <w:tcBorders>
              <w:top w:val="single" w:sz="4" w:space="0" w:color="auto"/>
              <w:left w:val="single" w:sz="4" w:space="0" w:color="FFFFFF"/>
              <w:bottom w:val="single" w:sz="4" w:space="0" w:color="A6A6A6" w:themeColor="background1" w:themeShade="A6"/>
              <w:right w:val="single" w:sz="4" w:space="0" w:color="FFFFFF"/>
            </w:tcBorders>
            <w:hideMark/>
          </w:tcPr>
          <w:p w14:paraId="765B100E" w14:textId="77777777" w:rsidR="00FA7EBF" w:rsidRDefault="00FA7EBF">
            <w:pPr>
              <w:pStyle w:val="ARtabletextbold"/>
            </w:pPr>
            <w:r>
              <w:t xml:space="preserve">Other economic flows – other </w:t>
            </w:r>
            <w:r>
              <w:br/>
              <w:t>comprehensive income</w:t>
            </w:r>
          </w:p>
        </w:tc>
      </w:tr>
      <w:tr w:rsidR="00FA7EBF" w14:paraId="1AB24BC0" w14:textId="77777777" w:rsidTr="003075FD">
        <w:tc>
          <w:tcPr>
            <w:tcW w:w="0" w:type="auto"/>
            <w:tcBorders>
              <w:top w:val="single" w:sz="4" w:space="0" w:color="A6A6A6" w:themeColor="background1" w:themeShade="A6"/>
              <w:left w:val="single" w:sz="4" w:space="0" w:color="FFFFFF"/>
              <w:bottom w:val="single" w:sz="4" w:space="0" w:color="auto"/>
              <w:right w:val="single" w:sz="4" w:space="0" w:color="FFFFFF"/>
            </w:tcBorders>
            <w:hideMark/>
          </w:tcPr>
          <w:p w14:paraId="4338290C" w14:textId="77777777" w:rsidR="00FA7EBF" w:rsidRDefault="00FA7EBF">
            <w:pPr>
              <w:pStyle w:val="ARtabletext"/>
            </w:pPr>
            <w:r>
              <w:t>Other</w:t>
            </w:r>
          </w:p>
        </w:tc>
        <w:tc>
          <w:tcPr>
            <w:tcW w:w="1088" w:type="dxa"/>
            <w:tcBorders>
              <w:top w:val="single" w:sz="4" w:space="0" w:color="A6A6A6" w:themeColor="background1" w:themeShade="A6"/>
              <w:left w:val="single" w:sz="4" w:space="0" w:color="FFFFFF"/>
              <w:bottom w:val="single" w:sz="4" w:space="0" w:color="auto"/>
              <w:right w:val="single" w:sz="4" w:space="0" w:color="FFFFFF"/>
            </w:tcBorders>
            <w:hideMark/>
          </w:tcPr>
          <w:p w14:paraId="5C8B8906" w14:textId="77777777" w:rsidR="00FA7EBF" w:rsidRDefault="00FA7EBF">
            <w:pPr>
              <w:pStyle w:val="ARtabletextright"/>
            </w:pPr>
            <w:r>
              <w:t>0.8</w:t>
            </w:r>
          </w:p>
        </w:tc>
        <w:tc>
          <w:tcPr>
            <w:tcW w:w="1088" w:type="dxa"/>
            <w:tcBorders>
              <w:top w:val="single" w:sz="4" w:space="0" w:color="A6A6A6" w:themeColor="background1" w:themeShade="A6"/>
              <w:left w:val="single" w:sz="4" w:space="0" w:color="FFFFFF"/>
              <w:bottom w:val="single" w:sz="4" w:space="0" w:color="auto"/>
              <w:right w:val="single" w:sz="4" w:space="0" w:color="FFFFFF"/>
            </w:tcBorders>
            <w:hideMark/>
          </w:tcPr>
          <w:p w14:paraId="701498F2" w14:textId="77777777" w:rsidR="00FA7EBF" w:rsidRDefault="00FA7EBF">
            <w:pPr>
              <w:pStyle w:val="ARtabletextright"/>
            </w:pPr>
            <w:r>
              <w:t>–</w:t>
            </w:r>
          </w:p>
        </w:tc>
        <w:tc>
          <w:tcPr>
            <w:tcW w:w="1089" w:type="dxa"/>
            <w:tcBorders>
              <w:top w:val="single" w:sz="4" w:space="0" w:color="A6A6A6" w:themeColor="background1" w:themeShade="A6"/>
              <w:left w:val="single" w:sz="4" w:space="0" w:color="FFFFFF"/>
              <w:bottom w:val="single" w:sz="4" w:space="0" w:color="auto"/>
              <w:right w:val="single" w:sz="4" w:space="0" w:color="FFFFFF"/>
            </w:tcBorders>
            <w:hideMark/>
          </w:tcPr>
          <w:p w14:paraId="613C8016" w14:textId="77777777" w:rsidR="00FA7EBF" w:rsidRDefault="00FA7EBF">
            <w:pPr>
              <w:pStyle w:val="ARtabletextright"/>
            </w:pPr>
            <w:r>
              <w:t>–</w:t>
            </w:r>
          </w:p>
        </w:tc>
        <w:tc>
          <w:tcPr>
            <w:tcW w:w="1088" w:type="dxa"/>
            <w:tcBorders>
              <w:top w:val="single" w:sz="4" w:space="0" w:color="A6A6A6" w:themeColor="background1" w:themeShade="A6"/>
              <w:left w:val="single" w:sz="4" w:space="0" w:color="FFFFFF"/>
              <w:bottom w:val="single" w:sz="4" w:space="0" w:color="auto"/>
              <w:right w:val="single" w:sz="4" w:space="0" w:color="FFFFFF"/>
            </w:tcBorders>
            <w:hideMark/>
          </w:tcPr>
          <w:p w14:paraId="690AB5B7" w14:textId="77777777" w:rsidR="00FA7EBF" w:rsidRDefault="00FA7EBF">
            <w:pPr>
              <w:pStyle w:val="ARtabletextright"/>
            </w:pPr>
            <w:r>
              <w:t>–</w:t>
            </w:r>
          </w:p>
        </w:tc>
        <w:tc>
          <w:tcPr>
            <w:tcW w:w="1089" w:type="dxa"/>
            <w:tcBorders>
              <w:top w:val="single" w:sz="4" w:space="0" w:color="A6A6A6" w:themeColor="background1" w:themeShade="A6"/>
              <w:left w:val="single" w:sz="4" w:space="0" w:color="FFFFFF"/>
              <w:bottom w:val="single" w:sz="4" w:space="0" w:color="auto"/>
              <w:right w:val="single" w:sz="4" w:space="0" w:color="FFFFFF"/>
            </w:tcBorders>
            <w:hideMark/>
          </w:tcPr>
          <w:p w14:paraId="5AEA12A2" w14:textId="77777777" w:rsidR="00FA7EBF" w:rsidRDefault="00FA7EBF">
            <w:pPr>
              <w:pStyle w:val="ARtabletextright"/>
            </w:pPr>
            <w:r>
              <w:t>–</w:t>
            </w:r>
          </w:p>
        </w:tc>
        <w:tc>
          <w:tcPr>
            <w:tcW w:w="0" w:type="auto"/>
            <w:tcBorders>
              <w:top w:val="single" w:sz="4" w:space="0" w:color="A6A6A6" w:themeColor="background1" w:themeShade="A6"/>
              <w:left w:val="single" w:sz="4" w:space="0" w:color="FFFFFF"/>
              <w:bottom w:val="single" w:sz="4" w:space="0" w:color="auto"/>
              <w:right w:val="single" w:sz="4" w:space="0" w:color="FFFFFF"/>
            </w:tcBorders>
          </w:tcPr>
          <w:p w14:paraId="60D9B2EE" w14:textId="77777777" w:rsidR="00FA7EBF" w:rsidRDefault="00FA7EBF">
            <w:pPr>
              <w:pStyle w:val="ARtabletextrightbold"/>
            </w:pPr>
          </w:p>
        </w:tc>
      </w:tr>
      <w:tr w:rsidR="00FA7EBF" w14:paraId="4FD30B49" w14:textId="77777777" w:rsidTr="003075FD">
        <w:tc>
          <w:tcPr>
            <w:tcW w:w="0" w:type="auto"/>
            <w:tcBorders>
              <w:top w:val="single" w:sz="4" w:space="0" w:color="auto"/>
              <w:left w:val="single" w:sz="4" w:space="0" w:color="FFFFFF"/>
              <w:bottom w:val="single" w:sz="4" w:space="0" w:color="auto"/>
              <w:right w:val="single" w:sz="4" w:space="0" w:color="FFFFFF"/>
            </w:tcBorders>
            <w:hideMark/>
          </w:tcPr>
          <w:p w14:paraId="4510BED2" w14:textId="77777777" w:rsidR="00FA7EBF" w:rsidRDefault="00FA7EBF">
            <w:pPr>
              <w:pStyle w:val="ARtabletextbold"/>
            </w:pPr>
            <w:r>
              <w:t>Total other economic flows – other comprehensive income</w:t>
            </w:r>
          </w:p>
        </w:tc>
        <w:tc>
          <w:tcPr>
            <w:tcW w:w="1088" w:type="dxa"/>
            <w:tcBorders>
              <w:top w:val="single" w:sz="4" w:space="0" w:color="auto"/>
              <w:left w:val="single" w:sz="4" w:space="0" w:color="FFFFFF"/>
              <w:bottom w:val="single" w:sz="4" w:space="0" w:color="auto"/>
              <w:right w:val="single" w:sz="4" w:space="0" w:color="FFFFFF"/>
            </w:tcBorders>
            <w:hideMark/>
          </w:tcPr>
          <w:p w14:paraId="2E754F5D" w14:textId="77777777" w:rsidR="00FA7EBF" w:rsidRDefault="00FA7EBF">
            <w:pPr>
              <w:pStyle w:val="ARtabletextrightbold"/>
            </w:pPr>
            <w:r>
              <w:t>0.8</w:t>
            </w:r>
          </w:p>
        </w:tc>
        <w:tc>
          <w:tcPr>
            <w:tcW w:w="1088" w:type="dxa"/>
            <w:tcBorders>
              <w:top w:val="single" w:sz="4" w:space="0" w:color="auto"/>
              <w:left w:val="single" w:sz="4" w:space="0" w:color="FFFFFF"/>
              <w:bottom w:val="single" w:sz="4" w:space="0" w:color="auto"/>
              <w:right w:val="single" w:sz="4" w:space="0" w:color="FFFFFF"/>
            </w:tcBorders>
            <w:hideMark/>
          </w:tcPr>
          <w:p w14:paraId="65726ACA" w14:textId="77777777" w:rsidR="00FA7EBF" w:rsidRDefault="00FA7EBF">
            <w:pPr>
              <w:pStyle w:val="ARtabletextrightbold"/>
            </w:pPr>
            <w:r>
              <w:t>–</w:t>
            </w:r>
          </w:p>
        </w:tc>
        <w:tc>
          <w:tcPr>
            <w:tcW w:w="1089" w:type="dxa"/>
            <w:tcBorders>
              <w:top w:val="single" w:sz="4" w:space="0" w:color="auto"/>
              <w:left w:val="single" w:sz="4" w:space="0" w:color="FFFFFF"/>
              <w:bottom w:val="single" w:sz="4" w:space="0" w:color="auto"/>
              <w:right w:val="single" w:sz="4" w:space="0" w:color="FFFFFF"/>
            </w:tcBorders>
            <w:hideMark/>
          </w:tcPr>
          <w:p w14:paraId="7177B693" w14:textId="77777777" w:rsidR="00FA7EBF" w:rsidRDefault="00FA7EBF">
            <w:pPr>
              <w:pStyle w:val="ARtabletextrightbold"/>
            </w:pPr>
            <w:r>
              <w:t>–</w:t>
            </w:r>
          </w:p>
        </w:tc>
        <w:tc>
          <w:tcPr>
            <w:tcW w:w="1088" w:type="dxa"/>
            <w:tcBorders>
              <w:top w:val="single" w:sz="4" w:space="0" w:color="auto"/>
              <w:left w:val="single" w:sz="4" w:space="0" w:color="FFFFFF"/>
              <w:bottom w:val="single" w:sz="4" w:space="0" w:color="auto"/>
              <w:right w:val="single" w:sz="4" w:space="0" w:color="FFFFFF"/>
            </w:tcBorders>
            <w:hideMark/>
          </w:tcPr>
          <w:p w14:paraId="18A41486" w14:textId="77777777" w:rsidR="00FA7EBF" w:rsidRDefault="00FA7EBF">
            <w:pPr>
              <w:pStyle w:val="ARtabletextrightbold"/>
            </w:pPr>
            <w:r>
              <w:t>–</w:t>
            </w:r>
          </w:p>
        </w:tc>
        <w:tc>
          <w:tcPr>
            <w:tcW w:w="1089" w:type="dxa"/>
            <w:tcBorders>
              <w:top w:val="single" w:sz="4" w:space="0" w:color="auto"/>
              <w:left w:val="single" w:sz="4" w:space="0" w:color="FFFFFF"/>
              <w:bottom w:val="single" w:sz="4" w:space="0" w:color="auto"/>
              <w:right w:val="single" w:sz="4" w:space="0" w:color="FFFFFF"/>
            </w:tcBorders>
            <w:hideMark/>
          </w:tcPr>
          <w:p w14:paraId="69B41A8A" w14:textId="77777777" w:rsidR="00FA7EBF" w:rsidRDefault="00FA7EBF">
            <w:pPr>
              <w:pStyle w:val="ARtabletextrightbold"/>
            </w:pPr>
            <w:r>
              <w:t>–</w:t>
            </w:r>
          </w:p>
        </w:tc>
        <w:tc>
          <w:tcPr>
            <w:tcW w:w="0" w:type="auto"/>
            <w:tcBorders>
              <w:top w:val="single" w:sz="4" w:space="0" w:color="auto"/>
              <w:left w:val="single" w:sz="4" w:space="0" w:color="FFFFFF"/>
              <w:bottom w:val="single" w:sz="4" w:space="0" w:color="auto"/>
              <w:right w:val="single" w:sz="4" w:space="0" w:color="FFFFFF"/>
            </w:tcBorders>
          </w:tcPr>
          <w:p w14:paraId="3D6B135F" w14:textId="77777777" w:rsidR="00FA7EBF" w:rsidRDefault="00FA7EBF">
            <w:pPr>
              <w:pStyle w:val="ARtabletextrightbold"/>
            </w:pPr>
          </w:p>
        </w:tc>
      </w:tr>
      <w:tr w:rsidR="00FA7EBF" w14:paraId="1DAF4355" w14:textId="77777777" w:rsidTr="003075FD">
        <w:tc>
          <w:tcPr>
            <w:tcW w:w="0" w:type="auto"/>
            <w:tcBorders>
              <w:top w:val="single" w:sz="4" w:space="0" w:color="auto"/>
              <w:left w:val="single" w:sz="4" w:space="0" w:color="FFFFFF"/>
              <w:bottom w:val="single" w:sz="4" w:space="0" w:color="auto"/>
              <w:right w:val="single" w:sz="4" w:space="0" w:color="FFFFFF"/>
            </w:tcBorders>
            <w:hideMark/>
          </w:tcPr>
          <w:p w14:paraId="6E64DF4F" w14:textId="77777777" w:rsidR="00FA7EBF" w:rsidRDefault="00FA7EBF">
            <w:pPr>
              <w:pStyle w:val="ARtabletextbold"/>
            </w:pPr>
            <w:r>
              <w:t>Comprehensive result</w:t>
            </w:r>
          </w:p>
        </w:tc>
        <w:tc>
          <w:tcPr>
            <w:tcW w:w="1088" w:type="dxa"/>
            <w:tcBorders>
              <w:top w:val="single" w:sz="4" w:space="0" w:color="auto"/>
              <w:left w:val="single" w:sz="4" w:space="0" w:color="FFFFFF"/>
              <w:bottom w:val="single" w:sz="4" w:space="0" w:color="auto"/>
              <w:right w:val="single" w:sz="4" w:space="0" w:color="FFFFFF"/>
            </w:tcBorders>
            <w:hideMark/>
          </w:tcPr>
          <w:p w14:paraId="2ED7DA34" w14:textId="77777777" w:rsidR="00FA7EBF" w:rsidRDefault="00FA7EBF">
            <w:pPr>
              <w:pStyle w:val="ARtabletextrightbold"/>
            </w:pPr>
            <w:r>
              <w:t>(50)</w:t>
            </w:r>
          </w:p>
        </w:tc>
        <w:tc>
          <w:tcPr>
            <w:tcW w:w="1088" w:type="dxa"/>
            <w:tcBorders>
              <w:top w:val="single" w:sz="4" w:space="0" w:color="auto"/>
              <w:left w:val="single" w:sz="4" w:space="0" w:color="FFFFFF"/>
              <w:bottom w:val="single" w:sz="4" w:space="0" w:color="auto"/>
              <w:right w:val="single" w:sz="4" w:space="0" w:color="FFFFFF"/>
            </w:tcBorders>
            <w:hideMark/>
          </w:tcPr>
          <w:p w14:paraId="29DAC426" w14:textId="77777777" w:rsidR="00FA7EBF" w:rsidRDefault="00FA7EBF">
            <w:pPr>
              <w:pStyle w:val="ARtabletextrightbold"/>
            </w:pPr>
            <w:r>
              <w:t>–</w:t>
            </w:r>
          </w:p>
        </w:tc>
        <w:tc>
          <w:tcPr>
            <w:tcW w:w="1089" w:type="dxa"/>
            <w:tcBorders>
              <w:top w:val="single" w:sz="4" w:space="0" w:color="auto"/>
              <w:left w:val="single" w:sz="4" w:space="0" w:color="FFFFFF"/>
              <w:bottom w:val="single" w:sz="4" w:space="0" w:color="auto"/>
              <w:right w:val="single" w:sz="4" w:space="0" w:color="FFFFFF"/>
            </w:tcBorders>
            <w:hideMark/>
          </w:tcPr>
          <w:p w14:paraId="48A3B5AE" w14:textId="77777777" w:rsidR="00FA7EBF" w:rsidRDefault="00FA7EBF">
            <w:pPr>
              <w:pStyle w:val="ARtabletextrightbold"/>
            </w:pPr>
            <w:r>
              <w:t>–</w:t>
            </w:r>
          </w:p>
        </w:tc>
        <w:tc>
          <w:tcPr>
            <w:tcW w:w="1088" w:type="dxa"/>
            <w:tcBorders>
              <w:top w:val="single" w:sz="4" w:space="0" w:color="auto"/>
              <w:left w:val="single" w:sz="4" w:space="0" w:color="FFFFFF"/>
              <w:bottom w:val="single" w:sz="4" w:space="0" w:color="auto"/>
              <w:right w:val="single" w:sz="4" w:space="0" w:color="FFFFFF"/>
            </w:tcBorders>
            <w:hideMark/>
          </w:tcPr>
          <w:p w14:paraId="4B7D9FD0" w14:textId="77777777" w:rsidR="00FA7EBF" w:rsidRDefault="00FA7EBF">
            <w:pPr>
              <w:pStyle w:val="ARtabletextrightbold"/>
            </w:pPr>
            <w:r>
              <w:t>–</w:t>
            </w:r>
          </w:p>
        </w:tc>
        <w:tc>
          <w:tcPr>
            <w:tcW w:w="1089" w:type="dxa"/>
            <w:tcBorders>
              <w:top w:val="single" w:sz="4" w:space="0" w:color="auto"/>
              <w:left w:val="single" w:sz="4" w:space="0" w:color="FFFFFF"/>
              <w:bottom w:val="single" w:sz="4" w:space="0" w:color="auto"/>
              <w:right w:val="single" w:sz="4" w:space="0" w:color="FFFFFF"/>
            </w:tcBorders>
            <w:hideMark/>
          </w:tcPr>
          <w:p w14:paraId="2D68D2F8" w14:textId="77777777" w:rsidR="00FA7EBF" w:rsidRDefault="00FA7EBF">
            <w:pPr>
              <w:pStyle w:val="ARtabletextrightbold"/>
            </w:pPr>
            <w:r>
              <w:t>–</w:t>
            </w:r>
          </w:p>
        </w:tc>
        <w:tc>
          <w:tcPr>
            <w:tcW w:w="0" w:type="auto"/>
            <w:tcBorders>
              <w:top w:val="single" w:sz="4" w:space="0" w:color="auto"/>
              <w:left w:val="single" w:sz="4" w:space="0" w:color="FFFFFF"/>
              <w:bottom w:val="single" w:sz="4" w:space="0" w:color="auto"/>
              <w:right w:val="single" w:sz="4" w:space="0" w:color="FFFFFF"/>
            </w:tcBorders>
          </w:tcPr>
          <w:p w14:paraId="297236DB" w14:textId="77777777" w:rsidR="00FA7EBF" w:rsidRDefault="00FA7EBF">
            <w:pPr>
              <w:pStyle w:val="ARtabletextrightbold"/>
            </w:pPr>
          </w:p>
        </w:tc>
      </w:tr>
      <w:tr w:rsidR="00FA7EBF" w14:paraId="6A77FAD0" w14:textId="77777777" w:rsidTr="003075FD">
        <w:tc>
          <w:tcPr>
            <w:tcW w:w="9639" w:type="dxa"/>
            <w:gridSpan w:val="7"/>
            <w:tcBorders>
              <w:top w:val="single" w:sz="4" w:space="0" w:color="auto"/>
              <w:left w:val="single" w:sz="4" w:space="0" w:color="FFFFFF"/>
              <w:bottom w:val="single" w:sz="4" w:space="0" w:color="A6A6A6" w:themeColor="background1" w:themeShade="A6"/>
              <w:right w:val="single" w:sz="4" w:space="0" w:color="FFFFFF"/>
            </w:tcBorders>
            <w:hideMark/>
          </w:tcPr>
          <w:p w14:paraId="67B6CA33" w14:textId="77777777" w:rsidR="00FA7EBF" w:rsidRDefault="00FA7EBF">
            <w:pPr>
              <w:pStyle w:val="ARtabletextbold"/>
            </w:pPr>
            <w:r>
              <w:t>Administered assets</w:t>
            </w:r>
          </w:p>
        </w:tc>
      </w:tr>
      <w:tr w:rsidR="00FA7EBF" w14:paraId="71CB7810" w14:textId="77777777" w:rsidTr="003075FD">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7DDFA2C" w14:textId="77777777" w:rsidR="00FA7EBF" w:rsidRDefault="00FA7EBF">
            <w:pPr>
              <w:pStyle w:val="ARtabletext"/>
            </w:pPr>
            <w:r>
              <w:t>Cash and deposits</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9D32015" w14:textId="77777777" w:rsidR="00FA7EBF" w:rsidRDefault="00FA7EBF">
            <w:pPr>
              <w:pStyle w:val="ARtabletextright"/>
            </w:pPr>
            <w:r>
              <w:t>120</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382A503" w14:textId="77777777" w:rsidR="00FA7EBF" w:rsidRDefault="00FA7EBF">
            <w:pPr>
              <w:pStyle w:val="ARtabletextright"/>
            </w:pPr>
            <w:r>
              <w:t>30</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60146B1" w14:textId="77777777" w:rsidR="00FA7EBF" w:rsidRDefault="00FA7EBF">
            <w:pPr>
              <w:pStyle w:val="ARtabletextright"/>
            </w:pPr>
            <w:r>
              <w:t>299.3</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A01F601" w14:textId="77777777" w:rsidR="00FA7EBF" w:rsidRDefault="00FA7EBF">
            <w:pPr>
              <w:pStyle w:val="ARtabletextright"/>
            </w:pPr>
            <w:r>
              <w:t>31</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8474806" w14:textId="77777777" w:rsidR="00FA7EBF" w:rsidRDefault="00FA7EBF">
            <w:pPr>
              <w:pStyle w:val="ARtabletextright"/>
            </w:pPr>
            <w:r>
              <w:t>286.4</w:t>
            </w:r>
          </w:p>
        </w:tc>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1A2E8D8" w14:textId="77777777" w:rsidR="00FA7EBF" w:rsidRDefault="00FA7EBF">
            <w:pPr>
              <w:pStyle w:val="ARtabletextrightbold"/>
            </w:pPr>
            <w:r>
              <w:t>1</w:t>
            </w:r>
          </w:p>
        </w:tc>
      </w:tr>
      <w:tr w:rsidR="00FA7EBF" w14:paraId="67D56058" w14:textId="77777777" w:rsidTr="003075FD">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5C9F699" w14:textId="77777777" w:rsidR="00FA7EBF" w:rsidRDefault="00FA7EBF">
            <w:pPr>
              <w:pStyle w:val="ARtabletext"/>
            </w:pPr>
            <w:r>
              <w:t>Receivables</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0061DED" w14:textId="77777777" w:rsidR="00FA7EBF" w:rsidRDefault="00FA7EBF">
            <w:pPr>
              <w:pStyle w:val="ARtabletextright"/>
            </w:pPr>
            <w:r>
              <w:t>57</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5B6FED7" w14:textId="77777777" w:rsidR="00FA7EBF" w:rsidRDefault="00FA7EBF">
            <w:pPr>
              <w:pStyle w:val="ARtabletextright"/>
            </w:pPr>
            <w:r>
              <w:t>76</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85B4D9B" w14:textId="77777777" w:rsidR="00FA7EBF" w:rsidRDefault="00FA7EBF">
            <w:pPr>
              <w:pStyle w:val="ARtabletextright"/>
            </w:pPr>
            <w:r>
              <w:t>(24.4)</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1BD026F" w14:textId="77777777" w:rsidR="00FA7EBF" w:rsidRDefault="00FA7EBF">
            <w:pPr>
              <w:pStyle w:val="ARtabletextright"/>
            </w:pPr>
            <w:r>
              <w:t>76</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B132EF8" w14:textId="77777777" w:rsidR="00FA7EBF" w:rsidRDefault="00FA7EBF">
            <w:pPr>
              <w:pStyle w:val="ARtabletextright"/>
            </w:pPr>
            <w:r>
              <w:t>(24.4)</w:t>
            </w:r>
          </w:p>
        </w:tc>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9FDC759" w14:textId="77777777" w:rsidR="00FA7EBF" w:rsidRDefault="00FA7EBF">
            <w:pPr>
              <w:pStyle w:val="ARtabletextrightbold"/>
            </w:pPr>
            <w:r>
              <w:t>2</w:t>
            </w:r>
          </w:p>
        </w:tc>
      </w:tr>
      <w:tr w:rsidR="00FA7EBF" w14:paraId="38034261" w14:textId="77777777" w:rsidTr="003075FD">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FDE06F4" w14:textId="77777777" w:rsidR="00FA7EBF" w:rsidRDefault="00FA7EBF">
            <w:pPr>
              <w:pStyle w:val="ARtabletext"/>
            </w:pPr>
            <w:r>
              <w:t>Other financial assets</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03BDA991" w14:textId="77777777" w:rsidR="00FA7EBF" w:rsidRDefault="00FA7EBF">
            <w:pPr>
              <w:pStyle w:val="ARtabletextright"/>
            </w:pPr>
            <w:r>
              <w:t>11</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E1EDAF2" w14:textId="77777777" w:rsidR="00FA7EBF" w:rsidRDefault="00FA7EBF">
            <w:pPr>
              <w:pStyle w:val="ARtabletextright"/>
            </w:pPr>
            <w:r>
              <w:t>12</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0C24364" w14:textId="77777777" w:rsidR="00FA7EBF" w:rsidRDefault="00FA7EBF">
            <w:pPr>
              <w:pStyle w:val="ARtabletextright"/>
            </w:pPr>
            <w:r>
              <w:t>(5.4)</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7A0261F" w14:textId="77777777" w:rsidR="00FA7EBF" w:rsidRDefault="00FA7EBF">
            <w:pPr>
              <w:pStyle w:val="ARtabletextright"/>
            </w:pPr>
            <w:r>
              <w:t>12</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5E36873" w14:textId="77777777" w:rsidR="00FA7EBF" w:rsidRDefault="00FA7EBF">
            <w:pPr>
              <w:pStyle w:val="ARtabletextright"/>
            </w:pPr>
            <w:r>
              <w:t>(5.4)</w:t>
            </w:r>
          </w:p>
        </w:tc>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702AE0E9" w14:textId="77777777" w:rsidR="00FA7EBF" w:rsidRDefault="00FA7EBF">
            <w:pPr>
              <w:pStyle w:val="ARtabletextrightbold"/>
            </w:pPr>
          </w:p>
        </w:tc>
      </w:tr>
      <w:tr w:rsidR="00FA7EBF" w14:paraId="219F5F67" w14:textId="77777777" w:rsidTr="003075FD">
        <w:tc>
          <w:tcPr>
            <w:tcW w:w="0" w:type="auto"/>
            <w:tcBorders>
              <w:top w:val="single" w:sz="4" w:space="0" w:color="A6A6A6" w:themeColor="background1" w:themeShade="A6"/>
              <w:left w:val="single" w:sz="4" w:space="0" w:color="FFFFFF"/>
              <w:bottom w:val="single" w:sz="4" w:space="0" w:color="auto"/>
              <w:right w:val="single" w:sz="4" w:space="0" w:color="FFFFFF"/>
            </w:tcBorders>
            <w:hideMark/>
          </w:tcPr>
          <w:p w14:paraId="70166744" w14:textId="77777777" w:rsidR="00FA7EBF" w:rsidRDefault="00FA7EBF">
            <w:pPr>
              <w:pStyle w:val="ARtabletext"/>
            </w:pPr>
            <w:r>
              <w:t>Other</w:t>
            </w:r>
          </w:p>
        </w:tc>
        <w:tc>
          <w:tcPr>
            <w:tcW w:w="1088" w:type="dxa"/>
            <w:tcBorders>
              <w:top w:val="single" w:sz="4" w:space="0" w:color="A6A6A6" w:themeColor="background1" w:themeShade="A6"/>
              <w:left w:val="single" w:sz="4" w:space="0" w:color="FFFFFF"/>
              <w:bottom w:val="single" w:sz="4" w:space="0" w:color="auto"/>
              <w:right w:val="single" w:sz="4" w:space="0" w:color="FFFFFF"/>
            </w:tcBorders>
            <w:hideMark/>
          </w:tcPr>
          <w:p w14:paraId="2684885A" w14:textId="77777777" w:rsidR="00FA7EBF" w:rsidRDefault="00FA7EBF">
            <w:pPr>
              <w:pStyle w:val="ARtabletextright"/>
            </w:pPr>
            <w:r>
              <w:t>–</w:t>
            </w:r>
          </w:p>
        </w:tc>
        <w:tc>
          <w:tcPr>
            <w:tcW w:w="1088" w:type="dxa"/>
            <w:tcBorders>
              <w:top w:val="single" w:sz="4" w:space="0" w:color="A6A6A6" w:themeColor="background1" w:themeShade="A6"/>
              <w:left w:val="single" w:sz="4" w:space="0" w:color="FFFFFF"/>
              <w:bottom w:val="single" w:sz="4" w:space="0" w:color="auto"/>
              <w:right w:val="single" w:sz="4" w:space="0" w:color="FFFFFF"/>
            </w:tcBorders>
            <w:hideMark/>
          </w:tcPr>
          <w:p w14:paraId="456FA6DB" w14:textId="77777777" w:rsidR="00FA7EBF" w:rsidRDefault="00FA7EBF">
            <w:pPr>
              <w:pStyle w:val="ARtabletextright"/>
            </w:pPr>
            <w:r>
              <w:t>–</w:t>
            </w:r>
          </w:p>
        </w:tc>
        <w:tc>
          <w:tcPr>
            <w:tcW w:w="1089" w:type="dxa"/>
            <w:tcBorders>
              <w:top w:val="single" w:sz="4" w:space="0" w:color="A6A6A6" w:themeColor="background1" w:themeShade="A6"/>
              <w:left w:val="single" w:sz="4" w:space="0" w:color="FFFFFF"/>
              <w:bottom w:val="single" w:sz="4" w:space="0" w:color="auto"/>
              <w:right w:val="single" w:sz="4" w:space="0" w:color="FFFFFF"/>
            </w:tcBorders>
            <w:hideMark/>
          </w:tcPr>
          <w:p w14:paraId="6761084E" w14:textId="77777777" w:rsidR="00FA7EBF" w:rsidRDefault="00FA7EBF">
            <w:pPr>
              <w:pStyle w:val="ARtabletextright"/>
            </w:pPr>
            <w:r>
              <w:t>–</w:t>
            </w:r>
          </w:p>
        </w:tc>
        <w:tc>
          <w:tcPr>
            <w:tcW w:w="1088" w:type="dxa"/>
            <w:tcBorders>
              <w:top w:val="single" w:sz="4" w:space="0" w:color="A6A6A6" w:themeColor="background1" w:themeShade="A6"/>
              <w:left w:val="single" w:sz="4" w:space="0" w:color="FFFFFF"/>
              <w:bottom w:val="single" w:sz="4" w:space="0" w:color="auto"/>
              <w:right w:val="single" w:sz="4" w:space="0" w:color="FFFFFF"/>
            </w:tcBorders>
            <w:hideMark/>
          </w:tcPr>
          <w:p w14:paraId="108895FE" w14:textId="77777777" w:rsidR="00FA7EBF" w:rsidRDefault="00FA7EBF">
            <w:pPr>
              <w:pStyle w:val="ARtabletextright"/>
            </w:pPr>
            <w:r>
              <w:t>–</w:t>
            </w:r>
          </w:p>
        </w:tc>
        <w:tc>
          <w:tcPr>
            <w:tcW w:w="1089" w:type="dxa"/>
            <w:tcBorders>
              <w:top w:val="single" w:sz="4" w:space="0" w:color="A6A6A6" w:themeColor="background1" w:themeShade="A6"/>
              <w:left w:val="single" w:sz="4" w:space="0" w:color="FFFFFF"/>
              <w:bottom w:val="single" w:sz="4" w:space="0" w:color="auto"/>
              <w:right w:val="single" w:sz="4" w:space="0" w:color="FFFFFF"/>
            </w:tcBorders>
            <w:hideMark/>
          </w:tcPr>
          <w:p w14:paraId="62EEFC33" w14:textId="77777777" w:rsidR="00FA7EBF" w:rsidRDefault="00FA7EBF">
            <w:pPr>
              <w:pStyle w:val="ARtabletextright"/>
            </w:pPr>
            <w:r>
              <w:t>–</w:t>
            </w:r>
          </w:p>
        </w:tc>
        <w:tc>
          <w:tcPr>
            <w:tcW w:w="0" w:type="auto"/>
            <w:tcBorders>
              <w:top w:val="single" w:sz="4" w:space="0" w:color="A6A6A6" w:themeColor="background1" w:themeShade="A6"/>
              <w:left w:val="single" w:sz="4" w:space="0" w:color="FFFFFF"/>
              <w:bottom w:val="single" w:sz="4" w:space="0" w:color="auto"/>
              <w:right w:val="single" w:sz="4" w:space="0" w:color="FFFFFF"/>
            </w:tcBorders>
          </w:tcPr>
          <w:p w14:paraId="054E22F2" w14:textId="77777777" w:rsidR="00FA7EBF" w:rsidRDefault="00FA7EBF">
            <w:pPr>
              <w:pStyle w:val="ARtabletextrightbold"/>
            </w:pPr>
          </w:p>
        </w:tc>
      </w:tr>
      <w:tr w:rsidR="00FA7EBF" w14:paraId="33893083" w14:textId="77777777" w:rsidTr="003075FD">
        <w:tc>
          <w:tcPr>
            <w:tcW w:w="0" w:type="auto"/>
            <w:tcBorders>
              <w:top w:val="single" w:sz="4" w:space="0" w:color="auto"/>
              <w:left w:val="single" w:sz="4" w:space="0" w:color="FFFFFF"/>
              <w:bottom w:val="single" w:sz="4" w:space="0" w:color="auto"/>
              <w:right w:val="single" w:sz="4" w:space="0" w:color="FFFFFF"/>
            </w:tcBorders>
            <w:hideMark/>
          </w:tcPr>
          <w:p w14:paraId="7A1BC2D0" w14:textId="77777777" w:rsidR="00FA7EBF" w:rsidRDefault="00FA7EBF">
            <w:pPr>
              <w:pStyle w:val="ARtabletextbold"/>
            </w:pPr>
            <w:r>
              <w:t>Total administered assets</w:t>
            </w:r>
          </w:p>
        </w:tc>
        <w:tc>
          <w:tcPr>
            <w:tcW w:w="1088" w:type="dxa"/>
            <w:tcBorders>
              <w:top w:val="single" w:sz="4" w:space="0" w:color="auto"/>
              <w:left w:val="single" w:sz="4" w:space="0" w:color="FFFFFF"/>
              <w:bottom w:val="single" w:sz="4" w:space="0" w:color="auto"/>
              <w:right w:val="single" w:sz="4" w:space="0" w:color="FFFFFF"/>
            </w:tcBorders>
            <w:hideMark/>
          </w:tcPr>
          <w:p w14:paraId="160DA1F2" w14:textId="77777777" w:rsidR="00FA7EBF" w:rsidRDefault="00FA7EBF">
            <w:pPr>
              <w:pStyle w:val="ARtabletextrightbold"/>
            </w:pPr>
            <w:r>
              <w:t>189</w:t>
            </w:r>
          </w:p>
        </w:tc>
        <w:tc>
          <w:tcPr>
            <w:tcW w:w="1088" w:type="dxa"/>
            <w:tcBorders>
              <w:top w:val="single" w:sz="4" w:space="0" w:color="auto"/>
              <w:left w:val="single" w:sz="4" w:space="0" w:color="FFFFFF"/>
              <w:bottom w:val="single" w:sz="4" w:space="0" w:color="auto"/>
              <w:right w:val="single" w:sz="4" w:space="0" w:color="FFFFFF"/>
            </w:tcBorders>
            <w:hideMark/>
          </w:tcPr>
          <w:p w14:paraId="240A8879" w14:textId="77777777" w:rsidR="00FA7EBF" w:rsidRDefault="00FA7EBF">
            <w:pPr>
              <w:pStyle w:val="ARtabletextrightbold"/>
            </w:pPr>
            <w:r>
              <w:t>118</w:t>
            </w:r>
          </w:p>
        </w:tc>
        <w:tc>
          <w:tcPr>
            <w:tcW w:w="1089" w:type="dxa"/>
            <w:tcBorders>
              <w:top w:val="single" w:sz="4" w:space="0" w:color="auto"/>
              <w:left w:val="single" w:sz="4" w:space="0" w:color="FFFFFF"/>
              <w:bottom w:val="single" w:sz="4" w:space="0" w:color="auto"/>
              <w:right w:val="single" w:sz="4" w:space="0" w:color="FFFFFF"/>
            </w:tcBorders>
            <w:hideMark/>
          </w:tcPr>
          <w:p w14:paraId="43224F57" w14:textId="77777777" w:rsidR="00FA7EBF" w:rsidRDefault="00FA7EBF">
            <w:pPr>
              <w:pStyle w:val="ARtabletextrightbold"/>
            </w:pPr>
            <w:r>
              <w:t>59.8</w:t>
            </w:r>
          </w:p>
        </w:tc>
        <w:tc>
          <w:tcPr>
            <w:tcW w:w="1088" w:type="dxa"/>
            <w:tcBorders>
              <w:top w:val="single" w:sz="4" w:space="0" w:color="auto"/>
              <w:left w:val="single" w:sz="4" w:space="0" w:color="FFFFFF"/>
              <w:bottom w:val="single" w:sz="4" w:space="0" w:color="auto"/>
              <w:right w:val="single" w:sz="4" w:space="0" w:color="FFFFFF"/>
            </w:tcBorders>
            <w:hideMark/>
          </w:tcPr>
          <w:p w14:paraId="164A9E17" w14:textId="77777777" w:rsidR="00FA7EBF" w:rsidRDefault="00FA7EBF">
            <w:pPr>
              <w:pStyle w:val="ARtabletextrightbold"/>
            </w:pPr>
            <w:r>
              <w:t>118</w:t>
            </w:r>
          </w:p>
        </w:tc>
        <w:tc>
          <w:tcPr>
            <w:tcW w:w="1089" w:type="dxa"/>
            <w:tcBorders>
              <w:top w:val="single" w:sz="4" w:space="0" w:color="auto"/>
              <w:left w:val="single" w:sz="4" w:space="0" w:color="FFFFFF"/>
              <w:bottom w:val="single" w:sz="4" w:space="0" w:color="auto"/>
              <w:right w:val="single" w:sz="4" w:space="0" w:color="FFFFFF"/>
            </w:tcBorders>
            <w:hideMark/>
          </w:tcPr>
          <w:p w14:paraId="479F97E5" w14:textId="77777777" w:rsidR="00FA7EBF" w:rsidRDefault="00FA7EBF">
            <w:pPr>
              <w:pStyle w:val="ARtabletextrightbold"/>
            </w:pPr>
            <w:r>
              <w:t>59.8</w:t>
            </w:r>
          </w:p>
        </w:tc>
        <w:tc>
          <w:tcPr>
            <w:tcW w:w="0" w:type="auto"/>
            <w:tcBorders>
              <w:top w:val="single" w:sz="4" w:space="0" w:color="auto"/>
              <w:left w:val="single" w:sz="4" w:space="0" w:color="FFFFFF"/>
              <w:bottom w:val="single" w:sz="4" w:space="0" w:color="auto"/>
              <w:right w:val="single" w:sz="4" w:space="0" w:color="FFFFFF"/>
            </w:tcBorders>
          </w:tcPr>
          <w:p w14:paraId="5093073B" w14:textId="77777777" w:rsidR="00FA7EBF" w:rsidRDefault="00FA7EBF">
            <w:pPr>
              <w:pStyle w:val="ARtabletextrightbold"/>
            </w:pPr>
          </w:p>
        </w:tc>
      </w:tr>
      <w:tr w:rsidR="00FA7EBF" w14:paraId="531F9D00" w14:textId="77777777" w:rsidTr="003075FD">
        <w:tc>
          <w:tcPr>
            <w:tcW w:w="9639" w:type="dxa"/>
            <w:gridSpan w:val="7"/>
            <w:tcBorders>
              <w:top w:val="single" w:sz="4" w:space="0" w:color="auto"/>
              <w:left w:val="single" w:sz="4" w:space="0" w:color="FFFFFF"/>
              <w:bottom w:val="single" w:sz="4" w:space="0" w:color="A6A6A6" w:themeColor="background1" w:themeShade="A6"/>
              <w:right w:val="single" w:sz="4" w:space="0" w:color="FFFFFF"/>
            </w:tcBorders>
            <w:hideMark/>
          </w:tcPr>
          <w:p w14:paraId="3116CF68" w14:textId="77777777" w:rsidR="00FA7EBF" w:rsidRDefault="00FA7EBF">
            <w:pPr>
              <w:pStyle w:val="ARtabletextbold"/>
              <w:pageBreakBefore/>
            </w:pPr>
            <w:r>
              <w:t>Administered liabilities</w:t>
            </w:r>
          </w:p>
        </w:tc>
      </w:tr>
      <w:tr w:rsidR="00FA7EBF" w14:paraId="1E026566" w14:textId="77777777" w:rsidTr="003075FD">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ED6E921" w14:textId="77777777" w:rsidR="00FA7EBF" w:rsidRDefault="00FA7EBF">
            <w:pPr>
              <w:pStyle w:val="ARtabletext"/>
            </w:pPr>
            <w:r>
              <w:t>Payables</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5BA98EB" w14:textId="77777777" w:rsidR="00FA7EBF" w:rsidRDefault="00FA7EBF">
            <w:pPr>
              <w:pStyle w:val="ARtabletextright"/>
            </w:pPr>
            <w:r>
              <w:t>173</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328921A6" w14:textId="77777777" w:rsidR="00FA7EBF" w:rsidRDefault="00FA7EBF">
            <w:pPr>
              <w:pStyle w:val="ARtabletextright"/>
            </w:pPr>
            <w:r>
              <w:t>63</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51DCB293" w14:textId="77777777" w:rsidR="00FA7EBF" w:rsidRDefault="00FA7EBF">
            <w:pPr>
              <w:pStyle w:val="ARtabletextright"/>
            </w:pPr>
            <w:r>
              <w:t>173.9</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ABB8001" w14:textId="77777777" w:rsidR="00FA7EBF" w:rsidRDefault="00FA7EBF">
            <w:pPr>
              <w:pStyle w:val="ARtabletextright"/>
            </w:pPr>
            <w:r>
              <w:t>63</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62A6E99" w14:textId="77777777" w:rsidR="00FA7EBF" w:rsidRDefault="00FA7EBF">
            <w:pPr>
              <w:pStyle w:val="ARtabletextright"/>
            </w:pPr>
            <w:r>
              <w:t>173.9</w:t>
            </w:r>
          </w:p>
        </w:tc>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4E19AF4" w14:textId="77777777" w:rsidR="00FA7EBF" w:rsidRDefault="00FA7EBF">
            <w:pPr>
              <w:pStyle w:val="ARtabletextrightbold"/>
            </w:pPr>
            <w:r>
              <w:t>3</w:t>
            </w:r>
          </w:p>
        </w:tc>
      </w:tr>
      <w:tr w:rsidR="00FA7EBF" w14:paraId="18C6F19D" w14:textId="77777777" w:rsidTr="003075FD">
        <w:tc>
          <w:tcPr>
            <w:tcW w:w="0" w:type="auto"/>
            <w:tcBorders>
              <w:top w:val="single" w:sz="4" w:space="0" w:color="A6A6A6" w:themeColor="background1" w:themeShade="A6"/>
              <w:left w:val="single" w:sz="4" w:space="0" w:color="FFFFFF"/>
              <w:bottom w:val="single" w:sz="4" w:space="0" w:color="auto"/>
              <w:right w:val="single" w:sz="4" w:space="0" w:color="FFFFFF"/>
            </w:tcBorders>
            <w:hideMark/>
          </w:tcPr>
          <w:p w14:paraId="5CF8BCF7" w14:textId="77777777" w:rsidR="00FA7EBF" w:rsidRDefault="00FA7EBF">
            <w:pPr>
              <w:pStyle w:val="ARtabletext"/>
            </w:pPr>
            <w:r>
              <w:t>Provisions</w:t>
            </w:r>
          </w:p>
        </w:tc>
        <w:tc>
          <w:tcPr>
            <w:tcW w:w="1088" w:type="dxa"/>
            <w:tcBorders>
              <w:top w:val="single" w:sz="4" w:space="0" w:color="A6A6A6" w:themeColor="background1" w:themeShade="A6"/>
              <w:left w:val="single" w:sz="4" w:space="0" w:color="FFFFFF"/>
              <w:bottom w:val="single" w:sz="4" w:space="0" w:color="auto"/>
              <w:right w:val="single" w:sz="4" w:space="0" w:color="FFFFFF"/>
            </w:tcBorders>
            <w:hideMark/>
          </w:tcPr>
          <w:p w14:paraId="4D763170" w14:textId="77777777" w:rsidR="00FA7EBF" w:rsidRDefault="00FA7EBF">
            <w:pPr>
              <w:pStyle w:val="ARtabletextright"/>
            </w:pPr>
            <w:r>
              <w:t>15</w:t>
            </w:r>
          </w:p>
        </w:tc>
        <w:tc>
          <w:tcPr>
            <w:tcW w:w="1088" w:type="dxa"/>
            <w:tcBorders>
              <w:top w:val="single" w:sz="4" w:space="0" w:color="A6A6A6" w:themeColor="background1" w:themeShade="A6"/>
              <w:left w:val="single" w:sz="4" w:space="0" w:color="FFFFFF"/>
              <w:bottom w:val="single" w:sz="4" w:space="0" w:color="auto"/>
              <w:right w:val="single" w:sz="4" w:space="0" w:color="FFFFFF"/>
            </w:tcBorders>
            <w:hideMark/>
          </w:tcPr>
          <w:p w14:paraId="4A536A22" w14:textId="77777777" w:rsidR="00FA7EBF" w:rsidRDefault="00FA7EBF">
            <w:pPr>
              <w:pStyle w:val="ARtabletextright"/>
            </w:pPr>
            <w:r>
              <w:t>15</w:t>
            </w:r>
          </w:p>
        </w:tc>
        <w:tc>
          <w:tcPr>
            <w:tcW w:w="1089" w:type="dxa"/>
            <w:tcBorders>
              <w:top w:val="single" w:sz="4" w:space="0" w:color="A6A6A6" w:themeColor="background1" w:themeShade="A6"/>
              <w:left w:val="single" w:sz="4" w:space="0" w:color="FFFFFF"/>
              <w:bottom w:val="single" w:sz="4" w:space="0" w:color="auto"/>
              <w:right w:val="single" w:sz="4" w:space="0" w:color="FFFFFF"/>
            </w:tcBorders>
            <w:hideMark/>
          </w:tcPr>
          <w:p w14:paraId="7D1B6906" w14:textId="77777777" w:rsidR="00FA7EBF" w:rsidRDefault="00FA7EBF">
            <w:pPr>
              <w:pStyle w:val="ARtabletextright"/>
            </w:pPr>
            <w:r>
              <w:t>(2.1)</w:t>
            </w:r>
          </w:p>
        </w:tc>
        <w:tc>
          <w:tcPr>
            <w:tcW w:w="1088" w:type="dxa"/>
            <w:tcBorders>
              <w:top w:val="single" w:sz="4" w:space="0" w:color="A6A6A6" w:themeColor="background1" w:themeShade="A6"/>
              <w:left w:val="single" w:sz="4" w:space="0" w:color="FFFFFF"/>
              <w:bottom w:val="single" w:sz="4" w:space="0" w:color="auto"/>
              <w:right w:val="single" w:sz="4" w:space="0" w:color="FFFFFF"/>
            </w:tcBorders>
            <w:hideMark/>
          </w:tcPr>
          <w:p w14:paraId="1F9900BF" w14:textId="77777777" w:rsidR="00FA7EBF" w:rsidRDefault="00FA7EBF">
            <w:pPr>
              <w:pStyle w:val="ARtabletextright"/>
            </w:pPr>
            <w:r>
              <w:t>15</w:t>
            </w:r>
          </w:p>
        </w:tc>
        <w:tc>
          <w:tcPr>
            <w:tcW w:w="1089" w:type="dxa"/>
            <w:tcBorders>
              <w:top w:val="single" w:sz="4" w:space="0" w:color="A6A6A6" w:themeColor="background1" w:themeShade="A6"/>
              <w:left w:val="single" w:sz="4" w:space="0" w:color="FFFFFF"/>
              <w:bottom w:val="single" w:sz="4" w:space="0" w:color="auto"/>
              <w:right w:val="single" w:sz="4" w:space="0" w:color="FFFFFF"/>
            </w:tcBorders>
            <w:hideMark/>
          </w:tcPr>
          <w:p w14:paraId="4BBE52B6" w14:textId="77777777" w:rsidR="00FA7EBF" w:rsidRDefault="00FA7EBF">
            <w:pPr>
              <w:pStyle w:val="ARtabletextright"/>
            </w:pPr>
            <w:r>
              <w:t>(2.1)</w:t>
            </w:r>
          </w:p>
        </w:tc>
        <w:tc>
          <w:tcPr>
            <w:tcW w:w="0" w:type="auto"/>
            <w:tcBorders>
              <w:top w:val="single" w:sz="4" w:space="0" w:color="A6A6A6" w:themeColor="background1" w:themeShade="A6"/>
              <w:left w:val="single" w:sz="4" w:space="0" w:color="FFFFFF"/>
              <w:bottom w:val="single" w:sz="4" w:space="0" w:color="auto"/>
              <w:right w:val="single" w:sz="4" w:space="0" w:color="FFFFFF"/>
            </w:tcBorders>
          </w:tcPr>
          <w:p w14:paraId="5F77FA37" w14:textId="77777777" w:rsidR="00FA7EBF" w:rsidRDefault="00FA7EBF">
            <w:pPr>
              <w:pStyle w:val="ARtabletextrightbold"/>
            </w:pPr>
          </w:p>
        </w:tc>
      </w:tr>
      <w:tr w:rsidR="00FA7EBF" w14:paraId="762C5C77" w14:textId="77777777" w:rsidTr="003075FD">
        <w:tc>
          <w:tcPr>
            <w:tcW w:w="0" w:type="auto"/>
            <w:tcBorders>
              <w:top w:val="single" w:sz="4" w:space="0" w:color="auto"/>
              <w:left w:val="single" w:sz="4" w:space="0" w:color="FFFFFF"/>
              <w:bottom w:val="single" w:sz="4" w:space="0" w:color="auto"/>
              <w:right w:val="single" w:sz="4" w:space="0" w:color="FFFFFF"/>
            </w:tcBorders>
            <w:hideMark/>
          </w:tcPr>
          <w:p w14:paraId="232FE183" w14:textId="77777777" w:rsidR="00FA7EBF" w:rsidRDefault="00FA7EBF">
            <w:pPr>
              <w:pStyle w:val="ARtabletextbold"/>
            </w:pPr>
            <w:r>
              <w:t>Total administered liabilities</w:t>
            </w:r>
          </w:p>
        </w:tc>
        <w:tc>
          <w:tcPr>
            <w:tcW w:w="1088" w:type="dxa"/>
            <w:tcBorders>
              <w:top w:val="single" w:sz="4" w:space="0" w:color="auto"/>
              <w:left w:val="single" w:sz="4" w:space="0" w:color="FFFFFF"/>
              <w:bottom w:val="single" w:sz="4" w:space="0" w:color="auto"/>
              <w:right w:val="single" w:sz="4" w:space="0" w:color="FFFFFF"/>
            </w:tcBorders>
            <w:hideMark/>
          </w:tcPr>
          <w:p w14:paraId="7EEB3162" w14:textId="77777777" w:rsidR="00FA7EBF" w:rsidRDefault="00FA7EBF">
            <w:pPr>
              <w:pStyle w:val="ARtabletextrightbold"/>
            </w:pPr>
            <w:r>
              <w:t>187</w:t>
            </w:r>
          </w:p>
        </w:tc>
        <w:tc>
          <w:tcPr>
            <w:tcW w:w="1088" w:type="dxa"/>
            <w:tcBorders>
              <w:top w:val="single" w:sz="4" w:space="0" w:color="auto"/>
              <w:left w:val="single" w:sz="4" w:space="0" w:color="FFFFFF"/>
              <w:bottom w:val="single" w:sz="4" w:space="0" w:color="auto"/>
              <w:right w:val="single" w:sz="4" w:space="0" w:color="FFFFFF"/>
            </w:tcBorders>
            <w:hideMark/>
          </w:tcPr>
          <w:p w14:paraId="1FD271CB" w14:textId="77777777" w:rsidR="00FA7EBF" w:rsidRDefault="00FA7EBF">
            <w:pPr>
              <w:pStyle w:val="ARtabletextrightbold"/>
            </w:pPr>
            <w:r>
              <w:t>78</w:t>
            </w:r>
          </w:p>
        </w:tc>
        <w:tc>
          <w:tcPr>
            <w:tcW w:w="1089" w:type="dxa"/>
            <w:tcBorders>
              <w:top w:val="single" w:sz="4" w:space="0" w:color="auto"/>
              <w:left w:val="single" w:sz="4" w:space="0" w:color="FFFFFF"/>
              <w:bottom w:val="single" w:sz="4" w:space="0" w:color="auto"/>
              <w:right w:val="single" w:sz="4" w:space="0" w:color="FFFFFF"/>
            </w:tcBorders>
            <w:hideMark/>
          </w:tcPr>
          <w:p w14:paraId="67642F84" w14:textId="77777777" w:rsidR="00FA7EBF" w:rsidRDefault="00FA7EBF">
            <w:pPr>
              <w:pStyle w:val="ARtabletextrightbold"/>
            </w:pPr>
            <w:r>
              <w:t>140.0</w:t>
            </w:r>
          </w:p>
        </w:tc>
        <w:tc>
          <w:tcPr>
            <w:tcW w:w="1088" w:type="dxa"/>
            <w:tcBorders>
              <w:top w:val="single" w:sz="4" w:space="0" w:color="auto"/>
              <w:left w:val="single" w:sz="4" w:space="0" w:color="FFFFFF"/>
              <w:bottom w:val="single" w:sz="4" w:space="0" w:color="auto"/>
              <w:right w:val="single" w:sz="4" w:space="0" w:color="FFFFFF"/>
            </w:tcBorders>
            <w:hideMark/>
          </w:tcPr>
          <w:p w14:paraId="097FD2B1" w14:textId="77777777" w:rsidR="00FA7EBF" w:rsidRDefault="00FA7EBF">
            <w:pPr>
              <w:pStyle w:val="ARtabletextrightbold"/>
            </w:pPr>
            <w:r>
              <w:t>78</w:t>
            </w:r>
          </w:p>
        </w:tc>
        <w:tc>
          <w:tcPr>
            <w:tcW w:w="1089" w:type="dxa"/>
            <w:tcBorders>
              <w:top w:val="single" w:sz="4" w:space="0" w:color="auto"/>
              <w:left w:val="single" w:sz="4" w:space="0" w:color="FFFFFF"/>
              <w:bottom w:val="single" w:sz="4" w:space="0" w:color="auto"/>
              <w:right w:val="single" w:sz="4" w:space="0" w:color="FFFFFF"/>
            </w:tcBorders>
            <w:hideMark/>
          </w:tcPr>
          <w:p w14:paraId="07C28DD2" w14:textId="77777777" w:rsidR="00FA7EBF" w:rsidRDefault="00FA7EBF">
            <w:pPr>
              <w:pStyle w:val="ARtabletextrightbold"/>
            </w:pPr>
            <w:r>
              <w:t>140.0</w:t>
            </w:r>
          </w:p>
        </w:tc>
        <w:tc>
          <w:tcPr>
            <w:tcW w:w="0" w:type="auto"/>
            <w:tcBorders>
              <w:top w:val="single" w:sz="4" w:space="0" w:color="auto"/>
              <w:left w:val="single" w:sz="4" w:space="0" w:color="FFFFFF"/>
              <w:bottom w:val="single" w:sz="4" w:space="0" w:color="auto"/>
              <w:right w:val="single" w:sz="4" w:space="0" w:color="FFFFFF"/>
            </w:tcBorders>
          </w:tcPr>
          <w:p w14:paraId="4DC769A2" w14:textId="77777777" w:rsidR="00FA7EBF" w:rsidRDefault="00FA7EBF">
            <w:pPr>
              <w:pStyle w:val="ARtabletextrightbold"/>
            </w:pPr>
          </w:p>
        </w:tc>
      </w:tr>
      <w:tr w:rsidR="00FA7EBF" w14:paraId="28B35397" w14:textId="77777777" w:rsidTr="003075FD">
        <w:tc>
          <w:tcPr>
            <w:tcW w:w="0" w:type="auto"/>
            <w:tcBorders>
              <w:top w:val="single" w:sz="4" w:space="0" w:color="auto"/>
              <w:left w:val="single" w:sz="4" w:space="0" w:color="FFFFFF"/>
              <w:bottom w:val="single" w:sz="4" w:space="0" w:color="auto"/>
              <w:right w:val="single" w:sz="4" w:space="0" w:color="FFFFFF"/>
            </w:tcBorders>
            <w:hideMark/>
          </w:tcPr>
          <w:p w14:paraId="1EE441A9" w14:textId="77777777" w:rsidR="00FA7EBF" w:rsidRDefault="00FA7EBF">
            <w:pPr>
              <w:pStyle w:val="ARtabletextbold"/>
            </w:pPr>
            <w:r>
              <w:t>Net assets</w:t>
            </w:r>
          </w:p>
        </w:tc>
        <w:tc>
          <w:tcPr>
            <w:tcW w:w="1088" w:type="dxa"/>
            <w:tcBorders>
              <w:top w:val="single" w:sz="4" w:space="0" w:color="auto"/>
              <w:left w:val="single" w:sz="4" w:space="0" w:color="FFFFFF"/>
              <w:bottom w:val="single" w:sz="4" w:space="0" w:color="auto"/>
              <w:right w:val="single" w:sz="4" w:space="0" w:color="FFFFFF"/>
            </w:tcBorders>
            <w:hideMark/>
          </w:tcPr>
          <w:p w14:paraId="35B7B0C2" w14:textId="77777777" w:rsidR="00FA7EBF" w:rsidRDefault="00FA7EBF">
            <w:pPr>
              <w:pStyle w:val="ARtabletextrightbold"/>
            </w:pPr>
            <w:r>
              <w:t>1</w:t>
            </w:r>
          </w:p>
        </w:tc>
        <w:tc>
          <w:tcPr>
            <w:tcW w:w="1088" w:type="dxa"/>
            <w:tcBorders>
              <w:top w:val="single" w:sz="4" w:space="0" w:color="auto"/>
              <w:left w:val="single" w:sz="4" w:space="0" w:color="FFFFFF"/>
              <w:bottom w:val="single" w:sz="4" w:space="0" w:color="auto"/>
              <w:right w:val="single" w:sz="4" w:space="0" w:color="FFFFFF"/>
            </w:tcBorders>
            <w:hideMark/>
          </w:tcPr>
          <w:p w14:paraId="6304DD70" w14:textId="77777777" w:rsidR="00FA7EBF" w:rsidRDefault="00FA7EBF">
            <w:pPr>
              <w:pStyle w:val="ARtabletextrightbold"/>
            </w:pPr>
            <w:r>
              <w:t>40</w:t>
            </w:r>
          </w:p>
        </w:tc>
        <w:tc>
          <w:tcPr>
            <w:tcW w:w="1089" w:type="dxa"/>
            <w:tcBorders>
              <w:top w:val="single" w:sz="4" w:space="0" w:color="auto"/>
              <w:left w:val="single" w:sz="4" w:space="0" w:color="FFFFFF"/>
              <w:bottom w:val="single" w:sz="4" w:space="0" w:color="auto"/>
              <w:right w:val="single" w:sz="4" w:space="0" w:color="FFFFFF"/>
            </w:tcBorders>
            <w:hideMark/>
          </w:tcPr>
          <w:p w14:paraId="4CAFFF28" w14:textId="77777777" w:rsidR="00FA7EBF" w:rsidRDefault="00FA7EBF">
            <w:pPr>
              <w:pStyle w:val="ARtabletextrightbold"/>
            </w:pPr>
            <w:r>
              <w:t>(96.6)</w:t>
            </w:r>
          </w:p>
        </w:tc>
        <w:tc>
          <w:tcPr>
            <w:tcW w:w="1088" w:type="dxa"/>
            <w:tcBorders>
              <w:top w:val="single" w:sz="4" w:space="0" w:color="auto"/>
              <w:left w:val="single" w:sz="4" w:space="0" w:color="FFFFFF"/>
              <w:bottom w:val="single" w:sz="4" w:space="0" w:color="auto"/>
              <w:right w:val="single" w:sz="4" w:space="0" w:color="FFFFFF"/>
            </w:tcBorders>
            <w:hideMark/>
          </w:tcPr>
          <w:p w14:paraId="16DC89D6" w14:textId="77777777" w:rsidR="00FA7EBF" w:rsidRDefault="00FA7EBF">
            <w:pPr>
              <w:pStyle w:val="ARtabletextrightbold"/>
            </w:pPr>
            <w:r>
              <w:t>40</w:t>
            </w:r>
          </w:p>
        </w:tc>
        <w:tc>
          <w:tcPr>
            <w:tcW w:w="1089" w:type="dxa"/>
            <w:tcBorders>
              <w:top w:val="single" w:sz="4" w:space="0" w:color="auto"/>
              <w:left w:val="single" w:sz="4" w:space="0" w:color="FFFFFF"/>
              <w:bottom w:val="single" w:sz="4" w:space="0" w:color="auto"/>
              <w:right w:val="single" w:sz="4" w:space="0" w:color="FFFFFF"/>
            </w:tcBorders>
            <w:hideMark/>
          </w:tcPr>
          <w:p w14:paraId="25A0843A" w14:textId="77777777" w:rsidR="00FA7EBF" w:rsidRDefault="00FA7EBF">
            <w:pPr>
              <w:pStyle w:val="ARtabletextrightbold"/>
            </w:pPr>
            <w:r>
              <w:t>(96.6)</w:t>
            </w:r>
          </w:p>
        </w:tc>
        <w:tc>
          <w:tcPr>
            <w:tcW w:w="0" w:type="auto"/>
            <w:tcBorders>
              <w:top w:val="single" w:sz="4" w:space="0" w:color="auto"/>
              <w:left w:val="single" w:sz="4" w:space="0" w:color="FFFFFF"/>
              <w:bottom w:val="single" w:sz="4" w:space="0" w:color="auto"/>
              <w:right w:val="single" w:sz="4" w:space="0" w:color="FFFFFF"/>
            </w:tcBorders>
          </w:tcPr>
          <w:p w14:paraId="19FD625D" w14:textId="77777777" w:rsidR="00FA7EBF" w:rsidRDefault="00FA7EBF">
            <w:pPr>
              <w:pStyle w:val="ARtabletextrightbold"/>
            </w:pPr>
          </w:p>
        </w:tc>
      </w:tr>
      <w:tr w:rsidR="00FA7EBF" w14:paraId="00BE60E7" w14:textId="77777777" w:rsidTr="003075FD">
        <w:tc>
          <w:tcPr>
            <w:tcW w:w="9639" w:type="dxa"/>
            <w:gridSpan w:val="7"/>
            <w:tcBorders>
              <w:top w:val="single" w:sz="4" w:space="0" w:color="auto"/>
              <w:left w:val="single" w:sz="4" w:space="0" w:color="FFFFFF"/>
              <w:bottom w:val="single" w:sz="4" w:space="0" w:color="A6A6A6" w:themeColor="background1" w:themeShade="A6"/>
              <w:right w:val="single" w:sz="4" w:space="0" w:color="FFFFFF"/>
            </w:tcBorders>
            <w:hideMark/>
          </w:tcPr>
          <w:p w14:paraId="029A9E7A" w14:textId="77777777" w:rsidR="00FA7EBF" w:rsidRDefault="00FA7EBF">
            <w:pPr>
              <w:pStyle w:val="ARtabletextbold"/>
            </w:pPr>
            <w:r>
              <w:t>Equity</w:t>
            </w:r>
          </w:p>
        </w:tc>
      </w:tr>
      <w:tr w:rsidR="00FA7EBF" w14:paraId="0E1E7715" w14:textId="77777777" w:rsidTr="003075FD">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2982256" w14:textId="77777777" w:rsidR="00FA7EBF" w:rsidRDefault="00FA7EBF">
            <w:pPr>
              <w:pStyle w:val="ARtabletext"/>
            </w:pPr>
            <w:r>
              <w:t>Accumulated surplus/(deficit)</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416A125B" w14:textId="77777777" w:rsidR="00FA7EBF" w:rsidRDefault="00FA7EBF">
            <w:pPr>
              <w:pStyle w:val="ARtabletextright"/>
            </w:pPr>
            <w:r>
              <w:t>74</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D4F00F1" w14:textId="77777777" w:rsidR="00FA7EBF" w:rsidRDefault="00FA7EBF">
            <w:pPr>
              <w:pStyle w:val="ARtabletextright"/>
            </w:pPr>
            <w:r>
              <w:t>–</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7AE3F178" w14:textId="77777777" w:rsidR="00FA7EBF" w:rsidRDefault="00FA7EBF">
            <w:pPr>
              <w:pStyle w:val="ARtabletextright"/>
            </w:pPr>
            <w:r>
              <w:t>–</w:t>
            </w:r>
          </w:p>
        </w:tc>
        <w:tc>
          <w:tcPr>
            <w:tcW w:w="1088"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15B37338" w14:textId="77777777" w:rsidR="00FA7EBF" w:rsidRDefault="00FA7EBF">
            <w:pPr>
              <w:pStyle w:val="ARtabletextright"/>
            </w:pPr>
            <w:r>
              <w:t>–</w:t>
            </w:r>
          </w:p>
        </w:tc>
        <w:tc>
          <w:tcPr>
            <w:tcW w:w="1089"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hideMark/>
          </w:tcPr>
          <w:p w14:paraId="2057F11B" w14:textId="77777777" w:rsidR="00FA7EBF" w:rsidRDefault="00FA7EBF">
            <w:pPr>
              <w:pStyle w:val="ARtabletextright"/>
            </w:pPr>
            <w:r>
              <w:t>–</w:t>
            </w:r>
          </w:p>
        </w:tc>
        <w:tc>
          <w:tcPr>
            <w:tcW w:w="0" w:type="auto"/>
            <w:tcBorders>
              <w:top w:val="single" w:sz="4" w:space="0" w:color="A6A6A6" w:themeColor="background1" w:themeShade="A6"/>
              <w:left w:val="single" w:sz="4" w:space="0" w:color="FFFFFF"/>
              <w:bottom w:val="single" w:sz="4" w:space="0" w:color="A6A6A6" w:themeColor="background1" w:themeShade="A6"/>
              <w:right w:val="single" w:sz="4" w:space="0" w:color="FFFFFF"/>
            </w:tcBorders>
          </w:tcPr>
          <w:p w14:paraId="68C95067" w14:textId="77777777" w:rsidR="00FA7EBF" w:rsidRDefault="00FA7EBF">
            <w:pPr>
              <w:pStyle w:val="ARtabletextrightbold"/>
            </w:pPr>
          </w:p>
        </w:tc>
      </w:tr>
      <w:tr w:rsidR="00FA7EBF" w14:paraId="50CFDA78" w14:textId="77777777" w:rsidTr="003075FD">
        <w:tc>
          <w:tcPr>
            <w:tcW w:w="0" w:type="auto"/>
            <w:tcBorders>
              <w:top w:val="single" w:sz="4" w:space="0" w:color="A6A6A6" w:themeColor="background1" w:themeShade="A6"/>
              <w:left w:val="single" w:sz="4" w:space="0" w:color="FFFFFF"/>
              <w:bottom w:val="single" w:sz="4" w:space="0" w:color="auto"/>
              <w:right w:val="single" w:sz="4" w:space="0" w:color="FFFFFF"/>
            </w:tcBorders>
            <w:hideMark/>
          </w:tcPr>
          <w:p w14:paraId="41CB172D" w14:textId="77777777" w:rsidR="00FA7EBF" w:rsidRDefault="00FA7EBF">
            <w:pPr>
              <w:pStyle w:val="ARtabletext"/>
            </w:pPr>
            <w:r>
              <w:t>Contributed capital</w:t>
            </w:r>
          </w:p>
        </w:tc>
        <w:tc>
          <w:tcPr>
            <w:tcW w:w="1088" w:type="dxa"/>
            <w:tcBorders>
              <w:top w:val="single" w:sz="4" w:space="0" w:color="A6A6A6" w:themeColor="background1" w:themeShade="A6"/>
              <w:left w:val="single" w:sz="4" w:space="0" w:color="FFFFFF"/>
              <w:bottom w:val="single" w:sz="4" w:space="0" w:color="auto"/>
              <w:right w:val="single" w:sz="4" w:space="0" w:color="FFFFFF"/>
            </w:tcBorders>
            <w:hideMark/>
          </w:tcPr>
          <w:p w14:paraId="2744FC2E" w14:textId="77777777" w:rsidR="00FA7EBF" w:rsidRDefault="00FA7EBF">
            <w:pPr>
              <w:pStyle w:val="ARtabletextright"/>
            </w:pPr>
            <w:r>
              <w:t>(75)</w:t>
            </w:r>
          </w:p>
        </w:tc>
        <w:tc>
          <w:tcPr>
            <w:tcW w:w="1088" w:type="dxa"/>
            <w:tcBorders>
              <w:top w:val="single" w:sz="4" w:space="0" w:color="A6A6A6" w:themeColor="background1" w:themeShade="A6"/>
              <w:left w:val="single" w:sz="4" w:space="0" w:color="FFFFFF"/>
              <w:bottom w:val="single" w:sz="4" w:space="0" w:color="auto"/>
              <w:right w:val="single" w:sz="4" w:space="0" w:color="FFFFFF"/>
            </w:tcBorders>
            <w:hideMark/>
          </w:tcPr>
          <w:p w14:paraId="1C8B3A98" w14:textId="77777777" w:rsidR="00FA7EBF" w:rsidRDefault="00FA7EBF">
            <w:pPr>
              <w:pStyle w:val="ARtabletextright"/>
            </w:pPr>
            <w:r>
              <w:t>–</w:t>
            </w:r>
          </w:p>
        </w:tc>
        <w:tc>
          <w:tcPr>
            <w:tcW w:w="1089" w:type="dxa"/>
            <w:tcBorders>
              <w:top w:val="single" w:sz="4" w:space="0" w:color="A6A6A6" w:themeColor="background1" w:themeShade="A6"/>
              <w:left w:val="single" w:sz="4" w:space="0" w:color="FFFFFF"/>
              <w:bottom w:val="single" w:sz="4" w:space="0" w:color="auto"/>
              <w:right w:val="single" w:sz="4" w:space="0" w:color="FFFFFF"/>
            </w:tcBorders>
            <w:hideMark/>
          </w:tcPr>
          <w:p w14:paraId="24539071" w14:textId="77777777" w:rsidR="00FA7EBF" w:rsidRDefault="00FA7EBF">
            <w:pPr>
              <w:pStyle w:val="ARtabletextright"/>
            </w:pPr>
            <w:r>
              <w:t>–</w:t>
            </w:r>
          </w:p>
        </w:tc>
        <w:tc>
          <w:tcPr>
            <w:tcW w:w="1088" w:type="dxa"/>
            <w:tcBorders>
              <w:top w:val="single" w:sz="4" w:space="0" w:color="A6A6A6" w:themeColor="background1" w:themeShade="A6"/>
              <w:left w:val="single" w:sz="4" w:space="0" w:color="FFFFFF"/>
              <w:bottom w:val="single" w:sz="4" w:space="0" w:color="auto"/>
              <w:right w:val="single" w:sz="4" w:space="0" w:color="FFFFFF"/>
            </w:tcBorders>
            <w:hideMark/>
          </w:tcPr>
          <w:p w14:paraId="34D913DF" w14:textId="77777777" w:rsidR="00FA7EBF" w:rsidRDefault="00FA7EBF">
            <w:pPr>
              <w:pStyle w:val="ARtabletextright"/>
            </w:pPr>
            <w:r>
              <w:t>–</w:t>
            </w:r>
          </w:p>
        </w:tc>
        <w:tc>
          <w:tcPr>
            <w:tcW w:w="1089" w:type="dxa"/>
            <w:tcBorders>
              <w:top w:val="single" w:sz="4" w:space="0" w:color="A6A6A6" w:themeColor="background1" w:themeShade="A6"/>
              <w:left w:val="single" w:sz="4" w:space="0" w:color="FFFFFF"/>
              <w:bottom w:val="single" w:sz="4" w:space="0" w:color="auto"/>
              <w:right w:val="single" w:sz="4" w:space="0" w:color="FFFFFF"/>
            </w:tcBorders>
            <w:hideMark/>
          </w:tcPr>
          <w:p w14:paraId="06DC1D2B" w14:textId="77777777" w:rsidR="00FA7EBF" w:rsidRDefault="00FA7EBF">
            <w:pPr>
              <w:pStyle w:val="ARtabletextright"/>
            </w:pPr>
            <w:r>
              <w:t>–</w:t>
            </w:r>
          </w:p>
        </w:tc>
        <w:tc>
          <w:tcPr>
            <w:tcW w:w="0" w:type="auto"/>
            <w:tcBorders>
              <w:top w:val="single" w:sz="4" w:space="0" w:color="A6A6A6" w:themeColor="background1" w:themeShade="A6"/>
              <w:left w:val="single" w:sz="4" w:space="0" w:color="FFFFFF"/>
              <w:bottom w:val="single" w:sz="4" w:space="0" w:color="auto"/>
              <w:right w:val="single" w:sz="4" w:space="0" w:color="FFFFFF"/>
            </w:tcBorders>
          </w:tcPr>
          <w:p w14:paraId="4557B537" w14:textId="77777777" w:rsidR="00FA7EBF" w:rsidRDefault="00FA7EBF">
            <w:pPr>
              <w:pStyle w:val="ARtabletextrightbold"/>
            </w:pPr>
          </w:p>
        </w:tc>
      </w:tr>
      <w:tr w:rsidR="00FA7EBF" w14:paraId="06B1100D" w14:textId="77777777" w:rsidTr="003075FD">
        <w:tc>
          <w:tcPr>
            <w:tcW w:w="0" w:type="auto"/>
            <w:tcBorders>
              <w:top w:val="single" w:sz="4" w:space="0" w:color="auto"/>
              <w:left w:val="single" w:sz="4" w:space="0" w:color="FFFFFF"/>
              <w:bottom w:val="single" w:sz="4" w:space="0" w:color="auto"/>
              <w:right w:val="single" w:sz="4" w:space="0" w:color="FFFFFF"/>
            </w:tcBorders>
            <w:noWrap/>
            <w:hideMark/>
          </w:tcPr>
          <w:p w14:paraId="50FCFF1D" w14:textId="77777777" w:rsidR="00FA7EBF" w:rsidRDefault="00FA7EBF">
            <w:pPr>
              <w:pStyle w:val="ARtabletextbold"/>
            </w:pPr>
            <w:r>
              <w:t>Total equity</w:t>
            </w:r>
          </w:p>
        </w:tc>
        <w:tc>
          <w:tcPr>
            <w:tcW w:w="1088" w:type="dxa"/>
            <w:tcBorders>
              <w:top w:val="single" w:sz="4" w:space="0" w:color="auto"/>
              <w:left w:val="single" w:sz="4" w:space="0" w:color="FFFFFF"/>
              <w:bottom w:val="single" w:sz="4" w:space="0" w:color="auto"/>
              <w:right w:val="single" w:sz="4" w:space="0" w:color="FFFFFF"/>
            </w:tcBorders>
            <w:noWrap/>
            <w:hideMark/>
          </w:tcPr>
          <w:p w14:paraId="14D3ED5B" w14:textId="77777777" w:rsidR="00FA7EBF" w:rsidRDefault="00FA7EBF">
            <w:pPr>
              <w:pStyle w:val="ARtabletextrightbold"/>
            </w:pPr>
            <w:r>
              <w:t>(1)</w:t>
            </w:r>
          </w:p>
        </w:tc>
        <w:tc>
          <w:tcPr>
            <w:tcW w:w="1088" w:type="dxa"/>
            <w:tcBorders>
              <w:top w:val="single" w:sz="4" w:space="0" w:color="auto"/>
              <w:left w:val="single" w:sz="4" w:space="0" w:color="FFFFFF"/>
              <w:bottom w:val="single" w:sz="4" w:space="0" w:color="auto"/>
              <w:right w:val="single" w:sz="4" w:space="0" w:color="FFFFFF"/>
            </w:tcBorders>
            <w:hideMark/>
          </w:tcPr>
          <w:p w14:paraId="21456C2A" w14:textId="77777777" w:rsidR="00FA7EBF" w:rsidRDefault="00FA7EBF">
            <w:pPr>
              <w:pStyle w:val="ARtabletextrightbold"/>
            </w:pPr>
            <w:r>
              <w:t>–</w:t>
            </w:r>
          </w:p>
        </w:tc>
        <w:tc>
          <w:tcPr>
            <w:tcW w:w="1089" w:type="dxa"/>
            <w:tcBorders>
              <w:top w:val="single" w:sz="4" w:space="0" w:color="auto"/>
              <w:left w:val="single" w:sz="4" w:space="0" w:color="FFFFFF"/>
              <w:bottom w:val="single" w:sz="4" w:space="0" w:color="auto"/>
              <w:right w:val="single" w:sz="4" w:space="0" w:color="FFFFFF"/>
            </w:tcBorders>
            <w:hideMark/>
          </w:tcPr>
          <w:p w14:paraId="7F535242" w14:textId="77777777" w:rsidR="00FA7EBF" w:rsidRDefault="00FA7EBF">
            <w:pPr>
              <w:pStyle w:val="ARtabletextrightbold"/>
            </w:pPr>
            <w:r>
              <w:t>–</w:t>
            </w:r>
          </w:p>
        </w:tc>
        <w:tc>
          <w:tcPr>
            <w:tcW w:w="1088" w:type="dxa"/>
            <w:tcBorders>
              <w:top w:val="single" w:sz="4" w:space="0" w:color="auto"/>
              <w:left w:val="single" w:sz="4" w:space="0" w:color="FFFFFF"/>
              <w:bottom w:val="single" w:sz="4" w:space="0" w:color="auto"/>
              <w:right w:val="single" w:sz="4" w:space="0" w:color="FFFFFF"/>
            </w:tcBorders>
            <w:hideMark/>
          </w:tcPr>
          <w:p w14:paraId="3A87A75C" w14:textId="77777777" w:rsidR="00FA7EBF" w:rsidRDefault="00FA7EBF">
            <w:pPr>
              <w:pStyle w:val="ARtabletextrightbold"/>
            </w:pPr>
            <w:r>
              <w:t>–</w:t>
            </w:r>
          </w:p>
        </w:tc>
        <w:tc>
          <w:tcPr>
            <w:tcW w:w="1089" w:type="dxa"/>
            <w:tcBorders>
              <w:top w:val="single" w:sz="4" w:space="0" w:color="auto"/>
              <w:left w:val="single" w:sz="4" w:space="0" w:color="FFFFFF"/>
              <w:bottom w:val="single" w:sz="4" w:space="0" w:color="auto"/>
              <w:right w:val="single" w:sz="4" w:space="0" w:color="FFFFFF"/>
            </w:tcBorders>
            <w:hideMark/>
          </w:tcPr>
          <w:p w14:paraId="012C5828" w14:textId="77777777" w:rsidR="00FA7EBF" w:rsidRDefault="00FA7EBF">
            <w:pPr>
              <w:pStyle w:val="ARtabletextrightbold"/>
            </w:pPr>
            <w:r>
              <w:t>–</w:t>
            </w:r>
          </w:p>
        </w:tc>
        <w:tc>
          <w:tcPr>
            <w:tcW w:w="0" w:type="auto"/>
            <w:tcBorders>
              <w:top w:val="single" w:sz="4" w:space="0" w:color="auto"/>
              <w:left w:val="single" w:sz="4" w:space="0" w:color="FFFFFF"/>
              <w:bottom w:val="single" w:sz="4" w:space="0" w:color="auto"/>
              <w:right w:val="single" w:sz="4" w:space="0" w:color="FFFFFF"/>
            </w:tcBorders>
          </w:tcPr>
          <w:p w14:paraId="1D3EA0F1" w14:textId="77777777" w:rsidR="00FA7EBF" w:rsidRDefault="00FA7EBF">
            <w:pPr>
              <w:pStyle w:val="ARtabletextrightbold"/>
            </w:pPr>
          </w:p>
        </w:tc>
      </w:tr>
    </w:tbl>
    <w:p w14:paraId="51C1812D" w14:textId="77777777" w:rsidR="00FA7EBF" w:rsidRDefault="00FA7EBF" w:rsidP="00326F42">
      <w:pPr>
        <w:pStyle w:val="ARtablefootnotenumbered"/>
        <w:numPr>
          <w:ilvl w:val="0"/>
          <w:numId w:val="34"/>
        </w:numPr>
      </w:pPr>
      <w:bookmarkStart w:id="296" w:name="Budget_portfolio_outcomes_end"/>
      <w:r>
        <w:t>The higher cash and deposits balance relates to cash held in the National Disability Insurance Agency (NDIA) trust fund and the National Health Funding Pool. The variance arises due to different timing for receipts and payments into these trust funds.</w:t>
      </w:r>
    </w:p>
    <w:bookmarkEnd w:id="296"/>
    <w:p w14:paraId="07857142" w14:textId="77777777" w:rsidR="00FA7EBF" w:rsidRDefault="00FA7EBF" w:rsidP="00326F42">
      <w:pPr>
        <w:pStyle w:val="ARtablefootnotenumbered"/>
        <w:numPr>
          <w:ilvl w:val="0"/>
          <w:numId w:val="25"/>
        </w:numPr>
      </w:pPr>
      <w:r>
        <w:t>The variance is mainly due to the receipt of the June contribution into the NDIA trust fund which was budgeted as a receivable at year end.</w:t>
      </w:r>
    </w:p>
    <w:p w14:paraId="25569AF0" w14:textId="77777777" w:rsidR="00FA7EBF" w:rsidRDefault="00FA7EBF" w:rsidP="00326F42">
      <w:pPr>
        <w:pStyle w:val="ARtablefootnotenumbered"/>
        <w:numPr>
          <w:ilvl w:val="0"/>
          <w:numId w:val="25"/>
        </w:numPr>
      </w:pPr>
      <w:r>
        <w:t>The variance is mainly due to amounts payable to the NDIA relating to clients that have transitioned to the National Disability Insurance Scheme in 2018–19 and amounts expected to be returned to the Commonwealth in 2019–20 in respect of unearned revenue relating to hospital activity.</w:t>
      </w:r>
    </w:p>
    <w:p w14:paraId="0682B83E" w14:textId="77777777" w:rsidR="00FA7EBF" w:rsidRDefault="00FA7EBF" w:rsidP="003075FD">
      <w:pPr>
        <w:pStyle w:val="ARbody"/>
      </w:pPr>
      <w:r>
        <w:br w:type="page"/>
      </w:r>
    </w:p>
    <w:p w14:paraId="5FE2C7D6" w14:textId="77777777" w:rsidR="00FA7EBF" w:rsidRDefault="00FA7EBF" w:rsidP="003075FD">
      <w:pPr>
        <w:pStyle w:val="Heading2"/>
      </w:pPr>
      <w:bookmarkStart w:id="297" w:name="_Toc523234468"/>
      <w:bookmarkStart w:id="298" w:name="_Toc20409065"/>
      <w:r>
        <w:t>Director of Housing</w:t>
      </w:r>
      <w:bookmarkEnd w:id="297"/>
      <w:bookmarkEnd w:id="298"/>
    </w:p>
    <w:p w14:paraId="1A19481E" w14:textId="77777777" w:rsidR="00FA7EBF" w:rsidRDefault="00FA7EBF" w:rsidP="003075FD">
      <w:pPr>
        <w:pStyle w:val="Heading3"/>
      </w:pPr>
      <w:r>
        <w:t>Comprehensive operating statement for the financial year ended</w:t>
      </w:r>
      <w:r>
        <w:br/>
        <w:t>30 June 2019</w:t>
      </w:r>
    </w:p>
    <w:tbl>
      <w:tblPr>
        <w:tblW w:w="9645"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3"/>
        <w:gridCol w:w="1136"/>
        <w:gridCol w:w="1136"/>
      </w:tblGrid>
      <w:tr w:rsidR="00FA7EBF" w14:paraId="4D0310F0" w14:textId="77777777" w:rsidTr="003075FD">
        <w:trPr>
          <w:cantSplit/>
          <w:tblHeader/>
        </w:trPr>
        <w:tc>
          <w:tcPr>
            <w:tcW w:w="7369" w:type="dxa"/>
            <w:tcBorders>
              <w:top w:val="nil"/>
              <w:left w:val="single" w:sz="4" w:space="0" w:color="FFFFFF"/>
              <w:bottom w:val="single" w:sz="4" w:space="0" w:color="auto"/>
              <w:right w:val="single" w:sz="4" w:space="0" w:color="FFFFFF"/>
            </w:tcBorders>
          </w:tcPr>
          <w:p w14:paraId="56F0658A" w14:textId="77777777" w:rsidR="00FA7EBF" w:rsidRDefault="00FA7EBF">
            <w:pPr>
              <w:pStyle w:val="ARtablecolheadright"/>
            </w:pPr>
          </w:p>
        </w:tc>
        <w:tc>
          <w:tcPr>
            <w:tcW w:w="1135" w:type="dxa"/>
            <w:tcBorders>
              <w:top w:val="nil"/>
              <w:left w:val="single" w:sz="4" w:space="0" w:color="FFFFFF"/>
              <w:bottom w:val="single" w:sz="4" w:space="0" w:color="auto"/>
              <w:right w:val="single" w:sz="4" w:space="0" w:color="FFFFFF"/>
            </w:tcBorders>
            <w:shd w:val="clear" w:color="auto" w:fill="E7E6E6"/>
            <w:hideMark/>
          </w:tcPr>
          <w:p w14:paraId="5F743347" w14:textId="77777777" w:rsidR="00FA7EBF" w:rsidRDefault="00FA7EBF">
            <w:pPr>
              <w:pStyle w:val="ARtablecolheadright"/>
            </w:pPr>
            <w:r>
              <w:t>2019</w:t>
            </w:r>
          </w:p>
          <w:p w14:paraId="07E003F6" w14:textId="77777777" w:rsidR="00FA7EBF" w:rsidRDefault="00FA7EBF">
            <w:pPr>
              <w:pStyle w:val="ARtablecolheadright"/>
            </w:pPr>
            <w:r>
              <w:t>$M</w:t>
            </w:r>
          </w:p>
        </w:tc>
        <w:tc>
          <w:tcPr>
            <w:tcW w:w="1135" w:type="dxa"/>
            <w:tcBorders>
              <w:top w:val="nil"/>
              <w:left w:val="single" w:sz="4" w:space="0" w:color="FFFFFF"/>
              <w:bottom w:val="single" w:sz="4" w:space="0" w:color="auto"/>
              <w:right w:val="single" w:sz="4" w:space="0" w:color="FFFFFF"/>
            </w:tcBorders>
            <w:hideMark/>
          </w:tcPr>
          <w:p w14:paraId="3804ADB0" w14:textId="77777777" w:rsidR="00FA7EBF" w:rsidRDefault="00FA7EBF">
            <w:pPr>
              <w:pStyle w:val="ARtablecolheadright"/>
            </w:pPr>
            <w:r>
              <w:t>2018</w:t>
            </w:r>
          </w:p>
          <w:p w14:paraId="2688110E" w14:textId="77777777" w:rsidR="00FA7EBF" w:rsidRDefault="00FA7EBF">
            <w:pPr>
              <w:pStyle w:val="ARtablecolheadright"/>
            </w:pPr>
            <w:r>
              <w:t>$M</w:t>
            </w:r>
          </w:p>
        </w:tc>
      </w:tr>
      <w:tr w:rsidR="00FA7EBF" w14:paraId="67AADCD2" w14:textId="77777777" w:rsidTr="003075FD">
        <w:trPr>
          <w:cantSplit/>
        </w:trPr>
        <w:tc>
          <w:tcPr>
            <w:tcW w:w="9639" w:type="dxa"/>
            <w:gridSpan w:val="3"/>
            <w:tcBorders>
              <w:top w:val="single" w:sz="4" w:space="0" w:color="auto"/>
              <w:left w:val="single" w:sz="4" w:space="0" w:color="FFFFFF"/>
              <w:bottom w:val="single" w:sz="4" w:space="0" w:color="A6A6A6"/>
              <w:right w:val="single" w:sz="4" w:space="0" w:color="FFFFFF"/>
            </w:tcBorders>
            <w:hideMark/>
          </w:tcPr>
          <w:p w14:paraId="09ADB2A3" w14:textId="77777777" w:rsidR="00FA7EBF" w:rsidRDefault="00FA7EBF">
            <w:pPr>
              <w:pStyle w:val="ARtabletextbold"/>
              <w:spacing w:before="60" w:after="40"/>
            </w:pPr>
            <w:r>
              <w:t>Income from transactions</w:t>
            </w:r>
          </w:p>
        </w:tc>
      </w:tr>
      <w:tr w:rsidR="00FA7EBF" w14:paraId="04FC9781" w14:textId="77777777" w:rsidTr="003075FD">
        <w:trPr>
          <w:cantSplit/>
        </w:trPr>
        <w:tc>
          <w:tcPr>
            <w:tcW w:w="7369" w:type="dxa"/>
            <w:tcBorders>
              <w:top w:val="single" w:sz="4" w:space="0" w:color="A6A6A6"/>
              <w:left w:val="single" w:sz="4" w:space="0" w:color="FFFFFF"/>
              <w:bottom w:val="single" w:sz="4" w:space="0" w:color="A6A6A6"/>
              <w:right w:val="single" w:sz="4" w:space="0" w:color="FFFFFF"/>
            </w:tcBorders>
            <w:hideMark/>
          </w:tcPr>
          <w:p w14:paraId="20E65AAE" w14:textId="77777777" w:rsidR="00FA7EBF" w:rsidRDefault="00FA7EBF">
            <w:pPr>
              <w:pStyle w:val="ARtabletext"/>
              <w:spacing w:before="60" w:after="40"/>
            </w:pPr>
            <w:r>
              <w:t>Grant from the Department of Health and Human Services</w:t>
            </w:r>
          </w:p>
        </w:tc>
        <w:tc>
          <w:tcPr>
            <w:tcW w:w="1135" w:type="dxa"/>
            <w:tcBorders>
              <w:top w:val="single" w:sz="4" w:space="0" w:color="A6A6A6"/>
              <w:left w:val="single" w:sz="4" w:space="0" w:color="FFFFFF"/>
              <w:bottom w:val="single" w:sz="4" w:space="0" w:color="A6A6A6"/>
              <w:right w:val="single" w:sz="4" w:space="0" w:color="FFFFFF"/>
            </w:tcBorders>
            <w:shd w:val="clear" w:color="auto" w:fill="E7E6E6"/>
            <w:hideMark/>
          </w:tcPr>
          <w:p w14:paraId="40317863" w14:textId="77777777" w:rsidR="00FA7EBF" w:rsidRDefault="00FA7EBF">
            <w:pPr>
              <w:pStyle w:val="ARtabletextright"/>
              <w:spacing w:before="60" w:after="40"/>
            </w:pPr>
            <w:r>
              <w:t>618.8</w:t>
            </w:r>
          </w:p>
        </w:tc>
        <w:tc>
          <w:tcPr>
            <w:tcW w:w="1135" w:type="dxa"/>
            <w:tcBorders>
              <w:top w:val="single" w:sz="4" w:space="0" w:color="A6A6A6"/>
              <w:left w:val="single" w:sz="4" w:space="0" w:color="FFFFFF"/>
              <w:bottom w:val="single" w:sz="4" w:space="0" w:color="A6A6A6"/>
              <w:right w:val="single" w:sz="4" w:space="0" w:color="FFFFFF"/>
            </w:tcBorders>
            <w:hideMark/>
          </w:tcPr>
          <w:p w14:paraId="44E44A20" w14:textId="77777777" w:rsidR="00FA7EBF" w:rsidRDefault="00FA7EBF">
            <w:pPr>
              <w:pStyle w:val="ARtabletextright"/>
              <w:spacing w:before="60" w:after="40"/>
            </w:pPr>
            <w:r>
              <w:t>580.5</w:t>
            </w:r>
          </w:p>
        </w:tc>
      </w:tr>
      <w:tr w:rsidR="00FA7EBF" w14:paraId="29D3D0D1" w14:textId="77777777" w:rsidTr="003075FD">
        <w:trPr>
          <w:cantSplit/>
        </w:trPr>
        <w:tc>
          <w:tcPr>
            <w:tcW w:w="7369" w:type="dxa"/>
            <w:tcBorders>
              <w:top w:val="single" w:sz="4" w:space="0" w:color="A6A6A6"/>
              <w:left w:val="single" w:sz="4" w:space="0" w:color="FFFFFF"/>
              <w:bottom w:val="single" w:sz="4" w:space="0" w:color="A6A6A6"/>
              <w:right w:val="single" w:sz="4" w:space="0" w:color="FFFFFF"/>
            </w:tcBorders>
            <w:hideMark/>
          </w:tcPr>
          <w:p w14:paraId="694CD639" w14:textId="77777777" w:rsidR="00FA7EBF" w:rsidRDefault="00FA7EBF">
            <w:pPr>
              <w:pStyle w:val="ARtabletext"/>
              <w:spacing w:before="60" w:after="40"/>
            </w:pPr>
            <w:r>
              <w:t>Interest income</w:t>
            </w:r>
          </w:p>
        </w:tc>
        <w:tc>
          <w:tcPr>
            <w:tcW w:w="1135" w:type="dxa"/>
            <w:tcBorders>
              <w:top w:val="single" w:sz="4" w:space="0" w:color="A6A6A6"/>
              <w:left w:val="single" w:sz="4" w:space="0" w:color="FFFFFF"/>
              <w:bottom w:val="single" w:sz="4" w:space="0" w:color="A6A6A6"/>
              <w:right w:val="single" w:sz="4" w:space="0" w:color="FFFFFF"/>
            </w:tcBorders>
            <w:shd w:val="clear" w:color="auto" w:fill="E7E6E6"/>
            <w:hideMark/>
          </w:tcPr>
          <w:p w14:paraId="43C348E9" w14:textId="77777777" w:rsidR="00FA7EBF" w:rsidRDefault="00FA7EBF">
            <w:pPr>
              <w:pStyle w:val="ARtabletextright"/>
              <w:spacing w:before="60" w:after="40"/>
            </w:pPr>
            <w:r>
              <w:t>13.2</w:t>
            </w:r>
          </w:p>
        </w:tc>
        <w:tc>
          <w:tcPr>
            <w:tcW w:w="1135" w:type="dxa"/>
            <w:tcBorders>
              <w:top w:val="single" w:sz="4" w:space="0" w:color="A6A6A6"/>
              <w:left w:val="single" w:sz="4" w:space="0" w:color="FFFFFF"/>
              <w:bottom w:val="single" w:sz="4" w:space="0" w:color="A6A6A6"/>
              <w:right w:val="single" w:sz="4" w:space="0" w:color="FFFFFF"/>
            </w:tcBorders>
            <w:hideMark/>
          </w:tcPr>
          <w:p w14:paraId="35D0E451" w14:textId="77777777" w:rsidR="00FA7EBF" w:rsidRDefault="00FA7EBF">
            <w:pPr>
              <w:pStyle w:val="ARtabletextright"/>
              <w:spacing w:before="60" w:after="40"/>
            </w:pPr>
            <w:r>
              <w:t>10.0</w:t>
            </w:r>
          </w:p>
        </w:tc>
      </w:tr>
      <w:tr w:rsidR="00FA7EBF" w14:paraId="022F7727" w14:textId="77777777" w:rsidTr="003075FD">
        <w:trPr>
          <w:cantSplit/>
        </w:trPr>
        <w:tc>
          <w:tcPr>
            <w:tcW w:w="7369" w:type="dxa"/>
            <w:tcBorders>
              <w:top w:val="single" w:sz="4" w:space="0" w:color="A6A6A6"/>
              <w:left w:val="single" w:sz="4" w:space="0" w:color="FFFFFF"/>
              <w:bottom w:val="single" w:sz="4" w:space="0" w:color="A6A6A6"/>
              <w:right w:val="single" w:sz="4" w:space="0" w:color="FFFFFF"/>
            </w:tcBorders>
            <w:hideMark/>
          </w:tcPr>
          <w:p w14:paraId="3DFEB027" w14:textId="77777777" w:rsidR="00FA7EBF" w:rsidRDefault="00FA7EBF">
            <w:pPr>
              <w:pStyle w:val="ARtabletext"/>
              <w:spacing w:before="60" w:after="40"/>
            </w:pPr>
            <w:r>
              <w:t>Rental income and income from services</w:t>
            </w:r>
          </w:p>
        </w:tc>
        <w:tc>
          <w:tcPr>
            <w:tcW w:w="1135" w:type="dxa"/>
            <w:tcBorders>
              <w:top w:val="single" w:sz="4" w:space="0" w:color="A6A6A6"/>
              <w:left w:val="single" w:sz="4" w:space="0" w:color="FFFFFF"/>
              <w:bottom w:val="single" w:sz="4" w:space="0" w:color="A6A6A6"/>
              <w:right w:val="single" w:sz="4" w:space="0" w:color="FFFFFF"/>
            </w:tcBorders>
            <w:shd w:val="clear" w:color="auto" w:fill="E7E6E6"/>
            <w:hideMark/>
          </w:tcPr>
          <w:p w14:paraId="6EB893EB" w14:textId="77777777" w:rsidR="00FA7EBF" w:rsidRDefault="00FA7EBF">
            <w:pPr>
              <w:pStyle w:val="ARtabletextright"/>
              <w:spacing w:before="60" w:after="40"/>
            </w:pPr>
            <w:r>
              <w:t>491.1</w:t>
            </w:r>
          </w:p>
        </w:tc>
        <w:tc>
          <w:tcPr>
            <w:tcW w:w="1135" w:type="dxa"/>
            <w:tcBorders>
              <w:top w:val="single" w:sz="4" w:space="0" w:color="A6A6A6"/>
              <w:left w:val="single" w:sz="4" w:space="0" w:color="FFFFFF"/>
              <w:bottom w:val="single" w:sz="4" w:space="0" w:color="A6A6A6"/>
              <w:right w:val="single" w:sz="4" w:space="0" w:color="FFFFFF"/>
            </w:tcBorders>
            <w:hideMark/>
          </w:tcPr>
          <w:p w14:paraId="3A0F90B6" w14:textId="77777777" w:rsidR="00FA7EBF" w:rsidRDefault="00FA7EBF">
            <w:pPr>
              <w:pStyle w:val="ARtabletextright"/>
              <w:spacing w:before="60" w:after="40"/>
            </w:pPr>
            <w:r>
              <w:t>486.3</w:t>
            </w:r>
          </w:p>
        </w:tc>
      </w:tr>
      <w:tr w:rsidR="00FA7EBF" w14:paraId="6FFD846F" w14:textId="77777777" w:rsidTr="003075FD">
        <w:trPr>
          <w:cantSplit/>
        </w:trPr>
        <w:tc>
          <w:tcPr>
            <w:tcW w:w="7369" w:type="dxa"/>
            <w:tcBorders>
              <w:top w:val="single" w:sz="4" w:space="0" w:color="A6A6A6"/>
              <w:left w:val="single" w:sz="4" w:space="0" w:color="FFFFFF"/>
              <w:bottom w:val="single" w:sz="4" w:space="0" w:color="A6A6A6"/>
              <w:right w:val="single" w:sz="4" w:space="0" w:color="FFFFFF"/>
            </w:tcBorders>
            <w:hideMark/>
          </w:tcPr>
          <w:p w14:paraId="71FACF42" w14:textId="77777777" w:rsidR="00FA7EBF" w:rsidRDefault="00FA7EBF">
            <w:pPr>
              <w:pStyle w:val="ARtabletext"/>
              <w:spacing w:before="60" w:after="40"/>
            </w:pPr>
            <w:r>
              <w:t>Grants and other income transfers</w:t>
            </w:r>
          </w:p>
        </w:tc>
        <w:tc>
          <w:tcPr>
            <w:tcW w:w="1135" w:type="dxa"/>
            <w:tcBorders>
              <w:top w:val="single" w:sz="4" w:space="0" w:color="A6A6A6"/>
              <w:left w:val="single" w:sz="4" w:space="0" w:color="FFFFFF"/>
              <w:bottom w:val="single" w:sz="4" w:space="0" w:color="A6A6A6"/>
              <w:right w:val="single" w:sz="4" w:space="0" w:color="FFFFFF"/>
            </w:tcBorders>
            <w:shd w:val="clear" w:color="auto" w:fill="E7E6E6"/>
            <w:hideMark/>
          </w:tcPr>
          <w:p w14:paraId="3DEE0ABE" w14:textId="77777777" w:rsidR="00FA7EBF" w:rsidRDefault="00FA7EBF">
            <w:pPr>
              <w:pStyle w:val="ARtabletextright"/>
              <w:spacing w:before="60" w:after="40"/>
            </w:pPr>
            <w:r>
              <w:t>11.4</w:t>
            </w:r>
          </w:p>
        </w:tc>
        <w:tc>
          <w:tcPr>
            <w:tcW w:w="1135" w:type="dxa"/>
            <w:tcBorders>
              <w:top w:val="single" w:sz="4" w:space="0" w:color="A6A6A6"/>
              <w:left w:val="single" w:sz="4" w:space="0" w:color="FFFFFF"/>
              <w:bottom w:val="single" w:sz="4" w:space="0" w:color="A6A6A6"/>
              <w:right w:val="single" w:sz="4" w:space="0" w:color="FFFFFF"/>
            </w:tcBorders>
            <w:hideMark/>
          </w:tcPr>
          <w:p w14:paraId="701EFDDA" w14:textId="77777777" w:rsidR="00FA7EBF" w:rsidRDefault="00FA7EBF">
            <w:pPr>
              <w:pStyle w:val="ARtabletextright"/>
              <w:spacing w:before="60" w:after="40"/>
            </w:pPr>
            <w:r>
              <w:t>24.8</w:t>
            </w:r>
          </w:p>
        </w:tc>
      </w:tr>
      <w:tr w:rsidR="00FA7EBF" w14:paraId="55DE389E" w14:textId="77777777" w:rsidTr="003075FD">
        <w:trPr>
          <w:cantSplit/>
        </w:trPr>
        <w:tc>
          <w:tcPr>
            <w:tcW w:w="7369" w:type="dxa"/>
            <w:tcBorders>
              <w:top w:val="single" w:sz="4" w:space="0" w:color="A6A6A6"/>
              <w:left w:val="single" w:sz="4" w:space="0" w:color="FFFFFF"/>
              <w:bottom w:val="single" w:sz="4" w:space="0" w:color="A6A6A6"/>
              <w:right w:val="single" w:sz="4" w:space="0" w:color="FFFFFF"/>
            </w:tcBorders>
            <w:hideMark/>
          </w:tcPr>
          <w:p w14:paraId="6BCE9A6C" w14:textId="77777777" w:rsidR="00FA7EBF" w:rsidRDefault="00FA7EBF">
            <w:pPr>
              <w:pStyle w:val="ARtabletext"/>
              <w:spacing w:before="60" w:after="40"/>
            </w:pPr>
            <w:r>
              <w:t>Fair value of assets and services received free of charge or for nominal consideration</w:t>
            </w:r>
          </w:p>
        </w:tc>
        <w:tc>
          <w:tcPr>
            <w:tcW w:w="1135" w:type="dxa"/>
            <w:tcBorders>
              <w:top w:val="single" w:sz="4" w:space="0" w:color="A6A6A6"/>
              <w:left w:val="single" w:sz="4" w:space="0" w:color="FFFFFF"/>
              <w:bottom w:val="single" w:sz="4" w:space="0" w:color="A6A6A6"/>
              <w:right w:val="single" w:sz="4" w:space="0" w:color="FFFFFF"/>
            </w:tcBorders>
            <w:shd w:val="clear" w:color="auto" w:fill="E7E6E6"/>
            <w:hideMark/>
          </w:tcPr>
          <w:p w14:paraId="70070410" w14:textId="77777777" w:rsidR="00FA7EBF" w:rsidRDefault="00FA7EBF">
            <w:pPr>
              <w:pStyle w:val="ARtabletextright"/>
              <w:spacing w:before="60" w:after="40"/>
            </w:pPr>
            <w:r>
              <w:t>7.5</w:t>
            </w:r>
          </w:p>
        </w:tc>
        <w:tc>
          <w:tcPr>
            <w:tcW w:w="1135" w:type="dxa"/>
            <w:tcBorders>
              <w:top w:val="single" w:sz="4" w:space="0" w:color="A6A6A6"/>
              <w:left w:val="single" w:sz="4" w:space="0" w:color="FFFFFF"/>
              <w:bottom w:val="single" w:sz="4" w:space="0" w:color="A6A6A6"/>
              <w:right w:val="single" w:sz="4" w:space="0" w:color="FFFFFF"/>
            </w:tcBorders>
            <w:hideMark/>
          </w:tcPr>
          <w:p w14:paraId="5833CA21" w14:textId="77777777" w:rsidR="00FA7EBF" w:rsidRDefault="00FA7EBF">
            <w:pPr>
              <w:pStyle w:val="ARtabletextright"/>
              <w:spacing w:before="60" w:after="40"/>
            </w:pPr>
            <w:r>
              <w:t>1.1</w:t>
            </w:r>
          </w:p>
        </w:tc>
      </w:tr>
      <w:tr w:rsidR="00FA7EBF" w14:paraId="5E2129E9" w14:textId="77777777" w:rsidTr="003075FD">
        <w:trPr>
          <w:cantSplit/>
        </w:trPr>
        <w:tc>
          <w:tcPr>
            <w:tcW w:w="7369" w:type="dxa"/>
            <w:tcBorders>
              <w:top w:val="single" w:sz="4" w:space="0" w:color="A6A6A6"/>
              <w:left w:val="single" w:sz="4" w:space="0" w:color="FFFFFF"/>
              <w:bottom w:val="single" w:sz="4" w:space="0" w:color="auto"/>
              <w:right w:val="single" w:sz="4" w:space="0" w:color="FFFFFF"/>
            </w:tcBorders>
            <w:hideMark/>
          </w:tcPr>
          <w:p w14:paraId="492EDD10" w14:textId="77777777" w:rsidR="00FA7EBF" w:rsidRDefault="00FA7EBF">
            <w:pPr>
              <w:pStyle w:val="ARtabletext"/>
              <w:spacing w:before="60" w:after="40"/>
            </w:pPr>
            <w:r>
              <w:t>Other income</w:t>
            </w:r>
          </w:p>
        </w:tc>
        <w:tc>
          <w:tcPr>
            <w:tcW w:w="1135" w:type="dxa"/>
            <w:tcBorders>
              <w:top w:val="single" w:sz="4" w:space="0" w:color="A6A6A6"/>
              <w:left w:val="single" w:sz="4" w:space="0" w:color="FFFFFF"/>
              <w:bottom w:val="single" w:sz="4" w:space="0" w:color="auto"/>
              <w:right w:val="single" w:sz="4" w:space="0" w:color="FFFFFF"/>
            </w:tcBorders>
            <w:shd w:val="clear" w:color="auto" w:fill="E7E6E6"/>
            <w:hideMark/>
          </w:tcPr>
          <w:p w14:paraId="25E39C96" w14:textId="77777777" w:rsidR="00FA7EBF" w:rsidRDefault="00FA7EBF">
            <w:pPr>
              <w:pStyle w:val="ARtabletextright"/>
              <w:spacing w:before="60" w:after="40"/>
            </w:pPr>
            <w:r>
              <w:t>3.5</w:t>
            </w:r>
          </w:p>
        </w:tc>
        <w:tc>
          <w:tcPr>
            <w:tcW w:w="1135" w:type="dxa"/>
            <w:tcBorders>
              <w:top w:val="single" w:sz="4" w:space="0" w:color="A6A6A6"/>
              <w:left w:val="single" w:sz="4" w:space="0" w:color="FFFFFF"/>
              <w:bottom w:val="single" w:sz="4" w:space="0" w:color="auto"/>
              <w:right w:val="single" w:sz="4" w:space="0" w:color="FFFFFF"/>
            </w:tcBorders>
            <w:hideMark/>
          </w:tcPr>
          <w:p w14:paraId="27FADDF1" w14:textId="77777777" w:rsidR="00FA7EBF" w:rsidRDefault="00FA7EBF">
            <w:pPr>
              <w:pStyle w:val="ARtabletextright"/>
              <w:spacing w:before="60" w:after="40"/>
            </w:pPr>
            <w:r>
              <w:t>4.4</w:t>
            </w:r>
          </w:p>
        </w:tc>
      </w:tr>
      <w:tr w:rsidR="00FA7EBF" w14:paraId="3465B9A4" w14:textId="77777777" w:rsidTr="003075FD">
        <w:trPr>
          <w:cantSplit/>
        </w:trPr>
        <w:tc>
          <w:tcPr>
            <w:tcW w:w="7369" w:type="dxa"/>
            <w:tcBorders>
              <w:top w:val="single" w:sz="4" w:space="0" w:color="auto"/>
              <w:left w:val="single" w:sz="4" w:space="0" w:color="FFFFFF"/>
              <w:bottom w:val="single" w:sz="4" w:space="0" w:color="auto"/>
              <w:right w:val="single" w:sz="4" w:space="0" w:color="FFFFFF"/>
            </w:tcBorders>
            <w:hideMark/>
          </w:tcPr>
          <w:p w14:paraId="3951B4CC" w14:textId="77777777" w:rsidR="00FA7EBF" w:rsidRDefault="00FA7EBF">
            <w:pPr>
              <w:pStyle w:val="ARtabletextbold"/>
              <w:spacing w:before="60" w:after="40"/>
            </w:pPr>
            <w:r>
              <w:t>Total income from transactions</w:t>
            </w:r>
          </w:p>
        </w:tc>
        <w:tc>
          <w:tcPr>
            <w:tcW w:w="1135" w:type="dxa"/>
            <w:tcBorders>
              <w:top w:val="single" w:sz="4" w:space="0" w:color="auto"/>
              <w:left w:val="single" w:sz="4" w:space="0" w:color="FFFFFF"/>
              <w:bottom w:val="single" w:sz="4" w:space="0" w:color="auto"/>
              <w:right w:val="single" w:sz="4" w:space="0" w:color="FFFFFF"/>
            </w:tcBorders>
            <w:shd w:val="clear" w:color="auto" w:fill="E7E6E6"/>
            <w:hideMark/>
          </w:tcPr>
          <w:p w14:paraId="0E91D832" w14:textId="77777777" w:rsidR="00FA7EBF" w:rsidRDefault="00FA7EBF">
            <w:pPr>
              <w:pStyle w:val="ARtabletextrightbold"/>
              <w:spacing w:before="60" w:after="40"/>
            </w:pPr>
            <w:r>
              <w:t>1,145.5</w:t>
            </w:r>
          </w:p>
        </w:tc>
        <w:tc>
          <w:tcPr>
            <w:tcW w:w="1135" w:type="dxa"/>
            <w:tcBorders>
              <w:top w:val="single" w:sz="4" w:space="0" w:color="auto"/>
              <w:left w:val="single" w:sz="4" w:space="0" w:color="FFFFFF"/>
              <w:bottom w:val="single" w:sz="4" w:space="0" w:color="auto"/>
              <w:right w:val="single" w:sz="4" w:space="0" w:color="FFFFFF"/>
            </w:tcBorders>
            <w:hideMark/>
          </w:tcPr>
          <w:p w14:paraId="0C1FA0BA" w14:textId="77777777" w:rsidR="00FA7EBF" w:rsidRDefault="00FA7EBF">
            <w:pPr>
              <w:pStyle w:val="ARtabletextrightbold"/>
              <w:spacing w:before="60" w:after="40"/>
            </w:pPr>
            <w:r>
              <w:t>1,107.1</w:t>
            </w:r>
          </w:p>
        </w:tc>
      </w:tr>
      <w:tr w:rsidR="00FA7EBF" w14:paraId="490663AD" w14:textId="77777777" w:rsidTr="003075FD">
        <w:trPr>
          <w:cantSplit/>
        </w:trPr>
        <w:tc>
          <w:tcPr>
            <w:tcW w:w="9639" w:type="dxa"/>
            <w:gridSpan w:val="3"/>
            <w:tcBorders>
              <w:top w:val="single" w:sz="4" w:space="0" w:color="auto"/>
              <w:left w:val="single" w:sz="4" w:space="0" w:color="FFFFFF"/>
              <w:bottom w:val="single" w:sz="4" w:space="0" w:color="A6A6A6"/>
              <w:right w:val="single" w:sz="4" w:space="0" w:color="FFFFFF"/>
            </w:tcBorders>
            <w:hideMark/>
          </w:tcPr>
          <w:p w14:paraId="3D8F99A7" w14:textId="77777777" w:rsidR="00FA7EBF" w:rsidRDefault="00FA7EBF">
            <w:pPr>
              <w:pStyle w:val="ARtabletextbold"/>
              <w:spacing w:before="60" w:after="40"/>
            </w:pPr>
            <w:r>
              <w:t>Expenses from transactions</w:t>
            </w:r>
          </w:p>
        </w:tc>
      </w:tr>
      <w:tr w:rsidR="00FA7EBF" w14:paraId="4F995202" w14:textId="77777777" w:rsidTr="003075FD">
        <w:trPr>
          <w:cantSplit/>
        </w:trPr>
        <w:tc>
          <w:tcPr>
            <w:tcW w:w="7369" w:type="dxa"/>
            <w:tcBorders>
              <w:top w:val="single" w:sz="4" w:space="0" w:color="A6A6A6"/>
              <w:left w:val="single" w:sz="4" w:space="0" w:color="FFFFFF"/>
              <w:bottom w:val="single" w:sz="4" w:space="0" w:color="A6A6A6"/>
              <w:right w:val="single" w:sz="4" w:space="0" w:color="FFFFFF"/>
            </w:tcBorders>
            <w:hideMark/>
          </w:tcPr>
          <w:p w14:paraId="152AACAE" w14:textId="77777777" w:rsidR="00FA7EBF" w:rsidRDefault="00FA7EBF">
            <w:pPr>
              <w:pStyle w:val="ARtabletext"/>
              <w:spacing w:before="60" w:after="40"/>
            </w:pPr>
            <w:r>
              <w:t>Employee expenses</w:t>
            </w:r>
          </w:p>
        </w:tc>
        <w:tc>
          <w:tcPr>
            <w:tcW w:w="1135" w:type="dxa"/>
            <w:tcBorders>
              <w:top w:val="single" w:sz="4" w:space="0" w:color="A6A6A6"/>
              <w:left w:val="single" w:sz="4" w:space="0" w:color="FFFFFF"/>
              <w:bottom w:val="single" w:sz="4" w:space="0" w:color="A6A6A6"/>
              <w:right w:val="single" w:sz="4" w:space="0" w:color="FFFFFF"/>
            </w:tcBorders>
            <w:shd w:val="clear" w:color="auto" w:fill="E7E6E6"/>
            <w:hideMark/>
          </w:tcPr>
          <w:p w14:paraId="212F57F8" w14:textId="77777777" w:rsidR="00FA7EBF" w:rsidRDefault="00FA7EBF">
            <w:pPr>
              <w:pStyle w:val="ARtabletextright"/>
              <w:spacing w:before="60" w:after="40"/>
            </w:pPr>
            <w:r>
              <w:t>114.6</w:t>
            </w:r>
          </w:p>
        </w:tc>
        <w:tc>
          <w:tcPr>
            <w:tcW w:w="1135" w:type="dxa"/>
            <w:tcBorders>
              <w:top w:val="single" w:sz="4" w:space="0" w:color="A6A6A6"/>
              <w:left w:val="single" w:sz="4" w:space="0" w:color="FFFFFF"/>
              <w:bottom w:val="single" w:sz="4" w:space="0" w:color="A6A6A6"/>
              <w:right w:val="single" w:sz="4" w:space="0" w:color="FFFFFF"/>
            </w:tcBorders>
            <w:hideMark/>
          </w:tcPr>
          <w:p w14:paraId="304E86E2" w14:textId="77777777" w:rsidR="00FA7EBF" w:rsidRDefault="00FA7EBF">
            <w:pPr>
              <w:pStyle w:val="ARtabletextright"/>
              <w:spacing w:before="60" w:after="40"/>
            </w:pPr>
            <w:r>
              <w:t>110.6</w:t>
            </w:r>
          </w:p>
        </w:tc>
      </w:tr>
      <w:tr w:rsidR="00FA7EBF" w14:paraId="4014B74D" w14:textId="77777777" w:rsidTr="003075FD">
        <w:trPr>
          <w:cantSplit/>
        </w:trPr>
        <w:tc>
          <w:tcPr>
            <w:tcW w:w="7369" w:type="dxa"/>
            <w:tcBorders>
              <w:top w:val="single" w:sz="4" w:space="0" w:color="A6A6A6"/>
              <w:left w:val="single" w:sz="4" w:space="0" w:color="FFFFFF"/>
              <w:bottom w:val="single" w:sz="4" w:space="0" w:color="A6A6A6"/>
              <w:right w:val="single" w:sz="4" w:space="0" w:color="FFFFFF"/>
            </w:tcBorders>
            <w:hideMark/>
          </w:tcPr>
          <w:p w14:paraId="47EC02A0" w14:textId="77777777" w:rsidR="00FA7EBF" w:rsidRDefault="00FA7EBF">
            <w:pPr>
              <w:pStyle w:val="ARtabletext"/>
              <w:spacing w:before="60" w:after="40"/>
            </w:pPr>
            <w:r>
              <w:t>Depreciation and amortisation</w:t>
            </w:r>
          </w:p>
        </w:tc>
        <w:tc>
          <w:tcPr>
            <w:tcW w:w="1135" w:type="dxa"/>
            <w:tcBorders>
              <w:top w:val="single" w:sz="4" w:space="0" w:color="A6A6A6"/>
              <w:left w:val="single" w:sz="4" w:space="0" w:color="FFFFFF"/>
              <w:bottom w:val="single" w:sz="4" w:space="0" w:color="A6A6A6"/>
              <w:right w:val="single" w:sz="4" w:space="0" w:color="FFFFFF"/>
            </w:tcBorders>
            <w:shd w:val="clear" w:color="auto" w:fill="E7E6E6"/>
            <w:hideMark/>
          </w:tcPr>
          <w:p w14:paraId="442D7D2E" w14:textId="77777777" w:rsidR="00FA7EBF" w:rsidRDefault="00FA7EBF">
            <w:pPr>
              <w:pStyle w:val="ARtabletextright"/>
              <w:spacing w:before="60" w:after="40"/>
            </w:pPr>
            <w:r>
              <w:t>280.6</w:t>
            </w:r>
          </w:p>
        </w:tc>
        <w:tc>
          <w:tcPr>
            <w:tcW w:w="1135" w:type="dxa"/>
            <w:tcBorders>
              <w:top w:val="single" w:sz="4" w:space="0" w:color="A6A6A6"/>
              <w:left w:val="single" w:sz="4" w:space="0" w:color="FFFFFF"/>
              <w:bottom w:val="single" w:sz="4" w:space="0" w:color="A6A6A6"/>
              <w:right w:val="single" w:sz="4" w:space="0" w:color="FFFFFF"/>
            </w:tcBorders>
            <w:hideMark/>
          </w:tcPr>
          <w:p w14:paraId="20282B60" w14:textId="77777777" w:rsidR="00FA7EBF" w:rsidRDefault="00FA7EBF">
            <w:pPr>
              <w:pStyle w:val="ARtabletextright"/>
              <w:spacing w:before="60" w:after="40"/>
            </w:pPr>
            <w:r>
              <w:t>208.8</w:t>
            </w:r>
          </w:p>
        </w:tc>
      </w:tr>
      <w:tr w:rsidR="00FA7EBF" w14:paraId="3ACC52A4" w14:textId="77777777" w:rsidTr="003075FD">
        <w:trPr>
          <w:cantSplit/>
        </w:trPr>
        <w:tc>
          <w:tcPr>
            <w:tcW w:w="7369" w:type="dxa"/>
            <w:tcBorders>
              <w:top w:val="single" w:sz="4" w:space="0" w:color="A6A6A6"/>
              <w:left w:val="single" w:sz="4" w:space="0" w:color="FFFFFF"/>
              <w:bottom w:val="single" w:sz="4" w:space="0" w:color="A6A6A6"/>
              <w:right w:val="single" w:sz="4" w:space="0" w:color="FFFFFF"/>
            </w:tcBorders>
            <w:hideMark/>
          </w:tcPr>
          <w:p w14:paraId="75C8CC00" w14:textId="77777777" w:rsidR="00FA7EBF" w:rsidRDefault="00FA7EBF">
            <w:pPr>
              <w:pStyle w:val="ARtabletext"/>
              <w:spacing w:before="60" w:after="40"/>
            </w:pPr>
            <w:r>
              <w:t>Maintenance</w:t>
            </w:r>
          </w:p>
        </w:tc>
        <w:tc>
          <w:tcPr>
            <w:tcW w:w="1135" w:type="dxa"/>
            <w:tcBorders>
              <w:top w:val="single" w:sz="4" w:space="0" w:color="A6A6A6"/>
              <w:left w:val="single" w:sz="4" w:space="0" w:color="FFFFFF"/>
              <w:bottom w:val="single" w:sz="4" w:space="0" w:color="A6A6A6"/>
              <w:right w:val="single" w:sz="4" w:space="0" w:color="FFFFFF"/>
            </w:tcBorders>
            <w:shd w:val="clear" w:color="auto" w:fill="E7E6E6"/>
            <w:hideMark/>
          </w:tcPr>
          <w:p w14:paraId="334723B2" w14:textId="77777777" w:rsidR="00FA7EBF" w:rsidRDefault="00FA7EBF">
            <w:pPr>
              <w:pStyle w:val="ARtabletextright"/>
              <w:spacing w:before="60" w:after="40"/>
            </w:pPr>
            <w:r>
              <w:t>212.7</w:t>
            </w:r>
          </w:p>
        </w:tc>
        <w:tc>
          <w:tcPr>
            <w:tcW w:w="1135" w:type="dxa"/>
            <w:tcBorders>
              <w:top w:val="single" w:sz="4" w:space="0" w:color="A6A6A6"/>
              <w:left w:val="single" w:sz="4" w:space="0" w:color="FFFFFF"/>
              <w:bottom w:val="single" w:sz="4" w:space="0" w:color="A6A6A6"/>
              <w:right w:val="single" w:sz="4" w:space="0" w:color="FFFFFF"/>
            </w:tcBorders>
            <w:hideMark/>
          </w:tcPr>
          <w:p w14:paraId="4B313BB4" w14:textId="77777777" w:rsidR="00FA7EBF" w:rsidRDefault="00FA7EBF">
            <w:pPr>
              <w:pStyle w:val="ARtabletextright"/>
              <w:spacing w:before="60" w:after="40"/>
            </w:pPr>
            <w:r>
              <w:t>166.1</w:t>
            </w:r>
          </w:p>
        </w:tc>
      </w:tr>
      <w:tr w:rsidR="00FA7EBF" w14:paraId="68345BAC" w14:textId="77777777" w:rsidTr="003075FD">
        <w:trPr>
          <w:cantSplit/>
        </w:trPr>
        <w:tc>
          <w:tcPr>
            <w:tcW w:w="7369" w:type="dxa"/>
            <w:tcBorders>
              <w:top w:val="single" w:sz="4" w:space="0" w:color="A6A6A6"/>
              <w:left w:val="single" w:sz="4" w:space="0" w:color="FFFFFF"/>
              <w:bottom w:val="single" w:sz="4" w:space="0" w:color="A6A6A6"/>
              <w:right w:val="single" w:sz="4" w:space="0" w:color="FFFFFF"/>
            </w:tcBorders>
            <w:hideMark/>
          </w:tcPr>
          <w:p w14:paraId="4B8B26C8" w14:textId="77777777" w:rsidR="00FA7EBF" w:rsidRDefault="00FA7EBF">
            <w:pPr>
              <w:pStyle w:val="ARtabletext"/>
              <w:spacing w:before="60" w:after="40"/>
            </w:pPr>
            <w:r>
              <w:t>Grants and other expense transfers</w:t>
            </w:r>
          </w:p>
        </w:tc>
        <w:tc>
          <w:tcPr>
            <w:tcW w:w="1135" w:type="dxa"/>
            <w:tcBorders>
              <w:top w:val="single" w:sz="4" w:space="0" w:color="A6A6A6"/>
              <w:left w:val="single" w:sz="4" w:space="0" w:color="FFFFFF"/>
              <w:bottom w:val="single" w:sz="4" w:space="0" w:color="A6A6A6"/>
              <w:right w:val="single" w:sz="4" w:space="0" w:color="FFFFFF"/>
            </w:tcBorders>
            <w:shd w:val="clear" w:color="auto" w:fill="E7E6E6"/>
            <w:hideMark/>
          </w:tcPr>
          <w:p w14:paraId="345BB241" w14:textId="77777777" w:rsidR="00FA7EBF" w:rsidRDefault="00FA7EBF">
            <w:pPr>
              <w:pStyle w:val="ARtabletextright"/>
              <w:spacing w:before="60" w:after="40"/>
            </w:pPr>
            <w:r>
              <w:t>426.3</w:t>
            </w:r>
          </w:p>
        </w:tc>
        <w:tc>
          <w:tcPr>
            <w:tcW w:w="1135" w:type="dxa"/>
            <w:tcBorders>
              <w:top w:val="single" w:sz="4" w:space="0" w:color="A6A6A6"/>
              <w:left w:val="single" w:sz="4" w:space="0" w:color="FFFFFF"/>
              <w:bottom w:val="single" w:sz="4" w:space="0" w:color="A6A6A6"/>
              <w:right w:val="single" w:sz="4" w:space="0" w:color="FFFFFF"/>
            </w:tcBorders>
            <w:hideMark/>
          </w:tcPr>
          <w:p w14:paraId="3CD23B29" w14:textId="77777777" w:rsidR="00FA7EBF" w:rsidRDefault="00FA7EBF">
            <w:pPr>
              <w:pStyle w:val="ARtabletextright"/>
              <w:spacing w:before="60" w:after="40"/>
            </w:pPr>
            <w:r>
              <w:t>399.9</w:t>
            </w:r>
          </w:p>
        </w:tc>
      </w:tr>
      <w:tr w:rsidR="00FA7EBF" w14:paraId="435DC941" w14:textId="77777777" w:rsidTr="003075FD">
        <w:trPr>
          <w:cantSplit/>
        </w:trPr>
        <w:tc>
          <w:tcPr>
            <w:tcW w:w="7369" w:type="dxa"/>
            <w:tcBorders>
              <w:top w:val="single" w:sz="4" w:space="0" w:color="A6A6A6"/>
              <w:left w:val="single" w:sz="4" w:space="0" w:color="FFFFFF"/>
              <w:bottom w:val="single" w:sz="4" w:space="0" w:color="A6A6A6"/>
              <w:right w:val="single" w:sz="4" w:space="0" w:color="FFFFFF"/>
            </w:tcBorders>
            <w:hideMark/>
          </w:tcPr>
          <w:p w14:paraId="3BADD623" w14:textId="77777777" w:rsidR="00FA7EBF" w:rsidRDefault="00FA7EBF">
            <w:pPr>
              <w:pStyle w:val="ARtabletext"/>
              <w:spacing w:before="60" w:after="40"/>
            </w:pPr>
            <w:r>
              <w:t>Fair value of assets and services provided free of charge or for nominal consideration</w:t>
            </w:r>
          </w:p>
        </w:tc>
        <w:tc>
          <w:tcPr>
            <w:tcW w:w="1135" w:type="dxa"/>
            <w:tcBorders>
              <w:top w:val="single" w:sz="4" w:space="0" w:color="A6A6A6"/>
              <w:left w:val="single" w:sz="4" w:space="0" w:color="FFFFFF"/>
              <w:bottom w:val="single" w:sz="4" w:space="0" w:color="A6A6A6"/>
              <w:right w:val="single" w:sz="4" w:space="0" w:color="FFFFFF"/>
            </w:tcBorders>
            <w:shd w:val="clear" w:color="auto" w:fill="E7E6E6"/>
            <w:hideMark/>
          </w:tcPr>
          <w:p w14:paraId="16FCD1D6" w14:textId="77777777" w:rsidR="00FA7EBF" w:rsidRDefault="00FA7EBF">
            <w:pPr>
              <w:pStyle w:val="ARtabletextright"/>
              <w:spacing w:before="60" w:after="40"/>
            </w:pPr>
            <w:r>
              <w:t>116.2</w:t>
            </w:r>
          </w:p>
        </w:tc>
        <w:tc>
          <w:tcPr>
            <w:tcW w:w="1135" w:type="dxa"/>
            <w:tcBorders>
              <w:top w:val="single" w:sz="4" w:space="0" w:color="A6A6A6"/>
              <w:left w:val="single" w:sz="4" w:space="0" w:color="FFFFFF"/>
              <w:bottom w:val="single" w:sz="4" w:space="0" w:color="A6A6A6"/>
              <w:right w:val="single" w:sz="4" w:space="0" w:color="FFFFFF"/>
            </w:tcBorders>
            <w:hideMark/>
          </w:tcPr>
          <w:p w14:paraId="7C0ABF67" w14:textId="77777777" w:rsidR="00FA7EBF" w:rsidRDefault="00FA7EBF">
            <w:pPr>
              <w:pStyle w:val="ARtabletextright"/>
              <w:spacing w:before="60" w:after="40"/>
            </w:pPr>
            <w:r>
              <w:t>92.4</w:t>
            </w:r>
          </w:p>
        </w:tc>
      </w:tr>
      <w:tr w:rsidR="00FA7EBF" w14:paraId="35207288" w14:textId="77777777" w:rsidTr="003075FD">
        <w:trPr>
          <w:cantSplit/>
        </w:trPr>
        <w:tc>
          <w:tcPr>
            <w:tcW w:w="7369" w:type="dxa"/>
            <w:tcBorders>
              <w:top w:val="single" w:sz="4" w:space="0" w:color="A6A6A6"/>
              <w:left w:val="single" w:sz="4" w:space="0" w:color="FFFFFF"/>
              <w:bottom w:val="single" w:sz="4" w:space="0" w:color="A6A6A6"/>
              <w:right w:val="single" w:sz="4" w:space="0" w:color="FFFFFF"/>
            </w:tcBorders>
            <w:hideMark/>
          </w:tcPr>
          <w:p w14:paraId="7FFE9FBF" w14:textId="77777777" w:rsidR="00FA7EBF" w:rsidRDefault="00FA7EBF">
            <w:pPr>
              <w:pStyle w:val="ARtabletext"/>
              <w:spacing w:before="60" w:after="40"/>
            </w:pPr>
            <w:r>
              <w:t>Other operating expenses</w:t>
            </w:r>
          </w:p>
        </w:tc>
        <w:tc>
          <w:tcPr>
            <w:tcW w:w="1135" w:type="dxa"/>
            <w:tcBorders>
              <w:top w:val="single" w:sz="4" w:space="0" w:color="A6A6A6"/>
              <w:left w:val="single" w:sz="4" w:space="0" w:color="FFFFFF"/>
              <w:bottom w:val="single" w:sz="4" w:space="0" w:color="A6A6A6"/>
              <w:right w:val="single" w:sz="4" w:space="0" w:color="FFFFFF"/>
            </w:tcBorders>
            <w:shd w:val="clear" w:color="auto" w:fill="E7E6E6"/>
            <w:hideMark/>
          </w:tcPr>
          <w:p w14:paraId="66435A1F" w14:textId="77777777" w:rsidR="00FA7EBF" w:rsidRDefault="00FA7EBF">
            <w:pPr>
              <w:pStyle w:val="ARtabletextright"/>
              <w:spacing w:before="60" w:after="40"/>
            </w:pPr>
            <w:r>
              <w:t>45.8</w:t>
            </w:r>
          </w:p>
        </w:tc>
        <w:tc>
          <w:tcPr>
            <w:tcW w:w="1135" w:type="dxa"/>
            <w:tcBorders>
              <w:top w:val="single" w:sz="4" w:space="0" w:color="A6A6A6"/>
              <w:left w:val="single" w:sz="4" w:space="0" w:color="FFFFFF"/>
              <w:bottom w:val="single" w:sz="4" w:space="0" w:color="A6A6A6"/>
              <w:right w:val="single" w:sz="4" w:space="0" w:color="FFFFFF"/>
            </w:tcBorders>
            <w:hideMark/>
          </w:tcPr>
          <w:p w14:paraId="40E53B4B" w14:textId="77777777" w:rsidR="00FA7EBF" w:rsidRDefault="00FA7EBF">
            <w:pPr>
              <w:pStyle w:val="ARtabletextright"/>
              <w:spacing w:before="60" w:after="40"/>
            </w:pPr>
            <w:r>
              <w:t>42.9</w:t>
            </w:r>
          </w:p>
        </w:tc>
      </w:tr>
      <w:tr w:rsidR="00FA7EBF" w14:paraId="31990D5A" w14:textId="77777777" w:rsidTr="003075FD">
        <w:trPr>
          <w:cantSplit/>
        </w:trPr>
        <w:tc>
          <w:tcPr>
            <w:tcW w:w="7369" w:type="dxa"/>
            <w:tcBorders>
              <w:top w:val="single" w:sz="4" w:space="0" w:color="A6A6A6"/>
              <w:left w:val="single" w:sz="4" w:space="0" w:color="FFFFFF"/>
              <w:bottom w:val="single" w:sz="4" w:space="0" w:color="auto"/>
              <w:right w:val="single" w:sz="4" w:space="0" w:color="FFFFFF"/>
            </w:tcBorders>
            <w:hideMark/>
          </w:tcPr>
          <w:p w14:paraId="38D68D6B" w14:textId="77777777" w:rsidR="00FA7EBF" w:rsidRDefault="00FA7EBF">
            <w:pPr>
              <w:pStyle w:val="ARtabletext"/>
              <w:spacing w:before="60" w:after="40"/>
            </w:pPr>
            <w:r>
              <w:t>Other property management expenses</w:t>
            </w:r>
          </w:p>
        </w:tc>
        <w:tc>
          <w:tcPr>
            <w:tcW w:w="1135" w:type="dxa"/>
            <w:tcBorders>
              <w:top w:val="single" w:sz="4" w:space="0" w:color="A6A6A6"/>
              <w:left w:val="single" w:sz="4" w:space="0" w:color="FFFFFF"/>
              <w:bottom w:val="single" w:sz="4" w:space="0" w:color="auto"/>
              <w:right w:val="single" w:sz="4" w:space="0" w:color="FFFFFF"/>
            </w:tcBorders>
            <w:shd w:val="clear" w:color="auto" w:fill="E7E6E6"/>
            <w:hideMark/>
          </w:tcPr>
          <w:p w14:paraId="19FC1CB0" w14:textId="77777777" w:rsidR="00FA7EBF" w:rsidRDefault="00FA7EBF">
            <w:pPr>
              <w:pStyle w:val="ARtabletextright"/>
              <w:spacing w:before="60" w:after="40"/>
            </w:pPr>
            <w:r>
              <w:t>208.9</w:t>
            </w:r>
          </w:p>
        </w:tc>
        <w:tc>
          <w:tcPr>
            <w:tcW w:w="1135" w:type="dxa"/>
            <w:tcBorders>
              <w:top w:val="single" w:sz="4" w:space="0" w:color="A6A6A6"/>
              <w:left w:val="single" w:sz="4" w:space="0" w:color="FFFFFF"/>
              <w:bottom w:val="single" w:sz="4" w:space="0" w:color="auto"/>
              <w:right w:val="single" w:sz="4" w:space="0" w:color="FFFFFF"/>
            </w:tcBorders>
            <w:hideMark/>
          </w:tcPr>
          <w:p w14:paraId="77E5451B" w14:textId="77777777" w:rsidR="00FA7EBF" w:rsidRDefault="00FA7EBF">
            <w:pPr>
              <w:pStyle w:val="ARtabletextright"/>
              <w:spacing w:before="60" w:after="40"/>
            </w:pPr>
            <w:r>
              <w:t>193.2</w:t>
            </w:r>
          </w:p>
        </w:tc>
      </w:tr>
      <w:tr w:rsidR="00FA7EBF" w14:paraId="4029FF82" w14:textId="77777777" w:rsidTr="003075FD">
        <w:trPr>
          <w:cantSplit/>
        </w:trPr>
        <w:tc>
          <w:tcPr>
            <w:tcW w:w="7369" w:type="dxa"/>
            <w:tcBorders>
              <w:top w:val="single" w:sz="4" w:space="0" w:color="auto"/>
              <w:left w:val="single" w:sz="4" w:space="0" w:color="FFFFFF"/>
              <w:bottom w:val="single" w:sz="4" w:space="0" w:color="auto"/>
              <w:right w:val="single" w:sz="4" w:space="0" w:color="FFFFFF"/>
            </w:tcBorders>
            <w:hideMark/>
          </w:tcPr>
          <w:p w14:paraId="57A208F1" w14:textId="77777777" w:rsidR="00FA7EBF" w:rsidRDefault="00FA7EBF">
            <w:pPr>
              <w:pStyle w:val="ARtabletextbold"/>
              <w:spacing w:before="60" w:after="40"/>
            </w:pPr>
            <w:r>
              <w:t>Total expenses from transactions</w:t>
            </w:r>
          </w:p>
        </w:tc>
        <w:tc>
          <w:tcPr>
            <w:tcW w:w="1135" w:type="dxa"/>
            <w:tcBorders>
              <w:top w:val="single" w:sz="4" w:space="0" w:color="auto"/>
              <w:left w:val="single" w:sz="4" w:space="0" w:color="FFFFFF"/>
              <w:bottom w:val="single" w:sz="4" w:space="0" w:color="auto"/>
              <w:right w:val="single" w:sz="4" w:space="0" w:color="FFFFFF"/>
            </w:tcBorders>
            <w:shd w:val="clear" w:color="auto" w:fill="E7E6E6"/>
            <w:hideMark/>
          </w:tcPr>
          <w:p w14:paraId="7E3DD7D2" w14:textId="77777777" w:rsidR="00FA7EBF" w:rsidRDefault="00FA7EBF">
            <w:pPr>
              <w:pStyle w:val="ARtabletextrightbold"/>
              <w:spacing w:before="60" w:after="40"/>
            </w:pPr>
            <w:r>
              <w:t>1,405.0</w:t>
            </w:r>
          </w:p>
        </w:tc>
        <w:tc>
          <w:tcPr>
            <w:tcW w:w="1135" w:type="dxa"/>
            <w:tcBorders>
              <w:top w:val="single" w:sz="4" w:space="0" w:color="auto"/>
              <w:left w:val="single" w:sz="4" w:space="0" w:color="FFFFFF"/>
              <w:bottom w:val="single" w:sz="4" w:space="0" w:color="auto"/>
              <w:right w:val="single" w:sz="4" w:space="0" w:color="FFFFFF"/>
            </w:tcBorders>
            <w:hideMark/>
          </w:tcPr>
          <w:p w14:paraId="258D7E10" w14:textId="77777777" w:rsidR="00FA7EBF" w:rsidRDefault="00FA7EBF">
            <w:pPr>
              <w:pStyle w:val="ARtabletextrightbold"/>
              <w:spacing w:before="60" w:after="40"/>
            </w:pPr>
            <w:r>
              <w:t>1,213.9</w:t>
            </w:r>
          </w:p>
        </w:tc>
      </w:tr>
      <w:tr w:rsidR="00FA7EBF" w14:paraId="7BC420C7" w14:textId="77777777" w:rsidTr="003075FD">
        <w:trPr>
          <w:cantSplit/>
        </w:trPr>
        <w:tc>
          <w:tcPr>
            <w:tcW w:w="7369" w:type="dxa"/>
            <w:tcBorders>
              <w:top w:val="single" w:sz="4" w:space="0" w:color="auto"/>
              <w:left w:val="single" w:sz="4" w:space="0" w:color="FFFFFF"/>
              <w:bottom w:val="single" w:sz="4" w:space="0" w:color="auto"/>
              <w:right w:val="single" w:sz="4" w:space="0" w:color="FFFFFF"/>
            </w:tcBorders>
            <w:hideMark/>
          </w:tcPr>
          <w:p w14:paraId="263BF3F2" w14:textId="77777777" w:rsidR="00FA7EBF" w:rsidRDefault="00FA7EBF">
            <w:pPr>
              <w:pStyle w:val="ARtabletextbold"/>
              <w:spacing w:before="60" w:after="40"/>
            </w:pPr>
            <w:r>
              <w:t xml:space="preserve">Net result from transactions (net operating balance) </w:t>
            </w:r>
            <w:r>
              <w:rPr>
                <w:rStyle w:val="Superscript"/>
              </w:rPr>
              <w:t>(i)</w:t>
            </w:r>
          </w:p>
        </w:tc>
        <w:tc>
          <w:tcPr>
            <w:tcW w:w="1135" w:type="dxa"/>
            <w:tcBorders>
              <w:top w:val="single" w:sz="4" w:space="0" w:color="auto"/>
              <w:left w:val="single" w:sz="4" w:space="0" w:color="FFFFFF"/>
              <w:bottom w:val="single" w:sz="4" w:space="0" w:color="auto"/>
              <w:right w:val="single" w:sz="4" w:space="0" w:color="FFFFFF"/>
            </w:tcBorders>
            <w:shd w:val="clear" w:color="auto" w:fill="E7E6E6"/>
            <w:hideMark/>
          </w:tcPr>
          <w:p w14:paraId="650A5CF5" w14:textId="77777777" w:rsidR="00FA7EBF" w:rsidRDefault="00FA7EBF">
            <w:pPr>
              <w:pStyle w:val="ARtabletextrightbold"/>
              <w:spacing w:before="60" w:after="40"/>
            </w:pPr>
            <w:r>
              <w:t>(259.5)</w:t>
            </w:r>
          </w:p>
        </w:tc>
        <w:tc>
          <w:tcPr>
            <w:tcW w:w="1135" w:type="dxa"/>
            <w:tcBorders>
              <w:top w:val="single" w:sz="4" w:space="0" w:color="auto"/>
              <w:left w:val="single" w:sz="4" w:space="0" w:color="FFFFFF"/>
              <w:bottom w:val="single" w:sz="4" w:space="0" w:color="auto"/>
              <w:right w:val="single" w:sz="4" w:space="0" w:color="FFFFFF"/>
            </w:tcBorders>
            <w:hideMark/>
          </w:tcPr>
          <w:p w14:paraId="599D1F3C" w14:textId="77777777" w:rsidR="00FA7EBF" w:rsidRDefault="00FA7EBF">
            <w:pPr>
              <w:pStyle w:val="ARtabletextrightbold"/>
              <w:spacing w:before="60" w:after="40"/>
            </w:pPr>
            <w:r>
              <w:t>(106.8)</w:t>
            </w:r>
          </w:p>
        </w:tc>
      </w:tr>
      <w:tr w:rsidR="00FA7EBF" w14:paraId="2BA2B8E4" w14:textId="77777777" w:rsidTr="003075FD">
        <w:trPr>
          <w:cantSplit/>
        </w:trPr>
        <w:tc>
          <w:tcPr>
            <w:tcW w:w="9639" w:type="dxa"/>
            <w:gridSpan w:val="3"/>
            <w:tcBorders>
              <w:top w:val="single" w:sz="4" w:space="0" w:color="auto"/>
              <w:left w:val="single" w:sz="4" w:space="0" w:color="FFFFFF"/>
              <w:bottom w:val="single" w:sz="4" w:space="0" w:color="A6A6A6" w:themeColor="background1" w:themeShade="A6"/>
              <w:right w:val="single" w:sz="4" w:space="0" w:color="FFFFFF"/>
            </w:tcBorders>
            <w:hideMark/>
          </w:tcPr>
          <w:p w14:paraId="2E2A6649" w14:textId="77777777" w:rsidR="00FA7EBF" w:rsidRDefault="00FA7EBF">
            <w:pPr>
              <w:pStyle w:val="ARtabletextbold"/>
              <w:spacing w:before="60" w:after="40"/>
            </w:pPr>
            <w:r>
              <w:t>Other economic flows included in net result</w:t>
            </w:r>
          </w:p>
        </w:tc>
      </w:tr>
      <w:tr w:rsidR="00FA7EBF" w14:paraId="3EF29ED4" w14:textId="77777777" w:rsidTr="003075FD">
        <w:trPr>
          <w:cantSplit/>
        </w:trPr>
        <w:tc>
          <w:tcPr>
            <w:tcW w:w="7369" w:type="dxa"/>
            <w:tcBorders>
              <w:top w:val="single" w:sz="4" w:space="0" w:color="A6A6A6" w:themeColor="background1" w:themeShade="A6"/>
              <w:left w:val="single" w:sz="4" w:space="0" w:color="FFFFFF"/>
              <w:bottom w:val="single" w:sz="4" w:space="0" w:color="A6A6A6"/>
              <w:right w:val="single" w:sz="4" w:space="0" w:color="FFFFFF"/>
            </w:tcBorders>
            <w:hideMark/>
          </w:tcPr>
          <w:p w14:paraId="1C9BC96A" w14:textId="77777777" w:rsidR="00FA7EBF" w:rsidRDefault="00FA7EBF">
            <w:pPr>
              <w:pStyle w:val="ARtabletext"/>
              <w:spacing w:before="60" w:after="40"/>
            </w:pPr>
            <w:r>
              <w:t xml:space="preserve">Net gain/(loss) on non-financial assets </w:t>
            </w:r>
            <w:r>
              <w:rPr>
                <w:rStyle w:val="Superscript"/>
              </w:rPr>
              <w:t>(ii)</w:t>
            </w:r>
          </w:p>
        </w:tc>
        <w:tc>
          <w:tcPr>
            <w:tcW w:w="1135" w:type="dxa"/>
            <w:tcBorders>
              <w:top w:val="single" w:sz="4" w:space="0" w:color="A6A6A6" w:themeColor="background1" w:themeShade="A6"/>
              <w:left w:val="single" w:sz="4" w:space="0" w:color="FFFFFF"/>
              <w:bottom w:val="single" w:sz="4" w:space="0" w:color="A6A6A6"/>
              <w:right w:val="single" w:sz="4" w:space="0" w:color="FFFFFF"/>
            </w:tcBorders>
            <w:shd w:val="clear" w:color="auto" w:fill="E7E6E6"/>
            <w:hideMark/>
          </w:tcPr>
          <w:p w14:paraId="1F8A9F08" w14:textId="77777777" w:rsidR="00FA7EBF" w:rsidRDefault="00FA7EBF">
            <w:pPr>
              <w:pStyle w:val="ARtabletextright"/>
              <w:spacing w:before="60" w:after="40"/>
            </w:pPr>
            <w:r>
              <w:t>(8.6)</w:t>
            </w:r>
          </w:p>
        </w:tc>
        <w:tc>
          <w:tcPr>
            <w:tcW w:w="1135" w:type="dxa"/>
            <w:tcBorders>
              <w:top w:val="single" w:sz="4" w:space="0" w:color="A6A6A6" w:themeColor="background1" w:themeShade="A6"/>
              <w:left w:val="single" w:sz="4" w:space="0" w:color="FFFFFF"/>
              <w:bottom w:val="single" w:sz="4" w:space="0" w:color="A6A6A6"/>
              <w:right w:val="single" w:sz="4" w:space="0" w:color="FFFFFF"/>
            </w:tcBorders>
            <w:hideMark/>
          </w:tcPr>
          <w:p w14:paraId="2403C03D" w14:textId="77777777" w:rsidR="00FA7EBF" w:rsidRDefault="00FA7EBF">
            <w:pPr>
              <w:pStyle w:val="ARtabletextright"/>
              <w:spacing w:before="60" w:after="40"/>
            </w:pPr>
            <w:r>
              <w:t>12.5</w:t>
            </w:r>
          </w:p>
        </w:tc>
      </w:tr>
      <w:tr w:rsidR="00FA7EBF" w14:paraId="29985311" w14:textId="77777777" w:rsidTr="003075FD">
        <w:trPr>
          <w:cantSplit/>
        </w:trPr>
        <w:tc>
          <w:tcPr>
            <w:tcW w:w="7369" w:type="dxa"/>
            <w:tcBorders>
              <w:top w:val="single" w:sz="4" w:space="0" w:color="A6A6A6"/>
              <w:left w:val="single" w:sz="4" w:space="0" w:color="FFFFFF"/>
              <w:bottom w:val="single" w:sz="4" w:space="0" w:color="auto"/>
              <w:right w:val="single" w:sz="4" w:space="0" w:color="FFFFFF"/>
            </w:tcBorders>
            <w:hideMark/>
          </w:tcPr>
          <w:p w14:paraId="7CC40D78" w14:textId="77777777" w:rsidR="00FA7EBF" w:rsidRDefault="00FA7EBF">
            <w:pPr>
              <w:pStyle w:val="ARtabletext"/>
              <w:spacing w:before="60" w:after="40"/>
            </w:pPr>
            <w:r>
              <w:t>Other gains/(losses) from other economic flows</w:t>
            </w:r>
          </w:p>
        </w:tc>
        <w:tc>
          <w:tcPr>
            <w:tcW w:w="1135" w:type="dxa"/>
            <w:tcBorders>
              <w:top w:val="single" w:sz="4" w:space="0" w:color="A6A6A6"/>
              <w:left w:val="single" w:sz="4" w:space="0" w:color="FFFFFF"/>
              <w:bottom w:val="single" w:sz="4" w:space="0" w:color="auto"/>
              <w:right w:val="single" w:sz="4" w:space="0" w:color="FFFFFF"/>
            </w:tcBorders>
            <w:shd w:val="clear" w:color="auto" w:fill="E7E6E6"/>
            <w:hideMark/>
          </w:tcPr>
          <w:p w14:paraId="0845A85D" w14:textId="77777777" w:rsidR="00FA7EBF" w:rsidRDefault="00FA7EBF">
            <w:pPr>
              <w:pStyle w:val="ARtabletextright"/>
              <w:spacing w:before="60" w:after="40"/>
            </w:pPr>
            <w:r>
              <w:t>(5.6)</w:t>
            </w:r>
          </w:p>
        </w:tc>
        <w:tc>
          <w:tcPr>
            <w:tcW w:w="1135" w:type="dxa"/>
            <w:tcBorders>
              <w:top w:val="single" w:sz="4" w:space="0" w:color="A6A6A6"/>
              <w:left w:val="single" w:sz="4" w:space="0" w:color="FFFFFF"/>
              <w:bottom w:val="single" w:sz="4" w:space="0" w:color="auto"/>
              <w:right w:val="single" w:sz="4" w:space="0" w:color="FFFFFF"/>
            </w:tcBorders>
            <w:hideMark/>
          </w:tcPr>
          <w:p w14:paraId="73589D52" w14:textId="77777777" w:rsidR="00FA7EBF" w:rsidRDefault="00FA7EBF">
            <w:pPr>
              <w:pStyle w:val="ARtabletextright"/>
              <w:spacing w:before="60" w:after="40"/>
            </w:pPr>
            <w:r>
              <w:t>(7.1)</w:t>
            </w:r>
          </w:p>
        </w:tc>
      </w:tr>
      <w:tr w:rsidR="00FA7EBF" w14:paraId="14751970" w14:textId="77777777" w:rsidTr="003075FD">
        <w:trPr>
          <w:cantSplit/>
        </w:trPr>
        <w:tc>
          <w:tcPr>
            <w:tcW w:w="7369" w:type="dxa"/>
            <w:tcBorders>
              <w:top w:val="single" w:sz="4" w:space="0" w:color="auto"/>
              <w:left w:val="single" w:sz="4" w:space="0" w:color="FFFFFF"/>
              <w:bottom w:val="single" w:sz="4" w:space="0" w:color="auto"/>
              <w:right w:val="single" w:sz="4" w:space="0" w:color="FFFFFF"/>
            </w:tcBorders>
            <w:hideMark/>
          </w:tcPr>
          <w:p w14:paraId="53B78BD1" w14:textId="77777777" w:rsidR="00FA7EBF" w:rsidRDefault="00FA7EBF">
            <w:pPr>
              <w:pStyle w:val="ARtabletextbold"/>
              <w:spacing w:before="60" w:after="40"/>
            </w:pPr>
            <w:r>
              <w:t>Total other economic flows included in net result</w:t>
            </w:r>
          </w:p>
        </w:tc>
        <w:tc>
          <w:tcPr>
            <w:tcW w:w="1135" w:type="dxa"/>
            <w:tcBorders>
              <w:top w:val="single" w:sz="4" w:space="0" w:color="auto"/>
              <w:left w:val="single" w:sz="4" w:space="0" w:color="FFFFFF"/>
              <w:bottom w:val="single" w:sz="4" w:space="0" w:color="auto"/>
              <w:right w:val="single" w:sz="4" w:space="0" w:color="FFFFFF"/>
            </w:tcBorders>
            <w:shd w:val="clear" w:color="auto" w:fill="E7E6E6"/>
            <w:hideMark/>
          </w:tcPr>
          <w:p w14:paraId="437BA632" w14:textId="77777777" w:rsidR="00FA7EBF" w:rsidRDefault="00FA7EBF">
            <w:pPr>
              <w:pStyle w:val="ARtabletextrightbold"/>
              <w:spacing w:before="60" w:after="40"/>
            </w:pPr>
            <w:r>
              <w:t>(14.2)</w:t>
            </w:r>
          </w:p>
        </w:tc>
        <w:tc>
          <w:tcPr>
            <w:tcW w:w="1135" w:type="dxa"/>
            <w:tcBorders>
              <w:top w:val="single" w:sz="4" w:space="0" w:color="auto"/>
              <w:left w:val="single" w:sz="4" w:space="0" w:color="FFFFFF"/>
              <w:bottom w:val="single" w:sz="4" w:space="0" w:color="auto"/>
              <w:right w:val="single" w:sz="4" w:space="0" w:color="FFFFFF"/>
            </w:tcBorders>
            <w:hideMark/>
          </w:tcPr>
          <w:p w14:paraId="79A39AC3" w14:textId="77777777" w:rsidR="00FA7EBF" w:rsidRDefault="00FA7EBF">
            <w:pPr>
              <w:pStyle w:val="ARtabletextrightbold"/>
              <w:spacing w:before="60" w:after="40"/>
            </w:pPr>
            <w:r>
              <w:t>5.4</w:t>
            </w:r>
          </w:p>
        </w:tc>
      </w:tr>
      <w:tr w:rsidR="00FA7EBF" w14:paraId="518DEBB5" w14:textId="77777777" w:rsidTr="003075FD">
        <w:trPr>
          <w:cantSplit/>
        </w:trPr>
        <w:tc>
          <w:tcPr>
            <w:tcW w:w="7369" w:type="dxa"/>
            <w:tcBorders>
              <w:top w:val="single" w:sz="4" w:space="0" w:color="auto"/>
              <w:left w:val="single" w:sz="4" w:space="0" w:color="FFFFFF"/>
              <w:bottom w:val="single" w:sz="4" w:space="0" w:color="auto"/>
              <w:right w:val="single" w:sz="4" w:space="0" w:color="FFFFFF"/>
            </w:tcBorders>
            <w:hideMark/>
          </w:tcPr>
          <w:p w14:paraId="6B5D950F" w14:textId="77777777" w:rsidR="00FA7EBF" w:rsidRDefault="00FA7EBF">
            <w:pPr>
              <w:pStyle w:val="ARtabletextbold"/>
              <w:spacing w:before="60" w:after="40"/>
            </w:pPr>
            <w:r>
              <w:t>Net result</w:t>
            </w:r>
          </w:p>
        </w:tc>
        <w:tc>
          <w:tcPr>
            <w:tcW w:w="1135" w:type="dxa"/>
            <w:tcBorders>
              <w:top w:val="single" w:sz="4" w:space="0" w:color="auto"/>
              <w:left w:val="single" w:sz="4" w:space="0" w:color="FFFFFF"/>
              <w:bottom w:val="single" w:sz="4" w:space="0" w:color="auto"/>
              <w:right w:val="single" w:sz="4" w:space="0" w:color="FFFFFF"/>
            </w:tcBorders>
            <w:shd w:val="clear" w:color="auto" w:fill="E7E6E6"/>
            <w:hideMark/>
          </w:tcPr>
          <w:p w14:paraId="002C4335" w14:textId="77777777" w:rsidR="00FA7EBF" w:rsidRDefault="00FA7EBF">
            <w:pPr>
              <w:pStyle w:val="ARtabletextrightbold"/>
              <w:spacing w:before="60" w:after="40"/>
            </w:pPr>
            <w:r>
              <w:t>(273.7)</w:t>
            </w:r>
          </w:p>
        </w:tc>
        <w:tc>
          <w:tcPr>
            <w:tcW w:w="1135" w:type="dxa"/>
            <w:tcBorders>
              <w:top w:val="single" w:sz="4" w:space="0" w:color="auto"/>
              <w:left w:val="single" w:sz="4" w:space="0" w:color="FFFFFF"/>
              <w:bottom w:val="single" w:sz="4" w:space="0" w:color="auto"/>
              <w:right w:val="single" w:sz="4" w:space="0" w:color="FFFFFF"/>
            </w:tcBorders>
            <w:hideMark/>
          </w:tcPr>
          <w:p w14:paraId="3D1B0B51" w14:textId="77777777" w:rsidR="00FA7EBF" w:rsidRDefault="00FA7EBF">
            <w:pPr>
              <w:pStyle w:val="ARtabletextrightbold"/>
              <w:spacing w:before="60" w:after="40"/>
            </w:pPr>
            <w:r>
              <w:t>(101.4)</w:t>
            </w:r>
          </w:p>
        </w:tc>
      </w:tr>
      <w:tr w:rsidR="00FA7EBF" w14:paraId="0BA84F9A" w14:textId="77777777" w:rsidTr="003075FD">
        <w:trPr>
          <w:cantSplit/>
        </w:trPr>
        <w:tc>
          <w:tcPr>
            <w:tcW w:w="9639" w:type="dxa"/>
            <w:gridSpan w:val="3"/>
            <w:tcBorders>
              <w:top w:val="single" w:sz="4" w:space="0" w:color="auto"/>
              <w:left w:val="single" w:sz="4" w:space="0" w:color="FFFFFF"/>
              <w:bottom w:val="single" w:sz="4" w:space="0" w:color="A6A6A6"/>
              <w:right w:val="single" w:sz="4" w:space="0" w:color="FFFFFF"/>
            </w:tcBorders>
            <w:hideMark/>
          </w:tcPr>
          <w:p w14:paraId="4C985957" w14:textId="77777777" w:rsidR="00FA7EBF" w:rsidRDefault="00FA7EBF">
            <w:pPr>
              <w:pStyle w:val="ARtabletextbold"/>
              <w:spacing w:before="60" w:after="40"/>
            </w:pPr>
            <w:r>
              <w:t>Other economic flows – other comprehensive income</w:t>
            </w:r>
          </w:p>
        </w:tc>
      </w:tr>
      <w:tr w:rsidR="00FA7EBF" w14:paraId="20A0D899" w14:textId="77777777" w:rsidTr="003075FD">
        <w:trPr>
          <w:cantSplit/>
        </w:trPr>
        <w:tc>
          <w:tcPr>
            <w:tcW w:w="9639" w:type="dxa"/>
            <w:gridSpan w:val="3"/>
            <w:tcBorders>
              <w:top w:val="single" w:sz="4" w:space="0" w:color="A6A6A6"/>
              <w:left w:val="single" w:sz="4" w:space="0" w:color="FFFFFF"/>
              <w:bottom w:val="single" w:sz="4" w:space="0" w:color="A6A6A6"/>
              <w:right w:val="single" w:sz="4" w:space="0" w:color="FFFFFF"/>
            </w:tcBorders>
            <w:hideMark/>
          </w:tcPr>
          <w:p w14:paraId="53027720" w14:textId="77777777" w:rsidR="00FA7EBF" w:rsidRDefault="00FA7EBF">
            <w:pPr>
              <w:pStyle w:val="ARtabletextbold"/>
              <w:spacing w:before="60" w:after="40"/>
            </w:pPr>
            <w:r>
              <w:t>Items that will not be reclassified to net result</w:t>
            </w:r>
          </w:p>
        </w:tc>
      </w:tr>
      <w:tr w:rsidR="00FA7EBF" w14:paraId="38631B1B" w14:textId="77777777" w:rsidTr="003075FD">
        <w:trPr>
          <w:cantSplit/>
        </w:trPr>
        <w:tc>
          <w:tcPr>
            <w:tcW w:w="7369" w:type="dxa"/>
            <w:tcBorders>
              <w:top w:val="single" w:sz="4" w:space="0" w:color="A6A6A6"/>
              <w:left w:val="single" w:sz="4" w:space="0" w:color="FFFFFF"/>
              <w:bottom w:val="single" w:sz="4" w:space="0" w:color="A6A6A6"/>
              <w:right w:val="single" w:sz="4" w:space="0" w:color="FFFFFF"/>
            </w:tcBorders>
            <w:hideMark/>
          </w:tcPr>
          <w:p w14:paraId="55A2347B" w14:textId="77777777" w:rsidR="00FA7EBF" w:rsidRDefault="00FA7EBF">
            <w:pPr>
              <w:pStyle w:val="ARtabletext"/>
              <w:spacing w:before="60" w:after="40"/>
            </w:pPr>
            <w:r>
              <w:t>Changes in physical asset revaluation surplus</w:t>
            </w:r>
          </w:p>
        </w:tc>
        <w:tc>
          <w:tcPr>
            <w:tcW w:w="1135" w:type="dxa"/>
            <w:tcBorders>
              <w:top w:val="single" w:sz="4" w:space="0" w:color="A6A6A6"/>
              <w:left w:val="single" w:sz="4" w:space="0" w:color="FFFFFF"/>
              <w:bottom w:val="single" w:sz="4" w:space="0" w:color="A6A6A6"/>
              <w:right w:val="single" w:sz="4" w:space="0" w:color="FFFFFF"/>
            </w:tcBorders>
            <w:shd w:val="clear" w:color="auto" w:fill="E7E6E6"/>
            <w:hideMark/>
          </w:tcPr>
          <w:p w14:paraId="4AC436CA" w14:textId="77777777" w:rsidR="00FA7EBF" w:rsidRDefault="00FA7EBF">
            <w:pPr>
              <w:pStyle w:val="ARtabletextright"/>
              <w:spacing w:before="60" w:after="40"/>
            </w:pPr>
            <w:r>
              <w:t>(1,286.2)</w:t>
            </w:r>
          </w:p>
        </w:tc>
        <w:tc>
          <w:tcPr>
            <w:tcW w:w="1135" w:type="dxa"/>
            <w:tcBorders>
              <w:top w:val="single" w:sz="4" w:space="0" w:color="A6A6A6"/>
              <w:left w:val="single" w:sz="4" w:space="0" w:color="FFFFFF"/>
              <w:bottom w:val="single" w:sz="4" w:space="0" w:color="A6A6A6"/>
              <w:right w:val="single" w:sz="4" w:space="0" w:color="FFFFFF"/>
            </w:tcBorders>
            <w:hideMark/>
          </w:tcPr>
          <w:p w14:paraId="6476B0A2" w14:textId="77777777" w:rsidR="00FA7EBF" w:rsidRDefault="00FA7EBF">
            <w:pPr>
              <w:pStyle w:val="ARtabletextright"/>
              <w:spacing w:before="60" w:after="40"/>
            </w:pPr>
            <w:r>
              <w:t>3,757.3</w:t>
            </w:r>
          </w:p>
        </w:tc>
      </w:tr>
      <w:tr w:rsidR="00FA7EBF" w14:paraId="24E1167E" w14:textId="77777777" w:rsidTr="003075FD">
        <w:trPr>
          <w:cantSplit/>
        </w:trPr>
        <w:tc>
          <w:tcPr>
            <w:tcW w:w="7369" w:type="dxa"/>
            <w:tcBorders>
              <w:top w:val="single" w:sz="4" w:space="0" w:color="A6A6A6"/>
              <w:left w:val="single" w:sz="4" w:space="0" w:color="FFFFFF"/>
              <w:bottom w:val="single" w:sz="4" w:space="0" w:color="auto"/>
              <w:right w:val="single" w:sz="4" w:space="0" w:color="FFFFFF"/>
            </w:tcBorders>
            <w:hideMark/>
          </w:tcPr>
          <w:p w14:paraId="4D13B5FF" w14:textId="77777777" w:rsidR="00FA7EBF" w:rsidRDefault="00FA7EBF">
            <w:pPr>
              <w:pStyle w:val="ARtabletext"/>
              <w:spacing w:before="60" w:after="40"/>
            </w:pPr>
            <w:r>
              <w:t>Remeasurement of superannuation defined benefit plans</w:t>
            </w:r>
          </w:p>
        </w:tc>
        <w:tc>
          <w:tcPr>
            <w:tcW w:w="1135" w:type="dxa"/>
            <w:tcBorders>
              <w:top w:val="single" w:sz="4" w:space="0" w:color="A6A6A6"/>
              <w:left w:val="single" w:sz="4" w:space="0" w:color="FFFFFF"/>
              <w:bottom w:val="single" w:sz="4" w:space="0" w:color="auto"/>
              <w:right w:val="single" w:sz="4" w:space="0" w:color="FFFFFF"/>
            </w:tcBorders>
            <w:shd w:val="clear" w:color="auto" w:fill="E7E6E6"/>
            <w:hideMark/>
          </w:tcPr>
          <w:p w14:paraId="0839D3A7" w14:textId="77777777" w:rsidR="00FA7EBF" w:rsidRDefault="00FA7EBF">
            <w:pPr>
              <w:pStyle w:val="ARtabletextright"/>
              <w:spacing w:before="60" w:after="40"/>
            </w:pPr>
            <w:r>
              <w:t>(2.5)</w:t>
            </w:r>
          </w:p>
        </w:tc>
        <w:tc>
          <w:tcPr>
            <w:tcW w:w="1135" w:type="dxa"/>
            <w:tcBorders>
              <w:top w:val="single" w:sz="4" w:space="0" w:color="A6A6A6"/>
              <w:left w:val="single" w:sz="4" w:space="0" w:color="FFFFFF"/>
              <w:bottom w:val="single" w:sz="4" w:space="0" w:color="auto"/>
              <w:right w:val="single" w:sz="4" w:space="0" w:color="FFFFFF"/>
            </w:tcBorders>
            <w:hideMark/>
          </w:tcPr>
          <w:p w14:paraId="2D79633E" w14:textId="77777777" w:rsidR="00FA7EBF" w:rsidRDefault="00FA7EBF">
            <w:pPr>
              <w:pStyle w:val="ARtabletextright"/>
              <w:spacing w:before="60" w:after="40"/>
            </w:pPr>
            <w:r>
              <w:t>(0.3)</w:t>
            </w:r>
          </w:p>
        </w:tc>
      </w:tr>
      <w:tr w:rsidR="00FA7EBF" w14:paraId="716761A3" w14:textId="77777777" w:rsidTr="003075FD">
        <w:trPr>
          <w:cantSplit/>
        </w:trPr>
        <w:tc>
          <w:tcPr>
            <w:tcW w:w="7369" w:type="dxa"/>
            <w:tcBorders>
              <w:top w:val="single" w:sz="4" w:space="0" w:color="auto"/>
              <w:left w:val="single" w:sz="4" w:space="0" w:color="FFFFFF"/>
              <w:bottom w:val="single" w:sz="4" w:space="0" w:color="auto"/>
              <w:right w:val="single" w:sz="4" w:space="0" w:color="FFFFFF"/>
            </w:tcBorders>
            <w:hideMark/>
          </w:tcPr>
          <w:p w14:paraId="6A28B8DC" w14:textId="77777777" w:rsidR="00FA7EBF" w:rsidRDefault="00FA7EBF">
            <w:pPr>
              <w:pStyle w:val="ARtabletextbold"/>
              <w:spacing w:before="60" w:after="40"/>
            </w:pPr>
            <w:r>
              <w:t>Total other economic flows – other comprehensive income</w:t>
            </w:r>
          </w:p>
        </w:tc>
        <w:tc>
          <w:tcPr>
            <w:tcW w:w="1135" w:type="dxa"/>
            <w:tcBorders>
              <w:top w:val="single" w:sz="4" w:space="0" w:color="auto"/>
              <w:left w:val="single" w:sz="4" w:space="0" w:color="FFFFFF"/>
              <w:bottom w:val="single" w:sz="4" w:space="0" w:color="auto"/>
              <w:right w:val="single" w:sz="4" w:space="0" w:color="FFFFFF"/>
            </w:tcBorders>
            <w:shd w:val="clear" w:color="auto" w:fill="E7E6E6"/>
            <w:hideMark/>
          </w:tcPr>
          <w:p w14:paraId="3748CF00" w14:textId="77777777" w:rsidR="00FA7EBF" w:rsidRDefault="00FA7EBF">
            <w:pPr>
              <w:pStyle w:val="ARtabletextrightbold"/>
              <w:spacing w:before="60" w:after="40"/>
            </w:pPr>
            <w:r>
              <w:t>(1,288.7)</w:t>
            </w:r>
          </w:p>
        </w:tc>
        <w:tc>
          <w:tcPr>
            <w:tcW w:w="1135" w:type="dxa"/>
            <w:tcBorders>
              <w:top w:val="single" w:sz="4" w:space="0" w:color="auto"/>
              <w:left w:val="single" w:sz="4" w:space="0" w:color="FFFFFF"/>
              <w:bottom w:val="single" w:sz="4" w:space="0" w:color="auto"/>
              <w:right w:val="single" w:sz="4" w:space="0" w:color="FFFFFF"/>
            </w:tcBorders>
            <w:hideMark/>
          </w:tcPr>
          <w:p w14:paraId="7F3A0F3C" w14:textId="77777777" w:rsidR="00FA7EBF" w:rsidRDefault="00FA7EBF">
            <w:pPr>
              <w:pStyle w:val="ARtabletextrightbold"/>
              <w:spacing w:before="60" w:after="40"/>
            </w:pPr>
            <w:r>
              <w:t>3,757.0</w:t>
            </w:r>
          </w:p>
        </w:tc>
      </w:tr>
      <w:tr w:rsidR="00FA7EBF" w14:paraId="1A51235A" w14:textId="77777777" w:rsidTr="003075FD">
        <w:trPr>
          <w:cantSplit/>
        </w:trPr>
        <w:tc>
          <w:tcPr>
            <w:tcW w:w="7369" w:type="dxa"/>
            <w:tcBorders>
              <w:top w:val="single" w:sz="4" w:space="0" w:color="auto"/>
              <w:left w:val="single" w:sz="4" w:space="0" w:color="FFFFFF"/>
              <w:bottom w:val="single" w:sz="4" w:space="0" w:color="auto"/>
              <w:right w:val="single" w:sz="4" w:space="0" w:color="FFFFFF"/>
            </w:tcBorders>
            <w:hideMark/>
          </w:tcPr>
          <w:p w14:paraId="26199956" w14:textId="77777777" w:rsidR="00FA7EBF" w:rsidRDefault="00FA7EBF">
            <w:pPr>
              <w:pStyle w:val="ARtabletextbold"/>
              <w:spacing w:before="60" w:after="40"/>
            </w:pPr>
            <w:r>
              <w:t>Comprehensive result</w:t>
            </w:r>
          </w:p>
        </w:tc>
        <w:tc>
          <w:tcPr>
            <w:tcW w:w="1135" w:type="dxa"/>
            <w:tcBorders>
              <w:top w:val="single" w:sz="4" w:space="0" w:color="auto"/>
              <w:left w:val="single" w:sz="4" w:space="0" w:color="FFFFFF"/>
              <w:bottom w:val="single" w:sz="4" w:space="0" w:color="auto"/>
              <w:right w:val="single" w:sz="4" w:space="0" w:color="FFFFFF"/>
            </w:tcBorders>
            <w:shd w:val="clear" w:color="auto" w:fill="E7E6E6"/>
            <w:hideMark/>
          </w:tcPr>
          <w:p w14:paraId="3F1C3A1B" w14:textId="77777777" w:rsidR="00FA7EBF" w:rsidRDefault="00FA7EBF">
            <w:pPr>
              <w:pStyle w:val="ARtabletextrightbold"/>
              <w:spacing w:before="60" w:after="40"/>
            </w:pPr>
            <w:r>
              <w:t>(1,562.4)</w:t>
            </w:r>
          </w:p>
        </w:tc>
        <w:tc>
          <w:tcPr>
            <w:tcW w:w="1135" w:type="dxa"/>
            <w:tcBorders>
              <w:top w:val="single" w:sz="4" w:space="0" w:color="auto"/>
              <w:left w:val="single" w:sz="4" w:space="0" w:color="FFFFFF"/>
              <w:bottom w:val="single" w:sz="4" w:space="0" w:color="auto"/>
              <w:right w:val="single" w:sz="4" w:space="0" w:color="FFFFFF"/>
            </w:tcBorders>
            <w:hideMark/>
          </w:tcPr>
          <w:p w14:paraId="38EDEAB0" w14:textId="77777777" w:rsidR="00FA7EBF" w:rsidRDefault="00FA7EBF">
            <w:pPr>
              <w:pStyle w:val="ARtabletextrightbold"/>
              <w:spacing w:before="60" w:after="40"/>
            </w:pPr>
            <w:r>
              <w:t>3,655.6</w:t>
            </w:r>
          </w:p>
        </w:tc>
      </w:tr>
    </w:tbl>
    <w:p w14:paraId="35C5FD20" w14:textId="77777777" w:rsidR="00FA7EBF" w:rsidRDefault="00FA7EBF" w:rsidP="003075FD">
      <w:pPr>
        <w:pStyle w:val="ARtablefootnote"/>
      </w:pPr>
      <w:r>
        <w:t>Notes:</w:t>
      </w:r>
    </w:p>
    <w:p w14:paraId="078C8EC4" w14:textId="77777777" w:rsidR="00FA7EBF" w:rsidRDefault="00FA7EBF" w:rsidP="00326F42">
      <w:pPr>
        <w:pStyle w:val="ARtablefootnoteroman"/>
        <w:numPr>
          <w:ilvl w:val="0"/>
          <w:numId w:val="26"/>
        </w:numPr>
      </w:pPr>
      <w:r>
        <w:t>The net result from transactions for 2018–19 of $259.5 million deficit largely resulted from three key drivers: 1) the transfer of Director of Housing owned land of $58.7 million in 2019 (2018: $36.6 million) and the transfer of Director of Housing owned buildings of $57.6 million in 2019 (2018: $55.7 million) to Aboriginal Housing Victoria; 2) $71.8 million increased depreciation expense mainly due to accelerated depreciation resulting from the approved Public Housing Renewal Program projects and a review of building depreciation rates; and a $46.6 million increase in maintenance expenditure largely due to gas heater replacements.</w:t>
      </w:r>
    </w:p>
    <w:p w14:paraId="364DBC63" w14:textId="77777777" w:rsidR="00FA7EBF" w:rsidRDefault="00FA7EBF" w:rsidP="00326F42">
      <w:pPr>
        <w:pStyle w:val="ARtablefootnoteroman"/>
        <w:numPr>
          <w:ilvl w:val="0"/>
          <w:numId w:val="26"/>
        </w:numPr>
      </w:pPr>
      <w:r>
        <w:t>Net gain/(loss) on non-financial assets includes unrealised and realised gains/(losses) from revaluations, impairments and disposals of all physical assets and intangible assets, except when these are taken through the asset revaluation surplus.</w:t>
      </w:r>
    </w:p>
    <w:p w14:paraId="5F40EADE" w14:textId="77777777" w:rsidR="00FA7EBF" w:rsidRDefault="00FA7EBF" w:rsidP="003075FD">
      <w:pPr>
        <w:pStyle w:val="Heading3"/>
      </w:pPr>
      <w:r>
        <w:t>Balance sheet as at 30 June 2019</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5"/>
        <w:gridCol w:w="1135"/>
        <w:gridCol w:w="1135"/>
      </w:tblGrid>
      <w:tr w:rsidR="00FA7EBF" w14:paraId="17775C75" w14:textId="77777777" w:rsidTr="003075FD">
        <w:trPr>
          <w:cantSplit/>
          <w:tblHeader/>
        </w:trPr>
        <w:tc>
          <w:tcPr>
            <w:tcW w:w="7371" w:type="dxa"/>
            <w:tcBorders>
              <w:top w:val="nil"/>
              <w:left w:val="single" w:sz="4" w:space="0" w:color="FFFFFF"/>
              <w:bottom w:val="single" w:sz="4" w:space="0" w:color="auto"/>
              <w:right w:val="single" w:sz="4" w:space="0" w:color="FFFFFF"/>
            </w:tcBorders>
          </w:tcPr>
          <w:p w14:paraId="587F3CBC" w14:textId="77777777" w:rsidR="00FA7EBF" w:rsidRDefault="00FA7EBF">
            <w:pPr>
              <w:pStyle w:val="ARtabletext"/>
              <w:rPr>
                <w:rStyle w:val="Strong"/>
              </w:rPr>
            </w:pPr>
          </w:p>
        </w:tc>
        <w:tc>
          <w:tcPr>
            <w:tcW w:w="1134" w:type="dxa"/>
            <w:tcBorders>
              <w:top w:val="nil"/>
              <w:left w:val="single" w:sz="4" w:space="0" w:color="FFFFFF"/>
              <w:bottom w:val="single" w:sz="4" w:space="0" w:color="auto"/>
              <w:right w:val="single" w:sz="4" w:space="0" w:color="FFFFFF"/>
            </w:tcBorders>
            <w:shd w:val="clear" w:color="auto" w:fill="E7E6E6"/>
            <w:hideMark/>
          </w:tcPr>
          <w:p w14:paraId="2449DC54" w14:textId="77777777" w:rsidR="00FA7EBF" w:rsidRDefault="00FA7EBF">
            <w:pPr>
              <w:pStyle w:val="ARtablecolheadright"/>
            </w:pPr>
            <w:r>
              <w:t>2019</w:t>
            </w:r>
          </w:p>
          <w:p w14:paraId="409648CC" w14:textId="77777777" w:rsidR="00FA7EBF" w:rsidRDefault="00FA7EBF">
            <w:pPr>
              <w:pStyle w:val="ARtablecolheadright"/>
              <w:rPr>
                <w:rStyle w:val="Strong"/>
                <w:b/>
                <w:bCs w:val="0"/>
              </w:rPr>
            </w:pPr>
            <w:r>
              <w:t>$M</w:t>
            </w:r>
          </w:p>
        </w:tc>
        <w:tc>
          <w:tcPr>
            <w:tcW w:w="1134" w:type="dxa"/>
            <w:tcBorders>
              <w:top w:val="nil"/>
              <w:left w:val="single" w:sz="4" w:space="0" w:color="FFFFFF"/>
              <w:bottom w:val="single" w:sz="4" w:space="0" w:color="auto"/>
              <w:right w:val="single" w:sz="4" w:space="0" w:color="FFFFFF"/>
            </w:tcBorders>
            <w:hideMark/>
          </w:tcPr>
          <w:p w14:paraId="6073A27C" w14:textId="77777777" w:rsidR="00FA7EBF" w:rsidRDefault="00FA7EBF">
            <w:pPr>
              <w:pStyle w:val="ARtablecolheadright"/>
            </w:pPr>
            <w:r>
              <w:t>2018</w:t>
            </w:r>
          </w:p>
          <w:p w14:paraId="4F2D49DC" w14:textId="77777777" w:rsidR="00FA7EBF" w:rsidRDefault="00FA7EBF">
            <w:pPr>
              <w:pStyle w:val="ARtablecolheadright"/>
              <w:rPr>
                <w:rStyle w:val="Strong"/>
                <w:b/>
                <w:bCs w:val="0"/>
              </w:rPr>
            </w:pPr>
            <w:r>
              <w:t>$M</w:t>
            </w:r>
          </w:p>
        </w:tc>
      </w:tr>
      <w:tr w:rsidR="00FA7EBF" w14:paraId="24FA12AC" w14:textId="77777777" w:rsidTr="003075FD">
        <w:trPr>
          <w:cantSplit/>
        </w:trPr>
        <w:tc>
          <w:tcPr>
            <w:tcW w:w="9639" w:type="dxa"/>
            <w:gridSpan w:val="3"/>
            <w:tcBorders>
              <w:top w:val="single" w:sz="4" w:space="0" w:color="auto"/>
              <w:left w:val="single" w:sz="4" w:space="0" w:color="FFFFFF"/>
              <w:bottom w:val="single" w:sz="4" w:space="0" w:color="A6A6A6"/>
              <w:right w:val="single" w:sz="4" w:space="0" w:color="FFFFFF"/>
            </w:tcBorders>
            <w:hideMark/>
          </w:tcPr>
          <w:p w14:paraId="5922BEAF" w14:textId="77777777" w:rsidR="00FA7EBF" w:rsidRDefault="00FA7EBF">
            <w:pPr>
              <w:pStyle w:val="ARtabletextbold"/>
            </w:pPr>
            <w:r>
              <w:t>Assets</w:t>
            </w:r>
          </w:p>
        </w:tc>
      </w:tr>
      <w:tr w:rsidR="00FA7EBF" w14:paraId="464A88F1" w14:textId="77777777" w:rsidTr="003075FD">
        <w:trPr>
          <w:cantSplit/>
        </w:trPr>
        <w:tc>
          <w:tcPr>
            <w:tcW w:w="9639" w:type="dxa"/>
            <w:gridSpan w:val="3"/>
            <w:tcBorders>
              <w:top w:val="single" w:sz="4" w:space="0" w:color="A6A6A6"/>
              <w:left w:val="single" w:sz="4" w:space="0" w:color="FFFFFF"/>
              <w:bottom w:val="single" w:sz="4" w:space="0" w:color="A6A6A6"/>
              <w:right w:val="single" w:sz="4" w:space="0" w:color="FFFFFF"/>
            </w:tcBorders>
            <w:hideMark/>
          </w:tcPr>
          <w:p w14:paraId="28AB14D2" w14:textId="77777777" w:rsidR="00FA7EBF" w:rsidRDefault="00FA7EBF">
            <w:pPr>
              <w:pStyle w:val="ARtabletextbold"/>
            </w:pPr>
            <w:r>
              <w:t>Financial assets</w:t>
            </w:r>
          </w:p>
        </w:tc>
      </w:tr>
      <w:tr w:rsidR="00FA7EBF" w14:paraId="63AC15B2"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3474586C" w14:textId="77777777" w:rsidR="00FA7EBF" w:rsidRDefault="00FA7EBF">
            <w:pPr>
              <w:pStyle w:val="ARtabletext"/>
            </w:pPr>
            <w:r>
              <w:t xml:space="preserve">Cash and deposits </w:t>
            </w:r>
            <w:r>
              <w:rPr>
                <w:rStyle w:val="Superscript"/>
              </w:rPr>
              <w:t>(i)</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6E70FD06" w14:textId="77777777" w:rsidR="00FA7EBF" w:rsidRDefault="00FA7EBF">
            <w:pPr>
              <w:pStyle w:val="ARtabletextright"/>
            </w:pPr>
            <w:r>
              <w:t>457.4</w:t>
            </w:r>
          </w:p>
        </w:tc>
        <w:tc>
          <w:tcPr>
            <w:tcW w:w="1134" w:type="dxa"/>
            <w:tcBorders>
              <w:top w:val="single" w:sz="4" w:space="0" w:color="A6A6A6"/>
              <w:left w:val="single" w:sz="4" w:space="0" w:color="FFFFFF"/>
              <w:bottom w:val="single" w:sz="4" w:space="0" w:color="A6A6A6"/>
              <w:right w:val="single" w:sz="4" w:space="0" w:color="FFFFFF"/>
            </w:tcBorders>
            <w:hideMark/>
          </w:tcPr>
          <w:p w14:paraId="7FA7CE8E" w14:textId="77777777" w:rsidR="00FA7EBF" w:rsidRDefault="00FA7EBF">
            <w:pPr>
              <w:pStyle w:val="ARtabletextright"/>
            </w:pPr>
            <w:r>
              <w:t>85.5</w:t>
            </w:r>
          </w:p>
        </w:tc>
      </w:tr>
      <w:tr w:rsidR="00FA7EBF" w14:paraId="05865AF8"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5BC92E18" w14:textId="77777777" w:rsidR="00FA7EBF" w:rsidRDefault="00FA7EBF">
            <w:pPr>
              <w:pStyle w:val="ARtabletext"/>
            </w:pPr>
            <w:r>
              <w:t>Receivables</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4FFA4627" w14:textId="77777777" w:rsidR="00FA7EBF" w:rsidRDefault="00FA7EBF">
            <w:pPr>
              <w:pStyle w:val="ARtabletextright"/>
            </w:pPr>
            <w:r>
              <w:t>16.3</w:t>
            </w:r>
          </w:p>
        </w:tc>
        <w:tc>
          <w:tcPr>
            <w:tcW w:w="1134" w:type="dxa"/>
            <w:tcBorders>
              <w:top w:val="single" w:sz="4" w:space="0" w:color="A6A6A6"/>
              <w:left w:val="single" w:sz="4" w:space="0" w:color="FFFFFF"/>
              <w:bottom w:val="single" w:sz="4" w:space="0" w:color="A6A6A6"/>
              <w:right w:val="single" w:sz="4" w:space="0" w:color="FFFFFF"/>
            </w:tcBorders>
            <w:hideMark/>
          </w:tcPr>
          <w:p w14:paraId="4F623489" w14:textId="77777777" w:rsidR="00FA7EBF" w:rsidRDefault="00FA7EBF">
            <w:pPr>
              <w:pStyle w:val="ARtabletextright"/>
            </w:pPr>
            <w:r>
              <w:t>17.3</w:t>
            </w:r>
          </w:p>
        </w:tc>
      </w:tr>
      <w:tr w:rsidR="00FA7EBF" w14:paraId="2B84AB39"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0E5C7E7D" w14:textId="77777777" w:rsidR="00FA7EBF" w:rsidRDefault="00FA7EBF">
            <w:pPr>
              <w:pStyle w:val="ARtabletext"/>
            </w:pPr>
            <w:r>
              <w:t xml:space="preserve">Loans </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0D6D4333" w14:textId="77777777" w:rsidR="00FA7EBF" w:rsidRDefault="00FA7EBF">
            <w:pPr>
              <w:pStyle w:val="ARtabletextright"/>
            </w:pPr>
            <w:r>
              <w:t>34.2</w:t>
            </w:r>
          </w:p>
        </w:tc>
        <w:tc>
          <w:tcPr>
            <w:tcW w:w="1134" w:type="dxa"/>
            <w:tcBorders>
              <w:top w:val="single" w:sz="4" w:space="0" w:color="A6A6A6"/>
              <w:left w:val="single" w:sz="4" w:space="0" w:color="FFFFFF"/>
              <w:bottom w:val="single" w:sz="4" w:space="0" w:color="A6A6A6"/>
              <w:right w:val="single" w:sz="4" w:space="0" w:color="FFFFFF"/>
            </w:tcBorders>
            <w:hideMark/>
          </w:tcPr>
          <w:p w14:paraId="33B7C170" w14:textId="77777777" w:rsidR="00FA7EBF" w:rsidRDefault="00FA7EBF">
            <w:pPr>
              <w:pStyle w:val="ARtabletextright"/>
            </w:pPr>
            <w:r>
              <w:t>35.9</w:t>
            </w:r>
          </w:p>
        </w:tc>
      </w:tr>
      <w:tr w:rsidR="00FA7EBF" w14:paraId="68DFFFEA" w14:textId="77777777" w:rsidTr="003075FD">
        <w:trPr>
          <w:cantSplit/>
        </w:trPr>
        <w:tc>
          <w:tcPr>
            <w:tcW w:w="7371" w:type="dxa"/>
            <w:tcBorders>
              <w:top w:val="single" w:sz="4" w:space="0" w:color="A6A6A6"/>
              <w:left w:val="single" w:sz="4" w:space="0" w:color="FFFFFF"/>
              <w:bottom w:val="single" w:sz="4" w:space="0" w:color="auto"/>
              <w:right w:val="single" w:sz="4" w:space="0" w:color="FFFFFF"/>
            </w:tcBorders>
            <w:hideMark/>
          </w:tcPr>
          <w:p w14:paraId="1BA972C4" w14:textId="77777777" w:rsidR="00FA7EBF" w:rsidRDefault="00FA7EBF">
            <w:pPr>
              <w:pStyle w:val="ARtabletext"/>
            </w:pPr>
            <w:r>
              <w:t xml:space="preserve">Short-term investments – term deposits </w:t>
            </w:r>
            <w:r>
              <w:rPr>
                <w:rStyle w:val="Superscript"/>
              </w:rPr>
              <w:t>(i)</w:t>
            </w:r>
          </w:p>
        </w:tc>
        <w:tc>
          <w:tcPr>
            <w:tcW w:w="1134" w:type="dxa"/>
            <w:tcBorders>
              <w:top w:val="single" w:sz="4" w:space="0" w:color="A6A6A6"/>
              <w:left w:val="single" w:sz="4" w:space="0" w:color="FFFFFF"/>
              <w:bottom w:val="single" w:sz="4" w:space="0" w:color="auto"/>
              <w:right w:val="single" w:sz="4" w:space="0" w:color="FFFFFF"/>
            </w:tcBorders>
            <w:shd w:val="clear" w:color="auto" w:fill="E7E6E6"/>
            <w:hideMark/>
          </w:tcPr>
          <w:p w14:paraId="4EA48080" w14:textId="77777777" w:rsidR="00FA7EBF" w:rsidRDefault="00FA7EBF">
            <w:pPr>
              <w:pStyle w:val="ARtabletextright"/>
            </w:pPr>
            <w:r>
              <w:t>100.0</w:t>
            </w:r>
          </w:p>
        </w:tc>
        <w:tc>
          <w:tcPr>
            <w:tcW w:w="1134" w:type="dxa"/>
            <w:tcBorders>
              <w:top w:val="single" w:sz="4" w:space="0" w:color="A6A6A6"/>
              <w:left w:val="single" w:sz="4" w:space="0" w:color="FFFFFF"/>
              <w:bottom w:val="single" w:sz="4" w:space="0" w:color="auto"/>
              <w:right w:val="single" w:sz="4" w:space="0" w:color="FFFFFF"/>
            </w:tcBorders>
            <w:hideMark/>
          </w:tcPr>
          <w:p w14:paraId="17E28A4A" w14:textId="77777777" w:rsidR="00FA7EBF" w:rsidRDefault="00FA7EBF">
            <w:pPr>
              <w:pStyle w:val="ARtabletextright"/>
            </w:pPr>
            <w:r>
              <w:t>534.8</w:t>
            </w:r>
          </w:p>
        </w:tc>
      </w:tr>
      <w:tr w:rsidR="00FA7EBF" w14:paraId="72BE9CDB" w14:textId="77777777" w:rsidTr="003075FD">
        <w:trPr>
          <w:cantSplit/>
        </w:trPr>
        <w:tc>
          <w:tcPr>
            <w:tcW w:w="7371" w:type="dxa"/>
            <w:tcBorders>
              <w:top w:val="single" w:sz="4" w:space="0" w:color="auto"/>
              <w:left w:val="single" w:sz="4" w:space="0" w:color="FFFFFF"/>
              <w:bottom w:val="single" w:sz="4" w:space="0" w:color="auto"/>
              <w:right w:val="single" w:sz="4" w:space="0" w:color="FFFFFF"/>
            </w:tcBorders>
            <w:hideMark/>
          </w:tcPr>
          <w:p w14:paraId="74699556" w14:textId="77777777" w:rsidR="00FA7EBF" w:rsidRDefault="00FA7EBF">
            <w:pPr>
              <w:pStyle w:val="ARtabletextbold"/>
            </w:pPr>
            <w:r>
              <w:t>Total financial assets</w:t>
            </w:r>
          </w:p>
        </w:tc>
        <w:tc>
          <w:tcPr>
            <w:tcW w:w="1134" w:type="dxa"/>
            <w:tcBorders>
              <w:top w:val="single" w:sz="4" w:space="0" w:color="auto"/>
              <w:left w:val="single" w:sz="4" w:space="0" w:color="FFFFFF"/>
              <w:bottom w:val="single" w:sz="4" w:space="0" w:color="auto"/>
              <w:right w:val="single" w:sz="4" w:space="0" w:color="FFFFFF"/>
            </w:tcBorders>
            <w:shd w:val="clear" w:color="auto" w:fill="E7E6E6"/>
            <w:hideMark/>
          </w:tcPr>
          <w:p w14:paraId="11930293" w14:textId="77777777" w:rsidR="00FA7EBF" w:rsidRDefault="00FA7EBF">
            <w:pPr>
              <w:pStyle w:val="ARtabletextrightbold"/>
            </w:pPr>
            <w:r>
              <w:t>607.9</w:t>
            </w:r>
          </w:p>
        </w:tc>
        <w:tc>
          <w:tcPr>
            <w:tcW w:w="1134" w:type="dxa"/>
            <w:tcBorders>
              <w:top w:val="single" w:sz="4" w:space="0" w:color="auto"/>
              <w:left w:val="single" w:sz="4" w:space="0" w:color="FFFFFF"/>
              <w:bottom w:val="single" w:sz="4" w:space="0" w:color="auto"/>
              <w:right w:val="single" w:sz="4" w:space="0" w:color="FFFFFF"/>
            </w:tcBorders>
            <w:hideMark/>
          </w:tcPr>
          <w:p w14:paraId="4FD67E78" w14:textId="77777777" w:rsidR="00FA7EBF" w:rsidRDefault="00FA7EBF">
            <w:pPr>
              <w:pStyle w:val="ARtabletextrightbold"/>
            </w:pPr>
            <w:r>
              <w:t>673.5</w:t>
            </w:r>
          </w:p>
        </w:tc>
      </w:tr>
      <w:tr w:rsidR="00FA7EBF" w14:paraId="78486605" w14:textId="77777777" w:rsidTr="003075FD">
        <w:trPr>
          <w:cantSplit/>
        </w:trPr>
        <w:tc>
          <w:tcPr>
            <w:tcW w:w="9639" w:type="dxa"/>
            <w:gridSpan w:val="3"/>
            <w:tcBorders>
              <w:top w:val="single" w:sz="4" w:space="0" w:color="auto"/>
              <w:left w:val="single" w:sz="4" w:space="0" w:color="FFFFFF"/>
              <w:bottom w:val="single" w:sz="4" w:space="0" w:color="A6A6A6"/>
              <w:right w:val="single" w:sz="4" w:space="0" w:color="FFFFFF"/>
            </w:tcBorders>
            <w:hideMark/>
          </w:tcPr>
          <w:p w14:paraId="1594608B" w14:textId="77777777" w:rsidR="00FA7EBF" w:rsidRDefault="00FA7EBF">
            <w:pPr>
              <w:pStyle w:val="ARtabletextbold"/>
            </w:pPr>
            <w:r>
              <w:t>Non-financial assets</w:t>
            </w:r>
          </w:p>
        </w:tc>
      </w:tr>
      <w:tr w:rsidR="00FA7EBF" w14:paraId="1C90808B"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0C7ED07F" w14:textId="77777777" w:rsidR="00FA7EBF" w:rsidRDefault="00FA7EBF">
            <w:pPr>
              <w:pStyle w:val="ARtabletext"/>
            </w:pPr>
            <w:r>
              <w:t>Non-financial physical assets classified as held for sale</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78114338" w14:textId="77777777" w:rsidR="00FA7EBF" w:rsidRDefault="00FA7EBF">
            <w:pPr>
              <w:pStyle w:val="ARtabletextright"/>
            </w:pPr>
            <w:r>
              <w:t>25.8</w:t>
            </w:r>
          </w:p>
        </w:tc>
        <w:tc>
          <w:tcPr>
            <w:tcW w:w="1134" w:type="dxa"/>
            <w:tcBorders>
              <w:top w:val="single" w:sz="4" w:space="0" w:color="A6A6A6"/>
              <w:left w:val="single" w:sz="4" w:space="0" w:color="FFFFFF"/>
              <w:bottom w:val="single" w:sz="4" w:space="0" w:color="A6A6A6"/>
              <w:right w:val="single" w:sz="4" w:space="0" w:color="FFFFFF"/>
            </w:tcBorders>
            <w:hideMark/>
          </w:tcPr>
          <w:p w14:paraId="494CA631" w14:textId="77777777" w:rsidR="00FA7EBF" w:rsidRDefault="00FA7EBF">
            <w:pPr>
              <w:pStyle w:val="ARtabletextright"/>
            </w:pPr>
            <w:r>
              <w:t>29.6</w:t>
            </w:r>
          </w:p>
        </w:tc>
      </w:tr>
      <w:tr w:rsidR="00FA7EBF" w14:paraId="0BB477E4"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6EA006B2" w14:textId="77777777" w:rsidR="00FA7EBF" w:rsidRDefault="00FA7EBF">
            <w:pPr>
              <w:pStyle w:val="ARtabletext"/>
            </w:pPr>
            <w:r>
              <w:t>Property, plant and equipment</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0C2DCF55" w14:textId="77777777" w:rsidR="00FA7EBF" w:rsidRDefault="00FA7EBF">
            <w:pPr>
              <w:pStyle w:val="ARtabletextright"/>
            </w:pPr>
            <w:r>
              <w:t>26,488.8</w:t>
            </w:r>
          </w:p>
        </w:tc>
        <w:tc>
          <w:tcPr>
            <w:tcW w:w="1134" w:type="dxa"/>
            <w:tcBorders>
              <w:top w:val="single" w:sz="4" w:space="0" w:color="A6A6A6"/>
              <w:left w:val="single" w:sz="4" w:space="0" w:color="FFFFFF"/>
              <w:bottom w:val="single" w:sz="4" w:space="0" w:color="A6A6A6"/>
              <w:right w:val="single" w:sz="4" w:space="0" w:color="FFFFFF"/>
            </w:tcBorders>
            <w:hideMark/>
          </w:tcPr>
          <w:p w14:paraId="54779C4F" w14:textId="77777777" w:rsidR="00FA7EBF" w:rsidRDefault="00FA7EBF">
            <w:pPr>
              <w:pStyle w:val="ARtabletextright"/>
            </w:pPr>
            <w:r>
              <w:t>28,140.0</w:t>
            </w:r>
          </w:p>
        </w:tc>
      </w:tr>
      <w:tr w:rsidR="00FA7EBF" w14:paraId="7962730B"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25681C9A" w14:textId="77777777" w:rsidR="00FA7EBF" w:rsidRDefault="00FA7EBF">
            <w:pPr>
              <w:pStyle w:val="ARtabletext"/>
            </w:pPr>
            <w:r>
              <w:t>Intangible assets</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261E1152" w14:textId="77777777" w:rsidR="00FA7EBF" w:rsidRDefault="00FA7EBF">
            <w:pPr>
              <w:pStyle w:val="ARtabletextright"/>
            </w:pPr>
            <w:r>
              <w:t>27.7</w:t>
            </w:r>
          </w:p>
        </w:tc>
        <w:tc>
          <w:tcPr>
            <w:tcW w:w="1134" w:type="dxa"/>
            <w:tcBorders>
              <w:top w:val="single" w:sz="4" w:space="0" w:color="A6A6A6"/>
              <w:left w:val="single" w:sz="4" w:space="0" w:color="FFFFFF"/>
              <w:bottom w:val="single" w:sz="4" w:space="0" w:color="A6A6A6"/>
              <w:right w:val="single" w:sz="4" w:space="0" w:color="FFFFFF"/>
            </w:tcBorders>
            <w:hideMark/>
          </w:tcPr>
          <w:p w14:paraId="6A8B344E" w14:textId="77777777" w:rsidR="00FA7EBF" w:rsidRDefault="00FA7EBF">
            <w:pPr>
              <w:pStyle w:val="ARtabletextright"/>
            </w:pPr>
            <w:r>
              <w:t>28.7</w:t>
            </w:r>
          </w:p>
        </w:tc>
      </w:tr>
      <w:tr w:rsidR="00FA7EBF" w14:paraId="05417551" w14:textId="77777777" w:rsidTr="003075FD">
        <w:trPr>
          <w:cantSplit/>
        </w:trPr>
        <w:tc>
          <w:tcPr>
            <w:tcW w:w="7371" w:type="dxa"/>
            <w:tcBorders>
              <w:top w:val="single" w:sz="4" w:space="0" w:color="A6A6A6"/>
              <w:left w:val="single" w:sz="4" w:space="0" w:color="FFFFFF"/>
              <w:bottom w:val="single" w:sz="4" w:space="0" w:color="auto"/>
              <w:right w:val="single" w:sz="4" w:space="0" w:color="FFFFFF"/>
            </w:tcBorders>
            <w:hideMark/>
          </w:tcPr>
          <w:p w14:paraId="50E45D9D" w14:textId="77777777" w:rsidR="00FA7EBF" w:rsidRDefault="00FA7EBF">
            <w:pPr>
              <w:pStyle w:val="ARtabletext"/>
            </w:pPr>
            <w:r>
              <w:t>Prepayments</w:t>
            </w:r>
          </w:p>
        </w:tc>
        <w:tc>
          <w:tcPr>
            <w:tcW w:w="1134" w:type="dxa"/>
            <w:tcBorders>
              <w:top w:val="single" w:sz="4" w:space="0" w:color="A6A6A6"/>
              <w:left w:val="single" w:sz="4" w:space="0" w:color="FFFFFF"/>
              <w:bottom w:val="single" w:sz="4" w:space="0" w:color="auto"/>
              <w:right w:val="single" w:sz="4" w:space="0" w:color="FFFFFF"/>
            </w:tcBorders>
            <w:shd w:val="clear" w:color="auto" w:fill="E7E6E6"/>
            <w:hideMark/>
          </w:tcPr>
          <w:p w14:paraId="63E82A2C" w14:textId="77777777" w:rsidR="00FA7EBF" w:rsidRDefault="00FA7EBF">
            <w:pPr>
              <w:pStyle w:val="ARtabletextright"/>
            </w:pPr>
            <w:r>
              <w:t>1.5</w:t>
            </w:r>
          </w:p>
        </w:tc>
        <w:tc>
          <w:tcPr>
            <w:tcW w:w="1134" w:type="dxa"/>
            <w:tcBorders>
              <w:top w:val="single" w:sz="4" w:space="0" w:color="A6A6A6"/>
              <w:left w:val="single" w:sz="4" w:space="0" w:color="FFFFFF"/>
              <w:bottom w:val="single" w:sz="4" w:space="0" w:color="auto"/>
              <w:right w:val="single" w:sz="4" w:space="0" w:color="FFFFFF"/>
            </w:tcBorders>
            <w:hideMark/>
          </w:tcPr>
          <w:p w14:paraId="5CA6C787" w14:textId="77777777" w:rsidR="00FA7EBF" w:rsidRDefault="00FA7EBF">
            <w:pPr>
              <w:pStyle w:val="ARtabletextright"/>
            </w:pPr>
            <w:r>
              <w:t>1.1</w:t>
            </w:r>
          </w:p>
        </w:tc>
      </w:tr>
      <w:tr w:rsidR="00FA7EBF" w14:paraId="3D381FBD" w14:textId="77777777" w:rsidTr="003075FD">
        <w:trPr>
          <w:cantSplit/>
        </w:trPr>
        <w:tc>
          <w:tcPr>
            <w:tcW w:w="7371" w:type="dxa"/>
            <w:tcBorders>
              <w:top w:val="single" w:sz="4" w:space="0" w:color="auto"/>
              <w:left w:val="single" w:sz="4" w:space="0" w:color="FFFFFF"/>
              <w:bottom w:val="single" w:sz="4" w:space="0" w:color="auto"/>
              <w:right w:val="single" w:sz="4" w:space="0" w:color="FFFFFF"/>
            </w:tcBorders>
            <w:hideMark/>
          </w:tcPr>
          <w:p w14:paraId="3B3E4DC9" w14:textId="77777777" w:rsidR="00FA7EBF" w:rsidRDefault="00FA7EBF">
            <w:pPr>
              <w:pStyle w:val="ARtabletextbold"/>
            </w:pPr>
            <w:r>
              <w:t>Total non-financial assets</w:t>
            </w:r>
          </w:p>
        </w:tc>
        <w:tc>
          <w:tcPr>
            <w:tcW w:w="1134" w:type="dxa"/>
            <w:tcBorders>
              <w:top w:val="single" w:sz="4" w:space="0" w:color="auto"/>
              <w:left w:val="single" w:sz="4" w:space="0" w:color="FFFFFF"/>
              <w:bottom w:val="single" w:sz="4" w:space="0" w:color="auto"/>
              <w:right w:val="single" w:sz="4" w:space="0" w:color="FFFFFF"/>
            </w:tcBorders>
            <w:shd w:val="clear" w:color="auto" w:fill="E7E6E6"/>
            <w:hideMark/>
          </w:tcPr>
          <w:p w14:paraId="603AFC0C" w14:textId="77777777" w:rsidR="00FA7EBF" w:rsidRDefault="00FA7EBF">
            <w:pPr>
              <w:pStyle w:val="ARtabletextrightbold"/>
            </w:pPr>
            <w:r>
              <w:t>26,543.8</w:t>
            </w:r>
          </w:p>
        </w:tc>
        <w:tc>
          <w:tcPr>
            <w:tcW w:w="1134" w:type="dxa"/>
            <w:tcBorders>
              <w:top w:val="single" w:sz="4" w:space="0" w:color="auto"/>
              <w:left w:val="single" w:sz="4" w:space="0" w:color="FFFFFF"/>
              <w:bottom w:val="single" w:sz="4" w:space="0" w:color="auto"/>
              <w:right w:val="single" w:sz="4" w:space="0" w:color="FFFFFF"/>
            </w:tcBorders>
            <w:hideMark/>
          </w:tcPr>
          <w:p w14:paraId="51E44501" w14:textId="77777777" w:rsidR="00FA7EBF" w:rsidRDefault="00FA7EBF">
            <w:pPr>
              <w:pStyle w:val="ARtabletextrightbold"/>
            </w:pPr>
            <w:r>
              <w:t>28,199.3</w:t>
            </w:r>
          </w:p>
        </w:tc>
      </w:tr>
      <w:tr w:rsidR="00FA7EBF" w14:paraId="50697BBC" w14:textId="77777777" w:rsidTr="003075FD">
        <w:trPr>
          <w:cantSplit/>
        </w:trPr>
        <w:tc>
          <w:tcPr>
            <w:tcW w:w="7371" w:type="dxa"/>
            <w:tcBorders>
              <w:top w:val="single" w:sz="4" w:space="0" w:color="auto"/>
              <w:left w:val="single" w:sz="4" w:space="0" w:color="FFFFFF"/>
              <w:bottom w:val="single" w:sz="4" w:space="0" w:color="auto"/>
              <w:right w:val="single" w:sz="4" w:space="0" w:color="FFFFFF"/>
            </w:tcBorders>
            <w:hideMark/>
          </w:tcPr>
          <w:p w14:paraId="2D26707A" w14:textId="77777777" w:rsidR="00FA7EBF" w:rsidRDefault="00FA7EBF">
            <w:pPr>
              <w:pStyle w:val="ARtabletextbold"/>
            </w:pPr>
            <w:r>
              <w:t>Total assets</w:t>
            </w:r>
          </w:p>
        </w:tc>
        <w:tc>
          <w:tcPr>
            <w:tcW w:w="1134" w:type="dxa"/>
            <w:tcBorders>
              <w:top w:val="single" w:sz="4" w:space="0" w:color="auto"/>
              <w:left w:val="single" w:sz="4" w:space="0" w:color="FFFFFF"/>
              <w:bottom w:val="single" w:sz="4" w:space="0" w:color="auto"/>
              <w:right w:val="single" w:sz="4" w:space="0" w:color="FFFFFF"/>
            </w:tcBorders>
            <w:shd w:val="clear" w:color="auto" w:fill="E7E6E6"/>
            <w:hideMark/>
          </w:tcPr>
          <w:p w14:paraId="36B5B17E" w14:textId="77777777" w:rsidR="00FA7EBF" w:rsidRDefault="00FA7EBF">
            <w:pPr>
              <w:pStyle w:val="ARtabletextrightbold"/>
            </w:pPr>
            <w:r>
              <w:t>27,151.7</w:t>
            </w:r>
          </w:p>
        </w:tc>
        <w:tc>
          <w:tcPr>
            <w:tcW w:w="1134" w:type="dxa"/>
            <w:tcBorders>
              <w:top w:val="single" w:sz="4" w:space="0" w:color="auto"/>
              <w:left w:val="single" w:sz="4" w:space="0" w:color="FFFFFF"/>
              <w:bottom w:val="single" w:sz="4" w:space="0" w:color="auto"/>
              <w:right w:val="single" w:sz="4" w:space="0" w:color="FFFFFF"/>
            </w:tcBorders>
            <w:hideMark/>
          </w:tcPr>
          <w:p w14:paraId="7366F8F3" w14:textId="77777777" w:rsidR="00FA7EBF" w:rsidRDefault="00FA7EBF">
            <w:pPr>
              <w:pStyle w:val="ARtabletextrightbold"/>
            </w:pPr>
            <w:r>
              <w:t>28,872.8</w:t>
            </w:r>
          </w:p>
        </w:tc>
      </w:tr>
      <w:tr w:rsidR="00FA7EBF" w14:paraId="5A077428" w14:textId="77777777" w:rsidTr="003075FD">
        <w:trPr>
          <w:cantSplit/>
        </w:trPr>
        <w:tc>
          <w:tcPr>
            <w:tcW w:w="9639" w:type="dxa"/>
            <w:gridSpan w:val="3"/>
            <w:tcBorders>
              <w:top w:val="single" w:sz="4" w:space="0" w:color="auto"/>
              <w:left w:val="single" w:sz="4" w:space="0" w:color="FFFFFF"/>
              <w:bottom w:val="single" w:sz="4" w:space="0" w:color="A6A6A6"/>
              <w:right w:val="single" w:sz="4" w:space="0" w:color="FFFFFF"/>
            </w:tcBorders>
            <w:hideMark/>
          </w:tcPr>
          <w:p w14:paraId="79BCC611" w14:textId="77777777" w:rsidR="00FA7EBF" w:rsidRDefault="00FA7EBF">
            <w:pPr>
              <w:pStyle w:val="ARtabletextbold"/>
            </w:pPr>
            <w:r>
              <w:t>Liabilities</w:t>
            </w:r>
          </w:p>
        </w:tc>
      </w:tr>
      <w:tr w:rsidR="00FA7EBF" w14:paraId="112C2B15"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6B0017A4" w14:textId="77777777" w:rsidR="00FA7EBF" w:rsidRDefault="00FA7EBF">
            <w:pPr>
              <w:pStyle w:val="ARtabletext"/>
            </w:pPr>
            <w:r>
              <w:t>Payables</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7D97EB1B" w14:textId="77777777" w:rsidR="00FA7EBF" w:rsidRDefault="00FA7EBF">
            <w:pPr>
              <w:pStyle w:val="ARtabletextright"/>
            </w:pPr>
            <w:r>
              <w:t>67.7</w:t>
            </w:r>
          </w:p>
        </w:tc>
        <w:tc>
          <w:tcPr>
            <w:tcW w:w="1134" w:type="dxa"/>
            <w:tcBorders>
              <w:top w:val="single" w:sz="4" w:space="0" w:color="A6A6A6"/>
              <w:left w:val="single" w:sz="4" w:space="0" w:color="FFFFFF"/>
              <w:bottom w:val="single" w:sz="4" w:space="0" w:color="A6A6A6"/>
              <w:right w:val="single" w:sz="4" w:space="0" w:color="FFFFFF"/>
            </w:tcBorders>
            <w:hideMark/>
          </w:tcPr>
          <w:p w14:paraId="482366D1" w14:textId="77777777" w:rsidR="00FA7EBF" w:rsidRDefault="00FA7EBF">
            <w:pPr>
              <w:pStyle w:val="ARtabletextright"/>
            </w:pPr>
            <w:r>
              <w:t>92.6</w:t>
            </w:r>
          </w:p>
        </w:tc>
      </w:tr>
      <w:tr w:rsidR="00FA7EBF" w14:paraId="58086F64"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667D7F39" w14:textId="77777777" w:rsidR="00FA7EBF" w:rsidRDefault="00FA7EBF">
            <w:pPr>
              <w:pStyle w:val="ARtabletext"/>
            </w:pPr>
            <w:r>
              <w:t>Borrowings</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77868931" w14:textId="77777777" w:rsidR="00FA7EBF" w:rsidRDefault="00FA7EBF">
            <w:pPr>
              <w:pStyle w:val="ARtabletextright"/>
            </w:pPr>
            <w:r>
              <w:t>13.4</w:t>
            </w:r>
          </w:p>
        </w:tc>
        <w:tc>
          <w:tcPr>
            <w:tcW w:w="1134" w:type="dxa"/>
            <w:tcBorders>
              <w:top w:val="single" w:sz="4" w:space="0" w:color="A6A6A6"/>
              <w:left w:val="single" w:sz="4" w:space="0" w:color="FFFFFF"/>
              <w:bottom w:val="single" w:sz="4" w:space="0" w:color="A6A6A6"/>
              <w:right w:val="single" w:sz="4" w:space="0" w:color="FFFFFF"/>
            </w:tcBorders>
            <w:hideMark/>
          </w:tcPr>
          <w:p w14:paraId="7F4A14AF" w14:textId="77777777" w:rsidR="00FA7EBF" w:rsidRDefault="00FA7EBF">
            <w:pPr>
              <w:pStyle w:val="ARtabletextright"/>
            </w:pPr>
            <w:r>
              <w:t>13.4</w:t>
            </w:r>
          </w:p>
        </w:tc>
      </w:tr>
      <w:tr w:rsidR="00FA7EBF" w14:paraId="38E8D885" w14:textId="77777777" w:rsidTr="003075FD">
        <w:trPr>
          <w:cantSplit/>
        </w:trPr>
        <w:tc>
          <w:tcPr>
            <w:tcW w:w="7371" w:type="dxa"/>
            <w:tcBorders>
              <w:top w:val="single" w:sz="4" w:space="0" w:color="A6A6A6"/>
              <w:left w:val="single" w:sz="4" w:space="0" w:color="FFFFFF"/>
              <w:bottom w:val="single" w:sz="4" w:space="0" w:color="auto"/>
              <w:right w:val="single" w:sz="4" w:space="0" w:color="FFFFFF"/>
            </w:tcBorders>
            <w:hideMark/>
          </w:tcPr>
          <w:p w14:paraId="56A625DF" w14:textId="77777777" w:rsidR="00FA7EBF" w:rsidRDefault="00FA7EBF">
            <w:pPr>
              <w:pStyle w:val="ARtabletext"/>
            </w:pPr>
            <w:r>
              <w:t>Employee related provisions</w:t>
            </w:r>
          </w:p>
        </w:tc>
        <w:tc>
          <w:tcPr>
            <w:tcW w:w="1134" w:type="dxa"/>
            <w:tcBorders>
              <w:top w:val="single" w:sz="4" w:space="0" w:color="A6A6A6"/>
              <w:left w:val="single" w:sz="4" w:space="0" w:color="FFFFFF"/>
              <w:bottom w:val="single" w:sz="4" w:space="0" w:color="auto"/>
              <w:right w:val="single" w:sz="4" w:space="0" w:color="FFFFFF"/>
            </w:tcBorders>
            <w:shd w:val="clear" w:color="auto" w:fill="E7E6E6"/>
            <w:hideMark/>
          </w:tcPr>
          <w:p w14:paraId="3F07ADFC" w14:textId="77777777" w:rsidR="00FA7EBF" w:rsidRDefault="00FA7EBF">
            <w:pPr>
              <w:pStyle w:val="ARtabletextright"/>
            </w:pPr>
            <w:r>
              <w:t>85.4</w:t>
            </w:r>
          </w:p>
        </w:tc>
        <w:tc>
          <w:tcPr>
            <w:tcW w:w="1134" w:type="dxa"/>
            <w:tcBorders>
              <w:top w:val="single" w:sz="4" w:space="0" w:color="A6A6A6"/>
              <w:left w:val="single" w:sz="4" w:space="0" w:color="FFFFFF"/>
              <w:bottom w:val="single" w:sz="4" w:space="0" w:color="auto"/>
              <w:right w:val="single" w:sz="4" w:space="0" w:color="FFFFFF"/>
            </w:tcBorders>
            <w:hideMark/>
          </w:tcPr>
          <w:p w14:paraId="24AA6B73" w14:textId="77777777" w:rsidR="00FA7EBF" w:rsidRDefault="00FA7EBF">
            <w:pPr>
              <w:pStyle w:val="ARtabletextright"/>
            </w:pPr>
            <w:r>
              <w:t>80.6</w:t>
            </w:r>
          </w:p>
        </w:tc>
      </w:tr>
      <w:tr w:rsidR="00FA7EBF" w14:paraId="4E141A51" w14:textId="77777777" w:rsidTr="003075FD">
        <w:trPr>
          <w:cantSplit/>
        </w:trPr>
        <w:tc>
          <w:tcPr>
            <w:tcW w:w="7371" w:type="dxa"/>
            <w:tcBorders>
              <w:top w:val="single" w:sz="4" w:space="0" w:color="auto"/>
              <w:left w:val="single" w:sz="4" w:space="0" w:color="FFFFFF"/>
              <w:bottom w:val="single" w:sz="4" w:space="0" w:color="auto"/>
              <w:right w:val="single" w:sz="4" w:space="0" w:color="FFFFFF"/>
            </w:tcBorders>
            <w:hideMark/>
          </w:tcPr>
          <w:p w14:paraId="57C73391" w14:textId="77777777" w:rsidR="00FA7EBF" w:rsidRDefault="00FA7EBF">
            <w:pPr>
              <w:pStyle w:val="ARtabletextbold"/>
            </w:pPr>
            <w:r>
              <w:t>Total liabilities</w:t>
            </w:r>
          </w:p>
        </w:tc>
        <w:tc>
          <w:tcPr>
            <w:tcW w:w="1134" w:type="dxa"/>
            <w:tcBorders>
              <w:top w:val="single" w:sz="4" w:space="0" w:color="auto"/>
              <w:left w:val="single" w:sz="4" w:space="0" w:color="FFFFFF"/>
              <w:bottom w:val="single" w:sz="4" w:space="0" w:color="auto"/>
              <w:right w:val="single" w:sz="4" w:space="0" w:color="FFFFFF"/>
            </w:tcBorders>
            <w:shd w:val="clear" w:color="auto" w:fill="E7E6E6"/>
            <w:hideMark/>
          </w:tcPr>
          <w:p w14:paraId="101225EF" w14:textId="77777777" w:rsidR="00FA7EBF" w:rsidRDefault="00FA7EBF">
            <w:pPr>
              <w:pStyle w:val="ARtabletextrightbold"/>
            </w:pPr>
            <w:r>
              <w:t>166.5</w:t>
            </w:r>
          </w:p>
        </w:tc>
        <w:tc>
          <w:tcPr>
            <w:tcW w:w="1134" w:type="dxa"/>
            <w:tcBorders>
              <w:top w:val="single" w:sz="4" w:space="0" w:color="auto"/>
              <w:left w:val="single" w:sz="4" w:space="0" w:color="FFFFFF"/>
              <w:bottom w:val="single" w:sz="4" w:space="0" w:color="auto"/>
              <w:right w:val="single" w:sz="4" w:space="0" w:color="FFFFFF"/>
            </w:tcBorders>
            <w:hideMark/>
          </w:tcPr>
          <w:p w14:paraId="2345F6A7" w14:textId="77777777" w:rsidR="00FA7EBF" w:rsidRDefault="00FA7EBF">
            <w:pPr>
              <w:pStyle w:val="ARtabletextrightbold"/>
            </w:pPr>
            <w:r>
              <w:t>186.6</w:t>
            </w:r>
          </w:p>
        </w:tc>
      </w:tr>
      <w:tr w:rsidR="00FA7EBF" w14:paraId="43D10D59" w14:textId="77777777" w:rsidTr="003075FD">
        <w:trPr>
          <w:cantSplit/>
        </w:trPr>
        <w:tc>
          <w:tcPr>
            <w:tcW w:w="7371" w:type="dxa"/>
            <w:tcBorders>
              <w:top w:val="single" w:sz="4" w:space="0" w:color="auto"/>
              <w:left w:val="single" w:sz="4" w:space="0" w:color="FFFFFF"/>
              <w:bottom w:val="single" w:sz="4" w:space="0" w:color="auto"/>
              <w:right w:val="single" w:sz="4" w:space="0" w:color="FFFFFF"/>
            </w:tcBorders>
            <w:hideMark/>
          </w:tcPr>
          <w:p w14:paraId="7442715C" w14:textId="77777777" w:rsidR="00FA7EBF" w:rsidRDefault="00FA7EBF">
            <w:pPr>
              <w:pStyle w:val="ARtabletextbold"/>
            </w:pPr>
            <w:r>
              <w:t>Net assets</w:t>
            </w:r>
          </w:p>
        </w:tc>
        <w:tc>
          <w:tcPr>
            <w:tcW w:w="1134" w:type="dxa"/>
            <w:tcBorders>
              <w:top w:val="single" w:sz="4" w:space="0" w:color="auto"/>
              <w:left w:val="single" w:sz="4" w:space="0" w:color="FFFFFF"/>
              <w:bottom w:val="single" w:sz="4" w:space="0" w:color="auto"/>
              <w:right w:val="single" w:sz="4" w:space="0" w:color="FFFFFF"/>
            </w:tcBorders>
            <w:shd w:val="clear" w:color="auto" w:fill="E7E6E6"/>
            <w:hideMark/>
          </w:tcPr>
          <w:p w14:paraId="3403D1C1" w14:textId="77777777" w:rsidR="00FA7EBF" w:rsidRDefault="00FA7EBF">
            <w:pPr>
              <w:pStyle w:val="ARtabletextrightbold"/>
            </w:pPr>
            <w:r>
              <w:t>26,985.3</w:t>
            </w:r>
          </w:p>
        </w:tc>
        <w:tc>
          <w:tcPr>
            <w:tcW w:w="1134" w:type="dxa"/>
            <w:tcBorders>
              <w:top w:val="single" w:sz="4" w:space="0" w:color="auto"/>
              <w:left w:val="single" w:sz="4" w:space="0" w:color="FFFFFF"/>
              <w:bottom w:val="single" w:sz="4" w:space="0" w:color="auto"/>
              <w:right w:val="single" w:sz="4" w:space="0" w:color="FFFFFF"/>
            </w:tcBorders>
            <w:hideMark/>
          </w:tcPr>
          <w:p w14:paraId="1192B25B" w14:textId="77777777" w:rsidR="00FA7EBF" w:rsidRDefault="00FA7EBF">
            <w:pPr>
              <w:pStyle w:val="ARtabletextrightbold"/>
            </w:pPr>
            <w:r>
              <w:t>28,686.2</w:t>
            </w:r>
          </w:p>
        </w:tc>
      </w:tr>
      <w:tr w:rsidR="00FA7EBF" w14:paraId="1E92D8BF" w14:textId="77777777" w:rsidTr="003075FD">
        <w:trPr>
          <w:cantSplit/>
        </w:trPr>
        <w:tc>
          <w:tcPr>
            <w:tcW w:w="9639" w:type="dxa"/>
            <w:gridSpan w:val="3"/>
            <w:tcBorders>
              <w:top w:val="single" w:sz="4" w:space="0" w:color="auto"/>
              <w:left w:val="single" w:sz="4" w:space="0" w:color="FFFFFF"/>
              <w:bottom w:val="single" w:sz="4" w:space="0" w:color="A6A6A6"/>
              <w:right w:val="single" w:sz="4" w:space="0" w:color="FFFFFF"/>
            </w:tcBorders>
            <w:hideMark/>
          </w:tcPr>
          <w:p w14:paraId="45F9E354" w14:textId="77777777" w:rsidR="00FA7EBF" w:rsidRDefault="00FA7EBF">
            <w:pPr>
              <w:pStyle w:val="ARtabletextbold"/>
            </w:pPr>
            <w:r>
              <w:t>Equity</w:t>
            </w:r>
          </w:p>
        </w:tc>
      </w:tr>
      <w:tr w:rsidR="00FA7EBF" w14:paraId="45B4D70A"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0291D8F4" w14:textId="77777777" w:rsidR="00FA7EBF" w:rsidRDefault="00FA7EBF">
            <w:pPr>
              <w:pStyle w:val="ARtabletext"/>
            </w:pPr>
            <w:r>
              <w:t>Accumulated surplus/(deficit)</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303CB9A5" w14:textId="77777777" w:rsidR="00FA7EBF" w:rsidRDefault="00FA7EBF">
            <w:pPr>
              <w:pStyle w:val="ARtabletextright"/>
            </w:pPr>
            <w:r>
              <w:t>(585.1)</w:t>
            </w:r>
          </w:p>
        </w:tc>
        <w:tc>
          <w:tcPr>
            <w:tcW w:w="1134" w:type="dxa"/>
            <w:tcBorders>
              <w:top w:val="single" w:sz="4" w:space="0" w:color="A6A6A6"/>
              <w:left w:val="single" w:sz="4" w:space="0" w:color="FFFFFF"/>
              <w:bottom w:val="single" w:sz="4" w:space="0" w:color="A6A6A6"/>
              <w:right w:val="single" w:sz="4" w:space="0" w:color="FFFFFF"/>
            </w:tcBorders>
            <w:hideMark/>
          </w:tcPr>
          <w:p w14:paraId="24AAC0D8" w14:textId="77777777" w:rsidR="00FA7EBF" w:rsidRDefault="00FA7EBF">
            <w:pPr>
              <w:pStyle w:val="ARtabletextright"/>
            </w:pPr>
            <w:r>
              <w:t>(306.8)</w:t>
            </w:r>
          </w:p>
        </w:tc>
      </w:tr>
      <w:tr w:rsidR="00FA7EBF" w14:paraId="7365485B"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45AA79CB" w14:textId="77777777" w:rsidR="00FA7EBF" w:rsidRDefault="00FA7EBF">
            <w:pPr>
              <w:pStyle w:val="ARtabletext"/>
            </w:pPr>
            <w:r>
              <w:t>Physical asset revaluation surplus</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380F2E73" w14:textId="77777777" w:rsidR="00FA7EBF" w:rsidRDefault="00FA7EBF">
            <w:pPr>
              <w:pStyle w:val="ARtabletextright"/>
            </w:pPr>
            <w:r>
              <w:t>6,715.3</w:t>
            </w:r>
          </w:p>
        </w:tc>
        <w:tc>
          <w:tcPr>
            <w:tcW w:w="1134" w:type="dxa"/>
            <w:tcBorders>
              <w:top w:val="single" w:sz="4" w:space="0" w:color="A6A6A6"/>
              <w:left w:val="single" w:sz="4" w:space="0" w:color="FFFFFF"/>
              <w:bottom w:val="single" w:sz="4" w:space="0" w:color="A6A6A6"/>
              <w:right w:val="single" w:sz="4" w:space="0" w:color="FFFFFF"/>
            </w:tcBorders>
            <w:hideMark/>
          </w:tcPr>
          <w:p w14:paraId="3975B31E" w14:textId="77777777" w:rsidR="00FA7EBF" w:rsidRDefault="00FA7EBF">
            <w:pPr>
              <w:pStyle w:val="ARtabletextright"/>
            </w:pPr>
            <w:r>
              <w:t>8,001.5</w:t>
            </w:r>
          </w:p>
        </w:tc>
      </w:tr>
      <w:tr w:rsidR="00FA7EBF" w14:paraId="7642DBA7" w14:textId="77777777" w:rsidTr="003075FD">
        <w:trPr>
          <w:cantSplit/>
        </w:trPr>
        <w:tc>
          <w:tcPr>
            <w:tcW w:w="7371" w:type="dxa"/>
            <w:tcBorders>
              <w:top w:val="single" w:sz="4" w:space="0" w:color="A6A6A6"/>
              <w:left w:val="single" w:sz="4" w:space="0" w:color="FFFFFF"/>
              <w:bottom w:val="single" w:sz="4" w:space="0" w:color="auto"/>
              <w:right w:val="single" w:sz="4" w:space="0" w:color="FFFFFF"/>
            </w:tcBorders>
            <w:hideMark/>
          </w:tcPr>
          <w:p w14:paraId="0F95CFAF" w14:textId="77777777" w:rsidR="00FA7EBF" w:rsidRDefault="00FA7EBF">
            <w:pPr>
              <w:pStyle w:val="ARtabletext"/>
            </w:pPr>
            <w:r>
              <w:t>Contributed capital</w:t>
            </w:r>
          </w:p>
        </w:tc>
        <w:tc>
          <w:tcPr>
            <w:tcW w:w="1134" w:type="dxa"/>
            <w:tcBorders>
              <w:top w:val="single" w:sz="4" w:space="0" w:color="A6A6A6"/>
              <w:left w:val="single" w:sz="4" w:space="0" w:color="FFFFFF"/>
              <w:bottom w:val="single" w:sz="4" w:space="0" w:color="auto"/>
              <w:right w:val="single" w:sz="4" w:space="0" w:color="FFFFFF"/>
            </w:tcBorders>
            <w:shd w:val="clear" w:color="auto" w:fill="E7E6E6"/>
            <w:hideMark/>
          </w:tcPr>
          <w:p w14:paraId="014D3389" w14:textId="77777777" w:rsidR="00FA7EBF" w:rsidRDefault="00FA7EBF">
            <w:pPr>
              <w:pStyle w:val="ARtabletextright"/>
            </w:pPr>
            <w:r>
              <w:t>20,855.1</w:t>
            </w:r>
          </w:p>
        </w:tc>
        <w:tc>
          <w:tcPr>
            <w:tcW w:w="1134" w:type="dxa"/>
            <w:tcBorders>
              <w:top w:val="single" w:sz="4" w:space="0" w:color="A6A6A6"/>
              <w:left w:val="single" w:sz="4" w:space="0" w:color="FFFFFF"/>
              <w:bottom w:val="single" w:sz="4" w:space="0" w:color="auto"/>
              <w:right w:val="single" w:sz="4" w:space="0" w:color="FFFFFF"/>
            </w:tcBorders>
            <w:hideMark/>
          </w:tcPr>
          <w:p w14:paraId="09BEC2C6" w14:textId="77777777" w:rsidR="00FA7EBF" w:rsidRDefault="00FA7EBF">
            <w:pPr>
              <w:pStyle w:val="ARtabletextright"/>
            </w:pPr>
            <w:r>
              <w:t>20,991.5</w:t>
            </w:r>
          </w:p>
        </w:tc>
      </w:tr>
      <w:tr w:rsidR="00FA7EBF" w14:paraId="6BA20D9D" w14:textId="77777777" w:rsidTr="003075FD">
        <w:trPr>
          <w:cantSplit/>
        </w:trPr>
        <w:tc>
          <w:tcPr>
            <w:tcW w:w="7371" w:type="dxa"/>
            <w:tcBorders>
              <w:top w:val="single" w:sz="4" w:space="0" w:color="auto"/>
              <w:left w:val="single" w:sz="4" w:space="0" w:color="FFFFFF"/>
              <w:bottom w:val="single" w:sz="4" w:space="0" w:color="auto"/>
              <w:right w:val="single" w:sz="4" w:space="0" w:color="FFFFFF"/>
            </w:tcBorders>
            <w:hideMark/>
          </w:tcPr>
          <w:p w14:paraId="7DF18412" w14:textId="77777777" w:rsidR="00FA7EBF" w:rsidRDefault="00FA7EBF">
            <w:pPr>
              <w:pStyle w:val="ARtabletextbold"/>
            </w:pPr>
            <w:r>
              <w:t>Net worth</w:t>
            </w:r>
          </w:p>
        </w:tc>
        <w:tc>
          <w:tcPr>
            <w:tcW w:w="1134" w:type="dxa"/>
            <w:tcBorders>
              <w:top w:val="single" w:sz="4" w:space="0" w:color="auto"/>
              <w:left w:val="single" w:sz="4" w:space="0" w:color="FFFFFF"/>
              <w:bottom w:val="single" w:sz="4" w:space="0" w:color="auto"/>
              <w:right w:val="single" w:sz="4" w:space="0" w:color="FFFFFF"/>
            </w:tcBorders>
            <w:shd w:val="clear" w:color="auto" w:fill="E7E6E6"/>
            <w:hideMark/>
          </w:tcPr>
          <w:p w14:paraId="3564AC70" w14:textId="77777777" w:rsidR="00FA7EBF" w:rsidRDefault="00FA7EBF">
            <w:pPr>
              <w:pStyle w:val="ARtabletextrightbold"/>
            </w:pPr>
            <w:r>
              <w:t>26,985.3</w:t>
            </w:r>
          </w:p>
        </w:tc>
        <w:tc>
          <w:tcPr>
            <w:tcW w:w="1134" w:type="dxa"/>
            <w:tcBorders>
              <w:top w:val="single" w:sz="4" w:space="0" w:color="auto"/>
              <w:left w:val="single" w:sz="4" w:space="0" w:color="FFFFFF"/>
              <w:bottom w:val="single" w:sz="4" w:space="0" w:color="auto"/>
              <w:right w:val="single" w:sz="4" w:space="0" w:color="FFFFFF"/>
            </w:tcBorders>
            <w:hideMark/>
          </w:tcPr>
          <w:p w14:paraId="72380EF0" w14:textId="77777777" w:rsidR="00FA7EBF" w:rsidRDefault="00FA7EBF">
            <w:pPr>
              <w:pStyle w:val="ARtabletextrightbold"/>
            </w:pPr>
            <w:r>
              <w:t>28,686.2</w:t>
            </w:r>
          </w:p>
        </w:tc>
      </w:tr>
    </w:tbl>
    <w:p w14:paraId="42F126C3" w14:textId="77777777" w:rsidR="00FA7EBF" w:rsidRDefault="00FA7EBF" w:rsidP="003075FD">
      <w:pPr>
        <w:pStyle w:val="ARtablefootnote"/>
      </w:pPr>
      <w:r>
        <w:t>Note:</w:t>
      </w:r>
    </w:p>
    <w:p w14:paraId="3868E1E1" w14:textId="77777777" w:rsidR="00FA7EBF" w:rsidRDefault="00FA7EBF" w:rsidP="00326F42">
      <w:pPr>
        <w:pStyle w:val="ARtablefootnoteroman"/>
        <w:numPr>
          <w:ilvl w:val="0"/>
          <w:numId w:val="35"/>
        </w:numPr>
      </w:pPr>
      <w:r>
        <w:t>In 2018–19, the Director of Housing transitioned to the Department of Treasury and Finance Central Banking System. This transition required all Treasury Corporate Victoria term deposits maturing in 2018–19 to be transferred into a Central Banking System at-call account, resulting in a reallocation of funds from the Short-term investments line to the Cash and deposits line.</w:t>
      </w:r>
    </w:p>
    <w:p w14:paraId="2AAE42D1" w14:textId="77777777" w:rsidR="00FA7EBF" w:rsidRDefault="00FA7EBF" w:rsidP="003075FD">
      <w:pPr>
        <w:pStyle w:val="ARbody"/>
      </w:pPr>
      <w:r>
        <w:br w:type="page"/>
      </w:r>
    </w:p>
    <w:p w14:paraId="7A4609BD" w14:textId="77777777" w:rsidR="00FA7EBF" w:rsidRDefault="00FA7EBF" w:rsidP="003075FD">
      <w:pPr>
        <w:pStyle w:val="Heading3"/>
      </w:pPr>
      <w:r>
        <w:t>Statement of changes in equity for the financial year ended 30 June 2019</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3969"/>
        <w:gridCol w:w="1419"/>
        <w:gridCol w:w="1419"/>
        <w:gridCol w:w="1419"/>
        <w:gridCol w:w="1419"/>
      </w:tblGrid>
      <w:tr w:rsidR="00FA7EBF" w14:paraId="2E4E503A" w14:textId="77777777" w:rsidTr="003075FD">
        <w:trPr>
          <w:cantSplit/>
          <w:tblHeader/>
        </w:trPr>
        <w:tc>
          <w:tcPr>
            <w:tcW w:w="3967" w:type="dxa"/>
            <w:tcBorders>
              <w:top w:val="nil"/>
              <w:left w:val="single" w:sz="4" w:space="0" w:color="FFFFFF"/>
              <w:bottom w:val="single" w:sz="4" w:space="0" w:color="auto"/>
              <w:right w:val="single" w:sz="4" w:space="0" w:color="FFFFFF"/>
            </w:tcBorders>
            <w:vAlign w:val="bottom"/>
          </w:tcPr>
          <w:p w14:paraId="6BF0923E" w14:textId="77777777" w:rsidR="00FA7EBF" w:rsidRDefault="00FA7EBF">
            <w:pPr>
              <w:pStyle w:val="ARtablecolhead"/>
            </w:pPr>
          </w:p>
        </w:tc>
        <w:tc>
          <w:tcPr>
            <w:tcW w:w="1418" w:type="dxa"/>
            <w:tcBorders>
              <w:top w:val="nil"/>
              <w:left w:val="single" w:sz="4" w:space="0" w:color="FFFFFF"/>
              <w:bottom w:val="single" w:sz="4" w:space="0" w:color="auto"/>
              <w:right w:val="single" w:sz="4" w:space="0" w:color="FFFFFF"/>
            </w:tcBorders>
            <w:vAlign w:val="bottom"/>
            <w:hideMark/>
          </w:tcPr>
          <w:p w14:paraId="072734A9" w14:textId="77777777" w:rsidR="00FA7EBF" w:rsidRPr="0045543B" w:rsidRDefault="00FA7EBF">
            <w:pPr>
              <w:pStyle w:val="ARtablecolheadright"/>
            </w:pPr>
            <w:r w:rsidRPr="0045543B">
              <w:t>Physical asset revaluation reserve</w:t>
            </w:r>
          </w:p>
          <w:p w14:paraId="061BECAC" w14:textId="77777777" w:rsidR="00FA7EBF" w:rsidRPr="0045543B" w:rsidRDefault="00FA7EBF">
            <w:pPr>
              <w:pStyle w:val="ARtablecolheadright"/>
            </w:pPr>
            <w:r w:rsidRPr="0045543B">
              <w:t>$M</w:t>
            </w:r>
          </w:p>
        </w:tc>
        <w:tc>
          <w:tcPr>
            <w:tcW w:w="1418" w:type="dxa"/>
            <w:tcBorders>
              <w:top w:val="nil"/>
              <w:left w:val="single" w:sz="4" w:space="0" w:color="FFFFFF"/>
              <w:bottom w:val="single" w:sz="4" w:space="0" w:color="auto"/>
              <w:right w:val="single" w:sz="4" w:space="0" w:color="FFFFFF"/>
            </w:tcBorders>
            <w:vAlign w:val="bottom"/>
            <w:hideMark/>
          </w:tcPr>
          <w:p w14:paraId="78533B94" w14:textId="77777777" w:rsidR="00FA7EBF" w:rsidRPr="0045543B" w:rsidRDefault="00FA7EBF">
            <w:pPr>
              <w:pStyle w:val="ARtablecolheadright"/>
            </w:pPr>
            <w:r w:rsidRPr="0045543B">
              <w:t>Accumulated surplus/ (deficit)</w:t>
            </w:r>
          </w:p>
          <w:p w14:paraId="2C218657" w14:textId="77777777" w:rsidR="00FA7EBF" w:rsidRPr="0045543B" w:rsidRDefault="00FA7EBF">
            <w:pPr>
              <w:pStyle w:val="ARtablecolheadright"/>
            </w:pPr>
            <w:r w:rsidRPr="0045543B">
              <w:t>$M</w:t>
            </w:r>
          </w:p>
        </w:tc>
        <w:tc>
          <w:tcPr>
            <w:tcW w:w="1418" w:type="dxa"/>
            <w:tcBorders>
              <w:top w:val="nil"/>
              <w:left w:val="single" w:sz="4" w:space="0" w:color="FFFFFF"/>
              <w:bottom w:val="single" w:sz="4" w:space="0" w:color="auto"/>
              <w:right w:val="single" w:sz="4" w:space="0" w:color="FFFFFF"/>
            </w:tcBorders>
            <w:vAlign w:val="bottom"/>
            <w:hideMark/>
          </w:tcPr>
          <w:p w14:paraId="1D2B8EE6" w14:textId="77777777" w:rsidR="00FA7EBF" w:rsidRPr="0045543B" w:rsidRDefault="00FA7EBF">
            <w:pPr>
              <w:pStyle w:val="ARtablecolheadright"/>
            </w:pPr>
            <w:r w:rsidRPr="0045543B">
              <w:t>Contributed capital</w:t>
            </w:r>
          </w:p>
          <w:p w14:paraId="2B15D87C" w14:textId="77777777" w:rsidR="00FA7EBF" w:rsidRPr="0045543B" w:rsidRDefault="00FA7EBF">
            <w:pPr>
              <w:pStyle w:val="ARtablecolheadright"/>
            </w:pPr>
            <w:r w:rsidRPr="0045543B">
              <w:t>$M</w:t>
            </w:r>
          </w:p>
        </w:tc>
        <w:tc>
          <w:tcPr>
            <w:tcW w:w="1418" w:type="dxa"/>
            <w:tcBorders>
              <w:top w:val="nil"/>
              <w:left w:val="single" w:sz="4" w:space="0" w:color="FFFFFF"/>
              <w:bottom w:val="single" w:sz="4" w:space="0" w:color="auto"/>
              <w:right w:val="single" w:sz="4" w:space="0" w:color="FFFFFF"/>
            </w:tcBorders>
            <w:vAlign w:val="bottom"/>
            <w:hideMark/>
          </w:tcPr>
          <w:p w14:paraId="001ED91A" w14:textId="77777777" w:rsidR="00FA7EBF" w:rsidRPr="0045543B" w:rsidRDefault="00FA7EBF">
            <w:pPr>
              <w:pStyle w:val="ARtablecolheadright"/>
            </w:pPr>
            <w:r w:rsidRPr="0045543B">
              <w:t>Total</w:t>
            </w:r>
          </w:p>
          <w:p w14:paraId="3A7B7BEF" w14:textId="77777777" w:rsidR="00FA7EBF" w:rsidRPr="0045543B" w:rsidRDefault="00FA7EBF">
            <w:pPr>
              <w:pStyle w:val="ARtablecolheadright"/>
            </w:pPr>
            <w:r w:rsidRPr="0045543B">
              <w:t>$M</w:t>
            </w:r>
          </w:p>
        </w:tc>
      </w:tr>
      <w:tr w:rsidR="00FA7EBF" w14:paraId="7CAE5833" w14:textId="77777777" w:rsidTr="003075FD">
        <w:trPr>
          <w:cantSplit/>
        </w:trPr>
        <w:tc>
          <w:tcPr>
            <w:tcW w:w="3967" w:type="dxa"/>
            <w:tcBorders>
              <w:top w:val="single" w:sz="4" w:space="0" w:color="auto"/>
              <w:left w:val="single" w:sz="4" w:space="0" w:color="FFFFFF"/>
              <w:bottom w:val="single" w:sz="4" w:space="0" w:color="auto"/>
              <w:right w:val="single" w:sz="4" w:space="0" w:color="FFFFFF"/>
            </w:tcBorders>
            <w:hideMark/>
          </w:tcPr>
          <w:p w14:paraId="0D687F1D" w14:textId="77777777" w:rsidR="00FA7EBF" w:rsidRDefault="00FA7EBF">
            <w:pPr>
              <w:pStyle w:val="ARtabletextbold"/>
            </w:pPr>
            <w:r>
              <w:t>Balance at 1 July 2017</w:t>
            </w:r>
          </w:p>
        </w:tc>
        <w:tc>
          <w:tcPr>
            <w:tcW w:w="1418" w:type="dxa"/>
            <w:tcBorders>
              <w:top w:val="single" w:sz="4" w:space="0" w:color="auto"/>
              <w:left w:val="single" w:sz="4" w:space="0" w:color="FFFFFF"/>
              <w:bottom w:val="single" w:sz="4" w:space="0" w:color="auto"/>
              <w:right w:val="single" w:sz="4" w:space="0" w:color="FFFFFF"/>
            </w:tcBorders>
            <w:hideMark/>
          </w:tcPr>
          <w:p w14:paraId="7CE13E4B" w14:textId="77777777" w:rsidR="00FA7EBF" w:rsidRDefault="00FA7EBF">
            <w:pPr>
              <w:pStyle w:val="ARtabletextrightbold"/>
            </w:pPr>
            <w:r>
              <w:t>4,244.2</w:t>
            </w:r>
          </w:p>
        </w:tc>
        <w:tc>
          <w:tcPr>
            <w:tcW w:w="1418" w:type="dxa"/>
            <w:tcBorders>
              <w:top w:val="single" w:sz="4" w:space="0" w:color="auto"/>
              <w:left w:val="single" w:sz="4" w:space="0" w:color="FFFFFF"/>
              <w:bottom w:val="single" w:sz="4" w:space="0" w:color="auto"/>
              <w:right w:val="single" w:sz="4" w:space="0" w:color="FFFFFF"/>
            </w:tcBorders>
            <w:hideMark/>
          </w:tcPr>
          <w:p w14:paraId="681FBD61" w14:textId="77777777" w:rsidR="00FA7EBF" w:rsidRDefault="00FA7EBF">
            <w:pPr>
              <w:pStyle w:val="ARtabletextrightbold"/>
            </w:pPr>
            <w:r>
              <w:t>(205.1)</w:t>
            </w:r>
          </w:p>
        </w:tc>
        <w:tc>
          <w:tcPr>
            <w:tcW w:w="1418" w:type="dxa"/>
            <w:tcBorders>
              <w:top w:val="single" w:sz="4" w:space="0" w:color="auto"/>
              <w:left w:val="single" w:sz="4" w:space="0" w:color="FFFFFF"/>
              <w:bottom w:val="single" w:sz="4" w:space="0" w:color="auto"/>
              <w:right w:val="single" w:sz="4" w:space="0" w:color="FFFFFF"/>
            </w:tcBorders>
            <w:hideMark/>
          </w:tcPr>
          <w:p w14:paraId="24B10F14" w14:textId="77777777" w:rsidR="00FA7EBF" w:rsidRDefault="00FA7EBF">
            <w:pPr>
              <w:pStyle w:val="ARtabletextrightbold"/>
            </w:pPr>
            <w:r>
              <w:t>20,860.1</w:t>
            </w:r>
          </w:p>
        </w:tc>
        <w:tc>
          <w:tcPr>
            <w:tcW w:w="1418" w:type="dxa"/>
            <w:tcBorders>
              <w:top w:val="single" w:sz="4" w:space="0" w:color="auto"/>
              <w:left w:val="single" w:sz="4" w:space="0" w:color="FFFFFF"/>
              <w:bottom w:val="single" w:sz="4" w:space="0" w:color="auto"/>
              <w:right w:val="single" w:sz="4" w:space="0" w:color="FFFFFF"/>
            </w:tcBorders>
            <w:hideMark/>
          </w:tcPr>
          <w:p w14:paraId="379C27C4" w14:textId="77777777" w:rsidR="00FA7EBF" w:rsidRDefault="00FA7EBF">
            <w:pPr>
              <w:pStyle w:val="ARtabletextrightbold"/>
            </w:pPr>
            <w:r>
              <w:t>24,899.2</w:t>
            </w:r>
          </w:p>
        </w:tc>
      </w:tr>
      <w:tr w:rsidR="00FA7EBF" w14:paraId="510F04C9" w14:textId="77777777" w:rsidTr="003075FD">
        <w:trPr>
          <w:cantSplit/>
        </w:trPr>
        <w:tc>
          <w:tcPr>
            <w:tcW w:w="3967" w:type="dxa"/>
            <w:tcBorders>
              <w:top w:val="single" w:sz="4" w:space="0" w:color="A6A6A6"/>
              <w:left w:val="single" w:sz="4" w:space="0" w:color="FFFFFF"/>
              <w:bottom w:val="single" w:sz="4" w:space="0" w:color="A6A6A6"/>
              <w:right w:val="single" w:sz="4" w:space="0" w:color="FFFFFF"/>
            </w:tcBorders>
            <w:hideMark/>
          </w:tcPr>
          <w:p w14:paraId="477AA01A" w14:textId="77777777" w:rsidR="00FA7EBF" w:rsidRDefault="00FA7EBF">
            <w:pPr>
              <w:pStyle w:val="ARtabletext"/>
            </w:pPr>
            <w:r>
              <w:t>Net result for the year</w:t>
            </w:r>
          </w:p>
        </w:tc>
        <w:tc>
          <w:tcPr>
            <w:tcW w:w="1418" w:type="dxa"/>
            <w:tcBorders>
              <w:top w:val="single" w:sz="4" w:space="0" w:color="A6A6A6"/>
              <w:left w:val="single" w:sz="4" w:space="0" w:color="FFFFFF"/>
              <w:bottom w:val="single" w:sz="4" w:space="0" w:color="A6A6A6"/>
              <w:right w:val="single" w:sz="4" w:space="0" w:color="FFFFFF"/>
            </w:tcBorders>
            <w:hideMark/>
          </w:tcPr>
          <w:p w14:paraId="465CDDC9" w14:textId="77777777" w:rsidR="00FA7EBF" w:rsidRDefault="00FA7EBF">
            <w:pPr>
              <w:pStyle w:val="ARtabletextright"/>
            </w:pPr>
            <w:r>
              <w:t>–</w:t>
            </w:r>
          </w:p>
        </w:tc>
        <w:tc>
          <w:tcPr>
            <w:tcW w:w="1418" w:type="dxa"/>
            <w:tcBorders>
              <w:top w:val="single" w:sz="4" w:space="0" w:color="A6A6A6"/>
              <w:left w:val="single" w:sz="4" w:space="0" w:color="FFFFFF"/>
              <w:bottom w:val="single" w:sz="4" w:space="0" w:color="A6A6A6"/>
              <w:right w:val="single" w:sz="4" w:space="0" w:color="FFFFFF"/>
            </w:tcBorders>
            <w:hideMark/>
          </w:tcPr>
          <w:p w14:paraId="73B547C6" w14:textId="77777777" w:rsidR="00FA7EBF" w:rsidRDefault="00FA7EBF">
            <w:pPr>
              <w:pStyle w:val="ARtabletextright"/>
            </w:pPr>
            <w:r>
              <w:t>(101.4)</w:t>
            </w:r>
          </w:p>
        </w:tc>
        <w:tc>
          <w:tcPr>
            <w:tcW w:w="1418" w:type="dxa"/>
            <w:tcBorders>
              <w:top w:val="single" w:sz="4" w:space="0" w:color="A6A6A6"/>
              <w:left w:val="single" w:sz="4" w:space="0" w:color="FFFFFF"/>
              <w:bottom w:val="single" w:sz="4" w:space="0" w:color="A6A6A6"/>
              <w:right w:val="single" w:sz="4" w:space="0" w:color="FFFFFF"/>
            </w:tcBorders>
            <w:hideMark/>
          </w:tcPr>
          <w:p w14:paraId="0C8F7C61" w14:textId="77777777" w:rsidR="00FA7EBF" w:rsidRDefault="00FA7EBF">
            <w:pPr>
              <w:pStyle w:val="ARtabletextright"/>
            </w:pPr>
            <w:r>
              <w:t>–</w:t>
            </w:r>
          </w:p>
        </w:tc>
        <w:tc>
          <w:tcPr>
            <w:tcW w:w="1418" w:type="dxa"/>
            <w:tcBorders>
              <w:top w:val="single" w:sz="4" w:space="0" w:color="A6A6A6"/>
              <w:left w:val="single" w:sz="4" w:space="0" w:color="FFFFFF"/>
              <w:bottom w:val="single" w:sz="4" w:space="0" w:color="A6A6A6"/>
              <w:right w:val="single" w:sz="4" w:space="0" w:color="FFFFFF"/>
            </w:tcBorders>
            <w:hideMark/>
          </w:tcPr>
          <w:p w14:paraId="77A35C0B" w14:textId="77777777" w:rsidR="00FA7EBF" w:rsidRDefault="00FA7EBF">
            <w:pPr>
              <w:pStyle w:val="ARtabletextright"/>
            </w:pPr>
            <w:r>
              <w:t>(101.4)</w:t>
            </w:r>
          </w:p>
        </w:tc>
      </w:tr>
      <w:tr w:rsidR="00FA7EBF" w14:paraId="5E11E394" w14:textId="77777777" w:rsidTr="003075FD">
        <w:trPr>
          <w:cantSplit/>
        </w:trPr>
        <w:tc>
          <w:tcPr>
            <w:tcW w:w="3967" w:type="dxa"/>
            <w:tcBorders>
              <w:top w:val="single" w:sz="4" w:space="0" w:color="A6A6A6"/>
              <w:left w:val="single" w:sz="4" w:space="0" w:color="FFFFFF"/>
              <w:bottom w:val="single" w:sz="4" w:space="0" w:color="A6A6A6"/>
              <w:right w:val="single" w:sz="4" w:space="0" w:color="FFFFFF"/>
            </w:tcBorders>
            <w:hideMark/>
          </w:tcPr>
          <w:p w14:paraId="48377759" w14:textId="77777777" w:rsidR="00FA7EBF" w:rsidRDefault="00FA7EBF">
            <w:pPr>
              <w:pStyle w:val="ARtabletext"/>
            </w:pPr>
            <w:r>
              <w:t>Remeasurement of superannuation defined benefit plans</w:t>
            </w:r>
          </w:p>
        </w:tc>
        <w:tc>
          <w:tcPr>
            <w:tcW w:w="1418" w:type="dxa"/>
            <w:tcBorders>
              <w:top w:val="single" w:sz="4" w:space="0" w:color="A6A6A6"/>
              <w:left w:val="single" w:sz="4" w:space="0" w:color="FFFFFF"/>
              <w:bottom w:val="single" w:sz="4" w:space="0" w:color="A6A6A6"/>
              <w:right w:val="single" w:sz="4" w:space="0" w:color="FFFFFF"/>
            </w:tcBorders>
            <w:hideMark/>
          </w:tcPr>
          <w:p w14:paraId="12EA737E" w14:textId="77777777" w:rsidR="00FA7EBF" w:rsidRDefault="00FA7EBF">
            <w:pPr>
              <w:pStyle w:val="ARtabletextright"/>
            </w:pPr>
            <w:r>
              <w:t>–</w:t>
            </w:r>
          </w:p>
        </w:tc>
        <w:tc>
          <w:tcPr>
            <w:tcW w:w="1418" w:type="dxa"/>
            <w:tcBorders>
              <w:top w:val="single" w:sz="4" w:space="0" w:color="A6A6A6"/>
              <w:left w:val="single" w:sz="4" w:space="0" w:color="FFFFFF"/>
              <w:bottom w:val="single" w:sz="4" w:space="0" w:color="A6A6A6"/>
              <w:right w:val="single" w:sz="4" w:space="0" w:color="FFFFFF"/>
            </w:tcBorders>
            <w:hideMark/>
          </w:tcPr>
          <w:p w14:paraId="475D5A4D" w14:textId="77777777" w:rsidR="00FA7EBF" w:rsidRDefault="00FA7EBF">
            <w:pPr>
              <w:pStyle w:val="ARtabletextright"/>
            </w:pPr>
            <w:r>
              <w:t>(0.3)</w:t>
            </w:r>
          </w:p>
        </w:tc>
        <w:tc>
          <w:tcPr>
            <w:tcW w:w="1418" w:type="dxa"/>
            <w:tcBorders>
              <w:top w:val="single" w:sz="4" w:space="0" w:color="A6A6A6"/>
              <w:left w:val="single" w:sz="4" w:space="0" w:color="FFFFFF"/>
              <w:bottom w:val="single" w:sz="4" w:space="0" w:color="A6A6A6"/>
              <w:right w:val="single" w:sz="4" w:space="0" w:color="FFFFFF"/>
            </w:tcBorders>
            <w:hideMark/>
          </w:tcPr>
          <w:p w14:paraId="635E1848" w14:textId="77777777" w:rsidR="00FA7EBF" w:rsidRDefault="00FA7EBF">
            <w:pPr>
              <w:pStyle w:val="ARtabletextright"/>
            </w:pPr>
            <w:r>
              <w:t>–</w:t>
            </w:r>
          </w:p>
        </w:tc>
        <w:tc>
          <w:tcPr>
            <w:tcW w:w="1418" w:type="dxa"/>
            <w:tcBorders>
              <w:top w:val="single" w:sz="4" w:space="0" w:color="A6A6A6"/>
              <w:left w:val="single" w:sz="4" w:space="0" w:color="FFFFFF"/>
              <w:bottom w:val="single" w:sz="4" w:space="0" w:color="A6A6A6"/>
              <w:right w:val="single" w:sz="4" w:space="0" w:color="FFFFFF"/>
            </w:tcBorders>
            <w:hideMark/>
          </w:tcPr>
          <w:p w14:paraId="2BD679F8" w14:textId="77777777" w:rsidR="00FA7EBF" w:rsidRDefault="00FA7EBF">
            <w:pPr>
              <w:pStyle w:val="ARtabletextright"/>
            </w:pPr>
            <w:r>
              <w:t>(0.3)</w:t>
            </w:r>
          </w:p>
        </w:tc>
      </w:tr>
      <w:tr w:rsidR="00FA7EBF" w14:paraId="37ED5B4F" w14:textId="77777777" w:rsidTr="003075FD">
        <w:trPr>
          <w:cantSplit/>
        </w:trPr>
        <w:tc>
          <w:tcPr>
            <w:tcW w:w="3967" w:type="dxa"/>
            <w:tcBorders>
              <w:top w:val="single" w:sz="4" w:space="0" w:color="A6A6A6"/>
              <w:left w:val="single" w:sz="4" w:space="0" w:color="FFFFFF"/>
              <w:bottom w:val="single" w:sz="4" w:space="0" w:color="A6A6A6"/>
              <w:right w:val="single" w:sz="4" w:space="0" w:color="FFFFFF"/>
            </w:tcBorders>
            <w:hideMark/>
          </w:tcPr>
          <w:p w14:paraId="6F547F5A" w14:textId="77777777" w:rsidR="00FA7EBF" w:rsidRDefault="00FA7EBF">
            <w:pPr>
              <w:pStyle w:val="ARtabletext"/>
            </w:pPr>
            <w:r>
              <w:t>Changes in physical asset revaluation surplus</w:t>
            </w:r>
          </w:p>
        </w:tc>
        <w:tc>
          <w:tcPr>
            <w:tcW w:w="1418" w:type="dxa"/>
            <w:tcBorders>
              <w:top w:val="single" w:sz="4" w:space="0" w:color="A6A6A6"/>
              <w:left w:val="single" w:sz="4" w:space="0" w:color="FFFFFF"/>
              <w:bottom w:val="single" w:sz="4" w:space="0" w:color="A6A6A6"/>
              <w:right w:val="single" w:sz="4" w:space="0" w:color="FFFFFF"/>
            </w:tcBorders>
            <w:hideMark/>
          </w:tcPr>
          <w:p w14:paraId="17A690B1" w14:textId="77777777" w:rsidR="00FA7EBF" w:rsidRDefault="00FA7EBF">
            <w:pPr>
              <w:pStyle w:val="ARtabletextright"/>
            </w:pPr>
            <w:r>
              <w:t>3,757.3</w:t>
            </w:r>
          </w:p>
        </w:tc>
        <w:tc>
          <w:tcPr>
            <w:tcW w:w="1418" w:type="dxa"/>
            <w:tcBorders>
              <w:top w:val="single" w:sz="4" w:space="0" w:color="A6A6A6"/>
              <w:left w:val="single" w:sz="4" w:space="0" w:color="FFFFFF"/>
              <w:bottom w:val="single" w:sz="4" w:space="0" w:color="A6A6A6"/>
              <w:right w:val="single" w:sz="4" w:space="0" w:color="FFFFFF"/>
            </w:tcBorders>
            <w:hideMark/>
          </w:tcPr>
          <w:p w14:paraId="6C09867A" w14:textId="77777777" w:rsidR="00FA7EBF" w:rsidRDefault="00FA7EBF">
            <w:pPr>
              <w:pStyle w:val="ARtabletextright"/>
            </w:pPr>
            <w:r>
              <w:t>–</w:t>
            </w:r>
          </w:p>
        </w:tc>
        <w:tc>
          <w:tcPr>
            <w:tcW w:w="1418" w:type="dxa"/>
            <w:tcBorders>
              <w:top w:val="single" w:sz="4" w:space="0" w:color="A6A6A6"/>
              <w:left w:val="single" w:sz="4" w:space="0" w:color="FFFFFF"/>
              <w:bottom w:val="single" w:sz="4" w:space="0" w:color="A6A6A6"/>
              <w:right w:val="single" w:sz="4" w:space="0" w:color="FFFFFF"/>
            </w:tcBorders>
            <w:hideMark/>
          </w:tcPr>
          <w:p w14:paraId="4478EEA8" w14:textId="77777777" w:rsidR="00FA7EBF" w:rsidRDefault="00FA7EBF">
            <w:pPr>
              <w:pStyle w:val="ARtabletextright"/>
            </w:pPr>
            <w:r>
              <w:t>–</w:t>
            </w:r>
          </w:p>
        </w:tc>
        <w:tc>
          <w:tcPr>
            <w:tcW w:w="1418" w:type="dxa"/>
            <w:tcBorders>
              <w:top w:val="single" w:sz="4" w:space="0" w:color="A6A6A6"/>
              <w:left w:val="single" w:sz="4" w:space="0" w:color="FFFFFF"/>
              <w:bottom w:val="single" w:sz="4" w:space="0" w:color="A6A6A6"/>
              <w:right w:val="single" w:sz="4" w:space="0" w:color="FFFFFF"/>
            </w:tcBorders>
            <w:hideMark/>
          </w:tcPr>
          <w:p w14:paraId="6E687214" w14:textId="77777777" w:rsidR="00FA7EBF" w:rsidRDefault="00FA7EBF">
            <w:pPr>
              <w:pStyle w:val="ARtabletextright"/>
            </w:pPr>
            <w:r>
              <w:t>3,757.3</w:t>
            </w:r>
          </w:p>
        </w:tc>
      </w:tr>
      <w:tr w:rsidR="00FA7EBF" w14:paraId="25867D96" w14:textId="77777777" w:rsidTr="003075FD">
        <w:trPr>
          <w:cantSplit/>
        </w:trPr>
        <w:tc>
          <w:tcPr>
            <w:tcW w:w="3967" w:type="dxa"/>
            <w:tcBorders>
              <w:top w:val="single" w:sz="4" w:space="0" w:color="A6A6A6"/>
              <w:left w:val="single" w:sz="4" w:space="0" w:color="FFFFFF"/>
              <w:bottom w:val="single" w:sz="4" w:space="0" w:color="auto"/>
              <w:right w:val="single" w:sz="4" w:space="0" w:color="FFFFFF"/>
            </w:tcBorders>
            <w:hideMark/>
          </w:tcPr>
          <w:p w14:paraId="27D4AADC" w14:textId="77777777" w:rsidR="00FA7EBF" w:rsidRDefault="00FA7EBF">
            <w:pPr>
              <w:pStyle w:val="ARtabletext"/>
            </w:pPr>
            <w:r>
              <w:t>Capital contribution by Victorian State Government</w:t>
            </w:r>
          </w:p>
        </w:tc>
        <w:tc>
          <w:tcPr>
            <w:tcW w:w="1418" w:type="dxa"/>
            <w:tcBorders>
              <w:top w:val="single" w:sz="4" w:space="0" w:color="A6A6A6"/>
              <w:left w:val="single" w:sz="4" w:space="0" w:color="FFFFFF"/>
              <w:bottom w:val="single" w:sz="4" w:space="0" w:color="auto"/>
              <w:right w:val="single" w:sz="4" w:space="0" w:color="FFFFFF"/>
            </w:tcBorders>
            <w:hideMark/>
          </w:tcPr>
          <w:p w14:paraId="24AB8680" w14:textId="77777777" w:rsidR="00FA7EBF" w:rsidRDefault="00FA7EBF">
            <w:pPr>
              <w:pStyle w:val="ARtabletextright"/>
            </w:pPr>
            <w:r>
              <w:t>–</w:t>
            </w:r>
          </w:p>
        </w:tc>
        <w:tc>
          <w:tcPr>
            <w:tcW w:w="1418" w:type="dxa"/>
            <w:tcBorders>
              <w:top w:val="single" w:sz="4" w:space="0" w:color="A6A6A6"/>
              <w:left w:val="single" w:sz="4" w:space="0" w:color="FFFFFF"/>
              <w:bottom w:val="single" w:sz="4" w:space="0" w:color="auto"/>
              <w:right w:val="single" w:sz="4" w:space="0" w:color="FFFFFF"/>
            </w:tcBorders>
            <w:hideMark/>
          </w:tcPr>
          <w:p w14:paraId="6353A867" w14:textId="77777777" w:rsidR="00FA7EBF" w:rsidRDefault="00FA7EBF">
            <w:pPr>
              <w:pStyle w:val="ARtabletextright"/>
            </w:pPr>
            <w:r>
              <w:t>–</w:t>
            </w:r>
          </w:p>
        </w:tc>
        <w:tc>
          <w:tcPr>
            <w:tcW w:w="1418" w:type="dxa"/>
            <w:tcBorders>
              <w:top w:val="single" w:sz="4" w:space="0" w:color="A6A6A6"/>
              <w:left w:val="single" w:sz="4" w:space="0" w:color="FFFFFF"/>
              <w:bottom w:val="single" w:sz="4" w:space="0" w:color="auto"/>
              <w:right w:val="single" w:sz="4" w:space="0" w:color="FFFFFF"/>
            </w:tcBorders>
            <w:hideMark/>
          </w:tcPr>
          <w:p w14:paraId="1B705156" w14:textId="77777777" w:rsidR="00FA7EBF" w:rsidRDefault="00FA7EBF">
            <w:pPr>
              <w:pStyle w:val="ARtabletextright"/>
            </w:pPr>
            <w:r>
              <w:t>131.4</w:t>
            </w:r>
          </w:p>
        </w:tc>
        <w:tc>
          <w:tcPr>
            <w:tcW w:w="1418" w:type="dxa"/>
            <w:tcBorders>
              <w:top w:val="single" w:sz="4" w:space="0" w:color="A6A6A6"/>
              <w:left w:val="single" w:sz="4" w:space="0" w:color="FFFFFF"/>
              <w:bottom w:val="single" w:sz="4" w:space="0" w:color="auto"/>
              <w:right w:val="single" w:sz="4" w:space="0" w:color="FFFFFF"/>
            </w:tcBorders>
            <w:hideMark/>
          </w:tcPr>
          <w:p w14:paraId="3EED0285" w14:textId="77777777" w:rsidR="00FA7EBF" w:rsidRDefault="00FA7EBF">
            <w:pPr>
              <w:pStyle w:val="ARtabletextright"/>
            </w:pPr>
            <w:r>
              <w:t>131.4</w:t>
            </w:r>
          </w:p>
        </w:tc>
      </w:tr>
      <w:tr w:rsidR="00FA7EBF" w14:paraId="4A8C74BB" w14:textId="77777777" w:rsidTr="003075FD">
        <w:trPr>
          <w:cantSplit/>
        </w:trPr>
        <w:tc>
          <w:tcPr>
            <w:tcW w:w="3967" w:type="dxa"/>
            <w:tcBorders>
              <w:top w:val="single" w:sz="4" w:space="0" w:color="auto"/>
              <w:left w:val="single" w:sz="4" w:space="0" w:color="FFFFFF"/>
              <w:bottom w:val="single" w:sz="4" w:space="0" w:color="auto"/>
              <w:right w:val="single" w:sz="4" w:space="0" w:color="FFFFFF"/>
            </w:tcBorders>
            <w:hideMark/>
          </w:tcPr>
          <w:p w14:paraId="338CB218" w14:textId="77777777" w:rsidR="00FA7EBF" w:rsidRDefault="00FA7EBF">
            <w:pPr>
              <w:pStyle w:val="ARtabletextbold"/>
            </w:pPr>
            <w:r>
              <w:t>Balance at 30 June 2018</w:t>
            </w:r>
          </w:p>
        </w:tc>
        <w:tc>
          <w:tcPr>
            <w:tcW w:w="1418" w:type="dxa"/>
            <w:tcBorders>
              <w:top w:val="single" w:sz="4" w:space="0" w:color="auto"/>
              <w:left w:val="single" w:sz="4" w:space="0" w:color="FFFFFF"/>
              <w:bottom w:val="single" w:sz="4" w:space="0" w:color="auto"/>
              <w:right w:val="single" w:sz="4" w:space="0" w:color="FFFFFF"/>
            </w:tcBorders>
            <w:hideMark/>
          </w:tcPr>
          <w:p w14:paraId="37990AF3" w14:textId="77777777" w:rsidR="00FA7EBF" w:rsidRDefault="00FA7EBF">
            <w:pPr>
              <w:pStyle w:val="ARtabletextrightbold"/>
            </w:pPr>
            <w:r>
              <w:t>8,001.5</w:t>
            </w:r>
          </w:p>
        </w:tc>
        <w:tc>
          <w:tcPr>
            <w:tcW w:w="1418" w:type="dxa"/>
            <w:tcBorders>
              <w:top w:val="single" w:sz="4" w:space="0" w:color="auto"/>
              <w:left w:val="single" w:sz="4" w:space="0" w:color="FFFFFF"/>
              <w:bottom w:val="single" w:sz="4" w:space="0" w:color="auto"/>
              <w:right w:val="single" w:sz="4" w:space="0" w:color="FFFFFF"/>
            </w:tcBorders>
            <w:hideMark/>
          </w:tcPr>
          <w:p w14:paraId="0545EA04" w14:textId="77777777" w:rsidR="00FA7EBF" w:rsidRDefault="00FA7EBF">
            <w:pPr>
              <w:pStyle w:val="ARtabletextrightbold"/>
            </w:pPr>
            <w:r>
              <w:t>(306.8)</w:t>
            </w:r>
          </w:p>
        </w:tc>
        <w:tc>
          <w:tcPr>
            <w:tcW w:w="1418" w:type="dxa"/>
            <w:tcBorders>
              <w:top w:val="single" w:sz="4" w:space="0" w:color="auto"/>
              <w:left w:val="single" w:sz="4" w:space="0" w:color="FFFFFF"/>
              <w:bottom w:val="single" w:sz="4" w:space="0" w:color="auto"/>
              <w:right w:val="single" w:sz="4" w:space="0" w:color="FFFFFF"/>
            </w:tcBorders>
            <w:hideMark/>
          </w:tcPr>
          <w:p w14:paraId="662F57D8" w14:textId="77777777" w:rsidR="00FA7EBF" w:rsidRDefault="00FA7EBF">
            <w:pPr>
              <w:pStyle w:val="ARtabletextrightbold"/>
            </w:pPr>
            <w:r>
              <w:t>20,991.5</w:t>
            </w:r>
          </w:p>
        </w:tc>
        <w:tc>
          <w:tcPr>
            <w:tcW w:w="1418" w:type="dxa"/>
            <w:tcBorders>
              <w:top w:val="single" w:sz="4" w:space="0" w:color="auto"/>
              <w:left w:val="single" w:sz="4" w:space="0" w:color="FFFFFF"/>
              <w:bottom w:val="single" w:sz="4" w:space="0" w:color="auto"/>
              <w:right w:val="single" w:sz="4" w:space="0" w:color="FFFFFF"/>
            </w:tcBorders>
            <w:hideMark/>
          </w:tcPr>
          <w:p w14:paraId="4149E2BE" w14:textId="77777777" w:rsidR="00FA7EBF" w:rsidRDefault="00FA7EBF">
            <w:pPr>
              <w:pStyle w:val="ARtabletextrightbold"/>
            </w:pPr>
            <w:r>
              <w:t>28,686.2</w:t>
            </w:r>
          </w:p>
        </w:tc>
      </w:tr>
      <w:tr w:rsidR="00FA7EBF" w14:paraId="32510A1F" w14:textId="77777777" w:rsidTr="003075FD">
        <w:trPr>
          <w:cantSplit/>
        </w:trPr>
        <w:tc>
          <w:tcPr>
            <w:tcW w:w="3967" w:type="dxa"/>
            <w:tcBorders>
              <w:top w:val="single" w:sz="4" w:space="0" w:color="auto"/>
              <w:left w:val="single" w:sz="4" w:space="0" w:color="FFFFFF"/>
              <w:bottom w:val="single" w:sz="4" w:space="0" w:color="A6A6A6" w:themeColor="background1" w:themeShade="A6"/>
              <w:right w:val="single" w:sz="4" w:space="0" w:color="FFFFFF"/>
            </w:tcBorders>
            <w:hideMark/>
          </w:tcPr>
          <w:p w14:paraId="0966FE62" w14:textId="77777777" w:rsidR="00FA7EBF" w:rsidRDefault="00FA7EBF">
            <w:pPr>
              <w:pStyle w:val="ARtabletext"/>
            </w:pPr>
            <w:r>
              <w:t>Change in accounting policy</w:t>
            </w:r>
          </w:p>
        </w:tc>
        <w:tc>
          <w:tcPr>
            <w:tcW w:w="1418" w:type="dxa"/>
            <w:tcBorders>
              <w:top w:val="single" w:sz="4" w:space="0" w:color="auto"/>
              <w:left w:val="single" w:sz="4" w:space="0" w:color="FFFFFF"/>
              <w:bottom w:val="single" w:sz="4" w:space="0" w:color="A6A6A6" w:themeColor="background1" w:themeShade="A6"/>
              <w:right w:val="single" w:sz="4" w:space="0" w:color="FFFFFF"/>
            </w:tcBorders>
            <w:hideMark/>
          </w:tcPr>
          <w:p w14:paraId="4F399DEA" w14:textId="77777777" w:rsidR="00FA7EBF" w:rsidRDefault="00FA7EBF">
            <w:pPr>
              <w:pStyle w:val="ARtabletextright"/>
            </w:pPr>
            <w:r>
              <w:t>–</w:t>
            </w:r>
          </w:p>
        </w:tc>
        <w:tc>
          <w:tcPr>
            <w:tcW w:w="1418" w:type="dxa"/>
            <w:tcBorders>
              <w:top w:val="single" w:sz="4" w:space="0" w:color="auto"/>
              <w:left w:val="single" w:sz="4" w:space="0" w:color="FFFFFF"/>
              <w:bottom w:val="single" w:sz="4" w:space="0" w:color="A6A6A6" w:themeColor="background1" w:themeShade="A6"/>
              <w:right w:val="single" w:sz="4" w:space="0" w:color="FFFFFF"/>
            </w:tcBorders>
            <w:hideMark/>
          </w:tcPr>
          <w:p w14:paraId="706BE934" w14:textId="77777777" w:rsidR="00FA7EBF" w:rsidRDefault="00FA7EBF">
            <w:pPr>
              <w:pStyle w:val="ARtabletextright"/>
            </w:pPr>
            <w:r>
              <w:t>(2.1)</w:t>
            </w:r>
          </w:p>
        </w:tc>
        <w:tc>
          <w:tcPr>
            <w:tcW w:w="1418" w:type="dxa"/>
            <w:tcBorders>
              <w:top w:val="single" w:sz="4" w:space="0" w:color="auto"/>
              <w:left w:val="single" w:sz="4" w:space="0" w:color="FFFFFF"/>
              <w:bottom w:val="single" w:sz="4" w:space="0" w:color="A6A6A6" w:themeColor="background1" w:themeShade="A6"/>
              <w:right w:val="single" w:sz="4" w:space="0" w:color="FFFFFF"/>
            </w:tcBorders>
            <w:hideMark/>
          </w:tcPr>
          <w:p w14:paraId="76DE6FDD" w14:textId="77777777" w:rsidR="00FA7EBF" w:rsidRDefault="00FA7EBF">
            <w:pPr>
              <w:pStyle w:val="ARtabletextright"/>
            </w:pPr>
            <w:r>
              <w:t>–</w:t>
            </w:r>
          </w:p>
        </w:tc>
        <w:tc>
          <w:tcPr>
            <w:tcW w:w="1418" w:type="dxa"/>
            <w:tcBorders>
              <w:top w:val="single" w:sz="4" w:space="0" w:color="auto"/>
              <w:left w:val="single" w:sz="4" w:space="0" w:color="FFFFFF"/>
              <w:bottom w:val="single" w:sz="4" w:space="0" w:color="A6A6A6" w:themeColor="background1" w:themeShade="A6"/>
              <w:right w:val="single" w:sz="4" w:space="0" w:color="FFFFFF"/>
            </w:tcBorders>
            <w:hideMark/>
          </w:tcPr>
          <w:p w14:paraId="4E767AC7" w14:textId="77777777" w:rsidR="00FA7EBF" w:rsidRDefault="00FA7EBF">
            <w:pPr>
              <w:pStyle w:val="ARtabletextright"/>
            </w:pPr>
            <w:r>
              <w:t>(2.1)</w:t>
            </w:r>
          </w:p>
        </w:tc>
      </w:tr>
      <w:tr w:rsidR="00FA7EBF" w14:paraId="70D9926D" w14:textId="77777777" w:rsidTr="003075FD">
        <w:trPr>
          <w:cantSplit/>
        </w:trPr>
        <w:tc>
          <w:tcPr>
            <w:tcW w:w="3967" w:type="dxa"/>
            <w:tcBorders>
              <w:top w:val="single" w:sz="4" w:space="0" w:color="auto"/>
              <w:left w:val="single" w:sz="4" w:space="0" w:color="FFFFFF"/>
              <w:bottom w:val="single" w:sz="4" w:space="0" w:color="A6A6A6" w:themeColor="background1" w:themeShade="A6"/>
              <w:right w:val="single" w:sz="4" w:space="0" w:color="FFFFFF"/>
            </w:tcBorders>
            <w:hideMark/>
          </w:tcPr>
          <w:p w14:paraId="69FE1B54" w14:textId="77777777" w:rsidR="00FA7EBF" w:rsidRDefault="00FA7EBF">
            <w:pPr>
              <w:pStyle w:val="ARtabletextbold"/>
            </w:pPr>
            <w:r>
              <w:t>Restated balance at 1 July 2018</w:t>
            </w:r>
          </w:p>
        </w:tc>
        <w:tc>
          <w:tcPr>
            <w:tcW w:w="1418" w:type="dxa"/>
            <w:tcBorders>
              <w:top w:val="single" w:sz="4" w:space="0" w:color="auto"/>
              <w:left w:val="single" w:sz="4" w:space="0" w:color="FFFFFF"/>
              <w:bottom w:val="single" w:sz="4" w:space="0" w:color="A6A6A6" w:themeColor="background1" w:themeShade="A6"/>
              <w:right w:val="single" w:sz="4" w:space="0" w:color="FFFFFF"/>
            </w:tcBorders>
            <w:hideMark/>
          </w:tcPr>
          <w:p w14:paraId="546B5E13" w14:textId="77777777" w:rsidR="00FA7EBF" w:rsidRDefault="00FA7EBF">
            <w:pPr>
              <w:pStyle w:val="ARtabletextrightbold"/>
            </w:pPr>
            <w:r>
              <w:t>8,001.5</w:t>
            </w:r>
          </w:p>
        </w:tc>
        <w:tc>
          <w:tcPr>
            <w:tcW w:w="1418" w:type="dxa"/>
            <w:tcBorders>
              <w:top w:val="single" w:sz="4" w:space="0" w:color="auto"/>
              <w:left w:val="single" w:sz="4" w:space="0" w:color="FFFFFF"/>
              <w:bottom w:val="single" w:sz="4" w:space="0" w:color="A6A6A6" w:themeColor="background1" w:themeShade="A6"/>
              <w:right w:val="single" w:sz="4" w:space="0" w:color="FFFFFF"/>
            </w:tcBorders>
            <w:hideMark/>
          </w:tcPr>
          <w:p w14:paraId="3604E2B5" w14:textId="77777777" w:rsidR="00FA7EBF" w:rsidRDefault="00FA7EBF">
            <w:pPr>
              <w:pStyle w:val="ARtabletextrightbold"/>
            </w:pPr>
            <w:r>
              <w:t>(308.9)</w:t>
            </w:r>
          </w:p>
        </w:tc>
        <w:tc>
          <w:tcPr>
            <w:tcW w:w="1418" w:type="dxa"/>
            <w:tcBorders>
              <w:top w:val="single" w:sz="4" w:space="0" w:color="auto"/>
              <w:left w:val="single" w:sz="4" w:space="0" w:color="FFFFFF"/>
              <w:bottom w:val="single" w:sz="4" w:space="0" w:color="A6A6A6" w:themeColor="background1" w:themeShade="A6"/>
              <w:right w:val="single" w:sz="4" w:space="0" w:color="FFFFFF"/>
            </w:tcBorders>
            <w:hideMark/>
          </w:tcPr>
          <w:p w14:paraId="747A117E" w14:textId="77777777" w:rsidR="00FA7EBF" w:rsidRDefault="00FA7EBF">
            <w:pPr>
              <w:pStyle w:val="ARtabletextrightbold"/>
            </w:pPr>
            <w:r>
              <w:t>20,991.5</w:t>
            </w:r>
          </w:p>
        </w:tc>
        <w:tc>
          <w:tcPr>
            <w:tcW w:w="1418" w:type="dxa"/>
            <w:tcBorders>
              <w:top w:val="single" w:sz="4" w:space="0" w:color="auto"/>
              <w:left w:val="single" w:sz="4" w:space="0" w:color="FFFFFF"/>
              <w:bottom w:val="single" w:sz="4" w:space="0" w:color="A6A6A6" w:themeColor="background1" w:themeShade="A6"/>
              <w:right w:val="single" w:sz="4" w:space="0" w:color="FFFFFF"/>
            </w:tcBorders>
            <w:hideMark/>
          </w:tcPr>
          <w:p w14:paraId="09FE0384" w14:textId="77777777" w:rsidR="00FA7EBF" w:rsidRDefault="00FA7EBF">
            <w:pPr>
              <w:pStyle w:val="ARtabletextrightbold"/>
            </w:pPr>
            <w:r>
              <w:t>28,684.1</w:t>
            </w:r>
          </w:p>
        </w:tc>
      </w:tr>
      <w:tr w:rsidR="00FA7EBF" w14:paraId="1D0037A9" w14:textId="77777777" w:rsidTr="003075FD">
        <w:trPr>
          <w:cantSplit/>
        </w:trPr>
        <w:tc>
          <w:tcPr>
            <w:tcW w:w="3967" w:type="dxa"/>
            <w:tcBorders>
              <w:top w:val="single" w:sz="4" w:space="0" w:color="auto"/>
              <w:left w:val="single" w:sz="4" w:space="0" w:color="FFFFFF"/>
              <w:bottom w:val="single" w:sz="4" w:space="0" w:color="A6A6A6" w:themeColor="background1" w:themeShade="A6"/>
              <w:right w:val="single" w:sz="4" w:space="0" w:color="FFFFFF"/>
            </w:tcBorders>
            <w:hideMark/>
          </w:tcPr>
          <w:p w14:paraId="65D357A1" w14:textId="77777777" w:rsidR="00FA7EBF" w:rsidRDefault="00FA7EBF">
            <w:pPr>
              <w:pStyle w:val="ARtabletext"/>
            </w:pPr>
            <w:r>
              <w:t>Net result for the year</w:t>
            </w:r>
          </w:p>
        </w:tc>
        <w:tc>
          <w:tcPr>
            <w:tcW w:w="1418" w:type="dxa"/>
            <w:tcBorders>
              <w:top w:val="single" w:sz="4" w:space="0" w:color="auto"/>
              <w:left w:val="single" w:sz="4" w:space="0" w:color="FFFFFF"/>
              <w:bottom w:val="single" w:sz="4" w:space="0" w:color="A6A6A6" w:themeColor="background1" w:themeShade="A6"/>
              <w:right w:val="single" w:sz="4" w:space="0" w:color="FFFFFF"/>
            </w:tcBorders>
            <w:hideMark/>
          </w:tcPr>
          <w:p w14:paraId="77D5BB63" w14:textId="77777777" w:rsidR="00FA7EBF" w:rsidRDefault="00FA7EBF">
            <w:pPr>
              <w:pStyle w:val="ARtabletextright"/>
            </w:pPr>
            <w:r>
              <w:t>–</w:t>
            </w:r>
          </w:p>
        </w:tc>
        <w:tc>
          <w:tcPr>
            <w:tcW w:w="1418" w:type="dxa"/>
            <w:tcBorders>
              <w:top w:val="single" w:sz="4" w:space="0" w:color="auto"/>
              <w:left w:val="single" w:sz="4" w:space="0" w:color="FFFFFF"/>
              <w:bottom w:val="single" w:sz="4" w:space="0" w:color="A6A6A6" w:themeColor="background1" w:themeShade="A6"/>
              <w:right w:val="single" w:sz="4" w:space="0" w:color="FFFFFF"/>
            </w:tcBorders>
            <w:hideMark/>
          </w:tcPr>
          <w:p w14:paraId="5D82C77D" w14:textId="77777777" w:rsidR="00FA7EBF" w:rsidRDefault="00FA7EBF">
            <w:pPr>
              <w:pStyle w:val="ARtabletextright"/>
            </w:pPr>
            <w:r>
              <w:t>(273.7)</w:t>
            </w:r>
          </w:p>
        </w:tc>
        <w:tc>
          <w:tcPr>
            <w:tcW w:w="1418" w:type="dxa"/>
            <w:tcBorders>
              <w:top w:val="single" w:sz="4" w:space="0" w:color="auto"/>
              <w:left w:val="single" w:sz="4" w:space="0" w:color="FFFFFF"/>
              <w:bottom w:val="single" w:sz="4" w:space="0" w:color="A6A6A6" w:themeColor="background1" w:themeShade="A6"/>
              <w:right w:val="single" w:sz="4" w:space="0" w:color="FFFFFF"/>
            </w:tcBorders>
            <w:hideMark/>
          </w:tcPr>
          <w:p w14:paraId="7D2BF06E" w14:textId="77777777" w:rsidR="00FA7EBF" w:rsidRDefault="00FA7EBF">
            <w:pPr>
              <w:pStyle w:val="ARtabletextright"/>
            </w:pPr>
            <w:r>
              <w:t>–</w:t>
            </w:r>
          </w:p>
        </w:tc>
        <w:tc>
          <w:tcPr>
            <w:tcW w:w="1418" w:type="dxa"/>
            <w:tcBorders>
              <w:top w:val="single" w:sz="4" w:space="0" w:color="auto"/>
              <w:left w:val="single" w:sz="4" w:space="0" w:color="FFFFFF"/>
              <w:bottom w:val="single" w:sz="4" w:space="0" w:color="A6A6A6" w:themeColor="background1" w:themeShade="A6"/>
              <w:right w:val="single" w:sz="4" w:space="0" w:color="FFFFFF"/>
            </w:tcBorders>
            <w:hideMark/>
          </w:tcPr>
          <w:p w14:paraId="19B3ACFD" w14:textId="77777777" w:rsidR="00FA7EBF" w:rsidRDefault="00FA7EBF">
            <w:pPr>
              <w:pStyle w:val="ARtabletextright"/>
            </w:pPr>
            <w:r>
              <w:t>(273.7)</w:t>
            </w:r>
          </w:p>
        </w:tc>
      </w:tr>
      <w:tr w:rsidR="00FA7EBF" w14:paraId="66A43176" w14:textId="77777777" w:rsidTr="003075FD">
        <w:trPr>
          <w:cantSplit/>
        </w:trPr>
        <w:tc>
          <w:tcPr>
            <w:tcW w:w="3967" w:type="dxa"/>
            <w:tcBorders>
              <w:top w:val="single" w:sz="4" w:space="0" w:color="A6A6A6" w:themeColor="background1" w:themeShade="A6"/>
              <w:left w:val="single" w:sz="4" w:space="0" w:color="FFFFFF"/>
              <w:bottom w:val="single" w:sz="4" w:space="0" w:color="A6A6A6"/>
              <w:right w:val="single" w:sz="4" w:space="0" w:color="FFFFFF"/>
            </w:tcBorders>
            <w:hideMark/>
          </w:tcPr>
          <w:p w14:paraId="2C640864" w14:textId="77777777" w:rsidR="00FA7EBF" w:rsidRDefault="00FA7EBF">
            <w:pPr>
              <w:pStyle w:val="ARtabletext"/>
            </w:pPr>
            <w:r>
              <w:t>Remeasurement of superannuation defined benefit plans</w:t>
            </w:r>
          </w:p>
        </w:tc>
        <w:tc>
          <w:tcPr>
            <w:tcW w:w="1418" w:type="dxa"/>
            <w:tcBorders>
              <w:top w:val="single" w:sz="4" w:space="0" w:color="A6A6A6" w:themeColor="background1" w:themeShade="A6"/>
              <w:left w:val="single" w:sz="4" w:space="0" w:color="FFFFFF"/>
              <w:bottom w:val="single" w:sz="4" w:space="0" w:color="A6A6A6"/>
              <w:right w:val="single" w:sz="4" w:space="0" w:color="FFFFFF"/>
            </w:tcBorders>
            <w:hideMark/>
          </w:tcPr>
          <w:p w14:paraId="14A2AE6F" w14:textId="77777777" w:rsidR="00FA7EBF" w:rsidRDefault="00FA7EBF">
            <w:pPr>
              <w:pStyle w:val="ARtabletextright"/>
            </w:pPr>
            <w:r>
              <w:t>–</w:t>
            </w:r>
          </w:p>
        </w:tc>
        <w:tc>
          <w:tcPr>
            <w:tcW w:w="1418" w:type="dxa"/>
            <w:tcBorders>
              <w:top w:val="single" w:sz="4" w:space="0" w:color="A6A6A6" w:themeColor="background1" w:themeShade="A6"/>
              <w:left w:val="single" w:sz="4" w:space="0" w:color="FFFFFF"/>
              <w:bottom w:val="single" w:sz="4" w:space="0" w:color="A6A6A6"/>
              <w:right w:val="single" w:sz="4" w:space="0" w:color="FFFFFF"/>
            </w:tcBorders>
            <w:hideMark/>
          </w:tcPr>
          <w:p w14:paraId="400AA474" w14:textId="77777777" w:rsidR="00FA7EBF" w:rsidRDefault="00FA7EBF">
            <w:pPr>
              <w:pStyle w:val="ARtabletextright"/>
            </w:pPr>
            <w:r>
              <w:t>(2.5)</w:t>
            </w:r>
          </w:p>
        </w:tc>
        <w:tc>
          <w:tcPr>
            <w:tcW w:w="1418" w:type="dxa"/>
            <w:tcBorders>
              <w:top w:val="single" w:sz="4" w:space="0" w:color="A6A6A6" w:themeColor="background1" w:themeShade="A6"/>
              <w:left w:val="single" w:sz="4" w:space="0" w:color="FFFFFF"/>
              <w:bottom w:val="single" w:sz="4" w:space="0" w:color="A6A6A6"/>
              <w:right w:val="single" w:sz="4" w:space="0" w:color="FFFFFF"/>
            </w:tcBorders>
            <w:hideMark/>
          </w:tcPr>
          <w:p w14:paraId="7353BE98" w14:textId="77777777" w:rsidR="00FA7EBF" w:rsidRDefault="00FA7EBF">
            <w:pPr>
              <w:pStyle w:val="ARtabletextright"/>
            </w:pPr>
            <w:r>
              <w:t>–</w:t>
            </w:r>
          </w:p>
        </w:tc>
        <w:tc>
          <w:tcPr>
            <w:tcW w:w="1418" w:type="dxa"/>
            <w:tcBorders>
              <w:top w:val="single" w:sz="4" w:space="0" w:color="A6A6A6" w:themeColor="background1" w:themeShade="A6"/>
              <w:left w:val="single" w:sz="4" w:space="0" w:color="FFFFFF"/>
              <w:bottom w:val="single" w:sz="4" w:space="0" w:color="A6A6A6"/>
              <w:right w:val="single" w:sz="4" w:space="0" w:color="FFFFFF"/>
            </w:tcBorders>
            <w:hideMark/>
          </w:tcPr>
          <w:p w14:paraId="6EC3BFDB" w14:textId="77777777" w:rsidR="00FA7EBF" w:rsidRDefault="00FA7EBF">
            <w:pPr>
              <w:pStyle w:val="ARtabletextright"/>
            </w:pPr>
            <w:r>
              <w:t>(2.5)</w:t>
            </w:r>
          </w:p>
        </w:tc>
      </w:tr>
      <w:tr w:rsidR="00FA7EBF" w14:paraId="0ADEDB67" w14:textId="77777777" w:rsidTr="003075FD">
        <w:trPr>
          <w:cantSplit/>
        </w:trPr>
        <w:tc>
          <w:tcPr>
            <w:tcW w:w="3967" w:type="dxa"/>
            <w:tcBorders>
              <w:top w:val="single" w:sz="4" w:space="0" w:color="A6A6A6" w:themeColor="background1" w:themeShade="A6"/>
              <w:left w:val="single" w:sz="4" w:space="0" w:color="FFFFFF"/>
              <w:bottom w:val="single" w:sz="4" w:space="0" w:color="A6A6A6"/>
              <w:right w:val="single" w:sz="4" w:space="0" w:color="FFFFFF"/>
            </w:tcBorders>
            <w:hideMark/>
          </w:tcPr>
          <w:p w14:paraId="440A7447" w14:textId="77777777" w:rsidR="00FA7EBF" w:rsidRDefault="00FA7EBF">
            <w:pPr>
              <w:pStyle w:val="ARtabletext"/>
            </w:pPr>
            <w:r>
              <w:t>Changes in physical asset revaluation surplus</w:t>
            </w:r>
          </w:p>
        </w:tc>
        <w:tc>
          <w:tcPr>
            <w:tcW w:w="1418" w:type="dxa"/>
            <w:tcBorders>
              <w:top w:val="single" w:sz="4" w:space="0" w:color="A6A6A6" w:themeColor="background1" w:themeShade="A6"/>
              <w:left w:val="single" w:sz="4" w:space="0" w:color="FFFFFF"/>
              <w:bottom w:val="single" w:sz="4" w:space="0" w:color="A6A6A6"/>
              <w:right w:val="single" w:sz="4" w:space="0" w:color="FFFFFF"/>
            </w:tcBorders>
            <w:hideMark/>
          </w:tcPr>
          <w:p w14:paraId="601B9DA9" w14:textId="77777777" w:rsidR="00FA7EBF" w:rsidRDefault="00FA7EBF">
            <w:pPr>
              <w:pStyle w:val="ARtabletextright"/>
            </w:pPr>
            <w:r>
              <w:t>(1,286.2)</w:t>
            </w:r>
          </w:p>
        </w:tc>
        <w:tc>
          <w:tcPr>
            <w:tcW w:w="1418" w:type="dxa"/>
            <w:tcBorders>
              <w:top w:val="single" w:sz="4" w:space="0" w:color="A6A6A6" w:themeColor="background1" w:themeShade="A6"/>
              <w:left w:val="single" w:sz="4" w:space="0" w:color="FFFFFF"/>
              <w:bottom w:val="single" w:sz="4" w:space="0" w:color="A6A6A6"/>
              <w:right w:val="single" w:sz="4" w:space="0" w:color="FFFFFF"/>
            </w:tcBorders>
            <w:hideMark/>
          </w:tcPr>
          <w:p w14:paraId="1E7C3C61" w14:textId="77777777" w:rsidR="00FA7EBF" w:rsidRDefault="00FA7EBF">
            <w:pPr>
              <w:pStyle w:val="ARtabletextright"/>
            </w:pPr>
            <w:r>
              <w:t>–</w:t>
            </w:r>
          </w:p>
        </w:tc>
        <w:tc>
          <w:tcPr>
            <w:tcW w:w="1418" w:type="dxa"/>
            <w:tcBorders>
              <w:top w:val="single" w:sz="4" w:space="0" w:color="A6A6A6" w:themeColor="background1" w:themeShade="A6"/>
              <w:left w:val="single" w:sz="4" w:space="0" w:color="FFFFFF"/>
              <w:bottom w:val="single" w:sz="4" w:space="0" w:color="A6A6A6"/>
              <w:right w:val="single" w:sz="4" w:space="0" w:color="FFFFFF"/>
            </w:tcBorders>
            <w:hideMark/>
          </w:tcPr>
          <w:p w14:paraId="1F2522DE" w14:textId="77777777" w:rsidR="00FA7EBF" w:rsidRDefault="00FA7EBF">
            <w:pPr>
              <w:pStyle w:val="ARtabletextright"/>
            </w:pPr>
            <w:r>
              <w:t>–</w:t>
            </w:r>
          </w:p>
        </w:tc>
        <w:tc>
          <w:tcPr>
            <w:tcW w:w="1418" w:type="dxa"/>
            <w:tcBorders>
              <w:top w:val="single" w:sz="4" w:space="0" w:color="A6A6A6" w:themeColor="background1" w:themeShade="A6"/>
              <w:left w:val="single" w:sz="4" w:space="0" w:color="FFFFFF"/>
              <w:bottom w:val="single" w:sz="4" w:space="0" w:color="A6A6A6"/>
              <w:right w:val="single" w:sz="4" w:space="0" w:color="FFFFFF"/>
            </w:tcBorders>
            <w:hideMark/>
          </w:tcPr>
          <w:p w14:paraId="6EB75904" w14:textId="77777777" w:rsidR="00FA7EBF" w:rsidRDefault="00FA7EBF">
            <w:pPr>
              <w:pStyle w:val="ARtabletextright"/>
            </w:pPr>
            <w:r>
              <w:t>(1,286.2)</w:t>
            </w:r>
          </w:p>
        </w:tc>
      </w:tr>
      <w:tr w:rsidR="00FA7EBF" w14:paraId="3BC074D8" w14:textId="77777777" w:rsidTr="003075FD">
        <w:trPr>
          <w:cantSplit/>
        </w:trPr>
        <w:tc>
          <w:tcPr>
            <w:tcW w:w="3967" w:type="dxa"/>
            <w:tcBorders>
              <w:top w:val="single" w:sz="4" w:space="0" w:color="A6A6A6"/>
              <w:left w:val="single" w:sz="4" w:space="0" w:color="FFFFFF"/>
              <w:bottom w:val="single" w:sz="4" w:space="0" w:color="A6A6A6"/>
              <w:right w:val="single" w:sz="4" w:space="0" w:color="FFFFFF"/>
            </w:tcBorders>
            <w:hideMark/>
          </w:tcPr>
          <w:p w14:paraId="2293B618" w14:textId="77777777" w:rsidR="00FA7EBF" w:rsidRDefault="00FA7EBF">
            <w:pPr>
              <w:pStyle w:val="ARtabletext"/>
            </w:pPr>
            <w:r>
              <w:t>Capital contribution by Victorian State Government</w:t>
            </w:r>
          </w:p>
        </w:tc>
        <w:tc>
          <w:tcPr>
            <w:tcW w:w="1418" w:type="dxa"/>
            <w:tcBorders>
              <w:top w:val="single" w:sz="4" w:space="0" w:color="A6A6A6"/>
              <w:left w:val="single" w:sz="4" w:space="0" w:color="FFFFFF"/>
              <w:bottom w:val="single" w:sz="4" w:space="0" w:color="A6A6A6"/>
              <w:right w:val="single" w:sz="4" w:space="0" w:color="FFFFFF"/>
            </w:tcBorders>
            <w:hideMark/>
          </w:tcPr>
          <w:p w14:paraId="17BD68A0" w14:textId="77777777" w:rsidR="00FA7EBF" w:rsidRDefault="00FA7EBF">
            <w:pPr>
              <w:pStyle w:val="ARtabletextright"/>
            </w:pPr>
            <w:r>
              <w:t>–</w:t>
            </w:r>
          </w:p>
        </w:tc>
        <w:tc>
          <w:tcPr>
            <w:tcW w:w="1418" w:type="dxa"/>
            <w:tcBorders>
              <w:top w:val="single" w:sz="4" w:space="0" w:color="A6A6A6"/>
              <w:left w:val="single" w:sz="4" w:space="0" w:color="FFFFFF"/>
              <w:bottom w:val="single" w:sz="4" w:space="0" w:color="A6A6A6"/>
              <w:right w:val="single" w:sz="4" w:space="0" w:color="FFFFFF"/>
            </w:tcBorders>
            <w:hideMark/>
          </w:tcPr>
          <w:p w14:paraId="5863748D" w14:textId="77777777" w:rsidR="00FA7EBF" w:rsidRDefault="00FA7EBF">
            <w:pPr>
              <w:pStyle w:val="ARtabletextright"/>
            </w:pPr>
            <w:r>
              <w:t>–</w:t>
            </w:r>
          </w:p>
        </w:tc>
        <w:tc>
          <w:tcPr>
            <w:tcW w:w="1418" w:type="dxa"/>
            <w:tcBorders>
              <w:top w:val="single" w:sz="4" w:space="0" w:color="A6A6A6"/>
              <w:left w:val="single" w:sz="4" w:space="0" w:color="FFFFFF"/>
              <w:bottom w:val="single" w:sz="4" w:space="0" w:color="A6A6A6"/>
              <w:right w:val="single" w:sz="4" w:space="0" w:color="FFFFFF"/>
            </w:tcBorders>
            <w:hideMark/>
          </w:tcPr>
          <w:p w14:paraId="7A7B286D" w14:textId="77777777" w:rsidR="00FA7EBF" w:rsidRDefault="00FA7EBF">
            <w:pPr>
              <w:pStyle w:val="ARtabletextright"/>
            </w:pPr>
            <w:r>
              <w:t>53.7</w:t>
            </w:r>
          </w:p>
        </w:tc>
        <w:tc>
          <w:tcPr>
            <w:tcW w:w="1418" w:type="dxa"/>
            <w:tcBorders>
              <w:top w:val="single" w:sz="4" w:space="0" w:color="A6A6A6"/>
              <w:left w:val="single" w:sz="4" w:space="0" w:color="FFFFFF"/>
              <w:bottom w:val="single" w:sz="4" w:space="0" w:color="A6A6A6"/>
              <w:right w:val="single" w:sz="4" w:space="0" w:color="FFFFFF"/>
            </w:tcBorders>
            <w:hideMark/>
          </w:tcPr>
          <w:p w14:paraId="61CACA51" w14:textId="77777777" w:rsidR="00FA7EBF" w:rsidRDefault="00FA7EBF">
            <w:pPr>
              <w:pStyle w:val="ARtabletextright"/>
            </w:pPr>
            <w:r>
              <w:t>53.7</w:t>
            </w:r>
          </w:p>
        </w:tc>
      </w:tr>
      <w:tr w:rsidR="00FA7EBF" w14:paraId="74AFC25E" w14:textId="77777777" w:rsidTr="003075FD">
        <w:trPr>
          <w:cantSplit/>
        </w:trPr>
        <w:tc>
          <w:tcPr>
            <w:tcW w:w="3967" w:type="dxa"/>
            <w:tcBorders>
              <w:top w:val="single" w:sz="4" w:space="0" w:color="A6A6A6"/>
              <w:left w:val="single" w:sz="4" w:space="0" w:color="FFFFFF"/>
              <w:bottom w:val="single" w:sz="4" w:space="0" w:color="auto"/>
              <w:right w:val="single" w:sz="4" w:space="0" w:color="FFFFFF"/>
            </w:tcBorders>
            <w:hideMark/>
          </w:tcPr>
          <w:p w14:paraId="614F6021" w14:textId="77777777" w:rsidR="00FA7EBF" w:rsidRDefault="00FA7EBF">
            <w:pPr>
              <w:pStyle w:val="ARtabletext"/>
            </w:pPr>
            <w:r>
              <w:t>Capital contributed from asset transfers</w:t>
            </w:r>
          </w:p>
        </w:tc>
        <w:tc>
          <w:tcPr>
            <w:tcW w:w="1418" w:type="dxa"/>
            <w:tcBorders>
              <w:top w:val="single" w:sz="4" w:space="0" w:color="A6A6A6"/>
              <w:left w:val="single" w:sz="4" w:space="0" w:color="FFFFFF"/>
              <w:bottom w:val="single" w:sz="4" w:space="0" w:color="auto"/>
              <w:right w:val="single" w:sz="4" w:space="0" w:color="FFFFFF"/>
            </w:tcBorders>
            <w:hideMark/>
          </w:tcPr>
          <w:p w14:paraId="3D27ADC7" w14:textId="77777777" w:rsidR="00FA7EBF" w:rsidRDefault="00FA7EBF">
            <w:pPr>
              <w:pStyle w:val="ARtabletextright"/>
            </w:pPr>
            <w:r>
              <w:t>–</w:t>
            </w:r>
          </w:p>
        </w:tc>
        <w:tc>
          <w:tcPr>
            <w:tcW w:w="1418" w:type="dxa"/>
            <w:tcBorders>
              <w:top w:val="single" w:sz="4" w:space="0" w:color="A6A6A6"/>
              <w:left w:val="single" w:sz="4" w:space="0" w:color="FFFFFF"/>
              <w:bottom w:val="single" w:sz="4" w:space="0" w:color="auto"/>
              <w:right w:val="single" w:sz="4" w:space="0" w:color="FFFFFF"/>
            </w:tcBorders>
            <w:hideMark/>
          </w:tcPr>
          <w:p w14:paraId="36427253" w14:textId="77777777" w:rsidR="00FA7EBF" w:rsidRDefault="00FA7EBF">
            <w:pPr>
              <w:pStyle w:val="ARtabletextright"/>
            </w:pPr>
            <w:r>
              <w:t>–</w:t>
            </w:r>
          </w:p>
        </w:tc>
        <w:tc>
          <w:tcPr>
            <w:tcW w:w="1418" w:type="dxa"/>
            <w:tcBorders>
              <w:top w:val="single" w:sz="4" w:space="0" w:color="A6A6A6"/>
              <w:left w:val="single" w:sz="4" w:space="0" w:color="FFFFFF"/>
              <w:bottom w:val="single" w:sz="4" w:space="0" w:color="auto"/>
              <w:right w:val="single" w:sz="4" w:space="0" w:color="FFFFFF"/>
            </w:tcBorders>
            <w:hideMark/>
          </w:tcPr>
          <w:p w14:paraId="2E28BB7C" w14:textId="77777777" w:rsidR="00FA7EBF" w:rsidRDefault="00FA7EBF">
            <w:pPr>
              <w:pStyle w:val="ARtabletextright"/>
            </w:pPr>
            <w:r>
              <w:t>(190.1)</w:t>
            </w:r>
          </w:p>
        </w:tc>
        <w:tc>
          <w:tcPr>
            <w:tcW w:w="1418" w:type="dxa"/>
            <w:tcBorders>
              <w:top w:val="single" w:sz="4" w:space="0" w:color="A6A6A6"/>
              <w:left w:val="single" w:sz="4" w:space="0" w:color="FFFFFF"/>
              <w:bottom w:val="single" w:sz="4" w:space="0" w:color="auto"/>
              <w:right w:val="single" w:sz="4" w:space="0" w:color="FFFFFF"/>
            </w:tcBorders>
            <w:hideMark/>
          </w:tcPr>
          <w:p w14:paraId="6BAD5C03" w14:textId="77777777" w:rsidR="00FA7EBF" w:rsidRDefault="00FA7EBF">
            <w:pPr>
              <w:pStyle w:val="ARtabletextright"/>
            </w:pPr>
            <w:r>
              <w:t>(190.1)</w:t>
            </w:r>
          </w:p>
        </w:tc>
      </w:tr>
      <w:tr w:rsidR="00FA7EBF" w14:paraId="76212539" w14:textId="77777777" w:rsidTr="003075FD">
        <w:trPr>
          <w:cantSplit/>
        </w:trPr>
        <w:tc>
          <w:tcPr>
            <w:tcW w:w="3967" w:type="dxa"/>
            <w:tcBorders>
              <w:top w:val="single" w:sz="4" w:space="0" w:color="auto"/>
              <w:left w:val="single" w:sz="4" w:space="0" w:color="FFFFFF"/>
              <w:bottom w:val="single" w:sz="4" w:space="0" w:color="auto"/>
              <w:right w:val="single" w:sz="4" w:space="0" w:color="FFFFFF"/>
            </w:tcBorders>
            <w:hideMark/>
          </w:tcPr>
          <w:p w14:paraId="15C083EA" w14:textId="77777777" w:rsidR="00FA7EBF" w:rsidRDefault="00FA7EBF">
            <w:pPr>
              <w:pStyle w:val="ARtabletextbold"/>
            </w:pPr>
            <w:r>
              <w:t>Balance at 30 June 2019</w:t>
            </w:r>
          </w:p>
        </w:tc>
        <w:tc>
          <w:tcPr>
            <w:tcW w:w="1418" w:type="dxa"/>
            <w:tcBorders>
              <w:top w:val="single" w:sz="4" w:space="0" w:color="auto"/>
              <w:left w:val="single" w:sz="4" w:space="0" w:color="FFFFFF"/>
              <w:bottom w:val="single" w:sz="4" w:space="0" w:color="auto"/>
              <w:right w:val="single" w:sz="4" w:space="0" w:color="FFFFFF"/>
            </w:tcBorders>
            <w:hideMark/>
          </w:tcPr>
          <w:p w14:paraId="159173EA" w14:textId="77777777" w:rsidR="00FA7EBF" w:rsidRDefault="00FA7EBF">
            <w:pPr>
              <w:pStyle w:val="ARtabletextrightbold"/>
            </w:pPr>
            <w:r>
              <w:t>6,715.3</w:t>
            </w:r>
          </w:p>
        </w:tc>
        <w:tc>
          <w:tcPr>
            <w:tcW w:w="1418" w:type="dxa"/>
            <w:tcBorders>
              <w:top w:val="single" w:sz="4" w:space="0" w:color="auto"/>
              <w:left w:val="single" w:sz="4" w:space="0" w:color="FFFFFF"/>
              <w:bottom w:val="single" w:sz="4" w:space="0" w:color="auto"/>
              <w:right w:val="single" w:sz="4" w:space="0" w:color="FFFFFF"/>
            </w:tcBorders>
            <w:hideMark/>
          </w:tcPr>
          <w:p w14:paraId="08188B90" w14:textId="77777777" w:rsidR="00FA7EBF" w:rsidRDefault="00FA7EBF">
            <w:pPr>
              <w:pStyle w:val="ARtabletextrightbold"/>
            </w:pPr>
            <w:r>
              <w:t>(585.1)</w:t>
            </w:r>
          </w:p>
        </w:tc>
        <w:tc>
          <w:tcPr>
            <w:tcW w:w="1418" w:type="dxa"/>
            <w:tcBorders>
              <w:top w:val="single" w:sz="4" w:space="0" w:color="auto"/>
              <w:left w:val="single" w:sz="4" w:space="0" w:color="FFFFFF"/>
              <w:bottom w:val="single" w:sz="4" w:space="0" w:color="auto"/>
              <w:right w:val="single" w:sz="4" w:space="0" w:color="FFFFFF"/>
            </w:tcBorders>
            <w:hideMark/>
          </w:tcPr>
          <w:p w14:paraId="30AEC597" w14:textId="77777777" w:rsidR="00FA7EBF" w:rsidRDefault="00FA7EBF">
            <w:pPr>
              <w:pStyle w:val="ARtabletextrightbold"/>
            </w:pPr>
            <w:r>
              <w:t>20,855.1</w:t>
            </w:r>
          </w:p>
        </w:tc>
        <w:tc>
          <w:tcPr>
            <w:tcW w:w="1418" w:type="dxa"/>
            <w:tcBorders>
              <w:top w:val="single" w:sz="4" w:space="0" w:color="auto"/>
              <w:left w:val="single" w:sz="4" w:space="0" w:color="FFFFFF"/>
              <w:bottom w:val="single" w:sz="4" w:space="0" w:color="auto"/>
              <w:right w:val="single" w:sz="4" w:space="0" w:color="FFFFFF"/>
            </w:tcBorders>
            <w:hideMark/>
          </w:tcPr>
          <w:p w14:paraId="3BDF0720" w14:textId="77777777" w:rsidR="00FA7EBF" w:rsidRDefault="00FA7EBF">
            <w:pPr>
              <w:pStyle w:val="ARtabletextrightbold"/>
            </w:pPr>
            <w:r>
              <w:t>26,985.3</w:t>
            </w:r>
          </w:p>
        </w:tc>
      </w:tr>
    </w:tbl>
    <w:p w14:paraId="709DEA4C" w14:textId="77777777" w:rsidR="00FA7EBF" w:rsidRDefault="00FA7EBF" w:rsidP="003075FD">
      <w:pPr>
        <w:pStyle w:val="ARbody"/>
      </w:pPr>
      <w:r>
        <w:br w:type="page"/>
      </w:r>
    </w:p>
    <w:p w14:paraId="753269B4" w14:textId="77777777" w:rsidR="00FA7EBF" w:rsidRDefault="00FA7EBF" w:rsidP="003075FD">
      <w:pPr>
        <w:pStyle w:val="Heading3"/>
      </w:pPr>
      <w:bookmarkStart w:id="299" w:name="_Ref21957304"/>
      <w:r>
        <w:t>Cash flow statement for the financial year ended 30 June 2019</w:t>
      </w:r>
      <w:bookmarkEnd w:id="299"/>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7375"/>
        <w:gridCol w:w="1135"/>
        <w:gridCol w:w="1135"/>
      </w:tblGrid>
      <w:tr w:rsidR="00FA7EBF" w14:paraId="6152EFA6" w14:textId="77777777" w:rsidTr="003075FD">
        <w:trPr>
          <w:cantSplit/>
          <w:tblHeader/>
        </w:trPr>
        <w:tc>
          <w:tcPr>
            <w:tcW w:w="7371" w:type="dxa"/>
            <w:tcBorders>
              <w:top w:val="nil"/>
              <w:left w:val="single" w:sz="4" w:space="0" w:color="FFFFFF"/>
              <w:bottom w:val="single" w:sz="4" w:space="0" w:color="auto"/>
              <w:right w:val="single" w:sz="4" w:space="0" w:color="FFFFFF"/>
            </w:tcBorders>
          </w:tcPr>
          <w:p w14:paraId="2A0E2796" w14:textId="77777777" w:rsidR="00FA7EBF" w:rsidRDefault="00FA7EBF">
            <w:pPr>
              <w:pStyle w:val="ARtablecolhead"/>
              <w:spacing w:before="70" w:after="50"/>
            </w:pPr>
          </w:p>
        </w:tc>
        <w:tc>
          <w:tcPr>
            <w:tcW w:w="1134" w:type="dxa"/>
            <w:tcBorders>
              <w:top w:val="nil"/>
              <w:left w:val="single" w:sz="4" w:space="0" w:color="FFFFFF"/>
              <w:bottom w:val="single" w:sz="4" w:space="0" w:color="auto"/>
              <w:right w:val="single" w:sz="4" w:space="0" w:color="FFFFFF"/>
            </w:tcBorders>
            <w:shd w:val="clear" w:color="auto" w:fill="E7E6E6"/>
            <w:hideMark/>
          </w:tcPr>
          <w:p w14:paraId="7C116F71" w14:textId="77777777" w:rsidR="00FA7EBF" w:rsidRDefault="00FA7EBF">
            <w:pPr>
              <w:pStyle w:val="ARtablecolheadright"/>
            </w:pPr>
            <w:r>
              <w:t>2019</w:t>
            </w:r>
          </w:p>
          <w:p w14:paraId="43ED4CF8" w14:textId="77777777" w:rsidR="00FA7EBF" w:rsidRDefault="00FA7EBF">
            <w:pPr>
              <w:pStyle w:val="ARtablecolheadright"/>
              <w:spacing w:before="70" w:after="50"/>
            </w:pPr>
            <w:r>
              <w:t>$M</w:t>
            </w:r>
          </w:p>
        </w:tc>
        <w:tc>
          <w:tcPr>
            <w:tcW w:w="1134" w:type="dxa"/>
            <w:tcBorders>
              <w:top w:val="nil"/>
              <w:left w:val="single" w:sz="4" w:space="0" w:color="FFFFFF"/>
              <w:bottom w:val="single" w:sz="4" w:space="0" w:color="auto"/>
              <w:right w:val="single" w:sz="4" w:space="0" w:color="FFFFFF"/>
            </w:tcBorders>
            <w:hideMark/>
          </w:tcPr>
          <w:p w14:paraId="01AE96F2" w14:textId="77777777" w:rsidR="00FA7EBF" w:rsidRDefault="00FA7EBF">
            <w:pPr>
              <w:pStyle w:val="ARtablecolheadright"/>
            </w:pPr>
            <w:r>
              <w:t>2018</w:t>
            </w:r>
          </w:p>
          <w:p w14:paraId="21E17504" w14:textId="77777777" w:rsidR="00FA7EBF" w:rsidRDefault="00FA7EBF">
            <w:pPr>
              <w:pStyle w:val="ARtablecolheadright"/>
              <w:spacing w:before="70" w:after="50"/>
            </w:pPr>
            <w:r>
              <w:t>$M</w:t>
            </w:r>
          </w:p>
        </w:tc>
      </w:tr>
      <w:tr w:rsidR="00FA7EBF" w14:paraId="07AB8DD7" w14:textId="77777777" w:rsidTr="003075FD">
        <w:trPr>
          <w:cantSplit/>
        </w:trPr>
        <w:tc>
          <w:tcPr>
            <w:tcW w:w="9639" w:type="dxa"/>
            <w:gridSpan w:val="3"/>
            <w:tcBorders>
              <w:top w:val="single" w:sz="4" w:space="0" w:color="auto"/>
              <w:left w:val="single" w:sz="4" w:space="0" w:color="FFFFFF"/>
              <w:bottom w:val="single" w:sz="4" w:space="0" w:color="A6A6A6"/>
              <w:right w:val="single" w:sz="4" w:space="0" w:color="FFFFFF"/>
            </w:tcBorders>
            <w:hideMark/>
          </w:tcPr>
          <w:p w14:paraId="45C091F0" w14:textId="77777777" w:rsidR="00FA7EBF" w:rsidRDefault="00FA7EBF">
            <w:pPr>
              <w:pStyle w:val="ARtabletextbold"/>
            </w:pPr>
            <w:r>
              <w:t>Cash flows from operating activities</w:t>
            </w:r>
          </w:p>
        </w:tc>
      </w:tr>
      <w:tr w:rsidR="00FA7EBF" w14:paraId="05C7F24E" w14:textId="77777777" w:rsidTr="003075FD">
        <w:trPr>
          <w:cantSplit/>
        </w:trPr>
        <w:tc>
          <w:tcPr>
            <w:tcW w:w="9639" w:type="dxa"/>
            <w:gridSpan w:val="3"/>
            <w:tcBorders>
              <w:top w:val="single" w:sz="4" w:space="0" w:color="A6A6A6"/>
              <w:left w:val="single" w:sz="4" w:space="0" w:color="FFFFFF"/>
              <w:bottom w:val="single" w:sz="4" w:space="0" w:color="A6A6A6"/>
              <w:right w:val="single" w:sz="4" w:space="0" w:color="FFFFFF"/>
            </w:tcBorders>
            <w:hideMark/>
          </w:tcPr>
          <w:p w14:paraId="5B6D28ED" w14:textId="77777777" w:rsidR="00FA7EBF" w:rsidRDefault="00FA7EBF">
            <w:pPr>
              <w:pStyle w:val="ARtabletextbold"/>
            </w:pPr>
            <w:r>
              <w:t>Receipts</w:t>
            </w:r>
          </w:p>
        </w:tc>
      </w:tr>
      <w:tr w:rsidR="00FA7EBF" w14:paraId="41B56785"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62A74485" w14:textId="77777777" w:rsidR="00FA7EBF" w:rsidRDefault="00FA7EBF">
            <w:pPr>
              <w:pStyle w:val="ARtabletext"/>
            </w:pPr>
            <w:r>
              <w:t>Receipts of output appropriations</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45FC8645" w14:textId="77777777" w:rsidR="00FA7EBF" w:rsidRDefault="00FA7EBF">
            <w:pPr>
              <w:pStyle w:val="ARtabletextright"/>
            </w:pPr>
            <w:r>
              <w:t>618.8</w:t>
            </w:r>
          </w:p>
        </w:tc>
        <w:tc>
          <w:tcPr>
            <w:tcW w:w="1134" w:type="dxa"/>
            <w:tcBorders>
              <w:top w:val="single" w:sz="4" w:space="0" w:color="A6A6A6"/>
              <w:left w:val="single" w:sz="4" w:space="0" w:color="FFFFFF"/>
              <w:bottom w:val="single" w:sz="4" w:space="0" w:color="A6A6A6"/>
              <w:right w:val="single" w:sz="4" w:space="0" w:color="FFFFFF"/>
            </w:tcBorders>
            <w:hideMark/>
          </w:tcPr>
          <w:p w14:paraId="03B7EAC0" w14:textId="77777777" w:rsidR="00FA7EBF" w:rsidRDefault="00FA7EBF">
            <w:pPr>
              <w:pStyle w:val="ARtabletextright"/>
            </w:pPr>
            <w:r>
              <w:t>569.1</w:t>
            </w:r>
          </w:p>
        </w:tc>
      </w:tr>
      <w:tr w:rsidR="00FA7EBF" w14:paraId="6F14FD00"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675133C1" w14:textId="77777777" w:rsidR="00FA7EBF" w:rsidRDefault="00FA7EBF">
            <w:pPr>
              <w:pStyle w:val="ARtabletext"/>
            </w:pPr>
            <w:r>
              <w:t>Receipts of funds from other authorities</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313B562B" w14:textId="77777777" w:rsidR="00FA7EBF" w:rsidRDefault="00FA7EBF">
            <w:pPr>
              <w:pStyle w:val="ARtabletextright"/>
            </w:pPr>
            <w:r>
              <w:t>11.9</w:t>
            </w:r>
          </w:p>
        </w:tc>
        <w:tc>
          <w:tcPr>
            <w:tcW w:w="1134" w:type="dxa"/>
            <w:tcBorders>
              <w:top w:val="single" w:sz="4" w:space="0" w:color="A6A6A6"/>
              <w:left w:val="single" w:sz="4" w:space="0" w:color="FFFFFF"/>
              <w:bottom w:val="single" w:sz="4" w:space="0" w:color="A6A6A6"/>
              <w:right w:val="single" w:sz="4" w:space="0" w:color="FFFFFF"/>
            </w:tcBorders>
            <w:hideMark/>
          </w:tcPr>
          <w:p w14:paraId="4C658E68" w14:textId="77777777" w:rsidR="00FA7EBF" w:rsidRDefault="00FA7EBF">
            <w:pPr>
              <w:pStyle w:val="ARtabletextright"/>
            </w:pPr>
            <w:r>
              <w:t>36.9</w:t>
            </w:r>
          </w:p>
        </w:tc>
      </w:tr>
      <w:tr w:rsidR="00FA7EBF" w14:paraId="252688F7"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133AE54F" w14:textId="77777777" w:rsidR="00FA7EBF" w:rsidRDefault="00FA7EBF">
            <w:pPr>
              <w:pStyle w:val="ARtabletext"/>
            </w:pPr>
            <w:r>
              <w:t>Rent received</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557BC85D" w14:textId="77777777" w:rsidR="00FA7EBF" w:rsidRDefault="00FA7EBF">
            <w:pPr>
              <w:pStyle w:val="ARtabletextright"/>
            </w:pPr>
            <w:r>
              <w:t>479.3</w:t>
            </w:r>
          </w:p>
        </w:tc>
        <w:tc>
          <w:tcPr>
            <w:tcW w:w="1134" w:type="dxa"/>
            <w:tcBorders>
              <w:top w:val="single" w:sz="4" w:space="0" w:color="A6A6A6"/>
              <w:left w:val="single" w:sz="4" w:space="0" w:color="FFFFFF"/>
              <w:bottom w:val="single" w:sz="4" w:space="0" w:color="A6A6A6"/>
              <w:right w:val="single" w:sz="4" w:space="0" w:color="FFFFFF"/>
            </w:tcBorders>
            <w:hideMark/>
          </w:tcPr>
          <w:p w14:paraId="08C26843" w14:textId="77777777" w:rsidR="00FA7EBF" w:rsidRDefault="00FA7EBF">
            <w:pPr>
              <w:pStyle w:val="ARtabletextright"/>
            </w:pPr>
            <w:r>
              <w:t>473.4</w:t>
            </w:r>
          </w:p>
        </w:tc>
      </w:tr>
      <w:tr w:rsidR="00FA7EBF" w14:paraId="45A1FAF9"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52612F2A" w14:textId="77777777" w:rsidR="00FA7EBF" w:rsidRDefault="00FA7EBF">
            <w:pPr>
              <w:pStyle w:val="ARtabletext"/>
            </w:pPr>
            <w:r>
              <w:t>User charges received – rental properties</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755B4A60" w14:textId="77777777" w:rsidR="00FA7EBF" w:rsidRDefault="00FA7EBF">
            <w:pPr>
              <w:pStyle w:val="ARtabletextright"/>
            </w:pPr>
            <w:r>
              <w:t>4.8</w:t>
            </w:r>
          </w:p>
        </w:tc>
        <w:tc>
          <w:tcPr>
            <w:tcW w:w="1134" w:type="dxa"/>
            <w:tcBorders>
              <w:top w:val="single" w:sz="4" w:space="0" w:color="A6A6A6"/>
              <w:left w:val="single" w:sz="4" w:space="0" w:color="FFFFFF"/>
              <w:bottom w:val="single" w:sz="4" w:space="0" w:color="A6A6A6"/>
              <w:right w:val="single" w:sz="4" w:space="0" w:color="FFFFFF"/>
            </w:tcBorders>
            <w:hideMark/>
          </w:tcPr>
          <w:p w14:paraId="4A414933" w14:textId="77777777" w:rsidR="00FA7EBF" w:rsidRDefault="00FA7EBF">
            <w:pPr>
              <w:pStyle w:val="ARtabletextright"/>
            </w:pPr>
            <w:r>
              <w:t>4.9</w:t>
            </w:r>
          </w:p>
        </w:tc>
      </w:tr>
      <w:tr w:rsidR="00FA7EBF" w14:paraId="2D5886FC"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72260D4D" w14:textId="77777777" w:rsidR="00FA7EBF" w:rsidRDefault="00FA7EBF">
            <w:pPr>
              <w:pStyle w:val="ARtabletext"/>
            </w:pPr>
            <w:r>
              <w:t>Interest received</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38D943ED" w14:textId="77777777" w:rsidR="00FA7EBF" w:rsidRDefault="00FA7EBF">
            <w:pPr>
              <w:pStyle w:val="ARtabletextright"/>
            </w:pPr>
            <w:r>
              <w:t>13.8</w:t>
            </w:r>
          </w:p>
        </w:tc>
        <w:tc>
          <w:tcPr>
            <w:tcW w:w="1134" w:type="dxa"/>
            <w:tcBorders>
              <w:top w:val="single" w:sz="4" w:space="0" w:color="A6A6A6"/>
              <w:left w:val="single" w:sz="4" w:space="0" w:color="FFFFFF"/>
              <w:bottom w:val="single" w:sz="4" w:space="0" w:color="A6A6A6"/>
              <w:right w:val="single" w:sz="4" w:space="0" w:color="FFFFFF"/>
            </w:tcBorders>
            <w:hideMark/>
          </w:tcPr>
          <w:p w14:paraId="020FA5CE" w14:textId="77777777" w:rsidR="00FA7EBF" w:rsidRDefault="00FA7EBF">
            <w:pPr>
              <w:pStyle w:val="ARtabletextright"/>
            </w:pPr>
            <w:r>
              <w:t>9.5</w:t>
            </w:r>
          </w:p>
        </w:tc>
      </w:tr>
      <w:tr w:rsidR="00FA7EBF" w14:paraId="57A6E886"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383F3F67" w14:textId="77777777" w:rsidR="00FA7EBF" w:rsidRDefault="00FA7EBF">
            <w:pPr>
              <w:pStyle w:val="ARtabletext"/>
            </w:pPr>
            <w:r>
              <w:t>Other receipts</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6D701254" w14:textId="77777777" w:rsidR="00FA7EBF" w:rsidRDefault="00FA7EBF">
            <w:pPr>
              <w:pStyle w:val="ARtabletextright"/>
            </w:pPr>
            <w:r>
              <w:t>3.2</w:t>
            </w:r>
          </w:p>
        </w:tc>
        <w:tc>
          <w:tcPr>
            <w:tcW w:w="1134" w:type="dxa"/>
            <w:tcBorders>
              <w:top w:val="single" w:sz="4" w:space="0" w:color="A6A6A6"/>
              <w:left w:val="single" w:sz="4" w:space="0" w:color="FFFFFF"/>
              <w:bottom w:val="single" w:sz="4" w:space="0" w:color="A6A6A6"/>
              <w:right w:val="single" w:sz="4" w:space="0" w:color="FFFFFF"/>
            </w:tcBorders>
            <w:hideMark/>
          </w:tcPr>
          <w:p w14:paraId="7F7C1E64" w14:textId="77777777" w:rsidR="00FA7EBF" w:rsidRDefault="00FA7EBF">
            <w:pPr>
              <w:pStyle w:val="ARtabletextright"/>
            </w:pPr>
            <w:r>
              <w:t>4.9</w:t>
            </w:r>
          </w:p>
        </w:tc>
      </w:tr>
      <w:tr w:rsidR="00FA7EBF" w14:paraId="3F479587" w14:textId="77777777" w:rsidTr="003075FD">
        <w:trPr>
          <w:cantSplit/>
        </w:trPr>
        <w:tc>
          <w:tcPr>
            <w:tcW w:w="7371" w:type="dxa"/>
            <w:tcBorders>
              <w:top w:val="single" w:sz="4" w:space="0" w:color="A6A6A6"/>
              <w:left w:val="single" w:sz="4" w:space="0" w:color="FFFFFF"/>
              <w:bottom w:val="single" w:sz="4" w:space="0" w:color="auto"/>
              <w:right w:val="single" w:sz="4" w:space="0" w:color="FFFFFF"/>
            </w:tcBorders>
            <w:hideMark/>
          </w:tcPr>
          <w:p w14:paraId="393342CF" w14:textId="77777777" w:rsidR="00FA7EBF" w:rsidRDefault="00FA7EBF">
            <w:pPr>
              <w:pStyle w:val="ARtabletext"/>
            </w:pPr>
            <w:r>
              <w:t xml:space="preserve">GST recovered from Australian Taxation Office </w:t>
            </w:r>
            <w:r>
              <w:rPr>
                <w:rStyle w:val="Superscript"/>
              </w:rPr>
              <w:t>(i)</w:t>
            </w:r>
          </w:p>
        </w:tc>
        <w:tc>
          <w:tcPr>
            <w:tcW w:w="1134" w:type="dxa"/>
            <w:tcBorders>
              <w:top w:val="single" w:sz="4" w:space="0" w:color="A6A6A6"/>
              <w:left w:val="single" w:sz="4" w:space="0" w:color="FFFFFF"/>
              <w:bottom w:val="single" w:sz="4" w:space="0" w:color="auto"/>
              <w:right w:val="single" w:sz="4" w:space="0" w:color="FFFFFF"/>
            </w:tcBorders>
            <w:shd w:val="clear" w:color="auto" w:fill="E7E6E6"/>
            <w:hideMark/>
          </w:tcPr>
          <w:p w14:paraId="7E96C8C6" w14:textId="77777777" w:rsidR="00FA7EBF" w:rsidRDefault="00FA7EBF">
            <w:pPr>
              <w:pStyle w:val="ARtabletextright"/>
            </w:pPr>
            <w:r>
              <w:t>41.8</w:t>
            </w:r>
          </w:p>
        </w:tc>
        <w:tc>
          <w:tcPr>
            <w:tcW w:w="1134" w:type="dxa"/>
            <w:tcBorders>
              <w:top w:val="single" w:sz="4" w:space="0" w:color="A6A6A6"/>
              <w:left w:val="single" w:sz="4" w:space="0" w:color="FFFFFF"/>
              <w:bottom w:val="single" w:sz="4" w:space="0" w:color="auto"/>
              <w:right w:val="single" w:sz="4" w:space="0" w:color="FFFFFF"/>
            </w:tcBorders>
            <w:hideMark/>
          </w:tcPr>
          <w:p w14:paraId="79A1625D" w14:textId="77777777" w:rsidR="00FA7EBF" w:rsidRDefault="00FA7EBF">
            <w:pPr>
              <w:pStyle w:val="ARtabletextright"/>
            </w:pPr>
            <w:r>
              <w:t>39.8</w:t>
            </w:r>
          </w:p>
        </w:tc>
      </w:tr>
      <w:tr w:rsidR="00FA7EBF" w14:paraId="086EA048" w14:textId="77777777" w:rsidTr="003075FD">
        <w:trPr>
          <w:cantSplit/>
        </w:trPr>
        <w:tc>
          <w:tcPr>
            <w:tcW w:w="7371" w:type="dxa"/>
            <w:tcBorders>
              <w:top w:val="single" w:sz="4" w:space="0" w:color="auto"/>
              <w:left w:val="single" w:sz="4" w:space="0" w:color="FFFFFF"/>
              <w:bottom w:val="single" w:sz="4" w:space="0" w:color="auto"/>
              <w:right w:val="single" w:sz="4" w:space="0" w:color="FFFFFF"/>
            </w:tcBorders>
            <w:hideMark/>
          </w:tcPr>
          <w:p w14:paraId="38402CBE" w14:textId="77777777" w:rsidR="00FA7EBF" w:rsidRDefault="00FA7EBF">
            <w:pPr>
              <w:pStyle w:val="ARtabletextbold"/>
            </w:pPr>
            <w:r>
              <w:t>Total receipts</w:t>
            </w:r>
          </w:p>
        </w:tc>
        <w:tc>
          <w:tcPr>
            <w:tcW w:w="1134" w:type="dxa"/>
            <w:tcBorders>
              <w:top w:val="single" w:sz="4" w:space="0" w:color="auto"/>
              <w:left w:val="single" w:sz="4" w:space="0" w:color="FFFFFF"/>
              <w:bottom w:val="single" w:sz="4" w:space="0" w:color="auto"/>
              <w:right w:val="single" w:sz="4" w:space="0" w:color="FFFFFF"/>
            </w:tcBorders>
            <w:shd w:val="clear" w:color="auto" w:fill="E7E6E6"/>
            <w:hideMark/>
          </w:tcPr>
          <w:p w14:paraId="1101408E" w14:textId="77777777" w:rsidR="00FA7EBF" w:rsidRDefault="00FA7EBF">
            <w:pPr>
              <w:pStyle w:val="ARtabletextrightbold"/>
            </w:pPr>
            <w:r>
              <w:t>1,173.6</w:t>
            </w:r>
          </w:p>
        </w:tc>
        <w:tc>
          <w:tcPr>
            <w:tcW w:w="1134" w:type="dxa"/>
            <w:tcBorders>
              <w:top w:val="single" w:sz="4" w:space="0" w:color="auto"/>
              <w:left w:val="single" w:sz="4" w:space="0" w:color="FFFFFF"/>
              <w:bottom w:val="single" w:sz="4" w:space="0" w:color="auto"/>
              <w:right w:val="single" w:sz="4" w:space="0" w:color="FFFFFF"/>
            </w:tcBorders>
            <w:hideMark/>
          </w:tcPr>
          <w:p w14:paraId="78163EA8" w14:textId="77777777" w:rsidR="00FA7EBF" w:rsidRDefault="00FA7EBF">
            <w:pPr>
              <w:pStyle w:val="ARtabletextrightbold"/>
            </w:pPr>
            <w:r>
              <w:t>1,138.5</w:t>
            </w:r>
          </w:p>
        </w:tc>
      </w:tr>
      <w:tr w:rsidR="00FA7EBF" w14:paraId="1945AC64" w14:textId="77777777" w:rsidTr="003075FD">
        <w:trPr>
          <w:cantSplit/>
        </w:trPr>
        <w:tc>
          <w:tcPr>
            <w:tcW w:w="9639" w:type="dxa"/>
            <w:gridSpan w:val="3"/>
            <w:tcBorders>
              <w:top w:val="single" w:sz="4" w:space="0" w:color="auto"/>
              <w:left w:val="single" w:sz="4" w:space="0" w:color="FFFFFF"/>
              <w:bottom w:val="single" w:sz="4" w:space="0" w:color="A6A6A6"/>
              <w:right w:val="single" w:sz="4" w:space="0" w:color="FFFFFF"/>
            </w:tcBorders>
            <w:hideMark/>
          </w:tcPr>
          <w:p w14:paraId="17079757" w14:textId="77777777" w:rsidR="00FA7EBF" w:rsidRDefault="00FA7EBF">
            <w:pPr>
              <w:pStyle w:val="ARtabletextbold"/>
            </w:pPr>
            <w:r>
              <w:t>Payments</w:t>
            </w:r>
          </w:p>
        </w:tc>
      </w:tr>
      <w:tr w:rsidR="00FA7EBF" w14:paraId="4BB9E7D7"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20F32C41" w14:textId="77777777" w:rsidR="00FA7EBF" w:rsidRDefault="00FA7EBF">
            <w:pPr>
              <w:pStyle w:val="ARtabletext"/>
            </w:pPr>
            <w:r>
              <w:t>Payments of grants and other expense transfers</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2BF58EBC" w14:textId="77777777" w:rsidR="00FA7EBF" w:rsidRDefault="00FA7EBF">
            <w:pPr>
              <w:pStyle w:val="ARtabletextright"/>
            </w:pPr>
            <w:r>
              <w:t>(468.7)</w:t>
            </w:r>
          </w:p>
        </w:tc>
        <w:tc>
          <w:tcPr>
            <w:tcW w:w="1134" w:type="dxa"/>
            <w:tcBorders>
              <w:top w:val="single" w:sz="4" w:space="0" w:color="A6A6A6"/>
              <w:left w:val="single" w:sz="4" w:space="0" w:color="FFFFFF"/>
              <w:bottom w:val="single" w:sz="4" w:space="0" w:color="A6A6A6"/>
              <w:right w:val="single" w:sz="4" w:space="0" w:color="FFFFFF"/>
            </w:tcBorders>
            <w:hideMark/>
          </w:tcPr>
          <w:p w14:paraId="067182F7" w14:textId="77777777" w:rsidR="00FA7EBF" w:rsidRDefault="00FA7EBF">
            <w:pPr>
              <w:pStyle w:val="ARtabletextright"/>
            </w:pPr>
            <w:r>
              <w:t>(439.2)</w:t>
            </w:r>
          </w:p>
        </w:tc>
      </w:tr>
      <w:tr w:rsidR="00FA7EBF" w14:paraId="3FC564D8"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36000018" w14:textId="77777777" w:rsidR="00FA7EBF" w:rsidRDefault="00FA7EBF">
            <w:pPr>
              <w:pStyle w:val="ARtabletext"/>
            </w:pPr>
            <w:r>
              <w:t>Payments for employee benefits</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39105C28" w14:textId="77777777" w:rsidR="00FA7EBF" w:rsidRDefault="00FA7EBF">
            <w:pPr>
              <w:pStyle w:val="ARtabletextright"/>
            </w:pPr>
            <w:r>
              <w:t>(112.3)</w:t>
            </w:r>
          </w:p>
        </w:tc>
        <w:tc>
          <w:tcPr>
            <w:tcW w:w="1134" w:type="dxa"/>
            <w:tcBorders>
              <w:top w:val="single" w:sz="4" w:space="0" w:color="A6A6A6"/>
              <w:left w:val="single" w:sz="4" w:space="0" w:color="FFFFFF"/>
              <w:bottom w:val="single" w:sz="4" w:space="0" w:color="A6A6A6"/>
              <w:right w:val="single" w:sz="4" w:space="0" w:color="FFFFFF"/>
            </w:tcBorders>
            <w:hideMark/>
          </w:tcPr>
          <w:p w14:paraId="43AC304A" w14:textId="77777777" w:rsidR="00FA7EBF" w:rsidRDefault="00FA7EBF">
            <w:pPr>
              <w:pStyle w:val="ARtabletextright"/>
            </w:pPr>
            <w:r>
              <w:t>(110.2)</w:t>
            </w:r>
          </w:p>
        </w:tc>
      </w:tr>
      <w:tr w:rsidR="00FA7EBF" w14:paraId="5290FA07"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12BA83C5" w14:textId="77777777" w:rsidR="00FA7EBF" w:rsidRDefault="00FA7EBF">
            <w:pPr>
              <w:pStyle w:val="ARtabletext"/>
            </w:pPr>
            <w:r>
              <w:t>Payments for supplies and services</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185DD31E" w14:textId="77777777" w:rsidR="00FA7EBF" w:rsidRDefault="00FA7EBF">
            <w:pPr>
              <w:pStyle w:val="ARtabletextright"/>
            </w:pPr>
            <w:r>
              <w:t>(38.9)</w:t>
            </w:r>
          </w:p>
        </w:tc>
        <w:tc>
          <w:tcPr>
            <w:tcW w:w="1134" w:type="dxa"/>
            <w:tcBorders>
              <w:top w:val="single" w:sz="4" w:space="0" w:color="A6A6A6"/>
              <w:left w:val="single" w:sz="4" w:space="0" w:color="FFFFFF"/>
              <w:bottom w:val="single" w:sz="4" w:space="0" w:color="A6A6A6"/>
              <w:right w:val="single" w:sz="4" w:space="0" w:color="FFFFFF"/>
            </w:tcBorders>
            <w:hideMark/>
          </w:tcPr>
          <w:p w14:paraId="6278E25D" w14:textId="77777777" w:rsidR="00FA7EBF" w:rsidRDefault="00FA7EBF">
            <w:pPr>
              <w:pStyle w:val="ARtabletextright"/>
            </w:pPr>
            <w:r>
              <w:t>(33.0)</w:t>
            </w:r>
          </w:p>
        </w:tc>
      </w:tr>
      <w:tr w:rsidR="00FA7EBF" w14:paraId="560F0FA7"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1ED4BC21" w14:textId="77777777" w:rsidR="00FA7EBF" w:rsidRDefault="00FA7EBF">
            <w:pPr>
              <w:pStyle w:val="ARtabletext"/>
            </w:pPr>
            <w:r>
              <w:t>Interest and other costs of finance paid</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624212CE" w14:textId="77777777" w:rsidR="00FA7EBF" w:rsidRDefault="00FA7EBF">
            <w:pPr>
              <w:pStyle w:val="ARtabletextright"/>
            </w:pPr>
            <w:r>
              <w:t>(4.1)</w:t>
            </w:r>
          </w:p>
        </w:tc>
        <w:tc>
          <w:tcPr>
            <w:tcW w:w="1134" w:type="dxa"/>
            <w:tcBorders>
              <w:top w:val="single" w:sz="4" w:space="0" w:color="A6A6A6"/>
              <w:left w:val="single" w:sz="4" w:space="0" w:color="FFFFFF"/>
              <w:bottom w:val="single" w:sz="4" w:space="0" w:color="A6A6A6"/>
              <w:right w:val="single" w:sz="4" w:space="0" w:color="FFFFFF"/>
            </w:tcBorders>
            <w:hideMark/>
          </w:tcPr>
          <w:p w14:paraId="1BD85A5B" w14:textId="77777777" w:rsidR="00FA7EBF" w:rsidRDefault="00FA7EBF">
            <w:pPr>
              <w:pStyle w:val="ARtabletextright"/>
            </w:pPr>
            <w:r>
              <w:t>(1.7)</w:t>
            </w:r>
          </w:p>
        </w:tc>
      </w:tr>
      <w:tr w:rsidR="00FA7EBF" w14:paraId="125951AE"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1AD85528" w14:textId="77777777" w:rsidR="00FA7EBF" w:rsidRDefault="00FA7EBF">
            <w:pPr>
              <w:pStyle w:val="ARtabletext"/>
            </w:pPr>
            <w:r>
              <w:t>Maintenance</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7847B10D" w14:textId="77777777" w:rsidR="00FA7EBF" w:rsidRDefault="00FA7EBF">
            <w:pPr>
              <w:pStyle w:val="ARtabletextright"/>
            </w:pPr>
            <w:r>
              <w:t>(120.5)</w:t>
            </w:r>
          </w:p>
        </w:tc>
        <w:tc>
          <w:tcPr>
            <w:tcW w:w="1134" w:type="dxa"/>
            <w:tcBorders>
              <w:top w:val="single" w:sz="4" w:space="0" w:color="A6A6A6"/>
              <w:left w:val="single" w:sz="4" w:space="0" w:color="FFFFFF"/>
              <w:bottom w:val="single" w:sz="4" w:space="0" w:color="A6A6A6"/>
              <w:right w:val="single" w:sz="4" w:space="0" w:color="FFFFFF"/>
            </w:tcBorders>
            <w:hideMark/>
          </w:tcPr>
          <w:p w14:paraId="71603189" w14:textId="77777777" w:rsidR="00FA7EBF" w:rsidRDefault="00FA7EBF">
            <w:pPr>
              <w:pStyle w:val="ARtabletextright"/>
            </w:pPr>
            <w:r>
              <w:t>(165.8)</w:t>
            </w:r>
          </w:p>
        </w:tc>
      </w:tr>
      <w:tr w:rsidR="00FA7EBF" w14:paraId="5FBA28F3"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079F2BE6" w14:textId="77777777" w:rsidR="00FA7EBF" w:rsidRDefault="00FA7EBF">
            <w:pPr>
              <w:pStyle w:val="ARtabletext"/>
            </w:pPr>
            <w:r>
              <w:t>Other property management expenses</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0063C610" w14:textId="77777777" w:rsidR="00FA7EBF" w:rsidRDefault="00FA7EBF">
            <w:pPr>
              <w:pStyle w:val="ARtabletextright"/>
            </w:pPr>
            <w:r>
              <w:t>(311.9)</w:t>
            </w:r>
          </w:p>
        </w:tc>
        <w:tc>
          <w:tcPr>
            <w:tcW w:w="1134" w:type="dxa"/>
            <w:tcBorders>
              <w:top w:val="single" w:sz="4" w:space="0" w:color="A6A6A6"/>
              <w:left w:val="single" w:sz="4" w:space="0" w:color="FFFFFF"/>
              <w:bottom w:val="single" w:sz="4" w:space="0" w:color="A6A6A6"/>
              <w:right w:val="single" w:sz="4" w:space="0" w:color="FFFFFF"/>
            </w:tcBorders>
            <w:hideMark/>
          </w:tcPr>
          <w:p w14:paraId="0EB20D70" w14:textId="77777777" w:rsidR="00FA7EBF" w:rsidRDefault="00FA7EBF">
            <w:pPr>
              <w:pStyle w:val="ARtabletextright"/>
            </w:pPr>
            <w:r>
              <w:t>(192.8)</w:t>
            </w:r>
          </w:p>
        </w:tc>
      </w:tr>
      <w:tr w:rsidR="00FA7EBF" w14:paraId="188F2832"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03C1E162" w14:textId="77777777" w:rsidR="00FA7EBF" w:rsidRDefault="00FA7EBF">
            <w:pPr>
              <w:pStyle w:val="ARtabletext"/>
            </w:pPr>
            <w:r>
              <w:t>Other payments</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3FF00FE5" w14:textId="77777777" w:rsidR="00FA7EBF" w:rsidRDefault="00FA7EBF">
            <w:pPr>
              <w:pStyle w:val="ARtabletextright"/>
            </w:pPr>
            <w:r>
              <w:t>–</w:t>
            </w:r>
          </w:p>
        </w:tc>
        <w:tc>
          <w:tcPr>
            <w:tcW w:w="1134" w:type="dxa"/>
            <w:tcBorders>
              <w:top w:val="single" w:sz="4" w:space="0" w:color="A6A6A6"/>
              <w:left w:val="single" w:sz="4" w:space="0" w:color="FFFFFF"/>
              <w:bottom w:val="single" w:sz="4" w:space="0" w:color="A6A6A6"/>
              <w:right w:val="single" w:sz="4" w:space="0" w:color="FFFFFF"/>
            </w:tcBorders>
            <w:hideMark/>
          </w:tcPr>
          <w:p w14:paraId="779E8CDE" w14:textId="77777777" w:rsidR="00FA7EBF" w:rsidRDefault="00FA7EBF">
            <w:pPr>
              <w:pStyle w:val="ARtabletextright"/>
            </w:pPr>
            <w:r>
              <w:t>(0.2)</w:t>
            </w:r>
          </w:p>
        </w:tc>
      </w:tr>
      <w:tr w:rsidR="00FA7EBF" w14:paraId="4884990A" w14:textId="77777777" w:rsidTr="003075FD">
        <w:trPr>
          <w:cantSplit/>
        </w:trPr>
        <w:tc>
          <w:tcPr>
            <w:tcW w:w="7371" w:type="dxa"/>
            <w:tcBorders>
              <w:top w:val="single" w:sz="4" w:space="0" w:color="auto"/>
              <w:left w:val="single" w:sz="4" w:space="0" w:color="FFFFFF"/>
              <w:bottom w:val="single" w:sz="4" w:space="0" w:color="auto"/>
              <w:right w:val="single" w:sz="4" w:space="0" w:color="FFFFFF"/>
            </w:tcBorders>
            <w:hideMark/>
          </w:tcPr>
          <w:p w14:paraId="4705D045" w14:textId="77777777" w:rsidR="00FA7EBF" w:rsidRDefault="00FA7EBF">
            <w:pPr>
              <w:pStyle w:val="ARtabletextbold"/>
            </w:pPr>
            <w:r>
              <w:t>Total payments</w:t>
            </w:r>
          </w:p>
        </w:tc>
        <w:tc>
          <w:tcPr>
            <w:tcW w:w="1134" w:type="dxa"/>
            <w:tcBorders>
              <w:top w:val="single" w:sz="4" w:space="0" w:color="auto"/>
              <w:left w:val="single" w:sz="4" w:space="0" w:color="FFFFFF"/>
              <w:bottom w:val="single" w:sz="4" w:space="0" w:color="auto"/>
              <w:right w:val="single" w:sz="4" w:space="0" w:color="FFFFFF"/>
            </w:tcBorders>
            <w:shd w:val="clear" w:color="auto" w:fill="E7E6E6"/>
            <w:hideMark/>
          </w:tcPr>
          <w:p w14:paraId="4513B332" w14:textId="77777777" w:rsidR="00FA7EBF" w:rsidRDefault="00FA7EBF">
            <w:pPr>
              <w:pStyle w:val="ARtabletextrightbold"/>
            </w:pPr>
            <w:r>
              <w:t>(1,056.4)</w:t>
            </w:r>
          </w:p>
        </w:tc>
        <w:tc>
          <w:tcPr>
            <w:tcW w:w="1134" w:type="dxa"/>
            <w:tcBorders>
              <w:top w:val="single" w:sz="4" w:space="0" w:color="auto"/>
              <w:left w:val="single" w:sz="4" w:space="0" w:color="FFFFFF"/>
              <w:bottom w:val="single" w:sz="4" w:space="0" w:color="auto"/>
              <w:right w:val="single" w:sz="4" w:space="0" w:color="FFFFFF"/>
            </w:tcBorders>
            <w:hideMark/>
          </w:tcPr>
          <w:p w14:paraId="1FCE4D9F" w14:textId="77777777" w:rsidR="00FA7EBF" w:rsidRDefault="00FA7EBF">
            <w:pPr>
              <w:pStyle w:val="ARtabletextrightbold"/>
            </w:pPr>
            <w:r>
              <w:t>(943.0)</w:t>
            </w:r>
          </w:p>
        </w:tc>
      </w:tr>
      <w:tr w:rsidR="00FA7EBF" w14:paraId="143002A4" w14:textId="77777777" w:rsidTr="003075FD">
        <w:trPr>
          <w:cantSplit/>
        </w:trPr>
        <w:tc>
          <w:tcPr>
            <w:tcW w:w="7371" w:type="dxa"/>
            <w:tcBorders>
              <w:top w:val="single" w:sz="4" w:space="0" w:color="auto"/>
              <w:left w:val="single" w:sz="4" w:space="0" w:color="FFFFFF"/>
              <w:bottom w:val="single" w:sz="4" w:space="0" w:color="auto"/>
              <w:right w:val="single" w:sz="4" w:space="0" w:color="FFFFFF"/>
            </w:tcBorders>
            <w:hideMark/>
          </w:tcPr>
          <w:p w14:paraId="21EFEB07" w14:textId="77777777" w:rsidR="00FA7EBF" w:rsidRDefault="00FA7EBF">
            <w:pPr>
              <w:pStyle w:val="ARtabletextbold"/>
            </w:pPr>
            <w:r>
              <w:t>Net cash flows from/(used in) operating activities</w:t>
            </w:r>
          </w:p>
        </w:tc>
        <w:tc>
          <w:tcPr>
            <w:tcW w:w="1134" w:type="dxa"/>
            <w:tcBorders>
              <w:top w:val="single" w:sz="4" w:space="0" w:color="auto"/>
              <w:left w:val="single" w:sz="4" w:space="0" w:color="FFFFFF"/>
              <w:bottom w:val="single" w:sz="4" w:space="0" w:color="auto"/>
              <w:right w:val="single" w:sz="4" w:space="0" w:color="FFFFFF"/>
            </w:tcBorders>
            <w:shd w:val="clear" w:color="auto" w:fill="E7E6E6"/>
            <w:hideMark/>
          </w:tcPr>
          <w:p w14:paraId="0C182F95" w14:textId="77777777" w:rsidR="00FA7EBF" w:rsidRDefault="00FA7EBF">
            <w:pPr>
              <w:pStyle w:val="ARtabletextrightbold"/>
            </w:pPr>
            <w:r>
              <w:t>117.2</w:t>
            </w:r>
          </w:p>
        </w:tc>
        <w:tc>
          <w:tcPr>
            <w:tcW w:w="1134" w:type="dxa"/>
            <w:tcBorders>
              <w:top w:val="single" w:sz="4" w:space="0" w:color="auto"/>
              <w:left w:val="single" w:sz="4" w:space="0" w:color="FFFFFF"/>
              <w:bottom w:val="single" w:sz="4" w:space="0" w:color="auto"/>
              <w:right w:val="single" w:sz="4" w:space="0" w:color="FFFFFF"/>
            </w:tcBorders>
            <w:hideMark/>
          </w:tcPr>
          <w:p w14:paraId="16E617E9" w14:textId="77777777" w:rsidR="00FA7EBF" w:rsidRDefault="00FA7EBF">
            <w:pPr>
              <w:pStyle w:val="ARtabletextrightbold"/>
            </w:pPr>
            <w:r>
              <w:t>195.6</w:t>
            </w:r>
          </w:p>
        </w:tc>
      </w:tr>
      <w:tr w:rsidR="00FA7EBF" w14:paraId="487A9154" w14:textId="77777777" w:rsidTr="003075FD">
        <w:trPr>
          <w:cantSplit/>
        </w:trPr>
        <w:tc>
          <w:tcPr>
            <w:tcW w:w="9639" w:type="dxa"/>
            <w:gridSpan w:val="3"/>
            <w:tcBorders>
              <w:top w:val="single" w:sz="4" w:space="0" w:color="auto"/>
              <w:left w:val="single" w:sz="4" w:space="0" w:color="FFFFFF"/>
              <w:bottom w:val="single" w:sz="4" w:space="0" w:color="A6A6A6"/>
              <w:right w:val="single" w:sz="4" w:space="0" w:color="FFFFFF"/>
            </w:tcBorders>
            <w:hideMark/>
          </w:tcPr>
          <w:p w14:paraId="10E1FB83" w14:textId="77777777" w:rsidR="00FA7EBF" w:rsidRDefault="00FA7EBF">
            <w:pPr>
              <w:pStyle w:val="ARtabletextbold"/>
            </w:pPr>
            <w:r>
              <w:t>Cash flows from investing activities</w:t>
            </w:r>
          </w:p>
        </w:tc>
      </w:tr>
      <w:tr w:rsidR="00FA7EBF" w14:paraId="4F51DFE3"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21261AF6" w14:textId="77777777" w:rsidR="00FA7EBF" w:rsidRDefault="00FA7EBF">
            <w:pPr>
              <w:pStyle w:val="ARtabletext"/>
            </w:pPr>
            <w:r>
              <w:t>Proceeds from the sale of non-financial assets</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4DE501DE" w14:textId="77777777" w:rsidR="00FA7EBF" w:rsidRDefault="00FA7EBF">
            <w:pPr>
              <w:pStyle w:val="ARtabletextright"/>
            </w:pPr>
            <w:r>
              <w:t>57.0</w:t>
            </w:r>
          </w:p>
        </w:tc>
        <w:tc>
          <w:tcPr>
            <w:tcW w:w="1134" w:type="dxa"/>
            <w:tcBorders>
              <w:top w:val="single" w:sz="4" w:space="0" w:color="A6A6A6"/>
              <w:left w:val="single" w:sz="4" w:space="0" w:color="FFFFFF"/>
              <w:bottom w:val="single" w:sz="4" w:space="0" w:color="A6A6A6"/>
              <w:right w:val="single" w:sz="4" w:space="0" w:color="FFFFFF"/>
            </w:tcBorders>
            <w:hideMark/>
          </w:tcPr>
          <w:p w14:paraId="65858BD2" w14:textId="77777777" w:rsidR="00FA7EBF" w:rsidRDefault="00FA7EBF">
            <w:pPr>
              <w:pStyle w:val="ARtabletextright"/>
            </w:pPr>
            <w:r>
              <w:t>103.4</w:t>
            </w:r>
          </w:p>
        </w:tc>
      </w:tr>
      <w:tr w:rsidR="00FA7EBF" w14:paraId="33AA0D55"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1306F730" w14:textId="77777777" w:rsidR="00FA7EBF" w:rsidRDefault="00FA7EBF">
            <w:pPr>
              <w:pStyle w:val="ARtabletext"/>
            </w:pPr>
            <w:r>
              <w:t>Purchase of short term investments – term deposits</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0D45993F" w14:textId="77777777" w:rsidR="00FA7EBF" w:rsidRDefault="00FA7EBF">
            <w:pPr>
              <w:pStyle w:val="ARtabletextright"/>
            </w:pPr>
            <w:r>
              <w:t>434.8</w:t>
            </w:r>
          </w:p>
        </w:tc>
        <w:tc>
          <w:tcPr>
            <w:tcW w:w="1134" w:type="dxa"/>
            <w:tcBorders>
              <w:top w:val="single" w:sz="4" w:space="0" w:color="A6A6A6"/>
              <w:left w:val="single" w:sz="4" w:space="0" w:color="FFFFFF"/>
              <w:bottom w:val="single" w:sz="4" w:space="0" w:color="A6A6A6"/>
              <w:right w:val="single" w:sz="4" w:space="0" w:color="FFFFFF"/>
            </w:tcBorders>
            <w:hideMark/>
          </w:tcPr>
          <w:p w14:paraId="4214D131" w14:textId="77777777" w:rsidR="00FA7EBF" w:rsidRDefault="00FA7EBF">
            <w:pPr>
              <w:pStyle w:val="ARtabletextright"/>
            </w:pPr>
            <w:r>
              <w:t>(116.3)</w:t>
            </w:r>
          </w:p>
        </w:tc>
      </w:tr>
      <w:tr w:rsidR="00FA7EBF" w14:paraId="4BE8F85A" w14:textId="77777777" w:rsidTr="003075FD">
        <w:trPr>
          <w:cantSplit/>
        </w:trPr>
        <w:tc>
          <w:tcPr>
            <w:tcW w:w="7371" w:type="dxa"/>
            <w:tcBorders>
              <w:top w:val="single" w:sz="4" w:space="0" w:color="A6A6A6"/>
              <w:left w:val="single" w:sz="4" w:space="0" w:color="FFFFFF"/>
              <w:bottom w:val="single" w:sz="4" w:space="0" w:color="A6A6A6"/>
              <w:right w:val="single" w:sz="4" w:space="0" w:color="FFFFFF"/>
            </w:tcBorders>
            <w:hideMark/>
          </w:tcPr>
          <w:p w14:paraId="1DCE4920" w14:textId="77777777" w:rsidR="00FA7EBF" w:rsidRDefault="00FA7EBF">
            <w:pPr>
              <w:pStyle w:val="ARtabletext"/>
            </w:pPr>
            <w:r>
              <w:t>Client loans repaid</w:t>
            </w:r>
          </w:p>
        </w:tc>
        <w:tc>
          <w:tcPr>
            <w:tcW w:w="1134" w:type="dxa"/>
            <w:tcBorders>
              <w:top w:val="single" w:sz="4" w:space="0" w:color="A6A6A6"/>
              <w:left w:val="single" w:sz="4" w:space="0" w:color="FFFFFF"/>
              <w:bottom w:val="single" w:sz="4" w:space="0" w:color="A6A6A6"/>
              <w:right w:val="single" w:sz="4" w:space="0" w:color="FFFFFF"/>
            </w:tcBorders>
            <w:shd w:val="clear" w:color="auto" w:fill="E7E6E6"/>
            <w:hideMark/>
          </w:tcPr>
          <w:p w14:paraId="0DD822E6" w14:textId="77777777" w:rsidR="00FA7EBF" w:rsidRDefault="00FA7EBF">
            <w:pPr>
              <w:pStyle w:val="ARtabletextright"/>
            </w:pPr>
            <w:r>
              <w:t>1.6</w:t>
            </w:r>
          </w:p>
        </w:tc>
        <w:tc>
          <w:tcPr>
            <w:tcW w:w="1134" w:type="dxa"/>
            <w:tcBorders>
              <w:top w:val="single" w:sz="4" w:space="0" w:color="A6A6A6"/>
              <w:left w:val="single" w:sz="4" w:space="0" w:color="FFFFFF"/>
              <w:bottom w:val="single" w:sz="4" w:space="0" w:color="A6A6A6"/>
              <w:right w:val="single" w:sz="4" w:space="0" w:color="FFFFFF"/>
            </w:tcBorders>
            <w:hideMark/>
          </w:tcPr>
          <w:p w14:paraId="37BF95F7" w14:textId="77777777" w:rsidR="00FA7EBF" w:rsidRDefault="00FA7EBF">
            <w:pPr>
              <w:pStyle w:val="ARtabletextright"/>
            </w:pPr>
            <w:r>
              <w:t>4.1</w:t>
            </w:r>
          </w:p>
        </w:tc>
      </w:tr>
      <w:tr w:rsidR="00FA7EBF" w14:paraId="7D130E57" w14:textId="77777777" w:rsidTr="003075FD">
        <w:trPr>
          <w:cantSplit/>
        </w:trPr>
        <w:tc>
          <w:tcPr>
            <w:tcW w:w="7371" w:type="dxa"/>
            <w:tcBorders>
              <w:top w:val="single" w:sz="4" w:space="0" w:color="A6A6A6"/>
              <w:left w:val="single" w:sz="4" w:space="0" w:color="FFFFFF"/>
              <w:bottom w:val="single" w:sz="4" w:space="0" w:color="auto"/>
              <w:right w:val="single" w:sz="4" w:space="0" w:color="FFFFFF"/>
            </w:tcBorders>
            <w:hideMark/>
          </w:tcPr>
          <w:p w14:paraId="438C6372" w14:textId="77777777" w:rsidR="00FA7EBF" w:rsidRDefault="00FA7EBF">
            <w:pPr>
              <w:pStyle w:val="ARtabletext"/>
            </w:pPr>
            <w:r>
              <w:t>Payment for non-financial assets</w:t>
            </w:r>
          </w:p>
        </w:tc>
        <w:tc>
          <w:tcPr>
            <w:tcW w:w="1134" w:type="dxa"/>
            <w:tcBorders>
              <w:top w:val="single" w:sz="4" w:space="0" w:color="A6A6A6"/>
              <w:left w:val="single" w:sz="4" w:space="0" w:color="FFFFFF"/>
              <w:bottom w:val="single" w:sz="4" w:space="0" w:color="auto"/>
              <w:right w:val="single" w:sz="4" w:space="0" w:color="FFFFFF"/>
            </w:tcBorders>
            <w:shd w:val="clear" w:color="auto" w:fill="E7E6E6"/>
            <w:hideMark/>
          </w:tcPr>
          <w:p w14:paraId="7BCFE294" w14:textId="77777777" w:rsidR="00FA7EBF" w:rsidRDefault="00FA7EBF">
            <w:pPr>
              <w:pStyle w:val="ARtabletextright"/>
            </w:pPr>
            <w:r>
              <w:t>(292.3)</w:t>
            </w:r>
          </w:p>
        </w:tc>
        <w:tc>
          <w:tcPr>
            <w:tcW w:w="1134" w:type="dxa"/>
            <w:tcBorders>
              <w:top w:val="single" w:sz="4" w:space="0" w:color="A6A6A6"/>
              <w:left w:val="single" w:sz="4" w:space="0" w:color="FFFFFF"/>
              <w:bottom w:val="single" w:sz="4" w:space="0" w:color="auto"/>
              <w:right w:val="single" w:sz="4" w:space="0" w:color="FFFFFF"/>
            </w:tcBorders>
            <w:hideMark/>
          </w:tcPr>
          <w:p w14:paraId="7134439F" w14:textId="77777777" w:rsidR="00FA7EBF" w:rsidRDefault="00FA7EBF">
            <w:pPr>
              <w:pStyle w:val="ARtabletextright"/>
            </w:pPr>
            <w:r>
              <w:t>(295.6)</w:t>
            </w:r>
          </w:p>
        </w:tc>
      </w:tr>
      <w:tr w:rsidR="00FA7EBF" w14:paraId="03351E7E" w14:textId="77777777" w:rsidTr="003075FD">
        <w:trPr>
          <w:cantSplit/>
        </w:trPr>
        <w:tc>
          <w:tcPr>
            <w:tcW w:w="7371" w:type="dxa"/>
            <w:tcBorders>
              <w:top w:val="single" w:sz="4" w:space="0" w:color="auto"/>
              <w:left w:val="single" w:sz="4" w:space="0" w:color="FFFFFF"/>
              <w:bottom w:val="single" w:sz="4" w:space="0" w:color="auto"/>
              <w:right w:val="single" w:sz="4" w:space="0" w:color="FFFFFF"/>
            </w:tcBorders>
            <w:hideMark/>
          </w:tcPr>
          <w:p w14:paraId="5F1A08E1" w14:textId="77777777" w:rsidR="00FA7EBF" w:rsidRDefault="00FA7EBF">
            <w:pPr>
              <w:pStyle w:val="ARtabletextbold"/>
            </w:pPr>
            <w:r>
              <w:t>Net cash flows from/(used in) investing activities</w:t>
            </w:r>
          </w:p>
        </w:tc>
        <w:tc>
          <w:tcPr>
            <w:tcW w:w="1134" w:type="dxa"/>
            <w:tcBorders>
              <w:top w:val="single" w:sz="4" w:space="0" w:color="auto"/>
              <w:left w:val="single" w:sz="4" w:space="0" w:color="FFFFFF"/>
              <w:bottom w:val="single" w:sz="4" w:space="0" w:color="auto"/>
              <w:right w:val="single" w:sz="4" w:space="0" w:color="FFFFFF"/>
            </w:tcBorders>
            <w:shd w:val="clear" w:color="auto" w:fill="E7E6E6"/>
            <w:hideMark/>
          </w:tcPr>
          <w:p w14:paraId="04D38186" w14:textId="77777777" w:rsidR="00FA7EBF" w:rsidRDefault="00FA7EBF">
            <w:pPr>
              <w:pStyle w:val="ARtabletextrightbold"/>
            </w:pPr>
            <w:r>
              <w:t>201.1</w:t>
            </w:r>
          </w:p>
        </w:tc>
        <w:tc>
          <w:tcPr>
            <w:tcW w:w="1134" w:type="dxa"/>
            <w:tcBorders>
              <w:top w:val="single" w:sz="4" w:space="0" w:color="auto"/>
              <w:left w:val="single" w:sz="4" w:space="0" w:color="FFFFFF"/>
              <w:bottom w:val="single" w:sz="4" w:space="0" w:color="auto"/>
              <w:right w:val="single" w:sz="4" w:space="0" w:color="FFFFFF"/>
            </w:tcBorders>
            <w:hideMark/>
          </w:tcPr>
          <w:p w14:paraId="411CA6BB" w14:textId="77777777" w:rsidR="00FA7EBF" w:rsidRDefault="00FA7EBF">
            <w:pPr>
              <w:pStyle w:val="ARtabletextrightbold"/>
            </w:pPr>
            <w:r>
              <w:t>(304.4)</w:t>
            </w:r>
          </w:p>
        </w:tc>
      </w:tr>
      <w:tr w:rsidR="00FA7EBF" w14:paraId="41FE49A4" w14:textId="77777777" w:rsidTr="003075FD">
        <w:trPr>
          <w:cantSplit/>
        </w:trPr>
        <w:tc>
          <w:tcPr>
            <w:tcW w:w="9639" w:type="dxa"/>
            <w:gridSpan w:val="3"/>
            <w:tcBorders>
              <w:top w:val="single" w:sz="4" w:space="0" w:color="auto"/>
              <w:left w:val="single" w:sz="4" w:space="0" w:color="FFFFFF"/>
              <w:bottom w:val="single" w:sz="4" w:space="0" w:color="A6A6A6"/>
              <w:right w:val="single" w:sz="4" w:space="0" w:color="FFFFFF"/>
            </w:tcBorders>
            <w:hideMark/>
          </w:tcPr>
          <w:p w14:paraId="27DF70FC" w14:textId="77777777" w:rsidR="00FA7EBF" w:rsidRDefault="00FA7EBF">
            <w:pPr>
              <w:pStyle w:val="ARtabletextbold"/>
            </w:pPr>
            <w:r>
              <w:t>Cash flows from financing activities</w:t>
            </w:r>
          </w:p>
        </w:tc>
      </w:tr>
      <w:tr w:rsidR="00FA7EBF" w14:paraId="210E6F53" w14:textId="77777777" w:rsidTr="003075FD">
        <w:trPr>
          <w:cantSplit/>
        </w:trPr>
        <w:tc>
          <w:tcPr>
            <w:tcW w:w="7371" w:type="dxa"/>
            <w:tcBorders>
              <w:top w:val="single" w:sz="4" w:space="0" w:color="A6A6A6"/>
              <w:left w:val="single" w:sz="4" w:space="0" w:color="FFFFFF"/>
              <w:bottom w:val="single" w:sz="4" w:space="0" w:color="auto"/>
              <w:right w:val="single" w:sz="4" w:space="0" w:color="FFFFFF"/>
            </w:tcBorders>
            <w:hideMark/>
          </w:tcPr>
          <w:p w14:paraId="535BFE1B" w14:textId="77777777" w:rsidR="00FA7EBF" w:rsidRDefault="00FA7EBF">
            <w:pPr>
              <w:pStyle w:val="ARtabletext"/>
            </w:pPr>
            <w:r>
              <w:t>Owner contributions by Victorian Government – appropriation for capital expenditure purposes</w:t>
            </w:r>
          </w:p>
        </w:tc>
        <w:tc>
          <w:tcPr>
            <w:tcW w:w="1134" w:type="dxa"/>
            <w:tcBorders>
              <w:top w:val="single" w:sz="4" w:space="0" w:color="A6A6A6"/>
              <w:left w:val="single" w:sz="4" w:space="0" w:color="FFFFFF"/>
              <w:bottom w:val="single" w:sz="4" w:space="0" w:color="auto"/>
              <w:right w:val="single" w:sz="4" w:space="0" w:color="FFFFFF"/>
            </w:tcBorders>
            <w:shd w:val="clear" w:color="auto" w:fill="E7E6E6"/>
            <w:hideMark/>
          </w:tcPr>
          <w:p w14:paraId="0B30305F" w14:textId="77777777" w:rsidR="00FA7EBF" w:rsidRDefault="00FA7EBF">
            <w:pPr>
              <w:pStyle w:val="ARtabletextright"/>
            </w:pPr>
            <w:r>
              <w:t>53.7</w:t>
            </w:r>
          </w:p>
        </w:tc>
        <w:tc>
          <w:tcPr>
            <w:tcW w:w="1134" w:type="dxa"/>
            <w:tcBorders>
              <w:top w:val="single" w:sz="4" w:space="0" w:color="A6A6A6"/>
              <w:left w:val="single" w:sz="4" w:space="0" w:color="FFFFFF"/>
              <w:bottom w:val="single" w:sz="4" w:space="0" w:color="auto"/>
              <w:right w:val="single" w:sz="4" w:space="0" w:color="FFFFFF"/>
            </w:tcBorders>
            <w:hideMark/>
          </w:tcPr>
          <w:p w14:paraId="52BC68D4" w14:textId="77777777" w:rsidR="00FA7EBF" w:rsidRDefault="00FA7EBF">
            <w:pPr>
              <w:pStyle w:val="ARtabletextright"/>
            </w:pPr>
            <w:r>
              <w:t>131.4</w:t>
            </w:r>
          </w:p>
        </w:tc>
      </w:tr>
      <w:tr w:rsidR="00FA7EBF" w14:paraId="26577530" w14:textId="77777777" w:rsidTr="003075FD">
        <w:trPr>
          <w:cantSplit/>
        </w:trPr>
        <w:tc>
          <w:tcPr>
            <w:tcW w:w="7371" w:type="dxa"/>
            <w:tcBorders>
              <w:top w:val="single" w:sz="4" w:space="0" w:color="auto"/>
              <w:left w:val="single" w:sz="4" w:space="0" w:color="FFFFFF"/>
              <w:bottom w:val="single" w:sz="4" w:space="0" w:color="auto"/>
              <w:right w:val="single" w:sz="4" w:space="0" w:color="FFFFFF"/>
            </w:tcBorders>
            <w:hideMark/>
          </w:tcPr>
          <w:p w14:paraId="41D1829E" w14:textId="77777777" w:rsidR="00FA7EBF" w:rsidRDefault="00FA7EBF">
            <w:pPr>
              <w:pStyle w:val="ARtabletextbold"/>
            </w:pPr>
            <w:r>
              <w:t>Net cash flows from/(used in) financing activities</w:t>
            </w:r>
          </w:p>
        </w:tc>
        <w:tc>
          <w:tcPr>
            <w:tcW w:w="1134" w:type="dxa"/>
            <w:tcBorders>
              <w:top w:val="single" w:sz="4" w:space="0" w:color="auto"/>
              <w:left w:val="single" w:sz="4" w:space="0" w:color="FFFFFF"/>
              <w:bottom w:val="single" w:sz="4" w:space="0" w:color="auto"/>
              <w:right w:val="single" w:sz="4" w:space="0" w:color="FFFFFF"/>
            </w:tcBorders>
            <w:shd w:val="clear" w:color="auto" w:fill="E7E6E6"/>
            <w:hideMark/>
          </w:tcPr>
          <w:p w14:paraId="1D8CBB78" w14:textId="77777777" w:rsidR="00FA7EBF" w:rsidRDefault="00FA7EBF">
            <w:pPr>
              <w:pStyle w:val="ARtabletextrightbold"/>
            </w:pPr>
            <w:r>
              <w:t>53.7</w:t>
            </w:r>
          </w:p>
        </w:tc>
        <w:tc>
          <w:tcPr>
            <w:tcW w:w="1134" w:type="dxa"/>
            <w:tcBorders>
              <w:top w:val="single" w:sz="4" w:space="0" w:color="auto"/>
              <w:left w:val="single" w:sz="4" w:space="0" w:color="FFFFFF"/>
              <w:bottom w:val="single" w:sz="4" w:space="0" w:color="auto"/>
              <w:right w:val="single" w:sz="4" w:space="0" w:color="FFFFFF"/>
            </w:tcBorders>
            <w:hideMark/>
          </w:tcPr>
          <w:p w14:paraId="3B00BCCA" w14:textId="77777777" w:rsidR="00FA7EBF" w:rsidRDefault="00FA7EBF">
            <w:pPr>
              <w:pStyle w:val="ARtabletextrightbold"/>
            </w:pPr>
            <w:r>
              <w:t>131.4</w:t>
            </w:r>
          </w:p>
        </w:tc>
      </w:tr>
      <w:tr w:rsidR="00FA7EBF" w14:paraId="6706AB4F" w14:textId="77777777" w:rsidTr="003075FD">
        <w:trPr>
          <w:cantSplit/>
        </w:trPr>
        <w:tc>
          <w:tcPr>
            <w:tcW w:w="7371" w:type="dxa"/>
            <w:tcBorders>
              <w:top w:val="single" w:sz="4" w:space="0" w:color="auto"/>
              <w:left w:val="single" w:sz="4" w:space="0" w:color="FFFFFF"/>
              <w:bottom w:val="single" w:sz="4" w:space="0" w:color="auto"/>
              <w:right w:val="single" w:sz="4" w:space="0" w:color="FFFFFF"/>
            </w:tcBorders>
            <w:hideMark/>
          </w:tcPr>
          <w:p w14:paraId="04378A2F" w14:textId="77777777" w:rsidR="00FA7EBF" w:rsidRDefault="00FA7EBF">
            <w:pPr>
              <w:pStyle w:val="ARtabletextbold"/>
            </w:pPr>
            <w:r>
              <w:t>Net increase/(decrease) in cash and deposits</w:t>
            </w:r>
          </w:p>
        </w:tc>
        <w:tc>
          <w:tcPr>
            <w:tcW w:w="1134" w:type="dxa"/>
            <w:tcBorders>
              <w:top w:val="single" w:sz="4" w:space="0" w:color="auto"/>
              <w:left w:val="single" w:sz="4" w:space="0" w:color="FFFFFF"/>
              <w:bottom w:val="single" w:sz="4" w:space="0" w:color="auto"/>
              <w:right w:val="single" w:sz="4" w:space="0" w:color="FFFFFF"/>
            </w:tcBorders>
            <w:shd w:val="clear" w:color="auto" w:fill="E7E6E6"/>
            <w:hideMark/>
          </w:tcPr>
          <w:p w14:paraId="61BCD516" w14:textId="77777777" w:rsidR="00FA7EBF" w:rsidRDefault="00FA7EBF">
            <w:pPr>
              <w:pStyle w:val="ARtabletextrightbold"/>
            </w:pPr>
            <w:r>
              <w:t>371.9</w:t>
            </w:r>
          </w:p>
        </w:tc>
        <w:tc>
          <w:tcPr>
            <w:tcW w:w="1134" w:type="dxa"/>
            <w:tcBorders>
              <w:top w:val="single" w:sz="4" w:space="0" w:color="auto"/>
              <w:left w:val="single" w:sz="4" w:space="0" w:color="FFFFFF"/>
              <w:bottom w:val="single" w:sz="4" w:space="0" w:color="auto"/>
              <w:right w:val="single" w:sz="4" w:space="0" w:color="FFFFFF"/>
            </w:tcBorders>
            <w:hideMark/>
          </w:tcPr>
          <w:p w14:paraId="244786AF" w14:textId="77777777" w:rsidR="00FA7EBF" w:rsidRDefault="00FA7EBF">
            <w:pPr>
              <w:pStyle w:val="ARtabletextrightbold"/>
            </w:pPr>
            <w:r>
              <w:t>22.6</w:t>
            </w:r>
          </w:p>
        </w:tc>
      </w:tr>
      <w:tr w:rsidR="00FA7EBF" w14:paraId="2391AE63" w14:textId="77777777" w:rsidTr="003075FD">
        <w:trPr>
          <w:cantSplit/>
        </w:trPr>
        <w:tc>
          <w:tcPr>
            <w:tcW w:w="7371" w:type="dxa"/>
            <w:tcBorders>
              <w:top w:val="single" w:sz="4" w:space="0" w:color="auto"/>
              <w:left w:val="single" w:sz="4" w:space="0" w:color="FFFFFF"/>
              <w:bottom w:val="single" w:sz="4" w:space="0" w:color="auto"/>
              <w:right w:val="single" w:sz="4" w:space="0" w:color="FFFFFF"/>
            </w:tcBorders>
            <w:hideMark/>
          </w:tcPr>
          <w:p w14:paraId="05E6D756" w14:textId="77777777" w:rsidR="00FA7EBF" w:rsidRDefault="00FA7EBF">
            <w:pPr>
              <w:pStyle w:val="ARtabletext"/>
            </w:pPr>
            <w:r>
              <w:t>Cash and deposits at beginning of financial year</w:t>
            </w:r>
          </w:p>
        </w:tc>
        <w:tc>
          <w:tcPr>
            <w:tcW w:w="1134" w:type="dxa"/>
            <w:tcBorders>
              <w:top w:val="single" w:sz="4" w:space="0" w:color="auto"/>
              <w:left w:val="single" w:sz="4" w:space="0" w:color="FFFFFF"/>
              <w:bottom w:val="single" w:sz="4" w:space="0" w:color="auto"/>
              <w:right w:val="single" w:sz="4" w:space="0" w:color="FFFFFF"/>
            </w:tcBorders>
            <w:shd w:val="clear" w:color="auto" w:fill="E7E6E6"/>
            <w:hideMark/>
          </w:tcPr>
          <w:p w14:paraId="03DFA55C" w14:textId="77777777" w:rsidR="00FA7EBF" w:rsidRDefault="00FA7EBF">
            <w:pPr>
              <w:pStyle w:val="ARtabletextright"/>
            </w:pPr>
            <w:r>
              <w:t>85.5</w:t>
            </w:r>
          </w:p>
        </w:tc>
        <w:tc>
          <w:tcPr>
            <w:tcW w:w="1134" w:type="dxa"/>
            <w:tcBorders>
              <w:top w:val="single" w:sz="4" w:space="0" w:color="auto"/>
              <w:left w:val="single" w:sz="4" w:space="0" w:color="FFFFFF"/>
              <w:bottom w:val="single" w:sz="4" w:space="0" w:color="auto"/>
              <w:right w:val="single" w:sz="4" w:space="0" w:color="FFFFFF"/>
            </w:tcBorders>
            <w:hideMark/>
          </w:tcPr>
          <w:p w14:paraId="35D766DB" w14:textId="77777777" w:rsidR="00FA7EBF" w:rsidRDefault="00FA7EBF">
            <w:pPr>
              <w:pStyle w:val="ARtabletextright"/>
            </w:pPr>
            <w:r>
              <w:t>62.9</w:t>
            </w:r>
          </w:p>
        </w:tc>
      </w:tr>
      <w:tr w:rsidR="00FA7EBF" w14:paraId="6D4909BA" w14:textId="77777777" w:rsidTr="003075FD">
        <w:trPr>
          <w:cantSplit/>
        </w:trPr>
        <w:tc>
          <w:tcPr>
            <w:tcW w:w="7371" w:type="dxa"/>
            <w:tcBorders>
              <w:top w:val="single" w:sz="4" w:space="0" w:color="auto"/>
              <w:left w:val="single" w:sz="4" w:space="0" w:color="FFFFFF"/>
              <w:bottom w:val="single" w:sz="4" w:space="0" w:color="auto"/>
              <w:right w:val="single" w:sz="4" w:space="0" w:color="FFFFFF"/>
            </w:tcBorders>
            <w:hideMark/>
          </w:tcPr>
          <w:p w14:paraId="26DBC2BD" w14:textId="77777777" w:rsidR="00FA7EBF" w:rsidRDefault="00FA7EBF">
            <w:pPr>
              <w:pStyle w:val="ARtabletextbold"/>
            </w:pPr>
            <w:r>
              <w:t>Cash and deposits at the end of the financial year</w:t>
            </w:r>
          </w:p>
        </w:tc>
        <w:tc>
          <w:tcPr>
            <w:tcW w:w="1134" w:type="dxa"/>
            <w:tcBorders>
              <w:top w:val="single" w:sz="4" w:space="0" w:color="auto"/>
              <w:left w:val="single" w:sz="4" w:space="0" w:color="FFFFFF"/>
              <w:bottom w:val="single" w:sz="4" w:space="0" w:color="auto"/>
              <w:right w:val="single" w:sz="4" w:space="0" w:color="FFFFFF"/>
            </w:tcBorders>
            <w:shd w:val="clear" w:color="auto" w:fill="E7E6E6"/>
            <w:hideMark/>
          </w:tcPr>
          <w:p w14:paraId="57CA9E08" w14:textId="77777777" w:rsidR="00FA7EBF" w:rsidRDefault="00FA7EBF">
            <w:pPr>
              <w:pStyle w:val="ARtabletextrightbold"/>
            </w:pPr>
            <w:r>
              <w:t>457.4</w:t>
            </w:r>
          </w:p>
        </w:tc>
        <w:tc>
          <w:tcPr>
            <w:tcW w:w="1134" w:type="dxa"/>
            <w:tcBorders>
              <w:top w:val="single" w:sz="4" w:space="0" w:color="auto"/>
              <w:left w:val="single" w:sz="4" w:space="0" w:color="FFFFFF"/>
              <w:bottom w:val="single" w:sz="4" w:space="0" w:color="auto"/>
              <w:right w:val="single" w:sz="4" w:space="0" w:color="FFFFFF"/>
            </w:tcBorders>
            <w:hideMark/>
          </w:tcPr>
          <w:p w14:paraId="131D7CCA" w14:textId="77777777" w:rsidR="00FA7EBF" w:rsidRDefault="00FA7EBF">
            <w:pPr>
              <w:pStyle w:val="ARtabletextrightbold"/>
            </w:pPr>
            <w:r>
              <w:t>85.5</w:t>
            </w:r>
          </w:p>
        </w:tc>
      </w:tr>
    </w:tbl>
    <w:p w14:paraId="26071530" w14:textId="77777777" w:rsidR="00FA7EBF" w:rsidRDefault="00FA7EBF" w:rsidP="003075FD">
      <w:pPr>
        <w:pStyle w:val="ARtablefootnote"/>
      </w:pPr>
      <w:r>
        <w:t>Note:</w:t>
      </w:r>
    </w:p>
    <w:p w14:paraId="78C4AC93" w14:textId="77777777" w:rsidR="00FA7EBF" w:rsidRDefault="00FA7EBF" w:rsidP="00326F42">
      <w:pPr>
        <w:pStyle w:val="ARtablefootnoteroman"/>
        <w:numPr>
          <w:ilvl w:val="0"/>
          <w:numId w:val="36"/>
        </w:numPr>
      </w:pPr>
      <w:r>
        <w:t>Goods and services tax (GST) recovered/paid from the Australian Taxation Office is presented on a net basis.</w:t>
      </w:r>
    </w:p>
    <w:p w14:paraId="2C1D70F3" w14:textId="77777777" w:rsidR="00FA7EBF" w:rsidRDefault="00FA7EBF" w:rsidP="003075FD">
      <w:pPr>
        <w:spacing w:after="0"/>
        <w:rPr>
          <w:rFonts w:eastAsia="Times" w:cs="Arial"/>
        </w:rPr>
        <w:sectPr w:rsidR="00FA7EBF">
          <w:endnotePr>
            <w:numFmt w:val="decimal"/>
          </w:endnotePr>
          <w:pgSz w:w="11900" w:h="16840"/>
          <w:pgMar w:top="1985" w:right="851" w:bottom="851" w:left="1418" w:header="510" w:footer="340" w:gutter="0"/>
          <w:cols w:space="720"/>
        </w:sectPr>
      </w:pPr>
    </w:p>
    <w:p w14:paraId="0082E356" w14:textId="77777777" w:rsidR="00FA7EBF" w:rsidRDefault="00FA7EBF" w:rsidP="003075FD">
      <w:pPr>
        <w:pStyle w:val="Heading2"/>
        <w:spacing w:before="0"/>
      </w:pPr>
      <w:bookmarkStart w:id="300" w:name="_Toc520974732"/>
      <w:bookmarkStart w:id="301" w:name="_Toc493164812"/>
      <w:bookmarkStart w:id="302" w:name="_Toc20409066"/>
      <w:r>
        <w:t>Capital projects reaching practical completion during the financial year ended 30 June 201</w:t>
      </w:r>
      <w:bookmarkEnd w:id="300"/>
      <w:bookmarkEnd w:id="301"/>
      <w:r>
        <w:t>9</w:t>
      </w:r>
      <w:bookmarkEnd w:id="302"/>
    </w:p>
    <w:tbl>
      <w:tblPr>
        <w:tblStyle w:val="TableGrid2"/>
        <w:tblW w:w="14010" w:type="dxa"/>
        <w:tblBorders>
          <w:top w:val="none" w:sz="0" w:space="0" w:color="auto"/>
          <w:left w:val="none" w:sz="0" w:space="0" w:color="auto"/>
          <w:bottom w:val="none" w:sz="0" w:space="0" w:color="auto"/>
          <w:right w:val="none" w:sz="0" w:space="0" w:color="auto"/>
          <w:insideV w:val="none" w:sz="0" w:space="0" w:color="auto"/>
        </w:tblBorders>
        <w:tblLayout w:type="fixed"/>
        <w:tblLook w:val="06A0" w:firstRow="1" w:lastRow="0" w:firstColumn="1" w:lastColumn="0" w:noHBand="1" w:noVBand="1"/>
      </w:tblPr>
      <w:tblGrid>
        <w:gridCol w:w="1977"/>
        <w:gridCol w:w="1073"/>
        <w:gridCol w:w="1072"/>
        <w:gridCol w:w="1072"/>
        <w:gridCol w:w="1246"/>
        <w:gridCol w:w="1072"/>
        <w:gridCol w:w="1072"/>
        <w:gridCol w:w="1072"/>
        <w:gridCol w:w="1861"/>
        <w:gridCol w:w="2493"/>
      </w:tblGrid>
      <w:tr w:rsidR="00FA7EBF" w14:paraId="0146991F" w14:textId="77777777" w:rsidTr="003075FD">
        <w:trPr>
          <w:tblHeader/>
        </w:trPr>
        <w:tc>
          <w:tcPr>
            <w:tcW w:w="1978" w:type="dxa"/>
            <w:tcBorders>
              <w:top w:val="nil"/>
              <w:left w:val="nil"/>
              <w:bottom w:val="single" w:sz="4" w:space="0" w:color="auto"/>
              <w:right w:val="nil"/>
            </w:tcBorders>
            <w:vAlign w:val="bottom"/>
            <w:hideMark/>
          </w:tcPr>
          <w:p w14:paraId="3858118A" w14:textId="77777777" w:rsidR="00FA7EBF" w:rsidRDefault="00FA7EBF">
            <w:pPr>
              <w:pStyle w:val="ARtablecolhead"/>
            </w:pPr>
            <w:r>
              <w:t>Project name</w:t>
            </w:r>
          </w:p>
        </w:tc>
        <w:tc>
          <w:tcPr>
            <w:tcW w:w="1073" w:type="dxa"/>
            <w:tcBorders>
              <w:top w:val="nil"/>
              <w:left w:val="nil"/>
              <w:bottom w:val="single" w:sz="4" w:space="0" w:color="auto"/>
              <w:right w:val="nil"/>
            </w:tcBorders>
            <w:vAlign w:val="bottom"/>
            <w:hideMark/>
          </w:tcPr>
          <w:p w14:paraId="25A5B6EC" w14:textId="77777777" w:rsidR="00FA7EBF" w:rsidRDefault="00FA7EBF">
            <w:pPr>
              <w:pStyle w:val="ARtablecolhead"/>
            </w:pPr>
            <w:r>
              <w:t>Original comple-tion date</w:t>
            </w:r>
          </w:p>
        </w:tc>
        <w:tc>
          <w:tcPr>
            <w:tcW w:w="1073" w:type="dxa"/>
            <w:tcBorders>
              <w:top w:val="nil"/>
              <w:left w:val="nil"/>
              <w:bottom w:val="single" w:sz="4" w:space="0" w:color="auto"/>
              <w:right w:val="nil"/>
            </w:tcBorders>
            <w:vAlign w:val="bottom"/>
            <w:hideMark/>
          </w:tcPr>
          <w:p w14:paraId="61674E3B" w14:textId="77777777" w:rsidR="00FA7EBF" w:rsidRDefault="00FA7EBF">
            <w:pPr>
              <w:pStyle w:val="ARtablecolhead"/>
            </w:pPr>
            <w:r>
              <w:t>Latest approved comple-tion date</w:t>
            </w:r>
          </w:p>
        </w:tc>
        <w:tc>
          <w:tcPr>
            <w:tcW w:w="1073" w:type="dxa"/>
            <w:tcBorders>
              <w:top w:val="nil"/>
              <w:left w:val="nil"/>
              <w:bottom w:val="single" w:sz="4" w:space="0" w:color="auto"/>
              <w:right w:val="nil"/>
            </w:tcBorders>
            <w:vAlign w:val="bottom"/>
            <w:hideMark/>
          </w:tcPr>
          <w:p w14:paraId="533106BF" w14:textId="77777777" w:rsidR="00FA7EBF" w:rsidRDefault="00FA7EBF">
            <w:pPr>
              <w:pStyle w:val="ARtablecolhead"/>
            </w:pPr>
            <w:r>
              <w:t>Practical comple-tion date</w:t>
            </w:r>
          </w:p>
        </w:tc>
        <w:tc>
          <w:tcPr>
            <w:tcW w:w="1247" w:type="dxa"/>
            <w:tcBorders>
              <w:top w:val="nil"/>
              <w:left w:val="nil"/>
              <w:bottom w:val="single" w:sz="4" w:space="0" w:color="auto"/>
              <w:right w:val="nil"/>
            </w:tcBorders>
            <w:vAlign w:val="bottom"/>
            <w:hideMark/>
          </w:tcPr>
          <w:p w14:paraId="1ADCBB02" w14:textId="77777777" w:rsidR="00FA7EBF" w:rsidRDefault="00FA7EBF">
            <w:pPr>
              <w:pStyle w:val="ARtablecolhead"/>
            </w:pPr>
            <w:r>
              <w:t>Reason for variance in completion dates</w:t>
            </w:r>
          </w:p>
        </w:tc>
        <w:tc>
          <w:tcPr>
            <w:tcW w:w="1073" w:type="dxa"/>
            <w:tcBorders>
              <w:top w:val="nil"/>
              <w:left w:val="nil"/>
              <w:bottom w:val="single" w:sz="4" w:space="0" w:color="auto"/>
              <w:right w:val="nil"/>
            </w:tcBorders>
            <w:vAlign w:val="bottom"/>
            <w:hideMark/>
          </w:tcPr>
          <w:p w14:paraId="20FF0B9A" w14:textId="77777777" w:rsidR="00FA7EBF" w:rsidRDefault="00FA7EBF">
            <w:pPr>
              <w:pStyle w:val="ARtablecolheadright"/>
            </w:pPr>
            <w:r>
              <w:t xml:space="preserve">Original approved </w:t>
            </w:r>
            <w:r>
              <w:br/>
              <w:t>TEI budget</w:t>
            </w:r>
          </w:p>
          <w:p w14:paraId="736CDE8C" w14:textId="77777777" w:rsidR="00FA7EBF" w:rsidRDefault="00FA7EBF">
            <w:pPr>
              <w:pStyle w:val="ARtablecolheadright"/>
            </w:pPr>
            <w:r>
              <w:t>($M)</w:t>
            </w:r>
          </w:p>
        </w:tc>
        <w:tc>
          <w:tcPr>
            <w:tcW w:w="1073" w:type="dxa"/>
            <w:tcBorders>
              <w:top w:val="nil"/>
              <w:left w:val="nil"/>
              <w:bottom w:val="single" w:sz="4" w:space="0" w:color="auto"/>
              <w:right w:val="nil"/>
            </w:tcBorders>
            <w:vAlign w:val="bottom"/>
            <w:hideMark/>
          </w:tcPr>
          <w:p w14:paraId="32A28544" w14:textId="77777777" w:rsidR="00FA7EBF" w:rsidRDefault="00FA7EBF">
            <w:pPr>
              <w:pStyle w:val="ARtablecolheadright"/>
            </w:pPr>
            <w:r>
              <w:t>Latest approved TEI budget</w:t>
            </w:r>
          </w:p>
          <w:p w14:paraId="1FDF4477" w14:textId="77777777" w:rsidR="00FA7EBF" w:rsidRDefault="00FA7EBF">
            <w:pPr>
              <w:pStyle w:val="ARtablecolheadright"/>
            </w:pPr>
            <w:r>
              <w:t>($M)</w:t>
            </w:r>
          </w:p>
        </w:tc>
        <w:tc>
          <w:tcPr>
            <w:tcW w:w="1073" w:type="dxa"/>
            <w:tcBorders>
              <w:top w:val="nil"/>
              <w:left w:val="nil"/>
              <w:bottom w:val="single" w:sz="4" w:space="0" w:color="auto"/>
              <w:right w:val="nil"/>
            </w:tcBorders>
            <w:vAlign w:val="bottom"/>
            <w:hideMark/>
          </w:tcPr>
          <w:p w14:paraId="53525D00" w14:textId="77777777" w:rsidR="00FA7EBF" w:rsidRDefault="00FA7EBF">
            <w:pPr>
              <w:pStyle w:val="ARtablecolheadright"/>
            </w:pPr>
            <w:r>
              <w:t>Actual TEI cost</w:t>
            </w:r>
          </w:p>
          <w:p w14:paraId="19C6A5B0" w14:textId="77777777" w:rsidR="00FA7EBF" w:rsidRDefault="00FA7EBF">
            <w:pPr>
              <w:pStyle w:val="ARtablecolheadright"/>
            </w:pPr>
            <w:r>
              <w:t>($M)</w:t>
            </w:r>
          </w:p>
        </w:tc>
        <w:tc>
          <w:tcPr>
            <w:tcW w:w="1863" w:type="dxa"/>
            <w:tcBorders>
              <w:top w:val="nil"/>
              <w:left w:val="nil"/>
              <w:bottom w:val="single" w:sz="4" w:space="0" w:color="auto"/>
              <w:right w:val="nil"/>
            </w:tcBorders>
            <w:vAlign w:val="bottom"/>
            <w:hideMark/>
          </w:tcPr>
          <w:p w14:paraId="74CF1EDC" w14:textId="77777777" w:rsidR="00FA7EBF" w:rsidRDefault="00FA7EBF">
            <w:pPr>
              <w:pStyle w:val="ARtablecolheadright"/>
            </w:pPr>
            <w:r>
              <w:t>Variation between actual cost and latest approved TEI budget</w:t>
            </w:r>
          </w:p>
          <w:p w14:paraId="48DFDA87" w14:textId="77777777" w:rsidR="00FA7EBF" w:rsidRDefault="00FA7EBF">
            <w:pPr>
              <w:pStyle w:val="ARtablecolheadright"/>
            </w:pPr>
            <w:r>
              <w:t>($M)</w:t>
            </w:r>
          </w:p>
        </w:tc>
        <w:tc>
          <w:tcPr>
            <w:tcW w:w="2495" w:type="dxa"/>
            <w:tcBorders>
              <w:top w:val="nil"/>
              <w:left w:val="nil"/>
              <w:bottom w:val="single" w:sz="4" w:space="0" w:color="auto"/>
              <w:right w:val="nil"/>
            </w:tcBorders>
            <w:vAlign w:val="bottom"/>
            <w:hideMark/>
          </w:tcPr>
          <w:p w14:paraId="4ECF4994" w14:textId="77777777" w:rsidR="00FA7EBF" w:rsidRDefault="00FA7EBF">
            <w:pPr>
              <w:pStyle w:val="ARtablecolhead"/>
            </w:pPr>
            <w:r>
              <w:t>Reason for variance from latest approved TEI budget</w:t>
            </w:r>
          </w:p>
        </w:tc>
      </w:tr>
      <w:tr w:rsidR="00FA7EBF" w14:paraId="1DDE632B" w14:textId="77777777" w:rsidTr="003075FD">
        <w:tc>
          <w:tcPr>
            <w:tcW w:w="1978" w:type="dxa"/>
            <w:tcBorders>
              <w:top w:val="single" w:sz="4" w:space="0" w:color="auto"/>
              <w:left w:val="nil"/>
              <w:bottom w:val="single" w:sz="4" w:space="0" w:color="auto"/>
              <w:right w:val="nil"/>
            </w:tcBorders>
            <w:hideMark/>
          </w:tcPr>
          <w:p w14:paraId="0C6CF263" w14:textId="77777777" w:rsidR="00FA7EBF" w:rsidRDefault="00FA7EBF">
            <w:pPr>
              <w:pStyle w:val="ARtabletext"/>
            </w:pPr>
            <w:r>
              <w:t>Clinical Technology Refresh (statewide)</w:t>
            </w:r>
          </w:p>
        </w:tc>
        <w:tc>
          <w:tcPr>
            <w:tcW w:w="1073" w:type="dxa"/>
            <w:tcBorders>
              <w:top w:val="single" w:sz="4" w:space="0" w:color="auto"/>
              <w:left w:val="nil"/>
              <w:bottom w:val="single" w:sz="4" w:space="0" w:color="auto"/>
              <w:right w:val="nil"/>
            </w:tcBorders>
            <w:hideMark/>
          </w:tcPr>
          <w:p w14:paraId="4A9B7551" w14:textId="77777777" w:rsidR="00FA7EBF" w:rsidRDefault="00FA7EBF">
            <w:pPr>
              <w:pStyle w:val="ARtabletext"/>
            </w:pPr>
            <w:r>
              <w:t>Jun-19</w:t>
            </w:r>
          </w:p>
        </w:tc>
        <w:tc>
          <w:tcPr>
            <w:tcW w:w="1073" w:type="dxa"/>
            <w:tcBorders>
              <w:top w:val="single" w:sz="4" w:space="0" w:color="auto"/>
              <w:left w:val="nil"/>
              <w:bottom w:val="single" w:sz="4" w:space="0" w:color="auto"/>
              <w:right w:val="nil"/>
            </w:tcBorders>
            <w:hideMark/>
          </w:tcPr>
          <w:p w14:paraId="48F06FFE" w14:textId="77777777" w:rsidR="00FA7EBF" w:rsidRDefault="00FA7EBF">
            <w:pPr>
              <w:pStyle w:val="ARtabletext"/>
            </w:pPr>
            <w:r>
              <w:t>Jun-19</w:t>
            </w:r>
          </w:p>
        </w:tc>
        <w:tc>
          <w:tcPr>
            <w:tcW w:w="1073" w:type="dxa"/>
            <w:tcBorders>
              <w:top w:val="single" w:sz="4" w:space="0" w:color="auto"/>
              <w:left w:val="nil"/>
              <w:bottom w:val="single" w:sz="4" w:space="0" w:color="auto"/>
              <w:right w:val="nil"/>
            </w:tcBorders>
            <w:hideMark/>
          </w:tcPr>
          <w:p w14:paraId="4B05310C" w14:textId="77777777" w:rsidR="00FA7EBF" w:rsidRDefault="00FA7EBF">
            <w:pPr>
              <w:pStyle w:val="ARtabletext"/>
            </w:pPr>
            <w:r>
              <w:t>Jun-19</w:t>
            </w:r>
          </w:p>
        </w:tc>
        <w:tc>
          <w:tcPr>
            <w:tcW w:w="1247" w:type="dxa"/>
            <w:tcBorders>
              <w:top w:val="single" w:sz="4" w:space="0" w:color="auto"/>
              <w:left w:val="nil"/>
              <w:bottom w:val="single" w:sz="4" w:space="0" w:color="auto"/>
              <w:right w:val="nil"/>
            </w:tcBorders>
          </w:tcPr>
          <w:p w14:paraId="21378808" w14:textId="77777777" w:rsidR="00FA7EBF" w:rsidRDefault="00FA7EBF">
            <w:pPr>
              <w:pStyle w:val="ARtabletext"/>
            </w:pPr>
          </w:p>
        </w:tc>
        <w:tc>
          <w:tcPr>
            <w:tcW w:w="1073" w:type="dxa"/>
            <w:tcBorders>
              <w:top w:val="single" w:sz="4" w:space="0" w:color="auto"/>
              <w:left w:val="nil"/>
              <w:bottom w:val="single" w:sz="4" w:space="0" w:color="auto"/>
              <w:right w:val="nil"/>
            </w:tcBorders>
            <w:hideMark/>
          </w:tcPr>
          <w:p w14:paraId="6A6A593F" w14:textId="77777777" w:rsidR="00FA7EBF" w:rsidRDefault="00FA7EBF">
            <w:pPr>
              <w:pStyle w:val="ARtabletextright"/>
            </w:pPr>
            <w:r>
              <w:t>12.000</w:t>
            </w:r>
          </w:p>
        </w:tc>
        <w:tc>
          <w:tcPr>
            <w:tcW w:w="1073" w:type="dxa"/>
            <w:tcBorders>
              <w:top w:val="single" w:sz="4" w:space="0" w:color="auto"/>
              <w:left w:val="nil"/>
              <w:bottom w:val="single" w:sz="4" w:space="0" w:color="auto"/>
              <w:right w:val="nil"/>
            </w:tcBorders>
            <w:hideMark/>
          </w:tcPr>
          <w:p w14:paraId="0CEEA486" w14:textId="77777777" w:rsidR="00FA7EBF" w:rsidRDefault="00FA7EBF">
            <w:pPr>
              <w:pStyle w:val="ARtabletextright"/>
            </w:pPr>
            <w:r>
              <w:t>12.000</w:t>
            </w:r>
          </w:p>
        </w:tc>
        <w:tc>
          <w:tcPr>
            <w:tcW w:w="1073" w:type="dxa"/>
            <w:tcBorders>
              <w:top w:val="single" w:sz="4" w:space="0" w:color="auto"/>
              <w:left w:val="nil"/>
              <w:bottom w:val="single" w:sz="4" w:space="0" w:color="auto"/>
              <w:right w:val="nil"/>
            </w:tcBorders>
            <w:hideMark/>
          </w:tcPr>
          <w:p w14:paraId="3A2A6BF7" w14:textId="77777777" w:rsidR="00FA7EBF" w:rsidRDefault="00FA7EBF">
            <w:pPr>
              <w:pStyle w:val="ARtabletextright"/>
            </w:pPr>
            <w:r>
              <w:t>12.000</w:t>
            </w:r>
          </w:p>
        </w:tc>
        <w:tc>
          <w:tcPr>
            <w:tcW w:w="1863" w:type="dxa"/>
            <w:tcBorders>
              <w:top w:val="single" w:sz="4" w:space="0" w:color="auto"/>
              <w:left w:val="nil"/>
              <w:bottom w:val="single" w:sz="4" w:space="0" w:color="auto"/>
              <w:right w:val="nil"/>
            </w:tcBorders>
            <w:hideMark/>
          </w:tcPr>
          <w:p w14:paraId="087CC0EB" w14:textId="77777777" w:rsidR="00FA7EBF" w:rsidRDefault="00FA7EBF">
            <w:pPr>
              <w:pStyle w:val="ARtabletextright"/>
            </w:pPr>
            <w:r>
              <w:t>0.000</w:t>
            </w:r>
          </w:p>
        </w:tc>
        <w:tc>
          <w:tcPr>
            <w:tcW w:w="2495" w:type="dxa"/>
            <w:tcBorders>
              <w:top w:val="single" w:sz="4" w:space="0" w:color="auto"/>
              <w:left w:val="nil"/>
              <w:bottom w:val="single" w:sz="4" w:space="0" w:color="auto"/>
              <w:right w:val="nil"/>
            </w:tcBorders>
          </w:tcPr>
          <w:p w14:paraId="3501B736" w14:textId="77777777" w:rsidR="00FA7EBF" w:rsidRDefault="00FA7EBF">
            <w:pPr>
              <w:pStyle w:val="ARtabletext"/>
            </w:pPr>
          </w:p>
        </w:tc>
      </w:tr>
      <w:tr w:rsidR="00FA7EBF" w14:paraId="104A61DF" w14:textId="77777777" w:rsidTr="003075FD">
        <w:tc>
          <w:tcPr>
            <w:tcW w:w="1978" w:type="dxa"/>
            <w:tcBorders>
              <w:top w:val="single" w:sz="4" w:space="0" w:color="auto"/>
              <w:left w:val="nil"/>
              <w:bottom w:val="single" w:sz="4" w:space="0" w:color="auto"/>
              <w:right w:val="nil"/>
            </w:tcBorders>
            <w:hideMark/>
          </w:tcPr>
          <w:p w14:paraId="778F2636" w14:textId="77777777" w:rsidR="00FA7EBF" w:rsidRDefault="00FA7EBF">
            <w:pPr>
              <w:pStyle w:val="ARtabletext"/>
            </w:pPr>
            <w:r>
              <w:t>Geelong Hospital – major upgrade (Geelong)</w:t>
            </w:r>
          </w:p>
        </w:tc>
        <w:tc>
          <w:tcPr>
            <w:tcW w:w="1073" w:type="dxa"/>
            <w:tcBorders>
              <w:top w:val="single" w:sz="4" w:space="0" w:color="auto"/>
              <w:left w:val="nil"/>
              <w:bottom w:val="single" w:sz="4" w:space="0" w:color="auto"/>
              <w:right w:val="nil"/>
            </w:tcBorders>
            <w:hideMark/>
          </w:tcPr>
          <w:p w14:paraId="49B9CB4B" w14:textId="77777777" w:rsidR="00FA7EBF" w:rsidRDefault="00FA7EBF">
            <w:pPr>
              <w:pStyle w:val="ARtabletext"/>
            </w:pPr>
            <w:r>
              <w:t>Dec-15</w:t>
            </w:r>
          </w:p>
        </w:tc>
        <w:tc>
          <w:tcPr>
            <w:tcW w:w="1073" w:type="dxa"/>
            <w:tcBorders>
              <w:top w:val="single" w:sz="4" w:space="0" w:color="auto"/>
              <w:left w:val="nil"/>
              <w:bottom w:val="single" w:sz="4" w:space="0" w:color="auto"/>
              <w:right w:val="nil"/>
            </w:tcBorders>
            <w:hideMark/>
          </w:tcPr>
          <w:p w14:paraId="77B8E8D0" w14:textId="77777777" w:rsidR="00FA7EBF" w:rsidRDefault="00FA7EBF">
            <w:pPr>
              <w:pStyle w:val="ARtabletext"/>
            </w:pPr>
            <w:r>
              <w:t>Jun-19</w:t>
            </w:r>
          </w:p>
        </w:tc>
        <w:tc>
          <w:tcPr>
            <w:tcW w:w="1073" w:type="dxa"/>
            <w:tcBorders>
              <w:top w:val="single" w:sz="4" w:space="0" w:color="auto"/>
              <w:left w:val="nil"/>
              <w:bottom w:val="single" w:sz="4" w:space="0" w:color="auto"/>
              <w:right w:val="nil"/>
            </w:tcBorders>
            <w:hideMark/>
          </w:tcPr>
          <w:p w14:paraId="0BC87B56" w14:textId="77777777" w:rsidR="00FA7EBF" w:rsidRDefault="00FA7EBF">
            <w:pPr>
              <w:pStyle w:val="ARtabletext"/>
            </w:pPr>
            <w:r>
              <w:t>Aug-18</w:t>
            </w:r>
          </w:p>
        </w:tc>
        <w:tc>
          <w:tcPr>
            <w:tcW w:w="1247" w:type="dxa"/>
            <w:tcBorders>
              <w:top w:val="single" w:sz="4" w:space="0" w:color="auto"/>
              <w:left w:val="nil"/>
              <w:bottom w:val="single" w:sz="4" w:space="0" w:color="auto"/>
              <w:right w:val="nil"/>
            </w:tcBorders>
            <w:hideMark/>
          </w:tcPr>
          <w:p w14:paraId="25304AD1" w14:textId="77777777" w:rsidR="00FA7EBF" w:rsidRDefault="00FA7EBF">
            <w:pPr>
              <w:pStyle w:val="ARtabletext"/>
            </w:pPr>
            <w:r>
              <w:t>Project in Defects Liability Period</w:t>
            </w:r>
          </w:p>
        </w:tc>
        <w:tc>
          <w:tcPr>
            <w:tcW w:w="1073" w:type="dxa"/>
            <w:tcBorders>
              <w:top w:val="single" w:sz="4" w:space="0" w:color="auto"/>
              <w:left w:val="nil"/>
              <w:bottom w:val="single" w:sz="4" w:space="0" w:color="auto"/>
              <w:right w:val="nil"/>
            </w:tcBorders>
            <w:hideMark/>
          </w:tcPr>
          <w:p w14:paraId="48B2ECB9" w14:textId="77777777" w:rsidR="00FA7EBF" w:rsidRDefault="00FA7EBF">
            <w:pPr>
              <w:pStyle w:val="ARtabletextright"/>
            </w:pPr>
            <w:r>
              <w:t>93.270</w:t>
            </w:r>
          </w:p>
        </w:tc>
        <w:tc>
          <w:tcPr>
            <w:tcW w:w="1073" w:type="dxa"/>
            <w:tcBorders>
              <w:top w:val="single" w:sz="4" w:space="0" w:color="auto"/>
              <w:left w:val="nil"/>
              <w:bottom w:val="single" w:sz="4" w:space="0" w:color="auto"/>
              <w:right w:val="nil"/>
            </w:tcBorders>
            <w:hideMark/>
          </w:tcPr>
          <w:p w14:paraId="133042E9" w14:textId="77777777" w:rsidR="00FA7EBF" w:rsidRDefault="00FA7EBF">
            <w:pPr>
              <w:pStyle w:val="ARtabletextright"/>
            </w:pPr>
            <w:r>
              <w:t>118.170</w:t>
            </w:r>
          </w:p>
        </w:tc>
        <w:tc>
          <w:tcPr>
            <w:tcW w:w="1073" w:type="dxa"/>
            <w:tcBorders>
              <w:top w:val="single" w:sz="4" w:space="0" w:color="auto"/>
              <w:left w:val="nil"/>
              <w:bottom w:val="single" w:sz="4" w:space="0" w:color="auto"/>
              <w:right w:val="nil"/>
            </w:tcBorders>
            <w:hideMark/>
          </w:tcPr>
          <w:p w14:paraId="3D83A5FC" w14:textId="77777777" w:rsidR="00FA7EBF" w:rsidRDefault="00FA7EBF">
            <w:pPr>
              <w:pStyle w:val="ARtabletextright"/>
            </w:pPr>
            <w:r>
              <w:t>112.002</w:t>
            </w:r>
          </w:p>
        </w:tc>
        <w:tc>
          <w:tcPr>
            <w:tcW w:w="1863" w:type="dxa"/>
            <w:tcBorders>
              <w:top w:val="single" w:sz="4" w:space="0" w:color="auto"/>
              <w:left w:val="nil"/>
              <w:bottom w:val="single" w:sz="4" w:space="0" w:color="auto"/>
              <w:right w:val="nil"/>
            </w:tcBorders>
            <w:hideMark/>
          </w:tcPr>
          <w:p w14:paraId="7E837701" w14:textId="77777777" w:rsidR="00FA7EBF" w:rsidRDefault="00FA7EBF">
            <w:pPr>
              <w:pStyle w:val="ARtabletextright"/>
            </w:pPr>
            <w:r>
              <w:t>(6.168)</w:t>
            </w:r>
          </w:p>
        </w:tc>
        <w:tc>
          <w:tcPr>
            <w:tcW w:w="2495" w:type="dxa"/>
            <w:tcBorders>
              <w:top w:val="single" w:sz="4" w:space="0" w:color="auto"/>
              <w:left w:val="nil"/>
              <w:bottom w:val="single" w:sz="4" w:space="0" w:color="auto"/>
              <w:right w:val="nil"/>
            </w:tcBorders>
            <w:hideMark/>
          </w:tcPr>
          <w:p w14:paraId="147965FD" w14:textId="77777777" w:rsidR="00FA7EBF" w:rsidRDefault="00FA7EBF">
            <w:pPr>
              <w:pStyle w:val="ARtabletext"/>
            </w:pPr>
            <w:r>
              <w:t>TEI has increased to reflect additional improvements at Geelong Hospital including relocation of the current helipad to the rooftop of the Acute Services tower block.</w:t>
            </w:r>
          </w:p>
        </w:tc>
      </w:tr>
      <w:tr w:rsidR="00FA7EBF" w14:paraId="03A1BE86" w14:textId="77777777" w:rsidTr="003075FD">
        <w:tc>
          <w:tcPr>
            <w:tcW w:w="1978" w:type="dxa"/>
            <w:tcBorders>
              <w:top w:val="single" w:sz="4" w:space="0" w:color="auto"/>
              <w:left w:val="nil"/>
              <w:bottom w:val="single" w:sz="4" w:space="0" w:color="auto"/>
              <w:right w:val="nil"/>
            </w:tcBorders>
            <w:hideMark/>
          </w:tcPr>
          <w:p w14:paraId="10995C04" w14:textId="77777777" w:rsidR="00FA7EBF" w:rsidRDefault="00FA7EBF">
            <w:pPr>
              <w:pStyle w:val="ARtabletext"/>
            </w:pPr>
            <w:r>
              <w:t>Orygen Youth Mental Health (Parkville)</w:t>
            </w:r>
          </w:p>
        </w:tc>
        <w:tc>
          <w:tcPr>
            <w:tcW w:w="1073" w:type="dxa"/>
            <w:tcBorders>
              <w:top w:val="single" w:sz="4" w:space="0" w:color="auto"/>
              <w:left w:val="nil"/>
              <w:bottom w:val="single" w:sz="4" w:space="0" w:color="auto"/>
              <w:right w:val="nil"/>
            </w:tcBorders>
            <w:hideMark/>
          </w:tcPr>
          <w:p w14:paraId="666BBB2D" w14:textId="77777777" w:rsidR="00FA7EBF" w:rsidRDefault="00FA7EBF">
            <w:pPr>
              <w:pStyle w:val="ARtabletext"/>
            </w:pPr>
            <w:r>
              <w:t>Jun-19</w:t>
            </w:r>
          </w:p>
        </w:tc>
        <w:tc>
          <w:tcPr>
            <w:tcW w:w="1073" w:type="dxa"/>
            <w:tcBorders>
              <w:top w:val="single" w:sz="4" w:space="0" w:color="auto"/>
              <w:left w:val="nil"/>
              <w:bottom w:val="single" w:sz="4" w:space="0" w:color="auto"/>
              <w:right w:val="nil"/>
            </w:tcBorders>
            <w:hideMark/>
          </w:tcPr>
          <w:p w14:paraId="4DF89041" w14:textId="77777777" w:rsidR="00FA7EBF" w:rsidRDefault="00FA7EBF">
            <w:pPr>
              <w:pStyle w:val="ARtabletext"/>
            </w:pPr>
            <w:r>
              <w:t>Jun-19</w:t>
            </w:r>
          </w:p>
        </w:tc>
        <w:tc>
          <w:tcPr>
            <w:tcW w:w="1073" w:type="dxa"/>
            <w:tcBorders>
              <w:top w:val="single" w:sz="4" w:space="0" w:color="auto"/>
              <w:left w:val="nil"/>
              <w:bottom w:val="single" w:sz="4" w:space="0" w:color="auto"/>
              <w:right w:val="nil"/>
            </w:tcBorders>
            <w:hideMark/>
          </w:tcPr>
          <w:p w14:paraId="53C2DE76" w14:textId="77777777" w:rsidR="00FA7EBF" w:rsidRDefault="00FA7EBF">
            <w:pPr>
              <w:pStyle w:val="ARtabletext"/>
            </w:pPr>
            <w:r>
              <w:t>Dec-18</w:t>
            </w:r>
          </w:p>
        </w:tc>
        <w:tc>
          <w:tcPr>
            <w:tcW w:w="1247" w:type="dxa"/>
            <w:tcBorders>
              <w:top w:val="single" w:sz="4" w:space="0" w:color="auto"/>
              <w:left w:val="nil"/>
              <w:bottom w:val="single" w:sz="4" w:space="0" w:color="auto"/>
              <w:right w:val="nil"/>
            </w:tcBorders>
          </w:tcPr>
          <w:p w14:paraId="75DD2E54" w14:textId="77777777" w:rsidR="00FA7EBF" w:rsidRDefault="00FA7EBF">
            <w:pPr>
              <w:pStyle w:val="ARtabletext"/>
            </w:pPr>
          </w:p>
        </w:tc>
        <w:tc>
          <w:tcPr>
            <w:tcW w:w="1073" w:type="dxa"/>
            <w:tcBorders>
              <w:top w:val="single" w:sz="4" w:space="0" w:color="auto"/>
              <w:left w:val="nil"/>
              <w:bottom w:val="single" w:sz="4" w:space="0" w:color="auto"/>
              <w:right w:val="nil"/>
            </w:tcBorders>
            <w:hideMark/>
          </w:tcPr>
          <w:p w14:paraId="41474813" w14:textId="77777777" w:rsidR="00FA7EBF" w:rsidRDefault="00FA7EBF">
            <w:pPr>
              <w:pStyle w:val="ARtabletextright"/>
            </w:pPr>
            <w:r>
              <w:t>60.000</w:t>
            </w:r>
          </w:p>
        </w:tc>
        <w:tc>
          <w:tcPr>
            <w:tcW w:w="1073" w:type="dxa"/>
            <w:tcBorders>
              <w:top w:val="single" w:sz="4" w:space="0" w:color="auto"/>
              <w:left w:val="nil"/>
              <w:bottom w:val="single" w:sz="4" w:space="0" w:color="auto"/>
              <w:right w:val="nil"/>
            </w:tcBorders>
            <w:hideMark/>
          </w:tcPr>
          <w:p w14:paraId="66A4C89B" w14:textId="77777777" w:rsidR="00FA7EBF" w:rsidRDefault="00FA7EBF">
            <w:pPr>
              <w:pStyle w:val="ARtabletextright"/>
            </w:pPr>
            <w:r>
              <w:t>65.000</w:t>
            </w:r>
          </w:p>
        </w:tc>
        <w:tc>
          <w:tcPr>
            <w:tcW w:w="1073" w:type="dxa"/>
            <w:tcBorders>
              <w:top w:val="single" w:sz="4" w:space="0" w:color="auto"/>
              <w:left w:val="nil"/>
              <w:bottom w:val="single" w:sz="4" w:space="0" w:color="auto"/>
              <w:right w:val="nil"/>
            </w:tcBorders>
            <w:hideMark/>
          </w:tcPr>
          <w:p w14:paraId="5AB0DBFE" w14:textId="77777777" w:rsidR="00FA7EBF" w:rsidRDefault="00FA7EBF">
            <w:pPr>
              <w:pStyle w:val="ARtabletextright"/>
            </w:pPr>
            <w:r>
              <w:t>59.375</w:t>
            </w:r>
          </w:p>
        </w:tc>
        <w:tc>
          <w:tcPr>
            <w:tcW w:w="1863" w:type="dxa"/>
            <w:tcBorders>
              <w:top w:val="single" w:sz="4" w:space="0" w:color="auto"/>
              <w:left w:val="nil"/>
              <w:bottom w:val="single" w:sz="4" w:space="0" w:color="auto"/>
              <w:right w:val="nil"/>
            </w:tcBorders>
            <w:hideMark/>
          </w:tcPr>
          <w:p w14:paraId="4DF47883" w14:textId="77777777" w:rsidR="00FA7EBF" w:rsidRDefault="00FA7EBF">
            <w:pPr>
              <w:pStyle w:val="ARtabletextright"/>
            </w:pPr>
            <w:r>
              <w:t>(5.625)</w:t>
            </w:r>
          </w:p>
        </w:tc>
        <w:tc>
          <w:tcPr>
            <w:tcW w:w="2495" w:type="dxa"/>
            <w:tcBorders>
              <w:top w:val="single" w:sz="4" w:space="0" w:color="auto"/>
              <w:left w:val="nil"/>
              <w:bottom w:val="single" w:sz="4" w:space="0" w:color="auto"/>
              <w:right w:val="nil"/>
            </w:tcBorders>
            <w:hideMark/>
          </w:tcPr>
          <w:p w14:paraId="36C0203E" w14:textId="77777777" w:rsidR="00FA7EBF" w:rsidRDefault="00FA7EBF">
            <w:pPr>
              <w:pStyle w:val="ARtabletext"/>
            </w:pPr>
            <w:r>
              <w:t>TEI has increased to include funding contribution of $5 million from The University of Melbourne.</w:t>
            </w:r>
          </w:p>
        </w:tc>
      </w:tr>
      <w:tr w:rsidR="00FA7EBF" w14:paraId="28031267" w14:textId="77777777" w:rsidTr="003075FD">
        <w:tc>
          <w:tcPr>
            <w:tcW w:w="1978" w:type="dxa"/>
            <w:tcBorders>
              <w:top w:val="single" w:sz="4" w:space="0" w:color="auto"/>
              <w:left w:val="nil"/>
              <w:bottom w:val="single" w:sz="4" w:space="0" w:color="auto"/>
              <w:right w:val="nil"/>
            </w:tcBorders>
            <w:hideMark/>
          </w:tcPr>
          <w:p w14:paraId="6F16BF8B" w14:textId="77777777" w:rsidR="00FA7EBF" w:rsidRDefault="00FA7EBF">
            <w:pPr>
              <w:pStyle w:val="ARtabletext"/>
            </w:pPr>
            <w:r>
              <w:t>Thomas Embling Hospital expansion (Fairfield)</w:t>
            </w:r>
          </w:p>
        </w:tc>
        <w:tc>
          <w:tcPr>
            <w:tcW w:w="1073" w:type="dxa"/>
            <w:tcBorders>
              <w:top w:val="single" w:sz="4" w:space="0" w:color="auto"/>
              <w:left w:val="nil"/>
              <w:bottom w:val="single" w:sz="4" w:space="0" w:color="auto"/>
              <w:right w:val="nil"/>
            </w:tcBorders>
            <w:hideMark/>
          </w:tcPr>
          <w:p w14:paraId="56BF1F6C" w14:textId="77777777" w:rsidR="00FA7EBF" w:rsidRDefault="00FA7EBF">
            <w:pPr>
              <w:pStyle w:val="ARtabletext"/>
            </w:pPr>
            <w:r>
              <w:t>Apr-18</w:t>
            </w:r>
          </w:p>
        </w:tc>
        <w:tc>
          <w:tcPr>
            <w:tcW w:w="1073" w:type="dxa"/>
            <w:tcBorders>
              <w:top w:val="single" w:sz="4" w:space="0" w:color="auto"/>
              <w:left w:val="nil"/>
              <w:bottom w:val="single" w:sz="4" w:space="0" w:color="auto"/>
              <w:right w:val="nil"/>
            </w:tcBorders>
            <w:hideMark/>
          </w:tcPr>
          <w:p w14:paraId="7D2549AC" w14:textId="77777777" w:rsidR="00FA7EBF" w:rsidRDefault="00FA7EBF">
            <w:pPr>
              <w:pStyle w:val="ARtabletext"/>
            </w:pPr>
            <w:r>
              <w:t>Jun-19</w:t>
            </w:r>
          </w:p>
        </w:tc>
        <w:tc>
          <w:tcPr>
            <w:tcW w:w="1073" w:type="dxa"/>
            <w:tcBorders>
              <w:top w:val="single" w:sz="4" w:space="0" w:color="auto"/>
              <w:left w:val="nil"/>
              <w:bottom w:val="single" w:sz="4" w:space="0" w:color="auto"/>
              <w:right w:val="nil"/>
            </w:tcBorders>
            <w:hideMark/>
          </w:tcPr>
          <w:p w14:paraId="1A884AB7" w14:textId="77777777" w:rsidR="00FA7EBF" w:rsidRDefault="00FA7EBF">
            <w:pPr>
              <w:pStyle w:val="ARtabletext"/>
            </w:pPr>
            <w:r>
              <w:t>Jun-19</w:t>
            </w:r>
          </w:p>
        </w:tc>
        <w:tc>
          <w:tcPr>
            <w:tcW w:w="1247" w:type="dxa"/>
            <w:tcBorders>
              <w:top w:val="single" w:sz="4" w:space="0" w:color="auto"/>
              <w:left w:val="nil"/>
              <w:bottom w:val="single" w:sz="4" w:space="0" w:color="auto"/>
              <w:right w:val="nil"/>
            </w:tcBorders>
          </w:tcPr>
          <w:p w14:paraId="79A71270" w14:textId="77777777" w:rsidR="00FA7EBF" w:rsidRDefault="00FA7EBF">
            <w:pPr>
              <w:pStyle w:val="ARtabletext"/>
            </w:pPr>
          </w:p>
        </w:tc>
        <w:tc>
          <w:tcPr>
            <w:tcW w:w="1073" w:type="dxa"/>
            <w:tcBorders>
              <w:top w:val="single" w:sz="4" w:space="0" w:color="auto"/>
              <w:left w:val="nil"/>
              <w:bottom w:val="single" w:sz="4" w:space="0" w:color="auto"/>
              <w:right w:val="nil"/>
            </w:tcBorders>
            <w:hideMark/>
          </w:tcPr>
          <w:p w14:paraId="197B493A" w14:textId="77777777" w:rsidR="00FA7EBF" w:rsidRDefault="00FA7EBF">
            <w:pPr>
              <w:pStyle w:val="ARtabletextright"/>
            </w:pPr>
            <w:r>
              <w:t>19.343</w:t>
            </w:r>
          </w:p>
        </w:tc>
        <w:tc>
          <w:tcPr>
            <w:tcW w:w="1073" w:type="dxa"/>
            <w:tcBorders>
              <w:top w:val="single" w:sz="4" w:space="0" w:color="auto"/>
              <w:left w:val="nil"/>
              <w:bottom w:val="single" w:sz="4" w:space="0" w:color="auto"/>
              <w:right w:val="nil"/>
            </w:tcBorders>
            <w:hideMark/>
          </w:tcPr>
          <w:p w14:paraId="29B4F756" w14:textId="77777777" w:rsidR="00FA7EBF" w:rsidRDefault="00FA7EBF">
            <w:pPr>
              <w:pStyle w:val="ARtabletextright"/>
            </w:pPr>
            <w:r>
              <w:t>23.343</w:t>
            </w:r>
          </w:p>
        </w:tc>
        <w:tc>
          <w:tcPr>
            <w:tcW w:w="1073" w:type="dxa"/>
            <w:tcBorders>
              <w:top w:val="single" w:sz="4" w:space="0" w:color="auto"/>
              <w:left w:val="nil"/>
              <w:bottom w:val="single" w:sz="4" w:space="0" w:color="auto"/>
              <w:right w:val="nil"/>
            </w:tcBorders>
            <w:hideMark/>
          </w:tcPr>
          <w:p w14:paraId="1E8159BD" w14:textId="77777777" w:rsidR="00FA7EBF" w:rsidRDefault="00FA7EBF">
            <w:pPr>
              <w:pStyle w:val="ARtabletextright"/>
            </w:pPr>
            <w:r>
              <w:t>20.675</w:t>
            </w:r>
          </w:p>
        </w:tc>
        <w:tc>
          <w:tcPr>
            <w:tcW w:w="1863" w:type="dxa"/>
            <w:tcBorders>
              <w:top w:val="single" w:sz="4" w:space="0" w:color="auto"/>
              <w:left w:val="nil"/>
              <w:bottom w:val="single" w:sz="4" w:space="0" w:color="auto"/>
              <w:right w:val="nil"/>
            </w:tcBorders>
            <w:hideMark/>
          </w:tcPr>
          <w:p w14:paraId="635C63AD" w14:textId="77777777" w:rsidR="00FA7EBF" w:rsidRDefault="00FA7EBF">
            <w:pPr>
              <w:pStyle w:val="ARtabletextright"/>
            </w:pPr>
            <w:r>
              <w:t>(2.668)</w:t>
            </w:r>
          </w:p>
        </w:tc>
        <w:tc>
          <w:tcPr>
            <w:tcW w:w="2495" w:type="dxa"/>
            <w:tcBorders>
              <w:top w:val="single" w:sz="4" w:space="0" w:color="auto"/>
              <w:left w:val="nil"/>
              <w:bottom w:val="single" w:sz="4" w:space="0" w:color="auto"/>
              <w:right w:val="nil"/>
            </w:tcBorders>
            <w:hideMark/>
          </w:tcPr>
          <w:p w14:paraId="6A68D0A4" w14:textId="77777777" w:rsidR="00FA7EBF" w:rsidRDefault="00FA7EBF">
            <w:pPr>
              <w:pStyle w:val="ARtabletext"/>
            </w:pPr>
            <w:r>
              <w:t>The current approved TEI of $23.343 million includes $4 million for two new additional female bedrooms.</w:t>
            </w:r>
          </w:p>
          <w:p w14:paraId="521919E4" w14:textId="77777777" w:rsidR="00FA7EBF" w:rsidRDefault="00FA7EBF">
            <w:pPr>
              <w:pStyle w:val="ARtabletext"/>
            </w:pPr>
            <w:r>
              <w:t>Project is in defects liability period.</w:t>
            </w:r>
          </w:p>
        </w:tc>
      </w:tr>
      <w:tr w:rsidR="00FA7EBF" w14:paraId="1255FAC1" w14:textId="77777777" w:rsidTr="003075FD">
        <w:tc>
          <w:tcPr>
            <w:tcW w:w="1978" w:type="dxa"/>
            <w:tcBorders>
              <w:top w:val="single" w:sz="4" w:space="0" w:color="auto"/>
              <w:left w:val="nil"/>
              <w:bottom w:val="single" w:sz="4" w:space="0" w:color="auto"/>
              <w:right w:val="nil"/>
            </w:tcBorders>
            <w:hideMark/>
          </w:tcPr>
          <w:p w14:paraId="18E5B357" w14:textId="77777777" w:rsidR="00FA7EBF" w:rsidRDefault="00FA7EBF">
            <w:pPr>
              <w:pStyle w:val="ARtabletext"/>
            </w:pPr>
            <w:r>
              <w:t>Rooming House Upgrade (statewide)</w:t>
            </w:r>
          </w:p>
        </w:tc>
        <w:tc>
          <w:tcPr>
            <w:tcW w:w="1073" w:type="dxa"/>
            <w:tcBorders>
              <w:top w:val="single" w:sz="4" w:space="0" w:color="auto"/>
              <w:left w:val="nil"/>
              <w:bottom w:val="single" w:sz="4" w:space="0" w:color="auto"/>
              <w:right w:val="nil"/>
            </w:tcBorders>
            <w:hideMark/>
          </w:tcPr>
          <w:p w14:paraId="3F1DD3BE" w14:textId="77777777" w:rsidR="00FA7EBF" w:rsidRDefault="00FA7EBF">
            <w:pPr>
              <w:pStyle w:val="ARtabletext"/>
            </w:pPr>
            <w:r>
              <w:t>Jun-18</w:t>
            </w:r>
          </w:p>
        </w:tc>
        <w:tc>
          <w:tcPr>
            <w:tcW w:w="1073" w:type="dxa"/>
            <w:tcBorders>
              <w:top w:val="single" w:sz="4" w:space="0" w:color="auto"/>
              <w:left w:val="nil"/>
              <w:bottom w:val="single" w:sz="4" w:space="0" w:color="auto"/>
              <w:right w:val="nil"/>
            </w:tcBorders>
            <w:hideMark/>
          </w:tcPr>
          <w:p w14:paraId="7650F045" w14:textId="77777777" w:rsidR="00FA7EBF" w:rsidRDefault="00FA7EBF">
            <w:pPr>
              <w:pStyle w:val="ARtabletext"/>
            </w:pPr>
            <w:r>
              <w:t>Feb-19</w:t>
            </w:r>
          </w:p>
        </w:tc>
        <w:tc>
          <w:tcPr>
            <w:tcW w:w="1073" w:type="dxa"/>
            <w:tcBorders>
              <w:top w:val="single" w:sz="4" w:space="0" w:color="auto"/>
              <w:left w:val="nil"/>
              <w:bottom w:val="single" w:sz="4" w:space="0" w:color="auto"/>
              <w:right w:val="nil"/>
            </w:tcBorders>
            <w:hideMark/>
          </w:tcPr>
          <w:p w14:paraId="1A1E7583" w14:textId="77777777" w:rsidR="00FA7EBF" w:rsidRDefault="00FA7EBF">
            <w:pPr>
              <w:pStyle w:val="ARtabletext"/>
            </w:pPr>
            <w:r>
              <w:t>Feb-19</w:t>
            </w:r>
          </w:p>
        </w:tc>
        <w:tc>
          <w:tcPr>
            <w:tcW w:w="1247" w:type="dxa"/>
            <w:tcBorders>
              <w:top w:val="single" w:sz="4" w:space="0" w:color="auto"/>
              <w:left w:val="nil"/>
              <w:bottom w:val="single" w:sz="4" w:space="0" w:color="auto"/>
              <w:right w:val="nil"/>
            </w:tcBorders>
          </w:tcPr>
          <w:p w14:paraId="1D8EF28A" w14:textId="77777777" w:rsidR="00FA7EBF" w:rsidRDefault="00FA7EBF">
            <w:pPr>
              <w:pStyle w:val="ARtabletext"/>
            </w:pPr>
          </w:p>
        </w:tc>
        <w:tc>
          <w:tcPr>
            <w:tcW w:w="1073" w:type="dxa"/>
            <w:tcBorders>
              <w:top w:val="single" w:sz="4" w:space="0" w:color="auto"/>
              <w:left w:val="nil"/>
              <w:bottom w:val="single" w:sz="4" w:space="0" w:color="auto"/>
              <w:right w:val="nil"/>
            </w:tcBorders>
            <w:hideMark/>
          </w:tcPr>
          <w:p w14:paraId="0FFB6AB5" w14:textId="77777777" w:rsidR="00FA7EBF" w:rsidRDefault="00FA7EBF">
            <w:pPr>
              <w:pStyle w:val="ARtabletextright"/>
            </w:pPr>
            <w:r>
              <w:t>10.000</w:t>
            </w:r>
          </w:p>
        </w:tc>
        <w:tc>
          <w:tcPr>
            <w:tcW w:w="1073" w:type="dxa"/>
            <w:tcBorders>
              <w:top w:val="single" w:sz="4" w:space="0" w:color="auto"/>
              <w:left w:val="nil"/>
              <w:bottom w:val="single" w:sz="4" w:space="0" w:color="auto"/>
              <w:right w:val="nil"/>
            </w:tcBorders>
            <w:hideMark/>
          </w:tcPr>
          <w:p w14:paraId="3B395BAD" w14:textId="77777777" w:rsidR="00FA7EBF" w:rsidRDefault="00FA7EBF">
            <w:pPr>
              <w:pStyle w:val="ARtabletextright"/>
            </w:pPr>
            <w:r>
              <w:t>10.000</w:t>
            </w:r>
          </w:p>
        </w:tc>
        <w:tc>
          <w:tcPr>
            <w:tcW w:w="1073" w:type="dxa"/>
            <w:tcBorders>
              <w:top w:val="single" w:sz="4" w:space="0" w:color="auto"/>
              <w:left w:val="nil"/>
              <w:bottom w:val="single" w:sz="4" w:space="0" w:color="auto"/>
              <w:right w:val="nil"/>
            </w:tcBorders>
            <w:hideMark/>
          </w:tcPr>
          <w:p w14:paraId="227EBEFC" w14:textId="77777777" w:rsidR="00FA7EBF" w:rsidRDefault="00FA7EBF">
            <w:pPr>
              <w:pStyle w:val="ARtabletextright"/>
            </w:pPr>
            <w:r>
              <w:t>10.000</w:t>
            </w:r>
          </w:p>
        </w:tc>
        <w:tc>
          <w:tcPr>
            <w:tcW w:w="1863" w:type="dxa"/>
            <w:tcBorders>
              <w:top w:val="single" w:sz="4" w:space="0" w:color="auto"/>
              <w:left w:val="nil"/>
              <w:bottom w:val="single" w:sz="4" w:space="0" w:color="auto"/>
              <w:right w:val="nil"/>
            </w:tcBorders>
            <w:hideMark/>
          </w:tcPr>
          <w:p w14:paraId="737199CB" w14:textId="77777777" w:rsidR="00FA7EBF" w:rsidRDefault="00FA7EBF">
            <w:pPr>
              <w:pStyle w:val="ARtabletextright"/>
            </w:pPr>
            <w:r>
              <w:t>0.000</w:t>
            </w:r>
          </w:p>
        </w:tc>
        <w:tc>
          <w:tcPr>
            <w:tcW w:w="2495" w:type="dxa"/>
            <w:tcBorders>
              <w:top w:val="single" w:sz="4" w:space="0" w:color="auto"/>
              <w:left w:val="nil"/>
              <w:bottom w:val="single" w:sz="4" w:space="0" w:color="auto"/>
              <w:right w:val="nil"/>
            </w:tcBorders>
            <w:hideMark/>
          </w:tcPr>
          <w:p w14:paraId="6825EF30" w14:textId="77777777" w:rsidR="00FA7EBF" w:rsidRDefault="00FA7EBF">
            <w:pPr>
              <w:pStyle w:val="ARtabletext"/>
            </w:pPr>
            <w:r>
              <w:t>Project complete</w:t>
            </w:r>
          </w:p>
        </w:tc>
      </w:tr>
      <w:tr w:rsidR="00FA7EBF" w14:paraId="61ADA4BF" w14:textId="77777777" w:rsidTr="003075FD">
        <w:tc>
          <w:tcPr>
            <w:tcW w:w="1978" w:type="dxa"/>
            <w:tcBorders>
              <w:top w:val="single" w:sz="4" w:space="0" w:color="auto"/>
              <w:left w:val="nil"/>
              <w:bottom w:val="single" w:sz="4" w:space="0" w:color="auto"/>
              <w:right w:val="nil"/>
            </w:tcBorders>
            <w:hideMark/>
          </w:tcPr>
          <w:p w14:paraId="07816A53" w14:textId="77777777" w:rsidR="00FA7EBF" w:rsidRDefault="00FA7EBF">
            <w:pPr>
              <w:pStyle w:val="ARtabletext"/>
            </w:pPr>
            <w:r>
              <w:t>Preston redevelopment stage 1</w:t>
            </w:r>
          </w:p>
        </w:tc>
        <w:tc>
          <w:tcPr>
            <w:tcW w:w="1073" w:type="dxa"/>
            <w:tcBorders>
              <w:top w:val="single" w:sz="4" w:space="0" w:color="auto"/>
              <w:left w:val="nil"/>
              <w:bottom w:val="single" w:sz="4" w:space="0" w:color="auto"/>
              <w:right w:val="nil"/>
            </w:tcBorders>
            <w:hideMark/>
          </w:tcPr>
          <w:p w14:paraId="0AD8AC13" w14:textId="77777777" w:rsidR="00FA7EBF" w:rsidRDefault="00FA7EBF">
            <w:pPr>
              <w:pStyle w:val="ARtabletext"/>
            </w:pPr>
            <w:r>
              <w:t>Dec-18</w:t>
            </w:r>
          </w:p>
        </w:tc>
        <w:tc>
          <w:tcPr>
            <w:tcW w:w="1073" w:type="dxa"/>
            <w:tcBorders>
              <w:top w:val="single" w:sz="4" w:space="0" w:color="auto"/>
              <w:left w:val="nil"/>
              <w:bottom w:val="single" w:sz="4" w:space="0" w:color="auto"/>
              <w:right w:val="nil"/>
            </w:tcBorders>
            <w:hideMark/>
          </w:tcPr>
          <w:p w14:paraId="354E180A" w14:textId="77777777" w:rsidR="00FA7EBF" w:rsidRDefault="00FA7EBF">
            <w:pPr>
              <w:pStyle w:val="ARtabletext"/>
            </w:pPr>
            <w:r>
              <w:t>Dec-18</w:t>
            </w:r>
          </w:p>
        </w:tc>
        <w:tc>
          <w:tcPr>
            <w:tcW w:w="1073" w:type="dxa"/>
            <w:tcBorders>
              <w:top w:val="single" w:sz="4" w:space="0" w:color="auto"/>
              <w:left w:val="nil"/>
              <w:bottom w:val="single" w:sz="4" w:space="0" w:color="auto"/>
              <w:right w:val="nil"/>
            </w:tcBorders>
            <w:hideMark/>
          </w:tcPr>
          <w:p w14:paraId="0FFD07E2" w14:textId="77777777" w:rsidR="00FA7EBF" w:rsidRDefault="00FA7EBF">
            <w:pPr>
              <w:pStyle w:val="ARtabletext"/>
            </w:pPr>
            <w:r>
              <w:t>Jun-19</w:t>
            </w:r>
          </w:p>
        </w:tc>
        <w:tc>
          <w:tcPr>
            <w:tcW w:w="1247" w:type="dxa"/>
            <w:tcBorders>
              <w:top w:val="single" w:sz="4" w:space="0" w:color="auto"/>
              <w:left w:val="nil"/>
              <w:bottom w:val="single" w:sz="4" w:space="0" w:color="auto"/>
              <w:right w:val="nil"/>
            </w:tcBorders>
          </w:tcPr>
          <w:p w14:paraId="7924312E" w14:textId="77777777" w:rsidR="00FA7EBF" w:rsidRDefault="00FA7EBF">
            <w:pPr>
              <w:pStyle w:val="ARtabletext"/>
            </w:pPr>
          </w:p>
        </w:tc>
        <w:tc>
          <w:tcPr>
            <w:tcW w:w="1073" w:type="dxa"/>
            <w:tcBorders>
              <w:top w:val="single" w:sz="4" w:space="0" w:color="auto"/>
              <w:left w:val="nil"/>
              <w:bottom w:val="single" w:sz="4" w:space="0" w:color="auto"/>
              <w:right w:val="nil"/>
            </w:tcBorders>
            <w:hideMark/>
          </w:tcPr>
          <w:p w14:paraId="7C7FA7DF" w14:textId="77777777" w:rsidR="00FA7EBF" w:rsidRDefault="00FA7EBF">
            <w:pPr>
              <w:pStyle w:val="ARtabletextright"/>
            </w:pPr>
            <w:r>
              <w:t>23.500</w:t>
            </w:r>
          </w:p>
        </w:tc>
        <w:tc>
          <w:tcPr>
            <w:tcW w:w="1073" w:type="dxa"/>
            <w:tcBorders>
              <w:top w:val="single" w:sz="4" w:space="0" w:color="auto"/>
              <w:left w:val="nil"/>
              <w:bottom w:val="single" w:sz="4" w:space="0" w:color="auto"/>
              <w:right w:val="nil"/>
            </w:tcBorders>
            <w:hideMark/>
          </w:tcPr>
          <w:p w14:paraId="48580116" w14:textId="77777777" w:rsidR="00FA7EBF" w:rsidRDefault="00FA7EBF">
            <w:pPr>
              <w:pStyle w:val="ARtabletextright"/>
            </w:pPr>
            <w:r>
              <w:t>23.500</w:t>
            </w:r>
          </w:p>
        </w:tc>
        <w:tc>
          <w:tcPr>
            <w:tcW w:w="1073" w:type="dxa"/>
            <w:tcBorders>
              <w:top w:val="single" w:sz="4" w:space="0" w:color="auto"/>
              <w:left w:val="nil"/>
              <w:bottom w:val="single" w:sz="4" w:space="0" w:color="auto"/>
              <w:right w:val="nil"/>
            </w:tcBorders>
            <w:hideMark/>
          </w:tcPr>
          <w:p w14:paraId="732E7232" w14:textId="77777777" w:rsidR="00FA7EBF" w:rsidRDefault="00FA7EBF">
            <w:pPr>
              <w:pStyle w:val="ARtabletextright"/>
            </w:pPr>
            <w:r>
              <w:t>23.171</w:t>
            </w:r>
          </w:p>
        </w:tc>
        <w:tc>
          <w:tcPr>
            <w:tcW w:w="1863" w:type="dxa"/>
            <w:tcBorders>
              <w:top w:val="single" w:sz="4" w:space="0" w:color="auto"/>
              <w:left w:val="nil"/>
              <w:bottom w:val="single" w:sz="4" w:space="0" w:color="auto"/>
              <w:right w:val="nil"/>
            </w:tcBorders>
            <w:hideMark/>
          </w:tcPr>
          <w:p w14:paraId="57DFD3C3" w14:textId="77777777" w:rsidR="00FA7EBF" w:rsidRDefault="00FA7EBF">
            <w:pPr>
              <w:pStyle w:val="ARtabletextright"/>
            </w:pPr>
            <w:r>
              <w:t>(0.329)</w:t>
            </w:r>
          </w:p>
        </w:tc>
        <w:tc>
          <w:tcPr>
            <w:tcW w:w="2495" w:type="dxa"/>
            <w:tcBorders>
              <w:top w:val="single" w:sz="4" w:space="0" w:color="auto"/>
              <w:left w:val="nil"/>
              <w:bottom w:val="single" w:sz="4" w:space="0" w:color="auto"/>
              <w:right w:val="nil"/>
            </w:tcBorders>
            <w:hideMark/>
          </w:tcPr>
          <w:p w14:paraId="40CBB363" w14:textId="77777777" w:rsidR="00FA7EBF" w:rsidRDefault="00FA7EBF">
            <w:pPr>
              <w:pStyle w:val="ARtabletext"/>
            </w:pPr>
            <w:r>
              <w:t>Project in defects liability period</w:t>
            </w:r>
          </w:p>
        </w:tc>
      </w:tr>
      <w:tr w:rsidR="00FA7EBF" w14:paraId="6963BB88" w14:textId="77777777" w:rsidTr="003075FD">
        <w:tc>
          <w:tcPr>
            <w:tcW w:w="1978" w:type="dxa"/>
            <w:tcBorders>
              <w:top w:val="single" w:sz="4" w:space="0" w:color="auto"/>
              <w:left w:val="nil"/>
              <w:bottom w:val="single" w:sz="4" w:space="0" w:color="auto"/>
              <w:right w:val="nil"/>
            </w:tcBorders>
            <w:hideMark/>
          </w:tcPr>
          <w:p w14:paraId="5D960DAD" w14:textId="77777777" w:rsidR="00FA7EBF" w:rsidRDefault="00FA7EBF">
            <w:pPr>
              <w:pStyle w:val="ARtabletext"/>
            </w:pPr>
            <w:r>
              <w:t>High rise upgrades 2018–19 (metropolitan various)</w:t>
            </w:r>
          </w:p>
        </w:tc>
        <w:tc>
          <w:tcPr>
            <w:tcW w:w="1073" w:type="dxa"/>
            <w:tcBorders>
              <w:top w:val="single" w:sz="4" w:space="0" w:color="auto"/>
              <w:left w:val="nil"/>
              <w:bottom w:val="single" w:sz="4" w:space="0" w:color="auto"/>
              <w:right w:val="nil"/>
            </w:tcBorders>
            <w:hideMark/>
          </w:tcPr>
          <w:p w14:paraId="60977AF7" w14:textId="77777777" w:rsidR="00FA7EBF" w:rsidRDefault="00FA7EBF">
            <w:pPr>
              <w:pStyle w:val="ARtabletext"/>
            </w:pPr>
            <w:r>
              <w:t>Jun-18</w:t>
            </w:r>
          </w:p>
        </w:tc>
        <w:tc>
          <w:tcPr>
            <w:tcW w:w="1073" w:type="dxa"/>
            <w:tcBorders>
              <w:top w:val="single" w:sz="4" w:space="0" w:color="auto"/>
              <w:left w:val="nil"/>
              <w:bottom w:val="single" w:sz="4" w:space="0" w:color="auto"/>
              <w:right w:val="nil"/>
            </w:tcBorders>
            <w:hideMark/>
          </w:tcPr>
          <w:p w14:paraId="2E553CC2" w14:textId="77777777" w:rsidR="00FA7EBF" w:rsidRDefault="00FA7EBF">
            <w:pPr>
              <w:pStyle w:val="ARtabletext"/>
            </w:pPr>
            <w:r>
              <w:t>Jun-18</w:t>
            </w:r>
          </w:p>
        </w:tc>
        <w:tc>
          <w:tcPr>
            <w:tcW w:w="1073" w:type="dxa"/>
            <w:tcBorders>
              <w:top w:val="single" w:sz="4" w:space="0" w:color="auto"/>
              <w:left w:val="nil"/>
              <w:bottom w:val="single" w:sz="4" w:space="0" w:color="auto"/>
              <w:right w:val="nil"/>
            </w:tcBorders>
            <w:hideMark/>
          </w:tcPr>
          <w:p w14:paraId="1708AEF4" w14:textId="77777777" w:rsidR="00FA7EBF" w:rsidRDefault="00FA7EBF">
            <w:pPr>
              <w:pStyle w:val="ARtabletext"/>
            </w:pPr>
            <w:r>
              <w:t>Jun-18</w:t>
            </w:r>
          </w:p>
        </w:tc>
        <w:tc>
          <w:tcPr>
            <w:tcW w:w="1247" w:type="dxa"/>
            <w:tcBorders>
              <w:top w:val="single" w:sz="4" w:space="0" w:color="auto"/>
              <w:left w:val="nil"/>
              <w:bottom w:val="single" w:sz="4" w:space="0" w:color="auto"/>
              <w:right w:val="nil"/>
            </w:tcBorders>
          </w:tcPr>
          <w:p w14:paraId="432C7D43" w14:textId="77777777" w:rsidR="00FA7EBF" w:rsidRDefault="00FA7EBF">
            <w:pPr>
              <w:pStyle w:val="ARtabletext"/>
            </w:pPr>
          </w:p>
        </w:tc>
        <w:tc>
          <w:tcPr>
            <w:tcW w:w="1073" w:type="dxa"/>
            <w:tcBorders>
              <w:top w:val="single" w:sz="4" w:space="0" w:color="auto"/>
              <w:left w:val="nil"/>
              <w:bottom w:val="single" w:sz="4" w:space="0" w:color="auto"/>
              <w:right w:val="nil"/>
            </w:tcBorders>
            <w:hideMark/>
          </w:tcPr>
          <w:p w14:paraId="1CCE5D24" w14:textId="77777777" w:rsidR="00FA7EBF" w:rsidRDefault="00FA7EBF">
            <w:pPr>
              <w:pStyle w:val="ARtabletextright"/>
            </w:pPr>
            <w:r>
              <w:t>22.095</w:t>
            </w:r>
          </w:p>
        </w:tc>
        <w:tc>
          <w:tcPr>
            <w:tcW w:w="1073" w:type="dxa"/>
            <w:tcBorders>
              <w:top w:val="single" w:sz="4" w:space="0" w:color="auto"/>
              <w:left w:val="nil"/>
              <w:bottom w:val="single" w:sz="4" w:space="0" w:color="auto"/>
              <w:right w:val="nil"/>
            </w:tcBorders>
            <w:hideMark/>
          </w:tcPr>
          <w:p w14:paraId="33D7F3D6" w14:textId="77777777" w:rsidR="00FA7EBF" w:rsidRDefault="00FA7EBF">
            <w:pPr>
              <w:pStyle w:val="ARtabletextright"/>
            </w:pPr>
            <w:r>
              <w:t>22.095</w:t>
            </w:r>
          </w:p>
        </w:tc>
        <w:tc>
          <w:tcPr>
            <w:tcW w:w="1073" w:type="dxa"/>
            <w:tcBorders>
              <w:top w:val="single" w:sz="4" w:space="0" w:color="auto"/>
              <w:left w:val="nil"/>
              <w:bottom w:val="single" w:sz="4" w:space="0" w:color="auto"/>
              <w:right w:val="nil"/>
            </w:tcBorders>
            <w:hideMark/>
          </w:tcPr>
          <w:p w14:paraId="7EB236B3" w14:textId="77777777" w:rsidR="00FA7EBF" w:rsidRDefault="00FA7EBF">
            <w:pPr>
              <w:pStyle w:val="ARtabletextright"/>
            </w:pPr>
            <w:r>
              <w:t>18.419</w:t>
            </w:r>
          </w:p>
        </w:tc>
        <w:tc>
          <w:tcPr>
            <w:tcW w:w="1863" w:type="dxa"/>
            <w:tcBorders>
              <w:top w:val="single" w:sz="4" w:space="0" w:color="auto"/>
              <w:left w:val="nil"/>
              <w:bottom w:val="single" w:sz="4" w:space="0" w:color="auto"/>
              <w:right w:val="nil"/>
            </w:tcBorders>
            <w:hideMark/>
          </w:tcPr>
          <w:p w14:paraId="15E968B1" w14:textId="77777777" w:rsidR="00FA7EBF" w:rsidRDefault="00FA7EBF">
            <w:pPr>
              <w:pStyle w:val="ARtabletextright"/>
            </w:pPr>
            <w:r>
              <w:t>(3.676)</w:t>
            </w:r>
          </w:p>
        </w:tc>
        <w:tc>
          <w:tcPr>
            <w:tcW w:w="2495" w:type="dxa"/>
            <w:tcBorders>
              <w:top w:val="single" w:sz="4" w:space="0" w:color="auto"/>
              <w:left w:val="nil"/>
              <w:bottom w:val="single" w:sz="4" w:space="0" w:color="auto"/>
              <w:right w:val="nil"/>
            </w:tcBorders>
            <w:hideMark/>
          </w:tcPr>
          <w:p w14:paraId="366204ED" w14:textId="77777777" w:rsidR="00FA7EBF" w:rsidRDefault="00FA7EBF">
            <w:pPr>
              <w:pStyle w:val="ARtabletext"/>
            </w:pPr>
            <w:r>
              <w:t>Scope has been revised due to decanting issues.</w:t>
            </w:r>
          </w:p>
        </w:tc>
      </w:tr>
    </w:tbl>
    <w:p w14:paraId="321E3C87" w14:textId="77777777" w:rsidR="00FA7EBF" w:rsidRDefault="00FA7EBF" w:rsidP="003075FD">
      <w:pPr>
        <w:pStyle w:val="ARbody"/>
      </w:pPr>
      <w:r>
        <w:br w:type="page"/>
      </w:r>
    </w:p>
    <w:p w14:paraId="4D04E501" w14:textId="77777777" w:rsidR="00FA7EBF" w:rsidRDefault="00FA7EBF" w:rsidP="000C7D64">
      <w:pPr>
        <w:pStyle w:val="Heading2"/>
        <w:spacing w:before="0"/>
      </w:pPr>
      <w:bookmarkStart w:id="303" w:name="_Ref525205318"/>
      <w:bookmarkStart w:id="304" w:name="_Toc20409067"/>
      <w:bookmarkStart w:id="305" w:name="_Ref21957319"/>
      <w:r>
        <w:t>Capital projects reaching financial completion during the financial year ended 30 June 201</w:t>
      </w:r>
      <w:bookmarkEnd w:id="303"/>
      <w:r>
        <w:t>9</w:t>
      </w:r>
      <w:bookmarkEnd w:id="304"/>
      <w:bookmarkEnd w:id="305"/>
    </w:p>
    <w:tbl>
      <w:tblPr>
        <w:tblStyle w:val="TableGrid"/>
        <w:tblW w:w="14010" w:type="dxa"/>
        <w:tblLayout w:type="fixed"/>
        <w:tblLook w:val="06A0" w:firstRow="1" w:lastRow="0" w:firstColumn="1" w:lastColumn="0" w:noHBand="1" w:noVBand="1"/>
      </w:tblPr>
      <w:tblGrid>
        <w:gridCol w:w="2527"/>
        <w:gridCol w:w="1321"/>
        <w:gridCol w:w="1148"/>
        <w:gridCol w:w="1320"/>
        <w:gridCol w:w="1320"/>
        <w:gridCol w:w="1320"/>
        <w:gridCol w:w="2527"/>
        <w:gridCol w:w="2527"/>
      </w:tblGrid>
      <w:tr w:rsidR="00FA7EBF" w14:paraId="3010ADC5" w14:textId="77777777" w:rsidTr="00862987">
        <w:trPr>
          <w:cnfStyle w:val="100000000000" w:firstRow="1" w:lastRow="0" w:firstColumn="0" w:lastColumn="0" w:oddVBand="0" w:evenVBand="0" w:oddHBand="0" w:evenHBand="0" w:firstRowFirstColumn="0" w:firstRowLastColumn="0" w:lastRowFirstColumn="0" w:lastRowLastColumn="0"/>
          <w:tblHeader/>
        </w:trPr>
        <w:tc>
          <w:tcPr>
            <w:tcW w:w="2527" w:type="dxa"/>
            <w:tcBorders>
              <w:top w:val="nil"/>
              <w:left w:val="single" w:sz="4" w:space="0" w:color="FFFFFF"/>
              <w:bottom w:val="single" w:sz="4" w:space="0" w:color="auto"/>
              <w:right w:val="single" w:sz="4" w:space="0" w:color="FFFFFF"/>
            </w:tcBorders>
            <w:hideMark/>
          </w:tcPr>
          <w:p w14:paraId="4FD228A9" w14:textId="77777777" w:rsidR="00FA7EBF" w:rsidRDefault="00FA7EBF">
            <w:pPr>
              <w:pStyle w:val="ARtablecolhead"/>
              <w:spacing w:before="70" w:after="50"/>
            </w:pPr>
            <w:r>
              <w:t>Project name</w:t>
            </w:r>
          </w:p>
        </w:tc>
        <w:tc>
          <w:tcPr>
            <w:tcW w:w="1321" w:type="dxa"/>
            <w:tcBorders>
              <w:top w:val="nil"/>
              <w:left w:val="single" w:sz="4" w:space="0" w:color="FFFFFF"/>
              <w:bottom w:val="single" w:sz="4" w:space="0" w:color="auto"/>
              <w:right w:val="single" w:sz="4" w:space="0" w:color="FFFFFF"/>
            </w:tcBorders>
            <w:hideMark/>
          </w:tcPr>
          <w:p w14:paraId="4C6EB84E" w14:textId="77777777" w:rsidR="00FA7EBF" w:rsidRDefault="00FA7EBF">
            <w:pPr>
              <w:pStyle w:val="ARtablecolhead"/>
              <w:spacing w:before="70" w:after="50"/>
            </w:pPr>
            <w:r>
              <w:t>Practical completion date</w:t>
            </w:r>
          </w:p>
        </w:tc>
        <w:tc>
          <w:tcPr>
            <w:tcW w:w="1148" w:type="dxa"/>
            <w:tcBorders>
              <w:top w:val="nil"/>
              <w:left w:val="single" w:sz="4" w:space="0" w:color="FFFFFF"/>
              <w:bottom w:val="single" w:sz="4" w:space="0" w:color="auto"/>
              <w:right w:val="single" w:sz="4" w:space="0" w:color="FFFFFF"/>
            </w:tcBorders>
            <w:hideMark/>
          </w:tcPr>
          <w:p w14:paraId="4EA16B2A" w14:textId="77777777" w:rsidR="00FA7EBF" w:rsidRDefault="00FA7EBF">
            <w:pPr>
              <w:pStyle w:val="ARtablecolhead"/>
              <w:spacing w:before="70" w:after="50"/>
            </w:pPr>
            <w:r>
              <w:t>Financial completion date</w:t>
            </w:r>
          </w:p>
        </w:tc>
        <w:tc>
          <w:tcPr>
            <w:tcW w:w="1320" w:type="dxa"/>
            <w:tcBorders>
              <w:top w:val="nil"/>
              <w:left w:val="single" w:sz="4" w:space="0" w:color="FFFFFF"/>
              <w:bottom w:val="single" w:sz="4" w:space="0" w:color="auto"/>
              <w:right w:val="single" w:sz="4" w:space="0" w:color="FFFFFF"/>
            </w:tcBorders>
            <w:hideMark/>
          </w:tcPr>
          <w:p w14:paraId="21991A81" w14:textId="77777777" w:rsidR="00FA7EBF" w:rsidRDefault="00FA7EBF">
            <w:pPr>
              <w:pStyle w:val="ARtablecolheadright"/>
              <w:spacing w:before="70" w:after="50"/>
            </w:pPr>
            <w:r>
              <w:t xml:space="preserve">Original approved </w:t>
            </w:r>
            <w:r>
              <w:br/>
              <w:t>TEI budget</w:t>
            </w:r>
          </w:p>
          <w:p w14:paraId="099A7E17" w14:textId="77777777" w:rsidR="00FA7EBF" w:rsidRDefault="00FA7EBF">
            <w:pPr>
              <w:pStyle w:val="ARtablecolheadright"/>
              <w:spacing w:before="70" w:after="50"/>
            </w:pPr>
            <w:r>
              <w:t>($M)</w:t>
            </w:r>
          </w:p>
        </w:tc>
        <w:tc>
          <w:tcPr>
            <w:tcW w:w="1320" w:type="dxa"/>
            <w:tcBorders>
              <w:top w:val="nil"/>
              <w:left w:val="single" w:sz="4" w:space="0" w:color="FFFFFF"/>
              <w:bottom w:val="single" w:sz="4" w:space="0" w:color="auto"/>
              <w:right w:val="single" w:sz="4" w:space="0" w:color="FFFFFF"/>
            </w:tcBorders>
            <w:hideMark/>
          </w:tcPr>
          <w:p w14:paraId="06E3E6D1" w14:textId="77777777" w:rsidR="00FA7EBF" w:rsidRDefault="00FA7EBF">
            <w:pPr>
              <w:pStyle w:val="ARtablecolheadright"/>
              <w:spacing w:before="70" w:after="50"/>
            </w:pPr>
            <w:r>
              <w:t>Latest approved TEI budget</w:t>
            </w:r>
          </w:p>
          <w:p w14:paraId="701A84B7" w14:textId="77777777" w:rsidR="00FA7EBF" w:rsidRDefault="00FA7EBF">
            <w:pPr>
              <w:pStyle w:val="ARtablecolheadright"/>
              <w:spacing w:before="70" w:after="50"/>
            </w:pPr>
            <w:r>
              <w:t>($M)</w:t>
            </w:r>
          </w:p>
        </w:tc>
        <w:tc>
          <w:tcPr>
            <w:tcW w:w="1320" w:type="dxa"/>
            <w:tcBorders>
              <w:top w:val="nil"/>
              <w:left w:val="single" w:sz="4" w:space="0" w:color="FFFFFF"/>
              <w:bottom w:val="single" w:sz="4" w:space="0" w:color="auto"/>
              <w:right w:val="single" w:sz="4" w:space="0" w:color="FFFFFF"/>
            </w:tcBorders>
            <w:hideMark/>
          </w:tcPr>
          <w:p w14:paraId="44624170" w14:textId="77777777" w:rsidR="00FA7EBF" w:rsidRDefault="00FA7EBF">
            <w:pPr>
              <w:pStyle w:val="ARtablecolheadright"/>
              <w:spacing w:before="70" w:after="50"/>
            </w:pPr>
            <w:r>
              <w:t>Actual TEI cost</w:t>
            </w:r>
          </w:p>
          <w:p w14:paraId="08754154" w14:textId="77777777" w:rsidR="00FA7EBF" w:rsidRDefault="00FA7EBF">
            <w:pPr>
              <w:pStyle w:val="ARtablecolheadright"/>
              <w:spacing w:before="70" w:after="50"/>
            </w:pPr>
            <w:r>
              <w:t>($M)</w:t>
            </w:r>
          </w:p>
        </w:tc>
        <w:tc>
          <w:tcPr>
            <w:tcW w:w="2527" w:type="dxa"/>
            <w:tcBorders>
              <w:top w:val="nil"/>
              <w:left w:val="single" w:sz="4" w:space="0" w:color="FFFFFF"/>
              <w:bottom w:val="single" w:sz="4" w:space="0" w:color="auto"/>
              <w:right w:val="single" w:sz="4" w:space="0" w:color="FFFFFF"/>
            </w:tcBorders>
            <w:hideMark/>
          </w:tcPr>
          <w:p w14:paraId="1557EC9D" w14:textId="77777777" w:rsidR="00FA7EBF" w:rsidRDefault="00FA7EBF">
            <w:pPr>
              <w:pStyle w:val="ARtablecolheadright"/>
              <w:spacing w:before="70" w:after="50"/>
              <w:ind w:right="227"/>
            </w:pPr>
            <w:r>
              <w:t xml:space="preserve">Variation between </w:t>
            </w:r>
            <w:r>
              <w:br/>
              <w:t>actual cost and latest approved TEI budget</w:t>
            </w:r>
          </w:p>
          <w:p w14:paraId="691D063E" w14:textId="77777777" w:rsidR="00FA7EBF" w:rsidRDefault="00FA7EBF">
            <w:pPr>
              <w:pStyle w:val="ARtablecolheadright"/>
              <w:spacing w:before="70" w:after="50"/>
              <w:ind w:right="227"/>
            </w:pPr>
            <w:r>
              <w:t>($M)</w:t>
            </w:r>
          </w:p>
        </w:tc>
        <w:tc>
          <w:tcPr>
            <w:tcW w:w="2527" w:type="dxa"/>
            <w:tcBorders>
              <w:top w:val="nil"/>
              <w:left w:val="single" w:sz="4" w:space="0" w:color="FFFFFF"/>
              <w:bottom w:val="single" w:sz="4" w:space="0" w:color="auto"/>
              <w:right w:val="single" w:sz="4" w:space="0" w:color="FFFFFF"/>
            </w:tcBorders>
            <w:hideMark/>
          </w:tcPr>
          <w:p w14:paraId="1985761B" w14:textId="77777777" w:rsidR="00FA7EBF" w:rsidRDefault="00FA7EBF">
            <w:pPr>
              <w:pStyle w:val="ARtablecolhead"/>
              <w:spacing w:before="70" w:after="50"/>
            </w:pPr>
            <w:r>
              <w:t>Reason for variance from latest approved TEI budget</w:t>
            </w:r>
          </w:p>
        </w:tc>
      </w:tr>
      <w:tr w:rsidR="00FA7EBF" w14:paraId="4E6531E9" w14:textId="77777777" w:rsidTr="00862987">
        <w:tc>
          <w:tcPr>
            <w:tcW w:w="2527" w:type="dxa"/>
            <w:tcBorders>
              <w:top w:val="single" w:sz="4" w:space="0" w:color="auto"/>
              <w:left w:val="single" w:sz="4" w:space="0" w:color="FFFFFF"/>
              <w:bottom w:val="single" w:sz="4" w:space="0" w:color="auto"/>
              <w:right w:val="single" w:sz="4" w:space="0" w:color="FFFFFF"/>
            </w:tcBorders>
            <w:hideMark/>
          </w:tcPr>
          <w:p w14:paraId="0AE72EBE" w14:textId="77777777" w:rsidR="00FA7EBF" w:rsidRDefault="00FA7EBF" w:rsidP="00B33865">
            <w:pPr>
              <w:pStyle w:val="ARtabletext"/>
              <w:spacing w:before="60" w:after="40"/>
            </w:pPr>
            <w:r>
              <w:t>Angliss Hospital intensive care unit and short stay unit (Upper Ferntree Gully)</w:t>
            </w:r>
          </w:p>
        </w:tc>
        <w:tc>
          <w:tcPr>
            <w:tcW w:w="1321" w:type="dxa"/>
            <w:tcBorders>
              <w:top w:val="single" w:sz="4" w:space="0" w:color="auto"/>
              <w:left w:val="single" w:sz="4" w:space="0" w:color="FFFFFF"/>
              <w:bottom w:val="single" w:sz="4" w:space="0" w:color="auto"/>
              <w:right w:val="single" w:sz="4" w:space="0" w:color="FFFFFF"/>
            </w:tcBorders>
            <w:hideMark/>
          </w:tcPr>
          <w:p w14:paraId="61F8F022" w14:textId="77777777" w:rsidR="00FA7EBF" w:rsidRDefault="00FA7EBF" w:rsidP="00B33865">
            <w:pPr>
              <w:pStyle w:val="ARtabletext"/>
              <w:spacing w:before="60" w:after="40"/>
            </w:pPr>
            <w:r>
              <w:t>May-18</w:t>
            </w:r>
          </w:p>
        </w:tc>
        <w:tc>
          <w:tcPr>
            <w:tcW w:w="1148" w:type="dxa"/>
            <w:tcBorders>
              <w:top w:val="single" w:sz="4" w:space="0" w:color="auto"/>
              <w:left w:val="single" w:sz="4" w:space="0" w:color="FFFFFF"/>
              <w:bottom w:val="single" w:sz="4" w:space="0" w:color="auto"/>
              <w:right w:val="single" w:sz="4" w:space="0" w:color="FFFFFF"/>
            </w:tcBorders>
            <w:hideMark/>
          </w:tcPr>
          <w:p w14:paraId="262142A3" w14:textId="77777777" w:rsidR="00FA7EBF" w:rsidRDefault="00FA7EBF" w:rsidP="00B33865">
            <w:pPr>
              <w:pStyle w:val="ARtabletext"/>
              <w:spacing w:before="60" w:after="40"/>
            </w:pPr>
            <w:r>
              <w:t>May-19</w:t>
            </w:r>
          </w:p>
        </w:tc>
        <w:tc>
          <w:tcPr>
            <w:tcW w:w="1320" w:type="dxa"/>
            <w:tcBorders>
              <w:top w:val="single" w:sz="4" w:space="0" w:color="auto"/>
              <w:left w:val="single" w:sz="4" w:space="0" w:color="FFFFFF"/>
              <w:bottom w:val="single" w:sz="4" w:space="0" w:color="auto"/>
              <w:right w:val="single" w:sz="4" w:space="0" w:color="FFFFFF"/>
            </w:tcBorders>
            <w:hideMark/>
          </w:tcPr>
          <w:p w14:paraId="65062B79" w14:textId="77777777" w:rsidR="00FA7EBF" w:rsidRDefault="00FA7EBF" w:rsidP="00B33865">
            <w:pPr>
              <w:pStyle w:val="ARtabletextright"/>
              <w:spacing w:before="60" w:after="40"/>
            </w:pPr>
            <w:r>
              <w:t>20.000</w:t>
            </w:r>
          </w:p>
        </w:tc>
        <w:tc>
          <w:tcPr>
            <w:tcW w:w="1320" w:type="dxa"/>
            <w:tcBorders>
              <w:top w:val="single" w:sz="4" w:space="0" w:color="auto"/>
              <w:left w:val="single" w:sz="4" w:space="0" w:color="FFFFFF"/>
              <w:bottom w:val="single" w:sz="4" w:space="0" w:color="auto"/>
              <w:right w:val="single" w:sz="4" w:space="0" w:color="FFFFFF"/>
            </w:tcBorders>
            <w:hideMark/>
          </w:tcPr>
          <w:p w14:paraId="38BEAD01" w14:textId="77777777" w:rsidR="00FA7EBF" w:rsidRDefault="00FA7EBF" w:rsidP="00B33865">
            <w:pPr>
              <w:pStyle w:val="ARtabletextright"/>
              <w:spacing w:before="60" w:after="40"/>
            </w:pPr>
            <w:r>
              <w:t>20.000</w:t>
            </w:r>
          </w:p>
        </w:tc>
        <w:tc>
          <w:tcPr>
            <w:tcW w:w="1320" w:type="dxa"/>
            <w:tcBorders>
              <w:top w:val="single" w:sz="4" w:space="0" w:color="auto"/>
              <w:left w:val="single" w:sz="4" w:space="0" w:color="FFFFFF"/>
              <w:bottom w:val="single" w:sz="4" w:space="0" w:color="auto"/>
              <w:right w:val="single" w:sz="4" w:space="0" w:color="FFFFFF"/>
            </w:tcBorders>
            <w:hideMark/>
          </w:tcPr>
          <w:p w14:paraId="05FFD65C" w14:textId="77777777" w:rsidR="00FA7EBF" w:rsidRDefault="00FA7EBF" w:rsidP="00B33865">
            <w:pPr>
              <w:pStyle w:val="ARtabletextright"/>
              <w:spacing w:before="60" w:after="40"/>
            </w:pPr>
            <w:r>
              <w:t>19.532</w:t>
            </w:r>
          </w:p>
        </w:tc>
        <w:tc>
          <w:tcPr>
            <w:tcW w:w="2527" w:type="dxa"/>
            <w:tcBorders>
              <w:top w:val="single" w:sz="4" w:space="0" w:color="auto"/>
              <w:left w:val="single" w:sz="4" w:space="0" w:color="FFFFFF"/>
              <w:bottom w:val="single" w:sz="4" w:space="0" w:color="auto"/>
              <w:right w:val="single" w:sz="4" w:space="0" w:color="FFFFFF"/>
            </w:tcBorders>
            <w:hideMark/>
          </w:tcPr>
          <w:p w14:paraId="42CF367A" w14:textId="77777777" w:rsidR="00FA7EBF" w:rsidRDefault="00FA7EBF" w:rsidP="00B33865">
            <w:pPr>
              <w:pStyle w:val="ARtabletextright"/>
              <w:spacing w:before="60" w:after="40"/>
              <w:ind w:right="227"/>
            </w:pPr>
            <w:r>
              <w:t>(0.468)</w:t>
            </w:r>
          </w:p>
        </w:tc>
        <w:tc>
          <w:tcPr>
            <w:tcW w:w="2527" w:type="dxa"/>
            <w:tcBorders>
              <w:top w:val="single" w:sz="4" w:space="0" w:color="auto"/>
              <w:left w:val="single" w:sz="4" w:space="0" w:color="FFFFFF"/>
              <w:bottom w:val="single" w:sz="4" w:space="0" w:color="auto"/>
              <w:right w:val="single" w:sz="4" w:space="0" w:color="FFFFFF"/>
            </w:tcBorders>
          </w:tcPr>
          <w:p w14:paraId="2269C2DC" w14:textId="77777777" w:rsidR="00FA7EBF" w:rsidRDefault="00FA7EBF" w:rsidP="00B33865">
            <w:pPr>
              <w:pStyle w:val="ARtabletext"/>
              <w:spacing w:before="60" w:after="40"/>
            </w:pPr>
          </w:p>
        </w:tc>
      </w:tr>
      <w:tr w:rsidR="00FA7EBF" w14:paraId="45FAA1F4" w14:textId="77777777" w:rsidTr="00862987">
        <w:tc>
          <w:tcPr>
            <w:tcW w:w="2527" w:type="dxa"/>
            <w:tcBorders>
              <w:top w:val="single" w:sz="4" w:space="0" w:color="auto"/>
              <w:left w:val="single" w:sz="4" w:space="0" w:color="FFFFFF"/>
              <w:bottom w:val="single" w:sz="4" w:space="0" w:color="auto"/>
              <w:right w:val="single" w:sz="4" w:space="0" w:color="FFFFFF"/>
            </w:tcBorders>
            <w:hideMark/>
          </w:tcPr>
          <w:p w14:paraId="1B389622" w14:textId="77777777" w:rsidR="00FA7EBF" w:rsidRDefault="00FA7EBF" w:rsidP="00B33865">
            <w:pPr>
              <w:pStyle w:val="ARtabletext"/>
              <w:spacing w:before="60" w:after="40"/>
            </w:pPr>
            <w:r>
              <w:t>New Bendigo Hospital – Stage Two</w:t>
            </w:r>
          </w:p>
        </w:tc>
        <w:tc>
          <w:tcPr>
            <w:tcW w:w="1321" w:type="dxa"/>
            <w:tcBorders>
              <w:top w:val="single" w:sz="4" w:space="0" w:color="auto"/>
              <w:left w:val="single" w:sz="4" w:space="0" w:color="FFFFFF"/>
              <w:bottom w:val="single" w:sz="4" w:space="0" w:color="auto"/>
              <w:right w:val="single" w:sz="4" w:space="0" w:color="FFFFFF"/>
            </w:tcBorders>
            <w:hideMark/>
          </w:tcPr>
          <w:p w14:paraId="64E44BB3" w14:textId="77777777" w:rsidR="00FA7EBF" w:rsidRDefault="00FA7EBF" w:rsidP="00B33865">
            <w:pPr>
              <w:pStyle w:val="ARtabletext"/>
              <w:spacing w:before="60" w:after="40"/>
            </w:pPr>
            <w:r>
              <w:t>Jun-18</w:t>
            </w:r>
          </w:p>
        </w:tc>
        <w:tc>
          <w:tcPr>
            <w:tcW w:w="1148" w:type="dxa"/>
            <w:tcBorders>
              <w:top w:val="single" w:sz="4" w:space="0" w:color="auto"/>
              <w:left w:val="single" w:sz="4" w:space="0" w:color="FFFFFF"/>
              <w:bottom w:val="single" w:sz="4" w:space="0" w:color="auto"/>
              <w:right w:val="single" w:sz="4" w:space="0" w:color="FFFFFF"/>
            </w:tcBorders>
            <w:hideMark/>
          </w:tcPr>
          <w:p w14:paraId="2538F875" w14:textId="77777777" w:rsidR="00FA7EBF" w:rsidRDefault="00FA7EBF" w:rsidP="00B33865">
            <w:pPr>
              <w:pStyle w:val="ARtabletext"/>
              <w:spacing w:before="60" w:after="40"/>
            </w:pPr>
            <w:r>
              <w:t>Jun-19</w:t>
            </w:r>
          </w:p>
        </w:tc>
        <w:tc>
          <w:tcPr>
            <w:tcW w:w="1320" w:type="dxa"/>
            <w:tcBorders>
              <w:top w:val="single" w:sz="4" w:space="0" w:color="auto"/>
              <w:left w:val="single" w:sz="4" w:space="0" w:color="FFFFFF"/>
              <w:bottom w:val="single" w:sz="4" w:space="0" w:color="auto"/>
              <w:right w:val="single" w:sz="4" w:space="0" w:color="FFFFFF"/>
            </w:tcBorders>
            <w:hideMark/>
          </w:tcPr>
          <w:p w14:paraId="15A05F99" w14:textId="77777777" w:rsidR="00FA7EBF" w:rsidRDefault="00FA7EBF" w:rsidP="00B33865">
            <w:pPr>
              <w:pStyle w:val="ARtabletextright"/>
              <w:spacing w:before="60" w:after="40"/>
            </w:pPr>
            <w:r>
              <w:t>129.460</w:t>
            </w:r>
          </w:p>
        </w:tc>
        <w:tc>
          <w:tcPr>
            <w:tcW w:w="1320" w:type="dxa"/>
            <w:tcBorders>
              <w:top w:val="single" w:sz="4" w:space="0" w:color="auto"/>
              <w:left w:val="single" w:sz="4" w:space="0" w:color="FFFFFF"/>
              <w:bottom w:val="single" w:sz="4" w:space="0" w:color="auto"/>
              <w:right w:val="single" w:sz="4" w:space="0" w:color="FFFFFF"/>
            </w:tcBorders>
            <w:hideMark/>
          </w:tcPr>
          <w:p w14:paraId="448021CF" w14:textId="77777777" w:rsidR="00FA7EBF" w:rsidRDefault="00FA7EBF" w:rsidP="00B33865">
            <w:pPr>
              <w:pStyle w:val="ARtabletextright"/>
              <w:spacing w:before="60" w:after="40"/>
            </w:pPr>
            <w:r>
              <w:t>129.460</w:t>
            </w:r>
          </w:p>
        </w:tc>
        <w:tc>
          <w:tcPr>
            <w:tcW w:w="1320" w:type="dxa"/>
            <w:tcBorders>
              <w:top w:val="single" w:sz="4" w:space="0" w:color="auto"/>
              <w:left w:val="single" w:sz="4" w:space="0" w:color="FFFFFF"/>
              <w:bottom w:val="single" w:sz="4" w:space="0" w:color="auto"/>
              <w:right w:val="single" w:sz="4" w:space="0" w:color="FFFFFF"/>
            </w:tcBorders>
            <w:hideMark/>
          </w:tcPr>
          <w:p w14:paraId="029DE901" w14:textId="77777777" w:rsidR="00FA7EBF" w:rsidRDefault="00FA7EBF" w:rsidP="00B33865">
            <w:pPr>
              <w:pStyle w:val="ARtabletextright"/>
              <w:spacing w:before="60" w:after="40"/>
            </w:pPr>
            <w:r>
              <w:t>125.334</w:t>
            </w:r>
          </w:p>
        </w:tc>
        <w:tc>
          <w:tcPr>
            <w:tcW w:w="2527" w:type="dxa"/>
            <w:tcBorders>
              <w:top w:val="single" w:sz="4" w:space="0" w:color="auto"/>
              <w:left w:val="single" w:sz="4" w:space="0" w:color="FFFFFF"/>
              <w:bottom w:val="single" w:sz="4" w:space="0" w:color="auto"/>
              <w:right w:val="single" w:sz="4" w:space="0" w:color="FFFFFF"/>
            </w:tcBorders>
            <w:hideMark/>
          </w:tcPr>
          <w:p w14:paraId="7F0086EE" w14:textId="77777777" w:rsidR="00FA7EBF" w:rsidRDefault="00FA7EBF" w:rsidP="00B33865">
            <w:pPr>
              <w:pStyle w:val="ARtabletextright"/>
              <w:spacing w:before="60" w:after="40"/>
              <w:ind w:right="227"/>
            </w:pPr>
            <w:r>
              <w:t>(4.126)</w:t>
            </w:r>
          </w:p>
        </w:tc>
        <w:tc>
          <w:tcPr>
            <w:tcW w:w="2527" w:type="dxa"/>
            <w:tcBorders>
              <w:top w:val="single" w:sz="4" w:space="0" w:color="auto"/>
              <w:left w:val="single" w:sz="4" w:space="0" w:color="FFFFFF"/>
              <w:bottom w:val="single" w:sz="4" w:space="0" w:color="auto"/>
              <w:right w:val="single" w:sz="4" w:space="0" w:color="FFFFFF"/>
            </w:tcBorders>
          </w:tcPr>
          <w:p w14:paraId="524541D0" w14:textId="77777777" w:rsidR="00FA7EBF" w:rsidRDefault="00FA7EBF" w:rsidP="00B33865">
            <w:pPr>
              <w:pStyle w:val="ARtabletext"/>
              <w:spacing w:before="60" w:after="40"/>
            </w:pPr>
          </w:p>
        </w:tc>
      </w:tr>
      <w:tr w:rsidR="00FA7EBF" w14:paraId="0972FE1F" w14:textId="77777777" w:rsidTr="00862987">
        <w:tc>
          <w:tcPr>
            <w:tcW w:w="2527" w:type="dxa"/>
            <w:tcBorders>
              <w:top w:val="single" w:sz="4" w:space="0" w:color="auto"/>
              <w:left w:val="single" w:sz="4" w:space="0" w:color="FFFFFF"/>
              <w:bottom w:val="single" w:sz="4" w:space="0" w:color="auto"/>
              <w:right w:val="single" w:sz="4" w:space="0" w:color="FFFFFF"/>
            </w:tcBorders>
            <w:hideMark/>
          </w:tcPr>
          <w:p w14:paraId="3B23DBDE" w14:textId="77777777" w:rsidR="00FA7EBF" w:rsidRDefault="00FA7EBF" w:rsidP="00B33865">
            <w:pPr>
              <w:pStyle w:val="ARtabletext"/>
              <w:spacing w:before="60" w:after="40"/>
            </w:pPr>
            <w:r>
              <w:t>Ballarat Health Cardiovascular Services</w:t>
            </w:r>
          </w:p>
        </w:tc>
        <w:tc>
          <w:tcPr>
            <w:tcW w:w="1321" w:type="dxa"/>
            <w:tcBorders>
              <w:top w:val="single" w:sz="4" w:space="0" w:color="auto"/>
              <w:left w:val="single" w:sz="4" w:space="0" w:color="FFFFFF"/>
              <w:bottom w:val="single" w:sz="4" w:space="0" w:color="auto"/>
              <w:right w:val="single" w:sz="4" w:space="0" w:color="FFFFFF"/>
            </w:tcBorders>
            <w:hideMark/>
          </w:tcPr>
          <w:p w14:paraId="69B69F66" w14:textId="77777777" w:rsidR="00FA7EBF" w:rsidRDefault="00FA7EBF" w:rsidP="00B33865">
            <w:pPr>
              <w:pStyle w:val="ARtabletext"/>
              <w:spacing w:before="60" w:after="40"/>
            </w:pPr>
            <w:r>
              <w:t>Oct-17</w:t>
            </w:r>
          </w:p>
        </w:tc>
        <w:tc>
          <w:tcPr>
            <w:tcW w:w="1148" w:type="dxa"/>
            <w:tcBorders>
              <w:top w:val="single" w:sz="4" w:space="0" w:color="auto"/>
              <w:left w:val="single" w:sz="4" w:space="0" w:color="FFFFFF"/>
              <w:bottom w:val="single" w:sz="4" w:space="0" w:color="auto"/>
              <w:right w:val="single" w:sz="4" w:space="0" w:color="FFFFFF"/>
            </w:tcBorders>
            <w:hideMark/>
          </w:tcPr>
          <w:p w14:paraId="1E0DFE66" w14:textId="77777777" w:rsidR="00FA7EBF" w:rsidRDefault="00FA7EBF" w:rsidP="00B33865">
            <w:pPr>
              <w:pStyle w:val="ARtabletext"/>
              <w:spacing w:before="60" w:after="40"/>
            </w:pPr>
            <w:r>
              <w:t>Oct-18</w:t>
            </w:r>
          </w:p>
        </w:tc>
        <w:tc>
          <w:tcPr>
            <w:tcW w:w="1320" w:type="dxa"/>
            <w:tcBorders>
              <w:top w:val="single" w:sz="4" w:space="0" w:color="auto"/>
              <w:left w:val="single" w:sz="4" w:space="0" w:color="FFFFFF"/>
              <w:bottom w:val="single" w:sz="4" w:space="0" w:color="auto"/>
              <w:right w:val="single" w:sz="4" w:space="0" w:color="FFFFFF"/>
            </w:tcBorders>
            <w:hideMark/>
          </w:tcPr>
          <w:p w14:paraId="19E54994" w14:textId="77777777" w:rsidR="00FA7EBF" w:rsidRDefault="00FA7EBF" w:rsidP="00B33865">
            <w:pPr>
              <w:pStyle w:val="ARtabletextright"/>
              <w:spacing w:before="60" w:after="40"/>
            </w:pPr>
            <w:r>
              <w:t>10.000</w:t>
            </w:r>
          </w:p>
        </w:tc>
        <w:tc>
          <w:tcPr>
            <w:tcW w:w="1320" w:type="dxa"/>
            <w:tcBorders>
              <w:top w:val="single" w:sz="4" w:space="0" w:color="auto"/>
              <w:left w:val="single" w:sz="4" w:space="0" w:color="FFFFFF"/>
              <w:bottom w:val="single" w:sz="4" w:space="0" w:color="auto"/>
              <w:right w:val="single" w:sz="4" w:space="0" w:color="FFFFFF"/>
            </w:tcBorders>
            <w:hideMark/>
          </w:tcPr>
          <w:p w14:paraId="0C4460ED" w14:textId="77777777" w:rsidR="00FA7EBF" w:rsidRDefault="00FA7EBF" w:rsidP="00B33865">
            <w:pPr>
              <w:pStyle w:val="ARtabletextright"/>
              <w:spacing w:before="60" w:after="40"/>
            </w:pPr>
            <w:r>
              <w:t>10.000</w:t>
            </w:r>
          </w:p>
        </w:tc>
        <w:tc>
          <w:tcPr>
            <w:tcW w:w="1320" w:type="dxa"/>
            <w:tcBorders>
              <w:top w:val="single" w:sz="4" w:space="0" w:color="auto"/>
              <w:left w:val="single" w:sz="4" w:space="0" w:color="FFFFFF"/>
              <w:bottom w:val="single" w:sz="4" w:space="0" w:color="auto"/>
              <w:right w:val="single" w:sz="4" w:space="0" w:color="FFFFFF"/>
            </w:tcBorders>
            <w:hideMark/>
          </w:tcPr>
          <w:p w14:paraId="36471361" w14:textId="77777777" w:rsidR="00FA7EBF" w:rsidRDefault="00FA7EBF" w:rsidP="00B33865">
            <w:pPr>
              <w:pStyle w:val="ARtabletextright"/>
              <w:spacing w:before="60" w:after="40"/>
            </w:pPr>
            <w:r>
              <w:t>8.642</w:t>
            </w:r>
          </w:p>
        </w:tc>
        <w:tc>
          <w:tcPr>
            <w:tcW w:w="2527" w:type="dxa"/>
            <w:tcBorders>
              <w:top w:val="single" w:sz="4" w:space="0" w:color="auto"/>
              <w:left w:val="single" w:sz="4" w:space="0" w:color="FFFFFF"/>
              <w:bottom w:val="single" w:sz="4" w:space="0" w:color="auto"/>
              <w:right w:val="single" w:sz="4" w:space="0" w:color="FFFFFF"/>
            </w:tcBorders>
            <w:hideMark/>
          </w:tcPr>
          <w:p w14:paraId="5FBF3B51" w14:textId="77777777" w:rsidR="00FA7EBF" w:rsidRDefault="00FA7EBF" w:rsidP="00B33865">
            <w:pPr>
              <w:pStyle w:val="ARtabletextright"/>
              <w:spacing w:before="60" w:after="40"/>
              <w:ind w:right="227"/>
            </w:pPr>
            <w:r>
              <w:t>(1.358)</w:t>
            </w:r>
          </w:p>
        </w:tc>
        <w:tc>
          <w:tcPr>
            <w:tcW w:w="2527" w:type="dxa"/>
            <w:tcBorders>
              <w:top w:val="single" w:sz="4" w:space="0" w:color="auto"/>
              <w:left w:val="single" w:sz="4" w:space="0" w:color="FFFFFF"/>
              <w:bottom w:val="single" w:sz="4" w:space="0" w:color="auto"/>
              <w:right w:val="single" w:sz="4" w:space="0" w:color="FFFFFF"/>
            </w:tcBorders>
          </w:tcPr>
          <w:p w14:paraId="46536C6A" w14:textId="77777777" w:rsidR="00FA7EBF" w:rsidRDefault="00FA7EBF" w:rsidP="00B33865">
            <w:pPr>
              <w:pStyle w:val="ARtabletext"/>
              <w:spacing w:before="60" w:after="40"/>
            </w:pPr>
          </w:p>
        </w:tc>
      </w:tr>
      <w:tr w:rsidR="00FA7EBF" w14:paraId="1768D09D" w14:textId="77777777" w:rsidTr="00862987">
        <w:tc>
          <w:tcPr>
            <w:tcW w:w="2527" w:type="dxa"/>
            <w:tcBorders>
              <w:top w:val="single" w:sz="4" w:space="0" w:color="auto"/>
              <w:left w:val="single" w:sz="4" w:space="0" w:color="FFFFFF"/>
              <w:bottom w:val="single" w:sz="4" w:space="0" w:color="auto"/>
              <w:right w:val="single" w:sz="4" w:space="0" w:color="FFFFFF"/>
            </w:tcBorders>
            <w:hideMark/>
          </w:tcPr>
          <w:p w14:paraId="1B8B960C" w14:textId="77777777" w:rsidR="00FA7EBF" w:rsidRDefault="00FA7EBF" w:rsidP="00B33865">
            <w:pPr>
              <w:pStyle w:val="ARtabletext"/>
              <w:spacing w:before="60" w:after="40"/>
            </w:pPr>
            <w:r>
              <w:t>Latrobe Regional Hospital redevelopment – Stage 2a</w:t>
            </w:r>
          </w:p>
        </w:tc>
        <w:tc>
          <w:tcPr>
            <w:tcW w:w="1321" w:type="dxa"/>
            <w:tcBorders>
              <w:top w:val="single" w:sz="4" w:space="0" w:color="auto"/>
              <w:left w:val="single" w:sz="4" w:space="0" w:color="FFFFFF"/>
              <w:bottom w:val="single" w:sz="4" w:space="0" w:color="auto"/>
              <w:right w:val="single" w:sz="4" w:space="0" w:color="FFFFFF"/>
            </w:tcBorders>
            <w:hideMark/>
          </w:tcPr>
          <w:p w14:paraId="55081955" w14:textId="77777777" w:rsidR="00FA7EBF" w:rsidRDefault="00FA7EBF" w:rsidP="00B33865">
            <w:pPr>
              <w:pStyle w:val="ARtabletext"/>
              <w:spacing w:before="60" w:after="40"/>
            </w:pPr>
            <w:r>
              <w:t>Aug-17</w:t>
            </w:r>
          </w:p>
        </w:tc>
        <w:tc>
          <w:tcPr>
            <w:tcW w:w="1148" w:type="dxa"/>
            <w:tcBorders>
              <w:top w:val="single" w:sz="4" w:space="0" w:color="auto"/>
              <w:left w:val="single" w:sz="4" w:space="0" w:color="FFFFFF"/>
              <w:bottom w:val="single" w:sz="4" w:space="0" w:color="auto"/>
              <w:right w:val="single" w:sz="4" w:space="0" w:color="FFFFFF"/>
            </w:tcBorders>
            <w:hideMark/>
          </w:tcPr>
          <w:p w14:paraId="32C0BCF4" w14:textId="77777777" w:rsidR="00FA7EBF" w:rsidRDefault="00FA7EBF" w:rsidP="00B33865">
            <w:pPr>
              <w:pStyle w:val="ARtabletext"/>
              <w:spacing w:before="60" w:after="40"/>
            </w:pPr>
            <w:r>
              <w:t>Aug-18</w:t>
            </w:r>
          </w:p>
        </w:tc>
        <w:tc>
          <w:tcPr>
            <w:tcW w:w="1320" w:type="dxa"/>
            <w:tcBorders>
              <w:top w:val="single" w:sz="4" w:space="0" w:color="auto"/>
              <w:left w:val="single" w:sz="4" w:space="0" w:color="FFFFFF"/>
              <w:bottom w:val="single" w:sz="4" w:space="0" w:color="auto"/>
              <w:right w:val="single" w:sz="4" w:space="0" w:color="FFFFFF"/>
            </w:tcBorders>
            <w:hideMark/>
          </w:tcPr>
          <w:p w14:paraId="271DA5C6" w14:textId="77777777" w:rsidR="00FA7EBF" w:rsidRDefault="00FA7EBF" w:rsidP="00B33865">
            <w:pPr>
              <w:pStyle w:val="ARtabletextright"/>
              <w:spacing w:before="60" w:after="40"/>
            </w:pPr>
            <w:r>
              <w:t>73.000</w:t>
            </w:r>
          </w:p>
        </w:tc>
        <w:tc>
          <w:tcPr>
            <w:tcW w:w="1320" w:type="dxa"/>
            <w:tcBorders>
              <w:top w:val="single" w:sz="4" w:space="0" w:color="auto"/>
              <w:left w:val="single" w:sz="4" w:space="0" w:color="FFFFFF"/>
              <w:bottom w:val="single" w:sz="4" w:space="0" w:color="auto"/>
              <w:right w:val="single" w:sz="4" w:space="0" w:color="FFFFFF"/>
            </w:tcBorders>
            <w:hideMark/>
          </w:tcPr>
          <w:p w14:paraId="376D5B32" w14:textId="77777777" w:rsidR="00FA7EBF" w:rsidRDefault="00FA7EBF" w:rsidP="00B33865">
            <w:pPr>
              <w:pStyle w:val="ARtabletextright"/>
              <w:spacing w:before="60" w:after="40"/>
            </w:pPr>
            <w:r>
              <w:t>73.000</w:t>
            </w:r>
          </w:p>
        </w:tc>
        <w:tc>
          <w:tcPr>
            <w:tcW w:w="1320" w:type="dxa"/>
            <w:tcBorders>
              <w:top w:val="single" w:sz="4" w:space="0" w:color="auto"/>
              <w:left w:val="single" w:sz="4" w:space="0" w:color="FFFFFF"/>
              <w:bottom w:val="single" w:sz="4" w:space="0" w:color="auto"/>
              <w:right w:val="single" w:sz="4" w:space="0" w:color="FFFFFF"/>
            </w:tcBorders>
            <w:hideMark/>
          </w:tcPr>
          <w:p w14:paraId="795064D4" w14:textId="77777777" w:rsidR="00FA7EBF" w:rsidRDefault="00FA7EBF" w:rsidP="00B33865">
            <w:pPr>
              <w:pStyle w:val="ARtabletextright"/>
              <w:spacing w:before="60" w:after="40"/>
            </w:pPr>
            <w:r>
              <w:t>72.693</w:t>
            </w:r>
          </w:p>
        </w:tc>
        <w:tc>
          <w:tcPr>
            <w:tcW w:w="2527" w:type="dxa"/>
            <w:tcBorders>
              <w:top w:val="single" w:sz="4" w:space="0" w:color="auto"/>
              <w:left w:val="single" w:sz="4" w:space="0" w:color="FFFFFF"/>
              <w:bottom w:val="single" w:sz="4" w:space="0" w:color="auto"/>
              <w:right w:val="single" w:sz="4" w:space="0" w:color="FFFFFF"/>
            </w:tcBorders>
            <w:hideMark/>
          </w:tcPr>
          <w:p w14:paraId="1C3906CA" w14:textId="77777777" w:rsidR="00FA7EBF" w:rsidRDefault="00FA7EBF" w:rsidP="00B33865">
            <w:pPr>
              <w:pStyle w:val="ARtabletextright"/>
              <w:spacing w:before="60" w:after="40"/>
              <w:ind w:right="227"/>
            </w:pPr>
            <w:r>
              <w:t>(0.307)</w:t>
            </w:r>
          </w:p>
        </w:tc>
        <w:tc>
          <w:tcPr>
            <w:tcW w:w="2527" w:type="dxa"/>
            <w:tcBorders>
              <w:top w:val="single" w:sz="4" w:space="0" w:color="auto"/>
              <w:left w:val="single" w:sz="4" w:space="0" w:color="FFFFFF"/>
              <w:bottom w:val="single" w:sz="4" w:space="0" w:color="auto"/>
              <w:right w:val="single" w:sz="4" w:space="0" w:color="FFFFFF"/>
            </w:tcBorders>
          </w:tcPr>
          <w:p w14:paraId="52C62AE7" w14:textId="77777777" w:rsidR="00FA7EBF" w:rsidRDefault="00FA7EBF" w:rsidP="00B33865">
            <w:pPr>
              <w:pStyle w:val="ARtabletext"/>
              <w:spacing w:before="60" w:after="40"/>
            </w:pPr>
          </w:p>
        </w:tc>
      </w:tr>
      <w:tr w:rsidR="00FA7EBF" w14:paraId="0240D568" w14:textId="77777777" w:rsidTr="00862987">
        <w:tc>
          <w:tcPr>
            <w:tcW w:w="2527" w:type="dxa"/>
            <w:tcBorders>
              <w:top w:val="single" w:sz="4" w:space="0" w:color="auto"/>
              <w:left w:val="single" w:sz="4" w:space="0" w:color="FFFFFF"/>
              <w:bottom w:val="single" w:sz="4" w:space="0" w:color="auto"/>
              <w:right w:val="single" w:sz="4" w:space="0" w:color="FFFFFF"/>
            </w:tcBorders>
            <w:hideMark/>
          </w:tcPr>
          <w:p w14:paraId="2B17D1B5" w14:textId="3C3058A8" w:rsidR="00FA7EBF" w:rsidRDefault="00FA7EBF" w:rsidP="00B33865">
            <w:pPr>
              <w:pStyle w:val="ARtabletext"/>
              <w:spacing w:before="60" w:after="40"/>
            </w:pPr>
            <w:r>
              <w:t>Victorian Comprehensive Cancer Centre (Melbourne)</w:t>
            </w:r>
          </w:p>
        </w:tc>
        <w:tc>
          <w:tcPr>
            <w:tcW w:w="1321" w:type="dxa"/>
            <w:tcBorders>
              <w:top w:val="single" w:sz="4" w:space="0" w:color="auto"/>
              <w:left w:val="single" w:sz="4" w:space="0" w:color="FFFFFF"/>
              <w:bottom w:val="single" w:sz="4" w:space="0" w:color="auto"/>
              <w:right w:val="single" w:sz="4" w:space="0" w:color="FFFFFF"/>
            </w:tcBorders>
            <w:hideMark/>
          </w:tcPr>
          <w:p w14:paraId="4BD4C8D9" w14:textId="77777777" w:rsidR="00FA7EBF" w:rsidRDefault="00FA7EBF" w:rsidP="00B33865">
            <w:pPr>
              <w:pStyle w:val="ARtabletext"/>
              <w:spacing w:before="60" w:after="40"/>
            </w:pPr>
            <w:r>
              <w:t>Jun-18</w:t>
            </w:r>
          </w:p>
        </w:tc>
        <w:tc>
          <w:tcPr>
            <w:tcW w:w="1148" w:type="dxa"/>
            <w:tcBorders>
              <w:top w:val="single" w:sz="4" w:space="0" w:color="auto"/>
              <w:left w:val="single" w:sz="4" w:space="0" w:color="FFFFFF"/>
              <w:bottom w:val="single" w:sz="4" w:space="0" w:color="auto"/>
              <w:right w:val="single" w:sz="4" w:space="0" w:color="FFFFFF"/>
            </w:tcBorders>
            <w:hideMark/>
          </w:tcPr>
          <w:p w14:paraId="3D29FA3C" w14:textId="77777777" w:rsidR="00FA7EBF" w:rsidRDefault="00FA7EBF" w:rsidP="00B33865">
            <w:pPr>
              <w:pStyle w:val="ARtabletext"/>
              <w:spacing w:before="60" w:after="40"/>
            </w:pPr>
            <w:r>
              <w:t>Jun-19</w:t>
            </w:r>
          </w:p>
        </w:tc>
        <w:tc>
          <w:tcPr>
            <w:tcW w:w="1320" w:type="dxa"/>
            <w:tcBorders>
              <w:top w:val="single" w:sz="4" w:space="0" w:color="auto"/>
              <w:left w:val="single" w:sz="4" w:space="0" w:color="FFFFFF"/>
              <w:bottom w:val="single" w:sz="4" w:space="0" w:color="auto"/>
              <w:right w:val="single" w:sz="4" w:space="0" w:color="FFFFFF"/>
            </w:tcBorders>
            <w:hideMark/>
          </w:tcPr>
          <w:p w14:paraId="0E719BA1" w14:textId="77777777" w:rsidR="00FA7EBF" w:rsidRDefault="00FA7EBF" w:rsidP="00B33865">
            <w:pPr>
              <w:pStyle w:val="ARtabletextright"/>
              <w:spacing w:before="60" w:after="40"/>
            </w:pPr>
            <w:r>
              <w:t>11.985</w:t>
            </w:r>
          </w:p>
        </w:tc>
        <w:tc>
          <w:tcPr>
            <w:tcW w:w="1320" w:type="dxa"/>
            <w:tcBorders>
              <w:top w:val="single" w:sz="4" w:space="0" w:color="auto"/>
              <w:left w:val="single" w:sz="4" w:space="0" w:color="FFFFFF"/>
              <w:bottom w:val="single" w:sz="4" w:space="0" w:color="auto"/>
              <w:right w:val="single" w:sz="4" w:space="0" w:color="FFFFFF"/>
            </w:tcBorders>
            <w:hideMark/>
          </w:tcPr>
          <w:p w14:paraId="376C1C12" w14:textId="77777777" w:rsidR="00FA7EBF" w:rsidRDefault="00FA7EBF" w:rsidP="00B33865">
            <w:pPr>
              <w:pStyle w:val="ARtabletextright"/>
              <w:spacing w:before="60" w:after="40"/>
            </w:pPr>
            <w:r>
              <w:t>11.985</w:t>
            </w:r>
          </w:p>
        </w:tc>
        <w:tc>
          <w:tcPr>
            <w:tcW w:w="1320" w:type="dxa"/>
            <w:tcBorders>
              <w:top w:val="single" w:sz="4" w:space="0" w:color="auto"/>
              <w:left w:val="single" w:sz="4" w:space="0" w:color="FFFFFF"/>
              <w:bottom w:val="single" w:sz="4" w:space="0" w:color="auto"/>
              <w:right w:val="single" w:sz="4" w:space="0" w:color="FFFFFF"/>
            </w:tcBorders>
            <w:hideMark/>
          </w:tcPr>
          <w:p w14:paraId="497DBB4D" w14:textId="77777777" w:rsidR="00FA7EBF" w:rsidRDefault="00FA7EBF" w:rsidP="00B33865">
            <w:pPr>
              <w:pStyle w:val="ARtabletextright"/>
              <w:spacing w:before="60" w:after="40"/>
            </w:pPr>
            <w:r>
              <w:t>9.958</w:t>
            </w:r>
          </w:p>
        </w:tc>
        <w:tc>
          <w:tcPr>
            <w:tcW w:w="2527" w:type="dxa"/>
            <w:tcBorders>
              <w:top w:val="single" w:sz="4" w:space="0" w:color="auto"/>
              <w:left w:val="single" w:sz="4" w:space="0" w:color="FFFFFF"/>
              <w:bottom w:val="single" w:sz="4" w:space="0" w:color="auto"/>
              <w:right w:val="single" w:sz="4" w:space="0" w:color="FFFFFF"/>
            </w:tcBorders>
            <w:hideMark/>
          </w:tcPr>
          <w:p w14:paraId="77874DDD" w14:textId="77777777" w:rsidR="00FA7EBF" w:rsidRDefault="00FA7EBF" w:rsidP="00B33865">
            <w:pPr>
              <w:pStyle w:val="ARtabletextright"/>
              <w:spacing w:before="60" w:after="40"/>
              <w:ind w:right="227"/>
            </w:pPr>
            <w:r>
              <w:t>(2.027)</w:t>
            </w:r>
          </w:p>
        </w:tc>
        <w:tc>
          <w:tcPr>
            <w:tcW w:w="2527" w:type="dxa"/>
            <w:tcBorders>
              <w:top w:val="single" w:sz="4" w:space="0" w:color="auto"/>
              <w:left w:val="single" w:sz="4" w:space="0" w:color="FFFFFF"/>
              <w:bottom w:val="single" w:sz="4" w:space="0" w:color="auto"/>
              <w:right w:val="single" w:sz="4" w:space="0" w:color="FFFFFF"/>
            </w:tcBorders>
          </w:tcPr>
          <w:p w14:paraId="1CC30FC6" w14:textId="77777777" w:rsidR="00FA7EBF" w:rsidRDefault="00FA7EBF" w:rsidP="00B33865">
            <w:pPr>
              <w:pStyle w:val="ARtabletext"/>
              <w:spacing w:before="60" w:after="40"/>
            </w:pPr>
          </w:p>
        </w:tc>
      </w:tr>
      <w:tr w:rsidR="00FA7EBF" w14:paraId="44A639D0" w14:textId="77777777" w:rsidTr="00862987">
        <w:tc>
          <w:tcPr>
            <w:tcW w:w="2527" w:type="dxa"/>
            <w:tcBorders>
              <w:top w:val="single" w:sz="4" w:space="0" w:color="auto"/>
              <w:left w:val="single" w:sz="4" w:space="0" w:color="FFFFFF"/>
              <w:bottom w:val="single" w:sz="4" w:space="0" w:color="auto"/>
              <w:right w:val="single" w:sz="4" w:space="0" w:color="FFFFFF"/>
            </w:tcBorders>
            <w:hideMark/>
          </w:tcPr>
          <w:p w14:paraId="0C47AC49" w14:textId="77777777" w:rsidR="00FA7EBF" w:rsidRDefault="00FA7EBF" w:rsidP="00B33865">
            <w:pPr>
              <w:pStyle w:val="ARtabletext"/>
              <w:spacing w:before="60" w:after="40"/>
            </w:pPr>
            <w:r>
              <w:t>Maroondah Breast Cancer Centre (East Ringwood)</w:t>
            </w:r>
          </w:p>
        </w:tc>
        <w:tc>
          <w:tcPr>
            <w:tcW w:w="1321" w:type="dxa"/>
            <w:tcBorders>
              <w:top w:val="single" w:sz="4" w:space="0" w:color="auto"/>
              <w:left w:val="single" w:sz="4" w:space="0" w:color="FFFFFF"/>
              <w:bottom w:val="single" w:sz="4" w:space="0" w:color="auto"/>
              <w:right w:val="single" w:sz="4" w:space="0" w:color="FFFFFF"/>
            </w:tcBorders>
            <w:hideMark/>
          </w:tcPr>
          <w:p w14:paraId="34A91429" w14:textId="77777777" w:rsidR="00FA7EBF" w:rsidRDefault="00FA7EBF" w:rsidP="00B33865">
            <w:pPr>
              <w:pStyle w:val="ARtabletext"/>
              <w:spacing w:before="60" w:after="40"/>
            </w:pPr>
            <w:r>
              <w:t>May-18</w:t>
            </w:r>
          </w:p>
        </w:tc>
        <w:tc>
          <w:tcPr>
            <w:tcW w:w="1148" w:type="dxa"/>
            <w:tcBorders>
              <w:top w:val="single" w:sz="4" w:space="0" w:color="auto"/>
              <w:left w:val="single" w:sz="4" w:space="0" w:color="FFFFFF"/>
              <w:bottom w:val="single" w:sz="4" w:space="0" w:color="auto"/>
              <w:right w:val="single" w:sz="4" w:space="0" w:color="FFFFFF"/>
            </w:tcBorders>
            <w:hideMark/>
          </w:tcPr>
          <w:p w14:paraId="557736BC" w14:textId="77777777" w:rsidR="00FA7EBF" w:rsidRDefault="00FA7EBF" w:rsidP="00B33865">
            <w:pPr>
              <w:pStyle w:val="ARtabletext"/>
              <w:spacing w:before="60" w:after="40"/>
            </w:pPr>
            <w:r>
              <w:t>May-19</w:t>
            </w:r>
          </w:p>
        </w:tc>
        <w:tc>
          <w:tcPr>
            <w:tcW w:w="1320" w:type="dxa"/>
            <w:tcBorders>
              <w:top w:val="single" w:sz="4" w:space="0" w:color="auto"/>
              <w:left w:val="single" w:sz="4" w:space="0" w:color="FFFFFF"/>
              <w:bottom w:val="single" w:sz="4" w:space="0" w:color="auto"/>
              <w:right w:val="single" w:sz="4" w:space="0" w:color="FFFFFF"/>
            </w:tcBorders>
            <w:hideMark/>
          </w:tcPr>
          <w:p w14:paraId="597BB0AF" w14:textId="77777777" w:rsidR="00FA7EBF" w:rsidRDefault="00FA7EBF" w:rsidP="00B33865">
            <w:pPr>
              <w:pStyle w:val="ARtabletextright"/>
              <w:spacing w:before="60" w:after="40"/>
            </w:pPr>
            <w:r>
              <w:t>10.000</w:t>
            </w:r>
          </w:p>
        </w:tc>
        <w:tc>
          <w:tcPr>
            <w:tcW w:w="1320" w:type="dxa"/>
            <w:tcBorders>
              <w:top w:val="single" w:sz="4" w:space="0" w:color="auto"/>
              <w:left w:val="single" w:sz="4" w:space="0" w:color="FFFFFF"/>
              <w:bottom w:val="single" w:sz="4" w:space="0" w:color="auto"/>
              <w:right w:val="single" w:sz="4" w:space="0" w:color="FFFFFF"/>
            </w:tcBorders>
            <w:hideMark/>
          </w:tcPr>
          <w:p w14:paraId="79361EC2" w14:textId="77777777" w:rsidR="00FA7EBF" w:rsidRDefault="00FA7EBF" w:rsidP="00B33865">
            <w:pPr>
              <w:pStyle w:val="ARtabletextright"/>
              <w:spacing w:before="60" w:after="40"/>
            </w:pPr>
            <w:r>
              <w:t>9.687</w:t>
            </w:r>
          </w:p>
        </w:tc>
        <w:tc>
          <w:tcPr>
            <w:tcW w:w="1320" w:type="dxa"/>
            <w:tcBorders>
              <w:top w:val="single" w:sz="4" w:space="0" w:color="auto"/>
              <w:left w:val="single" w:sz="4" w:space="0" w:color="FFFFFF"/>
              <w:bottom w:val="single" w:sz="4" w:space="0" w:color="auto"/>
              <w:right w:val="single" w:sz="4" w:space="0" w:color="FFFFFF"/>
            </w:tcBorders>
            <w:hideMark/>
          </w:tcPr>
          <w:p w14:paraId="2C46FBFA" w14:textId="77777777" w:rsidR="00FA7EBF" w:rsidRDefault="00FA7EBF" w:rsidP="00B33865">
            <w:pPr>
              <w:pStyle w:val="ARtabletextright"/>
              <w:spacing w:before="60" w:after="40"/>
            </w:pPr>
            <w:r>
              <w:t>9.173</w:t>
            </w:r>
          </w:p>
        </w:tc>
        <w:tc>
          <w:tcPr>
            <w:tcW w:w="2527" w:type="dxa"/>
            <w:tcBorders>
              <w:top w:val="single" w:sz="4" w:space="0" w:color="auto"/>
              <w:left w:val="single" w:sz="4" w:space="0" w:color="FFFFFF"/>
              <w:bottom w:val="single" w:sz="4" w:space="0" w:color="auto"/>
              <w:right w:val="single" w:sz="4" w:space="0" w:color="FFFFFF"/>
            </w:tcBorders>
            <w:hideMark/>
          </w:tcPr>
          <w:p w14:paraId="3A3D7745" w14:textId="77777777" w:rsidR="00FA7EBF" w:rsidRDefault="00FA7EBF" w:rsidP="00B33865">
            <w:pPr>
              <w:pStyle w:val="ARtabletextright"/>
              <w:spacing w:before="60" w:after="40"/>
              <w:ind w:right="227"/>
            </w:pPr>
            <w:r>
              <w:t>(0.514)</w:t>
            </w:r>
          </w:p>
        </w:tc>
        <w:tc>
          <w:tcPr>
            <w:tcW w:w="2527" w:type="dxa"/>
            <w:tcBorders>
              <w:top w:val="single" w:sz="4" w:space="0" w:color="auto"/>
              <w:left w:val="single" w:sz="4" w:space="0" w:color="FFFFFF"/>
              <w:bottom w:val="single" w:sz="4" w:space="0" w:color="auto"/>
              <w:right w:val="single" w:sz="4" w:space="0" w:color="FFFFFF"/>
            </w:tcBorders>
            <w:hideMark/>
          </w:tcPr>
          <w:p w14:paraId="6315568D" w14:textId="77777777" w:rsidR="00FA7EBF" w:rsidRDefault="00FA7EBF" w:rsidP="00B33865">
            <w:pPr>
              <w:pStyle w:val="ARtabletext"/>
              <w:spacing w:before="60" w:after="40"/>
            </w:pPr>
            <w:r>
              <w:t>TEI lower than 2018–19 published budget papers to reflect actual project expenditure.</w:t>
            </w:r>
          </w:p>
        </w:tc>
      </w:tr>
      <w:tr w:rsidR="00FA7EBF" w14:paraId="255CD5D1" w14:textId="77777777" w:rsidTr="00862987">
        <w:tc>
          <w:tcPr>
            <w:tcW w:w="2527" w:type="dxa"/>
            <w:tcBorders>
              <w:top w:val="single" w:sz="4" w:space="0" w:color="auto"/>
              <w:left w:val="single" w:sz="4" w:space="0" w:color="FFFFFF"/>
              <w:bottom w:val="single" w:sz="4" w:space="0" w:color="auto"/>
              <w:right w:val="single" w:sz="4" w:space="0" w:color="FFFFFF"/>
            </w:tcBorders>
            <w:hideMark/>
          </w:tcPr>
          <w:p w14:paraId="3804AB31" w14:textId="77777777" w:rsidR="00FA7EBF" w:rsidRDefault="00FA7EBF" w:rsidP="00B33865">
            <w:pPr>
              <w:pStyle w:val="ARtabletext"/>
              <w:spacing w:before="60" w:after="40"/>
            </w:pPr>
            <w:r>
              <w:t>Moorabbin Hospital Imaging and Outpatients expansion</w:t>
            </w:r>
          </w:p>
        </w:tc>
        <w:tc>
          <w:tcPr>
            <w:tcW w:w="1321" w:type="dxa"/>
            <w:tcBorders>
              <w:top w:val="single" w:sz="4" w:space="0" w:color="auto"/>
              <w:left w:val="single" w:sz="4" w:space="0" w:color="FFFFFF"/>
              <w:bottom w:val="single" w:sz="4" w:space="0" w:color="auto"/>
              <w:right w:val="single" w:sz="4" w:space="0" w:color="FFFFFF"/>
            </w:tcBorders>
            <w:hideMark/>
          </w:tcPr>
          <w:p w14:paraId="26284D58" w14:textId="77777777" w:rsidR="00FA7EBF" w:rsidRDefault="00FA7EBF" w:rsidP="00B33865">
            <w:pPr>
              <w:pStyle w:val="ARtabletext"/>
              <w:spacing w:before="60" w:after="40"/>
            </w:pPr>
            <w:r>
              <w:t>Nov-17</w:t>
            </w:r>
          </w:p>
        </w:tc>
        <w:tc>
          <w:tcPr>
            <w:tcW w:w="1148" w:type="dxa"/>
            <w:tcBorders>
              <w:top w:val="single" w:sz="4" w:space="0" w:color="auto"/>
              <w:left w:val="single" w:sz="4" w:space="0" w:color="FFFFFF"/>
              <w:bottom w:val="single" w:sz="4" w:space="0" w:color="auto"/>
              <w:right w:val="single" w:sz="4" w:space="0" w:color="FFFFFF"/>
            </w:tcBorders>
            <w:hideMark/>
          </w:tcPr>
          <w:p w14:paraId="732BFAF0" w14:textId="77777777" w:rsidR="00FA7EBF" w:rsidRDefault="00FA7EBF" w:rsidP="00B33865">
            <w:pPr>
              <w:pStyle w:val="ARtabletext"/>
              <w:spacing w:before="60" w:after="40"/>
            </w:pPr>
            <w:r>
              <w:t>Nov-18</w:t>
            </w:r>
          </w:p>
        </w:tc>
        <w:tc>
          <w:tcPr>
            <w:tcW w:w="1320" w:type="dxa"/>
            <w:tcBorders>
              <w:top w:val="single" w:sz="4" w:space="0" w:color="auto"/>
              <w:left w:val="single" w:sz="4" w:space="0" w:color="FFFFFF"/>
              <w:bottom w:val="single" w:sz="4" w:space="0" w:color="auto"/>
              <w:right w:val="single" w:sz="4" w:space="0" w:color="FFFFFF"/>
            </w:tcBorders>
            <w:hideMark/>
          </w:tcPr>
          <w:p w14:paraId="7946BE72" w14:textId="77777777" w:rsidR="00FA7EBF" w:rsidRDefault="00FA7EBF" w:rsidP="00B33865">
            <w:pPr>
              <w:pStyle w:val="ARtabletextright"/>
              <w:spacing w:before="60" w:after="40"/>
            </w:pPr>
            <w:r>
              <w:t>16.150</w:t>
            </w:r>
          </w:p>
        </w:tc>
        <w:tc>
          <w:tcPr>
            <w:tcW w:w="1320" w:type="dxa"/>
            <w:tcBorders>
              <w:top w:val="single" w:sz="4" w:space="0" w:color="auto"/>
              <w:left w:val="single" w:sz="4" w:space="0" w:color="FFFFFF"/>
              <w:bottom w:val="single" w:sz="4" w:space="0" w:color="auto"/>
              <w:right w:val="single" w:sz="4" w:space="0" w:color="FFFFFF"/>
            </w:tcBorders>
            <w:hideMark/>
          </w:tcPr>
          <w:p w14:paraId="2A0525F5" w14:textId="77777777" w:rsidR="00FA7EBF" w:rsidRDefault="00FA7EBF" w:rsidP="00B33865">
            <w:pPr>
              <w:pStyle w:val="ARtabletextright"/>
              <w:spacing w:before="60" w:after="40"/>
            </w:pPr>
            <w:r>
              <w:t>16.150</w:t>
            </w:r>
          </w:p>
        </w:tc>
        <w:tc>
          <w:tcPr>
            <w:tcW w:w="1320" w:type="dxa"/>
            <w:tcBorders>
              <w:top w:val="single" w:sz="4" w:space="0" w:color="auto"/>
              <w:left w:val="single" w:sz="4" w:space="0" w:color="FFFFFF"/>
              <w:bottom w:val="single" w:sz="4" w:space="0" w:color="auto"/>
              <w:right w:val="single" w:sz="4" w:space="0" w:color="FFFFFF"/>
            </w:tcBorders>
            <w:hideMark/>
          </w:tcPr>
          <w:p w14:paraId="228DFC4D" w14:textId="77777777" w:rsidR="00FA7EBF" w:rsidRDefault="00FA7EBF" w:rsidP="00B33865">
            <w:pPr>
              <w:pStyle w:val="ARtabletextright"/>
              <w:spacing w:before="60" w:after="40"/>
            </w:pPr>
            <w:r>
              <w:t>14.492</w:t>
            </w:r>
          </w:p>
        </w:tc>
        <w:tc>
          <w:tcPr>
            <w:tcW w:w="2527" w:type="dxa"/>
            <w:tcBorders>
              <w:top w:val="single" w:sz="4" w:space="0" w:color="auto"/>
              <w:left w:val="single" w:sz="4" w:space="0" w:color="FFFFFF"/>
              <w:bottom w:val="single" w:sz="4" w:space="0" w:color="auto"/>
              <w:right w:val="single" w:sz="4" w:space="0" w:color="FFFFFF"/>
            </w:tcBorders>
            <w:hideMark/>
          </w:tcPr>
          <w:p w14:paraId="3C14D6B6" w14:textId="77777777" w:rsidR="00FA7EBF" w:rsidRDefault="00FA7EBF" w:rsidP="00B33865">
            <w:pPr>
              <w:pStyle w:val="ARtabletextright"/>
              <w:spacing w:before="60" w:after="40"/>
              <w:ind w:right="227"/>
            </w:pPr>
            <w:r>
              <w:t>(1.658)</w:t>
            </w:r>
          </w:p>
        </w:tc>
        <w:tc>
          <w:tcPr>
            <w:tcW w:w="2527" w:type="dxa"/>
            <w:tcBorders>
              <w:top w:val="single" w:sz="4" w:space="0" w:color="auto"/>
              <w:left w:val="single" w:sz="4" w:space="0" w:color="FFFFFF"/>
              <w:bottom w:val="single" w:sz="4" w:space="0" w:color="auto"/>
              <w:right w:val="single" w:sz="4" w:space="0" w:color="FFFFFF"/>
            </w:tcBorders>
            <w:hideMark/>
          </w:tcPr>
          <w:p w14:paraId="067DDB90" w14:textId="77777777" w:rsidR="00FA7EBF" w:rsidRDefault="00FA7EBF" w:rsidP="00B33865">
            <w:pPr>
              <w:pStyle w:val="ARtabletext"/>
              <w:spacing w:before="60" w:after="40"/>
            </w:pPr>
            <w:r>
              <w:t xml:space="preserve"> </w:t>
            </w:r>
          </w:p>
        </w:tc>
      </w:tr>
      <w:tr w:rsidR="00FA7EBF" w14:paraId="134171DF" w14:textId="77777777" w:rsidTr="00862987">
        <w:tc>
          <w:tcPr>
            <w:tcW w:w="2527" w:type="dxa"/>
            <w:tcBorders>
              <w:top w:val="single" w:sz="4" w:space="0" w:color="auto"/>
              <w:left w:val="single" w:sz="4" w:space="0" w:color="FFFFFF"/>
              <w:bottom w:val="single" w:sz="4" w:space="0" w:color="auto"/>
              <w:right w:val="single" w:sz="4" w:space="0" w:color="FFFFFF"/>
            </w:tcBorders>
            <w:hideMark/>
          </w:tcPr>
          <w:p w14:paraId="758376BC" w14:textId="77777777" w:rsidR="00FA7EBF" w:rsidRDefault="00FA7EBF" w:rsidP="00B33865">
            <w:pPr>
              <w:pStyle w:val="ARtabletext"/>
              <w:spacing w:before="60" w:after="40"/>
            </w:pPr>
            <w:r>
              <w:t>Monash Children’s Hospital (ELMHS)</w:t>
            </w:r>
          </w:p>
        </w:tc>
        <w:tc>
          <w:tcPr>
            <w:tcW w:w="1321" w:type="dxa"/>
            <w:tcBorders>
              <w:top w:val="single" w:sz="4" w:space="0" w:color="auto"/>
              <w:left w:val="single" w:sz="4" w:space="0" w:color="FFFFFF"/>
              <w:bottom w:val="single" w:sz="4" w:space="0" w:color="auto"/>
              <w:right w:val="single" w:sz="4" w:space="0" w:color="FFFFFF"/>
            </w:tcBorders>
            <w:hideMark/>
          </w:tcPr>
          <w:p w14:paraId="4F6EF2E5" w14:textId="77777777" w:rsidR="00FA7EBF" w:rsidRDefault="00FA7EBF" w:rsidP="00B33865">
            <w:pPr>
              <w:pStyle w:val="ARtabletext"/>
              <w:spacing w:before="60" w:after="40"/>
            </w:pPr>
            <w:r>
              <w:t>Dec-17</w:t>
            </w:r>
          </w:p>
        </w:tc>
        <w:tc>
          <w:tcPr>
            <w:tcW w:w="1148" w:type="dxa"/>
            <w:tcBorders>
              <w:top w:val="single" w:sz="4" w:space="0" w:color="auto"/>
              <w:left w:val="single" w:sz="4" w:space="0" w:color="FFFFFF"/>
              <w:bottom w:val="single" w:sz="4" w:space="0" w:color="auto"/>
              <w:right w:val="single" w:sz="4" w:space="0" w:color="FFFFFF"/>
            </w:tcBorders>
            <w:hideMark/>
          </w:tcPr>
          <w:p w14:paraId="6E692AE8" w14:textId="77777777" w:rsidR="00FA7EBF" w:rsidRDefault="00FA7EBF" w:rsidP="00B33865">
            <w:pPr>
              <w:pStyle w:val="ARtabletext"/>
              <w:spacing w:before="60" w:after="40"/>
            </w:pPr>
            <w:r>
              <w:t>Dec-18</w:t>
            </w:r>
          </w:p>
        </w:tc>
        <w:tc>
          <w:tcPr>
            <w:tcW w:w="1320" w:type="dxa"/>
            <w:tcBorders>
              <w:top w:val="single" w:sz="4" w:space="0" w:color="auto"/>
              <w:left w:val="single" w:sz="4" w:space="0" w:color="FFFFFF"/>
              <w:bottom w:val="single" w:sz="4" w:space="0" w:color="auto"/>
              <w:right w:val="single" w:sz="4" w:space="0" w:color="FFFFFF"/>
            </w:tcBorders>
            <w:hideMark/>
          </w:tcPr>
          <w:p w14:paraId="539FFFD0" w14:textId="77777777" w:rsidR="00FA7EBF" w:rsidRDefault="00FA7EBF" w:rsidP="00B33865">
            <w:pPr>
              <w:pStyle w:val="ARtabletextright"/>
              <w:spacing w:before="60" w:after="40"/>
            </w:pPr>
            <w:r>
              <w:t>271.860</w:t>
            </w:r>
          </w:p>
        </w:tc>
        <w:tc>
          <w:tcPr>
            <w:tcW w:w="1320" w:type="dxa"/>
            <w:tcBorders>
              <w:top w:val="single" w:sz="4" w:space="0" w:color="auto"/>
              <w:left w:val="single" w:sz="4" w:space="0" w:color="FFFFFF"/>
              <w:bottom w:val="single" w:sz="4" w:space="0" w:color="auto"/>
              <w:right w:val="single" w:sz="4" w:space="0" w:color="FFFFFF"/>
            </w:tcBorders>
            <w:hideMark/>
          </w:tcPr>
          <w:p w14:paraId="3C25C061" w14:textId="77777777" w:rsidR="00FA7EBF" w:rsidRDefault="00FA7EBF" w:rsidP="00B33865">
            <w:pPr>
              <w:pStyle w:val="ARtabletextright"/>
              <w:spacing w:before="60" w:after="40"/>
            </w:pPr>
            <w:r>
              <w:t>271.860</w:t>
            </w:r>
          </w:p>
        </w:tc>
        <w:tc>
          <w:tcPr>
            <w:tcW w:w="1320" w:type="dxa"/>
            <w:tcBorders>
              <w:top w:val="single" w:sz="4" w:space="0" w:color="auto"/>
              <w:left w:val="single" w:sz="4" w:space="0" w:color="FFFFFF"/>
              <w:bottom w:val="single" w:sz="4" w:space="0" w:color="auto"/>
              <w:right w:val="single" w:sz="4" w:space="0" w:color="FFFFFF"/>
            </w:tcBorders>
            <w:hideMark/>
          </w:tcPr>
          <w:p w14:paraId="0F521FB5" w14:textId="77777777" w:rsidR="00FA7EBF" w:rsidRDefault="00FA7EBF" w:rsidP="00B33865">
            <w:pPr>
              <w:pStyle w:val="ARtabletextright"/>
              <w:spacing w:before="60" w:after="40"/>
            </w:pPr>
            <w:r>
              <w:t>271.268</w:t>
            </w:r>
          </w:p>
        </w:tc>
        <w:tc>
          <w:tcPr>
            <w:tcW w:w="2527" w:type="dxa"/>
            <w:tcBorders>
              <w:top w:val="single" w:sz="4" w:space="0" w:color="auto"/>
              <w:left w:val="single" w:sz="4" w:space="0" w:color="FFFFFF"/>
              <w:bottom w:val="single" w:sz="4" w:space="0" w:color="auto"/>
              <w:right w:val="single" w:sz="4" w:space="0" w:color="FFFFFF"/>
            </w:tcBorders>
            <w:hideMark/>
          </w:tcPr>
          <w:p w14:paraId="5C972DC1" w14:textId="77777777" w:rsidR="00FA7EBF" w:rsidRDefault="00FA7EBF" w:rsidP="00B33865">
            <w:pPr>
              <w:pStyle w:val="ARtabletextright"/>
              <w:spacing w:before="60" w:after="40"/>
              <w:ind w:right="227"/>
            </w:pPr>
            <w:r>
              <w:t>(0.592)</w:t>
            </w:r>
          </w:p>
        </w:tc>
        <w:tc>
          <w:tcPr>
            <w:tcW w:w="2527" w:type="dxa"/>
            <w:tcBorders>
              <w:top w:val="single" w:sz="4" w:space="0" w:color="auto"/>
              <w:left w:val="single" w:sz="4" w:space="0" w:color="FFFFFF"/>
              <w:bottom w:val="single" w:sz="4" w:space="0" w:color="auto"/>
              <w:right w:val="single" w:sz="4" w:space="0" w:color="FFFFFF"/>
            </w:tcBorders>
            <w:hideMark/>
          </w:tcPr>
          <w:p w14:paraId="2EC33E80" w14:textId="77777777" w:rsidR="00FA7EBF" w:rsidRDefault="00FA7EBF" w:rsidP="00B33865">
            <w:pPr>
              <w:pStyle w:val="ARtabletext"/>
              <w:spacing w:before="60" w:after="40"/>
            </w:pPr>
            <w:r>
              <w:t>See note below for Monash Children’s Hospital</w:t>
            </w:r>
          </w:p>
        </w:tc>
      </w:tr>
      <w:tr w:rsidR="00FA7EBF" w14:paraId="2B38BE06" w14:textId="77777777" w:rsidTr="00862987">
        <w:tc>
          <w:tcPr>
            <w:tcW w:w="2527" w:type="dxa"/>
            <w:tcBorders>
              <w:top w:val="single" w:sz="4" w:space="0" w:color="auto"/>
              <w:left w:val="single" w:sz="4" w:space="0" w:color="FFFFFF"/>
              <w:bottom w:val="single" w:sz="4" w:space="0" w:color="auto"/>
              <w:right w:val="single" w:sz="4" w:space="0" w:color="FFFFFF"/>
            </w:tcBorders>
            <w:hideMark/>
          </w:tcPr>
          <w:p w14:paraId="50BA226C" w14:textId="77777777" w:rsidR="00FA7EBF" w:rsidRDefault="00FA7EBF" w:rsidP="00B33865">
            <w:pPr>
              <w:pStyle w:val="ARtabletext"/>
              <w:spacing w:before="60" w:after="40"/>
            </w:pPr>
            <w:r>
              <w:t>Werribee Mercy Hospital Mental Health expansion</w:t>
            </w:r>
          </w:p>
        </w:tc>
        <w:tc>
          <w:tcPr>
            <w:tcW w:w="1321" w:type="dxa"/>
            <w:tcBorders>
              <w:top w:val="single" w:sz="4" w:space="0" w:color="auto"/>
              <w:left w:val="single" w:sz="4" w:space="0" w:color="FFFFFF"/>
              <w:bottom w:val="single" w:sz="4" w:space="0" w:color="auto"/>
              <w:right w:val="single" w:sz="4" w:space="0" w:color="FFFFFF"/>
            </w:tcBorders>
            <w:hideMark/>
          </w:tcPr>
          <w:p w14:paraId="0FC75BBC" w14:textId="77777777" w:rsidR="00FA7EBF" w:rsidRDefault="00FA7EBF" w:rsidP="00B33865">
            <w:pPr>
              <w:pStyle w:val="ARtabletext"/>
              <w:spacing w:before="60" w:after="40"/>
            </w:pPr>
            <w:r>
              <w:t>Oct-17</w:t>
            </w:r>
          </w:p>
        </w:tc>
        <w:tc>
          <w:tcPr>
            <w:tcW w:w="1148" w:type="dxa"/>
            <w:tcBorders>
              <w:top w:val="single" w:sz="4" w:space="0" w:color="auto"/>
              <w:left w:val="single" w:sz="4" w:space="0" w:color="FFFFFF"/>
              <w:bottom w:val="single" w:sz="4" w:space="0" w:color="auto"/>
              <w:right w:val="single" w:sz="4" w:space="0" w:color="FFFFFF"/>
            </w:tcBorders>
            <w:hideMark/>
          </w:tcPr>
          <w:p w14:paraId="6E16EE3F" w14:textId="77777777" w:rsidR="00FA7EBF" w:rsidRDefault="00FA7EBF" w:rsidP="00B33865">
            <w:pPr>
              <w:pStyle w:val="ARtabletext"/>
              <w:spacing w:before="60" w:after="40"/>
            </w:pPr>
            <w:r>
              <w:t>Oct-18</w:t>
            </w:r>
          </w:p>
        </w:tc>
        <w:tc>
          <w:tcPr>
            <w:tcW w:w="1320" w:type="dxa"/>
            <w:tcBorders>
              <w:top w:val="single" w:sz="4" w:space="0" w:color="auto"/>
              <w:left w:val="single" w:sz="4" w:space="0" w:color="FFFFFF"/>
              <w:bottom w:val="single" w:sz="4" w:space="0" w:color="auto"/>
              <w:right w:val="single" w:sz="4" w:space="0" w:color="FFFFFF"/>
            </w:tcBorders>
            <w:hideMark/>
          </w:tcPr>
          <w:p w14:paraId="00BED483" w14:textId="77777777" w:rsidR="00FA7EBF" w:rsidRDefault="00FA7EBF" w:rsidP="00B33865">
            <w:pPr>
              <w:pStyle w:val="ARtabletextright"/>
              <w:spacing w:before="60" w:after="40"/>
            </w:pPr>
            <w:r>
              <w:t>34.700</w:t>
            </w:r>
          </w:p>
        </w:tc>
        <w:tc>
          <w:tcPr>
            <w:tcW w:w="1320" w:type="dxa"/>
            <w:tcBorders>
              <w:top w:val="single" w:sz="4" w:space="0" w:color="auto"/>
              <w:left w:val="single" w:sz="4" w:space="0" w:color="FFFFFF"/>
              <w:bottom w:val="single" w:sz="4" w:space="0" w:color="auto"/>
              <w:right w:val="single" w:sz="4" w:space="0" w:color="FFFFFF"/>
            </w:tcBorders>
            <w:hideMark/>
          </w:tcPr>
          <w:p w14:paraId="33EB4F2D" w14:textId="77777777" w:rsidR="00FA7EBF" w:rsidRDefault="00FA7EBF" w:rsidP="00B33865">
            <w:pPr>
              <w:pStyle w:val="ARtabletextright"/>
              <w:spacing w:before="60" w:after="40"/>
            </w:pPr>
            <w:r>
              <w:t>34.700</w:t>
            </w:r>
          </w:p>
        </w:tc>
        <w:tc>
          <w:tcPr>
            <w:tcW w:w="1320" w:type="dxa"/>
            <w:tcBorders>
              <w:top w:val="single" w:sz="4" w:space="0" w:color="auto"/>
              <w:left w:val="single" w:sz="4" w:space="0" w:color="FFFFFF"/>
              <w:bottom w:val="single" w:sz="4" w:space="0" w:color="auto"/>
              <w:right w:val="single" w:sz="4" w:space="0" w:color="FFFFFF"/>
            </w:tcBorders>
            <w:hideMark/>
          </w:tcPr>
          <w:p w14:paraId="654943EB" w14:textId="77777777" w:rsidR="00FA7EBF" w:rsidRDefault="00FA7EBF" w:rsidP="00B33865">
            <w:pPr>
              <w:pStyle w:val="ARtabletextright"/>
              <w:spacing w:before="60" w:after="40"/>
            </w:pPr>
            <w:r>
              <w:t>34.463</w:t>
            </w:r>
          </w:p>
        </w:tc>
        <w:tc>
          <w:tcPr>
            <w:tcW w:w="2527" w:type="dxa"/>
            <w:tcBorders>
              <w:top w:val="single" w:sz="4" w:space="0" w:color="auto"/>
              <w:left w:val="single" w:sz="4" w:space="0" w:color="FFFFFF"/>
              <w:bottom w:val="single" w:sz="4" w:space="0" w:color="auto"/>
              <w:right w:val="single" w:sz="4" w:space="0" w:color="FFFFFF"/>
            </w:tcBorders>
            <w:hideMark/>
          </w:tcPr>
          <w:p w14:paraId="46BF7A28" w14:textId="77777777" w:rsidR="00FA7EBF" w:rsidRDefault="00FA7EBF" w:rsidP="00B33865">
            <w:pPr>
              <w:pStyle w:val="ARtabletextright"/>
              <w:spacing w:before="60" w:after="40"/>
              <w:ind w:right="227"/>
            </w:pPr>
            <w:r>
              <w:t>(0.237)</w:t>
            </w:r>
          </w:p>
        </w:tc>
        <w:tc>
          <w:tcPr>
            <w:tcW w:w="2527" w:type="dxa"/>
            <w:tcBorders>
              <w:top w:val="single" w:sz="4" w:space="0" w:color="auto"/>
              <w:left w:val="single" w:sz="4" w:space="0" w:color="FFFFFF"/>
              <w:bottom w:val="single" w:sz="4" w:space="0" w:color="auto"/>
              <w:right w:val="single" w:sz="4" w:space="0" w:color="FFFFFF"/>
            </w:tcBorders>
          </w:tcPr>
          <w:p w14:paraId="3ABE225B" w14:textId="77777777" w:rsidR="00FA7EBF" w:rsidRDefault="00FA7EBF" w:rsidP="00B33865">
            <w:pPr>
              <w:pStyle w:val="ARtabletext"/>
              <w:spacing w:before="60" w:after="40"/>
            </w:pPr>
          </w:p>
        </w:tc>
      </w:tr>
      <w:tr w:rsidR="00FA7EBF" w14:paraId="25CCA525" w14:textId="77777777" w:rsidTr="00862987">
        <w:tc>
          <w:tcPr>
            <w:tcW w:w="2527" w:type="dxa"/>
            <w:tcBorders>
              <w:top w:val="single" w:sz="4" w:space="0" w:color="auto"/>
              <w:left w:val="single" w:sz="4" w:space="0" w:color="FFFFFF"/>
              <w:bottom w:val="single" w:sz="4" w:space="0" w:color="auto"/>
              <w:right w:val="single" w:sz="4" w:space="0" w:color="FFFFFF"/>
            </w:tcBorders>
            <w:hideMark/>
          </w:tcPr>
          <w:p w14:paraId="3ADEB22A" w14:textId="77777777" w:rsidR="00FA7EBF" w:rsidRDefault="00FA7EBF" w:rsidP="00B33865">
            <w:pPr>
              <w:pStyle w:val="ARtabletext"/>
              <w:spacing w:before="60" w:after="40"/>
            </w:pPr>
            <w:r>
              <w:t>Long-term housing</w:t>
            </w:r>
          </w:p>
        </w:tc>
        <w:tc>
          <w:tcPr>
            <w:tcW w:w="1321" w:type="dxa"/>
            <w:tcBorders>
              <w:top w:val="single" w:sz="4" w:space="0" w:color="auto"/>
              <w:left w:val="single" w:sz="4" w:space="0" w:color="FFFFFF"/>
              <w:bottom w:val="single" w:sz="4" w:space="0" w:color="auto"/>
              <w:right w:val="single" w:sz="4" w:space="0" w:color="FFFFFF"/>
            </w:tcBorders>
            <w:hideMark/>
          </w:tcPr>
          <w:p w14:paraId="0C65C1C3" w14:textId="77777777" w:rsidR="00FA7EBF" w:rsidRDefault="00FA7EBF" w:rsidP="00B33865">
            <w:pPr>
              <w:pStyle w:val="ARtabletext"/>
              <w:spacing w:before="60" w:after="40"/>
            </w:pPr>
            <w:r>
              <w:t>Jun-18</w:t>
            </w:r>
          </w:p>
        </w:tc>
        <w:tc>
          <w:tcPr>
            <w:tcW w:w="1148" w:type="dxa"/>
            <w:tcBorders>
              <w:top w:val="single" w:sz="4" w:space="0" w:color="auto"/>
              <w:left w:val="single" w:sz="4" w:space="0" w:color="FFFFFF"/>
              <w:bottom w:val="single" w:sz="4" w:space="0" w:color="auto"/>
              <w:right w:val="single" w:sz="4" w:space="0" w:color="FFFFFF"/>
            </w:tcBorders>
            <w:hideMark/>
          </w:tcPr>
          <w:p w14:paraId="36C71AC6" w14:textId="77777777" w:rsidR="00FA7EBF" w:rsidRDefault="00FA7EBF" w:rsidP="00B33865">
            <w:pPr>
              <w:pStyle w:val="ARtabletext"/>
              <w:spacing w:before="60" w:after="40"/>
            </w:pPr>
            <w:r>
              <w:t>Jun-19</w:t>
            </w:r>
          </w:p>
        </w:tc>
        <w:tc>
          <w:tcPr>
            <w:tcW w:w="1320" w:type="dxa"/>
            <w:tcBorders>
              <w:top w:val="single" w:sz="4" w:space="0" w:color="auto"/>
              <w:left w:val="single" w:sz="4" w:space="0" w:color="FFFFFF"/>
              <w:bottom w:val="single" w:sz="4" w:space="0" w:color="auto"/>
              <w:right w:val="single" w:sz="4" w:space="0" w:color="FFFFFF"/>
            </w:tcBorders>
            <w:hideMark/>
          </w:tcPr>
          <w:p w14:paraId="0F5AFBF8" w14:textId="77777777" w:rsidR="00FA7EBF" w:rsidRDefault="00FA7EBF" w:rsidP="00B33865">
            <w:pPr>
              <w:pStyle w:val="ARtabletextright"/>
              <w:spacing w:before="60" w:after="40"/>
            </w:pPr>
            <w:r>
              <w:t>48.000</w:t>
            </w:r>
          </w:p>
        </w:tc>
        <w:tc>
          <w:tcPr>
            <w:tcW w:w="1320" w:type="dxa"/>
            <w:tcBorders>
              <w:top w:val="single" w:sz="4" w:space="0" w:color="auto"/>
              <w:left w:val="single" w:sz="4" w:space="0" w:color="FFFFFF"/>
              <w:bottom w:val="single" w:sz="4" w:space="0" w:color="auto"/>
              <w:right w:val="single" w:sz="4" w:space="0" w:color="FFFFFF"/>
            </w:tcBorders>
            <w:hideMark/>
          </w:tcPr>
          <w:p w14:paraId="30810AFF" w14:textId="77777777" w:rsidR="00FA7EBF" w:rsidRDefault="00FA7EBF" w:rsidP="00B33865">
            <w:pPr>
              <w:pStyle w:val="ARtabletextright"/>
              <w:spacing w:before="60" w:after="40"/>
            </w:pPr>
            <w:r>
              <w:t>48.000</w:t>
            </w:r>
          </w:p>
        </w:tc>
        <w:tc>
          <w:tcPr>
            <w:tcW w:w="1320" w:type="dxa"/>
            <w:tcBorders>
              <w:top w:val="single" w:sz="4" w:space="0" w:color="auto"/>
              <w:left w:val="single" w:sz="4" w:space="0" w:color="FFFFFF"/>
              <w:bottom w:val="single" w:sz="4" w:space="0" w:color="auto"/>
              <w:right w:val="single" w:sz="4" w:space="0" w:color="FFFFFF"/>
            </w:tcBorders>
            <w:hideMark/>
          </w:tcPr>
          <w:p w14:paraId="618FB16D" w14:textId="77777777" w:rsidR="00FA7EBF" w:rsidRDefault="00FA7EBF" w:rsidP="00B33865">
            <w:pPr>
              <w:pStyle w:val="ARtabletextright"/>
              <w:spacing w:before="60" w:after="40"/>
            </w:pPr>
            <w:r>
              <w:t>47.945</w:t>
            </w:r>
          </w:p>
        </w:tc>
        <w:tc>
          <w:tcPr>
            <w:tcW w:w="2527" w:type="dxa"/>
            <w:tcBorders>
              <w:top w:val="single" w:sz="4" w:space="0" w:color="auto"/>
              <w:left w:val="single" w:sz="4" w:space="0" w:color="FFFFFF"/>
              <w:bottom w:val="single" w:sz="4" w:space="0" w:color="auto"/>
              <w:right w:val="single" w:sz="4" w:space="0" w:color="FFFFFF"/>
            </w:tcBorders>
            <w:hideMark/>
          </w:tcPr>
          <w:p w14:paraId="609685CD" w14:textId="77777777" w:rsidR="00FA7EBF" w:rsidRDefault="00FA7EBF" w:rsidP="00B33865">
            <w:pPr>
              <w:pStyle w:val="ARtabletextright"/>
              <w:spacing w:before="60" w:after="40"/>
              <w:ind w:right="227"/>
            </w:pPr>
            <w:r>
              <w:t>(0.055)</w:t>
            </w:r>
          </w:p>
        </w:tc>
        <w:tc>
          <w:tcPr>
            <w:tcW w:w="2527" w:type="dxa"/>
            <w:tcBorders>
              <w:top w:val="single" w:sz="4" w:space="0" w:color="auto"/>
              <w:left w:val="single" w:sz="4" w:space="0" w:color="FFFFFF"/>
              <w:bottom w:val="single" w:sz="4" w:space="0" w:color="auto"/>
              <w:right w:val="single" w:sz="4" w:space="0" w:color="FFFFFF"/>
            </w:tcBorders>
          </w:tcPr>
          <w:p w14:paraId="0997F632" w14:textId="77777777" w:rsidR="00FA7EBF" w:rsidRDefault="00FA7EBF" w:rsidP="00B33865">
            <w:pPr>
              <w:pStyle w:val="ARtabletext"/>
              <w:spacing w:before="60" w:after="40"/>
            </w:pPr>
          </w:p>
        </w:tc>
      </w:tr>
    </w:tbl>
    <w:p w14:paraId="36E85322" w14:textId="77777777" w:rsidR="00FA7EBF" w:rsidRDefault="00FA7EBF" w:rsidP="00FA7EBF">
      <w:pPr>
        <w:pStyle w:val="ARtablefootnote"/>
        <w:spacing w:before="60" w:after="20"/>
        <w:rPr>
          <w:rStyle w:val="Strong"/>
          <w:rFonts w:asciiTheme="minorHAnsi" w:hAnsiTheme="minorHAnsi"/>
          <w:sz w:val="20"/>
          <w:szCs w:val="20"/>
          <w:lang w:eastAsia="en-AU"/>
        </w:rPr>
      </w:pPr>
      <w:r>
        <w:rPr>
          <w:rStyle w:val="Strong"/>
        </w:rPr>
        <w:t>Monash Children’s Hospital – including Early in Life Mental Health Service (ELMHS)</w:t>
      </w:r>
    </w:p>
    <w:p w14:paraId="09CA1F43" w14:textId="77777777" w:rsidR="00FA7EBF" w:rsidRDefault="00FA7EBF" w:rsidP="00FA7EBF">
      <w:pPr>
        <w:pStyle w:val="ARtablefootnotebullet"/>
        <w:spacing w:before="0" w:after="20"/>
        <w:rPr>
          <w:rStyle w:val="Strong"/>
        </w:rPr>
        <w:sectPr w:rsidR="00FA7EBF" w:rsidSect="00B33865">
          <w:footerReference w:type="even" r:id="rId199"/>
          <w:footerReference w:type="default" r:id="rId200"/>
          <w:endnotePr>
            <w:numFmt w:val="decimal"/>
          </w:endnotePr>
          <w:pgSz w:w="16840" w:h="11900" w:orient="landscape" w:code="9"/>
          <w:pgMar w:top="1276" w:right="1985" w:bottom="1276" w:left="851" w:header="851" w:footer="851" w:gutter="0"/>
          <w:cols w:space="720"/>
        </w:sectPr>
      </w:pPr>
    </w:p>
    <w:p w14:paraId="2A1E1400" w14:textId="77777777" w:rsidR="00FA7EBF" w:rsidRDefault="00FA7EBF" w:rsidP="00FA7EBF">
      <w:pPr>
        <w:pStyle w:val="ARtablefootnotebullet"/>
        <w:spacing w:before="0" w:after="20" w:line="240" w:lineRule="auto"/>
      </w:pPr>
      <w:r>
        <w:t xml:space="preserve">Gross </w:t>
      </w:r>
      <w:r w:rsidRPr="004B22FF">
        <w:t xml:space="preserve">total estimated investment </w:t>
      </w:r>
      <w:r>
        <w:t>(TEI) includes $8.5m allocated in 2011–12 budget for land acquisition and planning</w:t>
      </w:r>
    </w:p>
    <w:p w14:paraId="5EF2027D" w14:textId="77777777" w:rsidR="00FA7EBF" w:rsidRDefault="00FA7EBF" w:rsidP="00FA7EBF">
      <w:pPr>
        <w:pStyle w:val="ARtablefootnotebullet"/>
        <w:spacing w:before="0" w:after="20" w:line="240" w:lineRule="auto"/>
      </w:pPr>
      <w:r>
        <w:t>$7.3m 2012–13 budget for continuation of planning and further development</w:t>
      </w:r>
    </w:p>
    <w:p w14:paraId="055661FC" w14:textId="77777777" w:rsidR="00FA7EBF" w:rsidRDefault="00FA7EBF" w:rsidP="00FA7EBF">
      <w:pPr>
        <w:pStyle w:val="ARtablefootnotebullet"/>
        <w:spacing w:before="0" w:after="20" w:line="240" w:lineRule="auto"/>
      </w:pPr>
      <w:r>
        <w:t>2013–14 budget papers did not disclose TEI</w:t>
      </w:r>
    </w:p>
    <w:p w14:paraId="5DF9BB97" w14:textId="77777777" w:rsidR="00FA7EBF" w:rsidRDefault="00FA7EBF" w:rsidP="00FA7EBF">
      <w:pPr>
        <w:pStyle w:val="ARtablefootnotebullet"/>
        <w:spacing w:before="0" w:after="20" w:line="240" w:lineRule="auto"/>
      </w:pPr>
      <w:r>
        <w:t>2014–15 TEI reported at $250m, including funds from 2011–12 and 2012–13 for land and planning</w:t>
      </w:r>
    </w:p>
    <w:p w14:paraId="509E6ECA" w14:textId="77777777" w:rsidR="00FA7EBF" w:rsidRDefault="00FA7EBF" w:rsidP="00FA7EBF">
      <w:pPr>
        <w:pStyle w:val="ARtablefootnotebullet"/>
        <w:spacing w:before="0" w:after="20" w:line="240" w:lineRule="auto"/>
      </w:pPr>
      <w:r>
        <w:t>2015–16 TEI same notes as 2014–15, Monash helipad identified as new project $3.8m</w:t>
      </w:r>
    </w:p>
    <w:p w14:paraId="690D1A8A" w14:textId="77777777" w:rsidR="00FA7EBF" w:rsidRDefault="00FA7EBF" w:rsidP="00FA7EBF">
      <w:pPr>
        <w:pStyle w:val="ARtablefootnotebullet"/>
        <w:spacing w:before="0" w:after="20" w:line="240" w:lineRule="auto"/>
      </w:pPr>
      <w:r>
        <w:t>2016–17 TEI $258.175m includes 2015–16 Monash helipad $3.8m project; and TEI increase of $4.375m from Monash University for accommodation space</w:t>
      </w:r>
    </w:p>
    <w:p w14:paraId="36C01433" w14:textId="77777777" w:rsidR="00FA7EBF" w:rsidRDefault="00FA7EBF" w:rsidP="00FA7EBF">
      <w:pPr>
        <w:pStyle w:val="ARtablefootnotebullet"/>
        <w:spacing w:before="0" w:after="20" w:line="240" w:lineRule="auto"/>
      </w:pPr>
      <w:r>
        <w:t>2017–18 TEI $271.860m includes additional funding $13.68m for 64 multi-day beds in ELMHS</w:t>
      </w:r>
    </w:p>
    <w:p w14:paraId="01D3A9DE" w14:textId="77777777" w:rsidR="00FA7EBF" w:rsidRDefault="00FA7EBF" w:rsidP="00FA7EBF">
      <w:pPr>
        <w:pStyle w:val="ARtablefootnote"/>
        <w:spacing w:before="0" w:after="20"/>
        <w:sectPr w:rsidR="00FA7EBF" w:rsidSect="00FA7EBF">
          <w:endnotePr>
            <w:numFmt w:val="decimal"/>
          </w:endnotePr>
          <w:type w:val="continuous"/>
          <w:pgSz w:w="16840" w:h="11900" w:orient="landscape"/>
          <w:pgMar w:top="1418" w:right="1985" w:bottom="851" w:left="851" w:header="510" w:footer="340" w:gutter="0"/>
          <w:cols w:num="2" w:space="720"/>
        </w:sectPr>
      </w:pPr>
    </w:p>
    <w:p w14:paraId="30286C1C" w14:textId="77777777" w:rsidR="00FA7EBF" w:rsidRDefault="00FA7EBF" w:rsidP="00B33865">
      <w:pPr>
        <w:pStyle w:val="ARtablefootnote"/>
        <w:spacing w:before="60" w:after="20"/>
      </w:pPr>
      <w:r>
        <w:t>Note: The 2017–18 annual report for Monash Children’s Hospital (including ELMHS) original approved TEI incorrectly reported a lower TEI than what was currently approved.</w:t>
      </w:r>
    </w:p>
    <w:p w14:paraId="19C84C70" w14:textId="77777777" w:rsidR="00FA7EBF" w:rsidRDefault="00FA7EBF" w:rsidP="004E7F7A">
      <w:pPr>
        <w:pStyle w:val="ARtablefootnote"/>
        <w:rPr>
          <w:rStyle w:val="Strong"/>
        </w:rPr>
        <w:sectPr w:rsidR="00FA7EBF" w:rsidSect="00FA7EBF">
          <w:endnotePr>
            <w:numFmt w:val="decimal"/>
          </w:endnotePr>
          <w:type w:val="continuous"/>
          <w:pgSz w:w="16840" w:h="11900" w:orient="landscape"/>
          <w:pgMar w:top="1418" w:right="1985" w:bottom="851" w:left="851" w:header="510" w:footer="340" w:gutter="0"/>
          <w:cols w:space="720"/>
        </w:sectPr>
      </w:pPr>
    </w:p>
    <w:p w14:paraId="34291C23" w14:textId="77777777" w:rsidR="00FA7EBF" w:rsidRPr="007939DD" w:rsidRDefault="00FA7EBF" w:rsidP="004C3AD7">
      <w:pPr>
        <w:pStyle w:val="Heading2"/>
        <w:spacing w:before="0"/>
      </w:pPr>
      <w:bookmarkStart w:id="306" w:name="_Toc520974733"/>
      <w:bookmarkStart w:id="307" w:name="_Toc524788314"/>
      <w:bookmarkStart w:id="308" w:name="_Ref525047369"/>
      <w:bookmarkStart w:id="309" w:name="_Toc20409068"/>
      <w:bookmarkStart w:id="310" w:name="_Ref21862080"/>
      <w:bookmarkStart w:id="311" w:name="_Toc431639278"/>
      <w:bookmarkStart w:id="312" w:name="_Toc462577213"/>
      <w:bookmarkStart w:id="313" w:name="_Toc463776641"/>
      <w:bookmarkStart w:id="314" w:name="_Ref492895417"/>
      <w:bookmarkStart w:id="315" w:name="_Toc520974737"/>
      <w:bookmarkEnd w:id="218"/>
      <w:bookmarkEnd w:id="219"/>
      <w:bookmarkEnd w:id="220"/>
      <w:bookmarkEnd w:id="286"/>
      <w:bookmarkEnd w:id="287"/>
      <w:r w:rsidRPr="007939DD">
        <w:t>Disclosure index</w:t>
      </w:r>
      <w:bookmarkEnd w:id="306"/>
      <w:bookmarkEnd w:id="307"/>
      <w:bookmarkEnd w:id="308"/>
      <w:bookmarkEnd w:id="309"/>
      <w:bookmarkEnd w:id="310"/>
    </w:p>
    <w:p w14:paraId="28292E14" w14:textId="77777777" w:rsidR="00FA7EBF" w:rsidRPr="007939DD" w:rsidRDefault="00FA7EBF" w:rsidP="004C3AD7">
      <w:pPr>
        <w:pStyle w:val="ARbody"/>
      </w:pPr>
      <w:r w:rsidRPr="007939DD">
        <w:t>The annual report of the Department of Health and Human Services is prepared in accordance with all relevant Victorian legislation. This index has been prepared to facilitate identification of the department’s compliance with statutory disclosure requirements.</w:t>
      </w:r>
    </w:p>
    <w:p w14:paraId="4ED9740E" w14:textId="77777777" w:rsidR="00FA7EBF" w:rsidRPr="007939DD" w:rsidRDefault="00FA7EBF" w:rsidP="004C3AD7">
      <w:pPr>
        <w:pStyle w:val="Heading3"/>
        <w:spacing w:after="200"/>
      </w:pPr>
      <w:bookmarkStart w:id="316" w:name="_Toc462577210"/>
      <w:bookmarkStart w:id="317" w:name="_Toc520974734"/>
      <w:r w:rsidRPr="007939DD">
        <w:t>Report of operations</w:t>
      </w:r>
      <w:bookmarkEnd w:id="316"/>
      <w:bookmarkEnd w:id="317"/>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4A0" w:firstRow="1" w:lastRow="0" w:firstColumn="1" w:lastColumn="0" w:noHBand="0" w:noVBand="1"/>
      </w:tblPr>
      <w:tblGrid>
        <w:gridCol w:w="2014"/>
        <w:gridCol w:w="6618"/>
        <w:gridCol w:w="1007"/>
      </w:tblGrid>
      <w:tr w:rsidR="00FA7EBF" w:rsidRPr="007939DD" w14:paraId="28964C89" w14:textId="77777777" w:rsidTr="000B5747">
        <w:trPr>
          <w:cantSplit/>
          <w:tblHeader/>
        </w:trPr>
        <w:tc>
          <w:tcPr>
            <w:tcW w:w="2014" w:type="dxa"/>
            <w:tcBorders>
              <w:top w:val="nil"/>
            </w:tcBorders>
            <w:shd w:val="clear" w:color="auto" w:fill="auto"/>
            <w:vAlign w:val="bottom"/>
          </w:tcPr>
          <w:p w14:paraId="07461F2C" w14:textId="77777777" w:rsidR="00FA7EBF" w:rsidRPr="007939DD" w:rsidRDefault="00FA7EBF" w:rsidP="000B5747">
            <w:pPr>
              <w:pStyle w:val="ARtablecolhead"/>
              <w:spacing w:before="70" w:after="50"/>
            </w:pPr>
            <w:r w:rsidRPr="007939DD">
              <w:t>Ministerial directions</w:t>
            </w:r>
          </w:p>
        </w:tc>
        <w:tc>
          <w:tcPr>
            <w:tcW w:w="6618" w:type="dxa"/>
            <w:tcBorders>
              <w:top w:val="nil"/>
            </w:tcBorders>
            <w:shd w:val="clear" w:color="auto" w:fill="auto"/>
            <w:vAlign w:val="bottom"/>
          </w:tcPr>
          <w:p w14:paraId="2826858C" w14:textId="77777777" w:rsidR="00FA7EBF" w:rsidRPr="007939DD" w:rsidRDefault="00FA7EBF" w:rsidP="000B5747">
            <w:pPr>
              <w:pStyle w:val="ARtablecolhead"/>
              <w:spacing w:before="70" w:after="50"/>
            </w:pPr>
            <w:r w:rsidRPr="007939DD">
              <w:t>Requirement</w:t>
            </w:r>
          </w:p>
        </w:tc>
        <w:tc>
          <w:tcPr>
            <w:tcW w:w="1007" w:type="dxa"/>
            <w:tcBorders>
              <w:top w:val="nil"/>
            </w:tcBorders>
            <w:shd w:val="clear" w:color="auto" w:fill="auto"/>
            <w:vAlign w:val="bottom"/>
          </w:tcPr>
          <w:p w14:paraId="68DE05ED" w14:textId="77777777" w:rsidR="00FA7EBF" w:rsidRPr="007939DD" w:rsidRDefault="00FA7EBF" w:rsidP="000B5747">
            <w:pPr>
              <w:pStyle w:val="ARtablecolhead"/>
              <w:spacing w:before="70" w:after="50"/>
              <w:jc w:val="right"/>
            </w:pPr>
            <w:r w:rsidRPr="007939DD">
              <w:t>Page</w:t>
            </w:r>
          </w:p>
        </w:tc>
      </w:tr>
      <w:tr w:rsidR="00FA7EBF" w:rsidRPr="007939DD" w14:paraId="7C576661" w14:textId="77777777" w:rsidTr="000B5747">
        <w:trPr>
          <w:cantSplit/>
        </w:trPr>
        <w:tc>
          <w:tcPr>
            <w:tcW w:w="8632" w:type="dxa"/>
            <w:gridSpan w:val="2"/>
            <w:tcBorders>
              <w:bottom w:val="nil"/>
            </w:tcBorders>
            <w:shd w:val="clear" w:color="auto" w:fill="auto"/>
          </w:tcPr>
          <w:p w14:paraId="2902EBC7" w14:textId="77777777" w:rsidR="00FA7EBF" w:rsidRPr="007939DD" w:rsidRDefault="00FA7EBF" w:rsidP="000B5747">
            <w:pPr>
              <w:pStyle w:val="ARtabletext"/>
              <w:spacing w:before="70" w:after="50"/>
              <w:rPr>
                <w:b/>
              </w:rPr>
            </w:pPr>
            <w:r w:rsidRPr="007939DD">
              <w:rPr>
                <w:b/>
              </w:rPr>
              <w:t>Chapter and purpose</w:t>
            </w:r>
          </w:p>
        </w:tc>
        <w:tc>
          <w:tcPr>
            <w:tcW w:w="1007" w:type="dxa"/>
            <w:tcBorders>
              <w:bottom w:val="nil"/>
            </w:tcBorders>
            <w:shd w:val="clear" w:color="auto" w:fill="auto"/>
          </w:tcPr>
          <w:p w14:paraId="701BFA1F" w14:textId="77777777" w:rsidR="00FA7EBF" w:rsidRPr="007939DD" w:rsidRDefault="00FA7EBF" w:rsidP="000B5747">
            <w:pPr>
              <w:pStyle w:val="ARtabletextright"/>
            </w:pPr>
          </w:p>
        </w:tc>
      </w:tr>
      <w:tr w:rsidR="006F3187" w:rsidRPr="007939DD" w14:paraId="3180A1D0" w14:textId="77777777" w:rsidTr="000B5747">
        <w:trPr>
          <w:cantSplit/>
        </w:trPr>
        <w:tc>
          <w:tcPr>
            <w:tcW w:w="2014" w:type="dxa"/>
            <w:tcBorders>
              <w:top w:val="nil"/>
            </w:tcBorders>
            <w:shd w:val="clear" w:color="auto" w:fill="auto"/>
          </w:tcPr>
          <w:p w14:paraId="3FFF7F77" w14:textId="77777777" w:rsidR="006F3187" w:rsidRPr="007939DD" w:rsidRDefault="006F3187" w:rsidP="006F3187">
            <w:pPr>
              <w:pStyle w:val="ARtabletext"/>
              <w:spacing w:before="70" w:after="50"/>
            </w:pPr>
            <w:r w:rsidRPr="007939DD">
              <w:t>FRD 22H</w:t>
            </w:r>
          </w:p>
        </w:tc>
        <w:tc>
          <w:tcPr>
            <w:tcW w:w="6618" w:type="dxa"/>
            <w:tcBorders>
              <w:top w:val="nil"/>
            </w:tcBorders>
            <w:shd w:val="clear" w:color="auto" w:fill="auto"/>
          </w:tcPr>
          <w:p w14:paraId="47C9C52F" w14:textId="77777777" w:rsidR="006F3187" w:rsidRPr="007939DD" w:rsidRDefault="006F3187" w:rsidP="006F3187">
            <w:pPr>
              <w:pStyle w:val="ARtabletext"/>
              <w:spacing w:before="70" w:after="50"/>
            </w:pPr>
            <w:r w:rsidRPr="007939DD">
              <w:t>Manner of establishment and the relevant ministers</w:t>
            </w:r>
          </w:p>
        </w:tc>
        <w:tc>
          <w:tcPr>
            <w:tcW w:w="1007" w:type="dxa"/>
            <w:tcBorders>
              <w:top w:val="nil"/>
            </w:tcBorders>
            <w:shd w:val="clear" w:color="auto" w:fill="auto"/>
          </w:tcPr>
          <w:p w14:paraId="11F836CB" w14:textId="1CD7410E" w:rsidR="006F3187" w:rsidRDefault="002422A7" w:rsidP="006F3187">
            <w:pPr>
              <w:pStyle w:val="ARtabletextright"/>
            </w:pPr>
            <w:r>
              <w:fldChar w:fldCharType="begin"/>
            </w:r>
            <w:r>
              <w:instrText xml:space="preserve"> PAGEREF _Ref492893888 \h </w:instrText>
            </w:r>
            <w:r>
              <w:fldChar w:fldCharType="separate"/>
            </w:r>
            <w:r w:rsidR="000179F2">
              <w:rPr>
                <w:noProof/>
              </w:rPr>
              <w:t>17</w:t>
            </w:r>
            <w:r>
              <w:fldChar w:fldCharType="end"/>
            </w:r>
            <w:r w:rsidR="006F3187">
              <w:t>–</w:t>
            </w:r>
            <w:r>
              <w:fldChar w:fldCharType="begin"/>
            </w:r>
            <w:r>
              <w:instrText xml:space="preserve"> PAGEREF _Ref21861477 \h </w:instrText>
            </w:r>
            <w:r>
              <w:fldChar w:fldCharType="separate"/>
            </w:r>
            <w:r w:rsidR="000179F2">
              <w:rPr>
                <w:noProof/>
              </w:rPr>
              <w:t>19</w:t>
            </w:r>
            <w:r>
              <w:fldChar w:fldCharType="end"/>
            </w:r>
          </w:p>
          <w:p w14:paraId="229E6475" w14:textId="0776BA71" w:rsidR="006F3187" w:rsidRPr="007939DD" w:rsidRDefault="002422A7" w:rsidP="006F3187">
            <w:pPr>
              <w:pStyle w:val="ARtabletextright"/>
            </w:pPr>
            <w:r>
              <w:fldChar w:fldCharType="begin"/>
            </w:r>
            <w:r>
              <w:instrText xml:space="preserve"> PAGEREF _Ref21861531 \h </w:instrText>
            </w:r>
            <w:r>
              <w:fldChar w:fldCharType="separate"/>
            </w:r>
            <w:r w:rsidR="000179F2">
              <w:rPr>
                <w:noProof/>
              </w:rPr>
              <w:t>103</w:t>
            </w:r>
            <w:r>
              <w:fldChar w:fldCharType="end"/>
            </w:r>
            <w:r w:rsidR="006F3187">
              <w:t>–</w:t>
            </w:r>
            <w:r>
              <w:fldChar w:fldCharType="begin"/>
            </w:r>
            <w:r>
              <w:instrText xml:space="preserve"> PAGEREF _Ref21861577 \h </w:instrText>
            </w:r>
            <w:r>
              <w:fldChar w:fldCharType="separate"/>
            </w:r>
            <w:r w:rsidR="000179F2">
              <w:rPr>
                <w:noProof/>
              </w:rPr>
              <w:t>107</w:t>
            </w:r>
            <w:r>
              <w:fldChar w:fldCharType="end"/>
            </w:r>
          </w:p>
        </w:tc>
      </w:tr>
      <w:tr w:rsidR="006F3187" w:rsidRPr="007939DD" w14:paraId="72A01195" w14:textId="77777777" w:rsidTr="000B5747">
        <w:trPr>
          <w:cantSplit/>
        </w:trPr>
        <w:tc>
          <w:tcPr>
            <w:tcW w:w="2014" w:type="dxa"/>
            <w:shd w:val="clear" w:color="auto" w:fill="auto"/>
          </w:tcPr>
          <w:p w14:paraId="2ECC8314" w14:textId="77777777" w:rsidR="006F3187" w:rsidRPr="007939DD" w:rsidRDefault="006F3187" w:rsidP="006F3187">
            <w:pPr>
              <w:pStyle w:val="ARtabletext"/>
              <w:spacing w:before="70" w:after="50"/>
            </w:pPr>
            <w:r w:rsidRPr="007939DD">
              <w:t>FRD 8D, FRD 22H</w:t>
            </w:r>
          </w:p>
        </w:tc>
        <w:tc>
          <w:tcPr>
            <w:tcW w:w="6618" w:type="dxa"/>
            <w:shd w:val="clear" w:color="auto" w:fill="auto"/>
          </w:tcPr>
          <w:p w14:paraId="76CD59EC" w14:textId="77777777" w:rsidR="006F3187" w:rsidRPr="007939DD" w:rsidRDefault="006F3187" w:rsidP="006F3187">
            <w:pPr>
              <w:pStyle w:val="ARtabletext"/>
              <w:spacing w:before="70" w:after="50"/>
            </w:pPr>
            <w:r w:rsidRPr="007939DD">
              <w:t>Objectives, functions, powers and duties</w:t>
            </w:r>
          </w:p>
        </w:tc>
        <w:tc>
          <w:tcPr>
            <w:tcW w:w="1007" w:type="dxa"/>
            <w:shd w:val="clear" w:color="auto" w:fill="auto"/>
          </w:tcPr>
          <w:p w14:paraId="3EFFB3C3" w14:textId="32E07F53" w:rsidR="006F3187" w:rsidRPr="007939DD" w:rsidRDefault="002422A7" w:rsidP="006F3187">
            <w:pPr>
              <w:pStyle w:val="ARtabletextright"/>
            </w:pPr>
            <w:r>
              <w:fldChar w:fldCharType="begin"/>
            </w:r>
            <w:r>
              <w:instrText xml:space="preserve"> PAGEREF _Ref492894141 \h </w:instrText>
            </w:r>
            <w:r>
              <w:fldChar w:fldCharType="separate"/>
            </w:r>
            <w:r w:rsidR="000179F2">
              <w:rPr>
                <w:noProof/>
              </w:rPr>
              <w:t>7</w:t>
            </w:r>
            <w:r>
              <w:fldChar w:fldCharType="end"/>
            </w:r>
            <w:r w:rsidR="006F3187">
              <w:t>–</w:t>
            </w:r>
            <w:r>
              <w:fldChar w:fldCharType="begin"/>
            </w:r>
            <w:r>
              <w:instrText xml:space="preserve"> PAGEREF _Ref21861667 \h </w:instrText>
            </w:r>
            <w:r>
              <w:fldChar w:fldCharType="separate"/>
            </w:r>
            <w:r w:rsidR="000179F2">
              <w:rPr>
                <w:noProof/>
              </w:rPr>
              <w:t>15</w:t>
            </w:r>
            <w:r>
              <w:fldChar w:fldCharType="end"/>
            </w:r>
          </w:p>
        </w:tc>
      </w:tr>
      <w:tr w:rsidR="006F3187" w:rsidRPr="007939DD" w14:paraId="0CD056B0" w14:textId="77777777" w:rsidTr="000B5747">
        <w:trPr>
          <w:cantSplit/>
        </w:trPr>
        <w:tc>
          <w:tcPr>
            <w:tcW w:w="2014" w:type="dxa"/>
            <w:tcBorders>
              <w:top w:val="nil"/>
            </w:tcBorders>
            <w:shd w:val="clear" w:color="auto" w:fill="auto"/>
          </w:tcPr>
          <w:p w14:paraId="01CF87DB" w14:textId="77777777" w:rsidR="006F3187" w:rsidRPr="007939DD" w:rsidRDefault="006F3187" w:rsidP="006F3187">
            <w:pPr>
              <w:pStyle w:val="ARtabletext"/>
              <w:spacing w:before="70" w:after="50"/>
            </w:pPr>
            <w:r w:rsidRPr="007939DD">
              <w:t>FRD 22H</w:t>
            </w:r>
          </w:p>
        </w:tc>
        <w:tc>
          <w:tcPr>
            <w:tcW w:w="6618" w:type="dxa"/>
            <w:tcBorders>
              <w:top w:val="nil"/>
            </w:tcBorders>
            <w:shd w:val="clear" w:color="auto" w:fill="auto"/>
          </w:tcPr>
          <w:p w14:paraId="119B8074" w14:textId="77777777" w:rsidR="006F3187" w:rsidRPr="007939DD" w:rsidRDefault="006F3187" w:rsidP="006F3187">
            <w:pPr>
              <w:pStyle w:val="ARtabletext"/>
              <w:spacing w:before="70" w:after="50"/>
            </w:pPr>
            <w:r w:rsidRPr="007939DD">
              <w:t>Nature and range of services provided</w:t>
            </w:r>
          </w:p>
        </w:tc>
        <w:tc>
          <w:tcPr>
            <w:tcW w:w="1007" w:type="dxa"/>
            <w:tcBorders>
              <w:top w:val="nil"/>
            </w:tcBorders>
            <w:shd w:val="clear" w:color="auto" w:fill="auto"/>
          </w:tcPr>
          <w:p w14:paraId="159B95D9" w14:textId="0E1BE19D" w:rsidR="006F3187" w:rsidRPr="007939DD" w:rsidRDefault="002422A7" w:rsidP="006F3187">
            <w:pPr>
              <w:pStyle w:val="ARtabletextright"/>
            </w:pPr>
            <w:r>
              <w:fldChar w:fldCharType="begin"/>
            </w:r>
            <w:r>
              <w:instrText xml:space="preserve"> PAGEREF _Ref492894141 \h </w:instrText>
            </w:r>
            <w:r>
              <w:fldChar w:fldCharType="separate"/>
            </w:r>
            <w:r w:rsidR="000179F2">
              <w:rPr>
                <w:noProof/>
              </w:rPr>
              <w:t>7</w:t>
            </w:r>
            <w:r>
              <w:fldChar w:fldCharType="end"/>
            </w:r>
            <w:r>
              <w:t>–</w:t>
            </w:r>
            <w:r>
              <w:fldChar w:fldCharType="begin"/>
            </w:r>
            <w:r>
              <w:instrText xml:space="preserve"> PAGEREF _Ref21861667 \h </w:instrText>
            </w:r>
            <w:r>
              <w:fldChar w:fldCharType="separate"/>
            </w:r>
            <w:r w:rsidR="000179F2">
              <w:rPr>
                <w:noProof/>
              </w:rPr>
              <w:t>15</w:t>
            </w:r>
            <w:r>
              <w:fldChar w:fldCharType="end"/>
            </w:r>
          </w:p>
        </w:tc>
      </w:tr>
      <w:tr w:rsidR="006F3187" w:rsidRPr="007939DD" w14:paraId="3BBE8F48" w14:textId="77777777" w:rsidTr="000B5747">
        <w:trPr>
          <w:cantSplit/>
        </w:trPr>
        <w:tc>
          <w:tcPr>
            <w:tcW w:w="2014" w:type="dxa"/>
            <w:tcBorders>
              <w:top w:val="nil"/>
            </w:tcBorders>
            <w:shd w:val="clear" w:color="auto" w:fill="auto"/>
          </w:tcPr>
          <w:p w14:paraId="2F9A61E6" w14:textId="77777777" w:rsidR="006F3187" w:rsidRPr="007939DD" w:rsidRDefault="006F3187" w:rsidP="006F3187">
            <w:pPr>
              <w:pStyle w:val="ARtabletext"/>
              <w:spacing w:before="70" w:after="50"/>
            </w:pPr>
            <w:r w:rsidRPr="007939DD">
              <w:t>FRD 22H</w:t>
            </w:r>
          </w:p>
        </w:tc>
        <w:tc>
          <w:tcPr>
            <w:tcW w:w="6618" w:type="dxa"/>
            <w:tcBorders>
              <w:top w:val="nil"/>
            </w:tcBorders>
            <w:shd w:val="clear" w:color="auto" w:fill="auto"/>
          </w:tcPr>
          <w:p w14:paraId="50AA84BA" w14:textId="77777777" w:rsidR="006F3187" w:rsidRPr="007939DD" w:rsidRDefault="006F3187" w:rsidP="006F3187">
            <w:pPr>
              <w:pStyle w:val="ARtabletext"/>
              <w:spacing w:before="70" w:after="50"/>
            </w:pPr>
            <w:r w:rsidRPr="007939DD">
              <w:t>Key initiatives and projects</w:t>
            </w:r>
          </w:p>
        </w:tc>
        <w:tc>
          <w:tcPr>
            <w:tcW w:w="1007" w:type="dxa"/>
            <w:tcBorders>
              <w:top w:val="nil"/>
            </w:tcBorders>
            <w:shd w:val="clear" w:color="auto" w:fill="auto"/>
          </w:tcPr>
          <w:p w14:paraId="38B2BB0C" w14:textId="49E20665" w:rsidR="006F3187" w:rsidRPr="007939DD" w:rsidRDefault="00113EAB" w:rsidP="006F3187">
            <w:pPr>
              <w:pStyle w:val="ARtabletextright"/>
            </w:pPr>
            <w:r>
              <w:fldChar w:fldCharType="begin"/>
            </w:r>
            <w:r>
              <w:instrText xml:space="preserve"> PAGEREF _Ref21861714 \h </w:instrText>
            </w:r>
            <w:r>
              <w:fldChar w:fldCharType="separate"/>
            </w:r>
            <w:r w:rsidR="000179F2">
              <w:rPr>
                <w:noProof/>
              </w:rPr>
              <w:t>21</w:t>
            </w:r>
            <w:r>
              <w:fldChar w:fldCharType="end"/>
            </w:r>
            <w:r w:rsidR="006F3187">
              <w:t>–</w:t>
            </w:r>
            <w:r>
              <w:fldChar w:fldCharType="begin"/>
            </w:r>
            <w:r>
              <w:instrText xml:space="preserve"> PAGEREF Year_in_review_end \h </w:instrText>
            </w:r>
            <w:r>
              <w:fldChar w:fldCharType="separate"/>
            </w:r>
            <w:r w:rsidR="000179F2">
              <w:rPr>
                <w:noProof/>
              </w:rPr>
              <w:t>73</w:t>
            </w:r>
            <w:r>
              <w:fldChar w:fldCharType="end"/>
            </w:r>
          </w:p>
        </w:tc>
      </w:tr>
      <w:tr w:rsidR="00FA7EBF" w:rsidRPr="007939DD" w14:paraId="3AF0AB8E" w14:textId="77777777" w:rsidTr="000B5747">
        <w:trPr>
          <w:cantSplit/>
        </w:trPr>
        <w:tc>
          <w:tcPr>
            <w:tcW w:w="9639" w:type="dxa"/>
            <w:gridSpan w:val="3"/>
            <w:tcBorders>
              <w:bottom w:val="nil"/>
            </w:tcBorders>
            <w:shd w:val="clear" w:color="auto" w:fill="auto"/>
          </w:tcPr>
          <w:p w14:paraId="188B816B" w14:textId="77777777" w:rsidR="00FA7EBF" w:rsidRPr="007939DD" w:rsidRDefault="00FA7EBF" w:rsidP="000B5747">
            <w:pPr>
              <w:pStyle w:val="ARtabletext"/>
              <w:spacing w:before="70" w:after="50"/>
              <w:rPr>
                <w:b/>
              </w:rPr>
            </w:pPr>
            <w:r w:rsidRPr="007939DD">
              <w:rPr>
                <w:b/>
              </w:rPr>
              <w:t>Management and structure</w:t>
            </w:r>
          </w:p>
        </w:tc>
      </w:tr>
      <w:tr w:rsidR="00FA7EBF" w:rsidRPr="007939DD" w14:paraId="06C0BE07" w14:textId="77777777" w:rsidTr="000B5747">
        <w:trPr>
          <w:cantSplit/>
        </w:trPr>
        <w:tc>
          <w:tcPr>
            <w:tcW w:w="2014" w:type="dxa"/>
            <w:tcBorders>
              <w:top w:val="nil"/>
            </w:tcBorders>
            <w:shd w:val="clear" w:color="auto" w:fill="auto"/>
          </w:tcPr>
          <w:p w14:paraId="3DF23D94" w14:textId="77777777" w:rsidR="00FA7EBF" w:rsidRPr="007939DD" w:rsidRDefault="00FA7EBF" w:rsidP="000B5747">
            <w:pPr>
              <w:pStyle w:val="ARtabletext"/>
              <w:spacing w:before="70" w:after="50"/>
            </w:pPr>
            <w:r w:rsidRPr="007939DD">
              <w:t>FRD 22H</w:t>
            </w:r>
          </w:p>
        </w:tc>
        <w:tc>
          <w:tcPr>
            <w:tcW w:w="6618" w:type="dxa"/>
            <w:tcBorders>
              <w:top w:val="nil"/>
            </w:tcBorders>
            <w:shd w:val="clear" w:color="auto" w:fill="auto"/>
          </w:tcPr>
          <w:p w14:paraId="11312C30" w14:textId="77777777" w:rsidR="00FA7EBF" w:rsidRPr="007939DD" w:rsidRDefault="00FA7EBF" w:rsidP="000B5747">
            <w:pPr>
              <w:pStyle w:val="ARtabletext"/>
              <w:spacing w:before="70" w:after="50"/>
            </w:pPr>
            <w:r w:rsidRPr="007939DD">
              <w:t>Organisational structure</w:t>
            </w:r>
          </w:p>
        </w:tc>
        <w:tc>
          <w:tcPr>
            <w:tcW w:w="1007" w:type="dxa"/>
            <w:tcBorders>
              <w:top w:val="nil"/>
            </w:tcBorders>
            <w:shd w:val="clear" w:color="auto" w:fill="auto"/>
          </w:tcPr>
          <w:p w14:paraId="2678E39D" w14:textId="76143B06" w:rsidR="00FA7EBF" w:rsidRPr="007939DD" w:rsidRDefault="00113EAB" w:rsidP="00301359">
            <w:pPr>
              <w:pStyle w:val="ARtabletextright"/>
            </w:pPr>
            <w:r>
              <w:fldChar w:fldCharType="begin"/>
            </w:r>
            <w:r>
              <w:instrText xml:space="preserve"> PAGEREF _Ref492894420 \h </w:instrText>
            </w:r>
            <w:r>
              <w:fldChar w:fldCharType="separate"/>
            </w:r>
            <w:r w:rsidR="000179F2">
              <w:rPr>
                <w:noProof/>
              </w:rPr>
              <w:t>108</w:t>
            </w:r>
            <w:r>
              <w:fldChar w:fldCharType="end"/>
            </w:r>
          </w:p>
        </w:tc>
      </w:tr>
      <w:tr w:rsidR="00FA7EBF" w:rsidRPr="007939DD" w14:paraId="55D9B778" w14:textId="77777777" w:rsidTr="000B5747">
        <w:trPr>
          <w:cantSplit/>
          <w:trHeight w:val="70"/>
        </w:trPr>
        <w:tc>
          <w:tcPr>
            <w:tcW w:w="9639" w:type="dxa"/>
            <w:gridSpan w:val="3"/>
            <w:tcBorders>
              <w:bottom w:val="nil"/>
            </w:tcBorders>
            <w:shd w:val="clear" w:color="auto" w:fill="auto"/>
          </w:tcPr>
          <w:p w14:paraId="2B46CAAA" w14:textId="77777777" w:rsidR="00FA7EBF" w:rsidRPr="007939DD" w:rsidRDefault="00FA7EBF" w:rsidP="000B5747">
            <w:pPr>
              <w:pStyle w:val="ARtabletext"/>
              <w:spacing w:before="70" w:after="50"/>
              <w:rPr>
                <w:b/>
              </w:rPr>
            </w:pPr>
            <w:r w:rsidRPr="007939DD">
              <w:rPr>
                <w:b/>
              </w:rPr>
              <w:t>Financial and other information</w:t>
            </w:r>
          </w:p>
        </w:tc>
      </w:tr>
      <w:tr w:rsidR="006F3187" w:rsidRPr="007939DD" w14:paraId="4C7727D5" w14:textId="77777777" w:rsidTr="000B5747">
        <w:trPr>
          <w:cantSplit/>
        </w:trPr>
        <w:tc>
          <w:tcPr>
            <w:tcW w:w="2014" w:type="dxa"/>
            <w:tcBorders>
              <w:top w:val="nil"/>
            </w:tcBorders>
            <w:shd w:val="clear" w:color="auto" w:fill="auto"/>
          </w:tcPr>
          <w:p w14:paraId="1C605D06" w14:textId="77777777" w:rsidR="006F3187" w:rsidRPr="007939DD" w:rsidRDefault="006F3187" w:rsidP="006F3187">
            <w:pPr>
              <w:pStyle w:val="ARtabletext"/>
              <w:spacing w:before="70" w:after="50"/>
            </w:pPr>
            <w:r w:rsidRPr="007939DD">
              <w:t>FRD 8D</w:t>
            </w:r>
          </w:p>
        </w:tc>
        <w:tc>
          <w:tcPr>
            <w:tcW w:w="6618" w:type="dxa"/>
            <w:tcBorders>
              <w:top w:val="nil"/>
            </w:tcBorders>
            <w:shd w:val="clear" w:color="auto" w:fill="auto"/>
          </w:tcPr>
          <w:p w14:paraId="37DD6E45" w14:textId="77777777" w:rsidR="006F3187" w:rsidRPr="007939DD" w:rsidRDefault="006F3187" w:rsidP="006F3187">
            <w:pPr>
              <w:pStyle w:val="ARtabletext"/>
              <w:spacing w:before="70" w:after="50"/>
            </w:pPr>
            <w:r w:rsidRPr="007939DD">
              <w:t>Performance against output performance measures</w:t>
            </w:r>
          </w:p>
        </w:tc>
        <w:tc>
          <w:tcPr>
            <w:tcW w:w="1007" w:type="dxa"/>
            <w:tcBorders>
              <w:top w:val="nil"/>
            </w:tcBorders>
            <w:shd w:val="clear" w:color="auto" w:fill="auto"/>
          </w:tcPr>
          <w:p w14:paraId="44DC24A8" w14:textId="1601A49C" w:rsidR="006F3187" w:rsidRPr="007939DD" w:rsidRDefault="00113EAB" w:rsidP="006F3187">
            <w:pPr>
              <w:pStyle w:val="ARtabletextright"/>
            </w:pPr>
            <w:r>
              <w:fldChar w:fldCharType="begin"/>
            </w:r>
            <w:r>
              <w:instrText xml:space="preserve"> PAGEREF _Ref21861906 \h </w:instrText>
            </w:r>
            <w:r>
              <w:fldChar w:fldCharType="separate"/>
            </w:r>
            <w:r w:rsidR="000179F2">
              <w:rPr>
                <w:noProof/>
              </w:rPr>
              <w:t>75</w:t>
            </w:r>
            <w:r>
              <w:fldChar w:fldCharType="end"/>
            </w:r>
            <w:r w:rsidR="006F3187">
              <w:t>–</w:t>
            </w:r>
            <w:r>
              <w:fldChar w:fldCharType="begin"/>
            </w:r>
            <w:r>
              <w:instrText xml:space="preserve"> PAGEREF _Ref21861916 \h </w:instrText>
            </w:r>
            <w:r>
              <w:fldChar w:fldCharType="separate"/>
            </w:r>
            <w:r w:rsidR="000179F2">
              <w:rPr>
                <w:noProof/>
              </w:rPr>
              <w:t>100</w:t>
            </w:r>
            <w:r>
              <w:fldChar w:fldCharType="end"/>
            </w:r>
          </w:p>
        </w:tc>
      </w:tr>
      <w:tr w:rsidR="006F3187" w:rsidRPr="007939DD" w14:paraId="27728298" w14:textId="77777777" w:rsidTr="000B5747">
        <w:trPr>
          <w:cantSplit/>
        </w:trPr>
        <w:tc>
          <w:tcPr>
            <w:tcW w:w="2014" w:type="dxa"/>
            <w:tcBorders>
              <w:top w:val="nil"/>
            </w:tcBorders>
            <w:shd w:val="clear" w:color="auto" w:fill="auto"/>
          </w:tcPr>
          <w:p w14:paraId="123FF850" w14:textId="77777777" w:rsidR="006F3187" w:rsidRPr="007939DD" w:rsidRDefault="006F3187" w:rsidP="006F3187">
            <w:pPr>
              <w:pStyle w:val="ARtabletext"/>
              <w:spacing w:before="70" w:after="50"/>
            </w:pPr>
            <w:r w:rsidRPr="007939DD">
              <w:t>FRD 8D</w:t>
            </w:r>
          </w:p>
        </w:tc>
        <w:tc>
          <w:tcPr>
            <w:tcW w:w="6618" w:type="dxa"/>
            <w:tcBorders>
              <w:top w:val="nil"/>
            </w:tcBorders>
            <w:shd w:val="clear" w:color="auto" w:fill="auto"/>
          </w:tcPr>
          <w:p w14:paraId="3B25D80D" w14:textId="77777777" w:rsidR="006F3187" w:rsidRPr="007939DD" w:rsidRDefault="006F3187" w:rsidP="006F3187">
            <w:pPr>
              <w:pStyle w:val="ARtabletext"/>
              <w:spacing w:before="70" w:after="50"/>
            </w:pPr>
            <w:r w:rsidRPr="007939DD">
              <w:t>Budget portfolio outcomes</w:t>
            </w:r>
          </w:p>
        </w:tc>
        <w:tc>
          <w:tcPr>
            <w:tcW w:w="1007" w:type="dxa"/>
            <w:tcBorders>
              <w:top w:val="nil"/>
            </w:tcBorders>
            <w:shd w:val="clear" w:color="auto" w:fill="auto"/>
          </w:tcPr>
          <w:p w14:paraId="35DE2D09" w14:textId="3EA5269C" w:rsidR="006F3187" w:rsidRPr="007939DD" w:rsidRDefault="00113EAB" w:rsidP="006F3187">
            <w:pPr>
              <w:pStyle w:val="ARtabletextright"/>
            </w:pPr>
            <w:r>
              <w:fldChar w:fldCharType="begin"/>
            </w:r>
            <w:r>
              <w:instrText xml:space="preserve"> PAGEREF _Ref492895066 \h </w:instrText>
            </w:r>
            <w:r>
              <w:fldChar w:fldCharType="separate"/>
            </w:r>
            <w:r w:rsidR="000179F2">
              <w:rPr>
                <w:noProof/>
              </w:rPr>
              <w:t>266</w:t>
            </w:r>
            <w:r>
              <w:fldChar w:fldCharType="end"/>
            </w:r>
            <w:r>
              <w:t>–</w:t>
            </w:r>
            <w:r>
              <w:fldChar w:fldCharType="begin"/>
            </w:r>
            <w:r>
              <w:instrText xml:space="preserve"> PAGEREF Budget_portfolio_outcomes_end \h </w:instrText>
            </w:r>
            <w:r>
              <w:fldChar w:fldCharType="separate"/>
            </w:r>
            <w:r w:rsidR="000179F2">
              <w:rPr>
                <w:noProof/>
              </w:rPr>
              <w:t>276</w:t>
            </w:r>
            <w:r>
              <w:fldChar w:fldCharType="end"/>
            </w:r>
          </w:p>
        </w:tc>
      </w:tr>
      <w:tr w:rsidR="006F3187" w:rsidRPr="007939DD" w14:paraId="52F2DD6F" w14:textId="77777777" w:rsidTr="000B5747">
        <w:trPr>
          <w:cantSplit/>
        </w:trPr>
        <w:tc>
          <w:tcPr>
            <w:tcW w:w="2014" w:type="dxa"/>
            <w:shd w:val="clear" w:color="auto" w:fill="auto"/>
          </w:tcPr>
          <w:p w14:paraId="6F08D044" w14:textId="77777777" w:rsidR="006F3187" w:rsidRPr="007939DD" w:rsidRDefault="006F3187" w:rsidP="006F3187">
            <w:pPr>
              <w:pStyle w:val="ARtabletext"/>
              <w:spacing w:before="70" w:after="50"/>
            </w:pPr>
            <w:r w:rsidRPr="007939DD">
              <w:t>FRD 10A</w:t>
            </w:r>
          </w:p>
        </w:tc>
        <w:tc>
          <w:tcPr>
            <w:tcW w:w="6618" w:type="dxa"/>
            <w:shd w:val="clear" w:color="auto" w:fill="auto"/>
          </w:tcPr>
          <w:p w14:paraId="402AB2BF" w14:textId="77777777" w:rsidR="006F3187" w:rsidRPr="007939DD" w:rsidRDefault="006F3187" w:rsidP="006F3187">
            <w:pPr>
              <w:pStyle w:val="ARtabletext"/>
              <w:spacing w:before="70" w:after="50"/>
            </w:pPr>
            <w:r w:rsidRPr="007939DD">
              <w:t>Disclosure index</w:t>
            </w:r>
          </w:p>
        </w:tc>
        <w:tc>
          <w:tcPr>
            <w:tcW w:w="1007" w:type="dxa"/>
            <w:shd w:val="clear" w:color="auto" w:fill="auto"/>
          </w:tcPr>
          <w:p w14:paraId="41180E8C" w14:textId="29DEDA87" w:rsidR="006F3187" w:rsidRPr="007939DD" w:rsidRDefault="005C2D90" w:rsidP="006F3187">
            <w:pPr>
              <w:pStyle w:val="ARtabletextright"/>
            </w:pPr>
            <w:r>
              <w:fldChar w:fldCharType="begin"/>
            </w:r>
            <w:r>
              <w:instrText xml:space="preserve"> PAGEREF _Ref21862080 \h </w:instrText>
            </w:r>
            <w:r>
              <w:fldChar w:fldCharType="separate"/>
            </w:r>
            <w:r w:rsidR="000179F2">
              <w:rPr>
                <w:noProof/>
              </w:rPr>
              <w:t>283</w:t>
            </w:r>
            <w:r>
              <w:fldChar w:fldCharType="end"/>
            </w:r>
            <w:r w:rsidR="006F3187">
              <w:t>–</w:t>
            </w:r>
            <w:r>
              <w:fldChar w:fldCharType="begin"/>
            </w:r>
            <w:r>
              <w:instrText xml:space="preserve"> PAGEREF _Ref21862086 \h </w:instrText>
            </w:r>
            <w:r>
              <w:fldChar w:fldCharType="separate"/>
            </w:r>
            <w:r w:rsidR="000179F2">
              <w:rPr>
                <w:noProof/>
              </w:rPr>
              <w:t>285</w:t>
            </w:r>
            <w:r>
              <w:fldChar w:fldCharType="end"/>
            </w:r>
          </w:p>
        </w:tc>
      </w:tr>
      <w:tr w:rsidR="006F3187" w:rsidRPr="007939DD" w14:paraId="77BF0785" w14:textId="77777777" w:rsidTr="000B5747">
        <w:trPr>
          <w:cantSplit/>
        </w:trPr>
        <w:tc>
          <w:tcPr>
            <w:tcW w:w="2014" w:type="dxa"/>
            <w:shd w:val="clear" w:color="auto" w:fill="auto"/>
          </w:tcPr>
          <w:p w14:paraId="4A25DD97" w14:textId="77777777" w:rsidR="006F3187" w:rsidRPr="007939DD" w:rsidRDefault="006F3187" w:rsidP="006F3187">
            <w:pPr>
              <w:pStyle w:val="ARtabletext"/>
              <w:spacing w:before="70" w:after="50"/>
            </w:pPr>
            <w:r w:rsidRPr="007939DD">
              <w:t>FRD 12B</w:t>
            </w:r>
          </w:p>
        </w:tc>
        <w:tc>
          <w:tcPr>
            <w:tcW w:w="6618" w:type="dxa"/>
            <w:shd w:val="clear" w:color="auto" w:fill="auto"/>
          </w:tcPr>
          <w:p w14:paraId="29B2C3C5" w14:textId="77777777" w:rsidR="006F3187" w:rsidRPr="007939DD" w:rsidRDefault="006F3187" w:rsidP="006F3187">
            <w:pPr>
              <w:pStyle w:val="ARtabletext"/>
              <w:spacing w:before="70" w:after="50"/>
            </w:pPr>
            <w:r w:rsidRPr="007939DD">
              <w:t>Disclosure of major contracts</w:t>
            </w:r>
          </w:p>
        </w:tc>
        <w:tc>
          <w:tcPr>
            <w:tcW w:w="1007" w:type="dxa"/>
            <w:shd w:val="clear" w:color="auto" w:fill="auto"/>
          </w:tcPr>
          <w:p w14:paraId="4A0D3535" w14:textId="6C49DB71" w:rsidR="006F3187" w:rsidRPr="007939DD" w:rsidRDefault="005C2D90" w:rsidP="006F3187">
            <w:pPr>
              <w:pStyle w:val="ARtabletextright"/>
            </w:pPr>
            <w:r>
              <w:fldChar w:fldCharType="begin"/>
            </w:r>
            <w:r>
              <w:instrText xml:space="preserve"> PAGEREF _Ref21862226 \h </w:instrText>
            </w:r>
            <w:r>
              <w:fldChar w:fldCharType="separate"/>
            </w:r>
            <w:r w:rsidR="000179F2">
              <w:rPr>
                <w:noProof/>
              </w:rPr>
              <w:t>147</w:t>
            </w:r>
            <w:r>
              <w:fldChar w:fldCharType="end"/>
            </w:r>
          </w:p>
        </w:tc>
      </w:tr>
      <w:tr w:rsidR="006F3187" w:rsidRPr="007939DD" w14:paraId="6A20CE8B" w14:textId="77777777" w:rsidTr="000B5747">
        <w:trPr>
          <w:cantSplit/>
        </w:trPr>
        <w:tc>
          <w:tcPr>
            <w:tcW w:w="2014" w:type="dxa"/>
            <w:shd w:val="clear" w:color="auto" w:fill="auto"/>
          </w:tcPr>
          <w:p w14:paraId="76906E47" w14:textId="77777777" w:rsidR="006F3187" w:rsidRPr="007939DD" w:rsidRDefault="006F3187" w:rsidP="006F3187">
            <w:pPr>
              <w:pStyle w:val="ARtabletext"/>
              <w:spacing w:before="70" w:after="50"/>
            </w:pPr>
            <w:r w:rsidRPr="007939DD">
              <w:t>FRD 15D</w:t>
            </w:r>
          </w:p>
        </w:tc>
        <w:tc>
          <w:tcPr>
            <w:tcW w:w="6618" w:type="dxa"/>
            <w:shd w:val="clear" w:color="auto" w:fill="auto"/>
          </w:tcPr>
          <w:p w14:paraId="1DE38877" w14:textId="77777777" w:rsidR="006F3187" w:rsidRPr="007939DD" w:rsidRDefault="006F3187" w:rsidP="006F3187">
            <w:pPr>
              <w:pStyle w:val="ARtabletext"/>
              <w:spacing w:before="70" w:after="50"/>
            </w:pPr>
            <w:r w:rsidRPr="007939DD">
              <w:t>Executive officer disclosures</w:t>
            </w:r>
          </w:p>
        </w:tc>
        <w:tc>
          <w:tcPr>
            <w:tcW w:w="1007" w:type="dxa"/>
            <w:shd w:val="clear" w:color="auto" w:fill="auto"/>
          </w:tcPr>
          <w:p w14:paraId="3CF6FBA5" w14:textId="4948AA70" w:rsidR="006F3187" w:rsidRPr="007939DD" w:rsidRDefault="005C2D90" w:rsidP="006F3187">
            <w:pPr>
              <w:pStyle w:val="ARtabletextright"/>
            </w:pPr>
            <w:r>
              <w:fldChar w:fldCharType="begin"/>
            </w:r>
            <w:r>
              <w:instrText xml:space="preserve"> PAGEREF Executive_officer_disclosures_start \h </w:instrText>
            </w:r>
            <w:r>
              <w:fldChar w:fldCharType="separate"/>
            </w:r>
            <w:r w:rsidR="000179F2">
              <w:rPr>
                <w:noProof/>
              </w:rPr>
              <w:t>132</w:t>
            </w:r>
            <w:r>
              <w:fldChar w:fldCharType="end"/>
            </w:r>
            <w:r w:rsidR="006F3187">
              <w:t>–</w:t>
            </w:r>
            <w:r>
              <w:fldChar w:fldCharType="begin"/>
            </w:r>
            <w:r>
              <w:instrText xml:space="preserve"> PAGEREF Executive_officer_disclosures_end \h </w:instrText>
            </w:r>
            <w:r>
              <w:fldChar w:fldCharType="separate"/>
            </w:r>
            <w:r w:rsidR="000179F2">
              <w:rPr>
                <w:noProof/>
              </w:rPr>
              <w:t>136</w:t>
            </w:r>
            <w:r>
              <w:fldChar w:fldCharType="end"/>
            </w:r>
          </w:p>
        </w:tc>
      </w:tr>
      <w:tr w:rsidR="006F3187" w:rsidRPr="007939DD" w14:paraId="0115E0EA" w14:textId="77777777" w:rsidTr="000B5747">
        <w:trPr>
          <w:cantSplit/>
        </w:trPr>
        <w:tc>
          <w:tcPr>
            <w:tcW w:w="2014" w:type="dxa"/>
            <w:shd w:val="clear" w:color="auto" w:fill="auto"/>
          </w:tcPr>
          <w:p w14:paraId="07A09007" w14:textId="77777777" w:rsidR="006F3187" w:rsidRPr="007939DD" w:rsidRDefault="006F3187" w:rsidP="006F3187">
            <w:pPr>
              <w:pStyle w:val="ARtabletext"/>
              <w:spacing w:before="70" w:after="50"/>
            </w:pPr>
            <w:r w:rsidRPr="007939DD">
              <w:t>FRD 22H</w:t>
            </w:r>
          </w:p>
        </w:tc>
        <w:tc>
          <w:tcPr>
            <w:tcW w:w="6618" w:type="dxa"/>
            <w:shd w:val="clear" w:color="auto" w:fill="auto"/>
          </w:tcPr>
          <w:p w14:paraId="35C214BD" w14:textId="77777777" w:rsidR="006F3187" w:rsidRPr="007939DD" w:rsidRDefault="006F3187" w:rsidP="006F3187">
            <w:pPr>
              <w:pStyle w:val="ARtabletext"/>
              <w:spacing w:before="70" w:after="50"/>
            </w:pPr>
            <w:r w:rsidRPr="007939DD">
              <w:t>Employment and conduct principles</w:t>
            </w:r>
          </w:p>
        </w:tc>
        <w:tc>
          <w:tcPr>
            <w:tcW w:w="1007" w:type="dxa"/>
            <w:shd w:val="clear" w:color="auto" w:fill="auto"/>
          </w:tcPr>
          <w:p w14:paraId="71A27957" w14:textId="60EABBEE" w:rsidR="006F3187" w:rsidRPr="007939DD" w:rsidRDefault="00E71A1D" w:rsidP="006F3187">
            <w:pPr>
              <w:pStyle w:val="ARtabletextright"/>
            </w:pPr>
            <w:r>
              <w:fldChar w:fldCharType="begin"/>
            </w:r>
            <w:r>
              <w:instrText xml:space="preserve"> PAGEREF _Ref21862448 \h </w:instrText>
            </w:r>
            <w:r>
              <w:fldChar w:fldCharType="separate"/>
            </w:r>
            <w:r w:rsidR="000179F2">
              <w:rPr>
                <w:noProof/>
              </w:rPr>
              <w:t>111</w:t>
            </w:r>
            <w:r>
              <w:fldChar w:fldCharType="end"/>
            </w:r>
          </w:p>
        </w:tc>
      </w:tr>
      <w:tr w:rsidR="006F3187" w:rsidRPr="007939DD" w14:paraId="3336BEAE" w14:textId="77777777" w:rsidTr="000B5747">
        <w:trPr>
          <w:cantSplit/>
        </w:trPr>
        <w:tc>
          <w:tcPr>
            <w:tcW w:w="2014" w:type="dxa"/>
            <w:shd w:val="clear" w:color="auto" w:fill="auto"/>
          </w:tcPr>
          <w:p w14:paraId="3F623079" w14:textId="77777777" w:rsidR="006F3187" w:rsidRPr="007939DD" w:rsidRDefault="006F3187" w:rsidP="006F3187">
            <w:pPr>
              <w:pStyle w:val="ARtabletext"/>
              <w:spacing w:before="70" w:after="50"/>
            </w:pPr>
            <w:r w:rsidRPr="007939DD">
              <w:t>FRD 22H</w:t>
            </w:r>
          </w:p>
        </w:tc>
        <w:tc>
          <w:tcPr>
            <w:tcW w:w="6618" w:type="dxa"/>
            <w:shd w:val="clear" w:color="auto" w:fill="auto"/>
          </w:tcPr>
          <w:p w14:paraId="34EA6607" w14:textId="77777777" w:rsidR="006F3187" w:rsidRPr="007939DD" w:rsidRDefault="006F3187" w:rsidP="006F3187">
            <w:pPr>
              <w:pStyle w:val="ARtabletext"/>
              <w:spacing w:before="70" w:after="50"/>
            </w:pPr>
            <w:r w:rsidRPr="007939DD">
              <w:t>Occupational health and safety management measures</w:t>
            </w:r>
          </w:p>
        </w:tc>
        <w:tc>
          <w:tcPr>
            <w:tcW w:w="1007" w:type="dxa"/>
            <w:shd w:val="clear" w:color="auto" w:fill="auto"/>
          </w:tcPr>
          <w:p w14:paraId="1F58F835" w14:textId="74E8D585" w:rsidR="006F3187" w:rsidRPr="007939DD" w:rsidRDefault="00F57B55" w:rsidP="006F3187">
            <w:pPr>
              <w:pStyle w:val="ARtabletextright"/>
            </w:pPr>
            <w:r>
              <w:fldChar w:fldCharType="begin"/>
            </w:r>
            <w:r>
              <w:instrText xml:space="preserve"> PAGEREF _Ref21955871 \h </w:instrText>
            </w:r>
            <w:r>
              <w:fldChar w:fldCharType="separate"/>
            </w:r>
            <w:r w:rsidR="000179F2">
              <w:rPr>
                <w:noProof/>
              </w:rPr>
              <w:t>138</w:t>
            </w:r>
            <w:r>
              <w:fldChar w:fldCharType="end"/>
            </w:r>
            <w:r w:rsidR="00BC165B">
              <w:t>–</w:t>
            </w:r>
            <w:r>
              <w:fldChar w:fldCharType="begin"/>
            </w:r>
            <w:r>
              <w:instrText xml:space="preserve"> PAGEREF Environmental_performance_end \h </w:instrText>
            </w:r>
            <w:r>
              <w:fldChar w:fldCharType="separate"/>
            </w:r>
            <w:r w:rsidR="000179F2">
              <w:rPr>
                <w:noProof/>
              </w:rPr>
              <w:t>140</w:t>
            </w:r>
            <w:r>
              <w:fldChar w:fldCharType="end"/>
            </w:r>
          </w:p>
        </w:tc>
      </w:tr>
      <w:tr w:rsidR="006F3187" w:rsidRPr="007939DD" w14:paraId="1F297FF6" w14:textId="77777777" w:rsidTr="000B5747">
        <w:trPr>
          <w:cantSplit/>
        </w:trPr>
        <w:tc>
          <w:tcPr>
            <w:tcW w:w="2014" w:type="dxa"/>
            <w:shd w:val="clear" w:color="auto" w:fill="auto"/>
          </w:tcPr>
          <w:p w14:paraId="563DE03E" w14:textId="77777777" w:rsidR="006F3187" w:rsidRPr="007939DD" w:rsidRDefault="006F3187" w:rsidP="006F3187">
            <w:pPr>
              <w:pStyle w:val="ARtabletext"/>
              <w:spacing w:before="70" w:after="50"/>
            </w:pPr>
            <w:r w:rsidRPr="007939DD">
              <w:t>FRD 22H</w:t>
            </w:r>
          </w:p>
        </w:tc>
        <w:tc>
          <w:tcPr>
            <w:tcW w:w="6618" w:type="dxa"/>
            <w:shd w:val="clear" w:color="auto" w:fill="auto"/>
          </w:tcPr>
          <w:p w14:paraId="1ED08BDC" w14:textId="77777777" w:rsidR="006F3187" w:rsidRPr="007939DD" w:rsidRDefault="006F3187" w:rsidP="006F3187">
            <w:pPr>
              <w:pStyle w:val="ARtabletext"/>
              <w:spacing w:before="70" w:after="50"/>
            </w:pPr>
            <w:r w:rsidRPr="007939DD">
              <w:t>Summary of the financial results for the year</w:t>
            </w:r>
          </w:p>
        </w:tc>
        <w:tc>
          <w:tcPr>
            <w:tcW w:w="1007" w:type="dxa"/>
            <w:shd w:val="clear" w:color="auto" w:fill="auto"/>
          </w:tcPr>
          <w:p w14:paraId="41922886" w14:textId="77A0F41D" w:rsidR="006F3187" w:rsidRPr="007939DD" w:rsidRDefault="00F57B55" w:rsidP="006F3187">
            <w:pPr>
              <w:pStyle w:val="ARtabletextright"/>
            </w:pPr>
            <w:r>
              <w:fldChar w:fldCharType="begin"/>
            </w:r>
            <w:r>
              <w:instrText xml:space="preserve"> PAGEREF _Ref21956322 \h </w:instrText>
            </w:r>
            <w:r>
              <w:fldChar w:fldCharType="separate"/>
            </w:r>
            <w:r w:rsidR="000179F2">
              <w:rPr>
                <w:noProof/>
              </w:rPr>
              <w:t>101</w:t>
            </w:r>
            <w:r>
              <w:fldChar w:fldCharType="end"/>
            </w:r>
            <w:r w:rsidR="006F3187">
              <w:t>–</w:t>
            </w:r>
            <w:r>
              <w:fldChar w:fldCharType="begin"/>
            </w:r>
            <w:r>
              <w:instrText xml:space="preserve"> PAGEREF _Ref21956328 \h </w:instrText>
            </w:r>
            <w:r>
              <w:fldChar w:fldCharType="separate"/>
            </w:r>
            <w:r w:rsidR="000179F2">
              <w:rPr>
                <w:noProof/>
              </w:rPr>
              <w:t>102</w:t>
            </w:r>
            <w:r>
              <w:fldChar w:fldCharType="end"/>
            </w:r>
          </w:p>
        </w:tc>
      </w:tr>
      <w:tr w:rsidR="006F3187" w:rsidRPr="007939DD" w14:paraId="0E2794C7" w14:textId="77777777" w:rsidTr="000B5747">
        <w:trPr>
          <w:cantSplit/>
        </w:trPr>
        <w:tc>
          <w:tcPr>
            <w:tcW w:w="2014" w:type="dxa"/>
            <w:shd w:val="clear" w:color="auto" w:fill="auto"/>
          </w:tcPr>
          <w:p w14:paraId="161ECDB2" w14:textId="77777777" w:rsidR="006F3187" w:rsidRPr="007939DD" w:rsidRDefault="006F3187" w:rsidP="006F3187">
            <w:pPr>
              <w:pStyle w:val="ARtabletext"/>
              <w:spacing w:before="70" w:after="50"/>
            </w:pPr>
            <w:r w:rsidRPr="007939DD">
              <w:t>FRD 22H</w:t>
            </w:r>
          </w:p>
        </w:tc>
        <w:tc>
          <w:tcPr>
            <w:tcW w:w="6618" w:type="dxa"/>
            <w:shd w:val="clear" w:color="auto" w:fill="auto"/>
          </w:tcPr>
          <w:p w14:paraId="36C5EA86" w14:textId="77777777" w:rsidR="006F3187" w:rsidRPr="007939DD" w:rsidRDefault="006F3187" w:rsidP="006F3187">
            <w:pPr>
              <w:pStyle w:val="ARtabletext"/>
              <w:spacing w:before="70" w:after="50"/>
            </w:pPr>
            <w:r w:rsidRPr="007939DD">
              <w:t>Significant changes in financial position during the year</w:t>
            </w:r>
          </w:p>
        </w:tc>
        <w:tc>
          <w:tcPr>
            <w:tcW w:w="1007" w:type="dxa"/>
            <w:shd w:val="clear" w:color="auto" w:fill="auto"/>
          </w:tcPr>
          <w:p w14:paraId="61C2EDBF" w14:textId="3C914066" w:rsidR="006F3187" w:rsidRPr="007939DD" w:rsidRDefault="00F57B55" w:rsidP="006F3187">
            <w:pPr>
              <w:pStyle w:val="ARtabletextright"/>
            </w:pPr>
            <w:r>
              <w:fldChar w:fldCharType="begin"/>
            </w:r>
            <w:r>
              <w:instrText xml:space="preserve"> PAGEREF _Ref21956322 \h </w:instrText>
            </w:r>
            <w:r>
              <w:fldChar w:fldCharType="separate"/>
            </w:r>
            <w:r w:rsidR="000179F2">
              <w:rPr>
                <w:noProof/>
              </w:rPr>
              <w:t>101</w:t>
            </w:r>
            <w:r>
              <w:fldChar w:fldCharType="end"/>
            </w:r>
            <w:r>
              <w:t>–</w:t>
            </w:r>
            <w:r>
              <w:fldChar w:fldCharType="begin"/>
            </w:r>
            <w:r>
              <w:instrText xml:space="preserve"> PAGEREF _Ref21956328 \h </w:instrText>
            </w:r>
            <w:r>
              <w:fldChar w:fldCharType="separate"/>
            </w:r>
            <w:r w:rsidR="000179F2">
              <w:rPr>
                <w:noProof/>
              </w:rPr>
              <w:t>102</w:t>
            </w:r>
            <w:r>
              <w:fldChar w:fldCharType="end"/>
            </w:r>
          </w:p>
        </w:tc>
      </w:tr>
      <w:tr w:rsidR="006F3187" w:rsidRPr="007939DD" w14:paraId="5014A098" w14:textId="77777777" w:rsidTr="000B5747">
        <w:trPr>
          <w:cantSplit/>
        </w:trPr>
        <w:tc>
          <w:tcPr>
            <w:tcW w:w="2014" w:type="dxa"/>
            <w:shd w:val="clear" w:color="auto" w:fill="auto"/>
          </w:tcPr>
          <w:p w14:paraId="1F834859" w14:textId="77777777" w:rsidR="006F3187" w:rsidRPr="007939DD" w:rsidRDefault="006F3187" w:rsidP="006F3187">
            <w:pPr>
              <w:pStyle w:val="ARtabletext"/>
              <w:spacing w:before="70" w:after="50"/>
            </w:pPr>
            <w:r w:rsidRPr="007939DD">
              <w:t>FRD 22H</w:t>
            </w:r>
          </w:p>
        </w:tc>
        <w:tc>
          <w:tcPr>
            <w:tcW w:w="6618" w:type="dxa"/>
            <w:shd w:val="clear" w:color="auto" w:fill="auto"/>
          </w:tcPr>
          <w:p w14:paraId="0A7B3EB3" w14:textId="77777777" w:rsidR="006F3187" w:rsidRPr="007939DD" w:rsidRDefault="006F3187" w:rsidP="006F3187">
            <w:pPr>
              <w:pStyle w:val="ARtabletext"/>
              <w:spacing w:before="70" w:after="50"/>
            </w:pPr>
            <w:r w:rsidRPr="007939DD">
              <w:t>Major changes or factors affecting performance</w:t>
            </w:r>
          </w:p>
        </w:tc>
        <w:tc>
          <w:tcPr>
            <w:tcW w:w="1007" w:type="dxa"/>
            <w:shd w:val="clear" w:color="auto" w:fill="auto"/>
          </w:tcPr>
          <w:p w14:paraId="35210DA1" w14:textId="4D6F4ACF" w:rsidR="006F3187" w:rsidRPr="007939DD" w:rsidRDefault="00F57B55" w:rsidP="006F3187">
            <w:pPr>
              <w:pStyle w:val="ARtabletextright"/>
            </w:pPr>
            <w:r>
              <w:fldChar w:fldCharType="begin"/>
            </w:r>
            <w:r>
              <w:instrText xml:space="preserve"> PAGEREF _Ref21956322 \h </w:instrText>
            </w:r>
            <w:r>
              <w:fldChar w:fldCharType="separate"/>
            </w:r>
            <w:r w:rsidR="000179F2">
              <w:rPr>
                <w:noProof/>
              </w:rPr>
              <w:t>101</w:t>
            </w:r>
            <w:r>
              <w:fldChar w:fldCharType="end"/>
            </w:r>
            <w:r>
              <w:t>–</w:t>
            </w:r>
            <w:r>
              <w:fldChar w:fldCharType="begin"/>
            </w:r>
            <w:r>
              <w:instrText xml:space="preserve"> PAGEREF _Ref21956328 \h </w:instrText>
            </w:r>
            <w:r>
              <w:fldChar w:fldCharType="separate"/>
            </w:r>
            <w:r w:rsidR="000179F2">
              <w:rPr>
                <w:noProof/>
              </w:rPr>
              <w:t>102</w:t>
            </w:r>
            <w:r>
              <w:fldChar w:fldCharType="end"/>
            </w:r>
          </w:p>
        </w:tc>
      </w:tr>
      <w:tr w:rsidR="006F3187" w:rsidRPr="007939DD" w14:paraId="50CF3007" w14:textId="77777777" w:rsidTr="000B5747">
        <w:trPr>
          <w:cantSplit/>
        </w:trPr>
        <w:tc>
          <w:tcPr>
            <w:tcW w:w="2014" w:type="dxa"/>
            <w:shd w:val="clear" w:color="auto" w:fill="auto"/>
          </w:tcPr>
          <w:p w14:paraId="4261CF85" w14:textId="77777777" w:rsidR="006F3187" w:rsidRPr="007939DD" w:rsidRDefault="006F3187" w:rsidP="006F3187">
            <w:pPr>
              <w:pStyle w:val="ARtabletext"/>
              <w:spacing w:before="70" w:after="50"/>
            </w:pPr>
            <w:r w:rsidRPr="007939DD">
              <w:t>FRD 22H</w:t>
            </w:r>
          </w:p>
        </w:tc>
        <w:tc>
          <w:tcPr>
            <w:tcW w:w="6618" w:type="dxa"/>
            <w:shd w:val="clear" w:color="auto" w:fill="auto"/>
          </w:tcPr>
          <w:p w14:paraId="3D62F529" w14:textId="77777777" w:rsidR="006F3187" w:rsidRPr="007939DD" w:rsidRDefault="006F3187" w:rsidP="006F3187">
            <w:pPr>
              <w:pStyle w:val="ARtabletext"/>
              <w:spacing w:before="70" w:after="50"/>
            </w:pPr>
            <w:r w:rsidRPr="007939DD">
              <w:t>Subsequent events</w:t>
            </w:r>
          </w:p>
        </w:tc>
        <w:tc>
          <w:tcPr>
            <w:tcW w:w="1007" w:type="dxa"/>
            <w:shd w:val="clear" w:color="auto" w:fill="auto"/>
          </w:tcPr>
          <w:p w14:paraId="1864098D" w14:textId="2B999199" w:rsidR="006F3187" w:rsidRPr="007939DD" w:rsidRDefault="00F57B55" w:rsidP="006F3187">
            <w:pPr>
              <w:pStyle w:val="ARtabletextright"/>
            </w:pPr>
            <w:r>
              <w:fldChar w:fldCharType="begin"/>
            </w:r>
            <w:r>
              <w:instrText xml:space="preserve"> PAGEREF _Ref21956386 \h </w:instrText>
            </w:r>
            <w:r>
              <w:fldChar w:fldCharType="separate"/>
            </w:r>
            <w:r w:rsidR="000179F2">
              <w:rPr>
                <w:noProof/>
              </w:rPr>
              <w:t>259</w:t>
            </w:r>
            <w:r>
              <w:fldChar w:fldCharType="end"/>
            </w:r>
          </w:p>
        </w:tc>
      </w:tr>
      <w:tr w:rsidR="006F3187" w:rsidRPr="007939DD" w14:paraId="7BDA02CB" w14:textId="77777777" w:rsidTr="000B5747">
        <w:trPr>
          <w:cantSplit/>
        </w:trPr>
        <w:tc>
          <w:tcPr>
            <w:tcW w:w="2014" w:type="dxa"/>
            <w:shd w:val="clear" w:color="auto" w:fill="auto"/>
          </w:tcPr>
          <w:p w14:paraId="37725329" w14:textId="77777777" w:rsidR="006F3187" w:rsidRPr="007939DD" w:rsidRDefault="006F3187" w:rsidP="006F3187">
            <w:pPr>
              <w:pStyle w:val="ARtabletext"/>
              <w:spacing w:before="70" w:after="50"/>
            </w:pPr>
            <w:r w:rsidRPr="007939DD">
              <w:t>FRD 22H</w:t>
            </w:r>
          </w:p>
        </w:tc>
        <w:tc>
          <w:tcPr>
            <w:tcW w:w="6618" w:type="dxa"/>
            <w:shd w:val="clear" w:color="auto" w:fill="auto"/>
          </w:tcPr>
          <w:p w14:paraId="37ED24D6" w14:textId="77777777" w:rsidR="006F3187" w:rsidRPr="007939DD" w:rsidRDefault="006F3187" w:rsidP="006F3187">
            <w:pPr>
              <w:pStyle w:val="ARtabletext"/>
              <w:spacing w:before="70" w:after="50"/>
            </w:pPr>
            <w:r w:rsidRPr="007939DD">
              <w:t xml:space="preserve">Application and operation of </w:t>
            </w:r>
            <w:r w:rsidRPr="007939DD">
              <w:rPr>
                <w:i/>
              </w:rPr>
              <w:t>Freedom of Information Act 1982</w:t>
            </w:r>
          </w:p>
        </w:tc>
        <w:tc>
          <w:tcPr>
            <w:tcW w:w="1007" w:type="dxa"/>
            <w:shd w:val="clear" w:color="auto" w:fill="auto"/>
          </w:tcPr>
          <w:p w14:paraId="1FAAF086" w14:textId="0C555DD0" w:rsidR="006F3187" w:rsidRPr="007939DD" w:rsidRDefault="00F57B55" w:rsidP="006F3187">
            <w:pPr>
              <w:pStyle w:val="ARtabletextright"/>
            </w:pPr>
            <w:r>
              <w:fldChar w:fldCharType="begin"/>
            </w:r>
            <w:r>
              <w:instrText xml:space="preserve"> PAGEREF _Ref492895142 \h </w:instrText>
            </w:r>
            <w:r>
              <w:fldChar w:fldCharType="separate"/>
            </w:r>
            <w:r w:rsidR="000179F2">
              <w:rPr>
                <w:noProof/>
              </w:rPr>
              <w:t>160</w:t>
            </w:r>
            <w:r>
              <w:fldChar w:fldCharType="end"/>
            </w:r>
          </w:p>
        </w:tc>
      </w:tr>
      <w:tr w:rsidR="006F3187" w:rsidRPr="007939DD" w14:paraId="765A559E" w14:textId="77777777" w:rsidTr="000B5747">
        <w:trPr>
          <w:cantSplit/>
        </w:trPr>
        <w:tc>
          <w:tcPr>
            <w:tcW w:w="2014" w:type="dxa"/>
            <w:shd w:val="clear" w:color="auto" w:fill="auto"/>
          </w:tcPr>
          <w:p w14:paraId="75AA15D6" w14:textId="77777777" w:rsidR="006F3187" w:rsidRPr="007939DD" w:rsidRDefault="006F3187" w:rsidP="006F3187">
            <w:pPr>
              <w:pStyle w:val="ARtabletext"/>
              <w:spacing w:before="70" w:after="50"/>
            </w:pPr>
            <w:r w:rsidRPr="007939DD">
              <w:t>FRD 22H</w:t>
            </w:r>
          </w:p>
        </w:tc>
        <w:tc>
          <w:tcPr>
            <w:tcW w:w="6618" w:type="dxa"/>
            <w:shd w:val="clear" w:color="auto" w:fill="auto"/>
          </w:tcPr>
          <w:p w14:paraId="1914A8C2" w14:textId="77777777" w:rsidR="006F3187" w:rsidRPr="007939DD" w:rsidRDefault="006F3187" w:rsidP="006F3187">
            <w:pPr>
              <w:pStyle w:val="ARtabletext"/>
              <w:spacing w:before="70" w:after="50"/>
            </w:pPr>
            <w:r w:rsidRPr="007939DD">
              <w:t xml:space="preserve">Compliance with building and maintenance provisions of </w:t>
            </w:r>
            <w:r w:rsidRPr="007939DD">
              <w:rPr>
                <w:i/>
              </w:rPr>
              <w:t>Building Act 1993</w:t>
            </w:r>
          </w:p>
        </w:tc>
        <w:tc>
          <w:tcPr>
            <w:tcW w:w="1007" w:type="dxa"/>
            <w:shd w:val="clear" w:color="auto" w:fill="auto"/>
          </w:tcPr>
          <w:p w14:paraId="489AD140" w14:textId="163D087F" w:rsidR="006F3187" w:rsidRPr="007939DD" w:rsidRDefault="00F57B55" w:rsidP="006F3187">
            <w:pPr>
              <w:pStyle w:val="ARtabletextright"/>
            </w:pPr>
            <w:r>
              <w:fldChar w:fldCharType="begin"/>
            </w:r>
            <w:r>
              <w:instrText xml:space="preserve"> PAGEREF _Ref21956605 \h </w:instrText>
            </w:r>
            <w:r>
              <w:fldChar w:fldCharType="separate"/>
            </w:r>
            <w:r w:rsidR="000179F2">
              <w:rPr>
                <w:noProof/>
              </w:rPr>
              <w:t>145</w:t>
            </w:r>
            <w:r>
              <w:fldChar w:fldCharType="end"/>
            </w:r>
          </w:p>
        </w:tc>
      </w:tr>
      <w:tr w:rsidR="006F3187" w:rsidRPr="007939DD" w14:paraId="139DD0C0" w14:textId="77777777" w:rsidTr="000B5747">
        <w:trPr>
          <w:cantSplit/>
        </w:trPr>
        <w:tc>
          <w:tcPr>
            <w:tcW w:w="2014" w:type="dxa"/>
            <w:shd w:val="clear" w:color="auto" w:fill="auto"/>
          </w:tcPr>
          <w:p w14:paraId="029398A5" w14:textId="77777777" w:rsidR="006F3187" w:rsidRPr="007939DD" w:rsidRDefault="006F3187" w:rsidP="006F3187">
            <w:pPr>
              <w:pStyle w:val="ARtabletext"/>
              <w:spacing w:before="70" w:after="50"/>
            </w:pPr>
            <w:r w:rsidRPr="007939DD">
              <w:t>FRD 22H</w:t>
            </w:r>
          </w:p>
        </w:tc>
        <w:tc>
          <w:tcPr>
            <w:tcW w:w="6618" w:type="dxa"/>
            <w:shd w:val="clear" w:color="auto" w:fill="auto"/>
          </w:tcPr>
          <w:p w14:paraId="7353AA5C" w14:textId="77777777" w:rsidR="006F3187" w:rsidRPr="007939DD" w:rsidRDefault="006F3187" w:rsidP="006F3187">
            <w:pPr>
              <w:pStyle w:val="ARtabletext"/>
              <w:spacing w:before="70" w:after="50"/>
            </w:pPr>
            <w:r w:rsidRPr="007939DD">
              <w:t>Statement on National Competition Policy</w:t>
            </w:r>
          </w:p>
        </w:tc>
        <w:tc>
          <w:tcPr>
            <w:tcW w:w="1007" w:type="dxa"/>
            <w:shd w:val="clear" w:color="auto" w:fill="auto"/>
          </w:tcPr>
          <w:p w14:paraId="6BBB8302" w14:textId="28630E28" w:rsidR="006F3187" w:rsidRPr="007939DD" w:rsidRDefault="00F57B55" w:rsidP="006F3187">
            <w:pPr>
              <w:pStyle w:val="ARtabletextright"/>
            </w:pPr>
            <w:r>
              <w:fldChar w:fldCharType="begin"/>
            </w:r>
            <w:r>
              <w:instrText xml:space="preserve"> PAGEREF _Ref21956612 \h </w:instrText>
            </w:r>
            <w:r>
              <w:fldChar w:fldCharType="separate"/>
            </w:r>
            <w:r w:rsidR="000179F2">
              <w:rPr>
                <w:noProof/>
              </w:rPr>
              <w:t>146</w:t>
            </w:r>
            <w:r>
              <w:fldChar w:fldCharType="end"/>
            </w:r>
          </w:p>
        </w:tc>
      </w:tr>
      <w:tr w:rsidR="006F3187" w:rsidRPr="007939DD" w14:paraId="522517BE" w14:textId="77777777" w:rsidTr="000B5747">
        <w:trPr>
          <w:cantSplit/>
        </w:trPr>
        <w:tc>
          <w:tcPr>
            <w:tcW w:w="2014" w:type="dxa"/>
            <w:shd w:val="clear" w:color="auto" w:fill="auto"/>
          </w:tcPr>
          <w:p w14:paraId="285E1451" w14:textId="77777777" w:rsidR="006F3187" w:rsidRPr="007939DD" w:rsidRDefault="006F3187" w:rsidP="006F3187">
            <w:pPr>
              <w:pStyle w:val="ARtabletext"/>
              <w:spacing w:before="70" w:after="50"/>
            </w:pPr>
            <w:r w:rsidRPr="007939DD">
              <w:t>FRD 22H</w:t>
            </w:r>
          </w:p>
        </w:tc>
        <w:tc>
          <w:tcPr>
            <w:tcW w:w="6618" w:type="dxa"/>
            <w:shd w:val="clear" w:color="auto" w:fill="auto"/>
          </w:tcPr>
          <w:p w14:paraId="3C3E349A" w14:textId="77777777" w:rsidR="006F3187" w:rsidRPr="007939DD" w:rsidRDefault="006F3187" w:rsidP="006F3187">
            <w:pPr>
              <w:pStyle w:val="ARtabletext"/>
              <w:spacing w:before="70" w:after="50"/>
            </w:pPr>
            <w:r w:rsidRPr="007939DD">
              <w:t xml:space="preserve">Application and operation of the </w:t>
            </w:r>
            <w:r w:rsidRPr="007939DD">
              <w:rPr>
                <w:i/>
              </w:rPr>
              <w:t>Protected Disclosures Act 2012</w:t>
            </w:r>
          </w:p>
        </w:tc>
        <w:tc>
          <w:tcPr>
            <w:tcW w:w="1007" w:type="dxa"/>
            <w:shd w:val="clear" w:color="auto" w:fill="auto"/>
          </w:tcPr>
          <w:p w14:paraId="3974D53B" w14:textId="0464D81B" w:rsidR="006F3187" w:rsidRPr="007939DD" w:rsidRDefault="00F57B55" w:rsidP="006F3187">
            <w:pPr>
              <w:pStyle w:val="ARtabletextright"/>
            </w:pPr>
            <w:r>
              <w:fldChar w:fldCharType="begin"/>
            </w:r>
            <w:r>
              <w:instrText xml:space="preserve"> PAGEREF _Ref21956761 \h </w:instrText>
            </w:r>
            <w:r>
              <w:fldChar w:fldCharType="separate"/>
            </w:r>
            <w:r w:rsidR="000179F2">
              <w:rPr>
                <w:noProof/>
              </w:rPr>
              <w:t>145</w:t>
            </w:r>
            <w:r>
              <w:fldChar w:fldCharType="end"/>
            </w:r>
          </w:p>
        </w:tc>
      </w:tr>
      <w:tr w:rsidR="006F3187" w:rsidRPr="007939DD" w14:paraId="7A958D85" w14:textId="77777777" w:rsidTr="000B5747">
        <w:trPr>
          <w:cantSplit/>
        </w:trPr>
        <w:tc>
          <w:tcPr>
            <w:tcW w:w="2014" w:type="dxa"/>
            <w:shd w:val="clear" w:color="auto" w:fill="auto"/>
          </w:tcPr>
          <w:p w14:paraId="740CAFA8" w14:textId="77777777" w:rsidR="006F3187" w:rsidRPr="007939DD" w:rsidRDefault="006F3187" w:rsidP="006F3187">
            <w:pPr>
              <w:pStyle w:val="ARtabletext"/>
              <w:spacing w:before="70" w:after="50"/>
            </w:pPr>
            <w:r w:rsidRPr="007939DD">
              <w:t>FRD 22H</w:t>
            </w:r>
          </w:p>
        </w:tc>
        <w:tc>
          <w:tcPr>
            <w:tcW w:w="6618" w:type="dxa"/>
            <w:shd w:val="clear" w:color="auto" w:fill="auto"/>
          </w:tcPr>
          <w:p w14:paraId="25BBC5DB" w14:textId="77777777" w:rsidR="006F3187" w:rsidRPr="007939DD" w:rsidRDefault="006F3187" w:rsidP="006F3187">
            <w:pPr>
              <w:pStyle w:val="ARtabletext"/>
              <w:spacing w:before="70" w:after="50"/>
            </w:pPr>
            <w:r w:rsidRPr="007939DD">
              <w:t xml:space="preserve">Application and operation of the </w:t>
            </w:r>
            <w:r w:rsidRPr="007939DD">
              <w:rPr>
                <w:i/>
              </w:rPr>
              <w:t>Carers Recognition Act 2012</w:t>
            </w:r>
          </w:p>
        </w:tc>
        <w:tc>
          <w:tcPr>
            <w:tcW w:w="1007" w:type="dxa"/>
            <w:shd w:val="clear" w:color="auto" w:fill="auto"/>
          </w:tcPr>
          <w:p w14:paraId="2FA225EC" w14:textId="787ADC3A" w:rsidR="006F3187" w:rsidRPr="007939DD" w:rsidRDefault="00F57B55" w:rsidP="006F3187">
            <w:pPr>
              <w:pStyle w:val="ARtabletextright"/>
            </w:pPr>
            <w:r>
              <w:fldChar w:fldCharType="begin"/>
            </w:r>
            <w:r>
              <w:instrText xml:space="preserve"> PAGEREF _Ref21956652 \h </w:instrText>
            </w:r>
            <w:r>
              <w:fldChar w:fldCharType="separate"/>
            </w:r>
            <w:r w:rsidR="000179F2">
              <w:rPr>
                <w:noProof/>
              </w:rPr>
              <w:t>146</w:t>
            </w:r>
            <w:r>
              <w:fldChar w:fldCharType="end"/>
            </w:r>
          </w:p>
        </w:tc>
      </w:tr>
      <w:tr w:rsidR="006F3187" w:rsidRPr="007939DD" w14:paraId="24ACC965" w14:textId="77777777" w:rsidTr="000B5747">
        <w:trPr>
          <w:cantSplit/>
        </w:trPr>
        <w:tc>
          <w:tcPr>
            <w:tcW w:w="2014" w:type="dxa"/>
            <w:shd w:val="clear" w:color="auto" w:fill="auto"/>
          </w:tcPr>
          <w:p w14:paraId="56632FC3" w14:textId="77777777" w:rsidR="006F3187" w:rsidRPr="007939DD" w:rsidRDefault="006F3187" w:rsidP="006F3187">
            <w:pPr>
              <w:pStyle w:val="ARtabletext"/>
              <w:spacing w:before="70" w:after="50"/>
            </w:pPr>
            <w:r w:rsidRPr="007939DD">
              <w:t>FRD 22H</w:t>
            </w:r>
          </w:p>
        </w:tc>
        <w:tc>
          <w:tcPr>
            <w:tcW w:w="6618" w:type="dxa"/>
            <w:shd w:val="clear" w:color="auto" w:fill="auto"/>
          </w:tcPr>
          <w:p w14:paraId="362C1CD7" w14:textId="77777777" w:rsidR="006F3187" w:rsidRPr="007939DD" w:rsidRDefault="006F3187" w:rsidP="006F3187">
            <w:pPr>
              <w:pStyle w:val="ARtabletext"/>
              <w:spacing w:before="70" w:after="50"/>
            </w:pPr>
            <w:r w:rsidRPr="007939DD">
              <w:t>Details of consultancies over $10,000</w:t>
            </w:r>
          </w:p>
        </w:tc>
        <w:tc>
          <w:tcPr>
            <w:tcW w:w="1007" w:type="dxa"/>
            <w:shd w:val="clear" w:color="auto" w:fill="auto"/>
          </w:tcPr>
          <w:p w14:paraId="555B2524" w14:textId="68B56FEE" w:rsidR="006F3187" w:rsidRPr="007939DD" w:rsidRDefault="00F57B55" w:rsidP="006F3187">
            <w:pPr>
              <w:pStyle w:val="ARtabletextright"/>
            </w:pPr>
            <w:r>
              <w:fldChar w:fldCharType="begin"/>
            </w:r>
            <w:r>
              <w:instrText xml:space="preserve"> PAGEREF _Ref492895249 \h </w:instrText>
            </w:r>
            <w:r>
              <w:fldChar w:fldCharType="separate"/>
            </w:r>
            <w:r w:rsidR="000179F2">
              <w:rPr>
                <w:noProof/>
              </w:rPr>
              <w:t>148</w:t>
            </w:r>
            <w:r>
              <w:fldChar w:fldCharType="end"/>
            </w:r>
            <w:r w:rsidR="006F3187">
              <w:t>–</w:t>
            </w:r>
            <w:r w:rsidR="009554D4">
              <w:fldChar w:fldCharType="begin"/>
            </w:r>
            <w:r w:rsidR="009554D4">
              <w:instrText xml:space="preserve"> PAGEREF Consultancies_over_10000_end \h </w:instrText>
            </w:r>
            <w:r w:rsidR="009554D4">
              <w:fldChar w:fldCharType="separate"/>
            </w:r>
            <w:r w:rsidR="000179F2">
              <w:rPr>
                <w:noProof/>
              </w:rPr>
              <w:t>157</w:t>
            </w:r>
            <w:r w:rsidR="009554D4">
              <w:fldChar w:fldCharType="end"/>
            </w:r>
          </w:p>
        </w:tc>
      </w:tr>
      <w:tr w:rsidR="006F3187" w:rsidRPr="007939DD" w14:paraId="54958403" w14:textId="77777777" w:rsidTr="000B5747">
        <w:trPr>
          <w:cantSplit/>
        </w:trPr>
        <w:tc>
          <w:tcPr>
            <w:tcW w:w="2014" w:type="dxa"/>
            <w:shd w:val="clear" w:color="auto" w:fill="auto"/>
          </w:tcPr>
          <w:p w14:paraId="13B6F013" w14:textId="77777777" w:rsidR="006F3187" w:rsidRPr="007939DD" w:rsidRDefault="006F3187" w:rsidP="006F3187">
            <w:pPr>
              <w:pStyle w:val="ARtabletext"/>
              <w:spacing w:before="70" w:after="50"/>
            </w:pPr>
            <w:r w:rsidRPr="007939DD">
              <w:t>FRD 22H</w:t>
            </w:r>
          </w:p>
        </w:tc>
        <w:tc>
          <w:tcPr>
            <w:tcW w:w="6618" w:type="dxa"/>
            <w:shd w:val="clear" w:color="auto" w:fill="auto"/>
          </w:tcPr>
          <w:p w14:paraId="6C24CE35" w14:textId="77777777" w:rsidR="006F3187" w:rsidRPr="007939DD" w:rsidRDefault="006F3187" w:rsidP="006F3187">
            <w:pPr>
              <w:pStyle w:val="ARtabletext"/>
              <w:spacing w:before="70" w:after="50"/>
            </w:pPr>
            <w:r w:rsidRPr="007939DD">
              <w:t>Details of consultancies under $10,000</w:t>
            </w:r>
          </w:p>
        </w:tc>
        <w:tc>
          <w:tcPr>
            <w:tcW w:w="1007" w:type="dxa"/>
            <w:shd w:val="clear" w:color="auto" w:fill="auto"/>
          </w:tcPr>
          <w:p w14:paraId="5B07C821" w14:textId="2C71F738" w:rsidR="006F3187" w:rsidRPr="007939DD" w:rsidRDefault="00F57B55" w:rsidP="006F3187">
            <w:pPr>
              <w:pStyle w:val="ARtabletextright"/>
            </w:pPr>
            <w:r>
              <w:fldChar w:fldCharType="begin"/>
            </w:r>
            <w:r>
              <w:instrText xml:space="preserve"> PAGEREF _Ref21956782 \h </w:instrText>
            </w:r>
            <w:r>
              <w:fldChar w:fldCharType="separate"/>
            </w:r>
            <w:r w:rsidR="000179F2">
              <w:rPr>
                <w:noProof/>
              </w:rPr>
              <w:t>147</w:t>
            </w:r>
            <w:r>
              <w:fldChar w:fldCharType="end"/>
            </w:r>
          </w:p>
        </w:tc>
      </w:tr>
      <w:tr w:rsidR="006F3187" w:rsidRPr="007939DD" w14:paraId="2C27E27B" w14:textId="77777777" w:rsidTr="000B5747">
        <w:trPr>
          <w:cantSplit/>
        </w:trPr>
        <w:tc>
          <w:tcPr>
            <w:tcW w:w="2014" w:type="dxa"/>
            <w:shd w:val="clear" w:color="auto" w:fill="auto"/>
          </w:tcPr>
          <w:p w14:paraId="06F641C2" w14:textId="77777777" w:rsidR="006F3187" w:rsidRPr="007939DD" w:rsidRDefault="006F3187" w:rsidP="006F3187">
            <w:pPr>
              <w:pStyle w:val="ARtabletext"/>
              <w:spacing w:before="70" w:after="50"/>
            </w:pPr>
            <w:r w:rsidRPr="007939DD">
              <w:t>FRD 22H</w:t>
            </w:r>
          </w:p>
        </w:tc>
        <w:tc>
          <w:tcPr>
            <w:tcW w:w="6618" w:type="dxa"/>
            <w:shd w:val="clear" w:color="auto" w:fill="auto"/>
          </w:tcPr>
          <w:p w14:paraId="30455AB6" w14:textId="77777777" w:rsidR="006F3187" w:rsidRPr="007939DD" w:rsidRDefault="006F3187" w:rsidP="006F3187">
            <w:pPr>
              <w:pStyle w:val="ARtabletext"/>
              <w:spacing w:before="70" w:after="50"/>
            </w:pPr>
            <w:r w:rsidRPr="007939DD">
              <w:t>Disclosure of government advertising expenditure</w:t>
            </w:r>
          </w:p>
        </w:tc>
        <w:tc>
          <w:tcPr>
            <w:tcW w:w="1007" w:type="dxa"/>
            <w:shd w:val="clear" w:color="auto" w:fill="auto"/>
          </w:tcPr>
          <w:p w14:paraId="6FB5CA89" w14:textId="2BBE558E" w:rsidR="006F3187" w:rsidRPr="007939DD" w:rsidRDefault="00057D76" w:rsidP="006F3187">
            <w:pPr>
              <w:pStyle w:val="ARtabletextright"/>
            </w:pPr>
            <w:r>
              <w:fldChar w:fldCharType="begin"/>
            </w:r>
            <w:r>
              <w:instrText xml:space="preserve"> PAGEREF _Ref525048256 \h </w:instrText>
            </w:r>
            <w:r>
              <w:fldChar w:fldCharType="separate"/>
            </w:r>
            <w:r w:rsidR="000179F2">
              <w:rPr>
                <w:noProof/>
              </w:rPr>
              <w:t>158</w:t>
            </w:r>
            <w:r>
              <w:fldChar w:fldCharType="end"/>
            </w:r>
            <w:r w:rsidR="006F3187">
              <w:t>–</w:t>
            </w:r>
            <w:r w:rsidR="00290FED">
              <w:fldChar w:fldCharType="begin"/>
            </w:r>
            <w:r w:rsidR="00290FED">
              <w:instrText xml:space="preserve"> PAGEREF Government_advertising_expenditure_end \h </w:instrText>
            </w:r>
            <w:r w:rsidR="00290FED">
              <w:fldChar w:fldCharType="separate"/>
            </w:r>
            <w:r w:rsidR="000179F2">
              <w:rPr>
                <w:noProof/>
              </w:rPr>
              <w:t>159</w:t>
            </w:r>
            <w:r w:rsidR="00290FED">
              <w:fldChar w:fldCharType="end"/>
            </w:r>
          </w:p>
        </w:tc>
      </w:tr>
      <w:tr w:rsidR="006F3187" w:rsidRPr="007939DD" w14:paraId="3C25B149" w14:textId="77777777" w:rsidTr="000B5747">
        <w:trPr>
          <w:cantSplit/>
        </w:trPr>
        <w:tc>
          <w:tcPr>
            <w:tcW w:w="2014" w:type="dxa"/>
            <w:shd w:val="clear" w:color="auto" w:fill="auto"/>
          </w:tcPr>
          <w:p w14:paraId="11285424" w14:textId="77777777" w:rsidR="006F3187" w:rsidRPr="007939DD" w:rsidRDefault="006F3187" w:rsidP="006F3187">
            <w:pPr>
              <w:pStyle w:val="ARtabletext"/>
              <w:spacing w:before="70" w:after="50"/>
            </w:pPr>
            <w:r w:rsidRPr="007939DD">
              <w:t>FRD 22H</w:t>
            </w:r>
          </w:p>
        </w:tc>
        <w:tc>
          <w:tcPr>
            <w:tcW w:w="6618" w:type="dxa"/>
            <w:shd w:val="clear" w:color="auto" w:fill="auto"/>
          </w:tcPr>
          <w:p w14:paraId="5330992E" w14:textId="77777777" w:rsidR="006F3187" w:rsidRPr="007939DD" w:rsidRDefault="006F3187" w:rsidP="006F3187">
            <w:pPr>
              <w:pStyle w:val="ARtabletext"/>
              <w:spacing w:before="70" w:after="50"/>
            </w:pPr>
            <w:r w:rsidRPr="007939DD">
              <w:t>Disclosure of ICT expenditure</w:t>
            </w:r>
          </w:p>
        </w:tc>
        <w:tc>
          <w:tcPr>
            <w:tcW w:w="1007" w:type="dxa"/>
            <w:shd w:val="clear" w:color="auto" w:fill="auto"/>
          </w:tcPr>
          <w:p w14:paraId="0A716B15" w14:textId="4FE2BE09" w:rsidR="006F3187" w:rsidRPr="007939DD" w:rsidRDefault="00057D76" w:rsidP="006F3187">
            <w:pPr>
              <w:pStyle w:val="ARtabletextright"/>
            </w:pPr>
            <w:r>
              <w:fldChar w:fldCharType="begin"/>
            </w:r>
            <w:r>
              <w:instrText xml:space="preserve"> PAGEREF _Ref21956847 \h </w:instrText>
            </w:r>
            <w:r>
              <w:fldChar w:fldCharType="separate"/>
            </w:r>
            <w:r w:rsidR="000179F2">
              <w:rPr>
                <w:noProof/>
              </w:rPr>
              <w:t>144</w:t>
            </w:r>
            <w:r>
              <w:fldChar w:fldCharType="end"/>
            </w:r>
          </w:p>
        </w:tc>
      </w:tr>
      <w:tr w:rsidR="006F3187" w:rsidRPr="007939DD" w14:paraId="25E5EB2A" w14:textId="77777777" w:rsidTr="000B5747">
        <w:trPr>
          <w:cantSplit/>
        </w:trPr>
        <w:tc>
          <w:tcPr>
            <w:tcW w:w="2014" w:type="dxa"/>
            <w:shd w:val="clear" w:color="auto" w:fill="auto"/>
          </w:tcPr>
          <w:p w14:paraId="0D0F2141" w14:textId="77777777" w:rsidR="006F3187" w:rsidRPr="007939DD" w:rsidRDefault="006F3187" w:rsidP="006F3187">
            <w:pPr>
              <w:pStyle w:val="ARtabletext"/>
              <w:spacing w:before="70" w:after="50"/>
            </w:pPr>
            <w:r w:rsidRPr="007939DD">
              <w:t>FRD 22H</w:t>
            </w:r>
          </w:p>
        </w:tc>
        <w:tc>
          <w:tcPr>
            <w:tcW w:w="6618" w:type="dxa"/>
            <w:shd w:val="clear" w:color="auto" w:fill="auto"/>
          </w:tcPr>
          <w:p w14:paraId="187B6507" w14:textId="77777777" w:rsidR="006F3187" w:rsidRPr="007939DD" w:rsidRDefault="006F3187" w:rsidP="006F3187">
            <w:pPr>
              <w:pStyle w:val="ARtabletext"/>
              <w:spacing w:before="70" w:after="50"/>
            </w:pPr>
            <w:r w:rsidRPr="007939DD">
              <w:t>Statement of availability of other information on request</w:t>
            </w:r>
          </w:p>
        </w:tc>
        <w:tc>
          <w:tcPr>
            <w:tcW w:w="1007" w:type="dxa"/>
            <w:shd w:val="clear" w:color="auto" w:fill="auto"/>
          </w:tcPr>
          <w:p w14:paraId="50DF69AD" w14:textId="6DD644CC" w:rsidR="006F3187" w:rsidRPr="007939DD" w:rsidRDefault="00290FED" w:rsidP="006F3187">
            <w:pPr>
              <w:pStyle w:val="ARtabletextright"/>
            </w:pPr>
            <w:r>
              <w:fldChar w:fldCharType="begin"/>
            </w:r>
            <w:r>
              <w:instrText xml:space="preserve"> PAGEREF _Ref525048304 \h </w:instrText>
            </w:r>
            <w:r>
              <w:fldChar w:fldCharType="separate"/>
            </w:r>
            <w:r w:rsidR="000179F2">
              <w:rPr>
                <w:noProof/>
              </w:rPr>
              <w:t>286</w:t>
            </w:r>
            <w:r>
              <w:fldChar w:fldCharType="end"/>
            </w:r>
          </w:p>
        </w:tc>
      </w:tr>
      <w:tr w:rsidR="006F3187" w:rsidRPr="007939DD" w14:paraId="3277B14E" w14:textId="77777777" w:rsidTr="000B5747">
        <w:trPr>
          <w:cantSplit/>
        </w:trPr>
        <w:tc>
          <w:tcPr>
            <w:tcW w:w="2014" w:type="dxa"/>
            <w:shd w:val="clear" w:color="auto" w:fill="auto"/>
          </w:tcPr>
          <w:p w14:paraId="007B7185" w14:textId="77777777" w:rsidR="006F3187" w:rsidRPr="007939DD" w:rsidRDefault="006F3187" w:rsidP="006F3187">
            <w:pPr>
              <w:pStyle w:val="ARtabletext"/>
              <w:spacing w:before="70" w:after="50"/>
            </w:pPr>
            <w:r w:rsidRPr="007939DD">
              <w:t>FRD 24C</w:t>
            </w:r>
          </w:p>
        </w:tc>
        <w:tc>
          <w:tcPr>
            <w:tcW w:w="6618" w:type="dxa"/>
            <w:shd w:val="clear" w:color="auto" w:fill="auto"/>
          </w:tcPr>
          <w:p w14:paraId="1ABEA4D4" w14:textId="77777777" w:rsidR="006F3187" w:rsidRPr="007939DD" w:rsidRDefault="006F3187" w:rsidP="006F3187">
            <w:pPr>
              <w:pStyle w:val="ARtabletext"/>
              <w:spacing w:before="70" w:after="50"/>
            </w:pPr>
            <w:r w:rsidRPr="007939DD">
              <w:t>Reporting of office-based environmental impacts</w:t>
            </w:r>
          </w:p>
        </w:tc>
        <w:tc>
          <w:tcPr>
            <w:tcW w:w="1007" w:type="dxa"/>
            <w:shd w:val="clear" w:color="auto" w:fill="auto"/>
          </w:tcPr>
          <w:p w14:paraId="1EC6249F" w14:textId="4380E66D" w:rsidR="006F3187" w:rsidRPr="007939DD" w:rsidRDefault="00290FED" w:rsidP="006F3187">
            <w:pPr>
              <w:pStyle w:val="ARtabletextright"/>
            </w:pPr>
            <w:r>
              <w:fldChar w:fldCharType="begin"/>
            </w:r>
            <w:r>
              <w:instrText xml:space="preserve"> PAGEREF _Ref492895460 \h </w:instrText>
            </w:r>
            <w:r>
              <w:fldChar w:fldCharType="separate"/>
            </w:r>
            <w:r w:rsidR="000179F2">
              <w:rPr>
                <w:noProof/>
              </w:rPr>
              <w:t>171</w:t>
            </w:r>
            <w:r>
              <w:fldChar w:fldCharType="end"/>
            </w:r>
            <w:r w:rsidR="006F3187">
              <w:t>–</w:t>
            </w:r>
            <w:r>
              <w:fldChar w:fldCharType="begin"/>
            </w:r>
            <w:r>
              <w:instrText xml:space="preserve"> PAGEREF _Ref21957068 \h </w:instrText>
            </w:r>
            <w:r>
              <w:fldChar w:fldCharType="separate"/>
            </w:r>
            <w:r w:rsidR="000179F2">
              <w:rPr>
                <w:noProof/>
              </w:rPr>
              <w:t>187</w:t>
            </w:r>
            <w:r>
              <w:fldChar w:fldCharType="end"/>
            </w:r>
          </w:p>
        </w:tc>
      </w:tr>
      <w:tr w:rsidR="00FA7EBF" w:rsidRPr="007939DD" w14:paraId="519758AB" w14:textId="77777777" w:rsidTr="000B5747">
        <w:trPr>
          <w:cantSplit/>
        </w:trPr>
        <w:tc>
          <w:tcPr>
            <w:tcW w:w="2014" w:type="dxa"/>
            <w:shd w:val="clear" w:color="auto" w:fill="auto"/>
          </w:tcPr>
          <w:p w14:paraId="34D9CEBF" w14:textId="77777777" w:rsidR="00FA7EBF" w:rsidRPr="007939DD" w:rsidRDefault="00FA7EBF" w:rsidP="000B5747">
            <w:pPr>
              <w:pStyle w:val="ARtabletext"/>
              <w:spacing w:before="70" w:after="50"/>
            </w:pPr>
            <w:r w:rsidRPr="007939DD">
              <w:t xml:space="preserve">FRD 25C </w:t>
            </w:r>
          </w:p>
        </w:tc>
        <w:tc>
          <w:tcPr>
            <w:tcW w:w="6618" w:type="dxa"/>
            <w:shd w:val="clear" w:color="auto" w:fill="auto"/>
          </w:tcPr>
          <w:p w14:paraId="22DD4992" w14:textId="77777777" w:rsidR="00FA7EBF" w:rsidRPr="007939DD" w:rsidRDefault="00FA7EBF" w:rsidP="000B5747">
            <w:pPr>
              <w:pStyle w:val="ARtabletext"/>
              <w:spacing w:before="70" w:after="50"/>
            </w:pPr>
            <w:r w:rsidRPr="007939DD">
              <w:t>Victorian Industry Participation Policy disclosures</w:t>
            </w:r>
          </w:p>
        </w:tc>
        <w:tc>
          <w:tcPr>
            <w:tcW w:w="1007" w:type="dxa"/>
            <w:shd w:val="clear" w:color="auto" w:fill="auto"/>
          </w:tcPr>
          <w:p w14:paraId="1E5C2F82" w14:textId="0C4733CA" w:rsidR="00FA7EBF" w:rsidRPr="007939DD" w:rsidRDefault="00290FED" w:rsidP="000B5747">
            <w:pPr>
              <w:pStyle w:val="ARtabletextright"/>
            </w:pPr>
            <w:r>
              <w:fldChar w:fldCharType="begin"/>
            </w:r>
            <w:r>
              <w:instrText xml:space="preserve"> PAGEREF _Ref525048385 \h </w:instrText>
            </w:r>
            <w:r>
              <w:fldChar w:fldCharType="separate"/>
            </w:r>
            <w:r w:rsidR="000179F2">
              <w:rPr>
                <w:noProof/>
              </w:rPr>
              <w:t>141</w:t>
            </w:r>
            <w:r>
              <w:fldChar w:fldCharType="end"/>
            </w:r>
          </w:p>
        </w:tc>
      </w:tr>
      <w:tr w:rsidR="006F3187" w:rsidRPr="007939DD" w14:paraId="2F756E32" w14:textId="77777777" w:rsidTr="000B5747">
        <w:trPr>
          <w:cantSplit/>
        </w:trPr>
        <w:tc>
          <w:tcPr>
            <w:tcW w:w="2014" w:type="dxa"/>
            <w:shd w:val="clear" w:color="auto" w:fill="auto"/>
          </w:tcPr>
          <w:p w14:paraId="3631706D" w14:textId="77777777" w:rsidR="006F3187" w:rsidRPr="007939DD" w:rsidRDefault="006F3187" w:rsidP="006F3187">
            <w:pPr>
              <w:pStyle w:val="ARtabletext"/>
              <w:spacing w:before="70" w:after="50"/>
            </w:pPr>
            <w:r w:rsidRPr="007939DD">
              <w:t>FRD 29B</w:t>
            </w:r>
          </w:p>
        </w:tc>
        <w:tc>
          <w:tcPr>
            <w:tcW w:w="6618" w:type="dxa"/>
            <w:shd w:val="clear" w:color="auto" w:fill="auto"/>
          </w:tcPr>
          <w:p w14:paraId="21B2CEBB" w14:textId="77777777" w:rsidR="006F3187" w:rsidRPr="007939DD" w:rsidRDefault="006F3187" w:rsidP="006F3187">
            <w:pPr>
              <w:pStyle w:val="ARtabletext"/>
              <w:spacing w:before="70" w:after="50"/>
            </w:pPr>
            <w:r w:rsidRPr="007939DD">
              <w:t>Workforce data disclosures</w:t>
            </w:r>
          </w:p>
        </w:tc>
        <w:tc>
          <w:tcPr>
            <w:tcW w:w="1007" w:type="dxa"/>
            <w:shd w:val="clear" w:color="auto" w:fill="auto"/>
          </w:tcPr>
          <w:p w14:paraId="63B19A32" w14:textId="7A126492" w:rsidR="006F3187" w:rsidRPr="007939DD" w:rsidRDefault="00290FED" w:rsidP="006F3187">
            <w:pPr>
              <w:pStyle w:val="ARtabletextright"/>
            </w:pPr>
            <w:r>
              <w:fldChar w:fldCharType="begin"/>
            </w:r>
            <w:r>
              <w:instrText xml:space="preserve"> PAGEREF _Ref492905526 \h </w:instrText>
            </w:r>
            <w:r>
              <w:fldChar w:fldCharType="separate"/>
            </w:r>
            <w:r w:rsidR="000179F2">
              <w:rPr>
                <w:noProof/>
              </w:rPr>
              <w:t>117</w:t>
            </w:r>
            <w:r>
              <w:fldChar w:fldCharType="end"/>
            </w:r>
            <w:r w:rsidR="006F3187">
              <w:t>–</w:t>
            </w:r>
            <w:r>
              <w:fldChar w:fldCharType="begin"/>
            </w:r>
            <w:r>
              <w:instrText xml:space="preserve"> PAGEREF _Ref21957203 \h </w:instrText>
            </w:r>
            <w:r>
              <w:fldChar w:fldCharType="separate"/>
            </w:r>
            <w:r w:rsidR="000179F2">
              <w:rPr>
                <w:noProof/>
              </w:rPr>
              <w:t>120</w:t>
            </w:r>
            <w:r>
              <w:fldChar w:fldCharType="end"/>
            </w:r>
          </w:p>
        </w:tc>
      </w:tr>
      <w:tr w:rsidR="006F3187" w:rsidRPr="007939DD" w14:paraId="69F277D0" w14:textId="77777777" w:rsidTr="000B5747">
        <w:trPr>
          <w:cantSplit/>
        </w:trPr>
        <w:tc>
          <w:tcPr>
            <w:tcW w:w="2014" w:type="dxa"/>
            <w:shd w:val="clear" w:color="auto" w:fill="auto"/>
          </w:tcPr>
          <w:p w14:paraId="47113B92" w14:textId="77777777" w:rsidR="006F3187" w:rsidRPr="007939DD" w:rsidRDefault="006F3187" w:rsidP="006F3187">
            <w:pPr>
              <w:pStyle w:val="ARtabletext"/>
              <w:spacing w:before="70" w:after="50"/>
            </w:pPr>
            <w:r w:rsidRPr="007939DD">
              <w:t>SD 3.2.1</w:t>
            </w:r>
          </w:p>
        </w:tc>
        <w:tc>
          <w:tcPr>
            <w:tcW w:w="6618" w:type="dxa"/>
            <w:shd w:val="clear" w:color="auto" w:fill="auto"/>
          </w:tcPr>
          <w:p w14:paraId="7B272DD9" w14:textId="77777777" w:rsidR="006F3187" w:rsidRPr="007939DD" w:rsidRDefault="006F3187" w:rsidP="006F3187">
            <w:pPr>
              <w:pStyle w:val="ARtabletext"/>
              <w:spacing w:before="70" w:after="50"/>
            </w:pPr>
            <w:r w:rsidRPr="007939DD">
              <w:t>Specific requirements for the audit committee to review specific information in report of operations</w:t>
            </w:r>
          </w:p>
        </w:tc>
        <w:tc>
          <w:tcPr>
            <w:tcW w:w="1007" w:type="dxa"/>
            <w:shd w:val="clear" w:color="auto" w:fill="auto"/>
          </w:tcPr>
          <w:p w14:paraId="47E23986" w14:textId="7A0BB7C4" w:rsidR="006F3187" w:rsidRDefault="00E71A1D" w:rsidP="006F3187">
            <w:pPr>
              <w:pStyle w:val="ARtabletextright"/>
            </w:pPr>
            <w:r>
              <w:fldChar w:fldCharType="begin"/>
            </w:r>
            <w:r>
              <w:instrText xml:space="preserve"> PAGEREF _Ref21861906 \h </w:instrText>
            </w:r>
            <w:r>
              <w:fldChar w:fldCharType="separate"/>
            </w:r>
            <w:r w:rsidR="000179F2">
              <w:rPr>
                <w:noProof/>
              </w:rPr>
              <w:t>75</w:t>
            </w:r>
            <w:r>
              <w:fldChar w:fldCharType="end"/>
            </w:r>
            <w:r>
              <w:t>–</w:t>
            </w:r>
            <w:r>
              <w:fldChar w:fldCharType="begin"/>
            </w:r>
            <w:r>
              <w:instrText xml:space="preserve"> PAGEREF _Ref21861916 \h </w:instrText>
            </w:r>
            <w:r>
              <w:fldChar w:fldCharType="separate"/>
            </w:r>
            <w:r w:rsidR="000179F2">
              <w:rPr>
                <w:noProof/>
              </w:rPr>
              <w:t>100</w:t>
            </w:r>
            <w:r>
              <w:fldChar w:fldCharType="end"/>
            </w:r>
          </w:p>
          <w:p w14:paraId="4CC59F06" w14:textId="366ED396" w:rsidR="006F3187" w:rsidRDefault="00290FED" w:rsidP="006F3187">
            <w:pPr>
              <w:pStyle w:val="ARtabletextright"/>
            </w:pPr>
            <w:r>
              <w:fldChar w:fldCharType="begin"/>
            </w:r>
            <w:r>
              <w:instrText xml:space="preserve"> PAGEREF _Ref492895460 \h </w:instrText>
            </w:r>
            <w:r>
              <w:fldChar w:fldCharType="separate"/>
            </w:r>
            <w:r w:rsidR="000179F2">
              <w:rPr>
                <w:noProof/>
              </w:rPr>
              <w:t>171</w:t>
            </w:r>
            <w:r>
              <w:fldChar w:fldCharType="end"/>
            </w:r>
            <w:r>
              <w:t>–</w:t>
            </w:r>
            <w:r>
              <w:fldChar w:fldCharType="begin"/>
            </w:r>
            <w:r>
              <w:instrText xml:space="preserve"> PAGEREF _Ref21957068 \h </w:instrText>
            </w:r>
            <w:r>
              <w:fldChar w:fldCharType="separate"/>
            </w:r>
            <w:r w:rsidR="000179F2">
              <w:rPr>
                <w:noProof/>
              </w:rPr>
              <w:t>187</w:t>
            </w:r>
            <w:r>
              <w:fldChar w:fldCharType="end"/>
            </w:r>
          </w:p>
          <w:p w14:paraId="2916C78F" w14:textId="46B892C0" w:rsidR="006F3187" w:rsidRPr="007939DD" w:rsidRDefault="00FD62CF" w:rsidP="006F3187">
            <w:pPr>
              <w:pStyle w:val="ARtabletextright"/>
            </w:pPr>
            <w:r>
              <w:fldChar w:fldCharType="begin"/>
            </w:r>
            <w:r>
              <w:instrText xml:space="preserve"> PAGEREF _Ref492895066 \h </w:instrText>
            </w:r>
            <w:r>
              <w:fldChar w:fldCharType="separate"/>
            </w:r>
            <w:r w:rsidR="000179F2">
              <w:rPr>
                <w:noProof/>
              </w:rPr>
              <w:t>266</w:t>
            </w:r>
            <w:r>
              <w:fldChar w:fldCharType="end"/>
            </w:r>
            <w:r w:rsidR="006F3187">
              <w:t>–</w:t>
            </w:r>
            <w:r>
              <w:fldChar w:fldCharType="begin"/>
            </w:r>
            <w:r>
              <w:instrText xml:space="preserve"> PAGEREF _Ref21957319 \h </w:instrText>
            </w:r>
            <w:r>
              <w:fldChar w:fldCharType="separate"/>
            </w:r>
            <w:r w:rsidR="000179F2">
              <w:rPr>
                <w:noProof/>
              </w:rPr>
              <w:t>282</w:t>
            </w:r>
            <w:r>
              <w:fldChar w:fldCharType="end"/>
            </w:r>
          </w:p>
        </w:tc>
      </w:tr>
      <w:tr w:rsidR="006F3187" w:rsidRPr="007939DD" w14:paraId="147E8EC7" w14:textId="77777777" w:rsidTr="000B5747">
        <w:trPr>
          <w:cantSplit/>
        </w:trPr>
        <w:tc>
          <w:tcPr>
            <w:tcW w:w="2014" w:type="dxa"/>
            <w:shd w:val="clear" w:color="auto" w:fill="auto"/>
          </w:tcPr>
          <w:p w14:paraId="15EB4F9D" w14:textId="77777777" w:rsidR="006F3187" w:rsidRPr="007939DD" w:rsidRDefault="006F3187" w:rsidP="006F3187">
            <w:pPr>
              <w:pStyle w:val="ARtabletext"/>
              <w:spacing w:before="70" w:after="50"/>
            </w:pPr>
            <w:r w:rsidRPr="007939DD">
              <w:t>SD 5.2</w:t>
            </w:r>
          </w:p>
        </w:tc>
        <w:tc>
          <w:tcPr>
            <w:tcW w:w="6618" w:type="dxa"/>
            <w:shd w:val="clear" w:color="auto" w:fill="auto"/>
          </w:tcPr>
          <w:p w14:paraId="7F5A06D5" w14:textId="77777777" w:rsidR="006F3187" w:rsidRPr="007939DD" w:rsidRDefault="006F3187" w:rsidP="006F3187">
            <w:pPr>
              <w:pStyle w:val="ARtabletext"/>
              <w:spacing w:before="70" w:after="50"/>
            </w:pPr>
            <w:r w:rsidRPr="007939DD">
              <w:t>Specific requirements under Standing Direction 5.2</w:t>
            </w:r>
          </w:p>
        </w:tc>
        <w:tc>
          <w:tcPr>
            <w:tcW w:w="1007" w:type="dxa"/>
            <w:shd w:val="clear" w:color="auto" w:fill="auto"/>
          </w:tcPr>
          <w:p w14:paraId="3BC5208D" w14:textId="5DD06BB3" w:rsidR="006F3187" w:rsidRPr="007939DD" w:rsidRDefault="00FD62CF" w:rsidP="006F3187">
            <w:pPr>
              <w:pStyle w:val="ARtabletextright"/>
            </w:pPr>
            <w:r>
              <w:fldChar w:fldCharType="begin"/>
            </w:r>
            <w:r>
              <w:instrText xml:space="preserve"> PAGEREF _Ref21957414 \h </w:instrText>
            </w:r>
            <w:r>
              <w:fldChar w:fldCharType="separate"/>
            </w:r>
            <w:r w:rsidR="000179F2">
              <w:rPr>
                <w:noProof/>
              </w:rPr>
              <w:t>190</w:t>
            </w:r>
            <w:r>
              <w:fldChar w:fldCharType="end"/>
            </w:r>
          </w:p>
        </w:tc>
      </w:tr>
      <w:tr w:rsidR="00FA7EBF" w:rsidRPr="007939DD" w14:paraId="171761A9" w14:textId="77777777" w:rsidTr="000B5747">
        <w:trPr>
          <w:cantSplit/>
        </w:trPr>
        <w:tc>
          <w:tcPr>
            <w:tcW w:w="8632" w:type="dxa"/>
            <w:gridSpan w:val="2"/>
            <w:tcBorders>
              <w:bottom w:val="nil"/>
            </w:tcBorders>
            <w:shd w:val="clear" w:color="auto" w:fill="auto"/>
          </w:tcPr>
          <w:p w14:paraId="56381BB1" w14:textId="77777777" w:rsidR="00FA7EBF" w:rsidRPr="007939DD" w:rsidRDefault="00FA7EBF" w:rsidP="000B5747">
            <w:pPr>
              <w:pStyle w:val="ARtabletext"/>
              <w:rPr>
                <w:b/>
              </w:rPr>
            </w:pPr>
            <w:r w:rsidRPr="007939DD">
              <w:rPr>
                <w:b/>
              </w:rPr>
              <w:t>Compliance attestation and declaration</w:t>
            </w:r>
          </w:p>
        </w:tc>
        <w:tc>
          <w:tcPr>
            <w:tcW w:w="1007" w:type="dxa"/>
            <w:tcBorders>
              <w:bottom w:val="nil"/>
            </w:tcBorders>
            <w:shd w:val="clear" w:color="auto" w:fill="auto"/>
          </w:tcPr>
          <w:p w14:paraId="418B465E" w14:textId="77777777" w:rsidR="00FA7EBF" w:rsidRPr="007939DD" w:rsidRDefault="00FA7EBF" w:rsidP="000B5747">
            <w:pPr>
              <w:pStyle w:val="ARtablecolhead"/>
            </w:pPr>
          </w:p>
        </w:tc>
      </w:tr>
      <w:tr w:rsidR="006F3187" w:rsidRPr="007939DD" w14:paraId="1C27CE13" w14:textId="77777777" w:rsidTr="000B5747">
        <w:trPr>
          <w:cantSplit/>
        </w:trPr>
        <w:tc>
          <w:tcPr>
            <w:tcW w:w="2014" w:type="dxa"/>
            <w:tcBorders>
              <w:top w:val="nil"/>
            </w:tcBorders>
            <w:shd w:val="clear" w:color="auto" w:fill="auto"/>
          </w:tcPr>
          <w:p w14:paraId="770A5E3E" w14:textId="77777777" w:rsidR="006F3187" w:rsidRPr="007939DD" w:rsidRDefault="006F3187" w:rsidP="006F3187">
            <w:pPr>
              <w:pStyle w:val="ARtabletext"/>
              <w:spacing w:before="70" w:after="50"/>
            </w:pPr>
            <w:r w:rsidRPr="007939DD">
              <w:t>SD 5.1.4</w:t>
            </w:r>
          </w:p>
        </w:tc>
        <w:tc>
          <w:tcPr>
            <w:tcW w:w="6618" w:type="dxa"/>
            <w:tcBorders>
              <w:top w:val="nil"/>
            </w:tcBorders>
            <w:shd w:val="clear" w:color="auto" w:fill="auto"/>
          </w:tcPr>
          <w:p w14:paraId="63CE6629" w14:textId="77777777" w:rsidR="006F3187" w:rsidRPr="007939DD" w:rsidRDefault="006F3187" w:rsidP="006F3187">
            <w:pPr>
              <w:pStyle w:val="ARtabletext"/>
              <w:spacing w:before="70" w:after="50"/>
            </w:pPr>
            <w:r w:rsidRPr="007939DD">
              <w:t>Attestation for compliance with Ministerial Standing Direction</w:t>
            </w:r>
          </w:p>
        </w:tc>
        <w:tc>
          <w:tcPr>
            <w:tcW w:w="1007" w:type="dxa"/>
            <w:tcBorders>
              <w:top w:val="nil"/>
            </w:tcBorders>
            <w:shd w:val="clear" w:color="auto" w:fill="auto"/>
          </w:tcPr>
          <w:p w14:paraId="003213A2" w14:textId="3D0CA3EB" w:rsidR="006F3187" w:rsidRPr="007939DD" w:rsidRDefault="00FD62CF" w:rsidP="006F3187">
            <w:pPr>
              <w:pStyle w:val="ARtabletextright"/>
            </w:pPr>
            <w:r>
              <w:fldChar w:fldCharType="begin"/>
            </w:r>
            <w:r>
              <w:instrText xml:space="preserve"> PAGEREF _Ref525205469 \h </w:instrText>
            </w:r>
            <w:r>
              <w:fldChar w:fldCharType="separate"/>
            </w:r>
            <w:r w:rsidR="000179F2">
              <w:rPr>
                <w:noProof/>
              </w:rPr>
              <w:t>169</w:t>
            </w:r>
            <w:r>
              <w:fldChar w:fldCharType="end"/>
            </w:r>
          </w:p>
        </w:tc>
      </w:tr>
      <w:tr w:rsidR="006F3187" w:rsidRPr="007939DD" w14:paraId="6A634586" w14:textId="77777777" w:rsidTr="000B5747">
        <w:trPr>
          <w:cantSplit/>
        </w:trPr>
        <w:tc>
          <w:tcPr>
            <w:tcW w:w="2014" w:type="dxa"/>
            <w:shd w:val="clear" w:color="auto" w:fill="auto"/>
          </w:tcPr>
          <w:p w14:paraId="3E19666D" w14:textId="77777777" w:rsidR="006F3187" w:rsidRPr="007939DD" w:rsidRDefault="006F3187" w:rsidP="006F3187">
            <w:pPr>
              <w:pStyle w:val="ARtabletext"/>
              <w:spacing w:before="70" w:after="50"/>
            </w:pPr>
            <w:r w:rsidRPr="007939DD">
              <w:t>SD 5.2.3</w:t>
            </w:r>
          </w:p>
        </w:tc>
        <w:tc>
          <w:tcPr>
            <w:tcW w:w="6618" w:type="dxa"/>
            <w:shd w:val="clear" w:color="auto" w:fill="auto"/>
          </w:tcPr>
          <w:p w14:paraId="6F7B3C4F" w14:textId="77777777" w:rsidR="006F3187" w:rsidRPr="007939DD" w:rsidRDefault="006F3187" w:rsidP="006F3187">
            <w:pPr>
              <w:pStyle w:val="ARtabletext"/>
              <w:spacing w:before="70" w:after="50"/>
            </w:pPr>
            <w:r w:rsidRPr="007939DD">
              <w:t>Declaration in report of operations</w:t>
            </w:r>
          </w:p>
        </w:tc>
        <w:tc>
          <w:tcPr>
            <w:tcW w:w="1007" w:type="dxa"/>
            <w:shd w:val="clear" w:color="auto" w:fill="auto"/>
          </w:tcPr>
          <w:p w14:paraId="65C5A54C" w14:textId="7E0F1464" w:rsidR="006F3187" w:rsidRPr="007939DD" w:rsidRDefault="00FD62CF" w:rsidP="006F3187">
            <w:pPr>
              <w:pStyle w:val="ARtabletextright"/>
            </w:pPr>
            <w:r>
              <w:fldChar w:fldCharType="begin"/>
            </w:r>
            <w:r>
              <w:instrText xml:space="preserve"> PAGEREF _Ref21957502 \h </w:instrText>
            </w:r>
            <w:r>
              <w:fldChar w:fldCharType="separate"/>
            </w:r>
            <w:r w:rsidR="000179F2">
              <w:rPr>
                <w:noProof/>
              </w:rPr>
              <w:t>3</w:t>
            </w:r>
            <w:r>
              <w:fldChar w:fldCharType="end"/>
            </w:r>
          </w:p>
        </w:tc>
      </w:tr>
    </w:tbl>
    <w:p w14:paraId="7D6F1B9D" w14:textId="77777777" w:rsidR="00FA7EBF" w:rsidRPr="007939DD" w:rsidRDefault="00FA7EBF" w:rsidP="004C3AD7">
      <w:pPr>
        <w:pStyle w:val="Heading3"/>
        <w:spacing w:after="200"/>
      </w:pPr>
      <w:bookmarkStart w:id="318" w:name="_Toc462577211"/>
      <w:bookmarkStart w:id="319" w:name="_Toc520974735"/>
      <w:r w:rsidRPr="007939DD">
        <w:t>Financial report</w:t>
      </w:r>
      <w:bookmarkEnd w:id="318"/>
      <w:bookmarkEnd w:id="319"/>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2059"/>
        <w:gridCol w:w="6588"/>
        <w:gridCol w:w="992"/>
      </w:tblGrid>
      <w:tr w:rsidR="00FA7EBF" w:rsidRPr="007939DD" w14:paraId="7FC3528A" w14:textId="77777777" w:rsidTr="000B5747">
        <w:trPr>
          <w:cantSplit/>
          <w:tblHeader/>
        </w:trPr>
        <w:tc>
          <w:tcPr>
            <w:tcW w:w="2059" w:type="dxa"/>
            <w:tcBorders>
              <w:top w:val="nil"/>
            </w:tcBorders>
            <w:shd w:val="clear" w:color="auto" w:fill="auto"/>
            <w:vAlign w:val="bottom"/>
          </w:tcPr>
          <w:p w14:paraId="2A83527E" w14:textId="77777777" w:rsidR="00FA7EBF" w:rsidRPr="007939DD" w:rsidRDefault="00FA7EBF" w:rsidP="000B5747">
            <w:pPr>
              <w:pStyle w:val="ARtablecolhead"/>
            </w:pPr>
            <w:r w:rsidRPr="007939DD">
              <w:t>Ministerial directions</w:t>
            </w:r>
          </w:p>
        </w:tc>
        <w:tc>
          <w:tcPr>
            <w:tcW w:w="6588" w:type="dxa"/>
            <w:tcBorders>
              <w:top w:val="nil"/>
            </w:tcBorders>
            <w:shd w:val="clear" w:color="auto" w:fill="auto"/>
            <w:vAlign w:val="bottom"/>
          </w:tcPr>
          <w:p w14:paraId="0B007A60" w14:textId="77777777" w:rsidR="00FA7EBF" w:rsidRPr="007939DD" w:rsidRDefault="00FA7EBF" w:rsidP="000B5747">
            <w:pPr>
              <w:pStyle w:val="ARtablecolhead"/>
            </w:pPr>
            <w:r w:rsidRPr="007939DD">
              <w:t>Requirement</w:t>
            </w:r>
          </w:p>
        </w:tc>
        <w:tc>
          <w:tcPr>
            <w:tcW w:w="992" w:type="dxa"/>
            <w:tcBorders>
              <w:top w:val="nil"/>
            </w:tcBorders>
            <w:shd w:val="clear" w:color="auto" w:fill="auto"/>
            <w:vAlign w:val="bottom"/>
          </w:tcPr>
          <w:p w14:paraId="2C637D1B" w14:textId="77777777" w:rsidR="00FA7EBF" w:rsidRPr="007939DD" w:rsidRDefault="00FA7EBF" w:rsidP="000B5747">
            <w:pPr>
              <w:pStyle w:val="ARtablecolhead"/>
              <w:jc w:val="right"/>
            </w:pPr>
            <w:r w:rsidRPr="007939DD">
              <w:t>Page</w:t>
            </w:r>
          </w:p>
        </w:tc>
      </w:tr>
      <w:tr w:rsidR="00FA7EBF" w:rsidRPr="007939DD" w14:paraId="29655DAD" w14:textId="77777777" w:rsidTr="000B5747">
        <w:tc>
          <w:tcPr>
            <w:tcW w:w="9639" w:type="dxa"/>
            <w:gridSpan w:val="3"/>
            <w:tcBorders>
              <w:bottom w:val="nil"/>
            </w:tcBorders>
            <w:shd w:val="clear" w:color="auto" w:fill="auto"/>
          </w:tcPr>
          <w:p w14:paraId="03428141" w14:textId="77777777" w:rsidR="00FA7EBF" w:rsidRPr="007939DD" w:rsidRDefault="00FA7EBF" w:rsidP="000B5747">
            <w:pPr>
              <w:pStyle w:val="ARtabletext"/>
              <w:rPr>
                <w:b/>
              </w:rPr>
            </w:pPr>
            <w:r w:rsidRPr="007939DD">
              <w:rPr>
                <w:b/>
              </w:rPr>
              <w:t xml:space="preserve">Financial statements required under Part 7 of the </w:t>
            </w:r>
            <w:r w:rsidRPr="007939DD">
              <w:rPr>
                <w:b/>
                <w:i/>
              </w:rPr>
              <w:t>Financial Management Act 1994</w:t>
            </w:r>
          </w:p>
        </w:tc>
      </w:tr>
      <w:tr w:rsidR="006F3187" w:rsidRPr="007939DD" w14:paraId="45F449BC" w14:textId="77777777" w:rsidTr="000B5747">
        <w:tc>
          <w:tcPr>
            <w:tcW w:w="2059" w:type="dxa"/>
            <w:tcBorders>
              <w:top w:val="nil"/>
            </w:tcBorders>
            <w:shd w:val="clear" w:color="auto" w:fill="auto"/>
          </w:tcPr>
          <w:p w14:paraId="30C77F22" w14:textId="77777777" w:rsidR="006F3187" w:rsidRPr="007939DD" w:rsidRDefault="006F3187" w:rsidP="006F3187">
            <w:pPr>
              <w:pStyle w:val="ARtabletext"/>
            </w:pPr>
            <w:r w:rsidRPr="007939DD">
              <w:t>SD 5.2.1(a)</w:t>
            </w:r>
          </w:p>
        </w:tc>
        <w:tc>
          <w:tcPr>
            <w:tcW w:w="6588" w:type="dxa"/>
            <w:tcBorders>
              <w:top w:val="nil"/>
            </w:tcBorders>
            <w:shd w:val="clear" w:color="auto" w:fill="auto"/>
          </w:tcPr>
          <w:p w14:paraId="7064F831" w14:textId="77777777" w:rsidR="006F3187" w:rsidRPr="007939DD" w:rsidRDefault="006F3187" w:rsidP="006F3187">
            <w:pPr>
              <w:pStyle w:val="ARtabletext"/>
            </w:pPr>
            <w:r w:rsidRPr="007939DD">
              <w:t>Compliance with Australian accounting standards and other authoritative pronouncements</w:t>
            </w:r>
          </w:p>
        </w:tc>
        <w:tc>
          <w:tcPr>
            <w:tcW w:w="992" w:type="dxa"/>
            <w:tcBorders>
              <w:top w:val="nil"/>
            </w:tcBorders>
            <w:shd w:val="clear" w:color="auto" w:fill="auto"/>
          </w:tcPr>
          <w:p w14:paraId="6C925C85" w14:textId="4C8F9B22" w:rsidR="006F3187" w:rsidRPr="007939DD" w:rsidRDefault="00FD62CF" w:rsidP="006F3187">
            <w:pPr>
              <w:pStyle w:val="ARtabletextright"/>
            </w:pPr>
            <w:r>
              <w:fldChar w:fldCharType="begin"/>
            </w:r>
            <w:r>
              <w:instrText xml:space="preserve"> PAGEREF _Ref525205548 \h </w:instrText>
            </w:r>
            <w:r>
              <w:fldChar w:fldCharType="separate"/>
            </w:r>
            <w:r w:rsidR="000179F2">
              <w:rPr>
                <w:noProof/>
              </w:rPr>
              <w:t>191</w:t>
            </w:r>
            <w:r>
              <w:fldChar w:fldCharType="end"/>
            </w:r>
            <w:r w:rsidR="006F3187">
              <w:t>–</w:t>
            </w:r>
            <w:r>
              <w:fldChar w:fldCharType="begin"/>
            </w:r>
            <w:r>
              <w:instrText xml:space="preserve"> PAGEREF Auditor_report_end \h </w:instrText>
            </w:r>
            <w:r>
              <w:fldChar w:fldCharType="separate"/>
            </w:r>
            <w:r w:rsidR="000179F2">
              <w:rPr>
                <w:noProof/>
              </w:rPr>
              <w:t>192</w:t>
            </w:r>
            <w:r>
              <w:fldChar w:fldCharType="end"/>
            </w:r>
          </w:p>
        </w:tc>
      </w:tr>
      <w:tr w:rsidR="006F3187" w:rsidRPr="007939DD" w14:paraId="4EED95D4" w14:textId="77777777" w:rsidTr="000B5747">
        <w:tc>
          <w:tcPr>
            <w:tcW w:w="2059" w:type="dxa"/>
            <w:shd w:val="clear" w:color="auto" w:fill="auto"/>
          </w:tcPr>
          <w:p w14:paraId="47BD8F08" w14:textId="77777777" w:rsidR="006F3187" w:rsidRPr="007939DD" w:rsidRDefault="006F3187" w:rsidP="006F3187">
            <w:pPr>
              <w:pStyle w:val="ARtabletext"/>
            </w:pPr>
            <w:r w:rsidRPr="007939DD">
              <w:t>SD 5.2.1(a)</w:t>
            </w:r>
          </w:p>
        </w:tc>
        <w:tc>
          <w:tcPr>
            <w:tcW w:w="6588" w:type="dxa"/>
            <w:shd w:val="clear" w:color="auto" w:fill="auto"/>
          </w:tcPr>
          <w:p w14:paraId="4E2508A9" w14:textId="77777777" w:rsidR="006F3187" w:rsidRPr="007939DD" w:rsidRDefault="006F3187" w:rsidP="006F3187">
            <w:pPr>
              <w:pStyle w:val="ARtabletext"/>
            </w:pPr>
            <w:r w:rsidRPr="007939DD">
              <w:t>Compliance with ministerial directions</w:t>
            </w:r>
          </w:p>
        </w:tc>
        <w:tc>
          <w:tcPr>
            <w:tcW w:w="992" w:type="dxa"/>
            <w:shd w:val="clear" w:color="auto" w:fill="auto"/>
          </w:tcPr>
          <w:p w14:paraId="7DCA24AA" w14:textId="1D4E8BFE" w:rsidR="006F3187" w:rsidRPr="007939DD" w:rsidRDefault="00FD62CF" w:rsidP="006F3187">
            <w:pPr>
              <w:pStyle w:val="ARtabletextright"/>
            </w:pPr>
            <w:r>
              <w:fldChar w:fldCharType="begin"/>
            </w:r>
            <w:r>
              <w:instrText xml:space="preserve"> PAGEREF _Ref525205548 \h </w:instrText>
            </w:r>
            <w:r>
              <w:fldChar w:fldCharType="separate"/>
            </w:r>
            <w:r w:rsidR="000179F2">
              <w:rPr>
                <w:noProof/>
              </w:rPr>
              <w:t>191</w:t>
            </w:r>
            <w:r>
              <w:fldChar w:fldCharType="end"/>
            </w:r>
            <w:r>
              <w:t>–</w:t>
            </w:r>
            <w:r>
              <w:fldChar w:fldCharType="begin"/>
            </w:r>
            <w:r>
              <w:instrText xml:space="preserve"> PAGEREF Auditor_report_end \h </w:instrText>
            </w:r>
            <w:r>
              <w:fldChar w:fldCharType="separate"/>
            </w:r>
            <w:r w:rsidR="000179F2">
              <w:rPr>
                <w:noProof/>
              </w:rPr>
              <w:t>192</w:t>
            </w:r>
            <w:r>
              <w:fldChar w:fldCharType="end"/>
            </w:r>
          </w:p>
        </w:tc>
      </w:tr>
      <w:tr w:rsidR="006F3187" w:rsidRPr="007939DD" w14:paraId="261B8448" w14:textId="77777777" w:rsidTr="000B5747">
        <w:tc>
          <w:tcPr>
            <w:tcW w:w="2059" w:type="dxa"/>
            <w:shd w:val="clear" w:color="auto" w:fill="auto"/>
          </w:tcPr>
          <w:p w14:paraId="0B99BA77" w14:textId="77777777" w:rsidR="006F3187" w:rsidRPr="007939DD" w:rsidRDefault="006F3187" w:rsidP="006F3187">
            <w:pPr>
              <w:pStyle w:val="ARtabletext"/>
            </w:pPr>
            <w:r w:rsidRPr="007939DD">
              <w:t>SD 5.2.1(b)</w:t>
            </w:r>
          </w:p>
        </w:tc>
        <w:tc>
          <w:tcPr>
            <w:tcW w:w="6588" w:type="dxa"/>
            <w:shd w:val="clear" w:color="auto" w:fill="auto"/>
          </w:tcPr>
          <w:p w14:paraId="23930F8B" w14:textId="77777777" w:rsidR="006F3187" w:rsidRPr="007939DD" w:rsidRDefault="006F3187" w:rsidP="006F3187">
            <w:pPr>
              <w:pStyle w:val="ARtabletext"/>
            </w:pPr>
            <w:r w:rsidRPr="007939DD">
              <w:t>Compliance with model financial report</w:t>
            </w:r>
          </w:p>
        </w:tc>
        <w:tc>
          <w:tcPr>
            <w:tcW w:w="992" w:type="dxa"/>
            <w:shd w:val="clear" w:color="auto" w:fill="auto"/>
          </w:tcPr>
          <w:p w14:paraId="5BC816B2" w14:textId="467AC081" w:rsidR="006F3187" w:rsidRPr="007939DD" w:rsidRDefault="00FD62CF" w:rsidP="006F3187">
            <w:pPr>
              <w:pStyle w:val="ARtabletextright"/>
            </w:pPr>
            <w:r>
              <w:fldChar w:fldCharType="begin"/>
            </w:r>
            <w:r>
              <w:instrText xml:space="preserve"> PAGEREF _Ref21957659 \h </w:instrText>
            </w:r>
            <w:r>
              <w:fldChar w:fldCharType="separate"/>
            </w:r>
            <w:r w:rsidR="000179F2">
              <w:rPr>
                <w:noProof/>
              </w:rPr>
              <w:t>197</w:t>
            </w:r>
            <w:r>
              <w:fldChar w:fldCharType="end"/>
            </w:r>
            <w:r w:rsidR="006F3187">
              <w:t>–</w:t>
            </w:r>
            <w:r>
              <w:fldChar w:fldCharType="begin"/>
            </w:r>
            <w:r>
              <w:instrText xml:space="preserve"> PAGEREF _Ref21957610 \h </w:instrText>
            </w:r>
            <w:r>
              <w:fldChar w:fldCharType="separate"/>
            </w:r>
            <w:r w:rsidR="000179F2">
              <w:rPr>
                <w:noProof/>
              </w:rPr>
              <w:t>198</w:t>
            </w:r>
            <w:r>
              <w:fldChar w:fldCharType="end"/>
            </w:r>
          </w:p>
        </w:tc>
      </w:tr>
      <w:tr w:rsidR="006F3187" w:rsidRPr="007939DD" w14:paraId="23D8DCE9" w14:textId="77777777" w:rsidTr="000B5747">
        <w:tc>
          <w:tcPr>
            <w:tcW w:w="2059" w:type="dxa"/>
            <w:tcBorders>
              <w:bottom w:val="single" w:sz="4" w:space="0" w:color="auto"/>
            </w:tcBorders>
            <w:shd w:val="clear" w:color="auto" w:fill="auto"/>
          </w:tcPr>
          <w:p w14:paraId="08AE7AED" w14:textId="77777777" w:rsidR="006F3187" w:rsidRPr="007939DD" w:rsidRDefault="006F3187" w:rsidP="006F3187">
            <w:pPr>
              <w:pStyle w:val="ARtabletext"/>
            </w:pPr>
            <w:r w:rsidRPr="007939DD">
              <w:t>SD 5.2.2</w:t>
            </w:r>
          </w:p>
        </w:tc>
        <w:tc>
          <w:tcPr>
            <w:tcW w:w="6588" w:type="dxa"/>
            <w:tcBorders>
              <w:bottom w:val="single" w:sz="4" w:space="0" w:color="auto"/>
            </w:tcBorders>
            <w:shd w:val="clear" w:color="auto" w:fill="auto"/>
          </w:tcPr>
          <w:p w14:paraId="28AE957D" w14:textId="77777777" w:rsidR="006F3187" w:rsidRPr="007939DD" w:rsidRDefault="006F3187" w:rsidP="006F3187">
            <w:pPr>
              <w:pStyle w:val="ARtabletext"/>
            </w:pPr>
            <w:r w:rsidRPr="007939DD">
              <w:t>Responsible body’s declaration</w:t>
            </w:r>
          </w:p>
        </w:tc>
        <w:tc>
          <w:tcPr>
            <w:tcW w:w="992" w:type="dxa"/>
            <w:tcBorders>
              <w:bottom w:val="single" w:sz="4" w:space="0" w:color="auto"/>
            </w:tcBorders>
            <w:shd w:val="clear" w:color="auto" w:fill="auto"/>
          </w:tcPr>
          <w:p w14:paraId="4CA9A983" w14:textId="70DED74E" w:rsidR="006F3187" w:rsidRPr="007939DD" w:rsidRDefault="00FD62CF" w:rsidP="006F3187">
            <w:pPr>
              <w:pStyle w:val="ARtabletextright"/>
            </w:pPr>
            <w:r>
              <w:fldChar w:fldCharType="begin"/>
            </w:r>
            <w:r>
              <w:instrText xml:space="preserve"> PAGEREF _Ref525205469 \h </w:instrText>
            </w:r>
            <w:r>
              <w:fldChar w:fldCharType="separate"/>
            </w:r>
            <w:r w:rsidR="000179F2">
              <w:rPr>
                <w:noProof/>
              </w:rPr>
              <w:t>169</w:t>
            </w:r>
            <w:r>
              <w:fldChar w:fldCharType="end"/>
            </w:r>
          </w:p>
        </w:tc>
      </w:tr>
      <w:tr w:rsidR="00FA7EBF" w:rsidRPr="007939DD" w14:paraId="71F28861" w14:textId="77777777" w:rsidTr="000B5747">
        <w:tc>
          <w:tcPr>
            <w:tcW w:w="9639" w:type="dxa"/>
            <w:gridSpan w:val="3"/>
            <w:tcBorders>
              <w:top w:val="single" w:sz="4" w:space="0" w:color="auto"/>
              <w:bottom w:val="nil"/>
            </w:tcBorders>
            <w:shd w:val="clear" w:color="auto" w:fill="auto"/>
          </w:tcPr>
          <w:p w14:paraId="519F93B6" w14:textId="77777777" w:rsidR="00FA7EBF" w:rsidRPr="007939DD" w:rsidRDefault="00FA7EBF" w:rsidP="000B5747">
            <w:pPr>
              <w:pStyle w:val="ARtabletext"/>
              <w:rPr>
                <w:b/>
              </w:rPr>
            </w:pPr>
            <w:r w:rsidRPr="007939DD">
              <w:rPr>
                <w:b/>
              </w:rPr>
              <w:t>Other disclosures in notes to the financial statements</w:t>
            </w:r>
          </w:p>
        </w:tc>
      </w:tr>
      <w:tr w:rsidR="006F3187" w:rsidRPr="003B5930" w14:paraId="78F783FD" w14:textId="77777777" w:rsidTr="000B5747">
        <w:tc>
          <w:tcPr>
            <w:tcW w:w="2059" w:type="dxa"/>
            <w:tcBorders>
              <w:top w:val="nil"/>
            </w:tcBorders>
            <w:shd w:val="clear" w:color="auto" w:fill="auto"/>
          </w:tcPr>
          <w:p w14:paraId="0066D439" w14:textId="77777777" w:rsidR="006F3187" w:rsidRPr="003B5930" w:rsidRDefault="006F3187" w:rsidP="006F3187">
            <w:pPr>
              <w:pStyle w:val="ARtabletext"/>
            </w:pPr>
            <w:r w:rsidRPr="003B5930">
              <w:t>FRD 9A</w:t>
            </w:r>
          </w:p>
        </w:tc>
        <w:tc>
          <w:tcPr>
            <w:tcW w:w="6588" w:type="dxa"/>
            <w:tcBorders>
              <w:top w:val="nil"/>
            </w:tcBorders>
            <w:shd w:val="clear" w:color="auto" w:fill="auto"/>
          </w:tcPr>
          <w:p w14:paraId="03E8403D" w14:textId="77777777" w:rsidR="006F3187" w:rsidRPr="003B5930" w:rsidRDefault="006F3187" w:rsidP="006F3187">
            <w:pPr>
              <w:pStyle w:val="ARtabletext"/>
            </w:pPr>
            <w:r w:rsidRPr="003B5930">
              <w:t>Departmental disclosure of administered assets and liabilities by activity</w:t>
            </w:r>
          </w:p>
        </w:tc>
        <w:tc>
          <w:tcPr>
            <w:tcW w:w="992" w:type="dxa"/>
            <w:tcBorders>
              <w:top w:val="nil"/>
            </w:tcBorders>
            <w:shd w:val="clear" w:color="auto" w:fill="auto"/>
          </w:tcPr>
          <w:p w14:paraId="7FF51A1B" w14:textId="26DD620F" w:rsidR="006F3187" w:rsidRPr="003B5930" w:rsidRDefault="00FD62CF" w:rsidP="006F3187">
            <w:pPr>
              <w:pStyle w:val="ARtabletextright"/>
            </w:pPr>
            <w:r>
              <w:fldChar w:fldCharType="begin"/>
            </w:r>
            <w:r>
              <w:instrText xml:space="preserve"> PAGEREF _Ref21957706 \h </w:instrText>
            </w:r>
            <w:r>
              <w:fldChar w:fldCharType="separate"/>
            </w:r>
            <w:r w:rsidR="000179F2">
              <w:rPr>
                <w:noProof/>
              </w:rPr>
              <w:t>219</w:t>
            </w:r>
            <w:r>
              <w:fldChar w:fldCharType="end"/>
            </w:r>
          </w:p>
        </w:tc>
      </w:tr>
      <w:tr w:rsidR="006F3187" w:rsidRPr="007939DD" w14:paraId="48B25644" w14:textId="77777777" w:rsidTr="000B5747">
        <w:tc>
          <w:tcPr>
            <w:tcW w:w="2059" w:type="dxa"/>
            <w:shd w:val="clear" w:color="auto" w:fill="auto"/>
          </w:tcPr>
          <w:p w14:paraId="4A8F7679" w14:textId="77777777" w:rsidR="006F3187" w:rsidRPr="007939DD" w:rsidRDefault="006F3187" w:rsidP="006F3187">
            <w:pPr>
              <w:pStyle w:val="ARtabletext"/>
            </w:pPr>
            <w:r w:rsidRPr="007939DD">
              <w:t>FRD 11A</w:t>
            </w:r>
          </w:p>
        </w:tc>
        <w:tc>
          <w:tcPr>
            <w:tcW w:w="6588" w:type="dxa"/>
            <w:shd w:val="clear" w:color="auto" w:fill="auto"/>
          </w:tcPr>
          <w:p w14:paraId="7CC0D9A5" w14:textId="77777777" w:rsidR="006F3187" w:rsidRPr="007939DD" w:rsidRDefault="006F3187" w:rsidP="006F3187">
            <w:pPr>
              <w:pStyle w:val="ARtabletext"/>
            </w:pPr>
            <w:r w:rsidRPr="007939DD">
              <w:t>Disclosure of ex-gratia payments</w:t>
            </w:r>
          </w:p>
        </w:tc>
        <w:tc>
          <w:tcPr>
            <w:tcW w:w="992" w:type="dxa"/>
            <w:shd w:val="clear" w:color="auto" w:fill="auto"/>
          </w:tcPr>
          <w:p w14:paraId="0D6A790B" w14:textId="3CF23809" w:rsidR="006F3187" w:rsidRPr="007939DD" w:rsidRDefault="00FD62CF" w:rsidP="006F3187">
            <w:pPr>
              <w:pStyle w:val="ARtabletextright"/>
            </w:pPr>
            <w:r>
              <w:fldChar w:fldCharType="begin"/>
            </w:r>
            <w:r>
              <w:instrText xml:space="preserve"> PAGEREF _Ref21957726 \h </w:instrText>
            </w:r>
            <w:r>
              <w:fldChar w:fldCharType="separate"/>
            </w:r>
            <w:r w:rsidR="000179F2">
              <w:rPr>
                <w:noProof/>
              </w:rPr>
              <w:t>253</w:t>
            </w:r>
            <w:r>
              <w:fldChar w:fldCharType="end"/>
            </w:r>
          </w:p>
        </w:tc>
      </w:tr>
      <w:tr w:rsidR="006F3187" w:rsidRPr="007939DD" w14:paraId="4C736CBB" w14:textId="77777777" w:rsidTr="000B5747">
        <w:tc>
          <w:tcPr>
            <w:tcW w:w="2059" w:type="dxa"/>
            <w:shd w:val="clear" w:color="auto" w:fill="auto"/>
          </w:tcPr>
          <w:p w14:paraId="7CA43C2D" w14:textId="77777777" w:rsidR="006F3187" w:rsidRPr="007939DD" w:rsidRDefault="006F3187" w:rsidP="006F3187">
            <w:pPr>
              <w:pStyle w:val="ARtabletext"/>
            </w:pPr>
            <w:r w:rsidRPr="007939DD">
              <w:t>FRD 13</w:t>
            </w:r>
          </w:p>
        </w:tc>
        <w:tc>
          <w:tcPr>
            <w:tcW w:w="6588" w:type="dxa"/>
            <w:shd w:val="clear" w:color="auto" w:fill="auto"/>
          </w:tcPr>
          <w:p w14:paraId="43A58382" w14:textId="77777777" w:rsidR="006F3187" w:rsidRPr="007939DD" w:rsidRDefault="006F3187" w:rsidP="006F3187">
            <w:pPr>
              <w:pStyle w:val="ARtabletext"/>
            </w:pPr>
            <w:r w:rsidRPr="007939DD">
              <w:t>Disclosure of parliamentary appropriations</w:t>
            </w:r>
          </w:p>
        </w:tc>
        <w:tc>
          <w:tcPr>
            <w:tcW w:w="992" w:type="dxa"/>
            <w:shd w:val="clear" w:color="auto" w:fill="auto"/>
          </w:tcPr>
          <w:p w14:paraId="3FB2E120" w14:textId="0B6B7AF3" w:rsidR="006F3187" w:rsidRPr="007939DD" w:rsidRDefault="00FD62CF" w:rsidP="006F3187">
            <w:pPr>
              <w:pStyle w:val="ARtabletextright"/>
            </w:pPr>
            <w:r>
              <w:fldChar w:fldCharType="begin"/>
            </w:r>
            <w:r>
              <w:instrText xml:space="preserve"> PAGEREF _Ref21957816 \h </w:instrText>
            </w:r>
            <w:r>
              <w:fldChar w:fldCharType="separate"/>
            </w:r>
            <w:r w:rsidR="000179F2">
              <w:rPr>
                <w:noProof/>
              </w:rPr>
              <w:t>199</w:t>
            </w:r>
            <w:r>
              <w:fldChar w:fldCharType="end"/>
            </w:r>
            <w:r w:rsidR="006F3187">
              <w:t>–</w:t>
            </w:r>
            <w:r>
              <w:fldChar w:fldCharType="begin"/>
            </w:r>
            <w:r>
              <w:instrText xml:space="preserve"> PAGEREF _Ref21957768 \h </w:instrText>
            </w:r>
            <w:r>
              <w:fldChar w:fldCharType="separate"/>
            </w:r>
            <w:r w:rsidR="000179F2">
              <w:rPr>
                <w:noProof/>
              </w:rPr>
              <w:t>200</w:t>
            </w:r>
            <w:r>
              <w:fldChar w:fldCharType="end"/>
            </w:r>
          </w:p>
        </w:tc>
      </w:tr>
      <w:tr w:rsidR="006F3187" w:rsidRPr="007939DD" w14:paraId="3598EB68" w14:textId="77777777" w:rsidTr="000B5747">
        <w:tc>
          <w:tcPr>
            <w:tcW w:w="2059" w:type="dxa"/>
            <w:shd w:val="clear" w:color="auto" w:fill="auto"/>
          </w:tcPr>
          <w:p w14:paraId="031F0F30" w14:textId="77777777" w:rsidR="006F3187" w:rsidRPr="007939DD" w:rsidRDefault="006F3187" w:rsidP="006F3187">
            <w:pPr>
              <w:pStyle w:val="ARtabletext"/>
            </w:pPr>
            <w:r w:rsidRPr="007939DD">
              <w:t>FRD 21C</w:t>
            </w:r>
          </w:p>
        </w:tc>
        <w:tc>
          <w:tcPr>
            <w:tcW w:w="6588" w:type="dxa"/>
            <w:shd w:val="clear" w:color="auto" w:fill="auto"/>
          </w:tcPr>
          <w:p w14:paraId="59966254" w14:textId="77777777" w:rsidR="006F3187" w:rsidRPr="007939DD" w:rsidRDefault="006F3187" w:rsidP="006F3187">
            <w:pPr>
              <w:pStyle w:val="ARtabletext"/>
            </w:pPr>
            <w:r w:rsidRPr="007939DD">
              <w:t>Disclosures of responsible persons, executive officers and other personnel (contactors with significant management responsibilities) in the financial report</w:t>
            </w:r>
          </w:p>
        </w:tc>
        <w:tc>
          <w:tcPr>
            <w:tcW w:w="992" w:type="dxa"/>
            <w:shd w:val="clear" w:color="auto" w:fill="auto"/>
          </w:tcPr>
          <w:p w14:paraId="79470BB4" w14:textId="1E481F54" w:rsidR="006F3187" w:rsidRPr="007939DD" w:rsidRDefault="00204B17" w:rsidP="006F3187">
            <w:pPr>
              <w:pStyle w:val="ARtabletextright"/>
            </w:pPr>
            <w:r>
              <w:fldChar w:fldCharType="begin"/>
            </w:r>
            <w:r>
              <w:instrText xml:space="preserve"> PAGEREF _Ref21957863 \h </w:instrText>
            </w:r>
            <w:r>
              <w:fldChar w:fldCharType="separate"/>
            </w:r>
            <w:r w:rsidR="000179F2">
              <w:rPr>
                <w:noProof/>
              </w:rPr>
              <w:t>256</w:t>
            </w:r>
            <w:r>
              <w:fldChar w:fldCharType="end"/>
            </w:r>
          </w:p>
        </w:tc>
      </w:tr>
      <w:tr w:rsidR="006F3187" w:rsidRPr="007939DD" w14:paraId="01F4AA21" w14:textId="77777777" w:rsidTr="000B5747">
        <w:tc>
          <w:tcPr>
            <w:tcW w:w="2059" w:type="dxa"/>
            <w:shd w:val="clear" w:color="auto" w:fill="auto"/>
          </w:tcPr>
          <w:p w14:paraId="468BC7BA" w14:textId="77777777" w:rsidR="006F3187" w:rsidRPr="007939DD" w:rsidRDefault="006F3187" w:rsidP="006F3187">
            <w:pPr>
              <w:pStyle w:val="ARtabletext"/>
            </w:pPr>
            <w:r w:rsidRPr="007939DD">
              <w:t>FRD 103F</w:t>
            </w:r>
          </w:p>
        </w:tc>
        <w:tc>
          <w:tcPr>
            <w:tcW w:w="6588" w:type="dxa"/>
            <w:shd w:val="clear" w:color="auto" w:fill="auto"/>
          </w:tcPr>
          <w:p w14:paraId="7B7A0754" w14:textId="77777777" w:rsidR="006F3187" w:rsidRPr="007939DD" w:rsidRDefault="006F3187" w:rsidP="006F3187">
            <w:pPr>
              <w:pStyle w:val="ARtabletext"/>
            </w:pPr>
            <w:r w:rsidRPr="007939DD">
              <w:t>Non-financial physical assets</w:t>
            </w:r>
          </w:p>
        </w:tc>
        <w:tc>
          <w:tcPr>
            <w:tcW w:w="992" w:type="dxa"/>
            <w:shd w:val="clear" w:color="auto" w:fill="auto"/>
          </w:tcPr>
          <w:p w14:paraId="13781CC7" w14:textId="5D877DBE" w:rsidR="006F3187" w:rsidRPr="007939DD" w:rsidRDefault="00204B17" w:rsidP="006F3187">
            <w:pPr>
              <w:pStyle w:val="ARtabletextright"/>
            </w:pPr>
            <w:r>
              <w:fldChar w:fldCharType="begin"/>
            </w:r>
            <w:r>
              <w:instrText xml:space="preserve"> PAGEREF _Ref21957878 \h </w:instrText>
            </w:r>
            <w:r>
              <w:fldChar w:fldCharType="separate"/>
            </w:r>
            <w:r w:rsidR="000179F2">
              <w:rPr>
                <w:noProof/>
              </w:rPr>
              <w:t>254</w:t>
            </w:r>
            <w:r>
              <w:fldChar w:fldCharType="end"/>
            </w:r>
          </w:p>
        </w:tc>
      </w:tr>
      <w:tr w:rsidR="006F3187" w:rsidRPr="007939DD" w14:paraId="1F1C5C31" w14:textId="77777777" w:rsidTr="000B5747">
        <w:tc>
          <w:tcPr>
            <w:tcW w:w="2059" w:type="dxa"/>
            <w:shd w:val="clear" w:color="auto" w:fill="auto"/>
          </w:tcPr>
          <w:p w14:paraId="222F716E" w14:textId="77777777" w:rsidR="006F3187" w:rsidRPr="007939DD" w:rsidRDefault="006F3187" w:rsidP="006F3187">
            <w:pPr>
              <w:pStyle w:val="ARtabletext"/>
            </w:pPr>
            <w:r w:rsidRPr="007939DD">
              <w:t>FRD 109A</w:t>
            </w:r>
          </w:p>
        </w:tc>
        <w:tc>
          <w:tcPr>
            <w:tcW w:w="6588" w:type="dxa"/>
            <w:shd w:val="clear" w:color="auto" w:fill="auto"/>
          </w:tcPr>
          <w:p w14:paraId="111F60B5" w14:textId="77777777" w:rsidR="006F3187" w:rsidRPr="007939DD" w:rsidRDefault="006F3187" w:rsidP="006F3187">
            <w:pPr>
              <w:pStyle w:val="ARtabletext"/>
            </w:pPr>
            <w:r w:rsidRPr="007939DD">
              <w:t>Intangible assets</w:t>
            </w:r>
          </w:p>
        </w:tc>
        <w:tc>
          <w:tcPr>
            <w:tcW w:w="992" w:type="dxa"/>
            <w:shd w:val="clear" w:color="auto" w:fill="auto"/>
          </w:tcPr>
          <w:p w14:paraId="7BCDBEC4" w14:textId="56686F0D" w:rsidR="006F3187" w:rsidRPr="007939DD" w:rsidRDefault="00204B17" w:rsidP="006F3187">
            <w:pPr>
              <w:pStyle w:val="ARtabletextright"/>
            </w:pPr>
            <w:r>
              <w:fldChar w:fldCharType="begin"/>
            </w:r>
            <w:r>
              <w:instrText xml:space="preserve"> PAGEREF _Ref21957915 \h </w:instrText>
            </w:r>
            <w:r>
              <w:fldChar w:fldCharType="separate"/>
            </w:r>
            <w:r w:rsidR="000179F2">
              <w:rPr>
                <w:noProof/>
              </w:rPr>
              <w:t>223</w:t>
            </w:r>
            <w:r>
              <w:fldChar w:fldCharType="end"/>
            </w:r>
          </w:p>
        </w:tc>
      </w:tr>
      <w:tr w:rsidR="006F3187" w:rsidRPr="007939DD" w14:paraId="6508764A" w14:textId="77777777" w:rsidTr="000B5747">
        <w:tc>
          <w:tcPr>
            <w:tcW w:w="2059" w:type="dxa"/>
            <w:shd w:val="clear" w:color="auto" w:fill="auto"/>
          </w:tcPr>
          <w:p w14:paraId="1E09885D" w14:textId="77777777" w:rsidR="006F3187" w:rsidRPr="007939DD" w:rsidRDefault="006F3187" w:rsidP="006F3187">
            <w:pPr>
              <w:pStyle w:val="ARtabletext"/>
            </w:pPr>
            <w:r w:rsidRPr="007939DD">
              <w:t>FRD 110A</w:t>
            </w:r>
          </w:p>
        </w:tc>
        <w:tc>
          <w:tcPr>
            <w:tcW w:w="6588" w:type="dxa"/>
            <w:shd w:val="clear" w:color="auto" w:fill="auto"/>
          </w:tcPr>
          <w:p w14:paraId="6EC112FA" w14:textId="77777777" w:rsidR="006F3187" w:rsidRPr="007939DD" w:rsidRDefault="006F3187" w:rsidP="006F3187">
            <w:pPr>
              <w:pStyle w:val="ARtabletext"/>
            </w:pPr>
            <w:r w:rsidRPr="007939DD">
              <w:t>Cash flow statements</w:t>
            </w:r>
          </w:p>
        </w:tc>
        <w:tc>
          <w:tcPr>
            <w:tcW w:w="992" w:type="dxa"/>
            <w:shd w:val="clear" w:color="auto" w:fill="auto"/>
          </w:tcPr>
          <w:p w14:paraId="0001EDB2" w14:textId="637217DB" w:rsidR="006F3187" w:rsidRPr="007939DD" w:rsidRDefault="00204B17" w:rsidP="006F3187">
            <w:pPr>
              <w:pStyle w:val="ARtabletextright"/>
            </w:pPr>
            <w:r>
              <w:fldChar w:fldCharType="begin"/>
            </w:r>
            <w:r>
              <w:instrText xml:space="preserve"> PAGEREF _Ref21957932 \h </w:instrText>
            </w:r>
            <w:r>
              <w:fldChar w:fldCharType="separate"/>
            </w:r>
            <w:r w:rsidR="000179F2">
              <w:rPr>
                <w:noProof/>
              </w:rPr>
              <w:t>195</w:t>
            </w:r>
            <w:r>
              <w:fldChar w:fldCharType="end"/>
            </w:r>
          </w:p>
        </w:tc>
      </w:tr>
      <w:tr w:rsidR="006F3187" w:rsidRPr="007939DD" w14:paraId="507F3ED7" w14:textId="77777777" w:rsidTr="000B5747">
        <w:tc>
          <w:tcPr>
            <w:tcW w:w="2059" w:type="dxa"/>
            <w:shd w:val="clear" w:color="auto" w:fill="auto"/>
          </w:tcPr>
          <w:p w14:paraId="10AEF0AB" w14:textId="77777777" w:rsidR="006F3187" w:rsidRPr="007939DD" w:rsidRDefault="006F3187" w:rsidP="006F3187">
            <w:pPr>
              <w:pStyle w:val="ARtabletext"/>
            </w:pPr>
            <w:r w:rsidRPr="007939DD">
              <w:t>FRD 112D</w:t>
            </w:r>
          </w:p>
        </w:tc>
        <w:tc>
          <w:tcPr>
            <w:tcW w:w="6588" w:type="dxa"/>
            <w:shd w:val="clear" w:color="auto" w:fill="auto"/>
          </w:tcPr>
          <w:p w14:paraId="22539428" w14:textId="77777777" w:rsidR="006F3187" w:rsidRPr="007939DD" w:rsidRDefault="006F3187" w:rsidP="006F3187">
            <w:pPr>
              <w:pStyle w:val="ARtabletext"/>
            </w:pPr>
            <w:r w:rsidRPr="007939DD">
              <w:t>Defined benefit superannuation obligations</w:t>
            </w:r>
          </w:p>
        </w:tc>
        <w:tc>
          <w:tcPr>
            <w:tcW w:w="992" w:type="dxa"/>
            <w:shd w:val="clear" w:color="auto" w:fill="auto"/>
          </w:tcPr>
          <w:p w14:paraId="7B6799AB" w14:textId="3C9E31F7" w:rsidR="006F3187" w:rsidRPr="007939DD" w:rsidRDefault="00204B17" w:rsidP="006F3187">
            <w:pPr>
              <w:pStyle w:val="ARtabletextright"/>
            </w:pPr>
            <w:r>
              <w:fldChar w:fldCharType="begin"/>
            </w:r>
            <w:r>
              <w:instrText xml:space="preserve"> PAGEREF _Ref21958061 \h </w:instrText>
            </w:r>
            <w:r>
              <w:fldChar w:fldCharType="separate"/>
            </w:r>
            <w:r w:rsidR="000179F2">
              <w:rPr>
                <w:noProof/>
              </w:rPr>
              <w:t>206</w:t>
            </w:r>
            <w:r>
              <w:fldChar w:fldCharType="end"/>
            </w:r>
          </w:p>
        </w:tc>
      </w:tr>
      <w:tr w:rsidR="006F3187" w:rsidRPr="007939DD" w14:paraId="72E6B4BA" w14:textId="77777777" w:rsidTr="000B5747">
        <w:tc>
          <w:tcPr>
            <w:tcW w:w="2059" w:type="dxa"/>
            <w:shd w:val="clear" w:color="auto" w:fill="auto"/>
          </w:tcPr>
          <w:p w14:paraId="3C9A928D" w14:textId="77777777" w:rsidR="006F3187" w:rsidRPr="007939DD" w:rsidRDefault="006F3187" w:rsidP="006F3187">
            <w:pPr>
              <w:pStyle w:val="ARtabletext"/>
            </w:pPr>
            <w:r w:rsidRPr="007939DD">
              <w:t>FRD 114B</w:t>
            </w:r>
          </w:p>
        </w:tc>
        <w:tc>
          <w:tcPr>
            <w:tcW w:w="6588" w:type="dxa"/>
            <w:shd w:val="clear" w:color="auto" w:fill="auto"/>
          </w:tcPr>
          <w:p w14:paraId="10F4F9E7" w14:textId="224C746F" w:rsidR="006F3187" w:rsidRPr="007939DD" w:rsidRDefault="006F3187" w:rsidP="006F3187">
            <w:pPr>
              <w:pStyle w:val="ARtabletext"/>
            </w:pPr>
            <w:r w:rsidRPr="007939DD">
              <w:t>Financial instruments – general government entities and public non-financial corporations</w:t>
            </w:r>
          </w:p>
        </w:tc>
        <w:tc>
          <w:tcPr>
            <w:tcW w:w="992" w:type="dxa"/>
            <w:shd w:val="clear" w:color="auto" w:fill="auto"/>
          </w:tcPr>
          <w:p w14:paraId="2123BBC2" w14:textId="17F8C8F8" w:rsidR="006F3187" w:rsidRPr="007939DD" w:rsidRDefault="00B6506C" w:rsidP="006F3187">
            <w:pPr>
              <w:pStyle w:val="ARtabletextright"/>
            </w:pPr>
            <w:r>
              <w:fldChar w:fldCharType="begin"/>
            </w:r>
            <w:r>
              <w:instrText xml:space="preserve"> PAGEREF _Ref21958136 \h </w:instrText>
            </w:r>
            <w:r>
              <w:fldChar w:fldCharType="separate"/>
            </w:r>
            <w:r w:rsidR="000179F2">
              <w:rPr>
                <w:noProof/>
              </w:rPr>
              <w:t>240</w:t>
            </w:r>
            <w:r>
              <w:fldChar w:fldCharType="end"/>
            </w:r>
            <w:r w:rsidR="006F3187">
              <w:t>–</w:t>
            </w:r>
            <w:r>
              <w:fldChar w:fldCharType="begin"/>
            </w:r>
            <w:r>
              <w:instrText xml:space="preserve"> PAGEREF _Ref21958179 \h </w:instrText>
            </w:r>
            <w:r>
              <w:fldChar w:fldCharType="separate"/>
            </w:r>
            <w:r w:rsidR="000179F2">
              <w:rPr>
                <w:noProof/>
              </w:rPr>
              <w:t>241</w:t>
            </w:r>
            <w:r>
              <w:fldChar w:fldCharType="end"/>
            </w:r>
          </w:p>
        </w:tc>
      </w:tr>
      <w:tr w:rsidR="006F3187" w:rsidRPr="007939DD" w14:paraId="146019B0" w14:textId="77777777" w:rsidTr="000B5747">
        <w:tc>
          <w:tcPr>
            <w:tcW w:w="2059" w:type="dxa"/>
            <w:shd w:val="clear" w:color="auto" w:fill="auto"/>
          </w:tcPr>
          <w:p w14:paraId="17B026B4" w14:textId="77777777" w:rsidR="006F3187" w:rsidRPr="007939DD" w:rsidRDefault="006F3187" w:rsidP="006F3187">
            <w:pPr>
              <w:pStyle w:val="ARtabletext"/>
            </w:pPr>
            <w:r w:rsidRPr="007939DD">
              <w:t>FRD 119A</w:t>
            </w:r>
          </w:p>
        </w:tc>
        <w:tc>
          <w:tcPr>
            <w:tcW w:w="6588" w:type="dxa"/>
            <w:shd w:val="clear" w:color="auto" w:fill="auto"/>
          </w:tcPr>
          <w:p w14:paraId="5BC986DB" w14:textId="77777777" w:rsidR="006F3187" w:rsidRPr="007939DD" w:rsidRDefault="006F3187" w:rsidP="006F3187">
            <w:pPr>
              <w:pStyle w:val="ARtabletext"/>
            </w:pPr>
            <w:r w:rsidRPr="007939DD">
              <w:t>Transfers through contributed capital</w:t>
            </w:r>
          </w:p>
        </w:tc>
        <w:tc>
          <w:tcPr>
            <w:tcW w:w="992" w:type="dxa"/>
            <w:shd w:val="clear" w:color="auto" w:fill="auto"/>
          </w:tcPr>
          <w:p w14:paraId="5D4753A0" w14:textId="1D83103E" w:rsidR="006F3187" w:rsidRPr="007939DD" w:rsidRDefault="00DD1CB6" w:rsidP="006F3187">
            <w:pPr>
              <w:pStyle w:val="ARtabletextright"/>
            </w:pPr>
            <w:r>
              <w:fldChar w:fldCharType="begin"/>
            </w:r>
            <w:r>
              <w:instrText xml:space="preserve"> PAGEREF _Ref21957617 \h </w:instrText>
            </w:r>
            <w:r>
              <w:fldChar w:fldCharType="separate"/>
            </w:r>
            <w:r w:rsidR="000179F2">
              <w:rPr>
                <w:noProof/>
              </w:rPr>
              <w:t>197</w:t>
            </w:r>
            <w:r>
              <w:fldChar w:fldCharType="end"/>
            </w:r>
          </w:p>
        </w:tc>
      </w:tr>
    </w:tbl>
    <w:p w14:paraId="45C63261" w14:textId="77777777" w:rsidR="00FA7EBF" w:rsidRPr="007939DD" w:rsidRDefault="00FA7EBF" w:rsidP="004C3AD7">
      <w:pPr>
        <w:pStyle w:val="ARtablefootnote"/>
      </w:pPr>
      <w:r w:rsidRPr="007939DD">
        <w:t>Note: FRD = Financial Reporting Direction; SD = Standing Direction</w:t>
      </w:r>
    </w:p>
    <w:p w14:paraId="5F878AFA" w14:textId="6A08A1BB" w:rsidR="00FA7EBF" w:rsidRPr="007939DD" w:rsidRDefault="00FA7EBF" w:rsidP="004C3AD7">
      <w:pPr>
        <w:pStyle w:val="Heading3"/>
        <w:spacing w:before="0" w:after="200"/>
      </w:pPr>
      <w:r w:rsidRPr="007939DD">
        <w:br w:type="page"/>
      </w:r>
      <w:bookmarkStart w:id="320" w:name="_Toc462577212"/>
      <w:bookmarkStart w:id="321" w:name="_Ref492894563"/>
      <w:bookmarkStart w:id="322" w:name="_Toc520974736"/>
      <w:bookmarkStart w:id="323" w:name="_Ref525048716"/>
      <w:bookmarkStart w:id="324" w:name="_Ref21862086"/>
      <w:r w:rsidRPr="007939DD">
        <w:t>Full report</w:t>
      </w:r>
      <w:bookmarkEnd w:id="320"/>
      <w:bookmarkEnd w:id="321"/>
      <w:bookmarkEnd w:id="322"/>
      <w:bookmarkEnd w:id="323"/>
      <w:bookmarkEnd w:id="324"/>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4A0" w:firstRow="1" w:lastRow="0" w:firstColumn="1" w:lastColumn="0" w:noHBand="0" w:noVBand="1"/>
      </w:tblPr>
      <w:tblGrid>
        <w:gridCol w:w="6374"/>
        <w:gridCol w:w="2409"/>
        <w:gridCol w:w="856"/>
      </w:tblGrid>
      <w:tr w:rsidR="00FA7EBF" w:rsidRPr="007939DD" w14:paraId="752DD763" w14:textId="77777777" w:rsidTr="000B5747">
        <w:trPr>
          <w:cantSplit/>
        </w:trPr>
        <w:tc>
          <w:tcPr>
            <w:tcW w:w="8783" w:type="dxa"/>
            <w:gridSpan w:val="2"/>
            <w:tcBorders>
              <w:top w:val="nil"/>
            </w:tcBorders>
            <w:shd w:val="clear" w:color="auto" w:fill="auto"/>
          </w:tcPr>
          <w:p w14:paraId="6DEB8D8E" w14:textId="77777777" w:rsidR="00FA7EBF" w:rsidRPr="007939DD" w:rsidRDefault="00FA7EBF" w:rsidP="000B5747">
            <w:pPr>
              <w:pStyle w:val="ARtablecolhead"/>
            </w:pPr>
            <w:r w:rsidRPr="007939DD">
              <w:t>Legislation</w:t>
            </w:r>
          </w:p>
        </w:tc>
        <w:tc>
          <w:tcPr>
            <w:tcW w:w="856" w:type="dxa"/>
            <w:tcBorders>
              <w:top w:val="nil"/>
            </w:tcBorders>
            <w:shd w:val="clear" w:color="auto" w:fill="auto"/>
          </w:tcPr>
          <w:p w14:paraId="00A280A5" w14:textId="77777777" w:rsidR="00FA7EBF" w:rsidRPr="007939DD" w:rsidRDefault="00FA7EBF" w:rsidP="000B5747">
            <w:pPr>
              <w:pStyle w:val="ARtablecolhead"/>
              <w:jc w:val="right"/>
            </w:pPr>
            <w:r w:rsidRPr="007939DD">
              <w:t>Page</w:t>
            </w:r>
          </w:p>
        </w:tc>
      </w:tr>
      <w:tr w:rsidR="00FA7EBF" w:rsidRPr="007939DD" w14:paraId="6CD6073C" w14:textId="77777777" w:rsidTr="00090A50">
        <w:trPr>
          <w:cantSplit/>
        </w:trPr>
        <w:tc>
          <w:tcPr>
            <w:tcW w:w="6374" w:type="dxa"/>
            <w:shd w:val="clear" w:color="auto" w:fill="auto"/>
          </w:tcPr>
          <w:p w14:paraId="7AACD990" w14:textId="77777777" w:rsidR="00FA7EBF" w:rsidRPr="007939DD" w:rsidRDefault="00FA7EBF" w:rsidP="000B5747">
            <w:pPr>
              <w:pStyle w:val="ARtabletext"/>
              <w:rPr>
                <w:i/>
              </w:rPr>
            </w:pPr>
            <w:r w:rsidRPr="007939DD">
              <w:rPr>
                <w:i/>
              </w:rPr>
              <w:t>Building Act 1993</w:t>
            </w:r>
          </w:p>
        </w:tc>
        <w:tc>
          <w:tcPr>
            <w:tcW w:w="3265" w:type="dxa"/>
            <w:gridSpan w:val="2"/>
            <w:shd w:val="clear" w:color="auto" w:fill="auto"/>
          </w:tcPr>
          <w:p w14:paraId="54236492" w14:textId="4540D9EF" w:rsidR="00FA7EBF" w:rsidRPr="007939DD" w:rsidRDefault="00DD1CB6" w:rsidP="000B5747">
            <w:pPr>
              <w:pStyle w:val="ARtabletextright"/>
            </w:pPr>
            <w:r>
              <w:fldChar w:fldCharType="begin"/>
            </w:r>
            <w:r>
              <w:instrText xml:space="preserve"> PAGEREF _Ref21956605 \h </w:instrText>
            </w:r>
            <w:r>
              <w:fldChar w:fldCharType="separate"/>
            </w:r>
            <w:r w:rsidR="000179F2">
              <w:rPr>
                <w:noProof/>
              </w:rPr>
              <w:t>145</w:t>
            </w:r>
            <w:r>
              <w:fldChar w:fldCharType="end"/>
            </w:r>
            <w:r w:rsidR="00090A50">
              <w:t>–</w:t>
            </w:r>
            <w:r w:rsidR="00526CD9">
              <w:fldChar w:fldCharType="begin"/>
            </w:r>
            <w:r w:rsidR="00526CD9">
              <w:instrText xml:space="preserve"> PAGEREF _Ref21956652 \h </w:instrText>
            </w:r>
            <w:r w:rsidR="00526CD9">
              <w:fldChar w:fldCharType="separate"/>
            </w:r>
            <w:r w:rsidR="000179F2">
              <w:rPr>
                <w:noProof/>
              </w:rPr>
              <w:t>146</w:t>
            </w:r>
            <w:r w:rsidR="00526CD9">
              <w:fldChar w:fldCharType="end"/>
            </w:r>
          </w:p>
        </w:tc>
      </w:tr>
      <w:tr w:rsidR="00FA7EBF" w:rsidRPr="007939DD" w14:paraId="31065950" w14:textId="77777777" w:rsidTr="00090A50">
        <w:trPr>
          <w:cantSplit/>
        </w:trPr>
        <w:tc>
          <w:tcPr>
            <w:tcW w:w="6374" w:type="dxa"/>
            <w:shd w:val="clear" w:color="auto" w:fill="auto"/>
          </w:tcPr>
          <w:p w14:paraId="69E06C99" w14:textId="77777777" w:rsidR="00FA7EBF" w:rsidRPr="007939DD" w:rsidRDefault="00FA7EBF" w:rsidP="000B5747">
            <w:pPr>
              <w:pStyle w:val="ARtabletext"/>
              <w:rPr>
                <w:i/>
              </w:rPr>
            </w:pPr>
            <w:r w:rsidRPr="007939DD">
              <w:rPr>
                <w:i/>
              </w:rPr>
              <w:t>Carers Recognition Act 2012</w:t>
            </w:r>
          </w:p>
        </w:tc>
        <w:tc>
          <w:tcPr>
            <w:tcW w:w="3265" w:type="dxa"/>
            <w:gridSpan w:val="2"/>
            <w:shd w:val="clear" w:color="auto" w:fill="auto"/>
          </w:tcPr>
          <w:p w14:paraId="61B327AF" w14:textId="59FC07C7" w:rsidR="00FA7EBF" w:rsidRPr="007939DD" w:rsidRDefault="00DD1CB6" w:rsidP="000B5747">
            <w:pPr>
              <w:pStyle w:val="ARtabletextright"/>
            </w:pPr>
            <w:r>
              <w:fldChar w:fldCharType="begin"/>
            </w:r>
            <w:r>
              <w:instrText xml:space="preserve"> PAGEREF _Ref21956652 \h </w:instrText>
            </w:r>
            <w:r>
              <w:fldChar w:fldCharType="separate"/>
            </w:r>
            <w:r w:rsidR="000179F2">
              <w:rPr>
                <w:noProof/>
              </w:rPr>
              <w:t>146</w:t>
            </w:r>
            <w:r>
              <w:fldChar w:fldCharType="end"/>
            </w:r>
          </w:p>
        </w:tc>
      </w:tr>
      <w:tr w:rsidR="00FA7EBF" w:rsidRPr="007939DD" w14:paraId="3571BC77" w14:textId="77777777" w:rsidTr="00090A50">
        <w:trPr>
          <w:cantSplit/>
        </w:trPr>
        <w:tc>
          <w:tcPr>
            <w:tcW w:w="6374" w:type="dxa"/>
            <w:shd w:val="clear" w:color="auto" w:fill="auto"/>
          </w:tcPr>
          <w:p w14:paraId="5B9D2BC0" w14:textId="77777777" w:rsidR="00FA7EBF" w:rsidRPr="007939DD" w:rsidRDefault="00FA7EBF" w:rsidP="000B5747">
            <w:pPr>
              <w:pStyle w:val="ARtabletext"/>
              <w:rPr>
                <w:i/>
              </w:rPr>
            </w:pPr>
            <w:r w:rsidRPr="007939DD">
              <w:rPr>
                <w:i/>
              </w:rPr>
              <w:t>Children, Youth and Families Act 2005</w:t>
            </w:r>
          </w:p>
        </w:tc>
        <w:tc>
          <w:tcPr>
            <w:tcW w:w="3265" w:type="dxa"/>
            <w:gridSpan w:val="2"/>
            <w:shd w:val="clear" w:color="auto" w:fill="auto"/>
          </w:tcPr>
          <w:p w14:paraId="37A44ED9" w14:textId="32A4C3BA" w:rsidR="00FA7EBF" w:rsidRPr="007939DD" w:rsidRDefault="00526CD9" w:rsidP="00C649A4">
            <w:pPr>
              <w:pStyle w:val="ARtabletextright"/>
            </w:pPr>
            <w:r>
              <w:fldChar w:fldCharType="begin"/>
            </w:r>
            <w:r>
              <w:instrText xml:space="preserve"> PAGEREF _Ref21960159 \h </w:instrText>
            </w:r>
            <w:r>
              <w:fldChar w:fldCharType="separate"/>
            </w:r>
            <w:r w:rsidR="000179F2">
              <w:rPr>
                <w:noProof/>
              </w:rPr>
              <w:t>162</w:t>
            </w:r>
            <w:r>
              <w:fldChar w:fldCharType="end"/>
            </w:r>
            <w:r w:rsidR="00090A50">
              <w:t>–</w:t>
            </w:r>
            <w:r>
              <w:fldChar w:fldCharType="begin"/>
            </w:r>
            <w:r>
              <w:instrText xml:space="preserve"> PAGEREF _Ref525207621 \h </w:instrText>
            </w:r>
            <w:r>
              <w:fldChar w:fldCharType="separate"/>
            </w:r>
            <w:r w:rsidR="000179F2">
              <w:rPr>
                <w:noProof/>
              </w:rPr>
              <w:t>165</w:t>
            </w:r>
            <w:r>
              <w:fldChar w:fldCharType="end"/>
            </w:r>
          </w:p>
        </w:tc>
      </w:tr>
      <w:tr w:rsidR="00FA7EBF" w:rsidRPr="007939DD" w14:paraId="0750B80D" w14:textId="77777777" w:rsidTr="00090A50">
        <w:trPr>
          <w:cantSplit/>
        </w:trPr>
        <w:tc>
          <w:tcPr>
            <w:tcW w:w="6374" w:type="dxa"/>
            <w:shd w:val="clear" w:color="auto" w:fill="auto"/>
          </w:tcPr>
          <w:p w14:paraId="6757EEB4" w14:textId="77777777" w:rsidR="00FA7EBF" w:rsidRPr="007939DD" w:rsidRDefault="00FA7EBF" w:rsidP="000B5747">
            <w:pPr>
              <w:pStyle w:val="ARtabletext"/>
              <w:rPr>
                <w:i/>
              </w:rPr>
            </w:pPr>
            <w:r w:rsidRPr="007939DD">
              <w:rPr>
                <w:i/>
              </w:rPr>
              <w:t>Cemeteries and Crematoria Amendment Act 2003</w:t>
            </w:r>
          </w:p>
        </w:tc>
        <w:tc>
          <w:tcPr>
            <w:tcW w:w="3265" w:type="dxa"/>
            <w:gridSpan w:val="2"/>
            <w:shd w:val="clear" w:color="auto" w:fill="auto"/>
          </w:tcPr>
          <w:p w14:paraId="336D688D" w14:textId="6678B76C" w:rsidR="00FA7EBF" w:rsidRPr="007939DD" w:rsidRDefault="00526CD9" w:rsidP="000B5747">
            <w:pPr>
              <w:pStyle w:val="ARtabletextright"/>
            </w:pPr>
            <w:r>
              <w:fldChar w:fldCharType="begin"/>
            </w:r>
            <w:r>
              <w:instrText xml:space="preserve"> PAGEREF _Ref21960028 \h </w:instrText>
            </w:r>
            <w:r>
              <w:fldChar w:fldCharType="separate"/>
            </w:r>
            <w:r w:rsidR="000179F2">
              <w:rPr>
                <w:noProof/>
              </w:rPr>
              <w:t>161</w:t>
            </w:r>
            <w:r>
              <w:fldChar w:fldCharType="end"/>
            </w:r>
          </w:p>
        </w:tc>
      </w:tr>
      <w:tr w:rsidR="00FA7EBF" w:rsidRPr="007939DD" w14:paraId="34837D1B" w14:textId="77777777" w:rsidTr="00090A50">
        <w:trPr>
          <w:cantSplit/>
        </w:trPr>
        <w:tc>
          <w:tcPr>
            <w:tcW w:w="6374" w:type="dxa"/>
            <w:shd w:val="clear" w:color="auto" w:fill="auto"/>
          </w:tcPr>
          <w:p w14:paraId="3EB1817F" w14:textId="77777777" w:rsidR="00FA7EBF" w:rsidRPr="007939DD" w:rsidRDefault="00FA7EBF" w:rsidP="000B5747">
            <w:pPr>
              <w:pStyle w:val="ARtabletext"/>
              <w:rPr>
                <w:i/>
              </w:rPr>
            </w:pPr>
            <w:r w:rsidRPr="007939DD">
              <w:rPr>
                <w:i/>
              </w:rPr>
              <w:t>Disability Act 2006</w:t>
            </w:r>
          </w:p>
        </w:tc>
        <w:tc>
          <w:tcPr>
            <w:tcW w:w="3265" w:type="dxa"/>
            <w:gridSpan w:val="2"/>
            <w:shd w:val="clear" w:color="auto" w:fill="auto"/>
          </w:tcPr>
          <w:p w14:paraId="3AC1B682" w14:textId="62500D80" w:rsidR="00FA7EBF" w:rsidRPr="007939DD" w:rsidRDefault="00526CD9" w:rsidP="000B5747">
            <w:pPr>
              <w:pStyle w:val="ARtabletextright"/>
            </w:pPr>
            <w:r>
              <w:fldChar w:fldCharType="begin"/>
            </w:r>
            <w:r>
              <w:instrText xml:space="preserve"> PAGEREF _Ref21960035 \h </w:instrText>
            </w:r>
            <w:r>
              <w:fldChar w:fldCharType="separate"/>
            </w:r>
            <w:r w:rsidR="000179F2">
              <w:rPr>
                <w:noProof/>
              </w:rPr>
              <w:t>163</w:t>
            </w:r>
            <w:r>
              <w:fldChar w:fldCharType="end"/>
            </w:r>
          </w:p>
        </w:tc>
      </w:tr>
      <w:tr w:rsidR="00FA7EBF" w:rsidRPr="007939DD" w14:paraId="6B98BE1A" w14:textId="77777777" w:rsidTr="00090A50">
        <w:trPr>
          <w:cantSplit/>
        </w:trPr>
        <w:tc>
          <w:tcPr>
            <w:tcW w:w="6374" w:type="dxa"/>
            <w:shd w:val="clear" w:color="auto" w:fill="auto"/>
          </w:tcPr>
          <w:p w14:paraId="33635385" w14:textId="38BF277D" w:rsidR="00FA7EBF" w:rsidRPr="007939DD" w:rsidRDefault="00272D1B" w:rsidP="000B5747">
            <w:pPr>
              <w:pStyle w:val="ARtabletext"/>
              <w:rPr>
                <w:i/>
              </w:rPr>
            </w:pPr>
            <w:r w:rsidRPr="00272D1B">
              <w:rPr>
                <w:i/>
              </w:rPr>
              <w:t>Drugs, Poisons and Controlled Substances Act 1981</w:t>
            </w:r>
          </w:p>
        </w:tc>
        <w:tc>
          <w:tcPr>
            <w:tcW w:w="3265" w:type="dxa"/>
            <w:gridSpan w:val="2"/>
            <w:shd w:val="clear" w:color="auto" w:fill="auto"/>
          </w:tcPr>
          <w:p w14:paraId="0487DF93" w14:textId="4605AE3F" w:rsidR="00FA7EBF" w:rsidRPr="007939DD" w:rsidRDefault="00F57B55" w:rsidP="000B5747">
            <w:pPr>
              <w:pStyle w:val="ARtabletextright"/>
            </w:pPr>
            <w:r>
              <w:fldChar w:fldCharType="begin"/>
            </w:r>
            <w:r>
              <w:instrText xml:space="preserve"> PAGEREF _Ref21956499 \h </w:instrText>
            </w:r>
            <w:r>
              <w:fldChar w:fldCharType="separate"/>
            </w:r>
            <w:r w:rsidR="000179F2">
              <w:rPr>
                <w:noProof/>
              </w:rPr>
              <w:t>160</w:t>
            </w:r>
            <w:r>
              <w:fldChar w:fldCharType="end"/>
            </w:r>
            <w:r w:rsidR="00090A50">
              <w:t>–</w:t>
            </w:r>
            <w:r w:rsidR="00526CD9">
              <w:fldChar w:fldCharType="begin"/>
            </w:r>
            <w:r w:rsidR="00526CD9">
              <w:instrText xml:space="preserve"> PAGEREF _Ref21960028 \h </w:instrText>
            </w:r>
            <w:r w:rsidR="00526CD9">
              <w:fldChar w:fldCharType="separate"/>
            </w:r>
            <w:r w:rsidR="000179F2">
              <w:rPr>
                <w:noProof/>
              </w:rPr>
              <w:t>161</w:t>
            </w:r>
            <w:r w:rsidR="00526CD9">
              <w:fldChar w:fldCharType="end"/>
            </w:r>
          </w:p>
        </w:tc>
      </w:tr>
      <w:tr w:rsidR="00FA7EBF" w:rsidRPr="007939DD" w14:paraId="5ADB8979" w14:textId="77777777" w:rsidTr="00090A50">
        <w:trPr>
          <w:cantSplit/>
        </w:trPr>
        <w:tc>
          <w:tcPr>
            <w:tcW w:w="6374" w:type="dxa"/>
            <w:shd w:val="clear" w:color="auto" w:fill="auto"/>
          </w:tcPr>
          <w:p w14:paraId="5DC1D205" w14:textId="77777777" w:rsidR="00FA7EBF" w:rsidRPr="007939DD" w:rsidRDefault="00FA7EBF" w:rsidP="000B5747">
            <w:pPr>
              <w:pStyle w:val="ARtabletext"/>
              <w:rPr>
                <w:i/>
              </w:rPr>
            </w:pPr>
            <w:r w:rsidRPr="007939DD">
              <w:rPr>
                <w:i/>
              </w:rPr>
              <w:t>Financial Management Act 1994</w:t>
            </w:r>
          </w:p>
        </w:tc>
        <w:tc>
          <w:tcPr>
            <w:tcW w:w="3265" w:type="dxa"/>
            <w:gridSpan w:val="2"/>
            <w:shd w:val="clear" w:color="auto" w:fill="auto"/>
          </w:tcPr>
          <w:p w14:paraId="6FA2FD47" w14:textId="74B49952" w:rsidR="00FA7EBF" w:rsidRPr="007939DD" w:rsidRDefault="00F57B55" w:rsidP="00C649A4">
            <w:pPr>
              <w:pStyle w:val="ARtabletextright"/>
            </w:pPr>
            <w:r>
              <w:fldChar w:fldCharType="begin"/>
            </w:r>
            <w:r>
              <w:instrText xml:space="preserve"> PAGEREF _Ref21956322 \h </w:instrText>
            </w:r>
            <w:r>
              <w:fldChar w:fldCharType="separate"/>
            </w:r>
            <w:r w:rsidR="000179F2">
              <w:rPr>
                <w:noProof/>
              </w:rPr>
              <w:t>101</w:t>
            </w:r>
            <w:r>
              <w:fldChar w:fldCharType="end"/>
            </w:r>
            <w:r w:rsidR="006F3187">
              <w:t xml:space="preserve">, </w:t>
            </w:r>
            <w:r w:rsidR="00075356">
              <w:fldChar w:fldCharType="begin"/>
            </w:r>
            <w:r w:rsidR="00075356">
              <w:instrText xml:space="preserve"> PAGEREF _Ref21960252 \h </w:instrText>
            </w:r>
            <w:r w:rsidR="00075356">
              <w:fldChar w:fldCharType="separate"/>
            </w:r>
            <w:r w:rsidR="000179F2">
              <w:rPr>
                <w:noProof/>
              </w:rPr>
              <w:t>109</w:t>
            </w:r>
            <w:r w:rsidR="00075356">
              <w:fldChar w:fldCharType="end"/>
            </w:r>
            <w:r w:rsidR="006F3187">
              <w:t xml:space="preserve">, </w:t>
            </w:r>
            <w:r>
              <w:fldChar w:fldCharType="begin"/>
            </w:r>
            <w:r>
              <w:instrText xml:space="preserve"> PAGEREF _Ref21956499 \h </w:instrText>
            </w:r>
            <w:r>
              <w:fldChar w:fldCharType="separate"/>
            </w:r>
            <w:r w:rsidR="000179F2">
              <w:rPr>
                <w:noProof/>
              </w:rPr>
              <w:t>160</w:t>
            </w:r>
            <w:r>
              <w:fldChar w:fldCharType="end"/>
            </w:r>
            <w:r w:rsidR="006F3187">
              <w:t xml:space="preserve">, </w:t>
            </w:r>
            <w:r w:rsidR="00075356">
              <w:fldChar w:fldCharType="begin"/>
            </w:r>
            <w:r w:rsidR="00075356">
              <w:instrText xml:space="preserve"> PAGEREF _Ref525205469 \h </w:instrText>
            </w:r>
            <w:r w:rsidR="00075356">
              <w:fldChar w:fldCharType="separate"/>
            </w:r>
            <w:r w:rsidR="000179F2">
              <w:rPr>
                <w:noProof/>
              </w:rPr>
              <w:t>169</w:t>
            </w:r>
            <w:r w:rsidR="00075356">
              <w:fldChar w:fldCharType="end"/>
            </w:r>
            <w:r w:rsidR="006F3187">
              <w:t xml:space="preserve">, </w:t>
            </w:r>
            <w:r w:rsidR="00075356">
              <w:fldChar w:fldCharType="begin"/>
            </w:r>
            <w:r w:rsidR="00075356">
              <w:instrText xml:space="preserve"> PAGEREF _Ref21957414 \h </w:instrText>
            </w:r>
            <w:r w:rsidR="00075356">
              <w:fldChar w:fldCharType="separate"/>
            </w:r>
            <w:r w:rsidR="000179F2">
              <w:rPr>
                <w:noProof/>
              </w:rPr>
              <w:t>190</w:t>
            </w:r>
            <w:r w:rsidR="00075356">
              <w:fldChar w:fldCharType="end"/>
            </w:r>
            <w:r w:rsidR="00090A50">
              <w:t>–</w:t>
            </w:r>
            <w:r w:rsidR="00075356">
              <w:fldChar w:fldCharType="begin"/>
            </w:r>
            <w:r w:rsidR="00075356">
              <w:instrText xml:space="preserve"> PAGEREF _Ref21960430 \h </w:instrText>
            </w:r>
            <w:r w:rsidR="00075356">
              <w:fldChar w:fldCharType="separate"/>
            </w:r>
            <w:r w:rsidR="000179F2">
              <w:rPr>
                <w:noProof/>
              </w:rPr>
              <w:t>259</w:t>
            </w:r>
            <w:r w:rsidR="00075356">
              <w:fldChar w:fldCharType="end"/>
            </w:r>
          </w:p>
        </w:tc>
      </w:tr>
      <w:tr w:rsidR="00FA7EBF" w:rsidRPr="007939DD" w14:paraId="31C87B0D" w14:textId="77777777" w:rsidTr="00090A50">
        <w:trPr>
          <w:cantSplit/>
        </w:trPr>
        <w:tc>
          <w:tcPr>
            <w:tcW w:w="6374" w:type="dxa"/>
            <w:shd w:val="clear" w:color="auto" w:fill="auto"/>
          </w:tcPr>
          <w:p w14:paraId="3335CA63" w14:textId="77777777" w:rsidR="00FA7EBF" w:rsidRPr="007939DD" w:rsidRDefault="00FA7EBF" w:rsidP="000B5747">
            <w:pPr>
              <w:pStyle w:val="ARtabletext"/>
              <w:rPr>
                <w:i/>
              </w:rPr>
            </w:pPr>
            <w:r w:rsidRPr="007939DD">
              <w:rPr>
                <w:i/>
              </w:rPr>
              <w:t>Freedom of Information Act 1982</w:t>
            </w:r>
          </w:p>
        </w:tc>
        <w:tc>
          <w:tcPr>
            <w:tcW w:w="3265" w:type="dxa"/>
            <w:gridSpan w:val="2"/>
            <w:shd w:val="clear" w:color="auto" w:fill="auto"/>
          </w:tcPr>
          <w:p w14:paraId="31A2133B" w14:textId="57F501F4" w:rsidR="00FA7EBF" w:rsidRPr="007939DD" w:rsidRDefault="00075356" w:rsidP="000B5747">
            <w:pPr>
              <w:pStyle w:val="ARtabletextright"/>
            </w:pPr>
            <w:r>
              <w:fldChar w:fldCharType="begin"/>
            </w:r>
            <w:r>
              <w:instrText xml:space="preserve"> PAGEREF _Ref21960588 \h </w:instrText>
            </w:r>
            <w:r>
              <w:fldChar w:fldCharType="separate"/>
            </w:r>
            <w:r w:rsidR="000179F2">
              <w:rPr>
                <w:noProof/>
              </w:rPr>
              <w:t>47</w:t>
            </w:r>
            <w:r>
              <w:fldChar w:fldCharType="end"/>
            </w:r>
            <w:r w:rsidR="00090A50">
              <w:t xml:space="preserve">, </w:t>
            </w:r>
            <w:r w:rsidR="00F57B55">
              <w:fldChar w:fldCharType="begin"/>
            </w:r>
            <w:r w:rsidR="00F57B55">
              <w:instrText xml:space="preserve"> PAGEREF _Ref492895142 \h </w:instrText>
            </w:r>
            <w:r w:rsidR="00F57B55">
              <w:fldChar w:fldCharType="separate"/>
            </w:r>
            <w:r w:rsidR="000179F2">
              <w:rPr>
                <w:noProof/>
              </w:rPr>
              <w:t>160</w:t>
            </w:r>
            <w:r w:rsidR="00F57B55">
              <w:fldChar w:fldCharType="end"/>
            </w:r>
          </w:p>
        </w:tc>
      </w:tr>
      <w:tr w:rsidR="00090A50" w:rsidRPr="007939DD" w14:paraId="5876C4EF" w14:textId="77777777" w:rsidTr="00090A50">
        <w:trPr>
          <w:cantSplit/>
        </w:trPr>
        <w:tc>
          <w:tcPr>
            <w:tcW w:w="6374" w:type="dxa"/>
            <w:shd w:val="clear" w:color="auto" w:fill="auto"/>
          </w:tcPr>
          <w:p w14:paraId="1D178FE3" w14:textId="60235F5D" w:rsidR="00090A50" w:rsidRPr="007939DD" w:rsidRDefault="00090A50" w:rsidP="00090A50">
            <w:pPr>
              <w:pStyle w:val="ARtabletext"/>
              <w:rPr>
                <w:i/>
              </w:rPr>
            </w:pPr>
            <w:r w:rsidRPr="007939DD">
              <w:rPr>
                <w:i/>
              </w:rPr>
              <w:t>Protected Disclosure Act 2012</w:t>
            </w:r>
          </w:p>
        </w:tc>
        <w:tc>
          <w:tcPr>
            <w:tcW w:w="3265" w:type="dxa"/>
            <w:gridSpan w:val="2"/>
            <w:shd w:val="clear" w:color="auto" w:fill="auto"/>
          </w:tcPr>
          <w:p w14:paraId="2BF7B20F" w14:textId="04594F4C" w:rsidR="00090A50" w:rsidRPr="007939DD" w:rsidRDefault="00DD1CB6" w:rsidP="00090A50">
            <w:pPr>
              <w:pStyle w:val="ARtabletextright"/>
            </w:pPr>
            <w:r>
              <w:fldChar w:fldCharType="begin"/>
            </w:r>
            <w:r>
              <w:instrText xml:space="preserve"> PAGEREF _Ref21956761 \h </w:instrText>
            </w:r>
            <w:r>
              <w:fldChar w:fldCharType="separate"/>
            </w:r>
            <w:r w:rsidR="000179F2">
              <w:rPr>
                <w:noProof/>
              </w:rPr>
              <w:t>145</w:t>
            </w:r>
            <w:r>
              <w:fldChar w:fldCharType="end"/>
            </w:r>
          </w:p>
        </w:tc>
      </w:tr>
      <w:tr w:rsidR="00090A50" w:rsidRPr="007939DD" w14:paraId="0F9DC082" w14:textId="77777777" w:rsidTr="00090A50">
        <w:trPr>
          <w:cantSplit/>
        </w:trPr>
        <w:tc>
          <w:tcPr>
            <w:tcW w:w="6374" w:type="dxa"/>
            <w:shd w:val="clear" w:color="auto" w:fill="auto"/>
          </w:tcPr>
          <w:p w14:paraId="5F6DFCB5" w14:textId="77777777" w:rsidR="00090A50" w:rsidRPr="007939DD" w:rsidRDefault="00090A50" w:rsidP="00090A50">
            <w:pPr>
              <w:pStyle w:val="ARtabletext"/>
              <w:rPr>
                <w:i/>
              </w:rPr>
            </w:pPr>
            <w:r w:rsidRPr="007939DD">
              <w:rPr>
                <w:i/>
              </w:rPr>
              <w:t>Public Administration Act 2004</w:t>
            </w:r>
          </w:p>
        </w:tc>
        <w:tc>
          <w:tcPr>
            <w:tcW w:w="3265" w:type="dxa"/>
            <w:gridSpan w:val="2"/>
            <w:shd w:val="clear" w:color="auto" w:fill="auto"/>
          </w:tcPr>
          <w:p w14:paraId="19849D93" w14:textId="09E4B387" w:rsidR="00090A50" w:rsidRPr="007939DD" w:rsidRDefault="00DD1CB6" w:rsidP="00090A50">
            <w:pPr>
              <w:pStyle w:val="ARtabletextright"/>
            </w:pPr>
            <w:r>
              <w:fldChar w:fldCharType="begin"/>
            </w:r>
            <w:r>
              <w:instrText xml:space="preserve"> PAGEREF _Ref21862448 \h </w:instrText>
            </w:r>
            <w:r>
              <w:fldChar w:fldCharType="separate"/>
            </w:r>
            <w:r w:rsidR="000179F2">
              <w:rPr>
                <w:noProof/>
              </w:rPr>
              <w:t>111</w:t>
            </w:r>
            <w:r>
              <w:fldChar w:fldCharType="end"/>
            </w:r>
            <w:r w:rsidR="00090A50">
              <w:t xml:space="preserve">, </w:t>
            </w:r>
            <w:r w:rsidR="00075356">
              <w:fldChar w:fldCharType="begin"/>
            </w:r>
            <w:r w:rsidR="00075356">
              <w:instrText xml:space="preserve"> PAGEREF _Ref492905526 \h </w:instrText>
            </w:r>
            <w:r w:rsidR="00075356">
              <w:fldChar w:fldCharType="separate"/>
            </w:r>
            <w:r w:rsidR="000179F2">
              <w:rPr>
                <w:noProof/>
              </w:rPr>
              <w:t>117</w:t>
            </w:r>
            <w:r w:rsidR="00075356">
              <w:fldChar w:fldCharType="end"/>
            </w:r>
            <w:r w:rsidR="00090A50">
              <w:t xml:space="preserve">, </w:t>
            </w:r>
            <w:r w:rsidR="00615274">
              <w:fldChar w:fldCharType="begin"/>
            </w:r>
            <w:r w:rsidR="00615274">
              <w:instrText xml:space="preserve"> PAGEREF _Ref21960664 \h </w:instrText>
            </w:r>
            <w:r w:rsidR="00615274">
              <w:fldChar w:fldCharType="separate"/>
            </w:r>
            <w:r w:rsidR="000179F2">
              <w:rPr>
                <w:noProof/>
              </w:rPr>
              <w:t>129</w:t>
            </w:r>
            <w:r w:rsidR="00615274">
              <w:fldChar w:fldCharType="end"/>
            </w:r>
            <w:r w:rsidR="00090A50">
              <w:t xml:space="preserve">, </w:t>
            </w:r>
            <w:r w:rsidR="00615274">
              <w:fldChar w:fldCharType="begin"/>
            </w:r>
            <w:r w:rsidR="00615274">
              <w:instrText xml:space="preserve"> PAGEREF _Ref21960704 \h </w:instrText>
            </w:r>
            <w:r w:rsidR="00615274">
              <w:fldChar w:fldCharType="separate"/>
            </w:r>
            <w:r w:rsidR="000179F2">
              <w:rPr>
                <w:noProof/>
              </w:rPr>
              <w:t>258</w:t>
            </w:r>
            <w:r w:rsidR="00615274">
              <w:fldChar w:fldCharType="end"/>
            </w:r>
          </w:p>
        </w:tc>
      </w:tr>
      <w:tr w:rsidR="00FA7EBF" w:rsidRPr="007939DD" w14:paraId="4F52BDDF" w14:textId="77777777" w:rsidTr="00090A50">
        <w:trPr>
          <w:cantSplit/>
        </w:trPr>
        <w:tc>
          <w:tcPr>
            <w:tcW w:w="6374" w:type="dxa"/>
            <w:shd w:val="clear" w:color="auto" w:fill="auto"/>
          </w:tcPr>
          <w:p w14:paraId="31EF063B" w14:textId="77777777" w:rsidR="00FA7EBF" w:rsidRPr="007939DD" w:rsidRDefault="00FA7EBF" w:rsidP="000B5747">
            <w:pPr>
              <w:pStyle w:val="ARtabletext"/>
              <w:rPr>
                <w:i/>
              </w:rPr>
            </w:pPr>
            <w:r w:rsidRPr="007939DD">
              <w:rPr>
                <w:i/>
              </w:rPr>
              <w:t>Public Health and Wellbeing Act 2008</w:t>
            </w:r>
          </w:p>
        </w:tc>
        <w:tc>
          <w:tcPr>
            <w:tcW w:w="3265" w:type="dxa"/>
            <w:gridSpan w:val="2"/>
            <w:shd w:val="clear" w:color="auto" w:fill="auto"/>
          </w:tcPr>
          <w:p w14:paraId="39CED874" w14:textId="35CC8B9B" w:rsidR="00FA7EBF" w:rsidRPr="007939DD" w:rsidRDefault="00615274" w:rsidP="000B5747">
            <w:pPr>
              <w:pStyle w:val="ARtabletextright"/>
            </w:pPr>
            <w:r>
              <w:fldChar w:fldCharType="begin"/>
            </w:r>
            <w:r>
              <w:instrText xml:space="preserve"> PAGEREF Public_health_and_wellbeing_act \h </w:instrText>
            </w:r>
            <w:r>
              <w:fldChar w:fldCharType="separate"/>
            </w:r>
            <w:r w:rsidR="000179F2">
              <w:rPr>
                <w:noProof/>
              </w:rPr>
              <w:t>142</w:t>
            </w:r>
            <w:r>
              <w:fldChar w:fldCharType="end"/>
            </w:r>
            <w:r w:rsidR="00090A50">
              <w:t xml:space="preserve">, </w:t>
            </w:r>
            <w:r>
              <w:fldChar w:fldCharType="begin"/>
            </w:r>
            <w:r>
              <w:instrText xml:space="preserve"> PAGEREF _Ref21960989 \h </w:instrText>
            </w:r>
            <w:r>
              <w:fldChar w:fldCharType="separate"/>
            </w:r>
            <w:r w:rsidR="000179F2">
              <w:rPr>
                <w:noProof/>
              </w:rPr>
              <w:t>162</w:t>
            </w:r>
            <w:r>
              <w:fldChar w:fldCharType="end"/>
            </w:r>
          </w:p>
        </w:tc>
      </w:tr>
      <w:tr w:rsidR="00FA7EBF" w:rsidRPr="007939DD" w14:paraId="4EA13244" w14:textId="77777777" w:rsidTr="00090A50">
        <w:trPr>
          <w:cantSplit/>
        </w:trPr>
        <w:tc>
          <w:tcPr>
            <w:tcW w:w="6374" w:type="dxa"/>
            <w:shd w:val="clear" w:color="auto" w:fill="auto"/>
          </w:tcPr>
          <w:p w14:paraId="344AE4C9" w14:textId="77777777" w:rsidR="00FA7EBF" w:rsidRPr="007939DD" w:rsidRDefault="00FA7EBF" w:rsidP="000B5747">
            <w:pPr>
              <w:pStyle w:val="ARtabletext"/>
              <w:rPr>
                <w:i/>
              </w:rPr>
            </w:pPr>
            <w:r w:rsidRPr="007939DD">
              <w:rPr>
                <w:i/>
              </w:rPr>
              <w:t>Public Health and Wellbeing Regulations 2009</w:t>
            </w:r>
          </w:p>
        </w:tc>
        <w:tc>
          <w:tcPr>
            <w:tcW w:w="3265" w:type="dxa"/>
            <w:gridSpan w:val="2"/>
            <w:shd w:val="clear" w:color="auto" w:fill="auto"/>
          </w:tcPr>
          <w:p w14:paraId="3837C584" w14:textId="44A929A5" w:rsidR="00FA7EBF" w:rsidRPr="007939DD" w:rsidRDefault="00615274" w:rsidP="000B5747">
            <w:pPr>
              <w:pStyle w:val="ARtabletextright"/>
            </w:pPr>
            <w:r>
              <w:fldChar w:fldCharType="begin"/>
            </w:r>
            <w:r>
              <w:instrText xml:space="preserve"> PAGEREF _Ref21960989 \h </w:instrText>
            </w:r>
            <w:r>
              <w:fldChar w:fldCharType="separate"/>
            </w:r>
            <w:r w:rsidR="000179F2">
              <w:rPr>
                <w:noProof/>
              </w:rPr>
              <w:t>162</w:t>
            </w:r>
            <w:r>
              <w:fldChar w:fldCharType="end"/>
            </w:r>
          </w:p>
        </w:tc>
      </w:tr>
      <w:tr w:rsidR="00FA7EBF" w:rsidRPr="007939DD" w14:paraId="193CA026" w14:textId="77777777" w:rsidTr="00090A50">
        <w:trPr>
          <w:cantSplit/>
        </w:trPr>
        <w:tc>
          <w:tcPr>
            <w:tcW w:w="6374" w:type="dxa"/>
            <w:shd w:val="clear" w:color="auto" w:fill="auto"/>
          </w:tcPr>
          <w:p w14:paraId="19124853" w14:textId="77777777" w:rsidR="00FA7EBF" w:rsidRPr="007939DD" w:rsidRDefault="00FA7EBF" w:rsidP="000B5747">
            <w:pPr>
              <w:pStyle w:val="ARtabletext"/>
              <w:rPr>
                <w:i/>
              </w:rPr>
            </w:pPr>
            <w:r w:rsidRPr="007939DD">
              <w:rPr>
                <w:i/>
              </w:rPr>
              <w:t>Victorian Industry Participation Policy Act 2003</w:t>
            </w:r>
          </w:p>
        </w:tc>
        <w:tc>
          <w:tcPr>
            <w:tcW w:w="3265" w:type="dxa"/>
            <w:gridSpan w:val="2"/>
            <w:shd w:val="clear" w:color="auto" w:fill="auto"/>
          </w:tcPr>
          <w:p w14:paraId="6D6D6806" w14:textId="6E04617A" w:rsidR="00FA7EBF" w:rsidRPr="007939DD" w:rsidRDefault="00DD1CB6" w:rsidP="000B5747">
            <w:pPr>
              <w:pStyle w:val="ARtabletextright"/>
            </w:pPr>
            <w:r>
              <w:fldChar w:fldCharType="begin"/>
            </w:r>
            <w:r>
              <w:instrText xml:space="preserve"> PAGEREF _Ref525048385 \h </w:instrText>
            </w:r>
            <w:r>
              <w:fldChar w:fldCharType="separate"/>
            </w:r>
            <w:r w:rsidR="000179F2">
              <w:rPr>
                <w:noProof/>
              </w:rPr>
              <w:t>141</w:t>
            </w:r>
            <w:r>
              <w:fldChar w:fldCharType="end"/>
            </w:r>
          </w:p>
        </w:tc>
      </w:tr>
    </w:tbl>
    <w:p w14:paraId="45D88FEC" w14:textId="77777777" w:rsidR="00FA7EBF" w:rsidRPr="007939DD" w:rsidRDefault="00FA7EBF" w:rsidP="001E15D7">
      <w:pPr>
        <w:pStyle w:val="ARbody"/>
      </w:pPr>
      <w:r w:rsidRPr="007939DD">
        <w:br w:type="page"/>
      </w:r>
    </w:p>
    <w:p w14:paraId="20161A77" w14:textId="77777777" w:rsidR="00FA7EBF" w:rsidRPr="007939DD" w:rsidRDefault="00FA7EBF" w:rsidP="005F7104">
      <w:pPr>
        <w:pStyle w:val="Heading2"/>
      </w:pPr>
      <w:bookmarkStart w:id="325" w:name="_Ref525048304"/>
      <w:bookmarkStart w:id="326" w:name="_Toc20409069"/>
      <w:r w:rsidRPr="007939DD">
        <w:t>Additional departmental information available on request</w:t>
      </w:r>
      <w:bookmarkEnd w:id="311"/>
      <w:bookmarkEnd w:id="312"/>
      <w:bookmarkEnd w:id="313"/>
      <w:bookmarkEnd w:id="314"/>
      <w:bookmarkEnd w:id="315"/>
      <w:bookmarkEnd w:id="325"/>
      <w:bookmarkEnd w:id="326"/>
    </w:p>
    <w:p w14:paraId="0B0216E2" w14:textId="77777777" w:rsidR="00FA7EBF" w:rsidRPr="007939DD" w:rsidRDefault="00FA7EBF" w:rsidP="00CA5513">
      <w:pPr>
        <w:pStyle w:val="ARbody"/>
      </w:pPr>
      <w:r w:rsidRPr="007939DD">
        <w:t>Subject to the provisions of the FOI Act, information that shall be retained by the Accountable Officer shall include:</w:t>
      </w:r>
    </w:p>
    <w:p w14:paraId="6A3492CC" w14:textId="77777777" w:rsidR="00FA7EBF" w:rsidRPr="007939DD" w:rsidRDefault="00FA7EBF" w:rsidP="005125FA">
      <w:pPr>
        <w:pStyle w:val="ARbullet1"/>
      </w:pPr>
      <w:r w:rsidRPr="007939DD">
        <w:t>a statement that declarations of pecuniary interests have been duly completed by all relevant officers</w:t>
      </w:r>
    </w:p>
    <w:p w14:paraId="7DF08CDF" w14:textId="77777777" w:rsidR="00FA7EBF" w:rsidRPr="005125FA" w:rsidRDefault="00FA7EBF" w:rsidP="005125FA">
      <w:pPr>
        <w:pStyle w:val="ARbullet1"/>
      </w:pPr>
      <w:r w:rsidRPr="007939DD">
        <w:t>details</w:t>
      </w:r>
      <w:r w:rsidRPr="005125FA">
        <w:t xml:space="preserve"> of shares held by a senior officer as nominee or held beneficially in a statutory authority or subsidiary</w:t>
      </w:r>
    </w:p>
    <w:p w14:paraId="10595561" w14:textId="77777777" w:rsidR="00FA7EBF" w:rsidRPr="005125FA" w:rsidRDefault="00FA7EBF" w:rsidP="005125FA">
      <w:pPr>
        <w:pStyle w:val="ARbullet1"/>
      </w:pPr>
      <w:r w:rsidRPr="005125FA">
        <w:t>details of publications produced by the entity about itself, and how these can be obtained</w:t>
      </w:r>
    </w:p>
    <w:p w14:paraId="4E2D2236" w14:textId="77777777" w:rsidR="00FA7EBF" w:rsidRPr="005125FA" w:rsidRDefault="00FA7EBF" w:rsidP="005125FA">
      <w:pPr>
        <w:pStyle w:val="ARbullet1"/>
      </w:pPr>
      <w:r w:rsidRPr="005125FA">
        <w:t>details of changes in prices, fees, charges, rates and levies charged by the entity</w:t>
      </w:r>
    </w:p>
    <w:p w14:paraId="34863F65" w14:textId="77777777" w:rsidR="00FA7EBF" w:rsidRPr="005125FA" w:rsidRDefault="00FA7EBF" w:rsidP="005125FA">
      <w:pPr>
        <w:pStyle w:val="ARbullet1"/>
      </w:pPr>
      <w:r w:rsidRPr="005125FA">
        <w:t>details of any major external reviews carried out on the entity</w:t>
      </w:r>
    </w:p>
    <w:p w14:paraId="1D3ACE00" w14:textId="77777777" w:rsidR="00FA7EBF" w:rsidRPr="005125FA" w:rsidRDefault="00FA7EBF" w:rsidP="005125FA">
      <w:pPr>
        <w:pStyle w:val="ARbullet1"/>
      </w:pPr>
      <w:r w:rsidRPr="005125FA">
        <w:t>details of major research and development activities undertaken by the entity</w:t>
      </w:r>
    </w:p>
    <w:p w14:paraId="73FD9456" w14:textId="77777777" w:rsidR="00FA7EBF" w:rsidRPr="005125FA" w:rsidRDefault="00FA7EBF" w:rsidP="005125FA">
      <w:pPr>
        <w:pStyle w:val="ARbullet1"/>
      </w:pPr>
      <w:r w:rsidRPr="005125FA">
        <w:t>details of overseas visits undertaken including a summary of the objectives and outcomes of each visit</w:t>
      </w:r>
    </w:p>
    <w:p w14:paraId="6230AC3D" w14:textId="77777777" w:rsidR="00FA7EBF" w:rsidRPr="005125FA" w:rsidRDefault="00FA7EBF" w:rsidP="005125FA">
      <w:pPr>
        <w:pStyle w:val="ARbullet1"/>
      </w:pPr>
      <w:r w:rsidRPr="005125FA">
        <w:t>details of major promotional, public relations and marketing activities undertaken by the entity to develop community awareness of the entity and its services</w:t>
      </w:r>
    </w:p>
    <w:p w14:paraId="004C89E3" w14:textId="77777777" w:rsidR="00FA7EBF" w:rsidRPr="005125FA" w:rsidRDefault="00FA7EBF" w:rsidP="005125FA">
      <w:pPr>
        <w:pStyle w:val="ARbullet1"/>
      </w:pPr>
      <w:r w:rsidRPr="005125FA">
        <w:t>details of assessments and measures undertaken to improve the occupational health and safety of employees</w:t>
      </w:r>
    </w:p>
    <w:p w14:paraId="13528842" w14:textId="77777777" w:rsidR="00FA7EBF" w:rsidRPr="005125FA" w:rsidRDefault="00FA7EBF" w:rsidP="005125FA">
      <w:pPr>
        <w:pStyle w:val="ARbullet1"/>
      </w:pPr>
      <w:r w:rsidRPr="005125FA">
        <w:t>a general statement on industrial relations within the entity and details of time lost through industrial accidents and disputes</w:t>
      </w:r>
    </w:p>
    <w:p w14:paraId="604207B2" w14:textId="77777777" w:rsidR="00FA7EBF" w:rsidRPr="005125FA" w:rsidRDefault="00FA7EBF" w:rsidP="005125FA">
      <w:pPr>
        <w:pStyle w:val="ARbullet1"/>
      </w:pPr>
      <w:r w:rsidRPr="005125FA">
        <w:t>a list of major committees sponsored by the entity, the purposes of each committee and the extent to which the purposes have been achieved</w:t>
      </w:r>
    </w:p>
    <w:p w14:paraId="602E16F4" w14:textId="77777777" w:rsidR="00FA7EBF" w:rsidRPr="007939DD" w:rsidRDefault="00FA7EBF" w:rsidP="005125FA">
      <w:pPr>
        <w:pStyle w:val="ARbullet1"/>
      </w:pPr>
      <w:r w:rsidRPr="005125FA">
        <w:t>details of all consult</w:t>
      </w:r>
      <w:r w:rsidRPr="007939DD">
        <w:t>ancies and contractors including: consultants/contractors engaged; services provided; and, expenditure committed to for each engagement.</w:t>
      </w:r>
    </w:p>
    <w:p w14:paraId="63337225" w14:textId="77777777" w:rsidR="00FA7EBF" w:rsidRPr="007939DD" w:rsidRDefault="00FA7EBF" w:rsidP="004A2626">
      <w:pPr>
        <w:pStyle w:val="ARbodyafterbullets"/>
      </w:pPr>
      <w:r w:rsidRPr="007939DD">
        <w:t>Requests for additional information may be made in writing to the following:</w:t>
      </w:r>
    </w:p>
    <w:p w14:paraId="47AED7AC" w14:textId="77777777" w:rsidR="00FA7EBF" w:rsidRPr="007939DD" w:rsidRDefault="00FA7EBF" w:rsidP="004A2626">
      <w:pPr>
        <w:pStyle w:val="ARbodynospace"/>
      </w:pPr>
      <w:r w:rsidRPr="007939DD">
        <w:t>Chief Communications Officer</w:t>
      </w:r>
    </w:p>
    <w:p w14:paraId="1994C059" w14:textId="77777777" w:rsidR="00FA7EBF" w:rsidRPr="007939DD" w:rsidRDefault="00FA7EBF" w:rsidP="004A2626">
      <w:pPr>
        <w:pStyle w:val="ARbodynospace"/>
      </w:pPr>
      <w:r w:rsidRPr="007939DD">
        <w:t>GPO Box 4057</w:t>
      </w:r>
    </w:p>
    <w:p w14:paraId="7AA3C828" w14:textId="77777777" w:rsidR="00FA7EBF" w:rsidRPr="007939DD" w:rsidRDefault="00FA7EBF" w:rsidP="004A2626">
      <w:pPr>
        <w:pStyle w:val="ARbodynospace"/>
      </w:pPr>
      <w:r w:rsidRPr="007939DD">
        <w:t>Melbourne VIC 3001</w:t>
      </w:r>
    </w:p>
    <w:p w14:paraId="78429EB7" w14:textId="391C7317" w:rsidR="00150431" w:rsidRPr="00150431" w:rsidRDefault="00DE204B" w:rsidP="00FA7EBF">
      <w:pPr>
        <w:pStyle w:val="ARbody"/>
      </w:pPr>
      <w:hyperlink r:id="rId201" w:history="1">
        <w:r w:rsidR="00FA7EBF" w:rsidRPr="007939DD">
          <w:rPr>
            <w:rStyle w:val="Hyperlink"/>
          </w:rPr>
          <w:t>Email Chief Communications Officer</w:t>
        </w:r>
      </w:hyperlink>
      <w:r w:rsidR="00FA7EBF" w:rsidRPr="007939DD">
        <w:t xml:space="preserve"> </w:t>
      </w:r>
      <w:r w:rsidR="00FA7EBF">
        <w:t>&lt;</w:t>
      </w:r>
      <w:r w:rsidR="00FA7EBF" w:rsidRPr="007F76A4">
        <w:t>DHHSCommunications@dhhs.vic.gov.au</w:t>
      </w:r>
      <w:r w:rsidR="00FA7EBF">
        <w:t>&gt;.</w:t>
      </w:r>
      <w:bookmarkEnd w:id="285"/>
    </w:p>
    <w:sectPr w:rsidR="00150431" w:rsidRPr="00150431" w:rsidSect="00BE14AF">
      <w:headerReference w:type="even" r:id="rId202"/>
      <w:headerReference w:type="default" r:id="rId203"/>
      <w:footerReference w:type="even" r:id="rId204"/>
      <w:footerReference w:type="default" r:id="rId205"/>
      <w:endnotePr>
        <w:numFmt w:val="decimal"/>
      </w:endnotePr>
      <w:pgSz w:w="11900" w:h="16840" w:code="9"/>
      <w:pgMar w:top="1985" w:right="851" w:bottom="851" w:left="1418" w:header="510" w:footer="340" w:gutter="0"/>
      <w:cols w:space="454"/>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58178" w14:textId="77777777" w:rsidR="00073F00" w:rsidRDefault="00073F00">
      <w:r>
        <w:separator/>
      </w:r>
    </w:p>
    <w:p w14:paraId="33D4B6A1" w14:textId="77777777" w:rsidR="00073F00" w:rsidRDefault="00073F00"/>
    <w:p w14:paraId="026F16C2" w14:textId="77777777" w:rsidR="00073F00" w:rsidRDefault="00073F00"/>
  </w:endnote>
  <w:endnote w:type="continuationSeparator" w:id="0">
    <w:p w14:paraId="02E9FB21" w14:textId="77777777" w:rsidR="00073F00" w:rsidRDefault="00073F00">
      <w:r>
        <w:continuationSeparator/>
      </w:r>
    </w:p>
    <w:p w14:paraId="6553D80F" w14:textId="77777777" w:rsidR="00073F00" w:rsidRDefault="00073F00"/>
    <w:p w14:paraId="5C94A4B2" w14:textId="77777777" w:rsidR="00073F00" w:rsidRDefault="00073F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ont583">
    <w:altName w:val="Calibri"/>
    <w:panose1 w:val="00000000000000000000"/>
    <w:charset w:val="00"/>
    <w:family w:val="auto"/>
    <w:notTrueType/>
    <w:pitch w:val="default"/>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EFF" w:usb1="C0007843" w:usb2="00000009" w:usb3="00000000" w:csb0="000001FF" w:csb1="00000000"/>
  </w:font>
  <w:font w:name="Lucida Grande">
    <w:altName w:val="Segoe U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vantGarde Bk BT">
    <w:altName w:val="Calibri"/>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Calibri"/>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BB67C" w14:textId="77777777" w:rsidR="00073F00" w:rsidRDefault="00073F00" w:rsidP="00BD07B6">
    <w:pPr>
      <w:pStyle w:val="AR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51B52" w14:textId="77777777" w:rsidR="00073F00" w:rsidRDefault="00073F0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672F6" w14:textId="77777777" w:rsidR="00073F00" w:rsidRDefault="00073F0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2D4EA" w14:textId="77777777" w:rsidR="00073F00" w:rsidRDefault="00073F0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C65B1" w14:textId="77777777" w:rsidR="00073F00" w:rsidRDefault="00073F0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46E47" w14:textId="77777777" w:rsidR="00073F00" w:rsidRDefault="00073F0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210FF" w14:textId="77777777" w:rsidR="00073F00" w:rsidRPr="00D67F37" w:rsidRDefault="00073F00" w:rsidP="00D67F37">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114</w:t>
    </w:r>
    <w:r w:rsidRPr="003C35CF">
      <w:rPr>
        <w:rStyle w:val="AR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C8050" w14:textId="77777777" w:rsidR="00073F00" w:rsidRPr="00753B93" w:rsidRDefault="00073F00" w:rsidP="00BD07B6">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117</w:t>
    </w:r>
    <w:r w:rsidRPr="003C35CF">
      <w:rPr>
        <w:rStyle w:val="AR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A2185" w14:textId="77777777" w:rsidR="00073F00" w:rsidRDefault="00073F00" w:rsidP="00BD07B6">
    <w:pPr>
      <w:pStyle w:val="ARfooter"/>
    </w:pP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136</w:t>
    </w:r>
    <w:r w:rsidRPr="003C35CF">
      <w:rPr>
        <w:rStyle w:val="ARpagenumber"/>
      </w:rPr>
      <w:fldChar w:fldCharType="end"/>
    </w:r>
    <w:r>
      <w:ptab w:relativeTo="margin" w:alignment="right" w:leader="none"/>
    </w:r>
    <w:r w:rsidRPr="003C35CF">
      <w:t>Department of Health and Human Services annual report 201</w:t>
    </w:r>
    <w:r>
      <w:t>8</w:t>
    </w:r>
    <w:r w:rsidRPr="003C35CF">
      <w:t>–1</w:t>
    </w:r>
    <w:r>
      <w:t>9</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72217" w14:textId="77777777" w:rsidR="00073F00" w:rsidRPr="00753B93" w:rsidRDefault="00073F00" w:rsidP="00BD07B6">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137</w:t>
    </w:r>
    <w:r w:rsidRPr="003C35CF">
      <w:rPr>
        <w:rStyle w:val="AR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17C73" w14:textId="62CEEECD" w:rsidR="00073F00" w:rsidRPr="002652A6" w:rsidRDefault="00073F00" w:rsidP="002652A6">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rPr>
      <w:t>121</w:t>
    </w:r>
    <w:r w:rsidRPr="003C35CF">
      <w:rPr>
        <w:rStyle w:val="AR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BBC5E" w14:textId="77777777" w:rsidR="00073F00" w:rsidRPr="00753B93" w:rsidRDefault="00073F00" w:rsidP="00BD07B6">
    <w:pPr>
      <w:pStyle w:val="ARfooter"/>
      <w:rPr>
        <w:color w:val="53565A"/>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A7C4B" w14:textId="77777777" w:rsidR="00073F00" w:rsidRPr="00753B93" w:rsidRDefault="00073F00" w:rsidP="00BD07B6">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137</w:t>
    </w:r>
    <w:r w:rsidRPr="003C35CF">
      <w:rPr>
        <w:rStyle w:val="AR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98D86" w14:textId="77777777" w:rsidR="00073F00" w:rsidRDefault="00073F00" w:rsidP="00BD07B6">
    <w:pPr>
      <w:pStyle w:val="ARfooter"/>
    </w:pP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136</w:t>
    </w:r>
    <w:r w:rsidRPr="003C35CF">
      <w:rPr>
        <w:rStyle w:val="ARpagenumber"/>
      </w:rPr>
      <w:fldChar w:fldCharType="end"/>
    </w:r>
    <w:r>
      <w:ptab w:relativeTo="margin" w:alignment="right" w:leader="none"/>
    </w:r>
    <w:r w:rsidRPr="003C35CF">
      <w:t>Department of Health and Human Services annual report 201</w:t>
    </w:r>
    <w:r>
      <w:t>8</w:t>
    </w:r>
    <w:r w:rsidRPr="003C35CF">
      <w:t>–1</w:t>
    </w:r>
    <w:r>
      <w:t>9</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FE231" w14:textId="77777777" w:rsidR="00073F00" w:rsidRPr="00753B93" w:rsidRDefault="00073F00" w:rsidP="00BD07B6">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137</w:t>
    </w:r>
    <w:r w:rsidRPr="003C35CF">
      <w:rPr>
        <w:rStyle w:val="AR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B45E0" w14:textId="26A1A7B4" w:rsidR="00073F00" w:rsidRPr="00E43D68" w:rsidRDefault="00073F00" w:rsidP="00E43D68">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rPr>
      <w:t>123</w:t>
    </w:r>
    <w:r w:rsidRPr="003C35CF">
      <w:rPr>
        <w:rStyle w:val="AR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DBE86" w14:textId="77777777" w:rsidR="00073F00" w:rsidRPr="00753B93" w:rsidRDefault="00073F00" w:rsidP="00BD07B6">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137</w:t>
    </w:r>
    <w:r w:rsidRPr="003C35CF">
      <w:rPr>
        <w:rStyle w:val="AR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914BC" w14:textId="77777777" w:rsidR="00073F00" w:rsidRDefault="00073F00" w:rsidP="00BD07B6">
    <w:pPr>
      <w:pStyle w:val="ARfooter"/>
    </w:pP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136</w:t>
    </w:r>
    <w:r w:rsidRPr="003C35CF">
      <w:rPr>
        <w:rStyle w:val="ARpagenumber"/>
      </w:rPr>
      <w:fldChar w:fldCharType="end"/>
    </w:r>
    <w:r>
      <w:ptab w:relativeTo="margin" w:alignment="right" w:leader="none"/>
    </w:r>
    <w:r w:rsidRPr="003C35CF">
      <w:t>Department of Health and Human Services annual report 201</w:t>
    </w:r>
    <w:r>
      <w:t>8</w:t>
    </w:r>
    <w:r w:rsidRPr="003C35CF">
      <w:t>–1</w:t>
    </w:r>
    <w:r>
      <w:t>9</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EDF88" w14:textId="77777777" w:rsidR="00073F00" w:rsidRPr="00753B93" w:rsidRDefault="00073F00" w:rsidP="00BD07B6">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137</w:t>
    </w:r>
    <w:r w:rsidRPr="003C35CF">
      <w:rPr>
        <w:rStyle w:val="AR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37011" w14:textId="347635F4" w:rsidR="00073F00" w:rsidRPr="00CE36CB" w:rsidRDefault="00073F00" w:rsidP="00CE36CB">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rPr>
      <w:t>127</w:t>
    </w:r>
    <w:r w:rsidRPr="003C35CF">
      <w:rPr>
        <w:rStyle w:val="AR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A545C" w14:textId="77777777" w:rsidR="00073F00" w:rsidRPr="00753B93" w:rsidRDefault="00073F00" w:rsidP="00BD07B6">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137</w:t>
    </w:r>
    <w:r w:rsidRPr="003C35CF">
      <w:rPr>
        <w:rStyle w:val="AR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4B3C3" w14:textId="77777777" w:rsidR="00073F00" w:rsidRDefault="00073F00" w:rsidP="00BD07B6">
    <w:pPr>
      <w:pStyle w:val="ARfooter"/>
    </w:pP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136</w:t>
    </w:r>
    <w:r w:rsidRPr="003C35CF">
      <w:rPr>
        <w:rStyle w:val="ARpagenumber"/>
      </w:rPr>
      <w:fldChar w:fldCharType="end"/>
    </w:r>
    <w:r>
      <w:ptab w:relativeTo="margin" w:alignment="right" w:leader="none"/>
    </w:r>
    <w:r w:rsidRPr="003C35CF">
      <w:t>Department of Health and Human Services annual report 201</w:t>
    </w:r>
    <w:r>
      <w:t>8</w:t>
    </w:r>
    <w:r w:rsidRPr="003C35CF">
      <w:t>–1</w:t>
    </w:r>
    <w: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27FB8" w14:textId="77777777" w:rsidR="00073F00" w:rsidRPr="00753B93" w:rsidRDefault="00073F00" w:rsidP="00BD07B6">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17</w:t>
    </w:r>
    <w:r w:rsidRPr="003C35CF">
      <w:rPr>
        <w:rStyle w:val="AR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39C21" w14:textId="77777777" w:rsidR="00073F00" w:rsidRPr="00753B93" w:rsidRDefault="00073F00" w:rsidP="00BD07B6">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137</w:t>
    </w:r>
    <w:r w:rsidRPr="003C35CF">
      <w:rPr>
        <w:rStyle w:val="AR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3AF20" w14:textId="106F6493" w:rsidR="00073F00" w:rsidRPr="00CE36CB" w:rsidRDefault="00073F00" w:rsidP="00CE36CB">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rPr>
      <w:t>129</w:t>
    </w:r>
    <w:r w:rsidRPr="003C35CF">
      <w:rPr>
        <w:rStyle w:val="AR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2D823" w14:textId="77777777" w:rsidR="00073F00" w:rsidRPr="00753B93" w:rsidRDefault="00073F00" w:rsidP="00BD07B6">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137</w:t>
    </w:r>
    <w:r w:rsidRPr="003C35CF">
      <w:rPr>
        <w:rStyle w:val="AR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5C06E" w14:textId="77777777" w:rsidR="00073F00" w:rsidRDefault="00073F00" w:rsidP="00BD07B6">
    <w:pPr>
      <w:pStyle w:val="ARfooter"/>
    </w:pP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136</w:t>
    </w:r>
    <w:r w:rsidRPr="003C35CF">
      <w:rPr>
        <w:rStyle w:val="ARpagenumber"/>
      </w:rPr>
      <w:fldChar w:fldCharType="end"/>
    </w:r>
    <w:r>
      <w:ptab w:relativeTo="margin" w:alignment="right" w:leader="none"/>
    </w:r>
    <w:r w:rsidRPr="003C35CF">
      <w:t>Department of Health and Human Services annual report 201</w:t>
    </w:r>
    <w:r>
      <w:t>8</w:t>
    </w:r>
    <w:r w:rsidRPr="003C35CF">
      <w:t>–1</w:t>
    </w:r>
    <w:r>
      <w:t>9</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0884B" w14:textId="77777777" w:rsidR="00073F00" w:rsidRPr="00753B93" w:rsidRDefault="00073F00" w:rsidP="00BD07B6">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137</w:t>
    </w:r>
    <w:r w:rsidRPr="003C35CF">
      <w:rPr>
        <w:rStyle w:val="AR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E2BAE" w14:textId="77777777" w:rsidR="00073F00" w:rsidRPr="002D1D70" w:rsidRDefault="00073F00" w:rsidP="002D1D70">
    <w:pPr>
      <w:pStyle w:val="ARfooter"/>
      <w:rPr>
        <w:color w:val="53565A"/>
      </w:rPr>
    </w:pPr>
    <w:r w:rsidRPr="003C35CF">
      <w:t>Department of Health and Human Services annual report</w:t>
    </w:r>
    <w:r>
      <w:t xml:space="preserve"> </w:t>
    </w:r>
    <w:r w:rsidRPr="003C35CF">
      <w:t>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142</w:t>
    </w:r>
    <w:r w:rsidRPr="003C35CF">
      <w:rPr>
        <w:rStyle w:val="AR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9B524" w14:textId="77777777" w:rsidR="00073F00" w:rsidRPr="00753B93" w:rsidRDefault="00073F00" w:rsidP="00BD07B6">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141</w:t>
    </w:r>
    <w:r w:rsidRPr="003C35CF">
      <w:rPr>
        <w:rStyle w:val="AR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D71C9" w14:textId="77777777" w:rsidR="00073F00" w:rsidRDefault="00073F00" w:rsidP="00BD07B6">
    <w:pPr>
      <w:pStyle w:val="ARfooter"/>
    </w:pP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144</w:t>
    </w:r>
    <w:r w:rsidRPr="003C35CF">
      <w:rPr>
        <w:rStyle w:val="ARpagenumber"/>
      </w:rPr>
      <w:fldChar w:fldCharType="end"/>
    </w:r>
    <w:r>
      <w:ptab w:relativeTo="margin" w:alignment="right" w:leader="none"/>
    </w:r>
    <w:r w:rsidRPr="003C35CF">
      <w:t>Department of Health and Human Services annual report</w:t>
    </w:r>
    <w:r>
      <w:t xml:space="preserve"> </w:t>
    </w:r>
    <w:r w:rsidRPr="003C35CF">
      <w:t>201</w:t>
    </w:r>
    <w:r>
      <w:t>8</w:t>
    </w:r>
    <w:r w:rsidRPr="003C35CF">
      <w:t>–1</w:t>
    </w:r>
    <w:r>
      <w:t>9</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1EC63" w14:textId="77777777" w:rsidR="00073F00" w:rsidRPr="00753B93" w:rsidRDefault="00073F00" w:rsidP="00BD07B6">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143</w:t>
    </w:r>
    <w:r w:rsidRPr="003C35CF">
      <w:rPr>
        <w:rStyle w:val="AR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70318" w14:textId="77777777" w:rsidR="00073F00" w:rsidRDefault="00073F00" w:rsidP="00BD07B6">
    <w:pPr>
      <w:pStyle w:val="ARfooter"/>
    </w:pP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162</w:t>
    </w:r>
    <w:r w:rsidRPr="003C35CF">
      <w:rPr>
        <w:rStyle w:val="ARpagenumber"/>
      </w:rPr>
      <w:fldChar w:fldCharType="end"/>
    </w:r>
    <w:r>
      <w:ptab w:relativeTo="margin" w:alignment="right" w:leader="none"/>
    </w:r>
    <w:r w:rsidRPr="003C35CF">
      <w:t>Department of Health and Human Services annual report</w:t>
    </w:r>
    <w:r>
      <w:t xml:space="preserve"> </w:t>
    </w:r>
    <w:r w:rsidRPr="003C35CF">
      <w:t>201</w:t>
    </w:r>
    <w:r>
      <w:t>8</w:t>
    </w:r>
    <w:r w:rsidRPr="003C35CF">
      <w:t>–1</w:t>
    </w:r>
    <w:r>
      <w:t>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F7CC0" w14:textId="77777777" w:rsidR="00073F00" w:rsidRDefault="00073F00" w:rsidP="00BD07B6">
    <w:pPr>
      <w:pStyle w:val="ARfooter"/>
    </w:pP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112</w:t>
    </w:r>
    <w:r w:rsidRPr="003C35CF">
      <w:rPr>
        <w:rStyle w:val="ARpagenumber"/>
      </w:rPr>
      <w:fldChar w:fldCharType="end"/>
    </w:r>
    <w:r>
      <w:ptab w:relativeTo="margin" w:alignment="right" w:leader="none"/>
    </w:r>
    <w:r w:rsidRPr="003C35CF">
      <w:t>Department of Health and Human Services annual report 201</w:t>
    </w:r>
    <w:r>
      <w:t>8</w:t>
    </w:r>
    <w:r w:rsidRPr="003C35CF">
      <w:t>–1</w:t>
    </w:r>
    <w:r>
      <w:t>9</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1D508" w14:textId="77777777" w:rsidR="00073F00" w:rsidRPr="00753B93" w:rsidRDefault="00073F00" w:rsidP="00BD07B6">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163</w:t>
    </w:r>
    <w:r w:rsidRPr="003C35CF">
      <w:rPr>
        <w:rStyle w:val="ARpagenumb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87FF7" w14:textId="77777777" w:rsidR="00073F00" w:rsidRDefault="00073F00">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046C7" w14:textId="77777777" w:rsidR="00073F00" w:rsidRPr="000B4D10" w:rsidRDefault="00073F00" w:rsidP="000B4D10">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164</w:t>
    </w:r>
    <w:r w:rsidRPr="003C35CF">
      <w:rPr>
        <w:rStyle w:val="ARpagenumber"/>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41EC2" w14:textId="77777777" w:rsidR="00073F00" w:rsidRPr="00753B93" w:rsidRDefault="00073F00" w:rsidP="00BD07B6">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165</w:t>
    </w:r>
    <w:r w:rsidRPr="003C35CF">
      <w:rPr>
        <w:rStyle w:val="ARpagenumber"/>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243E0" w14:textId="77777777" w:rsidR="00073F00" w:rsidRDefault="00073F00" w:rsidP="00BD07B6">
    <w:pPr>
      <w:pStyle w:val="ARfooter"/>
    </w:pP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180</w:t>
    </w:r>
    <w:r w:rsidRPr="003C35CF">
      <w:rPr>
        <w:rStyle w:val="ARpagenumber"/>
      </w:rPr>
      <w:fldChar w:fldCharType="end"/>
    </w:r>
    <w:r>
      <w:ptab w:relativeTo="margin" w:alignment="right" w:leader="none"/>
    </w:r>
    <w:r w:rsidRPr="003C35CF">
      <w:t>Department of Health and Human Services annual report</w:t>
    </w:r>
    <w:r>
      <w:t xml:space="preserve"> </w:t>
    </w:r>
    <w:r w:rsidRPr="003C35CF">
      <w:t>201</w:t>
    </w:r>
    <w:r>
      <w:t>8</w:t>
    </w:r>
    <w:r w:rsidRPr="003C35CF">
      <w:t>–1</w:t>
    </w:r>
    <w:r>
      <w:t>9</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521F7" w14:textId="77777777" w:rsidR="00073F00" w:rsidRPr="00753B93" w:rsidRDefault="00073F00" w:rsidP="00BD07B6">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179</w:t>
    </w:r>
    <w:r w:rsidRPr="003C35CF">
      <w:rPr>
        <w:rStyle w:val="AR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A0201" w14:textId="77777777" w:rsidR="00073F00" w:rsidRDefault="00073F00" w:rsidP="00DE0158">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192</w:t>
    </w:r>
    <w:r w:rsidRPr="00A575C6">
      <w:rPr>
        <w:rStyle w:val="ARpagenumber"/>
      </w:rPr>
      <w:fldChar w:fldCharType="end"/>
    </w:r>
    <w:r>
      <w:ptab w:relativeTo="margin" w:alignment="right" w:leader="none"/>
    </w:r>
    <w:r>
      <w:t xml:space="preserve">Department of Health and Human Services annual report </w:t>
    </w:r>
    <w:r w:rsidRPr="003C35CF">
      <w:t>201</w:t>
    </w:r>
    <w:r>
      <w:t>8</w:t>
    </w:r>
    <w:r w:rsidRPr="003C35CF">
      <w:t>–1</w:t>
    </w:r>
    <w:r>
      <w:t>9</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66B9B" w14:textId="77777777" w:rsidR="00073F00" w:rsidRPr="00570CFB" w:rsidRDefault="00073F00" w:rsidP="00DE0158">
    <w:pPr>
      <w:pStyle w:val="ARfooter"/>
      <w:rPr>
        <w:rStyle w:val="ARpagenumber"/>
      </w:rPr>
    </w:pPr>
    <w:r>
      <w:t xml:space="preserve">Department of Health and Human Services annual report </w:t>
    </w:r>
    <w:r w:rsidRPr="003C35CF">
      <w:t>201</w:t>
    </w:r>
    <w:r>
      <w:t>8</w:t>
    </w:r>
    <w:r w:rsidRPr="003C35CF">
      <w:t>–1</w:t>
    </w:r>
    <w:r>
      <w:t>9</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193</w:t>
    </w:r>
    <w:r w:rsidRPr="00A575C6">
      <w:rPr>
        <w:rStyle w:val="ARpagenumber"/>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89EE9" w14:textId="77777777" w:rsidR="00073F00" w:rsidRPr="001A7E04" w:rsidRDefault="00073F00" w:rsidP="00E924ED">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21FAD" w14:textId="77777777" w:rsidR="00073F00" w:rsidRDefault="00073F00" w:rsidP="00DE0158">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194</w:t>
    </w:r>
    <w:r w:rsidRPr="00A575C6">
      <w:rPr>
        <w:rStyle w:val="ARpagenumber"/>
      </w:rPr>
      <w:fldChar w:fldCharType="end"/>
    </w:r>
    <w:r>
      <w:ptab w:relativeTo="margin" w:alignment="right" w:leader="none"/>
    </w:r>
    <w:r>
      <w:t xml:space="preserve">Department of Health and Human Services annual report </w:t>
    </w:r>
    <w:r w:rsidRPr="003C35CF">
      <w:t>201</w:t>
    </w:r>
    <w:r>
      <w:t>8</w:t>
    </w:r>
    <w:r w:rsidRPr="003C35CF">
      <w:t>–1</w:t>
    </w:r>
    <w:r>
      <w:t>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4E688" w14:textId="77777777" w:rsidR="00073F00" w:rsidRPr="00753B93" w:rsidRDefault="00073F00" w:rsidP="00BD07B6">
    <w:pPr>
      <w:pStyle w:val="ARfooter"/>
      <w:rPr>
        <w:color w:val="53565A"/>
      </w:rPr>
    </w:pPr>
    <w:r w:rsidRPr="003C35CF">
      <w:t>Department of Health and Human Services annual report 201</w:t>
    </w:r>
    <w:r>
      <w:t>8</w:t>
    </w:r>
    <w:r w:rsidRPr="003C35CF">
      <w:t>–1</w:t>
    </w:r>
    <w:r>
      <w:t>9</w:t>
    </w:r>
    <w:r>
      <w:ptab w:relativeTo="margin" w:alignment="right" w:leader="none"/>
    </w:r>
    <w:r w:rsidRPr="003C35CF">
      <w:rPr>
        <w:rStyle w:val="ARpagenumber"/>
      </w:rPr>
      <w:fldChar w:fldCharType="begin"/>
    </w:r>
    <w:r w:rsidRPr="003C35CF">
      <w:rPr>
        <w:rStyle w:val="ARpagenumber"/>
      </w:rPr>
      <w:instrText xml:space="preserve"> PAGE </w:instrText>
    </w:r>
    <w:r w:rsidRPr="003C35CF">
      <w:rPr>
        <w:rStyle w:val="ARpagenumber"/>
      </w:rPr>
      <w:fldChar w:fldCharType="separate"/>
    </w:r>
    <w:r>
      <w:rPr>
        <w:rStyle w:val="ARpagenumber"/>
        <w:noProof/>
      </w:rPr>
      <w:t>113</w:t>
    </w:r>
    <w:r w:rsidRPr="003C35CF">
      <w:rPr>
        <w:rStyle w:val="ARpagenumber"/>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52ADB" w14:textId="77777777" w:rsidR="00073F00" w:rsidRPr="00570CFB" w:rsidRDefault="00073F00" w:rsidP="00DE0158">
    <w:pPr>
      <w:pStyle w:val="ARfooter"/>
      <w:rPr>
        <w:rStyle w:val="ARpagenumber"/>
      </w:rPr>
    </w:pPr>
    <w:r>
      <w:t xml:space="preserve">Department of Health and Human Services annual report </w:t>
    </w:r>
    <w:r w:rsidRPr="003C35CF">
      <w:t>201</w:t>
    </w:r>
    <w:r>
      <w:t>8</w:t>
    </w:r>
    <w:r w:rsidRPr="003C35CF">
      <w:t>–1</w:t>
    </w:r>
    <w:r>
      <w:t>9</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195</w:t>
    </w:r>
    <w:r w:rsidRPr="00A575C6">
      <w:rPr>
        <w:rStyle w:val="ARpagenumber"/>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E5A33" w14:textId="77777777" w:rsidR="00073F00" w:rsidRPr="001A7E04" w:rsidRDefault="00073F00" w:rsidP="00E924ED">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03B47" w14:textId="77777777" w:rsidR="00073F00" w:rsidRDefault="00073F00" w:rsidP="00DE0158">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204</w:t>
    </w:r>
    <w:r w:rsidRPr="00A575C6">
      <w:rPr>
        <w:rStyle w:val="ARpagenumber"/>
      </w:rPr>
      <w:fldChar w:fldCharType="end"/>
    </w:r>
    <w:r>
      <w:ptab w:relativeTo="margin" w:alignment="right" w:leader="none"/>
    </w:r>
    <w:r>
      <w:t xml:space="preserve">Department of Health and Human Services annual report </w:t>
    </w:r>
    <w:r w:rsidRPr="003C35CF">
      <w:t>201</w:t>
    </w:r>
    <w:r>
      <w:t>8</w:t>
    </w:r>
    <w:r w:rsidRPr="003C35CF">
      <w:t>–1</w:t>
    </w:r>
    <w:r>
      <w:t>9</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79FB5" w14:textId="77777777" w:rsidR="00073F00" w:rsidRPr="00FE6CDF" w:rsidRDefault="00073F00" w:rsidP="007B207C">
    <w:pPr>
      <w:pStyle w:val="ARfooter"/>
      <w:rPr>
        <w:rStyle w:val="ARpagenumber"/>
      </w:rPr>
    </w:pPr>
    <w:r>
      <w:t>Department of Health and Human Services annual report 2018–19</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205</w:t>
    </w:r>
    <w:r w:rsidRPr="00A575C6">
      <w:rPr>
        <w:rStyle w:val="ARpagenumber"/>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DBB47" w14:textId="77777777" w:rsidR="00073F00" w:rsidRPr="00013604" w:rsidRDefault="00073F00" w:rsidP="007B207C">
    <w:pPr>
      <w:pStyle w:val="ARfooter"/>
      <w:rPr>
        <w:rFonts w:cs="Arial"/>
        <w:b/>
        <w:color w:val="53565A"/>
      </w:rPr>
    </w:pPr>
    <w:r>
      <w:t>Department of Health and Human Services annual report 2018–19</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206</w:t>
    </w:r>
    <w:r w:rsidRPr="00A575C6">
      <w:rPr>
        <w:rStyle w:val="ARpagenumber"/>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C6320" w14:textId="77777777" w:rsidR="00073F00" w:rsidRDefault="00073F00" w:rsidP="00DE0158">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216</w:t>
    </w:r>
    <w:r w:rsidRPr="00A575C6">
      <w:rPr>
        <w:rStyle w:val="ARpagenumber"/>
      </w:rPr>
      <w:fldChar w:fldCharType="end"/>
    </w:r>
    <w:r>
      <w:ptab w:relativeTo="margin" w:alignment="right" w:leader="none"/>
    </w:r>
    <w:r>
      <w:t xml:space="preserve">Department of Health and Human Services annual report </w:t>
    </w:r>
    <w:r w:rsidRPr="003C35CF">
      <w:t>201</w:t>
    </w:r>
    <w:r>
      <w:t>8</w:t>
    </w:r>
    <w:r w:rsidRPr="003C35CF">
      <w:t>–1</w:t>
    </w:r>
    <w:r>
      <w:t>9</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19839" w14:textId="77777777" w:rsidR="00073F00" w:rsidRPr="00FE6CDF" w:rsidRDefault="00073F00" w:rsidP="007B207C">
    <w:pPr>
      <w:pStyle w:val="ARfooter"/>
      <w:rPr>
        <w:rStyle w:val="ARpagenumber"/>
      </w:rPr>
    </w:pPr>
    <w:r>
      <w:t>Department of Health and Human Services annual report 2018–19</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227</w:t>
    </w:r>
    <w:r w:rsidRPr="00A575C6">
      <w:rPr>
        <w:rStyle w:val="ARpagenumber"/>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9553D" w14:textId="77777777" w:rsidR="00073F00" w:rsidRPr="00013604" w:rsidRDefault="00073F00" w:rsidP="007B207C">
    <w:pPr>
      <w:pStyle w:val="ARfooter"/>
      <w:rPr>
        <w:rFonts w:cs="Arial"/>
        <w:b/>
        <w:color w:val="53565A"/>
      </w:rPr>
    </w:pPr>
    <w:r>
      <w:t>Department of Health and Human Services annual report 2018–19</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222</w:t>
    </w:r>
    <w:r w:rsidRPr="00A575C6">
      <w:rPr>
        <w:rStyle w:val="ARpagenumber"/>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11D64" w14:textId="77777777" w:rsidR="00073F00" w:rsidRDefault="00073F00" w:rsidP="00DE0158">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226</w:t>
    </w:r>
    <w:r w:rsidRPr="00A575C6">
      <w:rPr>
        <w:rStyle w:val="ARpagenumber"/>
      </w:rPr>
      <w:fldChar w:fldCharType="end"/>
    </w:r>
    <w:r>
      <w:ptab w:relativeTo="margin" w:alignment="right" w:leader="none"/>
    </w:r>
    <w:r>
      <w:t xml:space="preserve">Department of Health and Human Services annual report </w:t>
    </w:r>
    <w:r w:rsidRPr="003C35CF">
      <w:t>201</w:t>
    </w:r>
    <w:r>
      <w:t>8</w:t>
    </w:r>
    <w:r w:rsidRPr="003C35CF">
      <w:t>–1</w:t>
    </w:r>
    <w:r>
      <w:t>9</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9176D" w14:textId="77777777" w:rsidR="00073F00" w:rsidRPr="00013604" w:rsidRDefault="00073F00" w:rsidP="007B207C">
    <w:pPr>
      <w:pStyle w:val="ARfooter"/>
      <w:rPr>
        <w:rFonts w:cs="Arial"/>
        <w:b/>
        <w:color w:val="53565A"/>
      </w:rPr>
    </w:pPr>
    <w:r>
      <w:t>Department of Health and Human Services annual report 2018–19</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228</w:t>
    </w:r>
    <w:r w:rsidRPr="00A575C6">
      <w:rPr>
        <w:rStyle w:val="AR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00C21" w14:textId="77777777" w:rsidR="00073F00" w:rsidRDefault="00073F00" w:rsidP="0099241F">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rPr>
      <w:t>84</w:t>
    </w:r>
    <w:r w:rsidRPr="00A575C6">
      <w:rPr>
        <w:rStyle w:val="ARpagenumber"/>
      </w:rPr>
      <w:fldChar w:fldCharType="end"/>
    </w:r>
    <w:r>
      <w:ptab w:relativeTo="margin" w:alignment="right" w:leader="none"/>
    </w:r>
    <w:r>
      <w:t xml:space="preserve">Department of Health and Human Services annual report </w:t>
    </w:r>
    <w:r w:rsidRPr="003C35CF">
      <w:t>201</w:t>
    </w:r>
    <w:r>
      <w:t>8</w:t>
    </w:r>
    <w:r w:rsidRPr="003C35CF">
      <w:t>–1</w:t>
    </w:r>
    <w:r>
      <w:t>9</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EEF1D" w14:textId="77777777" w:rsidR="00073F00" w:rsidRDefault="00073F00" w:rsidP="00DE0158">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236</w:t>
    </w:r>
    <w:r w:rsidRPr="00A575C6">
      <w:rPr>
        <w:rStyle w:val="ARpagenumber"/>
      </w:rPr>
      <w:fldChar w:fldCharType="end"/>
    </w:r>
    <w:r>
      <w:ptab w:relativeTo="margin" w:alignment="right" w:leader="none"/>
    </w:r>
    <w:r>
      <w:t xml:space="preserve">Department of Health and Human Services annual report </w:t>
    </w:r>
    <w:r w:rsidRPr="003C35CF">
      <w:t>201</w:t>
    </w:r>
    <w:r>
      <w:t>8</w:t>
    </w:r>
    <w:r w:rsidRPr="003C35CF">
      <w:t>–1</w:t>
    </w:r>
    <w:r>
      <w:t>9</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20264" w14:textId="77777777" w:rsidR="00073F00" w:rsidRPr="00FE6CDF" w:rsidRDefault="00073F00" w:rsidP="007B207C">
    <w:pPr>
      <w:pStyle w:val="ARfooter"/>
      <w:rPr>
        <w:rStyle w:val="ARpagenumber"/>
      </w:rPr>
    </w:pPr>
    <w:r>
      <w:t>Department of Health and Human Services annual report 2018–19</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287</w:t>
    </w:r>
    <w:r w:rsidRPr="00A575C6">
      <w:rPr>
        <w:rStyle w:val="ARpagenumber"/>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E7942" w14:textId="77777777" w:rsidR="00073F00" w:rsidRPr="00013604" w:rsidRDefault="00073F00" w:rsidP="007B207C">
    <w:pPr>
      <w:pStyle w:val="ARfooter"/>
      <w:rPr>
        <w:rFonts w:cs="Arial"/>
        <w:b/>
        <w:color w:val="53565A"/>
      </w:rPr>
    </w:pPr>
    <w:r>
      <w:t>Department of Health and Human Services annual report 2018–19</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242</w:t>
    </w:r>
    <w:r w:rsidRPr="00A575C6">
      <w:rPr>
        <w:rStyle w:val="ARpagenumber"/>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726BE" w14:textId="77777777" w:rsidR="00073F00" w:rsidRDefault="00073F00" w:rsidP="00DE0158">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256</w:t>
    </w:r>
    <w:r w:rsidRPr="00A575C6">
      <w:rPr>
        <w:rStyle w:val="ARpagenumber"/>
      </w:rPr>
      <w:fldChar w:fldCharType="end"/>
    </w:r>
    <w:r>
      <w:ptab w:relativeTo="margin" w:alignment="right" w:leader="none"/>
    </w:r>
    <w:r>
      <w:t xml:space="preserve">Department of Health and Human Services annual report </w:t>
    </w:r>
    <w:r w:rsidRPr="003C35CF">
      <w:t>201</w:t>
    </w:r>
    <w:r>
      <w:t>8</w:t>
    </w:r>
    <w:r w:rsidRPr="003C35CF">
      <w:t>–1</w:t>
    </w:r>
    <w:r>
      <w:t>9</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9AAD1" w14:textId="77777777" w:rsidR="00073F00" w:rsidRPr="00013604" w:rsidRDefault="00073F00" w:rsidP="007B207C">
    <w:pPr>
      <w:pStyle w:val="ARfooter"/>
      <w:rPr>
        <w:rFonts w:cs="Arial"/>
        <w:b/>
        <w:color w:val="53565A"/>
      </w:rPr>
    </w:pPr>
    <w:r>
      <w:t>Department of Health and Human Services annual report 2018–19</w:t>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260</w:t>
    </w:r>
    <w:r w:rsidRPr="00A575C6">
      <w:rPr>
        <w:rStyle w:val="ARpagenumber"/>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2418C" w14:textId="4F1353F8" w:rsidR="00073F00" w:rsidRPr="00013604" w:rsidRDefault="00073F00" w:rsidP="000E64E1">
    <w:pPr>
      <w:pStyle w:val="ARfooter"/>
      <w:rPr>
        <w:rFonts w:cs="Arial"/>
        <w:b/>
        <w:color w:val="53565A"/>
      </w:rP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rPr>
      <w:t>252</w:t>
    </w:r>
    <w:r w:rsidRPr="00A575C6">
      <w:rPr>
        <w:rStyle w:val="ARpagenumber"/>
      </w:rPr>
      <w:fldChar w:fldCharType="end"/>
    </w:r>
    <w:r>
      <w:rPr>
        <w:rStyle w:val="ARpagenumber"/>
      </w:rPr>
      <w:ptab w:relativeTo="margin" w:alignment="right" w:leader="none"/>
    </w:r>
    <w:r>
      <w:t>Department of Health and Human Services annual report 2018–19</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C6E82" w14:textId="77777777" w:rsidR="00073F00" w:rsidRPr="00013604" w:rsidRDefault="00073F00" w:rsidP="000E64E1">
    <w:pPr>
      <w:pStyle w:val="ARfooter"/>
      <w:rPr>
        <w:rFonts w:cs="Arial"/>
        <w:b/>
        <w:color w:val="53565A"/>
      </w:rPr>
    </w:pPr>
    <w:r>
      <w:t>Department of Health and Human Services annual report 2018–19</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288</w:t>
    </w:r>
    <w:r w:rsidRPr="00A575C6">
      <w:rPr>
        <w:rStyle w:val="ARpagenumber"/>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F7624" w14:textId="77777777" w:rsidR="00073F00" w:rsidRPr="00FE6CDF" w:rsidRDefault="00073F00" w:rsidP="007B207C">
    <w:pPr>
      <w:pStyle w:val="ARfooter"/>
      <w:rPr>
        <w:rStyle w:val="ARpagenumber"/>
      </w:rPr>
    </w:pPr>
    <w:r>
      <w:t>Department of Health and Human Services annual report 2018–19</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287</w:t>
    </w:r>
    <w:r w:rsidRPr="00A575C6">
      <w:rPr>
        <w:rStyle w:val="ARpagenumber"/>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08D8E" w14:textId="77777777" w:rsidR="00073F00" w:rsidRDefault="00073F00" w:rsidP="00DE0158">
    <w:pPr>
      <w:pStyle w:val="ARfoote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292</w:t>
    </w:r>
    <w:r w:rsidRPr="00A575C6">
      <w:rPr>
        <w:rStyle w:val="ARpagenumber"/>
      </w:rPr>
      <w:fldChar w:fldCharType="end"/>
    </w:r>
    <w:r>
      <w:ptab w:relativeTo="margin" w:alignment="right" w:leader="none"/>
    </w:r>
    <w:r>
      <w:t xml:space="preserve">Department of Health and Human Services annual report </w:t>
    </w:r>
    <w:r w:rsidRPr="003C35CF">
      <w:t>201</w:t>
    </w:r>
    <w:r>
      <w:t>8</w:t>
    </w:r>
    <w:r w:rsidRPr="003C35CF">
      <w:t>–1</w:t>
    </w:r>
    <w:r>
      <w:t>9</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DA261" w14:textId="77777777" w:rsidR="00073F00" w:rsidRPr="00570CFB" w:rsidRDefault="00073F00" w:rsidP="00DE0158">
    <w:pPr>
      <w:pStyle w:val="ARfooter"/>
      <w:rPr>
        <w:rStyle w:val="ARpagenumber"/>
      </w:rPr>
    </w:pPr>
    <w:r>
      <w:t xml:space="preserve">Department of Health and Human Services annual report </w:t>
    </w:r>
    <w:r w:rsidRPr="003C35CF">
      <w:t>201</w:t>
    </w:r>
    <w:r>
      <w:t>8</w:t>
    </w:r>
    <w:r w:rsidRPr="003C35CF">
      <w:t>–1</w:t>
    </w:r>
    <w:r>
      <w:t>9</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291</w:t>
    </w:r>
    <w:r w:rsidRPr="00A575C6">
      <w:rPr>
        <w:rStyle w:val="ARpagenumber"/>
      </w:rPr>
      <w:fldChar w:fldCharType="end"/>
    </w:r>
    <w:bookmarkStart w:id="327" w:name="_Toc385435062"/>
    <w:bookmarkStart w:id="328" w:name="_Toc394389474"/>
    <w:bookmarkEnd w:id="327"/>
    <w:bookmarkEnd w:id="328"/>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C3292" w14:textId="77777777" w:rsidR="00073F00" w:rsidRPr="00246176" w:rsidRDefault="00073F00" w:rsidP="0099241F">
    <w:pPr>
      <w:pStyle w:val="ARfooter"/>
      <w:rPr>
        <w:rFonts w:cs="Arial"/>
        <w:b/>
        <w:color w:val="53565A"/>
      </w:rPr>
    </w:pPr>
    <w:r>
      <w:t xml:space="preserve">Department of Health and Human Services annual report </w:t>
    </w:r>
    <w:r w:rsidRPr="003C35CF">
      <w:t>201</w:t>
    </w:r>
    <w:r>
      <w:t>8</w:t>
    </w:r>
    <w:r w:rsidRPr="003C35CF">
      <w:t>–1</w:t>
    </w:r>
    <w:r>
      <w:t>9</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rPr>
      <w:t>83</w:t>
    </w:r>
    <w:r w:rsidRPr="00A575C6">
      <w:rPr>
        <w:rStyle w:val="AR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FB9A3" w14:textId="77777777" w:rsidR="00073F00" w:rsidRDefault="00073F0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DBB7C" w14:textId="77777777" w:rsidR="00073F00" w:rsidRDefault="00073F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EE549E" w14:textId="0CBED885" w:rsidR="00073F00" w:rsidRDefault="00073F00" w:rsidP="00667457">
      <w:pPr>
        <w:spacing w:before="120" w:after="0"/>
      </w:pPr>
      <w:r>
        <w:separator/>
      </w:r>
    </w:p>
  </w:footnote>
  <w:footnote w:type="continuationSeparator" w:id="0">
    <w:p w14:paraId="31939AC4" w14:textId="77777777" w:rsidR="00073F00" w:rsidRDefault="00073F00">
      <w:r>
        <w:continuationSeparator/>
      </w:r>
    </w:p>
    <w:p w14:paraId="06A521AE" w14:textId="77777777" w:rsidR="00073F00" w:rsidRDefault="00073F00"/>
    <w:p w14:paraId="0809C6D6" w14:textId="77777777" w:rsidR="00073F00" w:rsidRDefault="00073F00"/>
  </w:footnote>
  <w:footnote w:id="1">
    <w:p w14:paraId="10A0D7B6" w14:textId="77777777" w:rsidR="00073F00" w:rsidRPr="00FC4721" w:rsidRDefault="00073F00">
      <w:pPr>
        <w:pStyle w:val="FootnoteText"/>
        <w:rPr>
          <w:lang w:val="en-AU"/>
        </w:rPr>
      </w:pPr>
      <w:r>
        <w:rPr>
          <w:rStyle w:val="FootnoteReference"/>
        </w:rPr>
        <w:footnoteRef/>
      </w:r>
      <w:r>
        <w:t xml:space="preserve"> </w:t>
      </w:r>
      <w:r w:rsidRPr="00FC4721">
        <w:t>The reduction in Child FIRST assessments and interventions in 2018</w:t>
      </w:r>
      <w:r>
        <w:rPr>
          <w:lang w:val="en-AU"/>
        </w:rPr>
        <w:t>–</w:t>
      </w:r>
      <w:r w:rsidRPr="00FC4721">
        <w:t xml:space="preserve">19 reflects clients transferring into </w:t>
      </w:r>
      <w:r>
        <w:rPr>
          <w:lang w:val="en-AU"/>
        </w:rPr>
        <w:t>T</w:t>
      </w:r>
      <w:r w:rsidRPr="00FC4721">
        <w:t xml:space="preserve">he Orange Door </w:t>
      </w:r>
      <w:r>
        <w:rPr>
          <w:lang w:val="en-AU"/>
        </w:rPr>
        <w:t>s</w:t>
      </w:r>
      <w:r w:rsidRPr="00FC4721">
        <w:t xml:space="preserve">upport and </w:t>
      </w:r>
      <w:r>
        <w:rPr>
          <w:lang w:val="en-AU"/>
        </w:rPr>
        <w:t>s</w:t>
      </w:r>
      <w:r w:rsidRPr="00FC4721">
        <w:t>afety hubs, where Child FIRST assessments will continue.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A49CC" w14:textId="77777777" w:rsidR="00073F00" w:rsidRDefault="00073F00">
    <w:pPr>
      <w:pStyle w:val="Header"/>
    </w:pPr>
    <w:r>
      <w:rPr>
        <w:noProof/>
        <w:lang w:eastAsia="en-AU"/>
      </w:rPr>
      <w:drawing>
        <wp:anchor distT="0" distB="0" distL="114300" distR="114300" simplePos="0" relativeHeight="251658240" behindDoc="1" locked="0" layoutInCell="1" allowOverlap="1" wp14:anchorId="03A7E501" wp14:editId="5B08FA5A">
          <wp:simplePos x="0" y="0"/>
          <wp:positionH relativeFrom="page">
            <wp:posOffset>6610350</wp:posOffset>
          </wp:positionH>
          <wp:positionV relativeFrom="page">
            <wp:posOffset>0</wp:posOffset>
          </wp:positionV>
          <wp:extent cx="950760" cy="2019960"/>
          <wp:effectExtent l="0" t="0" r="1905" b="0"/>
          <wp:wrapNone/>
          <wp:docPr id="268" name="Picture 26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 PinkTintCorner4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0760" cy="201996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48A52" w14:textId="77777777" w:rsidR="00073F00" w:rsidRDefault="00073F0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715B0" w14:textId="77777777" w:rsidR="00073F00" w:rsidRDefault="00073F0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FD31C" w14:textId="77777777" w:rsidR="00073F00" w:rsidRDefault="00073F0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D213C" w14:textId="77777777" w:rsidR="00073F00" w:rsidRPr="00753B93" w:rsidRDefault="00073F00" w:rsidP="00753B9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454531"/>
      <w:docPartObj>
        <w:docPartGallery w:val="Watermarks"/>
        <w:docPartUnique/>
      </w:docPartObj>
    </w:sdtPr>
    <w:sdtEndPr/>
    <w:sdtContent>
      <w:p w14:paraId="575CA86A" w14:textId="77777777" w:rsidR="00073F00" w:rsidRDefault="00DE204B">
        <w:pPr>
          <w:pStyle w:val="Header"/>
        </w:pP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9ADF8" w14:textId="77777777" w:rsidR="00073F00" w:rsidRPr="00753B93" w:rsidRDefault="00073F00" w:rsidP="00753B9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D3868" w14:textId="77777777" w:rsidR="00073F00" w:rsidRDefault="00073F0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5CF44" w14:textId="77777777" w:rsidR="00073F00" w:rsidRPr="00753B93" w:rsidRDefault="00073F00" w:rsidP="00753B9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66180" w14:textId="77777777" w:rsidR="00073F00" w:rsidRDefault="00073F0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3E5E7" w14:textId="77777777" w:rsidR="00073F00" w:rsidRPr="00753B93" w:rsidRDefault="00073F00" w:rsidP="00753B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6EFA0" w14:textId="77777777" w:rsidR="00073F00" w:rsidRDefault="00073F0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21320" w14:textId="77777777" w:rsidR="00073F00" w:rsidRDefault="00073F0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78106" w14:textId="77777777" w:rsidR="00073F00" w:rsidRPr="00753B93" w:rsidRDefault="00073F00" w:rsidP="00753B9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DEE03" w14:textId="77777777" w:rsidR="00073F00" w:rsidRDefault="00073F0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D2AD7" w14:textId="77777777" w:rsidR="00073F00" w:rsidRDefault="00073F0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F5673" w14:textId="77777777" w:rsidR="00073F00" w:rsidRPr="00753B93" w:rsidRDefault="00073F00" w:rsidP="00753B9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4A5A3" w14:textId="77777777" w:rsidR="00073F00" w:rsidRDefault="00073F0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A42C2" w14:textId="77777777" w:rsidR="00073F00" w:rsidRPr="00753B93" w:rsidRDefault="00073F00" w:rsidP="00753B9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5D84C" w14:textId="77777777" w:rsidR="00073F00" w:rsidRPr="00112AA8" w:rsidRDefault="00073F00" w:rsidP="00112AA8">
    <w:pPr>
      <w:pStyle w:val="Header"/>
      <w:rPr>
        <w:rStyle w:val="PageNumber"/>
        <w:rFonts w:cs="Times New Roman"/>
        <w:b w:val="0"/>
        <w:color w:val="auto"/>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BA3EC" w14:textId="77777777" w:rsidR="00073F00" w:rsidRPr="00112AA8" w:rsidRDefault="00073F00" w:rsidP="00112AA8">
    <w:pPr>
      <w:pStyle w:val="Header"/>
      <w:rPr>
        <w:rStyle w:val="PageNumber"/>
        <w:rFonts w:cs="Times New Roman"/>
        <w:b w:val="0"/>
        <w:color w:val="auto"/>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29D30" w14:textId="77777777" w:rsidR="00073F00" w:rsidRPr="00753B93" w:rsidRDefault="00073F00" w:rsidP="00753B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264C1" w14:textId="77777777" w:rsidR="00073F00" w:rsidRDefault="00073F0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22B4F" w14:textId="77777777" w:rsidR="00073F00" w:rsidRPr="00112AA8" w:rsidRDefault="00073F00" w:rsidP="00112AA8">
    <w:pPr>
      <w:pStyle w:val="Header"/>
      <w:rPr>
        <w:rStyle w:val="PageNumber"/>
        <w:rFonts w:cs="Times New Roman"/>
        <w:b w:val="0"/>
        <w:color w:val="auto"/>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5ABF7" w14:textId="77777777" w:rsidR="00073F00" w:rsidRPr="00753B93" w:rsidRDefault="00073F00" w:rsidP="00753B9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500A2" w14:textId="77777777" w:rsidR="00073F00" w:rsidRDefault="00073F0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3AB52" w14:textId="77777777" w:rsidR="00073F00" w:rsidRPr="00112AA8" w:rsidRDefault="00073F00" w:rsidP="00112AA8">
    <w:pPr>
      <w:pStyle w:val="Header"/>
      <w:rPr>
        <w:rStyle w:val="PageNumber"/>
        <w:rFonts w:cs="Times New Roman"/>
        <w:b w:val="0"/>
        <w:color w:val="auto"/>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42F95" w14:textId="77777777" w:rsidR="00073F00" w:rsidRPr="00753B93" w:rsidRDefault="00073F00" w:rsidP="00753B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F45DD" w14:textId="77777777" w:rsidR="00073F00" w:rsidRPr="00753B93" w:rsidRDefault="00073F00" w:rsidP="00753B9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F3618" w14:textId="77777777" w:rsidR="00073F00" w:rsidRDefault="00073F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E88DD" w14:textId="77777777" w:rsidR="00073F00" w:rsidRDefault="00073F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D7F10" w14:textId="77777777" w:rsidR="00073F00" w:rsidRDefault="00073F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664F4" w14:textId="77777777" w:rsidR="00073F00" w:rsidRDefault="00073F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00A6A" w14:textId="77777777" w:rsidR="00073F00" w:rsidRDefault="00073F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7.6pt;height:7.6pt" o:bullet="t">
        <v:imagedata r:id="rId1" o:title="1907417_DHHS Annual Report Arrow bullet"/>
      </v:shape>
    </w:pict>
  </w:numPicBullet>
  <w:abstractNum w:abstractNumId="0" w15:restartNumberingAfterBreak="0">
    <w:nsid w:val="01A66285"/>
    <w:multiLevelType w:val="multilevel"/>
    <w:tmpl w:val="AD342270"/>
    <w:lvl w:ilvl="0">
      <w:start w:val="1"/>
      <w:numFmt w:val="lowerLetter"/>
      <w:lvlText w:val="(%1)"/>
      <w:lvlJc w:val="left"/>
      <w:pPr>
        <w:ind w:left="284" w:hanging="284"/>
      </w:pPr>
      <w:rPr>
        <w:rFonts w:hint="default"/>
      </w:rPr>
    </w:lvl>
    <w:lvl w:ilvl="1">
      <w:start w:val="1"/>
      <w:numFmt w:val="lowerRoman"/>
      <w:lvlText w:val="(%2)"/>
      <w:lvlJc w:val="left"/>
      <w:pPr>
        <w:tabs>
          <w:tab w:val="num" w:pos="284"/>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E01F0D"/>
    <w:multiLevelType w:val="multilevel"/>
    <w:tmpl w:val="1D80310E"/>
    <w:styleLink w:val="LowerRomanat7mm"/>
    <w:lvl w:ilvl="0">
      <w:start w:val="1"/>
      <w:numFmt w:val="lowerRoman"/>
      <w:lvlText w:val="(%1)"/>
      <w:lvlJc w:val="left"/>
      <w:pPr>
        <w:ind w:left="794"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193262"/>
    <w:multiLevelType w:val="multilevel"/>
    <w:tmpl w:val="A36C113A"/>
    <w:styleLink w:val="ZZFin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tabs>
          <w:tab w:val="num" w:pos="284"/>
        </w:tabs>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6FE4768"/>
    <w:multiLevelType w:val="multilevel"/>
    <w:tmpl w:val="AD342270"/>
    <w:lvl w:ilvl="0">
      <w:start w:val="1"/>
      <w:numFmt w:val="lowerLetter"/>
      <w:lvlText w:val="(%1)"/>
      <w:lvlJc w:val="left"/>
      <w:pPr>
        <w:ind w:left="284" w:hanging="284"/>
      </w:pPr>
      <w:rPr>
        <w:rFonts w:hint="default"/>
      </w:rPr>
    </w:lvl>
    <w:lvl w:ilvl="1">
      <w:start w:val="1"/>
      <w:numFmt w:val="lowerRoman"/>
      <w:lvlText w:val="(%2)"/>
      <w:lvlJc w:val="left"/>
      <w:pPr>
        <w:tabs>
          <w:tab w:val="num" w:pos="284"/>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21FD1567"/>
    <w:multiLevelType w:val="multilevel"/>
    <w:tmpl w:val="76B68A5C"/>
    <w:styleLink w:val="ZZTablefootnoteroman"/>
    <w:lvl w:ilvl="0">
      <w:start w:val="1"/>
      <w:numFmt w:val="lowerRoman"/>
      <w:pStyle w:val="ARtablefootnoteroman"/>
      <w:lvlText w:val="(%1)"/>
      <w:lvlJc w:val="left"/>
      <w:pPr>
        <w:tabs>
          <w:tab w:val="num" w:pos="284"/>
        </w:tabs>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24702521"/>
    <w:multiLevelType w:val="multilevel"/>
    <w:tmpl w:val="564299E6"/>
    <w:styleLink w:val="Tablefootnotes"/>
    <w:lvl w:ilvl="0">
      <w:start w:val="1"/>
      <w:numFmt w:val="none"/>
      <w:suff w:val="nothing"/>
      <w:lvlText w:val=""/>
      <w:lvlJc w:val="left"/>
      <w:pPr>
        <w:ind w:left="0" w:firstLine="0"/>
      </w:pPr>
      <w:rPr>
        <w:rFonts w:hint="default"/>
      </w:rPr>
    </w:lvl>
    <w:lvl w:ilvl="1">
      <w:start w:val="1"/>
      <w:numFmt w:val="lowerRoman"/>
      <w:lvlText w:val="(%2)"/>
      <w:lvlJc w:val="left"/>
      <w:pPr>
        <w:tabs>
          <w:tab w:val="num" w:pos="284"/>
        </w:tabs>
        <w:ind w:left="284" w:hanging="284"/>
      </w:pPr>
      <w:rPr>
        <w:rFonts w:hint="default"/>
      </w:rPr>
    </w:lvl>
    <w:lvl w:ilvl="2">
      <w:start w:val="1"/>
      <w:numFmt w:val="bullet"/>
      <w:lvlRestart w:val="0"/>
      <w:lvlText w:val="•"/>
      <w:lvlJc w:val="left"/>
      <w:pPr>
        <w:ind w:left="510" w:hanging="226"/>
      </w:pPr>
      <w:rPr>
        <w:rFonts w:ascii="Calibri" w:hAnsi="Calibri"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4BF6EBD"/>
    <w:multiLevelType w:val="hybridMultilevel"/>
    <w:tmpl w:val="413033FA"/>
    <w:lvl w:ilvl="0" w:tplc="2A1E4A8C">
      <w:start w:val="1"/>
      <w:numFmt w:val="bullet"/>
      <w:pStyle w:val="ARtablefootnot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3C75AD"/>
    <w:multiLevelType w:val="multilevel"/>
    <w:tmpl w:val="7B9A2172"/>
    <w:styleLink w:val="ZZFinnumbersalpha"/>
    <w:lvl w:ilvl="0">
      <w:start w:val="1"/>
      <w:numFmt w:val="lowerLetter"/>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266A67E4"/>
    <w:multiLevelType w:val="multilevel"/>
    <w:tmpl w:val="AD342270"/>
    <w:styleLink w:val="ZZFinnumbersalpha1roman2"/>
    <w:lvl w:ilvl="0">
      <w:start w:val="1"/>
      <w:numFmt w:val="lowerLetter"/>
      <w:lvlText w:val="(%1)"/>
      <w:lvlJc w:val="left"/>
      <w:pPr>
        <w:ind w:left="284" w:hanging="284"/>
      </w:pPr>
      <w:rPr>
        <w:rFonts w:hint="default"/>
      </w:rPr>
    </w:lvl>
    <w:lvl w:ilvl="1">
      <w:start w:val="1"/>
      <w:numFmt w:val="lowerRoman"/>
      <w:lvlText w:val="(%2)"/>
      <w:lvlJc w:val="left"/>
      <w:pPr>
        <w:tabs>
          <w:tab w:val="num" w:pos="284"/>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2B61648E"/>
    <w:multiLevelType w:val="hybridMultilevel"/>
    <w:tmpl w:val="E1A8A9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B8D71AB"/>
    <w:multiLevelType w:val="multilevel"/>
    <w:tmpl w:val="38267824"/>
    <w:styleLink w:val="LowerAlphaat5mm"/>
    <w:lvl w:ilvl="0">
      <w:start w:val="1"/>
      <w:numFmt w:val="lowerLetter"/>
      <w:lvlText w:val="%1)"/>
      <w:lvlJc w:val="left"/>
      <w:pPr>
        <w:ind w:left="567" w:hanging="283"/>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32940CD5"/>
    <w:multiLevelType w:val="multilevel"/>
    <w:tmpl w:val="A61C06F4"/>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32C31422"/>
    <w:multiLevelType w:val="hybridMultilevel"/>
    <w:tmpl w:val="3E327A3E"/>
    <w:lvl w:ilvl="0" w:tplc="DFC2AD38">
      <w:start w:val="1"/>
      <w:numFmt w:val="bullet"/>
      <w:lvlText w:val=""/>
      <w:lvlPicBulletId w:val="0"/>
      <w:lvlJc w:val="left"/>
      <w:pPr>
        <w:ind w:left="360" w:hanging="360"/>
      </w:pPr>
      <w:rPr>
        <w:rFonts w:ascii="Symbol" w:hAnsi="Symbol" w:hint="default"/>
        <w:b/>
        <w:i w:val="0"/>
        <w:color w:val="auto"/>
        <w:sz w:val="6"/>
        <w:szCs w:val="6"/>
        <w:u w:color="004EA8"/>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3" w15:restartNumberingAfterBreak="0">
    <w:nsid w:val="34432F2B"/>
    <w:multiLevelType w:val="multilevel"/>
    <w:tmpl w:val="85BE5314"/>
    <w:styleLink w:val="Bullets2and3"/>
    <w:lvl w:ilvl="0">
      <w:start w:val="1"/>
      <w:numFmt w:val="bullet"/>
      <w:lvlText w:val="–"/>
      <w:lvlJc w:val="left"/>
      <w:pPr>
        <w:tabs>
          <w:tab w:val="num" w:pos="567"/>
        </w:tabs>
        <w:ind w:left="567" w:hanging="283"/>
      </w:pPr>
      <w:rPr>
        <w:rFonts w:ascii="font583" w:hAnsi="font583" w:hint="default"/>
      </w:rPr>
    </w:lvl>
    <w:lvl w:ilvl="1">
      <w:start w:val="1"/>
      <w:numFmt w:val="bullet"/>
      <w:lvlRestart w:val="0"/>
      <w:lvlText w:val="–"/>
      <w:lvlJc w:val="left"/>
      <w:pPr>
        <w:ind w:left="567" w:hanging="283"/>
      </w:pPr>
      <w:rPr>
        <w:rFonts w:hint="default"/>
      </w:rPr>
    </w:lvl>
    <w:lvl w:ilvl="2">
      <w:start w:val="1"/>
      <w:numFmt w:val="bullet"/>
      <w:lvlRestart w:val="0"/>
      <w:lvlText w:val="&gt;"/>
      <w:lvlJc w:val="left"/>
      <w:pPr>
        <w:tabs>
          <w:tab w:val="num" w:pos="851"/>
        </w:tabs>
        <w:ind w:left="851" w:hanging="284"/>
      </w:pPr>
      <w:rPr>
        <w:rFonts w:ascii="Times New Roman" w:hAnsi="Times New Roman" w:cs="Times New Roman" w:hint="default"/>
      </w:rPr>
    </w:lvl>
    <w:lvl w:ilvl="3">
      <w:start w:val="1"/>
      <w:numFmt w:val="bullet"/>
      <w:lvlRestart w:val="0"/>
      <w:lvlText w:val="&gt;"/>
      <w:lvlJc w:val="left"/>
      <w:pPr>
        <w:tabs>
          <w:tab w:val="num" w:pos="851"/>
        </w:tabs>
        <w:ind w:left="851" w:hanging="284"/>
      </w:pPr>
      <w:rPr>
        <w:rFonts w:ascii="Times New Roman" w:hAnsi="Times New Roman" w:cs="Times New Roman" w:hint="default"/>
      </w:rPr>
    </w:lvl>
    <w:lvl w:ilvl="4">
      <w:start w:val="1"/>
      <w:numFmt w:val="none"/>
      <w:lvlRestart w:val="0"/>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CE84DF4"/>
    <w:multiLevelType w:val="multilevel"/>
    <w:tmpl w:val="088668C0"/>
    <w:styleLink w:val="ARnumberedparas"/>
    <w:lvl w:ilvl="0">
      <w:start w:val="1"/>
      <w:numFmt w:val="lowerLetter"/>
      <w:pStyle w:val="ARnumberalpha1"/>
      <w:lvlText w:val="(%1)"/>
      <w:lvlJc w:val="left"/>
      <w:pPr>
        <w:tabs>
          <w:tab w:val="num" w:pos="397"/>
        </w:tabs>
        <w:ind w:left="397" w:hanging="397"/>
      </w:pPr>
      <w:rPr>
        <w:rFonts w:cs="Times New Roman" w:hint="default"/>
      </w:rPr>
    </w:lvl>
    <w:lvl w:ilvl="1">
      <w:start w:val="1"/>
      <w:numFmt w:val="lowerLetter"/>
      <w:lvlRestart w:val="0"/>
      <w:pStyle w:val="ARnumberalpha2"/>
      <w:lvlText w:val="(%2)"/>
      <w:lvlJc w:val="left"/>
      <w:pPr>
        <w:tabs>
          <w:tab w:val="num" w:pos="680"/>
        </w:tabs>
        <w:ind w:left="680" w:hanging="396"/>
      </w:pPr>
      <w:rPr>
        <w:rFonts w:cs="Times New Roman" w:hint="default"/>
      </w:rPr>
    </w:lvl>
    <w:lvl w:ilvl="2">
      <w:start w:val="1"/>
      <w:numFmt w:val="lowerRoman"/>
      <w:lvlRestart w:val="0"/>
      <w:pStyle w:val="ARnumberroman2"/>
      <w:lvlText w:val="(%3)"/>
      <w:lvlJc w:val="left"/>
      <w:pPr>
        <w:tabs>
          <w:tab w:val="num" w:pos="794"/>
        </w:tabs>
        <w:ind w:left="794" w:hanging="397"/>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6C68D4"/>
    <w:multiLevelType w:val="multilevel"/>
    <w:tmpl w:val="DDFC981A"/>
    <w:styleLink w:val="ZZNumbersdigit"/>
    <w:lvl w:ilvl="0">
      <w:start w:val="1"/>
      <w:numFmt w:val="decimal"/>
      <w:pStyle w:val="ARnumberdigit"/>
      <w:lvlText w:val="%1."/>
      <w:lvlJc w:val="left"/>
      <w:pPr>
        <w:tabs>
          <w:tab w:val="num" w:pos="397"/>
        </w:tabs>
        <w:ind w:left="397" w:hanging="397"/>
      </w:pPr>
      <w:rPr>
        <w:rFonts w:hint="default"/>
      </w:rPr>
    </w:lvl>
    <w:lvl w:ilvl="1">
      <w:start w:val="1"/>
      <w:numFmt w:val="decimal"/>
      <w:pStyle w:val="ARnumberdigitindent"/>
      <w:lvlText w:val="%2."/>
      <w:lvlJc w:val="left"/>
      <w:pPr>
        <w:tabs>
          <w:tab w:val="num" w:pos="794"/>
        </w:tabs>
        <w:ind w:left="794" w:hanging="397"/>
      </w:pPr>
      <w:rPr>
        <w:rFonts w:hint="default"/>
      </w:rPr>
    </w:lvl>
    <w:lvl w:ilvl="2">
      <w:start w:val="1"/>
      <w:numFmt w:val="bullet"/>
      <w:lvlRestart w:val="0"/>
      <w:pStyle w:val="ARbulletafternumbers1"/>
      <w:lvlText w:val="–"/>
      <w:lvlJc w:val="left"/>
      <w:pPr>
        <w:ind w:left="794" w:hanging="397"/>
      </w:pPr>
      <w:rPr>
        <w:rFonts w:ascii="Calibri" w:hAnsi="Calibri" w:hint="default"/>
        <w:color w:val="auto"/>
      </w:rPr>
    </w:lvl>
    <w:lvl w:ilvl="3">
      <w:start w:val="1"/>
      <w:numFmt w:val="bullet"/>
      <w:lvlRestart w:val="0"/>
      <w:pStyle w:val="AR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15:restartNumberingAfterBreak="0">
    <w:nsid w:val="42340BA2"/>
    <w:multiLevelType w:val="multilevel"/>
    <w:tmpl w:val="F4FA9BEE"/>
    <w:styleLink w:val="Numbersinfintables"/>
    <w:lvl w:ilvl="0">
      <w:start w:val="1"/>
      <w:numFmt w:val="lowerLetter"/>
      <w:lvlText w:val="(%1)"/>
      <w:lvlJc w:val="left"/>
      <w:pPr>
        <w:ind w:left="340" w:hanging="340"/>
      </w:pPr>
      <w:rPr>
        <w:rFonts w:hint="default"/>
      </w:rPr>
    </w:lvl>
    <w:lvl w:ilvl="1">
      <w:start w:val="1"/>
      <w:numFmt w:val="bullet"/>
      <w:lvlRestart w:val="0"/>
      <w:lvlText w:val="–"/>
      <w:lvlJc w:val="left"/>
      <w:pPr>
        <w:ind w:left="567" w:hanging="227"/>
      </w:pPr>
      <w:rPr>
        <w:rFonts w:ascii="Calibri" w:hAnsi="Calibri" w:hint="default"/>
        <w:color w:val="412F5A"/>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ABD071E"/>
    <w:multiLevelType w:val="multilevel"/>
    <w:tmpl w:val="E1D2CA48"/>
    <w:styleLink w:val="LowerAlphaat0mm"/>
    <w:lvl w:ilvl="0">
      <w:start w:val="1"/>
      <w:numFmt w:val="lowerLetter"/>
      <w:lvlText w:val="(%1)"/>
      <w:lvlJc w:val="left"/>
      <w:pPr>
        <w:ind w:left="39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B4F5336"/>
    <w:multiLevelType w:val="multilevel"/>
    <w:tmpl w:val="923A562A"/>
    <w:styleLink w:val="ZZBullets"/>
    <w:lvl w:ilvl="0">
      <w:start w:val="1"/>
      <w:numFmt w:val="bullet"/>
      <w:pStyle w:val="ARbullet1"/>
      <w:lvlText w:val=""/>
      <w:lvlJc w:val="left"/>
      <w:pPr>
        <w:ind w:left="284" w:hanging="284"/>
      </w:pPr>
      <w:rPr>
        <w:rFonts w:ascii="Symbol" w:hAnsi="Symbol" w:hint="default"/>
        <w:b/>
        <w:i w:val="0"/>
        <w:color w:val="004C97"/>
      </w:rPr>
    </w:lvl>
    <w:lvl w:ilvl="1">
      <w:start w:val="1"/>
      <w:numFmt w:val="bullet"/>
      <w:lvlRestart w:val="0"/>
      <w:pStyle w:val="ARbullet2"/>
      <w:lvlText w:val="–"/>
      <w:lvlJc w:val="left"/>
      <w:pPr>
        <w:ind w:left="567" w:hanging="283"/>
      </w:pPr>
      <w:rPr>
        <w:rFonts w:ascii="Arial" w:hAnsi="Arial" w:hint="default"/>
        <w:b w:val="0"/>
        <w:i w:val="0"/>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color w:val="auto"/>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1364E9D"/>
    <w:multiLevelType w:val="multilevel"/>
    <w:tmpl w:val="0D40AC72"/>
    <w:styleLink w:val="ZZTablefootnotenumbers"/>
    <w:lvl w:ilvl="0">
      <w:start w:val="1"/>
      <w:numFmt w:val="decimal"/>
      <w:pStyle w:val="ARtablefootnotenumbered"/>
      <w:lvlText w:val="%1."/>
      <w:lvlJc w:val="left"/>
      <w:pPr>
        <w:tabs>
          <w:tab w:val="num" w:pos="284"/>
        </w:tabs>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7CC003D"/>
    <w:multiLevelType w:val="multilevel"/>
    <w:tmpl w:val="972A8B88"/>
    <w:styleLink w:val="ZZFintablebullets"/>
    <w:lvl w:ilvl="0">
      <w:start w:val="1"/>
      <w:numFmt w:val="bullet"/>
      <w:lvlText w:val="•"/>
      <w:lvlJc w:val="left"/>
      <w:pPr>
        <w:ind w:left="170" w:hanging="170"/>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5D572AA2"/>
    <w:multiLevelType w:val="multilevel"/>
    <w:tmpl w:val="AD342270"/>
    <w:lvl w:ilvl="0">
      <w:start w:val="1"/>
      <w:numFmt w:val="lowerLetter"/>
      <w:lvlText w:val="(%1)"/>
      <w:lvlJc w:val="left"/>
      <w:pPr>
        <w:ind w:left="284" w:hanging="284"/>
      </w:pPr>
      <w:rPr>
        <w:rFonts w:hint="default"/>
      </w:rPr>
    </w:lvl>
    <w:lvl w:ilvl="1">
      <w:start w:val="1"/>
      <w:numFmt w:val="lowerRoman"/>
      <w:lvlText w:val="(%2)"/>
      <w:lvlJc w:val="left"/>
      <w:pPr>
        <w:tabs>
          <w:tab w:val="num" w:pos="284"/>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0D64042"/>
    <w:multiLevelType w:val="multilevel"/>
    <w:tmpl w:val="690C6F7E"/>
    <w:styleLink w:val="Bullets"/>
    <w:lvl w:ilvl="0">
      <w:start w:val="1"/>
      <w:numFmt w:val="bullet"/>
      <w:lvlText w:val="&gt;"/>
      <w:lvlJc w:val="left"/>
      <w:pPr>
        <w:ind w:left="284" w:hanging="284"/>
      </w:pPr>
      <w:rPr>
        <w:rFonts w:ascii="Calibri" w:hAnsi="Calibri" w:hint="default"/>
        <w:b/>
        <w:i w:val="0"/>
        <w:color w:val="87189D"/>
      </w:rPr>
    </w:lvl>
    <w:lvl w:ilvl="1">
      <w:start w:val="1"/>
      <w:numFmt w:val="bullet"/>
      <w:lvlText w:val="&gt;"/>
      <w:lvlJc w:val="left"/>
      <w:pPr>
        <w:ind w:left="284" w:hanging="284"/>
      </w:pPr>
      <w:rPr>
        <w:rFonts w:ascii="Calibri" w:hAnsi="Calibri" w:hint="default"/>
        <w:b/>
        <w:i w:val="0"/>
        <w:color w:val="87189D"/>
      </w:rPr>
    </w:lvl>
    <w:lvl w:ilvl="2">
      <w:start w:val="1"/>
      <w:numFmt w:val="bullet"/>
      <w:lvlText w:val="–"/>
      <w:lvlJc w:val="left"/>
      <w:pPr>
        <w:ind w:left="567" w:hanging="283"/>
      </w:pPr>
      <w:rPr>
        <w:rFonts w:ascii="Calibri" w:hAnsi="Calibri" w:hint="default"/>
      </w:rPr>
    </w:lvl>
    <w:lvl w:ilvl="3">
      <w:start w:val="1"/>
      <w:numFmt w:val="bullet"/>
      <w:lvlText w:val="–"/>
      <w:lvlJc w:val="left"/>
      <w:pPr>
        <w:ind w:left="567" w:hanging="283"/>
      </w:pPr>
      <w:rPr>
        <w:rFonts w:ascii="Calibri" w:hAnsi="Calibri" w:hint="default"/>
      </w:rPr>
    </w:lvl>
    <w:lvl w:ilvl="4">
      <w:start w:val="1"/>
      <w:numFmt w:val="bullet"/>
      <w:lvlText w:val="•"/>
      <w:lvlJc w:val="left"/>
      <w:pPr>
        <w:ind w:left="227" w:hanging="227"/>
      </w:pPr>
      <w:rPr>
        <w:rFonts w:ascii="Calibri" w:hAnsi="Calibri" w:hint="default"/>
      </w:rPr>
    </w:lvl>
    <w:lvl w:ilvl="5">
      <w:start w:val="1"/>
      <w:numFmt w:val="bullet"/>
      <w:lvlText w:val="–"/>
      <w:lvlJc w:val="left"/>
      <w:pPr>
        <w:ind w:left="454" w:hanging="227"/>
      </w:pPr>
      <w:rPr>
        <w:rFonts w:ascii="Calibri" w:hAnsi="Calibri" w:hint="default"/>
        <w:color w:val="auto"/>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60FF734C"/>
    <w:multiLevelType w:val="multilevel"/>
    <w:tmpl w:val="AA0043C4"/>
    <w:styleLink w:val="ZZBulletstimeline"/>
    <w:lvl w:ilvl="0">
      <w:start w:val="1"/>
      <w:numFmt w:val="bullet"/>
      <w:pStyle w:val="ARbullettimeline"/>
      <w:lvlText w:val=""/>
      <w:lvlJc w:val="left"/>
      <w:pPr>
        <w:ind w:left="284" w:hanging="284"/>
      </w:pPr>
      <w:rPr>
        <w:rFonts w:ascii="Wingdings 3" w:hAnsi="Wingdings 3" w:hint="default"/>
        <w:b w:val="0"/>
        <w:i w:val="0"/>
        <w:color w:val="004C97"/>
        <w:sz w:val="20"/>
        <w:szCs w:val="6"/>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398127E"/>
    <w:multiLevelType w:val="multilevel"/>
    <w:tmpl w:val="5BB248DE"/>
    <w:styleLink w:val="ZZLoweralphainfintables"/>
    <w:lvl w:ilvl="0">
      <w:start w:val="1"/>
      <w:numFmt w:val="lowerLetter"/>
      <w:lvlText w:val="(%1)"/>
      <w:lvlJc w:val="left"/>
      <w:pPr>
        <w:ind w:left="340" w:hanging="340"/>
      </w:pPr>
      <w:rPr>
        <w:rFonts w:hint="default"/>
      </w:rPr>
    </w:lvl>
    <w:lvl w:ilvl="1">
      <w:start w:val="1"/>
      <w:numFmt w:val="none"/>
      <w:lvlRestart w:val="0"/>
      <w:lvlText w:val=""/>
      <w:lvlJc w:val="left"/>
      <w:pPr>
        <w:tabs>
          <w:tab w:val="num" w:pos="0"/>
        </w:tabs>
        <w:ind w:left="0" w:firstLine="0"/>
      </w:pPr>
      <w:rPr>
        <w:rFonts w:hint="default"/>
        <w:color w:val="412F5A"/>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47F25B0"/>
    <w:multiLevelType w:val="multilevel"/>
    <w:tmpl w:val="AD342270"/>
    <w:lvl w:ilvl="0">
      <w:start w:val="1"/>
      <w:numFmt w:val="lowerLetter"/>
      <w:lvlText w:val="(%1)"/>
      <w:lvlJc w:val="left"/>
      <w:pPr>
        <w:ind w:left="284" w:hanging="284"/>
      </w:pPr>
      <w:rPr>
        <w:rFonts w:hint="default"/>
      </w:rPr>
    </w:lvl>
    <w:lvl w:ilvl="1">
      <w:start w:val="1"/>
      <w:numFmt w:val="lowerRoman"/>
      <w:lvlText w:val="(%2)"/>
      <w:lvlJc w:val="left"/>
      <w:pPr>
        <w:tabs>
          <w:tab w:val="num" w:pos="284"/>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4F31BA1"/>
    <w:multiLevelType w:val="multilevel"/>
    <w:tmpl w:val="5CB036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7A753B81"/>
    <w:multiLevelType w:val="multilevel"/>
    <w:tmpl w:val="6F9067C6"/>
    <w:styleLink w:val="ZZTablebullets"/>
    <w:lvl w:ilvl="0">
      <w:start w:val="1"/>
      <w:numFmt w:val="bullet"/>
      <w:pStyle w:val="ARtablebullet1"/>
      <w:lvlText w:val="•"/>
      <w:lvlJc w:val="left"/>
      <w:pPr>
        <w:ind w:left="227" w:hanging="227"/>
      </w:pPr>
      <w:rPr>
        <w:rFonts w:ascii="Calibri" w:hAnsi="Calibri" w:hint="default"/>
      </w:rPr>
    </w:lvl>
    <w:lvl w:ilvl="1">
      <w:start w:val="1"/>
      <w:numFmt w:val="bullet"/>
      <w:lvlRestart w:val="0"/>
      <w:pStyle w:val="ARtablebullet2"/>
      <w:lvlText w:val="–"/>
      <w:lvlJc w:val="left"/>
      <w:pPr>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7E846183"/>
    <w:multiLevelType w:val="hybridMultilevel"/>
    <w:tmpl w:val="A1D6FC78"/>
    <w:lvl w:ilvl="0" w:tplc="77D801E8">
      <w:start w:val="33"/>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lvlOverride w:ilvl="1">
      <w:lvl w:ilvl="1">
        <w:start w:val="1"/>
        <w:numFmt w:val="bullet"/>
        <w:lvlRestart w:val="0"/>
        <w:pStyle w:val="ARbullet2"/>
        <w:lvlText w:val="&gt;"/>
        <w:lvlJc w:val="left"/>
        <w:pPr>
          <w:ind w:left="284" w:hanging="284"/>
        </w:pPr>
        <w:rPr>
          <w:rFonts w:ascii="Arial" w:hAnsi="Arial" w:hint="default"/>
          <w:b/>
          <w:i w:val="0"/>
          <w:color w:val="004C97"/>
        </w:rPr>
      </w:lvl>
    </w:lvlOverride>
  </w:num>
  <w:num w:numId="2">
    <w:abstractNumId w:val="11"/>
  </w:num>
  <w:num w:numId="3">
    <w:abstractNumId w:val="24"/>
  </w:num>
  <w:num w:numId="4">
    <w:abstractNumId w:val="2"/>
  </w:num>
  <w:num w:numId="5">
    <w:abstractNumId w:val="15"/>
  </w:num>
  <w:num w:numId="6">
    <w:abstractNumId w:val="14"/>
  </w:num>
  <w:num w:numId="7">
    <w:abstractNumId w:val="7"/>
  </w:num>
  <w:num w:numId="8">
    <w:abstractNumId w:val="20"/>
  </w:num>
  <w:num w:numId="9">
    <w:abstractNumId w:val="6"/>
  </w:num>
  <w:num w:numId="10">
    <w:abstractNumId w:val="19"/>
  </w:num>
  <w:num w:numId="11">
    <w:abstractNumId w:val="4"/>
  </w:num>
  <w:num w:numId="12">
    <w:abstractNumId w:val="22"/>
  </w:num>
  <w:num w:numId="13">
    <w:abstractNumId w:val="13"/>
  </w:num>
  <w:num w:numId="14">
    <w:abstractNumId w:val="17"/>
  </w:num>
  <w:num w:numId="15">
    <w:abstractNumId w:val="10"/>
  </w:num>
  <w:num w:numId="16">
    <w:abstractNumId w:val="1"/>
  </w:num>
  <w:num w:numId="17">
    <w:abstractNumId w:val="16"/>
  </w:num>
  <w:num w:numId="18">
    <w:abstractNumId w:val="5"/>
  </w:num>
  <w:num w:numId="19">
    <w:abstractNumId w:val="18"/>
    <w:lvlOverride w:ilvl="0">
      <w:lvl w:ilvl="0">
        <w:start w:val="1"/>
        <w:numFmt w:val="bullet"/>
        <w:pStyle w:val="ARbullet1"/>
        <w:lvlText w:val=""/>
        <w:lvlJc w:val="left"/>
        <w:pPr>
          <w:ind w:left="4614" w:hanging="360"/>
        </w:pPr>
        <w:rPr>
          <w:rFonts w:ascii="Symbol" w:hAnsi="Symbol" w:hint="default"/>
          <w:color w:val="004EA8"/>
        </w:rPr>
      </w:lvl>
    </w:lvlOverride>
    <w:lvlOverride w:ilvl="1">
      <w:lvl w:ilvl="1">
        <w:start w:val="1"/>
        <w:numFmt w:val="bullet"/>
        <w:pStyle w:val="ARbullet2"/>
        <w:lvlText w:val="o"/>
        <w:lvlJc w:val="left"/>
        <w:pPr>
          <w:ind w:left="5334" w:hanging="360"/>
        </w:pPr>
        <w:rPr>
          <w:rFonts w:ascii="Courier New" w:hAnsi="Courier New" w:cs="Courier New" w:hint="default"/>
        </w:rPr>
      </w:lvl>
    </w:lvlOverride>
    <w:lvlOverride w:ilvl="2">
      <w:lvl w:ilvl="2" w:tentative="1">
        <w:start w:val="1"/>
        <w:numFmt w:val="bullet"/>
        <w:lvlText w:val=""/>
        <w:lvlJc w:val="left"/>
        <w:pPr>
          <w:ind w:left="6054" w:hanging="360"/>
        </w:pPr>
        <w:rPr>
          <w:rFonts w:ascii="Wingdings" w:hAnsi="Wingdings" w:hint="default"/>
        </w:rPr>
      </w:lvl>
    </w:lvlOverride>
    <w:lvlOverride w:ilvl="3">
      <w:lvl w:ilvl="3" w:tentative="1">
        <w:start w:val="1"/>
        <w:numFmt w:val="bullet"/>
        <w:lvlText w:val=""/>
        <w:lvlJc w:val="left"/>
        <w:pPr>
          <w:ind w:left="6774" w:hanging="360"/>
        </w:pPr>
        <w:rPr>
          <w:rFonts w:ascii="Symbol" w:hAnsi="Symbol" w:hint="default"/>
        </w:rPr>
      </w:lvl>
    </w:lvlOverride>
    <w:lvlOverride w:ilvl="4">
      <w:lvl w:ilvl="4" w:tentative="1">
        <w:start w:val="1"/>
        <w:numFmt w:val="bullet"/>
        <w:lvlText w:val="o"/>
        <w:lvlJc w:val="left"/>
        <w:pPr>
          <w:ind w:left="7494" w:hanging="360"/>
        </w:pPr>
        <w:rPr>
          <w:rFonts w:ascii="Courier New" w:hAnsi="Courier New" w:cs="Courier New" w:hint="default"/>
        </w:rPr>
      </w:lvl>
    </w:lvlOverride>
    <w:lvlOverride w:ilvl="5">
      <w:lvl w:ilvl="5" w:tentative="1">
        <w:start w:val="1"/>
        <w:numFmt w:val="bullet"/>
        <w:lvlText w:val=""/>
        <w:lvlJc w:val="left"/>
        <w:pPr>
          <w:ind w:left="8214" w:hanging="360"/>
        </w:pPr>
        <w:rPr>
          <w:rFonts w:ascii="Wingdings" w:hAnsi="Wingdings" w:hint="default"/>
        </w:rPr>
      </w:lvl>
    </w:lvlOverride>
    <w:lvlOverride w:ilvl="6">
      <w:lvl w:ilvl="6" w:tentative="1">
        <w:start w:val="1"/>
        <w:numFmt w:val="bullet"/>
        <w:lvlText w:val=""/>
        <w:lvlJc w:val="left"/>
        <w:pPr>
          <w:ind w:left="8934" w:hanging="360"/>
        </w:pPr>
        <w:rPr>
          <w:rFonts w:ascii="Symbol" w:hAnsi="Symbol" w:hint="default"/>
        </w:rPr>
      </w:lvl>
    </w:lvlOverride>
    <w:lvlOverride w:ilvl="7">
      <w:lvl w:ilvl="7" w:tentative="1">
        <w:start w:val="1"/>
        <w:numFmt w:val="bullet"/>
        <w:lvlText w:val="o"/>
        <w:lvlJc w:val="left"/>
        <w:pPr>
          <w:ind w:left="9654" w:hanging="360"/>
        </w:pPr>
        <w:rPr>
          <w:rFonts w:ascii="Courier New" w:hAnsi="Courier New" w:cs="Courier New" w:hint="default"/>
        </w:rPr>
      </w:lvl>
    </w:lvlOverride>
    <w:lvlOverride w:ilvl="8">
      <w:lvl w:ilvl="8" w:tentative="1">
        <w:start w:val="1"/>
        <w:numFmt w:val="bullet"/>
        <w:lvlText w:val=""/>
        <w:lvlJc w:val="left"/>
        <w:pPr>
          <w:ind w:left="10374" w:hanging="360"/>
        </w:pPr>
        <w:rPr>
          <w:rFonts w:ascii="Wingdings" w:hAnsi="Wingdings" w:hint="default"/>
        </w:rPr>
      </w:lvl>
    </w:lvlOverride>
  </w:num>
  <w:num w:numId="20">
    <w:abstractNumId w:val="12"/>
  </w:num>
  <w:num w:numId="21">
    <w:abstractNumId w:val="27"/>
  </w:num>
  <w:num w:numId="22">
    <w:abstractNumId w:val="18"/>
  </w:num>
  <w:num w:numId="23">
    <w:abstractNumId w:val="8"/>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0"/>
  </w:num>
  <w:num w:numId="30">
    <w:abstractNumId w:val="21"/>
  </w:num>
  <w:num w:numId="31">
    <w:abstractNumId w:val="3"/>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28"/>
  </w:num>
  <w:num w:numId="39">
    <w:abstractNumId w:val="26"/>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
  <w:mirrorMargins/>
  <w:activeWritingStyle w:appName="MSWord" w:lang="fr-FR"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6" w:nlCheck="1" w:checkStyle="0"/>
  <w:activeWritingStyle w:appName="MSWord" w:lang="en-AU"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GB" w:vendorID="64" w:dllVersion="0" w:nlCheck="1" w:checkStyle="0"/>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567"/>
  <w:doNotHyphenateCaps/>
  <w:evenAndOddHeaders/>
  <w:drawingGridHorizontalSpacing w:val="120"/>
  <w:drawingGridVerticalSpacing w:val="163"/>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TQxN7Q0MzCxMAWyLJV0lIJTi4sz8/NACoxqARg/jFcsAAAA"/>
  </w:docVars>
  <w:rsids>
    <w:rsidRoot w:val="00AD7C2F"/>
    <w:rsid w:val="000000B0"/>
    <w:rsid w:val="0000011D"/>
    <w:rsid w:val="00001770"/>
    <w:rsid w:val="000019C1"/>
    <w:rsid w:val="00001CB9"/>
    <w:rsid w:val="00001E63"/>
    <w:rsid w:val="000021D0"/>
    <w:rsid w:val="00002519"/>
    <w:rsid w:val="0000292B"/>
    <w:rsid w:val="00003232"/>
    <w:rsid w:val="000034ED"/>
    <w:rsid w:val="000036B9"/>
    <w:rsid w:val="00004668"/>
    <w:rsid w:val="00004B7C"/>
    <w:rsid w:val="00004E7C"/>
    <w:rsid w:val="00004F0A"/>
    <w:rsid w:val="000051B8"/>
    <w:rsid w:val="000056FA"/>
    <w:rsid w:val="0000575C"/>
    <w:rsid w:val="00005B6E"/>
    <w:rsid w:val="00005E43"/>
    <w:rsid w:val="0000675A"/>
    <w:rsid w:val="00006BE2"/>
    <w:rsid w:val="00007202"/>
    <w:rsid w:val="00007586"/>
    <w:rsid w:val="00007B2C"/>
    <w:rsid w:val="00011168"/>
    <w:rsid w:val="0001161A"/>
    <w:rsid w:val="00011864"/>
    <w:rsid w:val="00011A7A"/>
    <w:rsid w:val="00011AD5"/>
    <w:rsid w:val="00011D79"/>
    <w:rsid w:val="00012452"/>
    <w:rsid w:val="000124C1"/>
    <w:rsid w:val="000136B6"/>
    <w:rsid w:val="000137D0"/>
    <w:rsid w:val="00013A2F"/>
    <w:rsid w:val="00013A72"/>
    <w:rsid w:val="00013CE9"/>
    <w:rsid w:val="000142E4"/>
    <w:rsid w:val="00014F04"/>
    <w:rsid w:val="00015352"/>
    <w:rsid w:val="00015C85"/>
    <w:rsid w:val="00015D72"/>
    <w:rsid w:val="0001672C"/>
    <w:rsid w:val="00016ABA"/>
    <w:rsid w:val="00016D3A"/>
    <w:rsid w:val="00016E97"/>
    <w:rsid w:val="00016F45"/>
    <w:rsid w:val="0001702D"/>
    <w:rsid w:val="000179F2"/>
    <w:rsid w:val="00017A76"/>
    <w:rsid w:val="000200E2"/>
    <w:rsid w:val="00020299"/>
    <w:rsid w:val="00020D58"/>
    <w:rsid w:val="00020D67"/>
    <w:rsid w:val="00021FCE"/>
    <w:rsid w:val="00021FE1"/>
    <w:rsid w:val="00022014"/>
    <w:rsid w:val="000227B7"/>
    <w:rsid w:val="000227CC"/>
    <w:rsid w:val="00022ECD"/>
    <w:rsid w:val="00023520"/>
    <w:rsid w:val="00024809"/>
    <w:rsid w:val="00024F45"/>
    <w:rsid w:val="00026D5D"/>
    <w:rsid w:val="000304AE"/>
    <w:rsid w:val="00030517"/>
    <w:rsid w:val="00030563"/>
    <w:rsid w:val="0003087C"/>
    <w:rsid w:val="000309CC"/>
    <w:rsid w:val="00031496"/>
    <w:rsid w:val="00031660"/>
    <w:rsid w:val="00032340"/>
    <w:rsid w:val="00032863"/>
    <w:rsid w:val="00032A69"/>
    <w:rsid w:val="00032A6E"/>
    <w:rsid w:val="00032B62"/>
    <w:rsid w:val="00032EEF"/>
    <w:rsid w:val="000333F6"/>
    <w:rsid w:val="000334F0"/>
    <w:rsid w:val="000336EF"/>
    <w:rsid w:val="000343D9"/>
    <w:rsid w:val="000347A5"/>
    <w:rsid w:val="000349AF"/>
    <w:rsid w:val="00034A6D"/>
    <w:rsid w:val="00034B95"/>
    <w:rsid w:val="00034BE4"/>
    <w:rsid w:val="00035120"/>
    <w:rsid w:val="00035689"/>
    <w:rsid w:val="000357D8"/>
    <w:rsid w:val="0003586D"/>
    <w:rsid w:val="000359EC"/>
    <w:rsid w:val="0003644D"/>
    <w:rsid w:val="00036BDC"/>
    <w:rsid w:val="00036DBB"/>
    <w:rsid w:val="00037A58"/>
    <w:rsid w:val="00037F81"/>
    <w:rsid w:val="00037F82"/>
    <w:rsid w:val="00040023"/>
    <w:rsid w:val="000405D5"/>
    <w:rsid w:val="000409BD"/>
    <w:rsid w:val="000413BA"/>
    <w:rsid w:val="0004163B"/>
    <w:rsid w:val="00041837"/>
    <w:rsid w:val="000419BC"/>
    <w:rsid w:val="00041CE7"/>
    <w:rsid w:val="000424E7"/>
    <w:rsid w:val="000431AA"/>
    <w:rsid w:val="00043721"/>
    <w:rsid w:val="00043979"/>
    <w:rsid w:val="00043996"/>
    <w:rsid w:val="00043A17"/>
    <w:rsid w:val="00043EC0"/>
    <w:rsid w:val="00043FC4"/>
    <w:rsid w:val="0004411C"/>
    <w:rsid w:val="000442D0"/>
    <w:rsid w:val="000445D4"/>
    <w:rsid w:val="00044777"/>
    <w:rsid w:val="0004480E"/>
    <w:rsid w:val="000450BA"/>
    <w:rsid w:val="0004532A"/>
    <w:rsid w:val="00045646"/>
    <w:rsid w:val="00045DF8"/>
    <w:rsid w:val="00046678"/>
    <w:rsid w:val="00046E54"/>
    <w:rsid w:val="000472AC"/>
    <w:rsid w:val="00047319"/>
    <w:rsid w:val="00047B27"/>
    <w:rsid w:val="00047BA2"/>
    <w:rsid w:val="00047E30"/>
    <w:rsid w:val="00047F05"/>
    <w:rsid w:val="000507A7"/>
    <w:rsid w:val="00050808"/>
    <w:rsid w:val="00050893"/>
    <w:rsid w:val="00050E1E"/>
    <w:rsid w:val="000510DC"/>
    <w:rsid w:val="000510F7"/>
    <w:rsid w:val="00051FE1"/>
    <w:rsid w:val="000521D8"/>
    <w:rsid w:val="000523C9"/>
    <w:rsid w:val="00052499"/>
    <w:rsid w:val="000524CE"/>
    <w:rsid w:val="00052545"/>
    <w:rsid w:val="00052845"/>
    <w:rsid w:val="00052A3A"/>
    <w:rsid w:val="00052C96"/>
    <w:rsid w:val="00052F62"/>
    <w:rsid w:val="000537F4"/>
    <w:rsid w:val="00053861"/>
    <w:rsid w:val="00053E40"/>
    <w:rsid w:val="000540EA"/>
    <w:rsid w:val="00054430"/>
    <w:rsid w:val="0005470A"/>
    <w:rsid w:val="00055097"/>
    <w:rsid w:val="000554B7"/>
    <w:rsid w:val="00055742"/>
    <w:rsid w:val="00055F49"/>
    <w:rsid w:val="0005675A"/>
    <w:rsid w:val="00056AC8"/>
    <w:rsid w:val="00056B5E"/>
    <w:rsid w:val="00056D3E"/>
    <w:rsid w:val="00056FCA"/>
    <w:rsid w:val="0005714C"/>
    <w:rsid w:val="0005742D"/>
    <w:rsid w:val="000576DE"/>
    <w:rsid w:val="0005780A"/>
    <w:rsid w:val="00057D76"/>
    <w:rsid w:val="000600C1"/>
    <w:rsid w:val="000606AD"/>
    <w:rsid w:val="00060B58"/>
    <w:rsid w:val="00060B67"/>
    <w:rsid w:val="0006130A"/>
    <w:rsid w:val="000614A5"/>
    <w:rsid w:val="00061730"/>
    <w:rsid w:val="00061862"/>
    <w:rsid w:val="00061C16"/>
    <w:rsid w:val="0006212C"/>
    <w:rsid w:val="00062256"/>
    <w:rsid w:val="000622E2"/>
    <w:rsid w:val="0006234D"/>
    <w:rsid w:val="0006266D"/>
    <w:rsid w:val="00062EBD"/>
    <w:rsid w:val="000632CA"/>
    <w:rsid w:val="00063392"/>
    <w:rsid w:val="0006354B"/>
    <w:rsid w:val="0006435E"/>
    <w:rsid w:val="00064B9B"/>
    <w:rsid w:val="0006612E"/>
    <w:rsid w:val="0006677C"/>
    <w:rsid w:val="00066926"/>
    <w:rsid w:val="00066B9A"/>
    <w:rsid w:val="00066F3D"/>
    <w:rsid w:val="000672BC"/>
    <w:rsid w:val="000679E4"/>
    <w:rsid w:val="00067FDC"/>
    <w:rsid w:val="00070482"/>
    <w:rsid w:val="0007050F"/>
    <w:rsid w:val="00070D3B"/>
    <w:rsid w:val="00071184"/>
    <w:rsid w:val="00071FEC"/>
    <w:rsid w:val="000723A1"/>
    <w:rsid w:val="000723ED"/>
    <w:rsid w:val="000724DE"/>
    <w:rsid w:val="00072716"/>
    <w:rsid w:val="00073805"/>
    <w:rsid w:val="00073AC1"/>
    <w:rsid w:val="00073F00"/>
    <w:rsid w:val="00074242"/>
    <w:rsid w:val="0007489E"/>
    <w:rsid w:val="00074D0A"/>
    <w:rsid w:val="00075356"/>
    <w:rsid w:val="000759BF"/>
    <w:rsid w:val="00075B4E"/>
    <w:rsid w:val="000760A3"/>
    <w:rsid w:val="00076B98"/>
    <w:rsid w:val="00076CCF"/>
    <w:rsid w:val="00076E2D"/>
    <w:rsid w:val="00077120"/>
    <w:rsid w:val="000775DC"/>
    <w:rsid w:val="000779FA"/>
    <w:rsid w:val="000803FA"/>
    <w:rsid w:val="00082C78"/>
    <w:rsid w:val="0008331D"/>
    <w:rsid w:val="000834CE"/>
    <w:rsid w:val="00083889"/>
    <w:rsid w:val="00084BA5"/>
    <w:rsid w:val="00084BD7"/>
    <w:rsid w:val="00084D83"/>
    <w:rsid w:val="00084E3B"/>
    <w:rsid w:val="00085A65"/>
    <w:rsid w:val="00085EAE"/>
    <w:rsid w:val="0008602D"/>
    <w:rsid w:val="000861CF"/>
    <w:rsid w:val="00086B0D"/>
    <w:rsid w:val="00086BBD"/>
    <w:rsid w:val="00086D11"/>
    <w:rsid w:val="00086EE5"/>
    <w:rsid w:val="00086FC8"/>
    <w:rsid w:val="000870D9"/>
    <w:rsid w:val="000871BD"/>
    <w:rsid w:val="0008732C"/>
    <w:rsid w:val="000873EC"/>
    <w:rsid w:val="0008759D"/>
    <w:rsid w:val="000879F1"/>
    <w:rsid w:val="00087CC6"/>
    <w:rsid w:val="0009010A"/>
    <w:rsid w:val="00090212"/>
    <w:rsid w:val="00090247"/>
    <w:rsid w:val="00090386"/>
    <w:rsid w:val="00090892"/>
    <w:rsid w:val="00090A48"/>
    <w:rsid w:val="00090A50"/>
    <w:rsid w:val="00090E47"/>
    <w:rsid w:val="00091471"/>
    <w:rsid w:val="00091717"/>
    <w:rsid w:val="0009236A"/>
    <w:rsid w:val="0009241C"/>
    <w:rsid w:val="00092527"/>
    <w:rsid w:val="00092AFD"/>
    <w:rsid w:val="00092F30"/>
    <w:rsid w:val="000936C7"/>
    <w:rsid w:val="0009423E"/>
    <w:rsid w:val="0009432C"/>
    <w:rsid w:val="0009447B"/>
    <w:rsid w:val="00095023"/>
    <w:rsid w:val="00095450"/>
    <w:rsid w:val="0009565F"/>
    <w:rsid w:val="00095E9B"/>
    <w:rsid w:val="000961B8"/>
    <w:rsid w:val="0009632D"/>
    <w:rsid w:val="000963DF"/>
    <w:rsid w:val="00096486"/>
    <w:rsid w:val="00096BE7"/>
    <w:rsid w:val="00096CBC"/>
    <w:rsid w:val="00096F00"/>
    <w:rsid w:val="000979BC"/>
    <w:rsid w:val="00097CED"/>
    <w:rsid w:val="00097D5B"/>
    <w:rsid w:val="000A01C5"/>
    <w:rsid w:val="000A07F5"/>
    <w:rsid w:val="000A08C5"/>
    <w:rsid w:val="000A1857"/>
    <w:rsid w:val="000A1EF8"/>
    <w:rsid w:val="000A23FF"/>
    <w:rsid w:val="000A264A"/>
    <w:rsid w:val="000A2AA2"/>
    <w:rsid w:val="000A2EE3"/>
    <w:rsid w:val="000A2F66"/>
    <w:rsid w:val="000A3086"/>
    <w:rsid w:val="000A30CF"/>
    <w:rsid w:val="000A3645"/>
    <w:rsid w:val="000A37E1"/>
    <w:rsid w:val="000A3CA9"/>
    <w:rsid w:val="000A3ECF"/>
    <w:rsid w:val="000A3F0C"/>
    <w:rsid w:val="000A48B5"/>
    <w:rsid w:val="000A4C19"/>
    <w:rsid w:val="000A50C8"/>
    <w:rsid w:val="000A5537"/>
    <w:rsid w:val="000A5A07"/>
    <w:rsid w:val="000A66B5"/>
    <w:rsid w:val="000A6961"/>
    <w:rsid w:val="000A6AF0"/>
    <w:rsid w:val="000A6B6D"/>
    <w:rsid w:val="000A6F16"/>
    <w:rsid w:val="000A7852"/>
    <w:rsid w:val="000A7A51"/>
    <w:rsid w:val="000A7CD2"/>
    <w:rsid w:val="000B03EB"/>
    <w:rsid w:val="000B0531"/>
    <w:rsid w:val="000B0B47"/>
    <w:rsid w:val="000B104A"/>
    <w:rsid w:val="000B12DD"/>
    <w:rsid w:val="000B12F3"/>
    <w:rsid w:val="000B1428"/>
    <w:rsid w:val="000B1445"/>
    <w:rsid w:val="000B2035"/>
    <w:rsid w:val="000B20EF"/>
    <w:rsid w:val="000B2B42"/>
    <w:rsid w:val="000B307C"/>
    <w:rsid w:val="000B30DF"/>
    <w:rsid w:val="000B3154"/>
    <w:rsid w:val="000B3C43"/>
    <w:rsid w:val="000B3DE5"/>
    <w:rsid w:val="000B3F86"/>
    <w:rsid w:val="000B400F"/>
    <w:rsid w:val="000B40C3"/>
    <w:rsid w:val="000B4214"/>
    <w:rsid w:val="000B423D"/>
    <w:rsid w:val="000B430F"/>
    <w:rsid w:val="000B47AC"/>
    <w:rsid w:val="000B4D10"/>
    <w:rsid w:val="000B5145"/>
    <w:rsid w:val="000B55EA"/>
    <w:rsid w:val="000B5747"/>
    <w:rsid w:val="000B587B"/>
    <w:rsid w:val="000B58B7"/>
    <w:rsid w:val="000B5BAE"/>
    <w:rsid w:val="000B5BD4"/>
    <w:rsid w:val="000B6086"/>
    <w:rsid w:val="000B614B"/>
    <w:rsid w:val="000B6280"/>
    <w:rsid w:val="000B6B03"/>
    <w:rsid w:val="000B6C25"/>
    <w:rsid w:val="000B6D1B"/>
    <w:rsid w:val="000B7427"/>
    <w:rsid w:val="000B79FF"/>
    <w:rsid w:val="000B7B41"/>
    <w:rsid w:val="000B7C6C"/>
    <w:rsid w:val="000C0590"/>
    <w:rsid w:val="000C0E2C"/>
    <w:rsid w:val="000C13DE"/>
    <w:rsid w:val="000C17BD"/>
    <w:rsid w:val="000C19D1"/>
    <w:rsid w:val="000C21EC"/>
    <w:rsid w:val="000C23A9"/>
    <w:rsid w:val="000C2617"/>
    <w:rsid w:val="000C2968"/>
    <w:rsid w:val="000C2FB8"/>
    <w:rsid w:val="000C36EA"/>
    <w:rsid w:val="000C3AC4"/>
    <w:rsid w:val="000C3D6D"/>
    <w:rsid w:val="000C42AA"/>
    <w:rsid w:val="000C492F"/>
    <w:rsid w:val="000C4A34"/>
    <w:rsid w:val="000C4F74"/>
    <w:rsid w:val="000C4FAD"/>
    <w:rsid w:val="000C5697"/>
    <w:rsid w:val="000C6124"/>
    <w:rsid w:val="000C6434"/>
    <w:rsid w:val="000C6435"/>
    <w:rsid w:val="000C7162"/>
    <w:rsid w:val="000C7164"/>
    <w:rsid w:val="000C725D"/>
    <w:rsid w:val="000C73B2"/>
    <w:rsid w:val="000C7910"/>
    <w:rsid w:val="000C7C20"/>
    <w:rsid w:val="000C7D1A"/>
    <w:rsid w:val="000C7D64"/>
    <w:rsid w:val="000D0487"/>
    <w:rsid w:val="000D0518"/>
    <w:rsid w:val="000D085E"/>
    <w:rsid w:val="000D08B3"/>
    <w:rsid w:val="000D0AD7"/>
    <w:rsid w:val="000D1078"/>
    <w:rsid w:val="000D109E"/>
    <w:rsid w:val="000D17AE"/>
    <w:rsid w:val="000D238A"/>
    <w:rsid w:val="000D24CC"/>
    <w:rsid w:val="000D280F"/>
    <w:rsid w:val="000D28B9"/>
    <w:rsid w:val="000D372F"/>
    <w:rsid w:val="000D3803"/>
    <w:rsid w:val="000D3816"/>
    <w:rsid w:val="000D4480"/>
    <w:rsid w:val="000D4545"/>
    <w:rsid w:val="000D640A"/>
    <w:rsid w:val="000D6737"/>
    <w:rsid w:val="000D6BD4"/>
    <w:rsid w:val="000D6BEE"/>
    <w:rsid w:val="000D7047"/>
    <w:rsid w:val="000D76A0"/>
    <w:rsid w:val="000D7C49"/>
    <w:rsid w:val="000D7E2C"/>
    <w:rsid w:val="000E000C"/>
    <w:rsid w:val="000E008B"/>
    <w:rsid w:val="000E035D"/>
    <w:rsid w:val="000E06EC"/>
    <w:rsid w:val="000E0784"/>
    <w:rsid w:val="000E08DE"/>
    <w:rsid w:val="000E12FF"/>
    <w:rsid w:val="000E16F8"/>
    <w:rsid w:val="000E1B1A"/>
    <w:rsid w:val="000E245E"/>
    <w:rsid w:val="000E253F"/>
    <w:rsid w:val="000E25B0"/>
    <w:rsid w:val="000E2657"/>
    <w:rsid w:val="000E2E24"/>
    <w:rsid w:val="000E349A"/>
    <w:rsid w:val="000E3651"/>
    <w:rsid w:val="000E372D"/>
    <w:rsid w:val="000E38BC"/>
    <w:rsid w:val="000E3B25"/>
    <w:rsid w:val="000E3D7E"/>
    <w:rsid w:val="000E4D58"/>
    <w:rsid w:val="000E4DCD"/>
    <w:rsid w:val="000E5341"/>
    <w:rsid w:val="000E54B8"/>
    <w:rsid w:val="000E5FEF"/>
    <w:rsid w:val="000E6182"/>
    <w:rsid w:val="000E62B8"/>
    <w:rsid w:val="000E64E1"/>
    <w:rsid w:val="000E6713"/>
    <w:rsid w:val="000E6783"/>
    <w:rsid w:val="000E6A23"/>
    <w:rsid w:val="000E7606"/>
    <w:rsid w:val="000E77DF"/>
    <w:rsid w:val="000E796D"/>
    <w:rsid w:val="000E7FF6"/>
    <w:rsid w:val="000F02F9"/>
    <w:rsid w:val="000F0995"/>
    <w:rsid w:val="000F0B8B"/>
    <w:rsid w:val="000F0BC0"/>
    <w:rsid w:val="000F12A7"/>
    <w:rsid w:val="000F1BFC"/>
    <w:rsid w:val="000F21A6"/>
    <w:rsid w:val="000F27B3"/>
    <w:rsid w:val="000F2BD8"/>
    <w:rsid w:val="000F2F1F"/>
    <w:rsid w:val="000F4171"/>
    <w:rsid w:val="000F44E1"/>
    <w:rsid w:val="000F5042"/>
    <w:rsid w:val="000F529F"/>
    <w:rsid w:val="000F5F00"/>
    <w:rsid w:val="000F69B4"/>
    <w:rsid w:val="000F7743"/>
    <w:rsid w:val="000F793E"/>
    <w:rsid w:val="000F7961"/>
    <w:rsid w:val="000F7F69"/>
    <w:rsid w:val="0010061B"/>
    <w:rsid w:val="001006EB"/>
    <w:rsid w:val="0010091F"/>
    <w:rsid w:val="00100A46"/>
    <w:rsid w:val="001017E1"/>
    <w:rsid w:val="00101826"/>
    <w:rsid w:val="001018B3"/>
    <w:rsid w:val="00101F50"/>
    <w:rsid w:val="001021B2"/>
    <w:rsid w:val="00102369"/>
    <w:rsid w:val="001023C0"/>
    <w:rsid w:val="00102455"/>
    <w:rsid w:val="00102AA4"/>
    <w:rsid w:val="00102E49"/>
    <w:rsid w:val="00103142"/>
    <w:rsid w:val="0010342D"/>
    <w:rsid w:val="00103469"/>
    <w:rsid w:val="00103495"/>
    <w:rsid w:val="00103C81"/>
    <w:rsid w:val="00104477"/>
    <w:rsid w:val="00104A1B"/>
    <w:rsid w:val="00104F70"/>
    <w:rsid w:val="00105268"/>
    <w:rsid w:val="00105405"/>
    <w:rsid w:val="0010560B"/>
    <w:rsid w:val="0010565B"/>
    <w:rsid w:val="00105676"/>
    <w:rsid w:val="00105D35"/>
    <w:rsid w:val="00106A9E"/>
    <w:rsid w:val="0010701A"/>
    <w:rsid w:val="0010707B"/>
    <w:rsid w:val="0010720F"/>
    <w:rsid w:val="00107219"/>
    <w:rsid w:val="001073D0"/>
    <w:rsid w:val="00107979"/>
    <w:rsid w:val="00107C05"/>
    <w:rsid w:val="00107EA5"/>
    <w:rsid w:val="00110A76"/>
    <w:rsid w:val="00110BDC"/>
    <w:rsid w:val="00110DAF"/>
    <w:rsid w:val="00110FB0"/>
    <w:rsid w:val="00110FF7"/>
    <w:rsid w:val="00111018"/>
    <w:rsid w:val="00111312"/>
    <w:rsid w:val="0011155B"/>
    <w:rsid w:val="00111725"/>
    <w:rsid w:val="00112068"/>
    <w:rsid w:val="00112487"/>
    <w:rsid w:val="001127FF"/>
    <w:rsid w:val="00112882"/>
    <w:rsid w:val="00112AA8"/>
    <w:rsid w:val="00112BB9"/>
    <w:rsid w:val="00112CCA"/>
    <w:rsid w:val="00113B45"/>
    <w:rsid w:val="00113BC5"/>
    <w:rsid w:val="00113EAB"/>
    <w:rsid w:val="0011449E"/>
    <w:rsid w:val="001147EC"/>
    <w:rsid w:val="00114C10"/>
    <w:rsid w:val="00114D50"/>
    <w:rsid w:val="00114DCF"/>
    <w:rsid w:val="00114F7E"/>
    <w:rsid w:val="00114FC1"/>
    <w:rsid w:val="00115037"/>
    <w:rsid w:val="0011509A"/>
    <w:rsid w:val="001155E7"/>
    <w:rsid w:val="00115850"/>
    <w:rsid w:val="0011594D"/>
    <w:rsid w:val="00115A04"/>
    <w:rsid w:val="00115C57"/>
    <w:rsid w:val="00115C9E"/>
    <w:rsid w:val="001161B2"/>
    <w:rsid w:val="00116C06"/>
    <w:rsid w:val="00116C56"/>
    <w:rsid w:val="00117000"/>
    <w:rsid w:val="001170CF"/>
    <w:rsid w:val="00117244"/>
    <w:rsid w:val="001173A5"/>
    <w:rsid w:val="00117960"/>
    <w:rsid w:val="00117B25"/>
    <w:rsid w:val="0012051E"/>
    <w:rsid w:val="00120697"/>
    <w:rsid w:val="001207AF"/>
    <w:rsid w:val="00120B18"/>
    <w:rsid w:val="001218E8"/>
    <w:rsid w:val="00121C96"/>
    <w:rsid w:val="001220BD"/>
    <w:rsid w:val="00122B8B"/>
    <w:rsid w:val="001230BC"/>
    <w:rsid w:val="001234CC"/>
    <w:rsid w:val="001235A0"/>
    <w:rsid w:val="001236F4"/>
    <w:rsid w:val="001238AC"/>
    <w:rsid w:val="00123CB2"/>
    <w:rsid w:val="00123CDB"/>
    <w:rsid w:val="00124879"/>
    <w:rsid w:val="00124AF6"/>
    <w:rsid w:val="0012502A"/>
    <w:rsid w:val="00125192"/>
    <w:rsid w:val="00126029"/>
    <w:rsid w:val="001263B8"/>
    <w:rsid w:val="001263E2"/>
    <w:rsid w:val="00126870"/>
    <w:rsid w:val="001268E1"/>
    <w:rsid w:val="00126D91"/>
    <w:rsid w:val="00126F7C"/>
    <w:rsid w:val="00127401"/>
    <w:rsid w:val="00127E6F"/>
    <w:rsid w:val="00130196"/>
    <w:rsid w:val="00130486"/>
    <w:rsid w:val="00130557"/>
    <w:rsid w:val="00130574"/>
    <w:rsid w:val="0013065C"/>
    <w:rsid w:val="00130D54"/>
    <w:rsid w:val="00130F2C"/>
    <w:rsid w:val="0013167E"/>
    <w:rsid w:val="00132486"/>
    <w:rsid w:val="001330A8"/>
    <w:rsid w:val="00133A5C"/>
    <w:rsid w:val="00133B6C"/>
    <w:rsid w:val="00133C1D"/>
    <w:rsid w:val="00133C72"/>
    <w:rsid w:val="00134140"/>
    <w:rsid w:val="001347FD"/>
    <w:rsid w:val="00135248"/>
    <w:rsid w:val="00135B9E"/>
    <w:rsid w:val="00135F02"/>
    <w:rsid w:val="0013650D"/>
    <w:rsid w:val="001366F8"/>
    <w:rsid w:val="00137963"/>
    <w:rsid w:val="00137B4D"/>
    <w:rsid w:val="00137FC8"/>
    <w:rsid w:val="00140921"/>
    <w:rsid w:val="001409BB"/>
    <w:rsid w:val="00140AF1"/>
    <w:rsid w:val="001411A8"/>
    <w:rsid w:val="001417FB"/>
    <w:rsid w:val="00141F2E"/>
    <w:rsid w:val="00142110"/>
    <w:rsid w:val="00142660"/>
    <w:rsid w:val="00142904"/>
    <w:rsid w:val="00142C1B"/>
    <w:rsid w:val="00142C4A"/>
    <w:rsid w:val="00142D85"/>
    <w:rsid w:val="00143553"/>
    <w:rsid w:val="001436B9"/>
    <w:rsid w:val="001436DD"/>
    <w:rsid w:val="00143A66"/>
    <w:rsid w:val="00143E5D"/>
    <w:rsid w:val="00144293"/>
    <w:rsid w:val="00144316"/>
    <w:rsid w:val="00144C95"/>
    <w:rsid w:val="00145791"/>
    <w:rsid w:val="00145875"/>
    <w:rsid w:val="00145D8E"/>
    <w:rsid w:val="001464B7"/>
    <w:rsid w:val="00147020"/>
    <w:rsid w:val="00147636"/>
    <w:rsid w:val="001502DF"/>
    <w:rsid w:val="00150431"/>
    <w:rsid w:val="00150F92"/>
    <w:rsid w:val="00151024"/>
    <w:rsid w:val="001517D4"/>
    <w:rsid w:val="00151929"/>
    <w:rsid w:val="00151B06"/>
    <w:rsid w:val="00151C2F"/>
    <w:rsid w:val="00152349"/>
    <w:rsid w:val="00152A4D"/>
    <w:rsid w:val="00152D52"/>
    <w:rsid w:val="00153387"/>
    <w:rsid w:val="001537D3"/>
    <w:rsid w:val="001548FF"/>
    <w:rsid w:val="00154B5F"/>
    <w:rsid w:val="00154DC3"/>
    <w:rsid w:val="00155574"/>
    <w:rsid w:val="00155606"/>
    <w:rsid w:val="0015564A"/>
    <w:rsid w:val="00155863"/>
    <w:rsid w:val="001560DF"/>
    <w:rsid w:val="0015647C"/>
    <w:rsid w:val="00156574"/>
    <w:rsid w:val="001568D6"/>
    <w:rsid w:val="00156918"/>
    <w:rsid w:val="001569BB"/>
    <w:rsid w:val="001573EF"/>
    <w:rsid w:val="00157406"/>
    <w:rsid w:val="0015797B"/>
    <w:rsid w:val="001601B3"/>
    <w:rsid w:val="00160A72"/>
    <w:rsid w:val="00160C5E"/>
    <w:rsid w:val="001615ED"/>
    <w:rsid w:val="00161F8A"/>
    <w:rsid w:val="00162038"/>
    <w:rsid w:val="0016255A"/>
    <w:rsid w:val="00162786"/>
    <w:rsid w:val="00162798"/>
    <w:rsid w:val="00162897"/>
    <w:rsid w:val="0016290F"/>
    <w:rsid w:val="00162A00"/>
    <w:rsid w:val="00162A46"/>
    <w:rsid w:val="001632A3"/>
    <w:rsid w:val="001632B0"/>
    <w:rsid w:val="00163564"/>
    <w:rsid w:val="00163586"/>
    <w:rsid w:val="00164088"/>
    <w:rsid w:val="00164476"/>
    <w:rsid w:val="001658B4"/>
    <w:rsid w:val="001659B9"/>
    <w:rsid w:val="001661E8"/>
    <w:rsid w:val="001662F0"/>
    <w:rsid w:val="00167312"/>
    <w:rsid w:val="001673BF"/>
    <w:rsid w:val="00167691"/>
    <w:rsid w:val="00167CD0"/>
    <w:rsid w:val="00167E56"/>
    <w:rsid w:val="001700BC"/>
    <w:rsid w:val="001704D2"/>
    <w:rsid w:val="0017059E"/>
    <w:rsid w:val="00170CD2"/>
    <w:rsid w:val="00170E8F"/>
    <w:rsid w:val="001719E6"/>
    <w:rsid w:val="00171B97"/>
    <w:rsid w:val="00172A9B"/>
    <w:rsid w:val="00173141"/>
    <w:rsid w:val="00173431"/>
    <w:rsid w:val="0017346B"/>
    <w:rsid w:val="001735D5"/>
    <w:rsid w:val="00173656"/>
    <w:rsid w:val="00173B7B"/>
    <w:rsid w:val="00173CDC"/>
    <w:rsid w:val="001742A8"/>
    <w:rsid w:val="00174313"/>
    <w:rsid w:val="001744AF"/>
    <w:rsid w:val="0017481C"/>
    <w:rsid w:val="00174F51"/>
    <w:rsid w:val="0017581C"/>
    <w:rsid w:val="0017586B"/>
    <w:rsid w:val="0017729E"/>
    <w:rsid w:val="00177367"/>
    <w:rsid w:val="001778F3"/>
    <w:rsid w:val="00177C03"/>
    <w:rsid w:val="00177C88"/>
    <w:rsid w:val="00177DC0"/>
    <w:rsid w:val="00177E0F"/>
    <w:rsid w:val="00177EEA"/>
    <w:rsid w:val="00177F44"/>
    <w:rsid w:val="00180F2E"/>
    <w:rsid w:val="00181B8D"/>
    <w:rsid w:val="00181C7E"/>
    <w:rsid w:val="0018253C"/>
    <w:rsid w:val="0018270A"/>
    <w:rsid w:val="00182BD9"/>
    <w:rsid w:val="00182DD7"/>
    <w:rsid w:val="00183589"/>
    <w:rsid w:val="001841BB"/>
    <w:rsid w:val="001848EA"/>
    <w:rsid w:val="00184D14"/>
    <w:rsid w:val="00184DA9"/>
    <w:rsid w:val="00185838"/>
    <w:rsid w:val="001858CB"/>
    <w:rsid w:val="00185B0B"/>
    <w:rsid w:val="00185C80"/>
    <w:rsid w:val="00186A55"/>
    <w:rsid w:val="00186B04"/>
    <w:rsid w:val="00186E42"/>
    <w:rsid w:val="0018712E"/>
    <w:rsid w:val="00187585"/>
    <w:rsid w:val="00187B31"/>
    <w:rsid w:val="001903E0"/>
    <w:rsid w:val="00190F94"/>
    <w:rsid w:val="00191420"/>
    <w:rsid w:val="00191DEF"/>
    <w:rsid w:val="00191E83"/>
    <w:rsid w:val="00192061"/>
    <w:rsid w:val="001923EF"/>
    <w:rsid w:val="00192ECD"/>
    <w:rsid w:val="00192F09"/>
    <w:rsid w:val="00193096"/>
    <w:rsid w:val="0019341C"/>
    <w:rsid w:val="0019369E"/>
    <w:rsid w:val="00193DCC"/>
    <w:rsid w:val="0019434F"/>
    <w:rsid w:val="001945D5"/>
    <w:rsid w:val="00194AA6"/>
    <w:rsid w:val="00194CCB"/>
    <w:rsid w:val="001951EE"/>
    <w:rsid w:val="001955CC"/>
    <w:rsid w:val="00195821"/>
    <w:rsid w:val="001958B8"/>
    <w:rsid w:val="001963F4"/>
    <w:rsid w:val="001967BB"/>
    <w:rsid w:val="00196DF0"/>
    <w:rsid w:val="00196FFC"/>
    <w:rsid w:val="001970DF"/>
    <w:rsid w:val="00197658"/>
    <w:rsid w:val="001976A9"/>
    <w:rsid w:val="00197E31"/>
    <w:rsid w:val="001A0132"/>
    <w:rsid w:val="001A03F2"/>
    <w:rsid w:val="001A080C"/>
    <w:rsid w:val="001A0A3A"/>
    <w:rsid w:val="001A14A0"/>
    <w:rsid w:val="001A1513"/>
    <w:rsid w:val="001A2733"/>
    <w:rsid w:val="001A3664"/>
    <w:rsid w:val="001A390D"/>
    <w:rsid w:val="001A39E4"/>
    <w:rsid w:val="001A448A"/>
    <w:rsid w:val="001A4749"/>
    <w:rsid w:val="001A4DC7"/>
    <w:rsid w:val="001A4FB2"/>
    <w:rsid w:val="001A51EF"/>
    <w:rsid w:val="001A5243"/>
    <w:rsid w:val="001A52FB"/>
    <w:rsid w:val="001A5D6A"/>
    <w:rsid w:val="001A60DA"/>
    <w:rsid w:val="001A7006"/>
    <w:rsid w:val="001A7736"/>
    <w:rsid w:val="001A7937"/>
    <w:rsid w:val="001A7B8A"/>
    <w:rsid w:val="001B036B"/>
    <w:rsid w:val="001B06CC"/>
    <w:rsid w:val="001B075B"/>
    <w:rsid w:val="001B0ADC"/>
    <w:rsid w:val="001B1099"/>
    <w:rsid w:val="001B1467"/>
    <w:rsid w:val="001B1823"/>
    <w:rsid w:val="001B1CFB"/>
    <w:rsid w:val="001B1D48"/>
    <w:rsid w:val="001B2396"/>
    <w:rsid w:val="001B24E0"/>
    <w:rsid w:val="001B26A5"/>
    <w:rsid w:val="001B3094"/>
    <w:rsid w:val="001B3646"/>
    <w:rsid w:val="001B3F71"/>
    <w:rsid w:val="001B44FE"/>
    <w:rsid w:val="001B46E1"/>
    <w:rsid w:val="001B4843"/>
    <w:rsid w:val="001B4C43"/>
    <w:rsid w:val="001B50B0"/>
    <w:rsid w:val="001B5E5E"/>
    <w:rsid w:val="001B6146"/>
    <w:rsid w:val="001B639E"/>
    <w:rsid w:val="001B6645"/>
    <w:rsid w:val="001B68BE"/>
    <w:rsid w:val="001B72A4"/>
    <w:rsid w:val="001B7546"/>
    <w:rsid w:val="001B79C7"/>
    <w:rsid w:val="001B7A52"/>
    <w:rsid w:val="001B7CF8"/>
    <w:rsid w:val="001B7E33"/>
    <w:rsid w:val="001C02D5"/>
    <w:rsid w:val="001C02FD"/>
    <w:rsid w:val="001C06DF"/>
    <w:rsid w:val="001C14F6"/>
    <w:rsid w:val="001C16B3"/>
    <w:rsid w:val="001C1ADE"/>
    <w:rsid w:val="001C1D40"/>
    <w:rsid w:val="001C28D7"/>
    <w:rsid w:val="001C2D10"/>
    <w:rsid w:val="001C2F9D"/>
    <w:rsid w:val="001C31E7"/>
    <w:rsid w:val="001C326E"/>
    <w:rsid w:val="001C3483"/>
    <w:rsid w:val="001C38A5"/>
    <w:rsid w:val="001C3A5A"/>
    <w:rsid w:val="001C3C3D"/>
    <w:rsid w:val="001C3DAF"/>
    <w:rsid w:val="001C426E"/>
    <w:rsid w:val="001C42E9"/>
    <w:rsid w:val="001C44B0"/>
    <w:rsid w:val="001C49A4"/>
    <w:rsid w:val="001C5146"/>
    <w:rsid w:val="001C5245"/>
    <w:rsid w:val="001C53E0"/>
    <w:rsid w:val="001C57F7"/>
    <w:rsid w:val="001C599E"/>
    <w:rsid w:val="001C5B73"/>
    <w:rsid w:val="001C64FF"/>
    <w:rsid w:val="001C67A2"/>
    <w:rsid w:val="001C7203"/>
    <w:rsid w:val="001C7399"/>
    <w:rsid w:val="001C754E"/>
    <w:rsid w:val="001C7851"/>
    <w:rsid w:val="001C78ED"/>
    <w:rsid w:val="001D06FF"/>
    <w:rsid w:val="001D07FB"/>
    <w:rsid w:val="001D09DB"/>
    <w:rsid w:val="001D0A73"/>
    <w:rsid w:val="001D138A"/>
    <w:rsid w:val="001D17B5"/>
    <w:rsid w:val="001D1B9A"/>
    <w:rsid w:val="001D20DB"/>
    <w:rsid w:val="001D2756"/>
    <w:rsid w:val="001D2888"/>
    <w:rsid w:val="001D292A"/>
    <w:rsid w:val="001D2CEA"/>
    <w:rsid w:val="001D2D10"/>
    <w:rsid w:val="001D3028"/>
    <w:rsid w:val="001D361F"/>
    <w:rsid w:val="001D3AEA"/>
    <w:rsid w:val="001D3FEC"/>
    <w:rsid w:val="001D45D9"/>
    <w:rsid w:val="001D48E7"/>
    <w:rsid w:val="001D588D"/>
    <w:rsid w:val="001D5BA0"/>
    <w:rsid w:val="001D5C78"/>
    <w:rsid w:val="001D5C99"/>
    <w:rsid w:val="001D5CB4"/>
    <w:rsid w:val="001D6846"/>
    <w:rsid w:val="001D69BF"/>
    <w:rsid w:val="001D6BBA"/>
    <w:rsid w:val="001D6F52"/>
    <w:rsid w:val="001D71BB"/>
    <w:rsid w:val="001D71F7"/>
    <w:rsid w:val="001D7671"/>
    <w:rsid w:val="001E0026"/>
    <w:rsid w:val="001E03D6"/>
    <w:rsid w:val="001E121D"/>
    <w:rsid w:val="001E15D7"/>
    <w:rsid w:val="001E1C81"/>
    <w:rsid w:val="001E265A"/>
    <w:rsid w:val="001E2A7E"/>
    <w:rsid w:val="001E2AF8"/>
    <w:rsid w:val="001E31D0"/>
    <w:rsid w:val="001E32B7"/>
    <w:rsid w:val="001E339F"/>
    <w:rsid w:val="001E3F1B"/>
    <w:rsid w:val="001E44D1"/>
    <w:rsid w:val="001E48D2"/>
    <w:rsid w:val="001E49B2"/>
    <w:rsid w:val="001E4B29"/>
    <w:rsid w:val="001E4E76"/>
    <w:rsid w:val="001E4FDF"/>
    <w:rsid w:val="001E5084"/>
    <w:rsid w:val="001E5D22"/>
    <w:rsid w:val="001E60BE"/>
    <w:rsid w:val="001E6192"/>
    <w:rsid w:val="001E6534"/>
    <w:rsid w:val="001E6CBE"/>
    <w:rsid w:val="001E7218"/>
    <w:rsid w:val="001E7C90"/>
    <w:rsid w:val="001E7DB5"/>
    <w:rsid w:val="001E7F85"/>
    <w:rsid w:val="001F03B7"/>
    <w:rsid w:val="001F04D3"/>
    <w:rsid w:val="001F0BC6"/>
    <w:rsid w:val="001F0BD6"/>
    <w:rsid w:val="001F0D01"/>
    <w:rsid w:val="001F140C"/>
    <w:rsid w:val="001F1976"/>
    <w:rsid w:val="001F1EE5"/>
    <w:rsid w:val="001F25FF"/>
    <w:rsid w:val="001F27CE"/>
    <w:rsid w:val="001F2906"/>
    <w:rsid w:val="001F2C09"/>
    <w:rsid w:val="001F2DAB"/>
    <w:rsid w:val="001F2E2D"/>
    <w:rsid w:val="001F2FFB"/>
    <w:rsid w:val="001F31DF"/>
    <w:rsid w:val="001F325D"/>
    <w:rsid w:val="001F33FC"/>
    <w:rsid w:val="001F34EF"/>
    <w:rsid w:val="001F43E1"/>
    <w:rsid w:val="001F4770"/>
    <w:rsid w:val="001F4A28"/>
    <w:rsid w:val="001F5805"/>
    <w:rsid w:val="001F5EDA"/>
    <w:rsid w:val="001F60A0"/>
    <w:rsid w:val="001F7027"/>
    <w:rsid w:val="001F7111"/>
    <w:rsid w:val="001F71E0"/>
    <w:rsid w:val="001F74CC"/>
    <w:rsid w:val="001F7911"/>
    <w:rsid w:val="001F7924"/>
    <w:rsid w:val="001F798C"/>
    <w:rsid w:val="001F7D66"/>
    <w:rsid w:val="0020046F"/>
    <w:rsid w:val="002004E4"/>
    <w:rsid w:val="00201555"/>
    <w:rsid w:val="00201BFE"/>
    <w:rsid w:val="0020212F"/>
    <w:rsid w:val="00202439"/>
    <w:rsid w:val="002029DF"/>
    <w:rsid w:val="00203089"/>
    <w:rsid w:val="00203320"/>
    <w:rsid w:val="00203633"/>
    <w:rsid w:val="0020441D"/>
    <w:rsid w:val="002045AC"/>
    <w:rsid w:val="002049C1"/>
    <w:rsid w:val="00204B17"/>
    <w:rsid w:val="00204F67"/>
    <w:rsid w:val="00205001"/>
    <w:rsid w:val="00205971"/>
    <w:rsid w:val="002070E8"/>
    <w:rsid w:val="00207A97"/>
    <w:rsid w:val="00207B0B"/>
    <w:rsid w:val="00207B8C"/>
    <w:rsid w:val="00207BA8"/>
    <w:rsid w:val="00210094"/>
    <w:rsid w:val="0021025D"/>
    <w:rsid w:val="00210609"/>
    <w:rsid w:val="00210636"/>
    <w:rsid w:val="00210920"/>
    <w:rsid w:val="002114AF"/>
    <w:rsid w:val="0021180A"/>
    <w:rsid w:val="0021195A"/>
    <w:rsid w:val="00211A9E"/>
    <w:rsid w:val="00212282"/>
    <w:rsid w:val="00212758"/>
    <w:rsid w:val="0021333C"/>
    <w:rsid w:val="00213A46"/>
    <w:rsid w:val="00213AB3"/>
    <w:rsid w:val="00213E69"/>
    <w:rsid w:val="002146AA"/>
    <w:rsid w:val="00214AF5"/>
    <w:rsid w:val="00214F1B"/>
    <w:rsid w:val="002152FB"/>
    <w:rsid w:val="00215344"/>
    <w:rsid w:val="0021630A"/>
    <w:rsid w:val="0021710D"/>
    <w:rsid w:val="00217231"/>
    <w:rsid w:val="00217261"/>
    <w:rsid w:val="00217AF4"/>
    <w:rsid w:val="00217DA1"/>
    <w:rsid w:val="00217FDE"/>
    <w:rsid w:val="00220108"/>
    <w:rsid w:val="00220110"/>
    <w:rsid w:val="00220182"/>
    <w:rsid w:val="00220382"/>
    <w:rsid w:val="002205ED"/>
    <w:rsid w:val="00220A63"/>
    <w:rsid w:val="002212F2"/>
    <w:rsid w:val="002213AE"/>
    <w:rsid w:val="00221649"/>
    <w:rsid w:val="00221BD5"/>
    <w:rsid w:val="00221F18"/>
    <w:rsid w:val="00222358"/>
    <w:rsid w:val="00222C3F"/>
    <w:rsid w:val="002235C1"/>
    <w:rsid w:val="002235DB"/>
    <w:rsid w:val="0022396E"/>
    <w:rsid w:val="00223BFB"/>
    <w:rsid w:val="00224014"/>
    <w:rsid w:val="00224364"/>
    <w:rsid w:val="00224516"/>
    <w:rsid w:val="00224BA7"/>
    <w:rsid w:val="00224FE0"/>
    <w:rsid w:val="002255AC"/>
    <w:rsid w:val="00225A91"/>
    <w:rsid w:val="00225ED6"/>
    <w:rsid w:val="00226878"/>
    <w:rsid w:val="00226BD9"/>
    <w:rsid w:val="00227076"/>
    <w:rsid w:val="002271E1"/>
    <w:rsid w:val="002274F0"/>
    <w:rsid w:val="002277F4"/>
    <w:rsid w:val="00227FBA"/>
    <w:rsid w:val="002300D2"/>
    <w:rsid w:val="002307E7"/>
    <w:rsid w:val="00230DED"/>
    <w:rsid w:val="00230FB1"/>
    <w:rsid w:val="00231870"/>
    <w:rsid w:val="00231C4C"/>
    <w:rsid w:val="00231D53"/>
    <w:rsid w:val="002320EB"/>
    <w:rsid w:val="00232206"/>
    <w:rsid w:val="0023230A"/>
    <w:rsid w:val="0023283B"/>
    <w:rsid w:val="00232ECF"/>
    <w:rsid w:val="00233384"/>
    <w:rsid w:val="00234456"/>
    <w:rsid w:val="00234AA8"/>
    <w:rsid w:val="00234EAF"/>
    <w:rsid w:val="00235126"/>
    <w:rsid w:val="0023512C"/>
    <w:rsid w:val="0023526D"/>
    <w:rsid w:val="00235342"/>
    <w:rsid w:val="002357CD"/>
    <w:rsid w:val="00235C89"/>
    <w:rsid w:val="00236172"/>
    <w:rsid w:val="00236873"/>
    <w:rsid w:val="002368CE"/>
    <w:rsid w:val="002372DC"/>
    <w:rsid w:val="0023764F"/>
    <w:rsid w:val="002403A3"/>
    <w:rsid w:val="0024049D"/>
    <w:rsid w:val="002408AB"/>
    <w:rsid w:val="00240D5D"/>
    <w:rsid w:val="00240E34"/>
    <w:rsid w:val="002410E1"/>
    <w:rsid w:val="002415D9"/>
    <w:rsid w:val="00241AB9"/>
    <w:rsid w:val="002422A7"/>
    <w:rsid w:val="00242BBA"/>
    <w:rsid w:val="00242FAE"/>
    <w:rsid w:val="00244333"/>
    <w:rsid w:val="002448DC"/>
    <w:rsid w:val="00244978"/>
    <w:rsid w:val="00244C95"/>
    <w:rsid w:val="0024587B"/>
    <w:rsid w:val="00245B71"/>
    <w:rsid w:val="00245ED9"/>
    <w:rsid w:val="00246127"/>
    <w:rsid w:val="00250D0C"/>
    <w:rsid w:val="00250D75"/>
    <w:rsid w:val="00250F8A"/>
    <w:rsid w:val="0025122F"/>
    <w:rsid w:val="0025127B"/>
    <w:rsid w:val="002519BD"/>
    <w:rsid w:val="00251A54"/>
    <w:rsid w:val="00252027"/>
    <w:rsid w:val="00252029"/>
    <w:rsid w:val="002525BB"/>
    <w:rsid w:val="002525F1"/>
    <w:rsid w:val="00252E9E"/>
    <w:rsid w:val="002530FF"/>
    <w:rsid w:val="00253121"/>
    <w:rsid w:val="002538D3"/>
    <w:rsid w:val="0025391B"/>
    <w:rsid w:val="00253A10"/>
    <w:rsid w:val="00254C1B"/>
    <w:rsid w:val="00255058"/>
    <w:rsid w:val="0025541C"/>
    <w:rsid w:val="00256709"/>
    <w:rsid w:val="00256FF4"/>
    <w:rsid w:val="00257148"/>
    <w:rsid w:val="00257620"/>
    <w:rsid w:val="00257868"/>
    <w:rsid w:val="00257A11"/>
    <w:rsid w:val="00257A75"/>
    <w:rsid w:val="00257F3D"/>
    <w:rsid w:val="00260001"/>
    <w:rsid w:val="00260396"/>
    <w:rsid w:val="002606BB"/>
    <w:rsid w:val="00260BE6"/>
    <w:rsid w:val="00260FA1"/>
    <w:rsid w:val="00260FA9"/>
    <w:rsid w:val="00262524"/>
    <w:rsid w:val="00262767"/>
    <w:rsid w:val="00262C48"/>
    <w:rsid w:val="00263397"/>
    <w:rsid w:val="0026346A"/>
    <w:rsid w:val="002638E8"/>
    <w:rsid w:val="00264CC7"/>
    <w:rsid w:val="00264EF8"/>
    <w:rsid w:val="00264F9B"/>
    <w:rsid w:val="002652A6"/>
    <w:rsid w:val="0026559F"/>
    <w:rsid w:val="00265943"/>
    <w:rsid w:val="002669DF"/>
    <w:rsid w:val="00266A2A"/>
    <w:rsid w:val="00266B87"/>
    <w:rsid w:val="002670E9"/>
    <w:rsid w:val="002672CF"/>
    <w:rsid w:val="00267395"/>
    <w:rsid w:val="002676BA"/>
    <w:rsid w:val="00267755"/>
    <w:rsid w:val="00267E5C"/>
    <w:rsid w:val="00270193"/>
    <w:rsid w:val="002701BD"/>
    <w:rsid w:val="00270363"/>
    <w:rsid w:val="0027041B"/>
    <w:rsid w:val="002705E5"/>
    <w:rsid w:val="00270EC1"/>
    <w:rsid w:val="00271058"/>
    <w:rsid w:val="0027118C"/>
    <w:rsid w:val="002711AB"/>
    <w:rsid w:val="00271AD6"/>
    <w:rsid w:val="00272C40"/>
    <w:rsid w:val="00272D00"/>
    <w:rsid w:val="00272D1B"/>
    <w:rsid w:val="002734D8"/>
    <w:rsid w:val="00273554"/>
    <w:rsid w:val="00273600"/>
    <w:rsid w:val="00273BB8"/>
    <w:rsid w:val="00273CCC"/>
    <w:rsid w:val="00273D47"/>
    <w:rsid w:val="002742A1"/>
    <w:rsid w:val="00274389"/>
    <w:rsid w:val="00274AED"/>
    <w:rsid w:val="00275D93"/>
    <w:rsid w:val="00275EAB"/>
    <w:rsid w:val="002767CF"/>
    <w:rsid w:val="00276BF4"/>
    <w:rsid w:val="00276ECD"/>
    <w:rsid w:val="002806F0"/>
    <w:rsid w:val="0028082B"/>
    <w:rsid w:val="002809FB"/>
    <w:rsid w:val="00280D34"/>
    <w:rsid w:val="00281261"/>
    <w:rsid w:val="0028150B"/>
    <w:rsid w:val="002816A2"/>
    <w:rsid w:val="0028232A"/>
    <w:rsid w:val="002823A6"/>
    <w:rsid w:val="00282B61"/>
    <w:rsid w:val="00283EC8"/>
    <w:rsid w:val="00284429"/>
    <w:rsid w:val="002848FB"/>
    <w:rsid w:val="00284D6C"/>
    <w:rsid w:val="002850D9"/>
    <w:rsid w:val="00285235"/>
    <w:rsid w:val="00285402"/>
    <w:rsid w:val="00285CD7"/>
    <w:rsid w:val="00285F36"/>
    <w:rsid w:val="00285F58"/>
    <w:rsid w:val="00286571"/>
    <w:rsid w:val="00286BB3"/>
    <w:rsid w:val="00286F2D"/>
    <w:rsid w:val="00287144"/>
    <w:rsid w:val="0028750E"/>
    <w:rsid w:val="00287703"/>
    <w:rsid w:val="002877A5"/>
    <w:rsid w:val="002906F4"/>
    <w:rsid w:val="002907EF"/>
    <w:rsid w:val="002907FB"/>
    <w:rsid w:val="002909DA"/>
    <w:rsid w:val="00290A4D"/>
    <w:rsid w:val="00290FED"/>
    <w:rsid w:val="002914F6"/>
    <w:rsid w:val="00291F6B"/>
    <w:rsid w:val="00292085"/>
    <w:rsid w:val="002929FD"/>
    <w:rsid w:val="00292A73"/>
    <w:rsid w:val="00292C62"/>
    <w:rsid w:val="00292D01"/>
    <w:rsid w:val="0029322E"/>
    <w:rsid w:val="002934AE"/>
    <w:rsid w:val="00293AE2"/>
    <w:rsid w:val="00293B30"/>
    <w:rsid w:val="00294152"/>
    <w:rsid w:val="00294337"/>
    <w:rsid w:val="002943A1"/>
    <w:rsid w:val="002943AE"/>
    <w:rsid w:val="00294C65"/>
    <w:rsid w:val="00294EC0"/>
    <w:rsid w:val="002954CA"/>
    <w:rsid w:val="002958D5"/>
    <w:rsid w:val="00295D89"/>
    <w:rsid w:val="00296166"/>
    <w:rsid w:val="00296591"/>
    <w:rsid w:val="00296734"/>
    <w:rsid w:val="002972A1"/>
    <w:rsid w:val="00297FA7"/>
    <w:rsid w:val="002A0355"/>
    <w:rsid w:val="002A0B03"/>
    <w:rsid w:val="002A0E53"/>
    <w:rsid w:val="002A0E73"/>
    <w:rsid w:val="002A1341"/>
    <w:rsid w:val="002A1455"/>
    <w:rsid w:val="002A1631"/>
    <w:rsid w:val="002A1693"/>
    <w:rsid w:val="002A1D56"/>
    <w:rsid w:val="002A2135"/>
    <w:rsid w:val="002A33A4"/>
    <w:rsid w:val="002A3CA0"/>
    <w:rsid w:val="002A3FCD"/>
    <w:rsid w:val="002A49D8"/>
    <w:rsid w:val="002A4D50"/>
    <w:rsid w:val="002A515F"/>
    <w:rsid w:val="002A53D9"/>
    <w:rsid w:val="002A58D8"/>
    <w:rsid w:val="002A5A19"/>
    <w:rsid w:val="002A62D0"/>
    <w:rsid w:val="002A6868"/>
    <w:rsid w:val="002A6A5C"/>
    <w:rsid w:val="002A6F98"/>
    <w:rsid w:val="002A780B"/>
    <w:rsid w:val="002A7867"/>
    <w:rsid w:val="002B0666"/>
    <w:rsid w:val="002B087E"/>
    <w:rsid w:val="002B0A48"/>
    <w:rsid w:val="002B0E53"/>
    <w:rsid w:val="002B1770"/>
    <w:rsid w:val="002B17C0"/>
    <w:rsid w:val="002B275E"/>
    <w:rsid w:val="002B2C9E"/>
    <w:rsid w:val="002B317D"/>
    <w:rsid w:val="002B3371"/>
    <w:rsid w:val="002B36E5"/>
    <w:rsid w:val="002B388D"/>
    <w:rsid w:val="002B3C0E"/>
    <w:rsid w:val="002B3E34"/>
    <w:rsid w:val="002B4042"/>
    <w:rsid w:val="002B4443"/>
    <w:rsid w:val="002B4840"/>
    <w:rsid w:val="002B48D2"/>
    <w:rsid w:val="002B4A17"/>
    <w:rsid w:val="002B4ABD"/>
    <w:rsid w:val="002B4DBF"/>
    <w:rsid w:val="002B4E4F"/>
    <w:rsid w:val="002B5367"/>
    <w:rsid w:val="002B5915"/>
    <w:rsid w:val="002B5B6E"/>
    <w:rsid w:val="002B683E"/>
    <w:rsid w:val="002B6A6F"/>
    <w:rsid w:val="002B70CA"/>
    <w:rsid w:val="002B71A0"/>
    <w:rsid w:val="002B777E"/>
    <w:rsid w:val="002B77C2"/>
    <w:rsid w:val="002B78D6"/>
    <w:rsid w:val="002B7CEB"/>
    <w:rsid w:val="002B7EB5"/>
    <w:rsid w:val="002B7F0E"/>
    <w:rsid w:val="002B7F75"/>
    <w:rsid w:val="002C07B6"/>
    <w:rsid w:val="002C1224"/>
    <w:rsid w:val="002C1455"/>
    <w:rsid w:val="002C1AAA"/>
    <w:rsid w:val="002C1E44"/>
    <w:rsid w:val="002C1F29"/>
    <w:rsid w:val="002C1FCC"/>
    <w:rsid w:val="002C232F"/>
    <w:rsid w:val="002C36EC"/>
    <w:rsid w:val="002C3A26"/>
    <w:rsid w:val="002C3AB9"/>
    <w:rsid w:val="002C3B96"/>
    <w:rsid w:val="002C3DF2"/>
    <w:rsid w:val="002C3E4C"/>
    <w:rsid w:val="002C4353"/>
    <w:rsid w:val="002C4356"/>
    <w:rsid w:val="002C5161"/>
    <w:rsid w:val="002C53D5"/>
    <w:rsid w:val="002C54DD"/>
    <w:rsid w:val="002C56F7"/>
    <w:rsid w:val="002C57C8"/>
    <w:rsid w:val="002C5CDB"/>
    <w:rsid w:val="002C5D8A"/>
    <w:rsid w:val="002C5E0D"/>
    <w:rsid w:val="002C5FB5"/>
    <w:rsid w:val="002C6104"/>
    <w:rsid w:val="002C61B7"/>
    <w:rsid w:val="002C6D14"/>
    <w:rsid w:val="002C6FB9"/>
    <w:rsid w:val="002C72E5"/>
    <w:rsid w:val="002C7310"/>
    <w:rsid w:val="002C7C8C"/>
    <w:rsid w:val="002D0008"/>
    <w:rsid w:val="002D0860"/>
    <w:rsid w:val="002D0BB3"/>
    <w:rsid w:val="002D0D21"/>
    <w:rsid w:val="002D0E55"/>
    <w:rsid w:val="002D1C69"/>
    <w:rsid w:val="002D1D70"/>
    <w:rsid w:val="002D2258"/>
    <w:rsid w:val="002D2348"/>
    <w:rsid w:val="002D23A4"/>
    <w:rsid w:val="002D29C2"/>
    <w:rsid w:val="002D2A29"/>
    <w:rsid w:val="002D2A4D"/>
    <w:rsid w:val="002D365D"/>
    <w:rsid w:val="002D3A00"/>
    <w:rsid w:val="002D3B25"/>
    <w:rsid w:val="002D3C11"/>
    <w:rsid w:val="002D43D6"/>
    <w:rsid w:val="002D4641"/>
    <w:rsid w:val="002D4925"/>
    <w:rsid w:val="002D4F12"/>
    <w:rsid w:val="002D5791"/>
    <w:rsid w:val="002D5857"/>
    <w:rsid w:val="002D5FA6"/>
    <w:rsid w:val="002D62F9"/>
    <w:rsid w:val="002D6538"/>
    <w:rsid w:val="002D6634"/>
    <w:rsid w:val="002D6662"/>
    <w:rsid w:val="002D6C4A"/>
    <w:rsid w:val="002D72AC"/>
    <w:rsid w:val="002D743D"/>
    <w:rsid w:val="002D7496"/>
    <w:rsid w:val="002D757E"/>
    <w:rsid w:val="002D7AE2"/>
    <w:rsid w:val="002D7F82"/>
    <w:rsid w:val="002E0158"/>
    <w:rsid w:val="002E04DB"/>
    <w:rsid w:val="002E068A"/>
    <w:rsid w:val="002E0812"/>
    <w:rsid w:val="002E08CB"/>
    <w:rsid w:val="002E094E"/>
    <w:rsid w:val="002E0ABE"/>
    <w:rsid w:val="002E1850"/>
    <w:rsid w:val="002E1E2B"/>
    <w:rsid w:val="002E1EF1"/>
    <w:rsid w:val="002E2754"/>
    <w:rsid w:val="002E2B33"/>
    <w:rsid w:val="002E2DB3"/>
    <w:rsid w:val="002E2DF3"/>
    <w:rsid w:val="002E2E82"/>
    <w:rsid w:val="002E2F3E"/>
    <w:rsid w:val="002E3080"/>
    <w:rsid w:val="002E30BC"/>
    <w:rsid w:val="002E3503"/>
    <w:rsid w:val="002E35F8"/>
    <w:rsid w:val="002E440D"/>
    <w:rsid w:val="002E44E5"/>
    <w:rsid w:val="002E4CE0"/>
    <w:rsid w:val="002E53D4"/>
    <w:rsid w:val="002E6295"/>
    <w:rsid w:val="002E69B9"/>
    <w:rsid w:val="002E6B33"/>
    <w:rsid w:val="002E72C2"/>
    <w:rsid w:val="002E7571"/>
    <w:rsid w:val="002E7C63"/>
    <w:rsid w:val="002F0625"/>
    <w:rsid w:val="002F1620"/>
    <w:rsid w:val="002F1B49"/>
    <w:rsid w:val="002F2509"/>
    <w:rsid w:val="002F250F"/>
    <w:rsid w:val="002F2526"/>
    <w:rsid w:val="002F25DC"/>
    <w:rsid w:val="002F2613"/>
    <w:rsid w:val="002F32A7"/>
    <w:rsid w:val="002F35E4"/>
    <w:rsid w:val="002F45D6"/>
    <w:rsid w:val="002F4A9F"/>
    <w:rsid w:val="002F516E"/>
    <w:rsid w:val="002F51CA"/>
    <w:rsid w:val="002F56D4"/>
    <w:rsid w:val="002F5C7E"/>
    <w:rsid w:val="002F5CB9"/>
    <w:rsid w:val="002F5F43"/>
    <w:rsid w:val="002F5FE1"/>
    <w:rsid w:val="002F6470"/>
    <w:rsid w:val="002F6587"/>
    <w:rsid w:val="002F6588"/>
    <w:rsid w:val="002F6936"/>
    <w:rsid w:val="002F6C9F"/>
    <w:rsid w:val="002F743F"/>
    <w:rsid w:val="002F7C48"/>
    <w:rsid w:val="003004B9"/>
    <w:rsid w:val="00300790"/>
    <w:rsid w:val="00300B13"/>
    <w:rsid w:val="00300DB9"/>
    <w:rsid w:val="00300E48"/>
    <w:rsid w:val="00300E6D"/>
    <w:rsid w:val="00301250"/>
    <w:rsid w:val="00301359"/>
    <w:rsid w:val="00301538"/>
    <w:rsid w:val="00301E1D"/>
    <w:rsid w:val="00302832"/>
    <w:rsid w:val="0030340B"/>
    <w:rsid w:val="00303445"/>
    <w:rsid w:val="00303724"/>
    <w:rsid w:val="00303962"/>
    <w:rsid w:val="00303D56"/>
    <w:rsid w:val="00304546"/>
    <w:rsid w:val="00305109"/>
    <w:rsid w:val="003053CB"/>
    <w:rsid w:val="003054ED"/>
    <w:rsid w:val="003059D1"/>
    <w:rsid w:val="00305D33"/>
    <w:rsid w:val="00306537"/>
    <w:rsid w:val="00306618"/>
    <w:rsid w:val="0030669A"/>
    <w:rsid w:val="00306A1F"/>
    <w:rsid w:val="0030734A"/>
    <w:rsid w:val="003075FD"/>
    <w:rsid w:val="003076DC"/>
    <w:rsid w:val="00307B54"/>
    <w:rsid w:val="00310081"/>
    <w:rsid w:val="0031072E"/>
    <w:rsid w:val="00310737"/>
    <w:rsid w:val="00310D3D"/>
    <w:rsid w:val="003119AC"/>
    <w:rsid w:val="00312439"/>
    <w:rsid w:val="0031278D"/>
    <w:rsid w:val="003132AB"/>
    <w:rsid w:val="0031365F"/>
    <w:rsid w:val="00313C5A"/>
    <w:rsid w:val="0031426E"/>
    <w:rsid w:val="00314765"/>
    <w:rsid w:val="00314C2B"/>
    <w:rsid w:val="00314EF4"/>
    <w:rsid w:val="003155FE"/>
    <w:rsid w:val="00315639"/>
    <w:rsid w:val="0031572E"/>
    <w:rsid w:val="00315814"/>
    <w:rsid w:val="00315F1B"/>
    <w:rsid w:val="00315F74"/>
    <w:rsid w:val="003164A6"/>
    <w:rsid w:val="003166E8"/>
    <w:rsid w:val="00316A2E"/>
    <w:rsid w:val="00316C1C"/>
    <w:rsid w:val="00317020"/>
    <w:rsid w:val="00317269"/>
    <w:rsid w:val="0031742B"/>
    <w:rsid w:val="00317C5A"/>
    <w:rsid w:val="00317EE2"/>
    <w:rsid w:val="00317F1D"/>
    <w:rsid w:val="003203F8"/>
    <w:rsid w:val="003204E1"/>
    <w:rsid w:val="003207D1"/>
    <w:rsid w:val="00320AB5"/>
    <w:rsid w:val="0032100D"/>
    <w:rsid w:val="0032112B"/>
    <w:rsid w:val="003218B5"/>
    <w:rsid w:val="003218DE"/>
    <w:rsid w:val="003221B1"/>
    <w:rsid w:val="0032267C"/>
    <w:rsid w:val="00322E89"/>
    <w:rsid w:val="00323536"/>
    <w:rsid w:val="00323B2D"/>
    <w:rsid w:val="00323D67"/>
    <w:rsid w:val="003243FE"/>
    <w:rsid w:val="00324575"/>
    <w:rsid w:val="00324ACA"/>
    <w:rsid w:val="00324F3D"/>
    <w:rsid w:val="00324F3E"/>
    <w:rsid w:val="00325052"/>
    <w:rsid w:val="00325496"/>
    <w:rsid w:val="003258B6"/>
    <w:rsid w:val="003259E1"/>
    <w:rsid w:val="00325E13"/>
    <w:rsid w:val="003267F5"/>
    <w:rsid w:val="00326B4B"/>
    <w:rsid w:val="00326F42"/>
    <w:rsid w:val="0032700C"/>
    <w:rsid w:val="00327036"/>
    <w:rsid w:val="003271CF"/>
    <w:rsid w:val="00327478"/>
    <w:rsid w:val="0032754B"/>
    <w:rsid w:val="00327926"/>
    <w:rsid w:val="00327A25"/>
    <w:rsid w:val="00327E1E"/>
    <w:rsid w:val="003304AF"/>
    <w:rsid w:val="00330DDA"/>
    <w:rsid w:val="003310B3"/>
    <w:rsid w:val="0033188D"/>
    <w:rsid w:val="0033194A"/>
    <w:rsid w:val="003319AD"/>
    <w:rsid w:val="00331EB4"/>
    <w:rsid w:val="00331F04"/>
    <w:rsid w:val="00331FFD"/>
    <w:rsid w:val="003326D8"/>
    <w:rsid w:val="0033432B"/>
    <w:rsid w:val="00334521"/>
    <w:rsid w:val="00334765"/>
    <w:rsid w:val="00334799"/>
    <w:rsid w:val="00334FFA"/>
    <w:rsid w:val="00336763"/>
    <w:rsid w:val="003367A4"/>
    <w:rsid w:val="00336AE4"/>
    <w:rsid w:val="00336C56"/>
    <w:rsid w:val="0033743F"/>
    <w:rsid w:val="003375D3"/>
    <w:rsid w:val="003379B6"/>
    <w:rsid w:val="003379CB"/>
    <w:rsid w:val="003402F0"/>
    <w:rsid w:val="00340CA9"/>
    <w:rsid w:val="00341BC2"/>
    <w:rsid w:val="00342E28"/>
    <w:rsid w:val="00343130"/>
    <w:rsid w:val="0034359B"/>
    <w:rsid w:val="00343604"/>
    <w:rsid w:val="00343734"/>
    <w:rsid w:val="00343C52"/>
    <w:rsid w:val="00343F28"/>
    <w:rsid w:val="003448DD"/>
    <w:rsid w:val="003449FD"/>
    <w:rsid w:val="00344A12"/>
    <w:rsid w:val="00344E86"/>
    <w:rsid w:val="00345066"/>
    <w:rsid w:val="003456E7"/>
    <w:rsid w:val="00345BD9"/>
    <w:rsid w:val="00345FA6"/>
    <w:rsid w:val="003460DB"/>
    <w:rsid w:val="00346102"/>
    <w:rsid w:val="003462B8"/>
    <w:rsid w:val="00347B3F"/>
    <w:rsid w:val="00347D79"/>
    <w:rsid w:val="00347DD6"/>
    <w:rsid w:val="00350A8F"/>
    <w:rsid w:val="00350E76"/>
    <w:rsid w:val="00350F0C"/>
    <w:rsid w:val="00350FB9"/>
    <w:rsid w:val="00351217"/>
    <w:rsid w:val="0035134C"/>
    <w:rsid w:val="00351B0D"/>
    <w:rsid w:val="00351D75"/>
    <w:rsid w:val="0035234B"/>
    <w:rsid w:val="003534B4"/>
    <w:rsid w:val="00353753"/>
    <w:rsid w:val="003537D4"/>
    <w:rsid w:val="00353EDF"/>
    <w:rsid w:val="00354A2D"/>
    <w:rsid w:val="00354F95"/>
    <w:rsid w:val="00355012"/>
    <w:rsid w:val="0035524C"/>
    <w:rsid w:val="003552FD"/>
    <w:rsid w:val="003554C2"/>
    <w:rsid w:val="00355658"/>
    <w:rsid w:val="003558FA"/>
    <w:rsid w:val="00355F08"/>
    <w:rsid w:val="003560E9"/>
    <w:rsid w:val="0035656E"/>
    <w:rsid w:val="003569F8"/>
    <w:rsid w:val="00356A28"/>
    <w:rsid w:val="00356DA7"/>
    <w:rsid w:val="00357695"/>
    <w:rsid w:val="00357C77"/>
    <w:rsid w:val="00357F2C"/>
    <w:rsid w:val="00360098"/>
    <w:rsid w:val="00360881"/>
    <w:rsid w:val="0036147F"/>
    <w:rsid w:val="003622CC"/>
    <w:rsid w:val="00362402"/>
    <w:rsid w:val="00362718"/>
    <w:rsid w:val="0036284F"/>
    <w:rsid w:val="003628C1"/>
    <w:rsid w:val="003632A4"/>
    <w:rsid w:val="0036338E"/>
    <w:rsid w:val="0036343F"/>
    <w:rsid w:val="0036344E"/>
    <w:rsid w:val="003639C2"/>
    <w:rsid w:val="00363E51"/>
    <w:rsid w:val="00363FB3"/>
    <w:rsid w:val="0036488A"/>
    <w:rsid w:val="0036504B"/>
    <w:rsid w:val="0036514C"/>
    <w:rsid w:val="0036520D"/>
    <w:rsid w:val="00365324"/>
    <w:rsid w:val="0036591D"/>
    <w:rsid w:val="00365A2E"/>
    <w:rsid w:val="00366873"/>
    <w:rsid w:val="003673B3"/>
    <w:rsid w:val="00367636"/>
    <w:rsid w:val="0037017A"/>
    <w:rsid w:val="00370758"/>
    <w:rsid w:val="00370B6A"/>
    <w:rsid w:val="00370BA3"/>
    <w:rsid w:val="00370D9D"/>
    <w:rsid w:val="00371141"/>
    <w:rsid w:val="00371688"/>
    <w:rsid w:val="00371819"/>
    <w:rsid w:val="0037208F"/>
    <w:rsid w:val="0037290B"/>
    <w:rsid w:val="00372967"/>
    <w:rsid w:val="00372E1B"/>
    <w:rsid w:val="003736A6"/>
    <w:rsid w:val="003739ED"/>
    <w:rsid w:val="00373F80"/>
    <w:rsid w:val="003741D6"/>
    <w:rsid w:val="00374290"/>
    <w:rsid w:val="00374576"/>
    <w:rsid w:val="003745B6"/>
    <w:rsid w:val="00374DC1"/>
    <w:rsid w:val="00374E45"/>
    <w:rsid w:val="00375359"/>
    <w:rsid w:val="003759EB"/>
    <w:rsid w:val="00376120"/>
    <w:rsid w:val="00376131"/>
    <w:rsid w:val="00376DA0"/>
    <w:rsid w:val="0037715D"/>
    <w:rsid w:val="0037719F"/>
    <w:rsid w:val="003772AB"/>
    <w:rsid w:val="00377494"/>
    <w:rsid w:val="00377B5A"/>
    <w:rsid w:val="00380941"/>
    <w:rsid w:val="00380C6E"/>
    <w:rsid w:val="00380D93"/>
    <w:rsid w:val="0038134B"/>
    <w:rsid w:val="003817DC"/>
    <w:rsid w:val="0038212E"/>
    <w:rsid w:val="00382648"/>
    <w:rsid w:val="00382852"/>
    <w:rsid w:val="00383366"/>
    <w:rsid w:val="0038336C"/>
    <w:rsid w:val="003834B1"/>
    <w:rsid w:val="003835D1"/>
    <w:rsid w:val="00383961"/>
    <w:rsid w:val="00383F92"/>
    <w:rsid w:val="00384348"/>
    <w:rsid w:val="0038460C"/>
    <w:rsid w:val="003849B4"/>
    <w:rsid w:val="00384DB3"/>
    <w:rsid w:val="0038524B"/>
    <w:rsid w:val="0038571E"/>
    <w:rsid w:val="00385CCD"/>
    <w:rsid w:val="00385FD0"/>
    <w:rsid w:val="00386C53"/>
    <w:rsid w:val="00387217"/>
    <w:rsid w:val="00387319"/>
    <w:rsid w:val="00390F77"/>
    <w:rsid w:val="00391478"/>
    <w:rsid w:val="00391785"/>
    <w:rsid w:val="00391F58"/>
    <w:rsid w:val="003928F6"/>
    <w:rsid w:val="00392BCB"/>
    <w:rsid w:val="00392F93"/>
    <w:rsid w:val="00393BC1"/>
    <w:rsid w:val="00393E11"/>
    <w:rsid w:val="00394226"/>
    <w:rsid w:val="00395327"/>
    <w:rsid w:val="0039571C"/>
    <w:rsid w:val="00395B21"/>
    <w:rsid w:val="00395CDC"/>
    <w:rsid w:val="003961A9"/>
    <w:rsid w:val="00396354"/>
    <w:rsid w:val="0039637F"/>
    <w:rsid w:val="00396590"/>
    <w:rsid w:val="00396631"/>
    <w:rsid w:val="00396BC3"/>
    <w:rsid w:val="00396C7F"/>
    <w:rsid w:val="00397407"/>
    <w:rsid w:val="00397491"/>
    <w:rsid w:val="00397E11"/>
    <w:rsid w:val="00397F86"/>
    <w:rsid w:val="003A0397"/>
    <w:rsid w:val="003A06FD"/>
    <w:rsid w:val="003A07C6"/>
    <w:rsid w:val="003A0CBE"/>
    <w:rsid w:val="003A1340"/>
    <w:rsid w:val="003A1BB6"/>
    <w:rsid w:val="003A1D78"/>
    <w:rsid w:val="003A1EB9"/>
    <w:rsid w:val="003A1F9C"/>
    <w:rsid w:val="003A2514"/>
    <w:rsid w:val="003A2602"/>
    <w:rsid w:val="003A2EB5"/>
    <w:rsid w:val="003A33EF"/>
    <w:rsid w:val="003A416E"/>
    <w:rsid w:val="003A4C38"/>
    <w:rsid w:val="003A4C63"/>
    <w:rsid w:val="003A4FF5"/>
    <w:rsid w:val="003A51E1"/>
    <w:rsid w:val="003A52C7"/>
    <w:rsid w:val="003A5470"/>
    <w:rsid w:val="003A5522"/>
    <w:rsid w:val="003A5A5C"/>
    <w:rsid w:val="003A5D8D"/>
    <w:rsid w:val="003A5E24"/>
    <w:rsid w:val="003A60AB"/>
    <w:rsid w:val="003A638E"/>
    <w:rsid w:val="003A68EE"/>
    <w:rsid w:val="003A73C1"/>
    <w:rsid w:val="003A7AA3"/>
    <w:rsid w:val="003A7CB1"/>
    <w:rsid w:val="003A7E6B"/>
    <w:rsid w:val="003B03C4"/>
    <w:rsid w:val="003B05F1"/>
    <w:rsid w:val="003B0656"/>
    <w:rsid w:val="003B0938"/>
    <w:rsid w:val="003B0BAC"/>
    <w:rsid w:val="003B0D04"/>
    <w:rsid w:val="003B0DE2"/>
    <w:rsid w:val="003B15E3"/>
    <w:rsid w:val="003B1A10"/>
    <w:rsid w:val="003B1BC1"/>
    <w:rsid w:val="003B1F03"/>
    <w:rsid w:val="003B1F8F"/>
    <w:rsid w:val="003B2ACE"/>
    <w:rsid w:val="003B2CDE"/>
    <w:rsid w:val="003B3A69"/>
    <w:rsid w:val="003B3C72"/>
    <w:rsid w:val="003B3E7E"/>
    <w:rsid w:val="003B3FE8"/>
    <w:rsid w:val="003B4220"/>
    <w:rsid w:val="003B488F"/>
    <w:rsid w:val="003B4DA4"/>
    <w:rsid w:val="003B4E27"/>
    <w:rsid w:val="003B52B3"/>
    <w:rsid w:val="003B5930"/>
    <w:rsid w:val="003B6082"/>
    <w:rsid w:val="003B6F25"/>
    <w:rsid w:val="003B714F"/>
    <w:rsid w:val="003B76E6"/>
    <w:rsid w:val="003B7A32"/>
    <w:rsid w:val="003B7BC3"/>
    <w:rsid w:val="003B7C8B"/>
    <w:rsid w:val="003B7CE3"/>
    <w:rsid w:val="003B7E7C"/>
    <w:rsid w:val="003B7FA4"/>
    <w:rsid w:val="003C009D"/>
    <w:rsid w:val="003C0100"/>
    <w:rsid w:val="003C0C57"/>
    <w:rsid w:val="003C0FFA"/>
    <w:rsid w:val="003C1422"/>
    <w:rsid w:val="003C21C0"/>
    <w:rsid w:val="003C249D"/>
    <w:rsid w:val="003C2899"/>
    <w:rsid w:val="003C35CF"/>
    <w:rsid w:val="003C38C9"/>
    <w:rsid w:val="003C39DD"/>
    <w:rsid w:val="003C3A20"/>
    <w:rsid w:val="003C3F08"/>
    <w:rsid w:val="003C400E"/>
    <w:rsid w:val="003C4A25"/>
    <w:rsid w:val="003C4A5F"/>
    <w:rsid w:val="003C4D14"/>
    <w:rsid w:val="003C51ED"/>
    <w:rsid w:val="003C54E3"/>
    <w:rsid w:val="003C620C"/>
    <w:rsid w:val="003C64A2"/>
    <w:rsid w:val="003C6774"/>
    <w:rsid w:val="003C67A5"/>
    <w:rsid w:val="003C6892"/>
    <w:rsid w:val="003C6B3A"/>
    <w:rsid w:val="003C6D74"/>
    <w:rsid w:val="003C72B3"/>
    <w:rsid w:val="003C7696"/>
    <w:rsid w:val="003D0202"/>
    <w:rsid w:val="003D056D"/>
    <w:rsid w:val="003D168B"/>
    <w:rsid w:val="003D1B69"/>
    <w:rsid w:val="003D1C00"/>
    <w:rsid w:val="003D2185"/>
    <w:rsid w:val="003D3003"/>
    <w:rsid w:val="003D3FA5"/>
    <w:rsid w:val="003D4957"/>
    <w:rsid w:val="003D4B4A"/>
    <w:rsid w:val="003D4C18"/>
    <w:rsid w:val="003D4C1E"/>
    <w:rsid w:val="003D4D13"/>
    <w:rsid w:val="003D50EC"/>
    <w:rsid w:val="003D5D95"/>
    <w:rsid w:val="003D6119"/>
    <w:rsid w:val="003D6404"/>
    <w:rsid w:val="003D656E"/>
    <w:rsid w:val="003D679A"/>
    <w:rsid w:val="003D6899"/>
    <w:rsid w:val="003D6CD8"/>
    <w:rsid w:val="003D7329"/>
    <w:rsid w:val="003D73B1"/>
    <w:rsid w:val="003D7DFB"/>
    <w:rsid w:val="003E037A"/>
    <w:rsid w:val="003E03F3"/>
    <w:rsid w:val="003E05EC"/>
    <w:rsid w:val="003E0898"/>
    <w:rsid w:val="003E08D8"/>
    <w:rsid w:val="003E0B98"/>
    <w:rsid w:val="003E0BBE"/>
    <w:rsid w:val="003E0D79"/>
    <w:rsid w:val="003E193B"/>
    <w:rsid w:val="003E1A42"/>
    <w:rsid w:val="003E1B19"/>
    <w:rsid w:val="003E22C3"/>
    <w:rsid w:val="003E2570"/>
    <w:rsid w:val="003E2841"/>
    <w:rsid w:val="003E2A93"/>
    <w:rsid w:val="003E2AED"/>
    <w:rsid w:val="003E2C23"/>
    <w:rsid w:val="003E3504"/>
    <w:rsid w:val="003E384B"/>
    <w:rsid w:val="003E411F"/>
    <w:rsid w:val="003E5235"/>
    <w:rsid w:val="003E5314"/>
    <w:rsid w:val="003E56D6"/>
    <w:rsid w:val="003E5768"/>
    <w:rsid w:val="003E5E56"/>
    <w:rsid w:val="003E6C5D"/>
    <w:rsid w:val="003E6CAF"/>
    <w:rsid w:val="003E6D59"/>
    <w:rsid w:val="003E738E"/>
    <w:rsid w:val="003E7425"/>
    <w:rsid w:val="003E7875"/>
    <w:rsid w:val="003E78B9"/>
    <w:rsid w:val="003E7E71"/>
    <w:rsid w:val="003F005C"/>
    <w:rsid w:val="003F0125"/>
    <w:rsid w:val="003F0F38"/>
    <w:rsid w:val="003F1609"/>
    <w:rsid w:val="003F1701"/>
    <w:rsid w:val="003F1D7B"/>
    <w:rsid w:val="003F2B0B"/>
    <w:rsid w:val="003F2FD6"/>
    <w:rsid w:val="003F31BE"/>
    <w:rsid w:val="003F3776"/>
    <w:rsid w:val="003F3AED"/>
    <w:rsid w:val="003F3B8C"/>
    <w:rsid w:val="003F412C"/>
    <w:rsid w:val="003F4148"/>
    <w:rsid w:val="003F52E6"/>
    <w:rsid w:val="003F5C29"/>
    <w:rsid w:val="003F5DA0"/>
    <w:rsid w:val="003F6B17"/>
    <w:rsid w:val="003F6BD0"/>
    <w:rsid w:val="003F6E43"/>
    <w:rsid w:val="003F6E81"/>
    <w:rsid w:val="003F6F13"/>
    <w:rsid w:val="003F70BC"/>
    <w:rsid w:val="003F7195"/>
    <w:rsid w:val="003F7523"/>
    <w:rsid w:val="0040029D"/>
    <w:rsid w:val="00400B4A"/>
    <w:rsid w:val="0040101E"/>
    <w:rsid w:val="00401CAD"/>
    <w:rsid w:val="00401E64"/>
    <w:rsid w:val="00402101"/>
    <w:rsid w:val="00402ED6"/>
    <w:rsid w:val="00403187"/>
    <w:rsid w:val="00403422"/>
    <w:rsid w:val="004034F2"/>
    <w:rsid w:val="00403E7F"/>
    <w:rsid w:val="00404BA4"/>
    <w:rsid w:val="00404E5E"/>
    <w:rsid w:val="00404E6E"/>
    <w:rsid w:val="00404EB6"/>
    <w:rsid w:val="00405301"/>
    <w:rsid w:val="004056C0"/>
    <w:rsid w:val="0040574F"/>
    <w:rsid w:val="00405C65"/>
    <w:rsid w:val="00406E98"/>
    <w:rsid w:val="0040717B"/>
    <w:rsid w:val="00407932"/>
    <w:rsid w:val="004079FD"/>
    <w:rsid w:val="00407F47"/>
    <w:rsid w:val="00410263"/>
    <w:rsid w:val="0041052F"/>
    <w:rsid w:val="0041080F"/>
    <w:rsid w:val="00410E36"/>
    <w:rsid w:val="00411493"/>
    <w:rsid w:val="004116F5"/>
    <w:rsid w:val="00411817"/>
    <w:rsid w:val="00411849"/>
    <w:rsid w:val="00411DA0"/>
    <w:rsid w:val="00411FA0"/>
    <w:rsid w:val="004125E8"/>
    <w:rsid w:val="0041295E"/>
    <w:rsid w:val="00412D4B"/>
    <w:rsid w:val="00412EA1"/>
    <w:rsid w:val="00412F7E"/>
    <w:rsid w:val="004131AD"/>
    <w:rsid w:val="00413583"/>
    <w:rsid w:val="00413A52"/>
    <w:rsid w:val="00413DAA"/>
    <w:rsid w:val="00414A0E"/>
    <w:rsid w:val="00414A89"/>
    <w:rsid w:val="00415710"/>
    <w:rsid w:val="0041647D"/>
    <w:rsid w:val="004166DE"/>
    <w:rsid w:val="0041719A"/>
    <w:rsid w:val="00417351"/>
    <w:rsid w:val="004173B3"/>
    <w:rsid w:val="00417A69"/>
    <w:rsid w:val="004203B1"/>
    <w:rsid w:val="004203B2"/>
    <w:rsid w:val="004206FC"/>
    <w:rsid w:val="00420935"/>
    <w:rsid w:val="004216E4"/>
    <w:rsid w:val="004226E9"/>
    <w:rsid w:val="0042338E"/>
    <w:rsid w:val="00423DFA"/>
    <w:rsid w:val="0042457F"/>
    <w:rsid w:val="0042485C"/>
    <w:rsid w:val="00424DE4"/>
    <w:rsid w:val="0042514D"/>
    <w:rsid w:val="0042537C"/>
    <w:rsid w:val="00425715"/>
    <w:rsid w:val="00425CBD"/>
    <w:rsid w:val="00426925"/>
    <w:rsid w:val="00426B8A"/>
    <w:rsid w:val="00426C6C"/>
    <w:rsid w:val="004274EB"/>
    <w:rsid w:val="0042765B"/>
    <w:rsid w:val="00427C81"/>
    <w:rsid w:val="004305B0"/>
    <w:rsid w:val="004305DE"/>
    <w:rsid w:val="004306C8"/>
    <w:rsid w:val="00430B57"/>
    <w:rsid w:val="004311F9"/>
    <w:rsid w:val="004311FF"/>
    <w:rsid w:val="00431305"/>
    <w:rsid w:val="00431725"/>
    <w:rsid w:val="004318BD"/>
    <w:rsid w:val="0043218E"/>
    <w:rsid w:val="00432253"/>
    <w:rsid w:val="00432444"/>
    <w:rsid w:val="00432848"/>
    <w:rsid w:val="004329ED"/>
    <w:rsid w:val="004333E8"/>
    <w:rsid w:val="00433459"/>
    <w:rsid w:val="004337D9"/>
    <w:rsid w:val="00433BDF"/>
    <w:rsid w:val="00434027"/>
    <w:rsid w:val="004341AE"/>
    <w:rsid w:val="00434D2D"/>
    <w:rsid w:val="00434D38"/>
    <w:rsid w:val="00435101"/>
    <w:rsid w:val="00435211"/>
    <w:rsid w:val="00435730"/>
    <w:rsid w:val="0043590D"/>
    <w:rsid w:val="00435A4A"/>
    <w:rsid w:val="00435A85"/>
    <w:rsid w:val="00435F62"/>
    <w:rsid w:val="0043602B"/>
    <w:rsid w:val="00436DF5"/>
    <w:rsid w:val="00437042"/>
    <w:rsid w:val="004400D4"/>
    <w:rsid w:val="00440549"/>
    <w:rsid w:val="0044058C"/>
    <w:rsid w:val="00440C69"/>
    <w:rsid w:val="00441265"/>
    <w:rsid w:val="004412EE"/>
    <w:rsid w:val="00441A23"/>
    <w:rsid w:val="00441E8F"/>
    <w:rsid w:val="004423A0"/>
    <w:rsid w:val="0044258B"/>
    <w:rsid w:val="0044276F"/>
    <w:rsid w:val="004427E8"/>
    <w:rsid w:val="00442E6D"/>
    <w:rsid w:val="00443403"/>
    <w:rsid w:val="00444497"/>
    <w:rsid w:val="0044453D"/>
    <w:rsid w:val="0044494C"/>
    <w:rsid w:val="00444E5A"/>
    <w:rsid w:val="0044502A"/>
    <w:rsid w:val="004452B5"/>
    <w:rsid w:val="00446101"/>
    <w:rsid w:val="004465C4"/>
    <w:rsid w:val="00446BDA"/>
    <w:rsid w:val="004476A9"/>
    <w:rsid w:val="004478F7"/>
    <w:rsid w:val="00447D38"/>
    <w:rsid w:val="0045040A"/>
    <w:rsid w:val="004506B7"/>
    <w:rsid w:val="00450899"/>
    <w:rsid w:val="00450BB9"/>
    <w:rsid w:val="00451297"/>
    <w:rsid w:val="004514D1"/>
    <w:rsid w:val="0045194C"/>
    <w:rsid w:val="004519E4"/>
    <w:rsid w:val="00451A7D"/>
    <w:rsid w:val="00451FBE"/>
    <w:rsid w:val="004523D3"/>
    <w:rsid w:val="0045252B"/>
    <w:rsid w:val="00452E67"/>
    <w:rsid w:val="00453505"/>
    <w:rsid w:val="00453B10"/>
    <w:rsid w:val="0045426C"/>
    <w:rsid w:val="00454ABB"/>
    <w:rsid w:val="00454AD0"/>
    <w:rsid w:val="00454BF8"/>
    <w:rsid w:val="004551FA"/>
    <w:rsid w:val="0045543B"/>
    <w:rsid w:val="004555FD"/>
    <w:rsid w:val="004556E9"/>
    <w:rsid w:val="00455A80"/>
    <w:rsid w:val="00456155"/>
    <w:rsid w:val="004568E2"/>
    <w:rsid w:val="00457165"/>
    <w:rsid w:val="00457980"/>
    <w:rsid w:val="00460122"/>
    <w:rsid w:val="0046038C"/>
    <w:rsid w:val="004607A6"/>
    <w:rsid w:val="0046089D"/>
    <w:rsid w:val="00460AF3"/>
    <w:rsid w:val="00460E14"/>
    <w:rsid w:val="004614F7"/>
    <w:rsid w:val="004616E2"/>
    <w:rsid w:val="00461F6A"/>
    <w:rsid w:val="004622C0"/>
    <w:rsid w:val="0046268A"/>
    <w:rsid w:val="00462DAE"/>
    <w:rsid w:val="00463102"/>
    <w:rsid w:val="0046331C"/>
    <w:rsid w:val="0046353C"/>
    <w:rsid w:val="004637A0"/>
    <w:rsid w:val="00463CBB"/>
    <w:rsid w:val="00463F3E"/>
    <w:rsid w:val="00464211"/>
    <w:rsid w:val="0046425F"/>
    <w:rsid w:val="00464D3A"/>
    <w:rsid w:val="00464D64"/>
    <w:rsid w:val="004651F5"/>
    <w:rsid w:val="00465275"/>
    <w:rsid w:val="00465471"/>
    <w:rsid w:val="00465612"/>
    <w:rsid w:val="00465660"/>
    <w:rsid w:val="00465811"/>
    <w:rsid w:val="00465858"/>
    <w:rsid w:val="00465892"/>
    <w:rsid w:val="00465C87"/>
    <w:rsid w:val="00466422"/>
    <w:rsid w:val="00466B9F"/>
    <w:rsid w:val="00466F1B"/>
    <w:rsid w:val="0046758D"/>
    <w:rsid w:val="004676B7"/>
    <w:rsid w:val="004701C9"/>
    <w:rsid w:val="00470A12"/>
    <w:rsid w:val="004711AD"/>
    <w:rsid w:val="004712AF"/>
    <w:rsid w:val="004714DD"/>
    <w:rsid w:val="00471B0A"/>
    <w:rsid w:val="00471D3D"/>
    <w:rsid w:val="00471ED9"/>
    <w:rsid w:val="004722B7"/>
    <w:rsid w:val="00472649"/>
    <w:rsid w:val="004728BB"/>
    <w:rsid w:val="00472A56"/>
    <w:rsid w:val="00472A7A"/>
    <w:rsid w:val="00473064"/>
    <w:rsid w:val="0047342B"/>
    <w:rsid w:val="00473515"/>
    <w:rsid w:val="00473562"/>
    <w:rsid w:val="0047383A"/>
    <w:rsid w:val="00473DF3"/>
    <w:rsid w:val="00473EFA"/>
    <w:rsid w:val="004741C4"/>
    <w:rsid w:val="0047505D"/>
    <w:rsid w:val="0047517A"/>
    <w:rsid w:val="0047573B"/>
    <w:rsid w:val="00475BEE"/>
    <w:rsid w:val="00475DC2"/>
    <w:rsid w:val="004772D0"/>
    <w:rsid w:val="0047747F"/>
    <w:rsid w:val="004776E6"/>
    <w:rsid w:val="0047790B"/>
    <w:rsid w:val="00480496"/>
    <w:rsid w:val="00480DD2"/>
    <w:rsid w:val="00481050"/>
    <w:rsid w:val="004812A6"/>
    <w:rsid w:val="004813D0"/>
    <w:rsid w:val="00481463"/>
    <w:rsid w:val="00481D48"/>
    <w:rsid w:val="00481F0A"/>
    <w:rsid w:val="00483856"/>
    <w:rsid w:val="00483B1A"/>
    <w:rsid w:val="004841A5"/>
    <w:rsid w:val="0048442D"/>
    <w:rsid w:val="00484578"/>
    <w:rsid w:val="00484DE3"/>
    <w:rsid w:val="00484F61"/>
    <w:rsid w:val="00485392"/>
    <w:rsid w:val="00485DFD"/>
    <w:rsid w:val="004862B6"/>
    <w:rsid w:val="0048656D"/>
    <w:rsid w:val="004866B9"/>
    <w:rsid w:val="0048688D"/>
    <w:rsid w:val="004868DD"/>
    <w:rsid w:val="00486C1A"/>
    <w:rsid w:val="00486CAC"/>
    <w:rsid w:val="00486D53"/>
    <w:rsid w:val="0048707A"/>
    <w:rsid w:val="00487D77"/>
    <w:rsid w:val="00490552"/>
    <w:rsid w:val="00490E16"/>
    <w:rsid w:val="00491075"/>
    <w:rsid w:val="004910AA"/>
    <w:rsid w:val="0049118E"/>
    <w:rsid w:val="00491754"/>
    <w:rsid w:val="004942D2"/>
    <w:rsid w:val="004944C9"/>
    <w:rsid w:val="0049467E"/>
    <w:rsid w:val="004947EE"/>
    <w:rsid w:val="00494914"/>
    <w:rsid w:val="004949F6"/>
    <w:rsid w:val="00494A9C"/>
    <w:rsid w:val="00494B37"/>
    <w:rsid w:val="00495892"/>
    <w:rsid w:val="004958BA"/>
    <w:rsid w:val="00495C81"/>
    <w:rsid w:val="00495F37"/>
    <w:rsid w:val="00496E6E"/>
    <w:rsid w:val="00497218"/>
    <w:rsid w:val="00497276"/>
    <w:rsid w:val="0049738A"/>
    <w:rsid w:val="0049743C"/>
    <w:rsid w:val="004974C3"/>
    <w:rsid w:val="00497515"/>
    <w:rsid w:val="004A01E2"/>
    <w:rsid w:val="004A0632"/>
    <w:rsid w:val="004A0651"/>
    <w:rsid w:val="004A06F9"/>
    <w:rsid w:val="004A0AF8"/>
    <w:rsid w:val="004A0ED0"/>
    <w:rsid w:val="004A103A"/>
    <w:rsid w:val="004A109E"/>
    <w:rsid w:val="004A243A"/>
    <w:rsid w:val="004A25A0"/>
    <w:rsid w:val="004A2626"/>
    <w:rsid w:val="004A33B6"/>
    <w:rsid w:val="004A41A9"/>
    <w:rsid w:val="004A46ED"/>
    <w:rsid w:val="004A4AB9"/>
    <w:rsid w:val="004A531C"/>
    <w:rsid w:val="004A547D"/>
    <w:rsid w:val="004A56C9"/>
    <w:rsid w:val="004A5E37"/>
    <w:rsid w:val="004A5E98"/>
    <w:rsid w:val="004A6392"/>
    <w:rsid w:val="004A644F"/>
    <w:rsid w:val="004A661D"/>
    <w:rsid w:val="004A71B9"/>
    <w:rsid w:val="004A7913"/>
    <w:rsid w:val="004B022E"/>
    <w:rsid w:val="004B0E28"/>
    <w:rsid w:val="004B1091"/>
    <w:rsid w:val="004B109B"/>
    <w:rsid w:val="004B22FF"/>
    <w:rsid w:val="004B2A08"/>
    <w:rsid w:val="004B2E45"/>
    <w:rsid w:val="004B324E"/>
    <w:rsid w:val="004B3C07"/>
    <w:rsid w:val="004B3CEB"/>
    <w:rsid w:val="004B3E29"/>
    <w:rsid w:val="004B3E3D"/>
    <w:rsid w:val="004B414C"/>
    <w:rsid w:val="004B48C6"/>
    <w:rsid w:val="004B4D1C"/>
    <w:rsid w:val="004B55C1"/>
    <w:rsid w:val="004B5E58"/>
    <w:rsid w:val="004B5F2C"/>
    <w:rsid w:val="004B6C48"/>
    <w:rsid w:val="004B6EED"/>
    <w:rsid w:val="004B6FFC"/>
    <w:rsid w:val="004B7A1C"/>
    <w:rsid w:val="004B7E4E"/>
    <w:rsid w:val="004C03C2"/>
    <w:rsid w:val="004C060C"/>
    <w:rsid w:val="004C0C92"/>
    <w:rsid w:val="004C101B"/>
    <w:rsid w:val="004C165C"/>
    <w:rsid w:val="004C1820"/>
    <w:rsid w:val="004C194E"/>
    <w:rsid w:val="004C22EB"/>
    <w:rsid w:val="004C272F"/>
    <w:rsid w:val="004C2748"/>
    <w:rsid w:val="004C2C15"/>
    <w:rsid w:val="004C2D16"/>
    <w:rsid w:val="004C2E55"/>
    <w:rsid w:val="004C3343"/>
    <w:rsid w:val="004C3357"/>
    <w:rsid w:val="004C33A8"/>
    <w:rsid w:val="004C3605"/>
    <w:rsid w:val="004C386B"/>
    <w:rsid w:val="004C38E9"/>
    <w:rsid w:val="004C3AD7"/>
    <w:rsid w:val="004C3C1D"/>
    <w:rsid w:val="004C3C2D"/>
    <w:rsid w:val="004C3D94"/>
    <w:rsid w:val="004C44F5"/>
    <w:rsid w:val="004C4A09"/>
    <w:rsid w:val="004C51BF"/>
    <w:rsid w:val="004C5203"/>
    <w:rsid w:val="004C540F"/>
    <w:rsid w:val="004C56E4"/>
    <w:rsid w:val="004C59AC"/>
    <w:rsid w:val="004C5BA9"/>
    <w:rsid w:val="004C63FE"/>
    <w:rsid w:val="004C6A47"/>
    <w:rsid w:val="004C6B9D"/>
    <w:rsid w:val="004C77CC"/>
    <w:rsid w:val="004C7A12"/>
    <w:rsid w:val="004C7F05"/>
    <w:rsid w:val="004C7F19"/>
    <w:rsid w:val="004D005C"/>
    <w:rsid w:val="004D0241"/>
    <w:rsid w:val="004D034A"/>
    <w:rsid w:val="004D098D"/>
    <w:rsid w:val="004D10CB"/>
    <w:rsid w:val="004D1AA0"/>
    <w:rsid w:val="004D2F68"/>
    <w:rsid w:val="004D339E"/>
    <w:rsid w:val="004D33FC"/>
    <w:rsid w:val="004D349F"/>
    <w:rsid w:val="004D3825"/>
    <w:rsid w:val="004D3C86"/>
    <w:rsid w:val="004D4306"/>
    <w:rsid w:val="004D4635"/>
    <w:rsid w:val="004D4798"/>
    <w:rsid w:val="004D537B"/>
    <w:rsid w:val="004D5677"/>
    <w:rsid w:val="004D579F"/>
    <w:rsid w:val="004D5B66"/>
    <w:rsid w:val="004D5C54"/>
    <w:rsid w:val="004D602E"/>
    <w:rsid w:val="004D65D7"/>
    <w:rsid w:val="004D67A0"/>
    <w:rsid w:val="004D6B19"/>
    <w:rsid w:val="004D6EA1"/>
    <w:rsid w:val="004D7450"/>
    <w:rsid w:val="004D7765"/>
    <w:rsid w:val="004D77E7"/>
    <w:rsid w:val="004D7842"/>
    <w:rsid w:val="004E04EE"/>
    <w:rsid w:val="004E0EDD"/>
    <w:rsid w:val="004E1DA5"/>
    <w:rsid w:val="004E24EF"/>
    <w:rsid w:val="004E2981"/>
    <w:rsid w:val="004E31FA"/>
    <w:rsid w:val="004E4198"/>
    <w:rsid w:val="004E429F"/>
    <w:rsid w:val="004E4360"/>
    <w:rsid w:val="004E43C9"/>
    <w:rsid w:val="004E477A"/>
    <w:rsid w:val="004E5EB6"/>
    <w:rsid w:val="004E60A9"/>
    <w:rsid w:val="004E65A8"/>
    <w:rsid w:val="004E6730"/>
    <w:rsid w:val="004E6D37"/>
    <w:rsid w:val="004E70E8"/>
    <w:rsid w:val="004E7418"/>
    <w:rsid w:val="004E7A1B"/>
    <w:rsid w:val="004E7B8D"/>
    <w:rsid w:val="004E7F7A"/>
    <w:rsid w:val="004F009C"/>
    <w:rsid w:val="004F17CF"/>
    <w:rsid w:val="004F1B17"/>
    <w:rsid w:val="004F1E6F"/>
    <w:rsid w:val="004F1F13"/>
    <w:rsid w:val="004F2485"/>
    <w:rsid w:val="004F2583"/>
    <w:rsid w:val="004F27CB"/>
    <w:rsid w:val="004F3047"/>
    <w:rsid w:val="004F3297"/>
    <w:rsid w:val="004F3656"/>
    <w:rsid w:val="004F386D"/>
    <w:rsid w:val="004F3C2A"/>
    <w:rsid w:val="004F401F"/>
    <w:rsid w:val="004F45A7"/>
    <w:rsid w:val="004F4AF4"/>
    <w:rsid w:val="004F4D66"/>
    <w:rsid w:val="004F4FF4"/>
    <w:rsid w:val="004F504C"/>
    <w:rsid w:val="004F5092"/>
    <w:rsid w:val="004F5C64"/>
    <w:rsid w:val="004F5DFB"/>
    <w:rsid w:val="004F5F2E"/>
    <w:rsid w:val="004F6521"/>
    <w:rsid w:val="004F666C"/>
    <w:rsid w:val="004F66F4"/>
    <w:rsid w:val="004F67C7"/>
    <w:rsid w:val="004F6E3C"/>
    <w:rsid w:val="004F6F16"/>
    <w:rsid w:val="004F70EE"/>
    <w:rsid w:val="004F7219"/>
    <w:rsid w:val="004F73D6"/>
    <w:rsid w:val="004F7489"/>
    <w:rsid w:val="005001D8"/>
    <w:rsid w:val="005007D2"/>
    <w:rsid w:val="00500AA2"/>
    <w:rsid w:val="00501B72"/>
    <w:rsid w:val="00501D86"/>
    <w:rsid w:val="00501DB9"/>
    <w:rsid w:val="00502389"/>
    <w:rsid w:val="005036F1"/>
    <w:rsid w:val="00503AB8"/>
    <w:rsid w:val="00503BBC"/>
    <w:rsid w:val="00504041"/>
    <w:rsid w:val="00504132"/>
    <w:rsid w:val="00504FFD"/>
    <w:rsid w:val="00505775"/>
    <w:rsid w:val="00505A82"/>
    <w:rsid w:val="00505CCC"/>
    <w:rsid w:val="0050610F"/>
    <w:rsid w:val="0050686A"/>
    <w:rsid w:val="005069C1"/>
    <w:rsid w:val="0050728C"/>
    <w:rsid w:val="005100CB"/>
    <w:rsid w:val="00510246"/>
    <w:rsid w:val="005107A0"/>
    <w:rsid w:val="00510FDC"/>
    <w:rsid w:val="005111A5"/>
    <w:rsid w:val="0051169E"/>
    <w:rsid w:val="00511E26"/>
    <w:rsid w:val="00511FE7"/>
    <w:rsid w:val="005122B5"/>
    <w:rsid w:val="005125FA"/>
    <w:rsid w:val="00512937"/>
    <w:rsid w:val="00512955"/>
    <w:rsid w:val="00512B6E"/>
    <w:rsid w:val="00512E91"/>
    <w:rsid w:val="005138CC"/>
    <w:rsid w:val="00513F52"/>
    <w:rsid w:val="005143E1"/>
    <w:rsid w:val="00515271"/>
    <w:rsid w:val="00515507"/>
    <w:rsid w:val="00515764"/>
    <w:rsid w:val="00515A98"/>
    <w:rsid w:val="00515D06"/>
    <w:rsid w:val="00515D4A"/>
    <w:rsid w:val="00515EBF"/>
    <w:rsid w:val="0051613C"/>
    <w:rsid w:val="0051627A"/>
    <w:rsid w:val="00516327"/>
    <w:rsid w:val="005164F7"/>
    <w:rsid w:val="0051658D"/>
    <w:rsid w:val="005165C2"/>
    <w:rsid w:val="00516772"/>
    <w:rsid w:val="005168D5"/>
    <w:rsid w:val="00516E6A"/>
    <w:rsid w:val="005173DC"/>
    <w:rsid w:val="00517D20"/>
    <w:rsid w:val="00520B63"/>
    <w:rsid w:val="00520FF3"/>
    <w:rsid w:val="00521279"/>
    <w:rsid w:val="00521634"/>
    <w:rsid w:val="00521753"/>
    <w:rsid w:val="00521B89"/>
    <w:rsid w:val="0052235A"/>
    <w:rsid w:val="005227E1"/>
    <w:rsid w:val="005227F3"/>
    <w:rsid w:val="00522B89"/>
    <w:rsid w:val="00523291"/>
    <w:rsid w:val="0052393F"/>
    <w:rsid w:val="005241FD"/>
    <w:rsid w:val="005245B0"/>
    <w:rsid w:val="00524732"/>
    <w:rsid w:val="005247C8"/>
    <w:rsid w:val="0052491C"/>
    <w:rsid w:val="00525485"/>
    <w:rsid w:val="005259DB"/>
    <w:rsid w:val="00526747"/>
    <w:rsid w:val="00526786"/>
    <w:rsid w:val="00526CD9"/>
    <w:rsid w:val="005305BD"/>
    <w:rsid w:val="00530DB5"/>
    <w:rsid w:val="00530F90"/>
    <w:rsid w:val="005312F1"/>
    <w:rsid w:val="00531421"/>
    <w:rsid w:val="00531936"/>
    <w:rsid w:val="00531D56"/>
    <w:rsid w:val="00532029"/>
    <w:rsid w:val="00532815"/>
    <w:rsid w:val="00532C1B"/>
    <w:rsid w:val="00532E7D"/>
    <w:rsid w:val="005335F0"/>
    <w:rsid w:val="0053377F"/>
    <w:rsid w:val="00533904"/>
    <w:rsid w:val="00533E34"/>
    <w:rsid w:val="00533FB5"/>
    <w:rsid w:val="00534A1E"/>
    <w:rsid w:val="00534F4C"/>
    <w:rsid w:val="005360EC"/>
    <w:rsid w:val="00537128"/>
    <w:rsid w:val="0053723A"/>
    <w:rsid w:val="005376E5"/>
    <w:rsid w:val="005377BE"/>
    <w:rsid w:val="00537F2C"/>
    <w:rsid w:val="00537F5C"/>
    <w:rsid w:val="005402B4"/>
    <w:rsid w:val="00540329"/>
    <w:rsid w:val="00541266"/>
    <w:rsid w:val="00541282"/>
    <w:rsid w:val="00541C95"/>
    <w:rsid w:val="0054268D"/>
    <w:rsid w:val="0054280F"/>
    <w:rsid w:val="00543859"/>
    <w:rsid w:val="00544079"/>
    <w:rsid w:val="00544350"/>
    <w:rsid w:val="00544B41"/>
    <w:rsid w:val="00544B49"/>
    <w:rsid w:val="00544C6B"/>
    <w:rsid w:val="00544EF8"/>
    <w:rsid w:val="005452DA"/>
    <w:rsid w:val="005456AD"/>
    <w:rsid w:val="005459EE"/>
    <w:rsid w:val="00545BAF"/>
    <w:rsid w:val="0054607D"/>
    <w:rsid w:val="00546455"/>
    <w:rsid w:val="00546527"/>
    <w:rsid w:val="00546970"/>
    <w:rsid w:val="00546CC4"/>
    <w:rsid w:val="00546F4A"/>
    <w:rsid w:val="00547593"/>
    <w:rsid w:val="00547C38"/>
    <w:rsid w:val="00547CE3"/>
    <w:rsid w:val="00550623"/>
    <w:rsid w:val="005506A2"/>
    <w:rsid w:val="0055081E"/>
    <w:rsid w:val="0055192E"/>
    <w:rsid w:val="00551CE5"/>
    <w:rsid w:val="00551EF9"/>
    <w:rsid w:val="0055268F"/>
    <w:rsid w:val="0055296A"/>
    <w:rsid w:val="00552BB9"/>
    <w:rsid w:val="00552C74"/>
    <w:rsid w:val="005533B8"/>
    <w:rsid w:val="005534AA"/>
    <w:rsid w:val="005537AA"/>
    <w:rsid w:val="00553914"/>
    <w:rsid w:val="00553943"/>
    <w:rsid w:val="00553B71"/>
    <w:rsid w:val="0055402A"/>
    <w:rsid w:val="00554176"/>
    <w:rsid w:val="00554179"/>
    <w:rsid w:val="00554472"/>
    <w:rsid w:val="00554668"/>
    <w:rsid w:val="00554750"/>
    <w:rsid w:val="00554A3E"/>
    <w:rsid w:val="00554B07"/>
    <w:rsid w:val="00554E4C"/>
    <w:rsid w:val="00555362"/>
    <w:rsid w:val="005556D5"/>
    <w:rsid w:val="00556D7D"/>
    <w:rsid w:val="00557269"/>
    <w:rsid w:val="0055734C"/>
    <w:rsid w:val="00557BCE"/>
    <w:rsid w:val="00557D23"/>
    <w:rsid w:val="00557FB5"/>
    <w:rsid w:val="005604E7"/>
    <w:rsid w:val="00560B49"/>
    <w:rsid w:val="00560DB1"/>
    <w:rsid w:val="0056128E"/>
    <w:rsid w:val="00561806"/>
    <w:rsid w:val="0056187D"/>
    <w:rsid w:val="005620C3"/>
    <w:rsid w:val="0056258F"/>
    <w:rsid w:val="00562686"/>
    <w:rsid w:val="005627B2"/>
    <w:rsid w:val="00562A75"/>
    <w:rsid w:val="00562CDC"/>
    <w:rsid w:val="00562EDD"/>
    <w:rsid w:val="005635CB"/>
    <w:rsid w:val="00563EB9"/>
    <w:rsid w:val="005640EF"/>
    <w:rsid w:val="00564185"/>
    <w:rsid w:val="00564866"/>
    <w:rsid w:val="005648BF"/>
    <w:rsid w:val="00564CFF"/>
    <w:rsid w:val="0056594C"/>
    <w:rsid w:val="00565C90"/>
    <w:rsid w:val="00566196"/>
    <w:rsid w:val="00566304"/>
    <w:rsid w:val="0056675E"/>
    <w:rsid w:val="00566B25"/>
    <w:rsid w:val="00566EA7"/>
    <w:rsid w:val="005676AA"/>
    <w:rsid w:val="00567FE0"/>
    <w:rsid w:val="0057041C"/>
    <w:rsid w:val="005704B8"/>
    <w:rsid w:val="005706B7"/>
    <w:rsid w:val="00570913"/>
    <w:rsid w:val="00570B24"/>
    <w:rsid w:val="0057116A"/>
    <w:rsid w:val="0057198F"/>
    <w:rsid w:val="005719B4"/>
    <w:rsid w:val="00572554"/>
    <w:rsid w:val="00572729"/>
    <w:rsid w:val="005727FB"/>
    <w:rsid w:val="00573282"/>
    <w:rsid w:val="005732C7"/>
    <w:rsid w:val="005732E7"/>
    <w:rsid w:val="00573622"/>
    <w:rsid w:val="00573669"/>
    <w:rsid w:val="00573A98"/>
    <w:rsid w:val="00573B36"/>
    <w:rsid w:val="00573C02"/>
    <w:rsid w:val="00573DE9"/>
    <w:rsid w:val="00574089"/>
    <w:rsid w:val="005743E3"/>
    <w:rsid w:val="00574888"/>
    <w:rsid w:val="005751B0"/>
    <w:rsid w:val="00575DAC"/>
    <w:rsid w:val="0057694B"/>
    <w:rsid w:val="00576B70"/>
    <w:rsid w:val="00576C79"/>
    <w:rsid w:val="0057708F"/>
    <w:rsid w:val="005770CD"/>
    <w:rsid w:val="0057729D"/>
    <w:rsid w:val="00577ED4"/>
    <w:rsid w:val="0058019E"/>
    <w:rsid w:val="00580735"/>
    <w:rsid w:val="00580822"/>
    <w:rsid w:val="005808FB"/>
    <w:rsid w:val="0058090E"/>
    <w:rsid w:val="005810D9"/>
    <w:rsid w:val="00581272"/>
    <w:rsid w:val="005813C1"/>
    <w:rsid w:val="005823CB"/>
    <w:rsid w:val="00582B41"/>
    <w:rsid w:val="0058302E"/>
    <w:rsid w:val="00583380"/>
    <w:rsid w:val="005833AF"/>
    <w:rsid w:val="00583613"/>
    <w:rsid w:val="00583887"/>
    <w:rsid w:val="00583D69"/>
    <w:rsid w:val="0058433E"/>
    <w:rsid w:val="005845A6"/>
    <w:rsid w:val="00585447"/>
    <w:rsid w:val="0058555A"/>
    <w:rsid w:val="00585878"/>
    <w:rsid w:val="00585AAF"/>
    <w:rsid w:val="00585E33"/>
    <w:rsid w:val="00585FAE"/>
    <w:rsid w:val="0058651B"/>
    <w:rsid w:val="00586629"/>
    <w:rsid w:val="005869AD"/>
    <w:rsid w:val="00586E45"/>
    <w:rsid w:val="00586EC6"/>
    <w:rsid w:val="005872B0"/>
    <w:rsid w:val="00587582"/>
    <w:rsid w:val="00587881"/>
    <w:rsid w:val="0059000C"/>
    <w:rsid w:val="005902AB"/>
    <w:rsid w:val="005905A9"/>
    <w:rsid w:val="005909CC"/>
    <w:rsid w:val="00590A07"/>
    <w:rsid w:val="00590E2C"/>
    <w:rsid w:val="0059113D"/>
    <w:rsid w:val="005912AF"/>
    <w:rsid w:val="00592010"/>
    <w:rsid w:val="00592190"/>
    <w:rsid w:val="0059272A"/>
    <w:rsid w:val="0059278A"/>
    <w:rsid w:val="0059310E"/>
    <w:rsid w:val="00593ACE"/>
    <w:rsid w:val="00593D56"/>
    <w:rsid w:val="0059412D"/>
    <w:rsid w:val="0059462F"/>
    <w:rsid w:val="00594750"/>
    <w:rsid w:val="00594864"/>
    <w:rsid w:val="00594934"/>
    <w:rsid w:val="00594B4B"/>
    <w:rsid w:val="00594B61"/>
    <w:rsid w:val="005950F1"/>
    <w:rsid w:val="005951C6"/>
    <w:rsid w:val="00595A8E"/>
    <w:rsid w:val="00595E0D"/>
    <w:rsid w:val="00596041"/>
    <w:rsid w:val="00596058"/>
    <w:rsid w:val="00596208"/>
    <w:rsid w:val="00596ABB"/>
    <w:rsid w:val="00596EF7"/>
    <w:rsid w:val="00596FB0"/>
    <w:rsid w:val="00597CDF"/>
    <w:rsid w:val="00597DD2"/>
    <w:rsid w:val="005A01F0"/>
    <w:rsid w:val="005A073D"/>
    <w:rsid w:val="005A0907"/>
    <w:rsid w:val="005A0C00"/>
    <w:rsid w:val="005A0EE7"/>
    <w:rsid w:val="005A18EF"/>
    <w:rsid w:val="005A1AAD"/>
    <w:rsid w:val="005A226B"/>
    <w:rsid w:val="005A2584"/>
    <w:rsid w:val="005A28AE"/>
    <w:rsid w:val="005A2F80"/>
    <w:rsid w:val="005A3067"/>
    <w:rsid w:val="005A306A"/>
    <w:rsid w:val="005A325F"/>
    <w:rsid w:val="005A3353"/>
    <w:rsid w:val="005A38EB"/>
    <w:rsid w:val="005A3EF7"/>
    <w:rsid w:val="005A43E9"/>
    <w:rsid w:val="005A4521"/>
    <w:rsid w:val="005A485F"/>
    <w:rsid w:val="005A4F6A"/>
    <w:rsid w:val="005A5C82"/>
    <w:rsid w:val="005A5C86"/>
    <w:rsid w:val="005A5D07"/>
    <w:rsid w:val="005A5D19"/>
    <w:rsid w:val="005A60A4"/>
    <w:rsid w:val="005A6296"/>
    <w:rsid w:val="005A6456"/>
    <w:rsid w:val="005A6D65"/>
    <w:rsid w:val="005A6F56"/>
    <w:rsid w:val="005A749D"/>
    <w:rsid w:val="005A77D1"/>
    <w:rsid w:val="005A79AD"/>
    <w:rsid w:val="005B000E"/>
    <w:rsid w:val="005B0012"/>
    <w:rsid w:val="005B00B8"/>
    <w:rsid w:val="005B0894"/>
    <w:rsid w:val="005B0CDC"/>
    <w:rsid w:val="005B0E8B"/>
    <w:rsid w:val="005B12AC"/>
    <w:rsid w:val="005B1318"/>
    <w:rsid w:val="005B183F"/>
    <w:rsid w:val="005B1BA4"/>
    <w:rsid w:val="005B1CCC"/>
    <w:rsid w:val="005B23B9"/>
    <w:rsid w:val="005B26C4"/>
    <w:rsid w:val="005B272B"/>
    <w:rsid w:val="005B2774"/>
    <w:rsid w:val="005B2ADD"/>
    <w:rsid w:val="005B2E0E"/>
    <w:rsid w:val="005B2F9E"/>
    <w:rsid w:val="005B3AAD"/>
    <w:rsid w:val="005B3D38"/>
    <w:rsid w:val="005B3FF7"/>
    <w:rsid w:val="005B4BDD"/>
    <w:rsid w:val="005B4C37"/>
    <w:rsid w:val="005B4EA7"/>
    <w:rsid w:val="005B4F56"/>
    <w:rsid w:val="005B51F1"/>
    <w:rsid w:val="005B523D"/>
    <w:rsid w:val="005B558D"/>
    <w:rsid w:val="005B5A11"/>
    <w:rsid w:val="005B5DDC"/>
    <w:rsid w:val="005B621B"/>
    <w:rsid w:val="005B6F70"/>
    <w:rsid w:val="005B7192"/>
    <w:rsid w:val="005B7203"/>
    <w:rsid w:val="005B7819"/>
    <w:rsid w:val="005B7ECE"/>
    <w:rsid w:val="005C007C"/>
    <w:rsid w:val="005C04BA"/>
    <w:rsid w:val="005C0915"/>
    <w:rsid w:val="005C0C31"/>
    <w:rsid w:val="005C0F4E"/>
    <w:rsid w:val="005C119F"/>
    <w:rsid w:val="005C11FE"/>
    <w:rsid w:val="005C161A"/>
    <w:rsid w:val="005C16E1"/>
    <w:rsid w:val="005C185C"/>
    <w:rsid w:val="005C18C8"/>
    <w:rsid w:val="005C1ACD"/>
    <w:rsid w:val="005C225A"/>
    <w:rsid w:val="005C28B8"/>
    <w:rsid w:val="005C2CCF"/>
    <w:rsid w:val="005C2D90"/>
    <w:rsid w:val="005C34F2"/>
    <w:rsid w:val="005C354E"/>
    <w:rsid w:val="005C3B1C"/>
    <w:rsid w:val="005C3EA7"/>
    <w:rsid w:val="005C428A"/>
    <w:rsid w:val="005C50EA"/>
    <w:rsid w:val="005C5155"/>
    <w:rsid w:val="005C5196"/>
    <w:rsid w:val="005C58C4"/>
    <w:rsid w:val="005C58FA"/>
    <w:rsid w:val="005C5CD1"/>
    <w:rsid w:val="005C610D"/>
    <w:rsid w:val="005C611D"/>
    <w:rsid w:val="005C6295"/>
    <w:rsid w:val="005C6316"/>
    <w:rsid w:val="005C6386"/>
    <w:rsid w:val="005C64D0"/>
    <w:rsid w:val="005C6A62"/>
    <w:rsid w:val="005C6BC3"/>
    <w:rsid w:val="005C6F17"/>
    <w:rsid w:val="005C706B"/>
    <w:rsid w:val="005C78CA"/>
    <w:rsid w:val="005C79AE"/>
    <w:rsid w:val="005C7EE6"/>
    <w:rsid w:val="005D00E9"/>
    <w:rsid w:val="005D0327"/>
    <w:rsid w:val="005D047E"/>
    <w:rsid w:val="005D04AC"/>
    <w:rsid w:val="005D09AB"/>
    <w:rsid w:val="005D0D5F"/>
    <w:rsid w:val="005D0D7C"/>
    <w:rsid w:val="005D15B5"/>
    <w:rsid w:val="005D163D"/>
    <w:rsid w:val="005D2723"/>
    <w:rsid w:val="005D28A1"/>
    <w:rsid w:val="005D2F3F"/>
    <w:rsid w:val="005D3465"/>
    <w:rsid w:val="005D3514"/>
    <w:rsid w:val="005D4AD5"/>
    <w:rsid w:val="005D5372"/>
    <w:rsid w:val="005D5457"/>
    <w:rsid w:val="005D6030"/>
    <w:rsid w:val="005D6349"/>
    <w:rsid w:val="005D658E"/>
    <w:rsid w:val="005D6A60"/>
    <w:rsid w:val="005D76D2"/>
    <w:rsid w:val="005D7781"/>
    <w:rsid w:val="005D77AB"/>
    <w:rsid w:val="005E06BC"/>
    <w:rsid w:val="005E0924"/>
    <w:rsid w:val="005E0E38"/>
    <w:rsid w:val="005E165D"/>
    <w:rsid w:val="005E2A12"/>
    <w:rsid w:val="005E2AA3"/>
    <w:rsid w:val="005E32AB"/>
    <w:rsid w:val="005E34F5"/>
    <w:rsid w:val="005E453C"/>
    <w:rsid w:val="005E463D"/>
    <w:rsid w:val="005E48BE"/>
    <w:rsid w:val="005E4E7B"/>
    <w:rsid w:val="005E5286"/>
    <w:rsid w:val="005E52B1"/>
    <w:rsid w:val="005E5564"/>
    <w:rsid w:val="005E573F"/>
    <w:rsid w:val="005E575E"/>
    <w:rsid w:val="005E5AD6"/>
    <w:rsid w:val="005E5ADF"/>
    <w:rsid w:val="005E5FA3"/>
    <w:rsid w:val="005E6652"/>
    <w:rsid w:val="005E7126"/>
    <w:rsid w:val="005E7651"/>
    <w:rsid w:val="005E7D31"/>
    <w:rsid w:val="005E7D33"/>
    <w:rsid w:val="005F01E9"/>
    <w:rsid w:val="005F06BC"/>
    <w:rsid w:val="005F06E4"/>
    <w:rsid w:val="005F09D8"/>
    <w:rsid w:val="005F0DB9"/>
    <w:rsid w:val="005F18A7"/>
    <w:rsid w:val="005F1AFF"/>
    <w:rsid w:val="005F1C98"/>
    <w:rsid w:val="005F1EF5"/>
    <w:rsid w:val="005F2908"/>
    <w:rsid w:val="005F31DA"/>
    <w:rsid w:val="005F3869"/>
    <w:rsid w:val="005F3CDC"/>
    <w:rsid w:val="005F3D8A"/>
    <w:rsid w:val="005F4BED"/>
    <w:rsid w:val="005F4F4C"/>
    <w:rsid w:val="005F5883"/>
    <w:rsid w:val="005F5980"/>
    <w:rsid w:val="005F5CF8"/>
    <w:rsid w:val="005F66E1"/>
    <w:rsid w:val="005F6BEB"/>
    <w:rsid w:val="005F7104"/>
    <w:rsid w:val="005F716F"/>
    <w:rsid w:val="005F72FE"/>
    <w:rsid w:val="005F7B9E"/>
    <w:rsid w:val="005F7CC7"/>
    <w:rsid w:val="005F7D12"/>
    <w:rsid w:val="006000ED"/>
    <w:rsid w:val="0060075A"/>
    <w:rsid w:val="006009B1"/>
    <w:rsid w:val="00601A09"/>
    <w:rsid w:val="00601C50"/>
    <w:rsid w:val="0060251E"/>
    <w:rsid w:val="00602793"/>
    <w:rsid w:val="00602E95"/>
    <w:rsid w:val="00603018"/>
    <w:rsid w:val="00603047"/>
    <w:rsid w:val="0060353E"/>
    <w:rsid w:val="00603560"/>
    <w:rsid w:val="0060365F"/>
    <w:rsid w:val="00603AC4"/>
    <w:rsid w:val="00603B9A"/>
    <w:rsid w:val="00603F13"/>
    <w:rsid w:val="006047C1"/>
    <w:rsid w:val="006050B4"/>
    <w:rsid w:val="006052CA"/>
    <w:rsid w:val="00605479"/>
    <w:rsid w:val="00605D51"/>
    <w:rsid w:val="00605D74"/>
    <w:rsid w:val="00605E25"/>
    <w:rsid w:val="0060665F"/>
    <w:rsid w:val="0060678B"/>
    <w:rsid w:val="006073A1"/>
    <w:rsid w:val="0060781E"/>
    <w:rsid w:val="00607EBD"/>
    <w:rsid w:val="00607F4F"/>
    <w:rsid w:val="00610373"/>
    <w:rsid w:val="00610FCE"/>
    <w:rsid w:val="0061108F"/>
    <w:rsid w:val="006114B0"/>
    <w:rsid w:val="0061175D"/>
    <w:rsid w:val="006119B6"/>
    <w:rsid w:val="00611BF4"/>
    <w:rsid w:val="00611C62"/>
    <w:rsid w:val="00611D87"/>
    <w:rsid w:val="00611FEB"/>
    <w:rsid w:val="0061277F"/>
    <w:rsid w:val="00612A38"/>
    <w:rsid w:val="00612CF1"/>
    <w:rsid w:val="00612D88"/>
    <w:rsid w:val="006130CF"/>
    <w:rsid w:val="00613454"/>
    <w:rsid w:val="0061402A"/>
    <w:rsid w:val="006149B7"/>
    <w:rsid w:val="0061524F"/>
    <w:rsid w:val="00615274"/>
    <w:rsid w:val="00615B0E"/>
    <w:rsid w:val="006160F8"/>
    <w:rsid w:val="006161AE"/>
    <w:rsid w:val="006164A4"/>
    <w:rsid w:val="00616CC6"/>
    <w:rsid w:val="00616E57"/>
    <w:rsid w:val="006173F7"/>
    <w:rsid w:val="006173FE"/>
    <w:rsid w:val="006174F2"/>
    <w:rsid w:val="00617517"/>
    <w:rsid w:val="00617D9C"/>
    <w:rsid w:val="00617EBE"/>
    <w:rsid w:val="00620283"/>
    <w:rsid w:val="00620CB8"/>
    <w:rsid w:val="00620F0B"/>
    <w:rsid w:val="00620F29"/>
    <w:rsid w:val="006219BB"/>
    <w:rsid w:val="00621F8F"/>
    <w:rsid w:val="006222D2"/>
    <w:rsid w:val="00622745"/>
    <w:rsid w:val="00623652"/>
    <w:rsid w:val="00623904"/>
    <w:rsid w:val="00624093"/>
    <w:rsid w:val="006243A6"/>
    <w:rsid w:val="0062465A"/>
    <w:rsid w:val="00624C00"/>
    <w:rsid w:val="00624EC4"/>
    <w:rsid w:val="00625023"/>
    <w:rsid w:val="006251DA"/>
    <w:rsid w:val="00625556"/>
    <w:rsid w:val="00625B5A"/>
    <w:rsid w:val="00625EDE"/>
    <w:rsid w:val="00626597"/>
    <w:rsid w:val="00626C74"/>
    <w:rsid w:val="00626CDE"/>
    <w:rsid w:val="0062795B"/>
    <w:rsid w:val="00630040"/>
    <w:rsid w:val="00630184"/>
    <w:rsid w:val="00630467"/>
    <w:rsid w:val="00630B8C"/>
    <w:rsid w:val="006318B9"/>
    <w:rsid w:val="00631E54"/>
    <w:rsid w:val="00631F5F"/>
    <w:rsid w:val="00632393"/>
    <w:rsid w:val="00632DC0"/>
    <w:rsid w:val="0063325C"/>
    <w:rsid w:val="00633948"/>
    <w:rsid w:val="00633B98"/>
    <w:rsid w:val="00633CF4"/>
    <w:rsid w:val="0063430C"/>
    <w:rsid w:val="006343ED"/>
    <w:rsid w:val="006346AA"/>
    <w:rsid w:val="006347FA"/>
    <w:rsid w:val="00635110"/>
    <w:rsid w:val="006354F5"/>
    <w:rsid w:val="006357F2"/>
    <w:rsid w:val="00635D6A"/>
    <w:rsid w:val="00635D98"/>
    <w:rsid w:val="006366C0"/>
    <w:rsid w:val="0063672E"/>
    <w:rsid w:val="00636971"/>
    <w:rsid w:val="00636C04"/>
    <w:rsid w:val="00636E29"/>
    <w:rsid w:val="0063766A"/>
    <w:rsid w:val="00637802"/>
    <w:rsid w:val="00637CE3"/>
    <w:rsid w:val="0064026D"/>
    <w:rsid w:val="006402A9"/>
    <w:rsid w:val="00640E8F"/>
    <w:rsid w:val="00641DF2"/>
    <w:rsid w:val="00642480"/>
    <w:rsid w:val="006427F5"/>
    <w:rsid w:val="00642A04"/>
    <w:rsid w:val="00642E0C"/>
    <w:rsid w:val="00642F8E"/>
    <w:rsid w:val="00643369"/>
    <w:rsid w:val="0064363A"/>
    <w:rsid w:val="00643CA9"/>
    <w:rsid w:val="00643F46"/>
    <w:rsid w:val="00644080"/>
    <w:rsid w:val="0064453E"/>
    <w:rsid w:val="00644BE6"/>
    <w:rsid w:val="00644C36"/>
    <w:rsid w:val="006451B2"/>
    <w:rsid w:val="0064554F"/>
    <w:rsid w:val="00645EC6"/>
    <w:rsid w:val="006461EA"/>
    <w:rsid w:val="00646443"/>
    <w:rsid w:val="00646D72"/>
    <w:rsid w:val="00646DBC"/>
    <w:rsid w:val="006472E3"/>
    <w:rsid w:val="006478B2"/>
    <w:rsid w:val="00647A0D"/>
    <w:rsid w:val="00647B6F"/>
    <w:rsid w:val="00647DF6"/>
    <w:rsid w:val="006500FA"/>
    <w:rsid w:val="00650DBF"/>
    <w:rsid w:val="00650E22"/>
    <w:rsid w:val="00650EFE"/>
    <w:rsid w:val="0065118C"/>
    <w:rsid w:val="00651275"/>
    <w:rsid w:val="0065152E"/>
    <w:rsid w:val="0065153E"/>
    <w:rsid w:val="006516E3"/>
    <w:rsid w:val="006519FC"/>
    <w:rsid w:val="00651CB7"/>
    <w:rsid w:val="00651FA1"/>
    <w:rsid w:val="0065240B"/>
    <w:rsid w:val="006524CF"/>
    <w:rsid w:val="006524FD"/>
    <w:rsid w:val="0065261A"/>
    <w:rsid w:val="00652A91"/>
    <w:rsid w:val="00652B35"/>
    <w:rsid w:val="00652CCC"/>
    <w:rsid w:val="00652D9D"/>
    <w:rsid w:val="0065334C"/>
    <w:rsid w:val="0065349B"/>
    <w:rsid w:val="00653A1C"/>
    <w:rsid w:val="00653C02"/>
    <w:rsid w:val="0065478F"/>
    <w:rsid w:val="00654BEC"/>
    <w:rsid w:val="00654E06"/>
    <w:rsid w:val="00654E49"/>
    <w:rsid w:val="006550A8"/>
    <w:rsid w:val="00655304"/>
    <w:rsid w:val="00655E28"/>
    <w:rsid w:val="00655FC1"/>
    <w:rsid w:val="00656162"/>
    <w:rsid w:val="006565AE"/>
    <w:rsid w:val="00656E92"/>
    <w:rsid w:val="00656F5D"/>
    <w:rsid w:val="00657014"/>
    <w:rsid w:val="0065767D"/>
    <w:rsid w:val="00657772"/>
    <w:rsid w:val="00657E8C"/>
    <w:rsid w:val="0066026E"/>
    <w:rsid w:val="006606DB"/>
    <w:rsid w:val="006614E4"/>
    <w:rsid w:val="0066153C"/>
    <w:rsid w:val="0066163B"/>
    <w:rsid w:val="006617F3"/>
    <w:rsid w:val="00661E95"/>
    <w:rsid w:val="0066213D"/>
    <w:rsid w:val="006622A8"/>
    <w:rsid w:val="00662391"/>
    <w:rsid w:val="0066272D"/>
    <w:rsid w:val="006627BB"/>
    <w:rsid w:val="00662D58"/>
    <w:rsid w:val="00662DA9"/>
    <w:rsid w:val="00662F83"/>
    <w:rsid w:val="00663AD8"/>
    <w:rsid w:val="00663CF0"/>
    <w:rsid w:val="00663D09"/>
    <w:rsid w:val="00663D77"/>
    <w:rsid w:val="00663EC5"/>
    <w:rsid w:val="006645C6"/>
    <w:rsid w:val="006649AB"/>
    <w:rsid w:val="0066523A"/>
    <w:rsid w:val="00665270"/>
    <w:rsid w:val="006657D2"/>
    <w:rsid w:val="00665931"/>
    <w:rsid w:val="00665D86"/>
    <w:rsid w:val="006663D5"/>
    <w:rsid w:val="00666D6E"/>
    <w:rsid w:val="00667457"/>
    <w:rsid w:val="00667462"/>
    <w:rsid w:val="00667508"/>
    <w:rsid w:val="00667661"/>
    <w:rsid w:val="00667718"/>
    <w:rsid w:val="0066792E"/>
    <w:rsid w:val="0067008C"/>
    <w:rsid w:val="00670DEF"/>
    <w:rsid w:val="00670DF4"/>
    <w:rsid w:val="00671313"/>
    <w:rsid w:val="00671316"/>
    <w:rsid w:val="006719EF"/>
    <w:rsid w:val="00671ECB"/>
    <w:rsid w:val="006727CD"/>
    <w:rsid w:val="00672A8F"/>
    <w:rsid w:val="00673A51"/>
    <w:rsid w:val="00674207"/>
    <w:rsid w:val="00674A11"/>
    <w:rsid w:val="00674A83"/>
    <w:rsid w:val="00674A88"/>
    <w:rsid w:val="00674C30"/>
    <w:rsid w:val="00674D51"/>
    <w:rsid w:val="006750D1"/>
    <w:rsid w:val="006752DC"/>
    <w:rsid w:val="006753D9"/>
    <w:rsid w:val="006755D1"/>
    <w:rsid w:val="00675847"/>
    <w:rsid w:val="0067591F"/>
    <w:rsid w:val="00675E52"/>
    <w:rsid w:val="00676EB5"/>
    <w:rsid w:val="00676F31"/>
    <w:rsid w:val="00677121"/>
    <w:rsid w:val="00677237"/>
    <w:rsid w:val="0067729D"/>
    <w:rsid w:val="006775DC"/>
    <w:rsid w:val="006805C1"/>
    <w:rsid w:val="0068072B"/>
    <w:rsid w:val="006809EE"/>
    <w:rsid w:val="00680A3E"/>
    <w:rsid w:val="006817F4"/>
    <w:rsid w:val="006818EA"/>
    <w:rsid w:val="00681D7E"/>
    <w:rsid w:val="00681E05"/>
    <w:rsid w:val="0068212C"/>
    <w:rsid w:val="006822A8"/>
    <w:rsid w:val="006829DA"/>
    <w:rsid w:val="00682CD7"/>
    <w:rsid w:val="00682FD8"/>
    <w:rsid w:val="0068315D"/>
    <w:rsid w:val="00683197"/>
    <w:rsid w:val="006831B3"/>
    <w:rsid w:val="00683306"/>
    <w:rsid w:val="00683950"/>
    <w:rsid w:val="00683C20"/>
    <w:rsid w:val="00683E01"/>
    <w:rsid w:val="00684092"/>
    <w:rsid w:val="006846C0"/>
    <w:rsid w:val="00684C05"/>
    <w:rsid w:val="00684E48"/>
    <w:rsid w:val="006852B8"/>
    <w:rsid w:val="00685776"/>
    <w:rsid w:val="006857C4"/>
    <w:rsid w:val="006858B9"/>
    <w:rsid w:val="00685A39"/>
    <w:rsid w:val="00685A5D"/>
    <w:rsid w:val="00685CC9"/>
    <w:rsid w:val="00685DFD"/>
    <w:rsid w:val="0068605F"/>
    <w:rsid w:val="006864A7"/>
    <w:rsid w:val="006867E4"/>
    <w:rsid w:val="0068695F"/>
    <w:rsid w:val="006869B4"/>
    <w:rsid w:val="006870B5"/>
    <w:rsid w:val="0068745B"/>
    <w:rsid w:val="0068785B"/>
    <w:rsid w:val="00687ADE"/>
    <w:rsid w:val="00690070"/>
    <w:rsid w:val="00690355"/>
    <w:rsid w:val="00690572"/>
    <w:rsid w:val="00690717"/>
    <w:rsid w:val="006907DD"/>
    <w:rsid w:val="00690F7F"/>
    <w:rsid w:val="006911C4"/>
    <w:rsid w:val="006914E5"/>
    <w:rsid w:val="00692289"/>
    <w:rsid w:val="006929A4"/>
    <w:rsid w:val="00692AB2"/>
    <w:rsid w:val="00692AE0"/>
    <w:rsid w:val="00692F0F"/>
    <w:rsid w:val="0069315A"/>
    <w:rsid w:val="00693920"/>
    <w:rsid w:val="00693929"/>
    <w:rsid w:val="00693EF3"/>
    <w:rsid w:val="00694032"/>
    <w:rsid w:val="00694075"/>
    <w:rsid w:val="00694325"/>
    <w:rsid w:val="006944B3"/>
    <w:rsid w:val="00694621"/>
    <w:rsid w:val="00694703"/>
    <w:rsid w:val="00694AE9"/>
    <w:rsid w:val="00694BFB"/>
    <w:rsid w:val="00694D68"/>
    <w:rsid w:val="00695215"/>
    <w:rsid w:val="006952F7"/>
    <w:rsid w:val="006953EA"/>
    <w:rsid w:val="00695919"/>
    <w:rsid w:val="00695D9D"/>
    <w:rsid w:val="00695EE1"/>
    <w:rsid w:val="0069621D"/>
    <w:rsid w:val="00696357"/>
    <w:rsid w:val="00696411"/>
    <w:rsid w:val="006967A2"/>
    <w:rsid w:val="00696BAB"/>
    <w:rsid w:val="00696EE8"/>
    <w:rsid w:val="00696FAC"/>
    <w:rsid w:val="006973EF"/>
    <w:rsid w:val="00697DFD"/>
    <w:rsid w:val="00697E15"/>
    <w:rsid w:val="006A0232"/>
    <w:rsid w:val="006A07B6"/>
    <w:rsid w:val="006A087D"/>
    <w:rsid w:val="006A0B7B"/>
    <w:rsid w:val="006A0D88"/>
    <w:rsid w:val="006A1050"/>
    <w:rsid w:val="006A1873"/>
    <w:rsid w:val="006A1F26"/>
    <w:rsid w:val="006A2A7B"/>
    <w:rsid w:val="006A3358"/>
    <w:rsid w:val="006A3878"/>
    <w:rsid w:val="006A3B62"/>
    <w:rsid w:val="006A3F06"/>
    <w:rsid w:val="006A3FC5"/>
    <w:rsid w:val="006A3FC7"/>
    <w:rsid w:val="006A4154"/>
    <w:rsid w:val="006A4EFA"/>
    <w:rsid w:val="006A514D"/>
    <w:rsid w:val="006A56B3"/>
    <w:rsid w:val="006A5799"/>
    <w:rsid w:val="006A585B"/>
    <w:rsid w:val="006A628C"/>
    <w:rsid w:val="006A654A"/>
    <w:rsid w:val="006A6560"/>
    <w:rsid w:val="006A6C31"/>
    <w:rsid w:val="006A6CDA"/>
    <w:rsid w:val="006A73CD"/>
    <w:rsid w:val="006B049C"/>
    <w:rsid w:val="006B09D1"/>
    <w:rsid w:val="006B0A8A"/>
    <w:rsid w:val="006B0F4D"/>
    <w:rsid w:val="006B1360"/>
    <w:rsid w:val="006B1393"/>
    <w:rsid w:val="006B1C45"/>
    <w:rsid w:val="006B22F3"/>
    <w:rsid w:val="006B266A"/>
    <w:rsid w:val="006B2A34"/>
    <w:rsid w:val="006B2B74"/>
    <w:rsid w:val="006B3212"/>
    <w:rsid w:val="006B3288"/>
    <w:rsid w:val="006B3474"/>
    <w:rsid w:val="006B4140"/>
    <w:rsid w:val="006B41CD"/>
    <w:rsid w:val="006B4771"/>
    <w:rsid w:val="006B4880"/>
    <w:rsid w:val="006B4B66"/>
    <w:rsid w:val="006B4DB2"/>
    <w:rsid w:val="006B4EA8"/>
    <w:rsid w:val="006B5114"/>
    <w:rsid w:val="006B56A5"/>
    <w:rsid w:val="006B65C8"/>
    <w:rsid w:val="006B66C6"/>
    <w:rsid w:val="006B6E03"/>
    <w:rsid w:val="006B71F2"/>
    <w:rsid w:val="006B75D2"/>
    <w:rsid w:val="006B7882"/>
    <w:rsid w:val="006B7F79"/>
    <w:rsid w:val="006C04E4"/>
    <w:rsid w:val="006C05CB"/>
    <w:rsid w:val="006C0D6C"/>
    <w:rsid w:val="006C0E38"/>
    <w:rsid w:val="006C1238"/>
    <w:rsid w:val="006C17CB"/>
    <w:rsid w:val="006C1F90"/>
    <w:rsid w:val="006C2436"/>
    <w:rsid w:val="006C2448"/>
    <w:rsid w:val="006C26F8"/>
    <w:rsid w:val="006C2935"/>
    <w:rsid w:val="006C2F2A"/>
    <w:rsid w:val="006C316F"/>
    <w:rsid w:val="006C37D2"/>
    <w:rsid w:val="006C45E2"/>
    <w:rsid w:val="006C46CA"/>
    <w:rsid w:val="006C4ACE"/>
    <w:rsid w:val="006C4B09"/>
    <w:rsid w:val="006C50AC"/>
    <w:rsid w:val="006C578F"/>
    <w:rsid w:val="006C5B87"/>
    <w:rsid w:val="006C619E"/>
    <w:rsid w:val="006C62DC"/>
    <w:rsid w:val="006C6706"/>
    <w:rsid w:val="006C6747"/>
    <w:rsid w:val="006C6987"/>
    <w:rsid w:val="006C75A8"/>
    <w:rsid w:val="006C772C"/>
    <w:rsid w:val="006C7DE0"/>
    <w:rsid w:val="006D00CE"/>
    <w:rsid w:val="006D017B"/>
    <w:rsid w:val="006D02BB"/>
    <w:rsid w:val="006D02D1"/>
    <w:rsid w:val="006D0420"/>
    <w:rsid w:val="006D1145"/>
    <w:rsid w:val="006D140B"/>
    <w:rsid w:val="006D1469"/>
    <w:rsid w:val="006D1E1C"/>
    <w:rsid w:val="006D2AEB"/>
    <w:rsid w:val="006D335E"/>
    <w:rsid w:val="006D36D2"/>
    <w:rsid w:val="006D3B86"/>
    <w:rsid w:val="006D3CDA"/>
    <w:rsid w:val="006D3F1C"/>
    <w:rsid w:val="006D4439"/>
    <w:rsid w:val="006D51BA"/>
    <w:rsid w:val="006D5C72"/>
    <w:rsid w:val="006D6078"/>
    <w:rsid w:val="006D60F6"/>
    <w:rsid w:val="006D6214"/>
    <w:rsid w:val="006D672C"/>
    <w:rsid w:val="006D733F"/>
    <w:rsid w:val="006D77F0"/>
    <w:rsid w:val="006D7B26"/>
    <w:rsid w:val="006E0008"/>
    <w:rsid w:val="006E0E15"/>
    <w:rsid w:val="006E1EE8"/>
    <w:rsid w:val="006E23FA"/>
    <w:rsid w:val="006E277C"/>
    <w:rsid w:val="006E2E11"/>
    <w:rsid w:val="006E3287"/>
    <w:rsid w:val="006E35E6"/>
    <w:rsid w:val="006E3969"/>
    <w:rsid w:val="006E3C4B"/>
    <w:rsid w:val="006E4264"/>
    <w:rsid w:val="006E4E9E"/>
    <w:rsid w:val="006E4F16"/>
    <w:rsid w:val="006E5010"/>
    <w:rsid w:val="006E50BD"/>
    <w:rsid w:val="006E58B1"/>
    <w:rsid w:val="006E59E3"/>
    <w:rsid w:val="006E5E1B"/>
    <w:rsid w:val="006E61FA"/>
    <w:rsid w:val="006E6244"/>
    <w:rsid w:val="006E650F"/>
    <w:rsid w:val="006E694C"/>
    <w:rsid w:val="006E7024"/>
    <w:rsid w:val="006E723A"/>
    <w:rsid w:val="006E72D4"/>
    <w:rsid w:val="006E7F81"/>
    <w:rsid w:val="006E7FD4"/>
    <w:rsid w:val="006F00D4"/>
    <w:rsid w:val="006F0503"/>
    <w:rsid w:val="006F08A0"/>
    <w:rsid w:val="006F08B4"/>
    <w:rsid w:val="006F09E5"/>
    <w:rsid w:val="006F0DB4"/>
    <w:rsid w:val="006F1F77"/>
    <w:rsid w:val="006F2CAC"/>
    <w:rsid w:val="006F2D41"/>
    <w:rsid w:val="006F3187"/>
    <w:rsid w:val="006F430C"/>
    <w:rsid w:val="006F4980"/>
    <w:rsid w:val="006F4B69"/>
    <w:rsid w:val="006F4FD4"/>
    <w:rsid w:val="006F50E4"/>
    <w:rsid w:val="006F5243"/>
    <w:rsid w:val="006F5A62"/>
    <w:rsid w:val="006F5B32"/>
    <w:rsid w:val="006F6495"/>
    <w:rsid w:val="006F6C26"/>
    <w:rsid w:val="006F72C3"/>
    <w:rsid w:val="00700071"/>
    <w:rsid w:val="0070014A"/>
    <w:rsid w:val="0070071B"/>
    <w:rsid w:val="00700C96"/>
    <w:rsid w:val="00701005"/>
    <w:rsid w:val="00701604"/>
    <w:rsid w:val="0070173E"/>
    <w:rsid w:val="00702A64"/>
    <w:rsid w:val="00703074"/>
    <w:rsid w:val="00703579"/>
    <w:rsid w:val="0070364D"/>
    <w:rsid w:val="0070384F"/>
    <w:rsid w:val="00703A4E"/>
    <w:rsid w:val="00703FC6"/>
    <w:rsid w:val="007040D8"/>
    <w:rsid w:val="00704412"/>
    <w:rsid w:val="0070446D"/>
    <w:rsid w:val="00704F12"/>
    <w:rsid w:val="00705096"/>
    <w:rsid w:val="0070519F"/>
    <w:rsid w:val="00705D75"/>
    <w:rsid w:val="00705E7A"/>
    <w:rsid w:val="00705FDA"/>
    <w:rsid w:val="00706330"/>
    <w:rsid w:val="0070662C"/>
    <w:rsid w:val="007066A0"/>
    <w:rsid w:val="00706933"/>
    <w:rsid w:val="007069A0"/>
    <w:rsid w:val="00706A65"/>
    <w:rsid w:val="00706ACC"/>
    <w:rsid w:val="00706B1D"/>
    <w:rsid w:val="00706B64"/>
    <w:rsid w:val="00707197"/>
    <w:rsid w:val="007072E8"/>
    <w:rsid w:val="00707428"/>
    <w:rsid w:val="00707A3A"/>
    <w:rsid w:val="00707D32"/>
    <w:rsid w:val="00707D47"/>
    <w:rsid w:val="00707FC7"/>
    <w:rsid w:val="00710027"/>
    <w:rsid w:val="0071032B"/>
    <w:rsid w:val="007105DD"/>
    <w:rsid w:val="0071068B"/>
    <w:rsid w:val="00710EA8"/>
    <w:rsid w:val="00710FAE"/>
    <w:rsid w:val="0071108A"/>
    <w:rsid w:val="0071135D"/>
    <w:rsid w:val="007114A9"/>
    <w:rsid w:val="007114E5"/>
    <w:rsid w:val="00711523"/>
    <w:rsid w:val="00711584"/>
    <w:rsid w:val="00711A71"/>
    <w:rsid w:val="00711DD9"/>
    <w:rsid w:val="007120DF"/>
    <w:rsid w:val="00712259"/>
    <w:rsid w:val="007127D6"/>
    <w:rsid w:val="00713A1F"/>
    <w:rsid w:val="00713B91"/>
    <w:rsid w:val="00713C88"/>
    <w:rsid w:val="00714350"/>
    <w:rsid w:val="007143ED"/>
    <w:rsid w:val="007151DD"/>
    <w:rsid w:val="007152DC"/>
    <w:rsid w:val="00715967"/>
    <w:rsid w:val="0071605E"/>
    <w:rsid w:val="00716D51"/>
    <w:rsid w:val="00717479"/>
    <w:rsid w:val="00717498"/>
    <w:rsid w:val="00717503"/>
    <w:rsid w:val="00717DA5"/>
    <w:rsid w:val="007201FF"/>
    <w:rsid w:val="00720524"/>
    <w:rsid w:val="0072057A"/>
    <w:rsid w:val="007215A2"/>
    <w:rsid w:val="0072194A"/>
    <w:rsid w:val="00721C04"/>
    <w:rsid w:val="007220F1"/>
    <w:rsid w:val="0072234D"/>
    <w:rsid w:val="00722CAE"/>
    <w:rsid w:val="00723603"/>
    <w:rsid w:val="00723731"/>
    <w:rsid w:val="00723817"/>
    <w:rsid w:val="0072386B"/>
    <w:rsid w:val="00723A07"/>
    <w:rsid w:val="00723A1B"/>
    <w:rsid w:val="00723E4A"/>
    <w:rsid w:val="007245F7"/>
    <w:rsid w:val="00725A0F"/>
    <w:rsid w:val="00726348"/>
    <w:rsid w:val="007267CC"/>
    <w:rsid w:val="007272EE"/>
    <w:rsid w:val="007276F3"/>
    <w:rsid w:val="00727B97"/>
    <w:rsid w:val="0073004B"/>
    <w:rsid w:val="007305F2"/>
    <w:rsid w:val="00731289"/>
    <w:rsid w:val="00731310"/>
    <w:rsid w:val="0073144E"/>
    <w:rsid w:val="00731567"/>
    <w:rsid w:val="0073391F"/>
    <w:rsid w:val="007339B9"/>
    <w:rsid w:val="00733D82"/>
    <w:rsid w:val="0073446C"/>
    <w:rsid w:val="00734DDE"/>
    <w:rsid w:val="00734E98"/>
    <w:rsid w:val="0073544A"/>
    <w:rsid w:val="007355EA"/>
    <w:rsid w:val="00735AC2"/>
    <w:rsid w:val="00735DA3"/>
    <w:rsid w:val="00735E5A"/>
    <w:rsid w:val="0073606A"/>
    <w:rsid w:val="00736A81"/>
    <w:rsid w:val="00736BC6"/>
    <w:rsid w:val="00736FDC"/>
    <w:rsid w:val="00737158"/>
    <w:rsid w:val="0074060B"/>
    <w:rsid w:val="00740680"/>
    <w:rsid w:val="007406BA"/>
    <w:rsid w:val="007406FD"/>
    <w:rsid w:val="0074087D"/>
    <w:rsid w:val="00740AFE"/>
    <w:rsid w:val="00740BBF"/>
    <w:rsid w:val="00742157"/>
    <w:rsid w:val="007425FE"/>
    <w:rsid w:val="0074273C"/>
    <w:rsid w:val="00742A19"/>
    <w:rsid w:val="00742E68"/>
    <w:rsid w:val="00743AA8"/>
    <w:rsid w:val="00743C37"/>
    <w:rsid w:val="0074467A"/>
    <w:rsid w:val="00744AA8"/>
    <w:rsid w:val="00744C4E"/>
    <w:rsid w:val="00744E98"/>
    <w:rsid w:val="00745556"/>
    <w:rsid w:val="00745AD7"/>
    <w:rsid w:val="00746038"/>
    <w:rsid w:val="007462D8"/>
    <w:rsid w:val="007466E8"/>
    <w:rsid w:val="00746F8B"/>
    <w:rsid w:val="00747060"/>
    <w:rsid w:val="007471E8"/>
    <w:rsid w:val="007471F5"/>
    <w:rsid w:val="00747508"/>
    <w:rsid w:val="007479FA"/>
    <w:rsid w:val="00747C59"/>
    <w:rsid w:val="007507CB"/>
    <w:rsid w:val="00750825"/>
    <w:rsid w:val="00751004"/>
    <w:rsid w:val="00751413"/>
    <w:rsid w:val="007519CC"/>
    <w:rsid w:val="00751F2E"/>
    <w:rsid w:val="00751FD2"/>
    <w:rsid w:val="007527A5"/>
    <w:rsid w:val="00752933"/>
    <w:rsid w:val="00752C50"/>
    <w:rsid w:val="0075398C"/>
    <w:rsid w:val="00753B93"/>
    <w:rsid w:val="00753CFF"/>
    <w:rsid w:val="00753E3D"/>
    <w:rsid w:val="00754030"/>
    <w:rsid w:val="007545A4"/>
    <w:rsid w:val="0075462F"/>
    <w:rsid w:val="00754F33"/>
    <w:rsid w:val="007553B6"/>
    <w:rsid w:val="00755CA7"/>
    <w:rsid w:val="00755CAB"/>
    <w:rsid w:val="00755F92"/>
    <w:rsid w:val="0075793A"/>
    <w:rsid w:val="00757C6F"/>
    <w:rsid w:val="00757F91"/>
    <w:rsid w:val="0076000A"/>
    <w:rsid w:val="00760976"/>
    <w:rsid w:val="00760DAD"/>
    <w:rsid w:val="00760F91"/>
    <w:rsid w:val="00761148"/>
    <w:rsid w:val="0076168E"/>
    <w:rsid w:val="00761772"/>
    <w:rsid w:val="0076186B"/>
    <w:rsid w:val="0076187B"/>
    <w:rsid w:val="00761D45"/>
    <w:rsid w:val="00761DE0"/>
    <w:rsid w:val="007623D9"/>
    <w:rsid w:val="00762970"/>
    <w:rsid w:val="00763459"/>
    <w:rsid w:val="007635E1"/>
    <w:rsid w:val="00763F9B"/>
    <w:rsid w:val="00763FF0"/>
    <w:rsid w:val="0076407D"/>
    <w:rsid w:val="0076410C"/>
    <w:rsid w:val="007645E9"/>
    <w:rsid w:val="00764F08"/>
    <w:rsid w:val="00764FFD"/>
    <w:rsid w:val="00765F4C"/>
    <w:rsid w:val="00765FBD"/>
    <w:rsid w:val="007660F3"/>
    <w:rsid w:val="00766BC9"/>
    <w:rsid w:val="00767312"/>
    <w:rsid w:val="0077032A"/>
    <w:rsid w:val="0077053B"/>
    <w:rsid w:val="00770662"/>
    <w:rsid w:val="00770B78"/>
    <w:rsid w:val="00771815"/>
    <w:rsid w:val="0077190E"/>
    <w:rsid w:val="00772760"/>
    <w:rsid w:val="007728E3"/>
    <w:rsid w:val="00772B13"/>
    <w:rsid w:val="00772BBB"/>
    <w:rsid w:val="00772F59"/>
    <w:rsid w:val="00773319"/>
    <w:rsid w:val="00773DFC"/>
    <w:rsid w:val="00773E04"/>
    <w:rsid w:val="00773F3F"/>
    <w:rsid w:val="0077436B"/>
    <w:rsid w:val="007743FB"/>
    <w:rsid w:val="0077442A"/>
    <w:rsid w:val="00774498"/>
    <w:rsid w:val="007745E9"/>
    <w:rsid w:val="00774A15"/>
    <w:rsid w:val="00774BDA"/>
    <w:rsid w:val="00774CDF"/>
    <w:rsid w:val="007752D9"/>
    <w:rsid w:val="00775451"/>
    <w:rsid w:val="0077551F"/>
    <w:rsid w:val="00775651"/>
    <w:rsid w:val="00775AE4"/>
    <w:rsid w:val="00775F6C"/>
    <w:rsid w:val="00776018"/>
    <w:rsid w:val="00776331"/>
    <w:rsid w:val="00776F3F"/>
    <w:rsid w:val="007771DD"/>
    <w:rsid w:val="007771EC"/>
    <w:rsid w:val="0077759B"/>
    <w:rsid w:val="007775EC"/>
    <w:rsid w:val="00777B40"/>
    <w:rsid w:val="00777D2E"/>
    <w:rsid w:val="0078041A"/>
    <w:rsid w:val="00780699"/>
    <w:rsid w:val="0078070A"/>
    <w:rsid w:val="00781568"/>
    <w:rsid w:val="00781646"/>
    <w:rsid w:val="007819CF"/>
    <w:rsid w:val="00781E77"/>
    <w:rsid w:val="0078289B"/>
    <w:rsid w:val="00782DAE"/>
    <w:rsid w:val="0078304E"/>
    <w:rsid w:val="00783126"/>
    <w:rsid w:val="00783221"/>
    <w:rsid w:val="007836B4"/>
    <w:rsid w:val="00783B31"/>
    <w:rsid w:val="007842FC"/>
    <w:rsid w:val="00784B04"/>
    <w:rsid w:val="007850C4"/>
    <w:rsid w:val="00785326"/>
    <w:rsid w:val="0078537B"/>
    <w:rsid w:val="007856CF"/>
    <w:rsid w:val="00785EC3"/>
    <w:rsid w:val="00786132"/>
    <w:rsid w:val="00786510"/>
    <w:rsid w:val="007867BF"/>
    <w:rsid w:val="00786BB8"/>
    <w:rsid w:val="00786D3C"/>
    <w:rsid w:val="00786F59"/>
    <w:rsid w:val="00787082"/>
    <w:rsid w:val="00787095"/>
    <w:rsid w:val="00787139"/>
    <w:rsid w:val="007874ED"/>
    <w:rsid w:val="007903BB"/>
    <w:rsid w:val="0079075D"/>
    <w:rsid w:val="00791508"/>
    <w:rsid w:val="0079171C"/>
    <w:rsid w:val="007923C1"/>
    <w:rsid w:val="0079294E"/>
    <w:rsid w:val="00792F26"/>
    <w:rsid w:val="0079308A"/>
    <w:rsid w:val="007931C4"/>
    <w:rsid w:val="00793691"/>
    <w:rsid w:val="007936A4"/>
    <w:rsid w:val="007939DD"/>
    <w:rsid w:val="00793E7A"/>
    <w:rsid w:val="00794466"/>
    <w:rsid w:val="0079458A"/>
    <w:rsid w:val="00794D35"/>
    <w:rsid w:val="007955F6"/>
    <w:rsid w:val="00795715"/>
    <w:rsid w:val="00795B9B"/>
    <w:rsid w:val="007961C2"/>
    <w:rsid w:val="007962C4"/>
    <w:rsid w:val="00796471"/>
    <w:rsid w:val="0079656D"/>
    <w:rsid w:val="0079696D"/>
    <w:rsid w:val="00796B4E"/>
    <w:rsid w:val="00796C2C"/>
    <w:rsid w:val="00796E21"/>
    <w:rsid w:val="0079705C"/>
    <w:rsid w:val="00797A70"/>
    <w:rsid w:val="00797B9C"/>
    <w:rsid w:val="00797DA7"/>
    <w:rsid w:val="00797EF9"/>
    <w:rsid w:val="007A0092"/>
    <w:rsid w:val="007A023D"/>
    <w:rsid w:val="007A028E"/>
    <w:rsid w:val="007A0308"/>
    <w:rsid w:val="007A033B"/>
    <w:rsid w:val="007A088D"/>
    <w:rsid w:val="007A0C55"/>
    <w:rsid w:val="007A0D21"/>
    <w:rsid w:val="007A0E5F"/>
    <w:rsid w:val="007A1639"/>
    <w:rsid w:val="007A1E03"/>
    <w:rsid w:val="007A2B8C"/>
    <w:rsid w:val="007A2CF3"/>
    <w:rsid w:val="007A3026"/>
    <w:rsid w:val="007A3757"/>
    <w:rsid w:val="007A3B50"/>
    <w:rsid w:val="007A3EA2"/>
    <w:rsid w:val="007A49DB"/>
    <w:rsid w:val="007A5AAB"/>
    <w:rsid w:val="007A5AEE"/>
    <w:rsid w:val="007A5D7E"/>
    <w:rsid w:val="007A62FD"/>
    <w:rsid w:val="007A65AB"/>
    <w:rsid w:val="007A6A35"/>
    <w:rsid w:val="007A6AEC"/>
    <w:rsid w:val="007A6BD3"/>
    <w:rsid w:val="007A6F28"/>
    <w:rsid w:val="007A74A5"/>
    <w:rsid w:val="007A75BC"/>
    <w:rsid w:val="007A777E"/>
    <w:rsid w:val="007A796F"/>
    <w:rsid w:val="007A7A29"/>
    <w:rsid w:val="007B0618"/>
    <w:rsid w:val="007B0BE4"/>
    <w:rsid w:val="007B0CEF"/>
    <w:rsid w:val="007B15DF"/>
    <w:rsid w:val="007B181B"/>
    <w:rsid w:val="007B193D"/>
    <w:rsid w:val="007B1C15"/>
    <w:rsid w:val="007B1C82"/>
    <w:rsid w:val="007B1E98"/>
    <w:rsid w:val="007B207C"/>
    <w:rsid w:val="007B2695"/>
    <w:rsid w:val="007B4087"/>
    <w:rsid w:val="007B4262"/>
    <w:rsid w:val="007B46A6"/>
    <w:rsid w:val="007B489D"/>
    <w:rsid w:val="007B55B4"/>
    <w:rsid w:val="007B5D12"/>
    <w:rsid w:val="007B5EED"/>
    <w:rsid w:val="007B6606"/>
    <w:rsid w:val="007B690B"/>
    <w:rsid w:val="007B698A"/>
    <w:rsid w:val="007B6A5F"/>
    <w:rsid w:val="007B7284"/>
    <w:rsid w:val="007B7976"/>
    <w:rsid w:val="007B79D2"/>
    <w:rsid w:val="007B7C3E"/>
    <w:rsid w:val="007C0419"/>
    <w:rsid w:val="007C17E2"/>
    <w:rsid w:val="007C1A98"/>
    <w:rsid w:val="007C1BB4"/>
    <w:rsid w:val="007C2361"/>
    <w:rsid w:val="007C260E"/>
    <w:rsid w:val="007C275B"/>
    <w:rsid w:val="007C2D12"/>
    <w:rsid w:val="007C2DD3"/>
    <w:rsid w:val="007C31E7"/>
    <w:rsid w:val="007C3636"/>
    <w:rsid w:val="007C3B0C"/>
    <w:rsid w:val="007C3B18"/>
    <w:rsid w:val="007C5175"/>
    <w:rsid w:val="007C5248"/>
    <w:rsid w:val="007C57D8"/>
    <w:rsid w:val="007C5968"/>
    <w:rsid w:val="007C5D29"/>
    <w:rsid w:val="007C611C"/>
    <w:rsid w:val="007C6142"/>
    <w:rsid w:val="007C64DF"/>
    <w:rsid w:val="007C6C8F"/>
    <w:rsid w:val="007C7079"/>
    <w:rsid w:val="007C73ED"/>
    <w:rsid w:val="007C777A"/>
    <w:rsid w:val="007C7C2E"/>
    <w:rsid w:val="007D032C"/>
    <w:rsid w:val="007D03A5"/>
    <w:rsid w:val="007D05C7"/>
    <w:rsid w:val="007D0965"/>
    <w:rsid w:val="007D174D"/>
    <w:rsid w:val="007D18B3"/>
    <w:rsid w:val="007D1A49"/>
    <w:rsid w:val="007D1A82"/>
    <w:rsid w:val="007D1DAE"/>
    <w:rsid w:val="007D24F7"/>
    <w:rsid w:val="007D26BA"/>
    <w:rsid w:val="007D2A49"/>
    <w:rsid w:val="007D2B63"/>
    <w:rsid w:val="007D321F"/>
    <w:rsid w:val="007D3CA3"/>
    <w:rsid w:val="007D4714"/>
    <w:rsid w:val="007D517D"/>
    <w:rsid w:val="007D5B78"/>
    <w:rsid w:val="007D5CB8"/>
    <w:rsid w:val="007D6047"/>
    <w:rsid w:val="007D609A"/>
    <w:rsid w:val="007D6201"/>
    <w:rsid w:val="007D64D0"/>
    <w:rsid w:val="007D6613"/>
    <w:rsid w:val="007D66C4"/>
    <w:rsid w:val="007D6BA0"/>
    <w:rsid w:val="007D6CE7"/>
    <w:rsid w:val="007D7068"/>
    <w:rsid w:val="007D7678"/>
    <w:rsid w:val="007E0353"/>
    <w:rsid w:val="007E0880"/>
    <w:rsid w:val="007E0961"/>
    <w:rsid w:val="007E139F"/>
    <w:rsid w:val="007E13DF"/>
    <w:rsid w:val="007E1C9A"/>
    <w:rsid w:val="007E1DA1"/>
    <w:rsid w:val="007E1F3B"/>
    <w:rsid w:val="007E2019"/>
    <w:rsid w:val="007E2782"/>
    <w:rsid w:val="007E27F8"/>
    <w:rsid w:val="007E295A"/>
    <w:rsid w:val="007E29D1"/>
    <w:rsid w:val="007E2B7D"/>
    <w:rsid w:val="007E2E95"/>
    <w:rsid w:val="007E37A7"/>
    <w:rsid w:val="007E3B2C"/>
    <w:rsid w:val="007E3D72"/>
    <w:rsid w:val="007E3ED5"/>
    <w:rsid w:val="007E41F6"/>
    <w:rsid w:val="007E4B07"/>
    <w:rsid w:val="007E4DFC"/>
    <w:rsid w:val="007E5619"/>
    <w:rsid w:val="007E59B9"/>
    <w:rsid w:val="007E6631"/>
    <w:rsid w:val="007E6D45"/>
    <w:rsid w:val="007E72A6"/>
    <w:rsid w:val="007F01C1"/>
    <w:rsid w:val="007F043A"/>
    <w:rsid w:val="007F0F5A"/>
    <w:rsid w:val="007F1050"/>
    <w:rsid w:val="007F1052"/>
    <w:rsid w:val="007F1992"/>
    <w:rsid w:val="007F1E74"/>
    <w:rsid w:val="007F1F51"/>
    <w:rsid w:val="007F1F8E"/>
    <w:rsid w:val="007F1FFE"/>
    <w:rsid w:val="007F292E"/>
    <w:rsid w:val="007F2D72"/>
    <w:rsid w:val="007F2DA2"/>
    <w:rsid w:val="007F2E31"/>
    <w:rsid w:val="007F3A4E"/>
    <w:rsid w:val="007F3F6D"/>
    <w:rsid w:val="007F43A0"/>
    <w:rsid w:val="007F44EE"/>
    <w:rsid w:val="007F4D14"/>
    <w:rsid w:val="007F4D1F"/>
    <w:rsid w:val="007F5011"/>
    <w:rsid w:val="007F5059"/>
    <w:rsid w:val="007F5089"/>
    <w:rsid w:val="007F5257"/>
    <w:rsid w:val="007F588B"/>
    <w:rsid w:val="007F5DE8"/>
    <w:rsid w:val="007F6645"/>
    <w:rsid w:val="007F7101"/>
    <w:rsid w:val="007F7550"/>
    <w:rsid w:val="007F75FF"/>
    <w:rsid w:val="007F76A4"/>
    <w:rsid w:val="007F7912"/>
    <w:rsid w:val="007F7B3C"/>
    <w:rsid w:val="00800EDA"/>
    <w:rsid w:val="008012A6"/>
    <w:rsid w:val="00801A62"/>
    <w:rsid w:val="00801A64"/>
    <w:rsid w:val="00802685"/>
    <w:rsid w:val="0080271C"/>
    <w:rsid w:val="008028E3"/>
    <w:rsid w:val="00802C36"/>
    <w:rsid w:val="00802F7C"/>
    <w:rsid w:val="00803458"/>
    <w:rsid w:val="00803816"/>
    <w:rsid w:val="00803922"/>
    <w:rsid w:val="00803D0C"/>
    <w:rsid w:val="008044D2"/>
    <w:rsid w:val="00804874"/>
    <w:rsid w:val="00805D76"/>
    <w:rsid w:val="008060F1"/>
    <w:rsid w:val="00806309"/>
    <w:rsid w:val="008066A4"/>
    <w:rsid w:val="00806AA6"/>
    <w:rsid w:val="00806BD5"/>
    <w:rsid w:val="00807275"/>
    <w:rsid w:val="00807360"/>
    <w:rsid w:val="008074FA"/>
    <w:rsid w:val="00807C3D"/>
    <w:rsid w:val="00807D83"/>
    <w:rsid w:val="00807FCB"/>
    <w:rsid w:val="00810359"/>
    <w:rsid w:val="0081168D"/>
    <w:rsid w:val="008121EC"/>
    <w:rsid w:val="00812481"/>
    <w:rsid w:val="008129A6"/>
    <w:rsid w:val="008132C9"/>
    <w:rsid w:val="00813917"/>
    <w:rsid w:val="00813A2C"/>
    <w:rsid w:val="00813AE8"/>
    <w:rsid w:val="00813B34"/>
    <w:rsid w:val="00814488"/>
    <w:rsid w:val="00814761"/>
    <w:rsid w:val="00814857"/>
    <w:rsid w:val="00814C4A"/>
    <w:rsid w:val="00814CAD"/>
    <w:rsid w:val="008151FE"/>
    <w:rsid w:val="008154CE"/>
    <w:rsid w:val="0081599C"/>
    <w:rsid w:val="008159A8"/>
    <w:rsid w:val="0081625A"/>
    <w:rsid w:val="0081640B"/>
    <w:rsid w:val="00816475"/>
    <w:rsid w:val="00816860"/>
    <w:rsid w:val="00816C1C"/>
    <w:rsid w:val="00816C88"/>
    <w:rsid w:val="00816CA3"/>
    <w:rsid w:val="00816CE3"/>
    <w:rsid w:val="00817473"/>
    <w:rsid w:val="00817565"/>
    <w:rsid w:val="00817A11"/>
    <w:rsid w:val="008201AC"/>
    <w:rsid w:val="008202B6"/>
    <w:rsid w:val="0082066D"/>
    <w:rsid w:val="0082074C"/>
    <w:rsid w:val="00820F5B"/>
    <w:rsid w:val="0082107D"/>
    <w:rsid w:val="008216EE"/>
    <w:rsid w:val="00821FC7"/>
    <w:rsid w:val="0082203F"/>
    <w:rsid w:val="008220C4"/>
    <w:rsid w:val="008223AE"/>
    <w:rsid w:val="00822530"/>
    <w:rsid w:val="0082268D"/>
    <w:rsid w:val="0082351C"/>
    <w:rsid w:val="00823811"/>
    <w:rsid w:val="00823901"/>
    <w:rsid w:val="00824285"/>
    <w:rsid w:val="0082431F"/>
    <w:rsid w:val="00825DA9"/>
    <w:rsid w:val="00826405"/>
    <w:rsid w:val="00826414"/>
    <w:rsid w:val="00826636"/>
    <w:rsid w:val="00827164"/>
    <w:rsid w:val="00827458"/>
    <w:rsid w:val="00827547"/>
    <w:rsid w:val="008275EB"/>
    <w:rsid w:val="0082781A"/>
    <w:rsid w:val="00827953"/>
    <w:rsid w:val="00827B70"/>
    <w:rsid w:val="00827D93"/>
    <w:rsid w:val="00827DC7"/>
    <w:rsid w:val="00827EE0"/>
    <w:rsid w:val="00830117"/>
    <w:rsid w:val="0083030E"/>
    <w:rsid w:val="00830416"/>
    <w:rsid w:val="0083077E"/>
    <w:rsid w:val="00830963"/>
    <w:rsid w:val="00831381"/>
    <w:rsid w:val="008313CB"/>
    <w:rsid w:val="008315BB"/>
    <w:rsid w:val="008320B5"/>
    <w:rsid w:val="00832567"/>
    <w:rsid w:val="00832943"/>
    <w:rsid w:val="00832F20"/>
    <w:rsid w:val="00833E53"/>
    <w:rsid w:val="00834829"/>
    <w:rsid w:val="00835615"/>
    <w:rsid w:val="00835E24"/>
    <w:rsid w:val="00835FC1"/>
    <w:rsid w:val="008360C6"/>
    <w:rsid w:val="008363BC"/>
    <w:rsid w:val="008364F9"/>
    <w:rsid w:val="00836605"/>
    <w:rsid w:val="00836DD5"/>
    <w:rsid w:val="008370E7"/>
    <w:rsid w:val="008379ED"/>
    <w:rsid w:val="00837F8F"/>
    <w:rsid w:val="00837FAF"/>
    <w:rsid w:val="008400F4"/>
    <w:rsid w:val="00840150"/>
    <w:rsid w:val="00840740"/>
    <w:rsid w:val="00840F88"/>
    <w:rsid w:val="00840FEE"/>
    <w:rsid w:val="0084137E"/>
    <w:rsid w:val="008414A4"/>
    <w:rsid w:val="0084166B"/>
    <w:rsid w:val="00841B44"/>
    <w:rsid w:val="00841C69"/>
    <w:rsid w:val="00841EE1"/>
    <w:rsid w:val="008426ED"/>
    <w:rsid w:val="00842714"/>
    <w:rsid w:val="00843012"/>
    <w:rsid w:val="008435FF"/>
    <w:rsid w:val="00843B82"/>
    <w:rsid w:val="00843FAF"/>
    <w:rsid w:val="00843FDC"/>
    <w:rsid w:val="008440F0"/>
    <w:rsid w:val="0084458B"/>
    <w:rsid w:val="0084496D"/>
    <w:rsid w:val="00844C1E"/>
    <w:rsid w:val="00844E84"/>
    <w:rsid w:val="008450F7"/>
    <w:rsid w:val="00845158"/>
    <w:rsid w:val="008452F5"/>
    <w:rsid w:val="00845EF8"/>
    <w:rsid w:val="00846665"/>
    <w:rsid w:val="0084694E"/>
    <w:rsid w:val="008469F5"/>
    <w:rsid w:val="008478B9"/>
    <w:rsid w:val="00847A48"/>
    <w:rsid w:val="00847CB2"/>
    <w:rsid w:val="00847FC4"/>
    <w:rsid w:val="008506D6"/>
    <w:rsid w:val="00850C0B"/>
    <w:rsid w:val="00850D2B"/>
    <w:rsid w:val="00851721"/>
    <w:rsid w:val="00851DC4"/>
    <w:rsid w:val="00851F29"/>
    <w:rsid w:val="00852158"/>
    <w:rsid w:val="008526DE"/>
    <w:rsid w:val="008527EB"/>
    <w:rsid w:val="00852AEA"/>
    <w:rsid w:val="00852C82"/>
    <w:rsid w:val="00852F27"/>
    <w:rsid w:val="00853098"/>
    <w:rsid w:val="0085312A"/>
    <w:rsid w:val="00853921"/>
    <w:rsid w:val="00853BBD"/>
    <w:rsid w:val="00853C56"/>
    <w:rsid w:val="00854040"/>
    <w:rsid w:val="008540B6"/>
    <w:rsid w:val="00854395"/>
    <w:rsid w:val="008543EE"/>
    <w:rsid w:val="00854724"/>
    <w:rsid w:val="00854872"/>
    <w:rsid w:val="00854E1C"/>
    <w:rsid w:val="008558F9"/>
    <w:rsid w:val="00855FE6"/>
    <w:rsid w:val="00856682"/>
    <w:rsid w:val="00856BA4"/>
    <w:rsid w:val="00856CE2"/>
    <w:rsid w:val="00856D38"/>
    <w:rsid w:val="00856E25"/>
    <w:rsid w:val="008570DD"/>
    <w:rsid w:val="00857175"/>
    <w:rsid w:val="0085769F"/>
    <w:rsid w:val="00857AEC"/>
    <w:rsid w:val="00857D00"/>
    <w:rsid w:val="00857E2C"/>
    <w:rsid w:val="00860442"/>
    <w:rsid w:val="008606BF"/>
    <w:rsid w:val="00860B92"/>
    <w:rsid w:val="00860E23"/>
    <w:rsid w:val="008615F9"/>
    <w:rsid w:val="00861BDC"/>
    <w:rsid w:val="008622E2"/>
    <w:rsid w:val="008623CB"/>
    <w:rsid w:val="008628D8"/>
    <w:rsid w:val="00862987"/>
    <w:rsid w:val="00862CB6"/>
    <w:rsid w:val="00863029"/>
    <w:rsid w:val="00863199"/>
    <w:rsid w:val="0086351E"/>
    <w:rsid w:val="0086403A"/>
    <w:rsid w:val="00864069"/>
    <w:rsid w:val="00864720"/>
    <w:rsid w:val="0086480D"/>
    <w:rsid w:val="00864FFC"/>
    <w:rsid w:val="00865C38"/>
    <w:rsid w:val="00866247"/>
    <w:rsid w:val="008663D1"/>
    <w:rsid w:val="00866A7D"/>
    <w:rsid w:val="00866D43"/>
    <w:rsid w:val="00867775"/>
    <w:rsid w:val="00867940"/>
    <w:rsid w:val="00870AC1"/>
    <w:rsid w:val="00870EE5"/>
    <w:rsid w:val="0087191D"/>
    <w:rsid w:val="00871D95"/>
    <w:rsid w:val="00871DF2"/>
    <w:rsid w:val="008720D9"/>
    <w:rsid w:val="008734F3"/>
    <w:rsid w:val="00873607"/>
    <w:rsid w:val="008737D9"/>
    <w:rsid w:val="00873FB4"/>
    <w:rsid w:val="00874191"/>
    <w:rsid w:val="0087444F"/>
    <w:rsid w:val="008746ED"/>
    <w:rsid w:val="008751AD"/>
    <w:rsid w:val="0087548C"/>
    <w:rsid w:val="00875548"/>
    <w:rsid w:val="00875968"/>
    <w:rsid w:val="008763D7"/>
    <w:rsid w:val="00876A68"/>
    <w:rsid w:val="0087728F"/>
    <w:rsid w:val="008772D8"/>
    <w:rsid w:val="00877B86"/>
    <w:rsid w:val="00877E13"/>
    <w:rsid w:val="00877E3F"/>
    <w:rsid w:val="00880820"/>
    <w:rsid w:val="00880B66"/>
    <w:rsid w:val="00880C8B"/>
    <w:rsid w:val="00881FFF"/>
    <w:rsid w:val="0088214C"/>
    <w:rsid w:val="00882195"/>
    <w:rsid w:val="00882B96"/>
    <w:rsid w:val="00882EA4"/>
    <w:rsid w:val="0088353D"/>
    <w:rsid w:val="00883F35"/>
    <w:rsid w:val="00884017"/>
    <w:rsid w:val="008842E6"/>
    <w:rsid w:val="008847E8"/>
    <w:rsid w:val="00884CFE"/>
    <w:rsid w:val="00884FA7"/>
    <w:rsid w:val="00884FE9"/>
    <w:rsid w:val="008851C3"/>
    <w:rsid w:val="00885355"/>
    <w:rsid w:val="0088590F"/>
    <w:rsid w:val="00886F7C"/>
    <w:rsid w:val="00887705"/>
    <w:rsid w:val="008877AB"/>
    <w:rsid w:val="00887F60"/>
    <w:rsid w:val="008900C2"/>
    <w:rsid w:val="00890455"/>
    <w:rsid w:val="00890C9D"/>
    <w:rsid w:val="00891188"/>
    <w:rsid w:val="008913AF"/>
    <w:rsid w:val="00891685"/>
    <w:rsid w:val="00891AC6"/>
    <w:rsid w:val="00891E52"/>
    <w:rsid w:val="00891EAA"/>
    <w:rsid w:val="008926C7"/>
    <w:rsid w:val="00892C96"/>
    <w:rsid w:val="0089370E"/>
    <w:rsid w:val="00893D77"/>
    <w:rsid w:val="00893EC4"/>
    <w:rsid w:val="00893EC9"/>
    <w:rsid w:val="00894027"/>
    <w:rsid w:val="00894126"/>
    <w:rsid w:val="0089436C"/>
    <w:rsid w:val="008957D4"/>
    <w:rsid w:val="008957E2"/>
    <w:rsid w:val="00895CCF"/>
    <w:rsid w:val="00895EE6"/>
    <w:rsid w:val="00896453"/>
    <w:rsid w:val="0089654B"/>
    <w:rsid w:val="00896C3E"/>
    <w:rsid w:val="00896C8B"/>
    <w:rsid w:val="00896DA0"/>
    <w:rsid w:val="00896EF8"/>
    <w:rsid w:val="0089717D"/>
    <w:rsid w:val="0089740C"/>
    <w:rsid w:val="00897737"/>
    <w:rsid w:val="00897BF4"/>
    <w:rsid w:val="00897C2F"/>
    <w:rsid w:val="00897F74"/>
    <w:rsid w:val="008A00BB"/>
    <w:rsid w:val="008A03F1"/>
    <w:rsid w:val="008A0508"/>
    <w:rsid w:val="008A0B1E"/>
    <w:rsid w:val="008A108E"/>
    <w:rsid w:val="008A149B"/>
    <w:rsid w:val="008A1700"/>
    <w:rsid w:val="008A1901"/>
    <w:rsid w:val="008A1EA1"/>
    <w:rsid w:val="008A1FBA"/>
    <w:rsid w:val="008A2598"/>
    <w:rsid w:val="008A26A7"/>
    <w:rsid w:val="008A2B67"/>
    <w:rsid w:val="008A2EC7"/>
    <w:rsid w:val="008A2FCD"/>
    <w:rsid w:val="008A3366"/>
    <w:rsid w:val="008A39BC"/>
    <w:rsid w:val="008A3B05"/>
    <w:rsid w:val="008A3D22"/>
    <w:rsid w:val="008A4071"/>
    <w:rsid w:val="008A4458"/>
    <w:rsid w:val="008A4C55"/>
    <w:rsid w:val="008A4E02"/>
    <w:rsid w:val="008A5712"/>
    <w:rsid w:val="008A5F56"/>
    <w:rsid w:val="008A659A"/>
    <w:rsid w:val="008A6C44"/>
    <w:rsid w:val="008A73F2"/>
    <w:rsid w:val="008A7604"/>
    <w:rsid w:val="008B020D"/>
    <w:rsid w:val="008B0849"/>
    <w:rsid w:val="008B0DD6"/>
    <w:rsid w:val="008B13B5"/>
    <w:rsid w:val="008B16F9"/>
    <w:rsid w:val="008B2281"/>
    <w:rsid w:val="008B26B3"/>
    <w:rsid w:val="008B2B4F"/>
    <w:rsid w:val="008B2EC4"/>
    <w:rsid w:val="008B305F"/>
    <w:rsid w:val="008B3264"/>
    <w:rsid w:val="008B3943"/>
    <w:rsid w:val="008B3AD0"/>
    <w:rsid w:val="008B3C5A"/>
    <w:rsid w:val="008B41B3"/>
    <w:rsid w:val="008B4A0F"/>
    <w:rsid w:val="008B553E"/>
    <w:rsid w:val="008B562F"/>
    <w:rsid w:val="008B5BD7"/>
    <w:rsid w:val="008B5E95"/>
    <w:rsid w:val="008B5F1B"/>
    <w:rsid w:val="008B612A"/>
    <w:rsid w:val="008B6CC2"/>
    <w:rsid w:val="008B7191"/>
    <w:rsid w:val="008B722A"/>
    <w:rsid w:val="008B79B5"/>
    <w:rsid w:val="008B7A07"/>
    <w:rsid w:val="008B7E7B"/>
    <w:rsid w:val="008B7F7A"/>
    <w:rsid w:val="008C002C"/>
    <w:rsid w:val="008C023B"/>
    <w:rsid w:val="008C0B45"/>
    <w:rsid w:val="008C0BA5"/>
    <w:rsid w:val="008C0E03"/>
    <w:rsid w:val="008C1602"/>
    <w:rsid w:val="008C184A"/>
    <w:rsid w:val="008C1C22"/>
    <w:rsid w:val="008C2184"/>
    <w:rsid w:val="008C22E2"/>
    <w:rsid w:val="008C254A"/>
    <w:rsid w:val="008C260F"/>
    <w:rsid w:val="008C281D"/>
    <w:rsid w:val="008C39FA"/>
    <w:rsid w:val="008C479E"/>
    <w:rsid w:val="008C4823"/>
    <w:rsid w:val="008C483F"/>
    <w:rsid w:val="008C4B50"/>
    <w:rsid w:val="008C4D3B"/>
    <w:rsid w:val="008C501B"/>
    <w:rsid w:val="008C52A2"/>
    <w:rsid w:val="008C52CC"/>
    <w:rsid w:val="008C5CC7"/>
    <w:rsid w:val="008C5EBD"/>
    <w:rsid w:val="008C5FCE"/>
    <w:rsid w:val="008C6348"/>
    <w:rsid w:val="008C63FC"/>
    <w:rsid w:val="008C6658"/>
    <w:rsid w:val="008C702A"/>
    <w:rsid w:val="008C7387"/>
    <w:rsid w:val="008D01F1"/>
    <w:rsid w:val="008D0650"/>
    <w:rsid w:val="008D0766"/>
    <w:rsid w:val="008D0B2C"/>
    <w:rsid w:val="008D0FE3"/>
    <w:rsid w:val="008D113B"/>
    <w:rsid w:val="008D124E"/>
    <w:rsid w:val="008D2B09"/>
    <w:rsid w:val="008D2D1E"/>
    <w:rsid w:val="008D2E98"/>
    <w:rsid w:val="008D2F61"/>
    <w:rsid w:val="008D31D1"/>
    <w:rsid w:val="008D31E8"/>
    <w:rsid w:val="008D3487"/>
    <w:rsid w:val="008D3551"/>
    <w:rsid w:val="008D3DA7"/>
    <w:rsid w:val="008D423A"/>
    <w:rsid w:val="008D4300"/>
    <w:rsid w:val="008D46AF"/>
    <w:rsid w:val="008D4F0F"/>
    <w:rsid w:val="008D512E"/>
    <w:rsid w:val="008D5295"/>
    <w:rsid w:val="008D5780"/>
    <w:rsid w:val="008D59CC"/>
    <w:rsid w:val="008D5C3E"/>
    <w:rsid w:val="008D6199"/>
    <w:rsid w:val="008D6343"/>
    <w:rsid w:val="008D67C6"/>
    <w:rsid w:val="008D7250"/>
    <w:rsid w:val="008D7452"/>
    <w:rsid w:val="008D7A46"/>
    <w:rsid w:val="008E006D"/>
    <w:rsid w:val="008E02A3"/>
    <w:rsid w:val="008E0700"/>
    <w:rsid w:val="008E093A"/>
    <w:rsid w:val="008E0B11"/>
    <w:rsid w:val="008E0DA0"/>
    <w:rsid w:val="008E1164"/>
    <w:rsid w:val="008E11F9"/>
    <w:rsid w:val="008E1742"/>
    <w:rsid w:val="008E17F8"/>
    <w:rsid w:val="008E1C8B"/>
    <w:rsid w:val="008E2133"/>
    <w:rsid w:val="008E25D4"/>
    <w:rsid w:val="008E2786"/>
    <w:rsid w:val="008E27BA"/>
    <w:rsid w:val="008E2ABE"/>
    <w:rsid w:val="008E3046"/>
    <w:rsid w:val="008E3AB0"/>
    <w:rsid w:val="008E3B6C"/>
    <w:rsid w:val="008E431F"/>
    <w:rsid w:val="008E4890"/>
    <w:rsid w:val="008E4A7F"/>
    <w:rsid w:val="008E4BB0"/>
    <w:rsid w:val="008E4EC8"/>
    <w:rsid w:val="008E4ECE"/>
    <w:rsid w:val="008E52CB"/>
    <w:rsid w:val="008E578E"/>
    <w:rsid w:val="008E58B0"/>
    <w:rsid w:val="008E5FC7"/>
    <w:rsid w:val="008E6940"/>
    <w:rsid w:val="008E6BA3"/>
    <w:rsid w:val="008E731B"/>
    <w:rsid w:val="008E77C7"/>
    <w:rsid w:val="008E7A19"/>
    <w:rsid w:val="008E7BA0"/>
    <w:rsid w:val="008E7CD4"/>
    <w:rsid w:val="008E7EBD"/>
    <w:rsid w:val="008F035E"/>
    <w:rsid w:val="008F057A"/>
    <w:rsid w:val="008F057C"/>
    <w:rsid w:val="008F0EB5"/>
    <w:rsid w:val="008F12EE"/>
    <w:rsid w:val="008F1333"/>
    <w:rsid w:val="008F198F"/>
    <w:rsid w:val="008F1D0C"/>
    <w:rsid w:val="008F1E48"/>
    <w:rsid w:val="008F1F44"/>
    <w:rsid w:val="008F2445"/>
    <w:rsid w:val="008F26BA"/>
    <w:rsid w:val="008F26CF"/>
    <w:rsid w:val="008F338D"/>
    <w:rsid w:val="008F35A2"/>
    <w:rsid w:val="008F41A5"/>
    <w:rsid w:val="008F4308"/>
    <w:rsid w:val="008F4458"/>
    <w:rsid w:val="008F494F"/>
    <w:rsid w:val="008F497C"/>
    <w:rsid w:val="008F498C"/>
    <w:rsid w:val="008F4C5C"/>
    <w:rsid w:val="008F4DC3"/>
    <w:rsid w:val="008F5515"/>
    <w:rsid w:val="008F5F02"/>
    <w:rsid w:val="008F6F61"/>
    <w:rsid w:val="008F704B"/>
    <w:rsid w:val="008F71DD"/>
    <w:rsid w:val="008F7232"/>
    <w:rsid w:val="008F76F1"/>
    <w:rsid w:val="008F7BCA"/>
    <w:rsid w:val="008F7D00"/>
    <w:rsid w:val="008F7ED0"/>
    <w:rsid w:val="008F7F34"/>
    <w:rsid w:val="00900535"/>
    <w:rsid w:val="00900D83"/>
    <w:rsid w:val="00901375"/>
    <w:rsid w:val="00901511"/>
    <w:rsid w:val="0090157D"/>
    <w:rsid w:val="009016A9"/>
    <w:rsid w:val="00901AE0"/>
    <w:rsid w:val="00901E33"/>
    <w:rsid w:val="00902878"/>
    <w:rsid w:val="00902945"/>
    <w:rsid w:val="00902E9D"/>
    <w:rsid w:val="009030A0"/>
    <w:rsid w:val="009031E7"/>
    <w:rsid w:val="00903800"/>
    <w:rsid w:val="009038FE"/>
    <w:rsid w:val="00903A2A"/>
    <w:rsid w:val="00903E2F"/>
    <w:rsid w:val="009042A8"/>
    <w:rsid w:val="00904809"/>
    <w:rsid w:val="009049C5"/>
    <w:rsid w:val="00904B91"/>
    <w:rsid w:val="00904F17"/>
    <w:rsid w:val="00905369"/>
    <w:rsid w:val="00905CA1"/>
    <w:rsid w:val="00905EB7"/>
    <w:rsid w:val="009061D0"/>
    <w:rsid w:val="00906C27"/>
    <w:rsid w:val="00906C40"/>
    <w:rsid w:val="00906CF3"/>
    <w:rsid w:val="00906F24"/>
    <w:rsid w:val="00906F62"/>
    <w:rsid w:val="00907353"/>
    <w:rsid w:val="00907B0B"/>
    <w:rsid w:val="00907D86"/>
    <w:rsid w:val="0091009C"/>
    <w:rsid w:val="00910381"/>
    <w:rsid w:val="00910954"/>
    <w:rsid w:val="00910ACE"/>
    <w:rsid w:val="00911A06"/>
    <w:rsid w:val="00911B54"/>
    <w:rsid w:val="00911CC0"/>
    <w:rsid w:val="00911E9E"/>
    <w:rsid w:val="00911EF9"/>
    <w:rsid w:val="009131AD"/>
    <w:rsid w:val="009131F6"/>
    <w:rsid w:val="00913E66"/>
    <w:rsid w:val="00913F56"/>
    <w:rsid w:val="0091422B"/>
    <w:rsid w:val="0091480F"/>
    <w:rsid w:val="00915165"/>
    <w:rsid w:val="0091518A"/>
    <w:rsid w:val="00915516"/>
    <w:rsid w:val="0091585A"/>
    <w:rsid w:val="00915B74"/>
    <w:rsid w:val="00916275"/>
    <w:rsid w:val="00916735"/>
    <w:rsid w:val="00916C51"/>
    <w:rsid w:val="00917453"/>
    <w:rsid w:val="0091746F"/>
    <w:rsid w:val="00917CDC"/>
    <w:rsid w:val="00920153"/>
    <w:rsid w:val="009208D9"/>
    <w:rsid w:val="0092110E"/>
    <w:rsid w:val="0092139F"/>
    <w:rsid w:val="00921526"/>
    <w:rsid w:val="00921DC1"/>
    <w:rsid w:val="009222E7"/>
    <w:rsid w:val="0092299C"/>
    <w:rsid w:val="009232F2"/>
    <w:rsid w:val="00923885"/>
    <w:rsid w:val="00923D8D"/>
    <w:rsid w:val="009244B3"/>
    <w:rsid w:val="009247F9"/>
    <w:rsid w:val="00924EEC"/>
    <w:rsid w:val="00925A50"/>
    <w:rsid w:val="00925AC8"/>
    <w:rsid w:val="00925B91"/>
    <w:rsid w:val="00926490"/>
    <w:rsid w:val="009268C4"/>
    <w:rsid w:val="00926BE7"/>
    <w:rsid w:val="00927197"/>
    <w:rsid w:val="009273F2"/>
    <w:rsid w:val="00927C47"/>
    <w:rsid w:val="00927FA9"/>
    <w:rsid w:val="0093001C"/>
    <w:rsid w:val="00930506"/>
    <w:rsid w:val="00930917"/>
    <w:rsid w:val="00931524"/>
    <w:rsid w:val="0093192F"/>
    <w:rsid w:val="009319B2"/>
    <w:rsid w:val="00931A77"/>
    <w:rsid w:val="00931D55"/>
    <w:rsid w:val="009320B3"/>
    <w:rsid w:val="00932192"/>
    <w:rsid w:val="00932238"/>
    <w:rsid w:val="00932906"/>
    <w:rsid w:val="00932CA1"/>
    <w:rsid w:val="00933837"/>
    <w:rsid w:val="0093384C"/>
    <w:rsid w:val="00933966"/>
    <w:rsid w:val="00933A63"/>
    <w:rsid w:val="00933B58"/>
    <w:rsid w:val="00933D26"/>
    <w:rsid w:val="00933EFA"/>
    <w:rsid w:val="0093427B"/>
    <w:rsid w:val="009342CE"/>
    <w:rsid w:val="00934368"/>
    <w:rsid w:val="009343AD"/>
    <w:rsid w:val="009347D2"/>
    <w:rsid w:val="00934E4B"/>
    <w:rsid w:val="00934EE9"/>
    <w:rsid w:val="00934EED"/>
    <w:rsid w:val="009350FD"/>
    <w:rsid w:val="009353CA"/>
    <w:rsid w:val="009355FE"/>
    <w:rsid w:val="00935AD6"/>
    <w:rsid w:val="009365F4"/>
    <w:rsid w:val="0093667D"/>
    <w:rsid w:val="00936711"/>
    <w:rsid w:val="00936CA0"/>
    <w:rsid w:val="0093794B"/>
    <w:rsid w:val="009402F9"/>
    <w:rsid w:val="0094125C"/>
    <w:rsid w:val="009414D5"/>
    <w:rsid w:val="00941999"/>
    <w:rsid w:val="00941DB2"/>
    <w:rsid w:val="00941ECB"/>
    <w:rsid w:val="00942A52"/>
    <w:rsid w:val="00942D01"/>
    <w:rsid w:val="00943826"/>
    <w:rsid w:val="009439C8"/>
    <w:rsid w:val="009440F6"/>
    <w:rsid w:val="00944197"/>
    <w:rsid w:val="00944DC0"/>
    <w:rsid w:val="00945C13"/>
    <w:rsid w:val="009461E8"/>
    <w:rsid w:val="00946466"/>
    <w:rsid w:val="00946519"/>
    <w:rsid w:val="009467CE"/>
    <w:rsid w:val="00946855"/>
    <w:rsid w:val="00946B9D"/>
    <w:rsid w:val="00946C03"/>
    <w:rsid w:val="00946EB9"/>
    <w:rsid w:val="00946F19"/>
    <w:rsid w:val="009471EF"/>
    <w:rsid w:val="00947825"/>
    <w:rsid w:val="00947D75"/>
    <w:rsid w:val="00950469"/>
    <w:rsid w:val="009506D4"/>
    <w:rsid w:val="00950BF1"/>
    <w:rsid w:val="0095100A"/>
    <w:rsid w:val="0095149F"/>
    <w:rsid w:val="009518BB"/>
    <w:rsid w:val="00951CEC"/>
    <w:rsid w:val="00951DA6"/>
    <w:rsid w:val="009527A4"/>
    <w:rsid w:val="00953A17"/>
    <w:rsid w:val="00953B2E"/>
    <w:rsid w:val="00953E35"/>
    <w:rsid w:val="0095425D"/>
    <w:rsid w:val="00954328"/>
    <w:rsid w:val="00954329"/>
    <w:rsid w:val="009548E4"/>
    <w:rsid w:val="00954AB4"/>
    <w:rsid w:val="00955256"/>
    <w:rsid w:val="009554D4"/>
    <w:rsid w:val="009556EA"/>
    <w:rsid w:val="00955791"/>
    <w:rsid w:val="00956C52"/>
    <w:rsid w:val="009570B3"/>
    <w:rsid w:val="009572BB"/>
    <w:rsid w:val="00957A63"/>
    <w:rsid w:val="00957B17"/>
    <w:rsid w:val="00960148"/>
    <w:rsid w:val="00960E35"/>
    <w:rsid w:val="00960FBF"/>
    <w:rsid w:val="0096129F"/>
    <w:rsid w:val="00961881"/>
    <w:rsid w:val="009619E2"/>
    <w:rsid w:val="00961F2B"/>
    <w:rsid w:val="00962120"/>
    <w:rsid w:val="009622B0"/>
    <w:rsid w:val="009622B7"/>
    <w:rsid w:val="00962428"/>
    <w:rsid w:val="00962CCB"/>
    <w:rsid w:val="009635AD"/>
    <w:rsid w:val="00963C55"/>
    <w:rsid w:val="009640AB"/>
    <w:rsid w:val="00964875"/>
    <w:rsid w:val="00964D57"/>
    <w:rsid w:val="00964D7B"/>
    <w:rsid w:val="0096508A"/>
    <w:rsid w:val="009651EF"/>
    <w:rsid w:val="009659DD"/>
    <w:rsid w:val="00965FDA"/>
    <w:rsid w:val="00966707"/>
    <w:rsid w:val="009667F5"/>
    <w:rsid w:val="00967204"/>
    <w:rsid w:val="009674FC"/>
    <w:rsid w:val="00970C36"/>
    <w:rsid w:val="00970DBC"/>
    <w:rsid w:val="0097135F"/>
    <w:rsid w:val="0097155A"/>
    <w:rsid w:val="0097178F"/>
    <w:rsid w:val="00971A99"/>
    <w:rsid w:val="00971C4E"/>
    <w:rsid w:val="00971EA9"/>
    <w:rsid w:val="00971ECE"/>
    <w:rsid w:val="009721C9"/>
    <w:rsid w:val="0097257A"/>
    <w:rsid w:val="009729F3"/>
    <w:rsid w:val="00973872"/>
    <w:rsid w:val="00973A83"/>
    <w:rsid w:val="00973D80"/>
    <w:rsid w:val="00973F3C"/>
    <w:rsid w:val="00973F88"/>
    <w:rsid w:val="00974194"/>
    <w:rsid w:val="00974A3C"/>
    <w:rsid w:val="00974AB4"/>
    <w:rsid w:val="00974AE3"/>
    <w:rsid w:val="00974DBE"/>
    <w:rsid w:val="00975E14"/>
    <w:rsid w:val="009769C2"/>
    <w:rsid w:val="009776D8"/>
    <w:rsid w:val="00977711"/>
    <w:rsid w:val="009779D1"/>
    <w:rsid w:val="009801DA"/>
    <w:rsid w:val="0098040E"/>
    <w:rsid w:val="009805C2"/>
    <w:rsid w:val="00980B4C"/>
    <w:rsid w:val="00980C11"/>
    <w:rsid w:val="00981368"/>
    <w:rsid w:val="00982027"/>
    <w:rsid w:val="009820EA"/>
    <w:rsid w:val="009821F1"/>
    <w:rsid w:val="009827EC"/>
    <w:rsid w:val="00982C3B"/>
    <w:rsid w:val="00983912"/>
    <w:rsid w:val="0098468C"/>
    <w:rsid w:val="0098491D"/>
    <w:rsid w:val="009849B0"/>
    <w:rsid w:val="00984B95"/>
    <w:rsid w:val="00984EF5"/>
    <w:rsid w:val="00984FDE"/>
    <w:rsid w:val="00985BCE"/>
    <w:rsid w:val="00985DA7"/>
    <w:rsid w:val="009863B8"/>
    <w:rsid w:val="00986981"/>
    <w:rsid w:val="00987112"/>
    <w:rsid w:val="009877BF"/>
    <w:rsid w:val="00987832"/>
    <w:rsid w:val="00987C56"/>
    <w:rsid w:val="00987CD4"/>
    <w:rsid w:val="009906AF"/>
    <w:rsid w:val="009909ED"/>
    <w:rsid w:val="00991193"/>
    <w:rsid w:val="00991A37"/>
    <w:rsid w:val="00991A3B"/>
    <w:rsid w:val="009922A6"/>
    <w:rsid w:val="0099241F"/>
    <w:rsid w:val="009924A9"/>
    <w:rsid w:val="009925CE"/>
    <w:rsid w:val="009940D1"/>
    <w:rsid w:val="00994539"/>
    <w:rsid w:val="00994A39"/>
    <w:rsid w:val="00995304"/>
    <w:rsid w:val="009956A5"/>
    <w:rsid w:val="00995D91"/>
    <w:rsid w:val="0099626C"/>
    <w:rsid w:val="00996E4D"/>
    <w:rsid w:val="009974C2"/>
    <w:rsid w:val="009979A1"/>
    <w:rsid w:val="009A0070"/>
    <w:rsid w:val="009A01A0"/>
    <w:rsid w:val="009A0827"/>
    <w:rsid w:val="009A0887"/>
    <w:rsid w:val="009A09E7"/>
    <w:rsid w:val="009A17CA"/>
    <w:rsid w:val="009A1FE0"/>
    <w:rsid w:val="009A218C"/>
    <w:rsid w:val="009A25A5"/>
    <w:rsid w:val="009A3531"/>
    <w:rsid w:val="009A3599"/>
    <w:rsid w:val="009A3C26"/>
    <w:rsid w:val="009A3C7F"/>
    <w:rsid w:val="009A4448"/>
    <w:rsid w:val="009A4C3E"/>
    <w:rsid w:val="009A4F20"/>
    <w:rsid w:val="009A5111"/>
    <w:rsid w:val="009A51AF"/>
    <w:rsid w:val="009A528C"/>
    <w:rsid w:val="009A5878"/>
    <w:rsid w:val="009A58C9"/>
    <w:rsid w:val="009A5A4A"/>
    <w:rsid w:val="009A6974"/>
    <w:rsid w:val="009A6CF6"/>
    <w:rsid w:val="009A6D85"/>
    <w:rsid w:val="009A6D97"/>
    <w:rsid w:val="009A79A8"/>
    <w:rsid w:val="009B0010"/>
    <w:rsid w:val="009B0919"/>
    <w:rsid w:val="009B0A41"/>
    <w:rsid w:val="009B0E65"/>
    <w:rsid w:val="009B0EAA"/>
    <w:rsid w:val="009B17E7"/>
    <w:rsid w:val="009B18F0"/>
    <w:rsid w:val="009B1DC8"/>
    <w:rsid w:val="009B21BC"/>
    <w:rsid w:val="009B249E"/>
    <w:rsid w:val="009B2960"/>
    <w:rsid w:val="009B2C46"/>
    <w:rsid w:val="009B31D5"/>
    <w:rsid w:val="009B3340"/>
    <w:rsid w:val="009B375B"/>
    <w:rsid w:val="009B3FD6"/>
    <w:rsid w:val="009B4A3B"/>
    <w:rsid w:val="009B4B2E"/>
    <w:rsid w:val="009B513C"/>
    <w:rsid w:val="009B5F8B"/>
    <w:rsid w:val="009B643A"/>
    <w:rsid w:val="009B6D28"/>
    <w:rsid w:val="009B6E18"/>
    <w:rsid w:val="009B72D6"/>
    <w:rsid w:val="009B74A4"/>
    <w:rsid w:val="009B78AC"/>
    <w:rsid w:val="009B78B5"/>
    <w:rsid w:val="009C0082"/>
    <w:rsid w:val="009C0814"/>
    <w:rsid w:val="009C0A7B"/>
    <w:rsid w:val="009C15ED"/>
    <w:rsid w:val="009C1A45"/>
    <w:rsid w:val="009C1BBE"/>
    <w:rsid w:val="009C1C31"/>
    <w:rsid w:val="009C1CCF"/>
    <w:rsid w:val="009C1D06"/>
    <w:rsid w:val="009C1F41"/>
    <w:rsid w:val="009C23F7"/>
    <w:rsid w:val="009C24CE"/>
    <w:rsid w:val="009C292F"/>
    <w:rsid w:val="009C2B50"/>
    <w:rsid w:val="009C4414"/>
    <w:rsid w:val="009C4936"/>
    <w:rsid w:val="009C4D8F"/>
    <w:rsid w:val="009C4F32"/>
    <w:rsid w:val="009C5028"/>
    <w:rsid w:val="009C5B40"/>
    <w:rsid w:val="009C5D05"/>
    <w:rsid w:val="009C5D49"/>
    <w:rsid w:val="009C5F30"/>
    <w:rsid w:val="009C5FC9"/>
    <w:rsid w:val="009C600F"/>
    <w:rsid w:val="009C6131"/>
    <w:rsid w:val="009C6559"/>
    <w:rsid w:val="009C689B"/>
    <w:rsid w:val="009C68F8"/>
    <w:rsid w:val="009C7174"/>
    <w:rsid w:val="009C7903"/>
    <w:rsid w:val="009C795A"/>
    <w:rsid w:val="009D0099"/>
    <w:rsid w:val="009D0769"/>
    <w:rsid w:val="009D07A7"/>
    <w:rsid w:val="009D081C"/>
    <w:rsid w:val="009D0A68"/>
    <w:rsid w:val="009D0F04"/>
    <w:rsid w:val="009D132C"/>
    <w:rsid w:val="009D144D"/>
    <w:rsid w:val="009D1E54"/>
    <w:rsid w:val="009D2425"/>
    <w:rsid w:val="009D24BF"/>
    <w:rsid w:val="009D25FB"/>
    <w:rsid w:val="009D2631"/>
    <w:rsid w:val="009D2799"/>
    <w:rsid w:val="009D2D74"/>
    <w:rsid w:val="009D30A0"/>
    <w:rsid w:val="009D351A"/>
    <w:rsid w:val="009D38FA"/>
    <w:rsid w:val="009D3A71"/>
    <w:rsid w:val="009D3A91"/>
    <w:rsid w:val="009D40D7"/>
    <w:rsid w:val="009D4664"/>
    <w:rsid w:val="009D4BD6"/>
    <w:rsid w:val="009D4C7D"/>
    <w:rsid w:val="009D4DE7"/>
    <w:rsid w:val="009D5645"/>
    <w:rsid w:val="009D5CFA"/>
    <w:rsid w:val="009D602C"/>
    <w:rsid w:val="009D62BD"/>
    <w:rsid w:val="009D63B4"/>
    <w:rsid w:val="009D68FE"/>
    <w:rsid w:val="009D693E"/>
    <w:rsid w:val="009D69A2"/>
    <w:rsid w:val="009D6D1F"/>
    <w:rsid w:val="009D6F35"/>
    <w:rsid w:val="009D6F8E"/>
    <w:rsid w:val="009D73D2"/>
    <w:rsid w:val="009D78C2"/>
    <w:rsid w:val="009D7BD7"/>
    <w:rsid w:val="009E0434"/>
    <w:rsid w:val="009E05B6"/>
    <w:rsid w:val="009E067D"/>
    <w:rsid w:val="009E0773"/>
    <w:rsid w:val="009E080D"/>
    <w:rsid w:val="009E08DB"/>
    <w:rsid w:val="009E08F5"/>
    <w:rsid w:val="009E0AEB"/>
    <w:rsid w:val="009E0B98"/>
    <w:rsid w:val="009E19EE"/>
    <w:rsid w:val="009E2ABB"/>
    <w:rsid w:val="009E2C3B"/>
    <w:rsid w:val="009E2DDA"/>
    <w:rsid w:val="009E2F3C"/>
    <w:rsid w:val="009E3149"/>
    <w:rsid w:val="009E3425"/>
    <w:rsid w:val="009E4510"/>
    <w:rsid w:val="009E47A9"/>
    <w:rsid w:val="009E4FAF"/>
    <w:rsid w:val="009E5057"/>
    <w:rsid w:val="009E50B2"/>
    <w:rsid w:val="009E51BB"/>
    <w:rsid w:val="009E5469"/>
    <w:rsid w:val="009E573C"/>
    <w:rsid w:val="009E5886"/>
    <w:rsid w:val="009E5F75"/>
    <w:rsid w:val="009E61DB"/>
    <w:rsid w:val="009E635A"/>
    <w:rsid w:val="009E6627"/>
    <w:rsid w:val="009E6E8E"/>
    <w:rsid w:val="009E6EB0"/>
    <w:rsid w:val="009E7181"/>
    <w:rsid w:val="009E71DD"/>
    <w:rsid w:val="009E78D7"/>
    <w:rsid w:val="009E79D5"/>
    <w:rsid w:val="009E7FF4"/>
    <w:rsid w:val="009F008E"/>
    <w:rsid w:val="009F019C"/>
    <w:rsid w:val="009F03C7"/>
    <w:rsid w:val="009F0479"/>
    <w:rsid w:val="009F0A43"/>
    <w:rsid w:val="009F1259"/>
    <w:rsid w:val="009F175F"/>
    <w:rsid w:val="009F18E9"/>
    <w:rsid w:val="009F2121"/>
    <w:rsid w:val="009F2161"/>
    <w:rsid w:val="009F2515"/>
    <w:rsid w:val="009F2B50"/>
    <w:rsid w:val="009F3114"/>
    <w:rsid w:val="009F326D"/>
    <w:rsid w:val="009F33B2"/>
    <w:rsid w:val="009F34B3"/>
    <w:rsid w:val="009F361D"/>
    <w:rsid w:val="009F37C2"/>
    <w:rsid w:val="009F394A"/>
    <w:rsid w:val="009F3CAD"/>
    <w:rsid w:val="009F51A4"/>
    <w:rsid w:val="009F590C"/>
    <w:rsid w:val="009F6318"/>
    <w:rsid w:val="009F68D2"/>
    <w:rsid w:val="009F7A25"/>
    <w:rsid w:val="009F7B73"/>
    <w:rsid w:val="009F7FEA"/>
    <w:rsid w:val="00A00E60"/>
    <w:rsid w:val="00A01711"/>
    <w:rsid w:val="00A01B92"/>
    <w:rsid w:val="00A01F76"/>
    <w:rsid w:val="00A029D2"/>
    <w:rsid w:val="00A039C6"/>
    <w:rsid w:val="00A03C29"/>
    <w:rsid w:val="00A03C69"/>
    <w:rsid w:val="00A048DE"/>
    <w:rsid w:val="00A05527"/>
    <w:rsid w:val="00A057E0"/>
    <w:rsid w:val="00A059F4"/>
    <w:rsid w:val="00A05EB7"/>
    <w:rsid w:val="00A05FF3"/>
    <w:rsid w:val="00A06498"/>
    <w:rsid w:val="00A0657D"/>
    <w:rsid w:val="00A069C6"/>
    <w:rsid w:val="00A06E99"/>
    <w:rsid w:val="00A07039"/>
    <w:rsid w:val="00A073C4"/>
    <w:rsid w:val="00A07B34"/>
    <w:rsid w:val="00A10481"/>
    <w:rsid w:val="00A1079A"/>
    <w:rsid w:val="00A108DA"/>
    <w:rsid w:val="00A109F6"/>
    <w:rsid w:val="00A10AD7"/>
    <w:rsid w:val="00A110F2"/>
    <w:rsid w:val="00A11221"/>
    <w:rsid w:val="00A11771"/>
    <w:rsid w:val="00A119A3"/>
    <w:rsid w:val="00A11C10"/>
    <w:rsid w:val="00A12223"/>
    <w:rsid w:val="00A127E0"/>
    <w:rsid w:val="00A132C4"/>
    <w:rsid w:val="00A13373"/>
    <w:rsid w:val="00A1342F"/>
    <w:rsid w:val="00A14223"/>
    <w:rsid w:val="00A142BB"/>
    <w:rsid w:val="00A14389"/>
    <w:rsid w:val="00A14489"/>
    <w:rsid w:val="00A14F15"/>
    <w:rsid w:val="00A155B2"/>
    <w:rsid w:val="00A1580A"/>
    <w:rsid w:val="00A1616F"/>
    <w:rsid w:val="00A16742"/>
    <w:rsid w:val="00A168BF"/>
    <w:rsid w:val="00A16936"/>
    <w:rsid w:val="00A16E1F"/>
    <w:rsid w:val="00A16EDC"/>
    <w:rsid w:val="00A16FB4"/>
    <w:rsid w:val="00A17BC4"/>
    <w:rsid w:val="00A17C9A"/>
    <w:rsid w:val="00A17DCC"/>
    <w:rsid w:val="00A207DA"/>
    <w:rsid w:val="00A20F47"/>
    <w:rsid w:val="00A2115A"/>
    <w:rsid w:val="00A21C35"/>
    <w:rsid w:val="00A21CCB"/>
    <w:rsid w:val="00A224F2"/>
    <w:rsid w:val="00A227D5"/>
    <w:rsid w:val="00A22AB5"/>
    <w:rsid w:val="00A22BCA"/>
    <w:rsid w:val="00A233C2"/>
    <w:rsid w:val="00A23993"/>
    <w:rsid w:val="00A243B0"/>
    <w:rsid w:val="00A24C80"/>
    <w:rsid w:val="00A24E2E"/>
    <w:rsid w:val="00A24FDE"/>
    <w:rsid w:val="00A2502C"/>
    <w:rsid w:val="00A2593D"/>
    <w:rsid w:val="00A25AD3"/>
    <w:rsid w:val="00A25CD5"/>
    <w:rsid w:val="00A25D5D"/>
    <w:rsid w:val="00A266A4"/>
    <w:rsid w:val="00A26908"/>
    <w:rsid w:val="00A26A2F"/>
    <w:rsid w:val="00A2782F"/>
    <w:rsid w:val="00A27BC4"/>
    <w:rsid w:val="00A27FA3"/>
    <w:rsid w:val="00A30004"/>
    <w:rsid w:val="00A30098"/>
    <w:rsid w:val="00A30644"/>
    <w:rsid w:val="00A306D4"/>
    <w:rsid w:val="00A30BCF"/>
    <w:rsid w:val="00A31A9D"/>
    <w:rsid w:val="00A31E07"/>
    <w:rsid w:val="00A31E75"/>
    <w:rsid w:val="00A325B4"/>
    <w:rsid w:val="00A329B6"/>
    <w:rsid w:val="00A32A3D"/>
    <w:rsid w:val="00A3355A"/>
    <w:rsid w:val="00A33CCC"/>
    <w:rsid w:val="00A34AA7"/>
    <w:rsid w:val="00A34B96"/>
    <w:rsid w:val="00A34D10"/>
    <w:rsid w:val="00A34F2D"/>
    <w:rsid w:val="00A35558"/>
    <w:rsid w:val="00A36745"/>
    <w:rsid w:val="00A36B93"/>
    <w:rsid w:val="00A36CA3"/>
    <w:rsid w:val="00A373FA"/>
    <w:rsid w:val="00A37553"/>
    <w:rsid w:val="00A40566"/>
    <w:rsid w:val="00A40B07"/>
    <w:rsid w:val="00A41126"/>
    <w:rsid w:val="00A4122F"/>
    <w:rsid w:val="00A413CE"/>
    <w:rsid w:val="00A41427"/>
    <w:rsid w:val="00A417CA"/>
    <w:rsid w:val="00A41E83"/>
    <w:rsid w:val="00A42256"/>
    <w:rsid w:val="00A42B20"/>
    <w:rsid w:val="00A42B72"/>
    <w:rsid w:val="00A42B9A"/>
    <w:rsid w:val="00A42C8C"/>
    <w:rsid w:val="00A430DD"/>
    <w:rsid w:val="00A431A8"/>
    <w:rsid w:val="00A43594"/>
    <w:rsid w:val="00A43AA2"/>
    <w:rsid w:val="00A4421D"/>
    <w:rsid w:val="00A442A5"/>
    <w:rsid w:val="00A444DB"/>
    <w:rsid w:val="00A450AE"/>
    <w:rsid w:val="00A45532"/>
    <w:rsid w:val="00A459C0"/>
    <w:rsid w:val="00A45C6A"/>
    <w:rsid w:val="00A46287"/>
    <w:rsid w:val="00A46462"/>
    <w:rsid w:val="00A46A4A"/>
    <w:rsid w:val="00A474D9"/>
    <w:rsid w:val="00A476D6"/>
    <w:rsid w:val="00A47AAF"/>
    <w:rsid w:val="00A47AD8"/>
    <w:rsid w:val="00A5003D"/>
    <w:rsid w:val="00A50365"/>
    <w:rsid w:val="00A5052F"/>
    <w:rsid w:val="00A509D4"/>
    <w:rsid w:val="00A50C84"/>
    <w:rsid w:val="00A50E24"/>
    <w:rsid w:val="00A510D6"/>
    <w:rsid w:val="00A515ED"/>
    <w:rsid w:val="00A517E0"/>
    <w:rsid w:val="00A51CAD"/>
    <w:rsid w:val="00A51D29"/>
    <w:rsid w:val="00A51EED"/>
    <w:rsid w:val="00A51F82"/>
    <w:rsid w:val="00A52AD9"/>
    <w:rsid w:val="00A536F8"/>
    <w:rsid w:val="00A53757"/>
    <w:rsid w:val="00A53D17"/>
    <w:rsid w:val="00A53DE7"/>
    <w:rsid w:val="00A53EFE"/>
    <w:rsid w:val="00A5415F"/>
    <w:rsid w:val="00A543DA"/>
    <w:rsid w:val="00A555B4"/>
    <w:rsid w:val="00A561D8"/>
    <w:rsid w:val="00A5626C"/>
    <w:rsid w:val="00A56422"/>
    <w:rsid w:val="00A56D8C"/>
    <w:rsid w:val="00A56F47"/>
    <w:rsid w:val="00A5701E"/>
    <w:rsid w:val="00A5778F"/>
    <w:rsid w:val="00A57C78"/>
    <w:rsid w:val="00A57CC8"/>
    <w:rsid w:val="00A57E13"/>
    <w:rsid w:val="00A60DB1"/>
    <w:rsid w:val="00A61184"/>
    <w:rsid w:val="00A616BA"/>
    <w:rsid w:val="00A61BE0"/>
    <w:rsid w:val="00A62141"/>
    <w:rsid w:val="00A62599"/>
    <w:rsid w:val="00A626C0"/>
    <w:rsid w:val="00A628A4"/>
    <w:rsid w:val="00A62960"/>
    <w:rsid w:val="00A639E4"/>
    <w:rsid w:val="00A63F2C"/>
    <w:rsid w:val="00A641AB"/>
    <w:rsid w:val="00A6420B"/>
    <w:rsid w:val="00A64A4B"/>
    <w:rsid w:val="00A64CA0"/>
    <w:rsid w:val="00A64DEB"/>
    <w:rsid w:val="00A651BB"/>
    <w:rsid w:val="00A65588"/>
    <w:rsid w:val="00A65EF3"/>
    <w:rsid w:val="00A661C2"/>
    <w:rsid w:val="00A6625B"/>
    <w:rsid w:val="00A66888"/>
    <w:rsid w:val="00A66EB5"/>
    <w:rsid w:val="00A67182"/>
    <w:rsid w:val="00A67219"/>
    <w:rsid w:val="00A67F35"/>
    <w:rsid w:val="00A70016"/>
    <w:rsid w:val="00A70335"/>
    <w:rsid w:val="00A7058A"/>
    <w:rsid w:val="00A705B5"/>
    <w:rsid w:val="00A70698"/>
    <w:rsid w:val="00A70B25"/>
    <w:rsid w:val="00A719DF"/>
    <w:rsid w:val="00A71C3B"/>
    <w:rsid w:val="00A722C4"/>
    <w:rsid w:val="00A7236D"/>
    <w:rsid w:val="00A72664"/>
    <w:rsid w:val="00A72729"/>
    <w:rsid w:val="00A72EDD"/>
    <w:rsid w:val="00A72F14"/>
    <w:rsid w:val="00A73B27"/>
    <w:rsid w:val="00A748AC"/>
    <w:rsid w:val="00A753D4"/>
    <w:rsid w:val="00A757E0"/>
    <w:rsid w:val="00A75CAE"/>
    <w:rsid w:val="00A7669B"/>
    <w:rsid w:val="00A76A59"/>
    <w:rsid w:val="00A770F3"/>
    <w:rsid w:val="00A77CC1"/>
    <w:rsid w:val="00A8045C"/>
    <w:rsid w:val="00A8072C"/>
    <w:rsid w:val="00A80D81"/>
    <w:rsid w:val="00A81328"/>
    <w:rsid w:val="00A81652"/>
    <w:rsid w:val="00A8176D"/>
    <w:rsid w:val="00A81C48"/>
    <w:rsid w:val="00A8294D"/>
    <w:rsid w:val="00A82B80"/>
    <w:rsid w:val="00A83059"/>
    <w:rsid w:val="00A830A4"/>
    <w:rsid w:val="00A83DB2"/>
    <w:rsid w:val="00A8402C"/>
    <w:rsid w:val="00A84413"/>
    <w:rsid w:val="00A84429"/>
    <w:rsid w:val="00A845B8"/>
    <w:rsid w:val="00A84DF8"/>
    <w:rsid w:val="00A85275"/>
    <w:rsid w:val="00A856AD"/>
    <w:rsid w:val="00A858F2"/>
    <w:rsid w:val="00A85959"/>
    <w:rsid w:val="00A85B57"/>
    <w:rsid w:val="00A86E5D"/>
    <w:rsid w:val="00A86E88"/>
    <w:rsid w:val="00A87306"/>
    <w:rsid w:val="00A87536"/>
    <w:rsid w:val="00A87A04"/>
    <w:rsid w:val="00A87A6D"/>
    <w:rsid w:val="00A87DEC"/>
    <w:rsid w:val="00A90B3C"/>
    <w:rsid w:val="00A91652"/>
    <w:rsid w:val="00A91CA3"/>
    <w:rsid w:val="00A92018"/>
    <w:rsid w:val="00A921B1"/>
    <w:rsid w:val="00A925D1"/>
    <w:rsid w:val="00A926EA"/>
    <w:rsid w:val="00A92FD4"/>
    <w:rsid w:val="00A93181"/>
    <w:rsid w:val="00A935FA"/>
    <w:rsid w:val="00A9379D"/>
    <w:rsid w:val="00A93C14"/>
    <w:rsid w:val="00A93CDD"/>
    <w:rsid w:val="00A93E27"/>
    <w:rsid w:val="00A94170"/>
    <w:rsid w:val="00A94D88"/>
    <w:rsid w:val="00A94DFB"/>
    <w:rsid w:val="00A94E7D"/>
    <w:rsid w:val="00A95056"/>
    <w:rsid w:val="00A955C8"/>
    <w:rsid w:val="00A95AE6"/>
    <w:rsid w:val="00A95BD1"/>
    <w:rsid w:val="00A95FDA"/>
    <w:rsid w:val="00A95FF2"/>
    <w:rsid w:val="00A96390"/>
    <w:rsid w:val="00A96D5B"/>
    <w:rsid w:val="00A9725C"/>
    <w:rsid w:val="00A974AB"/>
    <w:rsid w:val="00A97D1D"/>
    <w:rsid w:val="00A97EBD"/>
    <w:rsid w:val="00A97FE6"/>
    <w:rsid w:val="00AA035A"/>
    <w:rsid w:val="00AA0EF6"/>
    <w:rsid w:val="00AA1190"/>
    <w:rsid w:val="00AA1804"/>
    <w:rsid w:val="00AA1F81"/>
    <w:rsid w:val="00AA2FAF"/>
    <w:rsid w:val="00AA3696"/>
    <w:rsid w:val="00AA3E8C"/>
    <w:rsid w:val="00AA4438"/>
    <w:rsid w:val="00AA4550"/>
    <w:rsid w:val="00AA45B7"/>
    <w:rsid w:val="00AA472D"/>
    <w:rsid w:val="00AA513F"/>
    <w:rsid w:val="00AA5707"/>
    <w:rsid w:val="00AA582D"/>
    <w:rsid w:val="00AA5ABA"/>
    <w:rsid w:val="00AA635F"/>
    <w:rsid w:val="00AA646A"/>
    <w:rsid w:val="00AA6593"/>
    <w:rsid w:val="00AA69D8"/>
    <w:rsid w:val="00AA6E71"/>
    <w:rsid w:val="00AA7583"/>
    <w:rsid w:val="00AA7C31"/>
    <w:rsid w:val="00AA7EAE"/>
    <w:rsid w:val="00AB0044"/>
    <w:rsid w:val="00AB057E"/>
    <w:rsid w:val="00AB092B"/>
    <w:rsid w:val="00AB096C"/>
    <w:rsid w:val="00AB0B92"/>
    <w:rsid w:val="00AB0D68"/>
    <w:rsid w:val="00AB11D0"/>
    <w:rsid w:val="00AB1232"/>
    <w:rsid w:val="00AB1283"/>
    <w:rsid w:val="00AB12B7"/>
    <w:rsid w:val="00AB149B"/>
    <w:rsid w:val="00AB2326"/>
    <w:rsid w:val="00AB26D5"/>
    <w:rsid w:val="00AB2AAE"/>
    <w:rsid w:val="00AB368B"/>
    <w:rsid w:val="00AB3889"/>
    <w:rsid w:val="00AB390F"/>
    <w:rsid w:val="00AB404A"/>
    <w:rsid w:val="00AB43E0"/>
    <w:rsid w:val="00AB45AE"/>
    <w:rsid w:val="00AB4ED5"/>
    <w:rsid w:val="00AB51D6"/>
    <w:rsid w:val="00AB53E0"/>
    <w:rsid w:val="00AB6785"/>
    <w:rsid w:val="00AB6828"/>
    <w:rsid w:val="00AB700C"/>
    <w:rsid w:val="00AB712E"/>
    <w:rsid w:val="00AB748C"/>
    <w:rsid w:val="00AB7C33"/>
    <w:rsid w:val="00AB7C82"/>
    <w:rsid w:val="00AB7E86"/>
    <w:rsid w:val="00AC0042"/>
    <w:rsid w:val="00AC042F"/>
    <w:rsid w:val="00AC0638"/>
    <w:rsid w:val="00AC0726"/>
    <w:rsid w:val="00AC11A0"/>
    <w:rsid w:val="00AC18DA"/>
    <w:rsid w:val="00AC1E56"/>
    <w:rsid w:val="00AC1FFA"/>
    <w:rsid w:val="00AC231D"/>
    <w:rsid w:val="00AC26A7"/>
    <w:rsid w:val="00AC27B1"/>
    <w:rsid w:val="00AC2E7B"/>
    <w:rsid w:val="00AC34B7"/>
    <w:rsid w:val="00AC389C"/>
    <w:rsid w:val="00AC38D9"/>
    <w:rsid w:val="00AC3DDC"/>
    <w:rsid w:val="00AC3DFD"/>
    <w:rsid w:val="00AC3F9F"/>
    <w:rsid w:val="00AC41EB"/>
    <w:rsid w:val="00AC4658"/>
    <w:rsid w:val="00AC48C3"/>
    <w:rsid w:val="00AC4C23"/>
    <w:rsid w:val="00AC4C78"/>
    <w:rsid w:val="00AC5014"/>
    <w:rsid w:val="00AC5229"/>
    <w:rsid w:val="00AC543F"/>
    <w:rsid w:val="00AC5888"/>
    <w:rsid w:val="00AC5B09"/>
    <w:rsid w:val="00AC5EAD"/>
    <w:rsid w:val="00AC5F41"/>
    <w:rsid w:val="00AC67D5"/>
    <w:rsid w:val="00AC6917"/>
    <w:rsid w:val="00AC698A"/>
    <w:rsid w:val="00AC6D5B"/>
    <w:rsid w:val="00AC6D72"/>
    <w:rsid w:val="00AC7126"/>
    <w:rsid w:val="00AC7309"/>
    <w:rsid w:val="00AC733A"/>
    <w:rsid w:val="00AC7490"/>
    <w:rsid w:val="00AD05AA"/>
    <w:rsid w:val="00AD08B6"/>
    <w:rsid w:val="00AD0F22"/>
    <w:rsid w:val="00AD158B"/>
    <w:rsid w:val="00AD18C2"/>
    <w:rsid w:val="00AD1F64"/>
    <w:rsid w:val="00AD222E"/>
    <w:rsid w:val="00AD2C4F"/>
    <w:rsid w:val="00AD32FA"/>
    <w:rsid w:val="00AD33C0"/>
    <w:rsid w:val="00AD34A5"/>
    <w:rsid w:val="00AD3E35"/>
    <w:rsid w:val="00AD3EB3"/>
    <w:rsid w:val="00AD3F4E"/>
    <w:rsid w:val="00AD40EB"/>
    <w:rsid w:val="00AD4B90"/>
    <w:rsid w:val="00AD4BAB"/>
    <w:rsid w:val="00AD4DC4"/>
    <w:rsid w:val="00AD4E48"/>
    <w:rsid w:val="00AD568F"/>
    <w:rsid w:val="00AD5C38"/>
    <w:rsid w:val="00AD5FF0"/>
    <w:rsid w:val="00AD61E9"/>
    <w:rsid w:val="00AD66D8"/>
    <w:rsid w:val="00AD681F"/>
    <w:rsid w:val="00AD6C7A"/>
    <w:rsid w:val="00AD6FEF"/>
    <w:rsid w:val="00AD731A"/>
    <w:rsid w:val="00AD754B"/>
    <w:rsid w:val="00AD7C2F"/>
    <w:rsid w:val="00AD7ECE"/>
    <w:rsid w:val="00AE0087"/>
    <w:rsid w:val="00AE04AC"/>
    <w:rsid w:val="00AE0641"/>
    <w:rsid w:val="00AE06D7"/>
    <w:rsid w:val="00AE0DE2"/>
    <w:rsid w:val="00AE0E5E"/>
    <w:rsid w:val="00AE14CB"/>
    <w:rsid w:val="00AE16BC"/>
    <w:rsid w:val="00AE27AD"/>
    <w:rsid w:val="00AE2801"/>
    <w:rsid w:val="00AE2859"/>
    <w:rsid w:val="00AE2981"/>
    <w:rsid w:val="00AE3002"/>
    <w:rsid w:val="00AE38FD"/>
    <w:rsid w:val="00AE3994"/>
    <w:rsid w:val="00AE3B8E"/>
    <w:rsid w:val="00AE3F33"/>
    <w:rsid w:val="00AE44E0"/>
    <w:rsid w:val="00AE48C5"/>
    <w:rsid w:val="00AE4B9A"/>
    <w:rsid w:val="00AE51CA"/>
    <w:rsid w:val="00AE5701"/>
    <w:rsid w:val="00AE5764"/>
    <w:rsid w:val="00AE5AA2"/>
    <w:rsid w:val="00AE6274"/>
    <w:rsid w:val="00AE6B50"/>
    <w:rsid w:val="00AE772F"/>
    <w:rsid w:val="00AE7E51"/>
    <w:rsid w:val="00AF0C83"/>
    <w:rsid w:val="00AF0DAA"/>
    <w:rsid w:val="00AF0ECB"/>
    <w:rsid w:val="00AF0FB7"/>
    <w:rsid w:val="00AF1661"/>
    <w:rsid w:val="00AF1694"/>
    <w:rsid w:val="00AF1720"/>
    <w:rsid w:val="00AF1826"/>
    <w:rsid w:val="00AF1A05"/>
    <w:rsid w:val="00AF1A5D"/>
    <w:rsid w:val="00AF1F1C"/>
    <w:rsid w:val="00AF3338"/>
    <w:rsid w:val="00AF3374"/>
    <w:rsid w:val="00AF39E6"/>
    <w:rsid w:val="00AF3B34"/>
    <w:rsid w:val="00AF3DDE"/>
    <w:rsid w:val="00AF3E66"/>
    <w:rsid w:val="00AF41A3"/>
    <w:rsid w:val="00AF44A7"/>
    <w:rsid w:val="00AF47AF"/>
    <w:rsid w:val="00AF49E9"/>
    <w:rsid w:val="00AF4ECA"/>
    <w:rsid w:val="00AF4F3D"/>
    <w:rsid w:val="00AF50EA"/>
    <w:rsid w:val="00AF526E"/>
    <w:rsid w:val="00AF52D5"/>
    <w:rsid w:val="00AF600D"/>
    <w:rsid w:val="00AF6640"/>
    <w:rsid w:val="00AF68C7"/>
    <w:rsid w:val="00AF6958"/>
    <w:rsid w:val="00AF6C73"/>
    <w:rsid w:val="00AF6DB1"/>
    <w:rsid w:val="00AF6E22"/>
    <w:rsid w:val="00AF6FBC"/>
    <w:rsid w:val="00AF73AC"/>
    <w:rsid w:val="00AF7DA5"/>
    <w:rsid w:val="00AF7F37"/>
    <w:rsid w:val="00B00569"/>
    <w:rsid w:val="00B006BF"/>
    <w:rsid w:val="00B0089F"/>
    <w:rsid w:val="00B008BF"/>
    <w:rsid w:val="00B00AC4"/>
    <w:rsid w:val="00B00C66"/>
    <w:rsid w:val="00B00C8E"/>
    <w:rsid w:val="00B00D50"/>
    <w:rsid w:val="00B00EB5"/>
    <w:rsid w:val="00B01751"/>
    <w:rsid w:val="00B025D7"/>
    <w:rsid w:val="00B02CA3"/>
    <w:rsid w:val="00B03032"/>
    <w:rsid w:val="00B030DA"/>
    <w:rsid w:val="00B03568"/>
    <w:rsid w:val="00B03769"/>
    <w:rsid w:val="00B03D0F"/>
    <w:rsid w:val="00B041ED"/>
    <w:rsid w:val="00B0463E"/>
    <w:rsid w:val="00B04BF9"/>
    <w:rsid w:val="00B0532E"/>
    <w:rsid w:val="00B05471"/>
    <w:rsid w:val="00B059F2"/>
    <w:rsid w:val="00B06546"/>
    <w:rsid w:val="00B068E7"/>
    <w:rsid w:val="00B06A50"/>
    <w:rsid w:val="00B10A06"/>
    <w:rsid w:val="00B10A9C"/>
    <w:rsid w:val="00B10E0D"/>
    <w:rsid w:val="00B11050"/>
    <w:rsid w:val="00B11073"/>
    <w:rsid w:val="00B112D8"/>
    <w:rsid w:val="00B113C0"/>
    <w:rsid w:val="00B113D7"/>
    <w:rsid w:val="00B1143D"/>
    <w:rsid w:val="00B119B0"/>
    <w:rsid w:val="00B11BCF"/>
    <w:rsid w:val="00B11E04"/>
    <w:rsid w:val="00B12F96"/>
    <w:rsid w:val="00B13B1D"/>
    <w:rsid w:val="00B1414C"/>
    <w:rsid w:val="00B1450B"/>
    <w:rsid w:val="00B1582C"/>
    <w:rsid w:val="00B15B9D"/>
    <w:rsid w:val="00B15F1C"/>
    <w:rsid w:val="00B1608A"/>
    <w:rsid w:val="00B16CC0"/>
    <w:rsid w:val="00B174C3"/>
    <w:rsid w:val="00B20190"/>
    <w:rsid w:val="00B207E1"/>
    <w:rsid w:val="00B2093E"/>
    <w:rsid w:val="00B20B44"/>
    <w:rsid w:val="00B20FAE"/>
    <w:rsid w:val="00B21923"/>
    <w:rsid w:val="00B21A3B"/>
    <w:rsid w:val="00B21F15"/>
    <w:rsid w:val="00B22096"/>
    <w:rsid w:val="00B22967"/>
    <w:rsid w:val="00B233F3"/>
    <w:rsid w:val="00B236A1"/>
    <w:rsid w:val="00B238EC"/>
    <w:rsid w:val="00B23C88"/>
    <w:rsid w:val="00B23D15"/>
    <w:rsid w:val="00B24453"/>
    <w:rsid w:val="00B24463"/>
    <w:rsid w:val="00B2494E"/>
    <w:rsid w:val="00B2503E"/>
    <w:rsid w:val="00B254B2"/>
    <w:rsid w:val="00B25611"/>
    <w:rsid w:val="00B260D9"/>
    <w:rsid w:val="00B261DA"/>
    <w:rsid w:val="00B26312"/>
    <w:rsid w:val="00B2738A"/>
    <w:rsid w:val="00B27690"/>
    <w:rsid w:val="00B27EED"/>
    <w:rsid w:val="00B300AF"/>
    <w:rsid w:val="00B30247"/>
    <w:rsid w:val="00B30349"/>
    <w:rsid w:val="00B305B9"/>
    <w:rsid w:val="00B3146B"/>
    <w:rsid w:val="00B320B1"/>
    <w:rsid w:val="00B3213F"/>
    <w:rsid w:val="00B330AD"/>
    <w:rsid w:val="00B33865"/>
    <w:rsid w:val="00B33915"/>
    <w:rsid w:val="00B33D80"/>
    <w:rsid w:val="00B33E01"/>
    <w:rsid w:val="00B34721"/>
    <w:rsid w:val="00B34A30"/>
    <w:rsid w:val="00B34B6F"/>
    <w:rsid w:val="00B34C15"/>
    <w:rsid w:val="00B34C2F"/>
    <w:rsid w:val="00B34D4B"/>
    <w:rsid w:val="00B34D52"/>
    <w:rsid w:val="00B35016"/>
    <w:rsid w:val="00B35093"/>
    <w:rsid w:val="00B35180"/>
    <w:rsid w:val="00B3543E"/>
    <w:rsid w:val="00B3592F"/>
    <w:rsid w:val="00B35E43"/>
    <w:rsid w:val="00B35F93"/>
    <w:rsid w:val="00B36948"/>
    <w:rsid w:val="00B369DB"/>
    <w:rsid w:val="00B37767"/>
    <w:rsid w:val="00B37A90"/>
    <w:rsid w:val="00B403F2"/>
    <w:rsid w:val="00B40B77"/>
    <w:rsid w:val="00B40D39"/>
    <w:rsid w:val="00B4190C"/>
    <w:rsid w:val="00B41C72"/>
    <w:rsid w:val="00B41D0F"/>
    <w:rsid w:val="00B4260F"/>
    <w:rsid w:val="00B42A45"/>
    <w:rsid w:val="00B4310A"/>
    <w:rsid w:val="00B437C8"/>
    <w:rsid w:val="00B43DFB"/>
    <w:rsid w:val="00B446FE"/>
    <w:rsid w:val="00B44D1B"/>
    <w:rsid w:val="00B45152"/>
    <w:rsid w:val="00B45491"/>
    <w:rsid w:val="00B456DB"/>
    <w:rsid w:val="00B45EA6"/>
    <w:rsid w:val="00B46871"/>
    <w:rsid w:val="00B47959"/>
    <w:rsid w:val="00B47F90"/>
    <w:rsid w:val="00B47FE3"/>
    <w:rsid w:val="00B501D6"/>
    <w:rsid w:val="00B505E6"/>
    <w:rsid w:val="00B5076C"/>
    <w:rsid w:val="00B50BDB"/>
    <w:rsid w:val="00B50CF8"/>
    <w:rsid w:val="00B511DA"/>
    <w:rsid w:val="00B52276"/>
    <w:rsid w:val="00B529B3"/>
    <w:rsid w:val="00B52A60"/>
    <w:rsid w:val="00B52A85"/>
    <w:rsid w:val="00B5379F"/>
    <w:rsid w:val="00B543CE"/>
    <w:rsid w:val="00B5447D"/>
    <w:rsid w:val="00B54655"/>
    <w:rsid w:val="00B54D4C"/>
    <w:rsid w:val="00B54F72"/>
    <w:rsid w:val="00B550B1"/>
    <w:rsid w:val="00B550E8"/>
    <w:rsid w:val="00B55277"/>
    <w:rsid w:val="00B55435"/>
    <w:rsid w:val="00B55933"/>
    <w:rsid w:val="00B56C40"/>
    <w:rsid w:val="00B56DAC"/>
    <w:rsid w:val="00B570BA"/>
    <w:rsid w:val="00B57509"/>
    <w:rsid w:val="00B57962"/>
    <w:rsid w:val="00B57F9F"/>
    <w:rsid w:val="00B6133D"/>
    <w:rsid w:val="00B62091"/>
    <w:rsid w:val="00B62ABC"/>
    <w:rsid w:val="00B62D7F"/>
    <w:rsid w:val="00B633BA"/>
    <w:rsid w:val="00B633FB"/>
    <w:rsid w:val="00B63404"/>
    <w:rsid w:val="00B640A0"/>
    <w:rsid w:val="00B64235"/>
    <w:rsid w:val="00B64AAD"/>
    <w:rsid w:val="00B64CDE"/>
    <w:rsid w:val="00B64D71"/>
    <w:rsid w:val="00B64EFF"/>
    <w:rsid w:val="00B6506C"/>
    <w:rsid w:val="00B66646"/>
    <w:rsid w:val="00B66AA6"/>
    <w:rsid w:val="00B67048"/>
    <w:rsid w:val="00B671A6"/>
    <w:rsid w:val="00B672ED"/>
    <w:rsid w:val="00B67507"/>
    <w:rsid w:val="00B67600"/>
    <w:rsid w:val="00B67653"/>
    <w:rsid w:val="00B6766D"/>
    <w:rsid w:val="00B67A7F"/>
    <w:rsid w:val="00B67C3B"/>
    <w:rsid w:val="00B702E1"/>
    <w:rsid w:val="00B7031A"/>
    <w:rsid w:val="00B70B3F"/>
    <w:rsid w:val="00B710A6"/>
    <w:rsid w:val="00B71297"/>
    <w:rsid w:val="00B712F4"/>
    <w:rsid w:val="00B713CE"/>
    <w:rsid w:val="00B714CD"/>
    <w:rsid w:val="00B71650"/>
    <w:rsid w:val="00B7190C"/>
    <w:rsid w:val="00B71C7B"/>
    <w:rsid w:val="00B71C90"/>
    <w:rsid w:val="00B71DF7"/>
    <w:rsid w:val="00B7226B"/>
    <w:rsid w:val="00B7262A"/>
    <w:rsid w:val="00B72658"/>
    <w:rsid w:val="00B72A77"/>
    <w:rsid w:val="00B72BCE"/>
    <w:rsid w:val="00B72E5E"/>
    <w:rsid w:val="00B732FA"/>
    <w:rsid w:val="00B73B28"/>
    <w:rsid w:val="00B73BF4"/>
    <w:rsid w:val="00B742E1"/>
    <w:rsid w:val="00B7460A"/>
    <w:rsid w:val="00B746A6"/>
    <w:rsid w:val="00B7483F"/>
    <w:rsid w:val="00B7487E"/>
    <w:rsid w:val="00B74AD9"/>
    <w:rsid w:val="00B74E99"/>
    <w:rsid w:val="00B751D3"/>
    <w:rsid w:val="00B751DA"/>
    <w:rsid w:val="00B7534D"/>
    <w:rsid w:val="00B75390"/>
    <w:rsid w:val="00B76562"/>
    <w:rsid w:val="00B76824"/>
    <w:rsid w:val="00B7693C"/>
    <w:rsid w:val="00B76B3D"/>
    <w:rsid w:val="00B7787A"/>
    <w:rsid w:val="00B802AD"/>
    <w:rsid w:val="00B809D5"/>
    <w:rsid w:val="00B80D71"/>
    <w:rsid w:val="00B80DDC"/>
    <w:rsid w:val="00B813F9"/>
    <w:rsid w:val="00B81F28"/>
    <w:rsid w:val="00B8269B"/>
    <w:rsid w:val="00B82709"/>
    <w:rsid w:val="00B82EE1"/>
    <w:rsid w:val="00B8330C"/>
    <w:rsid w:val="00B83573"/>
    <w:rsid w:val="00B8376B"/>
    <w:rsid w:val="00B839FF"/>
    <w:rsid w:val="00B83BE7"/>
    <w:rsid w:val="00B83DE8"/>
    <w:rsid w:val="00B83E77"/>
    <w:rsid w:val="00B8496A"/>
    <w:rsid w:val="00B8496C"/>
    <w:rsid w:val="00B84AC0"/>
    <w:rsid w:val="00B84C30"/>
    <w:rsid w:val="00B84C89"/>
    <w:rsid w:val="00B84D84"/>
    <w:rsid w:val="00B85210"/>
    <w:rsid w:val="00B85A34"/>
    <w:rsid w:val="00B85B37"/>
    <w:rsid w:val="00B85FB8"/>
    <w:rsid w:val="00B86325"/>
    <w:rsid w:val="00B86650"/>
    <w:rsid w:val="00B867F3"/>
    <w:rsid w:val="00B868B3"/>
    <w:rsid w:val="00B86CC6"/>
    <w:rsid w:val="00B8745F"/>
    <w:rsid w:val="00B87C9A"/>
    <w:rsid w:val="00B87DBB"/>
    <w:rsid w:val="00B87F20"/>
    <w:rsid w:val="00B90569"/>
    <w:rsid w:val="00B905E5"/>
    <w:rsid w:val="00B90AFD"/>
    <w:rsid w:val="00B90E6D"/>
    <w:rsid w:val="00B91308"/>
    <w:rsid w:val="00B913C7"/>
    <w:rsid w:val="00B914D1"/>
    <w:rsid w:val="00B92EED"/>
    <w:rsid w:val="00B93600"/>
    <w:rsid w:val="00B93BF4"/>
    <w:rsid w:val="00B940B3"/>
    <w:rsid w:val="00B94A19"/>
    <w:rsid w:val="00B94BFB"/>
    <w:rsid w:val="00B951A2"/>
    <w:rsid w:val="00B95407"/>
    <w:rsid w:val="00B959ED"/>
    <w:rsid w:val="00B95DC2"/>
    <w:rsid w:val="00B963DC"/>
    <w:rsid w:val="00B96814"/>
    <w:rsid w:val="00B96A27"/>
    <w:rsid w:val="00B96C43"/>
    <w:rsid w:val="00B96E4C"/>
    <w:rsid w:val="00B970FE"/>
    <w:rsid w:val="00B9720E"/>
    <w:rsid w:val="00B9723F"/>
    <w:rsid w:val="00B979CE"/>
    <w:rsid w:val="00B97A4C"/>
    <w:rsid w:val="00B97A9B"/>
    <w:rsid w:val="00BA04CE"/>
    <w:rsid w:val="00BA0532"/>
    <w:rsid w:val="00BA0540"/>
    <w:rsid w:val="00BA0988"/>
    <w:rsid w:val="00BA0EB5"/>
    <w:rsid w:val="00BA1044"/>
    <w:rsid w:val="00BA10C7"/>
    <w:rsid w:val="00BA1B26"/>
    <w:rsid w:val="00BA1B29"/>
    <w:rsid w:val="00BA1FB3"/>
    <w:rsid w:val="00BA2452"/>
    <w:rsid w:val="00BA249F"/>
    <w:rsid w:val="00BA29AC"/>
    <w:rsid w:val="00BA2BB0"/>
    <w:rsid w:val="00BA2EBF"/>
    <w:rsid w:val="00BA35F4"/>
    <w:rsid w:val="00BA3C9B"/>
    <w:rsid w:val="00BA49D6"/>
    <w:rsid w:val="00BA4C40"/>
    <w:rsid w:val="00BA51D9"/>
    <w:rsid w:val="00BA5635"/>
    <w:rsid w:val="00BA5749"/>
    <w:rsid w:val="00BA5779"/>
    <w:rsid w:val="00BA57AE"/>
    <w:rsid w:val="00BA589D"/>
    <w:rsid w:val="00BA5AE2"/>
    <w:rsid w:val="00BA5F3D"/>
    <w:rsid w:val="00BA5F96"/>
    <w:rsid w:val="00BA6E5B"/>
    <w:rsid w:val="00BA7290"/>
    <w:rsid w:val="00BA7954"/>
    <w:rsid w:val="00BA7D60"/>
    <w:rsid w:val="00BA7D8A"/>
    <w:rsid w:val="00BA7F1C"/>
    <w:rsid w:val="00BB07A1"/>
    <w:rsid w:val="00BB0809"/>
    <w:rsid w:val="00BB0E12"/>
    <w:rsid w:val="00BB0ED8"/>
    <w:rsid w:val="00BB145D"/>
    <w:rsid w:val="00BB1535"/>
    <w:rsid w:val="00BB16E8"/>
    <w:rsid w:val="00BB1963"/>
    <w:rsid w:val="00BB1D46"/>
    <w:rsid w:val="00BB2A27"/>
    <w:rsid w:val="00BB3FF9"/>
    <w:rsid w:val="00BB42E8"/>
    <w:rsid w:val="00BB467B"/>
    <w:rsid w:val="00BB4BC6"/>
    <w:rsid w:val="00BB4D49"/>
    <w:rsid w:val="00BB53FD"/>
    <w:rsid w:val="00BB5778"/>
    <w:rsid w:val="00BB610D"/>
    <w:rsid w:val="00BB6314"/>
    <w:rsid w:val="00BB672B"/>
    <w:rsid w:val="00BB6EEB"/>
    <w:rsid w:val="00BB766F"/>
    <w:rsid w:val="00BB7EF8"/>
    <w:rsid w:val="00BC015D"/>
    <w:rsid w:val="00BC025A"/>
    <w:rsid w:val="00BC02C3"/>
    <w:rsid w:val="00BC04DE"/>
    <w:rsid w:val="00BC057A"/>
    <w:rsid w:val="00BC1230"/>
    <w:rsid w:val="00BC1534"/>
    <w:rsid w:val="00BC165B"/>
    <w:rsid w:val="00BC1D42"/>
    <w:rsid w:val="00BC1DFE"/>
    <w:rsid w:val="00BC1E9F"/>
    <w:rsid w:val="00BC25D2"/>
    <w:rsid w:val="00BC28D7"/>
    <w:rsid w:val="00BC2961"/>
    <w:rsid w:val="00BC2A39"/>
    <w:rsid w:val="00BC50AD"/>
    <w:rsid w:val="00BC56EE"/>
    <w:rsid w:val="00BC5935"/>
    <w:rsid w:val="00BC638B"/>
    <w:rsid w:val="00BC6D6E"/>
    <w:rsid w:val="00BC6E23"/>
    <w:rsid w:val="00BC6E81"/>
    <w:rsid w:val="00BC71AC"/>
    <w:rsid w:val="00BC72D0"/>
    <w:rsid w:val="00BC76BC"/>
    <w:rsid w:val="00BC76BE"/>
    <w:rsid w:val="00BC76C4"/>
    <w:rsid w:val="00BC77AB"/>
    <w:rsid w:val="00BC7D38"/>
    <w:rsid w:val="00BD019E"/>
    <w:rsid w:val="00BD04CE"/>
    <w:rsid w:val="00BD055B"/>
    <w:rsid w:val="00BD0667"/>
    <w:rsid w:val="00BD07B6"/>
    <w:rsid w:val="00BD09EB"/>
    <w:rsid w:val="00BD1093"/>
    <w:rsid w:val="00BD1529"/>
    <w:rsid w:val="00BD15BB"/>
    <w:rsid w:val="00BD15C0"/>
    <w:rsid w:val="00BD1A5B"/>
    <w:rsid w:val="00BD1C34"/>
    <w:rsid w:val="00BD21A9"/>
    <w:rsid w:val="00BD322B"/>
    <w:rsid w:val="00BD3806"/>
    <w:rsid w:val="00BD4147"/>
    <w:rsid w:val="00BD4570"/>
    <w:rsid w:val="00BD462C"/>
    <w:rsid w:val="00BD471F"/>
    <w:rsid w:val="00BD4EB8"/>
    <w:rsid w:val="00BD5391"/>
    <w:rsid w:val="00BD539D"/>
    <w:rsid w:val="00BD5A52"/>
    <w:rsid w:val="00BD5B01"/>
    <w:rsid w:val="00BD5EB7"/>
    <w:rsid w:val="00BD606D"/>
    <w:rsid w:val="00BD612B"/>
    <w:rsid w:val="00BD62A3"/>
    <w:rsid w:val="00BD67A8"/>
    <w:rsid w:val="00BD6BF3"/>
    <w:rsid w:val="00BD6C59"/>
    <w:rsid w:val="00BD6E93"/>
    <w:rsid w:val="00BD6FF0"/>
    <w:rsid w:val="00BD71C9"/>
    <w:rsid w:val="00BD75F1"/>
    <w:rsid w:val="00BD79F6"/>
    <w:rsid w:val="00BE00A3"/>
    <w:rsid w:val="00BE03B9"/>
    <w:rsid w:val="00BE0FA6"/>
    <w:rsid w:val="00BE0FDD"/>
    <w:rsid w:val="00BE1241"/>
    <w:rsid w:val="00BE14AF"/>
    <w:rsid w:val="00BE16A7"/>
    <w:rsid w:val="00BE1877"/>
    <w:rsid w:val="00BE218F"/>
    <w:rsid w:val="00BE2D2B"/>
    <w:rsid w:val="00BE2EF4"/>
    <w:rsid w:val="00BE3359"/>
    <w:rsid w:val="00BE3436"/>
    <w:rsid w:val="00BE3802"/>
    <w:rsid w:val="00BE3ACF"/>
    <w:rsid w:val="00BE3DD2"/>
    <w:rsid w:val="00BE3ED0"/>
    <w:rsid w:val="00BE3F3A"/>
    <w:rsid w:val="00BE4090"/>
    <w:rsid w:val="00BE42FE"/>
    <w:rsid w:val="00BE432A"/>
    <w:rsid w:val="00BE435A"/>
    <w:rsid w:val="00BE46B0"/>
    <w:rsid w:val="00BE470B"/>
    <w:rsid w:val="00BE4BF5"/>
    <w:rsid w:val="00BE4C02"/>
    <w:rsid w:val="00BE4C04"/>
    <w:rsid w:val="00BE5076"/>
    <w:rsid w:val="00BE572D"/>
    <w:rsid w:val="00BE6512"/>
    <w:rsid w:val="00BE6809"/>
    <w:rsid w:val="00BE6906"/>
    <w:rsid w:val="00BE6A4F"/>
    <w:rsid w:val="00BE765B"/>
    <w:rsid w:val="00BE7E27"/>
    <w:rsid w:val="00BE7FA1"/>
    <w:rsid w:val="00BF08EF"/>
    <w:rsid w:val="00BF08F5"/>
    <w:rsid w:val="00BF1001"/>
    <w:rsid w:val="00BF1385"/>
    <w:rsid w:val="00BF1472"/>
    <w:rsid w:val="00BF1973"/>
    <w:rsid w:val="00BF1AB1"/>
    <w:rsid w:val="00BF1CE3"/>
    <w:rsid w:val="00BF1FE1"/>
    <w:rsid w:val="00BF265B"/>
    <w:rsid w:val="00BF2BF1"/>
    <w:rsid w:val="00BF3987"/>
    <w:rsid w:val="00BF412E"/>
    <w:rsid w:val="00BF42DF"/>
    <w:rsid w:val="00BF47DD"/>
    <w:rsid w:val="00BF5014"/>
    <w:rsid w:val="00BF568D"/>
    <w:rsid w:val="00BF575C"/>
    <w:rsid w:val="00BF5ED9"/>
    <w:rsid w:val="00BF6492"/>
    <w:rsid w:val="00BF65CA"/>
    <w:rsid w:val="00BF6715"/>
    <w:rsid w:val="00BF6FA3"/>
    <w:rsid w:val="00BF746E"/>
    <w:rsid w:val="00BF763A"/>
    <w:rsid w:val="00BF7968"/>
    <w:rsid w:val="00BF7E0C"/>
    <w:rsid w:val="00C008D9"/>
    <w:rsid w:val="00C00D52"/>
    <w:rsid w:val="00C010DB"/>
    <w:rsid w:val="00C01C10"/>
    <w:rsid w:val="00C01D31"/>
    <w:rsid w:val="00C01DF2"/>
    <w:rsid w:val="00C021F3"/>
    <w:rsid w:val="00C022A7"/>
    <w:rsid w:val="00C02766"/>
    <w:rsid w:val="00C0303B"/>
    <w:rsid w:val="00C037F6"/>
    <w:rsid w:val="00C03840"/>
    <w:rsid w:val="00C03858"/>
    <w:rsid w:val="00C03B63"/>
    <w:rsid w:val="00C03BE0"/>
    <w:rsid w:val="00C04304"/>
    <w:rsid w:val="00C04681"/>
    <w:rsid w:val="00C04FD3"/>
    <w:rsid w:val="00C050A1"/>
    <w:rsid w:val="00C058D0"/>
    <w:rsid w:val="00C05A7F"/>
    <w:rsid w:val="00C05E5C"/>
    <w:rsid w:val="00C05F4C"/>
    <w:rsid w:val="00C060C1"/>
    <w:rsid w:val="00C077D3"/>
    <w:rsid w:val="00C10000"/>
    <w:rsid w:val="00C10F4F"/>
    <w:rsid w:val="00C113B5"/>
    <w:rsid w:val="00C114F0"/>
    <w:rsid w:val="00C11802"/>
    <w:rsid w:val="00C11814"/>
    <w:rsid w:val="00C119D9"/>
    <w:rsid w:val="00C11B0D"/>
    <w:rsid w:val="00C11D11"/>
    <w:rsid w:val="00C11E2D"/>
    <w:rsid w:val="00C124C3"/>
    <w:rsid w:val="00C12C3A"/>
    <w:rsid w:val="00C1323F"/>
    <w:rsid w:val="00C1325B"/>
    <w:rsid w:val="00C13355"/>
    <w:rsid w:val="00C13967"/>
    <w:rsid w:val="00C13AB5"/>
    <w:rsid w:val="00C13D64"/>
    <w:rsid w:val="00C13FA9"/>
    <w:rsid w:val="00C1475A"/>
    <w:rsid w:val="00C14BE8"/>
    <w:rsid w:val="00C14C59"/>
    <w:rsid w:val="00C14C9C"/>
    <w:rsid w:val="00C14D67"/>
    <w:rsid w:val="00C14D75"/>
    <w:rsid w:val="00C15499"/>
    <w:rsid w:val="00C15633"/>
    <w:rsid w:val="00C156DF"/>
    <w:rsid w:val="00C15B94"/>
    <w:rsid w:val="00C15EE7"/>
    <w:rsid w:val="00C166C0"/>
    <w:rsid w:val="00C16A3D"/>
    <w:rsid w:val="00C16B1D"/>
    <w:rsid w:val="00C16C0D"/>
    <w:rsid w:val="00C16C12"/>
    <w:rsid w:val="00C16CF1"/>
    <w:rsid w:val="00C16D62"/>
    <w:rsid w:val="00C1765D"/>
    <w:rsid w:val="00C17F6C"/>
    <w:rsid w:val="00C17FF9"/>
    <w:rsid w:val="00C2000F"/>
    <w:rsid w:val="00C20090"/>
    <w:rsid w:val="00C20CB4"/>
    <w:rsid w:val="00C216B1"/>
    <w:rsid w:val="00C21787"/>
    <w:rsid w:val="00C219D9"/>
    <w:rsid w:val="00C21CCB"/>
    <w:rsid w:val="00C22329"/>
    <w:rsid w:val="00C22A9A"/>
    <w:rsid w:val="00C22DDE"/>
    <w:rsid w:val="00C22E2D"/>
    <w:rsid w:val="00C22E5A"/>
    <w:rsid w:val="00C232A3"/>
    <w:rsid w:val="00C23574"/>
    <w:rsid w:val="00C235D9"/>
    <w:rsid w:val="00C237BF"/>
    <w:rsid w:val="00C238E6"/>
    <w:rsid w:val="00C23A6D"/>
    <w:rsid w:val="00C23EE7"/>
    <w:rsid w:val="00C240BE"/>
    <w:rsid w:val="00C244B0"/>
    <w:rsid w:val="00C245EC"/>
    <w:rsid w:val="00C24D2F"/>
    <w:rsid w:val="00C250E0"/>
    <w:rsid w:val="00C257DA"/>
    <w:rsid w:val="00C25C24"/>
    <w:rsid w:val="00C2639F"/>
    <w:rsid w:val="00C264AE"/>
    <w:rsid w:val="00C26534"/>
    <w:rsid w:val="00C26A06"/>
    <w:rsid w:val="00C26BB5"/>
    <w:rsid w:val="00C2780B"/>
    <w:rsid w:val="00C278B3"/>
    <w:rsid w:val="00C27B3D"/>
    <w:rsid w:val="00C27BDE"/>
    <w:rsid w:val="00C27CD0"/>
    <w:rsid w:val="00C3009B"/>
    <w:rsid w:val="00C30175"/>
    <w:rsid w:val="00C303CC"/>
    <w:rsid w:val="00C305F4"/>
    <w:rsid w:val="00C3097C"/>
    <w:rsid w:val="00C309B5"/>
    <w:rsid w:val="00C30F4E"/>
    <w:rsid w:val="00C31391"/>
    <w:rsid w:val="00C31510"/>
    <w:rsid w:val="00C31632"/>
    <w:rsid w:val="00C31F9F"/>
    <w:rsid w:val="00C325D2"/>
    <w:rsid w:val="00C32A4E"/>
    <w:rsid w:val="00C32CC4"/>
    <w:rsid w:val="00C32DDE"/>
    <w:rsid w:val="00C32FCF"/>
    <w:rsid w:val="00C33120"/>
    <w:rsid w:val="00C3315E"/>
    <w:rsid w:val="00C33862"/>
    <w:rsid w:val="00C33A6F"/>
    <w:rsid w:val="00C33C91"/>
    <w:rsid w:val="00C33FCB"/>
    <w:rsid w:val="00C347E9"/>
    <w:rsid w:val="00C34A9D"/>
    <w:rsid w:val="00C35260"/>
    <w:rsid w:val="00C358D3"/>
    <w:rsid w:val="00C35B11"/>
    <w:rsid w:val="00C35F29"/>
    <w:rsid w:val="00C35FAE"/>
    <w:rsid w:val="00C360CF"/>
    <w:rsid w:val="00C361B9"/>
    <w:rsid w:val="00C366FC"/>
    <w:rsid w:val="00C36EAB"/>
    <w:rsid w:val="00C376DE"/>
    <w:rsid w:val="00C3782F"/>
    <w:rsid w:val="00C37EA4"/>
    <w:rsid w:val="00C37F15"/>
    <w:rsid w:val="00C401B3"/>
    <w:rsid w:val="00C40B6A"/>
    <w:rsid w:val="00C40E28"/>
    <w:rsid w:val="00C4100E"/>
    <w:rsid w:val="00C41FB5"/>
    <w:rsid w:val="00C42045"/>
    <w:rsid w:val="00C422F1"/>
    <w:rsid w:val="00C423A6"/>
    <w:rsid w:val="00C42463"/>
    <w:rsid w:val="00C4246D"/>
    <w:rsid w:val="00C431A5"/>
    <w:rsid w:val="00C431A7"/>
    <w:rsid w:val="00C4373F"/>
    <w:rsid w:val="00C43C27"/>
    <w:rsid w:val="00C4439F"/>
    <w:rsid w:val="00C44B80"/>
    <w:rsid w:val="00C45391"/>
    <w:rsid w:val="00C45628"/>
    <w:rsid w:val="00C45E8A"/>
    <w:rsid w:val="00C46052"/>
    <w:rsid w:val="00C4641A"/>
    <w:rsid w:val="00C4664F"/>
    <w:rsid w:val="00C4697D"/>
    <w:rsid w:val="00C46C68"/>
    <w:rsid w:val="00C47130"/>
    <w:rsid w:val="00C47236"/>
    <w:rsid w:val="00C47891"/>
    <w:rsid w:val="00C47ABE"/>
    <w:rsid w:val="00C47FDB"/>
    <w:rsid w:val="00C5001C"/>
    <w:rsid w:val="00C50796"/>
    <w:rsid w:val="00C50A67"/>
    <w:rsid w:val="00C50F51"/>
    <w:rsid w:val="00C51702"/>
    <w:rsid w:val="00C51928"/>
    <w:rsid w:val="00C51AA7"/>
    <w:rsid w:val="00C52030"/>
    <w:rsid w:val="00C52659"/>
    <w:rsid w:val="00C52937"/>
    <w:rsid w:val="00C52BEE"/>
    <w:rsid w:val="00C532AC"/>
    <w:rsid w:val="00C535BA"/>
    <w:rsid w:val="00C53683"/>
    <w:rsid w:val="00C53AFC"/>
    <w:rsid w:val="00C53C33"/>
    <w:rsid w:val="00C53CB2"/>
    <w:rsid w:val="00C53D4B"/>
    <w:rsid w:val="00C546CC"/>
    <w:rsid w:val="00C54799"/>
    <w:rsid w:val="00C555C1"/>
    <w:rsid w:val="00C55B1D"/>
    <w:rsid w:val="00C55F6F"/>
    <w:rsid w:val="00C5615B"/>
    <w:rsid w:val="00C5652B"/>
    <w:rsid w:val="00C56970"/>
    <w:rsid w:val="00C571B9"/>
    <w:rsid w:val="00C57316"/>
    <w:rsid w:val="00C5768A"/>
    <w:rsid w:val="00C577AB"/>
    <w:rsid w:val="00C578FB"/>
    <w:rsid w:val="00C60546"/>
    <w:rsid w:val="00C60811"/>
    <w:rsid w:val="00C60D71"/>
    <w:rsid w:val="00C60EA7"/>
    <w:rsid w:val="00C60F09"/>
    <w:rsid w:val="00C610AE"/>
    <w:rsid w:val="00C624D3"/>
    <w:rsid w:val="00C62674"/>
    <w:rsid w:val="00C62BBB"/>
    <w:rsid w:val="00C62D28"/>
    <w:rsid w:val="00C62D32"/>
    <w:rsid w:val="00C633E3"/>
    <w:rsid w:val="00C6342F"/>
    <w:rsid w:val="00C6369E"/>
    <w:rsid w:val="00C63901"/>
    <w:rsid w:val="00C63BE3"/>
    <w:rsid w:val="00C63D99"/>
    <w:rsid w:val="00C63E5F"/>
    <w:rsid w:val="00C64978"/>
    <w:rsid w:val="00C649A4"/>
    <w:rsid w:val="00C64C0C"/>
    <w:rsid w:val="00C64CF4"/>
    <w:rsid w:val="00C64EF7"/>
    <w:rsid w:val="00C653C8"/>
    <w:rsid w:val="00C657CA"/>
    <w:rsid w:val="00C65B4A"/>
    <w:rsid w:val="00C66589"/>
    <w:rsid w:val="00C66A23"/>
    <w:rsid w:val="00C66D99"/>
    <w:rsid w:val="00C66DAE"/>
    <w:rsid w:val="00C67200"/>
    <w:rsid w:val="00C67339"/>
    <w:rsid w:val="00C67404"/>
    <w:rsid w:val="00C677A7"/>
    <w:rsid w:val="00C67D0A"/>
    <w:rsid w:val="00C7023C"/>
    <w:rsid w:val="00C702E6"/>
    <w:rsid w:val="00C70381"/>
    <w:rsid w:val="00C70AFB"/>
    <w:rsid w:val="00C71054"/>
    <w:rsid w:val="00C71107"/>
    <w:rsid w:val="00C712A4"/>
    <w:rsid w:val="00C719FA"/>
    <w:rsid w:val="00C71E1F"/>
    <w:rsid w:val="00C72028"/>
    <w:rsid w:val="00C73021"/>
    <w:rsid w:val="00C7324A"/>
    <w:rsid w:val="00C739C1"/>
    <w:rsid w:val="00C73DC6"/>
    <w:rsid w:val="00C73ED0"/>
    <w:rsid w:val="00C7452E"/>
    <w:rsid w:val="00C747C5"/>
    <w:rsid w:val="00C7495D"/>
    <w:rsid w:val="00C74ABC"/>
    <w:rsid w:val="00C74CBA"/>
    <w:rsid w:val="00C767AE"/>
    <w:rsid w:val="00C76AA6"/>
    <w:rsid w:val="00C76C0F"/>
    <w:rsid w:val="00C76C10"/>
    <w:rsid w:val="00C76F7C"/>
    <w:rsid w:val="00C770A0"/>
    <w:rsid w:val="00C77E62"/>
    <w:rsid w:val="00C800EC"/>
    <w:rsid w:val="00C80D0A"/>
    <w:rsid w:val="00C80D5E"/>
    <w:rsid w:val="00C80DF7"/>
    <w:rsid w:val="00C81024"/>
    <w:rsid w:val="00C8179B"/>
    <w:rsid w:val="00C82416"/>
    <w:rsid w:val="00C83D29"/>
    <w:rsid w:val="00C84431"/>
    <w:rsid w:val="00C8457E"/>
    <w:rsid w:val="00C845E4"/>
    <w:rsid w:val="00C846FC"/>
    <w:rsid w:val="00C847D5"/>
    <w:rsid w:val="00C84B79"/>
    <w:rsid w:val="00C84DFE"/>
    <w:rsid w:val="00C84F8B"/>
    <w:rsid w:val="00C84FBA"/>
    <w:rsid w:val="00C85285"/>
    <w:rsid w:val="00C859AB"/>
    <w:rsid w:val="00C85A5D"/>
    <w:rsid w:val="00C861E7"/>
    <w:rsid w:val="00C862D7"/>
    <w:rsid w:val="00C86912"/>
    <w:rsid w:val="00C86BED"/>
    <w:rsid w:val="00C86D44"/>
    <w:rsid w:val="00C87196"/>
    <w:rsid w:val="00C87429"/>
    <w:rsid w:val="00C878B9"/>
    <w:rsid w:val="00C87995"/>
    <w:rsid w:val="00C9083A"/>
    <w:rsid w:val="00C90B96"/>
    <w:rsid w:val="00C90E24"/>
    <w:rsid w:val="00C91019"/>
    <w:rsid w:val="00C91049"/>
    <w:rsid w:val="00C917F6"/>
    <w:rsid w:val="00C91C1B"/>
    <w:rsid w:val="00C91FFD"/>
    <w:rsid w:val="00C9250C"/>
    <w:rsid w:val="00C92527"/>
    <w:rsid w:val="00C9305C"/>
    <w:rsid w:val="00C9366A"/>
    <w:rsid w:val="00C937DB"/>
    <w:rsid w:val="00C94275"/>
    <w:rsid w:val="00C946CC"/>
    <w:rsid w:val="00C94FD3"/>
    <w:rsid w:val="00C950E7"/>
    <w:rsid w:val="00C9599A"/>
    <w:rsid w:val="00C95BD9"/>
    <w:rsid w:val="00C96254"/>
    <w:rsid w:val="00C962E2"/>
    <w:rsid w:val="00C9640A"/>
    <w:rsid w:val="00C96470"/>
    <w:rsid w:val="00C96DE8"/>
    <w:rsid w:val="00C96FD9"/>
    <w:rsid w:val="00C96FF8"/>
    <w:rsid w:val="00C9762C"/>
    <w:rsid w:val="00CA03B2"/>
    <w:rsid w:val="00CA073E"/>
    <w:rsid w:val="00CA0B34"/>
    <w:rsid w:val="00CA0B4F"/>
    <w:rsid w:val="00CA18E4"/>
    <w:rsid w:val="00CA1C86"/>
    <w:rsid w:val="00CA24D5"/>
    <w:rsid w:val="00CA274C"/>
    <w:rsid w:val="00CA27ED"/>
    <w:rsid w:val="00CA2B34"/>
    <w:rsid w:val="00CA3A4F"/>
    <w:rsid w:val="00CA3B01"/>
    <w:rsid w:val="00CA3C06"/>
    <w:rsid w:val="00CA3E39"/>
    <w:rsid w:val="00CA4631"/>
    <w:rsid w:val="00CA48ED"/>
    <w:rsid w:val="00CA4917"/>
    <w:rsid w:val="00CA5344"/>
    <w:rsid w:val="00CA5513"/>
    <w:rsid w:val="00CA55EB"/>
    <w:rsid w:val="00CA5974"/>
    <w:rsid w:val="00CA5D44"/>
    <w:rsid w:val="00CA66FD"/>
    <w:rsid w:val="00CA6BD1"/>
    <w:rsid w:val="00CA6EF6"/>
    <w:rsid w:val="00CA72ED"/>
    <w:rsid w:val="00CA75CA"/>
    <w:rsid w:val="00CA7B72"/>
    <w:rsid w:val="00CA7CFF"/>
    <w:rsid w:val="00CA7DDD"/>
    <w:rsid w:val="00CB0517"/>
    <w:rsid w:val="00CB0A5C"/>
    <w:rsid w:val="00CB0ED9"/>
    <w:rsid w:val="00CB104A"/>
    <w:rsid w:val="00CB1875"/>
    <w:rsid w:val="00CB1FE5"/>
    <w:rsid w:val="00CB2068"/>
    <w:rsid w:val="00CB20BF"/>
    <w:rsid w:val="00CB25E8"/>
    <w:rsid w:val="00CB2937"/>
    <w:rsid w:val="00CB297A"/>
    <w:rsid w:val="00CB2C09"/>
    <w:rsid w:val="00CB315B"/>
    <w:rsid w:val="00CB34A7"/>
    <w:rsid w:val="00CB409D"/>
    <w:rsid w:val="00CB43AE"/>
    <w:rsid w:val="00CB4B73"/>
    <w:rsid w:val="00CB5421"/>
    <w:rsid w:val="00CB56B4"/>
    <w:rsid w:val="00CB5BEE"/>
    <w:rsid w:val="00CB5F83"/>
    <w:rsid w:val="00CB6863"/>
    <w:rsid w:val="00CB6F50"/>
    <w:rsid w:val="00CB745B"/>
    <w:rsid w:val="00CB75B3"/>
    <w:rsid w:val="00CB7637"/>
    <w:rsid w:val="00CB775E"/>
    <w:rsid w:val="00CC02D3"/>
    <w:rsid w:val="00CC03DD"/>
    <w:rsid w:val="00CC08A5"/>
    <w:rsid w:val="00CC08D0"/>
    <w:rsid w:val="00CC0B17"/>
    <w:rsid w:val="00CC0BAE"/>
    <w:rsid w:val="00CC0F2A"/>
    <w:rsid w:val="00CC102D"/>
    <w:rsid w:val="00CC1136"/>
    <w:rsid w:val="00CC1141"/>
    <w:rsid w:val="00CC12D9"/>
    <w:rsid w:val="00CC1D00"/>
    <w:rsid w:val="00CC1E2C"/>
    <w:rsid w:val="00CC1F7C"/>
    <w:rsid w:val="00CC2097"/>
    <w:rsid w:val="00CC2200"/>
    <w:rsid w:val="00CC2402"/>
    <w:rsid w:val="00CC249F"/>
    <w:rsid w:val="00CC254B"/>
    <w:rsid w:val="00CC2868"/>
    <w:rsid w:val="00CC2F0B"/>
    <w:rsid w:val="00CC372A"/>
    <w:rsid w:val="00CC3DCE"/>
    <w:rsid w:val="00CC3FBE"/>
    <w:rsid w:val="00CC452E"/>
    <w:rsid w:val="00CC45DB"/>
    <w:rsid w:val="00CC4746"/>
    <w:rsid w:val="00CC56D3"/>
    <w:rsid w:val="00CC59B8"/>
    <w:rsid w:val="00CC5CD2"/>
    <w:rsid w:val="00CC62DB"/>
    <w:rsid w:val="00CC6367"/>
    <w:rsid w:val="00CC6445"/>
    <w:rsid w:val="00CC66D6"/>
    <w:rsid w:val="00CC6C51"/>
    <w:rsid w:val="00CC6CB9"/>
    <w:rsid w:val="00CC6EA9"/>
    <w:rsid w:val="00CC7295"/>
    <w:rsid w:val="00CC7A9F"/>
    <w:rsid w:val="00CC7D84"/>
    <w:rsid w:val="00CD075B"/>
    <w:rsid w:val="00CD10B0"/>
    <w:rsid w:val="00CD13AE"/>
    <w:rsid w:val="00CD19E4"/>
    <w:rsid w:val="00CD1C0B"/>
    <w:rsid w:val="00CD1D04"/>
    <w:rsid w:val="00CD1D70"/>
    <w:rsid w:val="00CD1FAC"/>
    <w:rsid w:val="00CD2207"/>
    <w:rsid w:val="00CD3064"/>
    <w:rsid w:val="00CD3227"/>
    <w:rsid w:val="00CD364E"/>
    <w:rsid w:val="00CD396B"/>
    <w:rsid w:val="00CD3EEC"/>
    <w:rsid w:val="00CD438F"/>
    <w:rsid w:val="00CD4621"/>
    <w:rsid w:val="00CD471D"/>
    <w:rsid w:val="00CD49B4"/>
    <w:rsid w:val="00CD550D"/>
    <w:rsid w:val="00CD5A10"/>
    <w:rsid w:val="00CD6137"/>
    <w:rsid w:val="00CD6435"/>
    <w:rsid w:val="00CD6DB7"/>
    <w:rsid w:val="00CD712F"/>
    <w:rsid w:val="00CD730F"/>
    <w:rsid w:val="00CD7C95"/>
    <w:rsid w:val="00CD7C9D"/>
    <w:rsid w:val="00CD7E5D"/>
    <w:rsid w:val="00CD7EFB"/>
    <w:rsid w:val="00CD7F09"/>
    <w:rsid w:val="00CE00C6"/>
    <w:rsid w:val="00CE0105"/>
    <w:rsid w:val="00CE0300"/>
    <w:rsid w:val="00CE1155"/>
    <w:rsid w:val="00CE12A3"/>
    <w:rsid w:val="00CE13EA"/>
    <w:rsid w:val="00CE14F0"/>
    <w:rsid w:val="00CE24CA"/>
    <w:rsid w:val="00CE2553"/>
    <w:rsid w:val="00CE2E9F"/>
    <w:rsid w:val="00CE2F0B"/>
    <w:rsid w:val="00CE2FE7"/>
    <w:rsid w:val="00CE36CB"/>
    <w:rsid w:val="00CE37F3"/>
    <w:rsid w:val="00CE4CF7"/>
    <w:rsid w:val="00CE4D82"/>
    <w:rsid w:val="00CE4DAC"/>
    <w:rsid w:val="00CE4ED6"/>
    <w:rsid w:val="00CE5132"/>
    <w:rsid w:val="00CE51DB"/>
    <w:rsid w:val="00CE54F0"/>
    <w:rsid w:val="00CE55BE"/>
    <w:rsid w:val="00CE5754"/>
    <w:rsid w:val="00CE6110"/>
    <w:rsid w:val="00CE66F7"/>
    <w:rsid w:val="00CE6766"/>
    <w:rsid w:val="00CE67A2"/>
    <w:rsid w:val="00CE6C7C"/>
    <w:rsid w:val="00CE6D42"/>
    <w:rsid w:val="00CE6DBA"/>
    <w:rsid w:val="00CE73E4"/>
    <w:rsid w:val="00CE755C"/>
    <w:rsid w:val="00CF1154"/>
    <w:rsid w:val="00CF13B4"/>
    <w:rsid w:val="00CF152E"/>
    <w:rsid w:val="00CF15AC"/>
    <w:rsid w:val="00CF167F"/>
    <w:rsid w:val="00CF1B4C"/>
    <w:rsid w:val="00CF1CCD"/>
    <w:rsid w:val="00CF1DE1"/>
    <w:rsid w:val="00CF208D"/>
    <w:rsid w:val="00CF2D77"/>
    <w:rsid w:val="00CF3AC7"/>
    <w:rsid w:val="00CF3B13"/>
    <w:rsid w:val="00CF4061"/>
    <w:rsid w:val="00CF4325"/>
    <w:rsid w:val="00CF4482"/>
    <w:rsid w:val="00CF4545"/>
    <w:rsid w:val="00CF47E1"/>
    <w:rsid w:val="00CF4976"/>
    <w:rsid w:val="00CF4CE8"/>
    <w:rsid w:val="00CF4D4E"/>
    <w:rsid w:val="00CF4D73"/>
    <w:rsid w:val="00CF5380"/>
    <w:rsid w:val="00CF5819"/>
    <w:rsid w:val="00CF5A4D"/>
    <w:rsid w:val="00CF5D57"/>
    <w:rsid w:val="00CF6273"/>
    <w:rsid w:val="00CF6749"/>
    <w:rsid w:val="00CF6C08"/>
    <w:rsid w:val="00CF7373"/>
    <w:rsid w:val="00CF7559"/>
    <w:rsid w:val="00CF78D3"/>
    <w:rsid w:val="00CF7BDD"/>
    <w:rsid w:val="00D00065"/>
    <w:rsid w:val="00D0097B"/>
    <w:rsid w:val="00D00C8F"/>
    <w:rsid w:val="00D018E4"/>
    <w:rsid w:val="00D019B6"/>
    <w:rsid w:val="00D01E35"/>
    <w:rsid w:val="00D01F1F"/>
    <w:rsid w:val="00D0208F"/>
    <w:rsid w:val="00D0213B"/>
    <w:rsid w:val="00D02197"/>
    <w:rsid w:val="00D02456"/>
    <w:rsid w:val="00D0258A"/>
    <w:rsid w:val="00D025CA"/>
    <w:rsid w:val="00D02A2E"/>
    <w:rsid w:val="00D02B82"/>
    <w:rsid w:val="00D02C08"/>
    <w:rsid w:val="00D03158"/>
    <w:rsid w:val="00D03386"/>
    <w:rsid w:val="00D03525"/>
    <w:rsid w:val="00D03FD2"/>
    <w:rsid w:val="00D043ED"/>
    <w:rsid w:val="00D044E7"/>
    <w:rsid w:val="00D047B7"/>
    <w:rsid w:val="00D047F4"/>
    <w:rsid w:val="00D04DF2"/>
    <w:rsid w:val="00D0503E"/>
    <w:rsid w:val="00D05697"/>
    <w:rsid w:val="00D0574D"/>
    <w:rsid w:val="00D060D7"/>
    <w:rsid w:val="00D0671E"/>
    <w:rsid w:val="00D06E4B"/>
    <w:rsid w:val="00D06EBF"/>
    <w:rsid w:val="00D074F2"/>
    <w:rsid w:val="00D07867"/>
    <w:rsid w:val="00D07FBC"/>
    <w:rsid w:val="00D1019A"/>
    <w:rsid w:val="00D1025C"/>
    <w:rsid w:val="00D1059E"/>
    <w:rsid w:val="00D10BF8"/>
    <w:rsid w:val="00D10EB7"/>
    <w:rsid w:val="00D11896"/>
    <w:rsid w:val="00D11C19"/>
    <w:rsid w:val="00D11C7C"/>
    <w:rsid w:val="00D11DEE"/>
    <w:rsid w:val="00D128CA"/>
    <w:rsid w:val="00D12D03"/>
    <w:rsid w:val="00D12D08"/>
    <w:rsid w:val="00D131B7"/>
    <w:rsid w:val="00D13538"/>
    <w:rsid w:val="00D13815"/>
    <w:rsid w:val="00D13A6B"/>
    <w:rsid w:val="00D13D1F"/>
    <w:rsid w:val="00D14879"/>
    <w:rsid w:val="00D15379"/>
    <w:rsid w:val="00D15A2A"/>
    <w:rsid w:val="00D16A60"/>
    <w:rsid w:val="00D16DDB"/>
    <w:rsid w:val="00D1720C"/>
    <w:rsid w:val="00D177A8"/>
    <w:rsid w:val="00D177FE"/>
    <w:rsid w:val="00D178A2"/>
    <w:rsid w:val="00D17B03"/>
    <w:rsid w:val="00D20540"/>
    <w:rsid w:val="00D20FAB"/>
    <w:rsid w:val="00D217FD"/>
    <w:rsid w:val="00D21CFE"/>
    <w:rsid w:val="00D21EE1"/>
    <w:rsid w:val="00D22012"/>
    <w:rsid w:val="00D221B8"/>
    <w:rsid w:val="00D231CE"/>
    <w:rsid w:val="00D239F3"/>
    <w:rsid w:val="00D24329"/>
    <w:rsid w:val="00D24359"/>
    <w:rsid w:val="00D248E2"/>
    <w:rsid w:val="00D24C27"/>
    <w:rsid w:val="00D25340"/>
    <w:rsid w:val="00D25412"/>
    <w:rsid w:val="00D25843"/>
    <w:rsid w:val="00D258CD"/>
    <w:rsid w:val="00D2597E"/>
    <w:rsid w:val="00D25F1C"/>
    <w:rsid w:val="00D25F1E"/>
    <w:rsid w:val="00D26209"/>
    <w:rsid w:val="00D262CE"/>
    <w:rsid w:val="00D26397"/>
    <w:rsid w:val="00D26545"/>
    <w:rsid w:val="00D26B8F"/>
    <w:rsid w:val="00D273BC"/>
    <w:rsid w:val="00D27805"/>
    <w:rsid w:val="00D27976"/>
    <w:rsid w:val="00D27D73"/>
    <w:rsid w:val="00D30B11"/>
    <w:rsid w:val="00D31416"/>
    <w:rsid w:val="00D3169F"/>
    <w:rsid w:val="00D316DB"/>
    <w:rsid w:val="00D31819"/>
    <w:rsid w:val="00D31999"/>
    <w:rsid w:val="00D31ACB"/>
    <w:rsid w:val="00D31FC4"/>
    <w:rsid w:val="00D32552"/>
    <w:rsid w:val="00D325F4"/>
    <w:rsid w:val="00D326FA"/>
    <w:rsid w:val="00D32D36"/>
    <w:rsid w:val="00D32F20"/>
    <w:rsid w:val="00D3398D"/>
    <w:rsid w:val="00D33993"/>
    <w:rsid w:val="00D339A6"/>
    <w:rsid w:val="00D33D2B"/>
    <w:rsid w:val="00D33D5D"/>
    <w:rsid w:val="00D34AEC"/>
    <w:rsid w:val="00D34EFF"/>
    <w:rsid w:val="00D35389"/>
    <w:rsid w:val="00D35468"/>
    <w:rsid w:val="00D35724"/>
    <w:rsid w:val="00D35805"/>
    <w:rsid w:val="00D35A33"/>
    <w:rsid w:val="00D35AAE"/>
    <w:rsid w:val="00D35BA4"/>
    <w:rsid w:val="00D36246"/>
    <w:rsid w:val="00D3674B"/>
    <w:rsid w:val="00D36F88"/>
    <w:rsid w:val="00D3772E"/>
    <w:rsid w:val="00D37767"/>
    <w:rsid w:val="00D406E5"/>
    <w:rsid w:val="00D407A1"/>
    <w:rsid w:val="00D40B4A"/>
    <w:rsid w:val="00D40C9E"/>
    <w:rsid w:val="00D40F03"/>
    <w:rsid w:val="00D415A3"/>
    <w:rsid w:val="00D41D51"/>
    <w:rsid w:val="00D4261F"/>
    <w:rsid w:val="00D428BD"/>
    <w:rsid w:val="00D428E7"/>
    <w:rsid w:val="00D42B41"/>
    <w:rsid w:val="00D430D9"/>
    <w:rsid w:val="00D435F2"/>
    <w:rsid w:val="00D44137"/>
    <w:rsid w:val="00D448D7"/>
    <w:rsid w:val="00D44A0C"/>
    <w:rsid w:val="00D44CF2"/>
    <w:rsid w:val="00D44F46"/>
    <w:rsid w:val="00D4556C"/>
    <w:rsid w:val="00D458B9"/>
    <w:rsid w:val="00D4591A"/>
    <w:rsid w:val="00D45CDD"/>
    <w:rsid w:val="00D4607F"/>
    <w:rsid w:val="00D46622"/>
    <w:rsid w:val="00D46C83"/>
    <w:rsid w:val="00D4745E"/>
    <w:rsid w:val="00D47A81"/>
    <w:rsid w:val="00D50B96"/>
    <w:rsid w:val="00D50F47"/>
    <w:rsid w:val="00D50F8F"/>
    <w:rsid w:val="00D51409"/>
    <w:rsid w:val="00D514B9"/>
    <w:rsid w:val="00D5202A"/>
    <w:rsid w:val="00D521A5"/>
    <w:rsid w:val="00D52828"/>
    <w:rsid w:val="00D529DD"/>
    <w:rsid w:val="00D52C1A"/>
    <w:rsid w:val="00D52CBA"/>
    <w:rsid w:val="00D52F39"/>
    <w:rsid w:val="00D53750"/>
    <w:rsid w:val="00D54187"/>
    <w:rsid w:val="00D542CE"/>
    <w:rsid w:val="00D543AA"/>
    <w:rsid w:val="00D5454E"/>
    <w:rsid w:val="00D54684"/>
    <w:rsid w:val="00D546D9"/>
    <w:rsid w:val="00D54BD9"/>
    <w:rsid w:val="00D54D82"/>
    <w:rsid w:val="00D551B5"/>
    <w:rsid w:val="00D553A3"/>
    <w:rsid w:val="00D55497"/>
    <w:rsid w:val="00D554D1"/>
    <w:rsid w:val="00D55789"/>
    <w:rsid w:val="00D55D54"/>
    <w:rsid w:val="00D55D63"/>
    <w:rsid w:val="00D55E57"/>
    <w:rsid w:val="00D55FFB"/>
    <w:rsid w:val="00D56197"/>
    <w:rsid w:val="00D56524"/>
    <w:rsid w:val="00D5679B"/>
    <w:rsid w:val="00D567DE"/>
    <w:rsid w:val="00D56828"/>
    <w:rsid w:val="00D56FC1"/>
    <w:rsid w:val="00D57675"/>
    <w:rsid w:val="00D57716"/>
    <w:rsid w:val="00D579F2"/>
    <w:rsid w:val="00D600CE"/>
    <w:rsid w:val="00D6036F"/>
    <w:rsid w:val="00D607E8"/>
    <w:rsid w:val="00D60E5B"/>
    <w:rsid w:val="00D6107B"/>
    <w:rsid w:val="00D614B5"/>
    <w:rsid w:val="00D61F35"/>
    <w:rsid w:val="00D6255F"/>
    <w:rsid w:val="00D62621"/>
    <w:rsid w:val="00D62B76"/>
    <w:rsid w:val="00D62CE4"/>
    <w:rsid w:val="00D62EEB"/>
    <w:rsid w:val="00D630DD"/>
    <w:rsid w:val="00D634A2"/>
    <w:rsid w:val="00D6358D"/>
    <w:rsid w:val="00D64E62"/>
    <w:rsid w:val="00D650D5"/>
    <w:rsid w:val="00D6575D"/>
    <w:rsid w:val="00D65B07"/>
    <w:rsid w:val="00D66039"/>
    <w:rsid w:val="00D66268"/>
    <w:rsid w:val="00D6632D"/>
    <w:rsid w:val="00D66341"/>
    <w:rsid w:val="00D66DCB"/>
    <w:rsid w:val="00D67185"/>
    <w:rsid w:val="00D6784A"/>
    <w:rsid w:val="00D67881"/>
    <w:rsid w:val="00D67D51"/>
    <w:rsid w:val="00D67E7D"/>
    <w:rsid w:val="00D67ED3"/>
    <w:rsid w:val="00D67F37"/>
    <w:rsid w:val="00D701B2"/>
    <w:rsid w:val="00D70587"/>
    <w:rsid w:val="00D70B16"/>
    <w:rsid w:val="00D70C29"/>
    <w:rsid w:val="00D71033"/>
    <w:rsid w:val="00D7121E"/>
    <w:rsid w:val="00D71247"/>
    <w:rsid w:val="00D712DF"/>
    <w:rsid w:val="00D717D8"/>
    <w:rsid w:val="00D71A47"/>
    <w:rsid w:val="00D71C7E"/>
    <w:rsid w:val="00D72580"/>
    <w:rsid w:val="00D72A18"/>
    <w:rsid w:val="00D73BDC"/>
    <w:rsid w:val="00D7403D"/>
    <w:rsid w:val="00D74698"/>
    <w:rsid w:val="00D749B7"/>
    <w:rsid w:val="00D74B4E"/>
    <w:rsid w:val="00D74C81"/>
    <w:rsid w:val="00D752D2"/>
    <w:rsid w:val="00D752DF"/>
    <w:rsid w:val="00D757FB"/>
    <w:rsid w:val="00D764B6"/>
    <w:rsid w:val="00D764F5"/>
    <w:rsid w:val="00D767D0"/>
    <w:rsid w:val="00D77511"/>
    <w:rsid w:val="00D805A5"/>
    <w:rsid w:val="00D80B10"/>
    <w:rsid w:val="00D80BA3"/>
    <w:rsid w:val="00D80C72"/>
    <w:rsid w:val="00D80FFF"/>
    <w:rsid w:val="00D81608"/>
    <w:rsid w:val="00D816E8"/>
    <w:rsid w:val="00D81A54"/>
    <w:rsid w:val="00D81CE2"/>
    <w:rsid w:val="00D820A1"/>
    <w:rsid w:val="00D821CD"/>
    <w:rsid w:val="00D82277"/>
    <w:rsid w:val="00D82A40"/>
    <w:rsid w:val="00D83186"/>
    <w:rsid w:val="00D837E6"/>
    <w:rsid w:val="00D83BF2"/>
    <w:rsid w:val="00D83D89"/>
    <w:rsid w:val="00D84899"/>
    <w:rsid w:val="00D84ECC"/>
    <w:rsid w:val="00D851B2"/>
    <w:rsid w:val="00D8520B"/>
    <w:rsid w:val="00D86186"/>
    <w:rsid w:val="00D86B7C"/>
    <w:rsid w:val="00D86F21"/>
    <w:rsid w:val="00D87977"/>
    <w:rsid w:val="00D87C7F"/>
    <w:rsid w:val="00D87CED"/>
    <w:rsid w:val="00D87F13"/>
    <w:rsid w:val="00D90140"/>
    <w:rsid w:val="00D90191"/>
    <w:rsid w:val="00D901A2"/>
    <w:rsid w:val="00D90FA1"/>
    <w:rsid w:val="00D91622"/>
    <w:rsid w:val="00D91766"/>
    <w:rsid w:val="00D919FB"/>
    <w:rsid w:val="00D91D9B"/>
    <w:rsid w:val="00D92382"/>
    <w:rsid w:val="00D93102"/>
    <w:rsid w:val="00D9422E"/>
    <w:rsid w:val="00D943F4"/>
    <w:rsid w:val="00D94A7D"/>
    <w:rsid w:val="00D94FD2"/>
    <w:rsid w:val="00D954D0"/>
    <w:rsid w:val="00D95752"/>
    <w:rsid w:val="00D95870"/>
    <w:rsid w:val="00D95AA8"/>
    <w:rsid w:val="00D95D3D"/>
    <w:rsid w:val="00D9619A"/>
    <w:rsid w:val="00D96400"/>
    <w:rsid w:val="00D96F2A"/>
    <w:rsid w:val="00D977D9"/>
    <w:rsid w:val="00D9795F"/>
    <w:rsid w:val="00D97B08"/>
    <w:rsid w:val="00D97D17"/>
    <w:rsid w:val="00D97D1E"/>
    <w:rsid w:val="00D97EE7"/>
    <w:rsid w:val="00DA0A59"/>
    <w:rsid w:val="00DA1394"/>
    <w:rsid w:val="00DA1791"/>
    <w:rsid w:val="00DA2127"/>
    <w:rsid w:val="00DA2285"/>
    <w:rsid w:val="00DA2639"/>
    <w:rsid w:val="00DA2B47"/>
    <w:rsid w:val="00DA2DC1"/>
    <w:rsid w:val="00DA2DCA"/>
    <w:rsid w:val="00DA2DE2"/>
    <w:rsid w:val="00DA3695"/>
    <w:rsid w:val="00DA3736"/>
    <w:rsid w:val="00DA3759"/>
    <w:rsid w:val="00DA39F5"/>
    <w:rsid w:val="00DA4236"/>
    <w:rsid w:val="00DA4437"/>
    <w:rsid w:val="00DA4881"/>
    <w:rsid w:val="00DA4CA0"/>
    <w:rsid w:val="00DA4E8D"/>
    <w:rsid w:val="00DA4FE2"/>
    <w:rsid w:val="00DA50D1"/>
    <w:rsid w:val="00DA5526"/>
    <w:rsid w:val="00DA6046"/>
    <w:rsid w:val="00DA7396"/>
    <w:rsid w:val="00DA7893"/>
    <w:rsid w:val="00DB00E4"/>
    <w:rsid w:val="00DB1445"/>
    <w:rsid w:val="00DB1456"/>
    <w:rsid w:val="00DB1F6F"/>
    <w:rsid w:val="00DB20AB"/>
    <w:rsid w:val="00DB2BA2"/>
    <w:rsid w:val="00DB2BAF"/>
    <w:rsid w:val="00DB2E19"/>
    <w:rsid w:val="00DB2EA9"/>
    <w:rsid w:val="00DB3798"/>
    <w:rsid w:val="00DB3A2E"/>
    <w:rsid w:val="00DB3D77"/>
    <w:rsid w:val="00DB3E07"/>
    <w:rsid w:val="00DB4016"/>
    <w:rsid w:val="00DB4812"/>
    <w:rsid w:val="00DB49F4"/>
    <w:rsid w:val="00DB4F88"/>
    <w:rsid w:val="00DB5078"/>
    <w:rsid w:val="00DB5162"/>
    <w:rsid w:val="00DB5636"/>
    <w:rsid w:val="00DB573B"/>
    <w:rsid w:val="00DB5778"/>
    <w:rsid w:val="00DB5A56"/>
    <w:rsid w:val="00DB5D03"/>
    <w:rsid w:val="00DB5E5A"/>
    <w:rsid w:val="00DB5F63"/>
    <w:rsid w:val="00DB6E6F"/>
    <w:rsid w:val="00DB7B75"/>
    <w:rsid w:val="00DB7C77"/>
    <w:rsid w:val="00DC0B1F"/>
    <w:rsid w:val="00DC11C4"/>
    <w:rsid w:val="00DC1369"/>
    <w:rsid w:val="00DC1752"/>
    <w:rsid w:val="00DC1AD1"/>
    <w:rsid w:val="00DC2320"/>
    <w:rsid w:val="00DC2348"/>
    <w:rsid w:val="00DC2B10"/>
    <w:rsid w:val="00DC2DDB"/>
    <w:rsid w:val="00DC30E3"/>
    <w:rsid w:val="00DC314D"/>
    <w:rsid w:val="00DC3CFB"/>
    <w:rsid w:val="00DC405E"/>
    <w:rsid w:val="00DC41A7"/>
    <w:rsid w:val="00DC43B0"/>
    <w:rsid w:val="00DC4711"/>
    <w:rsid w:val="00DC4A91"/>
    <w:rsid w:val="00DC4C02"/>
    <w:rsid w:val="00DC4E9E"/>
    <w:rsid w:val="00DC53AE"/>
    <w:rsid w:val="00DC5472"/>
    <w:rsid w:val="00DC5645"/>
    <w:rsid w:val="00DC608E"/>
    <w:rsid w:val="00DC622A"/>
    <w:rsid w:val="00DC65E5"/>
    <w:rsid w:val="00DC701F"/>
    <w:rsid w:val="00DC7257"/>
    <w:rsid w:val="00DC7269"/>
    <w:rsid w:val="00DC7760"/>
    <w:rsid w:val="00DC7FB7"/>
    <w:rsid w:val="00DC7FED"/>
    <w:rsid w:val="00DD0E74"/>
    <w:rsid w:val="00DD1025"/>
    <w:rsid w:val="00DD127B"/>
    <w:rsid w:val="00DD1306"/>
    <w:rsid w:val="00DD13BA"/>
    <w:rsid w:val="00DD1454"/>
    <w:rsid w:val="00DD1857"/>
    <w:rsid w:val="00DD1CB6"/>
    <w:rsid w:val="00DD1D7C"/>
    <w:rsid w:val="00DD1F54"/>
    <w:rsid w:val="00DD2053"/>
    <w:rsid w:val="00DD25C9"/>
    <w:rsid w:val="00DD3085"/>
    <w:rsid w:val="00DD3150"/>
    <w:rsid w:val="00DD3330"/>
    <w:rsid w:val="00DD34D6"/>
    <w:rsid w:val="00DD35F7"/>
    <w:rsid w:val="00DD3997"/>
    <w:rsid w:val="00DD4290"/>
    <w:rsid w:val="00DD4306"/>
    <w:rsid w:val="00DD438D"/>
    <w:rsid w:val="00DD490A"/>
    <w:rsid w:val="00DD4FC2"/>
    <w:rsid w:val="00DD4FD1"/>
    <w:rsid w:val="00DD52D7"/>
    <w:rsid w:val="00DD53B2"/>
    <w:rsid w:val="00DD53FF"/>
    <w:rsid w:val="00DD56AB"/>
    <w:rsid w:val="00DD579E"/>
    <w:rsid w:val="00DD5AB1"/>
    <w:rsid w:val="00DD605F"/>
    <w:rsid w:val="00DD67B1"/>
    <w:rsid w:val="00DD6BB1"/>
    <w:rsid w:val="00DD7023"/>
    <w:rsid w:val="00DD7217"/>
    <w:rsid w:val="00DD74C3"/>
    <w:rsid w:val="00DD75A7"/>
    <w:rsid w:val="00DD780D"/>
    <w:rsid w:val="00DD7861"/>
    <w:rsid w:val="00DD7C6A"/>
    <w:rsid w:val="00DE0158"/>
    <w:rsid w:val="00DE072F"/>
    <w:rsid w:val="00DE0B18"/>
    <w:rsid w:val="00DE1234"/>
    <w:rsid w:val="00DE1818"/>
    <w:rsid w:val="00DE204B"/>
    <w:rsid w:val="00DE2781"/>
    <w:rsid w:val="00DE28CE"/>
    <w:rsid w:val="00DE3117"/>
    <w:rsid w:val="00DE33A6"/>
    <w:rsid w:val="00DE343C"/>
    <w:rsid w:val="00DE3536"/>
    <w:rsid w:val="00DE3897"/>
    <w:rsid w:val="00DE3959"/>
    <w:rsid w:val="00DE3B09"/>
    <w:rsid w:val="00DE3DC4"/>
    <w:rsid w:val="00DE4429"/>
    <w:rsid w:val="00DE4775"/>
    <w:rsid w:val="00DE4A0A"/>
    <w:rsid w:val="00DE513C"/>
    <w:rsid w:val="00DE53AB"/>
    <w:rsid w:val="00DE552B"/>
    <w:rsid w:val="00DE56D3"/>
    <w:rsid w:val="00DE5D25"/>
    <w:rsid w:val="00DE6147"/>
    <w:rsid w:val="00DE62AC"/>
    <w:rsid w:val="00DE69E8"/>
    <w:rsid w:val="00DE6B9F"/>
    <w:rsid w:val="00DE6EAB"/>
    <w:rsid w:val="00DE7243"/>
    <w:rsid w:val="00DE7302"/>
    <w:rsid w:val="00DE75A0"/>
    <w:rsid w:val="00DE7FCB"/>
    <w:rsid w:val="00DF00A8"/>
    <w:rsid w:val="00DF0263"/>
    <w:rsid w:val="00DF0B58"/>
    <w:rsid w:val="00DF0E5B"/>
    <w:rsid w:val="00DF18E2"/>
    <w:rsid w:val="00DF19AF"/>
    <w:rsid w:val="00DF1DCC"/>
    <w:rsid w:val="00DF21C2"/>
    <w:rsid w:val="00DF24B0"/>
    <w:rsid w:val="00DF2504"/>
    <w:rsid w:val="00DF25D9"/>
    <w:rsid w:val="00DF29D8"/>
    <w:rsid w:val="00DF2E0C"/>
    <w:rsid w:val="00DF3013"/>
    <w:rsid w:val="00DF37D4"/>
    <w:rsid w:val="00DF3933"/>
    <w:rsid w:val="00DF39B6"/>
    <w:rsid w:val="00DF3D19"/>
    <w:rsid w:val="00DF3EFD"/>
    <w:rsid w:val="00DF4283"/>
    <w:rsid w:val="00DF4880"/>
    <w:rsid w:val="00DF48BD"/>
    <w:rsid w:val="00DF4A1D"/>
    <w:rsid w:val="00DF4ABD"/>
    <w:rsid w:val="00DF4CA5"/>
    <w:rsid w:val="00DF59A5"/>
    <w:rsid w:val="00DF6928"/>
    <w:rsid w:val="00DF6BFA"/>
    <w:rsid w:val="00DF77BF"/>
    <w:rsid w:val="00DF7AD5"/>
    <w:rsid w:val="00E00C89"/>
    <w:rsid w:val="00E01144"/>
    <w:rsid w:val="00E02121"/>
    <w:rsid w:val="00E02228"/>
    <w:rsid w:val="00E0238F"/>
    <w:rsid w:val="00E02802"/>
    <w:rsid w:val="00E029C2"/>
    <w:rsid w:val="00E031FD"/>
    <w:rsid w:val="00E03725"/>
    <w:rsid w:val="00E03ABD"/>
    <w:rsid w:val="00E03B53"/>
    <w:rsid w:val="00E03D73"/>
    <w:rsid w:val="00E04501"/>
    <w:rsid w:val="00E04CE0"/>
    <w:rsid w:val="00E04E09"/>
    <w:rsid w:val="00E0555E"/>
    <w:rsid w:val="00E05C1D"/>
    <w:rsid w:val="00E06294"/>
    <w:rsid w:val="00E06FFB"/>
    <w:rsid w:val="00E0709C"/>
    <w:rsid w:val="00E07764"/>
    <w:rsid w:val="00E078D4"/>
    <w:rsid w:val="00E07961"/>
    <w:rsid w:val="00E07D50"/>
    <w:rsid w:val="00E10074"/>
    <w:rsid w:val="00E1063E"/>
    <w:rsid w:val="00E10A14"/>
    <w:rsid w:val="00E1110E"/>
    <w:rsid w:val="00E118D0"/>
    <w:rsid w:val="00E11B63"/>
    <w:rsid w:val="00E11E0C"/>
    <w:rsid w:val="00E120DD"/>
    <w:rsid w:val="00E12A0B"/>
    <w:rsid w:val="00E13A19"/>
    <w:rsid w:val="00E13BC9"/>
    <w:rsid w:val="00E13D80"/>
    <w:rsid w:val="00E13F7F"/>
    <w:rsid w:val="00E1431C"/>
    <w:rsid w:val="00E14AFF"/>
    <w:rsid w:val="00E15152"/>
    <w:rsid w:val="00E1559C"/>
    <w:rsid w:val="00E1576B"/>
    <w:rsid w:val="00E15DF2"/>
    <w:rsid w:val="00E164EC"/>
    <w:rsid w:val="00E169C6"/>
    <w:rsid w:val="00E16F41"/>
    <w:rsid w:val="00E172B3"/>
    <w:rsid w:val="00E17D2B"/>
    <w:rsid w:val="00E20AB6"/>
    <w:rsid w:val="00E20FB8"/>
    <w:rsid w:val="00E210CE"/>
    <w:rsid w:val="00E21CAC"/>
    <w:rsid w:val="00E22175"/>
    <w:rsid w:val="00E22A26"/>
    <w:rsid w:val="00E22B48"/>
    <w:rsid w:val="00E22CB2"/>
    <w:rsid w:val="00E23245"/>
    <w:rsid w:val="00E23406"/>
    <w:rsid w:val="00E235EC"/>
    <w:rsid w:val="00E23CF0"/>
    <w:rsid w:val="00E23D64"/>
    <w:rsid w:val="00E23E02"/>
    <w:rsid w:val="00E240B0"/>
    <w:rsid w:val="00E24423"/>
    <w:rsid w:val="00E24539"/>
    <w:rsid w:val="00E245EC"/>
    <w:rsid w:val="00E24798"/>
    <w:rsid w:val="00E24D83"/>
    <w:rsid w:val="00E2500B"/>
    <w:rsid w:val="00E2506B"/>
    <w:rsid w:val="00E251B6"/>
    <w:rsid w:val="00E251C2"/>
    <w:rsid w:val="00E2542D"/>
    <w:rsid w:val="00E255D2"/>
    <w:rsid w:val="00E25630"/>
    <w:rsid w:val="00E25DC3"/>
    <w:rsid w:val="00E25E8A"/>
    <w:rsid w:val="00E25EDF"/>
    <w:rsid w:val="00E264C8"/>
    <w:rsid w:val="00E265E6"/>
    <w:rsid w:val="00E26BCD"/>
    <w:rsid w:val="00E26D58"/>
    <w:rsid w:val="00E26D8C"/>
    <w:rsid w:val="00E26E3B"/>
    <w:rsid w:val="00E272D3"/>
    <w:rsid w:val="00E27569"/>
    <w:rsid w:val="00E27A76"/>
    <w:rsid w:val="00E27AF2"/>
    <w:rsid w:val="00E27B22"/>
    <w:rsid w:val="00E306F0"/>
    <w:rsid w:val="00E30B07"/>
    <w:rsid w:val="00E30E7E"/>
    <w:rsid w:val="00E3129A"/>
    <w:rsid w:val="00E31562"/>
    <w:rsid w:val="00E3193D"/>
    <w:rsid w:val="00E320DC"/>
    <w:rsid w:val="00E322C0"/>
    <w:rsid w:val="00E324D1"/>
    <w:rsid w:val="00E32913"/>
    <w:rsid w:val="00E32955"/>
    <w:rsid w:val="00E32D00"/>
    <w:rsid w:val="00E32D64"/>
    <w:rsid w:val="00E330D6"/>
    <w:rsid w:val="00E3352B"/>
    <w:rsid w:val="00E33AE8"/>
    <w:rsid w:val="00E33F16"/>
    <w:rsid w:val="00E34A6E"/>
    <w:rsid w:val="00E34BA4"/>
    <w:rsid w:val="00E35051"/>
    <w:rsid w:val="00E352D7"/>
    <w:rsid w:val="00E3534B"/>
    <w:rsid w:val="00E355DA"/>
    <w:rsid w:val="00E35CCE"/>
    <w:rsid w:val="00E35F9D"/>
    <w:rsid w:val="00E36367"/>
    <w:rsid w:val="00E366D9"/>
    <w:rsid w:val="00E368FC"/>
    <w:rsid w:val="00E36E62"/>
    <w:rsid w:val="00E36E70"/>
    <w:rsid w:val="00E37302"/>
    <w:rsid w:val="00E3732F"/>
    <w:rsid w:val="00E374CA"/>
    <w:rsid w:val="00E3751F"/>
    <w:rsid w:val="00E37670"/>
    <w:rsid w:val="00E377D0"/>
    <w:rsid w:val="00E37A62"/>
    <w:rsid w:val="00E37BE1"/>
    <w:rsid w:val="00E400D7"/>
    <w:rsid w:val="00E40AE9"/>
    <w:rsid w:val="00E40CD9"/>
    <w:rsid w:val="00E410F3"/>
    <w:rsid w:val="00E4151C"/>
    <w:rsid w:val="00E415B0"/>
    <w:rsid w:val="00E41831"/>
    <w:rsid w:val="00E4188D"/>
    <w:rsid w:val="00E41A40"/>
    <w:rsid w:val="00E41F08"/>
    <w:rsid w:val="00E424CF"/>
    <w:rsid w:val="00E42637"/>
    <w:rsid w:val="00E42721"/>
    <w:rsid w:val="00E42889"/>
    <w:rsid w:val="00E4306D"/>
    <w:rsid w:val="00E43A95"/>
    <w:rsid w:val="00E43D68"/>
    <w:rsid w:val="00E44182"/>
    <w:rsid w:val="00E44337"/>
    <w:rsid w:val="00E44773"/>
    <w:rsid w:val="00E44A89"/>
    <w:rsid w:val="00E4574A"/>
    <w:rsid w:val="00E45776"/>
    <w:rsid w:val="00E457F0"/>
    <w:rsid w:val="00E458A8"/>
    <w:rsid w:val="00E45D5B"/>
    <w:rsid w:val="00E45FFB"/>
    <w:rsid w:val="00E4624B"/>
    <w:rsid w:val="00E462C3"/>
    <w:rsid w:val="00E46CE8"/>
    <w:rsid w:val="00E46FA1"/>
    <w:rsid w:val="00E470D3"/>
    <w:rsid w:val="00E47234"/>
    <w:rsid w:val="00E47743"/>
    <w:rsid w:val="00E47A8D"/>
    <w:rsid w:val="00E47F0B"/>
    <w:rsid w:val="00E506FF"/>
    <w:rsid w:val="00E51942"/>
    <w:rsid w:val="00E51CD8"/>
    <w:rsid w:val="00E51FB5"/>
    <w:rsid w:val="00E52357"/>
    <w:rsid w:val="00E52A56"/>
    <w:rsid w:val="00E52B97"/>
    <w:rsid w:val="00E52C2E"/>
    <w:rsid w:val="00E52C77"/>
    <w:rsid w:val="00E52D92"/>
    <w:rsid w:val="00E52DFA"/>
    <w:rsid w:val="00E52E25"/>
    <w:rsid w:val="00E532CB"/>
    <w:rsid w:val="00E53520"/>
    <w:rsid w:val="00E54148"/>
    <w:rsid w:val="00E54217"/>
    <w:rsid w:val="00E54A0E"/>
    <w:rsid w:val="00E55737"/>
    <w:rsid w:val="00E560D2"/>
    <w:rsid w:val="00E56409"/>
    <w:rsid w:val="00E56461"/>
    <w:rsid w:val="00E56D47"/>
    <w:rsid w:val="00E57200"/>
    <w:rsid w:val="00E572F8"/>
    <w:rsid w:val="00E577B9"/>
    <w:rsid w:val="00E57D68"/>
    <w:rsid w:val="00E60387"/>
    <w:rsid w:val="00E60550"/>
    <w:rsid w:val="00E608CB"/>
    <w:rsid w:val="00E60FD4"/>
    <w:rsid w:val="00E6102B"/>
    <w:rsid w:val="00E61597"/>
    <w:rsid w:val="00E6177A"/>
    <w:rsid w:val="00E620C7"/>
    <w:rsid w:val="00E6273B"/>
    <w:rsid w:val="00E62CD2"/>
    <w:rsid w:val="00E62EB3"/>
    <w:rsid w:val="00E631E0"/>
    <w:rsid w:val="00E63440"/>
    <w:rsid w:val="00E63C57"/>
    <w:rsid w:val="00E63FC5"/>
    <w:rsid w:val="00E64559"/>
    <w:rsid w:val="00E646F5"/>
    <w:rsid w:val="00E6497E"/>
    <w:rsid w:val="00E65187"/>
    <w:rsid w:val="00E6538F"/>
    <w:rsid w:val="00E65400"/>
    <w:rsid w:val="00E65F8C"/>
    <w:rsid w:val="00E66C79"/>
    <w:rsid w:val="00E66EE6"/>
    <w:rsid w:val="00E67661"/>
    <w:rsid w:val="00E67828"/>
    <w:rsid w:val="00E67C12"/>
    <w:rsid w:val="00E67C2C"/>
    <w:rsid w:val="00E70243"/>
    <w:rsid w:val="00E7041D"/>
    <w:rsid w:val="00E70523"/>
    <w:rsid w:val="00E70663"/>
    <w:rsid w:val="00E70ABB"/>
    <w:rsid w:val="00E70D99"/>
    <w:rsid w:val="00E70FCF"/>
    <w:rsid w:val="00E71098"/>
    <w:rsid w:val="00E710A0"/>
    <w:rsid w:val="00E7162E"/>
    <w:rsid w:val="00E71842"/>
    <w:rsid w:val="00E719B2"/>
    <w:rsid w:val="00E71A1D"/>
    <w:rsid w:val="00E71A4F"/>
    <w:rsid w:val="00E71C21"/>
    <w:rsid w:val="00E71D4A"/>
    <w:rsid w:val="00E720F2"/>
    <w:rsid w:val="00E7215C"/>
    <w:rsid w:val="00E725A9"/>
    <w:rsid w:val="00E72A50"/>
    <w:rsid w:val="00E72DC3"/>
    <w:rsid w:val="00E730B3"/>
    <w:rsid w:val="00E735A5"/>
    <w:rsid w:val="00E736B2"/>
    <w:rsid w:val="00E74132"/>
    <w:rsid w:val="00E7430B"/>
    <w:rsid w:val="00E74FDF"/>
    <w:rsid w:val="00E7507A"/>
    <w:rsid w:val="00E75AD3"/>
    <w:rsid w:val="00E75D96"/>
    <w:rsid w:val="00E75E23"/>
    <w:rsid w:val="00E75FC5"/>
    <w:rsid w:val="00E761C2"/>
    <w:rsid w:val="00E76AFD"/>
    <w:rsid w:val="00E77483"/>
    <w:rsid w:val="00E778CB"/>
    <w:rsid w:val="00E77CAC"/>
    <w:rsid w:val="00E8024D"/>
    <w:rsid w:val="00E8037E"/>
    <w:rsid w:val="00E8145E"/>
    <w:rsid w:val="00E814BA"/>
    <w:rsid w:val="00E815CC"/>
    <w:rsid w:val="00E81F5E"/>
    <w:rsid w:val="00E82434"/>
    <w:rsid w:val="00E824A2"/>
    <w:rsid w:val="00E824FE"/>
    <w:rsid w:val="00E828F9"/>
    <w:rsid w:val="00E82A8D"/>
    <w:rsid w:val="00E82AD2"/>
    <w:rsid w:val="00E83AE7"/>
    <w:rsid w:val="00E841BC"/>
    <w:rsid w:val="00E841C2"/>
    <w:rsid w:val="00E8487B"/>
    <w:rsid w:val="00E8487D"/>
    <w:rsid w:val="00E84E26"/>
    <w:rsid w:val="00E8518D"/>
    <w:rsid w:val="00E853F8"/>
    <w:rsid w:val="00E85421"/>
    <w:rsid w:val="00E854D6"/>
    <w:rsid w:val="00E85894"/>
    <w:rsid w:val="00E85A95"/>
    <w:rsid w:val="00E8602F"/>
    <w:rsid w:val="00E86239"/>
    <w:rsid w:val="00E8647C"/>
    <w:rsid w:val="00E8665D"/>
    <w:rsid w:val="00E87BE2"/>
    <w:rsid w:val="00E87E47"/>
    <w:rsid w:val="00E900FF"/>
    <w:rsid w:val="00E90D4C"/>
    <w:rsid w:val="00E90FE2"/>
    <w:rsid w:val="00E9119A"/>
    <w:rsid w:val="00E91A8E"/>
    <w:rsid w:val="00E91AD0"/>
    <w:rsid w:val="00E924ED"/>
    <w:rsid w:val="00E92828"/>
    <w:rsid w:val="00E9320A"/>
    <w:rsid w:val="00E933C0"/>
    <w:rsid w:val="00E9363D"/>
    <w:rsid w:val="00E9392F"/>
    <w:rsid w:val="00E94E23"/>
    <w:rsid w:val="00E953A0"/>
    <w:rsid w:val="00E95F4B"/>
    <w:rsid w:val="00E96265"/>
    <w:rsid w:val="00E96382"/>
    <w:rsid w:val="00E96D52"/>
    <w:rsid w:val="00E96E29"/>
    <w:rsid w:val="00E97078"/>
    <w:rsid w:val="00E970A0"/>
    <w:rsid w:val="00E97186"/>
    <w:rsid w:val="00E973EB"/>
    <w:rsid w:val="00E97480"/>
    <w:rsid w:val="00E97905"/>
    <w:rsid w:val="00E9792B"/>
    <w:rsid w:val="00E979F4"/>
    <w:rsid w:val="00EA01DE"/>
    <w:rsid w:val="00EA022F"/>
    <w:rsid w:val="00EA038A"/>
    <w:rsid w:val="00EA08E8"/>
    <w:rsid w:val="00EA0B64"/>
    <w:rsid w:val="00EA18F7"/>
    <w:rsid w:val="00EA218E"/>
    <w:rsid w:val="00EA23AF"/>
    <w:rsid w:val="00EA2B1B"/>
    <w:rsid w:val="00EA2F47"/>
    <w:rsid w:val="00EA32AD"/>
    <w:rsid w:val="00EA3352"/>
    <w:rsid w:val="00EA3484"/>
    <w:rsid w:val="00EA39BF"/>
    <w:rsid w:val="00EA3AEB"/>
    <w:rsid w:val="00EA3C49"/>
    <w:rsid w:val="00EA3D89"/>
    <w:rsid w:val="00EA3F49"/>
    <w:rsid w:val="00EA4E05"/>
    <w:rsid w:val="00EA4FE4"/>
    <w:rsid w:val="00EA50A6"/>
    <w:rsid w:val="00EA50E2"/>
    <w:rsid w:val="00EA513C"/>
    <w:rsid w:val="00EA54A1"/>
    <w:rsid w:val="00EA5BD6"/>
    <w:rsid w:val="00EA5C6F"/>
    <w:rsid w:val="00EA5CE0"/>
    <w:rsid w:val="00EA61F7"/>
    <w:rsid w:val="00EA629C"/>
    <w:rsid w:val="00EA66BA"/>
    <w:rsid w:val="00EA6A4E"/>
    <w:rsid w:val="00EA6A92"/>
    <w:rsid w:val="00EA7F11"/>
    <w:rsid w:val="00EB03B6"/>
    <w:rsid w:val="00EB074F"/>
    <w:rsid w:val="00EB1095"/>
    <w:rsid w:val="00EB2B23"/>
    <w:rsid w:val="00EB3298"/>
    <w:rsid w:val="00EB3C16"/>
    <w:rsid w:val="00EB3F5F"/>
    <w:rsid w:val="00EB3FAF"/>
    <w:rsid w:val="00EB4615"/>
    <w:rsid w:val="00EB4B3C"/>
    <w:rsid w:val="00EB4B4F"/>
    <w:rsid w:val="00EB4DAE"/>
    <w:rsid w:val="00EB594E"/>
    <w:rsid w:val="00EB5FEF"/>
    <w:rsid w:val="00EB6175"/>
    <w:rsid w:val="00EB61D0"/>
    <w:rsid w:val="00EB6646"/>
    <w:rsid w:val="00EB6735"/>
    <w:rsid w:val="00EB68C2"/>
    <w:rsid w:val="00EB6DC6"/>
    <w:rsid w:val="00EB6DFD"/>
    <w:rsid w:val="00EB6F6F"/>
    <w:rsid w:val="00EB7442"/>
    <w:rsid w:val="00EB761B"/>
    <w:rsid w:val="00EB7AC6"/>
    <w:rsid w:val="00EB7B51"/>
    <w:rsid w:val="00EC010C"/>
    <w:rsid w:val="00EC0732"/>
    <w:rsid w:val="00EC099D"/>
    <w:rsid w:val="00EC0BDB"/>
    <w:rsid w:val="00EC14D2"/>
    <w:rsid w:val="00EC236F"/>
    <w:rsid w:val="00EC2917"/>
    <w:rsid w:val="00EC326D"/>
    <w:rsid w:val="00EC33BA"/>
    <w:rsid w:val="00EC3580"/>
    <w:rsid w:val="00EC42D6"/>
    <w:rsid w:val="00EC4A67"/>
    <w:rsid w:val="00EC4B76"/>
    <w:rsid w:val="00EC4E5F"/>
    <w:rsid w:val="00EC4FD8"/>
    <w:rsid w:val="00EC52E8"/>
    <w:rsid w:val="00EC568C"/>
    <w:rsid w:val="00EC5794"/>
    <w:rsid w:val="00EC5E37"/>
    <w:rsid w:val="00EC5F26"/>
    <w:rsid w:val="00EC65CE"/>
    <w:rsid w:val="00EC66A5"/>
    <w:rsid w:val="00EC6DD1"/>
    <w:rsid w:val="00EC717B"/>
    <w:rsid w:val="00EC7284"/>
    <w:rsid w:val="00EC78FF"/>
    <w:rsid w:val="00EC7992"/>
    <w:rsid w:val="00EC7E1F"/>
    <w:rsid w:val="00ED06C0"/>
    <w:rsid w:val="00ED0992"/>
    <w:rsid w:val="00ED13BE"/>
    <w:rsid w:val="00ED16DB"/>
    <w:rsid w:val="00ED1A8E"/>
    <w:rsid w:val="00ED1F91"/>
    <w:rsid w:val="00ED2731"/>
    <w:rsid w:val="00ED2805"/>
    <w:rsid w:val="00ED2A84"/>
    <w:rsid w:val="00ED2E06"/>
    <w:rsid w:val="00ED31CE"/>
    <w:rsid w:val="00ED3949"/>
    <w:rsid w:val="00ED3AFB"/>
    <w:rsid w:val="00ED3B2B"/>
    <w:rsid w:val="00ED3FEC"/>
    <w:rsid w:val="00ED4034"/>
    <w:rsid w:val="00ED4A27"/>
    <w:rsid w:val="00ED4DA9"/>
    <w:rsid w:val="00ED4F1A"/>
    <w:rsid w:val="00ED518B"/>
    <w:rsid w:val="00ED51F4"/>
    <w:rsid w:val="00ED5A67"/>
    <w:rsid w:val="00ED5AD3"/>
    <w:rsid w:val="00ED5ADB"/>
    <w:rsid w:val="00ED5CBB"/>
    <w:rsid w:val="00ED61BF"/>
    <w:rsid w:val="00ED642B"/>
    <w:rsid w:val="00ED677C"/>
    <w:rsid w:val="00ED6974"/>
    <w:rsid w:val="00ED733F"/>
    <w:rsid w:val="00ED7AF0"/>
    <w:rsid w:val="00ED7BB1"/>
    <w:rsid w:val="00EE0744"/>
    <w:rsid w:val="00EE09F9"/>
    <w:rsid w:val="00EE1011"/>
    <w:rsid w:val="00EE115D"/>
    <w:rsid w:val="00EE17D1"/>
    <w:rsid w:val="00EE1A70"/>
    <w:rsid w:val="00EE1B48"/>
    <w:rsid w:val="00EE2284"/>
    <w:rsid w:val="00EE249F"/>
    <w:rsid w:val="00EE308A"/>
    <w:rsid w:val="00EE317C"/>
    <w:rsid w:val="00EE3415"/>
    <w:rsid w:val="00EE350C"/>
    <w:rsid w:val="00EE41BB"/>
    <w:rsid w:val="00EE438B"/>
    <w:rsid w:val="00EE517A"/>
    <w:rsid w:val="00EE5AFA"/>
    <w:rsid w:val="00EE6169"/>
    <w:rsid w:val="00EE6C86"/>
    <w:rsid w:val="00EE77F1"/>
    <w:rsid w:val="00EE7AAC"/>
    <w:rsid w:val="00EE7E15"/>
    <w:rsid w:val="00EF0361"/>
    <w:rsid w:val="00EF0676"/>
    <w:rsid w:val="00EF093D"/>
    <w:rsid w:val="00EF0AF3"/>
    <w:rsid w:val="00EF125B"/>
    <w:rsid w:val="00EF157B"/>
    <w:rsid w:val="00EF1673"/>
    <w:rsid w:val="00EF1826"/>
    <w:rsid w:val="00EF19C9"/>
    <w:rsid w:val="00EF1E41"/>
    <w:rsid w:val="00EF1F68"/>
    <w:rsid w:val="00EF2053"/>
    <w:rsid w:val="00EF27BD"/>
    <w:rsid w:val="00EF2C2E"/>
    <w:rsid w:val="00EF2D34"/>
    <w:rsid w:val="00EF2DE2"/>
    <w:rsid w:val="00EF2F9A"/>
    <w:rsid w:val="00EF3831"/>
    <w:rsid w:val="00EF3855"/>
    <w:rsid w:val="00EF3FAD"/>
    <w:rsid w:val="00EF47C4"/>
    <w:rsid w:val="00EF4BEA"/>
    <w:rsid w:val="00EF4C32"/>
    <w:rsid w:val="00EF5088"/>
    <w:rsid w:val="00EF589D"/>
    <w:rsid w:val="00EF5AEA"/>
    <w:rsid w:val="00EF5B53"/>
    <w:rsid w:val="00EF5B7D"/>
    <w:rsid w:val="00EF633C"/>
    <w:rsid w:val="00EF6439"/>
    <w:rsid w:val="00EF6796"/>
    <w:rsid w:val="00EF6A85"/>
    <w:rsid w:val="00EF71EE"/>
    <w:rsid w:val="00EF72F3"/>
    <w:rsid w:val="00EF7759"/>
    <w:rsid w:val="00EF7B10"/>
    <w:rsid w:val="00EF7FA0"/>
    <w:rsid w:val="00F001F2"/>
    <w:rsid w:val="00F00F17"/>
    <w:rsid w:val="00F0146E"/>
    <w:rsid w:val="00F0176B"/>
    <w:rsid w:val="00F01BF2"/>
    <w:rsid w:val="00F01E44"/>
    <w:rsid w:val="00F02096"/>
    <w:rsid w:val="00F0276F"/>
    <w:rsid w:val="00F02CCC"/>
    <w:rsid w:val="00F03403"/>
    <w:rsid w:val="00F039E4"/>
    <w:rsid w:val="00F04294"/>
    <w:rsid w:val="00F04442"/>
    <w:rsid w:val="00F0482D"/>
    <w:rsid w:val="00F050EB"/>
    <w:rsid w:val="00F052FE"/>
    <w:rsid w:val="00F059D1"/>
    <w:rsid w:val="00F05A30"/>
    <w:rsid w:val="00F05D67"/>
    <w:rsid w:val="00F0678F"/>
    <w:rsid w:val="00F06946"/>
    <w:rsid w:val="00F06DEB"/>
    <w:rsid w:val="00F06EC9"/>
    <w:rsid w:val="00F06EF7"/>
    <w:rsid w:val="00F070C1"/>
    <w:rsid w:val="00F07138"/>
    <w:rsid w:val="00F07BC0"/>
    <w:rsid w:val="00F07C5B"/>
    <w:rsid w:val="00F07E7C"/>
    <w:rsid w:val="00F1001D"/>
    <w:rsid w:val="00F103F3"/>
    <w:rsid w:val="00F1064E"/>
    <w:rsid w:val="00F10AEA"/>
    <w:rsid w:val="00F10C7B"/>
    <w:rsid w:val="00F10E6B"/>
    <w:rsid w:val="00F1162F"/>
    <w:rsid w:val="00F11AD2"/>
    <w:rsid w:val="00F11B25"/>
    <w:rsid w:val="00F11C69"/>
    <w:rsid w:val="00F11C8F"/>
    <w:rsid w:val="00F11FB8"/>
    <w:rsid w:val="00F121C0"/>
    <w:rsid w:val="00F121C3"/>
    <w:rsid w:val="00F12394"/>
    <w:rsid w:val="00F12707"/>
    <w:rsid w:val="00F12981"/>
    <w:rsid w:val="00F12D0A"/>
    <w:rsid w:val="00F13426"/>
    <w:rsid w:val="00F136C4"/>
    <w:rsid w:val="00F13A9C"/>
    <w:rsid w:val="00F13BFA"/>
    <w:rsid w:val="00F13C76"/>
    <w:rsid w:val="00F1435D"/>
    <w:rsid w:val="00F1491F"/>
    <w:rsid w:val="00F14A46"/>
    <w:rsid w:val="00F14D93"/>
    <w:rsid w:val="00F14FB2"/>
    <w:rsid w:val="00F15164"/>
    <w:rsid w:val="00F1524A"/>
    <w:rsid w:val="00F15446"/>
    <w:rsid w:val="00F15B58"/>
    <w:rsid w:val="00F15DC4"/>
    <w:rsid w:val="00F16145"/>
    <w:rsid w:val="00F1617C"/>
    <w:rsid w:val="00F163D0"/>
    <w:rsid w:val="00F17551"/>
    <w:rsid w:val="00F175B6"/>
    <w:rsid w:val="00F17E30"/>
    <w:rsid w:val="00F20404"/>
    <w:rsid w:val="00F20547"/>
    <w:rsid w:val="00F20592"/>
    <w:rsid w:val="00F20DAF"/>
    <w:rsid w:val="00F2130C"/>
    <w:rsid w:val="00F22213"/>
    <w:rsid w:val="00F224A4"/>
    <w:rsid w:val="00F22E57"/>
    <w:rsid w:val="00F236B9"/>
    <w:rsid w:val="00F23B72"/>
    <w:rsid w:val="00F2416A"/>
    <w:rsid w:val="00F24634"/>
    <w:rsid w:val="00F24F08"/>
    <w:rsid w:val="00F25058"/>
    <w:rsid w:val="00F252F6"/>
    <w:rsid w:val="00F25DB4"/>
    <w:rsid w:val="00F25E21"/>
    <w:rsid w:val="00F260E7"/>
    <w:rsid w:val="00F265C0"/>
    <w:rsid w:val="00F27144"/>
    <w:rsid w:val="00F273E1"/>
    <w:rsid w:val="00F273E7"/>
    <w:rsid w:val="00F278FB"/>
    <w:rsid w:val="00F27E24"/>
    <w:rsid w:val="00F27F16"/>
    <w:rsid w:val="00F27FC1"/>
    <w:rsid w:val="00F3039E"/>
    <w:rsid w:val="00F30DC0"/>
    <w:rsid w:val="00F3155C"/>
    <w:rsid w:val="00F31A59"/>
    <w:rsid w:val="00F31B4D"/>
    <w:rsid w:val="00F32C49"/>
    <w:rsid w:val="00F32FE6"/>
    <w:rsid w:val="00F335C1"/>
    <w:rsid w:val="00F336FA"/>
    <w:rsid w:val="00F33928"/>
    <w:rsid w:val="00F348FA"/>
    <w:rsid w:val="00F34BD2"/>
    <w:rsid w:val="00F3513C"/>
    <w:rsid w:val="00F3537B"/>
    <w:rsid w:val="00F35670"/>
    <w:rsid w:val="00F35ADF"/>
    <w:rsid w:val="00F364FE"/>
    <w:rsid w:val="00F36C27"/>
    <w:rsid w:val="00F36DE2"/>
    <w:rsid w:val="00F371C4"/>
    <w:rsid w:val="00F3735C"/>
    <w:rsid w:val="00F3753A"/>
    <w:rsid w:val="00F37C1F"/>
    <w:rsid w:val="00F40054"/>
    <w:rsid w:val="00F405F4"/>
    <w:rsid w:val="00F40975"/>
    <w:rsid w:val="00F40AB2"/>
    <w:rsid w:val="00F40C92"/>
    <w:rsid w:val="00F41768"/>
    <w:rsid w:val="00F41E76"/>
    <w:rsid w:val="00F42F26"/>
    <w:rsid w:val="00F430E5"/>
    <w:rsid w:val="00F4340D"/>
    <w:rsid w:val="00F43467"/>
    <w:rsid w:val="00F43CDE"/>
    <w:rsid w:val="00F43E52"/>
    <w:rsid w:val="00F447E1"/>
    <w:rsid w:val="00F45319"/>
    <w:rsid w:val="00F46159"/>
    <w:rsid w:val="00F468B6"/>
    <w:rsid w:val="00F4781E"/>
    <w:rsid w:val="00F500EA"/>
    <w:rsid w:val="00F50411"/>
    <w:rsid w:val="00F50615"/>
    <w:rsid w:val="00F508DC"/>
    <w:rsid w:val="00F5092D"/>
    <w:rsid w:val="00F50EF8"/>
    <w:rsid w:val="00F5142D"/>
    <w:rsid w:val="00F51637"/>
    <w:rsid w:val="00F5166F"/>
    <w:rsid w:val="00F516D6"/>
    <w:rsid w:val="00F52AC4"/>
    <w:rsid w:val="00F532FB"/>
    <w:rsid w:val="00F53AA5"/>
    <w:rsid w:val="00F53AE3"/>
    <w:rsid w:val="00F53BA6"/>
    <w:rsid w:val="00F53F4A"/>
    <w:rsid w:val="00F54459"/>
    <w:rsid w:val="00F545FB"/>
    <w:rsid w:val="00F5486E"/>
    <w:rsid w:val="00F54A56"/>
    <w:rsid w:val="00F54B34"/>
    <w:rsid w:val="00F54DCB"/>
    <w:rsid w:val="00F54E3D"/>
    <w:rsid w:val="00F5543E"/>
    <w:rsid w:val="00F55475"/>
    <w:rsid w:val="00F556E3"/>
    <w:rsid w:val="00F5579F"/>
    <w:rsid w:val="00F55994"/>
    <w:rsid w:val="00F55A26"/>
    <w:rsid w:val="00F55D8B"/>
    <w:rsid w:val="00F56219"/>
    <w:rsid w:val="00F566E1"/>
    <w:rsid w:val="00F56B06"/>
    <w:rsid w:val="00F56B15"/>
    <w:rsid w:val="00F570FC"/>
    <w:rsid w:val="00F57196"/>
    <w:rsid w:val="00F57677"/>
    <w:rsid w:val="00F57B55"/>
    <w:rsid w:val="00F57C0D"/>
    <w:rsid w:val="00F57C7B"/>
    <w:rsid w:val="00F57E5B"/>
    <w:rsid w:val="00F60261"/>
    <w:rsid w:val="00F6036D"/>
    <w:rsid w:val="00F604F4"/>
    <w:rsid w:val="00F607E1"/>
    <w:rsid w:val="00F60887"/>
    <w:rsid w:val="00F609A1"/>
    <w:rsid w:val="00F60B73"/>
    <w:rsid w:val="00F610C8"/>
    <w:rsid w:val="00F6113B"/>
    <w:rsid w:val="00F61A95"/>
    <w:rsid w:val="00F620AD"/>
    <w:rsid w:val="00F62E62"/>
    <w:rsid w:val="00F63571"/>
    <w:rsid w:val="00F63846"/>
    <w:rsid w:val="00F63A44"/>
    <w:rsid w:val="00F63BB9"/>
    <w:rsid w:val="00F63C0A"/>
    <w:rsid w:val="00F640DF"/>
    <w:rsid w:val="00F651D0"/>
    <w:rsid w:val="00F652D4"/>
    <w:rsid w:val="00F654F5"/>
    <w:rsid w:val="00F65666"/>
    <w:rsid w:val="00F6592B"/>
    <w:rsid w:val="00F65DDB"/>
    <w:rsid w:val="00F6660B"/>
    <w:rsid w:val="00F66638"/>
    <w:rsid w:val="00F66BC3"/>
    <w:rsid w:val="00F67094"/>
    <w:rsid w:val="00F67454"/>
    <w:rsid w:val="00F67787"/>
    <w:rsid w:val="00F70366"/>
    <w:rsid w:val="00F70770"/>
    <w:rsid w:val="00F70BAA"/>
    <w:rsid w:val="00F7156C"/>
    <w:rsid w:val="00F7187B"/>
    <w:rsid w:val="00F725D5"/>
    <w:rsid w:val="00F73405"/>
    <w:rsid w:val="00F7382E"/>
    <w:rsid w:val="00F73A80"/>
    <w:rsid w:val="00F74451"/>
    <w:rsid w:val="00F74B7A"/>
    <w:rsid w:val="00F74DDE"/>
    <w:rsid w:val="00F75DD6"/>
    <w:rsid w:val="00F76229"/>
    <w:rsid w:val="00F76370"/>
    <w:rsid w:val="00F765E8"/>
    <w:rsid w:val="00F76CE9"/>
    <w:rsid w:val="00F76FFC"/>
    <w:rsid w:val="00F778E2"/>
    <w:rsid w:val="00F77B14"/>
    <w:rsid w:val="00F77BD5"/>
    <w:rsid w:val="00F77FD8"/>
    <w:rsid w:val="00F8016D"/>
    <w:rsid w:val="00F80B37"/>
    <w:rsid w:val="00F80BFC"/>
    <w:rsid w:val="00F80EFD"/>
    <w:rsid w:val="00F8127A"/>
    <w:rsid w:val="00F8129C"/>
    <w:rsid w:val="00F812FC"/>
    <w:rsid w:val="00F81B33"/>
    <w:rsid w:val="00F81DE0"/>
    <w:rsid w:val="00F82557"/>
    <w:rsid w:val="00F82644"/>
    <w:rsid w:val="00F8267D"/>
    <w:rsid w:val="00F827D7"/>
    <w:rsid w:val="00F82951"/>
    <w:rsid w:val="00F82CA8"/>
    <w:rsid w:val="00F830A4"/>
    <w:rsid w:val="00F831BA"/>
    <w:rsid w:val="00F836BE"/>
    <w:rsid w:val="00F83C9B"/>
    <w:rsid w:val="00F83CFC"/>
    <w:rsid w:val="00F84E92"/>
    <w:rsid w:val="00F85355"/>
    <w:rsid w:val="00F85375"/>
    <w:rsid w:val="00F859FC"/>
    <w:rsid w:val="00F861A9"/>
    <w:rsid w:val="00F865D3"/>
    <w:rsid w:val="00F86698"/>
    <w:rsid w:val="00F869DB"/>
    <w:rsid w:val="00F87018"/>
    <w:rsid w:val="00F8729B"/>
    <w:rsid w:val="00F90003"/>
    <w:rsid w:val="00F90407"/>
    <w:rsid w:val="00F90A5B"/>
    <w:rsid w:val="00F90E00"/>
    <w:rsid w:val="00F91068"/>
    <w:rsid w:val="00F916DD"/>
    <w:rsid w:val="00F91CA3"/>
    <w:rsid w:val="00F91E72"/>
    <w:rsid w:val="00F92726"/>
    <w:rsid w:val="00F9296C"/>
    <w:rsid w:val="00F92CD0"/>
    <w:rsid w:val="00F92EA6"/>
    <w:rsid w:val="00F92FE1"/>
    <w:rsid w:val="00F93382"/>
    <w:rsid w:val="00F9361C"/>
    <w:rsid w:val="00F93954"/>
    <w:rsid w:val="00F9433D"/>
    <w:rsid w:val="00F9437B"/>
    <w:rsid w:val="00F94CEE"/>
    <w:rsid w:val="00F94ED0"/>
    <w:rsid w:val="00F95267"/>
    <w:rsid w:val="00F952BE"/>
    <w:rsid w:val="00F95639"/>
    <w:rsid w:val="00F95B34"/>
    <w:rsid w:val="00F95EE6"/>
    <w:rsid w:val="00F9604C"/>
    <w:rsid w:val="00F964DA"/>
    <w:rsid w:val="00F96956"/>
    <w:rsid w:val="00F96B2A"/>
    <w:rsid w:val="00F96F40"/>
    <w:rsid w:val="00F970D7"/>
    <w:rsid w:val="00F972ED"/>
    <w:rsid w:val="00F9742F"/>
    <w:rsid w:val="00F97790"/>
    <w:rsid w:val="00FA0DAF"/>
    <w:rsid w:val="00FA1106"/>
    <w:rsid w:val="00FA1827"/>
    <w:rsid w:val="00FA1B55"/>
    <w:rsid w:val="00FA1F22"/>
    <w:rsid w:val="00FA23A5"/>
    <w:rsid w:val="00FA27AD"/>
    <w:rsid w:val="00FA2C22"/>
    <w:rsid w:val="00FA2E55"/>
    <w:rsid w:val="00FA2F0B"/>
    <w:rsid w:val="00FA3141"/>
    <w:rsid w:val="00FA32BF"/>
    <w:rsid w:val="00FA363E"/>
    <w:rsid w:val="00FA36FF"/>
    <w:rsid w:val="00FA3BD2"/>
    <w:rsid w:val="00FA3FB3"/>
    <w:rsid w:val="00FA42CC"/>
    <w:rsid w:val="00FA446E"/>
    <w:rsid w:val="00FA4945"/>
    <w:rsid w:val="00FA5DC3"/>
    <w:rsid w:val="00FA5F53"/>
    <w:rsid w:val="00FA5FA1"/>
    <w:rsid w:val="00FA60B1"/>
    <w:rsid w:val="00FA62BC"/>
    <w:rsid w:val="00FA63EE"/>
    <w:rsid w:val="00FA6C6F"/>
    <w:rsid w:val="00FA6CD6"/>
    <w:rsid w:val="00FA6E7F"/>
    <w:rsid w:val="00FA71A3"/>
    <w:rsid w:val="00FA71A4"/>
    <w:rsid w:val="00FA75EF"/>
    <w:rsid w:val="00FA7A96"/>
    <w:rsid w:val="00FA7C65"/>
    <w:rsid w:val="00FA7EBF"/>
    <w:rsid w:val="00FB0BCD"/>
    <w:rsid w:val="00FB0C70"/>
    <w:rsid w:val="00FB0EF3"/>
    <w:rsid w:val="00FB2296"/>
    <w:rsid w:val="00FB22DB"/>
    <w:rsid w:val="00FB3325"/>
    <w:rsid w:val="00FB3334"/>
    <w:rsid w:val="00FB3E2D"/>
    <w:rsid w:val="00FB3FD9"/>
    <w:rsid w:val="00FB44D5"/>
    <w:rsid w:val="00FB460C"/>
    <w:rsid w:val="00FB466A"/>
    <w:rsid w:val="00FB47B9"/>
    <w:rsid w:val="00FB4830"/>
    <w:rsid w:val="00FB4E67"/>
    <w:rsid w:val="00FB5200"/>
    <w:rsid w:val="00FB54E1"/>
    <w:rsid w:val="00FB6A75"/>
    <w:rsid w:val="00FB7020"/>
    <w:rsid w:val="00FB740A"/>
    <w:rsid w:val="00FB7F56"/>
    <w:rsid w:val="00FC08D2"/>
    <w:rsid w:val="00FC110D"/>
    <w:rsid w:val="00FC1209"/>
    <w:rsid w:val="00FC22C8"/>
    <w:rsid w:val="00FC2C11"/>
    <w:rsid w:val="00FC2DA7"/>
    <w:rsid w:val="00FC2E33"/>
    <w:rsid w:val="00FC2EB0"/>
    <w:rsid w:val="00FC2F64"/>
    <w:rsid w:val="00FC3128"/>
    <w:rsid w:val="00FC3590"/>
    <w:rsid w:val="00FC3924"/>
    <w:rsid w:val="00FC3CF0"/>
    <w:rsid w:val="00FC420A"/>
    <w:rsid w:val="00FC4721"/>
    <w:rsid w:val="00FC47B6"/>
    <w:rsid w:val="00FC4A07"/>
    <w:rsid w:val="00FC4F98"/>
    <w:rsid w:val="00FC509D"/>
    <w:rsid w:val="00FC56B2"/>
    <w:rsid w:val="00FC5B63"/>
    <w:rsid w:val="00FC60AB"/>
    <w:rsid w:val="00FC6168"/>
    <w:rsid w:val="00FC6506"/>
    <w:rsid w:val="00FC6A64"/>
    <w:rsid w:val="00FC6DC2"/>
    <w:rsid w:val="00FC6E14"/>
    <w:rsid w:val="00FC74A7"/>
    <w:rsid w:val="00FC7639"/>
    <w:rsid w:val="00FC7E17"/>
    <w:rsid w:val="00FD0628"/>
    <w:rsid w:val="00FD1170"/>
    <w:rsid w:val="00FD1371"/>
    <w:rsid w:val="00FD13F1"/>
    <w:rsid w:val="00FD16A3"/>
    <w:rsid w:val="00FD1CF6"/>
    <w:rsid w:val="00FD1F57"/>
    <w:rsid w:val="00FD2744"/>
    <w:rsid w:val="00FD29A5"/>
    <w:rsid w:val="00FD3170"/>
    <w:rsid w:val="00FD3D60"/>
    <w:rsid w:val="00FD3D6E"/>
    <w:rsid w:val="00FD3E5B"/>
    <w:rsid w:val="00FD432D"/>
    <w:rsid w:val="00FD4498"/>
    <w:rsid w:val="00FD4550"/>
    <w:rsid w:val="00FD5426"/>
    <w:rsid w:val="00FD555B"/>
    <w:rsid w:val="00FD557E"/>
    <w:rsid w:val="00FD62CF"/>
    <w:rsid w:val="00FD6694"/>
    <w:rsid w:val="00FD750B"/>
    <w:rsid w:val="00FD7C06"/>
    <w:rsid w:val="00FD7E78"/>
    <w:rsid w:val="00FE015D"/>
    <w:rsid w:val="00FE0414"/>
    <w:rsid w:val="00FE05BD"/>
    <w:rsid w:val="00FE0F9B"/>
    <w:rsid w:val="00FE1293"/>
    <w:rsid w:val="00FE1517"/>
    <w:rsid w:val="00FE1800"/>
    <w:rsid w:val="00FE18EC"/>
    <w:rsid w:val="00FE190D"/>
    <w:rsid w:val="00FE1D22"/>
    <w:rsid w:val="00FE3017"/>
    <w:rsid w:val="00FE3472"/>
    <w:rsid w:val="00FE37D2"/>
    <w:rsid w:val="00FE4847"/>
    <w:rsid w:val="00FE4AF6"/>
    <w:rsid w:val="00FE5319"/>
    <w:rsid w:val="00FE55A1"/>
    <w:rsid w:val="00FE560C"/>
    <w:rsid w:val="00FE56F5"/>
    <w:rsid w:val="00FE5B6B"/>
    <w:rsid w:val="00FE5F26"/>
    <w:rsid w:val="00FE648A"/>
    <w:rsid w:val="00FE6A7C"/>
    <w:rsid w:val="00FE6B57"/>
    <w:rsid w:val="00FE6D35"/>
    <w:rsid w:val="00FE6E55"/>
    <w:rsid w:val="00FE6F88"/>
    <w:rsid w:val="00FE7166"/>
    <w:rsid w:val="00FE730E"/>
    <w:rsid w:val="00FE740A"/>
    <w:rsid w:val="00FE7DA5"/>
    <w:rsid w:val="00FE7DB3"/>
    <w:rsid w:val="00FE7E7B"/>
    <w:rsid w:val="00FE7F13"/>
    <w:rsid w:val="00FF0399"/>
    <w:rsid w:val="00FF03E8"/>
    <w:rsid w:val="00FF0BE6"/>
    <w:rsid w:val="00FF0DEA"/>
    <w:rsid w:val="00FF16A5"/>
    <w:rsid w:val="00FF1AEA"/>
    <w:rsid w:val="00FF1B70"/>
    <w:rsid w:val="00FF2C68"/>
    <w:rsid w:val="00FF3A82"/>
    <w:rsid w:val="00FF3AB1"/>
    <w:rsid w:val="00FF3B53"/>
    <w:rsid w:val="00FF3D26"/>
    <w:rsid w:val="00FF3E60"/>
    <w:rsid w:val="00FF437A"/>
    <w:rsid w:val="00FF495C"/>
    <w:rsid w:val="00FF4A9E"/>
    <w:rsid w:val="00FF4DFC"/>
    <w:rsid w:val="00FF56DA"/>
    <w:rsid w:val="00FF56DB"/>
    <w:rsid w:val="00FF657A"/>
    <w:rsid w:val="00FF694F"/>
    <w:rsid w:val="00FF6A01"/>
    <w:rsid w:val="00FF6A6C"/>
    <w:rsid w:val="00FF73AE"/>
    <w:rsid w:val="00FF7677"/>
    <w:rsid w:val="00FF772A"/>
    <w:rsid w:val="00FF77CF"/>
    <w:rsid w:val="00FF7823"/>
    <w:rsid w:val="00FF7B3B"/>
    <w:rsid w:val="00FF7DC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C84B89"/>
  <w15:docId w15:val="{02C4EB64-0117-4C14-A263-4DDE39B06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after="120" w:line="264" w:lineRule="auto"/>
      </w:pPr>
    </w:pPrDefault>
  </w:docDefaults>
  <w:latentStyles w:defLockedState="0" w:defUIPriority="98" w:defSemiHidden="0" w:defUnhideWhenUsed="0" w:defQFormat="0" w:count="375">
    <w:lsdException w:name="Normal" w:uiPriority="0" w:qFormat="1"/>
    <w:lsdException w:name="heading 1" w:uiPriority="1" w:qFormat="1"/>
    <w:lsdException w:name="heading 2" w:uiPriority="99" w:qFormat="1"/>
    <w:lsdException w:name="heading 3" w:uiPriority="99"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iPriority="99" w:unhideWhenUsed="1"/>
    <w:lsdException w:name="line number" w:semiHidden="1" w:unhideWhenUsed="1"/>
    <w:lsdException w:name="page number" w:semiHidden="1" w:uiPriority="14"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99"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uiPriority="99" w:unhideWhenUsed="1"/>
    <w:lsdException w:name="No Spacing" w:qFormat="1"/>
    <w:lsdException w:name="Light Shading" w:uiPriority="99"/>
    <w:lsdException w:name="Light List" w:uiPriority="61"/>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62"/>
    <w:lsdException w:name="List Paragraph" w:semiHidden="1" w:uiPriority="34" w:qFormat="1"/>
    <w:lsdException w:name="Quote" w:uiPriority="29" w:qFormat="1"/>
    <w:lsdException w:name="Intense Quote" w:uiPriority="30" w:qFormat="1"/>
    <w:lsdException w:name="Medium List 2 Accent 1" w:uiPriority="99"/>
    <w:lsdException w:name="Medium Grid 1 Accent 1" w:uiPriority="99"/>
    <w:lsdException w:name="Medium Grid 2 Accent 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qFormat="1"/>
    <w:lsdException w:name="Medium Shading 2 Accent 3"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66"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C52E8"/>
  </w:style>
  <w:style w:type="paragraph" w:styleId="Heading1">
    <w:name w:val="heading 1"/>
    <w:next w:val="ARbody"/>
    <w:link w:val="Heading1Char"/>
    <w:uiPriority w:val="1"/>
    <w:qFormat/>
    <w:rsid w:val="00985BCE"/>
    <w:pPr>
      <w:keepNext/>
      <w:keepLines/>
      <w:spacing w:after="800" w:line="480" w:lineRule="atLeast"/>
      <w:outlineLvl w:val="0"/>
    </w:pPr>
    <w:rPr>
      <w:rFonts w:ascii="Arial" w:eastAsia="MS Gothic" w:hAnsi="Arial" w:cs="Times New Roman"/>
      <w:bCs/>
      <w:color w:val="004C97" w:themeColor="accent1"/>
      <w:kern w:val="32"/>
      <w:sz w:val="48"/>
      <w:szCs w:val="64"/>
      <w:lang w:eastAsia="en-US"/>
    </w:rPr>
  </w:style>
  <w:style w:type="paragraph" w:styleId="Heading2">
    <w:name w:val="heading 2"/>
    <w:next w:val="ARbody"/>
    <w:link w:val="Heading2Char"/>
    <w:uiPriority w:val="99"/>
    <w:qFormat/>
    <w:rsid w:val="00985BCE"/>
    <w:pPr>
      <w:keepNext/>
      <w:keepLines/>
      <w:spacing w:before="300" w:after="80" w:line="340" w:lineRule="atLeast"/>
      <w:outlineLvl w:val="1"/>
    </w:pPr>
    <w:rPr>
      <w:rFonts w:ascii="Arial" w:eastAsia="MS Gothic" w:hAnsi="Arial" w:cs="Times New Roman"/>
      <w:bCs/>
      <w:iCs/>
      <w:color w:val="53565A" w:themeColor="accent2"/>
      <w:sz w:val="32"/>
      <w:szCs w:val="30"/>
      <w:lang w:eastAsia="en-US"/>
    </w:rPr>
  </w:style>
  <w:style w:type="paragraph" w:styleId="Heading3">
    <w:name w:val="heading 3"/>
    <w:next w:val="ARbody"/>
    <w:link w:val="Heading3Char"/>
    <w:uiPriority w:val="99"/>
    <w:qFormat/>
    <w:rsid w:val="00985BCE"/>
    <w:pPr>
      <w:keepNext/>
      <w:keepLines/>
      <w:spacing w:before="280" w:after="80" w:line="280" w:lineRule="atLeast"/>
      <w:outlineLvl w:val="2"/>
    </w:pPr>
    <w:rPr>
      <w:rFonts w:ascii="Arial" w:eastAsia="MS Gothic" w:hAnsi="Arial" w:cs="Times New Roman"/>
      <w:bCs/>
      <w:color w:val="004C97" w:themeColor="accent1"/>
      <w:sz w:val="28"/>
      <w:szCs w:val="24"/>
    </w:rPr>
  </w:style>
  <w:style w:type="paragraph" w:styleId="Heading4">
    <w:name w:val="heading 4"/>
    <w:next w:val="ARbody"/>
    <w:link w:val="Heading4Char"/>
    <w:uiPriority w:val="1"/>
    <w:qFormat/>
    <w:rsid w:val="00955256"/>
    <w:pPr>
      <w:keepNext/>
      <w:keepLines/>
      <w:spacing w:before="200" w:after="80" w:line="240" w:lineRule="atLeast"/>
      <w:outlineLvl w:val="3"/>
    </w:pPr>
    <w:rPr>
      <w:rFonts w:ascii="Arial" w:eastAsia="MS Mincho" w:hAnsi="Arial" w:cs="Arial"/>
      <w:b/>
      <w:bCs/>
      <w:color w:val="53565A"/>
      <w:sz w:val="24"/>
      <w:szCs w:val="24"/>
      <w:lang w:eastAsia="en-US"/>
    </w:rPr>
  </w:style>
  <w:style w:type="paragraph" w:styleId="Heading5">
    <w:name w:val="heading 5"/>
    <w:next w:val="ARbody"/>
    <w:link w:val="Heading5Char"/>
    <w:uiPriority w:val="1"/>
    <w:qFormat/>
    <w:rsid w:val="00A9725C"/>
    <w:pPr>
      <w:keepNext/>
      <w:keepLines/>
      <w:spacing w:before="240" w:after="80" w:line="260" w:lineRule="atLeast"/>
      <w:outlineLvl w:val="4"/>
    </w:pPr>
    <w:rPr>
      <w:rFonts w:ascii="Arial" w:eastAsia="Times New Roman" w:hAnsi="Arial" w:cs="Times New Roman"/>
      <w:b/>
      <w:color w:val="004C97" w:themeColor="accent1"/>
      <w:sz w:val="22"/>
      <w:szCs w:val="24"/>
      <w:lang w:eastAsia="en-US"/>
    </w:rPr>
  </w:style>
  <w:style w:type="paragraph" w:styleId="Heading6">
    <w:name w:val="heading 6"/>
    <w:basedOn w:val="Normal"/>
    <w:next w:val="Normal"/>
    <w:link w:val="Heading6Char"/>
    <w:uiPriority w:val="1"/>
    <w:qFormat/>
    <w:rsid w:val="00D44F46"/>
    <w:pPr>
      <w:keepNext/>
      <w:keepLines/>
      <w:overflowPunct w:val="0"/>
      <w:autoSpaceDE w:val="0"/>
      <w:autoSpaceDN w:val="0"/>
      <w:adjustRightInd w:val="0"/>
      <w:spacing w:before="240" w:after="80" w:line="240" w:lineRule="auto"/>
      <w:textAlignment w:val="baseline"/>
      <w:outlineLvl w:val="5"/>
    </w:pPr>
    <w:rPr>
      <w:rFonts w:ascii="Arial" w:eastAsia="Times New Roman" w:hAnsi="Arial" w:cs="Times New Roman"/>
      <w:b/>
      <w:bCs/>
      <w:szCs w:val="24"/>
      <w:lang w:val="x-none" w:eastAsia="en-US"/>
    </w:rPr>
  </w:style>
  <w:style w:type="paragraph" w:styleId="Heading7">
    <w:name w:val="heading 7"/>
    <w:basedOn w:val="Normal"/>
    <w:next w:val="Normal"/>
    <w:link w:val="Heading7Char"/>
    <w:uiPriority w:val="1"/>
    <w:qFormat/>
    <w:rsid w:val="006E3969"/>
    <w:pPr>
      <w:keepNext/>
      <w:keepLines/>
      <w:spacing w:before="180" w:after="60" w:line="240" w:lineRule="auto"/>
      <w:outlineLvl w:val="6"/>
    </w:pPr>
    <w:rPr>
      <w:rFonts w:ascii="Arial" w:eastAsiaTheme="majorEastAsia" w:hAnsi="Arial" w:cstheme="majorBidi"/>
      <w:b/>
      <w:iCs/>
      <w:color w:val="53565A"/>
      <w:szCs w:val="21"/>
    </w:rPr>
  </w:style>
  <w:style w:type="paragraph" w:styleId="Heading8">
    <w:name w:val="heading 8"/>
    <w:basedOn w:val="Normal"/>
    <w:next w:val="Normal"/>
    <w:link w:val="Heading8Char"/>
    <w:uiPriority w:val="1"/>
    <w:semiHidden/>
    <w:qFormat/>
    <w:rsid w:val="00266A2A"/>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1"/>
    <w:semiHidden/>
    <w:qFormat/>
    <w:rsid w:val="00266A2A"/>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bodybeforetable">
    <w:name w:val="AR body before table"/>
    <w:basedOn w:val="ARbody"/>
    <w:uiPriority w:val="3"/>
    <w:qFormat/>
    <w:rsid w:val="00FD3D60"/>
    <w:pPr>
      <w:spacing w:after="240"/>
    </w:pPr>
    <w:rPr>
      <w:lang w:eastAsia="en-AU"/>
    </w:rPr>
  </w:style>
  <w:style w:type="character" w:customStyle="1" w:styleId="Heading1Char">
    <w:name w:val="Heading 1 Char"/>
    <w:link w:val="Heading1"/>
    <w:uiPriority w:val="1"/>
    <w:rsid w:val="00985BCE"/>
    <w:rPr>
      <w:rFonts w:ascii="Arial" w:eastAsia="MS Gothic" w:hAnsi="Arial" w:cs="Times New Roman"/>
      <w:bCs/>
      <w:color w:val="004C97" w:themeColor="accent1"/>
      <w:kern w:val="32"/>
      <w:sz w:val="48"/>
      <w:szCs w:val="64"/>
      <w:lang w:eastAsia="en-US"/>
    </w:rPr>
  </w:style>
  <w:style w:type="character" w:customStyle="1" w:styleId="Heading2Char">
    <w:name w:val="Heading 2 Char"/>
    <w:link w:val="Heading2"/>
    <w:uiPriority w:val="99"/>
    <w:rsid w:val="00985BCE"/>
    <w:rPr>
      <w:rFonts w:ascii="Arial" w:eastAsia="MS Gothic" w:hAnsi="Arial" w:cs="Times New Roman"/>
      <w:bCs/>
      <w:iCs/>
      <w:color w:val="53565A" w:themeColor="accent2"/>
      <w:sz w:val="32"/>
      <w:szCs w:val="30"/>
      <w:lang w:eastAsia="en-US"/>
    </w:rPr>
  </w:style>
  <w:style w:type="character" w:customStyle="1" w:styleId="Heading3Char">
    <w:name w:val="Heading 3 Char"/>
    <w:link w:val="Heading3"/>
    <w:uiPriority w:val="99"/>
    <w:rsid w:val="00985BCE"/>
    <w:rPr>
      <w:rFonts w:ascii="Arial" w:eastAsia="MS Gothic" w:hAnsi="Arial" w:cs="Times New Roman"/>
      <w:bCs/>
      <w:color w:val="004C97" w:themeColor="accent1"/>
      <w:sz w:val="28"/>
      <w:szCs w:val="24"/>
    </w:rPr>
  </w:style>
  <w:style w:type="character" w:customStyle="1" w:styleId="Heading4Char">
    <w:name w:val="Heading 4 Char"/>
    <w:link w:val="Heading4"/>
    <w:uiPriority w:val="1"/>
    <w:rsid w:val="00955256"/>
    <w:rPr>
      <w:rFonts w:ascii="Arial" w:eastAsia="MS Mincho" w:hAnsi="Arial" w:cs="Arial"/>
      <w:b/>
      <w:bCs/>
      <w:color w:val="53565A"/>
      <w:sz w:val="24"/>
      <w:szCs w:val="24"/>
      <w:lang w:eastAsia="en-US"/>
    </w:rPr>
  </w:style>
  <w:style w:type="paragraph" w:styleId="Header">
    <w:name w:val="header"/>
    <w:link w:val="HeaderChar"/>
    <w:uiPriority w:val="99"/>
    <w:rsid w:val="00064B9B"/>
    <w:pPr>
      <w:widowControl w:val="0"/>
      <w:overflowPunct w:val="0"/>
      <w:autoSpaceDE w:val="0"/>
      <w:autoSpaceDN w:val="0"/>
      <w:adjustRightInd w:val="0"/>
      <w:textAlignment w:val="baseline"/>
    </w:pPr>
    <w:rPr>
      <w:rFonts w:ascii="Arial" w:hAnsi="Arial"/>
      <w:sz w:val="24"/>
      <w:szCs w:val="24"/>
      <w:lang w:eastAsia="en-US"/>
    </w:rPr>
  </w:style>
  <w:style w:type="character" w:customStyle="1" w:styleId="HeaderChar">
    <w:name w:val="Header Char"/>
    <w:link w:val="Header"/>
    <w:uiPriority w:val="99"/>
    <w:rsid w:val="00064B9B"/>
    <w:rPr>
      <w:rFonts w:ascii="Arial" w:hAnsi="Arial"/>
      <w:lang w:eastAsia="en-US" w:bidi="ar-SA"/>
    </w:rPr>
  </w:style>
  <w:style w:type="character" w:styleId="Hyperlink">
    <w:name w:val="Hyperlink"/>
    <w:uiPriority w:val="99"/>
    <w:rsid w:val="00710FAE"/>
    <w:rPr>
      <w:color w:val="0072CE"/>
      <w:u w:val="dotted"/>
    </w:rPr>
  </w:style>
  <w:style w:type="paragraph" w:customStyle="1" w:styleId="LightList-Accent31">
    <w:name w:val="Light List - Accent 31"/>
    <w:hidden/>
    <w:uiPriority w:val="99"/>
    <w:semiHidden/>
    <w:rsid w:val="00655FC1"/>
    <w:rPr>
      <w:rFonts w:ascii="Arial" w:hAnsi="Arial"/>
      <w:sz w:val="24"/>
      <w:szCs w:val="24"/>
      <w:lang w:eastAsia="en-US"/>
    </w:rPr>
  </w:style>
  <w:style w:type="paragraph" w:styleId="TOC5">
    <w:name w:val="toc 5"/>
    <w:basedOn w:val="Normal"/>
    <w:next w:val="Normal"/>
    <w:autoRedefine/>
    <w:uiPriority w:val="39"/>
    <w:semiHidden/>
    <w:rsid w:val="008D0650"/>
    <w:pPr>
      <w:ind w:left="800"/>
    </w:pPr>
  </w:style>
  <w:style w:type="paragraph" w:customStyle="1" w:styleId="ARtablesource">
    <w:name w:val="AR table source"/>
    <w:basedOn w:val="ARtabletext"/>
    <w:uiPriority w:val="99"/>
    <w:qFormat/>
    <w:rsid w:val="004F7219"/>
    <w:rPr>
      <w:i/>
      <w:sz w:val="16"/>
    </w:rPr>
  </w:style>
  <w:style w:type="paragraph" w:customStyle="1" w:styleId="ARtablecolheadcentre">
    <w:name w:val="AR table col head centre"/>
    <w:basedOn w:val="ARtablecolheadright"/>
    <w:uiPriority w:val="98"/>
    <w:qFormat/>
    <w:rsid w:val="006073A1"/>
    <w:pPr>
      <w:jc w:val="center"/>
    </w:pPr>
  </w:style>
  <w:style w:type="paragraph" w:customStyle="1" w:styleId="ARtabletext">
    <w:name w:val="AR table text"/>
    <w:uiPriority w:val="99"/>
    <w:qFormat/>
    <w:rsid w:val="008F338D"/>
    <w:pPr>
      <w:spacing w:before="80" w:after="60"/>
    </w:pPr>
    <w:rPr>
      <w:rFonts w:ascii="Arial" w:eastAsia="Times" w:hAnsi="Arial" w:cs="Arial"/>
      <w:sz w:val="18"/>
      <w:szCs w:val="18"/>
    </w:rPr>
  </w:style>
  <w:style w:type="paragraph" w:customStyle="1" w:styleId="ARtablecaption">
    <w:name w:val="AR table caption"/>
    <w:uiPriority w:val="99"/>
    <w:qFormat/>
    <w:rsid w:val="00150431"/>
    <w:pPr>
      <w:keepNext/>
      <w:keepLines/>
      <w:spacing w:before="240"/>
    </w:pPr>
    <w:rPr>
      <w:rFonts w:ascii="Arial" w:hAnsi="Arial"/>
      <w:color w:val="004C97" w:themeColor="accent1"/>
      <w:szCs w:val="24"/>
      <w:lang w:eastAsia="en-US"/>
    </w:rPr>
  </w:style>
  <w:style w:type="paragraph" w:customStyle="1" w:styleId="ARbodyafterbullets">
    <w:name w:val="AR body after bullets"/>
    <w:basedOn w:val="ARbody"/>
    <w:uiPriority w:val="98"/>
    <w:qFormat/>
    <w:rsid w:val="00CE1155"/>
    <w:pPr>
      <w:spacing w:before="120"/>
    </w:pPr>
  </w:style>
  <w:style w:type="paragraph" w:styleId="Footer">
    <w:name w:val="footer"/>
    <w:link w:val="FooterChar"/>
    <w:uiPriority w:val="99"/>
    <w:rsid w:val="00AB7C33"/>
    <w:pPr>
      <w:tabs>
        <w:tab w:val="right" w:pos="9639"/>
      </w:tabs>
    </w:pPr>
    <w:rPr>
      <w:rFonts w:ascii="Arial" w:hAnsi="Arial"/>
      <w:sz w:val="18"/>
      <w:szCs w:val="18"/>
      <w:lang w:eastAsia="en-US"/>
    </w:rPr>
  </w:style>
  <w:style w:type="character" w:styleId="PageNumber">
    <w:name w:val="page number"/>
    <w:basedOn w:val="ARpagenumber"/>
    <w:uiPriority w:val="14"/>
    <w:rsid w:val="00EC7992"/>
    <w:rPr>
      <w:rFonts w:cs="Arial"/>
      <w:b/>
      <w:color w:val="53565A"/>
    </w:rPr>
  </w:style>
  <w:style w:type="paragraph" w:styleId="TOC1">
    <w:name w:val="toc 1"/>
    <w:uiPriority w:val="39"/>
    <w:qFormat/>
    <w:rsid w:val="00150431"/>
    <w:pPr>
      <w:pBdr>
        <w:bottom w:val="single" w:sz="4" w:space="3" w:color="004C97" w:themeColor="accent1"/>
        <w:between w:val="single" w:sz="4" w:space="1" w:color="004C97" w:themeColor="accent1"/>
      </w:pBdr>
      <w:tabs>
        <w:tab w:val="right" w:pos="9639"/>
      </w:tabs>
      <w:spacing w:before="120" w:after="40"/>
    </w:pPr>
    <w:rPr>
      <w:rFonts w:ascii="Arial" w:hAnsi="Arial"/>
      <w:noProof/>
      <w:u w:color="D50032"/>
      <w:lang w:eastAsia="en-US"/>
    </w:rPr>
  </w:style>
  <w:style w:type="paragraph" w:styleId="TOC2">
    <w:name w:val="toc 2"/>
    <w:basedOn w:val="TOC1"/>
    <w:uiPriority w:val="39"/>
    <w:qFormat/>
    <w:rsid w:val="00150431"/>
    <w:pPr>
      <w:ind w:left="284"/>
    </w:pPr>
    <w:rPr>
      <w:szCs w:val="24"/>
    </w:rPr>
  </w:style>
  <w:style w:type="paragraph" w:styleId="DocumentMap">
    <w:name w:val="Document Map"/>
    <w:basedOn w:val="Normal"/>
    <w:link w:val="DocumentMapChar"/>
    <w:uiPriority w:val="98"/>
    <w:semiHidden/>
    <w:rsid w:val="00FA6C6F"/>
    <w:rPr>
      <w:rFonts w:ascii="Lucida Grande" w:hAnsi="Lucida Grande"/>
      <w:lang w:val="x-none"/>
    </w:rPr>
  </w:style>
  <w:style w:type="character" w:customStyle="1" w:styleId="DocumentMapChar">
    <w:name w:val="Document Map Char"/>
    <w:link w:val="DocumentMap"/>
    <w:uiPriority w:val="98"/>
    <w:semiHidden/>
    <w:rsid w:val="00AF6C73"/>
    <w:rPr>
      <w:rFonts w:ascii="Lucida Grande" w:hAnsi="Lucida Grande" w:cs="Lucida Grande"/>
      <w:sz w:val="24"/>
      <w:szCs w:val="24"/>
      <w:lang w:eastAsia="en-US"/>
    </w:rPr>
  </w:style>
  <w:style w:type="paragraph" w:styleId="TOC3">
    <w:name w:val="toc 3"/>
    <w:basedOn w:val="TOC2"/>
    <w:uiPriority w:val="39"/>
    <w:semiHidden/>
    <w:qFormat/>
    <w:rsid w:val="00150431"/>
  </w:style>
  <w:style w:type="paragraph" w:customStyle="1" w:styleId="ARTOCheading">
    <w:name w:val="AR TOC heading"/>
    <w:basedOn w:val="Heading1"/>
    <w:next w:val="ARbody"/>
    <w:link w:val="ARTOCheadingChar"/>
    <w:uiPriority w:val="99"/>
    <w:qFormat/>
    <w:rsid w:val="00150431"/>
    <w:pPr>
      <w:outlineLvl w:val="9"/>
    </w:pPr>
    <w:rPr>
      <w:lang w:val="x-none" w:eastAsia="x-none"/>
    </w:rPr>
  </w:style>
  <w:style w:type="character" w:customStyle="1" w:styleId="ARTOCheadingChar">
    <w:name w:val="AR TOC heading Char"/>
    <w:link w:val="ARTOCheading"/>
    <w:uiPriority w:val="99"/>
    <w:rsid w:val="00150431"/>
    <w:rPr>
      <w:rFonts w:ascii="Arial" w:eastAsia="MS Gothic" w:hAnsi="Arial"/>
      <w:bCs/>
      <w:color w:val="004C97" w:themeColor="accent1"/>
      <w:kern w:val="32"/>
      <w:sz w:val="48"/>
      <w:szCs w:val="32"/>
      <w:lang w:val="x-none" w:eastAsia="x-none"/>
    </w:rPr>
  </w:style>
  <w:style w:type="paragraph" w:styleId="TOC4">
    <w:name w:val="toc 4"/>
    <w:basedOn w:val="TOC3"/>
    <w:uiPriority w:val="39"/>
    <w:semiHidden/>
    <w:rsid w:val="00150431"/>
    <w:pPr>
      <w:ind w:left="567"/>
    </w:pPr>
  </w:style>
  <w:style w:type="paragraph" w:styleId="TOC6">
    <w:name w:val="toc 6"/>
    <w:basedOn w:val="Normal"/>
    <w:next w:val="Normal"/>
    <w:autoRedefine/>
    <w:uiPriority w:val="39"/>
    <w:semiHidden/>
    <w:rsid w:val="008D0650"/>
    <w:pPr>
      <w:ind w:left="1000"/>
    </w:pPr>
  </w:style>
  <w:style w:type="paragraph" w:styleId="TOC7">
    <w:name w:val="toc 7"/>
    <w:basedOn w:val="Normal"/>
    <w:next w:val="Normal"/>
    <w:autoRedefine/>
    <w:uiPriority w:val="39"/>
    <w:semiHidden/>
    <w:rsid w:val="008D0650"/>
    <w:pPr>
      <w:ind w:left="1200"/>
    </w:pPr>
  </w:style>
  <w:style w:type="paragraph" w:styleId="TOC8">
    <w:name w:val="toc 8"/>
    <w:basedOn w:val="Normal"/>
    <w:next w:val="Normal"/>
    <w:autoRedefine/>
    <w:uiPriority w:val="39"/>
    <w:semiHidden/>
    <w:rsid w:val="008D0650"/>
    <w:pPr>
      <w:ind w:left="1400"/>
    </w:pPr>
  </w:style>
  <w:style w:type="paragraph" w:styleId="TOC9">
    <w:name w:val="toc 9"/>
    <w:basedOn w:val="Normal"/>
    <w:next w:val="Normal"/>
    <w:autoRedefine/>
    <w:uiPriority w:val="39"/>
    <w:semiHidden/>
    <w:rsid w:val="008D0650"/>
    <w:pPr>
      <w:ind w:left="1600"/>
    </w:pPr>
  </w:style>
  <w:style w:type="paragraph" w:customStyle="1" w:styleId="ARbullet1">
    <w:name w:val="AR bullet 1"/>
    <w:basedOn w:val="ARbody"/>
    <w:uiPriority w:val="99"/>
    <w:qFormat/>
    <w:rsid w:val="0099241F"/>
    <w:pPr>
      <w:numPr>
        <w:numId w:val="22"/>
      </w:numPr>
      <w:spacing w:after="40"/>
    </w:pPr>
  </w:style>
  <w:style w:type="table" w:styleId="TableGrid">
    <w:name w:val="Table Grid"/>
    <w:basedOn w:val="TableNormal"/>
    <w:uiPriority w:val="59"/>
    <w:rsid w:val="007E0961"/>
    <w:tblPr>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Pr>
    <w:trPr>
      <w:cantSplit/>
    </w:trPr>
    <w:tblStylePr w:type="firstRow">
      <w:tblPr/>
      <w:tcPr>
        <w:vAlign w:val="bottom"/>
      </w:tcPr>
    </w:tblStylePr>
  </w:style>
  <w:style w:type="paragraph" w:customStyle="1" w:styleId="ARtablefootnotebullet">
    <w:name w:val="AR table footnote bullet"/>
    <w:basedOn w:val="ARtablefootnote"/>
    <w:link w:val="ARtablefootnotebulletChar"/>
    <w:uiPriority w:val="99"/>
    <w:qFormat/>
    <w:rsid w:val="001C2F9D"/>
    <w:pPr>
      <w:numPr>
        <w:numId w:val="9"/>
      </w:numPr>
      <w:ind w:left="284" w:hanging="284"/>
    </w:pPr>
  </w:style>
  <w:style w:type="character" w:styleId="EndnoteReference">
    <w:name w:val="endnote reference"/>
    <w:uiPriority w:val="99"/>
    <w:semiHidden/>
    <w:rsid w:val="00D96F2A"/>
    <w:rPr>
      <w:vertAlign w:val="superscript"/>
    </w:rPr>
  </w:style>
  <w:style w:type="paragraph" w:customStyle="1" w:styleId="ARtablecolhead">
    <w:name w:val="AR table col head"/>
    <w:uiPriority w:val="99"/>
    <w:qFormat/>
    <w:rsid w:val="009A4448"/>
    <w:pPr>
      <w:spacing w:before="80" w:after="60" w:line="216" w:lineRule="auto"/>
    </w:pPr>
    <w:rPr>
      <w:rFonts w:ascii="Arial" w:eastAsia="Times" w:hAnsi="Arial" w:cs="Arial"/>
      <w:b/>
      <w:sz w:val="18"/>
      <w:szCs w:val="18"/>
      <w:lang w:eastAsia="en-US"/>
    </w:rPr>
  </w:style>
  <w:style w:type="paragraph" w:customStyle="1" w:styleId="ARaccessibilitypara">
    <w:name w:val="AR accessibility para"/>
    <w:uiPriority w:val="99"/>
    <w:rsid w:val="003D2185"/>
    <w:pPr>
      <w:spacing w:after="200" w:line="300" w:lineRule="atLeast"/>
    </w:pPr>
    <w:rPr>
      <w:rFonts w:ascii="Arial" w:eastAsia="Times" w:hAnsi="Arial"/>
      <w:sz w:val="24"/>
      <w:szCs w:val="19"/>
      <w:lang w:eastAsia="en-US"/>
    </w:rPr>
  </w:style>
  <w:style w:type="paragraph" w:styleId="FootnoteText">
    <w:name w:val="footnote text"/>
    <w:basedOn w:val="ARbody"/>
    <w:link w:val="FootnoteTextChar"/>
    <w:uiPriority w:val="9"/>
    <w:rsid w:val="00C431A7"/>
    <w:pPr>
      <w:spacing w:before="80" w:after="80" w:line="240" w:lineRule="auto"/>
    </w:pPr>
    <w:rPr>
      <w:rFonts w:cs="Times New Roman"/>
      <w:sz w:val="16"/>
      <w:szCs w:val="18"/>
      <w:lang w:val="x-none"/>
    </w:rPr>
  </w:style>
  <w:style w:type="character" w:customStyle="1" w:styleId="FootnoteTextChar">
    <w:name w:val="Footnote Text Char"/>
    <w:link w:val="FootnoteText"/>
    <w:uiPriority w:val="9"/>
    <w:rsid w:val="00C431A7"/>
    <w:rPr>
      <w:rFonts w:ascii="Arial" w:eastAsia="Times" w:hAnsi="Arial"/>
      <w:sz w:val="16"/>
      <w:szCs w:val="18"/>
      <w:lang w:val="x-none" w:eastAsia="en-US"/>
    </w:rPr>
  </w:style>
  <w:style w:type="character" w:styleId="FootnoteReference">
    <w:name w:val="footnote reference"/>
    <w:uiPriority w:val="11"/>
    <w:rsid w:val="003F7523"/>
    <w:rPr>
      <w:vertAlign w:val="superscript"/>
    </w:rPr>
  </w:style>
  <w:style w:type="paragraph" w:customStyle="1" w:styleId="ARpublicationtitle">
    <w:name w:val="AR publication title"/>
    <w:link w:val="ARpublicationtitleChar"/>
    <w:uiPriority w:val="99"/>
    <w:qFormat/>
    <w:rsid w:val="00BE6809"/>
    <w:pPr>
      <w:spacing w:before="240" w:after="200"/>
      <w:jc w:val="both"/>
    </w:pPr>
    <w:rPr>
      <w:rFonts w:ascii="Arial" w:eastAsia="MS Mincho" w:hAnsi="Arial"/>
      <w:b/>
      <w:bCs/>
      <w:color w:val="FFFFFF" w:themeColor="background1"/>
      <w:sz w:val="50"/>
      <w:szCs w:val="50"/>
      <w:lang w:eastAsia="en-US"/>
    </w:rPr>
  </w:style>
  <w:style w:type="character" w:customStyle="1" w:styleId="ARpublicationtitleChar">
    <w:name w:val="AR publication title Char"/>
    <w:link w:val="ARpublicationtitle"/>
    <w:uiPriority w:val="99"/>
    <w:rsid w:val="00BE6809"/>
    <w:rPr>
      <w:rFonts w:ascii="Arial" w:eastAsia="MS Mincho" w:hAnsi="Arial"/>
      <w:b/>
      <w:bCs/>
      <w:color w:val="FFFFFF" w:themeColor="background1"/>
      <w:sz w:val="50"/>
      <w:szCs w:val="50"/>
      <w:lang w:eastAsia="en-US"/>
    </w:rPr>
  </w:style>
  <w:style w:type="paragraph" w:customStyle="1" w:styleId="ARbodynospace">
    <w:name w:val="AR body no space"/>
    <w:basedOn w:val="ARbody"/>
    <w:uiPriority w:val="3"/>
    <w:qFormat/>
    <w:rsid w:val="006C0D6C"/>
    <w:pPr>
      <w:spacing w:after="0"/>
    </w:pPr>
  </w:style>
  <w:style w:type="paragraph" w:customStyle="1" w:styleId="ARbullet2">
    <w:name w:val="AR bullet 2"/>
    <w:basedOn w:val="ARbody"/>
    <w:uiPriority w:val="99"/>
    <w:qFormat/>
    <w:rsid w:val="00A5626C"/>
    <w:pPr>
      <w:numPr>
        <w:ilvl w:val="1"/>
        <w:numId w:val="22"/>
      </w:numPr>
      <w:spacing w:after="40" w:line="270" w:lineRule="atLeast"/>
    </w:pPr>
  </w:style>
  <w:style w:type="paragraph" w:styleId="NormalWeb">
    <w:name w:val="Normal (Web)"/>
    <w:basedOn w:val="Normal"/>
    <w:uiPriority w:val="99"/>
    <w:semiHidden/>
    <w:rsid w:val="00890455"/>
    <w:pPr>
      <w:spacing w:before="100" w:beforeAutospacing="1" w:after="100" w:afterAutospacing="1"/>
    </w:pPr>
    <w:rPr>
      <w:rFonts w:ascii="Times New Roman" w:hAnsi="Times New Roman"/>
    </w:rPr>
  </w:style>
  <w:style w:type="paragraph" w:customStyle="1" w:styleId="ARpublicationsubtitle">
    <w:name w:val="AR publication subtitle"/>
    <w:link w:val="ARpublicationsubtitleChar"/>
    <w:uiPriority w:val="99"/>
    <w:qFormat/>
    <w:rsid w:val="00BE6809"/>
    <w:rPr>
      <w:rFonts w:ascii="Arial" w:hAnsi="Arial"/>
      <w:bCs/>
      <w:color w:val="FFFFFF" w:themeColor="background1"/>
      <w:sz w:val="40"/>
      <w:szCs w:val="40"/>
      <w:lang w:eastAsia="en-US"/>
    </w:rPr>
  </w:style>
  <w:style w:type="character" w:customStyle="1" w:styleId="ARpublicationsubtitleChar">
    <w:name w:val="AR publication subtitle Char"/>
    <w:link w:val="ARpublicationsubtitle"/>
    <w:uiPriority w:val="99"/>
    <w:rsid w:val="00BE6809"/>
    <w:rPr>
      <w:rFonts w:ascii="Arial" w:hAnsi="Arial"/>
      <w:bCs/>
      <w:color w:val="FFFFFF" w:themeColor="background1"/>
      <w:sz w:val="40"/>
      <w:szCs w:val="40"/>
      <w:lang w:eastAsia="en-US"/>
    </w:rPr>
  </w:style>
  <w:style w:type="paragraph" w:styleId="Caption">
    <w:name w:val="caption"/>
    <w:basedOn w:val="Normal"/>
    <w:next w:val="Normal"/>
    <w:uiPriority w:val="98"/>
    <w:semiHidden/>
    <w:unhideWhenUsed/>
    <w:qFormat/>
    <w:rsid w:val="00266A2A"/>
    <w:pPr>
      <w:spacing w:line="240" w:lineRule="auto"/>
    </w:pPr>
    <w:rPr>
      <w:b/>
      <w:bCs/>
      <w:smallCaps/>
      <w:color w:val="595959" w:themeColor="text1" w:themeTint="A6"/>
      <w:spacing w:val="6"/>
    </w:rPr>
  </w:style>
  <w:style w:type="table" w:customStyle="1" w:styleId="Casestudy">
    <w:name w:val="Case study"/>
    <w:basedOn w:val="TableNormal"/>
    <w:rsid w:val="0057198F"/>
    <w:tblPr>
      <w:tblCellMar>
        <w:top w:w="170" w:type="dxa"/>
        <w:left w:w="170" w:type="dxa"/>
        <w:bottom w:w="57" w:type="dxa"/>
        <w:right w:w="170" w:type="dxa"/>
      </w:tblCellMar>
    </w:tblPr>
    <w:tcPr>
      <w:shd w:val="clear" w:color="auto" w:fill="CCDCEE" w:themeFill="accent3"/>
    </w:tcPr>
  </w:style>
  <w:style w:type="paragraph" w:customStyle="1" w:styleId="ARcasestudysubhead">
    <w:name w:val="AR case study subhead"/>
    <w:basedOn w:val="ARcasestudybody"/>
    <w:next w:val="Normal"/>
    <w:link w:val="ARcasestudysubheadChar"/>
    <w:uiPriority w:val="99"/>
    <w:rsid w:val="00AD05AA"/>
    <w:pPr>
      <w:spacing w:before="240"/>
    </w:pPr>
    <w:rPr>
      <w:b/>
      <w:bCs/>
    </w:rPr>
  </w:style>
  <w:style w:type="paragraph" w:customStyle="1" w:styleId="ARcasestudybanner">
    <w:name w:val="AR case study banner"/>
    <w:basedOn w:val="ARbodynospace"/>
    <w:uiPriority w:val="98"/>
    <w:qFormat/>
    <w:rsid w:val="003E2C23"/>
    <w:pPr>
      <w:keepNext/>
    </w:pPr>
  </w:style>
  <w:style w:type="character" w:customStyle="1" w:styleId="ARcasestudysubheadChar">
    <w:name w:val="AR case study subhead Char"/>
    <w:link w:val="ARcasestudysubhead"/>
    <w:uiPriority w:val="99"/>
    <w:rsid w:val="00AD05AA"/>
    <w:rPr>
      <w:rFonts w:ascii="Arial" w:eastAsia="Times" w:hAnsi="Arial" w:cs="Arial"/>
      <w:b/>
      <w:bCs/>
      <w:sz w:val="22"/>
      <w:szCs w:val="24"/>
      <w:lang w:eastAsia="en-US"/>
    </w:rPr>
  </w:style>
  <w:style w:type="paragraph" w:customStyle="1" w:styleId="ARtablebluebold">
    <w:name w:val="AR table blue bold"/>
    <w:basedOn w:val="ARtabletext"/>
    <w:uiPriority w:val="3"/>
    <w:qFormat/>
    <w:rsid w:val="00150431"/>
    <w:rPr>
      <w:b/>
      <w:color w:val="004C97" w:themeColor="accent1"/>
    </w:rPr>
  </w:style>
  <w:style w:type="paragraph" w:customStyle="1" w:styleId="ARtablenoteindent">
    <w:name w:val="AR table note indent"/>
    <w:link w:val="ARtablenoteindentChar"/>
    <w:uiPriority w:val="3"/>
    <w:qFormat/>
    <w:rsid w:val="008E731B"/>
    <w:pPr>
      <w:spacing w:after="80"/>
      <w:ind w:left="454"/>
    </w:pPr>
    <w:rPr>
      <w:rFonts w:ascii="Arial" w:eastAsia="Times" w:hAnsi="Arial"/>
      <w:iCs/>
      <w:sz w:val="16"/>
      <w:szCs w:val="18"/>
    </w:rPr>
  </w:style>
  <w:style w:type="character" w:customStyle="1" w:styleId="ARtablenoteindentChar">
    <w:name w:val="AR table note indent Char"/>
    <w:link w:val="ARtablenoteindent"/>
    <w:uiPriority w:val="3"/>
    <w:rsid w:val="008E731B"/>
    <w:rPr>
      <w:rFonts w:ascii="Arial" w:eastAsia="Times" w:hAnsi="Arial"/>
      <w:iCs/>
      <w:sz w:val="16"/>
      <w:szCs w:val="18"/>
    </w:rPr>
  </w:style>
  <w:style w:type="paragraph" w:customStyle="1" w:styleId="ARtablefootnote">
    <w:name w:val="AR table footnote"/>
    <w:uiPriority w:val="99"/>
    <w:qFormat/>
    <w:rsid w:val="008E731B"/>
    <w:pPr>
      <w:spacing w:before="80" w:after="60"/>
    </w:pPr>
    <w:rPr>
      <w:rFonts w:ascii="Arial" w:hAnsi="Arial"/>
      <w:sz w:val="16"/>
      <w:szCs w:val="16"/>
      <w:lang w:eastAsia="en-US"/>
    </w:rPr>
  </w:style>
  <w:style w:type="paragraph" w:customStyle="1" w:styleId="ARtabletextrightbold">
    <w:name w:val="AR table text right bold"/>
    <w:basedOn w:val="ARtabletextright"/>
    <w:uiPriority w:val="98"/>
    <w:qFormat/>
    <w:rsid w:val="006073A1"/>
    <w:rPr>
      <w:b/>
    </w:rPr>
  </w:style>
  <w:style w:type="paragraph" w:customStyle="1" w:styleId="ARtablefootnotenumbered">
    <w:name w:val="AR table footnote numbered"/>
    <w:basedOn w:val="ARtablefootnote"/>
    <w:link w:val="ARtablefootnotenumberedChar"/>
    <w:uiPriority w:val="99"/>
    <w:qFormat/>
    <w:rsid w:val="00E22CB2"/>
    <w:pPr>
      <w:numPr>
        <w:numId w:val="10"/>
      </w:numPr>
    </w:pPr>
  </w:style>
  <w:style w:type="numbering" w:customStyle="1" w:styleId="ZZBullets">
    <w:name w:val="ZZ Bullets"/>
    <w:rsid w:val="00A5626C"/>
    <w:pPr>
      <w:numPr>
        <w:numId w:val="22"/>
      </w:numPr>
    </w:pPr>
  </w:style>
  <w:style w:type="paragraph" w:customStyle="1" w:styleId="LightList-Accent311">
    <w:name w:val="Light List - Accent 311"/>
    <w:hidden/>
    <w:uiPriority w:val="99"/>
    <w:semiHidden/>
    <w:rsid w:val="00BE7FA1"/>
    <w:rPr>
      <w:rFonts w:ascii="Arial" w:hAnsi="Arial"/>
      <w:sz w:val="24"/>
      <w:szCs w:val="24"/>
      <w:lang w:eastAsia="en-US"/>
    </w:rPr>
  </w:style>
  <w:style w:type="paragraph" w:styleId="BalloonText">
    <w:name w:val="Balloon Text"/>
    <w:basedOn w:val="Normal"/>
    <w:link w:val="BalloonTextChar"/>
    <w:uiPriority w:val="98"/>
    <w:semiHidden/>
    <w:unhideWhenUsed/>
    <w:rsid w:val="0012051E"/>
    <w:rPr>
      <w:rFonts w:ascii="Tahoma" w:hAnsi="Tahoma"/>
      <w:sz w:val="16"/>
      <w:szCs w:val="16"/>
      <w:lang w:val="x-none"/>
    </w:rPr>
  </w:style>
  <w:style w:type="character" w:customStyle="1" w:styleId="BalloonTextChar">
    <w:name w:val="Balloon Text Char"/>
    <w:link w:val="BalloonText"/>
    <w:uiPriority w:val="98"/>
    <w:semiHidden/>
    <w:rsid w:val="0012051E"/>
    <w:rPr>
      <w:rFonts w:ascii="Tahoma" w:hAnsi="Tahoma" w:cs="Tahoma"/>
      <w:sz w:val="16"/>
      <w:szCs w:val="16"/>
      <w:lang w:eastAsia="en-US"/>
    </w:rPr>
  </w:style>
  <w:style w:type="character" w:styleId="FollowedHyperlink">
    <w:name w:val="FollowedHyperlink"/>
    <w:uiPriority w:val="99"/>
    <w:rsid w:val="00C264AE"/>
    <w:rPr>
      <w:color w:val="500778"/>
      <w:u w:val="dotted"/>
    </w:rPr>
  </w:style>
  <w:style w:type="character" w:styleId="CommentReference">
    <w:name w:val="annotation reference"/>
    <w:uiPriority w:val="99"/>
    <w:semiHidden/>
    <w:unhideWhenUsed/>
    <w:rsid w:val="005909CC"/>
    <w:rPr>
      <w:sz w:val="16"/>
      <w:szCs w:val="16"/>
    </w:rPr>
  </w:style>
  <w:style w:type="paragraph" w:styleId="CommentText">
    <w:name w:val="annotation text"/>
    <w:basedOn w:val="Normal"/>
    <w:link w:val="CommentTextChar"/>
    <w:uiPriority w:val="99"/>
    <w:semiHidden/>
    <w:rsid w:val="005909CC"/>
    <w:rPr>
      <w:lang w:val="x-none"/>
    </w:rPr>
  </w:style>
  <w:style w:type="character" w:customStyle="1" w:styleId="CommentTextChar">
    <w:name w:val="Comment Text Char"/>
    <w:link w:val="CommentText"/>
    <w:uiPriority w:val="99"/>
    <w:semiHidden/>
    <w:rsid w:val="00586EC6"/>
    <w:rPr>
      <w:lang w:val="x-none"/>
    </w:rPr>
  </w:style>
  <w:style w:type="paragraph" w:styleId="CommentSubject">
    <w:name w:val="annotation subject"/>
    <w:basedOn w:val="CommentText"/>
    <w:next w:val="CommentText"/>
    <w:link w:val="CommentSubjectChar"/>
    <w:uiPriority w:val="98"/>
    <w:semiHidden/>
    <w:unhideWhenUsed/>
    <w:rsid w:val="005909CC"/>
    <w:rPr>
      <w:b/>
      <w:bCs/>
    </w:rPr>
  </w:style>
  <w:style w:type="character" w:customStyle="1" w:styleId="CommentSubjectChar">
    <w:name w:val="Comment Subject Char"/>
    <w:link w:val="CommentSubject"/>
    <w:uiPriority w:val="98"/>
    <w:semiHidden/>
    <w:rsid w:val="005909CC"/>
    <w:rPr>
      <w:rFonts w:ascii="Arial" w:hAnsi="Arial"/>
      <w:b/>
      <w:bCs/>
      <w:lang w:eastAsia="en-US"/>
    </w:rPr>
  </w:style>
  <w:style w:type="paragraph" w:styleId="EndnoteText">
    <w:name w:val="endnote text"/>
    <w:basedOn w:val="Normal"/>
    <w:link w:val="EndnoteTextChar"/>
    <w:uiPriority w:val="98"/>
    <w:semiHidden/>
    <w:unhideWhenUsed/>
    <w:rsid w:val="008B612A"/>
    <w:rPr>
      <w:lang w:val="x-none"/>
    </w:rPr>
  </w:style>
  <w:style w:type="character" w:customStyle="1" w:styleId="EndnoteTextChar">
    <w:name w:val="Endnote Text Char"/>
    <w:link w:val="EndnoteText"/>
    <w:uiPriority w:val="98"/>
    <w:semiHidden/>
    <w:rsid w:val="008B612A"/>
    <w:rPr>
      <w:rFonts w:ascii="Arial" w:hAnsi="Arial"/>
      <w:lang w:eastAsia="en-US"/>
    </w:rPr>
  </w:style>
  <w:style w:type="character" w:customStyle="1" w:styleId="ARpagenumber">
    <w:name w:val="AR page number"/>
    <w:uiPriority w:val="11"/>
    <w:rsid w:val="008E4ECE"/>
    <w:rPr>
      <w:rFonts w:cs="Arial"/>
      <w:b/>
      <w:color w:val="53565A"/>
    </w:rPr>
  </w:style>
  <w:style w:type="paragraph" w:customStyle="1" w:styleId="ARbody">
    <w:name w:val="AR body"/>
    <w:uiPriority w:val="99"/>
    <w:qFormat/>
    <w:rsid w:val="00EB594E"/>
    <w:pPr>
      <w:spacing w:line="260" w:lineRule="atLeast"/>
    </w:pPr>
    <w:rPr>
      <w:rFonts w:ascii="Arial" w:eastAsia="Times" w:hAnsi="Arial" w:cs="Arial"/>
      <w:szCs w:val="24"/>
      <w:lang w:eastAsia="en-US"/>
    </w:rPr>
  </w:style>
  <w:style w:type="character" w:customStyle="1" w:styleId="Heading5Char">
    <w:name w:val="Heading 5 Char"/>
    <w:link w:val="Heading5"/>
    <w:uiPriority w:val="1"/>
    <w:rsid w:val="00A9725C"/>
    <w:rPr>
      <w:rFonts w:ascii="Arial" w:eastAsia="Times New Roman" w:hAnsi="Arial" w:cs="Times New Roman"/>
      <w:b/>
      <w:color w:val="004C97" w:themeColor="accent1"/>
      <w:sz w:val="22"/>
      <w:szCs w:val="24"/>
      <w:lang w:eastAsia="en-US"/>
    </w:rPr>
  </w:style>
  <w:style w:type="character" w:customStyle="1" w:styleId="Heading6Char">
    <w:name w:val="Heading 6 Char"/>
    <w:link w:val="Heading6"/>
    <w:uiPriority w:val="1"/>
    <w:rsid w:val="00D44F46"/>
    <w:rPr>
      <w:rFonts w:ascii="Arial" w:eastAsia="Times New Roman" w:hAnsi="Arial" w:cs="Times New Roman"/>
      <w:b/>
      <w:bCs/>
      <w:szCs w:val="24"/>
      <w:lang w:val="x-none" w:eastAsia="en-US"/>
    </w:rPr>
  </w:style>
  <w:style w:type="character" w:customStyle="1" w:styleId="Heading7Char">
    <w:name w:val="Heading 7 Char"/>
    <w:basedOn w:val="DefaultParagraphFont"/>
    <w:link w:val="Heading7"/>
    <w:uiPriority w:val="1"/>
    <w:rsid w:val="00EC52E8"/>
    <w:rPr>
      <w:rFonts w:ascii="Arial" w:eastAsiaTheme="majorEastAsia" w:hAnsi="Arial" w:cstheme="majorBidi"/>
      <w:b/>
      <w:iCs/>
      <w:color w:val="53565A"/>
      <w:szCs w:val="21"/>
    </w:rPr>
  </w:style>
  <w:style w:type="character" w:customStyle="1" w:styleId="FooterChar">
    <w:name w:val="Footer Char"/>
    <w:link w:val="Footer"/>
    <w:uiPriority w:val="99"/>
    <w:rsid w:val="00DB2BA2"/>
    <w:rPr>
      <w:rFonts w:ascii="Arial" w:hAnsi="Arial"/>
      <w:sz w:val="18"/>
      <w:szCs w:val="18"/>
      <w:lang w:eastAsia="en-US" w:bidi="ar-SA"/>
    </w:rPr>
  </w:style>
  <w:style w:type="paragraph" w:customStyle="1" w:styleId="ARbodyaftertable">
    <w:name w:val="AR body after table"/>
    <w:basedOn w:val="ARbody"/>
    <w:uiPriority w:val="99"/>
    <w:qFormat/>
    <w:rsid w:val="00CD1FAC"/>
    <w:pPr>
      <w:spacing w:before="240"/>
    </w:pPr>
  </w:style>
  <w:style w:type="paragraph" w:customStyle="1" w:styleId="ARtabletextright">
    <w:name w:val="AR table text right"/>
    <w:basedOn w:val="ARtabletext"/>
    <w:uiPriority w:val="99"/>
    <w:qFormat/>
    <w:rsid w:val="006864A7"/>
    <w:pPr>
      <w:jc w:val="right"/>
    </w:pPr>
  </w:style>
  <w:style w:type="paragraph" w:customStyle="1" w:styleId="ARtablecolheadright">
    <w:name w:val="AR table col head right"/>
    <w:basedOn w:val="ARtablecolhead"/>
    <w:uiPriority w:val="99"/>
    <w:qFormat/>
    <w:rsid w:val="00AC698A"/>
    <w:pPr>
      <w:jc w:val="right"/>
    </w:pPr>
  </w:style>
  <w:style w:type="paragraph" w:customStyle="1" w:styleId="ARtabletextbold">
    <w:name w:val="AR table text bold"/>
    <w:basedOn w:val="ARtabletext"/>
    <w:uiPriority w:val="3"/>
    <w:qFormat/>
    <w:rsid w:val="001F2C09"/>
    <w:rPr>
      <w:b/>
    </w:rPr>
  </w:style>
  <w:style w:type="paragraph" w:customStyle="1" w:styleId="ARtableperformancesymbol">
    <w:name w:val="AR table performance symbol"/>
    <w:basedOn w:val="Normal"/>
    <w:link w:val="ARtableperformancesymbolChar"/>
    <w:uiPriority w:val="99"/>
    <w:qFormat/>
    <w:rsid w:val="00DB2BA2"/>
    <w:pPr>
      <w:spacing w:before="80"/>
      <w:jc w:val="center"/>
    </w:pPr>
    <w:rPr>
      <w:rFonts w:ascii="Wingdings" w:hAnsi="Wingdings"/>
      <w:sz w:val="18"/>
      <w:szCs w:val="18"/>
      <w:lang w:val="x-none" w:eastAsia="x-none"/>
    </w:rPr>
  </w:style>
  <w:style w:type="character" w:customStyle="1" w:styleId="ARtableperformancesymbolChar">
    <w:name w:val="AR table performance symbol Char"/>
    <w:link w:val="ARtableperformancesymbol"/>
    <w:uiPriority w:val="99"/>
    <w:rsid w:val="00DB2BA2"/>
    <w:rPr>
      <w:rFonts w:ascii="Wingdings" w:hAnsi="Wingdings"/>
      <w:sz w:val="18"/>
      <w:szCs w:val="18"/>
    </w:rPr>
  </w:style>
  <w:style w:type="paragraph" w:styleId="Title">
    <w:name w:val="Title"/>
    <w:basedOn w:val="Normal"/>
    <w:next w:val="Normal"/>
    <w:link w:val="TitleChar"/>
    <w:uiPriority w:val="98"/>
    <w:semiHidden/>
    <w:qFormat/>
    <w:rsid w:val="00266A2A"/>
    <w:pPr>
      <w:spacing w:after="0" w:line="240" w:lineRule="auto"/>
      <w:contextualSpacing/>
    </w:pPr>
    <w:rPr>
      <w:rFonts w:asciiTheme="majorHAnsi" w:eastAsiaTheme="majorEastAsia" w:hAnsiTheme="majorHAnsi" w:cstheme="majorBidi"/>
      <w:color w:val="004C97" w:themeColor="accent1"/>
      <w:spacing w:val="-10"/>
      <w:sz w:val="56"/>
      <w:szCs w:val="56"/>
    </w:rPr>
  </w:style>
  <w:style w:type="character" w:customStyle="1" w:styleId="TitleChar">
    <w:name w:val="Title Char"/>
    <w:basedOn w:val="DefaultParagraphFont"/>
    <w:link w:val="Title"/>
    <w:uiPriority w:val="98"/>
    <w:semiHidden/>
    <w:rsid w:val="00586EC6"/>
    <w:rPr>
      <w:rFonts w:asciiTheme="majorHAnsi" w:eastAsiaTheme="majorEastAsia" w:hAnsiTheme="majorHAnsi" w:cstheme="majorBidi"/>
      <w:color w:val="004C97" w:themeColor="accent1"/>
      <w:spacing w:val="-10"/>
      <w:sz w:val="56"/>
      <w:szCs w:val="56"/>
    </w:rPr>
  </w:style>
  <w:style w:type="paragraph" w:customStyle="1" w:styleId="MediumList2-Accent21">
    <w:name w:val="Medium List 2 - Accent 21"/>
    <w:hidden/>
    <w:uiPriority w:val="99"/>
    <w:semiHidden/>
    <w:rsid w:val="004329ED"/>
    <w:rPr>
      <w:rFonts w:ascii="Arial" w:hAnsi="Arial"/>
      <w:sz w:val="24"/>
      <w:szCs w:val="24"/>
      <w:lang w:eastAsia="en-US"/>
    </w:rPr>
  </w:style>
  <w:style w:type="character" w:styleId="Strong">
    <w:name w:val="Strong"/>
    <w:basedOn w:val="DefaultParagraphFont"/>
    <w:uiPriority w:val="98"/>
    <w:qFormat/>
    <w:rsid w:val="00266A2A"/>
    <w:rPr>
      <w:b/>
      <w:bCs/>
    </w:rPr>
  </w:style>
  <w:style w:type="character" w:styleId="Emphasis">
    <w:name w:val="Emphasis"/>
    <w:basedOn w:val="DefaultParagraphFont"/>
    <w:uiPriority w:val="20"/>
    <w:qFormat/>
    <w:rsid w:val="00266A2A"/>
    <w:rPr>
      <w:i/>
      <w:iCs/>
    </w:rPr>
  </w:style>
  <w:style w:type="paragraph" w:styleId="ListNumber">
    <w:name w:val="List Number"/>
    <w:basedOn w:val="Normal"/>
    <w:uiPriority w:val="98"/>
    <w:semiHidden/>
    <w:rsid w:val="00495C81"/>
    <w:pPr>
      <w:ind w:left="720" w:hanging="720"/>
    </w:pPr>
    <w:rPr>
      <w:rFonts w:ascii="Verdana" w:hAnsi="Verdana"/>
    </w:rPr>
  </w:style>
  <w:style w:type="table" w:customStyle="1" w:styleId="TableGrid1">
    <w:name w:val="Table Grid1"/>
    <w:basedOn w:val="TableNormal"/>
    <w:next w:val="TableGrid"/>
    <w:uiPriority w:val="99"/>
    <w:rsid w:val="00D40C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2-Accent22">
    <w:name w:val="Medium List 2 - Accent 22"/>
    <w:hidden/>
    <w:uiPriority w:val="71"/>
    <w:unhideWhenUsed/>
    <w:rsid w:val="00B11073"/>
    <w:rPr>
      <w:rFonts w:ascii="Arial" w:hAnsi="Arial"/>
      <w:sz w:val="24"/>
      <w:szCs w:val="24"/>
      <w:lang w:eastAsia="en-US"/>
    </w:rPr>
  </w:style>
  <w:style w:type="paragraph" w:customStyle="1" w:styleId="ColorfulShading-Accent11">
    <w:name w:val="Colorful Shading - Accent 11"/>
    <w:hidden/>
    <w:uiPriority w:val="99"/>
    <w:unhideWhenUsed/>
    <w:rsid w:val="004333E8"/>
    <w:rPr>
      <w:rFonts w:ascii="Arial" w:hAnsi="Arial"/>
      <w:sz w:val="24"/>
      <w:szCs w:val="24"/>
      <w:lang w:eastAsia="en-US"/>
    </w:rPr>
  </w:style>
  <w:style w:type="numbering" w:customStyle="1" w:styleId="NoList1">
    <w:name w:val="No List1"/>
    <w:next w:val="NoList"/>
    <w:uiPriority w:val="99"/>
    <w:semiHidden/>
    <w:unhideWhenUsed/>
    <w:rsid w:val="00F93382"/>
  </w:style>
  <w:style w:type="paragraph" w:styleId="Revision">
    <w:name w:val="Revision"/>
    <w:hidden/>
    <w:uiPriority w:val="62"/>
    <w:rsid w:val="00F93382"/>
    <w:rPr>
      <w:rFonts w:ascii="Arial" w:hAnsi="Arial"/>
      <w:lang w:eastAsia="en-US"/>
    </w:rPr>
  </w:style>
  <w:style w:type="numbering" w:customStyle="1" w:styleId="NoList2">
    <w:name w:val="No List2"/>
    <w:next w:val="NoList"/>
    <w:uiPriority w:val="99"/>
    <w:semiHidden/>
    <w:unhideWhenUsed/>
    <w:rsid w:val="00E76AFD"/>
  </w:style>
  <w:style w:type="numbering" w:customStyle="1" w:styleId="NoList3">
    <w:name w:val="No List3"/>
    <w:next w:val="NoList"/>
    <w:uiPriority w:val="99"/>
    <w:semiHidden/>
    <w:unhideWhenUsed/>
    <w:rsid w:val="00D02A2E"/>
  </w:style>
  <w:style w:type="character" w:customStyle="1" w:styleId="Heading8Char">
    <w:name w:val="Heading 8 Char"/>
    <w:basedOn w:val="DefaultParagraphFont"/>
    <w:link w:val="Heading8"/>
    <w:uiPriority w:val="1"/>
    <w:semiHidden/>
    <w:rsid w:val="00EC52E8"/>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1"/>
    <w:semiHidden/>
    <w:rsid w:val="00EC52E8"/>
    <w:rPr>
      <w:rFonts w:asciiTheme="majorHAnsi" w:eastAsiaTheme="majorEastAsia" w:hAnsiTheme="majorHAnsi" w:cstheme="majorBidi"/>
      <w:b/>
      <w:bCs/>
      <w:i/>
      <w:iCs/>
      <w:color w:val="000000" w:themeColor="text2"/>
    </w:rPr>
  </w:style>
  <w:style w:type="table" w:customStyle="1" w:styleId="DTFTable">
    <w:name w:val="DTF Table"/>
    <w:basedOn w:val="TableNormal"/>
    <w:uiPriority w:val="99"/>
    <w:rsid w:val="0093192F"/>
    <w:pPr>
      <w:spacing w:before="20" w:after="20"/>
      <w:jc w:val="right"/>
    </w:pPr>
    <w:rPr>
      <w:rFonts w:asciiTheme="majorHAnsi" w:eastAsiaTheme="minorHAnsi" w:hAnsiTheme="majorHAnsi"/>
      <w:sz w:val="17"/>
      <w:szCs w:val="22"/>
      <w:lang w:eastAsia="en-US"/>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FFFFFF" w:themeFill="background2"/>
      </w:tcPr>
    </w:tblStylePr>
    <w:tblStylePr w:type="band1Horz">
      <w:tblPr/>
      <w:tcPr>
        <w:shd w:val="clear" w:color="auto" w:fill="FFFFFF" w:themeFill="background2"/>
      </w:tcPr>
    </w:tblStylePr>
    <w:tblStylePr w:type="band2Horz">
      <w:tblPr/>
      <w:tcPr>
        <w:shd w:val="clear" w:color="auto" w:fill="FFFFFF" w:themeFill="background1"/>
      </w:tcPr>
    </w:tblStylePr>
  </w:style>
  <w:style w:type="numbering" w:customStyle="1" w:styleId="Bullet">
    <w:name w:val="Bullet"/>
    <w:uiPriority w:val="99"/>
    <w:rsid w:val="00AF0C83"/>
    <w:pPr>
      <w:numPr>
        <w:numId w:val="2"/>
      </w:numPr>
    </w:pPr>
  </w:style>
  <w:style w:type="paragraph" w:styleId="ListBullet2">
    <w:name w:val="List Bullet 2"/>
    <w:basedOn w:val="ListBullet"/>
    <w:uiPriority w:val="98"/>
    <w:semiHidden/>
    <w:rsid w:val="0093192F"/>
    <w:pPr>
      <w:numPr>
        <w:ilvl w:val="1"/>
      </w:numPr>
      <w:tabs>
        <w:tab w:val="num" w:pos="360"/>
      </w:tabs>
    </w:pPr>
  </w:style>
  <w:style w:type="paragraph" w:styleId="ListBullet">
    <w:name w:val="List Bullet"/>
    <w:basedOn w:val="Normal"/>
    <w:link w:val="ListBulletChar"/>
    <w:uiPriority w:val="98"/>
    <w:semiHidden/>
    <w:qFormat/>
    <w:rsid w:val="00AF0C83"/>
    <w:pPr>
      <w:keepLines/>
      <w:numPr>
        <w:numId w:val="2"/>
      </w:numPr>
      <w:spacing w:before="60"/>
      <w:contextualSpacing/>
    </w:pPr>
    <w:rPr>
      <w:rFonts w:eastAsiaTheme="minorHAnsi"/>
      <w:spacing w:val="2"/>
      <w:sz w:val="18"/>
      <w:szCs w:val="18"/>
    </w:rPr>
  </w:style>
  <w:style w:type="paragraph" w:styleId="ListBullet3">
    <w:name w:val="List Bullet 3"/>
    <w:basedOn w:val="ListBullet2"/>
    <w:uiPriority w:val="19"/>
    <w:semiHidden/>
    <w:rsid w:val="0093192F"/>
    <w:pPr>
      <w:numPr>
        <w:ilvl w:val="2"/>
      </w:numPr>
      <w:tabs>
        <w:tab w:val="num" w:pos="360"/>
      </w:tabs>
    </w:pPr>
  </w:style>
  <w:style w:type="character" w:customStyle="1" w:styleId="ListBulletChar">
    <w:name w:val="List Bullet Char"/>
    <w:basedOn w:val="DefaultParagraphFont"/>
    <w:link w:val="ListBullet"/>
    <w:uiPriority w:val="98"/>
    <w:semiHidden/>
    <w:rsid w:val="00EC52E8"/>
    <w:rPr>
      <w:rFonts w:eastAsiaTheme="minorHAnsi"/>
      <w:spacing w:val="2"/>
      <w:sz w:val="18"/>
      <w:szCs w:val="18"/>
    </w:rPr>
  </w:style>
  <w:style w:type="paragraph" w:styleId="NoSpacing">
    <w:name w:val="No Spacing"/>
    <w:uiPriority w:val="98"/>
    <w:semiHidden/>
    <w:qFormat/>
    <w:rsid w:val="00266A2A"/>
    <w:pPr>
      <w:spacing w:after="0" w:line="240" w:lineRule="auto"/>
    </w:pPr>
  </w:style>
  <w:style w:type="table" w:styleId="LightList">
    <w:name w:val="Light List"/>
    <w:basedOn w:val="TableNormal"/>
    <w:uiPriority w:val="61"/>
    <w:rsid w:val="0093192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Rfootnotebullet">
    <w:name w:val="AR footnote bullet"/>
    <w:basedOn w:val="Normal"/>
    <w:link w:val="ARfootnotebulletChar"/>
    <w:qFormat/>
    <w:rsid w:val="0093192F"/>
    <w:pPr>
      <w:spacing w:after="60" w:line="200" w:lineRule="atLeast"/>
      <w:ind w:left="720" w:hanging="360"/>
    </w:pPr>
    <w:rPr>
      <w:color w:val="000000"/>
      <w:sz w:val="16"/>
    </w:rPr>
  </w:style>
  <w:style w:type="numbering" w:customStyle="1" w:styleId="ZZLoweralphainfintables">
    <w:name w:val="ZZ Lower alpha in fin tables"/>
    <w:rsid w:val="008A3D22"/>
    <w:pPr>
      <w:numPr>
        <w:numId w:val="3"/>
      </w:numPr>
    </w:pPr>
  </w:style>
  <w:style w:type="paragraph" w:styleId="TableofFigures">
    <w:name w:val="table of figures"/>
    <w:basedOn w:val="Normal"/>
    <w:next w:val="Normal"/>
    <w:uiPriority w:val="98"/>
    <w:semiHidden/>
    <w:rsid w:val="0093192F"/>
    <w:pPr>
      <w:jc w:val="right"/>
    </w:pPr>
    <w:rPr>
      <w:rFonts w:ascii="AvantGarde Bk BT" w:hAnsi="AvantGarde Bk BT"/>
      <w:sz w:val="18"/>
      <w:szCs w:val="18"/>
    </w:rPr>
  </w:style>
  <w:style w:type="paragraph" w:styleId="Index1">
    <w:name w:val="index 1"/>
    <w:basedOn w:val="Normal"/>
    <w:next w:val="Normal"/>
    <w:autoRedefine/>
    <w:uiPriority w:val="98"/>
    <w:semiHidden/>
    <w:rsid w:val="0093192F"/>
    <w:pPr>
      <w:ind w:left="180" w:hanging="180"/>
    </w:pPr>
    <w:rPr>
      <w:rFonts w:ascii="Times New Roman" w:hAnsi="Times New Roman"/>
      <w:b/>
      <w:sz w:val="18"/>
      <w:szCs w:val="18"/>
    </w:rPr>
  </w:style>
  <w:style w:type="paragraph" w:styleId="PlainText">
    <w:name w:val="Plain Text"/>
    <w:basedOn w:val="Normal"/>
    <w:link w:val="PlainTextChar"/>
    <w:uiPriority w:val="98"/>
    <w:semiHidden/>
    <w:rsid w:val="0093192F"/>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8"/>
    <w:semiHidden/>
    <w:rsid w:val="0093192F"/>
    <w:rPr>
      <w:rFonts w:ascii="Consolas" w:eastAsia="Calibri" w:hAnsi="Consolas"/>
      <w:sz w:val="21"/>
      <w:szCs w:val="21"/>
      <w:lang w:val="x-none" w:eastAsia="x-none"/>
    </w:rPr>
  </w:style>
  <w:style w:type="paragraph" w:customStyle="1" w:styleId="ColorfulShading-Accent12">
    <w:name w:val="Colorful Shading - Accent 12"/>
    <w:hidden/>
    <w:uiPriority w:val="99"/>
    <w:semiHidden/>
    <w:rsid w:val="0093192F"/>
    <w:rPr>
      <w:rFonts w:ascii="Verdana" w:hAnsi="Verdana"/>
      <w:lang w:eastAsia="en-US"/>
    </w:rPr>
  </w:style>
  <w:style w:type="character" w:customStyle="1" w:styleId="ARfootnotebulletChar">
    <w:name w:val="AR footnote bullet Char"/>
    <w:link w:val="ARfootnotebullet"/>
    <w:rsid w:val="0093192F"/>
    <w:rPr>
      <w:rFonts w:ascii="Arial" w:hAnsi="Arial"/>
      <w:color w:val="000000"/>
      <w:sz w:val="16"/>
      <w:szCs w:val="24"/>
      <w:lang w:eastAsia="en-US"/>
    </w:rPr>
  </w:style>
  <w:style w:type="paragraph" w:customStyle="1" w:styleId="Tableinline">
    <w:name w:val="Table inline"/>
    <w:basedOn w:val="Normal"/>
    <w:uiPriority w:val="99"/>
    <w:semiHidden/>
    <w:rsid w:val="0093192F"/>
    <w:pPr>
      <w:spacing w:line="270" w:lineRule="atLeast"/>
    </w:pPr>
    <w:rPr>
      <w:rFonts w:eastAsia="Times" w:cs="Arial"/>
    </w:rPr>
  </w:style>
  <w:style w:type="character" w:customStyle="1" w:styleId="ARtablefootnotebulletChar">
    <w:name w:val="AR table footnote bullet Char"/>
    <w:link w:val="ARtablefootnotebullet"/>
    <w:uiPriority w:val="99"/>
    <w:rsid w:val="001C2F9D"/>
    <w:rPr>
      <w:rFonts w:ascii="Arial" w:hAnsi="Arial"/>
      <w:sz w:val="16"/>
      <w:szCs w:val="16"/>
      <w:lang w:eastAsia="en-US"/>
    </w:rPr>
  </w:style>
  <w:style w:type="character" w:customStyle="1" w:styleId="Superscript">
    <w:name w:val="Superscript"/>
    <w:uiPriority w:val="99"/>
    <w:rsid w:val="0093192F"/>
    <w:rPr>
      <w:vertAlign w:val="superscript"/>
    </w:rPr>
  </w:style>
  <w:style w:type="numbering" w:customStyle="1" w:styleId="ZZFinbullets">
    <w:name w:val="ZZ Fin bullets"/>
    <w:basedOn w:val="NoList"/>
    <w:rsid w:val="008A3D22"/>
    <w:pPr>
      <w:numPr>
        <w:numId w:val="4"/>
      </w:numPr>
    </w:pPr>
  </w:style>
  <w:style w:type="paragraph" w:customStyle="1" w:styleId="ARbulletafternumbers1">
    <w:name w:val="AR bullet after numbers 1"/>
    <w:basedOn w:val="Normal"/>
    <w:uiPriority w:val="4"/>
    <w:rsid w:val="008A3D22"/>
    <w:pPr>
      <w:numPr>
        <w:ilvl w:val="2"/>
        <w:numId w:val="5"/>
      </w:numPr>
      <w:spacing w:after="40" w:line="270" w:lineRule="atLeast"/>
    </w:pPr>
    <w:rPr>
      <w:rFonts w:eastAsia="Times"/>
    </w:rPr>
  </w:style>
  <w:style w:type="paragraph" w:customStyle="1" w:styleId="ARbulletafternumbers2">
    <w:name w:val="AR bullet after numbers 2"/>
    <w:basedOn w:val="Normal"/>
    <w:uiPriority w:val="99"/>
    <w:rsid w:val="008A3D22"/>
    <w:pPr>
      <w:numPr>
        <w:ilvl w:val="3"/>
        <w:numId w:val="5"/>
      </w:numPr>
      <w:spacing w:after="40" w:line="270" w:lineRule="atLeast"/>
    </w:pPr>
    <w:rPr>
      <w:rFonts w:eastAsia="Times"/>
    </w:rPr>
  </w:style>
  <w:style w:type="paragraph" w:customStyle="1" w:styleId="ARnumberdigit">
    <w:name w:val="AR number digit"/>
    <w:basedOn w:val="Normal"/>
    <w:uiPriority w:val="2"/>
    <w:rsid w:val="002877A5"/>
    <w:pPr>
      <w:numPr>
        <w:numId w:val="5"/>
      </w:numPr>
      <w:spacing w:after="60" w:line="270" w:lineRule="atLeast"/>
    </w:pPr>
    <w:rPr>
      <w:rFonts w:eastAsia="Times"/>
    </w:rPr>
  </w:style>
  <w:style w:type="paragraph" w:customStyle="1" w:styleId="ARnumberdigitindent">
    <w:name w:val="AR number digit indent"/>
    <w:basedOn w:val="Normal"/>
    <w:uiPriority w:val="3"/>
    <w:rsid w:val="004722B7"/>
    <w:pPr>
      <w:numPr>
        <w:ilvl w:val="1"/>
        <w:numId w:val="5"/>
      </w:numPr>
      <w:spacing w:line="270" w:lineRule="atLeast"/>
    </w:pPr>
    <w:rPr>
      <w:rFonts w:eastAsia="Times"/>
    </w:rPr>
  </w:style>
  <w:style w:type="numbering" w:customStyle="1" w:styleId="ZZNumbersdigit">
    <w:name w:val="ZZ Numbers digit"/>
    <w:rsid w:val="008A3D22"/>
    <w:pPr>
      <w:numPr>
        <w:numId w:val="5"/>
      </w:numPr>
    </w:pPr>
  </w:style>
  <w:style w:type="table" w:customStyle="1" w:styleId="Healthtablenoverticals">
    <w:name w:val="Health table no verticals"/>
    <w:basedOn w:val="TableNormal"/>
    <w:uiPriority w:val="99"/>
    <w:rsid w:val="0093192F"/>
    <w:tblPr>
      <w:tblInd w:w="57" w:type="dxa"/>
      <w:tblBorders>
        <w:top w:val="single" w:sz="6" w:space="0" w:color="FFFFFF"/>
        <w:bottom w:val="single" w:sz="6" w:space="0" w:color="FFFFFF"/>
        <w:insideH w:val="single" w:sz="6" w:space="0" w:color="FFFFFF"/>
      </w:tblBorders>
      <w:tblCellMar>
        <w:left w:w="57" w:type="dxa"/>
        <w:right w:w="57" w:type="dxa"/>
      </w:tblCellMar>
    </w:tblPr>
    <w:trPr>
      <w:cantSplit/>
    </w:trPr>
    <w:tcPr>
      <w:shd w:val="clear" w:color="auto" w:fill="E6E6E6"/>
    </w:tcPr>
    <w:tblStylePr w:type="firstRow">
      <w:rPr>
        <w:rFonts w:cs="Times New Roman"/>
      </w:rPr>
      <w:tblPr/>
      <w:trPr>
        <w:cantSplit/>
        <w:tblHeader/>
      </w:trPr>
      <w:tcPr>
        <w:tcBorders>
          <w:right w:val="nil"/>
        </w:tcBorders>
        <w:shd w:val="clear" w:color="auto" w:fill="0073CF"/>
      </w:tcPr>
    </w:tblStylePr>
  </w:style>
  <w:style w:type="paragraph" w:customStyle="1" w:styleId="ARnumberalpha1">
    <w:name w:val="AR number alpha 1"/>
    <w:basedOn w:val="ARbody"/>
    <w:uiPriority w:val="3"/>
    <w:qFormat/>
    <w:rsid w:val="0093192F"/>
    <w:pPr>
      <w:numPr>
        <w:numId w:val="6"/>
      </w:numPr>
      <w:spacing w:after="40"/>
    </w:pPr>
    <w:rPr>
      <w:rFonts w:eastAsia="Times New Roman"/>
      <w:szCs w:val="20"/>
    </w:rPr>
  </w:style>
  <w:style w:type="paragraph" w:customStyle="1" w:styleId="ARnumberalpha2">
    <w:name w:val="AR number alpha 2"/>
    <w:basedOn w:val="ARbody"/>
    <w:uiPriority w:val="98"/>
    <w:qFormat/>
    <w:rsid w:val="0093192F"/>
    <w:pPr>
      <w:numPr>
        <w:ilvl w:val="1"/>
        <w:numId w:val="6"/>
      </w:numPr>
      <w:spacing w:after="40"/>
    </w:pPr>
    <w:rPr>
      <w:rFonts w:eastAsia="Times New Roman"/>
      <w:szCs w:val="20"/>
    </w:rPr>
  </w:style>
  <w:style w:type="paragraph" w:customStyle="1" w:styleId="ARnumberroman2">
    <w:name w:val="AR number roman 2"/>
    <w:basedOn w:val="ARbody"/>
    <w:uiPriority w:val="98"/>
    <w:qFormat/>
    <w:rsid w:val="00071FEC"/>
    <w:pPr>
      <w:numPr>
        <w:ilvl w:val="2"/>
        <w:numId w:val="6"/>
      </w:numPr>
      <w:spacing w:after="40" w:line="270" w:lineRule="atLeast"/>
    </w:pPr>
    <w:rPr>
      <w:rFonts w:eastAsia="Times New Roman"/>
      <w:szCs w:val="20"/>
    </w:rPr>
  </w:style>
  <w:style w:type="numbering" w:customStyle="1" w:styleId="ARnumberedparas">
    <w:name w:val="AR numbered paras"/>
    <w:rsid w:val="0093192F"/>
    <w:pPr>
      <w:numPr>
        <w:numId w:val="6"/>
      </w:numPr>
    </w:pPr>
  </w:style>
  <w:style w:type="numbering" w:customStyle="1" w:styleId="ZZFinnumbersalpha">
    <w:name w:val="ZZ Fin numbers alpha"/>
    <w:basedOn w:val="ARnumberedparas"/>
    <w:uiPriority w:val="99"/>
    <w:rsid w:val="008A3D22"/>
    <w:pPr>
      <w:numPr>
        <w:numId w:val="7"/>
      </w:numPr>
    </w:pPr>
  </w:style>
  <w:style w:type="numbering" w:customStyle="1" w:styleId="ZZFintablebullets">
    <w:name w:val="ZZ Fin table bullets"/>
    <w:basedOn w:val="NoList"/>
    <w:uiPriority w:val="99"/>
    <w:rsid w:val="008A3D22"/>
    <w:pPr>
      <w:numPr>
        <w:numId w:val="8"/>
      </w:numPr>
    </w:pPr>
  </w:style>
  <w:style w:type="paragraph" w:styleId="TOCHeading">
    <w:name w:val="TOC Heading"/>
    <w:basedOn w:val="Heading1"/>
    <w:next w:val="Normal"/>
    <w:uiPriority w:val="39"/>
    <w:semiHidden/>
    <w:unhideWhenUsed/>
    <w:qFormat/>
    <w:rsid w:val="00266A2A"/>
    <w:pPr>
      <w:outlineLvl w:val="9"/>
    </w:pPr>
  </w:style>
  <w:style w:type="table" w:customStyle="1" w:styleId="TableGrid2">
    <w:name w:val="Table Grid2"/>
    <w:basedOn w:val="TableNormal"/>
    <w:next w:val="TableGrid"/>
    <w:uiPriority w:val="59"/>
    <w:rsid w:val="0093192F"/>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3192F"/>
  </w:style>
  <w:style w:type="numbering" w:customStyle="1" w:styleId="NoList11">
    <w:name w:val="No List11"/>
    <w:next w:val="NoList"/>
    <w:uiPriority w:val="99"/>
    <w:semiHidden/>
    <w:unhideWhenUsed/>
    <w:rsid w:val="0093192F"/>
  </w:style>
  <w:style w:type="table" w:customStyle="1" w:styleId="Casestudy1">
    <w:name w:val="Case study1"/>
    <w:basedOn w:val="TableNormal"/>
    <w:rsid w:val="0093192F"/>
    <w:tblPr>
      <w:tblInd w:w="170" w:type="dxa"/>
      <w:tblBorders>
        <w:top w:val="single" w:sz="4" w:space="0" w:color="00866F"/>
        <w:left w:val="single" w:sz="4" w:space="0" w:color="00866F"/>
        <w:bottom w:val="single" w:sz="4" w:space="0" w:color="00866F"/>
        <w:right w:val="single" w:sz="4" w:space="0" w:color="00866F"/>
      </w:tblBorders>
      <w:tblCellMar>
        <w:top w:w="170" w:type="dxa"/>
        <w:left w:w="170" w:type="dxa"/>
        <w:bottom w:w="57" w:type="dxa"/>
        <w:right w:w="170" w:type="dxa"/>
      </w:tblCellMar>
    </w:tblPr>
    <w:tcPr>
      <w:shd w:val="clear" w:color="auto" w:fill="auto"/>
    </w:tcPr>
  </w:style>
  <w:style w:type="paragraph" w:customStyle="1" w:styleId="ARtablebullet2">
    <w:name w:val="AR table bullet 2"/>
    <w:basedOn w:val="ARtablebullet1"/>
    <w:uiPriority w:val="3"/>
    <w:qFormat/>
    <w:rsid w:val="00A5626C"/>
    <w:pPr>
      <w:numPr>
        <w:ilvl w:val="1"/>
      </w:numPr>
    </w:pPr>
  </w:style>
  <w:style w:type="paragraph" w:customStyle="1" w:styleId="ARtablebullet1">
    <w:name w:val="AR table bullet 1"/>
    <w:basedOn w:val="ARtabletext"/>
    <w:uiPriority w:val="3"/>
    <w:qFormat/>
    <w:rsid w:val="00A5626C"/>
    <w:pPr>
      <w:numPr>
        <w:numId w:val="21"/>
      </w:numPr>
      <w:spacing w:line="240" w:lineRule="auto"/>
    </w:pPr>
  </w:style>
  <w:style w:type="character" w:customStyle="1" w:styleId="UnresolvedMention1">
    <w:name w:val="Unresolved Mention1"/>
    <w:basedOn w:val="DefaultParagraphFont"/>
    <w:uiPriority w:val="99"/>
    <w:semiHidden/>
    <w:unhideWhenUsed/>
    <w:rsid w:val="000E5341"/>
    <w:rPr>
      <w:color w:val="808080"/>
      <w:shd w:val="clear" w:color="auto" w:fill="E6E6E6"/>
    </w:rPr>
  </w:style>
  <w:style w:type="character" w:customStyle="1" w:styleId="UnresolvedMention2">
    <w:name w:val="Unresolved Mention2"/>
    <w:basedOn w:val="DefaultParagraphFont"/>
    <w:uiPriority w:val="99"/>
    <w:semiHidden/>
    <w:unhideWhenUsed/>
    <w:rsid w:val="00F54459"/>
    <w:rPr>
      <w:color w:val="808080"/>
      <w:shd w:val="clear" w:color="auto" w:fill="E6E6E6"/>
    </w:rPr>
  </w:style>
  <w:style w:type="paragraph" w:customStyle="1" w:styleId="ARintro">
    <w:name w:val="AR intro"/>
    <w:basedOn w:val="ARbody"/>
    <w:next w:val="ARbody"/>
    <w:uiPriority w:val="98"/>
    <w:qFormat/>
    <w:rsid w:val="00D27976"/>
    <w:rPr>
      <w:color w:val="53565A" w:themeColor="accent2"/>
      <w:sz w:val="22"/>
    </w:rPr>
  </w:style>
  <w:style w:type="character" w:customStyle="1" w:styleId="ARtablefootnotenumberedChar">
    <w:name w:val="AR table footnote numbered Char"/>
    <w:link w:val="ARtablefootnotenumbered"/>
    <w:uiPriority w:val="99"/>
    <w:rsid w:val="00E22CB2"/>
    <w:rPr>
      <w:rFonts w:ascii="Arial" w:hAnsi="Arial"/>
      <w:sz w:val="16"/>
      <w:szCs w:val="16"/>
      <w:lang w:eastAsia="en-US"/>
    </w:rPr>
  </w:style>
  <w:style w:type="paragraph" w:customStyle="1" w:styleId="ARfooter">
    <w:name w:val="AR footer"/>
    <w:uiPriority w:val="98"/>
    <w:qFormat/>
    <w:rsid w:val="00CA5513"/>
    <w:pPr>
      <w:spacing w:after="0"/>
    </w:pPr>
    <w:rPr>
      <w:rFonts w:ascii="Arial" w:hAnsi="Arial"/>
      <w:color w:val="004C97" w:themeColor="accent1"/>
      <w:sz w:val="18"/>
      <w:szCs w:val="24"/>
      <w:lang w:eastAsia="en-US"/>
    </w:rPr>
  </w:style>
  <w:style w:type="numbering" w:customStyle="1" w:styleId="ZZTablefootnotenumbers">
    <w:name w:val="ZZ Table footnote numbers"/>
    <w:basedOn w:val="NoList"/>
    <w:uiPriority w:val="99"/>
    <w:rsid w:val="00E22CB2"/>
    <w:pPr>
      <w:numPr>
        <w:numId w:val="10"/>
      </w:numPr>
    </w:pPr>
  </w:style>
  <w:style w:type="paragraph" w:customStyle="1" w:styleId="ARfintablecolheadcentre">
    <w:name w:val="AR fin table col head centre"/>
    <w:basedOn w:val="Normal"/>
    <w:uiPriority w:val="99"/>
    <w:qFormat/>
    <w:rsid w:val="00D44F46"/>
    <w:pPr>
      <w:spacing w:before="40" w:after="40"/>
      <w:jc w:val="center"/>
    </w:pPr>
    <w:rPr>
      <w:rFonts w:ascii="Arial" w:hAnsi="Arial"/>
      <w:b/>
      <w:sz w:val="16"/>
      <w:szCs w:val="16"/>
    </w:rPr>
  </w:style>
  <w:style w:type="table" w:styleId="TableElegant">
    <w:name w:val="Table Elegant"/>
    <w:basedOn w:val="TableNormal"/>
    <w:uiPriority w:val="99"/>
    <w:rsid w:val="004A243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ARtablefootnoteroman">
    <w:name w:val="AR table footnote roman"/>
    <w:basedOn w:val="ARtablefootnote"/>
    <w:uiPriority w:val="98"/>
    <w:qFormat/>
    <w:rsid w:val="004A243A"/>
    <w:pPr>
      <w:numPr>
        <w:numId w:val="11"/>
      </w:numPr>
    </w:pPr>
    <w:rPr>
      <w:lang w:eastAsia="en-AU"/>
    </w:rPr>
  </w:style>
  <w:style w:type="numbering" w:customStyle="1" w:styleId="ZZTablefootnoteroman">
    <w:name w:val="ZZ Table footnote roman"/>
    <w:basedOn w:val="NoList"/>
    <w:uiPriority w:val="99"/>
    <w:rsid w:val="004A243A"/>
    <w:pPr>
      <w:numPr>
        <w:numId w:val="11"/>
      </w:numPr>
    </w:pPr>
  </w:style>
  <w:style w:type="paragraph" w:customStyle="1" w:styleId="ARfintabledashindent">
    <w:name w:val="AR fin table dash indent"/>
    <w:basedOn w:val="ARfintablebody"/>
    <w:uiPriority w:val="98"/>
    <w:qFormat/>
    <w:rsid w:val="00D44F46"/>
    <w:pPr>
      <w:ind w:left="567" w:hanging="227"/>
    </w:pPr>
  </w:style>
  <w:style w:type="paragraph" w:customStyle="1" w:styleId="ARfinbullet2">
    <w:name w:val="AR fin bullet 2"/>
    <w:basedOn w:val="ARfinbody"/>
    <w:uiPriority w:val="98"/>
    <w:qFormat/>
    <w:rsid w:val="00D44F46"/>
    <w:pPr>
      <w:tabs>
        <w:tab w:val="num" w:pos="284"/>
      </w:tabs>
      <w:ind w:left="567" w:hanging="283"/>
    </w:pPr>
  </w:style>
  <w:style w:type="paragraph" w:customStyle="1" w:styleId="ARfintablebodyindent">
    <w:name w:val="AR fin table body indent"/>
    <w:basedOn w:val="ARfintablebody"/>
    <w:uiPriority w:val="8"/>
    <w:qFormat/>
    <w:rsid w:val="00D44F46"/>
    <w:pPr>
      <w:ind w:left="227"/>
    </w:pPr>
    <w:rPr>
      <w:lang w:eastAsia="en-AU"/>
    </w:rPr>
  </w:style>
  <w:style w:type="paragraph" w:customStyle="1" w:styleId="ARfintablecolhead">
    <w:name w:val="AR fin table col head"/>
    <w:basedOn w:val="ARfintablecolheadright"/>
    <w:qFormat/>
    <w:rsid w:val="00D44F46"/>
    <w:pPr>
      <w:jc w:val="left"/>
    </w:pPr>
  </w:style>
  <w:style w:type="paragraph" w:customStyle="1" w:styleId="ARfintablebody">
    <w:name w:val="AR fin table body"/>
    <w:uiPriority w:val="99"/>
    <w:qFormat/>
    <w:rsid w:val="00D44F46"/>
    <w:pPr>
      <w:suppressAutoHyphens/>
      <w:spacing w:before="40" w:after="20"/>
      <w:ind w:right="113"/>
    </w:pPr>
    <w:rPr>
      <w:rFonts w:ascii="Arial" w:eastAsia="MS Mincho" w:hAnsi="Arial" w:cs="Arial"/>
      <w:color w:val="000000"/>
      <w:sz w:val="16"/>
      <w:szCs w:val="16"/>
      <w:lang w:eastAsia="en-US"/>
    </w:rPr>
  </w:style>
  <w:style w:type="paragraph" w:customStyle="1" w:styleId="ARfintablebodybold">
    <w:name w:val="AR fin table body bold"/>
    <w:basedOn w:val="ARfintablebody"/>
    <w:uiPriority w:val="99"/>
    <w:rsid w:val="00D44F46"/>
    <w:rPr>
      <w:rFonts w:cs="Arial-BoldMT"/>
      <w:b/>
      <w:bCs/>
    </w:rPr>
  </w:style>
  <w:style w:type="paragraph" w:customStyle="1" w:styleId="ARfintableboldsubhead">
    <w:name w:val="AR fin table bold subhead"/>
    <w:basedOn w:val="ARfintablebody"/>
    <w:uiPriority w:val="99"/>
    <w:rsid w:val="00D44F46"/>
    <w:pPr>
      <w:spacing w:before="160"/>
    </w:pPr>
    <w:rPr>
      <w:b/>
      <w:szCs w:val="18"/>
    </w:rPr>
  </w:style>
  <w:style w:type="paragraph" w:customStyle="1" w:styleId="ARfintablefootnote">
    <w:name w:val="AR fin table footnote"/>
    <w:basedOn w:val="Normal"/>
    <w:uiPriority w:val="99"/>
    <w:qFormat/>
    <w:rsid w:val="00D44F46"/>
    <w:pPr>
      <w:spacing w:before="60" w:after="60" w:line="180" w:lineRule="atLeast"/>
    </w:pPr>
    <w:rPr>
      <w:rFonts w:ascii="Arial" w:eastAsia="Times New Roman" w:hAnsi="Arial" w:cs="Times New Roman"/>
      <w:color w:val="000000"/>
      <w:sz w:val="14"/>
      <w:szCs w:val="14"/>
      <w:lang w:eastAsia="en-US"/>
    </w:rPr>
  </w:style>
  <w:style w:type="paragraph" w:customStyle="1" w:styleId="ARfintablebodyright">
    <w:name w:val="AR fin table body right"/>
    <w:basedOn w:val="ARfintablebody"/>
    <w:uiPriority w:val="99"/>
    <w:qFormat/>
    <w:rsid w:val="00D44F46"/>
    <w:pPr>
      <w:jc w:val="right"/>
    </w:pPr>
  </w:style>
  <w:style w:type="paragraph" w:customStyle="1" w:styleId="ARfintablecolheadright">
    <w:name w:val="AR fin table col head right"/>
    <w:basedOn w:val="Normal"/>
    <w:uiPriority w:val="99"/>
    <w:qFormat/>
    <w:rsid w:val="00D44F46"/>
    <w:pPr>
      <w:spacing w:before="40" w:after="40"/>
      <w:ind w:right="113"/>
      <w:jc w:val="right"/>
    </w:pPr>
    <w:rPr>
      <w:rFonts w:ascii="Arial" w:hAnsi="Arial"/>
      <w:b/>
      <w:sz w:val="16"/>
      <w:szCs w:val="16"/>
    </w:rPr>
  </w:style>
  <w:style w:type="paragraph" w:customStyle="1" w:styleId="ARfintablefootnoteindent">
    <w:name w:val="AR fin table footnote indent"/>
    <w:link w:val="ARfintablefootnoteindentChar"/>
    <w:qFormat/>
    <w:rsid w:val="00D44F46"/>
    <w:pPr>
      <w:spacing w:before="40" w:after="40" w:line="180" w:lineRule="atLeast"/>
      <w:ind w:left="284" w:hanging="284"/>
    </w:pPr>
    <w:rPr>
      <w:rFonts w:ascii="Arial" w:hAnsi="Arial"/>
      <w:color w:val="000000"/>
      <w:sz w:val="14"/>
      <w:szCs w:val="14"/>
    </w:rPr>
  </w:style>
  <w:style w:type="character" w:customStyle="1" w:styleId="ARfintablefootnoteindentChar">
    <w:name w:val="AR fin table footnote indent Char"/>
    <w:link w:val="ARfintablefootnoteindent"/>
    <w:rsid w:val="00D44F46"/>
    <w:rPr>
      <w:rFonts w:ascii="Arial" w:hAnsi="Arial"/>
      <w:color w:val="000000"/>
      <w:sz w:val="14"/>
      <w:szCs w:val="14"/>
    </w:rPr>
  </w:style>
  <w:style w:type="paragraph" w:customStyle="1" w:styleId="ARfinbody">
    <w:name w:val="AR fin body"/>
    <w:basedOn w:val="Normal"/>
    <w:uiPriority w:val="99"/>
    <w:qFormat/>
    <w:rsid w:val="00D44F46"/>
    <w:pPr>
      <w:suppressAutoHyphens/>
      <w:autoSpaceDE w:val="0"/>
      <w:autoSpaceDN w:val="0"/>
      <w:adjustRightInd w:val="0"/>
      <w:spacing w:after="60" w:line="190" w:lineRule="atLeast"/>
      <w:textAlignment w:val="center"/>
    </w:pPr>
    <w:rPr>
      <w:rFonts w:ascii="Arial" w:hAnsi="Arial" w:cs="ArialMT"/>
      <w:color w:val="000000"/>
      <w:sz w:val="16"/>
      <w:szCs w:val="16"/>
    </w:rPr>
  </w:style>
  <w:style w:type="paragraph" w:customStyle="1" w:styleId="ARfinbullet1">
    <w:name w:val="AR fin bullet 1"/>
    <w:basedOn w:val="ARfinbody"/>
    <w:uiPriority w:val="99"/>
    <w:qFormat/>
    <w:rsid w:val="00D44F46"/>
    <w:pPr>
      <w:ind w:left="284" w:hanging="284"/>
    </w:pPr>
    <w:rPr>
      <w:rFonts w:eastAsia="Verdana"/>
    </w:rPr>
  </w:style>
  <w:style w:type="character" w:customStyle="1" w:styleId="Superscriptbold">
    <w:name w:val="Superscript bold"/>
    <w:uiPriority w:val="99"/>
    <w:qFormat/>
    <w:rsid w:val="00824285"/>
    <w:rPr>
      <w:rFonts w:eastAsia="Verdana"/>
      <w:b/>
      <w:vertAlign w:val="superscript"/>
    </w:rPr>
  </w:style>
  <w:style w:type="paragraph" w:customStyle="1" w:styleId="ARfinbodyaftertable">
    <w:name w:val="AR fin body after table"/>
    <w:basedOn w:val="ARfintablebody"/>
    <w:uiPriority w:val="98"/>
    <w:qFormat/>
    <w:rsid w:val="00D44F46"/>
    <w:pPr>
      <w:spacing w:before="160" w:after="60"/>
    </w:pPr>
    <w:rPr>
      <w:lang w:eastAsia="en-AU"/>
    </w:rPr>
  </w:style>
  <w:style w:type="paragraph" w:customStyle="1" w:styleId="ARfinnumberalpha1">
    <w:name w:val="AR fin number alpha 1"/>
    <w:basedOn w:val="ARfinbody"/>
    <w:uiPriority w:val="98"/>
    <w:qFormat/>
    <w:rsid w:val="00D44F46"/>
    <w:pPr>
      <w:tabs>
        <w:tab w:val="num" w:pos="284"/>
      </w:tabs>
      <w:ind w:left="284" w:hanging="284"/>
    </w:pPr>
  </w:style>
  <w:style w:type="paragraph" w:customStyle="1" w:styleId="ARfinnumberalpha2">
    <w:name w:val="AR fin number alpha 2"/>
    <w:basedOn w:val="ARfinbody"/>
    <w:uiPriority w:val="98"/>
    <w:qFormat/>
    <w:rsid w:val="00D44F46"/>
    <w:pPr>
      <w:tabs>
        <w:tab w:val="num" w:pos="567"/>
      </w:tabs>
      <w:ind w:left="567" w:hanging="283"/>
    </w:pPr>
  </w:style>
  <w:style w:type="paragraph" w:customStyle="1" w:styleId="ARfinstructure1">
    <w:name w:val="AR fin structure 1"/>
    <w:basedOn w:val="ARfinbody"/>
    <w:uiPriority w:val="98"/>
    <w:qFormat/>
    <w:rsid w:val="00D44F46"/>
    <w:pPr>
      <w:ind w:left="454" w:hanging="454"/>
    </w:pPr>
  </w:style>
  <w:style w:type="paragraph" w:customStyle="1" w:styleId="ARfinstructure2">
    <w:name w:val="AR fin structure 2"/>
    <w:basedOn w:val="ARfinbody"/>
    <w:uiPriority w:val="98"/>
    <w:qFormat/>
    <w:rsid w:val="00D44F46"/>
    <w:pPr>
      <w:ind w:left="1021" w:hanging="567"/>
    </w:pPr>
  </w:style>
  <w:style w:type="paragraph" w:customStyle="1" w:styleId="ARfintablebullet1">
    <w:name w:val="AR fin table bullet 1"/>
    <w:basedOn w:val="ARfintablebody"/>
    <w:uiPriority w:val="98"/>
    <w:qFormat/>
    <w:rsid w:val="00D44F46"/>
    <w:pPr>
      <w:ind w:left="170" w:hanging="170"/>
    </w:pPr>
    <w:rPr>
      <w:lang w:eastAsia="en-AU"/>
    </w:rPr>
  </w:style>
  <w:style w:type="numbering" w:customStyle="1" w:styleId="Numbersinfintables">
    <w:name w:val="Numbers in fin tables"/>
    <w:uiPriority w:val="99"/>
    <w:rsid w:val="00824285"/>
    <w:pPr>
      <w:numPr>
        <w:numId w:val="17"/>
      </w:numPr>
    </w:pPr>
  </w:style>
  <w:style w:type="numbering" w:customStyle="1" w:styleId="Bullets">
    <w:name w:val="Bullets"/>
    <w:rsid w:val="00824285"/>
    <w:pPr>
      <w:numPr>
        <w:numId w:val="12"/>
      </w:numPr>
    </w:pPr>
  </w:style>
  <w:style w:type="numbering" w:customStyle="1" w:styleId="Bullets2and3">
    <w:name w:val="Bullets 2 and 3"/>
    <w:uiPriority w:val="99"/>
    <w:rsid w:val="00824285"/>
    <w:pPr>
      <w:numPr>
        <w:numId w:val="13"/>
      </w:numPr>
    </w:pPr>
  </w:style>
  <w:style w:type="numbering" w:customStyle="1" w:styleId="LowerAlphaat0mm">
    <w:name w:val="LowerAlpha at 0mm"/>
    <w:rsid w:val="00824285"/>
    <w:pPr>
      <w:numPr>
        <w:numId w:val="14"/>
      </w:numPr>
    </w:pPr>
  </w:style>
  <w:style w:type="numbering" w:customStyle="1" w:styleId="LowerAlphaat5mm">
    <w:name w:val="LowerAlpha at 5mm"/>
    <w:rsid w:val="00824285"/>
    <w:pPr>
      <w:numPr>
        <w:numId w:val="15"/>
      </w:numPr>
    </w:pPr>
  </w:style>
  <w:style w:type="numbering" w:customStyle="1" w:styleId="LowerRomanat7mm">
    <w:name w:val="LowerRoman at 7mm"/>
    <w:rsid w:val="00824285"/>
    <w:pPr>
      <w:numPr>
        <w:numId w:val="16"/>
      </w:numPr>
    </w:pPr>
  </w:style>
  <w:style w:type="numbering" w:customStyle="1" w:styleId="Tablefootnotes">
    <w:name w:val="Table footnotes"/>
    <w:uiPriority w:val="99"/>
    <w:rsid w:val="00824285"/>
    <w:pPr>
      <w:numPr>
        <w:numId w:val="18"/>
      </w:numPr>
    </w:pPr>
  </w:style>
  <w:style w:type="table" w:styleId="TableGrid10">
    <w:name w:val="Table Grid 1"/>
    <w:basedOn w:val="TableNormal"/>
    <w:rsid w:val="0082428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5">
    <w:name w:val="Table Grid 5"/>
    <w:basedOn w:val="TableNormal"/>
    <w:rsid w:val="0082428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Rfinbodylargespace">
    <w:name w:val="AR fin body large space"/>
    <w:basedOn w:val="ARfinbody"/>
    <w:uiPriority w:val="98"/>
    <w:qFormat/>
    <w:rsid w:val="00D44F46"/>
    <w:pPr>
      <w:spacing w:after="160"/>
    </w:pPr>
    <w:rPr>
      <w:rFonts w:cs="Arial"/>
    </w:rPr>
  </w:style>
  <w:style w:type="paragraph" w:customStyle="1" w:styleId="ARfintablebullet2">
    <w:name w:val="AR fin table bullet 2"/>
    <w:basedOn w:val="Normal"/>
    <w:uiPriority w:val="98"/>
    <w:qFormat/>
    <w:rsid w:val="00D44F46"/>
    <w:pPr>
      <w:tabs>
        <w:tab w:val="num" w:pos="170"/>
      </w:tabs>
      <w:suppressAutoHyphens/>
      <w:spacing w:before="40" w:after="20"/>
      <w:ind w:left="340" w:right="113" w:hanging="170"/>
    </w:pPr>
    <w:rPr>
      <w:rFonts w:eastAsia="MS Mincho" w:cs="Arial"/>
      <w:color w:val="000000"/>
      <w:sz w:val="16"/>
      <w:szCs w:val="16"/>
    </w:rPr>
  </w:style>
  <w:style w:type="character" w:customStyle="1" w:styleId="UnresolvedMention3">
    <w:name w:val="Unresolved Mention3"/>
    <w:basedOn w:val="DefaultParagraphFont"/>
    <w:uiPriority w:val="99"/>
    <w:semiHidden/>
    <w:unhideWhenUsed/>
    <w:rsid w:val="0064026D"/>
    <w:rPr>
      <w:color w:val="605E5C"/>
      <w:shd w:val="clear" w:color="auto" w:fill="E1DFDD"/>
    </w:rPr>
  </w:style>
  <w:style w:type="paragraph" w:customStyle="1" w:styleId="ARcasestudyheading">
    <w:name w:val="AR case study heading"/>
    <w:basedOn w:val="ARcasestudybody"/>
    <w:uiPriority w:val="98"/>
    <w:qFormat/>
    <w:rsid w:val="00AD05AA"/>
    <w:rPr>
      <w:b/>
      <w:bCs/>
      <w:color w:val="004C97" w:themeColor="accent1"/>
      <w:sz w:val="24"/>
    </w:rPr>
  </w:style>
  <w:style w:type="paragraph" w:customStyle="1" w:styleId="ARcasestudybody">
    <w:name w:val="AR case study body"/>
    <w:basedOn w:val="ARbody"/>
    <w:uiPriority w:val="98"/>
    <w:qFormat/>
    <w:rsid w:val="00B67C3B"/>
    <w:pPr>
      <w:spacing w:after="80" w:line="240" w:lineRule="atLeast"/>
    </w:pPr>
  </w:style>
  <w:style w:type="character" w:customStyle="1" w:styleId="UnresolvedMention4">
    <w:name w:val="Unresolved Mention4"/>
    <w:basedOn w:val="DefaultParagraphFont"/>
    <w:uiPriority w:val="99"/>
    <w:semiHidden/>
    <w:unhideWhenUsed/>
    <w:rsid w:val="00DB00E4"/>
    <w:rPr>
      <w:color w:val="605E5C"/>
      <w:shd w:val="clear" w:color="auto" w:fill="E1DFDD"/>
    </w:rPr>
  </w:style>
  <w:style w:type="paragraph" w:customStyle="1" w:styleId="ARbullettimeline">
    <w:name w:val="AR bullet timeline"/>
    <w:basedOn w:val="ARbullet1"/>
    <w:uiPriority w:val="98"/>
    <w:rsid w:val="00EF7759"/>
    <w:pPr>
      <w:numPr>
        <w:numId w:val="47"/>
      </w:numPr>
      <w:spacing w:after="100" w:line="320" w:lineRule="atLeast"/>
    </w:pPr>
  </w:style>
  <w:style w:type="paragraph" w:styleId="Subtitle">
    <w:name w:val="Subtitle"/>
    <w:basedOn w:val="Normal"/>
    <w:next w:val="Normal"/>
    <w:link w:val="SubtitleChar"/>
    <w:uiPriority w:val="11"/>
    <w:semiHidden/>
    <w:qFormat/>
    <w:rsid w:val="00266A2A"/>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semiHidden/>
    <w:rsid w:val="00586EC6"/>
    <w:rPr>
      <w:rFonts w:asciiTheme="majorHAnsi" w:eastAsiaTheme="majorEastAsia" w:hAnsiTheme="majorHAnsi" w:cstheme="majorBidi"/>
      <w:sz w:val="24"/>
      <w:szCs w:val="24"/>
    </w:rPr>
  </w:style>
  <w:style w:type="paragraph" w:styleId="Quote">
    <w:name w:val="Quote"/>
    <w:basedOn w:val="Normal"/>
    <w:next w:val="Normal"/>
    <w:link w:val="QuoteChar"/>
    <w:uiPriority w:val="29"/>
    <w:semiHidden/>
    <w:qFormat/>
    <w:rsid w:val="00266A2A"/>
    <w:pPr>
      <w:spacing w:before="160"/>
      <w:ind w:left="720" w:right="720"/>
    </w:pPr>
    <w:rPr>
      <w:i/>
      <w:iCs/>
      <w:color w:val="404040" w:themeColor="text1" w:themeTint="BF"/>
    </w:rPr>
  </w:style>
  <w:style w:type="character" w:customStyle="1" w:styleId="QuoteChar">
    <w:name w:val="Quote Char"/>
    <w:basedOn w:val="DefaultParagraphFont"/>
    <w:link w:val="Quote"/>
    <w:uiPriority w:val="29"/>
    <w:semiHidden/>
    <w:rsid w:val="00586EC6"/>
    <w:rPr>
      <w:i/>
      <w:iCs/>
      <w:color w:val="404040" w:themeColor="text1" w:themeTint="BF"/>
    </w:rPr>
  </w:style>
  <w:style w:type="paragraph" w:styleId="IntenseQuote">
    <w:name w:val="Intense Quote"/>
    <w:basedOn w:val="Normal"/>
    <w:next w:val="Normal"/>
    <w:link w:val="IntenseQuoteChar"/>
    <w:uiPriority w:val="30"/>
    <w:semiHidden/>
    <w:qFormat/>
    <w:rsid w:val="00266A2A"/>
    <w:pPr>
      <w:pBdr>
        <w:left w:val="single" w:sz="18" w:space="12" w:color="004C97" w:themeColor="accent1"/>
      </w:pBdr>
      <w:spacing w:before="100" w:beforeAutospacing="1" w:line="300" w:lineRule="auto"/>
      <w:ind w:left="1224" w:right="1224"/>
    </w:pPr>
    <w:rPr>
      <w:rFonts w:asciiTheme="majorHAnsi" w:eastAsiaTheme="majorEastAsia" w:hAnsiTheme="majorHAnsi" w:cstheme="majorBidi"/>
      <w:color w:val="004C97" w:themeColor="accent1"/>
      <w:sz w:val="28"/>
      <w:szCs w:val="28"/>
    </w:rPr>
  </w:style>
  <w:style w:type="character" w:customStyle="1" w:styleId="IntenseQuoteChar">
    <w:name w:val="Intense Quote Char"/>
    <w:basedOn w:val="DefaultParagraphFont"/>
    <w:link w:val="IntenseQuote"/>
    <w:uiPriority w:val="30"/>
    <w:semiHidden/>
    <w:rsid w:val="00586EC6"/>
    <w:rPr>
      <w:rFonts w:asciiTheme="majorHAnsi" w:eastAsiaTheme="majorEastAsia" w:hAnsiTheme="majorHAnsi" w:cstheme="majorBidi"/>
      <w:color w:val="004C97" w:themeColor="accent1"/>
      <w:sz w:val="28"/>
      <w:szCs w:val="28"/>
    </w:rPr>
  </w:style>
  <w:style w:type="character" w:styleId="SubtleEmphasis">
    <w:name w:val="Subtle Emphasis"/>
    <w:basedOn w:val="DefaultParagraphFont"/>
    <w:uiPriority w:val="19"/>
    <w:semiHidden/>
    <w:qFormat/>
    <w:rsid w:val="00266A2A"/>
    <w:rPr>
      <w:i/>
      <w:iCs/>
      <w:color w:val="404040" w:themeColor="text1" w:themeTint="BF"/>
    </w:rPr>
  </w:style>
  <w:style w:type="character" w:styleId="IntenseEmphasis">
    <w:name w:val="Intense Emphasis"/>
    <w:basedOn w:val="DefaultParagraphFont"/>
    <w:uiPriority w:val="21"/>
    <w:semiHidden/>
    <w:qFormat/>
    <w:rsid w:val="00266A2A"/>
    <w:rPr>
      <w:b/>
      <w:bCs/>
      <w:i/>
      <w:iCs/>
    </w:rPr>
  </w:style>
  <w:style w:type="character" w:styleId="SubtleReference">
    <w:name w:val="Subtle Reference"/>
    <w:basedOn w:val="DefaultParagraphFont"/>
    <w:uiPriority w:val="31"/>
    <w:semiHidden/>
    <w:qFormat/>
    <w:rsid w:val="00266A2A"/>
    <w:rPr>
      <w:smallCaps/>
      <w:color w:val="404040" w:themeColor="text1" w:themeTint="BF"/>
      <w:u w:val="single" w:color="7F7F7F" w:themeColor="text1" w:themeTint="80"/>
    </w:rPr>
  </w:style>
  <w:style w:type="character" w:styleId="IntenseReference">
    <w:name w:val="Intense Reference"/>
    <w:basedOn w:val="DefaultParagraphFont"/>
    <w:uiPriority w:val="32"/>
    <w:semiHidden/>
    <w:qFormat/>
    <w:rsid w:val="00266A2A"/>
    <w:rPr>
      <w:b/>
      <w:bCs/>
      <w:smallCaps/>
      <w:spacing w:val="5"/>
      <w:u w:val="single"/>
    </w:rPr>
  </w:style>
  <w:style w:type="numbering" w:customStyle="1" w:styleId="ZZTablebullets">
    <w:name w:val="ZZ Table bullets"/>
    <w:basedOn w:val="NoList"/>
    <w:uiPriority w:val="99"/>
    <w:rsid w:val="00A5626C"/>
    <w:pPr>
      <w:numPr>
        <w:numId w:val="21"/>
      </w:numPr>
    </w:pPr>
  </w:style>
  <w:style w:type="paragraph" w:customStyle="1" w:styleId="Heading3dates">
    <w:name w:val="Heading 3 dates"/>
    <w:basedOn w:val="Heading3"/>
    <w:uiPriority w:val="99"/>
    <w:qFormat/>
    <w:rsid w:val="00F16145"/>
    <w:pPr>
      <w:ind w:right="697"/>
    </w:pPr>
    <w:rPr>
      <w:b/>
      <w:noProof/>
      <w:sz w:val="32"/>
    </w:rPr>
  </w:style>
  <w:style w:type="paragraph" w:customStyle="1" w:styleId="ARbullet1final">
    <w:name w:val="AR bullet 1 final"/>
    <w:basedOn w:val="Normal"/>
    <w:uiPriority w:val="1"/>
    <w:qFormat/>
    <w:rsid w:val="000D4545"/>
    <w:pPr>
      <w:spacing w:line="260" w:lineRule="atLeast"/>
      <w:ind w:left="284" w:hanging="284"/>
    </w:pPr>
    <w:rPr>
      <w:rFonts w:ascii="Arial" w:eastAsia="Times" w:hAnsi="Arial" w:cs="Arial"/>
      <w:lang w:eastAsia="en-US"/>
    </w:rPr>
  </w:style>
  <w:style w:type="paragraph" w:customStyle="1" w:styleId="ARbullet2final">
    <w:name w:val="AR bullet 2 final"/>
    <w:basedOn w:val="Normal"/>
    <w:uiPriority w:val="3"/>
    <w:qFormat/>
    <w:rsid w:val="000D4545"/>
    <w:pPr>
      <w:spacing w:line="270" w:lineRule="atLeast"/>
      <w:ind w:left="567" w:hanging="283"/>
    </w:pPr>
    <w:rPr>
      <w:rFonts w:ascii="Arial" w:eastAsia="Times" w:hAnsi="Arial" w:cs="Times New Roman"/>
      <w:lang w:val="x-none" w:eastAsia="en-US"/>
    </w:rPr>
  </w:style>
  <w:style w:type="numbering" w:customStyle="1" w:styleId="NoList5">
    <w:name w:val="No List5"/>
    <w:next w:val="NoList"/>
    <w:uiPriority w:val="99"/>
    <w:semiHidden/>
    <w:unhideWhenUsed/>
    <w:rsid w:val="000D4545"/>
  </w:style>
  <w:style w:type="numbering" w:customStyle="1" w:styleId="ZZBullets1">
    <w:name w:val="ZZ Bullets1"/>
    <w:rsid w:val="000D4545"/>
  </w:style>
  <w:style w:type="paragraph" w:customStyle="1" w:styleId="ARheaderright">
    <w:name w:val="AR header right"/>
    <w:basedOn w:val="Normal"/>
    <w:uiPriority w:val="99"/>
    <w:rsid w:val="000D4545"/>
    <w:pPr>
      <w:pBdr>
        <w:bottom w:val="single" w:sz="4" w:space="4" w:color="87189D"/>
      </w:pBdr>
      <w:tabs>
        <w:tab w:val="right" w:pos="8959"/>
        <w:tab w:val="right" w:pos="9639"/>
      </w:tabs>
      <w:spacing w:after="0" w:line="240" w:lineRule="auto"/>
    </w:pPr>
    <w:rPr>
      <w:rFonts w:ascii="Arial" w:eastAsia="Times New Roman" w:hAnsi="Arial" w:cs="Times New Roman"/>
      <w:sz w:val="18"/>
      <w:lang w:eastAsia="en-US"/>
    </w:rPr>
  </w:style>
  <w:style w:type="numbering" w:customStyle="1" w:styleId="Bullet1">
    <w:name w:val="Bullet1"/>
    <w:uiPriority w:val="99"/>
    <w:rsid w:val="000D4545"/>
  </w:style>
  <w:style w:type="table" w:customStyle="1" w:styleId="TableGrid3">
    <w:name w:val="Table Grid3"/>
    <w:basedOn w:val="TableNormal"/>
    <w:next w:val="TableGrid"/>
    <w:uiPriority w:val="59"/>
    <w:rsid w:val="000D4545"/>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uiPriority w:val="49"/>
    <w:rsid w:val="000D4545"/>
    <w:pPr>
      <w:spacing w:after="0" w:line="240" w:lineRule="auto"/>
    </w:pPr>
    <w:rPr>
      <w:rFonts w:eastAsiaTheme="minorHAns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0D4545"/>
    <w:pPr>
      <w:spacing w:after="0" w:line="240" w:lineRule="auto"/>
    </w:pPr>
    <w:rPr>
      <w:rFonts w:eastAsiaTheme="minorHAns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Rfinnumberroman2">
    <w:name w:val="AR fin number roman 2"/>
    <w:basedOn w:val="ARfinbody"/>
    <w:uiPriority w:val="98"/>
    <w:rsid w:val="00D44F46"/>
    <w:pPr>
      <w:tabs>
        <w:tab w:val="num" w:pos="284"/>
      </w:tabs>
      <w:ind w:left="567" w:hanging="283"/>
    </w:pPr>
    <w:rPr>
      <w:rFonts w:eastAsia="Times New Roman"/>
    </w:rPr>
  </w:style>
  <w:style w:type="paragraph" w:customStyle="1" w:styleId="ARfintablebodyrightbold">
    <w:name w:val="AR fin table body right bold"/>
    <w:basedOn w:val="ARfintablebodyright"/>
    <w:uiPriority w:val="98"/>
    <w:qFormat/>
    <w:rsid w:val="00D44F46"/>
    <w:pPr>
      <w:spacing w:line="240" w:lineRule="auto"/>
    </w:pPr>
    <w:rPr>
      <w:b/>
    </w:rPr>
  </w:style>
  <w:style w:type="numbering" w:customStyle="1" w:styleId="ZZFinnumbersalpha1roman2">
    <w:name w:val="ZZ Fin numbers alpha 1 roman 2"/>
    <w:basedOn w:val="NoList"/>
    <w:uiPriority w:val="99"/>
    <w:rsid w:val="000E64E1"/>
    <w:pPr>
      <w:numPr>
        <w:numId w:val="23"/>
      </w:numPr>
    </w:pPr>
  </w:style>
  <w:style w:type="paragraph" w:customStyle="1" w:styleId="ARtablepinkbold">
    <w:name w:val="AR table pink bold"/>
    <w:basedOn w:val="ARtabletext"/>
    <w:uiPriority w:val="3"/>
    <w:qFormat/>
    <w:rsid w:val="00CA03B2"/>
    <w:pPr>
      <w:spacing w:line="240" w:lineRule="auto"/>
    </w:pPr>
    <w:rPr>
      <w:b/>
      <w:color w:val="D50032"/>
    </w:rPr>
  </w:style>
  <w:style w:type="character" w:customStyle="1" w:styleId="ARfigurecaptionChar">
    <w:name w:val="AR figure caption Char"/>
    <w:link w:val="ARfigurecaption"/>
    <w:uiPriority w:val="99"/>
    <w:locked/>
    <w:rsid w:val="00CA03B2"/>
    <w:rPr>
      <w:rFonts w:ascii="Arial" w:eastAsia="Times New Roman" w:hAnsi="Arial" w:cs="Times New Roman"/>
      <w:b/>
      <w:color w:val="7C239D"/>
      <w:sz w:val="26"/>
      <w:szCs w:val="24"/>
      <w:lang w:eastAsia="en-US"/>
    </w:rPr>
  </w:style>
  <w:style w:type="paragraph" w:customStyle="1" w:styleId="ARfigurecaption">
    <w:name w:val="AR figure caption"/>
    <w:next w:val="ARbody"/>
    <w:link w:val="ARfigurecaptionChar"/>
    <w:uiPriority w:val="99"/>
    <w:qFormat/>
    <w:rsid w:val="00CA03B2"/>
    <w:pPr>
      <w:keepNext/>
      <w:keepLines/>
      <w:spacing w:before="240" w:line="240" w:lineRule="auto"/>
    </w:pPr>
    <w:rPr>
      <w:rFonts w:ascii="Arial" w:eastAsia="Times New Roman" w:hAnsi="Arial" w:cs="Times New Roman"/>
      <w:b/>
      <w:color w:val="7C239D"/>
      <w:sz w:val="26"/>
      <w:szCs w:val="24"/>
      <w:lang w:eastAsia="en-US"/>
    </w:rPr>
  </w:style>
  <w:style w:type="character" w:customStyle="1" w:styleId="ARcasestudytextChar">
    <w:name w:val="AR case study text Char"/>
    <w:link w:val="ARcasestudytext"/>
    <w:uiPriority w:val="99"/>
    <w:locked/>
    <w:rsid w:val="00CA03B2"/>
    <w:rPr>
      <w:rFonts w:ascii="Arial" w:eastAsia="Times" w:hAnsi="Arial" w:cs="Arial"/>
      <w:color w:val="53565A"/>
      <w:szCs w:val="24"/>
    </w:rPr>
  </w:style>
  <w:style w:type="paragraph" w:customStyle="1" w:styleId="ARcasestudytext">
    <w:name w:val="AR case study text"/>
    <w:link w:val="ARcasestudytextChar"/>
    <w:uiPriority w:val="99"/>
    <w:rsid w:val="00CA03B2"/>
    <w:pPr>
      <w:spacing w:line="260" w:lineRule="atLeast"/>
    </w:pPr>
    <w:rPr>
      <w:rFonts w:ascii="Arial" w:eastAsia="Times" w:hAnsi="Arial" w:cs="Arial"/>
      <w:color w:val="53565A"/>
      <w:szCs w:val="24"/>
    </w:rPr>
  </w:style>
  <w:style w:type="paragraph" w:customStyle="1" w:styleId="ARfootnotetables">
    <w:name w:val="AR footnote tables"/>
    <w:basedOn w:val="Normal"/>
    <w:uiPriority w:val="99"/>
    <w:qFormat/>
    <w:rsid w:val="00CA03B2"/>
    <w:pPr>
      <w:spacing w:before="60" w:after="60" w:line="200" w:lineRule="atLeast"/>
      <w:ind w:left="284" w:hanging="284"/>
    </w:pPr>
    <w:rPr>
      <w:rFonts w:ascii="Arial" w:eastAsia="Times New Roman" w:hAnsi="Arial" w:cs="Times New Roman"/>
      <w:color w:val="000000"/>
      <w:sz w:val="16"/>
      <w:szCs w:val="24"/>
      <w:lang w:eastAsia="en-US"/>
    </w:rPr>
  </w:style>
  <w:style w:type="paragraph" w:customStyle="1" w:styleId="ARtableBIsubhead">
    <w:name w:val="AR table BI subhead"/>
    <w:basedOn w:val="Normal"/>
    <w:uiPriority w:val="99"/>
    <w:qFormat/>
    <w:rsid w:val="00CA03B2"/>
    <w:pPr>
      <w:suppressAutoHyphens/>
      <w:spacing w:before="40" w:after="20" w:line="240" w:lineRule="auto"/>
      <w:ind w:right="113"/>
    </w:pPr>
    <w:rPr>
      <w:rFonts w:ascii="Arial" w:eastAsia="MS Mincho" w:hAnsi="Arial" w:cs="Arial"/>
      <w:b/>
      <w:i/>
      <w:color w:val="000000"/>
      <w:sz w:val="16"/>
      <w:szCs w:val="16"/>
      <w:lang w:eastAsia="en-US"/>
    </w:rPr>
  </w:style>
  <w:style w:type="paragraph" w:customStyle="1" w:styleId="ARtablegreybold">
    <w:name w:val="AR table grey bold"/>
    <w:basedOn w:val="ARtabletext"/>
    <w:uiPriority w:val="3"/>
    <w:rsid w:val="0046089D"/>
    <w:pPr>
      <w:spacing w:line="240" w:lineRule="auto"/>
    </w:pPr>
    <w:rPr>
      <w:rFonts w:eastAsia="Calibri"/>
      <w:b/>
      <w:color w:val="53565A"/>
    </w:rPr>
  </w:style>
  <w:style w:type="paragraph" w:customStyle="1" w:styleId="ARheaderleft">
    <w:name w:val="AR header left"/>
    <w:uiPriority w:val="11"/>
    <w:rsid w:val="00F73A80"/>
    <w:pPr>
      <w:pBdr>
        <w:bottom w:val="single" w:sz="4" w:space="4" w:color="D50032"/>
      </w:pBdr>
      <w:tabs>
        <w:tab w:val="left" w:pos="680"/>
      </w:tabs>
      <w:spacing w:after="0" w:line="240" w:lineRule="auto"/>
    </w:pPr>
    <w:rPr>
      <w:rFonts w:ascii="Arial" w:eastAsia="Times New Roman" w:hAnsi="Arial" w:cs="Times New Roman"/>
      <w:sz w:val="18"/>
      <w:szCs w:val="24"/>
      <w:lang w:eastAsia="en-US"/>
    </w:rPr>
  </w:style>
  <w:style w:type="paragraph" w:customStyle="1" w:styleId="ARpublicationtitletitlepage">
    <w:name w:val="AR publication title (title page)"/>
    <w:basedOn w:val="ARpublicationtitle"/>
    <w:uiPriority w:val="98"/>
    <w:qFormat/>
    <w:rsid w:val="00F73A80"/>
    <w:pPr>
      <w:spacing w:before="3000" w:line="240" w:lineRule="auto"/>
      <w:ind w:left="1701"/>
      <w:jc w:val="left"/>
    </w:pPr>
    <w:rPr>
      <w:rFonts w:cs="Times New Roman"/>
      <w:b w:val="0"/>
      <w:noProof/>
      <w:color w:val="D50032"/>
    </w:rPr>
  </w:style>
  <w:style w:type="paragraph" w:customStyle="1" w:styleId="ARpublicationsubtitletitlepage">
    <w:name w:val="AR publication subtitle (title page)"/>
    <w:basedOn w:val="ARpublicationsubtitle"/>
    <w:uiPriority w:val="98"/>
    <w:qFormat/>
    <w:rsid w:val="00F73A80"/>
    <w:pPr>
      <w:spacing w:after="0" w:line="240" w:lineRule="auto"/>
      <w:ind w:left="1701"/>
    </w:pPr>
    <w:rPr>
      <w:rFonts w:eastAsia="Times New Roman" w:cs="Times New Roman"/>
      <w:color w:val="53565A"/>
      <w:sz w:val="34"/>
    </w:rPr>
  </w:style>
  <w:style w:type="table" w:styleId="LightShading-Accent2">
    <w:name w:val="Light Shading Accent 2"/>
    <w:basedOn w:val="TableNormal"/>
    <w:uiPriority w:val="60"/>
    <w:rsid w:val="003961A9"/>
    <w:pPr>
      <w:spacing w:before="120" w:after="0" w:line="240" w:lineRule="auto"/>
    </w:pPr>
    <w:rPr>
      <w:rFonts w:eastAsiaTheme="minorHAnsi"/>
      <w:color w:val="3E4043" w:themeColor="accent2" w:themeShade="BF"/>
      <w:sz w:val="22"/>
      <w:szCs w:val="22"/>
      <w:lang w:eastAsia="en-US"/>
    </w:rPr>
    <w:tblPr>
      <w:tblStyleRowBandSize w:val="1"/>
      <w:tblStyleColBandSize w:val="1"/>
      <w:tblBorders>
        <w:top w:val="single" w:sz="8" w:space="0" w:color="53565A" w:themeColor="accent2"/>
        <w:bottom w:val="single" w:sz="8" w:space="0" w:color="53565A" w:themeColor="accent2"/>
      </w:tblBorders>
    </w:tblPr>
    <w:tblStylePr w:type="fir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la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7" w:themeFill="accent2" w:themeFillTint="3F"/>
      </w:tcPr>
    </w:tblStylePr>
    <w:tblStylePr w:type="band1Horz">
      <w:tblPr/>
      <w:tcPr>
        <w:tcBorders>
          <w:left w:val="nil"/>
          <w:right w:val="nil"/>
          <w:insideH w:val="nil"/>
          <w:insideV w:val="nil"/>
        </w:tcBorders>
        <w:shd w:val="clear" w:color="auto" w:fill="D3D5D7" w:themeFill="accent2" w:themeFillTint="3F"/>
      </w:tcPr>
    </w:tblStylePr>
  </w:style>
  <w:style w:type="character" w:customStyle="1" w:styleId="UnresolvedMention5">
    <w:name w:val="Unresolved Mention5"/>
    <w:basedOn w:val="DefaultParagraphFont"/>
    <w:uiPriority w:val="99"/>
    <w:semiHidden/>
    <w:unhideWhenUsed/>
    <w:rsid w:val="00B94BFB"/>
    <w:rPr>
      <w:color w:val="605E5C"/>
      <w:shd w:val="clear" w:color="auto" w:fill="E1DFDD"/>
    </w:rPr>
  </w:style>
  <w:style w:type="numbering" w:customStyle="1" w:styleId="ZZBulletstimeline">
    <w:name w:val="ZZ Bullets timeline"/>
    <w:basedOn w:val="NoList"/>
    <w:uiPriority w:val="99"/>
    <w:rsid w:val="00EF7759"/>
    <w:pPr>
      <w:numPr>
        <w:numId w:val="44"/>
      </w:numPr>
    </w:pPr>
  </w:style>
  <w:style w:type="paragraph" w:customStyle="1" w:styleId="Heading5smaller">
    <w:name w:val="Heading 5 smaller"/>
    <w:basedOn w:val="Heading6"/>
    <w:qFormat/>
    <w:rsid w:val="00037F82"/>
    <w:pPr>
      <w:outlineLvl w:val="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3867">
      <w:bodyDiv w:val="1"/>
      <w:marLeft w:val="0"/>
      <w:marRight w:val="0"/>
      <w:marTop w:val="0"/>
      <w:marBottom w:val="0"/>
      <w:divBdr>
        <w:top w:val="none" w:sz="0" w:space="0" w:color="auto"/>
        <w:left w:val="none" w:sz="0" w:space="0" w:color="auto"/>
        <w:bottom w:val="none" w:sz="0" w:space="0" w:color="auto"/>
        <w:right w:val="none" w:sz="0" w:space="0" w:color="auto"/>
      </w:divBdr>
    </w:div>
    <w:div w:id="21633549">
      <w:bodyDiv w:val="1"/>
      <w:marLeft w:val="0"/>
      <w:marRight w:val="0"/>
      <w:marTop w:val="0"/>
      <w:marBottom w:val="0"/>
      <w:divBdr>
        <w:top w:val="none" w:sz="0" w:space="0" w:color="auto"/>
        <w:left w:val="none" w:sz="0" w:space="0" w:color="auto"/>
        <w:bottom w:val="none" w:sz="0" w:space="0" w:color="auto"/>
        <w:right w:val="none" w:sz="0" w:space="0" w:color="auto"/>
      </w:divBdr>
    </w:div>
    <w:div w:id="101414768">
      <w:bodyDiv w:val="1"/>
      <w:marLeft w:val="0"/>
      <w:marRight w:val="0"/>
      <w:marTop w:val="0"/>
      <w:marBottom w:val="0"/>
      <w:divBdr>
        <w:top w:val="none" w:sz="0" w:space="0" w:color="auto"/>
        <w:left w:val="none" w:sz="0" w:space="0" w:color="auto"/>
        <w:bottom w:val="none" w:sz="0" w:space="0" w:color="auto"/>
        <w:right w:val="none" w:sz="0" w:space="0" w:color="auto"/>
      </w:divBdr>
    </w:div>
    <w:div w:id="101581388">
      <w:bodyDiv w:val="1"/>
      <w:marLeft w:val="0"/>
      <w:marRight w:val="0"/>
      <w:marTop w:val="0"/>
      <w:marBottom w:val="0"/>
      <w:divBdr>
        <w:top w:val="none" w:sz="0" w:space="0" w:color="auto"/>
        <w:left w:val="none" w:sz="0" w:space="0" w:color="auto"/>
        <w:bottom w:val="none" w:sz="0" w:space="0" w:color="auto"/>
        <w:right w:val="none" w:sz="0" w:space="0" w:color="auto"/>
      </w:divBdr>
    </w:div>
    <w:div w:id="135416749">
      <w:bodyDiv w:val="1"/>
      <w:marLeft w:val="0"/>
      <w:marRight w:val="0"/>
      <w:marTop w:val="0"/>
      <w:marBottom w:val="0"/>
      <w:divBdr>
        <w:top w:val="none" w:sz="0" w:space="0" w:color="auto"/>
        <w:left w:val="none" w:sz="0" w:space="0" w:color="auto"/>
        <w:bottom w:val="none" w:sz="0" w:space="0" w:color="auto"/>
        <w:right w:val="none" w:sz="0" w:space="0" w:color="auto"/>
      </w:divBdr>
    </w:div>
    <w:div w:id="174807963">
      <w:bodyDiv w:val="1"/>
      <w:marLeft w:val="0"/>
      <w:marRight w:val="0"/>
      <w:marTop w:val="0"/>
      <w:marBottom w:val="0"/>
      <w:divBdr>
        <w:top w:val="none" w:sz="0" w:space="0" w:color="auto"/>
        <w:left w:val="none" w:sz="0" w:space="0" w:color="auto"/>
        <w:bottom w:val="none" w:sz="0" w:space="0" w:color="auto"/>
        <w:right w:val="none" w:sz="0" w:space="0" w:color="auto"/>
      </w:divBdr>
    </w:div>
    <w:div w:id="193151090">
      <w:bodyDiv w:val="1"/>
      <w:marLeft w:val="0"/>
      <w:marRight w:val="0"/>
      <w:marTop w:val="0"/>
      <w:marBottom w:val="0"/>
      <w:divBdr>
        <w:top w:val="none" w:sz="0" w:space="0" w:color="auto"/>
        <w:left w:val="none" w:sz="0" w:space="0" w:color="auto"/>
        <w:bottom w:val="none" w:sz="0" w:space="0" w:color="auto"/>
        <w:right w:val="none" w:sz="0" w:space="0" w:color="auto"/>
      </w:divBdr>
    </w:div>
    <w:div w:id="225923498">
      <w:bodyDiv w:val="1"/>
      <w:marLeft w:val="0"/>
      <w:marRight w:val="0"/>
      <w:marTop w:val="0"/>
      <w:marBottom w:val="0"/>
      <w:divBdr>
        <w:top w:val="none" w:sz="0" w:space="0" w:color="auto"/>
        <w:left w:val="none" w:sz="0" w:space="0" w:color="auto"/>
        <w:bottom w:val="none" w:sz="0" w:space="0" w:color="auto"/>
        <w:right w:val="none" w:sz="0" w:space="0" w:color="auto"/>
      </w:divBdr>
    </w:div>
    <w:div w:id="227304181">
      <w:bodyDiv w:val="1"/>
      <w:marLeft w:val="0"/>
      <w:marRight w:val="0"/>
      <w:marTop w:val="0"/>
      <w:marBottom w:val="0"/>
      <w:divBdr>
        <w:top w:val="none" w:sz="0" w:space="0" w:color="auto"/>
        <w:left w:val="none" w:sz="0" w:space="0" w:color="auto"/>
        <w:bottom w:val="none" w:sz="0" w:space="0" w:color="auto"/>
        <w:right w:val="none" w:sz="0" w:space="0" w:color="auto"/>
      </w:divBdr>
    </w:div>
    <w:div w:id="386995606">
      <w:bodyDiv w:val="1"/>
      <w:marLeft w:val="0"/>
      <w:marRight w:val="0"/>
      <w:marTop w:val="0"/>
      <w:marBottom w:val="0"/>
      <w:divBdr>
        <w:top w:val="none" w:sz="0" w:space="0" w:color="auto"/>
        <w:left w:val="none" w:sz="0" w:space="0" w:color="auto"/>
        <w:bottom w:val="none" w:sz="0" w:space="0" w:color="auto"/>
        <w:right w:val="none" w:sz="0" w:space="0" w:color="auto"/>
      </w:divBdr>
    </w:div>
    <w:div w:id="403533493">
      <w:bodyDiv w:val="1"/>
      <w:marLeft w:val="0"/>
      <w:marRight w:val="0"/>
      <w:marTop w:val="0"/>
      <w:marBottom w:val="0"/>
      <w:divBdr>
        <w:top w:val="none" w:sz="0" w:space="0" w:color="auto"/>
        <w:left w:val="none" w:sz="0" w:space="0" w:color="auto"/>
        <w:bottom w:val="none" w:sz="0" w:space="0" w:color="auto"/>
        <w:right w:val="none" w:sz="0" w:space="0" w:color="auto"/>
      </w:divBdr>
      <w:divsChild>
        <w:div w:id="1843012971">
          <w:marLeft w:val="0"/>
          <w:marRight w:val="0"/>
          <w:marTop w:val="0"/>
          <w:marBottom w:val="0"/>
          <w:divBdr>
            <w:top w:val="none" w:sz="0" w:space="0" w:color="auto"/>
            <w:left w:val="none" w:sz="0" w:space="0" w:color="auto"/>
            <w:bottom w:val="none" w:sz="0" w:space="0" w:color="auto"/>
            <w:right w:val="none" w:sz="0" w:space="0" w:color="auto"/>
          </w:divBdr>
          <w:divsChild>
            <w:div w:id="1790706908">
              <w:marLeft w:val="0"/>
              <w:marRight w:val="0"/>
              <w:marTop w:val="0"/>
              <w:marBottom w:val="0"/>
              <w:divBdr>
                <w:top w:val="none" w:sz="0" w:space="0" w:color="auto"/>
                <w:left w:val="none" w:sz="0" w:space="0" w:color="auto"/>
                <w:bottom w:val="none" w:sz="0" w:space="0" w:color="auto"/>
                <w:right w:val="none" w:sz="0" w:space="0" w:color="auto"/>
              </w:divBdr>
              <w:divsChild>
                <w:div w:id="1231964621">
                  <w:marLeft w:val="0"/>
                  <w:marRight w:val="0"/>
                  <w:marTop w:val="0"/>
                  <w:marBottom w:val="0"/>
                  <w:divBdr>
                    <w:top w:val="none" w:sz="0" w:space="0" w:color="auto"/>
                    <w:left w:val="none" w:sz="0" w:space="0" w:color="auto"/>
                    <w:bottom w:val="none" w:sz="0" w:space="0" w:color="auto"/>
                    <w:right w:val="none" w:sz="0" w:space="0" w:color="auto"/>
                  </w:divBdr>
                  <w:divsChild>
                    <w:div w:id="1577009862">
                      <w:marLeft w:val="0"/>
                      <w:marRight w:val="0"/>
                      <w:marTop w:val="0"/>
                      <w:marBottom w:val="0"/>
                      <w:divBdr>
                        <w:top w:val="none" w:sz="0" w:space="0" w:color="auto"/>
                        <w:left w:val="none" w:sz="0" w:space="0" w:color="auto"/>
                        <w:bottom w:val="none" w:sz="0" w:space="0" w:color="auto"/>
                        <w:right w:val="none" w:sz="0" w:space="0" w:color="auto"/>
                      </w:divBdr>
                      <w:divsChild>
                        <w:div w:id="1552377425">
                          <w:marLeft w:val="0"/>
                          <w:marRight w:val="0"/>
                          <w:marTop w:val="0"/>
                          <w:marBottom w:val="0"/>
                          <w:divBdr>
                            <w:top w:val="none" w:sz="0" w:space="0" w:color="auto"/>
                            <w:left w:val="none" w:sz="0" w:space="0" w:color="auto"/>
                            <w:bottom w:val="none" w:sz="0" w:space="0" w:color="auto"/>
                            <w:right w:val="none" w:sz="0" w:space="0" w:color="auto"/>
                          </w:divBdr>
                          <w:divsChild>
                            <w:div w:id="766266249">
                              <w:marLeft w:val="0"/>
                              <w:marRight w:val="0"/>
                              <w:marTop w:val="0"/>
                              <w:marBottom w:val="0"/>
                              <w:divBdr>
                                <w:top w:val="none" w:sz="0" w:space="0" w:color="auto"/>
                                <w:left w:val="none" w:sz="0" w:space="0" w:color="auto"/>
                                <w:bottom w:val="none" w:sz="0" w:space="0" w:color="auto"/>
                                <w:right w:val="none" w:sz="0" w:space="0" w:color="auto"/>
                              </w:divBdr>
                              <w:divsChild>
                                <w:div w:id="1763917242">
                                  <w:marLeft w:val="0"/>
                                  <w:marRight w:val="0"/>
                                  <w:marTop w:val="0"/>
                                  <w:marBottom w:val="0"/>
                                  <w:divBdr>
                                    <w:top w:val="none" w:sz="0" w:space="0" w:color="auto"/>
                                    <w:left w:val="none" w:sz="0" w:space="0" w:color="auto"/>
                                    <w:bottom w:val="none" w:sz="0" w:space="0" w:color="auto"/>
                                    <w:right w:val="none" w:sz="0" w:space="0" w:color="auto"/>
                                  </w:divBdr>
                                  <w:divsChild>
                                    <w:div w:id="295838772">
                                      <w:marLeft w:val="0"/>
                                      <w:marRight w:val="0"/>
                                      <w:marTop w:val="0"/>
                                      <w:marBottom w:val="0"/>
                                      <w:divBdr>
                                        <w:top w:val="none" w:sz="0" w:space="0" w:color="auto"/>
                                        <w:left w:val="none" w:sz="0" w:space="0" w:color="auto"/>
                                        <w:bottom w:val="none" w:sz="0" w:space="0" w:color="auto"/>
                                        <w:right w:val="none" w:sz="0" w:space="0" w:color="auto"/>
                                      </w:divBdr>
                                      <w:divsChild>
                                        <w:div w:id="814686097">
                                          <w:marLeft w:val="0"/>
                                          <w:marRight w:val="0"/>
                                          <w:marTop w:val="0"/>
                                          <w:marBottom w:val="0"/>
                                          <w:divBdr>
                                            <w:top w:val="none" w:sz="0" w:space="0" w:color="auto"/>
                                            <w:left w:val="none" w:sz="0" w:space="0" w:color="auto"/>
                                            <w:bottom w:val="none" w:sz="0" w:space="0" w:color="auto"/>
                                            <w:right w:val="none" w:sz="0" w:space="0" w:color="auto"/>
                                          </w:divBdr>
                                          <w:divsChild>
                                            <w:div w:id="803891802">
                                              <w:marLeft w:val="0"/>
                                              <w:marRight w:val="0"/>
                                              <w:marTop w:val="0"/>
                                              <w:marBottom w:val="0"/>
                                              <w:divBdr>
                                                <w:top w:val="none" w:sz="0" w:space="0" w:color="auto"/>
                                                <w:left w:val="none" w:sz="0" w:space="0" w:color="auto"/>
                                                <w:bottom w:val="none" w:sz="0" w:space="0" w:color="auto"/>
                                                <w:right w:val="none" w:sz="0" w:space="0" w:color="auto"/>
                                              </w:divBdr>
                                              <w:divsChild>
                                                <w:div w:id="101387256">
                                                  <w:marLeft w:val="0"/>
                                                  <w:marRight w:val="0"/>
                                                  <w:marTop w:val="0"/>
                                                  <w:marBottom w:val="0"/>
                                                  <w:divBdr>
                                                    <w:top w:val="none" w:sz="0" w:space="0" w:color="auto"/>
                                                    <w:left w:val="none" w:sz="0" w:space="0" w:color="auto"/>
                                                    <w:bottom w:val="none" w:sz="0" w:space="0" w:color="auto"/>
                                                    <w:right w:val="none" w:sz="0" w:space="0" w:color="auto"/>
                                                  </w:divBdr>
                                                  <w:divsChild>
                                                    <w:div w:id="683557459">
                                                      <w:marLeft w:val="0"/>
                                                      <w:marRight w:val="0"/>
                                                      <w:marTop w:val="0"/>
                                                      <w:marBottom w:val="0"/>
                                                      <w:divBdr>
                                                        <w:top w:val="none" w:sz="0" w:space="0" w:color="auto"/>
                                                        <w:left w:val="none" w:sz="0" w:space="0" w:color="auto"/>
                                                        <w:bottom w:val="none" w:sz="0" w:space="0" w:color="auto"/>
                                                        <w:right w:val="none" w:sz="0" w:space="0" w:color="auto"/>
                                                      </w:divBdr>
                                                      <w:divsChild>
                                                        <w:div w:id="1899513935">
                                                          <w:marLeft w:val="0"/>
                                                          <w:marRight w:val="0"/>
                                                          <w:marTop w:val="0"/>
                                                          <w:marBottom w:val="0"/>
                                                          <w:divBdr>
                                                            <w:top w:val="none" w:sz="0" w:space="0" w:color="auto"/>
                                                            <w:left w:val="none" w:sz="0" w:space="0" w:color="auto"/>
                                                            <w:bottom w:val="none" w:sz="0" w:space="0" w:color="auto"/>
                                                            <w:right w:val="none" w:sz="0" w:space="0" w:color="auto"/>
                                                          </w:divBdr>
                                                          <w:divsChild>
                                                            <w:div w:id="418060292">
                                                              <w:marLeft w:val="0"/>
                                                              <w:marRight w:val="0"/>
                                                              <w:marTop w:val="0"/>
                                                              <w:marBottom w:val="0"/>
                                                              <w:divBdr>
                                                                <w:top w:val="none" w:sz="0" w:space="0" w:color="auto"/>
                                                                <w:left w:val="none" w:sz="0" w:space="0" w:color="auto"/>
                                                                <w:bottom w:val="none" w:sz="0" w:space="0" w:color="auto"/>
                                                                <w:right w:val="none" w:sz="0" w:space="0" w:color="auto"/>
                                                              </w:divBdr>
                                                              <w:divsChild>
                                                                <w:div w:id="1304889741">
                                                                  <w:marLeft w:val="0"/>
                                                                  <w:marRight w:val="0"/>
                                                                  <w:marTop w:val="0"/>
                                                                  <w:marBottom w:val="0"/>
                                                                  <w:divBdr>
                                                                    <w:top w:val="none" w:sz="0" w:space="0" w:color="auto"/>
                                                                    <w:left w:val="none" w:sz="0" w:space="0" w:color="auto"/>
                                                                    <w:bottom w:val="none" w:sz="0" w:space="0" w:color="auto"/>
                                                                    <w:right w:val="none" w:sz="0" w:space="0" w:color="auto"/>
                                                                  </w:divBdr>
                                                                </w:div>
                                                                <w:div w:id="1543978910">
                                                                  <w:marLeft w:val="0"/>
                                                                  <w:marRight w:val="0"/>
                                                                  <w:marTop w:val="0"/>
                                                                  <w:marBottom w:val="0"/>
                                                                  <w:divBdr>
                                                                    <w:top w:val="none" w:sz="0" w:space="0" w:color="auto"/>
                                                                    <w:left w:val="none" w:sz="0" w:space="0" w:color="auto"/>
                                                                    <w:bottom w:val="none" w:sz="0" w:space="0" w:color="auto"/>
                                                                    <w:right w:val="none" w:sz="0" w:space="0" w:color="auto"/>
                                                                  </w:divBdr>
                                                                  <w:divsChild>
                                                                    <w:div w:id="2013140172">
                                                                      <w:marLeft w:val="0"/>
                                                                      <w:marRight w:val="0"/>
                                                                      <w:marTop w:val="0"/>
                                                                      <w:marBottom w:val="0"/>
                                                                      <w:divBdr>
                                                                        <w:top w:val="none" w:sz="0" w:space="0" w:color="auto"/>
                                                                        <w:left w:val="none" w:sz="0" w:space="0" w:color="auto"/>
                                                                        <w:bottom w:val="none" w:sz="0" w:space="0" w:color="auto"/>
                                                                        <w:right w:val="none" w:sz="0" w:space="0" w:color="auto"/>
                                                                      </w:divBdr>
                                                                      <w:divsChild>
                                                                        <w:div w:id="622611418">
                                                                          <w:marLeft w:val="0"/>
                                                                          <w:marRight w:val="0"/>
                                                                          <w:marTop w:val="0"/>
                                                                          <w:marBottom w:val="0"/>
                                                                          <w:divBdr>
                                                                            <w:top w:val="none" w:sz="0" w:space="0" w:color="auto"/>
                                                                            <w:left w:val="none" w:sz="0" w:space="0" w:color="auto"/>
                                                                            <w:bottom w:val="none" w:sz="0" w:space="0" w:color="auto"/>
                                                                            <w:right w:val="none" w:sz="0" w:space="0" w:color="auto"/>
                                                                          </w:divBdr>
                                                                          <w:divsChild>
                                                                            <w:div w:id="841970407">
                                                                              <w:marLeft w:val="0"/>
                                                                              <w:marRight w:val="0"/>
                                                                              <w:marTop w:val="0"/>
                                                                              <w:marBottom w:val="0"/>
                                                                              <w:divBdr>
                                                                                <w:top w:val="none" w:sz="0" w:space="0" w:color="auto"/>
                                                                                <w:left w:val="none" w:sz="0" w:space="0" w:color="auto"/>
                                                                                <w:bottom w:val="none" w:sz="0" w:space="0" w:color="auto"/>
                                                                                <w:right w:val="none" w:sz="0" w:space="0" w:color="auto"/>
                                                                              </w:divBdr>
                                                                              <w:divsChild>
                                                                                <w:div w:id="1765028145">
                                                                                  <w:marLeft w:val="0"/>
                                                                                  <w:marRight w:val="0"/>
                                                                                  <w:marTop w:val="0"/>
                                                                                  <w:marBottom w:val="0"/>
                                                                                  <w:divBdr>
                                                                                    <w:top w:val="none" w:sz="0" w:space="0" w:color="auto"/>
                                                                                    <w:left w:val="none" w:sz="0" w:space="0" w:color="auto"/>
                                                                                    <w:bottom w:val="none" w:sz="0" w:space="0" w:color="auto"/>
                                                                                    <w:right w:val="none" w:sz="0" w:space="0" w:color="auto"/>
                                                                                  </w:divBdr>
                                                                                  <w:divsChild>
                                                                                    <w:div w:id="2003197841">
                                                                                      <w:marLeft w:val="0"/>
                                                                                      <w:marRight w:val="0"/>
                                                                                      <w:marTop w:val="0"/>
                                                                                      <w:marBottom w:val="0"/>
                                                                                      <w:divBdr>
                                                                                        <w:top w:val="none" w:sz="0" w:space="0" w:color="auto"/>
                                                                                        <w:left w:val="none" w:sz="0" w:space="0" w:color="auto"/>
                                                                                        <w:bottom w:val="none" w:sz="0" w:space="0" w:color="auto"/>
                                                                                        <w:right w:val="none" w:sz="0" w:space="0" w:color="auto"/>
                                                                                      </w:divBdr>
                                                                                      <w:divsChild>
                                                                                        <w:div w:id="788818000">
                                                                                          <w:marLeft w:val="0"/>
                                                                                          <w:marRight w:val="0"/>
                                                                                          <w:marTop w:val="0"/>
                                                                                          <w:marBottom w:val="0"/>
                                                                                          <w:divBdr>
                                                                                            <w:top w:val="none" w:sz="0" w:space="0" w:color="auto"/>
                                                                                            <w:left w:val="none" w:sz="0" w:space="0" w:color="auto"/>
                                                                                            <w:bottom w:val="none" w:sz="0" w:space="0" w:color="auto"/>
                                                                                            <w:right w:val="none" w:sz="0" w:space="0" w:color="auto"/>
                                                                                          </w:divBdr>
                                                                                          <w:divsChild>
                                                                                            <w:div w:id="413934429">
                                                                                              <w:marLeft w:val="0"/>
                                                                                              <w:marRight w:val="0"/>
                                                                                              <w:marTop w:val="0"/>
                                                                                              <w:marBottom w:val="0"/>
                                                                                              <w:divBdr>
                                                                                                <w:top w:val="none" w:sz="0" w:space="0" w:color="auto"/>
                                                                                                <w:left w:val="none" w:sz="0" w:space="0" w:color="auto"/>
                                                                                                <w:bottom w:val="none" w:sz="0" w:space="0" w:color="auto"/>
                                                                                                <w:right w:val="none" w:sz="0" w:space="0" w:color="auto"/>
                                                                                              </w:divBdr>
                                                                                              <w:divsChild>
                                                                                                <w:div w:id="193570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8234935">
      <w:bodyDiv w:val="1"/>
      <w:marLeft w:val="0"/>
      <w:marRight w:val="0"/>
      <w:marTop w:val="0"/>
      <w:marBottom w:val="0"/>
      <w:divBdr>
        <w:top w:val="none" w:sz="0" w:space="0" w:color="auto"/>
        <w:left w:val="none" w:sz="0" w:space="0" w:color="auto"/>
        <w:bottom w:val="none" w:sz="0" w:space="0" w:color="auto"/>
        <w:right w:val="none" w:sz="0" w:space="0" w:color="auto"/>
      </w:divBdr>
    </w:div>
    <w:div w:id="445661808">
      <w:bodyDiv w:val="1"/>
      <w:marLeft w:val="0"/>
      <w:marRight w:val="0"/>
      <w:marTop w:val="0"/>
      <w:marBottom w:val="0"/>
      <w:divBdr>
        <w:top w:val="none" w:sz="0" w:space="0" w:color="auto"/>
        <w:left w:val="none" w:sz="0" w:space="0" w:color="auto"/>
        <w:bottom w:val="none" w:sz="0" w:space="0" w:color="auto"/>
        <w:right w:val="none" w:sz="0" w:space="0" w:color="auto"/>
      </w:divBdr>
    </w:div>
    <w:div w:id="486212126">
      <w:bodyDiv w:val="1"/>
      <w:marLeft w:val="0"/>
      <w:marRight w:val="0"/>
      <w:marTop w:val="0"/>
      <w:marBottom w:val="0"/>
      <w:divBdr>
        <w:top w:val="none" w:sz="0" w:space="0" w:color="auto"/>
        <w:left w:val="none" w:sz="0" w:space="0" w:color="auto"/>
        <w:bottom w:val="none" w:sz="0" w:space="0" w:color="auto"/>
        <w:right w:val="none" w:sz="0" w:space="0" w:color="auto"/>
      </w:divBdr>
    </w:div>
    <w:div w:id="493763468">
      <w:bodyDiv w:val="1"/>
      <w:marLeft w:val="0"/>
      <w:marRight w:val="0"/>
      <w:marTop w:val="0"/>
      <w:marBottom w:val="0"/>
      <w:divBdr>
        <w:top w:val="none" w:sz="0" w:space="0" w:color="auto"/>
        <w:left w:val="none" w:sz="0" w:space="0" w:color="auto"/>
        <w:bottom w:val="none" w:sz="0" w:space="0" w:color="auto"/>
        <w:right w:val="none" w:sz="0" w:space="0" w:color="auto"/>
      </w:divBdr>
    </w:div>
    <w:div w:id="619149274">
      <w:bodyDiv w:val="1"/>
      <w:marLeft w:val="0"/>
      <w:marRight w:val="0"/>
      <w:marTop w:val="0"/>
      <w:marBottom w:val="0"/>
      <w:divBdr>
        <w:top w:val="none" w:sz="0" w:space="0" w:color="auto"/>
        <w:left w:val="none" w:sz="0" w:space="0" w:color="auto"/>
        <w:bottom w:val="none" w:sz="0" w:space="0" w:color="auto"/>
        <w:right w:val="none" w:sz="0" w:space="0" w:color="auto"/>
      </w:divBdr>
      <w:divsChild>
        <w:div w:id="131679511">
          <w:marLeft w:val="0"/>
          <w:marRight w:val="0"/>
          <w:marTop w:val="0"/>
          <w:marBottom w:val="0"/>
          <w:divBdr>
            <w:top w:val="none" w:sz="0" w:space="0" w:color="auto"/>
            <w:left w:val="none" w:sz="0" w:space="0" w:color="auto"/>
            <w:bottom w:val="none" w:sz="0" w:space="0" w:color="auto"/>
            <w:right w:val="none" w:sz="0" w:space="0" w:color="auto"/>
          </w:divBdr>
          <w:divsChild>
            <w:div w:id="1159880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791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18054">
      <w:bodyDiv w:val="1"/>
      <w:marLeft w:val="0"/>
      <w:marRight w:val="0"/>
      <w:marTop w:val="0"/>
      <w:marBottom w:val="0"/>
      <w:divBdr>
        <w:top w:val="none" w:sz="0" w:space="0" w:color="auto"/>
        <w:left w:val="none" w:sz="0" w:space="0" w:color="auto"/>
        <w:bottom w:val="none" w:sz="0" w:space="0" w:color="auto"/>
        <w:right w:val="none" w:sz="0" w:space="0" w:color="auto"/>
      </w:divBdr>
    </w:div>
    <w:div w:id="686753730">
      <w:bodyDiv w:val="1"/>
      <w:marLeft w:val="0"/>
      <w:marRight w:val="0"/>
      <w:marTop w:val="0"/>
      <w:marBottom w:val="0"/>
      <w:divBdr>
        <w:top w:val="none" w:sz="0" w:space="0" w:color="auto"/>
        <w:left w:val="none" w:sz="0" w:space="0" w:color="auto"/>
        <w:bottom w:val="none" w:sz="0" w:space="0" w:color="auto"/>
        <w:right w:val="none" w:sz="0" w:space="0" w:color="auto"/>
      </w:divBdr>
    </w:div>
    <w:div w:id="696273125">
      <w:bodyDiv w:val="1"/>
      <w:marLeft w:val="0"/>
      <w:marRight w:val="0"/>
      <w:marTop w:val="0"/>
      <w:marBottom w:val="0"/>
      <w:divBdr>
        <w:top w:val="none" w:sz="0" w:space="0" w:color="auto"/>
        <w:left w:val="none" w:sz="0" w:space="0" w:color="auto"/>
        <w:bottom w:val="none" w:sz="0" w:space="0" w:color="auto"/>
        <w:right w:val="none" w:sz="0" w:space="0" w:color="auto"/>
      </w:divBdr>
    </w:div>
    <w:div w:id="709648240">
      <w:bodyDiv w:val="1"/>
      <w:marLeft w:val="0"/>
      <w:marRight w:val="0"/>
      <w:marTop w:val="0"/>
      <w:marBottom w:val="0"/>
      <w:divBdr>
        <w:top w:val="none" w:sz="0" w:space="0" w:color="auto"/>
        <w:left w:val="none" w:sz="0" w:space="0" w:color="auto"/>
        <w:bottom w:val="none" w:sz="0" w:space="0" w:color="auto"/>
        <w:right w:val="none" w:sz="0" w:space="0" w:color="auto"/>
      </w:divBdr>
    </w:div>
    <w:div w:id="711730755">
      <w:bodyDiv w:val="1"/>
      <w:marLeft w:val="0"/>
      <w:marRight w:val="0"/>
      <w:marTop w:val="0"/>
      <w:marBottom w:val="0"/>
      <w:divBdr>
        <w:top w:val="none" w:sz="0" w:space="0" w:color="auto"/>
        <w:left w:val="none" w:sz="0" w:space="0" w:color="auto"/>
        <w:bottom w:val="none" w:sz="0" w:space="0" w:color="auto"/>
        <w:right w:val="none" w:sz="0" w:space="0" w:color="auto"/>
      </w:divBdr>
    </w:div>
    <w:div w:id="728574099">
      <w:bodyDiv w:val="1"/>
      <w:marLeft w:val="0"/>
      <w:marRight w:val="0"/>
      <w:marTop w:val="0"/>
      <w:marBottom w:val="0"/>
      <w:divBdr>
        <w:top w:val="none" w:sz="0" w:space="0" w:color="auto"/>
        <w:left w:val="none" w:sz="0" w:space="0" w:color="auto"/>
        <w:bottom w:val="none" w:sz="0" w:space="0" w:color="auto"/>
        <w:right w:val="none" w:sz="0" w:space="0" w:color="auto"/>
      </w:divBdr>
    </w:div>
    <w:div w:id="851264540">
      <w:bodyDiv w:val="1"/>
      <w:marLeft w:val="0"/>
      <w:marRight w:val="0"/>
      <w:marTop w:val="0"/>
      <w:marBottom w:val="0"/>
      <w:divBdr>
        <w:top w:val="none" w:sz="0" w:space="0" w:color="auto"/>
        <w:left w:val="none" w:sz="0" w:space="0" w:color="auto"/>
        <w:bottom w:val="none" w:sz="0" w:space="0" w:color="auto"/>
        <w:right w:val="none" w:sz="0" w:space="0" w:color="auto"/>
      </w:divBdr>
    </w:div>
    <w:div w:id="874462646">
      <w:bodyDiv w:val="1"/>
      <w:marLeft w:val="0"/>
      <w:marRight w:val="0"/>
      <w:marTop w:val="0"/>
      <w:marBottom w:val="0"/>
      <w:divBdr>
        <w:top w:val="none" w:sz="0" w:space="0" w:color="auto"/>
        <w:left w:val="none" w:sz="0" w:space="0" w:color="auto"/>
        <w:bottom w:val="none" w:sz="0" w:space="0" w:color="auto"/>
        <w:right w:val="none" w:sz="0" w:space="0" w:color="auto"/>
      </w:divBdr>
    </w:div>
    <w:div w:id="1137144512">
      <w:bodyDiv w:val="1"/>
      <w:marLeft w:val="0"/>
      <w:marRight w:val="0"/>
      <w:marTop w:val="0"/>
      <w:marBottom w:val="0"/>
      <w:divBdr>
        <w:top w:val="none" w:sz="0" w:space="0" w:color="auto"/>
        <w:left w:val="none" w:sz="0" w:space="0" w:color="auto"/>
        <w:bottom w:val="none" w:sz="0" w:space="0" w:color="auto"/>
        <w:right w:val="none" w:sz="0" w:space="0" w:color="auto"/>
      </w:divBdr>
    </w:div>
    <w:div w:id="1154565429">
      <w:bodyDiv w:val="1"/>
      <w:marLeft w:val="0"/>
      <w:marRight w:val="0"/>
      <w:marTop w:val="0"/>
      <w:marBottom w:val="0"/>
      <w:divBdr>
        <w:top w:val="none" w:sz="0" w:space="0" w:color="auto"/>
        <w:left w:val="none" w:sz="0" w:space="0" w:color="auto"/>
        <w:bottom w:val="none" w:sz="0" w:space="0" w:color="auto"/>
        <w:right w:val="none" w:sz="0" w:space="0" w:color="auto"/>
      </w:divBdr>
    </w:div>
    <w:div w:id="1174422460">
      <w:bodyDiv w:val="1"/>
      <w:marLeft w:val="0"/>
      <w:marRight w:val="0"/>
      <w:marTop w:val="0"/>
      <w:marBottom w:val="0"/>
      <w:divBdr>
        <w:top w:val="none" w:sz="0" w:space="0" w:color="auto"/>
        <w:left w:val="none" w:sz="0" w:space="0" w:color="auto"/>
        <w:bottom w:val="none" w:sz="0" w:space="0" w:color="auto"/>
        <w:right w:val="none" w:sz="0" w:space="0" w:color="auto"/>
      </w:divBdr>
    </w:div>
    <w:div w:id="1205798710">
      <w:bodyDiv w:val="1"/>
      <w:marLeft w:val="0"/>
      <w:marRight w:val="0"/>
      <w:marTop w:val="0"/>
      <w:marBottom w:val="0"/>
      <w:divBdr>
        <w:top w:val="none" w:sz="0" w:space="0" w:color="auto"/>
        <w:left w:val="none" w:sz="0" w:space="0" w:color="auto"/>
        <w:bottom w:val="none" w:sz="0" w:space="0" w:color="auto"/>
        <w:right w:val="none" w:sz="0" w:space="0" w:color="auto"/>
      </w:divBdr>
    </w:div>
    <w:div w:id="1280182399">
      <w:bodyDiv w:val="1"/>
      <w:marLeft w:val="0"/>
      <w:marRight w:val="0"/>
      <w:marTop w:val="0"/>
      <w:marBottom w:val="0"/>
      <w:divBdr>
        <w:top w:val="none" w:sz="0" w:space="0" w:color="auto"/>
        <w:left w:val="none" w:sz="0" w:space="0" w:color="auto"/>
        <w:bottom w:val="none" w:sz="0" w:space="0" w:color="auto"/>
        <w:right w:val="none" w:sz="0" w:space="0" w:color="auto"/>
      </w:divBdr>
    </w:div>
    <w:div w:id="1338271697">
      <w:bodyDiv w:val="1"/>
      <w:marLeft w:val="0"/>
      <w:marRight w:val="0"/>
      <w:marTop w:val="0"/>
      <w:marBottom w:val="0"/>
      <w:divBdr>
        <w:top w:val="none" w:sz="0" w:space="0" w:color="auto"/>
        <w:left w:val="none" w:sz="0" w:space="0" w:color="auto"/>
        <w:bottom w:val="none" w:sz="0" w:space="0" w:color="auto"/>
        <w:right w:val="none" w:sz="0" w:space="0" w:color="auto"/>
      </w:divBdr>
    </w:div>
    <w:div w:id="1387992797">
      <w:bodyDiv w:val="1"/>
      <w:marLeft w:val="0"/>
      <w:marRight w:val="0"/>
      <w:marTop w:val="0"/>
      <w:marBottom w:val="0"/>
      <w:divBdr>
        <w:top w:val="none" w:sz="0" w:space="0" w:color="auto"/>
        <w:left w:val="none" w:sz="0" w:space="0" w:color="auto"/>
        <w:bottom w:val="none" w:sz="0" w:space="0" w:color="auto"/>
        <w:right w:val="none" w:sz="0" w:space="0" w:color="auto"/>
      </w:divBdr>
    </w:div>
    <w:div w:id="1412695432">
      <w:bodyDiv w:val="1"/>
      <w:marLeft w:val="0"/>
      <w:marRight w:val="0"/>
      <w:marTop w:val="0"/>
      <w:marBottom w:val="0"/>
      <w:divBdr>
        <w:top w:val="none" w:sz="0" w:space="0" w:color="auto"/>
        <w:left w:val="none" w:sz="0" w:space="0" w:color="auto"/>
        <w:bottom w:val="none" w:sz="0" w:space="0" w:color="auto"/>
        <w:right w:val="none" w:sz="0" w:space="0" w:color="auto"/>
      </w:divBdr>
    </w:div>
    <w:div w:id="1473792712">
      <w:bodyDiv w:val="1"/>
      <w:marLeft w:val="0"/>
      <w:marRight w:val="0"/>
      <w:marTop w:val="0"/>
      <w:marBottom w:val="0"/>
      <w:divBdr>
        <w:top w:val="none" w:sz="0" w:space="0" w:color="auto"/>
        <w:left w:val="none" w:sz="0" w:space="0" w:color="auto"/>
        <w:bottom w:val="none" w:sz="0" w:space="0" w:color="auto"/>
        <w:right w:val="none" w:sz="0" w:space="0" w:color="auto"/>
      </w:divBdr>
    </w:div>
    <w:div w:id="1510020134">
      <w:bodyDiv w:val="1"/>
      <w:marLeft w:val="0"/>
      <w:marRight w:val="0"/>
      <w:marTop w:val="0"/>
      <w:marBottom w:val="0"/>
      <w:divBdr>
        <w:top w:val="none" w:sz="0" w:space="0" w:color="auto"/>
        <w:left w:val="none" w:sz="0" w:space="0" w:color="auto"/>
        <w:bottom w:val="none" w:sz="0" w:space="0" w:color="auto"/>
        <w:right w:val="none" w:sz="0" w:space="0" w:color="auto"/>
      </w:divBdr>
    </w:div>
    <w:div w:id="1558515022">
      <w:bodyDiv w:val="1"/>
      <w:marLeft w:val="0"/>
      <w:marRight w:val="0"/>
      <w:marTop w:val="0"/>
      <w:marBottom w:val="0"/>
      <w:divBdr>
        <w:top w:val="none" w:sz="0" w:space="0" w:color="auto"/>
        <w:left w:val="none" w:sz="0" w:space="0" w:color="auto"/>
        <w:bottom w:val="none" w:sz="0" w:space="0" w:color="auto"/>
        <w:right w:val="none" w:sz="0" w:space="0" w:color="auto"/>
      </w:divBdr>
    </w:div>
    <w:div w:id="1565143952">
      <w:bodyDiv w:val="1"/>
      <w:marLeft w:val="0"/>
      <w:marRight w:val="0"/>
      <w:marTop w:val="0"/>
      <w:marBottom w:val="0"/>
      <w:divBdr>
        <w:top w:val="none" w:sz="0" w:space="0" w:color="auto"/>
        <w:left w:val="none" w:sz="0" w:space="0" w:color="auto"/>
        <w:bottom w:val="none" w:sz="0" w:space="0" w:color="auto"/>
        <w:right w:val="none" w:sz="0" w:space="0" w:color="auto"/>
      </w:divBdr>
      <w:divsChild>
        <w:div w:id="652217124">
          <w:marLeft w:val="0"/>
          <w:marRight w:val="0"/>
          <w:marTop w:val="0"/>
          <w:marBottom w:val="0"/>
          <w:divBdr>
            <w:top w:val="none" w:sz="0" w:space="0" w:color="auto"/>
            <w:left w:val="none" w:sz="0" w:space="0" w:color="auto"/>
            <w:bottom w:val="none" w:sz="0" w:space="0" w:color="auto"/>
            <w:right w:val="none" w:sz="0" w:space="0" w:color="auto"/>
          </w:divBdr>
        </w:div>
      </w:divsChild>
    </w:div>
    <w:div w:id="1588466827">
      <w:bodyDiv w:val="1"/>
      <w:marLeft w:val="0"/>
      <w:marRight w:val="0"/>
      <w:marTop w:val="0"/>
      <w:marBottom w:val="0"/>
      <w:divBdr>
        <w:top w:val="none" w:sz="0" w:space="0" w:color="auto"/>
        <w:left w:val="none" w:sz="0" w:space="0" w:color="auto"/>
        <w:bottom w:val="none" w:sz="0" w:space="0" w:color="auto"/>
        <w:right w:val="none" w:sz="0" w:space="0" w:color="auto"/>
      </w:divBdr>
    </w:div>
    <w:div w:id="1652708352">
      <w:bodyDiv w:val="1"/>
      <w:marLeft w:val="0"/>
      <w:marRight w:val="0"/>
      <w:marTop w:val="0"/>
      <w:marBottom w:val="0"/>
      <w:divBdr>
        <w:top w:val="none" w:sz="0" w:space="0" w:color="auto"/>
        <w:left w:val="none" w:sz="0" w:space="0" w:color="auto"/>
        <w:bottom w:val="none" w:sz="0" w:space="0" w:color="auto"/>
        <w:right w:val="none" w:sz="0" w:space="0" w:color="auto"/>
      </w:divBdr>
    </w:div>
    <w:div w:id="1706442595">
      <w:bodyDiv w:val="1"/>
      <w:marLeft w:val="0"/>
      <w:marRight w:val="0"/>
      <w:marTop w:val="0"/>
      <w:marBottom w:val="0"/>
      <w:divBdr>
        <w:top w:val="none" w:sz="0" w:space="0" w:color="auto"/>
        <w:left w:val="none" w:sz="0" w:space="0" w:color="auto"/>
        <w:bottom w:val="none" w:sz="0" w:space="0" w:color="auto"/>
        <w:right w:val="none" w:sz="0" w:space="0" w:color="auto"/>
      </w:divBdr>
    </w:div>
    <w:div w:id="1735663808">
      <w:bodyDiv w:val="1"/>
      <w:marLeft w:val="0"/>
      <w:marRight w:val="0"/>
      <w:marTop w:val="0"/>
      <w:marBottom w:val="0"/>
      <w:divBdr>
        <w:top w:val="none" w:sz="0" w:space="0" w:color="auto"/>
        <w:left w:val="none" w:sz="0" w:space="0" w:color="auto"/>
        <w:bottom w:val="none" w:sz="0" w:space="0" w:color="auto"/>
        <w:right w:val="none" w:sz="0" w:space="0" w:color="auto"/>
      </w:divBdr>
    </w:div>
    <w:div w:id="1741630094">
      <w:bodyDiv w:val="1"/>
      <w:marLeft w:val="0"/>
      <w:marRight w:val="0"/>
      <w:marTop w:val="0"/>
      <w:marBottom w:val="0"/>
      <w:divBdr>
        <w:top w:val="none" w:sz="0" w:space="0" w:color="auto"/>
        <w:left w:val="none" w:sz="0" w:space="0" w:color="auto"/>
        <w:bottom w:val="none" w:sz="0" w:space="0" w:color="auto"/>
        <w:right w:val="none" w:sz="0" w:space="0" w:color="auto"/>
      </w:divBdr>
    </w:div>
    <w:div w:id="1797486381">
      <w:bodyDiv w:val="1"/>
      <w:marLeft w:val="0"/>
      <w:marRight w:val="0"/>
      <w:marTop w:val="0"/>
      <w:marBottom w:val="0"/>
      <w:divBdr>
        <w:top w:val="none" w:sz="0" w:space="0" w:color="auto"/>
        <w:left w:val="none" w:sz="0" w:space="0" w:color="auto"/>
        <w:bottom w:val="none" w:sz="0" w:space="0" w:color="auto"/>
        <w:right w:val="none" w:sz="0" w:space="0" w:color="auto"/>
      </w:divBdr>
    </w:div>
    <w:div w:id="1808931538">
      <w:bodyDiv w:val="1"/>
      <w:marLeft w:val="0"/>
      <w:marRight w:val="0"/>
      <w:marTop w:val="0"/>
      <w:marBottom w:val="0"/>
      <w:divBdr>
        <w:top w:val="none" w:sz="0" w:space="0" w:color="auto"/>
        <w:left w:val="none" w:sz="0" w:space="0" w:color="auto"/>
        <w:bottom w:val="none" w:sz="0" w:space="0" w:color="auto"/>
        <w:right w:val="none" w:sz="0" w:space="0" w:color="auto"/>
      </w:divBdr>
    </w:div>
    <w:div w:id="1809545675">
      <w:bodyDiv w:val="1"/>
      <w:marLeft w:val="0"/>
      <w:marRight w:val="0"/>
      <w:marTop w:val="0"/>
      <w:marBottom w:val="0"/>
      <w:divBdr>
        <w:top w:val="none" w:sz="0" w:space="0" w:color="auto"/>
        <w:left w:val="none" w:sz="0" w:space="0" w:color="auto"/>
        <w:bottom w:val="none" w:sz="0" w:space="0" w:color="auto"/>
        <w:right w:val="none" w:sz="0" w:space="0" w:color="auto"/>
      </w:divBdr>
      <w:divsChild>
        <w:div w:id="1993757868">
          <w:marLeft w:val="0"/>
          <w:marRight w:val="0"/>
          <w:marTop w:val="0"/>
          <w:marBottom w:val="0"/>
          <w:divBdr>
            <w:top w:val="none" w:sz="0" w:space="0" w:color="auto"/>
            <w:left w:val="none" w:sz="0" w:space="0" w:color="auto"/>
            <w:bottom w:val="none" w:sz="0" w:space="0" w:color="auto"/>
            <w:right w:val="none" w:sz="0" w:space="0" w:color="auto"/>
          </w:divBdr>
          <w:divsChild>
            <w:div w:id="102581723">
              <w:marLeft w:val="0"/>
              <w:marRight w:val="0"/>
              <w:marTop w:val="0"/>
              <w:marBottom w:val="0"/>
              <w:divBdr>
                <w:top w:val="none" w:sz="0" w:space="0" w:color="auto"/>
                <w:left w:val="none" w:sz="0" w:space="0" w:color="auto"/>
                <w:bottom w:val="none" w:sz="0" w:space="0" w:color="auto"/>
                <w:right w:val="none" w:sz="0" w:space="0" w:color="auto"/>
              </w:divBdr>
              <w:divsChild>
                <w:div w:id="2080443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6292250">
                      <w:marLeft w:val="0"/>
                      <w:marRight w:val="0"/>
                      <w:marTop w:val="0"/>
                      <w:marBottom w:val="0"/>
                      <w:divBdr>
                        <w:top w:val="none" w:sz="0" w:space="0" w:color="auto"/>
                        <w:left w:val="none" w:sz="0" w:space="0" w:color="auto"/>
                        <w:bottom w:val="none" w:sz="0" w:space="0" w:color="auto"/>
                        <w:right w:val="none" w:sz="0" w:space="0" w:color="auto"/>
                      </w:divBdr>
                    </w:div>
                    <w:div w:id="1476529972">
                      <w:marLeft w:val="0"/>
                      <w:marRight w:val="0"/>
                      <w:marTop w:val="0"/>
                      <w:marBottom w:val="0"/>
                      <w:divBdr>
                        <w:top w:val="none" w:sz="0" w:space="0" w:color="auto"/>
                        <w:left w:val="none" w:sz="0" w:space="0" w:color="auto"/>
                        <w:bottom w:val="none" w:sz="0" w:space="0" w:color="auto"/>
                        <w:right w:val="none" w:sz="0" w:space="0" w:color="auto"/>
                      </w:divBdr>
                    </w:div>
                    <w:div w:id="180665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007942">
      <w:bodyDiv w:val="1"/>
      <w:marLeft w:val="0"/>
      <w:marRight w:val="0"/>
      <w:marTop w:val="0"/>
      <w:marBottom w:val="0"/>
      <w:divBdr>
        <w:top w:val="none" w:sz="0" w:space="0" w:color="auto"/>
        <w:left w:val="none" w:sz="0" w:space="0" w:color="auto"/>
        <w:bottom w:val="none" w:sz="0" w:space="0" w:color="auto"/>
        <w:right w:val="none" w:sz="0" w:space="0" w:color="auto"/>
      </w:divBdr>
    </w:div>
    <w:div w:id="1959754926">
      <w:bodyDiv w:val="1"/>
      <w:marLeft w:val="0"/>
      <w:marRight w:val="0"/>
      <w:marTop w:val="0"/>
      <w:marBottom w:val="0"/>
      <w:divBdr>
        <w:top w:val="none" w:sz="0" w:space="0" w:color="auto"/>
        <w:left w:val="none" w:sz="0" w:space="0" w:color="auto"/>
        <w:bottom w:val="none" w:sz="0" w:space="0" w:color="auto"/>
        <w:right w:val="none" w:sz="0" w:space="0" w:color="auto"/>
      </w:divBdr>
    </w:div>
    <w:div w:id="1960605653">
      <w:bodyDiv w:val="1"/>
      <w:marLeft w:val="0"/>
      <w:marRight w:val="0"/>
      <w:marTop w:val="0"/>
      <w:marBottom w:val="0"/>
      <w:divBdr>
        <w:top w:val="none" w:sz="0" w:space="0" w:color="auto"/>
        <w:left w:val="none" w:sz="0" w:space="0" w:color="auto"/>
        <w:bottom w:val="none" w:sz="0" w:space="0" w:color="auto"/>
        <w:right w:val="none" w:sz="0" w:space="0" w:color="auto"/>
      </w:divBdr>
    </w:div>
    <w:div w:id="1962224331">
      <w:bodyDiv w:val="1"/>
      <w:marLeft w:val="0"/>
      <w:marRight w:val="0"/>
      <w:marTop w:val="0"/>
      <w:marBottom w:val="0"/>
      <w:divBdr>
        <w:top w:val="none" w:sz="0" w:space="0" w:color="auto"/>
        <w:left w:val="none" w:sz="0" w:space="0" w:color="auto"/>
        <w:bottom w:val="none" w:sz="0" w:space="0" w:color="auto"/>
        <w:right w:val="none" w:sz="0" w:space="0" w:color="auto"/>
      </w:divBdr>
    </w:div>
    <w:div w:id="1968780394">
      <w:bodyDiv w:val="1"/>
      <w:marLeft w:val="0"/>
      <w:marRight w:val="0"/>
      <w:marTop w:val="0"/>
      <w:marBottom w:val="0"/>
      <w:divBdr>
        <w:top w:val="none" w:sz="0" w:space="0" w:color="auto"/>
        <w:left w:val="none" w:sz="0" w:space="0" w:color="auto"/>
        <w:bottom w:val="none" w:sz="0" w:space="0" w:color="auto"/>
        <w:right w:val="none" w:sz="0" w:space="0" w:color="auto"/>
      </w:divBdr>
    </w:div>
    <w:div w:id="2000225651">
      <w:bodyDiv w:val="1"/>
      <w:marLeft w:val="0"/>
      <w:marRight w:val="0"/>
      <w:marTop w:val="0"/>
      <w:marBottom w:val="0"/>
      <w:divBdr>
        <w:top w:val="none" w:sz="0" w:space="0" w:color="auto"/>
        <w:left w:val="none" w:sz="0" w:space="0" w:color="auto"/>
        <w:bottom w:val="none" w:sz="0" w:space="0" w:color="auto"/>
        <w:right w:val="none" w:sz="0" w:space="0" w:color="auto"/>
      </w:divBdr>
    </w:div>
    <w:div w:id="2013752254">
      <w:bodyDiv w:val="1"/>
      <w:marLeft w:val="0"/>
      <w:marRight w:val="0"/>
      <w:marTop w:val="0"/>
      <w:marBottom w:val="0"/>
      <w:divBdr>
        <w:top w:val="none" w:sz="0" w:space="0" w:color="auto"/>
        <w:left w:val="none" w:sz="0" w:space="0" w:color="auto"/>
        <w:bottom w:val="none" w:sz="0" w:space="0" w:color="auto"/>
        <w:right w:val="none" w:sz="0" w:space="0" w:color="auto"/>
      </w:divBdr>
    </w:div>
    <w:div w:id="2074545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6.xml"/><Relationship Id="rId21" Type="http://schemas.openxmlformats.org/officeDocument/2006/relationships/footer" Target="footer2.xml"/><Relationship Id="rId42" Type="http://schemas.openxmlformats.org/officeDocument/2006/relationships/image" Target="media/image19.jpeg"/><Relationship Id="rId63" Type="http://schemas.openxmlformats.org/officeDocument/2006/relationships/image" Target="media/image37.png"/><Relationship Id="rId84" Type="http://schemas.openxmlformats.org/officeDocument/2006/relationships/header" Target="header5.xml"/><Relationship Id="rId138" Type="http://schemas.openxmlformats.org/officeDocument/2006/relationships/hyperlink" Target="http://www.data.vic.gov.au" TargetMode="External"/><Relationship Id="rId159" Type="http://schemas.openxmlformats.org/officeDocument/2006/relationships/footer" Target="footer43.xml"/><Relationship Id="rId170" Type="http://schemas.openxmlformats.org/officeDocument/2006/relationships/header" Target="header28.xml"/><Relationship Id="rId191" Type="http://schemas.openxmlformats.org/officeDocument/2006/relationships/footer" Target="footer59.xml"/><Relationship Id="rId205" Type="http://schemas.openxmlformats.org/officeDocument/2006/relationships/footer" Target="footer69.xml"/><Relationship Id="rId16" Type="http://schemas.openxmlformats.org/officeDocument/2006/relationships/hyperlink" Target="https://creativecommons.org/licenses/by/4.0/legalcode" TargetMode="External"/><Relationship Id="rId107" Type="http://schemas.openxmlformats.org/officeDocument/2006/relationships/header" Target="header15.xml"/><Relationship Id="rId11" Type="http://schemas.openxmlformats.org/officeDocument/2006/relationships/image" Target="media/image2.jpeg"/><Relationship Id="rId32" Type="http://schemas.openxmlformats.org/officeDocument/2006/relationships/image" Target="media/image13.png"/><Relationship Id="rId37" Type="http://schemas.openxmlformats.org/officeDocument/2006/relationships/footer" Target="footer5.xml"/><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header" Target="header12.xml"/><Relationship Id="rId123" Type="http://schemas.openxmlformats.org/officeDocument/2006/relationships/footer" Target="footer32.xml"/><Relationship Id="rId128" Type="http://schemas.openxmlformats.org/officeDocument/2006/relationships/footer" Target="footer35.xml"/><Relationship Id="rId144" Type="http://schemas.openxmlformats.org/officeDocument/2006/relationships/hyperlink" Target="https://vahi.freshdesk.com/support/home" TargetMode="External"/><Relationship Id="rId149" Type="http://schemas.openxmlformats.org/officeDocument/2006/relationships/hyperlink" Target="http://www.myhospitals.gov.au" TargetMode="External"/><Relationship Id="rId5" Type="http://schemas.openxmlformats.org/officeDocument/2006/relationships/numbering" Target="numbering.xml"/><Relationship Id="rId90" Type="http://schemas.openxmlformats.org/officeDocument/2006/relationships/header" Target="header8.xml"/><Relationship Id="rId95" Type="http://schemas.openxmlformats.org/officeDocument/2006/relationships/image" Target="media/image59.jpeg"/><Relationship Id="rId160" Type="http://schemas.openxmlformats.org/officeDocument/2006/relationships/hyperlink" Target="https://ovic.vic.gov.au/" TargetMode="External"/><Relationship Id="rId165" Type="http://schemas.openxmlformats.org/officeDocument/2006/relationships/header" Target="header25.xml"/><Relationship Id="rId181" Type="http://schemas.openxmlformats.org/officeDocument/2006/relationships/image" Target="media/image63.png"/><Relationship Id="rId186" Type="http://schemas.openxmlformats.org/officeDocument/2006/relationships/footer" Target="footer54.xml"/><Relationship Id="rId22" Type="http://schemas.openxmlformats.org/officeDocument/2006/relationships/image" Target="media/image5.jpeg"/><Relationship Id="rId27" Type="http://schemas.openxmlformats.org/officeDocument/2006/relationships/image" Target="media/image8.png"/><Relationship Id="rId43" Type="http://schemas.openxmlformats.org/officeDocument/2006/relationships/header" Target="header4.xml"/><Relationship Id="rId48" Type="http://schemas.openxmlformats.org/officeDocument/2006/relationships/image" Target="media/image22.png"/><Relationship Id="rId64" Type="http://schemas.openxmlformats.org/officeDocument/2006/relationships/image" Target="media/image38.png"/><Relationship Id="rId69" Type="http://schemas.openxmlformats.org/officeDocument/2006/relationships/image" Target="media/image43.png"/><Relationship Id="rId113" Type="http://schemas.openxmlformats.org/officeDocument/2006/relationships/footer" Target="footer22.xml"/><Relationship Id="rId118" Type="http://schemas.openxmlformats.org/officeDocument/2006/relationships/footer" Target="footer27.xml"/><Relationship Id="rId134" Type="http://schemas.openxmlformats.org/officeDocument/2006/relationships/header" Target="header20.xml"/><Relationship Id="rId139" Type="http://schemas.openxmlformats.org/officeDocument/2006/relationships/hyperlink" Target="https://www.dhhs.vic.gov.au/department-health-and-human-services-information-asset-register-public" TargetMode="External"/><Relationship Id="rId80" Type="http://schemas.openxmlformats.org/officeDocument/2006/relationships/image" Target="media/image54.png"/><Relationship Id="rId85" Type="http://schemas.openxmlformats.org/officeDocument/2006/relationships/footer" Target="footer8.xml"/><Relationship Id="rId150" Type="http://schemas.openxmlformats.org/officeDocument/2006/relationships/hyperlink" Target="https://www.ibac.vic.gov.au/" TargetMode="External"/><Relationship Id="rId155" Type="http://schemas.openxmlformats.org/officeDocument/2006/relationships/footer" Target="footer41.xml"/><Relationship Id="rId171" Type="http://schemas.openxmlformats.org/officeDocument/2006/relationships/header" Target="header29.xml"/><Relationship Id="rId176" Type="http://schemas.openxmlformats.org/officeDocument/2006/relationships/header" Target="header31.xml"/><Relationship Id="rId192" Type="http://schemas.openxmlformats.org/officeDocument/2006/relationships/footer" Target="footer60.xml"/><Relationship Id="rId197" Type="http://schemas.openxmlformats.org/officeDocument/2006/relationships/footer" Target="footer64.xml"/><Relationship Id="rId206" Type="http://schemas.openxmlformats.org/officeDocument/2006/relationships/fontTable" Target="fontTable.xml"/><Relationship Id="rId201" Type="http://schemas.openxmlformats.org/officeDocument/2006/relationships/hyperlink" Target="mailto:DHHSCommunications@dhhs.vic.gov.au" TargetMode="External"/><Relationship Id="rId12" Type="http://schemas.openxmlformats.org/officeDocument/2006/relationships/header" Target="header1.xml"/><Relationship Id="rId17" Type="http://schemas.openxmlformats.org/officeDocument/2006/relationships/hyperlink" Target="https://www.dhhs.vic.gov.au/publications/annual-reports" TargetMode="External"/><Relationship Id="rId33" Type="http://schemas.openxmlformats.org/officeDocument/2006/relationships/hyperlink" Target="https://www.dhhs.vic.gov.au/our-values" TargetMode="External"/><Relationship Id="rId38" Type="http://schemas.openxmlformats.org/officeDocument/2006/relationships/image" Target="media/image15.jpeg"/><Relationship Id="rId59" Type="http://schemas.openxmlformats.org/officeDocument/2006/relationships/image" Target="media/image33.png"/><Relationship Id="rId103" Type="http://schemas.openxmlformats.org/officeDocument/2006/relationships/header" Target="header13.xml"/><Relationship Id="rId108" Type="http://schemas.openxmlformats.org/officeDocument/2006/relationships/footer" Target="footer17.xml"/><Relationship Id="rId124" Type="http://schemas.openxmlformats.org/officeDocument/2006/relationships/footer" Target="footer33.xml"/><Relationship Id="rId129" Type="http://schemas.openxmlformats.org/officeDocument/2006/relationships/footer" Target="footer36.xml"/><Relationship Id="rId54" Type="http://schemas.openxmlformats.org/officeDocument/2006/relationships/image" Target="media/image28.png"/><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footer" Target="footer11.xml"/><Relationship Id="rId96" Type="http://schemas.openxmlformats.org/officeDocument/2006/relationships/image" Target="media/image60.jpeg"/><Relationship Id="rId140" Type="http://schemas.openxmlformats.org/officeDocument/2006/relationships/hyperlink" Target="http://performance.health.vic.gov.au" TargetMode="External"/><Relationship Id="rId145" Type="http://schemas.openxmlformats.org/officeDocument/2006/relationships/hyperlink" Target="https://www2.health.vic.gov.au/about/reporting-planning-data/the-centre-for-victorian-data-linkage/for-researchers" TargetMode="External"/><Relationship Id="rId161" Type="http://schemas.openxmlformats.org/officeDocument/2006/relationships/hyperlink" Target="https://dhhs.vic.gov.au/ministerial-statements-expectations-regulators" TargetMode="External"/><Relationship Id="rId166" Type="http://schemas.openxmlformats.org/officeDocument/2006/relationships/header" Target="header26.xml"/><Relationship Id="rId182" Type="http://schemas.openxmlformats.org/officeDocument/2006/relationships/image" Target="media/image64.png"/><Relationship Id="rId187" Type="http://schemas.openxmlformats.org/officeDocument/2006/relationships/footer" Target="footer55.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3.xml"/><Relationship Id="rId28" Type="http://schemas.openxmlformats.org/officeDocument/2006/relationships/image" Target="media/image9.png"/><Relationship Id="rId49" Type="http://schemas.openxmlformats.org/officeDocument/2006/relationships/image" Target="media/image23.png"/><Relationship Id="rId114" Type="http://schemas.openxmlformats.org/officeDocument/2006/relationships/footer" Target="footer23.xml"/><Relationship Id="rId119" Type="http://schemas.openxmlformats.org/officeDocument/2006/relationships/footer" Target="footer28.xml"/><Relationship Id="rId44" Type="http://schemas.openxmlformats.org/officeDocument/2006/relationships/footer" Target="footer6.xml"/><Relationship Id="rId60" Type="http://schemas.openxmlformats.org/officeDocument/2006/relationships/image" Target="media/image34.png"/><Relationship Id="rId65" Type="http://schemas.openxmlformats.org/officeDocument/2006/relationships/image" Target="media/image39.png"/><Relationship Id="rId81" Type="http://schemas.openxmlformats.org/officeDocument/2006/relationships/image" Target="media/image55.png"/><Relationship Id="rId86" Type="http://schemas.openxmlformats.org/officeDocument/2006/relationships/header" Target="header6.xml"/><Relationship Id="rId130" Type="http://schemas.openxmlformats.org/officeDocument/2006/relationships/header" Target="header18.xml"/><Relationship Id="rId135" Type="http://schemas.openxmlformats.org/officeDocument/2006/relationships/header" Target="header21.xml"/><Relationship Id="rId151" Type="http://schemas.openxmlformats.org/officeDocument/2006/relationships/hyperlink" Target="mailto:submit@ibac.vic.gov.au" TargetMode="External"/><Relationship Id="rId156" Type="http://schemas.openxmlformats.org/officeDocument/2006/relationships/header" Target="header23.xml"/><Relationship Id="rId177" Type="http://schemas.openxmlformats.org/officeDocument/2006/relationships/footer" Target="footer49.xml"/><Relationship Id="rId198" Type="http://schemas.openxmlformats.org/officeDocument/2006/relationships/footer" Target="footer65.xml"/><Relationship Id="rId172" Type="http://schemas.openxmlformats.org/officeDocument/2006/relationships/footer" Target="footer46.xml"/><Relationship Id="rId193" Type="http://schemas.openxmlformats.org/officeDocument/2006/relationships/footer" Target="footer61.xml"/><Relationship Id="rId202" Type="http://schemas.openxmlformats.org/officeDocument/2006/relationships/header" Target="header33.xml"/><Relationship Id="rId207" Type="http://schemas.openxmlformats.org/officeDocument/2006/relationships/theme" Target="theme/theme1.xml"/><Relationship Id="rId13" Type="http://schemas.openxmlformats.org/officeDocument/2006/relationships/hyperlink" Target="mailto:corporate.reporting@dhhs.vic.gov.au" TargetMode="External"/><Relationship Id="rId18" Type="http://schemas.openxmlformats.org/officeDocument/2006/relationships/header" Target="header2.xml"/><Relationship Id="rId39" Type="http://schemas.openxmlformats.org/officeDocument/2006/relationships/image" Target="media/image16.jpeg"/><Relationship Id="rId109" Type="http://schemas.openxmlformats.org/officeDocument/2006/relationships/footer" Target="footer18.xml"/><Relationship Id="rId34" Type="http://schemas.openxmlformats.org/officeDocument/2006/relationships/hyperlink" Target="https://dhhs.vic.gov.au/%20publications/department-health-and-human-services-strategic-plan" TargetMode="Externa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header" Target="header10.xml"/><Relationship Id="rId104" Type="http://schemas.openxmlformats.org/officeDocument/2006/relationships/footer" Target="footer15.xml"/><Relationship Id="rId120" Type="http://schemas.openxmlformats.org/officeDocument/2006/relationships/footer" Target="footer29.xml"/><Relationship Id="rId125" Type="http://schemas.openxmlformats.org/officeDocument/2006/relationships/footer" Target="footer34.xml"/><Relationship Id="rId141" Type="http://schemas.openxmlformats.org/officeDocument/2006/relationships/hyperlink" Target="https://www2.health.vic.gov.au/about/reporting-planning-data" TargetMode="External"/><Relationship Id="rId146" Type="http://schemas.openxmlformats.org/officeDocument/2006/relationships/hyperlink" Target="https://www.dhhs.vic.gov.au/research-applications-external-organisations-and-individuals" TargetMode="External"/><Relationship Id="rId167" Type="http://schemas.openxmlformats.org/officeDocument/2006/relationships/footer" Target="footer44.xml"/><Relationship Id="rId188" Type="http://schemas.openxmlformats.org/officeDocument/2006/relationships/footer" Target="footer56.xml"/><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header" Target="header9.xml"/><Relationship Id="rId162" Type="http://schemas.openxmlformats.org/officeDocument/2006/relationships/hyperlink" Target="http://www.dhhs.vic.gov.au/publications/disability-action-plan-2018-2020" TargetMode="External"/><Relationship Id="rId183" Type="http://schemas.openxmlformats.org/officeDocument/2006/relationships/header" Target="header32.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6.jpeg"/><Relationship Id="rId40" Type="http://schemas.openxmlformats.org/officeDocument/2006/relationships/image" Target="media/image17.png"/><Relationship Id="rId45" Type="http://schemas.openxmlformats.org/officeDocument/2006/relationships/footer" Target="footer7.xml"/><Relationship Id="rId66" Type="http://schemas.openxmlformats.org/officeDocument/2006/relationships/image" Target="media/image40.png"/><Relationship Id="rId87" Type="http://schemas.openxmlformats.org/officeDocument/2006/relationships/footer" Target="footer9.xml"/><Relationship Id="rId110" Type="http://schemas.openxmlformats.org/officeDocument/2006/relationships/footer" Target="footer19.xml"/><Relationship Id="rId115" Type="http://schemas.openxmlformats.org/officeDocument/2006/relationships/footer" Target="footer24.xml"/><Relationship Id="rId131" Type="http://schemas.openxmlformats.org/officeDocument/2006/relationships/header" Target="header19.xml"/><Relationship Id="rId136" Type="http://schemas.openxmlformats.org/officeDocument/2006/relationships/footer" Target="footer39.xml"/><Relationship Id="rId157" Type="http://schemas.openxmlformats.org/officeDocument/2006/relationships/header" Target="header24.xml"/><Relationship Id="rId178" Type="http://schemas.openxmlformats.org/officeDocument/2006/relationships/footer" Target="footer50.xml"/><Relationship Id="rId61" Type="http://schemas.openxmlformats.org/officeDocument/2006/relationships/image" Target="media/image35.png"/><Relationship Id="rId82" Type="http://schemas.openxmlformats.org/officeDocument/2006/relationships/image" Target="media/image56.png"/><Relationship Id="rId152" Type="http://schemas.openxmlformats.org/officeDocument/2006/relationships/hyperlink" Target="https://providers.dhhs.vic.gov.au/protected-disclosure" TargetMode="External"/><Relationship Id="rId173" Type="http://schemas.openxmlformats.org/officeDocument/2006/relationships/footer" Target="footer47.xml"/><Relationship Id="rId194" Type="http://schemas.openxmlformats.org/officeDocument/2006/relationships/footer" Target="footer62.xml"/><Relationship Id="rId199" Type="http://schemas.openxmlformats.org/officeDocument/2006/relationships/footer" Target="footer66.xml"/><Relationship Id="rId203" Type="http://schemas.openxmlformats.org/officeDocument/2006/relationships/header" Target="header34.xml"/><Relationship Id="rId19" Type="http://schemas.openxmlformats.org/officeDocument/2006/relationships/header" Target="header3.xml"/><Relationship Id="rId14" Type="http://schemas.openxmlformats.org/officeDocument/2006/relationships/hyperlink" Target="https://creativecommons.org/licenses/by/4.0/" TargetMode="External"/><Relationship Id="rId30" Type="http://schemas.openxmlformats.org/officeDocument/2006/relationships/image" Target="media/image11.png"/><Relationship Id="rId35" Type="http://schemas.openxmlformats.org/officeDocument/2006/relationships/hyperlink" Target="http://dhhs.vic.gov.au/leadership-charter" TargetMode="External"/><Relationship Id="rId56" Type="http://schemas.openxmlformats.org/officeDocument/2006/relationships/image" Target="media/image30.png"/><Relationship Id="rId77" Type="http://schemas.openxmlformats.org/officeDocument/2006/relationships/image" Target="media/image51.png"/><Relationship Id="rId100" Type="http://schemas.openxmlformats.org/officeDocument/2006/relationships/footer" Target="footer14.xml"/><Relationship Id="rId105" Type="http://schemas.openxmlformats.org/officeDocument/2006/relationships/footer" Target="footer16.xml"/><Relationship Id="rId126" Type="http://schemas.openxmlformats.org/officeDocument/2006/relationships/header" Target="header16.xml"/><Relationship Id="rId147" Type="http://schemas.openxmlformats.org/officeDocument/2006/relationships/hyperlink" Target="http://www.cancervic.org.au/research/registry-statistics/statistics-data" TargetMode="External"/><Relationship Id="rId168" Type="http://schemas.openxmlformats.org/officeDocument/2006/relationships/footer" Target="footer45.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6.png"/><Relationship Id="rId93" Type="http://schemas.openxmlformats.org/officeDocument/2006/relationships/footer" Target="footer12.xml"/><Relationship Id="rId98" Type="http://schemas.openxmlformats.org/officeDocument/2006/relationships/footer" Target="footer13.xml"/><Relationship Id="rId121" Type="http://schemas.openxmlformats.org/officeDocument/2006/relationships/footer" Target="footer30.xml"/><Relationship Id="rId142" Type="http://schemas.openxmlformats.org/officeDocument/2006/relationships/hyperlink" Target="https://www2.health.vic.gov.au/public-health" TargetMode="External"/><Relationship Id="rId163" Type="http://schemas.openxmlformats.org/officeDocument/2006/relationships/hyperlink" Target="https://providers.dhhs.vic.gov.au/registration-requirements-disability-service-providers" TargetMode="External"/><Relationship Id="rId184" Type="http://schemas.openxmlformats.org/officeDocument/2006/relationships/footer" Target="footer52.xml"/><Relationship Id="rId189" Type="http://schemas.openxmlformats.org/officeDocument/2006/relationships/footer" Target="footer57.xm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image" Target="media/image20.jpeg"/><Relationship Id="rId67" Type="http://schemas.openxmlformats.org/officeDocument/2006/relationships/image" Target="media/image41.png"/><Relationship Id="rId116" Type="http://schemas.openxmlformats.org/officeDocument/2006/relationships/footer" Target="footer25.xml"/><Relationship Id="rId137" Type="http://schemas.openxmlformats.org/officeDocument/2006/relationships/footer" Target="footer40.xml"/><Relationship Id="rId158" Type="http://schemas.openxmlformats.org/officeDocument/2006/relationships/footer" Target="footer42.xml"/><Relationship Id="rId20" Type="http://schemas.openxmlformats.org/officeDocument/2006/relationships/footer" Target="footer1.xml"/><Relationship Id="rId41" Type="http://schemas.openxmlformats.org/officeDocument/2006/relationships/image" Target="media/image18.png"/><Relationship Id="rId62" Type="http://schemas.openxmlformats.org/officeDocument/2006/relationships/image" Target="media/image36.png"/><Relationship Id="rId83" Type="http://schemas.openxmlformats.org/officeDocument/2006/relationships/image" Target="media/image57.png"/><Relationship Id="rId88" Type="http://schemas.openxmlformats.org/officeDocument/2006/relationships/header" Target="header7.xml"/><Relationship Id="rId111" Type="http://schemas.openxmlformats.org/officeDocument/2006/relationships/footer" Target="footer20.xml"/><Relationship Id="rId132" Type="http://schemas.openxmlformats.org/officeDocument/2006/relationships/footer" Target="footer37.xml"/><Relationship Id="rId153" Type="http://schemas.openxmlformats.org/officeDocument/2006/relationships/hyperlink" Target="mailto:protected.disclosure@dhhs.vic.gov.au" TargetMode="External"/><Relationship Id="rId174" Type="http://schemas.openxmlformats.org/officeDocument/2006/relationships/footer" Target="footer48.xml"/><Relationship Id="rId179" Type="http://schemas.openxmlformats.org/officeDocument/2006/relationships/footer" Target="footer51.xml"/><Relationship Id="rId195" Type="http://schemas.openxmlformats.org/officeDocument/2006/relationships/image" Target="media/image65.png"/><Relationship Id="rId190" Type="http://schemas.openxmlformats.org/officeDocument/2006/relationships/footer" Target="footer58.xml"/><Relationship Id="rId204" Type="http://schemas.openxmlformats.org/officeDocument/2006/relationships/footer" Target="footer68.xml"/><Relationship Id="rId15" Type="http://schemas.openxmlformats.org/officeDocument/2006/relationships/image" Target="media/image4.png"/><Relationship Id="rId36" Type="http://schemas.openxmlformats.org/officeDocument/2006/relationships/image" Target="media/image14.jpeg"/><Relationship Id="rId57" Type="http://schemas.openxmlformats.org/officeDocument/2006/relationships/image" Target="media/image31.png"/><Relationship Id="rId106" Type="http://schemas.openxmlformats.org/officeDocument/2006/relationships/header" Target="header14.xml"/><Relationship Id="rId127" Type="http://schemas.openxmlformats.org/officeDocument/2006/relationships/header" Target="header17.xml"/><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image" Target="media/image26.png"/><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58.jpeg"/><Relationship Id="rId99" Type="http://schemas.openxmlformats.org/officeDocument/2006/relationships/header" Target="header11.xml"/><Relationship Id="rId101" Type="http://schemas.openxmlformats.org/officeDocument/2006/relationships/image" Target="media/image61.jpeg"/><Relationship Id="rId122" Type="http://schemas.openxmlformats.org/officeDocument/2006/relationships/footer" Target="footer31.xml"/><Relationship Id="rId143" Type="http://schemas.openxmlformats.org/officeDocument/2006/relationships/hyperlink" Target="https://dhhs.vic.gov.au/publications/reports-reviews-data" TargetMode="External"/><Relationship Id="rId148" Type="http://schemas.openxmlformats.org/officeDocument/2006/relationships/hyperlink" Target="http://www.aihw.gov.au/data" TargetMode="External"/><Relationship Id="rId164" Type="http://schemas.openxmlformats.org/officeDocument/2006/relationships/hyperlink" Target="https://providers.dhhs.vic.gov.au/register-community-services" TargetMode="External"/><Relationship Id="rId169" Type="http://schemas.openxmlformats.org/officeDocument/2006/relationships/header" Target="header27.xml"/><Relationship Id="rId185" Type="http://schemas.openxmlformats.org/officeDocument/2006/relationships/footer" Target="footer53.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62.png"/><Relationship Id="rId26" Type="http://schemas.openxmlformats.org/officeDocument/2006/relationships/image" Target="media/image7.png"/><Relationship Id="rId47" Type="http://schemas.openxmlformats.org/officeDocument/2006/relationships/image" Target="media/image21.jpeg"/><Relationship Id="rId68" Type="http://schemas.openxmlformats.org/officeDocument/2006/relationships/image" Target="media/image42.png"/><Relationship Id="rId89" Type="http://schemas.openxmlformats.org/officeDocument/2006/relationships/footer" Target="footer10.xml"/><Relationship Id="rId112" Type="http://schemas.openxmlformats.org/officeDocument/2006/relationships/footer" Target="footer21.xml"/><Relationship Id="rId133" Type="http://schemas.openxmlformats.org/officeDocument/2006/relationships/footer" Target="footer38.xml"/><Relationship Id="rId154" Type="http://schemas.openxmlformats.org/officeDocument/2006/relationships/header" Target="header22.xml"/><Relationship Id="rId175" Type="http://schemas.openxmlformats.org/officeDocument/2006/relationships/header" Target="header30.xml"/><Relationship Id="rId196" Type="http://schemas.openxmlformats.org/officeDocument/2006/relationships/footer" Target="footer63.xml"/><Relationship Id="rId200" Type="http://schemas.openxmlformats.org/officeDocument/2006/relationships/footer" Target="footer67.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HHS AR 2018-19">
      <a:dk1>
        <a:sysClr val="windowText" lastClr="000000"/>
      </a:dk1>
      <a:lt1>
        <a:sysClr val="window" lastClr="FFFFFF"/>
      </a:lt1>
      <a:dk2>
        <a:srgbClr val="000000"/>
      </a:dk2>
      <a:lt2>
        <a:srgbClr val="FFFFFF"/>
      </a:lt2>
      <a:accent1>
        <a:srgbClr val="004C97"/>
      </a:accent1>
      <a:accent2>
        <a:srgbClr val="53565A"/>
      </a:accent2>
      <a:accent3>
        <a:srgbClr val="CCDCEE"/>
      </a:accent3>
      <a:accent4>
        <a:srgbClr val="BFBFBF"/>
      </a:accent4>
      <a:accent5>
        <a:srgbClr val="000000"/>
      </a:accent5>
      <a:accent6>
        <a:srgbClr val="000000"/>
      </a:accent6>
      <a:hlink>
        <a:srgbClr val="0072CE"/>
      </a:hlink>
      <a:folHlink>
        <a:srgbClr val="87189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RequestDocument" ma:contentTypeID="0x010100A5FD4705EF695745935DCFF362D96FD900D03A67055F82AD419EA3FF3833956C03" ma:contentTypeVersion="18" ma:contentTypeDescription="" ma:contentTypeScope="" ma:versionID="f1ad97f52a159d81aef5e0b5f0827c34">
  <xsd:schema xmlns:xsd="http://www.w3.org/2001/XMLSchema" xmlns:xs="http://www.w3.org/2001/XMLSchema" xmlns:p="http://schemas.microsoft.com/office/2006/metadata/properties" xmlns:ns2="59098f23-3ca6-4eec-8c4e-6f77ceae2d9e" xmlns:ns3="131e7afd-8cb4-4255-a884-cbcde2747e4c" xmlns:ns4="7275579c-bf47-4236-9d68-1bfb0df9c30a" xmlns:ns5="4e6cfa50-9814-4036-b2f8-54bb7ef1e7f8" targetNamespace="http://schemas.microsoft.com/office/2006/metadata/properties" ma:root="true" ma:fieldsID="f068f238ba698f2120c54891d2661c80" ns2:_="" ns3:_="" ns4:_="" ns5:_="">
    <xsd:import namespace="59098f23-3ca6-4eec-8c4e-6f77ceae2d9e"/>
    <xsd:import namespace="131e7afd-8cb4-4255-a884-cbcde2747e4c"/>
    <xsd:import namespace="7275579c-bf47-4236-9d68-1bfb0df9c30a"/>
    <xsd:import namespace="4e6cfa50-9814-4036-b2f8-54bb7ef1e7f8"/>
    <xsd:element name="properties">
      <xsd:complexType>
        <xsd:sequence>
          <xsd:element name="documentManagement">
            <xsd:complexType>
              <xsd:all>
                <xsd:element ref="ns2:CBSStatus" minOccurs="0"/>
                <xsd:element ref="ns2:CBSDocComments" minOccurs="0"/>
                <xsd:element ref="ns2:CBSDueBy" minOccurs="0"/>
                <xsd:element ref="ns2:CBSDocType" minOccurs="0"/>
                <xsd:element ref="ns2:CBSFileName" minOccurs="0"/>
                <xsd:element ref="ns2:CBSReviewersContributors" minOccurs="0"/>
                <xsd:element ref="ns2:SendEmailToAuthors" minOccurs="0"/>
                <xsd:element ref="ns3:RequestID" minOccurs="0"/>
                <xsd:element ref="ns4:MediaServiceGenerationTime" minOccurs="0"/>
                <xsd:element ref="ns4:MediaServiceEventHashCode" minOccurs="0"/>
                <xsd:element ref="ns5:HideFromDel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98f23-3ca6-4eec-8c4e-6f77ceae2d9e" elementFormDefault="qualified">
    <xsd:import namespace="http://schemas.microsoft.com/office/2006/documentManagement/types"/>
    <xsd:import namespace="http://schemas.microsoft.com/office/infopath/2007/PartnerControls"/>
    <xsd:element name="CBSStatus" ma:index="8" nillable="true" ma:displayName="Doc Status" ma:default="Draft" ma:format="Dropdown" ma:internalName="CBSStatus">
      <xsd:simpleType>
        <xsd:restriction base="dms:Choice">
          <xsd:enumeration value="Draft"/>
          <xsd:enumeration value="Finalised"/>
          <xsd:enumeration value="Not required"/>
        </xsd:restriction>
      </xsd:simpleType>
    </xsd:element>
    <xsd:element name="CBSDocComments" ma:index="9" nillable="true" ma:displayName="Document Comments" ma:internalName="CBSDocComments">
      <xsd:simpleType>
        <xsd:restriction base="dms:Note">
          <xsd:maxLength value="255"/>
        </xsd:restriction>
      </xsd:simpleType>
    </xsd:element>
    <xsd:element name="CBSDueBy" ma:index="10" nillable="true" ma:displayName="Document DueBy" ma:format="DateOnly" ma:internalName="CBSDueBy">
      <xsd:simpleType>
        <xsd:restriction base="dms:DateTime"/>
      </xsd:simpleType>
    </xsd:element>
    <xsd:element name="CBSDocType" ma:index="11" nillable="true" ma:displayName="Document Type" ma:internalName="CBSDocType">
      <xsd:simpleType>
        <xsd:restriction base="dms:Text">
          <xsd:maxLength value="255"/>
        </xsd:restriction>
      </xsd:simpleType>
    </xsd:element>
    <xsd:element name="CBSFileName" ma:index="12" nillable="true" ma:displayName="File Name" ma:internalName="CBSFileName">
      <xsd:simpleType>
        <xsd:restriction base="dms:Text">
          <xsd:maxLength value="255"/>
        </xsd:restriction>
      </xsd:simpleType>
    </xsd:element>
    <xsd:element name="CBSReviewersContributors" ma:index="13" nillable="true" ma:displayName="Reviewers Contributors" ma:list="UserInfo" ma:SharePointGroup="0" ma:internalName="CBSReviewersContribut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ndEmailToAuthors" ma:index="14" nillable="true" ma:displayName="Send Email To Contributors" ma:default="Send Email" ma:hidden="true" ma:internalName="SendEmailToAuthors"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1e7afd-8cb4-4255-a884-cbcde2747e4c" elementFormDefault="qualified">
    <xsd:import namespace="http://schemas.microsoft.com/office/2006/documentManagement/types"/>
    <xsd:import namespace="http://schemas.microsoft.com/office/infopath/2007/PartnerControls"/>
    <xsd:element name="RequestID" ma:index="15" nillable="true" ma:displayName="RequestID" ma:hidden="true" ma:internalName="Reques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579c-bf47-4236-9d68-1bfb0df9c30a" elementFormDefault="qualified">
    <xsd:import namespace="http://schemas.microsoft.com/office/2006/documentManagement/types"/>
    <xsd:import namespace="http://schemas.microsoft.com/office/infopath/2007/PartnerControls"/>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6cfa50-9814-4036-b2f8-54bb7ef1e7f8" elementFormDefault="qualified">
    <xsd:import namespace="http://schemas.microsoft.com/office/2006/documentManagement/types"/>
    <xsd:import namespace="http://schemas.microsoft.com/office/infopath/2007/PartnerControls"/>
    <xsd:element name="HideFromDelve" ma:index="18" nillable="true" ma:displayName="HideFromDelve" ma:default="1" ma:internalName="HideFromDel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dEmailToAuthors xmlns="59098f23-3ca6-4eec-8c4e-6f77ceae2d9e">Send Email</SendEmailToAuthors>
    <CBSDocType xmlns="59098f23-3ca6-4eec-8c4e-6f77ceae2d9e" xsi:nil="true"/>
    <RequestID xmlns="131e7afd-8cb4-4255-a884-cbcde2747e4c" xsi:nil="true"/>
    <CBSDocComments xmlns="59098f23-3ca6-4eec-8c4e-6f77ceae2d9e" xsi:nil="true"/>
    <CBSReviewersContributors xmlns="59098f23-3ca6-4eec-8c4e-6f77ceae2d9e">
      <UserInfo>
        <DisplayName>i:0#.f|membership|loga.chandrakumar@dhhs.vic.gov.au</DisplayName>
        <AccountId>2115</AccountId>
        <AccountType/>
      </UserInfo>
      <UserInfo>
        <DisplayName>i:0#.f|membership|amity.durham@dhhs.vic.gov.au</DisplayName>
        <AccountId>428</AccountId>
        <AccountType/>
      </UserInfo>
      <UserInfo>
        <DisplayName>i:0#.f|membership|kym.peake@dhhs.vic.gov.au</DisplayName>
        <AccountId>179</AccountId>
        <AccountType/>
      </UserInfo>
    </CBSReviewersContributors>
    <CBSStatus xmlns="59098f23-3ca6-4eec-8c4e-6f77ceae2d9e">Finalised</CBSStatus>
    <CBSFileName xmlns="59098f23-3ca6-4eec-8c4e-6f77ceae2d9e">AR 2018-19 Attach 1 Annual report</CBSFileName>
    <CBSDueBy xmlns="59098f23-3ca6-4eec-8c4e-6f77ceae2d9e" xsi:nil="true"/>
    <HideFromDelve xmlns="4e6cfa50-9814-4036-b2f8-54bb7ef1e7f8">true</HideFromDelv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B4B36-33EC-4588-A689-6088EDE1F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098f23-3ca6-4eec-8c4e-6f77ceae2d9e"/>
    <ds:schemaRef ds:uri="131e7afd-8cb4-4255-a884-cbcde2747e4c"/>
    <ds:schemaRef ds:uri="7275579c-bf47-4236-9d68-1bfb0df9c30a"/>
    <ds:schemaRef ds:uri="4e6cfa50-9814-4036-b2f8-54bb7ef1e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4AA4AA-8237-4CE0-A3A9-11315CD5C1B2}">
  <ds:schemaRefs>
    <ds:schemaRef ds:uri="http://schemas.microsoft.com/sharepoint/v3/contenttype/forms"/>
  </ds:schemaRefs>
</ds:datastoreItem>
</file>

<file path=customXml/itemProps3.xml><?xml version="1.0" encoding="utf-8"?>
<ds:datastoreItem xmlns:ds="http://schemas.openxmlformats.org/officeDocument/2006/customXml" ds:itemID="{84150699-4B56-4A7D-8376-8DDAE27BEF89}">
  <ds:schemaRefs>
    <ds:schemaRef ds:uri="http://schemas.microsoft.com/office/2006/documentManagement/types"/>
    <ds:schemaRef ds:uri="59098f23-3ca6-4eec-8c4e-6f77ceae2d9e"/>
    <ds:schemaRef ds:uri="http://purl.org/dc/elements/1.1/"/>
    <ds:schemaRef ds:uri="http://schemas.microsoft.com/office/2006/metadata/properties"/>
    <ds:schemaRef ds:uri="4e6cfa50-9814-4036-b2f8-54bb7ef1e7f8"/>
    <ds:schemaRef ds:uri="http://schemas.microsoft.com/office/infopath/2007/PartnerControls"/>
    <ds:schemaRef ds:uri="http://schemas.openxmlformats.org/package/2006/metadata/core-properties"/>
    <ds:schemaRef ds:uri="http://purl.org/dc/terms/"/>
    <ds:schemaRef ds:uri="7275579c-bf47-4236-9d68-1bfb0df9c30a"/>
    <ds:schemaRef ds:uri="131e7afd-8cb4-4255-a884-cbcde2747e4c"/>
    <ds:schemaRef ds:uri="http://www.w3.org/XML/1998/namespace"/>
    <ds:schemaRef ds:uri="http://purl.org/dc/dcmitype/"/>
  </ds:schemaRefs>
</ds:datastoreItem>
</file>

<file path=customXml/itemProps4.xml><?xml version="1.0" encoding="utf-8"?>
<ds:datastoreItem xmlns:ds="http://schemas.openxmlformats.org/officeDocument/2006/customXml" ds:itemID="{AA5A89A5-3D32-4332-A3C0-7D789A2A2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118</Pages>
  <Words>105899</Words>
  <Characters>603630</Characters>
  <Application>Microsoft Office Word</Application>
  <DocSecurity>4</DocSecurity>
  <Lines>5030</Lines>
  <Paragraphs>1416</Paragraphs>
  <ScaleCrop>false</ScaleCrop>
  <HeadingPairs>
    <vt:vector size="2" baseType="variant">
      <vt:variant>
        <vt:lpstr>Title</vt:lpstr>
      </vt:variant>
      <vt:variant>
        <vt:i4>1</vt:i4>
      </vt:variant>
    </vt:vector>
  </HeadingPairs>
  <TitlesOfParts>
    <vt:vector size="1" baseType="lpstr">
      <vt:lpstr>Department of Health and Human Services annual report 2018-19</vt:lpstr>
    </vt:vector>
  </TitlesOfParts>
  <Company>Department of Health and Human Services</Company>
  <LinksUpToDate>false</LinksUpToDate>
  <CharactersWithSpaces>708113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and Human Services annual report 2018-19</dc:title>
  <dc:subject>Annual report</dc:subject>
  <dc:creator>Department of Health and Human Services</dc:creator>
  <cp:keywords>annual report 2018-19, financial statements, year in review, performance reporting, finance and budgetary performance, governance, people, disclosures, environmental sustainability report, audit opinion</cp:keywords>
  <cp:lastModifiedBy>Sarah Alexander (DHHS)</cp:lastModifiedBy>
  <cp:revision>2</cp:revision>
  <cp:lastPrinted>2019-10-14T22:40:00Z</cp:lastPrinted>
  <dcterms:created xsi:type="dcterms:W3CDTF">2019-10-15T01:57:00Z</dcterms:created>
  <dcterms:modified xsi:type="dcterms:W3CDTF">2019-10-15T01:57:00Z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